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3.xml" ContentType="application/vnd.openxmlformats-officedocument.wordprocessingml.header+xml"/>
  <Override PartName="/word/footer27.xml" ContentType="application/vnd.openxmlformats-officedocument.wordprocessingml.footer+xml"/>
  <Override PartName="/word/header24.xml" ContentType="application/vnd.openxmlformats-officedocument.wordprocessingml.header+xml"/>
  <Override PartName="/word/footer28.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25.xml" ContentType="application/vnd.openxmlformats-officedocument.wordprocessingml.head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AF782F" w14:textId="1D791F05" w:rsidR="00916DF7" w:rsidRDefault="00EA4BE3" w:rsidP="00916DF7">
      <w:pPr>
        <w:pStyle w:val="Heading2"/>
        <w:rPr>
          <w:rStyle w:val="Strong"/>
          <w:bCs w:val="0"/>
          <w:sz w:val="52"/>
          <w:szCs w:val="32"/>
        </w:rPr>
      </w:pPr>
      <w:r>
        <w:rPr>
          <w:rStyle w:val="Strong"/>
          <w:b w:val="0"/>
          <w:bCs w:val="0"/>
          <w:noProof/>
        </w:rPr>
        <w:drawing>
          <wp:inline distT="0" distB="0" distL="0" distR="0" wp14:anchorId="229DB7DF" wp14:editId="602826D8">
            <wp:extent cx="6542866" cy="9096375"/>
            <wp:effectExtent l="0" t="0" r="0" b="0"/>
            <wp:docPr id="3" name="Picture 3" descr="Department of Transport and Main Roads Annual Report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partment of Transport and Main Roads Annual Report 2022-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45389" cy="9099883"/>
                    </a:xfrm>
                    <a:prstGeom prst="rect">
                      <a:avLst/>
                    </a:prstGeom>
                    <a:noFill/>
                    <a:ln>
                      <a:noFill/>
                    </a:ln>
                  </pic:spPr>
                </pic:pic>
              </a:graphicData>
            </a:graphic>
          </wp:inline>
        </w:drawing>
      </w:r>
      <w:r w:rsidR="00916DF7">
        <w:rPr>
          <w:rStyle w:val="Strong"/>
          <w:b w:val="0"/>
          <w:bCs w:val="0"/>
        </w:rPr>
        <w:br w:type="page"/>
      </w:r>
    </w:p>
    <w:p w14:paraId="5663335B" w14:textId="6B3CC070" w:rsidR="00EA4BE3" w:rsidRPr="005D6008" w:rsidRDefault="00516582" w:rsidP="00F221BC">
      <w:pPr>
        <w:pStyle w:val="Heading1"/>
        <w:rPr>
          <w:rStyle w:val="Strong"/>
          <w:b/>
          <w:bCs w:val="0"/>
        </w:rPr>
      </w:pPr>
      <w:r w:rsidRPr="005D6008">
        <w:rPr>
          <w:rStyle w:val="Strong"/>
          <w:b/>
          <w:bCs w:val="0"/>
        </w:rPr>
        <w:lastRenderedPageBreak/>
        <w:t>Introduction</w:t>
      </w:r>
    </w:p>
    <w:p w14:paraId="1BF34FD4" w14:textId="3F578C9E" w:rsidR="006B70AF" w:rsidRPr="00892D85" w:rsidRDefault="006B70AF" w:rsidP="00892D85">
      <w:pPr>
        <w:rPr>
          <w:rStyle w:val="Strong"/>
        </w:rPr>
      </w:pPr>
      <w:r w:rsidRPr="00892D85">
        <w:rPr>
          <w:rStyle w:val="Strong"/>
        </w:rPr>
        <w:t xml:space="preserve">Copyright </w:t>
      </w:r>
    </w:p>
    <w:p w14:paraId="604A2DBD" w14:textId="34EE3E1F" w:rsidR="006B70AF" w:rsidRPr="006B70AF" w:rsidRDefault="006B70AF" w:rsidP="006B70AF">
      <w:pPr>
        <w:rPr>
          <w:lang w:val="en-AU"/>
        </w:rPr>
      </w:pPr>
      <w:r w:rsidRPr="006B70AF">
        <w:rPr>
          <w:lang w:val="en-AU"/>
        </w:rPr>
        <w:t>This publication is protected by the Copyright Act 1968. © State of Queensland (Department of Transport and Main Roads), 202</w:t>
      </w:r>
      <w:r w:rsidR="00661C40">
        <w:t>3</w:t>
      </w:r>
      <w:r w:rsidRPr="006B70AF">
        <w:rPr>
          <w:lang w:val="en-AU"/>
        </w:rPr>
        <w:t xml:space="preserve"> Compiled and published by the Queensland Department of Transport and Main Roads. </w:t>
      </w:r>
    </w:p>
    <w:p w14:paraId="18C98E91" w14:textId="085B1759" w:rsidR="006B70AF" w:rsidRPr="00892D85" w:rsidRDefault="006B70AF" w:rsidP="00892D85">
      <w:pPr>
        <w:rPr>
          <w:rStyle w:val="Strong"/>
        </w:rPr>
      </w:pPr>
      <w:r w:rsidRPr="00892D85">
        <w:rPr>
          <w:rStyle w:val="Strong"/>
        </w:rPr>
        <w:t xml:space="preserve">Licence </w:t>
      </w:r>
    </w:p>
    <w:p w14:paraId="076F2187" w14:textId="719D5E6D" w:rsidR="006B70AF" w:rsidRPr="006B70AF" w:rsidRDefault="006B70AF" w:rsidP="006B70AF">
      <w:pPr>
        <w:rPr>
          <w:lang w:val="en-AU"/>
        </w:rPr>
      </w:pPr>
      <w:r w:rsidRPr="006B70AF">
        <w:rPr>
          <w:lang w:val="en-AU"/>
        </w:rPr>
        <w:t xml:space="preserve">The material in this work is licensed by the Department of Transport and Main Roads under a Creative Commons Attribution 4.0 International licence (CC BY 4.0), with the exception of: </w:t>
      </w:r>
    </w:p>
    <w:p w14:paraId="4D65EB25" w14:textId="77777777" w:rsidR="006B70AF" w:rsidRPr="006B70AF" w:rsidRDefault="006B70AF" w:rsidP="00B960D7">
      <w:pPr>
        <w:pStyle w:val="ListBullet"/>
        <w:rPr>
          <w:lang w:val="en-AU"/>
        </w:rPr>
      </w:pPr>
      <w:r w:rsidRPr="006B70AF">
        <w:rPr>
          <w:lang w:val="en-AU"/>
        </w:rPr>
        <w:t xml:space="preserve">the Queensland Coat of Arms </w:t>
      </w:r>
    </w:p>
    <w:p w14:paraId="59FABFA2" w14:textId="38A023AA" w:rsidR="006B70AF" w:rsidRPr="006B70AF" w:rsidRDefault="006B70AF" w:rsidP="00B960D7">
      <w:pPr>
        <w:pStyle w:val="ListBullet"/>
        <w:rPr>
          <w:lang w:val="en-AU"/>
        </w:rPr>
      </w:pPr>
      <w:r w:rsidRPr="006B70AF">
        <w:rPr>
          <w:lang w:val="en-AU"/>
        </w:rPr>
        <w:t xml:space="preserve">this department’s logo </w:t>
      </w:r>
    </w:p>
    <w:p w14:paraId="039697DA" w14:textId="77777777" w:rsidR="006B70AF" w:rsidRPr="006B70AF" w:rsidRDefault="006B70AF" w:rsidP="00B960D7">
      <w:pPr>
        <w:pStyle w:val="ListBullet"/>
        <w:rPr>
          <w:lang w:val="en-AU"/>
        </w:rPr>
      </w:pPr>
      <w:r w:rsidRPr="006B70AF">
        <w:rPr>
          <w:lang w:val="en-AU"/>
        </w:rPr>
        <w:t xml:space="preserve">any third party material </w:t>
      </w:r>
    </w:p>
    <w:p w14:paraId="434C2C2F" w14:textId="0387DA45" w:rsidR="006B70AF" w:rsidRPr="006B70AF" w:rsidRDefault="006B70AF" w:rsidP="00B960D7">
      <w:pPr>
        <w:pStyle w:val="ListBullet"/>
        <w:rPr>
          <w:lang w:val="en-AU"/>
        </w:rPr>
      </w:pPr>
      <w:r w:rsidRPr="006B70AF">
        <w:rPr>
          <w:lang w:val="en-AU"/>
        </w:rPr>
        <w:t xml:space="preserve">any material protected by a trademark, and </w:t>
      </w:r>
    </w:p>
    <w:p w14:paraId="5C47E46F" w14:textId="2BF8277A" w:rsidR="006B70AF" w:rsidRPr="006B70AF" w:rsidRDefault="006B70AF" w:rsidP="00B960D7">
      <w:pPr>
        <w:pStyle w:val="ListBullet"/>
        <w:rPr>
          <w:lang w:val="en-AU"/>
        </w:rPr>
      </w:pPr>
      <w:r w:rsidRPr="006B70AF">
        <w:rPr>
          <w:lang w:val="en-AU"/>
        </w:rPr>
        <w:t xml:space="preserve">any images and/or photographs. </w:t>
      </w:r>
    </w:p>
    <w:p w14:paraId="7AD45775" w14:textId="77777777" w:rsidR="006B70AF" w:rsidRPr="006B70AF" w:rsidRDefault="006B70AF" w:rsidP="006B70AF">
      <w:pPr>
        <w:rPr>
          <w:lang w:val="en-AU"/>
        </w:rPr>
      </w:pPr>
      <w:r w:rsidRPr="006B70AF">
        <w:rPr>
          <w:lang w:val="en-AU"/>
        </w:rPr>
        <w:t xml:space="preserve">More information on the CC BY licence is set out as follows: </w:t>
      </w:r>
    </w:p>
    <w:p w14:paraId="3F2C29B3" w14:textId="2B72AE77" w:rsidR="006B70AF" w:rsidRPr="006B70AF" w:rsidRDefault="006B70AF" w:rsidP="00586E26">
      <w:pPr>
        <w:pStyle w:val="ListBullet"/>
        <w:rPr>
          <w:lang w:val="en-AU"/>
        </w:rPr>
      </w:pPr>
      <w:r w:rsidRPr="006B70AF">
        <w:rPr>
          <w:lang w:val="en-AU"/>
        </w:rPr>
        <w:t xml:space="preserve">Creative Commons website–https://www.creativecommons.org </w:t>
      </w:r>
    </w:p>
    <w:p w14:paraId="2C6FBDB0" w14:textId="6A91DACD" w:rsidR="00586E26" w:rsidRPr="00892D85" w:rsidRDefault="006B70AF" w:rsidP="006B70AF">
      <w:pPr>
        <w:pStyle w:val="ListBullet"/>
        <w:rPr>
          <w:lang w:val="en-AU"/>
        </w:rPr>
      </w:pPr>
      <w:r w:rsidRPr="006B70AF">
        <w:rPr>
          <w:lang w:val="en-AU"/>
        </w:rPr>
        <w:t>Attribution 4.0 international (CC BY 4.0)–https://www.creativecommons.org/ licenses/by/4.0/</w:t>
      </w:r>
    </w:p>
    <w:p w14:paraId="6E3DD03F" w14:textId="773C271D" w:rsidR="006B70AF" w:rsidRPr="00892D85" w:rsidRDefault="006B70AF" w:rsidP="006B70AF">
      <w:pPr>
        <w:rPr>
          <w:rStyle w:val="Strong"/>
        </w:rPr>
      </w:pPr>
      <w:r w:rsidRPr="00892D85">
        <w:rPr>
          <w:rStyle w:val="Strong"/>
        </w:rPr>
        <w:t>Attribution</w:t>
      </w:r>
    </w:p>
    <w:p w14:paraId="546AE630" w14:textId="77777777" w:rsidR="006B70AF" w:rsidRPr="006B70AF" w:rsidRDefault="006B70AF" w:rsidP="006B70AF">
      <w:pPr>
        <w:rPr>
          <w:lang w:val="en-AU"/>
        </w:rPr>
      </w:pPr>
      <w:r w:rsidRPr="006B70AF">
        <w:rPr>
          <w:lang w:val="en-AU"/>
        </w:rPr>
        <w:t xml:space="preserve">The CC BY 4.0 licence is a standard form licence agreement that allows you to copy and redistribute the material in any medium or format, as well as remix, transform, and build upon the material, on the condition that you provide a link to the licence, you indicate if changes were made, and you attribute the material as follows: </w:t>
      </w:r>
    </w:p>
    <w:p w14:paraId="240DAF75" w14:textId="19DCC56F" w:rsidR="006B70AF" w:rsidRPr="006B70AF" w:rsidRDefault="006B70AF" w:rsidP="006B70AF">
      <w:pPr>
        <w:rPr>
          <w:lang w:val="en-AU"/>
        </w:rPr>
      </w:pPr>
      <w:r w:rsidRPr="006B70AF">
        <w:rPr>
          <w:lang w:val="en-AU"/>
        </w:rPr>
        <w:t>© The State of Queensland (Department of Transport and Main Roads), Annual Report 202</w:t>
      </w:r>
      <w:r w:rsidR="00586E26">
        <w:t>2</w:t>
      </w:r>
      <w:r w:rsidRPr="006B70AF">
        <w:rPr>
          <w:lang w:val="en-AU"/>
        </w:rPr>
        <w:t>–202</w:t>
      </w:r>
      <w:r w:rsidR="00FC6B59">
        <w:t>3</w:t>
      </w:r>
      <w:r w:rsidRPr="006B70AF">
        <w:rPr>
          <w:lang w:val="en-AU"/>
        </w:rPr>
        <w:t>, 202</w:t>
      </w:r>
      <w:r w:rsidR="00FC6B59">
        <w:t>3</w:t>
      </w:r>
      <w:r w:rsidRPr="006B70AF">
        <w:rPr>
          <w:lang w:val="en-AU"/>
        </w:rPr>
        <w:t xml:space="preserve"> is licensed under CC BY 4.0 </w:t>
      </w:r>
    </w:p>
    <w:p w14:paraId="3C10E42F" w14:textId="2365A5ED" w:rsidR="006B70AF" w:rsidRPr="006B70AF" w:rsidRDefault="006B70AF" w:rsidP="006B70AF">
      <w:pPr>
        <w:rPr>
          <w:lang w:val="en-AU"/>
        </w:rPr>
      </w:pPr>
      <w:r w:rsidRPr="006B70AF">
        <w:rPr>
          <w:lang w:val="en-AU"/>
        </w:rPr>
        <w:t>Enquiries about the use of any material in this publication can be sent to the department at: copyright@tmr.</w:t>
      </w:r>
      <w:r w:rsidR="00FD232A">
        <w:t>g</w:t>
      </w:r>
      <w:r w:rsidRPr="006B70AF">
        <w:rPr>
          <w:lang w:val="en-AU"/>
        </w:rPr>
        <w:t xml:space="preserve">ov.au </w:t>
      </w:r>
    </w:p>
    <w:p w14:paraId="7796D987" w14:textId="77777777" w:rsidR="00EC1C36" w:rsidRDefault="006B70AF" w:rsidP="00EC1C36">
      <w:pPr>
        <w:rPr>
          <w:lang w:val="en-AU"/>
        </w:rPr>
      </w:pPr>
      <w:r w:rsidRPr="006B70AF">
        <w:rPr>
          <w:lang w:val="en-AU"/>
        </w:rPr>
        <w:t>ISSN: 1837-2694</w:t>
      </w:r>
      <w:r w:rsidR="00F903F0">
        <w:br/>
      </w:r>
      <w:r w:rsidRPr="006B70AF">
        <w:rPr>
          <w:lang w:val="en-AU"/>
        </w:rPr>
        <w:t>ISSN: 1837-2708 (pdf)</w:t>
      </w:r>
    </w:p>
    <w:p w14:paraId="7EFB16AE" w14:textId="77777777" w:rsidR="00A53E9C" w:rsidRDefault="00A53E9C">
      <w:pPr>
        <w:spacing w:before="0" w:after="160" w:line="259" w:lineRule="auto"/>
        <w:rPr>
          <w:rFonts w:eastAsiaTheme="majorEastAsia" w:cstheme="majorBidi"/>
          <w:b/>
          <w:color w:val="000000" w:themeColor="text1"/>
          <w:sz w:val="52"/>
          <w:szCs w:val="32"/>
        </w:rPr>
      </w:pPr>
      <w:r>
        <w:br w:type="page"/>
      </w:r>
    </w:p>
    <w:p w14:paraId="33E0569C" w14:textId="2682B233" w:rsidR="00AF0EC5" w:rsidRPr="00AF0EC5" w:rsidRDefault="00AF0EC5" w:rsidP="00F221BC">
      <w:pPr>
        <w:pStyle w:val="Heading1"/>
      </w:pPr>
      <w:r w:rsidRPr="00AF0EC5">
        <w:lastRenderedPageBreak/>
        <w:t>Letter of compliance</w:t>
      </w:r>
    </w:p>
    <w:p w14:paraId="40675E36" w14:textId="05A5B716" w:rsidR="00AF0EC5" w:rsidRPr="00AF0EC5" w:rsidRDefault="00AF0EC5" w:rsidP="00AF0EC5">
      <w:r w:rsidRPr="00AF0EC5">
        <w:t>2</w:t>
      </w:r>
      <w:r w:rsidR="009A0036">
        <w:t>2</w:t>
      </w:r>
      <w:r w:rsidRPr="00AF0EC5">
        <w:t xml:space="preserve"> September 202</w:t>
      </w:r>
      <w:r w:rsidR="00621C4A">
        <w:t>3</w:t>
      </w:r>
    </w:p>
    <w:p w14:paraId="60AFF6FC" w14:textId="336DFFE1" w:rsidR="00AF0EC5" w:rsidRPr="00AF0EC5" w:rsidRDefault="00AF0EC5" w:rsidP="00AF0EC5">
      <w:r w:rsidRPr="00AF0EC5">
        <w:t>The Honourable Mark Bailey MP</w:t>
      </w:r>
      <w:r>
        <w:br/>
      </w:r>
      <w:r w:rsidRPr="00AF0EC5">
        <w:t>Minister for Transport and Main Roads</w:t>
      </w:r>
      <w:r w:rsidR="00C865CA">
        <w:t xml:space="preserve"> and Minister for </w:t>
      </w:r>
      <w:r w:rsidR="00621C4A">
        <w:t>Digital Services</w:t>
      </w:r>
      <w:r>
        <w:br/>
      </w:r>
      <w:r w:rsidRPr="00AF0EC5">
        <w:t>1 William Street, Brisbane, Queensland 4000</w:t>
      </w:r>
    </w:p>
    <w:p w14:paraId="59A31C21" w14:textId="77777777" w:rsidR="00AF0EC5" w:rsidRPr="00AF0EC5" w:rsidRDefault="00AF0EC5" w:rsidP="00AF0EC5">
      <w:r w:rsidRPr="00AF0EC5">
        <w:t>Dear Minister</w:t>
      </w:r>
    </w:p>
    <w:p w14:paraId="617AFE1F" w14:textId="0925A597" w:rsidR="00AF0EC5" w:rsidRPr="00AF0EC5" w:rsidRDefault="00AF0EC5" w:rsidP="00AF0EC5">
      <w:r w:rsidRPr="00AF0EC5">
        <w:t>I am pleased to submit for presentation to the Parliament, the Annual Report 202</w:t>
      </w:r>
      <w:r w:rsidR="009A0036">
        <w:t>2</w:t>
      </w:r>
      <w:r>
        <w:t>–2</w:t>
      </w:r>
      <w:r w:rsidR="009A0036">
        <w:t>3</w:t>
      </w:r>
      <w:r w:rsidRPr="00AF0EC5">
        <w:t xml:space="preserve"> and financial statements for the Department of Transport and Main Roads.</w:t>
      </w:r>
    </w:p>
    <w:p w14:paraId="4673C6D3" w14:textId="77777777" w:rsidR="00AF0EC5" w:rsidRPr="00AF0EC5" w:rsidRDefault="00AF0EC5" w:rsidP="00AF0EC5">
      <w:r w:rsidRPr="00AF0EC5">
        <w:t>I certify that this annual report complies with:</w:t>
      </w:r>
    </w:p>
    <w:p w14:paraId="629F6524" w14:textId="105D6657" w:rsidR="00AF0EC5" w:rsidRPr="00AF0EC5" w:rsidRDefault="00AF0EC5" w:rsidP="00AF0EC5">
      <w:pPr>
        <w:pStyle w:val="ListBullet"/>
      </w:pPr>
      <w:r w:rsidRPr="00AF0EC5">
        <w:t>the prescribed requirements of the</w:t>
      </w:r>
      <w:r w:rsidRPr="00AF0EC5">
        <w:rPr>
          <w:rStyle w:val="Emphasis"/>
        </w:rPr>
        <w:t xml:space="preserve"> Financial Accountability Act 2009</w:t>
      </w:r>
      <w:r w:rsidRPr="00AF0EC5">
        <w:t xml:space="preserve"> and the </w:t>
      </w:r>
      <w:r w:rsidRPr="00AF0EC5">
        <w:rPr>
          <w:rStyle w:val="Emphasis"/>
        </w:rPr>
        <w:t>Financial and Performance Management Standard 2019</w:t>
      </w:r>
      <w:r w:rsidRPr="00AF0EC5">
        <w:t xml:space="preserve"> </w:t>
      </w:r>
    </w:p>
    <w:p w14:paraId="17F803C7" w14:textId="30E64A97" w:rsidR="00AF0EC5" w:rsidRPr="00AF0EC5" w:rsidRDefault="00AF0EC5" w:rsidP="00AF0EC5">
      <w:pPr>
        <w:pStyle w:val="ListBullet"/>
      </w:pPr>
      <w:r w:rsidRPr="00AF0EC5">
        <w:t xml:space="preserve">the detailed requirements set out in the </w:t>
      </w:r>
      <w:r w:rsidRPr="00D356BF">
        <w:rPr>
          <w:rStyle w:val="Emphasis"/>
        </w:rPr>
        <w:t>Annual Report requirements for Queensland Government agencies</w:t>
      </w:r>
      <w:r w:rsidRPr="00AF0EC5">
        <w:t xml:space="preserve">. </w:t>
      </w:r>
    </w:p>
    <w:p w14:paraId="36E64A66" w14:textId="00EC8D76" w:rsidR="00A06A8B" w:rsidRDefault="005D5614" w:rsidP="00AF0EC5">
      <w:r w:rsidRPr="005D5614">
        <w:t>This report is prepared on the basis of the current administrative arrangements for this department applying for the whole of the 2022-23 financial year. That is, it reflects the structure, operations and performance of the department as it now exists.</w:t>
      </w:r>
    </w:p>
    <w:p w14:paraId="20B599C6" w14:textId="6722A379" w:rsidR="00AF0EC5" w:rsidRPr="00AF0EC5" w:rsidRDefault="00AF0EC5" w:rsidP="00AF0EC5">
      <w:r w:rsidRPr="00AF0EC5">
        <w:t xml:space="preserve">A checklist outlining the annual report requirements can be found on page </w:t>
      </w:r>
      <w:r>
        <w:t>xxx</w:t>
      </w:r>
      <w:r w:rsidRPr="00AF0EC5">
        <w:t xml:space="preserve"> of this annual report.</w:t>
      </w:r>
    </w:p>
    <w:p w14:paraId="71D90869" w14:textId="77777777" w:rsidR="00AF0EC5" w:rsidRPr="00AF0EC5" w:rsidRDefault="00AF0EC5" w:rsidP="00AF0EC5">
      <w:r w:rsidRPr="00AF0EC5">
        <w:t>Yours sincerely</w:t>
      </w:r>
    </w:p>
    <w:p w14:paraId="2356B183" w14:textId="70E93D27" w:rsidR="00AF0EC5" w:rsidRDefault="00661C40" w:rsidP="00AF0EC5">
      <w:r>
        <w:t>Sally Stannard</w:t>
      </w:r>
      <w:r w:rsidR="00AF0EC5">
        <w:br/>
      </w:r>
      <w:r>
        <w:rPr>
          <w:rStyle w:val="Strong"/>
        </w:rPr>
        <w:t xml:space="preserve">Acting </w:t>
      </w:r>
      <w:r w:rsidR="00AF0EC5" w:rsidRPr="00AF0EC5">
        <w:rPr>
          <w:rStyle w:val="Strong"/>
        </w:rPr>
        <w:t>Director-General</w:t>
      </w:r>
      <w:r w:rsidR="00AF0EC5" w:rsidRPr="00AF0EC5">
        <w:rPr>
          <w:rStyle w:val="Strong"/>
        </w:rPr>
        <w:br/>
        <w:t>Department of Transport and Main Roads</w:t>
      </w:r>
    </w:p>
    <w:p w14:paraId="09D4A602" w14:textId="77777777" w:rsidR="00AF0EC5" w:rsidRPr="00AF0EC5" w:rsidRDefault="00AF0EC5" w:rsidP="00AF0EC5">
      <w:r w:rsidRPr="00AF0EC5">
        <w:t xml:space="preserve">For more information </w:t>
      </w:r>
    </w:p>
    <w:p w14:paraId="5DF5BA91" w14:textId="28E0DFF5" w:rsidR="00AF0EC5" w:rsidRPr="00AF0EC5" w:rsidRDefault="00AF0EC5" w:rsidP="00AF0EC5">
      <w:r w:rsidRPr="00AF0EC5">
        <w:t xml:space="preserve">Phone: +61 7 3066 7247 </w:t>
      </w:r>
      <w:r>
        <w:br/>
      </w:r>
      <w:r w:rsidRPr="00AF0EC5">
        <w:t xml:space="preserve">Email: annual.report@tmr.qld.gov.au </w:t>
      </w:r>
      <w:r>
        <w:br/>
      </w:r>
      <w:r w:rsidRPr="00AF0EC5">
        <w:t xml:space="preserve">Visit: www.tmr.qld.gov.au </w:t>
      </w:r>
    </w:p>
    <w:p w14:paraId="4F0A3856" w14:textId="77777777" w:rsidR="00EC1C36" w:rsidRDefault="00AF0EC5" w:rsidP="00EC1C36">
      <w:pPr>
        <w:rPr>
          <w:rStyle w:val="Hyperlink"/>
        </w:rPr>
      </w:pPr>
      <w:r w:rsidRPr="00AF0EC5">
        <w:t xml:space="preserve">You can provide feedback on the annual report at the Queensland Government Get Involved website: </w:t>
      </w:r>
      <w:hyperlink r:id="rId9" w:history="1">
        <w:r w:rsidR="00E80D1A" w:rsidRPr="002E0550">
          <w:rPr>
            <w:rStyle w:val="Hyperlink"/>
          </w:rPr>
          <w:t>www.qld.gov.au/annualreportfeedback</w:t>
        </w:r>
      </w:hyperlink>
    </w:p>
    <w:p w14:paraId="410D06A2" w14:textId="77777777" w:rsidR="00A53E9C" w:rsidRDefault="00A53E9C">
      <w:pPr>
        <w:spacing w:before="0" w:after="160" w:line="259" w:lineRule="auto"/>
        <w:rPr>
          <w:rFonts w:eastAsiaTheme="majorEastAsia" w:cstheme="majorBidi"/>
          <w:b/>
          <w:color w:val="000000" w:themeColor="text1"/>
          <w:sz w:val="52"/>
          <w:szCs w:val="32"/>
        </w:rPr>
      </w:pPr>
      <w:r>
        <w:br w:type="page"/>
      </w:r>
    </w:p>
    <w:p w14:paraId="226050BD" w14:textId="01A20E58" w:rsidR="002379B1" w:rsidRPr="00F37E6D" w:rsidRDefault="002379B1" w:rsidP="00F221BC">
      <w:pPr>
        <w:pStyle w:val="Heading1"/>
      </w:pPr>
      <w:r w:rsidRPr="00F37E6D">
        <w:lastRenderedPageBreak/>
        <w:t>About us</w:t>
      </w:r>
    </w:p>
    <w:p w14:paraId="640623D9" w14:textId="77777777" w:rsidR="002379B1" w:rsidRDefault="002379B1" w:rsidP="002379B1">
      <w:pPr>
        <w:pStyle w:val="Heading2"/>
      </w:pPr>
      <w:r w:rsidRPr="00F37E6D">
        <w:t>Our role</w:t>
      </w:r>
    </w:p>
    <w:p w14:paraId="5A9A16B8" w14:textId="77777777" w:rsidR="002379B1" w:rsidRDefault="002379B1" w:rsidP="002379B1">
      <w:pPr>
        <w:rPr>
          <w:lang w:val="en-AU"/>
        </w:rPr>
      </w:pPr>
      <w:r w:rsidRPr="00D71CDA">
        <w:rPr>
          <w:lang w:val="en-AU"/>
        </w:rPr>
        <w:t xml:space="preserve">The Department of Transport and Main Roads (TMR) moves and connects people, places, goods, and services safely, efficiently, and effectively across Queensland. </w:t>
      </w:r>
    </w:p>
    <w:p w14:paraId="64667758" w14:textId="77777777" w:rsidR="002379B1" w:rsidRPr="0051289D" w:rsidRDefault="002379B1" w:rsidP="002379B1">
      <w:r w:rsidRPr="0051289D">
        <w:t>Machinery</w:t>
      </w:r>
      <w:r>
        <w:t>-</w:t>
      </w:r>
      <w:r w:rsidRPr="0051289D">
        <w:t>of</w:t>
      </w:r>
      <w:r>
        <w:t>-g</w:t>
      </w:r>
      <w:r w:rsidRPr="0051289D">
        <w:t>overnment changes</w:t>
      </w:r>
      <w:r>
        <w:t>,</w:t>
      </w:r>
      <w:r w:rsidRPr="0051289D">
        <w:t xml:space="preserve"> effective 18 May 2023</w:t>
      </w:r>
      <w:r>
        <w:t>,</w:t>
      </w:r>
      <w:r w:rsidRPr="0051289D">
        <w:t xml:space="preserve"> saw </w:t>
      </w:r>
      <w:r>
        <w:t>TMR</w:t>
      </w:r>
      <w:r w:rsidRPr="0051289D">
        <w:t xml:space="preserve"> welcome </w:t>
      </w:r>
      <w:r>
        <w:t>t</w:t>
      </w:r>
      <w:r w:rsidRPr="0051289D">
        <w:t>he Queensland Government Customer and Digital Group (QGCDG).</w:t>
      </w:r>
      <w:r>
        <w:t xml:space="preserve"> This has strengthened our role as a department committed to improving the lives of Queenslanders by increasing digital inclusion and supporting a thriving digital economy. </w:t>
      </w:r>
    </w:p>
    <w:p w14:paraId="49FD5764" w14:textId="77777777" w:rsidR="002379B1" w:rsidRDefault="002379B1" w:rsidP="002379B1">
      <w:pPr>
        <w:rPr>
          <w:lang w:val="en-AU"/>
        </w:rPr>
      </w:pPr>
      <w:r w:rsidRPr="00D71CDA">
        <w:rPr>
          <w:lang w:val="en-AU"/>
        </w:rPr>
        <w:t xml:space="preserve">TMR is responsible for planning, managing, and delivering a single integrated transport network across road, rail, air, and sea </w:t>
      </w:r>
      <w:r>
        <w:t>in Queensland</w:t>
      </w:r>
      <w:r w:rsidRPr="00D71CDA">
        <w:rPr>
          <w:lang w:val="en-AU"/>
        </w:rPr>
        <w:t>. TMR is committed to ensuring Queensland’s transport system contributes to people’s quality of life, a vibrant economy</w:t>
      </w:r>
      <w:r>
        <w:t>,</w:t>
      </w:r>
      <w:r w:rsidRPr="00D71CDA">
        <w:rPr>
          <w:lang w:val="en-AU"/>
        </w:rPr>
        <w:t xml:space="preserve"> and a sustainable environment. </w:t>
      </w:r>
    </w:p>
    <w:p w14:paraId="170E6ACD" w14:textId="77777777" w:rsidR="002379B1" w:rsidRPr="00AF36A3" w:rsidRDefault="002379B1" w:rsidP="002379B1">
      <w:r w:rsidRPr="00AF36A3">
        <w:t>We put Queenslanders and their businesses at the heart of government service delivery and oversee investments to enable successful delivery of a</w:t>
      </w:r>
      <w:r>
        <w:t xml:space="preserve"> </w:t>
      </w:r>
      <w:r w:rsidRPr="00AF36A3">
        <w:t>digitally enabled economy.</w:t>
      </w:r>
    </w:p>
    <w:p w14:paraId="1F23FB4A" w14:textId="77777777" w:rsidR="002379B1" w:rsidRPr="00D71CDA" w:rsidRDefault="002379B1" w:rsidP="002379B1">
      <w:pPr>
        <w:rPr>
          <w:lang w:val="en-AU"/>
        </w:rPr>
      </w:pPr>
      <w:r w:rsidRPr="00D71CDA">
        <w:rPr>
          <w:lang w:val="en-AU"/>
        </w:rPr>
        <w:t>In 202</w:t>
      </w:r>
      <w:r>
        <w:t>2</w:t>
      </w:r>
      <w:r w:rsidRPr="00D71CDA">
        <w:rPr>
          <w:lang w:val="en-AU"/>
        </w:rPr>
        <w:t>–2</w:t>
      </w:r>
      <w:r>
        <w:t>3</w:t>
      </w:r>
      <w:r w:rsidRPr="00D71CDA">
        <w:rPr>
          <w:lang w:val="en-AU"/>
        </w:rPr>
        <w:t>, TMR administered an operating budget of $</w:t>
      </w:r>
      <w:r>
        <w:t>8.223</w:t>
      </w:r>
      <w:r w:rsidRPr="00D71CDA">
        <w:rPr>
          <w:lang w:val="en-AU"/>
        </w:rPr>
        <w:t xml:space="preserve"> billion, a capital budget of $</w:t>
      </w:r>
      <w:r>
        <w:t>4.704</w:t>
      </w:r>
      <w:r w:rsidRPr="00D71CDA">
        <w:rPr>
          <w:lang w:val="en-AU"/>
        </w:rPr>
        <w:t xml:space="preserve"> billion</w:t>
      </w:r>
      <w:r>
        <w:t>,</w:t>
      </w:r>
      <w:r w:rsidRPr="00D71CDA">
        <w:rPr>
          <w:lang w:val="en-AU"/>
        </w:rPr>
        <w:t xml:space="preserve"> and managed assets worth $</w:t>
      </w:r>
      <w:r>
        <w:t>106.719</w:t>
      </w:r>
      <w:r w:rsidRPr="00D71CDA">
        <w:rPr>
          <w:lang w:val="en-AU"/>
        </w:rPr>
        <w:t xml:space="preserve"> billion. </w:t>
      </w:r>
    </w:p>
    <w:p w14:paraId="426BFDEE" w14:textId="77777777" w:rsidR="002379B1" w:rsidRPr="00D71CDA" w:rsidRDefault="002379B1" w:rsidP="002379B1">
      <w:pPr>
        <w:rPr>
          <w:lang w:val="en-AU"/>
        </w:rPr>
      </w:pPr>
      <w:r w:rsidRPr="00D71CDA">
        <w:rPr>
          <w:lang w:val="en-AU"/>
        </w:rPr>
        <w:t xml:space="preserve">This funding enables TMR to deliver transport and road infrastructure to connect Queensland and to help ensure the infrastructure built and maintained is efficient, reliable, and safe. </w:t>
      </w:r>
    </w:p>
    <w:p w14:paraId="43F96834" w14:textId="77777777" w:rsidR="002379B1" w:rsidRPr="00D71CDA" w:rsidRDefault="002379B1" w:rsidP="002379B1">
      <w:r w:rsidRPr="00D71CDA">
        <w:rPr>
          <w:lang w:val="en-AU"/>
        </w:rPr>
        <w:t xml:space="preserve">TMR operates under the </w:t>
      </w:r>
      <w:r w:rsidRPr="00125B6C">
        <w:rPr>
          <w:rStyle w:val="Emphasis"/>
          <w:lang w:val="en-AU"/>
        </w:rPr>
        <w:t>Administrative Arrangements Order (No.2) 2018</w:t>
      </w:r>
      <w:r w:rsidRPr="00D71CDA">
        <w:rPr>
          <w:lang w:val="en-AU"/>
        </w:rPr>
        <w:t xml:space="preserve"> and the </w:t>
      </w:r>
      <w:r w:rsidRPr="00125B6C">
        <w:rPr>
          <w:rStyle w:val="Emphasis"/>
          <w:lang w:val="en-AU"/>
        </w:rPr>
        <w:t>Public Service Departmental Arrangements Notice (No.4) 2017</w:t>
      </w:r>
      <w:r w:rsidRPr="00D71CDA">
        <w:rPr>
          <w:lang w:val="en-AU"/>
        </w:rPr>
        <w:t xml:space="preserve">. It discharges its statutory obligations under 24 acts, listed in Appendix 1. Progress </w:t>
      </w:r>
      <w:r>
        <w:t>in</w:t>
      </w:r>
      <w:r w:rsidRPr="00D71CDA">
        <w:rPr>
          <w:lang w:val="en-AU"/>
        </w:rPr>
        <w:t xml:space="preserve"> achieving these obligations, further information and links to websites are included throughout the report.</w:t>
      </w:r>
    </w:p>
    <w:p w14:paraId="521F7D70" w14:textId="6E48BCCE" w:rsidR="002379B1" w:rsidRPr="00F37E6D" w:rsidRDefault="002379B1" w:rsidP="002379B1">
      <w:pPr>
        <w:pStyle w:val="Heading2"/>
      </w:pPr>
      <w:r w:rsidRPr="00F37E6D">
        <w:t>What the report contains</w:t>
      </w:r>
    </w:p>
    <w:p w14:paraId="1D1C16C5" w14:textId="77777777" w:rsidR="002379B1" w:rsidRPr="00F37E6D" w:rsidRDefault="002379B1" w:rsidP="002379B1">
      <w:r w:rsidRPr="00F37E6D">
        <w:t>T</w:t>
      </w:r>
      <w:r>
        <w:t>MR</w:t>
      </w:r>
      <w:r w:rsidRPr="00F37E6D">
        <w:t>’</w:t>
      </w:r>
      <w:r>
        <w:t>s</w:t>
      </w:r>
      <w:r w:rsidRPr="00F37E6D">
        <w:t xml:space="preserve"> Annual Report 202</w:t>
      </w:r>
      <w:r>
        <w:t>2–</w:t>
      </w:r>
      <w:r w:rsidRPr="00F37E6D">
        <w:t>2</w:t>
      </w:r>
      <w:r>
        <w:t>3</w:t>
      </w:r>
      <w:r w:rsidRPr="00F37E6D">
        <w:t xml:space="preserve"> describes the department’s operations for the financial year from 1 July 202</w:t>
      </w:r>
      <w:r>
        <w:t>2</w:t>
      </w:r>
      <w:r w:rsidRPr="00F37E6D">
        <w:t xml:space="preserve"> to 30 June 202</w:t>
      </w:r>
      <w:r>
        <w:t>3</w:t>
      </w:r>
      <w:r w:rsidRPr="00F37E6D">
        <w:t>.</w:t>
      </w:r>
    </w:p>
    <w:p w14:paraId="59A23851" w14:textId="77777777" w:rsidR="002379B1" w:rsidRDefault="002379B1" w:rsidP="002379B1">
      <w:r w:rsidRPr="00F37E6D">
        <w:t>The report structure is separated into four main sections to support our vision, creating a single integrated transport network accessible to everyone</w:t>
      </w:r>
      <w:r>
        <w:t>. P</w:t>
      </w:r>
      <w:r w:rsidRPr="007478EF">
        <w:rPr>
          <w:lang w:val="en-AU"/>
        </w:rPr>
        <w:t xml:space="preserve">rogress is enabled by TMR’s organisational structure and delivered by TMR’s people. </w:t>
      </w:r>
      <w:r w:rsidRPr="00F37E6D">
        <w:t xml:space="preserve"> </w:t>
      </w:r>
    </w:p>
    <w:p w14:paraId="3F575078" w14:textId="77777777" w:rsidR="002379B1" w:rsidRDefault="002379B1" w:rsidP="002379B1">
      <w:pPr>
        <w:pStyle w:val="Heading2"/>
      </w:pPr>
      <w:r w:rsidRPr="00F37E6D">
        <w:t>Why we have an Annual Report</w:t>
      </w:r>
    </w:p>
    <w:p w14:paraId="13B6EBA8" w14:textId="77777777" w:rsidR="002379B1" w:rsidRPr="00C260E8" w:rsidRDefault="002379B1" w:rsidP="002379B1">
      <w:r w:rsidRPr="00C260E8">
        <w:rPr>
          <w:lang w:val="en-AU"/>
        </w:rPr>
        <w:t xml:space="preserve">As well as meeting the statutory requirements set out in the </w:t>
      </w:r>
      <w:r w:rsidRPr="00C260E8">
        <w:rPr>
          <w:rStyle w:val="Emphasis"/>
          <w:lang w:val="en-AU"/>
        </w:rPr>
        <w:t>Financial Accountability Act 2009</w:t>
      </w:r>
      <w:r w:rsidRPr="00C260E8">
        <w:rPr>
          <w:lang w:val="en-AU"/>
        </w:rPr>
        <w:t xml:space="preserve"> and the </w:t>
      </w:r>
      <w:r w:rsidRPr="00C260E8">
        <w:rPr>
          <w:rStyle w:val="Emphasis"/>
          <w:lang w:val="en-AU"/>
        </w:rPr>
        <w:t>Financial and Performance Management Standard 2019</w:t>
      </w:r>
      <w:r w:rsidRPr="00C260E8">
        <w:rPr>
          <w:lang w:val="en-AU"/>
        </w:rPr>
        <w:t>, the Annual Report aims to inform stakeholders about TMR’s performance and strategic vision for a connected and accessible transport network for Queensland.</w:t>
      </w:r>
    </w:p>
    <w:p w14:paraId="6B7B3A42" w14:textId="77777777" w:rsidR="002379B1" w:rsidRPr="00F37E6D" w:rsidRDefault="002379B1" w:rsidP="002379B1">
      <w:pPr>
        <w:pStyle w:val="Heading2"/>
      </w:pPr>
      <w:r w:rsidRPr="00F37E6D">
        <w:t>Accessing the Annual Report</w:t>
      </w:r>
    </w:p>
    <w:p w14:paraId="7176F8F3" w14:textId="77777777" w:rsidR="002379B1" w:rsidRPr="00F37E6D" w:rsidRDefault="002379B1" w:rsidP="002379B1">
      <w:r w:rsidRPr="00F37E6D">
        <w:t xml:space="preserve">The Annual Report is available on the </w:t>
      </w:r>
      <w:r>
        <w:t xml:space="preserve">TMR </w:t>
      </w:r>
      <w:r w:rsidRPr="00F37E6D">
        <w:t>website at www.tmr.qld.gov.au/annualreport.</w:t>
      </w:r>
    </w:p>
    <w:p w14:paraId="7C396F98" w14:textId="77777777" w:rsidR="002379B1" w:rsidRPr="00F37E6D" w:rsidRDefault="002379B1" w:rsidP="002379B1">
      <w:r w:rsidRPr="00F37E6D">
        <w:t>Additional annual reporting requirements have been published on the Queensland Government Open Data portal at www.qld.gov.au/data.</w:t>
      </w:r>
    </w:p>
    <w:p w14:paraId="427B1B05" w14:textId="77777777" w:rsidR="002379B1" w:rsidRDefault="002379B1" w:rsidP="002379B1">
      <w:r w:rsidRPr="00F37E6D">
        <w:t>This includes:</w:t>
      </w:r>
    </w:p>
    <w:p w14:paraId="07C871F3" w14:textId="77777777" w:rsidR="002379B1" w:rsidRDefault="002379B1" w:rsidP="002379B1">
      <w:pPr>
        <w:pStyle w:val="ListBullet"/>
      </w:pPr>
      <w:r w:rsidRPr="00634B60">
        <w:rPr>
          <w:lang w:val="en-AU"/>
        </w:rPr>
        <w:t>overseas travel</w:t>
      </w:r>
    </w:p>
    <w:p w14:paraId="2FC836AB" w14:textId="77777777" w:rsidR="002379B1" w:rsidRPr="006B37A3" w:rsidRDefault="002379B1" w:rsidP="002379B1">
      <w:pPr>
        <w:pStyle w:val="ListBullet"/>
      </w:pPr>
      <w:r w:rsidRPr="006B37A3">
        <w:lastRenderedPageBreak/>
        <w:t>consultancies</w:t>
      </w:r>
    </w:p>
    <w:p w14:paraId="2EE60B39" w14:textId="77777777" w:rsidR="002379B1" w:rsidRPr="006B37A3" w:rsidRDefault="002379B1" w:rsidP="002379B1">
      <w:pPr>
        <w:pStyle w:val="ListBullet"/>
      </w:pPr>
      <w:r w:rsidRPr="006B37A3">
        <w:t xml:space="preserve">school transport operator payments </w:t>
      </w:r>
    </w:p>
    <w:p w14:paraId="4A496006" w14:textId="77777777" w:rsidR="002379B1" w:rsidRPr="006B37A3" w:rsidRDefault="002379B1" w:rsidP="002379B1">
      <w:pPr>
        <w:pStyle w:val="ListBullet"/>
      </w:pPr>
      <w:r w:rsidRPr="006B37A3">
        <w:t>Queensland Language Services Policy measures.</w:t>
      </w:r>
    </w:p>
    <w:p w14:paraId="7BF5A99B" w14:textId="77777777" w:rsidR="002379B1" w:rsidRDefault="002379B1" w:rsidP="002379B1">
      <w:r w:rsidRPr="00933871">
        <w:rPr>
          <w:lang w:val="en-AU"/>
        </w:rPr>
        <w:t>The Queensland Government is committed to delivering accessible services for all Queenslanders. Call 13 23 80 for support to access the annual report in a format that is accessible for you.</w:t>
      </w:r>
    </w:p>
    <w:p w14:paraId="1A78A0F0" w14:textId="77777777" w:rsidR="002379B1" w:rsidRPr="00F37E6D" w:rsidRDefault="002379B1" w:rsidP="002379B1">
      <w:r w:rsidRPr="00F37E6D">
        <w:t>The Queensland Government is committed to providing accessible services to Queenslanders from all culturally and linguistically diverse backgrounds. If you have difficulty understanding the Annual Report, you can contact us on 13 23 80 and we will arrange an interpreter to effectively communicate the report to you.</w:t>
      </w:r>
    </w:p>
    <w:p w14:paraId="20C2D3F5" w14:textId="77777777" w:rsidR="002379B1" w:rsidRDefault="002379B1" w:rsidP="002379B1">
      <w:pPr>
        <w:pStyle w:val="Heading2"/>
      </w:pPr>
      <w:r w:rsidRPr="00F37E6D">
        <w:t xml:space="preserve">Transport and Main Roads Strategic Plan </w:t>
      </w:r>
    </w:p>
    <w:p w14:paraId="6D4A1D64" w14:textId="77777777" w:rsidR="002379B1" w:rsidRPr="00355E42" w:rsidRDefault="002379B1" w:rsidP="002379B1">
      <w:pPr>
        <w:rPr>
          <w:lang w:val="en-AU"/>
        </w:rPr>
      </w:pPr>
      <w:r w:rsidRPr="00355E42">
        <w:rPr>
          <w:lang w:val="en-AU"/>
        </w:rPr>
        <w:t xml:space="preserve">TMR’s </w:t>
      </w:r>
      <w:r w:rsidRPr="00355E42">
        <w:rPr>
          <w:rStyle w:val="Emphasis"/>
          <w:lang w:val="en-AU"/>
        </w:rPr>
        <w:t>Strategic Plan 2019–2023 (revised for 202</w:t>
      </w:r>
      <w:r w:rsidRPr="00355E42">
        <w:rPr>
          <w:rStyle w:val="Emphasis"/>
        </w:rPr>
        <w:t>2</w:t>
      </w:r>
      <w:r w:rsidRPr="00355E42">
        <w:rPr>
          <w:rStyle w:val="Emphasis"/>
          <w:lang w:val="en-AU"/>
        </w:rPr>
        <w:t>–2</w:t>
      </w:r>
      <w:r w:rsidRPr="00355E42">
        <w:rPr>
          <w:rStyle w:val="Emphasis"/>
        </w:rPr>
        <w:t>3</w:t>
      </w:r>
      <w:r w:rsidRPr="00355E42">
        <w:rPr>
          <w:rStyle w:val="Emphasis"/>
          <w:lang w:val="en-AU"/>
        </w:rPr>
        <w:t>)</w:t>
      </w:r>
      <w:r w:rsidRPr="00355E42">
        <w:rPr>
          <w:lang w:val="en-AU"/>
        </w:rPr>
        <w:t xml:space="preserve"> is a four-year direction-setting document </w:t>
      </w:r>
      <w:r>
        <w:t>outlining</w:t>
      </w:r>
      <w:r w:rsidRPr="00355E42">
        <w:rPr>
          <w:lang w:val="en-AU"/>
        </w:rPr>
        <w:t xml:space="preserve"> a strong vision and purpose for the creation of a single integrated transport network accessible to everyone. The plan represents the third year of a strategic planning cycle that commenced on 1 July 2019 and was informed by extensive consultation from across TMR and with other Queensland Government agencies. </w:t>
      </w:r>
    </w:p>
    <w:p w14:paraId="4F5678CB" w14:textId="77777777" w:rsidR="002379B1" w:rsidRPr="00355E42" w:rsidRDefault="002379B1" w:rsidP="002379B1">
      <w:pPr>
        <w:rPr>
          <w:lang w:val="en-AU"/>
        </w:rPr>
      </w:pPr>
      <w:r w:rsidRPr="00355E42">
        <w:rPr>
          <w:lang w:val="en-AU"/>
        </w:rPr>
        <w:t xml:space="preserve">The strategic plan demonstrates: </w:t>
      </w:r>
    </w:p>
    <w:p w14:paraId="4364DA23" w14:textId="77777777" w:rsidR="002379B1" w:rsidRPr="00355E42" w:rsidRDefault="002379B1" w:rsidP="002379B1">
      <w:pPr>
        <w:pStyle w:val="ListBullet"/>
        <w:rPr>
          <w:lang w:val="en-AU"/>
        </w:rPr>
      </w:pPr>
      <w:r w:rsidRPr="00355E42">
        <w:rPr>
          <w:lang w:val="en-AU"/>
        </w:rPr>
        <w:t xml:space="preserve">how TMR contributes to the Queensland Government’s objectives for the community </w:t>
      </w:r>
    </w:p>
    <w:p w14:paraId="0F115B1E" w14:textId="77777777" w:rsidR="002379B1" w:rsidRPr="00355E42" w:rsidRDefault="002379B1" w:rsidP="002379B1">
      <w:pPr>
        <w:pStyle w:val="ListBullet"/>
        <w:rPr>
          <w:lang w:val="en-AU"/>
        </w:rPr>
      </w:pPr>
      <w:r w:rsidRPr="00355E42">
        <w:rPr>
          <w:lang w:val="en-AU"/>
        </w:rPr>
        <w:t>responds to the opportunities and challenges facing TMR</w:t>
      </w:r>
    </w:p>
    <w:p w14:paraId="27E13EAE" w14:textId="77777777" w:rsidR="002379B1" w:rsidRPr="00355E42" w:rsidRDefault="002379B1" w:rsidP="002379B1">
      <w:pPr>
        <w:pStyle w:val="ListBullet"/>
        <w:rPr>
          <w:lang w:val="en-AU"/>
        </w:rPr>
      </w:pPr>
      <w:r w:rsidRPr="00355E42">
        <w:rPr>
          <w:lang w:val="en-AU"/>
        </w:rPr>
        <w:t>delivers for customers through the five strategic objectives centred around an accessible, safe, responsive, efficient</w:t>
      </w:r>
      <w:r>
        <w:t>,</w:t>
      </w:r>
      <w:r w:rsidRPr="00355E42">
        <w:rPr>
          <w:lang w:val="en-AU"/>
        </w:rPr>
        <w:t xml:space="preserve"> and sustainable transport system. </w:t>
      </w:r>
    </w:p>
    <w:p w14:paraId="072E5635" w14:textId="77777777" w:rsidR="002379B1" w:rsidRDefault="002379B1" w:rsidP="002379B1">
      <w:pPr>
        <w:pStyle w:val="Heading2"/>
      </w:pPr>
      <w:r w:rsidRPr="00F37E6D">
        <w:t>Business planning</w:t>
      </w:r>
    </w:p>
    <w:p w14:paraId="17ADDD30" w14:textId="77777777" w:rsidR="002379B1" w:rsidRPr="00FD320A" w:rsidRDefault="002379B1" w:rsidP="002379B1">
      <w:r w:rsidRPr="00FD320A">
        <w:t>TMR's divisional and branch business plans align with TMR's strategic plan and are all positioned to support the delivery of TMR's five strategic objectives.</w:t>
      </w:r>
      <w:r>
        <w:t xml:space="preserve"> </w:t>
      </w:r>
      <w:r w:rsidRPr="00FD320A">
        <w:t>These business plans are 'living documents' and are reviewed quarterly to ensure TMR remains responsive to performance outcomes, operational risks</w:t>
      </w:r>
      <w:r>
        <w:t>,</w:t>
      </w:r>
      <w:r w:rsidRPr="00FD320A">
        <w:t xml:space="preserve"> and opportunities.</w:t>
      </w:r>
    </w:p>
    <w:p w14:paraId="040B3B2E" w14:textId="77777777" w:rsidR="002379B1" w:rsidRDefault="002379B1" w:rsidP="002379B1">
      <w:r w:rsidRPr="00FD320A">
        <w:t>Business plans are digitised via TMR's web-based reporting portal, BizCentral to maximise opportunities and to create more accessible, customisable</w:t>
      </w:r>
      <w:r>
        <w:t>,</w:t>
      </w:r>
      <w:r w:rsidRPr="00FD320A">
        <w:t xml:space="preserve"> and efficient planning processes. Digitised reporting has resulted in better business outcomes and enhanced internal planning activities. Progress on business initiatives listed in the business plans are reported quarterly to the Executive Leadership Team </w:t>
      </w:r>
      <w:r>
        <w:t xml:space="preserve">(ELT) </w:t>
      </w:r>
      <w:r w:rsidRPr="00FD320A">
        <w:t>and shared across TMR.</w:t>
      </w:r>
    </w:p>
    <w:p w14:paraId="3DEA04CA" w14:textId="77777777" w:rsidR="002379B1" w:rsidRDefault="002379B1" w:rsidP="002379B1">
      <w:pPr>
        <w:pStyle w:val="Heading2"/>
      </w:pPr>
      <w:r>
        <w:t xml:space="preserve">Whole of Government plans and specific initiatives—Digital </w:t>
      </w:r>
    </w:p>
    <w:p w14:paraId="55C6923F" w14:textId="77777777" w:rsidR="002379B1" w:rsidRPr="00E24932" w:rsidRDefault="002379B1" w:rsidP="002379B1">
      <w:pPr>
        <w:rPr>
          <w:lang w:eastAsia="en-AU"/>
        </w:rPr>
      </w:pPr>
      <w:r w:rsidRPr="00E24932">
        <w:t>T</w:t>
      </w:r>
      <w:r>
        <w:t>MR's QGCDG</w:t>
      </w:r>
      <w:r w:rsidRPr="00E24932">
        <w:t xml:space="preserve"> has a number of whole-of-government and specific purpose plans relating to digital services including: </w:t>
      </w:r>
    </w:p>
    <w:p w14:paraId="3DE56510" w14:textId="77777777" w:rsidR="002379B1" w:rsidRPr="00E24932" w:rsidRDefault="002379B1" w:rsidP="002379B1">
      <w:pPr>
        <w:pStyle w:val="ListBullet"/>
        <w:rPr>
          <w:rStyle w:val="Emphasis"/>
        </w:rPr>
      </w:pPr>
      <w:r w:rsidRPr="00E24932">
        <w:rPr>
          <w:rStyle w:val="Emphasis"/>
        </w:rPr>
        <w:t>Digital Professional Workforce Action Plan 2020–2024</w:t>
      </w:r>
    </w:p>
    <w:p w14:paraId="2462D90D" w14:textId="77777777" w:rsidR="002379B1" w:rsidRPr="00E24932" w:rsidRDefault="002379B1" w:rsidP="002379B1">
      <w:pPr>
        <w:pStyle w:val="ListBullet"/>
        <w:rPr>
          <w:rStyle w:val="Emphasis"/>
        </w:rPr>
      </w:pPr>
      <w:r>
        <w:rPr>
          <w:rStyle w:val="Emphasis"/>
        </w:rPr>
        <w:t xml:space="preserve">Queensland Government </w:t>
      </w:r>
      <w:r w:rsidRPr="00E24932">
        <w:rPr>
          <w:rStyle w:val="Emphasis"/>
        </w:rPr>
        <w:t xml:space="preserve">Cyber </w:t>
      </w:r>
      <w:r>
        <w:rPr>
          <w:rStyle w:val="Emphasis"/>
        </w:rPr>
        <w:t xml:space="preserve">Security </w:t>
      </w:r>
      <w:r w:rsidRPr="00E24932">
        <w:rPr>
          <w:rStyle w:val="Emphasis"/>
        </w:rPr>
        <w:t>Hazard Plan</w:t>
      </w:r>
    </w:p>
    <w:p w14:paraId="7F2D9113" w14:textId="77777777" w:rsidR="002379B1" w:rsidRPr="00E24932" w:rsidRDefault="002379B1" w:rsidP="002379B1">
      <w:pPr>
        <w:pStyle w:val="ListBullet"/>
        <w:rPr>
          <w:rStyle w:val="Emphasis"/>
        </w:rPr>
      </w:pPr>
      <w:r w:rsidRPr="00E24932">
        <w:rPr>
          <w:rStyle w:val="Emphasis"/>
        </w:rPr>
        <w:t xml:space="preserve">Our Thriving Digital Future – </w:t>
      </w:r>
      <w:r>
        <w:rPr>
          <w:rStyle w:val="Emphasis"/>
        </w:rPr>
        <w:t xml:space="preserve">Queensland's </w:t>
      </w:r>
      <w:r w:rsidRPr="00E24932">
        <w:rPr>
          <w:rStyle w:val="Emphasis"/>
        </w:rPr>
        <w:t>Digital Economy Strategy and Action Plan</w:t>
      </w:r>
      <w:r>
        <w:rPr>
          <w:rStyle w:val="Emphasis"/>
        </w:rPr>
        <w:t>.</w:t>
      </w:r>
    </w:p>
    <w:p w14:paraId="12237F70" w14:textId="77777777" w:rsidR="002379B1" w:rsidRPr="00E60D06" w:rsidRDefault="002379B1" w:rsidP="002379B1">
      <w:r w:rsidRPr="00E60D06">
        <w:t xml:space="preserve">QGCDG is committed to building Queensland’s digital workforce through delivery of the Queensland Government Digital Graduate Program and the </w:t>
      </w:r>
      <w:r w:rsidRPr="00E60D06">
        <w:rPr>
          <w:rStyle w:val="Emphasis"/>
        </w:rPr>
        <w:t>Digital Professional Workforce Action Plan 2020–24</w:t>
      </w:r>
      <w:r w:rsidRPr="00E60D06">
        <w:t>.</w:t>
      </w:r>
    </w:p>
    <w:p w14:paraId="76DCB723" w14:textId="77777777" w:rsidR="002379B1" w:rsidRDefault="002379B1" w:rsidP="002379B1">
      <w:r w:rsidRPr="005C72B2">
        <w:t xml:space="preserve">The Queensland Government Digital Graduate Program offers recent graduates the opportunity to get a head start on their career. The Digital Professional Workforce Action Plan aims to position Queensland as an innovative, digitally-savvy economy </w:t>
      </w:r>
      <w:r w:rsidRPr="005C72B2">
        <w:lastRenderedPageBreak/>
        <w:t>by supplying an additional 10,000 digital professionals by 2024 through investing in skilling and reskilling and attracting a broader range of people into digital professions.</w:t>
      </w:r>
    </w:p>
    <w:p w14:paraId="0C6AB68D" w14:textId="77777777" w:rsidR="002379B1" w:rsidRDefault="002379B1" w:rsidP="002379B1">
      <w:r w:rsidRPr="00B513F2">
        <w:rPr>
          <w:rStyle w:val="Emphasis"/>
        </w:rPr>
        <w:t>Our Thriving Digital Future: Queensland's Digital Economy Strategy</w:t>
      </w:r>
      <w:r>
        <w:t xml:space="preserve"> provides the overarching vision, direction, and actions needed to accelerate growth of the state's digital and broader economy. </w:t>
      </w:r>
    </w:p>
    <w:p w14:paraId="74E9E402" w14:textId="77777777" w:rsidR="002379B1" w:rsidRDefault="002379B1" w:rsidP="002379B1">
      <w:r w:rsidRPr="005C72B2">
        <w:t>The strategy and its first three-year Action Plan will implement the Queensland Government’s agenda for a thriving digital economy, better digital government services, and to advance digital inclusion for digitally disadvantaged Queenslanders.</w:t>
      </w:r>
    </w:p>
    <w:p w14:paraId="4BDD280C" w14:textId="77777777" w:rsidR="002379B1" w:rsidRDefault="002379B1" w:rsidP="002379B1">
      <w:r>
        <w:t xml:space="preserve">The strategy's three core focus areas and six priorities will guide initiatives under its action plans to ensure Queensland continues to invest in digital transformations that support good jobs, better service delivery, and enhances Queensland's great lifestyle. </w:t>
      </w:r>
    </w:p>
    <w:p w14:paraId="7E562FFE" w14:textId="77777777" w:rsidR="002379B1" w:rsidRDefault="002379B1" w:rsidP="002379B1">
      <w:r>
        <w:t xml:space="preserve">The strategy is central to ensuring that digital technologies support Queensland's competitive economic future, including delivery of the Brisbane 2032 Olympic and Paralympic Games. </w:t>
      </w:r>
    </w:p>
    <w:p w14:paraId="4B7C2918" w14:textId="77777777" w:rsidR="002379B1" w:rsidRDefault="002379B1" w:rsidP="002379B1">
      <w:r w:rsidRPr="00341F72">
        <w:t>Delivery of the 2023–26 Action Plan will ensure Queensland</w:t>
      </w:r>
      <w:r>
        <w:t xml:space="preserve"> </w:t>
      </w:r>
      <w:r w:rsidRPr="00341F72">
        <w:t xml:space="preserve">builds solid foundations through partnerships to: </w:t>
      </w:r>
    </w:p>
    <w:p w14:paraId="75416771" w14:textId="77777777" w:rsidR="002379B1" w:rsidRPr="00D50FBC" w:rsidRDefault="002379B1" w:rsidP="002379B1">
      <w:pPr>
        <w:pStyle w:val="ListBullet"/>
      </w:pPr>
      <w:r w:rsidRPr="00D50FBC">
        <w:t>unlock the value of the digital economy for all Queenslanders</w:t>
      </w:r>
    </w:p>
    <w:p w14:paraId="692A3F34" w14:textId="77777777" w:rsidR="002379B1" w:rsidRPr="00D50FBC" w:rsidRDefault="002379B1" w:rsidP="002379B1">
      <w:pPr>
        <w:pStyle w:val="ListBullet"/>
      </w:pPr>
      <w:r w:rsidRPr="00D50FBC">
        <w:t>grow Queensland’s businesses, industries and digital talent</w:t>
      </w:r>
    </w:p>
    <w:p w14:paraId="0291A964" w14:textId="77777777" w:rsidR="00EC1C36" w:rsidRDefault="002379B1" w:rsidP="00EC1C36">
      <w:pPr>
        <w:pStyle w:val="ListBullet"/>
      </w:pPr>
      <w:r w:rsidRPr="00D50FBC">
        <w:t>create a more digitally-enabled and responsive government.</w:t>
      </w:r>
    </w:p>
    <w:p w14:paraId="4F046828" w14:textId="77777777" w:rsidR="00CC50EC" w:rsidRDefault="00CC50EC">
      <w:pPr>
        <w:spacing w:before="0" w:after="160" w:line="259" w:lineRule="auto"/>
        <w:rPr>
          <w:rFonts w:eastAsiaTheme="majorEastAsia" w:cstheme="majorBidi"/>
          <w:b/>
          <w:color w:val="000000" w:themeColor="text1"/>
          <w:sz w:val="52"/>
          <w:szCs w:val="32"/>
        </w:rPr>
      </w:pPr>
      <w:r>
        <w:br w:type="page"/>
      </w:r>
    </w:p>
    <w:p w14:paraId="2016C62A" w14:textId="16E44A55" w:rsidR="00557D7B" w:rsidRDefault="00557D7B" w:rsidP="00F221BC">
      <w:pPr>
        <w:pStyle w:val="Heading1"/>
      </w:pPr>
      <w:r>
        <w:lastRenderedPageBreak/>
        <w:t>Acting Director-General Message</w:t>
      </w:r>
    </w:p>
    <w:p w14:paraId="24BCF8B9" w14:textId="77777777" w:rsidR="00557D7B" w:rsidRPr="00431C33" w:rsidRDefault="00557D7B" w:rsidP="00557D7B">
      <w:r w:rsidRPr="00431C33">
        <w:t>Welcome to the 2022–23 Annual Report for the Department of Transport and Main Roads (TMR).</w:t>
      </w:r>
    </w:p>
    <w:p w14:paraId="009EA548" w14:textId="77777777" w:rsidR="00557D7B" w:rsidRPr="00431C33" w:rsidRDefault="00557D7B" w:rsidP="00557D7B">
      <w:r w:rsidRPr="00431C33">
        <w:t>The past year has been one of significant change and development for TMR. Machinery-of government changes, effective 18 May 2023, saw us welcome the Queensland Government Customer and Digital Group into the department. This change has provided an opportunity for us to strengthen our services and broaden our focus as we work to deliver on the Government’s commitments.</w:t>
      </w:r>
    </w:p>
    <w:p w14:paraId="613766FD" w14:textId="77777777" w:rsidR="00557D7B" w:rsidRPr="00431C33" w:rsidRDefault="00557D7B" w:rsidP="00557D7B">
      <w:r w:rsidRPr="00431C33">
        <w:t xml:space="preserve">I also </w:t>
      </w:r>
      <w:r>
        <w:t>w</w:t>
      </w:r>
      <w:r w:rsidRPr="00431C33">
        <w:t xml:space="preserve">anted to acknowledge the service of my predecessor, Neil Scales. Prior to his retirement on </w:t>
      </w:r>
      <w:r w:rsidRPr="00431C33">
        <w:br/>
        <w:t>3 June 2023 Neil served as Director-General of TMR for more than a decade. Under Neil's visionary leadership TMR worked in partnership with industry to deliver world-class infrastructure and explored new innovations to keep our customers safe, informed, and connected. It is a privilege for me to continue this work in my role as Acting Director-General.</w:t>
      </w:r>
    </w:p>
    <w:p w14:paraId="2576DBB8" w14:textId="77777777" w:rsidR="00557D7B" w:rsidRPr="00431C33" w:rsidRDefault="00557D7B" w:rsidP="00557D7B">
      <w:r w:rsidRPr="00431C33">
        <w:t>This year's Annual Report reflects on the different ways we're delivering on our strategic objectives, against a backdrop of economic uncertainty and change. Understanding our challenges, embracing technology, and realising the full potential of our strategic partnerships has contributed to our goal of a single integrated network accessible to everyone.</w:t>
      </w:r>
    </w:p>
    <w:p w14:paraId="5BD7DEAF" w14:textId="77777777" w:rsidR="00557D7B" w:rsidRPr="00431C33" w:rsidRDefault="00557D7B" w:rsidP="00557D7B">
      <w:r w:rsidRPr="00431C33">
        <w:t xml:space="preserve">The scale and diversity of what we deliver would not be possible without our talented and dedicated people. Their hard work, commitment, and advocacy supports our customers to stay safe, informed, and connected, with more options to access services and travel than ever before.  </w:t>
      </w:r>
    </w:p>
    <w:p w14:paraId="0386CC4D" w14:textId="77777777" w:rsidR="00557D7B" w:rsidRPr="00B83B67" w:rsidRDefault="00557D7B" w:rsidP="00557D7B">
      <w:pPr>
        <w:pStyle w:val="Heading3"/>
      </w:pPr>
      <w:r w:rsidRPr="00B83B67">
        <w:t>Investing in our future transport needs</w:t>
      </w:r>
    </w:p>
    <w:p w14:paraId="65584896" w14:textId="77777777" w:rsidR="00557D7B" w:rsidRPr="00844780" w:rsidRDefault="00557D7B" w:rsidP="00557D7B">
      <w:r w:rsidRPr="00844780">
        <w:t xml:space="preserve">There are many factors we need to consider when planning for future growth including rapid advances in technology and energy, network resilience, and the changing needs of our customers. </w:t>
      </w:r>
    </w:p>
    <w:p w14:paraId="06E59F8D" w14:textId="77777777" w:rsidR="00557D7B" w:rsidRPr="00844780" w:rsidRDefault="00557D7B" w:rsidP="00557D7B">
      <w:r w:rsidRPr="00844780">
        <w:t>The Queensland Transport and Roads Investment Program (QTRIP) 2023</w:t>
      </w:r>
      <w:r>
        <w:t>–</w:t>
      </w:r>
      <w:r w:rsidRPr="00844780">
        <w:t>24 to 2026</w:t>
      </w:r>
      <w:r>
        <w:t>–</w:t>
      </w:r>
      <w:r w:rsidRPr="00844780">
        <w:t>27 outlines a $32.1 billion program to deliver the best value investments for Queensland’s needs into the future, while continuing to support 25,200 jobs over the next four years.</w:t>
      </w:r>
    </w:p>
    <w:p w14:paraId="32269DC5" w14:textId="77777777" w:rsidR="00557D7B" w:rsidRPr="00844780" w:rsidRDefault="00557D7B" w:rsidP="00557D7B">
      <w:r w:rsidRPr="00844780">
        <w:t xml:space="preserve">A range of major road projects are being delivered across the state under QTRIP including the Coomera Connector, Bruce Highway Upgrade Program including Caboolture-Bribie Island Road to Steve Irwin Way upgrade, and Rockhampton Ring Road. There will also be significant investment in bus infrastructure and maritime infrastructure, as well as cycling and walking infrastructure delivered through the Active Transport Program. </w:t>
      </w:r>
    </w:p>
    <w:p w14:paraId="0E7F553A" w14:textId="77777777" w:rsidR="00557D7B" w:rsidRPr="00844780" w:rsidRDefault="00557D7B" w:rsidP="00557D7B">
      <w:r w:rsidRPr="00844780">
        <w:t xml:space="preserve">TMR is also investing in rail at record levels to deliver better journeys for Queenslanders. Priority projects include Logan and Gold Coast Faster Rail and Gold Coast Light Rail Stage Three. </w:t>
      </w:r>
    </w:p>
    <w:p w14:paraId="45F5508F" w14:textId="77777777" w:rsidR="00557D7B" w:rsidRPr="00844780" w:rsidRDefault="00557D7B" w:rsidP="00557D7B">
      <w:r w:rsidRPr="00844780">
        <w:t>The QTRIP 2023</w:t>
      </w:r>
      <w:r>
        <w:t>–</w:t>
      </w:r>
      <w:r w:rsidRPr="00844780">
        <w:t>24 to 2026</w:t>
      </w:r>
      <w:r>
        <w:t>–</w:t>
      </w:r>
      <w:r w:rsidRPr="00844780">
        <w:t>27 includes $</w:t>
      </w:r>
      <w:r>
        <w:t>9.5</w:t>
      </w:r>
      <w:r w:rsidRPr="00844780">
        <w:t xml:space="preserve"> billion for the Queensland Train Manufacturing Program (QTMP). This program will build 65 new six-car passenger trains at a purpose-built manufacturing facility at Torbanlea, supporting South East Queensland’s population and economic growth, as well as Cross River Rail and the Brisbane 2032 Olympic and Paralympic Games.</w:t>
      </w:r>
    </w:p>
    <w:p w14:paraId="6F206A85" w14:textId="77777777" w:rsidR="00557D7B" w:rsidRPr="00B83B67" w:rsidRDefault="00557D7B" w:rsidP="00557D7B">
      <w:pPr>
        <w:pStyle w:val="Heading3"/>
      </w:pPr>
      <w:r w:rsidRPr="00B83B67">
        <w:t>Engaging with industry to deliver for Queenslanders</w:t>
      </w:r>
    </w:p>
    <w:p w14:paraId="49A351B9" w14:textId="77777777" w:rsidR="00557D7B" w:rsidRPr="008E7733" w:rsidRDefault="00557D7B" w:rsidP="00557D7B">
      <w:r w:rsidRPr="008E7733">
        <w:t xml:space="preserve">Keeping pace with evolving technologies is a key focus for TMR to ensure our customers' needs are met. </w:t>
      </w:r>
      <w:r w:rsidRPr="008E7733">
        <w:rPr>
          <w:rStyle w:val="Emphasis"/>
        </w:rPr>
        <w:t>Creating better connections for Queenslanders</w:t>
      </w:r>
      <w:r w:rsidRPr="008E7733">
        <w:t xml:space="preserve"> is a 10-year plan for passenger transport that was developed in collaboration with key stakeholders to ensure services remain reliable, safe, responsive, accessible, and sustainable.</w:t>
      </w:r>
    </w:p>
    <w:p w14:paraId="19830525" w14:textId="77777777" w:rsidR="00557D7B" w:rsidRPr="008E7733" w:rsidRDefault="00557D7B" w:rsidP="00557D7B">
      <w:r w:rsidRPr="008E7733">
        <w:t xml:space="preserve">Providing more choice in how our customers plan and pay for their public transport journeys is a key driver of the Smart Ticketing project. In June 2023, Smart Ticketing payment methods surpassed 150,000 average trips per week and the customer adoption rate continues to strengthen as the system is now live on Queensland’s entire rail network. </w:t>
      </w:r>
    </w:p>
    <w:p w14:paraId="5269153C" w14:textId="77777777" w:rsidR="00557D7B" w:rsidRPr="008E7733" w:rsidRDefault="00557D7B" w:rsidP="00557D7B">
      <w:r w:rsidRPr="008E7733">
        <w:t>In April 2023, the</w:t>
      </w:r>
      <w:r>
        <w:t xml:space="preserve"> Queensland Government launched</w:t>
      </w:r>
      <w:r w:rsidRPr="008E7733">
        <w:t xml:space="preserve"> </w:t>
      </w:r>
      <w:r w:rsidRPr="00F968AC">
        <w:rPr>
          <w:rStyle w:val="Emphasis"/>
        </w:rPr>
        <w:t>Our Thriving Digital Future - Queensland's Digital Economy Strategy and Action Plan</w:t>
      </w:r>
      <w:r w:rsidRPr="008E7733">
        <w:t>. This sets the vision for Queensland’s digital economy to 2032 to boost our competitiveness, bridge the digital divide</w:t>
      </w:r>
      <w:r>
        <w:t>,</w:t>
      </w:r>
      <w:r w:rsidRPr="008E7733">
        <w:t xml:space="preserve"> and unlock the benefits of the digital economy for all Queenslanders.</w:t>
      </w:r>
    </w:p>
    <w:p w14:paraId="246092DD" w14:textId="77777777" w:rsidR="00557D7B" w:rsidRPr="008E7733" w:rsidRDefault="00557D7B" w:rsidP="00557D7B">
      <w:r w:rsidRPr="008E7733">
        <w:lastRenderedPageBreak/>
        <w:t>Speaking of technology, the Digital Licence is an initiative that allows customers the option to access their licence and other government-issued credentials through a mobile device. Expanding the pilot to Townsville in 2023 allowed the department to test the app with a much larger user base, including the largest population of young people outside of South East Queensland.</w:t>
      </w:r>
    </w:p>
    <w:p w14:paraId="27EEE9A0" w14:textId="77777777" w:rsidR="00557D7B" w:rsidRPr="008E7733" w:rsidRDefault="00557D7B" w:rsidP="00557D7B">
      <w:r w:rsidRPr="008E7733">
        <w:t xml:space="preserve">We also reinforced our commitment to improving accessibility for everyone using the passenger transport network through the publication of our </w:t>
      </w:r>
      <w:r w:rsidRPr="00656DAB">
        <w:rPr>
          <w:rStyle w:val="Emphasis"/>
        </w:rPr>
        <w:t>Interim Disability Action Plan 2023–2024</w:t>
      </w:r>
      <w:r w:rsidRPr="008E7733">
        <w:t>. Key actions of the new Plan include planning for accessible transport for the Brisbane 2032 Olympic and Paralympic Games and funding to upgrade existing, and provide new, accessible passenger transport infrastructure.</w:t>
      </w:r>
    </w:p>
    <w:p w14:paraId="13856197" w14:textId="77777777" w:rsidR="00557D7B" w:rsidRPr="008E7733" w:rsidRDefault="00557D7B" w:rsidP="00557D7B">
      <w:r w:rsidRPr="008E7733">
        <w:t>TMR continues to invest in and benefit from our strong and productive partnerships with industry. Our former Director-General hosted the first ever joint TMR and Austroads Seminar in February 2023, which brought more than 100 transport leaders together from across Australia and New Zealand, state and federal governments to discuss how we can work together to make our transport networks more resilient.</w:t>
      </w:r>
    </w:p>
    <w:p w14:paraId="7EFD95C0" w14:textId="77777777" w:rsidR="00557D7B" w:rsidRPr="008E7733" w:rsidRDefault="00557D7B" w:rsidP="00557D7B">
      <w:r w:rsidRPr="008E7733">
        <w:t>In 2022–23, TMR also worked closely with industry groups to develop new and updated specifications and technical notes to assist industry in delivering effectively for all Queenslanders.</w:t>
      </w:r>
    </w:p>
    <w:p w14:paraId="6166D3EB" w14:textId="77777777" w:rsidR="00557D7B" w:rsidRPr="00B83B67" w:rsidRDefault="00557D7B" w:rsidP="00557D7B">
      <w:pPr>
        <w:pStyle w:val="Heading3"/>
      </w:pPr>
      <w:r w:rsidRPr="00B83B67">
        <w:t>Working to keep government and communities safe</w:t>
      </w:r>
    </w:p>
    <w:p w14:paraId="40DCD13D" w14:textId="77777777" w:rsidR="00557D7B" w:rsidRPr="00865F35" w:rsidRDefault="00557D7B" w:rsidP="00557D7B">
      <w:r w:rsidRPr="00865F35">
        <w:t>Providing a safe and secure transport system and safe workplaces for our people are key strategic objectives for TMR, as well as being an important way we contribute to the Queensland Government's objectives for the community.</w:t>
      </w:r>
    </w:p>
    <w:p w14:paraId="7253D617" w14:textId="77777777" w:rsidR="00557D7B" w:rsidRPr="00865F35" w:rsidRDefault="00557D7B" w:rsidP="00557D7B">
      <w:r w:rsidRPr="00865F35">
        <w:t xml:space="preserve">During 2022–23, the targeted road safety program delivered $439 million in safety treatments across Queensland to remedy locations with a significant crash history or other identified safety issues. </w:t>
      </w:r>
    </w:p>
    <w:p w14:paraId="154934C2" w14:textId="77777777" w:rsidR="00557D7B" w:rsidRPr="00865F35" w:rsidRDefault="00557D7B" w:rsidP="00557D7B">
      <w:r w:rsidRPr="00865F35">
        <w:t>TMR also committed $40 million to deliver School Transport Infrastructure Program projects from 2022–23 to 2025–26, delivering enhanced infrastructure to improve the safety and operation of schools.</w:t>
      </w:r>
    </w:p>
    <w:p w14:paraId="3479A874" w14:textId="77777777" w:rsidR="00557D7B" w:rsidRPr="00865F35" w:rsidRDefault="00557D7B" w:rsidP="00557D7B">
      <w:r w:rsidRPr="00865F35">
        <w:t>During 2022–23, TMR’s StreetSmarts initiative delivered several campaigns to improve road safety in Queensland. These included an initiative to promote new road rules and increased penalties for e-scooters and e-bikes and an awareness campaign promoting new laws for drivers passing stationary emergency vehicles.</w:t>
      </w:r>
    </w:p>
    <w:p w14:paraId="3A4049E6" w14:textId="77777777" w:rsidR="00557D7B" w:rsidRPr="00865F35" w:rsidRDefault="00557D7B" w:rsidP="00557D7B">
      <w:r w:rsidRPr="00865F35">
        <w:t xml:space="preserve">In addition to mandating driver barriers for all new contracted urban buses purchased from 1 July 2022, TMR's Translink Division is working with its delivery partners to support the implementation of bus driver safety barriers on the existing urban bus fleet. </w:t>
      </w:r>
    </w:p>
    <w:p w14:paraId="4F5FDBA3" w14:textId="77777777" w:rsidR="00557D7B" w:rsidRPr="00865F35" w:rsidRDefault="00557D7B" w:rsidP="00557D7B">
      <w:r w:rsidRPr="00865F35">
        <w:t>Translink also sought funding to implement a rollout of Network Officers employed by service delivery partners. In January 2023, a $60 million funding package for additional enforcement officers was announced, and recruitment for the first cohort of Network Officers commenced in February 2023. The first Network Officers commenced operations on the network in May 2023.</w:t>
      </w:r>
    </w:p>
    <w:p w14:paraId="2B79E950" w14:textId="77777777" w:rsidR="00557D7B" w:rsidRPr="00865F35" w:rsidRDefault="00557D7B" w:rsidP="00557D7B">
      <w:r w:rsidRPr="00865F35">
        <w:t>Working in partnership with the Queensland Police Service, the surface transport industry, and local, state, and Australian governments is vital in preparing for, preventing, responding to, and recovering from significant security incidents. Technology Asset Disaster Recovery Plans continue to play a vital role in ensuring the department maintains resilient and highly available technology systems that support frontline employees and ensures essential services are provided to the community</w:t>
      </w:r>
      <w:r>
        <w:t>.</w:t>
      </w:r>
    </w:p>
    <w:p w14:paraId="7EF86784" w14:textId="77777777" w:rsidR="00557D7B" w:rsidRPr="00B83B67" w:rsidRDefault="00557D7B" w:rsidP="00557D7B">
      <w:pPr>
        <w:pStyle w:val="Heading3"/>
      </w:pPr>
      <w:r w:rsidRPr="00B83B67">
        <w:t>Providing opportunities for First Nations' peoples and communities</w:t>
      </w:r>
    </w:p>
    <w:p w14:paraId="1AA841C5" w14:textId="77777777" w:rsidR="00557D7B" w:rsidRPr="0083185B" w:rsidRDefault="00557D7B" w:rsidP="00557D7B">
      <w:r w:rsidRPr="0083185B">
        <w:t xml:space="preserve">I am proud to lead an organisation with a rich history of partnering with First Nations communities and businesses to deliver training and employment opportunities. </w:t>
      </w:r>
    </w:p>
    <w:p w14:paraId="43EFDE22" w14:textId="77777777" w:rsidR="00557D7B" w:rsidRPr="0083185B" w:rsidRDefault="00557D7B" w:rsidP="00557D7B">
      <w:r w:rsidRPr="0083185B">
        <w:t xml:space="preserve">TMR is committed to delivering social, environmental, and economic outcomes through the </w:t>
      </w:r>
      <w:r w:rsidRPr="0083185B">
        <w:rPr>
          <w:rStyle w:val="Emphasis"/>
        </w:rPr>
        <w:t>Queensland Procurement Policy</w:t>
      </w:r>
      <w:r w:rsidRPr="0083185B">
        <w:t xml:space="preserve"> and </w:t>
      </w:r>
      <w:r w:rsidRPr="0083185B">
        <w:rPr>
          <w:rStyle w:val="Emphasis"/>
        </w:rPr>
        <w:t>Queensland Indigenous Procurement Policy</w:t>
      </w:r>
      <w:r>
        <w:rPr>
          <w:rStyle w:val="Emphasis"/>
        </w:rPr>
        <w:t>.</w:t>
      </w:r>
      <w:r w:rsidRPr="0083185B">
        <w:t xml:space="preserve"> </w:t>
      </w:r>
      <w:r>
        <w:t xml:space="preserve">In 2022–23, </w:t>
      </w:r>
      <w:r w:rsidRPr="0083185B">
        <w:t>goods and services were procured from 2698 regional suppliers contributing over $2.65 billion directly into local regional economies and $47.9 million directly to First Nations businesses.</w:t>
      </w:r>
    </w:p>
    <w:p w14:paraId="6429A7B3" w14:textId="77777777" w:rsidR="00557D7B" w:rsidRPr="0083185B" w:rsidRDefault="00557D7B" w:rsidP="00557D7B">
      <w:r w:rsidRPr="0083185B">
        <w:t>In 2022–23, TMR continued the delivery of Cape York Region Package Stage 2. In line with the Peninsula Developmental Road Indigenous Land Use Agreement, TMR’s contractors achieved 27,266 hours of training and upskilling, exceeding the contract targets by more than double with an additional 16,720 hours provided, boosting work opportunities for First Nations peoples in the region.</w:t>
      </w:r>
    </w:p>
    <w:p w14:paraId="2D1366B4" w14:textId="77777777" w:rsidR="00557D7B" w:rsidRDefault="00557D7B" w:rsidP="00557D7B">
      <w:r w:rsidRPr="0083185B">
        <w:t>In 2022</w:t>
      </w:r>
      <w:r>
        <w:t>–</w:t>
      </w:r>
      <w:r w:rsidRPr="0083185B">
        <w:t xml:space="preserve">23, TMR demonstrated its commitment to delivering the </w:t>
      </w:r>
      <w:r w:rsidRPr="00673D2D">
        <w:rPr>
          <w:rStyle w:val="Emphasis"/>
        </w:rPr>
        <w:t>Queensland Government’s Reconciliation Action Plan 2023–25</w:t>
      </w:r>
      <w:r w:rsidRPr="0083185B">
        <w:t xml:space="preserve"> by standing up an Indigenous Strategy Working Group and a departmental internal First Nations Reference Group. The groups </w:t>
      </w:r>
      <w:r w:rsidRPr="0083185B">
        <w:lastRenderedPageBreak/>
        <w:t>are working in partnership to develop a forward-looking strategy and action plan which focuses on reframing the relationship as we continue towards reconciliation and begin the path to Treaty.</w:t>
      </w:r>
    </w:p>
    <w:p w14:paraId="5C57D7B6" w14:textId="77777777" w:rsidR="00557D7B" w:rsidRPr="0083185B" w:rsidRDefault="00557D7B" w:rsidP="00557D7B">
      <w:r w:rsidRPr="00D73232">
        <w:t xml:space="preserve">QGCDG established an exciting initiative between the Queensland Government and Microsoft Australia to partner to deliver the First Nations Digital Careers Program. </w:t>
      </w:r>
    </w:p>
    <w:p w14:paraId="30FB5688" w14:textId="77777777" w:rsidR="00557D7B" w:rsidRPr="0083185B" w:rsidRDefault="00557D7B" w:rsidP="00557D7B">
      <w:r w:rsidRPr="0083185B">
        <w:t xml:space="preserve">We are working to improve digital opportunities and telecommunications for First Nations communities across </w:t>
      </w:r>
      <w:r w:rsidRPr="00F35DFA">
        <w:t>Qu</w:t>
      </w:r>
      <w:r>
        <w:t>e</w:t>
      </w:r>
      <w:r w:rsidRPr="00F35DFA">
        <w:t>ensland including supporting the establishment of community op</w:t>
      </w:r>
      <w:r>
        <w:t>e</w:t>
      </w:r>
      <w:r w:rsidRPr="00F35DFA">
        <w:t>rated digital service centres on country in Cherbourg and Palm Island</w:t>
      </w:r>
      <w:r w:rsidRPr="0083185B">
        <w:t>. Looking ahead to 2023</w:t>
      </w:r>
      <w:r>
        <w:t>–</w:t>
      </w:r>
      <w:r w:rsidRPr="0083185B">
        <w:t>24, we will continue to support activities that promote digital access, affordability, and digital inclusion, including the development of a First Nations digital strategic plan.</w:t>
      </w:r>
    </w:p>
    <w:p w14:paraId="35336B16" w14:textId="77777777" w:rsidR="00557D7B" w:rsidRPr="00B83B67" w:rsidRDefault="00557D7B" w:rsidP="00557D7B">
      <w:pPr>
        <w:pStyle w:val="Heading3"/>
      </w:pPr>
      <w:r w:rsidRPr="00B83B67">
        <w:t>Our people: building a culture of safety, learning, and commitment</w:t>
      </w:r>
    </w:p>
    <w:p w14:paraId="109FF001" w14:textId="77777777" w:rsidR="00557D7B" w:rsidRPr="000042E6" w:rsidRDefault="00557D7B" w:rsidP="00557D7B">
      <w:r w:rsidRPr="000042E6">
        <w:t xml:space="preserve">Creating an environment where our people feel safe, valued, and supported in their work is fundamental to who we are as an organisation. </w:t>
      </w:r>
    </w:p>
    <w:p w14:paraId="62C71500" w14:textId="77777777" w:rsidR="00557D7B" w:rsidRPr="000042E6" w:rsidRDefault="00557D7B" w:rsidP="00557D7B">
      <w:r w:rsidRPr="000042E6">
        <w:rPr>
          <w:rStyle w:val="Emphasis"/>
        </w:rPr>
        <w:t>TMR’s Learning Strategy 2021–2024</w:t>
      </w:r>
      <w:r w:rsidRPr="000042E6">
        <w:t xml:space="preserve"> underpins the growth of our learning and development culture through targeted initiatives in areas including leadership, graduate development, and mentoring. The Strategy also identifies digital and data as a priority capability, with programs for staff including a guided learning pathway of eLearning courses and a web-based digital capability self-assessment tool.</w:t>
      </w:r>
    </w:p>
    <w:p w14:paraId="0A7D9B83" w14:textId="77777777" w:rsidR="00557D7B" w:rsidRPr="000042E6" w:rsidRDefault="00557D7B" w:rsidP="00557D7B">
      <w:r w:rsidRPr="000042E6">
        <w:t>We are providing support, opportunities</w:t>
      </w:r>
      <w:r>
        <w:t>,</w:t>
      </w:r>
      <w:r w:rsidRPr="000042E6">
        <w:t xml:space="preserve"> and career pathways through our Women in Maritime Committee and Women in Engineering, RoadTek Women in construction, and Women in project management programs. </w:t>
      </w:r>
    </w:p>
    <w:p w14:paraId="0FC3A365" w14:textId="77777777" w:rsidR="00557D7B" w:rsidRPr="000042E6" w:rsidRDefault="00557D7B" w:rsidP="00557D7B">
      <w:r w:rsidRPr="000042E6">
        <w:t xml:space="preserve">We are also continuing to ensure that we have a diverse workforce and workplaces that are inclusive for all, through the support of our Indigenous Employee Network and guidance from our </w:t>
      </w:r>
      <w:r w:rsidRPr="000042E6">
        <w:rPr>
          <w:rStyle w:val="Emphasis"/>
        </w:rPr>
        <w:t>LGBTIQ+ Plan 2021–2023</w:t>
      </w:r>
      <w:r w:rsidRPr="000042E6">
        <w:t xml:space="preserve">, and </w:t>
      </w:r>
      <w:r w:rsidRPr="000042E6">
        <w:rPr>
          <w:rStyle w:val="Emphasis"/>
        </w:rPr>
        <w:t>Disability Service Plan 2022–2025</w:t>
      </w:r>
      <w:r w:rsidRPr="000042E6">
        <w:t xml:space="preserve">. The </w:t>
      </w:r>
      <w:r w:rsidRPr="000042E6">
        <w:rPr>
          <w:rStyle w:val="Emphasis"/>
        </w:rPr>
        <w:t>TMR Gender Equity Plan 2022–2024</w:t>
      </w:r>
      <w:r w:rsidRPr="000042E6">
        <w:t xml:space="preserve"> supports progress towards a gender equal workplace and reaffirms TMR’s roadmap for the future.</w:t>
      </w:r>
    </w:p>
    <w:p w14:paraId="5F601303" w14:textId="77777777" w:rsidR="00557D7B" w:rsidRPr="000042E6" w:rsidRDefault="00557D7B" w:rsidP="00557D7B">
      <w:r w:rsidRPr="000042E6">
        <w:t xml:space="preserve">Throughout 2022–23, TMR delivered a range of programs and initiatives to support the health and wellbeing of our people, with a focus on tools and resources to enable our employees to manage their own wellbeing and overcome challenges. </w:t>
      </w:r>
    </w:p>
    <w:p w14:paraId="03C63236" w14:textId="77777777" w:rsidR="00557D7B" w:rsidRPr="000042E6" w:rsidRDefault="00557D7B" w:rsidP="00557D7B">
      <w:r w:rsidRPr="000042E6">
        <w:t xml:space="preserve">This included the development of a </w:t>
      </w:r>
      <w:r w:rsidRPr="000042E6">
        <w:rPr>
          <w:rStyle w:val="Emphasis"/>
        </w:rPr>
        <w:t>TMR Workplace Psychological Health Framework</w:t>
      </w:r>
      <w:r w:rsidRPr="000042E6">
        <w:t xml:space="preserve"> to support the </w:t>
      </w:r>
      <w:r w:rsidRPr="000042E6">
        <w:rPr>
          <w:rStyle w:val="Emphasis"/>
        </w:rPr>
        <w:t>TMR Mental Health and Wellbeing Strategy</w:t>
      </w:r>
      <w:r w:rsidRPr="000042E6">
        <w:t xml:space="preserve"> and elevate the management of workplace psychological health. We also partnered with Griffith University to design and deliver training to support the safety and wellbeing of our frontline employees.</w:t>
      </w:r>
    </w:p>
    <w:p w14:paraId="6580E61B" w14:textId="77777777" w:rsidR="00557D7B" w:rsidRPr="000042E6" w:rsidRDefault="00557D7B" w:rsidP="00557D7B">
      <w:r w:rsidRPr="000042E6">
        <w:t xml:space="preserve">Our internal CUBIE awards are always a highlight on the TMR calendar, and 2022 was no exception as we came together to recognise and celebrate the outstanding achievements of our colleagues from across the department. </w:t>
      </w:r>
    </w:p>
    <w:p w14:paraId="1D088542" w14:textId="77777777" w:rsidR="00557D7B" w:rsidRPr="000042E6" w:rsidRDefault="00557D7B" w:rsidP="00557D7B">
      <w:r w:rsidRPr="000042E6">
        <w:t>Other achievements included Maritime Safety Queensland being named as a finalist for the Maritime Services Award, The ODIN Pass Mobility as a Service trial winning the prestigious UQ Award for Excellence in Innovation, and a strong representation by TMR staff in the Ready Reserve Reward and Recognition Awards</w:t>
      </w:r>
    </w:p>
    <w:p w14:paraId="6AECFA95" w14:textId="77777777" w:rsidR="00557D7B" w:rsidRPr="00B83B67" w:rsidRDefault="00557D7B" w:rsidP="00557D7B">
      <w:pPr>
        <w:pStyle w:val="Heading3"/>
      </w:pPr>
      <w:r>
        <w:t>Adapting to the changing needs of Queenslanders</w:t>
      </w:r>
    </w:p>
    <w:p w14:paraId="20561C85" w14:textId="77777777" w:rsidR="00557D7B" w:rsidRPr="00CD7724" w:rsidRDefault="00557D7B" w:rsidP="00557D7B">
      <w:r w:rsidRPr="00CD7724">
        <w:t xml:space="preserve">In summary, I think the past 12 months has shown yet again that organisations of all types need to be agile and adaptable to meet the changing demands of our growing population. </w:t>
      </w:r>
    </w:p>
    <w:p w14:paraId="2290CD7F" w14:textId="77777777" w:rsidR="00557D7B" w:rsidRPr="00CD7724" w:rsidRDefault="00557D7B" w:rsidP="00557D7B">
      <w:r w:rsidRPr="00CD7724">
        <w:t>At TMR we understand that needs change over time, and that's why we're consulting, planning, investing, partnering, and innovating to ensure we can deliver the networks and services to keep people connected well into the future.</w:t>
      </w:r>
    </w:p>
    <w:p w14:paraId="282836F0" w14:textId="77777777" w:rsidR="00557D7B" w:rsidRPr="00CD7724" w:rsidRDefault="00557D7B" w:rsidP="00557D7B">
      <w:r w:rsidRPr="00CD7724">
        <w:t>A great example of this is the Queensland Government Bus Services Growth Program which is providing Queenslanders with 2177 new bus services every week and extending 1881 existing bus services.</w:t>
      </w:r>
    </w:p>
    <w:p w14:paraId="29D058B3" w14:textId="77777777" w:rsidR="00557D7B" w:rsidRPr="00CD7724" w:rsidRDefault="00557D7B" w:rsidP="00557D7B">
      <w:r w:rsidRPr="00CD7724">
        <w:t>The new and improved routes are delivered to growing communities that need them most. Approximately 40,000 residents are now provided with access to public transport within 400 metres of their homes for the first time and more than 100 new bus stops are also being delivered.</w:t>
      </w:r>
    </w:p>
    <w:p w14:paraId="38E797C1" w14:textId="77777777" w:rsidR="00557D7B" w:rsidRPr="00CD7724" w:rsidRDefault="00557D7B" w:rsidP="00557D7B">
      <w:r w:rsidRPr="00CD7724">
        <w:t>As we move forward, I am proud of the considerable knowledge and expertise of our people and partnerships and thankful for the opportunity to make a difference for the people of Queensland.</w:t>
      </w:r>
    </w:p>
    <w:p w14:paraId="27B5A0F4" w14:textId="77777777" w:rsidR="00557D7B" w:rsidRPr="00A21D0B" w:rsidRDefault="00557D7B" w:rsidP="00557D7B"/>
    <w:p w14:paraId="69F83CEC" w14:textId="56F39168" w:rsidR="00EC1C36" w:rsidRDefault="00557D7B" w:rsidP="00EC1C36">
      <w:r w:rsidRPr="00E11C52">
        <w:rPr>
          <w:rStyle w:val="Strong"/>
        </w:rPr>
        <w:t>Sally Stannard</w:t>
      </w:r>
      <w:r w:rsidR="00EC1C36">
        <w:rPr>
          <w:rStyle w:val="Strong"/>
        </w:rPr>
        <w:t xml:space="preserve"> </w:t>
      </w:r>
      <w:r w:rsidR="00EC1C36">
        <w:rPr>
          <w:rStyle w:val="Strong"/>
        </w:rPr>
        <w:br/>
      </w:r>
      <w:r w:rsidRPr="00A21D0B">
        <w:t>Acting Director-General</w:t>
      </w:r>
      <w:r w:rsidR="00EC1C36">
        <w:t xml:space="preserve"> </w:t>
      </w:r>
      <w:r w:rsidR="00EC1C36">
        <w:br/>
      </w:r>
      <w:r w:rsidRPr="00A21D0B">
        <w:t>Department of Transport and Main Roads</w:t>
      </w:r>
    </w:p>
    <w:p w14:paraId="13EF66EE" w14:textId="77777777" w:rsidR="00C6602D" w:rsidRDefault="00C6602D">
      <w:pPr>
        <w:spacing w:before="0" w:after="160" w:line="259" w:lineRule="auto"/>
        <w:rPr>
          <w:rFonts w:eastAsiaTheme="majorEastAsia" w:cstheme="majorBidi"/>
          <w:b/>
          <w:color w:val="000000" w:themeColor="text1"/>
          <w:sz w:val="52"/>
          <w:szCs w:val="32"/>
        </w:rPr>
      </w:pPr>
      <w:r>
        <w:br w:type="page"/>
      </w:r>
    </w:p>
    <w:p w14:paraId="1A5C8CB0" w14:textId="1DD1C7EC" w:rsidR="006600C1" w:rsidRDefault="006600C1" w:rsidP="00F221BC">
      <w:pPr>
        <w:pStyle w:val="Heading1"/>
      </w:pPr>
      <w:r>
        <w:lastRenderedPageBreak/>
        <w:t>Chief Finance Officer's Report</w:t>
      </w:r>
    </w:p>
    <w:p w14:paraId="6B8E0DF8" w14:textId="77777777" w:rsidR="006600C1" w:rsidRPr="000658D3" w:rsidRDefault="006600C1" w:rsidP="006600C1">
      <w:pPr>
        <w:pStyle w:val="Heading2"/>
        <w:rPr>
          <w:lang w:val="en-AU"/>
        </w:rPr>
      </w:pPr>
      <w:r w:rsidRPr="000658D3">
        <w:rPr>
          <w:lang w:val="en-AU"/>
        </w:rPr>
        <w:t>Summary</w:t>
      </w:r>
    </w:p>
    <w:p w14:paraId="43BAD3F0" w14:textId="77777777" w:rsidR="006600C1" w:rsidRPr="006764B1" w:rsidRDefault="006600C1" w:rsidP="006600C1">
      <w:r w:rsidRPr="006764B1">
        <w:t xml:space="preserve">The Department of Transport and Main Road's </w:t>
      </w:r>
      <w:r w:rsidRPr="000537D5">
        <w:rPr>
          <w:rStyle w:val="Emphasis"/>
        </w:rPr>
        <w:t>Financial Sustainability Plan 2022–26</w:t>
      </w:r>
      <w:r w:rsidRPr="006764B1">
        <w:t xml:space="preserve"> supports the department’s strategic priorities through maintaining a strong financial framework, investing in priorities, providing revenue assurance</w:t>
      </w:r>
      <w:r>
        <w:t>,</w:t>
      </w:r>
      <w:r w:rsidRPr="006764B1">
        <w:t xml:space="preserve"> and achieving value for money. Through business partnering and digital transformation, TMR's Finance and Procurement function leads and shapes innovative solutions to deliver an integrated transport network accessible to everyone.  </w:t>
      </w:r>
    </w:p>
    <w:p w14:paraId="716166F1" w14:textId="77777777" w:rsidR="006600C1" w:rsidRPr="006764B1" w:rsidRDefault="006600C1" w:rsidP="006600C1">
      <w:r w:rsidRPr="006764B1">
        <w:t xml:space="preserve">In evidence of TMR's financial sustainability, the department recorded a small operating surplus of $4.996 million in 2022–23. This was predominantly due to increases in pilotage and fare revenue offset by increased depreciation resulting from annual asset revaluations, accelerated capital delivery and increased customer services delivery. </w:t>
      </w:r>
    </w:p>
    <w:p w14:paraId="40B713B4" w14:textId="77777777" w:rsidR="006600C1" w:rsidRPr="006764B1" w:rsidRDefault="006600C1" w:rsidP="006600C1">
      <w:r w:rsidRPr="006764B1">
        <w:t>The department successfully delivered its $4</w:t>
      </w:r>
      <w:r>
        <w:t>.</w:t>
      </w:r>
      <w:r w:rsidRPr="006764B1">
        <w:t xml:space="preserve">520 </w:t>
      </w:r>
      <w:r>
        <w:t>billion</w:t>
      </w:r>
      <w:r w:rsidRPr="006764B1">
        <w:t xml:space="preserve"> capital program (published budget) for a sixth year in a row, due to a number of projects progressing ahead of schedule including the Bruce Highway upgrade, the Pacific Motorway upgrade, Coomera Connector project, Logan and Gold Coast Faster Rail upgrades</w:t>
      </w:r>
      <w:r>
        <w:t>,</w:t>
      </w:r>
      <w:r w:rsidRPr="006764B1">
        <w:t xml:space="preserve"> and Gold Coast Light Rail Stage 3. </w:t>
      </w:r>
    </w:p>
    <w:p w14:paraId="4A7BA673" w14:textId="77777777" w:rsidR="006600C1" w:rsidRPr="006764B1" w:rsidRDefault="006600C1" w:rsidP="006600C1">
      <w:r w:rsidRPr="006764B1">
        <w:t xml:space="preserve">Following on from 2021–22 results, there was continued pressure on the department’s budget arising from a significant </w:t>
      </w:r>
      <w:bookmarkStart w:id="0" w:name="_Hlk143606022"/>
      <w:r w:rsidRPr="006764B1">
        <w:t>increase in construction costs particularly relating to fuel, asphalt, materials such as road fill and bitumen products, plant hire rates</w:t>
      </w:r>
      <w:r>
        <w:t>,</w:t>
      </w:r>
      <w:r w:rsidRPr="006764B1">
        <w:t xml:space="preserve"> and an increase in labour costs due to competitive market conditions.  This has resulted in a </w:t>
      </w:r>
      <w:r>
        <w:t>11.3 per cent</w:t>
      </w:r>
      <w:r w:rsidRPr="006764B1">
        <w:t xml:space="preserve"> increase in the valuation of the department’s infrastructure assets, </w:t>
      </w:r>
      <w:bookmarkEnd w:id="0"/>
      <w:r w:rsidRPr="006764B1">
        <w:t>with gross replacement cost now exceeding $100 billion. This has also led to an associated increase in depreciation of 11.4</w:t>
      </w:r>
      <w:r>
        <w:t>per cent</w:t>
      </w:r>
      <w:r w:rsidRPr="006764B1">
        <w:t xml:space="preserve">, with depreciation recorded at $1.157 billion for the year representing approximately </w:t>
      </w:r>
      <w:r>
        <w:t>one per cent</w:t>
      </w:r>
      <w:r w:rsidRPr="006764B1">
        <w:t xml:space="preserve"> of the total cost base and 15</w:t>
      </w:r>
      <w:r>
        <w:t xml:space="preserve"> per cent</w:t>
      </w:r>
      <w:r w:rsidRPr="006764B1">
        <w:t xml:space="preserve"> of annual expenditure.</w:t>
      </w:r>
    </w:p>
    <w:p w14:paraId="04AD5D40" w14:textId="77777777" w:rsidR="006600C1" w:rsidRPr="006764B1" w:rsidRDefault="006600C1" w:rsidP="006600C1">
      <w:r w:rsidRPr="006764B1">
        <w:t>Public transport continues to see an increase in patronage, with a rise of 34</w:t>
      </w:r>
      <w:r>
        <w:t xml:space="preserve"> per cent</w:t>
      </w:r>
      <w:r w:rsidRPr="006764B1">
        <w:t xml:space="preserve"> in 2022–23, which equates to 38 million more trips than 2021–22 conducted at an average of $1.90 including all mode of transport bus, rail, ferry, and tram. </w:t>
      </w:r>
    </w:p>
    <w:p w14:paraId="09DF2111" w14:textId="77777777" w:rsidR="006600C1" w:rsidRPr="006764B1" w:rsidRDefault="006600C1" w:rsidP="006600C1">
      <w:r w:rsidRPr="006764B1">
        <w:t xml:space="preserve">The department continues to execute on its digital strategy, with the successful implementation of SAP Ariba and SAP Fieldglass as part of its Source to Pay initiative. This project has delivered a digital platform that will enable the transformation of manual payment processes. Benefits are starting to be realised with lower transactional costs and improvement in on time payment rates.    </w:t>
      </w:r>
    </w:p>
    <w:p w14:paraId="50044139" w14:textId="77777777" w:rsidR="006600C1" w:rsidRPr="006764B1" w:rsidRDefault="006600C1" w:rsidP="006600C1">
      <w:r w:rsidRPr="006764B1">
        <w:t xml:space="preserve">The year also saw changes to the department's structure with the transfer in of the functions of the Queensland Government Chief Customer and Digital Officer within the former Department of Communities, Housing and Digital Economy (DCHDE).  The Queensland Government Customer and Digital Group includes the following </w:t>
      </w:r>
      <w:r w:rsidRPr="00DA2B6C">
        <w:t>commercialised business units and shared service providers</w:t>
      </w:r>
      <w:r w:rsidRPr="006764B1">
        <w:t>:</w:t>
      </w:r>
    </w:p>
    <w:p w14:paraId="4E46FC73" w14:textId="77777777" w:rsidR="006600C1" w:rsidRPr="006764B1" w:rsidRDefault="006600C1" w:rsidP="006600C1">
      <w:pPr>
        <w:pStyle w:val="ListBullet"/>
      </w:pPr>
      <w:r w:rsidRPr="006764B1">
        <w:t>Centre for Information Technology and Communications (CITEC)</w:t>
      </w:r>
    </w:p>
    <w:p w14:paraId="144FB254" w14:textId="77777777" w:rsidR="006600C1" w:rsidRPr="006764B1" w:rsidRDefault="006600C1" w:rsidP="006600C1">
      <w:pPr>
        <w:pStyle w:val="ListBullet"/>
      </w:pPr>
      <w:r w:rsidRPr="006764B1">
        <w:t>Queensland Shared Services (QSS)</w:t>
      </w:r>
    </w:p>
    <w:p w14:paraId="5078FF3B" w14:textId="77777777" w:rsidR="006600C1" w:rsidRPr="006764B1" w:rsidRDefault="006600C1" w:rsidP="006600C1">
      <w:pPr>
        <w:pStyle w:val="ListBullet"/>
      </w:pPr>
      <w:r w:rsidRPr="006764B1">
        <w:t>Corporate Administration Agency (CAA).</w:t>
      </w:r>
    </w:p>
    <w:p w14:paraId="4CE4558C" w14:textId="77777777" w:rsidR="006600C1" w:rsidRPr="006764B1" w:rsidRDefault="006600C1" w:rsidP="006600C1">
      <w:r w:rsidRPr="006764B1">
        <w:t xml:space="preserve">As a result of this change net assets valued at $98.853 million comprising mainly of the below were transferred into the department along with 1769 full time equivalent employees. </w:t>
      </w:r>
    </w:p>
    <w:p w14:paraId="6EB2B0E7" w14:textId="77777777" w:rsidR="006600C1" w:rsidRPr="006764B1" w:rsidRDefault="006600C1" w:rsidP="006600C1">
      <w:r w:rsidRPr="006764B1">
        <w:t xml:space="preserve">In accordance with the requirements of section 77(2)(b) of the </w:t>
      </w:r>
      <w:r w:rsidRPr="00DF2778">
        <w:rPr>
          <w:rStyle w:val="Emphasis"/>
        </w:rPr>
        <w:t>Financial Accountability Act 2009</w:t>
      </w:r>
      <w:r w:rsidRPr="006764B1">
        <w:t xml:space="preserve">, I have provided the Director-General with a statement that the financial internal controls of the department are operating efficiently, effectively, and economically in compliance with section 54 of the </w:t>
      </w:r>
      <w:r w:rsidRPr="00DF2778">
        <w:rPr>
          <w:rStyle w:val="Emphasis"/>
        </w:rPr>
        <w:t>Financial and Performance Management Standard 201</w:t>
      </w:r>
      <w:r w:rsidRPr="006764B1">
        <w:t>9.</w:t>
      </w:r>
    </w:p>
    <w:p w14:paraId="42972397" w14:textId="3FBEBDB8" w:rsidR="00A53E9C" w:rsidRDefault="006600C1" w:rsidP="00C6602D">
      <w:pPr>
        <w:rPr>
          <w:rFonts w:eastAsiaTheme="majorEastAsia" w:cstheme="majorBidi"/>
          <w:color w:val="000000" w:themeColor="text1"/>
          <w:sz w:val="48"/>
          <w:szCs w:val="26"/>
          <w:lang w:val="en-AU"/>
        </w:rPr>
      </w:pPr>
      <w:r w:rsidRPr="006764B1">
        <w:t xml:space="preserve">This financial summary provides an overview of the department’s financial results for 2022–23. A comprehensive set of financial statements is provided in this report, which includes an analysis of actual expenditure compared to the published budget, with explanations of major variances. </w:t>
      </w:r>
    </w:p>
    <w:p w14:paraId="2E3CE491" w14:textId="21B89E21" w:rsidR="006600C1" w:rsidRPr="000658D3" w:rsidRDefault="006600C1" w:rsidP="006600C1">
      <w:pPr>
        <w:pStyle w:val="Heading2"/>
        <w:rPr>
          <w:lang w:val="en-AU"/>
        </w:rPr>
      </w:pPr>
      <w:r w:rsidRPr="000658D3">
        <w:rPr>
          <w:lang w:val="en-AU"/>
        </w:rPr>
        <w:t xml:space="preserve">Funding sources </w:t>
      </w:r>
    </w:p>
    <w:p w14:paraId="711952DC" w14:textId="77777777" w:rsidR="006600C1" w:rsidRPr="00CD3373" w:rsidRDefault="006600C1" w:rsidP="006600C1">
      <w:r w:rsidRPr="00CD3373">
        <w:t>Funding to meet departmental operational requirements, and for capital investment in the transport network, is received from the Queensland Government, the department’s own sourced revenue</w:t>
      </w:r>
      <w:r>
        <w:t>,</w:t>
      </w:r>
      <w:r w:rsidRPr="00CD3373">
        <w:t xml:space="preserve"> and allocations from the Australian Government. Funding </w:t>
      </w:r>
      <w:r w:rsidRPr="00CD3373">
        <w:lastRenderedPageBreak/>
        <w:t xml:space="preserve">from government comprises departmental services revenue, equity injections, and allocations from the Australian Government for capital and maintenance works on the National Network. </w:t>
      </w:r>
    </w:p>
    <w:p w14:paraId="738CA6FF" w14:textId="77777777" w:rsidR="006600C1" w:rsidRPr="00CD3373" w:rsidRDefault="006600C1" w:rsidP="006600C1">
      <w:r w:rsidRPr="00CD3373">
        <w:t>Key drivers of the department’s funding include the delivery of capital investment in the roads and transport infrastructure network and in the provision of the department’s key objectives through operational service delivery. In 2022–23, the budgeted revenue for the department was $7</w:t>
      </w:r>
      <w:r>
        <w:t>.</w:t>
      </w:r>
      <w:r w:rsidRPr="00CD3373">
        <w:t xml:space="preserve">382 </w:t>
      </w:r>
      <w:r>
        <w:t>b</w:t>
      </w:r>
      <w:r w:rsidRPr="00CD3373">
        <w:t>illion, and the capital budget was $4</w:t>
      </w:r>
      <w:r>
        <w:t>.</w:t>
      </w:r>
      <w:r w:rsidRPr="00CD3373">
        <w:t>520 </w:t>
      </w:r>
      <w:r>
        <w:t>b</w:t>
      </w:r>
      <w:r w:rsidRPr="00CD3373">
        <w:t xml:space="preserve">illion. </w:t>
      </w:r>
    </w:p>
    <w:p w14:paraId="75EF862F" w14:textId="77777777" w:rsidR="006600C1" w:rsidRPr="000658D3" w:rsidRDefault="006600C1" w:rsidP="006600C1">
      <w:pPr>
        <w:pStyle w:val="Heading2"/>
        <w:rPr>
          <w:lang w:val="en-AU"/>
        </w:rPr>
      </w:pPr>
      <w:r w:rsidRPr="000658D3">
        <w:rPr>
          <w:lang w:val="en-AU"/>
        </w:rPr>
        <w:t>Administered revenue</w:t>
      </w:r>
    </w:p>
    <w:p w14:paraId="74734377" w14:textId="096AA2B1" w:rsidR="00EC1C36" w:rsidRPr="00EC1C36" w:rsidRDefault="006600C1" w:rsidP="00EC1C36">
      <w:r w:rsidRPr="00091257">
        <w:t>The department administers, but does not control, certain resources on behalf of the Queensland Government. The main source of administered revenue is from user charges and fees from motor vehicle registrations and other regulatory fees.</w:t>
      </w:r>
    </w:p>
    <w:p w14:paraId="5455E6A9" w14:textId="591E24B6" w:rsidR="006600C1" w:rsidRPr="000658D3" w:rsidRDefault="006600C1" w:rsidP="006600C1">
      <w:pPr>
        <w:pStyle w:val="Heading2"/>
        <w:rPr>
          <w:lang w:val="en-AU"/>
        </w:rPr>
      </w:pPr>
      <w:r w:rsidRPr="000658D3">
        <w:rPr>
          <w:lang w:val="en-AU"/>
        </w:rPr>
        <w:t>Financial performance</w:t>
      </w:r>
    </w:p>
    <w:p w14:paraId="7E7EB935" w14:textId="77777777" w:rsidR="006600C1" w:rsidRPr="0051759C" w:rsidRDefault="006600C1" w:rsidP="006600C1">
      <w:r w:rsidRPr="0051759C">
        <w:t>The department recorded an operating surplus of $4.996 million for 2022–23. Table 1 summarises the financial results of the department’s operations for the past five financial years.</w:t>
      </w:r>
    </w:p>
    <w:p w14:paraId="5E942D6C" w14:textId="77777777" w:rsidR="006600C1" w:rsidRPr="00B20C24" w:rsidRDefault="006600C1" w:rsidP="006600C1">
      <w:pPr>
        <w:pStyle w:val="TableofFigures"/>
      </w:pPr>
      <w:r w:rsidRPr="00323219">
        <w:t>Table 1: Summary of financial results of the department’s operations</w:t>
      </w:r>
    </w:p>
    <w:tbl>
      <w:tblPr>
        <w:tblStyle w:val="GridTable4-Accent1"/>
        <w:tblW w:w="5000" w:type="pct"/>
        <w:tblLook w:val="04A0" w:firstRow="1" w:lastRow="0" w:firstColumn="1" w:lastColumn="0" w:noHBand="0" w:noVBand="1"/>
      </w:tblPr>
      <w:tblGrid>
        <w:gridCol w:w="2151"/>
        <w:gridCol w:w="1619"/>
        <w:gridCol w:w="4016"/>
        <w:gridCol w:w="2408"/>
      </w:tblGrid>
      <w:tr w:rsidR="006600C1" w:rsidRPr="007E5426" w14:paraId="3AFAB468" w14:textId="77777777" w:rsidTr="00EC1C36">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55" w:type="pct"/>
            <w:noWrap/>
            <w:hideMark/>
          </w:tcPr>
          <w:p w14:paraId="759F7C25" w14:textId="77777777" w:rsidR="006600C1" w:rsidRPr="00593A5B" w:rsidRDefault="006600C1" w:rsidP="00A655E6">
            <w:pPr>
              <w:pStyle w:val="Normal-table"/>
            </w:pPr>
            <w:r w:rsidRPr="00593A5B">
              <w:t>Financial Year</w:t>
            </w:r>
          </w:p>
        </w:tc>
        <w:tc>
          <w:tcPr>
            <w:tcW w:w="794" w:type="pct"/>
            <w:hideMark/>
          </w:tcPr>
          <w:p w14:paraId="026A9793" w14:textId="77777777" w:rsidR="006600C1" w:rsidRPr="00593A5B" w:rsidRDefault="006600C1" w:rsidP="00A655E6">
            <w:pPr>
              <w:pStyle w:val="Normal-table"/>
              <w:cnfStyle w:val="100000000000" w:firstRow="1" w:lastRow="0" w:firstColumn="0" w:lastColumn="0" w:oddVBand="0" w:evenVBand="0" w:oddHBand="0" w:evenHBand="0" w:firstRowFirstColumn="0" w:firstRowLastColumn="0" w:lastRowFirstColumn="0" w:lastRowLastColumn="0"/>
            </w:pPr>
            <w:r w:rsidRPr="00593A5B">
              <w:t>Total Income</w:t>
            </w:r>
          </w:p>
        </w:tc>
        <w:tc>
          <w:tcPr>
            <w:tcW w:w="1970" w:type="pct"/>
            <w:hideMark/>
          </w:tcPr>
          <w:p w14:paraId="4E4586E4" w14:textId="77777777" w:rsidR="006600C1" w:rsidRPr="00593A5B" w:rsidRDefault="006600C1" w:rsidP="00A655E6">
            <w:pPr>
              <w:pStyle w:val="Normal-table"/>
              <w:cnfStyle w:val="100000000000" w:firstRow="1" w:lastRow="0" w:firstColumn="0" w:lastColumn="0" w:oddVBand="0" w:evenVBand="0" w:oddHBand="0" w:evenHBand="0" w:firstRowFirstColumn="0" w:firstRowLastColumn="0" w:lastRowFirstColumn="0" w:lastRowLastColumn="0"/>
            </w:pPr>
            <w:r w:rsidRPr="00593A5B">
              <w:t>Total Expenses</w:t>
            </w:r>
          </w:p>
        </w:tc>
        <w:tc>
          <w:tcPr>
            <w:tcW w:w="1182" w:type="pct"/>
            <w:hideMark/>
          </w:tcPr>
          <w:p w14:paraId="5C54C447" w14:textId="77777777" w:rsidR="006600C1" w:rsidRPr="00593A5B" w:rsidRDefault="006600C1" w:rsidP="00A655E6">
            <w:pPr>
              <w:pStyle w:val="Normal-table"/>
              <w:cnfStyle w:val="100000000000" w:firstRow="1" w:lastRow="0" w:firstColumn="0" w:lastColumn="0" w:oddVBand="0" w:evenVBand="0" w:oddHBand="0" w:evenHBand="0" w:firstRowFirstColumn="0" w:firstRowLastColumn="0" w:lastRowFirstColumn="0" w:lastRowLastColumn="0"/>
            </w:pPr>
            <w:r w:rsidRPr="00593A5B">
              <w:t>Operating result for the year</w:t>
            </w:r>
          </w:p>
        </w:tc>
      </w:tr>
      <w:tr w:rsidR="006600C1" w:rsidRPr="007E5426" w14:paraId="66C90B84" w14:textId="77777777" w:rsidTr="00EC1C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5" w:type="pct"/>
            <w:noWrap/>
            <w:hideMark/>
          </w:tcPr>
          <w:p w14:paraId="3EE7C0BD" w14:textId="77777777" w:rsidR="006600C1" w:rsidRPr="00593A5B" w:rsidRDefault="006600C1" w:rsidP="00A655E6">
            <w:pPr>
              <w:pStyle w:val="Normal-table"/>
            </w:pPr>
            <w:r w:rsidRPr="00593A5B">
              <w:t>2022–23 ($ '000)</w:t>
            </w:r>
          </w:p>
        </w:tc>
        <w:tc>
          <w:tcPr>
            <w:tcW w:w="794" w:type="pct"/>
            <w:noWrap/>
            <w:hideMark/>
          </w:tcPr>
          <w:p w14:paraId="5BD9ED06" w14:textId="77777777" w:rsidR="006600C1" w:rsidRPr="00593A5B" w:rsidRDefault="006600C1" w:rsidP="00A655E6">
            <w:pPr>
              <w:pStyle w:val="Normal-table"/>
              <w:cnfStyle w:val="000000100000" w:firstRow="0" w:lastRow="0" w:firstColumn="0" w:lastColumn="0" w:oddVBand="0" w:evenVBand="0" w:oddHBand="1" w:evenHBand="0" w:firstRowFirstColumn="0" w:firstRowLastColumn="0" w:lastRowFirstColumn="0" w:lastRowLastColumn="0"/>
              <w:rPr>
                <w:highlight w:val="yellow"/>
              </w:rPr>
            </w:pPr>
            <w:r w:rsidRPr="00593A5B">
              <w:t xml:space="preserve"> 7,693,151</w:t>
            </w:r>
          </w:p>
        </w:tc>
        <w:tc>
          <w:tcPr>
            <w:tcW w:w="1970" w:type="pct"/>
            <w:noWrap/>
            <w:hideMark/>
          </w:tcPr>
          <w:p w14:paraId="5266DB44" w14:textId="77777777" w:rsidR="006600C1" w:rsidRPr="00593A5B" w:rsidRDefault="006600C1" w:rsidP="00A655E6">
            <w:pPr>
              <w:pStyle w:val="Normal-table"/>
              <w:cnfStyle w:val="000000100000" w:firstRow="0" w:lastRow="0" w:firstColumn="0" w:lastColumn="0" w:oddVBand="0" w:evenVBand="0" w:oddHBand="1" w:evenHBand="0" w:firstRowFirstColumn="0" w:firstRowLastColumn="0" w:lastRowFirstColumn="0" w:lastRowLastColumn="0"/>
              <w:rPr>
                <w:highlight w:val="yellow"/>
              </w:rPr>
            </w:pPr>
            <w:r w:rsidRPr="00593A5B">
              <w:t>7,688,155</w:t>
            </w:r>
          </w:p>
        </w:tc>
        <w:tc>
          <w:tcPr>
            <w:tcW w:w="1182" w:type="pct"/>
            <w:noWrap/>
            <w:hideMark/>
          </w:tcPr>
          <w:p w14:paraId="4EF6A29C" w14:textId="77777777" w:rsidR="006600C1" w:rsidRPr="00593A5B" w:rsidRDefault="006600C1" w:rsidP="00A655E6">
            <w:pPr>
              <w:pStyle w:val="Normal-table"/>
              <w:cnfStyle w:val="000000100000" w:firstRow="0" w:lastRow="0" w:firstColumn="0" w:lastColumn="0" w:oddVBand="0" w:evenVBand="0" w:oddHBand="1" w:evenHBand="0" w:firstRowFirstColumn="0" w:firstRowLastColumn="0" w:lastRowFirstColumn="0" w:lastRowLastColumn="0"/>
              <w:rPr>
                <w:highlight w:val="yellow"/>
              </w:rPr>
            </w:pPr>
            <w:r w:rsidRPr="00593A5B">
              <w:t xml:space="preserve"> 4,996</w:t>
            </w:r>
            <w:r w:rsidRPr="00593A5B">
              <w:rPr>
                <w:highlight w:val="yellow"/>
              </w:rPr>
              <w:t xml:space="preserve"> </w:t>
            </w:r>
          </w:p>
        </w:tc>
      </w:tr>
      <w:tr w:rsidR="006600C1" w:rsidRPr="007E5426" w14:paraId="74AEC995" w14:textId="77777777" w:rsidTr="00EC1C36">
        <w:trPr>
          <w:trHeight w:val="300"/>
        </w:trPr>
        <w:tc>
          <w:tcPr>
            <w:cnfStyle w:val="001000000000" w:firstRow="0" w:lastRow="0" w:firstColumn="1" w:lastColumn="0" w:oddVBand="0" w:evenVBand="0" w:oddHBand="0" w:evenHBand="0" w:firstRowFirstColumn="0" w:firstRowLastColumn="0" w:lastRowFirstColumn="0" w:lastRowLastColumn="0"/>
            <w:tcW w:w="1055" w:type="pct"/>
            <w:noWrap/>
            <w:hideMark/>
          </w:tcPr>
          <w:p w14:paraId="49CBC6C8" w14:textId="77777777" w:rsidR="006600C1" w:rsidRPr="00593A5B" w:rsidRDefault="006600C1" w:rsidP="00A655E6">
            <w:pPr>
              <w:pStyle w:val="Normal-table"/>
            </w:pPr>
            <w:r w:rsidRPr="00593A5B">
              <w:t>2021–22 ($ '000)</w:t>
            </w:r>
          </w:p>
        </w:tc>
        <w:tc>
          <w:tcPr>
            <w:tcW w:w="794" w:type="pct"/>
            <w:noWrap/>
            <w:hideMark/>
          </w:tcPr>
          <w:p w14:paraId="2995BBDA" w14:textId="72B9A860" w:rsidR="006600C1" w:rsidRPr="00593A5B" w:rsidRDefault="006600C1" w:rsidP="00A655E6">
            <w:pPr>
              <w:pStyle w:val="Normal-table"/>
              <w:cnfStyle w:val="000000000000" w:firstRow="0" w:lastRow="0" w:firstColumn="0" w:lastColumn="0" w:oddVBand="0" w:evenVBand="0" w:oddHBand="0" w:evenHBand="0" w:firstRowFirstColumn="0" w:firstRowLastColumn="0" w:lastRowFirstColumn="0" w:lastRowLastColumn="0"/>
            </w:pPr>
            <w:r w:rsidRPr="00593A5B">
              <w:t xml:space="preserve">7,133,330 </w:t>
            </w:r>
          </w:p>
        </w:tc>
        <w:tc>
          <w:tcPr>
            <w:tcW w:w="1970" w:type="pct"/>
            <w:noWrap/>
            <w:hideMark/>
          </w:tcPr>
          <w:p w14:paraId="705461D3" w14:textId="577D62FC" w:rsidR="006600C1" w:rsidRPr="00593A5B" w:rsidRDefault="006600C1" w:rsidP="00A655E6">
            <w:pPr>
              <w:pStyle w:val="Normal-table"/>
              <w:cnfStyle w:val="000000000000" w:firstRow="0" w:lastRow="0" w:firstColumn="0" w:lastColumn="0" w:oddVBand="0" w:evenVBand="0" w:oddHBand="0" w:evenHBand="0" w:firstRowFirstColumn="0" w:firstRowLastColumn="0" w:lastRowFirstColumn="0" w:lastRowLastColumn="0"/>
            </w:pPr>
            <w:r w:rsidRPr="00593A5B">
              <w:t xml:space="preserve">7,194,409 </w:t>
            </w:r>
          </w:p>
        </w:tc>
        <w:tc>
          <w:tcPr>
            <w:tcW w:w="1182" w:type="pct"/>
            <w:noWrap/>
            <w:hideMark/>
          </w:tcPr>
          <w:p w14:paraId="7039CE5D" w14:textId="004B3DFC" w:rsidR="006600C1" w:rsidRPr="00593A5B" w:rsidRDefault="006600C1" w:rsidP="00A655E6">
            <w:pPr>
              <w:pStyle w:val="Normal-table"/>
              <w:cnfStyle w:val="000000000000" w:firstRow="0" w:lastRow="0" w:firstColumn="0" w:lastColumn="0" w:oddVBand="0" w:evenVBand="0" w:oddHBand="0" w:evenHBand="0" w:firstRowFirstColumn="0" w:firstRowLastColumn="0" w:lastRowFirstColumn="0" w:lastRowLastColumn="0"/>
            </w:pPr>
            <w:r w:rsidRPr="00593A5B">
              <w:t xml:space="preserve"> (61,079)</w:t>
            </w:r>
          </w:p>
        </w:tc>
      </w:tr>
      <w:tr w:rsidR="006600C1" w:rsidRPr="007E5426" w14:paraId="16E52934" w14:textId="77777777" w:rsidTr="00EC1C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5" w:type="pct"/>
            <w:noWrap/>
            <w:hideMark/>
          </w:tcPr>
          <w:p w14:paraId="70784672" w14:textId="77777777" w:rsidR="006600C1" w:rsidRPr="00593A5B" w:rsidRDefault="006600C1" w:rsidP="00A655E6">
            <w:pPr>
              <w:pStyle w:val="Normal-table"/>
            </w:pPr>
            <w:r w:rsidRPr="00593A5B">
              <w:t>2020–21 ($ '000)</w:t>
            </w:r>
          </w:p>
        </w:tc>
        <w:tc>
          <w:tcPr>
            <w:tcW w:w="794" w:type="pct"/>
            <w:noWrap/>
            <w:hideMark/>
          </w:tcPr>
          <w:p w14:paraId="51338437" w14:textId="07BF48C4" w:rsidR="006600C1" w:rsidRPr="00593A5B" w:rsidRDefault="006600C1" w:rsidP="00A655E6">
            <w:pPr>
              <w:pStyle w:val="Normal-table"/>
              <w:cnfStyle w:val="000000100000" w:firstRow="0" w:lastRow="0" w:firstColumn="0" w:lastColumn="0" w:oddVBand="0" w:evenVBand="0" w:oddHBand="1" w:evenHBand="0" w:firstRowFirstColumn="0" w:firstRowLastColumn="0" w:lastRowFirstColumn="0" w:lastRowLastColumn="0"/>
            </w:pPr>
            <w:r w:rsidRPr="00593A5B">
              <w:t xml:space="preserve">6,785,407 </w:t>
            </w:r>
          </w:p>
        </w:tc>
        <w:tc>
          <w:tcPr>
            <w:tcW w:w="1970" w:type="pct"/>
            <w:noWrap/>
            <w:hideMark/>
          </w:tcPr>
          <w:p w14:paraId="4064151C" w14:textId="42D886FC" w:rsidR="006600C1" w:rsidRPr="00593A5B" w:rsidRDefault="006600C1" w:rsidP="00A655E6">
            <w:pPr>
              <w:pStyle w:val="Normal-table"/>
              <w:cnfStyle w:val="000000100000" w:firstRow="0" w:lastRow="0" w:firstColumn="0" w:lastColumn="0" w:oddVBand="0" w:evenVBand="0" w:oddHBand="1" w:evenHBand="0" w:firstRowFirstColumn="0" w:firstRowLastColumn="0" w:lastRowFirstColumn="0" w:lastRowLastColumn="0"/>
            </w:pPr>
            <w:r w:rsidRPr="00593A5B">
              <w:t xml:space="preserve">6,770,731 </w:t>
            </w:r>
          </w:p>
        </w:tc>
        <w:tc>
          <w:tcPr>
            <w:tcW w:w="1182" w:type="pct"/>
            <w:noWrap/>
            <w:hideMark/>
          </w:tcPr>
          <w:p w14:paraId="5A8AB8EC" w14:textId="61959741" w:rsidR="006600C1" w:rsidRPr="00593A5B" w:rsidRDefault="006600C1" w:rsidP="00A655E6">
            <w:pPr>
              <w:pStyle w:val="Normal-table"/>
              <w:cnfStyle w:val="000000100000" w:firstRow="0" w:lastRow="0" w:firstColumn="0" w:lastColumn="0" w:oddVBand="0" w:evenVBand="0" w:oddHBand="1" w:evenHBand="0" w:firstRowFirstColumn="0" w:firstRowLastColumn="0" w:lastRowFirstColumn="0" w:lastRowLastColumn="0"/>
            </w:pPr>
            <w:r w:rsidRPr="00593A5B">
              <w:t xml:space="preserve">14,676 </w:t>
            </w:r>
          </w:p>
        </w:tc>
      </w:tr>
      <w:tr w:rsidR="006600C1" w:rsidRPr="007E5426" w14:paraId="56A91FFD" w14:textId="77777777" w:rsidTr="00EC1C36">
        <w:trPr>
          <w:trHeight w:val="300"/>
        </w:trPr>
        <w:tc>
          <w:tcPr>
            <w:cnfStyle w:val="001000000000" w:firstRow="0" w:lastRow="0" w:firstColumn="1" w:lastColumn="0" w:oddVBand="0" w:evenVBand="0" w:oddHBand="0" w:evenHBand="0" w:firstRowFirstColumn="0" w:firstRowLastColumn="0" w:lastRowFirstColumn="0" w:lastRowLastColumn="0"/>
            <w:tcW w:w="1055" w:type="pct"/>
            <w:noWrap/>
            <w:hideMark/>
          </w:tcPr>
          <w:p w14:paraId="706A5FD8" w14:textId="77777777" w:rsidR="006600C1" w:rsidRPr="00593A5B" w:rsidRDefault="006600C1" w:rsidP="00A655E6">
            <w:pPr>
              <w:pStyle w:val="Normal-table"/>
            </w:pPr>
            <w:r w:rsidRPr="00593A5B">
              <w:t>2019–20 ($ '000)</w:t>
            </w:r>
          </w:p>
        </w:tc>
        <w:tc>
          <w:tcPr>
            <w:tcW w:w="794" w:type="pct"/>
            <w:noWrap/>
            <w:hideMark/>
          </w:tcPr>
          <w:p w14:paraId="3BEBC4E6" w14:textId="3FEB5A6E" w:rsidR="006600C1" w:rsidRPr="00593A5B" w:rsidRDefault="006600C1" w:rsidP="00A655E6">
            <w:pPr>
              <w:pStyle w:val="Normal-table"/>
              <w:cnfStyle w:val="000000000000" w:firstRow="0" w:lastRow="0" w:firstColumn="0" w:lastColumn="0" w:oddVBand="0" w:evenVBand="0" w:oddHBand="0" w:evenHBand="0" w:firstRowFirstColumn="0" w:firstRowLastColumn="0" w:lastRowFirstColumn="0" w:lastRowLastColumn="0"/>
            </w:pPr>
            <w:r w:rsidRPr="00593A5B">
              <w:t xml:space="preserve">6,660,146 </w:t>
            </w:r>
          </w:p>
        </w:tc>
        <w:tc>
          <w:tcPr>
            <w:tcW w:w="1970" w:type="pct"/>
            <w:noWrap/>
            <w:hideMark/>
          </w:tcPr>
          <w:p w14:paraId="5EED86E4" w14:textId="50574B2A" w:rsidR="006600C1" w:rsidRPr="00593A5B" w:rsidRDefault="006600C1" w:rsidP="00A655E6">
            <w:pPr>
              <w:pStyle w:val="Normal-table"/>
              <w:cnfStyle w:val="000000000000" w:firstRow="0" w:lastRow="0" w:firstColumn="0" w:lastColumn="0" w:oddVBand="0" w:evenVBand="0" w:oddHBand="0" w:evenHBand="0" w:firstRowFirstColumn="0" w:firstRowLastColumn="0" w:lastRowFirstColumn="0" w:lastRowLastColumn="0"/>
            </w:pPr>
            <w:r w:rsidRPr="00593A5B">
              <w:t xml:space="preserve">6,431,402 </w:t>
            </w:r>
          </w:p>
        </w:tc>
        <w:tc>
          <w:tcPr>
            <w:tcW w:w="1182" w:type="pct"/>
            <w:noWrap/>
            <w:hideMark/>
          </w:tcPr>
          <w:p w14:paraId="595CC2C7" w14:textId="42F91570" w:rsidR="006600C1" w:rsidRPr="00593A5B" w:rsidRDefault="006600C1" w:rsidP="00A655E6">
            <w:pPr>
              <w:pStyle w:val="Normal-table"/>
              <w:cnfStyle w:val="000000000000" w:firstRow="0" w:lastRow="0" w:firstColumn="0" w:lastColumn="0" w:oddVBand="0" w:evenVBand="0" w:oddHBand="0" w:evenHBand="0" w:firstRowFirstColumn="0" w:firstRowLastColumn="0" w:lastRowFirstColumn="0" w:lastRowLastColumn="0"/>
            </w:pPr>
            <w:r w:rsidRPr="00593A5B">
              <w:t xml:space="preserve">228,744 </w:t>
            </w:r>
          </w:p>
        </w:tc>
      </w:tr>
      <w:tr w:rsidR="006600C1" w:rsidRPr="007E5426" w14:paraId="2C4FCC28" w14:textId="77777777" w:rsidTr="00EC1C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5" w:type="pct"/>
            <w:noWrap/>
            <w:hideMark/>
          </w:tcPr>
          <w:p w14:paraId="313D02A1" w14:textId="77777777" w:rsidR="006600C1" w:rsidRPr="00593A5B" w:rsidRDefault="006600C1" w:rsidP="00A655E6">
            <w:pPr>
              <w:pStyle w:val="Normal-table"/>
            </w:pPr>
            <w:r w:rsidRPr="00593A5B">
              <w:t>2018–19 ($ '000)</w:t>
            </w:r>
          </w:p>
        </w:tc>
        <w:tc>
          <w:tcPr>
            <w:tcW w:w="794" w:type="pct"/>
            <w:noWrap/>
            <w:hideMark/>
          </w:tcPr>
          <w:p w14:paraId="0C9AAC8A" w14:textId="155A8F83" w:rsidR="006600C1" w:rsidRPr="00593A5B" w:rsidRDefault="006600C1" w:rsidP="00A655E6">
            <w:pPr>
              <w:pStyle w:val="Normal-table"/>
              <w:cnfStyle w:val="000000100000" w:firstRow="0" w:lastRow="0" w:firstColumn="0" w:lastColumn="0" w:oddVBand="0" w:evenVBand="0" w:oddHBand="1" w:evenHBand="0" w:firstRowFirstColumn="0" w:firstRowLastColumn="0" w:lastRowFirstColumn="0" w:lastRowLastColumn="0"/>
            </w:pPr>
            <w:r w:rsidRPr="00593A5B">
              <w:t xml:space="preserve">6,144,435 </w:t>
            </w:r>
          </w:p>
        </w:tc>
        <w:tc>
          <w:tcPr>
            <w:tcW w:w="1970" w:type="pct"/>
            <w:noWrap/>
            <w:hideMark/>
          </w:tcPr>
          <w:p w14:paraId="24D9D9A4" w14:textId="7F204DEE" w:rsidR="006600C1" w:rsidRPr="00593A5B" w:rsidRDefault="006600C1" w:rsidP="00A655E6">
            <w:pPr>
              <w:pStyle w:val="Normal-table"/>
              <w:cnfStyle w:val="000000100000" w:firstRow="0" w:lastRow="0" w:firstColumn="0" w:lastColumn="0" w:oddVBand="0" w:evenVBand="0" w:oddHBand="1" w:evenHBand="0" w:firstRowFirstColumn="0" w:firstRowLastColumn="0" w:lastRowFirstColumn="0" w:lastRowLastColumn="0"/>
            </w:pPr>
            <w:r w:rsidRPr="00593A5B">
              <w:t xml:space="preserve">6,172,880 </w:t>
            </w:r>
          </w:p>
        </w:tc>
        <w:tc>
          <w:tcPr>
            <w:tcW w:w="1182" w:type="pct"/>
            <w:noWrap/>
            <w:hideMark/>
          </w:tcPr>
          <w:p w14:paraId="547F2232" w14:textId="68B83D9B" w:rsidR="006600C1" w:rsidRPr="00593A5B" w:rsidRDefault="006600C1" w:rsidP="00A655E6">
            <w:pPr>
              <w:pStyle w:val="Normal-table"/>
              <w:cnfStyle w:val="000000100000" w:firstRow="0" w:lastRow="0" w:firstColumn="0" w:lastColumn="0" w:oddVBand="0" w:evenVBand="0" w:oddHBand="1" w:evenHBand="0" w:firstRowFirstColumn="0" w:firstRowLastColumn="0" w:lastRowFirstColumn="0" w:lastRowLastColumn="0"/>
            </w:pPr>
            <w:r w:rsidRPr="00593A5B">
              <w:t xml:space="preserve"> (28,445)</w:t>
            </w:r>
          </w:p>
        </w:tc>
      </w:tr>
    </w:tbl>
    <w:p w14:paraId="7ED08899" w14:textId="77777777" w:rsidR="00A53E9C" w:rsidRDefault="00A53E9C" w:rsidP="006600C1">
      <w:pPr>
        <w:pStyle w:val="Heading2"/>
        <w:rPr>
          <w:lang w:val="en-AU"/>
        </w:rPr>
      </w:pPr>
    </w:p>
    <w:p w14:paraId="4AED843E" w14:textId="77777777" w:rsidR="00A53E9C" w:rsidRDefault="00A53E9C">
      <w:pPr>
        <w:spacing w:before="0" w:after="160" w:line="259" w:lineRule="auto"/>
        <w:rPr>
          <w:rFonts w:eastAsiaTheme="majorEastAsia" w:cstheme="majorBidi"/>
          <w:color w:val="000000" w:themeColor="text1"/>
          <w:sz w:val="48"/>
          <w:szCs w:val="26"/>
          <w:lang w:val="en-AU"/>
        </w:rPr>
      </w:pPr>
      <w:r>
        <w:rPr>
          <w:lang w:val="en-AU"/>
        </w:rPr>
        <w:br w:type="page"/>
      </w:r>
    </w:p>
    <w:p w14:paraId="38A8D463" w14:textId="21155869" w:rsidR="006600C1" w:rsidRPr="000658D3" w:rsidRDefault="006600C1" w:rsidP="006600C1">
      <w:pPr>
        <w:pStyle w:val="Heading2"/>
        <w:rPr>
          <w:lang w:val="en-AU"/>
        </w:rPr>
      </w:pPr>
      <w:r w:rsidRPr="000658D3">
        <w:rPr>
          <w:lang w:val="en-AU"/>
        </w:rPr>
        <w:lastRenderedPageBreak/>
        <w:t>Income</w:t>
      </w:r>
    </w:p>
    <w:p w14:paraId="3FE8A44B" w14:textId="77777777" w:rsidR="006600C1" w:rsidRPr="008A137C" w:rsidRDefault="006600C1" w:rsidP="006600C1">
      <w:r w:rsidRPr="008A137C">
        <w:t>The department’s total income of $7</w:t>
      </w:r>
      <w:r>
        <w:t>.</w:t>
      </w:r>
      <w:r w:rsidRPr="008A137C">
        <w:t xml:space="preserve">693 </w:t>
      </w:r>
      <w:r>
        <w:t>b</w:t>
      </w:r>
      <w:r w:rsidRPr="008A137C">
        <w:t>illion included appropriation revenue from the Queensland Government of $6</w:t>
      </w:r>
      <w:r>
        <w:t>.</w:t>
      </w:r>
      <w:r w:rsidRPr="008A137C">
        <w:t>372 </w:t>
      </w:r>
      <w:r>
        <w:t>billion</w:t>
      </w:r>
      <w:r w:rsidRPr="008A137C">
        <w:t>, user charges of $779 million, grants and other contributions of $276 million</w:t>
      </w:r>
      <w:r>
        <w:t>,</w:t>
      </w:r>
      <w:r w:rsidRPr="008A137C">
        <w:t xml:space="preserve"> and</w:t>
      </w:r>
      <w:r>
        <w:t xml:space="preserve"> s</w:t>
      </w:r>
      <w:r w:rsidRPr="008A137C">
        <w:t>ervice concession arrangements revenue of $232 million. In 2022–23 the department’s total income has increased by $560 million. Queensland Government appropriations are the main source of income and account for 82.82</w:t>
      </w:r>
      <w:r>
        <w:t xml:space="preserve"> per cent</w:t>
      </w:r>
      <w:r w:rsidRPr="008A137C">
        <w:t xml:space="preserve"> of total income earned in the reporting period.</w:t>
      </w:r>
    </w:p>
    <w:p w14:paraId="373D991A" w14:textId="14F71F09" w:rsidR="00A53E9C" w:rsidRDefault="00A53E9C">
      <w:pPr>
        <w:spacing w:before="0" w:after="160" w:line="259" w:lineRule="auto"/>
        <w:rPr>
          <w:b/>
        </w:rPr>
      </w:pPr>
    </w:p>
    <w:p w14:paraId="5AF3B247" w14:textId="3B3D3C43" w:rsidR="006600C1" w:rsidRDefault="006600C1" w:rsidP="006600C1">
      <w:pPr>
        <w:pStyle w:val="TableofFigures"/>
      </w:pPr>
      <w:r w:rsidRPr="00BC1339">
        <w:t>Figure 1: Income by category for the year ended 30 June 2023</w:t>
      </w:r>
    </w:p>
    <w:p w14:paraId="3B4CE7F0" w14:textId="77777777" w:rsidR="006600C1" w:rsidRPr="006600C1" w:rsidRDefault="006600C1" w:rsidP="006600C1"/>
    <w:tbl>
      <w:tblPr>
        <w:tblStyle w:val="GridTable4-Accent1"/>
        <w:tblpPr w:leftFromText="180" w:rightFromText="180" w:vertAnchor="text" w:horzAnchor="margin" w:tblpY="-118"/>
        <w:tblW w:w="5000" w:type="pct"/>
        <w:tblLook w:val="04A0" w:firstRow="1" w:lastRow="0" w:firstColumn="1" w:lastColumn="0" w:noHBand="0" w:noVBand="1"/>
      </w:tblPr>
      <w:tblGrid>
        <w:gridCol w:w="5301"/>
        <w:gridCol w:w="2165"/>
        <w:gridCol w:w="2728"/>
      </w:tblGrid>
      <w:tr w:rsidR="006600C1" w:rsidRPr="000658D3" w14:paraId="65299915" w14:textId="77777777" w:rsidTr="00EC1C36">
        <w:trPr>
          <w:cnfStyle w:val="100000000000" w:firstRow="1" w:lastRow="0" w:firstColumn="0" w:lastColumn="0" w:oddVBand="0" w:evenVBand="0" w:oddHBand="0" w:evenHBand="0" w:firstRowFirstColumn="0" w:firstRowLastColumn="0" w:lastRowFirstColumn="0" w:lastRowLastColumn="0"/>
          <w:trHeight w:val="297"/>
          <w:tblHeader/>
        </w:trPr>
        <w:tc>
          <w:tcPr>
            <w:cnfStyle w:val="001000000000" w:firstRow="0" w:lastRow="0" w:firstColumn="1" w:lastColumn="0" w:oddVBand="0" w:evenVBand="0" w:oddHBand="0" w:evenHBand="0" w:firstRowFirstColumn="0" w:firstRowLastColumn="0" w:lastRowFirstColumn="0" w:lastRowLastColumn="0"/>
            <w:tcW w:w="2600" w:type="pct"/>
            <w:noWrap/>
            <w:hideMark/>
          </w:tcPr>
          <w:p w14:paraId="520B303F" w14:textId="77777777" w:rsidR="006600C1" w:rsidRPr="000658D3" w:rsidRDefault="006600C1" w:rsidP="00A655E6">
            <w:pPr>
              <w:pStyle w:val="Normal-table"/>
              <w:rPr>
                <w:lang w:val="en-AU"/>
              </w:rPr>
            </w:pPr>
            <w:r w:rsidRPr="000658D3">
              <w:rPr>
                <w:lang w:val="en-AU"/>
              </w:rPr>
              <w:t>Income</w:t>
            </w:r>
          </w:p>
        </w:tc>
        <w:tc>
          <w:tcPr>
            <w:tcW w:w="1062" w:type="pct"/>
            <w:noWrap/>
            <w:hideMark/>
          </w:tcPr>
          <w:p w14:paraId="1246D4A7" w14:textId="77777777" w:rsidR="006600C1" w:rsidRPr="000658D3" w:rsidRDefault="006600C1" w:rsidP="00A655E6">
            <w:pPr>
              <w:pStyle w:val="Normal-table"/>
              <w:cnfStyle w:val="100000000000" w:firstRow="1" w:lastRow="0" w:firstColumn="0" w:lastColumn="0" w:oddVBand="0" w:evenVBand="0" w:oddHBand="0" w:evenHBand="0" w:firstRowFirstColumn="0" w:firstRowLastColumn="0" w:lastRowFirstColumn="0" w:lastRowLastColumn="0"/>
              <w:rPr>
                <w:lang w:val="en-AU"/>
              </w:rPr>
            </w:pPr>
            <w:r w:rsidRPr="000658D3">
              <w:rPr>
                <w:lang w:val="en-AU"/>
              </w:rPr>
              <w:t>Income %</w:t>
            </w:r>
          </w:p>
        </w:tc>
        <w:tc>
          <w:tcPr>
            <w:tcW w:w="1338" w:type="pct"/>
            <w:noWrap/>
            <w:hideMark/>
          </w:tcPr>
          <w:p w14:paraId="4258D67F" w14:textId="77777777" w:rsidR="006600C1" w:rsidRPr="000658D3" w:rsidRDefault="006600C1" w:rsidP="00A655E6">
            <w:pPr>
              <w:pStyle w:val="Normal-table"/>
              <w:cnfStyle w:val="100000000000" w:firstRow="1" w:lastRow="0" w:firstColumn="0" w:lastColumn="0" w:oddVBand="0" w:evenVBand="0" w:oddHBand="0" w:evenHBand="0" w:firstRowFirstColumn="0" w:firstRowLastColumn="0" w:lastRowFirstColumn="0" w:lastRowLastColumn="0"/>
              <w:rPr>
                <w:lang w:val="en-AU"/>
              </w:rPr>
            </w:pPr>
            <w:r w:rsidRPr="000658D3">
              <w:rPr>
                <w:lang w:val="en-AU"/>
              </w:rPr>
              <w:t>$ '000</w:t>
            </w:r>
          </w:p>
        </w:tc>
      </w:tr>
      <w:tr w:rsidR="006600C1" w:rsidRPr="000658D3" w14:paraId="012019DB" w14:textId="77777777" w:rsidTr="00EC1C36">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2600" w:type="pct"/>
            <w:noWrap/>
            <w:hideMark/>
          </w:tcPr>
          <w:p w14:paraId="07E29765" w14:textId="77777777" w:rsidR="006600C1" w:rsidRPr="00D7561B" w:rsidRDefault="006600C1" w:rsidP="00A655E6">
            <w:pPr>
              <w:pStyle w:val="Normal-table"/>
            </w:pPr>
            <w:r w:rsidRPr="00D7561B">
              <w:t>Appropriation revenue</w:t>
            </w:r>
          </w:p>
        </w:tc>
        <w:tc>
          <w:tcPr>
            <w:tcW w:w="1062" w:type="pct"/>
            <w:noWrap/>
            <w:hideMark/>
          </w:tcPr>
          <w:p w14:paraId="1AD6AC39" w14:textId="77777777" w:rsidR="006600C1" w:rsidRPr="00D7561B" w:rsidRDefault="006600C1" w:rsidP="00A655E6">
            <w:pPr>
              <w:pStyle w:val="Normal-table"/>
              <w:cnfStyle w:val="000000100000" w:firstRow="0" w:lastRow="0" w:firstColumn="0" w:lastColumn="0" w:oddVBand="0" w:evenVBand="0" w:oddHBand="1" w:evenHBand="0" w:firstRowFirstColumn="0" w:firstRowLastColumn="0" w:lastRowFirstColumn="0" w:lastRowLastColumn="0"/>
            </w:pPr>
            <w:r w:rsidRPr="00D7561B">
              <w:t>82.82</w:t>
            </w:r>
          </w:p>
        </w:tc>
        <w:tc>
          <w:tcPr>
            <w:tcW w:w="1338" w:type="pct"/>
            <w:noWrap/>
            <w:hideMark/>
          </w:tcPr>
          <w:p w14:paraId="3899D8D4" w14:textId="77777777" w:rsidR="006600C1" w:rsidRPr="00D7561B" w:rsidRDefault="006600C1" w:rsidP="00A655E6">
            <w:pPr>
              <w:pStyle w:val="Normal-table"/>
              <w:cnfStyle w:val="000000100000" w:firstRow="0" w:lastRow="0" w:firstColumn="0" w:lastColumn="0" w:oddVBand="0" w:evenVBand="0" w:oddHBand="1" w:evenHBand="0" w:firstRowFirstColumn="0" w:firstRowLastColumn="0" w:lastRowFirstColumn="0" w:lastRowLastColumn="0"/>
            </w:pPr>
            <w:r w:rsidRPr="00D7561B">
              <w:t>6,371,614</w:t>
            </w:r>
            <w:r w:rsidRPr="00D7561B" w:rsidDel="00343076">
              <w:rPr>
                <w:highlight w:val="yellow"/>
              </w:rPr>
              <w:t xml:space="preserve"> </w:t>
            </w:r>
            <w:r w:rsidRPr="00D7561B">
              <w:rPr>
                <w:highlight w:val="yellow"/>
              </w:rPr>
              <w:t xml:space="preserve"> </w:t>
            </w:r>
          </w:p>
        </w:tc>
      </w:tr>
      <w:tr w:rsidR="006600C1" w:rsidRPr="000658D3" w14:paraId="5072878A" w14:textId="77777777" w:rsidTr="00EC1C36">
        <w:trPr>
          <w:trHeight w:val="185"/>
        </w:trPr>
        <w:tc>
          <w:tcPr>
            <w:cnfStyle w:val="001000000000" w:firstRow="0" w:lastRow="0" w:firstColumn="1" w:lastColumn="0" w:oddVBand="0" w:evenVBand="0" w:oddHBand="0" w:evenHBand="0" w:firstRowFirstColumn="0" w:firstRowLastColumn="0" w:lastRowFirstColumn="0" w:lastRowLastColumn="0"/>
            <w:tcW w:w="2600" w:type="pct"/>
            <w:noWrap/>
            <w:hideMark/>
          </w:tcPr>
          <w:p w14:paraId="478C9C0F" w14:textId="77777777" w:rsidR="006600C1" w:rsidRPr="00D7561B" w:rsidRDefault="006600C1" w:rsidP="00A655E6">
            <w:pPr>
              <w:pStyle w:val="Normal-table"/>
            </w:pPr>
            <w:r w:rsidRPr="00D7561B">
              <w:t>User charges and fees</w:t>
            </w:r>
          </w:p>
        </w:tc>
        <w:tc>
          <w:tcPr>
            <w:tcW w:w="1062" w:type="pct"/>
            <w:noWrap/>
            <w:hideMark/>
          </w:tcPr>
          <w:p w14:paraId="784BB973" w14:textId="77777777" w:rsidR="006600C1" w:rsidRPr="00D7561B" w:rsidRDefault="006600C1" w:rsidP="00A655E6">
            <w:pPr>
              <w:pStyle w:val="Normal-table"/>
              <w:cnfStyle w:val="000000000000" w:firstRow="0" w:lastRow="0" w:firstColumn="0" w:lastColumn="0" w:oddVBand="0" w:evenVBand="0" w:oddHBand="0" w:evenHBand="0" w:firstRowFirstColumn="0" w:firstRowLastColumn="0" w:lastRowFirstColumn="0" w:lastRowLastColumn="0"/>
            </w:pPr>
            <w:r w:rsidRPr="00D7561B">
              <w:t>10.12</w:t>
            </w:r>
          </w:p>
        </w:tc>
        <w:tc>
          <w:tcPr>
            <w:tcW w:w="1338" w:type="pct"/>
            <w:noWrap/>
            <w:hideMark/>
          </w:tcPr>
          <w:p w14:paraId="0C165975" w14:textId="77777777" w:rsidR="006600C1" w:rsidRPr="00D7561B" w:rsidRDefault="006600C1" w:rsidP="00A655E6">
            <w:pPr>
              <w:pStyle w:val="Normal-table"/>
              <w:cnfStyle w:val="000000000000" w:firstRow="0" w:lastRow="0" w:firstColumn="0" w:lastColumn="0" w:oddVBand="0" w:evenVBand="0" w:oddHBand="0" w:evenHBand="0" w:firstRowFirstColumn="0" w:firstRowLastColumn="0" w:lastRowFirstColumn="0" w:lastRowLastColumn="0"/>
            </w:pPr>
            <w:r w:rsidRPr="00D7561B">
              <w:t>778,843</w:t>
            </w:r>
            <w:r w:rsidRPr="00D7561B">
              <w:rPr>
                <w:highlight w:val="yellow"/>
              </w:rPr>
              <w:t xml:space="preserve"> </w:t>
            </w:r>
          </w:p>
        </w:tc>
      </w:tr>
      <w:tr w:rsidR="006600C1" w:rsidRPr="000658D3" w14:paraId="47E7A81F" w14:textId="77777777" w:rsidTr="00EC1C36">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2600" w:type="pct"/>
            <w:noWrap/>
            <w:hideMark/>
          </w:tcPr>
          <w:p w14:paraId="54C68F26" w14:textId="77777777" w:rsidR="006600C1" w:rsidRPr="00D7561B" w:rsidRDefault="006600C1" w:rsidP="00A655E6">
            <w:pPr>
              <w:pStyle w:val="Normal-table"/>
            </w:pPr>
            <w:r w:rsidRPr="00D7561B">
              <w:t>Grants and other contributions</w:t>
            </w:r>
          </w:p>
        </w:tc>
        <w:tc>
          <w:tcPr>
            <w:tcW w:w="1062" w:type="pct"/>
            <w:noWrap/>
            <w:hideMark/>
          </w:tcPr>
          <w:p w14:paraId="606E92B9" w14:textId="77777777" w:rsidR="006600C1" w:rsidRPr="00D7561B" w:rsidRDefault="006600C1" w:rsidP="00A655E6">
            <w:pPr>
              <w:pStyle w:val="Normal-table"/>
              <w:cnfStyle w:val="000000100000" w:firstRow="0" w:lastRow="0" w:firstColumn="0" w:lastColumn="0" w:oddVBand="0" w:evenVBand="0" w:oddHBand="1" w:evenHBand="0" w:firstRowFirstColumn="0" w:firstRowLastColumn="0" w:lastRowFirstColumn="0" w:lastRowLastColumn="0"/>
            </w:pPr>
            <w:r w:rsidRPr="00D7561B">
              <w:t>3.59</w:t>
            </w:r>
          </w:p>
        </w:tc>
        <w:tc>
          <w:tcPr>
            <w:tcW w:w="1338" w:type="pct"/>
            <w:noWrap/>
            <w:hideMark/>
          </w:tcPr>
          <w:p w14:paraId="0CFFAEF5" w14:textId="77777777" w:rsidR="006600C1" w:rsidRPr="00D7561B" w:rsidRDefault="006600C1" w:rsidP="00A655E6">
            <w:pPr>
              <w:pStyle w:val="Normal-table"/>
              <w:cnfStyle w:val="000000100000" w:firstRow="0" w:lastRow="0" w:firstColumn="0" w:lastColumn="0" w:oddVBand="0" w:evenVBand="0" w:oddHBand="1" w:evenHBand="0" w:firstRowFirstColumn="0" w:firstRowLastColumn="0" w:lastRowFirstColumn="0" w:lastRowLastColumn="0"/>
            </w:pPr>
            <w:r w:rsidRPr="00D7561B">
              <w:t>276,088</w:t>
            </w:r>
            <w:r w:rsidRPr="00D7561B">
              <w:rPr>
                <w:highlight w:val="yellow"/>
              </w:rPr>
              <w:t xml:space="preserve"> </w:t>
            </w:r>
          </w:p>
        </w:tc>
      </w:tr>
      <w:tr w:rsidR="006600C1" w:rsidRPr="000658D3" w14:paraId="7EF59FC0" w14:textId="77777777" w:rsidTr="00EC1C36">
        <w:trPr>
          <w:trHeight w:val="185"/>
        </w:trPr>
        <w:tc>
          <w:tcPr>
            <w:cnfStyle w:val="001000000000" w:firstRow="0" w:lastRow="0" w:firstColumn="1" w:lastColumn="0" w:oddVBand="0" w:evenVBand="0" w:oddHBand="0" w:evenHBand="0" w:firstRowFirstColumn="0" w:firstRowLastColumn="0" w:lastRowFirstColumn="0" w:lastRowLastColumn="0"/>
            <w:tcW w:w="2600" w:type="pct"/>
            <w:noWrap/>
            <w:hideMark/>
          </w:tcPr>
          <w:p w14:paraId="1D29932B" w14:textId="77777777" w:rsidR="006600C1" w:rsidRPr="00D7561B" w:rsidRDefault="006600C1" w:rsidP="00A655E6">
            <w:pPr>
              <w:pStyle w:val="Normal-table"/>
            </w:pPr>
            <w:r w:rsidRPr="00D7561B">
              <w:t>Service concession arrangements revenue</w:t>
            </w:r>
          </w:p>
        </w:tc>
        <w:tc>
          <w:tcPr>
            <w:tcW w:w="1062" w:type="pct"/>
            <w:noWrap/>
            <w:hideMark/>
          </w:tcPr>
          <w:p w14:paraId="5EFF8D4B" w14:textId="77777777" w:rsidR="006600C1" w:rsidRPr="00D7561B" w:rsidRDefault="006600C1" w:rsidP="00A655E6">
            <w:pPr>
              <w:pStyle w:val="Normal-table"/>
              <w:cnfStyle w:val="000000000000" w:firstRow="0" w:lastRow="0" w:firstColumn="0" w:lastColumn="0" w:oddVBand="0" w:evenVBand="0" w:oddHBand="0" w:evenHBand="0" w:firstRowFirstColumn="0" w:firstRowLastColumn="0" w:lastRowFirstColumn="0" w:lastRowLastColumn="0"/>
            </w:pPr>
            <w:r w:rsidRPr="00D7561B">
              <w:t>3.02</w:t>
            </w:r>
          </w:p>
        </w:tc>
        <w:tc>
          <w:tcPr>
            <w:tcW w:w="1338" w:type="pct"/>
            <w:noWrap/>
            <w:hideMark/>
          </w:tcPr>
          <w:p w14:paraId="0CDC6AB0" w14:textId="77777777" w:rsidR="006600C1" w:rsidRPr="00D7561B" w:rsidRDefault="006600C1" w:rsidP="00A655E6">
            <w:pPr>
              <w:pStyle w:val="Normal-table"/>
              <w:cnfStyle w:val="000000000000" w:firstRow="0" w:lastRow="0" w:firstColumn="0" w:lastColumn="0" w:oddVBand="0" w:evenVBand="0" w:oddHBand="0" w:evenHBand="0" w:firstRowFirstColumn="0" w:firstRowLastColumn="0" w:lastRowFirstColumn="0" w:lastRowLastColumn="0"/>
            </w:pPr>
            <w:r w:rsidRPr="00D7561B">
              <w:t>232,180</w:t>
            </w:r>
            <w:r w:rsidRPr="00D7561B">
              <w:rPr>
                <w:highlight w:val="yellow"/>
              </w:rPr>
              <w:t xml:space="preserve"> </w:t>
            </w:r>
          </w:p>
        </w:tc>
      </w:tr>
      <w:tr w:rsidR="006600C1" w:rsidRPr="000658D3" w14:paraId="7AE50928" w14:textId="77777777" w:rsidTr="00EC1C36">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2600" w:type="pct"/>
            <w:noWrap/>
            <w:hideMark/>
          </w:tcPr>
          <w:p w14:paraId="2FFE8356" w14:textId="77777777" w:rsidR="006600C1" w:rsidRPr="00D7561B" w:rsidRDefault="006600C1" w:rsidP="00A655E6">
            <w:pPr>
              <w:pStyle w:val="Normal-table"/>
            </w:pPr>
            <w:r w:rsidRPr="00D7561B">
              <w:t>Other revenue</w:t>
            </w:r>
          </w:p>
        </w:tc>
        <w:tc>
          <w:tcPr>
            <w:tcW w:w="1062" w:type="pct"/>
            <w:noWrap/>
            <w:hideMark/>
          </w:tcPr>
          <w:p w14:paraId="52013403" w14:textId="77777777" w:rsidR="006600C1" w:rsidRPr="00D7561B" w:rsidRDefault="006600C1" w:rsidP="00A655E6">
            <w:pPr>
              <w:pStyle w:val="Normal-table"/>
              <w:cnfStyle w:val="000000100000" w:firstRow="0" w:lastRow="0" w:firstColumn="0" w:lastColumn="0" w:oddVBand="0" w:evenVBand="0" w:oddHBand="1" w:evenHBand="0" w:firstRowFirstColumn="0" w:firstRowLastColumn="0" w:lastRowFirstColumn="0" w:lastRowLastColumn="0"/>
            </w:pPr>
            <w:r w:rsidRPr="00D7561B">
              <w:t>0.45</w:t>
            </w:r>
          </w:p>
        </w:tc>
        <w:tc>
          <w:tcPr>
            <w:tcW w:w="1338" w:type="pct"/>
            <w:noWrap/>
            <w:hideMark/>
          </w:tcPr>
          <w:p w14:paraId="133532A8" w14:textId="77777777" w:rsidR="006600C1" w:rsidRPr="00D7561B" w:rsidRDefault="006600C1" w:rsidP="00A655E6">
            <w:pPr>
              <w:pStyle w:val="Normal-table"/>
              <w:cnfStyle w:val="000000100000" w:firstRow="0" w:lastRow="0" w:firstColumn="0" w:lastColumn="0" w:oddVBand="0" w:evenVBand="0" w:oddHBand="1" w:evenHBand="0" w:firstRowFirstColumn="0" w:firstRowLastColumn="0" w:lastRowFirstColumn="0" w:lastRowLastColumn="0"/>
            </w:pPr>
            <w:r w:rsidRPr="00D7561B">
              <w:t>34,426</w:t>
            </w:r>
            <w:r w:rsidRPr="00D7561B">
              <w:rPr>
                <w:highlight w:val="yellow"/>
              </w:rPr>
              <w:t xml:space="preserve"> </w:t>
            </w:r>
          </w:p>
        </w:tc>
      </w:tr>
      <w:tr w:rsidR="006600C1" w:rsidRPr="000658D3" w14:paraId="667D0C30" w14:textId="77777777" w:rsidTr="00EC1C36">
        <w:trPr>
          <w:trHeight w:val="185"/>
        </w:trPr>
        <w:tc>
          <w:tcPr>
            <w:cnfStyle w:val="001000000000" w:firstRow="0" w:lastRow="0" w:firstColumn="1" w:lastColumn="0" w:oddVBand="0" w:evenVBand="0" w:oddHBand="0" w:evenHBand="0" w:firstRowFirstColumn="0" w:firstRowLastColumn="0" w:lastRowFirstColumn="0" w:lastRowLastColumn="0"/>
            <w:tcW w:w="2600" w:type="pct"/>
            <w:noWrap/>
            <w:hideMark/>
          </w:tcPr>
          <w:p w14:paraId="3F9D313A" w14:textId="77777777" w:rsidR="006600C1" w:rsidRPr="00D7561B" w:rsidRDefault="006600C1" w:rsidP="00A655E6">
            <w:pPr>
              <w:pStyle w:val="Normal-table"/>
            </w:pPr>
            <w:r w:rsidRPr="00D7561B">
              <w:t>Total income</w:t>
            </w:r>
          </w:p>
        </w:tc>
        <w:tc>
          <w:tcPr>
            <w:tcW w:w="1062" w:type="pct"/>
            <w:noWrap/>
            <w:hideMark/>
          </w:tcPr>
          <w:p w14:paraId="0C7654EA" w14:textId="77777777" w:rsidR="006600C1" w:rsidRPr="00D7561B" w:rsidRDefault="006600C1" w:rsidP="00A655E6">
            <w:pPr>
              <w:pStyle w:val="Normal-table"/>
              <w:cnfStyle w:val="000000000000" w:firstRow="0" w:lastRow="0" w:firstColumn="0" w:lastColumn="0" w:oddVBand="0" w:evenVBand="0" w:oddHBand="0" w:evenHBand="0" w:firstRowFirstColumn="0" w:firstRowLastColumn="0" w:lastRowFirstColumn="0" w:lastRowLastColumn="0"/>
            </w:pPr>
          </w:p>
        </w:tc>
        <w:tc>
          <w:tcPr>
            <w:tcW w:w="1338" w:type="pct"/>
            <w:noWrap/>
            <w:hideMark/>
          </w:tcPr>
          <w:p w14:paraId="32A45C7E" w14:textId="77777777" w:rsidR="006600C1" w:rsidRPr="00D7561B" w:rsidRDefault="006600C1" w:rsidP="00A655E6">
            <w:pPr>
              <w:pStyle w:val="Normal-table"/>
              <w:cnfStyle w:val="000000000000" w:firstRow="0" w:lastRow="0" w:firstColumn="0" w:lastColumn="0" w:oddVBand="0" w:evenVBand="0" w:oddHBand="0" w:evenHBand="0" w:firstRowFirstColumn="0" w:firstRowLastColumn="0" w:lastRowFirstColumn="0" w:lastRowLastColumn="0"/>
            </w:pPr>
            <w:r w:rsidRPr="00D7561B">
              <w:t xml:space="preserve">7,693,151 </w:t>
            </w:r>
            <w:r w:rsidRPr="00D7561B">
              <w:rPr>
                <w:highlight w:val="yellow"/>
              </w:rPr>
              <w:t xml:space="preserve">  </w:t>
            </w:r>
          </w:p>
        </w:tc>
      </w:tr>
    </w:tbl>
    <w:p w14:paraId="170E4DDE" w14:textId="7DBD3166" w:rsidR="001F152C" w:rsidRDefault="001F152C" w:rsidP="006600C1">
      <w:pPr>
        <w:rPr>
          <w:lang w:val="en-AU"/>
        </w:rPr>
      </w:pPr>
      <w:r>
        <w:rPr>
          <w:noProof/>
          <w:lang w:val="en-AU"/>
        </w:rPr>
        <w:drawing>
          <wp:inline distT="0" distB="0" distL="0" distR="0" wp14:anchorId="240FCA8F" wp14:editId="77007D8B">
            <wp:extent cx="5486400" cy="3200400"/>
            <wp:effectExtent l="0" t="0" r="0" b="0"/>
            <wp:docPr id="1" name="Chart 1" descr="Graph displaying income by category for the year ended 30 June 2023. Appropriation revenue makes up the majority of the graph. "/>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DB1272A" w14:textId="77777777" w:rsidR="00A53E9C" w:rsidRDefault="00A53E9C">
      <w:pPr>
        <w:spacing w:before="0" w:after="160" w:line="259" w:lineRule="auto"/>
        <w:rPr>
          <w:rFonts w:eastAsiaTheme="majorEastAsia" w:cstheme="majorBidi"/>
          <w:color w:val="000000" w:themeColor="text1"/>
          <w:sz w:val="48"/>
          <w:szCs w:val="26"/>
          <w:lang w:val="en-AU"/>
        </w:rPr>
      </w:pPr>
      <w:r>
        <w:rPr>
          <w:lang w:val="en-AU"/>
        </w:rPr>
        <w:br w:type="page"/>
      </w:r>
    </w:p>
    <w:p w14:paraId="68DDFF74" w14:textId="676E4DF2" w:rsidR="006600C1" w:rsidRPr="000658D3" w:rsidRDefault="006600C1" w:rsidP="006600C1">
      <w:pPr>
        <w:pStyle w:val="Heading2"/>
        <w:rPr>
          <w:lang w:val="en-AU"/>
        </w:rPr>
      </w:pPr>
      <w:r w:rsidRPr="000658D3">
        <w:rPr>
          <w:lang w:val="en-AU"/>
        </w:rPr>
        <w:lastRenderedPageBreak/>
        <w:t>Expenses</w:t>
      </w:r>
    </w:p>
    <w:p w14:paraId="279DE7D3" w14:textId="77777777" w:rsidR="006600C1" w:rsidRPr="00256115" w:rsidRDefault="006600C1" w:rsidP="006600C1">
      <w:r w:rsidRPr="00256115">
        <w:t>Total expenses for the department were $7</w:t>
      </w:r>
      <w:r>
        <w:t>.</w:t>
      </w:r>
      <w:r w:rsidRPr="00256115">
        <w:t xml:space="preserve">688 </w:t>
      </w:r>
      <w:r>
        <w:t>b</w:t>
      </w:r>
      <w:r w:rsidRPr="00256115">
        <w:t>illion. Supplies and services were the department’s largest category of expenditure, comprising 59</w:t>
      </w:r>
      <w:r>
        <w:t xml:space="preserve"> per cent</w:t>
      </w:r>
      <w:r w:rsidRPr="00256115">
        <w:t xml:space="preserve"> of total expenditure, followed by depreciation and amortisation of assets, grants and subsidies, and employee expenses. </w:t>
      </w:r>
    </w:p>
    <w:p w14:paraId="6FD34598" w14:textId="77777777" w:rsidR="006600C1" w:rsidRPr="00256115" w:rsidRDefault="006600C1" w:rsidP="006600C1">
      <w:r w:rsidRPr="00256115">
        <w:t>Approximately 72</w:t>
      </w:r>
      <w:r>
        <w:t xml:space="preserve"> per cent</w:t>
      </w:r>
      <w:r w:rsidRPr="00256115">
        <w:t xml:space="preserve"> of total supplies and services consists of payments to operators of rail, bus, air, and ferry services. Total expenses in 2022–23 has increased by $494 million. </w:t>
      </w:r>
    </w:p>
    <w:p w14:paraId="1721BE0D" w14:textId="51274E37" w:rsidR="006600C1" w:rsidRPr="00BC1339" w:rsidRDefault="006600C1" w:rsidP="006600C1">
      <w:pPr>
        <w:pStyle w:val="TableofFigures"/>
      </w:pPr>
      <w:r w:rsidRPr="00BC1339">
        <w:t>Figure 2: Expenses by category for the year ended 30 June 2023</w:t>
      </w:r>
    </w:p>
    <w:tbl>
      <w:tblPr>
        <w:tblStyle w:val="GridTable4-Accent1"/>
        <w:tblW w:w="5000" w:type="pct"/>
        <w:tblLook w:val="04A0" w:firstRow="1" w:lastRow="0" w:firstColumn="1" w:lastColumn="0" w:noHBand="0" w:noVBand="1"/>
      </w:tblPr>
      <w:tblGrid>
        <w:gridCol w:w="5618"/>
        <w:gridCol w:w="2288"/>
        <w:gridCol w:w="2288"/>
      </w:tblGrid>
      <w:tr w:rsidR="006600C1" w:rsidRPr="0014299D" w14:paraId="6AADA142" w14:textId="77777777" w:rsidTr="00EC1C36">
        <w:trPr>
          <w:cnfStyle w:val="100000000000" w:firstRow="1" w:lastRow="0" w:firstColumn="0" w:lastColumn="0" w:oddVBand="0" w:evenVBand="0" w:oddHBand="0" w:evenHBand="0" w:firstRowFirstColumn="0" w:firstRowLastColumn="0" w:lastRowFirstColumn="0" w:lastRowLastColumn="0"/>
          <w:trHeight w:val="67"/>
          <w:tblHeader/>
        </w:trPr>
        <w:tc>
          <w:tcPr>
            <w:cnfStyle w:val="001000000000" w:firstRow="0" w:lastRow="0" w:firstColumn="1" w:lastColumn="0" w:oddVBand="0" w:evenVBand="0" w:oddHBand="0" w:evenHBand="0" w:firstRowFirstColumn="0" w:firstRowLastColumn="0" w:lastRowFirstColumn="0" w:lastRowLastColumn="0"/>
            <w:tcW w:w="2755" w:type="pct"/>
            <w:noWrap/>
            <w:hideMark/>
          </w:tcPr>
          <w:p w14:paraId="0484A682" w14:textId="77777777" w:rsidR="006600C1" w:rsidRPr="0014299D" w:rsidRDefault="006600C1" w:rsidP="00A655E6">
            <w:pPr>
              <w:pStyle w:val="Normal-table"/>
            </w:pPr>
            <w:r w:rsidRPr="0014299D">
              <w:t>Expenses</w:t>
            </w:r>
          </w:p>
        </w:tc>
        <w:tc>
          <w:tcPr>
            <w:tcW w:w="1122" w:type="pct"/>
            <w:noWrap/>
            <w:hideMark/>
          </w:tcPr>
          <w:p w14:paraId="6FF47C06" w14:textId="77777777" w:rsidR="006600C1" w:rsidRPr="0014299D" w:rsidRDefault="006600C1" w:rsidP="00A655E6">
            <w:pPr>
              <w:pStyle w:val="Normal-table"/>
              <w:cnfStyle w:val="100000000000" w:firstRow="1" w:lastRow="0" w:firstColumn="0" w:lastColumn="0" w:oddVBand="0" w:evenVBand="0" w:oddHBand="0" w:evenHBand="0" w:firstRowFirstColumn="0" w:firstRowLastColumn="0" w:lastRowFirstColumn="0" w:lastRowLastColumn="0"/>
            </w:pPr>
            <w:r w:rsidRPr="0014299D">
              <w:t>Expense %</w:t>
            </w:r>
          </w:p>
        </w:tc>
        <w:tc>
          <w:tcPr>
            <w:tcW w:w="1122" w:type="pct"/>
            <w:noWrap/>
            <w:hideMark/>
          </w:tcPr>
          <w:p w14:paraId="1146F83B" w14:textId="77777777" w:rsidR="006600C1" w:rsidRPr="0014299D" w:rsidRDefault="006600C1" w:rsidP="00A655E6">
            <w:pPr>
              <w:pStyle w:val="Normal-table"/>
              <w:cnfStyle w:val="100000000000" w:firstRow="1" w:lastRow="0" w:firstColumn="0" w:lastColumn="0" w:oddVBand="0" w:evenVBand="0" w:oddHBand="0" w:evenHBand="0" w:firstRowFirstColumn="0" w:firstRowLastColumn="0" w:lastRowFirstColumn="0" w:lastRowLastColumn="0"/>
            </w:pPr>
            <w:r w:rsidRPr="0014299D">
              <w:t>$ '000</w:t>
            </w:r>
          </w:p>
        </w:tc>
      </w:tr>
      <w:tr w:rsidR="006600C1" w:rsidRPr="0014299D" w14:paraId="2C6F8BCE" w14:textId="77777777" w:rsidTr="00EC1C36">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2755" w:type="pct"/>
            <w:noWrap/>
            <w:hideMark/>
          </w:tcPr>
          <w:p w14:paraId="2210592A" w14:textId="77777777" w:rsidR="006600C1" w:rsidRPr="0014299D" w:rsidRDefault="006600C1" w:rsidP="00A655E6">
            <w:pPr>
              <w:pStyle w:val="Normal-table"/>
            </w:pPr>
            <w:r w:rsidRPr="0014299D">
              <w:t>Employee expenses</w:t>
            </w:r>
          </w:p>
        </w:tc>
        <w:tc>
          <w:tcPr>
            <w:tcW w:w="1122" w:type="pct"/>
            <w:noWrap/>
            <w:hideMark/>
          </w:tcPr>
          <w:p w14:paraId="68396138" w14:textId="77777777" w:rsidR="006600C1" w:rsidRPr="0014299D" w:rsidRDefault="006600C1" w:rsidP="00A655E6">
            <w:pPr>
              <w:pStyle w:val="Normal-table"/>
              <w:cnfStyle w:val="000000100000" w:firstRow="0" w:lastRow="0" w:firstColumn="0" w:lastColumn="0" w:oddVBand="0" w:evenVBand="0" w:oddHBand="1" w:evenHBand="0" w:firstRowFirstColumn="0" w:firstRowLastColumn="0" w:lastRowFirstColumn="0" w:lastRowLastColumn="0"/>
            </w:pPr>
            <w:r w:rsidRPr="0014299D">
              <w:t xml:space="preserve">9.23 </w:t>
            </w:r>
          </w:p>
        </w:tc>
        <w:tc>
          <w:tcPr>
            <w:tcW w:w="1122" w:type="pct"/>
            <w:noWrap/>
            <w:hideMark/>
          </w:tcPr>
          <w:p w14:paraId="7C538DB0" w14:textId="77777777" w:rsidR="006600C1" w:rsidRPr="0014299D" w:rsidRDefault="006600C1" w:rsidP="00A655E6">
            <w:pPr>
              <w:pStyle w:val="Normal-table"/>
              <w:cnfStyle w:val="000000100000" w:firstRow="0" w:lastRow="0" w:firstColumn="0" w:lastColumn="0" w:oddVBand="0" w:evenVBand="0" w:oddHBand="1" w:evenHBand="0" w:firstRowFirstColumn="0" w:firstRowLastColumn="0" w:lastRowFirstColumn="0" w:lastRowLastColumn="0"/>
            </w:pPr>
            <w:r w:rsidRPr="0014299D">
              <w:t>709,747</w:t>
            </w:r>
            <w:r w:rsidRPr="0014299D">
              <w:rPr>
                <w:highlight w:val="yellow"/>
              </w:rPr>
              <w:t xml:space="preserve"> </w:t>
            </w:r>
          </w:p>
        </w:tc>
      </w:tr>
      <w:tr w:rsidR="006600C1" w:rsidRPr="0014299D" w14:paraId="4C04619C" w14:textId="77777777" w:rsidTr="00EC1C36">
        <w:trPr>
          <w:trHeight w:val="41"/>
        </w:trPr>
        <w:tc>
          <w:tcPr>
            <w:cnfStyle w:val="001000000000" w:firstRow="0" w:lastRow="0" w:firstColumn="1" w:lastColumn="0" w:oddVBand="0" w:evenVBand="0" w:oddHBand="0" w:evenHBand="0" w:firstRowFirstColumn="0" w:firstRowLastColumn="0" w:lastRowFirstColumn="0" w:lastRowLastColumn="0"/>
            <w:tcW w:w="2755" w:type="pct"/>
            <w:noWrap/>
            <w:hideMark/>
          </w:tcPr>
          <w:p w14:paraId="4E5322D8" w14:textId="77777777" w:rsidR="006600C1" w:rsidRPr="0014299D" w:rsidRDefault="006600C1" w:rsidP="00A655E6">
            <w:pPr>
              <w:pStyle w:val="Normal-table"/>
            </w:pPr>
            <w:r w:rsidRPr="0014299D">
              <w:t>Supplies and services</w:t>
            </w:r>
          </w:p>
        </w:tc>
        <w:tc>
          <w:tcPr>
            <w:tcW w:w="1122" w:type="pct"/>
            <w:noWrap/>
            <w:hideMark/>
          </w:tcPr>
          <w:p w14:paraId="666C9D78" w14:textId="77777777" w:rsidR="006600C1" w:rsidRPr="0014299D" w:rsidRDefault="006600C1" w:rsidP="00A655E6">
            <w:pPr>
              <w:pStyle w:val="Normal-table"/>
              <w:cnfStyle w:val="000000000000" w:firstRow="0" w:lastRow="0" w:firstColumn="0" w:lastColumn="0" w:oddVBand="0" w:evenVBand="0" w:oddHBand="0" w:evenHBand="0" w:firstRowFirstColumn="0" w:firstRowLastColumn="0" w:lastRowFirstColumn="0" w:lastRowLastColumn="0"/>
            </w:pPr>
            <w:r w:rsidRPr="0014299D">
              <w:t xml:space="preserve">59.00 </w:t>
            </w:r>
          </w:p>
        </w:tc>
        <w:tc>
          <w:tcPr>
            <w:tcW w:w="1122" w:type="pct"/>
            <w:noWrap/>
            <w:hideMark/>
          </w:tcPr>
          <w:p w14:paraId="6FE1FF19" w14:textId="77777777" w:rsidR="006600C1" w:rsidRPr="0014299D" w:rsidRDefault="006600C1" w:rsidP="00A655E6">
            <w:pPr>
              <w:pStyle w:val="Normal-table"/>
              <w:cnfStyle w:val="000000000000" w:firstRow="0" w:lastRow="0" w:firstColumn="0" w:lastColumn="0" w:oddVBand="0" w:evenVBand="0" w:oddHBand="0" w:evenHBand="0" w:firstRowFirstColumn="0" w:firstRowLastColumn="0" w:lastRowFirstColumn="0" w:lastRowLastColumn="0"/>
            </w:pPr>
            <w:r w:rsidRPr="0014299D">
              <w:t>4,536,142</w:t>
            </w:r>
          </w:p>
        </w:tc>
      </w:tr>
      <w:tr w:rsidR="006600C1" w:rsidRPr="0014299D" w14:paraId="0404F962" w14:textId="77777777" w:rsidTr="00EC1C36">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2755" w:type="pct"/>
            <w:noWrap/>
            <w:hideMark/>
          </w:tcPr>
          <w:p w14:paraId="5F217D81" w14:textId="77777777" w:rsidR="006600C1" w:rsidRPr="0014299D" w:rsidRDefault="006600C1" w:rsidP="00A655E6">
            <w:pPr>
              <w:pStyle w:val="Normal-table"/>
            </w:pPr>
            <w:r w:rsidRPr="0014299D">
              <w:t xml:space="preserve">Grants and subsidies </w:t>
            </w:r>
          </w:p>
        </w:tc>
        <w:tc>
          <w:tcPr>
            <w:tcW w:w="1122" w:type="pct"/>
            <w:noWrap/>
            <w:hideMark/>
          </w:tcPr>
          <w:p w14:paraId="22D8A3EB" w14:textId="77777777" w:rsidR="006600C1" w:rsidRPr="0014299D" w:rsidRDefault="006600C1" w:rsidP="00A655E6">
            <w:pPr>
              <w:pStyle w:val="Normal-table"/>
              <w:cnfStyle w:val="000000100000" w:firstRow="0" w:lastRow="0" w:firstColumn="0" w:lastColumn="0" w:oddVBand="0" w:evenVBand="0" w:oddHBand="1" w:evenHBand="0" w:firstRowFirstColumn="0" w:firstRowLastColumn="0" w:lastRowFirstColumn="0" w:lastRowLastColumn="0"/>
            </w:pPr>
            <w:r w:rsidRPr="0014299D">
              <w:t>10.36</w:t>
            </w:r>
          </w:p>
        </w:tc>
        <w:tc>
          <w:tcPr>
            <w:tcW w:w="1122" w:type="pct"/>
            <w:noWrap/>
            <w:hideMark/>
          </w:tcPr>
          <w:p w14:paraId="6C1530FB" w14:textId="77777777" w:rsidR="006600C1" w:rsidRPr="0014299D" w:rsidRDefault="006600C1" w:rsidP="00A655E6">
            <w:pPr>
              <w:pStyle w:val="Normal-table"/>
              <w:cnfStyle w:val="000000100000" w:firstRow="0" w:lastRow="0" w:firstColumn="0" w:lastColumn="0" w:oddVBand="0" w:evenVBand="0" w:oddHBand="1" w:evenHBand="0" w:firstRowFirstColumn="0" w:firstRowLastColumn="0" w:lastRowFirstColumn="0" w:lastRowLastColumn="0"/>
            </w:pPr>
            <w:r w:rsidRPr="0014299D">
              <w:t>796,688</w:t>
            </w:r>
          </w:p>
        </w:tc>
      </w:tr>
      <w:tr w:rsidR="006600C1" w:rsidRPr="0014299D" w14:paraId="2CF67200" w14:textId="77777777" w:rsidTr="00EC1C36">
        <w:trPr>
          <w:trHeight w:val="41"/>
        </w:trPr>
        <w:tc>
          <w:tcPr>
            <w:cnfStyle w:val="001000000000" w:firstRow="0" w:lastRow="0" w:firstColumn="1" w:lastColumn="0" w:oddVBand="0" w:evenVBand="0" w:oddHBand="0" w:evenHBand="0" w:firstRowFirstColumn="0" w:firstRowLastColumn="0" w:lastRowFirstColumn="0" w:lastRowLastColumn="0"/>
            <w:tcW w:w="2755" w:type="pct"/>
            <w:noWrap/>
            <w:hideMark/>
          </w:tcPr>
          <w:p w14:paraId="4DDFE32B" w14:textId="77777777" w:rsidR="006600C1" w:rsidRPr="0014299D" w:rsidRDefault="006600C1" w:rsidP="00A655E6">
            <w:pPr>
              <w:pStyle w:val="Normal-table"/>
            </w:pPr>
            <w:r w:rsidRPr="0014299D">
              <w:t>Finance and borrowing costs</w:t>
            </w:r>
          </w:p>
        </w:tc>
        <w:tc>
          <w:tcPr>
            <w:tcW w:w="1122" w:type="pct"/>
            <w:noWrap/>
            <w:hideMark/>
          </w:tcPr>
          <w:p w14:paraId="211AB5CD" w14:textId="77777777" w:rsidR="006600C1" w:rsidRPr="0014299D" w:rsidRDefault="006600C1" w:rsidP="00A655E6">
            <w:pPr>
              <w:pStyle w:val="Normal-table"/>
              <w:cnfStyle w:val="000000000000" w:firstRow="0" w:lastRow="0" w:firstColumn="0" w:lastColumn="0" w:oddVBand="0" w:evenVBand="0" w:oddHBand="0" w:evenHBand="0" w:firstRowFirstColumn="0" w:firstRowLastColumn="0" w:lastRowFirstColumn="0" w:lastRowLastColumn="0"/>
            </w:pPr>
            <w:r w:rsidRPr="0014299D">
              <w:t>1.27</w:t>
            </w:r>
          </w:p>
        </w:tc>
        <w:tc>
          <w:tcPr>
            <w:tcW w:w="1122" w:type="pct"/>
            <w:noWrap/>
            <w:hideMark/>
          </w:tcPr>
          <w:p w14:paraId="18BD3066" w14:textId="77777777" w:rsidR="006600C1" w:rsidRPr="0014299D" w:rsidRDefault="006600C1" w:rsidP="00A655E6">
            <w:pPr>
              <w:pStyle w:val="Normal-table"/>
              <w:cnfStyle w:val="000000000000" w:firstRow="0" w:lastRow="0" w:firstColumn="0" w:lastColumn="0" w:oddVBand="0" w:evenVBand="0" w:oddHBand="0" w:evenHBand="0" w:firstRowFirstColumn="0" w:firstRowLastColumn="0" w:lastRowFirstColumn="0" w:lastRowLastColumn="0"/>
            </w:pPr>
            <w:r w:rsidRPr="0014299D">
              <w:t>97,277</w:t>
            </w:r>
          </w:p>
        </w:tc>
      </w:tr>
      <w:tr w:rsidR="006600C1" w:rsidRPr="0014299D" w14:paraId="740B0BAA" w14:textId="77777777" w:rsidTr="00EC1C36">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2755" w:type="pct"/>
            <w:noWrap/>
            <w:hideMark/>
          </w:tcPr>
          <w:p w14:paraId="058045A4" w14:textId="77777777" w:rsidR="006600C1" w:rsidRPr="0014299D" w:rsidRDefault="006600C1" w:rsidP="00A655E6">
            <w:pPr>
              <w:pStyle w:val="Normal-table"/>
            </w:pPr>
            <w:r w:rsidRPr="0014299D">
              <w:t>Depreciation and amortisation</w:t>
            </w:r>
          </w:p>
        </w:tc>
        <w:tc>
          <w:tcPr>
            <w:tcW w:w="1122" w:type="pct"/>
            <w:noWrap/>
            <w:hideMark/>
          </w:tcPr>
          <w:p w14:paraId="24FC5DAD" w14:textId="77777777" w:rsidR="006600C1" w:rsidRPr="0014299D" w:rsidRDefault="006600C1" w:rsidP="00A655E6">
            <w:pPr>
              <w:pStyle w:val="Normal-table"/>
              <w:cnfStyle w:val="000000100000" w:firstRow="0" w:lastRow="0" w:firstColumn="0" w:lastColumn="0" w:oddVBand="0" w:evenVBand="0" w:oddHBand="1" w:evenHBand="0" w:firstRowFirstColumn="0" w:firstRowLastColumn="0" w:lastRowFirstColumn="0" w:lastRowLastColumn="0"/>
            </w:pPr>
            <w:r w:rsidRPr="0014299D">
              <w:t>19.59</w:t>
            </w:r>
          </w:p>
        </w:tc>
        <w:tc>
          <w:tcPr>
            <w:tcW w:w="1122" w:type="pct"/>
            <w:noWrap/>
            <w:hideMark/>
          </w:tcPr>
          <w:p w14:paraId="00A27910" w14:textId="77777777" w:rsidR="006600C1" w:rsidRPr="0014299D" w:rsidRDefault="006600C1" w:rsidP="00A655E6">
            <w:pPr>
              <w:pStyle w:val="Normal-table"/>
              <w:cnfStyle w:val="000000100000" w:firstRow="0" w:lastRow="0" w:firstColumn="0" w:lastColumn="0" w:oddVBand="0" w:evenVBand="0" w:oddHBand="1" w:evenHBand="0" w:firstRowFirstColumn="0" w:firstRowLastColumn="0" w:lastRowFirstColumn="0" w:lastRowLastColumn="0"/>
            </w:pPr>
            <w:r w:rsidRPr="0014299D">
              <w:t>1,506,325</w:t>
            </w:r>
          </w:p>
        </w:tc>
      </w:tr>
      <w:tr w:rsidR="006600C1" w:rsidRPr="0014299D" w14:paraId="0AFF6A41" w14:textId="77777777" w:rsidTr="00EC1C36">
        <w:trPr>
          <w:trHeight w:val="41"/>
        </w:trPr>
        <w:tc>
          <w:tcPr>
            <w:cnfStyle w:val="001000000000" w:firstRow="0" w:lastRow="0" w:firstColumn="1" w:lastColumn="0" w:oddVBand="0" w:evenVBand="0" w:oddHBand="0" w:evenHBand="0" w:firstRowFirstColumn="0" w:firstRowLastColumn="0" w:lastRowFirstColumn="0" w:lastRowLastColumn="0"/>
            <w:tcW w:w="2755" w:type="pct"/>
            <w:noWrap/>
            <w:hideMark/>
          </w:tcPr>
          <w:p w14:paraId="66CB6315" w14:textId="77777777" w:rsidR="006600C1" w:rsidRPr="0014299D" w:rsidRDefault="006600C1" w:rsidP="00A655E6">
            <w:pPr>
              <w:pStyle w:val="Normal-table"/>
            </w:pPr>
            <w:r w:rsidRPr="0014299D">
              <w:t>Other expenses</w:t>
            </w:r>
          </w:p>
        </w:tc>
        <w:tc>
          <w:tcPr>
            <w:tcW w:w="1122" w:type="pct"/>
            <w:noWrap/>
            <w:hideMark/>
          </w:tcPr>
          <w:p w14:paraId="23A4F86B" w14:textId="77777777" w:rsidR="006600C1" w:rsidRPr="0014299D" w:rsidRDefault="006600C1" w:rsidP="00A655E6">
            <w:pPr>
              <w:pStyle w:val="Normal-table"/>
              <w:cnfStyle w:val="000000000000" w:firstRow="0" w:lastRow="0" w:firstColumn="0" w:lastColumn="0" w:oddVBand="0" w:evenVBand="0" w:oddHBand="0" w:evenHBand="0" w:firstRowFirstColumn="0" w:firstRowLastColumn="0" w:lastRowFirstColumn="0" w:lastRowLastColumn="0"/>
            </w:pPr>
            <w:r w:rsidRPr="0014299D">
              <w:t>0.55</w:t>
            </w:r>
          </w:p>
        </w:tc>
        <w:tc>
          <w:tcPr>
            <w:tcW w:w="1122" w:type="pct"/>
            <w:noWrap/>
            <w:hideMark/>
          </w:tcPr>
          <w:p w14:paraId="0ADAE7E8" w14:textId="77777777" w:rsidR="006600C1" w:rsidRPr="0014299D" w:rsidRDefault="006600C1" w:rsidP="00A655E6">
            <w:pPr>
              <w:pStyle w:val="Normal-table"/>
              <w:cnfStyle w:val="000000000000" w:firstRow="0" w:lastRow="0" w:firstColumn="0" w:lastColumn="0" w:oddVBand="0" w:evenVBand="0" w:oddHBand="0" w:evenHBand="0" w:firstRowFirstColumn="0" w:firstRowLastColumn="0" w:lastRowFirstColumn="0" w:lastRowLastColumn="0"/>
            </w:pPr>
            <w:r w:rsidRPr="0014299D">
              <w:t>41,976</w:t>
            </w:r>
          </w:p>
        </w:tc>
      </w:tr>
      <w:tr w:rsidR="006600C1" w:rsidRPr="0014299D" w14:paraId="5BA41DFB" w14:textId="77777777" w:rsidTr="00EC1C36">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2755" w:type="pct"/>
            <w:noWrap/>
            <w:hideMark/>
          </w:tcPr>
          <w:p w14:paraId="039BF138" w14:textId="77777777" w:rsidR="006600C1" w:rsidRPr="0014299D" w:rsidRDefault="006600C1" w:rsidP="00A655E6">
            <w:pPr>
              <w:pStyle w:val="Normal-table"/>
            </w:pPr>
            <w:r w:rsidRPr="0014299D">
              <w:t>Total expenses</w:t>
            </w:r>
          </w:p>
        </w:tc>
        <w:tc>
          <w:tcPr>
            <w:tcW w:w="1122" w:type="pct"/>
            <w:noWrap/>
            <w:hideMark/>
          </w:tcPr>
          <w:p w14:paraId="1081AE44" w14:textId="77777777" w:rsidR="006600C1" w:rsidRPr="0014299D" w:rsidRDefault="006600C1" w:rsidP="00A655E6">
            <w:pPr>
              <w:pStyle w:val="Normal-table"/>
              <w:cnfStyle w:val="000000100000" w:firstRow="0" w:lastRow="0" w:firstColumn="0" w:lastColumn="0" w:oddVBand="0" w:evenVBand="0" w:oddHBand="1" w:evenHBand="0" w:firstRowFirstColumn="0" w:firstRowLastColumn="0" w:lastRowFirstColumn="0" w:lastRowLastColumn="0"/>
            </w:pPr>
          </w:p>
        </w:tc>
        <w:tc>
          <w:tcPr>
            <w:tcW w:w="1122" w:type="pct"/>
            <w:noWrap/>
            <w:hideMark/>
          </w:tcPr>
          <w:p w14:paraId="5A070DAA" w14:textId="77777777" w:rsidR="006600C1" w:rsidRPr="0014299D" w:rsidRDefault="006600C1" w:rsidP="00A655E6">
            <w:pPr>
              <w:pStyle w:val="Normal-table"/>
              <w:cnfStyle w:val="000000100000" w:firstRow="0" w:lastRow="0" w:firstColumn="0" w:lastColumn="0" w:oddVBand="0" w:evenVBand="0" w:oddHBand="1" w:evenHBand="0" w:firstRowFirstColumn="0" w:firstRowLastColumn="0" w:lastRowFirstColumn="0" w:lastRowLastColumn="0"/>
            </w:pPr>
            <w:r w:rsidRPr="0014299D">
              <w:t>7,688,155</w:t>
            </w:r>
          </w:p>
        </w:tc>
      </w:tr>
    </w:tbl>
    <w:p w14:paraId="421EFD40" w14:textId="77777777" w:rsidR="006600C1" w:rsidRDefault="006600C1" w:rsidP="006600C1"/>
    <w:p w14:paraId="13E0A69D" w14:textId="711D2E02" w:rsidR="00737207" w:rsidRDefault="00737207" w:rsidP="006600C1">
      <w:r>
        <w:rPr>
          <w:noProof/>
        </w:rPr>
        <w:drawing>
          <wp:inline distT="0" distB="0" distL="0" distR="0" wp14:anchorId="077B01BC" wp14:editId="79825F85">
            <wp:extent cx="5486400" cy="3200400"/>
            <wp:effectExtent l="0" t="0" r="0" b="0"/>
            <wp:docPr id="2" name="Chart 2" descr="Graph displaying the expenses by category for the year ended 30 June 2023. Supplies and services take up more than half the graph. "/>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A7C3CBE" w14:textId="77777777" w:rsidR="00737207" w:rsidRPr="00A810A7" w:rsidRDefault="00737207" w:rsidP="006600C1"/>
    <w:p w14:paraId="13C511C7" w14:textId="77777777" w:rsidR="00A53E9C" w:rsidRDefault="00A53E9C">
      <w:pPr>
        <w:spacing w:before="0" w:after="160" w:line="259" w:lineRule="auto"/>
        <w:rPr>
          <w:rFonts w:eastAsiaTheme="majorEastAsia" w:cstheme="majorBidi"/>
          <w:color w:val="000000" w:themeColor="text1"/>
          <w:sz w:val="48"/>
          <w:szCs w:val="26"/>
          <w:lang w:val="en-AU"/>
        </w:rPr>
      </w:pPr>
      <w:r>
        <w:rPr>
          <w:lang w:val="en-AU"/>
        </w:rPr>
        <w:br w:type="page"/>
      </w:r>
    </w:p>
    <w:p w14:paraId="39E65CA3" w14:textId="68E77D76" w:rsidR="006600C1" w:rsidRPr="000658D3" w:rsidRDefault="006600C1" w:rsidP="006600C1">
      <w:pPr>
        <w:pStyle w:val="Heading2"/>
        <w:rPr>
          <w:lang w:val="en-AU"/>
        </w:rPr>
      </w:pPr>
      <w:r w:rsidRPr="000658D3">
        <w:rPr>
          <w:lang w:val="en-AU"/>
        </w:rPr>
        <w:lastRenderedPageBreak/>
        <w:t>Financial position</w:t>
      </w:r>
    </w:p>
    <w:p w14:paraId="557CB1A1" w14:textId="77777777" w:rsidR="006600C1" w:rsidRPr="000D4209" w:rsidRDefault="006600C1" w:rsidP="006600C1">
      <w:r w:rsidRPr="000D4209">
        <w:t>The net assets position reported in the financial statements shows the net worth of the department. The machinery-of-government change on 18 May 2023 contributed additional equity of $98.853 million, with assets to the value of $247.841 million and liabilities with a value of $148.988 million being transferred to the department. At 30 June 2023, total equity was $109,732 million. Table 2 summarises the department’s financial position for the past five financial years.</w:t>
      </w:r>
    </w:p>
    <w:p w14:paraId="2BB75437" w14:textId="77777777" w:rsidR="006600C1" w:rsidRPr="000D4209" w:rsidRDefault="006600C1" w:rsidP="006600C1">
      <w:r w:rsidRPr="000D4209">
        <w:t>Total assets have increased by $19,167 million due mainly to an increase in key construction input costs resulting in a 9.6</w:t>
      </w:r>
      <w:r>
        <w:t xml:space="preserve"> per cent</w:t>
      </w:r>
      <w:r w:rsidRPr="000D4209">
        <w:t xml:space="preserve"> increase from revaluations to the department’s infrastructure assets and from asset acquisitions.</w:t>
      </w:r>
    </w:p>
    <w:p w14:paraId="33269CF2" w14:textId="0C79CE39" w:rsidR="006600C1" w:rsidRPr="00BC1339" w:rsidRDefault="006600C1" w:rsidP="006600C1">
      <w:pPr>
        <w:pStyle w:val="TableofFigures"/>
      </w:pPr>
      <w:r w:rsidRPr="00BC1339">
        <w:t>Table 2: Summary of financial position — Assets and liabilities</w:t>
      </w:r>
    </w:p>
    <w:tbl>
      <w:tblPr>
        <w:tblStyle w:val="GridTable4-Accent1"/>
        <w:tblW w:w="8887" w:type="dxa"/>
        <w:tblLook w:val="04A0" w:firstRow="1" w:lastRow="0" w:firstColumn="1" w:lastColumn="0" w:noHBand="0" w:noVBand="1"/>
      </w:tblPr>
      <w:tblGrid>
        <w:gridCol w:w="2319"/>
        <w:gridCol w:w="2251"/>
        <w:gridCol w:w="2066"/>
        <w:gridCol w:w="2251"/>
      </w:tblGrid>
      <w:tr w:rsidR="006600C1" w:rsidRPr="000658D3" w14:paraId="0B425A2B" w14:textId="77777777" w:rsidTr="00E5013E">
        <w:trPr>
          <w:cnfStyle w:val="100000000000" w:firstRow="1" w:lastRow="0" w:firstColumn="0" w:lastColumn="0" w:oddVBand="0" w:evenVBand="0" w:oddHBand="0" w:evenHBand="0" w:firstRowFirstColumn="0" w:firstRowLastColumn="0" w:lastRowFirstColumn="0" w:lastRowLastColumn="0"/>
          <w:trHeight w:val="384"/>
          <w:tblHeader/>
        </w:trPr>
        <w:tc>
          <w:tcPr>
            <w:cnfStyle w:val="001000000000" w:firstRow="0" w:lastRow="0" w:firstColumn="1" w:lastColumn="0" w:oddVBand="0" w:evenVBand="0" w:oddHBand="0" w:evenHBand="0" w:firstRowFirstColumn="0" w:firstRowLastColumn="0" w:lastRowFirstColumn="0" w:lastRowLastColumn="0"/>
            <w:tcW w:w="2319" w:type="dxa"/>
            <w:noWrap/>
            <w:hideMark/>
          </w:tcPr>
          <w:p w14:paraId="6B5FB705" w14:textId="77777777" w:rsidR="006600C1" w:rsidRPr="000658D3" w:rsidRDefault="006600C1" w:rsidP="00A655E6">
            <w:pPr>
              <w:pStyle w:val="Normal-table"/>
              <w:rPr>
                <w:lang w:val="en-AU"/>
              </w:rPr>
            </w:pPr>
            <w:r w:rsidRPr="000658D3">
              <w:rPr>
                <w:lang w:val="en-AU"/>
              </w:rPr>
              <w:t xml:space="preserve">Financial Position </w:t>
            </w:r>
          </w:p>
        </w:tc>
        <w:tc>
          <w:tcPr>
            <w:tcW w:w="2251" w:type="dxa"/>
            <w:hideMark/>
          </w:tcPr>
          <w:p w14:paraId="51FD231E" w14:textId="77777777" w:rsidR="006600C1" w:rsidRPr="000658D3" w:rsidRDefault="006600C1" w:rsidP="00A655E6">
            <w:pPr>
              <w:pStyle w:val="Normal-table"/>
              <w:cnfStyle w:val="100000000000" w:firstRow="1" w:lastRow="0" w:firstColumn="0" w:lastColumn="0" w:oddVBand="0" w:evenVBand="0" w:oddHBand="0" w:evenHBand="0" w:firstRowFirstColumn="0" w:firstRowLastColumn="0" w:lastRowFirstColumn="0" w:lastRowLastColumn="0"/>
              <w:rPr>
                <w:lang w:val="en-AU"/>
              </w:rPr>
            </w:pPr>
            <w:r w:rsidRPr="000658D3">
              <w:rPr>
                <w:lang w:val="en-AU"/>
              </w:rPr>
              <w:t>Total Assets</w:t>
            </w:r>
          </w:p>
        </w:tc>
        <w:tc>
          <w:tcPr>
            <w:tcW w:w="2066" w:type="dxa"/>
            <w:hideMark/>
          </w:tcPr>
          <w:p w14:paraId="773909BD" w14:textId="77777777" w:rsidR="006600C1" w:rsidRPr="000658D3" w:rsidRDefault="006600C1" w:rsidP="00A655E6">
            <w:pPr>
              <w:pStyle w:val="Normal-table"/>
              <w:cnfStyle w:val="100000000000" w:firstRow="1" w:lastRow="0" w:firstColumn="0" w:lastColumn="0" w:oddVBand="0" w:evenVBand="0" w:oddHBand="0" w:evenHBand="0" w:firstRowFirstColumn="0" w:firstRowLastColumn="0" w:lastRowFirstColumn="0" w:lastRowLastColumn="0"/>
              <w:rPr>
                <w:lang w:val="en-AU"/>
              </w:rPr>
            </w:pPr>
            <w:r w:rsidRPr="000658D3">
              <w:rPr>
                <w:lang w:val="en-AU"/>
              </w:rPr>
              <w:t>Total Liabilities</w:t>
            </w:r>
          </w:p>
        </w:tc>
        <w:tc>
          <w:tcPr>
            <w:tcW w:w="2251" w:type="dxa"/>
            <w:noWrap/>
            <w:hideMark/>
          </w:tcPr>
          <w:p w14:paraId="6237A1AD" w14:textId="77777777" w:rsidR="006600C1" w:rsidRPr="000658D3" w:rsidRDefault="006600C1" w:rsidP="00A655E6">
            <w:pPr>
              <w:pStyle w:val="Normal-table"/>
              <w:cnfStyle w:val="100000000000" w:firstRow="1" w:lastRow="0" w:firstColumn="0" w:lastColumn="0" w:oddVBand="0" w:evenVBand="0" w:oddHBand="0" w:evenHBand="0" w:firstRowFirstColumn="0" w:firstRowLastColumn="0" w:lastRowFirstColumn="0" w:lastRowLastColumn="0"/>
              <w:rPr>
                <w:lang w:val="en-AU"/>
              </w:rPr>
            </w:pPr>
            <w:r w:rsidRPr="000658D3">
              <w:rPr>
                <w:lang w:val="en-AU"/>
              </w:rPr>
              <w:t>Total Equity</w:t>
            </w:r>
          </w:p>
        </w:tc>
      </w:tr>
      <w:tr w:rsidR="006600C1" w:rsidRPr="000658D3" w14:paraId="7CE046DF" w14:textId="77777777" w:rsidTr="00E5013E">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319" w:type="dxa"/>
            <w:noWrap/>
            <w:hideMark/>
          </w:tcPr>
          <w:p w14:paraId="0B89E1D1" w14:textId="77777777" w:rsidR="006600C1" w:rsidRPr="000B42C9" w:rsidRDefault="006600C1" w:rsidP="00A655E6">
            <w:pPr>
              <w:pStyle w:val="Normal-table"/>
            </w:pPr>
            <w:r w:rsidRPr="000B42C9">
              <w:t>2022–23 ($ '000)</w:t>
            </w:r>
          </w:p>
        </w:tc>
        <w:tc>
          <w:tcPr>
            <w:tcW w:w="2251" w:type="dxa"/>
            <w:noWrap/>
            <w:hideMark/>
          </w:tcPr>
          <w:p w14:paraId="43A8B943" w14:textId="5EB9CC34" w:rsidR="006600C1" w:rsidRPr="000B42C9" w:rsidRDefault="006600C1" w:rsidP="00A655E6">
            <w:pPr>
              <w:pStyle w:val="Normal-table"/>
              <w:cnfStyle w:val="000000100000" w:firstRow="0" w:lastRow="0" w:firstColumn="0" w:lastColumn="0" w:oddVBand="0" w:evenVBand="0" w:oddHBand="1" w:evenHBand="0" w:firstRowFirstColumn="0" w:firstRowLastColumn="0" w:lastRowFirstColumn="0" w:lastRowLastColumn="0"/>
            </w:pPr>
            <w:r w:rsidRPr="000B42C9">
              <w:t xml:space="preserve">119,917,902 </w:t>
            </w:r>
          </w:p>
        </w:tc>
        <w:tc>
          <w:tcPr>
            <w:tcW w:w="2066" w:type="dxa"/>
            <w:noWrap/>
            <w:hideMark/>
          </w:tcPr>
          <w:p w14:paraId="3AD80ADE" w14:textId="636B89E8" w:rsidR="006600C1" w:rsidRPr="000B42C9" w:rsidRDefault="006600C1" w:rsidP="00A655E6">
            <w:pPr>
              <w:pStyle w:val="Normal-table"/>
              <w:cnfStyle w:val="000000100000" w:firstRow="0" w:lastRow="0" w:firstColumn="0" w:lastColumn="0" w:oddVBand="0" w:evenVBand="0" w:oddHBand="1" w:evenHBand="0" w:firstRowFirstColumn="0" w:firstRowLastColumn="0" w:lastRowFirstColumn="0" w:lastRowLastColumn="0"/>
            </w:pPr>
            <w:r w:rsidRPr="000B42C9">
              <w:t xml:space="preserve">10,185,996 </w:t>
            </w:r>
          </w:p>
        </w:tc>
        <w:tc>
          <w:tcPr>
            <w:tcW w:w="2251" w:type="dxa"/>
            <w:noWrap/>
            <w:hideMark/>
          </w:tcPr>
          <w:p w14:paraId="0D25C416" w14:textId="2F96758E" w:rsidR="006600C1" w:rsidRPr="000B42C9" w:rsidRDefault="006600C1" w:rsidP="00A655E6">
            <w:pPr>
              <w:pStyle w:val="Normal-table"/>
              <w:cnfStyle w:val="000000100000" w:firstRow="0" w:lastRow="0" w:firstColumn="0" w:lastColumn="0" w:oddVBand="0" w:evenVBand="0" w:oddHBand="1" w:evenHBand="0" w:firstRowFirstColumn="0" w:firstRowLastColumn="0" w:lastRowFirstColumn="0" w:lastRowLastColumn="0"/>
            </w:pPr>
            <w:r w:rsidRPr="000B42C9">
              <w:t xml:space="preserve">109,731,906 </w:t>
            </w:r>
          </w:p>
        </w:tc>
      </w:tr>
      <w:tr w:rsidR="006600C1" w:rsidRPr="000658D3" w14:paraId="5509BC11" w14:textId="77777777" w:rsidTr="00E5013E">
        <w:trPr>
          <w:trHeight w:val="239"/>
        </w:trPr>
        <w:tc>
          <w:tcPr>
            <w:cnfStyle w:val="001000000000" w:firstRow="0" w:lastRow="0" w:firstColumn="1" w:lastColumn="0" w:oddVBand="0" w:evenVBand="0" w:oddHBand="0" w:evenHBand="0" w:firstRowFirstColumn="0" w:firstRowLastColumn="0" w:lastRowFirstColumn="0" w:lastRowLastColumn="0"/>
            <w:tcW w:w="2319" w:type="dxa"/>
            <w:noWrap/>
            <w:hideMark/>
          </w:tcPr>
          <w:p w14:paraId="430BD2C5" w14:textId="77777777" w:rsidR="006600C1" w:rsidRPr="000B42C9" w:rsidRDefault="006600C1" w:rsidP="00A655E6">
            <w:pPr>
              <w:pStyle w:val="Normal-table"/>
            </w:pPr>
            <w:r w:rsidRPr="000B42C9">
              <w:t>2021–22 ($ '000)</w:t>
            </w:r>
          </w:p>
        </w:tc>
        <w:tc>
          <w:tcPr>
            <w:tcW w:w="2251" w:type="dxa"/>
            <w:noWrap/>
            <w:hideMark/>
          </w:tcPr>
          <w:p w14:paraId="37A1AFDA" w14:textId="18DBC2E8" w:rsidR="006600C1" w:rsidRPr="000B42C9" w:rsidRDefault="006600C1" w:rsidP="00A655E6">
            <w:pPr>
              <w:pStyle w:val="Normal-table"/>
              <w:cnfStyle w:val="000000000000" w:firstRow="0" w:lastRow="0" w:firstColumn="0" w:lastColumn="0" w:oddVBand="0" w:evenVBand="0" w:oddHBand="0" w:evenHBand="0" w:firstRowFirstColumn="0" w:firstRowLastColumn="0" w:lastRowFirstColumn="0" w:lastRowLastColumn="0"/>
            </w:pPr>
            <w:r w:rsidRPr="000B42C9">
              <w:t xml:space="preserve">100,750,641 </w:t>
            </w:r>
          </w:p>
        </w:tc>
        <w:tc>
          <w:tcPr>
            <w:tcW w:w="2066" w:type="dxa"/>
            <w:noWrap/>
            <w:hideMark/>
          </w:tcPr>
          <w:p w14:paraId="50E40155" w14:textId="05B748AB" w:rsidR="006600C1" w:rsidRPr="000B42C9" w:rsidRDefault="006600C1" w:rsidP="00A655E6">
            <w:pPr>
              <w:pStyle w:val="Normal-table"/>
              <w:cnfStyle w:val="000000000000" w:firstRow="0" w:lastRow="0" w:firstColumn="0" w:lastColumn="0" w:oddVBand="0" w:evenVBand="0" w:oddHBand="0" w:evenHBand="0" w:firstRowFirstColumn="0" w:firstRowLastColumn="0" w:lastRowFirstColumn="0" w:lastRowLastColumn="0"/>
            </w:pPr>
            <w:r w:rsidRPr="000B42C9">
              <w:t xml:space="preserve">10,042,913 </w:t>
            </w:r>
          </w:p>
        </w:tc>
        <w:tc>
          <w:tcPr>
            <w:tcW w:w="2251" w:type="dxa"/>
            <w:noWrap/>
            <w:hideMark/>
          </w:tcPr>
          <w:p w14:paraId="5613EA20" w14:textId="3A288E1F" w:rsidR="006600C1" w:rsidRPr="000B42C9" w:rsidRDefault="006600C1" w:rsidP="00A655E6">
            <w:pPr>
              <w:pStyle w:val="Normal-table"/>
              <w:cnfStyle w:val="000000000000" w:firstRow="0" w:lastRow="0" w:firstColumn="0" w:lastColumn="0" w:oddVBand="0" w:evenVBand="0" w:oddHBand="0" w:evenHBand="0" w:firstRowFirstColumn="0" w:firstRowLastColumn="0" w:lastRowFirstColumn="0" w:lastRowLastColumn="0"/>
            </w:pPr>
            <w:r w:rsidRPr="000B42C9">
              <w:t xml:space="preserve">90,707,728 </w:t>
            </w:r>
          </w:p>
        </w:tc>
      </w:tr>
      <w:tr w:rsidR="006600C1" w:rsidRPr="000658D3" w14:paraId="7E062150" w14:textId="77777777" w:rsidTr="00E5013E">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319" w:type="dxa"/>
            <w:noWrap/>
            <w:hideMark/>
          </w:tcPr>
          <w:p w14:paraId="7180CE56" w14:textId="77777777" w:rsidR="006600C1" w:rsidRPr="000B42C9" w:rsidRDefault="006600C1" w:rsidP="00A655E6">
            <w:pPr>
              <w:pStyle w:val="Normal-table"/>
            </w:pPr>
            <w:r w:rsidRPr="000B42C9">
              <w:t>2020–21 ($ '000)</w:t>
            </w:r>
          </w:p>
        </w:tc>
        <w:tc>
          <w:tcPr>
            <w:tcW w:w="2251" w:type="dxa"/>
            <w:noWrap/>
            <w:hideMark/>
          </w:tcPr>
          <w:p w14:paraId="7578A43D" w14:textId="41D0F3DB" w:rsidR="006600C1" w:rsidRPr="000B42C9" w:rsidRDefault="006600C1" w:rsidP="00A655E6">
            <w:pPr>
              <w:pStyle w:val="Normal-table"/>
              <w:cnfStyle w:val="000000100000" w:firstRow="0" w:lastRow="0" w:firstColumn="0" w:lastColumn="0" w:oddVBand="0" w:evenVBand="0" w:oddHBand="1" w:evenHBand="0" w:firstRowFirstColumn="0" w:firstRowLastColumn="0" w:lastRowFirstColumn="0" w:lastRowLastColumn="0"/>
            </w:pPr>
            <w:r w:rsidRPr="000B42C9">
              <w:t xml:space="preserve">87,402,208 </w:t>
            </w:r>
          </w:p>
        </w:tc>
        <w:tc>
          <w:tcPr>
            <w:tcW w:w="2066" w:type="dxa"/>
            <w:noWrap/>
            <w:hideMark/>
          </w:tcPr>
          <w:p w14:paraId="3041A0B0" w14:textId="3C618EFD" w:rsidR="006600C1" w:rsidRPr="000B42C9" w:rsidRDefault="006600C1" w:rsidP="00A655E6">
            <w:pPr>
              <w:pStyle w:val="Normal-table"/>
              <w:cnfStyle w:val="000000100000" w:firstRow="0" w:lastRow="0" w:firstColumn="0" w:lastColumn="0" w:oddVBand="0" w:evenVBand="0" w:oddHBand="1" w:evenHBand="0" w:firstRowFirstColumn="0" w:firstRowLastColumn="0" w:lastRowFirstColumn="0" w:lastRowLastColumn="0"/>
            </w:pPr>
            <w:r w:rsidRPr="000B42C9">
              <w:t xml:space="preserve">10,218,610 </w:t>
            </w:r>
          </w:p>
        </w:tc>
        <w:tc>
          <w:tcPr>
            <w:tcW w:w="2251" w:type="dxa"/>
            <w:noWrap/>
            <w:hideMark/>
          </w:tcPr>
          <w:p w14:paraId="60BE4266" w14:textId="40E10451" w:rsidR="006600C1" w:rsidRPr="000B42C9" w:rsidRDefault="006600C1" w:rsidP="00A655E6">
            <w:pPr>
              <w:pStyle w:val="Normal-table"/>
              <w:cnfStyle w:val="000000100000" w:firstRow="0" w:lastRow="0" w:firstColumn="0" w:lastColumn="0" w:oddVBand="0" w:evenVBand="0" w:oddHBand="1" w:evenHBand="0" w:firstRowFirstColumn="0" w:firstRowLastColumn="0" w:lastRowFirstColumn="0" w:lastRowLastColumn="0"/>
            </w:pPr>
            <w:r w:rsidRPr="000B42C9">
              <w:t xml:space="preserve">77,183,598 </w:t>
            </w:r>
          </w:p>
        </w:tc>
      </w:tr>
      <w:tr w:rsidR="006600C1" w:rsidRPr="000658D3" w14:paraId="01C09CB2" w14:textId="77777777" w:rsidTr="00E5013E">
        <w:trPr>
          <w:trHeight w:val="239"/>
        </w:trPr>
        <w:tc>
          <w:tcPr>
            <w:cnfStyle w:val="001000000000" w:firstRow="0" w:lastRow="0" w:firstColumn="1" w:lastColumn="0" w:oddVBand="0" w:evenVBand="0" w:oddHBand="0" w:evenHBand="0" w:firstRowFirstColumn="0" w:firstRowLastColumn="0" w:lastRowFirstColumn="0" w:lastRowLastColumn="0"/>
            <w:tcW w:w="2319" w:type="dxa"/>
            <w:noWrap/>
            <w:hideMark/>
          </w:tcPr>
          <w:p w14:paraId="4C38E73C" w14:textId="77777777" w:rsidR="006600C1" w:rsidRPr="000B42C9" w:rsidRDefault="006600C1" w:rsidP="00A655E6">
            <w:pPr>
              <w:pStyle w:val="Normal-table"/>
            </w:pPr>
            <w:r w:rsidRPr="000B42C9">
              <w:t>2019–20 ($ '000)</w:t>
            </w:r>
          </w:p>
        </w:tc>
        <w:tc>
          <w:tcPr>
            <w:tcW w:w="2251" w:type="dxa"/>
            <w:noWrap/>
            <w:hideMark/>
          </w:tcPr>
          <w:p w14:paraId="3E0BB54D" w14:textId="0827ED88" w:rsidR="006600C1" w:rsidRPr="000B42C9" w:rsidRDefault="006600C1" w:rsidP="00A655E6">
            <w:pPr>
              <w:pStyle w:val="Normal-table"/>
              <w:cnfStyle w:val="000000000000" w:firstRow="0" w:lastRow="0" w:firstColumn="0" w:lastColumn="0" w:oddVBand="0" w:evenVBand="0" w:oddHBand="0" w:evenHBand="0" w:firstRowFirstColumn="0" w:firstRowLastColumn="0" w:lastRowFirstColumn="0" w:lastRowLastColumn="0"/>
            </w:pPr>
            <w:r w:rsidRPr="000B42C9">
              <w:t xml:space="preserve">82,417,092 </w:t>
            </w:r>
          </w:p>
        </w:tc>
        <w:tc>
          <w:tcPr>
            <w:tcW w:w="2066" w:type="dxa"/>
            <w:noWrap/>
            <w:hideMark/>
          </w:tcPr>
          <w:p w14:paraId="62370FE8" w14:textId="70064A69" w:rsidR="006600C1" w:rsidRPr="000B42C9" w:rsidRDefault="006600C1" w:rsidP="00A655E6">
            <w:pPr>
              <w:pStyle w:val="Normal-table"/>
              <w:cnfStyle w:val="000000000000" w:firstRow="0" w:lastRow="0" w:firstColumn="0" w:lastColumn="0" w:oddVBand="0" w:evenVBand="0" w:oddHBand="0" w:evenHBand="0" w:firstRowFirstColumn="0" w:firstRowLastColumn="0" w:lastRowFirstColumn="0" w:lastRowLastColumn="0"/>
            </w:pPr>
            <w:r w:rsidRPr="000B42C9">
              <w:t xml:space="preserve">10,413,403 </w:t>
            </w:r>
          </w:p>
        </w:tc>
        <w:tc>
          <w:tcPr>
            <w:tcW w:w="2251" w:type="dxa"/>
            <w:noWrap/>
            <w:hideMark/>
          </w:tcPr>
          <w:p w14:paraId="756A1550" w14:textId="136F7517" w:rsidR="006600C1" w:rsidRPr="000B42C9" w:rsidRDefault="006600C1" w:rsidP="00A655E6">
            <w:pPr>
              <w:pStyle w:val="Normal-table"/>
              <w:cnfStyle w:val="000000000000" w:firstRow="0" w:lastRow="0" w:firstColumn="0" w:lastColumn="0" w:oddVBand="0" w:evenVBand="0" w:oddHBand="0" w:evenHBand="0" w:firstRowFirstColumn="0" w:firstRowLastColumn="0" w:lastRowFirstColumn="0" w:lastRowLastColumn="0"/>
            </w:pPr>
            <w:r w:rsidRPr="000B42C9">
              <w:t xml:space="preserve">72,003,689 </w:t>
            </w:r>
          </w:p>
        </w:tc>
      </w:tr>
      <w:tr w:rsidR="006600C1" w:rsidRPr="000658D3" w14:paraId="226F9819" w14:textId="77777777" w:rsidTr="00E5013E">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319" w:type="dxa"/>
            <w:noWrap/>
            <w:hideMark/>
          </w:tcPr>
          <w:p w14:paraId="55480B3D" w14:textId="77777777" w:rsidR="006600C1" w:rsidRPr="000B42C9" w:rsidRDefault="006600C1" w:rsidP="00A655E6">
            <w:pPr>
              <w:pStyle w:val="Normal-table"/>
            </w:pPr>
            <w:r w:rsidRPr="000B42C9">
              <w:t>2018–19 ($ '000)</w:t>
            </w:r>
          </w:p>
        </w:tc>
        <w:tc>
          <w:tcPr>
            <w:tcW w:w="2251" w:type="dxa"/>
            <w:noWrap/>
            <w:hideMark/>
          </w:tcPr>
          <w:p w14:paraId="47E4144E" w14:textId="7ED02D21" w:rsidR="006600C1" w:rsidRPr="000B42C9" w:rsidRDefault="006600C1" w:rsidP="00A655E6">
            <w:pPr>
              <w:pStyle w:val="Normal-table"/>
              <w:cnfStyle w:val="000000100000" w:firstRow="0" w:lastRow="0" w:firstColumn="0" w:lastColumn="0" w:oddVBand="0" w:evenVBand="0" w:oddHBand="1" w:evenHBand="0" w:firstRowFirstColumn="0" w:firstRowLastColumn="0" w:lastRowFirstColumn="0" w:lastRowLastColumn="0"/>
            </w:pPr>
            <w:r w:rsidRPr="000B42C9">
              <w:t xml:space="preserve">67,262,349 </w:t>
            </w:r>
          </w:p>
        </w:tc>
        <w:tc>
          <w:tcPr>
            <w:tcW w:w="2066" w:type="dxa"/>
            <w:noWrap/>
            <w:hideMark/>
          </w:tcPr>
          <w:p w14:paraId="13EBC975" w14:textId="13604A12" w:rsidR="006600C1" w:rsidRPr="000B42C9" w:rsidRDefault="006600C1" w:rsidP="00A655E6">
            <w:pPr>
              <w:pStyle w:val="Normal-table"/>
              <w:cnfStyle w:val="000000100000" w:firstRow="0" w:lastRow="0" w:firstColumn="0" w:lastColumn="0" w:oddVBand="0" w:evenVBand="0" w:oddHBand="1" w:evenHBand="0" w:firstRowFirstColumn="0" w:firstRowLastColumn="0" w:lastRowFirstColumn="0" w:lastRowLastColumn="0"/>
            </w:pPr>
            <w:r w:rsidRPr="000B42C9">
              <w:t xml:space="preserve">2,508,073 </w:t>
            </w:r>
          </w:p>
        </w:tc>
        <w:tc>
          <w:tcPr>
            <w:tcW w:w="2251" w:type="dxa"/>
            <w:noWrap/>
            <w:hideMark/>
          </w:tcPr>
          <w:p w14:paraId="579C4E2A" w14:textId="35EBA8C8" w:rsidR="006600C1" w:rsidRPr="000B42C9" w:rsidRDefault="006600C1" w:rsidP="00A655E6">
            <w:pPr>
              <w:pStyle w:val="Normal-table"/>
              <w:cnfStyle w:val="000000100000" w:firstRow="0" w:lastRow="0" w:firstColumn="0" w:lastColumn="0" w:oddVBand="0" w:evenVBand="0" w:oddHBand="1" w:evenHBand="0" w:firstRowFirstColumn="0" w:firstRowLastColumn="0" w:lastRowFirstColumn="0" w:lastRowLastColumn="0"/>
            </w:pPr>
            <w:r w:rsidRPr="000B42C9">
              <w:t xml:space="preserve">64,754,276 </w:t>
            </w:r>
          </w:p>
        </w:tc>
      </w:tr>
    </w:tbl>
    <w:p w14:paraId="49D4FCF2" w14:textId="3714B0BA" w:rsidR="00E34B9C" w:rsidRPr="00A15FE2" w:rsidRDefault="00157D13" w:rsidP="00A53E9C">
      <w:pPr>
        <w:pStyle w:val="Heading1"/>
      </w:pPr>
      <w:r>
        <w:rPr>
          <w:noProof/>
        </w:rPr>
        <w:lastRenderedPageBreak/>
        <w:drawing>
          <wp:inline distT="0" distB="0" distL="0" distR="0" wp14:anchorId="296BAB57" wp14:editId="21B55053">
            <wp:extent cx="6638925" cy="9382125"/>
            <wp:effectExtent l="0" t="0" r="0" b="0"/>
            <wp:docPr id="4" name="Picture 4" descr="Department of Transport and Main Roads Strategic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partment of Transport and Main Roads Strategic Pl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8925" cy="9382125"/>
                    </a:xfrm>
                    <a:prstGeom prst="rect">
                      <a:avLst/>
                    </a:prstGeom>
                    <a:noFill/>
                    <a:ln>
                      <a:noFill/>
                    </a:ln>
                  </pic:spPr>
                </pic:pic>
              </a:graphicData>
            </a:graphic>
          </wp:inline>
        </w:drawing>
      </w:r>
      <w:r>
        <w:rPr>
          <w:noProof/>
        </w:rPr>
        <w:lastRenderedPageBreak/>
        <w:drawing>
          <wp:inline distT="0" distB="0" distL="0" distR="0" wp14:anchorId="09CD92CE" wp14:editId="4E1B13AD">
            <wp:extent cx="6638925" cy="9391650"/>
            <wp:effectExtent l="0" t="0" r="0" b="0"/>
            <wp:docPr id="5" name="Picture 5" descr="Our Vision and Purpose. Creating a single integrated transport network accessible to every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ur Vision and Purpose. Creating a single integrated transport network accessible to everyon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8925" cy="9391650"/>
                    </a:xfrm>
                    <a:prstGeom prst="rect">
                      <a:avLst/>
                    </a:prstGeom>
                    <a:noFill/>
                    <a:ln>
                      <a:noFill/>
                    </a:ln>
                  </pic:spPr>
                </pic:pic>
              </a:graphicData>
            </a:graphic>
          </wp:inline>
        </w:drawing>
      </w:r>
      <w:r w:rsidR="00E34B9C">
        <w:lastRenderedPageBreak/>
        <w:t xml:space="preserve">Queensland Government's objectives for the </w:t>
      </w:r>
      <w:r w:rsidR="00E34B9C" w:rsidRPr="00D635EB">
        <w:t>community</w:t>
      </w:r>
      <w:r w:rsidR="00E34B9C">
        <w:t xml:space="preserve"> </w:t>
      </w:r>
    </w:p>
    <w:p w14:paraId="0AF8B43F" w14:textId="77777777" w:rsidR="00E34B9C" w:rsidRDefault="00E34B9C" w:rsidP="00E34B9C">
      <w:r w:rsidRPr="007D3850">
        <w:t>Machinery</w:t>
      </w:r>
      <w:r>
        <w:t>-</w:t>
      </w:r>
      <w:r w:rsidRPr="007D3850">
        <w:t>of</w:t>
      </w:r>
      <w:r>
        <w:t>-g</w:t>
      </w:r>
      <w:r w:rsidRPr="007D3850">
        <w:t xml:space="preserve">overnment changes effective 18 May 2023 saw the department welcome </w:t>
      </w:r>
      <w:r>
        <w:t>t</w:t>
      </w:r>
      <w:r w:rsidRPr="007D3850">
        <w:t xml:space="preserve">he QGCDG. </w:t>
      </w:r>
      <w:r w:rsidRPr="00A50AC8">
        <w:t>As a result of these changes our 2022</w:t>
      </w:r>
      <w:r>
        <w:t>–</w:t>
      </w:r>
      <w:r w:rsidRPr="00A50AC8">
        <w:t>23 annual report reflects the 2022–26 strategic plan for the former Department of Communities, Housing and Digital Economy (CHDE)</w:t>
      </w:r>
      <w:r>
        <w:t xml:space="preserve"> as it relates to QGCDG</w:t>
      </w:r>
      <w:r w:rsidRPr="00A50AC8">
        <w:t xml:space="preserve">. Additionally, the commitments made to the community in the 2022–26 strategic plan for the former CHDE in relation to the Queensland Government Customer and Digital Group are also presented and reported on in our 2022–23 annual report. </w:t>
      </w:r>
    </w:p>
    <w:p w14:paraId="022790AF" w14:textId="77777777" w:rsidR="00E34B9C" w:rsidRPr="00A50AC8" w:rsidRDefault="00E34B9C" w:rsidP="00E34B9C">
      <w:r w:rsidRPr="00A50AC8">
        <w:t>Some of TMR's achievements in 2022</w:t>
      </w:r>
      <w:r>
        <w:softHyphen/>
        <w:t>–</w:t>
      </w:r>
      <w:r w:rsidRPr="00A50AC8">
        <w:t>23 are note</w:t>
      </w:r>
      <w:r>
        <w:t>d</w:t>
      </w:r>
      <w:r w:rsidRPr="00A50AC8">
        <w:t xml:space="preserve"> under each government objective.</w:t>
      </w:r>
    </w:p>
    <w:p w14:paraId="42E63B1A" w14:textId="77777777" w:rsidR="00E34B9C" w:rsidRDefault="00E34B9C" w:rsidP="00E34B9C">
      <w:pPr>
        <w:pStyle w:val="Heading2"/>
      </w:pPr>
      <w:r>
        <w:t xml:space="preserve">Supporting jobs </w:t>
      </w:r>
    </w:p>
    <w:p w14:paraId="157630C3" w14:textId="77777777" w:rsidR="00E34B9C" w:rsidRDefault="00E34B9C" w:rsidP="00E34B9C">
      <w:r w:rsidRPr="0043342C">
        <w:t>Released in June 2023, the $32.1 billion</w:t>
      </w:r>
      <w:r>
        <w:t xml:space="preserve"> QTRIP</w:t>
      </w:r>
      <w:r w:rsidRPr="0043342C">
        <w:t xml:space="preserve"> 2023</w:t>
      </w:r>
      <w:r>
        <w:t>–</w:t>
      </w:r>
      <w:r w:rsidRPr="0043342C">
        <w:t>24 to 2026</w:t>
      </w:r>
      <w:r>
        <w:t>–</w:t>
      </w:r>
      <w:r w:rsidRPr="0043342C">
        <w:t>27 outlines a steady and sustainable pipeline of road and transport infrastructure which will support an estimated average of 25,200 direct jobs over the next four years.</w:t>
      </w:r>
    </w:p>
    <w:p w14:paraId="72396AED" w14:textId="77777777" w:rsidR="00E34B9C" w:rsidRPr="00EC7F95" w:rsidRDefault="00E34B9C" w:rsidP="00E34B9C">
      <w:r>
        <w:t>Rejuvenation of</w:t>
      </w:r>
      <w:r w:rsidRPr="00EC7F95">
        <w:t xml:space="preserve"> the Rockhampton railyards will offer opportunities for local industry and create a range of jobs across multiple labour markets. </w:t>
      </w:r>
    </w:p>
    <w:p w14:paraId="1FC7E7E2" w14:textId="77777777" w:rsidR="00E34B9C" w:rsidRDefault="00E34B9C" w:rsidP="00E34B9C">
      <w:r w:rsidRPr="00EC7F95">
        <w:t>Continuing to implement 'Backing Queensland Maritime Jobs’ initiative which aims to revitalise and strengthen coastal shipping and in doing so assist economic growth and creation of maritime jobs and training opportunities in Queensland.</w:t>
      </w:r>
    </w:p>
    <w:p w14:paraId="53177E3A" w14:textId="77777777" w:rsidR="00E34B9C" w:rsidRDefault="00E34B9C" w:rsidP="00E34B9C">
      <w:r w:rsidRPr="00D92214">
        <w:t>Supported the maturity, operational performance, and viability of the Cherbourg Service Centre, and the establishment of the Palm Island Digital Service Centre.</w:t>
      </w:r>
    </w:p>
    <w:p w14:paraId="47524898" w14:textId="77777777" w:rsidR="00E34B9C" w:rsidRDefault="00E34B9C" w:rsidP="00E34B9C">
      <w:pPr>
        <w:pStyle w:val="Heading2"/>
      </w:pPr>
      <w:r>
        <w:t>Making it for Queensland</w:t>
      </w:r>
    </w:p>
    <w:p w14:paraId="3AB7BAAC" w14:textId="77777777" w:rsidR="00E34B9C" w:rsidRPr="00CE2A6E" w:rsidRDefault="00E34B9C" w:rsidP="00E34B9C">
      <w:r w:rsidRPr="00CE2A6E">
        <w:t>Delivering the Queensland Train Manufacturing Program to build 65 new six-car passenger trains at a purpose-built manufacturing facility at Torbanlea, in the Maryborough region</w:t>
      </w:r>
      <w:r>
        <w:t>. This</w:t>
      </w:r>
      <w:r w:rsidRPr="00CE2A6E">
        <w:t xml:space="preserve"> will boost local economies and supports job creation with a total investment of $</w:t>
      </w:r>
      <w:r>
        <w:t>9.5</w:t>
      </w:r>
      <w:r w:rsidRPr="00CE2A6E">
        <w:t xml:space="preserve"> billion from Queensland Government</w:t>
      </w:r>
      <w:r>
        <w:t>.</w:t>
      </w:r>
    </w:p>
    <w:p w14:paraId="35812EF4" w14:textId="77777777" w:rsidR="00E34B9C" w:rsidRPr="00CE2A6E" w:rsidRDefault="00E34B9C" w:rsidP="00E34B9C">
      <w:r w:rsidRPr="00CE2A6E">
        <w:t xml:space="preserve">Introducing the Digital Licence app provides customers with access to licence and registration services that are convenient, safe and secure via their mobile device. </w:t>
      </w:r>
    </w:p>
    <w:p w14:paraId="37F311A5" w14:textId="77777777" w:rsidR="00E34B9C" w:rsidRDefault="00E34B9C" w:rsidP="00E34B9C">
      <w:pPr>
        <w:pStyle w:val="Heading2"/>
      </w:pPr>
      <w:r>
        <w:t>Investing in skills</w:t>
      </w:r>
    </w:p>
    <w:p w14:paraId="02F8B9F7" w14:textId="77777777" w:rsidR="00E34B9C" w:rsidRPr="00A700F0" w:rsidRDefault="00E34B9C" w:rsidP="00E34B9C">
      <w:r w:rsidRPr="00A700F0">
        <w:t xml:space="preserve">Supporting First Nations peoples to join </w:t>
      </w:r>
      <w:r>
        <w:t>e</w:t>
      </w:r>
      <w:r w:rsidRPr="00A700F0">
        <w:t>ngineering and engineering-related disciplines by offering two entry pathways</w:t>
      </w:r>
      <w:r>
        <w:t>,</w:t>
      </w:r>
      <w:r w:rsidRPr="00A700F0">
        <w:t xml:space="preserve"> </w:t>
      </w:r>
      <w:r>
        <w:t>s</w:t>
      </w:r>
      <w:r w:rsidRPr="00A700F0">
        <w:t>chool-based traineeships and scholarships.</w:t>
      </w:r>
    </w:p>
    <w:p w14:paraId="1B02F619" w14:textId="77777777" w:rsidR="00E34B9C" w:rsidRDefault="00E34B9C" w:rsidP="00E34B9C">
      <w:r w:rsidRPr="00A700F0">
        <w:t>Delivering the eighth round of Women in Construction Program which commenced in February 2023 and involved 20 participants from across the state.</w:t>
      </w:r>
      <w:r w:rsidRPr="001E38FF">
        <w:t xml:space="preserve"> </w:t>
      </w:r>
    </w:p>
    <w:p w14:paraId="5BA7EDDB" w14:textId="77777777" w:rsidR="00E34B9C" w:rsidRDefault="00E34B9C" w:rsidP="00E34B9C">
      <w:r w:rsidRPr="00A437A0">
        <w:t>S</w:t>
      </w:r>
      <w:r w:rsidRPr="00F8505E">
        <w:t>uppl</w:t>
      </w:r>
      <w:r>
        <w:t>ying</w:t>
      </w:r>
      <w:r w:rsidRPr="00F8505E">
        <w:t xml:space="preserve"> an additional 10,000 digital professionals into the workforce pipeline by 2024 through the </w:t>
      </w:r>
      <w:r w:rsidRPr="008D22DE">
        <w:rPr>
          <w:rStyle w:val="Emphasis"/>
        </w:rPr>
        <w:t>Digital Queensland: Digital Professional Workforce Action Plan 2020–</w:t>
      </w:r>
      <w:r>
        <w:rPr>
          <w:rStyle w:val="Emphasis"/>
        </w:rPr>
        <w:t>20</w:t>
      </w:r>
      <w:r w:rsidRPr="008D22DE">
        <w:rPr>
          <w:rStyle w:val="Emphasis"/>
        </w:rPr>
        <w:t>24</w:t>
      </w:r>
      <w:r>
        <w:t>.</w:t>
      </w:r>
    </w:p>
    <w:p w14:paraId="545CD40F" w14:textId="77777777" w:rsidR="00E34B9C" w:rsidRDefault="00E34B9C" w:rsidP="00E34B9C">
      <w:pPr>
        <w:pStyle w:val="Heading2"/>
      </w:pPr>
      <w:r>
        <w:lastRenderedPageBreak/>
        <w:t>Backing our frontline services</w:t>
      </w:r>
    </w:p>
    <w:p w14:paraId="084013B3" w14:textId="77777777" w:rsidR="00E34B9C" w:rsidRDefault="00E34B9C" w:rsidP="00E34B9C">
      <w:r w:rsidRPr="004E1328">
        <w:t>As customer interactions continue to increase from 19.03 million in 2021–22 financial year to 20.5 million in 2022–23 financial year, the Department of Transport and Main Roads is continually researching advances in technology and business processes that will assist us to streamline our customer interactions, reduce customer effort and increase customer satisfaction.</w:t>
      </w:r>
    </w:p>
    <w:p w14:paraId="1D40821C" w14:textId="77777777" w:rsidR="00E34B9C" w:rsidRDefault="00E34B9C" w:rsidP="00E34B9C">
      <w:r w:rsidRPr="00AD7CE8">
        <w:t>Implementing a range of improved safety measures to keep our bus drivers safe, such as deploying additional Network Officers, installing driver barriers, and providing de-escalation training.</w:t>
      </w:r>
    </w:p>
    <w:p w14:paraId="4ECC3BF8" w14:textId="77777777" w:rsidR="00E34B9C" w:rsidRDefault="00E34B9C" w:rsidP="00E34B9C">
      <w:r w:rsidRPr="003C11A1">
        <w:t>Extend</w:t>
      </w:r>
      <w:r>
        <w:t>ing</w:t>
      </w:r>
      <w:r w:rsidRPr="003C11A1">
        <w:t xml:space="preserve"> the current Queensland Government Regional Network </w:t>
      </w:r>
      <w:r>
        <w:t xml:space="preserve">(QGRN) </w:t>
      </w:r>
      <w:r w:rsidRPr="003C11A1">
        <w:t>connectivity services across the state to improve the delivery of frontline services</w:t>
      </w:r>
      <w:r>
        <w:t xml:space="preserve">. </w:t>
      </w:r>
    </w:p>
    <w:p w14:paraId="0C258418" w14:textId="77777777" w:rsidR="00E34B9C" w:rsidRPr="00EF478A" w:rsidRDefault="00E34B9C" w:rsidP="00E34B9C">
      <w:r w:rsidRPr="00EF478A">
        <w:t>d across government through 120.5 million Smart Service Queensland customer interactions via phone (including 13QGOV), online (qld.gov.au), Queensland Government Service Centres</w:t>
      </w:r>
      <w:r>
        <w:t>,</w:t>
      </w:r>
      <w:r w:rsidRPr="00EF478A">
        <w:t xml:space="preserve"> and Queensland Government Agent Program offices (counters).</w:t>
      </w:r>
    </w:p>
    <w:p w14:paraId="16494EE2" w14:textId="77777777" w:rsidR="00E34B9C" w:rsidRPr="00EF478A" w:rsidRDefault="00E34B9C" w:rsidP="00E34B9C">
      <w:r w:rsidRPr="00EF478A">
        <w:t>Queensland Shared Services and Corporate Administration Agency supported Queensland Government service delivery through provision of shared corporate services, with each serving over 30 Queensland Government entities. This includes finance, human resource management, enterprise systems</w:t>
      </w:r>
      <w:r>
        <w:t>,</w:t>
      </w:r>
      <w:r w:rsidRPr="00EF478A">
        <w:t xml:space="preserve"> and payroll for over 80,000 employees.</w:t>
      </w:r>
    </w:p>
    <w:p w14:paraId="1563F67E" w14:textId="77777777" w:rsidR="00E34B9C" w:rsidRDefault="00E34B9C" w:rsidP="00E34B9C">
      <w:pPr>
        <w:pStyle w:val="Heading2"/>
      </w:pPr>
      <w:r>
        <w:t>Keeping Queenslanders safe</w:t>
      </w:r>
    </w:p>
    <w:p w14:paraId="36F3F0B4" w14:textId="77777777" w:rsidR="00E34B9C" w:rsidRPr="00425AB5" w:rsidRDefault="00E34B9C" w:rsidP="00E34B9C">
      <w:r w:rsidRPr="00425AB5">
        <w:t xml:space="preserve">Deploying resources from the Queensland Police Service Protective Services Group to provide fare compliance, safety and security at key transport infrastructure locations. </w:t>
      </w:r>
    </w:p>
    <w:p w14:paraId="4765F452" w14:textId="77777777" w:rsidR="00E34B9C" w:rsidRPr="00425AB5" w:rsidRDefault="00E34B9C" w:rsidP="00E34B9C">
      <w:r w:rsidRPr="00425AB5">
        <w:t xml:space="preserve">Improving road safety by continuing to deliver actions in the </w:t>
      </w:r>
      <w:r w:rsidRPr="00A16319">
        <w:rPr>
          <w:rStyle w:val="Emphasis"/>
        </w:rPr>
        <w:t>Queensland Road Safety Strategy 2022–31</w:t>
      </w:r>
      <w:r w:rsidRPr="00425AB5">
        <w:t xml:space="preserve"> and Action Plan. </w:t>
      </w:r>
    </w:p>
    <w:p w14:paraId="2D5AB9D8" w14:textId="77777777" w:rsidR="00E34B9C" w:rsidRPr="00425AB5" w:rsidRDefault="00E34B9C" w:rsidP="00E34B9C">
      <w:r w:rsidRPr="00425AB5">
        <w:t xml:space="preserve">Improving road safety governance by more effectively governing the delivery and monitoring of the </w:t>
      </w:r>
      <w:r w:rsidRPr="008E0BBB">
        <w:rPr>
          <w:rStyle w:val="Emphasis"/>
        </w:rPr>
        <w:t>Road Safety Strategy 2022–31</w:t>
      </w:r>
      <w:r>
        <w:t>.</w:t>
      </w:r>
    </w:p>
    <w:p w14:paraId="0C9854F6" w14:textId="77777777" w:rsidR="00E34B9C" w:rsidRPr="00425AB5" w:rsidRDefault="00E34B9C" w:rsidP="00E34B9C">
      <w:r w:rsidRPr="00425AB5">
        <w:t>Continuing to educate Queenslanders to be safer road users through StreetSmarts and Community Road Safety Grants</w:t>
      </w:r>
      <w:r>
        <w:t xml:space="preserve"> (CRSG)</w:t>
      </w:r>
      <w:r w:rsidRPr="00425AB5">
        <w:t>.</w:t>
      </w:r>
    </w:p>
    <w:p w14:paraId="4B000B67" w14:textId="77777777" w:rsidR="00E34B9C" w:rsidRDefault="00E34B9C" w:rsidP="00E34B9C">
      <w:r w:rsidRPr="00425AB5">
        <w:t>Continuing to reform vehicle safety frameworks, including changes to the Approved Inspection Station Scheme to deliver road safety and industry efficiency outcomes.</w:t>
      </w:r>
    </w:p>
    <w:p w14:paraId="5BC2446F" w14:textId="77777777" w:rsidR="00E34B9C" w:rsidRPr="00425AB5" w:rsidRDefault="00E34B9C" w:rsidP="00E34B9C">
      <w:r w:rsidRPr="00F8505E">
        <w:t>Uplift</w:t>
      </w:r>
      <w:r>
        <w:t>ing</w:t>
      </w:r>
      <w:r w:rsidRPr="00F8505E">
        <w:t xml:space="preserve"> Queensland’s cyber resilience against cyber threats and leveraged opportunities enhanced cyber maturity will bring to build the social and economic prosperity of Queensland</w:t>
      </w:r>
      <w:r>
        <w:t>.</w:t>
      </w:r>
    </w:p>
    <w:p w14:paraId="46C8443E" w14:textId="77777777" w:rsidR="00E34B9C" w:rsidRDefault="00E34B9C" w:rsidP="00E34B9C">
      <w:pPr>
        <w:pStyle w:val="Heading2"/>
      </w:pPr>
      <w:r>
        <w:t>Connecting Queensland</w:t>
      </w:r>
    </w:p>
    <w:p w14:paraId="0BEEEA46" w14:textId="77777777" w:rsidR="00E34B9C" w:rsidRPr="00C13449" w:rsidRDefault="00E34B9C" w:rsidP="00E34B9C">
      <w:r w:rsidRPr="00C13449">
        <w:t xml:space="preserve">Released </w:t>
      </w:r>
      <w:r w:rsidRPr="000F0DC0">
        <w:rPr>
          <w:rStyle w:val="Emphasis"/>
        </w:rPr>
        <w:t>SEQ Rail Connect</w:t>
      </w:r>
      <w:r w:rsidRPr="00C13449">
        <w:t xml:space="preserve">, a blueprint for how the Queensland Government will shape the rail network to meet the future needs of the growing South East Queensland region. </w:t>
      </w:r>
    </w:p>
    <w:p w14:paraId="679E3A8C" w14:textId="77777777" w:rsidR="00E34B9C" w:rsidRDefault="00E34B9C" w:rsidP="00E34B9C">
      <w:r>
        <w:t xml:space="preserve">Released </w:t>
      </w:r>
      <w:r w:rsidRPr="0090312B">
        <w:rPr>
          <w:rStyle w:val="Emphasis"/>
        </w:rPr>
        <w:t>Creating Better Connections for Queenslanders</w:t>
      </w:r>
      <w:r>
        <w:t xml:space="preserve"> which details TMR's vision for the future of passenger transport, and its commitment to deliver a transport network that meets the needs of our customers. </w:t>
      </w:r>
    </w:p>
    <w:p w14:paraId="3C38F2C3" w14:textId="77777777" w:rsidR="00E34B9C" w:rsidRPr="00C13449" w:rsidRDefault="00E34B9C" w:rsidP="00E34B9C">
      <w:r w:rsidRPr="00C13449">
        <w:t xml:space="preserve">Delivered the Fine Modernisation Program resulting in economic efficiencies for government. </w:t>
      </w:r>
    </w:p>
    <w:p w14:paraId="6FC5FDE0" w14:textId="77777777" w:rsidR="00E34B9C" w:rsidRPr="00C13449" w:rsidRDefault="00E34B9C" w:rsidP="00E34B9C">
      <w:r w:rsidRPr="00C13449">
        <w:t xml:space="preserve">Working with industry, other participating </w:t>
      </w:r>
      <w:bookmarkStart w:id="1" w:name="_Int_u88kHUSW"/>
      <w:r w:rsidRPr="00C13449">
        <w:t>jurisdictions</w:t>
      </w:r>
      <w:bookmarkEnd w:id="1"/>
      <w:r>
        <w:t>,</w:t>
      </w:r>
      <w:r w:rsidRPr="00C13449">
        <w:t xml:space="preserve"> and the National Transport Commission on the Heavy Vehicle National Law Review</w:t>
      </w:r>
      <w:r>
        <w:t>,</w:t>
      </w:r>
      <w:r w:rsidRPr="00C13449">
        <w:t xml:space="preserve"> to streamline the heavy vehicle industry.</w:t>
      </w:r>
    </w:p>
    <w:p w14:paraId="19A96ED1" w14:textId="77777777" w:rsidR="00E34B9C" w:rsidRPr="00C13449" w:rsidRDefault="00E34B9C" w:rsidP="00E34B9C">
      <w:r w:rsidRPr="00C13449">
        <w:t>Continuing the National Services Transition</w:t>
      </w:r>
      <w:r>
        <w:t xml:space="preserve"> (NST)</w:t>
      </w:r>
      <w:r w:rsidRPr="00C13449">
        <w:t xml:space="preserve"> to the National Heavy Vehicle Regulator</w:t>
      </w:r>
      <w:r>
        <w:t xml:space="preserve"> (NHVR)</w:t>
      </w:r>
      <w:r w:rsidRPr="00C13449">
        <w:t xml:space="preserve"> to deliver efficiencies and benefits to industry.</w:t>
      </w:r>
    </w:p>
    <w:p w14:paraId="140D05E5" w14:textId="77777777" w:rsidR="00E34B9C" w:rsidRDefault="00E34B9C" w:rsidP="00E34B9C">
      <w:r>
        <w:t xml:space="preserve">Delivering digital accreditations system reforms for tow truck operations to meet the current and future needs of Queensland's motorists and industry. </w:t>
      </w:r>
    </w:p>
    <w:p w14:paraId="52A7DDFC" w14:textId="77777777" w:rsidR="00E34B9C" w:rsidRPr="00C13449" w:rsidRDefault="00E34B9C" w:rsidP="00E34B9C">
      <w:r w:rsidRPr="00C13449">
        <w:lastRenderedPageBreak/>
        <w:t xml:space="preserve">Continuing to work with the heavy vehicle industry to determine </w:t>
      </w:r>
      <w:r>
        <w:t xml:space="preserve">the </w:t>
      </w:r>
      <w:r w:rsidRPr="00C13449">
        <w:t>most effective telematics solutions to enable efficient road access.</w:t>
      </w:r>
    </w:p>
    <w:p w14:paraId="0CFBE471" w14:textId="77777777" w:rsidR="00E34B9C" w:rsidRDefault="00E34B9C" w:rsidP="00E34B9C">
      <w:r w:rsidRPr="00C13449">
        <w:t>Significantly reducing the number of single trip permits for heavy mobile cranes without compromising road safety.</w:t>
      </w:r>
    </w:p>
    <w:p w14:paraId="36777900" w14:textId="77777777" w:rsidR="00E34B9C" w:rsidRDefault="00E34B9C" w:rsidP="00E34B9C">
      <w:r w:rsidRPr="0012292D">
        <w:t>Continued implementation of the government’s agenda for digital technology in government services and digital inclusion of disadvantaged Queenslanders.</w:t>
      </w:r>
    </w:p>
    <w:p w14:paraId="2069C673" w14:textId="77777777" w:rsidR="00E34B9C" w:rsidRDefault="00E34B9C" w:rsidP="00E34B9C">
      <w:r>
        <w:t>Continued delivery of</w:t>
      </w:r>
      <w:r w:rsidRPr="003C11A1">
        <w:t xml:space="preserve"> the </w:t>
      </w:r>
      <w:r w:rsidRPr="00E8118D">
        <w:rPr>
          <w:rStyle w:val="Emphasis"/>
        </w:rPr>
        <w:t>Tell Us Once</w:t>
      </w:r>
      <w:r w:rsidRPr="003C11A1">
        <w:t xml:space="preserve"> program </w:t>
      </w:r>
      <w:r>
        <w:t>to streamline</w:t>
      </w:r>
      <w:r w:rsidRPr="003C11A1">
        <w:t xml:space="preserve"> customer experience for the delivery of digital services to Queenslanders</w:t>
      </w:r>
      <w:r>
        <w:t xml:space="preserve">. </w:t>
      </w:r>
    </w:p>
    <w:p w14:paraId="14EEEE44" w14:textId="77777777" w:rsidR="00E34B9C" w:rsidRDefault="00E34B9C" w:rsidP="00E34B9C">
      <w:pPr>
        <w:pStyle w:val="Heading2"/>
      </w:pPr>
      <w:r>
        <w:t>Protecting the environment</w:t>
      </w:r>
    </w:p>
    <w:p w14:paraId="2D375AEE" w14:textId="77777777" w:rsidR="00E34B9C" w:rsidRPr="001E7C55" w:rsidRDefault="00E34B9C" w:rsidP="00E34B9C">
      <w:r w:rsidRPr="001E7C55">
        <w:t xml:space="preserve">Achieving the target </w:t>
      </w:r>
      <w:r>
        <w:t>for</w:t>
      </w:r>
      <w:r w:rsidRPr="001E7C55">
        <w:t xml:space="preserve"> all new urban buses in S</w:t>
      </w:r>
      <w:r>
        <w:t>outh East Queensland</w:t>
      </w:r>
      <w:r w:rsidRPr="001E7C55">
        <w:t xml:space="preserve"> </w:t>
      </w:r>
      <w:r>
        <w:t>to be</w:t>
      </w:r>
      <w:r w:rsidRPr="001E7C55">
        <w:t xml:space="preserve"> zero emission from 2025 and expanding the program across regional Queensland between 2025</w:t>
      </w:r>
      <w:r>
        <w:t>–</w:t>
      </w:r>
      <w:r w:rsidRPr="001E7C55">
        <w:t xml:space="preserve">2030. </w:t>
      </w:r>
    </w:p>
    <w:p w14:paraId="3FA82717" w14:textId="77777777" w:rsidR="00E34B9C" w:rsidRPr="001E7C55" w:rsidRDefault="00E34B9C" w:rsidP="00E34B9C">
      <w:r w:rsidRPr="001E7C55">
        <w:t xml:space="preserve">Implementing the </w:t>
      </w:r>
      <w:r w:rsidRPr="00634850">
        <w:rPr>
          <w:rStyle w:val="Emphasis"/>
        </w:rPr>
        <w:t>Resource Efficiency Plan 2030</w:t>
      </w:r>
      <w:r w:rsidRPr="001E7C55">
        <w:t xml:space="preserve"> for infrastructure projects to align with ecological sustainable development principles.</w:t>
      </w:r>
    </w:p>
    <w:p w14:paraId="30F073E6" w14:textId="77777777" w:rsidR="00E34B9C" w:rsidRDefault="00E34B9C" w:rsidP="00E34B9C">
      <w:r w:rsidRPr="001E7C55">
        <w:t>Designing our road infrastructure to embed resilience to the impacts of climate change.</w:t>
      </w:r>
    </w:p>
    <w:p w14:paraId="139B1087" w14:textId="77777777" w:rsidR="00E34B9C" w:rsidRDefault="00E34B9C" w:rsidP="00E34B9C">
      <w:r>
        <w:t xml:space="preserve">Exploring new and innovative ways to use recycled products in our road infrastructure to reduce the impact of transport infrastructure on the climate. </w:t>
      </w:r>
    </w:p>
    <w:p w14:paraId="3ED5D9F1" w14:textId="77777777" w:rsidR="00E34B9C" w:rsidRDefault="00E34B9C" w:rsidP="00E34B9C">
      <w:pPr>
        <w:pStyle w:val="Heading2"/>
      </w:pPr>
      <w:r>
        <w:t xml:space="preserve">Growing our regions </w:t>
      </w:r>
    </w:p>
    <w:p w14:paraId="2D16D6A8" w14:textId="77777777" w:rsidR="00E34B9C" w:rsidRDefault="00E34B9C" w:rsidP="00E34B9C">
      <w:r w:rsidRPr="009607F5">
        <w:t>Implemented the Regional Refresh Program, which introduced a consistent zone structure and standardised fares across all 16 regional Queensland urban bus networks.</w:t>
      </w:r>
    </w:p>
    <w:p w14:paraId="6035B848" w14:textId="77777777" w:rsidR="00E34B9C" w:rsidRDefault="00E34B9C" w:rsidP="00E34B9C">
      <w:r w:rsidRPr="00A23D8D">
        <w:t>Delivering improved telecommunications services to rural and remote communities across Queensland.</w:t>
      </w:r>
    </w:p>
    <w:p w14:paraId="07EB866A" w14:textId="77777777" w:rsidR="00E34B9C" w:rsidRDefault="00E34B9C" w:rsidP="00E34B9C">
      <w:pPr>
        <w:pStyle w:val="Heading2"/>
      </w:pPr>
      <w:r>
        <w:t xml:space="preserve">Building Queensland </w:t>
      </w:r>
    </w:p>
    <w:p w14:paraId="71904554" w14:textId="77777777" w:rsidR="00E34B9C" w:rsidRDefault="00E34B9C" w:rsidP="00E34B9C">
      <w:r w:rsidRPr="00857CAF">
        <w:t>Plan the delivery of sustainable transport infrastructure and services to support the Brisbane 2032 Olympic and Paralympic Games and provide an ongoing legacy for the community.</w:t>
      </w:r>
    </w:p>
    <w:p w14:paraId="46C0A9E4" w14:textId="77777777" w:rsidR="00E34B9C" w:rsidRPr="00857CAF" w:rsidRDefault="00E34B9C" w:rsidP="00E34B9C">
      <w:r>
        <w:t xml:space="preserve">Provide input to the planning for the Brisbane 2032 Olympic and Paralympic Games competition venues to support safe, efficient, and inclusive access during event operations. </w:t>
      </w:r>
    </w:p>
    <w:p w14:paraId="68426BC3" w14:textId="77777777" w:rsidR="00E34B9C" w:rsidRPr="001E7C55" w:rsidRDefault="00E34B9C" w:rsidP="00E34B9C">
      <w:pPr>
        <w:pStyle w:val="Heading2"/>
      </w:pPr>
      <w:r>
        <w:t xml:space="preserve">Honouring and embracing our rich and ancient cultural history </w:t>
      </w:r>
    </w:p>
    <w:p w14:paraId="572D132C" w14:textId="77777777" w:rsidR="00E34B9C" w:rsidRPr="00CB5173" w:rsidRDefault="00E34B9C" w:rsidP="00E34B9C">
      <w:r>
        <w:t>Launched</w:t>
      </w:r>
      <w:r w:rsidRPr="00CB5173">
        <w:t xml:space="preserve"> the First Nations Digital careers program which aims to offer up to 100 placements each year across Queensland to First Nations people of all ages who are interested in starting or transitioning to a digital career.</w:t>
      </w:r>
    </w:p>
    <w:p w14:paraId="400DD7D9" w14:textId="05CBE8D3" w:rsidR="003F3973" w:rsidRPr="00EC1C36" w:rsidRDefault="00E34B9C" w:rsidP="00EC1C36">
      <w:r w:rsidRPr="006960CB">
        <w:t>Improv</w:t>
      </w:r>
      <w:r>
        <w:t>ing</w:t>
      </w:r>
      <w:r w:rsidRPr="006960CB">
        <w:t xml:space="preserve"> digital opportunities </w:t>
      </w:r>
      <w:r>
        <w:t xml:space="preserve">and telecommunications </w:t>
      </w:r>
      <w:r w:rsidRPr="006960CB">
        <w:t>for First Nations</w:t>
      </w:r>
      <w:r>
        <w:t xml:space="preserve"> communities</w:t>
      </w:r>
      <w:r w:rsidRPr="006960CB">
        <w:t xml:space="preserve"> across Queensland</w:t>
      </w:r>
      <w:r>
        <w:t>.</w:t>
      </w:r>
      <w:r w:rsidR="003F3973" w:rsidRPr="00EC1C36">
        <w:br w:type="page"/>
      </w:r>
    </w:p>
    <w:p w14:paraId="64263445" w14:textId="18BA59A5" w:rsidR="002A7B67" w:rsidRPr="000A4CE2" w:rsidRDefault="002A7B67" w:rsidP="00F221BC">
      <w:pPr>
        <w:pStyle w:val="Heading1"/>
      </w:pPr>
      <w:r w:rsidRPr="000A4CE2">
        <w:lastRenderedPageBreak/>
        <w:t xml:space="preserve">Key priorities and outcomes </w:t>
      </w:r>
    </w:p>
    <w:p w14:paraId="28B01F66" w14:textId="77777777" w:rsidR="002A7B67" w:rsidRPr="000A4CE2" w:rsidRDefault="002A7B67" w:rsidP="002A7B67">
      <w:r w:rsidRPr="000A4CE2">
        <w:t>Below is a summary of how TMR delivered on its strategic objectives during 202</w:t>
      </w:r>
      <w:r>
        <w:t>2</w:t>
      </w:r>
      <w:r w:rsidRPr="000A4CE2">
        <w:t>–2</w:t>
      </w:r>
      <w:r>
        <w:t>3</w:t>
      </w:r>
      <w:r w:rsidRPr="000A4CE2">
        <w:t xml:space="preserve"> contributing to the Queensland Government’s objectives for the community.</w:t>
      </w:r>
    </w:p>
    <w:p w14:paraId="07B147DA" w14:textId="77777777" w:rsidR="002A7B67" w:rsidRPr="000A4CE2" w:rsidRDefault="002A7B67" w:rsidP="002A7B67">
      <w:pPr>
        <w:pStyle w:val="Heading2"/>
      </w:pPr>
      <w:r w:rsidRPr="000A4CE2">
        <w:t>Accessible</w:t>
      </w:r>
    </w:p>
    <w:p w14:paraId="371E27B9" w14:textId="77777777" w:rsidR="002A7B67" w:rsidRDefault="002A7B67" w:rsidP="002A7B67">
      <w:r w:rsidRPr="00AB5BC6">
        <w:t>Deliver a transport system that is accessible and inclusive for our customers</w:t>
      </w:r>
      <w:r>
        <w:t>.</w:t>
      </w:r>
    </w:p>
    <w:p w14:paraId="1AE6C085" w14:textId="77777777" w:rsidR="002A7B67" w:rsidRPr="000A4CE2" w:rsidRDefault="002A7B67" w:rsidP="002A7B67">
      <w:pPr>
        <w:pStyle w:val="TableofFigures"/>
      </w:pPr>
      <w:r w:rsidRPr="000A4CE2">
        <w:t xml:space="preserve">Table </w:t>
      </w:r>
      <w:r>
        <w:t>3</w:t>
      </w:r>
      <w:r w:rsidRPr="000A4CE2">
        <w:t>: Key priorities and outcomes</w:t>
      </w:r>
      <w:r>
        <w:t>: Accessible</w:t>
      </w:r>
    </w:p>
    <w:tbl>
      <w:tblPr>
        <w:tblStyle w:val="GridTable4-Accent1"/>
        <w:tblW w:w="5000" w:type="pct"/>
        <w:tblLook w:val="04A0" w:firstRow="1" w:lastRow="0" w:firstColumn="1" w:lastColumn="0" w:noHBand="0" w:noVBand="1"/>
      </w:tblPr>
      <w:tblGrid>
        <w:gridCol w:w="6346"/>
        <w:gridCol w:w="2559"/>
        <w:gridCol w:w="1289"/>
      </w:tblGrid>
      <w:tr w:rsidR="002A7B67" w:rsidRPr="000A4CE2" w14:paraId="2F680DAC" w14:textId="77777777" w:rsidTr="00EC1C36">
        <w:trPr>
          <w:cnfStyle w:val="100000000000" w:firstRow="1" w:lastRow="0" w:firstColumn="0" w:lastColumn="0" w:oddVBand="0" w:evenVBand="0" w:oddHBand="0" w:evenHBand="0" w:firstRowFirstColumn="0" w:firstRowLastColumn="0" w:lastRowFirstColumn="0" w:lastRowLastColumn="0"/>
          <w:trHeight w:val="78"/>
          <w:tblHeader/>
        </w:trPr>
        <w:tc>
          <w:tcPr>
            <w:cnfStyle w:val="001000000000" w:firstRow="0" w:lastRow="0" w:firstColumn="1" w:lastColumn="0" w:oddVBand="0" w:evenVBand="0" w:oddHBand="0" w:evenHBand="0" w:firstRowFirstColumn="0" w:firstRowLastColumn="0" w:lastRowFirstColumn="0" w:lastRowLastColumn="0"/>
            <w:tcW w:w="3113" w:type="pct"/>
          </w:tcPr>
          <w:p w14:paraId="21747FC4" w14:textId="77777777" w:rsidR="002A7B67" w:rsidRPr="00AB5BC6" w:rsidRDefault="002A7B67" w:rsidP="00A655E6">
            <w:pPr>
              <w:pStyle w:val="Normal-table"/>
            </w:pPr>
            <w:r>
              <w:t>Key priorities and outcomes</w:t>
            </w:r>
          </w:p>
        </w:tc>
        <w:tc>
          <w:tcPr>
            <w:tcW w:w="1255" w:type="pct"/>
          </w:tcPr>
          <w:p w14:paraId="0D5646B1" w14:textId="77777777" w:rsidR="002A7B67" w:rsidRPr="00AB5BC6" w:rsidRDefault="002A7B67" w:rsidP="00A655E6">
            <w:pPr>
              <w:pStyle w:val="Normal-table"/>
              <w:cnfStyle w:val="100000000000" w:firstRow="1" w:lastRow="0" w:firstColumn="0" w:lastColumn="0" w:oddVBand="0" w:evenVBand="0" w:oddHBand="0" w:evenHBand="0" w:firstRowFirstColumn="0" w:firstRowLastColumn="0" w:lastRowFirstColumn="0" w:lastRowLastColumn="0"/>
            </w:pPr>
            <w:r>
              <w:t>Alignment to Queensland Government’s objectives for the community</w:t>
            </w:r>
          </w:p>
        </w:tc>
        <w:tc>
          <w:tcPr>
            <w:tcW w:w="633" w:type="pct"/>
          </w:tcPr>
          <w:p w14:paraId="41E2A887" w14:textId="77777777" w:rsidR="002A7B67" w:rsidRPr="00AB5BC6" w:rsidRDefault="002A7B67" w:rsidP="00A655E6">
            <w:pPr>
              <w:pStyle w:val="Normal-table"/>
              <w:cnfStyle w:val="100000000000" w:firstRow="1" w:lastRow="0" w:firstColumn="0" w:lastColumn="0" w:oddVBand="0" w:evenVBand="0" w:oddHBand="0" w:evenHBand="0" w:firstRowFirstColumn="0" w:firstRowLastColumn="0" w:lastRowFirstColumn="0" w:lastRowLastColumn="0"/>
            </w:pPr>
            <w:r>
              <w:t>Status</w:t>
            </w:r>
          </w:p>
        </w:tc>
      </w:tr>
      <w:tr w:rsidR="002A7B67" w:rsidRPr="000A4CE2" w14:paraId="33A80960" w14:textId="77777777" w:rsidTr="00EC1C36">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3113" w:type="pct"/>
          </w:tcPr>
          <w:p w14:paraId="45E15607" w14:textId="77777777" w:rsidR="002A7B67" w:rsidRDefault="002A7B67" w:rsidP="00A655E6">
            <w:pPr>
              <w:pStyle w:val="Normal-table"/>
            </w:pPr>
            <w:r>
              <w:t xml:space="preserve">Released the $32.1 billion Queensland Transport and Roads Investment Program (QTRIP) 2023–24 to 2026–27, a responsible and sustainable pipeline of transport and road infrastructure across the state. </w:t>
            </w:r>
          </w:p>
        </w:tc>
        <w:tc>
          <w:tcPr>
            <w:tcW w:w="1255" w:type="pct"/>
          </w:tcPr>
          <w:p w14:paraId="70AE1C83" w14:textId="77777777" w:rsidR="002A7B67"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t xml:space="preserve">Supporting jobs </w:t>
            </w:r>
          </w:p>
        </w:tc>
        <w:tc>
          <w:tcPr>
            <w:tcW w:w="633" w:type="pct"/>
          </w:tcPr>
          <w:p w14:paraId="6288C2DA" w14:textId="77777777" w:rsidR="002A7B67"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t>Completed</w:t>
            </w:r>
          </w:p>
        </w:tc>
      </w:tr>
      <w:tr w:rsidR="002A7B67" w:rsidRPr="000A4CE2" w14:paraId="376BBD80" w14:textId="77777777" w:rsidTr="00EC1C36">
        <w:trPr>
          <w:trHeight w:val="60"/>
        </w:trPr>
        <w:tc>
          <w:tcPr>
            <w:cnfStyle w:val="001000000000" w:firstRow="0" w:lastRow="0" w:firstColumn="1" w:lastColumn="0" w:oddVBand="0" w:evenVBand="0" w:oddHBand="0" w:evenHBand="0" w:firstRowFirstColumn="0" w:firstRowLastColumn="0" w:lastRowFirstColumn="0" w:lastRowLastColumn="0"/>
            <w:tcW w:w="3113" w:type="pct"/>
          </w:tcPr>
          <w:p w14:paraId="507C7C18" w14:textId="77777777" w:rsidR="002A7B67" w:rsidRPr="00AB5BC6" w:rsidRDefault="002A7B67" w:rsidP="00A655E6">
            <w:pPr>
              <w:pStyle w:val="Normal-table"/>
            </w:pPr>
            <w:r>
              <w:t xml:space="preserve">Continued delivering </w:t>
            </w:r>
            <w:r w:rsidRPr="00AB5BC6">
              <w:t>the Indigenous Driver Licen</w:t>
            </w:r>
            <w:r>
              <w:t>s</w:t>
            </w:r>
            <w:r w:rsidRPr="00AB5BC6">
              <w:t>ing Program, which works closely with community groups on local road safety initiatives to provide the positive outcomes that come with licence ownership and safe road use behaviours.</w:t>
            </w:r>
          </w:p>
        </w:tc>
        <w:tc>
          <w:tcPr>
            <w:tcW w:w="1255" w:type="pct"/>
          </w:tcPr>
          <w:p w14:paraId="7F427AC1" w14:textId="703E4AF8" w:rsidR="002A7B67" w:rsidRPr="00AB5BC6" w:rsidRDefault="002A7B67" w:rsidP="00A655E6">
            <w:pPr>
              <w:pStyle w:val="Normal-table"/>
              <w:cnfStyle w:val="000000000000" w:firstRow="0" w:lastRow="0" w:firstColumn="0" w:lastColumn="0" w:oddVBand="0" w:evenVBand="0" w:oddHBand="0" w:evenHBand="0" w:firstRowFirstColumn="0" w:firstRowLastColumn="0" w:lastRowFirstColumn="0" w:lastRowLastColumn="0"/>
            </w:pPr>
            <w:r w:rsidRPr="00AB5BC6">
              <w:t>Connecting Queensland</w:t>
            </w:r>
          </w:p>
        </w:tc>
        <w:tc>
          <w:tcPr>
            <w:tcW w:w="633" w:type="pct"/>
          </w:tcPr>
          <w:p w14:paraId="346C3CF8" w14:textId="77777777" w:rsidR="002A7B67" w:rsidRPr="00AB5BC6" w:rsidRDefault="002A7B67" w:rsidP="00A655E6">
            <w:pPr>
              <w:pStyle w:val="Normal-table"/>
              <w:cnfStyle w:val="000000000000" w:firstRow="0" w:lastRow="0" w:firstColumn="0" w:lastColumn="0" w:oddVBand="0" w:evenVBand="0" w:oddHBand="0" w:evenHBand="0" w:firstRowFirstColumn="0" w:firstRowLastColumn="0" w:lastRowFirstColumn="0" w:lastRowLastColumn="0"/>
            </w:pPr>
            <w:r w:rsidRPr="00AB5BC6">
              <w:t xml:space="preserve">Ongoing </w:t>
            </w:r>
          </w:p>
        </w:tc>
      </w:tr>
      <w:tr w:rsidR="002A7B67" w:rsidRPr="000A4CE2" w14:paraId="3ED3450C" w14:textId="77777777" w:rsidTr="00EC1C3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13" w:type="pct"/>
          </w:tcPr>
          <w:p w14:paraId="3B51B550" w14:textId="77777777" w:rsidR="002A7B67" w:rsidRPr="00EA3C28" w:rsidRDefault="002A7B67" w:rsidP="00A655E6">
            <w:pPr>
              <w:pStyle w:val="Normal-table"/>
            </w:pPr>
            <w:r>
              <w:t>Continued d</w:t>
            </w:r>
            <w:r w:rsidRPr="00AB5BC6">
              <w:t xml:space="preserve">elivering the $335.7 million New Generation Rollingstock </w:t>
            </w:r>
            <w:r>
              <w:t xml:space="preserve">(NGR) </w:t>
            </w:r>
            <w:r w:rsidRPr="00AB5BC6">
              <w:t>accessibility upgrades to 75 trains being undertaken at Maryborough in the Fraser Coast region.</w:t>
            </w:r>
          </w:p>
        </w:tc>
        <w:tc>
          <w:tcPr>
            <w:tcW w:w="1255" w:type="pct"/>
          </w:tcPr>
          <w:p w14:paraId="48A5816C" w14:textId="77777777" w:rsidR="002A7B67" w:rsidRPr="00EA3C28"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rsidRPr="00AB5BC6">
              <w:t>Growing our regions</w:t>
            </w:r>
          </w:p>
        </w:tc>
        <w:tc>
          <w:tcPr>
            <w:tcW w:w="633" w:type="pct"/>
          </w:tcPr>
          <w:p w14:paraId="1062F164" w14:textId="77777777" w:rsidR="002A7B67" w:rsidRPr="00EA3C28"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rsidRPr="00AB5BC6">
              <w:t>Ongoing</w:t>
            </w:r>
          </w:p>
        </w:tc>
      </w:tr>
      <w:tr w:rsidR="002A7B67" w:rsidRPr="000A4CE2" w14:paraId="121C5F78" w14:textId="77777777" w:rsidTr="00EC1C36">
        <w:trPr>
          <w:trHeight w:val="60"/>
        </w:trPr>
        <w:tc>
          <w:tcPr>
            <w:cnfStyle w:val="001000000000" w:firstRow="0" w:lastRow="0" w:firstColumn="1" w:lastColumn="0" w:oddVBand="0" w:evenVBand="0" w:oddHBand="0" w:evenHBand="0" w:firstRowFirstColumn="0" w:firstRowLastColumn="0" w:lastRowFirstColumn="0" w:lastRowLastColumn="0"/>
            <w:tcW w:w="3113" w:type="pct"/>
          </w:tcPr>
          <w:p w14:paraId="4A0CAE48" w14:textId="77777777" w:rsidR="002A7B67" w:rsidRPr="00EA3C28" w:rsidRDefault="002A7B67" w:rsidP="00A655E6">
            <w:pPr>
              <w:pStyle w:val="Normal-table"/>
            </w:pPr>
            <w:r w:rsidRPr="00AB5BC6">
              <w:t xml:space="preserve">Developed the </w:t>
            </w:r>
            <w:r w:rsidRPr="00EA3C28">
              <w:rPr>
                <w:rStyle w:val="Emphasis"/>
              </w:rPr>
              <w:t>Interim Disability Action Plan 2023–24</w:t>
            </w:r>
            <w:r w:rsidRPr="00EA3C28">
              <w:t xml:space="preserve"> which outlines TMR's commitment to improve accessibility for people with disability using the passenger transport system in Queensland.</w:t>
            </w:r>
          </w:p>
        </w:tc>
        <w:tc>
          <w:tcPr>
            <w:tcW w:w="1255" w:type="pct"/>
          </w:tcPr>
          <w:p w14:paraId="6386E096" w14:textId="77777777" w:rsidR="002A7B67" w:rsidRPr="00EA3C28" w:rsidRDefault="002A7B67" w:rsidP="00A655E6">
            <w:pPr>
              <w:pStyle w:val="Normal-table"/>
              <w:cnfStyle w:val="000000000000" w:firstRow="0" w:lastRow="0" w:firstColumn="0" w:lastColumn="0" w:oddVBand="0" w:evenVBand="0" w:oddHBand="0" w:evenHBand="0" w:firstRowFirstColumn="0" w:firstRowLastColumn="0" w:lastRowFirstColumn="0" w:lastRowLastColumn="0"/>
            </w:pPr>
            <w:r w:rsidRPr="00AB5BC6">
              <w:t>Connecting Queensland</w:t>
            </w:r>
          </w:p>
        </w:tc>
        <w:tc>
          <w:tcPr>
            <w:tcW w:w="633" w:type="pct"/>
          </w:tcPr>
          <w:p w14:paraId="4862D1ED" w14:textId="77777777" w:rsidR="002A7B67" w:rsidRPr="00EA3C28" w:rsidRDefault="002A7B67" w:rsidP="00A655E6">
            <w:pPr>
              <w:pStyle w:val="Normal-table"/>
              <w:cnfStyle w:val="000000000000" w:firstRow="0" w:lastRow="0" w:firstColumn="0" w:lastColumn="0" w:oddVBand="0" w:evenVBand="0" w:oddHBand="0" w:evenHBand="0" w:firstRowFirstColumn="0" w:firstRowLastColumn="0" w:lastRowFirstColumn="0" w:lastRowLastColumn="0"/>
            </w:pPr>
            <w:r w:rsidRPr="00AB5BC6">
              <w:t>Completed</w:t>
            </w:r>
          </w:p>
        </w:tc>
      </w:tr>
      <w:tr w:rsidR="002A7B67" w:rsidRPr="000A4CE2" w14:paraId="39BA8FBE" w14:textId="77777777" w:rsidTr="00EC1C3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13" w:type="pct"/>
          </w:tcPr>
          <w:p w14:paraId="6587476C" w14:textId="77777777" w:rsidR="002A7B67" w:rsidRPr="00AB5BC6" w:rsidRDefault="002A7B67" w:rsidP="00A655E6">
            <w:pPr>
              <w:pStyle w:val="Normal-table"/>
            </w:pPr>
            <w:r>
              <w:t xml:space="preserve">Established TMR's first branch level Accessibility and Inclusion Program within its Customer Services Branch, ensuring TMR has a culturally competent, diverse, and inclusive workforce, and that TMR's products, services, and infrastructure are accessible and inclusive for everyone. </w:t>
            </w:r>
          </w:p>
        </w:tc>
        <w:tc>
          <w:tcPr>
            <w:tcW w:w="1255" w:type="pct"/>
          </w:tcPr>
          <w:p w14:paraId="11CBE95B" w14:textId="77777777" w:rsidR="002A7B67" w:rsidRPr="00AB5BC6"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t xml:space="preserve">Connecting Queensland </w:t>
            </w:r>
          </w:p>
        </w:tc>
        <w:tc>
          <w:tcPr>
            <w:tcW w:w="633" w:type="pct"/>
          </w:tcPr>
          <w:p w14:paraId="56C409D8" w14:textId="77777777" w:rsidR="002A7B67" w:rsidRPr="00AB5BC6"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t>Ongoing</w:t>
            </w:r>
          </w:p>
        </w:tc>
      </w:tr>
      <w:tr w:rsidR="002A7B67" w:rsidRPr="000A4CE2" w14:paraId="0FFE4621" w14:textId="77777777" w:rsidTr="00EC1C36">
        <w:trPr>
          <w:trHeight w:val="60"/>
        </w:trPr>
        <w:tc>
          <w:tcPr>
            <w:cnfStyle w:val="001000000000" w:firstRow="0" w:lastRow="0" w:firstColumn="1" w:lastColumn="0" w:oddVBand="0" w:evenVBand="0" w:oddHBand="0" w:evenHBand="0" w:firstRowFirstColumn="0" w:firstRowLastColumn="0" w:lastRowFirstColumn="0" w:lastRowLastColumn="0"/>
            <w:tcW w:w="3113" w:type="pct"/>
          </w:tcPr>
          <w:p w14:paraId="4529318F" w14:textId="77777777" w:rsidR="002A7B67" w:rsidRPr="00EA3C28" w:rsidRDefault="002A7B67" w:rsidP="00A655E6">
            <w:pPr>
              <w:pStyle w:val="Normal-table"/>
            </w:pPr>
            <w:r w:rsidRPr="00064D49">
              <w:t xml:space="preserve">Delivered the </w:t>
            </w:r>
            <w:r w:rsidRPr="00EA3C28">
              <w:rPr>
                <w:rStyle w:val="Emphasis"/>
              </w:rPr>
              <w:t>Accessible Communication Guidelines</w:t>
            </w:r>
            <w:r w:rsidRPr="00EA3C28">
              <w:t xml:space="preserve"> which provide the framework for creating accessible and inclusive communication content, channels and materials.</w:t>
            </w:r>
          </w:p>
          <w:p w14:paraId="585F0401" w14:textId="77777777" w:rsidR="002A7B67" w:rsidRPr="00AB5BC6" w:rsidRDefault="002A7B67" w:rsidP="00A655E6">
            <w:pPr>
              <w:pStyle w:val="Normal-table"/>
            </w:pPr>
          </w:p>
        </w:tc>
        <w:tc>
          <w:tcPr>
            <w:tcW w:w="1255" w:type="pct"/>
          </w:tcPr>
          <w:p w14:paraId="50297806" w14:textId="77777777" w:rsidR="002A7B67" w:rsidRPr="00EA3C28" w:rsidRDefault="002A7B67" w:rsidP="00A655E6">
            <w:pPr>
              <w:pStyle w:val="Normal-table"/>
              <w:cnfStyle w:val="000000000000" w:firstRow="0" w:lastRow="0" w:firstColumn="0" w:lastColumn="0" w:oddVBand="0" w:evenVBand="0" w:oddHBand="0" w:evenHBand="0" w:firstRowFirstColumn="0" w:firstRowLastColumn="0" w:lastRowFirstColumn="0" w:lastRowLastColumn="0"/>
            </w:pPr>
            <w:r>
              <w:t>Connecting Queensland</w:t>
            </w:r>
          </w:p>
        </w:tc>
        <w:tc>
          <w:tcPr>
            <w:tcW w:w="633" w:type="pct"/>
          </w:tcPr>
          <w:p w14:paraId="61EE59F7" w14:textId="77777777" w:rsidR="002A7B67" w:rsidRPr="00EA3C28" w:rsidRDefault="002A7B67" w:rsidP="00A655E6">
            <w:pPr>
              <w:pStyle w:val="Normal-table"/>
              <w:cnfStyle w:val="000000000000" w:firstRow="0" w:lastRow="0" w:firstColumn="0" w:lastColumn="0" w:oddVBand="0" w:evenVBand="0" w:oddHBand="0" w:evenHBand="0" w:firstRowFirstColumn="0" w:firstRowLastColumn="0" w:lastRowFirstColumn="0" w:lastRowLastColumn="0"/>
            </w:pPr>
            <w:r>
              <w:t>Completed</w:t>
            </w:r>
          </w:p>
        </w:tc>
      </w:tr>
    </w:tbl>
    <w:p w14:paraId="677D4741" w14:textId="77777777" w:rsidR="00EC1C36" w:rsidRDefault="00EC1C36">
      <w:pPr>
        <w:spacing w:before="0" w:after="160" w:line="259" w:lineRule="auto"/>
      </w:pPr>
      <w:r>
        <w:br w:type="page"/>
      </w:r>
    </w:p>
    <w:p w14:paraId="127800F9" w14:textId="77777777" w:rsidR="002A7B67" w:rsidRPr="000A4CE2" w:rsidRDefault="002A7B67" w:rsidP="002A7B67">
      <w:pPr>
        <w:pStyle w:val="Heading2"/>
      </w:pPr>
      <w:r w:rsidRPr="000A4CE2">
        <w:lastRenderedPageBreak/>
        <w:t>Safe</w:t>
      </w:r>
    </w:p>
    <w:p w14:paraId="20CA0D60" w14:textId="77777777" w:rsidR="002A7B67" w:rsidRPr="00AB5BC6" w:rsidRDefault="002A7B67" w:rsidP="002A7B67">
      <w:r w:rsidRPr="00AB5BC6">
        <w:t>Provide a safe and secure transport system and TMR workplaces</w:t>
      </w:r>
      <w:r>
        <w:t>.</w:t>
      </w:r>
    </w:p>
    <w:p w14:paraId="026FE935" w14:textId="77777777" w:rsidR="002A7B67" w:rsidRDefault="002A7B67" w:rsidP="002A7B67">
      <w:pPr>
        <w:pStyle w:val="TableofFigures"/>
      </w:pPr>
      <w:r w:rsidRPr="000A4CE2">
        <w:t xml:space="preserve">Table </w:t>
      </w:r>
      <w:r>
        <w:t>4</w:t>
      </w:r>
      <w:r w:rsidRPr="000A4CE2">
        <w:t>: Key priorities and outcomes</w:t>
      </w:r>
      <w:r>
        <w:t>: Safe</w:t>
      </w:r>
    </w:p>
    <w:tbl>
      <w:tblPr>
        <w:tblStyle w:val="GridTable4-Accent1"/>
        <w:tblW w:w="5000" w:type="pct"/>
        <w:tblLook w:val="04A0" w:firstRow="1" w:lastRow="0" w:firstColumn="1" w:lastColumn="0" w:noHBand="0" w:noVBand="1"/>
      </w:tblPr>
      <w:tblGrid>
        <w:gridCol w:w="6375"/>
        <w:gridCol w:w="2549"/>
        <w:gridCol w:w="1270"/>
      </w:tblGrid>
      <w:tr w:rsidR="002A7B67" w:rsidRPr="00A655E6" w14:paraId="147E83C7" w14:textId="77777777" w:rsidTr="00EC1C36">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3127" w:type="pct"/>
          </w:tcPr>
          <w:p w14:paraId="1A5234C1" w14:textId="77777777" w:rsidR="002A7B67" w:rsidRPr="00A655E6" w:rsidRDefault="002A7B67" w:rsidP="00A655E6">
            <w:pPr>
              <w:pStyle w:val="Normal-table"/>
            </w:pPr>
            <w:r w:rsidRPr="00A655E6">
              <w:t>Key priorities and outcomes</w:t>
            </w:r>
          </w:p>
        </w:tc>
        <w:tc>
          <w:tcPr>
            <w:tcW w:w="1250" w:type="pct"/>
          </w:tcPr>
          <w:p w14:paraId="5EBE80D1" w14:textId="77777777" w:rsidR="002A7B67" w:rsidRPr="00A655E6" w:rsidRDefault="002A7B67" w:rsidP="00A655E6">
            <w:pPr>
              <w:pStyle w:val="Normal-table"/>
              <w:cnfStyle w:val="100000000000" w:firstRow="1" w:lastRow="0" w:firstColumn="0" w:lastColumn="0" w:oddVBand="0" w:evenVBand="0" w:oddHBand="0" w:evenHBand="0" w:firstRowFirstColumn="0" w:firstRowLastColumn="0" w:lastRowFirstColumn="0" w:lastRowLastColumn="0"/>
            </w:pPr>
            <w:r w:rsidRPr="00A655E6">
              <w:t>Alignment to Queensland Government’s objectives for the community</w:t>
            </w:r>
          </w:p>
        </w:tc>
        <w:tc>
          <w:tcPr>
            <w:tcW w:w="623" w:type="pct"/>
          </w:tcPr>
          <w:p w14:paraId="4D60C551" w14:textId="77777777" w:rsidR="002A7B67" w:rsidRPr="00A655E6" w:rsidRDefault="002A7B67" w:rsidP="00A655E6">
            <w:pPr>
              <w:pStyle w:val="Normal-table"/>
              <w:cnfStyle w:val="100000000000" w:firstRow="1" w:lastRow="0" w:firstColumn="0" w:lastColumn="0" w:oddVBand="0" w:evenVBand="0" w:oddHBand="0" w:evenHBand="0" w:firstRowFirstColumn="0" w:firstRowLastColumn="0" w:lastRowFirstColumn="0" w:lastRowLastColumn="0"/>
            </w:pPr>
            <w:r w:rsidRPr="00A655E6">
              <w:t>Status</w:t>
            </w:r>
          </w:p>
        </w:tc>
      </w:tr>
      <w:tr w:rsidR="002A7B67" w:rsidRPr="00A655E6" w14:paraId="716E088D" w14:textId="77777777" w:rsidTr="00EC1C3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27" w:type="pct"/>
          </w:tcPr>
          <w:p w14:paraId="54922A7B" w14:textId="77777777" w:rsidR="002A7B67" w:rsidRPr="00A655E6" w:rsidRDefault="002A7B67" w:rsidP="00A655E6">
            <w:pPr>
              <w:pStyle w:val="Normal-table"/>
            </w:pPr>
            <w:r w:rsidRPr="00A655E6">
              <w:t>Continued delivering the Targeted Road Safety Program and the Camera Detected Offence Program to reduce the frequency and severity of road-related trauma.</w:t>
            </w:r>
          </w:p>
        </w:tc>
        <w:tc>
          <w:tcPr>
            <w:tcW w:w="1250" w:type="pct"/>
          </w:tcPr>
          <w:p w14:paraId="06748B93" w14:textId="77777777" w:rsidR="002A7B67" w:rsidRPr="00A655E6"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rsidRPr="00A655E6">
              <w:t>Keeping Queenslanders safe</w:t>
            </w:r>
          </w:p>
        </w:tc>
        <w:tc>
          <w:tcPr>
            <w:tcW w:w="623" w:type="pct"/>
          </w:tcPr>
          <w:p w14:paraId="401B468B" w14:textId="77777777" w:rsidR="002A7B67" w:rsidRPr="00A655E6"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rsidRPr="00A655E6">
              <w:t>Ongoing</w:t>
            </w:r>
          </w:p>
        </w:tc>
      </w:tr>
      <w:tr w:rsidR="002A7B67" w:rsidRPr="00A655E6" w14:paraId="550EC546" w14:textId="77777777" w:rsidTr="00EC1C36">
        <w:trPr>
          <w:trHeight w:val="60"/>
        </w:trPr>
        <w:tc>
          <w:tcPr>
            <w:cnfStyle w:val="001000000000" w:firstRow="0" w:lastRow="0" w:firstColumn="1" w:lastColumn="0" w:oddVBand="0" w:evenVBand="0" w:oddHBand="0" w:evenHBand="0" w:firstRowFirstColumn="0" w:firstRowLastColumn="0" w:lastRowFirstColumn="0" w:lastRowLastColumn="0"/>
            <w:tcW w:w="3127" w:type="pct"/>
          </w:tcPr>
          <w:p w14:paraId="254B030F" w14:textId="77777777" w:rsidR="002A7B67" w:rsidRPr="00A655E6" w:rsidRDefault="002A7B67" w:rsidP="00A655E6">
            <w:pPr>
              <w:pStyle w:val="Normal-table"/>
            </w:pPr>
            <w:r w:rsidRPr="00A655E6">
              <w:t>Continued implementation of European Train Control System (ETCS) as part of the Cross River Rail project and planning for its development more broadly on the Queensland Rail network which will increase safety by providing greater oversight and control of trains as they are in operation.</w:t>
            </w:r>
          </w:p>
        </w:tc>
        <w:tc>
          <w:tcPr>
            <w:tcW w:w="1250" w:type="pct"/>
          </w:tcPr>
          <w:p w14:paraId="49C11769" w14:textId="77777777" w:rsidR="002A7B67" w:rsidRPr="00A655E6" w:rsidRDefault="002A7B67" w:rsidP="00A655E6">
            <w:pPr>
              <w:pStyle w:val="Normal-table"/>
              <w:cnfStyle w:val="000000000000" w:firstRow="0" w:lastRow="0" w:firstColumn="0" w:lastColumn="0" w:oddVBand="0" w:evenVBand="0" w:oddHBand="0" w:evenHBand="0" w:firstRowFirstColumn="0" w:firstRowLastColumn="0" w:lastRowFirstColumn="0" w:lastRowLastColumn="0"/>
            </w:pPr>
            <w:r w:rsidRPr="00A655E6">
              <w:t>Keeping Queenslanders safe</w:t>
            </w:r>
          </w:p>
        </w:tc>
        <w:tc>
          <w:tcPr>
            <w:tcW w:w="623" w:type="pct"/>
          </w:tcPr>
          <w:p w14:paraId="0FAC037E" w14:textId="77777777" w:rsidR="002A7B67" w:rsidRPr="00A655E6" w:rsidRDefault="002A7B67" w:rsidP="00A655E6">
            <w:pPr>
              <w:pStyle w:val="Normal-table"/>
              <w:cnfStyle w:val="000000000000" w:firstRow="0" w:lastRow="0" w:firstColumn="0" w:lastColumn="0" w:oddVBand="0" w:evenVBand="0" w:oddHBand="0" w:evenHBand="0" w:firstRowFirstColumn="0" w:firstRowLastColumn="0" w:lastRowFirstColumn="0" w:lastRowLastColumn="0"/>
            </w:pPr>
            <w:r w:rsidRPr="00A655E6">
              <w:t>In progress</w:t>
            </w:r>
          </w:p>
        </w:tc>
      </w:tr>
      <w:tr w:rsidR="002A7B67" w:rsidRPr="00A655E6" w14:paraId="4675AC31" w14:textId="77777777" w:rsidTr="00EC1C3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27" w:type="pct"/>
          </w:tcPr>
          <w:p w14:paraId="32B2F9BA" w14:textId="77777777" w:rsidR="002A7B67" w:rsidRPr="00A655E6" w:rsidRDefault="002A7B67" w:rsidP="00A655E6">
            <w:pPr>
              <w:pStyle w:val="Normal-table"/>
            </w:pPr>
            <w:r w:rsidRPr="00A655E6">
              <w:t xml:space="preserve">Implemented actions from the </w:t>
            </w:r>
            <w:r w:rsidRPr="00A655E6">
              <w:rPr>
                <w:rStyle w:val="Emphasis"/>
                <w:i w:val="0"/>
                <w:iCs w:val="0"/>
              </w:rPr>
              <w:t>Personal Mobility Device Safety Action Plan</w:t>
            </w:r>
            <w:r w:rsidRPr="00A655E6">
              <w:t>, including major road rule reforms to improve e-scooter safety.</w:t>
            </w:r>
          </w:p>
        </w:tc>
        <w:tc>
          <w:tcPr>
            <w:tcW w:w="1250" w:type="pct"/>
          </w:tcPr>
          <w:p w14:paraId="1723329C" w14:textId="77777777" w:rsidR="002A7B67" w:rsidRPr="00A655E6"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rsidRPr="00A655E6">
              <w:t>Keeping Queenslanders safe</w:t>
            </w:r>
          </w:p>
        </w:tc>
        <w:tc>
          <w:tcPr>
            <w:tcW w:w="623" w:type="pct"/>
          </w:tcPr>
          <w:p w14:paraId="3C593C93" w14:textId="77777777" w:rsidR="002A7B67" w:rsidRPr="00A655E6"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rsidRPr="00A655E6">
              <w:t>In progress</w:t>
            </w:r>
          </w:p>
        </w:tc>
      </w:tr>
      <w:tr w:rsidR="002A7B67" w:rsidRPr="00A655E6" w14:paraId="390EE94D" w14:textId="77777777" w:rsidTr="00EC1C36">
        <w:trPr>
          <w:trHeight w:val="60"/>
        </w:trPr>
        <w:tc>
          <w:tcPr>
            <w:cnfStyle w:val="001000000000" w:firstRow="0" w:lastRow="0" w:firstColumn="1" w:lastColumn="0" w:oddVBand="0" w:evenVBand="0" w:oddHBand="0" w:evenHBand="0" w:firstRowFirstColumn="0" w:firstRowLastColumn="0" w:lastRowFirstColumn="0" w:lastRowLastColumn="0"/>
            <w:tcW w:w="3127" w:type="pct"/>
          </w:tcPr>
          <w:p w14:paraId="2B5BB702" w14:textId="77777777" w:rsidR="002A7B67" w:rsidRPr="00A655E6" w:rsidRDefault="002A7B67" w:rsidP="00A655E6">
            <w:pPr>
              <w:pStyle w:val="Normal-table"/>
            </w:pPr>
            <w:r w:rsidRPr="00A655E6">
              <w:t>Continued development of a Movement and Place Policy to support better health outcomes for communities by ensuring that local needs are considered and integrated into wider planning and operation of TMR's transport network.</w:t>
            </w:r>
          </w:p>
        </w:tc>
        <w:tc>
          <w:tcPr>
            <w:tcW w:w="1250" w:type="pct"/>
          </w:tcPr>
          <w:p w14:paraId="78888E15" w14:textId="77777777" w:rsidR="002A7B67" w:rsidRPr="00A655E6" w:rsidRDefault="002A7B67" w:rsidP="00A655E6">
            <w:pPr>
              <w:pStyle w:val="Normal-table"/>
              <w:cnfStyle w:val="000000000000" w:firstRow="0" w:lastRow="0" w:firstColumn="0" w:lastColumn="0" w:oddVBand="0" w:evenVBand="0" w:oddHBand="0" w:evenHBand="0" w:firstRowFirstColumn="0" w:firstRowLastColumn="0" w:lastRowFirstColumn="0" w:lastRowLastColumn="0"/>
            </w:pPr>
            <w:r w:rsidRPr="00A655E6">
              <w:t>Keeping Queenslanders safe</w:t>
            </w:r>
          </w:p>
        </w:tc>
        <w:tc>
          <w:tcPr>
            <w:tcW w:w="623" w:type="pct"/>
          </w:tcPr>
          <w:p w14:paraId="29BFAAF9" w14:textId="77777777" w:rsidR="002A7B67" w:rsidRPr="00A655E6" w:rsidRDefault="002A7B67" w:rsidP="00A655E6">
            <w:pPr>
              <w:pStyle w:val="Normal-table"/>
              <w:cnfStyle w:val="000000000000" w:firstRow="0" w:lastRow="0" w:firstColumn="0" w:lastColumn="0" w:oddVBand="0" w:evenVBand="0" w:oddHBand="0" w:evenHBand="0" w:firstRowFirstColumn="0" w:firstRowLastColumn="0" w:lastRowFirstColumn="0" w:lastRowLastColumn="0"/>
            </w:pPr>
            <w:r w:rsidRPr="00A655E6">
              <w:t xml:space="preserve">In progress </w:t>
            </w:r>
          </w:p>
        </w:tc>
      </w:tr>
      <w:tr w:rsidR="002A7B67" w:rsidRPr="00A655E6" w14:paraId="7CF425FB" w14:textId="77777777" w:rsidTr="00EC1C3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27" w:type="pct"/>
          </w:tcPr>
          <w:p w14:paraId="0C18F675" w14:textId="77777777" w:rsidR="002A7B67" w:rsidRPr="00A655E6" w:rsidRDefault="002A7B67" w:rsidP="00A655E6">
            <w:pPr>
              <w:pStyle w:val="Normal-table"/>
            </w:pPr>
            <w:r w:rsidRPr="00A655E6">
              <w:t xml:space="preserve">Translink's Contact Centre continued to provide valuable assistance to our customers along their journey by answering 871,872 calls from passenger transport customers in 20.86 seconds on average.  </w:t>
            </w:r>
          </w:p>
        </w:tc>
        <w:tc>
          <w:tcPr>
            <w:tcW w:w="1250" w:type="pct"/>
          </w:tcPr>
          <w:p w14:paraId="34B3A4EC" w14:textId="77777777" w:rsidR="002A7B67" w:rsidRPr="00A655E6"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rsidRPr="00A655E6">
              <w:t>Backing our frontline services</w:t>
            </w:r>
          </w:p>
        </w:tc>
        <w:tc>
          <w:tcPr>
            <w:tcW w:w="623" w:type="pct"/>
          </w:tcPr>
          <w:p w14:paraId="6ACAB0F9" w14:textId="77777777" w:rsidR="002A7B67" w:rsidRPr="00A655E6"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rsidRPr="00A655E6">
              <w:t>In progress</w:t>
            </w:r>
          </w:p>
        </w:tc>
      </w:tr>
      <w:tr w:rsidR="002A7B67" w:rsidRPr="00A655E6" w14:paraId="6548528D" w14:textId="77777777" w:rsidTr="00EC1C36">
        <w:trPr>
          <w:trHeight w:val="60"/>
        </w:trPr>
        <w:tc>
          <w:tcPr>
            <w:cnfStyle w:val="001000000000" w:firstRow="0" w:lastRow="0" w:firstColumn="1" w:lastColumn="0" w:oddVBand="0" w:evenVBand="0" w:oddHBand="0" w:evenHBand="0" w:firstRowFirstColumn="0" w:firstRowLastColumn="0" w:lastRowFirstColumn="0" w:lastRowLastColumn="0"/>
            <w:tcW w:w="3127" w:type="pct"/>
          </w:tcPr>
          <w:p w14:paraId="3D62132F" w14:textId="77777777" w:rsidR="002A7B67" w:rsidRPr="00A655E6" w:rsidRDefault="002A7B67" w:rsidP="00A655E6">
            <w:pPr>
              <w:pStyle w:val="Normal-table"/>
            </w:pPr>
            <w:r w:rsidRPr="00A655E6">
              <w:t>Continued the staged statewide rollout of Queensland's first Digital Licence app which will provide a convenient, safe, and secure way for individuals to digitally store, share, and validate their identity.</w:t>
            </w:r>
          </w:p>
        </w:tc>
        <w:tc>
          <w:tcPr>
            <w:tcW w:w="1250" w:type="pct"/>
          </w:tcPr>
          <w:p w14:paraId="7686B56F" w14:textId="77777777" w:rsidR="002A7B67" w:rsidRPr="00A655E6" w:rsidRDefault="002A7B67" w:rsidP="00A655E6">
            <w:pPr>
              <w:pStyle w:val="Normal-table"/>
              <w:cnfStyle w:val="000000000000" w:firstRow="0" w:lastRow="0" w:firstColumn="0" w:lastColumn="0" w:oddVBand="0" w:evenVBand="0" w:oddHBand="0" w:evenHBand="0" w:firstRowFirstColumn="0" w:firstRowLastColumn="0" w:lastRowFirstColumn="0" w:lastRowLastColumn="0"/>
            </w:pPr>
            <w:r w:rsidRPr="00A655E6">
              <w:t>Keeping Queenslanders safe</w:t>
            </w:r>
          </w:p>
        </w:tc>
        <w:tc>
          <w:tcPr>
            <w:tcW w:w="623" w:type="pct"/>
          </w:tcPr>
          <w:p w14:paraId="28EB487B" w14:textId="77777777" w:rsidR="002A7B67" w:rsidRPr="00A655E6" w:rsidRDefault="002A7B67" w:rsidP="00A655E6">
            <w:pPr>
              <w:pStyle w:val="Normal-table"/>
              <w:cnfStyle w:val="000000000000" w:firstRow="0" w:lastRow="0" w:firstColumn="0" w:lastColumn="0" w:oddVBand="0" w:evenVBand="0" w:oddHBand="0" w:evenHBand="0" w:firstRowFirstColumn="0" w:firstRowLastColumn="0" w:lastRowFirstColumn="0" w:lastRowLastColumn="0"/>
            </w:pPr>
            <w:r w:rsidRPr="00A655E6">
              <w:t>In progress</w:t>
            </w:r>
          </w:p>
        </w:tc>
      </w:tr>
      <w:tr w:rsidR="002A7B67" w:rsidRPr="00A655E6" w14:paraId="7E2D927F" w14:textId="77777777" w:rsidTr="00EC1C3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27" w:type="pct"/>
          </w:tcPr>
          <w:p w14:paraId="2293CA16" w14:textId="77777777" w:rsidR="002A7B67" w:rsidRPr="00A655E6" w:rsidRDefault="002A7B67" w:rsidP="00A655E6">
            <w:pPr>
              <w:pStyle w:val="Normal-table"/>
            </w:pPr>
            <w:r w:rsidRPr="00A655E6">
              <w:t xml:space="preserve">Released the </w:t>
            </w:r>
            <w:r w:rsidRPr="00A655E6">
              <w:rPr>
                <w:rStyle w:val="Emphasis"/>
                <w:i w:val="0"/>
                <w:iCs w:val="0"/>
              </w:rPr>
              <w:t>Queensland Road Safety Strategy 2022–31</w:t>
            </w:r>
            <w:r w:rsidRPr="00A655E6">
              <w:t xml:space="preserve"> and the </w:t>
            </w:r>
            <w:r w:rsidRPr="00A655E6">
              <w:rPr>
                <w:rStyle w:val="Emphasis"/>
                <w:i w:val="0"/>
                <w:iCs w:val="0"/>
              </w:rPr>
              <w:t>Queensland Road Safety Action Plan 2022–24</w:t>
            </w:r>
            <w:r w:rsidRPr="00A655E6">
              <w:t xml:space="preserve">, which sets the future direction to improve road safety outcomes and reduce the number of lives lost and seriously injured on roads. </w:t>
            </w:r>
          </w:p>
        </w:tc>
        <w:tc>
          <w:tcPr>
            <w:tcW w:w="1250" w:type="pct"/>
          </w:tcPr>
          <w:p w14:paraId="1ABC5FD2" w14:textId="77777777" w:rsidR="002A7B67" w:rsidRPr="00A655E6"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rsidRPr="00A655E6">
              <w:t>Keeping Queenslanders safe</w:t>
            </w:r>
          </w:p>
        </w:tc>
        <w:tc>
          <w:tcPr>
            <w:tcW w:w="623" w:type="pct"/>
          </w:tcPr>
          <w:p w14:paraId="47B4CD1C" w14:textId="77777777" w:rsidR="002A7B67" w:rsidRPr="00A655E6"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rsidRPr="00A655E6">
              <w:t>Ongoing</w:t>
            </w:r>
          </w:p>
        </w:tc>
      </w:tr>
    </w:tbl>
    <w:p w14:paraId="02142EC8" w14:textId="77777777" w:rsidR="00EC1C36" w:rsidRDefault="00EC1C36">
      <w:pPr>
        <w:spacing w:before="0" w:after="160" w:line="259" w:lineRule="auto"/>
        <w:rPr>
          <w:rFonts w:eastAsiaTheme="majorEastAsia" w:cstheme="majorBidi"/>
          <w:color w:val="000000" w:themeColor="text1"/>
          <w:sz w:val="48"/>
          <w:szCs w:val="26"/>
        </w:rPr>
      </w:pPr>
      <w:r>
        <w:br w:type="page"/>
      </w:r>
    </w:p>
    <w:p w14:paraId="5884A7B3" w14:textId="22ED3B99" w:rsidR="002A7B67" w:rsidRPr="000A4CE2" w:rsidRDefault="002A7B67" w:rsidP="002A7B67">
      <w:pPr>
        <w:pStyle w:val="Heading2"/>
      </w:pPr>
      <w:r w:rsidRPr="000A4CE2">
        <w:lastRenderedPageBreak/>
        <w:t>Responsive</w:t>
      </w:r>
    </w:p>
    <w:p w14:paraId="742250E5" w14:textId="77777777" w:rsidR="002A7B67" w:rsidRDefault="002A7B67" w:rsidP="002A7B67">
      <w:r w:rsidRPr="00AB5BC6">
        <w:t>Actively manage a transport system that is responsive to evolving customer expectations and business disruptions</w:t>
      </w:r>
      <w:r>
        <w:t>.</w:t>
      </w:r>
    </w:p>
    <w:p w14:paraId="63865D59" w14:textId="77777777" w:rsidR="002A7B67" w:rsidRDefault="002A7B67" w:rsidP="002A7B67">
      <w:pPr>
        <w:pStyle w:val="TableofFigures"/>
      </w:pPr>
      <w:r w:rsidRPr="000A4CE2">
        <w:t xml:space="preserve">Table </w:t>
      </w:r>
      <w:r>
        <w:t>5</w:t>
      </w:r>
      <w:r w:rsidRPr="000A4CE2">
        <w:t>: Key priorities and outcomes</w:t>
      </w:r>
      <w:r>
        <w:t>: Responsive</w:t>
      </w:r>
    </w:p>
    <w:tbl>
      <w:tblPr>
        <w:tblStyle w:val="GridTable4-Accent1"/>
        <w:tblW w:w="5000" w:type="pct"/>
        <w:tblLook w:val="04A0" w:firstRow="1" w:lastRow="0" w:firstColumn="1" w:lastColumn="0" w:noHBand="0" w:noVBand="1"/>
      </w:tblPr>
      <w:tblGrid>
        <w:gridCol w:w="6375"/>
        <w:gridCol w:w="2549"/>
        <w:gridCol w:w="1270"/>
      </w:tblGrid>
      <w:tr w:rsidR="002A7B67" w:rsidRPr="00A655E6" w14:paraId="66B8576E" w14:textId="77777777" w:rsidTr="00EC1C36">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3127" w:type="pct"/>
          </w:tcPr>
          <w:p w14:paraId="34B7F86C" w14:textId="77777777" w:rsidR="002A7B67" w:rsidRPr="00A655E6" w:rsidRDefault="002A7B67" w:rsidP="00A655E6">
            <w:pPr>
              <w:pStyle w:val="Normal-table"/>
            </w:pPr>
            <w:r w:rsidRPr="00A655E6">
              <w:t>Key priorities and outcomes</w:t>
            </w:r>
          </w:p>
        </w:tc>
        <w:tc>
          <w:tcPr>
            <w:tcW w:w="1250" w:type="pct"/>
          </w:tcPr>
          <w:p w14:paraId="10C21FF4" w14:textId="77777777" w:rsidR="002A7B67" w:rsidRPr="00A655E6" w:rsidRDefault="002A7B67" w:rsidP="00A655E6">
            <w:pPr>
              <w:pStyle w:val="Normal-table"/>
              <w:cnfStyle w:val="100000000000" w:firstRow="1" w:lastRow="0" w:firstColumn="0" w:lastColumn="0" w:oddVBand="0" w:evenVBand="0" w:oddHBand="0" w:evenHBand="0" w:firstRowFirstColumn="0" w:firstRowLastColumn="0" w:lastRowFirstColumn="0" w:lastRowLastColumn="0"/>
            </w:pPr>
            <w:r w:rsidRPr="00A655E6">
              <w:t>Alignment to Queensland Government’s objectives for the community</w:t>
            </w:r>
          </w:p>
        </w:tc>
        <w:tc>
          <w:tcPr>
            <w:tcW w:w="623" w:type="pct"/>
          </w:tcPr>
          <w:p w14:paraId="02508985" w14:textId="77777777" w:rsidR="002A7B67" w:rsidRPr="00A655E6" w:rsidRDefault="002A7B67" w:rsidP="00A655E6">
            <w:pPr>
              <w:pStyle w:val="Normal-table"/>
              <w:cnfStyle w:val="100000000000" w:firstRow="1" w:lastRow="0" w:firstColumn="0" w:lastColumn="0" w:oddVBand="0" w:evenVBand="0" w:oddHBand="0" w:evenHBand="0" w:firstRowFirstColumn="0" w:firstRowLastColumn="0" w:lastRowFirstColumn="0" w:lastRowLastColumn="0"/>
            </w:pPr>
            <w:r w:rsidRPr="00A655E6">
              <w:t>Status</w:t>
            </w:r>
          </w:p>
        </w:tc>
      </w:tr>
      <w:tr w:rsidR="002A7B67" w:rsidRPr="00A655E6" w14:paraId="64C06D5E" w14:textId="77777777" w:rsidTr="00EC1C3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27" w:type="pct"/>
          </w:tcPr>
          <w:p w14:paraId="48FF05EF" w14:textId="77777777" w:rsidR="002A7B67" w:rsidRPr="00A655E6" w:rsidRDefault="002A7B67" w:rsidP="00A655E6">
            <w:pPr>
              <w:pStyle w:val="Normal-table"/>
            </w:pPr>
            <w:r w:rsidRPr="00A655E6">
              <w:t xml:space="preserve">Delivering actions outlined in the statewide Regional Transport Plans which prioritise and manage the transport system so that it effectively supports regional communities, growth, and productivity over a 15-year horizon. </w:t>
            </w:r>
          </w:p>
        </w:tc>
        <w:tc>
          <w:tcPr>
            <w:tcW w:w="1250" w:type="pct"/>
          </w:tcPr>
          <w:p w14:paraId="7A936CAD" w14:textId="77777777" w:rsidR="002A7B67" w:rsidRPr="00A655E6"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rsidRPr="00A655E6">
              <w:t>Growing our regions</w:t>
            </w:r>
          </w:p>
        </w:tc>
        <w:tc>
          <w:tcPr>
            <w:tcW w:w="623" w:type="pct"/>
          </w:tcPr>
          <w:p w14:paraId="04BD144C" w14:textId="77777777" w:rsidR="002A7B67" w:rsidRPr="00A655E6"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rsidRPr="00A655E6">
              <w:t>Ongoing</w:t>
            </w:r>
          </w:p>
        </w:tc>
      </w:tr>
      <w:tr w:rsidR="002A7B67" w:rsidRPr="00A655E6" w14:paraId="1511CBB2" w14:textId="77777777" w:rsidTr="00EC1C36">
        <w:trPr>
          <w:trHeight w:val="60"/>
        </w:trPr>
        <w:tc>
          <w:tcPr>
            <w:cnfStyle w:val="001000000000" w:firstRow="0" w:lastRow="0" w:firstColumn="1" w:lastColumn="0" w:oddVBand="0" w:evenVBand="0" w:oddHBand="0" w:evenHBand="0" w:firstRowFirstColumn="0" w:firstRowLastColumn="0" w:lastRowFirstColumn="0" w:lastRowLastColumn="0"/>
            <w:tcW w:w="3127" w:type="pct"/>
          </w:tcPr>
          <w:p w14:paraId="45308D1C" w14:textId="77777777" w:rsidR="002A7B67" w:rsidRPr="00A655E6" w:rsidRDefault="002A7B67" w:rsidP="00A655E6">
            <w:pPr>
              <w:pStyle w:val="Normal-table"/>
            </w:pPr>
            <w:r w:rsidRPr="00A655E6">
              <w:t>Commenced planning for the introduction and safe use of connected and automated vehicle technologies on the transport network.</w:t>
            </w:r>
          </w:p>
        </w:tc>
        <w:tc>
          <w:tcPr>
            <w:tcW w:w="1250" w:type="pct"/>
          </w:tcPr>
          <w:p w14:paraId="72A23C77" w14:textId="77777777" w:rsidR="002A7B67" w:rsidRPr="00A655E6" w:rsidRDefault="002A7B67" w:rsidP="00A655E6">
            <w:pPr>
              <w:pStyle w:val="Normal-table"/>
              <w:cnfStyle w:val="000000000000" w:firstRow="0" w:lastRow="0" w:firstColumn="0" w:lastColumn="0" w:oddVBand="0" w:evenVBand="0" w:oddHBand="0" w:evenHBand="0" w:firstRowFirstColumn="0" w:firstRowLastColumn="0" w:lastRowFirstColumn="0" w:lastRowLastColumn="0"/>
            </w:pPr>
            <w:r w:rsidRPr="00A655E6">
              <w:t>Connecting Queensland</w:t>
            </w:r>
          </w:p>
        </w:tc>
        <w:tc>
          <w:tcPr>
            <w:tcW w:w="623" w:type="pct"/>
          </w:tcPr>
          <w:p w14:paraId="54F6A481" w14:textId="77777777" w:rsidR="002A7B67" w:rsidRPr="00A655E6" w:rsidRDefault="002A7B67" w:rsidP="00A655E6">
            <w:pPr>
              <w:pStyle w:val="Normal-table"/>
              <w:cnfStyle w:val="000000000000" w:firstRow="0" w:lastRow="0" w:firstColumn="0" w:lastColumn="0" w:oddVBand="0" w:evenVBand="0" w:oddHBand="0" w:evenHBand="0" w:firstRowFirstColumn="0" w:firstRowLastColumn="0" w:lastRowFirstColumn="0" w:lastRowLastColumn="0"/>
            </w:pPr>
            <w:r w:rsidRPr="00A655E6">
              <w:t>In progress</w:t>
            </w:r>
          </w:p>
        </w:tc>
      </w:tr>
      <w:tr w:rsidR="002A7B67" w:rsidRPr="00A655E6" w14:paraId="250FA3EF" w14:textId="77777777" w:rsidTr="00EC1C3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27" w:type="pct"/>
          </w:tcPr>
          <w:p w14:paraId="66C0358B" w14:textId="77777777" w:rsidR="002A7B67" w:rsidRPr="00A655E6" w:rsidRDefault="002A7B67" w:rsidP="00A655E6">
            <w:pPr>
              <w:pStyle w:val="Normal-table"/>
            </w:pPr>
            <w:r w:rsidRPr="00A655E6">
              <w:t xml:space="preserve">Continued refining the reference design and undertaking pre-procurement activities for the Logan and Gold Coast Faster Rail project to deliver improved rail capacity between Brisbane, Logan, and the Gold Coast. </w:t>
            </w:r>
          </w:p>
        </w:tc>
        <w:tc>
          <w:tcPr>
            <w:tcW w:w="1250" w:type="pct"/>
          </w:tcPr>
          <w:p w14:paraId="76D2F314" w14:textId="77777777" w:rsidR="002A7B67" w:rsidRPr="00A655E6"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rsidRPr="00A655E6">
              <w:t>Connecting Queensland</w:t>
            </w:r>
          </w:p>
        </w:tc>
        <w:tc>
          <w:tcPr>
            <w:tcW w:w="623" w:type="pct"/>
          </w:tcPr>
          <w:p w14:paraId="15C44173" w14:textId="77777777" w:rsidR="002A7B67" w:rsidRPr="00A655E6"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rsidRPr="00A655E6">
              <w:t>In progress</w:t>
            </w:r>
          </w:p>
        </w:tc>
      </w:tr>
      <w:tr w:rsidR="002A7B67" w:rsidRPr="00A655E6" w14:paraId="129DCF5F" w14:textId="77777777" w:rsidTr="00EC1C36">
        <w:trPr>
          <w:trHeight w:val="60"/>
        </w:trPr>
        <w:tc>
          <w:tcPr>
            <w:cnfStyle w:val="001000000000" w:firstRow="0" w:lastRow="0" w:firstColumn="1" w:lastColumn="0" w:oddVBand="0" w:evenVBand="0" w:oddHBand="0" w:evenHBand="0" w:firstRowFirstColumn="0" w:firstRowLastColumn="0" w:lastRowFirstColumn="0" w:lastRowLastColumn="0"/>
            <w:tcW w:w="3127" w:type="pct"/>
          </w:tcPr>
          <w:p w14:paraId="6410C26B" w14:textId="77777777" w:rsidR="002A7B67" w:rsidRPr="00A655E6" w:rsidRDefault="002A7B67" w:rsidP="00A655E6">
            <w:pPr>
              <w:pStyle w:val="Normal-table"/>
            </w:pPr>
            <w:r w:rsidRPr="00A655E6">
              <w:t xml:space="preserve">Commenced preparation of a business case investigating replacement of the rollingstock fleet servicing western Queensland's Inlander, Westlander, and Spirit of the Outback long distance passenger services. </w:t>
            </w:r>
          </w:p>
        </w:tc>
        <w:tc>
          <w:tcPr>
            <w:tcW w:w="1250" w:type="pct"/>
          </w:tcPr>
          <w:p w14:paraId="71FF5E5B" w14:textId="77777777" w:rsidR="002A7B67" w:rsidRPr="00A655E6" w:rsidRDefault="002A7B67" w:rsidP="00A655E6">
            <w:pPr>
              <w:pStyle w:val="Normal-table"/>
              <w:cnfStyle w:val="000000000000" w:firstRow="0" w:lastRow="0" w:firstColumn="0" w:lastColumn="0" w:oddVBand="0" w:evenVBand="0" w:oddHBand="0" w:evenHBand="0" w:firstRowFirstColumn="0" w:firstRowLastColumn="0" w:lastRowFirstColumn="0" w:lastRowLastColumn="0"/>
            </w:pPr>
            <w:r w:rsidRPr="00A655E6">
              <w:t>Connecting Queensland</w:t>
            </w:r>
          </w:p>
        </w:tc>
        <w:tc>
          <w:tcPr>
            <w:tcW w:w="623" w:type="pct"/>
          </w:tcPr>
          <w:p w14:paraId="6CD3C0F1" w14:textId="77777777" w:rsidR="002A7B67" w:rsidRPr="00A655E6" w:rsidRDefault="002A7B67" w:rsidP="00A655E6">
            <w:pPr>
              <w:pStyle w:val="Normal-table"/>
              <w:cnfStyle w:val="000000000000" w:firstRow="0" w:lastRow="0" w:firstColumn="0" w:lastColumn="0" w:oddVBand="0" w:evenVBand="0" w:oddHBand="0" w:evenHBand="0" w:firstRowFirstColumn="0" w:firstRowLastColumn="0" w:lastRowFirstColumn="0" w:lastRowLastColumn="0"/>
            </w:pPr>
            <w:r w:rsidRPr="00A655E6">
              <w:t>In progress</w:t>
            </w:r>
          </w:p>
        </w:tc>
      </w:tr>
      <w:tr w:rsidR="002A7B67" w:rsidRPr="00A655E6" w14:paraId="12B9C99F" w14:textId="77777777" w:rsidTr="00EC1C3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27" w:type="pct"/>
          </w:tcPr>
          <w:p w14:paraId="4B291FB1" w14:textId="77777777" w:rsidR="002A7B67" w:rsidRPr="00A655E6" w:rsidRDefault="002A7B67" w:rsidP="00A655E6">
            <w:pPr>
              <w:pStyle w:val="Normal-table"/>
            </w:pPr>
            <w:r w:rsidRPr="00A655E6">
              <w:t>Developed options for the way vessels are managed on the Noosa River in conjunction with Noosa Shire Council and the Noosa River Stakeholder Advisory Committee in response to increasingly crowded vessel operations.</w:t>
            </w:r>
          </w:p>
        </w:tc>
        <w:tc>
          <w:tcPr>
            <w:tcW w:w="1250" w:type="pct"/>
          </w:tcPr>
          <w:p w14:paraId="03B19B47" w14:textId="77777777" w:rsidR="002A7B67" w:rsidRPr="00A655E6"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rsidRPr="00A655E6">
              <w:t>Keeping Queenslanders safe</w:t>
            </w:r>
          </w:p>
        </w:tc>
        <w:tc>
          <w:tcPr>
            <w:tcW w:w="623" w:type="pct"/>
          </w:tcPr>
          <w:p w14:paraId="4F9E9B54" w14:textId="77777777" w:rsidR="002A7B67" w:rsidRPr="00A655E6"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rsidRPr="00A655E6">
              <w:t>Completed</w:t>
            </w:r>
          </w:p>
        </w:tc>
      </w:tr>
      <w:tr w:rsidR="002A7B67" w:rsidRPr="00A655E6" w14:paraId="52F02649" w14:textId="77777777" w:rsidTr="00EC1C36">
        <w:trPr>
          <w:trHeight w:val="60"/>
        </w:trPr>
        <w:tc>
          <w:tcPr>
            <w:cnfStyle w:val="001000000000" w:firstRow="0" w:lastRow="0" w:firstColumn="1" w:lastColumn="0" w:oddVBand="0" w:evenVBand="0" w:oddHBand="0" w:evenHBand="0" w:firstRowFirstColumn="0" w:firstRowLastColumn="0" w:lastRowFirstColumn="0" w:lastRowLastColumn="0"/>
            <w:tcW w:w="3127" w:type="pct"/>
          </w:tcPr>
          <w:p w14:paraId="7C78A602" w14:textId="77777777" w:rsidR="002A7B67" w:rsidRPr="00A655E6" w:rsidRDefault="002A7B67" w:rsidP="00A655E6">
            <w:pPr>
              <w:pStyle w:val="Normal-table"/>
            </w:pPr>
            <w:r w:rsidRPr="00A655E6">
              <w:t>Continued the delivery of the Yorkeys Knob boat launching facility north of the Cairns central business district (CBD) which includes a six-lane boat ramp, three floating walkways, and a queuing beach enclosed in a mini-harbour protected by rock breakwaters.</w:t>
            </w:r>
          </w:p>
        </w:tc>
        <w:tc>
          <w:tcPr>
            <w:tcW w:w="1250" w:type="pct"/>
          </w:tcPr>
          <w:p w14:paraId="3B85A558" w14:textId="77777777" w:rsidR="002A7B67" w:rsidRPr="00A655E6" w:rsidRDefault="002A7B67" w:rsidP="00A655E6">
            <w:pPr>
              <w:pStyle w:val="Normal-table"/>
              <w:cnfStyle w:val="000000000000" w:firstRow="0" w:lastRow="0" w:firstColumn="0" w:lastColumn="0" w:oddVBand="0" w:evenVBand="0" w:oddHBand="0" w:evenHBand="0" w:firstRowFirstColumn="0" w:firstRowLastColumn="0" w:lastRowFirstColumn="0" w:lastRowLastColumn="0"/>
            </w:pPr>
            <w:r w:rsidRPr="00A655E6">
              <w:t>Connecting Queensland</w:t>
            </w:r>
          </w:p>
        </w:tc>
        <w:tc>
          <w:tcPr>
            <w:tcW w:w="623" w:type="pct"/>
          </w:tcPr>
          <w:p w14:paraId="1124FC4F" w14:textId="77777777" w:rsidR="002A7B67" w:rsidRPr="00A655E6" w:rsidRDefault="002A7B67" w:rsidP="00A655E6">
            <w:pPr>
              <w:pStyle w:val="Normal-table"/>
              <w:cnfStyle w:val="000000000000" w:firstRow="0" w:lastRow="0" w:firstColumn="0" w:lastColumn="0" w:oddVBand="0" w:evenVBand="0" w:oddHBand="0" w:evenHBand="0" w:firstRowFirstColumn="0" w:firstRowLastColumn="0" w:lastRowFirstColumn="0" w:lastRowLastColumn="0"/>
            </w:pPr>
            <w:r w:rsidRPr="00A655E6">
              <w:t>In progress</w:t>
            </w:r>
          </w:p>
        </w:tc>
      </w:tr>
      <w:tr w:rsidR="002A7B67" w:rsidRPr="00A655E6" w14:paraId="147764C6" w14:textId="77777777" w:rsidTr="00EC1C3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27" w:type="pct"/>
          </w:tcPr>
          <w:p w14:paraId="61F99236" w14:textId="77777777" w:rsidR="002A7B67" w:rsidRPr="00A655E6" w:rsidRDefault="002A7B67" w:rsidP="00A655E6">
            <w:pPr>
              <w:pStyle w:val="Normal-table"/>
            </w:pPr>
            <w:r w:rsidRPr="00A655E6">
              <w:t>Invested in early career professionals by employing cadets and graduates in critical disciplines such as science, technology, engineering mathematics, design, and survey.</w:t>
            </w:r>
          </w:p>
        </w:tc>
        <w:tc>
          <w:tcPr>
            <w:tcW w:w="1250" w:type="pct"/>
          </w:tcPr>
          <w:p w14:paraId="3E6B1DB3" w14:textId="77777777" w:rsidR="002A7B67" w:rsidRPr="00A655E6"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rsidRPr="00A655E6">
              <w:t>Investing in skills</w:t>
            </w:r>
          </w:p>
        </w:tc>
        <w:tc>
          <w:tcPr>
            <w:tcW w:w="623" w:type="pct"/>
          </w:tcPr>
          <w:p w14:paraId="2E5F2E13" w14:textId="77777777" w:rsidR="002A7B67" w:rsidRPr="00A655E6"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rsidRPr="00A655E6">
              <w:t>Ongoing</w:t>
            </w:r>
          </w:p>
        </w:tc>
      </w:tr>
      <w:tr w:rsidR="002A7B67" w:rsidRPr="00A655E6" w14:paraId="4868AD42" w14:textId="77777777" w:rsidTr="00EC1C36">
        <w:trPr>
          <w:trHeight w:val="60"/>
        </w:trPr>
        <w:tc>
          <w:tcPr>
            <w:cnfStyle w:val="001000000000" w:firstRow="0" w:lastRow="0" w:firstColumn="1" w:lastColumn="0" w:oddVBand="0" w:evenVBand="0" w:oddHBand="0" w:evenHBand="0" w:firstRowFirstColumn="0" w:firstRowLastColumn="0" w:lastRowFirstColumn="0" w:lastRowLastColumn="0"/>
            <w:tcW w:w="3127" w:type="pct"/>
          </w:tcPr>
          <w:p w14:paraId="4361B98D" w14:textId="77777777" w:rsidR="002A7B67" w:rsidRPr="00A655E6" w:rsidRDefault="002A7B67" w:rsidP="00A655E6">
            <w:pPr>
              <w:pStyle w:val="Normal-table"/>
            </w:pPr>
            <w:r w:rsidRPr="00A655E6">
              <w:t xml:space="preserve">Delivered TMR's </w:t>
            </w:r>
            <w:r w:rsidRPr="00A655E6">
              <w:rPr>
                <w:rStyle w:val="Emphasis"/>
                <w:i w:val="0"/>
                <w:iCs w:val="0"/>
              </w:rPr>
              <w:t>Crisis Communication Response Framework</w:t>
            </w:r>
            <w:r w:rsidRPr="00A655E6">
              <w:t xml:space="preserve"> in the event of a crisis, these arrangements are activated to ensure TMR remains responsive in communicating vital safety information to the community and stakeholders including the immediate release of public warnings and other messages.</w:t>
            </w:r>
          </w:p>
        </w:tc>
        <w:tc>
          <w:tcPr>
            <w:tcW w:w="1250" w:type="pct"/>
          </w:tcPr>
          <w:p w14:paraId="171823DA" w14:textId="77777777" w:rsidR="002A7B67" w:rsidRPr="00A655E6" w:rsidRDefault="002A7B67" w:rsidP="00A655E6">
            <w:pPr>
              <w:pStyle w:val="Normal-table"/>
              <w:cnfStyle w:val="000000000000" w:firstRow="0" w:lastRow="0" w:firstColumn="0" w:lastColumn="0" w:oddVBand="0" w:evenVBand="0" w:oddHBand="0" w:evenHBand="0" w:firstRowFirstColumn="0" w:firstRowLastColumn="0" w:lastRowFirstColumn="0" w:lastRowLastColumn="0"/>
            </w:pPr>
            <w:r w:rsidRPr="00A655E6">
              <w:t>Keeping Queenslanders safe</w:t>
            </w:r>
          </w:p>
        </w:tc>
        <w:tc>
          <w:tcPr>
            <w:tcW w:w="623" w:type="pct"/>
          </w:tcPr>
          <w:p w14:paraId="14241C91" w14:textId="77777777" w:rsidR="002A7B67" w:rsidRPr="00A655E6" w:rsidRDefault="002A7B67" w:rsidP="00A655E6">
            <w:pPr>
              <w:pStyle w:val="Normal-table"/>
              <w:cnfStyle w:val="000000000000" w:firstRow="0" w:lastRow="0" w:firstColumn="0" w:lastColumn="0" w:oddVBand="0" w:evenVBand="0" w:oddHBand="0" w:evenHBand="0" w:firstRowFirstColumn="0" w:firstRowLastColumn="0" w:lastRowFirstColumn="0" w:lastRowLastColumn="0"/>
            </w:pPr>
            <w:r w:rsidRPr="00A655E6">
              <w:t>Completed</w:t>
            </w:r>
          </w:p>
        </w:tc>
      </w:tr>
      <w:tr w:rsidR="002A7B67" w:rsidRPr="00A655E6" w14:paraId="6E5660A1" w14:textId="77777777" w:rsidTr="00EC1C3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27" w:type="pct"/>
          </w:tcPr>
          <w:p w14:paraId="72CB9ADC" w14:textId="77777777" w:rsidR="002A7B67" w:rsidRPr="00A655E6" w:rsidRDefault="002A7B67" w:rsidP="00A655E6">
            <w:pPr>
              <w:pStyle w:val="Normal-table"/>
            </w:pPr>
            <w:r w:rsidRPr="00A655E6">
              <w:t xml:space="preserve">Completed statewide public consultation for the update of the Principal Cycle Network Plan to ensure it reflects changing demand, land use, and emerging opportunities, and continues to provide an effective guide for future planning. </w:t>
            </w:r>
          </w:p>
        </w:tc>
        <w:tc>
          <w:tcPr>
            <w:tcW w:w="1250" w:type="pct"/>
          </w:tcPr>
          <w:p w14:paraId="0800DA9E" w14:textId="77777777" w:rsidR="002A7B67" w:rsidRPr="00A655E6"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rsidRPr="00A655E6">
              <w:t>Connecting Queensland</w:t>
            </w:r>
          </w:p>
        </w:tc>
        <w:tc>
          <w:tcPr>
            <w:tcW w:w="623" w:type="pct"/>
          </w:tcPr>
          <w:p w14:paraId="23CF9A12" w14:textId="77777777" w:rsidR="002A7B67" w:rsidRPr="00A655E6"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rsidRPr="00A655E6">
              <w:t>Completed</w:t>
            </w:r>
          </w:p>
        </w:tc>
      </w:tr>
      <w:tr w:rsidR="002A7B67" w:rsidRPr="00A655E6" w14:paraId="3D43065E" w14:textId="77777777" w:rsidTr="00EC1C36">
        <w:trPr>
          <w:trHeight w:val="60"/>
        </w:trPr>
        <w:tc>
          <w:tcPr>
            <w:cnfStyle w:val="001000000000" w:firstRow="0" w:lastRow="0" w:firstColumn="1" w:lastColumn="0" w:oddVBand="0" w:evenVBand="0" w:oddHBand="0" w:evenHBand="0" w:firstRowFirstColumn="0" w:firstRowLastColumn="0" w:lastRowFirstColumn="0" w:lastRowLastColumn="0"/>
            <w:tcW w:w="3127" w:type="pct"/>
          </w:tcPr>
          <w:p w14:paraId="02C5F442" w14:textId="77777777" w:rsidR="002A7B67" w:rsidRPr="00A655E6" w:rsidRDefault="002A7B67" w:rsidP="00A655E6">
            <w:pPr>
              <w:pStyle w:val="Normal-table"/>
            </w:pPr>
            <w:r w:rsidRPr="00A655E6">
              <w:t xml:space="preserve">Completed re-accreditation of International Customer Service standards 2020–2025 (ICSS) to continue to meet our customers' needs. </w:t>
            </w:r>
          </w:p>
        </w:tc>
        <w:tc>
          <w:tcPr>
            <w:tcW w:w="1250" w:type="pct"/>
          </w:tcPr>
          <w:p w14:paraId="7F382D83" w14:textId="77777777" w:rsidR="002A7B67" w:rsidRPr="00A655E6" w:rsidRDefault="002A7B67" w:rsidP="00A655E6">
            <w:pPr>
              <w:pStyle w:val="Normal-table"/>
              <w:cnfStyle w:val="000000000000" w:firstRow="0" w:lastRow="0" w:firstColumn="0" w:lastColumn="0" w:oddVBand="0" w:evenVBand="0" w:oddHBand="0" w:evenHBand="0" w:firstRowFirstColumn="0" w:firstRowLastColumn="0" w:lastRowFirstColumn="0" w:lastRowLastColumn="0"/>
            </w:pPr>
            <w:r w:rsidRPr="00A655E6">
              <w:t>Backing our frontline services</w:t>
            </w:r>
          </w:p>
        </w:tc>
        <w:tc>
          <w:tcPr>
            <w:tcW w:w="623" w:type="pct"/>
          </w:tcPr>
          <w:p w14:paraId="2936FADF" w14:textId="77777777" w:rsidR="002A7B67" w:rsidRPr="00A655E6" w:rsidRDefault="002A7B67" w:rsidP="00A655E6">
            <w:pPr>
              <w:pStyle w:val="Normal-table"/>
              <w:cnfStyle w:val="000000000000" w:firstRow="0" w:lastRow="0" w:firstColumn="0" w:lastColumn="0" w:oddVBand="0" w:evenVBand="0" w:oddHBand="0" w:evenHBand="0" w:firstRowFirstColumn="0" w:firstRowLastColumn="0" w:lastRowFirstColumn="0" w:lastRowLastColumn="0"/>
            </w:pPr>
            <w:r w:rsidRPr="00A655E6">
              <w:t>Completed</w:t>
            </w:r>
          </w:p>
        </w:tc>
      </w:tr>
    </w:tbl>
    <w:p w14:paraId="01837019" w14:textId="0D259DEC" w:rsidR="002A7B67" w:rsidRPr="000A4CE2" w:rsidRDefault="002A7B67" w:rsidP="002A7B67">
      <w:pPr>
        <w:pStyle w:val="Heading2"/>
      </w:pPr>
      <w:r w:rsidRPr="000A4CE2">
        <w:lastRenderedPageBreak/>
        <w:t>Efficient</w:t>
      </w:r>
    </w:p>
    <w:p w14:paraId="2A701140" w14:textId="77777777" w:rsidR="002A7B67" w:rsidRDefault="002A7B67" w:rsidP="002A7B67">
      <w:r w:rsidRPr="00AB5BC6">
        <w:t>Deliver an efficient and reliable system to advance the movement of people and goods and optimise our resources</w:t>
      </w:r>
      <w:r>
        <w:t>.</w:t>
      </w:r>
    </w:p>
    <w:p w14:paraId="28529780" w14:textId="77777777" w:rsidR="002A7B67" w:rsidRDefault="002A7B67" w:rsidP="002A7B67">
      <w:pPr>
        <w:pStyle w:val="TableofFigures"/>
      </w:pPr>
      <w:r w:rsidRPr="000A4CE2">
        <w:t xml:space="preserve">Table </w:t>
      </w:r>
      <w:r>
        <w:t>6</w:t>
      </w:r>
      <w:r w:rsidRPr="000A4CE2">
        <w:t>: Key priorities and outcomes</w:t>
      </w:r>
      <w:r>
        <w:t>: Efficient</w:t>
      </w:r>
    </w:p>
    <w:tbl>
      <w:tblPr>
        <w:tblStyle w:val="GridTable4-Accent1"/>
        <w:tblW w:w="5000" w:type="pct"/>
        <w:tblLook w:val="04A0" w:firstRow="1" w:lastRow="0" w:firstColumn="1" w:lastColumn="0" w:noHBand="0" w:noVBand="1"/>
      </w:tblPr>
      <w:tblGrid>
        <w:gridCol w:w="6375"/>
        <w:gridCol w:w="2549"/>
        <w:gridCol w:w="1270"/>
      </w:tblGrid>
      <w:tr w:rsidR="002A7B67" w:rsidRPr="000A4CE2" w14:paraId="32BAAF2B" w14:textId="77777777" w:rsidTr="00EC1C36">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3127" w:type="pct"/>
          </w:tcPr>
          <w:p w14:paraId="038AC0EA" w14:textId="77777777" w:rsidR="002A7B67" w:rsidRPr="00AB5BC6" w:rsidRDefault="002A7B67" w:rsidP="00A655E6">
            <w:pPr>
              <w:pStyle w:val="Normal-table"/>
            </w:pPr>
            <w:r>
              <w:t>Key priorities and outcomes</w:t>
            </w:r>
          </w:p>
        </w:tc>
        <w:tc>
          <w:tcPr>
            <w:tcW w:w="1250" w:type="pct"/>
          </w:tcPr>
          <w:p w14:paraId="7D177DB3" w14:textId="77777777" w:rsidR="002A7B67" w:rsidRPr="00AB5BC6" w:rsidRDefault="002A7B67" w:rsidP="00A655E6">
            <w:pPr>
              <w:pStyle w:val="Normal-table"/>
              <w:cnfStyle w:val="100000000000" w:firstRow="1" w:lastRow="0" w:firstColumn="0" w:lastColumn="0" w:oddVBand="0" w:evenVBand="0" w:oddHBand="0" w:evenHBand="0" w:firstRowFirstColumn="0" w:firstRowLastColumn="0" w:lastRowFirstColumn="0" w:lastRowLastColumn="0"/>
            </w:pPr>
            <w:r>
              <w:t>Alignment to Queensland Government’s objectives for the community</w:t>
            </w:r>
          </w:p>
        </w:tc>
        <w:tc>
          <w:tcPr>
            <w:tcW w:w="623" w:type="pct"/>
          </w:tcPr>
          <w:p w14:paraId="093E366D" w14:textId="77777777" w:rsidR="002A7B67" w:rsidRPr="00AB5BC6" w:rsidRDefault="002A7B67" w:rsidP="00A655E6">
            <w:pPr>
              <w:pStyle w:val="Normal-table"/>
              <w:cnfStyle w:val="100000000000" w:firstRow="1" w:lastRow="0" w:firstColumn="0" w:lastColumn="0" w:oddVBand="0" w:evenVBand="0" w:oddHBand="0" w:evenHBand="0" w:firstRowFirstColumn="0" w:firstRowLastColumn="0" w:lastRowFirstColumn="0" w:lastRowLastColumn="0"/>
            </w:pPr>
            <w:r>
              <w:t>Status</w:t>
            </w:r>
          </w:p>
        </w:tc>
      </w:tr>
      <w:tr w:rsidR="002A7B67" w:rsidRPr="000A4CE2" w14:paraId="23AA3610" w14:textId="77777777" w:rsidTr="00EC1C3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27" w:type="pct"/>
          </w:tcPr>
          <w:p w14:paraId="3EDEC79B" w14:textId="77777777" w:rsidR="002A7B67" w:rsidRPr="00AB5BC6" w:rsidRDefault="002A7B67" w:rsidP="00A655E6">
            <w:pPr>
              <w:pStyle w:val="Normal-table"/>
            </w:pPr>
            <w:r>
              <w:t>Continued delivering</w:t>
            </w:r>
            <w:r w:rsidRPr="00AB5BC6">
              <w:t xml:space="preserve"> the $13 billion Bruce Highway Upgrade Program funded by Queensland and Australian governments to improve safety, capacity</w:t>
            </w:r>
            <w:r>
              <w:t>,</w:t>
            </w:r>
            <w:r w:rsidRPr="00AB5BC6">
              <w:t xml:space="preserve"> and flood resilience along the Bruce Highway between Brisbane and Cairns.</w:t>
            </w:r>
          </w:p>
        </w:tc>
        <w:tc>
          <w:tcPr>
            <w:tcW w:w="1250" w:type="pct"/>
          </w:tcPr>
          <w:p w14:paraId="039C6DFD" w14:textId="77777777" w:rsidR="002A7B67" w:rsidRPr="00AB5BC6"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rsidRPr="00AB5BC6">
              <w:t>Connecting Queensland</w:t>
            </w:r>
          </w:p>
        </w:tc>
        <w:tc>
          <w:tcPr>
            <w:tcW w:w="623" w:type="pct"/>
          </w:tcPr>
          <w:p w14:paraId="23342CDF" w14:textId="77777777" w:rsidR="002A7B67" w:rsidRPr="00AB5BC6"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rsidRPr="00AB5BC6">
              <w:t>Ongoing</w:t>
            </w:r>
          </w:p>
        </w:tc>
      </w:tr>
      <w:tr w:rsidR="002A7B67" w:rsidRPr="000A4CE2" w14:paraId="7C31D189" w14:textId="77777777" w:rsidTr="00EC1C36">
        <w:trPr>
          <w:trHeight w:val="60"/>
        </w:trPr>
        <w:tc>
          <w:tcPr>
            <w:cnfStyle w:val="001000000000" w:firstRow="0" w:lastRow="0" w:firstColumn="1" w:lastColumn="0" w:oddVBand="0" w:evenVBand="0" w:oddHBand="0" w:evenHBand="0" w:firstRowFirstColumn="0" w:firstRowLastColumn="0" w:lastRowFirstColumn="0" w:lastRowLastColumn="0"/>
            <w:tcW w:w="3127" w:type="pct"/>
          </w:tcPr>
          <w:p w14:paraId="53E8CF7D" w14:textId="77777777" w:rsidR="002A7B67" w:rsidRPr="00AB5BC6" w:rsidRDefault="002A7B67" w:rsidP="00A655E6">
            <w:pPr>
              <w:pStyle w:val="Normal-table"/>
            </w:pPr>
            <w:r>
              <w:t>Continued p</w:t>
            </w:r>
            <w:r w:rsidRPr="00AB5BC6">
              <w:t>reparing the network for Cross River Rail under the South East Queensland (SEQ) Rail Connect plan, by building new and upgraded stations and park 'n' rides, laying new tracks, implementing new ticketing and signalling equipment, and manufacturing new trains in Queensland.</w:t>
            </w:r>
          </w:p>
        </w:tc>
        <w:tc>
          <w:tcPr>
            <w:tcW w:w="1250" w:type="pct"/>
          </w:tcPr>
          <w:p w14:paraId="256CD9C9" w14:textId="77777777" w:rsidR="002A7B67" w:rsidRPr="00AB5BC6" w:rsidRDefault="002A7B67" w:rsidP="00A655E6">
            <w:pPr>
              <w:pStyle w:val="Normal-table"/>
              <w:cnfStyle w:val="000000000000" w:firstRow="0" w:lastRow="0" w:firstColumn="0" w:lastColumn="0" w:oddVBand="0" w:evenVBand="0" w:oddHBand="0" w:evenHBand="0" w:firstRowFirstColumn="0" w:firstRowLastColumn="0" w:lastRowFirstColumn="0" w:lastRowLastColumn="0"/>
            </w:pPr>
            <w:r w:rsidRPr="00AB5BC6">
              <w:t>Building Queensland</w:t>
            </w:r>
          </w:p>
        </w:tc>
        <w:tc>
          <w:tcPr>
            <w:tcW w:w="623" w:type="pct"/>
          </w:tcPr>
          <w:p w14:paraId="5BEBB2A9" w14:textId="77777777" w:rsidR="002A7B67" w:rsidRPr="00AB5BC6" w:rsidRDefault="002A7B67" w:rsidP="00A655E6">
            <w:pPr>
              <w:pStyle w:val="Normal-table"/>
              <w:cnfStyle w:val="000000000000" w:firstRow="0" w:lastRow="0" w:firstColumn="0" w:lastColumn="0" w:oddVBand="0" w:evenVBand="0" w:oddHBand="0" w:evenHBand="0" w:firstRowFirstColumn="0" w:firstRowLastColumn="0" w:lastRowFirstColumn="0" w:lastRowLastColumn="0"/>
            </w:pPr>
            <w:r>
              <w:t>In progress</w:t>
            </w:r>
          </w:p>
        </w:tc>
      </w:tr>
      <w:tr w:rsidR="002A7B67" w:rsidRPr="000A4CE2" w14:paraId="1CEB0E6C" w14:textId="77777777" w:rsidTr="00EC1C3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27" w:type="pct"/>
          </w:tcPr>
          <w:p w14:paraId="1E40744D" w14:textId="77777777" w:rsidR="002A7B67" w:rsidRPr="00AB5BC6" w:rsidRDefault="002A7B67" w:rsidP="00A655E6">
            <w:pPr>
              <w:pStyle w:val="Normal-table"/>
            </w:pPr>
            <w:r>
              <w:t>Continued</w:t>
            </w:r>
            <w:r w:rsidRPr="00AB5BC6">
              <w:t xml:space="preserve"> </w:t>
            </w:r>
            <w:r>
              <w:t>the</w:t>
            </w:r>
            <w:r w:rsidRPr="00AB5BC6">
              <w:t xml:space="preserve"> </w:t>
            </w:r>
            <w:r>
              <w:t xml:space="preserve">construction </w:t>
            </w:r>
            <w:r w:rsidRPr="00AB5BC6">
              <w:t xml:space="preserve">of $550.8 million Beerburrum to Nambour Rail </w:t>
            </w:r>
            <w:r>
              <w:t>U</w:t>
            </w:r>
            <w:r w:rsidRPr="00AB5BC6">
              <w:t>pgrade</w:t>
            </w:r>
            <w:r>
              <w:t xml:space="preserve"> (Stage 1)</w:t>
            </w:r>
            <w:r w:rsidRPr="00AB5BC6">
              <w:t xml:space="preserve"> which will increase capacity, improve reliability</w:t>
            </w:r>
            <w:r>
              <w:t>,</w:t>
            </w:r>
            <w:r w:rsidRPr="00AB5BC6">
              <w:t xml:space="preserve"> and reduce travel times for passenger and freight services in the growing Sunshine Coast region.</w:t>
            </w:r>
          </w:p>
        </w:tc>
        <w:tc>
          <w:tcPr>
            <w:tcW w:w="1250" w:type="pct"/>
          </w:tcPr>
          <w:p w14:paraId="29BA6772" w14:textId="77777777" w:rsidR="002A7B67" w:rsidRPr="00AB5BC6"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rsidRPr="00AB5BC6">
              <w:t>Connecting Queensland</w:t>
            </w:r>
          </w:p>
        </w:tc>
        <w:tc>
          <w:tcPr>
            <w:tcW w:w="623" w:type="pct"/>
          </w:tcPr>
          <w:p w14:paraId="6F1F401A" w14:textId="77777777" w:rsidR="002A7B67" w:rsidRPr="00AB5BC6"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t>In progress</w:t>
            </w:r>
          </w:p>
        </w:tc>
      </w:tr>
      <w:tr w:rsidR="002A7B67" w:rsidRPr="000A4CE2" w14:paraId="6CBB64A6" w14:textId="77777777" w:rsidTr="00EC1C36">
        <w:trPr>
          <w:trHeight w:val="60"/>
        </w:trPr>
        <w:tc>
          <w:tcPr>
            <w:cnfStyle w:val="001000000000" w:firstRow="0" w:lastRow="0" w:firstColumn="1" w:lastColumn="0" w:oddVBand="0" w:evenVBand="0" w:oddHBand="0" w:evenHBand="0" w:firstRowFirstColumn="0" w:firstRowLastColumn="0" w:lastRowFirstColumn="0" w:lastRowLastColumn="0"/>
            <w:tcW w:w="3127" w:type="pct"/>
          </w:tcPr>
          <w:p w14:paraId="00950B26" w14:textId="77777777" w:rsidR="002A7B67" w:rsidRPr="00AB5BC6" w:rsidRDefault="002A7B67" w:rsidP="00A655E6">
            <w:pPr>
              <w:pStyle w:val="Normal-table"/>
            </w:pPr>
            <w:r>
              <w:t xml:space="preserve">Continued the staged rollout of the Smart Ticketing Program across all public transport modes to improve ticketing efficiency and ease of use for our customers. </w:t>
            </w:r>
          </w:p>
        </w:tc>
        <w:tc>
          <w:tcPr>
            <w:tcW w:w="1250" w:type="pct"/>
          </w:tcPr>
          <w:p w14:paraId="70D94FF9" w14:textId="77777777" w:rsidR="002A7B67" w:rsidRPr="00AB5BC6" w:rsidRDefault="002A7B67" w:rsidP="00A655E6">
            <w:pPr>
              <w:pStyle w:val="Normal-table"/>
              <w:cnfStyle w:val="000000000000" w:firstRow="0" w:lastRow="0" w:firstColumn="0" w:lastColumn="0" w:oddVBand="0" w:evenVBand="0" w:oddHBand="0" w:evenHBand="0" w:firstRowFirstColumn="0" w:firstRowLastColumn="0" w:lastRowFirstColumn="0" w:lastRowLastColumn="0"/>
            </w:pPr>
            <w:r w:rsidRPr="00AB5BC6">
              <w:t>Connecting Queensland</w:t>
            </w:r>
          </w:p>
        </w:tc>
        <w:tc>
          <w:tcPr>
            <w:tcW w:w="623" w:type="pct"/>
          </w:tcPr>
          <w:p w14:paraId="5BDDF2E0" w14:textId="77777777" w:rsidR="002A7B67" w:rsidRPr="00AB5BC6" w:rsidRDefault="002A7B67" w:rsidP="00A655E6">
            <w:pPr>
              <w:pStyle w:val="Normal-table"/>
              <w:cnfStyle w:val="000000000000" w:firstRow="0" w:lastRow="0" w:firstColumn="0" w:lastColumn="0" w:oddVBand="0" w:evenVBand="0" w:oddHBand="0" w:evenHBand="0" w:firstRowFirstColumn="0" w:firstRowLastColumn="0" w:lastRowFirstColumn="0" w:lastRowLastColumn="0"/>
            </w:pPr>
            <w:r>
              <w:t>In progress</w:t>
            </w:r>
          </w:p>
        </w:tc>
      </w:tr>
      <w:tr w:rsidR="002A7B67" w:rsidRPr="000A4CE2" w14:paraId="2C507D8B" w14:textId="77777777" w:rsidTr="00EC1C3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27" w:type="pct"/>
          </w:tcPr>
          <w:p w14:paraId="6C111602" w14:textId="77777777" w:rsidR="002A7B67" w:rsidRPr="00AB5BC6" w:rsidRDefault="002A7B67" w:rsidP="00A655E6">
            <w:pPr>
              <w:pStyle w:val="Normal-table"/>
            </w:pPr>
            <w:r>
              <w:t>Continued d</w:t>
            </w:r>
            <w:r w:rsidRPr="00AB5BC6">
              <w:t xml:space="preserve">elivering the ports master planning for Abbot Point and Hay Point/Mackay. Sustainable port planning undertaken and implemented in accordance with the requirements of the </w:t>
            </w:r>
            <w:r w:rsidRPr="0094448C">
              <w:rPr>
                <w:rStyle w:val="Emphasis"/>
              </w:rPr>
              <w:t>Sustainable Ports Development Act 2015</w:t>
            </w:r>
            <w:r w:rsidRPr="00AB5BC6">
              <w:t>.</w:t>
            </w:r>
          </w:p>
        </w:tc>
        <w:tc>
          <w:tcPr>
            <w:tcW w:w="1250" w:type="pct"/>
          </w:tcPr>
          <w:p w14:paraId="66864588" w14:textId="77777777" w:rsidR="002A7B67" w:rsidRPr="00AB5BC6"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rsidRPr="00AB5BC6">
              <w:t>Growing our regions</w:t>
            </w:r>
          </w:p>
          <w:p w14:paraId="48266785" w14:textId="77777777" w:rsidR="002A7B67" w:rsidRPr="000A4CE2" w:rsidRDefault="002A7B67" w:rsidP="00A655E6">
            <w:pPr>
              <w:pStyle w:val="Normal-table"/>
              <w:cnfStyle w:val="000000100000" w:firstRow="0" w:lastRow="0" w:firstColumn="0" w:lastColumn="0" w:oddVBand="0" w:evenVBand="0" w:oddHBand="1" w:evenHBand="0" w:firstRowFirstColumn="0" w:firstRowLastColumn="0" w:lastRowFirstColumn="0" w:lastRowLastColumn="0"/>
            </w:pPr>
          </w:p>
        </w:tc>
        <w:tc>
          <w:tcPr>
            <w:tcW w:w="623" w:type="pct"/>
          </w:tcPr>
          <w:p w14:paraId="045E2F7D" w14:textId="77777777" w:rsidR="002A7B67" w:rsidRPr="00AB5BC6"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t>In progress</w:t>
            </w:r>
          </w:p>
        </w:tc>
      </w:tr>
      <w:tr w:rsidR="002A7B67" w:rsidRPr="000A4CE2" w14:paraId="27BFE2C6" w14:textId="77777777" w:rsidTr="00EC1C36">
        <w:trPr>
          <w:trHeight w:val="60"/>
        </w:trPr>
        <w:tc>
          <w:tcPr>
            <w:cnfStyle w:val="001000000000" w:firstRow="0" w:lastRow="0" w:firstColumn="1" w:lastColumn="0" w:oddVBand="0" w:evenVBand="0" w:oddHBand="0" w:evenHBand="0" w:firstRowFirstColumn="0" w:firstRowLastColumn="0" w:lastRowFirstColumn="0" w:lastRowLastColumn="0"/>
            <w:tcW w:w="3127" w:type="pct"/>
          </w:tcPr>
          <w:p w14:paraId="26ECFAA4" w14:textId="77777777" w:rsidR="002A7B67" w:rsidRPr="00AB5BC6" w:rsidRDefault="002A7B67" w:rsidP="00A655E6">
            <w:pPr>
              <w:pStyle w:val="Normal-table"/>
            </w:pPr>
            <w:r>
              <w:t>Continued developing</w:t>
            </w:r>
            <w:r w:rsidRPr="00AB5BC6">
              <w:t xml:space="preserve"> </w:t>
            </w:r>
            <w:r>
              <w:t>a w</w:t>
            </w:r>
            <w:r w:rsidRPr="00AB5BC6">
              <w:t>hole</w:t>
            </w:r>
            <w:r>
              <w:t>-</w:t>
            </w:r>
            <w:r w:rsidRPr="00AB5BC6">
              <w:t>of</w:t>
            </w:r>
            <w:r>
              <w:t>-g</w:t>
            </w:r>
            <w:r w:rsidRPr="00AB5BC6">
              <w:t>overnment Service Strategy Roadmap that supports a sustainable cross channel government service delivery model.</w:t>
            </w:r>
          </w:p>
        </w:tc>
        <w:tc>
          <w:tcPr>
            <w:tcW w:w="1250" w:type="pct"/>
          </w:tcPr>
          <w:p w14:paraId="6C582172" w14:textId="77777777" w:rsidR="002A7B67" w:rsidRPr="00AB5BC6" w:rsidRDefault="002A7B67" w:rsidP="00A655E6">
            <w:pPr>
              <w:pStyle w:val="Normal-table"/>
              <w:cnfStyle w:val="000000000000" w:firstRow="0" w:lastRow="0" w:firstColumn="0" w:lastColumn="0" w:oddVBand="0" w:evenVBand="0" w:oddHBand="0" w:evenHBand="0" w:firstRowFirstColumn="0" w:firstRowLastColumn="0" w:lastRowFirstColumn="0" w:lastRowLastColumn="0"/>
            </w:pPr>
            <w:r w:rsidRPr="00AB5BC6">
              <w:t>Connecting Queensland</w:t>
            </w:r>
          </w:p>
        </w:tc>
        <w:tc>
          <w:tcPr>
            <w:tcW w:w="623" w:type="pct"/>
          </w:tcPr>
          <w:p w14:paraId="0C07F147" w14:textId="77777777" w:rsidR="002A7B67" w:rsidRPr="00AB5BC6" w:rsidRDefault="002A7B67" w:rsidP="00A655E6">
            <w:pPr>
              <w:pStyle w:val="Normal-table"/>
              <w:cnfStyle w:val="000000000000" w:firstRow="0" w:lastRow="0" w:firstColumn="0" w:lastColumn="0" w:oddVBand="0" w:evenVBand="0" w:oddHBand="0" w:evenHBand="0" w:firstRowFirstColumn="0" w:firstRowLastColumn="0" w:lastRowFirstColumn="0" w:lastRowLastColumn="0"/>
            </w:pPr>
            <w:r>
              <w:t>In progress</w:t>
            </w:r>
          </w:p>
        </w:tc>
      </w:tr>
      <w:tr w:rsidR="002A7B67" w:rsidRPr="000A4CE2" w14:paraId="67649AA6" w14:textId="77777777" w:rsidTr="00EC1C3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27" w:type="pct"/>
          </w:tcPr>
          <w:p w14:paraId="076B7F54" w14:textId="77777777" w:rsidR="002A7B67" w:rsidRPr="00AB5BC6" w:rsidRDefault="002A7B67" w:rsidP="00A655E6">
            <w:pPr>
              <w:pStyle w:val="Normal-table"/>
            </w:pPr>
            <w:r>
              <w:t xml:space="preserve">Reviewed and revised the </w:t>
            </w:r>
            <w:r w:rsidRPr="00AA6996">
              <w:rPr>
                <w:rStyle w:val="Emphasis"/>
              </w:rPr>
              <w:t>Queensland Freight Action Plan (2023–2025)</w:t>
            </w:r>
            <w:r>
              <w:t xml:space="preserve"> to identify opportunities and progress activities which advance Queensland's freight system.</w:t>
            </w:r>
          </w:p>
        </w:tc>
        <w:tc>
          <w:tcPr>
            <w:tcW w:w="1250" w:type="pct"/>
          </w:tcPr>
          <w:p w14:paraId="4200723D" w14:textId="77777777" w:rsidR="002A7B67" w:rsidRPr="00AB5BC6"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rsidRPr="00AB5BC6">
              <w:t>Connecting Queensland</w:t>
            </w:r>
          </w:p>
        </w:tc>
        <w:tc>
          <w:tcPr>
            <w:tcW w:w="623" w:type="pct"/>
          </w:tcPr>
          <w:p w14:paraId="262B54E5" w14:textId="77777777" w:rsidR="002A7B67" w:rsidRPr="00AB5BC6"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rsidRPr="00AB5BC6">
              <w:t>Completed</w:t>
            </w:r>
          </w:p>
        </w:tc>
      </w:tr>
      <w:tr w:rsidR="002A7B67" w:rsidRPr="000A4CE2" w14:paraId="260E97DD" w14:textId="77777777" w:rsidTr="00EC1C36">
        <w:trPr>
          <w:trHeight w:val="60"/>
        </w:trPr>
        <w:tc>
          <w:tcPr>
            <w:cnfStyle w:val="001000000000" w:firstRow="0" w:lastRow="0" w:firstColumn="1" w:lastColumn="0" w:oddVBand="0" w:evenVBand="0" w:oddHBand="0" w:evenHBand="0" w:firstRowFirstColumn="0" w:firstRowLastColumn="0" w:lastRowFirstColumn="0" w:lastRowLastColumn="0"/>
            <w:tcW w:w="3127" w:type="pct"/>
          </w:tcPr>
          <w:p w14:paraId="198DBAC2" w14:textId="77777777" w:rsidR="002A7B67" w:rsidRPr="00AB5BC6" w:rsidRDefault="002A7B67" w:rsidP="00A655E6">
            <w:pPr>
              <w:pStyle w:val="Normal-table"/>
            </w:pPr>
            <w:r w:rsidRPr="00AB5BC6">
              <w:t>Align</w:t>
            </w:r>
            <w:r>
              <w:t>ment of</w:t>
            </w:r>
            <w:r w:rsidRPr="00AB5BC6">
              <w:t xml:space="preserve"> TMR transport infrastructure specifications with the Austroads Technical Specifications to improve productivity of the transport sector.</w:t>
            </w:r>
          </w:p>
        </w:tc>
        <w:tc>
          <w:tcPr>
            <w:tcW w:w="1250" w:type="pct"/>
          </w:tcPr>
          <w:p w14:paraId="6D425FE4" w14:textId="77777777" w:rsidR="002A7B67" w:rsidRPr="00AB5BC6" w:rsidRDefault="002A7B67" w:rsidP="00A655E6">
            <w:pPr>
              <w:pStyle w:val="Normal-table"/>
              <w:cnfStyle w:val="000000000000" w:firstRow="0" w:lastRow="0" w:firstColumn="0" w:lastColumn="0" w:oddVBand="0" w:evenVBand="0" w:oddHBand="0" w:evenHBand="0" w:firstRowFirstColumn="0" w:firstRowLastColumn="0" w:lastRowFirstColumn="0" w:lastRowLastColumn="0"/>
            </w:pPr>
            <w:r w:rsidRPr="00AB5BC6">
              <w:t>Making it for Queensland</w:t>
            </w:r>
          </w:p>
        </w:tc>
        <w:tc>
          <w:tcPr>
            <w:tcW w:w="623" w:type="pct"/>
          </w:tcPr>
          <w:p w14:paraId="2665AF9B" w14:textId="77777777" w:rsidR="002A7B67" w:rsidRPr="00AB5BC6" w:rsidRDefault="002A7B67" w:rsidP="00A655E6">
            <w:pPr>
              <w:pStyle w:val="Normal-table"/>
              <w:cnfStyle w:val="000000000000" w:firstRow="0" w:lastRow="0" w:firstColumn="0" w:lastColumn="0" w:oddVBand="0" w:evenVBand="0" w:oddHBand="0" w:evenHBand="0" w:firstRowFirstColumn="0" w:firstRowLastColumn="0" w:lastRowFirstColumn="0" w:lastRowLastColumn="0"/>
            </w:pPr>
            <w:r w:rsidRPr="00AB5BC6">
              <w:t>Ongoing</w:t>
            </w:r>
          </w:p>
        </w:tc>
      </w:tr>
    </w:tbl>
    <w:p w14:paraId="2A66D2D4" w14:textId="77777777" w:rsidR="00EC1C36" w:rsidRDefault="00EC1C36">
      <w:pPr>
        <w:spacing w:before="0" w:after="160" w:line="259" w:lineRule="auto"/>
        <w:rPr>
          <w:rFonts w:eastAsiaTheme="majorEastAsia" w:cstheme="majorBidi"/>
          <w:color w:val="000000" w:themeColor="text1"/>
          <w:sz w:val="48"/>
          <w:szCs w:val="26"/>
        </w:rPr>
      </w:pPr>
      <w:r>
        <w:br w:type="page"/>
      </w:r>
    </w:p>
    <w:p w14:paraId="1BFA7604" w14:textId="5B536C19" w:rsidR="002A7B67" w:rsidRPr="000A4CE2" w:rsidRDefault="002A7B67" w:rsidP="002A7B67">
      <w:pPr>
        <w:pStyle w:val="Heading2"/>
      </w:pPr>
      <w:r w:rsidRPr="000A4CE2">
        <w:lastRenderedPageBreak/>
        <w:t>Sustainable</w:t>
      </w:r>
    </w:p>
    <w:p w14:paraId="728E45FA" w14:textId="77777777" w:rsidR="002A7B67" w:rsidRDefault="002A7B67" w:rsidP="002A7B67">
      <w:r w:rsidRPr="00AB5BC6">
        <w:t>Create an environmentally, economically and socially sustainable transport system that supports liveable and prosperous communities</w:t>
      </w:r>
      <w:r>
        <w:t>.</w:t>
      </w:r>
    </w:p>
    <w:p w14:paraId="571F6F72" w14:textId="77777777" w:rsidR="002A7B67" w:rsidRDefault="002A7B67" w:rsidP="002A7B67">
      <w:pPr>
        <w:pStyle w:val="TableofFigures"/>
      </w:pPr>
      <w:r w:rsidRPr="000A4CE2">
        <w:t xml:space="preserve">Table </w:t>
      </w:r>
      <w:r>
        <w:t>7</w:t>
      </w:r>
      <w:r w:rsidRPr="000A4CE2">
        <w:t>: Key priorities and outcomes</w:t>
      </w:r>
      <w:r>
        <w:t>: Sustainable</w:t>
      </w:r>
    </w:p>
    <w:tbl>
      <w:tblPr>
        <w:tblStyle w:val="GridTable4-Accent1"/>
        <w:tblpPr w:leftFromText="180" w:rightFromText="180" w:vertAnchor="text" w:tblpY="1"/>
        <w:tblW w:w="5000" w:type="pct"/>
        <w:tblLook w:val="04A0" w:firstRow="1" w:lastRow="0" w:firstColumn="1" w:lastColumn="0" w:noHBand="0" w:noVBand="1"/>
      </w:tblPr>
      <w:tblGrid>
        <w:gridCol w:w="6375"/>
        <w:gridCol w:w="2549"/>
        <w:gridCol w:w="1270"/>
      </w:tblGrid>
      <w:tr w:rsidR="00E5013E" w:rsidRPr="00A655E6" w14:paraId="09CAE483" w14:textId="77777777" w:rsidTr="00EC1C36">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3127" w:type="pct"/>
          </w:tcPr>
          <w:p w14:paraId="6C034A58" w14:textId="77777777" w:rsidR="002A7B67" w:rsidRPr="00A655E6" w:rsidRDefault="002A7B67" w:rsidP="00A655E6">
            <w:pPr>
              <w:pStyle w:val="Normal-table"/>
            </w:pPr>
            <w:r w:rsidRPr="00A655E6">
              <w:t>Key priorities and outcomes</w:t>
            </w:r>
          </w:p>
        </w:tc>
        <w:tc>
          <w:tcPr>
            <w:tcW w:w="1250" w:type="pct"/>
          </w:tcPr>
          <w:p w14:paraId="5547FB51" w14:textId="77777777" w:rsidR="002A7B67" w:rsidRPr="00A655E6" w:rsidRDefault="002A7B67" w:rsidP="00A655E6">
            <w:pPr>
              <w:pStyle w:val="Normal-table"/>
              <w:cnfStyle w:val="100000000000" w:firstRow="1" w:lastRow="0" w:firstColumn="0" w:lastColumn="0" w:oddVBand="0" w:evenVBand="0" w:oddHBand="0" w:evenHBand="0" w:firstRowFirstColumn="0" w:firstRowLastColumn="0" w:lastRowFirstColumn="0" w:lastRowLastColumn="0"/>
            </w:pPr>
            <w:r w:rsidRPr="00A655E6">
              <w:t>Alignment to Queensland Government’s objectives for the community</w:t>
            </w:r>
          </w:p>
        </w:tc>
        <w:tc>
          <w:tcPr>
            <w:tcW w:w="623" w:type="pct"/>
          </w:tcPr>
          <w:p w14:paraId="45813B40" w14:textId="77777777" w:rsidR="002A7B67" w:rsidRPr="00A655E6" w:rsidRDefault="002A7B67" w:rsidP="00A655E6">
            <w:pPr>
              <w:pStyle w:val="Normal-table"/>
              <w:cnfStyle w:val="100000000000" w:firstRow="1" w:lastRow="0" w:firstColumn="0" w:lastColumn="0" w:oddVBand="0" w:evenVBand="0" w:oddHBand="0" w:evenHBand="0" w:firstRowFirstColumn="0" w:firstRowLastColumn="0" w:lastRowFirstColumn="0" w:lastRowLastColumn="0"/>
            </w:pPr>
            <w:r w:rsidRPr="00A655E6">
              <w:t>Status</w:t>
            </w:r>
          </w:p>
        </w:tc>
      </w:tr>
      <w:tr w:rsidR="00EC1C36" w:rsidRPr="00A655E6" w14:paraId="7C90253E" w14:textId="77777777" w:rsidTr="00EC1C3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27" w:type="pct"/>
          </w:tcPr>
          <w:p w14:paraId="47AD3C66" w14:textId="77777777" w:rsidR="002A7B67" w:rsidRPr="00A655E6" w:rsidRDefault="002A7B67" w:rsidP="00A655E6">
            <w:pPr>
              <w:pStyle w:val="Normal-table"/>
            </w:pPr>
            <w:r w:rsidRPr="00A655E6">
              <w:t>Continued the 'War on Wrecks' program to work with partner agencies, vessel owners, and other parties to remove unseaworthy and/or abandoned vessel from Queensland waterways and promote responsible boat ownership.</w:t>
            </w:r>
          </w:p>
        </w:tc>
        <w:tc>
          <w:tcPr>
            <w:tcW w:w="1250" w:type="pct"/>
          </w:tcPr>
          <w:p w14:paraId="5BF2E17B" w14:textId="77777777" w:rsidR="002A7B67" w:rsidRPr="00A655E6"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rsidRPr="00A655E6">
              <w:t>Protecting the environment</w:t>
            </w:r>
          </w:p>
        </w:tc>
        <w:tc>
          <w:tcPr>
            <w:tcW w:w="623" w:type="pct"/>
          </w:tcPr>
          <w:p w14:paraId="0FC11004" w14:textId="77777777" w:rsidR="002A7B67" w:rsidRPr="00A655E6"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rsidRPr="00A655E6">
              <w:t>Ongoing</w:t>
            </w:r>
          </w:p>
        </w:tc>
      </w:tr>
      <w:tr w:rsidR="002A7B67" w:rsidRPr="00A655E6" w14:paraId="00637ADB" w14:textId="77777777" w:rsidTr="00EC1C36">
        <w:trPr>
          <w:trHeight w:val="60"/>
        </w:trPr>
        <w:tc>
          <w:tcPr>
            <w:cnfStyle w:val="001000000000" w:firstRow="0" w:lastRow="0" w:firstColumn="1" w:lastColumn="0" w:oddVBand="0" w:evenVBand="0" w:oddHBand="0" w:evenHBand="0" w:firstRowFirstColumn="0" w:firstRowLastColumn="0" w:lastRowFirstColumn="0" w:lastRowLastColumn="0"/>
            <w:tcW w:w="3127" w:type="pct"/>
          </w:tcPr>
          <w:p w14:paraId="40F1B9C7" w14:textId="77777777" w:rsidR="002A7B67" w:rsidRPr="00A655E6" w:rsidRDefault="002A7B67" w:rsidP="00A655E6">
            <w:pPr>
              <w:pStyle w:val="Normal-table"/>
            </w:pPr>
            <w:r w:rsidRPr="00A655E6">
              <w:t xml:space="preserve">Continued to implement the </w:t>
            </w:r>
            <w:r w:rsidRPr="00A655E6">
              <w:rPr>
                <w:rStyle w:val="Emphasis"/>
                <w:i w:val="0"/>
                <w:iCs w:val="0"/>
              </w:rPr>
              <w:t>Queensland Zero Emission Vehicle (ZEV) Strategy 2022–2032</w:t>
            </w:r>
            <w:r w:rsidRPr="00A655E6">
              <w:t xml:space="preserve"> for a cleaner, greener transport system including delivery of more Electric Vehicle (EV) charging infrastructure across the state and providing purchase incentives to encourage EV uptake. </w:t>
            </w:r>
          </w:p>
        </w:tc>
        <w:tc>
          <w:tcPr>
            <w:tcW w:w="1250" w:type="pct"/>
          </w:tcPr>
          <w:p w14:paraId="1470E3AF" w14:textId="77777777" w:rsidR="002A7B67" w:rsidRPr="00A655E6" w:rsidRDefault="002A7B67" w:rsidP="00A655E6">
            <w:pPr>
              <w:pStyle w:val="Normal-table"/>
              <w:cnfStyle w:val="000000000000" w:firstRow="0" w:lastRow="0" w:firstColumn="0" w:lastColumn="0" w:oddVBand="0" w:evenVBand="0" w:oddHBand="0" w:evenHBand="0" w:firstRowFirstColumn="0" w:firstRowLastColumn="0" w:lastRowFirstColumn="0" w:lastRowLastColumn="0"/>
            </w:pPr>
            <w:r w:rsidRPr="00A655E6">
              <w:t>Protecting the environment</w:t>
            </w:r>
          </w:p>
        </w:tc>
        <w:tc>
          <w:tcPr>
            <w:tcW w:w="623" w:type="pct"/>
          </w:tcPr>
          <w:p w14:paraId="49DB62A0" w14:textId="77777777" w:rsidR="002A7B67" w:rsidRPr="00A655E6" w:rsidRDefault="002A7B67" w:rsidP="00A655E6">
            <w:pPr>
              <w:pStyle w:val="Normal-table"/>
              <w:cnfStyle w:val="000000000000" w:firstRow="0" w:lastRow="0" w:firstColumn="0" w:lastColumn="0" w:oddVBand="0" w:evenVBand="0" w:oddHBand="0" w:evenHBand="0" w:firstRowFirstColumn="0" w:firstRowLastColumn="0" w:lastRowFirstColumn="0" w:lastRowLastColumn="0"/>
            </w:pPr>
            <w:r w:rsidRPr="00A655E6">
              <w:t>Ongoing</w:t>
            </w:r>
          </w:p>
        </w:tc>
      </w:tr>
      <w:tr w:rsidR="00EC1C36" w:rsidRPr="00A655E6" w14:paraId="4B578703" w14:textId="77777777" w:rsidTr="00EC1C3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27" w:type="pct"/>
          </w:tcPr>
          <w:p w14:paraId="036CD82A" w14:textId="77777777" w:rsidR="002A7B67" w:rsidRPr="00A655E6" w:rsidRDefault="002A7B67" w:rsidP="00A655E6">
            <w:pPr>
              <w:pStyle w:val="Normal-table"/>
            </w:pPr>
            <w:r w:rsidRPr="00A655E6">
              <w:t>Developed a new Action Plan for Walking to get more people walking more often to support better health, economic, and environmental outcomes.</w:t>
            </w:r>
          </w:p>
        </w:tc>
        <w:tc>
          <w:tcPr>
            <w:tcW w:w="1250" w:type="pct"/>
          </w:tcPr>
          <w:p w14:paraId="01AD6402" w14:textId="77777777" w:rsidR="002A7B67" w:rsidRPr="00A655E6"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rsidRPr="00A655E6">
              <w:t>Protecting the environment</w:t>
            </w:r>
          </w:p>
        </w:tc>
        <w:tc>
          <w:tcPr>
            <w:tcW w:w="623" w:type="pct"/>
          </w:tcPr>
          <w:p w14:paraId="73E24AAB" w14:textId="77777777" w:rsidR="002A7B67" w:rsidRPr="00A655E6"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rsidRPr="00A655E6">
              <w:t>Completed</w:t>
            </w:r>
          </w:p>
        </w:tc>
      </w:tr>
      <w:tr w:rsidR="002A7B67" w:rsidRPr="00A655E6" w14:paraId="54D8B113" w14:textId="77777777" w:rsidTr="00EC1C36">
        <w:trPr>
          <w:trHeight w:val="60"/>
        </w:trPr>
        <w:tc>
          <w:tcPr>
            <w:cnfStyle w:val="001000000000" w:firstRow="0" w:lastRow="0" w:firstColumn="1" w:lastColumn="0" w:oddVBand="0" w:evenVBand="0" w:oddHBand="0" w:evenHBand="0" w:firstRowFirstColumn="0" w:firstRowLastColumn="0" w:lastRowFirstColumn="0" w:lastRowLastColumn="0"/>
            <w:tcW w:w="3127" w:type="pct"/>
          </w:tcPr>
          <w:p w14:paraId="77E368DC" w14:textId="77777777" w:rsidR="002A7B67" w:rsidRPr="00A655E6" w:rsidRDefault="002A7B67" w:rsidP="00A655E6">
            <w:pPr>
              <w:pStyle w:val="Normal-table"/>
            </w:pPr>
            <w:r w:rsidRPr="00A655E6">
              <w:t>Continued implementing the Bus Fleet Investment Plan to guide decision-making for a future fleet that is agile, accessible, and zero-emissions.</w:t>
            </w:r>
          </w:p>
        </w:tc>
        <w:tc>
          <w:tcPr>
            <w:tcW w:w="1250" w:type="pct"/>
          </w:tcPr>
          <w:p w14:paraId="6A3AB9E7" w14:textId="77777777" w:rsidR="002A7B67" w:rsidRPr="00A655E6" w:rsidRDefault="002A7B67" w:rsidP="00A655E6">
            <w:pPr>
              <w:pStyle w:val="Normal-table"/>
              <w:cnfStyle w:val="000000000000" w:firstRow="0" w:lastRow="0" w:firstColumn="0" w:lastColumn="0" w:oddVBand="0" w:evenVBand="0" w:oddHBand="0" w:evenHBand="0" w:firstRowFirstColumn="0" w:firstRowLastColumn="0" w:lastRowFirstColumn="0" w:lastRowLastColumn="0"/>
            </w:pPr>
            <w:r w:rsidRPr="00A655E6">
              <w:t>Protecting the environment</w:t>
            </w:r>
          </w:p>
        </w:tc>
        <w:tc>
          <w:tcPr>
            <w:tcW w:w="623" w:type="pct"/>
          </w:tcPr>
          <w:p w14:paraId="69FAC807" w14:textId="77777777" w:rsidR="002A7B67" w:rsidRPr="00A655E6" w:rsidRDefault="002A7B67" w:rsidP="00A655E6">
            <w:pPr>
              <w:pStyle w:val="Normal-table"/>
              <w:cnfStyle w:val="000000000000" w:firstRow="0" w:lastRow="0" w:firstColumn="0" w:lastColumn="0" w:oddVBand="0" w:evenVBand="0" w:oddHBand="0" w:evenHBand="0" w:firstRowFirstColumn="0" w:firstRowLastColumn="0" w:lastRowFirstColumn="0" w:lastRowLastColumn="0"/>
            </w:pPr>
            <w:r w:rsidRPr="00A655E6">
              <w:t>In progress</w:t>
            </w:r>
          </w:p>
        </w:tc>
      </w:tr>
      <w:tr w:rsidR="00EC1C36" w:rsidRPr="00A655E6" w14:paraId="308F7EA0" w14:textId="77777777" w:rsidTr="00EC1C3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27" w:type="pct"/>
          </w:tcPr>
          <w:p w14:paraId="180DFB66" w14:textId="77777777" w:rsidR="002A7B67" w:rsidRPr="00A655E6" w:rsidRDefault="002A7B67" w:rsidP="00A655E6">
            <w:pPr>
              <w:pStyle w:val="Normal-table"/>
            </w:pPr>
            <w:r w:rsidRPr="00A655E6">
              <w:t>Commenced development of a Climate Change Strategy and Action Plan to embed climate change risk considerations in all decisions.</w:t>
            </w:r>
          </w:p>
        </w:tc>
        <w:tc>
          <w:tcPr>
            <w:tcW w:w="1250" w:type="pct"/>
          </w:tcPr>
          <w:p w14:paraId="6B723532" w14:textId="77777777" w:rsidR="002A7B67" w:rsidRPr="00A655E6"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rsidRPr="00A655E6">
              <w:t>Protecting the environment</w:t>
            </w:r>
          </w:p>
        </w:tc>
        <w:tc>
          <w:tcPr>
            <w:tcW w:w="623" w:type="pct"/>
          </w:tcPr>
          <w:p w14:paraId="176FA166" w14:textId="77777777" w:rsidR="002A7B67" w:rsidRPr="00A655E6"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rsidRPr="00A655E6">
              <w:t>In progress</w:t>
            </w:r>
          </w:p>
        </w:tc>
      </w:tr>
    </w:tbl>
    <w:p w14:paraId="02608139" w14:textId="77777777" w:rsidR="002A7B67" w:rsidRPr="000A4CE2" w:rsidRDefault="002A7B67" w:rsidP="002A7B67">
      <w:pPr>
        <w:pStyle w:val="Heading2"/>
      </w:pPr>
      <w:r>
        <w:t xml:space="preserve">Digital economic contribution* </w:t>
      </w:r>
    </w:p>
    <w:p w14:paraId="4B4A290B" w14:textId="77777777" w:rsidR="002A7B67" w:rsidRDefault="002A7B67" w:rsidP="002A7B67">
      <w:r w:rsidRPr="008B38E8">
        <w:t>Support a thriving digital economy where Queenslanders, their businesses and communities can transact successfully with government and each other.</w:t>
      </w:r>
    </w:p>
    <w:p w14:paraId="771573D2" w14:textId="77777777" w:rsidR="002A7B67" w:rsidRPr="008B38E8" w:rsidRDefault="002A7B67" w:rsidP="002A7B67">
      <w:pPr>
        <w:pStyle w:val="Caption"/>
      </w:pPr>
      <w:r w:rsidRPr="007D699E">
        <w:t xml:space="preserve">*This </w:t>
      </w:r>
      <w:r>
        <w:t>p</w:t>
      </w:r>
      <w:r w:rsidRPr="007D699E">
        <w:t xml:space="preserve">riority has been included to acknowledge the Queensland Government </w:t>
      </w:r>
      <w:r>
        <w:t xml:space="preserve">Customer </w:t>
      </w:r>
      <w:r w:rsidRPr="007D699E">
        <w:t>and Dig</w:t>
      </w:r>
      <w:r>
        <w:t>i</w:t>
      </w:r>
      <w:r w:rsidRPr="007D699E">
        <w:t xml:space="preserve">tal Group's contribution to TMR's </w:t>
      </w:r>
      <w:r>
        <w:t>s</w:t>
      </w:r>
      <w:r w:rsidRPr="007D699E">
        <w:t>trategic priorities. This priority is featured in the</w:t>
      </w:r>
      <w:r>
        <w:t xml:space="preserve"> </w:t>
      </w:r>
      <w:r w:rsidRPr="007D699E">
        <w:t xml:space="preserve">revised TMR's strategic plan </w:t>
      </w:r>
      <w:r>
        <w:t xml:space="preserve">2023–27 </w:t>
      </w:r>
      <w:r w:rsidRPr="007D699E">
        <w:t>released</w:t>
      </w:r>
      <w:r>
        <w:t xml:space="preserve"> in August 2023.</w:t>
      </w:r>
    </w:p>
    <w:p w14:paraId="0D09348E" w14:textId="77777777" w:rsidR="002A7B67" w:rsidRPr="00F67875" w:rsidRDefault="002A7B67" w:rsidP="002A7B67">
      <w:pPr>
        <w:pStyle w:val="TableofFigures"/>
      </w:pPr>
      <w:r w:rsidRPr="000A4CE2">
        <w:t xml:space="preserve">Table </w:t>
      </w:r>
      <w:r>
        <w:t>8</w:t>
      </w:r>
      <w:r w:rsidRPr="000A4CE2">
        <w:t xml:space="preserve">: </w:t>
      </w:r>
      <w:r w:rsidRPr="006A36C3">
        <w:t>Key priorities and outcomes: Digital economic contribution</w:t>
      </w:r>
    </w:p>
    <w:tbl>
      <w:tblPr>
        <w:tblStyle w:val="GridTable4-Accent1"/>
        <w:tblW w:w="5000" w:type="pct"/>
        <w:tblLook w:val="04A0" w:firstRow="1" w:lastRow="0" w:firstColumn="1" w:lastColumn="0" w:noHBand="0" w:noVBand="1"/>
      </w:tblPr>
      <w:tblGrid>
        <w:gridCol w:w="6375"/>
        <w:gridCol w:w="2549"/>
        <w:gridCol w:w="1270"/>
      </w:tblGrid>
      <w:tr w:rsidR="002A7B67" w:rsidRPr="00A655E6" w14:paraId="37BE52E5" w14:textId="77777777" w:rsidTr="00EC1C36">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3127" w:type="pct"/>
          </w:tcPr>
          <w:p w14:paraId="3531E967" w14:textId="77777777" w:rsidR="002A7B67" w:rsidRPr="00A655E6" w:rsidRDefault="002A7B67" w:rsidP="00A655E6">
            <w:pPr>
              <w:pStyle w:val="Normal-table"/>
            </w:pPr>
            <w:r w:rsidRPr="00A655E6">
              <w:t>Key priorities and outcomes</w:t>
            </w:r>
          </w:p>
        </w:tc>
        <w:tc>
          <w:tcPr>
            <w:tcW w:w="1250" w:type="pct"/>
          </w:tcPr>
          <w:p w14:paraId="56D3E8A3" w14:textId="77777777" w:rsidR="002A7B67" w:rsidRPr="00A655E6" w:rsidRDefault="002A7B67" w:rsidP="00A655E6">
            <w:pPr>
              <w:pStyle w:val="Normal-table"/>
              <w:cnfStyle w:val="100000000000" w:firstRow="1" w:lastRow="0" w:firstColumn="0" w:lastColumn="0" w:oddVBand="0" w:evenVBand="0" w:oddHBand="0" w:evenHBand="0" w:firstRowFirstColumn="0" w:firstRowLastColumn="0" w:lastRowFirstColumn="0" w:lastRowLastColumn="0"/>
            </w:pPr>
            <w:r w:rsidRPr="00A655E6">
              <w:t>Alignment to Queensland Government’s objectives for the community</w:t>
            </w:r>
          </w:p>
        </w:tc>
        <w:tc>
          <w:tcPr>
            <w:tcW w:w="623" w:type="pct"/>
          </w:tcPr>
          <w:p w14:paraId="1A90955A" w14:textId="77777777" w:rsidR="002A7B67" w:rsidRPr="00A655E6" w:rsidRDefault="002A7B67" w:rsidP="00A655E6">
            <w:pPr>
              <w:pStyle w:val="Normal-table"/>
              <w:cnfStyle w:val="100000000000" w:firstRow="1" w:lastRow="0" w:firstColumn="0" w:lastColumn="0" w:oddVBand="0" w:evenVBand="0" w:oddHBand="0" w:evenHBand="0" w:firstRowFirstColumn="0" w:firstRowLastColumn="0" w:lastRowFirstColumn="0" w:lastRowLastColumn="0"/>
            </w:pPr>
            <w:r w:rsidRPr="00A655E6">
              <w:t>Status</w:t>
            </w:r>
          </w:p>
        </w:tc>
      </w:tr>
      <w:tr w:rsidR="002A7B67" w:rsidRPr="00A655E6" w14:paraId="2950A12F" w14:textId="77777777" w:rsidTr="00EC1C3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27" w:type="pct"/>
          </w:tcPr>
          <w:p w14:paraId="1B7EF3AF" w14:textId="77777777" w:rsidR="002A7B67" w:rsidRPr="00A655E6" w:rsidRDefault="002A7B67" w:rsidP="00A655E6">
            <w:pPr>
              <w:pStyle w:val="Normal-table"/>
            </w:pPr>
            <w:r w:rsidRPr="00A655E6">
              <w:t>Implementing the government’s agenda for digital technology in government services and digital inclusion of disadvantaged Queenslanders.</w:t>
            </w:r>
          </w:p>
        </w:tc>
        <w:tc>
          <w:tcPr>
            <w:tcW w:w="1250" w:type="pct"/>
          </w:tcPr>
          <w:p w14:paraId="705747E7" w14:textId="77777777" w:rsidR="002A7B67" w:rsidRPr="00A655E6"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rsidRPr="00A655E6">
              <w:t>Backing our frontline services</w:t>
            </w:r>
          </w:p>
        </w:tc>
        <w:tc>
          <w:tcPr>
            <w:tcW w:w="623" w:type="pct"/>
          </w:tcPr>
          <w:p w14:paraId="5F6E661F" w14:textId="77777777" w:rsidR="002A7B67" w:rsidRPr="00A655E6"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rsidRPr="00A655E6">
              <w:t>Ongoing</w:t>
            </w:r>
          </w:p>
        </w:tc>
      </w:tr>
      <w:tr w:rsidR="002A7B67" w:rsidRPr="00A655E6" w14:paraId="547E6DD0" w14:textId="77777777" w:rsidTr="00EC1C36">
        <w:trPr>
          <w:trHeight w:val="60"/>
        </w:trPr>
        <w:tc>
          <w:tcPr>
            <w:cnfStyle w:val="001000000000" w:firstRow="0" w:lastRow="0" w:firstColumn="1" w:lastColumn="0" w:oddVBand="0" w:evenVBand="0" w:oddHBand="0" w:evenHBand="0" w:firstRowFirstColumn="0" w:firstRowLastColumn="0" w:lastRowFirstColumn="0" w:lastRowLastColumn="0"/>
            <w:tcW w:w="3127" w:type="pct"/>
          </w:tcPr>
          <w:p w14:paraId="15444D76" w14:textId="77777777" w:rsidR="002A7B67" w:rsidRPr="00A655E6" w:rsidRDefault="002A7B67" w:rsidP="00A655E6">
            <w:pPr>
              <w:pStyle w:val="Normal-table"/>
            </w:pPr>
            <w:r w:rsidRPr="00A655E6">
              <w:t>Delivering improved telecommunications services to rural and remote communities across Queensland.</w:t>
            </w:r>
          </w:p>
        </w:tc>
        <w:tc>
          <w:tcPr>
            <w:tcW w:w="1250" w:type="pct"/>
          </w:tcPr>
          <w:p w14:paraId="785C62FC" w14:textId="77777777" w:rsidR="002A7B67" w:rsidRPr="00A655E6" w:rsidRDefault="002A7B67" w:rsidP="00A655E6">
            <w:pPr>
              <w:pStyle w:val="Normal-table"/>
              <w:cnfStyle w:val="000000000000" w:firstRow="0" w:lastRow="0" w:firstColumn="0" w:lastColumn="0" w:oddVBand="0" w:evenVBand="0" w:oddHBand="0" w:evenHBand="0" w:firstRowFirstColumn="0" w:firstRowLastColumn="0" w:lastRowFirstColumn="0" w:lastRowLastColumn="0"/>
            </w:pPr>
            <w:r w:rsidRPr="00A655E6">
              <w:t>Growing our regions</w:t>
            </w:r>
          </w:p>
        </w:tc>
        <w:tc>
          <w:tcPr>
            <w:tcW w:w="623" w:type="pct"/>
          </w:tcPr>
          <w:p w14:paraId="0B4E4374" w14:textId="77777777" w:rsidR="002A7B67" w:rsidRPr="00A655E6" w:rsidRDefault="002A7B67" w:rsidP="00A655E6">
            <w:pPr>
              <w:pStyle w:val="Normal-table"/>
              <w:cnfStyle w:val="000000000000" w:firstRow="0" w:lastRow="0" w:firstColumn="0" w:lastColumn="0" w:oddVBand="0" w:evenVBand="0" w:oddHBand="0" w:evenHBand="0" w:firstRowFirstColumn="0" w:firstRowLastColumn="0" w:lastRowFirstColumn="0" w:lastRowLastColumn="0"/>
            </w:pPr>
            <w:r w:rsidRPr="00A655E6">
              <w:t>Ongoing</w:t>
            </w:r>
          </w:p>
        </w:tc>
      </w:tr>
      <w:tr w:rsidR="002A7B67" w:rsidRPr="00A655E6" w14:paraId="160C0399" w14:textId="77777777" w:rsidTr="00EC1C3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27" w:type="pct"/>
          </w:tcPr>
          <w:p w14:paraId="1147B901" w14:textId="77777777" w:rsidR="002A7B67" w:rsidRPr="00A655E6" w:rsidRDefault="002A7B67" w:rsidP="00A655E6">
            <w:pPr>
              <w:pStyle w:val="Normal-table"/>
            </w:pPr>
            <w:r w:rsidRPr="00A655E6">
              <w:lastRenderedPageBreak/>
              <w:t>Improved digital opportunities for First Nations peoples across Queensland.</w:t>
            </w:r>
          </w:p>
        </w:tc>
        <w:tc>
          <w:tcPr>
            <w:tcW w:w="1250" w:type="pct"/>
          </w:tcPr>
          <w:p w14:paraId="0791192F" w14:textId="77777777" w:rsidR="002A7B67" w:rsidRPr="00A655E6"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rsidRPr="00A655E6">
              <w:t>Honouring and embracing our rich and ancient cultural history</w:t>
            </w:r>
          </w:p>
        </w:tc>
        <w:tc>
          <w:tcPr>
            <w:tcW w:w="623" w:type="pct"/>
          </w:tcPr>
          <w:p w14:paraId="647FCDEE" w14:textId="77777777" w:rsidR="002A7B67" w:rsidRPr="00A655E6"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rsidRPr="00A655E6">
              <w:t>Ongoing</w:t>
            </w:r>
          </w:p>
        </w:tc>
      </w:tr>
      <w:tr w:rsidR="002A7B67" w:rsidRPr="00A655E6" w14:paraId="27EEC08F" w14:textId="77777777" w:rsidTr="00EC1C36">
        <w:trPr>
          <w:trHeight w:val="60"/>
        </w:trPr>
        <w:tc>
          <w:tcPr>
            <w:cnfStyle w:val="001000000000" w:firstRow="0" w:lastRow="0" w:firstColumn="1" w:lastColumn="0" w:oddVBand="0" w:evenVBand="0" w:oddHBand="0" w:evenHBand="0" w:firstRowFirstColumn="0" w:firstRowLastColumn="0" w:lastRowFirstColumn="0" w:lastRowLastColumn="0"/>
            <w:tcW w:w="3127" w:type="pct"/>
          </w:tcPr>
          <w:p w14:paraId="65F2B9C7" w14:textId="77777777" w:rsidR="002A7B67" w:rsidRPr="00A655E6" w:rsidRDefault="002A7B67" w:rsidP="00A655E6">
            <w:pPr>
              <w:pStyle w:val="Normal-table"/>
            </w:pPr>
            <w:r w:rsidRPr="00A655E6">
              <w:t xml:space="preserve">Continued implementing the </w:t>
            </w:r>
            <w:r w:rsidRPr="00A655E6">
              <w:rPr>
                <w:rStyle w:val="Emphasis"/>
                <w:i w:val="0"/>
                <w:iCs w:val="0"/>
              </w:rPr>
              <w:t>Digital Professional Workforce Action Plan 2020–24</w:t>
            </w:r>
            <w:r w:rsidRPr="00A655E6">
              <w:t>.</w:t>
            </w:r>
          </w:p>
        </w:tc>
        <w:tc>
          <w:tcPr>
            <w:tcW w:w="1250" w:type="pct"/>
          </w:tcPr>
          <w:p w14:paraId="2BCE0626" w14:textId="77777777" w:rsidR="002A7B67" w:rsidRPr="00A655E6" w:rsidRDefault="002A7B67" w:rsidP="00A655E6">
            <w:pPr>
              <w:pStyle w:val="Normal-table"/>
              <w:cnfStyle w:val="000000000000" w:firstRow="0" w:lastRow="0" w:firstColumn="0" w:lastColumn="0" w:oddVBand="0" w:evenVBand="0" w:oddHBand="0" w:evenHBand="0" w:firstRowFirstColumn="0" w:firstRowLastColumn="0" w:lastRowFirstColumn="0" w:lastRowLastColumn="0"/>
            </w:pPr>
            <w:r w:rsidRPr="00A655E6">
              <w:t>Investing in skills</w:t>
            </w:r>
          </w:p>
        </w:tc>
        <w:tc>
          <w:tcPr>
            <w:tcW w:w="623" w:type="pct"/>
          </w:tcPr>
          <w:p w14:paraId="19CEA724" w14:textId="77777777" w:rsidR="002A7B67" w:rsidRPr="00A655E6" w:rsidRDefault="002A7B67" w:rsidP="00A655E6">
            <w:pPr>
              <w:pStyle w:val="Normal-table"/>
              <w:cnfStyle w:val="000000000000" w:firstRow="0" w:lastRow="0" w:firstColumn="0" w:lastColumn="0" w:oddVBand="0" w:evenVBand="0" w:oddHBand="0" w:evenHBand="0" w:firstRowFirstColumn="0" w:firstRowLastColumn="0" w:lastRowFirstColumn="0" w:lastRowLastColumn="0"/>
            </w:pPr>
            <w:r w:rsidRPr="00A655E6">
              <w:t>Ongoing</w:t>
            </w:r>
          </w:p>
        </w:tc>
      </w:tr>
      <w:tr w:rsidR="002A7B67" w:rsidRPr="00A655E6" w14:paraId="4A8E70DE" w14:textId="77777777" w:rsidTr="00EC1C3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27" w:type="pct"/>
          </w:tcPr>
          <w:p w14:paraId="0D5DF56F" w14:textId="77777777" w:rsidR="002A7B67" w:rsidRPr="00A655E6" w:rsidRDefault="002A7B67" w:rsidP="00A655E6">
            <w:pPr>
              <w:pStyle w:val="Normal-table"/>
            </w:pPr>
            <w:r w:rsidRPr="00A655E6">
              <w:t xml:space="preserve">Delivered improved telecommunications for First Nations communities. </w:t>
            </w:r>
          </w:p>
        </w:tc>
        <w:tc>
          <w:tcPr>
            <w:tcW w:w="1250" w:type="pct"/>
          </w:tcPr>
          <w:p w14:paraId="689D61BD" w14:textId="77777777" w:rsidR="002A7B67" w:rsidRPr="00A655E6"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rsidRPr="00A655E6">
              <w:t>Honouring and embracing our rich and ancient cultural history</w:t>
            </w:r>
          </w:p>
        </w:tc>
        <w:tc>
          <w:tcPr>
            <w:tcW w:w="623" w:type="pct"/>
          </w:tcPr>
          <w:p w14:paraId="78BB7543" w14:textId="77777777" w:rsidR="002A7B67" w:rsidRPr="00A655E6"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rsidRPr="00A655E6">
              <w:t>Ongoing</w:t>
            </w:r>
          </w:p>
        </w:tc>
      </w:tr>
      <w:tr w:rsidR="002A7B67" w:rsidRPr="00A655E6" w14:paraId="6359F904" w14:textId="77777777" w:rsidTr="00EC1C36">
        <w:trPr>
          <w:trHeight w:val="60"/>
        </w:trPr>
        <w:tc>
          <w:tcPr>
            <w:cnfStyle w:val="001000000000" w:firstRow="0" w:lastRow="0" w:firstColumn="1" w:lastColumn="0" w:oddVBand="0" w:evenVBand="0" w:oddHBand="0" w:evenHBand="0" w:firstRowFirstColumn="0" w:firstRowLastColumn="0" w:lastRowFirstColumn="0" w:lastRowLastColumn="0"/>
            <w:tcW w:w="3127" w:type="pct"/>
          </w:tcPr>
          <w:p w14:paraId="558CD348" w14:textId="77777777" w:rsidR="002A7B67" w:rsidRPr="00A655E6" w:rsidRDefault="002A7B67" w:rsidP="00A655E6">
            <w:pPr>
              <w:pStyle w:val="Normal-table"/>
            </w:pPr>
            <w:r w:rsidRPr="00A655E6">
              <w:t xml:space="preserve">Supported the delivery of the </w:t>
            </w:r>
            <w:r w:rsidRPr="00A655E6">
              <w:rPr>
                <w:rStyle w:val="Emphasis"/>
                <w:i w:val="0"/>
                <w:iCs w:val="0"/>
              </w:rPr>
              <w:t>Local Thriving Communities Action Plan 2022–24</w:t>
            </w:r>
            <w:r w:rsidRPr="00A655E6">
              <w:t xml:space="preserve"> to enable communities to participate as equal partners in decision-making through access to data.</w:t>
            </w:r>
          </w:p>
        </w:tc>
        <w:tc>
          <w:tcPr>
            <w:tcW w:w="1250" w:type="pct"/>
          </w:tcPr>
          <w:p w14:paraId="16925ACF" w14:textId="77777777" w:rsidR="002A7B67" w:rsidRPr="00A655E6" w:rsidRDefault="002A7B67" w:rsidP="00A655E6">
            <w:pPr>
              <w:pStyle w:val="Normal-table"/>
              <w:cnfStyle w:val="000000000000" w:firstRow="0" w:lastRow="0" w:firstColumn="0" w:lastColumn="0" w:oddVBand="0" w:evenVBand="0" w:oddHBand="0" w:evenHBand="0" w:firstRowFirstColumn="0" w:firstRowLastColumn="0" w:lastRowFirstColumn="0" w:lastRowLastColumn="0"/>
            </w:pPr>
            <w:r w:rsidRPr="00A655E6">
              <w:t xml:space="preserve">Backing our frontline services </w:t>
            </w:r>
          </w:p>
        </w:tc>
        <w:tc>
          <w:tcPr>
            <w:tcW w:w="623" w:type="pct"/>
          </w:tcPr>
          <w:p w14:paraId="07B26F06" w14:textId="77777777" w:rsidR="002A7B67" w:rsidRPr="00A655E6" w:rsidRDefault="002A7B67" w:rsidP="00A655E6">
            <w:pPr>
              <w:pStyle w:val="Normal-table"/>
              <w:cnfStyle w:val="000000000000" w:firstRow="0" w:lastRow="0" w:firstColumn="0" w:lastColumn="0" w:oddVBand="0" w:evenVBand="0" w:oddHBand="0" w:evenHBand="0" w:firstRowFirstColumn="0" w:firstRowLastColumn="0" w:lastRowFirstColumn="0" w:lastRowLastColumn="0"/>
            </w:pPr>
            <w:r w:rsidRPr="00A655E6">
              <w:t>Completed</w:t>
            </w:r>
          </w:p>
        </w:tc>
      </w:tr>
      <w:tr w:rsidR="002A7B67" w:rsidRPr="00A655E6" w14:paraId="59A0EBBD" w14:textId="77777777" w:rsidTr="00EC1C3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27" w:type="pct"/>
          </w:tcPr>
          <w:p w14:paraId="0DB3055E" w14:textId="77777777" w:rsidR="002A7B67" w:rsidRPr="00A655E6" w:rsidRDefault="002A7B67" w:rsidP="00A655E6">
            <w:pPr>
              <w:pStyle w:val="Normal-table"/>
            </w:pPr>
            <w:r w:rsidRPr="00A655E6">
              <w:t xml:space="preserve">Supported the maturity, operational performance, and viability of the Cherbourg Service Centre pilot. </w:t>
            </w:r>
          </w:p>
        </w:tc>
        <w:tc>
          <w:tcPr>
            <w:tcW w:w="1250" w:type="pct"/>
          </w:tcPr>
          <w:p w14:paraId="27E1A4BE" w14:textId="77777777" w:rsidR="002A7B67" w:rsidRPr="00A655E6"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rsidRPr="00A655E6">
              <w:t>Honouring and embracing our rich and ancient cultural history</w:t>
            </w:r>
          </w:p>
        </w:tc>
        <w:tc>
          <w:tcPr>
            <w:tcW w:w="623" w:type="pct"/>
          </w:tcPr>
          <w:p w14:paraId="1679CC57" w14:textId="77777777" w:rsidR="002A7B67" w:rsidRPr="00A655E6"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rsidRPr="00A655E6">
              <w:t>Ongoing</w:t>
            </w:r>
          </w:p>
        </w:tc>
      </w:tr>
      <w:tr w:rsidR="002A7B67" w:rsidRPr="00A655E6" w14:paraId="1B8E76BA" w14:textId="77777777" w:rsidTr="00EC1C36">
        <w:trPr>
          <w:trHeight w:val="60"/>
        </w:trPr>
        <w:tc>
          <w:tcPr>
            <w:cnfStyle w:val="001000000000" w:firstRow="0" w:lastRow="0" w:firstColumn="1" w:lastColumn="0" w:oddVBand="0" w:evenVBand="0" w:oddHBand="0" w:evenHBand="0" w:firstRowFirstColumn="0" w:firstRowLastColumn="0" w:lastRowFirstColumn="0" w:lastRowLastColumn="0"/>
            <w:tcW w:w="3127" w:type="pct"/>
          </w:tcPr>
          <w:p w14:paraId="0D808C1A" w14:textId="77777777" w:rsidR="002A7B67" w:rsidRPr="00A655E6" w:rsidRDefault="002A7B67" w:rsidP="00A655E6">
            <w:pPr>
              <w:pStyle w:val="Normal-table"/>
            </w:pPr>
            <w:r w:rsidRPr="00A655E6">
              <w:t xml:space="preserve">Uplifted Queensland’s cyber resilience against cyber threats and leveraged opportunities enhanced cyber maturity will bring to build the social and economic prosperity of Queensland. </w:t>
            </w:r>
          </w:p>
        </w:tc>
        <w:tc>
          <w:tcPr>
            <w:tcW w:w="1250" w:type="pct"/>
          </w:tcPr>
          <w:p w14:paraId="178B7E24" w14:textId="77777777" w:rsidR="002A7B67" w:rsidRPr="00A655E6" w:rsidRDefault="002A7B67" w:rsidP="00A655E6">
            <w:pPr>
              <w:pStyle w:val="Normal-table"/>
              <w:cnfStyle w:val="000000000000" w:firstRow="0" w:lastRow="0" w:firstColumn="0" w:lastColumn="0" w:oddVBand="0" w:evenVBand="0" w:oddHBand="0" w:evenHBand="0" w:firstRowFirstColumn="0" w:firstRowLastColumn="0" w:lastRowFirstColumn="0" w:lastRowLastColumn="0"/>
            </w:pPr>
            <w:r w:rsidRPr="00A655E6">
              <w:t>Keeping Queenslanders safe</w:t>
            </w:r>
          </w:p>
        </w:tc>
        <w:tc>
          <w:tcPr>
            <w:tcW w:w="623" w:type="pct"/>
          </w:tcPr>
          <w:p w14:paraId="5D72E37F" w14:textId="77777777" w:rsidR="002A7B67" w:rsidRPr="00A655E6" w:rsidRDefault="002A7B67" w:rsidP="00A655E6">
            <w:pPr>
              <w:pStyle w:val="Normal-table"/>
              <w:cnfStyle w:val="000000000000" w:firstRow="0" w:lastRow="0" w:firstColumn="0" w:lastColumn="0" w:oddVBand="0" w:evenVBand="0" w:oddHBand="0" w:evenHBand="0" w:firstRowFirstColumn="0" w:firstRowLastColumn="0" w:lastRowFirstColumn="0" w:lastRowLastColumn="0"/>
            </w:pPr>
            <w:r w:rsidRPr="00A655E6">
              <w:t>Completed</w:t>
            </w:r>
          </w:p>
        </w:tc>
      </w:tr>
      <w:tr w:rsidR="002A7B67" w:rsidRPr="00A655E6" w14:paraId="3905864B" w14:textId="77777777" w:rsidTr="00EC1C3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27" w:type="pct"/>
          </w:tcPr>
          <w:p w14:paraId="436D6D26" w14:textId="77777777" w:rsidR="002A7B67" w:rsidRPr="00A655E6" w:rsidRDefault="002A7B67" w:rsidP="00A655E6">
            <w:pPr>
              <w:pStyle w:val="Normal-table"/>
            </w:pPr>
            <w:r w:rsidRPr="00A655E6">
              <w:t>Strengthened the state’s response to cyber security incidents under the State Disaster Management Arrangements.</w:t>
            </w:r>
          </w:p>
        </w:tc>
        <w:tc>
          <w:tcPr>
            <w:tcW w:w="1250" w:type="pct"/>
          </w:tcPr>
          <w:p w14:paraId="580131C1" w14:textId="77777777" w:rsidR="002A7B67" w:rsidRPr="00A655E6"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rsidRPr="00A655E6">
              <w:t>Backing our frontline services</w:t>
            </w:r>
          </w:p>
        </w:tc>
        <w:tc>
          <w:tcPr>
            <w:tcW w:w="623" w:type="pct"/>
          </w:tcPr>
          <w:p w14:paraId="40DEA8FB" w14:textId="77777777" w:rsidR="002A7B67" w:rsidRPr="00A655E6"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rsidRPr="00A655E6">
              <w:t>Completed</w:t>
            </w:r>
          </w:p>
        </w:tc>
      </w:tr>
      <w:tr w:rsidR="002A7B67" w:rsidRPr="00A655E6" w14:paraId="5A9E0763" w14:textId="77777777" w:rsidTr="00EC1C36">
        <w:trPr>
          <w:trHeight w:val="60"/>
        </w:trPr>
        <w:tc>
          <w:tcPr>
            <w:cnfStyle w:val="001000000000" w:firstRow="0" w:lastRow="0" w:firstColumn="1" w:lastColumn="0" w:oddVBand="0" w:evenVBand="0" w:oddHBand="0" w:evenHBand="0" w:firstRowFirstColumn="0" w:firstRowLastColumn="0" w:lastRowFirstColumn="0" w:lastRowLastColumn="0"/>
            <w:tcW w:w="3127" w:type="pct"/>
          </w:tcPr>
          <w:p w14:paraId="23FDAE4F" w14:textId="77777777" w:rsidR="002A7B67" w:rsidRPr="00A655E6" w:rsidRDefault="002A7B67" w:rsidP="00A655E6">
            <w:pPr>
              <w:pStyle w:val="Normal-table"/>
            </w:pPr>
            <w:r w:rsidRPr="00A655E6">
              <w:t xml:space="preserve">Launched </w:t>
            </w:r>
            <w:r w:rsidRPr="00A655E6">
              <w:rPr>
                <w:rStyle w:val="Emphasis"/>
                <w:i w:val="0"/>
                <w:iCs w:val="0"/>
              </w:rPr>
              <w:t>Our Thriving Digital Future: Queensland’s Digital Economy Strategy and Action Plan</w:t>
            </w:r>
            <w:r w:rsidRPr="00A655E6">
              <w:t>.</w:t>
            </w:r>
          </w:p>
        </w:tc>
        <w:tc>
          <w:tcPr>
            <w:tcW w:w="1250" w:type="pct"/>
          </w:tcPr>
          <w:p w14:paraId="5614D5FA" w14:textId="77777777" w:rsidR="002A7B67" w:rsidRPr="00A655E6" w:rsidRDefault="002A7B67" w:rsidP="00A655E6">
            <w:pPr>
              <w:pStyle w:val="Normal-table"/>
              <w:cnfStyle w:val="000000000000" w:firstRow="0" w:lastRow="0" w:firstColumn="0" w:lastColumn="0" w:oddVBand="0" w:evenVBand="0" w:oddHBand="0" w:evenHBand="0" w:firstRowFirstColumn="0" w:firstRowLastColumn="0" w:lastRowFirstColumn="0" w:lastRowLastColumn="0"/>
            </w:pPr>
            <w:r w:rsidRPr="00A655E6">
              <w:t>Backing our frontline services</w:t>
            </w:r>
          </w:p>
        </w:tc>
        <w:tc>
          <w:tcPr>
            <w:tcW w:w="623" w:type="pct"/>
          </w:tcPr>
          <w:p w14:paraId="7861CA62" w14:textId="77777777" w:rsidR="002A7B67" w:rsidRPr="00A655E6" w:rsidRDefault="002A7B67" w:rsidP="00A655E6">
            <w:pPr>
              <w:pStyle w:val="Normal-table"/>
              <w:cnfStyle w:val="000000000000" w:firstRow="0" w:lastRow="0" w:firstColumn="0" w:lastColumn="0" w:oddVBand="0" w:evenVBand="0" w:oddHBand="0" w:evenHBand="0" w:firstRowFirstColumn="0" w:firstRowLastColumn="0" w:lastRowFirstColumn="0" w:lastRowLastColumn="0"/>
            </w:pPr>
            <w:r w:rsidRPr="00A655E6">
              <w:t>Completed</w:t>
            </w:r>
          </w:p>
        </w:tc>
      </w:tr>
      <w:tr w:rsidR="002A7B67" w:rsidRPr="00A655E6" w14:paraId="0BFB8955" w14:textId="77777777" w:rsidTr="00EC1C3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27" w:type="pct"/>
          </w:tcPr>
          <w:p w14:paraId="7B8E4F7B" w14:textId="77777777" w:rsidR="002A7B67" w:rsidRPr="00A655E6" w:rsidRDefault="002A7B67" w:rsidP="00A655E6">
            <w:pPr>
              <w:pStyle w:val="Normal-table"/>
            </w:pPr>
            <w:r w:rsidRPr="00A655E6">
              <w:t>Extended the current QGRN connectivity services across the state to improve the delivery of frontline services.</w:t>
            </w:r>
          </w:p>
        </w:tc>
        <w:tc>
          <w:tcPr>
            <w:tcW w:w="1250" w:type="pct"/>
          </w:tcPr>
          <w:p w14:paraId="1D8C1ED1" w14:textId="77777777" w:rsidR="002A7B67" w:rsidRPr="00A655E6"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rsidRPr="00A655E6">
              <w:t>Backing our frontline services</w:t>
            </w:r>
          </w:p>
        </w:tc>
        <w:tc>
          <w:tcPr>
            <w:tcW w:w="623" w:type="pct"/>
          </w:tcPr>
          <w:p w14:paraId="2386F897" w14:textId="77777777" w:rsidR="002A7B67" w:rsidRPr="00A655E6"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rsidRPr="00A655E6">
              <w:t>Completed</w:t>
            </w:r>
          </w:p>
        </w:tc>
      </w:tr>
      <w:tr w:rsidR="002A7B67" w:rsidRPr="00A655E6" w14:paraId="437386E5" w14:textId="77777777" w:rsidTr="00EC1C36">
        <w:trPr>
          <w:trHeight w:val="60"/>
        </w:trPr>
        <w:tc>
          <w:tcPr>
            <w:cnfStyle w:val="001000000000" w:firstRow="0" w:lastRow="0" w:firstColumn="1" w:lastColumn="0" w:oddVBand="0" w:evenVBand="0" w:oddHBand="0" w:evenHBand="0" w:firstRowFirstColumn="0" w:firstRowLastColumn="0" w:lastRowFirstColumn="0" w:lastRowLastColumn="0"/>
            <w:tcW w:w="3127" w:type="pct"/>
          </w:tcPr>
          <w:p w14:paraId="4BD03880" w14:textId="77777777" w:rsidR="002A7B67" w:rsidRPr="00A655E6" w:rsidRDefault="002A7B67" w:rsidP="00A655E6">
            <w:pPr>
              <w:pStyle w:val="Normal-table"/>
            </w:pPr>
            <w:r w:rsidRPr="00A655E6">
              <w:t>Continued delivery of the Tell Us Once (TUO) program to improve the joined-up customer experience for the delivery of digital services to Queenslanders.</w:t>
            </w:r>
          </w:p>
        </w:tc>
        <w:tc>
          <w:tcPr>
            <w:tcW w:w="1250" w:type="pct"/>
          </w:tcPr>
          <w:p w14:paraId="0E14704D" w14:textId="77777777" w:rsidR="002A7B67" w:rsidRPr="00A655E6" w:rsidRDefault="002A7B67" w:rsidP="00A655E6">
            <w:pPr>
              <w:pStyle w:val="Normal-table"/>
              <w:cnfStyle w:val="000000000000" w:firstRow="0" w:lastRow="0" w:firstColumn="0" w:lastColumn="0" w:oddVBand="0" w:evenVBand="0" w:oddHBand="0" w:evenHBand="0" w:firstRowFirstColumn="0" w:firstRowLastColumn="0" w:lastRowFirstColumn="0" w:lastRowLastColumn="0"/>
            </w:pPr>
            <w:r w:rsidRPr="00A655E6">
              <w:t>Connecting Queenslanders</w:t>
            </w:r>
          </w:p>
        </w:tc>
        <w:tc>
          <w:tcPr>
            <w:tcW w:w="623" w:type="pct"/>
          </w:tcPr>
          <w:p w14:paraId="4124FFBB" w14:textId="77777777" w:rsidR="002A7B67" w:rsidRPr="00A655E6" w:rsidRDefault="002A7B67" w:rsidP="00A655E6">
            <w:pPr>
              <w:pStyle w:val="Normal-table"/>
              <w:cnfStyle w:val="000000000000" w:firstRow="0" w:lastRow="0" w:firstColumn="0" w:lastColumn="0" w:oddVBand="0" w:evenVBand="0" w:oddHBand="0" w:evenHBand="0" w:firstRowFirstColumn="0" w:firstRowLastColumn="0" w:lastRowFirstColumn="0" w:lastRowLastColumn="0"/>
            </w:pPr>
            <w:r w:rsidRPr="00A655E6">
              <w:t>Ongoing</w:t>
            </w:r>
          </w:p>
        </w:tc>
      </w:tr>
      <w:tr w:rsidR="002A7B67" w:rsidRPr="00A655E6" w14:paraId="638E01A4" w14:textId="77777777" w:rsidTr="00EC1C3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27" w:type="pct"/>
          </w:tcPr>
          <w:p w14:paraId="420AD07D" w14:textId="77777777" w:rsidR="002A7B67" w:rsidRPr="00A655E6" w:rsidRDefault="002A7B67" w:rsidP="00A655E6">
            <w:pPr>
              <w:pStyle w:val="Normal-table"/>
            </w:pPr>
            <w:r w:rsidRPr="00A655E6">
              <w:t>Launched the First Nations Digital Careers Program in partnership with Microsoft</w:t>
            </w:r>
          </w:p>
        </w:tc>
        <w:tc>
          <w:tcPr>
            <w:tcW w:w="1250" w:type="pct"/>
          </w:tcPr>
          <w:p w14:paraId="33ED2853" w14:textId="77777777" w:rsidR="002A7B67" w:rsidRPr="00A655E6"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rsidRPr="00A655E6">
              <w:t>Investing in skills</w:t>
            </w:r>
          </w:p>
        </w:tc>
        <w:tc>
          <w:tcPr>
            <w:tcW w:w="623" w:type="pct"/>
          </w:tcPr>
          <w:p w14:paraId="2C30B49F" w14:textId="77777777" w:rsidR="002A7B67" w:rsidRPr="00A655E6"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rsidRPr="00A655E6">
              <w:t>Completed</w:t>
            </w:r>
          </w:p>
        </w:tc>
      </w:tr>
      <w:tr w:rsidR="002A7B67" w:rsidRPr="00A655E6" w14:paraId="7CD271D3" w14:textId="77777777" w:rsidTr="00EC1C36">
        <w:trPr>
          <w:trHeight w:val="60"/>
        </w:trPr>
        <w:tc>
          <w:tcPr>
            <w:cnfStyle w:val="001000000000" w:firstRow="0" w:lastRow="0" w:firstColumn="1" w:lastColumn="0" w:oddVBand="0" w:evenVBand="0" w:oddHBand="0" w:evenHBand="0" w:firstRowFirstColumn="0" w:firstRowLastColumn="0" w:lastRowFirstColumn="0" w:lastRowLastColumn="0"/>
            <w:tcW w:w="3127" w:type="pct"/>
          </w:tcPr>
          <w:p w14:paraId="59E1CE2A" w14:textId="77777777" w:rsidR="002A7B67" w:rsidRPr="00A655E6" w:rsidRDefault="002A7B67" w:rsidP="00A655E6">
            <w:pPr>
              <w:pStyle w:val="Normal-table"/>
            </w:pPr>
            <w:r w:rsidRPr="00A655E6">
              <w:t>Connecting Queenslanders to the services they need across government through 120.5 million Smart Service Queensland customer interactions via phone (including 13QGOV), online (qld.gov.au), Queensland Government Service Centres and Queensland Government Agent Program offices (counters).</w:t>
            </w:r>
          </w:p>
        </w:tc>
        <w:tc>
          <w:tcPr>
            <w:tcW w:w="1250" w:type="pct"/>
          </w:tcPr>
          <w:p w14:paraId="46AEF614" w14:textId="77777777" w:rsidR="002A7B67" w:rsidRPr="00A655E6" w:rsidRDefault="002A7B67" w:rsidP="00A655E6">
            <w:pPr>
              <w:pStyle w:val="Normal-table"/>
              <w:cnfStyle w:val="000000000000" w:firstRow="0" w:lastRow="0" w:firstColumn="0" w:lastColumn="0" w:oddVBand="0" w:evenVBand="0" w:oddHBand="0" w:evenHBand="0" w:firstRowFirstColumn="0" w:firstRowLastColumn="0" w:lastRowFirstColumn="0" w:lastRowLastColumn="0"/>
            </w:pPr>
            <w:r w:rsidRPr="00A655E6">
              <w:t>Backing our frontline services</w:t>
            </w:r>
          </w:p>
        </w:tc>
        <w:tc>
          <w:tcPr>
            <w:tcW w:w="623" w:type="pct"/>
          </w:tcPr>
          <w:p w14:paraId="4123286B" w14:textId="77777777" w:rsidR="002A7B67" w:rsidRPr="00A655E6" w:rsidRDefault="002A7B67" w:rsidP="00A655E6">
            <w:pPr>
              <w:pStyle w:val="Normal-table"/>
              <w:cnfStyle w:val="000000000000" w:firstRow="0" w:lastRow="0" w:firstColumn="0" w:lastColumn="0" w:oddVBand="0" w:evenVBand="0" w:oddHBand="0" w:evenHBand="0" w:firstRowFirstColumn="0" w:firstRowLastColumn="0" w:lastRowFirstColumn="0" w:lastRowLastColumn="0"/>
            </w:pPr>
            <w:r w:rsidRPr="00A655E6">
              <w:t>Ongoing</w:t>
            </w:r>
          </w:p>
        </w:tc>
      </w:tr>
      <w:tr w:rsidR="002A7B67" w:rsidRPr="00A655E6" w14:paraId="56C2FD3A" w14:textId="77777777" w:rsidTr="00EC1C3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27" w:type="pct"/>
          </w:tcPr>
          <w:p w14:paraId="3065AD81" w14:textId="77777777" w:rsidR="002A7B67" w:rsidRPr="00A655E6" w:rsidRDefault="002A7B67" w:rsidP="00A655E6">
            <w:pPr>
              <w:pStyle w:val="Normal-table"/>
            </w:pPr>
            <w:r w:rsidRPr="00A655E6">
              <w:t>Queensland Shared Services and Corporate Administration Agency supported Queensland Government service delivery through provision of shared corporate services, with each serving over 30 Queensland Government entities. This includes finance, human resource management, enterprise systems and payroll for over 80,000 employees.</w:t>
            </w:r>
          </w:p>
        </w:tc>
        <w:tc>
          <w:tcPr>
            <w:tcW w:w="1250" w:type="pct"/>
          </w:tcPr>
          <w:p w14:paraId="47BDFF76" w14:textId="77777777" w:rsidR="002A7B67" w:rsidRPr="00A655E6"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rsidRPr="00A655E6">
              <w:t>Backing our frontline services</w:t>
            </w:r>
          </w:p>
        </w:tc>
        <w:tc>
          <w:tcPr>
            <w:tcW w:w="623" w:type="pct"/>
          </w:tcPr>
          <w:p w14:paraId="5EFE2449" w14:textId="77777777" w:rsidR="002A7B67" w:rsidRPr="00A655E6" w:rsidRDefault="002A7B67" w:rsidP="00A655E6">
            <w:pPr>
              <w:pStyle w:val="Normal-table"/>
              <w:cnfStyle w:val="000000100000" w:firstRow="0" w:lastRow="0" w:firstColumn="0" w:lastColumn="0" w:oddVBand="0" w:evenVBand="0" w:oddHBand="1" w:evenHBand="0" w:firstRowFirstColumn="0" w:firstRowLastColumn="0" w:lastRowFirstColumn="0" w:lastRowLastColumn="0"/>
            </w:pPr>
            <w:r w:rsidRPr="00A655E6">
              <w:t>Ongoing</w:t>
            </w:r>
          </w:p>
        </w:tc>
      </w:tr>
    </w:tbl>
    <w:p w14:paraId="1E05D9C6" w14:textId="77777777" w:rsidR="00EC1C36" w:rsidRPr="00EC1C36" w:rsidRDefault="00EC1C36" w:rsidP="00EC1C36">
      <w:bookmarkStart w:id="2" w:name="_Hlk130996732"/>
      <w:r>
        <w:br w:type="page"/>
      </w:r>
    </w:p>
    <w:p w14:paraId="4E9446BE" w14:textId="08776974" w:rsidR="00631085" w:rsidRPr="00244FA9" w:rsidRDefault="00631085" w:rsidP="00A53E9C">
      <w:pPr>
        <w:pStyle w:val="Heading1"/>
      </w:pPr>
      <w:r w:rsidRPr="00244FA9">
        <w:lastRenderedPageBreak/>
        <w:t>Strategic opportunities and challenges</w:t>
      </w:r>
    </w:p>
    <w:p w14:paraId="296AD76B" w14:textId="77777777" w:rsidR="00631085" w:rsidRPr="00244FA9" w:rsidRDefault="00631085" w:rsidP="00631085">
      <w:r w:rsidRPr="00244FA9">
        <w:t xml:space="preserve">The changing landscape of the transport sector presents both challenges and opportunities. People's lifestyles, work patterns and expectations are evolving. While the convergence of new communication technology, new sources of energy, and new modes of mobility offer exciting opportunities to meet those evolving customer needs. </w:t>
      </w:r>
    </w:p>
    <w:p w14:paraId="02D6E909" w14:textId="77777777" w:rsidR="00631085" w:rsidRPr="00244FA9" w:rsidRDefault="00631085" w:rsidP="00631085">
      <w:r w:rsidRPr="00244FA9">
        <w:t>Connecting active transport modes and transport planning with land-use planning, while applying a lens of sustainable development, resilience, equity, and inclusivity can be challenging given the changing nature of transport and society’s mobility preferences. It is essential for TMR to be proactive in addressing these challenges and seizing the opportunities to create a sustainable and efficient transport system for the future.</w:t>
      </w:r>
    </w:p>
    <w:p w14:paraId="09B6A47D" w14:textId="77777777" w:rsidR="00631085" w:rsidRPr="00244FA9" w:rsidRDefault="00631085" w:rsidP="00631085">
      <w:pPr>
        <w:pStyle w:val="Heading2"/>
      </w:pPr>
      <w:r w:rsidRPr="00244FA9">
        <w:t xml:space="preserve">Brisbane 2032 Olympic and Paralympic Games </w:t>
      </w:r>
    </w:p>
    <w:p w14:paraId="3ED0F4F4" w14:textId="77777777" w:rsidR="00631085" w:rsidRPr="00244FA9" w:rsidRDefault="00631085" w:rsidP="00631085">
      <w:r w:rsidRPr="00244FA9">
        <w:t>As we approach the Brisbane 2032 Olympic and Paralympic Games new challenges and opportunities present themselves. This includes establishing new partnerships across all levels of government, accelerating</w:t>
      </w:r>
      <w:r>
        <w:t xml:space="preserve"> the</w:t>
      </w:r>
      <w:r w:rsidRPr="00244FA9">
        <w:t xml:space="preserve"> delivery of much needed infrastructure to support Queensland’s long-term growth, and promoting the implementation of innovative technologies to:</w:t>
      </w:r>
    </w:p>
    <w:p w14:paraId="7151FF2F" w14:textId="77777777" w:rsidR="00631085" w:rsidRPr="00244FA9" w:rsidRDefault="00631085" w:rsidP="00631085">
      <w:pPr>
        <w:pStyle w:val="ListBullet"/>
      </w:pPr>
      <w:r w:rsidRPr="00244FA9">
        <w:t xml:space="preserve">reduce transport’s carbon footprint by expanding low emissions vehicle fleets and encouraging more sustainable travel behaviour, aligning to </w:t>
      </w:r>
      <w:r>
        <w:t xml:space="preserve">the </w:t>
      </w:r>
      <w:r w:rsidRPr="00244FA9">
        <w:t xml:space="preserve">Queensland Government’s goal </w:t>
      </w:r>
      <w:r>
        <w:t xml:space="preserve">to deliver </w:t>
      </w:r>
      <w:r w:rsidRPr="00244FA9">
        <w:t xml:space="preserve">a </w:t>
      </w:r>
      <w:r>
        <w:t>sustainable</w:t>
      </w:r>
      <w:r w:rsidRPr="00244FA9">
        <w:t xml:space="preserve"> Brisbane 2032 Olympic and Paralympic Games</w:t>
      </w:r>
    </w:p>
    <w:p w14:paraId="71B794B9" w14:textId="77777777" w:rsidR="00631085" w:rsidRPr="00244FA9" w:rsidRDefault="00631085" w:rsidP="00631085">
      <w:pPr>
        <w:pStyle w:val="ListBullet"/>
      </w:pPr>
      <w:r w:rsidRPr="00244FA9">
        <w:t>more efficiently coordinate network operations and incident management response</w:t>
      </w:r>
    </w:p>
    <w:p w14:paraId="2AD177B7" w14:textId="77777777" w:rsidR="00631085" w:rsidRDefault="00631085" w:rsidP="00631085">
      <w:pPr>
        <w:pStyle w:val="ListBullet"/>
      </w:pPr>
      <w:r w:rsidRPr="00244FA9">
        <w:t>provide customers with tailored and accessible real-time travel information</w:t>
      </w:r>
    </w:p>
    <w:p w14:paraId="40EA80B8" w14:textId="77777777" w:rsidR="00631085" w:rsidRDefault="00631085" w:rsidP="00631085">
      <w:pPr>
        <w:pStyle w:val="ListBullet"/>
      </w:pPr>
      <w:r>
        <w:t xml:space="preserve">improve digital infrastructure and resilience </w:t>
      </w:r>
    </w:p>
    <w:p w14:paraId="7F58F97E" w14:textId="77777777" w:rsidR="00631085" w:rsidRDefault="00631085" w:rsidP="00631085">
      <w:pPr>
        <w:pStyle w:val="ListBullet"/>
      </w:pPr>
      <w:r>
        <w:t>support public safety communications</w:t>
      </w:r>
    </w:p>
    <w:p w14:paraId="13685122" w14:textId="77777777" w:rsidR="00631085" w:rsidRPr="00244FA9" w:rsidRDefault="00631085" w:rsidP="00631085">
      <w:pPr>
        <w:pStyle w:val="ListBullet"/>
      </w:pPr>
      <w:r>
        <w:t>support delivery of the most digitally-enabled games in history</w:t>
      </w:r>
      <w:r w:rsidRPr="00244FA9">
        <w:t>.</w:t>
      </w:r>
    </w:p>
    <w:p w14:paraId="23FD50A8" w14:textId="77777777" w:rsidR="00631085" w:rsidRPr="00244FA9" w:rsidRDefault="00631085" w:rsidP="00631085">
      <w:pPr>
        <w:pStyle w:val="Heading2"/>
      </w:pPr>
      <w:r w:rsidRPr="00244FA9">
        <w:t>Meeting Queensland's future transport needs</w:t>
      </w:r>
    </w:p>
    <w:p w14:paraId="480C0590" w14:textId="77777777" w:rsidR="00631085" w:rsidRDefault="00631085" w:rsidP="00631085">
      <w:r w:rsidRPr="005F1620">
        <w:t>Over the last few years, TMR has trialled the use of cooperative and automated vehicles and Mobility as a Service (MaaS) within our transport network.</w:t>
      </w:r>
      <w:r>
        <w:t xml:space="preserve"> </w:t>
      </w:r>
      <w:r w:rsidRPr="005F1620">
        <w:t>These trials present significant opportunities of improving the efficiency, safety, and sustainability of our network.</w:t>
      </w:r>
    </w:p>
    <w:p w14:paraId="103E3890" w14:textId="77777777" w:rsidR="00631085" w:rsidRDefault="00631085" w:rsidP="00631085">
      <w:r w:rsidRPr="00047912">
        <w:t>The trials provide valuable data about the regulatory, technical and social challenges that concepts like MaaS present within the transport system. Furthermore, trials of cooperative and automated vehicles have the potential to significantly improve safety on the roads.</w:t>
      </w:r>
    </w:p>
    <w:p w14:paraId="3E0C9839" w14:textId="77777777" w:rsidR="00631085" w:rsidRDefault="00631085" w:rsidP="00631085">
      <w:r w:rsidRPr="00047912">
        <w:t>Australia’s largest MaaS trial, ODIN PASS, in partnership with University of Queensland and iMOVE’s Cooperative Research Centre, has seen improved access to a variety of transport services.</w:t>
      </w:r>
      <w:r>
        <w:t xml:space="preserve"> </w:t>
      </w:r>
      <w:r w:rsidRPr="00047912">
        <w:t>The success of these trials depends on addressing the regulatory, technical</w:t>
      </w:r>
      <w:r>
        <w:t>,</w:t>
      </w:r>
      <w:r w:rsidRPr="00047912">
        <w:t xml:space="preserve"> and social challenges. TMR continues to use the insights from the trials and other jurisdictions, through ITS Australia and the MaaS Alliance membership, to ensure Queensland’s regulatory environment is ready for concepts like MaaS and introduction of automated vehicles. This includes issues of safety, liability, national harmonisation, and data privacy.</w:t>
      </w:r>
    </w:p>
    <w:p w14:paraId="0438871F" w14:textId="77777777" w:rsidR="00631085" w:rsidRPr="00244FA9" w:rsidRDefault="00631085" w:rsidP="00631085">
      <w:r w:rsidRPr="00244FA9">
        <w:t xml:space="preserve">Gaining public acceptance is also essential, </w:t>
      </w:r>
      <w:r>
        <w:t>to satisfied</w:t>
      </w:r>
      <w:r w:rsidRPr="00244FA9">
        <w:t xml:space="preserve"> concerns around safety, privacy, and job losses.</w:t>
      </w:r>
    </w:p>
    <w:p w14:paraId="07A45D86" w14:textId="77777777" w:rsidR="00631085" w:rsidRPr="00244FA9" w:rsidRDefault="00631085" w:rsidP="00631085">
      <w:r w:rsidRPr="00244FA9">
        <w:t>Overall, the exploration of trials for cooperative and automated vehicles and MaaS will lay the foundations for the next generation of smart transport infrastructure.</w:t>
      </w:r>
    </w:p>
    <w:p w14:paraId="47A48611" w14:textId="77777777" w:rsidR="00631085" w:rsidRPr="00244FA9" w:rsidRDefault="00631085" w:rsidP="00631085">
      <w:r w:rsidRPr="00244FA9">
        <w:t>In Queensland, TMR is committed to building a strong and diverse digital economy which includes a focus on increasing the number of Queenslanders with digital skills and literacy to ensure all Queenslanders and businesses can take advantage of the benefits digital can provide.  </w:t>
      </w:r>
    </w:p>
    <w:p w14:paraId="0DB81059" w14:textId="77777777" w:rsidR="00631085" w:rsidRPr="00244FA9" w:rsidRDefault="00631085" w:rsidP="00631085">
      <w:r w:rsidRPr="00244FA9">
        <w:t xml:space="preserve">TMR is delivering a range of skills and capability programs to build the pipeline of diverse digital talent in Queensland. The future of work shaped by digital impacts holds immense promise and potential for Queenslanders and businesses. The </w:t>
      </w:r>
      <w:r w:rsidRPr="009C65A0">
        <w:rPr>
          <w:rStyle w:val="Emphasis"/>
        </w:rPr>
        <w:t xml:space="preserve">Our </w:t>
      </w:r>
      <w:r w:rsidRPr="009C65A0">
        <w:rPr>
          <w:rStyle w:val="Emphasis"/>
        </w:rPr>
        <w:lastRenderedPageBreak/>
        <w:t>Thriving Digital Future: Queensland's Digital Economy Strategy and Action Plan</w:t>
      </w:r>
      <w:r w:rsidRPr="00244FA9">
        <w:t xml:space="preserve"> will place Queensland in its strongest position yet to ensure our state has the right skills to be competitive in the global digital economy. </w:t>
      </w:r>
    </w:p>
    <w:p w14:paraId="6957D576" w14:textId="77777777" w:rsidR="00631085" w:rsidRPr="00244FA9" w:rsidRDefault="00631085" w:rsidP="00631085">
      <w:pPr>
        <w:pStyle w:val="Heading2"/>
      </w:pPr>
      <w:r w:rsidRPr="00244FA9">
        <w:t>Responding to change</w:t>
      </w:r>
    </w:p>
    <w:p w14:paraId="69A4F35F" w14:textId="77777777" w:rsidR="00631085" w:rsidRPr="00244FA9" w:rsidRDefault="00631085" w:rsidP="00631085">
      <w:r w:rsidRPr="00244FA9">
        <w:t xml:space="preserve">As the transport sector faces an unpredictable future, there is considerable uncertainty about how the transport system will evolve. Scenarios are a powerful tool for decision-making under uncertain conditions. They help to identify and explore a range of possible futures, understand the challenges and opportunities, and select options that are resilient in multiple future states. As such, </w:t>
      </w:r>
      <w:r>
        <w:t xml:space="preserve">TMR </w:t>
      </w:r>
      <w:r w:rsidRPr="00244FA9">
        <w:t>is exploring a standardised approach to the development and use of scenarios in decision</w:t>
      </w:r>
      <w:r>
        <w:t>-</w:t>
      </w:r>
      <w:r w:rsidRPr="00244FA9">
        <w:t>making across the department.</w:t>
      </w:r>
    </w:p>
    <w:p w14:paraId="781965BD" w14:textId="77777777" w:rsidR="00631085" w:rsidRPr="00244FA9" w:rsidRDefault="00631085" w:rsidP="00631085">
      <w:r w:rsidRPr="00244FA9">
        <w:t xml:space="preserve">Artificial Intelligence (AI) will have a profound affect across many industries and arguably present society with some of its biggest challenges and opportunities. In the foreseeable future AI will drive technological innovations, as well as present many new risks. </w:t>
      </w:r>
      <w:r w:rsidRPr="00244FA9">
        <w:rPr>
          <w:rStyle w:val="Emphasis"/>
        </w:rPr>
        <w:t>TMR’s Data and Analytics Strategy 2023</w:t>
      </w:r>
      <w:r>
        <w:rPr>
          <w:rStyle w:val="Emphasis"/>
        </w:rPr>
        <w:t>–</w:t>
      </w:r>
      <w:r w:rsidRPr="00244FA9">
        <w:rPr>
          <w:rStyle w:val="Emphasis"/>
        </w:rPr>
        <w:t>26</w:t>
      </w:r>
      <w:r w:rsidRPr="00244FA9">
        <w:t xml:space="preserve"> identifies the need to leverage AI and </w:t>
      </w:r>
      <w:r>
        <w:t>m</w:t>
      </w:r>
      <w:r w:rsidRPr="00244FA9">
        <w:t xml:space="preserve">achine </w:t>
      </w:r>
      <w:r>
        <w:t>l</w:t>
      </w:r>
      <w:r w:rsidRPr="00244FA9">
        <w:t>ea</w:t>
      </w:r>
      <w:r>
        <w:t>r</w:t>
      </w:r>
      <w:r w:rsidRPr="00244FA9">
        <w:t xml:space="preserve">ning. Doing so, in a responsible way, will bring many benefits to the transport sector, including improved efficiency, better safety, and enhanced customer experience. </w:t>
      </w:r>
    </w:p>
    <w:p w14:paraId="016108E3" w14:textId="77777777" w:rsidR="00631085" w:rsidRPr="00244FA9" w:rsidRDefault="00631085" w:rsidP="00631085">
      <w:r w:rsidRPr="00244FA9">
        <w:t>For example, AI is currently being used by TMR to enforce seatbelt and mobile phone laws that apply to drivers and front vehicle passengers. AI is also a key component of autonomous vehicles. TMR’s Cooperative and Automated Vehicle Initiative</w:t>
      </w:r>
      <w:r>
        <w:t xml:space="preserve"> (CAVI)</w:t>
      </w:r>
      <w:r w:rsidRPr="00244FA9">
        <w:t xml:space="preserve"> (see page xxx) seeks to explore next generation transport safety technologies and understand the safety implications. </w:t>
      </w:r>
    </w:p>
    <w:p w14:paraId="029E9E72" w14:textId="77777777" w:rsidR="00631085" w:rsidRDefault="00631085" w:rsidP="00631085">
      <w:r w:rsidRPr="00244FA9">
        <w:t>The threat of cybercrime continues to grow with cyber-attacks increasing in their frequency, scale</w:t>
      </w:r>
      <w:r>
        <w:t>,</w:t>
      </w:r>
      <w:r w:rsidRPr="00244FA9">
        <w:t xml:space="preserve"> and sophistication. TMR remains vigilant in respect to escalating threat</w:t>
      </w:r>
      <w:r>
        <w:t>s</w:t>
      </w:r>
      <w:r w:rsidRPr="00244FA9">
        <w:t xml:space="preserve"> by ensuring our services meet high security standards and controls through its information security management system.</w:t>
      </w:r>
    </w:p>
    <w:p w14:paraId="1A3134D0" w14:textId="77777777" w:rsidR="00631085" w:rsidRPr="00244FA9" w:rsidRDefault="00631085" w:rsidP="00631085">
      <w:r w:rsidRPr="008B3528">
        <w:t>QGCDG is working across the Queensland Government to develop a formal Responsible Use of AI policy under the Queensland Government Enterprise Architecture, and continues to work with colleagues in different states and territories to work towards a national approach for safe and ethical use of AI across Australia.</w:t>
      </w:r>
    </w:p>
    <w:p w14:paraId="6CC3D3C8" w14:textId="77777777" w:rsidR="00631085" w:rsidRPr="00244FA9" w:rsidRDefault="00631085" w:rsidP="00631085">
      <w:pPr>
        <w:pStyle w:val="Heading2"/>
      </w:pPr>
      <w:r w:rsidRPr="00244FA9">
        <w:t>Environmental resilience and emission targets</w:t>
      </w:r>
    </w:p>
    <w:p w14:paraId="2FA08466" w14:textId="77777777" w:rsidR="00631085" w:rsidRDefault="00631085" w:rsidP="00631085">
      <w:r w:rsidRPr="00AA29E6">
        <w:t>Queensland is among the top 10% of global jurisdictions most at risk from the physical impacts of climate change (Gross Domestic Climate Risk ranking by Cross Dependency Initiative), increasing the exposure to severe transport disruptions. This also creates opportunities to build, maintain, and operate a transport network for a more sustainable, resilient, and liveable Queensland</w:t>
      </w:r>
      <w:r>
        <w:t>.</w:t>
      </w:r>
    </w:p>
    <w:p w14:paraId="3C040C1B" w14:textId="77777777" w:rsidR="00631085" w:rsidRPr="00244FA9" w:rsidRDefault="00631085" w:rsidP="00631085">
      <w:r w:rsidRPr="00244FA9">
        <w:t xml:space="preserve">To reduce emissions and contribute to the Queensland Government's emission reduction targets, TMR has developed the </w:t>
      </w:r>
      <w:r w:rsidRPr="00656E72">
        <w:rPr>
          <w:rStyle w:val="Emphasis"/>
        </w:rPr>
        <w:t>Zero Net Emissions for Transport Roadmap</w:t>
      </w:r>
      <w:r w:rsidRPr="00244FA9">
        <w:t xml:space="preserve">. TMR is also developing a </w:t>
      </w:r>
      <w:r w:rsidRPr="00656E72">
        <w:rPr>
          <w:rStyle w:val="Emphasis"/>
        </w:rPr>
        <w:t>Climate Change and Resilience Strategy and Action Plan</w:t>
      </w:r>
      <w:r w:rsidRPr="00244FA9">
        <w:t xml:space="preserve"> to improve capability, capacity, and resilience across all its business areas.</w:t>
      </w:r>
    </w:p>
    <w:p w14:paraId="0251337E" w14:textId="77777777" w:rsidR="00631085" w:rsidRPr="00244FA9" w:rsidRDefault="00631085" w:rsidP="00631085">
      <w:r w:rsidRPr="00244FA9">
        <w:t xml:space="preserve">TMR is implementing the </w:t>
      </w:r>
      <w:r w:rsidRPr="00244FA9">
        <w:rPr>
          <w:rStyle w:val="Emphasis"/>
        </w:rPr>
        <w:t>Zero Emission Vehicle Strategy 2022–32</w:t>
      </w:r>
      <w:r w:rsidRPr="00244FA9">
        <w:t xml:space="preserve"> and </w:t>
      </w:r>
      <w:r w:rsidRPr="00244FA9">
        <w:rPr>
          <w:rStyle w:val="Emphasis"/>
        </w:rPr>
        <w:t>Action Plan 2022–24</w:t>
      </w:r>
      <w:r w:rsidRPr="00244FA9">
        <w:t xml:space="preserve">. While the availability of public </w:t>
      </w:r>
      <w:r>
        <w:t>EV</w:t>
      </w:r>
      <w:r w:rsidRPr="00244FA9">
        <w:t xml:space="preserve"> fast charging infrastructure is vital to steer Queensland towards a net zero emissions future, the sector faces several challenges, including the sustained increased international demand for all EV component</w:t>
      </w:r>
      <w:r>
        <w:t>s</w:t>
      </w:r>
      <w:r w:rsidRPr="00244FA9">
        <w:t xml:space="preserve">, low model availability, the absence of national fuel efficiency standards, and macro-economic factors. </w:t>
      </w:r>
    </w:p>
    <w:p w14:paraId="0031076C" w14:textId="77777777" w:rsidR="00631085" w:rsidRPr="00244FA9" w:rsidRDefault="00631085" w:rsidP="00631085">
      <w:r w:rsidRPr="00244FA9">
        <w:t xml:space="preserve">TMR is working with industry and across jurisdictions to discuss </w:t>
      </w:r>
      <w:r>
        <w:t>ZEV</w:t>
      </w:r>
      <w:r w:rsidRPr="00244FA9">
        <w:t xml:space="preserve"> policy settings and provide input into the development of the Australian Government's National </w:t>
      </w:r>
      <w:r>
        <w:t>EV</w:t>
      </w:r>
      <w:r w:rsidRPr="00244FA9">
        <w:t xml:space="preserve"> Strategy. </w:t>
      </w:r>
    </w:p>
    <w:p w14:paraId="73F678E0" w14:textId="77777777" w:rsidR="00631085" w:rsidRPr="00244FA9" w:rsidRDefault="00631085" w:rsidP="00631085">
      <w:r w:rsidRPr="00244FA9">
        <w:t xml:space="preserve">The </w:t>
      </w:r>
      <w:r w:rsidRPr="00587A2D">
        <w:rPr>
          <w:rStyle w:val="Emphasis"/>
        </w:rPr>
        <w:t>Queensland Energy and Jobs Plan</w:t>
      </w:r>
      <w:r w:rsidRPr="00244FA9">
        <w:t xml:space="preserve"> aims to achieve 70 per cent renewable energy by 2032 and 80 per cent by 2035 and includes a review of the Queensland Hydrogen Industry Strategy. The potential impacts and opportunities of the renewable hydrogen industry on the transport system are being explored, including the safe and efficient import of renewable energy componentry into Queensland's ports and the potential export of hydrogen products from the ports. The increase in renewable energy development in Queensland will require TMR to manage the movement of more oversized freight vehicles, and TMR is investigating ways to ensure the management and coordination of this activity supports decarbonisation efforts.</w:t>
      </w:r>
    </w:p>
    <w:p w14:paraId="51881484" w14:textId="77777777" w:rsidR="00631085" w:rsidRPr="00244FA9" w:rsidRDefault="00631085" w:rsidP="00631085">
      <w:r w:rsidRPr="00244FA9">
        <w:t>The adoption of recycled materials used for infrastructure construction in Queensland has doubled in the last three years through crumbed rubber (from recycled tyres), recycled glass, in</w:t>
      </w:r>
      <w:r>
        <w:t>-</w:t>
      </w:r>
      <w:r w:rsidRPr="00244FA9">
        <w:t>situ stabilisation, high modulus asphalt</w:t>
      </w:r>
      <w:r>
        <w:t>,</w:t>
      </w:r>
      <w:r w:rsidRPr="00244FA9">
        <w:t xml:space="preserve"> and recycled asphalt, which contribute to a circular economy. Our actions to improve environmental resilience will contribute to reducing or avoiding emissions while improving and advancing broader sustainability outcomes.</w:t>
      </w:r>
    </w:p>
    <w:p w14:paraId="6C87F23A" w14:textId="2C2AC222" w:rsidR="00631085" w:rsidRPr="00244FA9" w:rsidRDefault="00631085" w:rsidP="00631085">
      <w:pPr>
        <w:pStyle w:val="Heading2"/>
      </w:pPr>
      <w:r w:rsidRPr="00244FA9">
        <w:lastRenderedPageBreak/>
        <w:t>Future of work</w:t>
      </w:r>
    </w:p>
    <w:bookmarkEnd w:id="2"/>
    <w:p w14:paraId="366498F3" w14:textId="77777777" w:rsidR="00631085" w:rsidRPr="00244FA9" w:rsidRDefault="00631085" w:rsidP="00631085">
      <w:r>
        <w:t>Today's workplaces have changed substantially since 2020</w:t>
      </w:r>
      <w:r w:rsidRPr="00244FA9">
        <w:t>. By understanding global and local influences on the labour market, our operating context and changes in employee expectations, we can adjust our workforce priorities to ensure we can attract and retain the right people.</w:t>
      </w:r>
    </w:p>
    <w:p w14:paraId="4C4C821C" w14:textId="77777777" w:rsidR="00631085" w:rsidRPr="00244FA9" w:rsidRDefault="00631085" w:rsidP="00631085">
      <w:r w:rsidRPr="00244FA9">
        <w:t xml:space="preserve">Like all organisations, the pandemic was a game changer for the TMR workforce in where and how employees worked. TMR’s </w:t>
      </w:r>
      <w:r w:rsidRPr="00244FA9">
        <w:rPr>
          <w:rStyle w:val="Emphasis"/>
        </w:rPr>
        <w:t>Strategic Workforce Plan 2019–23</w:t>
      </w:r>
      <w:r w:rsidRPr="00244FA9">
        <w:t xml:space="preserve"> (revised this year) is our plan for a healthy, purpose</w:t>
      </w:r>
      <w:r>
        <w:t>-</w:t>
      </w:r>
      <w:r w:rsidRPr="00244FA9">
        <w:t>driven, capable</w:t>
      </w:r>
      <w:r>
        <w:t>,</w:t>
      </w:r>
      <w:r w:rsidRPr="00244FA9">
        <w:t xml:space="preserve"> and mobile workforce. We are also ensuring our workforce is reflective of the community we serve so we have equity targets and actions under our </w:t>
      </w:r>
      <w:r w:rsidRPr="00244FA9">
        <w:rPr>
          <w:rStyle w:val="Emphasis"/>
        </w:rPr>
        <w:t>Accessibility and Inclusion Strategy</w:t>
      </w:r>
      <w:r w:rsidRPr="00244FA9">
        <w:t xml:space="preserve">. </w:t>
      </w:r>
    </w:p>
    <w:p w14:paraId="2E28523A" w14:textId="77777777" w:rsidR="00631085" w:rsidRPr="00244FA9" w:rsidRDefault="00631085" w:rsidP="00631085">
      <w:r w:rsidRPr="00244FA9">
        <w:t xml:space="preserve">Building employee skills is a priority for TMR. The </w:t>
      </w:r>
      <w:r w:rsidRPr="00244FA9">
        <w:rPr>
          <w:rStyle w:val="Emphasis"/>
        </w:rPr>
        <w:t>Learning Strategy 2021–24</w:t>
      </w:r>
      <w:r w:rsidRPr="00244FA9">
        <w:t xml:space="preserve"> and </w:t>
      </w:r>
      <w:r w:rsidRPr="00244FA9">
        <w:rPr>
          <w:rStyle w:val="Emphasis"/>
        </w:rPr>
        <w:t>Digital Strategic Plan 2021–25</w:t>
      </w:r>
      <w:r w:rsidRPr="00244FA9">
        <w:t xml:space="preserve"> foster a learning culture and a digitally enabled workforce, enabling TMR to continue to deliver an integrated and inclusive network connecting all Queenslanders.</w:t>
      </w:r>
    </w:p>
    <w:p w14:paraId="5BE73DAE" w14:textId="77777777" w:rsidR="00631085" w:rsidRPr="00244FA9" w:rsidRDefault="00631085" w:rsidP="00631085">
      <w:r w:rsidRPr="00244FA9">
        <w:t xml:space="preserve">Designing future </w:t>
      </w:r>
      <w:r>
        <w:t>systems</w:t>
      </w:r>
      <w:r w:rsidRPr="00244FA9">
        <w:t xml:space="preserve"> that </w:t>
      </w:r>
      <w:r>
        <w:t>are</w:t>
      </w:r>
      <w:r w:rsidRPr="00244FA9">
        <w:t xml:space="preserve"> agile and adaptable to change and uncertainty, requires continued development and implementation of long and medium-term strategies and integrated plans to maximise Queensland’s long-term economic growth and prosperity. </w:t>
      </w:r>
    </w:p>
    <w:p w14:paraId="51362868" w14:textId="77777777" w:rsidR="00631085" w:rsidRDefault="00631085" w:rsidP="00631085">
      <w:r w:rsidRPr="00244FA9">
        <w:t>TMR is continuously monitoring, evaluating, and exploring opportunities to improve Queensland's transport system, networks</w:t>
      </w:r>
      <w:r>
        <w:t>,</w:t>
      </w:r>
      <w:r w:rsidRPr="00244FA9">
        <w:t xml:space="preserve"> and operations through initiatives aligned to future transport system trends, issues</w:t>
      </w:r>
      <w:r>
        <w:t>,</w:t>
      </w:r>
      <w:r w:rsidRPr="00244FA9">
        <w:t xml:space="preserve"> and opportunities as identified by industry, technology, and customer preferences.</w:t>
      </w:r>
    </w:p>
    <w:p w14:paraId="25B902B6" w14:textId="77777777" w:rsidR="00631085" w:rsidRDefault="00631085" w:rsidP="00631085">
      <w:r w:rsidRPr="00D31242">
        <w:t xml:space="preserve">The 2022 CSIRO report into global megatrends shaping our world identified the impact of digitisation and </w:t>
      </w:r>
      <w:r>
        <w:t xml:space="preserve">the </w:t>
      </w:r>
      <w:r w:rsidRPr="00D31242">
        <w:t>opportunities</w:t>
      </w:r>
      <w:r>
        <w:t xml:space="preserve"> to build a </w:t>
      </w:r>
      <w:r w:rsidRPr="00D31242">
        <w:t xml:space="preserve">strong digital economy. </w:t>
      </w:r>
    </w:p>
    <w:p w14:paraId="45A9CD4B" w14:textId="77777777" w:rsidR="00631085" w:rsidRDefault="00631085" w:rsidP="00631085">
      <w:r w:rsidRPr="00C501EC">
        <w:t>Our priority is to ensure the Queensland Government is digitally adept and enabled, continuously adapting and transforming the way government operates, manages its data, and invests in digital technology to shape and lead the progression of a thriving digital economy</w:t>
      </w:r>
      <w:r>
        <w:t>. Our</w:t>
      </w:r>
      <w:r w:rsidRPr="009E0304">
        <w:t xml:space="preserve"> </w:t>
      </w:r>
      <w:r w:rsidRPr="007E545F">
        <w:rPr>
          <w:rStyle w:val="Emphasis"/>
        </w:rPr>
        <w:t>Digital Queensland: Digital Professional Workforce Action 2020-2024</w:t>
      </w:r>
      <w:r>
        <w:t xml:space="preserve"> has focused on:</w:t>
      </w:r>
    </w:p>
    <w:p w14:paraId="1E359389" w14:textId="77777777" w:rsidR="00631085" w:rsidRDefault="00631085" w:rsidP="00631085">
      <w:pPr>
        <w:pStyle w:val="ListBullet"/>
      </w:pPr>
      <w:r>
        <w:t>developing Queensland's digital professional workforce</w:t>
      </w:r>
    </w:p>
    <w:p w14:paraId="0869A7B8" w14:textId="77777777" w:rsidR="00631085" w:rsidRDefault="00631085" w:rsidP="00631085">
      <w:pPr>
        <w:pStyle w:val="ListBullet"/>
      </w:pPr>
      <w:r>
        <w:t>widening the</w:t>
      </w:r>
      <w:r w:rsidRPr="003E7691">
        <w:t xml:space="preserve"> digital workforce pipeline by skilling, reskilling and upskilling Queenslanders entering the workforce</w:t>
      </w:r>
    </w:p>
    <w:p w14:paraId="5853F31E" w14:textId="77777777" w:rsidR="00631085" w:rsidRDefault="00631085" w:rsidP="00631085">
      <w:pPr>
        <w:pStyle w:val="ListBullet"/>
      </w:pPr>
      <w:r w:rsidRPr="006754A6">
        <w:t>enhanc</w:t>
      </w:r>
      <w:r>
        <w:t xml:space="preserve">ing </w:t>
      </w:r>
      <w:r w:rsidRPr="006754A6">
        <w:t>and strengthen</w:t>
      </w:r>
      <w:r>
        <w:t>ing</w:t>
      </w:r>
      <w:r w:rsidRPr="006754A6">
        <w:t xml:space="preserve"> regional Queensland’s digital professional workforce</w:t>
      </w:r>
    </w:p>
    <w:p w14:paraId="27A2A55C" w14:textId="77777777" w:rsidR="00631085" w:rsidRDefault="00631085" w:rsidP="00631085">
      <w:pPr>
        <w:pStyle w:val="ListBullet"/>
      </w:pPr>
      <w:r w:rsidRPr="006754A6">
        <w:t>provid</w:t>
      </w:r>
      <w:r>
        <w:t>ing</w:t>
      </w:r>
      <w:r w:rsidRPr="006754A6">
        <w:t xml:space="preserve"> collaborative and strategic leadership to ensure Queensland has a workforce of cutting-edge digital professionals</w:t>
      </w:r>
      <w:r>
        <w:t>.</w:t>
      </w:r>
    </w:p>
    <w:p w14:paraId="25AE7DA2" w14:textId="77777777" w:rsidR="00631085" w:rsidRPr="00244FA9" w:rsidRDefault="00631085" w:rsidP="00631085">
      <w:pPr>
        <w:pStyle w:val="Heading2"/>
      </w:pPr>
      <w:r w:rsidRPr="00244FA9">
        <w:t xml:space="preserve">Cyber resilience </w:t>
      </w:r>
    </w:p>
    <w:p w14:paraId="6F2D017B" w14:textId="0130647B" w:rsidR="008D76C3" w:rsidRPr="00EC1C36" w:rsidRDefault="00631085" w:rsidP="00EC1C36">
      <w:r w:rsidRPr="00244FA9">
        <w:t xml:space="preserve">Effective cyber security is essential for efficient delivery of </w:t>
      </w:r>
      <w:r>
        <w:t>g</w:t>
      </w:r>
      <w:r w:rsidRPr="00244FA9">
        <w:t xml:space="preserve">overnment services and a productive </w:t>
      </w:r>
      <w:r>
        <w:t>s</w:t>
      </w:r>
      <w:r w:rsidRPr="00244FA9">
        <w:t xml:space="preserve">tate. The </w:t>
      </w:r>
      <w:r>
        <w:t>QGCDG's Cyber Security Unit (CSU)</w:t>
      </w:r>
      <w:r w:rsidRPr="00244FA9">
        <w:t xml:space="preserve"> is focused on strengthening whole</w:t>
      </w:r>
      <w:r>
        <w:t>-</w:t>
      </w:r>
      <w:r w:rsidRPr="00244FA9">
        <w:t>of</w:t>
      </w:r>
      <w:r>
        <w:t>-</w:t>
      </w:r>
      <w:r w:rsidRPr="00244FA9">
        <w:t>government cyber security capability by ensuring effective cyber governance, enhancing cyber skills</w:t>
      </w:r>
      <w:r>
        <w:t>,</w:t>
      </w:r>
      <w:r w:rsidRPr="00244FA9">
        <w:t xml:space="preserve"> and providing advanced defence capabilities to better protect government and Queenslanders.</w:t>
      </w:r>
    </w:p>
    <w:p w14:paraId="01AA8922" w14:textId="77777777" w:rsidR="00783C81" w:rsidRDefault="00783C81">
      <w:pPr>
        <w:spacing w:before="0" w:after="160" w:line="259" w:lineRule="auto"/>
        <w:rPr>
          <w:rFonts w:eastAsiaTheme="majorEastAsia" w:cstheme="majorBidi"/>
          <w:b/>
          <w:color w:val="000000" w:themeColor="text1"/>
          <w:sz w:val="52"/>
          <w:szCs w:val="32"/>
        </w:rPr>
      </w:pPr>
      <w:r>
        <w:br w:type="page"/>
      </w:r>
    </w:p>
    <w:p w14:paraId="574DCA38" w14:textId="6FBEB173" w:rsidR="0041147E" w:rsidRDefault="0041147E" w:rsidP="00A53E9C">
      <w:pPr>
        <w:pStyle w:val="Heading1"/>
      </w:pPr>
      <w:r>
        <w:lastRenderedPageBreak/>
        <w:t>Looking ahead</w:t>
      </w:r>
    </w:p>
    <w:p w14:paraId="5E53AB7F" w14:textId="77777777" w:rsidR="0041147E" w:rsidRPr="00BF254C" w:rsidRDefault="0041147E" w:rsidP="0041147E">
      <w:r w:rsidRPr="00BF254C">
        <w:t xml:space="preserve">In 2023–24, </w:t>
      </w:r>
      <w:r>
        <w:t>TMR</w:t>
      </w:r>
      <w:r w:rsidRPr="00BF254C">
        <w:t xml:space="preserve"> will: </w:t>
      </w:r>
    </w:p>
    <w:p w14:paraId="4AE70938" w14:textId="77777777" w:rsidR="0041147E" w:rsidRPr="00E21C49" w:rsidRDefault="0041147E" w:rsidP="0041147E">
      <w:pPr>
        <w:pStyle w:val="ListBullet"/>
      </w:pPr>
      <w:r w:rsidRPr="00E21C49">
        <w:t>continue to implement the Queensland Train Manufacturing Program which will build 65 new six-car passenger trains at a purpose-built manufacturing facility at Torbanlea, supporting jobs in the Maryborough region</w:t>
      </w:r>
    </w:p>
    <w:p w14:paraId="1C597A45" w14:textId="77777777" w:rsidR="0041147E" w:rsidRPr="00E21C49" w:rsidRDefault="0041147E" w:rsidP="0041147E">
      <w:pPr>
        <w:pStyle w:val="ListBullet"/>
      </w:pPr>
      <w:r>
        <w:t>c</w:t>
      </w:r>
      <w:r w:rsidRPr="00E21C49">
        <w:t xml:space="preserve">ontinue to implement the </w:t>
      </w:r>
      <w:r w:rsidRPr="006510A4">
        <w:rPr>
          <w:rStyle w:val="Emphasis"/>
        </w:rPr>
        <w:t>Queensland Road Safety Strategy 2022–31</w:t>
      </w:r>
      <w:r w:rsidRPr="00E21C49">
        <w:t xml:space="preserve"> and supporting Action Plan 2022–24, taking a whole of system approach to reducing road trauma</w:t>
      </w:r>
    </w:p>
    <w:p w14:paraId="2FB46323" w14:textId="77777777" w:rsidR="0041147E" w:rsidRPr="00E21C49" w:rsidRDefault="0041147E" w:rsidP="0041147E">
      <w:pPr>
        <w:pStyle w:val="ListBullet"/>
      </w:pPr>
      <w:r>
        <w:t xml:space="preserve">continue to implement the </w:t>
      </w:r>
      <w:r w:rsidRPr="00F5263A">
        <w:rPr>
          <w:rStyle w:val="Emphasis"/>
        </w:rPr>
        <w:t>Queensland Zero Emission Vehicle Strategy 2022–32</w:t>
      </w:r>
      <w:r w:rsidRPr="00E21C49">
        <w:t xml:space="preserve"> for a cleaner, greener transport system by delivering more</w:t>
      </w:r>
      <w:r>
        <w:t xml:space="preserve"> EV</w:t>
      </w:r>
      <w:r w:rsidRPr="00E21C49">
        <w:t xml:space="preserve"> charging infrastructure across the state</w:t>
      </w:r>
    </w:p>
    <w:p w14:paraId="364C06CA" w14:textId="77777777" w:rsidR="0041147E" w:rsidRPr="00E21C49" w:rsidRDefault="0041147E" w:rsidP="0041147E">
      <w:pPr>
        <w:pStyle w:val="ListBullet"/>
      </w:pPr>
      <w:r w:rsidRPr="00E21C49">
        <w:t>continue to implement 'Backing Queensland Maritime Jobs’ which aims to revitalise and strengthen coastal shipping to assist economic growth and create strategically important maritime jobs and training opportunities in Queensland</w:t>
      </w:r>
    </w:p>
    <w:p w14:paraId="1DAD3B64" w14:textId="77777777" w:rsidR="0041147E" w:rsidRPr="00E21C49" w:rsidRDefault="0041147E" w:rsidP="0041147E">
      <w:pPr>
        <w:pStyle w:val="ListBullet"/>
      </w:pPr>
      <w:r w:rsidRPr="00E21C49">
        <w:t>progressively expand the Smart Ticketing system across all modes of public transport</w:t>
      </w:r>
    </w:p>
    <w:p w14:paraId="19CC3429" w14:textId="77777777" w:rsidR="0041147E" w:rsidRPr="00E21C49" w:rsidRDefault="0041147E" w:rsidP="0041147E">
      <w:pPr>
        <w:pStyle w:val="ListBullet"/>
      </w:pPr>
      <w:r w:rsidRPr="00E21C49">
        <w:t xml:space="preserve">implement and deliver on actions set out in the </w:t>
      </w:r>
      <w:r w:rsidRPr="007918EE">
        <w:rPr>
          <w:rStyle w:val="Emphasis"/>
        </w:rPr>
        <w:t>Accessibility and Inclusion Plan 2023–24</w:t>
      </w:r>
      <w:r w:rsidRPr="00E21C49">
        <w:t xml:space="preserve"> to </w:t>
      </w:r>
      <w:r>
        <w:t xml:space="preserve">ensure everyone has access </w:t>
      </w:r>
      <w:r w:rsidRPr="00E21C49">
        <w:t>t</w:t>
      </w:r>
      <w:r>
        <w:t>o</w:t>
      </w:r>
      <w:r w:rsidRPr="00E21C49">
        <w:t xml:space="preserve"> the full range of services and products of the transport network </w:t>
      </w:r>
    </w:p>
    <w:p w14:paraId="49F9D1A6" w14:textId="77777777" w:rsidR="0041147E" w:rsidRPr="00E21C49" w:rsidRDefault="0041147E" w:rsidP="0041147E">
      <w:pPr>
        <w:pStyle w:val="ListBullet"/>
      </w:pPr>
      <w:r w:rsidRPr="00E21C49">
        <w:t>continue to rollout Queensland's first Digital Licence app statewide that will provide a convenient, safe</w:t>
      </w:r>
      <w:r>
        <w:t>,</w:t>
      </w:r>
      <w:r w:rsidRPr="00E21C49">
        <w:t xml:space="preserve"> and secure way for individuals to digitally store, share</w:t>
      </w:r>
      <w:r>
        <w:t>,</w:t>
      </w:r>
      <w:r w:rsidRPr="00E21C49">
        <w:t xml:space="preserve"> and validate their identity </w:t>
      </w:r>
    </w:p>
    <w:p w14:paraId="0FECB575" w14:textId="77777777" w:rsidR="0041147E" w:rsidRPr="00E21C49" w:rsidRDefault="0041147E" w:rsidP="0041147E">
      <w:pPr>
        <w:pStyle w:val="ListBullet"/>
      </w:pPr>
      <w:r>
        <w:t xml:space="preserve">develop and implement the </w:t>
      </w:r>
      <w:r w:rsidRPr="00164A75">
        <w:rPr>
          <w:rStyle w:val="Emphasis"/>
        </w:rPr>
        <w:t>Queensland Freight Action Plan 2023–25</w:t>
      </w:r>
      <w:r w:rsidRPr="00E21C49">
        <w:t xml:space="preserve"> in partnership with key government and industry stakeholders </w:t>
      </w:r>
    </w:p>
    <w:p w14:paraId="06FA0F6A" w14:textId="77777777" w:rsidR="0041147E" w:rsidRPr="00E21C49" w:rsidRDefault="0041147E" w:rsidP="0041147E">
      <w:pPr>
        <w:pStyle w:val="ListBullet"/>
      </w:pPr>
      <w:r>
        <w:t xml:space="preserve">implement a freight funding package for the Northern Peninsula, Torres Strait, Cape York, and Gulf regions to help ease cost of living pressures </w:t>
      </w:r>
    </w:p>
    <w:p w14:paraId="422E1B0B" w14:textId="77777777" w:rsidR="0041147E" w:rsidRPr="00E21C49" w:rsidRDefault="0041147E" w:rsidP="0041147E">
      <w:pPr>
        <w:pStyle w:val="ListBullet"/>
      </w:pPr>
      <w:r w:rsidRPr="00E21C49">
        <w:t>continue to implement major rail upgrade projects including Beerburrum to Nambour Stage 1 and the Logan and Gold Coast Faster Rail to accommodate future population and patronage growth and deliver sustainable transport services</w:t>
      </w:r>
    </w:p>
    <w:p w14:paraId="7DD03E0C" w14:textId="77777777" w:rsidR="0041147E" w:rsidRPr="00E21C49" w:rsidRDefault="0041147E" w:rsidP="0041147E">
      <w:pPr>
        <w:pStyle w:val="ListBullet"/>
      </w:pPr>
      <w:r w:rsidRPr="00E21C49">
        <w:t>construct Stage 1 of the Coomera Connector, South East Queensland’s largest road infrastructure project</w:t>
      </w:r>
      <w:r>
        <w:t>,</w:t>
      </w:r>
      <w:r w:rsidRPr="00E21C49">
        <w:t xml:space="preserve"> jointly funded by the Australian and Queensland </w:t>
      </w:r>
      <w:r>
        <w:t>g</w:t>
      </w:r>
      <w:r w:rsidRPr="00E21C49">
        <w:t xml:space="preserve">overnments, which will reduce pressure on the </w:t>
      </w:r>
      <w:r>
        <w:t>Pacific Motorway (</w:t>
      </w:r>
      <w:r w:rsidRPr="00E21C49">
        <w:t>M1</w:t>
      </w:r>
      <w:r>
        <w:t>)</w:t>
      </w:r>
      <w:r w:rsidRPr="00E21C49">
        <w:t xml:space="preserve"> by providing an alternative route for the growing communities and commercial hubs of Helensvale and Coomera</w:t>
      </w:r>
    </w:p>
    <w:p w14:paraId="38E95662" w14:textId="77777777" w:rsidR="0041147E" w:rsidRPr="00E21C49" w:rsidRDefault="0041147E" w:rsidP="0041147E">
      <w:pPr>
        <w:pStyle w:val="ListBullet"/>
      </w:pPr>
      <w:bookmarkStart w:id="3" w:name="_Hlk136250924"/>
      <w:r w:rsidRPr="00E21C49">
        <w:t xml:space="preserve">implement the Queensland Digital Economy Strategy by continuing delivery of the $200 million </w:t>
      </w:r>
      <w:r w:rsidRPr="006855FD">
        <w:rPr>
          <w:rStyle w:val="Emphasis"/>
        </w:rPr>
        <w:t xml:space="preserve">Our Thriving Digital Future: </w:t>
      </w:r>
      <w:r>
        <w:rPr>
          <w:rStyle w:val="Emphasis"/>
        </w:rPr>
        <w:t>Queensland's Digital Economy Strategy</w:t>
      </w:r>
      <w:r>
        <w:t xml:space="preserve"> to:</w:t>
      </w:r>
    </w:p>
    <w:bookmarkEnd w:id="3"/>
    <w:p w14:paraId="6AA3C989" w14:textId="77777777" w:rsidR="0041147E" w:rsidRPr="00E21C49" w:rsidRDefault="0041147E" w:rsidP="0041147E">
      <w:pPr>
        <w:pStyle w:val="ListBullet2"/>
      </w:pPr>
      <w:r w:rsidRPr="00E21C49">
        <w:t>enhance digital government services, including qld.gov.au, and continue integration with in-person support and other assisted channels</w:t>
      </w:r>
    </w:p>
    <w:p w14:paraId="2877881A" w14:textId="77777777" w:rsidR="0041147E" w:rsidRPr="00E21C49" w:rsidRDefault="0041147E" w:rsidP="0041147E">
      <w:pPr>
        <w:pStyle w:val="ListBullet2"/>
      </w:pPr>
      <w:r w:rsidRPr="00E21C49">
        <w:t>continue to work with the Australian Government and telecommunication providers to improve connectivity across Queensland through programs such as the Regional Connectivity Program and Mobile Black Spot Program</w:t>
      </w:r>
    </w:p>
    <w:p w14:paraId="0CAD268A" w14:textId="77777777" w:rsidR="0041147E" w:rsidRPr="00E21C49" w:rsidRDefault="0041147E" w:rsidP="0041147E">
      <w:pPr>
        <w:pStyle w:val="ListBullet2"/>
      </w:pPr>
      <w:r w:rsidRPr="00E21C49">
        <w:t>continue to support activities that promote digital access, affordability, and digital inclusion, including the development of a First Nations digital strategic plan and a statewide digital inclusion strategic plan</w:t>
      </w:r>
    </w:p>
    <w:p w14:paraId="70E6EDC0" w14:textId="388B733D" w:rsidR="00EC1C36" w:rsidRDefault="0041147E" w:rsidP="00EC1C36">
      <w:pPr>
        <w:pStyle w:val="ListBullet2"/>
      </w:pPr>
      <w:r w:rsidRPr="003817D3">
        <w:t>continue to support an uplift in the cyber security preparedness of Queensland Government entities through QGCDG's program of cyber security services and assistance.</w:t>
      </w:r>
    </w:p>
    <w:p w14:paraId="02B01C9B" w14:textId="77777777" w:rsidR="00783C81" w:rsidRDefault="00783C81">
      <w:pPr>
        <w:spacing w:before="0" w:after="160" w:line="259" w:lineRule="auto"/>
        <w:rPr>
          <w:rFonts w:eastAsiaTheme="majorEastAsia" w:cstheme="majorBidi"/>
          <w:b/>
          <w:color w:val="000000" w:themeColor="text1"/>
          <w:sz w:val="52"/>
          <w:szCs w:val="32"/>
        </w:rPr>
      </w:pPr>
      <w:r>
        <w:br w:type="page"/>
      </w:r>
    </w:p>
    <w:p w14:paraId="05D5DB9F" w14:textId="065B96AD" w:rsidR="000422F2" w:rsidRDefault="000422F2" w:rsidP="00A53E9C">
      <w:pPr>
        <w:pStyle w:val="Heading1"/>
      </w:pPr>
      <w:r>
        <w:lastRenderedPageBreak/>
        <w:t xml:space="preserve">Fast Facts </w:t>
      </w:r>
    </w:p>
    <w:p w14:paraId="493D798A" w14:textId="5DF44A07" w:rsidR="00E80D1A" w:rsidRDefault="006D6DD2" w:rsidP="00AF0EC5">
      <w:r>
        <w:t xml:space="preserve">Date as at 30 June 2023 </w:t>
      </w:r>
    </w:p>
    <w:p w14:paraId="59A730A1" w14:textId="3726EAC8" w:rsidR="006D6DD2" w:rsidRDefault="006D6DD2" w:rsidP="006D6DD2">
      <w:pPr>
        <w:pStyle w:val="ListBullet"/>
      </w:pPr>
      <w:r>
        <w:t>$</w:t>
      </w:r>
      <w:r w:rsidR="00440704">
        <w:t xml:space="preserve">7.24 Billion Total investments in transport infrastructure program </w:t>
      </w:r>
    </w:p>
    <w:p w14:paraId="70471F0B" w14:textId="0F7C34FD" w:rsidR="00440704" w:rsidRDefault="00440704" w:rsidP="006D6DD2">
      <w:pPr>
        <w:pStyle w:val="ListBullet"/>
      </w:pPr>
      <w:r>
        <w:t xml:space="preserve">$1.29 Billion </w:t>
      </w:r>
      <w:r w:rsidR="00C3671C">
        <w:t xml:space="preserve">Maintenance and operation of the state transport network </w:t>
      </w:r>
    </w:p>
    <w:p w14:paraId="2717403E" w14:textId="1E47DD95" w:rsidR="00C3671C" w:rsidRDefault="00C3671C" w:rsidP="006D6DD2">
      <w:pPr>
        <w:pStyle w:val="ListBullet"/>
      </w:pPr>
      <w:r>
        <w:t xml:space="preserve">5.38 Million Population in Queensland </w:t>
      </w:r>
    </w:p>
    <w:p w14:paraId="623AD371" w14:textId="073DBC62" w:rsidR="00C3671C" w:rsidRDefault="00C3671C" w:rsidP="006D6DD2">
      <w:pPr>
        <w:pStyle w:val="ListBullet"/>
      </w:pPr>
      <w:r>
        <w:t xml:space="preserve">2.22 per cent Population growth from last year </w:t>
      </w:r>
    </w:p>
    <w:p w14:paraId="0DDF2E16" w14:textId="4D8EA4FC" w:rsidR="00C3671C" w:rsidRDefault="00E3688D" w:rsidP="006D6DD2">
      <w:pPr>
        <w:pStyle w:val="ListBullet"/>
      </w:pPr>
      <w:r>
        <w:t>$</w:t>
      </w:r>
      <w:r w:rsidR="005E6E62">
        <w:t xml:space="preserve">227 Million Expenditure on natural disaster repairs </w:t>
      </w:r>
    </w:p>
    <w:p w14:paraId="10B70AF1" w14:textId="0F83EDDA" w:rsidR="005E6E62" w:rsidRDefault="005E6E62" w:rsidP="006D6DD2">
      <w:pPr>
        <w:pStyle w:val="ListBullet"/>
      </w:pPr>
      <w:r>
        <w:t>140.11 Kilometres Of roads reconstructed through Natural Disaster Program 2022</w:t>
      </w:r>
      <w:r w:rsidR="00240CB7">
        <w:t>–23</w:t>
      </w:r>
    </w:p>
    <w:p w14:paraId="1E4EF138" w14:textId="262FD992" w:rsidR="00240CB7" w:rsidRDefault="00240CB7" w:rsidP="006D6DD2">
      <w:pPr>
        <w:pStyle w:val="ListBullet"/>
      </w:pPr>
      <w:r>
        <w:t>38,436 Kilometres State-con</w:t>
      </w:r>
      <w:r w:rsidR="008A43C1">
        <w:t xml:space="preserve">trolled roads including 5052 kilometres national network </w:t>
      </w:r>
    </w:p>
    <w:p w14:paraId="4F5D53E4" w14:textId="7E45C492" w:rsidR="008A43C1" w:rsidRDefault="008A43C1" w:rsidP="006D6DD2">
      <w:pPr>
        <w:pStyle w:val="ListBullet"/>
      </w:pPr>
      <w:r>
        <w:t xml:space="preserve">3180 Bridges owned and maintained </w:t>
      </w:r>
    </w:p>
    <w:p w14:paraId="086EA895" w14:textId="0CF2E08E" w:rsidR="008A43C1" w:rsidRDefault="008A43C1" w:rsidP="006D6DD2">
      <w:pPr>
        <w:pStyle w:val="ListBullet"/>
      </w:pPr>
      <w:r>
        <w:t xml:space="preserve">More than </w:t>
      </w:r>
      <w:r w:rsidR="00E9530E">
        <w:t>153.26 Mil</w:t>
      </w:r>
      <w:r w:rsidR="00693C8E">
        <w:t>lion</w:t>
      </w:r>
      <w:r w:rsidR="00E9530E">
        <w:t xml:space="preserve"> Passenger trips on bus, rail, ferry and tram were provided to our </w:t>
      </w:r>
      <w:r w:rsidR="00693C8E">
        <w:t xml:space="preserve">customers within South East Queensland </w:t>
      </w:r>
    </w:p>
    <w:p w14:paraId="1BF1E408" w14:textId="0C9751D9" w:rsidR="00693C8E" w:rsidRDefault="00FA0F1D" w:rsidP="006D6DD2">
      <w:pPr>
        <w:pStyle w:val="ListBullet"/>
      </w:pPr>
      <w:r>
        <w:t xml:space="preserve">419,885 Average number of passenger trips per day on the South East Queensland network </w:t>
      </w:r>
    </w:p>
    <w:p w14:paraId="392C9C7A" w14:textId="7BC2270D" w:rsidR="00FA0F1D" w:rsidRDefault="00FA0F1D" w:rsidP="006D6DD2">
      <w:pPr>
        <w:pStyle w:val="ListBullet"/>
      </w:pPr>
      <w:r>
        <w:t xml:space="preserve">More than 12.05 Million Passenger trips on bus, rail, ferry and air outside South East Queensland </w:t>
      </w:r>
    </w:p>
    <w:p w14:paraId="44203F39" w14:textId="1C8CBD3E" w:rsidR="00FA0F1D" w:rsidRDefault="00FA0F1D" w:rsidP="006D6DD2">
      <w:pPr>
        <w:pStyle w:val="ListBullet"/>
      </w:pPr>
      <w:r>
        <w:t xml:space="preserve">More than 1.2 Million Passenger trips provided through the Taxi Subsidy Scheme </w:t>
      </w:r>
    </w:p>
    <w:p w14:paraId="3DA29612" w14:textId="7F36D9ED" w:rsidR="00D92BA5" w:rsidRDefault="00734837" w:rsidP="006D6DD2">
      <w:pPr>
        <w:pStyle w:val="ListBullet"/>
      </w:pPr>
      <w:r>
        <w:t xml:space="preserve">More than 351,465 My Translink app active monthly users </w:t>
      </w:r>
    </w:p>
    <w:p w14:paraId="2C09D787" w14:textId="413AF15A" w:rsidR="00BC49BB" w:rsidRDefault="00BC49BB" w:rsidP="006D6DD2">
      <w:pPr>
        <w:pStyle w:val="ListBullet"/>
      </w:pPr>
      <w:r>
        <w:t xml:space="preserve">2,695,683 </w:t>
      </w:r>
      <w:r w:rsidRPr="00BC49BB">
        <w:rPr>
          <w:rStyle w:val="Emphasis"/>
        </w:rPr>
        <w:t>go</w:t>
      </w:r>
      <w:r>
        <w:t xml:space="preserve"> cards used in South East Queensland </w:t>
      </w:r>
    </w:p>
    <w:p w14:paraId="638034E9" w14:textId="14DFB56F" w:rsidR="00BC49BB" w:rsidRDefault="00BC49BB" w:rsidP="006D6DD2">
      <w:pPr>
        <w:pStyle w:val="ListBullet"/>
      </w:pPr>
      <w:r>
        <w:t xml:space="preserve">37,917 </w:t>
      </w:r>
      <w:r w:rsidRPr="00BC49BB">
        <w:rPr>
          <w:rStyle w:val="Strong"/>
        </w:rPr>
        <w:t>QLD</w:t>
      </w:r>
      <w:r w:rsidRPr="00BC49BB">
        <w:rPr>
          <w:rStyle w:val="Emphasis"/>
        </w:rPr>
        <w:t xml:space="preserve">Traffic </w:t>
      </w:r>
      <w:r>
        <w:t>Twitter posts</w:t>
      </w:r>
    </w:p>
    <w:p w14:paraId="5AD5DDB3" w14:textId="362DAAAD" w:rsidR="00BC49BB" w:rsidRDefault="00BC49BB" w:rsidP="006D6DD2">
      <w:pPr>
        <w:pStyle w:val="ListBullet"/>
      </w:pPr>
      <w:r>
        <w:t>66,</w:t>
      </w:r>
      <w:r w:rsidR="005F41F8">
        <w:t xml:space="preserve">483 Downloads for </w:t>
      </w:r>
      <w:r w:rsidR="005F41F8" w:rsidRPr="00BC49BB">
        <w:rPr>
          <w:rStyle w:val="Strong"/>
        </w:rPr>
        <w:t>QLD</w:t>
      </w:r>
      <w:r w:rsidR="005F41F8" w:rsidRPr="00BC49BB">
        <w:rPr>
          <w:rStyle w:val="Emphasis"/>
        </w:rPr>
        <w:t>Traffic</w:t>
      </w:r>
      <w:r w:rsidR="005F41F8">
        <w:rPr>
          <w:rStyle w:val="Emphasis"/>
        </w:rPr>
        <w:t xml:space="preserve"> </w:t>
      </w:r>
      <w:r w:rsidR="005F41F8" w:rsidRPr="005F41F8">
        <w:t>app</w:t>
      </w:r>
    </w:p>
    <w:p w14:paraId="7A60C724" w14:textId="2859E75B" w:rsidR="005F41F8" w:rsidRDefault="005F41F8" w:rsidP="006D6DD2">
      <w:pPr>
        <w:pStyle w:val="ListBullet"/>
      </w:pPr>
      <w:r>
        <w:t xml:space="preserve">2.2 Million </w:t>
      </w:r>
      <w:r w:rsidRPr="00BC49BB">
        <w:rPr>
          <w:rStyle w:val="Strong"/>
        </w:rPr>
        <w:t>QLD</w:t>
      </w:r>
      <w:r w:rsidRPr="00BC49BB">
        <w:rPr>
          <w:rStyle w:val="Emphasis"/>
        </w:rPr>
        <w:t>Traffic</w:t>
      </w:r>
      <w:r>
        <w:t xml:space="preserve"> website visi</w:t>
      </w:r>
      <w:r w:rsidR="00DB26E7">
        <w:t xml:space="preserve">ts </w:t>
      </w:r>
    </w:p>
    <w:p w14:paraId="28D63AD3" w14:textId="5781D3E4" w:rsidR="002371E3" w:rsidRDefault="002371E3" w:rsidP="006D6DD2">
      <w:pPr>
        <w:pStyle w:val="ListBullet"/>
      </w:pPr>
      <w:r>
        <w:t xml:space="preserve">28,474 Gold </w:t>
      </w:r>
      <w:r w:rsidR="00436D35">
        <w:t xml:space="preserve">Coast tram daily passengers </w:t>
      </w:r>
    </w:p>
    <w:p w14:paraId="72F854BA" w14:textId="51AAEC50" w:rsidR="00436D35" w:rsidRDefault="00436D35" w:rsidP="006D6DD2">
      <w:pPr>
        <w:pStyle w:val="ListBullet"/>
      </w:pPr>
      <w:r>
        <w:t>$</w:t>
      </w:r>
      <w:r w:rsidR="009906C6">
        <w:t xml:space="preserve">9.88 Average subsidy per trip provided through Taxi Subsidy Scheme </w:t>
      </w:r>
    </w:p>
    <w:p w14:paraId="05490687" w14:textId="79651E1C" w:rsidR="009906C6" w:rsidRDefault="002638F7" w:rsidP="006D6DD2">
      <w:pPr>
        <w:pStyle w:val="ListBullet"/>
      </w:pPr>
      <w:r>
        <w:t>482 Limousine licences</w:t>
      </w:r>
    </w:p>
    <w:p w14:paraId="55C15E86" w14:textId="5E10E569" w:rsidR="002638F7" w:rsidRDefault="002638F7" w:rsidP="006D6DD2">
      <w:pPr>
        <w:pStyle w:val="ListBullet"/>
      </w:pPr>
      <w:r>
        <w:t xml:space="preserve">3248 Taxi Service licences </w:t>
      </w:r>
    </w:p>
    <w:p w14:paraId="7361EE16" w14:textId="19FB78BC" w:rsidR="00521486" w:rsidRDefault="00521486" w:rsidP="006D6DD2">
      <w:pPr>
        <w:pStyle w:val="ListBullet"/>
      </w:pPr>
      <w:r>
        <w:t xml:space="preserve">520 Authorised booking entities </w:t>
      </w:r>
    </w:p>
    <w:p w14:paraId="21D8C513" w14:textId="55603843" w:rsidR="00521486" w:rsidRDefault="00521486" w:rsidP="006D6DD2">
      <w:pPr>
        <w:pStyle w:val="ListBullet"/>
      </w:pPr>
      <w:r>
        <w:t xml:space="preserve">17,568 Booked hire service licences </w:t>
      </w:r>
    </w:p>
    <w:p w14:paraId="30C4B208" w14:textId="261D3EC9" w:rsidR="00521486" w:rsidRDefault="00521486" w:rsidP="006D6DD2">
      <w:pPr>
        <w:pStyle w:val="ListBullet"/>
      </w:pPr>
      <w:r>
        <w:t>54,287</w:t>
      </w:r>
      <w:r w:rsidR="004E0A35">
        <w:t xml:space="preserve"> Authorised Drivers of public transport </w:t>
      </w:r>
    </w:p>
    <w:p w14:paraId="1B22AB79" w14:textId="63766127" w:rsidR="004E0A35" w:rsidRDefault="004E0A35" w:rsidP="006D6DD2">
      <w:pPr>
        <w:pStyle w:val="ListBullet"/>
      </w:pPr>
      <w:r>
        <w:t xml:space="preserve">1257 Accredited transport operators </w:t>
      </w:r>
    </w:p>
    <w:p w14:paraId="16E68DF7" w14:textId="6EF2274E" w:rsidR="004E0A35" w:rsidRDefault="004E0A35" w:rsidP="006D6DD2">
      <w:pPr>
        <w:pStyle w:val="ListBullet"/>
      </w:pPr>
      <w:r>
        <w:t xml:space="preserve">44 Queensland Electric Super Highway Charging Sites </w:t>
      </w:r>
    </w:p>
    <w:p w14:paraId="181C9AC8" w14:textId="2E3F75C4" w:rsidR="004E0A35" w:rsidRDefault="004E0A35" w:rsidP="006D6DD2">
      <w:pPr>
        <w:pStyle w:val="ListBullet"/>
      </w:pPr>
      <w:r>
        <w:t xml:space="preserve">24,476 Queensland electric vehicle registrations </w:t>
      </w:r>
    </w:p>
    <w:p w14:paraId="30D2D7E5" w14:textId="053C0A68" w:rsidR="004E0A35" w:rsidRDefault="00850D22" w:rsidP="006D6DD2">
      <w:pPr>
        <w:pStyle w:val="ListBullet"/>
      </w:pPr>
      <w:r>
        <w:t>$23.4 Billion Vendor payments through Queensland Shared Services</w:t>
      </w:r>
    </w:p>
    <w:p w14:paraId="0A1E32A8" w14:textId="443F8842" w:rsidR="00850D22" w:rsidRDefault="00850D22" w:rsidP="006D6DD2">
      <w:pPr>
        <w:pStyle w:val="ListBullet"/>
      </w:pPr>
      <w:r>
        <w:t xml:space="preserve">2 Million Employee pays made through Queensland Shared Services </w:t>
      </w:r>
    </w:p>
    <w:p w14:paraId="75F84085" w14:textId="77777777" w:rsidR="00640958" w:rsidRDefault="00850D22" w:rsidP="006D6DD2">
      <w:pPr>
        <w:pStyle w:val="ListBullet"/>
      </w:pPr>
      <w:r>
        <w:t xml:space="preserve">120.5 Million </w:t>
      </w:r>
      <w:r w:rsidR="00D250EA">
        <w:t>Smart Service Queensland customer interactions by phone, counter and online</w:t>
      </w:r>
    </w:p>
    <w:p w14:paraId="5648E845" w14:textId="40044708" w:rsidR="0019679C" w:rsidRDefault="00640958" w:rsidP="006D6DD2">
      <w:pPr>
        <w:pStyle w:val="ListBullet"/>
      </w:pPr>
      <w:r>
        <w:t xml:space="preserve">3334 Datasets </w:t>
      </w:r>
      <w:r w:rsidR="0019679C">
        <w:t xml:space="preserve">comprising 15,175 Files Number of Queensland Government open datasets available through the Open Data Portal, </w:t>
      </w:r>
      <w:hyperlink r:id="rId14" w:history="1">
        <w:r w:rsidR="0019679C" w:rsidRPr="002E0550">
          <w:rPr>
            <w:rStyle w:val="Hyperlink"/>
          </w:rPr>
          <w:t>https://www.data.qld.gov.au</w:t>
        </w:r>
      </w:hyperlink>
    </w:p>
    <w:p w14:paraId="751E036E" w14:textId="77777777" w:rsidR="0019679C" w:rsidRDefault="0019679C" w:rsidP="006D6DD2">
      <w:pPr>
        <w:pStyle w:val="ListBullet"/>
      </w:pPr>
      <w:r>
        <w:t xml:space="preserve">1.2 Million Citizen transactions provided by information brokerage </w:t>
      </w:r>
    </w:p>
    <w:p w14:paraId="4B5096C7" w14:textId="77777777" w:rsidR="0019679C" w:rsidRDefault="0019679C" w:rsidP="006D6DD2">
      <w:pPr>
        <w:pStyle w:val="ListBullet"/>
      </w:pPr>
      <w:r>
        <w:t xml:space="preserve">106,566 Queenslanders engaged with the digital career campaign </w:t>
      </w:r>
    </w:p>
    <w:p w14:paraId="017F256D" w14:textId="77777777" w:rsidR="0019679C" w:rsidRDefault="0019679C" w:rsidP="006D6DD2">
      <w:pPr>
        <w:pStyle w:val="ListBullet"/>
      </w:pPr>
      <w:r>
        <w:t xml:space="preserve">1 Million Recreational boat licences </w:t>
      </w:r>
    </w:p>
    <w:p w14:paraId="63D215C8" w14:textId="77777777" w:rsidR="0019679C" w:rsidRDefault="0019679C" w:rsidP="006D6DD2">
      <w:pPr>
        <w:pStyle w:val="ListBullet"/>
      </w:pPr>
      <w:r>
        <w:t xml:space="preserve">260,588 Personal watercraft licences </w:t>
      </w:r>
    </w:p>
    <w:p w14:paraId="16A34DA2" w14:textId="77777777" w:rsidR="0019679C" w:rsidRDefault="0019679C" w:rsidP="006D6DD2">
      <w:pPr>
        <w:pStyle w:val="ListBullet"/>
      </w:pPr>
      <w:r>
        <w:t xml:space="preserve">4 Million Driver licences </w:t>
      </w:r>
    </w:p>
    <w:p w14:paraId="2E27EEBE" w14:textId="77777777" w:rsidR="00EC7DAB" w:rsidRDefault="00EC7DAB" w:rsidP="006D6DD2">
      <w:pPr>
        <w:pStyle w:val="ListBullet"/>
      </w:pPr>
      <w:r>
        <w:t>240,038 Recreational boats registered</w:t>
      </w:r>
    </w:p>
    <w:p w14:paraId="12E88FE0" w14:textId="77777777" w:rsidR="00EC7DAB" w:rsidRDefault="00EC7DAB" w:rsidP="006D6DD2">
      <w:pPr>
        <w:pStyle w:val="ListBullet"/>
      </w:pPr>
      <w:r>
        <w:t xml:space="preserve">35,945 Personal watercraft registered </w:t>
      </w:r>
    </w:p>
    <w:p w14:paraId="7861851B" w14:textId="77777777" w:rsidR="006E0E07" w:rsidRDefault="00EC7DAB" w:rsidP="006D6DD2">
      <w:pPr>
        <w:pStyle w:val="ListBullet"/>
      </w:pPr>
      <w:r>
        <w:t xml:space="preserve">5.97 Million </w:t>
      </w:r>
      <w:r w:rsidR="006E0E07">
        <w:t xml:space="preserve">Vehicles registered </w:t>
      </w:r>
    </w:p>
    <w:p w14:paraId="2FE0F52D" w14:textId="77777777" w:rsidR="006E0E07" w:rsidRDefault="006E0E07" w:rsidP="006D6DD2">
      <w:pPr>
        <w:pStyle w:val="ListBullet"/>
      </w:pPr>
      <w:r>
        <w:t xml:space="preserve">336.63 Million Tonnes of cargo we helped our industry customers move through our 21 declared ports </w:t>
      </w:r>
    </w:p>
    <w:p w14:paraId="73E4B98F" w14:textId="77777777" w:rsidR="006E0E07" w:rsidRDefault="006E0E07" w:rsidP="006D6DD2">
      <w:pPr>
        <w:pStyle w:val="ListBullet"/>
      </w:pPr>
      <w:r>
        <w:lastRenderedPageBreak/>
        <w:t xml:space="preserve">951.5 Million Tonnes of freight moved on the surface network </w:t>
      </w:r>
    </w:p>
    <w:p w14:paraId="253DCBD5" w14:textId="77777777" w:rsidR="006E0E07" w:rsidRDefault="006E0E07" w:rsidP="006D6DD2">
      <w:pPr>
        <w:pStyle w:val="ListBullet"/>
      </w:pPr>
      <w:r>
        <w:t xml:space="preserve">109 Derelict vessels removed from Queensland waterways this year </w:t>
      </w:r>
    </w:p>
    <w:p w14:paraId="7DD8EE63" w14:textId="77777777" w:rsidR="006E0E07" w:rsidRDefault="006E0E07" w:rsidP="006D6DD2">
      <w:pPr>
        <w:pStyle w:val="ListBullet"/>
      </w:pPr>
      <w:r>
        <w:t xml:space="preserve">$11.4 Million Value of recreational boating facilities built this year </w:t>
      </w:r>
    </w:p>
    <w:p w14:paraId="2278F9B1" w14:textId="77777777" w:rsidR="006E0E07" w:rsidRDefault="006E0E07" w:rsidP="006D6DD2">
      <w:pPr>
        <w:pStyle w:val="ListBullet"/>
      </w:pPr>
      <w:r>
        <w:t xml:space="preserve">More than 23,725 Ship movements in Queensland ports </w:t>
      </w:r>
    </w:p>
    <w:p w14:paraId="1460CEBC" w14:textId="77777777" w:rsidR="006E0E07" w:rsidRDefault="006E0E07" w:rsidP="006D6DD2">
      <w:pPr>
        <w:pStyle w:val="ListBullet"/>
      </w:pPr>
      <w:r>
        <w:t xml:space="preserve">11,606 Ship movements in the ReefVTS monitored region </w:t>
      </w:r>
    </w:p>
    <w:p w14:paraId="483CB8FE" w14:textId="77777777" w:rsidR="006E0E07" w:rsidRDefault="006E0E07" w:rsidP="006D6DD2">
      <w:pPr>
        <w:pStyle w:val="ListBullet"/>
      </w:pPr>
      <w:r>
        <w:t xml:space="preserve">655 Kilometres Cycling infrastructure delivered through funding from the Active Transport Program </w:t>
      </w:r>
    </w:p>
    <w:p w14:paraId="5D78A994" w14:textId="77777777" w:rsidR="006E0E07" w:rsidRDefault="006E0E07" w:rsidP="006D6DD2">
      <w:pPr>
        <w:pStyle w:val="ListBullet"/>
      </w:pPr>
      <w:r>
        <w:t xml:space="preserve">16 Kilometres Of cycling infrastructure built this year </w:t>
      </w:r>
    </w:p>
    <w:p w14:paraId="3269539D" w14:textId="77777777" w:rsidR="008A541C" w:rsidRDefault="006E0E07" w:rsidP="006D6DD2">
      <w:pPr>
        <w:pStyle w:val="ListBullet"/>
      </w:pPr>
      <w:r>
        <w:t xml:space="preserve">$33.1 Million Investment in cycling and walking this year by Active Transport Program </w:t>
      </w:r>
    </w:p>
    <w:p w14:paraId="45CF8B3B" w14:textId="2BD9A2EC" w:rsidR="00850D22" w:rsidRDefault="008A541C" w:rsidP="006D6DD2">
      <w:pPr>
        <w:pStyle w:val="ListBullet"/>
      </w:pPr>
      <w:r>
        <w:t>140</w:t>
      </w:r>
      <w:r w:rsidR="00D876E4">
        <w:t>,</w:t>
      </w:r>
      <w:r>
        <w:t xml:space="preserve">848 Written driving tests conducted </w:t>
      </w:r>
      <w:r w:rsidR="00D250EA">
        <w:t xml:space="preserve"> </w:t>
      </w:r>
    </w:p>
    <w:p w14:paraId="19A1C4BA" w14:textId="08BB6947" w:rsidR="00D876E4" w:rsidRDefault="00D876E4" w:rsidP="006D6DD2">
      <w:pPr>
        <w:pStyle w:val="ListBullet"/>
      </w:pPr>
      <w:r>
        <w:t xml:space="preserve">168,700 Practical driving tests taken </w:t>
      </w:r>
    </w:p>
    <w:p w14:paraId="798D8492" w14:textId="6A68C38F" w:rsidR="00D876E4" w:rsidRDefault="00D876E4" w:rsidP="006D6DD2">
      <w:pPr>
        <w:pStyle w:val="ListBullet"/>
      </w:pPr>
      <w:r>
        <w:t xml:space="preserve">28,589 On-road intercepts </w:t>
      </w:r>
    </w:p>
    <w:p w14:paraId="128BDF42" w14:textId="46E3F7C1" w:rsidR="00231937" w:rsidRDefault="00231937" w:rsidP="006D6DD2">
      <w:pPr>
        <w:pStyle w:val="ListBullet"/>
      </w:pPr>
      <w:r>
        <w:t xml:space="preserve">34 Number of TMR-led Queensland Government Agency Programs </w:t>
      </w:r>
    </w:p>
    <w:p w14:paraId="69FFB8D0" w14:textId="04C35D45" w:rsidR="00231937" w:rsidRDefault="00AF2D5D" w:rsidP="006D6DD2">
      <w:pPr>
        <w:pStyle w:val="ListBullet"/>
      </w:pPr>
      <w:r>
        <w:t xml:space="preserve">10.3 Years Average length of service </w:t>
      </w:r>
    </w:p>
    <w:p w14:paraId="3CA9EEE8" w14:textId="7FC11F96" w:rsidR="00AF2D5D" w:rsidRDefault="00AF2D5D" w:rsidP="006D6DD2">
      <w:pPr>
        <w:pStyle w:val="ListBullet"/>
      </w:pPr>
      <w:r>
        <w:t xml:space="preserve">8 per cent Temporary </w:t>
      </w:r>
    </w:p>
    <w:p w14:paraId="3DA2B34F" w14:textId="02498463" w:rsidR="00AF2D5D" w:rsidRDefault="00AF2D5D" w:rsidP="006D6DD2">
      <w:pPr>
        <w:pStyle w:val="ListBullet"/>
      </w:pPr>
      <w:r>
        <w:t xml:space="preserve">17 per cent Casual </w:t>
      </w:r>
    </w:p>
    <w:p w14:paraId="18FA45B8" w14:textId="7906B0F8" w:rsidR="00AF2D5D" w:rsidRDefault="00AF2D5D" w:rsidP="006D6DD2">
      <w:pPr>
        <w:pStyle w:val="ListBullet"/>
      </w:pPr>
      <w:r>
        <w:t xml:space="preserve">75 per cent Permanent </w:t>
      </w:r>
    </w:p>
    <w:p w14:paraId="34A0E8A7" w14:textId="398D39FC" w:rsidR="00AF2D5D" w:rsidRDefault="00AF2D5D" w:rsidP="006D6DD2">
      <w:pPr>
        <w:pStyle w:val="ListBullet"/>
      </w:pPr>
      <w:r>
        <w:t xml:space="preserve">72 per cent Non-corporate roles </w:t>
      </w:r>
    </w:p>
    <w:p w14:paraId="78D4DC5E" w14:textId="713425B2" w:rsidR="00AF2D5D" w:rsidRDefault="00AF2D5D" w:rsidP="006D6DD2">
      <w:pPr>
        <w:pStyle w:val="ListBullet"/>
      </w:pPr>
      <w:r>
        <w:t xml:space="preserve">9438 Full-time equivalents </w:t>
      </w:r>
    </w:p>
    <w:p w14:paraId="558D3FFC" w14:textId="7D411F17" w:rsidR="00AF2D5D" w:rsidRDefault="00AF2D5D" w:rsidP="006D6DD2">
      <w:pPr>
        <w:pStyle w:val="ListBullet"/>
      </w:pPr>
      <w:r>
        <w:t xml:space="preserve">37 per cent Women in Leadership Roles </w:t>
      </w:r>
    </w:p>
    <w:p w14:paraId="6FE64B48" w14:textId="7391DBB7" w:rsidR="00AF2D5D" w:rsidRDefault="00AF2D5D" w:rsidP="006D6DD2">
      <w:pPr>
        <w:pStyle w:val="ListBullet"/>
      </w:pPr>
      <w:r>
        <w:t xml:space="preserve">3.7 Million Customers served face-to-face across our 91 Customer Service Centres </w:t>
      </w:r>
    </w:p>
    <w:p w14:paraId="68AFEBE5" w14:textId="367B499B" w:rsidR="0068093A" w:rsidRDefault="0068093A" w:rsidP="006D6DD2">
      <w:pPr>
        <w:pStyle w:val="ListBullet"/>
      </w:pPr>
      <w:r>
        <w:t xml:space="preserve">13.9 </w:t>
      </w:r>
      <w:r w:rsidR="00A875B5">
        <w:t xml:space="preserve">Million Customer transactions conducted using electronic self-service channels </w:t>
      </w:r>
    </w:p>
    <w:p w14:paraId="1211186C" w14:textId="4168D327" w:rsidR="00A875B5" w:rsidRDefault="00A875B5" w:rsidP="006D6DD2">
      <w:pPr>
        <w:pStyle w:val="ListBullet"/>
      </w:pPr>
      <w:r>
        <w:t xml:space="preserve">20.5 Million Total customer transactions. </w:t>
      </w:r>
    </w:p>
    <w:p w14:paraId="367FA680" w14:textId="77777777" w:rsidR="00631085" w:rsidRDefault="00631085" w:rsidP="00AF0EC5"/>
    <w:p w14:paraId="65C465EE" w14:textId="08009C77" w:rsidR="005D6008" w:rsidRDefault="005D6008">
      <w:pPr>
        <w:spacing w:before="0" w:after="160" w:line="259" w:lineRule="auto"/>
      </w:pPr>
      <w:r>
        <w:br w:type="page"/>
      </w:r>
    </w:p>
    <w:p w14:paraId="6E929155" w14:textId="77777777" w:rsidR="00805A93" w:rsidRDefault="00805A93" w:rsidP="00F221BC">
      <w:pPr>
        <w:pStyle w:val="Heading1"/>
      </w:pPr>
      <w:r>
        <w:lastRenderedPageBreak/>
        <w:t xml:space="preserve">Integrated </w:t>
      </w:r>
      <w:r w:rsidRPr="00F221BC">
        <w:t>Transport</w:t>
      </w:r>
      <w:r>
        <w:t xml:space="preserve"> Network</w:t>
      </w:r>
    </w:p>
    <w:p w14:paraId="07DE5ABA" w14:textId="77777777" w:rsidR="00805A93" w:rsidRDefault="00805A93" w:rsidP="00805A93">
      <w:pPr>
        <w:pStyle w:val="Heading2"/>
      </w:pPr>
      <w:r>
        <w:t>Highlights</w:t>
      </w:r>
    </w:p>
    <w:p w14:paraId="784B33F6" w14:textId="77777777" w:rsidR="00805A93" w:rsidRPr="00C52A46" w:rsidRDefault="00805A93" w:rsidP="00805A93">
      <w:pPr>
        <w:pStyle w:val="ListBullet"/>
      </w:pPr>
      <w:r w:rsidRPr="00C52A46">
        <w:t>Completed new boat launching facilities in Cairns and Inkerman Creek under the Maritime Infrastructure Investment Program.</w:t>
      </w:r>
    </w:p>
    <w:p w14:paraId="78154C84" w14:textId="77777777" w:rsidR="00805A93" w:rsidRPr="00C52A46" w:rsidRDefault="00805A93" w:rsidP="00805A93">
      <w:pPr>
        <w:pStyle w:val="ListBullet"/>
      </w:pPr>
      <w:r w:rsidRPr="00C52A46">
        <w:t>Released the Southern Sunshine Coast Public Transport Strategy, setting the vision for the region’s public transport system while protecting its natural environment and lifestyle.</w:t>
      </w:r>
    </w:p>
    <w:p w14:paraId="6425505F" w14:textId="77777777" w:rsidR="00805A93" w:rsidRPr="00C52A46" w:rsidRDefault="00805A93" w:rsidP="00805A93">
      <w:pPr>
        <w:pStyle w:val="ListBullet"/>
      </w:pPr>
      <w:r w:rsidRPr="00C52A46">
        <w:t>Commenced work on a Climate Change and Resilience Strategy, demonstrating commitment to address climate change and enhance resilience of the Queensland transport network.</w:t>
      </w:r>
    </w:p>
    <w:p w14:paraId="0689466D" w14:textId="77777777" w:rsidR="00805A93" w:rsidRPr="00C52A46" w:rsidRDefault="00805A93" w:rsidP="00805A93">
      <w:pPr>
        <w:pStyle w:val="ListBullet"/>
      </w:pPr>
      <w:r w:rsidRPr="00C52A46">
        <w:t>Queensland Rail delivered approximately 8000 weekly Citytrain services in South East Queensland, and approximately 76 weekly travel and tourism services in regional Queensland.</w:t>
      </w:r>
    </w:p>
    <w:p w14:paraId="5B5F6504" w14:textId="77777777" w:rsidR="00805A93" w:rsidRPr="00C52A46" w:rsidRDefault="00805A93" w:rsidP="00805A93">
      <w:pPr>
        <w:pStyle w:val="ListBullet"/>
      </w:pPr>
      <w:r w:rsidRPr="00C52A46">
        <w:t xml:space="preserve">Released </w:t>
      </w:r>
      <w:r w:rsidRPr="00CA6CE3">
        <w:rPr>
          <w:rStyle w:val="Emphasis"/>
        </w:rPr>
        <w:t>SEQ Rail Connect</w:t>
      </w:r>
      <w:r>
        <w:t xml:space="preserve">, </w:t>
      </w:r>
      <w:r w:rsidRPr="00C52A46">
        <w:t>a blueprint for how the rail network will be reshaped over the coming decade to meet future needs of the growing South East Queensland region.</w:t>
      </w:r>
    </w:p>
    <w:p w14:paraId="75B324BD" w14:textId="77777777" w:rsidR="00805A93" w:rsidRPr="00C52A46" w:rsidRDefault="00805A93" w:rsidP="00805A93">
      <w:pPr>
        <w:pStyle w:val="ListBullet"/>
      </w:pPr>
      <w:r w:rsidRPr="00C52A46">
        <w:t>Awarded the state’s first grants for local governments to plan better infrastructure and places for walking, helping to create an integrated transport network accessible to all Queenslanders.</w:t>
      </w:r>
    </w:p>
    <w:p w14:paraId="74956224" w14:textId="77777777" w:rsidR="00805A93" w:rsidRPr="00C52A46" w:rsidRDefault="00805A93" w:rsidP="00805A93">
      <w:pPr>
        <w:pStyle w:val="ListBullet"/>
      </w:pPr>
      <w:r w:rsidRPr="00C52A46">
        <w:t>Spent $</w:t>
      </w:r>
      <w:r>
        <w:t>226.87 million</w:t>
      </w:r>
      <w:r w:rsidRPr="00C52A46">
        <w:t xml:space="preserve"> repairing state-controlled roads following natural disasters, including reconstructing </w:t>
      </w:r>
      <w:r>
        <w:t>140.11 kilometres</w:t>
      </w:r>
      <w:r w:rsidRPr="00C52A46">
        <w:t xml:space="preserve"> of road pavement, repairing</w:t>
      </w:r>
      <w:r>
        <w:t xml:space="preserve"> 150 earthworks</w:t>
      </w:r>
      <w:r w:rsidRPr="00C52A46">
        <w:t xml:space="preserve"> and batter locations, repairing</w:t>
      </w:r>
      <w:r>
        <w:t xml:space="preserve"> 115 structures</w:t>
      </w:r>
      <w:r w:rsidRPr="00C52A46">
        <w:t xml:space="preserve"> including bridges and culverts, clearing</w:t>
      </w:r>
      <w:r>
        <w:t xml:space="preserve"> 125 silt</w:t>
      </w:r>
      <w:r w:rsidRPr="00C52A46">
        <w:t xml:space="preserve"> and debris locations.</w:t>
      </w:r>
    </w:p>
    <w:p w14:paraId="21E2E61B" w14:textId="77777777" w:rsidR="00805A93" w:rsidRPr="00C52A46" w:rsidRDefault="00805A93" w:rsidP="00805A93">
      <w:pPr>
        <w:pStyle w:val="ListBullet"/>
      </w:pPr>
      <w:r>
        <w:t xml:space="preserve">Continued </w:t>
      </w:r>
      <w:r w:rsidRPr="00C52A46">
        <w:t>the delivery of Cape York Region Package Stage 2</w:t>
      </w:r>
      <w:r>
        <w:t xml:space="preserve"> with </w:t>
      </w:r>
      <w:r w:rsidRPr="00C52A46">
        <w:t>Merluna to York Downs (Part B) achiev</w:t>
      </w:r>
      <w:r>
        <w:t>ing</w:t>
      </w:r>
      <w:r w:rsidRPr="00C52A46">
        <w:t xml:space="preserve"> practical completion in September 2022, with more than 200 kilometres of the Peninsula Developmental Road now sealed.</w:t>
      </w:r>
    </w:p>
    <w:p w14:paraId="18A26A5C" w14:textId="77777777" w:rsidR="00805A93" w:rsidRPr="00C52A46" w:rsidRDefault="00805A93" w:rsidP="00805A93">
      <w:pPr>
        <w:pStyle w:val="ListBullet"/>
      </w:pPr>
      <w:r w:rsidRPr="00C52A46">
        <w:t>Newly duplicated sections of the Bruce Highway were completed and opened to traffic as part of the Townsville Ring Road (Stage 5) project.</w:t>
      </w:r>
    </w:p>
    <w:p w14:paraId="29D70904" w14:textId="77777777" w:rsidR="00805A93" w:rsidRPr="00C52A46" w:rsidRDefault="00805A93" w:rsidP="00805A93">
      <w:pPr>
        <w:pStyle w:val="ListBullet"/>
      </w:pPr>
      <w:r w:rsidRPr="00C52A46">
        <w:t>Works to construct seven new overtaking lanes on the Bruce Highway, between Bowen and Ayr, was completed in December 2022, improving safety and efficiency for all road users.</w:t>
      </w:r>
    </w:p>
    <w:p w14:paraId="39819DC5" w14:textId="77777777" w:rsidR="00805A93" w:rsidRPr="00C52A46" w:rsidRDefault="00805A93" w:rsidP="00805A93">
      <w:pPr>
        <w:pStyle w:val="ListBullet"/>
      </w:pPr>
      <w:r w:rsidRPr="00C52A46">
        <w:t>Works were completed in June 2023 to widen 26 kilometres of Barcaldine–Aramac Road, improving travelling conditions for road users on this key regional route.</w:t>
      </w:r>
    </w:p>
    <w:p w14:paraId="3C8E54B3" w14:textId="77777777" w:rsidR="00805A93" w:rsidRPr="00C52A46" w:rsidRDefault="00805A93" w:rsidP="00805A93">
      <w:pPr>
        <w:pStyle w:val="ListBullet"/>
      </w:pPr>
      <w:r w:rsidRPr="00C52A46">
        <w:t>Early works on the Rockhampton Ring Road commenced in November 2022. The project aims to alleviate congestion, improve traffic flow, and enhance connectivity in and around Rockhampton.</w:t>
      </w:r>
    </w:p>
    <w:p w14:paraId="3B543177" w14:textId="77777777" w:rsidR="00805A93" w:rsidRPr="00C52A46" w:rsidRDefault="00805A93" w:rsidP="00805A93">
      <w:pPr>
        <w:pStyle w:val="ListBullet"/>
      </w:pPr>
      <w:r w:rsidRPr="00C52A46">
        <w:t>Flood immunity construction and intersection upgrades are underway along Torbanlea–Pialba Road sections between Beelbi Creek and Takura.</w:t>
      </w:r>
    </w:p>
    <w:p w14:paraId="27FA854A" w14:textId="77777777" w:rsidR="00805A93" w:rsidRPr="00C52A46" w:rsidRDefault="00805A93" w:rsidP="00805A93">
      <w:pPr>
        <w:pStyle w:val="ListBullet"/>
      </w:pPr>
      <w:r w:rsidRPr="00C52A46">
        <w:t>Upgrades to the Bruce Highway, including a new intersection, were completed by Road</w:t>
      </w:r>
      <w:r>
        <w:t>T</w:t>
      </w:r>
      <w:r w:rsidRPr="00C52A46">
        <w:t>ek in readiness for the construction of the new train manufacturing facility as part of the Cross River Rail Project.</w:t>
      </w:r>
    </w:p>
    <w:p w14:paraId="50D8204E" w14:textId="77777777" w:rsidR="00805A93" w:rsidRPr="00EC1C36" w:rsidRDefault="00805A93" w:rsidP="00EC1C36">
      <w:pPr>
        <w:pStyle w:val="ListBullet"/>
      </w:pPr>
      <w:r w:rsidRPr="00EC1C36">
        <w:t>Construction was completed in November 2022 to improve safety at the Cunningham and New England highways intersection. It has reduced travel time, improved traffic flow and ride quality, and contributed to regional growth.</w:t>
      </w:r>
    </w:p>
    <w:p w14:paraId="10ADD276" w14:textId="10DE983C" w:rsidR="00805A93" w:rsidRDefault="00805A93" w:rsidP="00EC1C36">
      <w:pPr>
        <w:pStyle w:val="ListBullet"/>
      </w:pPr>
      <w:r w:rsidRPr="00EC1C36">
        <w:t>The ODIN Pass Mobility as a Service (MaaS) trial won the prestigious University of Queensland (UQ) Award for Excellence in Innovation in December 2022 and was a finalist for the Intelligent Mobility Award at the 13th ITS Australia Awards in February 2023</w:t>
      </w:r>
      <w:r w:rsidRPr="00C52A46">
        <w:t>.</w:t>
      </w:r>
      <w:r>
        <w:br w:type="page"/>
      </w:r>
    </w:p>
    <w:p w14:paraId="764651C7" w14:textId="462EE902" w:rsidR="00805A93" w:rsidRDefault="00805A93" w:rsidP="00805A93">
      <w:pPr>
        <w:pStyle w:val="Heading2"/>
      </w:pPr>
      <w:r>
        <w:lastRenderedPageBreak/>
        <w:t>Planning best value investments for our future transport needs</w:t>
      </w:r>
    </w:p>
    <w:p w14:paraId="02BC2F51" w14:textId="77777777" w:rsidR="00805A93" w:rsidRDefault="00805A93" w:rsidP="00805A93">
      <w:pPr>
        <w:pStyle w:val="Heading3"/>
      </w:pPr>
      <w:r>
        <w:t>Queensland Transport Strategy</w:t>
      </w:r>
    </w:p>
    <w:p w14:paraId="086FD8D2" w14:textId="77777777" w:rsidR="00805A93" w:rsidRPr="00F91E16" w:rsidRDefault="00805A93" w:rsidP="00805A93">
      <w:r w:rsidRPr="00F91E16">
        <w:t xml:space="preserve">The </w:t>
      </w:r>
      <w:r w:rsidRPr="00FB56BA">
        <w:rPr>
          <w:rStyle w:val="Emphasis"/>
        </w:rPr>
        <w:t>Queensland Transport Strategy</w:t>
      </w:r>
      <w:r w:rsidRPr="00F91E16">
        <w:t xml:space="preserve"> details TMR’s 30-year vision</w:t>
      </w:r>
      <w:r>
        <w:t xml:space="preserve"> to</w:t>
      </w:r>
      <w:r w:rsidRPr="00F91E16">
        <w:t xml:space="preserve"> move people and goods safely and efficiently into the future. The convergence of new technology, new sources of energy, and new modes of mobility are altering the way people access services and use different modes of transport. </w:t>
      </w:r>
    </w:p>
    <w:p w14:paraId="45DDB214" w14:textId="77777777" w:rsidR="00805A93" w:rsidRPr="00F91E16" w:rsidRDefault="00805A93" w:rsidP="00805A93">
      <w:r w:rsidRPr="00F91E16">
        <w:t>The strategy continues to provide the long-term vision for the transformation of the state’s transport system to respond to customer preferences, global trends, and emerging technology.</w:t>
      </w:r>
    </w:p>
    <w:p w14:paraId="6505862A" w14:textId="77777777" w:rsidR="00805A93" w:rsidRPr="00F91E16" w:rsidRDefault="00805A93" w:rsidP="00805A93">
      <w:r w:rsidRPr="00F91E16">
        <w:t>TMR is exploring opportunities to harness these trends to ensure existing modes and transport systems meet future requirements to create a single integrated transport system that anticipates and responds to changing customer needs.</w:t>
      </w:r>
    </w:p>
    <w:p w14:paraId="1FF8F32B" w14:textId="77777777" w:rsidR="00805A93" w:rsidRPr="00F91E16" w:rsidRDefault="00805A93" w:rsidP="00805A93">
      <w:r w:rsidRPr="00F91E16">
        <w:t xml:space="preserve">Designing a transport network for the future, requires the continuing development and implementation of long and medium-term strategies and integrated plans to maximise Queensland’s long-term economic growth and prosperity. The Queensland Transport Strategy puts customers first and articulates TMR’s plan for maximising the benefits of future transport opportunities for all Queenslanders. There are five customer focused outcomes: </w:t>
      </w:r>
    </w:p>
    <w:p w14:paraId="2C958067" w14:textId="77777777" w:rsidR="00805A93" w:rsidRPr="00F91E16" w:rsidRDefault="00805A93" w:rsidP="00805A93">
      <w:pPr>
        <w:pStyle w:val="ListBullet"/>
      </w:pPr>
      <w:r w:rsidRPr="00F91E16">
        <w:t>accessible, convenient transport</w:t>
      </w:r>
    </w:p>
    <w:p w14:paraId="7E6BC9B4" w14:textId="77777777" w:rsidR="00805A93" w:rsidRPr="00F91E16" w:rsidRDefault="00805A93" w:rsidP="00805A93">
      <w:pPr>
        <w:pStyle w:val="ListBullet"/>
      </w:pPr>
      <w:r w:rsidRPr="00F91E16">
        <w:t xml:space="preserve">safe journeys for all </w:t>
      </w:r>
    </w:p>
    <w:p w14:paraId="0825F9E0" w14:textId="77777777" w:rsidR="00805A93" w:rsidRPr="00F91E16" w:rsidRDefault="00805A93" w:rsidP="00805A93">
      <w:pPr>
        <w:pStyle w:val="ListBullet"/>
      </w:pPr>
      <w:r w:rsidRPr="00F91E16">
        <w:t xml:space="preserve">seamless, personalised journeys </w:t>
      </w:r>
    </w:p>
    <w:p w14:paraId="33EFC70A" w14:textId="77777777" w:rsidR="00805A93" w:rsidRPr="00F91E16" w:rsidRDefault="00805A93" w:rsidP="00805A93">
      <w:pPr>
        <w:pStyle w:val="ListBullet"/>
      </w:pPr>
      <w:r w:rsidRPr="00F91E16">
        <w:t xml:space="preserve">efficient, reliable, and productive transport for people and goods </w:t>
      </w:r>
    </w:p>
    <w:p w14:paraId="10B39B1C" w14:textId="77777777" w:rsidR="00805A93" w:rsidRDefault="00805A93" w:rsidP="00805A93">
      <w:pPr>
        <w:pStyle w:val="ListBullet"/>
      </w:pPr>
      <w:r w:rsidRPr="00F91E16">
        <w:t>sustainable, resilient</w:t>
      </w:r>
      <w:r w:rsidRPr="001C40A5">
        <w:t>, and liveable communities.</w:t>
      </w:r>
    </w:p>
    <w:p w14:paraId="555237CB" w14:textId="77777777" w:rsidR="00805A93" w:rsidRPr="00756FBC" w:rsidRDefault="00805A93" w:rsidP="00805A93">
      <w:pPr>
        <w:pStyle w:val="Heading3"/>
      </w:pPr>
      <w:r w:rsidRPr="008E260C">
        <w:t>Regional Transport Plans</w:t>
      </w:r>
    </w:p>
    <w:p w14:paraId="4E33508B" w14:textId="77777777" w:rsidR="00805A93" w:rsidRDefault="00805A93" w:rsidP="00805A93">
      <w:r w:rsidRPr="00EB0523">
        <w:t xml:space="preserve">Queensland’s suite of Regional Transport Plans (RTPs) define the priorities for developing Queensland’s transport system. </w:t>
      </w:r>
      <w:r>
        <w:t>RTPs</w:t>
      </w:r>
      <w:r w:rsidRPr="00EB0523">
        <w:t xml:space="preserve"> outline the planning actions that will guide future investment over a 15-year horizon, in a way that supports regional goals for the community, economy, and environment. </w:t>
      </w:r>
    </w:p>
    <w:p w14:paraId="21A5D09F" w14:textId="77777777" w:rsidR="00805A93" w:rsidRDefault="00805A93" w:rsidP="00805A93">
      <w:r w:rsidRPr="00EB0523">
        <w:t>The RTPs consider all modes of transport, regional, demographic and industry changes, local government land use</w:t>
      </w:r>
      <w:r>
        <w:t>,</w:t>
      </w:r>
      <w:r w:rsidRPr="00EB0523">
        <w:t xml:space="preserve"> and transport planning. They respond to relevant regional plans and </w:t>
      </w:r>
      <w:r>
        <w:t>inform</w:t>
      </w:r>
      <w:r w:rsidRPr="00EB0523">
        <w:t xml:space="preserve"> the State Infrastructure Strategy. </w:t>
      </w:r>
      <w:r w:rsidRPr="00924758">
        <w:t>Collectively</w:t>
      </w:r>
      <w:r>
        <w:t>, t</w:t>
      </w:r>
      <w:r w:rsidRPr="00EB0523">
        <w:t xml:space="preserve">he RTPs cover the entire state and support TMR’s vision of ‘creating a single integrated transport network accessible to everyone’. </w:t>
      </w:r>
    </w:p>
    <w:p w14:paraId="71411B5B" w14:textId="77777777" w:rsidR="00805A93" w:rsidRDefault="00805A93" w:rsidP="00805A93">
      <w:r w:rsidRPr="00EB0523">
        <w:t>TMR continues to progress implementation of all RTPs across the state. Plans for Mackay</w:t>
      </w:r>
      <w:r>
        <w:t>,</w:t>
      </w:r>
      <w:r w:rsidRPr="00EB0523">
        <w:t xml:space="preserve"> Isaac</w:t>
      </w:r>
      <w:r>
        <w:t>,</w:t>
      </w:r>
      <w:r w:rsidRPr="00EB0523">
        <w:t xml:space="preserve"> Whitsunday, North West, Central West, South West, Far North, Northern, Fitzroy, Wide Bay Burnett, Darling Downs</w:t>
      </w:r>
      <w:r>
        <w:t>,</w:t>
      </w:r>
      <w:r w:rsidRPr="00EB0523">
        <w:t xml:space="preserve"> and South East Queensland are available on TMR’s website.</w:t>
      </w:r>
    </w:p>
    <w:p w14:paraId="69C369B8" w14:textId="77777777" w:rsidR="00805A93" w:rsidRPr="00EB0523" w:rsidRDefault="00805A93" w:rsidP="00805A93">
      <w:pPr>
        <w:pStyle w:val="ForMoreInformation"/>
      </w:pPr>
      <w:r w:rsidRPr="00EB0523">
        <w:t>For more information</w:t>
      </w:r>
      <w:r>
        <w:br/>
      </w:r>
      <w:hyperlink r:id="rId15" w:history="1">
        <w:r w:rsidRPr="0047466B">
          <w:rPr>
            <w:rStyle w:val="Hyperlink"/>
          </w:rPr>
          <w:t>http://www.tmr.qld.gov.au/About-us/Corporate-information/Publications/Regional-Transport-Plans</w:t>
        </w:r>
      </w:hyperlink>
    </w:p>
    <w:p w14:paraId="08BB94D5" w14:textId="77777777" w:rsidR="00805A93" w:rsidRPr="00756FBC" w:rsidRDefault="00805A93" w:rsidP="00805A93">
      <w:pPr>
        <w:pStyle w:val="Heading3"/>
      </w:pPr>
      <w:r>
        <w:t xml:space="preserve">Queensland Transport and Roads Investment Program (QTRIP) </w:t>
      </w:r>
    </w:p>
    <w:p w14:paraId="1F4972D1" w14:textId="77777777" w:rsidR="00805A93" w:rsidRDefault="00805A93" w:rsidP="00805A93">
      <w:r>
        <w:t xml:space="preserve">QTRIP outlines current and planned investment in transport infrastructure across Queensland over the next four years. QTRIP investment spans road, rail, maritime, public transport, and active transport infrastructure on freight, commuter, and recreational networks.  </w:t>
      </w:r>
    </w:p>
    <w:p w14:paraId="5FC681AF" w14:textId="77777777" w:rsidR="00805A93" w:rsidRDefault="00805A93" w:rsidP="00805A93">
      <w:r>
        <w:t xml:space="preserve">The $32.1 billion QTRIP 2023–24 to 2026–27 demonstrates TMR’s continued dedication to delivering a single integrated transport network accessible to everyone. The program outlines a steady and sustainable pipeline of road and transport infrastructure which will support an estimated average of 25,200 direct jobs over the next four years. </w:t>
      </w:r>
    </w:p>
    <w:p w14:paraId="5D69F488" w14:textId="77777777" w:rsidR="00805A93" w:rsidRDefault="00805A93" w:rsidP="00805A93">
      <w:r>
        <w:lastRenderedPageBreak/>
        <w:t>TMR will continue to deliver priority projects across the state, including: Pacific Motorway Varsity Lakes (Exit 85) to Tugun (Exit 95) upgrade; Gold Coast Light Rail (Stage 3); Coomera Connector (Stage 1); Pacific Motorway Eight Mile Plains to Daisy Hill upgrade; Bruce Highway Caboolture - Bribie Island Road to Steve Irwin Way upgrade; Bruce Highway (Cooroy to Curra) Section D; Walkerston Bypass; Townsville Ring Road (Stage 5); Kennedy Developmental Road (The Lynd - Hughenden), progressive sealing; NGR; and ETCS fitment, installing new signalling.</w:t>
      </w:r>
    </w:p>
    <w:p w14:paraId="44D6FD11" w14:textId="77777777" w:rsidR="00805A93" w:rsidRPr="004841E4" w:rsidRDefault="00805A93" w:rsidP="00805A93">
      <w:r>
        <w:t>TMR's</w:t>
      </w:r>
      <w:r w:rsidRPr="004841E4">
        <w:t xml:space="preserve"> ongoing efforts to build and improve transport infrastructure will ensure that Queensland </w:t>
      </w:r>
      <w:r>
        <w:t>is</w:t>
      </w:r>
      <w:r w:rsidRPr="004841E4">
        <w:t xml:space="preserve"> ready to provide world-class services to athletes, visitors, and spectators. </w:t>
      </w:r>
    </w:p>
    <w:p w14:paraId="06B75217" w14:textId="77777777" w:rsidR="00805A93" w:rsidRDefault="00805A93" w:rsidP="00805A93">
      <w:pPr>
        <w:pStyle w:val="Heading3"/>
      </w:pPr>
      <w:r>
        <w:t>Maritime Infrastructure Investment Program</w:t>
      </w:r>
    </w:p>
    <w:p w14:paraId="41D4F8D3" w14:textId="77777777" w:rsidR="00805A93" w:rsidRPr="008A3490" w:rsidRDefault="00805A93" w:rsidP="00805A93">
      <w:r w:rsidRPr="00AF4348">
        <w:t>The Maritime Infrastructure Investment Program is</w:t>
      </w:r>
      <w:r w:rsidRPr="008A3490">
        <w:t xml:space="preserve"> responsible for the prioritisation and delivery of MSQ's water and land-based maritime infrastructure and assets, providing safe, reliable, and efficient recreational boating infrastructure. </w:t>
      </w:r>
    </w:p>
    <w:p w14:paraId="225A8089" w14:textId="77777777" w:rsidR="00805A93" w:rsidRPr="00AF4348" w:rsidRDefault="00805A93" w:rsidP="00805A93">
      <w:r>
        <w:t>MSQ</w:t>
      </w:r>
      <w:r w:rsidRPr="00AF4348">
        <w:t xml:space="preserve"> continues to deliver new and upgraded maritime infrastructure around the </w:t>
      </w:r>
      <w:r>
        <w:t>s</w:t>
      </w:r>
      <w:r w:rsidRPr="00AF4348">
        <w:t>tate. Major projects completed in 2022</w:t>
      </w:r>
      <w:r>
        <w:t>–</w:t>
      </w:r>
      <w:r w:rsidRPr="00AF4348">
        <w:t xml:space="preserve">23 </w:t>
      </w:r>
      <w:r>
        <w:t>were</w:t>
      </w:r>
      <w:r w:rsidRPr="00AF4348">
        <w:t>:</w:t>
      </w:r>
    </w:p>
    <w:p w14:paraId="0501BEFF" w14:textId="77777777" w:rsidR="00805A93" w:rsidRPr="008A3490" w:rsidRDefault="00805A93" w:rsidP="00805A93">
      <w:pPr>
        <w:pStyle w:val="ListBullet"/>
      </w:pPr>
      <w:r w:rsidRPr="00AF4348">
        <w:t>a new boat launching facility at Yorkeys Knob on the north side of Cairns</w:t>
      </w:r>
    </w:p>
    <w:p w14:paraId="2F08EB18" w14:textId="77777777" w:rsidR="00805A93" w:rsidRPr="008A3490" w:rsidRDefault="00805A93" w:rsidP="00805A93">
      <w:pPr>
        <w:pStyle w:val="ListBullet"/>
      </w:pPr>
      <w:r w:rsidRPr="001E39B3">
        <w:t>a new boat launching facility at Inkerman Creek, near Port Alma.</w:t>
      </w:r>
    </w:p>
    <w:p w14:paraId="042FC2E0" w14:textId="77777777" w:rsidR="00805A93" w:rsidRPr="008A3490" w:rsidRDefault="00805A93" w:rsidP="00805A93">
      <w:r w:rsidRPr="00AF4348">
        <w:t>In 2022–23</w:t>
      </w:r>
      <w:r>
        <w:t>,</w:t>
      </w:r>
      <w:r w:rsidRPr="00AF4348">
        <w:t xml:space="preserve"> </w:t>
      </w:r>
      <w:r w:rsidRPr="008A3490">
        <w:t xml:space="preserve">several strategies to improve program management commenced, including: </w:t>
      </w:r>
    </w:p>
    <w:p w14:paraId="3753C5F8" w14:textId="77777777" w:rsidR="00805A93" w:rsidRPr="008A3490" w:rsidRDefault="00805A93" w:rsidP="00805A93">
      <w:pPr>
        <w:pStyle w:val="ListBullet"/>
      </w:pPr>
      <w:r>
        <w:t xml:space="preserve">an </w:t>
      </w:r>
      <w:r w:rsidRPr="008A3490">
        <w:t>audit and health check of asset management processes</w:t>
      </w:r>
    </w:p>
    <w:p w14:paraId="23DE9695" w14:textId="77777777" w:rsidR="00805A93" w:rsidRPr="008A3490" w:rsidRDefault="00805A93" w:rsidP="00805A93">
      <w:pPr>
        <w:pStyle w:val="ListBullet"/>
      </w:pPr>
      <w:r>
        <w:t xml:space="preserve">successfully applied the </w:t>
      </w:r>
      <w:r w:rsidRPr="008A3490">
        <w:t>Sustainability Essentials tool to the North Queensland Beacon Replacement Program</w:t>
      </w:r>
    </w:p>
    <w:p w14:paraId="2D43A3A7" w14:textId="77777777" w:rsidR="00805A93" w:rsidRPr="008A3490" w:rsidRDefault="00805A93" w:rsidP="00805A93">
      <w:pPr>
        <w:pStyle w:val="ListBullet"/>
      </w:pPr>
      <w:r>
        <w:t>i</w:t>
      </w:r>
      <w:r w:rsidRPr="008A3490">
        <w:t>mplement</w:t>
      </w:r>
      <w:r>
        <w:t>ed</w:t>
      </w:r>
      <w:r w:rsidRPr="008A3490">
        <w:t xml:space="preserve"> program governance groups for increased program accountability and oversight</w:t>
      </w:r>
    </w:p>
    <w:p w14:paraId="16EA0920" w14:textId="77777777" w:rsidR="00805A93" w:rsidRPr="008A3490" w:rsidRDefault="00805A93" w:rsidP="00805A93">
      <w:pPr>
        <w:pStyle w:val="ListBullet"/>
      </w:pPr>
      <w:r w:rsidRPr="00AF4348">
        <w:t>formalis</w:t>
      </w:r>
      <w:r>
        <w:t>ed</w:t>
      </w:r>
      <w:r w:rsidRPr="008A3490">
        <w:t xml:space="preserve"> the program management approach to annual forward investment programming</w:t>
      </w:r>
    </w:p>
    <w:p w14:paraId="2B6CC0BB" w14:textId="77777777" w:rsidR="00805A93" w:rsidRPr="008A3490" w:rsidRDefault="00805A93" w:rsidP="00805A93">
      <w:pPr>
        <w:pStyle w:val="ListBullet"/>
      </w:pPr>
      <w:r w:rsidRPr="00AF4348">
        <w:t>embedd</w:t>
      </w:r>
      <w:r>
        <w:t>ed</w:t>
      </w:r>
      <w:r w:rsidRPr="008A3490">
        <w:t xml:space="preserve"> the program management approach to delivery and management of projects through 3PCM.</w:t>
      </w:r>
    </w:p>
    <w:p w14:paraId="062A90F1" w14:textId="77777777" w:rsidR="00805A93" w:rsidRPr="00756FBC" w:rsidRDefault="00805A93" w:rsidP="00805A93">
      <w:pPr>
        <w:pStyle w:val="Heading3"/>
      </w:pPr>
      <w:r>
        <w:t>Brisbane 2032 Olympic and Paralympic Games</w:t>
      </w:r>
    </w:p>
    <w:p w14:paraId="2A071A36" w14:textId="77777777" w:rsidR="00805A93" w:rsidRPr="008E5844" w:rsidRDefault="00805A93" w:rsidP="00805A93">
      <w:r w:rsidRPr="008E5844">
        <w:t xml:space="preserve">TMR is leading the development of </w:t>
      </w:r>
      <w:r>
        <w:t xml:space="preserve">the </w:t>
      </w:r>
      <w:r w:rsidRPr="008E5844">
        <w:t>transport strategy and plans to support the Brisbane 2032 Olympic and Paralympic Games. Key initiatives include:</w:t>
      </w:r>
    </w:p>
    <w:p w14:paraId="6D8546FB" w14:textId="77777777" w:rsidR="00805A93" w:rsidRPr="008E5844" w:rsidRDefault="00805A93" w:rsidP="00805A93">
      <w:pPr>
        <w:pStyle w:val="ListBullet"/>
      </w:pPr>
      <w:bookmarkStart w:id="4" w:name="_Hlk129814573"/>
      <w:r>
        <w:t>m</w:t>
      </w:r>
      <w:r w:rsidRPr="008E5844">
        <w:t xml:space="preserve">odelling </w:t>
      </w:r>
      <w:r>
        <w:t>G</w:t>
      </w:r>
      <w:r w:rsidRPr="008E5844">
        <w:t xml:space="preserve">ames-time travel demands to scope the Brisbane 2032 transport task identify priority network and service improvements </w:t>
      </w:r>
    </w:p>
    <w:p w14:paraId="2D010252" w14:textId="77777777" w:rsidR="00805A93" w:rsidRPr="008E5844" w:rsidRDefault="00805A93" w:rsidP="00805A93">
      <w:pPr>
        <w:pStyle w:val="ListBullet"/>
      </w:pPr>
      <w:r>
        <w:t>a</w:t>
      </w:r>
      <w:r w:rsidRPr="008E5844">
        <w:t xml:space="preserve">ccelerating network and service upgrades to support urban growth and benefit Brisbane 2032 operations </w:t>
      </w:r>
    </w:p>
    <w:p w14:paraId="1AC2D670" w14:textId="77777777" w:rsidR="00805A93" w:rsidRPr="008E5844" w:rsidRDefault="00805A93" w:rsidP="00805A93">
      <w:pPr>
        <w:pStyle w:val="ListBullet"/>
      </w:pPr>
      <w:r>
        <w:t>i</w:t>
      </w:r>
      <w:r w:rsidRPr="008E5844">
        <w:t>nput to competition venue planning to embed safe, efficient</w:t>
      </w:r>
      <w:r>
        <w:t>,</w:t>
      </w:r>
      <w:r w:rsidRPr="008E5844">
        <w:t xml:space="preserve"> and inclusive access</w:t>
      </w:r>
    </w:p>
    <w:p w14:paraId="3FA94793" w14:textId="77777777" w:rsidR="00805A93" w:rsidRPr="008E5844" w:rsidRDefault="00805A93" w:rsidP="00805A93">
      <w:pPr>
        <w:pStyle w:val="ListBullet"/>
      </w:pPr>
      <w:r>
        <w:t>f</w:t>
      </w:r>
      <w:r w:rsidRPr="008E5844">
        <w:t>ostering</w:t>
      </w:r>
      <w:r>
        <w:t xml:space="preserve"> </w:t>
      </w:r>
      <w:r w:rsidRPr="008E5844">
        <w:t>partnership</w:t>
      </w:r>
      <w:r>
        <w:t>s</w:t>
      </w:r>
      <w:r w:rsidRPr="008E5844">
        <w:t xml:space="preserve"> with local councils, </w:t>
      </w:r>
      <w:r>
        <w:t>the Brisbane 2032 O</w:t>
      </w:r>
      <w:r w:rsidRPr="008E5844">
        <w:t xml:space="preserve">rganising </w:t>
      </w:r>
      <w:r>
        <w:t>C</w:t>
      </w:r>
      <w:r w:rsidRPr="008E5844">
        <w:t xml:space="preserve">ommittee and public transport operators, to establish an effective platform for integrated Brisbane 2032 planning </w:t>
      </w:r>
    </w:p>
    <w:p w14:paraId="5C2BB7C7" w14:textId="77777777" w:rsidR="00805A93" w:rsidRPr="008E5844" w:rsidRDefault="00805A93" w:rsidP="00805A93">
      <w:pPr>
        <w:pStyle w:val="ListBullet"/>
      </w:pPr>
      <w:r>
        <w:t>d</w:t>
      </w:r>
      <w:r w:rsidRPr="008E5844">
        <w:t>eveloping web-based databases and geospatial information systems to underpin coordinated Brisbane 2032 planning with delivery partners.</w:t>
      </w:r>
      <w:bookmarkEnd w:id="4"/>
    </w:p>
    <w:p w14:paraId="14364448" w14:textId="77777777" w:rsidR="00805A93" w:rsidRPr="00D029A6" w:rsidRDefault="00805A93" w:rsidP="00805A93">
      <w:pPr>
        <w:pStyle w:val="Heading3"/>
      </w:pPr>
      <w:r w:rsidRPr="00D029A6">
        <w:t>Southern Sunshine Coast Public Transport Strategy</w:t>
      </w:r>
    </w:p>
    <w:p w14:paraId="00E642B8" w14:textId="77777777" w:rsidR="00805A93" w:rsidRPr="00D029A6" w:rsidRDefault="00805A93" w:rsidP="00805A93">
      <w:r w:rsidRPr="00D029A6">
        <w:t xml:space="preserve">The </w:t>
      </w:r>
      <w:r w:rsidRPr="006944A6">
        <w:rPr>
          <w:rStyle w:val="Emphasis"/>
        </w:rPr>
        <w:t>Southern Sunshine Coast Public Transport Strategy</w:t>
      </w:r>
      <w:r w:rsidRPr="00D029A6">
        <w:t xml:space="preserve"> sets the vision for the region's public transport system, while protecting its natural environment and lifestyle. </w:t>
      </w:r>
    </w:p>
    <w:p w14:paraId="1C9A480A" w14:textId="77777777" w:rsidR="00805A93" w:rsidRDefault="00805A93" w:rsidP="00805A93">
      <w:r w:rsidRPr="00D029A6">
        <w:t xml:space="preserve">Released in </w:t>
      </w:r>
      <w:r>
        <w:t>May 2023</w:t>
      </w:r>
      <w:r w:rsidRPr="00D029A6">
        <w:t xml:space="preserve">, </w:t>
      </w:r>
      <w:r>
        <w:t xml:space="preserve">the Strategy </w:t>
      </w:r>
      <w:r w:rsidRPr="00D029A6">
        <w:t xml:space="preserve">has been developed with input from Sunshine Coast Council and the community to help address the challenges of population growth and </w:t>
      </w:r>
      <w:r>
        <w:t xml:space="preserve">increased </w:t>
      </w:r>
      <w:r w:rsidRPr="00D029A6">
        <w:t xml:space="preserve">forecast </w:t>
      </w:r>
      <w:r>
        <w:t>travel</w:t>
      </w:r>
      <w:r w:rsidRPr="00D029A6">
        <w:t xml:space="preserve"> demand.</w:t>
      </w:r>
    </w:p>
    <w:p w14:paraId="65CA6E24" w14:textId="77777777" w:rsidR="00805A93" w:rsidRDefault="00805A93" w:rsidP="00805A93">
      <w:r w:rsidRPr="00437167">
        <w:t xml:space="preserve">The </w:t>
      </w:r>
      <w:r>
        <w:t>S</w:t>
      </w:r>
      <w:r w:rsidRPr="00437167">
        <w:t>trategy identifies improvements to the key public transport connections for the region between Beerwah in the south</w:t>
      </w:r>
      <w:r>
        <w:t xml:space="preserve"> </w:t>
      </w:r>
      <w:r w:rsidRPr="00437167">
        <w:t>west, Nambour in the north</w:t>
      </w:r>
      <w:r>
        <w:t xml:space="preserve"> </w:t>
      </w:r>
      <w:r w:rsidRPr="00437167">
        <w:t>west</w:t>
      </w:r>
      <w:r>
        <w:t>,</w:t>
      </w:r>
      <w:r w:rsidRPr="00437167">
        <w:t xml:space="preserve"> and Maroochydore and Caloundra along the coast.</w:t>
      </w:r>
    </w:p>
    <w:p w14:paraId="21F03D80" w14:textId="77777777" w:rsidR="00805A93" w:rsidRPr="00D029A6" w:rsidRDefault="00805A93" w:rsidP="00805A93">
      <w:r w:rsidRPr="00D029A6">
        <w:t>The Strategy will also guide preparations for the Sunshine Coast’s public transport network for the Brisbane 2032 Olympic and Paralympic Games. </w:t>
      </w:r>
    </w:p>
    <w:p w14:paraId="18740E33" w14:textId="77777777" w:rsidR="00805A93" w:rsidRDefault="00805A93" w:rsidP="00805A93">
      <w:r w:rsidRPr="00437167">
        <w:lastRenderedPageBreak/>
        <w:t xml:space="preserve">Work is already underway on several key projects that </w:t>
      </w:r>
      <w:r>
        <w:t xml:space="preserve">are important elements of </w:t>
      </w:r>
      <w:r w:rsidRPr="00437167">
        <w:t>the strategy, including:</w:t>
      </w:r>
    </w:p>
    <w:p w14:paraId="375184EF" w14:textId="77777777" w:rsidR="00805A93" w:rsidRPr="004C3D1C" w:rsidRDefault="00805A93" w:rsidP="00805A93">
      <w:pPr>
        <w:pStyle w:val="ListBullet"/>
      </w:pPr>
      <w:r w:rsidRPr="004C3D1C">
        <w:t xml:space="preserve">Beerburrum to Nambour Rail Upgrade, </w:t>
      </w:r>
      <w:r>
        <w:t>s</w:t>
      </w:r>
      <w:r w:rsidRPr="004C3D1C">
        <w:t xml:space="preserve">tage </w:t>
      </w:r>
      <w:r>
        <w:t>one</w:t>
      </w:r>
    </w:p>
    <w:p w14:paraId="4D658676" w14:textId="77777777" w:rsidR="00805A93" w:rsidRPr="004C3D1C" w:rsidRDefault="00805A93" w:rsidP="00805A93">
      <w:pPr>
        <w:pStyle w:val="ListBullet"/>
      </w:pPr>
      <w:r w:rsidRPr="004C3D1C">
        <w:t>Direct Sunshine Coast Rail Line</w:t>
      </w:r>
      <w:r>
        <w:t>, planning</w:t>
      </w:r>
    </w:p>
    <w:p w14:paraId="4AE43B34" w14:textId="77777777" w:rsidR="00805A93" w:rsidRPr="004C3D1C" w:rsidRDefault="00805A93" w:rsidP="00805A93">
      <w:pPr>
        <w:pStyle w:val="ListBullet"/>
      </w:pPr>
      <w:r w:rsidRPr="004C3D1C">
        <w:t>Sunshine Coast Public Transport</w:t>
      </w:r>
      <w:r>
        <w:t>, business case.</w:t>
      </w:r>
    </w:p>
    <w:p w14:paraId="30C007AB" w14:textId="77777777" w:rsidR="00805A93" w:rsidRPr="00606271" w:rsidRDefault="00805A93" w:rsidP="00805A93">
      <w:pPr>
        <w:pStyle w:val="ForMoreInformation"/>
        <w:rPr>
          <w:rStyle w:val="Hyperlink"/>
        </w:rPr>
      </w:pPr>
      <w:r w:rsidRPr="00437167">
        <w:t>For more information</w:t>
      </w:r>
      <w:r>
        <w:br/>
      </w:r>
      <w:r w:rsidRPr="00606271">
        <w:rPr>
          <w:rStyle w:val="Hyperlink"/>
        </w:rPr>
        <w:t>https://www.tmr.qld.gov.au/about-us/corporate-information/publications/southern-sunshine-coast-public-transport-strategy</w:t>
      </w:r>
    </w:p>
    <w:p w14:paraId="51F2F36D" w14:textId="77777777" w:rsidR="00805A93" w:rsidRPr="00DC1A33" w:rsidRDefault="00805A93" w:rsidP="00805A93">
      <w:pPr>
        <w:pStyle w:val="Heading3"/>
      </w:pPr>
      <w:bookmarkStart w:id="5" w:name="_Hlk136347952"/>
      <w:r>
        <w:t>Master planning for the priority ports of Hay Point/Mackay and Abbot Point</w:t>
      </w:r>
    </w:p>
    <w:p w14:paraId="7071814C" w14:textId="77777777" w:rsidR="00805A93" w:rsidRDefault="00805A93" w:rsidP="00805A93">
      <w:r>
        <w:t xml:space="preserve">The </w:t>
      </w:r>
      <w:r>
        <w:rPr>
          <w:rStyle w:val="Emphasis"/>
        </w:rPr>
        <w:t>Sustainable Ports Development Act 2015</w:t>
      </w:r>
      <w:r>
        <w:t xml:space="preserve"> requires that a formal public consultation process is conducted during the preparation of port master plans and port overlays. It also requires relevant local governments and port authorities to be included when preparing these documents. Extensive consultation takes place with government agencies.  </w:t>
      </w:r>
    </w:p>
    <w:p w14:paraId="4D7A459B" w14:textId="77777777" w:rsidR="00805A93" w:rsidRDefault="00805A93" w:rsidP="00805A93">
      <w:r>
        <w:t xml:space="preserve">Public consultation ensures that the community and other stakeholders can consider the potential regulatory affects prior to finalisation. </w:t>
      </w:r>
    </w:p>
    <w:p w14:paraId="66CD3508" w14:textId="77777777" w:rsidR="00805A93" w:rsidRDefault="00805A93" w:rsidP="00805A93">
      <w:r>
        <w:t>The draft master plans and draft port overlays for the priority ports of Hay Point/Mackay and Abbot Point were released for public consultation in October 2022.</w:t>
      </w:r>
    </w:p>
    <w:p w14:paraId="6978590F" w14:textId="77777777" w:rsidR="00805A93" w:rsidRPr="009601AA" w:rsidRDefault="00805A93" w:rsidP="00805A93">
      <w:r>
        <w:t xml:space="preserve">The final master planning documents will be developed after all comments have been reviewed, addressed, and possible changes negotiated with North Queensland Bulk Ports Corporation Limited and key government agencies. </w:t>
      </w:r>
    </w:p>
    <w:p w14:paraId="48FD7688" w14:textId="77777777" w:rsidR="00805A93" w:rsidRPr="008B2D0F" w:rsidRDefault="00805A93" w:rsidP="00805A93">
      <w:pPr>
        <w:pStyle w:val="ForMoreInformation"/>
      </w:pPr>
      <w:r w:rsidRPr="008B2D0F">
        <w:t>For more information</w:t>
      </w:r>
      <w:r>
        <w:br/>
      </w:r>
      <w:hyperlink r:id="rId16" w:history="1">
        <w:r w:rsidRPr="0047466B">
          <w:rPr>
            <w:rStyle w:val="Hyperlink"/>
          </w:rPr>
          <w:t>https://www.tmr.qld.gov.au/business-industry/transport-sectors/ports/sustainable-port-development-and-operation/master-planning-for-priority-ports</w:t>
        </w:r>
      </w:hyperlink>
      <w:bookmarkEnd w:id="5"/>
    </w:p>
    <w:p w14:paraId="3EB91054" w14:textId="77777777" w:rsidR="00805A93" w:rsidRDefault="00805A93" w:rsidP="00805A93">
      <w:pPr>
        <w:pStyle w:val="Heading3"/>
      </w:pPr>
      <w:r>
        <w:t>Brisbane Metro–Woolloongabba Station detailed planning</w:t>
      </w:r>
    </w:p>
    <w:p w14:paraId="5CB446F2" w14:textId="77777777" w:rsidR="00805A93" w:rsidRPr="00EB4E8B" w:rsidRDefault="00805A93" w:rsidP="00805A93">
      <w:r w:rsidRPr="00EB4E8B">
        <w:t>Planning has commenced for the Brisbane Metro</w:t>
      </w:r>
      <w:r>
        <w:t>–</w:t>
      </w:r>
      <w:r w:rsidRPr="00EB4E8B">
        <w:t xml:space="preserve">Woolloongabba Station project. The new in-line station and supporting bus facilities will provide customers with new opportunities to interchange between buses on the South East Busway and to services travelling through Woolloongabba </w:t>
      </w:r>
      <w:r>
        <w:t>r</w:t>
      </w:r>
      <w:r w:rsidRPr="00EB4E8B">
        <w:t xml:space="preserve">ail station. It will also provide improved access to </w:t>
      </w:r>
      <w:r>
        <w:t>t</w:t>
      </w:r>
      <w:r w:rsidRPr="00EB4E8B">
        <w:t>he Gabba Stadium</w:t>
      </w:r>
      <w:r>
        <w:t xml:space="preserve"> and</w:t>
      </w:r>
      <w:r w:rsidRPr="00EB4E8B">
        <w:t xml:space="preserve"> </w:t>
      </w:r>
      <w:r>
        <w:t xml:space="preserve">the wider </w:t>
      </w:r>
      <w:r w:rsidRPr="00EB4E8B">
        <w:t xml:space="preserve">Woolloongabba precinct. </w:t>
      </w:r>
    </w:p>
    <w:p w14:paraId="0B12A95A" w14:textId="77777777" w:rsidR="00805A93" w:rsidRPr="00EB4E8B" w:rsidRDefault="00805A93" w:rsidP="00805A93">
      <w:r w:rsidRPr="00EB4E8B">
        <w:t>The Australian an</w:t>
      </w:r>
      <w:r>
        <w:t xml:space="preserve">d </w:t>
      </w:r>
      <w:r w:rsidRPr="00EB4E8B">
        <w:t xml:space="preserve">Queensland </w:t>
      </w:r>
      <w:r>
        <w:t>g</w:t>
      </w:r>
      <w:r w:rsidRPr="00EB4E8B">
        <w:t>overnments along with Brisbane City Council have each committed $150 million to deliver the project as part of the South East Queensland City Deal.</w:t>
      </w:r>
    </w:p>
    <w:p w14:paraId="65F7A9B3" w14:textId="77777777" w:rsidR="00805A93" w:rsidRPr="00EB4E8B" w:rsidRDefault="00805A93" w:rsidP="00805A93">
      <w:r>
        <w:t>Benefits of the project include:</w:t>
      </w:r>
    </w:p>
    <w:p w14:paraId="69362738" w14:textId="77777777" w:rsidR="00805A93" w:rsidRDefault="00805A93" w:rsidP="00805A93">
      <w:pPr>
        <w:pStyle w:val="ListBullet"/>
      </w:pPr>
      <w:bookmarkStart w:id="6" w:name="_Hlk129788202"/>
      <w:r w:rsidRPr="00EB4E8B">
        <w:t>easier bus</w:t>
      </w:r>
      <w:r>
        <w:t>-</w:t>
      </w:r>
      <w:r w:rsidRPr="00EB4E8B">
        <w:t>to</w:t>
      </w:r>
      <w:r>
        <w:t>-</w:t>
      </w:r>
      <w:r w:rsidRPr="00EB4E8B">
        <w:t>bus and bus</w:t>
      </w:r>
      <w:r>
        <w:t>-</w:t>
      </w:r>
      <w:r w:rsidRPr="00EB4E8B">
        <w:t>to</w:t>
      </w:r>
      <w:r>
        <w:t>-</w:t>
      </w:r>
      <w:r w:rsidRPr="00EB4E8B">
        <w:t>rail transfers between the South East Busway and Cross</w:t>
      </w:r>
      <w:r>
        <w:t xml:space="preserve"> </w:t>
      </w:r>
      <w:r w:rsidRPr="00EB4E8B">
        <w:t>River Rail</w:t>
      </w:r>
    </w:p>
    <w:p w14:paraId="5D8B7E76" w14:textId="77777777" w:rsidR="00805A93" w:rsidRDefault="00805A93" w:rsidP="00805A93">
      <w:pPr>
        <w:pStyle w:val="ListBullet"/>
      </w:pPr>
      <w:r w:rsidRPr="00EB4E8B">
        <w:t>reduced busway congestion and improved reliability and travel times</w:t>
      </w:r>
    </w:p>
    <w:p w14:paraId="4B7F5D04" w14:textId="77777777" w:rsidR="00805A93" w:rsidRDefault="00805A93" w:rsidP="00805A93">
      <w:pPr>
        <w:pStyle w:val="ListBullet"/>
      </w:pPr>
      <w:r w:rsidRPr="00EB4E8B">
        <w:t>supporting population and employment growth, urban renewal, housing and economic development opportunities</w:t>
      </w:r>
      <w:r>
        <w:t>.</w:t>
      </w:r>
    </w:p>
    <w:p w14:paraId="70204EB9" w14:textId="77777777" w:rsidR="00805A93" w:rsidRPr="004F5290" w:rsidRDefault="00805A93" w:rsidP="00805A93">
      <w:r w:rsidRPr="004F5290">
        <w:t>The project supports other city shaping initiatives, including the Brisbane 2032 Olympic and Paralympic Games transport task and legacy outcomes.</w:t>
      </w:r>
      <w:bookmarkEnd w:id="6"/>
    </w:p>
    <w:p w14:paraId="2278FB1B" w14:textId="77777777" w:rsidR="00805A93" w:rsidRDefault="00805A93" w:rsidP="00805A93">
      <w:pPr>
        <w:pStyle w:val="Heading3"/>
      </w:pPr>
      <w:r w:rsidRPr="00AF27EA">
        <w:t xml:space="preserve">Zero Emission Vehicle </w:t>
      </w:r>
      <w:r>
        <w:t>S</w:t>
      </w:r>
      <w:r w:rsidRPr="00AF27EA">
        <w:t xml:space="preserve">trategy and </w:t>
      </w:r>
      <w:r>
        <w:t>A</w:t>
      </w:r>
      <w:r w:rsidRPr="00AF27EA">
        <w:t xml:space="preserve">ction </w:t>
      </w:r>
      <w:r>
        <w:t>P</w:t>
      </w:r>
      <w:r w:rsidRPr="00AF27EA">
        <w:t>lan</w:t>
      </w:r>
    </w:p>
    <w:p w14:paraId="164603DE" w14:textId="77777777" w:rsidR="00805A93" w:rsidRPr="003F5A08" w:rsidRDefault="00805A93" w:rsidP="00805A93">
      <w:r w:rsidRPr="003F5A08">
        <w:t>In March 2022, the Queensland Government released the 10</w:t>
      </w:r>
      <w:r>
        <w:t>-</w:t>
      </w:r>
      <w:r w:rsidRPr="003F5A08">
        <w:t xml:space="preserve">year </w:t>
      </w:r>
      <w:r w:rsidRPr="003F5A08">
        <w:rPr>
          <w:rStyle w:val="Emphasis"/>
        </w:rPr>
        <w:t>Zero Emission Vehicle Strategy 2022–32</w:t>
      </w:r>
      <w:r w:rsidRPr="003F5A08">
        <w:t xml:space="preserve"> and </w:t>
      </w:r>
      <w:r w:rsidRPr="003F5A08">
        <w:rPr>
          <w:rStyle w:val="Emphasis"/>
        </w:rPr>
        <w:t>Action Plan 2022–24</w:t>
      </w:r>
      <w:r w:rsidRPr="003F5A08">
        <w:t>.</w:t>
      </w:r>
    </w:p>
    <w:p w14:paraId="170F12F3" w14:textId="77777777" w:rsidR="00805A93" w:rsidRPr="003F5A08" w:rsidRDefault="00805A93" w:rsidP="00805A93">
      <w:r w:rsidRPr="003F5A08">
        <w:lastRenderedPageBreak/>
        <w:t xml:space="preserve">The </w:t>
      </w:r>
      <w:r>
        <w:t>s</w:t>
      </w:r>
      <w:r w:rsidRPr="003F5A08">
        <w:t xml:space="preserve">trategy focuses on increasing ZEV uptake and contributes to the </w:t>
      </w:r>
      <w:r>
        <w:t>g</w:t>
      </w:r>
      <w:r w:rsidRPr="003F5A08">
        <w:t>overnment's target of zero emissions by 2050, with an interim target of at least 30 per</w:t>
      </w:r>
      <w:r>
        <w:t xml:space="preserve"> </w:t>
      </w:r>
      <w:r w:rsidRPr="003F5A08">
        <w:t>cent below 2005 levels by 2030.</w:t>
      </w:r>
    </w:p>
    <w:p w14:paraId="3856A9B4" w14:textId="77777777" w:rsidR="00805A93" w:rsidRPr="003F5A08" w:rsidRDefault="00805A93" w:rsidP="00805A93">
      <w:r w:rsidRPr="003F5A08">
        <w:t xml:space="preserve">A key TMR initiative is the Queensland Electric Super Highway (QESH) </w:t>
      </w:r>
      <w:r>
        <w:t>p</w:t>
      </w:r>
      <w:r w:rsidRPr="003F5A08">
        <w:t xml:space="preserve">hase </w:t>
      </w:r>
      <w:r>
        <w:t>three</w:t>
      </w:r>
      <w:r w:rsidRPr="003F5A08">
        <w:t xml:space="preserve"> to expand the network</w:t>
      </w:r>
      <w:r>
        <w:t xml:space="preserve">'s fast charging sites </w:t>
      </w:r>
      <w:r w:rsidRPr="003F5A08">
        <w:t xml:space="preserve">by </w:t>
      </w:r>
      <w:r>
        <w:t>late</w:t>
      </w:r>
      <w:r w:rsidRPr="003F5A08">
        <w:t>-2023. This make</w:t>
      </w:r>
      <w:r>
        <w:t>s</w:t>
      </w:r>
      <w:r w:rsidRPr="003F5A08">
        <w:t xml:space="preserve"> the QESH a truly regional connector linking regional and rural areas across the state to generate greater tourism and economic development.</w:t>
      </w:r>
    </w:p>
    <w:p w14:paraId="6FB9256C" w14:textId="77777777" w:rsidR="00805A93" w:rsidRPr="003F5A08" w:rsidRDefault="00805A93" w:rsidP="00805A93">
      <w:r w:rsidRPr="003F5A08">
        <w:t xml:space="preserve">Two other key actions of the </w:t>
      </w:r>
      <w:r>
        <w:t>s</w:t>
      </w:r>
      <w:r w:rsidRPr="003F5A08">
        <w:t>trategy include delivering a $45 million ZEV Rebate Scheme to make EVs more affordable for Queenslanders and a $10 million co-fund investment with industry to provide additional EV public fast charging infrastructure across Queensland.</w:t>
      </w:r>
    </w:p>
    <w:p w14:paraId="412F4B60" w14:textId="77777777" w:rsidR="00A53E9C" w:rsidRDefault="00A53E9C">
      <w:pPr>
        <w:spacing w:before="0" w:after="160" w:line="259" w:lineRule="auto"/>
        <w:rPr>
          <w:rFonts w:eastAsiaTheme="majorEastAsia" w:cstheme="majorBidi"/>
          <w:color w:val="000000" w:themeColor="text1"/>
          <w:sz w:val="32"/>
          <w:szCs w:val="24"/>
        </w:rPr>
      </w:pPr>
      <w:r>
        <w:br w:type="page"/>
      </w:r>
    </w:p>
    <w:p w14:paraId="2CDD8191" w14:textId="1B0C47E8" w:rsidR="00805A93" w:rsidRPr="005F52E5" w:rsidRDefault="00805A93" w:rsidP="00805A93">
      <w:pPr>
        <w:pStyle w:val="Heading3"/>
      </w:pPr>
      <w:r w:rsidRPr="005F52E5">
        <w:lastRenderedPageBreak/>
        <w:t xml:space="preserve">Electric </w:t>
      </w:r>
      <w:r>
        <w:t>v</w:t>
      </w:r>
      <w:r w:rsidRPr="005F52E5">
        <w:t xml:space="preserve">ehicle </w:t>
      </w:r>
      <w:r>
        <w:t>c</w:t>
      </w:r>
      <w:r w:rsidRPr="005F52E5">
        <w:t xml:space="preserve">harging </w:t>
      </w:r>
      <w:r>
        <w:t>i</w:t>
      </w:r>
      <w:r w:rsidRPr="005F52E5">
        <w:t>nfrastructure</w:t>
      </w:r>
    </w:p>
    <w:p w14:paraId="48C06FB7" w14:textId="77777777" w:rsidR="00805A93" w:rsidRPr="005F52E5" w:rsidRDefault="00805A93" w:rsidP="00805A93">
      <w:r w:rsidRPr="005F52E5">
        <w:t xml:space="preserve">To support </w:t>
      </w:r>
      <w:r>
        <w:t>EV</w:t>
      </w:r>
      <w:r w:rsidRPr="005F52E5">
        <w:t xml:space="preserve"> uptake, </w:t>
      </w:r>
      <w:r>
        <w:t xml:space="preserve">TMR </w:t>
      </w:r>
      <w:r w:rsidRPr="005F52E5">
        <w:t>continues to provide additional EV charging infrastructure across Queensland.</w:t>
      </w:r>
    </w:p>
    <w:p w14:paraId="198AA9BB" w14:textId="77777777" w:rsidR="00805A93" w:rsidRPr="005F52E5" w:rsidRDefault="00805A93" w:rsidP="00805A93">
      <w:r w:rsidRPr="005F52E5">
        <w:t xml:space="preserve">Already, the </w:t>
      </w:r>
      <w:r>
        <w:t>QESH</w:t>
      </w:r>
      <w:r w:rsidRPr="005F52E5">
        <w:t xml:space="preserve"> connects EV drivers across the state and is continuing to expand to more communities.</w:t>
      </w:r>
    </w:p>
    <w:p w14:paraId="779E3423" w14:textId="77777777" w:rsidR="00805A93" w:rsidRPr="005F52E5" w:rsidRDefault="00805A93" w:rsidP="00805A93">
      <w:r w:rsidRPr="005F52E5">
        <w:t>The QESH Phase 3 is a $3.83 million investment to expand the QESH network from 31 to more than 54 public fast charging sites, connecting regional and rural areas across the state</w:t>
      </w:r>
      <w:r>
        <w:t>,</w:t>
      </w:r>
      <w:r w:rsidRPr="005F52E5">
        <w:t xml:space="preserve"> and generating greater tourism and economic development for our communities. </w:t>
      </w:r>
    </w:p>
    <w:p w14:paraId="0B430E51" w14:textId="77777777" w:rsidR="00805A93" w:rsidRPr="005F52E5" w:rsidRDefault="00805A93" w:rsidP="00805A93">
      <w:r w:rsidRPr="005F52E5">
        <w:t xml:space="preserve">Once </w:t>
      </w:r>
      <w:r>
        <w:t>Phase 3</w:t>
      </w:r>
      <w:r w:rsidRPr="005F52E5">
        <w:t xml:space="preserve"> is finalised in </w:t>
      </w:r>
      <w:r>
        <w:t>late-</w:t>
      </w:r>
      <w:r w:rsidRPr="005F52E5">
        <w:t>2023, the QESH will provide an extensive public network of fast</w:t>
      </w:r>
      <w:r>
        <w:t>-</w:t>
      </w:r>
      <w:r w:rsidRPr="005F52E5">
        <w:t>charging locations connecting EV users across a range of regional and metropolitan routes from Coolangatta to Port Douglas, Brisbane to Mount Isa, Goondiwindi to Emerald, Cunnamulla to Barcaldine</w:t>
      </w:r>
      <w:r>
        <w:t>,</w:t>
      </w:r>
      <w:r w:rsidRPr="005F52E5">
        <w:t xml:space="preserve"> and Longreach to Cairns.</w:t>
      </w:r>
    </w:p>
    <w:p w14:paraId="2688E69C" w14:textId="77777777" w:rsidR="00805A93" w:rsidRDefault="00805A93" w:rsidP="00805A93">
      <w:r w:rsidRPr="005F52E5">
        <w:t>Complementing the QESH network will be an additional 44 EV charging units funded through the $10 million EV Charging Infrastructure Co-Fund Scheme</w:t>
      </w:r>
      <w:r>
        <w:t xml:space="preserve">. This initiative includes </w:t>
      </w:r>
      <w:r w:rsidRPr="005F52E5">
        <w:t xml:space="preserve">five successful applicants partnering with the </w:t>
      </w:r>
      <w:r>
        <w:t>Queensland</w:t>
      </w:r>
      <w:r w:rsidRPr="005F52E5">
        <w:t xml:space="preserve"> </w:t>
      </w:r>
      <w:r>
        <w:t>G</w:t>
      </w:r>
      <w:r w:rsidRPr="005F52E5">
        <w:t>overnment to develop $24.5 million worth of EV charging infrastructure across 33 locations</w:t>
      </w:r>
      <w:r>
        <w:t xml:space="preserve">. </w:t>
      </w:r>
    </w:p>
    <w:p w14:paraId="6D03B673" w14:textId="77777777" w:rsidR="00805A93" w:rsidRDefault="00805A93" w:rsidP="00805A93">
      <w:r w:rsidRPr="005F52E5">
        <w:t>These new locations in priority regional areas are expected to be operational before the end of 2024.</w:t>
      </w:r>
    </w:p>
    <w:p w14:paraId="427B5A6E" w14:textId="77777777" w:rsidR="00805A93" w:rsidRPr="005F52E5" w:rsidRDefault="00805A93" w:rsidP="00805A93">
      <w:pPr>
        <w:pStyle w:val="ForMoreInformation"/>
      </w:pPr>
      <w:r>
        <w:t>For more information</w:t>
      </w:r>
      <w:r>
        <w:br/>
      </w:r>
      <w:r w:rsidRPr="001D2F7B">
        <w:rPr>
          <w:rStyle w:val="Hyperlink"/>
        </w:rPr>
        <w:t>https://www.qld.gov.au/transport/projects/electricvehicles/co-funded-electric-vehicle-charging-locations</w:t>
      </w:r>
    </w:p>
    <w:p w14:paraId="11490328" w14:textId="77777777" w:rsidR="00805A93" w:rsidRPr="00756FBC" w:rsidRDefault="00805A93" w:rsidP="00805A93">
      <w:pPr>
        <w:pStyle w:val="Heading3"/>
      </w:pPr>
      <w:bookmarkStart w:id="7" w:name="_Hlk130802213"/>
      <w:r>
        <w:t>Climate change and resilience</w:t>
      </w:r>
    </w:p>
    <w:bookmarkEnd w:id="7"/>
    <w:p w14:paraId="390ADD2A" w14:textId="77777777" w:rsidR="00805A93" w:rsidRPr="00065855" w:rsidRDefault="00805A93" w:rsidP="00805A93">
      <w:r>
        <w:t>C</w:t>
      </w:r>
      <w:r w:rsidRPr="00065855">
        <w:t xml:space="preserve">limate change and extreme weather events present significant risks and opportunities for </w:t>
      </w:r>
      <w:r>
        <w:t>TMR</w:t>
      </w:r>
      <w:r w:rsidRPr="00065855">
        <w:t xml:space="preserve">. </w:t>
      </w:r>
    </w:p>
    <w:p w14:paraId="70D3609B" w14:textId="77777777" w:rsidR="00805A93" w:rsidRPr="00065855" w:rsidRDefault="00805A93" w:rsidP="00805A93">
      <w:r>
        <w:t>TMR</w:t>
      </w:r>
      <w:r w:rsidRPr="00065855">
        <w:t xml:space="preserve"> remains committed to act on climate change, reduce emissions</w:t>
      </w:r>
      <w:r>
        <w:t>,</w:t>
      </w:r>
      <w:r w:rsidRPr="00065855">
        <w:t xml:space="preserve"> and increase resilience to support a single integrated transport network accessible to everyone. </w:t>
      </w:r>
      <w:r>
        <w:t>TMR's</w:t>
      </w:r>
      <w:r w:rsidRPr="00065855">
        <w:t xml:space="preserve"> ongoing risk management work identifies and manages both physical and transitional risks of climate change to TMR's daily operations and future developments. </w:t>
      </w:r>
    </w:p>
    <w:p w14:paraId="782E1E08" w14:textId="77777777" w:rsidR="00805A93" w:rsidRPr="00065855" w:rsidRDefault="00805A93" w:rsidP="00805A93">
      <w:r w:rsidRPr="00C87177">
        <w:t xml:space="preserve">TMR </w:t>
      </w:r>
      <w:r w:rsidRPr="00065855">
        <w:t xml:space="preserve">has commenced work on a </w:t>
      </w:r>
      <w:r>
        <w:t>c</w:t>
      </w:r>
      <w:r w:rsidRPr="00065855">
        <w:t xml:space="preserve">limate </w:t>
      </w:r>
      <w:r>
        <w:t>c</w:t>
      </w:r>
      <w:r w:rsidRPr="00065855">
        <w:t xml:space="preserve">hange and </w:t>
      </w:r>
      <w:r>
        <w:t>r</w:t>
      </w:r>
      <w:r w:rsidRPr="00065855">
        <w:t xml:space="preserve">esilience </w:t>
      </w:r>
      <w:r>
        <w:t>s</w:t>
      </w:r>
      <w:r w:rsidRPr="00065855">
        <w:t xml:space="preserve">trategy, demonstrating commitment to address climate change and enhance resilience of the Queensland transport network. </w:t>
      </w:r>
    </w:p>
    <w:p w14:paraId="1C42FF56" w14:textId="77777777" w:rsidR="00805A93" w:rsidRPr="00065855" w:rsidRDefault="00805A93" w:rsidP="00805A93">
      <w:r>
        <w:t xml:space="preserve">The </w:t>
      </w:r>
      <w:r w:rsidRPr="00065855">
        <w:t>strategy will improve TMR's capability and capacity to develop a more resilient transport network and mitigate climate change risk. It will outline key departmental actions to meet the Queensland Government's emissions reduction targets, including encouragement of low carbon, sustainable</w:t>
      </w:r>
      <w:r>
        <w:t>,</w:t>
      </w:r>
      <w:r w:rsidRPr="00065855">
        <w:t xml:space="preserve"> and resilient transport options. It will also meet our customers needs and community expectations </w:t>
      </w:r>
      <w:r>
        <w:t xml:space="preserve">by </w:t>
      </w:r>
      <w:r w:rsidRPr="00065855">
        <w:t xml:space="preserve">demonstrating </w:t>
      </w:r>
      <w:r>
        <w:t xml:space="preserve">continued </w:t>
      </w:r>
      <w:r w:rsidRPr="00065855">
        <w:t>action on climate change.</w:t>
      </w:r>
    </w:p>
    <w:p w14:paraId="514A4568" w14:textId="77777777" w:rsidR="00805A93" w:rsidRDefault="00805A93" w:rsidP="00805A93">
      <w:pPr>
        <w:pStyle w:val="Heading3"/>
      </w:pPr>
      <w:r>
        <w:t>Active travel economic appraisal tool</w:t>
      </w:r>
    </w:p>
    <w:p w14:paraId="29558558" w14:textId="77777777" w:rsidR="00805A93" w:rsidRPr="00C34332" w:rsidRDefault="00805A93" w:rsidP="00805A93">
      <w:r w:rsidRPr="00C34332">
        <w:t>TMR has developed an interactive web-based tool for estimating the economic costs and benefits of investment in active transport infrastructure.</w:t>
      </w:r>
    </w:p>
    <w:p w14:paraId="50E93D49" w14:textId="77777777" w:rsidR="00805A93" w:rsidRPr="00C34332" w:rsidRDefault="00805A93" w:rsidP="00805A93">
      <w:r w:rsidRPr="00C34332">
        <w:t xml:space="preserve">Released in July 2022, the tool allows best practice cost-benefit analysis by implementing the Australian Transport Assessment and Planning Guidelines for Active Travel. </w:t>
      </w:r>
      <w:r>
        <w:t>It can be used to evaluate</w:t>
      </w:r>
      <w:r w:rsidRPr="00C34332">
        <w:t xml:space="preserve"> proposed infrastructure or recently completed projects, both for stand-alone active transport infrastructure or as part of larger, multi</w:t>
      </w:r>
      <w:r>
        <w:t>-</w:t>
      </w:r>
      <w:r w:rsidRPr="00C34332">
        <w:t>modal projects.</w:t>
      </w:r>
    </w:p>
    <w:p w14:paraId="1EE0FBD4" w14:textId="77777777" w:rsidR="00805A93" w:rsidRPr="00C34332" w:rsidRDefault="00805A93" w:rsidP="00805A93">
      <w:r w:rsidRPr="00C34332">
        <w:t xml:space="preserve">By making cost-benefit analysis practical for a </w:t>
      </w:r>
      <w:r>
        <w:t>broad</w:t>
      </w:r>
      <w:r w:rsidRPr="00C34332">
        <w:t xml:space="preserve"> range of projects, the tool supports the planning and delivery of the TMR Active Transport Investment Program </w:t>
      </w:r>
      <w:r>
        <w:t xml:space="preserve">and is also available for use by </w:t>
      </w:r>
      <w:r w:rsidRPr="00C34332">
        <w:t>local governments.</w:t>
      </w:r>
    </w:p>
    <w:p w14:paraId="3829B37B" w14:textId="77777777" w:rsidR="00805A93" w:rsidRPr="00BC78E2" w:rsidRDefault="00805A93" w:rsidP="00805A93">
      <w:pPr>
        <w:pStyle w:val="ForMoreInformation"/>
      </w:pPr>
      <w:r w:rsidRPr="00BC78E2">
        <w:t>For more information</w:t>
      </w:r>
      <w:r>
        <w:br/>
      </w:r>
      <w:hyperlink r:id="rId17" w:history="1">
        <w:r w:rsidRPr="0047466B">
          <w:rPr>
            <w:rStyle w:val="Hyperlink"/>
          </w:rPr>
          <w:t>https://www.tmr.qld.gov.au/Travel-and-transport/Cycling/Cycling-investment-in-Queensland/Active-transport-economic-appraisal-tool</w:t>
        </w:r>
      </w:hyperlink>
    </w:p>
    <w:p w14:paraId="0A98C2A0" w14:textId="77777777" w:rsidR="00A53E9C" w:rsidRDefault="00A53E9C">
      <w:pPr>
        <w:spacing w:before="0" w:after="160" w:line="259" w:lineRule="auto"/>
        <w:rPr>
          <w:rFonts w:eastAsiaTheme="majorEastAsia" w:cstheme="majorBidi"/>
          <w:color w:val="000000" w:themeColor="text1"/>
          <w:sz w:val="32"/>
          <w:szCs w:val="24"/>
        </w:rPr>
      </w:pPr>
      <w:r>
        <w:br w:type="page"/>
      </w:r>
    </w:p>
    <w:p w14:paraId="32D749C1" w14:textId="4E6B6F46" w:rsidR="00805A93" w:rsidRDefault="00805A93" w:rsidP="00805A93">
      <w:pPr>
        <w:pStyle w:val="Heading3"/>
      </w:pPr>
      <w:r>
        <w:lastRenderedPageBreak/>
        <w:t>Cost of mobility tool</w:t>
      </w:r>
    </w:p>
    <w:p w14:paraId="08354350" w14:textId="77777777" w:rsidR="00805A93" w:rsidRDefault="00805A93" w:rsidP="00805A93">
      <w:r>
        <w:t>The Cost of mobility tool</w:t>
      </w:r>
      <w:r w:rsidRPr="009D68F0">
        <w:t xml:space="preserve"> is an innovative digital portal to view and explore projected trips on the transport network to inform early-stage strategic transport planning within South East Queensland</w:t>
      </w:r>
      <w:r>
        <w:t>.</w:t>
      </w:r>
    </w:p>
    <w:p w14:paraId="7E641180" w14:textId="77777777" w:rsidR="00805A93" w:rsidRDefault="00805A93" w:rsidP="00805A93">
      <w:r>
        <w:t xml:space="preserve">Launched in </w:t>
      </w:r>
      <w:r w:rsidRPr="009D68F0">
        <w:t>February 2023, the interactive tool allows TMR transport planners and decision</w:t>
      </w:r>
      <w:r>
        <w:t>-</w:t>
      </w:r>
      <w:r w:rsidRPr="009D68F0">
        <w:t>makers to visualise all South East Queensland car, public transport, walk</w:t>
      </w:r>
      <w:r>
        <w:t>ing,</w:t>
      </w:r>
      <w:r w:rsidRPr="009D68F0">
        <w:t xml:space="preserve"> and </w:t>
      </w:r>
      <w:r>
        <w:t>cycling</w:t>
      </w:r>
      <w:r w:rsidRPr="009D68F0">
        <w:t xml:space="preserve"> trips</w:t>
      </w:r>
      <w:r>
        <w:t>,</w:t>
      </w:r>
      <w:r w:rsidRPr="009D68F0">
        <w:t xml:space="preserve"> and the associated private and social costs of each trip. Users can filter the data across a variety of characteristics including trip mode, location</w:t>
      </w:r>
      <w:r>
        <w:t>,</w:t>
      </w:r>
      <w:r w:rsidRPr="009D68F0">
        <w:t xml:space="preserve"> and trip purpose</w:t>
      </w:r>
      <w:r>
        <w:t>.</w:t>
      </w:r>
    </w:p>
    <w:p w14:paraId="6000599A" w14:textId="77777777" w:rsidR="00805A93" w:rsidRPr="009601AA" w:rsidRDefault="00805A93" w:rsidP="00805A93">
      <w:r>
        <w:t>The tool provides a</w:t>
      </w:r>
      <w:r w:rsidRPr="009D68F0" w:rsidDel="00AF18C3">
        <w:t xml:space="preserve"> </w:t>
      </w:r>
      <w:r w:rsidRPr="009D68F0">
        <w:t>clearer understanding of the varying cost of travel across geographic areas to inform regional priorities and how transport outcomes such as accessibility, efficiency</w:t>
      </w:r>
      <w:r>
        <w:t>,</w:t>
      </w:r>
      <w:r w:rsidRPr="009D68F0">
        <w:t xml:space="preserve"> and sustainability may change over time within South East Queensland</w:t>
      </w:r>
      <w:r>
        <w:t>.</w:t>
      </w:r>
    </w:p>
    <w:p w14:paraId="087A5DC3" w14:textId="77777777" w:rsidR="00805A93" w:rsidRPr="0061618F" w:rsidRDefault="00805A93" w:rsidP="00805A93">
      <w:pPr>
        <w:pStyle w:val="Heading3"/>
      </w:pPr>
      <w:r w:rsidRPr="0061618F">
        <w:t>Queensland Rail</w:t>
      </w:r>
    </w:p>
    <w:p w14:paraId="596BBC22" w14:textId="77777777" w:rsidR="00805A93" w:rsidRPr="006228D2" w:rsidRDefault="00805A93" w:rsidP="00805A93">
      <w:r>
        <w:t>TMR continued to invest in passenger rail services and rail infrastructure and assets across the state through the Rail Transport Service Contract with Queensland Rail.</w:t>
      </w:r>
    </w:p>
    <w:p w14:paraId="151D4A55" w14:textId="77777777" w:rsidR="00805A93" w:rsidRDefault="00805A93" w:rsidP="00805A93">
      <w:r>
        <w:t>In 202</w:t>
      </w:r>
      <w:r w:rsidRPr="006228D2">
        <w:t xml:space="preserve">2–23, Queensland Rail delivered approximately 8000 weekly Citytrain services in South East Queensland, and approximately 76 weekly travel and tourism services in regional Queensland. </w:t>
      </w:r>
    </w:p>
    <w:p w14:paraId="1FB95A86" w14:textId="77777777" w:rsidR="00805A93" w:rsidRPr="00CE0333" w:rsidRDefault="00805A93" w:rsidP="00805A93">
      <w:r w:rsidRPr="00CE0333">
        <w:t>TMR continued to work with Queensland Rail to deliver key rail infrastructure improvements across the network. This included the completion of accessibility upgrades at Auchenflower, Cannon Hill, and South Bank Platform 1. Planning progressed for the delivery of accessibility upgrades at Banyo, Bundamba, Buranda, Burpengary, Lindum, and Morningside.</w:t>
      </w:r>
    </w:p>
    <w:p w14:paraId="24D290A3" w14:textId="77777777" w:rsidR="00805A93" w:rsidRPr="00CE0333" w:rsidRDefault="00805A93" w:rsidP="00805A93">
      <w:r w:rsidRPr="00CE0333">
        <w:t>Delivery of the North Coast Line Capacity Improvement Project has progressed. This project will increase rail freight capacity on the North Coast Line, which is an important part of the National Land Transport Network in Queensland.</w:t>
      </w:r>
    </w:p>
    <w:p w14:paraId="3D037B68" w14:textId="77777777" w:rsidR="00805A93" w:rsidRPr="00894A4D" w:rsidRDefault="00805A93" w:rsidP="00805A93">
      <w:pPr>
        <w:pStyle w:val="ForMoreInformation"/>
      </w:pPr>
      <w:r>
        <w:t>For more information</w:t>
      </w:r>
      <w:r>
        <w:br/>
      </w:r>
      <w:hyperlink r:id="rId18" w:history="1">
        <w:r w:rsidRPr="0047466B">
          <w:rPr>
            <w:rStyle w:val="Hyperlink"/>
          </w:rPr>
          <w:t>https://www.tmr.qld.gov.au/business-industry/Transport-sectors/Rail-services-and-infrastructure</w:t>
        </w:r>
      </w:hyperlink>
    </w:p>
    <w:p w14:paraId="49A2157B" w14:textId="77777777" w:rsidR="00805A93" w:rsidRPr="00DC1A33" w:rsidRDefault="00805A93" w:rsidP="00805A93">
      <w:pPr>
        <w:pStyle w:val="Heading3"/>
      </w:pPr>
      <w:r>
        <w:t>Cattle rail services</w:t>
      </w:r>
    </w:p>
    <w:p w14:paraId="6A1EDB36" w14:textId="77777777" w:rsidR="00805A93" w:rsidRDefault="00805A93" w:rsidP="00805A93">
      <w:r>
        <w:t>TMR continued to subsidise statewide cattle rail services through the North Transport Services Contract, and Central and South Transport Services Contract with Watco East West.</w:t>
      </w:r>
    </w:p>
    <w:p w14:paraId="3CCC840E" w14:textId="77777777" w:rsidR="00805A93" w:rsidRDefault="00805A93" w:rsidP="00805A93">
      <w:r w:rsidRPr="00F85862">
        <w:t xml:space="preserve">In 2022, Watco East West </w:t>
      </w:r>
      <w:r w:rsidRPr="00C652ED">
        <w:t>secur</w:t>
      </w:r>
      <w:r>
        <w:t>ed</w:t>
      </w:r>
      <w:r w:rsidRPr="00C652ED">
        <w:t xml:space="preserve"> access to several </w:t>
      </w:r>
      <w:r>
        <w:t xml:space="preserve">cattle </w:t>
      </w:r>
      <w:r w:rsidRPr="00C652ED">
        <w:t xml:space="preserve">loading and unloading facilities </w:t>
      </w:r>
      <w:r>
        <w:t xml:space="preserve">and </w:t>
      </w:r>
      <w:r w:rsidRPr="00C652ED">
        <w:t>deliver</w:t>
      </w:r>
      <w:r>
        <w:t>ed</w:t>
      </w:r>
      <w:r w:rsidRPr="00C652ED">
        <w:t xml:space="preserve"> services </w:t>
      </w:r>
      <w:r>
        <w:t xml:space="preserve">from regional hubs across the state </w:t>
      </w:r>
      <w:r w:rsidRPr="00C652ED">
        <w:t>to key processing destinations across the Queensland network</w:t>
      </w:r>
      <w:r>
        <w:t>, including</w:t>
      </w:r>
      <w:r w:rsidRPr="00C652ED">
        <w:t xml:space="preserve"> in Townsville, Rockhampton</w:t>
      </w:r>
      <w:r>
        <w:t>,</w:t>
      </w:r>
      <w:r w:rsidRPr="00C652ED">
        <w:t xml:space="preserve"> and South East Queensland.</w:t>
      </w:r>
      <w:r>
        <w:t xml:space="preserve"> </w:t>
      </w:r>
    </w:p>
    <w:p w14:paraId="0CF2D3F9" w14:textId="77777777" w:rsidR="00805A93" w:rsidRPr="00D71748" w:rsidRDefault="00805A93" w:rsidP="00805A93">
      <w:r>
        <w:t xml:space="preserve">Subsidised cattle rail services enhance regional employment and economic development and assist in managing transport demands on the road network.  </w:t>
      </w:r>
    </w:p>
    <w:p w14:paraId="5ABAA47D" w14:textId="77777777" w:rsidR="00805A93" w:rsidRDefault="00805A93" w:rsidP="00805A93">
      <w:pPr>
        <w:pStyle w:val="ForMoreInformation"/>
      </w:pPr>
      <w:r>
        <w:t>For more information</w:t>
      </w:r>
      <w:r>
        <w:br/>
      </w:r>
      <w:hyperlink r:id="rId19" w:history="1">
        <w:r w:rsidRPr="0047466B">
          <w:rPr>
            <w:rStyle w:val="Hyperlink"/>
          </w:rPr>
          <w:t>https://www.tmr.qld.gov.au/business-industry/Transport-sectors/Rail-services-and-infrastructure/Rail-Transport-Contracts-and-Agreements</w:t>
        </w:r>
      </w:hyperlink>
    </w:p>
    <w:p w14:paraId="45452F9E" w14:textId="05EB1EA3" w:rsidR="00805A93" w:rsidRDefault="00805A93" w:rsidP="004F068F">
      <w:pPr>
        <w:pStyle w:val="Heading3"/>
      </w:pPr>
      <w:r>
        <w:t xml:space="preserve">Case </w:t>
      </w:r>
      <w:r w:rsidR="004F068F">
        <w:t>s</w:t>
      </w:r>
      <w:r>
        <w:t>tudy</w:t>
      </w:r>
      <w:r w:rsidR="004F068F">
        <w:t xml:space="preserve"> t</w:t>
      </w:r>
      <w:r>
        <w:t>he blueprint for the future rail network in South East Queensland</w:t>
      </w:r>
    </w:p>
    <w:p w14:paraId="0A40A2EF" w14:textId="77777777" w:rsidR="00805A93" w:rsidRDefault="00805A93" w:rsidP="00805A93">
      <w:r w:rsidRPr="00F01784">
        <w:t>The rail network is the backbone of the S</w:t>
      </w:r>
      <w:r>
        <w:t xml:space="preserve">outh East Queensland </w:t>
      </w:r>
      <w:r w:rsidRPr="00F01784">
        <w:t>public transport network. It connects</w:t>
      </w:r>
      <w:r>
        <w:t xml:space="preserve"> Brisbane</w:t>
      </w:r>
      <w:r w:rsidRPr="00F01784">
        <w:t>, major cities</w:t>
      </w:r>
      <w:r>
        <w:t>,</w:t>
      </w:r>
      <w:r w:rsidRPr="00F01784">
        <w:t xml:space="preserve"> and growing regional centres with reliable and convenient services. </w:t>
      </w:r>
    </w:p>
    <w:p w14:paraId="6CB758D4" w14:textId="77777777" w:rsidR="00805A93" w:rsidRDefault="00805A93" w:rsidP="00805A93">
      <w:r w:rsidRPr="00F01784">
        <w:t>S</w:t>
      </w:r>
      <w:r>
        <w:t>outh East Queensland</w:t>
      </w:r>
      <w:r w:rsidRPr="00F01784">
        <w:t xml:space="preserve"> has experienced significant population growth over the last two decade</w:t>
      </w:r>
      <w:r>
        <w:t xml:space="preserve">s. </w:t>
      </w:r>
      <w:r w:rsidRPr="00A42354">
        <w:t>A well</w:t>
      </w:r>
      <w:r>
        <w:t xml:space="preserve"> </w:t>
      </w:r>
      <w:r w:rsidRPr="00A42354">
        <w:t>planned and reliable rail network is vital to efficiently getting people to where they need to go, encouraging more people onto public transport and managing road congestion.</w:t>
      </w:r>
    </w:p>
    <w:p w14:paraId="3F469C84" w14:textId="77777777" w:rsidR="00A53E9C" w:rsidRDefault="00A53E9C">
      <w:pPr>
        <w:spacing w:before="0" w:after="160" w:line="259" w:lineRule="auto"/>
        <w:rPr>
          <w:rStyle w:val="Emphasis"/>
        </w:rPr>
      </w:pPr>
      <w:r>
        <w:rPr>
          <w:rStyle w:val="Emphasis"/>
        </w:rPr>
        <w:lastRenderedPageBreak/>
        <w:br w:type="page"/>
      </w:r>
    </w:p>
    <w:p w14:paraId="50D7AB16" w14:textId="216F20B6" w:rsidR="00805A93" w:rsidRDefault="00805A93" w:rsidP="00805A93">
      <w:r w:rsidRPr="00BD14DB">
        <w:rPr>
          <w:rStyle w:val="Emphasis"/>
        </w:rPr>
        <w:lastRenderedPageBreak/>
        <w:t>SEQ Rail Connect</w:t>
      </w:r>
      <w:r w:rsidRPr="00C67A96">
        <w:t xml:space="preserve"> </w:t>
      </w:r>
      <w:r>
        <w:t>is the blueprint for preparing the South East Queensland rail network for the future. The document sets out how the rail network will be ready for Cross River Rail and support better journeys for customers. It outlines record investment of $6 billion from 2022–23 to 2025–26 in new trains, tracks, stations, signalling, stabling, ticketing, and more across South East Queensland.</w:t>
      </w:r>
    </w:p>
    <w:p w14:paraId="7CCB3E62" w14:textId="77777777" w:rsidR="00805A93" w:rsidRDefault="00805A93" w:rsidP="00805A93">
      <w:r>
        <w:t xml:space="preserve">It sets out key investment priorities for the South East Queensland rail network— before Cross River Rail opens, the following five years, and planning for longer term upgrades.  </w:t>
      </w:r>
    </w:p>
    <w:p w14:paraId="1C253C2D" w14:textId="77777777" w:rsidR="00805A93" w:rsidRDefault="00805A93" w:rsidP="00805A93">
      <w:r w:rsidRPr="00A63C72">
        <w:rPr>
          <w:rStyle w:val="Emphasis"/>
        </w:rPr>
        <w:t>SEQ Rail Connect</w:t>
      </w:r>
      <w:r>
        <w:t xml:space="preserve"> will help deliver TMR's vision for a single, integrated transport network accessible to everyone.</w:t>
      </w:r>
    </w:p>
    <w:p w14:paraId="5B824684" w14:textId="77777777" w:rsidR="00805A93" w:rsidRPr="00DC1A33" w:rsidRDefault="00805A93" w:rsidP="00805A93">
      <w:pPr>
        <w:pStyle w:val="Heading3"/>
      </w:pPr>
      <w:r>
        <w:t>Regional air services</w:t>
      </w:r>
    </w:p>
    <w:p w14:paraId="2FD80A53" w14:textId="77777777" w:rsidR="00805A93" w:rsidRDefault="00805A93" w:rsidP="00805A93">
      <w:r>
        <w:t>TMR continued to provide seven government-subsidised regulated air routes in Queensland through air service contracts. The regulated air service contracts set service levels, maximum airfare prices, aircraft size, and on-time performance standards along regulated routes to guarantee an appropriate level of service is provided to 23 regional Queensland communities.</w:t>
      </w:r>
    </w:p>
    <w:p w14:paraId="0E10D9DD" w14:textId="77777777" w:rsidR="00805A93" w:rsidRPr="00DA206B" w:rsidRDefault="00805A93" w:rsidP="00805A93">
      <w:r w:rsidRPr="00DA206B">
        <w:t>The latest generation of TMR's aviation service contracts commenced in January 2022 and are in place for a period of five years with two optional 12</w:t>
      </w:r>
      <w:r>
        <w:t>-</w:t>
      </w:r>
      <w:r w:rsidRPr="00DA206B">
        <w:t>month extensions.</w:t>
      </w:r>
    </w:p>
    <w:p w14:paraId="3782A03E" w14:textId="77777777" w:rsidR="00805A93" w:rsidRDefault="00805A93" w:rsidP="00805A93">
      <w:r w:rsidRPr="00DA206B">
        <w:t>TMR regularly engage</w:t>
      </w:r>
      <w:r>
        <w:t>s</w:t>
      </w:r>
      <w:r w:rsidRPr="00DA206B">
        <w:t xml:space="preserve"> with relevant industry, councils</w:t>
      </w:r>
      <w:r>
        <w:t>,</w:t>
      </w:r>
      <w:r w:rsidRPr="00DA206B">
        <w:t xml:space="preserve"> and communities on these routes, </w:t>
      </w:r>
      <w:r>
        <w:t>resulting</w:t>
      </w:r>
      <w:r w:rsidRPr="00DA206B">
        <w:t xml:space="preserve"> in the implementation of the trial of some additional services.</w:t>
      </w:r>
    </w:p>
    <w:p w14:paraId="294A43C4" w14:textId="77777777" w:rsidR="00805A93" w:rsidRDefault="00805A93" w:rsidP="00805A93">
      <w:r>
        <w:t>To address the concern that</w:t>
      </w:r>
      <w:r w:rsidRPr="00B8637D">
        <w:t xml:space="preserve"> </w:t>
      </w:r>
      <w:r>
        <w:t>communities may not have access to seats when urgent travel is required, TMR has implemented a ten-month trial of an additional abbreviated Gulf Route service</w:t>
      </w:r>
      <w:r w:rsidRPr="00722B8A">
        <w:t xml:space="preserve"> </w:t>
      </w:r>
      <w:r>
        <w:t>two days a week.</w:t>
      </w:r>
    </w:p>
    <w:p w14:paraId="2116767E" w14:textId="77777777" w:rsidR="00805A93" w:rsidRDefault="00805A93" w:rsidP="00805A93">
      <w:r>
        <w:t xml:space="preserve">The new service provides an additional connection between Cairns and the communities of Normanton and Mornington Island, and will free up seats to other communities by providing additional capacity for these high-demand sectors. </w:t>
      </w:r>
    </w:p>
    <w:p w14:paraId="75CC93C4" w14:textId="77777777" w:rsidR="00805A93" w:rsidRDefault="00805A93" w:rsidP="00805A93">
      <w:r w:rsidRPr="00D55492">
        <w:t xml:space="preserve">The trial </w:t>
      </w:r>
      <w:r>
        <w:t>G</w:t>
      </w:r>
      <w:r w:rsidRPr="00D55492">
        <w:t xml:space="preserve">ulf </w:t>
      </w:r>
      <w:r>
        <w:t>Route service</w:t>
      </w:r>
      <w:r w:rsidRPr="00D55492">
        <w:t xml:space="preserve">s will provide additional capacity to ensure essential services are delivered </w:t>
      </w:r>
      <w:r>
        <w:t>in</w:t>
      </w:r>
      <w:r w:rsidRPr="00D55492">
        <w:t xml:space="preserve"> the </w:t>
      </w:r>
      <w:r>
        <w:t>G</w:t>
      </w:r>
      <w:r w:rsidRPr="00D55492">
        <w:t xml:space="preserve">ulf </w:t>
      </w:r>
      <w:r>
        <w:t xml:space="preserve">of Carpentaria </w:t>
      </w:r>
      <w:r w:rsidRPr="00D55492">
        <w:t xml:space="preserve">and </w:t>
      </w:r>
      <w:r>
        <w:t xml:space="preserve">will </w:t>
      </w:r>
      <w:r w:rsidRPr="00D55492">
        <w:t>also provide better access to health, education</w:t>
      </w:r>
      <w:r>
        <w:t>,</w:t>
      </w:r>
      <w:r w:rsidRPr="00D55492">
        <w:t xml:space="preserve"> and employment in regional centers such as Cairns and Mount Isa</w:t>
      </w:r>
      <w:r>
        <w:t>. The trial runs from 6 March 2023 to 15 December 2023.</w:t>
      </w:r>
    </w:p>
    <w:p w14:paraId="444DB7CB" w14:textId="77777777" w:rsidR="00805A93" w:rsidRPr="00BC48BC" w:rsidRDefault="00805A93" w:rsidP="00805A93">
      <w:r w:rsidRPr="00BC48BC">
        <w:t xml:space="preserve">So far, 2023 has been a challenging year for aviation nationally, and particularly for Queensland. Extreme weather in the far north of the </w:t>
      </w:r>
      <w:r>
        <w:t>s</w:t>
      </w:r>
      <w:r w:rsidRPr="00BC48BC">
        <w:t xml:space="preserve">tate, from the end of February </w:t>
      </w:r>
      <w:r>
        <w:t xml:space="preserve">2023 </w:t>
      </w:r>
      <w:r w:rsidRPr="00BC48BC">
        <w:t xml:space="preserve">to the first week of April </w:t>
      </w:r>
      <w:r>
        <w:t xml:space="preserve">2023 </w:t>
      </w:r>
      <w:r w:rsidRPr="00BC48BC">
        <w:t xml:space="preserve">created very difficult conditions for aviation operations and led to aviation fuel shortages and the closure of the Burketown runway for a month.  </w:t>
      </w:r>
    </w:p>
    <w:p w14:paraId="7490CEAB" w14:textId="77777777" w:rsidR="00805A93" w:rsidRDefault="00805A93" w:rsidP="00805A93">
      <w:r w:rsidRPr="00BC48BC">
        <w:t>Nationally, air operators continue to deal with shortages of crew and engineering staff following the COVID</w:t>
      </w:r>
      <w:r>
        <w:t>-19</w:t>
      </w:r>
      <w:r w:rsidRPr="00BC48BC">
        <w:t xml:space="preserve"> downturn in travel and this has led to some operators reducing their commercial services.</w:t>
      </w:r>
    </w:p>
    <w:p w14:paraId="725573D9" w14:textId="77777777" w:rsidR="00805A93" w:rsidRPr="00806F4D" w:rsidRDefault="00805A93" w:rsidP="00805A93">
      <w:r w:rsidRPr="00806F4D">
        <w:t xml:space="preserve">In 2022–23, approximately </w:t>
      </w:r>
      <w:r w:rsidRPr="00BC48BC">
        <w:t xml:space="preserve">148,000 </w:t>
      </w:r>
      <w:r w:rsidRPr="00806F4D">
        <w:t>passengers travelled on Queensland Government regulated air services providing valuable access to air travel for rural and remote customers. This was a strong rebound from the COVID-</w:t>
      </w:r>
      <w:r>
        <w:t xml:space="preserve">19 </w:t>
      </w:r>
      <w:r w:rsidRPr="00806F4D">
        <w:t xml:space="preserve">affected years, with passenger travel </w:t>
      </w:r>
      <w:r w:rsidRPr="00BC48BC">
        <w:t>24</w:t>
      </w:r>
      <w:r w:rsidRPr="00806F4D">
        <w:t xml:space="preserve"> per cent above that of 2021–22 and </w:t>
      </w:r>
      <w:r>
        <w:t>40</w:t>
      </w:r>
      <w:r w:rsidRPr="00806F4D">
        <w:t xml:space="preserve"> per cent above 2020–21.</w:t>
      </w:r>
    </w:p>
    <w:p w14:paraId="534A443E" w14:textId="77777777" w:rsidR="00805A93" w:rsidRDefault="00805A93" w:rsidP="00805A93">
      <w:pPr>
        <w:pStyle w:val="ForMoreInformation"/>
      </w:pPr>
      <w:r>
        <w:t>For more information</w:t>
      </w:r>
      <w:r>
        <w:br/>
      </w:r>
      <w:hyperlink r:id="rId20" w:history="1">
        <w:r w:rsidRPr="0047466B">
          <w:rPr>
            <w:rStyle w:val="Hyperlink"/>
          </w:rPr>
          <w:t>https://www.tmr.qld.gov.au/regionalconnect</w:t>
        </w:r>
      </w:hyperlink>
    </w:p>
    <w:p w14:paraId="6328D477" w14:textId="4C2515A1" w:rsidR="00805A93" w:rsidRDefault="00805A93" w:rsidP="009249AF">
      <w:pPr>
        <w:pStyle w:val="Heading3"/>
      </w:pPr>
      <w:r>
        <w:t xml:space="preserve">Case </w:t>
      </w:r>
      <w:r w:rsidR="004F068F">
        <w:t>s</w:t>
      </w:r>
      <w:r>
        <w:t>tudy</w:t>
      </w:r>
      <w:r w:rsidR="009249AF">
        <w:t xml:space="preserve"> </w:t>
      </w:r>
      <w:r w:rsidR="004F068F">
        <w:t>p</w:t>
      </w:r>
      <w:r>
        <w:t>riority ports of Hay Point/Mackay and Abbot Point draft master plans and draft port overlays</w:t>
      </w:r>
    </w:p>
    <w:p w14:paraId="306BC02F" w14:textId="77777777" w:rsidR="00805A93" w:rsidRDefault="00805A93" w:rsidP="00805A93">
      <w:r>
        <w:t>TMR</w:t>
      </w:r>
      <w:r w:rsidRPr="00245BCB">
        <w:t xml:space="preserve"> is delivering master plans and port overlays for the priority ports of Hay Point/Mackay and Abbot Point, in accordance with the </w:t>
      </w:r>
      <w:r>
        <w:rPr>
          <w:rStyle w:val="Emphasis"/>
        </w:rPr>
        <w:t xml:space="preserve">Sustainable Ports Development Act 2015 </w:t>
      </w:r>
      <w:r w:rsidRPr="00245BCB">
        <w:t xml:space="preserve">and the </w:t>
      </w:r>
      <w:r>
        <w:rPr>
          <w:rStyle w:val="Emphasis"/>
        </w:rPr>
        <w:t>Reef 2050 Long-Term Sustainability Plan</w:t>
      </w:r>
      <w:r w:rsidRPr="00245BCB">
        <w:t xml:space="preserve">. </w:t>
      </w:r>
      <w:r>
        <w:br/>
      </w:r>
      <w:r>
        <w:br/>
      </w:r>
      <w:r w:rsidRPr="00245BCB">
        <w:t>Master plans set out the long-term outlook for the port</w:t>
      </w:r>
      <w:r>
        <w:t>s</w:t>
      </w:r>
      <w:r w:rsidRPr="00245BCB">
        <w:t>, balancing economic growth while providing protection of environmental and cultural values and community interests</w:t>
      </w:r>
      <w:r>
        <w:t>.</w:t>
      </w:r>
    </w:p>
    <w:p w14:paraId="30B89495" w14:textId="77777777" w:rsidR="00805A93" w:rsidRPr="00245BCB" w:rsidRDefault="00805A93" w:rsidP="00805A93">
      <w:r>
        <w:t>Master planning processes ensure:</w:t>
      </w:r>
    </w:p>
    <w:p w14:paraId="3428D2E0" w14:textId="77777777" w:rsidR="00805A93" w:rsidRPr="00074B61" w:rsidRDefault="00805A93" w:rsidP="00805A93">
      <w:pPr>
        <w:pStyle w:val="ListBullet"/>
      </w:pPr>
      <w:r w:rsidRPr="00245BCB">
        <w:t xml:space="preserve">the </w:t>
      </w:r>
      <w:r w:rsidRPr="00074B61">
        <w:t>Outstanding Universal Value of the Great Barrier Reef World Heritage Area is an intrinsic consideration in future port development, management, and governance</w:t>
      </w:r>
    </w:p>
    <w:p w14:paraId="1D2E9E70" w14:textId="77777777" w:rsidR="00805A93" w:rsidRPr="00074B61" w:rsidRDefault="00805A93" w:rsidP="00805A93">
      <w:pPr>
        <w:pStyle w:val="ListBullet"/>
      </w:pPr>
      <w:r>
        <w:lastRenderedPageBreak/>
        <w:t xml:space="preserve">infrastructure is </w:t>
      </w:r>
      <w:r w:rsidRPr="00074B61">
        <w:t>optimised to maximise the development potential of each port</w:t>
      </w:r>
    </w:p>
    <w:p w14:paraId="2080F7F8" w14:textId="77777777" w:rsidR="00805A93" w:rsidRPr="00074B61" w:rsidRDefault="00805A93" w:rsidP="00805A93">
      <w:pPr>
        <w:pStyle w:val="ListBullet"/>
      </w:pPr>
      <w:r w:rsidRPr="00245BCB">
        <w:t>transparent decision</w:t>
      </w:r>
      <w:r w:rsidRPr="00074B61">
        <w:t>-making</w:t>
      </w:r>
    </w:p>
    <w:p w14:paraId="0EB5B14D" w14:textId="77777777" w:rsidR="00805A93" w:rsidRPr="00074B61" w:rsidRDefault="00805A93" w:rsidP="00805A93">
      <w:pPr>
        <w:pStyle w:val="ListBullet"/>
      </w:pPr>
      <w:r w:rsidRPr="00245BCB">
        <w:t xml:space="preserve">meaningful engagement with stakeholders. </w:t>
      </w:r>
    </w:p>
    <w:p w14:paraId="6B5F8008" w14:textId="77777777" w:rsidR="00805A93" w:rsidRPr="00245BCB" w:rsidRDefault="00805A93" w:rsidP="00805A93">
      <w:r w:rsidRPr="00245BCB">
        <w:t>Draft master plans and draft port overlays for the priority ports of Hay Point/Mackay and Abbot Point were released for public consultation</w:t>
      </w:r>
      <w:r>
        <w:t xml:space="preserve"> from October 2022 to January 2023.</w:t>
      </w:r>
      <w:r w:rsidRPr="00245BCB">
        <w:t xml:space="preserve"> </w:t>
      </w:r>
      <w:r>
        <w:t>C</w:t>
      </w:r>
      <w:r w:rsidRPr="00245BCB">
        <w:t xml:space="preserve">omments </w:t>
      </w:r>
      <w:r>
        <w:t xml:space="preserve">from </w:t>
      </w:r>
      <w:r w:rsidRPr="00245BCB">
        <w:t>key stakeholders</w:t>
      </w:r>
      <w:r>
        <w:t xml:space="preserve"> and the community</w:t>
      </w:r>
      <w:r w:rsidRPr="00245BCB">
        <w:t xml:space="preserve"> </w:t>
      </w:r>
      <w:r>
        <w:t>will be considered in the</w:t>
      </w:r>
      <w:r w:rsidRPr="00245BCB">
        <w:t xml:space="preserve"> final master planning documents</w:t>
      </w:r>
      <w:r>
        <w:t>.</w:t>
      </w:r>
    </w:p>
    <w:p w14:paraId="49BFA16D" w14:textId="77777777" w:rsidR="00805A93" w:rsidRDefault="00805A93" w:rsidP="00805A93">
      <w:pPr>
        <w:pStyle w:val="ForMoreInformation"/>
      </w:pPr>
      <w:r>
        <w:t>For more information</w:t>
      </w:r>
      <w:r>
        <w:br/>
      </w:r>
      <w:hyperlink r:id="rId21" w:history="1">
        <w:r w:rsidRPr="00074B61">
          <w:rPr>
            <w:rStyle w:val="Hyperlink"/>
          </w:rPr>
          <w:t>https://www.tmr.qld.gov.au/business-industry/transport-sectors/ports/sustainable-port-development-and-operation/master-planning-for-priority-ports</w:t>
        </w:r>
      </w:hyperlink>
    </w:p>
    <w:p w14:paraId="57A0A970" w14:textId="77777777" w:rsidR="00805A93" w:rsidRPr="00DC1A33" w:rsidRDefault="00805A93" w:rsidP="00805A93">
      <w:pPr>
        <w:pStyle w:val="Heading3"/>
      </w:pPr>
      <w:r>
        <w:t>SEQ Rail Connect</w:t>
      </w:r>
    </w:p>
    <w:p w14:paraId="49911B88" w14:textId="77777777" w:rsidR="00805A93" w:rsidRPr="00675F5F" w:rsidRDefault="00805A93" w:rsidP="00805A93">
      <w:r>
        <w:t xml:space="preserve">The Queensland Government has released </w:t>
      </w:r>
      <w:r w:rsidRPr="00056524">
        <w:rPr>
          <w:rStyle w:val="Emphasis"/>
        </w:rPr>
        <w:t>SEQ Rail Connect</w:t>
      </w:r>
      <w:r>
        <w:t>,</w:t>
      </w:r>
      <w:r w:rsidRPr="00675F5F">
        <w:t xml:space="preserve"> a blueprint </w:t>
      </w:r>
      <w:r>
        <w:t xml:space="preserve">communicating </w:t>
      </w:r>
      <w:r w:rsidRPr="00675F5F">
        <w:t xml:space="preserve">how the rail network </w:t>
      </w:r>
      <w:r>
        <w:t xml:space="preserve">will be reshaped over the coming decade </w:t>
      </w:r>
      <w:r w:rsidRPr="00675F5F">
        <w:t>to meet future needs of the growing South East Queensland region.</w:t>
      </w:r>
      <w:r>
        <w:t xml:space="preserve"> TMR is</w:t>
      </w:r>
      <w:r w:rsidRPr="00675F5F">
        <w:t xml:space="preserve"> preparing the network for Cross River Rail</w:t>
      </w:r>
      <w:r>
        <w:t xml:space="preserve"> by</w:t>
      </w:r>
      <w:r w:rsidRPr="00675F5F">
        <w:t xml:space="preserve"> building new and upgraded stations and park </w:t>
      </w:r>
      <w:r>
        <w:t>'</w:t>
      </w:r>
      <w:r w:rsidRPr="00675F5F">
        <w:t>n</w:t>
      </w:r>
      <w:r>
        <w:t>'</w:t>
      </w:r>
      <w:r w:rsidRPr="00675F5F">
        <w:t xml:space="preserve"> rides, laying new track</w:t>
      </w:r>
      <w:r>
        <w:t>s</w:t>
      </w:r>
      <w:r w:rsidRPr="00675F5F">
        <w:t>, implementing new ticketing and signalling equipment</w:t>
      </w:r>
      <w:r>
        <w:t>,</w:t>
      </w:r>
      <w:r w:rsidRPr="00675F5F">
        <w:t xml:space="preserve"> and manufacturing new trains in Queensland.</w:t>
      </w:r>
    </w:p>
    <w:p w14:paraId="5EDA152F" w14:textId="77777777" w:rsidR="00805A93" w:rsidRPr="00675F5F" w:rsidRDefault="00805A93" w:rsidP="00805A93">
      <w:r w:rsidRPr="00D3203A">
        <w:rPr>
          <w:rStyle w:val="Emphasis"/>
        </w:rPr>
        <w:t>SEQ Rail Connect</w:t>
      </w:r>
      <w:r w:rsidRPr="00675F5F">
        <w:t xml:space="preserve"> sets out three priority outcomes:</w:t>
      </w:r>
    </w:p>
    <w:p w14:paraId="6F6B91AD" w14:textId="77777777" w:rsidR="00805A93" w:rsidRDefault="00805A93" w:rsidP="00805A93">
      <w:pPr>
        <w:pStyle w:val="ListBullet"/>
      </w:pPr>
      <w:r>
        <w:t>preparing</w:t>
      </w:r>
      <w:r w:rsidRPr="00675F5F">
        <w:t xml:space="preserve"> for Cross River Rail with simplified and consistent service types and more reliable operations</w:t>
      </w:r>
    </w:p>
    <w:p w14:paraId="0CC07F61" w14:textId="77777777" w:rsidR="00805A93" w:rsidRDefault="00805A93" w:rsidP="00805A93">
      <w:pPr>
        <w:pStyle w:val="ListBullet"/>
      </w:pPr>
      <w:r>
        <w:t>b</w:t>
      </w:r>
      <w:r w:rsidRPr="00675F5F">
        <w:t>etter journeys with more frequent and faster services and greater comfort with more trains and more seats</w:t>
      </w:r>
    </w:p>
    <w:p w14:paraId="4FE36482" w14:textId="77777777" w:rsidR="00805A93" w:rsidRPr="00675F5F" w:rsidRDefault="00805A93" w:rsidP="00805A93">
      <w:pPr>
        <w:pStyle w:val="ListBullet"/>
      </w:pPr>
      <w:r>
        <w:t>e</w:t>
      </w:r>
      <w:r w:rsidRPr="00675F5F">
        <w:t>asier access to more locations with new and upgraded stations and better connections between home, work, study, leisure</w:t>
      </w:r>
      <w:r>
        <w:t>,</w:t>
      </w:r>
      <w:r w:rsidRPr="00675F5F">
        <w:t xml:space="preserve"> and essential services.</w:t>
      </w:r>
    </w:p>
    <w:p w14:paraId="6193B8E0" w14:textId="77777777" w:rsidR="00805A93" w:rsidRPr="00675F5F" w:rsidRDefault="00805A93" w:rsidP="00805A93">
      <w:r w:rsidRPr="00675F5F">
        <w:t xml:space="preserve">A redesign of the network is essential to prepare for Cross River Rail. In the coming years </w:t>
      </w:r>
      <w:r>
        <w:t xml:space="preserve">there </w:t>
      </w:r>
      <w:r w:rsidRPr="00675F5F">
        <w:t xml:space="preserve">will </w:t>
      </w:r>
      <w:r>
        <w:t xml:space="preserve">be </w:t>
      </w:r>
      <w:r w:rsidRPr="00675F5F">
        <w:t>change</w:t>
      </w:r>
      <w:r>
        <w:t>s to</w:t>
      </w:r>
      <w:r w:rsidRPr="00675F5F">
        <w:t xml:space="preserve"> </w:t>
      </w:r>
      <w:r>
        <w:t>four</w:t>
      </w:r>
      <w:r w:rsidRPr="00675F5F">
        <w:t xml:space="preserve"> key aspects of the S</w:t>
      </w:r>
      <w:r>
        <w:t>outh East Queensland</w:t>
      </w:r>
      <w:r w:rsidRPr="00675F5F">
        <w:t xml:space="preserve"> rail network:</w:t>
      </w:r>
    </w:p>
    <w:p w14:paraId="7B28478E" w14:textId="77777777" w:rsidR="00805A93" w:rsidRDefault="00805A93" w:rsidP="00805A93">
      <w:pPr>
        <w:pStyle w:val="ListBullet"/>
      </w:pPr>
      <w:r>
        <w:t>l</w:t>
      </w:r>
      <w:r w:rsidRPr="00675F5F">
        <w:t>ine pairs</w:t>
      </w:r>
      <w:r>
        <w:t>—changing</w:t>
      </w:r>
      <w:r w:rsidRPr="00675F5F">
        <w:t xml:space="preserve"> which train lines are 'paired' with each other</w:t>
      </w:r>
    </w:p>
    <w:p w14:paraId="534E1F27" w14:textId="77777777" w:rsidR="00805A93" w:rsidRDefault="00805A93" w:rsidP="00805A93">
      <w:pPr>
        <w:pStyle w:val="ListBullet"/>
      </w:pPr>
      <w:r>
        <w:t>i</w:t>
      </w:r>
      <w:r w:rsidRPr="00675F5F">
        <w:t>nner city stations</w:t>
      </w:r>
      <w:r>
        <w:t>—</w:t>
      </w:r>
      <w:r w:rsidRPr="00675F5F">
        <w:t>some trains will service the existing surface stations, others will service the new Cross River Rail station</w:t>
      </w:r>
      <w:r>
        <w:t>s</w:t>
      </w:r>
    </w:p>
    <w:p w14:paraId="770DEBB6" w14:textId="77777777" w:rsidR="00805A93" w:rsidRDefault="00805A93" w:rsidP="00805A93">
      <w:pPr>
        <w:pStyle w:val="ListBullet"/>
      </w:pPr>
      <w:r>
        <w:t>s</w:t>
      </w:r>
      <w:r w:rsidRPr="00675F5F">
        <w:t>ervice types</w:t>
      </w:r>
      <w:r>
        <w:t>—</w:t>
      </w:r>
      <w:r w:rsidRPr="00675F5F">
        <w:t>two consistent and distinct types will be introduced</w:t>
      </w:r>
      <w:r>
        <w:t xml:space="preserve">, </w:t>
      </w:r>
      <w:r w:rsidRPr="00675F5F">
        <w:t>long</w:t>
      </w:r>
      <w:r>
        <w:t>-</w:t>
      </w:r>
      <w:r w:rsidRPr="00675F5F">
        <w:t>distance express</w:t>
      </w:r>
      <w:r>
        <w:t xml:space="preserve"> and </w:t>
      </w:r>
      <w:r w:rsidRPr="00675F5F">
        <w:t>suburban turn up and go</w:t>
      </w:r>
    </w:p>
    <w:p w14:paraId="6C18AF6F" w14:textId="77777777" w:rsidR="00805A93" w:rsidRDefault="00805A93" w:rsidP="00805A93">
      <w:pPr>
        <w:pStyle w:val="ListBullet"/>
      </w:pPr>
      <w:r>
        <w:t>changes to public transport t</w:t>
      </w:r>
      <w:r w:rsidRPr="00675F5F">
        <w:t>imetables</w:t>
      </w:r>
      <w:r w:rsidRPr="00DB6F80">
        <w:t xml:space="preserve"> reflecting new line pairings and providing customers with convenient connections between services</w:t>
      </w:r>
      <w:r>
        <w:t>.</w:t>
      </w:r>
    </w:p>
    <w:p w14:paraId="0A0F1B28" w14:textId="77777777" w:rsidR="00805A93" w:rsidRPr="003628E2" w:rsidRDefault="00805A93" w:rsidP="00805A93">
      <w:pPr>
        <w:pStyle w:val="ForMoreInformation"/>
      </w:pPr>
      <w:r>
        <w:t>For more information</w:t>
      </w:r>
      <w:r>
        <w:br/>
      </w:r>
      <w:hyperlink r:id="rId22" w:history="1">
        <w:r w:rsidRPr="0047466B">
          <w:rPr>
            <w:rStyle w:val="Hyperlink"/>
          </w:rPr>
          <w:t>https://www.tmr.qld.gov.au/About-us/Corporate-information/Publications/SEQ-Rail-Connect</w:t>
        </w:r>
      </w:hyperlink>
      <w:r>
        <w:t xml:space="preserve"> </w:t>
      </w:r>
    </w:p>
    <w:p w14:paraId="00917B51" w14:textId="77777777" w:rsidR="00805A93" w:rsidRDefault="00805A93" w:rsidP="00805A93">
      <w:pPr>
        <w:pStyle w:val="Heading3"/>
      </w:pPr>
      <w:r>
        <w:t>Toowoomba to Gladstone Inland Rail Extension Project</w:t>
      </w:r>
    </w:p>
    <w:p w14:paraId="6834853A" w14:textId="77777777" w:rsidR="00805A93" w:rsidRDefault="00805A93" w:rsidP="00805A93">
      <w:r>
        <w:t xml:space="preserve">The Australian and Queensland governments are </w:t>
      </w:r>
      <w:r w:rsidRPr="00CD6125">
        <w:t xml:space="preserve">working together on a business case for a possible extension of </w:t>
      </w:r>
      <w:r>
        <w:t xml:space="preserve">the </w:t>
      </w:r>
      <w:r w:rsidRPr="00CD6125">
        <w:t xml:space="preserve">Inland Rail from Toowoomba to the Port of Gladstone. This extension will complement the primary Melbourne to Brisbane </w:t>
      </w:r>
      <w:r>
        <w:t>i</w:t>
      </w:r>
      <w:r w:rsidRPr="00CD6125">
        <w:t xml:space="preserve">nland </w:t>
      </w:r>
      <w:r>
        <w:t>r</w:t>
      </w:r>
      <w:r w:rsidRPr="00CD6125">
        <w:t>ail route.</w:t>
      </w:r>
    </w:p>
    <w:p w14:paraId="41E7E1C1" w14:textId="77777777" w:rsidR="00805A93" w:rsidRDefault="00805A93" w:rsidP="00805A93">
      <w:r w:rsidRPr="00EF3748">
        <w:t xml:space="preserve">The Australian Government has committed $10 million for the development of the business case, with </w:t>
      </w:r>
      <w:r>
        <w:t xml:space="preserve">the </w:t>
      </w:r>
      <w:r w:rsidRPr="00EF3748">
        <w:t xml:space="preserve">Queensland Government </w:t>
      </w:r>
      <w:r>
        <w:t>providing support through TMR</w:t>
      </w:r>
      <w:r w:rsidRPr="00EF3748">
        <w:t>.</w:t>
      </w:r>
    </w:p>
    <w:p w14:paraId="77CC8CB1" w14:textId="77777777" w:rsidR="00805A93" w:rsidRDefault="00805A93" w:rsidP="00805A93">
      <w:r>
        <w:t xml:space="preserve">The business case will evaluate the need, viability, and timing of extending the inland rail project from near Toowoomba to the Port of Gladstone and will consider the freight efficiency and regional development benefits for communities and industry. </w:t>
      </w:r>
    </w:p>
    <w:p w14:paraId="7D3E4B7F" w14:textId="77777777" w:rsidR="00805A93" w:rsidRDefault="00805A93" w:rsidP="00805A93">
      <w:r>
        <w:t>The business case commenced in July 2022, with government consideration of the initial findings and options expected in 2023.</w:t>
      </w:r>
    </w:p>
    <w:p w14:paraId="59E3483D" w14:textId="77777777" w:rsidR="00805A93" w:rsidRPr="008A3490" w:rsidRDefault="00805A93" w:rsidP="00805A93">
      <w:pPr>
        <w:pStyle w:val="ForMoreInformation"/>
      </w:pPr>
      <w:r>
        <w:t>For more information</w:t>
      </w:r>
      <w:r>
        <w:br/>
      </w:r>
      <w:hyperlink r:id="rId23" w:history="1">
        <w:r w:rsidRPr="0047466B">
          <w:rPr>
            <w:rStyle w:val="Hyperlink"/>
          </w:rPr>
          <w:t>https://www.tmr.qld.gov.au/projects/toowoomba-to-gladstone-inland-rail-extension-business-case</w:t>
        </w:r>
      </w:hyperlink>
      <w:r>
        <w:t xml:space="preserve"> </w:t>
      </w:r>
    </w:p>
    <w:p w14:paraId="00CA7EF5" w14:textId="77777777" w:rsidR="00A53E9C" w:rsidRDefault="00A53E9C">
      <w:pPr>
        <w:spacing w:before="0" w:after="160" w:line="259" w:lineRule="auto"/>
        <w:rPr>
          <w:rFonts w:eastAsiaTheme="majorEastAsia" w:cstheme="majorBidi"/>
          <w:color w:val="000000" w:themeColor="text1"/>
          <w:sz w:val="32"/>
          <w:szCs w:val="24"/>
        </w:rPr>
      </w:pPr>
      <w:r>
        <w:lastRenderedPageBreak/>
        <w:br w:type="page"/>
      </w:r>
    </w:p>
    <w:p w14:paraId="7F5724CC" w14:textId="12EF48DA" w:rsidR="00805A93" w:rsidRPr="00DC1A33" w:rsidRDefault="00805A93" w:rsidP="00805A93">
      <w:pPr>
        <w:pStyle w:val="Heading3"/>
      </w:pPr>
      <w:r>
        <w:lastRenderedPageBreak/>
        <w:t xml:space="preserve">Inland Rail Bilateral Agreement Rail Studies </w:t>
      </w:r>
    </w:p>
    <w:p w14:paraId="4D2BA1BE" w14:textId="77777777" w:rsidR="00805A93" w:rsidRDefault="00805A93" w:rsidP="00805A93">
      <w:r>
        <w:t xml:space="preserve">TMR continues to deliver and progress planning and business case development for projects within the Bilateral Agreement Rail Studies program, in </w:t>
      </w:r>
      <w:r w:rsidRPr="00D70FD0">
        <w:t>partner</w:t>
      </w:r>
      <w:r>
        <w:t>ship</w:t>
      </w:r>
      <w:r w:rsidRPr="00D70FD0">
        <w:t xml:space="preserve"> with the </w:t>
      </w:r>
      <w:r>
        <w:t xml:space="preserve">Australian Government </w:t>
      </w:r>
      <w:r w:rsidRPr="00D70FD0">
        <w:t>Department of Infrastructure, Transport, Regional Development,</w:t>
      </w:r>
      <w:r>
        <w:t xml:space="preserve"> </w:t>
      </w:r>
      <w:r w:rsidRPr="00D70FD0">
        <w:t>Communications</w:t>
      </w:r>
      <w:r>
        <w:t>,</w:t>
      </w:r>
      <w:r w:rsidRPr="00D70FD0">
        <w:t xml:space="preserve"> and the Arts</w:t>
      </w:r>
      <w:r>
        <w:t>. These projects include:</w:t>
      </w:r>
    </w:p>
    <w:p w14:paraId="1DE8C4C7" w14:textId="77777777" w:rsidR="00805A93" w:rsidRPr="00C34C73" w:rsidRDefault="00805A93" w:rsidP="00805A93">
      <w:pPr>
        <w:pStyle w:val="ListBullet"/>
      </w:pPr>
      <w:r w:rsidRPr="00C34C73">
        <w:t xml:space="preserve">Port of Brisbane dedicated freight connection </w:t>
      </w:r>
    </w:p>
    <w:p w14:paraId="05D1B61A" w14:textId="77777777" w:rsidR="00805A93" w:rsidRPr="00C34C73" w:rsidRDefault="00805A93" w:rsidP="00805A93">
      <w:pPr>
        <w:pStyle w:val="ListBullet"/>
      </w:pPr>
      <w:r w:rsidRPr="00C34C73">
        <w:t xml:space="preserve">South East Queensland Inland Rail intermodal terminal </w:t>
      </w:r>
    </w:p>
    <w:p w14:paraId="5943B293" w14:textId="77777777" w:rsidR="00805A93" w:rsidRPr="00C34C73" w:rsidRDefault="00805A93" w:rsidP="00805A93">
      <w:pPr>
        <w:pStyle w:val="ListBullet"/>
      </w:pPr>
      <w:r w:rsidRPr="00C34C73">
        <w:t xml:space="preserve">Toowoomba to Gladstone </w:t>
      </w:r>
      <w:r>
        <w:t>Inland Rail extension</w:t>
      </w:r>
      <w:r w:rsidRPr="00C34C73">
        <w:t xml:space="preserve"> </w:t>
      </w:r>
    </w:p>
    <w:p w14:paraId="152694E9" w14:textId="77777777" w:rsidR="00805A93" w:rsidRDefault="00805A93" w:rsidP="00805A93">
      <w:pPr>
        <w:pStyle w:val="ListBullet"/>
      </w:pPr>
      <w:r w:rsidRPr="00C34C73">
        <w:t xml:space="preserve">Salisbury to Beaudesert </w:t>
      </w:r>
      <w:r>
        <w:t>passenger rail</w:t>
      </w:r>
    </w:p>
    <w:p w14:paraId="042B6A84" w14:textId="77777777" w:rsidR="00805A93" w:rsidRPr="00C34C73" w:rsidRDefault="00805A93" w:rsidP="00805A93">
      <w:pPr>
        <w:pStyle w:val="ListBullet"/>
      </w:pPr>
      <w:r w:rsidRPr="00C34C73">
        <w:t xml:space="preserve">Toowoomba to Brisbane </w:t>
      </w:r>
      <w:r>
        <w:t>passenger rail.</w:t>
      </w:r>
    </w:p>
    <w:p w14:paraId="10A20274" w14:textId="77777777" w:rsidR="00805A93" w:rsidRDefault="00805A93" w:rsidP="00805A93">
      <w:pPr>
        <w:pStyle w:val="ForMoreInformation"/>
      </w:pPr>
      <w:r>
        <w:t>For more information</w:t>
      </w:r>
      <w:r>
        <w:br/>
      </w:r>
      <w:r w:rsidRPr="00D379BD">
        <w:rPr>
          <w:rStyle w:val="Hyperlink"/>
        </w:rPr>
        <w:t>https://www.tmr.qld.gov.au/projects/inland-rail</w:t>
      </w:r>
    </w:p>
    <w:p w14:paraId="149E74EB" w14:textId="776FBF72" w:rsidR="00805A93" w:rsidRDefault="00805A93" w:rsidP="00805A93">
      <w:pPr>
        <w:pStyle w:val="Heading2"/>
      </w:pPr>
      <w:r w:rsidRPr="00AE24A7">
        <w:t>Investing in passenger transport</w:t>
      </w:r>
    </w:p>
    <w:p w14:paraId="1DF81C56" w14:textId="77777777" w:rsidR="00805A93" w:rsidRPr="00F626EF" w:rsidRDefault="00805A93" w:rsidP="00805A93">
      <w:pPr>
        <w:pStyle w:val="Heading3"/>
      </w:pPr>
      <w:r>
        <w:t>Passenger Transport Infrastructure Investment Program</w:t>
      </w:r>
    </w:p>
    <w:p w14:paraId="5263D539" w14:textId="77777777" w:rsidR="00805A93" w:rsidRDefault="00805A93" w:rsidP="00805A93">
      <w:r w:rsidRPr="0082674B">
        <w:t>The Passenger Transport Infrastructure Investment Program enables a more accessible, efficient, and integrated network that offers better value to customers and makes passenger transport a more attractive option for everyone.</w:t>
      </w:r>
    </w:p>
    <w:p w14:paraId="5AF7DE92" w14:textId="77777777" w:rsidR="00805A93" w:rsidRDefault="00805A93" w:rsidP="00805A93">
      <w:r>
        <w:t>Key achievements during 2022–23 included:</w:t>
      </w:r>
    </w:p>
    <w:p w14:paraId="72227255" w14:textId="77777777" w:rsidR="00805A93" w:rsidRPr="00F626EF" w:rsidRDefault="00805A93" w:rsidP="00805A93">
      <w:pPr>
        <w:pStyle w:val="ListBullet"/>
      </w:pPr>
      <w:r>
        <w:t>o</w:t>
      </w:r>
      <w:r w:rsidRPr="00F626EF">
        <w:t>pened Stage 1 of the Eastern Transitway and continued to progress construction of the Northern Transitway</w:t>
      </w:r>
    </w:p>
    <w:p w14:paraId="2E892B47" w14:textId="77777777" w:rsidR="00805A93" w:rsidRPr="00F626EF" w:rsidRDefault="00805A93" w:rsidP="00805A93">
      <w:pPr>
        <w:pStyle w:val="ListBullet"/>
      </w:pPr>
      <w:r>
        <w:t>i</w:t>
      </w:r>
      <w:r w:rsidRPr="00F626EF">
        <w:t>n partnership with Redland City Council opened the Russell Island</w:t>
      </w:r>
      <w:r>
        <w:t xml:space="preserve"> and Macleay Island</w:t>
      </w:r>
      <w:r w:rsidRPr="00F626EF">
        <w:t xml:space="preserve"> ferry terminal</w:t>
      </w:r>
      <w:r>
        <w:t>s</w:t>
      </w:r>
      <w:r w:rsidRPr="00F626EF">
        <w:t xml:space="preserve"> as part of the Southern Moreton Bay Islands passenger ferry terminal upgrades</w:t>
      </w:r>
    </w:p>
    <w:p w14:paraId="5F4E1B22" w14:textId="77777777" w:rsidR="00805A93" w:rsidRDefault="00805A93" w:rsidP="00805A93">
      <w:pPr>
        <w:pStyle w:val="ListBullet"/>
      </w:pPr>
      <w:r>
        <w:t>c</w:t>
      </w:r>
      <w:r w:rsidRPr="00F626EF">
        <w:t xml:space="preserve">ompleted the new bus facility on Takalvan Street, Bundaberg outside </w:t>
      </w:r>
      <w:r w:rsidRPr="00152B3F">
        <w:t>Sugarland Plaz</w:t>
      </w:r>
      <w:r>
        <w:t>a</w:t>
      </w:r>
    </w:p>
    <w:p w14:paraId="5273C71C" w14:textId="77777777" w:rsidR="00805A93" w:rsidRPr="00F626EF" w:rsidRDefault="00805A93" w:rsidP="00805A93">
      <w:pPr>
        <w:pStyle w:val="ListBullet"/>
      </w:pPr>
      <w:r w:rsidRPr="00C41E8E">
        <w:t xml:space="preserve">started construction of the Strathpine bus station at Strathpine Centre </w:t>
      </w:r>
    </w:p>
    <w:p w14:paraId="3EAA5C42" w14:textId="77777777" w:rsidR="00805A93" w:rsidRPr="00F626EF" w:rsidRDefault="00805A93" w:rsidP="00805A93">
      <w:pPr>
        <w:pStyle w:val="ListBullet"/>
      </w:pPr>
      <w:r>
        <w:t xml:space="preserve">started construction </w:t>
      </w:r>
      <w:r w:rsidRPr="00F626EF">
        <w:t>of the Caneland bus station on Mangrove Road, Mackay beside the Caneland Central</w:t>
      </w:r>
    </w:p>
    <w:p w14:paraId="28A216B6" w14:textId="77777777" w:rsidR="00805A93" w:rsidRPr="00F626EF" w:rsidRDefault="00805A93" w:rsidP="00805A93">
      <w:pPr>
        <w:pStyle w:val="ListBullet"/>
      </w:pPr>
      <w:r w:rsidRPr="006A5E3E">
        <w:t xml:space="preserve">progressed design for </w:t>
      </w:r>
      <w:r w:rsidRPr="00F626EF">
        <w:t>upgraded bus facilities including Upper Mount Gravatt</w:t>
      </w:r>
      <w:r>
        <w:t>,</w:t>
      </w:r>
      <w:r w:rsidRPr="00F626EF">
        <w:t xml:space="preserve"> Cannon Hill</w:t>
      </w:r>
      <w:r>
        <w:t>,</w:t>
      </w:r>
      <w:r w:rsidRPr="00F626EF">
        <w:t xml:space="preserve"> </w:t>
      </w:r>
      <w:r>
        <w:t xml:space="preserve">South Bank, and Indooroopilly bus stations; </w:t>
      </w:r>
      <w:r w:rsidRPr="00F626EF">
        <w:t>Chermside (north and southbound platforms)</w:t>
      </w:r>
      <w:r>
        <w:t>;</w:t>
      </w:r>
      <w:r w:rsidRPr="00F626EF">
        <w:t xml:space="preserve"> </w:t>
      </w:r>
      <w:r>
        <w:t xml:space="preserve">and </w:t>
      </w:r>
      <w:r w:rsidRPr="00F626EF">
        <w:t>Robina Town Centre</w:t>
      </w:r>
    </w:p>
    <w:p w14:paraId="6D4E0993" w14:textId="77777777" w:rsidR="00805A93" w:rsidRDefault="00805A93" w:rsidP="00805A93">
      <w:pPr>
        <w:pStyle w:val="ListBullet"/>
      </w:pPr>
      <w:r w:rsidRPr="006A5E3E">
        <w:t>completed construction of additional bus stops across Queensland to support new services and make it easier for customers to access public transpor</w:t>
      </w:r>
      <w:r>
        <w:t>t.</w:t>
      </w:r>
    </w:p>
    <w:p w14:paraId="65D234DA" w14:textId="77777777" w:rsidR="00805A93" w:rsidRPr="00DC1A33" w:rsidRDefault="00805A93" w:rsidP="00805A93">
      <w:pPr>
        <w:pStyle w:val="Heading3"/>
      </w:pPr>
      <w:r>
        <w:t>Transit safety, security and sustainability</w:t>
      </w:r>
    </w:p>
    <w:p w14:paraId="4C427120" w14:textId="77777777" w:rsidR="00805A93" w:rsidRDefault="00805A93" w:rsidP="00805A93">
      <w:r>
        <w:t xml:space="preserve">Fare evasion across South East Queensland’s public transport network costs Queenslanders approximately $35 million per year. Translink’s revenue protection team developed a resourcing strategy to improve fare compliance and safety and security outcomes on the public transport network. </w:t>
      </w:r>
    </w:p>
    <w:p w14:paraId="2BFAC1FA" w14:textId="77777777" w:rsidR="00805A93" w:rsidRDefault="00805A93" w:rsidP="00805A93">
      <w:r>
        <w:t xml:space="preserve">Translink sought funding to implement a rollout of Network Officers employed by service delivery partners. In January 2023, a $60 million funding package for additional enforcement officers was announced, and recruitment for the first cohort of Network Officers commenced in February 2023. The first Network Officers commenced operations on the network in May 2023. </w:t>
      </w:r>
    </w:p>
    <w:p w14:paraId="4DF05622" w14:textId="77777777" w:rsidR="00805A93" w:rsidRDefault="00805A93" w:rsidP="00805A93">
      <w:r>
        <w:t>Additionally, Translink have worked with the QPS to deploy officers across the metropolitan bus network in addition to the police presence already on heavy rail.</w:t>
      </w:r>
    </w:p>
    <w:p w14:paraId="182526AD" w14:textId="77777777" w:rsidR="00805A93" w:rsidRDefault="00805A93" w:rsidP="00805A93">
      <w:r>
        <w:t xml:space="preserve">Translink is also deploying resources from the Police Service Protective Services Group. The Senior Protective Service Officers (SPSO) are trained and authorised as Transit Officers to provide fare compliance and safety and security at key transport infrastructure locations. </w:t>
      </w:r>
    </w:p>
    <w:p w14:paraId="644989E5" w14:textId="77777777" w:rsidR="00805A93" w:rsidRDefault="00805A93" w:rsidP="00805A93">
      <w:r>
        <w:lastRenderedPageBreak/>
        <w:t xml:space="preserve">These additional resources will deliver prevention, detection, and enforcement strategies to improve revenue protection, safety, and security across the public transport network. </w:t>
      </w:r>
    </w:p>
    <w:p w14:paraId="7244AB2E" w14:textId="77777777" w:rsidR="00A53E9C" w:rsidRDefault="00A53E9C">
      <w:pPr>
        <w:spacing w:before="0" w:after="160" w:line="259" w:lineRule="auto"/>
      </w:pPr>
      <w:r>
        <w:br w:type="page"/>
      </w:r>
    </w:p>
    <w:p w14:paraId="743C083B" w14:textId="73753379" w:rsidR="00805A93" w:rsidRPr="00BB761C" w:rsidRDefault="00805A93" w:rsidP="00805A93">
      <w:r>
        <w:lastRenderedPageBreak/>
        <w:t>Key achievements</w:t>
      </w:r>
      <w:r w:rsidRPr="00BB761C">
        <w:t xml:space="preserve"> </w:t>
      </w:r>
      <w:r>
        <w:t xml:space="preserve">during 2022–23 </w:t>
      </w:r>
      <w:r w:rsidRPr="00BB761C">
        <w:t>include</w:t>
      </w:r>
      <w:r>
        <w:t>d</w:t>
      </w:r>
      <w:r w:rsidRPr="00BB761C">
        <w:t>:</w:t>
      </w:r>
    </w:p>
    <w:p w14:paraId="3E14AACE" w14:textId="77777777" w:rsidR="00805A93" w:rsidRPr="00B93E76" w:rsidRDefault="00805A93" w:rsidP="00805A93">
      <w:pPr>
        <w:pStyle w:val="ListBullet"/>
      </w:pPr>
      <w:r>
        <w:t>engaged through</w:t>
      </w:r>
      <w:r w:rsidRPr="00B93E76">
        <w:t xml:space="preserve"> youth justice conferences as part of the </w:t>
      </w:r>
      <w:r>
        <w:t xml:space="preserve">Translink's </w:t>
      </w:r>
      <w:r w:rsidRPr="00B93E76">
        <w:t>prevention and education strategy</w:t>
      </w:r>
    </w:p>
    <w:p w14:paraId="39E985EA" w14:textId="77777777" w:rsidR="00805A93" w:rsidRPr="00B93E76" w:rsidRDefault="00805A93" w:rsidP="00805A93">
      <w:pPr>
        <w:pStyle w:val="ListBullet"/>
      </w:pPr>
      <w:r>
        <w:t>engaged with the Parents and Citizens association to ensure regular articles are published in the Parents and Citizens magazine promoting safety, security, and fare compliance across public transport</w:t>
      </w:r>
    </w:p>
    <w:p w14:paraId="4EC33D1F" w14:textId="77777777" w:rsidR="00805A93" w:rsidRPr="00B93E76" w:rsidRDefault="00805A93" w:rsidP="00805A93">
      <w:pPr>
        <w:pStyle w:val="ListBullet"/>
      </w:pPr>
      <w:r>
        <w:t xml:space="preserve">engaged with Education Queensland to increase roll out of the </w:t>
      </w:r>
      <w:r w:rsidRPr="00B93E76">
        <w:t>revamped Step-Up Program</w:t>
      </w:r>
      <w:r>
        <w:t xml:space="preserve"> to connect with more youth</w:t>
      </w:r>
    </w:p>
    <w:p w14:paraId="330CA34E" w14:textId="77777777" w:rsidR="00805A93" w:rsidRPr="00B93E76" w:rsidRDefault="00805A93" w:rsidP="00805A93">
      <w:pPr>
        <w:pStyle w:val="ListBullet"/>
      </w:pPr>
      <w:r w:rsidRPr="00B93E76">
        <w:t>targeted operations at the top 20 locations with reported high rates of fare evasion in progress</w:t>
      </w:r>
    </w:p>
    <w:p w14:paraId="06E1C766" w14:textId="77777777" w:rsidR="00805A93" w:rsidRPr="00B93E76" w:rsidRDefault="00805A93" w:rsidP="00805A93">
      <w:pPr>
        <w:pStyle w:val="ListBullet"/>
      </w:pPr>
      <w:r>
        <w:t xml:space="preserve">increased the sophistication of </w:t>
      </w:r>
      <w:r w:rsidRPr="00B93E76">
        <w:t>Revenue Protection Dashboards with integrated datasets to improve the effectiveness of enforcement and officer deployment</w:t>
      </w:r>
    </w:p>
    <w:p w14:paraId="1EAB424A" w14:textId="77777777" w:rsidR="00805A93" w:rsidRPr="00B93E76" w:rsidRDefault="00805A93" w:rsidP="00805A93">
      <w:pPr>
        <w:pStyle w:val="ListBullet"/>
      </w:pPr>
      <w:r>
        <w:t>received funding and commenced training of additional Network Officers, Police and SPSOs to work alongside Translink's Senior Network Officers</w:t>
      </w:r>
    </w:p>
    <w:p w14:paraId="2B1AC722" w14:textId="77777777" w:rsidR="00805A93" w:rsidRPr="00B93E76" w:rsidRDefault="00805A93" w:rsidP="00805A93">
      <w:pPr>
        <w:pStyle w:val="ListBullet"/>
      </w:pPr>
      <w:r>
        <w:t>increased</w:t>
      </w:r>
      <w:r w:rsidRPr="00B93E76">
        <w:t xml:space="preserve"> Network Officer</w:t>
      </w:r>
      <w:r>
        <w:t xml:space="preserve"> numbers </w:t>
      </w:r>
      <w:r w:rsidRPr="00B93E76">
        <w:t>in regional urban areas including Cairns and Townsville</w:t>
      </w:r>
      <w:r>
        <w:t>.</w:t>
      </w:r>
    </w:p>
    <w:p w14:paraId="3D562A4F" w14:textId="77777777" w:rsidR="00805A93" w:rsidRPr="00DC1A33" w:rsidRDefault="00805A93" w:rsidP="00805A93">
      <w:pPr>
        <w:pStyle w:val="Heading3"/>
      </w:pPr>
      <w:r>
        <w:t>Park 'n' ride program overview</w:t>
      </w:r>
    </w:p>
    <w:p w14:paraId="2DA1F310" w14:textId="77777777" w:rsidR="00805A93" w:rsidRDefault="00805A93" w:rsidP="00805A93">
      <w:r>
        <w:t>Park ‘n’ ride facilities are an important part of the South East Queensland public transport network, enabling people to connect with public transport to access jobs, education, and other essential services in their communities.</w:t>
      </w:r>
    </w:p>
    <w:p w14:paraId="38F688E6" w14:textId="77777777" w:rsidR="00805A93" w:rsidRDefault="00805A93" w:rsidP="00805A93">
      <w:r>
        <w:t xml:space="preserve">Over the next four years </w:t>
      </w:r>
      <w:r w:rsidRPr="00207146">
        <w:t>(2022–23 to 2025–26)</w:t>
      </w:r>
      <w:r>
        <w:t xml:space="preserve">, more than 1100 new park 'n' ride spaces will be built as part of the $102 million park 'n' ride upgrade program, which includes $30 million from the Australian Government. </w:t>
      </w:r>
    </w:p>
    <w:p w14:paraId="64EEC275" w14:textId="77777777" w:rsidR="00805A93" w:rsidRDefault="00805A93" w:rsidP="00805A93">
      <w:r>
        <w:t>These investments will add to the more than 35,400 spaces already available to customers across the network and will play a key part in helping to ease congestion on our road networks as the region continues to grow.</w:t>
      </w:r>
    </w:p>
    <w:p w14:paraId="36A6F9B7" w14:textId="77777777" w:rsidR="00805A93" w:rsidRPr="00F93C83" w:rsidRDefault="00805A93" w:rsidP="00805A93">
      <w:r>
        <w:t>Key achievements during 2022–23 included:</w:t>
      </w:r>
    </w:p>
    <w:p w14:paraId="3EC6BAF2" w14:textId="77777777" w:rsidR="00805A93" w:rsidRPr="009053B9" w:rsidRDefault="00805A93" w:rsidP="00805A93">
      <w:pPr>
        <w:pStyle w:val="ListBullet"/>
      </w:pPr>
      <w:r w:rsidRPr="009053B9">
        <w:t>additional park ‘n’ ride spaces opened at Coomera (500), Lindum (southern car park) (30), Ferny Grove (as part of the broader transit oriented development) (400), and Mango Hill (280)</w:t>
      </w:r>
    </w:p>
    <w:p w14:paraId="68FEAB1B" w14:textId="77777777" w:rsidR="00805A93" w:rsidRPr="009053B9" w:rsidRDefault="00805A93" w:rsidP="00805A93">
      <w:pPr>
        <w:pStyle w:val="ListBullet"/>
      </w:pPr>
      <w:r w:rsidRPr="009053B9">
        <w:t>commenced construction of park ‘n’ ride expansions at Carseldine (Stage Two)</w:t>
      </w:r>
    </w:p>
    <w:p w14:paraId="0CF718CF" w14:textId="77777777" w:rsidR="00805A93" w:rsidRPr="009053B9" w:rsidRDefault="00805A93" w:rsidP="00805A93">
      <w:pPr>
        <w:pStyle w:val="ListBullet"/>
      </w:pPr>
      <w:r w:rsidRPr="009053B9">
        <w:t>continued design activities at several locations including Gaythorne, and Narangba</w:t>
      </w:r>
    </w:p>
    <w:p w14:paraId="7E7F632F" w14:textId="77777777" w:rsidR="00805A93" w:rsidRPr="00B93E76" w:rsidRDefault="00805A93" w:rsidP="00805A93">
      <w:pPr>
        <w:pStyle w:val="ListBullet"/>
      </w:pPr>
      <w:r w:rsidRPr="00852ACB">
        <w:t xml:space="preserve">completed detailed planning </w:t>
      </w:r>
      <w:r w:rsidRPr="009053B9">
        <w:t>at key park ‘n’ rides across South East Queensland including Altandi, Birkdale, and Bald Hills train stations and Queen Street (Southport) light rail station.</w:t>
      </w:r>
    </w:p>
    <w:p w14:paraId="780D05CC" w14:textId="77777777" w:rsidR="00805A93" w:rsidRPr="00AE24A7" w:rsidRDefault="00805A93" w:rsidP="00805A93">
      <w:pPr>
        <w:pStyle w:val="ForMoreInformation"/>
      </w:pPr>
      <w:r>
        <w:t>For more information</w:t>
      </w:r>
      <w:r>
        <w:br/>
      </w:r>
      <w:hyperlink r:id="rId24" w:history="1">
        <w:r w:rsidRPr="00F75645">
          <w:rPr>
            <w:rStyle w:val="Hyperlink"/>
          </w:rPr>
          <w:t>https://www.translink.com.au/about-translink/projects-and-initiatives/map</w:t>
        </w:r>
      </w:hyperlink>
    </w:p>
    <w:p w14:paraId="63FE8640" w14:textId="77777777" w:rsidR="00C6602D" w:rsidRDefault="00C6602D">
      <w:pPr>
        <w:spacing w:before="0" w:after="160" w:line="259" w:lineRule="auto"/>
        <w:rPr>
          <w:rFonts w:eastAsiaTheme="majorEastAsia" w:cstheme="majorBidi"/>
          <w:color w:val="000000" w:themeColor="text1"/>
          <w:sz w:val="48"/>
          <w:szCs w:val="26"/>
        </w:rPr>
      </w:pPr>
      <w:r>
        <w:br w:type="page"/>
      </w:r>
    </w:p>
    <w:p w14:paraId="07A5F24D" w14:textId="2E43396B" w:rsidR="00805A93" w:rsidRPr="001C200A" w:rsidRDefault="00805A93" w:rsidP="00805A93">
      <w:pPr>
        <w:pStyle w:val="Heading2"/>
      </w:pPr>
      <w:r w:rsidRPr="001C200A">
        <w:lastRenderedPageBreak/>
        <w:t>Investing in an active Queensland</w:t>
      </w:r>
    </w:p>
    <w:p w14:paraId="044D2C2C" w14:textId="77777777" w:rsidR="00805A93" w:rsidRPr="001C200A" w:rsidRDefault="00805A93" w:rsidP="00805A93">
      <w:pPr>
        <w:pStyle w:val="Heading3"/>
      </w:pPr>
      <w:r w:rsidRPr="001C200A">
        <w:t>Brisbane Valley Rail Trail Strategic Plan</w:t>
      </w:r>
    </w:p>
    <w:p w14:paraId="1FA4504E" w14:textId="77777777" w:rsidR="00805A93" w:rsidRPr="001C200A" w:rsidRDefault="00805A93" w:rsidP="00805A93">
      <w:r w:rsidRPr="001C200A">
        <w:t>TMR delivers the Brisbane Valley Rail Trail project through the five</w:t>
      </w:r>
      <w:r>
        <w:t xml:space="preserve"> </w:t>
      </w:r>
      <w:r w:rsidRPr="001C200A">
        <w:t xml:space="preserve">year Strategic Plan that provides direction to stakeholders through identifying infrastructure upgrades, streamlined governance, enhanced marketing and a focus on more significant economic development in the Brisbane Valley region. </w:t>
      </w:r>
    </w:p>
    <w:p w14:paraId="7DA97C46" w14:textId="77777777" w:rsidR="00805A93" w:rsidRPr="001C200A" w:rsidRDefault="00805A93" w:rsidP="00805A93">
      <w:r w:rsidRPr="001C200A">
        <w:t xml:space="preserve">Key achievements </w:t>
      </w:r>
      <w:r>
        <w:t xml:space="preserve">during 2022–23 </w:t>
      </w:r>
      <w:r w:rsidRPr="001C200A">
        <w:t>included:</w:t>
      </w:r>
    </w:p>
    <w:p w14:paraId="6A11959E" w14:textId="77777777" w:rsidR="00805A93" w:rsidRPr="001C200A" w:rsidRDefault="00805A93" w:rsidP="00805A93">
      <w:pPr>
        <w:pStyle w:val="ListBullet"/>
      </w:pPr>
      <w:r>
        <w:t>held g</w:t>
      </w:r>
      <w:r w:rsidRPr="001C200A">
        <w:t>overnance meetings with relevant local governments and user groups continued to inform investment decisions</w:t>
      </w:r>
    </w:p>
    <w:p w14:paraId="3FA5C8E8" w14:textId="77777777" w:rsidR="00805A93" w:rsidRPr="001C200A" w:rsidRDefault="00805A93" w:rsidP="00805A93">
      <w:pPr>
        <w:pStyle w:val="ListBullet"/>
      </w:pPr>
      <w:r>
        <w:t>completed u</w:t>
      </w:r>
      <w:r w:rsidRPr="001C200A">
        <w:t>rgent trail restoration works after severe weather events in 2022</w:t>
      </w:r>
    </w:p>
    <w:p w14:paraId="56194572" w14:textId="77777777" w:rsidR="00805A93" w:rsidRPr="001C200A" w:rsidRDefault="00805A93" w:rsidP="00805A93">
      <w:pPr>
        <w:pStyle w:val="ListBullet"/>
      </w:pPr>
      <w:r>
        <w:t>c</w:t>
      </w:r>
      <w:r w:rsidRPr="001C200A">
        <w:t>ompleted a new signage audit that will inform a plan to provide consistent and clear signage/way-finding throughout the whole 161 kilometres</w:t>
      </w:r>
    </w:p>
    <w:p w14:paraId="228A061A" w14:textId="77777777" w:rsidR="00805A93" w:rsidRPr="001C200A" w:rsidRDefault="00805A93" w:rsidP="00805A93">
      <w:pPr>
        <w:pStyle w:val="ListBullet"/>
      </w:pPr>
      <w:r>
        <w:t>c</w:t>
      </w:r>
      <w:r w:rsidRPr="001C200A">
        <w:t>omplet</w:t>
      </w:r>
      <w:r>
        <w:t>ed</w:t>
      </w:r>
      <w:r w:rsidRPr="001C200A">
        <w:t xml:space="preserve"> of the Wulkuraka trailhead carpark, arbor and signage functioning as the southern </w:t>
      </w:r>
      <w:r>
        <w:t>Brisbane Valley Rail Trail (</w:t>
      </w:r>
      <w:r w:rsidRPr="001C200A">
        <w:t>BVRT</w:t>
      </w:r>
      <w:r>
        <w:t>)</w:t>
      </w:r>
      <w:r w:rsidRPr="001C200A">
        <w:t xml:space="preserve"> terminus</w:t>
      </w:r>
    </w:p>
    <w:p w14:paraId="2418C533" w14:textId="77777777" w:rsidR="00805A93" w:rsidRPr="001C200A" w:rsidRDefault="00805A93" w:rsidP="00805A93">
      <w:pPr>
        <w:pStyle w:val="ListBullet"/>
      </w:pPr>
      <w:r>
        <w:t>held a</w:t>
      </w:r>
      <w:r w:rsidRPr="001C200A">
        <w:t>dditional seating and shelters for rest stops at critical locations to provide shade and shelter between towns</w:t>
      </w:r>
    </w:p>
    <w:p w14:paraId="65520061" w14:textId="77777777" w:rsidR="00805A93" w:rsidRPr="001C200A" w:rsidRDefault="00805A93" w:rsidP="00805A93">
      <w:pPr>
        <w:pStyle w:val="ListBullet"/>
      </w:pPr>
      <w:r>
        <w:t>w</w:t>
      </w:r>
      <w:r w:rsidRPr="001C200A">
        <w:t>orked with local government and landcare groups to undertake tree planting projects to provide suitable habitats for koalas as well as shade for trail users</w:t>
      </w:r>
    </w:p>
    <w:p w14:paraId="15E574B0" w14:textId="77777777" w:rsidR="00805A93" w:rsidRPr="001C200A" w:rsidRDefault="00805A93" w:rsidP="00805A93">
      <w:pPr>
        <w:pStyle w:val="ListBullet"/>
      </w:pPr>
      <w:r>
        <w:t>t</w:t>
      </w:r>
      <w:r w:rsidRPr="001C200A">
        <w:t>he trail counter in Esk recorded a 14.5 per cent increase in users from 2021</w:t>
      </w:r>
      <w:r>
        <w:t>–</w:t>
      </w:r>
      <w:r w:rsidRPr="001C200A">
        <w:t xml:space="preserve">22 calendar years, totaling 42,552 in 2022, despite significant weather events </w:t>
      </w:r>
      <w:r>
        <w:t>causing</w:t>
      </w:r>
      <w:r w:rsidRPr="001C200A">
        <w:t xml:space="preserve"> closures. </w:t>
      </w:r>
    </w:p>
    <w:p w14:paraId="1EBA498C" w14:textId="77777777" w:rsidR="00805A93" w:rsidRPr="001C200A" w:rsidRDefault="00805A93" w:rsidP="00805A93">
      <w:pPr>
        <w:pStyle w:val="TableofFigures"/>
      </w:pPr>
      <w:r>
        <w:t>Table 9: TMR website visitors and trail map brochure downloads</w:t>
      </w:r>
    </w:p>
    <w:tbl>
      <w:tblPr>
        <w:tblStyle w:val="GridTable4-Accent1"/>
        <w:tblW w:w="5000" w:type="pct"/>
        <w:tblLook w:val="0420" w:firstRow="1" w:lastRow="0" w:firstColumn="0" w:lastColumn="0" w:noHBand="0" w:noVBand="1"/>
      </w:tblPr>
      <w:tblGrid>
        <w:gridCol w:w="2514"/>
        <w:gridCol w:w="2899"/>
        <w:gridCol w:w="4781"/>
      </w:tblGrid>
      <w:tr w:rsidR="00805A93" w:rsidRPr="00751FA5" w14:paraId="78F5A967" w14:textId="77777777" w:rsidTr="00751FA5">
        <w:trPr>
          <w:cnfStyle w:val="100000000000" w:firstRow="1" w:lastRow="0" w:firstColumn="0" w:lastColumn="0" w:oddVBand="0" w:evenVBand="0" w:oddHBand="0" w:evenHBand="0" w:firstRowFirstColumn="0" w:firstRowLastColumn="0" w:lastRowFirstColumn="0" w:lastRowLastColumn="0"/>
          <w:trHeight w:val="195"/>
          <w:tblHeader/>
        </w:trPr>
        <w:tc>
          <w:tcPr>
            <w:tcW w:w="1233" w:type="pct"/>
            <w:hideMark/>
          </w:tcPr>
          <w:p w14:paraId="6BA44FE1" w14:textId="77777777" w:rsidR="00805A93" w:rsidRPr="00751FA5" w:rsidRDefault="00805A93" w:rsidP="00751FA5">
            <w:pPr>
              <w:pStyle w:val="Normal-table"/>
            </w:pPr>
            <w:r w:rsidRPr="00751FA5">
              <w:t>Year</w:t>
            </w:r>
          </w:p>
        </w:tc>
        <w:tc>
          <w:tcPr>
            <w:tcW w:w="1422" w:type="pct"/>
            <w:hideMark/>
          </w:tcPr>
          <w:p w14:paraId="19996AA5" w14:textId="77777777" w:rsidR="00805A93" w:rsidRPr="00751FA5" w:rsidRDefault="00805A93" w:rsidP="00751FA5">
            <w:pPr>
              <w:pStyle w:val="Normal-table"/>
            </w:pPr>
            <w:r w:rsidRPr="00751FA5">
              <w:t>Total website visitors</w:t>
            </w:r>
          </w:p>
        </w:tc>
        <w:tc>
          <w:tcPr>
            <w:tcW w:w="2345" w:type="pct"/>
            <w:hideMark/>
          </w:tcPr>
          <w:p w14:paraId="2D9CF1D1" w14:textId="77777777" w:rsidR="00805A93" w:rsidRPr="00751FA5" w:rsidRDefault="00805A93" w:rsidP="00751FA5">
            <w:pPr>
              <w:pStyle w:val="Normal-table"/>
            </w:pPr>
            <w:r w:rsidRPr="00751FA5">
              <w:t>Online trail map brochure downloads</w:t>
            </w:r>
          </w:p>
        </w:tc>
      </w:tr>
      <w:tr w:rsidR="00805A93" w:rsidRPr="00751FA5" w14:paraId="3840F5F6" w14:textId="77777777" w:rsidTr="00751FA5">
        <w:trPr>
          <w:cnfStyle w:val="000000100000" w:firstRow="0" w:lastRow="0" w:firstColumn="0" w:lastColumn="0" w:oddVBand="0" w:evenVBand="0" w:oddHBand="1" w:evenHBand="0" w:firstRowFirstColumn="0" w:firstRowLastColumn="0" w:lastRowFirstColumn="0" w:lastRowLastColumn="0"/>
          <w:trHeight w:val="15"/>
        </w:trPr>
        <w:tc>
          <w:tcPr>
            <w:tcW w:w="1233" w:type="pct"/>
            <w:hideMark/>
          </w:tcPr>
          <w:p w14:paraId="0370C364" w14:textId="77777777" w:rsidR="00805A93" w:rsidRPr="00751FA5" w:rsidRDefault="00805A93" w:rsidP="00751FA5">
            <w:pPr>
              <w:pStyle w:val="Normal-table"/>
            </w:pPr>
            <w:r w:rsidRPr="00751FA5">
              <w:t>2023</w:t>
            </w:r>
          </w:p>
        </w:tc>
        <w:tc>
          <w:tcPr>
            <w:tcW w:w="1422" w:type="pct"/>
            <w:hideMark/>
          </w:tcPr>
          <w:p w14:paraId="18048742" w14:textId="77777777" w:rsidR="00805A93" w:rsidRPr="00751FA5" w:rsidRDefault="00805A93" w:rsidP="00751FA5">
            <w:pPr>
              <w:pStyle w:val="Normal-table"/>
            </w:pPr>
            <w:r w:rsidRPr="00751FA5">
              <w:t>54,661</w:t>
            </w:r>
          </w:p>
        </w:tc>
        <w:tc>
          <w:tcPr>
            <w:tcW w:w="2345" w:type="pct"/>
            <w:hideMark/>
          </w:tcPr>
          <w:p w14:paraId="00C59DBC" w14:textId="77777777" w:rsidR="00805A93" w:rsidRPr="00751FA5" w:rsidRDefault="00805A93" w:rsidP="00751FA5">
            <w:pPr>
              <w:pStyle w:val="Normal-table"/>
            </w:pPr>
            <w:r w:rsidRPr="00751FA5">
              <w:t>Average 25 per day</w:t>
            </w:r>
          </w:p>
        </w:tc>
      </w:tr>
      <w:tr w:rsidR="00805A93" w:rsidRPr="00751FA5" w14:paraId="2D635C90" w14:textId="77777777" w:rsidTr="00751FA5">
        <w:trPr>
          <w:trHeight w:val="206"/>
        </w:trPr>
        <w:tc>
          <w:tcPr>
            <w:tcW w:w="1233" w:type="pct"/>
            <w:hideMark/>
          </w:tcPr>
          <w:p w14:paraId="2F28AED8" w14:textId="77777777" w:rsidR="00805A93" w:rsidRPr="00751FA5" w:rsidRDefault="00805A93" w:rsidP="00751FA5">
            <w:pPr>
              <w:pStyle w:val="Normal-table"/>
            </w:pPr>
            <w:r w:rsidRPr="00751FA5">
              <w:t>2022</w:t>
            </w:r>
          </w:p>
        </w:tc>
        <w:tc>
          <w:tcPr>
            <w:tcW w:w="1422" w:type="pct"/>
            <w:hideMark/>
          </w:tcPr>
          <w:p w14:paraId="46C8568E" w14:textId="77777777" w:rsidR="00805A93" w:rsidRPr="00751FA5" w:rsidRDefault="00805A93" w:rsidP="00751FA5">
            <w:pPr>
              <w:pStyle w:val="Normal-table"/>
            </w:pPr>
            <w:r w:rsidRPr="00751FA5">
              <w:t>74,152</w:t>
            </w:r>
          </w:p>
        </w:tc>
        <w:tc>
          <w:tcPr>
            <w:tcW w:w="2345" w:type="pct"/>
            <w:hideMark/>
          </w:tcPr>
          <w:p w14:paraId="0EAD675F" w14:textId="77777777" w:rsidR="00805A93" w:rsidRPr="00751FA5" w:rsidRDefault="00805A93" w:rsidP="00751FA5">
            <w:pPr>
              <w:pStyle w:val="Normal-table"/>
            </w:pPr>
            <w:r w:rsidRPr="00751FA5">
              <w:t>Average 23 per day</w:t>
            </w:r>
          </w:p>
        </w:tc>
      </w:tr>
      <w:tr w:rsidR="00805A93" w:rsidRPr="00751FA5" w14:paraId="495F0CFF" w14:textId="77777777" w:rsidTr="00751FA5">
        <w:trPr>
          <w:cnfStyle w:val="000000100000" w:firstRow="0" w:lastRow="0" w:firstColumn="0" w:lastColumn="0" w:oddVBand="0" w:evenVBand="0" w:oddHBand="1" w:evenHBand="0" w:firstRowFirstColumn="0" w:firstRowLastColumn="0" w:lastRowFirstColumn="0" w:lastRowLastColumn="0"/>
          <w:trHeight w:val="174"/>
        </w:trPr>
        <w:tc>
          <w:tcPr>
            <w:tcW w:w="1233" w:type="pct"/>
            <w:hideMark/>
          </w:tcPr>
          <w:p w14:paraId="57E2CADD" w14:textId="77777777" w:rsidR="00805A93" w:rsidRPr="00751FA5" w:rsidRDefault="00805A93" w:rsidP="00751FA5">
            <w:pPr>
              <w:pStyle w:val="Normal-table"/>
            </w:pPr>
            <w:r w:rsidRPr="00751FA5">
              <w:t>2021</w:t>
            </w:r>
          </w:p>
        </w:tc>
        <w:tc>
          <w:tcPr>
            <w:tcW w:w="1422" w:type="pct"/>
            <w:hideMark/>
          </w:tcPr>
          <w:p w14:paraId="328D7639" w14:textId="77777777" w:rsidR="00805A93" w:rsidRPr="00751FA5" w:rsidRDefault="00805A93" w:rsidP="00751FA5">
            <w:pPr>
              <w:pStyle w:val="Normal-table"/>
            </w:pPr>
            <w:r w:rsidRPr="00751FA5">
              <w:t>44,713</w:t>
            </w:r>
          </w:p>
        </w:tc>
        <w:tc>
          <w:tcPr>
            <w:tcW w:w="2345" w:type="pct"/>
            <w:hideMark/>
          </w:tcPr>
          <w:p w14:paraId="77FD3ECC" w14:textId="77777777" w:rsidR="00805A93" w:rsidRPr="00751FA5" w:rsidRDefault="00805A93" w:rsidP="00751FA5">
            <w:pPr>
              <w:pStyle w:val="Normal-table"/>
            </w:pPr>
            <w:r w:rsidRPr="00751FA5">
              <w:t>Average 14 per day</w:t>
            </w:r>
          </w:p>
        </w:tc>
      </w:tr>
      <w:tr w:rsidR="00805A93" w:rsidRPr="00751FA5" w14:paraId="12E04F4C" w14:textId="77777777" w:rsidTr="00751FA5">
        <w:trPr>
          <w:trHeight w:val="12"/>
        </w:trPr>
        <w:tc>
          <w:tcPr>
            <w:tcW w:w="1233" w:type="pct"/>
            <w:hideMark/>
          </w:tcPr>
          <w:p w14:paraId="5E827A43" w14:textId="77777777" w:rsidR="00805A93" w:rsidRPr="00751FA5" w:rsidRDefault="00805A93" w:rsidP="00751FA5">
            <w:pPr>
              <w:pStyle w:val="Normal-table"/>
            </w:pPr>
            <w:r w:rsidRPr="00751FA5">
              <w:t>2020</w:t>
            </w:r>
          </w:p>
        </w:tc>
        <w:tc>
          <w:tcPr>
            <w:tcW w:w="1422" w:type="pct"/>
            <w:hideMark/>
          </w:tcPr>
          <w:p w14:paraId="4E993E32" w14:textId="77777777" w:rsidR="00805A93" w:rsidRPr="00751FA5" w:rsidRDefault="00805A93" w:rsidP="00751FA5">
            <w:pPr>
              <w:pStyle w:val="Normal-table"/>
            </w:pPr>
            <w:r w:rsidRPr="00751FA5">
              <w:t>9672</w:t>
            </w:r>
          </w:p>
        </w:tc>
        <w:tc>
          <w:tcPr>
            <w:tcW w:w="2345" w:type="pct"/>
            <w:hideMark/>
          </w:tcPr>
          <w:p w14:paraId="67F3E68B" w14:textId="77777777" w:rsidR="00805A93" w:rsidRPr="00751FA5" w:rsidRDefault="00805A93" w:rsidP="00751FA5">
            <w:pPr>
              <w:pStyle w:val="Normal-table"/>
            </w:pPr>
            <w:r w:rsidRPr="00751FA5">
              <w:t>Average 3 per day</w:t>
            </w:r>
          </w:p>
        </w:tc>
      </w:tr>
    </w:tbl>
    <w:p w14:paraId="709289B0" w14:textId="77777777" w:rsidR="00565589" w:rsidRDefault="00565589" w:rsidP="00565589"/>
    <w:p w14:paraId="424EC032" w14:textId="1381AB3A" w:rsidR="00805A93" w:rsidRPr="001C200A" w:rsidRDefault="00805A93" w:rsidP="00805A93">
      <w:pPr>
        <w:pStyle w:val="ForMoreInformation"/>
      </w:pPr>
      <w:r w:rsidRPr="001C200A">
        <w:t>For more information</w:t>
      </w:r>
      <w:r>
        <w:br/>
      </w:r>
      <w:hyperlink r:id="rId25" w:history="1">
        <w:r w:rsidRPr="001C200A">
          <w:rPr>
            <w:rStyle w:val="Hyperlink"/>
          </w:rPr>
          <w:t>https://www.tmr.qld.gov.au/bvrt</w:t>
        </w:r>
      </w:hyperlink>
    </w:p>
    <w:p w14:paraId="623010BC" w14:textId="77777777" w:rsidR="00805A93" w:rsidRPr="001C200A" w:rsidRDefault="00805A93" w:rsidP="00805A93">
      <w:pPr>
        <w:pStyle w:val="Heading3"/>
      </w:pPr>
      <w:r w:rsidRPr="001C200A">
        <w:t>Principal Cycle Network Plans update and statewide community consultation</w:t>
      </w:r>
    </w:p>
    <w:p w14:paraId="68FEDC94" w14:textId="77777777" w:rsidR="00805A93" w:rsidRPr="001C200A" w:rsidRDefault="00805A93" w:rsidP="00805A93">
      <w:r w:rsidRPr="001C200A">
        <w:t xml:space="preserve">TMR commenced a review and update of the Principal Cycle Network Plans in July 2022 that support and guide the planning, design, and delivery of cycling infrastructure across Queensland. </w:t>
      </w:r>
    </w:p>
    <w:p w14:paraId="14610345" w14:textId="77777777" w:rsidR="00805A93" w:rsidRPr="001C200A" w:rsidRDefault="00805A93" w:rsidP="00805A93">
      <w:bookmarkStart w:id="8" w:name="_Hlk129597251"/>
      <w:r w:rsidRPr="001C200A">
        <w:t>Statewide community consultation has been undertaken to better understand local needs and insights, and to identify the key future links needed to encourage more people to ride.</w:t>
      </w:r>
      <w:bookmarkEnd w:id="8"/>
    </w:p>
    <w:p w14:paraId="68C717F3" w14:textId="77777777" w:rsidR="00805A93" w:rsidRPr="001C200A" w:rsidRDefault="00805A93" w:rsidP="00805A93">
      <w:r w:rsidRPr="001C200A">
        <w:t>Over four weeks, more than 4000 responses were received online via an interactive map and survey. Common themes included improving safety and connectivity, completing missing links, and providing more bike tourism opportunities like rail trails.</w:t>
      </w:r>
    </w:p>
    <w:p w14:paraId="38EEB3B9" w14:textId="77777777" w:rsidR="00805A93" w:rsidRPr="001C200A" w:rsidRDefault="00805A93" w:rsidP="00805A93">
      <w:r w:rsidRPr="001C200A">
        <w:lastRenderedPageBreak/>
        <w:t>TMR and local governments will use this important community input to inform their review of the network and help determine how delivery of the network is prioritised and planned for in the future.</w:t>
      </w:r>
    </w:p>
    <w:p w14:paraId="38719002" w14:textId="77777777" w:rsidR="00805A93" w:rsidRPr="001C200A" w:rsidRDefault="00805A93" w:rsidP="00805A93">
      <w:pPr>
        <w:pStyle w:val="ForMoreInformation"/>
        <w:rPr>
          <w:rStyle w:val="Hyperlink"/>
        </w:rPr>
      </w:pPr>
      <w:r w:rsidRPr="001C200A">
        <w:t>For more information</w:t>
      </w:r>
      <w:r>
        <w:br/>
      </w:r>
      <w:r w:rsidRPr="001C200A">
        <w:rPr>
          <w:rStyle w:val="Hyperlink"/>
        </w:rPr>
        <w:t>https://www.tmr.qld.gov.au/travel-and-transport/cycling/principal-cycle-network/principal-cycle-network-plans</w:t>
      </w:r>
    </w:p>
    <w:p w14:paraId="77AE615C" w14:textId="77777777" w:rsidR="00805A93" w:rsidRPr="001C200A" w:rsidRDefault="00805A93" w:rsidP="00805A93">
      <w:pPr>
        <w:pStyle w:val="Heading3"/>
      </w:pPr>
      <w:r w:rsidRPr="001C200A">
        <w:t xml:space="preserve">Funding local governments to prepare walking network plans </w:t>
      </w:r>
    </w:p>
    <w:p w14:paraId="77D9EEF2" w14:textId="77777777" w:rsidR="00805A93" w:rsidRPr="001C200A" w:rsidRDefault="00805A93" w:rsidP="00805A93">
      <w:bookmarkStart w:id="9" w:name="_Hlk128492336"/>
      <w:r w:rsidRPr="001C200A">
        <w:t xml:space="preserve">In July 2022, TMR awarded the state's first grants for local governments to plan better infrastructure and places for walking, helping to create an integrated transport network accessible to all Queenslanders. </w:t>
      </w:r>
    </w:p>
    <w:p w14:paraId="7EB0A2BC" w14:textId="77777777" w:rsidR="00805A93" w:rsidRPr="001C200A" w:rsidRDefault="00805A93" w:rsidP="00805A93">
      <w:r w:rsidRPr="001C200A">
        <w:t>A total of 49 grants were awarded to 24 councils in urban, regional, rural</w:t>
      </w:r>
      <w:r>
        <w:t>,</w:t>
      </w:r>
      <w:r w:rsidRPr="001C200A">
        <w:t xml:space="preserve"> and remote areas to collaborate with community members and groups to develop walking network plans. </w:t>
      </w:r>
    </w:p>
    <w:p w14:paraId="59600AFE" w14:textId="77777777" w:rsidR="00805A93" w:rsidRPr="001C200A" w:rsidRDefault="00805A93" w:rsidP="00805A93">
      <w:r w:rsidRPr="001C200A">
        <w:t>Local governments will plan how to improve walking to important local facilities such as public transport, schools, shops</w:t>
      </w:r>
      <w:r>
        <w:t>,</w:t>
      </w:r>
      <w:r w:rsidRPr="001C200A">
        <w:t xml:space="preserve"> and town centres, and where to invest in cost-effective improvements.</w:t>
      </w:r>
    </w:p>
    <w:p w14:paraId="5492A67C" w14:textId="77777777" w:rsidR="00805A93" w:rsidRPr="001C200A" w:rsidRDefault="00805A93" w:rsidP="00805A93">
      <w:r w:rsidRPr="001C200A">
        <w:t>The first round of grants was oversubscribed, reflecting the importance of walking to Queenslanders. A second round of grants was announced for 2023–24 to address the increasing demand by local governments to plan for walking.</w:t>
      </w:r>
    </w:p>
    <w:bookmarkEnd w:id="9"/>
    <w:p w14:paraId="1909D8B0" w14:textId="77777777" w:rsidR="00805A93" w:rsidRPr="001C200A" w:rsidRDefault="00805A93" w:rsidP="00805A93">
      <w:pPr>
        <w:pStyle w:val="ForMoreInformation"/>
      </w:pPr>
      <w:r w:rsidRPr="001C200A">
        <w:t>For more information</w:t>
      </w:r>
      <w:r>
        <w:br/>
      </w:r>
      <w:r w:rsidRPr="001C200A">
        <w:rPr>
          <w:rStyle w:val="Hyperlink"/>
        </w:rPr>
        <w:t>https://www.tmr.qld.gov.au/travel-and-transport/pedestrians-and-walking/walking-local-government-grants</w:t>
      </w:r>
    </w:p>
    <w:p w14:paraId="29CA9229" w14:textId="77777777" w:rsidR="00805A93" w:rsidRPr="001C200A" w:rsidRDefault="00805A93" w:rsidP="00805A93">
      <w:pPr>
        <w:pStyle w:val="Heading3"/>
      </w:pPr>
      <w:r w:rsidRPr="001C200A">
        <w:t xml:space="preserve">Understanding the potential for bike tourism </w:t>
      </w:r>
    </w:p>
    <w:p w14:paraId="5B55E78A" w14:textId="77777777" w:rsidR="00805A93" w:rsidRPr="001C200A" w:rsidRDefault="00805A93" w:rsidP="00805A93">
      <w:r w:rsidRPr="001C200A">
        <w:t xml:space="preserve">In January 2023, TMR published a research report providing an in-depth analysis of the market and demand for bike tourism. The report, </w:t>
      </w:r>
      <w:r w:rsidRPr="001C200A">
        <w:rPr>
          <w:rStyle w:val="Emphasis"/>
        </w:rPr>
        <w:t>Bike Tourism in Queensland</w:t>
      </w:r>
      <w:r w:rsidRPr="001C200A">
        <w:t xml:space="preserve">, shows significant untapped potential for bike tourism, driven by a large and growing market worth more than $1.95 billion nationally. </w:t>
      </w:r>
    </w:p>
    <w:p w14:paraId="09A07F44" w14:textId="77777777" w:rsidR="00805A93" w:rsidRPr="001C200A" w:rsidRDefault="00805A93" w:rsidP="00805A93">
      <w:r w:rsidRPr="001C200A">
        <w:t>Developed in partnership with Tourism and Events Queensland and the Department of Tourism, Innovation and Sport, the report reveals trail riding, particularly half and single</w:t>
      </w:r>
      <w:r>
        <w:t>-</w:t>
      </w:r>
      <w:r w:rsidRPr="001C200A">
        <w:t xml:space="preserve">day rides have strong appeal, followed by multi-day trail riding and mountain biking. It also identifies what makes a great experience and what is needed to grow the industry in Queensland. </w:t>
      </w:r>
    </w:p>
    <w:p w14:paraId="6D3EF6EB" w14:textId="77777777" w:rsidR="00805A93" w:rsidRPr="001C200A" w:rsidRDefault="00805A93" w:rsidP="00805A93">
      <w:r w:rsidRPr="001C200A">
        <w:t>The report provides government, industry</w:t>
      </w:r>
      <w:r>
        <w:t>,</w:t>
      </w:r>
      <w:r w:rsidRPr="001C200A">
        <w:t xml:space="preserve"> and the community with a strong evidence base to support growing bike tourism in Queensland to help strengthen the economy and revitalise many local communities across the state. </w:t>
      </w:r>
    </w:p>
    <w:p w14:paraId="23937D73" w14:textId="77777777" w:rsidR="00805A93" w:rsidRPr="001C200A" w:rsidRDefault="00805A93" w:rsidP="00805A93">
      <w:pPr>
        <w:pStyle w:val="ForMoreInformation"/>
        <w:rPr>
          <w:rStyle w:val="Hyperlink"/>
        </w:rPr>
      </w:pPr>
      <w:r w:rsidRPr="001C200A">
        <w:t>For more information</w:t>
      </w:r>
      <w:r>
        <w:br/>
      </w:r>
      <w:r w:rsidRPr="001C200A">
        <w:rPr>
          <w:rStyle w:val="Hyperlink"/>
        </w:rPr>
        <w:t>https://www.tmr.qld.gov.au/Travel-and-transport/Cycling/Bike-tourism</w:t>
      </w:r>
    </w:p>
    <w:p w14:paraId="6C4063CA" w14:textId="77777777" w:rsidR="00805A93" w:rsidRPr="001C200A" w:rsidRDefault="00805A93" w:rsidP="00805A93">
      <w:pPr>
        <w:pStyle w:val="Heading3"/>
      </w:pPr>
      <w:r w:rsidRPr="001C200A">
        <w:t xml:space="preserve">Encouraging Queensland businesses to be bike-friendly </w:t>
      </w:r>
    </w:p>
    <w:p w14:paraId="7D41335E" w14:textId="77777777" w:rsidR="00805A93" w:rsidRPr="001C200A" w:rsidRDefault="00805A93" w:rsidP="00805A93">
      <w:r w:rsidRPr="001C200A">
        <w:t xml:space="preserve">TMR released a </w:t>
      </w:r>
      <w:r w:rsidRPr="001C200A">
        <w:rPr>
          <w:rStyle w:val="Emphasis"/>
        </w:rPr>
        <w:t>Become a bike-friendly business</w:t>
      </w:r>
      <w:r w:rsidRPr="001C200A">
        <w:t xml:space="preserve"> guide in March 2023, to encourage more Queensland businesses to provide a welcoming environment and facilities for people visiting by bike.</w:t>
      </w:r>
    </w:p>
    <w:p w14:paraId="495C8812" w14:textId="77777777" w:rsidR="00805A93" w:rsidRPr="001C200A" w:rsidRDefault="00805A93" w:rsidP="00805A93">
      <w:r w:rsidRPr="001C200A">
        <w:t>Bike riders represent a growing market of people who want to stop, shop</w:t>
      </w:r>
      <w:r>
        <w:t>,</w:t>
      </w:r>
      <w:r w:rsidRPr="001C200A">
        <w:t xml:space="preserve"> and spend at businesses of all types. TMR wants more Queenslanders to ride bicycles to the shops, local cafes, nearby entertainment venues and tourist attractions, or to professional service appointments. </w:t>
      </w:r>
    </w:p>
    <w:p w14:paraId="7DDCFC2B" w14:textId="77777777" w:rsidR="00805A93" w:rsidRPr="001C200A" w:rsidRDefault="00805A93" w:rsidP="00805A93">
      <w:r w:rsidRPr="001C200A">
        <w:t>Informed by research with bike riders, businesses, local governments</w:t>
      </w:r>
      <w:r>
        <w:t>,</w:t>
      </w:r>
      <w:r w:rsidRPr="001C200A">
        <w:t xml:space="preserve"> and bike riding groups across the state, the guide helps businesses understand the potential of the bike</w:t>
      </w:r>
      <w:r>
        <w:t>-</w:t>
      </w:r>
      <w:r w:rsidRPr="001C200A">
        <w:t>riding market, and how to make it more convenient, comfortable</w:t>
      </w:r>
      <w:r>
        <w:t>,</w:t>
      </w:r>
      <w:r w:rsidRPr="001C200A">
        <w:t xml:space="preserve"> and secure for people to ride and park their bike when they shop.</w:t>
      </w:r>
    </w:p>
    <w:p w14:paraId="21C2F176" w14:textId="77777777" w:rsidR="00805A93" w:rsidRPr="001C200A" w:rsidRDefault="00805A93" w:rsidP="00805A93">
      <w:pPr>
        <w:pStyle w:val="ForMoreInformation"/>
      </w:pPr>
      <w:r w:rsidRPr="001C200A">
        <w:t>For more information</w:t>
      </w:r>
      <w:r>
        <w:br/>
      </w:r>
      <w:r w:rsidRPr="001C200A">
        <w:rPr>
          <w:rStyle w:val="Hyperlink"/>
        </w:rPr>
        <w:t>https://www.tmr.qld.gov.au/travel-and-transport/cycling/research-and-resources/bike-friendly-business</w:t>
      </w:r>
    </w:p>
    <w:p w14:paraId="2F6EA840" w14:textId="77777777" w:rsidR="00C6602D" w:rsidRDefault="00C6602D">
      <w:pPr>
        <w:spacing w:before="0" w:after="160" w:line="259" w:lineRule="auto"/>
        <w:rPr>
          <w:rFonts w:eastAsiaTheme="majorEastAsia" w:cstheme="majorBidi"/>
          <w:color w:val="000000" w:themeColor="text1"/>
          <w:sz w:val="48"/>
          <w:szCs w:val="26"/>
        </w:rPr>
      </w:pPr>
      <w:r>
        <w:lastRenderedPageBreak/>
        <w:br w:type="page"/>
      </w:r>
    </w:p>
    <w:p w14:paraId="4EB60ED0" w14:textId="367130EC" w:rsidR="00805A93" w:rsidRPr="00C63EDB" w:rsidRDefault="00805A93" w:rsidP="00805A93">
      <w:pPr>
        <w:pStyle w:val="Heading2"/>
      </w:pPr>
      <w:r w:rsidRPr="00EC4B3B">
        <w:lastRenderedPageBreak/>
        <w:t>Marine Infrastructure</w:t>
      </w:r>
    </w:p>
    <w:p w14:paraId="39631E53" w14:textId="77777777" w:rsidR="00805A93" w:rsidRDefault="00805A93" w:rsidP="00805A93">
      <w:pPr>
        <w:pStyle w:val="Heading3"/>
      </w:pPr>
      <w:r>
        <w:t>Southern Moreton Bay Island ferry terminal pontoons project</w:t>
      </w:r>
    </w:p>
    <w:p w14:paraId="2A8F2B0C" w14:textId="77777777" w:rsidR="00805A93" w:rsidRPr="00A66B2B" w:rsidRDefault="00805A93" w:rsidP="00805A93">
      <w:r w:rsidRPr="00A66B2B">
        <w:t xml:space="preserve">Delivered by TMR in partnership with Redland City Council, the Southern Moreton Bay Islands Ferry Terminals </w:t>
      </w:r>
      <w:r>
        <w:t>u</w:t>
      </w:r>
      <w:r w:rsidRPr="00A66B2B">
        <w:t xml:space="preserve">pgrade </w:t>
      </w:r>
      <w:r>
        <w:t>p</w:t>
      </w:r>
      <w:r w:rsidRPr="00A66B2B">
        <w:t>roject provides new ferry terminals at Russell, Macleay, Lamb, and Karragarra islands. The</w:t>
      </w:r>
      <w:r>
        <w:t xml:space="preserve"> </w:t>
      </w:r>
      <w:r w:rsidRPr="00A66B2B">
        <w:t xml:space="preserve">project also includes repurposing the existing infrastructure for recreational use, such as fishing and mooring. </w:t>
      </w:r>
    </w:p>
    <w:p w14:paraId="51733D7B" w14:textId="77777777" w:rsidR="00805A93" w:rsidRDefault="00805A93" w:rsidP="00805A93">
      <w:r w:rsidRPr="00A66B2B">
        <w:t xml:space="preserve">The new ferry terminals have met the full requirements of the </w:t>
      </w:r>
      <w:r w:rsidRPr="00B775BC">
        <w:rPr>
          <w:rStyle w:val="Emphasis"/>
        </w:rPr>
        <w:t>Disability Standards for Accessible Public Transport 2002</w:t>
      </w:r>
      <w:r w:rsidRPr="00A66B2B">
        <w:t xml:space="preserve">, made under the </w:t>
      </w:r>
      <w:r w:rsidRPr="00B775BC">
        <w:rPr>
          <w:rStyle w:val="Emphasis"/>
        </w:rPr>
        <w:t>Disability Discrimination Act 1992</w:t>
      </w:r>
      <w:r w:rsidRPr="00A66B2B">
        <w:t xml:space="preserve">. </w:t>
      </w:r>
    </w:p>
    <w:p w14:paraId="4D0A7485" w14:textId="77777777" w:rsidR="00805A93" w:rsidRPr="00A66B2B" w:rsidRDefault="00805A93" w:rsidP="00805A93">
      <w:r w:rsidRPr="00A66B2B">
        <w:t>The four new facilities include larger pontoons, wider jetties</w:t>
      </w:r>
      <w:r>
        <w:t>,</w:t>
      </w:r>
      <w:r w:rsidRPr="00A66B2B">
        <w:t xml:space="preserve"> and gangways for improved accessibility.</w:t>
      </w:r>
      <w:r>
        <w:t xml:space="preserve"> The facilities also feature i</w:t>
      </w:r>
      <w:r w:rsidRPr="00A66B2B">
        <w:t xml:space="preserve">ncreased seating, drinking fountains, sheltered waiting areas with better weather protection, screening along the new jetties and gangways, improved security with </w:t>
      </w:r>
      <w:r>
        <w:t>Closed-Circuit Television Cameras (</w:t>
      </w:r>
      <w:r w:rsidRPr="00A66B2B">
        <w:t>CCTV</w:t>
      </w:r>
      <w:r>
        <w:t>)</w:t>
      </w:r>
      <w:r w:rsidRPr="00A66B2B">
        <w:t xml:space="preserve"> and lighting, </w:t>
      </w:r>
      <w:r>
        <w:t xml:space="preserve">and </w:t>
      </w:r>
      <w:r w:rsidRPr="00A66B2B">
        <w:t xml:space="preserve">upgraded landside works and amenities. </w:t>
      </w:r>
    </w:p>
    <w:p w14:paraId="2524EE2E" w14:textId="77777777" w:rsidR="00805A93" w:rsidRDefault="00805A93" w:rsidP="00805A93">
      <w:pPr>
        <w:pStyle w:val="Heading3"/>
      </w:pPr>
      <w:r>
        <w:t>Yorkeys Knob</w:t>
      </w:r>
    </w:p>
    <w:p w14:paraId="14D228B7" w14:textId="77777777" w:rsidR="00805A93" w:rsidRDefault="00805A93" w:rsidP="00805A93">
      <w:r w:rsidRPr="00EF5FBF">
        <w:t xml:space="preserve">Yorkeys Knob was identified as a strategic location for an additional boat launching facility to the north of the Cairns CBD through the Recreational Boating Facilities Demand Forecasting Study </w:t>
      </w:r>
      <w:r>
        <w:t xml:space="preserve">in </w:t>
      </w:r>
      <w:r w:rsidRPr="00EF5FBF">
        <w:t xml:space="preserve">2016 and included as a project </w:t>
      </w:r>
      <w:r>
        <w:t xml:space="preserve">in TMR's </w:t>
      </w:r>
      <w:r w:rsidRPr="00EF5FBF">
        <w:t xml:space="preserve">Marine Infrastructure Fund. </w:t>
      </w:r>
    </w:p>
    <w:p w14:paraId="5D70AB54" w14:textId="77777777" w:rsidR="00805A93" w:rsidRDefault="00805A93" w:rsidP="00805A93">
      <w:r w:rsidRPr="00EF5FBF">
        <w:t xml:space="preserve">The recently opened facility includes a 6-lane boat ramp, </w:t>
      </w:r>
      <w:r>
        <w:t>three</w:t>
      </w:r>
      <w:r w:rsidRPr="00EF5FBF">
        <w:t xml:space="preserve"> floating walkways</w:t>
      </w:r>
      <w:r>
        <w:t>,</w:t>
      </w:r>
      <w:r w:rsidRPr="00EF5FBF">
        <w:t xml:space="preserve"> and a queuing beach enclosed in a mini-harbour protected by rock breakwaters. The facility includes an access road, 135 </w:t>
      </w:r>
      <w:r>
        <w:t>c</w:t>
      </w:r>
      <w:r w:rsidRPr="00EF5FBF">
        <w:t xml:space="preserve">ar </w:t>
      </w:r>
      <w:r>
        <w:t>t</w:t>
      </w:r>
      <w:r w:rsidRPr="00EF5FBF">
        <w:t xml:space="preserve">railer </w:t>
      </w:r>
      <w:r>
        <w:t>p</w:t>
      </w:r>
      <w:r w:rsidRPr="00EF5FBF">
        <w:t>arks, 63 single carparks</w:t>
      </w:r>
      <w:r>
        <w:t>,</w:t>
      </w:r>
      <w:r w:rsidRPr="00EF5FBF">
        <w:t xml:space="preserve"> and an amenities block. </w:t>
      </w:r>
    </w:p>
    <w:p w14:paraId="46698DDB" w14:textId="77777777" w:rsidR="00805A93" w:rsidRDefault="00805A93" w:rsidP="00805A93">
      <w:r w:rsidRPr="00EF5FBF">
        <w:t>The facility has been developed on an old dredge material placement site between the existing Yorkeys Knob Boating Club Marina, the Half Moon Bay Golf Club</w:t>
      </w:r>
      <w:r>
        <w:t>,</w:t>
      </w:r>
      <w:r w:rsidRPr="00EF5FBF">
        <w:t xml:space="preserve"> and an existing navigational channel. </w:t>
      </w:r>
    </w:p>
    <w:p w14:paraId="5A73EA51" w14:textId="77777777" w:rsidR="00805A93" w:rsidRPr="00EF5FBF" w:rsidRDefault="00805A93" w:rsidP="00805A93">
      <w:r w:rsidRPr="00EF5FBF">
        <w:t>The facility in this disturbed area is outside the Great Barrier Reef Marine Park and represents an exceptional outcome for boaties</w:t>
      </w:r>
      <w:r>
        <w:t xml:space="preserve"> and the</w:t>
      </w:r>
      <w:r w:rsidRPr="00EF5FBF">
        <w:t xml:space="preserve"> environment</w:t>
      </w:r>
      <w:r>
        <w:t>. It also</w:t>
      </w:r>
      <w:r w:rsidRPr="00EF5FBF">
        <w:t xml:space="preserve"> greatly improves recreational boating access to the Great Barrier Reef.</w:t>
      </w:r>
    </w:p>
    <w:p w14:paraId="2BF10483" w14:textId="77777777" w:rsidR="00805A93" w:rsidRDefault="00805A93" w:rsidP="00805A93">
      <w:pPr>
        <w:pStyle w:val="Heading3"/>
      </w:pPr>
      <w:r>
        <w:t>State boat harbours</w:t>
      </w:r>
    </w:p>
    <w:p w14:paraId="5846DC52" w14:textId="77777777" w:rsidR="00805A93" w:rsidRDefault="00805A93" w:rsidP="00805A93">
      <w:r w:rsidRPr="00095FDB">
        <w:t xml:space="preserve">TMR owns and manages eight state boat harbours located at </w:t>
      </w:r>
      <w:r>
        <w:t>M</w:t>
      </w:r>
      <w:r w:rsidRPr="00095FDB">
        <w:t>anly, Cabbage Tree Creek (Shorncliffe), Scarborough, Mooloolaba, Snapper Creek (Tin Can Bay), Urangan (Hervey Bay), Rosslyn Bay, Yeppoon, Bowen, and Nelly Bay ferry terminal (Magnetic Island).</w:t>
      </w:r>
    </w:p>
    <w:p w14:paraId="317F219D" w14:textId="77777777" w:rsidR="00805A93" w:rsidRDefault="00805A93" w:rsidP="00805A93">
      <w:r w:rsidRPr="00095FDB">
        <w:t>These assets form part of TMR’s maritime network and promote recreational and commercial boating businesses and activities, by providing a location for the maritime industry to grow and thrive.</w:t>
      </w:r>
    </w:p>
    <w:p w14:paraId="7539461E" w14:textId="77777777" w:rsidR="00805A93" w:rsidRDefault="00805A93" w:rsidP="00805A93">
      <w:r w:rsidRPr="00095FDB">
        <w:t>The harbours provide public marine facilities for the community, such as boat ramps, pontoons, amenities, kayak washdown bays, and car-trailer unit parking.</w:t>
      </w:r>
    </w:p>
    <w:p w14:paraId="3143F50B" w14:textId="77777777" w:rsidR="00805A93" w:rsidRPr="00EC4B3B" w:rsidRDefault="00805A93" w:rsidP="00805A93">
      <w:r w:rsidRPr="00095FDB">
        <w:t>These public facilities are managed sustainably through a proactive maintenance schedule to ensure the facilities are fit for purpose, safe, compliant, and continue to meet the demands of the boating public.</w:t>
      </w:r>
    </w:p>
    <w:p w14:paraId="0B945F50" w14:textId="77777777" w:rsidR="00C6602D" w:rsidRDefault="00C6602D">
      <w:pPr>
        <w:spacing w:before="0" w:after="160" w:line="259" w:lineRule="auto"/>
        <w:rPr>
          <w:rFonts w:eastAsiaTheme="majorEastAsia" w:cstheme="majorBidi"/>
          <w:color w:val="000000" w:themeColor="text1"/>
          <w:sz w:val="48"/>
          <w:szCs w:val="26"/>
        </w:rPr>
      </w:pPr>
      <w:r>
        <w:br w:type="page"/>
      </w:r>
    </w:p>
    <w:p w14:paraId="3BC6A092" w14:textId="433962E9" w:rsidR="00805A93" w:rsidRPr="0059692A" w:rsidRDefault="00805A93" w:rsidP="00805A93">
      <w:pPr>
        <w:pStyle w:val="Heading2"/>
      </w:pPr>
      <w:r>
        <w:lastRenderedPageBreak/>
        <w:t>Major Projects</w:t>
      </w:r>
    </w:p>
    <w:p w14:paraId="4E0ACC7E" w14:textId="77777777" w:rsidR="00805A93" w:rsidRPr="005B78EE" w:rsidRDefault="00805A93" w:rsidP="00805A93">
      <w:pPr>
        <w:pStyle w:val="Heading3"/>
      </w:pPr>
      <w:r w:rsidRPr="005B78EE">
        <w:t xml:space="preserve">Bruce Highway Upgrade Program </w:t>
      </w:r>
    </w:p>
    <w:p w14:paraId="0F53D43E" w14:textId="77777777" w:rsidR="00805A93" w:rsidRPr="005B78EE" w:rsidRDefault="00805A93" w:rsidP="00805A93">
      <w:r w:rsidRPr="005B78EE">
        <w:t xml:space="preserve">The Australian and Queensland governments are committed to delivering a $13 billion Bruce Highway Upgrade Program over 15 years (2013–14 to 2027–28) based on an 80:20 (federal:state) funding arrangement. </w:t>
      </w:r>
    </w:p>
    <w:p w14:paraId="1E021987" w14:textId="77777777" w:rsidR="00805A93" w:rsidRPr="005B78EE" w:rsidRDefault="00805A93" w:rsidP="00805A93">
      <w:r w:rsidRPr="005B78EE">
        <w:t>The program began in 2013 and is improving safety, flood resilience, and capacity between Brisbane and Cairns. The program is now in its tenth year and has achieved:</w:t>
      </w:r>
    </w:p>
    <w:p w14:paraId="519A2310" w14:textId="77777777" w:rsidR="00805A93" w:rsidRPr="005B78EE" w:rsidRDefault="00805A93" w:rsidP="00805A93">
      <w:pPr>
        <w:pStyle w:val="ListBullet"/>
      </w:pPr>
      <w:r>
        <w:t>452</w:t>
      </w:r>
      <w:r w:rsidRPr="005B78EE">
        <w:t xml:space="preserve"> projects completed</w:t>
      </w:r>
      <w:r>
        <w:t xml:space="preserve"> (excluding flood improvement projects)</w:t>
      </w:r>
    </w:p>
    <w:p w14:paraId="2140008B" w14:textId="77777777" w:rsidR="00805A93" w:rsidRPr="005B78EE" w:rsidRDefault="00805A93" w:rsidP="00805A93">
      <w:pPr>
        <w:pStyle w:val="ListBullet"/>
      </w:pPr>
      <w:r>
        <w:t>7</w:t>
      </w:r>
      <w:r w:rsidRPr="005B78EE">
        <w:t xml:space="preserve"> flood improvements completed</w:t>
      </w:r>
    </w:p>
    <w:p w14:paraId="2F61A545" w14:textId="77777777" w:rsidR="00805A93" w:rsidRPr="005B78EE" w:rsidRDefault="00805A93" w:rsidP="00805A93">
      <w:pPr>
        <w:pStyle w:val="ListBullet"/>
      </w:pPr>
      <w:r>
        <w:t>64</w:t>
      </w:r>
      <w:r w:rsidRPr="005B78EE">
        <w:t xml:space="preserve"> projects in the design phase or under construction</w:t>
      </w:r>
    </w:p>
    <w:p w14:paraId="500E1A90" w14:textId="77777777" w:rsidR="00805A93" w:rsidRPr="005B78EE" w:rsidRDefault="00805A93" w:rsidP="00805A93">
      <w:pPr>
        <w:pStyle w:val="ListBullet"/>
      </w:pPr>
      <w:r>
        <w:t>23</w:t>
      </w:r>
      <w:r w:rsidRPr="005B78EE">
        <w:t xml:space="preserve"> projects in the planning phase.</w:t>
      </w:r>
    </w:p>
    <w:p w14:paraId="481DDFA0" w14:textId="77777777" w:rsidR="00805A93" w:rsidRPr="005B78EE" w:rsidRDefault="00805A93" w:rsidP="00805A93">
      <w:r w:rsidRPr="005B78EE">
        <w:t>Key highlights have included:</w:t>
      </w:r>
    </w:p>
    <w:p w14:paraId="3D18EABF" w14:textId="77777777" w:rsidR="00805A93" w:rsidRPr="005B78EE" w:rsidRDefault="00805A93" w:rsidP="00805A93">
      <w:pPr>
        <w:pStyle w:val="ListBullet"/>
      </w:pPr>
      <w:r>
        <w:t>235</w:t>
      </w:r>
      <w:r w:rsidRPr="005B78EE">
        <w:t xml:space="preserve"> kilometres wide centre line treatment installed (in addition to </w:t>
      </w:r>
      <w:r>
        <w:t>around 650</w:t>
      </w:r>
      <w:r w:rsidRPr="005B78EE">
        <w:t xml:space="preserve"> kilometres of wide centre line treatment delivered on the Bruce Highway under other funding program)</w:t>
      </w:r>
    </w:p>
    <w:p w14:paraId="7FF27142" w14:textId="77777777" w:rsidR="00805A93" w:rsidRPr="005B78EE" w:rsidRDefault="00805A93" w:rsidP="00805A93">
      <w:pPr>
        <w:pStyle w:val="ListBullet"/>
      </w:pPr>
      <w:r>
        <w:t>189</w:t>
      </w:r>
      <w:r w:rsidRPr="005B78EE">
        <w:t xml:space="preserve"> protected right-turns installed</w:t>
      </w:r>
    </w:p>
    <w:p w14:paraId="12EFE2F2" w14:textId="77777777" w:rsidR="00805A93" w:rsidRPr="005B78EE" w:rsidRDefault="00805A93" w:rsidP="00805A93">
      <w:pPr>
        <w:pStyle w:val="ListBullet"/>
      </w:pPr>
      <w:r>
        <w:t>37</w:t>
      </w:r>
      <w:r w:rsidRPr="005B78EE">
        <w:t xml:space="preserve"> signalised intersections installed</w:t>
      </w:r>
    </w:p>
    <w:p w14:paraId="17E21C08" w14:textId="77777777" w:rsidR="00805A93" w:rsidRPr="005B78EE" w:rsidRDefault="00805A93" w:rsidP="00805A93">
      <w:pPr>
        <w:pStyle w:val="ListBullet"/>
      </w:pPr>
      <w:r>
        <w:t>420</w:t>
      </w:r>
      <w:r w:rsidRPr="005B78EE">
        <w:t xml:space="preserve"> kilometres of roadside barriers installed</w:t>
      </w:r>
    </w:p>
    <w:p w14:paraId="585A28A2" w14:textId="77777777" w:rsidR="00805A93" w:rsidRPr="005B78EE" w:rsidRDefault="00805A93" w:rsidP="00805A93">
      <w:pPr>
        <w:pStyle w:val="ListBullet"/>
      </w:pPr>
      <w:r>
        <w:t>95</w:t>
      </w:r>
      <w:r w:rsidRPr="005B78EE">
        <w:t xml:space="preserve"> overtaking lanes installed</w:t>
      </w:r>
    </w:p>
    <w:p w14:paraId="15D5C4DE" w14:textId="77777777" w:rsidR="00805A93" w:rsidRPr="005B78EE" w:rsidRDefault="00805A93" w:rsidP="00805A93">
      <w:pPr>
        <w:pStyle w:val="ListBullet"/>
      </w:pPr>
      <w:r>
        <w:t>42</w:t>
      </w:r>
      <w:r w:rsidRPr="005B78EE">
        <w:t xml:space="preserve"> kilometres of highway duplicated</w:t>
      </w:r>
    </w:p>
    <w:p w14:paraId="44EE2F59" w14:textId="77777777" w:rsidR="00805A93" w:rsidRPr="005B78EE" w:rsidRDefault="00805A93" w:rsidP="00805A93">
      <w:pPr>
        <w:pStyle w:val="ListBullet"/>
      </w:pPr>
      <w:r>
        <w:t>109</w:t>
      </w:r>
      <w:r w:rsidRPr="005B78EE">
        <w:t xml:space="preserve"> new bridges/overpasses constructed</w:t>
      </w:r>
    </w:p>
    <w:p w14:paraId="009B33BD" w14:textId="77777777" w:rsidR="00805A93" w:rsidRPr="005B78EE" w:rsidRDefault="00805A93" w:rsidP="00805A93">
      <w:pPr>
        <w:pStyle w:val="ListBullet"/>
      </w:pPr>
      <w:r>
        <w:t>34</w:t>
      </w:r>
      <w:r w:rsidRPr="005B78EE">
        <w:t xml:space="preserve"> new rest areas established,</w:t>
      </w:r>
      <w:r>
        <w:t xml:space="preserve"> and 29 rest areas upgraded</w:t>
      </w:r>
      <w:r w:rsidRPr="005B78EE">
        <w:t>.</w:t>
      </w:r>
    </w:p>
    <w:p w14:paraId="5D1C9B4C" w14:textId="1E9ED508" w:rsidR="00805A93" w:rsidRPr="00756FBC" w:rsidRDefault="00805A93" w:rsidP="00805A93">
      <w:pPr>
        <w:pStyle w:val="Heading3"/>
      </w:pPr>
      <w:r>
        <w:t>Major natural disaster events in 2022–23</w:t>
      </w:r>
    </w:p>
    <w:p w14:paraId="2D7E90F2" w14:textId="77777777" w:rsidR="00805A93" w:rsidRDefault="00805A93" w:rsidP="00805A93">
      <w:r>
        <w:t>Six disaster events were activated for financial relief measures under the jointly funded Commonwealth-State Disaster Recovery Funding Arrangements during 2022–23.</w:t>
      </w:r>
    </w:p>
    <w:p w14:paraId="6B8B6D27" w14:textId="77777777" w:rsidR="00805A93" w:rsidRDefault="00805A93" w:rsidP="00805A93">
      <w:r>
        <w:t xml:space="preserve">Damage assessments and repairs are being undertaken after monsoonal rainfall and flooding across the northern two-thirds of Queensland during early-2023. </w:t>
      </w:r>
      <w:r w:rsidRPr="003011A2">
        <w:t xml:space="preserve">TMR prioritised emergency works on the Barkly Highway and Wills Developmental Road to reopen key routes to Gulf </w:t>
      </w:r>
      <w:r>
        <w:t xml:space="preserve">of Carpentaria </w:t>
      </w:r>
      <w:r w:rsidRPr="003011A2">
        <w:t>communities</w:t>
      </w:r>
      <w:r>
        <w:t xml:space="preserve">. </w:t>
      </w:r>
    </w:p>
    <w:p w14:paraId="6C20E76E" w14:textId="0F8BD3D4" w:rsidR="00805A93" w:rsidRDefault="00805A93" w:rsidP="00805A93">
      <w:r>
        <w:t>Access was restored within just eight days to Mackay–Eungella Road on the Eungella Range west of Mackay, after heavy rainfall caused multiple landslips that temporarily closed the road in January 2023.</w:t>
      </w:r>
      <w:r w:rsidR="00E6328B">
        <w:t xml:space="preserve"> </w:t>
      </w:r>
      <w:r>
        <w:t>H</w:t>
      </w:r>
      <w:r w:rsidRPr="009F5991">
        <w:t>eavy rainfall caused scouring damage to Pine Creek Road on the Gold Coast in late September 2022</w:t>
      </w:r>
      <w:r>
        <w:t>, with the road fully reopened in December 2022.</w:t>
      </w:r>
    </w:p>
    <w:p w14:paraId="455B667D" w14:textId="77777777" w:rsidR="00805A93" w:rsidRPr="006E3E51" w:rsidRDefault="00805A93" w:rsidP="00805A93">
      <w:pPr>
        <w:pStyle w:val="Heading3"/>
      </w:pPr>
      <w:r>
        <w:t>Natural Disaster Program delivery</w:t>
      </w:r>
    </w:p>
    <w:p w14:paraId="5E77A93E" w14:textId="77777777" w:rsidR="00805A93" w:rsidRPr="006E3E51" w:rsidRDefault="00805A93" w:rsidP="00805A93">
      <w:r>
        <w:t>In 2022–23, TMR spent $226.87 million repairing state-controlled roads following natural disasters, including:</w:t>
      </w:r>
    </w:p>
    <w:p w14:paraId="2FA49594" w14:textId="77777777" w:rsidR="00805A93" w:rsidRDefault="00805A93" w:rsidP="00805A93">
      <w:pPr>
        <w:pStyle w:val="ListBullet"/>
      </w:pPr>
      <w:r>
        <w:t>reconstructing 140.11 kilometres of road pavement</w:t>
      </w:r>
    </w:p>
    <w:p w14:paraId="580B1160" w14:textId="77777777" w:rsidR="00805A93" w:rsidRDefault="00805A93" w:rsidP="00805A93">
      <w:pPr>
        <w:pStyle w:val="ListBullet"/>
      </w:pPr>
      <w:r>
        <w:t>repairing 150 earthworks and batter locations</w:t>
      </w:r>
    </w:p>
    <w:p w14:paraId="3BA67C12" w14:textId="77777777" w:rsidR="00805A93" w:rsidRDefault="00805A93" w:rsidP="00805A93">
      <w:pPr>
        <w:pStyle w:val="ListBullet"/>
      </w:pPr>
      <w:r>
        <w:t>repairing 115 structures, including bridges and culverts</w:t>
      </w:r>
    </w:p>
    <w:p w14:paraId="7CF2A377" w14:textId="77777777" w:rsidR="00805A93" w:rsidRDefault="00805A93" w:rsidP="00805A93">
      <w:pPr>
        <w:pStyle w:val="ListBullet"/>
      </w:pPr>
      <w:r>
        <w:t>clearing 125 silt and debris locations.</w:t>
      </w:r>
    </w:p>
    <w:p w14:paraId="0375FFC6" w14:textId="77777777" w:rsidR="00805A93" w:rsidRPr="006E3E51" w:rsidRDefault="00805A93" w:rsidP="00805A93">
      <w:r w:rsidRPr="006E3E51">
        <w:t>A significant reconstruction program is</w:t>
      </w:r>
      <w:r w:rsidRPr="0043750B">
        <w:t xml:space="preserve"> underway after extensive severe flooding across </w:t>
      </w:r>
      <w:r>
        <w:t>southern</w:t>
      </w:r>
      <w:r w:rsidRPr="0043750B">
        <w:t xml:space="preserve"> Queensland in 2022</w:t>
      </w:r>
      <w:r w:rsidRPr="006E3E51">
        <w:t>.</w:t>
      </w:r>
      <w:r>
        <w:t xml:space="preserve"> Beechmont Road, in the Gold Coast hinterland, is expected to reopen in August 2023 after major embankment repairs, while Gold Coast–Springbrook Road landslip repairs are expected to be completed in early-2024. Embankment repairs on Brisbane Road at Bundamba were completed in April 2023.</w:t>
      </w:r>
    </w:p>
    <w:p w14:paraId="60E20600" w14:textId="77777777" w:rsidR="00805A93" w:rsidRPr="006E3E51" w:rsidRDefault="00805A93" w:rsidP="00805A93">
      <w:r>
        <w:lastRenderedPageBreak/>
        <w:t xml:space="preserve">Rock scaling works are underway at Cunninghams Gap, in preparation for </w:t>
      </w:r>
      <w:r w:rsidRPr="006E3E51">
        <w:t>slope stabilisation works to repair bushfire damage.</w:t>
      </w:r>
    </w:p>
    <w:p w14:paraId="5A0D1B3F" w14:textId="77777777" w:rsidR="00805A93" w:rsidRPr="006E3E51" w:rsidRDefault="00805A93" w:rsidP="00805A93">
      <w:r>
        <w:t>A significant landslip site has been repaired on Tamborine Mountain Road in the Gold Coast hinterland, with the road reopening on 1 August 2022.</w:t>
      </w:r>
    </w:p>
    <w:p w14:paraId="43DB1348" w14:textId="77777777" w:rsidR="00805A93" w:rsidRPr="006E3E51" w:rsidRDefault="00805A93" w:rsidP="00805A93">
      <w:bookmarkStart w:id="10" w:name="_Hlk107917993"/>
      <w:r w:rsidRPr="006E3E51">
        <w:t xml:space="preserve">Assistance will be provided through the </w:t>
      </w:r>
      <w:bookmarkEnd w:id="10"/>
      <w:r w:rsidRPr="006E3E51">
        <w:t>jointly funded Commonwealth-</w:t>
      </w:r>
      <w:r>
        <w:t>State</w:t>
      </w:r>
      <w:r w:rsidRPr="006E3E51">
        <w:t xml:space="preserve"> D</w:t>
      </w:r>
      <w:r>
        <w:t>isaster Recovery Funding Arrangements.</w:t>
      </w:r>
    </w:p>
    <w:p w14:paraId="467F915D" w14:textId="77777777" w:rsidR="00805A93" w:rsidRDefault="00805A93" w:rsidP="00805A93">
      <w:pPr>
        <w:pStyle w:val="Heading3"/>
      </w:pPr>
      <w:r>
        <w:t xml:space="preserve">Far North </w:t>
      </w:r>
    </w:p>
    <w:p w14:paraId="26F87F51" w14:textId="77777777" w:rsidR="00805A93" w:rsidRDefault="00805A93" w:rsidP="00591E7C">
      <w:pPr>
        <w:pStyle w:val="Heading4"/>
      </w:pPr>
      <w:r>
        <w:t xml:space="preserve">Fast Facts </w:t>
      </w:r>
    </w:p>
    <w:p w14:paraId="26391ACC" w14:textId="77777777" w:rsidR="00805A93" w:rsidRDefault="00805A93" w:rsidP="00805A93">
      <w:pPr>
        <w:pStyle w:val="ListBullet"/>
      </w:pPr>
      <w:r>
        <w:t>3158 Kilometres State-controlled road</w:t>
      </w:r>
      <w:r>
        <w:footnoteReference w:id="1"/>
      </w:r>
      <w:r>
        <w:t xml:space="preserve"> </w:t>
      </w:r>
    </w:p>
    <w:p w14:paraId="77C5CBD0" w14:textId="77777777" w:rsidR="00805A93" w:rsidRDefault="00805A93" w:rsidP="00805A93">
      <w:pPr>
        <w:pStyle w:val="ListBullet"/>
      </w:pPr>
      <w:r>
        <w:t>232 Kilometres National Land Transport Network</w:t>
      </w:r>
      <w:r>
        <w:footnoteReference w:id="2"/>
      </w:r>
      <w:r>
        <w:t xml:space="preserve"> </w:t>
      </w:r>
    </w:p>
    <w:p w14:paraId="7A28E43E" w14:textId="77777777" w:rsidR="00805A93" w:rsidRDefault="00805A93" w:rsidP="00805A93">
      <w:pPr>
        <w:pStyle w:val="ListBullet"/>
      </w:pPr>
      <w:r>
        <w:t xml:space="preserve">332,688 vehicle and machinery registrations </w:t>
      </w:r>
    </w:p>
    <w:p w14:paraId="0DC91E21" w14:textId="77777777" w:rsidR="00805A93" w:rsidRDefault="00805A93" w:rsidP="00805A93">
      <w:pPr>
        <w:pStyle w:val="ListBullet"/>
      </w:pPr>
      <w:r>
        <w:t xml:space="preserve">99 Boating infrastructures </w:t>
      </w:r>
    </w:p>
    <w:p w14:paraId="77959859" w14:textId="77777777" w:rsidR="00805A93" w:rsidRDefault="00805A93" w:rsidP="00805A93">
      <w:pPr>
        <w:pStyle w:val="ListBullet"/>
      </w:pPr>
      <w:r>
        <w:t xml:space="preserve">18 Community safety events held </w:t>
      </w:r>
    </w:p>
    <w:p w14:paraId="41028FA9" w14:textId="77777777" w:rsidR="00805A93" w:rsidRDefault="00805A93" w:rsidP="00805A93">
      <w:pPr>
        <w:pStyle w:val="ListBullet"/>
      </w:pPr>
      <w:r>
        <w:t xml:space="preserve">3418 vehicle and machinery inspections completed </w:t>
      </w:r>
    </w:p>
    <w:p w14:paraId="1A4E0DA7" w14:textId="77777777" w:rsidR="00805A93" w:rsidRDefault="00805A93" w:rsidP="00805A93">
      <w:pPr>
        <w:pStyle w:val="ListBullet"/>
      </w:pPr>
      <w:r>
        <w:t>327 Bridges</w:t>
      </w:r>
      <w:r>
        <w:footnoteReference w:id="3"/>
      </w:r>
      <w:r>
        <w:t xml:space="preserve"> </w:t>
      </w:r>
    </w:p>
    <w:p w14:paraId="3F6E8F8B" w14:textId="77777777" w:rsidR="00805A93" w:rsidRDefault="00805A93" w:rsidP="00805A93">
      <w:pPr>
        <w:pStyle w:val="ListBullet"/>
      </w:pPr>
      <w:r>
        <w:t xml:space="preserve">9998 Driver licence tests conducted </w:t>
      </w:r>
    </w:p>
    <w:p w14:paraId="0F85931A" w14:textId="77777777" w:rsidR="00805A93" w:rsidRDefault="00805A93" w:rsidP="00805A93">
      <w:pPr>
        <w:pStyle w:val="ListBullet"/>
      </w:pPr>
      <w:r>
        <w:t xml:space="preserve">240,187 Customer face-to-face interactions </w:t>
      </w:r>
    </w:p>
    <w:p w14:paraId="12690A7D" w14:textId="77777777" w:rsidR="00805A93" w:rsidRDefault="00805A93" w:rsidP="00805A93">
      <w:pPr>
        <w:pStyle w:val="ListBullet"/>
      </w:pPr>
      <w:r>
        <w:t xml:space="preserve">137 Priority-enabled intersections </w:t>
      </w:r>
    </w:p>
    <w:p w14:paraId="62C4202B" w14:textId="77777777" w:rsidR="00805A93" w:rsidRDefault="00805A93" w:rsidP="00805A93">
      <w:pPr>
        <w:pStyle w:val="ListBullet"/>
      </w:pPr>
      <w:r>
        <w:t>272,216 Kilometres squared Area covered</w:t>
      </w:r>
    </w:p>
    <w:p w14:paraId="19130BC2" w14:textId="77777777" w:rsidR="00805A93" w:rsidRPr="00061BB9" w:rsidRDefault="00805A93" w:rsidP="00805A93">
      <w:pPr>
        <w:pStyle w:val="ListBullet"/>
      </w:pPr>
      <w:r>
        <w:t>5.52 per cent Population of Queensland</w:t>
      </w:r>
      <w:r>
        <w:footnoteReference w:id="4"/>
      </w:r>
      <w:r>
        <w:t xml:space="preserve"> </w:t>
      </w:r>
    </w:p>
    <w:p w14:paraId="0AB6C7CE" w14:textId="77777777" w:rsidR="00805A93" w:rsidRPr="004842FE" w:rsidRDefault="00805A93" w:rsidP="00805A93">
      <w:pPr>
        <w:pStyle w:val="Heading4"/>
      </w:pPr>
      <w:r w:rsidRPr="004842FE">
        <w:t xml:space="preserve">Captain Cook Highway, Cairns CBD to Smithfield, </w:t>
      </w:r>
      <w:r>
        <w:t>u</w:t>
      </w:r>
      <w:r w:rsidRPr="004842FE">
        <w:t>pgrade</w:t>
      </w:r>
    </w:p>
    <w:p w14:paraId="211BD166" w14:textId="77777777" w:rsidR="00805A93" w:rsidRDefault="00805A93" w:rsidP="00805A93">
      <w:r>
        <w:t>TMR</w:t>
      </w:r>
      <w:r w:rsidRPr="004842FE">
        <w:t xml:space="preserve"> </w:t>
      </w:r>
      <w:r>
        <w:t>is progressing the</w:t>
      </w:r>
      <w:r w:rsidRPr="004842FE">
        <w:t xml:space="preserve"> master planning for the Captain Cook Highway, Cairns CBD to Smithfield Upgrade</w:t>
      </w:r>
      <w:r>
        <w:t>. The aim of the project is</w:t>
      </w:r>
      <w:r w:rsidRPr="004842FE">
        <w:t xml:space="preserve"> to </w:t>
      </w:r>
      <w:r>
        <w:t>reduce</w:t>
      </w:r>
      <w:r w:rsidRPr="004842FE">
        <w:t xml:space="preserve"> travel times, improve safety, and increase capacity between the Cairns CBD and Smithfield. </w:t>
      </w:r>
    </w:p>
    <w:p w14:paraId="433D0C4C" w14:textId="77777777" w:rsidR="00805A93" w:rsidRPr="004842FE" w:rsidRDefault="00805A93" w:rsidP="00805A93">
      <w:r w:rsidRPr="006277CC">
        <w:t xml:space="preserve">The planning </w:t>
      </w:r>
      <w:r>
        <w:t>has included consultation</w:t>
      </w:r>
      <w:r w:rsidRPr="006277CC">
        <w:t xml:space="preserve"> </w:t>
      </w:r>
      <w:r>
        <w:t xml:space="preserve">with </w:t>
      </w:r>
      <w:r w:rsidRPr="006277CC">
        <w:t>road users who provided  feedback from 16 January to 28 February 2023.</w:t>
      </w:r>
    </w:p>
    <w:p w14:paraId="180D9C13" w14:textId="77777777" w:rsidR="00805A93" w:rsidRPr="004842FE" w:rsidRDefault="00805A93" w:rsidP="00805A93">
      <w:r w:rsidRPr="004842FE">
        <w:t>Master planning has identified a priority (Stage 1) project between the intersections of Florence Street and Aeroglen Drive and will most likely include upgrading from four to six lanes, active transport options, drainage improvements, public transport upgrades, and intersection upgrades.</w:t>
      </w:r>
    </w:p>
    <w:p w14:paraId="5D293DEC" w14:textId="77777777" w:rsidR="00805A93" w:rsidRPr="004842FE" w:rsidRDefault="00805A93" w:rsidP="00805A93">
      <w:r w:rsidRPr="004842FE">
        <w:t xml:space="preserve">The preliminary master plan also incorporates a two-way cycleway from Arnold Street to Smithfield, providing improved access to the active transport wider network and recreation activities along the corridor. </w:t>
      </w:r>
    </w:p>
    <w:p w14:paraId="12396958" w14:textId="77777777" w:rsidR="00805A93" w:rsidRPr="004842FE" w:rsidRDefault="00805A93" w:rsidP="00805A93">
      <w:r w:rsidRPr="004842FE">
        <w:t>The final master plan is expected to be completed in late</w:t>
      </w:r>
      <w:r>
        <w:t>-</w:t>
      </w:r>
      <w:r w:rsidRPr="004842FE">
        <w:t>2023.</w:t>
      </w:r>
    </w:p>
    <w:p w14:paraId="3F8B09F2" w14:textId="77777777" w:rsidR="00805A93" w:rsidRPr="004842FE" w:rsidRDefault="00805A93" w:rsidP="00805A93">
      <w:r w:rsidRPr="004842FE">
        <w:t xml:space="preserve">As part of the project, construction of a third inbound lane on a section of Sheridan Street, between Moffatt and Lily streets, </w:t>
      </w:r>
      <w:r>
        <w:t>will be</w:t>
      </w:r>
      <w:r w:rsidRPr="004842FE">
        <w:t xml:space="preserve"> completed in </w:t>
      </w:r>
      <w:r>
        <w:t xml:space="preserve">August </w:t>
      </w:r>
      <w:r w:rsidRPr="004842FE">
        <w:t>2023 improving traffic flow southbound on this section of the Captain Cook Highway.</w:t>
      </w:r>
    </w:p>
    <w:p w14:paraId="54094C80" w14:textId="77777777" w:rsidR="00805A93" w:rsidRPr="004842FE" w:rsidRDefault="00805A93" w:rsidP="00805A93">
      <w:r w:rsidRPr="004842FE">
        <w:t xml:space="preserve">This </w:t>
      </w:r>
      <w:r>
        <w:t>$359</w:t>
      </w:r>
      <w:r w:rsidRPr="004842FE">
        <w:t xml:space="preserve"> million project is jointly funded by the Australian and Queensland governments on a</w:t>
      </w:r>
      <w:r>
        <w:t>n</w:t>
      </w:r>
      <w:r w:rsidRPr="004842FE">
        <w:t xml:space="preserve"> 80:20 (federal:state) basis.</w:t>
      </w:r>
    </w:p>
    <w:p w14:paraId="03C89E33" w14:textId="77777777" w:rsidR="00805A93" w:rsidRPr="004842FE" w:rsidRDefault="00805A93" w:rsidP="00805A93">
      <w:pPr>
        <w:pStyle w:val="ForMoreInformation"/>
      </w:pPr>
      <w:r w:rsidRPr="004842FE">
        <w:t xml:space="preserve">For more information: </w:t>
      </w:r>
      <w:r w:rsidRPr="004842FE">
        <w:br/>
      </w:r>
      <w:hyperlink r:id="rId26" w:history="1">
        <w:r>
          <w:rPr>
            <w:rStyle w:val="Hyperlink"/>
          </w:rPr>
          <w:t>https://www.tmr.qld.gov.au/projects/captain-cook-highway-cairns-cbd-to-smithfield-upgrade</w:t>
        </w:r>
      </w:hyperlink>
      <w:r w:rsidRPr="004842FE">
        <w:t xml:space="preserve"> </w:t>
      </w:r>
    </w:p>
    <w:p w14:paraId="4269B9E2" w14:textId="77777777" w:rsidR="00805A93" w:rsidRPr="00F905A3" w:rsidRDefault="00805A93" w:rsidP="00805A93">
      <w:pPr>
        <w:pStyle w:val="Heading4"/>
      </w:pPr>
      <w:r>
        <w:lastRenderedPageBreak/>
        <w:t xml:space="preserve">Bruce Highway, Cairns Southern Access Corridor (Stage 3), Edmonton to Gordonvale  </w:t>
      </w:r>
    </w:p>
    <w:p w14:paraId="6D0CE525" w14:textId="77777777" w:rsidR="00805A93" w:rsidRDefault="00805A93" w:rsidP="00805A93">
      <w:r>
        <w:t>TMR</w:t>
      </w:r>
      <w:r w:rsidRPr="00F905A3">
        <w:t xml:space="preserve"> is progressing construction of a 10.5</w:t>
      </w:r>
      <w:r>
        <w:t xml:space="preserve"> </w:t>
      </w:r>
      <w:r w:rsidRPr="00F905A3">
        <w:t>kilometre upgrade and duplication of the Bruce Highway between Edmonton and Gordonvale</w:t>
      </w:r>
      <w:r>
        <w:t>.</w:t>
      </w:r>
    </w:p>
    <w:p w14:paraId="22BFB8AD" w14:textId="77777777" w:rsidR="00805A93" w:rsidRDefault="00805A93" w:rsidP="00805A93">
      <w:r w:rsidRPr="009E51D8">
        <w:t>In 2022, a number of significant traffic switches occurred including</w:t>
      </w:r>
      <w:r>
        <w:t xml:space="preserve"> </w:t>
      </w:r>
      <w:r w:rsidRPr="009E51D8">
        <w:t>opening of two sections of realigned Bruce Highway between</w:t>
      </w:r>
      <w:r>
        <w:t>:</w:t>
      </w:r>
    </w:p>
    <w:p w14:paraId="301C7E9E" w14:textId="77777777" w:rsidR="00805A93" w:rsidRDefault="00805A93" w:rsidP="00805A93">
      <w:pPr>
        <w:pStyle w:val="ListBullet"/>
      </w:pPr>
      <w:r w:rsidRPr="009E51D8">
        <w:t>Riverstone Road and Draper Road</w:t>
      </w:r>
    </w:p>
    <w:p w14:paraId="50324EF6" w14:textId="77777777" w:rsidR="00805A93" w:rsidRDefault="00805A93" w:rsidP="00805A93">
      <w:pPr>
        <w:pStyle w:val="ListBullet"/>
      </w:pPr>
      <w:r w:rsidRPr="009E51D8">
        <w:t>north of Draper Road and Maitland Road</w:t>
      </w:r>
      <w:r>
        <w:t>.</w:t>
      </w:r>
      <w:r w:rsidRPr="009E51D8">
        <w:t xml:space="preserve"> </w:t>
      </w:r>
    </w:p>
    <w:p w14:paraId="350C0BDC" w14:textId="77777777" w:rsidR="00805A93" w:rsidRPr="009E51D8" w:rsidRDefault="00805A93" w:rsidP="00805A93">
      <w:r>
        <w:t>T</w:t>
      </w:r>
      <w:r w:rsidRPr="009E51D8">
        <w:t>he new southbound lanes between south of Draper Road and Mackey Creek, allow</w:t>
      </w:r>
      <w:r>
        <w:t>s</w:t>
      </w:r>
      <w:r w:rsidRPr="009E51D8">
        <w:t xml:space="preserve"> for the construction of the new northbound lanes of the Bruce Highway. </w:t>
      </w:r>
    </w:p>
    <w:p w14:paraId="2A2FBE41" w14:textId="77777777" w:rsidR="00805A93" w:rsidRDefault="00805A93" w:rsidP="00805A93">
      <w:r w:rsidRPr="009E51D8">
        <w:t>A major milestone for the project was achieved in June 2023 with the opening of the northern section of the project.</w:t>
      </w:r>
    </w:p>
    <w:p w14:paraId="04A29A76" w14:textId="77777777" w:rsidR="00805A93" w:rsidRDefault="00805A93" w:rsidP="00805A93">
      <w:r w:rsidRPr="009E51D8">
        <w:t>This included construction of the newly duplicated and realigned section of the Bruce Highway between Petersen Road and Maitland Road including new road and rail bridges and a new signalised intersection.</w:t>
      </w:r>
    </w:p>
    <w:p w14:paraId="6D0C41FC" w14:textId="77777777" w:rsidR="00805A93" w:rsidRDefault="00805A93" w:rsidP="00805A93">
      <w:r w:rsidRPr="00C3085C">
        <w:t xml:space="preserve">The project is expected to be complete by September 2023, weather and construction conditions permitting </w:t>
      </w:r>
    </w:p>
    <w:p w14:paraId="0A4C4554" w14:textId="77777777" w:rsidR="00805A93" w:rsidRPr="00F905A3" w:rsidRDefault="00805A93" w:rsidP="00805A93">
      <w:r>
        <w:t xml:space="preserve">This $535 million project is </w:t>
      </w:r>
      <w:r w:rsidRPr="00F905A3">
        <w:t xml:space="preserve">jointly funded by the Australian and Queensland governments on an 80:20 (federal:state) basis. </w:t>
      </w:r>
    </w:p>
    <w:p w14:paraId="2B0C66D5" w14:textId="77777777" w:rsidR="00805A93" w:rsidRPr="00F905A3" w:rsidRDefault="00805A93" w:rsidP="00805A93">
      <w:pPr>
        <w:pStyle w:val="ForMoreInformation"/>
      </w:pPr>
      <w:bookmarkStart w:id="11" w:name="_Hlk97209029"/>
      <w:r>
        <w:t>For more information</w:t>
      </w:r>
      <w:r>
        <w:br/>
      </w:r>
      <w:hyperlink r:id="rId27" w:history="1">
        <w:r>
          <w:rPr>
            <w:rStyle w:val="Hyperlink"/>
          </w:rPr>
          <w:t>https://www.tmr.qld.gov.au/projects/Bruce-Highway-Cairns-Southern-Access-Corridor-Stage-3-Edmonton-to-Gordonvale</w:t>
        </w:r>
      </w:hyperlink>
    </w:p>
    <w:p w14:paraId="15D1BF84" w14:textId="1AEBC37A" w:rsidR="00805A93" w:rsidRPr="00B220E5" w:rsidRDefault="00805A93" w:rsidP="009249AF">
      <w:pPr>
        <w:pStyle w:val="Heading4"/>
      </w:pPr>
      <w:bookmarkStart w:id="12" w:name="_Hlk130478323"/>
      <w:bookmarkEnd w:id="11"/>
      <w:r w:rsidRPr="00B220E5">
        <w:t xml:space="preserve">Case </w:t>
      </w:r>
      <w:r w:rsidR="004F068F">
        <w:t>s</w:t>
      </w:r>
      <w:r w:rsidRPr="00B220E5">
        <w:t>tudy</w:t>
      </w:r>
      <w:r w:rsidR="009249AF">
        <w:t xml:space="preserve"> </w:t>
      </w:r>
      <w:r w:rsidRPr="00B220E5">
        <w:t>Far North Queensland beacon replacement</w:t>
      </w:r>
    </w:p>
    <w:p w14:paraId="2AACDF08" w14:textId="77777777" w:rsidR="00805A93" w:rsidRPr="00B220E5" w:rsidRDefault="00805A93" w:rsidP="00805A93">
      <w:r w:rsidRPr="00B220E5">
        <w:t xml:space="preserve">The Far North Queensland </w:t>
      </w:r>
      <w:r>
        <w:t>b</w:t>
      </w:r>
      <w:r w:rsidRPr="00B220E5">
        <w:t xml:space="preserve">eacon </w:t>
      </w:r>
      <w:r>
        <w:t>r</w:t>
      </w:r>
      <w:r w:rsidRPr="00B220E5">
        <w:t>eplacement program consisted of the replacement of 30 beacons in the Cairns and Weipa channels. These beacons were critical for the safe movement of both commercial and recreational vessels through the major shipping channels of both ports, with the average installation age of the steel piles being 40 years ago.</w:t>
      </w:r>
    </w:p>
    <w:p w14:paraId="44F4F299" w14:textId="77777777" w:rsidR="00805A93" w:rsidRPr="00B220E5" w:rsidRDefault="00805A93" w:rsidP="00805A93">
      <w:r w:rsidRPr="00B220E5">
        <w:t>The project was also selected to pilot the Infrastructure Sustainability Council's IS Essentials rating framework; TMR's first maritime project to register for an IS Essentials rating.</w:t>
      </w:r>
    </w:p>
    <w:p w14:paraId="040BB65F" w14:textId="77777777" w:rsidR="00805A93" w:rsidRPr="00B220E5" w:rsidRDefault="00805A93" w:rsidP="00805A93">
      <w:r w:rsidRPr="00B220E5">
        <w:t>The IS Essentials rating process inspired a new level of collaboration which sparked innovation, built capacity, and drove cultural change. This drove the project team to harness local knowledge and to build relationships with Traditional Owners to find better, more sustainable ways of delivering this essential infrastructure.</w:t>
      </w:r>
    </w:p>
    <w:p w14:paraId="5060055F" w14:textId="77777777" w:rsidR="00805A93" w:rsidRPr="00B220E5" w:rsidRDefault="00805A93" w:rsidP="00805A93">
      <w:r w:rsidRPr="00B220E5">
        <w:t>Lessons learned from the Far North Queensland Beacon Replacement Program will be used to inform and improve future investment choices and practices, aligning to TMR's commitment to delivering infrastructure that is environmentally and socially sustainable.</w:t>
      </w:r>
    </w:p>
    <w:p w14:paraId="0EBAE375" w14:textId="77777777" w:rsidR="00805A93" w:rsidRDefault="00805A93" w:rsidP="00805A93">
      <w:pPr>
        <w:pStyle w:val="Heading4"/>
      </w:pPr>
      <w:r>
        <w:t>Burke Developmental Road (Normanton–Dimbulah), progressive sealing</w:t>
      </w:r>
    </w:p>
    <w:bookmarkEnd w:id="12"/>
    <w:p w14:paraId="32B4C018" w14:textId="77777777" w:rsidR="00805A93" w:rsidRPr="008B0F1A" w:rsidRDefault="00805A93" w:rsidP="00805A93">
      <w:r w:rsidRPr="008B0F1A">
        <w:t xml:space="preserve">In March 2023, TMR completed sealing </w:t>
      </w:r>
      <w:r>
        <w:t xml:space="preserve">for </w:t>
      </w:r>
      <w:r w:rsidRPr="008B0F1A">
        <w:t xml:space="preserve">two sections of about 2.5 and </w:t>
      </w:r>
      <w:r>
        <w:t>5</w:t>
      </w:r>
      <w:r w:rsidRPr="008B0F1A">
        <w:t xml:space="preserve"> kilometres on the Burke Developmental Road between Almaden and Chillagoe, improving </w:t>
      </w:r>
      <w:r>
        <w:t xml:space="preserve">road users' </w:t>
      </w:r>
      <w:r w:rsidRPr="008B0F1A">
        <w:t xml:space="preserve">safety, reliability, and travel time. </w:t>
      </w:r>
    </w:p>
    <w:p w14:paraId="5B3A2239" w14:textId="77777777" w:rsidR="00805A93" w:rsidRPr="008B0F1A" w:rsidRDefault="00805A93" w:rsidP="00805A93">
      <w:r w:rsidRPr="008B0F1A">
        <w:t>The</w:t>
      </w:r>
      <w:r w:rsidRPr="002545C8">
        <w:t xml:space="preserve"> Burke Developmental Road</w:t>
      </w:r>
      <w:r>
        <w:t xml:space="preserve"> </w:t>
      </w:r>
      <w:r w:rsidRPr="008B0F1A">
        <w:t xml:space="preserve">is a </w:t>
      </w:r>
      <w:r>
        <w:t xml:space="preserve">654.73 </w:t>
      </w:r>
      <w:r w:rsidRPr="008B0F1A">
        <w:t>kilometre road link from Normanton in the Gulf of Carpentaria, through Chillagoe and Almaden, to Dimbulah, 47</w:t>
      </w:r>
      <w:r>
        <w:t xml:space="preserve"> </w:t>
      </w:r>
      <w:r w:rsidRPr="008B0F1A">
        <w:t>kilometres west of Mareeba. The road services a population of around 400 residents in the Chillagoe district.</w:t>
      </w:r>
    </w:p>
    <w:p w14:paraId="603FC5D0" w14:textId="77777777" w:rsidR="00805A93" w:rsidRPr="008B0F1A" w:rsidRDefault="00805A93" w:rsidP="00805A93">
      <w:r w:rsidRPr="008B0F1A">
        <w:t>Progressively sealing the Burke Developmental Road benefits businesses</w:t>
      </w:r>
      <w:r>
        <w:t>,</w:t>
      </w:r>
      <w:r w:rsidRPr="008B0F1A">
        <w:t xml:space="preserve"> including tourism operators, pastoralists, livestock transporters, and exporters. </w:t>
      </w:r>
    </w:p>
    <w:p w14:paraId="0994A5FE" w14:textId="77777777" w:rsidR="00805A93" w:rsidRPr="008B0F1A" w:rsidRDefault="00805A93" w:rsidP="00805A93">
      <w:r w:rsidRPr="008B0F1A">
        <w:t xml:space="preserve">With these two sections now sealed, only one </w:t>
      </w:r>
      <w:r>
        <w:t xml:space="preserve">section </w:t>
      </w:r>
      <w:r w:rsidRPr="008B0F1A">
        <w:t xml:space="preserve">between Almaden and Chillagoe remains unsealed. </w:t>
      </w:r>
      <w:r w:rsidRPr="00D22262">
        <w:t xml:space="preserve">Sealing of this section </w:t>
      </w:r>
      <w:r>
        <w:t xml:space="preserve">is not currently </w:t>
      </w:r>
      <w:r w:rsidRPr="00D22262">
        <w:t xml:space="preserve">funded. </w:t>
      </w:r>
    </w:p>
    <w:p w14:paraId="26B0A431" w14:textId="77777777" w:rsidR="00805A93" w:rsidRDefault="00805A93" w:rsidP="00805A93">
      <w:r w:rsidRPr="008B0F1A">
        <w:t>This</w:t>
      </w:r>
      <w:r>
        <w:t xml:space="preserve"> $21.8 </w:t>
      </w:r>
      <w:r w:rsidRPr="008B0F1A">
        <w:t>million project was jointly funded by the Australian and Queensland governments on an 80:20 (federal:state) basis</w:t>
      </w:r>
      <w:r>
        <w:t>.</w:t>
      </w:r>
    </w:p>
    <w:p w14:paraId="6197B800" w14:textId="77777777" w:rsidR="00805A93" w:rsidRDefault="00805A93" w:rsidP="00805A93">
      <w:pPr>
        <w:pStyle w:val="ForMoreInformation"/>
      </w:pPr>
      <w:bookmarkStart w:id="13" w:name="_Hlk130477955"/>
      <w:r w:rsidRPr="00B647C2">
        <w:lastRenderedPageBreak/>
        <w:t>For more information</w:t>
      </w:r>
      <w:r>
        <w:br/>
      </w:r>
      <w:r w:rsidRPr="0095160F">
        <w:rPr>
          <w:rStyle w:val="Hyperlink"/>
        </w:rPr>
        <w:t>https://www.tmr.qld.gov.au/projects/burke-developmental-road-normanton-dimbulah-progressive-sealing</w:t>
      </w:r>
      <w:bookmarkEnd w:id="13"/>
    </w:p>
    <w:p w14:paraId="147ACDCA" w14:textId="77777777" w:rsidR="00805A93" w:rsidRPr="00F02E56" w:rsidRDefault="00805A93" w:rsidP="00805A93">
      <w:pPr>
        <w:pStyle w:val="Heading4"/>
      </w:pPr>
      <w:r w:rsidRPr="00F02E56">
        <w:t>Local Fare Scheme</w:t>
      </w:r>
    </w:p>
    <w:p w14:paraId="4635868A" w14:textId="77777777" w:rsidR="00805A93" w:rsidRPr="00F02E56" w:rsidRDefault="00805A93" w:rsidP="00805A93">
      <w:r w:rsidRPr="00F02E56">
        <w:t>The Local Fare Scheme (LFS) is an airfare subsidy program that has been in place since 2015. The LFS is aimed at improving social connectivity and access to essential services for residents in remote parts of Far North Queensland. The scheme is administered in collaboration with participating airlines and in partnership with local councils throughout Cape York, the Torres Strait, and selected locations in the Gulf of Carpentaria.</w:t>
      </w:r>
    </w:p>
    <w:p w14:paraId="0E7732E7" w14:textId="77777777" w:rsidR="00805A93" w:rsidRPr="00F02E56" w:rsidRDefault="00805A93" w:rsidP="00805A93">
      <w:r w:rsidRPr="00F02E56">
        <w:t>After consultation with key stakeholders, the LFS was updated from 1 July 2022 to provide additional benefits for customers. The scheme was extended for 6 years until 30 June 2028, providing much needed certainty for the people who benefit from the scheme.</w:t>
      </w:r>
    </w:p>
    <w:p w14:paraId="0DE8886F" w14:textId="77777777" w:rsidR="00805A93" w:rsidRPr="00F02E56" w:rsidRDefault="00805A93" w:rsidP="00805A93">
      <w:r w:rsidRPr="00F02E56">
        <w:t>The updated scheme features the following key new benefits:</w:t>
      </w:r>
    </w:p>
    <w:p w14:paraId="2CC6CCDD" w14:textId="77777777" w:rsidR="00805A93" w:rsidRPr="00F02E56" w:rsidRDefault="00805A93" w:rsidP="00805A93">
      <w:pPr>
        <w:pStyle w:val="ListBullet"/>
      </w:pPr>
      <w:r w:rsidRPr="00F02E56">
        <w:t>the scheme is now far more flexible, with the ability to book one-way fares and travel throughout the entire LFS region. Travelers can combine flights to reach more destinations making access to key hubs like Cairns more accessible to remote communities. The scheme provides payment of up to $200 discount for each one-way flight</w:t>
      </w:r>
    </w:p>
    <w:p w14:paraId="61ADF926" w14:textId="77777777" w:rsidR="00805A93" w:rsidRPr="00F02E56" w:rsidRDefault="00805A93" w:rsidP="00805A93">
      <w:pPr>
        <w:pStyle w:val="ListBullet"/>
      </w:pPr>
      <w:r w:rsidRPr="00F02E56">
        <w:t>The eligibility period has been reduced from three years to 12 months (with the exception of Weipa which remains at three years) making it easier for people to qualify for access to the scheme benefits. This means key personnel like teachers and police stationed in remote locations can access the scheme after a 12-month residency within the LFS region</w:t>
      </w:r>
    </w:p>
    <w:p w14:paraId="6A3C0FDA" w14:textId="77777777" w:rsidR="00805A93" w:rsidRPr="00F02E56" w:rsidRDefault="00805A93" w:rsidP="00805A93">
      <w:pPr>
        <w:pStyle w:val="ListBullet"/>
      </w:pPr>
      <w:r w:rsidRPr="00F02E56">
        <w:t>moving around the region has also become easier, with eligible residents able to take their access to the LFS with them and continue accessing the scheme when moving from one eligible community to another.</w:t>
      </w:r>
    </w:p>
    <w:p w14:paraId="1D39115D" w14:textId="77777777" w:rsidR="00805A93" w:rsidRPr="00F02E56" w:rsidRDefault="00805A93" w:rsidP="00805A93">
      <w:r w:rsidRPr="00F02E56">
        <w:t>These changes are providing great benefits to the users of the scheme, particularly the residents of the most remote communities in the outer Torres Strait Islands who are now able to access subsidised fares on flights connecting through to Cairns for the first time. There has been a positive uptake of travel to and from Cairns that previously would have been much more expensive, or possibly unaffordable, for residents of these Torres Strait communities.</w:t>
      </w:r>
    </w:p>
    <w:p w14:paraId="315BD73B" w14:textId="77777777" w:rsidR="00805A93" w:rsidRPr="00F02E56" w:rsidRDefault="00805A93" w:rsidP="00805A93">
      <w:r w:rsidRPr="00F02E56">
        <w:t>The Scheme continues to provide assistance to residents of the Mount Isa Renal unit and the Lena Passi Women’s shelter with subsidised trips to their home communities and, in collaboration with the Cairns Police, will provide assistance to residents wishing to return to their home communities from Cairns.</w:t>
      </w:r>
    </w:p>
    <w:p w14:paraId="2B5CBFFC" w14:textId="77777777" w:rsidR="00805A93" w:rsidRPr="00F02E56" w:rsidRDefault="00805A93" w:rsidP="00805A93">
      <w:r w:rsidRPr="00F02E56">
        <w:t>Approximately 32,785 LFS trips were booked in 2022–23, an increase on the prior year of about 39 per cent.</w:t>
      </w:r>
    </w:p>
    <w:p w14:paraId="203E0050" w14:textId="77777777" w:rsidR="00805A93" w:rsidRPr="00F02E56" w:rsidRDefault="00805A93" w:rsidP="00805A93">
      <w:r w:rsidRPr="00F02E56">
        <w:t>The 2022–23 bookings represent an increase of 14 per cent above the pre-COVID-19 2018–2019 numbers. An increase in bookings was forecast based on the more relaxed travel and eligibility conditions introduced on 1 July 2022.</w:t>
      </w:r>
    </w:p>
    <w:p w14:paraId="059EC7C5" w14:textId="77777777" w:rsidR="00805A93" w:rsidRPr="00F02E56" w:rsidRDefault="00805A93" w:rsidP="00805A93">
      <w:pPr>
        <w:pStyle w:val="ForMoreInformation"/>
      </w:pPr>
      <w:r w:rsidRPr="00F02E56">
        <w:t>For more information</w:t>
      </w:r>
      <w:r w:rsidRPr="00F02E56">
        <w:br/>
      </w:r>
      <w:hyperlink r:id="rId28" w:history="1">
        <w:r w:rsidRPr="00F02E56">
          <w:rPr>
            <w:rStyle w:val="Hyperlink"/>
          </w:rPr>
          <w:t>https://www.tmr.qld.gov.au/Travel-and-transport/Local-Fare-Scheme-Far-North-Queensland.aspx</w:t>
        </w:r>
      </w:hyperlink>
    </w:p>
    <w:p w14:paraId="376287B7" w14:textId="77777777" w:rsidR="00805A93" w:rsidRDefault="00805A93" w:rsidP="00805A93">
      <w:pPr>
        <w:pStyle w:val="Heading4"/>
      </w:pPr>
      <w:r>
        <w:t>Cape York Region Package Stage 2</w:t>
      </w:r>
    </w:p>
    <w:p w14:paraId="59FD4554" w14:textId="77777777" w:rsidR="00805A93" w:rsidRPr="00AB2D3B" w:rsidRDefault="00805A93" w:rsidP="00805A93">
      <w:r w:rsidRPr="00AB2D3B">
        <w:t>In 2022</w:t>
      </w:r>
      <w:r w:rsidRPr="00736706">
        <w:t>–</w:t>
      </w:r>
      <w:r w:rsidRPr="00AB2D3B">
        <w:t xml:space="preserve">23, TMR continued </w:t>
      </w:r>
      <w:r>
        <w:t xml:space="preserve">the </w:t>
      </w:r>
      <w:r w:rsidRPr="00AB2D3B">
        <w:t>delivery of</w:t>
      </w:r>
      <w:r>
        <w:t xml:space="preserve"> </w:t>
      </w:r>
      <w:r w:rsidRPr="00AB2D3B">
        <w:t xml:space="preserve">Cape York Region Package Stage 2. </w:t>
      </w:r>
    </w:p>
    <w:p w14:paraId="64599D27" w14:textId="77777777" w:rsidR="00805A93" w:rsidRDefault="00805A93" w:rsidP="00805A93">
      <w:r w:rsidRPr="00AB2D3B">
        <w:t>Completion of Musgrave to Red Blanket (Part A) in August 2022 marked a significant milestone for Cape York Region Package</w:t>
      </w:r>
      <w:r w:rsidRPr="00AB2D3B" w:rsidDel="00B91F25">
        <w:t xml:space="preserve"> </w:t>
      </w:r>
      <w:r w:rsidRPr="00AB2D3B">
        <w:t>Stage 2, with the first bridge built on the Peninsula Developmental Road under Cape York Region Package</w:t>
      </w:r>
      <w:r w:rsidRPr="00AB2D3B" w:rsidDel="00B91F25">
        <w:t xml:space="preserve"> </w:t>
      </w:r>
      <w:r w:rsidRPr="00AB2D3B">
        <w:t>and Cape York Region Package</w:t>
      </w:r>
      <w:r w:rsidRPr="00AB2D3B" w:rsidDel="00B91F25">
        <w:t xml:space="preserve"> </w:t>
      </w:r>
      <w:r w:rsidRPr="00AB2D3B">
        <w:t xml:space="preserve">Stage 2. </w:t>
      </w:r>
    </w:p>
    <w:p w14:paraId="5CEEC1C0" w14:textId="77777777" w:rsidR="00805A93" w:rsidRPr="00AB2D3B" w:rsidRDefault="00805A93" w:rsidP="00805A93">
      <w:r w:rsidRPr="00740BCF">
        <w:t>Core objectives of improving safety, access, and economic opportunities for remote communities in the Cape York Peninsula, were successfully delivered with key result areas exceeded within this project, leveraging the strong community relationships RoadTek had forged in this area.</w:t>
      </w:r>
    </w:p>
    <w:p w14:paraId="4E8BC1C2" w14:textId="77777777" w:rsidR="00805A93" w:rsidRDefault="00805A93" w:rsidP="00805A93">
      <w:r w:rsidRPr="00AB2D3B">
        <w:t xml:space="preserve">Merluna to York Downs (Part B) achieved practical completion in September 2022, with </w:t>
      </w:r>
      <w:r>
        <w:t>more than</w:t>
      </w:r>
      <w:r w:rsidRPr="00AB2D3B">
        <w:t xml:space="preserve"> 200 kilometres of the P</w:t>
      </w:r>
      <w:r>
        <w:t xml:space="preserve">eninsula </w:t>
      </w:r>
      <w:r w:rsidRPr="00AB2D3B">
        <w:t>D</w:t>
      </w:r>
      <w:r>
        <w:t xml:space="preserve">evelopmental </w:t>
      </w:r>
      <w:r w:rsidRPr="00AB2D3B">
        <w:t>R</w:t>
      </w:r>
      <w:r>
        <w:t>oad</w:t>
      </w:r>
      <w:r w:rsidRPr="00AB2D3B">
        <w:t xml:space="preserve"> now sealed.</w:t>
      </w:r>
    </w:p>
    <w:p w14:paraId="6295159A" w14:textId="77777777" w:rsidR="00805A93" w:rsidRPr="00AB2D3B" w:rsidRDefault="00805A93" w:rsidP="00805A93">
      <w:r w:rsidRPr="00807AD0">
        <w:lastRenderedPageBreak/>
        <w:t>In line with the Peninsula Developmental Road Indigenous Land Use Agreement, TMR's contractors achieved 27,266 hours of training and upskilling, exceeding the contract targets by more than double with an additional 16,720 hours provided, boosting work opportunities for First Nations peoples in the region.</w:t>
      </w:r>
    </w:p>
    <w:p w14:paraId="0C6AA4E4" w14:textId="77777777" w:rsidR="00805A93" w:rsidRPr="00AB2D3B" w:rsidRDefault="00805A93" w:rsidP="00805A93">
      <w:r w:rsidRPr="00AB2D3B">
        <w:t>In 2022</w:t>
      </w:r>
      <w:r w:rsidRPr="00E86513">
        <w:t>–</w:t>
      </w:r>
      <w:r w:rsidRPr="00AB2D3B">
        <w:t xml:space="preserve">23, TMR also progressed delivery of the Archer River Crossing and Archer River Crossing Southern Approach projects. </w:t>
      </w:r>
    </w:p>
    <w:p w14:paraId="7244808A" w14:textId="77777777" w:rsidR="00805A93" w:rsidRDefault="00805A93" w:rsidP="00805A93">
      <w:r w:rsidRPr="00E76C92">
        <w:t>Cape York Region Package</w:t>
      </w:r>
      <w:r w:rsidRPr="00E76C92" w:rsidDel="00B91F25">
        <w:t xml:space="preserve"> </w:t>
      </w:r>
      <w:r w:rsidRPr="00E76C92">
        <w:t xml:space="preserve">Stage 2 </w:t>
      </w:r>
      <w:r w:rsidRPr="00AB2D3B">
        <w:t xml:space="preserve">is jointly funded by the Australian and Queensland </w:t>
      </w:r>
      <w:r>
        <w:t>g</w:t>
      </w:r>
      <w:r w:rsidRPr="00AB2D3B">
        <w:t>overnment</w:t>
      </w:r>
      <w:r>
        <w:t>s</w:t>
      </w:r>
      <w:r w:rsidRPr="00AB2D3B">
        <w:t xml:space="preserve"> under the Roads of Strategic Importance Program.</w:t>
      </w:r>
    </w:p>
    <w:p w14:paraId="49041370" w14:textId="77777777" w:rsidR="00805A93" w:rsidRPr="00A028E5" w:rsidRDefault="00805A93" w:rsidP="00805A93">
      <w:pPr>
        <w:pStyle w:val="ForMoreInformation"/>
      </w:pPr>
      <w:r>
        <w:t>For more information</w:t>
      </w:r>
      <w:r>
        <w:br/>
      </w:r>
      <w:r w:rsidRPr="00AB2D3B">
        <w:rPr>
          <w:rStyle w:val="Hyperlink"/>
        </w:rPr>
        <w:t>https://www.tmr.qld.gov.au/projects/cape-york-region-package-stage-2</w:t>
      </w:r>
    </w:p>
    <w:p w14:paraId="3C6A7958" w14:textId="77777777" w:rsidR="00805A93" w:rsidRDefault="00805A93" w:rsidP="00805A93">
      <w:pPr>
        <w:pStyle w:val="ListBullet"/>
        <w:numPr>
          <w:ilvl w:val="0"/>
          <w:numId w:val="0"/>
        </w:numPr>
        <w:ind w:left="284" w:hanging="284"/>
      </w:pPr>
    </w:p>
    <w:p w14:paraId="5BBDEDA6" w14:textId="77777777" w:rsidR="00805A93" w:rsidRDefault="00805A93" w:rsidP="00805A93">
      <w:pPr>
        <w:pStyle w:val="Heading3"/>
      </w:pPr>
      <w:r>
        <w:t xml:space="preserve">North West </w:t>
      </w:r>
    </w:p>
    <w:p w14:paraId="2052DA7D" w14:textId="77777777" w:rsidR="00805A93" w:rsidRDefault="00805A93" w:rsidP="00591E7C">
      <w:pPr>
        <w:pStyle w:val="Heading4"/>
      </w:pPr>
      <w:r>
        <w:t xml:space="preserve">Fast Facts </w:t>
      </w:r>
    </w:p>
    <w:p w14:paraId="2594B771" w14:textId="77777777" w:rsidR="00805A93" w:rsidRDefault="00805A93" w:rsidP="00805A93">
      <w:pPr>
        <w:pStyle w:val="ListBullet"/>
      </w:pPr>
      <w:r>
        <w:t>3576 Kilometres State-controlled road</w:t>
      </w:r>
      <w:r>
        <w:footnoteReference w:id="5"/>
      </w:r>
      <w:r>
        <w:t xml:space="preserve"> </w:t>
      </w:r>
    </w:p>
    <w:p w14:paraId="554E2F35" w14:textId="77777777" w:rsidR="00805A93" w:rsidRDefault="00805A93" w:rsidP="00805A93">
      <w:pPr>
        <w:pStyle w:val="ListBullet"/>
      </w:pPr>
      <w:r>
        <w:t>1024 Kilometres National Land Transport Network</w:t>
      </w:r>
      <w:r>
        <w:footnoteReference w:id="6"/>
      </w:r>
      <w:r>
        <w:t xml:space="preserve"> </w:t>
      </w:r>
    </w:p>
    <w:p w14:paraId="3375F732" w14:textId="77777777" w:rsidR="00805A93" w:rsidRDefault="00805A93" w:rsidP="00805A93">
      <w:pPr>
        <w:pStyle w:val="ListBullet"/>
      </w:pPr>
      <w:r>
        <w:t xml:space="preserve">37,754 Vehicle and machinery registrations </w:t>
      </w:r>
    </w:p>
    <w:p w14:paraId="4F990511" w14:textId="77777777" w:rsidR="00805A93" w:rsidRDefault="00805A93" w:rsidP="00805A93">
      <w:pPr>
        <w:pStyle w:val="ListBullet"/>
      </w:pPr>
      <w:r>
        <w:t xml:space="preserve">4 Boating infrastructures </w:t>
      </w:r>
    </w:p>
    <w:p w14:paraId="3C643717" w14:textId="77777777" w:rsidR="00805A93" w:rsidRDefault="00805A93" w:rsidP="00805A93">
      <w:pPr>
        <w:pStyle w:val="ListBullet"/>
      </w:pPr>
      <w:r>
        <w:t xml:space="preserve">1617 Vehicle and machinery inspections completed </w:t>
      </w:r>
    </w:p>
    <w:p w14:paraId="6BA245FE" w14:textId="77777777" w:rsidR="00805A93" w:rsidRDefault="00805A93" w:rsidP="00805A93">
      <w:pPr>
        <w:pStyle w:val="ListBullet"/>
      </w:pPr>
      <w:r>
        <w:t>87 Bridges</w:t>
      </w:r>
      <w:r>
        <w:footnoteReference w:id="7"/>
      </w:r>
      <w:r>
        <w:t xml:space="preserve"> </w:t>
      </w:r>
    </w:p>
    <w:p w14:paraId="4B641CE8" w14:textId="77777777" w:rsidR="00805A93" w:rsidRDefault="00805A93" w:rsidP="00805A93">
      <w:pPr>
        <w:pStyle w:val="ListBullet"/>
      </w:pPr>
      <w:r>
        <w:t xml:space="preserve">1173 Driver licence tests conducted </w:t>
      </w:r>
    </w:p>
    <w:p w14:paraId="5AB5BF08" w14:textId="77777777" w:rsidR="00805A93" w:rsidRDefault="00805A93" w:rsidP="00805A93">
      <w:pPr>
        <w:pStyle w:val="ListBullet"/>
      </w:pPr>
      <w:r>
        <w:t xml:space="preserve">28,214 Customer face-to-face interactions </w:t>
      </w:r>
    </w:p>
    <w:p w14:paraId="096E6C14" w14:textId="77777777" w:rsidR="00805A93" w:rsidRDefault="00805A93" w:rsidP="00805A93">
      <w:pPr>
        <w:pStyle w:val="ListBullet"/>
      </w:pPr>
      <w:r>
        <w:t xml:space="preserve">12 Priority-enabled intersections </w:t>
      </w:r>
    </w:p>
    <w:p w14:paraId="6C34EA65" w14:textId="77777777" w:rsidR="00805A93" w:rsidRDefault="00805A93" w:rsidP="00805A93">
      <w:pPr>
        <w:pStyle w:val="ListBullet"/>
      </w:pPr>
      <w:r>
        <w:t xml:space="preserve">307,082 Kilometres squared Area covered </w:t>
      </w:r>
    </w:p>
    <w:p w14:paraId="45110832" w14:textId="77777777" w:rsidR="00805A93" w:rsidRPr="00EB2FFF" w:rsidRDefault="00805A93" w:rsidP="00805A93">
      <w:pPr>
        <w:pStyle w:val="ListBullet"/>
      </w:pPr>
      <w:r>
        <w:t>0.59 per cent Population of Queensland</w:t>
      </w:r>
      <w:r>
        <w:footnoteReference w:id="8"/>
      </w:r>
    </w:p>
    <w:p w14:paraId="39744865" w14:textId="77777777" w:rsidR="00805A93" w:rsidRDefault="00805A93" w:rsidP="00805A93">
      <w:pPr>
        <w:pStyle w:val="Heading4"/>
      </w:pPr>
      <w:r>
        <w:t xml:space="preserve">Cloncurry–Dajarra Road upgrade works </w:t>
      </w:r>
    </w:p>
    <w:p w14:paraId="3D0A298D" w14:textId="77777777" w:rsidR="00805A93" w:rsidRDefault="00805A93" w:rsidP="00805A93">
      <w:r>
        <w:t xml:space="preserve">In August 2022, </w:t>
      </w:r>
      <w:r w:rsidRPr="00D5712B">
        <w:t>the Cloncurry</w:t>
      </w:r>
      <w:r>
        <w:t>–</w:t>
      </w:r>
      <w:r w:rsidRPr="00D5712B">
        <w:t xml:space="preserve">Dajarra </w:t>
      </w:r>
      <w:r>
        <w:t xml:space="preserve">Road improvement works were completed. The road is now sealed from the intersection of the Barkly Highway (Cloncurry–Mount Isa), 100 kilometres south, to the Phosphate Hill mine intersection. </w:t>
      </w:r>
    </w:p>
    <w:p w14:paraId="49E8DE6A" w14:textId="77777777" w:rsidR="00805A93" w:rsidRDefault="00805A93" w:rsidP="00805A93">
      <w:r>
        <w:t>Works included widening various priority sections of existing narrow seals,</w:t>
      </w:r>
      <w:r w:rsidRPr="00BA6520">
        <w:t xml:space="preserve"> </w:t>
      </w:r>
      <w:r w:rsidRPr="00D5712B">
        <w:t>which is critical in supporting regional Queensland communities</w:t>
      </w:r>
      <w:r>
        <w:t xml:space="preserve">. </w:t>
      </w:r>
      <w:r w:rsidRPr="00D5712B">
        <w:t xml:space="preserve">The </w:t>
      </w:r>
      <w:r>
        <w:t>projects</w:t>
      </w:r>
      <w:r w:rsidRPr="00D5712B">
        <w:t xml:space="preserve"> delivered long-term improvements for road safety, travel time, flood immunity</w:t>
      </w:r>
      <w:r>
        <w:t>,</w:t>
      </w:r>
      <w:r w:rsidRPr="00D5712B">
        <w:t xml:space="preserve"> and reliability for all road users. </w:t>
      </w:r>
    </w:p>
    <w:p w14:paraId="05A95A55" w14:textId="77777777" w:rsidR="00805A93" w:rsidRPr="00D5712B" w:rsidRDefault="00805A93" w:rsidP="00805A93">
      <w:r w:rsidRPr="00D5712B">
        <w:t xml:space="preserve">Works </w:t>
      </w:r>
      <w:r>
        <w:t xml:space="preserve">also </w:t>
      </w:r>
      <w:r w:rsidRPr="00D5712B">
        <w:t xml:space="preserve">included the replacement of the Sandy Creek crossing located </w:t>
      </w:r>
      <w:r>
        <w:t>around</w:t>
      </w:r>
      <w:r w:rsidRPr="00D5712B">
        <w:t xml:space="preserve"> 75.6 kilometres south of the Barkly Highway intersection. This floodway replacement improved safety by straightening the approaches. </w:t>
      </w:r>
    </w:p>
    <w:p w14:paraId="4CFB2FD7" w14:textId="77777777" w:rsidR="00805A93" w:rsidRDefault="00805A93" w:rsidP="00805A93">
      <w:r w:rsidRPr="00D5712B">
        <w:t>Cloncurry</w:t>
      </w:r>
      <w:r>
        <w:t>–</w:t>
      </w:r>
      <w:r w:rsidRPr="00D5712B">
        <w:t>Dajarra Road is a locally and regionally significant transport route for mining and agricultural industries</w:t>
      </w:r>
      <w:r>
        <w:t>.</w:t>
      </w:r>
      <w:r w:rsidRPr="00D5712B">
        <w:t xml:space="preserve"> </w:t>
      </w:r>
    </w:p>
    <w:p w14:paraId="5B673773" w14:textId="77777777" w:rsidR="00805A93" w:rsidRPr="00D5712B" w:rsidRDefault="00805A93" w:rsidP="00805A93">
      <w:r>
        <w:t xml:space="preserve">This $31.5 million project was jointly funded by the Australian and Queensland governments on a 51:49 (federal:state) basis. </w:t>
      </w:r>
    </w:p>
    <w:p w14:paraId="21C729A5" w14:textId="77777777" w:rsidR="00805A93" w:rsidRDefault="00805A93" w:rsidP="00805A93">
      <w:pPr>
        <w:pStyle w:val="ForMoreInformation"/>
        <w:rPr>
          <w:rStyle w:val="Hyperlink"/>
        </w:rPr>
      </w:pPr>
      <w:r>
        <w:t>For more information</w:t>
      </w:r>
      <w:r>
        <w:br/>
      </w:r>
      <w:hyperlink r:id="rId29" w:history="1">
        <w:r w:rsidRPr="0054246A">
          <w:rPr>
            <w:rStyle w:val="Hyperlink"/>
          </w:rPr>
          <w:t>https://www.tmr.qld.gov.au/projects/cloncurry-dajarra-road-improvement-works</w:t>
        </w:r>
      </w:hyperlink>
    </w:p>
    <w:p w14:paraId="709563DF" w14:textId="77777777" w:rsidR="00805A93" w:rsidRDefault="00805A93" w:rsidP="00805A93">
      <w:pPr>
        <w:pStyle w:val="Heading4"/>
      </w:pPr>
      <w:r>
        <w:lastRenderedPageBreak/>
        <w:t xml:space="preserve">Burke Developmental Road (Normanton–Dimbulah), pavement and sealing works </w:t>
      </w:r>
    </w:p>
    <w:p w14:paraId="2E256669" w14:textId="77777777" w:rsidR="00805A93" w:rsidRDefault="00805A93" w:rsidP="00805A93">
      <w:r>
        <w:t xml:space="preserve">In November 2020, works commenced to progressively seal </w:t>
      </w:r>
      <w:r w:rsidRPr="007375C1">
        <w:t>24 kilometres</w:t>
      </w:r>
      <w:r>
        <w:t xml:space="preserve"> of the Burke Developmental Road,</w:t>
      </w:r>
      <w:r w:rsidRPr="007375C1">
        <w:t xml:space="preserve"> between Normanton and Dimbulah</w:t>
      </w:r>
      <w:r>
        <w:t xml:space="preserve">, with Carpentaria Shire Council delivering the upgrades. </w:t>
      </w:r>
    </w:p>
    <w:p w14:paraId="6BD6A27C" w14:textId="77777777" w:rsidR="00805A93" w:rsidRDefault="00805A93" w:rsidP="00805A93">
      <w:r w:rsidRPr="003449A6">
        <w:t>The B</w:t>
      </w:r>
      <w:r>
        <w:t xml:space="preserve">urke Developmental </w:t>
      </w:r>
      <w:r w:rsidRPr="003449A6">
        <w:t>R</w:t>
      </w:r>
      <w:r>
        <w:t>oad</w:t>
      </w:r>
      <w:r w:rsidRPr="003449A6">
        <w:t xml:space="preserve"> </w:t>
      </w:r>
      <w:r>
        <w:t xml:space="preserve">continues to </w:t>
      </w:r>
      <w:r w:rsidRPr="003449A6">
        <w:t xml:space="preserve">have a high proportion of heavy vehicles and is recognised to be a critical transport link for </w:t>
      </w:r>
      <w:r>
        <w:t>Queensland's</w:t>
      </w:r>
      <w:r w:rsidRPr="003449A6">
        <w:t xml:space="preserve"> gulf communities providing access to essential services and supplies from major regional centres to the north west and east coast of northern Queensland.  </w:t>
      </w:r>
    </w:p>
    <w:p w14:paraId="24244ECF" w14:textId="77777777" w:rsidR="00805A93" w:rsidRDefault="00805A93" w:rsidP="00805A93">
      <w:r w:rsidRPr="003449A6">
        <w:t xml:space="preserve">The </w:t>
      </w:r>
      <w:r>
        <w:t xml:space="preserve">Burke Developmental Road </w:t>
      </w:r>
      <w:r w:rsidRPr="003449A6">
        <w:t xml:space="preserve">between Normanton </w:t>
      </w:r>
      <w:r>
        <w:t xml:space="preserve">and </w:t>
      </w:r>
      <w:r w:rsidRPr="003449A6">
        <w:t>Dimbulah is a 654.73</w:t>
      </w:r>
      <w:r>
        <w:t xml:space="preserve"> </w:t>
      </w:r>
      <w:r w:rsidRPr="003449A6">
        <w:t xml:space="preserve">kilometre route connecting the townships of Normanton and Dimbulah, providing access to Dunbar and Kowanyama. </w:t>
      </w:r>
    </w:p>
    <w:p w14:paraId="1FF01412" w14:textId="77777777" w:rsidR="00805A93" w:rsidRPr="003449A6" w:rsidRDefault="00805A93" w:rsidP="00805A93">
      <w:r w:rsidRPr="004D5DA2">
        <w:t>The works were completed in July 2022.</w:t>
      </w:r>
    </w:p>
    <w:p w14:paraId="583ECB35" w14:textId="77777777" w:rsidR="00805A93" w:rsidRPr="007375C1" w:rsidRDefault="00805A93" w:rsidP="00805A93">
      <w:r>
        <w:t xml:space="preserve">This $14 million project was jointly funded by the Australian and Queensland governments on an 80:20 (federal:state) basis. </w:t>
      </w:r>
    </w:p>
    <w:p w14:paraId="7C0693D5" w14:textId="77777777" w:rsidR="00805A93" w:rsidRDefault="00805A93" w:rsidP="00805A93">
      <w:pPr>
        <w:pStyle w:val="ForMoreInformation"/>
      </w:pPr>
      <w:r>
        <w:t>For more information</w:t>
      </w:r>
      <w:r>
        <w:br/>
      </w:r>
      <w:r w:rsidRPr="007375C1">
        <w:rPr>
          <w:rStyle w:val="Hyperlink"/>
        </w:rPr>
        <w:t>https://www.tmr.qld.gov.au/projects/burke-developmental-road-normanton-dimbulah-pave-and-seal</w:t>
      </w:r>
    </w:p>
    <w:p w14:paraId="23623B95" w14:textId="77777777" w:rsidR="00805A93" w:rsidRDefault="00805A93" w:rsidP="00805A93">
      <w:pPr>
        <w:pStyle w:val="Heading4"/>
      </w:pPr>
      <w:r>
        <w:t xml:space="preserve">Aramac–Torrens Creek works </w:t>
      </w:r>
    </w:p>
    <w:p w14:paraId="0A947782" w14:textId="77777777" w:rsidR="00805A93" w:rsidRPr="00304896" w:rsidRDefault="00805A93" w:rsidP="00805A93">
      <w:r>
        <w:t xml:space="preserve">In </w:t>
      </w:r>
      <w:r w:rsidRPr="00304896">
        <w:t>February 2021</w:t>
      </w:r>
      <w:r>
        <w:t>,</w:t>
      </w:r>
      <w:r w:rsidRPr="00304896">
        <w:t xml:space="preserve"> works commenced to progressively seal the remaining 27 kilometres of unsealed sections of the Aramac</w:t>
      </w:r>
      <w:r>
        <w:t>–</w:t>
      </w:r>
      <w:r w:rsidRPr="00304896">
        <w:t xml:space="preserve">Torrens Creek Road and </w:t>
      </w:r>
      <w:r>
        <w:t xml:space="preserve">to </w:t>
      </w:r>
      <w:r w:rsidRPr="00304896">
        <w:t>improve the Prairie Creek Crossing</w:t>
      </w:r>
      <w:r>
        <w:t>.</w:t>
      </w:r>
    </w:p>
    <w:p w14:paraId="7CB9686D" w14:textId="77777777" w:rsidR="00805A93" w:rsidRDefault="00805A93" w:rsidP="00805A93">
      <w:r w:rsidRPr="00BA2AFC">
        <w:t>During the construction process, TMR worked closely with Flinders Shire Council to ensure the successful completion of the projects. The main objectives were to provide a sealed road with a width of eight metres, capable of accommodating heavy loads and freight vehicles, and enhance flood immunity for the length of the road.</w:t>
      </w:r>
    </w:p>
    <w:p w14:paraId="6FE81242" w14:textId="77777777" w:rsidR="00805A93" w:rsidRDefault="00805A93" w:rsidP="00805A93">
      <w:r w:rsidRPr="004C7F8C">
        <w:t>The construction projects have sealed the entire road length, enabling improved northern and northwestern Queensland tourism access</w:t>
      </w:r>
      <w:r>
        <w:t>. Works were completed in December 2022.</w:t>
      </w:r>
    </w:p>
    <w:p w14:paraId="35116723" w14:textId="77777777" w:rsidR="00805A93" w:rsidRDefault="00805A93" w:rsidP="00805A93">
      <w:r>
        <w:t xml:space="preserve">This $30.8 million program of projects was jointly funded by the Australian and Queensland governments on an 80:20 (federal:state) basis. </w:t>
      </w:r>
    </w:p>
    <w:p w14:paraId="77AE789C" w14:textId="77777777" w:rsidR="00805A93" w:rsidRDefault="00805A93" w:rsidP="00805A93">
      <w:pPr>
        <w:pStyle w:val="ForMoreInformation"/>
      </w:pPr>
      <w:r>
        <w:t>For more information</w:t>
      </w:r>
      <w:r>
        <w:br/>
      </w:r>
      <w:r w:rsidRPr="00304896">
        <w:rPr>
          <w:rStyle w:val="Hyperlink"/>
        </w:rPr>
        <w:t>https://www.tmr.qld.gov.au/projects/aramac-torrens-creek-road-improvement-works</w:t>
      </w:r>
    </w:p>
    <w:p w14:paraId="25A572D2" w14:textId="77777777" w:rsidR="00E6328B" w:rsidRDefault="00E6328B">
      <w:pPr>
        <w:spacing w:before="0" w:after="160" w:line="259" w:lineRule="auto"/>
        <w:rPr>
          <w:rFonts w:eastAsiaTheme="majorEastAsia" w:cstheme="majorBidi"/>
          <w:color w:val="000000" w:themeColor="text1"/>
          <w:sz w:val="32"/>
          <w:szCs w:val="24"/>
        </w:rPr>
      </w:pPr>
      <w:r>
        <w:br w:type="page"/>
      </w:r>
    </w:p>
    <w:p w14:paraId="2DC34955" w14:textId="225EB07D" w:rsidR="00805A93" w:rsidRDefault="00805A93" w:rsidP="00805A93">
      <w:pPr>
        <w:pStyle w:val="Heading3"/>
      </w:pPr>
      <w:r>
        <w:lastRenderedPageBreak/>
        <w:t xml:space="preserve">Northern </w:t>
      </w:r>
    </w:p>
    <w:p w14:paraId="37E0FFD8" w14:textId="77777777" w:rsidR="00805A93" w:rsidRDefault="00805A93" w:rsidP="00591E7C">
      <w:pPr>
        <w:pStyle w:val="Heading4"/>
      </w:pPr>
      <w:r>
        <w:t xml:space="preserve">Fast Facts </w:t>
      </w:r>
    </w:p>
    <w:p w14:paraId="4DC3E3A0" w14:textId="77777777" w:rsidR="00805A93" w:rsidRDefault="00805A93" w:rsidP="00805A93">
      <w:pPr>
        <w:pStyle w:val="ListBullet"/>
      </w:pPr>
      <w:r>
        <w:t>1666 Kilometres State-controlled road</w:t>
      </w:r>
      <w:r>
        <w:footnoteReference w:id="9"/>
      </w:r>
    </w:p>
    <w:p w14:paraId="6F004903" w14:textId="77777777" w:rsidR="00805A93" w:rsidRDefault="00805A93" w:rsidP="00805A93">
      <w:pPr>
        <w:pStyle w:val="ListBullet"/>
      </w:pPr>
      <w:r>
        <w:t>521 Kilometres National Land Transport Network</w:t>
      </w:r>
      <w:r>
        <w:footnoteReference w:id="10"/>
      </w:r>
      <w:r>
        <w:t xml:space="preserve"> </w:t>
      </w:r>
    </w:p>
    <w:p w14:paraId="78FDFAC3" w14:textId="77777777" w:rsidR="00805A93" w:rsidRDefault="00805A93" w:rsidP="00805A93">
      <w:pPr>
        <w:pStyle w:val="ListBullet"/>
      </w:pPr>
      <w:r>
        <w:t xml:space="preserve">283,357 Vehicle and machinery registrations </w:t>
      </w:r>
    </w:p>
    <w:p w14:paraId="428A02A6" w14:textId="77777777" w:rsidR="00805A93" w:rsidRDefault="00805A93" w:rsidP="00805A93">
      <w:pPr>
        <w:pStyle w:val="ListBullet"/>
      </w:pPr>
      <w:r>
        <w:t xml:space="preserve">56 Boating infrastructures </w:t>
      </w:r>
    </w:p>
    <w:p w14:paraId="4394853A" w14:textId="77777777" w:rsidR="00805A93" w:rsidRDefault="00805A93" w:rsidP="00805A93">
      <w:pPr>
        <w:pStyle w:val="ListBullet"/>
      </w:pPr>
      <w:r>
        <w:t xml:space="preserve">2 Community safety events held </w:t>
      </w:r>
    </w:p>
    <w:p w14:paraId="33C7E3A1" w14:textId="77777777" w:rsidR="00805A93" w:rsidRDefault="00805A93" w:rsidP="00805A93">
      <w:pPr>
        <w:pStyle w:val="ListBullet"/>
      </w:pPr>
      <w:r>
        <w:t xml:space="preserve">3713 Vehicle and machinery inspections completed </w:t>
      </w:r>
    </w:p>
    <w:p w14:paraId="16745E00" w14:textId="77777777" w:rsidR="00805A93" w:rsidRDefault="00805A93" w:rsidP="00805A93">
      <w:pPr>
        <w:pStyle w:val="ListBullet"/>
      </w:pPr>
      <w:r>
        <w:t>222 Bridges</w:t>
      </w:r>
      <w:r>
        <w:footnoteReference w:id="11"/>
      </w:r>
      <w:r>
        <w:t xml:space="preserve"> </w:t>
      </w:r>
    </w:p>
    <w:p w14:paraId="0946D68F" w14:textId="77777777" w:rsidR="00805A93" w:rsidRDefault="00805A93" w:rsidP="00805A93">
      <w:pPr>
        <w:pStyle w:val="ListBullet"/>
      </w:pPr>
      <w:r>
        <w:t xml:space="preserve">7469 Driver licence tests conducted </w:t>
      </w:r>
    </w:p>
    <w:p w14:paraId="7DA1D408" w14:textId="77777777" w:rsidR="00805A93" w:rsidRDefault="00805A93" w:rsidP="00805A93">
      <w:pPr>
        <w:pStyle w:val="ListBullet"/>
      </w:pPr>
      <w:r>
        <w:t xml:space="preserve">183,658 Customer face-to-face interactions </w:t>
      </w:r>
    </w:p>
    <w:p w14:paraId="44503DED" w14:textId="77777777" w:rsidR="00805A93" w:rsidRDefault="00805A93" w:rsidP="00805A93">
      <w:pPr>
        <w:pStyle w:val="ListBullet"/>
      </w:pPr>
      <w:r>
        <w:t xml:space="preserve">165 Priority-enabled intersections </w:t>
      </w:r>
    </w:p>
    <w:p w14:paraId="55649339" w14:textId="77777777" w:rsidR="00805A93" w:rsidRDefault="00805A93" w:rsidP="00805A93">
      <w:pPr>
        <w:pStyle w:val="ListBullet"/>
      </w:pPr>
      <w:r>
        <w:t xml:space="preserve">80,036 Kilometres Squared Area covered </w:t>
      </w:r>
    </w:p>
    <w:p w14:paraId="0E70E1A7" w14:textId="77777777" w:rsidR="00805A93" w:rsidRPr="00DF4279" w:rsidRDefault="00805A93" w:rsidP="00805A93">
      <w:pPr>
        <w:pStyle w:val="ListBullet"/>
      </w:pPr>
      <w:r>
        <w:t>4.52 per cent Population of Queensland</w:t>
      </w:r>
      <w:r>
        <w:footnoteReference w:id="12"/>
      </w:r>
    </w:p>
    <w:p w14:paraId="1B8D8562" w14:textId="77777777" w:rsidR="00805A93" w:rsidRPr="00DC1A33" w:rsidRDefault="00805A93" w:rsidP="00805A93">
      <w:pPr>
        <w:pStyle w:val="Heading4"/>
      </w:pPr>
      <w:r>
        <w:t>Townsville Ring Road (Stage 5)</w:t>
      </w:r>
    </w:p>
    <w:p w14:paraId="1F42BF8B" w14:textId="77777777" w:rsidR="00805A93" w:rsidRDefault="00805A93" w:rsidP="00805A93">
      <w:r>
        <w:t>Newly duplicated sections of the Bruce Highway were completed and opened to traffic as part of the Townsville Ring Road (Stage 5) project, including new overpasses at Beck Drive and Hervey Range Developmental Road and new bridges over the Bohle and Little Bohle rivers.</w:t>
      </w:r>
    </w:p>
    <w:p w14:paraId="5EBB0126" w14:textId="77777777" w:rsidR="00805A93" w:rsidRDefault="00805A93" w:rsidP="00805A93">
      <w:r>
        <w:t xml:space="preserve">The new ring road interchange at Beck Drive, that improves access to and from Townsville's Upper Ross, opened to traffic in late-2022, with construction completed on three new entry and exit ramps. </w:t>
      </w:r>
    </w:p>
    <w:p w14:paraId="4727FDD9" w14:textId="77777777" w:rsidR="00805A93" w:rsidRDefault="00805A93" w:rsidP="00805A93">
      <w:r>
        <w:t>The project duplicates a</w:t>
      </w:r>
      <w:r w:rsidRPr="0097122C">
        <w:t xml:space="preserve"> </w:t>
      </w:r>
      <w:r>
        <w:t>six-kilometre, two-lane section of the Bruce Highway</w:t>
      </w:r>
      <w:r w:rsidRPr="0097122C">
        <w:t xml:space="preserve"> between </w:t>
      </w:r>
      <w:r>
        <w:t>Condon and the Bohle Plains. It</w:t>
      </w:r>
      <w:r w:rsidRPr="0097122C">
        <w:t xml:space="preserve"> will delive</w:t>
      </w:r>
      <w:r>
        <w:t xml:space="preserve">r a safer, more efficient highway for more than 17,000 passenger and freight vehicles daily. It will improve travel time, reliability, and access to essential services while reducing peak hour congestion on the surrounding road network. </w:t>
      </w:r>
    </w:p>
    <w:p w14:paraId="64424F03" w14:textId="77777777" w:rsidR="00805A93" w:rsidRDefault="00805A93" w:rsidP="00805A93">
      <w:r>
        <w:t xml:space="preserve">This $280 million project is jointly funded by the Australian and Queensland governments on an 80:20 (federal:state) basis. </w:t>
      </w:r>
    </w:p>
    <w:p w14:paraId="5EDE167B" w14:textId="77777777" w:rsidR="00805A93" w:rsidRPr="0027139B" w:rsidRDefault="00805A93" w:rsidP="00805A93">
      <w:pPr>
        <w:pStyle w:val="ForMoreInformation"/>
        <w:rPr>
          <w:rStyle w:val="Hyperlink"/>
          <w:color w:val="auto"/>
          <w:u w:val="none"/>
        </w:rPr>
      </w:pPr>
      <w:r w:rsidRPr="0027139B">
        <w:t>For more information</w:t>
      </w:r>
      <w:r>
        <w:br/>
      </w:r>
      <w:hyperlink r:id="rId30" w:history="1">
        <w:r w:rsidRPr="0027139B">
          <w:rPr>
            <w:rStyle w:val="Hyperlink"/>
          </w:rPr>
          <w:t>https://www.tmr.qld.gov.au/projects/townsville-ring-road-stage-5</w:t>
        </w:r>
      </w:hyperlink>
    </w:p>
    <w:p w14:paraId="09115836" w14:textId="77777777" w:rsidR="00805A93" w:rsidRPr="00DC1A33" w:rsidRDefault="00805A93" w:rsidP="00805A93">
      <w:pPr>
        <w:pStyle w:val="Heading4"/>
      </w:pPr>
      <w:r>
        <w:t>Townsville Northern Access Intersections Upgrade</w:t>
      </w:r>
    </w:p>
    <w:p w14:paraId="7971B5D4" w14:textId="77777777" w:rsidR="00805A93" w:rsidRDefault="00805A93" w:rsidP="00805A93">
      <w:r>
        <w:t xml:space="preserve">Progress continued on the Townsville Northern Access Intersections Upgrade in 2022–23. Four major traffic switches occurred, including switching traffic onto the newly built second Black River bridge, which was completed and opened to traffic in December 2022. </w:t>
      </w:r>
    </w:p>
    <w:p w14:paraId="1A597849" w14:textId="77777777" w:rsidR="00805A93" w:rsidRDefault="00805A93" w:rsidP="00805A93">
      <w:r>
        <w:t>W</w:t>
      </w:r>
      <w:r w:rsidRPr="006C5267">
        <w:t>hile the original highway was closed for rehabilitation</w:t>
      </w:r>
      <w:r>
        <w:t>, t</w:t>
      </w:r>
      <w:r w:rsidRPr="006C5267">
        <w:t>he traffic switches redirect</w:t>
      </w:r>
      <w:r>
        <w:t>ed</w:t>
      </w:r>
      <w:r w:rsidRPr="006C5267">
        <w:t xml:space="preserve"> all traffic to the newly built section of the Bruce Highway, spanning a distance of 5.2 kilometres</w:t>
      </w:r>
      <w:r>
        <w:t>.</w:t>
      </w:r>
      <w:r w:rsidRPr="006C5267">
        <w:t xml:space="preserve"> </w:t>
      </w:r>
    </w:p>
    <w:p w14:paraId="75683C24" w14:textId="77777777" w:rsidR="00805A93" w:rsidRPr="006C5267" w:rsidRDefault="00805A93" w:rsidP="00805A93">
      <w:r w:rsidRPr="006C5267">
        <w:t>The rehabilitation works encompassed various tasks such as raising the road level, improving drainage, pavement resealing, new line marking, and installing guardrails.</w:t>
      </w:r>
    </w:p>
    <w:p w14:paraId="3AD8370D" w14:textId="77777777" w:rsidR="00805A93" w:rsidRDefault="00805A93" w:rsidP="00805A93">
      <w:r w:rsidRPr="006C5267">
        <w:lastRenderedPageBreak/>
        <w:t xml:space="preserve">Work also occurred on surrounding local roads, including extending Mount Kulburn Drive to connect to Darling Road and reconfiguring the Mount Kulburn Drive intersection with the Bruce Highway to a safer left-turn in left-turn out arrangement, </w:t>
      </w:r>
      <w:r>
        <w:t xml:space="preserve">and extending Nora Road to connect with Black River Road, including constructing a new intersection. </w:t>
      </w:r>
      <w:r w:rsidRPr="006C5267">
        <w:t xml:space="preserve"> </w:t>
      </w:r>
    </w:p>
    <w:p w14:paraId="73218624" w14:textId="77777777" w:rsidR="00E6328B" w:rsidRDefault="00E6328B">
      <w:pPr>
        <w:spacing w:before="0" w:after="160" w:line="259" w:lineRule="auto"/>
      </w:pPr>
      <w:r>
        <w:br w:type="page"/>
      </w:r>
    </w:p>
    <w:p w14:paraId="13C4BEDF" w14:textId="7B4A796F" w:rsidR="00805A93" w:rsidRDefault="00805A93" w:rsidP="00805A93">
      <w:r>
        <w:lastRenderedPageBreak/>
        <w:t xml:space="preserve">This $117.4 million project was jointly funded by the Australian and Queensland governments under the Bruce Highway Upgrade Program. </w:t>
      </w:r>
    </w:p>
    <w:p w14:paraId="7DDB3FFC" w14:textId="77777777" w:rsidR="00805A93" w:rsidRDefault="00805A93" w:rsidP="00805A93">
      <w:pPr>
        <w:pStyle w:val="ForMoreInformation"/>
      </w:pPr>
      <w:r>
        <w:t>For more information</w:t>
      </w:r>
      <w:r>
        <w:br/>
      </w:r>
      <w:hyperlink r:id="rId31" w:history="1">
        <w:r>
          <w:rPr>
            <w:rStyle w:val="Hyperlink"/>
          </w:rPr>
          <w:t>https://www.tmr.qld.gov.au/projects/townsville-northern-access-intersections-upgrade-bruce-highway-veales-road-to-pope-road</w:t>
        </w:r>
      </w:hyperlink>
    </w:p>
    <w:p w14:paraId="5F32919E" w14:textId="4876A05F" w:rsidR="00805A93" w:rsidRDefault="00805A93" w:rsidP="009249AF">
      <w:pPr>
        <w:pStyle w:val="Heading4"/>
      </w:pPr>
      <w:r>
        <w:t xml:space="preserve">Case </w:t>
      </w:r>
      <w:r w:rsidR="004F068F">
        <w:t>s</w:t>
      </w:r>
      <w:r>
        <w:t>tudy</w:t>
      </w:r>
      <w:r w:rsidR="009249AF">
        <w:t xml:space="preserve"> </w:t>
      </w:r>
      <w:r>
        <w:t>Townsville Ring Road (Stage 5)</w:t>
      </w:r>
    </w:p>
    <w:p w14:paraId="320949F8" w14:textId="77777777" w:rsidR="00805A93" w:rsidRDefault="00805A93" w:rsidP="00805A93">
      <w:r>
        <w:t>Works progressed on the Townsville Ring Road (Stage 5) project in 2022</w:t>
      </w:r>
      <w:r w:rsidRPr="00DD7FD7">
        <w:t>–</w:t>
      </w:r>
      <w:r>
        <w:t xml:space="preserve">23, including constructing a new interchange at Beck Drive. </w:t>
      </w:r>
    </w:p>
    <w:p w14:paraId="29677454" w14:textId="77777777" w:rsidR="00805A93" w:rsidRDefault="00805A93" w:rsidP="00805A93">
      <w:r>
        <w:t xml:space="preserve">Catering for northbound and southbound traffic entering and exiting the Ring Road (Bruce Highway), the new interchange connects to the local road network at Beck Drive, which provides access to the Upper Ross area. </w:t>
      </w:r>
    </w:p>
    <w:p w14:paraId="00E68E11" w14:textId="77777777" w:rsidR="00805A93" w:rsidRDefault="00805A93" w:rsidP="00805A93">
      <w:r>
        <w:t xml:space="preserve">TMR undertook traffic modelling and consultation with local government to understand the impacts of projected future traffic volumes along Beck Drive following its connection to the Ring Road. As a result of this planning, TMR committed to undertaking safety and capacity improvements along Beck Drive, between the Ring Road and Gouldian Avenue. </w:t>
      </w:r>
    </w:p>
    <w:p w14:paraId="27E4C398" w14:textId="77777777" w:rsidR="00805A93" w:rsidRDefault="00805A93" w:rsidP="00805A93">
      <w:r>
        <w:t xml:space="preserve">The local roadworks commenced in early-2023 and included an upgrade of the Beck Drive and Gouldian Avenue intersection from a roundabout to traffic signals. </w:t>
      </w:r>
      <w:r w:rsidRPr="005C5724">
        <w:t xml:space="preserve">In addition to installing traffic signals, the works </w:t>
      </w:r>
      <w:r>
        <w:t>included</w:t>
      </w:r>
      <w:r w:rsidRPr="005C5724">
        <w:t xml:space="preserve"> </w:t>
      </w:r>
      <w:r>
        <w:t xml:space="preserve">the </w:t>
      </w:r>
      <w:r w:rsidRPr="005C5724">
        <w:t>construction of new road pavement, additional turning lanes, new concrete medians</w:t>
      </w:r>
      <w:r>
        <w:t>,</w:t>
      </w:r>
      <w:r w:rsidRPr="005C5724">
        <w:t xml:space="preserve"> and drainage improvements. </w:t>
      </w:r>
    </w:p>
    <w:p w14:paraId="0E307883" w14:textId="77777777" w:rsidR="00805A93" w:rsidRDefault="00805A93" w:rsidP="00805A93">
      <w:r w:rsidRPr="005C5724">
        <w:t>New active transport infrastructure</w:t>
      </w:r>
      <w:r>
        <w:t>,</w:t>
      </w:r>
      <w:r w:rsidRPr="005C5724">
        <w:t xml:space="preserve"> including dedicated pedestrian crossings and green bicycle lanes</w:t>
      </w:r>
      <w:r>
        <w:t>,</w:t>
      </w:r>
      <w:r w:rsidRPr="005C5724">
        <w:t xml:space="preserve"> </w:t>
      </w:r>
      <w:r>
        <w:t>was also</w:t>
      </w:r>
      <w:r w:rsidRPr="005C5724">
        <w:t xml:space="preserve"> installed to deliver a safer road environment for vulnerable road users</w:t>
      </w:r>
      <w:r>
        <w:t>,</w:t>
      </w:r>
      <w:r w:rsidRPr="005C5724">
        <w:t xml:space="preserve"> including pedestrians and bike riders.</w:t>
      </w:r>
      <w:r>
        <w:t xml:space="preserve"> This was an important consideration for the community </w:t>
      </w:r>
      <w:r w:rsidRPr="005C5724">
        <w:t>given the proximity of the intersection to surrounding aged care, medical</w:t>
      </w:r>
      <w:r>
        <w:t>,</w:t>
      </w:r>
      <w:r w:rsidRPr="005C5724">
        <w:t xml:space="preserve"> and childcare facilities.</w:t>
      </w:r>
    </w:p>
    <w:p w14:paraId="748BF3D8" w14:textId="77777777" w:rsidR="00805A93" w:rsidRDefault="00805A93" w:rsidP="00805A93">
      <w:r w:rsidRPr="00AE018F">
        <w:t>This</w:t>
      </w:r>
      <w:r>
        <w:t xml:space="preserve"> $280 million</w:t>
      </w:r>
      <w:r w:rsidRPr="00AE018F">
        <w:t xml:space="preserve"> project is jointly funded by the Australian and Queensland </w:t>
      </w:r>
      <w:r>
        <w:t>g</w:t>
      </w:r>
      <w:r w:rsidRPr="00AE018F">
        <w:t>overnments on an 80:20 (federal:state) basis.</w:t>
      </w:r>
    </w:p>
    <w:p w14:paraId="38169B25" w14:textId="77777777" w:rsidR="00805A93" w:rsidRPr="00F6683C" w:rsidRDefault="00805A93" w:rsidP="00805A93">
      <w:pPr>
        <w:pStyle w:val="ForMoreInformation"/>
      </w:pPr>
      <w:r>
        <w:t>For more information</w:t>
      </w:r>
      <w:r>
        <w:br/>
      </w:r>
      <w:r w:rsidRPr="001E5777">
        <w:rPr>
          <w:rStyle w:val="Hyperlink"/>
        </w:rPr>
        <w:t>https://www.tmr.qld.gov.au/projects/townsville-ring-road-stage-5</w:t>
      </w:r>
    </w:p>
    <w:p w14:paraId="564AAB70" w14:textId="77777777" w:rsidR="00805A93" w:rsidRPr="00EF55DC" w:rsidRDefault="00805A93" w:rsidP="00805A93">
      <w:pPr>
        <w:pStyle w:val="Heading4"/>
      </w:pPr>
      <w:r w:rsidRPr="00EF55DC">
        <w:t>Flinders Highway (Townsville to Charters Towers), Townsville to Mingela Range (</w:t>
      </w:r>
      <w:r>
        <w:t>p</w:t>
      </w:r>
      <w:r w:rsidRPr="00EF55DC">
        <w:t xml:space="preserve">ackage 1 and 2), construct overtaking lanes </w:t>
      </w:r>
    </w:p>
    <w:p w14:paraId="099FCF18" w14:textId="77777777" w:rsidR="00805A93" w:rsidRDefault="00805A93" w:rsidP="00805A93">
      <w:r>
        <w:t>In 2022</w:t>
      </w:r>
      <w:r w:rsidRPr="008021EB">
        <w:t>–</w:t>
      </w:r>
      <w:r>
        <w:t>23, new dual direction overtaking lanes were delivered 27 kilometres west of Townsville at Woodstock. An eastbound overtaking lane to complement an existing westbound overtaking lane 67 kilometres west of Townsville at Mingela Range was also delivered. Along with wide centerline treatments on approaches to the overtaking lanes, and culvert widening to accommodate the newly widened pavement.</w:t>
      </w:r>
    </w:p>
    <w:p w14:paraId="52D8724E" w14:textId="77777777" w:rsidR="00805A93" w:rsidRDefault="00805A93" w:rsidP="00805A93">
      <w:r w:rsidRPr="00930667">
        <w:t xml:space="preserve">These new overtaking opportunities will allow vehicles to safely pass slow-moving vehicles on this section of </w:t>
      </w:r>
      <w:r>
        <w:t>the Flinders H</w:t>
      </w:r>
      <w:r w:rsidRPr="00930667">
        <w:t>ighway.</w:t>
      </w:r>
    </w:p>
    <w:p w14:paraId="54A60914" w14:textId="77777777" w:rsidR="00805A93" w:rsidRDefault="00805A93" w:rsidP="00805A93">
      <w:r>
        <w:t xml:space="preserve">In early 2023, crews completed construction of two new eastbound lanes at Woodstock and switched traffic to the new alignment to allow the existing highway to be widened. </w:t>
      </w:r>
    </w:p>
    <w:p w14:paraId="00B72FF1" w14:textId="77777777" w:rsidR="00805A93" w:rsidRDefault="00805A93" w:rsidP="00805A93">
      <w:r>
        <w:t>At the Mingela Range site, culverts were widened under the existing highway to allow for the construction of the new eastbound overtaking lane.</w:t>
      </w:r>
    </w:p>
    <w:p w14:paraId="0EB6E4B4" w14:textId="77777777" w:rsidR="00805A93" w:rsidRDefault="00805A93" w:rsidP="00805A93">
      <w:r>
        <w:t xml:space="preserve">This $33.39 million project was jointly funded by the Australian and Queensland governments on an 80:20 (federal:state) basis. </w:t>
      </w:r>
    </w:p>
    <w:p w14:paraId="1970910E" w14:textId="77777777" w:rsidR="00805A93" w:rsidRDefault="00805A93" w:rsidP="00805A93">
      <w:pPr>
        <w:pStyle w:val="ForMoreInformation"/>
      </w:pPr>
      <w:r>
        <w:t>For more information</w:t>
      </w:r>
      <w:r>
        <w:br/>
      </w:r>
      <w:hyperlink r:id="rId32" w:history="1">
        <w:r w:rsidRPr="00EA728D">
          <w:rPr>
            <w:rStyle w:val="Hyperlink"/>
          </w:rPr>
          <w:t>https://www.tmr.qld.gov.au/projects/flinders-highway-townsville-charters-towers-townsville-to-mingela-range-package-1-and-2</w:t>
        </w:r>
      </w:hyperlink>
    </w:p>
    <w:p w14:paraId="48FF1A2E" w14:textId="77777777" w:rsidR="00E6328B" w:rsidRDefault="00E6328B">
      <w:pPr>
        <w:spacing w:before="0" w:after="160" w:line="259" w:lineRule="auto"/>
        <w:rPr>
          <w:rFonts w:eastAsiaTheme="majorEastAsia" w:cstheme="majorBidi"/>
          <w:iCs/>
          <w:color w:val="0D0D0D" w:themeColor="text1" w:themeTint="F2"/>
          <w:sz w:val="24"/>
        </w:rPr>
      </w:pPr>
      <w:r>
        <w:br w:type="page"/>
      </w:r>
    </w:p>
    <w:p w14:paraId="0E7985E4" w14:textId="682405CB" w:rsidR="00805A93" w:rsidRPr="00DC1A33" w:rsidRDefault="00805A93" w:rsidP="00805A93">
      <w:pPr>
        <w:pStyle w:val="Heading4"/>
      </w:pPr>
      <w:r>
        <w:lastRenderedPageBreak/>
        <w:t>Townsville Connection Road (Idalia), University Road to Bowen Road Bridge (Stuart Drive)</w:t>
      </w:r>
    </w:p>
    <w:p w14:paraId="671235B5" w14:textId="77777777" w:rsidR="00805A93" w:rsidRDefault="00805A93" w:rsidP="00805A93">
      <w:r>
        <w:t>In August 2022, detailed design was completed on the Townsville Connection Road (Idalia), University Road to Bowen Road Bridge (Stuart Drive), improve safety project.</w:t>
      </w:r>
    </w:p>
    <w:p w14:paraId="40A359F3" w14:textId="77777777" w:rsidR="00805A93" w:rsidRDefault="00805A93" w:rsidP="00805A93">
      <w:r>
        <w:t>The project will:</w:t>
      </w:r>
    </w:p>
    <w:p w14:paraId="55BEA4BB" w14:textId="77777777" w:rsidR="00805A93" w:rsidRDefault="00805A93" w:rsidP="00805A93">
      <w:pPr>
        <w:pStyle w:val="ListBullet"/>
      </w:pPr>
      <w:r>
        <w:t>replace the roundabout at the Stuart Drive and Mervyn Crossman Drive/Fairfield Waters Drive intersection with a signalised intersection and signalising the Kokoda Street intersection</w:t>
      </w:r>
    </w:p>
    <w:p w14:paraId="0DC27187" w14:textId="77777777" w:rsidR="00805A93" w:rsidRDefault="00805A93" w:rsidP="00805A93">
      <w:pPr>
        <w:pStyle w:val="ListBullet"/>
      </w:pPr>
      <w:r>
        <w:t>upgrade Stuart Drive to four lanes between University Road and Bowen Road bridge including upgrading the Gartrell Drive intersection to a signalised intersection</w:t>
      </w:r>
    </w:p>
    <w:p w14:paraId="778A087A" w14:textId="77777777" w:rsidR="00805A93" w:rsidRDefault="00805A93" w:rsidP="00805A93">
      <w:pPr>
        <w:pStyle w:val="ListBullet"/>
      </w:pPr>
      <w:r>
        <w:t>upgrade safety for pedestrians and bike riders with wider paths, better connections, and safer crossings.</w:t>
      </w:r>
    </w:p>
    <w:p w14:paraId="0574389E" w14:textId="77777777" w:rsidR="00805A93" w:rsidRDefault="00805A93" w:rsidP="00805A93">
      <w:r>
        <w:t>TMR commenced early works in February 2023 and the construction tender was called in May 2023 with construction expected to start in the second half of 2023.</w:t>
      </w:r>
    </w:p>
    <w:p w14:paraId="56ACC875" w14:textId="77777777" w:rsidR="00805A93" w:rsidRDefault="00805A93" w:rsidP="00805A93">
      <w:r>
        <w:t xml:space="preserve">This $96 million project is fully funded by the Queensland Government. </w:t>
      </w:r>
    </w:p>
    <w:p w14:paraId="3D932026" w14:textId="77777777" w:rsidR="00805A93" w:rsidRPr="00597DCD" w:rsidRDefault="00805A93" w:rsidP="00805A93">
      <w:pPr>
        <w:pStyle w:val="ForMoreInformation"/>
        <w:rPr>
          <w:rStyle w:val="Hyperlink"/>
        </w:rPr>
      </w:pPr>
      <w:r>
        <w:t>For more information</w:t>
      </w:r>
      <w:r>
        <w:br/>
      </w:r>
      <w:r w:rsidRPr="00597DCD">
        <w:rPr>
          <w:rStyle w:val="Hyperlink"/>
        </w:rPr>
        <w:t>https://www.tmr.qld.gov.au/projects/townsville-connection-road-idalia-university-road-to-bowen-road-bridge-improve-safety</w:t>
      </w:r>
    </w:p>
    <w:p w14:paraId="50451E02" w14:textId="77777777" w:rsidR="00805A93" w:rsidRPr="00DC1A33" w:rsidRDefault="00805A93" w:rsidP="00805A93">
      <w:pPr>
        <w:pStyle w:val="Heading4"/>
      </w:pPr>
      <w:r>
        <w:t>Gregory Developmental Road (Charters Towers - Lynd), package of works</w:t>
      </w:r>
    </w:p>
    <w:p w14:paraId="069D0228" w14:textId="77777777" w:rsidR="00805A93" w:rsidRDefault="00805A93" w:rsidP="00805A93">
      <w:r>
        <w:t>The Gregory Developmental Road (Charters Towers to the Lynd) package of works comprises three separate projects undertaken by RoadTek that involved strengthening and widening 11 kilometres of existing narrow sections of Gregory Developmental Road and installing a new culvert near Porphyry Road to improve drainage and flood resilience.</w:t>
      </w:r>
    </w:p>
    <w:p w14:paraId="50685A53" w14:textId="77777777" w:rsidR="00805A93" w:rsidRDefault="00805A93" w:rsidP="00805A93">
      <w:r>
        <w:t xml:space="preserve">The project to upgrade the culvert near Porphyry Road was completed in November 2022. </w:t>
      </w:r>
    </w:p>
    <w:p w14:paraId="4E5DF8EB" w14:textId="77777777" w:rsidR="00805A93" w:rsidRDefault="00805A93" w:rsidP="00805A93">
      <w:r>
        <w:t xml:space="preserve">The project to widen and strengthen seven kilometres of road, between Marble Creek and Christmas Creek, was completed in December 2022. </w:t>
      </w:r>
    </w:p>
    <w:p w14:paraId="06233640" w14:textId="77777777" w:rsidR="00805A93" w:rsidRDefault="00805A93" w:rsidP="00805A93">
      <w:r>
        <w:t>The project to widen and strengthen four kilometres of pavement, between Airport Drive and Redbank Creek, was completed in June 2023.</w:t>
      </w:r>
    </w:p>
    <w:p w14:paraId="0FE4F7CA" w14:textId="77777777" w:rsidR="00805A93" w:rsidRDefault="00805A93" w:rsidP="00805A93">
      <w:r w:rsidRPr="00EB43FB">
        <w:t xml:space="preserve">These works will improve safety and efficiency for all road users, particularly the large proportion of heavy vehicles </w:t>
      </w:r>
      <w:r>
        <w:t>that</w:t>
      </w:r>
      <w:r w:rsidRPr="00EB43FB">
        <w:t xml:space="preserve"> travel the inland route.</w:t>
      </w:r>
    </w:p>
    <w:p w14:paraId="5E02BF3F" w14:textId="77777777" w:rsidR="00805A93" w:rsidRDefault="00805A93" w:rsidP="00805A93">
      <w:r>
        <w:t xml:space="preserve">This $45.41 million package of projects was jointly funded by the Australian and Queensland governments on a 70:30 (federal:state) basis. </w:t>
      </w:r>
    </w:p>
    <w:p w14:paraId="2A6FBCF0" w14:textId="77777777" w:rsidR="00805A93" w:rsidRDefault="00805A93" w:rsidP="00805A93">
      <w:pPr>
        <w:pStyle w:val="ForMoreInformation"/>
      </w:pPr>
      <w:r>
        <w:t>For more information</w:t>
      </w:r>
      <w:r>
        <w:br/>
      </w:r>
      <w:hyperlink r:id="rId33" w:history="1">
        <w:r>
          <w:rPr>
            <w:rStyle w:val="Hyperlink"/>
          </w:rPr>
          <w:t>https://www.tmr.qld.gov.au/projects/gregory-developmental-road-charters-towers-lynd-package-of-works</w:t>
        </w:r>
      </w:hyperlink>
    </w:p>
    <w:p w14:paraId="4B40AB05" w14:textId="77777777" w:rsidR="00E6328B" w:rsidRDefault="00E6328B">
      <w:pPr>
        <w:spacing w:before="0" w:after="160" w:line="259" w:lineRule="auto"/>
        <w:rPr>
          <w:rFonts w:eastAsiaTheme="majorEastAsia" w:cstheme="majorBidi"/>
          <w:color w:val="000000" w:themeColor="text1"/>
          <w:sz w:val="32"/>
          <w:szCs w:val="24"/>
        </w:rPr>
      </w:pPr>
      <w:r>
        <w:br w:type="page"/>
      </w:r>
    </w:p>
    <w:p w14:paraId="1BB00FFE" w14:textId="573299BC" w:rsidR="00805A93" w:rsidRDefault="00805A93" w:rsidP="00805A93">
      <w:pPr>
        <w:pStyle w:val="Heading3"/>
      </w:pPr>
      <w:r>
        <w:lastRenderedPageBreak/>
        <w:t xml:space="preserve">Mackay Whitsunday </w:t>
      </w:r>
    </w:p>
    <w:p w14:paraId="4C623DB8" w14:textId="77777777" w:rsidR="00805A93" w:rsidRDefault="00805A93" w:rsidP="00591E7C">
      <w:pPr>
        <w:pStyle w:val="Heading4"/>
      </w:pPr>
      <w:r>
        <w:t xml:space="preserve">Fast Facts </w:t>
      </w:r>
    </w:p>
    <w:p w14:paraId="6FE68964" w14:textId="77777777" w:rsidR="00805A93" w:rsidRDefault="00805A93" w:rsidP="00805A93">
      <w:pPr>
        <w:pStyle w:val="ListBullet"/>
      </w:pPr>
      <w:r>
        <w:t>2682 Kilometres State-controlled road</w:t>
      </w:r>
      <w:r>
        <w:footnoteReference w:id="13"/>
      </w:r>
    </w:p>
    <w:p w14:paraId="7A31C174" w14:textId="77777777" w:rsidR="00805A93" w:rsidRDefault="00805A93" w:rsidP="00805A93">
      <w:pPr>
        <w:pStyle w:val="ListBullet"/>
      </w:pPr>
      <w:r>
        <w:t>451 Kilometres National Land Transport Network</w:t>
      </w:r>
      <w:r>
        <w:footnoteReference w:id="14"/>
      </w:r>
      <w:r>
        <w:t xml:space="preserve"> </w:t>
      </w:r>
    </w:p>
    <w:p w14:paraId="61D7705B" w14:textId="77777777" w:rsidR="00805A93" w:rsidRDefault="00805A93" w:rsidP="00805A93">
      <w:pPr>
        <w:pStyle w:val="ListBullet"/>
      </w:pPr>
      <w:r>
        <w:t xml:space="preserve">250,219 Vehicle and machinery registrations </w:t>
      </w:r>
    </w:p>
    <w:p w14:paraId="20FE3E95" w14:textId="77777777" w:rsidR="00805A93" w:rsidRDefault="00805A93" w:rsidP="00805A93">
      <w:pPr>
        <w:pStyle w:val="ListBullet"/>
      </w:pPr>
      <w:r>
        <w:t xml:space="preserve">51 Boating infrastructures </w:t>
      </w:r>
    </w:p>
    <w:p w14:paraId="54B3A6B4" w14:textId="77777777" w:rsidR="00805A93" w:rsidRDefault="00805A93" w:rsidP="00805A93">
      <w:pPr>
        <w:pStyle w:val="ListBullet"/>
      </w:pPr>
      <w:r>
        <w:t xml:space="preserve">15 Community safety events held </w:t>
      </w:r>
    </w:p>
    <w:p w14:paraId="0B0F39A9" w14:textId="77777777" w:rsidR="00805A93" w:rsidRDefault="00805A93" w:rsidP="00805A93">
      <w:pPr>
        <w:pStyle w:val="ListBullet"/>
      </w:pPr>
      <w:r>
        <w:t xml:space="preserve">4345 Vehicle and machinery inspections completed </w:t>
      </w:r>
    </w:p>
    <w:p w14:paraId="6223BBF2" w14:textId="77777777" w:rsidR="00805A93" w:rsidRDefault="00805A93" w:rsidP="00805A93">
      <w:pPr>
        <w:pStyle w:val="ListBullet"/>
      </w:pPr>
      <w:r>
        <w:t>311 Bridges</w:t>
      </w:r>
      <w:r>
        <w:footnoteReference w:id="15"/>
      </w:r>
      <w:r>
        <w:t xml:space="preserve"> </w:t>
      </w:r>
    </w:p>
    <w:p w14:paraId="0FEE0B8F" w14:textId="77777777" w:rsidR="00805A93" w:rsidRDefault="00805A93" w:rsidP="00805A93">
      <w:pPr>
        <w:pStyle w:val="ListBullet"/>
      </w:pPr>
      <w:r>
        <w:t xml:space="preserve">4946 Driver licence tests conducted </w:t>
      </w:r>
    </w:p>
    <w:p w14:paraId="3A3E1BDB" w14:textId="77777777" w:rsidR="00805A93" w:rsidRDefault="00805A93" w:rsidP="00805A93">
      <w:pPr>
        <w:pStyle w:val="ListBullet"/>
      </w:pPr>
      <w:r>
        <w:t xml:space="preserve">142,360 Customer face-to-face interactions </w:t>
      </w:r>
    </w:p>
    <w:p w14:paraId="7BBF6F28" w14:textId="77777777" w:rsidR="00805A93" w:rsidRDefault="00805A93" w:rsidP="00805A93">
      <w:pPr>
        <w:pStyle w:val="ListBullet"/>
      </w:pPr>
      <w:r>
        <w:t xml:space="preserve">60 Priority-enabled intersections </w:t>
      </w:r>
    </w:p>
    <w:p w14:paraId="7A18401F" w14:textId="77777777" w:rsidR="00805A93" w:rsidRDefault="00805A93" w:rsidP="00805A93">
      <w:pPr>
        <w:pStyle w:val="ListBullet"/>
      </w:pPr>
      <w:r>
        <w:t xml:space="preserve">90,140 Kilometres Squared Area covered </w:t>
      </w:r>
    </w:p>
    <w:p w14:paraId="0F60E95D" w14:textId="77777777" w:rsidR="00805A93" w:rsidRPr="00DF4279" w:rsidRDefault="00805A93" w:rsidP="00805A93">
      <w:pPr>
        <w:pStyle w:val="ListBullet"/>
      </w:pPr>
      <w:r>
        <w:t>3.50 per cent Population of Queensland</w:t>
      </w:r>
      <w:r>
        <w:footnoteReference w:id="16"/>
      </w:r>
    </w:p>
    <w:p w14:paraId="13E55141" w14:textId="77777777" w:rsidR="00805A93" w:rsidRPr="000D6E7A" w:rsidRDefault="00805A93" w:rsidP="00805A93">
      <w:pPr>
        <w:pStyle w:val="Heading4"/>
      </w:pPr>
      <w:r w:rsidRPr="000D6E7A">
        <w:t xml:space="preserve">Bruce Highway (Bowen – Ayr), construct overtaking lanes </w:t>
      </w:r>
    </w:p>
    <w:p w14:paraId="5F6AF47E" w14:textId="77777777" w:rsidR="00805A93" w:rsidRPr="000D6E7A" w:rsidRDefault="00805A93" w:rsidP="00805A93">
      <w:r w:rsidRPr="000D6E7A">
        <w:t xml:space="preserve">Works to construct seven new overtaking lanes on the Bruce Highway, between Bowen and Ayr, </w:t>
      </w:r>
      <w:r>
        <w:t>were</w:t>
      </w:r>
      <w:r w:rsidRPr="000D6E7A">
        <w:t xml:space="preserve"> completed in December 2022, improving safety and efficiency for all road users.</w:t>
      </w:r>
    </w:p>
    <w:p w14:paraId="2532635C" w14:textId="77777777" w:rsidR="00805A93" w:rsidRPr="000D6E7A" w:rsidRDefault="00805A93" w:rsidP="00805A93">
      <w:r w:rsidRPr="000D6E7A">
        <w:t>The new overtaking lanes, including four northbound and three southbound, have increased the number of safe overtaking opportunities along a 115</w:t>
      </w:r>
      <w:r>
        <w:t xml:space="preserve"> </w:t>
      </w:r>
      <w:r w:rsidRPr="000D6E7A">
        <w:t>kilometre stretch of the Bruce Highway, reducing travel times and improving traffic flow in this area.</w:t>
      </w:r>
    </w:p>
    <w:p w14:paraId="191A953E" w14:textId="77777777" w:rsidR="00805A93" w:rsidRDefault="00805A93" w:rsidP="00805A93">
      <w:r w:rsidRPr="000D6E7A">
        <w:t>Safety improvements delivered included</w:t>
      </w:r>
      <w:r>
        <w:t>:</w:t>
      </w:r>
      <w:r w:rsidRPr="000D6E7A">
        <w:t xml:space="preserve"> </w:t>
      </w:r>
    </w:p>
    <w:p w14:paraId="2BDC36AE" w14:textId="77777777" w:rsidR="00805A93" w:rsidRDefault="00805A93" w:rsidP="00805A93">
      <w:pPr>
        <w:pStyle w:val="ListBullet"/>
      </w:pPr>
      <w:r w:rsidRPr="000D6E7A">
        <w:t>widening the road</w:t>
      </w:r>
    </w:p>
    <w:p w14:paraId="3A2A6BCE" w14:textId="77777777" w:rsidR="00805A93" w:rsidRDefault="00805A93" w:rsidP="00805A93">
      <w:pPr>
        <w:pStyle w:val="ListBullet"/>
      </w:pPr>
      <w:r w:rsidRPr="000D6E7A">
        <w:t>installing wide centre line treatments</w:t>
      </w:r>
    </w:p>
    <w:p w14:paraId="08769954" w14:textId="77777777" w:rsidR="00805A93" w:rsidRPr="000D6E7A" w:rsidRDefault="00805A93" w:rsidP="00805A93">
      <w:pPr>
        <w:pStyle w:val="ListBullet"/>
      </w:pPr>
      <w:r w:rsidRPr="000D6E7A">
        <w:t>removing roadside hazards at four locations, including West Euri Road to Abbott Point Road, North of Armstrong Creek, between Arrow Creek and Slater Creek, and South of Plain Creek.</w:t>
      </w:r>
    </w:p>
    <w:p w14:paraId="48E4D6AD" w14:textId="77777777" w:rsidR="00805A93" w:rsidRPr="000D6E7A" w:rsidRDefault="00805A93" w:rsidP="00805A93">
      <w:r w:rsidRPr="000D6E7A">
        <w:t xml:space="preserve">This </w:t>
      </w:r>
      <w:r>
        <w:t xml:space="preserve">$42.39 </w:t>
      </w:r>
      <w:r w:rsidRPr="000D6E7A">
        <w:t>million project was fully funded by the Australian Government.</w:t>
      </w:r>
    </w:p>
    <w:p w14:paraId="0E0C764E" w14:textId="77777777" w:rsidR="00805A93" w:rsidRPr="003639A3" w:rsidRDefault="00805A93" w:rsidP="00805A93">
      <w:pPr>
        <w:pStyle w:val="ForMoreInformation"/>
      </w:pPr>
      <w:r w:rsidRPr="000D6E7A">
        <w:t>For more information</w:t>
      </w:r>
      <w:r>
        <w:br/>
      </w:r>
      <w:hyperlink r:id="rId34" w:history="1">
        <w:r w:rsidRPr="00354152">
          <w:rPr>
            <w:rStyle w:val="Hyperlink"/>
          </w:rPr>
          <w:t>https://www.tmr.qld.gov.au/projects/bruce-highway-bowen-ayr-construct-overtaking-lanes</w:t>
        </w:r>
      </w:hyperlink>
      <w:r>
        <w:t xml:space="preserve"> </w:t>
      </w:r>
    </w:p>
    <w:p w14:paraId="0F233E71" w14:textId="77777777" w:rsidR="00805A93" w:rsidRPr="00983201" w:rsidRDefault="00805A93" w:rsidP="00805A93">
      <w:pPr>
        <w:pStyle w:val="Heading4"/>
      </w:pPr>
      <w:r>
        <w:t>Mackay Ring Road to Bald Hill Road connection</w:t>
      </w:r>
    </w:p>
    <w:p w14:paraId="561F400E" w14:textId="77777777" w:rsidR="00805A93" w:rsidRPr="00224495" w:rsidRDefault="00805A93" w:rsidP="00805A93">
      <w:r w:rsidRPr="00224495">
        <w:t>Following construction of the 11.3</w:t>
      </w:r>
      <w:r>
        <w:t xml:space="preserve"> </w:t>
      </w:r>
      <w:r w:rsidRPr="00224495">
        <w:t xml:space="preserve">kilometre Mackay Ring Road, works </w:t>
      </w:r>
      <w:r>
        <w:t>commenced</w:t>
      </w:r>
      <w:r w:rsidRPr="00224495">
        <w:t xml:space="preserve"> in November 2022 to build the connection between the ring road and Bald Hill Road, further </w:t>
      </w:r>
      <w:r>
        <w:t>improv</w:t>
      </w:r>
      <w:r w:rsidRPr="00224495">
        <w:t>ing capacity, safety</w:t>
      </w:r>
      <w:r>
        <w:t>,</w:t>
      </w:r>
      <w:r w:rsidRPr="00224495">
        <w:t xml:space="preserve"> and network accessibility in Mackay. </w:t>
      </w:r>
    </w:p>
    <w:p w14:paraId="07E92C1C" w14:textId="77777777" w:rsidR="00805A93" w:rsidRPr="00224495" w:rsidRDefault="00805A93" w:rsidP="00805A93">
      <w:r w:rsidRPr="00224495">
        <w:t>The project connects the Bruce Highway at Glenella, north of Mackay</w:t>
      </w:r>
      <w:r>
        <w:t>,</w:t>
      </w:r>
      <w:r w:rsidRPr="00224495">
        <w:t xml:space="preserve"> and will duplicate the highway between the ring road and Bald Hill Road, build two new overpass bridges</w:t>
      </w:r>
      <w:r>
        <w:t xml:space="preserve"> and</w:t>
      </w:r>
      <w:r w:rsidRPr="00224495">
        <w:t xml:space="preserve"> a new port rail line overpass</w:t>
      </w:r>
      <w:r>
        <w:t>,</w:t>
      </w:r>
      <w:r w:rsidRPr="00224495">
        <w:t xml:space="preserve"> and upgrade the Bald Hill Road intersection.</w:t>
      </w:r>
    </w:p>
    <w:p w14:paraId="174DEB8A" w14:textId="77777777" w:rsidR="00805A93" w:rsidRDefault="00805A93" w:rsidP="00805A93">
      <w:r w:rsidRPr="00224495">
        <w:t>When completed in late</w:t>
      </w:r>
      <w:r>
        <w:t>-</w:t>
      </w:r>
      <w:r w:rsidRPr="00224495">
        <w:t>2024 (weather</w:t>
      </w:r>
      <w:r>
        <w:t xml:space="preserve"> and construction conditions</w:t>
      </w:r>
      <w:r w:rsidRPr="00224495">
        <w:t xml:space="preserve"> permitting)</w:t>
      </w:r>
      <w:r>
        <w:t>,</w:t>
      </w:r>
      <w:r w:rsidRPr="00224495">
        <w:t xml:space="preserve"> the project will link with the future Mackay Port Access project to provide a relatively unimpeded route to and from mining and agricultural areas in the west, north</w:t>
      </w:r>
      <w:r>
        <w:t>,</w:t>
      </w:r>
      <w:r w:rsidRPr="00224495">
        <w:t xml:space="preserve"> and south of Mackay to the Port.</w:t>
      </w:r>
    </w:p>
    <w:p w14:paraId="6EE7E166" w14:textId="77777777" w:rsidR="00E6328B" w:rsidRDefault="00E6328B">
      <w:pPr>
        <w:spacing w:before="0" w:after="160" w:line="259" w:lineRule="auto"/>
      </w:pPr>
      <w:r>
        <w:lastRenderedPageBreak/>
        <w:br w:type="page"/>
      </w:r>
    </w:p>
    <w:p w14:paraId="2351DDE8" w14:textId="7D9C43F4" w:rsidR="00805A93" w:rsidRDefault="00805A93" w:rsidP="00805A93">
      <w:r>
        <w:lastRenderedPageBreak/>
        <w:t xml:space="preserve">This $497.38 million project is jointly funded by the Australian and Queensland governments on an 80:20 (federal:state) basis. </w:t>
      </w:r>
    </w:p>
    <w:p w14:paraId="16BADFC8" w14:textId="77777777" w:rsidR="00805A93" w:rsidRPr="00DA4CFB" w:rsidRDefault="00805A93" w:rsidP="00805A93">
      <w:pPr>
        <w:pStyle w:val="ForMoreInformation"/>
      </w:pPr>
      <w:r w:rsidRPr="00DA4CFB">
        <w:t>For more information</w:t>
      </w:r>
      <w:r>
        <w:br/>
      </w:r>
      <w:r w:rsidRPr="00DA4CFB">
        <w:rPr>
          <w:rStyle w:val="Hyperlink"/>
        </w:rPr>
        <w:t>https://www.tmr.qld.gov.au/projects/mackay-ring-road</w:t>
      </w:r>
    </w:p>
    <w:p w14:paraId="1A27AE9C" w14:textId="77777777" w:rsidR="00805A93" w:rsidRPr="003639A3" w:rsidRDefault="00805A93" w:rsidP="00805A93">
      <w:pPr>
        <w:pStyle w:val="Heading4"/>
      </w:pPr>
      <w:r w:rsidRPr="003639A3">
        <w:t>Hut Creek Bridge Replacement</w:t>
      </w:r>
    </w:p>
    <w:p w14:paraId="7F625DED" w14:textId="77777777" w:rsidR="00805A93" w:rsidRPr="003639A3" w:rsidRDefault="00805A93" w:rsidP="00805A93">
      <w:r w:rsidRPr="003639A3">
        <w:t xml:space="preserve">The Hut Creek Bridge Replacement Project was completed </w:t>
      </w:r>
      <w:r>
        <w:t xml:space="preserve">by RoadTek </w:t>
      </w:r>
      <w:r w:rsidRPr="003639A3">
        <w:t>in December 2022</w:t>
      </w:r>
      <w:r>
        <w:t>,</w:t>
      </w:r>
      <w:r w:rsidRPr="003639A3">
        <w:t xml:space="preserve"> on the Blue Mountain Road. </w:t>
      </w:r>
    </w:p>
    <w:p w14:paraId="7BBA4355" w14:textId="77777777" w:rsidR="00805A93" w:rsidRPr="003639A3" w:rsidRDefault="00805A93" w:rsidP="00805A93">
      <w:r w:rsidRPr="003639A3">
        <w:t>Works involved the removal of the existing two</w:t>
      </w:r>
      <w:r>
        <w:t>-</w:t>
      </w:r>
      <w:r w:rsidRPr="003639A3">
        <w:t xml:space="preserve">span timber bridge and </w:t>
      </w:r>
      <w:r>
        <w:t>construction of</w:t>
      </w:r>
      <w:r w:rsidRPr="003639A3">
        <w:t xml:space="preserve"> a 19</w:t>
      </w:r>
      <w:r>
        <w:t>-</w:t>
      </w:r>
      <w:r w:rsidRPr="003639A3">
        <w:t>m</w:t>
      </w:r>
      <w:r>
        <w:t>etre</w:t>
      </w:r>
      <w:r w:rsidRPr="003639A3">
        <w:t xml:space="preserve"> single</w:t>
      </w:r>
      <w:r>
        <w:t>-</w:t>
      </w:r>
      <w:r w:rsidRPr="003639A3">
        <w:t>span concrete bridge with bored piers.</w:t>
      </w:r>
    </w:p>
    <w:p w14:paraId="33B605FF" w14:textId="77777777" w:rsidR="00805A93" w:rsidRPr="003639A3" w:rsidRDefault="00805A93" w:rsidP="00805A93">
      <w:r w:rsidRPr="003639A3">
        <w:t xml:space="preserve">A sidetrack was built on the downstream side of the original timber bridge to manage </w:t>
      </w:r>
      <w:r>
        <w:t>traffic flow</w:t>
      </w:r>
      <w:r w:rsidRPr="003639A3">
        <w:t xml:space="preserve"> using Blue Mountain Road.</w:t>
      </w:r>
    </w:p>
    <w:p w14:paraId="6910D3B0" w14:textId="77777777" w:rsidR="00805A93" w:rsidRPr="003639A3" w:rsidRDefault="00805A93" w:rsidP="00805A93">
      <w:r w:rsidRPr="003639A3">
        <w:t xml:space="preserve">Hut Creek is an extremely environmentally sensitive area </w:t>
      </w:r>
      <w:r>
        <w:t xml:space="preserve">with </w:t>
      </w:r>
      <w:r w:rsidRPr="003639A3">
        <w:t xml:space="preserve">platypus and fish habitat. Careful planning and construction of the sidetrack enabled </w:t>
      </w:r>
      <w:r>
        <w:t>TMR</w:t>
      </w:r>
      <w:r w:rsidRPr="003639A3">
        <w:t xml:space="preserve"> to manage and preserve these habitats during the demolition and construction process. </w:t>
      </w:r>
    </w:p>
    <w:p w14:paraId="4595EECA" w14:textId="77777777" w:rsidR="00805A93" w:rsidRPr="00983201" w:rsidRDefault="00805A93" w:rsidP="00805A93">
      <w:r w:rsidRPr="00C2580E">
        <w:t>Regular environmental monitoring of the creek and review of construction practices enabled the safe installation and removal of the sidetrack to allow for the demolition and installation of the structures.</w:t>
      </w:r>
    </w:p>
    <w:p w14:paraId="23F68BC8" w14:textId="77777777" w:rsidR="00805A93" w:rsidRPr="00983201" w:rsidRDefault="00805A93" w:rsidP="00805A93">
      <w:pPr>
        <w:pStyle w:val="Heading4"/>
      </w:pPr>
      <w:r>
        <w:t>Mackay Northern Access Upgrade, construct additional lanes</w:t>
      </w:r>
    </w:p>
    <w:p w14:paraId="445D4DAD" w14:textId="77777777" w:rsidR="00805A93" w:rsidRPr="00166089" w:rsidRDefault="00805A93" w:rsidP="00805A93">
      <w:r>
        <w:t xml:space="preserve">A major upgrade to the </w:t>
      </w:r>
      <w:r w:rsidRPr="00166089">
        <w:t xml:space="preserve">northern entry into Mackay via the Bruce Highway </w:t>
      </w:r>
      <w:r>
        <w:t>was</w:t>
      </w:r>
      <w:r w:rsidRPr="00166089">
        <w:t xml:space="preserve"> completed in October 2022.</w:t>
      </w:r>
    </w:p>
    <w:p w14:paraId="4A79AD67" w14:textId="77777777" w:rsidR="00805A93" w:rsidRPr="00166089" w:rsidRDefault="00805A93" w:rsidP="00805A93">
      <w:r w:rsidRPr="00166089">
        <w:t>Delivering additional lanes from Ron Camm Bridge to Bald Hill Road</w:t>
      </w:r>
      <w:r>
        <w:t>,</w:t>
      </w:r>
      <w:r w:rsidRPr="00166089">
        <w:t xml:space="preserve"> with intersections upgraded and new bridges constructed, the project </w:t>
      </w:r>
      <w:r>
        <w:t>has delivered</w:t>
      </w:r>
      <w:r w:rsidRPr="00166089">
        <w:t xml:space="preserve"> significant improvements in safety while reducing congestion and boosting traffic flow</w:t>
      </w:r>
      <w:r>
        <w:t xml:space="preserve"> in the area</w:t>
      </w:r>
      <w:r w:rsidRPr="00166089">
        <w:t xml:space="preserve">. </w:t>
      </w:r>
    </w:p>
    <w:p w14:paraId="38FE342A" w14:textId="77777777" w:rsidR="00805A93" w:rsidRPr="00166089" w:rsidRDefault="00805A93" w:rsidP="00805A93">
      <w:r w:rsidRPr="00166089">
        <w:t>With Mackay recognised as one of Queensland's fastest</w:t>
      </w:r>
      <w:r>
        <w:t>-</w:t>
      </w:r>
      <w:r w:rsidRPr="00166089">
        <w:t>growing regional towns</w:t>
      </w:r>
      <w:r>
        <w:t>,</w:t>
      </w:r>
      <w:r w:rsidRPr="00166089">
        <w:t xml:space="preserve"> servicing the mining and agriculture industries, this upgrade is assisting Mackay's continued prosperity, supporting the needs of long-distance freight vehicles,</w:t>
      </w:r>
      <w:r>
        <w:t xml:space="preserve"> drive tourism</w:t>
      </w:r>
      <w:r w:rsidRPr="00166089">
        <w:t>, and the increasing local traffic journeying to and from Mackay's northern suburbs.</w:t>
      </w:r>
    </w:p>
    <w:p w14:paraId="0B2410BE" w14:textId="77777777" w:rsidR="00805A93" w:rsidRPr="00166089" w:rsidRDefault="00805A93" w:rsidP="00805A93">
      <w:r w:rsidRPr="00166089">
        <w:t>Th</w:t>
      </w:r>
      <w:r>
        <w:t>is</w:t>
      </w:r>
      <w:r w:rsidRPr="00166089">
        <w:t xml:space="preserve"> </w:t>
      </w:r>
      <w:r>
        <w:t xml:space="preserve">$144.55 </w:t>
      </w:r>
      <w:r w:rsidRPr="00166089">
        <w:t xml:space="preserve">million </w:t>
      </w:r>
      <w:r>
        <w:t>project</w:t>
      </w:r>
      <w:r w:rsidRPr="00166089">
        <w:t xml:space="preserve"> was jointly funded by the Australian and Queensland governments</w:t>
      </w:r>
      <w:r>
        <w:t xml:space="preserve"> on an 80:20 (federal:state) basis</w:t>
      </w:r>
      <w:r w:rsidRPr="00166089">
        <w:t>.</w:t>
      </w:r>
    </w:p>
    <w:p w14:paraId="01A30891" w14:textId="77777777" w:rsidR="00805A93" w:rsidRPr="006E017E" w:rsidRDefault="00805A93" w:rsidP="00805A93">
      <w:pPr>
        <w:pStyle w:val="ForMoreInformation"/>
      </w:pPr>
      <w:r w:rsidRPr="006E017E">
        <w:t>For more information</w:t>
      </w:r>
      <w:r>
        <w:br/>
      </w:r>
      <w:r w:rsidRPr="006F47BB">
        <w:rPr>
          <w:rStyle w:val="Hyperlink"/>
        </w:rPr>
        <w:t>https://www.tmr.qld.gov.au/projects/mackay-northern-access-upgrade-construct-additional-lanes</w:t>
      </w:r>
    </w:p>
    <w:p w14:paraId="668C5759" w14:textId="77777777" w:rsidR="00805A93" w:rsidRPr="00983201" w:rsidRDefault="00805A93" w:rsidP="00805A93">
      <w:pPr>
        <w:pStyle w:val="Heading4"/>
      </w:pPr>
      <w:r>
        <w:t>May Downs Road, pave and seal</w:t>
      </w:r>
    </w:p>
    <w:p w14:paraId="30FFE5C6" w14:textId="77777777" w:rsidR="00805A93" w:rsidRPr="00AF2D8D" w:rsidRDefault="00805A93" w:rsidP="00805A93">
      <w:r w:rsidRPr="00AF2D8D">
        <w:t>Works to pave and seal a five</w:t>
      </w:r>
      <w:r>
        <w:t>-</w:t>
      </w:r>
      <w:r w:rsidRPr="00AF2D8D">
        <w:t>kilometre section of May Downs Road</w:t>
      </w:r>
      <w:r>
        <w:t>,</w:t>
      </w:r>
      <w:r w:rsidRPr="00AF2D8D">
        <w:t xml:space="preserve"> from Carfax Road to Pomegranate Creek Bridge</w:t>
      </w:r>
      <w:r>
        <w:t>,</w:t>
      </w:r>
      <w:r w:rsidRPr="00AF2D8D">
        <w:t xml:space="preserve"> were completed in</w:t>
      </w:r>
      <w:r>
        <w:t xml:space="preserve"> April 2023.</w:t>
      </w:r>
      <w:r w:rsidRPr="00AF2D8D">
        <w:t xml:space="preserve"> </w:t>
      </w:r>
    </w:p>
    <w:p w14:paraId="641EA635" w14:textId="77777777" w:rsidR="00805A93" w:rsidRPr="00AF2D8D" w:rsidRDefault="00805A93" w:rsidP="00805A93">
      <w:r w:rsidRPr="00AF2D8D">
        <w:t xml:space="preserve">May Downs Road is the main east-west link for local commodities, primary producers and the mining sector between eastern centres and Bowen Basin mining communities along Fitzroy Developmental Road. </w:t>
      </w:r>
    </w:p>
    <w:p w14:paraId="06DB31D3" w14:textId="77777777" w:rsidR="00805A93" w:rsidRDefault="00805A93" w:rsidP="00805A93">
      <w:r w:rsidRPr="00AF2D8D">
        <w:t>Sealing this section of road to a width of eight metres and improving drainage has increased safety, efficiency</w:t>
      </w:r>
      <w:r>
        <w:t>,</w:t>
      </w:r>
      <w:r w:rsidRPr="00AF2D8D">
        <w:t xml:space="preserve"> and wet weather access for all road users.</w:t>
      </w:r>
    </w:p>
    <w:p w14:paraId="221314B7" w14:textId="77777777" w:rsidR="00805A93" w:rsidRDefault="00805A93" w:rsidP="00805A93">
      <w:r>
        <w:t>This $8.2s million project was jointly funded by the Australian and Queensland governments on an 80:20 (federal:state) basis</w:t>
      </w:r>
      <w:r w:rsidRPr="005C27D7">
        <w:t xml:space="preserve"> under the Regional Economic Enabling Fund</w:t>
      </w:r>
      <w:r>
        <w:t xml:space="preserve"> and </w:t>
      </w:r>
      <w:r w:rsidRPr="005C27D7">
        <w:t>the Transport System Planning Program</w:t>
      </w:r>
      <w:r>
        <w:t>.</w:t>
      </w:r>
    </w:p>
    <w:p w14:paraId="510E78A3" w14:textId="77777777" w:rsidR="00805A93" w:rsidRPr="00504E2D" w:rsidRDefault="00805A93" w:rsidP="00805A93">
      <w:pPr>
        <w:pStyle w:val="ForMoreInformation"/>
      </w:pPr>
      <w:r w:rsidRPr="00504E2D">
        <w:t>For more information</w:t>
      </w:r>
      <w:r>
        <w:br/>
      </w:r>
      <w:r w:rsidRPr="00504E2D">
        <w:rPr>
          <w:rStyle w:val="Hyperlink"/>
        </w:rPr>
        <w:t>https://www.tmr.qld.gov.au/projects/may-downs-road-pave-and-seal</w:t>
      </w:r>
    </w:p>
    <w:p w14:paraId="46975AD1" w14:textId="77777777" w:rsidR="00E6328B" w:rsidRDefault="00E6328B">
      <w:pPr>
        <w:spacing w:before="0" w:after="160" w:line="259" w:lineRule="auto"/>
        <w:rPr>
          <w:rFonts w:eastAsiaTheme="majorEastAsia" w:cstheme="majorBidi"/>
          <w:iCs/>
          <w:color w:val="0D0D0D" w:themeColor="text1" w:themeTint="F2"/>
          <w:sz w:val="24"/>
        </w:rPr>
      </w:pPr>
      <w:r>
        <w:br w:type="page"/>
      </w:r>
    </w:p>
    <w:p w14:paraId="3336DBFC" w14:textId="50BEE656" w:rsidR="00805A93" w:rsidRPr="00983201" w:rsidRDefault="00805A93" w:rsidP="00805A93">
      <w:pPr>
        <w:pStyle w:val="Heading4"/>
      </w:pPr>
      <w:r>
        <w:lastRenderedPageBreak/>
        <w:t>Bruce Highway (Mackay–Proserpine), Jumper Creek and Knobels Road, upgrade flood immunity, intersection and approaches</w:t>
      </w:r>
    </w:p>
    <w:p w14:paraId="5AA2130F" w14:textId="77777777" w:rsidR="00805A93" w:rsidRPr="00111AB1" w:rsidRDefault="00805A93" w:rsidP="00805A93">
      <w:r w:rsidRPr="00C840A1">
        <w:t xml:space="preserve">Works </w:t>
      </w:r>
      <w:r>
        <w:t xml:space="preserve">continued to </w:t>
      </w:r>
      <w:r w:rsidRPr="00C840A1">
        <w:t xml:space="preserve">improve flood immunity and safety on the Bruce Highway at Jumper Creek and Knobels Road between Mackay and Proserpine. </w:t>
      </w:r>
      <w:r>
        <w:t>These upgrades will provide</w:t>
      </w:r>
      <w:r w:rsidRPr="00C840A1">
        <w:t xml:space="preserve"> long-term benefits for all road users and ensur</w:t>
      </w:r>
      <w:r>
        <w:t>e</w:t>
      </w:r>
      <w:r w:rsidRPr="00C840A1">
        <w:t xml:space="preserve"> another section of the Bruce Highway is safer and more resilient.</w:t>
      </w:r>
    </w:p>
    <w:p w14:paraId="16C20F5A" w14:textId="77777777" w:rsidR="00805A93" w:rsidRPr="00C840A1" w:rsidRDefault="00805A93" w:rsidP="00805A93">
      <w:r w:rsidRPr="00C840A1">
        <w:t>The upgrade is being delivered through two projects</w:t>
      </w:r>
      <w:r>
        <w:t>,</w:t>
      </w:r>
      <w:r w:rsidRPr="00C840A1">
        <w:t xml:space="preserve"> with activities at Jumper Creek focused on raising the floodway by almost one metre, widening the nearby section of the highway to accommodate the addition of wide centre</w:t>
      </w:r>
      <w:r>
        <w:t xml:space="preserve"> </w:t>
      </w:r>
      <w:r w:rsidRPr="00C840A1">
        <w:t xml:space="preserve">line treatments, installing larger culverts, and upgrading drainage structures. </w:t>
      </w:r>
    </w:p>
    <w:p w14:paraId="2DD3AE90" w14:textId="77777777" w:rsidR="00805A93" w:rsidRPr="00F74705" w:rsidRDefault="00805A93" w:rsidP="00805A93">
      <w:r w:rsidRPr="00C840A1">
        <w:t>At the Bruce Highway intersection with Knobels Road, more than one kilometre of the highway is receiving safety improvements</w:t>
      </w:r>
      <w:r>
        <w:t>,</w:t>
      </w:r>
      <w:r w:rsidRPr="00C840A1">
        <w:t xml:space="preserve"> such as </w:t>
      </w:r>
      <w:r>
        <w:t>installing</w:t>
      </w:r>
      <w:r w:rsidRPr="00C840A1">
        <w:t xml:space="preserve"> extended turning lanes, protected turning lanes, new lighting, and a new road surface. </w:t>
      </w:r>
    </w:p>
    <w:p w14:paraId="2CDC8D00" w14:textId="77777777" w:rsidR="00805A93" w:rsidRDefault="00805A93" w:rsidP="00805A93">
      <w:r>
        <w:t xml:space="preserve">These projects, totalling $30 million, are jointly funded by the Australian and Queensland governments on an 80:20 (federal:state) basis under the Bruce Highway Upgrade Program. </w:t>
      </w:r>
    </w:p>
    <w:p w14:paraId="241A05CE" w14:textId="77777777" w:rsidR="00805A93" w:rsidRPr="00983259" w:rsidRDefault="00805A93" w:rsidP="00805A93">
      <w:pPr>
        <w:pStyle w:val="ForMoreInformation"/>
        <w:rPr>
          <w:rStyle w:val="Hyperlink"/>
        </w:rPr>
      </w:pPr>
      <w:r w:rsidRPr="00E73419">
        <w:t>For more information</w:t>
      </w:r>
      <w:r>
        <w:br/>
      </w:r>
      <w:hyperlink r:id="rId35" w:history="1">
        <w:r w:rsidRPr="00EA728D">
          <w:rPr>
            <w:rStyle w:val="Hyperlink"/>
          </w:rPr>
          <w:t>https://www.tmr.qld.gov.au/projects/bruce-highway-mackay-proserpine-jumper-creek-upgrade-flood-immunity</w:t>
        </w:r>
      </w:hyperlink>
      <w:r>
        <w:rPr>
          <w:rStyle w:val="Hyperlink"/>
        </w:rPr>
        <w:br/>
      </w:r>
      <w:r w:rsidRPr="00983259">
        <w:rPr>
          <w:rStyle w:val="Hyperlink"/>
        </w:rPr>
        <w:t>https://www.tmr.qld.gov.au/projects/bruce-highway-mackay-proserpine-knobels-road-upgrade-intersection-and-approaches</w:t>
      </w:r>
    </w:p>
    <w:p w14:paraId="5BC75DC5" w14:textId="77777777" w:rsidR="00C6602D" w:rsidRDefault="00C6602D">
      <w:pPr>
        <w:spacing w:before="0" w:after="160" w:line="259" w:lineRule="auto"/>
        <w:rPr>
          <w:rFonts w:eastAsiaTheme="majorEastAsia" w:cstheme="majorBidi"/>
          <w:color w:val="000000" w:themeColor="text1"/>
          <w:sz w:val="32"/>
          <w:szCs w:val="24"/>
        </w:rPr>
      </w:pPr>
      <w:r>
        <w:br w:type="page"/>
      </w:r>
    </w:p>
    <w:p w14:paraId="3BC319B5" w14:textId="3CE296FE" w:rsidR="00805A93" w:rsidRDefault="00805A93" w:rsidP="00805A93">
      <w:pPr>
        <w:pStyle w:val="Heading3"/>
      </w:pPr>
      <w:r>
        <w:lastRenderedPageBreak/>
        <w:t>Central West</w:t>
      </w:r>
    </w:p>
    <w:p w14:paraId="46BE0E85" w14:textId="77777777" w:rsidR="00805A93" w:rsidRDefault="00805A93" w:rsidP="00591E7C">
      <w:pPr>
        <w:pStyle w:val="Heading4"/>
      </w:pPr>
      <w:r>
        <w:t xml:space="preserve">Fast Facts </w:t>
      </w:r>
    </w:p>
    <w:p w14:paraId="043FCF06" w14:textId="77777777" w:rsidR="00805A93" w:rsidRDefault="00805A93" w:rsidP="00805A93">
      <w:pPr>
        <w:pStyle w:val="ListBullet"/>
      </w:pPr>
      <w:r>
        <w:t>4378 Kilometres State-controlled road</w:t>
      </w:r>
      <w:r>
        <w:footnoteReference w:id="17"/>
      </w:r>
    </w:p>
    <w:p w14:paraId="1EF5D054" w14:textId="77777777" w:rsidR="00805A93" w:rsidRDefault="00805A93" w:rsidP="00805A93">
      <w:pPr>
        <w:pStyle w:val="ListBullet"/>
      </w:pPr>
      <w:r>
        <w:t>693 Kilometres National Land Transport Network</w:t>
      </w:r>
      <w:r>
        <w:footnoteReference w:id="18"/>
      </w:r>
      <w:r>
        <w:t xml:space="preserve"> </w:t>
      </w:r>
    </w:p>
    <w:p w14:paraId="5745F45D" w14:textId="77777777" w:rsidR="00805A93" w:rsidRDefault="00805A93" w:rsidP="00805A93">
      <w:pPr>
        <w:pStyle w:val="ListBullet"/>
      </w:pPr>
      <w:r>
        <w:t xml:space="preserve">20,717 Vehicle and machinery registrations </w:t>
      </w:r>
    </w:p>
    <w:p w14:paraId="31BC896C" w14:textId="77777777" w:rsidR="00805A93" w:rsidRDefault="00805A93" w:rsidP="00805A93">
      <w:pPr>
        <w:pStyle w:val="ListBullet"/>
      </w:pPr>
      <w:r>
        <w:t xml:space="preserve">1 Boating infrastructures </w:t>
      </w:r>
    </w:p>
    <w:p w14:paraId="28F0D4D2" w14:textId="77777777" w:rsidR="00805A93" w:rsidRDefault="00805A93" w:rsidP="00805A93">
      <w:pPr>
        <w:pStyle w:val="ListBullet"/>
      </w:pPr>
      <w:r>
        <w:t xml:space="preserve">4 Community safety events held </w:t>
      </w:r>
    </w:p>
    <w:p w14:paraId="3A2134EF" w14:textId="77777777" w:rsidR="00805A93" w:rsidRDefault="00805A93" w:rsidP="00805A93">
      <w:pPr>
        <w:pStyle w:val="ListBullet"/>
      </w:pPr>
      <w:r>
        <w:t xml:space="preserve">1207 Vehicle and machinery inspections completed </w:t>
      </w:r>
    </w:p>
    <w:p w14:paraId="26F89AF4" w14:textId="77777777" w:rsidR="00805A93" w:rsidRDefault="00805A93" w:rsidP="00805A93">
      <w:pPr>
        <w:pStyle w:val="ListBullet"/>
      </w:pPr>
      <w:r>
        <w:t>78 Bridges</w:t>
      </w:r>
      <w:r>
        <w:footnoteReference w:id="19"/>
      </w:r>
      <w:r>
        <w:t xml:space="preserve"> </w:t>
      </w:r>
    </w:p>
    <w:p w14:paraId="2A5D4C39" w14:textId="77777777" w:rsidR="00805A93" w:rsidRDefault="00805A93" w:rsidP="00805A93">
      <w:pPr>
        <w:pStyle w:val="ListBullet"/>
      </w:pPr>
      <w:r>
        <w:t xml:space="preserve">349 Driver licence tests conducted </w:t>
      </w:r>
    </w:p>
    <w:p w14:paraId="5841E86B" w14:textId="77777777" w:rsidR="00805A93" w:rsidRDefault="00805A93" w:rsidP="00805A93">
      <w:pPr>
        <w:pStyle w:val="ListBullet"/>
      </w:pPr>
      <w:r>
        <w:t xml:space="preserve">11,405 Customer face-to-face interactions </w:t>
      </w:r>
    </w:p>
    <w:p w14:paraId="737E362C" w14:textId="77777777" w:rsidR="00805A93" w:rsidRDefault="00805A93" w:rsidP="00805A93">
      <w:pPr>
        <w:pStyle w:val="ListBullet"/>
      </w:pPr>
      <w:r>
        <w:t xml:space="preserve">7 Priority-enabled intersections </w:t>
      </w:r>
    </w:p>
    <w:p w14:paraId="4BF12600" w14:textId="77777777" w:rsidR="00805A93" w:rsidRDefault="00805A93" w:rsidP="00805A93">
      <w:pPr>
        <w:pStyle w:val="ListBullet"/>
      </w:pPr>
      <w:r>
        <w:t xml:space="preserve">395,765 Kilometres Squared Area covered </w:t>
      </w:r>
    </w:p>
    <w:p w14:paraId="7D4BBD1E" w14:textId="77777777" w:rsidR="00805A93" w:rsidRPr="00225125" w:rsidRDefault="00805A93" w:rsidP="00805A93">
      <w:pPr>
        <w:pStyle w:val="ListBullet"/>
      </w:pPr>
      <w:r>
        <w:t>0.20 per cent Population of Queensland</w:t>
      </w:r>
      <w:r>
        <w:footnoteReference w:id="20"/>
      </w:r>
    </w:p>
    <w:p w14:paraId="5DA3100C" w14:textId="77777777" w:rsidR="00805A93" w:rsidRDefault="00805A93" w:rsidP="00805A93">
      <w:pPr>
        <w:pStyle w:val="Heading4"/>
      </w:pPr>
      <w:r>
        <w:t>Barcaldine–Aramac Road widening</w:t>
      </w:r>
    </w:p>
    <w:p w14:paraId="53AB88C8" w14:textId="77777777" w:rsidR="00805A93" w:rsidRPr="00B17373" w:rsidRDefault="00805A93" w:rsidP="00805A93">
      <w:r w:rsidRPr="00B17373">
        <w:t xml:space="preserve">Works were completed in </w:t>
      </w:r>
      <w:r>
        <w:t>May</w:t>
      </w:r>
      <w:r w:rsidRPr="0095349F">
        <w:t xml:space="preserve"> 2023 </w:t>
      </w:r>
      <w:r w:rsidRPr="00B17373">
        <w:t>to widen 26 kilometres of Barcaldine</w:t>
      </w:r>
      <w:r>
        <w:t>–</w:t>
      </w:r>
      <w:r w:rsidRPr="00B17373">
        <w:t xml:space="preserve">Aramac Road, improving travelling conditions </w:t>
      </w:r>
      <w:r>
        <w:t xml:space="preserve">for road users </w:t>
      </w:r>
      <w:r w:rsidRPr="00B17373">
        <w:t xml:space="preserve">on this key regional route. </w:t>
      </w:r>
    </w:p>
    <w:p w14:paraId="76AB3420" w14:textId="77777777" w:rsidR="00805A93" w:rsidRPr="00B17373" w:rsidRDefault="00805A93" w:rsidP="00805A93">
      <w:r w:rsidRPr="00B17373">
        <w:t xml:space="preserve">The upgrade was delivered through five separate projects </w:t>
      </w:r>
      <w:r>
        <w:t>with</w:t>
      </w:r>
      <w:r w:rsidRPr="00B17373">
        <w:t xml:space="preserve"> more than 70 per cent of the 67</w:t>
      </w:r>
      <w:r>
        <w:t>-kilometre long</w:t>
      </w:r>
      <w:r w:rsidRPr="00B17373">
        <w:t xml:space="preserve"> road now widened to eight metres, increasing safety and</w:t>
      </w:r>
      <w:r>
        <w:t xml:space="preserve"> reducing</w:t>
      </w:r>
      <w:r w:rsidRPr="00B17373">
        <w:t xml:space="preserve"> travel times for motorists. </w:t>
      </w:r>
    </w:p>
    <w:p w14:paraId="20FB96CE" w14:textId="77777777" w:rsidR="00805A93" w:rsidRPr="00B17373" w:rsidRDefault="00805A93" w:rsidP="00805A93">
      <w:r w:rsidRPr="00B17373">
        <w:t>Barcaldine</w:t>
      </w:r>
      <w:r>
        <w:t>–</w:t>
      </w:r>
      <w:r w:rsidRPr="00B17373">
        <w:t>Aramac Road has the highest non-highway traffic volumes in</w:t>
      </w:r>
      <w:r>
        <w:t xml:space="preserve"> C</w:t>
      </w:r>
      <w:r w:rsidRPr="00B17373">
        <w:t xml:space="preserve">entral </w:t>
      </w:r>
      <w:r>
        <w:t>W</w:t>
      </w:r>
      <w:r w:rsidRPr="00B17373">
        <w:t>est</w:t>
      </w:r>
      <w:r>
        <w:t xml:space="preserve"> Queensland</w:t>
      </w:r>
      <w:r w:rsidRPr="00B17373">
        <w:t>, securing vital access to the Flinders Highway in northern Queensland. Its role in opening</w:t>
      </w:r>
      <w:r>
        <w:t xml:space="preserve"> up</w:t>
      </w:r>
      <w:r w:rsidRPr="00B17373">
        <w:t xml:space="preserve"> western Queensland to Townsville and beyond has positioned this road as an important link for rural communities and</w:t>
      </w:r>
      <w:r>
        <w:t xml:space="preserve"> </w:t>
      </w:r>
      <w:r w:rsidRPr="00B17373">
        <w:t xml:space="preserve">agriculture and tourism industries. </w:t>
      </w:r>
    </w:p>
    <w:p w14:paraId="6ED514F4" w14:textId="77777777" w:rsidR="00805A93" w:rsidRDefault="00805A93" w:rsidP="00805A93">
      <w:r w:rsidRPr="00B17373">
        <w:t>Th</w:t>
      </w:r>
      <w:r>
        <w:t xml:space="preserve">is $22.39 million package of </w:t>
      </w:r>
      <w:r w:rsidRPr="00B17373">
        <w:t xml:space="preserve">projects </w:t>
      </w:r>
      <w:r w:rsidRPr="000376F7">
        <w:t>was</w:t>
      </w:r>
      <w:r>
        <w:t xml:space="preserve"> jointly</w:t>
      </w:r>
      <w:r w:rsidRPr="000376F7">
        <w:t xml:space="preserve"> funded by the Australian and Queensland governments.</w:t>
      </w:r>
    </w:p>
    <w:p w14:paraId="7F91D6B6" w14:textId="77777777" w:rsidR="00805A93" w:rsidRPr="007A3E6F" w:rsidRDefault="00805A93" w:rsidP="00805A93">
      <w:pPr>
        <w:pStyle w:val="ForMoreInformation"/>
      </w:pPr>
      <w:r w:rsidRPr="007A3E6F">
        <w:t>For more information</w:t>
      </w:r>
      <w:r>
        <w:br/>
      </w:r>
      <w:r w:rsidRPr="007A3E6F">
        <w:rPr>
          <w:rStyle w:val="Hyperlink"/>
        </w:rPr>
        <w:t>https://www.tmr.qld.gov.au/projects/barcaldine-aramac-road-rehabilitate-and-widen#:~:text=During%202021%2C%20almost%2020km%20of,2.5km%20of%20the%20road</w:t>
      </w:r>
    </w:p>
    <w:p w14:paraId="18E710E9" w14:textId="77777777" w:rsidR="00805A93" w:rsidRDefault="00805A93" w:rsidP="00805A93">
      <w:pPr>
        <w:pStyle w:val="Heading4"/>
      </w:pPr>
      <w:r>
        <w:t>Eyre Developmental Road (Bedourie–Birdsville), pave and seal</w:t>
      </w:r>
    </w:p>
    <w:p w14:paraId="738079CE" w14:textId="77777777" w:rsidR="00805A93" w:rsidRPr="005C3DB2" w:rsidRDefault="00805A93" w:rsidP="00805A93">
      <w:r w:rsidRPr="005C3DB2">
        <w:t xml:space="preserve">Around 35 kilometres of dirt road between Bedourie and Birdsville has been sealed as part of </w:t>
      </w:r>
      <w:r>
        <w:t>the</w:t>
      </w:r>
      <w:r w:rsidRPr="005C3DB2">
        <w:t xml:space="preserve"> progressive upgrade of Eyre Developmental Road.</w:t>
      </w:r>
    </w:p>
    <w:p w14:paraId="22CDD8C3" w14:textId="77777777" w:rsidR="00805A93" w:rsidRPr="005C3DB2" w:rsidRDefault="00805A93" w:rsidP="00805A93">
      <w:r>
        <w:t>A</w:t>
      </w:r>
      <w:r w:rsidRPr="005C3DB2">
        <w:t xml:space="preserve"> key inland transport corridor for the cattle, freight</w:t>
      </w:r>
      <w:r>
        <w:t>,</w:t>
      </w:r>
      <w:r w:rsidRPr="005C3DB2">
        <w:t xml:space="preserve"> and mining industries, </w:t>
      </w:r>
      <w:r>
        <w:t xml:space="preserve">Eyre Developmental Road also </w:t>
      </w:r>
      <w:r w:rsidRPr="005C3DB2">
        <w:t>link</w:t>
      </w:r>
      <w:r>
        <w:t>s</w:t>
      </w:r>
      <w:r w:rsidRPr="005C3DB2">
        <w:t xml:space="preserve"> tourists with outback Queensland where </w:t>
      </w:r>
      <w:r>
        <w:t>the road</w:t>
      </w:r>
      <w:r w:rsidRPr="005C3DB2">
        <w:t xml:space="preserve"> connects with the South Australian border, continuing as the Birdsville Track. </w:t>
      </w:r>
    </w:p>
    <w:p w14:paraId="4E016D4E" w14:textId="77777777" w:rsidR="00805A93" w:rsidRPr="005C3DB2" w:rsidRDefault="00805A93" w:rsidP="00805A93">
      <w:r w:rsidRPr="005C3DB2">
        <w:t xml:space="preserve">The upgrade was delivered through three separate projects with works completed in December 2022. </w:t>
      </w:r>
    </w:p>
    <w:p w14:paraId="27CB3995" w14:textId="77777777" w:rsidR="00805A93" w:rsidRPr="005C3DB2" w:rsidRDefault="00805A93" w:rsidP="00805A93">
      <w:r w:rsidRPr="005C3DB2">
        <w:lastRenderedPageBreak/>
        <w:t xml:space="preserve">Various sections of the road </w:t>
      </w:r>
      <w:r>
        <w:t xml:space="preserve">were </w:t>
      </w:r>
      <w:r w:rsidRPr="005C3DB2">
        <w:t>paved and sealed to a width of six metres, with road furniture upgraded</w:t>
      </w:r>
      <w:r>
        <w:t>,</w:t>
      </w:r>
      <w:r w:rsidRPr="005C3DB2">
        <w:t xml:space="preserve"> including signs and depth indicators at floodways. </w:t>
      </w:r>
    </w:p>
    <w:p w14:paraId="3A6CC05A" w14:textId="77777777" w:rsidR="00805A93" w:rsidRPr="005C3DB2" w:rsidRDefault="00805A93" w:rsidP="00805A93">
      <w:r w:rsidRPr="005C3DB2">
        <w:t>Th</w:t>
      </w:r>
      <w:r>
        <w:t>is</w:t>
      </w:r>
      <w:r w:rsidRPr="005C3DB2">
        <w:t xml:space="preserve"> </w:t>
      </w:r>
      <w:r>
        <w:t xml:space="preserve">$19 million package of </w:t>
      </w:r>
      <w:r w:rsidRPr="005C3DB2">
        <w:t xml:space="preserve">projects </w:t>
      </w:r>
      <w:r w:rsidRPr="006009D7">
        <w:t xml:space="preserve">was </w:t>
      </w:r>
      <w:r>
        <w:t>jointly funded by</w:t>
      </w:r>
      <w:r w:rsidRPr="006009D7">
        <w:t xml:space="preserve"> the Australian and Queensland </w:t>
      </w:r>
      <w:r w:rsidRPr="005C3DB2">
        <w:t>governments.</w:t>
      </w:r>
      <w:r w:rsidRPr="006009D7">
        <w:t xml:space="preserve"> </w:t>
      </w:r>
    </w:p>
    <w:p w14:paraId="791C1183" w14:textId="77777777" w:rsidR="00805A93" w:rsidRPr="00706098" w:rsidRDefault="00805A93" w:rsidP="00805A93">
      <w:pPr>
        <w:pStyle w:val="ForMoreInformation"/>
      </w:pPr>
      <w:r w:rsidRPr="00706098">
        <w:t>For more information</w:t>
      </w:r>
      <w:r>
        <w:br/>
      </w:r>
      <w:r w:rsidRPr="00E671C1">
        <w:rPr>
          <w:rStyle w:val="Hyperlink"/>
        </w:rPr>
        <w:t>https://www.tmr.qld.gov.au/projects/eyre-developmental-road-bedourie-birdsville-pave-and-seal</w:t>
      </w:r>
    </w:p>
    <w:p w14:paraId="44D8C01B" w14:textId="77777777" w:rsidR="00805A93" w:rsidRPr="006D3D3D" w:rsidRDefault="00805A93" w:rsidP="00805A93">
      <w:pPr>
        <w:pStyle w:val="Heading4"/>
      </w:pPr>
      <w:r>
        <w:t>Cramsie–Muttaburra Road, pave and seal</w:t>
      </w:r>
    </w:p>
    <w:p w14:paraId="4A4EACD7" w14:textId="77777777" w:rsidR="00805A93" w:rsidRDefault="00805A93" w:rsidP="00805A93">
      <w:r w:rsidRPr="0021011F">
        <w:t>Cramsie</w:t>
      </w:r>
      <w:r>
        <w:t>–</w:t>
      </w:r>
      <w:r w:rsidRPr="0021011F">
        <w:t>Muttaburra Road is now fully sealed, enabling safer</w:t>
      </w:r>
      <w:r>
        <w:t>,</w:t>
      </w:r>
      <w:r w:rsidRPr="0021011F">
        <w:t xml:space="preserve"> more efficient travel times between Longreach and Muttaburra. </w:t>
      </w:r>
    </w:p>
    <w:p w14:paraId="47499690" w14:textId="77777777" w:rsidR="00805A93" w:rsidRPr="0021011F" w:rsidRDefault="00805A93" w:rsidP="00805A93">
      <w:r w:rsidRPr="0021011F">
        <w:t>Three separate projects were progressively delivered to seal the last remaining 17</w:t>
      </w:r>
      <w:r>
        <w:t xml:space="preserve"> </w:t>
      </w:r>
      <w:r w:rsidRPr="0021011F">
        <w:t>kilometres of dirt road</w:t>
      </w:r>
      <w:r>
        <w:t>,</w:t>
      </w:r>
      <w:r w:rsidRPr="0021011F">
        <w:t xml:space="preserve"> with works completed in December 2022.</w:t>
      </w:r>
    </w:p>
    <w:p w14:paraId="6D21DFB6" w14:textId="77777777" w:rsidR="00805A93" w:rsidRDefault="00805A93" w:rsidP="00805A93">
      <w:r w:rsidRPr="0021011F">
        <w:t>In addition to connecting communities, Cramsie</w:t>
      </w:r>
      <w:r>
        <w:t>–</w:t>
      </w:r>
      <w:r w:rsidRPr="0021011F">
        <w:t>Muttaburra Road is part of a crucial link between central</w:t>
      </w:r>
      <w:r>
        <w:t xml:space="preserve"> and </w:t>
      </w:r>
      <w:r w:rsidRPr="0021011F">
        <w:t>northern Queensland</w:t>
      </w:r>
      <w:r>
        <w:t>,</w:t>
      </w:r>
      <w:r w:rsidRPr="0021011F">
        <w:t xml:space="preserve"> and the southern states. </w:t>
      </w:r>
    </w:p>
    <w:p w14:paraId="47903B4F" w14:textId="77777777" w:rsidR="00805A93" w:rsidRPr="0021011F" w:rsidRDefault="00805A93" w:rsidP="00805A93">
      <w:r w:rsidRPr="0021011F">
        <w:t xml:space="preserve">Fully sealing this road </w:t>
      </w:r>
      <w:r>
        <w:t>delivers important</w:t>
      </w:r>
      <w:r w:rsidRPr="0021011F">
        <w:t xml:space="preserve"> improvements in</w:t>
      </w:r>
      <w:r>
        <w:t xml:space="preserve"> relation to</w:t>
      </w:r>
      <w:r w:rsidRPr="0021011F">
        <w:t xml:space="preserve"> wet weather access while securing more reliable links to markets</w:t>
      </w:r>
      <w:r>
        <w:t xml:space="preserve">, </w:t>
      </w:r>
      <w:r w:rsidRPr="0021011F">
        <w:t xml:space="preserve">including the Longreach </w:t>
      </w:r>
      <w:r>
        <w:t>S</w:t>
      </w:r>
      <w:r w:rsidRPr="0021011F">
        <w:t xml:space="preserve">aleyards. </w:t>
      </w:r>
    </w:p>
    <w:p w14:paraId="034018A6" w14:textId="77777777" w:rsidR="00805A93" w:rsidRPr="00AD38F8" w:rsidRDefault="00805A93" w:rsidP="00805A93">
      <w:r w:rsidRPr="00AD38F8">
        <w:t>This</w:t>
      </w:r>
      <w:r>
        <w:t xml:space="preserve"> $9.54</w:t>
      </w:r>
      <w:r w:rsidRPr="00AD38F8">
        <w:t xml:space="preserve"> million package of projects was </w:t>
      </w:r>
      <w:r>
        <w:t xml:space="preserve">jointly </w:t>
      </w:r>
      <w:r w:rsidRPr="00F8543D">
        <w:t>funded by the Australian and Queensland governments.</w:t>
      </w:r>
    </w:p>
    <w:p w14:paraId="4CFE4EB4" w14:textId="77777777" w:rsidR="00805A93" w:rsidRPr="00003DDC" w:rsidRDefault="00805A93" w:rsidP="00805A93">
      <w:pPr>
        <w:pStyle w:val="ForMoreInformation"/>
      </w:pPr>
      <w:r w:rsidRPr="00003DDC">
        <w:t>For more information</w:t>
      </w:r>
      <w:r>
        <w:br/>
      </w:r>
      <w:r w:rsidRPr="00003DDC">
        <w:rPr>
          <w:rStyle w:val="Hyperlink"/>
        </w:rPr>
        <w:t>https://www.tmr.qld.gov.au/projects/cramsie-muttaburra-road-pave-and-seal</w:t>
      </w:r>
    </w:p>
    <w:p w14:paraId="531E2449" w14:textId="77777777" w:rsidR="00805A93" w:rsidRDefault="00805A93" w:rsidP="00805A93">
      <w:pPr>
        <w:pStyle w:val="Heading4"/>
      </w:pPr>
      <w:r>
        <w:t xml:space="preserve">Dawson Developmental Road (Springsure–Tambo), Barcoo River, replace timber bridge </w:t>
      </w:r>
    </w:p>
    <w:p w14:paraId="4662EDA5" w14:textId="77777777" w:rsidR="00805A93" w:rsidRPr="005C3DB2" w:rsidRDefault="00805A93" w:rsidP="00805A93">
      <w:r>
        <w:t xml:space="preserve">A new bridge has been built over the </w:t>
      </w:r>
      <w:r w:rsidRPr="005C3DB2">
        <w:t>Barcoo River near Tambo</w:t>
      </w:r>
      <w:r>
        <w:t xml:space="preserve">, that opened </w:t>
      </w:r>
      <w:r w:rsidRPr="005C3DB2">
        <w:t xml:space="preserve">to traffic in December 2022. </w:t>
      </w:r>
    </w:p>
    <w:p w14:paraId="5C43A6B6" w14:textId="77777777" w:rsidR="00805A93" w:rsidRPr="005C3DB2" w:rsidRDefault="00805A93" w:rsidP="00805A93">
      <w:r w:rsidRPr="005C3DB2">
        <w:t>The wider, higher, modern concrete structure is providing safer</w:t>
      </w:r>
      <w:r>
        <w:t>,</w:t>
      </w:r>
      <w:r w:rsidRPr="005C3DB2">
        <w:t xml:space="preserve"> more reliable access to </w:t>
      </w:r>
      <w:r>
        <w:t xml:space="preserve">all those living in, and travelling through, </w:t>
      </w:r>
      <w:r w:rsidRPr="005C3DB2">
        <w:t xml:space="preserve">western Queensland. </w:t>
      </w:r>
    </w:p>
    <w:p w14:paraId="587ADE66" w14:textId="69F09FBB" w:rsidR="00E6328B" w:rsidRDefault="00805A93" w:rsidP="00C6602D">
      <w:r w:rsidRPr="005C3DB2">
        <w:t>Located on the Dawson Developmental Road between Springsure and Tambo, the new bridge is strategically situated to support freight productivity improvements by better linking major agricultural and resource areas with key centres, markets</w:t>
      </w:r>
      <w:r>
        <w:t>,</w:t>
      </w:r>
      <w:r w:rsidRPr="005C3DB2">
        <w:t xml:space="preserve"> and ports.</w:t>
      </w:r>
    </w:p>
    <w:p w14:paraId="2A775CC3" w14:textId="3783DB25" w:rsidR="00805A93" w:rsidRPr="005C3DB2" w:rsidRDefault="00805A93" w:rsidP="00805A93">
      <w:r w:rsidRPr="005C3DB2">
        <w:t xml:space="preserve">The new bridge is improving access at this location for higher capacity vehicles, increasing flood immunity and connectivity between towns. </w:t>
      </w:r>
      <w:r>
        <w:t>It</w:t>
      </w:r>
      <w:r w:rsidRPr="005C3DB2">
        <w:t xml:space="preserve"> is also securing access to essential services like the Tambo </w:t>
      </w:r>
      <w:r>
        <w:t>A</w:t>
      </w:r>
      <w:r w:rsidRPr="005C3DB2">
        <w:t xml:space="preserve">erodrome and the Royal Flying Doctor Service, enhancing the liveability of surrounding rural communities. </w:t>
      </w:r>
    </w:p>
    <w:p w14:paraId="402E7B15" w14:textId="77777777" w:rsidR="00805A93" w:rsidRPr="00A427D2" w:rsidRDefault="00805A93" w:rsidP="00805A93">
      <w:r w:rsidRPr="00A427D2">
        <w:t xml:space="preserve">This </w:t>
      </w:r>
      <w:r>
        <w:t xml:space="preserve">$7 million </w:t>
      </w:r>
      <w:r w:rsidRPr="00A427D2">
        <w:t xml:space="preserve">project was jointly funded by the Australian and Queensland governments on an 80:20 (federal:state) basis. </w:t>
      </w:r>
    </w:p>
    <w:p w14:paraId="5234B117" w14:textId="77777777" w:rsidR="00805A93" w:rsidRPr="00D736C0" w:rsidRDefault="00805A93" w:rsidP="00805A93">
      <w:pPr>
        <w:pStyle w:val="ForMoreInformation"/>
        <w:rPr>
          <w:rStyle w:val="Hyperlink"/>
        </w:rPr>
      </w:pPr>
      <w:r w:rsidRPr="00706A20">
        <w:t>For more information</w:t>
      </w:r>
      <w:r>
        <w:br/>
      </w:r>
      <w:r w:rsidRPr="00D736C0">
        <w:rPr>
          <w:rStyle w:val="Hyperlink"/>
        </w:rPr>
        <w:t>https://www.tmr.qld.gov.au/projects/dawson-developmental-road-springsure-tambo-barcoo-river-replace-timber-bridge#:~:text=Works%20have%20been%20completed%20to,%2C%20cities%2C%20markets%20and%20ports</w:t>
      </w:r>
    </w:p>
    <w:p w14:paraId="4A7A9EBD" w14:textId="3B79611C" w:rsidR="00805A93" w:rsidRDefault="00805A93" w:rsidP="009249AF">
      <w:pPr>
        <w:pStyle w:val="Heading4"/>
      </w:pPr>
      <w:r>
        <w:t xml:space="preserve">Case </w:t>
      </w:r>
      <w:r w:rsidR="00591E7C">
        <w:t>s</w:t>
      </w:r>
      <w:r>
        <w:t>tudy</w:t>
      </w:r>
      <w:r w:rsidR="009249AF">
        <w:t xml:space="preserve"> </w:t>
      </w:r>
      <w:r>
        <w:t>Roma–</w:t>
      </w:r>
      <w:r w:rsidRPr="0047597A">
        <w:t>Taroom</w:t>
      </w:r>
      <w:r>
        <w:t xml:space="preserve"> Road, Sandy Creek, replace bridge </w:t>
      </w:r>
    </w:p>
    <w:p w14:paraId="5D289B44" w14:textId="77777777" w:rsidR="00805A93" w:rsidRDefault="00805A93" w:rsidP="00805A93">
      <w:r w:rsidRPr="00367304">
        <w:t xml:space="preserve">A new two-lane concrete bridge </w:t>
      </w:r>
      <w:r>
        <w:t>has been delivered</w:t>
      </w:r>
      <w:r w:rsidRPr="00367304">
        <w:t xml:space="preserve"> at Sandy Creek near Taroom, providing safer</w:t>
      </w:r>
      <w:r>
        <w:t>,</w:t>
      </w:r>
      <w:r w:rsidRPr="00367304">
        <w:t xml:space="preserve"> more reliable access along Roma</w:t>
      </w:r>
      <w:r>
        <w:t>–</w:t>
      </w:r>
      <w:r w:rsidRPr="00367304">
        <w:t>Taroom Road and to nearby communities</w:t>
      </w:r>
      <w:r>
        <w:t xml:space="preserve">. </w:t>
      </w:r>
    </w:p>
    <w:p w14:paraId="79D95B0A" w14:textId="77777777" w:rsidR="00805A93" w:rsidRPr="00367304" w:rsidRDefault="00805A93" w:rsidP="00805A93">
      <w:r>
        <w:t xml:space="preserve">This bridge replacement is </w:t>
      </w:r>
      <w:r w:rsidRPr="00367304">
        <w:t xml:space="preserve">part of a broader program to replace timber bridges along key sections of the state-controlled road network. </w:t>
      </w:r>
    </w:p>
    <w:p w14:paraId="22867895" w14:textId="77777777" w:rsidR="00805A93" w:rsidRPr="00367304" w:rsidRDefault="00805A93" w:rsidP="00805A93">
      <w:r w:rsidRPr="00367304">
        <w:lastRenderedPageBreak/>
        <w:t xml:space="preserve">The new structure </w:t>
      </w:r>
      <w:r>
        <w:t xml:space="preserve">was completed in December 2022, replacing the </w:t>
      </w:r>
      <w:r w:rsidRPr="00367304">
        <w:t>ageing timber Sandy Creek bridge built in the 1940s</w:t>
      </w:r>
      <w:r>
        <w:t xml:space="preserve">. It is </w:t>
      </w:r>
      <w:r w:rsidRPr="00367304">
        <w:t>wider and higher</w:t>
      </w:r>
      <w:r>
        <w:t xml:space="preserve"> than the original bridge</w:t>
      </w:r>
      <w:r w:rsidRPr="00367304">
        <w:t xml:space="preserve">, </w:t>
      </w:r>
      <w:r>
        <w:t xml:space="preserve">providing </w:t>
      </w:r>
      <w:r w:rsidRPr="00367304">
        <w:t>more reliable access</w:t>
      </w:r>
      <w:r>
        <w:t xml:space="preserve"> </w:t>
      </w:r>
      <w:r w:rsidRPr="00367304">
        <w:t>support</w:t>
      </w:r>
      <w:r>
        <w:t>ing</w:t>
      </w:r>
      <w:r w:rsidRPr="00367304">
        <w:t xml:space="preserve"> future growth through increased capacity and offer</w:t>
      </w:r>
      <w:r>
        <w:t>ing</w:t>
      </w:r>
      <w:r w:rsidRPr="00367304">
        <w:t xml:space="preserve"> improved flood immunity resulting in fewer and shorter closures.</w:t>
      </w:r>
    </w:p>
    <w:p w14:paraId="1BCCBFFA" w14:textId="77777777" w:rsidR="00805A93" w:rsidRDefault="00805A93" w:rsidP="00805A93">
      <w:r>
        <w:t xml:space="preserve">Closures at this location had been frequent following multiple heavy rainfall and flooding events. In response, a sidetrack was established as part of construction activities to enable works to be undertaken while maintaining access for road users including the local school bus. </w:t>
      </w:r>
    </w:p>
    <w:p w14:paraId="18ED971D" w14:textId="77777777" w:rsidR="00805A93" w:rsidRDefault="00805A93" w:rsidP="00805A93">
      <w:r>
        <w:t xml:space="preserve">This $9.5 million project was fully funded by the Queensland Government. </w:t>
      </w:r>
    </w:p>
    <w:p w14:paraId="6DCAFD56" w14:textId="77777777" w:rsidR="00805A93" w:rsidRPr="00657B5A" w:rsidRDefault="00805A93" w:rsidP="00805A93">
      <w:pPr>
        <w:pStyle w:val="ForMoreInformation"/>
      </w:pPr>
      <w:r>
        <w:t>For Further Information</w:t>
      </w:r>
      <w:r>
        <w:br/>
      </w:r>
      <w:r w:rsidRPr="00D374ED">
        <w:rPr>
          <w:rStyle w:val="Hyperlink"/>
        </w:rPr>
        <w:t>https://www.tmr.qld.gov.au/projects/roma-taroom-road-sandy-creek-replace-bridge</w:t>
      </w:r>
    </w:p>
    <w:p w14:paraId="1F65C93A" w14:textId="77777777" w:rsidR="00805A93" w:rsidRDefault="00805A93" w:rsidP="00805A93">
      <w:pPr>
        <w:pStyle w:val="Heading4"/>
      </w:pPr>
      <w:r>
        <w:t>Landsborough Highway (Winton–Kynuna), pavement strengthening and widening</w:t>
      </w:r>
    </w:p>
    <w:p w14:paraId="1EE568A6" w14:textId="77777777" w:rsidR="00805A93" w:rsidRPr="005C3DB2" w:rsidRDefault="00805A93" w:rsidP="00805A93">
      <w:r w:rsidRPr="005C3DB2">
        <w:t>Six kilometres of the Landsborough Highway</w:t>
      </w:r>
      <w:r>
        <w:t>,</w:t>
      </w:r>
      <w:r w:rsidRPr="005C3DB2">
        <w:t xml:space="preserve"> between Winton and Kynuna</w:t>
      </w:r>
      <w:r>
        <w:t>,</w:t>
      </w:r>
      <w:r w:rsidRPr="005C3DB2">
        <w:t xml:space="preserve"> have been widened. Works were delivered via two projects </w:t>
      </w:r>
      <w:r>
        <w:t>completed</w:t>
      </w:r>
      <w:r w:rsidRPr="005C3DB2">
        <w:t xml:space="preserve"> in April 2023.</w:t>
      </w:r>
    </w:p>
    <w:p w14:paraId="61EC7315" w14:textId="77777777" w:rsidR="00805A93" w:rsidRPr="005C3DB2" w:rsidRDefault="00805A93" w:rsidP="00805A93">
      <w:r w:rsidRPr="005C3DB2">
        <w:t xml:space="preserve">The Landsborough Highway plays a vital role as part of the </w:t>
      </w:r>
      <w:r>
        <w:t>N</w:t>
      </w:r>
      <w:r w:rsidRPr="005C3DB2">
        <w:t xml:space="preserve">ational </w:t>
      </w:r>
      <w:r>
        <w:t>L</w:t>
      </w:r>
      <w:r w:rsidRPr="005C3DB2">
        <w:t xml:space="preserve">and </w:t>
      </w:r>
      <w:r>
        <w:t>T</w:t>
      </w:r>
      <w:r w:rsidRPr="005C3DB2">
        <w:t xml:space="preserve">ransport </w:t>
      </w:r>
      <w:r>
        <w:t>N</w:t>
      </w:r>
      <w:r w:rsidRPr="005C3DB2">
        <w:t>etwork, connecting Brisbane and Darwin. It serves as the principal</w:t>
      </w:r>
      <w:r>
        <w:t xml:space="preserve"> </w:t>
      </w:r>
      <w:r w:rsidRPr="005C3DB2">
        <w:t>north</w:t>
      </w:r>
      <w:r>
        <w:t>-</w:t>
      </w:r>
      <w:r w:rsidRPr="005C3DB2">
        <w:t>south route for western Queensland, facilitating transportation and connectivity in the area.</w:t>
      </w:r>
    </w:p>
    <w:p w14:paraId="4707D11C" w14:textId="77777777" w:rsidR="00805A93" w:rsidRPr="005C3DB2" w:rsidRDefault="00805A93" w:rsidP="00805A93">
      <w:r w:rsidRPr="005C3DB2">
        <w:t>By widening this stretch of the highway, safety and resilience have been enhanced. This improvement is particularly crucial in areas that are involved in cattle and sheep grazing, as well as mining and energy industries. The widened sections of the highway will allow for more efficient freight movements, benefiting both the local economy and the overall transportation network.</w:t>
      </w:r>
    </w:p>
    <w:p w14:paraId="761EB954" w14:textId="006FE075" w:rsidR="00E6328B" w:rsidRDefault="00805A93" w:rsidP="00C6602D">
      <w:pPr>
        <w:rPr>
          <w:rFonts w:eastAsiaTheme="majorEastAsia" w:cstheme="majorBidi"/>
          <w:color w:val="000000" w:themeColor="text1"/>
          <w:sz w:val="32"/>
          <w:szCs w:val="24"/>
        </w:rPr>
      </w:pPr>
      <w:r w:rsidRPr="005C3DB2">
        <w:t>Th</w:t>
      </w:r>
      <w:r>
        <w:t xml:space="preserve">is $11 million </w:t>
      </w:r>
      <w:r w:rsidRPr="005C3DB2">
        <w:t>project was jointly funded by the Australian and Queensland governments on an 80:20</w:t>
      </w:r>
      <w:r>
        <w:t xml:space="preserve"> (federal:state)</w:t>
      </w:r>
      <w:r w:rsidRPr="005C3DB2">
        <w:t xml:space="preserve"> basis as part of the Road Safety Program.</w:t>
      </w:r>
    </w:p>
    <w:p w14:paraId="559E58BC" w14:textId="7CB2E596" w:rsidR="00805A93" w:rsidRDefault="00805A93" w:rsidP="00805A93">
      <w:pPr>
        <w:pStyle w:val="Heading3"/>
      </w:pPr>
      <w:r>
        <w:t>Fitzroy</w:t>
      </w:r>
    </w:p>
    <w:p w14:paraId="36BF1537" w14:textId="77777777" w:rsidR="00805A93" w:rsidRDefault="00805A93" w:rsidP="00591E7C">
      <w:pPr>
        <w:pStyle w:val="Heading4"/>
      </w:pPr>
      <w:r>
        <w:t xml:space="preserve">Fast Facts </w:t>
      </w:r>
    </w:p>
    <w:p w14:paraId="5B9DAE8E" w14:textId="77777777" w:rsidR="00805A93" w:rsidRDefault="00805A93" w:rsidP="00805A93">
      <w:pPr>
        <w:pStyle w:val="ListBullet"/>
      </w:pPr>
      <w:r>
        <w:t>3530 Kilometres State-controlled road</w:t>
      </w:r>
      <w:r>
        <w:footnoteReference w:id="21"/>
      </w:r>
    </w:p>
    <w:p w14:paraId="4B3E53AE" w14:textId="77777777" w:rsidR="00805A93" w:rsidRDefault="00805A93" w:rsidP="00805A93">
      <w:pPr>
        <w:pStyle w:val="ListBullet"/>
      </w:pPr>
      <w:r>
        <w:t>399 Kilometres National Land Transport Network</w:t>
      </w:r>
      <w:r>
        <w:footnoteReference w:id="22"/>
      </w:r>
      <w:r>
        <w:t xml:space="preserve"> </w:t>
      </w:r>
    </w:p>
    <w:p w14:paraId="311D08BD" w14:textId="77777777" w:rsidR="00805A93" w:rsidRDefault="00805A93" w:rsidP="00805A93">
      <w:pPr>
        <w:pStyle w:val="ListBullet"/>
      </w:pPr>
      <w:r>
        <w:t xml:space="preserve">308,294 Vehicle and machinery registrations </w:t>
      </w:r>
    </w:p>
    <w:p w14:paraId="41E4FBEC" w14:textId="77777777" w:rsidR="00805A93" w:rsidRDefault="00805A93" w:rsidP="00805A93">
      <w:pPr>
        <w:pStyle w:val="ListBullet"/>
      </w:pPr>
      <w:r>
        <w:t xml:space="preserve">56 Boating infrastructures </w:t>
      </w:r>
    </w:p>
    <w:p w14:paraId="08A16E98" w14:textId="77777777" w:rsidR="00805A93" w:rsidRDefault="00805A93" w:rsidP="00805A93">
      <w:pPr>
        <w:pStyle w:val="ListBullet"/>
      </w:pPr>
      <w:r>
        <w:t xml:space="preserve">20 Community safety events held </w:t>
      </w:r>
    </w:p>
    <w:p w14:paraId="341C793D" w14:textId="77777777" w:rsidR="00805A93" w:rsidRDefault="00805A93" w:rsidP="00805A93">
      <w:pPr>
        <w:pStyle w:val="ListBullet"/>
      </w:pPr>
      <w:r>
        <w:t xml:space="preserve">6284 Vehicle and machinery inspections completed </w:t>
      </w:r>
    </w:p>
    <w:p w14:paraId="4363DF98" w14:textId="77777777" w:rsidR="00805A93" w:rsidRDefault="00805A93" w:rsidP="00805A93">
      <w:pPr>
        <w:pStyle w:val="ListBullet"/>
      </w:pPr>
      <w:r>
        <w:t>316 Bridges</w:t>
      </w:r>
      <w:r>
        <w:footnoteReference w:id="23"/>
      </w:r>
      <w:r>
        <w:t xml:space="preserve"> </w:t>
      </w:r>
    </w:p>
    <w:p w14:paraId="69859A2A" w14:textId="77777777" w:rsidR="00805A93" w:rsidRDefault="00805A93" w:rsidP="00805A93">
      <w:pPr>
        <w:pStyle w:val="ListBullet"/>
      </w:pPr>
      <w:r>
        <w:t xml:space="preserve">7421 Driver licence tests conducted </w:t>
      </w:r>
    </w:p>
    <w:p w14:paraId="45783631" w14:textId="77777777" w:rsidR="00805A93" w:rsidRDefault="00805A93" w:rsidP="00805A93">
      <w:pPr>
        <w:pStyle w:val="ListBullet"/>
      </w:pPr>
      <w:r>
        <w:t xml:space="preserve">209,273 Customer face-to-face interactions </w:t>
      </w:r>
    </w:p>
    <w:p w14:paraId="2FC3D616" w14:textId="77777777" w:rsidR="00805A93" w:rsidRDefault="00805A93" w:rsidP="00805A93">
      <w:pPr>
        <w:pStyle w:val="ListBullet"/>
      </w:pPr>
      <w:r>
        <w:t xml:space="preserve">124 Priority-enabled intersections </w:t>
      </w:r>
    </w:p>
    <w:p w14:paraId="06F8CD22" w14:textId="77777777" w:rsidR="00805A93" w:rsidRDefault="00805A93" w:rsidP="00805A93">
      <w:pPr>
        <w:pStyle w:val="ListBullet"/>
      </w:pPr>
      <w:r>
        <w:t xml:space="preserve">117,588 Kilometres Squared Area covered </w:t>
      </w:r>
    </w:p>
    <w:p w14:paraId="11E23B3D" w14:textId="77777777" w:rsidR="00805A93" w:rsidRDefault="00805A93" w:rsidP="00805A93">
      <w:pPr>
        <w:pStyle w:val="ListBullet"/>
      </w:pPr>
      <w:r>
        <w:t>4.40 per cent Population of Queensland</w:t>
      </w:r>
      <w:r>
        <w:footnoteReference w:id="24"/>
      </w:r>
    </w:p>
    <w:p w14:paraId="2F075B3E" w14:textId="77777777" w:rsidR="00805A93" w:rsidRDefault="00805A93" w:rsidP="00805A93">
      <w:pPr>
        <w:pStyle w:val="Heading4"/>
      </w:pPr>
      <w:r>
        <w:lastRenderedPageBreak/>
        <w:t>Rockhampton Ring Road plan, preserve and construct</w:t>
      </w:r>
    </w:p>
    <w:p w14:paraId="48442952" w14:textId="77777777" w:rsidR="00805A93" w:rsidRDefault="00805A93" w:rsidP="00805A93">
      <w:r>
        <w:t xml:space="preserve">Early works on the Rockhampton Ring Road commenced in November 2022. </w:t>
      </w:r>
      <w:r w:rsidRPr="000E7669">
        <w:t>The project aims to alleviate congestion, improve traffic flow, and enhance connectivity in and around Rockhampton.</w:t>
      </w:r>
    </w:p>
    <w:p w14:paraId="79F219C9" w14:textId="77777777" w:rsidR="00805A93" w:rsidRPr="000E7669" w:rsidRDefault="00805A93" w:rsidP="00805A93">
      <w:r w:rsidRPr="000E7669">
        <w:t>The new 14.7 kilometre section of the Bruce Highway west of Rockhampton will includ</w:t>
      </w:r>
      <w:r>
        <w:t>e</w:t>
      </w:r>
      <w:r w:rsidRPr="000E7669">
        <w:t xml:space="preserve"> a new crossing of the Fitzroy River with key linkages at the Ridgelands Road, Alexandra Street</w:t>
      </w:r>
      <w:r>
        <w:t>,</w:t>
      </w:r>
      <w:r w:rsidRPr="000E7669">
        <w:t xml:space="preserve"> and Bruce Highway/Rockhampton</w:t>
      </w:r>
      <w:r>
        <w:t>–</w:t>
      </w:r>
      <w:r w:rsidRPr="000E7669">
        <w:t>Yeppoon Road intersection</w:t>
      </w:r>
      <w:r>
        <w:t>,</w:t>
      </w:r>
      <w:r w:rsidRPr="000E7669">
        <w:t xml:space="preserve"> </w:t>
      </w:r>
      <w:r>
        <w:t>facilitating</w:t>
      </w:r>
      <w:r w:rsidRPr="000E7669">
        <w:t xml:space="preserve"> better access into the city. </w:t>
      </w:r>
    </w:p>
    <w:p w14:paraId="57D41C8B" w14:textId="77777777" w:rsidR="00805A93" w:rsidRPr="007E3D0B" w:rsidRDefault="00805A93" w:rsidP="00805A93">
      <w:r w:rsidRPr="000E7669">
        <w:t>Additionally, the Rockhampton Ring Road project is expected to unlock future economic growth by improving connectivity to Rockhampton</w:t>
      </w:r>
      <w:r>
        <w:t xml:space="preserve"> and build flood resilience</w:t>
      </w:r>
      <w:r w:rsidRPr="000E7669">
        <w:t>. It will enhance transportation efficiency for businesses, residents, and visitors</w:t>
      </w:r>
      <w:r>
        <w:t>,</w:t>
      </w:r>
      <w:r w:rsidRPr="000E7669">
        <w:t xml:space="preserve"> supporting the development of the local economy.</w:t>
      </w:r>
    </w:p>
    <w:p w14:paraId="7F57E951" w14:textId="77777777" w:rsidR="00805A93" w:rsidRDefault="00805A93" w:rsidP="00805A93">
      <w:r w:rsidRPr="007E3D0B">
        <w:t xml:space="preserve">Construction on </w:t>
      </w:r>
      <w:r>
        <w:t>s</w:t>
      </w:r>
      <w:r w:rsidRPr="007E3D0B">
        <w:t xml:space="preserve">tage </w:t>
      </w:r>
      <w:r>
        <w:t>o</w:t>
      </w:r>
      <w:r w:rsidRPr="007E3D0B">
        <w:t xml:space="preserve">ne of the </w:t>
      </w:r>
      <w:r>
        <w:t>R</w:t>
      </w:r>
      <w:r w:rsidRPr="007E3D0B">
        <w:t xml:space="preserve">ing </w:t>
      </w:r>
      <w:r>
        <w:t>R</w:t>
      </w:r>
      <w:r w:rsidRPr="007E3D0B">
        <w:t>oad is expected to start in late</w:t>
      </w:r>
      <w:r>
        <w:t>-</w:t>
      </w:r>
      <w:r w:rsidRPr="007E3D0B">
        <w:t>2023</w:t>
      </w:r>
      <w:r>
        <w:t xml:space="preserve">. This </w:t>
      </w:r>
      <w:r w:rsidRPr="007E3D0B">
        <w:t>includes</w:t>
      </w:r>
      <w:r>
        <w:t>:</w:t>
      </w:r>
      <w:r w:rsidRPr="007E3D0B">
        <w:t xml:space="preserve"> </w:t>
      </w:r>
    </w:p>
    <w:p w14:paraId="6A9ECD0C" w14:textId="77777777" w:rsidR="00805A93" w:rsidRDefault="00805A93" w:rsidP="00805A93">
      <w:pPr>
        <w:pStyle w:val="ListBullet"/>
      </w:pPr>
      <w:r>
        <w:t xml:space="preserve">The </w:t>
      </w:r>
      <w:r w:rsidRPr="007E3D0B">
        <w:t>northern connection with the Bruce Highway</w:t>
      </w:r>
    </w:p>
    <w:p w14:paraId="692D32AD" w14:textId="77777777" w:rsidR="00805A93" w:rsidRDefault="00805A93" w:rsidP="00805A93">
      <w:pPr>
        <w:pStyle w:val="ListBullet"/>
      </w:pPr>
      <w:r w:rsidRPr="007E3D0B">
        <w:t>upgrading several connecting roads in the Parkhurst industrial precinct</w:t>
      </w:r>
    </w:p>
    <w:p w14:paraId="05FE1794" w14:textId="77777777" w:rsidR="00805A93" w:rsidRDefault="00805A93" w:rsidP="00805A93">
      <w:pPr>
        <w:pStyle w:val="ListBullet"/>
      </w:pPr>
      <w:r>
        <w:t xml:space="preserve">a </w:t>
      </w:r>
      <w:r w:rsidRPr="007E3D0B">
        <w:t>link with future stages of the project in West Rockhampton</w:t>
      </w:r>
    </w:p>
    <w:p w14:paraId="7FDB3E7C" w14:textId="77777777" w:rsidR="00805A93" w:rsidRDefault="00805A93" w:rsidP="00805A93">
      <w:pPr>
        <w:pStyle w:val="ListBullet"/>
      </w:pPr>
      <w:r w:rsidRPr="007E3D0B">
        <w:t xml:space="preserve">upgrading Lion Creek Bridge. </w:t>
      </w:r>
      <w:bookmarkStart w:id="14" w:name="_Hlk129608270"/>
    </w:p>
    <w:p w14:paraId="18F92451" w14:textId="77777777" w:rsidR="00805A93" w:rsidRPr="007E3D0B" w:rsidRDefault="00805A93" w:rsidP="00805A93">
      <w:r w:rsidRPr="007E3D0B">
        <w:t xml:space="preserve">Completion of </w:t>
      </w:r>
      <w:r>
        <w:t>stage one</w:t>
      </w:r>
      <w:r w:rsidRPr="007E3D0B">
        <w:t xml:space="preserve"> is expected in </w:t>
      </w:r>
      <w:r>
        <w:t>2025–</w:t>
      </w:r>
      <w:r w:rsidRPr="007E3D0B">
        <w:t>26</w:t>
      </w:r>
      <w:r>
        <w:t>,</w:t>
      </w:r>
      <w:r w:rsidRPr="007E3D0B">
        <w:t xml:space="preserve"> with subsequent phases to follow. </w:t>
      </w:r>
    </w:p>
    <w:bookmarkEnd w:id="14"/>
    <w:p w14:paraId="28F30846" w14:textId="77777777" w:rsidR="00805A93" w:rsidRDefault="00805A93" w:rsidP="00805A93">
      <w:r w:rsidRPr="007E3D0B">
        <w:t xml:space="preserve">The </w:t>
      </w:r>
      <w:r>
        <w:t xml:space="preserve">$1.065 </w:t>
      </w:r>
      <w:r w:rsidRPr="007E3D0B">
        <w:t xml:space="preserve">billion project is jointly funded by the Australian and Queensland governments on an 80:20 </w:t>
      </w:r>
      <w:r>
        <w:t xml:space="preserve">(federal:state) </w:t>
      </w:r>
      <w:r w:rsidRPr="007E3D0B">
        <w:t>basis</w:t>
      </w:r>
      <w:r>
        <w:t>.</w:t>
      </w:r>
      <w:r w:rsidRPr="007E3D0B">
        <w:t xml:space="preserve"> </w:t>
      </w:r>
    </w:p>
    <w:p w14:paraId="0E913EE6" w14:textId="77777777" w:rsidR="00805A93" w:rsidRPr="00B62CA7" w:rsidRDefault="00805A93" w:rsidP="00805A93">
      <w:pPr>
        <w:pStyle w:val="ForMoreInformation"/>
      </w:pPr>
      <w:r w:rsidRPr="00B62CA7">
        <w:t>For more information</w:t>
      </w:r>
      <w:r>
        <w:br/>
      </w:r>
      <w:r w:rsidRPr="00B62CA7">
        <w:rPr>
          <w:rStyle w:val="Hyperlink"/>
        </w:rPr>
        <w:t>https://www.tmr.qld.gov.au/projects/Rockhampton-Ring-Road</w:t>
      </w:r>
    </w:p>
    <w:p w14:paraId="7526AC62" w14:textId="13B8C5E0" w:rsidR="00805A93" w:rsidRDefault="00805A93" w:rsidP="00805A93">
      <w:pPr>
        <w:pStyle w:val="Heading4"/>
      </w:pPr>
      <w:r>
        <w:t>Rockhampton–Yeppoon Road, Yeppoon Road upgrade</w:t>
      </w:r>
    </w:p>
    <w:p w14:paraId="67B01998" w14:textId="77777777" w:rsidR="00805A93" w:rsidRPr="00A8753A" w:rsidRDefault="00805A93" w:rsidP="00805A93">
      <w:r w:rsidRPr="00A8753A">
        <w:t>Rockhampton</w:t>
      </w:r>
      <w:r>
        <w:t>–</w:t>
      </w:r>
      <w:r w:rsidRPr="00A8753A">
        <w:t xml:space="preserve">Yeppoon Road is being upgraded to improve road safety, efficiency, and route capacity to better support future growth in traffic volumes from increased regional economic activity. </w:t>
      </w:r>
    </w:p>
    <w:p w14:paraId="69D2CEEF" w14:textId="77777777" w:rsidR="00805A93" w:rsidRPr="00A8753A" w:rsidRDefault="00805A93" w:rsidP="00805A93">
      <w:r w:rsidRPr="00A8753A">
        <w:t>Construction started in Ju</w:t>
      </w:r>
      <w:r>
        <w:t>ne</w:t>
      </w:r>
      <w:r w:rsidRPr="00A8753A">
        <w:t xml:space="preserve"> 2023 to duplicate the section of road between Ironpot and Hedlow Creek and upgrade three intersections. These works will reduce the risk of head</w:t>
      </w:r>
      <w:r>
        <w:t>-</w:t>
      </w:r>
      <w:r w:rsidRPr="00A8753A">
        <w:t xml:space="preserve">on collisions, remove cross-road movements from Artillery Road to Dairy Inn Road, and provide safe turnaround points.  </w:t>
      </w:r>
    </w:p>
    <w:p w14:paraId="5759842F" w14:textId="77777777" w:rsidR="00805A93" w:rsidRPr="00A8753A" w:rsidRDefault="00805A93" w:rsidP="00805A93">
      <w:r>
        <w:t>The</w:t>
      </w:r>
      <w:r w:rsidRPr="00A8753A">
        <w:t xml:space="preserve"> Rockhampton</w:t>
      </w:r>
      <w:r>
        <w:t>–</w:t>
      </w:r>
      <w:r w:rsidRPr="00A8753A">
        <w:t>Yeppoon Road is the principal route between Rockhampton and Yeppoon and the wider Capricorn Coast area and the Bruce Highway</w:t>
      </w:r>
      <w:r>
        <w:t>.</w:t>
      </w:r>
      <w:r w:rsidRPr="00A8753A">
        <w:t xml:space="preserve"> </w:t>
      </w:r>
      <w:r>
        <w:t>T</w:t>
      </w:r>
      <w:r w:rsidRPr="00A8753A">
        <w:t xml:space="preserve">his upgrade is essential to better connect communities and link regional businesses with local and international markets. </w:t>
      </w:r>
    </w:p>
    <w:p w14:paraId="2030E55B" w14:textId="77777777" w:rsidR="00805A93" w:rsidRPr="00A8753A" w:rsidRDefault="00805A93" w:rsidP="00805A93">
      <w:r w:rsidRPr="008910C5">
        <w:t>Completion is expected in mid-2025, weather and construction conditions permitting.</w:t>
      </w:r>
    </w:p>
    <w:p w14:paraId="0EDB8537" w14:textId="77777777" w:rsidR="00805A93" w:rsidRPr="00CD4D57" w:rsidRDefault="00805A93" w:rsidP="00805A93">
      <w:pPr>
        <w:rPr>
          <w:rStyle w:val="Strong"/>
        </w:rPr>
      </w:pPr>
      <w:r w:rsidRPr="00A8753A">
        <w:t xml:space="preserve">This </w:t>
      </w:r>
      <w:r>
        <w:t xml:space="preserve">$85.4 </w:t>
      </w:r>
      <w:r w:rsidRPr="00A8753A">
        <w:t xml:space="preserve">million project is jointly funded by the Australian and Queensland governments on an 80:20 (federal:state) basis as part of the Roads of Strategic Importance initiative.  </w:t>
      </w:r>
    </w:p>
    <w:p w14:paraId="16924874" w14:textId="77777777" w:rsidR="00805A93" w:rsidRDefault="00805A93" w:rsidP="00805A93">
      <w:pPr>
        <w:pStyle w:val="ForMoreInformation"/>
      </w:pPr>
      <w:r>
        <w:t>For more information</w:t>
      </w:r>
      <w:r>
        <w:br/>
      </w:r>
      <w:r w:rsidRPr="00A8753A">
        <w:rPr>
          <w:rStyle w:val="Hyperlink"/>
        </w:rPr>
        <w:t>https://www.tmr.qld.gov.au/projects/yeppoon-road-upgrade-project</w:t>
      </w:r>
    </w:p>
    <w:p w14:paraId="04F249D5" w14:textId="77777777" w:rsidR="00805A93" w:rsidRDefault="00805A93" w:rsidP="00805A93">
      <w:pPr>
        <w:pStyle w:val="Heading4"/>
      </w:pPr>
      <w:r>
        <w:t xml:space="preserve">Gavial–Gracemere Road (Lawrie Street) widen to four lanes and upgrade intersection </w:t>
      </w:r>
    </w:p>
    <w:p w14:paraId="5E0732FD" w14:textId="77777777" w:rsidR="00805A93" w:rsidRPr="00CD4D57" w:rsidRDefault="00805A93" w:rsidP="00805A93">
      <w:r w:rsidRPr="00CD4D57">
        <w:t>Safety and efficiency have been improved on the commuter route between Gracemere and Rockhampton, easing congestion and providing additional capacity for future growth in Gracemere.  </w:t>
      </w:r>
    </w:p>
    <w:p w14:paraId="553C001B" w14:textId="77777777" w:rsidR="00805A93" w:rsidRPr="00CD4D57" w:rsidRDefault="00805A93" w:rsidP="00805A93">
      <w:r w:rsidRPr="00CD4D57">
        <w:t xml:space="preserve">Construction was completed in April 2023 upgrading Lawrie Street from two to four lanes between the McLaughlin Street intersection with the Capricorn Highway to John Street and Russell Street in Gracemere. </w:t>
      </w:r>
    </w:p>
    <w:p w14:paraId="79DCF0BC" w14:textId="77777777" w:rsidR="00805A93" w:rsidRPr="00CD4D57" w:rsidRDefault="00805A93" w:rsidP="00805A93">
      <w:r>
        <w:t>A</w:t>
      </w:r>
      <w:r w:rsidRPr="00CD4D57">
        <w:t xml:space="preserve"> new bridge was</w:t>
      </w:r>
      <w:r>
        <w:t xml:space="preserve"> also</w:t>
      </w:r>
      <w:r w:rsidRPr="00CD4D57">
        <w:t xml:space="preserve"> built adjacent to the existing rail overpass</w:t>
      </w:r>
      <w:r>
        <w:t>.</w:t>
      </w:r>
      <w:r w:rsidRPr="00CD4D57">
        <w:t xml:space="preserve"> </w:t>
      </w:r>
      <w:r>
        <w:t>I</w:t>
      </w:r>
      <w:r w:rsidRPr="00CD4D57">
        <w:t>ntersections were signalised</w:t>
      </w:r>
      <w:r>
        <w:t>,</w:t>
      </w:r>
      <w:r w:rsidRPr="00CD4D57">
        <w:t xml:space="preserve"> and pedestrian and bike riding facilities </w:t>
      </w:r>
      <w:r>
        <w:t>were</w:t>
      </w:r>
      <w:r w:rsidRPr="00CD4D57">
        <w:t xml:space="preserve"> modernised. </w:t>
      </w:r>
    </w:p>
    <w:p w14:paraId="2C0C4FD6" w14:textId="77777777" w:rsidR="00805A93" w:rsidRPr="00CD4D57" w:rsidRDefault="00805A93" w:rsidP="00805A93">
      <w:r w:rsidRPr="00CD4D57">
        <w:lastRenderedPageBreak/>
        <w:t>Delivering a safer experience for drivers, pedestrians</w:t>
      </w:r>
      <w:r>
        <w:t>,</w:t>
      </w:r>
      <w:r w:rsidRPr="00CD4D57">
        <w:t xml:space="preserve"> and bike ride</w:t>
      </w:r>
      <w:r>
        <w:t>r</w:t>
      </w:r>
      <w:r w:rsidRPr="00CD4D57">
        <w:t xml:space="preserve">s, the upgrade also integrates with the Capricorn Highway </w:t>
      </w:r>
      <w:r>
        <w:t>d</w:t>
      </w:r>
      <w:r w:rsidRPr="00CD4D57">
        <w:t xml:space="preserve">uplication project (completed in July 2021), further </w:t>
      </w:r>
      <w:r>
        <w:t>improving</w:t>
      </w:r>
      <w:r w:rsidRPr="00CD4D57">
        <w:t xml:space="preserve"> transport efficiency in the movement of people and freight between Gracemere and Rockhampton.  </w:t>
      </w:r>
    </w:p>
    <w:p w14:paraId="6F5FA22D" w14:textId="77777777" w:rsidR="00805A93" w:rsidRDefault="00805A93" w:rsidP="00805A93">
      <w:r>
        <w:t>This $44 million project was jointly funded by the Australian and Queensland governments.</w:t>
      </w:r>
    </w:p>
    <w:p w14:paraId="42DD8598" w14:textId="77777777" w:rsidR="00805A93" w:rsidRPr="00193046" w:rsidRDefault="00805A93" w:rsidP="00805A93">
      <w:pPr>
        <w:pStyle w:val="ForMoreInformation"/>
      </w:pPr>
      <w:r w:rsidRPr="00193046">
        <w:t>For more information</w:t>
      </w:r>
      <w:r>
        <w:br/>
      </w:r>
      <w:r w:rsidRPr="00193046">
        <w:rPr>
          <w:rStyle w:val="Hyperlink"/>
        </w:rPr>
        <w:t>https://www.tmr.qld.gov.au/projects/gavial-gracemere-road-lawrie-street-widen-to-four-lanes-and-upgrade-intersections</w:t>
      </w:r>
    </w:p>
    <w:p w14:paraId="475AEBC4" w14:textId="77777777" w:rsidR="00805A93" w:rsidRDefault="00805A93" w:rsidP="00805A93">
      <w:pPr>
        <w:pStyle w:val="Heading4"/>
      </w:pPr>
      <w:r>
        <w:t xml:space="preserve">Rockhampton–Emu Park Road, upgrade overtaking lanes and improve safety </w:t>
      </w:r>
    </w:p>
    <w:p w14:paraId="061385FD" w14:textId="77777777" w:rsidR="00805A93" w:rsidRPr="00CD4D57" w:rsidRDefault="00805A93" w:rsidP="00805A93">
      <w:r w:rsidRPr="00CD4D57">
        <w:t>Rockhampton</w:t>
      </w:r>
      <w:r>
        <w:t>–</w:t>
      </w:r>
      <w:r w:rsidRPr="00CD4D57">
        <w:t xml:space="preserve">Emu Park Road forms part of the designated </w:t>
      </w:r>
      <w:r>
        <w:t>S</w:t>
      </w:r>
      <w:r w:rsidRPr="00CD4D57">
        <w:t xml:space="preserve">tate </w:t>
      </w:r>
      <w:r>
        <w:t>F</w:t>
      </w:r>
      <w:r w:rsidRPr="00CD4D57">
        <w:t xml:space="preserve">reight </w:t>
      </w:r>
      <w:r>
        <w:t>N</w:t>
      </w:r>
      <w:r w:rsidRPr="00CD4D57">
        <w:t xml:space="preserve">etwork and </w:t>
      </w:r>
      <w:r>
        <w:t xml:space="preserve">plays </w:t>
      </w:r>
      <w:r w:rsidRPr="00CD4D57">
        <w:t>an important role in supporting freight, tourism</w:t>
      </w:r>
      <w:r>
        <w:t>,</w:t>
      </w:r>
      <w:r w:rsidRPr="00CD4D57">
        <w:t xml:space="preserve"> and increasing commuter traffic demands in the region. </w:t>
      </w:r>
    </w:p>
    <w:p w14:paraId="3607EED6" w14:textId="77777777" w:rsidR="00805A93" w:rsidRPr="00CD4D57" w:rsidRDefault="00805A93" w:rsidP="00805A93">
      <w:r w:rsidRPr="00CD4D57">
        <w:t>Works started in March 2023 to upgrade around four kilometres of the road</w:t>
      </w:r>
      <w:r>
        <w:t xml:space="preserve"> </w:t>
      </w:r>
      <w:r w:rsidRPr="00CD4D57">
        <w:t>including installing two overtaking lanes, road widening</w:t>
      </w:r>
      <w:r>
        <w:t>,</w:t>
      </w:r>
      <w:r w:rsidRPr="00CD4D57">
        <w:t xml:space="preserve"> and removing roadside hazards to improve visibility. </w:t>
      </w:r>
    </w:p>
    <w:p w14:paraId="69625CDC" w14:textId="77777777" w:rsidR="00805A93" w:rsidRPr="00CD4D57" w:rsidRDefault="00805A93" w:rsidP="00805A93">
      <w:r w:rsidRPr="00CD4D57">
        <w:t xml:space="preserve">In addition to delivering priority safety improvements, the project will increase capacity and reduce peak hour congestion on this key connector to and from Rockhampton. </w:t>
      </w:r>
    </w:p>
    <w:p w14:paraId="7D914AF2" w14:textId="77777777" w:rsidR="00805A93" w:rsidRPr="00CD4D57" w:rsidRDefault="00805A93" w:rsidP="00805A93">
      <w:r w:rsidRPr="00CD4D57">
        <w:t>Completion is expected in late</w:t>
      </w:r>
      <w:r>
        <w:t>-</w:t>
      </w:r>
      <w:r w:rsidRPr="00CD4D57">
        <w:t>2024, weather</w:t>
      </w:r>
      <w:r>
        <w:t xml:space="preserve"> and construction conditions</w:t>
      </w:r>
      <w:r w:rsidRPr="00CD4D57">
        <w:t xml:space="preserve"> permitting. </w:t>
      </w:r>
    </w:p>
    <w:p w14:paraId="49F51CC0" w14:textId="77777777" w:rsidR="00805A93" w:rsidRPr="00CD4D57" w:rsidRDefault="00805A93" w:rsidP="00805A93">
      <w:r w:rsidRPr="00CD4D57">
        <w:t>Th</w:t>
      </w:r>
      <w:r>
        <w:t>is $21 million</w:t>
      </w:r>
      <w:r w:rsidRPr="00CD4D57">
        <w:t xml:space="preserve"> project is fully funded by the Queensland Government. </w:t>
      </w:r>
    </w:p>
    <w:p w14:paraId="5B5CCEE2" w14:textId="77777777" w:rsidR="00805A93" w:rsidRPr="00003760" w:rsidRDefault="00805A93" w:rsidP="00805A93">
      <w:pPr>
        <w:pStyle w:val="ForMoreInformation"/>
      </w:pPr>
      <w:r w:rsidRPr="00003760">
        <w:t>For more information</w:t>
      </w:r>
      <w:r>
        <w:br/>
      </w:r>
      <w:r w:rsidRPr="00003760">
        <w:rPr>
          <w:rStyle w:val="Hyperlink"/>
        </w:rPr>
        <w:t>https://www.tmr.qld.gov.au/projects/rockhampton-emu-park-road-upgrades-including-overtaking-lanes-and-other-improvements</w:t>
      </w:r>
    </w:p>
    <w:p w14:paraId="1279ABD7" w14:textId="77777777" w:rsidR="00805A93" w:rsidRPr="005675FF" w:rsidRDefault="00805A93" w:rsidP="00805A93">
      <w:pPr>
        <w:pStyle w:val="Heading4"/>
      </w:pPr>
      <w:r w:rsidRPr="005675FF">
        <w:t>Fitzroy Development</w:t>
      </w:r>
      <w:r>
        <w:t>al</w:t>
      </w:r>
      <w:r w:rsidRPr="005675FF">
        <w:t xml:space="preserve"> Road </w:t>
      </w:r>
      <w:r>
        <w:t>–</w:t>
      </w:r>
      <w:r w:rsidRPr="005675FF">
        <w:t xml:space="preserve"> Bauhinia to Duaringa </w:t>
      </w:r>
    </w:p>
    <w:p w14:paraId="60C2149F" w14:textId="77777777" w:rsidR="00805A93" w:rsidRDefault="00805A93" w:rsidP="00805A93">
      <w:r>
        <w:t xml:space="preserve">TMR is delivering </w:t>
      </w:r>
      <w:r w:rsidRPr="005675FF">
        <w:t>a</w:t>
      </w:r>
      <w:r>
        <w:t xml:space="preserve"> three year</w:t>
      </w:r>
      <w:r w:rsidRPr="005675FF">
        <w:t xml:space="preserve"> Indigenous Capability Program</w:t>
      </w:r>
      <w:r w:rsidRPr="005E61D9">
        <w:t xml:space="preserve"> </w:t>
      </w:r>
      <w:r>
        <w:t>in partnership with local</w:t>
      </w:r>
      <w:r w:rsidRPr="00537F7A">
        <w:t xml:space="preserve"> </w:t>
      </w:r>
      <w:r w:rsidRPr="005675FF">
        <w:t xml:space="preserve">Woorabinda </w:t>
      </w:r>
      <w:r>
        <w:t>I</w:t>
      </w:r>
      <w:r w:rsidRPr="005675FF">
        <w:t xml:space="preserve">ndigenous </w:t>
      </w:r>
      <w:r>
        <w:t xml:space="preserve">infrastructure </w:t>
      </w:r>
      <w:r w:rsidRPr="005675FF">
        <w:t>companies.</w:t>
      </w:r>
    </w:p>
    <w:p w14:paraId="109DF679" w14:textId="77777777" w:rsidR="00805A93" w:rsidRPr="005675FF" w:rsidRDefault="00805A93" w:rsidP="00805A93">
      <w:r>
        <w:t>Benefits of the program include:</w:t>
      </w:r>
    </w:p>
    <w:p w14:paraId="17054A37" w14:textId="77777777" w:rsidR="00805A93" w:rsidRPr="005675FF" w:rsidRDefault="00805A93" w:rsidP="00805A93">
      <w:pPr>
        <w:pStyle w:val="ListBullet"/>
      </w:pPr>
      <w:r>
        <w:t>i</w:t>
      </w:r>
      <w:r w:rsidRPr="005675FF">
        <w:t xml:space="preserve">ntroducing the businesses to </w:t>
      </w:r>
      <w:r>
        <w:t>TMR's s</w:t>
      </w:r>
      <w:r w:rsidRPr="005675FF">
        <w:t xml:space="preserve">pecifications, </w:t>
      </w:r>
      <w:r>
        <w:t>c</w:t>
      </w:r>
      <w:r w:rsidRPr="005675FF">
        <w:t>ontracts</w:t>
      </w:r>
      <w:r>
        <w:t>,</w:t>
      </w:r>
      <w:r w:rsidRPr="005675FF">
        <w:t xml:space="preserve"> and </w:t>
      </w:r>
      <w:r>
        <w:t>p</w:t>
      </w:r>
      <w:r w:rsidRPr="005675FF">
        <w:t xml:space="preserve">roject </w:t>
      </w:r>
      <w:r>
        <w:t>m</w:t>
      </w:r>
      <w:r w:rsidRPr="005675FF">
        <w:t xml:space="preserve">anagement </w:t>
      </w:r>
      <w:r>
        <w:t>p</w:t>
      </w:r>
      <w:r w:rsidRPr="005675FF">
        <w:t>ractices</w:t>
      </w:r>
    </w:p>
    <w:p w14:paraId="40FCD3AE" w14:textId="77777777" w:rsidR="00805A93" w:rsidRPr="005675FF" w:rsidRDefault="00805A93" w:rsidP="00805A93">
      <w:pPr>
        <w:pStyle w:val="ListBullet"/>
      </w:pPr>
      <w:r>
        <w:t>establishing five traineeships as part of u</w:t>
      </w:r>
      <w:r w:rsidRPr="005675FF">
        <w:t>pskilling residents of Woorabinda</w:t>
      </w:r>
      <w:r>
        <w:t>.</w:t>
      </w:r>
      <w:r w:rsidRPr="005675FF">
        <w:t xml:space="preserve"> </w:t>
      </w:r>
    </w:p>
    <w:p w14:paraId="3E51A0CA" w14:textId="77777777" w:rsidR="00805A93" w:rsidRDefault="00805A93" w:rsidP="00805A93">
      <w:r w:rsidRPr="005675FF">
        <w:t xml:space="preserve">The </w:t>
      </w:r>
      <w:r>
        <w:t>Fitzroy Developmental Road</w:t>
      </w:r>
      <w:r w:rsidRPr="005675FF">
        <w:t xml:space="preserve"> (85B)</w:t>
      </w:r>
      <w:r>
        <w:t xml:space="preserve"> progressive sealing </w:t>
      </w:r>
      <w:r w:rsidRPr="005675FF">
        <w:t>between Bauhinia and Duaringa</w:t>
      </w:r>
      <w:r>
        <w:t xml:space="preserve"> will be delivered under this program. The project will improve safety and all-weather access and is being completed in three stages.</w:t>
      </w:r>
    </w:p>
    <w:p w14:paraId="5C923268" w14:textId="77777777" w:rsidR="00805A93" w:rsidRDefault="00805A93" w:rsidP="00805A93">
      <w:r w:rsidRPr="005675FF">
        <w:t xml:space="preserve">Stage </w:t>
      </w:r>
      <w:r>
        <w:t>one</w:t>
      </w:r>
      <w:r w:rsidRPr="005675FF">
        <w:t xml:space="preserve"> of the works </w:t>
      </w:r>
      <w:r>
        <w:t xml:space="preserve">involved </w:t>
      </w:r>
      <w:r w:rsidRPr="005675FF">
        <w:t>deliver</w:t>
      </w:r>
      <w:r>
        <w:t>ing</w:t>
      </w:r>
      <w:r w:rsidRPr="005675FF">
        <w:t xml:space="preserve"> 3.5 k</w:t>
      </w:r>
      <w:r>
        <w:t>ilo</w:t>
      </w:r>
      <w:r w:rsidRPr="005675FF">
        <w:t>m</w:t>
      </w:r>
      <w:r>
        <w:t>etres</w:t>
      </w:r>
      <w:r w:rsidRPr="005675FF">
        <w:t xml:space="preserve"> of clear zone clearing, formation</w:t>
      </w:r>
      <w:r>
        <w:t>,</w:t>
      </w:r>
      <w:r w:rsidRPr="005675FF">
        <w:t xml:space="preserve"> </w:t>
      </w:r>
      <w:r>
        <w:t>and</w:t>
      </w:r>
      <w:r w:rsidRPr="005675FF">
        <w:t xml:space="preserve"> pavement </w:t>
      </w:r>
      <w:r>
        <w:t>w</w:t>
      </w:r>
      <w:r w:rsidRPr="005675FF">
        <w:t>idening with full width reseal</w:t>
      </w:r>
      <w:r>
        <w:t xml:space="preserve"> completed in June 2023.</w:t>
      </w:r>
    </w:p>
    <w:p w14:paraId="6FA4B57E" w14:textId="77777777" w:rsidR="00805A93" w:rsidRPr="008761D0" w:rsidRDefault="00805A93" w:rsidP="00805A93">
      <w:r w:rsidRPr="00173413">
        <w:t xml:space="preserve">Stage </w:t>
      </w:r>
      <w:r>
        <w:t>two</w:t>
      </w:r>
      <w:r w:rsidRPr="00173413">
        <w:t xml:space="preserve"> (</w:t>
      </w:r>
      <w:r>
        <w:t xml:space="preserve">three </w:t>
      </w:r>
      <w:r w:rsidRPr="00173413">
        <w:t>k</w:t>
      </w:r>
      <w:r>
        <w:t>ilo</w:t>
      </w:r>
      <w:r w:rsidRPr="00173413">
        <w:t>m</w:t>
      </w:r>
      <w:r>
        <w:t>etres</w:t>
      </w:r>
      <w:r w:rsidRPr="00173413">
        <w:t xml:space="preserve"> of roadworks) and Stage </w:t>
      </w:r>
      <w:r>
        <w:t>three</w:t>
      </w:r>
      <w:r w:rsidRPr="00173413">
        <w:t xml:space="preserve"> (</w:t>
      </w:r>
      <w:r>
        <w:t xml:space="preserve">two </w:t>
      </w:r>
      <w:r w:rsidRPr="00173413">
        <w:t>k</w:t>
      </w:r>
      <w:r>
        <w:t>ilo</w:t>
      </w:r>
      <w:r w:rsidRPr="00173413">
        <w:t>m</w:t>
      </w:r>
      <w:r>
        <w:t>etres</w:t>
      </w:r>
      <w:r w:rsidRPr="00173413">
        <w:t xml:space="preserve"> of roadworks) including Parkes Road Intersection Works are expected to be completed in 2024.</w:t>
      </w:r>
    </w:p>
    <w:p w14:paraId="1CD38A54" w14:textId="77777777" w:rsidR="00805A93" w:rsidRPr="00CD4D57" w:rsidRDefault="00805A93" w:rsidP="00805A93">
      <w:pPr>
        <w:pStyle w:val="Heading4"/>
      </w:pPr>
      <w:r w:rsidRPr="00CD4D57">
        <w:t xml:space="preserve">Rockhampton </w:t>
      </w:r>
      <w:r>
        <w:t>R</w:t>
      </w:r>
      <w:r w:rsidRPr="00CD4D57">
        <w:t>ailyards rejuvenation</w:t>
      </w:r>
    </w:p>
    <w:p w14:paraId="7A6E6D30" w14:textId="77777777" w:rsidR="00805A93" w:rsidRPr="00CD4D57" w:rsidRDefault="00805A93" w:rsidP="00805A93">
      <w:r w:rsidRPr="00CD4D57">
        <w:t xml:space="preserve">The Rockhampton </w:t>
      </w:r>
      <w:r>
        <w:t>R</w:t>
      </w:r>
      <w:r w:rsidRPr="00CD4D57">
        <w:t xml:space="preserve">ailyards have been an important part of </w:t>
      </w:r>
      <w:r>
        <w:t>C</w:t>
      </w:r>
      <w:r w:rsidRPr="00CD4D57">
        <w:t>entral Queensland</w:t>
      </w:r>
      <w:r>
        <w:t xml:space="preserve"> </w:t>
      </w:r>
      <w:r w:rsidRPr="00CD4D57">
        <w:t xml:space="preserve">for more than 100 years. TMR has been working towards rejuvenating the historic site since </w:t>
      </w:r>
      <w:r>
        <w:t>its purchase</w:t>
      </w:r>
      <w:r w:rsidRPr="00CD4D57">
        <w:t xml:space="preserve"> from Aurizon in 2022.</w:t>
      </w:r>
    </w:p>
    <w:p w14:paraId="795FBEDF" w14:textId="77777777" w:rsidR="00805A93" w:rsidRDefault="00805A93" w:rsidP="00805A93">
      <w:r>
        <w:t>The railyards were largely abandoned for some time.</w:t>
      </w:r>
      <w:r w:rsidRPr="00CD4D57">
        <w:t xml:space="preserve"> </w:t>
      </w:r>
      <w:r>
        <w:t xml:space="preserve">Detailed planning is now underway to transport the old railyards into a commercial hub with community and recreational spaces, breathing new life into the area. </w:t>
      </w:r>
    </w:p>
    <w:p w14:paraId="692A7BB4" w14:textId="77777777" w:rsidR="00805A93" w:rsidRDefault="00805A93" w:rsidP="00805A93">
      <w:r>
        <w:t xml:space="preserve">Works are underway to transform the site and prepare its buildings for tenancies, offering opportunities for local industries including rail maintenance and manufacturing. Any work on the railyard precinct will consider the history of the area. Work on </w:t>
      </w:r>
      <w:r>
        <w:lastRenderedPageBreak/>
        <w:t xml:space="preserve">the Roadhouse will be progressed in accordance with a Conservation Management Plan—this provides a stringent framework for any redevelopment or upgrades to heritage listed buildings or structures on the site.  </w:t>
      </w:r>
    </w:p>
    <w:p w14:paraId="1DD88AA0" w14:textId="77777777" w:rsidR="00805A93" w:rsidRPr="006B0882" w:rsidRDefault="00805A93" w:rsidP="00805A93">
      <w:r w:rsidRPr="006B0882">
        <w:t>The rejuvenation of the Railyards will:</w:t>
      </w:r>
    </w:p>
    <w:p w14:paraId="174AD4A0" w14:textId="77777777" w:rsidR="00805A93" w:rsidRPr="006B0882" w:rsidRDefault="00805A93" w:rsidP="00805A93">
      <w:pPr>
        <w:pStyle w:val="ListBullet"/>
      </w:pPr>
      <w:r w:rsidRPr="006B0882">
        <w:t>support Queensland's rollingstock supply chain capabilities and commercial growth in the manufacturing and maintenance industries</w:t>
      </w:r>
    </w:p>
    <w:p w14:paraId="2CCBAFF4" w14:textId="77777777" w:rsidR="00805A93" w:rsidRPr="006B0882" w:rsidRDefault="00805A93" w:rsidP="00805A93">
      <w:pPr>
        <w:pStyle w:val="ListBullet"/>
      </w:pPr>
      <w:r w:rsidRPr="006B0882">
        <w:t>provide a commercial hub for long-term tenancy opportunities</w:t>
      </w:r>
    </w:p>
    <w:p w14:paraId="1D29F577" w14:textId="77777777" w:rsidR="00805A93" w:rsidRPr="006B0882" w:rsidRDefault="00805A93" w:rsidP="00805A93">
      <w:pPr>
        <w:pStyle w:val="ListBullet"/>
      </w:pPr>
      <w:r w:rsidRPr="006B0882">
        <w:t>establish a research centre into hydrogen-powered rollingstock</w:t>
      </w:r>
    </w:p>
    <w:p w14:paraId="6DBA9731" w14:textId="77777777" w:rsidR="00805A93" w:rsidRPr="006B0882" w:rsidRDefault="00805A93" w:rsidP="00805A93">
      <w:pPr>
        <w:pStyle w:val="ListBullet"/>
      </w:pPr>
      <w:r w:rsidRPr="006B0882">
        <w:t xml:space="preserve">invite community use and recreational activities celebrate the rich rail history and heritage value of the roundhouse. </w:t>
      </w:r>
    </w:p>
    <w:p w14:paraId="2A471F26" w14:textId="77777777" w:rsidR="00805A93" w:rsidRDefault="00805A93" w:rsidP="00805A93">
      <w:r>
        <w:t>An expression of interest was launched at an industry briefing to shortlist potential future tenants. The process ran from 20 July to 17 August 2022.</w:t>
      </w:r>
    </w:p>
    <w:p w14:paraId="0582C176" w14:textId="77777777" w:rsidR="00805A93" w:rsidRDefault="00805A93" w:rsidP="00805A93">
      <w:r>
        <w:t>The proposals have been evaluated and the first major tenants announced in early-June 2023. Commercial negotiations with other potential tenants are advancing, with further tenancies to be finalised throughout 2023–24.</w:t>
      </w:r>
    </w:p>
    <w:p w14:paraId="04447861" w14:textId="77777777" w:rsidR="00805A93" w:rsidRPr="00CD4D57" w:rsidRDefault="00805A93" w:rsidP="00805A93">
      <w:r w:rsidRPr="009D4703">
        <w:t xml:space="preserve">The railyards will form part of the supply chain for the </w:t>
      </w:r>
      <w:r>
        <w:t>Queensland Government's</w:t>
      </w:r>
      <w:r w:rsidRPr="009D4703">
        <w:t xml:space="preserve"> Q</w:t>
      </w:r>
      <w:r>
        <w:t>TMP.</w:t>
      </w:r>
    </w:p>
    <w:p w14:paraId="51CAD0AB" w14:textId="77777777" w:rsidR="00805A93" w:rsidRPr="00CD4D57" w:rsidRDefault="00805A93" w:rsidP="00805A93">
      <w:pPr>
        <w:pStyle w:val="ForMoreInformation"/>
        <w:rPr>
          <w:rStyle w:val="SubtleReference"/>
          <w:color w:val="auto"/>
        </w:rPr>
      </w:pPr>
      <w:r w:rsidRPr="00CD4D57">
        <w:t>For more information</w:t>
      </w:r>
      <w:r>
        <w:br/>
      </w:r>
      <w:hyperlink r:id="rId36" w:history="1">
        <w:r w:rsidRPr="00CD4D57">
          <w:rPr>
            <w:rStyle w:val="Hyperlink"/>
          </w:rPr>
          <w:t>https://www.tmr.qld.gov.au/projects/rockhampton-railyards-rejuvenation</w:t>
        </w:r>
      </w:hyperlink>
      <w:r w:rsidRPr="00CD4D57">
        <w:t xml:space="preserve"> </w:t>
      </w:r>
    </w:p>
    <w:p w14:paraId="15CDD098" w14:textId="77777777" w:rsidR="00E6328B" w:rsidRDefault="00E6328B">
      <w:pPr>
        <w:spacing w:before="0" w:after="160" w:line="259" w:lineRule="auto"/>
        <w:rPr>
          <w:rFonts w:eastAsiaTheme="majorEastAsia" w:cstheme="majorBidi"/>
          <w:color w:val="000000" w:themeColor="text1"/>
          <w:sz w:val="32"/>
          <w:szCs w:val="24"/>
        </w:rPr>
      </w:pPr>
      <w:r>
        <w:br w:type="page"/>
      </w:r>
    </w:p>
    <w:p w14:paraId="6CB40922" w14:textId="5E2A3F5E" w:rsidR="00805A93" w:rsidRDefault="00805A93" w:rsidP="00805A93">
      <w:pPr>
        <w:pStyle w:val="Heading3"/>
      </w:pPr>
      <w:r>
        <w:lastRenderedPageBreak/>
        <w:t>Wide Bay Burnett</w:t>
      </w:r>
    </w:p>
    <w:p w14:paraId="51CF5576" w14:textId="77777777" w:rsidR="00805A93" w:rsidRDefault="00805A93" w:rsidP="00591E7C">
      <w:pPr>
        <w:pStyle w:val="Heading4"/>
      </w:pPr>
      <w:r>
        <w:t xml:space="preserve">Fast Facts </w:t>
      </w:r>
    </w:p>
    <w:p w14:paraId="1A0E704D" w14:textId="77777777" w:rsidR="00805A93" w:rsidRDefault="00805A93" w:rsidP="00805A93">
      <w:pPr>
        <w:pStyle w:val="ListBullet"/>
      </w:pPr>
      <w:r>
        <w:t>2970 Kilometres State-controlled road</w:t>
      </w:r>
      <w:r>
        <w:footnoteReference w:id="25"/>
      </w:r>
    </w:p>
    <w:p w14:paraId="36F70B0C" w14:textId="77777777" w:rsidR="00805A93" w:rsidRDefault="00805A93" w:rsidP="00805A93">
      <w:pPr>
        <w:pStyle w:val="ListBullet"/>
      </w:pPr>
      <w:r>
        <w:t>271 Kilometres National Land Transport Network</w:t>
      </w:r>
      <w:r>
        <w:footnoteReference w:id="26"/>
      </w:r>
      <w:r>
        <w:t xml:space="preserve"> </w:t>
      </w:r>
    </w:p>
    <w:p w14:paraId="3E6F935E" w14:textId="77777777" w:rsidR="00805A93" w:rsidRDefault="00805A93" w:rsidP="00805A93">
      <w:pPr>
        <w:pStyle w:val="ListBullet"/>
      </w:pPr>
      <w:r>
        <w:t xml:space="preserve">444,295 Vehicle and machinery registrations </w:t>
      </w:r>
    </w:p>
    <w:p w14:paraId="597545FA" w14:textId="77777777" w:rsidR="00805A93" w:rsidRDefault="00805A93" w:rsidP="00805A93">
      <w:pPr>
        <w:pStyle w:val="ListBullet"/>
      </w:pPr>
      <w:r>
        <w:t xml:space="preserve">75 Boating infrastructures </w:t>
      </w:r>
    </w:p>
    <w:p w14:paraId="030A76F1" w14:textId="77777777" w:rsidR="00805A93" w:rsidRDefault="00805A93" w:rsidP="00805A93">
      <w:pPr>
        <w:pStyle w:val="ListBullet"/>
      </w:pPr>
      <w:r>
        <w:t xml:space="preserve">39 Community safety events held </w:t>
      </w:r>
    </w:p>
    <w:p w14:paraId="4381BD57" w14:textId="77777777" w:rsidR="00805A93" w:rsidRDefault="00805A93" w:rsidP="00805A93">
      <w:pPr>
        <w:pStyle w:val="ListBullet"/>
      </w:pPr>
      <w:r>
        <w:t xml:space="preserve">4220 Vehicle and machinery inspections completed </w:t>
      </w:r>
    </w:p>
    <w:p w14:paraId="63497884" w14:textId="77777777" w:rsidR="00805A93" w:rsidRDefault="00805A93" w:rsidP="00805A93">
      <w:pPr>
        <w:pStyle w:val="ListBullet"/>
      </w:pPr>
      <w:r>
        <w:t>298 Bridges</w:t>
      </w:r>
      <w:r>
        <w:footnoteReference w:id="27"/>
      </w:r>
      <w:r>
        <w:t xml:space="preserve"> </w:t>
      </w:r>
    </w:p>
    <w:p w14:paraId="14A13C7E" w14:textId="77777777" w:rsidR="00805A93" w:rsidRDefault="00805A93" w:rsidP="00805A93">
      <w:pPr>
        <w:pStyle w:val="ListBullet"/>
      </w:pPr>
      <w:r>
        <w:t xml:space="preserve">8321 Driver licence tests conducted </w:t>
      </w:r>
    </w:p>
    <w:p w14:paraId="089A6DC4" w14:textId="77777777" w:rsidR="00805A93" w:rsidRDefault="00805A93" w:rsidP="00805A93">
      <w:pPr>
        <w:pStyle w:val="ListBullet"/>
      </w:pPr>
      <w:r>
        <w:t xml:space="preserve">300,973 Customer face-to-face interactions </w:t>
      </w:r>
    </w:p>
    <w:p w14:paraId="2771B054" w14:textId="77777777" w:rsidR="00805A93" w:rsidRDefault="00805A93" w:rsidP="00805A93">
      <w:pPr>
        <w:pStyle w:val="ListBullet"/>
      </w:pPr>
      <w:r>
        <w:t xml:space="preserve">134 Priority-enabled intersections </w:t>
      </w:r>
    </w:p>
    <w:p w14:paraId="4F863BDD" w14:textId="77777777" w:rsidR="00805A93" w:rsidRDefault="00805A93" w:rsidP="00805A93">
      <w:pPr>
        <w:pStyle w:val="ListBullet"/>
      </w:pPr>
      <w:r>
        <w:t xml:space="preserve">48,503 Kilometres Squared Area covered </w:t>
      </w:r>
    </w:p>
    <w:p w14:paraId="6BB373B6" w14:textId="77777777" w:rsidR="00805A93" w:rsidRDefault="00805A93" w:rsidP="00805A93">
      <w:pPr>
        <w:pStyle w:val="ListBullet"/>
      </w:pPr>
      <w:r>
        <w:t>5.97 per cent Population of Queensland</w:t>
      </w:r>
      <w:r>
        <w:footnoteReference w:id="28"/>
      </w:r>
    </w:p>
    <w:p w14:paraId="5E6AF292" w14:textId="77777777" w:rsidR="00805A93" w:rsidRDefault="00805A93" w:rsidP="00805A93">
      <w:pPr>
        <w:pStyle w:val="Heading4"/>
      </w:pPr>
      <w:r w:rsidRPr="00CB6861">
        <w:t>Bruce Highway (Maryborough–Gin Gin) Saltwater Creek and Deadmans Gully, flood immunity upgrade</w:t>
      </w:r>
      <w:r>
        <w:t xml:space="preserve"> </w:t>
      </w:r>
    </w:p>
    <w:p w14:paraId="47E8A2C8" w14:textId="77777777" w:rsidR="00805A93" w:rsidRDefault="00805A93" w:rsidP="00805A93">
      <w:r>
        <w:t xml:space="preserve">In December 2022, </w:t>
      </w:r>
      <w:r w:rsidRPr="00CB6861">
        <w:t xml:space="preserve">construction </w:t>
      </w:r>
      <w:r>
        <w:t>was completed to</w:t>
      </w:r>
      <w:r w:rsidRPr="00CB6861">
        <w:t xml:space="preserve"> improve flood immunity along an 11</w:t>
      </w:r>
      <w:r>
        <w:t xml:space="preserve"> kilometre</w:t>
      </w:r>
      <w:r w:rsidRPr="00CB6861">
        <w:t xml:space="preserve"> section of the Bruce Highway between Maryborough and Torbanlea</w:t>
      </w:r>
      <w:r>
        <w:t>.</w:t>
      </w:r>
      <w:r w:rsidRPr="00CB6861">
        <w:t xml:space="preserve"> </w:t>
      </w:r>
    </w:p>
    <w:p w14:paraId="42B9A108" w14:textId="77777777" w:rsidR="00805A93" w:rsidRDefault="00805A93" w:rsidP="00805A93">
      <w:r w:rsidRPr="00CB6861">
        <w:t>The project involve</w:t>
      </w:r>
      <w:r>
        <w:t>d</w:t>
      </w:r>
      <w:r w:rsidRPr="00CB6861">
        <w:t xml:space="preserve"> constructing two new high-level bridges on a new alignment</w:t>
      </w:r>
      <w:r>
        <w:t>. These will r</w:t>
      </w:r>
      <w:r w:rsidRPr="00CB6861">
        <w:t>eplace the Saltwater Creek and Deadmans Gully crossings, as well as upgrad</w:t>
      </w:r>
      <w:r>
        <w:t>e</w:t>
      </w:r>
      <w:r w:rsidRPr="00CB6861">
        <w:t xml:space="preserve"> four floodways between Maryborough and Torbanlea. </w:t>
      </w:r>
    </w:p>
    <w:p w14:paraId="66638998" w14:textId="77777777" w:rsidR="00805A93" w:rsidRDefault="00805A93" w:rsidP="00805A93">
      <w:r>
        <w:t xml:space="preserve">Traffic switched to the new </w:t>
      </w:r>
      <w:r w:rsidRPr="000E506D">
        <w:t>Deadman</w:t>
      </w:r>
      <w:r>
        <w:t>s</w:t>
      </w:r>
      <w:r w:rsidRPr="000E506D">
        <w:t xml:space="preserve"> Gully bridge </w:t>
      </w:r>
      <w:r>
        <w:t xml:space="preserve">in June 2022, and the Saltwater Creek bridge in August 2022. </w:t>
      </w:r>
    </w:p>
    <w:p w14:paraId="13A27652" w14:textId="77777777" w:rsidR="00805A93" w:rsidRDefault="00805A93" w:rsidP="00805A93">
      <w:r w:rsidRPr="00CB6861">
        <w:t>Th</w:t>
      </w:r>
      <w:r>
        <w:t xml:space="preserve">is $103 </w:t>
      </w:r>
      <w:r w:rsidRPr="00CB6861">
        <w:t xml:space="preserve">million project </w:t>
      </w:r>
      <w:r>
        <w:t>wa</w:t>
      </w:r>
      <w:r w:rsidRPr="00CB6861">
        <w:t>s jointly funded by the Australian and Queensland governments on an 80:20</w:t>
      </w:r>
      <w:r>
        <w:t xml:space="preserve"> (federal:state)</w:t>
      </w:r>
      <w:r w:rsidRPr="00CB6861">
        <w:t xml:space="preserve"> basis</w:t>
      </w:r>
      <w:r>
        <w:t>.</w:t>
      </w:r>
    </w:p>
    <w:p w14:paraId="5AA1E30E" w14:textId="77777777" w:rsidR="00805A93" w:rsidRDefault="00805A93" w:rsidP="00805A93">
      <w:pPr>
        <w:pStyle w:val="ForMoreInformation"/>
      </w:pPr>
      <w:r>
        <w:t>For more information</w:t>
      </w:r>
      <w:r>
        <w:br/>
      </w:r>
      <w:r w:rsidRPr="00CB6861">
        <w:rPr>
          <w:rStyle w:val="Hyperlink"/>
        </w:rPr>
        <w:t>https://www.tmr.qld.gov.au/projects/bruce-highway-maryborough-gin</w:t>
      </w:r>
      <w:r>
        <w:rPr>
          <w:rStyle w:val="Hyperlink"/>
        </w:rPr>
        <w:t>-</w:t>
      </w:r>
      <w:r w:rsidRPr="00CB6861">
        <w:rPr>
          <w:rStyle w:val="Hyperlink"/>
        </w:rPr>
        <w:t>gin-saltwater-creek-and-deadmans-gully-flood-immunity-upgrades</w:t>
      </w:r>
    </w:p>
    <w:p w14:paraId="0F9083EE" w14:textId="77777777" w:rsidR="00805A93" w:rsidRDefault="00805A93" w:rsidP="00805A93">
      <w:pPr>
        <w:pStyle w:val="Heading4"/>
      </w:pPr>
      <w:r w:rsidRPr="00B956D0">
        <w:t>Bruce Highway (Gympie</w:t>
      </w:r>
      <w:r>
        <w:t>–</w:t>
      </w:r>
      <w:r w:rsidRPr="00B956D0">
        <w:t>Maryborough), Tiaro Bypass, construct four lane bypass</w:t>
      </w:r>
      <w:r>
        <w:t xml:space="preserve"> </w:t>
      </w:r>
    </w:p>
    <w:p w14:paraId="3621EDE5" w14:textId="77777777" w:rsidR="00805A93" w:rsidRPr="00B956D0" w:rsidRDefault="00805A93" w:rsidP="00805A93">
      <w:r w:rsidRPr="00B956D0">
        <w:t xml:space="preserve">Planning </w:t>
      </w:r>
      <w:r>
        <w:t>has been completed</w:t>
      </w:r>
      <w:r w:rsidRPr="00B956D0">
        <w:t xml:space="preserve"> </w:t>
      </w:r>
      <w:r>
        <w:t xml:space="preserve">on the </w:t>
      </w:r>
      <w:r w:rsidRPr="00B956D0">
        <w:t>Tiaro Bypass</w:t>
      </w:r>
      <w:r>
        <w:t xml:space="preserve"> and </w:t>
      </w:r>
      <w:r w:rsidRPr="00B956D0">
        <w:t>detailed design commence</w:t>
      </w:r>
      <w:r>
        <w:t>d</w:t>
      </w:r>
      <w:r w:rsidRPr="00B956D0">
        <w:t xml:space="preserve"> in March 2023. </w:t>
      </w:r>
    </w:p>
    <w:p w14:paraId="4EB03904" w14:textId="77777777" w:rsidR="00805A93" w:rsidRPr="00B956D0" w:rsidRDefault="00805A93" w:rsidP="00805A93">
      <w:r w:rsidRPr="00B956D0">
        <w:t>The new bypass will improve safety, traffic efficiency</w:t>
      </w:r>
      <w:r>
        <w:t>,</w:t>
      </w:r>
      <w:r w:rsidRPr="00B956D0">
        <w:t xml:space="preserve"> and flood immunity on the Bruce Highway</w:t>
      </w:r>
      <w:r>
        <w:t>,</w:t>
      </w:r>
      <w:r w:rsidRPr="00B956D0">
        <w:t xml:space="preserve"> and future-proof the road to cater for growing traffic volumes. It will also remove a significant number of heavy vehicles from the Tiaro township, improving safety and </w:t>
      </w:r>
      <w:r>
        <w:t>amenity</w:t>
      </w:r>
      <w:r w:rsidRPr="00B956D0">
        <w:t xml:space="preserve"> for residents.</w:t>
      </w:r>
    </w:p>
    <w:p w14:paraId="59882B96" w14:textId="77777777" w:rsidR="00805A93" w:rsidRDefault="00805A93" w:rsidP="00805A93">
      <w:r w:rsidRPr="00B956D0">
        <w:t xml:space="preserve">The draft design includes nine kilometres of </w:t>
      </w:r>
      <w:r>
        <w:t xml:space="preserve">a </w:t>
      </w:r>
      <w:r w:rsidRPr="00B956D0">
        <w:t>new four-lane highway to the east of Tiaro with a concrete centre median and two grade-separated interchange connections to Tiaro</w:t>
      </w:r>
      <w:r>
        <w:t xml:space="preserve">, </w:t>
      </w:r>
      <w:r w:rsidRPr="00B956D0">
        <w:t>one north and one south of the town</w:t>
      </w:r>
      <w:r>
        <w:t>ship</w:t>
      </w:r>
      <w:r w:rsidRPr="00B956D0">
        <w:t xml:space="preserve">. </w:t>
      </w:r>
    </w:p>
    <w:p w14:paraId="57FD113A" w14:textId="77777777" w:rsidR="00805A93" w:rsidRDefault="00805A93" w:rsidP="00805A93">
      <w:bookmarkStart w:id="15" w:name="_Hlk136941485"/>
      <w:r w:rsidRPr="00BA57EC">
        <w:t xml:space="preserve">Community information sessions were held in Tiaro in July 2022 and ongoing community consultation </w:t>
      </w:r>
      <w:r>
        <w:t xml:space="preserve">will occur </w:t>
      </w:r>
      <w:r w:rsidRPr="00BA57EC">
        <w:t>throughout the detailed design phase.</w:t>
      </w:r>
    </w:p>
    <w:p w14:paraId="228AC1F4" w14:textId="77777777" w:rsidR="00805A93" w:rsidRPr="00B956D0" w:rsidRDefault="00805A93" w:rsidP="00805A93">
      <w:r w:rsidRPr="00BA57EC">
        <w:lastRenderedPageBreak/>
        <w:t>TMR will continue working closely with Tiaro and surrounding communities. TMR</w:t>
      </w:r>
      <w:r>
        <w:t>,</w:t>
      </w:r>
      <w:r w:rsidRPr="00BA57EC">
        <w:t xml:space="preserve"> in collaboration with the Tiaro Community Working Group and Fraser Coast Regional Council, aims to identify and address potential challenges, while also leveraging opportunities that the bypass project may bring to the area</w:t>
      </w:r>
      <w:bookmarkEnd w:id="15"/>
      <w:r w:rsidRPr="00BA57EC">
        <w:t>.</w:t>
      </w:r>
    </w:p>
    <w:p w14:paraId="403F65FD" w14:textId="77777777" w:rsidR="00805A93" w:rsidRDefault="00805A93" w:rsidP="00805A93">
      <w:r w:rsidRPr="00B956D0">
        <w:t>Th</w:t>
      </w:r>
      <w:r>
        <w:t>is</w:t>
      </w:r>
      <w:r w:rsidRPr="00B956D0">
        <w:t xml:space="preserve"> </w:t>
      </w:r>
      <w:r>
        <w:t xml:space="preserve">$336 </w:t>
      </w:r>
      <w:r w:rsidRPr="00B956D0">
        <w:t xml:space="preserve">million project is jointly funded by </w:t>
      </w:r>
      <w:r>
        <w:t xml:space="preserve">the </w:t>
      </w:r>
      <w:r w:rsidRPr="00B956D0">
        <w:t xml:space="preserve">Australian and Queensland governments on an 80:20 </w:t>
      </w:r>
      <w:r>
        <w:t xml:space="preserve">(federal:basis) </w:t>
      </w:r>
      <w:r w:rsidRPr="00B956D0">
        <w:t xml:space="preserve">basis. </w:t>
      </w:r>
    </w:p>
    <w:p w14:paraId="5B38652A" w14:textId="77777777" w:rsidR="00805A93" w:rsidRDefault="00805A93" w:rsidP="00805A93">
      <w:pPr>
        <w:pStyle w:val="ForMoreInformation"/>
      </w:pPr>
      <w:r>
        <w:t>For more information</w:t>
      </w:r>
      <w:r>
        <w:br/>
      </w:r>
      <w:r w:rsidRPr="00A81F2E">
        <w:rPr>
          <w:rStyle w:val="Hyperlink"/>
        </w:rPr>
        <w:t>https://www.tmr.qld.gov.au/projects/bruce-highway-gympie-maryborough-tiaro-bypass-construct-four-lane-bypass</w:t>
      </w:r>
    </w:p>
    <w:p w14:paraId="1D8DD653" w14:textId="245E5BDF" w:rsidR="00805A93" w:rsidRDefault="00805A93" w:rsidP="00805A93">
      <w:pPr>
        <w:pStyle w:val="Heading4"/>
      </w:pPr>
      <w:r>
        <w:t xml:space="preserve">Case </w:t>
      </w:r>
      <w:r w:rsidR="00591E7C">
        <w:t>s</w:t>
      </w:r>
      <w:r>
        <w:t>tudy</w:t>
      </w:r>
      <w:r w:rsidR="009249AF">
        <w:t xml:space="preserve"> </w:t>
      </w:r>
      <w:r>
        <w:t xml:space="preserve">Mundubbera–Durong Road, John Peterson Bridge (Boyne River) replace bridge </w:t>
      </w:r>
    </w:p>
    <w:p w14:paraId="6563EE5D" w14:textId="77777777" w:rsidR="00805A93" w:rsidRDefault="00805A93" w:rsidP="00805A93">
      <w:r>
        <w:t>In late-2022, reinforced concrete decking units, each weighing nine tonnes, were lifted onto the headstocks of the new John Peterson Bridge.</w:t>
      </w:r>
    </w:p>
    <w:p w14:paraId="45BC592D" w14:textId="77777777" w:rsidR="00805A93" w:rsidRDefault="00805A93" w:rsidP="00805A93">
      <w:r>
        <w:t>For almost 100 years, the single-lane John Peterson Bridge, along Mundubbera–Durong Road, connected the communities on either side of the Boyne River in the North Burnett area.</w:t>
      </w:r>
    </w:p>
    <w:p w14:paraId="65B5E2B2" w14:textId="77777777" w:rsidR="00805A93" w:rsidRDefault="00805A93" w:rsidP="00805A93">
      <w:r>
        <w:t>Built as one of the, then newly formed, Main Roads Commission's first bridges in the mid-1920s, the bridge was showing its age, was flood-prone, and speed was limited to 60 kilometres per hour.</w:t>
      </w:r>
    </w:p>
    <w:p w14:paraId="0DC6AE38" w14:textId="77777777" w:rsidR="00805A93" w:rsidRDefault="00805A93" w:rsidP="00805A93">
      <w:r>
        <w:t>The replacement eight-span concrete bridge was opened to traffic in June 2023. It is located about 500 metres north west of the existing bridge on a straighter, safer alignment, shortening the route by about 700 metres.</w:t>
      </w:r>
    </w:p>
    <w:p w14:paraId="1A164EDF" w14:textId="77777777" w:rsidR="00805A93" w:rsidRDefault="00805A93" w:rsidP="00805A93">
      <w:r>
        <w:t>The new bridge will reduce the need for ongoing maintenance and accommodates two lanes of traffic. The posted speed limit at the crossing has increased from 60 kilometres to 100 kilometres.</w:t>
      </w:r>
    </w:p>
    <w:p w14:paraId="64DC8126" w14:textId="77777777" w:rsidR="00805A93" w:rsidRDefault="00805A93" w:rsidP="00805A93">
      <w:r>
        <w:t>This $25 million project is jointly funded by the Australian and Queensland governments on an 80:20 (federal:state) basis.</w:t>
      </w:r>
    </w:p>
    <w:p w14:paraId="7A537B39" w14:textId="77777777" w:rsidR="00805A93" w:rsidRPr="00657B5A" w:rsidRDefault="00805A93" w:rsidP="00805A93">
      <w:pPr>
        <w:pStyle w:val="ForMoreInformation"/>
      </w:pPr>
      <w:r>
        <w:t>For more information</w:t>
      </w:r>
      <w:r>
        <w:br/>
      </w:r>
      <w:r w:rsidRPr="00ED19AE">
        <w:rPr>
          <w:rStyle w:val="Hyperlink"/>
        </w:rPr>
        <w:t>https://www.tmr.qld.gov.au/projects/mundubbera-durong-road-john-peterson-bridge-boyne-river-replace-bridge</w:t>
      </w:r>
    </w:p>
    <w:p w14:paraId="6FAB338A" w14:textId="77777777" w:rsidR="00805A93" w:rsidRDefault="00805A93" w:rsidP="00805A93">
      <w:pPr>
        <w:pStyle w:val="Heading4"/>
      </w:pPr>
      <w:r w:rsidRPr="00B20E68">
        <w:t>Torbanlea</w:t>
      </w:r>
      <w:r>
        <w:t>–</w:t>
      </w:r>
      <w:r w:rsidRPr="00B20E68">
        <w:t>Pialba Road</w:t>
      </w:r>
      <w:r>
        <w:t xml:space="preserve"> </w:t>
      </w:r>
      <w:r w:rsidRPr="00B20E68">
        <w:t xml:space="preserve">various locations upgrade intersections and floodways </w:t>
      </w:r>
    </w:p>
    <w:p w14:paraId="15E51C76" w14:textId="77777777" w:rsidR="00805A93" w:rsidRDefault="00805A93" w:rsidP="00805A93">
      <w:r>
        <w:t>F</w:t>
      </w:r>
      <w:r w:rsidRPr="00B20E68">
        <w:t xml:space="preserve">lood immunity </w:t>
      </w:r>
      <w:r>
        <w:t>construction</w:t>
      </w:r>
      <w:r w:rsidRPr="00B20E68">
        <w:t xml:space="preserve"> and intersection upgrades </w:t>
      </w:r>
      <w:r>
        <w:t xml:space="preserve">are underway </w:t>
      </w:r>
      <w:r w:rsidRPr="00B20E68">
        <w:t>along Torbanlea</w:t>
      </w:r>
      <w:r>
        <w:t>–</w:t>
      </w:r>
      <w:r w:rsidRPr="00B20E68">
        <w:t>Pialba Road sections between Beelbi Creek and Takura.</w:t>
      </w:r>
    </w:p>
    <w:p w14:paraId="1181A0EE" w14:textId="77777777" w:rsidR="00805A93" w:rsidRDefault="00805A93" w:rsidP="00805A93">
      <w:r>
        <w:t>The works include u</w:t>
      </w:r>
      <w:r w:rsidRPr="00B20E68">
        <w:t xml:space="preserve">pgrades to </w:t>
      </w:r>
      <w:r>
        <w:t>three</w:t>
      </w:r>
      <w:r w:rsidRPr="00B20E68">
        <w:t xml:space="preserve"> floodways</w:t>
      </w:r>
      <w:r>
        <w:t>, the construction of a four</w:t>
      </w:r>
      <w:r w:rsidRPr="00B20E68">
        <w:t>-span bridge a</w:t>
      </w:r>
      <w:r>
        <w:t xml:space="preserve">cross </w:t>
      </w:r>
      <w:r w:rsidRPr="00B20E68">
        <w:t>Beelbi Creek</w:t>
      </w:r>
      <w:r>
        <w:t>,</w:t>
      </w:r>
      <w:r w:rsidRPr="00B20E68">
        <w:t xml:space="preserve"> </w:t>
      </w:r>
      <w:r>
        <w:t>the</w:t>
      </w:r>
      <w:r w:rsidRPr="00B20E68">
        <w:t xml:space="preserve"> realign</w:t>
      </w:r>
      <w:r>
        <w:t>ment</w:t>
      </w:r>
      <w:r w:rsidRPr="00B20E68">
        <w:t xml:space="preserve"> and widening of Torbanlea</w:t>
      </w:r>
      <w:r>
        <w:t>–</w:t>
      </w:r>
      <w:r w:rsidRPr="00B20E68">
        <w:t>Pialba Road</w:t>
      </w:r>
      <w:r w:rsidRPr="00BE6153">
        <w:t xml:space="preserve"> </w:t>
      </w:r>
      <w:r>
        <w:t>sections, and i</w:t>
      </w:r>
      <w:r w:rsidRPr="00B20E68">
        <w:t>ntersection upgrades including realignments and instal</w:t>
      </w:r>
      <w:r>
        <w:t>lation of</w:t>
      </w:r>
      <w:r w:rsidRPr="00B20E68">
        <w:t xml:space="preserve"> separated turn lanes</w:t>
      </w:r>
      <w:r>
        <w:t>.</w:t>
      </w:r>
    </w:p>
    <w:p w14:paraId="35077792" w14:textId="77777777" w:rsidR="00805A93" w:rsidRDefault="00805A93" w:rsidP="00805A93">
      <w:r>
        <w:t>F</w:t>
      </w:r>
      <w:r w:rsidRPr="003B70C8">
        <w:t>or the new Beelbi Creek bridge</w:t>
      </w:r>
      <w:r>
        <w:t>,</w:t>
      </w:r>
      <w:r w:rsidRPr="003B70C8">
        <w:t xml:space="preserve"> </w:t>
      </w:r>
      <w:r>
        <w:t xml:space="preserve">64 </w:t>
      </w:r>
      <w:r w:rsidRPr="003B70C8">
        <w:t xml:space="preserve">pre-stressed, reinforced concrete </w:t>
      </w:r>
      <w:r>
        <w:t>deck units, each weighing 19</w:t>
      </w:r>
      <w:r w:rsidRPr="003B70C8">
        <w:t xml:space="preserve"> tonne</w:t>
      </w:r>
      <w:r>
        <w:t>s,</w:t>
      </w:r>
      <w:r w:rsidRPr="003B70C8">
        <w:t xml:space="preserve"> </w:t>
      </w:r>
      <w:r>
        <w:t xml:space="preserve">were </w:t>
      </w:r>
      <w:r w:rsidRPr="003B70C8">
        <w:t>installed</w:t>
      </w:r>
      <w:r>
        <w:t>.</w:t>
      </w:r>
    </w:p>
    <w:p w14:paraId="7A82DCD9" w14:textId="77777777" w:rsidR="00805A93" w:rsidRDefault="00805A93" w:rsidP="00805A93">
      <w:r>
        <w:t>The project</w:t>
      </w:r>
      <w:r w:rsidRPr="00CB6861">
        <w:t xml:space="preserve"> is expected to be completed by late</w:t>
      </w:r>
      <w:r>
        <w:t>-</w:t>
      </w:r>
      <w:r w:rsidRPr="00CB6861">
        <w:t>202</w:t>
      </w:r>
      <w:r>
        <w:t>3</w:t>
      </w:r>
      <w:r w:rsidRPr="00CB6861">
        <w:t>, weather and construction conditions permitting</w:t>
      </w:r>
      <w:r>
        <w:t>.</w:t>
      </w:r>
    </w:p>
    <w:p w14:paraId="095F759C" w14:textId="77777777" w:rsidR="00805A93" w:rsidRDefault="00805A93" w:rsidP="00805A93">
      <w:r w:rsidRPr="00CB6861">
        <w:t>Th</w:t>
      </w:r>
      <w:r>
        <w:t>is</w:t>
      </w:r>
      <w:r w:rsidRPr="00CB6861">
        <w:t xml:space="preserve"> </w:t>
      </w:r>
      <w:r>
        <w:t xml:space="preserve">$31.4 </w:t>
      </w:r>
      <w:r w:rsidRPr="00CB6861">
        <w:t>million project is jointly funded by the Australian and Queensland governments on an 80:20</w:t>
      </w:r>
      <w:r>
        <w:t xml:space="preserve"> (federal:state)</w:t>
      </w:r>
      <w:r w:rsidRPr="00CB6861">
        <w:t xml:space="preserve"> basis</w:t>
      </w:r>
      <w:r>
        <w:t>.</w:t>
      </w:r>
    </w:p>
    <w:p w14:paraId="2E2F900E" w14:textId="77777777" w:rsidR="00805A93" w:rsidRDefault="00805A93" w:rsidP="00805A93">
      <w:pPr>
        <w:pStyle w:val="ForMoreInformation"/>
      </w:pPr>
      <w:r>
        <w:t>For more information</w:t>
      </w:r>
      <w:r>
        <w:br/>
      </w:r>
      <w:hyperlink r:id="rId37" w:history="1">
        <w:r w:rsidRPr="00B524FD">
          <w:rPr>
            <w:rStyle w:val="Hyperlink"/>
          </w:rPr>
          <w:t>https://www.tmr.qld.gov.au/projects/torbanlea-pialba-road-various-locations-upgrade-intersections-and-floodways</w:t>
        </w:r>
      </w:hyperlink>
      <w:r>
        <w:rPr>
          <w:rStyle w:val="Hyperlink"/>
        </w:rPr>
        <w:t xml:space="preserve"> </w:t>
      </w:r>
    </w:p>
    <w:p w14:paraId="71B62D45" w14:textId="77777777" w:rsidR="00805A93" w:rsidRDefault="00805A93" w:rsidP="00805A93">
      <w:pPr>
        <w:pStyle w:val="Heading4"/>
      </w:pPr>
      <w:r>
        <w:t>Maryborough–H</w:t>
      </w:r>
      <w:r w:rsidRPr="00B83831">
        <w:t>ervey Bay Road and Pialba</w:t>
      </w:r>
      <w:r>
        <w:t>–</w:t>
      </w:r>
      <w:r w:rsidRPr="00B83831">
        <w:t>Burrum Heads Road</w:t>
      </w:r>
      <w:r w:rsidRPr="00CB6861">
        <w:t xml:space="preserve"> </w:t>
      </w:r>
      <w:r>
        <w:t xml:space="preserve">intersection upgrade </w:t>
      </w:r>
    </w:p>
    <w:p w14:paraId="74F39524" w14:textId="77777777" w:rsidR="00805A93" w:rsidRPr="00B83831" w:rsidRDefault="00805A93" w:rsidP="00805A93">
      <w:r>
        <w:t>Detailed</w:t>
      </w:r>
      <w:r w:rsidRPr="00B83831">
        <w:t xml:space="preserve"> design for the </w:t>
      </w:r>
      <w:bookmarkStart w:id="16" w:name="_Hlk128642886"/>
      <w:r w:rsidRPr="00B83831">
        <w:t>Maryborough</w:t>
      </w:r>
      <w:r>
        <w:t>–</w:t>
      </w:r>
      <w:r w:rsidRPr="00B83831">
        <w:t>Hervey Bay Road and Pialba</w:t>
      </w:r>
      <w:r>
        <w:t>–</w:t>
      </w:r>
      <w:r w:rsidRPr="00B83831">
        <w:t>Burrum Heads Road</w:t>
      </w:r>
      <w:bookmarkEnd w:id="16"/>
      <w:r w:rsidRPr="00B83831">
        <w:t xml:space="preserve"> </w:t>
      </w:r>
      <w:r>
        <w:t>intersection upgrade was completed in June 2023.</w:t>
      </w:r>
    </w:p>
    <w:p w14:paraId="3FAD87A1" w14:textId="77777777" w:rsidR="00805A93" w:rsidRPr="00B83831" w:rsidRDefault="00805A93" w:rsidP="00805A93">
      <w:r w:rsidRPr="00B83831">
        <w:t xml:space="preserve">The design includes traffic signals at the intersection to improve traffic flow and road safety and improvements to pedestrian and bike riding facilities on both roads. </w:t>
      </w:r>
    </w:p>
    <w:p w14:paraId="7F390792" w14:textId="77777777" w:rsidR="00805A93" w:rsidRPr="00B83831" w:rsidRDefault="00805A93" w:rsidP="00805A93">
      <w:r w:rsidRPr="00B83831">
        <w:lastRenderedPageBreak/>
        <w:t>Maryborough</w:t>
      </w:r>
      <w:r>
        <w:t>–</w:t>
      </w:r>
      <w:r w:rsidRPr="00B83831">
        <w:t>Hervey Bay Road</w:t>
      </w:r>
      <w:r>
        <w:t>,</w:t>
      </w:r>
      <w:r w:rsidRPr="00B83831">
        <w:t xml:space="preserve"> on the southern approach to the intersection</w:t>
      </w:r>
      <w:r>
        <w:t>,</w:t>
      </w:r>
      <w:r w:rsidRPr="00B83831">
        <w:t xml:space="preserve"> and Pia</w:t>
      </w:r>
      <w:r>
        <w:t>lb</w:t>
      </w:r>
      <w:r w:rsidRPr="00B83831">
        <w:t>a</w:t>
      </w:r>
      <w:r>
        <w:t>–</w:t>
      </w:r>
      <w:r w:rsidRPr="00B83831">
        <w:t>Burrum Heads Road</w:t>
      </w:r>
      <w:r>
        <w:t>,</w:t>
      </w:r>
      <w:r w:rsidRPr="00B83831">
        <w:t xml:space="preserve"> west of the intersection</w:t>
      </w:r>
      <w:r>
        <w:t>,</w:t>
      </w:r>
      <w:r w:rsidRPr="00B83831">
        <w:t xml:space="preserve"> will be duplicated to four lanes to accommodate major traffic movements</w:t>
      </w:r>
      <w:r>
        <w:t>.</w:t>
      </w:r>
    </w:p>
    <w:p w14:paraId="49E4754F" w14:textId="77777777" w:rsidR="00805A93" w:rsidRPr="00B83831" w:rsidRDefault="00805A93" w:rsidP="00805A93">
      <w:r>
        <w:t xml:space="preserve">TMR undertook consultation with the community in 2022, and again in 2023, with feedback </w:t>
      </w:r>
      <w:r w:rsidRPr="00B83831">
        <w:t>incorporated in the final design.</w:t>
      </w:r>
    </w:p>
    <w:p w14:paraId="5C75288C" w14:textId="77777777" w:rsidR="00805A93" w:rsidRDefault="00805A93" w:rsidP="00805A93">
      <w:r w:rsidRPr="00CB6861">
        <w:t>Th</w:t>
      </w:r>
      <w:r>
        <w:t xml:space="preserve">is $45.89 </w:t>
      </w:r>
      <w:r w:rsidRPr="00CB6861">
        <w:t>million project is jointly funded by the Australian and Queensland governments</w:t>
      </w:r>
      <w:r>
        <w:t>.</w:t>
      </w:r>
    </w:p>
    <w:p w14:paraId="15A15C54" w14:textId="77777777" w:rsidR="00805A93" w:rsidRDefault="00805A93" w:rsidP="00805A93">
      <w:pPr>
        <w:pStyle w:val="ForMoreInformation"/>
      </w:pPr>
      <w:r>
        <w:t>For more information</w:t>
      </w:r>
      <w:r>
        <w:br/>
      </w:r>
      <w:r w:rsidRPr="00955BFD">
        <w:rPr>
          <w:rStyle w:val="Hyperlink"/>
        </w:rPr>
        <w:t xml:space="preserve">https://www.tmr.qld.gov.au/projects/maryborough-hervey-bay-road-and-pialba-burrum-heads-road-upgrade-intersection </w:t>
      </w:r>
    </w:p>
    <w:p w14:paraId="6A5FB158" w14:textId="77777777" w:rsidR="00805A93" w:rsidRDefault="00805A93" w:rsidP="00805A93">
      <w:pPr>
        <w:pStyle w:val="Heading4"/>
      </w:pPr>
      <w:r>
        <w:t xml:space="preserve">Monto–Mount Perry Road, upgrade existing gravel road </w:t>
      </w:r>
    </w:p>
    <w:p w14:paraId="74236AF6" w14:textId="77777777" w:rsidR="00805A93" w:rsidRDefault="00805A93" w:rsidP="00805A93">
      <w:r>
        <w:t>In December 2022, TMR completed sealing of about 4.3 kilometres of Monto–Mount Perry Road at Mungy, between</w:t>
      </w:r>
      <w:r w:rsidRPr="00661DDE">
        <w:t xml:space="preserve"> Eastern Creek </w:t>
      </w:r>
      <w:r>
        <w:t xml:space="preserve">and </w:t>
      </w:r>
      <w:r w:rsidRPr="00661DDE">
        <w:t>Kerwee Road</w:t>
      </w:r>
      <w:r>
        <w:t>.</w:t>
      </w:r>
    </w:p>
    <w:p w14:paraId="0DCB5216" w14:textId="77777777" w:rsidR="00805A93" w:rsidRDefault="00805A93" w:rsidP="00805A93">
      <w:r>
        <w:t>W</w:t>
      </w:r>
      <w:r w:rsidRPr="00661DDE">
        <w:t>orks included</w:t>
      </w:r>
      <w:r>
        <w:t>:</w:t>
      </w:r>
    </w:p>
    <w:p w14:paraId="4C18CD10" w14:textId="77777777" w:rsidR="00805A93" w:rsidRDefault="00805A93" w:rsidP="00805A93">
      <w:pPr>
        <w:pStyle w:val="ListBullet"/>
      </w:pPr>
      <w:r w:rsidRPr="00661DDE">
        <w:t>culvert installation</w:t>
      </w:r>
    </w:p>
    <w:p w14:paraId="6E7FCC0E" w14:textId="77777777" w:rsidR="00805A93" w:rsidRDefault="00805A93" w:rsidP="00805A93">
      <w:pPr>
        <w:pStyle w:val="ListBullet"/>
      </w:pPr>
      <w:r>
        <w:t>significant earthworks to improve the</w:t>
      </w:r>
      <w:r w:rsidRPr="00661DDE">
        <w:t xml:space="preserve"> road alignment</w:t>
      </w:r>
    </w:p>
    <w:p w14:paraId="37C42ED8" w14:textId="77777777" w:rsidR="00805A93" w:rsidRDefault="00805A93" w:rsidP="00805A93">
      <w:pPr>
        <w:pStyle w:val="ListBullet"/>
      </w:pPr>
      <w:r w:rsidRPr="00661DDE">
        <w:t xml:space="preserve">guardrail installation </w:t>
      </w:r>
    </w:p>
    <w:p w14:paraId="7C45F4C0" w14:textId="77777777" w:rsidR="00805A93" w:rsidRPr="00661DDE" w:rsidRDefault="00805A93" w:rsidP="00805A93">
      <w:pPr>
        <w:pStyle w:val="ListBullet"/>
      </w:pPr>
      <w:r w:rsidRPr="00661DDE">
        <w:t xml:space="preserve">bitumen sealing on three </w:t>
      </w:r>
      <w:r>
        <w:t xml:space="preserve">previously </w:t>
      </w:r>
      <w:r w:rsidRPr="00661DDE">
        <w:t>unsealed gravel sections of road.</w:t>
      </w:r>
    </w:p>
    <w:p w14:paraId="22CB5340" w14:textId="77777777" w:rsidR="00805A93" w:rsidRDefault="00805A93" w:rsidP="00805A93">
      <w:r w:rsidRPr="00CB6861">
        <w:t>Th</w:t>
      </w:r>
      <w:r>
        <w:t>is project was</w:t>
      </w:r>
      <w:r w:rsidRPr="00CB6861">
        <w:t xml:space="preserve"> jointly funded by the Australian and Queensland governments</w:t>
      </w:r>
      <w:r>
        <w:t xml:space="preserve">. </w:t>
      </w:r>
    </w:p>
    <w:p w14:paraId="6D458E7F" w14:textId="77777777" w:rsidR="00805A93" w:rsidRDefault="00805A93" w:rsidP="00805A93">
      <w:pPr>
        <w:pStyle w:val="ForMoreInformation"/>
      </w:pPr>
      <w:r>
        <w:t>For more information</w:t>
      </w:r>
      <w:r>
        <w:br/>
      </w:r>
      <w:r w:rsidRPr="00661DDE">
        <w:rPr>
          <w:rStyle w:val="Hyperlink"/>
        </w:rPr>
        <w:t>https://www.tmr.qld.gov.au/projects/monto-mount-perry-road-progressive-sealing</w:t>
      </w:r>
    </w:p>
    <w:p w14:paraId="20788C95" w14:textId="77777777" w:rsidR="00805A93" w:rsidRDefault="00805A93" w:rsidP="00805A93">
      <w:pPr>
        <w:pStyle w:val="Heading4"/>
      </w:pPr>
      <w:r>
        <w:t>Torbanlea – Pialba Road, various location, upgrades intersections and floodways</w:t>
      </w:r>
    </w:p>
    <w:p w14:paraId="4BB60014" w14:textId="77777777" w:rsidR="00805A93" w:rsidRPr="00D465EB" w:rsidRDefault="00805A93" w:rsidP="00805A93">
      <w:r>
        <w:t>Upgrades</w:t>
      </w:r>
      <w:r w:rsidRPr="00D465EB">
        <w:t xml:space="preserve"> to the Bruce Highway</w:t>
      </w:r>
      <w:r>
        <w:t>,</w:t>
      </w:r>
      <w:r w:rsidRPr="00D465EB">
        <w:t xml:space="preserve"> </w:t>
      </w:r>
      <w:r>
        <w:t xml:space="preserve">including </w:t>
      </w:r>
      <w:r w:rsidRPr="00D465EB">
        <w:t>a new intersection</w:t>
      </w:r>
      <w:r>
        <w:t>,</w:t>
      </w:r>
      <w:r w:rsidRPr="00D465EB">
        <w:t xml:space="preserve"> w</w:t>
      </w:r>
      <w:r>
        <w:t>ere</w:t>
      </w:r>
      <w:r w:rsidRPr="00D465EB">
        <w:t xml:space="preserve"> completed </w:t>
      </w:r>
      <w:r>
        <w:t xml:space="preserve">by RoadTek </w:t>
      </w:r>
      <w:r w:rsidRPr="00D465EB">
        <w:t>in readiness for the construction o</w:t>
      </w:r>
      <w:r>
        <w:t>f</w:t>
      </w:r>
      <w:r w:rsidRPr="00D465EB">
        <w:t xml:space="preserve"> the new train manufacturing facility as part of the Cross River Rail Project. </w:t>
      </w:r>
    </w:p>
    <w:p w14:paraId="202DD1D7" w14:textId="77777777" w:rsidR="00805A93" w:rsidRPr="00D465EB" w:rsidRDefault="00805A93" w:rsidP="00805A93">
      <w:r w:rsidRPr="00D465EB">
        <w:t xml:space="preserve">The overall value of the program of works in the package is almost </w:t>
      </w:r>
      <w:r>
        <w:t>$31.4 million</w:t>
      </w:r>
      <w:r w:rsidRPr="00D465EB">
        <w:t xml:space="preserve">. </w:t>
      </w:r>
    </w:p>
    <w:p w14:paraId="18D7DF07" w14:textId="77777777" w:rsidR="00805A93" w:rsidRPr="00D465EB" w:rsidRDefault="00805A93" w:rsidP="00805A93">
      <w:r w:rsidRPr="00D465EB">
        <w:t>The scope of the highway works included</w:t>
      </w:r>
      <w:r>
        <w:t>:</w:t>
      </w:r>
      <w:r w:rsidRPr="00D465EB">
        <w:t xml:space="preserve"> </w:t>
      </w:r>
    </w:p>
    <w:p w14:paraId="2C93D2AE" w14:textId="77777777" w:rsidR="00805A93" w:rsidRPr="00D465EB" w:rsidRDefault="00805A93" w:rsidP="00805A93">
      <w:pPr>
        <w:pStyle w:val="ListBullet"/>
      </w:pPr>
      <w:r w:rsidRPr="00D465EB">
        <w:t xml:space="preserve">extensions to </w:t>
      </w:r>
      <w:r>
        <w:t>four</w:t>
      </w:r>
      <w:r w:rsidRPr="00D465EB">
        <w:t xml:space="preserve"> major existing culvert structures</w:t>
      </w:r>
    </w:p>
    <w:p w14:paraId="3E062D76" w14:textId="77777777" w:rsidR="00805A93" w:rsidRPr="00D465EB" w:rsidRDefault="00805A93" w:rsidP="00805A93">
      <w:pPr>
        <w:pStyle w:val="ListBullet"/>
      </w:pPr>
      <w:r w:rsidRPr="00D465EB">
        <w:t>clearing and grubbing works to accommodate the widening of the highway</w:t>
      </w:r>
    </w:p>
    <w:p w14:paraId="0E0ACFF4" w14:textId="77777777" w:rsidR="00805A93" w:rsidRPr="00D465EB" w:rsidRDefault="00805A93" w:rsidP="00805A93">
      <w:pPr>
        <w:pStyle w:val="ListBullet"/>
      </w:pPr>
      <w:r w:rsidRPr="00D465EB">
        <w:t>shifting of two existing overtaking lanes away from the new intersection</w:t>
      </w:r>
    </w:p>
    <w:p w14:paraId="4FD86D13" w14:textId="77777777" w:rsidR="00805A93" w:rsidRPr="00D465EB" w:rsidRDefault="00805A93" w:rsidP="00805A93">
      <w:pPr>
        <w:pStyle w:val="ListBullet"/>
      </w:pPr>
      <w:r w:rsidRPr="00D465EB">
        <w:t>guardrail installations at two locations</w:t>
      </w:r>
    </w:p>
    <w:p w14:paraId="3CDD5CE7" w14:textId="77777777" w:rsidR="00805A93" w:rsidRPr="00D465EB" w:rsidRDefault="00805A93" w:rsidP="00805A93">
      <w:pPr>
        <w:pStyle w:val="ListBullet"/>
      </w:pPr>
      <w:r w:rsidRPr="00D465EB">
        <w:t>construction of a concrete protection slab over the high-pressure gas main which runs adjacent to the highway</w:t>
      </w:r>
    </w:p>
    <w:p w14:paraId="1341CC15" w14:textId="77777777" w:rsidR="00805A93" w:rsidRPr="00D465EB" w:rsidRDefault="00805A93" w:rsidP="00805A93">
      <w:pPr>
        <w:pStyle w:val="ListBullet"/>
      </w:pPr>
      <w:r w:rsidRPr="00D465EB">
        <w:t>deep lift asphalt placement with two overlying asphalt layers</w:t>
      </w:r>
    </w:p>
    <w:p w14:paraId="5E3F0404" w14:textId="77777777" w:rsidR="00805A93" w:rsidRPr="00D465EB" w:rsidRDefault="00805A93" w:rsidP="00805A93">
      <w:pPr>
        <w:pStyle w:val="ListBullet"/>
      </w:pPr>
      <w:r w:rsidRPr="00D465EB">
        <w:t>lighting installation at the site of the new intersection</w:t>
      </w:r>
      <w:r>
        <w:t>.</w:t>
      </w:r>
    </w:p>
    <w:p w14:paraId="3289E4BF" w14:textId="77777777" w:rsidR="00805A93" w:rsidRDefault="00805A93" w:rsidP="00805A93">
      <w:r w:rsidRPr="00D465EB">
        <w:t xml:space="preserve">Additional works were completed in the township of Torbanlea </w:t>
      </w:r>
      <w:r>
        <w:t>to manage</w:t>
      </w:r>
      <w:r w:rsidRPr="00D465EB">
        <w:t xml:space="preserve"> expected </w:t>
      </w:r>
      <w:r>
        <w:t xml:space="preserve">traffic </w:t>
      </w:r>
      <w:r w:rsidRPr="00D465EB">
        <w:t>increase</w:t>
      </w:r>
      <w:r>
        <w:t>s</w:t>
      </w:r>
      <w:r w:rsidRPr="00D465EB">
        <w:t xml:space="preserve"> during construction and operation of the facility.</w:t>
      </w:r>
    </w:p>
    <w:p w14:paraId="27797EDD" w14:textId="77777777" w:rsidR="00C6602D" w:rsidRDefault="00C6602D">
      <w:pPr>
        <w:spacing w:before="0" w:after="160" w:line="259" w:lineRule="auto"/>
        <w:rPr>
          <w:rFonts w:eastAsiaTheme="majorEastAsia" w:cstheme="majorBidi"/>
          <w:color w:val="000000" w:themeColor="text1"/>
          <w:sz w:val="32"/>
          <w:szCs w:val="24"/>
        </w:rPr>
      </w:pPr>
      <w:r>
        <w:br w:type="page"/>
      </w:r>
    </w:p>
    <w:p w14:paraId="6F193E50" w14:textId="00C52DC5" w:rsidR="00805A93" w:rsidRDefault="00805A93" w:rsidP="00805A93">
      <w:pPr>
        <w:pStyle w:val="Heading3"/>
      </w:pPr>
      <w:r>
        <w:lastRenderedPageBreak/>
        <w:t>Darling Downs</w:t>
      </w:r>
    </w:p>
    <w:p w14:paraId="3678757B" w14:textId="77777777" w:rsidR="00805A93" w:rsidRDefault="00805A93" w:rsidP="00591E7C">
      <w:pPr>
        <w:pStyle w:val="Heading4"/>
      </w:pPr>
      <w:r>
        <w:t xml:space="preserve">Fast Facts </w:t>
      </w:r>
    </w:p>
    <w:p w14:paraId="463FB13F" w14:textId="77777777" w:rsidR="00805A93" w:rsidRDefault="00805A93" w:rsidP="00805A93">
      <w:pPr>
        <w:pStyle w:val="ListBullet"/>
      </w:pPr>
      <w:r>
        <w:t>4533 Kilometres State-controlled road</w:t>
      </w:r>
      <w:r>
        <w:footnoteReference w:id="29"/>
      </w:r>
    </w:p>
    <w:p w14:paraId="147F9542" w14:textId="77777777" w:rsidR="00805A93" w:rsidRDefault="00805A93" w:rsidP="00805A93">
      <w:pPr>
        <w:pStyle w:val="ListBullet"/>
      </w:pPr>
      <w:r>
        <w:t>644 Kilometres National Land Transport Network</w:t>
      </w:r>
      <w:r>
        <w:footnoteReference w:id="30"/>
      </w:r>
      <w:r>
        <w:t xml:space="preserve"> </w:t>
      </w:r>
    </w:p>
    <w:p w14:paraId="7D8DB082" w14:textId="77777777" w:rsidR="00805A93" w:rsidRDefault="00805A93" w:rsidP="00805A93">
      <w:pPr>
        <w:pStyle w:val="ListBullet"/>
      </w:pPr>
      <w:r>
        <w:t xml:space="preserve">363,288 Vehicle and machinery registrations </w:t>
      </w:r>
    </w:p>
    <w:p w14:paraId="3FB95985" w14:textId="77777777" w:rsidR="00805A93" w:rsidRDefault="00805A93" w:rsidP="00805A93">
      <w:pPr>
        <w:pStyle w:val="ListBullet"/>
      </w:pPr>
      <w:r>
        <w:t xml:space="preserve">7 Boating infrastructures </w:t>
      </w:r>
    </w:p>
    <w:p w14:paraId="44AC2B8B" w14:textId="77777777" w:rsidR="00805A93" w:rsidRDefault="00805A93" w:rsidP="00805A93">
      <w:pPr>
        <w:pStyle w:val="ListBullet"/>
      </w:pPr>
      <w:r>
        <w:t xml:space="preserve">25 Community safety events held </w:t>
      </w:r>
    </w:p>
    <w:p w14:paraId="1C0F4060" w14:textId="77777777" w:rsidR="00805A93" w:rsidRDefault="00805A93" w:rsidP="00805A93">
      <w:pPr>
        <w:pStyle w:val="ListBullet"/>
      </w:pPr>
      <w:r>
        <w:t xml:space="preserve">8861 Vehicle and machinery inspections completed </w:t>
      </w:r>
    </w:p>
    <w:p w14:paraId="1025644A" w14:textId="77777777" w:rsidR="00805A93" w:rsidRDefault="00805A93" w:rsidP="00805A93">
      <w:pPr>
        <w:pStyle w:val="ListBullet"/>
      </w:pPr>
      <w:r>
        <w:t>226 Bridges</w:t>
      </w:r>
      <w:r>
        <w:footnoteReference w:id="31"/>
      </w:r>
      <w:r>
        <w:t xml:space="preserve"> </w:t>
      </w:r>
    </w:p>
    <w:p w14:paraId="05853451" w14:textId="77777777" w:rsidR="00805A93" w:rsidRDefault="00805A93" w:rsidP="00805A93">
      <w:pPr>
        <w:pStyle w:val="ListBullet"/>
      </w:pPr>
      <w:r>
        <w:t xml:space="preserve">9172 Driver licence tests conducted </w:t>
      </w:r>
    </w:p>
    <w:p w14:paraId="6234BB33" w14:textId="77777777" w:rsidR="00805A93" w:rsidRDefault="00805A93" w:rsidP="00805A93">
      <w:pPr>
        <w:pStyle w:val="ListBullet"/>
      </w:pPr>
      <w:r>
        <w:t xml:space="preserve">291,186 Customer face-to-face interactions </w:t>
      </w:r>
    </w:p>
    <w:p w14:paraId="1BFE8113" w14:textId="77777777" w:rsidR="00805A93" w:rsidRDefault="00805A93" w:rsidP="00805A93">
      <w:pPr>
        <w:pStyle w:val="ListBullet"/>
      </w:pPr>
      <w:r>
        <w:t xml:space="preserve">141 Priority-enabled intersections </w:t>
      </w:r>
    </w:p>
    <w:p w14:paraId="0DAA7ED0" w14:textId="77777777" w:rsidR="00805A93" w:rsidRDefault="00805A93" w:rsidP="00805A93">
      <w:pPr>
        <w:pStyle w:val="ListBullet"/>
      </w:pPr>
      <w:r>
        <w:t xml:space="preserve">79,521 Kilometres Squared Area covered </w:t>
      </w:r>
    </w:p>
    <w:p w14:paraId="60CF9AEC" w14:textId="77777777" w:rsidR="00805A93" w:rsidRPr="00DF4279" w:rsidRDefault="00805A93" w:rsidP="00805A93">
      <w:pPr>
        <w:pStyle w:val="ListBullet"/>
      </w:pPr>
      <w:r>
        <w:t>5.69 per cent Population of Queensland</w:t>
      </w:r>
      <w:r>
        <w:footnoteReference w:id="32"/>
      </w:r>
    </w:p>
    <w:p w14:paraId="177733C4" w14:textId="77777777" w:rsidR="00805A93" w:rsidRDefault="00805A93" w:rsidP="00805A93">
      <w:pPr>
        <w:pStyle w:val="Heading4"/>
      </w:pPr>
      <w:r>
        <w:t>Cunningham Highway (Ipswich–Warwick), Eight Mile intersection upgrade</w:t>
      </w:r>
    </w:p>
    <w:p w14:paraId="5309AC7C" w14:textId="77777777" w:rsidR="00805A93" w:rsidRPr="002C17C0" w:rsidRDefault="00805A93" w:rsidP="00805A93">
      <w:r w:rsidRPr="002C17C0">
        <w:t xml:space="preserve">Construction </w:t>
      </w:r>
      <w:r>
        <w:t xml:space="preserve">was completed in November 2022 </w:t>
      </w:r>
      <w:r w:rsidRPr="002C17C0">
        <w:t>to improve safety at the</w:t>
      </w:r>
      <w:r>
        <w:t xml:space="preserve"> </w:t>
      </w:r>
      <w:r w:rsidRPr="002C17C0">
        <w:t>Cunningham and New England highways</w:t>
      </w:r>
      <w:r>
        <w:t xml:space="preserve"> intersection. It has reduced travel time, improved traffic flow and ride quality, and contributed to regional growth.</w:t>
      </w:r>
    </w:p>
    <w:p w14:paraId="352AF96C" w14:textId="77777777" w:rsidR="00805A93" w:rsidRPr="001920B6" w:rsidRDefault="00805A93" w:rsidP="00805A93">
      <w:pPr>
        <w:rPr>
          <w:lang w:val="en-AU" w:eastAsia="en-AU"/>
        </w:rPr>
      </w:pPr>
      <w:r w:rsidRPr="004A7DEF">
        <w:t xml:space="preserve">The project delivered a new overpass for motorists travelling south from Toowoomba to Warwick. Traffic on the </w:t>
      </w:r>
      <w:r>
        <w:t xml:space="preserve">New England </w:t>
      </w:r>
      <w:r w:rsidRPr="004A7DEF">
        <w:t xml:space="preserve">Highway travels </w:t>
      </w:r>
      <w:r>
        <w:t xml:space="preserve">over </w:t>
      </w:r>
      <w:r w:rsidRPr="004A7DEF">
        <w:t>the overpass. Other traffic movements at the intersection are at the ground level improving safety and efficiency.</w:t>
      </w:r>
    </w:p>
    <w:p w14:paraId="4CAF7F0C" w14:textId="77777777" w:rsidR="00805A93" w:rsidRDefault="00805A93" w:rsidP="00805A93">
      <w:r>
        <w:t xml:space="preserve">More than </w:t>
      </w:r>
      <w:r w:rsidRPr="002C17C0">
        <w:t xml:space="preserve">5500 vehicles travel through the intersection </w:t>
      </w:r>
      <w:r>
        <w:t>daily</w:t>
      </w:r>
      <w:r w:rsidRPr="002C17C0">
        <w:t>, a quarter of which are commercial or heavy vehicles. The upgrade</w:t>
      </w:r>
      <w:r>
        <w:t xml:space="preserve"> has improved</w:t>
      </w:r>
      <w:r w:rsidRPr="002C17C0">
        <w:t xml:space="preserve"> </w:t>
      </w:r>
      <w:r>
        <w:t xml:space="preserve">freight </w:t>
      </w:r>
      <w:r w:rsidRPr="002C17C0">
        <w:t>efficiency</w:t>
      </w:r>
      <w:r>
        <w:t xml:space="preserve">, keeping </w:t>
      </w:r>
      <w:r w:rsidRPr="002C17C0">
        <w:t xml:space="preserve">industry and agriculture moving </w:t>
      </w:r>
      <w:r>
        <w:t>i</w:t>
      </w:r>
      <w:r w:rsidRPr="002C17C0">
        <w:t>n the Southern Downs.</w:t>
      </w:r>
    </w:p>
    <w:p w14:paraId="03A9CEE6" w14:textId="77777777" w:rsidR="00805A93" w:rsidRDefault="00805A93" w:rsidP="00805A93">
      <w:r>
        <w:t xml:space="preserve">This $25 million project was jointly funded by the Australian and Queensland governments on an 80:20 (federal:state) basis as part of the </w:t>
      </w:r>
      <w:r w:rsidRPr="002C17C0">
        <w:t>National Land Transport Network Upgrade program.</w:t>
      </w:r>
    </w:p>
    <w:p w14:paraId="2472F15F" w14:textId="77777777" w:rsidR="00805A93" w:rsidRDefault="00805A93" w:rsidP="00805A93">
      <w:pPr>
        <w:pStyle w:val="ForMoreInformation"/>
        <w:rPr>
          <w:rStyle w:val="Hyperlink"/>
        </w:rPr>
      </w:pPr>
      <w:r>
        <w:t>For more information</w:t>
      </w:r>
      <w:r>
        <w:br/>
      </w:r>
      <w:r w:rsidRPr="00072E4C">
        <w:rPr>
          <w:rStyle w:val="Hyperlink"/>
        </w:rPr>
        <w:t>https://www.tmr.qld.gov.au/projects/</w:t>
      </w:r>
      <w:r w:rsidRPr="002C17C0">
        <w:t xml:space="preserve"> </w:t>
      </w:r>
      <w:r w:rsidRPr="002C17C0">
        <w:rPr>
          <w:rStyle w:val="Hyperlink"/>
        </w:rPr>
        <w:t>cunningham-highway-ipswich-warwick-eight-mile-intersection-upgrade</w:t>
      </w:r>
    </w:p>
    <w:p w14:paraId="68A29C9B" w14:textId="77777777" w:rsidR="00805A93" w:rsidRDefault="00805A93" w:rsidP="00805A93">
      <w:pPr>
        <w:pStyle w:val="Heading4"/>
      </w:pPr>
      <w:r>
        <w:t>New England Highway (Yarraman–Toowoomba), widen pavement</w:t>
      </w:r>
    </w:p>
    <w:p w14:paraId="415ED102" w14:textId="77777777" w:rsidR="00805A93" w:rsidRDefault="00805A93" w:rsidP="00805A93">
      <w:r>
        <w:t>Construction is underway to improve safety and freight efficiency on the New England Highway between Cooyar and Bum Bum Creek, south of Yarraman.</w:t>
      </w:r>
    </w:p>
    <w:p w14:paraId="6D850660" w14:textId="77777777" w:rsidR="00805A93" w:rsidRDefault="00805A93" w:rsidP="00805A93">
      <w:r>
        <w:t>The project involves widening and resurfacing the road, upgrading drainage, and improving intersections.</w:t>
      </w:r>
    </w:p>
    <w:p w14:paraId="23528A1C" w14:textId="77777777" w:rsidR="00805A93" w:rsidRDefault="00805A93" w:rsidP="00805A93">
      <w:r>
        <w:t xml:space="preserve">The upgrades will improve safety and ride quality, reduce travel times and maintenance requirements and improve freight efficiency for B-doubles and other heavy vehicles by increasing the road width and strength. </w:t>
      </w:r>
    </w:p>
    <w:p w14:paraId="30892A1E" w14:textId="77777777" w:rsidR="00805A93" w:rsidRDefault="00805A93" w:rsidP="00805A93">
      <w:r>
        <w:t>Package two was completed in May 2023, and Package one is expected to be completed in late-2023.</w:t>
      </w:r>
    </w:p>
    <w:p w14:paraId="1921817D" w14:textId="77777777" w:rsidR="00805A93" w:rsidRDefault="00805A93" w:rsidP="00805A93">
      <w:r>
        <w:t xml:space="preserve">The </w:t>
      </w:r>
      <w:r w:rsidRPr="00D4505C">
        <w:t>Queensland Government</w:t>
      </w:r>
      <w:r>
        <w:t xml:space="preserve"> is fully funding t</w:t>
      </w:r>
      <w:r w:rsidRPr="00D4505C">
        <w:t xml:space="preserve">his project under the State Road Network Upgrade </w:t>
      </w:r>
      <w:r>
        <w:t>prog</w:t>
      </w:r>
      <w:r w:rsidRPr="00D4505C">
        <w:t>ram.</w:t>
      </w:r>
    </w:p>
    <w:p w14:paraId="357161EA" w14:textId="77777777" w:rsidR="00805A93" w:rsidRDefault="00805A93" w:rsidP="00805A93">
      <w:pPr>
        <w:pStyle w:val="ForMoreInformation"/>
      </w:pPr>
      <w:r>
        <w:lastRenderedPageBreak/>
        <w:t>For more information</w:t>
      </w:r>
      <w:r>
        <w:br/>
      </w:r>
      <w:r w:rsidRPr="00F74539">
        <w:rPr>
          <w:rStyle w:val="Hyperlink"/>
        </w:rPr>
        <w:t>https://www.tmr.qld.gov.au/projects/new-england-highway-yarraman-toowoomba-widen-pavement</w:t>
      </w:r>
    </w:p>
    <w:p w14:paraId="59C62F1D" w14:textId="77777777" w:rsidR="00805A93" w:rsidRDefault="00805A93" w:rsidP="00805A93">
      <w:pPr>
        <w:pStyle w:val="Heading4"/>
      </w:pPr>
      <w:r>
        <w:t>Barwon Highway (Talwood–Nindigully) Weengallon, pavement widening</w:t>
      </w:r>
    </w:p>
    <w:p w14:paraId="230A54F6" w14:textId="77777777" w:rsidR="00805A93" w:rsidRDefault="00805A93" w:rsidP="00805A93">
      <w:r w:rsidRPr="002C19C6">
        <w:t xml:space="preserve">The Barwon Highway is a significant corridor for heavy vehicles travelling through Goondiwindi </w:t>
      </w:r>
      <w:r>
        <w:t>and s</w:t>
      </w:r>
      <w:r w:rsidRPr="002C19C6">
        <w:t>outh</w:t>
      </w:r>
      <w:r>
        <w:t xml:space="preserve"> w</w:t>
      </w:r>
      <w:r w:rsidRPr="002C19C6">
        <w:t>est Queensland</w:t>
      </w:r>
      <w:r>
        <w:t xml:space="preserve"> and is a vital link for rural communities and local industry, including cotton and grain producers.</w:t>
      </w:r>
    </w:p>
    <w:p w14:paraId="5E6A2AA5" w14:textId="77777777" w:rsidR="00805A93" w:rsidRDefault="00805A93" w:rsidP="00805A93">
      <w:r>
        <w:t xml:space="preserve">The project delivered pavement widening to improve safety, reduce maintenance and provide a better driving experience for road users on the Barwon Highway, between Pinehills Road and Weengallon (stage one), and between Windamore Road and Feas Road intersections (stage two). </w:t>
      </w:r>
    </w:p>
    <w:p w14:paraId="29F2EE82" w14:textId="77777777" w:rsidR="00805A93" w:rsidRDefault="00805A93" w:rsidP="00805A93">
      <w:r>
        <w:t xml:space="preserve">Wet weather </w:t>
      </w:r>
      <w:r w:rsidRPr="000273ED">
        <w:t>in 2021</w:t>
      </w:r>
      <w:r w:rsidRPr="00D02194">
        <w:t>–</w:t>
      </w:r>
      <w:r w:rsidRPr="000273ED">
        <w:t>22</w:t>
      </w:r>
      <w:r>
        <w:t xml:space="preserve"> </w:t>
      </w:r>
      <w:r w:rsidRPr="00D52B45">
        <w:t xml:space="preserve">caused significant delays </w:t>
      </w:r>
      <w:r>
        <w:t xml:space="preserve">during construction. </w:t>
      </w:r>
    </w:p>
    <w:p w14:paraId="67B4C0A6" w14:textId="77777777" w:rsidR="00805A93" w:rsidRDefault="00805A93" w:rsidP="00805A93">
      <w:r>
        <w:t xml:space="preserve">The </w:t>
      </w:r>
      <w:r w:rsidRPr="00D52B45">
        <w:t xml:space="preserve">Queensland Government </w:t>
      </w:r>
      <w:r>
        <w:t xml:space="preserve">funded $6.25 </w:t>
      </w:r>
      <w:r w:rsidRPr="00D52B45">
        <w:t xml:space="preserve">million </w:t>
      </w:r>
      <w:r>
        <w:t>to construct s</w:t>
      </w:r>
      <w:r w:rsidRPr="00D52B45">
        <w:t xml:space="preserve">tage </w:t>
      </w:r>
      <w:r>
        <w:t>one</w:t>
      </w:r>
      <w:r w:rsidRPr="00D52B45">
        <w:t>.</w:t>
      </w:r>
      <w:r>
        <w:t xml:space="preserve"> The Australian and Queensland governments </w:t>
      </w:r>
      <w:r w:rsidRPr="00D52B45">
        <w:t xml:space="preserve">jointly </w:t>
      </w:r>
      <w:r>
        <w:t xml:space="preserve">funded $6.75 </w:t>
      </w:r>
      <w:r w:rsidRPr="00D52B45">
        <w:t>million</w:t>
      </w:r>
      <w:r>
        <w:t xml:space="preserve"> to construct stage two under the Heavy Vehicle Safety and Productivity Program. </w:t>
      </w:r>
    </w:p>
    <w:p w14:paraId="1C4F8ED4" w14:textId="77777777" w:rsidR="00805A93" w:rsidRPr="00CF6D57" w:rsidRDefault="00805A93" w:rsidP="00805A93">
      <w:pPr>
        <w:pStyle w:val="ForMoreInformation"/>
      </w:pPr>
      <w:r>
        <w:t>For more information</w:t>
      </w:r>
      <w:r>
        <w:br/>
      </w:r>
      <w:hyperlink r:id="rId38" w:history="1">
        <w:r w:rsidRPr="003275AA">
          <w:rPr>
            <w:rStyle w:val="Hyperlink"/>
          </w:rPr>
          <w:t>https://www.tmr.qld.gov.au/projects/barwon-highway-talwood-nindigully-weengallon-pavement-widening</w:t>
        </w:r>
      </w:hyperlink>
    </w:p>
    <w:p w14:paraId="33270B6C" w14:textId="77777777" w:rsidR="00805A93" w:rsidRDefault="00805A93" w:rsidP="00805A93">
      <w:pPr>
        <w:pStyle w:val="Heading4"/>
      </w:pPr>
      <w:r>
        <w:t>Warwick Principal Cycle Network plan business case</w:t>
      </w:r>
    </w:p>
    <w:p w14:paraId="7BEDEEBF" w14:textId="77777777" w:rsidR="00805A93" w:rsidRDefault="00805A93" w:rsidP="00805A93">
      <w:r>
        <w:t xml:space="preserve">The Warwick Principal Cycle Network plan is part of a statewide strategy to improve bicycle riding facilities and encourage active transport. </w:t>
      </w:r>
    </w:p>
    <w:p w14:paraId="71ECFE49" w14:textId="77777777" w:rsidR="00805A93" w:rsidRDefault="00805A93" w:rsidP="00805A93">
      <w:r>
        <w:t xml:space="preserve">Business case planning investigated options to create a safe, direct, and connected bicycle route through </w:t>
      </w:r>
      <w:r w:rsidRPr="005F0AD9">
        <w:t xml:space="preserve">Warwick </w:t>
      </w:r>
      <w:r>
        <w:t>in collaboration with Southern Downs Regional Council.</w:t>
      </w:r>
    </w:p>
    <w:p w14:paraId="2BE41BC0" w14:textId="77777777" w:rsidR="00805A93" w:rsidRDefault="00805A93" w:rsidP="00805A93">
      <w:r>
        <w:t xml:space="preserve">Concept designs were developed for bike riding facilities at the Cunningham Highway (Wood Street) and Dragon Street intersection, and the New England Highway (Wallace Street) and Pratten Street intersection to connect with facilities being planned by council on Dragon, Pratten, and Easey streets. </w:t>
      </w:r>
    </w:p>
    <w:p w14:paraId="69095782" w14:textId="77777777" w:rsidR="00805A93" w:rsidRDefault="00805A93" w:rsidP="00805A93">
      <w:r>
        <w:t>Community consultation was undertaken in October 2022 to</w:t>
      </w:r>
      <w:r w:rsidRPr="00775413">
        <w:t xml:space="preserve"> understand the challenges and opportunities for bi</w:t>
      </w:r>
      <w:r>
        <w:t xml:space="preserve">ke </w:t>
      </w:r>
      <w:r w:rsidRPr="00775413">
        <w:t xml:space="preserve">riders </w:t>
      </w:r>
      <w:r>
        <w:t>in the area and to gain feedback about concept design options</w:t>
      </w:r>
      <w:r w:rsidRPr="005F0AD9">
        <w:t xml:space="preserve">. </w:t>
      </w:r>
    </w:p>
    <w:p w14:paraId="266F105D" w14:textId="77777777" w:rsidR="00805A93" w:rsidRDefault="00805A93" w:rsidP="00805A93">
      <w:r>
        <w:t>This project is fully funded by the Queensland Government.</w:t>
      </w:r>
    </w:p>
    <w:p w14:paraId="0DD3761D" w14:textId="77777777" w:rsidR="00805A93" w:rsidRPr="005F0E2F" w:rsidRDefault="00805A93" w:rsidP="00805A93">
      <w:pPr>
        <w:pStyle w:val="ForMoreInformation"/>
      </w:pPr>
      <w:r>
        <w:t>For more information</w:t>
      </w:r>
      <w:r>
        <w:br/>
      </w:r>
      <w:r w:rsidRPr="00072E4C">
        <w:rPr>
          <w:rStyle w:val="Hyperlink"/>
        </w:rPr>
        <w:t>https://www.tmr.qld.gov.au/projects/warwick-principal-cycle-network-plan-business-case</w:t>
      </w:r>
    </w:p>
    <w:p w14:paraId="0466DE1A" w14:textId="77777777" w:rsidR="00805A93" w:rsidRDefault="00805A93" w:rsidP="00805A93">
      <w:pPr>
        <w:pStyle w:val="Heading4"/>
      </w:pPr>
      <w:r w:rsidRPr="005F0E2F">
        <w:t>Murphy</w:t>
      </w:r>
      <w:r>
        <w:t>'</w:t>
      </w:r>
      <w:r w:rsidRPr="005F0E2F">
        <w:t xml:space="preserve">s Creek Road, Rocky Creek </w:t>
      </w:r>
      <w:r>
        <w:t>b</w:t>
      </w:r>
      <w:r w:rsidRPr="005F0E2F">
        <w:t>ridge</w:t>
      </w:r>
      <w:r>
        <w:t xml:space="preserve"> replacement</w:t>
      </w:r>
    </w:p>
    <w:p w14:paraId="79633B52" w14:textId="77777777" w:rsidR="00805A93" w:rsidRDefault="00805A93" w:rsidP="00805A93">
      <w:r>
        <w:t xml:space="preserve">Construction to replace the Rocky Creek bridge was completed in October 2022. </w:t>
      </w:r>
    </w:p>
    <w:p w14:paraId="6EE7BB9D" w14:textId="77777777" w:rsidR="00805A93" w:rsidRPr="005F0E2F" w:rsidRDefault="00805A93" w:rsidP="00805A93">
      <w:r w:rsidRPr="00630A9F">
        <w:t>The o</w:t>
      </w:r>
      <w:r>
        <w:t xml:space="preserve">riginal </w:t>
      </w:r>
      <w:r w:rsidRPr="00630A9F">
        <w:t xml:space="preserve">Rocky Creek </w:t>
      </w:r>
      <w:r>
        <w:t>b</w:t>
      </w:r>
      <w:r w:rsidRPr="00630A9F">
        <w:t>ridge was built in 1928</w:t>
      </w:r>
      <w:r>
        <w:t xml:space="preserve"> and was a single lane bridge with give way control. The new bridge provides two lanes improving safety, flood resilience and traffic flow by removing the need for westbound traffic to give way.</w:t>
      </w:r>
    </w:p>
    <w:p w14:paraId="4B155592" w14:textId="77777777" w:rsidR="00805A93" w:rsidRDefault="00805A93" w:rsidP="00805A93">
      <w:r w:rsidRPr="005F0E2F">
        <w:t>The project included realigning Murphy’s Creek Road to connect the new bridge to the existing road network</w:t>
      </w:r>
      <w:r>
        <w:t xml:space="preserve"> and</w:t>
      </w:r>
      <w:r w:rsidRPr="005F0E2F">
        <w:t xml:space="preserve"> </w:t>
      </w:r>
      <w:r>
        <w:t>t</w:t>
      </w:r>
      <w:r w:rsidRPr="005F0E2F">
        <w:t xml:space="preserve">he old bridge was demolished after the new bridge was opened to traffic. </w:t>
      </w:r>
    </w:p>
    <w:p w14:paraId="0C808C4C" w14:textId="77777777" w:rsidR="00805A93" w:rsidRPr="005F0E2F" w:rsidRDefault="00805A93" w:rsidP="00805A93">
      <w:r>
        <w:t xml:space="preserve">Historic sandstone kerbing and channeling from the original bridge was </w:t>
      </w:r>
      <w:r w:rsidRPr="005F0E2F">
        <w:t xml:space="preserve">upcycled </w:t>
      </w:r>
      <w:r>
        <w:t>into</w:t>
      </w:r>
      <w:r w:rsidRPr="005F0E2F">
        <w:t xml:space="preserve"> garden edging </w:t>
      </w:r>
      <w:r>
        <w:t xml:space="preserve">at the nearby Postmans Ridge Pioneer Memorial Hall. </w:t>
      </w:r>
    </w:p>
    <w:p w14:paraId="3A92F350" w14:textId="77777777" w:rsidR="00805A93" w:rsidRDefault="00805A93" w:rsidP="00805A93">
      <w:r>
        <w:t>N</w:t>
      </w:r>
      <w:r w:rsidRPr="005F0E2F">
        <w:t>ative ground cover plants, shrubs</w:t>
      </w:r>
      <w:r>
        <w:t>,</w:t>
      </w:r>
      <w:r w:rsidRPr="005F0E2F">
        <w:t xml:space="preserve"> and trees are </w:t>
      </w:r>
      <w:r>
        <w:t xml:space="preserve">being </w:t>
      </w:r>
      <w:r w:rsidRPr="005F0E2F">
        <w:t>establish</w:t>
      </w:r>
      <w:r>
        <w:t>ed</w:t>
      </w:r>
      <w:r w:rsidRPr="005F0E2F">
        <w:t xml:space="preserve"> on the banks of Rocky Creek to replace the vegetation </w:t>
      </w:r>
      <w:r>
        <w:t xml:space="preserve">that was </w:t>
      </w:r>
      <w:r w:rsidRPr="005F0E2F">
        <w:t xml:space="preserve">removed </w:t>
      </w:r>
      <w:r>
        <w:t>before</w:t>
      </w:r>
      <w:r w:rsidRPr="005F0E2F">
        <w:t xml:space="preserve"> construction.</w:t>
      </w:r>
    </w:p>
    <w:p w14:paraId="328D0447" w14:textId="77777777" w:rsidR="00805A93" w:rsidRDefault="00805A93" w:rsidP="00805A93">
      <w:r>
        <w:t xml:space="preserve">The Queensland Government allocated $11 million under the State Road Network Upgrade program to deliver this project. </w:t>
      </w:r>
    </w:p>
    <w:p w14:paraId="66E9E4D1" w14:textId="77777777" w:rsidR="00805A93" w:rsidRPr="005F0E2F" w:rsidRDefault="00805A93" w:rsidP="00805A93">
      <w:pPr>
        <w:pStyle w:val="ForMoreInformation"/>
      </w:pPr>
      <w:r w:rsidRPr="005F0E2F">
        <w:lastRenderedPageBreak/>
        <w:t>For more information</w:t>
      </w:r>
      <w:r>
        <w:br/>
      </w:r>
      <w:r w:rsidRPr="00630A9F">
        <w:rPr>
          <w:rStyle w:val="Hyperlink"/>
        </w:rPr>
        <w:t>https://www.tmr.qld.gov.au/projects/murphys-creek-road-rocky-creek-bridge-replace-bridge</w:t>
      </w:r>
    </w:p>
    <w:p w14:paraId="7AE8FED0" w14:textId="77777777" w:rsidR="00E6328B" w:rsidRDefault="00E6328B">
      <w:pPr>
        <w:spacing w:before="0" w:after="160" w:line="259" w:lineRule="auto"/>
        <w:rPr>
          <w:rFonts w:eastAsiaTheme="majorEastAsia" w:cstheme="majorBidi"/>
          <w:color w:val="000000" w:themeColor="text1"/>
          <w:sz w:val="32"/>
          <w:szCs w:val="24"/>
        </w:rPr>
      </w:pPr>
      <w:r>
        <w:br w:type="page"/>
      </w:r>
    </w:p>
    <w:p w14:paraId="23BD23C5" w14:textId="4C1FCC2F" w:rsidR="00805A93" w:rsidRDefault="00805A93" w:rsidP="00805A93">
      <w:pPr>
        <w:pStyle w:val="Heading3"/>
      </w:pPr>
      <w:r>
        <w:lastRenderedPageBreak/>
        <w:t>South West</w:t>
      </w:r>
    </w:p>
    <w:p w14:paraId="2A11F118" w14:textId="77777777" w:rsidR="00805A93" w:rsidRDefault="00805A93" w:rsidP="00A74536">
      <w:pPr>
        <w:pStyle w:val="Heading4"/>
      </w:pPr>
      <w:r>
        <w:t xml:space="preserve">Fast Facts </w:t>
      </w:r>
    </w:p>
    <w:p w14:paraId="0D5AE5DC" w14:textId="77777777" w:rsidR="00805A93" w:rsidRDefault="00805A93" w:rsidP="00805A93">
      <w:pPr>
        <w:pStyle w:val="ListBullet"/>
      </w:pPr>
      <w:r>
        <w:t>3972 Kilometres State-controlled road</w:t>
      </w:r>
      <w:r>
        <w:footnoteReference w:id="33"/>
      </w:r>
    </w:p>
    <w:p w14:paraId="7330EEFA" w14:textId="77777777" w:rsidR="00805A93" w:rsidRDefault="00805A93" w:rsidP="00805A93">
      <w:pPr>
        <w:pStyle w:val="ListBullet"/>
      </w:pPr>
      <w:r>
        <w:t>418 Kilometres National Land Transport Network</w:t>
      </w:r>
      <w:r>
        <w:footnoteReference w:id="34"/>
      </w:r>
      <w:r>
        <w:t xml:space="preserve"> </w:t>
      </w:r>
    </w:p>
    <w:p w14:paraId="374CE6A8" w14:textId="77777777" w:rsidR="00805A93" w:rsidRDefault="00805A93" w:rsidP="00805A93">
      <w:pPr>
        <w:pStyle w:val="ListBullet"/>
      </w:pPr>
      <w:r>
        <w:t xml:space="preserve">44,009 Vehicle and machinery registrations </w:t>
      </w:r>
    </w:p>
    <w:p w14:paraId="1C397BFF" w14:textId="77777777" w:rsidR="00805A93" w:rsidRDefault="00805A93" w:rsidP="00805A93">
      <w:pPr>
        <w:pStyle w:val="ListBullet"/>
      </w:pPr>
      <w:r>
        <w:t xml:space="preserve">9 Boating infrastructures </w:t>
      </w:r>
    </w:p>
    <w:p w14:paraId="6456AB9E" w14:textId="77777777" w:rsidR="00805A93" w:rsidRDefault="00805A93" w:rsidP="00805A93">
      <w:pPr>
        <w:pStyle w:val="ListBullet"/>
      </w:pPr>
      <w:r>
        <w:t xml:space="preserve">2036 Vehicle and machinery inspections completed </w:t>
      </w:r>
    </w:p>
    <w:p w14:paraId="6C02BF43" w14:textId="77777777" w:rsidR="00805A93" w:rsidRDefault="00805A93" w:rsidP="00805A93">
      <w:pPr>
        <w:pStyle w:val="ListBullet"/>
      </w:pPr>
      <w:r>
        <w:t>83 Bridges</w:t>
      </w:r>
      <w:r>
        <w:footnoteReference w:id="35"/>
      </w:r>
      <w:r>
        <w:t xml:space="preserve"> </w:t>
      </w:r>
    </w:p>
    <w:p w14:paraId="407058A3" w14:textId="77777777" w:rsidR="00805A93" w:rsidRDefault="00805A93" w:rsidP="00805A93">
      <w:pPr>
        <w:pStyle w:val="ListBullet"/>
      </w:pPr>
      <w:r>
        <w:t xml:space="preserve">752 Driver licence tests conducted </w:t>
      </w:r>
    </w:p>
    <w:p w14:paraId="31054340" w14:textId="77777777" w:rsidR="00805A93" w:rsidRDefault="00805A93" w:rsidP="00805A93">
      <w:pPr>
        <w:pStyle w:val="ListBullet"/>
      </w:pPr>
      <w:r>
        <w:t xml:space="preserve">26,844 Customer face-to-face interactions </w:t>
      </w:r>
    </w:p>
    <w:p w14:paraId="31F1C684" w14:textId="77777777" w:rsidR="00805A93" w:rsidRDefault="00805A93" w:rsidP="00805A93">
      <w:pPr>
        <w:pStyle w:val="ListBullet"/>
      </w:pPr>
      <w:r>
        <w:t xml:space="preserve">1 Priority-enabled intersections </w:t>
      </w:r>
    </w:p>
    <w:p w14:paraId="23598EBF" w14:textId="77777777" w:rsidR="00805A93" w:rsidRDefault="00805A93" w:rsidP="00805A93">
      <w:pPr>
        <w:pStyle w:val="ListBullet"/>
      </w:pPr>
      <w:r>
        <w:t xml:space="preserve">319,275 Kilometres Squared Area covered </w:t>
      </w:r>
    </w:p>
    <w:p w14:paraId="3DC5F23B" w14:textId="77777777" w:rsidR="00805A93" w:rsidRPr="00DF4279" w:rsidRDefault="00805A93" w:rsidP="00805A93">
      <w:pPr>
        <w:pStyle w:val="ListBullet"/>
      </w:pPr>
      <w:r>
        <w:t>0.45 per cent Population of Queensland</w:t>
      </w:r>
      <w:r>
        <w:footnoteReference w:id="36"/>
      </w:r>
    </w:p>
    <w:p w14:paraId="6DEA87CA" w14:textId="77777777" w:rsidR="00805A93" w:rsidRPr="00DC1A33" w:rsidRDefault="00805A93" w:rsidP="00805A93">
      <w:pPr>
        <w:pStyle w:val="Heading4"/>
      </w:pPr>
      <w:r w:rsidRPr="007957C2">
        <w:t>Regional Economic Enabling Fund</w:t>
      </w:r>
      <w:r>
        <w:t>—</w:t>
      </w:r>
      <w:r w:rsidRPr="00F34012">
        <w:t>Carnarvon Highway (Injune</w:t>
      </w:r>
      <w:r>
        <w:t>–</w:t>
      </w:r>
      <w:r w:rsidRPr="00F34012">
        <w:t>Rolleston)</w:t>
      </w:r>
    </w:p>
    <w:p w14:paraId="59683FBA" w14:textId="77777777" w:rsidR="00805A93" w:rsidRDefault="00805A93" w:rsidP="00805A93">
      <w:r>
        <w:t>T</w:t>
      </w:r>
      <w:r w:rsidRPr="00806A13">
        <w:t xml:space="preserve">he Regional Economic Enabling Fund </w:t>
      </w:r>
      <w:r>
        <w:t xml:space="preserve">is </w:t>
      </w:r>
      <w:r w:rsidRPr="00806A13">
        <w:t xml:space="preserve">a package of </w:t>
      </w:r>
      <w:r>
        <w:t xml:space="preserve">25 </w:t>
      </w:r>
      <w:r w:rsidRPr="00806A13">
        <w:t>projects deliver</w:t>
      </w:r>
      <w:r>
        <w:t>ing</w:t>
      </w:r>
      <w:r w:rsidRPr="00806A13">
        <w:t xml:space="preserve"> work</w:t>
      </w:r>
      <w:r>
        <w:t xml:space="preserve"> that includes</w:t>
      </w:r>
      <w:r w:rsidRPr="00806A13">
        <w:t xml:space="preserve"> progressive sealing, pavement strengthening and widening</w:t>
      </w:r>
      <w:r>
        <w:t>,</w:t>
      </w:r>
      <w:r w:rsidRPr="00806A13">
        <w:t xml:space="preserve"> and bridge and floodway upgrades across remote, rural, and regional Queensland</w:t>
      </w:r>
      <w:r>
        <w:t>.</w:t>
      </w:r>
    </w:p>
    <w:p w14:paraId="0F61996A" w14:textId="77777777" w:rsidR="00805A93" w:rsidRDefault="00805A93" w:rsidP="00805A93">
      <w:r>
        <w:t>As part of Regional Economic Enabling Fund, $5.8 million was allocated by the Australian and Queensland governments on an 80:20 (federal:state) basis to widen priority sections of the Carnarvon Highway (Injune–Rolleston). Works involved w</w:t>
      </w:r>
      <w:r w:rsidRPr="00CF647A">
        <w:rPr>
          <w:lang w:val="en-AU" w:eastAsia="en-AU"/>
        </w:rPr>
        <w:t>iden</w:t>
      </w:r>
      <w:r>
        <w:t>ing</w:t>
      </w:r>
      <w:r w:rsidRPr="00CF647A">
        <w:rPr>
          <w:lang w:val="en-AU" w:eastAsia="en-AU"/>
        </w:rPr>
        <w:t xml:space="preserve"> and seal</w:t>
      </w:r>
      <w:r>
        <w:t>ing</w:t>
      </w:r>
      <w:r w:rsidRPr="00CF647A">
        <w:rPr>
          <w:lang w:val="en-AU" w:eastAsia="en-AU"/>
        </w:rPr>
        <w:t xml:space="preserve"> 4.36</w:t>
      </w:r>
      <w:r>
        <w:t xml:space="preserve"> kilometres</w:t>
      </w:r>
      <w:r w:rsidRPr="00CF647A">
        <w:rPr>
          <w:lang w:val="en-AU" w:eastAsia="en-AU"/>
        </w:rPr>
        <w:t xml:space="preserve"> of pavement to </w:t>
      </w:r>
      <w:r>
        <w:t xml:space="preserve">eight metres about 46 kilometres north of Injune. </w:t>
      </w:r>
    </w:p>
    <w:p w14:paraId="2E473EFE" w14:textId="77777777" w:rsidR="00805A93" w:rsidRDefault="00805A93" w:rsidP="00805A93">
      <w:r>
        <w:t xml:space="preserve">Construction was completed in November 2022. </w:t>
      </w:r>
    </w:p>
    <w:p w14:paraId="7E4854AF" w14:textId="77777777" w:rsidR="00805A93" w:rsidRPr="00262F71" w:rsidRDefault="00805A93" w:rsidP="00805A93">
      <w:pPr>
        <w:pStyle w:val="ForMoreInformation"/>
        <w:rPr>
          <w:rStyle w:val="Hyperlink"/>
        </w:rPr>
      </w:pPr>
      <w:r w:rsidRPr="003D6BF6">
        <w:t>For more information</w:t>
      </w:r>
      <w:r>
        <w:br/>
      </w:r>
      <w:r w:rsidRPr="00262F71">
        <w:rPr>
          <w:rStyle w:val="Hyperlink"/>
        </w:rPr>
        <w:t>https://www.tmr.qld.gov.au/projects/carnarvon-highway-injune-rolleston-pavement-widening</w:t>
      </w:r>
    </w:p>
    <w:p w14:paraId="37E5C98B" w14:textId="77777777" w:rsidR="00805A93" w:rsidRPr="00DC1A33" w:rsidRDefault="00805A93" w:rsidP="00805A93">
      <w:pPr>
        <w:pStyle w:val="Heading4"/>
      </w:pPr>
      <w:bookmarkStart w:id="17" w:name="_Hlk130880569"/>
      <w:bookmarkStart w:id="18" w:name="_Hlk129763617"/>
      <w:r>
        <w:t>Road Safety Program—Carnarvon Highway and Noondoo–Thallon Road</w:t>
      </w:r>
    </w:p>
    <w:p w14:paraId="057198AA" w14:textId="77777777" w:rsidR="00805A93" w:rsidRDefault="00805A93" w:rsidP="00805A93">
      <w:r>
        <w:t>The Road Safety Program is delivering safety treatments and upgrades across Queensland and is jointly funded by the Australian and Queensland governments on an 80:20 (federal:state) basis.</w:t>
      </w:r>
    </w:p>
    <w:p w14:paraId="71FA69F4" w14:textId="77777777" w:rsidR="00805A93" w:rsidRDefault="00805A93" w:rsidP="00805A93">
      <w:r>
        <w:t xml:space="preserve">Under the program, improvements to the Carnarvon Highway (Mungindi–St George) and Noondoo–Thallon Road intersections have been undertaken. </w:t>
      </w:r>
    </w:p>
    <w:p w14:paraId="2EBF9853" w14:textId="77777777" w:rsidR="00805A93" w:rsidRDefault="00805A93" w:rsidP="00805A93">
      <w:r>
        <w:t xml:space="preserve">The improvements included: </w:t>
      </w:r>
    </w:p>
    <w:p w14:paraId="0743642C" w14:textId="77777777" w:rsidR="00805A93" w:rsidRDefault="00805A93" w:rsidP="00805A93">
      <w:pPr>
        <w:pStyle w:val="ListBullet"/>
      </w:pPr>
      <w:r w:rsidRPr="00501761">
        <w:t>culvert replacement</w:t>
      </w:r>
    </w:p>
    <w:p w14:paraId="3F66B26B" w14:textId="77777777" w:rsidR="00805A93" w:rsidRDefault="00805A93" w:rsidP="00805A93">
      <w:pPr>
        <w:pStyle w:val="ListBullet"/>
      </w:pPr>
      <w:r w:rsidRPr="00501761">
        <w:t>dedicated left and right</w:t>
      </w:r>
      <w:r>
        <w:t>-</w:t>
      </w:r>
      <w:r w:rsidRPr="00501761">
        <w:t>turn lanes</w:t>
      </w:r>
    </w:p>
    <w:p w14:paraId="61D782D1" w14:textId="77777777" w:rsidR="00805A93" w:rsidRDefault="00805A93" w:rsidP="00805A93">
      <w:pPr>
        <w:pStyle w:val="ListBullet"/>
      </w:pPr>
      <w:r w:rsidRPr="00501761">
        <w:t>improvements to approach signage, line marking and delineation.</w:t>
      </w:r>
    </w:p>
    <w:p w14:paraId="23C284DD" w14:textId="77777777" w:rsidR="00805A93" w:rsidRDefault="00805A93" w:rsidP="00805A93">
      <w:r>
        <w:t>Construction was completed in December 2022.</w:t>
      </w:r>
    </w:p>
    <w:p w14:paraId="0D5571D1" w14:textId="77777777" w:rsidR="00E6328B" w:rsidRDefault="00E6328B">
      <w:pPr>
        <w:spacing w:before="0" w:after="160" w:line="259" w:lineRule="auto"/>
        <w:rPr>
          <w:rFonts w:eastAsiaTheme="majorEastAsia" w:cstheme="majorBidi"/>
          <w:iCs/>
          <w:color w:val="0D0D0D" w:themeColor="text1" w:themeTint="F2"/>
          <w:sz w:val="24"/>
        </w:rPr>
      </w:pPr>
      <w:r>
        <w:br w:type="page"/>
      </w:r>
    </w:p>
    <w:p w14:paraId="786FCC34" w14:textId="5784664D" w:rsidR="00805A93" w:rsidRPr="00DC1A33" w:rsidRDefault="00805A93" w:rsidP="00805A93">
      <w:pPr>
        <w:pStyle w:val="Heading4"/>
      </w:pPr>
      <w:r>
        <w:lastRenderedPageBreak/>
        <w:t>Roma Principal Cycle Network</w:t>
      </w:r>
    </w:p>
    <w:p w14:paraId="73F9D063" w14:textId="77777777" w:rsidR="00805A93" w:rsidRDefault="00805A93" w:rsidP="00805A93">
      <w:r>
        <w:t>The Transport System Planning Program included funding for developing business cases for sections of the Principal Cycle Network in Roma.</w:t>
      </w:r>
    </w:p>
    <w:p w14:paraId="51BC5C93" w14:textId="77777777" w:rsidR="00805A93" w:rsidRDefault="00805A93" w:rsidP="00805A93">
      <w:r>
        <w:t>Two planning projects have commenced, one for the Carnarvon Highway (Roma–Injune) between May Street and Airport Drive, and one for the Warrego Highway (Roma–Mitchell) between Feather and Currey streets. Community feedback was sought to assist with developing options.</w:t>
      </w:r>
    </w:p>
    <w:p w14:paraId="423861EC" w14:textId="77777777" w:rsidR="00805A93" w:rsidRDefault="00805A93" w:rsidP="00805A93">
      <w:r>
        <w:t>These planning projects will be completed in 2023 and will help prioritise funding for active transport facilities in the area over the coming years.</w:t>
      </w:r>
    </w:p>
    <w:bookmarkEnd w:id="17"/>
    <w:bookmarkEnd w:id="18"/>
    <w:p w14:paraId="08117181" w14:textId="77777777" w:rsidR="00805A93" w:rsidRPr="002E1850" w:rsidRDefault="00805A93" w:rsidP="00805A93">
      <w:pPr>
        <w:pStyle w:val="Heading4"/>
      </w:pPr>
      <w:r w:rsidRPr="0018414D">
        <w:t>Roads of Strategic Importance</w:t>
      </w:r>
      <w:r>
        <w:t>—</w:t>
      </w:r>
      <w:r w:rsidRPr="00B07AED">
        <w:t>Balonne Highway (St George</w:t>
      </w:r>
      <w:r>
        <w:t>–</w:t>
      </w:r>
      <w:r w:rsidRPr="00B07AED">
        <w:t>Bollon)</w:t>
      </w:r>
      <w:r>
        <w:t xml:space="preserve"> c</w:t>
      </w:r>
      <w:r w:rsidRPr="00B07AED">
        <w:t>onstruct</w:t>
      </w:r>
      <w:r>
        <w:t>ion of a</w:t>
      </w:r>
      <w:r w:rsidRPr="00B07AED">
        <w:t xml:space="preserve"> heavy vehicle breakdown facility</w:t>
      </w:r>
    </w:p>
    <w:p w14:paraId="203C2261" w14:textId="77777777" w:rsidR="00805A93" w:rsidRPr="00126D99" w:rsidRDefault="00805A93" w:rsidP="00805A93">
      <w:r w:rsidRPr="00126D99">
        <w:t xml:space="preserve">Targeted upgrades to the Carnarvon Highway and surrounding roads in </w:t>
      </w:r>
      <w:r>
        <w:t>S</w:t>
      </w:r>
      <w:r w:rsidRPr="00126D99">
        <w:t xml:space="preserve">outh </w:t>
      </w:r>
      <w:r>
        <w:t>W</w:t>
      </w:r>
      <w:r w:rsidRPr="00126D99">
        <w:t>est Queensland have been delivered through the Roads of Strategic Importance initiative.</w:t>
      </w:r>
    </w:p>
    <w:p w14:paraId="3DFFA5C6" w14:textId="77777777" w:rsidR="00805A93" w:rsidRDefault="00805A93" w:rsidP="00805A93">
      <w:r w:rsidRPr="00783563">
        <w:t xml:space="preserve">As part of the Townsville to Roma </w:t>
      </w:r>
      <w:r>
        <w:t>c</w:t>
      </w:r>
      <w:r w:rsidRPr="00783563">
        <w:t xml:space="preserve">orridor </w:t>
      </w:r>
      <w:r>
        <w:t>u</w:t>
      </w:r>
      <w:r w:rsidRPr="00783563">
        <w:t>pgrade,</w:t>
      </w:r>
      <w:r w:rsidRPr="00273C9E">
        <w:t xml:space="preserve"> </w:t>
      </w:r>
      <w:r>
        <w:t xml:space="preserve">a heavy vehicle breakdown facility was constructed on the Balonne Highway, approximately 2.4 kilometres west of St George. The facility includes </w:t>
      </w:r>
      <w:r w:rsidRPr="00B57222">
        <w:t>10 parking bays for type 2 multicombination vehicles.</w:t>
      </w:r>
    </w:p>
    <w:p w14:paraId="13878229" w14:textId="77777777" w:rsidR="00805A93" w:rsidRDefault="00805A93" w:rsidP="00805A93">
      <w:r w:rsidRPr="002C7A1A">
        <w:t xml:space="preserve">Construction </w:t>
      </w:r>
      <w:r>
        <w:t xml:space="preserve">of this $2.42 </w:t>
      </w:r>
      <w:r w:rsidRPr="002C7A1A">
        <w:t xml:space="preserve">million </w:t>
      </w:r>
      <w:r>
        <w:t xml:space="preserve">project </w:t>
      </w:r>
      <w:r w:rsidRPr="002C7A1A">
        <w:t>was</w:t>
      </w:r>
      <w:r>
        <w:t xml:space="preserve"> </w:t>
      </w:r>
      <w:r w:rsidRPr="0018414D">
        <w:t>completed in October 2022</w:t>
      </w:r>
      <w:r>
        <w:t>, jointly</w:t>
      </w:r>
      <w:r w:rsidRPr="002C7A1A">
        <w:t xml:space="preserve"> </w:t>
      </w:r>
      <w:r>
        <w:t xml:space="preserve">funded </w:t>
      </w:r>
      <w:r w:rsidRPr="002C7A1A">
        <w:t>by the Australian and Queensland governments on an 80:20 (federal:state) basis</w:t>
      </w:r>
      <w:r>
        <w:t>.</w:t>
      </w:r>
    </w:p>
    <w:p w14:paraId="50992194" w14:textId="77777777" w:rsidR="00805A93" w:rsidRPr="00910AF5" w:rsidRDefault="00805A93" w:rsidP="00805A93">
      <w:pPr>
        <w:pStyle w:val="ForMoreInformation"/>
      </w:pPr>
      <w:r w:rsidRPr="00910AF5">
        <w:t>For more information</w:t>
      </w:r>
      <w:r>
        <w:br/>
      </w:r>
      <w:r w:rsidRPr="00B47C50">
        <w:rPr>
          <w:rStyle w:val="Hyperlink"/>
        </w:rPr>
        <w:t>https://www.tmr.qld.gov.au/projects/balonne-highway-st-george-bollon-construct-heavy-vehicle-breakdown-facility</w:t>
      </w:r>
    </w:p>
    <w:p w14:paraId="7BE57E00" w14:textId="77777777" w:rsidR="00C6602D" w:rsidRDefault="00C6602D">
      <w:pPr>
        <w:spacing w:before="0" w:after="160" w:line="259" w:lineRule="auto"/>
        <w:rPr>
          <w:rFonts w:eastAsiaTheme="majorEastAsia" w:cstheme="majorBidi"/>
          <w:color w:val="000000" w:themeColor="text1"/>
          <w:sz w:val="32"/>
          <w:szCs w:val="24"/>
        </w:rPr>
      </w:pPr>
      <w:r>
        <w:br w:type="page"/>
      </w:r>
    </w:p>
    <w:p w14:paraId="224B1445" w14:textId="7B04A2C6" w:rsidR="00805A93" w:rsidRDefault="00805A93" w:rsidP="00805A93">
      <w:pPr>
        <w:pStyle w:val="Heading3"/>
      </w:pPr>
      <w:r>
        <w:lastRenderedPageBreak/>
        <w:t>North Coast</w:t>
      </w:r>
    </w:p>
    <w:p w14:paraId="3555689E" w14:textId="77777777" w:rsidR="00805A93" w:rsidRDefault="00805A93" w:rsidP="00591E7C">
      <w:pPr>
        <w:pStyle w:val="Heading4"/>
      </w:pPr>
      <w:r>
        <w:t xml:space="preserve">Fast Facts </w:t>
      </w:r>
    </w:p>
    <w:p w14:paraId="289B4F2A" w14:textId="77777777" w:rsidR="00805A93" w:rsidRDefault="00805A93" w:rsidP="00805A93">
      <w:pPr>
        <w:pStyle w:val="ListBullet"/>
      </w:pPr>
      <w:r>
        <w:t>1372 Kilometres State-controlled road</w:t>
      </w:r>
      <w:r>
        <w:footnoteReference w:id="37"/>
      </w:r>
    </w:p>
    <w:p w14:paraId="6938C8F6" w14:textId="77777777" w:rsidR="00805A93" w:rsidRDefault="00805A93" w:rsidP="00805A93">
      <w:pPr>
        <w:pStyle w:val="ListBullet"/>
      </w:pPr>
      <w:r>
        <w:t>129 Kilometres National Land Transport Network</w:t>
      </w:r>
      <w:r>
        <w:footnoteReference w:id="38"/>
      </w:r>
      <w:r>
        <w:t xml:space="preserve"> </w:t>
      </w:r>
    </w:p>
    <w:p w14:paraId="428262E1" w14:textId="77777777" w:rsidR="00805A93" w:rsidRDefault="00805A93" w:rsidP="00805A93">
      <w:pPr>
        <w:pStyle w:val="ListBullet"/>
      </w:pPr>
      <w:r>
        <w:t xml:space="preserve">1,041,529 Vehicle and machinery registrations </w:t>
      </w:r>
    </w:p>
    <w:p w14:paraId="1F181F97" w14:textId="77777777" w:rsidR="00805A93" w:rsidRDefault="00805A93" w:rsidP="00805A93">
      <w:pPr>
        <w:pStyle w:val="ListBullet"/>
      </w:pPr>
      <w:r>
        <w:t xml:space="preserve">67 Boating infrastructures </w:t>
      </w:r>
    </w:p>
    <w:p w14:paraId="7B80B320" w14:textId="77777777" w:rsidR="00805A93" w:rsidRDefault="00805A93" w:rsidP="00805A93">
      <w:pPr>
        <w:pStyle w:val="ListBullet"/>
      </w:pPr>
      <w:r>
        <w:t xml:space="preserve">61 Community safety events held </w:t>
      </w:r>
    </w:p>
    <w:p w14:paraId="1364D993" w14:textId="77777777" w:rsidR="00805A93" w:rsidRDefault="00805A93" w:rsidP="00805A93">
      <w:pPr>
        <w:pStyle w:val="ListBullet"/>
      </w:pPr>
      <w:r>
        <w:t xml:space="preserve">6187 Vehicle and machinery inspections completed </w:t>
      </w:r>
    </w:p>
    <w:p w14:paraId="1EFB9520" w14:textId="77777777" w:rsidR="00805A93" w:rsidRDefault="00805A93" w:rsidP="00805A93">
      <w:pPr>
        <w:pStyle w:val="ListBullet"/>
      </w:pPr>
      <w:r>
        <w:t>421 Bridges</w:t>
      </w:r>
      <w:r>
        <w:footnoteReference w:id="39"/>
      </w:r>
      <w:r>
        <w:t xml:space="preserve"> </w:t>
      </w:r>
    </w:p>
    <w:p w14:paraId="3494B35C" w14:textId="77777777" w:rsidR="00805A93" w:rsidRDefault="00805A93" w:rsidP="00805A93">
      <w:pPr>
        <w:pStyle w:val="ListBullet"/>
      </w:pPr>
      <w:r>
        <w:t xml:space="preserve">24,835 Driver licence tests conducted </w:t>
      </w:r>
    </w:p>
    <w:p w14:paraId="47B195E1" w14:textId="77777777" w:rsidR="00805A93" w:rsidRDefault="00805A93" w:rsidP="00805A93">
      <w:pPr>
        <w:pStyle w:val="ListBullet"/>
      </w:pPr>
      <w:r>
        <w:t xml:space="preserve">553,201 Customer face-to-face interactions </w:t>
      </w:r>
    </w:p>
    <w:p w14:paraId="02CFC131" w14:textId="77777777" w:rsidR="00805A93" w:rsidRDefault="00805A93" w:rsidP="00805A93">
      <w:pPr>
        <w:pStyle w:val="ListBullet"/>
      </w:pPr>
      <w:r>
        <w:t xml:space="preserve">524 Priority-enabled intersections </w:t>
      </w:r>
    </w:p>
    <w:p w14:paraId="77333037" w14:textId="77777777" w:rsidR="00805A93" w:rsidRDefault="00805A93" w:rsidP="00805A93">
      <w:pPr>
        <w:pStyle w:val="ListBullet"/>
      </w:pPr>
      <w:r>
        <w:t xml:space="preserve">10,539 Kilometres Squared Area covered </w:t>
      </w:r>
    </w:p>
    <w:p w14:paraId="01CDAFC3" w14:textId="77777777" w:rsidR="00805A93" w:rsidRPr="00DF4279" w:rsidRDefault="00805A93" w:rsidP="00805A93">
      <w:pPr>
        <w:pStyle w:val="ListBullet"/>
      </w:pPr>
      <w:r>
        <w:t>17.58 per cent Population of Queensland</w:t>
      </w:r>
      <w:r>
        <w:footnoteReference w:id="40"/>
      </w:r>
    </w:p>
    <w:p w14:paraId="4ADC871C" w14:textId="77777777" w:rsidR="00805A93" w:rsidRDefault="00805A93" w:rsidP="00805A93">
      <w:pPr>
        <w:pStyle w:val="Heading4"/>
      </w:pPr>
      <w:r w:rsidRPr="00DF271A">
        <w:t>Bruce Highway (Brisbane</w:t>
      </w:r>
      <w:r>
        <w:t>–</w:t>
      </w:r>
      <w:r w:rsidRPr="00DF271A">
        <w:t>Gympie), Caboolture</w:t>
      </w:r>
      <w:r>
        <w:t>–</w:t>
      </w:r>
      <w:r w:rsidRPr="00DF271A">
        <w:t xml:space="preserve">Bribie Island Road to Steve Irwin Way upgrade </w:t>
      </w:r>
    </w:p>
    <w:p w14:paraId="09380AA7" w14:textId="77777777" w:rsidR="00805A93" w:rsidRPr="00091C56" w:rsidRDefault="00805A93" w:rsidP="00805A93">
      <w:r w:rsidRPr="00091C56">
        <w:t xml:space="preserve">Major construction </w:t>
      </w:r>
      <w:r>
        <w:t xml:space="preserve">continues to </w:t>
      </w:r>
      <w:r w:rsidRPr="00091C56">
        <w:t xml:space="preserve">upgrade </w:t>
      </w:r>
      <w:r>
        <w:t>the</w:t>
      </w:r>
      <w:r w:rsidRPr="00091C56">
        <w:t xml:space="preserve"> Bruce Highway between Caboolture</w:t>
      </w:r>
      <w:r>
        <w:t>–</w:t>
      </w:r>
      <w:r w:rsidRPr="00091C56">
        <w:t xml:space="preserve">Bribie Island Road and Steve Irwin Way </w:t>
      </w:r>
      <w:r>
        <w:t>at Exit 163</w:t>
      </w:r>
      <w:r w:rsidRPr="00091C56">
        <w:t>.</w:t>
      </w:r>
    </w:p>
    <w:p w14:paraId="45FD6C1A" w14:textId="77777777" w:rsidR="00805A93" w:rsidRDefault="00805A93" w:rsidP="00805A93">
      <w:r w:rsidRPr="00091C56">
        <w:t>The upgrade will increase the capacity of the highway to reduce travel times and congestion and improve safety, reliability</w:t>
      </w:r>
      <w:r>
        <w:t>,</w:t>
      </w:r>
      <w:r w:rsidRPr="00091C56">
        <w:t xml:space="preserve"> and flood immuni</w:t>
      </w:r>
      <w:r>
        <w:t xml:space="preserve">ty. </w:t>
      </w:r>
    </w:p>
    <w:p w14:paraId="26290D92" w14:textId="77777777" w:rsidR="00805A93" w:rsidRDefault="00805A93" w:rsidP="00805A93">
      <w:r w:rsidRPr="00B64603">
        <w:t>Key milestones to date include opening five new southbound highway bridges to traffic at Lagoon, King John</w:t>
      </w:r>
      <w:r>
        <w:t>s</w:t>
      </w:r>
      <w:r w:rsidRPr="00B64603">
        <w:t>, Six Mile, Unnamed</w:t>
      </w:r>
      <w:r>
        <w:t>,</w:t>
      </w:r>
      <w:r w:rsidRPr="00B64603">
        <w:t xml:space="preserve"> and Beerburrum creeks, providing one-in-100-year floodproofing.</w:t>
      </w:r>
    </w:p>
    <w:p w14:paraId="0FFA51A4" w14:textId="77777777" w:rsidR="00805A93" w:rsidRPr="00B64603" w:rsidRDefault="00805A93" w:rsidP="00805A93">
      <w:r>
        <w:t>The highway was opened to three lanes of traffic northbound and southbound between Caboolture-Bribie Island Road and Pumicestone Road in mid-2023.</w:t>
      </w:r>
    </w:p>
    <w:p w14:paraId="111AAB84" w14:textId="77777777" w:rsidR="00805A93" w:rsidRDefault="00805A93" w:rsidP="00805A93">
      <w:r w:rsidRPr="00227295">
        <w:t xml:space="preserve">The project is expected to be completed in </w:t>
      </w:r>
      <w:r>
        <w:t>early-</w:t>
      </w:r>
      <w:r w:rsidRPr="00227295">
        <w:t>202</w:t>
      </w:r>
      <w:r>
        <w:t>4</w:t>
      </w:r>
      <w:r w:rsidRPr="00227295">
        <w:t xml:space="preserve">, weather and construction conditions permitting. </w:t>
      </w:r>
    </w:p>
    <w:p w14:paraId="47329D80" w14:textId="77777777" w:rsidR="00805A93" w:rsidRDefault="00805A93" w:rsidP="00805A93">
      <w:r w:rsidRPr="00227295">
        <w:t>Th</w:t>
      </w:r>
      <w:r>
        <w:t>is</w:t>
      </w:r>
      <w:r w:rsidRPr="00227295">
        <w:t xml:space="preserve"> </w:t>
      </w:r>
      <w:r>
        <w:t xml:space="preserve">$662.5 </w:t>
      </w:r>
      <w:r w:rsidRPr="00227295">
        <w:t>million project is jointly funded by the Australian and Queensland governments on an 80:20</w:t>
      </w:r>
      <w:r>
        <w:t xml:space="preserve"> (federal:state)</w:t>
      </w:r>
      <w:r w:rsidRPr="00227295">
        <w:t xml:space="preserve"> basis</w:t>
      </w:r>
      <w:r>
        <w:t>.</w:t>
      </w:r>
    </w:p>
    <w:p w14:paraId="7BD11A54" w14:textId="77777777" w:rsidR="00805A93" w:rsidRDefault="00805A93" w:rsidP="00805A93">
      <w:pPr>
        <w:pStyle w:val="ForMoreInformation"/>
        <w:rPr>
          <w:rStyle w:val="Hyperlink"/>
        </w:rPr>
      </w:pPr>
      <w:r>
        <w:t>For more information</w:t>
      </w:r>
      <w:r>
        <w:br/>
      </w:r>
      <w:hyperlink r:id="rId39" w:history="1">
        <w:r w:rsidRPr="005B2880">
          <w:rPr>
            <w:rStyle w:val="Hyperlink"/>
          </w:rPr>
          <w:t>https://www.tmr.qld.gov.au/c2siw</w:t>
        </w:r>
      </w:hyperlink>
    </w:p>
    <w:p w14:paraId="1FEBF8C3" w14:textId="77777777" w:rsidR="00805A93" w:rsidRDefault="00805A93" w:rsidP="00805A93">
      <w:pPr>
        <w:pStyle w:val="Heading4"/>
      </w:pPr>
      <w:r>
        <w:t xml:space="preserve">Glass House Mountains Road (Steve Irwin Way), Beerwah to Landsborough improve safety </w:t>
      </w:r>
    </w:p>
    <w:p w14:paraId="3AB30836" w14:textId="77777777" w:rsidR="00805A93" w:rsidRDefault="00805A93" w:rsidP="00805A93">
      <w:r>
        <w:t>Construction was completed in December 2022 on safety improvements along Glass House Mountains Road (locally called Steve Irwin Way) between Beerwah and Landsborough.</w:t>
      </w:r>
    </w:p>
    <w:p w14:paraId="014EE260" w14:textId="77777777" w:rsidR="00805A93" w:rsidRDefault="00805A93" w:rsidP="00805A93">
      <w:r>
        <w:t>These safety improvements help reduce the potential for head-on, rear-end, run-off-road, and intersection crashes.</w:t>
      </w:r>
    </w:p>
    <w:p w14:paraId="4A4F3FC9" w14:textId="77777777" w:rsidR="00805A93" w:rsidRDefault="00805A93" w:rsidP="00805A93">
      <w:r>
        <w:t xml:space="preserve">Features delivered by the project include </w:t>
      </w:r>
      <w:bookmarkStart w:id="19" w:name="_Hlk97195016"/>
      <w:r>
        <w:t>r</w:t>
      </w:r>
      <w:r w:rsidRPr="0070451E">
        <w:t>oad widening</w:t>
      </w:r>
      <w:r>
        <w:t xml:space="preserve"> to allow for w</w:t>
      </w:r>
      <w:r w:rsidRPr="0070451E">
        <w:t>ide centre</w:t>
      </w:r>
      <w:r>
        <w:t xml:space="preserve"> </w:t>
      </w:r>
      <w:r w:rsidRPr="0070451E">
        <w:t>line treatment</w:t>
      </w:r>
      <w:r>
        <w:t xml:space="preserve"> and wider s</w:t>
      </w:r>
      <w:r w:rsidRPr="0070451E">
        <w:t>houlder</w:t>
      </w:r>
      <w:r>
        <w:t xml:space="preserve">s to </w:t>
      </w:r>
      <w:r w:rsidRPr="0070451E">
        <w:t xml:space="preserve">provide </w:t>
      </w:r>
      <w:r>
        <w:t>greater separation between road users and n</w:t>
      </w:r>
      <w:r w:rsidRPr="0070451E">
        <w:t>ew traffic signals at Fraser Road intersection</w:t>
      </w:r>
      <w:r>
        <w:t>.</w:t>
      </w:r>
    </w:p>
    <w:p w14:paraId="5D4EE3BA" w14:textId="77777777" w:rsidR="00805A93" w:rsidRPr="000F7848" w:rsidRDefault="00805A93" w:rsidP="00805A93">
      <w:r w:rsidRPr="000F7848">
        <w:lastRenderedPageBreak/>
        <w:t>Other features include dedicated right-turn lanes at Isambert Road, Graham Drive</w:t>
      </w:r>
      <w:r>
        <w:t>,</w:t>
      </w:r>
      <w:r w:rsidRPr="000F7848">
        <w:t xml:space="preserve"> and the Australian Zoo maintenance shed entrance north of Irwin Road, extending and replacing culverts, as well as pavement rehabilitation, vegetation management, and lighting and safety barrier installation.</w:t>
      </w:r>
    </w:p>
    <w:p w14:paraId="3683367B" w14:textId="77777777" w:rsidR="00805A93" w:rsidRPr="000F7848" w:rsidRDefault="00805A93" w:rsidP="00805A93">
      <w:r w:rsidRPr="000F7848">
        <w:t xml:space="preserve">This </w:t>
      </w:r>
      <w:r>
        <w:t xml:space="preserve">$24 million </w:t>
      </w:r>
      <w:r w:rsidRPr="000F7848">
        <w:t>project was jointly funded by the Australian and Queensland governments on an 80:20 (federal:state) basis.</w:t>
      </w:r>
    </w:p>
    <w:bookmarkEnd w:id="19"/>
    <w:p w14:paraId="62CDD357" w14:textId="77777777" w:rsidR="00805A93" w:rsidRDefault="00805A93" w:rsidP="00805A93">
      <w:pPr>
        <w:pStyle w:val="ForMoreInformation"/>
      </w:pPr>
      <w:r>
        <w:t>For more information</w:t>
      </w:r>
      <w:r>
        <w:br/>
      </w:r>
      <w:hyperlink r:id="rId40" w:history="1">
        <w:r w:rsidRPr="000C0774">
          <w:rPr>
            <w:rStyle w:val="Hyperlink"/>
          </w:rPr>
          <w:t>https://www.tmr.qld.gov.au/projects/glasshouse-mountains-road-steve-irwin-way-beerwah-to-landsborough-improve-safety</w:t>
        </w:r>
      </w:hyperlink>
    </w:p>
    <w:p w14:paraId="0D319576" w14:textId="6FC12445" w:rsidR="00805A93" w:rsidRDefault="00805A93" w:rsidP="00805A93">
      <w:pPr>
        <w:pStyle w:val="Heading4"/>
      </w:pPr>
      <w:r w:rsidRPr="00FC14DB">
        <w:t xml:space="preserve">Case </w:t>
      </w:r>
      <w:r w:rsidR="00591E7C">
        <w:t>s</w:t>
      </w:r>
      <w:r w:rsidRPr="00FC14DB">
        <w:t>tudy</w:t>
      </w:r>
      <w:r w:rsidR="009249AF">
        <w:t xml:space="preserve"> </w:t>
      </w:r>
      <w:r w:rsidRPr="0005644E">
        <w:t>Southern Sunshine Coast Roads Improvement Study</w:t>
      </w:r>
      <w:r>
        <w:t xml:space="preserve"> </w:t>
      </w:r>
    </w:p>
    <w:p w14:paraId="423F9613" w14:textId="77777777" w:rsidR="00805A93" w:rsidRDefault="00805A93" w:rsidP="00805A93">
      <w:r>
        <w:t xml:space="preserve">The </w:t>
      </w:r>
      <w:r w:rsidRPr="0005644E">
        <w:t xml:space="preserve">Southern Sunshine Coast </w:t>
      </w:r>
      <w:r>
        <w:t>R</w:t>
      </w:r>
      <w:r w:rsidRPr="0005644E">
        <w:t xml:space="preserve">oads </w:t>
      </w:r>
      <w:r>
        <w:t>I</w:t>
      </w:r>
      <w:r w:rsidRPr="0005644E">
        <w:t xml:space="preserve">mprovement </w:t>
      </w:r>
      <w:r>
        <w:t>S</w:t>
      </w:r>
      <w:r w:rsidRPr="0005644E">
        <w:t>tudy</w:t>
      </w:r>
      <w:r>
        <w:t xml:space="preserve"> will </w:t>
      </w:r>
      <w:r w:rsidRPr="00C72BD2">
        <w:t>provide an assessment to identify deficiencies and upgrade needs in the Southern Sunshine Coast area to provide options for future road upgrades that will aim to improve safety, network resilience</w:t>
      </w:r>
      <w:r>
        <w:t>,</w:t>
      </w:r>
      <w:r w:rsidRPr="00C72BD2">
        <w:t xml:space="preserve"> and efficiency.</w:t>
      </w:r>
    </w:p>
    <w:p w14:paraId="1C6D3850" w14:textId="77777777" w:rsidR="00805A93" w:rsidRDefault="00805A93" w:rsidP="00805A93">
      <w:r w:rsidRPr="005A643A">
        <w:t>The study also prioritises</w:t>
      </w:r>
      <w:r>
        <w:t xml:space="preserve"> two</w:t>
      </w:r>
      <w:r w:rsidRPr="005A643A">
        <w:t xml:space="preserve"> </w:t>
      </w:r>
      <w:r>
        <w:t xml:space="preserve">business cases that are expected to be completed in 2023. </w:t>
      </w:r>
    </w:p>
    <w:p w14:paraId="25160DA3" w14:textId="77777777" w:rsidR="00805A93" w:rsidRDefault="00805A93" w:rsidP="00805A93">
      <w:r>
        <w:t>T</w:t>
      </w:r>
      <w:r w:rsidRPr="005A643A">
        <w:t>he Caloundra Road, Kawana Way Link Road</w:t>
      </w:r>
      <w:r>
        <w:t>,</w:t>
      </w:r>
      <w:r w:rsidRPr="005A643A">
        <w:t xml:space="preserve"> and Bells Creek Arterial Road intersection business case </w:t>
      </w:r>
      <w:r>
        <w:t>are</w:t>
      </w:r>
      <w:r w:rsidRPr="005A643A">
        <w:t xml:space="preserve"> investigating options for staged improvements to</w:t>
      </w:r>
      <w:r>
        <w:t xml:space="preserve"> reduce congestion and </w:t>
      </w:r>
      <w:r w:rsidRPr="005A643A">
        <w:t xml:space="preserve">travel times and </w:t>
      </w:r>
      <w:r>
        <w:t xml:space="preserve">improve </w:t>
      </w:r>
      <w:r w:rsidRPr="005A643A">
        <w:t>safety</w:t>
      </w:r>
      <w:r>
        <w:t xml:space="preserve"> in the area</w:t>
      </w:r>
      <w:r w:rsidRPr="005A643A">
        <w:t>.</w:t>
      </w:r>
    </w:p>
    <w:p w14:paraId="5A15DF02" w14:textId="77777777" w:rsidR="00805A93" w:rsidRDefault="00805A93" w:rsidP="00805A93">
      <w:r w:rsidRPr="005A643A">
        <w:t>The</w:t>
      </w:r>
      <w:r>
        <w:t xml:space="preserve"> </w:t>
      </w:r>
      <w:r w:rsidRPr="005A643A">
        <w:t xml:space="preserve">Kawana </w:t>
      </w:r>
      <w:r>
        <w:t>M</w:t>
      </w:r>
      <w:r w:rsidRPr="005A643A">
        <w:t>otorway</w:t>
      </w:r>
      <w:r>
        <w:t xml:space="preserve"> business case is investigating</w:t>
      </w:r>
      <w:r w:rsidRPr="005A643A">
        <w:t xml:space="preserve"> a </w:t>
      </w:r>
      <w:r>
        <w:t xml:space="preserve">new </w:t>
      </w:r>
      <w:r w:rsidRPr="005A643A">
        <w:t>high-speed</w:t>
      </w:r>
      <w:r>
        <w:t xml:space="preserve"> motorway between the proposed Mooloolah River Interchange and </w:t>
      </w:r>
      <w:r w:rsidRPr="00BC2137">
        <w:t>Kawana Way Link Road</w:t>
      </w:r>
      <w:r>
        <w:t xml:space="preserve"> </w:t>
      </w:r>
      <w:r w:rsidRPr="005A643A">
        <w:t xml:space="preserve">(parallel to Kawana Way) for motorists travelling within the region </w:t>
      </w:r>
      <w:r>
        <w:t>to</w:t>
      </w:r>
      <w:r w:rsidRPr="005A643A">
        <w:t xml:space="preserve"> help reduce traffic on Nicklin Way and Kawana Way</w:t>
      </w:r>
      <w:r>
        <w:t xml:space="preserve">. </w:t>
      </w:r>
    </w:p>
    <w:p w14:paraId="141943CB" w14:textId="77777777" w:rsidR="00805A93" w:rsidRDefault="00805A93" w:rsidP="00805A93">
      <w:r>
        <w:t xml:space="preserve">These initiatives </w:t>
      </w:r>
      <w:r w:rsidRPr="005A643A">
        <w:t>will</w:t>
      </w:r>
      <w:r>
        <w:t xml:space="preserve"> </w:t>
      </w:r>
      <w:r w:rsidRPr="00573A30">
        <w:t>help future-proof the growing Sunshine Coast region</w:t>
      </w:r>
      <w:r>
        <w:t xml:space="preserve"> and </w:t>
      </w:r>
      <w:r w:rsidRPr="005A643A">
        <w:t xml:space="preserve">form a key part of </w:t>
      </w:r>
      <w:r>
        <w:t xml:space="preserve">the future </w:t>
      </w:r>
      <w:r w:rsidRPr="005A643A">
        <w:t>north-south motorwa</w:t>
      </w:r>
      <w:r>
        <w:t xml:space="preserve">y, </w:t>
      </w:r>
      <w:r w:rsidRPr="0005644E">
        <w:t>link</w:t>
      </w:r>
      <w:r>
        <w:t>ing</w:t>
      </w:r>
      <w:r w:rsidRPr="0005644E">
        <w:t xml:space="preserve"> the Sunshine Motorway, through the new Mooloolah River Interchange, onto the </w:t>
      </w:r>
      <w:r>
        <w:t xml:space="preserve">new </w:t>
      </w:r>
      <w:r w:rsidRPr="0005644E">
        <w:t>Kawana Motorway, to Kawana Way Link Road and Bells Creek Arterial Road to the Bruce Highway</w:t>
      </w:r>
      <w:r>
        <w:t>.</w:t>
      </w:r>
    </w:p>
    <w:p w14:paraId="284A8416" w14:textId="77777777" w:rsidR="00805A93" w:rsidRPr="00665B21" w:rsidRDefault="00805A93" w:rsidP="00805A93">
      <w:pPr>
        <w:pStyle w:val="ForMoreInformation"/>
      </w:pPr>
      <w:r>
        <w:t>For more information</w:t>
      </w:r>
      <w:r>
        <w:br/>
      </w:r>
      <w:hyperlink r:id="rId41" w:history="1">
        <w:r w:rsidRPr="00E7510A">
          <w:rPr>
            <w:rStyle w:val="Hyperlink"/>
          </w:rPr>
          <w:t>https://www.tmr.qld.gov.au/projects/southern-sunshine-coast-roads-improvement-study</w:t>
        </w:r>
      </w:hyperlink>
    </w:p>
    <w:p w14:paraId="4DBA0274" w14:textId="77777777" w:rsidR="00805A93" w:rsidRDefault="00805A93" w:rsidP="00805A93">
      <w:pPr>
        <w:pStyle w:val="Heading4"/>
      </w:pPr>
      <w:r w:rsidRPr="00646FF3">
        <w:t xml:space="preserve">Beerburrum to Nambour </w:t>
      </w:r>
      <w:r>
        <w:t>r</w:t>
      </w:r>
      <w:r w:rsidRPr="00646FF3">
        <w:t xml:space="preserve">ail </w:t>
      </w:r>
      <w:r>
        <w:t>u</w:t>
      </w:r>
      <w:r w:rsidRPr="00646FF3">
        <w:t>pgrade</w:t>
      </w:r>
    </w:p>
    <w:p w14:paraId="73FCFA66" w14:textId="77777777" w:rsidR="00805A93" w:rsidRDefault="00805A93" w:rsidP="00805A93">
      <w:r w:rsidRPr="00646FF3">
        <w:t xml:space="preserve">The Beerburrum to Nambour </w:t>
      </w:r>
      <w:r>
        <w:t>r</w:t>
      </w:r>
      <w:r w:rsidRPr="00646FF3">
        <w:t xml:space="preserve">ail </w:t>
      </w:r>
      <w:r>
        <w:t>u</w:t>
      </w:r>
      <w:r w:rsidRPr="00646FF3">
        <w:t>pgrade will provide additional track capacity and reliability, reducing travel time and increasing passenger and freight services to the growing Sunshine Coast region.</w:t>
      </w:r>
    </w:p>
    <w:p w14:paraId="4B1F083A" w14:textId="77777777" w:rsidR="00805A93" w:rsidRPr="00646FF3" w:rsidRDefault="00805A93" w:rsidP="00805A93">
      <w:r w:rsidRPr="00EE63B3">
        <w:t xml:space="preserve">Stage </w:t>
      </w:r>
      <w:r>
        <w:t>one</w:t>
      </w:r>
      <w:r w:rsidRPr="00EE63B3">
        <w:t xml:space="preserve"> is jointly funded by the Australian and Queensland governments on a 70:30 (federal:state) basis with a commitment of </w:t>
      </w:r>
      <w:r>
        <w:t xml:space="preserve">$550.8 </w:t>
      </w:r>
      <w:r w:rsidRPr="00EE63B3">
        <w:t xml:space="preserve">million towards </w:t>
      </w:r>
      <w:r>
        <w:t>s</w:t>
      </w:r>
      <w:r w:rsidRPr="00EE63B3">
        <w:t xml:space="preserve">tage </w:t>
      </w:r>
      <w:r>
        <w:t>one</w:t>
      </w:r>
      <w:r w:rsidRPr="00EE63B3">
        <w:t xml:space="preserve"> of the project.</w:t>
      </w:r>
    </w:p>
    <w:p w14:paraId="008B6594" w14:textId="77777777" w:rsidR="00805A93" w:rsidRPr="00646FF3" w:rsidRDefault="00805A93" w:rsidP="00805A93">
      <w:r w:rsidRPr="00646FF3">
        <w:t xml:space="preserve">Stage </w:t>
      </w:r>
      <w:r>
        <w:t>one construction continues and</w:t>
      </w:r>
      <w:r w:rsidRPr="00646FF3">
        <w:t xml:space="preserve"> will:</w:t>
      </w:r>
    </w:p>
    <w:p w14:paraId="7EC47D55" w14:textId="77777777" w:rsidR="00805A93" w:rsidRPr="00646FF3" w:rsidRDefault="00805A93" w:rsidP="00805A93">
      <w:pPr>
        <w:pStyle w:val="ListBullet"/>
      </w:pPr>
      <w:r w:rsidRPr="00646FF3">
        <w:t xml:space="preserve">deliver </w:t>
      </w:r>
      <w:r>
        <w:t>three</w:t>
      </w:r>
      <w:r w:rsidRPr="00646FF3">
        <w:t xml:space="preserve"> new bridges</w:t>
      </w:r>
    </w:p>
    <w:p w14:paraId="53092A47" w14:textId="77777777" w:rsidR="00805A93" w:rsidRPr="00646FF3" w:rsidRDefault="00805A93" w:rsidP="00805A93">
      <w:pPr>
        <w:pStyle w:val="ListBullet"/>
      </w:pPr>
      <w:r w:rsidRPr="00646FF3">
        <w:t>remove level crossings</w:t>
      </w:r>
    </w:p>
    <w:p w14:paraId="21A7C9AD" w14:textId="77777777" w:rsidR="00805A93" w:rsidRPr="00646FF3" w:rsidRDefault="00805A93" w:rsidP="00805A93">
      <w:pPr>
        <w:pStyle w:val="ListBullet"/>
      </w:pPr>
      <w:r w:rsidRPr="00646FF3">
        <w:t>duplicate the section of rail track between Beerburr</w:t>
      </w:r>
      <w:r>
        <w:t>u</w:t>
      </w:r>
      <w:r w:rsidRPr="00646FF3">
        <w:t>m and Beerwah</w:t>
      </w:r>
    </w:p>
    <w:p w14:paraId="3CF0AA32" w14:textId="77777777" w:rsidR="00805A93" w:rsidRPr="00646FF3" w:rsidRDefault="00805A93" w:rsidP="00805A93">
      <w:pPr>
        <w:pStyle w:val="ListBullet"/>
      </w:pPr>
      <w:r w:rsidRPr="00646FF3">
        <w:t xml:space="preserve">construct a new bus interchange on the eastern side of Landsborough </w:t>
      </w:r>
      <w:r>
        <w:t>s</w:t>
      </w:r>
      <w:r w:rsidRPr="00646FF3">
        <w:t>tation.</w:t>
      </w:r>
    </w:p>
    <w:p w14:paraId="77BE0A6A" w14:textId="77777777" w:rsidR="00805A93" w:rsidRPr="00584F8D" w:rsidRDefault="00805A93" w:rsidP="00805A93">
      <w:r w:rsidRPr="00584F8D">
        <w:t xml:space="preserve">Stage one early works construction is scheduled for completion in mid-2023, weather and construction conditions permitting. </w:t>
      </w:r>
      <w:r>
        <w:t>Works include realigning a one-kilometre section of Steve Irwin Way south of Glass House Mountains and expanding two park 'n' ride facilities at Landsborough and Nambour.</w:t>
      </w:r>
    </w:p>
    <w:p w14:paraId="50A284EF" w14:textId="2373B37B" w:rsidR="00805A93" w:rsidRDefault="00805A93" w:rsidP="00805A93">
      <w:r w:rsidRPr="00584F8D">
        <w:t>The timing for delivery and staging of construction works will be finalised following the completion of detailed design.</w:t>
      </w:r>
    </w:p>
    <w:p w14:paraId="05D2AB8E" w14:textId="77777777" w:rsidR="00805A93" w:rsidRPr="009E53CF" w:rsidRDefault="00805A93" w:rsidP="00805A93">
      <w:pPr>
        <w:pStyle w:val="ForMoreInformation"/>
      </w:pPr>
      <w:r w:rsidRPr="009E53CF">
        <w:t>For more information</w:t>
      </w:r>
      <w:r>
        <w:br/>
      </w:r>
      <w:hyperlink r:id="rId42" w:history="1">
        <w:r w:rsidRPr="009E53CF">
          <w:rPr>
            <w:rStyle w:val="Hyperlink"/>
          </w:rPr>
          <w:t>https://www.tmr.qld.gov.au/projects/beerburrum-to-nambour-rail-upgrade-stage-1</w:t>
        </w:r>
      </w:hyperlink>
    </w:p>
    <w:p w14:paraId="7E0C1B2F" w14:textId="77777777" w:rsidR="00805A93" w:rsidRDefault="00805A93" w:rsidP="00805A93">
      <w:pPr>
        <w:pStyle w:val="Heading4"/>
      </w:pPr>
      <w:r w:rsidRPr="0055420A">
        <w:lastRenderedPageBreak/>
        <w:t xml:space="preserve">Bruce Highway </w:t>
      </w:r>
      <w:r w:rsidRPr="00C353E2">
        <w:t>(Brisbane</w:t>
      </w:r>
      <w:r>
        <w:t>–</w:t>
      </w:r>
      <w:r w:rsidRPr="00C353E2">
        <w:t xml:space="preserve">Gympie), </w:t>
      </w:r>
      <w:r w:rsidRPr="0055420A">
        <w:t xml:space="preserve">Deception Bay Road </w:t>
      </w:r>
      <w:r>
        <w:t>i</w:t>
      </w:r>
      <w:r w:rsidRPr="0055420A">
        <w:t xml:space="preserve">nterchange </w:t>
      </w:r>
      <w:r>
        <w:t>u</w:t>
      </w:r>
      <w:r w:rsidRPr="0055420A">
        <w:t xml:space="preserve">pgrade </w:t>
      </w:r>
    </w:p>
    <w:p w14:paraId="317BC78C" w14:textId="77777777" w:rsidR="00805A93" w:rsidRPr="009E18DF" w:rsidRDefault="00805A93" w:rsidP="00805A93">
      <w:r w:rsidRPr="009E18DF">
        <w:t xml:space="preserve">Major construction </w:t>
      </w:r>
      <w:r>
        <w:t>was completed in May 2023 on the</w:t>
      </w:r>
      <w:r w:rsidRPr="009E18DF">
        <w:t xml:space="preserve"> Bruce Highway upgrade at </w:t>
      </w:r>
      <w:r>
        <w:t xml:space="preserve">the </w:t>
      </w:r>
      <w:r w:rsidRPr="009E18DF">
        <w:t>Deception Bay Road interchange</w:t>
      </w:r>
      <w:r>
        <w:t xml:space="preserve"> in Burpengary, improving</w:t>
      </w:r>
      <w:r w:rsidRPr="009E18DF">
        <w:t xml:space="preserve"> safety and efficiency and significantly increas</w:t>
      </w:r>
      <w:r>
        <w:t>ing</w:t>
      </w:r>
      <w:r w:rsidRPr="009E18DF">
        <w:t xml:space="preserve"> capacity at the </w:t>
      </w:r>
      <w:r>
        <w:t>interchange.</w:t>
      </w:r>
    </w:p>
    <w:p w14:paraId="74A307DE" w14:textId="77777777" w:rsidR="00805A93" w:rsidRDefault="00805A93" w:rsidP="00805A93">
      <w:r>
        <w:t>Key features delivered included:</w:t>
      </w:r>
    </w:p>
    <w:p w14:paraId="2D71D0D4" w14:textId="77777777" w:rsidR="00805A93" w:rsidRDefault="00805A93" w:rsidP="00805A93">
      <w:pPr>
        <w:pStyle w:val="ListBullet"/>
      </w:pPr>
      <w:r>
        <w:t>r</w:t>
      </w:r>
      <w:r w:rsidRPr="00BC40A9">
        <w:t>eplac</w:t>
      </w:r>
      <w:r>
        <w:t>ement</w:t>
      </w:r>
      <w:r w:rsidRPr="00BC40A9">
        <w:t xml:space="preserve"> </w:t>
      </w:r>
      <w:r>
        <w:t xml:space="preserve">of </w:t>
      </w:r>
      <w:r w:rsidRPr="00BC40A9">
        <w:t>the old two-lane bridge with two new parallel bridges over the Bruce Highway</w:t>
      </w:r>
    </w:p>
    <w:p w14:paraId="02650E31" w14:textId="77777777" w:rsidR="00805A93" w:rsidRDefault="00805A93" w:rsidP="00805A93">
      <w:pPr>
        <w:pStyle w:val="ListBullet"/>
      </w:pPr>
      <w:r>
        <w:t>u</w:t>
      </w:r>
      <w:r w:rsidRPr="00BC40A9">
        <w:t>pgrading</w:t>
      </w:r>
      <w:r>
        <w:t xml:space="preserve"> of </w:t>
      </w:r>
      <w:r w:rsidRPr="00BC40A9">
        <w:t xml:space="preserve">two signalised intersections on Deception Bay Road at either </w:t>
      </w:r>
      <w:r>
        <w:t xml:space="preserve">side </w:t>
      </w:r>
      <w:r w:rsidRPr="00BC40A9">
        <w:t>of the interchange</w:t>
      </w:r>
      <w:r>
        <w:t>.</w:t>
      </w:r>
    </w:p>
    <w:p w14:paraId="79DE119D" w14:textId="77777777" w:rsidR="00805A93" w:rsidRPr="00B27632" w:rsidRDefault="00805A93" w:rsidP="00805A93">
      <w:r w:rsidRPr="00B27632">
        <w:t>The project also increased the length and capacity of Bruce Highway exit and entry ramps</w:t>
      </w:r>
      <w:r>
        <w:t>. It</w:t>
      </w:r>
      <w:r w:rsidRPr="00B27632">
        <w:t xml:space="preserve"> provided on-road lanes for bike riders and a dedicated off-road shared pathway for pedestrians and bike riders to connect across the highway</w:t>
      </w:r>
      <w:r w:rsidRPr="00E91A73">
        <w:t xml:space="preserve"> </w:t>
      </w:r>
      <w:r w:rsidRPr="00B27632">
        <w:t>safely</w:t>
      </w:r>
      <w:r>
        <w:t>.</w:t>
      </w:r>
    </w:p>
    <w:p w14:paraId="5756AD7F" w14:textId="77777777" w:rsidR="00805A93" w:rsidRPr="00B27632" w:rsidRDefault="00805A93" w:rsidP="00805A93">
      <w:r w:rsidRPr="00B27632">
        <w:t xml:space="preserve">This </w:t>
      </w:r>
      <w:r>
        <w:t xml:space="preserve">$163.3 </w:t>
      </w:r>
      <w:r w:rsidRPr="00B27632">
        <w:t>million project was jointly funded by the Australian and Queensland governments on an 80:20 (federal:state) basis.</w:t>
      </w:r>
    </w:p>
    <w:p w14:paraId="334ABC7A" w14:textId="77777777" w:rsidR="00805A93" w:rsidRDefault="00805A93" w:rsidP="00805A93">
      <w:pPr>
        <w:pStyle w:val="ForMoreInformation"/>
      </w:pPr>
      <w:r>
        <w:t>For more information</w:t>
      </w:r>
      <w:r>
        <w:br/>
      </w:r>
      <w:hyperlink r:id="rId43" w:history="1">
        <w:r w:rsidRPr="003275AA">
          <w:rPr>
            <w:rStyle w:val="Hyperlink"/>
          </w:rPr>
          <w:t>https://www.tmr.qld.gov.au/projects/bruce-highway-deception-bay-road-interchange</w:t>
        </w:r>
      </w:hyperlink>
    </w:p>
    <w:p w14:paraId="552D57E8" w14:textId="77777777" w:rsidR="00805A93" w:rsidRPr="003E70D0" w:rsidRDefault="00805A93" w:rsidP="00805A93">
      <w:pPr>
        <w:pStyle w:val="Heading4"/>
      </w:pPr>
      <w:r>
        <w:t>Bruce Highway (Brisbane–Gympie), Maroochydore Road and Mons Road interchange upgrade</w:t>
      </w:r>
    </w:p>
    <w:p w14:paraId="479232FA" w14:textId="77777777" w:rsidR="00805A93" w:rsidRPr="003E70D0" w:rsidRDefault="00805A93" w:rsidP="00805A93">
      <w:r>
        <w:t>C</w:t>
      </w:r>
      <w:r w:rsidRPr="003E70D0">
        <w:t>onstruction</w:t>
      </w:r>
      <w:r>
        <w:t xml:space="preserve"> was completed </w:t>
      </w:r>
      <w:r w:rsidRPr="003E70D0">
        <w:t xml:space="preserve">to upgrade Maroochydore Road and Mons Road interchanges on the Bruce Highway at Forest Glen.  </w:t>
      </w:r>
    </w:p>
    <w:p w14:paraId="4EBA768A" w14:textId="77777777" w:rsidR="00805A93" w:rsidRPr="003E70D0" w:rsidRDefault="00805A93" w:rsidP="00805A93">
      <w:r w:rsidRPr="003E70D0">
        <w:t xml:space="preserve">This has improved traffic efficiency, capacity, and safety at the interchanges </w:t>
      </w:r>
      <w:r>
        <w:t>and</w:t>
      </w:r>
      <w:r w:rsidRPr="003E70D0">
        <w:t xml:space="preserve"> connectivity to the local road network.</w:t>
      </w:r>
    </w:p>
    <w:p w14:paraId="62625E2D" w14:textId="77777777" w:rsidR="00805A93" w:rsidRPr="003E70D0" w:rsidRDefault="00805A93" w:rsidP="00805A93">
      <w:r w:rsidRPr="003E70D0">
        <w:t xml:space="preserve">Key features delivered include the conversion of the Maroochydore Road interchange to a fully controlled, signalised interchange with upgraded ramps and a new four-lane eastbound bridge over the Bruce Highway from Nambour Connection Road to Maroochydore Road. </w:t>
      </w:r>
    </w:p>
    <w:p w14:paraId="72C3E093" w14:textId="77777777" w:rsidR="00805A93" w:rsidRPr="003E70D0" w:rsidRDefault="00805A93" w:rsidP="00805A93">
      <w:r w:rsidRPr="003E70D0">
        <w:t>The project also included widening Mons Road under the Bruce Highway and moving entry and exit ramp access points, providing two-way service roads on both the eastern and western sides of the highway, and delivering new active transport facilities for bike riders and pedestrians through the Maroochydore Road interchange and eastern service road.</w:t>
      </w:r>
    </w:p>
    <w:p w14:paraId="5F8B6DBF" w14:textId="77777777" w:rsidR="00805A93" w:rsidRPr="003E70D0" w:rsidRDefault="00805A93" w:rsidP="00805A93">
      <w:r w:rsidRPr="003E70D0">
        <w:t xml:space="preserve">This </w:t>
      </w:r>
      <w:r>
        <w:t xml:space="preserve">$301.25 </w:t>
      </w:r>
      <w:r w:rsidRPr="003E70D0">
        <w:t>million project was jointly funded by the Australian and Queensland governments on an 80:20 (federal:state) basis.</w:t>
      </w:r>
    </w:p>
    <w:p w14:paraId="02FE2C74" w14:textId="77777777" w:rsidR="00805A93" w:rsidRDefault="00805A93" w:rsidP="00E6328B">
      <w:pPr>
        <w:pStyle w:val="ForMoreInformation"/>
      </w:pPr>
      <w:r>
        <w:t>For more information</w:t>
      </w:r>
      <w:r>
        <w:br/>
      </w:r>
      <w:hyperlink r:id="rId44" w:history="1">
        <w:r>
          <w:rPr>
            <w:rStyle w:val="Hyperlink"/>
          </w:rPr>
          <w:t>https://www.tmr.qld.gov.au/projects/bruce-highway-maroochydore-road-mons-road-interchanges</w:t>
        </w:r>
      </w:hyperlink>
    </w:p>
    <w:p w14:paraId="119C6651" w14:textId="77777777" w:rsidR="00C6602D" w:rsidRDefault="00C6602D">
      <w:pPr>
        <w:spacing w:before="0" w:after="160" w:line="259" w:lineRule="auto"/>
        <w:rPr>
          <w:rFonts w:eastAsiaTheme="majorEastAsia" w:cstheme="majorBidi"/>
          <w:color w:val="000000" w:themeColor="text1"/>
          <w:sz w:val="32"/>
          <w:szCs w:val="24"/>
        </w:rPr>
      </w:pPr>
      <w:r>
        <w:br w:type="page"/>
      </w:r>
    </w:p>
    <w:p w14:paraId="2384A4B5" w14:textId="2E1FB62B" w:rsidR="00805A93" w:rsidRDefault="00805A93" w:rsidP="00805A93">
      <w:pPr>
        <w:pStyle w:val="Heading3"/>
      </w:pPr>
      <w:r>
        <w:lastRenderedPageBreak/>
        <w:t>Metropolitan</w:t>
      </w:r>
    </w:p>
    <w:p w14:paraId="32AF717F" w14:textId="77777777" w:rsidR="00805A93" w:rsidRDefault="00805A93" w:rsidP="00591E7C">
      <w:pPr>
        <w:pStyle w:val="Heading4"/>
      </w:pPr>
      <w:r>
        <w:t xml:space="preserve">Fast Facts </w:t>
      </w:r>
    </w:p>
    <w:p w14:paraId="0FA1E264" w14:textId="77777777" w:rsidR="00805A93" w:rsidRDefault="00805A93" w:rsidP="00805A93">
      <w:pPr>
        <w:pStyle w:val="ListBullet"/>
      </w:pPr>
      <w:r>
        <w:t>527 Kilometres State-controlled road</w:t>
      </w:r>
      <w:r>
        <w:footnoteReference w:id="41"/>
      </w:r>
    </w:p>
    <w:p w14:paraId="5076D438" w14:textId="77777777" w:rsidR="00805A93" w:rsidRDefault="00805A93" w:rsidP="00805A93">
      <w:pPr>
        <w:pStyle w:val="ListBullet"/>
      </w:pPr>
      <w:r>
        <w:t>90 Kilometres National Land Transport Network</w:t>
      </w:r>
      <w:r>
        <w:footnoteReference w:id="42"/>
      </w:r>
      <w:r>
        <w:t xml:space="preserve"> </w:t>
      </w:r>
    </w:p>
    <w:p w14:paraId="79B84387" w14:textId="77777777" w:rsidR="00805A93" w:rsidRDefault="00805A93" w:rsidP="00805A93">
      <w:pPr>
        <w:pStyle w:val="ListBullet"/>
      </w:pPr>
      <w:r>
        <w:t xml:space="preserve">1,684,865 Vehicle and machinery registrations </w:t>
      </w:r>
    </w:p>
    <w:p w14:paraId="2D03946B" w14:textId="77777777" w:rsidR="00805A93" w:rsidRDefault="00805A93" w:rsidP="00805A93">
      <w:pPr>
        <w:pStyle w:val="ListBullet"/>
      </w:pPr>
      <w:r>
        <w:t xml:space="preserve">72 Boating infrastructures </w:t>
      </w:r>
    </w:p>
    <w:p w14:paraId="7D61A8CE" w14:textId="77777777" w:rsidR="00805A93" w:rsidRDefault="00805A93" w:rsidP="00805A93">
      <w:pPr>
        <w:pStyle w:val="ListBullet"/>
      </w:pPr>
      <w:r>
        <w:t xml:space="preserve">100 Community safety events held </w:t>
      </w:r>
    </w:p>
    <w:p w14:paraId="2695E22B" w14:textId="77777777" w:rsidR="00805A93" w:rsidRDefault="00805A93" w:rsidP="00805A93">
      <w:pPr>
        <w:pStyle w:val="ListBullet"/>
      </w:pPr>
      <w:r>
        <w:t xml:space="preserve">15,707 Vehicle and machinery inspections completed </w:t>
      </w:r>
    </w:p>
    <w:p w14:paraId="5F1264DC" w14:textId="77777777" w:rsidR="00805A93" w:rsidRDefault="00805A93" w:rsidP="00805A93">
      <w:pPr>
        <w:pStyle w:val="ListBullet"/>
      </w:pPr>
      <w:r>
        <w:t>472 Bridges</w:t>
      </w:r>
      <w:r>
        <w:footnoteReference w:id="43"/>
      </w:r>
      <w:r>
        <w:t xml:space="preserve"> </w:t>
      </w:r>
    </w:p>
    <w:p w14:paraId="5FB43292" w14:textId="77777777" w:rsidR="00805A93" w:rsidRDefault="00805A93" w:rsidP="00805A93">
      <w:pPr>
        <w:pStyle w:val="ListBullet"/>
      </w:pPr>
      <w:r>
        <w:t xml:space="preserve">46,884 Driver licence tests conducted </w:t>
      </w:r>
    </w:p>
    <w:p w14:paraId="1F050566" w14:textId="77777777" w:rsidR="00805A93" w:rsidRDefault="00805A93" w:rsidP="00805A93">
      <w:pPr>
        <w:pStyle w:val="ListBullet"/>
      </w:pPr>
      <w:r>
        <w:t xml:space="preserve">964,371 Customer face-to-face interactions </w:t>
      </w:r>
    </w:p>
    <w:p w14:paraId="1EACE549" w14:textId="77777777" w:rsidR="00805A93" w:rsidRDefault="00805A93" w:rsidP="00805A93">
      <w:pPr>
        <w:pStyle w:val="ListBullet"/>
      </w:pPr>
      <w:r>
        <w:t xml:space="preserve">535 Priority-enabled intersections </w:t>
      </w:r>
    </w:p>
    <w:p w14:paraId="69E4E314" w14:textId="77777777" w:rsidR="00805A93" w:rsidRDefault="00805A93" w:rsidP="00805A93">
      <w:pPr>
        <w:pStyle w:val="ListBullet"/>
      </w:pPr>
      <w:r>
        <w:t xml:space="preserve">2974 Kilometres Squared Area covered </w:t>
      </w:r>
    </w:p>
    <w:p w14:paraId="0CE87400" w14:textId="77777777" w:rsidR="00805A93" w:rsidRPr="00DF4279" w:rsidRDefault="00805A93" w:rsidP="00805A93">
      <w:pPr>
        <w:pStyle w:val="ListBullet"/>
      </w:pPr>
      <w:r>
        <w:t>31.75 per cent Population of Queensland</w:t>
      </w:r>
      <w:r>
        <w:footnoteReference w:id="44"/>
      </w:r>
    </w:p>
    <w:p w14:paraId="4CB6CF88" w14:textId="77777777" w:rsidR="00805A93" w:rsidRDefault="00805A93" w:rsidP="00805A93">
      <w:pPr>
        <w:pStyle w:val="Heading4"/>
      </w:pPr>
      <w:r w:rsidRPr="005868DA">
        <w:t>Beams Road rail level crossing removal</w:t>
      </w:r>
    </w:p>
    <w:p w14:paraId="1C4482B4" w14:textId="77777777" w:rsidR="00805A93" w:rsidRPr="005868DA" w:rsidRDefault="00805A93" w:rsidP="00805A93">
      <w:r>
        <w:t>The</w:t>
      </w:r>
      <w:r w:rsidRPr="005868DA">
        <w:t xml:space="preserve"> Beams Road </w:t>
      </w:r>
      <w:r>
        <w:t>rail level crossing removal</w:t>
      </w:r>
      <w:r w:rsidRPr="005868DA">
        <w:t xml:space="preserve"> project will reduce congestion and address safety concerns by removing the rail level crossing on Beams Road at Carseldine.</w:t>
      </w:r>
    </w:p>
    <w:p w14:paraId="0B56F542" w14:textId="77777777" w:rsidR="00805A93" w:rsidRPr="005868DA" w:rsidRDefault="00805A93" w:rsidP="00805A93">
      <w:r>
        <w:t>D</w:t>
      </w:r>
      <w:r w:rsidRPr="005868DA">
        <w:t xml:space="preserve">etailed design </w:t>
      </w:r>
      <w:r>
        <w:t xml:space="preserve">was completed in April </w:t>
      </w:r>
      <w:r w:rsidRPr="005868DA">
        <w:t>2023 to refine the concept design identified in the business case. </w:t>
      </w:r>
      <w:r>
        <w:t>The two-stage tender process commenced late-2022, with the expression of interest completed in March 2023. The construction contract is expected to be awarded in</w:t>
      </w:r>
      <w:r w:rsidRPr="005868DA">
        <w:t xml:space="preserve"> late</w:t>
      </w:r>
      <w:r>
        <w:t>-</w:t>
      </w:r>
      <w:r w:rsidRPr="005868DA">
        <w:t>2023.</w:t>
      </w:r>
    </w:p>
    <w:p w14:paraId="220B8B7E" w14:textId="77777777" w:rsidR="00805A93" w:rsidRPr="005868DA" w:rsidRDefault="00805A93" w:rsidP="00805A93">
      <w:r>
        <w:t>To</w:t>
      </w:r>
      <w:r w:rsidRPr="005868DA">
        <w:t xml:space="preserve"> accelerate works</w:t>
      </w:r>
      <w:r>
        <w:t xml:space="preserve"> for the overpass</w:t>
      </w:r>
      <w:r w:rsidRPr="005868DA">
        <w:t xml:space="preserve">, the upgrade of the existing Carseldine station park 'n' ride </w:t>
      </w:r>
      <w:r>
        <w:t>began in 2022 with</w:t>
      </w:r>
      <w:r w:rsidRPr="005868DA">
        <w:t xml:space="preserve"> </w:t>
      </w:r>
      <w:r>
        <w:t>w</w:t>
      </w:r>
      <w:r w:rsidRPr="005868DA">
        <w:t>orks includ</w:t>
      </w:r>
      <w:r>
        <w:t>ing</w:t>
      </w:r>
      <w:r w:rsidRPr="005868DA">
        <w:t xml:space="preserve"> construction </w:t>
      </w:r>
      <w:r>
        <w:t xml:space="preserve">of </w:t>
      </w:r>
      <w:r w:rsidRPr="005868DA">
        <w:t>new access from Balcara Avenue.</w:t>
      </w:r>
      <w:r>
        <w:t xml:space="preserve"> The park 'n' ride upgrade works were completed in mid-2023.</w:t>
      </w:r>
    </w:p>
    <w:p w14:paraId="2FF32230" w14:textId="77777777" w:rsidR="00805A93" w:rsidRDefault="00805A93" w:rsidP="00805A93">
      <w:r w:rsidRPr="005868DA">
        <w:t xml:space="preserve">The </w:t>
      </w:r>
      <w:r>
        <w:t xml:space="preserve">$209.33 million </w:t>
      </w:r>
      <w:r w:rsidRPr="005868DA">
        <w:t>overpass project is jointly funded</w:t>
      </w:r>
      <w:r>
        <w:t xml:space="preserve"> by </w:t>
      </w:r>
      <w:r w:rsidRPr="005868DA">
        <w:t>the Australian</w:t>
      </w:r>
      <w:r>
        <w:t xml:space="preserve"> Government, Queensland </w:t>
      </w:r>
      <w:r w:rsidRPr="005868DA">
        <w:t>Government</w:t>
      </w:r>
      <w:r>
        <w:t>,</w:t>
      </w:r>
      <w:r w:rsidRPr="005868DA">
        <w:t xml:space="preserve"> and Brisbane City Council</w:t>
      </w:r>
      <w:r>
        <w:t>.</w:t>
      </w:r>
      <w:r w:rsidRPr="005868DA">
        <w:t xml:space="preserve"> </w:t>
      </w:r>
    </w:p>
    <w:p w14:paraId="1D7354DF" w14:textId="77777777" w:rsidR="00805A93" w:rsidRDefault="00805A93" w:rsidP="00805A93">
      <w:pPr>
        <w:pStyle w:val="ForMoreInformation"/>
      </w:pPr>
      <w:r>
        <w:t>For more information</w:t>
      </w:r>
      <w:r>
        <w:br/>
      </w:r>
      <w:hyperlink r:id="rId45" w:history="1">
        <w:r>
          <w:rPr>
            <w:rStyle w:val="Hyperlink"/>
          </w:rPr>
          <w:t>https://www.tmr.qld.gov.au/projects/beams-road-carseldine-and-fitzgibbon-rail-level-crossing</w:t>
        </w:r>
      </w:hyperlink>
    </w:p>
    <w:p w14:paraId="6C8BA2C9" w14:textId="77777777" w:rsidR="00805A93" w:rsidRDefault="00805A93" w:rsidP="00805A93">
      <w:pPr>
        <w:pStyle w:val="Heading4"/>
      </w:pPr>
      <w:r>
        <w:t>Veloway 1 O'Keefe Street</w:t>
      </w:r>
    </w:p>
    <w:p w14:paraId="43F0E691" w14:textId="77777777" w:rsidR="00805A93" w:rsidRPr="00951810" w:rsidRDefault="00805A93" w:rsidP="00805A93">
      <w:r>
        <w:t>T</w:t>
      </w:r>
      <w:r w:rsidRPr="00951810">
        <w:t xml:space="preserve">MR is delivering the next stage of the Veloway (V1) cycleway. </w:t>
      </w:r>
    </w:p>
    <w:p w14:paraId="0BCA11BC" w14:textId="77777777" w:rsidR="00805A93" w:rsidRPr="00951810" w:rsidRDefault="00805A93" w:rsidP="00805A93">
      <w:r w:rsidRPr="00951810">
        <w:t>The V1 is a critical, high</w:t>
      </w:r>
      <w:r>
        <w:t>-</w:t>
      </w:r>
      <w:r w:rsidRPr="00951810">
        <w:t>quality bike riding facility that will provide a dedicated bike path adjacent to the Pacific Motorway from Lower River Terrace</w:t>
      </w:r>
      <w:r>
        <w:t xml:space="preserve"> at</w:t>
      </w:r>
      <w:r w:rsidRPr="00951810">
        <w:t xml:space="preserve"> South Brisbane, to </w:t>
      </w:r>
      <w:r>
        <w:t>Springwood Road</w:t>
      </w:r>
      <w:r w:rsidRPr="00951810">
        <w:t xml:space="preserve"> in Underwood. </w:t>
      </w:r>
    </w:p>
    <w:p w14:paraId="62171098" w14:textId="77777777" w:rsidR="00805A93" w:rsidRPr="00951810" w:rsidRDefault="00805A93" w:rsidP="00805A93">
      <w:r w:rsidRPr="00951810">
        <w:t>A velobridge at O’Keefe Street</w:t>
      </w:r>
      <w:r>
        <w:t xml:space="preserve">, </w:t>
      </w:r>
      <w:r w:rsidRPr="00951810">
        <w:t xml:space="preserve">Woolloongabba will remove the need for bike riders to cross at nearby Carl Street </w:t>
      </w:r>
      <w:r>
        <w:t>and at the lights at</w:t>
      </w:r>
      <w:r w:rsidRPr="00951810">
        <w:t xml:space="preserve"> Pacific Motorway on O’Keefe Street.</w:t>
      </w:r>
    </w:p>
    <w:p w14:paraId="29E47302" w14:textId="77777777" w:rsidR="00805A93" w:rsidRPr="00951810" w:rsidRDefault="00805A93" w:rsidP="00805A93">
      <w:r w:rsidRPr="00951810">
        <w:t>This will benefit pedestrians</w:t>
      </w:r>
      <w:r>
        <w:t xml:space="preserve">, </w:t>
      </w:r>
      <w:r w:rsidRPr="00951810">
        <w:t xml:space="preserve">motorists, </w:t>
      </w:r>
      <w:r>
        <w:t>and</w:t>
      </w:r>
      <w:r w:rsidRPr="00951810">
        <w:t xml:space="preserve"> bike riders as it will reduce the number of bikes crossing the road and side streets. </w:t>
      </w:r>
    </w:p>
    <w:p w14:paraId="3C1CDAC2" w14:textId="77777777" w:rsidR="00805A93" w:rsidRDefault="00805A93" w:rsidP="00805A93">
      <w:r w:rsidRPr="00951810">
        <w:t xml:space="preserve">After community feedback, </w:t>
      </w:r>
      <w:r>
        <w:t>a</w:t>
      </w:r>
      <w:r w:rsidRPr="00951810">
        <w:t xml:space="preserve"> northern access ramp to the Princess Alexandra Hospital </w:t>
      </w:r>
      <w:r>
        <w:t>is</w:t>
      </w:r>
      <w:r w:rsidRPr="00951810">
        <w:t xml:space="preserve"> included in the design.</w:t>
      </w:r>
    </w:p>
    <w:p w14:paraId="3A0125CF" w14:textId="77777777" w:rsidR="00805A93" w:rsidRPr="00951810" w:rsidRDefault="00805A93" w:rsidP="00805A93">
      <w:r w:rsidRPr="00951810">
        <w:lastRenderedPageBreak/>
        <w:t>Construction commenced in late-2022 and is expected to be complete</w:t>
      </w:r>
      <w:r>
        <w:t>d</w:t>
      </w:r>
      <w:r w:rsidRPr="00951810">
        <w:t xml:space="preserve"> by late-2023.</w:t>
      </w:r>
    </w:p>
    <w:p w14:paraId="59144E2A" w14:textId="77777777" w:rsidR="00805A93" w:rsidRPr="00951810" w:rsidRDefault="00805A93" w:rsidP="00805A93">
      <w:r>
        <w:t>T</w:t>
      </w:r>
      <w:r w:rsidRPr="001F3A05">
        <w:t xml:space="preserve">his </w:t>
      </w:r>
      <w:r>
        <w:t xml:space="preserve">$22 </w:t>
      </w:r>
      <w:r w:rsidRPr="001F3A05">
        <w:t xml:space="preserve">million project </w:t>
      </w:r>
      <w:r>
        <w:t xml:space="preserve">is fully funded by the Queensland Government </w:t>
      </w:r>
      <w:r w:rsidRPr="001F3A05">
        <w:t>through its Active Transport Investment Program</w:t>
      </w:r>
      <w:r>
        <w:t xml:space="preserve">. </w:t>
      </w:r>
    </w:p>
    <w:p w14:paraId="7B078489" w14:textId="77777777" w:rsidR="00805A93" w:rsidRPr="00951810" w:rsidRDefault="00805A93" w:rsidP="00805A93">
      <w:pPr>
        <w:pStyle w:val="ForMoreInformation"/>
      </w:pPr>
      <w:r w:rsidRPr="00951810">
        <w:t>For more information</w:t>
      </w:r>
      <w:r>
        <w:br/>
      </w:r>
      <w:hyperlink r:id="rId46" w:history="1">
        <w:r>
          <w:rPr>
            <w:rStyle w:val="Hyperlink"/>
          </w:rPr>
          <w:t>https://www.tmr.qld.gov.au/projects/veloway-1-v1-cycleway-okeefe-street-construct-bridge-approaches</w:t>
        </w:r>
      </w:hyperlink>
    </w:p>
    <w:p w14:paraId="6A746F75" w14:textId="77777777" w:rsidR="00805A93" w:rsidRPr="00DC1A33" w:rsidRDefault="00805A93" w:rsidP="00805A93">
      <w:pPr>
        <w:pStyle w:val="Heading4"/>
      </w:pPr>
      <w:r>
        <w:t>Logan and Gold Coast Faster Rail</w:t>
      </w:r>
    </w:p>
    <w:p w14:paraId="0FE4C6BB" w14:textId="77777777" w:rsidR="00805A93" w:rsidRDefault="00805A93" w:rsidP="00805A93">
      <w:r w:rsidRPr="0074561C">
        <w:t>The Logan and Gold Coast Faster Rail project will deliver improved rail infrastructure and services between Brisbane, Logan</w:t>
      </w:r>
      <w:r>
        <w:t>,</w:t>
      </w:r>
      <w:r w:rsidRPr="0074561C">
        <w:t xml:space="preserve"> and the Gold Coast, in response to continued population growth and demand for public transport services in the region. </w:t>
      </w:r>
    </w:p>
    <w:p w14:paraId="56A8A4A3" w14:textId="77777777" w:rsidR="00805A93" w:rsidRPr="0074561C" w:rsidRDefault="00805A93" w:rsidP="00805A93">
      <w:r>
        <w:t>K</w:t>
      </w:r>
      <w:r w:rsidRPr="0074561C">
        <w:t>ey features of the project include:</w:t>
      </w:r>
    </w:p>
    <w:p w14:paraId="1EC0DD9B" w14:textId="77777777" w:rsidR="00805A93" w:rsidRPr="0074561C" w:rsidRDefault="00805A93" w:rsidP="00805A93">
      <w:pPr>
        <w:pStyle w:val="ListBullet"/>
      </w:pPr>
      <w:r w:rsidRPr="0074561C">
        <w:t>approximately 20</w:t>
      </w:r>
      <w:r>
        <w:t xml:space="preserve"> kilometres</w:t>
      </w:r>
      <w:r w:rsidRPr="0074561C">
        <w:t xml:space="preserve"> of new tracks and rail systems between Kuraby and Beenleigh station, doubling the corridor from two to four tracks and removing a critical network bottleneck</w:t>
      </w:r>
    </w:p>
    <w:p w14:paraId="6802355C" w14:textId="77777777" w:rsidR="00805A93" w:rsidRPr="00D6251A" w:rsidRDefault="00805A93" w:rsidP="00805A93">
      <w:pPr>
        <w:pStyle w:val="ListBullet"/>
      </w:pPr>
      <w:r w:rsidRPr="00D6251A">
        <w:t>improved customer accessibility with upgrades to seven stations - Kuraby, Woodridge, Kingston, Bethania, Edens Landing, Holmview and Beenleigh</w:t>
      </w:r>
      <w:r>
        <w:t>,</w:t>
      </w:r>
      <w:r w:rsidRPr="00D6251A">
        <w:t xml:space="preserve"> and two new stations at Loganlea (delivered as part of the Loganlea Station Relocation project) and Trinder Park station</w:t>
      </w:r>
    </w:p>
    <w:p w14:paraId="37C5F126" w14:textId="77777777" w:rsidR="00805A93" w:rsidRPr="00D6251A" w:rsidRDefault="00805A93" w:rsidP="00805A93">
      <w:pPr>
        <w:pStyle w:val="ListBullet"/>
      </w:pPr>
      <w:r w:rsidRPr="00D6251A">
        <w:t>significant safety improvements with five level crossing removals at Kuraby, Woodridge, Bethania, Holmview</w:t>
      </w:r>
      <w:r>
        <w:t>,</w:t>
      </w:r>
      <w:r w:rsidRPr="00D6251A">
        <w:t xml:space="preserve"> and Beenleigh, and new road infrastructure</w:t>
      </w:r>
    </w:p>
    <w:p w14:paraId="3FC119C5" w14:textId="77777777" w:rsidR="00805A93" w:rsidRPr="00D6251A" w:rsidRDefault="00805A93" w:rsidP="00805A93">
      <w:pPr>
        <w:pStyle w:val="ListBullet"/>
      </w:pPr>
      <w:r w:rsidRPr="00D6251A">
        <w:t>park 'n' ride upgrades, including a new multi-story facility at Beenleigh station with an integrated bus interchange</w:t>
      </w:r>
    </w:p>
    <w:p w14:paraId="6E0661AC" w14:textId="77777777" w:rsidR="00805A93" w:rsidRPr="00D6251A" w:rsidRDefault="00805A93" w:rsidP="00805A93">
      <w:pPr>
        <w:pStyle w:val="ListBullet"/>
      </w:pPr>
      <w:r w:rsidRPr="00D6251A">
        <w:t>new and improved active transport (cycling/walking) facilities and pathways linking to stations and local communities.</w:t>
      </w:r>
    </w:p>
    <w:p w14:paraId="05DDEBCA" w14:textId="77777777" w:rsidR="00805A93" w:rsidRDefault="00805A93" w:rsidP="00805A93">
      <w:r>
        <w:t xml:space="preserve">In 2022–23, the project entered the </w:t>
      </w:r>
      <w:r w:rsidRPr="0074561C">
        <w:t xml:space="preserve">refined reference design phase, </w:t>
      </w:r>
      <w:r w:rsidRPr="00D6251A">
        <w:t xml:space="preserve">with ongoing engagement with the project's key delivery partners and stakeholders. </w:t>
      </w:r>
    </w:p>
    <w:p w14:paraId="2DAB51DE" w14:textId="77777777" w:rsidR="00805A93" w:rsidRDefault="00805A93" w:rsidP="00805A93">
      <w:r w:rsidRPr="00D6251A">
        <w:t xml:space="preserve">Other project activities </w:t>
      </w:r>
      <w:r>
        <w:t>in 2022–23</w:t>
      </w:r>
      <w:r w:rsidRPr="00D6251A">
        <w:t xml:space="preserve"> include</w:t>
      </w:r>
      <w:r>
        <w:t>d</w:t>
      </w:r>
      <w:r w:rsidRPr="00D6251A">
        <w:t>:</w:t>
      </w:r>
    </w:p>
    <w:p w14:paraId="20706EF1" w14:textId="77777777" w:rsidR="00805A93" w:rsidRPr="00D6251A" w:rsidRDefault="00805A93" w:rsidP="00805A93">
      <w:pPr>
        <w:pStyle w:val="ListBullet"/>
      </w:pPr>
      <w:r w:rsidRPr="00D6251A">
        <w:t>commenc</w:t>
      </w:r>
      <w:r>
        <w:t>ed</w:t>
      </w:r>
      <w:r w:rsidRPr="00D6251A">
        <w:t xml:space="preserve"> detailed design for the Loganlea Station Relocation project</w:t>
      </w:r>
    </w:p>
    <w:p w14:paraId="145CDD5C" w14:textId="77777777" w:rsidR="00805A93" w:rsidRPr="00D6251A" w:rsidRDefault="00805A93" w:rsidP="00805A93">
      <w:pPr>
        <w:pStyle w:val="ListBullet"/>
      </w:pPr>
      <w:r w:rsidRPr="00D6251A">
        <w:t>securing land along the project corridor</w:t>
      </w:r>
    </w:p>
    <w:p w14:paraId="49A4C2AD" w14:textId="77777777" w:rsidR="00805A93" w:rsidRPr="00D6251A" w:rsidRDefault="00805A93" w:rsidP="00805A93">
      <w:pPr>
        <w:pStyle w:val="ListBullet"/>
      </w:pPr>
      <w:r w:rsidRPr="00D6251A">
        <w:t>preparing for environmental approvals</w:t>
      </w:r>
    </w:p>
    <w:p w14:paraId="50CD3FC9" w14:textId="77777777" w:rsidR="00805A93" w:rsidRPr="00D6251A" w:rsidRDefault="00805A93" w:rsidP="00805A93">
      <w:pPr>
        <w:pStyle w:val="ListBullet"/>
      </w:pPr>
      <w:r w:rsidRPr="00D6251A">
        <w:t>developing the project delivery strategy.</w:t>
      </w:r>
    </w:p>
    <w:p w14:paraId="6D14F329" w14:textId="77777777" w:rsidR="00805A93" w:rsidRDefault="00805A93" w:rsidP="00805A93">
      <w:r>
        <w:t>Community was a</w:t>
      </w:r>
      <w:r w:rsidRPr="00D6251A">
        <w:t xml:space="preserve"> major focus for the project</w:t>
      </w:r>
      <w:r>
        <w:t xml:space="preserve">, with </w:t>
      </w:r>
      <w:r w:rsidRPr="00D6251A">
        <w:t>public engagement on the refined reference design</w:t>
      </w:r>
      <w:r>
        <w:t xml:space="preserve"> is</w:t>
      </w:r>
      <w:r w:rsidRPr="00D6251A">
        <w:t xml:space="preserve"> planned to occur before the end of</w:t>
      </w:r>
      <w:r>
        <w:t xml:space="preserve"> 2023</w:t>
      </w:r>
      <w:r w:rsidRPr="00D6251A">
        <w:t xml:space="preserve">. </w:t>
      </w:r>
      <w:r>
        <w:t>The $2.598 billion project is jointly funded by the Australian and Queensland governments on a 50:50 basis.</w:t>
      </w:r>
    </w:p>
    <w:p w14:paraId="57C1505F" w14:textId="77777777" w:rsidR="00805A93" w:rsidRDefault="00805A93" w:rsidP="00805A93">
      <w:pPr>
        <w:pStyle w:val="ForMoreInformation"/>
      </w:pPr>
      <w:r>
        <w:t>For more information</w:t>
      </w:r>
      <w:r>
        <w:br/>
      </w:r>
      <w:hyperlink r:id="rId47" w:history="1">
        <w:r w:rsidRPr="001B714C">
          <w:rPr>
            <w:rStyle w:val="Hyperlink"/>
          </w:rPr>
          <w:t>https://www.tmr.qld.gov.au/projects/logan-and-gold-coast-faster-rail</w:t>
        </w:r>
      </w:hyperlink>
    </w:p>
    <w:p w14:paraId="2E353CAE" w14:textId="2E347B57" w:rsidR="00805A93" w:rsidRDefault="00805A93" w:rsidP="00805A93">
      <w:pPr>
        <w:pStyle w:val="Heading4"/>
      </w:pPr>
      <w:r>
        <w:t>Case Study</w:t>
      </w:r>
      <w:r w:rsidR="009249AF">
        <w:t xml:space="preserve"> </w:t>
      </w:r>
      <w:r w:rsidRPr="004A5A04">
        <w:t xml:space="preserve">Centenary Bridge Upgrade project </w:t>
      </w:r>
    </w:p>
    <w:p w14:paraId="4B65B5D4" w14:textId="77777777" w:rsidR="00805A93" w:rsidRDefault="00805A93" w:rsidP="00805A93">
      <w:bookmarkStart w:id="20" w:name="_Hlk129257839"/>
      <w:r w:rsidRPr="00BD4BFF">
        <w:t>The Centenary Bridge Upgrade</w:t>
      </w:r>
      <w:r>
        <w:t xml:space="preserve"> project</w:t>
      </w:r>
      <w:r w:rsidRPr="00BD4BFF">
        <w:t xml:space="preserve"> at Jindalee includes a new three-lane northbound bridge</w:t>
      </w:r>
      <w:r>
        <w:t>,</w:t>
      </w:r>
      <w:r w:rsidRPr="00BD4BFF">
        <w:t xml:space="preserve"> refurbishment and reconfiguration of the existing bridge to provide for three southbound lanes</w:t>
      </w:r>
      <w:r>
        <w:t>,</w:t>
      </w:r>
      <w:r w:rsidRPr="00BD4BFF">
        <w:t xml:space="preserve"> and an improved active transport corridor. </w:t>
      </w:r>
    </w:p>
    <w:p w14:paraId="17FD5EF5" w14:textId="77777777" w:rsidR="00805A93" w:rsidRPr="00070CAC" w:rsidRDefault="00805A93" w:rsidP="00805A93">
      <w:r w:rsidRPr="00070CAC">
        <w:t>This extra capacity w</w:t>
      </w:r>
      <w:r>
        <w:t>ill</w:t>
      </w:r>
      <w:r w:rsidRPr="00070CAC">
        <w:t xml:space="preserve"> provide greater efficiency and travel</w:t>
      </w:r>
      <w:r>
        <w:t xml:space="preserve"> </w:t>
      </w:r>
      <w:r w:rsidRPr="00070CAC">
        <w:t>time reliability between Brisbane's CBD and the western suburbs, between local destinations and along the entire Centenary Motorway.</w:t>
      </w:r>
    </w:p>
    <w:p w14:paraId="6E30A7C8" w14:textId="77777777" w:rsidR="00805A93" w:rsidRPr="008E7256" w:rsidRDefault="00805A93" w:rsidP="00805A93">
      <w:r w:rsidRPr="008E7256">
        <w:t>The</w:t>
      </w:r>
      <w:r>
        <w:t xml:space="preserve"> upgrade project is the first stage of the</w:t>
      </w:r>
      <w:r w:rsidRPr="008E7256">
        <w:t xml:space="preserve"> planning study for the Centenary Motorway Upgrade from Sumners Road, Darra to Frederick Street, Toowong. </w:t>
      </w:r>
    </w:p>
    <w:p w14:paraId="5BA18822" w14:textId="77777777" w:rsidR="00805A93" w:rsidRDefault="00805A93" w:rsidP="00805A93">
      <w:r w:rsidRPr="008E7256">
        <w:t xml:space="preserve">The Centenary Bridge carries more than 85,000 vehicles a day and </w:t>
      </w:r>
      <w:r>
        <w:t>traffic continues to increase as the community continues to grow.</w:t>
      </w:r>
    </w:p>
    <w:p w14:paraId="5EF07085" w14:textId="77777777" w:rsidR="00805A93" w:rsidRDefault="00805A93" w:rsidP="00805A93">
      <w:r>
        <w:t>The construction contract was awarded in December 2022 and m</w:t>
      </w:r>
      <w:r w:rsidRPr="00BD4BFF">
        <w:t>ain construction activities commence</w:t>
      </w:r>
      <w:r>
        <w:t>d</w:t>
      </w:r>
      <w:r w:rsidRPr="00BD4BFF">
        <w:t xml:space="preserve"> in</w:t>
      </w:r>
      <w:r w:rsidRPr="004A5A04">
        <w:t xml:space="preserve"> late March </w:t>
      </w:r>
      <w:r>
        <w:t>2</w:t>
      </w:r>
      <w:r w:rsidRPr="004A5A04">
        <w:t>023.</w:t>
      </w:r>
    </w:p>
    <w:p w14:paraId="491974EF" w14:textId="77777777" w:rsidR="00805A93" w:rsidRDefault="00805A93" w:rsidP="00805A93">
      <w:r>
        <w:lastRenderedPageBreak/>
        <w:t>This $298.5 million project is jointly funded by the Queensland and Australian governments</w:t>
      </w:r>
    </w:p>
    <w:bookmarkEnd w:id="20"/>
    <w:p w14:paraId="70A7CDC3" w14:textId="77777777" w:rsidR="00805A93" w:rsidRPr="008E7256" w:rsidRDefault="00805A93" w:rsidP="00805A93">
      <w:pPr>
        <w:pStyle w:val="ForMoreInformation"/>
      </w:pPr>
      <w:r>
        <w:t>For more information</w:t>
      </w:r>
      <w:r>
        <w:br/>
      </w:r>
      <w:hyperlink r:id="rId48" w:history="1">
        <w:r w:rsidRPr="008E7256">
          <w:rPr>
            <w:rStyle w:val="Hyperlink"/>
          </w:rPr>
          <w:t>https://www.tmr.qld.gov.au/projects/centenary-bridge-upgrade</w:t>
        </w:r>
      </w:hyperlink>
    </w:p>
    <w:p w14:paraId="708DA2FB" w14:textId="77777777" w:rsidR="00805A93" w:rsidRPr="00756FBC" w:rsidRDefault="00805A93" w:rsidP="00805A93">
      <w:pPr>
        <w:pStyle w:val="Heading4"/>
      </w:pPr>
      <w:r>
        <w:t>ODIN PASS: award-winning Mobility as a Service trial at UQ</w:t>
      </w:r>
    </w:p>
    <w:p w14:paraId="04B25BD1" w14:textId="77777777" w:rsidR="00805A93" w:rsidRPr="001D02BF" w:rsidRDefault="00805A93" w:rsidP="00805A93">
      <w:r w:rsidRPr="001D02BF">
        <w:t>ODIN PASS is TMR's large-scale MaaS research trial, which commenced in July 2021.  The trial is run in partnership with UQ and supported by iMOVE Cooperative Research Centre and is the largest real-world MaaS trial undertaken in Australia. </w:t>
      </w:r>
    </w:p>
    <w:p w14:paraId="4979124E" w14:textId="77777777" w:rsidR="00805A93" w:rsidRPr="001D02BF" w:rsidRDefault="00805A93" w:rsidP="00805A93">
      <w:r w:rsidRPr="001D02BF">
        <w:t>The trial received several accolades in 2022</w:t>
      </w:r>
      <w:r>
        <w:t>–</w:t>
      </w:r>
      <w:r w:rsidRPr="001D02BF">
        <w:t xml:space="preserve">23 with the ODIN PASS program winning the prestigious UQ Award for Excellence in Innovation in December 2022 and was a finalist for the Intelligent Mobility Award at the 13th ITS Australia Awards in February 2023.  </w:t>
      </w:r>
    </w:p>
    <w:p w14:paraId="44C008B6" w14:textId="77777777" w:rsidR="00805A93" w:rsidRPr="001D02BF" w:rsidRDefault="00805A93" w:rsidP="00805A93">
      <w:r w:rsidRPr="001D02BF">
        <w:t>Exclusive to UQ staff and students, participants subscribe to monthly transport plans and bundles. Accessed on a smartphone app ODIN PASS empowers users to plan, book</w:t>
      </w:r>
      <w:r>
        <w:t>,</w:t>
      </w:r>
      <w:r w:rsidRPr="001D02BF">
        <w:t xml:space="preserve"> and pay for multi-modal trips in South East Queensland.</w:t>
      </w:r>
    </w:p>
    <w:p w14:paraId="161B07CF" w14:textId="77777777" w:rsidR="00805A93" w:rsidRDefault="00805A93" w:rsidP="00805A93">
      <w:r w:rsidRPr="000D5CC2">
        <w:t>Trial achievements during 2022</w:t>
      </w:r>
      <w:r>
        <w:t>–</w:t>
      </w:r>
      <w:r w:rsidRPr="000D5CC2">
        <w:t>23 included:</w:t>
      </w:r>
    </w:p>
    <w:p w14:paraId="260753F0" w14:textId="77777777" w:rsidR="00805A93" w:rsidRDefault="00805A93" w:rsidP="00805A93">
      <w:pPr>
        <w:pStyle w:val="ListBullet"/>
      </w:pPr>
      <w:r>
        <w:t>5249 users participated in the trial.</w:t>
      </w:r>
    </w:p>
    <w:p w14:paraId="022BD976" w14:textId="77777777" w:rsidR="00805A93" w:rsidRPr="001D02BF" w:rsidRDefault="00805A93" w:rsidP="00805A93">
      <w:pPr>
        <w:pStyle w:val="ListBullet"/>
      </w:pPr>
      <w:r>
        <w:t xml:space="preserve">21,961 </w:t>
      </w:r>
      <w:r w:rsidRPr="001D02BF">
        <w:t>mobility bundles</w:t>
      </w:r>
      <w:r>
        <w:t xml:space="preserve"> where </w:t>
      </w:r>
      <w:r w:rsidRPr="001D02BF">
        <w:t>purchased</w:t>
      </w:r>
      <w:r>
        <w:t xml:space="preserve">. </w:t>
      </w:r>
    </w:p>
    <w:p w14:paraId="67422AFA" w14:textId="77777777" w:rsidR="00805A93" w:rsidRDefault="00805A93" w:rsidP="00805A93">
      <w:pPr>
        <w:pStyle w:val="ListBullet"/>
      </w:pPr>
      <w:r>
        <w:t>922,759 public transport trips and 28,185 micromobility trips were taken through the ODIN PASS app.</w:t>
      </w:r>
    </w:p>
    <w:p w14:paraId="7077B1FB" w14:textId="77777777" w:rsidR="00805A93" w:rsidRDefault="00805A93" w:rsidP="00805A93">
      <w:pPr>
        <w:pStyle w:val="ListBullet"/>
      </w:pPr>
      <w:r>
        <w:t>63.2 per cent of trial participants purchased two or more bundles.</w:t>
      </w:r>
    </w:p>
    <w:p w14:paraId="3AF3D003" w14:textId="77777777" w:rsidR="00805A93" w:rsidRDefault="00805A93" w:rsidP="00805A93">
      <w:pPr>
        <w:pStyle w:val="Heading4"/>
      </w:pPr>
      <w:r>
        <w:t xml:space="preserve">Anita Street Project </w:t>
      </w:r>
    </w:p>
    <w:p w14:paraId="367FD73C" w14:textId="77777777" w:rsidR="00805A93" w:rsidRPr="00E83E89" w:rsidRDefault="00805A93" w:rsidP="00805A93">
      <w:r w:rsidRPr="00E83E89">
        <w:t>The Anita St</w:t>
      </w:r>
      <w:r>
        <w:t>reet</w:t>
      </w:r>
      <w:r w:rsidRPr="00E83E89">
        <w:t xml:space="preserve"> project encompassed a combination of new build and rehabilitation works, including road widening, signalisation of intersection, drainage works, and shared paths for </w:t>
      </w:r>
      <w:r>
        <w:t xml:space="preserve">bike riders </w:t>
      </w:r>
      <w:r w:rsidRPr="00E83E89">
        <w:t>and pedestrians.</w:t>
      </w:r>
    </w:p>
    <w:p w14:paraId="6170F1F6" w14:textId="77777777" w:rsidR="00805A93" w:rsidRPr="00B37BFF" w:rsidRDefault="00805A93" w:rsidP="00805A93">
      <w:r>
        <w:t>T</w:t>
      </w:r>
      <w:r w:rsidRPr="00E83E89">
        <w:t>he project has delivered the following benefits to the community:</w:t>
      </w:r>
    </w:p>
    <w:p w14:paraId="44FF4A0D" w14:textId="77777777" w:rsidR="00805A93" w:rsidRPr="00E83E89" w:rsidRDefault="00805A93" w:rsidP="00805A93">
      <w:pPr>
        <w:pStyle w:val="ListBullet"/>
      </w:pPr>
      <w:r w:rsidRPr="00E83E89">
        <w:t xml:space="preserve">improved safety for motorists and pedestrians/cyclists with the new signalised intersection and </w:t>
      </w:r>
      <w:r>
        <w:t>two-metre-</w:t>
      </w:r>
      <w:r w:rsidRPr="00E83E89">
        <w:t>wide shared footpaths on either side of Anita St</w:t>
      </w:r>
      <w:r>
        <w:t>reet</w:t>
      </w:r>
    </w:p>
    <w:p w14:paraId="10C8ACD7" w14:textId="77777777" w:rsidR="00805A93" w:rsidRPr="00E83E89" w:rsidRDefault="00805A93" w:rsidP="00805A93">
      <w:pPr>
        <w:pStyle w:val="ListBullet"/>
      </w:pPr>
      <w:r w:rsidRPr="00E83E89">
        <w:t xml:space="preserve">improved drainage </w:t>
      </w:r>
      <w:r>
        <w:t>–</w:t>
      </w:r>
      <w:r w:rsidRPr="00E83E89">
        <w:t xml:space="preserve"> a new well-connected drainage line with closely spaced road gully pits</w:t>
      </w:r>
    </w:p>
    <w:p w14:paraId="7D9B7EF5" w14:textId="77777777" w:rsidR="00805A93" w:rsidRPr="00E83E89" w:rsidRDefault="00805A93" w:rsidP="00805A93">
      <w:pPr>
        <w:pStyle w:val="ListBullet"/>
      </w:pPr>
      <w:r w:rsidRPr="00E83E89">
        <w:t>improved visibility for motorists and pedestrians with new</w:t>
      </w:r>
      <w:r>
        <w:t>ly</w:t>
      </w:r>
      <w:r w:rsidRPr="00E83E89">
        <w:t xml:space="preserve"> installed road lighting </w:t>
      </w:r>
    </w:p>
    <w:p w14:paraId="51626873" w14:textId="77777777" w:rsidR="00805A93" w:rsidRPr="00B37BFF" w:rsidRDefault="00805A93" w:rsidP="00805A93">
      <w:pPr>
        <w:pStyle w:val="ListBullet"/>
      </w:pPr>
      <w:r w:rsidRPr="00E83E89">
        <w:t>increased traffic capacity due to the additional two new lanes.</w:t>
      </w:r>
    </w:p>
    <w:p w14:paraId="474DEFE6" w14:textId="77777777" w:rsidR="00805A93" w:rsidRDefault="00805A93" w:rsidP="00805A93">
      <w:r w:rsidRPr="00E83E89">
        <w:t xml:space="preserve">The </w:t>
      </w:r>
      <w:r>
        <w:t xml:space="preserve">RoadTek </w:t>
      </w:r>
      <w:r w:rsidRPr="00E83E89">
        <w:t xml:space="preserve">project team overcame significant construction challenges </w:t>
      </w:r>
      <w:r>
        <w:t>including:</w:t>
      </w:r>
    </w:p>
    <w:p w14:paraId="13F92885" w14:textId="77777777" w:rsidR="00805A93" w:rsidRDefault="00805A93" w:rsidP="00805A93">
      <w:pPr>
        <w:pStyle w:val="ListBullet"/>
      </w:pPr>
      <w:r w:rsidRPr="00E83E89">
        <w:t>complex traffic management requiring multiple traffic switches</w:t>
      </w:r>
    </w:p>
    <w:p w14:paraId="58942140" w14:textId="77777777" w:rsidR="00805A93" w:rsidRDefault="00805A93" w:rsidP="00805A93">
      <w:pPr>
        <w:pStyle w:val="ListBullet"/>
      </w:pPr>
      <w:r w:rsidRPr="00E83E89">
        <w:t>management of conflict with existing underground services</w:t>
      </w:r>
    </w:p>
    <w:p w14:paraId="45CC7129" w14:textId="77777777" w:rsidR="00805A93" w:rsidRDefault="00805A93" w:rsidP="00805A93">
      <w:pPr>
        <w:pStyle w:val="ListBullet"/>
      </w:pPr>
      <w:r w:rsidRPr="00E83E89">
        <w:t>management of construction noise and vibration due to residential houses being at proximity to work site</w:t>
      </w:r>
    </w:p>
    <w:p w14:paraId="4F1E14B9" w14:textId="77777777" w:rsidR="00805A93" w:rsidRPr="001E0224" w:rsidRDefault="00805A93" w:rsidP="00805A93">
      <w:pPr>
        <w:pStyle w:val="ListBullet"/>
      </w:pPr>
      <w:r w:rsidRPr="00E83E89">
        <w:t>poor subgrade requiring extensive subgrade treatment.</w:t>
      </w:r>
    </w:p>
    <w:p w14:paraId="500DED73" w14:textId="77777777" w:rsidR="00805A93" w:rsidRDefault="00805A93" w:rsidP="00805A93">
      <w:pPr>
        <w:pStyle w:val="Heading4"/>
      </w:pPr>
      <w:r w:rsidRPr="00411C2F">
        <w:t>Boundary Road rail level crossing removal</w:t>
      </w:r>
    </w:p>
    <w:p w14:paraId="415B325D" w14:textId="77777777" w:rsidR="00805A93" w:rsidRPr="00411C2F" w:rsidRDefault="00805A93" w:rsidP="00805A93">
      <w:r w:rsidRPr="00411C2F">
        <w:t>The Boundary Road (Coopers Plains) rail level crossing is one of South East Queensland’s most congested crossings.</w:t>
      </w:r>
    </w:p>
    <w:p w14:paraId="62A7EE9A" w14:textId="77777777" w:rsidR="00805A93" w:rsidRDefault="00805A93" w:rsidP="00805A93">
      <w:r w:rsidRPr="00411C2F">
        <w:t>To improve safety for all road users</w:t>
      </w:r>
      <w:r>
        <w:t xml:space="preserve">, TMR commenced detailed design in early-2023 for a three-way elevated overpass connecting Boundary Road with Orange Grove Road, to remove rail and road conflict.  </w:t>
      </w:r>
    </w:p>
    <w:p w14:paraId="5F797B76" w14:textId="77777777" w:rsidR="00805A93" w:rsidRPr="00411C2F" w:rsidRDefault="00805A93" w:rsidP="00805A93">
      <w:r>
        <w:t>The design also incorporates improvements for active transport users.</w:t>
      </w:r>
    </w:p>
    <w:p w14:paraId="52823ED3" w14:textId="77777777" w:rsidR="00805A93" w:rsidRPr="00411C2F" w:rsidRDefault="00805A93" w:rsidP="00805A93">
      <w:r w:rsidRPr="00411C2F">
        <w:t>TMR is working with Brisbane City Council and Queensland Rail.</w:t>
      </w:r>
    </w:p>
    <w:p w14:paraId="69B10023" w14:textId="77777777" w:rsidR="00805A93" w:rsidRDefault="00805A93" w:rsidP="00805A93">
      <w:r w:rsidRPr="00F555F6">
        <w:t>This</w:t>
      </w:r>
      <w:r>
        <w:t xml:space="preserve"> </w:t>
      </w:r>
      <w:r w:rsidRPr="00F555F6">
        <w:t>project is funded by the Australian Government, Queensland Government, and Brisbane City Council.</w:t>
      </w:r>
    </w:p>
    <w:p w14:paraId="465F369A" w14:textId="77777777" w:rsidR="00805A93" w:rsidRDefault="00805A93" w:rsidP="00805A93">
      <w:r w:rsidRPr="00411C2F">
        <w:lastRenderedPageBreak/>
        <w:t>Construction is dependent on further funding and approvals.</w:t>
      </w:r>
    </w:p>
    <w:p w14:paraId="4DBE7D66" w14:textId="77777777" w:rsidR="00805A93" w:rsidRDefault="00805A93" w:rsidP="00805A93">
      <w:pPr>
        <w:pStyle w:val="ForMoreInformation"/>
      </w:pPr>
      <w:r>
        <w:t>For more information</w:t>
      </w:r>
      <w:r>
        <w:br/>
      </w:r>
      <w:hyperlink r:id="rId49" w:history="1">
        <w:r>
          <w:rPr>
            <w:rStyle w:val="Hyperlink"/>
          </w:rPr>
          <w:t>https://www.tmr.qld.gov.au/projects/boundary-road-coopers-plains-rail-level-crossing-funding-commitment</w:t>
        </w:r>
      </w:hyperlink>
    </w:p>
    <w:p w14:paraId="72CF33E5" w14:textId="77777777" w:rsidR="00E6328B" w:rsidRDefault="00E6328B">
      <w:pPr>
        <w:spacing w:before="0" w:after="160" w:line="259" w:lineRule="auto"/>
        <w:rPr>
          <w:rFonts w:eastAsiaTheme="majorEastAsia" w:cstheme="majorBidi"/>
          <w:iCs/>
          <w:color w:val="0D0D0D" w:themeColor="text1" w:themeTint="F2"/>
          <w:sz w:val="24"/>
        </w:rPr>
      </w:pPr>
      <w:r>
        <w:br w:type="page"/>
      </w:r>
    </w:p>
    <w:p w14:paraId="1FDD8886" w14:textId="477BC8B2" w:rsidR="00805A93" w:rsidRDefault="00805A93" w:rsidP="00805A93">
      <w:pPr>
        <w:pStyle w:val="Heading4"/>
      </w:pPr>
      <w:r w:rsidRPr="00427885">
        <w:lastRenderedPageBreak/>
        <w:t xml:space="preserve">Beaudesert Road and Illaweena Street intersection upgrade </w:t>
      </w:r>
    </w:p>
    <w:p w14:paraId="10CB47B0" w14:textId="77777777" w:rsidR="00805A93" w:rsidRDefault="00805A93" w:rsidP="00805A93">
      <w:r w:rsidRPr="00427885">
        <w:t>TMR upgrad</w:t>
      </w:r>
      <w:r>
        <w:t>ed</w:t>
      </w:r>
      <w:r w:rsidRPr="00427885">
        <w:t xml:space="preserve"> the Beaudesert Road and Illaweena Street intersection at Calamvale</w:t>
      </w:r>
      <w:r>
        <w:t xml:space="preserve"> which</w:t>
      </w:r>
      <w:r w:rsidRPr="00427885">
        <w:t xml:space="preserve"> </w:t>
      </w:r>
      <w:r>
        <w:t xml:space="preserve">has reduced </w:t>
      </w:r>
      <w:r w:rsidRPr="00427885">
        <w:t xml:space="preserve">congestion along Beaudesert Road and </w:t>
      </w:r>
      <w:r>
        <w:t xml:space="preserve">improved </w:t>
      </w:r>
      <w:r w:rsidRPr="00427885">
        <w:t>safety for all road users.</w:t>
      </w:r>
    </w:p>
    <w:p w14:paraId="6189D798" w14:textId="77777777" w:rsidR="00805A93" w:rsidRPr="00A81A5E" w:rsidRDefault="00805A93" w:rsidP="00805A93">
      <w:r w:rsidRPr="00A81A5E">
        <w:t>The upgrade included:</w:t>
      </w:r>
    </w:p>
    <w:p w14:paraId="0020C5F4" w14:textId="77777777" w:rsidR="00805A93" w:rsidRPr="00A81A5E" w:rsidRDefault="00805A93" w:rsidP="00805A93">
      <w:pPr>
        <w:pStyle w:val="ListBullet"/>
      </w:pPr>
      <w:r w:rsidRPr="00A81A5E">
        <w:t>widening a section of Beaudesert Road to six through lanes (three in each direction)</w:t>
      </w:r>
    </w:p>
    <w:p w14:paraId="0456CC0E" w14:textId="77777777" w:rsidR="00805A93" w:rsidRPr="00A81A5E" w:rsidRDefault="00805A93" w:rsidP="00805A93">
      <w:pPr>
        <w:pStyle w:val="ListBullet"/>
      </w:pPr>
      <w:r w:rsidRPr="00A81A5E">
        <w:t>extending the right-turn lanes into Algester Road and Illaweena Street</w:t>
      </w:r>
    </w:p>
    <w:p w14:paraId="10DEE139" w14:textId="77777777" w:rsidR="00805A93" w:rsidRPr="00A81A5E" w:rsidRDefault="00805A93" w:rsidP="00805A93">
      <w:pPr>
        <w:pStyle w:val="ListBullet"/>
      </w:pPr>
      <w:r w:rsidRPr="00A81A5E">
        <w:t>public transport improvements.</w:t>
      </w:r>
    </w:p>
    <w:p w14:paraId="51730908" w14:textId="77777777" w:rsidR="00805A93" w:rsidRPr="00427885" w:rsidRDefault="00805A93" w:rsidP="00805A93">
      <w:r>
        <w:t xml:space="preserve">The project also included a </w:t>
      </w:r>
      <w:r w:rsidRPr="00427885">
        <w:t>protected intersection with separated bike riding</w:t>
      </w:r>
      <w:r>
        <w:t xml:space="preserve"> and pedestrian</w:t>
      </w:r>
      <w:r w:rsidRPr="00427885">
        <w:t xml:space="preserve"> lanes </w:t>
      </w:r>
      <w:r>
        <w:t>from general traffic so all road users can safely share the intersection.</w:t>
      </w:r>
    </w:p>
    <w:p w14:paraId="452E49D7" w14:textId="77777777" w:rsidR="00805A93" w:rsidRPr="00427885" w:rsidRDefault="00805A93" w:rsidP="00805A93">
      <w:r w:rsidRPr="00E21447">
        <w:t xml:space="preserve">The Queensland Government fully funded this </w:t>
      </w:r>
      <w:r>
        <w:t xml:space="preserve">$30 </w:t>
      </w:r>
      <w:r w:rsidRPr="00E21447">
        <w:t>million project as part of the Queensland Economic Recovery Strategy: Unite and Recover for Queensland Jobs.</w:t>
      </w:r>
    </w:p>
    <w:p w14:paraId="1BD39BAB" w14:textId="77777777" w:rsidR="00805A93" w:rsidRDefault="00805A93" w:rsidP="00805A93">
      <w:r w:rsidRPr="00427885">
        <w:t xml:space="preserve">Construction started </w:t>
      </w:r>
      <w:r>
        <w:t xml:space="preserve">in </w:t>
      </w:r>
      <w:r w:rsidRPr="00427885">
        <w:t xml:space="preserve">mid-2022 and </w:t>
      </w:r>
      <w:r>
        <w:t>will be completed in July 2023.</w:t>
      </w:r>
    </w:p>
    <w:p w14:paraId="2007AB71" w14:textId="77777777" w:rsidR="00805A93" w:rsidRDefault="00805A93" w:rsidP="00805A93">
      <w:pPr>
        <w:pStyle w:val="ForMoreInformation"/>
      </w:pPr>
      <w:r>
        <w:t>For more information</w:t>
      </w:r>
      <w:r>
        <w:br/>
      </w:r>
      <w:hyperlink r:id="rId50" w:history="1">
        <w:r w:rsidRPr="00EA728D">
          <w:rPr>
            <w:rStyle w:val="Hyperlink"/>
          </w:rPr>
          <w:t>https://www.tmr.qld.gov.au/projects/mount-lindesay-arterial-road-beaudesert-road-and-illaweena-street-upgrade-intersection-known-as-the</w:t>
        </w:r>
      </w:hyperlink>
    </w:p>
    <w:p w14:paraId="6148C9FE" w14:textId="77777777" w:rsidR="00805A93" w:rsidRPr="002E54E1" w:rsidRDefault="00805A93" w:rsidP="00805A93">
      <w:pPr>
        <w:pStyle w:val="Heading4"/>
      </w:pPr>
      <w:r w:rsidRPr="002E54E1">
        <w:t>Gateway Motorway, Bruce Highway to Pine River Upgrade, funding commitment and Bruce Highway (Brisbane</w:t>
      </w:r>
      <w:r>
        <w:t>–</w:t>
      </w:r>
      <w:r w:rsidRPr="002E54E1">
        <w:t>Gympie), Pine River to Dohles Rocks Road interchange, funding commitment</w:t>
      </w:r>
    </w:p>
    <w:p w14:paraId="4079FB1A" w14:textId="77777777" w:rsidR="00805A93" w:rsidRPr="002E54E1" w:rsidRDefault="00805A93" w:rsidP="00805A93">
      <w:r w:rsidRPr="002E54E1">
        <w:t xml:space="preserve">Integrated planning is underway to develop a network solution to upgrade this vital section of </w:t>
      </w:r>
      <w:r>
        <w:t xml:space="preserve">the </w:t>
      </w:r>
      <w:r w:rsidRPr="002E54E1">
        <w:t>road corridor, to improve safety and travel time reliability in north Brisbane.</w:t>
      </w:r>
    </w:p>
    <w:p w14:paraId="22A2E884" w14:textId="77777777" w:rsidR="00805A93" w:rsidRPr="002E54E1" w:rsidRDefault="00805A93" w:rsidP="00805A93">
      <w:r w:rsidRPr="002E54E1">
        <w:t xml:space="preserve">Due to the size and complexity, TMR is developing three business cases for </w:t>
      </w:r>
      <w:r>
        <w:t>the Gateway Motorway and Bruce Highway upgrades. T</w:t>
      </w:r>
      <w:r w:rsidRPr="002E54E1">
        <w:t>he Gateway Motorway (Bracken Ridge to Pine River) and Bruce Highway (Gateway Motorway to Dohles Rocks Road</w:t>
      </w:r>
      <w:r>
        <w:t>)</w:t>
      </w:r>
      <w:r w:rsidRPr="002E54E1">
        <w:t>, including Gympie Arterial Road (Strathpine Road to Gateway Motorway</w:t>
      </w:r>
      <w:r>
        <w:t xml:space="preserve">) </w:t>
      </w:r>
      <w:r w:rsidRPr="002E54E1">
        <w:t>business cases are expected to be completed in late</w:t>
      </w:r>
      <w:r>
        <w:t>-</w:t>
      </w:r>
      <w:r w:rsidRPr="002E54E1">
        <w:t xml:space="preserve">2023, with </w:t>
      </w:r>
      <w:r>
        <w:t>cost, scope and</w:t>
      </w:r>
      <w:r w:rsidRPr="002E54E1">
        <w:t xml:space="preserve"> timeframes to be confirmed.</w:t>
      </w:r>
    </w:p>
    <w:p w14:paraId="5EBEE226" w14:textId="77777777" w:rsidR="00805A93" w:rsidRPr="002E54E1" w:rsidRDefault="00805A93" w:rsidP="00805A93">
      <w:r w:rsidRPr="002E54E1">
        <w:t xml:space="preserve">The Bruce Highway (Dohles Rocks Road to Anzac Avenue) business case was completed in </w:t>
      </w:r>
      <w:r>
        <w:t xml:space="preserve">May </w:t>
      </w:r>
      <w:r w:rsidRPr="002E54E1">
        <w:t>2023 and developed a staged approach to project delivery, with construction on the first stage expected to commence in 2024.</w:t>
      </w:r>
    </w:p>
    <w:p w14:paraId="5BF6AF9C" w14:textId="77777777" w:rsidR="00805A93" w:rsidRPr="002E54E1" w:rsidRDefault="00805A93" w:rsidP="00805A93">
      <w:r w:rsidRPr="002E54E1">
        <w:t xml:space="preserve">This </w:t>
      </w:r>
      <w:r>
        <w:t xml:space="preserve">$2.198 </w:t>
      </w:r>
      <w:r w:rsidRPr="002E54E1">
        <w:t xml:space="preserve">billion project is jointly funded by the Australian and Queensland governments on an 80:20 (federal:state) basis. </w:t>
      </w:r>
    </w:p>
    <w:p w14:paraId="21BBCB6A" w14:textId="77777777" w:rsidR="00805A93" w:rsidRPr="002E54E1" w:rsidRDefault="00805A93" w:rsidP="00805A93">
      <w:pPr>
        <w:pStyle w:val="ForMoreInformation"/>
      </w:pPr>
      <w:r w:rsidRPr="002E54E1">
        <w:t>For more information</w:t>
      </w:r>
      <w:r>
        <w:br/>
      </w:r>
      <w:hyperlink r:id="rId51" w:history="1">
        <w:r w:rsidRPr="007F535E">
          <w:rPr>
            <w:rStyle w:val="Hyperlink"/>
          </w:rPr>
          <w:t>https://www.tmr.qld.gov.au/projects/programs/gateway-motorway-and-bruce-highway-upgrades</w:t>
        </w:r>
      </w:hyperlink>
    </w:p>
    <w:p w14:paraId="2AE21570" w14:textId="77777777" w:rsidR="00E6328B" w:rsidRDefault="00E6328B">
      <w:pPr>
        <w:spacing w:before="0" w:after="160" w:line="259" w:lineRule="auto"/>
        <w:rPr>
          <w:rFonts w:eastAsiaTheme="majorEastAsia" w:cstheme="majorBidi"/>
          <w:color w:val="000000" w:themeColor="text1"/>
          <w:sz w:val="32"/>
          <w:szCs w:val="24"/>
        </w:rPr>
      </w:pPr>
      <w:r>
        <w:br w:type="page"/>
      </w:r>
    </w:p>
    <w:p w14:paraId="4D0C0ACA" w14:textId="1206D33A" w:rsidR="00805A93" w:rsidRDefault="00805A93" w:rsidP="00805A93">
      <w:pPr>
        <w:pStyle w:val="Heading3"/>
      </w:pPr>
      <w:r>
        <w:lastRenderedPageBreak/>
        <w:t>South Coast</w:t>
      </w:r>
    </w:p>
    <w:p w14:paraId="6206D17B" w14:textId="77777777" w:rsidR="00805A93" w:rsidRDefault="00805A93" w:rsidP="00591E7C">
      <w:pPr>
        <w:pStyle w:val="Heading4"/>
      </w:pPr>
      <w:r>
        <w:t xml:space="preserve">Fast Facts </w:t>
      </w:r>
    </w:p>
    <w:p w14:paraId="3A9F3D51" w14:textId="77777777" w:rsidR="00805A93" w:rsidRDefault="00805A93" w:rsidP="00805A93">
      <w:pPr>
        <w:pStyle w:val="ListBullet"/>
      </w:pPr>
      <w:r>
        <w:t>1048 Kilometres State-controlled road</w:t>
      </w:r>
      <w:r>
        <w:footnoteReference w:id="45"/>
      </w:r>
    </w:p>
    <w:p w14:paraId="0A0019E8" w14:textId="77777777" w:rsidR="00805A93" w:rsidRDefault="00805A93" w:rsidP="00805A93">
      <w:pPr>
        <w:pStyle w:val="ListBullet"/>
      </w:pPr>
      <w:r>
        <w:t>179 Kilometres National Land Transport Network</w:t>
      </w:r>
      <w:r>
        <w:footnoteReference w:id="46"/>
      </w:r>
      <w:r>
        <w:t xml:space="preserve"> </w:t>
      </w:r>
    </w:p>
    <w:p w14:paraId="40EE85B7" w14:textId="77777777" w:rsidR="00805A93" w:rsidRDefault="00805A93" w:rsidP="00805A93">
      <w:pPr>
        <w:pStyle w:val="ListBullet"/>
      </w:pPr>
      <w:r>
        <w:t xml:space="preserve">1,119,143 Vehicle and machinery registrations </w:t>
      </w:r>
    </w:p>
    <w:p w14:paraId="198C8C4F" w14:textId="77777777" w:rsidR="00805A93" w:rsidRDefault="00805A93" w:rsidP="00805A93">
      <w:pPr>
        <w:pStyle w:val="ListBullet"/>
      </w:pPr>
      <w:r>
        <w:t xml:space="preserve">8 Boating infrastructures </w:t>
      </w:r>
    </w:p>
    <w:p w14:paraId="3FEF6979" w14:textId="77777777" w:rsidR="00805A93" w:rsidRDefault="00805A93" w:rsidP="00805A93">
      <w:pPr>
        <w:pStyle w:val="ListBullet"/>
      </w:pPr>
      <w:r>
        <w:t xml:space="preserve">30 Community safety events held </w:t>
      </w:r>
    </w:p>
    <w:p w14:paraId="5EAE1854" w14:textId="77777777" w:rsidR="00805A93" w:rsidRDefault="00805A93" w:rsidP="00805A93">
      <w:pPr>
        <w:pStyle w:val="ListBullet"/>
      </w:pPr>
      <w:r>
        <w:t xml:space="preserve">7755 Vehicle and machinery inspections completed </w:t>
      </w:r>
    </w:p>
    <w:p w14:paraId="57E83265" w14:textId="77777777" w:rsidR="00805A93" w:rsidRDefault="00805A93" w:rsidP="00805A93">
      <w:pPr>
        <w:pStyle w:val="ListBullet"/>
      </w:pPr>
      <w:r>
        <w:t>339 Bridges</w:t>
      </w:r>
      <w:r>
        <w:footnoteReference w:id="47"/>
      </w:r>
      <w:r>
        <w:t xml:space="preserve"> </w:t>
      </w:r>
    </w:p>
    <w:p w14:paraId="01E22B68" w14:textId="77777777" w:rsidR="00805A93" w:rsidRDefault="00805A93" w:rsidP="00805A93">
      <w:pPr>
        <w:pStyle w:val="ListBullet"/>
      </w:pPr>
      <w:r>
        <w:t xml:space="preserve">47,380 Driver licence tests conducted </w:t>
      </w:r>
    </w:p>
    <w:p w14:paraId="5CA7D8AC" w14:textId="77777777" w:rsidR="00805A93" w:rsidRDefault="00805A93" w:rsidP="00805A93">
      <w:pPr>
        <w:pStyle w:val="ListBullet"/>
      </w:pPr>
      <w:r>
        <w:t xml:space="preserve">749,083 Customer face-to-face interactions </w:t>
      </w:r>
    </w:p>
    <w:p w14:paraId="2E30188D" w14:textId="77777777" w:rsidR="00805A93" w:rsidRDefault="00805A93" w:rsidP="00805A93">
      <w:pPr>
        <w:pStyle w:val="ListBullet"/>
      </w:pPr>
      <w:r>
        <w:t xml:space="preserve">740 Priority-enabled intersections </w:t>
      </w:r>
    </w:p>
    <w:p w14:paraId="062AB071" w14:textId="77777777" w:rsidR="00805A93" w:rsidRDefault="00805A93" w:rsidP="00805A93">
      <w:pPr>
        <w:pStyle w:val="ListBullet"/>
      </w:pPr>
      <w:r>
        <w:t xml:space="preserve">6535 Kilometres Squared Area covered </w:t>
      </w:r>
    </w:p>
    <w:p w14:paraId="2EBFA303" w14:textId="77777777" w:rsidR="00805A93" w:rsidRPr="00DF4279" w:rsidRDefault="00805A93" w:rsidP="00805A93">
      <w:pPr>
        <w:pStyle w:val="ListBullet"/>
      </w:pPr>
      <w:r>
        <w:t>19.82 per cent Population of Queensland</w:t>
      </w:r>
      <w:r>
        <w:footnoteReference w:id="48"/>
      </w:r>
    </w:p>
    <w:p w14:paraId="08DD7A44" w14:textId="77777777" w:rsidR="00805A93" w:rsidRDefault="00805A93" w:rsidP="00805A93">
      <w:pPr>
        <w:pStyle w:val="Heading4"/>
      </w:pPr>
      <w:r>
        <w:t xml:space="preserve">Coomera Connector </w:t>
      </w:r>
    </w:p>
    <w:p w14:paraId="33A843D1" w14:textId="77777777" w:rsidR="00805A93" w:rsidRDefault="00805A93" w:rsidP="00805A93">
      <w:r>
        <w:t xml:space="preserve">The 45 kilometre Coomera Connector is a north-south transport corridor between Loganholme and Nerang, east of the Pacific Motorway M1. Jointly funded by the Australian and Queensland governments, the new motorway will reduce M1 congestion and provide an alternative route for the growing northern Gold Coast and Logan communities. </w:t>
      </w:r>
    </w:p>
    <w:p w14:paraId="593E7CD8" w14:textId="77777777" w:rsidR="00805A93" w:rsidRDefault="00805A93" w:rsidP="00805A93">
      <w:r>
        <w:t>The Coomera Connector will also provide active transport connections never before available between key community hubs for local shopping, schools and, public transport.</w:t>
      </w:r>
    </w:p>
    <w:p w14:paraId="4D485517" w14:textId="77777777" w:rsidR="00805A93" w:rsidRDefault="00805A93" w:rsidP="00805A93">
      <w:r>
        <w:t xml:space="preserve">Stage one is the $2.16 billion, 16-kilometre section, between Nerang and Coomera, that has been identified as the priority and will be delivered in three packages. Construction on stage one north is currently underway, while design and early works are progressing well on the central and south packages. </w:t>
      </w:r>
    </w:p>
    <w:p w14:paraId="6AF53F66" w14:textId="77777777" w:rsidR="00805A93" w:rsidRDefault="00805A93" w:rsidP="00805A93">
      <w:r>
        <w:t>The business case for the remaining 29 kilometres, from Coomera to Loganholme, will be completed in late-2023.</w:t>
      </w:r>
    </w:p>
    <w:p w14:paraId="5D8E2969" w14:textId="77777777" w:rsidR="00805A93" w:rsidRPr="000638CE" w:rsidRDefault="00805A93" w:rsidP="00805A93">
      <w:pPr>
        <w:pStyle w:val="ForMoreInformation"/>
      </w:pPr>
      <w:r w:rsidRPr="000638CE">
        <w:t>For more information</w:t>
      </w:r>
      <w:r>
        <w:br/>
      </w:r>
      <w:r w:rsidRPr="000638CE">
        <w:rPr>
          <w:rStyle w:val="Hyperlink"/>
        </w:rPr>
        <w:t>https://www.tmr.qld.gov.au/projects/programs/coomera-connector</w:t>
      </w:r>
    </w:p>
    <w:p w14:paraId="31D776A4" w14:textId="77777777" w:rsidR="00805A93" w:rsidRDefault="00805A93" w:rsidP="00805A93">
      <w:pPr>
        <w:pStyle w:val="Heading4"/>
      </w:pPr>
      <w:r>
        <w:t>Pacific Motorway M1 upgrade program</w:t>
      </w:r>
    </w:p>
    <w:p w14:paraId="31EF2EB9" w14:textId="77777777" w:rsidR="00805A93" w:rsidRDefault="00805A93" w:rsidP="00805A93">
      <w:r>
        <w:t>The Pacific Motorway M1 between Brisbane and the Gold Coast is being upgraded and widened in a series of stages, with projects jointly funded by the Australian and Queensland governments.</w:t>
      </w:r>
    </w:p>
    <w:p w14:paraId="3FE02B13" w14:textId="77777777" w:rsidR="00805A93" w:rsidRDefault="00805A93" w:rsidP="00805A93">
      <w:r>
        <w:t xml:space="preserve">Two of four packages of the M1 North </w:t>
      </w:r>
      <w:r w:rsidRPr="001631AE">
        <w:t xml:space="preserve">Eight Mile Plains </w:t>
      </w:r>
      <w:r>
        <w:t xml:space="preserve">to </w:t>
      </w:r>
      <w:r w:rsidRPr="001631AE">
        <w:t>Daisy Hill</w:t>
      </w:r>
      <w:r>
        <w:t xml:space="preserve"> upgrade are now complete and construction is ongoing for the remainder of works, including extensions to the V1 and the South East Busway. The business case for the 10-kilometre Daisy Hill to Logan Motorway section is underway.</w:t>
      </w:r>
    </w:p>
    <w:p w14:paraId="15E156C4" w14:textId="77777777" w:rsidR="00805A93" w:rsidRDefault="00805A93" w:rsidP="00805A93">
      <w:r>
        <w:t>In the M1 central area, the Exit 41 interchange at Yatala South and the Exit 45 interchange at Ormeau are now complete and work is progressing on the Exit 49 interchange at Pimpama.</w:t>
      </w:r>
    </w:p>
    <w:p w14:paraId="00CA4F09" w14:textId="77777777" w:rsidR="00805A93" w:rsidRPr="009C7837" w:rsidRDefault="00805A93" w:rsidP="00805A93">
      <w:r w:rsidRPr="009C7837">
        <w:t xml:space="preserve">The first package of the M1 South </w:t>
      </w:r>
      <w:r>
        <w:t xml:space="preserve">upgrade, from </w:t>
      </w:r>
      <w:r w:rsidRPr="009C7837">
        <w:t>Varsity Lakes to Tugun opened at the end of 2022, while construction on bridge structures and motorway widening on the remaining two packages continues.</w:t>
      </w:r>
    </w:p>
    <w:p w14:paraId="6C46B7BA" w14:textId="77777777" w:rsidR="00805A93" w:rsidRPr="00B670AA" w:rsidRDefault="00805A93" w:rsidP="00805A93">
      <w:pPr>
        <w:pStyle w:val="ForMoreInformation"/>
      </w:pPr>
      <w:r w:rsidRPr="00B670AA">
        <w:lastRenderedPageBreak/>
        <w:t>For more information</w:t>
      </w:r>
      <w:r>
        <w:br/>
      </w:r>
      <w:r w:rsidRPr="0011181D">
        <w:rPr>
          <w:rStyle w:val="Hyperlink"/>
        </w:rPr>
        <w:t>https://www.tmr.qld.gov.au/projects/programs/pacific-motorway-m1-upgrade-program</w:t>
      </w:r>
    </w:p>
    <w:p w14:paraId="700341E5" w14:textId="77777777" w:rsidR="00805A93" w:rsidRDefault="00805A93" w:rsidP="00805A93">
      <w:pPr>
        <w:pStyle w:val="Heading4"/>
      </w:pPr>
      <w:r>
        <w:t>Gold Coast Light Rail</w:t>
      </w:r>
    </w:p>
    <w:p w14:paraId="4803E627" w14:textId="77777777" w:rsidR="00805A93" w:rsidRDefault="00805A93" w:rsidP="00805A93">
      <w:r w:rsidRPr="001054FC">
        <w:t xml:space="preserve">Gold Coast Light Rail </w:t>
      </w:r>
      <w:r>
        <w:t>S</w:t>
      </w:r>
      <w:r w:rsidRPr="001054FC">
        <w:t xml:space="preserve">tage </w:t>
      </w:r>
      <w:r>
        <w:t>3</w:t>
      </w:r>
      <w:r w:rsidRPr="005F2E46">
        <w:t xml:space="preserve"> extends the current</w:t>
      </w:r>
      <w:r>
        <w:t xml:space="preserve"> rail</w:t>
      </w:r>
      <w:r w:rsidRPr="005F2E46">
        <w:t xml:space="preserve"> system </w:t>
      </w:r>
      <w:r>
        <w:t xml:space="preserve">a further </w:t>
      </w:r>
      <w:r w:rsidRPr="005F2E46">
        <w:t>6.7 kilometres</w:t>
      </w:r>
      <w:r>
        <w:t>,</w:t>
      </w:r>
      <w:r w:rsidRPr="005F2E46">
        <w:t xml:space="preserve"> from Broadbeach to Burleigh Heads. </w:t>
      </w:r>
    </w:p>
    <w:p w14:paraId="58A138AA" w14:textId="77777777" w:rsidR="00805A93" w:rsidRDefault="00805A93" w:rsidP="00805A93">
      <w:r w:rsidRPr="00C976F4">
        <w:t xml:space="preserve">Stage </w:t>
      </w:r>
      <w:r>
        <w:t>3</w:t>
      </w:r>
      <w:r w:rsidRPr="00C976F4">
        <w:t xml:space="preserve"> is jointly funded by all three levels of government, with major construction underway. Following testing and commissioning, </w:t>
      </w:r>
      <w:r>
        <w:t>the system is expected to be operational</w:t>
      </w:r>
      <w:r w:rsidRPr="00C976F4">
        <w:t xml:space="preserve"> in 2025</w:t>
      </w:r>
      <w:r>
        <w:t>.</w:t>
      </w:r>
      <w:r w:rsidRPr="00C976F4">
        <w:t xml:space="preserve"> </w:t>
      </w:r>
    </w:p>
    <w:p w14:paraId="3C07AB13" w14:textId="77777777" w:rsidR="00805A93" w:rsidRDefault="00805A93" w:rsidP="00805A93">
      <w:r>
        <w:t xml:space="preserve">Planning for </w:t>
      </w:r>
      <w:r w:rsidRPr="001054FC">
        <w:t>Gold Coast Light Rail</w:t>
      </w:r>
      <w:r>
        <w:t xml:space="preserve"> Stage 4 is progressing with the </w:t>
      </w:r>
      <w:r w:rsidRPr="005F2E46">
        <w:t xml:space="preserve">Gold Coast Highway </w:t>
      </w:r>
      <w:r>
        <w:t>(Burleigh Heads to Tugun and Tugun to Coolangatta)</w:t>
      </w:r>
      <w:r w:rsidRPr="005F2E46">
        <w:t xml:space="preserve"> </w:t>
      </w:r>
      <w:r>
        <w:t>M</w:t>
      </w:r>
      <w:r w:rsidRPr="005F2E46">
        <w:t>ulti-modal Corridor Stud</w:t>
      </w:r>
      <w:r>
        <w:t xml:space="preserve">ies, </w:t>
      </w:r>
      <w:r w:rsidRPr="005F2E46">
        <w:t>identifying the Gold Coast Highway as the preferred route for a 13</w:t>
      </w:r>
      <w:r>
        <w:t xml:space="preserve"> </w:t>
      </w:r>
      <w:r w:rsidRPr="005F2E46">
        <w:t xml:space="preserve">kilometre </w:t>
      </w:r>
      <w:r>
        <w:t xml:space="preserve">light rail </w:t>
      </w:r>
      <w:r w:rsidRPr="005F2E46">
        <w:t xml:space="preserve">extension linking Burleigh Heads to Coolangatta via the Gold Coast Airport. </w:t>
      </w:r>
    </w:p>
    <w:p w14:paraId="0D3ABF2A" w14:textId="77777777" w:rsidR="00805A93" w:rsidRPr="005F2E46" w:rsidRDefault="00805A93" w:rsidP="00805A93">
      <w:r>
        <w:t>Stage 4 community consultation took place in March to April 2020, July to September 2021, and November 2022.</w:t>
      </w:r>
    </w:p>
    <w:p w14:paraId="21C457C5" w14:textId="77777777" w:rsidR="00805A93" w:rsidRDefault="00805A93" w:rsidP="00805A93">
      <w:r>
        <w:t xml:space="preserve">A preliminary business case </w:t>
      </w:r>
      <w:r w:rsidRPr="005F2E46">
        <w:t xml:space="preserve">for Gold Coast Light Rail </w:t>
      </w:r>
      <w:r>
        <w:t>S</w:t>
      </w:r>
      <w:r w:rsidRPr="005F2E46">
        <w:t>tage</w:t>
      </w:r>
      <w:r>
        <w:t> 4</w:t>
      </w:r>
      <w:r w:rsidRPr="005F2E46">
        <w:t xml:space="preserve"> </w:t>
      </w:r>
      <w:r>
        <w:t>was finalised in June 2023.</w:t>
      </w:r>
    </w:p>
    <w:p w14:paraId="0467EC2C" w14:textId="77777777" w:rsidR="00805A93" w:rsidRPr="00EA08BC" w:rsidRDefault="00805A93" w:rsidP="00805A93">
      <w:pPr>
        <w:pStyle w:val="ForMoreInformation"/>
      </w:pPr>
      <w:r w:rsidRPr="00EA08BC">
        <w:t>For more information</w:t>
      </w:r>
      <w:r>
        <w:br/>
      </w:r>
      <w:hyperlink r:id="rId52" w:history="1">
        <w:r w:rsidRPr="002C0ADD">
          <w:rPr>
            <w:rStyle w:val="Hyperlink"/>
          </w:rPr>
          <w:t>https://www.tmr.qld.gov.au/projects/gold-coast-light-rail</w:t>
        </w:r>
      </w:hyperlink>
      <w:r>
        <w:rPr>
          <w:rStyle w:val="Hyperlink"/>
        </w:rPr>
        <w:br/>
      </w:r>
      <w:hyperlink r:id="rId53" w:history="1">
        <w:r w:rsidRPr="007C2AA8">
          <w:rPr>
            <w:rStyle w:val="Hyperlink"/>
          </w:rPr>
          <w:t>https://www.tmr.qld.gov.au/projects/gold-coast-light-rail-stage-4</w:t>
        </w:r>
      </w:hyperlink>
    </w:p>
    <w:p w14:paraId="21DC1207" w14:textId="77777777" w:rsidR="00805A93" w:rsidRDefault="00805A93" w:rsidP="00805A93">
      <w:pPr>
        <w:pStyle w:val="Heading4"/>
      </w:pPr>
      <w:r>
        <w:t xml:space="preserve">Mount Lindesay Highway </w:t>
      </w:r>
    </w:p>
    <w:p w14:paraId="12AC594F" w14:textId="77777777" w:rsidR="00805A93" w:rsidRDefault="00805A93" w:rsidP="00805A93">
      <w:r w:rsidRPr="00255892">
        <w:t>Safety improvements are underway at key locations between Jimboomba and Beaudesert that includes intersection upgrades, installation of safety barriers, traffic signals, and street lighting that will provide motorists with a safer, more reliable journey with hazards removed.</w:t>
      </w:r>
    </w:p>
    <w:p w14:paraId="78EAD91A" w14:textId="77777777" w:rsidR="00805A93" w:rsidRDefault="00805A93" w:rsidP="00805A93">
      <w:r>
        <w:t xml:space="preserve">Construction is now complete on the 3.6 kilometre </w:t>
      </w:r>
      <w:r w:rsidRPr="00D507F7">
        <w:t>Stoney Camp Road to Chambers Flat Road upgrade</w:t>
      </w:r>
      <w:r w:rsidRPr="001D733C">
        <w:t xml:space="preserve"> which </w:t>
      </w:r>
      <w:r>
        <w:t>has</w:t>
      </w:r>
      <w:r w:rsidRPr="001D733C">
        <w:t xml:space="preserve"> duplicate</w:t>
      </w:r>
      <w:r>
        <w:t>d</w:t>
      </w:r>
      <w:r w:rsidRPr="001D733C">
        <w:t xml:space="preserve"> the highway from two to four lanes</w:t>
      </w:r>
      <w:r>
        <w:t xml:space="preserve">. </w:t>
      </w:r>
    </w:p>
    <w:p w14:paraId="6497BD7E" w14:textId="77777777" w:rsidR="00805A93" w:rsidRDefault="00805A93" w:rsidP="00805A93">
      <w:r>
        <w:t xml:space="preserve">Early planning is also underway for future highway upgrades between Chambers Flat Road and Camp Cable Road. Lane duplication, environmental protections, and safety improvements are key benefits being considered for future upgrades. </w:t>
      </w:r>
    </w:p>
    <w:p w14:paraId="2C4D7F23" w14:textId="77777777" w:rsidR="00805A93" w:rsidRPr="00D507F7" w:rsidRDefault="00805A93" w:rsidP="00805A93">
      <w:r w:rsidRPr="003C34DF">
        <w:rPr>
          <w:rStyle w:val="Emphasis"/>
        </w:rPr>
        <w:t>The Mount Lindesay Highway 10</w:t>
      </w:r>
      <w:r>
        <w:rPr>
          <w:rStyle w:val="Emphasis"/>
        </w:rPr>
        <w:t>-</w:t>
      </w:r>
      <w:r w:rsidRPr="003C34DF">
        <w:rPr>
          <w:rStyle w:val="Emphasis"/>
        </w:rPr>
        <w:t>year forward plan (2018–2028)</w:t>
      </w:r>
      <w:r w:rsidRPr="00F7432F">
        <w:t xml:space="preserve"> includes 17 upgrade projects, with nine projects now completed, six in planning, one funded and one unfunded.</w:t>
      </w:r>
    </w:p>
    <w:p w14:paraId="34133EED" w14:textId="77777777" w:rsidR="00805A93" w:rsidRPr="006C43DA" w:rsidRDefault="00805A93" w:rsidP="00805A93">
      <w:pPr>
        <w:pStyle w:val="ForMoreInformation"/>
      </w:pPr>
      <w:r>
        <w:t>F</w:t>
      </w:r>
      <w:r w:rsidRPr="006C43DA">
        <w:t>or more information</w:t>
      </w:r>
      <w:r>
        <w:br/>
      </w:r>
      <w:r w:rsidRPr="006C43DA">
        <w:rPr>
          <w:rStyle w:val="Hyperlink"/>
        </w:rPr>
        <w:t>https://www.tmr.qld.gov.au/projects/programs/mount-lindesay-highway-upgrade-program</w:t>
      </w:r>
    </w:p>
    <w:p w14:paraId="6161E270" w14:textId="02C99DA1" w:rsidR="00805A93" w:rsidRDefault="00805A93" w:rsidP="00805A93">
      <w:pPr>
        <w:pStyle w:val="Heading4"/>
      </w:pPr>
      <w:r>
        <w:t xml:space="preserve">Case </w:t>
      </w:r>
      <w:r w:rsidR="004F068F">
        <w:t>s</w:t>
      </w:r>
      <w:r>
        <w:t>tudy</w:t>
      </w:r>
      <w:r w:rsidR="004F068F">
        <w:t xml:space="preserve"> </w:t>
      </w:r>
      <w:r>
        <w:t>Tamborine Mountain Road reconstruction project</w:t>
      </w:r>
    </w:p>
    <w:p w14:paraId="0338C273" w14:textId="77777777" w:rsidR="00805A93" w:rsidRPr="00E71C4F" w:rsidRDefault="00805A93" w:rsidP="00805A93">
      <w:r w:rsidRPr="00E71C4F">
        <w:t>Tamborine Mountain Road reopened on 1 August 2022 after a reconstruction project to reconnect the communities of Canungra and Tamborine Mountain</w:t>
      </w:r>
      <w:r>
        <w:t xml:space="preserve"> was completed</w:t>
      </w:r>
      <w:r w:rsidRPr="00E71C4F">
        <w:t>.</w:t>
      </w:r>
      <w:r>
        <w:t xml:space="preserve"> This work was undertaken after a</w:t>
      </w:r>
      <w:r w:rsidRPr="00E71C4F">
        <w:t xml:space="preserve"> significant landslip severely damaged the road following local rainfall totals of 300</w:t>
      </w:r>
      <w:r>
        <w:t xml:space="preserve"> </w:t>
      </w:r>
      <w:r w:rsidRPr="00E71C4F">
        <w:t>m</w:t>
      </w:r>
      <w:r>
        <w:t>illi</w:t>
      </w:r>
      <w:r w:rsidRPr="00E71C4F">
        <w:t>m</w:t>
      </w:r>
      <w:r>
        <w:t>etres</w:t>
      </w:r>
      <w:r w:rsidRPr="00E71C4F">
        <w:t xml:space="preserve"> </w:t>
      </w:r>
      <w:r>
        <w:t>in</w:t>
      </w:r>
      <w:r w:rsidRPr="00E71C4F">
        <w:t xml:space="preserve"> December 2020</w:t>
      </w:r>
      <w:r>
        <w:t>.</w:t>
      </w:r>
      <w:r w:rsidRPr="00E71C4F">
        <w:t xml:space="preserve"> </w:t>
      </w:r>
    </w:p>
    <w:p w14:paraId="33886E80" w14:textId="77777777" w:rsidR="00805A93" w:rsidRPr="00E71C4F" w:rsidRDefault="00805A93" w:rsidP="00805A93">
      <w:r w:rsidRPr="00E71C4F">
        <w:t>During the initial recovery works</w:t>
      </w:r>
      <w:r>
        <w:t xml:space="preserve"> TMR</w:t>
      </w:r>
      <w:r w:rsidRPr="00E71C4F">
        <w:t xml:space="preserve"> removed 20,000</w:t>
      </w:r>
      <w:r>
        <w:t> </w:t>
      </w:r>
      <w:r w:rsidRPr="00E71C4F">
        <w:t xml:space="preserve">tonnes of unstable rock from the </w:t>
      </w:r>
      <w:r>
        <w:t>up</w:t>
      </w:r>
      <w:r w:rsidRPr="00E71C4F">
        <w:t>slope</w:t>
      </w:r>
      <w:r>
        <w:t>,</w:t>
      </w:r>
      <w:r w:rsidRPr="00E71C4F">
        <w:t xml:space="preserve"> including an extremely large</w:t>
      </w:r>
      <w:r>
        <w:t>,</w:t>
      </w:r>
      <w:r w:rsidRPr="00E71C4F">
        <w:t xml:space="preserve"> unstable boulder</w:t>
      </w:r>
      <w:r>
        <w:t>,</w:t>
      </w:r>
      <w:r w:rsidRPr="00E71C4F">
        <w:t xml:space="preserve"> </w:t>
      </w:r>
      <w:r>
        <w:t xml:space="preserve">with an </w:t>
      </w:r>
      <w:r w:rsidRPr="00E71C4F">
        <w:t xml:space="preserve">estimated </w:t>
      </w:r>
      <w:r>
        <w:t xml:space="preserve">weight of </w:t>
      </w:r>
      <w:r w:rsidRPr="00E71C4F">
        <w:t>250</w:t>
      </w:r>
      <w:r>
        <w:t> </w:t>
      </w:r>
      <w:r w:rsidRPr="00E71C4F">
        <w:t>tonnes,</w:t>
      </w:r>
      <w:r>
        <w:t xml:space="preserve"> measuring </w:t>
      </w:r>
      <w:r w:rsidRPr="00E71C4F">
        <w:t>six metres wide and two metres thick.</w:t>
      </w:r>
    </w:p>
    <w:p w14:paraId="1403EB3D" w14:textId="77777777" w:rsidR="00805A93" w:rsidRPr="00E71C4F" w:rsidRDefault="00805A93" w:rsidP="00805A93">
      <w:r w:rsidRPr="00E71C4F">
        <w:t>Due to the steep terrain, crews of abseilers install</w:t>
      </w:r>
      <w:r>
        <w:t>ed</w:t>
      </w:r>
      <w:r w:rsidRPr="00E71C4F">
        <w:t xml:space="preserve"> more than 300 rock bolts to anchor large, unstable rocks to the upper slope, and helicopters were used to bring in materials.</w:t>
      </w:r>
    </w:p>
    <w:p w14:paraId="75643941" w14:textId="77777777" w:rsidR="00805A93" w:rsidRPr="00E71C4F" w:rsidRDefault="00805A93" w:rsidP="00805A93">
      <w:r w:rsidRPr="00E71C4F">
        <w:t xml:space="preserve">The project was successfully </w:t>
      </w:r>
      <w:r>
        <w:t>completed</w:t>
      </w:r>
      <w:r w:rsidRPr="00E71C4F">
        <w:t xml:space="preserve"> in challenging circumstances, with more than three metres of rainfall recorded on site since August 2021.</w:t>
      </w:r>
    </w:p>
    <w:p w14:paraId="20F5785D" w14:textId="77777777" w:rsidR="00805A93" w:rsidRDefault="00805A93" w:rsidP="00805A93">
      <w:r w:rsidRPr="00E71C4F">
        <w:t xml:space="preserve">Assistance </w:t>
      </w:r>
      <w:r>
        <w:t>will be</w:t>
      </w:r>
      <w:r w:rsidRPr="00E71C4F">
        <w:t xml:space="preserve"> provided through the jointly funded Commonwealth-State Disaster Recovery Funding Arrangements.</w:t>
      </w:r>
    </w:p>
    <w:p w14:paraId="0417441B" w14:textId="77777777" w:rsidR="00805A93" w:rsidRPr="00657B5A" w:rsidRDefault="00805A93" w:rsidP="00805A93">
      <w:pPr>
        <w:pStyle w:val="ForMoreInformation"/>
      </w:pPr>
      <w:r>
        <w:lastRenderedPageBreak/>
        <w:t>For more information</w:t>
      </w:r>
      <w:r>
        <w:br/>
      </w:r>
      <w:r w:rsidRPr="00127784">
        <w:rPr>
          <w:rStyle w:val="Hyperlink"/>
        </w:rPr>
        <w:t>https://www.tmr.qld.gov.au/projects/tamborine-mountain-road-2021-disaster-recovery-funding-arrangements-reconstruction-works</w:t>
      </w:r>
    </w:p>
    <w:p w14:paraId="1998935E" w14:textId="77777777" w:rsidR="00E6328B" w:rsidRDefault="00E6328B">
      <w:pPr>
        <w:spacing w:before="0" w:after="160" w:line="259" w:lineRule="auto"/>
        <w:rPr>
          <w:rFonts w:eastAsiaTheme="majorEastAsia" w:cstheme="majorBidi"/>
          <w:iCs/>
          <w:color w:val="0D0D0D" w:themeColor="text1" w:themeTint="F2"/>
          <w:sz w:val="24"/>
        </w:rPr>
      </w:pPr>
      <w:r>
        <w:br w:type="page"/>
      </w:r>
    </w:p>
    <w:p w14:paraId="0B9C7BC1" w14:textId="3E5D3A76" w:rsidR="00805A93" w:rsidRPr="000C390D" w:rsidRDefault="00805A93" w:rsidP="00805A93">
      <w:pPr>
        <w:pStyle w:val="Heading4"/>
      </w:pPr>
      <w:r w:rsidRPr="000C390D">
        <w:lastRenderedPageBreak/>
        <w:t xml:space="preserve">Cunninghams Gap </w:t>
      </w:r>
      <w:r>
        <w:t>r</w:t>
      </w:r>
      <w:r w:rsidRPr="000C390D">
        <w:t xml:space="preserve">econstruction </w:t>
      </w:r>
      <w:r>
        <w:t>p</w:t>
      </w:r>
      <w:r w:rsidRPr="000C390D">
        <w:t>roject</w:t>
      </w:r>
    </w:p>
    <w:p w14:paraId="0D445A95" w14:textId="77777777" w:rsidR="00805A93" w:rsidRPr="006332F4" w:rsidRDefault="00805A93" w:rsidP="00805A93">
      <w:r w:rsidRPr="006332F4">
        <w:t>Bushfires in late</w:t>
      </w:r>
      <w:r>
        <w:t>-</w:t>
      </w:r>
      <w:r w:rsidRPr="006332F4">
        <w:t>2019 caused significant slope damage at Cunninghams Gap on the Cunningham Highway.</w:t>
      </w:r>
    </w:p>
    <w:p w14:paraId="1253B3D7" w14:textId="77777777" w:rsidR="00805A93" w:rsidRPr="006332F4" w:rsidRDefault="00805A93" w:rsidP="00805A93">
      <w:r w:rsidRPr="006332F4">
        <w:t xml:space="preserve">The reconstruction project involves repairing two kilometres of the Cunningham Highway at Cunninghams Gap. This reconstruction is being undertaken in two stages to ensure works are delivered safely for all road users and construction workers. </w:t>
      </w:r>
    </w:p>
    <w:p w14:paraId="3026EAF1" w14:textId="77777777" w:rsidR="00805A93" w:rsidRDefault="00805A93" w:rsidP="00805A93">
      <w:r w:rsidRPr="006332F4">
        <w:t xml:space="preserve">Stage </w:t>
      </w:r>
      <w:r>
        <w:t>one</w:t>
      </w:r>
      <w:r w:rsidRPr="006332F4">
        <w:t xml:space="preserve"> works, including slope survey and stab</w:t>
      </w:r>
      <w:r>
        <w:t>i</w:t>
      </w:r>
      <w:r w:rsidRPr="006332F4">
        <w:t>lising activities commenced in January 2023. This identified areas of the uphill slope that require some degree of scaling or stab</w:t>
      </w:r>
      <w:r>
        <w:t>i</w:t>
      </w:r>
      <w:r w:rsidRPr="006332F4">
        <w:t xml:space="preserve">lising to reduce the risk of rockfalls. </w:t>
      </w:r>
    </w:p>
    <w:p w14:paraId="600FDCFE" w14:textId="77777777" w:rsidR="00805A93" w:rsidRPr="00655350" w:rsidRDefault="00805A93" w:rsidP="00805A93">
      <w:r w:rsidRPr="00655350">
        <w:t>Stage two reconstruction works</w:t>
      </w:r>
      <w:r>
        <w:t xml:space="preserve"> </w:t>
      </w:r>
      <w:r w:rsidRPr="00655350">
        <w:t xml:space="preserve">expected to start </w:t>
      </w:r>
      <w:r>
        <w:t>in late-2023</w:t>
      </w:r>
      <w:r w:rsidRPr="00655350">
        <w:t xml:space="preserve"> will involve</w:t>
      </w:r>
      <w:r>
        <w:t>:</w:t>
      </w:r>
    </w:p>
    <w:p w14:paraId="5B9DD403" w14:textId="77777777" w:rsidR="00805A93" w:rsidRPr="00655350" w:rsidRDefault="00805A93" w:rsidP="00805A93">
      <w:pPr>
        <w:pStyle w:val="ListBullet"/>
      </w:pPr>
      <w:r w:rsidRPr="00655350">
        <w:t>the installation of rockfall protection systems</w:t>
      </w:r>
    </w:p>
    <w:p w14:paraId="50DB6BD4" w14:textId="77777777" w:rsidR="00805A93" w:rsidRPr="00655350" w:rsidRDefault="00805A93" w:rsidP="00805A93">
      <w:pPr>
        <w:pStyle w:val="ListBullet"/>
      </w:pPr>
      <w:r w:rsidRPr="00655350">
        <w:t>Gap Creek Bridge works</w:t>
      </w:r>
    </w:p>
    <w:p w14:paraId="0CC47DB5" w14:textId="77777777" w:rsidR="00805A93" w:rsidRPr="00655350" w:rsidRDefault="00805A93" w:rsidP="00805A93">
      <w:pPr>
        <w:pStyle w:val="ListBullet"/>
      </w:pPr>
      <w:r w:rsidRPr="00655350">
        <w:t>installing slope monitoring technology</w:t>
      </w:r>
    </w:p>
    <w:p w14:paraId="69174C7D" w14:textId="77777777" w:rsidR="00805A93" w:rsidRPr="00655350" w:rsidRDefault="00805A93" w:rsidP="00805A93">
      <w:pPr>
        <w:pStyle w:val="ListBullet"/>
      </w:pPr>
      <w:r w:rsidRPr="00655350">
        <w:t xml:space="preserve">completing works around the Main Range National Park car park. </w:t>
      </w:r>
    </w:p>
    <w:p w14:paraId="3DDE390B" w14:textId="77777777" w:rsidR="00805A93" w:rsidRPr="00655350" w:rsidRDefault="00805A93" w:rsidP="00805A93">
      <w:r w:rsidRPr="00655350">
        <w:t>Assistance will be provided through the jointly funded Commonwealth-State Disaster Recovery Funding Arrangements.</w:t>
      </w:r>
    </w:p>
    <w:p w14:paraId="113F287A" w14:textId="77777777" w:rsidR="00805A93" w:rsidRPr="00D95843" w:rsidRDefault="00805A93" w:rsidP="00805A93">
      <w:pPr>
        <w:pStyle w:val="ForMoreInformation"/>
        <w:rPr>
          <w:rStyle w:val="SubtleReference"/>
          <w:color w:val="auto"/>
        </w:rPr>
      </w:pPr>
      <w:r w:rsidRPr="00BD7F21">
        <w:t>For more information</w:t>
      </w:r>
      <w:r>
        <w:br/>
      </w:r>
      <w:hyperlink r:id="rId54" w:history="1">
        <w:r w:rsidRPr="00A543F8">
          <w:rPr>
            <w:rStyle w:val="Hyperlink"/>
          </w:rPr>
          <w:t>https://www.tmr.qld.gov.au/projects/cunningham-highway-ipswich-warwick-2020-disaster-recovery-funding-arrangements-reconstruction-works</w:t>
        </w:r>
      </w:hyperlink>
    </w:p>
    <w:p w14:paraId="08FC191E" w14:textId="77777777" w:rsidR="00C6602D" w:rsidRDefault="00C6602D">
      <w:pPr>
        <w:spacing w:before="0" w:after="160" w:line="259" w:lineRule="auto"/>
        <w:rPr>
          <w:rFonts w:eastAsiaTheme="majorEastAsia" w:cstheme="majorBidi"/>
          <w:b/>
          <w:color w:val="000000" w:themeColor="text1"/>
          <w:sz w:val="52"/>
          <w:szCs w:val="32"/>
        </w:rPr>
      </w:pPr>
      <w:r>
        <w:br w:type="page"/>
      </w:r>
    </w:p>
    <w:p w14:paraId="7CDB450B" w14:textId="380DEAF9" w:rsidR="0057796E" w:rsidRDefault="0057796E" w:rsidP="004F068F">
      <w:pPr>
        <w:pStyle w:val="Heading1"/>
      </w:pPr>
      <w:r>
        <w:lastRenderedPageBreak/>
        <w:t>Accessible to everyone</w:t>
      </w:r>
    </w:p>
    <w:p w14:paraId="02F4A059" w14:textId="77777777" w:rsidR="0057796E" w:rsidRDefault="0057796E" w:rsidP="0057796E">
      <w:pPr>
        <w:pStyle w:val="Heading2"/>
      </w:pPr>
      <w:r>
        <w:t>Highlights</w:t>
      </w:r>
    </w:p>
    <w:p w14:paraId="7DB838CA" w14:textId="77777777" w:rsidR="0057796E" w:rsidRDefault="0057796E" w:rsidP="0057796E">
      <w:pPr>
        <w:pStyle w:val="ListBullet"/>
      </w:pPr>
      <w:r w:rsidRPr="00315E6A">
        <w:t xml:space="preserve">Over the past two years, over 1.6 billion malicious activities were detected or blocked by the </w:t>
      </w:r>
      <w:r>
        <w:t>QGCDG</w:t>
      </w:r>
      <w:r w:rsidRPr="00315E6A">
        <w:t xml:space="preserve">’s </w:t>
      </w:r>
      <w:r>
        <w:t>CSU</w:t>
      </w:r>
      <w:r w:rsidRPr="00315E6A">
        <w:t xml:space="preserve"> on the whole</w:t>
      </w:r>
      <w:r>
        <w:t>-</w:t>
      </w:r>
      <w:r w:rsidRPr="00315E6A">
        <w:t>of</w:t>
      </w:r>
      <w:r>
        <w:t>-</w:t>
      </w:r>
      <w:r w:rsidRPr="00315E6A">
        <w:t>government Internet Gateway—an average of 133 million each month.</w:t>
      </w:r>
    </w:p>
    <w:p w14:paraId="1F67A203" w14:textId="77777777" w:rsidR="0057796E" w:rsidRPr="00E9108D" w:rsidRDefault="0057796E" w:rsidP="0057796E">
      <w:pPr>
        <w:pStyle w:val="ListBullet"/>
      </w:pPr>
      <w:r w:rsidRPr="00E9108D">
        <w:t xml:space="preserve">The </w:t>
      </w:r>
      <w:r w:rsidRPr="00931283">
        <w:rPr>
          <w:rStyle w:val="Strong"/>
        </w:rPr>
        <w:t>QLD</w:t>
      </w:r>
      <w:r w:rsidRPr="00931283">
        <w:rPr>
          <w:rStyle w:val="Emphasis"/>
        </w:rPr>
        <w:t>Traffic</w:t>
      </w:r>
      <w:r w:rsidRPr="00E9108D">
        <w:t xml:space="preserve"> suite of services continued to expand during 2022–23 to provide travellers in Queensland with up-to-date traffic and road condition information, providing informed journey decisions.</w:t>
      </w:r>
    </w:p>
    <w:p w14:paraId="65BF049C" w14:textId="77777777" w:rsidR="0057796E" w:rsidRPr="00E9108D" w:rsidRDefault="0057796E" w:rsidP="0057796E">
      <w:pPr>
        <w:pStyle w:val="ListBullet"/>
      </w:pPr>
      <w:r w:rsidRPr="00E9108D">
        <w:t>In 2022–23, the Taxi Subsidy Scheme assisted 48,058 Queenslanders to access more affordable taxi travel.</w:t>
      </w:r>
    </w:p>
    <w:p w14:paraId="6C20C55D" w14:textId="77777777" w:rsidR="0057796E" w:rsidRPr="00E9108D" w:rsidRDefault="0057796E" w:rsidP="0057796E">
      <w:pPr>
        <w:pStyle w:val="ListBullet"/>
      </w:pPr>
      <w:r w:rsidRPr="00E9108D">
        <w:t>By February 2023, Smart Ticketing was rolled out across Queensland’s entire rail network. In June 2023, Smart Ticketing payment methods surpassed 150,000 average trips per week.</w:t>
      </w:r>
    </w:p>
    <w:p w14:paraId="404061D1" w14:textId="77777777" w:rsidR="0057796E" w:rsidRPr="00E9108D" w:rsidRDefault="0057796E" w:rsidP="0057796E">
      <w:pPr>
        <w:pStyle w:val="ListBullet"/>
      </w:pPr>
      <w:r w:rsidRPr="00E9108D">
        <w:t>$337.69 million was provided in concessions and assistance to pensioners and seniors, veterans, students, people with a disability and their carers, job seekers, and asylum seekers to make public transport more affordable.</w:t>
      </w:r>
    </w:p>
    <w:p w14:paraId="00F57176" w14:textId="77777777" w:rsidR="0057796E" w:rsidRPr="00E9108D" w:rsidRDefault="0057796E" w:rsidP="0057796E">
      <w:pPr>
        <w:pStyle w:val="ListBullet"/>
      </w:pPr>
      <w:r w:rsidRPr="00E9108D">
        <w:t>In 2022–23, approximately $211 million of School Transport Assistance Scheme funding assisted about 130,000 recipients, making it one of the largest state government transport schemes.</w:t>
      </w:r>
    </w:p>
    <w:p w14:paraId="630E69DF" w14:textId="77777777" w:rsidR="0057796E" w:rsidRPr="00E9108D" w:rsidRDefault="0057796E" w:rsidP="0057796E">
      <w:pPr>
        <w:pStyle w:val="ListBullet"/>
      </w:pPr>
      <w:r w:rsidRPr="00E9108D">
        <w:t xml:space="preserve">TMR published its </w:t>
      </w:r>
      <w:r w:rsidRPr="00271081">
        <w:rPr>
          <w:rStyle w:val="Emphasis"/>
        </w:rPr>
        <w:t>Interim Disability Action Plan 2023–2024</w:t>
      </w:r>
      <w:r w:rsidRPr="00E9108D">
        <w:t>, including 12 actions to improve accessibility for people with disability using the passenger transport network.</w:t>
      </w:r>
    </w:p>
    <w:p w14:paraId="3B007E15" w14:textId="77777777" w:rsidR="0057796E" w:rsidRPr="00E9108D" w:rsidRDefault="0057796E" w:rsidP="0057796E">
      <w:pPr>
        <w:pStyle w:val="ListBullet"/>
      </w:pPr>
      <w:r w:rsidRPr="00E9108D">
        <w:t>In 2022–23, Passenger Transport Accessible Infrastructure Program funding assistance was provided to 10 local governments across Queensland to support more than 190 bus stop upgrades to meet accessibility standards.</w:t>
      </w:r>
    </w:p>
    <w:p w14:paraId="1CF1CA6A" w14:textId="77777777" w:rsidR="0057796E" w:rsidRPr="00E9108D" w:rsidRDefault="0057796E" w:rsidP="0057796E">
      <w:pPr>
        <w:pStyle w:val="ListBullet"/>
      </w:pPr>
      <w:r w:rsidRPr="00E9108D">
        <w:t>Customers completed 63 million sessions on Translink's website, Journey Planner website, and Translink app, an 11 per cent increase from the previous year.</w:t>
      </w:r>
    </w:p>
    <w:p w14:paraId="02EF15BC" w14:textId="77777777" w:rsidR="0057796E" w:rsidRPr="00E9108D" w:rsidRDefault="0057796E" w:rsidP="0057796E">
      <w:pPr>
        <w:pStyle w:val="ListBullet"/>
      </w:pPr>
      <w:r w:rsidRPr="00E9108D">
        <w:t xml:space="preserve">The Digital Licence </w:t>
      </w:r>
      <w:r>
        <w:t>was released via</w:t>
      </w:r>
      <w:r w:rsidRPr="00E9108D">
        <w:t xml:space="preserve"> an expanded pilot in Townsville in 2023, allowing </w:t>
      </w:r>
      <w:r>
        <w:t xml:space="preserve">TMR </w:t>
      </w:r>
      <w:r w:rsidRPr="00E9108D">
        <w:t xml:space="preserve">to test the app with the largest population of young </w:t>
      </w:r>
      <w:r>
        <w:t>adults</w:t>
      </w:r>
      <w:r w:rsidRPr="00E9108D">
        <w:t xml:space="preserve"> outside of South East Queensland.</w:t>
      </w:r>
    </w:p>
    <w:p w14:paraId="29217CE1" w14:textId="77777777" w:rsidR="0057796E" w:rsidRPr="00E9108D" w:rsidRDefault="0057796E" w:rsidP="0057796E">
      <w:pPr>
        <w:pStyle w:val="ListBullet"/>
      </w:pPr>
      <w:r w:rsidRPr="00E9108D">
        <w:t>In 2022–23, 211 projects were delivered under the Roads and Transport Alliance, with joint investment of more than $120 million in local roads, safer school drop</w:t>
      </w:r>
      <w:r>
        <w:t>-</w:t>
      </w:r>
      <w:r w:rsidRPr="00E9108D">
        <w:t>off areas, and active transport infrastructure.</w:t>
      </w:r>
    </w:p>
    <w:p w14:paraId="04C08455" w14:textId="77777777" w:rsidR="0057796E" w:rsidRPr="00E9108D" w:rsidRDefault="0057796E" w:rsidP="0057796E">
      <w:pPr>
        <w:pStyle w:val="ListBullet"/>
      </w:pPr>
      <w:r w:rsidRPr="00E9108D">
        <w:t xml:space="preserve">In 2022–23, TMR invested more than </w:t>
      </w:r>
      <w:r>
        <w:t>$1.136 million</w:t>
      </w:r>
      <w:r w:rsidRPr="00E9108D">
        <w:t xml:space="preserve"> in heritage conservation across Queensland.</w:t>
      </w:r>
    </w:p>
    <w:p w14:paraId="68A16B05" w14:textId="77777777" w:rsidR="0057796E" w:rsidRPr="00E9108D" w:rsidRDefault="0057796E" w:rsidP="0057796E">
      <w:pPr>
        <w:pStyle w:val="ListBullet"/>
      </w:pPr>
      <w:r w:rsidRPr="00E9108D">
        <w:t>The CRSG scheme awarded $631,906 in 2022-23 to support 39 community organisations with the development and delivery of effective road safety education initiatives that support people to be safer road users.</w:t>
      </w:r>
    </w:p>
    <w:p w14:paraId="13939D39" w14:textId="77777777" w:rsidR="0057796E" w:rsidRPr="00E9108D" w:rsidRDefault="0057796E" w:rsidP="0057796E">
      <w:pPr>
        <w:pStyle w:val="ListBullet"/>
      </w:pPr>
      <w:r w:rsidRPr="00E9108D">
        <w:t>The targeted road safety program delivered</w:t>
      </w:r>
      <w:r>
        <w:t xml:space="preserve"> $439 million</w:t>
      </w:r>
      <w:r w:rsidRPr="00E9108D">
        <w:t xml:space="preserve"> in safety treatments across Queensland to remedy locations with a significant crash history or other identified safety issues.</w:t>
      </w:r>
    </w:p>
    <w:p w14:paraId="21035798" w14:textId="77777777" w:rsidR="0057796E" w:rsidRPr="00E9108D" w:rsidRDefault="0057796E" w:rsidP="0057796E">
      <w:pPr>
        <w:pStyle w:val="ListBullet"/>
      </w:pPr>
      <w:r w:rsidRPr="00E9108D">
        <w:t>TMR’s StreetSmarts initiative delivered several campaigns to improve road safety in Queensland during 2022</w:t>
      </w:r>
      <w:r>
        <w:t>–</w:t>
      </w:r>
      <w:r w:rsidRPr="00E9108D">
        <w:t>23. With over 167,000 followers, StreetSmarts shares road safety messages across social media and digital channels to around 1–1.5 million individuals monthly.</w:t>
      </w:r>
    </w:p>
    <w:p w14:paraId="18442B6D" w14:textId="77777777" w:rsidR="0057796E" w:rsidRPr="00E9108D" w:rsidRDefault="0057796E" w:rsidP="0057796E">
      <w:pPr>
        <w:pStyle w:val="ListBullet"/>
      </w:pPr>
      <w:r>
        <w:t>MSQ</w:t>
      </w:r>
      <w:r w:rsidRPr="00E9108D">
        <w:t xml:space="preserve"> delivered its boating fatal five safety education messaging throughout 2022–23, including an extensive public consultation about proposed changes to laws on the use of lifejackets and kill switch lanyards.</w:t>
      </w:r>
    </w:p>
    <w:p w14:paraId="30C18274" w14:textId="362AA263" w:rsidR="0057796E" w:rsidRPr="004F068F" w:rsidRDefault="0057796E" w:rsidP="00A74536">
      <w:pPr>
        <w:pStyle w:val="ListBullet"/>
      </w:pPr>
      <w:r w:rsidRPr="00E9108D">
        <w:t xml:space="preserve">Between 1 July 2022 and 28 February 2023, a total of 89 unseaworthy or abandoned vessels were removed by </w:t>
      </w:r>
      <w:r>
        <w:t>MSQ</w:t>
      </w:r>
      <w:r w:rsidRPr="00E9108D">
        <w:t xml:space="preserve"> and partner agencies as part of the War on Wrecks program.</w:t>
      </w:r>
    </w:p>
    <w:p w14:paraId="52D18C89" w14:textId="77777777" w:rsidR="00C6602D" w:rsidRDefault="00C6602D">
      <w:pPr>
        <w:spacing w:before="0" w:after="160" w:line="259" w:lineRule="auto"/>
        <w:rPr>
          <w:rFonts w:eastAsiaTheme="majorEastAsia" w:cstheme="majorBidi"/>
          <w:color w:val="000000" w:themeColor="text1"/>
          <w:sz w:val="48"/>
          <w:szCs w:val="26"/>
        </w:rPr>
      </w:pPr>
      <w:r>
        <w:br w:type="page"/>
      </w:r>
    </w:p>
    <w:p w14:paraId="16189C08" w14:textId="4A5C5263" w:rsidR="0057796E" w:rsidRPr="00DC1A33" w:rsidRDefault="0057796E" w:rsidP="0057796E">
      <w:pPr>
        <w:pStyle w:val="Heading2"/>
      </w:pPr>
      <w:r>
        <w:lastRenderedPageBreak/>
        <w:t>Shaping our products and services to customers' changing needs</w:t>
      </w:r>
    </w:p>
    <w:p w14:paraId="49268DBC" w14:textId="77777777" w:rsidR="0057796E" w:rsidRPr="00756FBC" w:rsidRDefault="0057796E" w:rsidP="0057796E">
      <w:pPr>
        <w:pStyle w:val="Heading3"/>
      </w:pPr>
      <w:r>
        <w:t>Certified Customer Service Organisation</w:t>
      </w:r>
    </w:p>
    <w:p w14:paraId="6718534A" w14:textId="77777777" w:rsidR="0057796E" w:rsidRPr="00BA3306" w:rsidRDefault="0057796E" w:rsidP="0057796E">
      <w:r>
        <w:t>TMR</w:t>
      </w:r>
      <w:r w:rsidRPr="00BA3306">
        <w:t xml:space="preserve"> continues to be a 'Certified Customer Service Organisation' against the </w:t>
      </w:r>
      <w:r w:rsidRPr="00106E3B">
        <w:rPr>
          <w:rStyle w:val="Emphasis"/>
        </w:rPr>
        <w:t>Customer Service Institute of Australia's International Customer Service Standard 2020–2025</w:t>
      </w:r>
      <w:r w:rsidRPr="00BA3306">
        <w:t xml:space="preserve"> (ICSS)</w:t>
      </w:r>
      <w:r>
        <w:t xml:space="preserve">. TMR's accreditation </w:t>
      </w:r>
      <w:r w:rsidRPr="00BA3306">
        <w:t xml:space="preserve">results </w:t>
      </w:r>
      <w:r>
        <w:t xml:space="preserve">have </w:t>
      </w:r>
      <w:r w:rsidRPr="00BA3306">
        <w:t>plac</w:t>
      </w:r>
      <w:r>
        <w:t>ed the department</w:t>
      </w:r>
      <w:r w:rsidRPr="00BA3306">
        <w:t xml:space="preserve"> in the top tier of organisations in Australia benchmarked against the standard.</w:t>
      </w:r>
    </w:p>
    <w:p w14:paraId="2B40309A" w14:textId="77777777" w:rsidR="0057796E" w:rsidRPr="00BA3306" w:rsidRDefault="0057796E" w:rsidP="0057796E">
      <w:r w:rsidRPr="00BA3306">
        <w:t xml:space="preserve">ICSS </w:t>
      </w:r>
      <w:r>
        <w:t>certification</w:t>
      </w:r>
      <w:r w:rsidRPr="00BA3306">
        <w:t xml:space="preserve"> confirms the strength of </w:t>
      </w:r>
      <w:r>
        <w:t>TMR's</w:t>
      </w:r>
      <w:r w:rsidRPr="00BA3306">
        <w:t xml:space="preserve"> commitment to achieving a OneTMR ‘Customers First’ culture</w:t>
      </w:r>
      <w:r>
        <w:t xml:space="preserve">, </w:t>
      </w:r>
      <w:r w:rsidRPr="00BA3306">
        <w:t>and</w:t>
      </w:r>
      <w:r>
        <w:t xml:space="preserve"> the</w:t>
      </w:r>
      <w:r w:rsidRPr="00BA3306">
        <w:t xml:space="preserve"> deliver</w:t>
      </w:r>
      <w:r>
        <w:t>y</w:t>
      </w:r>
      <w:r w:rsidRPr="00BA3306">
        <w:t xml:space="preserve"> </w:t>
      </w:r>
      <w:r>
        <w:t xml:space="preserve">of </w:t>
      </w:r>
      <w:r w:rsidRPr="00BA3306">
        <w:t xml:space="preserve">customer </w:t>
      </w:r>
      <w:r>
        <w:t xml:space="preserve">service and </w:t>
      </w:r>
      <w:r w:rsidRPr="00BA3306">
        <w:t xml:space="preserve">experience </w:t>
      </w:r>
      <w:r>
        <w:t xml:space="preserve">excellence </w:t>
      </w:r>
      <w:r w:rsidRPr="00BA3306">
        <w:t>for customers and the</w:t>
      </w:r>
      <w:r>
        <w:t xml:space="preserve"> community</w:t>
      </w:r>
      <w:r w:rsidRPr="00BA3306">
        <w:t>.  </w:t>
      </w:r>
    </w:p>
    <w:p w14:paraId="58953AF1" w14:textId="77777777" w:rsidR="0057796E" w:rsidRPr="00756FBC" w:rsidRDefault="0057796E" w:rsidP="0057796E">
      <w:pPr>
        <w:pStyle w:val="Heading3"/>
      </w:pPr>
      <w:r>
        <w:t xml:space="preserve">Connecting with Queenslanders through Transport </w:t>
      </w:r>
      <w:r w:rsidRPr="00FC21D3">
        <w:rPr>
          <w:rStyle w:val="Emphasis"/>
        </w:rPr>
        <w:t>Talk</w:t>
      </w:r>
    </w:p>
    <w:p w14:paraId="700315D3" w14:textId="77777777" w:rsidR="0057796E" w:rsidRPr="004611F8" w:rsidRDefault="0057796E" w:rsidP="0057796E">
      <w:r w:rsidRPr="004611F8">
        <w:t xml:space="preserve">Transport </w:t>
      </w:r>
      <w:r w:rsidRPr="00FC21D3">
        <w:rPr>
          <w:rStyle w:val="Emphasis"/>
        </w:rPr>
        <w:t>Talk</w:t>
      </w:r>
      <w:r w:rsidRPr="004611F8">
        <w:t xml:space="preserve"> is </w:t>
      </w:r>
      <w:r>
        <w:t>TMR's</w:t>
      </w:r>
      <w:r w:rsidRPr="004611F8">
        <w:t xml:space="preserve"> online </w:t>
      </w:r>
      <w:r>
        <w:t xml:space="preserve">customer research </w:t>
      </w:r>
      <w:r w:rsidRPr="004611F8">
        <w:t>community</w:t>
      </w:r>
      <w:r>
        <w:t>. It</w:t>
      </w:r>
      <w:r w:rsidRPr="004611F8">
        <w:t xml:space="preserve"> enables customers help shape the direction of Queensland's transport future</w:t>
      </w:r>
      <w:r>
        <w:t xml:space="preserve"> by sharing their views and insights</w:t>
      </w:r>
      <w:r w:rsidRPr="004611F8">
        <w:t>.</w:t>
      </w:r>
    </w:p>
    <w:p w14:paraId="41693D88" w14:textId="77777777" w:rsidR="0057796E" w:rsidRPr="004611F8" w:rsidRDefault="0057796E" w:rsidP="0057796E">
      <w:r>
        <w:t xml:space="preserve">In the last year, </w:t>
      </w:r>
      <w:r w:rsidRPr="004611F8">
        <w:t xml:space="preserve">Transport </w:t>
      </w:r>
      <w:r w:rsidRPr="008D256F">
        <w:rPr>
          <w:rStyle w:val="Emphasis"/>
        </w:rPr>
        <w:t>Talk</w:t>
      </w:r>
      <w:r w:rsidRPr="004611F8">
        <w:t xml:space="preserve"> members have shared their views </w:t>
      </w:r>
      <w:r>
        <w:t xml:space="preserve">and insights </w:t>
      </w:r>
      <w:r w:rsidRPr="004611F8">
        <w:t xml:space="preserve">on a range of transport </w:t>
      </w:r>
      <w:r>
        <w:t>topics, including the customer experience of:</w:t>
      </w:r>
      <w:r w:rsidRPr="004611F8">
        <w:t xml:space="preserve"> </w:t>
      </w:r>
    </w:p>
    <w:p w14:paraId="7D6A6A3C" w14:textId="77777777" w:rsidR="0057796E" w:rsidRPr="004611F8" w:rsidRDefault="0057796E" w:rsidP="0057796E">
      <w:pPr>
        <w:pStyle w:val="ListBullet"/>
      </w:pPr>
      <w:r w:rsidRPr="004611F8">
        <w:t>interacting with TMR via digital channels</w:t>
      </w:r>
    </w:p>
    <w:p w14:paraId="767A8C36" w14:textId="77777777" w:rsidR="0057796E" w:rsidRPr="004611F8" w:rsidRDefault="0057796E" w:rsidP="0057796E">
      <w:pPr>
        <w:pStyle w:val="ListBullet"/>
      </w:pPr>
      <w:r w:rsidRPr="004611F8">
        <w:t xml:space="preserve">electronic signage on motorways </w:t>
      </w:r>
    </w:p>
    <w:p w14:paraId="5661DCBE" w14:textId="77777777" w:rsidR="0057796E" w:rsidRPr="004611F8" w:rsidRDefault="0057796E" w:rsidP="0057796E">
      <w:pPr>
        <w:pStyle w:val="ListBullet"/>
      </w:pPr>
      <w:r w:rsidRPr="004611F8">
        <w:t xml:space="preserve">shared </w:t>
      </w:r>
      <w:r>
        <w:t xml:space="preserve">bikeways and </w:t>
      </w:r>
      <w:r w:rsidRPr="004611F8">
        <w:t xml:space="preserve">pathways </w:t>
      </w:r>
    </w:p>
    <w:p w14:paraId="035E38DF" w14:textId="77777777" w:rsidR="0057796E" w:rsidRPr="0035396F" w:rsidRDefault="0057796E" w:rsidP="0057796E">
      <w:pPr>
        <w:pStyle w:val="ListBullet"/>
      </w:pPr>
      <w:r>
        <w:t xml:space="preserve">zero emissions vehicles </w:t>
      </w:r>
    </w:p>
    <w:p w14:paraId="50B8804D" w14:textId="77777777" w:rsidR="0057796E" w:rsidRPr="004611F8" w:rsidRDefault="0057796E" w:rsidP="0057796E">
      <w:pPr>
        <w:pStyle w:val="ListBullet"/>
      </w:pPr>
      <w:r>
        <w:t>d</w:t>
      </w:r>
      <w:r w:rsidRPr="004611F8">
        <w:t>emand responsive transport services</w:t>
      </w:r>
      <w:r>
        <w:t>.</w:t>
      </w:r>
    </w:p>
    <w:p w14:paraId="511EFA24" w14:textId="77777777" w:rsidR="0057796E" w:rsidRDefault="0057796E" w:rsidP="0057796E">
      <w:r>
        <w:t xml:space="preserve">Through </w:t>
      </w:r>
      <w:r w:rsidRPr="004611F8">
        <w:t xml:space="preserve">Transport </w:t>
      </w:r>
      <w:r w:rsidRPr="008D256F">
        <w:rPr>
          <w:rStyle w:val="Emphasis"/>
        </w:rPr>
        <w:t>Talk</w:t>
      </w:r>
      <w:r>
        <w:rPr>
          <w:rStyle w:val="Emphasis"/>
        </w:rPr>
        <w:t>,</w:t>
      </w:r>
      <w:r w:rsidRPr="004611F8">
        <w:t xml:space="preserve"> </w:t>
      </w:r>
      <w:r>
        <w:t xml:space="preserve">TMR maintains a research community of approximately 6000 members from across Queensland. This </w:t>
      </w:r>
      <w:r w:rsidRPr="004611F8">
        <w:t xml:space="preserve">continues to help </w:t>
      </w:r>
      <w:r>
        <w:t>TMR</w:t>
      </w:r>
      <w:r w:rsidRPr="004611F8">
        <w:t xml:space="preserve"> to understand and respond to customer needs and expectations, now and well into the future</w:t>
      </w:r>
      <w:r>
        <w:t>.</w:t>
      </w:r>
    </w:p>
    <w:p w14:paraId="2C6F0DB2" w14:textId="77777777" w:rsidR="0057796E" w:rsidRPr="00EA77D9" w:rsidRDefault="0057796E" w:rsidP="0057796E">
      <w:pPr>
        <w:pStyle w:val="ForMoreInformation"/>
        <w:rPr>
          <w:rStyle w:val="Hyperlink"/>
        </w:rPr>
      </w:pPr>
      <w:r w:rsidRPr="00EA77D9">
        <w:t>For more information</w:t>
      </w:r>
      <w:r>
        <w:br/>
      </w:r>
      <w:r w:rsidRPr="00EA77D9">
        <w:rPr>
          <w:rStyle w:val="Hyperlink"/>
        </w:rPr>
        <w:t>https://www.tmr.qld.gov.au/transportTalk</w:t>
      </w:r>
    </w:p>
    <w:p w14:paraId="3B6D3E9B" w14:textId="7DB92721" w:rsidR="0057796E" w:rsidRPr="00AF6BC8" w:rsidRDefault="0057796E" w:rsidP="0057796E">
      <w:pPr>
        <w:pStyle w:val="Heading3"/>
      </w:pPr>
      <w:r w:rsidRPr="0088514E">
        <w:t>QLD</w:t>
      </w:r>
      <w:r w:rsidRPr="0088514E">
        <w:rPr>
          <w:rStyle w:val="Emphasis"/>
        </w:rPr>
        <w:t>Traffic</w:t>
      </w:r>
      <w:r w:rsidRPr="0088514E">
        <w:t xml:space="preserve"> improvements</w:t>
      </w:r>
    </w:p>
    <w:p w14:paraId="69078B16" w14:textId="77777777" w:rsidR="0057796E" w:rsidRDefault="0057796E" w:rsidP="0057796E">
      <w:r w:rsidRPr="008A0CA5">
        <w:t xml:space="preserve">The </w:t>
      </w:r>
      <w:r w:rsidRPr="00353D41">
        <w:rPr>
          <w:rStyle w:val="Strong"/>
        </w:rPr>
        <w:t>QLD</w:t>
      </w:r>
      <w:r w:rsidRPr="008A0CA5">
        <w:rPr>
          <w:rStyle w:val="Emphasis"/>
        </w:rPr>
        <w:t>Traffic</w:t>
      </w:r>
      <w:r w:rsidRPr="008A0CA5">
        <w:t> suite of services continue</w:t>
      </w:r>
      <w:r>
        <w:t>d</w:t>
      </w:r>
      <w:r w:rsidRPr="008A0CA5">
        <w:t xml:space="preserve"> to expand during 2022–23 to provide trave</w:t>
      </w:r>
      <w:r>
        <w:t>l</w:t>
      </w:r>
      <w:r w:rsidRPr="008A0CA5">
        <w:t xml:space="preserve">lers in Queensland with up-to-date traffic and road condition information, </w:t>
      </w:r>
      <w:r>
        <w:t xml:space="preserve">providing </w:t>
      </w:r>
      <w:r w:rsidRPr="008A0CA5">
        <w:t>informed journey decisions.</w:t>
      </w:r>
    </w:p>
    <w:p w14:paraId="616FAF78" w14:textId="77777777" w:rsidR="0057796E" w:rsidRPr="0088514E" w:rsidRDefault="0057796E" w:rsidP="0057796E">
      <w:bookmarkStart w:id="21" w:name="_Hlk128388366"/>
      <w:r w:rsidRPr="00353D41">
        <w:rPr>
          <w:rStyle w:val="Strong"/>
        </w:rPr>
        <w:t>QLD</w:t>
      </w:r>
      <w:r w:rsidRPr="0088514E">
        <w:rPr>
          <w:rStyle w:val="Emphasis"/>
        </w:rPr>
        <w:t>Traffic</w:t>
      </w:r>
      <w:bookmarkEnd w:id="21"/>
      <w:r w:rsidRPr="0088514E">
        <w:rPr>
          <w:rStyle w:val="Emphasis"/>
        </w:rPr>
        <w:t>’s</w:t>
      </w:r>
      <w:r w:rsidRPr="0088514E">
        <w:t xml:space="preserve"> suite of services include:</w:t>
      </w:r>
    </w:p>
    <w:p w14:paraId="14AB7EB0" w14:textId="77777777" w:rsidR="0057796E" w:rsidRPr="0088514E" w:rsidRDefault="0057796E" w:rsidP="0057796E">
      <w:pPr>
        <w:pStyle w:val="ListBullet"/>
      </w:pPr>
      <w:r w:rsidRPr="00353D41">
        <w:rPr>
          <w:rStyle w:val="Strong"/>
        </w:rPr>
        <w:t>QLD</w:t>
      </w:r>
      <w:r w:rsidRPr="0088514E">
        <w:rPr>
          <w:rStyle w:val="Emphasis"/>
        </w:rPr>
        <w:t>Traffic</w:t>
      </w:r>
      <w:r w:rsidRPr="0088514E">
        <w:t xml:space="preserve"> website</w:t>
      </w:r>
    </w:p>
    <w:p w14:paraId="1227F597" w14:textId="77777777" w:rsidR="0057796E" w:rsidRPr="0088514E" w:rsidRDefault="0057796E" w:rsidP="0057796E">
      <w:pPr>
        <w:pStyle w:val="ListBullet"/>
      </w:pPr>
      <w:r w:rsidRPr="0088514E">
        <w:t>iPhone and Android smartphone applications</w:t>
      </w:r>
    </w:p>
    <w:p w14:paraId="2205588E" w14:textId="77777777" w:rsidR="0057796E" w:rsidRPr="0088514E" w:rsidRDefault="0057796E" w:rsidP="0057796E">
      <w:pPr>
        <w:pStyle w:val="ListBullet"/>
      </w:pPr>
      <w:r w:rsidRPr="0088514E">
        <w:t>13 19 40 phone service</w:t>
      </w:r>
    </w:p>
    <w:p w14:paraId="422309FD" w14:textId="77777777" w:rsidR="0057796E" w:rsidRPr="0088514E" w:rsidRDefault="0057796E" w:rsidP="0057796E">
      <w:pPr>
        <w:pStyle w:val="ListBullet"/>
      </w:pPr>
      <w:r w:rsidRPr="0088514E">
        <w:t>open data feeds.</w:t>
      </w:r>
    </w:p>
    <w:p w14:paraId="554316E9" w14:textId="77777777" w:rsidR="0057796E" w:rsidRPr="0088514E" w:rsidRDefault="0057796E" w:rsidP="0057796E">
      <w:r w:rsidRPr="0088514E">
        <w:t>Key improvements delivered during 202</w:t>
      </w:r>
      <w:r>
        <w:t>2</w:t>
      </w:r>
      <w:r w:rsidRPr="0088514E">
        <w:t>–2</w:t>
      </w:r>
      <w:r>
        <w:t>3</w:t>
      </w:r>
      <w:r w:rsidRPr="0088514E">
        <w:t xml:space="preserve"> included:</w:t>
      </w:r>
    </w:p>
    <w:p w14:paraId="09D2C6FC" w14:textId="77777777" w:rsidR="0057796E" w:rsidRDefault="0057796E" w:rsidP="0057796E">
      <w:pPr>
        <w:pStyle w:val="ListBullet"/>
      </w:pPr>
      <w:r>
        <w:t>increased website useability, including automatic refresh and targeted loading of events to increase page performance</w:t>
      </w:r>
    </w:p>
    <w:p w14:paraId="762858F5" w14:textId="77777777" w:rsidR="0057796E" w:rsidRPr="009423EB" w:rsidRDefault="0057796E" w:rsidP="0057796E">
      <w:pPr>
        <w:pStyle w:val="ListBullet"/>
      </w:pPr>
      <w:r w:rsidRPr="009423EB">
        <w:t xml:space="preserve">making flood camera images available to the public through the </w:t>
      </w:r>
      <w:r w:rsidRPr="00ED2E27">
        <w:rPr>
          <w:rStyle w:val="Strong"/>
        </w:rPr>
        <w:t>QLD</w:t>
      </w:r>
      <w:r w:rsidRPr="00B71FD9">
        <w:rPr>
          <w:rStyle w:val="Emphasis"/>
        </w:rPr>
        <w:t>Traffic</w:t>
      </w:r>
      <w:r w:rsidRPr="009423EB">
        <w:t xml:space="preserve"> website</w:t>
      </w:r>
    </w:p>
    <w:p w14:paraId="04E99DAD" w14:textId="77777777" w:rsidR="0057796E" w:rsidRPr="009423EB" w:rsidRDefault="0057796E" w:rsidP="0057796E">
      <w:pPr>
        <w:pStyle w:val="ListBullet"/>
      </w:pPr>
      <w:r w:rsidRPr="009423EB">
        <w:t>ongoing refinement of the 'Roads Lookup' function, helping members of the public identify appropriate contacts to report issues for specific roads</w:t>
      </w:r>
    </w:p>
    <w:p w14:paraId="1152B444" w14:textId="77777777" w:rsidR="0057796E" w:rsidRPr="0088514E" w:rsidRDefault="0057796E" w:rsidP="0057796E">
      <w:pPr>
        <w:pStyle w:val="ListBullet"/>
      </w:pPr>
      <w:r>
        <w:t>expanding</w:t>
      </w:r>
      <w:r w:rsidRPr="009423EB">
        <w:t xml:space="preserve"> data from local government sources on </w:t>
      </w:r>
      <w:r w:rsidRPr="00ED2E27">
        <w:rPr>
          <w:rStyle w:val="Strong"/>
        </w:rPr>
        <w:t>QLD</w:t>
      </w:r>
      <w:r w:rsidRPr="002D52F4">
        <w:rPr>
          <w:rStyle w:val="Emphasis"/>
        </w:rPr>
        <w:t xml:space="preserve">Traffic </w:t>
      </w:r>
      <w:r w:rsidRPr="009423EB">
        <w:t>to provide a single source of truth for the transport network</w:t>
      </w:r>
      <w:r>
        <w:t>.</w:t>
      </w:r>
    </w:p>
    <w:p w14:paraId="2CDA53F2" w14:textId="77777777" w:rsidR="0057796E" w:rsidRPr="00540BBC" w:rsidRDefault="0057796E" w:rsidP="0057796E">
      <w:r w:rsidRPr="008A0CA5">
        <w:lastRenderedPageBreak/>
        <w:t xml:space="preserve">The service </w:t>
      </w:r>
      <w:r>
        <w:t xml:space="preserve">usage </w:t>
      </w:r>
      <w:r w:rsidRPr="008A0CA5">
        <w:t>continue</w:t>
      </w:r>
      <w:r>
        <w:t>s</w:t>
      </w:r>
      <w:r w:rsidRPr="008A0CA5">
        <w:t xml:space="preserve"> to </w:t>
      </w:r>
      <w:r>
        <w:t>grow especially at times of significant weather events</w:t>
      </w:r>
      <w:r w:rsidRPr="008A0CA5">
        <w:t>. During 2022</w:t>
      </w:r>
      <w:r>
        <w:t>–</w:t>
      </w:r>
      <w:r w:rsidRPr="008A0CA5">
        <w:t>23</w:t>
      </w:r>
      <w:r>
        <w:t>.</w:t>
      </w:r>
      <w:r w:rsidRPr="008A0CA5">
        <w:t xml:space="preserve"> </w:t>
      </w:r>
      <w:r>
        <w:t>T</w:t>
      </w:r>
      <w:r w:rsidRPr="008A0CA5">
        <w:t xml:space="preserve">he </w:t>
      </w:r>
      <w:r w:rsidRPr="00280048">
        <w:rPr>
          <w:rStyle w:val="Strong"/>
        </w:rPr>
        <w:t>QLD</w:t>
      </w:r>
      <w:r w:rsidRPr="00A15C49">
        <w:rPr>
          <w:rStyle w:val="Emphasis"/>
        </w:rPr>
        <w:t>Traffic</w:t>
      </w:r>
      <w:r w:rsidRPr="008A0CA5">
        <w:t xml:space="preserve"> application was downloaded over 46,000 times, the </w:t>
      </w:r>
      <w:r w:rsidRPr="00353D41">
        <w:rPr>
          <w:rStyle w:val="Strong"/>
        </w:rPr>
        <w:t>QLD</w:t>
      </w:r>
      <w:r w:rsidRPr="00A15C49">
        <w:rPr>
          <w:rStyle w:val="Emphasis"/>
        </w:rPr>
        <w:t>Traffic</w:t>
      </w:r>
      <w:r w:rsidRPr="008A0CA5">
        <w:t xml:space="preserve"> </w:t>
      </w:r>
      <w:r>
        <w:t>w</w:t>
      </w:r>
      <w:r w:rsidRPr="008A0CA5">
        <w:t>ebsite was accessed nearly 1.5 million times, and more than 100,000 phone calls to the 13 19 40 phone service</w:t>
      </w:r>
      <w:r>
        <w:t xml:space="preserve"> were made</w:t>
      </w:r>
      <w:r w:rsidRPr="008A0CA5">
        <w:t>, mainly driven by the January 2023 wet weather event</w:t>
      </w:r>
      <w:r>
        <w:t>.</w:t>
      </w:r>
      <w:r w:rsidRPr="008A0CA5">
        <w:t xml:space="preserve"> </w:t>
      </w:r>
      <w:r w:rsidRPr="00ED2E27">
        <w:rPr>
          <w:rStyle w:val="Strong"/>
        </w:rPr>
        <w:t>QLD</w:t>
      </w:r>
      <w:r w:rsidRPr="00A15C49">
        <w:rPr>
          <w:rStyle w:val="Emphasis"/>
        </w:rPr>
        <w:t>Traffic</w:t>
      </w:r>
      <w:r w:rsidRPr="008A0CA5">
        <w:t> </w:t>
      </w:r>
      <w:r>
        <w:t>was</w:t>
      </w:r>
      <w:r w:rsidRPr="008A0CA5">
        <w:t xml:space="preserve"> a key critical source of information on road condition information.</w:t>
      </w:r>
    </w:p>
    <w:p w14:paraId="4ED32A14" w14:textId="77777777" w:rsidR="0057796E" w:rsidRDefault="0057796E" w:rsidP="0057796E">
      <w:r w:rsidRPr="00ED2E27">
        <w:rPr>
          <w:rStyle w:val="Strong"/>
        </w:rPr>
        <w:t>QLD</w:t>
      </w:r>
      <w:r w:rsidRPr="00A15C49">
        <w:rPr>
          <w:rStyle w:val="Emphasis"/>
        </w:rPr>
        <w:t>Traffic</w:t>
      </w:r>
      <w:r w:rsidRPr="0088514E">
        <w:t xml:space="preserve"> published more than </w:t>
      </w:r>
      <w:r>
        <w:t xml:space="preserve">23,000 </w:t>
      </w:r>
      <w:r w:rsidRPr="0088514E">
        <w:t xml:space="preserve">tweets. </w:t>
      </w:r>
      <w:r>
        <w:t>Customer</w:t>
      </w:r>
      <w:r w:rsidRPr="0088514E">
        <w:t xml:space="preserve"> engagement through </w:t>
      </w:r>
      <w:bookmarkStart w:id="22" w:name="_Hlk130306816"/>
      <w:r w:rsidRPr="00ED2E27">
        <w:rPr>
          <w:rStyle w:val="Strong"/>
        </w:rPr>
        <w:t>QLD</w:t>
      </w:r>
      <w:r w:rsidRPr="00A15C49">
        <w:rPr>
          <w:rStyle w:val="Emphasis"/>
        </w:rPr>
        <w:t>Traffic</w:t>
      </w:r>
      <w:bookmarkEnd w:id="22"/>
      <w:r w:rsidRPr="0088514E">
        <w:t xml:space="preserve"> twitter is</w:t>
      </w:r>
      <w:r>
        <w:t xml:space="preserve"> </w:t>
      </w:r>
      <w:r w:rsidRPr="0088514E">
        <w:t>consistently high, indicating that this is a valuable service for</w:t>
      </w:r>
      <w:r>
        <w:t xml:space="preserve"> </w:t>
      </w:r>
      <w:r w:rsidRPr="0088514E">
        <w:t>many Queenslanders</w:t>
      </w:r>
      <w:r>
        <w:t xml:space="preserve">. </w:t>
      </w:r>
    </w:p>
    <w:p w14:paraId="16021FD4" w14:textId="77777777" w:rsidR="0057796E" w:rsidRPr="00CA3578" w:rsidRDefault="0057796E" w:rsidP="0057796E">
      <w:pPr>
        <w:pStyle w:val="Heading3"/>
      </w:pPr>
      <w:r>
        <w:t xml:space="preserve">School Bus Upgrade Scheme </w:t>
      </w:r>
    </w:p>
    <w:p w14:paraId="6A8BC455" w14:textId="77777777" w:rsidR="0057796E" w:rsidRPr="00FA7749" w:rsidRDefault="0057796E" w:rsidP="0057796E">
      <w:r w:rsidRPr="00FA7749">
        <w:t>In 2022–23, TMR contributed approximately $11.4 million to the purchase of 50 school buses and one seatbelt upgrade through the School Bus Upgrade Scheme (SchoolBUS).</w:t>
      </w:r>
    </w:p>
    <w:p w14:paraId="0EF7D330" w14:textId="77777777" w:rsidR="0057796E" w:rsidRPr="00FA7749" w:rsidRDefault="0057796E" w:rsidP="0057796E">
      <w:r w:rsidRPr="00FA7749">
        <w:t>SchoolBUS provided capital funding to assist contracted school bus operators to replace their fleet with buses that meet the latest safety standards. This ensured increased safety for Queensland students travelling to and from school on contracted services.</w:t>
      </w:r>
    </w:p>
    <w:p w14:paraId="546D97E7" w14:textId="77777777" w:rsidR="0057796E" w:rsidRPr="003F7D9D" w:rsidRDefault="0057796E" w:rsidP="0057796E">
      <w:pPr>
        <w:pStyle w:val="ForMoreInformation"/>
      </w:pPr>
      <w:r w:rsidRPr="003F7D9D">
        <w:t>For more information</w:t>
      </w:r>
      <w:r>
        <w:br/>
      </w:r>
      <w:hyperlink r:id="rId55" w:history="1">
        <w:r w:rsidRPr="00B64006">
          <w:rPr>
            <w:rStyle w:val="Hyperlink"/>
          </w:rPr>
          <w:t>https://www.tmr.qld.gov.au/Travel-and-transport/School-transport/Assistance-schemes/School-Bus-Upgrade-Scheme.aspx</w:t>
        </w:r>
      </w:hyperlink>
    </w:p>
    <w:p w14:paraId="0B694CFE" w14:textId="78A13DFB" w:rsidR="0057796E" w:rsidRDefault="0057796E" w:rsidP="0057796E">
      <w:pPr>
        <w:pStyle w:val="Heading3"/>
      </w:pPr>
      <w:r w:rsidRPr="003450D6">
        <w:t xml:space="preserve">Case </w:t>
      </w:r>
      <w:r w:rsidR="004F068F">
        <w:t>s</w:t>
      </w:r>
      <w:r w:rsidRPr="003450D6">
        <w:t>tudy</w:t>
      </w:r>
      <w:r w:rsidR="004F068F">
        <w:t xml:space="preserve"> s</w:t>
      </w:r>
      <w:r>
        <w:t>uccessful pilot for school ticketing</w:t>
      </w:r>
    </w:p>
    <w:p w14:paraId="61BB581B" w14:textId="77777777" w:rsidR="0057796E" w:rsidRPr="008341B1" w:rsidRDefault="0057796E" w:rsidP="0057796E">
      <w:r w:rsidRPr="002A75D8">
        <w:t xml:space="preserve">The </w:t>
      </w:r>
      <w:r>
        <w:t>s</w:t>
      </w:r>
      <w:r w:rsidRPr="002A75D8">
        <w:t xml:space="preserve">chool </w:t>
      </w:r>
      <w:r>
        <w:t>t</w:t>
      </w:r>
      <w:r w:rsidRPr="002A75D8">
        <w:t xml:space="preserve">icketing </w:t>
      </w:r>
      <w:r w:rsidRPr="008341B1">
        <w:t>and tracking solution project has delivered a successful pilot across a small group of delivery partners located in South East Queensland, with the business owners immediately seeing the benefits of improved data and reporting capabilities.</w:t>
      </w:r>
    </w:p>
    <w:p w14:paraId="6B2FE79C" w14:textId="77777777" w:rsidR="0057796E" w:rsidRPr="008341B1" w:rsidRDefault="0057796E" w:rsidP="0057796E">
      <w:r w:rsidRPr="008341B1">
        <w:t>The solution has been running smoothly across nine buses, handling over 15,000 transactions a month with approximately 300 passengers.</w:t>
      </w:r>
    </w:p>
    <w:p w14:paraId="27D549C7" w14:textId="77777777" w:rsidR="0057796E" w:rsidRDefault="0057796E" w:rsidP="0057796E">
      <w:r>
        <w:t xml:space="preserve">The pilot worked with the delivery partners to test all hardware and software solution features and functions, confirmed operator and driving training was effective and repeatable, and included the review of the suitability of equipment installation processes.  </w:t>
      </w:r>
    </w:p>
    <w:p w14:paraId="3C7C25BE" w14:textId="77777777" w:rsidR="0057796E" w:rsidRPr="008341B1" w:rsidRDefault="0057796E" w:rsidP="0057796E">
      <w:r w:rsidRPr="008341B1">
        <w:t xml:space="preserve">The statewide deployment will include approximately </w:t>
      </w:r>
      <w:r>
        <w:t>350</w:t>
      </w:r>
      <w:r w:rsidRPr="008341B1">
        <w:t xml:space="preserve"> delivery partners across 1100 buses with a mixture of 100,000 </w:t>
      </w:r>
      <w:r>
        <w:t>School Transport Assistance Scheme (</w:t>
      </w:r>
      <w:r w:rsidRPr="008341B1">
        <w:t>STAS</w:t>
      </w:r>
      <w:r>
        <w:t>)</w:t>
      </w:r>
      <w:r w:rsidRPr="008341B1">
        <w:t xml:space="preserve"> and non-STAS passengers.</w:t>
      </w:r>
    </w:p>
    <w:p w14:paraId="01C0CAAF" w14:textId="77777777" w:rsidR="0057796E" w:rsidRDefault="0057796E" w:rsidP="0057796E">
      <w:r w:rsidRPr="008341B1">
        <w:t>To prepare for the deployment of the solution, the project team is commen</w:t>
      </w:r>
      <w:r w:rsidRPr="002A75D8">
        <w:t>cing a significant program of engagement with school delivery partners and regional offices.</w:t>
      </w:r>
    </w:p>
    <w:p w14:paraId="5C2C5B30" w14:textId="77777777" w:rsidR="0057796E" w:rsidRPr="00DC1A33" w:rsidRDefault="0057796E" w:rsidP="0057796E">
      <w:pPr>
        <w:pStyle w:val="Heading3"/>
      </w:pPr>
      <w:r>
        <w:t>Taxi Subsidy Scheme</w:t>
      </w:r>
    </w:p>
    <w:p w14:paraId="2CB32273" w14:textId="77777777" w:rsidR="0057796E" w:rsidRDefault="0057796E" w:rsidP="0057796E">
      <w:r>
        <w:t>The Taxi Subsidy Scheme is an initiative designed to provide an affordable and accessible transport option for people with severe disability, and includes a subsidy paid by the Queensland Government of half the total taxi fare, up to a maximum of $30 per trip, and access to subsidised taxi travel in other Australian states and territories.</w:t>
      </w:r>
    </w:p>
    <w:p w14:paraId="6F3D505E" w14:textId="77777777" w:rsidR="0057796E" w:rsidRDefault="0057796E" w:rsidP="0057796E">
      <w:r>
        <w:t>In 2022–23, the scheme assisted 48,058 Queenslanders to access more affordable taxi travel. During 2022–23, 1,285,114 subsidised taxi trips were taken by Taxi Subsidy Scheme members, with subsidies of more than $12.6 million (ex GST) paid. As at 30 June 2023, TMR paid an average subsidy of $9.86 (ex GST) per trip.</w:t>
      </w:r>
    </w:p>
    <w:p w14:paraId="1E412800" w14:textId="77777777" w:rsidR="0057796E" w:rsidRDefault="0057796E" w:rsidP="0057796E">
      <w:r>
        <w:t>The Queensland Government also allocated $8.1 million to the lift payments incentive for drivers of Wheelchair Accessible Taxis (WAT) to prioritise services to members identified as requiring a wheelchair to travel. This lift payment incentive is paid in addition to the Taxi Subsidy Scheme payment. 362,444 trips attracted the lift payment incentive to WAT drivers.</w:t>
      </w:r>
    </w:p>
    <w:p w14:paraId="44A85999" w14:textId="77777777" w:rsidR="0057796E" w:rsidRDefault="0057796E" w:rsidP="0057796E">
      <w:pPr>
        <w:pStyle w:val="ForMoreInformation"/>
      </w:pPr>
      <w:r>
        <w:t>For more information</w:t>
      </w:r>
      <w:r>
        <w:br/>
      </w:r>
      <w:hyperlink r:id="rId56" w:history="1">
        <w:r w:rsidRPr="00022E20">
          <w:rPr>
            <w:rStyle w:val="Hyperlink"/>
          </w:rPr>
          <w:t>https://www.qld.gov.au/disability/out-and-about/subsidies-concessions-passes/taxi-subsidy</w:t>
        </w:r>
      </w:hyperlink>
    </w:p>
    <w:p w14:paraId="09821502" w14:textId="77777777" w:rsidR="0057796E" w:rsidRPr="00DC1A33" w:rsidRDefault="0057796E" w:rsidP="0057796E">
      <w:pPr>
        <w:pStyle w:val="Heading3"/>
      </w:pPr>
      <w:r>
        <w:lastRenderedPageBreak/>
        <w:t>Creating better connections for Queenslanders</w:t>
      </w:r>
    </w:p>
    <w:p w14:paraId="5E6C99B5" w14:textId="77777777" w:rsidR="0057796E" w:rsidRPr="00D77735" w:rsidRDefault="0057796E" w:rsidP="0057796E">
      <w:r w:rsidRPr="00D77735">
        <w:t xml:space="preserve">As </w:t>
      </w:r>
      <w:r>
        <w:t>Queensland's</w:t>
      </w:r>
      <w:r w:rsidRPr="00D77735">
        <w:t xml:space="preserve"> population continues to grow through interstate migration, and preparations to host the Brisbane 2032 Olympic and Paralympic Games</w:t>
      </w:r>
      <w:r>
        <w:t xml:space="preserve"> continue, building and</w:t>
      </w:r>
      <w:r w:rsidRPr="00D77735">
        <w:t xml:space="preserve"> planning a reliable, safe, and accessible passenger transport system across the state is critical.</w:t>
      </w:r>
    </w:p>
    <w:p w14:paraId="0751A680" w14:textId="77777777" w:rsidR="0057796E" w:rsidRPr="00D77735" w:rsidRDefault="0057796E" w:rsidP="0057796E">
      <w:r w:rsidRPr="00493E23">
        <w:rPr>
          <w:rStyle w:val="Emphasis"/>
        </w:rPr>
        <w:t>Creating Better Connections for Queenslanders</w:t>
      </w:r>
      <w:r w:rsidRPr="00D77735">
        <w:t xml:space="preserve"> </w:t>
      </w:r>
      <w:r>
        <w:t xml:space="preserve">was released in August 2022 and </w:t>
      </w:r>
      <w:r w:rsidRPr="00D77735">
        <w:t>details TMR's vision for the future of passenger transport, and its commitment to deliver a transport network that meets the needs of our customers.</w:t>
      </w:r>
    </w:p>
    <w:p w14:paraId="626D25A2" w14:textId="77777777" w:rsidR="0057796E" w:rsidRPr="00D77735" w:rsidRDefault="0057796E" w:rsidP="0057796E">
      <w:r w:rsidRPr="00D77735">
        <w:t>With infrastructure projects like Cross River Rail transforming Brisbane, Smart Ticketing delivering a world-class ticketing system across the state, and emerging technologies changing the way our services are delivered to customers, the 10</w:t>
      </w:r>
      <w:r>
        <w:t xml:space="preserve"> </w:t>
      </w:r>
      <w:r w:rsidRPr="00D77735">
        <w:t xml:space="preserve">year plan will help leverage the opportunities these changes will create to deliver an exciting passenger transport future for </w:t>
      </w:r>
      <w:r>
        <w:t>Queenslanders</w:t>
      </w:r>
      <w:r w:rsidRPr="00D77735">
        <w:t>.</w:t>
      </w:r>
    </w:p>
    <w:p w14:paraId="1049AD58" w14:textId="77777777" w:rsidR="0057796E" w:rsidRDefault="0057796E" w:rsidP="0057796E">
      <w:r w:rsidRPr="00D77735">
        <w:t>Aligned to TMR</w:t>
      </w:r>
      <w:r>
        <w:t>'s</w:t>
      </w:r>
      <w:r w:rsidRPr="00D77735">
        <w:t xml:space="preserve"> 30-year-vision set by the </w:t>
      </w:r>
      <w:r w:rsidRPr="0068608E">
        <w:rPr>
          <w:rStyle w:val="Emphasis"/>
        </w:rPr>
        <w:t>Queensland Transport Strategy</w:t>
      </w:r>
      <w:r w:rsidRPr="00D77735">
        <w:t xml:space="preserve">, Creating Better Connections for Queenslanders was developed in collaboration with key stakeholders including </w:t>
      </w:r>
      <w:r>
        <w:t xml:space="preserve">customers, </w:t>
      </w:r>
      <w:r w:rsidRPr="00D77735">
        <w:t xml:space="preserve">local councils, delivery partners, </w:t>
      </w:r>
      <w:r>
        <w:t xml:space="preserve">transport advocates, and the </w:t>
      </w:r>
      <w:r w:rsidRPr="00D77735">
        <w:t>Local Government Association of Queensland.</w:t>
      </w:r>
    </w:p>
    <w:p w14:paraId="758BB540" w14:textId="77777777" w:rsidR="0057796E" w:rsidRDefault="0057796E" w:rsidP="0057796E">
      <w:r w:rsidRPr="00D77735">
        <w:t>The plan identifies five key priorities and 20 initiatives for the next 10 years</w:t>
      </w:r>
      <w:r>
        <w:t>. The five key priorities</w:t>
      </w:r>
      <w:r w:rsidRPr="00D77735">
        <w:t xml:space="preserve"> </w:t>
      </w:r>
      <w:r>
        <w:t xml:space="preserve">of the plan </w:t>
      </w:r>
      <w:r w:rsidRPr="00D77735">
        <w:t>will ensure passenger transport in Queensland remains</w:t>
      </w:r>
      <w:r>
        <w:t xml:space="preserve">. The key priorities are: </w:t>
      </w:r>
    </w:p>
    <w:p w14:paraId="0BB53F81" w14:textId="77777777" w:rsidR="0057796E" w:rsidRDefault="0057796E" w:rsidP="0057796E">
      <w:pPr>
        <w:pStyle w:val="ListBullet"/>
      </w:pPr>
      <w:r>
        <w:t>r</w:t>
      </w:r>
      <w:r w:rsidRPr="00D77735">
        <w:t>eliable</w:t>
      </w:r>
      <w:r>
        <w:t xml:space="preserve"> and safe services</w:t>
      </w:r>
    </w:p>
    <w:p w14:paraId="4351F707" w14:textId="77777777" w:rsidR="0057796E" w:rsidRDefault="0057796E" w:rsidP="0057796E">
      <w:pPr>
        <w:pStyle w:val="ListBullet"/>
      </w:pPr>
      <w:r>
        <w:t>responsive to changing the community needs</w:t>
      </w:r>
    </w:p>
    <w:p w14:paraId="3A7EA61A" w14:textId="77777777" w:rsidR="0057796E" w:rsidRDefault="0057796E" w:rsidP="0057796E">
      <w:pPr>
        <w:pStyle w:val="ListBullet"/>
      </w:pPr>
      <w:r>
        <w:t>seamless end to end journeys</w:t>
      </w:r>
    </w:p>
    <w:p w14:paraId="27B71621" w14:textId="77777777" w:rsidR="0057796E" w:rsidRDefault="0057796E" w:rsidP="0057796E">
      <w:pPr>
        <w:pStyle w:val="ListBullet"/>
      </w:pPr>
      <w:r>
        <w:t>easy and accessible</w:t>
      </w:r>
    </w:p>
    <w:p w14:paraId="35D8ABEF" w14:textId="77777777" w:rsidR="0057796E" w:rsidRDefault="0057796E" w:rsidP="0057796E">
      <w:pPr>
        <w:pStyle w:val="ListBullet"/>
      </w:pPr>
      <w:r>
        <w:t>environmentally sustainable.</w:t>
      </w:r>
    </w:p>
    <w:p w14:paraId="5448AF4A" w14:textId="77777777" w:rsidR="0057796E" w:rsidRDefault="0057796E" w:rsidP="0057796E">
      <w:pPr>
        <w:pStyle w:val="ForMoreInformation"/>
        <w:rPr>
          <w:rStyle w:val="Hyperlink"/>
        </w:rPr>
      </w:pPr>
      <w:r w:rsidRPr="00D83017">
        <w:t>For more informatio</w:t>
      </w:r>
      <w:r>
        <w:t>n</w:t>
      </w:r>
      <w:r>
        <w:br/>
      </w:r>
      <w:hyperlink r:id="rId57" w:history="1">
        <w:r w:rsidRPr="0039625D">
          <w:rPr>
            <w:rStyle w:val="Hyperlink"/>
          </w:rPr>
          <w:t>https://www.translink.com.au/about-translink/projects-and-initiatives/creating-better-connections</w:t>
        </w:r>
      </w:hyperlink>
    </w:p>
    <w:p w14:paraId="03797DF5" w14:textId="77777777" w:rsidR="0057796E" w:rsidRPr="00DC1A33" w:rsidRDefault="0057796E" w:rsidP="0057796E">
      <w:pPr>
        <w:pStyle w:val="Heading3"/>
      </w:pPr>
      <w:r>
        <w:t>Smart ticketing</w:t>
      </w:r>
    </w:p>
    <w:p w14:paraId="66E1CBD6" w14:textId="77777777" w:rsidR="0057796E" w:rsidRDefault="0057796E" w:rsidP="0057796E">
      <w:r>
        <w:t xml:space="preserve">The rollout of </w:t>
      </w:r>
      <w:r w:rsidRPr="00CB33D5">
        <w:t xml:space="preserve">Smart </w:t>
      </w:r>
      <w:r>
        <w:t>t</w:t>
      </w:r>
      <w:r w:rsidRPr="00CB33D5">
        <w:t>icketing tests and trials continued to be progressed during 202</w:t>
      </w:r>
      <w:r>
        <w:t>2</w:t>
      </w:r>
      <w:r w:rsidRPr="00CB33D5">
        <w:t>–2</w:t>
      </w:r>
      <w:r>
        <w:t>3</w:t>
      </w:r>
      <w:r w:rsidRPr="00CB33D5">
        <w:t>. The pro</w:t>
      </w:r>
      <w:r>
        <w:t>duct</w:t>
      </w:r>
      <w:r w:rsidRPr="00CB33D5">
        <w:t xml:space="preserve"> is responding to customer needs, by providing more choice in how TMR’s customers plan and pay for their public transport journeys.</w:t>
      </w:r>
    </w:p>
    <w:p w14:paraId="7F55B48B" w14:textId="77777777" w:rsidR="0057796E" w:rsidRPr="00CB33D5" w:rsidRDefault="0057796E" w:rsidP="0057796E">
      <w:r w:rsidRPr="00CB33D5">
        <w:t xml:space="preserve">In addition to </w:t>
      </w:r>
      <w:r w:rsidRPr="00F3719C">
        <w:rPr>
          <w:rStyle w:val="Emphasis"/>
        </w:rPr>
        <w:t>go</w:t>
      </w:r>
      <w:r w:rsidRPr="00CB33D5">
        <w:t xml:space="preserve"> card and cash, customers will be able to pay using their contactless Visa, Mastercard</w:t>
      </w:r>
      <w:r>
        <w:t>,</w:t>
      </w:r>
      <w:r w:rsidRPr="00CB33D5">
        <w:t xml:space="preserve"> and American Express debit and credit cards, </w:t>
      </w:r>
      <w:r>
        <w:t xml:space="preserve">including cards in the digital wallet of their </w:t>
      </w:r>
      <w:r w:rsidRPr="00CB33D5">
        <w:t>smartphone, smart watch</w:t>
      </w:r>
      <w:r>
        <w:t>,</w:t>
      </w:r>
      <w:r w:rsidRPr="00CB33D5">
        <w:t xml:space="preserve"> or </w:t>
      </w:r>
      <w:r>
        <w:t xml:space="preserve">other </w:t>
      </w:r>
      <w:r w:rsidRPr="00CB33D5">
        <w:t>smart device.</w:t>
      </w:r>
    </w:p>
    <w:p w14:paraId="15FC369A" w14:textId="77777777" w:rsidR="0057796E" w:rsidRPr="00CB33D5" w:rsidRDefault="0057796E" w:rsidP="0057796E">
      <w:r w:rsidRPr="00CB33D5">
        <w:t xml:space="preserve">Customers will also have access to more reliable travel information via an integrated ticketing and journey planning app. Customer insights </w:t>
      </w:r>
      <w:r>
        <w:t>continue to be</w:t>
      </w:r>
      <w:r w:rsidRPr="00CB33D5">
        <w:t xml:space="preserve"> actively used to inform the project with a focus on being accessible and inclusive.</w:t>
      </w:r>
    </w:p>
    <w:p w14:paraId="07C78066" w14:textId="1BCC7142" w:rsidR="0057796E" w:rsidRDefault="0057796E" w:rsidP="0057796E">
      <w:r w:rsidRPr="00CB33D5">
        <w:t xml:space="preserve">With one of the fastest and highest uptakes of open loop contactless payment systems globally, </w:t>
      </w:r>
      <w:r>
        <w:t>TMR's</w:t>
      </w:r>
      <w:r w:rsidRPr="00CB33D5">
        <w:t xml:space="preserve"> achievements in 202</w:t>
      </w:r>
      <w:r>
        <w:t>2</w:t>
      </w:r>
      <w:r w:rsidRPr="00CB33D5">
        <w:t>–2</w:t>
      </w:r>
      <w:r>
        <w:t>3</w:t>
      </w:r>
      <w:r w:rsidRPr="00CB33D5">
        <w:t xml:space="preserve"> included:</w:t>
      </w:r>
    </w:p>
    <w:p w14:paraId="0B95835A" w14:textId="77777777" w:rsidR="0057796E" w:rsidRDefault="0057796E" w:rsidP="0057796E">
      <w:pPr>
        <w:pStyle w:val="ListBullet"/>
      </w:pPr>
      <w:r>
        <w:t xml:space="preserve">by February 2023, smart ticketing was rolled out across Queensland's entire rail network. Customers can trial Smart Ticketing for travel between all Gold Coast Light Rail (G:link), Queensland Rail (South East Queensland) and Airtrain stations to pay the same as an adult </w:t>
      </w:r>
      <w:r w:rsidRPr="00F3719C">
        <w:rPr>
          <w:rStyle w:val="Emphasis"/>
        </w:rPr>
        <w:t>go</w:t>
      </w:r>
      <w:r>
        <w:t xml:space="preserve"> card fare</w:t>
      </w:r>
    </w:p>
    <w:p w14:paraId="01DCD350" w14:textId="77777777" w:rsidR="0057796E" w:rsidRDefault="0057796E" w:rsidP="0057796E">
      <w:pPr>
        <w:pStyle w:val="ListBullet"/>
      </w:pPr>
      <w:r>
        <w:t xml:space="preserve">in February 2023, installation of smart ticketing equipment commenced across South East Queensland's bus network. The progressive installation of new equipment, operator by operator, is for </w:t>
      </w:r>
      <w:r w:rsidRPr="00F3719C">
        <w:rPr>
          <w:rStyle w:val="Emphasis"/>
        </w:rPr>
        <w:t>go</w:t>
      </w:r>
      <w:r>
        <w:t xml:space="preserve"> card use initially before the launch of Smart Ticketing payment methods on South East Queensland buses expected from late-2023 </w:t>
      </w:r>
    </w:p>
    <w:p w14:paraId="0FA35FB5" w14:textId="77777777" w:rsidR="0057796E" w:rsidRDefault="0057796E" w:rsidP="0057796E">
      <w:pPr>
        <w:pStyle w:val="ListBullet"/>
      </w:pPr>
      <w:r>
        <w:t xml:space="preserve">in June </w:t>
      </w:r>
      <w:r w:rsidRPr="006B5E4B">
        <w:t xml:space="preserve">2023, Smart Ticketing payment methods surpassed </w:t>
      </w:r>
      <w:r>
        <w:t>150</w:t>
      </w:r>
      <w:r w:rsidRPr="006B5E4B">
        <w:t xml:space="preserve">,000 </w:t>
      </w:r>
      <w:r>
        <w:t xml:space="preserve">average </w:t>
      </w:r>
      <w:r w:rsidRPr="006B5E4B">
        <w:t xml:space="preserve">trips per week and </w:t>
      </w:r>
      <w:r>
        <w:t xml:space="preserve">the </w:t>
      </w:r>
      <w:r w:rsidRPr="006B5E4B">
        <w:t xml:space="preserve">customer adoption rate continues to strengthen </w:t>
      </w:r>
    </w:p>
    <w:p w14:paraId="099B6CB7" w14:textId="77777777" w:rsidR="0057796E" w:rsidRDefault="0057796E" w:rsidP="0057796E">
      <w:pPr>
        <w:pStyle w:val="ListBullet"/>
      </w:pPr>
      <w:r w:rsidRPr="004E7D38">
        <w:t xml:space="preserve">successful installation of </w:t>
      </w:r>
      <w:r>
        <w:t>nearly</w:t>
      </w:r>
      <w:r w:rsidRPr="004E7D38">
        <w:t xml:space="preserve"> 2</w:t>
      </w:r>
      <w:r>
        <w:t>00</w:t>
      </w:r>
      <w:r w:rsidRPr="004E7D38">
        <w:t xml:space="preserve"> Smart Ticketing gates across </w:t>
      </w:r>
      <w:r>
        <w:t>all 20 gated rail stations in South East Queensland</w:t>
      </w:r>
    </w:p>
    <w:p w14:paraId="2AA65750" w14:textId="77777777" w:rsidR="0057796E" w:rsidRDefault="0057796E" w:rsidP="0057796E">
      <w:pPr>
        <w:pStyle w:val="ListBullet"/>
      </w:pPr>
      <w:r>
        <w:t xml:space="preserve">successful planning and stakeholder engagement to support the launch of Smart Ticketing payment methods on South East Queensland's ferry network is expected to start in late-2023. </w:t>
      </w:r>
    </w:p>
    <w:p w14:paraId="4A705FB2" w14:textId="77777777" w:rsidR="0057796E" w:rsidRDefault="0057796E" w:rsidP="0057796E">
      <w:pPr>
        <w:pStyle w:val="ForMoreInformation"/>
      </w:pPr>
      <w:r>
        <w:lastRenderedPageBreak/>
        <w:t>For more information</w:t>
      </w:r>
      <w:r>
        <w:br/>
      </w:r>
      <w:hyperlink r:id="rId58" w:history="1">
        <w:r w:rsidRPr="006D4719">
          <w:rPr>
            <w:rStyle w:val="Hyperlink"/>
          </w:rPr>
          <w:t>https://translink.com.au/about-translink/projects-and-initiatives/smart-ticketing</w:t>
        </w:r>
      </w:hyperlink>
      <w:r>
        <w:rPr>
          <w:rStyle w:val="Hyperlink"/>
        </w:rPr>
        <w:t xml:space="preserve"> </w:t>
      </w:r>
    </w:p>
    <w:p w14:paraId="5413FC04" w14:textId="77777777" w:rsidR="0057796E" w:rsidRPr="00DC1A33" w:rsidRDefault="0057796E" w:rsidP="0057796E">
      <w:pPr>
        <w:pStyle w:val="Heading3"/>
      </w:pPr>
      <w:r>
        <w:t>School transport operator payments</w:t>
      </w:r>
    </w:p>
    <w:p w14:paraId="1DB802D1" w14:textId="77777777" w:rsidR="0057796E" w:rsidRPr="000B61E8" w:rsidRDefault="0057796E" w:rsidP="0057796E">
      <w:r w:rsidRPr="000B61E8">
        <w:t xml:space="preserve">TMR provided funding assistance to </w:t>
      </w:r>
      <w:r>
        <w:t>425</w:t>
      </w:r>
      <w:r w:rsidRPr="000B61E8">
        <w:t xml:space="preserve"> private operators to deliver school transport services in regional Queensland. Payments for these services in 20</w:t>
      </w:r>
      <w:r>
        <w:t>22–23</w:t>
      </w:r>
      <w:r w:rsidRPr="000B61E8">
        <w:t xml:space="preserve"> </w:t>
      </w:r>
      <w:r>
        <w:t xml:space="preserve">totalled </w:t>
      </w:r>
      <w:r w:rsidRPr="000B61E8">
        <w:t>$</w:t>
      </w:r>
      <w:r>
        <w:t>181.9</w:t>
      </w:r>
      <w:r w:rsidRPr="000B61E8">
        <w:t xml:space="preserve"> million (GST exclusive).</w:t>
      </w:r>
    </w:p>
    <w:p w14:paraId="3750CBD7" w14:textId="77777777" w:rsidR="0057796E" w:rsidRDefault="0057796E" w:rsidP="0057796E">
      <w:r w:rsidRPr="000B61E8">
        <w:t xml:space="preserve">South East Queensland school transport services are paid as part of integrated urban and school transport service contracts and included in payments listed in Appendix </w:t>
      </w:r>
      <w:r>
        <w:t>5</w:t>
      </w:r>
      <w:r w:rsidRPr="000B61E8">
        <w:t xml:space="preserve">. </w:t>
      </w:r>
    </w:p>
    <w:p w14:paraId="31A8CE9F" w14:textId="77777777" w:rsidR="0057796E" w:rsidRDefault="0057796E" w:rsidP="0057796E">
      <w:pPr>
        <w:pStyle w:val="ForMoreInformation"/>
      </w:pPr>
      <w:r w:rsidRPr="000B61E8">
        <w:t>A full list of school transport operators in regional Queensland and payments is available on the Queensland Government Open Data Portal</w:t>
      </w:r>
      <w:r>
        <w:br/>
      </w:r>
      <w:hyperlink r:id="rId59" w:history="1">
        <w:r w:rsidRPr="00666C67">
          <w:rPr>
            <w:rStyle w:val="Hyperlink"/>
          </w:rPr>
          <w:t>https://www.data.qld.gov.au</w:t>
        </w:r>
      </w:hyperlink>
      <w:r>
        <w:rPr>
          <w:rStyle w:val="Hyperlink"/>
        </w:rPr>
        <w:t xml:space="preserve"> </w:t>
      </w:r>
    </w:p>
    <w:p w14:paraId="340B8999" w14:textId="7D47952A" w:rsidR="0057796E" w:rsidRDefault="0057796E" w:rsidP="0057796E">
      <w:pPr>
        <w:pStyle w:val="Heading3"/>
      </w:pPr>
      <w:r w:rsidRPr="003450D6">
        <w:t xml:space="preserve">Case </w:t>
      </w:r>
      <w:r w:rsidR="00A74536">
        <w:t>s</w:t>
      </w:r>
      <w:r w:rsidRPr="003450D6">
        <w:t>tudy</w:t>
      </w:r>
      <w:r w:rsidR="00A74536">
        <w:t xml:space="preserve"> </w:t>
      </w:r>
      <w:r>
        <w:t xml:space="preserve">Smart Ticketing fully rolled out across South East Queensland trains and trams  </w:t>
      </w:r>
    </w:p>
    <w:p w14:paraId="39AA7246" w14:textId="77777777" w:rsidR="0057796E" w:rsidRPr="007570FF" w:rsidRDefault="0057796E" w:rsidP="0057796E">
      <w:r>
        <w:t xml:space="preserve">Customers can now trial Smart Ticketing for travel between all Gold Coast </w:t>
      </w:r>
      <w:r w:rsidRPr="007570FF">
        <w:t xml:space="preserve">Light Rail (G:link), Queensland Rail (South East Queensland), and Airtrain stations to pay the same as an adult </w:t>
      </w:r>
      <w:r w:rsidRPr="00483917">
        <w:rPr>
          <w:rStyle w:val="Emphasis"/>
        </w:rPr>
        <w:t>go</w:t>
      </w:r>
      <w:r w:rsidRPr="007570FF">
        <w:t xml:space="preserve"> card fare. </w:t>
      </w:r>
    </w:p>
    <w:p w14:paraId="5AEEAA0A" w14:textId="77777777" w:rsidR="0057796E" w:rsidRPr="007570FF" w:rsidRDefault="0057796E" w:rsidP="0057796E">
      <w:r w:rsidRPr="007570FF">
        <w:t>More customers now have the option to plan and pay for their public transport journeys using their contactless Visa, Mastercard, and American Express debit and credit cards, including cards in the digital wallet of their smartphone, smart watch, or other smart device.</w:t>
      </w:r>
    </w:p>
    <w:p w14:paraId="10FE2DD5" w14:textId="77777777" w:rsidR="0057796E" w:rsidRPr="007570FF" w:rsidRDefault="0057796E" w:rsidP="0057796E">
      <w:r w:rsidRPr="007570FF">
        <w:t xml:space="preserve">This includes the successful installation of nearly 200 Smart Ticketing gates across all 20 gated stations in South East Queensland to support the rollout across Queensland's rail network. </w:t>
      </w:r>
    </w:p>
    <w:p w14:paraId="023102F3" w14:textId="77777777" w:rsidR="0057796E" w:rsidRPr="007570FF" w:rsidRDefault="0057796E" w:rsidP="0057796E">
      <w:r w:rsidRPr="007570FF">
        <w:t>In June 2023, customer uptake reached over 150,000 trips per week using Smart Ticketing to pay for travel, with customer adoption continuing to strengthen</w:t>
      </w:r>
      <w:r>
        <w:t>.</w:t>
      </w:r>
      <w:r w:rsidRPr="007570FF">
        <w:t xml:space="preserve"> </w:t>
      </w:r>
    </w:p>
    <w:p w14:paraId="2D4ACB17" w14:textId="77777777" w:rsidR="0057796E" w:rsidRPr="007570FF" w:rsidRDefault="0057796E" w:rsidP="0057796E">
      <w:r w:rsidRPr="007570FF">
        <w:t xml:space="preserve">More than 4.3 million Smart Ticketing trips were made by customers on the Queensland Rail (South East Queensland) and Airtrain networks to 30 June 2023, with the first trial launched on the Ferny Grove line in June 2022 which was progressively activated, line by line, through to February 2023. This comes on the back of the successful first Smart Ticketing trial on the G:link, which launched in December 2020 and has also recorded more than 3 million Smart Ticketing trips to 30 June 2023. </w:t>
      </w:r>
    </w:p>
    <w:p w14:paraId="295E0EA5" w14:textId="77777777" w:rsidR="0057796E" w:rsidRDefault="0057796E" w:rsidP="0057796E">
      <w:r w:rsidRPr="007570FF">
        <w:t>In February 2023, the installation of new Smart Ticketing equipment across South East Queensland buses commenced, operator by</w:t>
      </w:r>
      <w:r>
        <w:t xml:space="preserve"> operator, for </w:t>
      </w:r>
      <w:r w:rsidRPr="008C47DF">
        <w:rPr>
          <w:rStyle w:val="Emphasis"/>
        </w:rPr>
        <w:t>go</w:t>
      </w:r>
      <w:r>
        <w:t xml:space="preserve"> card use only before the launch of Smart Ticketing payment methods on buses and ferries expected for late-2023.</w:t>
      </w:r>
    </w:p>
    <w:p w14:paraId="18649FE5" w14:textId="77777777" w:rsidR="0057796E" w:rsidRDefault="0057796E" w:rsidP="0057796E">
      <w:pPr>
        <w:pStyle w:val="ForMoreInformation"/>
        <w:rPr>
          <w:rStyle w:val="Hyperlink"/>
        </w:rPr>
      </w:pPr>
      <w:r>
        <w:t>For more information</w:t>
      </w:r>
      <w:r>
        <w:br/>
      </w:r>
      <w:hyperlink r:id="rId60" w:history="1">
        <w:r w:rsidRPr="002F6957">
          <w:rPr>
            <w:rStyle w:val="Hyperlink"/>
          </w:rPr>
          <w:t>https://translink.com.au/about-translink/projects-and-initiatives/smart-ticketing</w:t>
        </w:r>
      </w:hyperlink>
    </w:p>
    <w:p w14:paraId="6756C066" w14:textId="77777777" w:rsidR="0057796E" w:rsidRPr="00DC1A33" w:rsidRDefault="0057796E" w:rsidP="0057796E">
      <w:pPr>
        <w:pStyle w:val="Heading3"/>
      </w:pPr>
      <w:r>
        <w:t>On-demand services</w:t>
      </w:r>
    </w:p>
    <w:p w14:paraId="061FE957" w14:textId="77777777" w:rsidR="0057796E" w:rsidRPr="002633D2" w:rsidRDefault="0057796E" w:rsidP="0057796E">
      <w:r w:rsidRPr="002633D2">
        <w:t>As the transport environment evolve</w:t>
      </w:r>
      <w:r>
        <w:t>s</w:t>
      </w:r>
      <w:r w:rsidRPr="002633D2">
        <w:t>, TMR continues to look for new mobility options which can support the delivery of a single integrated transport system accessible to everyone.</w:t>
      </w:r>
    </w:p>
    <w:p w14:paraId="114771BF" w14:textId="77777777" w:rsidR="0057796E" w:rsidRDefault="0057796E" w:rsidP="0057796E">
      <w:r w:rsidRPr="002633D2">
        <w:t>On</w:t>
      </w:r>
      <w:r>
        <w:t>-</w:t>
      </w:r>
      <w:r w:rsidRPr="002633D2">
        <w:t xml:space="preserve">demand </w:t>
      </w:r>
      <w:r>
        <w:t>services</w:t>
      </w:r>
      <w:r w:rsidRPr="002633D2">
        <w:t xml:space="preserve"> provides flexible, booked and shared transport for people who are looking to travel at around the same time within defined operating areas.</w:t>
      </w:r>
    </w:p>
    <w:p w14:paraId="7CE35645" w14:textId="77777777" w:rsidR="0057796E" w:rsidRPr="002633D2" w:rsidRDefault="0057796E" w:rsidP="0057796E">
      <w:r>
        <w:t>In</w:t>
      </w:r>
      <w:r w:rsidRPr="0086253F">
        <w:t xml:space="preserve"> February 2023</w:t>
      </w:r>
      <w:r>
        <w:t>,</w:t>
      </w:r>
      <w:r w:rsidRPr="0086253F">
        <w:t xml:space="preserve"> a new on</w:t>
      </w:r>
      <w:r>
        <w:t>-</w:t>
      </w:r>
      <w:r w:rsidRPr="0086253F">
        <w:t>demand service replaced the existing route 71</w:t>
      </w:r>
      <w:r>
        <w:t xml:space="preserve">4 Kan-go service in Hervey Bay. </w:t>
      </w:r>
      <w:r w:rsidRPr="002367B6">
        <w:t>Customers in Point Vernon and parts of Pialba can travel to and from essential services including</w:t>
      </w:r>
      <w:r>
        <w:t xml:space="preserve"> </w:t>
      </w:r>
      <w:r w:rsidRPr="002367B6">
        <w:t>shopping, healthcare, education</w:t>
      </w:r>
      <w:r>
        <w:t>,</w:t>
      </w:r>
      <w:r w:rsidRPr="002367B6">
        <w:t xml:space="preserve"> and employment</w:t>
      </w:r>
      <w:r>
        <w:t xml:space="preserve"> locations</w:t>
      </w:r>
      <w:r w:rsidRPr="002367B6">
        <w:t>.</w:t>
      </w:r>
    </w:p>
    <w:p w14:paraId="38718383" w14:textId="77777777" w:rsidR="0057796E" w:rsidRDefault="0057796E" w:rsidP="0057796E">
      <w:r>
        <w:lastRenderedPageBreak/>
        <w:t>Local communities</w:t>
      </w:r>
      <w:r w:rsidRPr="00233369">
        <w:t xml:space="preserve"> are getting behind </w:t>
      </w:r>
      <w:r>
        <w:t>the</w:t>
      </w:r>
      <w:r w:rsidRPr="00233369">
        <w:t xml:space="preserve"> two</w:t>
      </w:r>
      <w:r>
        <w:t xml:space="preserve"> </w:t>
      </w:r>
      <w:r w:rsidRPr="00233369">
        <w:t xml:space="preserve">year trial for </w:t>
      </w:r>
      <w:r>
        <w:t>o</w:t>
      </w:r>
      <w:r w:rsidRPr="00233369">
        <w:t xml:space="preserve">n </w:t>
      </w:r>
      <w:r>
        <w:t>d</w:t>
      </w:r>
      <w:r w:rsidRPr="00233369">
        <w:t xml:space="preserve">emand </w:t>
      </w:r>
      <w:r>
        <w:t>t</w:t>
      </w:r>
      <w:r w:rsidRPr="00233369">
        <w:t xml:space="preserve">ransport </w:t>
      </w:r>
      <w:r>
        <w:t>on the Gold Coast at</w:t>
      </w:r>
      <w:r w:rsidRPr="00233369">
        <w:t xml:space="preserve"> Nerang</w:t>
      </w:r>
      <w:r>
        <w:t xml:space="preserve">, </w:t>
      </w:r>
      <w:r w:rsidRPr="00233369">
        <w:t>Highland Park</w:t>
      </w:r>
      <w:r>
        <w:t>,</w:t>
      </w:r>
      <w:r w:rsidRPr="00233369">
        <w:t xml:space="preserve"> and Pacific Pines</w:t>
      </w:r>
      <w:r>
        <w:t xml:space="preserve">, </w:t>
      </w:r>
      <w:r w:rsidRPr="00233369">
        <w:t xml:space="preserve">with more than </w:t>
      </w:r>
      <w:r>
        <w:t>82</w:t>
      </w:r>
      <w:r w:rsidRPr="00233369">
        <w:t xml:space="preserve">,000 trips completed since </w:t>
      </w:r>
      <w:r>
        <w:t xml:space="preserve">its </w:t>
      </w:r>
      <w:r w:rsidRPr="00233369">
        <w:t>launch</w:t>
      </w:r>
      <w:r>
        <w:t xml:space="preserve"> in March 2022. </w:t>
      </w:r>
    </w:p>
    <w:p w14:paraId="75CF0889" w14:textId="77777777" w:rsidR="0057796E" w:rsidRPr="006F56B0" w:rsidRDefault="0057796E" w:rsidP="0057796E">
      <w:r w:rsidRPr="00F50C7D">
        <w:t xml:space="preserve">To support the rollout of the new </w:t>
      </w:r>
      <w:r>
        <w:t>o</w:t>
      </w:r>
      <w:r w:rsidRPr="00F50C7D">
        <w:t>n</w:t>
      </w:r>
      <w:r>
        <w:t>-d</w:t>
      </w:r>
      <w:r w:rsidRPr="00F50C7D">
        <w:t>emand services, TMR has partnered with Via Mobility Solutions to provide the new technology platform in Hervey Bay and the Gold Coast, which supports customers' ability to plan and book an On Demand service.</w:t>
      </w:r>
      <w:r>
        <w:t xml:space="preserve"> </w:t>
      </w:r>
      <w:r w:rsidRPr="00F50C7D">
        <w:t xml:space="preserve">It is expected to provide the backbone for any future </w:t>
      </w:r>
      <w:r>
        <w:t>o</w:t>
      </w:r>
      <w:r w:rsidRPr="00F50C7D">
        <w:t>n</w:t>
      </w:r>
      <w:r>
        <w:t>-d</w:t>
      </w:r>
      <w:r w:rsidRPr="00F50C7D">
        <w:t>emand service deployments where a booking app is required. </w:t>
      </w:r>
    </w:p>
    <w:p w14:paraId="228768B5" w14:textId="77777777" w:rsidR="0057796E" w:rsidRDefault="0057796E" w:rsidP="0057796E">
      <w:pPr>
        <w:pStyle w:val="ForMoreInformation"/>
      </w:pPr>
      <w:r>
        <w:t>For more information</w:t>
      </w:r>
      <w:r>
        <w:br/>
      </w:r>
      <w:hyperlink r:id="rId61" w:history="1">
        <w:r w:rsidRPr="00EF73CB">
          <w:rPr>
            <w:rStyle w:val="Hyperlink"/>
          </w:rPr>
          <w:t>https://www.translink.com.au/travel-with-us/on-demand</w:t>
        </w:r>
      </w:hyperlink>
      <w:r>
        <w:rPr>
          <w:rStyle w:val="Hyperlink"/>
        </w:rPr>
        <w:t xml:space="preserve"> </w:t>
      </w:r>
    </w:p>
    <w:p w14:paraId="3FC8A1D3" w14:textId="77777777" w:rsidR="0057796E" w:rsidRPr="00DC1A33" w:rsidRDefault="0057796E" w:rsidP="0057796E">
      <w:pPr>
        <w:pStyle w:val="Heading3"/>
      </w:pPr>
      <w:r>
        <w:t>Concessional fares for disadvantaged community members</w:t>
      </w:r>
    </w:p>
    <w:p w14:paraId="0EF4ECBA" w14:textId="77777777" w:rsidR="0057796E" w:rsidRPr="000803A1" w:rsidRDefault="0057796E" w:rsidP="0057796E">
      <w:r w:rsidRPr="000803A1">
        <w:t xml:space="preserve">TMR continued to provide concessional fares on rail, ferry, bus, and light rail services to </w:t>
      </w:r>
      <w:r>
        <w:t>support</w:t>
      </w:r>
      <w:r w:rsidRPr="000803A1">
        <w:t xml:space="preserve"> mobility and access across Queensland for those in the community who are disadvantaged.</w:t>
      </w:r>
    </w:p>
    <w:p w14:paraId="652A6393" w14:textId="77777777" w:rsidR="0057796E" w:rsidRDefault="0057796E" w:rsidP="0057796E">
      <w:r w:rsidRPr="000803A1">
        <w:t>In 202</w:t>
      </w:r>
      <w:r>
        <w:t>2–</w:t>
      </w:r>
      <w:r w:rsidRPr="000803A1">
        <w:t>2</w:t>
      </w:r>
      <w:r>
        <w:t>3</w:t>
      </w:r>
      <w:r w:rsidRPr="000803A1">
        <w:t>, $</w:t>
      </w:r>
      <w:r>
        <w:t>337.69</w:t>
      </w:r>
      <w:r w:rsidRPr="000803A1">
        <w:t xml:space="preserve"> million was provided in concessions and assistance to pensioners and seniors, veterans, students, people with a disability and their carers, job seekers, and asylum seekers to make public transport more affordable. </w:t>
      </w:r>
    </w:p>
    <w:p w14:paraId="263AED99" w14:textId="77777777" w:rsidR="0057796E" w:rsidRDefault="0057796E" w:rsidP="0057796E">
      <w:r w:rsidRPr="000803A1">
        <w:t xml:space="preserve">Assistance ranges from public transport concessions, ticketing products, and subsidised transport schemes. </w:t>
      </w:r>
      <w:r>
        <w:t>TMR continued to engage with industry and other key stakeholders on bus safety issues and best practice initiatives to keep bus travel safe for everyone.</w:t>
      </w:r>
    </w:p>
    <w:p w14:paraId="3DB9CF56" w14:textId="77777777" w:rsidR="0057796E" w:rsidRPr="00233369" w:rsidRDefault="0057796E" w:rsidP="0057796E">
      <w:pPr>
        <w:pStyle w:val="ForMoreInformation"/>
      </w:pPr>
      <w:r>
        <w:t>For more information</w:t>
      </w:r>
      <w:r>
        <w:br/>
      </w:r>
      <w:hyperlink r:id="rId62" w:history="1">
        <w:r w:rsidRPr="00135405">
          <w:rPr>
            <w:rStyle w:val="Hyperlink"/>
          </w:rPr>
          <w:t>https://www.translink.com.au/tickets-and-fares/concessions</w:t>
        </w:r>
      </w:hyperlink>
      <w:r>
        <w:rPr>
          <w:rStyle w:val="Hyperlink"/>
        </w:rPr>
        <w:t xml:space="preserve"> </w:t>
      </w:r>
    </w:p>
    <w:p w14:paraId="1C53FE65" w14:textId="77777777" w:rsidR="0057796E" w:rsidRPr="00DC1A33" w:rsidRDefault="0057796E" w:rsidP="0057796E">
      <w:pPr>
        <w:pStyle w:val="Heading3"/>
      </w:pPr>
      <w:bookmarkStart w:id="23" w:name="_Hlk129271324"/>
      <w:r>
        <w:t>School Transport Assistance Scheme</w:t>
      </w:r>
    </w:p>
    <w:p w14:paraId="5D532E99" w14:textId="77777777" w:rsidR="0057796E" w:rsidRPr="00227680" w:rsidRDefault="0057796E" w:rsidP="0057796E">
      <w:r w:rsidRPr="00227680">
        <w:t>The School Transport Assistance Scheme (STAS) helps eligible students travel to and from school on rail, bus, ferry, and tram services. In 2022–23, approximately $211 million of funding assisted about 130,000 recipients, making it one of the largest state government transport schemes.</w:t>
      </w:r>
    </w:p>
    <w:p w14:paraId="5B2F8F7A" w14:textId="77777777" w:rsidR="0057796E" w:rsidRPr="00227680" w:rsidRDefault="0057796E" w:rsidP="0057796E">
      <w:r w:rsidRPr="00227680">
        <w:t>The scheme can cover all or part of a student’s transport costs between home and school, with the focus of assisting those students who do not have a school in their local area, students living in isolated areas of the state, and for low-income families.</w:t>
      </w:r>
    </w:p>
    <w:p w14:paraId="4AA02ABD" w14:textId="77777777" w:rsidR="0057796E" w:rsidRPr="00227680" w:rsidRDefault="0057796E" w:rsidP="0057796E">
      <w:r>
        <w:t>TMR</w:t>
      </w:r>
      <w:r w:rsidRPr="00227680">
        <w:t xml:space="preserve"> works with approximately 425 delivery partners, providing more than 1420 school routes using approximately 1850 buses. </w:t>
      </w:r>
    </w:p>
    <w:p w14:paraId="7D947251" w14:textId="77777777" w:rsidR="0057796E" w:rsidRDefault="0057796E" w:rsidP="0057796E">
      <w:pPr>
        <w:pStyle w:val="ForMoreInformation"/>
      </w:pPr>
      <w:r>
        <w:t>For more information</w:t>
      </w:r>
      <w:r>
        <w:br/>
      </w:r>
      <w:hyperlink r:id="rId63" w:history="1">
        <w:r w:rsidRPr="00E42422">
          <w:rPr>
            <w:rStyle w:val="Hyperlink"/>
          </w:rPr>
          <w:t>https://www.qld.gov.au/transport/public/school/school-transport-assistance</w:t>
        </w:r>
      </w:hyperlink>
      <w:r>
        <w:rPr>
          <w:rStyle w:val="Hyperlink"/>
        </w:rPr>
        <w:t xml:space="preserve"> </w:t>
      </w:r>
      <w:bookmarkEnd w:id="23"/>
    </w:p>
    <w:p w14:paraId="42F28F94" w14:textId="5F3BA179" w:rsidR="0057796E" w:rsidRPr="00DC1A33" w:rsidRDefault="0057796E" w:rsidP="0057796E">
      <w:pPr>
        <w:pStyle w:val="Heading3"/>
      </w:pPr>
      <w:r w:rsidRPr="00A70910">
        <w:t>Disability Action Plan</w:t>
      </w:r>
    </w:p>
    <w:p w14:paraId="6E7AE7DF" w14:textId="77777777" w:rsidR="0057796E" w:rsidRPr="00A937BD" w:rsidRDefault="0057796E" w:rsidP="0057796E">
      <w:r w:rsidRPr="00A937BD">
        <w:t xml:space="preserve">TMR published its </w:t>
      </w:r>
      <w:r w:rsidRPr="00A937BD">
        <w:rPr>
          <w:rStyle w:val="Emphasis"/>
        </w:rPr>
        <w:t>Interim Disability Action Plan 2023–2024</w:t>
      </w:r>
      <w:r w:rsidRPr="00A937BD">
        <w:t>, including 12 actions to improve accessibility for people with disability using the passenger transport network.</w:t>
      </w:r>
    </w:p>
    <w:p w14:paraId="7C1E3E4F" w14:textId="77777777" w:rsidR="0057796E" w:rsidRDefault="0057796E" w:rsidP="0057796E">
      <w:r w:rsidRPr="000309F1">
        <w:t>Key actions include</w:t>
      </w:r>
      <w:r>
        <w:t>:</w:t>
      </w:r>
      <w:r w:rsidRPr="000309F1">
        <w:t xml:space="preserve"> </w:t>
      </w:r>
    </w:p>
    <w:p w14:paraId="2F4956E9" w14:textId="77777777" w:rsidR="0057796E" w:rsidRPr="00503272" w:rsidRDefault="0057796E" w:rsidP="0057796E">
      <w:pPr>
        <w:pStyle w:val="ListBullet"/>
      </w:pPr>
      <w:r w:rsidRPr="00503272">
        <w:t>planning for accessible transport for the Brisbane 2032 Olympic and Paralympic Games</w:t>
      </w:r>
    </w:p>
    <w:p w14:paraId="2B97E603" w14:textId="77777777" w:rsidR="0057796E" w:rsidRPr="00503272" w:rsidRDefault="0057796E" w:rsidP="0057796E">
      <w:pPr>
        <w:pStyle w:val="ListBullet"/>
      </w:pPr>
      <w:r w:rsidRPr="00503272">
        <w:t>monitoring and making recommendations for the sustainability of the accessible taxi fleet</w:t>
      </w:r>
    </w:p>
    <w:p w14:paraId="7D5FD1DC" w14:textId="77777777" w:rsidR="0057796E" w:rsidRPr="00503272" w:rsidRDefault="0057796E" w:rsidP="0057796E">
      <w:pPr>
        <w:pStyle w:val="ListBullet"/>
      </w:pPr>
      <w:r w:rsidRPr="00503272">
        <w:t>grant funding for local governments to assist with accessibility upgrades through the Passenger Transport Accessible Infrastructure Program</w:t>
      </w:r>
    </w:p>
    <w:p w14:paraId="6002DDC8" w14:textId="77777777" w:rsidR="0057796E" w:rsidRPr="00503272" w:rsidRDefault="0057796E" w:rsidP="0057796E">
      <w:pPr>
        <w:pStyle w:val="ListBullet"/>
      </w:pPr>
      <w:r w:rsidRPr="00503272">
        <w:t>funding to upgrade existing, and provide new, accessible passenger transport infrastructure through the Passenger Transport Infrastructure Investment Program.</w:t>
      </w:r>
    </w:p>
    <w:p w14:paraId="69031B0B" w14:textId="77777777" w:rsidR="0057796E" w:rsidRDefault="0057796E" w:rsidP="0057796E">
      <w:r>
        <w:t xml:space="preserve">Highlights from the previous </w:t>
      </w:r>
      <w:r w:rsidRPr="00DD3ED1">
        <w:rPr>
          <w:rStyle w:val="Emphasis"/>
        </w:rPr>
        <w:t>Disability Action Plan 2018</w:t>
      </w:r>
      <w:r>
        <w:rPr>
          <w:rStyle w:val="Emphasis"/>
        </w:rPr>
        <w:t>–</w:t>
      </w:r>
      <w:r w:rsidRPr="00DD3ED1">
        <w:rPr>
          <w:rStyle w:val="Emphasis"/>
        </w:rPr>
        <w:t>2022</w:t>
      </w:r>
      <w:r>
        <w:t xml:space="preserve"> during 2022–23 include:</w:t>
      </w:r>
    </w:p>
    <w:p w14:paraId="37316996" w14:textId="77777777" w:rsidR="0057796E" w:rsidRPr="008C74DC" w:rsidRDefault="0057796E" w:rsidP="0057796E">
      <w:pPr>
        <w:pStyle w:val="ListBullet"/>
      </w:pPr>
      <w:r w:rsidRPr="008C74DC">
        <w:lastRenderedPageBreak/>
        <w:t>provid</w:t>
      </w:r>
      <w:r>
        <w:t>ed</w:t>
      </w:r>
      <w:r w:rsidRPr="008C74DC">
        <w:t xml:space="preserve"> upgrades to existing and new accessible public transport infrastructure</w:t>
      </w:r>
      <w:r>
        <w:t>,</w:t>
      </w:r>
      <w:r w:rsidRPr="008C74DC">
        <w:t xml:space="preserve"> including a range of upgrades that made stops, stations</w:t>
      </w:r>
      <w:r>
        <w:t>,</w:t>
      </w:r>
      <w:r w:rsidRPr="008C74DC">
        <w:t xml:space="preserve"> and terminals easier to get to, navigate through, use</w:t>
      </w:r>
      <w:r>
        <w:t>,</w:t>
      </w:r>
      <w:r w:rsidRPr="008C74DC">
        <w:t xml:space="preserve"> and board services from. These were delivered as part of the Passenger Transport Infrastructure Investment Program</w:t>
      </w:r>
    </w:p>
    <w:p w14:paraId="7DAC6B3E" w14:textId="77777777" w:rsidR="0057796E" w:rsidRPr="008C74DC" w:rsidRDefault="0057796E" w:rsidP="0057796E">
      <w:pPr>
        <w:pStyle w:val="ListBullet"/>
      </w:pPr>
      <w:r w:rsidRPr="008C74DC">
        <w:t>open</w:t>
      </w:r>
      <w:r>
        <w:t>ed</w:t>
      </w:r>
      <w:r w:rsidRPr="008C74DC">
        <w:t xml:space="preserve"> the Russell Island Ferry Terminal as part of the $28.7 million funding contribution for the Southern Moreton Bay Islands accessibility upgrades. Upgrades include accessible boarding points, priority seating</w:t>
      </w:r>
      <w:r>
        <w:t>,</w:t>
      </w:r>
      <w:r w:rsidRPr="008C74DC">
        <w:t xml:space="preserve"> and waiting areas for people in wheelchairs, accessible grades on jetty/gangway, wider jetty/gangway to allow for passing of two mobility devices, tactile ground surface indicators at ramps</w:t>
      </w:r>
      <w:r>
        <w:t>,</w:t>
      </w:r>
      <w:r w:rsidRPr="008C74DC">
        <w:t xml:space="preserve"> and the provision of an accessible toilet at Russell and Macleay Islands </w:t>
      </w:r>
    </w:p>
    <w:p w14:paraId="5A9B1BDD" w14:textId="77777777" w:rsidR="0057796E" w:rsidRPr="00E05E8D" w:rsidRDefault="0057796E" w:rsidP="0057796E">
      <w:pPr>
        <w:pStyle w:val="ListBullet"/>
      </w:pPr>
      <w:r w:rsidRPr="008C74DC">
        <w:t>holding five TMR Accessibility Reference Group meetings</w:t>
      </w:r>
      <w:r>
        <w:t>,</w:t>
      </w:r>
      <w:r w:rsidRPr="008C74DC">
        <w:t> during which members provided advice and feedback on key transport projects such as the Gold Coast Light Rail Stage 3, the Accessibility and Information Management project</w:t>
      </w:r>
      <w:r>
        <w:t>,</w:t>
      </w:r>
      <w:r w:rsidRPr="008C74DC">
        <w:t xml:space="preserve"> and the Loganlea Station Relocation. </w:t>
      </w:r>
    </w:p>
    <w:p w14:paraId="0B88CE52" w14:textId="77777777" w:rsidR="0057796E" w:rsidRDefault="0057796E" w:rsidP="0057796E">
      <w:pPr>
        <w:pStyle w:val="ForMoreInformation"/>
      </w:pPr>
      <w:r>
        <w:t>For more information</w:t>
      </w:r>
      <w:r>
        <w:br/>
      </w:r>
      <w:hyperlink r:id="rId64" w:history="1">
        <w:r w:rsidRPr="00B64006">
          <w:rPr>
            <w:rStyle w:val="Hyperlink"/>
          </w:rPr>
          <w:t>https://www.tmr.qld.gov.au/Travel-and-transport/Disability-access-and-mobility/Disability-Action-Plan</w:t>
        </w:r>
      </w:hyperlink>
    </w:p>
    <w:p w14:paraId="1A5FDBE2" w14:textId="77777777" w:rsidR="0057796E" w:rsidRPr="00DC1A33" w:rsidRDefault="0057796E" w:rsidP="0057796E">
      <w:pPr>
        <w:pStyle w:val="Heading3"/>
      </w:pPr>
      <w:r>
        <w:t>Passenger Transport Accessible Infrastructure Program</w:t>
      </w:r>
    </w:p>
    <w:p w14:paraId="6A833A80" w14:textId="77777777" w:rsidR="0057796E" w:rsidRPr="00CF2BD9" w:rsidRDefault="0057796E" w:rsidP="0057796E">
      <w:r w:rsidRPr="00CF2BD9">
        <w:t xml:space="preserve">The Passenger Transport Accessible Infrastructure grants program provides funding assistance to local governments upgrading their existing passenger transport facilities to comply with the </w:t>
      </w:r>
      <w:r w:rsidRPr="00D2199C">
        <w:rPr>
          <w:rStyle w:val="Emphasis"/>
        </w:rPr>
        <w:t>Disability Discrimination Act 1992</w:t>
      </w:r>
      <w:r>
        <w:t xml:space="preserve"> </w:t>
      </w:r>
      <w:r w:rsidRPr="00CF2BD9">
        <w:t>(Cth).</w:t>
      </w:r>
    </w:p>
    <w:p w14:paraId="476832B1" w14:textId="77777777" w:rsidR="0057796E" w:rsidRDefault="0057796E" w:rsidP="0057796E">
      <w:r w:rsidRPr="00CF2BD9">
        <w:t>These funding contributions allow local governments to:</w:t>
      </w:r>
    </w:p>
    <w:p w14:paraId="036D8340" w14:textId="77777777" w:rsidR="0057796E" w:rsidRPr="00E05E8D" w:rsidRDefault="0057796E" w:rsidP="0057796E">
      <w:pPr>
        <w:pStyle w:val="ListBullet"/>
      </w:pPr>
      <w:r w:rsidRPr="00E05E8D">
        <w:t>enhance safety and accessibility of the transport network for everyone</w:t>
      </w:r>
    </w:p>
    <w:p w14:paraId="1B50E4A7" w14:textId="77777777" w:rsidR="0057796E" w:rsidRPr="00E05E8D" w:rsidRDefault="0057796E" w:rsidP="0057796E">
      <w:pPr>
        <w:pStyle w:val="ListBullet"/>
      </w:pPr>
      <w:r w:rsidRPr="00E05E8D">
        <w:t xml:space="preserve">modernise passenger transport facilities to comply with the </w:t>
      </w:r>
      <w:r w:rsidRPr="00E05E8D">
        <w:rPr>
          <w:rStyle w:val="Emphasis"/>
        </w:rPr>
        <w:t>Disability Discrimination Act</w:t>
      </w:r>
      <w:r>
        <w:rPr>
          <w:rStyle w:val="Emphasis"/>
        </w:rPr>
        <w:t xml:space="preserve"> </w:t>
      </w:r>
      <w:r w:rsidRPr="00D2199C">
        <w:rPr>
          <w:rStyle w:val="Emphasis"/>
        </w:rPr>
        <w:t>1992</w:t>
      </w:r>
      <w:r>
        <w:t xml:space="preserve"> </w:t>
      </w:r>
      <w:r w:rsidRPr="00CF2BD9">
        <w:t>(Cth)</w:t>
      </w:r>
    </w:p>
    <w:p w14:paraId="09608934" w14:textId="77777777" w:rsidR="0057796E" w:rsidRDefault="0057796E" w:rsidP="0057796E">
      <w:pPr>
        <w:pStyle w:val="ListBullet"/>
      </w:pPr>
      <w:r w:rsidRPr="00E05E8D">
        <w:t>apply consistent design standards across the passenger transport network.</w:t>
      </w:r>
    </w:p>
    <w:p w14:paraId="577C3BA6" w14:textId="77777777" w:rsidR="0057796E" w:rsidRDefault="0057796E" w:rsidP="0057796E">
      <w:r>
        <w:t>In 2022–23, funding assistance was provided to 10 local governments across Queensland to support more than 190 bus stop upgrades to meet accessibility standards. In addition, funding assistance was also provided towards upgrading long-distance coach stops in regional and remote areas.</w:t>
      </w:r>
    </w:p>
    <w:p w14:paraId="54092C24" w14:textId="77777777" w:rsidR="0057796E" w:rsidRDefault="0057796E" w:rsidP="0057796E">
      <w:r>
        <w:t>The success of the program is built on the partnership approach with local governments and other state government agencies working together to deliver a single integrated transport network accessible to everyone.</w:t>
      </w:r>
    </w:p>
    <w:p w14:paraId="7EEF3CF0" w14:textId="77777777" w:rsidR="0057796E" w:rsidRPr="00CF2BD9" w:rsidRDefault="0057796E" w:rsidP="0057796E">
      <w:pPr>
        <w:pStyle w:val="ForMoreInformation"/>
      </w:pPr>
      <w:r>
        <w:t>For more information</w:t>
      </w:r>
      <w:r>
        <w:br/>
      </w:r>
      <w:hyperlink r:id="rId65" w:history="1">
        <w:r>
          <w:rPr>
            <w:rStyle w:val="Hyperlink"/>
          </w:rPr>
          <w:t>https://www.tmr.qld.gov.au/Travel-and-transport/Public-transport/ Public-transport-infrastructure-grants</w:t>
        </w:r>
      </w:hyperlink>
    </w:p>
    <w:p w14:paraId="3B01B78D" w14:textId="7D876BCC" w:rsidR="0057796E" w:rsidRPr="00825684" w:rsidRDefault="0057796E" w:rsidP="0057796E">
      <w:pPr>
        <w:pStyle w:val="Heading3"/>
      </w:pPr>
      <w:r w:rsidRPr="00825684">
        <w:t xml:space="preserve">Case </w:t>
      </w:r>
      <w:r w:rsidR="00A74536">
        <w:t>s</w:t>
      </w:r>
      <w:r w:rsidRPr="00825684">
        <w:t>tudy</w:t>
      </w:r>
      <w:r w:rsidR="00A74536">
        <w:t xml:space="preserve"> </w:t>
      </w:r>
      <w:r>
        <w:t>First Nations Digital Service centres</w:t>
      </w:r>
    </w:p>
    <w:p w14:paraId="4BEB7982" w14:textId="77777777" w:rsidR="0057796E" w:rsidRDefault="0057796E" w:rsidP="0057796E">
      <w:r>
        <w:t xml:space="preserve">QGCDG is supporting the establishment of First Nations community-owned and operated businesses through a nation-leading First Nations digital service centre. </w:t>
      </w:r>
    </w:p>
    <w:p w14:paraId="23A14F8A" w14:textId="77777777" w:rsidR="0057796E" w:rsidRDefault="0057796E" w:rsidP="0057796E">
      <w:r>
        <w:t xml:space="preserve">The first centre opened in April 2022 in Cherbourg in partnership with Cherbourg Aboriginal and Shire Council, Fujitsu, and the Queensland Government. The Cherbourg Digital Service Centre started with Fujitsu as the foundational client and recently expanded to deliver services on behalf of DB Results and the Queensland Government. </w:t>
      </w:r>
    </w:p>
    <w:p w14:paraId="7E751667" w14:textId="77777777" w:rsidR="0057796E" w:rsidRDefault="0057796E" w:rsidP="0057796E">
      <w:r>
        <w:t xml:space="preserve">In June 2023 the QGCDG celebrated the establishment of the Palm Island Digital Service Centre (PIDSC), the second First Nations community-owned and operated digital service centre. </w:t>
      </w:r>
    </w:p>
    <w:p w14:paraId="6CE9733D" w14:textId="592076A6" w:rsidR="0057796E" w:rsidRDefault="0057796E" w:rsidP="0057796E">
      <w:r>
        <w:t>The PIDSC is the result of a partnership between QGCDG, the Department of Tourism, Innovation and Sport, Telstra Limited, Palm Island Community Company Ltd, and the</w:t>
      </w:r>
      <w:r w:rsidR="0008409A">
        <w:t xml:space="preserve"> </w:t>
      </w:r>
      <w:r>
        <w:t xml:space="preserve">Palm Island Aboriginal Shire Council. It is supported by TAFE Queensland. </w:t>
      </w:r>
    </w:p>
    <w:p w14:paraId="52F6D4E2" w14:textId="77777777" w:rsidR="0057796E" w:rsidRDefault="0057796E" w:rsidP="0057796E">
      <w:r>
        <w:t xml:space="preserve">The PIDS will initially hire up to 20 new local employees to deliver digital services to their foundational customer Telstra. The centre aims to boost economic participation in Palm Island through digital transformation, skills development, and connection to real jobs and career pathways. </w:t>
      </w:r>
    </w:p>
    <w:p w14:paraId="6251C754" w14:textId="77777777" w:rsidR="0057796E" w:rsidRPr="00D956EA" w:rsidRDefault="0057796E" w:rsidP="0057796E">
      <w:r>
        <w:lastRenderedPageBreak/>
        <w:t>This marks a milestone in bringing this new opportunity to life for the Palm Island community. The TAFE Queensland work readiness skills program will commence in July 2023 to prepare 17 new local employees for delivery of services in the Digital Service Centre to Telstra in October 2023.</w:t>
      </w:r>
    </w:p>
    <w:p w14:paraId="7658CA90" w14:textId="77777777" w:rsidR="0057796E" w:rsidRPr="00DC1A33" w:rsidRDefault="0057796E" w:rsidP="0057796E">
      <w:pPr>
        <w:pStyle w:val="Heading3"/>
      </w:pPr>
      <w:r>
        <w:t>Regional Refresh Program</w:t>
      </w:r>
    </w:p>
    <w:p w14:paraId="475FE97A" w14:textId="77777777" w:rsidR="0057796E" w:rsidRPr="00360172" w:rsidRDefault="0057796E" w:rsidP="0057796E">
      <w:bookmarkStart w:id="24" w:name="_Hlk128995576"/>
      <w:r w:rsidRPr="00360172">
        <w:t xml:space="preserve">The Regional Refresh Program completed the statewide rollout of consistent zone structures, standardised fares, and the Translink modernised brand across 16 urban bus networks in regional Queensland. </w:t>
      </w:r>
    </w:p>
    <w:p w14:paraId="458CCE34" w14:textId="77777777" w:rsidR="0057796E" w:rsidRPr="00360172" w:rsidRDefault="0057796E" w:rsidP="0057796E">
      <w:r w:rsidRPr="00360172">
        <w:t xml:space="preserve">The program also transitioned 11 regional </w:t>
      </w:r>
      <w:r w:rsidRPr="00360172">
        <w:rPr>
          <w:rStyle w:val="Emphasis"/>
        </w:rPr>
        <w:t>qconnect</w:t>
      </w:r>
      <w:r w:rsidRPr="00360172">
        <w:t xml:space="preserve"> networks</w:t>
      </w:r>
      <w:r>
        <w:t xml:space="preserve"> </w:t>
      </w:r>
      <w:r w:rsidRPr="00360172">
        <w:t>to the Translink service model, providing customers across Queensland with access to Translink customer channels, including the website and journey planner, MyTranslink app, and 24/7 contact centre (13 12 30).</w:t>
      </w:r>
    </w:p>
    <w:p w14:paraId="45CF7569" w14:textId="77777777" w:rsidR="0057796E" w:rsidRPr="002A04E1" w:rsidRDefault="0057796E" w:rsidP="0057796E">
      <w:r>
        <w:t xml:space="preserve">The changes to the regional areas were introduced to support the future implementation </w:t>
      </w:r>
      <w:r w:rsidRPr="002A04E1">
        <w:t xml:space="preserve">of </w:t>
      </w:r>
      <w:r>
        <w:t>s</w:t>
      </w:r>
      <w:r w:rsidRPr="002A04E1">
        <w:t xml:space="preserve">mart </w:t>
      </w:r>
      <w:r>
        <w:t>t</w:t>
      </w:r>
      <w:r w:rsidRPr="002A04E1">
        <w:t xml:space="preserve">icketing payment options across the whole of Queensland. </w:t>
      </w:r>
    </w:p>
    <w:p w14:paraId="42D812CA" w14:textId="77777777" w:rsidR="0057796E" w:rsidRDefault="0057796E" w:rsidP="0057796E">
      <w:r w:rsidRPr="00B341A9">
        <w:t>Tranche 1</w:t>
      </w:r>
      <w:r>
        <w:t xml:space="preserve"> of the Regional Refresh Program </w:t>
      </w:r>
      <w:r w:rsidRPr="00B341A9">
        <w:t xml:space="preserve">was </w:t>
      </w:r>
      <w:r>
        <w:t>introduced</w:t>
      </w:r>
      <w:r w:rsidRPr="00B341A9">
        <w:t xml:space="preserve"> on 4 July 2022</w:t>
      </w:r>
      <w:r>
        <w:t>,</w:t>
      </w:r>
      <w:r w:rsidRPr="00B341A9">
        <w:t xml:space="preserve"> Tranche 2 on 2</w:t>
      </w:r>
      <w:r>
        <w:t>6</w:t>
      </w:r>
      <w:r w:rsidRPr="00B341A9">
        <w:t xml:space="preserve"> September 2022</w:t>
      </w:r>
      <w:r>
        <w:t>,</w:t>
      </w:r>
      <w:r w:rsidRPr="00B341A9">
        <w:t xml:space="preserve"> and Tranche 3 on 16 January 2023.</w:t>
      </w:r>
    </w:p>
    <w:p w14:paraId="76559A75" w14:textId="77777777" w:rsidR="0057796E" w:rsidRDefault="0057796E" w:rsidP="0057796E">
      <w:r>
        <w:t xml:space="preserve">Tranche 1 included </w:t>
      </w:r>
      <w:r w:rsidRPr="00B341A9">
        <w:t>Bowen, Innisfail, Warwick, Sunshine Coast Hinterland, Whitsundays (urban network only), and Fraser Coast (school network only)</w:t>
      </w:r>
      <w:r>
        <w:t>.</w:t>
      </w:r>
    </w:p>
    <w:p w14:paraId="4D137ADB" w14:textId="77777777" w:rsidR="0057796E" w:rsidRDefault="0057796E" w:rsidP="0057796E">
      <w:r>
        <w:t xml:space="preserve">Tranche 2 included </w:t>
      </w:r>
      <w:r w:rsidRPr="00B341A9">
        <w:t>Cairns, Townsville and Magnetic Island, Gympie, Mackay, and Rockhampton-Yeppoon</w:t>
      </w:r>
      <w:r>
        <w:t>.</w:t>
      </w:r>
    </w:p>
    <w:p w14:paraId="7F5D033D" w14:textId="77777777" w:rsidR="0057796E" w:rsidRPr="00B341A9" w:rsidRDefault="0057796E" w:rsidP="0057796E">
      <w:r>
        <w:t>Tranche 3 included Toowoomba, Gladstone, Kilcoy-Caboolture, and Bundaberg-Elliott Heads.</w:t>
      </w:r>
    </w:p>
    <w:p w14:paraId="2E5239A4" w14:textId="77777777" w:rsidR="0057796E" w:rsidRPr="00B341A9" w:rsidRDefault="0057796E" w:rsidP="0057796E">
      <w:r w:rsidRPr="00B341A9">
        <w:t>The completion of the Regional Refresh Program has seen TMR deliver on one of the strategic priorities</w:t>
      </w:r>
      <w:r>
        <w:t>—</w:t>
      </w:r>
      <w:r w:rsidRPr="00B341A9">
        <w:t>delivering an easy and accessible passenger transport network</w:t>
      </w:r>
      <w:r>
        <w:t>—</w:t>
      </w:r>
      <w:r w:rsidRPr="00B341A9">
        <w:t>highlighted in its 10</w:t>
      </w:r>
      <w:r>
        <w:t xml:space="preserve"> </w:t>
      </w:r>
      <w:r w:rsidRPr="00B341A9">
        <w:t>year</w:t>
      </w:r>
      <w:r>
        <w:t xml:space="preserve"> </w:t>
      </w:r>
      <w:r w:rsidRPr="00B341A9">
        <w:t>plan Creating Better Connections for Queenslanders.</w:t>
      </w:r>
    </w:p>
    <w:bookmarkEnd w:id="24"/>
    <w:p w14:paraId="237A136F" w14:textId="77777777" w:rsidR="0057796E" w:rsidRPr="00DC1A33" w:rsidRDefault="0057796E" w:rsidP="0057796E">
      <w:pPr>
        <w:pStyle w:val="Heading3"/>
      </w:pPr>
      <w:r>
        <w:t>Accessibility and Inclusion Journey</w:t>
      </w:r>
    </w:p>
    <w:p w14:paraId="1D484E69" w14:textId="77777777" w:rsidR="0057796E" w:rsidRPr="005139A6" w:rsidRDefault="0057796E" w:rsidP="0057796E">
      <w:r>
        <w:t xml:space="preserve">TMR, through its </w:t>
      </w:r>
      <w:r w:rsidRPr="0083097D">
        <w:rPr>
          <w:rStyle w:val="Emphasis"/>
        </w:rPr>
        <w:t>Accessibility and Inclusion Strategy</w:t>
      </w:r>
      <w:r>
        <w:t>, has commit</w:t>
      </w:r>
      <w:r w:rsidRPr="005139A6">
        <w:t>ted to becoming a leader in</w:t>
      </w:r>
      <w:r>
        <w:t xml:space="preserve"> the provision of </w:t>
      </w:r>
      <w:r w:rsidRPr="005139A6">
        <w:t>dignified, accessible, and inclusive transport products, services, information, and infrastructure</w:t>
      </w:r>
      <w:r>
        <w:t>, as well as workplaces and work practices</w:t>
      </w:r>
      <w:r w:rsidRPr="005139A6">
        <w:t>. </w:t>
      </w:r>
    </w:p>
    <w:p w14:paraId="79F4D7C0" w14:textId="77777777" w:rsidR="0057796E" w:rsidRPr="005139A6" w:rsidRDefault="0057796E" w:rsidP="0057796E">
      <w:r>
        <w:t xml:space="preserve">The </w:t>
      </w:r>
      <w:r w:rsidRPr="005139A6">
        <w:t>Accessible Transport Network</w:t>
      </w:r>
      <w:r>
        <w:t xml:space="preserve"> program is guiding TMR's accessibility and inclusion journey by </w:t>
      </w:r>
      <w:r w:rsidRPr="005139A6">
        <w:t>build</w:t>
      </w:r>
      <w:r>
        <w:t>ing</w:t>
      </w:r>
      <w:r w:rsidRPr="005139A6">
        <w:t xml:space="preserve"> organisation</w:t>
      </w:r>
      <w:r>
        <w:t>al</w:t>
      </w:r>
      <w:r w:rsidRPr="005139A6">
        <w:t xml:space="preserve"> capability, </w:t>
      </w:r>
      <w:r>
        <w:t xml:space="preserve">developing </w:t>
      </w:r>
      <w:r w:rsidRPr="005139A6">
        <w:t>technical resources, appl</w:t>
      </w:r>
      <w:r>
        <w:t>ying be</w:t>
      </w:r>
      <w:r w:rsidRPr="005139A6">
        <w:t>st practice research</w:t>
      </w:r>
      <w:r>
        <w:t xml:space="preserve">, and </w:t>
      </w:r>
      <w:r w:rsidRPr="005139A6">
        <w:t>enabl</w:t>
      </w:r>
      <w:r>
        <w:t xml:space="preserve">ing </w:t>
      </w:r>
      <w:r w:rsidRPr="005139A6">
        <w:t>customer co-design</w:t>
      </w:r>
      <w:r>
        <w:t xml:space="preserve">. </w:t>
      </w:r>
      <w:r w:rsidRPr="005139A6">
        <w:t xml:space="preserve"> </w:t>
      </w:r>
    </w:p>
    <w:p w14:paraId="4105D723" w14:textId="77777777" w:rsidR="0057796E" w:rsidRDefault="0057796E" w:rsidP="0057796E">
      <w:r>
        <w:t>During 2022</w:t>
      </w:r>
      <w:r w:rsidRPr="000F4945">
        <w:t>–</w:t>
      </w:r>
      <w:r>
        <w:t xml:space="preserve">23, TMR released its </w:t>
      </w:r>
      <w:r w:rsidRPr="0083097D">
        <w:rPr>
          <w:rStyle w:val="Emphasis"/>
        </w:rPr>
        <w:t>Accessibility and Inclusion Plan 2023–24</w:t>
      </w:r>
      <w:r>
        <w:t xml:space="preserve"> </w:t>
      </w:r>
      <w:r w:rsidRPr="00AA3796">
        <w:t xml:space="preserve">which outlines 27 actions across the three key pillars of strategy, culture, and process which </w:t>
      </w:r>
      <w:r>
        <w:t>w</w:t>
      </w:r>
      <w:r w:rsidRPr="00AA3796">
        <w:t>ill</w:t>
      </w:r>
      <w:r>
        <w:t xml:space="preserve"> be delivered over a two-year period. </w:t>
      </w:r>
    </w:p>
    <w:p w14:paraId="181B3342" w14:textId="77777777" w:rsidR="0057796E" w:rsidRDefault="0057796E" w:rsidP="0057796E">
      <w:r>
        <w:t xml:space="preserve">Significant work was also undertaken to improve the accessibility of TMR communication channels, create inclusive recruitment pathways, develop guidelines around universal design and co-design, deliver accessibility and inclusion training to TMR employees and research </w:t>
      </w:r>
      <w:r w:rsidRPr="00AA3796">
        <w:t>accessible autonomous vehicles.</w:t>
      </w:r>
    </w:p>
    <w:p w14:paraId="668A20C6" w14:textId="77777777" w:rsidR="0057796E" w:rsidRDefault="0057796E" w:rsidP="0057796E">
      <w:r w:rsidRPr="005139A6">
        <w:t xml:space="preserve">By balancing technical and organisational capability uplift, the </w:t>
      </w:r>
      <w:r>
        <w:t xml:space="preserve">Accessible Transport Network program </w:t>
      </w:r>
      <w:r w:rsidRPr="005139A6">
        <w:t xml:space="preserve">supports TMR's vision of </w:t>
      </w:r>
      <w:r>
        <w:t xml:space="preserve">creating </w:t>
      </w:r>
      <w:r w:rsidRPr="005139A6">
        <w:t xml:space="preserve">an integrated transport network, accessible to everyone. </w:t>
      </w:r>
    </w:p>
    <w:p w14:paraId="5C1835CD" w14:textId="77777777" w:rsidR="0057796E" w:rsidRDefault="0057796E" w:rsidP="0057796E">
      <w:r>
        <w:t xml:space="preserve">TMR's leadership on accessibility and inclusion has been recognised through several industry award nominations including: </w:t>
      </w:r>
    </w:p>
    <w:p w14:paraId="27D4EC90" w14:textId="77777777" w:rsidR="0057796E" w:rsidRDefault="0057796E" w:rsidP="0057796E">
      <w:pPr>
        <w:pStyle w:val="ListBullet"/>
      </w:pPr>
      <w:r>
        <w:t xml:space="preserve">Australian Network on Disability 2023 Disability Confidence Awards: finalist in two categories </w:t>
      </w:r>
    </w:p>
    <w:p w14:paraId="2E842A27" w14:textId="77777777" w:rsidR="0057796E" w:rsidRDefault="0057796E" w:rsidP="0057796E">
      <w:pPr>
        <w:pStyle w:val="ListBullet"/>
      </w:pPr>
      <w:r>
        <w:t xml:space="preserve">2023 Australian Service Excellence Awards: Customer Service Organisation of the Year finalist </w:t>
      </w:r>
    </w:p>
    <w:p w14:paraId="1F51EBD8" w14:textId="77777777" w:rsidR="0057796E" w:rsidRPr="005139A6" w:rsidRDefault="0057796E" w:rsidP="0057796E">
      <w:pPr>
        <w:pStyle w:val="ListBullet"/>
      </w:pPr>
      <w:r>
        <w:t>Australian Institute of Training and Development: Best Diversity and Inclusion Program finalist.</w:t>
      </w:r>
    </w:p>
    <w:p w14:paraId="24D1707F" w14:textId="77777777" w:rsidR="0057796E" w:rsidRDefault="0057796E" w:rsidP="0057796E">
      <w:pPr>
        <w:pStyle w:val="ForMoreInformation"/>
      </w:pPr>
      <w:r>
        <w:t>For more information</w:t>
      </w:r>
      <w:r>
        <w:br/>
      </w:r>
      <w:r w:rsidRPr="00FF275E">
        <w:rPr>
          <w:rStyle w:val="Hyperlink"/>
        </w:rPr>
        <w:t>https://www.tmr.qld.gov.au/about-us/our-organisation/accessibility-and-inclusion</w:t>
      </w:r>
    </w:p>
    <w:p w14:paraId="11D5865D" w14:textId="70329C02" w:rsidR="0057796E" w:rsidRPr="00825684" w:rsidRDefault="0057796E" w:rsidP="0057796E">
      <w:pPr>
        <w:pStyle w:val="Heading3"/>
      </w:pPr>
      <w:r w:rsidRPr="00825684">
        <w:lastRenderedPageBreak/>
        <w:t xml:space="preserve">Case </w:t>
      </w:r>
      <w:r w:rsidR="00A74536">
        <w:t>s</w:t>
      </w:r>
      <w:r w:rsidRPr="00825684">
        <w:t>tudy</w:t>
      </w:r>
      <w:r w:rsidR="00A74536">
        <w:t xml:space="preserve"> </w:t>
      </w:r>
      <w:r>
        <w:t>Queensland's Digital Economy Strategy launched</w:t>
      </w:r>
    </w:p>
    <w:p w14:paraId="4790698A" w14:textId="77777777" w:rsidR="0057796E" w:rsidRPr="004E3603" w:rsidRDefault="0057796E" w:rsidP="0057796E">
      <w:pPr>
        <w:rPr>
          <w:rStyle w:val="Emphasis"/>
        </w:rPr>
      </w:pPr>
      <w:r w:rsidRPr="009757C4">
        <w:t xml:space="preserve">In April 2023, the Queensland Government launched </w:t>
      </w:r>
      <w:r w:rsidRPr="004E3603">
        <w:rPr>
          <w:rStyle w:val="Emphasis"/>
        </w:rPr>
        <w:t>Our Thriving Digital Future: Queensland’s Digital Economy Strategy</w:t>
      </w:r>
      <w:r w:rsidRPr="004E3603">
        <w:t xml:space="preserve"> </w:t>
      </w:r>
      <w:r w:rsidRPr="009757C4">
        <w:t xml:space="preserve">and </w:t>
      </w:r>
      <w:r w:rsidRPr="00FA40D5">
        <w:t>the</w:t>
      </w:r>
      <w:r w:rsidRPr="004E3603">
        <w:t xml:space="preserve"> </w:t>
      </w:r>
      <w:r w:rsidRPr="004E3603">
        <w:rPr>
          <w:rStyle w:val="Emphasis"/>
        </w:rPr>
        <w:t>Our Thriving Digital Future: 2023–2026 Action Plan 2023</w:t>
      </w:r>
      <w:r>
        <w:rPr>
          <w:rStyle w:val="Emphasis"/>
        </w:rPr>
        <w:t>–</w:t>
      </w:r>
      <w:r w:rsidRPr="004E3603">
        <w:rPr>
          <w:rStyle w:val="Emphasis"/>
        </w:rPr>
        <w:t>2026.</w:t>
      </w:r>
    </w:p>
    <w:p w14:paraId="0A2D9F1D" w14:textId="77777777" w:rsidR="0057796E" w:rsidRPr="009757C4" w:rsidRDefault="0057796E" w:rsidP="0057796E">
      <w:r w:rsidRPr="009757C4">
        <w:t>Digital Economy Strategy and Action Plan set the vision for Queensland’s digital economy to boost our competitiveness, bridge the digital divide</w:t>
      </w:r>
      <w:r>
        <w:t>,</w:t>
      </w:r>
      <w:r w:rsidRPr="009757C4">
        <w:t xml:space="preserve"> and unlock the benefits of the digital economy for all. The Queensland Government has committed $200 million to enhance digital outcomes across the state over the next </w:t>
      </w:r>
      <w:r w:rsidRPr="00093517">
        <w:t xml:space="preserve">three </w:t>
      </w:r>
      <w:r w:rsidRPr="009757C4">
        <w:t xml:space="preserve">years, and the </w:t>
      </w:r>
      <w:r w:rsidRPr="004E3603">
        <w:rPr>
          <w:rStyle w:val="Emphasis"/>
        </w:rPr>
        <w:t>Our Thriving Digital Future: 2023–2026 Action Plan</w:t>
      </w:r>
      <w:r w:rsidRPr="00F33B1E">
        <w:t xml:space="preserve"> </w:t>
      </w:r>
      <w:r w:rsidRPr="009757C4">
        <w:t>will drive this investment.</w:t>
      </w:r>
    </w:p>
    <w:p w14:paraId="133DD60F" w14:textId="77777777" w:rsidR="0057796E" w:rsidRPr="009757C4" w:rsidRDefault="0057796E" w:rsidP="0057796E">
      <w:r w:rsidRPr="009757C4">
        <w:t>The strategy will deliver on its vision through three focus areas:</w:t>
      </w:r>
    </w:p>
    <w:p w14:paraId="4649AB9B" w14:textId="77777777" w:rsidR="0057796E" w:rsidRPr="00F235F7" w:rsidRDefault="0057796E" w:rsidP="0057796E">
      <w:r w:rsidRPr="009757C4">
        <w:t>Through</w:t>
      </w:r>
      <w:r>
        <w:t xml:space="preserve"> Digital Customer,</w:t>
      </w:r>
      <w:r w:rsidRPr="00F235F7">
        <w:t xml:space="preserve"> we aim to create a digitally inclusive Queensland and contemporary digital services. This focus area will foster a customer-centric government and digitally inclusive society in which all people and organisations can benefit. This means ensuring everyone can access the digital services and devices they need to be connected, independent, and engaged in their communities.</w:t>
      </w:r>
    </w:p>
    <w:p w14:paraId="13492EF4" w14:textId="77777777" w:rsidR="0057796E" w:rsidRPr="00F235F7" w:rsidRDefault="0057796E" w:rsidP="0057796E">
      <w:r w:rsidRPr="009757C4">
        <w:t>Through</w:t>
      </w:r>
      <w:r>
        <w:t xml:space="preserve"> Digital Market</w:t>
      </w:r>
      <w:r w:rsidRPr="00F235F7">
        <w:t>, we will build the necessary environment that Queensland businesses need to maximise the opportunities digital technologies can bring. We will work with organisations, industry bodies, academia, and other governments to ensure Queensland-based businesses have access to the talent they need to thrive.</w:t>
      </w:r>
    </w:p>
    <w:p w14:paraId="799B11B7" w14:textId="77777777" w:rsidR="0057796E" w:rsidRPr="00F235F7" w:rsidRDefault="0057796E" w:rsidP="0057796E">
      <w:r w:rsidRPr="009757C4">
        <w:t>Through</w:t>
      </w:r>
      <w:r>
        <w:t xml:space="preserve"> Digital Government,</w:t>
      </w:r>
      <w:r w:rsidRPr="00F235F7">
        <w:t xml:space="preserve"> we will create change and influence a strong digital economy by transforming how we deliver services. We will continue to upgrade the ways we adopt, embed, and utilise digital technologies to meet changing community expectations.</w:t>
      </w:r>
    </w:p>
    <w:p w14:paraId="4D0399D5" w14:textId="77777777" w:rsidR="0057796E" w:rsidRDefault="0057796E" w:rsidP="0057796E">
      <w:r w:rsidRPr="009757C4">
        <w:t xml:space="preserve">The </w:t>
      </w:r>
      <w:r>
        <w:t>QGCDG is</w:t>
      </w:r>
      <w:r w:rsidRPr="009757C4">
        <w:t xml:space="preserve"> </w:t>
      </w:r>
      <w:r>
        <w:t>lead</w:t>
      </w:r>
      <w:r w:rsidRPr="009757C4">
        <w:t xml:space="preserve">ing implementation of the </w:t>
      </w:r>
      <w:r>
        <w:t>2023–26</w:t>
      </w:r>
      <w:r w:rsidRPr="009757C4">
        <w:t xml:space="preserve"> Action </w:t>
      </w:r>
      <w:r>
        <w:t>P</w:t>
      </w:r>
      <w:r w:rsidRPr="009757C4">
        <w:t>lan.</w:t>
      </w:r>
    </w:p>
    <w:p w14:paraId="1E316011" w14:textId="77777777" w:rsidR="0057796E" w:rsidRPr="00F235F7" w:rsidRDefault="0057796E" w:rsidP="0057796E">
      <w:pPr>
        <w:pStyle w:val="ForMoreInformation"/>
      </w:pPr>
      <w:r>
        <w:t>For more information</w:t>
      </w:r>
      <w:r>
        <w:rPr>
          <w:rStyle w:val="Hyperlink"/>
        </w:rPr>
        <w:br/>
      </w:r>
      <w:hyperlink r:id="rId66" w:history="1">
        <w:r w:rsidRPr="005B7CDD">
          <w:rPr>
            <w:rStyle w:val="Hyperlink"/>
          </w:rPr>
          <w:t>https://www.chde.qld.gov.au/digitaleconomy</w:t>
        </w:r>
      </w:hyperlink>
    </w:p>
    <w:p w14:paraId="673F1DED" w14:textId="77777777" w:rsidR="0057796E" w:rsidRDefault="0057796E" w:rsidP="0057796E">
      <w:pPr>
        <w:pStyle w:val="Heading3"/>
      </w:pPr>
      <w:r>
        <w:t xml:space="preserve">Accessibility of TMR communication channels </w:t>
      </w:r>
    </w:p>
    <w:p w14:paraId="7B6BFE50" w14:textId="77777777" w:rsidR="0057796E" w:rsidRDefault="0057796E" w:rsidP="0057796E">
      <w:r>
        <w:t xml:space="preserve">In April 2023, TMR released the TMR </w:t>
      </w:r>
      <w:r w:rsidRPr="00644B99">
        <w:rPr>
          <w:rStyle w:val="Emphasis"/>
        </w:rPr>
        <w:t>Accessible Communication Guidelines</w:t>
      </w:r>
      <w:r>
        <w:t>—</w:t>
      </w:r>
      <w:r w:rsidRPr="006216F5">
        <w:t>a</w:t>
      </w:r>
      <w:r>
        <w:t>n</w:t>
      </w:r>
      <w:r w:rsidRPr="006216F5">
        <w:t xml:space="preserve"> initiative under TMR's Accessibility and Inclusion Strategy</w:t>
      </w:r>
      <w:r>
        <w:t xml:space="preserve">. </w:t>
      </w:r>
    </w:p>
    <w:p w14:paraId="79082E82" w14:textId="77777777" w:rsidR="0057796E" w:rsidRDefault="0057796E" w:rsidP="0057796E">
      <w:r>
        <w:t xml:space="preserve">The </w:t>
      </w:r>
      <w:r w:rsidRPr="00AF15ED">
        <w:rPr>
          <w:rStyle w:val="Emphasis"/>
        </w:rPr>
        <w:t>Accessible Communication Guidelines</w:t>
      </w:r>
      <w:r>
        <w:t xml:space="preserve"> </w:t>
      </w:r>
      <w:r w:rsidRPr="00F80B6B">
        <w:t xml:space="preserve">are a key resource to support </w:t>
      </w:r>
      <w:r>
        <w:t xml:space="preserve">our </w:t>
      </w:r>
      <w:r w:rsidRPr="006216F5">
        <w:t>compliance with legislated standards and requirements</w:t>
      </w:r>
      <w:r>
        <w:t>,</w:t>
      </w:r>
      <w:r w:rsidRPr="006216F5">
        <w:t xml:space="preserve"> </w:t>
      </w:r>
      <w:r>
        <w:t>and provides</w:t>
      </w:r>
      <w:r w:rsidRPr="006216F5">
        <w:t xml:space="preserve"> a framework for the creation of accessible and inclusive communication </w:t>
      </w:r>
      <w:r>
        <w:t xml:space="preserve">content, delivery channels, and materials. </w:t>
      </w:r>
      <w:r w:rsidRPr="00951A97">
        <w:t xml:space="preserve"> </w:t>
      </w:r>
    </w:p>
    <w:p w14:paraId="49ED1D59" w14:textId="77777777" w:rsidR="0057796E" w:rsidRPr="001F7870" w:rsidRDefault="0057796E" w:rsidP="0057796E">
      <w:r w:rsidRPr="001F7870">
        <w:t xml:space="preserve">The delivery of accessible communication will ensure that more Queenslanders have access to the information and services they need. TMR </w:t>
      </w:r>
      <w:r>
        <w:t>acknowledges</w:t>
      </w:r>
      <w:r w:rsidRPr="001F7870">
        <w:t xml:space="preserve"> the divers</w:t>
      </w:r>
      <w:r>
        <w:t>e needs</w:t>
      </w:r>
      <w:r w:rsidRPr="001F7870">
        <w:t xml:space="preserve"> </w:t>
      </w:r>
      <w:r>
        <w:t>in</w:t>
      </w:r>
      <w:r w:rsidRPr="001F7870">
        <w:t xml:space="preserve"> our community and is committed to </w:t>
      </w:r>
      <w:r>
        <w:t xml:space="preserve">ensure </w:t>
      </w:r>
      <w:r w:rsidRPr="001D5E87">
        <w:t>that the information we share is accessible to everyone.</w:t>
      </w:r>
      <w:r w:rsidRPr="006216F5">
        <w:t xml:space="preserve"> </w:t>
      </w:r>
    </w:p>
    <w:p w14:paraId="288BBD5E" w14:textId="50B132CF" w:rsidR="0057796E" w:rsidRDefault="0057796E" w:rsidP="0057796E">
      <w:pPr>
        <w:pStyle w:val="Heading3"/>
      </w:pPr>
      <w:r>
        <w:t>TMR Crisis Communication Framework</w:t>
      </w:r>
    </w:p>
    <w:p w14:paraId="13EC976B" w14:textId="77777777" w:rsidR="0057796E" w:rsidRPr="003C281D" w:rsidRDefault="0057796E" w:rsidP="0057796E">
      <w:r w:rsidRPr="003C281D">
        <w:t xml:space="preserve">Keeping Queenslanders moving and informed during critical events is an important commitment for </w:t>
      </w:r>
      <w:r>
        <w:t>TMR</w:t>
      </w:r>
      <w:r w:rsidRPr="003C281D">
        <w:t>.</w:t>
      </w:r>
    </w:p>
    <w:p w14:paraId="7679964B" w14:textId="77777777" w:rsidR="0057796E" w:rsidRPr="003C281D" w:rsidRDefault="0057796E" w:rsidP="0057796E">
      <w:r w:rsidRPr="003C281D">
        <w:t xml:space="preserve">As part of this commitment, in 2023 </w:t>
      </w:r>
      <w:r>
        <w:t>TMR</w:t>
      </w:r>
      <w:r w:rsidRPr="003C281D">
        <w:t xml:space="preserve"> developed the first TMR-specific </w:t>
      </w:r>
      <w:r w:rsidRPr="004C7F0E">
        <w:rPr>
          <w:rStyle w:val="Emphasis"/>
        </w:rPr>
        <w:t>Crisis Communication Response Framework</w:t>
      </w:r>
      <w:r w:rsidRPr="003C281D">
        <w:t>.</w:t>
      </w:r>
    </w:p>
    <w:p w14:paraId="3187C4D1" w14:textId="77777777" w:rsidR="0057796E" w:rsidRPr="003C281D" w:rsidRDefault="0057796E" w:rsidP="0057796E">
      <w:r w:rsidRPr="003C281D">
        <w:t>The framework provides processes and guidance to harmonise communication activities, creating a clear structure for engaging external and internal stakeholders in the event of a major incident, including those related to cyber security, natural disasters</w:t>
      </w:r>
      <w:r>
        <w:t>,</w:t>
      </w:r>
      <w:r w:rsidRPr="003C281D">
        <w:t xml:space="preserve"> and terrorism activity.</w:t>
      </w:r>
      <w:r>
        <w:t xml:space="preserve"> </w:t>
      </w:r>
      <w:r w:rsidRPr="003C281D">
        <w:t>This will help ensure we provide reliable and consistent information to maintain public safety and keep customers informed.</w:t>
      </w:r>
    </w:p>
    <w:p w14:paraId="40964C49" w14:textId="77777777" w:rsidR="0057796E" w:rsidRPr="003C281D" w:rsidRDefault="0057796E" w:rsidP="0057796E">
      <w:r w:rsidRPr="003C281D">
        <w:t>The framework aligns with the </w:t>
      </w:r>
      <w:r w:rsidRPr="00DE0E95">
        <w:rPr>
          <w:rStyle w:val="Emphasis"/>
        </w:rPr>
        <w:t>Queensland Government Crisis Communication Plan</w:t>
      </w:r>
      <w:r w:rsidRPr="003C281D">
        <w:t>.</w:t>
      </w:r>
    </w:p>
    <w:p w14:paraId="60F9557F" w14:textId="77777777" w:rsidR="0057796E" w:rsidRDefault="0057796E" w:rsidP="0057796E">
      <w:pPr>
        <w:pStyle w:val="Heading3"/>
      </w:pPr>
      <w:r>
        <w:lastRenderedPageBreak/>
        <w:t>A New Customer Service Centre in Bundamba</w:t>
      </w:r>
    </w:p>
    <w:p w14:paraId="5851E631" w14:textId="77777777" w:rsidR="0057796E" w:rsidRPr="003546FA" w:rsidRDefault="0057796E" w:rsidP="0057796E">
      <w:r>
        <w:t xml:space="preserve">On 14 November 2022, TMR opened a new Customer Service Centre (CSC) at 28 Brisbane Road, Bundamba. </w:t>
      </w:r>
    </w:p>
    <w:p w14:paraId="58F8C5B5" w14:textId="77777777" w:rsidR="0057796E" w:rsidRPr="00233369" w:rsidRDefault="0057796E" w:rsidP="0057796E">
      <w:r w:rsidRPr="00233369">
        <w:t>TMR's customer service experience</w:t>
      </w:r>
      <w:r>
        <w:t xml:space="preserve"> has been redefined</w:t>
      </w:r>
      <w:r w:rsidRPr="00233369">
        <w:t xml:space="preserve"> by prioritising safety, accessibility</w:t>
      </w:r>
      <w:r>
        <w:t>,</w:t>
      </w:r>
      <w:r w:rsidRPr="00233369">
        <w:t xml:space="preserve"> and comfort for staff and customers in this modern CSC fit-out.</w:t>
      </w:r>
    </w:p>
    <w:p w14:paraId="5AC59DC6" w14:textId="77777777" w:rsidR="0057796E" w:rsidRDefault="0057796E" w:rsidP="0057796E">
      <w:r>
        <w:t>T</w:t>
      </w:r>
      <w:r w:rsidRPr="005839D9">
        <w:t>he</w:t>
      </w:r>
      <w:r>
        <w:t xml:space="preserve"> CSC has an open plan design that has </w:t>
      </w:r>
      <w:r w:rsidRPr="005839D9">
        <w:t>a mix of low set, accessible</w:t>
      </w:r>
      <w:r>
        <w:t>,</w:t>
      </w:r>
      <w:r w:rsidRPr="005839D9">
        <w:t xml:space="preserve"> and high (sit/stand) workstations for staff, a comfortable customer waiting area, </w:t>
      </w:r>
      <w:r>
        <w:t xml:space="preserve">and </w:t>
      </w:r>
      <w:r w:rsidRPr="005839D9">
        <w:t xml:space="preserve">an appointment room, </w:t>
      </w:r>
      <w:r>
        <w:t>which has created</w:t>
      </w:r>
      <w:r w:rsidRPr="005839D9">
        <w:t xml:space="preserve"> an inviting atmosphere.</w:t>
      </w:r>
    </w:p>
    <w:p w14:paraId="6A4299C8" w14:textId="422FE685" w:rsidR="0057796E" w:rsidRPr="00825684" w:rsidRDefault="0057796E" w:rsidP="0057796E">
      <w:pPr>
        <w:pStyle w:val="Heading3"/>
      </w:pPr>
      <w:r w:rsidRPr="00825684">
        <w:t xml:space="preserve">Case </w:t>
      </w:r>
      <w:r w:rsidR="00A74536">
        <w:t>s</w:t>
      </w:r>
      <w:r w:rsidRPr="00825684">
        <w:t>tudy</w:t>
      </w:r>
      <w:r w:rsidR="00A74536">
        <w:t xml:space="preserve"> </w:t>
      </w:r>
      <w:r w:rsidRPr="00825684">
        <w:t>Optus data breach</w:t>
      </w:r>
    </w:p>
    <w:p w14:paraId="18127A3B" w14:textId="77777777" w:rsidR="0057796E" w:rsidRPr="00825684" w:rsidRDefault="0057796E" w:rsidP="0057796E">
      <w:r w:rsidRPr="00825684">
        <w:t>TMR demonstrated outstanding responsiveness following the Optus data breach</w:t>
      </w:r>
      <w:r>
        <w:t xml:space="preserve"> in 2022</w:t>
      </w:r>
      <w:r w:rsidRPr="00825684">
        <w:t xml:space="preserve">. As a result of the breach, around 185,000 customers presented to TMR's </w:t>
      </w:r>
      <w:r>
        <w:t>CSCs</w:t>
      </w:r>
      <w:r w:rsidRPr="00825684">
        <w:t xml:space="preserve"> to request a new customer reference number (CRN) and replacement driver licence.</w:t>
      </w:r>
    </w:p>
    <w:p w14:paraId="17E7E47B" w14:textId="77777777" w:rsidR="0057796E" w:rsidRPr="00825684" w:rsidRDefault="0057796E" w:rsidP="0057796E">
      <w:r w:rsidRPr="00825684">
        <w:t>With normal demand of around 30 requests a week for new driver licence numbers, TMR had to rapidly make policy changes and develop new technical solutions to respond to the influx of requests. The success of the new technical solutions to manage the unprecedented demand comprised both a robotic processing automation tool and batching automation capability</w:t>
      </w:r>
      <w:r>
        <w:t xml:space="preserve"> (known as CRN cloning automation)</w:t>
      </w:r>
      <w:r w:rsidRPr="00825684">
        <w:t>.</w:t>
      </w:r>
    </w:p>
    <w:p w14:paraId="3634FB41" w14:textId="77777777" w:rsidR="0057796E" w:rsidRPr="00825684" w:rsidRDefault="0057796E" w:rsidP="0057796E">
      <w:r w:rsidRPr="00825684">
        <w:t xml:space="preserve">This significantly improved TMR's response to the increasing demand of driver licence replacements. </w:t>
      </w:r>
      <w:r>
        <w:t>TMR's</w:t>
      </w:r>
      <w:r w:rsidRPr="00825684">
        <w:t xml:space="preserve"> use of technology and dedicated hotline number improved the accuracy and efficiency of the process, resulting in increased rates of new CRNs being created.</w:t>
      </w:r>
    </w:p>
    <w:p w14:paraId="2997CBC6" w14:textId="77777777" w:rsidR="0057796E" w:rsidRDefault="0057796E" w:rsidP="0057796E">
      <w:r w:rsidRPr="00825684">
        <w:t xml:space="preserve">In addition to this, TMR worked collaboratively with multiple state and federal agencies to protect customers from unauthorised use of their identity. </w:t>
      </w:r>
      <w:r>
        <w:t>TMR</w:t>
      </w:r>
      <w:r w:rsidRPr="00825684">
        <w:t xml:space="preserve"> expedited a two-factor verification process using the document verification service run by the Department of Home Affairs. </w:t>
      </w:r>
    </w:p>
    <w:p w14:paraId="3F7138A1" w14:textId="77777777" w:rsidR="0057796E" w:rsidRPr="00825684" w:rsidRDefault="0057796E" w:rsidP="0057796E">
      <w:r w:rsidRPr="00825684">
        <w:t xml:space="preserve">This significantly reduced the risk of fraudulent activity occurring and enabled </w:t>
      </w:r>
      <w:r>
        <w:t>TMR</w:t>
      </w:r>
      <w:r w:rsidRPr="00825684">
        <w:t xml:space="preserve"> to act confidently and quickly should any further data breaches occur</w:t>
      </w:r>
      <w:r>
        <w:t>—</w:t>
      </w:r>
      <w:r w:rsidRPr="00825684">
        <w:t>reassuring Queenslanders that their information is safe.</w:t>
      </w:r>
    </w:p>
    <w:p w14:paraId="75966030" w14:textId="77777777" w:rsidR="0057796E" w:rsidRPr="001271F9" w:rsidRDefault="0057796E" w:rsidP="0057796E">
      <w:pPr>
        <w:pStyle w:val="Heading3"/>
      </w:pPr>
      <w:r w:rsidRPr="001271F9">
        <w:t>Tell us once</w:t>
      </w:r>
      <w:r>
        <w:t>—improving government services</w:t>
      </w:r>
    </w:p>
    <w:p w14:paraId="24F4FA44" w14:textId="77777777" w:rsidR="0057796E" w:rsidRDefault="0057796E" w:rsidP="0057796E">
      <w:r>
        <w:t xml:space="preserve">QGCDG is focused on improving the customer experience by delivering citizen-centric digital government services. Recognising that customers want government services that are easy to access and use, QGCDG are leading the Tell Us One (TUO) program initiative. The TUO program creates a contemporary, consistent, integrated system to deliver a simple 'one government' experience. </w:t>
      </w:r>
    </w:p>
    <w:p w14:paraId="6531BAAC" w14:textId="77777777" w:rsidR="0057796E" w:rsidRDefault="0057796E" w:rsidP="0057796E">
      <w:r>
        <w:t xml:space="preserve">TUO provides a foundational platform to seamlessly join the customer experience across Queensland Government services, from applying for a Seniors Card to lodging a rental bond, it provides a single sign-on experience, and reduced password fatigue and identity chaos. </w:t>
      </w:r>
    </w:p>
    <w:p w14:paraId="3FD34CA0" w14:textId="77777777" w:rsidR="0057796E" w:rsidRDefault="0057796E" w:rsidP="0057796E">
      <w:r>
        <w:t xml:space="preserve">The service provides convenience to customers by allowing them to manage and track their government interactions, and maintain the information they share with government, hence "Tell Us Once". Customers will be able to easily access services from the portal with a seamless experience that provides a consistent look and feel, regardless of which agency is providing the service. </w:t>
      </w:r>
    </w:p>
    <w:p w14:paraId="282F5E6F" w14:textId="77777777" w:rsidR="0057796E" w:rsidRDefault="0057796E" w:rsidP="0057796E">
      <w:r>
        <w:t xml:space="preserve">TUO is now integral to 66 government online services across many agencies. This number is increasing as agencies continue to look to use TUO components in the delivery of their digital services. </w:t>
      </w:r>
    </w:p>
    <w:p w14:paraId="3C4686AA" w14:textId="77777777" w:rsidR="0057796E" w:rsidRDefault="0057796E" w:rsidP="0057796E">
      <w:r>
        <w:t xml:space="preserve">Over eight million digital customer transactions have already been processed through TUO, offering customers the confidence of a secure authenticated and reliable experience, initially through using digital identities. </w:t>
      </w:r>
    </w:p>
    <w:p w14:paraId="78A90664" w14:textId="77777777" w:rsidR="0057796E" w:rsidRDefault="0057796E" w:rsidP="0057796E">
      <w:r>
        <w:t xml:space="preserve">QGCDG is working with partner agencies to develop and increase the online transactions for customers through the TUO Digital Transaction Platform. </w:t>
      </w:r>
    </w:p>
    <w:p w14:paraId="076713FB" w14:textId="77777777" w:rsidR="0057796E" w:rsidRDefault="0057796E" w:rsidP="0057796E">
      <w:pPr>
        <w:pStyle w:val="Heading3"/>
      </w:pPr>
      <w:r>
        <w:lastRenderedPageBreak/>
        <w:t>Smart Service Queensland</w:t>
      </w:r>
    </w:p>
    <w:p w14:paraId="18763C28" w14:textId="77777777" w:rsidR="0057796E" w:rsidRDefault="0057796E" w:rsidP="0057796E">
      <w:r>
        <w:t xml:space="preserve">Smart Service Queensland is the Queensland Government's award-winning primary point of contact for Queenslanders to access Queensland Government services through phone (13QGOV), qld.gov.au (online), and the Queensland Government Service Centres and Queensland Government Agent Program offices (counters). </w:t>
      </w:r>
    </w:p>
    <w:p w14:paraId="0AEE984F" w14:textId="77777777" w:rsidR="0057796E" w:rsidRDefault="0057796E" w:rsidP="0057796E">
      <w:r>
        <w:t xml:space="preserve">Through Smart Service, Queenslanders can access hundreds of services, 24 hours a day, seven days a week. </w:t>
      </w:r>
    </w:p>
    <w:p w14:paraId="7E55D700" w14:textId="77777777" w:rsidR="0057796E" w:rsidRDefault="0057796E" w:rsidP="0057796E">
      <w:r>
        <w:t>During the 2022–23 financial year, Smart Service managed over</w:t>
      </w:r>
    </w:p>
    <w:p w14:paraId="3E262611" w14:textId="77777777" w:rsidR="0057796E" w:rsidRDefault="0057796E" w:rsidP="0057796E">
      <w:pPr>
        <w:pStyle w:val="ListBullet"/>
      </w:pPr>
      <w:r>
        <w:t xml:space="preserve">2.5 million inbound and outbound calls </w:t>
      </w:r>
    </w:p>
    <w:p w14:paraId="588F38CF" w14:textId="77777777" w:rsidR="0057796E" w:rsidRDefault="0057796E" w:rsidP="0057796E">
      <w:pPr>
        <w:pStyle w:val="ListBullet"/>
      </w:pPr>
      <w:r>
        <w:t>110 million visits to qld.gov.au</w:t>
      </w:r>
    </w:p>
    <w:p w14:paraId="098346DA" w14:textId="77777777" w:rsidR="0057796E" w:rsidRDefault="0057796E" w:rsidP="0057796E">
      <w:pPr>
        <w:pStyle w:val="ListBullet"/>
      </w:pPr>
      <w:r>
        <w:t xml:space="preserve">6.5 million concession interactions including 671 million dollars in concession payments to over 2 million beneficiaries </w:t>
      </w:r>
    </w:p>
    <w:p w14:paraId="0C41D105" w14:textId="77777777" w:rsidR="0057796E" w:rsidRDefault="0057796E" w:rsidP="0057796E">
      <w:pPr>
        <w:pStyle w:val="ListBullet"/>
      </w:pPr>
      <w:r>
        <w:t xml:space="preserve">105,000 calls to one number for government payroll and human resources enquiries </w:t>
      </w:r>
    </w:p>
    <w:p w14:paraId="53FC6CA8" w14:textId="77777777" w:rsidR="0057796E" w:rsidRPr="00BF6F51" w:rsidRDefault="0057796E" w:rsidP="0057796E">
      <w:pPr>
        <w:pStyle w:val="ListBullet"/>
      </w:pPr>
      <w:r>
        <w:t xml:space="preserve">200,000 transactions at our three Queensland Government Service Centres and over 85 Queensland Government Agent Program offices. </w:t>
      </w:r>
    </w:p>
    <w:p w14:paraId="15E13995" w14:textId="77777777" w:rsidR="0057796E" w:rsidRDefault="0057796E" w:rsidP="0057796E">
      <w:r>
        <w:t xml:space="preserve">The team is critical in Queensland's response to disasters such as severe weather events, taking calls for State Emergency Services and the Community Recovery Hotline. </w:t>
      </w:r>
    </w:p>
    <w:p w14:paraId="0799063B" w14:textId="77777777" w:rsidR="00A74536" w:rsidRDefault="0057796E" w:rsidP="00A74536">
      <w:r>
        <w:t>In October 2022, the Smart Service team won seven of the 12 awards at the Queensland Auscontact Industry Awards 2022. The team then went on to win five awards at the 2022 Auscontact National Excellence Awards.</w:t>
      </w:r>
    </w:p>
    <w:p w14:paraId="7C049C14" w14:textId="77777777" w:rsidR="00C6602D" w:rsidRDefault="00C6602D">
      <w:pPr>
        <w:spacing w:before="0" w:after="160" w:line="259" w:lineRule="auto"/>
        <w:rPr>
          <w:rFonts w:eastAsiaTheme="majorEastAsia" w:cstheme="majorBidi"/>
          <w:color w:val="000000" w:themeColor="text1"/>
          <w:sz w:val="48"/>
          <w:szCs w:val="26"/>
        </w:rPr>
      </w:pPr>
      <w:r>
        <w:br w:type="page"/>
      </w:r>
    </w:p>
    <w:p w14:paraId="38A7E8E3" w14:textId="1788F3FB" w:rsidR="0057796E" w:rsidRDefault="0057796E" w:rsidP="0057796E">
      <w:pPr>
        <w:pStyle w:val="Heading2"/>
      </w:pPr>
      <w:r w:rsidRPr="004A7E50">
        <w:lastRenderedPageBreak/>
        <w:t>Digitising customer interactions</w:t>
      </w:r>
    </w:p>
    <w:p w14:paraId="1C9E2DE0" w14:textId="77777777" w:rsidR="0057796E" w:rsidRPr="00DC1A33" w:rsidRDefault="0057796E" w:rsidP="0057796E">
      <w:pPr>
        <w:pStyle w:val="Heading3"/>
      </w:pPr>
      <w:r>
        <w:t>Translink digital channels</w:t>
      </w:r>
    </w:p>
    <w:p w14:paraId="7B52A2F1" w14:textId="77777777" w:rsidR="0057796E" w:rsidRPr="00092785" w:rsidRDefault="0057796E" w:rsidP="0057796E">
      <w:r w:rsidRPr="00092785">
        <w:t>In 2022</w:t>
      </w:r>
      <w:r>
        <w:t xml:space="preserve">–23, </w:t>
      </w:r>
      <w:r w:rsidRPr="00092785">
        <w:t>the Translink website, Journey Planner website</w:t>
      </w:r>
      <w:r>
        <w:t>,</w:t>
      </w:r>
      <w:r w:rsidRPr="00092785">
        <w:t xml:space="preserve"> and Translink app continue</w:t>
      </w:r>
      <w:r>
        <w:t>d</w:t>
      </w:r>
      <w:r w:rsidRPr="00092785">
        <w:t xml:space="preserve"> to provide customers with accessible, reliable, and easy-to-use journey planning, timetables</w:t>
      </w:r>
      <w:r>
        <w:t>,</w:t>
      </w:r>
      <w:r w:rsidRPr="00092785">
        <w:t xml:space="preserve"> and passenger information. </w:t>
      </w:r>
    </w:p>
    <w:p w14:paraId="2C41FD13" w14:textId="77777777" w:rsidR="0057796E" w:rsidRDefault="0057796E" w:rsidP="0057796E">
      <w:r>
        <w:t>C</w:t>
      </w:r>
      <w:r w:rsidRPr="00092785">
        <w:t>ustomers have</w:t>
      </w:r>
      <w:r>
        <w:t xml:space="preserve"> increasingly</w:t>
      </w:r>
      <w:r w:rsidRPr="00092785">
        <w:t xml:space="preserve"> </w:t>
      </w:r>
      <w:r>
        <w:t>utilised</w:t>
      </w:r>
      <w:r w:rsidRPr="00092785">
        <w:t xml:space="preserve"> Translink's digital channels</w:t>
      </w:r>
      <w:r>
        <w:t xml:space="preserve"> (Translink website, Journey Planner webiste, and Translink app), </w:t>
      </w:r>
      <w:r w:rsidRPr="00092785">
        <w:t xml:space="preserve">and have completed </w:t>
      </w:r>
      <w:r>
        <w:t>a combined 63</w:t>
      </w:r>
      <w:r w:rsidRPr="00092785">
        <w:t xml:space="preserve"> million sessions, a</w:t>
      </w:r>
      <w:r>
        <w:t>n</w:t>
      </w:r>
      <w:r w:rsidRPr="00092785">
        <w:t xml:space="preserve"> </w:t>
      </w:r>
      <w:r>
        <w:t>11 per cent</w:t>
      </w:r>
      <w:r w:rsidRPr="00092785">
        <w:t xml:space="preserve"> increase from last year. </w:t>
      </w:r>
    </w:p>
    <w:p w14:paraId="7A968FC0" w14:textId="77777777" w:rsidR="0057796E" w:rsidRDefault="0057796E" w:rsidP="0057796E">
      <w:pPr>
        <w:rPr>
          <w:rStyle w:val="Hyperlink"/>
        </w:rPr>
      </w:pPr>
      <w:r>
        <w:t xml:space="preserve">Translink's </w:t>
      </w:r>
      <w:r w:rsidRPr="00092785">
        <w:t>digital channels are helping customers get back into their pre-C</w:t>
      </w:r>
      <w:r>
        <w:t>OVID-19</w:t>
      </w:r>
      <w:r w:rsidRPr="00092785">
        <w:t xml:space="preserve"> travel routines with </w:t>
      </w:r>
      <w:r>
        <w:t>more than 17 million annual</w:t>
      </w:r>
      <w:r w:rsidRPr="00092785">
        <w:t xml:space="preserve"> journey plans made</w:t>
      </w:r>
      <w:r>
        <w:t xml:space="preserve"> in 2022–23, </w:t>
      </w:r>
      <w:r w:rsidRPr="00092785">
        <w:t>and 1</w:t>
      </w:r>
      <w:r>
        <w:t>72</w:t>
      </w:r>
      <w:r w:rsidRPr="00092785">
        <w:t>,000</w:t>
      </w:r>
      <w:r>
        <w:t xml:space="preserve"> </w:t>
      </w:r>
      <w:r w:rsidRPr="00092785">
        <w:t>customers using the app every week.</w:t>
      </w:r>
    </w:p>
    <w:p w14:paraId="7D15AE62" w14:textId="77777777" w:rsidR="0057796E" w:rsidRDefault="0057796E" w:rsidP="0057796E">
      <w:pPr>
        <w:pStyle w:val="ForMoreInformation"/>
        <w:rPr>
          <w:rStyle w:val="Hyperlink"/>
        </w:rPr>
      </w:pPr>
      <w:r>
        <w:t>For more information</w:t>
      </w:r>
      <w:r>
        <w:br/>
      </w:r>
      <w:hyperlink r:id="rId67" w:history="1">
        <w:r w:rsidRPr="00135405">
          <w:rPr>
            <w:rStyle w:val="Hyperlink"/>
          </w:rPr>
          <w:t>https://translink.com.au/</w:t>
        </w:r>
      </w:hyperlink>
    </w:p>
    <w:p w14:paraId="43CFECB3" w14:textId="77777777" w:rsidR="0057796E" w:rsidRPr="002766D1" w:rsidRDefault="0057796E" w:rsidP="0057796E">
      <w:pPr>
        <w:pStyle w:val="Heading3"/>
      </w:pPr>
      <w:r w:rsidRPr="002766D1">
        <w:t xml:space="preserve">Digital </w:t>
      </w:r>
      <w:r>
        <w:t>L</w:t>
      </w:r>
      <w:r w:rsidRPr="002766D1">
        <w:t>icence</w:t>
      </w:r>
    </w:p>
    <w:p w14:paraId="1AB855B0" w14:textId="77777777" w:rsidR="0057796E" w:rsidRPr="002766D1" w:rsidRDefault="0057796E" w:rsidP="0057796E">
      <w:r w:rsidRPr="002766D1">
        <w:t xml:space="preserve">The </w:t>
      </w:r>
      <w:r>
        <w:t>D</w:t>
      </w:r>
      <w:r w:rsidRPr="002766D1">
        <w:t xml:space="preserve">igital </w:t>
      </w:r>
      <w:r>
        <w:t>L</w:t>
      </w:r>
      <w:r w:rsidRPr="002766D1">
        <w:t>icence is a</w:t>
      </w:r>
      <w:r>
        <w:t>n</w:t>
      </w:r>
      <w:r w:rsidRPr="002766D1">
        <w:t xml:space="preserve"> initiative that allows customers the option to access their licence and other government issued credentials through a mobile device. The </w:t>
      </w:r>
      <w:r>
        <w:t>D</w:t>
      </w:r>
      <w:r w:rsidRPr="002766D1">
        <w:t xml:space="preserve">igital </w:t>
      </w:r>
      <w:r>
        <w:t>L</w:t>
      </w:r>
      <w:r w:rsidRPr="002766D1">
        <w:t>icence will make it easier and safer for Queenslanders to share their information and control how much information they share with others.</w:t>
      </w:r>
    </w:p>
    <w:p w14:paraId="2CBBFF6E" w14:textId="77777777" w:rsidR="0057796E" w:rsidRPr="002766D1" w:rsidRDefault="0057796E" w:rsidP="0057796E">
      <w:r w:rsidRPr="002766D1">
        <w:t xml:space="preserve">The </w:t>
      </w:r>
      <w:r>
        <w:t>D</w:t>
      </w:r>
      <w:r w:rsidRPr="002766D1">
        <w:t xml:space="preserve">igital </w:t>
      </w:r>
      <w:r>
        <w:t>L</w:t>
      </w:r>
      <w:r w:rsidRPr="002766D1">
        <w:t>icence conducted an expanded pilot in Townsville in 2023. Expanding the tr</w:t>
      </w:r>
      <w:r>
        <w:t>ial</w:t>
      </w:r>
      <w:r w:rsidRPr="002766D1">
        <w:t xml:space="preserve"> to Townsville allowed </w:t>
      </w:r>
      <w:r>
        <w:t>TMR</w:t>
      </w:r>
      <w:r w:rsidRPr="002766D1">
        <w:t xml:space="preserve"> to test the app with a much larger user base, including the largest population of young </w:t>
      </w:r>
      <w:r>
        <w:t>adults</w:t>
      </w:r>
      <w:r w:rsidRPr="002766D1">
        <w:t xml:space="preserve"> outside of South East Queensland.</w:t>
      </w:r>
      <w:r w:rsidRPr="009339EA">
        <w:t xml:space="preserve"> Townsville will also allow for additional testing of the app to include its acceptance in venues within the SafeNight precincts where legislation requires identification to be scanned on entry. </w:t>
      </w:r>
    </w:p>
    <w:p w14:paraId="4342E52B" w14:textId="77777777" w:rsidR="0057796E" w:rsidRPr="002766D1" w:rsidRDefault="0057796E" w:rsidP="0057796E">
      <w:r w:rsidRPr="002766D1">
        <w:t xml:space="preserve">The Queensland </w:t>
      </w:r>
      <w:r>
        <w:t>D</w:t>
      </w:r>
      <w:r w:rsidRPr="002766D1">
        <w:t xml:space="preserve">igital </w:t>
      </w:r>
      <w:r>
        <w:t>L</w:t>
      </w:r>
      <w:r w:rsidRPr="002766D1">
        <w:t xml:space="preserve">icence </w:t>
      </w:r>
      <w:r>
        <w:t xml:space="preserve">is the first Digital Licence in Australia that </w:t>
      </w:r>
      <w:r w:rsidRPr="002766D1">
        <w:t xml:space="preserve">has been built to the International Standard for mobile driver licences </w:t>
      </w:r>
      <w:r w:rsidRPr="00CB1C13">
        <w:t>(ISO IEC 18013-5)</w:t>
      </w:r>
      <w:r>
        <w:t>,</w:t>
      </w:r>
      <w:r w:rsidRPr="00CB1C13">
        <w:t xml:space="preserve"> </w:t>
      </w:r>
      <w:r w:rsidRPr="002766D1">
        <w:t xml:space="preserve">meaning that Queenslanders are able to </w:t>
      </w:r>
      <w:r>
        <w:t>use</w:t>
      </w:r>
      <w:r w:rsidRPr="002766D1">
        <w:t xml:space="preserve"> their </w:t>
      </w:r>
      <w:r>
        <w:t>D</w:t>
      </w:r>
      <w:r w:rsidRPr="002766D1">
        <w:t xml:space="preserve">igital </w:t>
      </w:r>
      <w:r>
        <w:t>L</w:t>
      </w:r>
      <w:r w:rsidRPr="002766D1">
        <w:t xml:space="preserve">icence </w:t>
      </w:r>
      <w:r>
        <w:t>in</w:t>
      </w:r>
      <w:r w:rsidRPr="002766D1">
        <w:t xml:space="preserve"> other jurisdictions that build to that standard. </w:t>
      </w:r>
      <w:r>
        <w:t xml:space="preserve">It works with TUO to seamlessly join the customer experience across other Queensland Government services. </w:t>
      </w:r>
      <w:r w:rsidRPr="002766D1">
        <w:t xml:space="preserve">  </w:t>
      </w:r>
    </w:p>
    <w:p w14:paraId="785E8406" w14:textId="77777777" w:rsidR="0057796E" w:rsidRPr="002766D1" w:rsidRDefault="0057796E" w:rsidP="0057796E">
      <w:r w:rsidRPr="002766D1">
        <w:t xml:space="preserve">The </w:t>
      </w:r>
      <w:r>
        <w:t>D</w:t>
      </w:r>
      <w:r w:rsidRPr="002766D1">
        <w:t xml:space="preserve">igital </w:t>
      </w:r>
      <w:r>
        <w:t>L</w:t>
      </w:r>
      <w:r w:rsidRPr="002766D1">
        <w:t xml:space="preserve">icence will not be mandatory. A physical version of the licence will continue to be issued. The </w:t>
      </w:r>
      <w:r>
        <w:t>D</w:t>
      </w:r>
      <w:r w:rsidRPr="002766D1">
        <w:t xml:space="preserve">igital </w:t>
      </w:r>
      <w:r>
        <w:t>L</w:t>
      </w:r>
      <w:r w:rsidRPr="002766D1">
        <w:t xml:space="preserve">icence will be made available statewide later this year. </w:t>
      </w:r>
    </w:p>
    <w:p w14:paraId="5CFBDF7A" w14:textId="77777777" w:rsidR="0057796E" w:rsidRPr="00396614" w:rsidRDefault="0057796E" w:rsidP="0057796E">
      <w:pPr>
        <w:pStyle w:val="ForMoreInformation"/>
        <w:rPr>
          <w:rStyle w:val="Hyperlink"/>
        </w:rPr>
      </w:pPr>
      <w:r w:rsidRPr="002766D1">
        <w:t>For more information</w:t>
      </w:r>
      <w:r>
        <w:br/>
      </w:r>
      <w:r w:rsidRPr="00396614">
        <w:rPr>
          <w:rStyle w:val="Hyperlink"/>
        </w:rPr>
        <w:t>https://www.qld.gov.au/transport/projects/digital-licence</w:t>
      </w:r>
    </w:p>
    <w:p w14:paraId="45B92A8E" w14:textId="77777777" w:rsidR="0057796E" w:rsidRPr="00AF6BC8" w:rsidRDefault="0057796E" w:rsidP="0057796E">
      <w:pPr>
        <w:pStyle w:val="Heading3"/>
      </w:pPr>
      <w:r w:rsidRPr="004620DA">
        <w:t xml:space="preserve">Digitisation of design and asset data </w:t>
      </w:r>
    </w:p>
    <w:p w14:paraId="6BA25E41" w14:textId="77777777" w:rsidR="0057796E" w:rsidRDefault="0057796E" w:rsidP="0057796E">
      <w:r>
        <w:t xml:space="preserve">TMR has used the process of building information modelling (BIM) on major transport-related projects since 2016.  </w:t>
      </w:r>
    </w:p>
    <w:p w14:paraId="4F06C731" w14:textId="77777777" w:rsidR="0057796E" w:rsidRDefault="0057796E" w:rsidP="0057796E">
      <w:r w:rsidRPr="000A70D6">
        <w:t>BIM is an innovative digital engineering process that digitally captures information about a transport-related asset. It is a digital representation of the asset, including all data relating to its design, construction, and operation.</w:t>
      </w:r>
    </w:p>
    <w:p w14:paraId="52148C13" w14:textId="77777777" w:rsidR="0057796E" w:rsidRPr="004A578C" w:rsidRDefault="0057796E" w:rsidP="0057796E">
      <w:r>
        <w:t xml:space="preserve">With the ongoing development and refinement of BIM over the years, it has been incorporated into </w:t>
      </w:r>
      <w:r w:rsidRPr="004A578C">
        <w:t>more than 40 projects</w:t>
      </w:r>
      <w:r>
        <w:t xml:space="preserve"> since its inception</w:t>
      </w:r>
      <w:r w:rsidRPr="004A578C">
        <w:t xml:space="preserve">, resulting in a richer asset dataset for </w:t>
      </w:r>
      <w:r>
        <w:t>TMR</w:t>
      </w:r>
      <w:r w:rsidRPr="004A578C">
        <w:t>.</w:t>
      </w:r>
    </w:p>
    <w:p w14:paraId="794E969B" w14:textId="77777777" w:rsidR="0057796E" w:rsidRDefault="0057796E" w:rsidP="0057796E">
      <w:r>
        <w:t xml:space="preserve">This richer dataset allows for greater information sharing and collaboration, better informed decision-making about TMR's assets, and reduced errors in the assets' planning, design, and construction. </w:t>
      </w:r>
    </w:p>
    <w:p w14:paraId="56F4B31D" w14:textId="77777777" w:rsidR="0057796E" w:rsidRDefault="0057796E" w:rsidP="0057796E">
      <w:r>
        <w:t xml:space="preserve">This past year, TMR has continued building the internal capability of BIM and awareness and understanding of it with industry.    </w:t>
      </w:r>
    </w:p>
    <w:p w14:paraId="048854A7" w14:textId="77777777" w:rsidR="0057796E" w:rsidRDefault="0057796E" w:rsidP="0057796E">
      <w:r>
        <w:t xml:space="preserve">Using BIM and other digitised asset data is TMR's response to the Queensland government's digital by default mandate. </w:t>
      </w:r>
    </w:p>
    <w:p w14:paraId="7D243A78" w14:textId="77777777" w:rsidR="0057796E" w:rsidRPr="00756FBC" w:rsidRDefault="0057796E" w:rsidP="0057796E">
      <w:pPr>
        <w:pStyle w:val="Heading3"/>
      </w:pPr>
      <w:r>
        <w:lastRenderedPageBreak/>
        <w:t>Compliance audit tool</w:t>
      </w:r>
    </w:p>
    <w:p w14:paraId="71E40973" w14:textId="77777777" w:rsidR="0057796E" w:rsidRPr="00F64735" w:rsidRDefault="0057796E" w:rsidP="0057796E">
      <w:r w:rsidRPr="00F64735">
        <w:t xml:space="preserve">In an effort to streamline the compliance auditing process and improve the quality of data captured, TMR implemented a new digital </w:t>
      </w:r>
      <w:r>
        <w:t xml:space="preserve">tool in December 2022 to </w:t>
      </w:r>
      <w:r w:rsidRPr="00F64735">
        <w:t>audit</w:t>
      </w:r>
      <w:r>
        <w:t xml:space="preserve"> </w:t>
      </w:r>
      <w:r w:rsidRPr="00F64735">
        <w:t>Approved Inspection Stations.</w:t>
      </w:r>
    </w:p>
    <w:p w14:paraId="544B645B" w14:textId="77777777" w:rsidR="0057796E" w:rsidRDefault="0057796E" w:rsidP="0057796E">
      <w:r w:rsidRPr="00F64735">
        <w:t>This innovative tool allows Transport Inspectors to capture and record A</w:t>
      </w:r>
      <w:r>
        <w:t>pproved Inspection Stations</w:t>
      </w:r>
      <w:r w:rsidRPr="00F64735">
        <w:t xml:space="preserve"> audit activities using iPad devices, replacing the previously manual, paper-based process. </w:t>
      </w:r>
    </w:p>
    <w:p w14:paraId="6B55E055" w14:textId="77777777" w:rsidR="0057796E" w:rsidRPr="00F64735" w:rsidRDefault="0057796E" w:rsidP="0057796E">
      <w:r w:rsidRPr="00F64735">
        <w:t>The digitisation of this process has resulted in significant improvements to business efficiency and has also improved the consistency and quality of data captured.</w:t>
      </w:r>
    </w:p>
    <w:p w14:paraId="588BFE96" w14:textId="77777777" w:rsidR="0057796E" w:rsidRPr="00F64735" w:rsidRDefault="0057796E" w:rsidP="0057796E">
      <w:r w:rsidRPr="00F64735">
        <w:t>Through workflow redesign and automation of manual processes, the new digital auditing tool has delivered a more streamlined compliance auditing process. With the ability to capture and record data in real-time, the tool provides a more accurate and comprehensive overview of the audit process, allowing for better decision-making and more efficient management of resources.</w:t>
      </w:r>
    </w:p>
    <w:p w14:paraId="0DB294F1" w14:textId="77777777" w:rsidR="0057796E" w:rsidRPr="00F64735" w:rsidRDefault="0057796E" w:rsidP="0057796E">
      <w:r w:rsidRPr="00F64735">
        <w:t xml:space="preserve">The benefits of this digital auditing tool have been widely recognised, with TMR reporting a significant improvement in data quality and consistency. In addition, the tool has enabled greater collaboration and communication between Transport Inspectors, </w:t>
      </w:r>
      <w:r>
        <w:t>Approved Inspection Stations</w:t>
      </w:r>
      <w:r w:rsidRPr="00F64735">
        <w:t xml:space="preserve"> operators</w:t>
      </w:r>
      <w:r>
        <w:t>,</w:t>
      </w:r>
      <w:r w:rsidRPr="00F64735">
        <w:t xml:space="preserve"> and other stakeholders, leading to a more coordinated and efficient audit process.</w:t>
      </w:r>
    </w:p>
    <w:p w14:paraId="170889DD" w14:textId="77777777" w:rsidR="0057796E" w:rsidRPr="006143FF" w:rsidRDefault="0057796E" w:rsidP="0057796E">
      <w:r w:rsidRPr="00F64735">
        <w:t>Overall, the implementation of this new digital auditing tool demonstrates TMR's commitment to leveraging technology to improve business efficiency and deliver better outcomes for its stakeholders. As a result, TMR continues to lead the way in the adoption of innovative technologies that enhance its services and improve the safety and experience of Queensland road users.</w:t>
      </w:r>
    </w:p>
    <w:p w14:paraId="3D9DB27C" w14:textId="77777777" w:rsidR="0057796E" w:rsidRPr="00DC1A33" w:rsidRDefault="0057796E" w:rsidP="0057796E">
      <w:pPr>
        <w:pStyle w:val="Heading3"/>
      </w:pPr>
      <w:r>
        <w:t>Online services improvements</w:t>
      </w:r>
    </w:p>
    <w:p w14:paraId="65D518A9" w14:textId="77777777" w:rsidR="0057796E" w:rsidRPr="006143FF" w:rsidRDefault="0057796E" w:rsidP="0057796E">
      <w:r>
        <w:t>TMR</w:t>
      </w:r>
      <w:r w:rsidRPr="006143FF">
        <w:t xml:space="preserve"> has made significant strides in its continuous improvement of the digital service delivery channel during 2022</w:t>
      </w:r>
      <w:r>
        <w:t>–</w:t>
      </w:r>
      <w:r w:rsidRPr="006143FF">
        <w:t>23. These efforts have resulted in a significantly enhanced customer experience, contributing to the growth of this</w:t>
      </w:r>
      <w:r>
        <w:t xml:space="preserve"> online</w:t>
      </w:r>
      <w:r w:rsidRPr="006143FF">
        <w:t xml:space="preserve"> channel.</w:t>
      </w:r>
    </w:p>
    <w:p w14:paraId="3B1FEE86" w14:textId="77777777" w:rsidR="0057796E" w:rsidRPr="006143FF" w:rsidRDefault="0057796E" w:rsidP="0057796E">
      <w:r w:rsidRPr="006143FF">
        <w:t xml:space="preserve">Some of the key enhancements made to online services during this period include further improvements to the online authentication process, which has improved security while also making the process more user-friendly. </w:t>
      </w:r>
    </w:p>
    <w:p w14:paraId="530E706E" w14:textId="77777777" w:rsidR="0057796E" w:rsidRPr="006143FF" w:rsidRDefault="0057796E" w:rsidP="0057796E">
      <w:r w:rsidRPr="006143FF">
        <w:t>Additionally, changes to key infringement</w:t>
      </w:r>
      <w:r>
        <w:t>-</w:t>
      </w:r>
      <w:r w:rsidRPr="006143FF">
        <w:t>related online services have simplified and streamlined the process, making it more accessible to customers.</w:t>
      </w:r>
    </w:p>
    <w:p w14:paraId="6BFC1F6C" w14:textId="77777777" w:rsidR="0057796E" w:rsidRPr="006143FF" w:rsidRDefault="0057796E" w:rsidP="0057796E">
      <w:r w:rsidRPr="006143FF">
        <w:t>Updates to the Q</w:t>
      </w:r>
      <w:r>
        <w:t>ueensland</w:t>
      </w:r>
      <w:r w:rsidRPr="006143FF">
        <w:t xml:space="preserve"> Learner Logbook app and practical driving test booking process have also been made, making it easier for customers to manage their learner driver experience. These updates have contributed to a smoother and more efficient process for all users.</w:t>
      </w:r>
    </w:p>
    <w:p w14:paraId="424E6EEA" w14:textId="77777777" w:rsidR="0057796E" w:rsidRPr="006143FF" w:rsidRDefault="0057796E" w:rsidP="0057796E">
      <w:r w:rsidRPr="006143FF">
        <w:t>TMR has also extended the choice for customers to receive transaction documents by email, improving convenience and reducing paper usage. Simplified language and instructions have been implemented across many online services, making them more accessible to a wider range of customers.</w:t>
      </w:r>
    </w:p>
    <w:p w14:paraId="5601EA70" w14:textId="77777777" w:rsidR="0057796E" w:rsidRDefault="0057796E" w:rsidP="0057796E">
      <w:r w:rsidRPr="006143FF">
        <w:t>Overall, TMR's commitment to continuous improvement of the digital service delivery channel has resulted in a significantly enhanced customer experience. These efforts have contributed to the growth of this channel, providing a more accessible,</w:t>
      </w:r>
      <w:r>
        <w:t xml:space="preserve"> </w:t>
      </w:r>
      <w:r w:rsidRPr="006143FF">
        <w:t>efficient</w:t>
      </w:r>
      <w:r>
        <w:t>,</w:t>
      </w:r>
      <w:r w:rsidRPr="006143FF">
        <w:t xml:space="preserve"> and convenient service to the Queensland community.</w:t>
      </w:r>
    </w:p>
    <w:p w14:paraId="228BA5F4" w14:textId="77777777" w:rsidR="0057796E" w:rsidRDefault="0057796E" w:rsidP="0057796E">
      <w:pPr>
        <w:pStyle w:val="Heading3"/>
      </w:pPr>
      <w:r>
        <w:t>TMR Internet Strategy 2022–2025</w:t>
      </w:r>
    </w:p>
    <w:p w14:paraId="626A3E41" w14:textId="77777777" w:rsidR="0057796E" w:rsidRPr="00CA54BA" w:rsidRDefault="0057796E" w:rsidP="0057796E">
      <w:r>
        <w:t xml:space="preserve">The </w:t>
      </w:r>
      <w:r w:rsidRPr="00F548FA">
        <w:t xml:space="preserve">TMR </w:t>
      </w:r>
      <w:r w:rsidRPr="00A27B99">
        <w:rPr>
          <w:rStyle w:val="Emphasis"/>
        </w:rPr>
        <w:t>Internet Strategy 2022</w:t>
      </w:r>
      <w:r>
        <w:rPr>
          <w:rStyle w:val="Emphasis"/>
        </w:rPr>
        <w:t>–</w:t>
      </w:r>
      <w:r w:rsidRPr="00A27B99">
        <w:rPr>
          <w:rStyle w:val="Emphasis"/>
        </w:rPr>
        <w:t>2025</w:t>
      </w:r>
      <w:r>
        <w:t xml:space="preserve"> </w:t>
      </w:r>
      <w:r w:rsidRPr="00F548FA">
        <w:t>was finalised in July 2022</w:t>
      </w:r>
      <w:r>
        <w:t xml:space="preserve">. </w:t>
      </w:r>
      <w:r w:rsidRPr="00CA54BA">
        <w:t>The strategy has been developed to benchmark our various websites, platforms</w:t>
      </w:r>
      <w:r>
        <w:t>,</w:t>
      </w:r>
      <w:r w:rsidRPr="00CA54BA">
        <w:t xml:space="preserve"> and apps under the vision of connecting Queenslanders through timely, informative, accessible, and consistent communication relating to their transport network.  </w:t>
      </w:r>
    </w:p>
    <w:p w14:paraId="20E341CB" w14:textId="77777777" w:rsidR="0057796E" w:rsidRPr="00CA54BA" w:rsidRDefault="0057796E" w:rsidP="0057796E">
      <w:r w:rsidRPr="00CA54BA">
        <w:t>Its purpose is to set the long-term strategic goal of a first-class customer experience for Queenslanders on any of our digital touchpoints.</w:t>
      </w:r>
    </w:p>
    <w:p w14:paraId="495FDE17" w14:textId="77777777" w:rsidR="0057796E" w:rsidRPr="00CA54BA" w:rsidRDefault="0057796E" w:rsidP="0057796E">
      <w:r>
        <w:t>TMR</w:t>
      </w:r>
      <w:r w:rsidRPr="00CA54BA">
        <w:t xml:space="preserve"> is one of the largest providers of digital information and services, with over a million interactions each week. </w:t>
      </w:r>
    </w:p>
    <w:p w14:paraId="7DD7EDEC" w14:textId="77777777" w:rsidR="0057796E" w:rsidRPr="00CA54BA" w:rsidRDefault="0057796E" w:rsidP="0057796E">
      <w:r w:rsidRPr="00CA54BA">
        <w:t>With this demand only set to grow, it’s important to have an internet strategy to provide overarching guidance to the online products we develop and deliver, while ultimately aiming to provide a seamless and easy digital experience for our customers.</w:t>
      </w:r>
    </w:p>
    <w:p w14:paraId="5FCF6135" w14:textId="77777777" w:rsidR="0057796E" w:rsidRDefault="0057796E" w:rsidP="0057796E">
      <w:r>
        <w:lastRenderedPageBreak/>
        <w:t>Several key initiatives are being implemented under the strategy, with the accessibility of all TMR digital services prioritised for delivery based on whole-of-government digital services policies and accessibility requirements developed by QGCDG.</w:t>
      </w:r>
    </w:p>
    <w:p w14:paraId="31D10C71" w14:textId="77777777" w:rsidR="0057796E" w:rsidRDefault="0057796E" w:rsidP="0057796E">
      <w:pPr>
        <w:pStyle w:val="Heading3"/>
      </w:pPr>
      <w:r>
        <w:t>Digitally connecting Queensland</w:t>
      </w:r>
    </w:p>
    <w:p w14:paraId="3BD70AE4" w14:textId="77777777" w:rsidR="0057796E" w:rsidRDefault="0057796E" w:rsidP="0057796E">
      <w:r>
        <w:t xml:space="preserve">The Queensland Government is committed to improving digital connectivity, particularly for people and business in regional, rural, remote, and First Nations communities. Connectivity improves access to education, innovation, healthcare, employment, and goods and services. </w:t>
      </w:r>
    </w:p>
    <w:p w14:paraId="43C99D60" w14:textId="77777777" w:rsidR="0057796E" w:rsidRDefault="0057796E" w:rsidP="0057796E">
      <w:r>
        <w:t xml:space="preserve">The QGCDG is leading implementation of the </w:t>
      </w:r>
      <w:r>
        <w:rPr>
          <w:rStyle w:val="Emphasis"/>
        </w:rPr>
        <w:t>Our Thriving Digital Future: 2023–26 Action Plan</w:t>
      </w:r>
      <w:r>
        <w:t xml:space="preserve">, which provides $120 million co-investment to improve state-wide digital connectivity. </w:t>
      </w:r>
    </w:p>
    <w:p w14:paraId="28A74FD5" w14:textId="77777777" w:rsidR="0057796E" w:rsidRDefault="0057796E" w:rsidP="0057796E">
      <w:r>
        <w:t xml:space="preserve">In 2022–23, the Queensland Government signed agreements to co-invest $10.9 million in 15 projects in regional and remote Queensland. This co-investment delivers connectivity improvements worth $53.6 million. </w:t>
      </w:r>
    </w:p>
    <w:p w14:paraId="35AE5DB2" w14:textId="77777777" w:rsidR="0057796E" w:rsidRDefault="0057796E" w:rsidP="0057796E">
      <w:r>
        <w:t xml:space="preserve">These 15 projects are in outback and Far North Queensland locations including Doomadgee, Lockhart River, Seisia, Burketown, and Boulia; and locations in Central Queensland, Wide Bay, Darling Downs, and Mackay-Whitsundays. </w:t>
      </w:r>
    </w:p>
    <w:p w14:paraId="7D4D3BCB" w14:textId="77777777" w:rsidR="0057796E" w:rsidRDefault="0057796E" w:rsidP="0057796E">
      <w:r>
        <w:t xml:space="preserve">QGCDG is works closely with telecommunication carriers, the Australian Government, and local councils to improve connectivity, experience, and resilience to ensure people can access reliable digital infrastructure regardless of location. </w:t>
      </w:r>
    </w:p>
    <w:p w14:paraId="16FBDB8D" w14:textId="77777777" w:rsidR="0057796E" w:rsidRDefault="0057796E" w:rsidP="0057796E">
      <w:pPr>
        <w:pStyle w:val="Heading3"/>
      </w:pPr>
      <w:r>
        <w:t xml:space="preserve">Queensland Government Regional Network expansion </w:t>
      </w:r>
    </w:p>
    <w:p w14:paraId="57226CFD" w14:textId="77777777" w:rsidR="0057796E" w:rsidRDefault="0057796E" w:rsidP="0057796E">
      <w:r>
        <w:t xml:space="preserve">In 2018, the QGCDG's CITEC business area established the Queensland Government Regional Network (QGRN) to optimise regional communication. </w:t>
      </w:r>
    </w:p>
    <w:p w14:paraId="5EBC0BA9" w14:textId="77777777" w:rsidR="0057796E" w:rsidRDefault="0057796E" w:rsidP="0057796E">
      <w:r>
        <w:t xml:space="preserve">The QGRN provides a high availability network using the collective buying power of government agencies to deliver lower network costs and higher network performance across Queensland through reduced duplication. </w:t>
      </w:r>
    </w:p>
    <w:p w14:paraId="6F1845DB" w14:textId="77777777" w:rsidR="0057796E" w:rsidRDefault="0057796E" w:rsidP="0057796E">
      <w:r>
        <w:t xml:space="preserve">The QGRN aggregates the networks and increases competition in each area to stimulate the carrier market to provide more competitive offerings. An initial pilot was scaled up for all state government agencies. </w:t>
      </w:r>
    </w:p>
    <w:p w14:paraId="113CDF3E" w14:textId="77777777" w:rsidR="0057796E" w:rsidRDefault="0057796E" w:rsidP="0057796E">
      <w:r>
        <w:t xml:space="preserve">QGRN has so far delivered over 582 services with 30 hubs across Queensland. The average cost to agencies was reduced by 40 per cent and network capability increased by 40 times. </w:t>
      </w:r>
    </w:p>
    <w:p w14:paraId="6E811E6E" w14:textId="77777777" w:rsidR="00A74536" w:rsidRDefault="0057796E" w:rsidP="00A74536">
      <w:r>
        <w:t xml:space="preserve">The department will next work with local councils to serve Queensland's First Nations communities to support bringing digital equity across rural, remote, and urban areas. </w:t>
      </w:r>
    </w:p>
    <w:p w14:paraId="77B8CD30" w14:textId="77777777" w:rsidR="00C6602D" w:rsidRDefault="00C6602D">
      <w:pPr>
        <w:spacing w:before="0" w:after="160" w:line="259" w:lineRule="auto"/>
        <w:rPr>
          <w:rFonts w:eastAsiaTheme="majorEastAsia" w:cstheme="majorBidi"/>
          <w:color w:val="000000" w:themeColor="text1"/>
          <w:sz w:val="48"/>
          <w:szCs w:val="26"/>
        </w:rPr>
      </w:pPr>
      <w:r>
        <w:br w:type="page"/>
      </w:r>
    </w:p>
    <w:p w14:paraId="2D3C47E1" w14:textId="57E4986F" w:rsidR="0057796E" w:rsidRPr="00756FBC" w:rsidRDefault="0057796E" w:rsidP="0057796E">
      <w:pPr>
        <w:pStyle w:val="Heading2"/>
      </w:pPr>
      <w:r>
        <w:lastRenderedPageBreak/>
        <w:t>Engaging with industry</w:t>
      </w:r>
    </w:p>
    <w:p w14:paraId="7C9E5A8D" w14:textId="77777777" w:rsidR="0057796E" w:rsidRPr="0097440F" w:rsidRDefault="0057796E" w:rsidP="0057796E">
      <w:pPr>
        <w:pStyle w:val="Heading3"/>
      </w:pPr>
      <w:r>
        <w:t>Transport i</w:t>
      </w:r>
      <w:r w:rsidRPr="0097440F">
        <w:t xml:space="preserve">ndustry relationships </w:t>
      </w:r>
    </w:p>
    <w:p w14:paraId="6204CEED" w14:textId="77777777" w:rsidR="0057796E" w:rsidRPr="0097440F" w:rsidRDefault="0057796E" w:rsidP="0057796E">
      <w:r w:rsidRPr="0097440F">
        <w:t xml:space="preserve">In 2022–23, TMR worked closely with industry groups to develop new and updated specifications and technical notes to assist industry in delivering effectively for all Queenslanders. </w:t>
      </w:r>
    </w:p>
    <w:p w14:paraId="6D83561A" w14:textId="77777777" w:rsidR="0057796E" w:rsidRPr="0097440F" w:rsidRDefault="0057796E" w:rsidP="0057796E">
      <w:r w:rsidRPr="0097440F">
        <w:t xml:space="preserve">TMR continued to engage with and consult different stakeholders on an ongoing basis. These include but are not limited to: </w:t>
      </w:r>
    </w:p>
    <w:p w14:paraId="628B14E3" w14:textId="77777777" w:rsidR="0057796E" w:rsidRPr="0097440F" w:rsidRDefault="0057796E" w:rsidP="0057796E">
      <w:pPr>
        <w:pStyle w:val="ListBullet"/>
      </w:pPr>
      <w:r w:rsidRPr="0097440F">
        <w:t xml:space="preserve">AustRoads </w:t>
      </w:r>
    </w:p>
    <w:p w14:paraId="0CAD229B" w14:textId="77777777" w:rsidR="0057796E" w:rsidRPr="0097440F" w:rsidRDefault="0057796E" w:rsidP="0057796E">
      <w:pPr>
        <w:pStyle w:val="ListBullet"/>
      </w:pPr>
      <w:r w:rsidRPr="0097440F">
        <w:t xml:space="preserve">Australasian Railway Association </w:t>
      </w:r>
    </w:p>
    <w:p w14:paraId="69155B7D" w14:textId="77777777" w:rsidR="0057796E" w:rsidRPr="0097440F" w:rsidRDefault="0057796E" w:rsidP="0057796E">
      <w:pPr>
        <w:pStyle w:val="ListBullet"/>
      </w:pPr>
      <w:r w:rsidRPr="0097440F">
        <w:t xml:space="preserve">Queensland Bus Industry Council </w:t>
      </w:r>
    </w:p>
    <w:p w14:paraId="7363B9AD" w14:textId="77777777" w:rsidR="0057796E" w:rsidRPr="0097440F" w:rsidRDefault="0057796E" w:rsidP="0057796E">
      <w:pPr>
        <w:pStyle w:val="ListBullet"/>
      </w:pPr>
      <w:r w:rsidRPr="0097440F">
        <w:t xml:space="preserve">Public Transport Association Australia New Zealand </w:t>
      </w:r>
    </w:p>
    <w:p w14:paraId="53D717EF" w14:textId="77777777" w:rsidR="0057796E" w:rsidRPr="0097440F" w:rsidRDefault="0057796E" w:rsidP="0057796E">
      <w:pPr>
        <w:pStyle w:val="ListBullet"/>
      </w:pPr>
      <w:r w:rsidRPr="0097440F">
        <w:t xml:space="preserve">Australian Flexible Pavement Association </w:t>
      </w:r>
    </w:p>
    <w:p w14:paraId="7DBE0FDA" w14:textId="77777777" w:rsidR="0057796E" w:rsidRPr="0097440F" w:rsidRDefault="0057796E" w:rsidP="0057796E">
      <w:pPr>
        <w:pStyle w:val="ListBullet"/>
      </w:pPr>
      <w:r w:rsidRPr="0097440F">
        <w:t xml:space="preserve">Cement and Concrete Aggregates Australia </w:t>
      </w:r>
    </w:p>
    <w:p w14:paraId="7F730AD6" w14:textId="77777777" w:rsidR="0057796E" w:rsidRPr="0097440F" w:rsidRDefault="0057796E" w:rsidP="0057796E">
      <w:pPr>
        <w:pStyle w:val="ListBullet"/>
      </w:pPr>
      <w:r w:rsidRPr="0097440F">
        <w:t>Civil Contractors Federation (Queensland)</w:t>
      </w:r>
    </w:p>
    <w:p w14:paraId="7B73C2A1" w14:textId="77777777" w:rsidR="0057796E" w:rsidRPr="0097440F" w:rsidRDefault="0057796E" w:rsidP="0057796E">
      <w:pPr>
        <w:pStyle w:val="ListBullet"/>
      </w:pPr>
      <w:r w:rsidRPr="0097440F">
        <w:t xml:space="preserve">Waste Recycling Industry Association of Queensland </w:t>
      </w:r>
    </w:p>
    <w:p w14:paraId="22FE8351" w14:textId="77777777" w:rsidR="0057796E" w:rsidRPr="0097440F" w:rsidRDefault="0057796E" w:rsidP="0057796E">
      <w:pPr>
        <w:pStyle w:val="ListBullet"/>
      </w:pPr>
      <w:r w:rsidRPr="0097440F">
        <w:t xml:space="preserve">Consult Australia </w:t>
      </w:r>
    </w:p>
    <w:p w14:paraId="19007266" w14:textId="77777777" w:rsidR="0057796E" w:rsidRPr="0097440F" w:rsidRDefault="0057796E" w:rsidP="0057796E">
      <w:pPr>
        <w:pStyle w:val="ListBullet"/>
      </w:pPr>
      <w:r w:rsidRPr="0097440F">
        <w:t xml:space="preserve">Queensland Major Contactors Association </w:t>
      </w:r>
    </w:p>
    <w:p w14:paraId="413180D5" w14:textId="77777777" w:rsidR="0057796E" w:rsidRPr="0097440F" w:rsidRDefault="0057796E" w:rsidP="0057796E">
      <w:pPr>
        <w:pStyle w:val="ListBullet"/>
      </w:pPr>
      <w:r w:rsidRPr="0097440F">
        <w:t xml:space="preserve">RACQ </w:t>
      </w:r>
    </w:p>
    <w:p w14:paraId="232833B0" w14:textId="77777777" w:rsidR="0057796E" w:rsidRPr="0097440F" w:rsidRDefault="0057796E" w:rsidP="0057796E">
      <w:pPr>
        <w:pStyle w:val="ListBullet"/>
      </w:pPr>
      <w:r w:rsidRPr="0097440F">
        <w:t xml:space="preserve">ITS Australia </w:t>
      </w:r>
    </w:p>
    <w:p w14:paraId="5853A547" w14:textId="77777777" w:rsidR="0057796E" w:rsidRPr="0097440F" w:rsidRDefault="0057796E" w:rsidP="0057796E">
      <w:pPr>
        <w:pStyle w:val="ListBullet"/>
      </w:pPr>
      <w:r w:rsidRPr="0097440F">
        <w:t xml:space="preserve">Roads Australia </w:t>
      </w:r>
    </w:p>
    <w:p w14:paraId="1BF8736E" w14:textId="77777777" w:rsidR="0057796E" w:rsidRPr="0097440F" w:rsidRDefault="0057796E" w:rsidP="0057796E">
      <w:pPr>
        <w:pStyle w:val="ListBullet"/>
      </w:pPr>
      <w:r w:rsidRPr="0097440F">
        <w:t xml:space="preserve">AustStab </w:t>
      </w:r>
    </w:p>
    <w:p w14:paraId="25710640" w14:textId="77777777" w:rsidR="0057796E" w:rsidRPr="0097440F" w:rsidRDefault="0057796E" w:rsidP="0057796E">
      <w:pPr>
        <w:pStyle w:val="ListBullet"/>
      </w:pPr>
      <w:r w:rsidRPr="0097440F">
        <w:t xml:space="preserve">Engineers Australia </w:t>
      </w:r>
    </w:p>
    <w:p w14:paraId="7C097D11" w14:textId="77777777" w:rsidR="0057796E" w:rsidRPr="0097440F" w:rsidRDefault="0057796E" w:rsidP="0057796E">
      <w:pPr>
        <w:pStyle w:val="ListBullet"/>
      </w:pPr>
      <w:r w:rsidRPr="0097440F">
        <w:t xml:space="preserve">Australian New Car Assessment Program </w:t>
      </w:r>
    </w:p>
    <w:p w14:paraId="131001BF" w14:textId="77777777" w:rsidR="0057796E" w:rsidRPr="0097440F" w:rsidRDefault="0057796E" w:rsidP="0057796E">
      <w:pPr>
        <w:pStyle w:val="ListBullet"/>
      </w:pPr>
      <w:r w:rsidRPr="0097440F">
        <w:t xml:space="preserve">Queensland Trucking Association and Livestock Carriers </w:t>
      </w:r>
    </w:p>
    <w:p w14:paraId="681FA692" w14:textId="77777777" w:rsidR="0057796E" w:rsidRPr="0097440F" w:rsidRDefault="0057796E" w:rsidP="0057796E">
      <w:pPr>
        <w:pStyle w:val="ListBullet"/>
      </w:pPr>
      <w:r w:rsidRPr="0097440F">
        <w:t>Institute of Public Works Engineers Australia (Queensland Division)</w:t>
      </w:r>
    </w:p>
    <w:p w14:paraId="214612FF" w14:textId="77777777" w:rsidR="0057796E" w:rsidRPr="0097440F" w:rsidRDefault="0057796E" w:rsidP="0057796E">
      <w:pPr>
        <w:pStyle w:val="ListBullet"/>
      </w:pPr>
      <w:r w:rsidRPr="0097440F">
        <w:t>Infrastructure Association of Queensland</w:t>
      </w:r>
    </w:p>
    <w:p w14:paraId="18537FF4" w14:textId="77777777" w:rsidR="0057796E" w:rsidRPr="0097440F" w:rsidRDefault="0057796E" w:rsidP="0057796E">
      <w:pPr>
        <w:pStyle w:val="ListBullet"/>
      </w:pPr>
      <w:r w:rsidRPr="0097440F">
        <w:t xml:space="preserve">Australian Institute of Traffic Planning and Management </w:t>
      </w:r>
    </w:p>
    <w:p w14:paraId="566079C6" w14:textId="77777777" w:rsidR="0057796E" w:rsidRPr="0097440F" w:rsidRDefault="0057796E" w:rsidP="0057796E">
      <w:pPr>
        <w:pStyle w:val="ListBullet"/>
      </w:pPr>
      <w:r w:rsidRPr="0097440F">
        <w:t>Waste Management and Resource Recovery Association of Australia</w:t>
      </w:r>
    </w:p>
    <w:p w14:paraId="4E2C7B5E" w14:textId="77777777" w:rsidR="0057796E" w:rsidRPr="0097440F" w:rsidRDefault="0057796E" w:rsidP="0057796E">
      <w:pPr>
        <w:pStyle w:val="ListBullet"/>
      </w:pPr>
      <w:r w:rsidRPr="0097440F">
        <w:t>Australian Society for Concrete Pavements</w:t>
      </w:r>
    </w:p>
    <w:p w14:paraId="1B85A835" w14:textId="77777777" w:rsidR="0057796E" w:rsidRPr="0097440F" w:rsidRDefault="0057796E" w:rsidP="0057796E">
      <w:pPr>
        <w:pStyle w:val="ListBullet"/>
      </w:pPr>
      <w:r w:rsidRPr="0097440F">
        <w:t>Tyre Stewardship Australia</w:t>
      </w:r>
    </w:p>
    <w:p w14:paraId="7192B1AC" w14:textId="77777777" w:rsidR="0057796E" w:rsidRPr="0097440F" w:rsidRDefault="0057796E" w:rsidP="0057796E">
      <w:pPr>
        <w:pStyle w:val="ListBullet"/>
      </w:pPr>
      <w:r w:rsidRPr="0097440F">
        <w:t xml:space="preserve">Institute of Quarrying Australia </w:t>
      </w:r>
    </w:p>
    <w:p w14:paraId="23B70B12" w14:textId="77777777" w:rsidR="0057796E" w:rsidRPr="0097440F" w:rsidRDefault="0057796E" w:rsidP="0057796E">
      <w:pPr>
        <w:pStyle w:val="ListBullet"/>
      </w:pPr>
      <w:r w:rsidRPr="0097440F">
        <w:t xml:space="preserve">Local Government Association of Queensland </w:t>
      </w:r>
    </w:p>
    <w:p w14:paraId="4030877B" w14:textId="77777777" w:rsidR="0057796E" w:rsidRPr="0097440F" w:rsidRDefault="0057796E" w:rsidP="0057796E">
      <w:pPr>
        <w:pStyle w:val="ListBullet"/>
      </w:pPr>
      <w:r w:rsidRPr="0097440F">
        <w:t>Roadmarking Industry Association of Australia</w:t>
      </w:r>
    </w:p>
    <w:p w14:paraId="20CA60A3" w14:textId="77777777" w:rsidR="0057796E" w:rsidRPr="0097440F" w:rsidRDefault="0057796E" w:rsidP="0057796E">
      <w:pPr>
        <w:pStyle w:val="ListBullet"/>
      </w:pPr>
      <w:r w:rsidRPr="0097440F">
        <w:t>Ash Development Association of Australia</w:t>
      </w:r>
    </w:p>
    <w:p w14:paraId="0EEA16B9" w14:textId="77777777" w:rsidR="0057796E" w:rsidRPr="0097440F" w:rsidRDefault="0057796E" w:rsidP="0057796E">
      <w:pPr>
        <w:pStyle w:val="ListBullet"/>
      </w:pPr>
      <w:r w:rsidRPr="0097440F">
        <w:t>Western Australia Road Research Innovation Program and Main Roads Western Australia</w:t>
      </w:r>
    </w:p>
    <w:p w14:paraId="457671F3" w14:textId="77777777" w:rsidR="0057796E" w:rsidRPr="0097440F" w:rsidRDefault="0057796E" w:rsidP="0057796E">
      <w:pPr>
        <w:pStyle w:val="ListBullet"/>
      </w:pPr>
      <w:r w:rsidRPr="0097440F">
        <w:t>Other state transport jurisdictions</w:t>
      </w:r>
      <w:r>
        <w:t>.</w:t>
      </w:r>
    </w:p>
    <w:p w14:paraId="6BFE60B3" w14:textId="77777777" w:rsidR="0057796E" w:rsidRPr="0097440F" w:rsidRDefault="0057796E" w:rsidP="0057796E">
      <w:r w:rsidRPr="0097440F">
        <w:t>TMR worked closely with Queensland industry partners at a national level via Austroads (comprised of Australian and New Zealand transport agencies, A</w:t>
      </w:r>
      <w:r>
        <w:t>ustralian Local Government Association</w:t>
      </w:r>
      <w:r w:rsidRPr="0097440F">
        <w:t xml:space="preserve"> and </w:t>
      </w:r>
      <w:r>
        <w:t>Australian</w:t>
      </w:r>
      <w:r w:rsidRPr="0097440F">
        <w:t xml:space="preserve"> Government). </w:t>
      </w:r>
    </w:p>
    <w:p w14:paraId="18D0A2AC" w14:textId="77777777" w:rsidR="0057796E" w:rsidRPr="0097440F" w:rsidRDefault="0057796E" w:rsidP="0057796E">
      <w:r w:rsidRPr="0097440F">
        <w:t xml:space="preserve">Through the National Asset Centre of Excellence, an initiative by TMR and the Australian Roads Research Board, a range of new collaborative research activities are in progress. </w:t>
      </w:r>
    </w:p>
    <w:p w14:paraId="16FD6CD7" w14:textId="77777777" w:rsidR="0057796E" w:rsidRDefault="0057796E" w:rsidP="0057796E">
      <w:r w:rsidRPr="0097440F">
        <w:t>The Transport Infrastructure Collaboration Taskforce has transitioned to an advisory board capacity.  The Advisory Board will continue to champion greater collaboration and cultural transformation while driving changes that will contribute to a more sustainable Queensland transport civil infrastructure industry</w:t>
      </w:r>
      <w:r>
        <w:t>.</w:t>
      </w:r>
    </w:p>
    <w:p w14:paraId="75110D78" w14:textId="77777777" w:rsidR="00E6328B" w:rsidRDefault="00E6328B">
      <w:pPr>
        <w:spacing w:before="0" w:after="160" w:line="259" w:lineRule="auto"/>
      </w:pPr>
      <w:r>
        <w:br w:type="page"/>
      </w:r>
    </w:p>
    <w:p w14:paraId="13452B1B" w14:textId="7B729026" w:rsidR="0057796E" w:rsidRPr="0097440F" w:rsidRDefault="0057796E" w:rsidP="0057796E">
      <w:r w:rsidRPr="0097440F">
        <w:lastRenderedPageBreak/>
        <w:t>A joint forum between TMR and industry, the advisory board provide</w:t>
      </w:r>
      <w:r>
        <w:t>d</w:t>
      </w:r>
      <w:r w:rsidRPr="0097440F">
        <w:t xml:space="preserve"> an opportunity to work together to effectively navigate shared challenges, including:</w:t>
      </w:r>
    </w:p>
    <w:p w14:paraId="5F936AB9" w14:textId="77777777" w:rsidR="0057796E" w:rsidRPr="0097440F" w:rsidRDefault="0057796E" w:rsidP="0057796E">
      <w:pPr>
        <w:pStyle w:val="ListBullet"/>
      </w:pPr>
      <w:r w:rsidRPr="0097440F">
        <w:t>removing barriers to attraction and retention</w:t>
      </w:r>
    </w:p>
    <w:p w14:paraId="357212B9" w14:textId="77777777" w:rsidR="0057796E" w:rsidRPr="0097440F" w:rsidRDefault="0057796E" w:rsidP="0057796E">
      <w:pPr>
        <w:pStyle w:val="ListBullet"/>
      </w:pPr>
      <w:r w:rsidRPr="0097440F">
        <w:t>building capability and capacity</w:t>
      </w:r>
    </w:p>
    <w:p w14:paraId="7445230A" w14:textId="77777777" w:rsidR="0057796E" w:rsidRPr="0097440F" w:rsidRDefault="0057796E" w:rsidP="0057796E">
      <w:pPr>
        <w:pStyle w:val="ListBullet"/>
      </w:pPr>
      <w:r w:rsidRPr="0097440F">
        <w:t>fostering diversity and inclusion</w:t>
      </w:r>
    </w:p>
    <w:p w14:paraId="1B5E1CB0" w14:textId="77777777" w:rsidR="0057796E" w:rsidRDefault="0057796E" w:rsidP="0057796E">
      <w:pPr>
        <w:pStyle w:val="ListBullet"/>
      </w:pPr>
      <w:r w:rsidRPr="0097440F">
        <w:t>enabling innovation</w:t>
      </w:r>
      <w:r>
        <w:t>.</w:t>
      </w:r>
    </w:p>
    <w:p w14:paraId="047F4EB4" w14:textId="77777777" w:rsidR="0057796E" w:rsidRPr="00A86849" w:rsidRDefault="0057796E" w:rsidP="0057796E">
      <w:pPr>
        <w:pStyle w:val="Heading3"/>
      </w:pPr>
      <w:r w:rsidRPr="00A86849">
        <w:t xml:space="preserve">Heavy mobile crane road access and permit efficiencies </w:t>
      </w:r>
    </w:p>
    <w:p w14:paraId="22FAFCCD" w14:textId="77777777" w:rsidR="0057796E" w:rsidRDefault="0057796E" w:rsidP="0057796E">
      <w:r w:rsidRPr="00C43217">
        <w:t xml:space="preserve">During 2022, TMR worked in partnership with the Crane Industry Council of Australia to review and improve the current access regime for heavy mobile cranes, with the aim of reducing the volume of single trip permits for industry. </w:t>
      </w:r>
    </w:p>
    <w:p w14:paraId="11C0FACC" w14:textId="77777777" w:rsidR="0057796E" w:rsidRPr="00C43217" w:rsidRDefault="0057796E" w:rsidP="0057796E">
      <w:r w:rsidRPr="00C43217">
        <w:t>This work involved the top 30 restricted structures crossed by the crane industry being reassessed against design capacity, condition, volume of movements</w:t>
      </w:r>
      <w:r>
        <w:t>,</w:t>
      </w:r>
      <w:r w:rsidRPr="00C43217">
        <w:t xml:space="preserve"> and specific crane types.</w:t>
      </w:r>
    </w:p>
    <w:p w14:paraId="33623209" w14:textId="77777777" w:rsidR="0057796E" w:rsidRDefault="0057796E" w:rsidP="0057796E">
      <w:r w:rsidRPr="00C43217">
        <w:t xml:space="preserve">As a result </w:t>
      </w:r>
      <w:r>
        <w:t xml:space="preserve">of </w:t>
      </w:r>
      <w:r w:rsidRPr="00C43217">
        <w:t>th</w:t>
      </w:r>
      <w:r>
        <w:t>e</w:t>
      </w:r>
      <w:r w:rsidRPr="00C43217">
        <w:t xml:space="preserve"> review</w:t>
      </w:r>
      <w:r>
        <w:t>,</w:t>
      </w:r>
      <w:r w:rsidRPr="00C43217">
        <w:t xml:space="preserve"> an additional </w:t>
      </w:r>
      <w:r>
        <w:t>nine</w:t>
      </w:r>
      <w:r w:rsidRPr="00C43217">
        <w:t xml:space="preserve"> of the top 30 structures became unrestricted and no longer required single trip permits. An additional 14 of the top 30 structures for other types of cranes also bec</w:t>
      </w:r>
      <w:r>
        <w:t>a</w:t>
      </w:r>
      <w:r w:rsidRPr="00C43217">
        <w:t xml:space="preserve">me unrestricted and no longer required single trip permits. </w:t>
      </w:r>
    </w:p>
    <w:p w14:paraId="59265983" w14:textId="77777777" w:rsidR="0057796E" w:rsidRDefault="0057796E" w:rsidP="0057796E">
      <w:r w:rsidRPr="00C43217">
        <w:t xml:space="preserve">These structures can now be accessed under existing </w:t>
      </w:r>
      <w:r>
        <w:t>three-</w:t>
      </w:r>
      <w:r w:rsidRPr="00C43217">
        <w:t>year permits and used for multiple trips during that period</w:t>
      </w:r>
      <w:r>
        <w:t xml:space="preserve">. This has resulted </w:t>
      </w:r>
      <w:r w:rsidRPr="00C43217">
        <w:t xml:space="preserve">in improved road access for Queensland's crane industry and a significant reduction of </w:t>
      </w:r>
      <w:r>
        <w:t xml:space="preserve">approximately </w:t>
      </w:r>
      <w:r w:rsidRPr="00C43217">
        <w:t>30 per</w:t>
      </w:r>
      <w:r>
        <w:t xml:space="preserve"> </w:t>
      </w:r>
      <w:r w:rsidRPr="00C43217">
        <w:t>cent in permit applications.</w:t>
      </w:r>
    </w:p>
    <w:p w14:paraId="2F44D30D" w14:textId="77777777" w:rsidR="0057796E" w:rsidRDefault="0057796E" w:rsidP="0057796E">
      <w:pPr>
        <w:pStyle w:val="Heading3"/>
      </w:pPr>
      <w:bookmarkStart w:id="25" w:name="_Hlk129845109"/>
      <w:r>
        <w:t>TMR leading heavy vehicle telematics transition</w:t>
      </w:r>
    </w:p>
    <w:p w14:paraId="7E61791A" w14:textId="77777777" w:rsidR="0057796E" w:rsidRPr="009D05A7" w:rsidRDefault="0057796E" w:rsidP="0057796E">
      <w:bookmarkStart w:id="26" w:name="_Hlk129845122"/>
      <w:bookmarkEnd w:id="25"/>
      <w:r w:rsidRPr="009D05A7">
        <w:t>TMR has utilised telematics in Queensland and oversight of the</w:t>
      </w:r>
      <w:r>
        <w:t xml:space="preserve"> </w:t>
      </w:r>
      <w:r w:rsidRPr="009D05A7">
        <w:t>Intelligent Access Program (IAP)</w:t>
      </w:r>
      <w:r>
        <w:t xml:space="preserve"> </w:t>
      </w:r>
      <w:r w:rsidRPr="009D05A7">
        <w:t xml:space="preserve">since 2009, monitoring heavy vehicles on Queensland's road network as a condition of their access. In 2010, the IAP saw the addition of Queensland's </w:t>
      </w:r>
      <w:r>
        <w:t>i</w:t>
      </w:r>
      <w:r w:rsidRPr="009D05A7">
        <w:t xml:space="preserve">nterim </w:t>
      </w:r>
      <w:r>
        <w:t>O</w:t>
      </w:r>
      <w:r w:rsidRPr="009D05A7">
        <w:t>n</w:t>
      </w:r>
      <w:r>
        <w:t>-B</w:t>
      </w:r>
      <w:r w:rsidRPr="009D05A7">
        <w:t>oard</w:t>
      </w:r>
      <w:r>
        <w:t>-M</w:t>
      </w:r>
      <w:r w:rsidRPr="009D05A7">
        <w:t xml:space="preserve">ass (OBM) monitoring to the program. </w:t>
      </w:r>
    </w:p>
    <w:p w14:paraId="7C6FE369" w14:textId="77777777" w:rsidR="0057796E" w:rsidRPr="009D05A7" w:rsidRDefault="0057796E" w:rsidP="0057796E">
      <w:r w:rsidRPr="009D05A7">
        <w:t>As newer technology and heavy vehicle monitoring options have become available under the</w:t>
      </w:r>
      <w:r>
        <w:t xml:space="preserve"> </w:t>
      </w:r>
      <w:r w:rsidRPr="009D05A7">
        <w:t>National Telematics Framework,</w:t>
      </w:r>
      <w:r>
        <w:t xml:space="preserve"> </w:t>
      </w:r>
      <w:r w:rsidRPr="009D05A7">
        <w:t>TMR has responded with the expansion of telematics in Queensland to meet the needs of industry, and the data needs of TMR as a Road Manager.</w:t>
      </w:r>
    </w:p>
    <w:p w14:paraId="6B7434D8" w14:textId="77777777" w:rsidR="0057796E" w:rsidRPr="009D05A7" w:rsidRDefault="0057796E" w:rsidP="0057796E">
      <w:r w:rsidRPr="009D05A7">
        <w:t>In late</w:t>
      </w:r>
      <w:r>
        <w:t>-</w:t>
      </w:r>
      <w:r w:rsidRPr="009D05A7">
        <w:t>2022 following broad stakeholder consultation</w:t>
      </w:r>
      <w:r>
        <w:t>,</w:t>
      </w:r>
      <w:r w:rsidRPr="009D05A7">
        <w:t xml:space="preserve"> TMR announced transition between telematic applications. Changes will involve transition from:</w:t>
      </w:r>
    </w:p>
    <w:p w14:paraId="641C2C7E" w14:textId="77777777" w:rsidR="0057796E" w:rsidRPr="009D05A7" w:rsidRDefault="0057796E" w:rsidP="0057796E">
      <w:pPr>
        <w:pStyle w:val="ListBullet"/>
      </w:pPr>
      <w:r w:rsidRPr="009D05A7">
        <w:t>IAP to the Telematics Monitoring Application (TMA</w:t>
      </w:r>
      <w:r>
        <w:t>)</w:t>
      </w:r>
    </w:p>
    <w:p w14:paraId="27E3B883" w14:textId="77777777" w:rsidR="0057796E" w:rsidRPr="009D05A7" w:rsidRDefault="0057796E" w:rsidP="0057796E">
      <w:pPr>
        <w:pStyle w:val="ListBullet"/>
      </w:pPr>
      <w:r w:rsidRPr="009D05A7">
        <w:t>OBM Solution to Smart On-Board Mass (Smart OBM).</w:t>
      </w:r>
    </w:p>
    <w:p w14:paraId="662A5227" w14:textId="77777777" w:rsidR="0057796E" w:rsidRPr="009D05A7" w:rsidRDefault="0057796E" w:rsidP="0057796E">
      <w:r w:rsidRPr="009D05A7">
        <w:t>Vehicles affected by this change include:</w:t>
      </w:r>
    </w:p>
    <w:p w14:paraId="009E96D6" w14:textId="77777777" w:rsidR="0057796E" w:rsidRPr="009D05A7" w:rsidRDefault="0057796E" w:rsidP="0057796E">
      <w:pPr>
        <w:pStyle w:val="ListBullet"/>
      </w:pPr>
      <w:r>
        <w:t>c</w:t>
      </w:r>
      <w:r w:rsidRPr="009D05A7">
        <w:t>lass 2 Performance-Based Standards A-Doubles</w:t>
      </w:r>
    </w:p>
    <w:p w14:paraId="5F0D3C19" w14:textId="77777777" w:rsidR="0057796E" w:rsidRPr="009D05A7" w:rsidRDefault="0057796E" w:rsidP="0057796E">
      <w:pPr>
        <w:pStyle w:val="ListBullet"/>
      </w:pPr>
      <w:r>
        <w:t>c</w:t>
      </w:r>
      <w:r w:rsidRPr="009D05A7">
        <w:t>lass 2 vehicles operating at HML</w:t>
      </w:r>
    </w:p>
    <w:p w14:paraId="19C7794E" w14:textId="77777777" w:rsidR="0057796E" w:rsidRPr="009D05A7" w:rsidRDefault="0057796E" w:rsidP="0057796E">
      <w:pPr>
        <w:pStyle w:val="ListBullet"/>
      </w:pPr>
      <w:r>
        <w:t>c</w:t>
      </w:r>
      <w:r w:rsidRPr="009D05A7">
        <w:t>lass 2 P</w:t>
      </w:r>
      <w:r>
        <w:t>erformance-Based Standards</w:t>
      </w:r>
      <w:r w:rsidRPr="009D05A7">
        <w:t xml:space="preserve"> Level 1 </w:t>
      </w:r>
      <w:r>
        <w:t>and</w:t>
      </w:r>
      <w:r w:rsidRPr="009D05A7">
        <w:t xml:space="preserve"> 2A Truck and Dog Trailers operating at HML</w:t>
      </w:r>
    </w:p>
    <w:p w14:paraId="14856BB2" w14:textId="77777777" w:rsidR="0057796E" w:rsidRPr="009D05A7" w:rsidRDefault="0057796E" w:rsidP="0057796E">
      <w:pPr>
        <w:pStyle w:val="ListBullet"/>
      </w:pPr>
      <w:r>
        <w:t>s</w:t>
      </w:r>
      <w:r w:rsidRPr="009D05A7">
        <w:t>ome specified Class 3 Heavy vehicles</w:t>
      </w:r>
    </w:p>
    <w:p w14:paraId="5D8154A5" w14:textId="77777777" w:rsidR="0057796E" w:rsidRPr="009D05A7" w:rsidRDefault="0057796E" w:rsidP="0057796E">
      <w:r w:rsidRPr="009D05A7">
        <w:t xml:space="preserve">The 18-month transition from the IAP and Queensland Interim OBM to TMA and Smart OBM will deliver benefits, including:  </w:t>
      </w:r>
    </w:p>
    <w:p w14:paraId="459914A2" w14:textId="77777777" w:rsidR="0057796E" w:rsidRPr="009D05A7" w:rsidRDefault="0057796E" w:rsidP="0057796E">
      <w:pPr>
        <w:pStyle w:val="ListBullet"/>
      </w:pPr>
      <w:r w:rsidRPr="009D05A7">
        <w:t>TMR having greater network oversight about how heavy vehicles are using Queensland's Road Network to assist with network planning and monitoring</w:t>
      </w:r>
    </w:p>
    <w:p w14:paraId="1CB96AC3" w14:textId="77777777" w:rsidR="0057796E" w:rsidRDefault="0057796E" w:rsidP="0057796E">
      <w:pPr>
        <w:pStyle w:val="ListBullet"/>
      </w:pPr>
      <w:r>
        <w:t>e</w:t>
      </w:r>
      <w:r w:rsidRPr="009D05A7">
        <w:t>fficiencies and cost savings to industry, through national harmonisation.</w:t>
      </w:r>
    </w:p>
    <w:bookmarkEnd w:id="26"/>
    <w:p w14:paraId="403DE3CA" w14:textId="77777777" w:rsidR="00E6328B" w:rsidRDefault="00E6328B">
      <w:pPr>
        <w:spacing w:before="0" w:after="160" w:line="259" w:lineRule="auto"/>
        <w:rPr>
          <w:rFonts w:eastAsiaTheme="majorEastAsia" w:cstheme="majorBidi"/>
          <w:color w:val="000000" w:themeColor="text1"/>
          <w:sz w:val="32"/>
          <w:szCs w:val="24"/>
        </w:rPr>
      </w:pPr>
      <w:r>
        <w:br w:type="page"/>
      </w:r>
    </w:p>
    <w:p w14:paraId="10418180" w14:textId="2A3EA49D" w:rsidR="0057796E" w:rsidRDefault="0057796E" w:rsidP="0057796E">
      <w:pPr>
        <w:pStyle w:val="Heading3"/>
      </w:pPr>
      <w:r>
        <w:lastRenderedPageBreak/>
        <w:t>National services transition to the National Heavy Vehicle Regulator</w:t>
      </w:r>
    </w:p>
    <w:p w14:paraId="3C11C9FE" w14:textId="77777777" w:rsidR="0057796E" w:rsidRDefault="0057796E" w:rsidP="0057796E">
      <w:r>
        <w:t xml:space="preserve">Through its National Services Transition (NST) project, the National Heavy Vehicle Regulator (NHVR) has previously owned responsibility for direct delivery of heavy vehicle regulatory services with other states and territories since 2017. </w:t>
      </w:r>
      <w:r w:rsidRPr="00D41178">
        <w:t>The</w:t>
      </w:r>
      <w:r>
        <w:t xml:space="preserve"> NST</w:t>
      </w:r>
      <w:r w:rsidRPr="00D41178">
        <w:t xml:space="preserve"> Project will support the transition of heavy vehicle regulatory services and some state-based regulatory services currently undertaken by TMR to direct delivery by the NHVR. </w:t>
      </w:r>
    </w:p>
    <w:p w14:paraId="117EDB7C" w14:textId="77777777" w:rsidR="0057796E" w:rsidRPr="00D41178" w:rsidRDefault="0057796E" w:rsidP="0057796E">
      <w:r w:rsidRPr="00D41178">
        <w:t xml:space="preserve">Transitioning TMR services to the NHVR will potentially reduce bureaucratic burden for transport operators, while enhancing safety outcomes for all road users. A separate project is considering redefining the remaining regulatory compliance functions.  </w:t>
      </w:r>
    </w:p>
    <w:p w14:paraId="4AB6DF17" w14:textId="77777777" w:rsidR="0057796E" w:rsidRDefault="0057796E" w:rsidP="0057796E">
      <w:r w:rsidRPr="00D41178">
        <w:t xml:space="preserve">During 2022–23, the NST team completed the due diligence phase of the project which focused on gathering information on relevant systems and processes. </w:t>
      </w:r>
    </w:p>
    <w:p w14:paraId="6499544A" w14:textId="0B0144E0" w:rsidR="0057796E" w:rsidRDefault="0057796E" w:rsidP="0057796E">
      <w:r w:rsidRPr="00D41178">
        <w:t>Following this, TMR developed a proposed concept of operations for the future delivery of heavy vehicle regulatory services in Queensland in collaboration with NHVR. This proposed concept of operations was approved in March 2023</w:t>
      </w:r>
      <w:r>
        <w:t>,</w:t>
      </w:r>
      <w:r w:rsidRPr="00D41178">
        <w:t xml:space="preserve"> and the transition is expected to be implemented </w:t>
      </w:r>
      <w:r w:rsidR="0008409A">
        <w:t xml:space="preserve">in </w:t>
      </w:r>
      <w:r w:rsidRPr="00D41178">
        <w:t xml:space="preserve">2024. </w:t>
      </w:r>
    </w:p>
    <w:p w14:paraId="69437A0A" w14:textId="77777777" w:rsidR="0057796E" w:rsidRPr="00756FBC" w:rsidRDefault="0057796E" w:rsidP="0057796E">
      <w:pPr>
        <w:pStyle w:val="Heading3"/>
      </w:pPr>
      <w:r>
        <w:t>Inland Freight Route, Mungindi to Charters Towers</w:t>
      </w:r>
    </w:p>
    <w:p w14:paraId="5CADC5B2" w14:textId="77777777" w:rsidR="0057796E" w:rsidRPr="001B276B" w:rsidRDefault="0057796E" w:rsidP="0057796E">
      <w:r w:rsidRPr="001B276B">
        <w:t>The Inland Freight Route</w:t>
      </w:r>
      <w:r>
        <w:t xml:space="preserve">, also known as the 'Second Bruce', </w:t>
      </w:r>
      <w:r w:rsidRPr="001B276B">
        <w:t xml:space="preserve">is a nationally-accredited </w:t>
      </w:r>
      <w:r>
        <w:t>north-south</w:t>
      </w:r>
      <w:r w:rsidRPr="001B276B">
        <w:t xml:space="preserve"> key freight corridor, stretching 1184</w:t>
      </w:r>
      <w:r>
        <w:t xml:space="preserve"> </w:t>
      </w:r>
      <w:r w:rsidRPr="001B276B">
        <w:t>kilometres from Mungindi on the New South Wales border to Charters Towers in the state’s north, servicing key supply chains and value-adding freight nodes.</w:t>
      </w:r>
    </w:p>
    <w:p w14:paraId="1186255E" w14:textId="77777777" w:rsidR="0057796E" w:rsidRPr="001B276B" w:rsidRDefault="0057796E" w:rsidP="0057796E">
      <w:r>
        <w:t xml:space="preserve">The Australian and </w:t>
      </w:r>
      <w:r w:rsidRPr="001B276B">
        <w:t xml:space="preserve">Queensland </w:t>
      </w:r>
      <w:r>
        <w:t>g</w:t>
      </w:r>
      <w:r w:rsidRPr="001B276B">
        <w:t>overnment</w:t>
      </w:r>
      <w:r>
        <w:t xml:space="preserve">s have jointly </w:t>
      </w:r>
      <w:r w:rsidRPr="001B276B">
        <w:t xml:space="preserve">committed </w:t>
      </w:r>
      <w:r>
        <w:t xml:space="preserve">$1 </w:t>
      </w:r>
      <w:r w:rsidRPr="001B276B">
        <w:t xml:space="preserve">billion </w:t>
      </w:r>
      <w:r>
        <w:t xml:space="preserve">on an </w:t>
      </w:r>
      <w:r w:rsidRPr="001B276B">
        <w:t>80:20</w:t>
      </w:r>
      <w:r>
        <w:t xml:space="preserve"> (federal:state) basis towards an </w:t>
      </w:r>
      <w:r w:rsidRPr="001B276B">
        <w:t>upgrade of the Inland Freight Route to establish a viable north</w:t>
      </w:r>
      <w:r>
        <w:t>-</w:t>
      </w:r>
      <w:r w:rsidRPr="001B276B">
        <w:t xml:space="preserve">south alternative </w:t>
      </w:r>
      <w:r>
        <w:t>to the Bruce Highway</w:t>
      </w:r>
      <w:r w:rsidRPr="001B276B">
        <w:t>.</w:t>
      </w:r>
    </w:p>
    <w:p w14:paraId="6254499C" w14:textId="77777777" w:rsidR="0057796E" w:rsidRPr="001B276B" w:rsidRDefault="0057796E" w:rsidP="0057796E">
      <w:r w:rsidRPr="001B276B">
        <w:t>TMR is currently undertaking a range of initiatives to inform development of a 10</w:t>
      </w:r>
      <w:r>
        <w:t xml:space="preserve"> </w:t>
      </w:r>
      <w:r w:rsidRPr="001B276B">
        <w:t>year I</w:t>
      </w:r>
      <w:r>
        <w:t>nland Freight Route</w:t>
      </w:r>
      <w:r w:rsidRPr="001B276B">
        <w:t xml:space="preserve"> Investment Strategy </w:t>
      </w:r>
      <w:r>
        <w:t>to identify</w:t>
      </w:r>
      <w:r w:rsidRPr="001B276B">
        <w:t xml:space="preserve"> short, medium</w:t>
      </w:r>
      <w:r>
        <w:t>,</w:t>
      </w:r>
      <w:r w:rsidRPr="001B276B">
        <w:t xml:space="preserve"> and long-term priorities along the route</w:t>
      </w:r>
      <w:r>
        <w:t xml:space="preserve"> to improve heavy vehicle access, including </w:t>
      </w:r>
      <w:r w:rsidRPr="00356716">
        <w:t>a flood</w:t>
      </w:r>
      <w:r>
        <w:t xml:space="preserve"> link</w:t>
      </w:r>
      <w:r w:rsidRPr="00356716">
        <w:t xml:space="preserve"> study and a technical assessment of the route to identify priorities for investment</w:t>
      </w:r>
      <w:r>
        <w:t>.</w:t>
      </w:r>
    </w:p>
    <w:p w14:paraId="5698C3EE" w14:textId="77777777" w:rsidR="0057796E" w:rsidRDefault="0057796E" w:rsidP="0057796E">
      <w:r>
        <w:t xml:space="preserve">TMR, in collaboration with the Australian Government, has facilitated multiple consultation sessions with relevant local government and key industry stakeholders, including the Queensland Trucking Association, RACQ, producer, and tourism groups to inform development of the Inland Freight Route Investment Strategy. </w:t>
      </w:r>
    </w:p>
    <w:p w14:paraId="3DA16EA2" w14:textId="77777777" w:rsidR="0057796E" w:rsidRPr="00E00573" w:rsidRDefault="0057796E" w:rsidP="0057796E">
      <w:pPr>
        <w:pStyle w:val="Heading3"/>
      </w:pPr>
      <w:r w:rsidRPr="00E00573">
        <w:t>Temporary traffic management harmonisation</w:t>
      </w:r>
    </w:p>
    <w:p w14:paraId="751E0947" w14:textId="77777777" w:rsidR="0057796E" w:rsidRPr="00126656" w:rsidRDefault="0057796E" w:rsidP="0057796E">
      <w:r w:rsidRPr="00126656">
        <w:t>In 202</w:t>
      </w:r>
      <w:r>
        <w:t>2</w:t>
      </w:r>
      <w:r w:rsidRPr="00126656">
        <w:t>–2</w:t>
      </w:r>
      <w:r>
        <w:t>3</w:t>
      </w:r>
      <w:r w:rsidRPr="00126656">
        <w:t>, TMR remained committed to ensuring the safety of</w:t>
      </w:r>
      <w:r>
        <w:t xml:space="preserve"> </w:t>
      </w:r>
      <w:r w:rsidRPr="00126656">
        <w:t>road users and workers at road work sites across Queensland.</w:t>
      </w:r>
      <w:r>
        <w:t xml:space="preserve"> </w:t>
      </w:r>
      <w:r w:rsidRPr="00126656">
        <w:t xml:space="preserve">TMR </w:t>
      </w:r>
      <w:r>
        <w:t xml:space="preserve">worked with the industry and local government to embed recent changes to </w:t>
      </w:r>
      <w:r w:rsidRPr="00126656">
        <w:t>temporary traffic management standards in Queensland</w:t>
      </w:r>
      <w:r>
        <w:t>, ensuring practices on the road align with nationally</w:t>
      </w:r>
      <w:r w:rsidRPr="00126656">
        <w:t xml:space="preserve"> recognised best practices of Australian Standard 1742.3</w:t>
      </w:r>
      <w:r>
        <w:t xml:space="preserve"> </w:t>
      </w:r>
      <w:r w:rsidRPr="00126656">
        <w:t>(2019) and Austroads Guide to Temporary Traffic Management.</w:t>
      </w:r>
    </w:p>
    <w:p w14:paraId="1C56CD20" w14:textId="77777777" w:rsidR="0057796E" w:rsidRPr="00126656" w:rsidRDefault="0057796E" w:rsidP="0057796E">
      <w:r w:rsidRPr="00126656">
        <w:t xml:space="preserve">The new standards improve </w:t>
      </w:r>
      <w:r>
        <w:t xml:space="preserve">workers' protection when </w:t>
      </w:r>
      <w:r w:rsidRPr="00126656">
        <w:t>performing construction and maintenance work on our roads and</w:t>
      </w:r>
      <w:r>
        <w:t xml:space="preserve"> </w:t>
      </w:r>
      <w:r w:rsidRPr="00126656">
        <w:t>ensure the network remains accessible to all road users who</w:t>
      </w:r>
      <w:r>
        <w:t xml:space="preserve"> </w:t>
      </w:r>
      <w:r w:rsidRPr="00126656">
        <w:t>need to travel through road work sites.</w:t>
      </w:r>
    </w:p>
    <w:p w14:paraId="4908007E" w14:textId="77777777" w:rsidR="0057796E" w:rsidRPr="00E00573" w:rsidRDefault="0057796E" w:rsidP="0057796E">
      <w:pPr>
        <w:rPr>
          <w:highlight w:val="green"/>
        </w:rPr>
      </w:pPr>
      <w:r>
        <w:t xml:space="preserve">As part of the project to harmonise temporary traffic management practice across Australia, TMR has worked with Austroads, road authorities, industry, and the vocational education and training sector to develop a new national training framework for temporary traffic management. The framework provides nationally consistent training for temporary traffic management workers and governance arrangements for providers delivering the training.  </w:t>
      </w:r>
    </w:p>
    <w:p w14:paraId="5307C0A2" w14:textId="77777777" w:rsidR="0057796E" w:rsidRDefault="0057796E" w:rsidP="0057796E">
      <w:r>
        <w:t>TMR has started consulting with industry to understand any challenges and opportunities associated with implementing the new national training framework for temporary traffic management. This consultation will continue into 2023–24 and will inform TMR's implementation plan.</w:t>
      </w:r>
    </w:p>
    <w:p w14:paraId="60ACE1AD" w14:textId="77777777" w:rsidR="00E6328B" w:rsidRDefault="00E6328B">
      <w:pPr>
        <w:spacing w:before="0" w:after="160" w:line="259" w:lineRule="auto"/>
        <w:rPr>
          <w:rFonts w:eastAsiaTheme="majorEastAsia" w:cstheme="majorBidi"/>
          <w:color w:val="000000" w:themeColor="text1"/>
          <w:sz w:val="48"/>
          <w:szCs w:val="26"/>
        </w:rPr>
      </w:pPr>
      <w:r>
        <w:br w:type="page"/>
      </w:r>
    </w:p>
    <w:p w14:paraId="23FA7AD2" w14:textId="2158A489" w:rsidR="0057796E" w:rsidRDefault="0057796E" w:rsidP="0057796E">
      <w:pPr>
        <w:pStyle w:val="Heading2"/>
      </w:pPr>
      <w:r w:rsidRPr="005D085F">
        <w:lastRenderedPageBreak/>
        <w:t>Delivering with partners</w:t>
      </w:r>
    </w:p>
    <w:p w14:paraId="5B468B40" w14:textId="77777777" w:rsidR="0057796E" w:rsidRPr="00DC1A33" w:rsidRDefault="0057796E" w:rsidP="0057796E">
      <w:pPr>
        <w:pStyle w:val="Heading3"/>
      </w:pPr>
      <w:r>
        <w:t>Wheelchair Accessible Taxi Grant Scheme</w:t>
      </w:r>
    </w:p>
    <w:p w14:paraId="3C590299" w14:textId="77777777" w:rsidR="0057796E" w:rsidRDefault="0057796E" w:rsidP="0057796E">
      <w:r>
        <w:t>The Wheelchair Accessible Taxi Funding program continues to modernise Queensland’s fleet of wheelchair accessible taxis since it opened to applications in December 2019.</w:t>
      </w:r>
    </w:p>
    <w:p w14:paraId="3DC57416" w14:textId="77777777" w:rsidR="0057796E" w:rsidRDefault="0057796E" w:rsidP="0057796E">
      <w:r>
        <w:t>The $21 million program supports the taxi industry by providing accessible transport options for people with reduced mobility.</w:t>
      </w:r>
    </w:p>
    <w:p w14:paraId="5B0334ED" w14:textId="77777777" w:rsidR="0057796E" w:rsidRDefault="0057796E" w:rsidP="0057796E">
      <w:r>
        <w:t xml:space="preserve">In 2022–23, the Queensland Government made changes to the program to encourage greater participation and access to the scheme by: </w:t>
      </w:r>
    </w:p>
    <w:p w14:paraId="25124622" w14:textId="77777777" w:rsidR="0057796E" w:rsidRDefault="0057796E" w:rsidP="0057796E">
      <w:pPr>
        <w:pStyle w:val="ListBullet"/>
      </w:pPr>
      <w:r>
        <w:t>extending the length of the program by 12 months to 30 June 2024 ensuring wheelchair accessible taxi operators are in a better position to take advantage of the available funding as the industry recovers from the financial impacts of COVID-19 pandemic</w:t>
      </w:r>
    </w:p>
    <w:p w14:paraId="49195E9E" w14:textId="77777777" w:rsidR="0057796E" w:rsidRDefault="0057796E" w:rsidP="0057796E">
      <w:pPr>
        <w:pStyle w:val="ListBullet"/>
      </w:pPr>
      <w:r>
        <w:t>temporarily expanding eligibility to allow licence holders or lessees without a vehicle stated on their taxi service licence to apply for assistance under the scheme until 30 June 2023, which helped manage current demand by reducing the number of taxi licences that are not operating</w:t>
      </w:r>
    </w:p>
    <w:p w14:paraId="6D4FAC30" w14:textId="77777777" w:rsidR="0057796E" w:rsidRDefault="0057796E" w:rsidP="0057796E">
      <w:pPr>
        <w:pStyle w:val="ListBullet"/>
      </w:pPr>
      <w:r>
        <w:t>enabling licensees to move funded vehicles between taxi service licences that they hold or lease, to ensure the scheme's requirements are not unduly restrictive and discourage operators from applying for funding.</w:t>
      </w:r>
    </w:p>
    <w:p w14:paraId="248D90A5" w14:textId="77777777" w:rsidR="0057796E" w:rsidRDefault="0057796E" w:rsidP="0057796E">
      <w:r>
        <w:t>Funding continued to be provided for new wheelchair accessible taxis to replace ageing vehicles or those written off by an accredited insurance provider, such as those unrepairable or too costly, to repair.</w:t>
      </w:r>
    </w:p>
    <w:p w14:paraId="65F2D04C" w14:textId="77777777" w:rsidR="0057796E" w:rsidRDefault="0057796E" w:rsidP="0057796E">
      <w:r>
        <w:t>The program also offers funding for replacing a conventional taxi with a wheelchair accessible taxi in some areas. Eligible taxi operators can apply for 50 per cent funding (a maximum of $45,000) towards the purchase of a new vehicle.</w:t>
      </w:r>
    </w:p>
    <w:p w14:paraId="2F2DE2F4" w14:textId="77777777" w:rsidR="0057796E" w:rsidRPr="00A95E2C" w:rsidRDefault="0057796E" w:rsidP="0057796E">
      <w:r w:rsidRPr="00A95E2C">
        <w:t xml:space="preserve">The scheme is administered by the Queensland Rural and Industry Development Authority. A total of 101 applications were received from across Queensland in 2022–23 of which, 94 were approved. In total, since inception, 361 applications have been received, </w:t>
      </w:r>
      <w:r>
        <w:t>318</w:t>
      </w:r>
      <w:r w:rsidRPr="00A95E2C">
        <w:t xml:space="preserve"> approved</w:t>
      </w:r>
      <w:r>
        <w:t>,</w:t>
      </w:r>
      <w:r w:rsidRPr="00A95E2C">
        <w:t xml:space="preserve"> and 237 fulfilled and vehicles operating.</w:t>
      </w:r>
    </w:p>
    <w:p w14:paraId="0E688156" w14:textId="77777777" w:rsidR="0057796E" w:rsidRDefault="0057796E" w:rsidP="0057796E">
      <w:pPr>
        <w:pStyle w:val="ForMoreInformation"/>
        <w:rPr>
          <w:rStyle w:val="Hyperlink"/>
        </w:rPr>
      </w:pPr>
      <w:r>
        <w:t>For more information</w:t>
      </w:r>
      <w:r>
        <w:br/>
      </w:r>
      <w:hyperlink r:id="rId68" w:history="1">
        <w:r w:rsidRPr="00711A64">
          <w:rPr>
            <w:rStyle w:val="Hyperlink"/>
          </w:rPr>
          <w:t>https://www.tmr.qld.gov.au/business-industry/Taxi-and-limousine/Industry-information/Taxi/Wheelchair-accessible-taxis</w:t>
        </w:r>
      </w:hyperlink>
    </w:p>
    <w:p w14:paraId="5A3679C9" w14:textId="77777777" w:rsidR="0057796E" w:rsidRPr="00DC1A33" w:rsidRDefault="0057796E" w:rsidP="0057796E">
      <w:pPr>
        <w:pStyle w:val="Heading3"/>
      </w:pPr>
      <w:r>
        <w:t>Bus driver safety initiatives</w:t>
      </w:r>
    </w:p>
    <w:p w14:paraId="76EB010A" w14:textId="77777777" w:rsidR="0057796E" w:rsidRDefault="0057796E" w:rsidP="0057796E">
      <w:r w:rsidRPr="00E7345C">
        <w:t xml:space="preserve">Following the completion of the Queensland Bus Driver Safety Scheme in 2020, TMR has continued to work with the bus industry to </w:t>
      </w:r>
      <w:r>
        <w:t>deliver</w:t>
      </w:r>
      <w:r w:rsidRPr="00E7345C">
        <w:t xml:space="preserve"> improved safety measures such as </w:t>
      </w:r>
      <w:r>
        <w:t xml:space="preserve">deploying additional Network Officers, installing </w:t>
      </w:r>
      <w:r w:rsidRPr="00E7345C">
        <w:t>driver barriers</w:t>
      </w:r>
      <w:r>
        <w:t>, and providing de-escalation training</w:t>
      </w:r>
      <w:r w:rsidRPr="00E7345C">
        <w:t>.</w:t>
      </w:r>
    </w:p>
    <w:p w14:paraId="3093C17D" w14:textId="77777777" w:rsidR="0057796E" w:rsidRDefault="0057796E" w:rsidP="0057796E">
      <w:r>
        <w:t xml:space="preserve">TMR is investing $60.7 million over five years to deploy additional Network Officers and provide further police assistance on public transport. </w:t>
      </w:r>
      <w:r w:rsidRPr="00707E1F">
        <w:t>As well as focus</w:t>
      </w:r>
      <w:r>
        <w:t>ing</w:t>
      </w:r>
      <w:r w:rsidRPr="00707E1F">
        <w:t xml:space="preserve"> on safety, Network Officers have powers to enforce conditions of travel and </w:t>
      </w:r>
      <w:r>
        <w:t>will</w:t>
      </w:r>
      <w:r w:rsidRPr="00707E1F">
        <w:t xml:space="preserve"> issue infringement notices, including fines for public transport offences</w:t>
      </w:r>
      <w:r>
        <w:t xml:space="preserve"> such as fare evasion.</w:t>
      </w:r>
    </w:p>
    <w:p w14:paraId="2F729EC5" w14:textId="77777777" w:rsidR="0057796E" w:rsidRPr="008A2F9A" w:rsidRDefault="0057796E" w:rsidP="0057796E">
      <w:r w:rsidRPr="008A2F9A">
        <w:t>Recruitment for the first wave of new Network Officers began in February 2023, with the first cohort of Network Officers commencing in May 2023</w:t>
      </w:r>
      <w:r>
        <w:t xml:space="preserve">. </w:t>
      </w:r>
      <w:r w:rsidRPr="008A2F9A">
        <w:t>The new Network Officers will be placed with delivery partners where they are needed most, while Queensland Police Officers will have a focus on public transport services in the Brisbane metropolitan area.</w:t>
      </w:r>
    </w:p>
    <w:p w14:paraId="5B41B48C" w14:textId="77777777" w:rsidR="0057796E" w:rsidRPr="008A2F9A" w:rsidRDefault="0057796E" w:rsidP="0057796E">
      <w:r w:rsidRPr="008A2F9A">
        <w:t xml:space="preserve">Translink is also deploying resources from the Police service Protective Services Group. The Senior Protective Service Officers are trained and authorised as Transit </w:t>
      </w:r>
      <w:r>
        <w:t>O</w:t>
      </w:r>
      <w:r w:rsidRPr="008A2F9A">
        <w:t>fficers to provide fare compliance and safety and security at key transport infrastructure locations.</w:t>
      </w:r>
    </w:p>
    <w:p w14:paraId="02B8358E" w14:textId="77777777" w:rsidR="0057796E" w:rsidRPr="008A2F9A" w:rsidRDefault="0057796E" w:rsidP="0057796E">
      <w:r w:rsidRPr="008A2F9A">
        <w:t xml:space="preserve">Driver barriers became mandatory in all new urban service vehicles purchased after 1 July 2022. Delivery partners have the flexibility to choose the barrier that best suits their operating environment, based on a risk assessment, consultation with their </w:t>
      </w:r>
      <w:r w:rsidRPr="008A2F9A">
        <w:lastRenderedPageBreak/>
        <w:t>workforce and the vehicle models in their fleet. TMR is investing almost $4 million over 2022–23 and 2023–24 in rolling out more full protection bus driver barriers across the public transport network.</w:t>
      </w:r>
    </w:p>
    <w:p w14:paraId="6FEB4221" w14:textId="77777777" w:rsidR="0057796E" w:rsidRPr="008A2F9A" w:rsidRDefault="0057796E" w:rsidP="0057796E">
      <w:r w:rsidRPr="008A2F9A">
        <w:t>In partnership with the Queensland Bus Industry Council, Griffith University</w:t>
      </w:r>
      <w:r>
        <w:t>,</w:t>
      </w:r>
      <w:r w:rsidRPr="008A2F9A">
        <w:t xml:space="preserve"> and TMR, the </w:t>
      </w:r>
      <w:r w:rsidRPr="008A2F9A">
        <w:rPr>
          <w:rStyle w:val="Emphasis"/>
        </w:rPr>
        <w:t>Minimising Passenger Hostility</w:t>
      </w:r>
      <w:r w:rsidRPr="008A2F9A">
        <w:t xml:space="preserve"> de-escalation training program continued to be available to assist drivers in managing customer aggression.</w:t>
      </w:r>
    </w:p>
    <w:p w14:paraId="2F54D903" w14:textId="77777777" w:rsidR="0057796E" w:rsidRPr="008A2F9A" w:rsidRDefault="0057796E" w:rsidP="0057796E">
      <w:r w:rsidRPr="008A2F9A">
        <w:t>Bus driver safety also continued to be supported during 2022–23 through:</w:t>
      </w:r>
    </w:p>
    <w:p w14:paraId="65161D95" w14:textId="77777777" w:rsidR="0057796E" w:rsidRPr="008A2F9A" w:rsidRDefault="0057796E" w:rsidP="0057796E">
      <w:pPr>
        <w:pStyle w:val="ListBullet"/>
      </w:pPr>
      <w:r w:rsidRPr="008A2F9A">
        <w:t xml:space="preserve">implementing a </w:t>
      </w:r>
      <w:r>
        <w:t>S</w:t>
      </w:r>
      <w:r w:rsidRPr="008A2F9A">
        <w:t xml:space="preserve">mart </w:t>
      </w:r>
      <w:r>
        <w:t>T</w:t>
      </w:r>
      <w:r w:rsidRPr="008A2F9A">
        <w:t>icketing system that is limiting the driver’s role in cash handling across Queensland</w:t>
      </w:r>
    </w:p>
    <w:p w14:paraId="1C79C0A3" w14:textId="77777777" w:rsidR="0057796E" w:rsidRPr="008A2F9A" w:rsidRDefault="0057796E" w:rsidP="0057796E">
      <w:pPr>
        <w:pStyle w:val="ListBullet"/>
      </w:pPr>
      <w:r w:rsidRPr="008A2F9A">
        <w:t xml:space="preserve">delivering a refreshed </w:t>
      </w:r>
      <w:r>
        <w:t>s</w:t>
      </w:r>
      <w:r w:rsidRPr="008A2F9A">
        <w:t>tep-</w:t>
      </w:r>
      <w:r>
        <w:t>u</w:t>
      </w:r>
      <w:r w:rsidRPr="008A2F9A">
        <w:t xml:space="preserve">p initiative in schools to promote appropriate behaviour on public transport to school students.  </w:t>
      </w:r>
    </w:p>
    <w:p w14:paraId="05DFE916" w14:textId="77777777" w:rsidR="0057796E" w:rsidRPr="008A2F9A" w:rsidRDefault="0057796E" w:rsidP="0057796E">
      <w:r w:rsidRPr="008A2F9A">
        <w:t>TMR continues to engage with industry and other key stakeholders on bus safety issues and best practice initiatives to keep bus travel safe for everyone, including through the Queensland Bus Safety Forum which met twice in 2022–23</w:t>
      </w:r>
      <w:r>
        <w:t xml:space="preserve"> on</w:t>
      </w:r>
      <w:r w:rsidRPr="008A2F9A">
        <w:t xml:space="preserve"> 27 October 2022 and 23 March 2023.</w:t>
      </w:r>
    </w:p>
    <w:p w14:paraId="79FDA97C" w14:textId="77777777" w:rsidR="0057796E" w:rsidRPr="004B00D8" w:rsidRDefault="0057796E" w:rsidP="0057796E">
      <w:pPr>
        <w:pStyle w:val="ForMoreInformation"/>
        <w:rPr>
          <w:color w:val="5F5F5F" w:themeColor="hyperlink"/>
          <w:u w:val="single"/>
        </w:rPr>
      </w:pPr>
      <w:r w:rsidRPr="008A2F9A">
        <w:t>For more information</w:t>
      </w:r>
      <w:r>
        <w:br/>
      </w:r>
      <w:r>
        <w:rPr>
          <w:rStyle w:val="Hyperlink"/>
        </w:rPr>
        <w:t>https://</w:t>
      </w:r>
      <w:hyperlink r:id="rId69" w:history="1">
        <w:r w:rsidRPr="0029104C">
          <w:rPr>
            <w:rStyle w:val="Hyperlink"/>
          </w:rPr>
          <w:t>www.translink.com.au/about-translink/projects-and-initiatives/bus-driver-safety-review</w:t>
        </w:r>
      </w:hyperlink>
      <w:r w:rsidRPr="008A2F9A">
        <w:rPr>
          <w:rStyle w:val="Hyperlink"/>
        </w:rPr>
        <w:t xml:space="preserve"> </w:t>
      </w:r>
      <w:r>
        <w:rPr>
          <w:rStyle w:val="Hyperlink"/>
        </w:rPr>
        <w:br/>
      </w:r>
      <w:hyperlink r:id="rId70" w:history="1">
        <w:r w:rsidRPr="0029104C">
          <w:rPr>
            <w:rStyle w:val="Hyperlink"/>
          </w:rPr>
          <w:t>https://www.translink.com.au/travel-with-us/safety-and-security</w:t>
        </w:r>
      </w:hyperlink>
    </w:p>
    <w:p w14:paraId="135BF89B" w14:textId="77777777" w:rsidR="0057796E" w:rsidRPr="00DC1A33" w:rsidRDefault="0057796E" w:rsidP="0057796E">
      <w:pPr>
        <w:pStyle w:val="Heading3"/>
      </w:pPr>
      <w:r>
        <w:t>Queensland Bus Driver of the Year Awards</w:t>
      </w:r>
    </w:p>
    <w:p w14:paraId="4A5CFDD7" w14:textId="77777777" w:rsidR="0057796E" w:rsidRPr="00F55C00" w:rsidRDefault="0057796E" w:rsidP="0057796E">
      <w:r w:rsidRPr="00F55C00">
        <w:t>The 202</w:t>
      </w:r>
      <w:r>
        <w:t>2</w:t>
      </w:r>
      <w:r w:rsidRPr="00F55C00">
        <w:t xml:space="preserve"> </w:t>
      </w:r>
      <w:r>
        <w:t xml:space="preserve">Queensland </w:t>
      </w:r>
      <w:r w:rsidRPr="00F55C00">
        <w:t>Bus Driver of the Year Award</w:t>
      </w:r>
      <w:r>
        <w:t xml:space="preserve"> winners </w:t>
      </w:r>
      <w:r w:rsidRPr="00F55C00">
        <w:t>were announced at the Queensland Bus Industry Council’s annual conference in April 202</w:t>
      </w:r>
      <w:r>
        <w:t>3</w:t>
      </w:r>
      <w:r w:rsidRPr="00F55C00">
        <w:t>.</w:t>
      </w:r>
    </w:p>
    <w:p w14:paraId="6C830F66" w14:textId="77777777" w:rsidR="0057796E" w:rsidRPr="009C34D4" w:rsidRDefault="0057796E" w:rsidP="0057796E">
      <w:r w:rsidRPr="009C34D4">
        <w:t>The winners of each category were:</w:t>
      </w:r>
    </w:p>
    <w:p w14:paraId="7AF2A447" w14:textId="77777777" w:rsidR="0057796E" w:rsidRPr="009C34D4" w:rsidRDefault="0057796E" w:rsidP="0057796E">
      <w:pPr>
        <w:pStyle w:val="ListBullet"/>
      </w:pPr>
      <w:r w:rsidRPr="009C34D4">
        <w:t>South East Queensland Bus Driver of the Year</w:t>
      </w:r>
    </w:p>
    <w:p w14:paraId="49952B1B" w14:textId="77777777" w:rsidR="0057796E" w:rsidRPr="009C34D4" w:rsidRDefault="0057796E" w:rsidP="0057796E">
      <w:pPr>
        <w:pStyle w:val="ListBullet2"/>
      </w:pPr>
      <w:r w:rsidRPr="009C34D4">
        <w:t>Sue Bishop (Transdev, Capalaba)</w:t>
      </w:r>
    </w:p>
    <w:p w14:paraId="7AA399A0" w14:textId="77777777" w:rsidR="0057796E" w:rsidRPr="009C34D4" w:rsidRDefault="0057796E" w:rsidP="0057796E">
      <w:pPr>
        <w:pStyle w:val="ListBullet"/>
      </w:pPr>
      <w:r w:rsidRPr="009C34D4">
        <w:t>Regional Queensland Bus Driver of the Year</w:t>
      </w:r>
    </w:p>
    <w:p w14:paraId="714981C3" w14:textId="77777777" w:rsidR="0057796E" w:rsidRPr="009C34D4" w:rsidRDefault="0057796E" w:rsidP="0057796E">
      <w:pPr>
        <w:pStyle w:val="ListBullet2"/>
      </w:pPr>
      <w:r w:rsidRPr="009C34D4">
        <w:t>John Shackell (Wide Bay Transit, Hervey Bay)</w:t>
      </w:r>
    </w:p>
    <w:p w14:paraId="2C0412BF" w14:textId="77777777" w:rsidR="0057796E" w:rsidRDefault="0057796E" w:rsidP="0057796E">
      <w:pPr>
        <w:pStyle w:val="ListBullet"/>
      </w:pPr>
      <w:r w:rsidRPr="009C34D4">
        <w:t>School Services Bus Driver of the Year</w:t>
      </w:r>
    </w:p>
    <w:p w14:paraId="334FFB6F" w14:textId="77777777" w:rsidR="0057796E" w:rsidRPr="009C34D4" w:rsidRDefault="0057796E" w:rsidP="0057796E">
      <w:pPr>
        <w:pStyle w:val="ListBullet2"/>
      </w:pPr>
      <w:r w:rsidRPr="009C34D4">
        <w:t>Deb Porter (Stonehenge, Stonehenge Action Group)</w:t>
      </w:r>
      <w:r>
        <w:t xml:space="preserve">. </w:t>
      </w:r>
    </w:p>
    <w:p w14:paraId="1E6DA732" w14:textId="77777777" w:rsidR="0057796E" w:rsidRDefault="0057796E" w:rsidP="0057796E">
      <w:r>
        <w:t>Nearly 1000</w:t>
      </w:r>
      <w:r w:rsidRPr="00F55C00">
        <w:t xml:space="preserve"> nominations were received for the 202</w:t>
      </w:r>
      <w:r>
        <w:t>2</w:t>
      </w:r>
      <w:r w:rsidRPr="00F55C00">
        <w:t xml:space="preserve"> awards. The awards celebrated drivers who went above and beyond to deliver excellent customer service and </w:t>
      </w:r>
      <w:r>
        <w:t xml:space="preserve">demonstrated excellence in getting people to work, school, or wherever they needed to go. </w:t>
      </w:r>
    </w:p>
    <w:p w14:paraId="6FB3E2C8" w14:textId="77777777" w:rsidR="0057796E" w:rsidRDefault="0057796E" w:rsidP="0057796E">
      <w:pPr>
        <w:pStyle w:val="ForMoreInformation"/>
      </w:pPr>
      <w:r>
        <w:t>For more information</w:t>
      </w:r>
      <w:r>
        <w:br/>
      </w:r>
      <w:r w:rsidRPr="00F55C00">
        <w:rPr>
          <w:rStyle w:val="Hyperlink"/>
        </w:rPr>
        <w:t>https://www.translink.com.au/news-and-media/competitions-and-offers/bus-driver-awards</w:t>
      </w:r>
      <w:r>
        <w:rPr>
          <w:rStyle w:val="Hyperlink"/>
        </w:rPr>
        <w:t xml:space="preserve"> </w:t>
      </w:r>
    </w:p>
    <w:p w14:paraId="631006A5" w14:textId="77777777" w:rsidR="0057796E" w:rsidRPr="00DC1A33" w:rsidRDefault="0057796E" w:rsidP="0057796E">
      <w:pPr>
        <w:pStyle w:val="Heading3"/>
      </w:pPr>
      <w:r>
        <w:t>European Train Control System Program</w:t>
      </w:r>
    </w:p>
    <w:p w14:paraId="78DBC8AC" w14:textId="77777777" w:rsidR="0057796E" w:rsidRPr="00692542" w:rsidRDefault="0057796E" w:rsidP="0057796E">
      <w:r>
        <w:t>TMR continues to work towards deploying the</w:t>
      </w:r>
      <w:r w:rsidRPr="00692542">
        <w:t xml:space="preserve"> ETCS signalling technology </w:t>
      </w:r>
      <w:r>
        <w:t>across the Queensland rail network</w:t>
      </w:r>
      <w:r w:rsidRPr="00692542">
        <w:t xml:space="preserve"> to significantly improve safety and support more efficient services. </w:t>
      </w:r>
      <w:r>
        <w:t>Initially, t</w:t>
      </w:r>
      <w:r w:rsidRPr="00692542">
        <w:t xml:space="preserve">he state is investing in ETCS for Cross River Rail to make the rail network </w:t>
      </w:r>
      <w:r>
        <w:t>more efficient</w:t>
      </w:r>
      <w:r w:rsidRPr="00692542">
        <w:t xml:space="preserve"> and build future capacity for </w:t>
      </w:r>
      <w:r>
        <w:t>increased</w:t>
      </w:r>
      <w:r w:rsidRPr="00692542">
        <w:t xml:space="preserve"> services.</w:t>
      </w:r>
    </w:p>
    <w:p w14:paraId="22AE5B6F" w14:textId="77777777" w:rsidR="0057796E" w:rsidRPr="00692542" w:rsidRDefault="0057796E" w:rsidP="0057796E">
      <w:r w:rsidRPr="00692542">
        <w:t>Benefits of ETCS technology include increased safety, capacity, efficiency, and reliability for the inner-city rail network. It is also necessary for the safe operation of Cross River Rail’s twin tunnels.</w:t>
      </w:r>
    </w:p>
    <w:p w14:paraId="15F66900" w14:textId="77777777" w:rsidR="0057796E" w:rsidRPr="00692542" w:rsidRDefault="0057796E" w:rsidP="0057796E">
      <w:r w:rsidRPr="00692542">
        <w:t>This involves the delivery and integration of new trackside equipment, data radio systems, a rail traffic management system, and onboard train equipment. The technology includes axle sensors that detect the train’s speed and new touchscreens in the driver’s cabin.</w:t>
      </w:r>
    </w:p>
    <w:p w14:paraId="2926D6E7" w14:textId="77777777" w:rsidR="0057796E" w:rsidRPr="00692542" w:rsidRDefault="0057796E" w:rsidP="0057796E">
      <w:r w:rsidRPr="00692542">
        <w:t>A key focus during 202</w:t>
      </w:r>
      <w:r>
        <w:t>2</w:t>
      </w:r>
      <w:r w:rsidRPr="00692542">
        <w:t>–2</w:t>
      </w:r>
      <w:r>
        <w:t>3</w:t>
      </w:r>
      <w:r w:rsidRPr="00692542">
        <w:t xml:space="preserve"> was to commission the Shorncliffe Pilot Line which runs from Boondall to Shorncliffe</w:t>
      </w:r>
      <w:r>
        <w:t xml:space="preserve"> at Level 2 mode</w:t>
      </w:r>
      <w:r w:rsidRPr="00692542">
        <w:t>. The Shorncliffe Pilot Line will enable a number of integration testing and readiness activities to support the Cross River Rail tunnel</w:t>
      </w:r>
      <w:r>
        <w:t>s</w:t>
      </w:r>
      <w:r w:rsidRPr="00692542">
        <w:t xml:space="preserve"> opening.</w:t>
      </w:r>
    </w:p>
    <w:p w14:paraId="520F34B5" w14:textId="77777777" w:rsidR="0057796E" w:rsidRDefault="0057796E" w:rsidP="0057796E">
      <w:r w:rsidRPr="00692542">
        <w:lastRenderedPageBreak/>
        <w:t xml:space="preserve">The fitment of ETCS onboard equipment on passenger trains is ongoing and in </w:t>
      </w:r>
      <w:r>
        <w:t>April</w:t>
      </w:r>
      <w:r w:rsidRPr="00692542">
        <w:t xml:space="preserve"> 202</w:t>
      </w:r>
      <w:r>
        <w:t>3</w:t>
      </w:r>
      <w:r w:rsidRPr="00692542">
        <w:t xml:space="preserve"> </w:t>
      </w:r>
      <w:r>
        <w:t xml:space="preserve">a New Generation </w:t>
      </w:r>
      <w:r w:rsidRPr="00692542">
        <w:t xml:space="preserve">passenger train successfully </w:t>
      </w:r>
      <w:r>
        <w:t>tested</w:t>
      </w:r>
      <w:r w:rsidRPr="00692542">
        <w:t xml:space="preserve"> in ETCS Level 2 mode on the </w:t>
      </w:r>
      <w:r>
        <w:t>Shorncliffe line</w:t>
      </w:r>
      <w:r w:rsidRPr="00692542">
        <w:t xml:space="preserve">. Level 2 mode is continuous supervision of train movement with constant communication via GSM-R (Global System for Mobile Communications—Railway) between the train and trackside. </w:t>
      </w:r>
    </w:p>
    <w:p w14:paraId="2C65E6F6" w14:textId="77777777" w:rsidR="0057796E" w:rsidRDefault="0057796E" w:rsidP="0057796E">
      <w:r>
        <w:t>Planning is underway to determine the future roll out of ETCS on the Queensland Rail Network in support of the State's Transport Strategy and Master Plan for the Brisbane 2032 Olympic and Paralympic Games.</w:t>
      </w:r>
    </w:p>
    <w:p w14:paraId="5C5A31B9" w14:textId="77777777" w:rsidR="0057796E" w:rsidRPr="00756FBC" w:rsidRDefault="0057796E" w:rsidP="0057796E">
      <w:pPr>
        <w:pStyle w:val="Heading3"/>
      </w:pPr>
      <w:r>
        <w:t>New Generation Rollingstock</w:t>
      </w:r>
    </w:p>
    <w:p w14:paraId="0B32758E" w14:textId="77777777" w:rsidR="0057796E" w:rsidRPr="00D169DF" w:rsidRDefault="0057796E" w:rsidP="0057796E">
      <w:r w:rsidRPr="00D169DF">
        <w:t xml:space="preserve">The New Generation Rollingstock (NGR) fleet has provided reliable public transport for South East Queensland since it was introduced in 2017, delivering more than </w:t>
      </w:r>
      <w:r>
        <w:t>592</w:t>
      </w:r>
      <w:r w:rsidRPr="00D169DF">
        <w:t>,000 passenger services. The fleet consistently achieves more than 99 per cent availability for day-to-day passenger services.</w:t>
      </w:r>
    </w:p>
    <w:p w14:paraId="29D478EB" w14:textId="77777777" w:rsidR="0057796E" w:rsidRPr="00D169DF" w:rsidRDefault="0057796E" w:rsidP="0057796E">
      <w:r w:rsidRPr="00D169DF">
        <w:t xml:space="preserve">Work is underway to modify the NGR fleet to allow them to travel on the Cross River Rail infrastructure. These modifications include installation of onboard hardware for </w:t>
      </w:r>
      <w:r>
        <w:t>ETCS</w:t>
      </w:r>
      <w:r w:rsidRPr="00D169DF">
        <w:t xml:space="preserve"> </w:t>
      </w:r>
      <w:r>
        <w:t>l</w:t>
      </w:r>
      <w:r w:rsidRPr="00D169DF">
        <w:t xml:space="preserve">evel 2, </w:t>
      </w:r>
      <w:r>
        <w:t>A</w:t>
      </w:r>
      <w:r w:rsidRPr="00D169DF">
        <w:t xml:space="preserve">utomatic </w:t>
      </w:r>
      <w:r>
        <w:t>T</w:t>
      </w:r>
      <w:r w:rsidRPr="00D169DF">
        <w:t xml:space="preserve">rain </w:t>
      </w:r>
      <w:r>
        <w:t>O</w:t>
      </w:r>
      <w:r w:rsidRPr="00D169DF">
        <w:t>peration</w:t>
      </w:r>
      <w:r>
        <w:t>,</w:t>
      </w:r>
      <w:r w:rsidRPr="00D169DF">
        <w:t xml:space="preserve"> and </w:t>
      </w:r>
      <w:r>
        <w:t>p</w:t>
      </w:r>
      <w:r w:rsidRPr="00D169DF">
        <w:t xml:space="preserve">latform </w:t>
      </w:r>
      <w:r>
        <w:t>s</w:t>
      </w:r>
      <w:r w:rsidRPr="00D169DF">
        <w:t xml:space="preserve">creen </w:t>
      </w:r>
      <w:r>
        <w:t>d</w:t>
      </w:r>
      <w:r w:rsidRPr="00D169DF">
        <w:t>oors.</w:t>
      </w:r>
    </w:p>
    <w:p w14:paraId="572F88EA" w14:textId="77777777" w:rsidR="0057796E" w:rsidRDefault="0057796E" w:rsidP="0057796E">
      <w:r w:rsidRPr="00D169DF">
        <w:t xml:space="preserve">The $335.7 million NGR accessibility upgrade program is proceeding, </w:t>
      </w:r>
      <w:r>
        <w:t xml:space="preserve">with more than half the NGR fleet now upgraded and returned to passenger service. </w:t>
      </w:r>
      <w:r w:rsidRPr="00D169DF">
        <w:t>Accessibility upgrades include:</w:t>
      </w:r>
    </w:p>
    <w:p w14:paraId="55A46607" w14:textId="77777777" w:rsidR="0057796E" w:rsidRPr="00885FF8" w:rsidRDefault="0057796E" w:rsidP="0057796E">
      <w:pPr>
        <w:pStyle w:val="ListBullet"/>
      </w:pPr>
      <w:r w:rsidRPr="00885FF8">
        <w:t>a second accessible toilet module on every NGR train</w:t>
      </w:r>
    </w:p>
    <w:p w14:paraId="1EEAFF66" w14:textId="77777777" w:rsidR="0057796E" w:rsidRPr="00885FF8" w:rsidRDefault="0057796E" w:rsidP="0057796E">
      <w:pPr>
        <w:pStyle w:val="ListBullet"/>
      </w:pPr>
      <w:r w:rsidRPr="00885FF8">
        <w:t>increase in circulation space inside the toilet modules</w:t>
      </w:r>
    </w:p>
    <w:p w14:paraId="3854B243" w14:textId="77777777" w:rsidR="0057796E" w:rsidRPr="00885FF8" w:rsidRDefault="0057796E" w:rsidP="0057796E">
      <w:pPr>
        <w:pStyle w:val="ListBullet"/>
      </w:pPr>
      <w:r w:rsidRPr="00885FF8">
        <w:t>priority seats increased from 24 to 88 per train</w:t>
      </w:r>
    </w:p>
    <w:p w14:paraId="244795C0" w14:textId="77777777" w:rsidR="0057796E" w:rsidRPr="00885FF8" w:rsidRDefault="0057796E" w:rsidP="0057796E">
      <w:pPr>
        <w:pStyle w:val="ListBullet"/>
      </w:pPr>
      <w:r w:rsidRPr="00885FF8">
        <w:t>improved signage</w:t>
      </w:r>
    </w:p>
    <w:p w14:paraId="69489F52" w14:textId="77777777" w:rsidR="0057796E" w:rsidRPr="00885FF8" w:rsidRDefault="0057796E" w:rsidP="0057796E">
      <w:pPr>
        <w:pStyle w:val="ListBullet"/>
      </w:pPr>
      <w:r w:rsidRPr="00885FF8">
        <w:t>more grab</w:t>
      </w:r>
      <w:r>
        <w:t xml:space="preserve"> or </w:t>
      </w:r>
      <w:r w:rsidRPr="00885FF8">
        <w:t>handrails.</w:t>
      </w:r>
    </w:p>
    <w:p w14:paraId="2214EBF3" w14:textId="77777777" w:rsidR="0057796E" w:rsidRPr="00885FF8" w:rsidRDefault="0057796E" w:rsidP="0057796E">
      <w:r w:rsidRPr="00885FF8">
        <w:t>The NGR accessibility upgrades are being delivered at the Downer facility in Maryborough. The design of the upgrades came after intensive consultation with a project working group from the disability sector, using an innovative co-design process.</w:t>
      </w:r>
    </w:p>
    <w:p w14:paraId="17AC96FB" w14:textId="77777777" w:rsidR="0057796E" w:rsidRPr="00885FF8" w:rsidRDefault="0057796E" w:rsidP="0057796E">
      <w:r w:rsidRPr="00885FF8">
        <w:t xml:space="preserve">The fully upgraded NGR fleet is scheduled to be back in service by 2024. </w:t>
      </w:r>
    </w:p>
    <w:p w14:paraId="5328DC85" w14:textId="77777777" w:rsidR="0057796E" w:rsidRDefault="0057796E" w:rsidP="0057796E">
      <w:pPr>
        <w:pStyle w:val="ForMoreInformation"/>
      </w:pPr>
      <w:r w:rsidRPr="00885FF8">
        <w:t>For more information</w:t>
      </w:r>
      <w:r w:rsidRPr="00885FF8">
        <w:br/>
      </w:r>
      <w:hyperlink r:id="rId71" w:history="1">
        <w:r w:rsidRPr="00885FF8">
          <w:rPr>
            <w:rStyle w:val="Hyperlink"/>
          </w:rPr>
          <w:t>https://www.tmr.qld.gov.au/NGR</w:t>
        </w:r>
      </w:hyperlink>
    </w:p>
    <w:p w14:paraId="61A0C324" w14:textId="77777777" w:rsidR="0057796E" w:rsidRPr="00D04688" w:rsidRDefault="0057796E" w:rsidP="0057796E">
      <w:pPr>
        <w:pStyle w:val="Heading3"/>
      </w:pPr>
      <w:r w:rsidRPr="00D04688">
        <w:t>Queensland Train Manufacturing Program</w:t>
      </w:r>
    </w:p>
    <w:p w14:paraId="6F6B1A56" w14:textId="77777777" w:rsidR="0057796E" w:rsidRPr="00125FF6" w:rsidRDefault="0057796E" w:rsidP="0057796E">
      <w:r w:rsidRPr="00125FF6">
        <w:t xml:space="preserve">The </w:t>
      </w:r>
      <w:r>
        <w:t>Queensland Train Manufacturing Program (</w:t>
      </w:r>
      <w:r w:rsidRPr="00125FF6">
        <w:t>QTMP</w:t>
      </w:r>
      <w:r>
        <w:t>)</w:t>
      </w:r>
      <w:r w:rsidRPr="00125FF6">
        <w:t xml:space="preserve"> was established to meet the increasing demand on rail transport in South East Queensland over the next 10 years.</w:t>
      </w:r>
    </w:p>
    <w:p w14:paraId="7ADE4269" w14:textId="77777777" w:rsidR="0057796E" w:rsidRPr="00746FBC" w:rsidRDefault="0057796E" w:rsidP="0057796E">
      <w:r w:rsidRPr="00125FF6">
        <w:t>The Queensland Government's QTMP will build 65 new six-car passenger trains at a purpose-built manufacturing facility at Torbanlea, in the Maryborough region. As part of the program a new rail facility will also be constructed at Ormeau, in the Gold Coast region. </w:t>
      </w:r>
    </w:p>
    <w:p w14:paraId="3BA6A903" w14:textId="77777777" w:rsidR="0057796E" w:rsidRPr="00125FF6" w:rsidRDefault="0057796E" w:rsidP="0057796E">
      <w:r w:rsidRPr="00125FF6">
        <w:t>QTMP will support South East Queensland's population and economic growth, as well as Cross River Rail and the Brisbane 2032 Olympic and Paralympic Games.</w:t>
      </w:r>
    </w:p>
    <w:p w14:paraId="03AE9D1A" w14:textId="77777777" w:rsidR="0057796E" w:rsidRPr="00125FF6" w:rsidRDefault="0057796E" w:rsidP="0057796E">
      <w:r w:rsidRPr="00125FF6">
        <w:t>The program brings with it a pipeline of training and development opportunities to bolster Queensland as the train building capital of Australia.</w:t>
      </w:r>
    </w:p>
    <w:p w14:paraId="5CCDAD15" w14:textId="77777777" w:rsidR="0057796E" w:rsidRDefault="0057796E" w:rsidP="0057796E">
      <w:r w:rsidRPr="00125FF6">
        <w:t>Early works and site investigation activities are underway in preparation for major construction to begin on the facilities from late</w:t>
      </w:r>
      <w:r>
        <w:t>-</w:t>
      </w:r>
      <w:r w:rsidRPr="00125FF6">
        <w:t xml:space="preserve">2023. </w:t>
      </w:r>
    </w:p>
    <w:p w14:paraId="5975F923" w14:textId="77777777" w:rsidR="0057796E" w:rsidRPr="00125FF6" w:rsidRDefault="0057796E" w:rsidP="0057796E">
      <w:r w:rsidRPr="00125FF6">
        <w:t xml:space="preserve">In </w:t>
      </w:r>
      <w:r>
        <w:t>June</w:t>
      </w:r>
      <w:r w:rsidRPr="00125FF6">
        <w:t xml:space="preserve"> 2023, </w:t>
      </w:r>
      <w:r>
        <w:t xml:space="preserve">Downer was awarded the Design Build Maintain Contract for </w:t>
      </w:r>
      <w:r w:rsidRPr="00125FF6">
        <w:t>the QTMP</w:t>
      </w:r>
      <w:r>
        <w:t>.</w:t>
      </w:r>
    </w:p>
    <w:p w14:paraId="1DE38CE2" w14:textId="77777777" w:rsidR="0057796E" w:rsidRPr="00125FF6" w:rsidRDefault="0057796E" w:rsidP="0057796E">
      <w:r w:rsidRPr="00125FF6">
        <w:t>Informing design requirements for the new fleet, TMR incorporated all recommendations from the New Generation Commission of Inquiry and is working closely with the Queensland Accessible Transport Advisory Council.</w:t>
      </w:r>
    </w:p>
    <w:p w14:paraId="3DA0736C" w14:textId="77777777" w:rsidR="0057796E" w:rsidRPr="00125FF6" w:rsidRDefault="0057796E" w:rsidP="0057796E">
      <w:r w:rsidRPr="00125FF6">
        <w:t xml:space="preserve">TMR undertook early and comprehensive engagement with the disability sector to co-design the new trains and ensure a fully compliant fleet that is accessible and functional for all passengers. </w:t>
      </w:r>
    </w:p>
    <w:p w14:paraId="4F78CE59" w14:textId="77777777" w:rsidR="0057796E" w:rsidRPr="00FD5721" w:rsidRDefault="0057796E" w:rsidP="0057796E">
      <w:pPr>
        <w:pStyle w:val="ForMoreInformation"/>
        <w:rPr>
          <w:rStyle w:val="Hyperlink"/>
        </w:rPr>
      </w:pPr>
      <w:r>
        <w:lastRenderedPageBreak/>
        <w:t>For more information</w:t>
      </w:r>
      <w:r>
        <w:br/>
      </w:r>
      <w:r w:rsidRPr="00FD5721">
        <w:rPr>
          <w:rStyle w:val="Hyperlink"/>
        </w:rPr>
        <w:t>https://www.tmr.qld.gov.au/trainmanufacturing</w:t>
      </w:r>
    </w:p>
    <w:p w14:paraId="68911D8C" w14:textId="77777777" w:rsidR="0057796E" w:rsidRPr="00756FBC" w:rsidRDefault="0057796E" w:rsidP="0057796E">
      <w:pPr>
        <w:pStyle w:val="Heading3"/>
      </w:pPr>
      <w:r>
        <w:t>Regional Roads and Transport Groups</w:t>
      </w:r>
    </w:p>
    <w:p w14:paraId="22276F4F" w14:textId="77777777" w:rsidR="0057796E" w:rsidRPr="001B122D" w:rsidRDefault="0057796E" w:rsidP="0057796E">
      <w:r w:rsidRPr="001B122D">
        <w:t xml:space="preserve">The Roads and Transport Alliance is a partnership between TMR and Queensland local governments. </w:t>
      </w:r>
    </w:p>
    <w:p w14:paraId="5DE5EF4E" w14:textId="77777777" w:rsidR="0057796E" w:rsidRPr="001B122D" w:rsidRDefault="0057796E" w:rsidP="0057796E">
      <w:r w:rsidRPr="001B122D">
        <w:t>Central to the Alliance are 17 Regional Roads and Transport Groups (RRTG), representing 67 local governments across Queensland, including seven First Nations local governments. RRTGs are the primary decision-making bodies that determine regionally prioritised improvements to their communities’ transport infrastructure utilising Transport Infrastructure Development Scheme</w:t>
      </w:r>
      <w:r>
        <w:t xml:space="preserve"> (TIDS)</w:t>
      </w:r>
      <w:r w:rsidRPr="001B122D">
        <w:t xml:space="preserve"> funding. </w:t>
      </w:r>
    </w:p>
    <w:p w14:paraId="591A79B9" w14:textId="77777777" w:rsidR="0057796E" w:rsidRPr="001B122D" w:rsidRDefault="0057796E" w:rsidP="0057796E">
      <w:r w:rsidRPr="001B122D">
        <w:t>In 2022–23, 2</w:t>
      </w:r>
      <w:r>
        <w:t>1</w:t>
      </w:r>
      <w:r w:rsidRPr="001B122D">
        <w:t xml:space="preserve">1 projects were delivered, with joint investment of more than $120 million in local roads, safer school drop–off areas, and active transport infrastructure. </w:t>
      </w:r>
    </w:p>
    <w:p w14:paraId="67BC87BF" w14:textId="77777777" w:rsidR="0057796E" w:rsidRPr="001B122D" w:rsidRDefault="0057796E" w:rsidP="0057796E">
      <w:r w:rsidRPr="001B122D">
        <w:t xml:space="preserve">Projects that used TIDS funding during 2022–23 included: </w:t>
      </w:r>
    </w:p>
    <w:p w14:paraId="46B0868C" w14:textId="77777777" w:rsidR="0057796E" w:rsidRPr="001B122D" w:rsidRDefault="0057796E" w:rsidP="0057796E">
      <w:pPr>
        <w:pStyle w:val="ListBullet"/>
      </w:pPr>
      <w:r w:rsidRPr="001B122D">
        <w:t>Bowen Basin RRTG, Isaac Regional Council: Pioneer Road, pave, seal</w:t>
      </w:r>
      <w:r>
        <w:t>,</w:t>
      </w:r>
      <w:r w:rsidRPr="001B122D">
        <w:t xml:space="preserve"> and drainage works </w:t>
      </w:r>
      <w:r>
        <w:t>$1.34 million</w:t>
      </w:r>
    </w:p>
    <w:p w14:paraId="7D2692BB" w14:textId="77777777" w:rsidR="0057796E" w:rsidRPr="001B122D" w:rsidRDefault="0057796E" w:rsidP="0057796E">
      <w:pPr>
        <w:pStyle w:val="ListBullet"/>
      </w:pPr>
      <w:r w:rsidRPr="001B122D">
        <w:t>Rockhampton RRTG, Rockhampton Regional Council: Farm Street and Alexandra Street, upgrade intersection</w:t>
      </w:r>
      <w:r>
        <w:t>, $1.54 million</w:t>
      </w:r>
    </w:p>
    <w:p w14:paraId="4BD80306" w14:textId="77777777" w:rsidR="0057796E" w:rsidRPr="001B122D" w:rsidRDefault="0057796E" w:rsidP="0057796E">
      <w:pPr>
        <w:pStyle w:val="ListBullet"/>
      </w:pPr>
      <w:r w:rsidRPr="001B122D">
        <w:t>South West RRTG, Paroo Shire Council: Eulo–</w:t>
      </w:r>
      <w:r w:rsidRPr="001B122D">
        <w:softHyphen/>
        <w:t xml:space="preserve">Toompine Road, widen and seal sections, </w:t>
      </w:r>
      <w:r>
        <w:t>$692,000</w:t>
      </w:r>
    </w:p>
    <w:p w14:paraId="38F8D705" w14:textId="77777777" w:rsidR="0057796E" w:rsidRPr="001B122D" w:rsidRDefault="0057796E" w:rsidP="0057796E">
      <w:pPr>
        <w:pStyle w:val="ListBullet"/>
      </w:pPr>
      <w:r w:rsidRPr="001B122D">
        <w:t xml:space="preserve">Wide Bay Burnett RRTG, Fraser Coast Regional Council: Frangipanni and Eugenia Way, various schools, construct footpaths </w:t>
      </w:r>
      <w:r>
        <w:t xml:space="preserve">$108,828. </w:t>
      </w:r>
    </w:p>
    <w:p w14:paraId="3D5DAC7D" w14:textId="77777777" w:rsidR="0057796E" w:rsidRPr="001B122D" w:rsidRDefault="0057796E" w:rsidP="0057796E">
      <w:pPr>
        <w:pStyle w:val="ForMoreInformation"/>
      </w:pPr>
      <w:r w:rsidRPr="001B122D">
        <w:t>For more information</w:t>
      </w:r>
      <w:r>
        <w:br/>
      </w:r>
      <w:hyperlink r:id="rId72" w:history="1">
        <w:r w:rsidRPr="003974A2">
          <w:rPr>
            <w:rStyle w:val="Hyperlink"/>
          </w:rPr>
          <w:t>https://www.tmr.qld.gov.au/rrtg</w:t>
        </w:r>
      </w:hyperlink>
      <w:r w:rsidRPr="001B122D">
        <w:t xml:space="preserve"> </w:t>
      </w:r>
    </w:p>
    <w:p w14:paraId="4DAF10CD" w14:textId="77777777" w:rsidR="0057796E" w:rsidRPr="00756FBC" w:rsidRDefault="0057796E" w:rsidP="0057796E">
      <w:pPr>
        <w:pStyle w:val="Heading3"/>
      </w:pPr>
      <w:r>
        <w:t>Transport Academic Partnerships</w:t>
      </w:r>
    </w:p>
    <w:p w14:paraId="502456B2" w14:textId="77777777" w:rsidR="0057796E" w:rsidRDefault="0057796E" w:rsidP="0057796E">
      <w:r>
        <w:t>The Transport Academic Partnership 2020–25 is a $3.7 million agreement between TMR, Motor Accident Insurance Commission, Queensland University of Technology (QUT), Griffith University, and UQ.</w:t>
      </w:r>
    </w:p>
    <w:p w14:paraId="1D1EDCC8" w14:textId="77777777" w:rsidR="0057796E" w:rsidRDefault="0057796E" w:rsidP="0057796E">
      <w:r>
        <w:t>The partnership continues to facilitate innovative transport research and development and builds mutual capability across government, industry, and academic sectors. The partnership supports the mutual delivery of an annual work program of projects across various transport topics.</w:t>
      </w:r>
    </w:p>
    <w:p w14:paraId="4408B0A2" w14:textId="77777777" w:rsidR="0057796E" w:rsidRDefault="0057796E" w:rsidP="0057796E">
      <w:r>
        <w:t>Research projects during 2022–23 included:</w:t>
      </w:r>
    </w:p>
    <w:p w14:paraId="1C6D17BD" w14:textId="77777777" w:rsidR="0057796E" w:rsidRPr="004F4ED2" w:rsidRDefault="0057796E" w:rsidP="0057796E">
      <w:pPr>
        <w:pStyle w:val="ListBullet"/>
      </w:pPr>
      <w:r>
        <w:t>safet</w:t>
      </w:r>
      <w:r w:rsidRPr="004F4ED2">
        <w:t>y at right</w:t>
      </w:r>
      <w:r>
        <w:t>-</w:t>
      </w:r>
      <w:r w:rsidRPr="004F4ED2">
        <w:t>turn signalised intersections</w:t>
      </w:r>
    </w:p>
    <w:p w14:paraId="20345BD1" w14:textId="77777777" w:rsidR="0057796E" w:rsidRPr="004F4ED2" w:rsidRDefault="0057796E" w:rsidP="0057796E">
      <w:pPr>
        <w:pStyle w:val="ListBullet"/>
      </w:pPr>
      <w:r>
        <w:t>cybersecurity education and training</w:t>
      </w:r>
    </w:p>
    <w:p w14:paraId="13B33692" w14:textId="77777777" w:rsidR="0057796E" w:rsidRPr="004F4ED2" w:rsidRDefault="0057796E" w:rsidP="0057796E">
      <w:pPr>
        <w:pStyle w:val="ListBullet"/>
      </w:pPr>
      <w:r>
        <w:t>study of customer behaviour</w:t>
      </w:r>
      <w:r w:rsidRPr="004F4ED2">
        <w:t xml:space="preserve"> for MaaS in South</w:t>
      </w:r>
      <w:r>
        <w:t xml:space="preserve"> </w:t>
      </w:r>
      <w:r w:rsidRPr="004F4ED2">
        <w:t>East Queensland</w:t>
      </w:r>
    </w:p>
    <w:p w14:paraId="5D414A1E" w14:textId="77777777" w:rsidR="0057796E" w:rsidRPr="004F4ED2" w:rsidRDefault="0057796E" w:rsidP="0057796E">
      <w:pPr>
        <w:pStyle w:val="ListBullet"/>
      </w:pPr>
      <w:r>
        <w:t>d</w:t>
      </w:r>
      <w:r w:rsidRPr="004F4ED2">
        <w:t xml:space="preserve">igital video road data project </w:t>
      </w:r>
    </w:p>
    <w:p w14:paraId="2CC53AE4" w14:textId="77777777" w:rsidR="0057796E" w:rsidRPr="004F4ED2" w:rsidRDefault="0057796E" w:rsidP="0057796E">
      <w:pPr>
        <w:pStyle w:val="ListBullet"/>
      </w:pPr>
      <w:r>
        <w:t>improving regulations for Personal Mobility Devices</w:t>
      </w:r>
    </w:p>
    <w:p w14:paraId="2570F613" w14:textId="77777777" w:rsidR="0057796E" w:rsidRPr="004F4ED2" w:rsidRDefault="0057796E" w:rsidP="0057796E">
      <w:pPr>
        <w:pStyle w:val="ListBullet"/>
      </w:pPr>
      <w:r>
        <w:t>national lower and zero emissions routes and precincts.</w:t>
      </w:r>
    </w:p>
    <w:p w14:paraId="799D080C" w14:textId="77777777" w:rsidR="0057796E" w:rsidRDefault="0057796E" w:rsidP="0057796E">
      <w:r>
        <w:t>The agreement also facilitates an internal procurement strategy to ensure eligible research and development projects can be delivered quickly and efficiently. The established partnerships provide prompt and innovative benefits for all parties.</w:t>
      </w:r>
    </w:p>
    <w:p w14:paraId="184AA9B3" w14:textId="77777777" w:rsidR="0057796E" w:rsidRPr="004B00D8" w:rsidRDefault="0057796E" w:rsidP="0057796E">
      <w:pPr>
        <w:pStyle w:val="ForMoreInformation"/>
      </w:pPr>
      <w:r>
        <w:t>For more information</w:t>
      </w:r>
      <w:r>
        <w:br/>
      </w:r>
      <w:hyperlink r:id="rId73" w:history="1">
        <w:r w:rsidRPr="00F23678">
          <w:rPr>
            <w:rStyle w:val="Hyperlink"/>
          </w:rPr>
          <w:t>https://www.tmr.qld.gov.au/community-and-environment/research-and-education/transport-academic-partnership</w:t>
        </w:r>
      </w:hyperlink>
      <w:r>
        <w:t xml:space="preserve"> </w:t>
      </w:r>
    </w:p>
    <w:p w14:paraId="035CFCE4" w14:textId="77777777" w:rsidR="0057796E" w:rsidRPr="00756FBC" w:rsidRDefault="0057796E" w:rsidP="0057796E">
      <w:pPr>
        <w:pStyle w:val="Heading3"/>
      </w:pPr>
      <w:r>
        <w:lastRenderedPageBreak/>
        <w:t>Improving resilience in transport infrastructure seminar</w:t>
      </w:r>
    </w:p>
    <w:p w14:paraId="215E6789" w14:textId="77777777" w:rsidR="0057796E" w:rsidRDefault="0057796E" w:rsidP="0057796E">
      <w:r>
        <w:t xml:space="preserve">The then Director-General in his role as Austroads' Chair hosted the first ever joint TMR and Austroads Seminar in Brisbane on 8 February 2023 on </w:t>
      </w:r>
      <w:r w:rsidRPr="00861D02">
        <w:rPr>
          <w:rStyle w:val="Emphasis"/>
        </w:rPr>
        <w:t>Improving Resilience in Transport Infrastructure: Future proofing, shared experiences and essential tips</w:t>
      </w:r>
      <w:r>
        <w:t>.</w:t>
      </w:r>
    </w:p>
    <w:p w14:paraId="3DB6A8CB" w14:textId="77777777" w:rsidR="0057796E" w:rsidRDefault="0057796E" w:rsidP="0057796E">
      <w:r>
        <w:t xml:space="preserve">The seminar showcased Queensland's transport infrastructure resilience and responses to weather events, shared knowledge and key learnings, and provided a platform for key stakeholders to share their direct experiences in disaster recovery management. </w:t>
      </w:r>
    </w:p>
    <w:p w14:paraId="23764C2A" w14:textId="77777777" w:rsidR="0057796E" w:rsidRPr="004B00D8" w:rsidRDefault="0057796E" w:rsidP="0057796E">
      <w:r w:rsidRPr="002035B7">
        <w:t>The all</w:t>
      </w:r>
      <w:r>
        <w:t>-</w:t>
      </w:r>
      <w:r w:rsidRPr="002035B7">
        <w:t xml:space="preserve">day event </w:t>
      </w:r>
      <w:r>
        <w:t xml:space="preserve">brought together more than 100 key transport leaders from across Australia and New Zealand, state and federal </w:t>
      </w:r>
      <w:r w:rsidRPr="002035B7">
        <w:t>government</w:t>
      </w:r>
      <w:r>
        <w:t>s,</w:t>
      </w:r>
      <w:r w:rsidRPr="002035B7">
        <w:t xml:space="preserve"> and industry representative</w:t>
      </w:r>
      <w:r>
        <w:t>s. Due to the success of the seminar, it has been suggested that Austroads consider other jurisdictions hosting similar events every two years to continue to focus on building transport infrastructure resilience.</w:t>
      </w:r>
    </w:p>
    <w:p w14:paraId="0C54A7A0" w14:textId="77777777" w:rsidR="0057796E" w:rsidRPr="00AF6BC8" w:rsidRDefault="0057796E" w:rsidP="0057796E">
      <w:pPr>
        <w:pStyle w:val="Heading3"/>
      </w:pPr>
      <w:r w:rsidRPr="004D25EC">
        <w:t xml:space="preserve">Geoscience Australia data sharing for </w:t>
      </w:r>
      <w:r>
        <w:t>a location-enabled Australia</w:t>
      </w:r>
    </w:p>
    <w:p w14:paraId="26AF59BA" w14:textId="77777777" w:rsidR="0057796E" w:rsidRDefault="0057796E" w:rsidP="0057796E">
      <w:r w:rsidRPr="004D25EC">
        <w:t xml:space="preserve">In 2020–21, </w:t>
      </w:r>
      <w:r>
        <w:t xml:space="preserve">TMR </w:t>
      </w:r>
      <w:r w:rsidRPr="004D25EC">
        <w:t>commenced a data</w:t>
      </w:r>
      <w:r>
        <w:t>-</w:t>
      </w:r>
      <w:r w:rsidRPr="004D25EC">
        <w:t xml:space="preserve">sharing agreement with Geoscience Australia </w:t>
      </w:r>
      <w:r>
        <w:t xml:space="preserve">to </w:t>
      </w:r>
      <w:r w:rsidRPr="004D25EC">
        <w:t>better enabl</w:t>
      </w:r>
      <w:r>
        <w:t xml:space="preserve">e </w:t>
      </w:r>
      <w:r w:rsidRPr="004D25EC">
        <w:t xml:space="preserve">global positioning services across Queensland. </w:t>
      </w:r>
    </w:p>
    <w:p w14:paraId="3011FBAE" w14:textId="77777777" w:rsidR="0057796E" w:rsidRDefault="0057796E" w:rsidP="0057796E">
      <w:r>
        <w:t>A key component of this agreement is TMR's</w:t>
      </w:r>
      <w:r w:rsidRPr="004D25EC">
        <w:t xml:space="preserve"> Continually Operating Reference Station (CORS) network</w:t>
      </w:r>
      <w:r>
        <w:t>.</w:t>
      </w:r>
      <w:r w:rsidRPr="004D25EC">
        <w:t xml:space="preserve"> </w:t>
      </w:r>
      <w:r>
        <w:t xml:space="preserve">Through a series of global positioning sites across Queensland, the CORS network </w:t>
      </w:r>
      <w:r w:rsidRPr="004D25EC">
        <w:t>provide</w:t>
      </w:r>
      <w:r>
        <w:t>s</w:t>
      </w:r>
      <w:r w:rsidRPr="004D25EC">
        <w:t xml:space="preserve"> reliable, accurate spatial data which supports surveying, mapping, </w:t>
      </w:r>
      <w:r>
        <w:t xml:space="preserve">remotely piloted aircraft systems, </w:t>
      </w:r>
      <w:r w:rsidRPr="004D25EC">
        <w:t>construction, and cooperative vehicle trials</w:t>
      </w:r>
      <w:r>
        <w:t xml:space="preserve">, </w:t>
      </w:r>
      <w:r w:rsidRPr="001A51FF">
        <w:t>enhanc</w:t>
      </w:r>
      <w:r>
        <w:t>ing</w:t>
      </w:r>
      <w:r w:rsidRPr="001A51FF">
        <w:t xml:space="preserve"> ongoing operational and maintenance activity efficiencies.</w:t>
      </w:r>
    </w:p>
    <w:p w14:paraId="3CF10426" w14:textId="77777777" w:rsidR="0057796E" w:rsidRDefault="0057796E" w:rsidP="0057796E">
      <w:r>
        <w:t>TMR installed 14 new sites this year, bringing the CORS network to a total of 44, providing</w:t>
      </w:r>
      <w:r w:rsidRPr="00D06EC2">
        <w:t xml:space="preserve"> greater coverage</w:t>
      </w:r>
      <w:r>
        <w:t xml:space="preserve"> and more accurate mapping data. TMR will continue expanding this network with seven more sites planned for 2023–24.</w:t>
      </w:r>
    </w:p>
    <w:p w14:paraId="0538F9A7" w14:textId="77777777" w:rsidR="0057796E" w:rsidRPr="00756FBC" w:rsidRDefault="0057796E" w:rsidP="0057796E">
      <w:pPr>
        <w:pStyle w:val="Heading3"/>
      </w:pPr>
      <w:r>
        <w:t>Contract mechanisms for COVID-19 and significant cost escalation</w:t>
      </w:r>
    </w:p>
    <w:p w14:paraId="75CE38F5" w14:textId="77777777" w:rsidR="0057796E" w:rsidRPr="00147D86" w:rsidRDefault="0057796E" w:rsidP="0057796E">
      <w:r>
        <w:t xml:space="preserve">TMR's response to COVID-19 </w:t>
      </w:r>
      <w:r w:rsidRPr="00147D86">
        <w:t>and the associated significant cost escalation in the supply chain reinforced TMR's unwavering commitment to ensuring the delivery of its transport infrastructure program represented value-for-money while providing sustainable outcomes for industry partners.</w:t>
      </w:r>
    </w:p>
    <w:p w14:paraId="036BFF2D" w14:textId="77777777" w:rsidR="0057796E" w:rsidRPr="00147D86" w:rsidRDefault="0057796E" w:rsidP="0057796E">
      <w:r w:rsidRPr="00147D86">
        <w:t>Supply issues and cost escalation of key construction inputs were experienced in the building and civil construction industries, such as bitumen, steel and pre-cast concrete elements, and fuel. It is expected that further issues will emerge as the program of works continues to grow.</w:t>
      </w:r>
    </w:p>
    <w:p w14:paraId="612911AD" w14:textId="77777777" w:rsidR="0057796E" w:rsidRDefault="0057796E" w:rsidP="0057796E">
      <w:r w:rsidRPr="00147D86">
        <w:t xml:space="preserve">Collaboration with the civil construction industry was critical to the Queensland Government's response to COVID-19 and in addressing supply chain challenges to ensure the continued delivery of QTRIP. </w:t>
      </w:r>
    </w:p>
    <w:p w14:paraId="7F97F9C1" w14:textId="77777777" w:rsidR="0057796E" w:rsidRPr="00147D86" w:rsidRDefault="0057796E" w:rsidP="0057796E">
      <w:r w:rsidRPr="00147D86">
        <w:t>In consultation with Queensland peak industry bodies, TMR implemented temporary mechanisms for Transport Infrastructure Contracts – Annexure D and Annexure E.</w:t>
      </w:r>
    </w:p>
    <w:p w14:paraId="04554E23" w14:textId="77777777" w:rsidR="0057796E" w:rsidRDefault="0057796E" w:rsidP="0057796E">
      <w:r w:rsidRPr="00147D86">
        <w:t xml:space="preserve">TMR retired these temporary mechanisms from general use </w:t>
      </w:r>
      <w:r>
        <w:t xml:space="preserve">in 2023 </w:t>
      </w:r>
      <w:r w:rsidRPr="00147D86">
        <w:t>and amended the rise and fall clause to apply to all transport infrastructure contracts greater than 90 days</w:t>
      </w:r>
      <w:r>
        <w:t>—</w:t>
      </w:r>
      <w:r w:rsidRPr="00147D86">
        <w:t>reduced from 365 days.</w:t>
      </w:r>
      <w:r>
        <w:t xml:space="preserve"> </w:t>
      </w:r>
    </w:p>
    <w:p w14:paraId="57A35347" w14:textId="77777777" w:rsidR="0057796E" w:rsidRPr="00AF6BC8" w:rsidRDefault="0057796E" w:rsidP="0057796E">
      <w:pPr>
        <w:pStyle w:val="Heading3"/>
      </w:pPr>
      <w:r w:rsidRPr="005623EF">
        <w:t xml:space="preserve">Callide </w:t>
      </w:r>
      <w:r>
        <w:t>p</w:t>
      </w:r>
      <w:r w:rsidRPr="005623EF">
        <w:t>ower</w:t>
      </w:r>
      <w:r>
        <w:t xml:space="preserve"> </w:t>
      </w:r>
      <w:r w:rsidRPr="005623EF">
        <w:t>station generator move</w:t>
      </w:r>
    </w:p>
    <w:p w14:paraId="2FBEBE55" w14:textId="77777777" w:rsidR="0057796E" w:rsidRDefault="0057796E" w:rsidP="0057796E">
      <w:r>
        <w:t>In October 2022, TMR was made aware of an incident that occurred on Unit C4 at the Callide power station near Biloela in May 2021, resulting in substantial damage to the unit forcing it offline.</w:t>
      </w:r>
    </w:p>
    <w:p w14:paraId="4398A02A" w14:textId="77777777" w:rsidR="0057796E" w:rsidRDefault="0057796E" w:rsidP="0057796E">
      <w:r>
        <w:t xml:space="preserve">TMR and the local government worked with CS Energy, engineering consultants, QPS, and the transport provider to move two very heavy components (the transformer weighed 262 tonnes, and the generator weighed 258.7 tonnes) from the Port of Gladstone to Biloela. These loads were some of the heaviest to have travelled on Queensland's road network.  </w:t>
      </w:r>
    </w:p>
    <w:p w14:paraId="51454A91" w14:textId="77777777" w:rsidR="0057796E" w:rsidRDefault="0057796E" w:rsidP="0057796E">
      <w:r>
        <w:t>The moves took place in December 2022 and January 2023 on the Capricorn and the Bruce Highways.</w:t>
      </w:r>
    </w:p>
    <w:p w14:paraId="6A4A7850" w14:textId="77777777" w:rsidR="0057796E" w:rsidRDefault="0057796E" w:rsidP="0057796E">
      <w:r>
        <w:t>Ensuring the successful moment within tight timeframes required completing asset inspections, infrastructure modifications, road closures, traffic management plans, stakeholder engagement, and considerations associated with weather conditions.</w:t>
      </w:r>
    </w:p>
    <w:p w14:paraId="45F67485" w14:textId="77777777" w:rsidR="0057796E" w:rsidRDefault="0057796E" w:rsidP="0057796E">
      <w:pPr>
        <w:pStyle w:val="Heading3"/>
      </w:pPr>
      <w:r>
        <w:lastRenderedPageBreak/>
        <w:t xml:space="preserve">National agreements and national Partnership Agreements </w:t>
      </w:r>
    </w:p>
    <w:p w14:paraId="1AE0FBE5" w14:textId="77777777" w:rsidR="0057796E" w:rsidRDefault="0057796E" w:rsidP="0057796E">
      <w:r>
        <w:t xml:space="preserve">In 2022–23, through the Data and Digital Ministers' Meeting, TMR contributed to the development of an Intergovernmental Agreement to share data across jurisdictions where it can be done safety, securely, and lawfully, to improve service delivery outcomes for citizens. </w:t>
      </w:r>
    </w:p>
    <w:p w14:paraId="442C310B" w14:textId="77777777" w:rsidR="0057796E" w:rsidRDefault="0057796E" w:rsidP="0057796E">
      <w:r>
        <w:t xml:space="preserve">To deliver on this commitment, a work program was developed to progress national data sharing priorities and drive data sharing system reforms. TMR participated in all six data sharing priorities and actively contributed to the four system reform initiatives, including leading a national system reform initiative to improve the discoverability of data in priority areas. </w:t>
      </w:r>
    </w:p>
    <w:p w14:paraId="6E625D51" w14:textId="77777777" w:rsidR="0057796E" w:rsidRDefault="0057796E" w:rsidP="0057796E">
      <w:r>
        <w:t xml:space="preserve">TMR continues to contribute to and explore the development of a National Digital Identity Ecosystem and Joined up service through the data and Digital Ministers' meetings and various subordinate working groups. </w:t>
      </w:r>
    </w:p>
    <w:p w14:paraId="4EA2E2F6" w14:textId="77777777" w:rsidR="0057796E" w:rsidRDefault="0057796E" w:rsidP="0057796E">
      <w:pPr>
        <w:pStyle w:val="Heading3"/>
      </w:pPr>
      <w:r w:rsidRPr="00D56FAB">
        <w:t>Setting the bar for government ICT into the future</w:t>
      </w:r>
    </w:p>
    <w:p w14:paraId="59E9DEFE" w14:textId="77777777" w:rsidR="0057796E" w:rsidRPr="00940543" w:rsidRDefault="0057796E" w:rsidP="0057796E">
      <w:r w:rsidRPr="00940543">
        <w:t xml:space="preserve">The Queensland Government Enterprise Architecture (QGEA) is a whole of government framework aimed at improving the efficiency and effectiveness of ICT in Government by enabling agencies to improve services, leverage existing investments and maximise future investments. </w:t>
      </w:r>
      <w:r>
        <w:t>A large scale review of the QGEA was undertaken</w:t>
      </w:r>
      <w:r w:rsidRPr="00940543">
        <w:t xml:space="preserve"> in order to align Government with industry. </w:t>
      </w:r>
    </w:p>
    <w:p w14:paraId="7C1C9820" w14:textId="77777777" w:rsidR="0057796E" w:rsidRPr="00940543" w:rsidRDefault="0057796E" w:rsidP="0057796E">
      <w:r w:rsidRPr="00940543">
        <w:t>Queensland needed a new framework that was modern, future-focused</w:t>
      </w:r>
      <w:r>
        <w:t>,</w:t>
      </w:r>
      <w:r w:rsidRPr="00940543">
        <w:t xml:space="preserve"> and people-centric to guide and govern future digital decision</w:t>
      </w:r>
      <w:r>
        <w:t>-</w:t>
      </w:r>
      <w:r w:rsidRPr="00940543">
        <w:t>making and investments for the Queensland Government.</w:t>
      </w:r>
    </w:p>
    <w:p w14:paraId="70050C5E" w14:textId="77777777" w:rsidR="0057796E" w:rsidRPr="00940543" w:rsidRDefault="0057796E" w:rsidP="0057796E">
      <w:r w:rsidRPr="00940543">
        <w:t xml:space="preserve">The review championed a high-level of collaboration and partnership with fortnightly virtual showcases, as well </w:t>
      </w:r>
      <w:r>
        <w:t xml:space="preserve">as holding </w:t>
      </w:r>
      <w:r w:rsidRPr="00940543">
        <w:t xml:space="preserve">an in-person interactive showcase that ran for a week. This was fully staffed so staff from other agencies could visit at any time. The showcase attracted high levels of engagement from across government and resulted in many important insights gathered through the exercise. </w:t>
      </w:r>
    </w:p>
    <w:p w14:paraId="0CB85F06" w14:textId="77777777" w:rsidR="0057796E" w:rsidRPr="00940543" w:rsidRDefault="0057796E" w:rsidP="0057796E">
      <w:r w:rsidRPr="00940543">
        <w:t>The refreshed QGEA was accepted by partners and establishes a new way for the government to work into the future.</w:t>
      </w:r>
    </w:p>
    <w:p w14:paraId="6F44EF9D" w14:textId="09D1F009" w:rsidR="0057796E" w:rsidRDefault="0057796E" w:rsidP="0057796E">
      <w:pPr>
        <w:pStyle w:val="Heading2"/>
      </w:pPr>
      <w:r w:rsidRPr="00213A90">
        <w:t>Preserving our history and heritage</w:t>
      </w:r>
    </w:p>
    <w:p w14:paraId="42A95CEF" w14:textId="77777777" w:rsidR="0057796E" w:rsidRPr="00E21BD9" w:rsidRDefault="0057796E" w:rsidP="0057796E">
      <w:pPr>
        <w:pStyle w:val="Heading3"/>
      </w:pPr>
      <w:r>
        <w:t>Proactively monitoring the federal and state reviews of cultural heritage legislation</w:t>
      </w:r>
    </w:p>
    <w:p w14:paraId="765F2340" w14:textId="77777777" w:rsidR="0057796E" w:rsidRPr="005F4879" w:rsidRDefault="0057796E" w:rsidP="0057796E">
      <w:r w:rsidRPr="005F4879">
        <w:t>The Australian and Queensland governments are reviewing the legal protections for Aboriginal and Torres Strait Islander heritage</w:t>
      </w:r>
      <w:r>
        <w:t>,</w:t>
      </w:r>
      <w:r w:rsidRPr="005F4879">
        <w:t xml:space="preserve"> with legislative amendments likely to occur in 2023–24. These </w:t>
      </w:r>
      <w:r>
        <w:t>represented</w:t>
      </w:r>
      <w:r w:rsidRPr="005F4879">
        <w:t xml:space="preserve"> the first major amendments to Indigenous heritage protection in 20 years. </w:t>
      </w:r>
    </w:p>
    <w:p w14:paraId="3AD833B4" w14:textId="77777777" w:rsidR="0057796E" w:rsidRDefault="0057796E" w:rsidP="0057796E">
      <w:r w:rsidRPr="005F4879">
        <w:t>The reviews are a direct result of the Juukan Gorge destruction in 2020 by Rio Tinto, which received international criticism and highlighted the need for better cultural heritage protections across Australia.</w:t>
      </w:r>
    </w:p>
    <w:p w14:paraId="13445822" w14:textId="77777777" w:rsidR="0057796E" w:rsidRPr="005F4879" w:rsidRDefault="0057796E" w:rsidP="0057796E">
      <w:r w:rsidRPr="005F4879">
        <w:t xml:space="preserve">TMR is aware of federal and state papers and recommendations in response to Juukan Gorge and </w:t>
      </w:r>
      <w:r>
        <w:t xml:space="preserve">continually aims to improve its </w:t>
      </w:r>
      <w:r w:rsidRPr="005F4879">
        <w:t xml:space="preserve">cultural heritage performance. Building strong, meaningful relationships with </w:t>
      </w:r>
      <w:r>
        <w:t>First Nations</w:t>
      </w:r>
      <w:r w:rsidRPr="005F4879">
        <w:t xml:space="preserve"> groups is an important focus for TMR. </w:t>
      </w:r>
    </w:p>
    <w:p w14:paraId="3FF5DEBA" w14:textId="77777777" w:rsidR="0057796E" w:rsidRPr="005F4879" w:rsidRDefault="0057796E" w:rsidP="0057796E">
      <w:r w:rsidRPr="005F4879">
        <w:t>TMR regularly liais</w:t>
      </w:r>
      <w:r>
        <w:t>es</w:t>
      </w:r>
      <w:r w:rsidRPr="005F4879">
        <w:t xml:space="preserve"> with state and federal heritage counterparts to ensure </w:t>
      </w:r>
      <w:r>
        <w:t>that it</w:t>
      </w:r>
      <w:r w:rsidRPr="005F4879">
        <w:t xml:space="preserve"> is aware of upcoming amendments and can adapt its Cultural Heritage Policy and Process Manual to suit any new legislative and community requirements.</w:t>
      </w:r>
    </w:p>
    <w:p w14:paraId="566E5F42" w14:textId="77777777" w:rsidR="0057796E" w:rsidRDefault="0057796E" w:rsidP="0057796E">
      <w:pPr>
        <w:pStyle w:val="Heading3"/>
      </w:pPr>
      <w:r>
        <w:t>Environmental processes manual update</w:t>
      </w:r>
    </w:p>
    <w:p w14:paraId="63495113" w14:textId="77777777" w:rsidR="0057796E" w:rsidRDefault="0057796E" w:rsidP="0057796E">
      <w:r>
        <w:t xml:space="preserve">The </w:t>
      </w:r>
      <w:r w:rsidRPr="00401397">
        <w:rPr>
          <w:rStyle w:val="Emphasis"/>
        </w:rPr>
        <w:t>Environmental Processes Manual</w:t>
      </w:r>
      <w:r>
        <w:t xml:space="preserve"> was revised in February 2023 to ensure the process remains flexible and resilient to changes in other related systems. This revision supports TMR's contribution to the sustainability of the natural environment as TMR moves beyond environmental compliance.</w:t>
      </w:r>
    </w:p>
    <w:p w14:paraId="0EB8278A" w14:textId="77777777" w:rsidR="0057796E" w:rsidRDefault="0057796E" w:rsidP="0057796E">
      <w:pPr>
        <w:rPr>
          <w:rStyle w:val="Emphasis"/>
        </w:rPr>
      </w:pPr>
      <w:r>
        <w:lastRenderedPageBreak/>
        <w:t xml:space="preserve">The </w:t>
      </w:r>
      <w:r w:rsidRPr="00401397">
        <w:rPr>
          <w:rStyle w:val="Emphasis"/>
        </w:rPr>
        <w:t>Environmental Processes Manual</w:t>
      </w:r>
      <w:r>
        <w:t xml:space="preserve"> outlines the environmental process for transport infrastructure projects undertaken by TMR. These processes support TMR's ability to meet its general environmental duty as required by the </w:t>
      </w:r>
      <w:r w:rsidRPr="00ED2F58">
        <w:rPr>
          <w:rStyle w:val="Emphasis"/>
        </w:rPr>
        <w:t>Environmental Protection Act 1994</w:t>
      </w:r>
      <w:r>
        <w:rPr>
          <w:rStyle w:val="Emphasis"/>
        </w:rPr>
        <w:t>.</w:t>
      </w:r>
    </w:p>
    <w:p w14:paraId="49D1803F" w14:textId="77777777" w:rsidR="0057796E" w:rsidRDefault="0057796E" w:rsidP="0057796E">
      <w:r>
        <w:t xml:space="preserve">TMR demonstrates compliance with state and federal environmental legislation and manages the performance of its functions and operations in accordance with the </w:t>
      </w:r>
      <w:r w:rsidRPr="00ED2F58">
        <w:rPr>
          <w:rStyle w:val="Emphasis"/>
        </w:rPr>
        <w:t>Transport Infrastructure Portfolio Governance Framework (2017).</w:t>
      </w:r>
      <w:r>
        <w:t xml:space="preserve"> This process also allows TMR to deliver on the commitments of its </w:t>
      </w:r>
      <w:r w:rsidRPr="00ED2F58">
        <w:rPr>
          <w:rStyle w:val="Emphasis"/>
        </w:rPr>
        <w:t>Environmental Sustainability Policy</w:t>
      </w:r>
      <w:r>
        <w:t>.</w:t>
      </w:r>
    </w:p>
    <w:p w14:paraId="0531C3B0" w14:textId="77777777" w:rsidR="0057796E" w:rsidRDefault="0057796E" w:rsidP="0057796E">
      <w:pPr>
        <w:pStyle w:val="ForMoreInformation"/>
      </w:pPr>
      <w:r>
        <w:t>For more information</w:t>
      </w:r>
      <w:r>
        <w:br/>
      </w:r>
      <w:hyperlink r:id="rId74" w:history="1">
        <w:r w:rsidRPr="00907F19">
          <w:rPr>
            <w:rStyle w:val="Hyperlink"/>
          </w:rPr>
          <w:t>https://www.tmr.qld.gov.au/business-industry/Technical-standards-publications/Environmental-processes-manual</w:t>
        </w:r>
      </w:hyperlink>
    </w:p>
    <w:p w14:paraId="612CDF66" w14:textId="77777777" w:rsidR="0057796E" w:rsidRDefault="0057796E" w:rsidP="0057796E">
      <w:pPr>
        <w:pStyle w:val="Heading3"/>
      </w:pPr>
      <w:r w:rsidRPr="005716F3">
        <w:t xml:space="preserve">Cultural </w:t>
      </w:r>
      <w:r>
        <w:t>h</w:t>
      </w:r>
      <w:r w:rsidRPr="005716F3">
        <w:t xml:space="preserve">eritage data collection program </w:t>
      </w:r>
    </w:p>
    <w:p w14:paraId="11832932" w14:textId="77777777" w:rsidR="0057796E" w:rsidRPr="00AE6CE8" w:rsidRDefault="0057796E" w:rsidP="0057796E">
      <w:r w:rsidRPr="00DB0FA5">
        <w:t xml:space="preserve">In 2022–23, TMR invested </w:t>
      </w:r>
      <w:r>
        <w:t xml:space="preserve">$8.134 </w:t>
      </w:r>
      <w:r w:rsidRPr="00DB0FA5">
        <w:t>in heritage data collection under the Maintenance, Preservation</w:t>
      </w:r>
      <w:r>
        <w:t>,</w:t>
      </w:r>
      <w:r w:rsidRPr="00DB0FA5">
        <w:t xml:space="preserve"> and Operation program's Element 70 (Statewide Data Collection). </w:t>
      </w:r>
    </w:p>
    <w:p w14:paraId="6FD00E2C" w14:textId="77777777" w:rsidR="0057796E" w:rsidRPr="00DB0FA5" w:rsidRDefault="0057796E" w:rsidP="0057796E">
      <w:r w:rsidRPr="00DB0FA5">
        <w:t>The data collection utilises TMR's Environment and Cultural Heritage Observations app. It involves Cultural Heritage Officers surveying the TMR road reserve and other lands to record Aboriginal, Torres Strait Islander</w:t>
      </w:r>
      <w:r>
        <w:t>,</w:t>
      </w:r>
      <w:r w:rsidRPr="00DB0FA5">
        <w:t xml:space="preserve"> and historic heritage places. TMR recorded 374 new sites in 2022–23, including artefact scatters, scarred trees, monuments, survey trees, landmark bridges, and war memorials. </w:t>
      </w:r>
    </w:p>
    <w:p w14:paraId="1BBC91DE" w14:textId="77777777" w:rsidR="0057796E" w:rsidRPr="00DB0FA5" w:rsidRDefault="0057796E" w:rsidP="0057796E">
      <w:r w:rsidRPr="00DB0FA5">
        <w:t>TMR has conducted this collection since 2019–20, with 3303 heritage places recorded. TMR's data collection supplements the Queensland Aboriginal and Torres Strait Islander heritage database, managed by the Department of Seniors Disability Services and Torres Strait Islander Partnership, and the Queensland Heritage Register, driven by the Department of Environment and Science. </w:t>
      </w:r>
    </w:p>
    <w:p w14:paraId="2C34AA12" w14:textId="77777777" w:rsidR="0057796E" w:rsidRPr="00DB0FA5" w:rsidRDefault="0057796E" w:rsidP="0057796E">
      <w:r w:rsidRPr="00DB0FA5">
        <w:t>This provides TMR with a better understanding of heritage places on TMR land and will improve heritage protection during project delivery</w:t>
      </w:r>
      <w:r>
        <w:t>.</w:t>
      </w:r>
    </w:p>
    <w:p w14:paraId="7B6D45C2" w14:textId="77777777" w:rsidR="0057796E" w:rsidRDefault="0057796E" w:rsidP="0057796E">
      <w:pPr>
        <w:pStyle w:val="Heading3"/>
      </w:pPr>
      <w:r w:rsidRPr="005F7957">
        <w:t xml:space="preserve">Heritage </w:t>
      </w:r>
      <w:r>
        <w:t>p</w:t>
      </w:r>
      <w:r w:rsidRPr="005F7957">
        <w:t>reservation projects</w:t>
      </w:r>
    </w:p>
    <w:p w14:paraId="2A1A1FC9" w14:textId="77777777" w:rsidR="0057796E" w:rsidRDefault="0057796E" w:rsidP="0057796E">
      <w:r>
        <w:t xml:space="preserve">TMR operates an annual Heritage Conservation Program under the Maintenance, Preservation, and Operations program. </w:t>
      </w:r>
    </w:p>
    <w:p w14:paraId="474222AF" w14:textId="77777777" w:rsidR="0057796E" w:rsidRDefault="0057796E" w:rsidP="0057796E">
      <w:r>
        <w:t xml:space="preserve">The program focuses on maintaining Aboriginal, Torres Strait Islander, and historical heritage places on TMR road reserves and other TMR land. </w:t>
      </w:r>
    </w:p>
    <w:p w14:paraId="4F39640C" w14:textId="77777777" w:rsidR="0057796E" w:rsidRDefault="0057796E" w:rsidP="0057796E">
      <w:r>
        <w:t xml:space="preserve">This program ensures that heritage places under TMR's ownership or control are maintained appropriately, and heritage values are preserved. </w:t>
      </w:r>
    </w:p>
    <w:p w14:paraId="67BFFD58" w14:textId="77777777" w:rsidR="0057796E" w:rsidRDefault="0057796E" w:rsidP="0057796E">
      <w:r>
        <w:t>In 2022</w:t>
      </w:r>
      <w:r w:rsidRPr="005B0939">
        <w:t>–</w:t>
      </w:r>
      <w:r>
        <w:t>23, TMR invested more than $1.136 million in heritage conservation across Queensland on projects that include:</w:t>
      </w:r>
    </w:p>
    <w:p w14:paraId="4B6702C4" w14:textId="77777777" w:rsidR="0057796E" w:rsidRDefault="0057796E" w:rsidP="0057796E">
      <w:pPr>
        <w:pStyle w:val="ListBullet"/>
      </w:pPr>
      <w:r>
        <w:t>maintenance of Albion Fire Station</w:t>
      </w:r>
    </w:p>
    <w:p w14:paraId="49E20553" w14:textId="77777777" w:rsidR="0057796E" w:rsidRDefault="0057796E" w:rsidP="0057796E">
      <w:pPr>
        <w:pStyle w:val="ListBullet"/>
      </w:pPr>
      <w:r>
        <w:t>a grant to Atherton</w:t>
      </w:r>
      <w:r w:rsidRPr="005B0939">
        <w:t>–</w:t>
      </w:r>
      <w:r>
        <w:t>Herberton Heritage Rail</w:t>
      </w:r>
    </w:p>
    <w:p w14:paraId="7EF31F1C" w14:textId="77777777" w:rsidR="0057796E" w:rsidRDefault="0057796E" w:rsidP="0057796E">
      <w:pPr>
        <w:pStyle w:val="ListBullet"/>
      </w:pPr>
      <w:r>
        <w:t xml:space="preserve">assessment of Aboriginal scarred trees on Burnett Highway and </w:t>
      </w:r>
      <w:r w:rsidRPr="00FF152D">
        <w:t>Eidsvold</w:t>
      </w:r>
      <w:r w:rsidRPr="005B0939">
        <w:t>–</w:t>
      </w:r>
      <w:r w:rsidRPr="00FF152D">
        <w:t>Theodore Road</w:t>
      </w:r>
    </w:p>
    <w:p w14:paraId="4FFD6CD5" w14:textId="77777777" w:rsidR="0057796E" w:rsidRDefault="0057796E" w:rsidP="0057796E">
      <w:pPr>
        <w:pStyle w:val="ListBullet"/>
      </w:pPr>
      <w:r>
        <w:t>maintenance of Hornibrook Highway toll portals</w:t>
      </w:r>
    </w:p>
    <w:p w14:paraId="4845045D" w14:textId="77777777" w:rsidR="0057796E" w:rsidRDefault="0057796E" w:rsidP="0057796E">
      <w:pPr>
        <w:pStyle w:val="ListBullet"/>
      </w:pPr>
      <w:r>
        <w:t>Cultural Heritage Study on Round Mountain site</w:t>
      </w:r>
    </w:p>
    <w:p w14:paraId="1AC54D96" w14:textId="77777777" w:rsidR="0057796E" w:rsidRDefault="0057796E" w:rsidP="0057796E">
      <w:pPr>
        <w:pStyle w:val="ListBullet"/>
      </w:pPr>
      <w:r>
        <w:t>an update to Conservation Management Plans in South Coast, Metropolitan, Wide Bay Burnett, and North Coast districts for numerous places on the Queensland Heritage Register</w:t>
      </w:r>
    </w:p>
    <w:p w14:paraId="1E3E3941" w14:textId="77777777" w:rsidR="0057796E" w:rsidRDefault="0057796E" w:rsidP="0057796E">
      <w:pPr>
        <w:pStyle w:val="ListBullet"/>
      </w:pPr>
      <w:r>
        <w:t>maintenance of stone structures on Mount Spec Road</w:t>
      </w:r>
    </w:p>
    <w:p w14:paraId="54272A36" w14:textId="77777777" w:rsidR="0057796E" w:rsidRDefault="0057796E" w:rsidP="0057796E">
      <w:pPr>
        <w:pStyle w:val="ListBullet"/>
      </w:pPr>
      <w:r>
        <w:t xml:space="preserve">the </w:t>
      </w:r>
      <w:r w:rsidRPr="00FF152D">
        <w:t>Gatton</w:t>
      </w:r>
      <w:r w:rsidRPr="005B0939">
        <w:t>–</w:t>
      </w:r>
      <w:r w:rsidRPr="00FF152D">
        <w:t>Clifton R</w:t>
      </w:r>
      <w:r>
        <w:t xml:space="preserve">oad </w:t>
      </w:r>
      <w:r w:rsidRPr="00FF152D">
        <w:t>Historical Conservation Management Plan</w:t>
      </w:r>
    </w:p>
    <w:p w14:paraId="7D8B2AE9" w14:textId="77777777" w:rsidR="0057796E" w:rsidRDefault="0057796E" w:rsidP="0057796E">
      <w:pPr>
        <w:pStyle w:val="ListBullet"/>
      </w:pPr>
      <w:r>
        <w:t xml:space="preserve">assessment of scarred tree on display at </w:t>
      </w:r>
      <w:r w:rsidRPr="00FF152D">
        <w:t>Helensvale Rail Station</w:t>
      </w:r>
      <w:r>
        <w:t>.</w:t>
      </w:r>
    </w:p>
    <w:p w14:paraId="5EFA2FEB" w14:textId="77777777" w:rsidR="0057796E" w:rsidRPr="00BB2F49" w:rsidRDefault="0057796E" w:rsidP="0057796E">
      <w:pPr>
        <w:pStyle w:val="Heading3"/>
      </w:pPr>
      <w:r>
        <w:lastRenderedPageBreak/>
        <w:t>Fauna infrastructure</w:t>
      </w:r>
    </w:p>
    <w:p w14:paraId="3F0D2D34" w14:textId="77777777" w:rsidR="0057796E" w:rsidRPr="00BB2F49" w:rsidRDefault="0057796E" w:rsidP="0057796E">
      <w:r w:rsidRPr="00BB2F49">
        <w:t>TMR continued to implement initiatives during the construction and operation of transport infrastructure to minimise impacts on native fauna and to ensure compliance under state and federal legislation.</w:t>
      </w:r>
    </w:p>
    <w:p w14:paraId="778BEDC4" w14:textId="77777777" w:rsidR="0057796E" w:rsidRPr="00BB2F49" w:rsidRDefault="0057796E" w:rsidP="0057796E">
      <w:r w:rsidRPr="00BB2F49">
        <w:t>TMR has repaired more than 83 kilometres of koala exclusion fencings as part of a four</w:t>
      </w:r>
      <w:r>
        <w:t xml:space="preserve"> </w:t>
      </w:r>
      <w:r w:rsidRPr="00BB2F49">
        <w:t>year $5 million maintenance and rectification program in</w:t>
      </w:r>
      <w:r>
        <w:t xml:space="preserve"> the </w:t>
      </w:r>
      <w:r w:rsidRPr="00BB2F49">
        <w:t>North Coast Region. The region also displayed koala awareness messaging on departmental variable messaging signs for road users during the koala breeding seasons to reduce koala vehicle collisions in South East Queensland.</w:t>
      </w:r>
    </w:p>
    <w:p w14:paraId="4E2D7C27" w14:textId="77777777" w:rsidR="0057796E" w:rsidRPr="00BB2F49" w:rsidRDefault="0057796E" w:rsidP="0057796E">
      <w:r w:rsidRPr="00BB2F49">
        <w:t>Glider poles were also installed on the Bruce Highway to reconnect the endangered Mahogany Glider</w:t>
      </w:r>
      <w:r>
        <w:t xml:space="preserve"> populations</w:t>
      </w:r>
      <w:r w:rsidRPr="00BB2F49">
        <w:t>.</w:t>
      </w:r>
    </w:p>
    <w:p w14:paraId="4200B910" w14:textId="77777777" w:rsidR="0057796E" w:rsidRPr="00BB2F49" w:rsidRDefault="0057796E" w:rsidP="0057796E">
      <w:r w:rsidRPr="00BB2F49">
        <w:t xml:space="preserve">TMR also continued to update the existing </w:t>
      </w:r>
      <w:r>
        <w:t>f</w:t>
      </w:r>
      <w:r w:rsidRPr="00BB2F49">
        <w:t xml:space="preserve">auna </w:t>
      </w:r>
      <w:r>
        <w:t>s</w:t>
      </w:r>
      <w:r w:rsidRPr="00BB2F49">
        <w:t xml:space="preserve">ensitive </w:t>
      </w:r>
      <w:r>
        <w:t>r</w:t>
      </w:r>
      <w:r w:rsidRPr="00BB2F49">
        <w:t xml:space="preserve">oad </w:t>
      </w:r>
      <w:r>
        <w:t>d</w:t>
      </w:r>
      <w:r w:rsidRPr="00BB2F49">
        <w:t xml:space="preserve">esign </w:t>
      </w:r>
      <w:r>
        <w:t>m</w:t>
      </w:r>
      <w:r w:rsidRPr="00BB2F49">
        <w:t>anual. Updates will ensure the manual continues to provide best practice guidance on</w:t>
      </w:r>
      <w:r>
        <w:t xml:space="preserve"> delivering </w:t>
      </w:r>
      <w:r w:rsidRPr="00BB2F49">
        <w:t>transport infrastructure that better accommodates the needs of native fauna.</w:t>
      </w:r>
    </w:p>
    <w:p w14:paraId="30C86CEF" w14:textId="77777777" w:rsidR="0057796E" w:rsidRPr="00DC1A33" w:rsidRDefault="0057796E" w:rsidP="0057796E">
      <w:pPr>
        <w:pStyle w:val="Heading3"/>
      </w:pPr>
      <w:r>
        <w:t>Zero emission buses</w:t>
      </w:r>
    </w:p>
    <w:p w14:paraId="1407E9AA" w14:textId="77777777" w:rsidR="0057796E" w:rsidRDefault="0057796E" w:rsidP="0057796E">
      <w:r>
        <w:t xml:space="preserve">As set out in the </w:t>
      </w:r>
      <w:r w:rsidRPr="00232784">
        <w:rPr>
          <w:rStyle w:val="Emphasis"/>
        </w:rPr>
        <w:t>Zero Emission Vehicle Strategy</w:t>
      </w:r>
      <w:r>
        <w:t>, TMR has made a commitment that from 2025 all new urban buses in South East Queensland will be zero emission buses, and for regional Queensland, implementation will begin between 2025–2030.</w:t>
      </w:r>
    </w:p>
    <w:p w14:paraId="0E9BD443" w14:textId="635A95BE" w:rsidR="0057796E" w:rsidRDefault="0057796E" w:rsidP="0057796E">
      <w:r>
        <w:t>Zero emission buses were introduced to the South East Queensland bus network in April 2021, and the following battery electric buses are operating on the Translink network:</w:t>
      </w:r>
    </w:p>
    <w:p w14:paraId="0B2AB5FB" w14:textId="77777777" w:rsidR="0057796E" w:rsidRPr="002F7EE3" w:rsidRDefault="0057796E" w:rsidP="0057796E">
      <w:pPr>
        <w:pStyle w:val="ListBullet"/>
      </w:pPr>
      <w:r w:rsidRPr="002F7EE3">
        <w:t xml:space="preserve">11 buses </w:t>
      </w:r>
      <w:r>
        <w:t>on</w:t>
      </w:r>
      <w:r w:rsidRPr="002F7EE3">
        <w:t xml:space="preserve"> the Sunshine Coast</w:t>
      </w:r>
    </w:p>
    <w:p w14:paraId="00941509" w14:textId="77777777" w:rsidR="0057796E" w:rsidRPr="002F7EE3" w:rsidRDefault="0057796E" w:rsidP="0057796E">
      <w:pPr>
        <w:pStyle w:val="ListBullet"/>
      </w:pPr>
      <w:r>
        <w:t>10 buses on the Gold Coast</w:t>
      </w:r>
    </w:p>
    <w:p w14:paraId="4BF7AC3F" w14:textId="77777777" w:rsidR="0057796E" w:rsidRPr="002F7EE3" w:rsidRDefault="0057796E" w:rsidP="0057796E">
      <w:pPr>
        <w:pStyle w:val="ListBullet"/>
      </w:pPr>
      <w:r>
        <w:t>5 buses in Cairns</w:t>
      </w:r>
    </w:p>
    <w:p w14:paraId="7797CCA5" w14:textId="77777777" w:rsidR="0057796E" w:rsidRPr="002F7EE3" w:rsidRDefault="0057796E" w:rsidP="0057796E">
      <w:pPr>
        <w:pStyle w:val="ListBullet"/>
      </w:pPr>
      <w:r>
        <w:t>2 buses at Yarrabilba</w:t>
      </w:r>
    </w:p>
    <w:p w14:paraId="1592C07E" w14:textId="77777777" w:rsidR="0057796E" w:rsidRPr="002F7EE3" w:rsidRDefault="0057796E" w:rsidP="0057796E">
      <w:pPr>
        <w:pStyle w:val="ListBullet"/>
      </w:pPr>
      <w:r w:rsidRPr="002F7EE3">
        <w:t>11 buses at Redland Bay</w:t>
      </w:r>
    </w:p>
    <w:p w14:paraId="39EF60A4" w14:textId="77777777" w:rsidR="0057796E" w:rsidRPr="002F7EE3" w:rsidRDefault="0057796E" w:rsidP="0057796E">
      <w:pPr>
        <w:pStyle w:val="ListBullet"/>
      </w:pPr>
      <w:r>
        <w:t>2 buses at Spring Hill</w:t>
      </w:r>
    </w:p>
    <w:p w14:paraId="2F5B3644" w14:textId="77777777" w:rsidR="0057796E" w:rsidRPr="002F7EE3" w:rsidRDefault="0057796E" w:rsidP="0057796E">
      <w:pPr>
        <w:pStyle w:val="ListBullet"/>
      </w:pPr>
      <w:r>
        <w:t>9 buses at Logan</w:t>
      </w:r>
    </w:p>
    <w:p w14:paraId="593D9B81" w14:textId="77777777" w:rsidR="0057796E" w:rsidRPr="002F7EE3" w:rsidRDefault="0057796E" w:rsidP="0057796E">
      <w:pPr>
        <w:pStyle w:val="ListBullet"/>
      </w:pPr>
      <w:r>
        <w:t>16 buses at Moreton Bay.</w:t>
      </w:r>
    </w:p>
    <w:p w14:paraId="2B8384AC" w14:textId="77777777" w:rsidR="0057796E" w:rsidRPr="00756FBC" w:rsidRDefault="0057796E" w:rsidP="0057796E">
      <w:pPr>
        <w:pStyle w:val="Heading3"/>
      </w:pPr>
      <w:bookmarkStart w:id="27" w:name="_Hlk130803322"/>
      <w:r>
        <w:t>Woorabinda community</w:t>
      </w:r>
    </w:p>
    <w:p w14:paraId="6F858808" w14:textId="77777777" w:rsidR="0057796E" w:rsidRDefault="0057796E" w:rsidP="0057796E">
      <w:r>
        <w:t xml:space="preserve">In 2023, the then Director–General commenced his ninth year as Government Champion for Woorabinda and continued TMR's regular meetings with the Mayor and Chief Executive Officer to progress the community’s agenda. </w:t>
      </w:r>
    </w:p>
    <w:p w14:paraId="70C09B08" w14:textId="77777777" w:rsidR="0057796E" w:rsidRDefault="0057796E" w:rsidP="0057796E">
      <w:r>
        <w:t xml:space="preserve">Outcomes achieved during 2022–23 included: </w:t>
      </w:r>
    </w:p>
    <w:bookmarkEnd w:id="27"/>
    <w:p w14:paraId="28087320" w14:textId="77777777" w:rsidR="0057796E" w:rsidRPr="0074074D" w:rsidRDefault="0057796E" w:rsidP="0057796E">
      <w:pPr>
        <w:pStyle w:val="ListBullet"/>
      </w:pPr>
      <w:r w:rsidRPr="00F40A7A">
        <w:t xml:space="preserve">changes to the delivery model under the MoU, with local indigenous businesses subcontracted to deliver </w:t>
      </w:r>
      <w:r w:rsidRPr="0074074D">
        <w:t>roadworks and engage the Woorabinda community</w:t>
      </w:r>
      <w:r w:rsidRPr="0009553B">
        <w:t>—</w:t>
      </w:r>
      <w:r w:rsidRPr="0074074D">
        <w:t>promoting, inviting, and encouraging employment opportunities within Woorabinda</w:t>
      </w:r>
    </w:p>
    <w:p w14:paraId="673557C8" w14:textId="77777777" w:rsidR="0057796E" w:rsidRPr="0074074D" w:rsidRDefault="0057796E" w:rsidP="0057796E">
      <w:pPr>
        <w:pStyle w:val="ListBullet"/>
      </w:pPr>
      <w:r w:rsidRPr="005564A7">
        <w:t>a successful TMR funding application for planning the Mimosa Creek Walkway Project</w:t>
      </w:r>
    </w:p>
    <w:p w14:paraId="0475869A" w14:textId="77777777" w:rsidR="0057796E" w:rsidRPr="0074074D" w:rsidRDefault="0057796E" w:rsidP="0057796E">
      <w:pPr>
        <w:pStyle w:val="ListBullet"/>
      </w:pPr>
      <w:r>
        <w:t>o</w:t>
      </w:r>
      <w:r w:rsidRPr="0074074D">
        <w:t>ngoing opportunities to enhance road safety in the community</w:t>
      </w:r>
      <w:r>
        <w:t>.</w:t>
      </w:r>
    </w:p>
    <w:p w14:paraId="2BB9677C" w14:textId="77777777" w:rsidR="0057796E" w:rsidRPr="0009553B" w:rsidRDefault="0057796E" w:rsidP="0057796E">
      <w:r w:rsidRPr="00F40A7A">
        <w:t>The Government Champion Program continues to be a</w:t>
      </w:r>
      <w:r w:rsidRPr="0074074D">
        <w:t xml:space="preserve"> rewarding and important initiative which has delivered real improvements to the Woorabinda Community and TMR looks forward to working together to deliver improved community outcomes. </w:t>
      </w:r>
    </w:p>
    <w:p w14:paraId="02C3D9F7" w14:textId="77777777" w:rsidR="0057796E" w:rsidRPr="006F00ED" w:rsidRDefault="0057796E" w:rsidP="0057796E">
      <w:pPr>
        <w:pStyle w:val="Heading3"/>
      </w:pPr>
      <w:r w:rsidRPr="006F00ED">
        <w:t>Case Study</w:t>
      </w:r>
      <w:r>
        <w:br/>
      </w:r>
      <w:r w:rsidRPr="006F00ED">
        <w:t>Sustainability–projects and water use management</w:t>
      </w:r>
    </w:p>
    <w:p w14:paraId="2E8D8B02" w14:textId="77777777" w:rsidR="0057796E" w:rsidRPr="00940753" w:rsidRDefault="0057796E" w:rsidP="0057796E">
      <w:r w:rsidRPr="00940753">
        <w:t>The Bruce Highway Upgrade–Deception Bay Road Interchange project achieved great success with its water management.</w:t>
      </w:r>
    </w:p>
    <w:p w14:paraId="071AA100" w14:textId="77777777" w:rsidR="0057796E" w:rsidRPr="00940753" w:rsidRDefault="0057796E" w:rsidP="0057796E">
      <w:r w:rsidRPr="00940753">
        <w:t>The project addressed a bottleneck over the Bruce Highway by replacing the existing two-lane bridge with two new parallel four-lane bridges to improve safety, ease congestion, and cater for future traffic flow.</w:t>
      </w:r>
    </w:p>
    <w:p w14:paraId="239F3C3E" w14:textId="77777777" w:rsidR="0057796E" w:rsidRPr="00940753" w:rsidRDefault="0057796E" w:rsidP="0057796E">
      <w:r w:rsidRPr="00940753">
        <w:lastRenderedPageBreak/>
        <w:t xml:space="preserve">Efficiencies were realised by replacing the need for potable water for construction activities with non-potable water from a nearby water treatment plant which created a lower-cost, more sustainable outcome. </w:t>
      </w:r>
    </w:p>
    <w:p w14:paraId="2ED6D5B0" w14:textId="77777777" w:rsidR="0057796E" w:rsidRPr="00940753" w:rsidRDefault="0057796E" w:rsidP="0057796E">
      <w:r w:rsidRPr="00940753">
        <w:t>In addition, project activities were modified to reduce total water use including using dust binders, avoiding over-watering, implementing erosion and sediment controls, scheduling works to limit exposed areas, and careful monitoring and management.</w:t>
      </w:r>
    </w:p>
    <w:p w14:paraId="02D09F80" w14:textId="77777777" w:rsidR="0057796E" w:rsidRPr="00940753" w:rsidRDefault="0057796E" w:rsidP="0057796E">
      <w:r w:rsidRPr="00940753">
        <w:t>These sustainable outcomes resulted in project savings and securing efficiency gains in project delivery, demonstrating TMR's commitment to sustainability value and investment.</w:t>
      </w:r>
    </w:p>
    <w:p w14:paraId="3DB83425" w14:textId="77777777" w:rsidR="00C6602D" w:rsidRDefault="00C6602D">
      <w:pPr>
        <w:spacing w:before="0" w:after="160" w:line="259" w:lineRule="auto"/>
        <w:rPr>
          <w:rFonts w:eastAsiaTheme="majorEastAsia" w:cstheme="majorBidi"/>
          <w:color w:val="000000" w:themeColor="text1"/>
          <w:sz w:val="48"/>
          <w:szCs w:val="26"/>
        </w:rPr>
      </w:pPr>
      <w:r>
        <w:br w:type="page"/>
      </w:r>
    </w:p>
    <w:p w14:paraId="0EB00D3D" w14:textId="50112B55" w:rsidR="0057796E" w:rsidRDefault="0057796E" w:rsidP="0057796E">
      <w:pPr>
        <w:pStyle w:val="Heading2"/>
      </w:pPr>
      <w:r>
        <w:lastRenderedPageBreak/>
        <w:t>Marine safety</w:t>
      </w:r>
    </w:p>
    <w:p w14:paraId="12F88D44" w14:textId="77777777" w:rsidR="0057796E" w:rsidRDefault="0057796E" w:rsidP="0057796E">
      <w:pPr>
        <w:pStyle w:val="Heading3"/>
      </w:pPr>
      <w:r>
        <w:t>Exercise BEE</w:t>
      </w:r>
    </w:p>
    <w:p w14:paraId="645034B4" w14:textId="77777777" w:rsidR="0057796E" w:rsidRDefault="0057796E" w:rsidP="0057796E">
      <w:r>
        <w:t xml:space="preserve">TMR, through MSQ, is responsible for ship-sourced pollution regulation and response within Queensland coastal waters. MSQ maintains a high level of capability to respond to </w:t>
      </w:r>
      <w:r w:rsidRPr="003808DE">
        <w:t>pollution caused by oil, hazardous noxious substances, packaged harmful substances, garbage</w:t>
      </w:r>
      <w:r>
        <w:t>,</w:t>
      </w:r>
      <w:r w:rsidRPr="003808DE">
        <w:t xml:space="preserve"> and sewage.</w:t>
      </w:r>
    </w:p>
    <w:p w14:paraId="7402D6C6" w14:textId="77777777" w:rsidR="0057796E" w:rsidRDefault="0057796E" w:rsidP="0057796E">
      <w:r>
        <w:t>Each year MSQ conducts a state pollution exercise at a marine pollution incident different location to test and practice all aspects of a response. In June 2023, exercise 'BEE' was held in Townsville.</w:t>
      </w:r>
    </w:p>
    <w:p w14:paraId="2BF64DA9" w14:textId="77777777" w:rsidR="0057796E" w:rsidRDefault="0057796E" w:rsidP="0057796E">
      <w:r>
        <w:t xml:space="preserve">Exercise 'BEE' was a multi-agency and cross-jurisdictional exercise involving 171 participants and observers across incident management, on-water response and oiled wildlife response. Participants included members of MSQ, the Great Barrier Reef Marine Park Authority, the Department of Environment and Science, state and territory government response partners, local governments, and traditional owner groups. </w:t>
      </w:r>
    </w:p>
    <w:p w14:paraId="230E1D3F" w14:textId="77777777" w:rsidR="0057796E" w:rsidRDefault="0057796E" w:rsidP="0057796E">
      <w:r>
        <w:t>Exercise 'BEE' showcased how a response would be conducted in the complex Great Barrier Reef environment</w:t>
      </w:r>
    </w:p>
    <w:p w14:paraId="6F84ACFC" w14:textId="77777777" w:rsidR="0057796E" w:rsidRDefault="0057796E" w:rsidP="0057796E">
      <w:pPr>
        <w:pStyle w:val="Heading3"/>
      </w:pPr>
      <w:r>
        <w:t xml:space="preserve">Fatal five education campaign </w:t>
      </w:r>
    </w:p>
    <w:p w14:paraId="4FED3B1A" w14:textId="77777777" w:rsidR="0057796E" w:rsidRPr="00865B59" w:rsidRDefault="0057796E" w:rsidP="0057796E">
      <w:r w:rsidRPr="00865B59">
        <w:t>MSQ delivered boating fatal five safety education messaging throughout 2022–23. The Boating Fatal 5 campaign is a reminder to Queenslanders that being on the water has some known safety risks and that the right education and planning can significantly reduce the risk of boating incidents.</w:t>
      </w:r>
    </w:p>
    <w:p w14:paraId="5B014283" w14:textId="77777777" w:rsidR="0057796E" w:rsidRPr="00865B59" w:rsidRDefault="0057796E" w:rsidP="0057796E">
      <w:r w:rsidRPr="00865B59">
        <w:t xml:space="preserve">MSQ also released the </w:t>
      </w:r>
      <w:r w:rsidRPr="007578E4">
        <w:rPr>
          <w:rStyle w:val="Emphasis"/>
        </w:rPr>
        <w:t>Know your waterways</w:t>
      </w:r>
      <w:r w:rsidRPr="00865B59">
        <w:t xml:space="preserve"> publications. Each </w:t>
      </w:r>
      <w:r w:rsidRPr="007578E4">
        <w:rPr>
          <w:rStyle w:val="Emphasis"/>
        </w:rPr>
        <w:t>Know your waterways</w:t>
      </w:r>
      <w:r w:rsidRPr="00865B59">
        <w:t xml:space="preserve"> brochure is focused on a specific area in some of the busiest waterways in Queensland. Produced in collaboration with MSQ regional officers, they are filled with maps and local knowledge to help keep the boating community safe.  </w:t>
      </w:r>
    </w:p>
    <w:p w14:paraId="5A619546" w14:textId="77777777" w:rsidR="0057796E" w:rsidRDefault="0057796E" w:rsidP="0057796E">
      <w:pPr>
        <w:pStyle w:val="Heading3"/>
      </w:pPr>
      <w:r w:rsidRPr="00FC39AF">
        <w:t>Lifejacket</w:t>
      </w:r>
      <w:r>
        <w:t xml:space="preserve"> reforms</w:t>
      </w:r>
    </w:p>
    <w:p w14:paraId="6CA877AB" w14:textId="77777777" w:rsidR="0057796E" w:rsidRPr="002030F2" w:rsidRDefault="0057796E" w:rsidP="0057796E">
      <w:r w:rsidRPr="002030F2">
        <w:t xml:space="preserve">The </w:t>
      </w:r>
      <w:r w:rsidRPr="009F24A4">
        <w:rPr>
          <w:rStyle w:val="Emphasis"/>
        </w:rPr>
        <w:t>Transport Operations (Marine Safety) Act 1994</w:t>
      </w:r>
      <w:r>
        <w:t xml:space="preserve"> </w:t>
      </w:r>
      <w:r w:rsidRPr="002030F2">
        <w:t xml:space="preserve">and </w:t>
      </w:r>
      <w:r w:rsidRPr="009F24A4">
        <w:rPr>
          <w:rStyle w:val="Emphasis"/>
        </w:rPr>
        <w:t>Transport Operations (Marine Safety) Regulation 2016</w:t>
      </w:r>
      <w:r w:rsidRPr="002030F2">
        <w:t xml:space="preserve"> mandates the </w:t>
      </w:r>
      <w:r>
        <w:t>movement</w:t>
      </w:r>
      <w:r w:rsidRPr="002030F2">
        <w:t xml:space="preserve"> and use of certain pieces of safety equipment </w:t>
      </w:r>
      <w:r>
        <w:t>on</w:t>
      </w:r>
      <w:r w:rsidRPr="002030F2">
        <w:t xml:space="preserve"> Queensland regulated ships</w:t>
      </w:r>
      <w:r>
        <w:t xml:space="preserve"> (QRS)</w:t>
      </w:r>
      <w:r w:rsidRPr="002030F2">
        <w:t>.</w:t>
      </w:r>
    </w:p>
    <w:p w14:paraId="1603C1C7" w14:textId="77777777" w:rsidR="0057796E" w:rsidRDefault="0057796E" w:rsidP="0057796E">
      <w:r w:rsidRPr="002030F2">
        <w:t xml:space="preserve">In December 2022, MSQ launched an extensive public consultation </w:t>
      </w:r>
      <w:r>
        <w:t xml:space="preserve">about proposed changes to laws on the use of lifejackets and kill switch lanyards. </w:t>
      </w:r>
      <w:r w:rsidRPr="002030F2">
        <w:t xml:space="preserve"> </w:t>
      </w:r>
    </w:p>
    <w:p w14:paraId="292D9D13" w14:textId="77777777" w:rsidR="0057796E" w:rsidRDefault="0057796E" w:rsidP="0057796E">
      <w:r w:rsidRPr="002030F2">
        <w:t>Key</w:t>
      </w:r>
      <w:r>
        <w:t xml:space="preserve"> changes proposed include lifejacket laws for people boating alone, at night, or while crossing coastal bars, and broadening laws for children. Queensland's current laws require all vessels to carry lifejackets, and the proposed laws will require them to be worn in certain situations. </w:t>
      </w:r>
    </w:p>
    <w:p w14:paraId="55EFBB11" w14:textId="6E63FD3B" w:rsidR="0057796E" w:rsidRDefault="0057796E" w:rsidP="0057796E">
      <w:pPr>
        <w:pStyle w:val="Heading3"/>
      </w:pPr>
      <w:r w:rsidRPr="006F00ED">
        <w:t xml:space="preserve">Case </w:t>
      </w:r>
      <w:r w:rsidR="00A74536">
        <w:t>s</w:t>
      </w:r>
      <w:r w:rsidRPr="006F00ED">
        <w:t>tudy</w:t>
      </w:r>
      <w:r w:rsidR="00A74536">
        <w:t xml:space="preserve"> e</w:t>
      </w:r>
      <w:r>
        <w:t>mergency response structure review</w:t>
      </w:r>
    </w:p>
    <w:p w14:paraId="68E85ADB" w14:textId="77777777" w:rsidR="0057796E" w:rsidRPr="002F01E0" w:rsidRDefault="0057796E" w:rsidP="0057796E">
      <w:r>
        <w:t>MSQ</w:t>
      </w:r>
      <w:r w:rsidRPr="002F01E0">
        <w:t xml:space="preserve"> is the lead agency for ship-sourced oil spill response among government agencies and port authorities. MSQ's maritime emergency management focus has evolved into an all-hazard capability supporting wider Queensland Disaster Management Arrangements. This was shown when MSQ operated as lead maritime response agency in the successful response to riverine flooding during the 2022 South East Queensland floods.</w:t>
      </w:r>
    </w:p>
    <w:p w14:paraId="34F2820A" w14:textId="77777777" w:rsidR="0057796E" w:rsidRPr="002F01E0" w:rsidRDefault="0057796E" w:rsidP="0057796E">
      <w:r w:rsidRPr="002F01E0">
        <w:t xml:space="preserve">Building on the 2022 floods and wider disaster preparedness, MSQ reviewed its structure to ensure optimal alignment for maritime emergency management. Key elements for shipping safety are MSQ's Vessel Traffic Service and its Regional Harbour Master team. This prevention capability, joined with the preparedness and response functions within the Maritime Emergency Management (MEM) team, are part of the wider Port Operations function. </w:t>
      </w:r>
    </w:p>
    <w:p w14:paraId="5673847C" w14:textId="77777777" w:rsidR="0057796E" w:rsidRPr="002F01E0" w:rsidRDefault="0057796E" w:rsidP="0057796E">
      <w:r w:rsidRPr="002F01E0">
        <w:t xml:space="preserve">MEM provides </w:t>
      </w:r>
      <w:r>
        <w:t xml:space="preserve">a range of response </w:t>
      </w:r>
      <w:r w:rsidRPr="002F01E0">
        <w:t>capabilities to MSQ. This capability is focused on ship-sourced pollution response but is also available across a spectrum of disaster management scenarios. This includes training, technical and response advice, and industry liaison. MEM keeps MSQ ready to respond to disaster events at any time along the Queensland coast.</w:t>
      </w:r>
    </w:p>
    <w:p w14:paraId="28AE747F" w14:textId="77777777" w:rsidR="0057796E" w:rsidRDefault="0057796E" w:rsidP="0057796E">
      <w:pPr>
        <w:pStyle w:val="Heading3"/>
      </w:pPr>
      <w:r>
        <w:lastRenderedPageBreak/>
        <w:t>Marine fatalities and marine injuries</w:t>
      </w:r>
    </w:p>
    <w:p w14:paraId="47B7F1BF" w14:textId="77777777" w:rsidR="0057796E" w:rsidRPr="00E21AFE" w:rsidRDefault="0057796E" w:rsidP="0057796E">
      <w:r w:rsidRPr="00E21AFE">
        <w:t>In 2022–23, reported marine incidents in Queensland included</w:t>
      </w:r>
      <w:r>
        <w:t xml:space="preserve"> 18</w:t>
      </w:r>
      <w:r w:rsidRPr="00E21AFE">
        <w:t xml:space="preserve"> fatalities and </w:t>
      </w:r>
      <w:r>
        <w:t>21</w:t>
      </w:r>
      <w:r w:rsidRPr="00E21AFE">
        <w:t xml:space="preserve"> serious injuries. The number of reported marine incidents involving at least one QRS has </w:t>
      </w:r>
      <w:r>
        <w:t>decreased</w:t>
      </w:r>
      <w:r w:rsidRPr="00E21AFE">
        <w:t xml:space="preserve"> from 363 to </w:t>
      </w:r>
      <w:r>
        <w:t>317. T</w:t>
      </w:r>
      <w:r w:rsidRPr="00E21AFE">
        <w:t xml:space="preserve">he number of fatalities has </w:t>
      </w:r>
      <w:r>
        <w:t>grown</w:t>
      </w:r>
      <w:r w:rsidRPr="00E21AFE">
        <w:t xml:space="preserve"> as </w:t>
      </w:r>
      <w:r>
        <w:t>the</w:t>
      </w:r>
      <w:r w:rsidRPr="00E21AFE">
        <w:t xml:space="preserve"> result of a</w:t>
      </w:r>
      <w:r>
        <w:t>n</w:t>
      </w:r>
      <w:r w:rsidRPr="00E21AFE">
        <w:t xml:space="preserve"> </w:t>
      </w:r>
      <w:r>
        <w:t xml:space="preserve">increase </w:t>
      </w:r>
      <w:r w:rsidRPr="00E21AFE">
        <w:t xml:space="preserve">in the number of </w:t>
      </w:r>
      <w:r>
        <w:t>capsizing incidents</w:t>
      </w:r>
      <w:r w:rsidRPr="00E21AFE">
        <w:t xml:space="preserve"> resulting in </w:t>
      </w:r>
      <w:r>
        <w:t>three fatalities</w:t>
      </w:r>
      <w:r w:rsidRPr="00E21AFE">
        <w:t xml:space="preserve">. </w:t>
      </w:r>
    </w:p>
    <w:p w14:paraId="76C1FC68" w14:textId="77777777" w:rsidR="0057796E" w:rsidRPr="00E21AFE" w:rsidRDefault="0057796E" w:rsidP="0057796E">
      <w:r w:rsidRPr="00E21AFE">
        <w:t xml:space="preserve">Figure </w:t>
      </w:r>
      <w:r>
        <w:t>3 below</w:t>
      </w:r>
      <w:r w:rsidRPr="00E21AFE">
        <w:t xml:space="preserve"> indicates the number of people who have died during the last ten financial years in a reported marine incident that involved at least one QRS (post</w:t>
      </w:r>
      <w:r>
        <w:t>-</w:t>
      </w:r>
      <w:r w:rsidRPr="00E21AFE">
        <w:t>2013) or one recreational ship (pre</w:t>
      </w:r>
      <w:r>
        <w:t>-</w:t>
      </w:r>
      <w:r w:rsidRPr="00E21AFE">
        <w:t xml:space="preserve">2013). </w:t>
      </w:r>
    </w:p>
    <w:p w14:paraId="0AFD21B0" w14:textId="77777777" w:rsidR="0057796E" w:rsidRDefault="0057796E" w:rsidP="0057796E">
      <w:r w:rsidRPr="00E21AFE">
        <w:t xml:space="preserve">These people have been classified as masters or passengers of boats, the masters and passengers of </w:t>
      </w:r>
      <w:r>
        <w:t>PWC</w:t>
      </w:r>
      <w:r w:rsidRPr="00E21AFE">
        <w:t xml:space="preserve">, swimmers </w:t>
      </w:r>
      <w:r>
        <w:t>(</w:t>
      </w:r>
      <w:r w:rsidRPr="00E21AFE">
        <w:t>which includes divers</w:t>
      </w:r>
      <w:r>
        <w:t xml:space="preserve"> and</w:t>
      </w:r>
      <w:r w:rsidRPr="00E21AFE">
        <w:t xml:space="preserve"> snorkelers</w:t>
      </w:r>
      <w:r>
        <w:t>)</w:t>
      </w:r>
      <w:r w:rsidRPr="00E21AFE">
        <w:t xml:space="preserve"> and water skiers </w:t>
      </w:r>
      <w:r>
        <w:t>(</w:t>
      </w:r>
      <w:r w:rsidRPr="00E21AFE">
        <w:t>which includes anyone being towed by a vessel of any kind</w:t>
      </w:r>
      <w:r>
        <w:t>)</w:t>
      </w:r>
      <w:r w:rsidRPr="00E21AFE">
        <w:t>.</w:t>
      </w:r>
    </w:p>
    <w:p w14:paraId="0370E56A" w14:textId="5EB5483B" w:rsidR="00A74536" w:rsidRDefault="00A74536">
      <w:pPr>
        <w:spacing w:before="0" w:after="160" w:line="259" w:lineRule="auto"/>
        <w:rPr>
          <w:rStyle w:val="Strong"/>
        </w:rPr>
      </w:pPr>
    </w:p>
    <w:p w14:paraId="2C0212D0" w14:textId="22892C30" w:rsidR="0057796E" w:rsidRDefault="0057796E" w:rsidP="0057796E">
      <w:pPr>
        <w:rPr>
          <w:rStyle w:val="Strong"/>
        </w:rPr>
      </w:pPr>
      <w:r w:rsidRPr="00E21AFE">
        <w:rPr>
          <w:rStyle w:val="Strong"/>
        </w:rPr>
        <w:t xml:space="preserve">Figure </w:t>
      </w:r>
      <w:r>
        <w:rPr>
          <w:rStyle w:val="Strong"/>
        </w:rPr>
        <w:t>3</w:t>
      </w:r>
      <w:r w:rsidRPr="00E21AFE">
        <w:rPr>
          <w:rStyle w:val="Strong"/>
        </w:rPr>
        <w:t>: Marine fatalities in Queensland</w:t>
      </w:r>
    </w:p>
    <w:tbl>
      <w:tblPr>
        <w:tblStyle w:val="GridTable4-Accent1"/>
        <w:tblW w:w="5000" w:type="pct"/>
        <w:tblLook w:val="04A0" w:firstRow="1" w:lastRow="0" w:firstColumn="1" w:lastColumn="0" w:noHBand="0" w:noVBand="1"/>
      </w:tblPr>
      <w:tblGrid>
        <w:gridCol w:w="1463"/>
        <w:gridCol w:w="1454"/>
        <w:gridCol w:w="1472"/>
        <w:gridCol w:w="1443"/>
        <w:gridCol w:w="1466"/>
        <w:gridCol w:w="1450"/>
        <w:gridCol w:w="1446"/>
      </w:tblGrid>
      <w:tr w:rsidR="0057796E" w14:paraId="6FA7409E" w14:textId="77777777" w:rsidTr="00A74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8" w:type="pct"/>
          </w:tcPr>
          <w:p w14:paraId="6698800A" w14:textId="77777777" w:rsidR="0057796E" w:rsidRPr="009D60F4" w:rsidRDefault="0057796E" w:rsidP="000708AF">
            <w:pPr>
              <w:pStyle w:val="Normal-table"/>
              <w:rPr>
                <w:rStyle w:val="Strong"/>
                <w:b/>
                <w:bCs/>
              </w:rPr>
            </w:pPr>
            <w:r w:rsidRPr="009D60F4">
              <w:rPr>
                <w:rStyle w:val="Strong"/>
              </w:rPr>
              <w:t>Financial Year</w:t>
            </w:r>
          </w:p>
        </w:tc>
        <w:tc>
          <w:tcPr>
            <w:tcW w:w="713" w:type="pct"/>
          </w:tcPr>
          <w:p w14:paraId="0374EE9B" w14:textId="77777777" w:rsidR="0057796E" w:rsidRPr="009D60F4" w:rsidRDefault="0057796E" w:rsidP="000708AF">
            <w:pPr>
              <w:pStyle w:val="Normal-table"/>
              <w:cnfStyle w:val="100000000000" w:firstRow="1" w:lastRow="0" w:firstColumn="0" w:lastColumn="0" w:oddVBand="0" w:evenVBand="0" w:oddHBand="0" w:evenHBand="0" w:firstRowFirstColumn="0" w:firstRowLastColumn="0" w:lastRowFirstColumn="0" w:lastRowLastColumn="0"/>
              <w:rPr>
                <w:rStyle w:val="Strong"/>
                <w:b/>
                <w:bCs/>
              </w:rPr>
            </w:pPr>
            <w:r w:rsidRPr="009D60F4">
              <w:rPr>
                <w:rStyle w:val="Strong"/>
              </w:rPr>
              <w:t>Boat: Master</w:t>
            </w:r>
          </w:p>
        </w:tc>
        <w:tc>
          <w:tcPr>
            <w:tcW w:w="722" w:type="pct"/>
          </w:tcPr>
          <w:p w14:paraId="37F26429" w14:textId="77777777" w:rsidR="0057796E" w:rsidRPr="009D60F4" w:rsidRDefault="0057796E" w:rsidP="000708AF">
            <w:pPr>
              <w:pStyle w:val="Normal-table"/>
              <w:cnfStyle w:val="100000000000" w:firstRow="1" w:lastRow="0" w:firstColumn="0" w:lastColumn="0" w:oddVBand="0" w:evenVBand="0" w:oddHBand="0" w:evenHBand="0" w:firstRowFirstColumn="0" w:firstRowLastColumn="0" w:lastRowFirstColumn="0" w:lastRowLastColumn="0"/>
              <w:rPr>
                <w:rStyle w:val="Strong"/>
                <w:b/>
                <w:bCs/>
              </w:rPr>
            </w:pPr>
            <w:r w:rsidRPr="009D60F4">
              <w:rPr>
                <w:rStyle w:val="Strong"/>
              </w:rPr>
              <w:t>Boat: Passenger</w:t>
            </w:r>
          </w:p>
        </w:tc>
        <w:tc>
          <w:tcPr>
            <w:tcW w:w="708" w:type="pct"/>
          </w:tcPr>
          <w:p w14:paraId="68F9470B" w14:textId="77777777" w:rsidR="0057796E" w:rsidRPr="009D60F4" w:rsidRDefault="0057796E" w:rsidP="000708AF">
            <w:pPr>
              <w:pStyle w:val="Normal-table"/>
              <w:cnfStyle w:val="100000000000" w:firstRow="1" w:lastRow="0" w:firstColumn="0" w:lastColumn="0" w:oddVBand="0" w:evenVBand="0" w:oddHBand="0" w:evenHBand="0" w:firstRowFirstColumn="0" w:firstRowLastColumn="0" w:lastRowFirstColumn="0" w:lastRowLastColumn="0"/>
              <w:rPr>
                <w:rStyle w:val="Strong"/>
                <w:b/>
                <w:bCs/>
              </w:rPr>
            </w:pPr>
            <w:r w:rsidRPr="009D60F4">
              <w:rPr>
                <w:rStyle w:val="Strong"/>
              </w:rPr>
              <w:t>PWC</w:t>
            </w:r>
          </w:p>
        </w:tc>
        <w:tc>
          <w:tcPr>
            <w:tcW w:w="719" w:type="pct"/>
          </w:tcPr>
          <w:p w14:paraId="3E275C25" w14:textId="77777777" w:rsidR="0057796E" w:rsidRPr="009D60F4" w:rsidRDefault="0057796E" w:rsidP="000708AF">
            <w:pPr>
              <w:pStyle w:val="Normal-table"/>
              <w:cnfStyle w:val="100000000000" w:firstRow="1" w:lastRow="0" w:firstColumn="0" w:lastColumn="0" w:oddVBand="0" w:evenVBand="0" w:oddHBand="0" w:evenHBand="0" w:firstRowFirstColumn="0" w:firstRowLastColumn="0" w:lastRowFirstColumn="0" w:lastRowLastColumn="0"/>
              <w:rPr>
                <w:rStyle w:val="Strong"/>
                <w:b/>
                <w:bCs/>
              </w:rPr>
            </w:pPr>
            <w:r w:rsidRPr="009D60F4">
              <w:rPr>
                <w:rStyle w:val="Strong"/>
              </w:rPr>
              <w:t>Swimmer</w:t>
            </w:r>
          </w:p>
        </w:tc>
        <w:tc>
          <w:tcPr>
            <w:tcW w:w="711" w:type="pct"/>
          </w:tcPr>
          <w:p w14:paraId="0706C78B" w14:textId="77777777" w:rsidR="0057796E" w:rsidRPr="009D60F4" w:rsidRDefault="0057796E" w:rsidP="000708AF">
            <w:pPr>
              <w:pStyle w:val="Normal-table"/>
              <w:cnfStyle w:val="100000000000" w:firstRow="1" w:lastRow="0" w:firstColumn="0" w:lastColumn="0" w:oddVBand="0" w:evenVBand="0" w:oddHBand="0" w:evenHBand="0" w:firstRowFirstColumn="0" w:firstRowLastColumn="0" w:lastRowFirstColumn="0" w:lastRowLastColumn="0"/>
              <w:rPr>
                <w:rStyle w:val="Strong"/>
                <w:b/>
                <w:bCs/>
              </w:rPr>
            </w:pPr>
            <w:r w:rsidRPr="009D60F4">
              <w:rPr>
                <w:rStyle w:val="Strong"/>
              </w:rPr>
              <w:t>Water skier</w:t>
            </w:r>
          </w:p>
        </w:tc>
        <w:tc>
          <w:tcPr>
            <w:tcW w:w="709" w:type="pct"/>
          </w:tcPr>
          <w:p w14:paraId="2A21D9A4" w14:textId="77777777" w:rsidR="0057796E" w:rsidRPr="009D60F4" w:rsidRDefault="0057796E" w:rsidP="000708AF">
            <w:pPr>
              <w:pStyle w:val="Normal-table"/>
              <w:cnfStyle w:val="100000000000" w:firstRow="1" w:lastRow="0" w:firstColumn="0" w:lastColumn="0" w:oddVBand="0" w:evenVBand="0" w:oddHBand="0" w:evenHBand="0" w:firstRowFirstColumn="0" w:firstRowLastColumn="0" w:lastRowFirstColumn="0" w:lastRowLastColumn="0"/>
              <w:rPr>
                <w:rStyle w:val="Strong"/>
                <w:b/>
                <w:bCs/>
              </w:rPr>
            </w:pPr>
            <w:r w:rsidRPr="009D60F4">
              <w:rPr>
                <w:rStyle w:val="Strong"/>
              </w:rPr>
              <w:t>Total</w:t>
            </w:r>
          </w:p>
        </w:tc>
      </w:tr>
      <w:tr w:rsidR="0057796E" w14:paraId="485309C9" w14:textId="77777777" w:rsidTr="00A7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pct"/>
          </w:tcPr>
          <w:p w14:paraId="7E66D7A5" w14:textId="77777777" w:rsidR="0057796E" w:rsidRPr="004E263D" w:rsidRDefault="0057796E" w:rsidP="000708AF">
            <w:pPr>
              <w:pStyle w:val="Normal-table"/>
              <w:rPr>
                <w:rStyle w:val="Strong"/>
                <w:b/>
                <w:bCs/>
              </w:rPr>
            </w:pPr>
            <w:r w:rsidRPr="004E263D">
              <w:rPr>
                <w:rStyle w:val="Strong"/>
              </w:rPr>
              <w:t>2013–14</w:t>
            </w:r>
          </w:p>
        </w:tc>
        <w:tc>
          <w:tcPr>
            <w:tcW w:w="713" w:type="pct"/>
          </w:tcPr>
          <w:p w14:paraId="4A6BC4A9" w14:textId="77777777" w:rsidR="0057796E" w:rsidRPr="004E263D" w:rsidRDefault="0057796E" w:rsidP="000708AF">
            <w:pPr>
              <w:pStyle w:val="Normal-table"/>
              <w:cnfStyle w:val="000000100000" w:firstRow="0" w:lastRow="0" w:firstColumn="0" w:lastColumn="0" w:oddVBand="0" w:evenVBand="0" w:oddHBand="1" w:evenHBand="0" w:firstRowFirstColumn="0" w:firstRowLastColumn="0" w:lastRowFirstColumn="0" w:lastRowLastColumn="0"/>
              <w:rPr>
                <w:rStyle w:val="Strong"/>
                <w:b w:val="0"/>
                <w:bCs w:val="0"/>
              </w:rPr>
            </w:pPr>
            <w:r w:rsidRPr="004E263D">
              <w:rPr>
                <w:rStyle w:val="Strong"/>
                <w:b w:val="0"/>
                <w:bCs w:val="0"/>
              </w:rPr>
              <w:t>6</w:t>
            </w:r>
          </w:p>
        </w:tc>
        <w:tc>
          <w:tcPr>
            <w:tcW w:w="722" w:type="pct"/>
          </w:tcPr>
          <w:p w14:paraId="23645AA4" w14:textId="77777777" w:rsidR="0057796E" w:rsidRPr="004E263D" w:rsidRDefault="0057796E" w:rsidP="000708AF">
            <w:pPr>
              <w:pStyle w:val="Normal-table"/>
              <w:cnfStyle w:val="000000100000" w:firstRow="0" w:lastRow="0" w:firstColumn="0" w:lastColumn="0" w:oddVBand="0" w:evenVBand="0" w:oddHBand="1" w:evenHBand="0" w:firstRowFirstColumn="0" w:firstRowLastColumn="0" w:lastRowFirstColumn="0" w:lastRowLastColumn="0"/>
              <w:rPr>
                <w:rStyle w:val="Strong"/>
                <w:b w:val="0"/>
                <w:bCs w:val="0"/>
              </w:rPr>
            </w:pPr>
            <w:r w:rsidRPr="004E263D">
              <w:rPr>
                <w:rStyle w:val="Strong"/>
                <w:b w:val="0"/>
                <w:bCs w:val="0"/>
              </w:rPr>
              <w:t>0</w:t>
            </w:r>
          </w:p>
        </w:tc>
        <w:tc>
          <w:tcPr>
            <w:tcW w:w="708" w:type="pct"/>
          </w:tcPr>
          <w:p w14:paraId="5BF617D9" w14:textId="77777777" w:rsidR="0057796E" w:rsidRPr="004E263D" w:rsidRDefault="0057796E" w:rsidP="000708AF">
            <w:pPr>
              <w:pStyle w:val="Normal-table"/>
              <w:cnfStyle w:val="000000100000" w:firstRow="0" w:lastRow="0" w:firstColumn="0" w:lastColumn="0" w:oddVBand="0" w:evenVBand="0" w:oddHBand="1" w:evenHBand="0" w:firstRowFirstColumn="0" w:firstRowLastColumn="0" w:lastRowFirstColumn="0" w:lastRowLastColumn="0"/>
              <w:rPr>
                <w:rStyle w:val="Strong"/>
                <w:b w:val="0"/>
                <w:bCs w:val="0"/>
              </w:rPr>
            </w:pPr>
            <w:r w:rsidRPr="004E263D">
              <w:rPr>
                <w:rStyle w:val="Strong"/>
                <w:b w:val="0"/>
                <w:bCs w:val="0"/>
              </w:rPr>
              <w:t>3</w:t>
            </w:r>
          </w:p>
        </w:tc>
        <w:tc>
          <w:tcPr>
            <w:tcW w:w="719" w:type="pct"/>
          </w:tcPr>
          <w:p w14:paraId="0AFDCA9C" w14:textId="77777777" w:rsidR="0057796E" w:rsidRPr="004E263D" w:rsidRDefault="0057796E" w:rsidP="000708AF">
            <w:pPr>
              <w:pStyle w:val="Normal-table"/>
              <w:cnfStyle w:val="000000100000" w:firstRow="0" w:lastRow="0" w:firstColumn="0" w:lastColumn="0" w:oddVBand="0" w:evenVBand="0" w:oddHBand="1" w:evenHBand="0" w:firstRowFirstColumn="0" w:firstRowLastColumn="0" w:lastRowFirstColumn="0" w:lastRowLastColumn="0"/>
              <w:rPr>
                <w:rStyle w:val="Strong"/>
                <w:b w:val="0"/>
                <w:bCs w:val="0"/>
              </w:rPr>
            </w:pPr>
            <w:r w:rsidRPr="004E263D">
              <w:rPr>
                <w:rStyle w:val="Strong"/>
                <w:b w:val="0"/>
                <w:bCs w:val="0"/>
              </w:rPr>
              <w:t>0</w:t>
            </w:r>
          </w:p>
        </w:tc>
        <w:tc>
          <w:tcPr>
            <w:tcW w:w="711" w:type="pct"/>
          </w:tcPr>
          <w:p w14:paraId="45526FEE" w14:textId="77777777" w:rsidR="0057796E" w:rsidRPr="004E263D" w:rsidRDefault="0057796E" w:rsidP="000708AF">
            <w:pPr>
              <w:pStyle w:val="Normal-table"/>
              <w:cnfStyle w:val="000000100000" w:firstRow="0" w:lastRow="0" w:firstColumn="0" w:lastColumn="0" w:oddVBand="0" w:evenVBand="0" w:oddHBand="1" w:evenHBand="0" w:firstRowFirstColumn="0" w:firstRowLastColumn="0" w:lastRowFirstColumn="0" w:lastRowLastColumn="0"/>
              <w:rPr>
                <w:rStyle w:val="Strong"/>
                <w:b w:val="0"/>
                <w:bCs w:val="0"/>
              </w:rPr>
            </w:pPr>
            <w:r w:rsidRPr="004E263D">
              <w:rPr>
                <w:rStyle w:val="Strong"/>
                <w:b w:val="0"/>
                <w:bCs w:val="0"/>
              </w:rPr>
              <w:t>0</w:t>
            </w:r>
          </w:p>
        </w:tc>
        <w:tc>
          <w:tcPr>
            <w:tcW w:w="709" w:type="pct"/>
          </w:tcPr>
          <w:p w14:paraId="069CCC37" w14:textId="77777777" w:rsidR="0057796E" w:rsidRPr="004E263D" w:rsidRDefault="0057796E" w:rsidP="000708AF">
            <w:pPr>
              <w:pStyle w:val="Normal-table"/>
              <w:cnfStyle w:val="000000100000" w:firstRow="0" w:lastRow="0" w:firstColumn="0" w:lastColumn="0" w:oddVBand="0" w:evenVBand="0" w:oddHBand="1" w:evenHBand="0" w:firstRowFirstColumn="0" w:firstRowLastColumn="0" w:lastRowFirstColumn="0" w:lastRowLastColumn="0"/>
              <w:rPr>
                <w:rStyle w:val="Strong"/>
                <w:b w:val="0"/>
                <w:bCs w:val="0"/>
              </w:rPr>
            </w:pPr>
            <w:r w:rsidRPr="004E263D">
              <w:rPr>
                <w:rStyle w:val="Strong"/>
                <w:b w:val="0"/>
                <w:bCs w:val="0"/>
              </w:rPr>
              <w:t>9</w:t>
            </w:r>
          </w:p>
        </w:tc>
      </w:tr>
      <w:tr w:rsidR="0057796E" w14:paraId="2C85F6EA" w14:textId="77777777" w:rsidTr="00A74536">
        <w:tc>
          <w:tcPr>
            <w:cnfStyle w:val="001000000000" w:firstRow="0" w:lastRow="0" w:firstColumn="1" w:lastColumn="0" w:oddVBand="0" w:evenVBand="0" w:oddHBand="0" w:evenHBand="0" w:firstRowFirstColumn="0" w:firstRowLastColumn="0" w:lastRowFirstColumn="0" w:lastRowLastColumn="0"/>
            <w:tcW w:w="718" w:type="pct"/>
          </w:tcPr>
          <w:p w14:paraId="34AB3984" w14:textId="77777777" w:rsidR="0057796E" w:rsidRPr="004E263D" w:rsidRDefault="0057796E" w:rsidP="000708AF">
            <w:pPr>
              <w:pStyle w:val="Normal-table"/>
              <w:rPr>
                <w:rStyle w:val="Strong"/>
                <w:b/>
                <w:bCs/>
              </w:rPr>
            </w:pPr>
            <w:r w:rsidRPr="004E263D">
              <w:rPr>
                <w:rStyle w:val="Strong"/>
              </w:rPr>
              <w:t>2014–15</w:t>
            </w:r>
          </w:p>
        </w:tc>
        <w:tc>
          <w:tcPr>
            <w:tcW w:w="713" w:type="pct"/>
          </w:tcPr>
          <w:p w14:paraId="27CA3A19" w14:textId="77777777" w:rsidR="0057796E" w:rsidRPr="004E263D" w:rsidRDefault="0057796E" w:rsidP="000708AF">
            <w:pPr>
              <w:pStyle w:val="Normal-table"/>
              <w:cnfStyle w:val="000000000000" w:firstRow="0" w:lastRow="0" w:firstColumn="0" w:lastColumn="0" w:oddVBand="0" w:evenVBand="0" w:oddHBand="0" w:evenHBand="0" w:firstRowFirstColumn="0" w:firstRowLastColumn="0" w:lastRowFirstColumn="0" w:lastRowLastColumn="0"/>
              <w:rPr>
                <w:rStyle w:val="Strong"/>
                <w:b w:val="0"/>
                <w:bCs w:val="0"/>
              </w:rPr>
            </w:pPr>
            <w:r w:rsidRPr="004E263D">
              <w:rPr>
                <w:rStyle w:val="Strong"/>
                <w:b w:val="0"/>
                <w:bCs w:val="0"/>
              </w:rPr>
              <w:t>1</w:t>
            </w:r>
          </w:p>
        </w:tc>
        <w:tc>
          <w:tcPr>
            <w:tcW w:w="722" w:type="pct"/>
          </w:tcPr>
          <w:p w14:paraId="14238CF4" w14:textId="77777777" w:rsidR="0057796E" w:rsidRPr="004E263D" w:rsidRDefault="0057796E" w:rsidP="000708AF">
            <w:pPr>
              <w:pStyle w:val="Normal-table"/>
              <w:cnfStyle w:val="000000000000" w:firstRow="0" w:lastRow="0" w:firstColumn="0" w:lastColumn="0" w:oddVBand="0" w:evenVBand="0" w:oddHBand="0" w:evenHBand="0" w:firstRowFirstColumn="0" w:firstRowLastColumn="0" w:lastRowFirstColumn="0" w:lastRowLastColumn="0"/>
              <w:rPr>
                <w:rStyle w:val="Strong"/>
                <w:b w:val="0"/>
                <w:bCs w:val="0"/>
              </w:rPr>
            </w:pPr>
            <w:r w:rsidRPr="004E263D">
              <w:rPr>
                <w:rStyle w:val="Strong"/>
                <w:b w:val="0"/>
                <w:bCs w:val="0"/>
              </w:rPr>
              <w:t>0</w:t>
            </w:r>
          </w:p>
        </w:tc>
        <w:tc>
          <w:tcPr>
            <w:tcW w:w="708" w:type="pct"/>
          </w:tcPr>
          <w:p w14:paraId="32E32523" w14:textId="77777777" w:rsidR="0057796E" w:rsidRPr="004E263D" w:rsidRDefault="0057796E" w:rsidP="000708AF">
            <w:pPr>
              <w:pStyle w:val="Normal-table"/>
              <w:cnfStyle w:val="000000000000" w:firstRow="0" w:lastRow="0" w:firstColumn="0" w:lastColumn="0" w:oddVBand="0" w:evenVBand="0" w:oddHBand="0" w:evenHBand="0" w:firstRowFirstColumn="0" w:firstRowLastColumn="0" w:lastRowFirstColumn="0" w:lastRowLastColumn="0"/>
              <w:rPr>
                <w:rStyle w:val="Strong"/>
                <w:b w:val="0"/>
                <w:bCs w:val="0"/>
              </w:rPr>
            </w:pPr>
            <w:r w:rsidRPr="004E263D">
              <w:rPr>
                <w:rStyle w:val="Strong"/>
                <w:b w:val="0"/>
                <w:bCs w:val="0"/>
              </w:rPr>
              <w:t>0</w:t>
            </w:r>
          </w:p>
        </w:tc>
        <w:tc>
          <w:tcPr>
            <w:tcW w:w="719" w:type="pct"/>
          </w:tcPr>
          <w:p w14:paraId="4F1487E8" w14:textId="77777777" w:rsidR="0057796E" w:rsidRPr="004E263D" w:rsidRDefault="0057796E" w:rsidP="000708AF">
            <w:pPr>
              <w:pStyle w:val="Normal-table"/>
              <w:cnfStyle w:val="000000000000" w:firstRow="0" w:lastRow="0" w:firstColumn="0" w:lastColumn="0" w:oddVBand="0" w:evenVBand="0" w:oddHBand="0" w:evenHBand="0" w:firstRowFirstColumn="0" w:firstRowLastColumn="0" w:lastRowFirstColumn="0" w:lastRowLastColumn="0"/>
              <w:rPr>
                <w:rStyle w:val="Strong"/>
                <w:b w:val="0"/>
                <w:bCs w:val="0"/>
              </w:rPr>
            </w:pPr>
            <w:r w:rsidRPr="004E263D">
              <w:rPr>
                <w:rStyle w:val="Strong"/>
                <w:b w:val="0"/>
                <w:bCs w:val="0"/>
              </w:rPr>
              <w:t>0</w:t>
            </w:r>
          </w:p>
        </w:tc>
        <w:tc>
          <w:tcPr>
            <w:tcW w:w="711" w:type="pct"/>
          </w:tcPr>
          <w:p w14:paraId="61AEA11A" w14:textId="77777777" w:rsidR="0057796E" w:rsidRPr="004E263D" w:rsidRDefault="0057796E" w:rsidP="000708AF">
            <w:pPr>
              <w:pStyle w:val="Normal-table"/>
              <w:cnfStyle w:val="000000000000" w:firstRow="0" w:lastRow="0" w:firstColumn="0" w:lastColumn="0" w:oddVBand="0" w:evenVBand="0" w:oddHBand="0" w:evenHBand="0" w:firstRowFirstColumn="0" w:firstRowLastColumn="0" w:lastRowFirstColumn="0" w:lastRowLastColumn="0"/>
              <w:rPr>
                <w:rStyle w:val="Strong"/>
                <w:b w:val="0"/>
                <w:bCs w:val="0"/>
              </w:rPr>
            </w:pPr>
            <w:r w:rsidRPr="004E263D">
              <w:rPr>
                <w:rStyle w:val="Strong"/>
                <w:b w:val="0"/>
                <w:bCs w:val="0"/>
              </w:rPr>
              <w:t>0</w:t>
            </w:r>
          </w:p>
        </w:tc>
        <w:tc>
          <w:tcPr>
            <w:tcW w:w="709" w:type="pct"/>
          </w:tcPr>
          <w:p w14:paraId="036749C7" w14:textId="77777777" w:rsidR="0057796E" w:rsidRPr="004E263D" w:rsidRDefault="0057796E" w:rsidP="000708AF">
            <w:pPr>
              <w:pStyle w:val="Normal-table"/>
              <w:cnfStyle w:val="000000000000" w:firstRow="0" w:lastRow="0" w:firstColumn="0" w:lastColumn="0" w:oddVBand="0" w:evenVBand="0" w:oddHBand="0" w:evenHBand="0" w:firstRowFirstColumn="0" w:firstRowLastColumn="0" w:lastRowFirstColumn="0" w:lastRowLastColumn="0"/>
              <w:rPr>
                <w:rStyle w:val="Strong"/>
                <w:b w:val="0"/>
                <w:bCs w:val="0"/>
              </w:rPr>
            </w:pPr>
            <w:r w:rsidRPr="004E263D">
              <w:rPr>
                <w:rStyle w:val="Strong"/>
                <w:b w:val="0"/>
                <w:bCs w:val="0"/>
              </w:rPr>
              <w:t>1</w:t>
            </w:r>
          </w:p>
        </w:tc>
      </w:tr>
      <w:tr w:rsidR="0057796E" w14:paraId="6F61B943" w14:textId="77777777" w:rsidTr="00A7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pct"/>
          </w:tcPr>
          <w:p w14:paraId="2A5E3B83" w14:textId="77777777" w:rsidR="0057796E" w:rsidRPr="004E263D" w:rsidRDefault="0057796E" w:rsidP="000708AF">
            <w:pPr>
              <w:pStyle w:val="Normal-table"/>
              <w:rPr>
                <w:rStyle w:val="Strong"/>
                <w:b/>
                <w:bCs/>
              </w:rPr>
            </w:pPr>
            <w:r w:rsidRPr="004E263D">
              <w:rPr>
                <w:rStyle w:val="Strong"/>
              </w:rPr>
              <w:t>2015–16</w:t>
            </w:r>
          </w:p>
        </w:tc>
        <w:tc>
          <w:tcPr>
            <w:tcW w:w="713" w:type="pct"/>
          </w:tcPr>
          <w:p w14:paraId="7C1DD585" w14:textId="77777777" w:rsidR="0057796E" w:rsidRPr="004E263D" w:rsidRDefault="0057796E" w:rsidP="000708AF">
            <w:pPr>
              <w:pStyle w:val="Normal-table"/>
              <w:cnfStyle w:val="000000100000" w:firstRow="0" w:lastRow="0" w:firstColumn="0" w:lastColumn="0" w:oddVBand="0" w:evenVBand="0" w:oddHBand="1" w:evenHBand="0" w:firstRowFirstColumn="0" w:firstRowLastColumn="0" w:lastRowFirstColumn="0" w:lastRowLastColumn="0"/>
              <w:rPr>
                <w:rStyle w:val="Strong"/>
                <w:b w:val="0"/>
                <w:bCs w:val="0"/>
              </w:rPr>
            </w:pPr>
            <w:r w:rsidRPr="004E263D">
              <w:rPr>
                <w:rStyle w:val="Strong"/>
                <w:b w:val="0"/>
                <w:bCs w:val="0"/>
              </w:rPr>
              <w:t>8</w:t>
            </w:r>
          </w:p>
        </w:tc>
        <w:tc>
          <w:tcPr>
            <w:tcW w:w="722" w:type="pct"/>
          </w:tcPr>
          <w:p w14:paraId="1F9553B8" w14:textId="77777777" w:rsidR="0057796E" w:rsidRPr="004E263D" w:rsidRDefault="0057796E" w:rsidP="000708AF">
            <w:pPr>
              <w:pStyle w:val="Normal-table"/>
              <w:cnfStyle w:val="000000100000" w:firstRow="0" w:lastRow="0" w:firstColumn="0" w:lastColumn="0" w:oddVBand="0" w:evenVBand="0" w:oddHBand="1" w:evenHBand="0" w:firstRowFirstColumn="0" w:firstRowLastColumn="0" w:lastRowFirstColumn="0" w:lastRowLastColumn="0"/>
              <w:rPr>
                <w:rStyle w:val="Strong"/>
                <w:b w:val="0"/>
                <w:bCs w:val="0"/>
              </w:rPr>
            </w:pPr>
            <w:r w:rsidRPr="004E263D">
              <w:rPr>
                <w:rStyle w:val="Strong"/>
                <w:b w:val="0"/>
                <w:bCs w:val="0"/>
              </w:rPr>
              <w:t>4</w:t>
            </w:r>
          </w:p>
        </w:tc>
        <w:tc>
          <w:tcPr>
            <w:tcW w:w="708" w:type="pct"/>
          </w:tcPr>
          <w:p w14:paraId="3EB96BD2" w14:textId="77777777" w:rsidR="0057796E" w:rsidRPr="004E263D" w:rsidRDefault="0057796E" w:rsidP="000708AF">
            <w:pPr>
              <w:pStyle w:val="Normal-table"/>
              <w:cnfStyle w:val="000000100000" w:firstRow="0" w:lastRow="0" w:firstColumn="0" w:lastColumn="0" w:oddVBand="0" w:evenVBand="0" w:oddHBand="1" w:evenHBand="0" w:firstRowFirstColumn="0" w:firstRowLastColumn="0" w:lastRowFirstColumn="0" w:lastRowLastColumn="0"/>
              <w:rPr>
                <w:rStyle w:val="Strong"/>
                <w:b w:val="0"/>
                <w:bCs w:val="0"/>
              </w:rPr>
            </w:pPr>
            <w:r w:rsidRPr="004E263D">
              <w:rPr>
                <w:rStyle w:val="Strong"/>
                <w:b w:val="0"/>
                <w:bCs w:val="0"/>
              </w:rPr>
              <w:t>0</w:t>
            </w:r>
          </w:p>
        </w:tc>
        <w:tc>
          <w:tcPr>
            <w:tcW w:w="719" w:type="pct"/>
          </w:tcPr>
          <w:p w14:paraId="6A6A370C" w14:textId="77777777" w:rsidR="0057796E" w:rsidRPr="004E263D" w:rsidRDefault="0057796E" w:rsidP="000708AF">
            <w:pPr>
              <w:pStyle w:val="Normal-table"/>
              <w:cnfStyle w:val="000000100000" w:firstRow="0" w:lastRow="0" w:firstColumn="0" w:lastColumn="0" w:oddVBand="0" w:evenVBand="0" w:oddHBand="1" w:evenHBand="0" w:firstRowFirstColumn="0" w:firstRowLastColumn="0" w:lastRowFirstColumn="0" w:lastRowLastColumn="0"/>
              <w:rPr>
                <w:rStyle w:val="Strong"/>
                <w:b w:val="0"/>
                <w:bCs w:val="0"/>
              </w:rPr>
            </w:pPr>
            <w:r w:rsidRPr="004E263D">
              <w:rPr>
                <w:rStyle w:val="Strong"/>
                <w:b w:val="0"/>
                <w:bCs w:val="0"/>
              </w:rPr>
              <w:t>1</w:t>
            </w:r>
          </w:p>
        </w:tc>
        <w:tc>
          <w:tcPr>
            <w:tcW w:w="711" w:type="pct"/>
          </w:tcPr>
          <w:p w14:paraId="07CEA672" w14:textId="77777777" w:rsidR="0057796E" w:rsidRPr="004E263D" w:rsidRDefault="0057796E" w:rsidP="000708AF">
            <w:pPr>
              <w:pStyle w:val="Normal-table"/>
              <w:cnfStyle w:val="000000100000" w:firstRow="0" w:lastRow="0" w:firstColumn="0" w:lastColumn="0" w:oddVBand="0" w:evenVBand="0" w:oddHBand="1" w:evenHBand="0" w:firstRowFirstColumn="0" w:firstRowLastColumn="0" w:lastRowFirstColumn="0" w:lastRowLastColumn="0"/>
              <w:rPr>
                <w:rStyle w:val="Strong"/>
                <w:b w:val="0"/>
                <w:bCs w:val="0"/>
              </w:rPr>
            </w:pPr>
            <w:r w:rsidRPr="004E263D">
              <w:rPr>
                <w:rStyle w:val="Strong"/>
                <w:b w:val="0"/>
                <w:bCs w:val="0"/>
              </w:rPr>
              <w:t>0</w:t>
            </w:r>
          </w:p>
        </w:tc>
        <w:tc>
          <w:tcPr>
            <w:tcW w:w="709" w:type="pct"/>
          </w:tcPr>
          <w:p w14:paraId="1DD42A26" w14:textId="77777777" w:rsidR="0057796E" w:rsidRPr="004E263D" w:rsidRDefault="0057796E" w:rsidP="000708AF">
            <w:pPr>
              <w:pStyle w:val="Normal-table"/>
              <w:cnfStyle w:val="000000100000" w:firstRow="0" w:lastRow="0" w:firstColumn="0" w:lastColumn="0" w:oddVBand="0" w:evenVBand="0" w:oddHBand="1" w:evenHBand="0" w:firstRowFirstColumn="0" w:firstRowLastColumn="0" w:lastRowFirstColumn="0" w:lastRowLastColumn="0"/>
              <w:rPr>
                <w:rStyle w:val="Strong"/>
                <w:b w:val="0"/>
                <w:bCs w:val="0"/>
              </w:rPr>
            </w:pPr>
            <w:r w:rsidRPr="004E263D">
              <w:rPr>
                <w:rStyle w:val="Strong"/>
                <w:b w:val="0"/>
                <w:bCs w:val="0"/>
              </w:rPr>
              <w:t>13</w:t>
            </w:r>
          </w:p>
        </w:tc>
      </w:tr>
      <w:tr w:rsidR="0057796E" w14:paraId="1A24573C" w14:textId="77777777" w:rsidTr="00A74536">
        <w:tc>
          <w:tcPr>
            <w:cnfStyle w:val="001000000000" w:firstRow="0" w:lastRow="0" w:firstColumn="1" w:lastColumn="0" w:oddVBand="0" w:evenVBand="0" w:oddHBand="0" w:evenHBand="0" w:firstRowFirstColumn="0" w:firstRowLastColumn="0" w:lastRowFirstColumn="0" w:lastRowLastColumn="0"/>
            <w:tcW w:w="718" w:type="pct"/>
          </w:tcPr>
          <w:p w14:paraId="130D27CB" w14:textId="77777777" w:rsidR="0057796E" w:rsidRPr="004E263D" w:rsidRDefault="0057796E" w:rsidP="000708AF">
            <w:pPr>
              <w:pStyle w:val="Normal-table"/>
              <w:rPr>
                <w:rStyle w:val="Strong"/>
                <w:b/>
                <w:bCs/>
              </w:rPr>
            </w:pPr>
            <w:r w:rsidRPr="004E263D">
              <w:rPr>
                <w:rStyle w:val="Strong"/>
              </w:rPr>
              <w:t>2016–17</w:t>
            </w:r>
          </w:p>
        </w:tc>
        <w:tc>
          <w:tcPr>
            <w:tcW w:w="713" w:type="pct"/>
          </w:tcPr>
          <w:p w14:paraId="7ABC5250" w14:textId="77777777" w:rsidR="0057796E" w:rsidRPr="004E263D" w:rsidRDefault="0057796E" w:rsidP="000708AF">
            <w:pPr>
              <w:pStyle w:val="Normal-table"/>
              <w:cnfStyle w:val="000000000000" w:firstRow="0" w:lastRow="0" w:firstColumn="0" w:lastColumn="0" w:oddVBand="0" w:evenVBand="0" w:oddHBand="0" w:evenHBand="0" w:firstRowFirstColumn="0" w:firstRowLastColumn="0" w:lastRowFirstColumn="0" w:lastRowLastColumn="0"/>
              <w:rPr>
                <w:rStyle w:val="Strong"/>
                <w:b w:val="0"/>
                <w:bCs w:val="0"/>
              </w:rPr>
            </w:pPr>
            <w:r w:rsidRPr="004E263D">
              <w:rPr>
                <w:rStyle w:val="Strong"/>
                <w:b w:val="0"/>
                <w:bCs w:val="0"/>
              </w:rPr>
              <w:t>6</w:t>
            </w:r>
          </w:p>
        </w:tc>
        <w:tc>
          <w:tcPr>
            <w:tcW w:w="722" w:type="pct"/>
          </w:tcPr>
          <w:p w14:paraId="25AEB06A" w14:textId="77777777" w:rsidR="0057796E" w:rsidRPr="004E263D" w:rsidRDefault="0057796E" w:rsidP="000708AF">
            <w:pPr>
              <w:pStyle w:val="Normal-table"/>
              <w:cnfStyle w:val="000000000000" w:firstRow="0" w:lastRow="0" w:firstColumn="0" w:lastColumn="0" w:oddVBand="0" w:evenVBand="0" w:oddHBand="0" w:evenHBand="0" w:firstRowFirstColumn="0" w:firstRowLastColumn="0" w:lastRowFirstColumn="0" w:lastRowLastColumn="0"/>
              <w:rPr>
                <w:rStyle w:val="Strong"/>
                <w:b w:val="0"/>
                <w:bCs w:val="0"/>
              </w:rPr>
            </w:pPr>
            <w:r w:rsidRPr="004E263D">
              <w:rPr>
                <w:rStyle w:val="Strong"/>
                <w:b w:val="0"/>
                <w:bCs w:val="0"/>
              </w:rPr>
              <w:t>3</w:t>
            </w:r>
          </w:p>
        </w:tc>
        <w:tc>
          <w:tcPr>
            <w:tcW w:w="708" w:type="pct"/>
          </w:tcPr>
          <w:p w14:paraId="39B294F8" w14:textId="77777777" w:rsidR="0057796E" w:rsidRPr="004E263D" w:rsidRDefault="0057796E" w:rsidP="000708AF">
            <w:pPr>
              <w:pStyle w:val="Normal-table"/>
              <w:cnfStyle w:val="000000000000" w:firstRow="0" w:lastRow="0" w:firstColumn="0" w:lastColumn="0" w:oddVBand="0" w:evenVBand="0" w:oddHBand="0" w:evenHBand="0" w:firstRowFirstColumn="0" w:firstRowLastColumn="0" w:lastRowFirstColumn="0" w:lastRowLastColumn="0"/>
              <w:rPr>
                <w:rStyle w:val="Strong"/>
                <w:b w:val="0"/>
                <w:bCs w:val="0"/>
              </w:rPr>
            </w:pPr>
            <w:r w:rsidRPr="004E263D">
              <w:rPr>
                <w:rStyle w:val="Strong"/>
                <w:b w:val="0"/>
                <w:bCs w:val="0"/>
              </w:rPr>
              <w:t>1</w:t>
            </w:r>
          </w:p>
        </w:tc>
        <w:tc>
          <w:tcPr>
            <w:tcW w:w="719" w:type="pct"/>
          </w:tcPr>
          <w:p w14:paraId="1309CC5B" w14:textId="77777777" w:rsidR="0057796E" w:rsidRPr="004E263D" w:rsidRDefault="0057796E" w:rsidP="000708AF">
            <w:pPr>
              <w:pStyle w:val="Normal-table"/>
              <w:cnfStyle w:val="000000000000" w:firstRow="0" w:lastRow="0" w:firstColumn="0" w:lastColumn="0" w:oddVBand="0" w:evenVBand="0" w:oddHBand="0" w:evenHBand="0" w:firstRowFirstColumn="0" w:firstRowLastColumn="0" w:lastRowFirstColumn="0" w:lastRowLastColumn="0"/>
              <w:rPr>
                <w:rStyle w:val="Strong"/>
                <w:b w:val="0"/>
                <w:bCs w:val="0"/>
              </w:rPr>
            </w:pPr>
            <w:r w:rsidRPr="004E263D">
              <w:rPr>
                <w:rStyle w:val="Strong"/>
                <w:b w:val="0"/>
                <w:bCs w:val="0"/>
              </w:rPr>
              <w:t>1</w:t>
            </w:r>
          </w:p>
        </w:tc>
        <w:tc>
          <w:tcPr>
            <w:tcW w:w="711" w:type="pct"/>
          </w:tcPr>
          <w:p w14:paraId="79F185DD" w14:textId="77777777" w:rsidR="0057796E" w:rsidRPr="004E263D" w:rsidRDefault="0057796E" w:rsidP="000708AF">
            <w:pPr>
              <w:pStyle w:val="Normal-table"/>
              <w:cnfStyle w:val="000000000000" w:firstRow="0" w:lastRow="0" w:firstColumn="0" w:lastColumn="0" w:oddVBand="0" w:evenVBand="0" w:oddHBand="0" w:evenHBand="0" w:firstRowFirstColumn="0" w:firstRowLastColumn="0" w:lastRowFirstColumn="0" w:lastRowLastColumn="0"/>
              <w:rPr>
                <w:rStyle w:val="Strong"/>
                <w:b w:val="0"/>
                <w:bCs w:val="0"/>
              </w:rPr>
            </w:pPr>
            <w:r w:rsidRPr="004E263D">
              <w:rPr>
                <w:rStyle w:val="Strong"/>
                <w:b w:val="0"/>
                <w:bCs w:val="0"/>
              </w:rPr>
              <w:t>0</w:t>
            </w:r>
          </w:p>
        </w:tc>
        <w:tc>
          <w:tcPr>
            <w:tcW w:w="709" w:type="pct"/>
          </w:tcPr>
          <w:p w14:paraId="41A96213" w14:textId="77777777" w:rsidR="0057796E" w:rsidRPr="004E263D" w:rsidRDefault="0057796E" w:rsidP="000708AF">
            <w:pPr>
              <w:pStyle w:val="Normal-table"/>
              <w:cnfStyle w:val="000000000000" w:firstRow="0" w:lastRow="0" w:firstColumn="0" w:lastColumn="0" w:oddVBand="0" w:evenVBand="0" w:oddHBand="0" w:evenHBand="0" w:firstRowFirstColumn="0" w:firstRowLastColumn="0" w:lastRowFirstColumn="0" w:lastRowLastColumn="0"/>
              <w:rPr>
                <w:rStyle w:val="Strong"/>
                <w:b w:val="0"/>
                <w:bCs w:val="0"/>
              </w:rPr>
            </w:pPr>
            <w:r w:rsidRPr="004E263D">
              <w:rPr>
                <w:rStyle w:val="Strong"/>
                <w:b w:val="0"/>
                <w:bCs w:val="0"/>
              </w:rPr>
              <w:t>11</w:t>
            </w:r>
          </w:p>
        </w:tc>
      </w:tr>
      <w:tr w:rsidR="0057796E" w14:paraId="51821DE3" w14:textId="77777777" w:rsidTr="00A7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pct"/>
          </w:tcPr>
          <w:p w14:paraId="7F335496" w14:textId="77777777" w:rsidR="0057796E" w:rsidRPr="004E263D" w:rsidRDefault="0057796E" w:rsidP="000708AF">
            <w:pPr>
              <w:pStyle w:val="Normal-table"/>
              <w:rPr>
                <w:rStyle w:val="Strong"/>
                <w:b/>
                <w:bCs/>
              </w:rPr>
            </w:pPr>
            <w:r w:rsidRPr="004E263D">
              <w:rPr>
                <w:rStyle w:val="Strong"/>
              </w:rPr>
              <w:t>2017–18</w:t>
            </w:r>
          </w:p>
        </w:tc>
        <w:tc>
          <w:tcPr>
            <w:tcW w:w="713" w:type="pct"/>
          </w:tcPr>
          <w:p w14:paraId="6F40FCBE" w14:textId="77777777" w:rsidR="0057796E" w:rsidRPr="004E263D" w:rsidRDefault="0057796E" w:rsidP="000708AF">
            <w:pPr>
              <w:pStyle w:val="Normal-table"/>
              <w:cnfStyle w:val="000000100000" w:firstRow="0" w:lastRow="0" w:firstColumn="0" w:lastColumn="0" w:oddVBand="0" w:evenVBand="0" w:oddHBand="1" w:evenHBand="0" w:firstRowFirstColumn="0" w:firstRowLastColumn="0" w:lastRowFirstColumn="0" w:lastRowLastColumn="0"/>
              <w:rPr>
                <w:rStyle w:val="Strong"/>
                <w:b w:val="0"/>
                <w:bCs w:val="0"/>
              </w:rPr>
            </w:pPr>
            <w:r w:rsidRPr="004E263D">
              <w:rPr>
                <w:rStyle w:val="Strong"/>
                <w:b w:val="0"/>
                <w:bCs w:val="0"/>
              </w:rPr>
              <w:t>6</w:t>
            </w:r>
          </w:p>
        </w:tc>
        <w:tc>
          <w:tcPr>
            <w:tcW w:w="722" w:type="pct"/>
          </w:tcPr>
          <w:p w14:paraId="2B2D07C6" w14:textId="77777777" w:rsidR="0057796E" w:rsidRPr="004E263D" w:rsidRDefault="0057796E" w:rsidP="000708AF">
            <w:pPr>
              <w:pStyle w:val="Normal-table"/>
              <w:cnfStyle w:val="000000100000" w:firstRow="0" w:lastRow="0" w:firstColumn="0" w:lastColumn="0" w:oddVBand="0" w:evenVBand="0" w:oddHBand="1" w:evenHBand="0" w:firstRowFirstColumn="0" w:firstRowLastColumn="0" w:lastRowFirstColumn="0" w:lastRowLastColumn="0"/>
              <w:rPr>
                <w:rStyle w:val="Strong"/>
                <w:b w:val="0"/>
                <w:bCs w:val="0"/>
              </w:rPr>
            </w:pPr>
            <w:r w:rsidRPr="004E263D">
              <w:rPr>
                <w:rStyle w:val="Strong"/>
                <w:b w:val="0"/>
                <w:bCs w:val="0"/>
              </w:rPr>
              <w:t>1</w:t>
            </w:r>
          </w:p>
        </w:tc>
        <w:tc>
          <w:tcPr>
            <w:tcW w:w="708" w:type="pct"/>
          </w:tcPr>
          <w:p w14:paraId="79900F6B" w14:textId="77777777" w:rsidR="0057796E" w:rsidRPr="004E263D" w:rsidRDefault="0057796E" w:rsidP="000708AF">
            <w:pPr>
              <w:pStyle w:val="Normal-table"/>
              <w:cnfStyle w:val="000000100000" w:firstRow="0" w:lastRow="0" w:firstColumn="0" w:lastColumn="0" w:oddVBand="0" w:evenVBand="0" w:oddHBand="1" w:evenHBand="0" w:firstRowFirstColumn="0" w:firstRowLastColumn="0" w:lastRowFirstColumn="0" w:lastRowLastColumn="0"/>
              <w:rPr>
                <w:rStyle w:val="Strong"/>
                <w:b w:val="0"/>
                <w:bCs w:val="0"/>
              </w:rPr>
            </w:pPr>
            <w:r w:rsidRPr="004E263D">
              <w:rPr>
                <w:rStyle w:val="Strong"/>
                <w:b w:val="0"/>
                <w:bCs w:val="0"/>
              </w:rPr>
              <w:t>0</w:t>
            </w:r>
          </w:p>
        </w:tc>
        <w:tc>
          <w:tcPr>
            <w:tcW w:w="719" w:type="pct"/>
          </w:tcPr>
          <w:p w14:paraId="26AC6991" w14:textId="77777777" w:rsidR="0057796E" w:rsidRPr="004E263D" w:rsidRDefault="0057796E" w:rsidP="000708AF">
            <w:pPr>
              <w:pStyle w:val="Normal-table"/>
              <w:cnfStyle w:val="000000100000" w:firstRow="0" w:lastRow="0" w:firstColumn="0" w:lastColumn="0" w:oddVBand="0" w:evenVBand="0" w:oddHBand="1" w:evenHBand="0" w:firstRowFirstColumn="0" w:firstRowLastColumn="0" w:lastRowFirstColumn="0" w:lastRowLastColumn="0"/>
              <w:rPr>
                <w:rStyle w:val="Strong"/>
                <w:b w:val="0"/>
                <w:bCs w:val="0"/>
              </w:rPr>
            </w:pPr>
            <w:r w:rsidRPr="004E263D">
              <w:rPr>
                <w:rStyle w:val="Strong"/>
                <w:b w:val="0"/>
                <w:bCs w:val="0"/>
              </w:rPr>
              <w:t>0</w:t>
            </w:r>
          </w:p>
        </w:tc>
        <w:tc>
          <w:tcPr>
            <w:tcW w:w="711" w:type="pct"/>
          </w:tcPr>
          <w:p w14:paraId="3F5AB685" w14:textId="77777777" w:rsidR="0057796E" w:rsidRPr="004E263D" w:rsidRDefault="0057796E" w:rsidP="000708AF">
            <w:pPr>
              <w:pStyle w:val="Normal-table"/>
              <w:cnfStyle w:val="000000100000" w:firstRow="0" w:lastRow="0" w:firstColumn="0" w:lastColumn="0" w:oddVBand="0" w:evenVBand="0" w:oddHBand="1" w:evenHBand="0" w:firstRowFirstColumn="0" w:firstRowLastColumn="0" w:lastRowFirstColumn="0" w:lastRowLastColumn="0"/>
              <w:rPr>
                <w:rStyle w:val="Strong"/>
                <w:b w:val="0"/>
                <w:bCs w:val="0"/>
              </w:rPr>
            </w:pPr>
            <w:r w:rsidRPr="004E263D">
              <w:rPr>
                <w:rStyle w:val="Strong"/>
                <w:b w:val="0"/>
                <w:bCs w:val="0"/>
              </w:rPr>
              <w:t>1</w:t>
            </w:r>
          </w:p>
        </w:tc>
        <w:tc>
          <w:tcPr>
            <w:tcW w:w="709" w:type="pct"/>
          </w:tcPr>
          <w:p w14:paraId="1618D3CD" w14:textId="77777777" w:rsidR="0057796E" w:rsidRPr="004E263D" w:rsidRDefault="0057796E" w:rsidP="000708AF">
            <w:pPr>
              <w:pStyle w:val="Normal-table"/>
              <w:cnfStyle w:val="000000100000" w:firstRow="0" w:lastRow="0" w:firstColumn="0" w:lastColumn="0" w:oddVBand="0" w:evenVBand="0" w:oddHBand="1" w:evenHBand="0" w:firstRowFirstColumn="0" w:firstRowLastColumn="0" w:lastRowFirstColumn="0" w:lastRowLastColumn="0"/>
              <w:rPr>
                <w:rStyle w:val="Strong"/>
                <w:b w:val="0"/>
                <w:bCs w:val="0"/>
              </w:rPr>
            </w:pPr>
            <w:r w:rsidRPr="004E263D">
              <w:rPr>
                <w:rStyle w:val="Strong"/>
                <w:b w:val="0"/>
                <w:bCs w:val="0"/>
              </w:rPr>
              <w:t>8</w:t>
            </w:r>
          </w:p>
        </w:tc>
      </w:tr>
      <w:tr w:rsidR="0057796E" w14:paraId="5C981602" w14:textId="77777777" w:rsidTr="00A74536">
        <w:tc>
          <w:tcPr>
            <w:cnfStyle w:val="001000000000" w:firstRow="0" w:lastRow="0" w:firstColumn="1" w:lastColumn="0" w:oddVBand="0" w:evenVBand="0" w:oddHBand="0" w:evenHBand="0" w:firstRowFirstColumn="0" w:firstRowLastColumn="0" w:lastRowFirstColumn="0" w:lastRowLastColumn="0"/>
            <w:tcW w:w="718" w:type="pct"/>
          </w:tcPr>
          <w:p w14:paraId="07C17312" w14:textId="77777777" w:rsidR="0057796E" w:rsidRPr="004E263D" w:rsidRDefault="0057796E" w:rsidP="000708AF">
            <w:pPr>
              <w:pStyle w:val="Normal-table"/>
              <w:rPr>
                <w:rStyle w:val="Strong"/>
                <w:b/>
                <w:bCs/>
              </w:rPr>
            </w:pPr>
            <w:r w:rsidRPr="004E263D">
              <w:rPr>
                <w:rStyle w:val="Strong"/>
              </w:rPr>
              <w:t>2018–19</w:t>
            </w:r>
          </w:p>
        </w:tc>
        <w:tc>
          <w:tcPr>
            <w:tcW w:w="713" w:type="pct"/>
          </w:tcPr>
          <w:p w14:paraId="236838B5" w14:textId="77777777" w:rsidR="0057796E" w:rsidRPr="004E263D" w:rsidRDefault="0057796E" w:rsidP="000708AF">
            <w:pPr>
              <w:pStyle w:val="Normal-table"/>
              <w:cnfStyle w:val="000000000000" w:firstRow="0" w:lastRow="0" w:firstColumn="0" w:lastColumn="0" w:oddVBand="0" w:evenVBand="0" w:oddHBand="0" w:evenHBand="0" w:firstRowFirstColumn="0" w:firstRowLastColumn="0" w:lastRowFirstColumn="0" w:lastRowLastColumn="0"/>
              <w:rPr>
                <w:rStyle w:val="Strong"/>
                <w:b w:val="0"/>
                <w:bCs w:val="0"/>
              </w:rPr>
            </w:pPr>
            <w:r w:rsidRPr="004E263D">
              <w:rPr>
                <w:rStyle w:val="Strong"/>
                <w:b w:val="0"/>
                <w:bCs w:val="0"/>
              </w:rPr>
              <w:t>2</w:t>
            </w:r>
          </w:p>
        </w:tc>
        <w:tc>
          <w:tcPr>
            <w:tcW w:w="722" w:type="pct"/>
          </w:tcPr>
          <w:p w14:paraId="70542FF3" w14:textId="77777777" w:rsidR="0057796E" w:rsidRPr="004E263D" w:rsidRDefault="0057796E" w:rsidP="000708AF">
            <w:pPr>
              <w:pStyle w:val="Normal-table"/>
              <w:cnfStyle w:val="000000000000" w:firstRow="0" w:lastRow="0" w:firstColumn="0" w:lastColumn="0" w:oddVBand="0" w:evenVBand="0" w:oddHBand="0" w:evenHBand="0" w:firstRowFirstColumn="0" w:firstRowLastColumn="0" w:lastRowFirstColumn="0" w:lastRowLastColumn="0"/>
              <w:rPr>
                <w:rStyle w:val="Strong"/>
                <w:b w:val="0"/>
                <w:bCs w:val="0"/>
              </w:rPr>
            </w:pPr>
            <w:r w:rsidRPr="004E263D">
              <w:rPr>
                <w:rStyle w:val="Strong"/>
                <w:b w:val="0"/>
                <w:bCs w:val="0"/>
              </w:rPr>
              <w:t>1</w:t>
            </w:r>
          </w:p>
        </w:tc>
        <w:tc>
          <w:tcPr>
            <w:tcW w:w="708" w:type="pct"/>
          </w:tcPr>
          <w:p w14:paraId="68C05FF5" w14:textId="77777777" w:rsidR="0057796E" w:rsidRPr="004E263D" w:rsidRDefault="0057796E" w:rsidP="000708AF">
            <w:pPr>
              <w:pStyle w:val="Normal-table"/>
              <w:cnfStyle w:val="000000000000" w:firstRow="0" w:lastRow="0" w:firstColumn="0" w:lastColumn="0" w:oddVBand="0" w:evenVBand="0" w:oddHBand="0" w:evenHBand="0" w:firstRowFirstColumn="0" w:firstRowLastColumn="0" w:lastRowFirstColumn="0" w:lastRowLastColumn="0"/>
              <w:rPr>
                <w:rStyle w:val="Strong"/>
                <w:b w:val="0"/>
                <w:bCs w:val="0"/>
              </w:rPr>
            </w:pPr>
            <w:r w:rsidRPr="004E263D">
              <w:rPr>
                <w:rStyle w:val="Strong"/>
                <w:b w:val="0"/>
                <w:bCs w:val="0"/>
              </w:rPr>
              <w:t>2</w:t>
            </w:r>
          </w:p>
        </w:tc>
        <w:tc>
          <w:tcPr>
            <w:tcW w:w="719" w:type="pct"/>
          </w:tcPr>
          <w:p w14:paraId="372E1C63" w14:textId="77777777" w:rsidR="0057796E" w:rsidRPr="004E263D" w:rsidRDefault="0057796E" w:rsidP="000708AF">
            <w:pPr>
              <w:pStyle w:val="Normal-table"/>
              <w:cnfStyle w:val="000000000000" w:firstRow="0" w:lastRow="0" w:firstColumn="0" w:lastColumn="0" w:oddVBand="0" w:evenVBand="0" w:oddHBand="0" w:evenHBand="0" w:firstRowFirstColumn="0" w:firstRowLastColumn="0" w:lastRowFirstColumn="0" w:lastRowLastColumn="0"/>
              <w:rPr>
                <w:rStyle w:val="Strong"/>
                <w:b w:val="0"/>
                <w:bCs w:val="0"/>
              </w:rPr>
            </w:pPr>
            <w:r w:rsidRPr="004E263D">
              <w:rPr>
                <w:rStyle w:val="Strong"/>
                <w:b w:val="0"/>
                <w:bCs w:val="0"/>
              </w:rPr>
              <w:t>0</w:t>
            </w:r>
          </w:p>
        </w:tc>
        <w:tc>
          <w:tcPr>
            <w:tcW w:w="711" w:type="pct"/>
          </w:tcPr>
          <w:p w14:paraId="7F03C865" w14:textId="77777777" w:rsidR="0057796E" w:rsidRPr="004E263D" w:rsidRDefault="0057796E" w:rsidP="000708AF">
            <w:pPr>
              <w:pStyle w:val="Normal-table"/>
              <w:cnfStyle w:val="000000000000" w:firstRow="0" w:lastRow="0" w:firstColumn="0" w:lastColumn="0" w:oddVBand="0" w:evenVBand="0" w:oddHBand="0" w:evenHBand="0" w:firstRowFirstColumn="0" w:firstRowLastColumn="0" w:lastRowFirstColumn="0" w:lastRowLastColumn="0"/>
              <w:rPr>
                <w:rStyle w:val="Strong"/>
                <w:b w:val="0"/>
                <w:bCs w:val="0"/>
              </w:rPr>
            </w:pPr>
            <w:r w:rsidRPr="004E263D">
              <w:rPr>
                <w:rStyle w:val="Strong"/>
                <w:b w:val="0"/>
                <w:bCs w:val="0"/>
              </w:rPr>
              <w:t>0</w:t>
            </w:r>
          </w:p>
        </w:tc>
        <w:tc>
          <w:tcPr>
            <w:tcW w:w="709" w:type="pct"/>
          </w:tcPr>
          <w:p w14:paraId="4F2BC101" w14:textId="77777777" w:rsidR="0057796E" w:rsidRPr="004E263D" w:rsidRDefault="0057796E" w:rsidP="000708AF">
            <w:pPr>
              <w:pStyle w:val="Normal-table"/>
              <w:cnfStyle w:val="000000000000" w:firstRow="0" w:lastRow="0" w:firstColumn="0" w:lastColumn="0" w:oddVBand="0" w:evenVBand="0" w:oddHBand="0" w:evenHBand="0" w:firstRowFirstColumn="0" w:firstRowLastColumn="0" w:lastRowFirstColumn="0" w:lastRowLastColumn="0"/>
              <w:rPr>
                <w:rStyle w:val="Strong"/>
                <w:b w:val="0"/>
                <w:bCs w:val="0"/>
              </w:rPr>
            </w:pPr>
            <w:r w:rsidRPr="004E263D">
              <w:rPr>
                <w:rStyle w:val="Strong"/>
                <w:b w:val="0"/>
                <w:bCs w:val="0"/>
              </w:rPr>
              <w:t>5</w:t>
            </w:r>
          </w:p>
        </w:tc>
      </w:tr>
      <w:tr w:rsidR="0057796E" w14:paraId="5296D589" w14:textId="77777777" w:rsidTr="00A7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pct"/>
          </w:tcPr>
          <w:p w14:paraId="519131FA" w14:textId="77777777" w:rsidR="0057796E" w:rsidRPr="004E263D" w:rsidRDefault="0057796E" w:rsidP="000708AF">
            <w:pPr>
              <w:pStyle w:val="Normal-table"/>
              <w:rPr>
                <w:rStyle w:val="Strong"/>
                <w:b/>
                <w:bCs/>
              </w:rPr>
            </w:pPr>
            <w:r w:rsidRPr="004E263D">
              <w:rPr>
                <w:rStyle w:val="Strong"/>
              </w:rPr>
              <w:t>2019–20</w:t>
            </w:r>
          </w:p>
        </w:tc>
        <w:tc>
          <w:tcPr>
            <w:tcW w:w="713" w:type="pct"/>
          </w:tcPr>
          <w:p w14:paraId="4A372933" w14:textId="77777777" w:rsidR="0057796E" w:rsidRPr="004E263D" w:rsidRDefault="0057796E" w:rsidP="000708AF">
            <w:pPr>
              <w:pStyle w:val="Normal-table"/>
              <w:cnfStyle w:val="000000100000" w:firstRow="0" w:lastRow="0" w:firstColumn="0" w:lastColumn="0" w:oddVBand="0" w:evenVBand="0" w:oddHBand="1" w:evenHBand="0" w:firstRowFirstColumn="0" w:firstRowLastColumn="0" w:lastRowFirstColumn="0" w:lastRowLastColumn="0"/>
              <w:rPr>
                <w:rStyle w:val="Strong"/>
                <w:b w:val="0"/>
                <w:bCs w:val="0"/>
              </w:rPr>
            </w:pPr>
            <w:r w:rsidRPr="004E263D">
              <w:rPr>
                <w:rStyle w:val="Strong"/>
                <w:b w:val="0"/>
                <w:bCs w:val="0"/>
              </w:rPr>
              <w:t>9</w:t>
            </w:r>
          </w:p>
        </w:tc>
        <w:tc>
          <w:tcPr>
            <w:tcW w:w="722" w:type="pct"/>
          </w:tcPr>
          <w:p w14:paraId="41345A27" w14:textId="77777777" w:rsidR="0057796E" w:rsidRPr="004E263D" w:rsidRDefault="0057796E" w:rsidP="000708AF">
            <w:pPr>
              <w:pStyle w:val="Normal-table"/>
              <w:cnfStyle w:val="000000100000" w:firstRow="0" w:lastRow="0" w:firstColumn="0" w:lastColumn="0" w:oddVBand="0" w:evenVBand="0" w:oddHBand="1" w:evenHBand="0" w:firstRowFirstColumn="0" w:firstRowLastColumn="0" w:lastRowFirstColumn="0" w:lastRowLastColumn="0"/>
              <w:rPr>
                <w:rStyle w:val="Strong"/>
                <w:b w:val="0"/>
                <w:bCs w:val="0"/>
              </w:rPr>
            </w:pPr>
            <w:r w:rsidRPr="004E263D">
              <w:rPr>
                <w:rStyle w:val="Strong"/>
                <w:b w:val="0"/>
                <w:bCs w:val="0"/>
              </w:rPr>
              <w:t>9</w:t>
            </w:r>
          </w:p>
        </w:tc>
        <w:tc>
          <w:tcPr>
            <w:tcW w:w="708" w:type="pct"/>
          </w:tcPr>
          <w:p w14:paraId="10734EBB" w14:textId="77777777" w:rsidR="0057796E" w:rsidRPr="004E263D" w:rsidRDefault="0057796E" w:rsidP="000708AF">
            <w:pPr>
              <w:pStyle w:val="Normal-table"/>
              <w:cnfStyle w:val="000000100000" w:firstRow="0" w:lastRow="0" w:firstColumn="0" w:lastColumn="0" w:oddVBand="0" w:evenVBand="0" w:oddHBand="1" w:evenHBand="0" w:firstRowFirstColumn="0" w:firstRowLastColumn="0" w:lastRowFirstColumn="0" w:lastRowLastColumn="0"/>
              <w:rPr>
                <w:rStyle w:val="Strong"/>
                <w:b w:val="0"/>
                <w:bCs w:val="0"/>
              </w:rPr>
            </w:pPr>
            <w:r w:rsidRPr="004E263D">
              <w:rPr>
                <w:rStyle w:val="Strong"/>
                <w:b w:val="0"/>
                <w:bCs w:val="0"/>
              </w:rPr>
              <w:t>1</w:t>
            </w:r>
          </w:p>
        </w:tc>
        <w:tc>
          <w:tcPr>
            <w:tcW w:w="719" w:type="pct"/>
          </w:tcPr>
          <w:p w14:paraId="32A01721" w14:textId="77777777" w:rsidR="0057796E" w:rsidRPr="004E263D" w:rsidRDefault="0057796E" w:rsidP="000708AF">
            <w:pPr>
              <w:pStyle w:val="Normal-table"/>
              <w:cnfStyle w:val="000000100000" w:firstRow="0" w:lastRow="0" w:firstColumn="0" w:lastColumn="0" w:oddVBand="0" w:evenVBand="0" w:oddHBand="1" w:evenHBand="0" w:firstRowFirstColumn="0" w:firstRowLastColumn="0" w:lastRowFirstColumn="0" w:lastRowLastColumn="0"/>
              <w:rPr>
                <w:rStyle w:val="Strong"/>
                <w:b w:val="0"/>
                <w:bCs w:val="0"/>
              </w:rPr>
            </w:pPr>
            <w:r w:rsidRPr="004E263D">
              <w:rPr>
                <w:rStyle w:val="Strong"/>
                <w:b w:val="0"/>
                <w:bCs w:val="0"/>
              </w:rPr>
              <w:t>0</w:t>
            </w:r>
          </w:p>
        </w:tc>
        <w:tc>
          <w:tcPr>
            <w:tcW w:w="711" w:type="pct"/>
          </w:tcPr>
          <w:p w14:paraId="42A4137F" w14:textId="77777777" w:rsidR="0057796E" w:rsidRPr="004E263D" w:rsidRDefault="0057796E" w:rsidP="000708AF">
            <w:pPr>
              <w:pStyle w:val="Normal-table"/>
              <w:cnfStyle w:val="000000100000" w:firstRow="0" w:lastRow="0" w:firstColumn="0" w:lastColumn="0" w:oddVBand="0" w:evenVBand="0" w:oddHBand="1" w:evenHBand="0" w:firstRowFirstColumn="0" w:firstRowLastColumn="0" w:lastRowFirstColumn="0" w:lastRowLastColumn="0"/>
              <w:rPr>
                <w:rStyle w:val="Strong"/>
                <w:b w:val="0"/>
                <w:bCs w:val="0"/>
              </w:rPr>
            </w:pPr>
            <w:r w:rsidRPr="004E263D">
              <w:rPr>
                <w:rStyle w:val="Strong"/>
                <w:b w:val="0"/>
                <w:bCs w:val="0"/>
              </w:rPr>
              <w:t>0</w:t>
            </w:r>
          </w:p>
        </w:tc>
        <w:tc>
          <w:tcPr>
            <w:tcW w:w="709" w:type="pct"/>
          </w:tcPr>
          <w:p w14:paraId="2B8CC60E" w14:textId="77777777" w:rsidR="0057796E" w:rsidRPr="004E263D" w:rsidRDefault="0057796E" w:rsidP="000708AF">
            <w:pPr>
              <w:pStyle w:val="Normal-table"/>
              <w:cnfStyle w:val="000000100000" w:firstRow="0" w:lastRow="0" w:firstColumn="0" w:lastColumn="0" w:oddVBand="0" w:evenVBand="0" w:oddHBand="1" w:evenHBand="0" w:firstRowFirstColumn="0" w:firstRowLastColumn="0" w:lastRowFirstColumn="0" w:lastRowLastColumn="0"/>
              <w:rPr>
                <w:rStyle w:val="Strong"/>
                <w:b w:val="0"/>
                <w:bCs w:val="0"/>
              </w:rPr>
            </w:pPr>
            <w:r w:rsidRPr="004E263D">
              <w:rPr>
                <w:rStyle w:val="Strong"/>
                <w:b w:val="0"/>
                <w:bCs w:val="0"/>
              </w:rPr>
              <w:t>19</w:t>
            </w:r>
          </w:p>
        </w:tc>
      </w:tr>
      <w:tr w:rsidR="0057796E" w14:paraId="6359032F" w14:textId="77777777" w:rsidTr="00A74536">
        <w:tc>
          <w:tcPr>
            <w:cnfStyle w:val="001000000000" w:firstRow="0" w:lastRow="0" w:firstColumn="1" w:lastColumn="0" w:oddVBand="0" w:evenVBand="0" w:oddHBand="0" w:evenHBand="0" w:firstRowFirstColumn="0" w:firstRowLastColumn="0" w:lastRowFirstColumn="0" w:lastRowLastColumn="0"/>
            <w:tcW w:w="718" w:type="pct"/>
          </w:tcPr>
          <w:p w14:paraId="7F8AC96C" w14:textId="77777777" w:rsidR="0057796E" w:rsidRPr="004E263D" w:rsidRDefault="0057796E" w:rsidP="000708AF">
            <w:pPr>
              <w:pStyle w:val="Normal-table"/>
              <w:rPr>
                <w:rStyle w:val="Strong"/>
                <w:b/>
                <w:bCs/>
              </w:rPr>
            </w:pPr>
            <w:r w:rsidRPr="004E263D">
              <w:rPr>
                <w:rStyle w:val="Strong"/>
              </w:rPr>
              <w:t>2020–21</w:t>
            </w:r>
          </w:p>
        </w:tc>
        <w:tc>
          <w:tcPr>
            <w:tcW w:w="713" w:type="pct"/>
          </w:tcPr>
          <w:p w14:paraId="0A5E4094" w14:textId="77777777" w:rsidR="0057796E" w:rsidRPr="004E263D" w:rsidRDefault="0057796E" w:rsidP="000708AF">
            <w:pPr>
              <w:pStyle w:val="Normal-table"/>
              <w:cnfStyle w:val="000000000000" w:firstRow="0" w:lastRow="0" w:firstColumn="0" w:lastColumn="0" w:oddVBand="0" w:evenVBand="0" w:oddHBand="0" w:evenHBand="0" w:firstRowFirstColumn="0" w:firstRowLastColumn="0" w:lastRowFirstColumn="0" w:lastRowLastColumn="0"/>
              <w:rPr>
                <w:rStyle w:val="Strong"/>
                <w:b w:val="0"/>
                <w:bCs w:val="0"/>
              </w:rPr>
            </w:pPr>
            <w:r w:rsidRPr="004E263D">
              <w:rPr>
                <w:rStyle w:val="Strong"/>
                <w:b w:val="0"/>
                <w:bCs w:val="0"/>
              </w:rPr>
              <w:t>11</w:t>
            </w:r>
          </w:p>
        </w:tc>
        <w:tc>
          <w:tcPr>
            <w:tcW w:w="722" w:type="pct"/>
          </w:tcPr>
          <w:p w14:paraId="5CE0297B" w14:textId="77777777" w:rsidR="0057796E" w:rsidRPr="004E263D" w:rsidRDefault="0057796E" w:rsidP="000708AF">
            <w:pPr>
              <w:pStyle w:val="Normal-table"/>
              <w:cnfStyle w:val="000000000000" w:firstRow="0" w:lastRow="0" w:firstColumn="0" w:lastColumn="0" w:oddVBand="0" w:evenVBand="0" w:oddHBand="0" w:evenHBand="0" w:firstRowFirstColumn="0" w:firstRowLastColumn="0" w:lastRowFirstColumn="0" w:lastRowLastColumn="0"/>
              <w:rPr>
                <w:rStyle w:val="Strong"/>
                <w:b w:val="0"/>
                <w:bCs w:val="0"/>
              </w:rPr>
            </w:pPr>
            <w:r w:rsidRPr="004E263D">
              <w:rPr>
                <w:rStyle w:val="Strong"/>
                <w:b w:val="0"/>
                <w:bCs w:val="0"/>
              </w:rPr>
              <w:t>7</w:t>
            </w:r>
          </w:p>
        </w:tc>
        <w:tc>
          <w:tcPr>
            <w:tcW w:w="708" w:type="pct"/>
          </w:tcPr>
          <w:p w14:paraId="1EA44AF9" w14:textId="77777777" w:rsidR="0057796E" w:rsidRPr="004E263D" w:rsidRDefault="0057796E" w:rsidP="000708AF">
            <w:pPr>
              <w:pStyle w:val="Normal-table"/>
              <w:cnfStyle w:val="000000000000" w:firstRow="0" w:lastRow="0" w:firstColumn="0" w:lastColumn="0" w:oddVBand="0" w:evenVBand="0" w:oddHBand="0" w:evenHBand="0" w:firstRowFirstColumn="0" w:firstRowLastColumn="0" w:lastRowFirstColumn="0" w:lastRowLastColumn="0"/>
              <w:rPr>
                <w:rStyle w:val="Strong"/>
                <w:b w:val="0"/>
                <w:bCs w:val="0"/>
              </w:rPr>
            </w:pPr>
            <w:r w:rsidRPr="004E263D">
              <w:rPr>
                <w:rStyle w:val="Strong"/>
                <w:b w:val="0"/>
                <w:bCs w:val="0"/>
              </w:rPr>
              <w:t>0</w:t>
            </w:r>
          </w:p>
        </w:tc>
        <w:tc>
          <w:tcPr>
            <w:tcW w:w="719" w:type="pct"/>
          </w:tcPr>
          <w:p w14:paraId="1FDCEC87" w14:textId="77777777" w:rsidR="0057796E" w:rsidRPr="004E263D" w:rsidRDefault="0057796E" w:rsidP="000708AF">
            <w:pPr>
              <w:pStyle w:val="Normal-table"/>
              <w:cnfStyle w:val="000000000000" w:firstRow="0" w:lastRow="0" w:firstColumn="0" w:lastColumn="0" w:oddVBand="0" w:evenVBand="0" w:oddHBand="0" w:evenHBand="0" w:firstRowFirstColumn="0" w:firstRowLastColumn="0" w:lastRowFirstColumn="0" w:lastRowLastColumn="0"/>
              <w:rPr>
                <w:rStyle w:val="Strong"/>
                <w:b w:val="0"/>
                <w:bCs w:val="0"/>
              </w:rPr>
            </w:pPr>
            <w:r w:rsidRPr="004E263D">
              <w:rPr>
                <w:rStyle w:val="Strong"/>
                <w:b w:val="0"/>
                <w:bCs w:val="0"/>
              </w:rPr>
              <w:t>0</w:t>
            </w:r>
          </w:p>
        </w:tc>
        <w:tc>
          <w:tcPr>
            <w:tcW w:w="711" w:type="pct"/>
          </w:tcPr>
          <w:p w14:paraId="796AC81D" w14:textId="77777777" w:rsidR="0057796E" w:rsidRPr="004E263D" w:rsidRDefault="0057796E" w:rsidP="000708AF">
            <w:pPr>
              <w:pStyle w:val="Normal-table"/>
              <w:cnfStyle w:val="000000000000" w:firstRow="0" w:lastRow="0" w:firstColumn="0" w:lastColumn="0" w:oddVBand="0" w:evenVBand="0" w:oddHBand="0" w:evenHBand="0" w:firstRowFirstColumn="0" w:firstRowLastColumn="0" w:lastRowFirstColumn="0" w:lastRowLastColumn="0"/>
              <w:rPr>
                <w:rStyle w:val="Strong"/>
                <w:b w:val="0"/>
                <w:bCs w:val="0"/>
              </w:rPr>
            </w:pPr>
            <w:r w:rsidRPr="004E263D">
              <w:rPr>
                <w:rStyle w:val="Strong"/>
                <w:b w:val="0"/>
                <w:bCs w:val="0"/>
              </w:rPr>
              <w:t>0</w:t>
            </w:r>
          </w:p>
        </w:tc>
        <w:tc>
          <w:tcPr>
            <w:tcW w:w="709" w:type="pct"/>
          </w:tcPr>
          <w:p w14:paraId="108BEEE8" w14:textId="77777777" w:rsidR="0057796E" w:rsidRPr="004E263D" w:rsidRDefault="0057796E" w:rsidP="000708AF">
            <w:pPr>
              <w:pStyle w:val="Normal-table"/>
              <w:cnfStyle w:val="000000000000" w:firstRow="0" w:lastRow="0" w:firstColumn="0" w:lastColumn="0" w:oddVBand="0" w:evenVBand="0" w:oddHBand="0" w:evenHBand="0" w:firstRowFirstColumn="0" w:firstRowLastColumn="0" w:lastRowFirstColumn="0" w:lastRowLastColumn="0"/>
              <w:rPr>
                <w:rStyle w:val="Strong"/>
                <w:b w:val="0"/>
                <w:bCs w:val="0"/>
              </w:rPr>
            </w:pPr>
            <w:r w:rsidRPr="004E263D">
              <w:rPr>
                <w:rStyle w:val="Strong"/>
                <w:b w:val="0"/>
                <w:bCs w:val="0"/>
              </w:rPr>
              <w:t>18</w:t>
            </w:r>
          </w:p>
        </w:tc>
      </w:tr>
      <w:tr w:rsidR="0057796E" w14:paraId="531B05D0" w14:textId="77777777" w:rsidTr="00A7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pct"/>
          </w:tcPr>
          <w:p w14:paraId="68DC1829" w14:textId="77777777" w:rsidR="0057796E" w:rsidRPr="004E263D" w:rsidRDefault="0057796E" w:rsidP="000708AF">
            <w:pPr>
              <w:pStyle w:val="Normal-table"/>
              <w:rPr>
                <w:rStyle w:val="Strong"/>
                <w:b/>
                <w:bCs/>
              </w:rPr>
            </w:pPr>
            <w:r w:rsidRPr="004E263D">
              <w:rPr>
                <w:rStyle w:val="Strong"/>
              </w:rPr>
              <w:t>2021–22</w:t>
            </w:r>
          </w:p>
        </w:tc>
        <w:tc>
          <w:tcPr>
            <w:tcW w:w="713" w:type="pct"/>
          </w:tcPr>
          <w:p w14:paraId="5E97C0EC" w14:textId="77777777" w:rsidR="0057796E" w:rsidRPr="004E263D" w:rsidRDefault="0057796E" w:rsidP="000708AF">
            <w:pPr>
              <w:pStyle w:val="Normal-table"/>
              <w:cnfStyle w:val="000000100000" w:firstRow="0" w:lastRow="0" w:firstColumn="0" w:lastColumn="0" w:oddVBand="0" w:evenVBand="0" w:oddHBand="1" w:evenHBand="0" w:firstRowFirstColumn="0" w:firstRowLastColumn="0" w:lastRowFirstColumn="0" w:lastRowLastColumn="0"/>
              <w:rPr>
                <w:rStyle w:val="Strong"/>
                <w:b w:val="0"/>
                <w:bCs w:val="0"/>
              </w:rPr>
            </w:pPr>
            <w:r w:rsidRPr="004E263D">
              <w:rPr>
                <w:rStyle w:val="Strong"/>
                <w:b w:val="0"/>
                <w:bCs w:val="0"/>
              </w:rPr>
              <w:t>11</w:t>
            </w:r>
          </w:p>
        </w:tc>
        <w:tc>
          <w:tcPr>
            <w:tcW w:w="722" w:type="pct"/>
          </w:tcPr>
          <w:p w14:paraId="7ED10A60" w14:textId="77777777" w:rsidR="0057796E" w:rsidRPr="004E263D" w:rsidRDefault="0057796E" w:rsidP="000708AF">
            <w:pPr>
              <w:pStyle w:val="Normal-table"/>
              <w:cnfStyle w:val="000000100000" w:firstRow="0" w:lastRow="0" w:firstColumn="0" w:lastColumn="0" w:oddVBand="0" w:evenVBand="0" w:oddHBand="1" w:evenHBand="0" w:firstRowFirstColumn="0" w:firstRowLastColumn="0" w:lastRowFirstColumn="0" w:lastRowLastColumn="0"/>
              <w:rPr>
                <w:rStyle w:val="Strong"/>
                <w:b w:val="0"/>
                <w:bCs w:val="0"/>
              </w:rPr>
            </w:pPr>
            <w:r w:rsidRPr="004E263D">
              <w:rPr>
                <w:rStyle w:val="Strong"/>
                <w:b w:val="0"/>
                <w:bCs w:val="0"/>
              </w:rPr>
              <w:t>2</w:t>
            </w:r>
          </w:p>
        </w:tc>
        <w:tc>
          <w:tcPr>
            <w:tcW w:w="708" w:type="pct"/>
          </w:tcPr>
          <w:p w14:paraId="3488139D" w14:textId="77777777" w:rsidR="0057796E" w:rsidRPr="004E263D" w:rsidRDefault="0057796E" w:rsidP="000708AF">
            <w:pPr>
              <w:pStyle w:val="Normal-table"/>
              <w:cnfStyle w:val="000000100000" w:firstRow="0" w:lastRow="0" w:firstColumn="0" w:lastColumn="0" w:oddVBand="0" w:evenVBand="0" w:oddHBand="1" w:evenHBand="0" w:firstRowFirstColumn="0" w:firstRowLastColumn="0" w:lastRowFirstColumn="0" w:lastRowLastColumn="0"/>
              <w:rPr>
                <w:rStyle w:val="Strong"/>
                <w:b w:val="0"/>
                <w:bCs w:val="0"/>
              </w:rPr>
            </w:pPr>
            <w:r w:rsidRPr="004E263D">
              <w:rPr>
                <w:rStyle w:val="Strong"/>
                <w:b w:val="0"/>
                <w:bCs w:val="0"/>
              </w:rPr>
              <w:t>0</w:t>
            </w:r>
          </w:p>
        </w:tc>
        <w:tc>
          <w:tcPr>
            <w:tcW w:w="719" w:type="pct"/>
          </w:tcPr>
          <w:p w14:paraId="636548EC" w14:textId="77777777" w:rsidR="0057796E" w:rsidRPr="004E263D" w:rsidRDefault="0057796E" w:rsidP="000708AF">
            <w:pPr>
              <w:pStyle w:val="Normal-table"/>
              <w:cnfStyle w:val="000000100000" w:firstRow="0" w:lastRow="0" w:firstColumn="0" w:lastColumn="0" w:oddVBand="0" w:evenVBand="0" w:oddHBand="1" w:evenHBand="0" w:firstRowFirstColumn="0" w:firstRowLastColumn="0" w:lastRowFirstColumn="0" w:lastRowLastColumn="0"/>
              <w:rPr>
                <w:rStyle w:val="Strong"/>
                <w:b w:val="0"/>
                <w:bCs w:val="0"/>
              </w:rPr>
            </w:pPr>
            <w:r w:rsidRPr="004E263D">
              <w:rPr>
                <w:rStyle w:val="Strong"/>
                <w:b w:val="0"/>
                <w:bCs w:val="0"/>
              </w:rPr>
              <w:t>0</w:t>
            </w:r>
          </w:p>
        </w:tc>
        <w:tc>
          <w:tcPr>
            <w:tcW w:w="711" w:type="pct"/>
          </w:tcPr>
          <w:p w14:paraId="3FAB6C3D" w14:textId="77777777" w:rsidR="0057796E" w:rsidRPr="004E263D" w:rsidRDefault="0057796E" w:rsidP="000708AF">
            <w:pPr>
              <w:pStyle w:val="Normal-table"/>
              <w:cnfStyle w:val="000000100000" w:firstRow="0" w:lastRow="0" w:firstColumn="0" w:lastColumn="0" w:oddVBand="0" w:evenVBand="0" w:oddHBand="1" w:evenHBand="0" w:firstRowFirstColumn="0" w:firstRowLastColumn="0" w:lastRowFirstColumn="0" w:lastRowLastColumn="0"/>
              <w:rPr>
                <w:rStyle w:val="Strong"/>
                <w:b w:val="0"/>
                <w:bCs w:val="0"/>
              </w:rPr>
            </w:pPr>
            <w:r w:rsidRPr="004E263D">
              <w:rPr>
                <w:rStyle w:val="Strong"/>
                <w:b w:val="0"/>
                <w:bCs w:val="0"/>
              </w:rPr>
              <w:t>0</w:t>
            </w:r>
          </w:p>
        </w:tc>
        <w:tc>
          <w:tcPr>
            <w:tcW w:w="709" w:type="pct"/>
          </w:tcPr>
          <w:p w14:paraId="2E642638" w14:textId="77777777" w:rsidR="0057796E" w:rsidRPr="004E263D" w:rsidRDefault="0057796E" w:rsidP="000708AF">
            <w:pPr>
              <w:pStyle w:val="Normal-table"/>
              <w:cnfStyle w:val="000000100000" w:firstRow="0" w:lastRow="0" w:firstColumn="0" w:lastColumn="0" w:oddVBand="0" w:evenVBand="0" w:oddHBand="1" w:evenHBand="0" w:firstRowFirstColumn="0" w:firstRowLastColumn="0" w:lastRowFirstColumn="0" w:lastRowLastColumn="0"/>
              <w:rPr>
                <w:rStyle w:val="Strong"/>
                <w:b w:val="0"/>
                <w:bCs w:val="0"/>
              </w:rPr>
            </w:pPr>
            <w:r w:rsidRPr="004E263D">
              <w:rPr>
                <w:rStyle w:val="Strong"/>
                <w:b w:val="0"/>
                <w:bCs w:val="0"/>
              </w:rPr>
              <w:t>13</w:t>
            </w:r>
          </w:p>
        </w:tc>
      </w:tr>
      <w:tr w:rsidR="0057796E" w14:paraId="6174A089" w14:textId="77777777" w:rsidTr="00A74536">
        <w:tc>
          <w:tcPr>
            <w:cnfStyle w:val="001000000000" w:firstRow="0" w:lastRow="0" w:firstColumn="1" w:lastColumn="0" w:oddVBand="0" w:evenVBand="0" w:oddHBand="0" w:evenHBand="0" w:firstRowFirstColumn="0" w:firstRowLastColumn="0" w:lastRowFirstColumn="0" w:lastRowLastColumn="0"/>
            <w:tcW w:w="718" w:type="pct"/>
          </w:tcPr>
          <w:p w14:paraId="4EBAE3BD" w14:textId="77777777" w:rsidR="0057796E" w:rsidRPr="004E263D" w:rsidRDefault="0057796E" w:rsidP="000708AF">
            <w:pPr>
              <w:pStyle w:val="Normal-table"/>
              <w:rPr>
                <w:rStyle w:val="Strong"/>
                <w:b/>
                <w:bCs/>
              </w:rPr>
            </w:pPr>
            <w:r w:rsidRPr="004E263D">
              <w:rPr>
                <w:rStyle w:val="Strong"/>
              </w:rPr>
              <w:t>2022–23</w:t>
            </w:r>
          </w:p>
        </w:tc>
        <w:tc>
          <w:tcPr>
            <w:tcW w:w="713" w:type="pct"/>
          </w:tcPr>
          <w:p w14:paraId="72BFA811" w14:textId="77777777" w:rsidR="0057796E" w:rsidRPr="004E263D" w:rsidRDefault="0057796E" w:rsidP="000708AF">
            <w:pPr>
              <w:pStyle w:val="Normal-table"/>
              <w:cnfStyle w:val="000000000000" w:firstRow="0" w:lastRow="0" w:firstColumn="0" w:lastColumn="0" w:oddVBand="0" w:evenVBand="0" w:oddHBand="0" w:evenHBand="0" w:firstRowFirstColumn="0" w:firstRowLastColumn="0" w:lastRowFirstColumn="0" w:lastRowLastColumn="0"/>
              <w:rPr>
                <w:rStyle w:val="Strong"/>
                <w:b w:val="0"/>
                <w:bCs w:val="0"/>
              </w:rPr>
            </w:pPr>
            <w:r w:rsidRPr="004E263D">
              <w:rPr>
                <w:rStyle w:val="Strong"/>
                <w:b w:val="0"/>
                <w:bCs w:val="0"/>
              </w:rPr>
              <w:t>12</w:t>
            </w:r>
          </w:p>
        </w:tc>
        <w:tc>
          <w:tcPr>
            <w:tcW w:w="722" w:type="pct"/>
          </w:tcPr>
          <w:p w14:paraId="3D9F8F49" w14:textId="77777777" w:rsidR="0057796E" w:rsidRPr="004E263D" w:rsidRDefault="0057796E" w:rsidP="000708AF">
            <w:pPr>
              <w:pStyle w:val="Normal-table"/>
              <w:cnfStyle w:val="000000000000" w:firstRow="0" w:lastRow="0" w:firstColumn="0" w:lastColumn="0" w:oddVBand="0" w:evenVBand="0" w:oddHBand="0" w:evenHBand="0" w:firstRowFirstColumn="0" w:firstRowLastColumn="0" w:lastRowFirstColumn="0" w:lastRowLastColumn="0"/>
              <w:rPr>
                <w:rStyle w:val="Strong"/>
                <w:b w:val="0"/>
                <w:bCs w:val="0"/>
              </w:rPr>
            </w:pPr>
            <w:r w:rsidRPr="004E263D">
              <w:rPr>
                <w:rStyle w:val="Strong"/>
                <w:b w:val="0"/>
                <w:bCs w:val="0"/>
              </w:rPr>
              <w:t>6</w:t>
            </w:r>
          </w:p>
        </w:tc>
        <w:tc>
          <w:tcPr>
            <w:tcW w:w="708" w:type="pct"/>
          </w:tcPr>
          <w:p w14:paraId="2D48A7C8" w14:textId="77777777" w:rsidR="0057796E" w:rsidRPr="004E263D" w:rsidRDefault="0057796E" w:rsidP="000708AF">
            <w:pPr>
              <w:pStyle w:val="Normal-table"/>
              <w:cnfStyle w:val="000000000000" w:firstRow="0" w:lastRow="0" w:firstColumn="0" w:lastColumn="0" w:oddVBand="0" w:evenVBand="0" w:oddHBand="0" w:evenHBand="0" w:firstRowFirstColumn="0" w:firstRowLastColumn="0" w:lastRowFirstColumn="0" w:lastRowLastColumn="0"/>
              <w:rPr>
                <w:rStyle w:val="Strong"/>
                <w:b w:val="0"/>
                <w:bCs w:val="0"/>
              </w:rPr>
            </w:pPr>
            <w:r w:rsidRPr="004E263D">
              <w:rPr>
                <w:rStyle w:val="Strong"/>
                <w:b w:val="0"/>
                <w:bCs w:val="0"/>
              </w:rPr>
              <w:t>0</w:t>
            </w:r>
          </w:p>
        </w:tc>
        <w:tc>
          <w:tcPr>
            <w:tcW w:w="719" w:type="pct"/>
          </w:tcPr>
          <w:p w14:paraId="57596957" w14:textId="77777777" w:rsidR="0057796E" w:rsidRPr="004E263D" w:rsidRDefault="0057796E" w:rsidP="000708AF">
            <w:pPr>
              <w:pStyle w:val="Normal-table"/>
              <w:cnfStyle w:val="000000000000" w:firstRow="0" w:lastRow="0" w:firstColumn="0" w:lastColumn="0" w:oddVBand="0" w:evenVBand="0" w:oddHBand="0" w:evenHBand="0" w:firstRowFirstColumn="0" w:firstRowLastColumn="0" w:lastRowFirstColumn="0" w:lastRowLastColumn="0"/>
              <w:rPr>
                <w:rStyle w:val="Strong"/>
                <w:b w:val="0"/>
                <w:bCs w:val="0"/>
              </w:rPr>
            </w:pPr>
            <w:r w:rsidRPr="004E263D">
              <w:rPr>
                <w:rStyle w:val="Strong"/>
                <w:b w:val="0"/>
                <w:bCs w:val="0"/>
              </w:rPr>
              <w:t>0</w:t>
            </w:r>
          </w:p>
        </w:tc>
        <w:tc>
          <w:tcPr>
            <w:tcW w:w="711" w:type="pct"/>
          </w:tcPr>
          <w:p w14:paraId="1C2B059A" w14:textId="77777777" w:rsidR="0057796E" w:rsidRPr="004E263D" w:rsidRDefault="0057796E" w:rsidP="000708AF">
            <w:pPr>
              <w:pStyle w:val="Normal-table"/>
              <w:cnfStyle w:val="000000000000" w:firstRow="0" w:lastRow="0" w:firstColumn="0" w:lastColumn="0" w:oddVBand="0" w:evenVBand="0" w:oddHBand="0" w:evenHBand="0" w:firstRowFirstColumn="0" w:firstRowLastColumn="0" w:lastRowFirstColumn="0" w:lastRowLastColumn="0"/>
              <w:rPr>
                <w:rStyle w:val="Strong"/>
                <w:b w:val="0"/>
                <w:bCs w:val="0"/>
              </w:rPr>
            </w:pPr>
            <w:r w:rsidRPr="004E263D">
              <w:rPr>
                <w:rStyle w:val="Strong"/>
                <w:b w:val="0"/>
                <w:bCs w:val="0"/>
              </w:rPr>
              <w:t>0</w:t>
            </w:r>
          </w:p>
        </w:tc>
        <w:tc>
          <w:tcPr>
            <w:tcW w:w="709" w:type="pct"/>
          </w:tcPr>
          <w:p w14:paraId="39829400" w14:textId="77777777" w:rsidR="0057796E" w:rsidRPr="004E263D" w:rsidRDefault="0057796E" w:rsidP="000708AF">
            <w:pPr>
              <w:pStyle w:val="Normal-table"/>
              <w:cnfStyle w:val="000000000000" w:firstRow="0" w:lastRow="0" w:firstColumn="0" w:lastColumn="0" w:oddVBand="0" w:evenVBand="0" w:oddHBand="0" w:evenHBand="0" w:firstRowFirstColumn="0" w:firstRowLastColumn="0" w:lastRowFirstColumn="0" w:lastRowLastColumn="0"/>
              <w:rPr>
                <w:rStyle w:val="Strong"/>
                <w:b w:val="0"/>
                <w:bCs w:val="0"/>
              </w:rPr>
            </w:pPr>
            <w:r w:rsidRPr="004E263D">
              <w:rPr>
                <w:rStyle w:val="Strong"/>
                <w:b w:val="0"/>
                <w:bCs w:val="0"/>
              </w:rPr>
              <w:t>18</w:t>
            </w:r>
          </w:p>
        </w:tc>
      </w:tr>
    </w:tbl>
    <w:p w14:paraId="1B18D3FC" w14:textId="77777777" w:rsidR="00A74536" w:rsidRDefault="00A74536" w:rsidP="0057796E">
      <w:pPr>
        <w:rPr>
          <w:rStyle w:val="Strong"/>
        </w:rPr>
      </w:pPr>
    </w:p>
    <w:p w14:paraId="523F8E1F" w14:textId="56DDEEA3" w:rsidR="0057796E" w:rsidRDefault="0057796E" w:rsidP="0057796E">
      <w:pPr>
        <w:rPr>
          <w:rStyle w:val="Strong"/>
        </w:rPr>
      </w:pPr>
      <w:r>
        <w:rPr>
          <w:b/>
          <w:bCs/>
          <w:noProof/>
        </w:rPr>
        <w:lastRenderedPageBreak/>
        <w:drawing>
          <wp:inline distT="0" distB="0" distL="0" distR="0" wp14:anchorId="6C7114D8" wp14:editId="41DF7FE9">
            <wp:extent cx="5486400" cy="3200400"/>
            <wp:effectExtent l="0" t="0" r="0" b="0"/>
            <wp:docPr id="6" name="Chart 6" descr="Bar graph showing the Marine fatalities in Queensland. "/>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908F582" w14:textId="77777777" w:rsidR="0057796E" w:rsidRPr="00CA2135" w:rsidRDefault="0057796E" w:rsidP="0057796E">
      <w:pPr>
        <w:pStyle w:val="Caption"/>
      </w:pPr>
      <w:r w:rsidRPr="00CA2135">
        <w:t xml:space="preserve">Figure </w:t>
      </w:r>
      <w:r>
        <w:t>4</w:t>
      </w:r>
      <w:r w:rsidRPr="00CA2135">
        <w:t xml:space="preserve"> indicates the number of people who have been admitted to a hospital during the last ten financial years for the treatment of injuries sustained in a reported marine incident that involved at least one QRS.</w:t>
      </w:r>
    </w:p>
    <w:p w14:paraId="47BF61C1" w14:textId="77777777" w:rsidR="0057796E" w:rsidRPr="00CA2135" w:rsidRDefault="0057796E" w:rsidP="0057796E">
      <w:pPr>
        <w:pStyle w:val="Caption"/>
      </w:pPr>
      <w:bookmarkStart w:id="28" w:name="_Hlk129780200"/>
      <w:r w:rsidRPr="00CA2135">
        <w:t xml:space="preserve">MSQ works actively to address the causes of marine incidents through compliance and education activities. </w:t>
      </w:r>
    </w:p>
    <w:bookmarkEnd w:id="28"/>
    <w:p w14:paraId="1898B80B" w14:textId="77777777" w:rsidR="00A74536" w:rsidRDefault="00A74536">
      <w:pPr>
        <w:spacing w:before="0" w:after="160" w:line="259" w:lineRule="auto"/>
        <w:rPr>
          <w:rStyle w:val="Strong"/>
        </w:rPr>
      </w:pPr>
      <w:r>
        <w:rPr>
          <w:rStyle w:val="Strong"/>
        </w:rPr>
        <w:br w:type="page"/>
      </w:r>
    </w:p>
    <w:p w14:paraId="141607AD" w14:textId="1D1DBAEC" w:rsidR="0057796E" w:rsidRDefault="0057796E" w:rsidP="0057796E">
      <w:pPr>
        <w:rPr>
          <w:rStyle w:val="Strong"/>
        </w:rPr>
      </w:pPr>
      <w:r w:rsidRPr="00E21AFE">
        <w:rPr>
          <w:rStyle w:val="Strong"/>
        </w:rPr>
        <w:lastRenderedPageBreak/>
        <w:t xml:space="preserve">Figure </w:t>
      </w:r>
      <w:r>
        <w:rPr>
          <w:rStyle w:val="Strong"/>
        </w:rPr>
        <w:t>4</w:t>
      </w:r>
      <w:r w:rsidRPr="00E21AFE">
        <w:rPr>
          <w:rStyle w:val="Strong"/>
        </w:rPr>
        <w:t>: Serious injuries from maritime incidents in Queensland</w:t>
      </w:r>
    </w:p>
    <w:tbl>
      <w:tblPr>
        <w:tblStyle w:val="GridTable4-Accent1"/>
        <w:tblW w:w="5000" w:type="pct"/>
        <w:tblLook w:val="04A0" w:firstRow="1" w:lastRow="0" w:firstColumn="1" w:lastColumn="0" w:noHBand="0" w:noVBand="1"/>
      </w:tblPr>
      <w:tblGrid>
        <w:gridCol w:w="1463"/>
        <w:gridCol w:w="1454"/>
        <w:gridCol w:w="1472"/>
        <w:gridCol w:w="1443"/>
        <w:gridCol w:w="1466"/>
        <w:gridCol w:w="1450"/>
        <w:gridCol w:w="1446"/>
      </w:tblGrid>
      <w:tr w:rsidR="0057796E" w14:paraId="3AB1E483" w14:textId="77777777" w:rsidTr="00A74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8" w:type="pct"/>
          </w:tcPr>
          <w:p w14:paraId="2C31342B" w14:textId="77777777" w:rsidR="0057796E" w:rsidRDefault="0057796E" w:rsidP="000708AF">
            <w:pPr>
              <w:pStyle w:val="Normal-table"/>
            </w:pPr>
            <w:r>
              <w:t>Financial Year</w:t>
            </w:r>
          </w:p>
        </w:tc>
        <w:tc>
          <w:tcPr>
            <w:tcW w:w="713" w:type="pct"/>
          </w:tcPr>
          <w:p w14:paraId="76AB1190" w14:textId="77777777" w:rsidR="0057796E" w:rsidRDefault="0057796E" w:rsidP="000708AF">
            <w:pPr>
              <w:pStyle w:val="Normal-table"/>
              <w:cnfStyle w:val="100000000000" w:firstRow="1" w:lastRow="0" w:firstColumn="0" w:lastColumn="0" w:oddVBand="0" w:evenVBand="0" w:oddHBand="0" w:evenHBand="0" w:firstRowFirstColumn="0" w:firstRowLastColumn="0" w:lastRowFirstColumn="0" w:lastRowLastColumn="0"/>
            </w:pPr>
            <w:r>
              <w:t>Boat: Master</w:t>
            </w:r>
          </w:p>
        </w:tc>
        <w:tc>
          <w:tcPr>
            <w:tcW w:w="722" w:type="pct"/>
          </w:tcPr>
          <w:p w14:paraId="1BCDA725" w14:textId="77777777" w:rsidR="0057796E" w:rsidRDefault="0057796E" w:rsidP="000708AF">
            <w:pPr>
              <w:pStyle w:val="Normal-table"/>
              <w:cnfStyle w:val="100000000000" w:firstRow="1" w:lastRow="0" w:firstColumn="0" w:lastColumn="0" w:oddVBand="0" w:evenVBand="0" w:oddHBand="0" w:evenHBand="0" w:firstRowFirstColumn="0" w:firstRowLastColumn="0" w:lastRowFirstColumn="0" w:lastRowLastColumn="0"/>
            </w:pPr>
            <w:r>
              <w:t>Boat: Passenger</w:t>
            </w:r>
          </w:p>
        </w:tc>
        <w:tc>
          <w:tcPr>
            <w:tcW w:w="708" w:type="pct"/>
          </w:tcPr>
          <w:p w14:paraId="3B91E439" w14:textId="77777777" w:rsidR="0057796E" w:rsidRDefault="0057796E" w:rsidP="000708AF">
            <w:pPr>
              <w:pStyle w:val="Normal-table"/>
              <w:cnfStyle w:val="100000000000" w:firstRow="1" w:lastRow="0" w:firstColumn="0" w:lastColumn="0" w:oddVBand="0" w:evenVBand="0" w:oddHBand="0" w:evenHBand="0" w:firstRowFirstColumn="0" w:firstRowLastColumn="0" w:lastRowFirstColumn="0" w:lastRowLastColumn="0"/>
            </w:pPr>
            <w:r>
              <w:t>PWC</w:t>
            </w:r>
          </w:p>
        </w:tc>
        <w:tc>
          <w:tcPr>
            <w:tcW w:w="719" w:type="pct"/>
          </w:tcPr>
          <w:p w14:paraId="66ED37DF" w14:textId="77777777" w:rsidR="0057796E" w:rsidRDefault="0057796E" w:rsidP="000708AF">
            <w:pPr>
              <w:pStyle w:val="Normal-table"/>
              <w:cnfStyle w:val="100000000000" w:firstRow="1" w:lastRow="0" w:firstColumn="0" w:lastColumn="0" w:oddVBand="0" w:evenVBand="0" w:oddHBand="0" w:evenHBand="0" w:firstRowFirstColumn="0" w:firstRowLastColumn="0" w:lastRowFirstColumn="0" w:lastRowLastColumn="0"/>
            </w:pPr>
            <w:r>
              <w:t>Swimmer</w:t>
            </w:r>
          </w:p>
        </w:tc>
        <w:tc>
          <w:tcPr>
            <w:tcW w:w="711" w:type="pct"/>
          </w:tcPr>
          <w:p w14:paraId="358545B2" w14:textId="77777777" w:rsidR="0057796E" w:rsidRDefault="0057796E" w:rsidP="000708AF">
            <w:pPr>
              <w:pStyle w:val="Normal-table"/>
              <w:cnfStyle w:val="100000000000" w:firstRow="1" w:lastRow="0" w:firstColumn="0" w:lastColumn="0" w:oddVBand="0" w:evenVBand="0" w:oddHBand="0" w:evenHBand="0" w:firstRowFirstColumn="0" w:firstRowLastColumn="0" w:lastRowFirstColumn="0" w:lastRowLastColumn="0"/>
            </w:pPr>
            <w:r>
              <w:t>Water skier</w:t>
            </w:r>
          </w:p>
        </w:tc>
        <w:tc>
          <w:tcPr>
            <w:tcW w:w="709" w:type="pct"/>
          </w:tcPr>
          <w:p w14:paraId="54CF95C7" w14:textId="77777777" w:rsidR="0057796E" w:rsidRDefault="0057796E" w:rsidP="000708AF">
            <w:pPr>
              <w:pStyle w:val="Normal-table"/>
              <w:cnfStyle w:val="100000000000" w:firstRow="1" w:lastRow="0" w:firstColumn="0" w:lastColumn="0" w:oddVBand="0" w:evenVBand="0" w:oddHBand="0" w:evenHBand="0" w:firstRowFirstColumn="0" w:firstRowLastColumn="0" w:lastRowFirstColumn="0" w:lastRowLastColumn="0"/>
            </w:pPr>
            <w:r>
              <w:t>Total</w:t>
            </w:r>
          </w:p>
        </w:tc>
      </w:tr>
      <w:tr w:rsidR="0057796E" w14:paraId="7CFB87BA" w14:textId="77777777" w:rsidTr="00A7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pct"/>
          </w:tcPr>
          <w:p w14:paraId="55983AAC" w14:textId="77777777" w:rsidR="0057796E" w:rsidRDefault="0057796E" w:rsidP="000708AF">
            <w:pPr>
              <w:pStyle w:val="Normal-table"/>
            </w:pPr>
            <w:r>
              <w:t>2013–14</w:t>
            </w:r>
          </w:p>
        </w:tc>
        <w:tc>
          <w:tcPr>
            <w:tcW w:w="713" w:type="pct"/>
          </w:tcPr>
          <w:p w14:paraId="4C0FC475" w14:textId="77777777" w:rsidR="0057796E" w:rsidRDefault="0057796E" w:rsidP="000708AF">
            <w:pPr>
              <w:pStyle w:val="Normal-table"/>
              <w:cnfStyle w:val="000000100000" w:firstRow="0" w:lastRow="0" w:firstColumn="0" w:lastColumn="0" w:oddVBand="0" w:evenVBand="0" w:oddHBand="1" w:evenHBand="0" w:firstRowFirstColumn="0" w:firstRowLastColumn="0" w:lastRowFirstColumn="0" w:lastRowLastColumn="0"/>
            </w:pPr>
            <w:r>
              <w:t>7</w:t>
            </w:r>
          </w:p>
        </w:tc>
        <w:tc>
          <w:tcPr>
            <w:tcW w:w="722" w:type="pct"/>
          </w:tcPr>
          <w:p w14:paraId="13F08C88" w14:textId="77777777" w:rsidR="0057796E" w:rsidRDefault="0057796E" w:rsidP="000708AF">
            <w:pPr>
              <w:pStyle w:val="Normal-table"/>
              <w:cnfStyle w:val="000000100000" w:firstRow="0" w:lastRow="0" w:firstColumn="0" w:lastColumn="0" w:oddVBand="0" w:evenVBand="0" w:oddHBand="1" w:evenHBand="0" w:firstRowFirstColumn="0" w:firstRowLastColumn="0" w:lastRowFirstColumn="0" w:lastRowLastColumn="0"/>
            </w:pPr>
            <w:r>
              <w:t>5</w:t>
            </w:r>
          </w:p>
        </w:tc>
        <w:tc>
          <w:tcPr>
            <w:tcW w:w="708" w:type="pct"/>
          </w:tcPr>
          <w:p w14:paraId="0E4BF096" w14:textId="77777777" w:rsidR="0057796E" w:rsidRDefault="0057796E" w:rsidP="000708AF">
            <w:pPr>
              <w:pStyle w:val="Normal-table"/>
              <w:cnfStyle w:val="000000100000" w:firstRow="0" w:lastRow="0" w:firstColumn="0" w:lastColumn="0" w:oddVBand="0" w:evenVBand="0" w:oddHBand="1" w:evenHBand="0" w:firstRowFirstColumn="0" w:firstRowLastColumn="0" w:lastRowFirstColumn="0" w:lastRowLastColumn="0"/>
            </w:pPr>
            <w:r>
              <w:t>6</w:t>
            </w:r>
          </w:p>
        </w:tc>
        <w:tc>
          <w:tcPr>
            <w:tcW w:w="719" w:type="pct"/>
          </w:tcPr>
          <w:p w14:paraId="1259604B" w14:textId="77777777" w:rsidR="0057796E" w:rsidRDefault="0057796E" w:rsidP="000708AF">
            <w:pPr>
              <w:pStyle w:val="Normal-table"/>
              <w:cnfStyle w:val="000000100000" w:firstRow="0" w:lastRow="0" w:firstColumn="0" w:lastColumn="0" w:oddVBand="0" w:evenVBand="0" w:oddHBand="1" w:evenHBand="0" w:firstRowFirstColumn="0" w:firstRowLastColumn="0" w:lastRowFirstColumn="0" w:lastRowLastColumn="0"/>
            </w:pPr>
            <w:r>
              <w:t>2</w:t>
            </w:r>
          </w:p>
        </w:tc>
        <w:tc>
          <w:tcPr>
            <w:tcW w:w="711" w:type="pct"/>
          </w:tcPr>
          <w:p w14:paraId="09CFE0C3" w14:textId="77777777" w:rsidR="0057796E" w:rsidRDefault="0057796E" w:rsidP="000708AF">
            <w:pPr>
              <w:pStyle w:val="Normal-table"/>
              <w:cnfStyle w:val="000000100000" w:firstRow="0" w:lastRow="0" w:firstColumn="0" w:lastColumn="0" w:oddVBand="0" w:evenVBand="0" w:oddHBand="1" w:evenHBand="0" w:firstRowFirstColumn="0" w:firstRowLastColumn="0" w:lastRowFirstColumn="0" w:lastRowLastColumn="0"/>
            </w:pPr>
            <w:r>
              <w:t>7</w:t>
            </w:r>
          </w:p>
        </w:tc>
        <w:tc>
          <w:tcPr>
            <w:tcW w:w="709" w:type="pct"/>
          </w:tcPr>
          <w:p w14:paraId="06EE3F35" w14:textId="77777777" w:rsidR="0057796E" w:rsidRDefault="0057796E" w:rsidP="000708AF">
            <w:pPr>
              <w:pStyle w:val="Normal-table"/>
              <w:cnfStyle w:val="000000100000" w:firstRow="0" w:lastRow="0" w:firstColumn="0" w:lastColumn="0" w:oddVBand="0" w:evenVBand="0" w:oddHBand="1" w:evenHBand="0" w:firstRowFirstColumn="0" w:firstRowLastColumn="0" w:lastRowFirstColumn="0" w:lastRowLastColumn="0"/>
            </w:pPr>
            <w:r>
              <w:t>27</w:t>
            </w:r>
          </w:p>
        </w:tc>
      </w:tr>
      <w:tr w:rsidR="0057796E" w14:paraId="1139B98B" w14:textId="77777777" w:rsidTr="00A74536">
        <w:tc>
          <w:tcPr>
            <w:cnfStyle w:val="001000000000" w:firstRow="0" w:lastRow="0" w:firstColumn="1" w:lastColumn="0" w:oddVBand="0" w:evenVBand="0" w:oddHBand="0" w:evenHBand="0" w:firstRowFirstColumn="0" w:firstRowLastColumn="0" w:lastRowFirstColumn="0" w:lastRowLastColumn="0"/>
            <w:tcW w:w="718" w:type="pct"/>
          </w:tcPr>
          <w:p w14:paraId="5892E29B" w14:textId="77777777" w:rsidR="0057796E" w:rsidRDefault="0057796E" w:rsidP="000708AF">
            <w:pPr>
              <w:pStyle w:val="Normal-table"/>
            </w:pPr>
            <w:r>
              <w:t>2014–15</w:t>
            </w:r>
          </w:p>
        </w:tc>
        <w:tc>
          <w:tcPr>
            <w:tcW w:w="713" w:type="pct"/>
          </w:tcPr>
          <w:p w14:paraId="160C2DDA" w14:textId="77777777" w:rsidR="0057796E" w:rsidRDefault="0057796E" w:rsidP="000708AF">
            <w:pPr>
              <w:pStyle w:val="Normal-table"/>
              <w:cnfStyle w:val="000000000000" w:firstRow="0" w:lastRow="0" w:firstColumn="0" w:lastColumn="0" w:oddVBand="0" w:evenVBand="0" w:oddHBand="0" w:evenHBand="0" w:firstRowFirstColumn="0" w:firstRowLastColumn="0" w:lastRowFirstColumn="0" w:lastRowLastColumn="0"/>
            </w:pPr>
            <w:r>
              <w:t>8</w:t>
            </w:r>
          </w:p>
        </w:tc>
        <w:tc>
          <w:tcPr>
            <w:tcW w:w="722" w:type="pct"/>
          </w:tcPr>
          <w:p w14:paraId="6C47B9FE" w14:textId="77777777" w:rsidR="0057796E" w:rsidRDefault="0057796E" w:rsidP="000708AF">
            <w:pPr>
              <w:pStyle w:val="Normal-table"/>
              <w:cnfStyle w:val="000000000000" w:firstRow="0" w:lastRow="0" w:firstColumn="0" w:lastColumn="0" w:oddVBand="0" w:evenVBand="0" w:oddHBand="0" w:evenHBand="0" w:firstRowFirstColumn="0" w:firstRowLastColumn="0" w:lastRowFirstColumn="0" w:lastRowLastColumn="0"/>
            </w:pPr>
            <w:r>
              <w:t>6</w:t>
            </w:r>
          </w:p>
        </w:tc>
        <w:tc>
          <w:tcPr>
            <w:tcW w:w="708" w:type="pct"/>
          </w:tcPr>
          <w:p w14:paraId="16B72F26" w14:textId="77777777" w:rsidR="0057796E" w:rsidRDefault="0057796E" w:rsidP="000708AF">
            <w:pPr>
              <w:pStyle w:val="Normal-table"/>
              <w:cnfStyle w:val="000000000000" w:firstRow="0" w:lastRow="0" w:firstColumn="0" w:lastColumn="0" w:oddVBand="0" w:evenVBand="0" w:oddHBand="0" w:evenHBand="0" w:firstRowFirstColumn="0" w:firstRowLastColumn="0" w:lastRowFirstColumn="0" w:lastRowLastColumn="0"/>
            </w:pPr>
            <w:r>
              <w:t>1</w:t>
            </w:r>
          </w:p>
        </w:tc>
        <w:tc>
          <w:tcPr>
            <w:tcW w:w="719" w:type="pct"/>
          </w:tcPr>
          <w:p w14:paraId="0C98919C" w14:textId="77777777" w:rsidR="0057796E" w:rsidRDefault="0057796E" w:rsidP="000708AF">
            <w:pPr>
              <w:pStyle w:val="Normal-table"/>
              <w:cnfStyle w:val="000000000000" w:firstRow="0" w:lastRow="0" w:firstColumn="0" w:lastColumn="0" w:oddVBand="0" w:evenVBand="0" w:oddHBand="0" w:evenHBand="0" w:firstRowFirstColumn="0" w:firstRowLastColumn="0" w:lastRowFirstColumn="0" w:lastRowLastColumn="0"/>
            </w:pPr>
            <w:r>
              <w:t>0</w:t>
            </w:r>
          </w:p>
        </w:tc>
        <w:tc>
          <w:tcPr>
            <w:tcW w:w="711" w:type="pct"/>
          </w:tcPr>
          <w:p w14:paraId="5416C81D" w14:textId="77777777" w:rsidR="0057796E" w:rsidRDefault="0057796E" w:rsidP="000708AF">
            <w:pPr>
              <w:pStyle w:val="Normal-table"/>
              <w:cnfStyle w:val="000000000000" w:firstRow="0" w:lastRow="0" w:firstColumn="0" w:lastColumn="0" w:oddVBand="0" w:evenVBand="0" w:oddHBand="0" w:evenHBand="0" w:firstRowFirstColumn="0" w:firstRowLastColumn="0" w:lastRowFirstColumn="0" w:lastRowLastColumn="0"/>
            </w:pPr>
            <w:r>
              <w:t>2</w:t>
            </w:r>
          </w:p>
        </w:tc>
        <w:tc>
          <w:tcPr>
            <w:tcW w:w="709" w:type="pct"/>
          </w:tcPr>
          <w:p w14:paraId="0907F474" w14:textId="77777777" w:rsidR="0057796E" w:rsidRDefault="0057796E" w:rsidP="000708AF">
            <w:pPr>
              <w:pStyle w:val="Normal-table"/>
              <w:cnfStyle w:val="000000000000" w:firstRow="0" w:lastRow="0" w:firstColumn="0" w:lastColumn="0" w:oddVBand="0" w:evenVBand="0" w:oddHBand="0" w:evenHBand="0" w:firstRowFirstColumn="0" w:firstRowLastColumn="0" w:lastRowFirstColumn="0" w:lastRowLastColumn="0"/>
            </w:pPr>
            <w:r>
              <w:t>17</w:t>
            </w:r>
          </w:p>
        </w:tc>
      </w:tr>
      <w:tr w:rsidR="0057796E" w14:paraId="0986EAFF" w14:textId="77777777" w:rsidTr="00A7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pct"/>
          </w:tcPr>
          <w:p w14:paraId="6E8FD432" w14:textId="77777777" w:rsidR="0057796E" w:rsidRDefault="0057796E" w:rsidP="000708AF">
            <w:pPr>
              <w:pStyle w:val="Normal-table"/>
            </w:pPr>
            <w:r>
              <w:t>2015–16</w:t>
            </w:r>
          </w:p>
        </w:tc>
        <w:tc>
          <w:tcPr>
            <w:tcW w:w="713" w:type="pct"/>
          </w:tcPr>
          <w:p w14:paraId="1ECC860A" w14:textId="77777777" w:rsidR="0057796E" w:rsidRDefault="0057796E" w:rsidP="000708AF">
            <w:pPr>
              <w:pStyle w:val="Normal-table"/>
              <w:cnfStyle w:val="000000100000" w:firstRow="0" w:lastRow="0" w:firstColumn="0" w:lastColumn="0" w:oddVBand="0" w:evenVBand="0" w:oddHBand="1" w:evenHBand="0" w:firstRowFirstColumn="0" w:firstRowLastColumn="0" w:lastRowFirstColumn="0" w:lastRowLastColumn="0"/>
            </w:pPr>
            <w:r>
              <w:t>11</w:t>
            </w:r>
          </w:p>
        </w:tc>
        <w:tc>
          <w:tcPr>
            <w:tcW w:w="722" w:type="pct"/>
          </w:tcPr>
          <w:p w14:paraId="273EFB7C" w14:textId="77777777" w:rsidR="0057796E" w:rsidRDefault="0057796E" w:rsidP="000708AF">
            <w:pPr>
              <w:pStyle w:val="Normal-table"/>
              <w:cnfStyle w:val="000000100000" w:firstRow="0" w:lastRow="0" w:firstColumn="0" w:lastColumn="0" w:oddVBand="0" w:evenVBand="0" w:oddHBand="1" w:evenHBand="0" w:firstRowFirstColumn="0" w:firstRowLastColumn="0" w:lastRowFirstColumn="0" w:lastRowLastColumn="0"/>
            </w:pPr>
            <w:r>
              <w:t>13</w:t>
            </w:r>
          </w:p>
        </w:tc>
        <w:tc>
          <w:tcPr>
            <w:tcW w:w="708" w:type="pct"/>
          </w:tcPr>
          <w:p w14:paraId="36429352" w14:textId="77777777" w:rsidR="0057796E" w:rsidRDefault="0057796E" w:rsidP="000708AF">
            <w:pPr>
              <w:pStyle w:val="Normal-table"/>
              <w:cnfStyle w:val="000000100000" w:firstRow="0" w:lastRow="0" w:firstColumn="0" w:lastColumn="0" w:oddVBand="0" w:evenVBand="0" w:oddHBand="1" w:evenHBand="0" w:firstRowFirstColumn="0" w:firstRowLastColumn="0" w:lastRowFirstColumn="0" w:lastRowLastColumn="0"/>
            </w:pPr>
            <w:r>
              <w:t>9</w:t>
            </w:r>
          </w:p>
        </w:tc>
        <w:tc>
          <w:tcPr>
            <w:tcW w:w="719" w:type="pct"/>
          </w:tcPr>
          <w:p w14:paraId="331A915F" w14:textId="77777777" w:rsidR="0057796E" w:rsidRDefault="0057796E" w:rsidP="000708AF">
            <w:pPr>
              <w:pStyle w:val="Normal-table"/>
              <w:cnfStyle w:val="000000100000" w:firstRow="0" w:lastRow="0" w:firstColumn="0" w:lastColumn="0" w:oddVBand="0" w:evenVBand="0" w:oddHBand="1" w:evenHBand="0" w:firstRowFirstColumn="0" w:firstRowLastColumn="0" w:lastRowFirstColumn="0" w:lastRowLastColumn="0"/>
            </w:pPr>
            <w:r>
              <w:t>2</w:t>
            </w:r>
          </w:p>
        </w:tc>
        <w:tc>
          <w:tcPr>
            <w:tcW w:w="711" w:type="pct"/>
          </w:tcPr>
          <w:p w14:paraId="1D47C886" w14:textId="77777777" w:rsidR="0057796E" w:rsidRDefault="0057796E" w:rsidP="000708AF">
            <w:pPr>
              <w:pStyle w:val="Normal-table"/>
              <w:cnfStyle w:val="000000100000" w:firstRow="0" w:lastRow="0" w:firstColumn="0" w:lastColumn="0" w:oddVBand="0" w:evenVBand="0" w:oddHBand="1" w:evenHBand="0" w:firstRowFirstColumn="0" w:firstRowLastColumn="0" w:lastRowFirstColumn="0" w:lastRowLastColumn="0"/>
            </w:pPr>
            <w:r>
              <w:t>2</w:t>
            </w:r>
          </w:p>
        </w:tc>
        <w:tc>
          <w:tcPr>
            <w:tcW w:w="709" w:type="pct"/>
          </w:tcPr>
          <w:p w14:paraId="65E47C71" w14:textId="77777777" w:rsidR="0057796E" w:rsidRDefault="0057796E" w:rsidP="000708AF">
            <w:pPr>
              <w:pStyle w:val="Normal-table"/>
              <w:cnfStyle w:val="000000100000" w:firstRow="0" w:lastRow="0" w:firstColumn="0" w:lastColumn="0" w:oddVBand="0" w:evenVBand="0" w:oddHBand="1" w:evenHBand="0" w:firstRowFirstColumn="0" w:firstRowLastColumn="0" w:lastRowFirstColumn="0" w:lastRowLastColumn="0"/>
            </w:pPr>
            <w:r>
              <w:t>37</w:t>
            </w:r>
          </w:p>
        </w:tc>
      </w:tr>
      <w:tr w:rsidR="0057796E" w14:paraId="61C7D62C" w14:textId="77777777" w:rsidTr="00A74536">
        <w:tc>
          <w:tcPr>
            <w:cnfStyle w:val="001000000000" w:firstRow="0" w:lastRow="0" w:firstColumn="1" w:lastColumn="0" w:oddVBand="0" w:evenVBand="0" w:oddHBand="0" w:evenHBand="0" w:firstRowFirstColumn="0" w:firstRowLastColumn="0" w:lastRowFirstColumn="0" w:lastRowLastColumn="0"/>
            <w:tcW w:w="718" w:type="pct"/>
          </w:tcPr>
          <w:p w14:paraId="17F1FA5A" w14:textId="77777777" w:rsidR="0057796E" w:rsidRDefault="0057796E" w:rsidP="000708AF">
            <w:pPr>
              <w:pStyle w:val="Normal-table"/>
            </w:pPr>
            <w:r>
              <w:t>2016–17</w:t>
            </w:r>
          </w:p>
        </w:tc>
        <w:tc>
          <w:tcPr>
            <w:tcW w:w="713" w:type="pct"/>
          </w:tcPr>
          <w:p w14:paraId="391E0DA3" w14:textId="77777777" w:rsidR="0057796E" w:rsidRDefault="0057796E" w:rsidP="000708AF">
            <w:pPr>
              <w:pStyle w:val="Normal-table"/>
              <w:cnfStyle w:val="000000000000" w:firstRow="0" w:lastRow="0" w:firstColumn="0" w:lastColumn="0" w:oddVBand="0" w:evenVBand="0" w:oddHBand="0" w:evenHBand="0" w:firstRowFirstColumn="0" w:firstRowLastColumn="0" w:lastRowFirstColumn="0" w:lastRowLastColumn="0"/>
            </w:pPr>
            <w:r>
              <w:t>14</w:t>
            </w:r>
          </w:p>
        </w:tc>
        <w:tc>
          <w:tcPr>
            <w:tcW w:w="722" w:type="pct"/>
          </w:tcPr>
          <w:p w14:paraId="50FDEFDE" w14:textId="77777777" w:rsidR="0057796E" w:rsidRDefault="0057796E" w:rsidP="000708AF">
            <w:pPr>
              <w:pStyle w:val="Normal-table"/>
              <w:cnfStyle w:val="000000000000" w:firstRow="0" w:lastRow="0" w:firstColumn="0" w:lastColumn="0" w:oddVBand="0" w:evenVBand="0" w:oddHBand="0" w:evenHBand="0" w:firstRowFirstColumn="0" w:firstRowLastColumn="0" w:lastRowFirstColumn="0" w:lastRowLastColumn="0"/>
            </w:pPr>
            <w:r>
              <w:t>12</w:t>
            </w:r>
          </w:p>
        </w:tc>
        <w:tc>
          <w:tcPr>
            <w:tcW w:w="708" w:type="pct"/>
          </w:tcPr>
          <w:p w14:paraId="38E806B1" w14:textId="77777777" w:rsidR="0057796E" w:rsidRDefault="0057796E" w:rsidP="000708AF">
            <w:pPr>
              <w:pStyle w:val="Normal-table"/>
              <w:cnfStyle w:val="000000000000" w:firstRow="0" w:lastRow="0" w:firstColumn="0" w:lastColumn="0" w:oddVBand="0" w:evenVBand="0" w:oddHBand="0" w:evenHBand="0" w:firstRowFirstColumn="0" w:firstRowLastColumn="0" w:lastRowFirstColumn="0" w:lastRowLastColumn="0"/>
            </w:pPr>
            <w:r>
              <w:t>6</w:t>
            </w:r>
          </w:p>
        </w:tc>
        <w:tc>
          <w:tcPr>
            <w:tcW w:w="719" w:type="pct"/>
          </w:tcPr>
          <w:p w14:paraId="3855957C" w14:textId="77777777" w:rsidR="0057796E" w:rsidRDefault="0057796E" w:rsidP="000708AF">
            <w:pPr>
              <w:pStyle w:val="Normal-table"/>
              <w:cnfStyle w:val="000000000000" w:firstRow="0" w:lastRow="0" w:firstColumn="0" w:lastColumn="0" w:oddVBand="0" w:evenVBand="0" w:oddHBand="0" w:evenHBand="0" w:firstRowFirstColumn="0" w:firstRowLastColumn="0" w:lastRowFirstColumn="0" w:lastRowLastColumn="0"/>
            </w:pPr>
            <w:r>
              <w:t>1</w:t>
            </w:r>
          </w:p>
        </w:tc>
        <w:tc>
          <w:tcPr>
            <w:tcW w:w="711" w:type="pct"/>
          </w:tcPr>
          <w:p w14:paraId="46548013" w14:textId="77777777" w:rsidR="0057796E" w:rsidRDefault="0057796E" w:rsidP="000708AF">
            <w:pPr>
              <w:pStyle w:val="Normal-table"/>
              <w:cnfStyle w:val="000000000000" w:firstRow="0" w:lastRow="0" w:firstColumn="0" w:lastColumn="0" w:oddVBand="0" w:evenVBand="0" w:oddHBand="0" w:evenHBand="0" w:firstRowFirstColumn="0" w:firstRowLastColumn="0" w:lastRowFirstColumn="0" w:lastRowLastColumn="0"/>
            </w:pPr>
            <w:r>
              <w:t>0</w:t>
            </w:r>
          </w:p>
        </w:tc>
        <w:tc>
          <w:tcPr>
            <w:tcW w:w="709" w:type="pct"/>
          </w:tcPr>
          <w:p w14:paraId="32C2446D" w14:textId="77777777" w:rsidR="0057796E" w:rsidRDefault="0057796E" w:rsidP="000708AF">
            <w:pPr>
              <w:pStyle w:val="Normal-table"/>
              <w:cnfStyle w:val="000000000000" w:firstRow="0" w:lastRow="0" w:firstColumn="0" w:lastColumn="0" w:oddVBand="0" w:evenVBand="0" w:oddHBand="0" w:evenHBand="0" w:firstRowFirstColumn="0" w:firstRowLastColumn="0" w:lastRowFirstColumn="0" w:lastRowLastColumn="0"/>
            </w:pPr>
            <w:r>
              <w:t>33</w:t>
            </w:r>
          </w:p>
        </w:tc>
      </w:tr>
      <w:tr w:rsidR="0057796E" w14:paraId="4CA2D589" w14:textId="77777777" w:rsidTr="00A7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pct"/>
          </w:tcPr>
          <w:p w14:paraId="4A704840" w14:textId="77777777" w:rsidR="0057796E" w:rsidRDefault="0057796E" w:rsidP="000708AF">
            <w:pPr>
              <w:pStyle w:val="Normal-table"/>
            </w:pPr>
            <w:r>
              <w:t>2017–18</w:t>
            </w:r>
          </w:p>
        </w:tc>
        <w:tc>
          <w:tcPr>
            <w:tcW w:w="713" w:type="pct"/>
          </w:tcPr>
          <w:p w14:paraId="5090992A" w14:textId="77777777" w:rsidR="0057796E" w:rsidRDefault="0057796E" w:rsidP="000708AF">
            <w:pPr>
              <w:pStyle w:val="Normal-table"/>
              <w:cnfStyle w:val="000000100000" w:firstRow="0" w:lastRow="0" w:firstColumn="0" w:lastColumn="0" w:oddVBand="0" w:evenVBand="0" w:oddHBand="1" w:evenHBand="0" w:firstRowFirstColumn="0" w:firstRowLastColumn="0" w:lastRowFirstColumn="0" w:lastRowLastColumn="0"/>
            </w:pPr>
            <w:r>
              <w:t>13</w:t>
            </w:r>
          </w:p>
        </w:tc>
        <w:tc>
          <w:tcPr>
            <w:tcW w:w="722" w:type="pct"/>
          </w:tcPr>
          <w:p w14:paraId="5650B8E6" w14:textId="77777777" w:rsidR="0057796E" w:rsidRDefault="0057796E" w:rsidP="000708AF">
            <w:pPr>
              <w:pStyle w:val="Normal-table"/>
              <w:cnfStyle w:val="000000100000" w:firstRow="0" w:lastRow="0" w:firstColumn="0" w:lastColumn="0" w:oddVBand="0" w:evenVBand="0" w:oddHBand="1" w:evenHBand="0" w:firstRowFirstColumn="0" w:firstRowLastColumn="0" w:lastRowFirstColumn="0" w:lastRowLastColumn="0"/>
            </w:pPr>
            <w:r>
              <w:t>10</w:t>
            </w:r>
          </w:p>
        </w:tc>
        <w:tc>
          <w:tcPr>
            <w:tcW w:w="708" w:type="pct"/>
          </w:tcPr>
          <w:p w14:paraId="71D224D2" w14:textId="77777777" w:rsidR="0057796E" w:rsidRDefault="0057796E" w:rsidP="000708AF">
            <w:pPr>
              <w:pStyle w:val="Normal-table"/>
              <w:cnfStyle w:val="000000100000" w:firstRow="0" w:lastRow="0" w:firstColumn="0" w:lastColumn="0" w:oddVBand="0" w:evenVBand="0" w:oddHBand="1" w:evenHBand="0" w:firstRowFirstColumn="0" w:firstRowLastColumn="0" w:lastRowFirstColumn="0" w:lastRowLastColumn="0"/>
            </w:pPr>
            <w:r>
              <w:t>7</w:t>
            </w:r>
          </w:p>
        </w:tc>
        <w:tc>
          <w:tcPr>
            <w:tcW w:w="719" w:type="pct"/>
          </w:tcPr>
          <w:p w14:paraId="25DB8141" w14:textId="77777777" w:rsidR="0057796E" w:rsidRDefault="0057796E" w:rsidP="000708AF">
            <w:pPr>
              <w:pStyle w:val="Normal-table"/>
              <w:cnfStyle w:val="000000100000" w:firstRow="0" w:lastRow="0" w:firstColumn="0" w:lastColumn="0" w:oddVBand="0" w:evenVBand="0" w:oddHBand="1" w:evenHBand="0" w:firstRowFirstColumn="0" w:firstRowLastColumn="0" w:lastRowFirstColumn="0" w:lastRowLastColumn="0"/>
            </w:pPr>
            <w:r>
              <w:t>0</w:t>
            </w:r>
          </w:p>
        </w:tc>
        <w:tc>
          <w:tcPr>
            <w:tcW w:w="711" w:type="pct"/>
          </w:tcPr>
          <w:p w14:paraId="70FA62EB" w14:textId="77777777" w:rsidR="0057796E" w:rsidRDefault="0057796E" w:rsidP="000708AF">
            <w:pPr>
              <w:pStyle w:val="Normal-table"/>
              <w:cnfStyle w:val="000000100000" w:firstRow="0" w:lastRow="0" w:firstColumn="0" w:lastColumn="0" w:oddVBand="0" w:evenVBand="0" w:oddHBand="1" w:evenHBand="0" w:firstRowFirstColumn="0" w:firstRowLastColumn="0" w:lastRowFirstColumn="0" w:lastRowLastColumn="0"/>
            </w:pPr>
            <w:r>
              <w:t>5</w:t>
            </w:r>
          </w:p>
        </w:tc>
        <w:tc>
          <w:tcPr>
            <w:tcW w:w="709" w:type="pct"/>
          </w:tcPr>
          <w:p w14:paraId="50B1B613" w14:textId="77777777" w:rsidR="0057796E" w:rsidRDefault="0057796E" w:rsidP="000708AF">
            <w:pPr>
              <w:pStyle w:val="Normal-table"/>
              <w:cnfStyle w:val="000000100000" w:firstRow="0" w:lastRow="0" w:firstColumn="0" w:lastColumn="0" w:oddVBand="0" w:evenVBand="0" w:oddHBand="1" w:evenHBand="0" w:firstRowFirstColumn="0" w:firstRowLastColumn="0" w:lastRowFirstColumn="0" w:lastRowLastColumn="0"/>
            </w:pPr>
            <w:r>
              <w:t>35</w:t>
            </w:r>
          </w:p>
        </w:tc>
      </w:tr>
      <w:tr w:rsidR="0057796E" w14:paraId="2BD7CEFB" w14:textId="77777777" w:rsidTr="00A74536">
        <w:tc>
          <w:tcPr>
            <w:cnfStyle w:val="001000000000" w:firstRow="0" w:lastRow="0" w:firstColumn="1" w:lastColumn="0" w:oddVBand="0" w:evenVBand="0" w:oddHBand="0" w:evenHBand="0" w:firstRowFirstColumn="0" w:firstRowLastColumn="0" w:lastRowFirstColumn="0" w:lastRowLastColumn="0"/>
            <w:tcW w:w="718" w:type="pct"/>
          </w:tcPr>
          <w:p w14:paraId="1DE6D26C" w14:textId="77777777" w:rsidR="0057796E" w:rsidRDefault="0057796E" w:rsidP="000708AF">
            <w:pPr>
              <w:pStyle w:val="Normal-table"/>
            </w:pPr>
            <w:r>
              <w:t>2018–19</w:t>
            </w:r>
          </w:p>
        </w:tc>
        <w:tc>
          <w:tcPr>
            <w:tcW w:w="713" w:type="pct"/>
          </w:tcPr>
          <w:p w14:paraId="3B23310E" w14:textId="77777777" w:rsidR="0057796E" w:rsidRDefault="0057796E" w:rsidP="000708AF">
            <w:pPr>
              <w:pStyle w:val="Normal-table"/>
              <w:cnfStyle w:val="000000000000" w:firstRow="0" w:lastRow="0" w:firstColumn="0" w:lastColumn="0" w:oddVBand="0" w:evenVBand="0" w:oddHBand="0" w:evenHBand="0" w:firstRowFirstColumn="0" w:firstRowLastColumn="0" w:lastRowFirstColumn="0" w:lastRowLastColumn="0"/>
            </w:pPr>
            <w:r>
              <w:t>14</w:t>
            </w:r>
          </w:p>
        </w:tc>
        <w:tc>
          <w:tcPr>
            <w:tcW w:w="722" w:type="pct"/>
          </w:tcPr>
          <w:p w14:paraId="501DCC4A" w14:textId="77777777" w:rsidR="0057796E" w:rsidRDefault="0057796E" w:rsidP="000708AF">
            <w:pPr>
              <w:pStyle w:val="Normal-table"/>
              <w:cnfStyle w:val="000000000000" w:firstRow="0" w:lastRow="0" w:firstColumn="0" w:lastColumn="0" w:oddVBand="0" w:evenVBand="0" w:oddHBand="0" w:evenHBand="0" w:firstRowFirstColumn="0" w:firstRowLastColumn="0" w:lastRowFirstColumn="0" w:lastRowLastColumn="0"/>
            </w:pPr>
            <w:r>
              <w:t>14</w:t>
            </w:r>
          </w:p>
        </w:tc>
        <w:tc>
          <w:tcPr>
            <w:tcW w:w="708" w:type="pct"/>
          </w:tcPr>
          <w:p w14:paraId="2233036F" w14:textId="77777777" w:rsidR="0057796E" w:rsidRDefault="0057796E" w:rsidP="000708AF">
            <w:pPr>
              <w:pStyle w:val="Normal-table"/>
              <w:cnfStyle w:val="000000000000" w:firstRow="0" w:lastRow="0" w:firstColumn="0" w:lastColumn="0" w:oddVBand="0" w:evenVBand="0" w:oddHBand="0" w:evenHBand="0" w:firstRowFirstColumn="0" w:firstRowLastColumn="0" w:lastRowFirstColumn="0" w:lastRowLastColumn="0"/>
            </w:pPr>
            <w:r>
              <w:t>6</w:t>
            </w:r>
          </w:p>
        </w:tc>
        <w:tc>
          <w:tcPr>
            <w:tcW w:w="719" w:type="pct"/>
          </w:tcPr>
          <w:p w14:paraId="1A1776EB" w14:textId="77777777" w:rsidR="0057796E" w:rsidRDefault="0057796E" w:rsidP="000708AF">
            <w:pPr>
              <w:pStyle w:val="Normal-table"/>
              <w:cnfStyle w:val="000000000000" w:firstRow="0" w:lastRow="0" w:firstColumn="0" w:lastColumn="0" w:oddVBand="0" w:evenVBand="0" w:oddHBand="0" w:evenHBand="0" w:firstRowFirstColumn="0" w:firstRowLastColumn="0" w:lastRowFirstColumn="0" w:lastRowLastColumn="0"/>
            </w:pPr>
            <w:r>
              <w:t>0</w:t>
            </w:r>
          </w:p>
        </w:tc>
        <w:tc>
          <w:tcPr>
            <w:tcW w:w="711" w:type="pct"/>
          </w:tcPr>
          <w:p w14:paraId="1139D4B0" w14:textId="77777777" w:rsidR="0057796E" w:rsidRDefault="0057796E" w:rsidP="000708AF">
            <w:pPr>
              <w:pStyle w:val="Normal-table"/>
              <w:cnfStyle w:val="000000000000" w:firstRow="0" w:lastRow="0" w:firstColumn="0" w:lastColumn="0" w:oddVBand="0" w:evenVBand="0" w:oddHBand="0" w:evenHBand="0" w:firstRowFirstColumn="0" w:firstRowLastColumn="0" w:lastRowFirstColumn="0" w:lastRowLastColumn="0"/>
            </w:pPr>
            <w:r>
              <w:t>2</w:t>
            </w:r>
          </w:p>
        </w:tc>
        <w:tc>
          <w:tcPr>
            <w:tcW w:w="709" w:type="pct"/>
          </w:tcPr>
          <w:p w14:paraId="72A12A11" w14:textId="77777777" w:rsidR="0057796E" w:rsidRDefault="0057796E" w:rsidP="000708AF">
            <w:pPr>
              <w:pStyle w:val="Normal-table"/>
              <w:cnfStyle w:val="000000000000" w:firstRow="0" w:lastRow="0" w:firstColumn="0" w:lastColumn="0" w:oddVBand="0" w:evenVBand="0" w:oddHBand="0" w:evenHBand="0" w:firstRowFirstColumn="0" w:firstRowLastColumn="0" w:lastRowFirstColumn="0" w:lastRowLastColumn="0"/>
            </w:pPr>
            <w:r>
              <w:t>36</w:t>
            </w:r>
          </w:p>
        </w:tc>
      </w:tr>
      <w:tr w:rsidR="0057796E" w14:paraId="239542D0" w14:textId="77777777" w:rsidTr="00A7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pct"/>
          </w:tcPr>
          <w:p w14:paraId="112C2FF4" w14:textId="77777777" w:rsidR="0057796E" w:rsidRDefault="0057796E" w:rsidP="000708AF">
            <w:pPr>
              <w:pStyle w:val="Normal-table"/>
            </w:pPr>
            <w:r>
              <w:t>2019–20</w:t>
            </w:r>
          </w:p>
        </w:tc>
        <w:tc>
          <w:tcPr>
            <w:tcW w:w="713" w:type="pct"/>
          </w:tcPr>
          <w:p w14:paraId="67386307" w14:textId="77777777" w:rsidR="0057796E" w:rsidRDefault="0057796E" w:rsidP="000708AF">
            <w:pPr>
              <w:pStyle w:val="Normal-table"/>
              <w:cnfStyle w:val="000000100000" w:firstRow="0" w:lastRow="0" w:firstColumn="0" w:lastColumn="0" w:oddVBand="0" w:evenVBand="0" w:oddHBand="1" w:evenHBand="0" w:firstRowFirstColumn="0" w:firstRowLastColumn="0" w:lastRowFirstColumn="0" w:lastRowLastColumn="0"/>
            </w:pPr>
            <w:r>
              <w:t>13</w:t>
            </w:r>
          </w:p>
        </w:tc>
        <w:tc>
          <w:tcPr>
            <w:tcW w:w="722" w:type="pct"/>
          </w:tcPr>
          <w:p w14:paraId="793BF701" w14:textId="77777777" w:rsidR="0057796E" w:rsidRDefault="0057796E" w:rsidP="000708AF">
            <w:pPr>
              <w:pStyle w:val="Normal-table"/>
              <w:cnfStyle w:val="000000100000" w:firstRow="0" w:lastRow="0" w:firstColumn="0" w:lastColumn="0" w:oddVBand="0" w:evenVBand="0" w:oddHBand="1" w:evenHBand="0" w:firstRowFirstColumn="0" w:firstRowLastColumn="0" w:lastRowFirstColumn="0" w:lastRowLastColumn="0"/>
            </w:pPr>
            <w:r>
              <w:t>9</w:t>
            </w:r>
          </w:p>
        </w:tc>
        <w:tc>
          <w:tcPr>
            <w:tcW w:w="708" w:type="pct"/>
          </w:tcPr>
          <w:p w14:paraId="0C7FDE0C" w14:textId="77777777" w:rsidR="0057796E" w:rsidRDefault="0057796E" w:rsidP="000708AF">
            <w:pPr>
              <w:pStyle w:val="Normal-table"/>
              <w:cnfStyle w:val="000000100000" w:firstRow="0" w:lastRow="0" w:firstColumn="0" w:lastColumn="0" w:oddVBand="0" w:evenVBand="0" w:oddHBand="1" w:evenHBand="0" w:firstRowFirstColumn="0" w:firstRowLastColumn="0" w:lastRowFirstColumn="0" w:lastRowLastColumn="0"/>
            </w:pPr>
            <w:r>
              <w:t>12</w:t>
            </w:r>
          </w:p>
        </w:tc>
        <w:tc>
          <w:tcPr>
            <w:tcW w:w="719" w:type="pct"/>
          </w:tcPr>
          <w:p w14:paraId="20762F6E" w14:textId="77777777" w:rsidR="0057796E" w:rsidRDefault="0057796E" w:rsidP="000708AF">
            <w:pPr>
              <w:pStyle w:val="Normal-table"/>
              <w:cnfStyle w:val="000000100000" w:firstRow="0" w:lastRow="0" w:firstColumn="0" w:lastColumn="0" w:oddVBand="0" w:evenVBand="0" w:oddHBand="1" w:evenHBand="0" w:firstRowFirstColumn="0" w:firstRowLastColumn="0" w:lastRowFirstColumn="0" w:lastRowLastColumn="0"/>
            </w:pPr>
            <w:r>
              <w:t>1</w:t>
            </w:r>
          </w:p>
        </w:tc>
        <w:tc>
          <w:tcPr>
            <w:tcW w:w="711" w:type="pct"/>
          </w:tcPr>
          <w:p w14:paraId="710643DC" w14:textId="77777777" w:rsidR="0057796E" w:rsidRDefault="0057796E" w:rsidP="000708AF">
            <w:pPr>
              <w:pStyle w:val="Normal-table"/>
              <w:cnfStyle w:val="000000100000" w:firstRow="0" w:lastRow="0" w:firstColumn="0" w:lastColumn="0" w:oddVBand="0" w:evenVBand="0" w:oddHBand="1" w:evenHBand="0" w:firstRowFirstColumn="0" w:firstRowLastColumn="0" w:lastRowFirstColumn="0" w:lastRowLastColumn="0"/>
            </w:pPr>
            <w:r>
              <w:t>1</w:t>
            </w:r>
          </w:p>
        </w:tc>
        <w:tc>
          <w:tcPr>
            <w:tcW w:w="709" w:type="pct"/>
          </w:tcPr>
          <w:p w14:paraId="186631E8" w14:textId="77777777" w:rsidR="0057796E" w:rsidRDefault="0057796E" w:rsidP="000708AF">
            <w:pPr>
              <w:pStyle w:val="Normal-table"/>
              <w:cnfStyle w:val="000000100000" w:firstRow="0" w:lastRow="0" w:firstColumn="0" w:lastColumn="0" w:oddVBand="0" w:evenVBand="0" w:oddHBand="1" w:evenHBand="0" w:firstRowFirstColumn="0" w:firstRowLastColumn="0" w:lastRowFirstColumn="0" w:lastRowLastColumn="0"/>
            </w:pPr>
            <w:r>
              <w:t>36</w:t>
            </w:r>
          </w:p>
        </w:tc>
      </w:tr>
      <w:tr w:rsidR="0057796E" w14:paraId="2CF15BB1" w14:textId="77777777" w:rsidTr="00A74536">
        <w:tc>
          <w:tcPr>
            <w:cnfStyle w:val="001000000000" w:firstRow="0" w:lastRow="0" w:firstColumn="1" w:lastColumn="0" w:oddVBand="0" w:evenVBand="0" w:oddHBand="0" w:evenHBand="0" w:firstRowFirstColumn="0" w:firstRowLastColumn="0" w:lastRowFirstColumn="0" w:lastRowLastColumn="0"/>
            <w:tcW w:w="718" w:type="pct"/>
          </w:tcPr>
          <w:p w14:paraId="3030DB83" w14:textId="77777777" w:rsidR="0057796E" w:rsidRDefault="0057796E" w:rsidP="000708AF">
            <w:pPr>
              <w:pStyle w:val="Normal-table"/>
            </w:pPr>
            <w:r>
              <w:t>2020–21</w:t>
            </w:r>
          </w:p>
        </w:tc>
        <w:tc>
          <w:tcPr>
            <w:tcW w:w="713" w:type="pct"/>
          </w:tcPr>
          <w:p w14:paraId="5D620209" w14:textId="77777777" w:rsidR="0057796E" w:rsidRDefault="0057796E" w:rsidP="000708AF">
            <w:pPr>
              <w:pStyle w:val="Normal-table"/>
              <w:cnfStyle w:val="000000000000" w:firstRow="0" w:lastRow="0" w:firstColumn="0" w:lastColumn="0" w:oddVBand="0" w:evenVBand="0" w:oddHBand="0" w:evenHBand="0" w:firstRowFirstColumn="0" w:firstRowLastColumn="0" w:lastRowFirstColumn="0" w:lastRowLastColumn="0"/>
            </w:pPr>
            <w:r>
              <w:t>8</w:t>
            </w:r>
          </w:p>
        </w:tc>
        <w:tc>
          <w:tcPr>
            <w:tcW w:w="722" w:type="pct"/>
          </w:tcPr>
          <w:p w14:paraId="13F4FE1F" w14:textId="77777777" w:rsidR="0057796E" w:rsidRDefault="0057796E" w:rsidP="000708AF">
            <w:pPr>
              <w:pStyle w:val="Normal-table"/>
              <w:cnfStyle w:val="000000000000" w:firstRow="0" w:lastRow="0" w:firstColumn="0" w:lastColumn="0" w:oddVBand="0" w:evenVBand="0" w:oddHBand="0" w:evenHBand="0" w:firstRowFirstColumn="0" w:firstRowLastColumn="0" w:lastRowFirstColumn="0" w:lastRowLastColumn="0"/>
            </w:pPr>
            <w:r>
              <w:t>14</w:t>
            </w:r>
          </w:p>
        </w:tc>
        <w:tc>
          <w:tcPr>
            <w:tcW w:w="708" w:type="pct"/>
          </w:tcPr>
          <w:p w14:paraId="38C59F7D" w14:textId="77777777" w:rsidR="0057796E" w:rsidRDefault="0057796E" w:rsidP="000708AF">
            <w:pPr>
              <w:pStyle w:val="Normal-table"/>
              <w:cnfStyle w:val="000000000000" w:firstRow="0" w:lastRow="0" w:firstColumn="0" w:lastColumn="0" w:oddVBand="0" w:evenVBand="0" w:oddHBand="0" w:evenHBand="0" w:firstRowFirstColumn="0" w:firstRowLastColumn="0" w:lastRowFirstColumn="0" w:lastRowLastColumn="0"/>
            </w:pPr>
            <w:r>
              <w:t>10</w:t>
            </w:r>
          </w:p>
        </w:tc>
        <w:tc>
          <w:tcPr>
            <w:tcW w:w="719" w:type="pct"/>
          </w:tcPr>
          <w:p w14:paraId="1084490B" w14:textId="77777777" w:rsidR="0057796E" w:rsidRDefault="0057796E" w:rsidP="000708AF">
            <w:pPr>
              <w:pStyle w:val="Normal-table"/>
              <w:cnfStyle w:val="000000000000" w:firstRow="0" w:lastRow="0" w:firstColumn="0" w:lastColumn="0" w:oddVBand="0" w:evenVBand="0" w:oddHBand="0" w:evenHBand="0" w:firstRowFirstColumn="0" w:firstRowLastColumn="0" w:lastRowFirstColumn="0" w:lastRowLastColumn="0"/>
            </w:pPr>
            <w:r>
              <w:t>1</w:t>
            </w:r>
          </w:p>
        </w:tc>
        <w:tc>
          <w:tcPr>
            <w:tcW w:w="711" w:type="pct"/>
          </w:tcPr>
          <w:p w14:paraId="3DF2DB2D" w14:textId="77777777" w:rsidR="0057796E" w:rsidRDefault="0057796E" w:rsidP="000708AF">
            <w:pPr>
              <w:pStyle w:val="Normal-table"/>
              <w:cnfStyle w:val="000000000000" w:firstRow="0" w:lastRow="0" w:firstColumn="0" w:lastColumn="0" w:oddVBand="0" w:evenVBand="0" w:oddHBand="0" w:evenHBand="0" w:firstRowFirstColumn="0" w:firstRowLastColumn="0" w:lastRowFirstColumn="0" w:lastRowLastColumn="0"/>
            </w:pPr>
            <w:r>
              <w:t>4</w:t>
            </w:r>
          </w:p>
        </w:tc>
        <w:tc>
          <w:tcPr>
            <w:tcW w:w="709" w:type="pct"/>
          </w:tcPr>
          <w:p w14:paraId="28CF1F52" w14:textId="77777777" w:rsidR="0057796E" w:rsidRDefault="0057796E" w:rsidP="000708AF">
            <w:pPr>
              <w:pStyle w:val="Normal-table"/>
              <w:cnfStyle w:val="000000000000" w:firstRow="0" w:lastRow="0" w:firstColumn="0" w:lastColumn="0" w:oddVBand="0" w:evenVBand="0" w:oddHBand="0" w:evenHBand="0" w:firstRowFirstColumn="0" w:firstRowLastColumn="0" w:lastRowFirstColumn="0" w:lastRowLastColumn="0"/>
            </w:pPr>
            <w:r>
              <w:t>37</w:t>
            </w:r>
          </w:p>
        </w:tc>
      </w:tr>
      <w:tr w:rsidR="0057796E" w14:paraId="28721932" w14:textId="77777777" w:rsidTr="00A7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pct"/>
          </w:tcPr>
          <w:p w14:paraId="4257530B" w14:textId="77777777" w:rsidR="0057796E" w:rsidRDefault="0057796E" w:rsidP="000708AF">
            <w:pPr>
              <w:pStyle w:val="Normal-table"/>
            </w:pPr>
            <w:r>
              <w:t>2021–22</w:t>
            </w:r>
          </w:p>
        </w:tc>
        <w:tc>
          <w:tcPr>
            <w:tcW w:w="713" w:type="pct"/>
          </w:tcPr>
          <w:p w14:paraId="2B199A40" w14:textId="77777777" w:rsidR="0057796E" w:rsidRDefault="0057796E" w:rsidP="000708AF">
            <w:pPr>
              <w:pStyle w:val="Normal-table"/>
              <w:cnfStyle w:val="000000100000" w:firstRow="0" w:lastRow="0" w:firstColumn="0" w:lastColumn="0" w:oddVBand="0" w:evenVBand="0" w:oddHBand="1" w:evenHBand="0" w:firstRowFirstColumn="0" w:firstRowLastColumn="0" w:lastRowFirstColumn="0" w:lastRowLastColumn="0"/>
            </w:pPr>
            <w:r>
              <w:t>12</w:t>
            </w:r>
          </w:p>
        </w:tc>
        <w:tc>
          <w:tcPr>
            <w:tcW w:w="722" w:type="pct"/>
          </w:tcPr>
          <w:p w14:paraId="103F4725" w14:textId="77777777" w:rsidR="0057796E" w:rsidRDefault="0057796E" w:rsidP="000708AF">
            <w:pPr>
              <w:pStyle w:val="Normal-table"/>
              <w:cnfStyle w:val="000000100000" w:firstRow="0" w:lastRow="0" w:firstColumn="0" w:lastColumn="0" w:oddVBand="0" w:evenVBand="0" w:oddHBand="1" w:evenHBand="0" w:firstRowFirstColumn="0" w:firstRowLastColumn="0" w:lastRowFirstColumn="0" w:lastRowLastColumn="0"/>
            </w:pPr>
            <w:r>
              <w:t>15</w:t>
            </w:r>
          </w:p>
        </w:tc>
        <w:tc>
          <w:tcPr>
            <w:tcW w:w="708" w:type="pct"/>
          </w:tcPr>
          <w:p w14:paraId="66990B44" w14:textId="77777777" w:rsidR="0057796E" w:rsidRDefault="0057796E" w:rsidP="000708AF">
            <w:pPr>
              <w:pStyle w:val="Normal-table"/>
              <w:cnfStyle w:val="000000100000" w:firstRow="0" w:lastRow="0" w:firstColumn="0" w:lastColumn="0" w:oddVBand="0" w:evenVBand="0" w:oddHBand="1" w:evenHBand="0" w:firstRowFirstColumn="0" w:firstRowLastColumn="0" w:lastRowFirstColumn="0" w:lastRowLastColumn="0"/>
            </w:pPr>
            <w:r>
              <w:t>8</w:t>
            </w:r>
          </w:p>
        </w:tc>
        <w:tc>
          <w:tcPr>
            <w:tcW w:w="719" w:type="pct"/>
          </w:tcPr>
          <w:p w14:paraId="18520BB8" w14:textId="77777777" w:rsidR="0057796E" w:rsidRDefault="0057796E" w:rsidP="000708AF">
            <w:pPr>
              <w:pStyle w:val="Normal-table"/>
              <w:cnfStyle w:val="000000100000" w:firstRow="0" w:lastRow="0" w:firstColumn="0" w:lastColumn="0" w:oddVBand="0" w:evenVBand="0" w:oddHBand="1" w:evenHBand="0" w:firstRowFirstColumn="0" w:firstRowLastColumn="0" w:lastRowFirstColumn="0" w:lastRowLastColumn="0"/>
            </w:pPr>
            <w:r>
              <w:t>0</w:t>
            </w:r>
          </w:p>
        </w:tc>
        <w:tc>
          <w:tcPr>
            <w:tcW w:w="711" w:type="pct"/>
          </w:tcPr>
          <w:p w14:paraId="1E98476B" w14:textId="77777777" w:rsidR="0057796E" w:rsidRDefault="0057796E" w:rsidP="000708AF">
            <w:pPr>
              <w:pStyle w:val="Normal-table"/>
              <w:cnfStyle w:val="000000100000" w:firstRow="0" w:lastRow="0" w:firstColumn="0" w:lastColumn="0" w:oddVBand="0" w:evenVBand="0" w:oddHBand="1" w:evenHBand="0" w:firstRowFirstColumn="0" w:firstRowLastColumn="0" w:lastRowFirstColumn="0" w:lastRowLastColumn="0"/>
            </w:pPr>
            <w:r>
              <w:t>6</w:t>
            </w:r>
          </w:p>
        </w:tc>
        <w:tc>
          <w:tcPr>
            <w:tcW w:w="709" w:type="pct"/>
          </w:tcPr>
          <w:p w14:paraId="52F8A8D7" w14:textId="77777777" w:rsidR="0057796E" w:rsidRDefault="0057796E" w:rsidP="000708AF">
            <w:pPr>
              <w:pStyle w:val="Normal-table"/>
              <w:cnfStyle w:val="000000100000" w:firstRow="0" w:lastRow="0" w:firstColumn="0" w:lastColumn="0" w:oddVBand="0" w:evenVBand="0" w:oddHBand="1" w:evenHBand="0" w:firstRowFirstColumn="0" w:firstRowLastColumn="0" w:lastRowFirstColumn="0" w:lastRowLastColumn="0"/>
            </w:pPr>
            <w:r>
              <w:t>41</w:t>
            </w:r>
          </w:p>
        </w:tc>
      </w:tr>
      <w:tr w:rsidR="0057796E" w14:paraId="03324BA5" w14:textId="77777777" w:rsidTr="00A74536">
        <w:tc>
          <w:tcPr>
            <w:cnfStyle w:val="001000000000" w:firstRow="0" w:lastRow="0" w:firstColumn="1" w:lastColumn="0" w:oddVBand="0" w:evenVBand="0" w:oddHBand="0" w:evenHBand="0" w:firstRowFirstColumn="0" w:firstRowLastColumn="0" w:lastRowFirstColumn="0" w:lastRowLastColumn="0"/>
            <w:tcW w:w="718" w:type="pct"/>
          </w:tcPr>
          <w:p w14:paraId="3C3D6BE1" w14:textId="77777777" w:rsidR="0057796E" w:rsidRDefault="0057796E" w:rsidP="000708AF">
            <w:pPr>
              <w:pStyle w:val="Normal-table"/>
            </w:pPr>
            <w:r>
              <w:t>2022–23</w:t>
            </w:r>
          </w:p>
        </w:tc>
        <w:tc>
          <w:tcPr>
            <w:tcW w:w="713" w:type="pct"/>
          </w:tcPr>
          <w:p w14:paraId="1B6072FA" w14:textId="77777777" w:rsidR="0057796E" w:rsidRDefault="0057796E" w:rsidP="000708AF">
            <w:pPr>
              <w:pStyle w:val="Normal-table"/>
              <w:cnfStyle w:val="000000000000" w:firstRow="0" w:lastRow="0" w:firstColumn="0" w:lastColumn="0" w:oddVBand="0" w:evenVBand="0" w:oddHBand="0" w:evenHBand="0" w:firstRowFirstColumn="0" w:firstRowLastColumn="0" w:lastRowFirstColumn="0" w:lastRowLastColumn="0"/>
            </w:pPr>
            <w:r>
              <w:t>9</w:t>
            </w:r>
          </w:p>
        </w:tc>
        <w:tc>
          <w:tcPr>
            <w:tcW w:w="722" w:type="pct"/>
          </w:tcPr>
          <w:p w14:paraId="5E27AB4C" w14:textId="77777777" w:rsidR="0057796E" w:rsidRDefault="0057796E" w:rsidP="000708AF">
            <w:pPr>
              <w:pStyle w:val="Normal-table"/>
              <w:cnfStyle w:val="000000000000" w:firstRow="0" w:lastRow="0" w:firstColumn="0" w:lastColumn="0" w:oddVBand="0" w:evenVBand="0" w:oddHBand="0" w:evenHBand="0" w:firstRowFirstColumn="0" w:firstRowLastColumn="0" w:lastRowFirstColumn="0" w:lastRowLastColumn="0"/>
            </w:pPr>
            <w:r>
              <w:t>7</w:t>
            </w:r>
          </w:p>
        </w:tc>
        <w:tc>
          <w:tcPr>
            <w:tcW w:w="708" w:type="pct"/>
          </w:tcPr>
          <w:p w14:paraId="32E37194" w14:textId="77777777" w:rsidR="0057796E" w:rsidRDefault="0057796E" w:rsidP="000708AF">
            <w:pPr>
              <w:pStyle w:val="Normal-table"/>
              <w:cnfStyle w:val="000000000000" w:firstRow="0" w:lastRow="0" w:firstColumn="0" w:lastColumn="0" w:oddVBand="0" w:evenVBand="0" w:oddHBand="0" w:evenHBand="0" w:firstRowFirstColumn="0" w:firstRowLastColumn="0" w:lastRowFirstColumn="0" w:lastRowLastColumn="0"/>
            </w:pPr>
            <w:r>
              <w:t>3</w:t>
            </w:r>
          </w:p>
        </w:tc>
        <w:tc>
          <w:tcPr>
            <w:tcW w:w="719" w:type="pct"/>
          </w:tcPr>
          <w:p w14:paraId="5A8914FA" w14:textId="77777777" w:rsidR="0057796E" w:rsidRDefault="0057796E" w:rsidP="000708AF">
            <w:pPr>
              <w:pStyle w:val="Normal-table"/>
              <w:cnfStyle w:val="000000000000" w:firstRow="0" w:lastRow="0" w:firstColumn="0" w:lastColumn="0" w:oddVBand="0" w:evenVBand="0" w:oddHBand="0" w:evenHBand="0" w:firstRowFirstColumn="0" w:firstRowLastColumn="0" w:lastRowFirstColumn="0" w:lastRowLastColumn="0"/>
            </w:pPr>
            <w:r>
              <w:t>2</w:t>
            </w:r>
          </w:p>
        </w:tc>
        <w:tc>
          <w:tcPr>
            <w:tcW w:w="711" w:type="pct"/>
          </w:tcPr>
          <w:p w14:paraId="57F6AF55" w14:textId="77777777" w:rsidR="0057796E" w:rsidRDefault="0057796E" w:rsidP="000708AF">
            <w:pPr>
              <w:pStyle w:val="Normal-table"/>
              <w:cnfStyle w:val="000000000000" w:firstRow="0" w:lastRow="0" w:firstColumn="0" w:lastColumn="0" w:oddVBand="0" w:evenVBand="0" w:oddHBand="0" w:evenHBand="0" w:firstRowFirstColumn="0" w:firstRowLastColumn="0" w:lastRowFirstColumn="0" w:lastRowLastColumn="0"/>
            </w:pPr>
            <w:r>
              <w:t>0</w:t>
            </w:r>
          </w:p>
        </w:tc>
        <w:tc>
          <w:tcPr>
            <w:tcW w:w="709" w:type="pct"/>
          </w:tcPr>
          <w:p w14:paraId="2DB13B07" w14:textId="77777777" w:rsidR="0057796E" w:rsidRDefault="0057796E" w:rsidP="000708AF">
            <w:pPr>
              <w:pStyle w:val="Normal-table"/>
              <w:cnfStyle w:val="000000000000" w:firstRow="0" w:lastRow="0" w:firstColumn="0" w:lastColumn="0" w:oddVBand="0" w:evenVBand="0" w:oddHBand="0" w:evenHBand="0" w:firstRowFirstColumn="0" w:firstRowLastColumn="0" w:lastRowFirstColumn="0" w:lastRowLastColumn="0"/>
            </w:pPr>
            <w:r>
              <w:t>21</w:t>
            </w:r>
          </w:p>
        </w:tc>
      </w:tr>
    </w:tbl>
    <w:p w14:paraId="3B8CB316" w14:textId="77777777" w:rsidR="0057796E" w:rsidRDefault="0057796E" w:rsidP="0057796E"/>
    <w:p w14:paraId="1FBF2B0A" w14:textId="77777777" w:rsidR="0057796E" w:rsidRPr="00FC39AF" w:rsidRDefault="0057796E" w:rsidP="0057796E">
      <w:r>
        <w:rPr>
          <w:noProof/>
        </w:rPr>
        <w:drawing>
          <wp:inline distT="0" distB="0" distL="0" distR="0" wp14:anchorId="4236BCD6" wp14:editId="0FE09943">
            <wp:extent cx="5486400" cy="3200400"/>
            <wp:effectExtent l="0" t="0" r="0" b="0"/>
            <wp:docPr id="7" name="Chart 7" descr="Bar chart showing the serious injuries from maritime incidents in Queensland. "/>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03E2D329" w14:textId="77777777" w:rsidR="0057796E" w:rsidRPr="00FC39AF" w:rsidRDefault="0057796E" w:rsidP="0057796E">
      <w:pPr>
        <w:pStyle w:val="Heading3"/>
      </w:pPr>
      <w:r>
        <w:t>Mar</w:t>
      </w:r>
      <w:r w:rsidRPr="00FC39AF">
        <w:t>itime Enforcement Team</w:t>
      </w:r>
    </w:p>
    <w:p w14:paraId="2FCB8C09" w14:textId="77777777" w:rsidR="0057796E" w:rsidRDefault="0057796E" w:rsidP="0057796E">
      <w:r w:rsidRPr="005B2BEE">
        <w:t>The Maritime Enforcement Team (MET)</w:t>
      </w:r>
      <w:r>
        <w:t xml:space="preserve"> </w:t>
      </w:r>
      <w:r w:rsidRPr="005B2BEE">
        <w:t xml:space="preserve">undertakes enhanced compliance and education activities on Queensland's </w:t>
      </w:r>
      <w:r w:rsidRPr="00FC39AF">
        <w:t>waterways</w:t>
      </w:r>
      <w:r>
        <w:t xml:space="preserve">, primarily using PWC. </w:t>
      </w:r>
    </w:p>
    <w:p w14:paraId="2EC7FB54" w14:textId="77777777" w:rsidR="0057796E" w:rsidRPr="00FC39AF" w:rsidRDefault="0057796E" w:rsidP="0057796E">
      <w:r w:rsidRPr="005B2BEE">
        <w:t>In 2022</w:t>
      </w:r>
      <w:r>
        <w:t>–</w:t>
      </w:r>
      <w:r w:rsidRPr="005B2BEE">
        <w:t>23, MET patrolled</w:t>
      </w:r>
      <w:r w:rsidRPr="00FC39AF">
        <w:t xml:space="preserve"> waterways from Townsville to the Gold Coast</w:t>
      </w:r>
      <w:r>
        <w:t>. They</w:t>
      </w:r>
      <w:r w:rsidRPr="00FC39AF">
        <w:t xml:space="preserve"> conducted large</w:t>
      </w:r>
      <w:r>
        <w:t>-</w:t>
      </w:r>
      <w:r w:rsidRPr="00FC39AF">
        <w:t xml:space="preserve">scale enforcement </w:t>
      </w:r>
      <w:r>
        <w:t>activitie</w:t>
      </w:r>
      <w:r w:rsidRPr="00FC39AF">
        <w:t xml:space="preserve">s in Noosa and the Gold Coast, </w:t>
      </w:r>
      <w:r>
        <w:t>and</w:t>
      </w:r>
      <w:r w:rsidRPr="00FC39AF">
        <w:t xml:space="preserve"> smaller programs in the Gladstone and Townsville regions. MET coordinated safety campaigns </w:t>
      </w:r>
      <w:r w:rsidRPr="00FC39AF">
        <w:lastRenderedPageBreak/>
        <w:t>and operations with MSQ compliance partners</w:t>
      </w:r>
      <w:r>
        <w:t>,</w:t>
      </w:r>
      <w:r w:rsidRPr="00FC39AF">
        <w:t xml:space="preserve"> including </w:t>
      </w:r>
      <w:r>
        <w:t>QPS</w:t>
      </w:r>
      <w:r w:rsidRPr="00FC39AF">
        <w:t>, SEQ Water, Queensland Parks and Wildlife</w:t>
      </w:r>
      <w:r>
        <w:t xml:space="preserve"> (QPWS)</w:t>
      </w:r>
      <w:r w:rsidRPr="00FC39AF">
        <w:t>, and Queensland Water Police.</w:t>
      </w:r>
    </w:p>
    <w:p w14:paraId="490198FC" w14:textId="77777777" w:rsidR="0057796E" w:rsidRDefault="0057796E" w:rsidP="0057796E">
      <w:r w:rsidRPr="005B2BEE">
        <w:t>MET</w:t>
      </w:r>
      <w:r w:rsidRPr="00FC39AF">
        <w:t xml:space="preserve"> educated </w:t>
      </w:r>
      <w:r>
        <w:t>boat owners</w:t>
      </w:r>
      <w:r w:rsidRPr="00FC39AF">
        <w:t xml:space="preserve"> on water safety</w:t>
      </w:r>
      <w:r>
        <w:t xml:space="preserve"> and engaged with the boating community at PWC ride days, large aquatic events, and boating safety days. </w:t>
      </w:r>
    </w:p>
    <w:p w14:paraId="5D56E2B9" w14:textId="12ED8376" w:rsidR="0057796E" w:rsidRPr="001A5A51" w:rsidRDefault="0057796E" w:rsidP="0057796E">
      <w:pPr>
        <w:pStyle w:val="Heading3"/>
      </w:pPr>
      <w:r w:rsidRPr="006F00ED">
        <w:t xml:space="preserve">Case </w:t>
      </w:r>
      <w:r w:rsidR="00A74536">
        <w:t>s</w:t>
      </w:r>
      <w:r w:rsidRPr="006F00ED">
        <w:t>tudy</w:t>
      </w:r>
      <w:r w:rsidR="00A74536">
        <w:t xml:space="preserve"> r</w:t>
      </w:r>
      <w:r w:rsidRPr="001A5A51">
        <w:t xml:space="preserve">ecreational boating facilities demand forecasting study </w:t>
      </w:r>
    </w:p>
    <w:p w14:paraId="6944B19D" w14:textId="77777777" w:rsidR="0057796E" w:rsidRPr="00A26A6A" w:rsidRDefault="0057796E" w:rsidP="0057796E">
      <w:r>
        <w:t xml:space="preserve">The MSQ </w:t>
      </w:r>
      <w:r w:rsidRPr="00CE0E10">
        <w:rPr>
          <w:rStyle w:val="Emphasis"/>
        </w:rPr>
        <w:t>Recreational Boating Facilities Demand Forecasting Study 2022</w:t>
      </w:r>
      <w:r w:rsidRPr="00A26A6A">
        <w:t xml:space="preserve"> </w:t>
      </w:r>
      <w:r>
        <w:t xml:space="preserve">was completed in May 2023 by </w:t>
      </w:r>
      <w:r w:rsidRPr="00A26A6A">
        <w:t xml:space="preserve">BMT Commercial Australia. </w:t>
      </w:r>
    </w:p>
    <w:p w14:paraId="0B5ECF25" w14:textId="77777777" w:rsidR="0057796E" w:rsidRPr="00A26A6A" w:rsidRDefault="0057796E" w:rsidP="0057796E">
      <w:r w:rsidRPr="00A26A6A">
        <w:t xml:space="preserve">BMT </w:t>
      </w:r>
      <w:r>
        <w:t xml:space="preserve">consulted </w:t>
      </w:r>
      <w:r w:rsidRPr="00A26A6A">
        <w:t>state</w:t>
      </w:r>
      <w:r w:rsidRPr="00A26A6A">
        <w:noBreakHyphen/>
        <w:t>wide</w:t>
      </w:r>
      <w:r>
        <w:t>,</w:t>
      </w:r>
      <w:r w:rsidRPr="00A26A6A">
        <w:t xml:space="preserve"> </w:t>
      </w:r>
      <w:r>
        <w:t xml:space="preserve">working </w:t>
      </w:r>
      <w:r w:rsidRPr="00A26A6A">
        <w:t xml:space="preserve">with all Queensland local governments, port and water authorities, boating clubs and associations, and the boating public. </w:t>
      </w:r>
    </w:p>
    <w:p w14:paraId="4F3D82A0" w14:textId="77777777" w:rsidR="0057796E" w:rsidRPr="00A26A6A" w:rsidRDefault="0057796E" w:rsidP="0057796E">
      <w:r w:rsidRPr="00A26A6A">
        <w:t xml:space="preserve">The 2022 study and associated community and agency engagement </w:t>
      </w:r>
      <w:r>
        <w:t>will help</w:t>
      </w:r>
      <w:r w:rsidRPr="00A26A6A">
        <w:t xml:space="preserve"> guide investment </w:t>
      </w:r>
      <w:r>
        <w:t>in</w:t>
      </w:r>
      <w:r w:rsidRPr="00A26A6A">
        <w:t xml:space="preserve"> recreational boating facilities over the next five to ten years. </w:t>
      </w:r>
    </w:p>
    <w:p w14:paraId="05C91935" w14:textId="77777777" w:rsidR="0057796E" w:rsidRDefault="0057796E" w:rsidP="0057796E">
      <w:r w:rsidRPr="00A26A6A">
        <w:t xml:space="preserve">This study is </w:t>
      </w:r>
      <w:r>
        <w:t>conducted</w:t>
      </w:r>
      <w:r w:rsidRPr="00A26A6A">
        <w:t xml:space="preserve"> every five years </w:t>
      </w:r>
      <w:r>
        <w:t>to leverage</w:t>
      </w:r>
      <w:r w:rsidRPr="00A26A6A">
        <w:t xml:space="preserve"> current demographics and demographic trends </w:t>
      </w:r>
      <w:r>
        <w:t xml:space="preserve">collected in </w:t>
      </w:r>
      <w:r w:rsidRPr="00A26A6A">
        <w:t xml:space="preserve">the </w:t>
      </w:r>
      <w:r>
        <w:t xml:space="preserve">Australian </w:t>
      </w:r>
      <w:r w:rsidRPr="00A26A6A">
        <w:t>census. It is used by delivery agencies</w:t>
      </w:r>
      <w:r>
        <w:t>,</w:t>
      </w:r>
      <w:r w:rsidRPr="00A26A6A">
        <w:t xml:space="preserve"> including port authorities, councils, Gold Coast Waterways Authority</w:t>
      </w:r>
      <w:r>
        <w:t>,</w:t>
      </w:r>
      <w:r w:rsidRPr="00A26A6A">
        <w:t xml:space="preserve"> and TMR </w:t>
      </w:r>
      <w:r>
        <w:t>to help prioritise and</w:t>
      </w:r>
      <w:r w:rsidRPr="00A26A6A">
        <w:t xml:space="preserve"> select sites for development.</w:t>
      </w:r>
    </w:p>
    <w:p w14:paraId="0ED8BB02" w14:textId="77777777" w:rsidR="0057796E" w:rsidRPr="00FC39AF" w:rsidRDefault="0057796E" w:rsidP="0057796E">
      <w:pPr>
        <w:pStyle w:val="Heading3"/>
      </w:pPr>
      <w:r>
        <w:t>F</w:t>
      </w:r>
      <w:r w:rsidRPr="00FC39AF">
        <w:t>V Dianne Memorial</w:t>
      </w:r>
    </w:p>
    <w:p w14:paraId="2B8AEA69" w14:textId="77777777" w:rsidR="0057796E" w:rsidRPr="00FC39AF" w:rsidRDefault="0057796E" w:rsidP="0057796E">
      <w:bookmarkStart w:id="29" w:name="_Hlk129583255"/>
      <w:r w:rsidRPr="001A55E4">
        <w:t xml:space="preserve">The FV Dianne </w:t>
      </w:r>
      <w:r w:rsidRPr="00FC39AF">
        <w:t>capsized and sank in the Coral Sea on 17 October 201</w:t>
      </w:r>
      <w:r>
        <w:t>7. S</w:t>
      </w:r>
      <w:r w:rsidRPr="00FC39AF">
        <w:t>ix of the seven young men aboard tragically lost their lives.</w:t>
      </w:r>
    </w:p>
    <w:p w14:paraId="0B4F77D8" w14:textId="77777777" w:rsidR="0057796E" w:rsidRDefault="0057796E" w:rsidP="0057796E">
      <w:r>
        <w:t xml:space="preserve">MSQ led the design and construction of a permanent memorial to the victims and those who took part in the search and rescue operation. </w:t>
      </w:r>
    </w:p>
    <w:p w14:paraId="02B547B4" w14:textId="77777777" w:rsidR="0057796E" w:rsidRDefault="0057796E" w:rsidP="0057796E">
      <w:r>
        <w:t xml:space="preserve">The memorial looks over the Coral Sea in the direction of where the FV Dianne capsized. It will be managed by the QPWS. </w:t>
      </w:r>
    </w:p>
    <w:p w14:paraId="7F8C7AA3" w14:textId="77777777" w:rsidR="0057796E" w:rsidRDefault="0057796E" w:rsidP="0057796E">
      <w:r>
        <w:t xml:space="preserve">MSQ worked closely with the affected families and other stakeholders, including QPWS and traditional landowners, and an Indigenous Land Use agreement was approved for the memorial to be built. </w:t>
      </w:r>
    </w:p>
    <w:p w14:paraId="4B49AC8A" w14:textId="77777777" w:rsidR="0057796E" w:rsidRPr="00FC39AF" w:rsidRDefault="0057796E" w:rsidP="0057796E">
      <w:r w:rsidRPr="001A55E4">
        <w:t xml:space="preserve">MSQ’s General Manager Kell Dillon and Regional Harbour Master (Gladstone), John Fallon, presided over the blessing ceremony to open the memorial to the public </w:t>
      </w:r>
      <w:r>
        <w:t xml:space="preserve">in </w:t>
      </w:r>
      <w:r w:rsidRPr="001A55E4">
        <w:t>October 2022.</w:t>
      </w:r>
    </w:p>
    <w:p w14:paraId="646CF522" w14:textId="77777777" w:rsidR="0057796E" w:rsidRDefault="0057796E" w:rsidP="0057796E">
      <w:r w:rsidRPr="001A55E4">
        <w:t xml:space="preserve">The ceremony was attended by families and friends of the crew, local marine rescue volunteers, traditional landowners, the local community, </w:t>
      </w:r>
      <w:r>
        <w:t xml:space="preserve">and the QPS. </w:t>
      </w:r>
    </w:p>
    <w:p w14:paraId="430512BC" w14:textId="3FC160A4" w:rsidR="0057796E" w:rsidRDefault="0057796E" w:rsidP="0057796E">
      <w:pPr>
        <w:pStyle w:val="Heading3"/>
      </w:pPr>
      <w:r w:rsidRPr="006F00ED">
        <w:t xml:space="preserve">Case </w:t>
      </w:r>
      <w:r w:rsidR="00A74536">
        <w:t>s</w:t>
      </w:r>
      <w:r w:rsidRPr="006F00ED">
        <w:t>tudy</w:t>
      </w:r>
      <w:r w:rsidR="00A74536">
        <w:t xml:space="preserve"> i</w:t>
      </w:r>
      <w:r>
        <w:t>ntroduction of Guardian system</w:t>
      </w:r>
    </w:p>
    <w:p w14:paraId="34AC9A07" w14:textId="77777777" w:rsidR="0057796E" w:rsidRDefault="0057796E" w:rsidP="0057796E">
      <w:r>
        <w:t>MSQ implemented an incident management system, GuardianIMS by Queensland company QIT+ to help manage pollution-related and other responses, such as maritime casualties, that involved the department.</w:t>
      </w:r>
    </w:p>
    <w:p w14:paraId="5C9DCF50" w14:textId="77777777" w:rsidR="0057796E" w:rsidRPr="00FC39AF" w:rsidRDefault="0057796E" w:rsidP="0057796E">
      <w:r>
        <w:t>GuardianIMS was used in responses including the MV Frontier Unity off Mackay and the sinking of the historic 'Pride of the Murray' in Longreach. On each occasion the incident management system performed well. Over time the system will become an integral component of TMR's responses to maritime incidents.</w:t>
      </w:r>
    </w:p>
    <w:bookmarkEnd w:id="29"/>
    <w:p w14:paraId="2D2728EC" w14:textId="77777777" w:rsidR="0057796E" w:rsidRDefault="0057796E" w:rsidP="0057796E">
      <w:pPr>
        <w:pStyle w:val="Heading3"/>
      </w:pPr>
      <w:r>
        <w:t>Noosa River marine zone</w:t>
      </w:r>
    </w:p>
    <w:p w14:paraId="5259BF0C" w14:textId="77777777" w:rsidR="0057796E" w:rsidRDefault="0057796E" w:rsidP="0057796E">
      <w:r>
        <w:t xml:space="preserve">Noosa River is a heavily utilised waterway, with an increasingly crowded operation of vessels requiring solutions to congestion and safety issues.  </w:t>
      </w:r>
    </w:p>
    <w:p w14:paraId="58031CFA" w14:textId="77777777" w:rsidR="0057796E" w:rsidRDefault="0057796E" w:rsidP="0057796E">
      <w:r>
        <w:t xml:space="preserve">MSQ, Noosa Shire Council and the Noosa River Stakeholder Advisory Committee developed potential options for the way vessels are managed on the river. These included anchoring restrictions and speed limit changes. MSQ consulted with the community on the proposed options during December 2022 and January 2023.The results informed a vessel waterway management plan underpinned by the guiding principles of safety, equity of access and environmental sensitivity. </w:t>
      </w:r>
    </w:p>
    <w:p w14:paraId="0A7B9910" w14:textId="77777777" w:rsidR="0057796E" w:rsidRDefault="0057796E" w:rsidP="0057796E">
      <w:r>
        <w:lastRenderedPageBreak/>
        <w:t xml:space="preserve">The changes will be implemented through regulatory amendments to the Noosa River Marine Zone. </w:t>
      </w:r>
    </w:p>
    <w:p w14:paraId="42ABA00D" w14:textId="77777777" w:rsidR="0057796E" w:rsidRDefault="0057796E" w:rsidP="0057796E">
      <w:r>
        <w:t xml:space="preserve">MSQ takes a holistic approach to improving waterways management. The learnings from the Noosa River changes will contribute to the development of future waterways management policy throughout Queensland. </w:t>
      </w:r>
    </w:p>
    <w:p w14:paraId="4D27F720" w14:textId="10C09567" w:rsidR="0057796E" w:rsidRDefault="0057796E" w:rsidP="0057796E">
      <w:pPr>
        <w:pStyle w:val="Heading3"/>
      </w:pPr>
      <w:r w:rsidRPr="006F00ED">
        <w:t xml:space="preserve">Case </w:t>
      </w:r>
      <w:r w:rsidR="00A74536">
        <w:t>s</w:t>
      </w:r>
      <w:r w:rsidRPr="006F00ED">
        <w:t>tudy</w:t>
      </w:r>
      <w:r w:rsidR="00A74536">
        <w:t xml:space="preserve"> </w:t>
      </w:r>
      <w:r>
        <w:t>MV Frontier Unity</w:t>
      </w:r>
    </w:p>
    <w:p w14:paraId="11406FC1" w14:textId="77777777" w:rsidR="0057796E" w:rsidRPr="00E9272A" w:rsidRDefault="0057796E" w:rsidP="0057796E">
      <w:r w:rsidRPr="00E9272A">
        <w:t>On 24 January 2023</w:t>
      </w:r>
      <w:r>
        <w:t>,</w:t>
      </w:r>
      <w:r w:rsidRPr="00E9272A">
        <w:t xml:space="preserve"> bulk carrier MV Frontier Unity contacted </w:t>
      </w:r>
      <w:r>
        <w:t>MSQ</w:t>
      </w:r>
      <w:r w:rsidRPr="00E9272A">
        <w:t xml:space="preserve"> to report </w:t>
      </w:r>
      <w:r>
        <w:t>the vessel</w:t>
      </w:r>
      <w:r w:rsidRPr="00E9272A">
        <w:t xml:space="preserve"> was taking on water in </w:t>
      </w:r>
      <w:r>
        <w:t>the</w:t>
      </w:r>
      <w:r w:rsidRPr="00E9272A">
        <w:t xml:space="preserve"> engine room. The vessel was located offshore from Hay Point at the outer anchorage, with 22 crew on</w:t>
      </w:r>
      <w:r>
        <w:t xml:space="preserve"> </w:t>
      </w:r>
      <w:r w:rsidRPr="00E9272A">
        <w:t>board and</w:t>
      </w:r>
      <w:r>
        <w:t xml:space="preserve"> carrying</w:t>
      </w:r>
      <w:r w:rsidRPr="00E9272A">
        <w:t xml:space="preserve"> 57,000 tonnes of coal.</w:t>
      </w:r>
    </w:p>
    <w:p w14:paraId="700BEC84" w14:textId="77777777" w:rsidR="0057796E" w:rsidRPr="00E9272A" w:rsidRDefault="0057796E" w:rsidP="0057796E">
      <w:r>
        <w:t>F</w:t>
      </w:r>
      <w:r w:rsidRPr="00E9272A">
        <w:t xml:space="preserve">looding </w:t>
      </w:r>
      <w:r>
        <w:t xml:space="preserve">was </w:t>
      </w:r>
      <w:r w:rsidRPr="00E9272A">
        <w:t>estimated at approximately 4500 tonnes of seawater</w:t>
      </w:r>
      <w:r>
        <w:t xml:space="preserve"> before the</w:t>
      </w:r>
      <w:r w:rsidRPr="00E9272A">
        <w:t xml:space="preserve"> vessel lost power</w:t>
      </w:r>
      <w:r>
        <w:t xml:space="preserve"> and therefore its</w:t>
      </w:r>
      <w:r w:rsidRPr="00E9272A">
        <w:t xml:space="preserve"> pumps. </w:t>
      </w:r>
      <w:r>
        <w:t>T</w:t>
      </w:r>
      <w:r w:rsidRPr="00E9272A">
        <w:t>he ship's crew contacted MSQ for assistance and Mackay Region stood up an Incident Management Team.</w:t>
      </w:r>
    </w:p>
    <w:p w14:paraId="147D8701" w14:textId="77777777" w:rsidR="0057796E" w:rsidRPr="00E9272A" w:rsidRDefault="0057796E" w:rsidP="0057796E">
      <w:r w:rsidRPr="00E9272A">
        <w:t>In preparation for potential pollution</w:t>
      </w:r>
      <w:r>
        <w:t>,</w:t>
      </w:r>
      <w:r w:rsidRPr="00E9272A">
        <w:t xml:space="preserve"> MSQ assembled a </w:t>
      </w:r>
      <w:r>
        <w:t xml:space="preserve">response </w:t>
      </w:r>
      <w:r w:rsidRPr="00E9272A">
        <w:t xml:space="preserve">team </w:t>
      </w:r>
      <w:r>
        <w:t>and</w:t>
      </w:r>
      <w:r w:rsidRPr="00E9272A">
        <w:t xml:space="preserve"> on</w:t>
      </w:r>
      <w:r>
        <w:t>-</w:t>
      </w:r>
      <w:r w:rsidRPr="00E9272A">
        <w:t xml:space="preserve">water assets. MSQ continued to monitor the vessel's stability and crew welfare, </w:t>
      </w:r>
      <w:r>
        <w:t>and liaised</w:t>
      </w:r>
      <w:r w:rsidRPr="00E9272A">
        <w:t xml:space="preserve"> with stakeholders and the owner. The MV Frontier Unity </w:t>
      </w:r>
      <w:r>
        <w:t xml:space="preserve">was </w:t>
      </w:r>
      <w:r w:rsidRPr="00E9272A">
        <w:t>tow</w:t>
      </w:r>
      <w:r>
        <w:t>ed</w:t>
      </w:r>
      <w:r w:rsidRPr="00E9272A">
        <w:t xml:space="preserve"> to Singapore on the 19 February</w:t>
      </w:r>
      <w:r>
        <w:t xml:space="preserve"> 2023, without further incident</w:t>
      </w:r>
      <w:r w:rsidRPr="00E9272A">
        <w:t>.</w:t>
      </w:r>
    </w:p>
    <w:p w14:paraId="2EB0FF5D" w14:textId="77777777" w:rsidR="0057796E" w:rsidRPr="0003243E" w:rsidRDefault="0057796E" w:rsidP="0057796E">
      <w:r w:rsidRPr="00E9272A">
        <w:t>This incident demonstrate</w:t>
      </w:r>
      <w:r>
        <w:t>d</w:t>
      </w:r>
      <w:r w:rsidRPr="00E9272A">
        <w:t xml:space="preserve"> MSQ</w:t>
      </w:r>
      <w:r>
        <w:t>'s</w:t>
      </w:r>
      <w:r w:rsidRPr="00E9272A">
        <w:t xml:space="preserve"> </w:t>
      </w:r>
      <w:r>
        <w:t>strength in managing</w:t>
      </w:r>
      <w:r w:rsidRPr="00E9272A">
        <w:t xml:space="preserve"> high pressure situations and </w:t>
      </w:r>
      <w:r>
        <w:t>reinforced</w:t>
      </w:r>
      <w:r w:rsidRPr="00E9272A">
        <w:t xml:space="preserve"> the </w:t>
      </w:r>
      <w:r>
        <w:t>strong</w:t>
      </w:r>
      <w:r w:rsidRPr="00E9272A">
        <w:t xml:space="preserve"> relationships MSQ regions have with local authorities and the maritime industry. It also </w:t>
      </w:r>
      <w:r>
        <w:t xml:space="preserve">demonstrated </w:t>
      </w:r>
      <w:r w:rsidRPr="00E9272A">
        <w:t>MSQ's preparedness for a pollution incident</w:t>
      </w:r>
      <w:r>
        <w:t>.</w:t>
      </w:r>
    </w:p>
    <w:p w14:paraId="57416FFF" w14:textId="77777777" w:rsidR="0057796E" w:rsidRDefault="0057796E" w:rsidP="0057796E">
      <w:pPr>
        <w:pStyle w:val="Heading3"/>
      </w:pPr>
      <w:r>
        <w:t>Smartship</w:t>
      </w:r>
    </w:p>
    <w:p w14:paraId="047261FB" w14:textId="77777777" w:rsidR="0057796E" w:rsidRDefault="0057796E" w:rsidP="0057796E">
      <w:r>
        <w:t xml:space="preserve">Smartship Australia primarily delivers its services to mariners face-to-face. While solutions were found during the COVID-19 pandemic, many training partners returned to face-to-face training at Smartship Australia's facility in 2022–23. </w:t>
      </w:r>
    </w:p>
    <w:p w14:paraId="33259394" w14:textId="77777777" w:rsidR="0057796E" w:rsidRPr="00B522D1" w:rsidRDefault="0057796E" w:rsidP="0057796E">
      <w:r w:rsidRPr="00B522D1">
        <w:t xml:space="preserve">In August 2022, Smartship delivered the 100th Advanced Marine Pilot Training (AMPT) course. AMPT#100 was </w:t>
      </w:r>
      <w:r>
        <w:t>attended by trainees</w:t>
      </w:r>
      <w:r w:rsidRPr="00B522D1">
        <w:t xml:space="preserve"> from around Australia </w:t>
      </w:r>
      <w:r>
        <w:t>and New Zealand.</w:t>
      </w:r>
    </w:p>
    <w:p w14:paraId="439B73DA" w14:textId="77777777" w:rsidR="0057796E" w:rsidRDefault="0057796E" w:rsidP="0057796E">
      <w:r>
        <w:t>Throughout 2022–23, the Check Pilot course gathered momentum and is now endorsed by the Australian Maritime Safety Authority, MSQ and Safe Transport Victoria. This first of its kind course is targeted at senior pilots who are making, or have made, the transition to a check pilot role.</w:t>
      </w:r>
    </w:p>
    <w:p w14:paraId="3DB838EE" w14:textId="77777777" w:rsidR="0057796E" w:rsidRDefault="0057796E" w:rsidP="0057796E">
      <w:r w:rsidRPr="00B522D1">
        <w:t xml:space="preserve">Azimuth </w:t>
      </w:r>
      <w:r>
        <w:t>S</w:t>
      </w:r>
      <w:r w:rsidRPr="00B522D1">
        <w:t xml:space="preserve">tern </w:t>
      </w:r>
      <w:r>
        <w:t>D</w:t>
      </w:r>
      <w:r w:rsidRPr="00B522D1">
        <w:t>rive Tug Master training</w:t>
      </w:r>
      <w:r>
        <w:t xml:space="preserve"> also had high demand in 2022–23, with customers seeking a training program that can be developed to complement their in-house training programs and target areas of highest need. </w:t>
      </w:r>
    </w:p>
    <w:p w14:paraId="5F6CC7EB" w14:textId="77777777" w:rsidR="0057796E" w:rsidRDefault="0057796E" w:rsidP="0057796E">
      <w:pPr>
        <w:pStyle w:val="Heading3"/>
      </w:pPr>
      <w:r>
        <w:t>Torres Strait marine safety program</w:t>
      </w:r>
    </w:p>
    <w:p w14:paraId="6B3E6AD2" w14:textId="77777777" w:rsidR="0057796E" w:rsidRDefault="0057796E" w:rsidP="0057796E">
      <w:r>
        <w:t>I</w:t>
      </w:r>
      <w:r w:rsidRPr="00F232D0">
        <w:t>n 2006</w:t>
      </w:r>
      <w:r>
        <w:t>,</w:t>
      </w:r>
      <w:r w:rsidRPr="00F232D0">
        <w:t xml:space="preserve"> TMR launched the Torres Strait Marine Safety Project in partnership with the Australian Maritime Safety Authority and the Torres Strait Regional Authority</w:t>
      </w:r>
      <w:r>
        <w:t xml:space="preserve">. Since then, the partnership has expanded to include </w:t>
      </w:r>
      <w:r w:rsidRPr="00F232D0">
        <w:t xml:space="preserve">the </w:t>
      </w:r>
      <w:r>
        <w:t>QPS</w:t>
      </w:r>
      <w:r w:rsidRPr="00F232D0">
        <w:t xml:space="preserve"> and National Maritime Safety Authority of Papua New Guinea.</w:t>
      </w:r>
    </w:p>
    <w:p w14:paraId="5494DC12" w14:textId="77777777" w:rsidR="0057796E" w:rsidRDefault="0057796E" w:rsidP="0057796E">
      <w:r>
        <w:t xml:space="preserve">In 2021, MSQ partnered with the UQ Institute of Social Science Research to review the program. The review included investigating community views on the program and its initiatives. </w:t>
      </w:r>
    </w:p>
    <w:p w14:paraId="6DCB7A06" w14:textId="77777777" w:rsidR="0057796E" w:rsidRPr="00F232D0" w:rsidRDefault="0057796E" w:rsidP="0057796E">
      <w:r>
        <w:t xml:space="preserve">MSQ and UQ partnered with Local Land and Sea Rangers to undertake interviews in Island communities. This partnership led to increased engagement of First Nation's residents of the communities and increased the quality of the interviews. </w:t>
      </w:r>
    </w:p>
    <w:p w14:paraId="32153011" w14:textId="77777777" w:rsidR="0057796E" w:rsidRDefault="0057796E" w:rsidP="0057796E">
      <w:r>
        <w:t xml:space="preserve">The partnership between TMR and UQ's Institute of Social Science Research was nominated in the Queensland Reconciliation Awards 2023 partnership category. </w:t>
      </w:r>
    </w:p>
    <w:p w14:paraId="71E1C7A0" w14:textId="77777777" w:rsidR="0057796E" w:rsidRDefault="0057796E" w:rsidP="0057796E">
      <w:pPr>
        <w:pStyle w:val="Heading3"/>
      </w:pPr>
      <w:r>
        <w:t>War on Wrecks</w:t>
      </w:r>
    </w:p>
    <w:p w14:paraId="7DB441F4" w14:textId="77777777" w:rsidR="0057796E" w:rsidRDefault="0057796E" w:rsidP="0057796E">
      <w:r>
        <w:t xml:space="preserve">In 2018, the Queensland Government funded $20 million to establish the War on Wrecks program. A taskforce comprising of elected and industry representatives was created to ensure Queensland waterways are free and safe of derelict vessels. A program of works was established to identify how to ensure everyone involved in a vessel's lifecycle meet their obligations. </w:t>
      </w:r>
    </w:p>
    <w:p w14:paraId="07531F29" w14:textId="77777777" w:rsidR="0057796E" w:rsidRDefault="0057796E" w:rsidP="0057796E">
      <w:r>
        <w:t xml:space="preserve">A further $15 million was allocated to continue the good work of War on Wrecks for an additional three years to June 2025. </w:t>
      </w:r>
    </w:p>
    <w:p w14:paraId="1ADF2291" w14:textId="77777777" w:rsidR="0057796E" w:rsidRDefault="0057796E" w:rsidP="0057796E">
      <w:r>
        <w:lastRenderedPageBreak/>
        <w:t>Between 1 July 2022 and 30 June 2023:</w:t>
      </w:r>
    </w:p>
    <w:p w14:paraId="7D3DD0C4" w14:textId="77777777" w:rsidR="0057796E" w:rsidRDefault="0057796E" w:rsidP="0057796E">
      <w:pPr>
        <w:pStyle w:val="ListBullet"/>
      </w:pPr>
      <w:r>
        <w:t>109 unseaworthy or abandoned vessels were removed by MSQ and partner agencies</w:t>
      </w:r>
    </w:p>
    <w:p w14:paraId="477EE2F8" w14:textId="77777777" w:rsidR="0057796E" w:rsidRDefault="0057796E" w:rsidP="0057796E">
      <w:pPr>
        <w:pStyle w:val="ListBullet"/>
      </w:pPr>
      <w:r>
        <w:t>35 vessels were removed by their owners or other parties</w:t>
      </w:r>
    </w:p>
    <w:p w14:paraId="69D60FFE" w14:textId="77777777" w:rsidR="0057796E" w:rsidRDefault="0057796E" w:rsidP="0057796E">
      <w:pPr>
        <w:pStyle w:val="ListBullet"/>
      </w:pPr>
      <w:r>
        <w:t xml:space="preserve"> 30 were resolved including vessels being made seaworthy by their owners. </w:t>
      </w:r>
    </w:p>
    <w:p w14:paraId="5430838D" w14:textId="77777777" w:rsidR="0057796E" w:rsidRDefault="0057796E" w:rsidP="0057796E">
      <w:r>
        <w:t xml:space="preserve">Since the start of the program to 30 June 2023, 1200 derelict vessels have either been made seaworthy or removed from Queensland waterways. </w:t>
      </w:r>
    </w:p>
    <w:p w14:paraId="2949438E" w14:textId="297EC924" w:rsidR="0057796E" w:rsidRPr="00756FBC" w:rsidRDefault="0057796E" w:rsidP="0057796E">
      <w:pPr>
        <w:pStyle w:val="Heading2"/>
      </w:pPr>
      <w:r w:rsidRPr="00106EA5">
        <w:t>Designing solutions that</w:t>
      </w:r>
      <w:r>
        <w:t xml:space="preserve"> </w:t>
      </w:r>
      <w:r w:rsidRPr="00106EA5">
        <w:t>create value</w:t>
      </w:r>
    </w:p>
    <w:p w14:paraId="7AB16D2F" w14:textId="77777777" w:rsidR="0057796E" w:rsidRPr="00AF6BC8" w:rsidRDefault="0057796E" w:rsidP="0057796E">
      <w:pPr>
        <w:pStyle w:val="Heading3"/>
      </w:pPr>
      <w:r w:rsidRPr="00106EA5">
        <w:t>Cooperative and Highly Automated Driving pilot</w:t>
      </w:r>
    </w:p>
    <w:p w14:paraId="03B692AC" w14:textId="77777777" w:rsidR="0057796E" w:rsidRPr="00106EA5" w:rsidRDefault="0057796E" w:rsidP="0057796E">
      <w:r w:rsidRPr="00106EA5">
        <w:t>The Cooperative and Highly Automated Driving pilot successfully</w:t>
      </w:r>
      <w:r>
        <w:t xml:space="preserve"> </w:t>
      </w:r>
      <w:r w:rsidRPr="00106EA5">
        <w:t xml:space="preserve">delivered </w:t>
      </w:r>
      <w:r>
        <w:t>two</w:t>
      </w:r>
      <w:r w:rsidRPr="00106EA5">
        <w:t xml:space="preserve"> </w:t>
      </w:r>
      <w:r>
        <w:t>displays</w:t>
      </w:r>
      <w:r w:rsidRPr="00106EA5">
        <w:t xml:space="preserve"> of its Cooperative and</w:t>
      </w:r>
      <w:r>
        <w:t xml:space="preserve"> </w:t>
      </w:r>
      <w:r w:rsidRPr="00106EA5">
        <w:t>Automated Vehicle (CAV), ‘ZOE2’</w:t>
      </w:r>
      <w:r>
        <w:t>,</w:t>
      </w:r>
      <w:r w:rsidRPr="00106EA5">
        <w:t xml:space="preserve"> during 202</w:t>
      </w:r>
      <w:r>
        <w:t>2</w:t>
      </w:r>
      <w:r w:rsidRPr="00106EA5">
        <w:t>–2</w:t>
      </w:r>
      <w:r>
        <w:t>3</w:t>
      </w:r>
      <w:r w:rsidRPr="00106EA5">
        <w:t>.</w:t>
      </w:r>
    </w:p>
    <w:p w14:paraId="0E2587DC" w14:textId="77777777" w:rsidR="0057796E" w:rsidRPr="00106EA5" w:rsidRDefault="0057796E" w:rsidP="0057796E">
      <w:r w:rsidRPr="00106EA5">
        <w:t xml:space="preserve">From </w:t>
      </w:r>
      <w:r>
        <w:t>18 to 20 October 2022</w:t>
      </w:r>
      <w:r w:rsidRPr="00106EA5">
        <w:t xml:space="preserve">, </w:t>
      </w:r>
      <w:r>
        <w:t xml:space="preserve">Sunshine Coast residents </w:t>
      </w:r>
      <w:r w:rsidRPr="00106EA5">
        <w:t>visited the ‘ZOE2’ display to learn about Australia’s most</w:t>
      </w:r>
      <w:r>
        <w:t xml:space="preserve"> </w:t>
      </w:r>
      <w:r w:rsidRPr="00106EA5">
        <w:t xml:space="preserve">advanced CAV. The team </w:t>
      </w:r>
      <w:r>
        <w:t>promoted</w:t>
      </w:r>
      <w:r w:rsidRPr="00106EA5">
        <w:t xml:space="preserve"> automation and automated vehicle capabilities. </w:t>
      </w:r>
    </w:p>
    <w:p w14:paraId="50D9BF50" w14:textId="77777777" w:rsidR="0057796E" w:rsidRDefault="0057796E" w:rsidP="0057796E">
      <w:r>
        <w:t>In</w:t>
      </w:r>
      <w:r w:rsidRPr="00106EA5">
        <w:t xml:space="preserve"> June 202</w:t>
      </w:r>
      <w:r>
        <w:t>3,</w:t>
      </w:r>
      <w:r w:rsidRPr="00106EA5">
        <w:t xml:space="preserve"> the team</w:t>
      </w:r>
      <w:r>
        <w:t xml:space="preserve"> displayed 'ZOE2' at the Mount Isa show, celebrating 100 years of Mount Isa. During the show, visitors registered their interest in experiencing 'ZOE2' driving in automated mode on Mount Isa's public roads and interacting with traffic and pedestrians. The 'ZOE2' dynamic demonstration in Mount Isa is planned to be delivered in 2023–24.</w:t>
      </w:r>
    </w:p>
    <w:p w14:paraId="4C8D4956" w14:textId="77777777" w:rsidR="0057796E" w:rsidRDefault="0057796E" w:rsidP="0057796E">
      <w:r>
        <w:t>In 2022–23, the team delivered three studies.  The objective of these studies were to understand the challenges of CAV deployment in Australia. The specific topics researched and papers delivered were: public awareness and perceptions of automated vehicles study, the driving task hand-over in an automated vehicle, and the safety impact of connectivity for automated vehicles study. These are published by iMOVE Australia and available on their website: https://imoveaustralia.com/project/project-outcomes/safely-deploying-automated-vehicles-on-australian-roads/.</w:t>
      </w:r>
    </w:p>
    <w:p w14:paraId="634349F2" w14:textId="77777777" w:rsidR="0057796E" w:rsidRDefault="0057796E" w:rsidP="0057796E">
      <w:r w:rsidRPr="00106EA5">
        <w:t>The Motor Accident Insurance</w:t>
      </w:r>
      <w:r>
        <w:t xml:space="preserve"> </w:t>
      </w:r>
      <w:r w:rsidRPr="00106EA5">
        <w:t xml:space="preserve">Commission </w:t>
      </w:r>
      <w:r>
        <w:t>co-funds the project in partnership with the</w:t>
      </w:r>
      <w:r w:rsidRPr="00106EA5">
        <w:t xml:space="preserve"> </w:t>
      </w:r>
      <w:r>
        <w:t xml:space="preserve">Queensland University of Technology and </w:t>
      </w:r>
      <w:r w:rsidRPr="00106EA5">
        <w:t>iMOVE Australia</w:t>
      </w:r>
      <w:r>
        <w:t>. The project is planned to conclude in 2023–24.</w:t>
      </w:r>
    </w:p>
    <w:p w14:paraId="2778C3B9" w14:textId="77777777" w:rsidR="0057796E" w:rsidRPr="00AF6BC8" w:rsidRDefault="0057796E" w:rsidP="0057796E">
      <w:pPr>
        <w:pStyle w:val="Heading3"/>
      </w:pPr>
      <w:r>
        <w:t>Bridge monitoring and data-driven structural asset management</w:t>
      </w:r>
    </w:p>
    <w:p w14:paraId="5EF95EE1" w14:textId="77777777" w:rsidR="0057796E" w:rsidRDefault="0057796E" w:rsidP="0057796E">
      <w:r w:rsidRPr="00720034">
        <w:t>Virtual Weigh-in-Motion (vWiM) leverages existing heavy vehicle</w:t>
      </w:r>
      <w:r>
        <w:t xml:space="preserve"> </w:t>
      </w:r>
      <w:r w:rsidRPr="00720034">
        <w:t>data collection systems, to enhance value, data quality, coverage,</w:t>
      </w:r>
      <w:r>
        <w:t xml:space="preserve"> </w:t>
      </w:r>
      <w:r w:rsidRPr="00720034">
        <w:t>and evidence-based decisions.</w:t>
      </w:r>
    </w:p>
    <w:p w14:paraId="1FB9D34E" w14:textId="77777777" w:rsidR="0057796E" w:rsidRDefault="0057796E" w:rsidP="0057796E">
      <w:r>
        <w:t>In addition to vWiM monitoring systems installed along the Kennedy Highway and Gateway Arterial Flyover, more systems were installed on bridges on the Bruce Highway, Peak Downs Highway and Capricorn Highway. vWiM is supporting TMR to quantify how bridges respond to heavy vehicles carrying large indivisible loads and</w:t>
      </w:r>
      <w:r w:rsidRPr="00200862">
        <w:t xml:space="preserve"> </w:t>
      </w:r>
      <w:r>
        <w:t>explain why some heavily trafficked bridges are showing visible signs of accelerated wear-and-tear.</w:t>
      </w:r>
    </w:p>
    <w:p w14:paraId="36EC0A96" w14:textId="77777777" w:rsidR="0057796E" w:rsidRDefault="0057796E" w:rsidP="0057796E">
      <w:r>
        <w:t>Data gathered highlights the importance of where on the bridge heavy vehicles drive, and how fast they travel.</w:t>
      </w:r>
    </w:p>
    <w:p w14:paraId="185EFFA0" w14:textId="77777777" w:rsidR="0057796E" w:rsidRDefault="0057796E" w:rsidP="0057796E">
      <w:r>
        <w:t>Findings have so far shown that wear-and-tear on bridges is mainly caused by platform trailers operating at speed in an edge lane or operating near the edge due to traffic control required for road maintenance.</w:t>
      </w:r>
    </w:p>
    <w:p w14:paraId="0F815C85" w14:textId="77777777" w:rsidR="0057796E" w:rsidRPr="00924A71" w:rsidRDefault="0057796E" w:rsidP="0057796E">
      <w:r>
        <w:t>TMR is leveraging vWiM data to inform decisions about compliance, sustainable access, and bridge asset management.</w:t>
      </w:r>
    </w:p>
    <w:p w14:paraId="70C7010D" w14:textId="77777777" w:rsidR="0057796E" w:rsidRPr="00AF6BC8" w:rsidRDefault="0057796E" w:rsidP="0057796E">
      <w:pPr>
        <w:pStyle w:val="Heading3"/>
      </w:pPr>
      <w:r>
        <w:t>Bridge Assessment Program</w:t>
      </w:r>
    </w:p>
    <w:p w14:paraId="1D804C68" w14:textId="77777777" w:rsidR="0057796E" w:rsidRDefault="0057796E" w:rsidP="0057796E">
      <w:r>
        <w:t xml:space="preserve">In December 2022, TMR completed a program of works to develop a database to assess bridges for heavy vehicle access. </w:t>
      </w:r>
    </w:p>
    <w:p w14:paraId="5DFFEED9" w14:textId="77777777" w:rsidR="0057796E" w:rsidRDefault="0057796E" w:rsidP="0057796E">
      <w:r>
        <w:t xml:space="preserve">Approximately 50 per cent of TMR's bridges were not designed to take today's freight vehicles necessitating TMR to assess what relevant engineering strategies could be implemented to ensure the safety of the bridges and the travelling public.  </w:t>
      </w:r>
    </w:p>
    <w:p w14:paraId="3E7AD618" w14:textId="77777777" w:rsidR="0057796E" w:rsidRDefault="0057796E" w:rsidP="0057796E">
      <w:r>
        <w:lastRenderedPageBreak/>
        <w:t xml:space="preserve">Over the course of the program, the development of the </w:t>
      </w:r>
      <w:r w:rsidRPr="007D33FE">
        <w:rPr>
          <w:rStyle w:val="Emphasis"/>
        </w:rPr>
        <w:t>Management of Queensland's State-Controlled Road Network Bridges Policy (Engineering Policy 171)</w:t>
      </w:r>
      <w:r>
        <w:t xml:space="preserve"> explored a number of contemporary approaches. It developed an engineering risk-based framework to pragmatically manage TMR's bridges, resulting in the following:</w:t>
      </w:r>
    </w:p>
    <w:p w14:paraId="097439B4" w14:textId="77777777" w:rsidR="0057796E" w:rsidRPr="00CB1DA1" w:rsidRDefault="0057796E" w:rsidP="0057796E">
      <w:pPr>
        <w:pStyle w:val="ListBullet"/>
      </w:pPr>
      <w:r w:rsidRPr="00CB1DA1">
        <w:t xml:space="preserve">the revision of Engineering Policy 171 </w:t>
      </w:r>
      <w:r>
        <w:t xml:space="preserve">was </w:t>
      </w:r>
      <w:r w:rsidRPr="00CB1DA1">
        <w:t>published in March 2023</w:t>
      </w:r>
    </w:p>
    <w:p w14:paraId="4AD65FD8" w14:textId="77777777" w:rsidR="0057796E" w:rsidRPr="00CB1DA1" w:rsidRDefault="0057796E" w:rsidP="0057796E">
      <w:pPr>
        <w:pStyle w:val="ListBullet"/>
      </w:pPr>
      <w:r w:rsidRPr="00CB1DA1">
        <w:t xml:space="preserve">approximately $1.4 billion </w:t>
      </w:r>
      <w:r>
        <w:t>was realised in savings</w:t>
      </w:r>
      <w:r w:rsidRPr="00CB1DA1">
        <w:t xml:space="preserve"> by avoiding unnecessary strengthening works or replacement of a number of bridges</w:t>
      </w:r>
    </w:p>
    <w:p w14:paraId="1D27B6D1" w14:textId="77777777" w:rsidR="0057796E" w:rsidRDefault="0057796E" w:rsidP="0057796E">
      <w:pPr>
        <w:pStyle w:val="ListBullet"/>
      </w:pPr>
      <w:r w:rsidRPr="00CB1DA1">
        <w:t>a more sustainable approach to manage and invest in TMR's existing bridge network.</w:t>
      </w:r>
    </w:p>
    <w:p w14:paraId="20C21550" w14:textId="77777777" w:rsidR="00E6328B" w:rsidRDefault="00E6328B">
      <w:pPr>
        <w:spacing w:before="0" w:after="160" w:line="259" w:lineRule="auto"/>
        <w:rPr>
          <w:rFonts w:eastAsiaTheme="majorEastAsia" w:cstheme="majorBidi"/>
          <w:color w:val="000000" w:themeColor="text1"/>
          <w:sz w:val="32"/>
          <w:szCs w:val="24"/>
        </w:rPr>
      </w:pPr>
      <w:r>
        <w:br w:type="page"/>
      </w:r>
    </w:p>
    <w:p w14:paraId="179D1F22" w14:textId="73A1C9A8" w:rsidR="0057796E" w:rsidRPr="00AF6BC8" w:rsidRDefault="0057796E" w:rsidP="0057796E">
      <w:pPr>
        <w:pStyle w:val="Heading3"/>
      </w:pPr>
      <w:r w:rsidRPr="005D33CD">
        <w:lastRenderedPageBreak/>
        <w:t>Tim Fis</w:t>
      </w:r>
      <w:r>
        <w:t>c</w:t>
      </w:r>
      <w:r w:rsidRPr="005D33CD">
        <w:t>her Bridge urgent rehabilitation</w:t>
      </w:r>
    </w:p>
    <w:p w14:paraId="01C01F77" w14:textId="77777777" w:rsidR="0057796E" w:rsidRDefault="0057796E" w:rsidP="0057796E">
      <w:bookmarkStart w:id="30" w:name="_Hlk129846175"/>
      <w:r>
        <w:t xml:space="preserve">In August 2022, TMR undertook the rehabilitation design of the girder restraint system for the Tim Fischer Bridge, located just south of Gin Gin, crossing the Burnett River on the Bruce Highway. </w:t>
      </w:r>
    </w:p>
    <w:p w14:paraId="4283CFFA" w14:textId="77777777" w:rsidR="0057796E" w:rsidRDefault="0057796E" w:rsidP="0057796E">
      <w:r>
        <w:t>The rehabilitation design ensured that the restraint system effectively kept bridge girders fixed in place and on their bearings. The rehabilitation design process developed a robust method to secure the bridge for its remaining operational life.</w:t>
      </w:r>
    </w:p>
    <w:p w14:paraId="55CE890E" w14:textId="77777777" w:rsidR="0057796E" w:rsidRDefault="0057796E" w:rsidP="0057796E">
      <w:r>
        <w:t xml:space="preserve">An inspection in December 2022 revealed that one of the bridge bearings had moved from its original position. TMR developed a solution to secure the affected bearing, with rectification works undertaken within six days of identification. This quick response ensured the bridge remained open during the Christmas period.  </w:t>
      </w:r>
      <w:bookmarkEnd w:id="30"/>
    </w:p>
    <w:p w14:paraId="6F6CC9C1" w14:textId="77777777" w:rsidR="0057796E" w:rsidRPr="00803302" w:rsidRDefault="0057796E" w:rsidP="0057796E">
      <w:pPr>
        <w:pStyle w:val="Heading3"/>
      </w:pPr>
      <w:r w:rsidRPr="00803302">
        <w:t>First Nations Digital Careers Program</w:t>
      </w:r>
    </w:p>
    <w:p w14:paraId="3B84F1FE" w14:textId="77777777" w:rsidR="0057796E" w:rsidRDefault="0057796E" w:rsidP="0057796E">
      <w:r>
        <w:t xml:space="preserve">In 2022, QGCDG established an initiative between the Queensland Government and Microsoft Australia to partner to deliver the First Nations Digital Careers Program. </w:t>
      </w:r>
    </w:p>
    <w:p w14:paraId="764460EE" w14:textId="77777777" w:rsidR="0057796E" w:rsidRDefault="0057796E" w:rsidP="0057796E">
      <w:r>
        <w:t xml:space="preserve">The program is aimed at First Nations people of all age groups who are interested in starting or transitioning to a digital career and aims to offer up to 100 placements each year across Queensland. </w:t>
      </w:r>
    </w:p>
    <w:p w14:paraId="38478B7D" w14:textId="77777777" w:rsidR="0057796E" w:rsidRDefault="0057796E" w:rsidP="0057796E">
      <w:r>
        <w:t xml:space="preserve">Participants can study a range of courses and be placed into jobs either within Queensland Government, Microsoft, or one of their partner employers. </w:t>
      </w:r>
    </w:p>
    <w:p w14:paraId="2BBF0C29" w14:textId="77777777" w:rsidR="0057796E" w:rsidRDefault="0057796E" w:rsidP="0057796E">
      <w:r>
        <w:t xml:space="preserve">In April 2023, the program's second intake saw 30 new trainees placed into direct employment across 15 different government agencies and industry organisations and study in either a Certificate III or IV in Information Technology. </w:t>
      </w:r>
    </w:p>
    <w:p w14:paraId="5B423AE3" w14:textId="77777777" w:rsidR="0057796E" w:rsidRDefault="0057796E" w:rsidP="0057796E">
      <w:r>
        <w:t xml:space="preserve">This comes after the program's successful pilot launch in August 2022, which saw six trainees begin in the program, with four placed in QGCDG and two with industry employer, Fujitsu. </w:t>
      </w:r>
    </w:p>
    <w:p w14:paraId="16DA06EF" w14:textId="77777777" w:rsidR="0057796E" w:rsidRDefault="0057796E" w:rsidP="0057796E">
      <w:r>
        <w:t xml:space="preserve">The First Nations Digital Careers Program plays an important role in increasing the supply of digital professionals in Queensland and boosting Indigenous employment. </w:t>
      </w:r>
    </w:p>
    <w:p w14:paraId="4548CAF4" w14:textId="77777777" w:rsidR="0057796E" w:rsidRPr="00003DDC" w:rsidRDefault="0057796E" w:rsidP="0057796E">
      <w:pPr>
        <w:pStyle w:val="ForMoreInformation"/>
      </w:pPr>
      <w:r w:rsidRPr="00003DDC">
        <w:t>For more information</w:t>
      </w:r>
      <w:r>
        <w:br/>
      </w:r>
      <w:r w:rsidRPr="002D390B">
        <w:rPr>
          <w:rStyle w:val="Hyperlink"/>
        </w:rPr>
        <w:t>https://www.qld.gov.au/jobs/career/digital-careers/digital-jobs/first-nations-digital-careers-program</w:t>
      </w:r>
    </w:p>
    <w:p w14:paraId="149EBB19" w14:textId="77777777" w:rsidR="0057796E" w:rsidRPr="00635EBD" w:rsidRDefault="0057796E" w:rsidP="0057796E">
      <w:pPr>
        <w:pStyle w:val="Heading3"/>
      </w:pPr>
      <w:r>
        <w:t>Digital skills and careers for Queenslanders</w:t>
      </w:r>
    </w:p>
    <w:p w14:paraId="287C7A5C" w14:textId="77777777" w:rsidR="0057796E" w:rsidRDefault="0057796E" w:rsidP="0057796E">
      <w:r>
        <w:t xml:space="preserve">Successive independent reports have highlighted the need for Queensland to increase the supply of digital professionals in Queensland to support our businesses and industries. In response, the Queensland Government is delivering the $8 million </w:t>
      </w:r>
      <w:r w:rsidRPr="00C45C2B">
        <w:rPr>
          <w:rStyle w:val="Emphasis"/>
        </w:rPr>
        <w:t>Digital Professional Workforce Action Plan</w:t>
      </w:r>
      <w:r>
        <w:t xml:space="preserve"> which aims to supply an additional 10,000 digital professionals to support Queensland's Digital Economy. </w:t>
      </w:r>
    </w:p>
    <w:p w14:paraId="4A6EF1D0" w14:textId="77777777" w:rsidR="0057796E" w:rsidRDefault="0057796E" w:rsidP="0057796E">
      <w:r>
        <w:t>Since the program commenced, 106,566 Queenslanders have participated in digital career awareness campaigns and over 4000 Queenslanders have participated in digital skills training in 2022–23.</w:t>
      </w:r>
    </w:p>
    <w:p w14:paraId="1D3FA2F7" w14:textId="77777777" w:rsidR="0057796E" w:rsidRDefault="0057796E" w:rsidP="0057796E">
      <w:r>
        <w:t xml:space="preserve">QGCDG is working to not only increase the pipeline but also widen the pipeline to ensure that the workforce is representative of the community with programs targeted at school students, mid-career, people returning to the workforce, veterans, and underrepresented cohorts. </w:t>
      </w:r>
    </w:p>
    <w:p w14:paraId="2D5B8E83" w14:textId="77777777" w:rsidR="0057796E" w:rsidRDefault="0057796E" w:rsidP="0057796E">
      <w:r>
        <w:t xml:space="preserve">In May 2023, QGCDG partnered with TAFE Queensland to deliver Digitrek, which is targeted to high school students and local business. Digitrek's goal was to create awareness of the career options that digital skilling can offer to regional Queenslanders, particularly for the agribusiness value chain. </w:t>
      </w:r>
    </w:p>
    <w:p w14:paraId="2C76F495" w14:textId="77777777" w:rsidR="0057796E" w:rsidRDefault="0057796E" w:rsidP="0057796E">
      <w:r>
        <w:t xml:space="preserve">The Digitrek Regional Digital Skills Roadshow rolled into Roma, Dalby, Kingaroy, and Toowoomba to give the local community an experiential taste of digital. Through information sessions, tactical demonstrations, and networking events, Digitrek showcased emerging jobs, training pathways, and the barriers impacting regional digital professional career development to its 400 participants. </w:t>
      </w:r>
    </w:p>
    <w:p w14:paraId="6A91CC6C" w14:textId="77777777" w:rsidR="0057796E" w:rsidRDefault="0057796E" w:rsidP="0057796E">
      <w:r>
        <w:lastRenderedPageBreak/>
        <w:t xml:space="preserve">With the almost endless career opportunities afforded to those with digital skills, QGCDG supported the development of a free online digital career discovery tool, MyCareerMatch, to highlight the opportunities. </w:t>
      </w:r>
    </w:p>
    <w:p w14:paraId="765C3255" w14:textId="77777777" w:rsidR="0057796E" w:rsidRDefault="0057796E" w:rsidP="0057796E">
      <w:r>
        <w:t xml:space="preserve">MyCareerMatch is a five-minute quiz that provides a personalised digital career guide that matches the participant's personality strengths to possible digital careers across multiple industries. The detailed guide explains each role and offers a comprehensive look at careers needed to drive Queensland's economy. Each occupation is linked to the training and qualification needed to find employment, as well as websites with information on where and how to enrol. </w:t>
      </w:r>
    </w:p>
    <w:p w14:paraId="4A03E4AF" w14:textId="77777777" w:rsidR="0057796E" w:rsidRDefault="0057796E" w:rsidP="0057796E">
      <w:r>
        <w:t xml:space="preserve">The Queensland Government will continue to work with key partners to build the digital talent required to support a thriving digital economy.  </w:t>
      </w:r>
    </w:p>
    <w:p w14:paraId="1268E684" w14:textId="77777777" w:rsidR="0057796E" w:rsidRPr="00E21BD9" w:rsidRDefault="0057796E" w:rsidP="0057796E">
      <w:pPr>
        <w:pStyle w:val="Heading3"/>
      </w:pPr>
      <w:r w:rsidRPr="00E21BD9">
        <w:t>Light Emitting Diode lighting replacement project</w:t>
      </w:r>
    </w:p>
    <w:p w14:paraId="5D6020BB" w14:textId="77777777" w:rsidR="0057796E" w:rsidRPr="00380C41" w:rsidRDefault="0057796E" w:rsidP="0057796E">
      <w:r w:rsidRPr="00380C41">
        <w:t xml:space="preserve">In 2022–23, TMR replaced </w:t>
      </w:r>
      <w:r>
        <w:t>6288</w:t>
      </w:r>
      <w:r w:rsidRPr="00380C41">
        <w:t xml:space="preserve"> obsolete road lights with high performing </w:t>
      </w:r>
      <w:r>
        <w:t>Light Emitting Diode (</w:t>
      </w:r>
      <w:r w:rsidRPr="00380C41">
        <w:t>LED</w:t>
      </w:r>
      <w:r>
        <w:t>)</w:t>
      </w:r>
      <w:r w:rsidRPr="00380C41">
        <w:t xml:space="preserve"> luminaires </w:t>
      </w:r>
      <w:r>
        <w:t xml:space="preserve">as well as 7234 </w:t>
      </w:r>
      <w:r w:rsidRPr="00380C41">
        <w:t xml:space="preserve"> Smart Light Control units. </w:t>
      </w:r>
    </w:p>
    <w:p w14:paraId="4BD48A69" w14:textId="77777777" w:rsidR="0057796E" w:rsidRPr="00E21BD9" w:rsidRDefault="0057796E" w:rsidP="0057796E">
      <w:r w:rsidRPr="00380C41">
        <w:t xml:space="preserve">More than </w:t>
      </w:r>
      <w:r>
        <w:t>30,000</w:t>
      </w:r>
      <w:r w:rsidRPr="00380C41">
        <w:t xml:space="preserve"> road lights were identified for replacement on state-controlled roads and more than </w:t>
      </w:r>
      <w:r>
        <w:t>25,521</w:t>
      </w:r>
      <w:r w:rsidRPr="00380C41">
        <w:t xml:space="preserve"> have been installed since delivery commenced in 2017.</w:t>
      </w:r>
      <w:r>
        <w:t xml:space="preserve"> </w:t>
      </w:r>
      <w:r w:rsidRPr="00A62025">
        <w:t>Combining LED Road lighting with smart light technology has delivered the following benefits:</w:t>
      </w:r>
    </w:p>
    <w:p w14:paraId="33CECE3D" w14:textId="77777777" w:rsidR="0057796E" w:rsidRPr="00E21BD9" w:rsidRDefault="0057796E" w:rsidP="0057796E">
      <w:pPr>
        <w:pStyle w:val="ListBullet"/>
      </w:pPr>
      <w:r w:rsidRPr="00E21BD9">
        <w:t>greatly improved lighting quality</w:t>
      </w:r>
    </w:p>
    <w:p w14:paraId="1FCAC9D0" w14:textId="77777777" w:rsidR="0057796E" w:rsidRPr="00E21BD9" w:rsidRDefault="0057796E" w:rsidP="0057796E">
      <w:pPr>
        <w:pStyle w:val="ListBullet"/>
      </w:pPr>
      <w:r w:rsidRPr="00E21BD9">
        <w:t>reduced energy consumption by up to 45 per cent</w:t>
      </w:r>
    </w:p>
    <w:p w14:paraId="41ACE743" w14:textId="77777777" w:rsidR="0057796E" w:rsidRPr="00E21BD9" w:rsidRDefault="0057796E" w:rsidP="0057796E">
      <w:pPr>
        <w:pStyle w:val="ListBullet"/>
      </w:pPr>
      <w:r w:rsidRPr="00E21BD9">
        <w:t>reduced operating and maintenance costs</w:t>
      </w:r>
    </w:p>
    <w:p w14:paraId="2130BFBF" w14:textId="77777777" w:rsidR="0057796E" w:rsidRPr="00E21BD9" w:rsidRDefault="0057796E" w:rsidP="0057796E">
      <w:pPr>
        <w:pStyle w:val="ListBullet"/>
      </w:pPr>
      <w:r w:rsidRPr="00E21BD9">
        <w:t>longer lifecycle of lights</w:t>
      </w:r>
    </w:p>
    <w:p w14:paraId="6638C406" w14:textId="77777777" w:rsidR="0057796E" w:rsidRPr="00E21BD9" w:rsidRDefault="0057796E" w:rsidP="0057796E">
      <w:pPr>
        <w:pStyle w:val="ListBullet"/>
      </w:pPr>
      <w:r w:rsidRPr="00E21BD9">
        <w:t>improved road safety and environmental conditions</w:t>
      </w:r>
    </w:p>
    <w:p w14:paraId="2AC4F884" w14:textId="77777777" w:rsidR="0057796E" w:rsidRPr="00E21BD9" w:rsidRDefault="0057796E" w:rsidP="0057796E">
      <w:pPr>
        <w:pStyle w:val="ListBullet"/>
      </w:pPr>
      <w:r w:rsidRPr="00E21BD9">
        <w:t>improved asset management processes</w:t>
      </w:r>
    </w:p>
    <w:p w14:paraId="617EADBA" w14:textId="77777777" w:rsidR="0057796E" w:rsidRDefault="0057796E" w:rsidP="0057796E">
      <w:pPr>
        <w:pStyle w:val="ListBullet"/>
      </w:pPr>
      <w:r w:rsidRPr="00E21BD9">
        <w:t xml:space="preserve">enables intelligent controls and performance monitoring capability. </w:t>
      </w:r>
    </w:p>
    <w:p w14:paraId="53DBA73D" w14:textId="77777777" w:rsidR="0057796E" w:rsidRPr="00E21BD9" w:rsidRDefault="0057796E" w:rsidP="0057796E">
      <w:r w:rsidRPr="00E21BD9">
        <w:t xml:space="preserve">In collaboration with the Endeavour Foundation, TMR has recycled 95 per cent of legacy luminaires. As of 30 June 2023, more than </w:t>
      </w:r>
      <w:r>
        <w:t>121</w:t>
      </w:r>
      <w:r w:rsidRPr="00E21BD9">
        <w:t xml:space="preserve"> tonnes of scrap metal were saved from ending up in landfill.</w:t>
      </w:r>
    </w:p>
    <w:p w14:paraId="2CABB3DE" w14:textId="77777777" w:rsidR="0057796E" w:rsidRDefault="0057796E" w:rsidP="0057796E">
      <w:r w:rsidRPr="00E21BD9">
        <w:t>The project is ahead of schedule to deliver the remaining Smart LED Road lighting by 2026.</w:t>
      </w:r>
    </w:p>
    <w:p w14:paraId="31433805" w14:textId="49323FDB" w:rsidR="0057796E" w:rsidRDefault="0057796E" w:rsidP="0057796E">
      <w:pPr>
        <w:pStyle w:val="Heading2"/>
      </w:pPr>
      <w:r w:rsidRPr="007A3803">
        <w:t>Reducing the impact of network disruption</w:t>
      </w:r>
    </w:p>
    <w:p w14:paraId="7AC8F5FF" w14:textId="77777777" w:rsidR="0057796E" w:rsidRPr="00756FBC" w:rsidRDefault="0057796E" w:rsidP="0057796E">
      <w:pPr>
        <w:pStyle w:val="Heading3"/>
      </w:pPr>
      <w:r w:rsidRPr="002A1E60">
        <w:t>Queensland Transport Security Program and Queensland Security and Counter</w:t>
      </w:r>
      <w:r>
        <w:t>-</w:t>
      </w:r>
      <w:r w:rsidRPr="002A1E60">
        <w:t>Terrorism Strategy</w:t>
      </w:r>
    </w:p>
    <w:p w14:paraId="2DE77137" w14:textId="77777777" w:rsidR="00A74536" w:rsidRDefault="0057796E" w:rsidP="0057796E">
      <w:r>
        <w:t xml:space="preserve">TMR </w:t>
      </w:r>
      <w:r w:rsidRPr="002A1E60">
        <w:t xml:space="preserve">works in partnership with </w:t>
      </w:r>
      <w:r>
        <w:t xml:space="preserve">the QPS, </w:t>
      </w:r>
      <w:r w:rsidRPr="002A1E60">
        <w:t>the surface transport industry</w:t>
      </w:r>
      <w:r>
        <w:t xml:space="preserve"> </w:t>
      </w:r>
      <w:r w:rsidRPr="002A1E60">
        <w:t>and local, state, and Australian governments to help prepare for, prevent, respond to, and recover from significant security incidents.</w:t>
      </w:r>
    </w:p>
    <w:p w14:paraId="0A924435" w14:textId="031DEBB0" w:rsidR="0057796E" w:rsidRDefault="0057796E" w:rsidP="0057796E">
      <w:r>
        <w:t>TMR does this by:</w:t>
      </w:r>
    </w:p>
    <w:p w14:paraId="284F4F71" w14:textId="77777777" w:rsidR="0057796E" w:rsidRDefault="0057796E" w:rsidP="0057796E">
      <w:pPr>
        <w:pStyle w:val="ListBullet"/>
      </w:pPr>
      <w:r>
        <w:t xml:space="preserve">coordinating </w:t>
      </w:r>
      <w:r w:rsidRPr="002A1E60">
        <w:t>national and state surface transport counter-terrorism policy</w:t>
      </w:r>
    </w:p>
    <w:p w14:paraId="05A75FA5" w14:textId="77777777" w:rsidR="0057796E" w:rsidRPr="002A1E60" w:rsidRDefault="0057796E" w:rsidP="0057796E">
      <w:pPr>
        <w:pStyle w:val="ListBullet"/>
      </w:pPr>
      <w:r>
        <w:t>r</w:t>
      </w:r>
      <w:r w:rsidRPr="002A1E60">
        <w:t>egulati</w:t>
      </w:r>
      <w:r>
        <w:t xml:space="preserve">ng </w:t>
      </w:r>
      <w:r w:rsidRPr="002A1E60">
        <w:t>Queensland’s Security-Identified Surface Transport Operations</w:t>
      </w:r>
    </w:p>
    <w:p w14:paraId="010CFC43" w14:textId="77777777" w:rsidR="0057796E" w:rsidRPr="002A1E60" w:rsidRDefault="0057796E" w:rsidP="0057796E">
      <w:pPr>
        <w:pStyle w:val="ListBullet"/>
      </w:pPr>
      <w:r>
        <w:t xml:space="preserve">providing </w:t>
      </w:r>
      <w:r w:rsidRPr="002A1E60">
        <w:t xml:space="preserve">security guidance and support to Queensland's </w:t>
      </w:r>
      <w:r>
        <w:t>s</w:t>
      </w:r>
      <w:r w:rsidRPr="002A1E60">
        <w:t xml:space="preserve">urface </w:t>
      </w:r>
      <w:r>
        <w:t>t</w:t>
      </w:r>
      <w:r w:rsidRPr="002A1E60">
        <w:t xml:space="preserve">ransport </w:t>
      </w:r>
      <w:r>
        <w:t>o</w:t>
      </w:r>
      <w:r w:rsidRPr="002A1E60">
        <w:t>perations</w:t>
      </w:r>
    </w:p>
    <w:p w14:paraId="6A36361B" w14:textId="77777777" w:rsidR="0057796E" w:rsidRDefault="0057796E" w:rsidP="0057796E">
      <w:pPr>
        <w:pStyle w:val="ListBullet"/>
      </w:pPr>
      <w:bookmarkStart w:id="31" w:name="_Hlk129264127"/>
      <w:r>
        <w:t>facilitating Q</w:t>
      </w:r>
      <w:r w:rsidRPr="002A1E60">
        <w:t xml:space="preserve">ueensland’s </w:t>
      </w:r>
      <w:r>
        <w:t>t</w:t>
      </w:r>
      <w:r w:rsidRPr="002A1E60">
        <w:t xml:space="preserve">ransport </w:t>
      </w:r>
      <w:r>
        <w:t>p</w:t>
      </w:r>
      <w:r w:rsidRPr="002A1E60">
        <w:t xml:space="preserve">recinct </w:t>
      </w:r>
      <w:bookmarkEnd w:id="31"/>
      <w:r>
        <w:t>s</w:t>
      </w:r>
      <w:r w:rsidRPr="002A1E60">
        <w:t xml:space="preserve">ecurity </w:t>
      </w:r>
      <w:r>
        <w:t>p</w:t>
      </w:r>
      <w:r w:rsidRPr="002A1E60">
        <w:t>rogram</w:t>
      </w:r>
    </w:p>
    <w:p w14:paraId="3CC6AA9D" w14:textId="77777777" w:rsidR="0057796E" w:rsidRPr="002A1E60" w:rsidRDefault="0057796E" w:rsidP="0057796E">
      <w:pPr>
        <w:pStyle w:val="ListBullet"/>
      </w:pPr>
      <w:r>
        <w:t xml:space="preserve">facilitating </w:t>
      </w:r>
      <w:r w:rsidRPr="002A1E60">
        <w:t xml:space="preserve">Queensland’s </w:t>
      </w:r>
      <w:r>
        <w:t>t</w:t>
      </w:r>
      <w:r w:rsidRPr="002A1E60">
        <w:t xml:space="preserve">ransport </w:t>
      </w:r>
      <w:r>
        <w:t>p</w:t>
      </w:r>
      <w:r w:rsidRPr="002A1E60">
        <w:t>recinct</w:t>
      </w:r>
      <w:r>
        <w:t xml:space="preserve"> exercises</w:t>
      </w:r>
    </w:p>
    <w:p w14:paraId="2C8C1131" w14:textId="77777777" w:rsidR="0057796E" w:rsidRPr="002A1E60" w:rsidRDefault="0057796E" w:rsidP="0057796E">
      <w:pPr>
        <w:pStyle w:val="ListBullet"/>
      </w:pPr>
      <w:r>
        <w:t>supporting s</w:t>
      </w:r>
      <w:r w:rsidRPr="002A1E60">
        <w:t xml:space="preserve">tate </w:t>
      </w:r>
      <w:r>
        <w:t>m</w:t>
      </w:r>
      <w:r w:rsidRPr="002A1E60">
        <w:t xml:space="preserve">ajor </w:t>
      </w:r>
      <w:r>
        <w:t>e</w:t>
      </w:r>
      <w:r w:rsidRPr="002A1E60">
        <w:t xml:space="preserve">vent </w:t>
      </w:r>
      <w:r>
        <w:t>s</w:t>
      </w:r>
      <w:r w:rsidRPr="002A1E60">
        <w:t xml:space="preserve">ecurity </w:t>
      </w:r>
      <w:r>
        <w:t>p</w:t>
      </w:r>
      <w:r w:rsidRPr="002A1E60">
        <w:t>lanning and police operations</w:t>
      </w:r>
    </w:p>
    <w:p w14:paraId="147C5B92" w14:textId="77777777" w:rsidR="0057796E" w:rsidRPr="002A1E60" w:rsidRDefault="0057796E" w:rsidP="0057796E">
      <w:pPr>
        <w:pStyle w:val="ListBullet"/>
      </w:pPr>
      <w:r>
        <w:t xml:space="preserve">facilitating </w:t>
      </w:r>
      <w:r w:rsidRPr="002A1E60">
        <w:t>intelligence and information sharing events for transport and transport hub operators</w:t>
      </w:r>
    </w:p>
    <w:p w14:paraId="01D1B08E" w14:textId="77777777" w:rsidR="0057796E" w:rsidRPr="002A1E60" w:rsidRDefault="0057796E" w:rsidP="0057796E">
      <w:pPr>
        <w:pStyle w:val="ListBullet"/>
      </w:pPr>
      <w:r>
        <w:t xml:space="preserve">ensuring critical </w:t>
      </w:r>
      <w:r w:rsidRPr="002A1E60">
        <w:t>infrastructure protection.</w:t>
      </w:r>
    </w:p>
    <w:p w14:paraId="646EFA1F" w14:textId="77777777" w:rsidR="0057796E" w:rsidRPr="00DC1A33" w:rsidRDefault="0057796E" w:rsidP="0057796E">
      <w:pPr>
        <w:pStyle w:val="Heading3"/>
      </w:pPr>
      <w:r>
        <w:lastRenderedPageBreak/>
        <w:t xml:space="preserve">Queensland Disaster Management Arrangements </w:t>
      </w:r>
    </w:p>
    <w:p w14:paraId="107E5C7F" w14:textId="77777777" w:rsidR="0057796E" w:rsidRPr="004A6336" w:rsidRDefault="0057796E" w:rsidP="0057796E">
      <w:r w:rsidRPr="004A6336">
        <w:t>Under Queensland Disaster Management Arrangements, TMR provides functional support for transport systems, is the hazard specific lead for ship</w:t>
      </w:r>
      <w:r>
        <w:t>-</w:t>
      </w:r>
      <w:r w:rsidRPr="004A6336">
        <w:t xml:space="preserve">sourced pollution events, leads TMR's recovery and reconstruction of roads and transport networks for disaster affected communities and provides strategic oversight for implementation and delivery of resilience initiatives. </w:t>
      </w:r>
    </w:p>
    <w:p w14:paraId="5AAF2776" w14:textId="77777777" w:rsidR="0057796E" w:rsidRPr="004A6336" w:rsidRDefault="0057796E" w:rsidP="0057796E">
      <w:r w:rsidRPr="004A6336">
        <w:t xml:space="preserve">Operationally, </w:t>
      </w:r>
      <w:r>
        <w:t xml:space="preserve">Transport Network Security and Resilience </w:t>
      </w:r>
      <w:r w:rsidRPr="004A6336">
        <w:t xml:space="preserve">supports the State Disaster Coordination Centre, with trained Liaison Officers and produces an </w:t>
      </w:r>
      <w:r>
        <w:t>a</w:t>
      </w:r>
      <w:r w:rsidRPr="004A6336">
        <w:t xml:space="preserve">wareness </w:t>
      </w:r>
      <w:r>
        <w:t>d</w:t>
      </w:r>
      <w:r w:rsidRPr="004A6336">
        <w:t xml:space="preserve">ashboard, </w:t>
      </w:r>
      <w:r>
        <w:t>p</w:t>
      </w:r>
      <w:r w:rsidRPr="004A6336">
        <w:t xml:space="preserve">riority </w:t>
      </w:r>
      <w:r>
        <w:t>a</w:t>
      </w:r>
      <w:r w:rsidRPr="004A6336">
        <w:t xml:space="preserve">lerts and other targeted products and services as required for situational awareness. </w:t>
      </w:r>
    </w:p>
    <w:p w14:paraId="0C89C3F8" w14:textId="77777777" w:rsidR="0057796E" w:rsidRPr="004A6336" w:rsidRDefault="0057796E" w:rsidP="0057796E">
      <w:r w:rsidRPr="004A6336">
        <w:t xml:space="preserve">The annual TMR </w:t>
      </w:r>
      <w:r>
        <w:t>p</w:t>
      </w:r>
      <w:r w:rsidRPr="004A6336">
        <w:t>re</w:t>
      </w:r>
      <w:r>
        <w:t>-</w:t>
      </w:r>
      <w:r w:rsidRPr="004A6336">
        <w:t xml:space="preserve">season </w:t>
      </w:r>
      <w:r>
        <w:t>p</w:t>
      </w:r>
      <w:r w:rsidRPr="004A6336">
        <w:t>rogram for district regional staff, and invited key external stakeholders, is an opportunity to clarify and refine understanding of roles and responsibilities as outlined under the Queensland Disaster Management Arrangements.</w:t>
      </w:r>
    </w:p>
    <w:p w14:paraId="1C2FBC5D" w14:textId="77777777" w:rsidR="0057796E" w:rsidRPr="007A3803" w:rsidRDefault="0057796E" w:rsidP="0057796E">
      <w:r w:rsidRPr="004A6336">
        <w:t xml:space="preserve">A </w:t>
      </w:r>
      <w:r w:rsidRPr="00417C34">
        <w:rPr>
          <w:rStyle w:val="Emphasis"/>
        </w:rPr>
        <w:t>Continuity and Disruption Management Policy</w:t>
      </w:r>
      <w:r w:rsidRPr="004A6336">
        <w:t xml:space="preserve"> underpins TMR's business continuity management program with annual reviews of processes, practices</w:t>
      </w:r>
      <w:r>
        <w:t>,</w:t>
      </w:r>
      <w:r w:rsidRPr="004A6336">
        <w:t xml:space="preserve"> and supporting documentation to ensure continued improvement and incorporation of international best practice. </w:t>
      </w:r>
    </w:p>
    <w:p w14:paraId="6E5A0942" w14:textId="77777777" w:rsidR="0057796E" w:rsidRPr="00AF6BC8" w:rsidRDefault="0057796E" w:rsidP="0057796E">
      <w:pPr>
        <w:pStyle w:val="Heading3"/>
      </w:pPr>
      <w:r w:rsidRPr="00A776C2">
        <w:t>Roadway Flood Data Exchange</w:t>
      </w:r>
    </w:p>
    <w:p w14:paraId="0F222224" w14:textId="77777777" w:rsidR="0057796E" w:rsidRPr="00A776C2" w:rsidRDefault="0057796E" w:rsidP="0057796E">
      <w:r w:rsidRPr="00A776C2">
        <w:t>Disseminating information about the condition of TMR’s road</w:t>
      </w:r>
      <w:r>
        <w:t xml:space="preserve"> </w:t>
      </w:r>
      <w:r w:rsidRPr="00A776C2">
        <w:t>network is essential for the public to navigate Queensland roads.</w:t>
      </w:r>
    </w:p>
    <w:p w14:paraId="2B84679E" w14:textId="77777777" w:rsidR="0057796E" w:rsidRDefault="0057796E" w:rsidP="0057796E">
      <w:r>
        <w:t xml:space="preserve">During 2022–23, </w:t>
      </w:r>
      <w:r w:rsidRPr="00A776C2">
        <w:t xml:space="preserve">TMR has </w:t>
      </w:r>
      <w:r>
        <w:t xml:space="preserve">expanded collaboration with the Bureau of Meteorology </w:t>
      </w:r>
      <w:r w:rsidRPr="00D7351F">
        <w:t>(the Bureau)</w:t>
      </w:r>
      <w:r w:rsidRPr="00107970">
        <w:t xml:space="preserve"> </w:t>
      </w:r>
      <w:r>
        <w:t xml:space="preserve">by investing in upgrades to TMR flood monitoring assets to make them available to the </w:t>
      </w:r>
      <w:r w:rsidRPr="00D7351F">
        <w:t>Bureau</w:t>
      </w:r>
      <w:r>
        <w:t xml:space="preserve"> interface. This upgrade will increase the number of TMR flood monitoring assets that share data with </w:t>
      </w:r>
      <w:r w:rsidRPr="00D7351F">
        <w:t>the Bureau</w:t>
      </w:r>
      <w:r>
        <w:t>.</w:t>
      </w:r>
    </w:p>
    <w:p w14:paraId="1187D624" w14:textId="77777777" w:rsidR="0057796E" w:rsidRPr="00A776C2" w:rsidRDefault="0057796E" w:rsidP="0057796E">
      <w:r>
        <w:t xml:space="preserve">TMR has also enabled the traffic management system to receive flood data from flood monitoring assets through the data feed from </w:t>
      </w:r>
      <w:r w:rsidRPr="00D7351F">
        <w:t>the Bureau</w:t>
      </w:r>
      <w:r>
        <w:t>. This additional flood monitoring data will help TMR to provide a better service to road users.</w:t>
      </w:r>
    </w:p>
    <w:p w14:paraId="232EF055" w14:textId="77777777" w:rsidR="0057796E" w:rsidRDefault="0057796E" w:rsidP="0057796E">
      <w:r>
        <w:t>Implementing</w:t>
      </w:r>
      <w:r w:rsidRPr="00A776C2">
        <w:t xml:space="preserve"> this system-to-system interface for</w:t>
      </w:r>
      <w:r>
        <w:t xml:space="preserve"> </w:t>
      </w:r>
      <w:r w:rsidRPr="00A776C2">
        <w:t>exchanging flood monitoring data between both agencies</w:t>
      </w:r>
      <w:r>
        <w:t xml:space="preserve"> </w:t>
      </w:r>
      <w:r w:rsidRPr="00A776C2">
        <w:t>aims to improve the availability and coverage of data for both</w:t>
      </w:r>
      <w:r>
        <w:t xml:space="preserve"> </w:t>
      </w:r>
      <w:r w:rsidRPr="00A776C2">
        <w:t>agencies and optimi</w:t>
      </w:r>
      <w:r>
        <w:t>s</w:t>
      </w:r>
      <w:r w:rsidRPr="00A776C2">
        <w:t>es the investment in new monitoring assets.</w:t>
      </w:r>
    </w:p>
    <w:p w14:paraId="5AC6AAC5" w14:textId="7FF4E3C3" w:rsidR="0057796E" w:rsidRDefault="0057796E" w:rsidP="0057796E">
      <w:pPr>
        <w:pStyle w:val="Heading3"/>
      </w:pPr>
      <w:r>
        <w:t xml:space="preserve">Case </w:t>
      </w:r>
      <w:r w:rsidR="00A74536">
        <w:t>s</w:t>
      </w:r>
      <w:r>
        <w:t>tudy</w:t>
      </w:r>
      <w:r w:rsidR="00A74536">
        <w:t xml:space="preserve"> </w:t>
      </w:r>
      <w:r w:rsidRPr="00D7351F">
        <w:t xml:space="preserve">Bureau of Meteorology partnership </w:t>
      </w:r>
    </w:p>
    <w:p w14:paraId="129222C2" w14:textId="77777777" w:rsidR="0057796E" w:rsidRPr="00D7351F" w:rsidRDefault="0057796E" w:rsidP="0057796E">
      <w:r w:rsidRPr="00D7351F">
        <w:t xml:space="preserve">With a view to the future and a focus on building network resilience, TMR extended its strategic relationship with the Meteorology in </w:t>
      </w:r>
      <w:r>
        <w:t xml:space="preserve">December </w:t>
      </w:r>
      <w:r w:rsidRPr="00D7351F">
        <w:t>2022</w:t>
      </w:r>
      <w:r>
        <w:t xml:space="preserve"> for another three years</w:t>
      </w:r>
      <w:r w:rsidRPr="00D7351F">
        <w:t>.</w:t>
      </w:r>
    </w:p>
    <w:p w14:paraId="0B4C2221" w14:textId="77777777" w:rsidR="0057796E" w:rsidRPr="00D7351F" w:rsidRDefault="0057796E" w:rsidP="0057796E">
      <w:r w:rsidRPr="00D7351F">
        <w:t>Since the initial relationship was established in 2018, TMR has worked with the Bureau to support planning and response to weather events. Over the course of 2022</w:t>
      </w:r>
      <w:r>
        <w:t>–</w:t>
      </w:r>
      <w:r w:rsidRPr="00D7351F">
        <w:t xml:space="preserve">23, the relationship </w:t>
      </w:r>
      <w:r>
        <w:t xml:space="preserve">has </w:t>
      </w:r>
      <w:r w:rsidRPr="00D7351F">
        <w:t xml:space="preserve">again proved crucial to TMR's response to multiple weather events. </w:t>
      </w:r>
    </w:p>
    <w:p w14:paraId="02C60191" w14:textId="77777777" w:rsidR="0057796E" w:rsidRPr="00D7351F" w:rsidRDefault="0057796E" w:rsidP="0057796E">
      <w:r w:rsidRPr="00D7351F">
        <w:t xml:space="preserve">Critical decisions to close roads, cease public transport services and suspend maritime operations are all supported by detailed forecast information from the Bureau. </w:t>
      </w:r>
    </w:p>
    <w:p w14:paraId="0136C649" w14:textId="77777777" w:rsidR="0057796E" w:rsidRPr="00D7351F" w:rsidRDefault="0057796E" w:rsidP="0057796E">
      <w:r w:rsidRPr="00D7351F">
        <w:t>In addition, understanding climatic impacts informs project planning and delivery with weather extremes factored in to TMR's approach to project management and building resilient infrastructure.</w:t>
      </w:r>
    </w:p>
    <w:p w14:paraId="2D619140" w14:textId="77777777" w:rsidR="0057796E" w:rsidRPr="00D7351F" w:rsidRDefault="0057796E" w:rsidP="0057796E">
      <w:r w:rsidRPr="00D7351F">
        <w:t>The relationship and the benefit</w:t>
      </w:r>
      <w:r>
        <w:t>s</w:t>
      </w:r>
      <w:r w:rsidRPr="00D7351F">
        <w:t xml:space="preserve"> it deliver</w:t>
      </w:r>
      <w:r>
        <w:t>s</w:t>
      </w:r>
      <w:r w:rsidRPr="00D7351F">
        <w:t xml:space="preserve"> were </w:t>
      </w:r>
      <w:r>
        <w:t xml:space="preserve">on display </w:t>
      </w:r>
      <w:r w:rsidRPr="00D7351F">
        <w:t xml:space="preserve">when TMR hosted a Roads Australia seminar on </w:t>
      </w:r>
      <w:r>
        <w:t>Improving Resilience in Transport Infrastructure</w:t>
      </w:r>
      <w:r w:rsidRPr="00D7351F">
        <w:t xml:space="preserve"> in </w:t>
      </w:r>
      <w:r>
        <w:t>February</w:t>
      </w:r>
      <w:r w:rsidRPr="00D7351F">
        <w:t xml:space="preserve"> 2023 </w:t>
      </w:r>
      <w:r>
        <w:t xml:space="preserve">where </w:t>
      </w:r>
      <w:r w:rsidRPr="00D7351F">
        <w:t xml:space="preserve">the Chief Executive Officer from the Bureau presented on current weather challenges and the long-term climate outlook and considerations for project planning. </w:t>
      </w:r>
    </w:p>
    <w:p w14:paraId="130E0D9A" w14:textId="77777777" w:rsidR="0057796E" w:rsidRPr="00613C80" w:rsidRDefault="0057796E" w:rsidP="0057796E">
      <w:r w:rsidRPr="00D7351F">
        <w:t xml:space="preserve">TMR is looking forward to realising further benefits as the strategic relationship provides a foundation to explore opportunities for </w:t>
      </w:r>
      <w:r>
        <w:t>additional</w:t>
      </w:r>
      <w:r w:rsidRPr="00D7351F">
        <w:t xml:space="preserve"> data sharing, which enables improved outcomes to be delivered for customers. </w:t>
      </w:r>
    </w:p>
    <w:p w14:paraId="1D2C8CF9" w14:textId="77777777" w:rsidR="0057796E" w:rsidRDefault="0057796E" w:rsidP="0057796E">
      <w:pPr>
        <w:pStyle w:val="Heading3"/>
      </w:pPr>
      <w:r>
        <w:t>ICT Asset Disaster Recovery</w:t>
      </w:r>
    </w:p>
    <w:p w14:paraId="5128FB3E" w14:textId="77777777" w:rsidR="0057796E" w:rsidRPr="007A3803" w:rsidRDefault="0057796E" w:rsidP="0057796E">
      <w:r w:rsidRPr="00BD54BC">
        <w:rPr>
          <w:rStyle w:val="Emphasis"/>
        </w:rPr>
        <w:t>ICT Asset Disaster Recovery Plans</w:t>
      </w:r>
      <w:r w:rsidRPr="007A3803">
        <w:t xml:space="preserve"> continue to play a vital role in ensuring </w:t>
      </w:r>
      <w:r>
        <w:t>TMR</w:t>
      </w:r>
      <w:r w:rsidRPr="007A3803">
        <w:t xml:space="preserve"> maintains resilient and highly available ICT systems that support frontline employees and ensures essential services are provided to the community.</w:t>
      </w:r>
    </w:p>
    <w:p w14:paraId="2C3B665C" w14:textId="77777777" w:rsidR="0057796E" w:rsidRPr="007A3803" w:rsidRDefault="0057796E" w:rsidP="0057796E">
      <w:r w:rsidRPr="007A3803">
        <w:lastRenderedPageBreak/>
        <w:t xml:space="preserve">In 2022–23, </w:t>
      </w:r>
      <w:r>
        <w:t xml:space="preserve">TMR </w:t>
      </w:r>
      <w:r w:rsidRPr="007A3803">
        <w:t>continued to place a key focus on the capability and resiliency of vital systems, ensuring support for business continuity and minimisation of service disruption. With the ever-increasing threat of cyber-attack, exemplified by a number of high-profile companies experiencing cyber breaches in 2022</w:t>
      </w:r>
      <w:r>
        <w:t>–23</w:t>
      </w:r>
      <w:r w:rsidRPr="007A3803">
        <w:t xml:space="preserve">, </w:t>
      </w:r>
      <w:r>
        <w:t xml:space="preserve">TMR </w:t>
      </w:r>
      <w:r w:rsidRPr="007A3803">
        <w:t xml:space="preserve">has focused on hardening its security technologies and processes. </w:t>
      </w:r>
    </w:p>
    <w:p w14:paraId="7DD297B5" w14:textId="77777777" w:rsidR="0057796E" w:rsidRPr="007A3803" w:rsidRDefault="0057796E" w:rsidP="0057796E">
      <w:r w:rsidRPr="007A3803">
        <w:t>Focus areas included:</w:t>
      </w:r>
    </w:p>
    <w:p w14:paraId="1312F51D" w14:textId="77777777" w:rsidR="0057796E" w:rsidRPr="007A3803" w:rsidRDefault="0057796E" w:rsidP="0057796E">
      <w:pPr>
        <w:pStyle w:val="ListBullet"/>
      </w:pPr>
      <w:r w:rsidRPr="007A3803">
        <w:t>increasing cyber-awareness through ongoing campaigns and training</w:t>
      </w:r>
    </w:p>
    <w:p w14:paraId="595224D6" w14:textId="77777777" w:rsidR="0057796E" w:rsidRPr="007A3803" w:rsidRDefault="0057796E" w:rsidP="0057796E">
      <w:pPr>
        <w:pStyle w:val="ListBullet"/>
      </w:pPr>
      <w:r w:rsidRPr="007A3803">
        <w:t>reconfirming security requirements with key service delivery partners</w:t>
      </w:r>
    </w:p>
    <w:p w14:paraId="3F5C14A3" w14:textId="77777777" w:rsidR="0057796E" w:rsidRPr="007A3803" w:rsidRDefault="0057796E" w:rsidP="0057796E">
      <w:pPr>
        <w:pStyle w:val="ListBullet"/>
      </w:pPr>
      <w:r w:rsidRPr="007A3803">
        <w:t xml:space="preserve">participating in disaster recovery scenario activities across government and selected key partners to maintain confidence in </w:t>
      </w:r>
      <w:r>
        <w:t>TMR's</w:t>
      </w:r>
      <w:r w:rsidRPr="007A3803">
        <w:t xml:space="preserve"> capability to continue to deliver services to Queenslanders.</w:t>
      </w:r>
    </w:p>
    <w:p w14:paraId="4DFF800F" w14:textId="77777777" w:rsidR="00E6328B" w:rsidRDefault="00E6328B">
      <w:pPr>
        <w:spacing w:before="0" w:after="160" w:line="259" w:lineRule="auto"/>
      </w:pPr>
      <w:r>
        <w:br w:type="page"/>
      </w:r>
    </w:p>
    <w:p w14:paraId="4A908476" w14:textId="50B86B76" w:rsidR="0057796E" w:rsidRPr="007A3803" w:rsidRDefault="0057796E" w:rsidP="0057796E">
      <w:r w:rsidRPr="007A3803">
        <w:lastRenderedPageBreak/>
        <w:t xml:space="preserve">Key achievements during 2022–23 included: </w:t>
      </w:r>
    </w:p>
    <w:p w14:paraId="25367524" w14:textId="77777777" w:rsidR="0057796E" w:rsidRPr="007A3803" w:rsidRDefault="0057796E" w:rsidP="0057796E">
      <w:pPr>
        <w:pStyle w:val="ListBullet"/>
      </w:pPr>
      <w:r w:rsidRPr="007A3803">
        <w:t>continued investment in the Information Security Management System, including security tools, processes, and the risk management framework</w:t>
      </w:r>
    </w:p>
    <w:p w14:paraId="3538AA7D" w14:textId="77777777" w:rsidR="0057796E" w:rsidRPr="007A3803" w:rsidRDefault="0057796E" w:rsidP="0057796E">
      <w:pPr>
        <w:pStyle w:val="ListBullet"/>
      </w:pPr>
      <w:r>
        <w:t>established</w:t>
      </w:r>
      <w:r w:rsidRPr="007A3803">
        <w:t xml:space="preserve"> of a dedicated ICT Resilience Practice to drive alignment of ICT systems resilience and disaster recovery capability to meet critical business services' continuity requirements</w:t>
      </w:r>
    </w:p>
    <w:p w14:paraId="59F15107" w14:textId="77777777" w:rsidR="0057796E" w:rsidRPr="007A3803" w:rsidRDefault="0057796E" w:rsidP="0057796E">
      <w:pPr>
        <w:pStyle w:val="ListBullet"/>
      </w:pPr>
      <w:r w:rsidRPr="007A3803">
        <w:t xml:space="preserve">continued to enhance </w:t>
      </w:r>
      <w:r>
        <w:t>TMR's</w:t>
      </w:r>
      <w:r w:rsidRPr="007A3803">
        <w:t xml:space="preserve"> service resiliency and disaster recovery capabilities by migrating departmental services to the cloud</w:t>
      </w:r>
    </w:p>
    <w:p w14:paraId="19BE6EA9" w14:textId="77777777" w:rsidR="0057796E" w:rsidRDefault="0057796E" w:rsidP="0057796E">
      <w:pPr>
        <w:pStyle w:val="ListBullet"/>
      </w:pPr>
      <w:r w:rsidRPr="007A3803">
        <w:t>established a new microservices offering that breaks down monolithic systems by compartmentalising ICT business domains, enhancing resiliency and flexibility of solutions moving forward, leveraging newer technologies such as self-healing technology.</w:t>
      </w:r>
    </w:p>
    <w:p w14:paraId="39A7F933" w14:textId="77777777" w:rsidR="0057796E" w:rsidRDefault="0057796E" w:rsidP="0057796E">
      <w:pPr>
        <w:pStyle w:val="Heading3"/>
      </w:pPr>
      <w:r w:rsidRPr="00911B00">
        <w:t xml:space="preserve">Strengthening cyber security </w:t>
      </w:r>
      <w:r>
        <w:t xml:space="preserve">resilience and disaster readiness </w:t>
      </w:r>
      <w:r w:rsidRPr="00911B00">
        <w:t>for government</w:t>
      </w:r>
    </w:p>
    <w:p w14:paraId="7C0FEF04" w14:textId="77777777" w:rsidR="0057796E" w:rsidRDefault="0057796E" w:rsidP="0057796E">
      <w:r w:rsidRPr="008D26D5">
        <w:t>Digitisation has a tremendous impact on the Queensland economy, government, and citizens. New technology reduces costs</w:t>
      </w:r>
      <w:r>
        <w:t xml:space="preserve"> and</w:t>
      </w:r>
      <w:r w:rsidRPr="008D26D5">
        <w:t xml:space="preserve"> increases productivity, transforming the way we live and do business.</w:t>
      </w:r>
    </w:p>
    <w:p w14:paraId="0A517653" w14:textId="77777777" w:rsidR="0057796E" w:rsidRDefault="0057796E" w:rsidP="0057796E">
      <w:r w:rsidRPr="008D26D5">
        <w:t xml:space="preserve">To enhance the Queensland Government's cyber security </w:t>
      </w:r>
      <w:r>
        <w:t>resilience</w:t>
      </w:r>
      <w:r w:rsidRPr="008D26D5">
        <w:t xml:space="preserve"> and disaster readiness, the </w:t>
      </w:r>
      <w:r>
        <w:t>QGCDG's</w:t>
      </w:r>
      <w:r w:rsidRPr="008D26D5">
        <w:t xml:space="preserve"> </w:t>
      </w:r>
      <w:r>
        <w:t>CSU</w:t>
      </w:r>
      <w:r w:rsidRPr="008D26D5">
        <w:t xml:space="preserve"> worked across government to develop and release the </w:t>
      </w:r>
      <w:r w:rsidRPr="0069560A">
        <w:rPr>
          <w:rStyle w:val="Emphasis"/>
        </w:rPr>
        <w:t>Queensland Government Cyber Security Hazard Plan</w:t>
      </w:r>
      <w:r w:rsidRPr="008D26D5">
        <w:t>.</w:t>
      </w:r>
    </w:p>
    <w:p w14:paraId="72350A04" w14:textId="77777777" w:rsidR="0057796E" w:rsidRDefault="0057796E" w:rsidP="0057796E">
      <w:r w:rsidRPr="008D26D5">
        <w:t>The plan formalises Queensland’s strategic arrangements, roles, and responsibilities in response to a cyber incident with state or nationwide impacts, in alignment with the state and federal disaster management arrangements. It provides a clear path for all levels of government in Queensland to follow when responding to a cyber incident.</w:t>
      </w:r>
    </w:p>
    <w:p w14:paraId="77CE40AC" w14:textId="77777777" w:rsidR="0057796E" w:rsidRPr="00BC6D45" w:rsidRDefault="0057796E" w:rsidP="0057796E">
      <w:r w:rsidRPr="008D26D5">
        <w:t xml:space="preserve">The Queensland Government will use the plan to align, integrate, and embed cyber </w:t>
      </w:r>
      <w:r>
        <w:t>incident response</w:t>
      </w:r>
      <w:r w:rsidRPr="008D26D5">
        <w:t xml:space="preserve"> arrangements into the plans, procedures, and arrangements of individual agencies.</w:t>
      </w:r>
    </w:p>
    <w:p w14:paraId="3E940530" w14:textId="77777777" w:rsidR="0057796E" w:rsidRDefault="0057796E" w:rsidP="0057796E">
      <w:pPr>
        <w:pStyle w:val="Heading3"/>
      </w:pPr>
      <w:r>
        <w:t>Building trust in government services</w:t>
      </w:r>
    </w:p>
    <w:p w14:paraId="4F97E245" w14:textId="77777777" w:rsidR="0057796E" w:rsidRDefault="0057796E" w:rsidP="0057796E">
      <w:r>
        <w:t xml:space="preserve">Over the past two years, over 1.6 billion malicious activities were detected or blocked on the whole-of-government Internet Gateway—an average of 133 million each month. Cyber-attacks continue to escalate not only in scale, but also speed. </w:t>
      </w:r>
    </w:p>
    <w:p w14:paraId="10D0571F" w14:textId="77777777" w:rsidR="0057796E" w:rsidRDefault="0057796E" w:rsidP="0057796E">
      <w:r>
        <w:t xml:space="preserve">QGCDG's CSU is responsible for strengthening whole-of-government cyber security capability and investing in new cyber threat management technologies to stay at the forefront of the evolving threat landscape by providing a range of cyber protection services across government agencies. The CSU continues to lead the enhancement of technical capability, preparedness, and resilience across the sector. </w:t>
      </w:r>
    </w:p>
    <w:p w14:paraId="23AB02E0" w14:textId="77777777" w:rsidR="0057796E" w:rsidRDefault="0057796E" w:rsidP="0057796E">
      <w:r>
        <w:t xml:space="preserve">The CSU guides and assists agencies to detect, respond to, and recover from cyber-attacks. It works with government agencies to target behavioural change and enhance cyber awareness and skills across the sector. A cyber skills accelerator program is training new practitioners in partnership with TAFE Queensland to meet government's growing demand for cyber professionals. </w:t>
      </w:r>
    </w:p>
    <w:p w14:paraId="729A1135" w14:textId="77777777" w:rsidR="0057796E" w:rsidRDefault="0057796E" w:rsidP="0057796E">
      <w:r>
        <w:t xml:space="preserve">Through this program of work, the CSU is ensuring that public sector employees at every level have the skills and capability to recognise, report, and combat unusual activities online and ensure government services are reliable and trusted. </w:t>
      </w:r>
    </w:p>
    <w:p w14:paraId="0B5D0975" w14:textId="77777777" w:rsidR="00E6328B" w:rsidRDefault="00E6328B">
      <w:pPr>
        <w:spacing w:before="0" w:after="160" w:line="259" w:lineRule="auto"/>
        <w:rPr>
          <w:rFonts w:eastAsiaTheme="majorEastAsia" w:cstheme="majorBidi"/>
          <w:b/>
          <w:color w:val="000000" w:themeColor="text1"/>
          <w:sz w:val="52"/>
          <w:szCs w:val="32"/>
        </w:rPr>
      </w:pPr>
      <w:r>
        <w:br w:type="page"/>
      </w:r>
    </w:p>
    <w:p w14:paraId="02B1E7E7" w14:textId="5DE09265" w:rsidR="00AC6058" w:rsidRDefault="00AC6058" w:rsidP="00A74536">
      <w:pPr>
        <w:pStyle w:val="Heading1"/>
      </w:pPr>
      <w:r>
        <w:lastRenderedPageBreak/>
        <w:t>Our people</w:t>
      </w:r>
    </w:p>
    <w:p w14:paraId="7E1A47DB" w14:textId="77777777" w:rsidR="00AC6058" w:rsidRPr="00895BE6" w:rsidRDefault="00AC6058" w:rsidP="00AC6058">
      <w:pPr>
        <w:pStyle w:val="Heading2"/>
      </w:pPr>
      <w:r w:rsidRPr="00895BE6">
        <w:t>Highlights</w:t>
      </w:r>
    </w:p>
    <w:p w14:paraId="51438C94" w14:textId="77777777" w:rsidR="00AC6058" w:rsidRPr="00895BE6" w:rsidRDefault="00AC6058" w:rsidP="00AC6058">
      <w:pPr>
        <w:pStyle w:val="ListBullet"/>
      </w:pPr>
      <w:r w:rsidRPr="00C43DD8">
        <w:t xml:space="preserve">Revised the TMR </w:t>
      </w:r>
      <w:r w:rsidRPr="00895BE6">
        <w:rPr>
          <w:rStyle w:val="Emphasis"/>
        </w:rPr>
        <w:t>Strategic Workforce Plan 2020–2024 (revised for 2022–2024)</w:t>
      </w:r>
      <w:r w:rsidRPr="00895BE6">
        <w:t xml:space="preserve"> to align TMR's focus to a rapidly changing operating environment, organisational risks</w:t>
      </w:r>
      <w:r>
        <w:t>,</w:t>
      </w:r>
      <w:r w:rsidRPr="00895BE6">
        <w:t xml:space="preserve"> and employee and labour market expectations.  </w:t>
      </w:r>
    </w:p>
    <w:p w14:paraId="2774E973" w14:textId="77777777" w:rsidR="00AC6058" w:rsidRPr="00895BE6" w:rsidRDefault="00AC6058" w:rsidP="00AC6058">
      <w:pPr>
        <w:pStyle w:val="ListBullet"/>
      </w:pPr>
      <w:r w:rsidRPr="00C43DD8">
        <w:t xml:space="preserve">Supported the release of the </w:t>
      </w:r>
      <w:r w:rsidRPr="00895BE6">
        <w:t>Managing the Risk of Psychosocial Hazards at Work Code of Practice 2022 by Workplace Health and Safety Queensland</w:t>
      </w:r>
      <w:r>
        <w:t xml:space="preserve">. </w:t>
      </w:r>
    </w:p>
    <w:p w14:paraId="4B2CB8E5" w14:textId="77777777" w:rsidR="00AC6058" w:rsidRPr="00895BE6" w:rsidRDefault="00AC6058" w:rsidP="00AC6058">
      <w:pPr>
        <w:pStyle w:val="ListBullet"/>
      </w:pPr>
      <w:r w:rsidRPr="00C43DD8">
        <w:t xml:space="preserve">Sponsored the Darkness to Daylight 2023, with </w:t>
      </w:r>
      <w:r w:rsidRPr="00895BE6">
        <w:t xml:space="preserve">over 100 TMR participants raising over </w:t>
      </w:r>
      <w:r>
        <w:t>$6127.</w:t>
      </w:r>
    </w:p>
    <w:p w14:paraId="0DBDF40C" w14:textId="77777777" w:rsidR="00AC6058" w:rsidRPr="00895BE6" w:rsidRDefault="00AC6058" w:rsidP="00AC6058">
      <w:pPr>
        <w:pStyle w:val="ListBullet"/>
      </w:pPr>
      <w:r w:rsidRPr="00C43DD8">
        <w:t>Held TMR's Annual White Ribbon Day Event</w:t>
      </w:r>
      <w:r>
        <w:t xml:space="preserve">—Road to Respect. </w:t>
      </w:r>
    </w:p>
    <w:p w14:paraId="4B483571" w14:textId="77777777" w:rsidR="00AC6058" w:rsidRPr="00895BE6" w:rsidRDefault="00AC6058" w:rsidP="00AC6058">
      <w:pPr>
        <w:pStyle w:val="ListBullet"/>
      </w:pPr>
      <w:r w:rsidRPr="00C43DD8">
        <w:t xml:space="preserve">Continued to </w:t>
      </w:r>
      <w:r w:rsidRPr="00895BE6">
        <w:t xml:space="preserve">deliver the Griffith University MATE Bystander prevention program, with over </w:t>
      </w:r>
      <w:r>
        <w:t>4166</w:t>
      </w:r>
      <w:r w:rsidRPr="00895BE6">
        <w:t xml:space="preserve"> employees completing face-to-face or online training</w:t>
      </w:r>
      <w:r>
        <w:t>.</w:t>
      </w:r>
    </w:p>
    <w:p w14:paraId="2C371C06" w14:textId="77777777" w:rsidR="00AC6058" w:rsidRPr="00895BE6" w:rsidRDefault="00AC6058" w:rsidP="00AC6058">
      <w:pPr>
        <w:pStyle w:val="ListBullet"/>
      </w:pPr>
      <w:r w:rsidRPr="00C43DD8">
        <w:t xml:space="preserve">Released the </w:t>
      </w:r>
      <w:r w:rsidRPr="00895BE6">
        <w:rPr>
          <w:rStyle w:val="Emphasis"/>
        </w:rPr>
        <w:t>TMR Disability Services Plan 2022–2025</w:t>
      </w:r>
      <w:r w:rsidRPr="00895BE6">
        <w:t xml:space="preserve"> identifying how TMR will build inclusive and accessible workplaces and transport products and services.</w:t>
      </w:r>
    </w:p>
    <w:p w14:paraId="593AE234" w14:textId="77777777" w:rsidR="00AC6058" w:rsidRDefault="00AC6058" w:rsidP="00AC6058">
      <w:pPr>
        <w:pStyle w:val="ListBullet"/>
      </w:pPr>
      <w:r w:rsidRPr="00C43DD8">
        <w:t xml:space="preserve">Released the </w:t>
      </w:r>
      <w:r w:rsidRPr="00895BE6">
        <w:rPr>
          <w:rStyle w:val="Emphasis"/>
        </w:rPr>
        <w:t>Mental Health and Wellbeing Strategy 2022–2024</w:t>
      </w:r>
      <w:r w:rsidRPr="00895BE6">
        <w:t xml:space="preserve"> which will equip our employees with the information and resources to consciously manage their own wellbeing but also </w:t>
      </w:r>
      <w:r>
        <w:t>support</w:t>
      </w:r>
      <w:r w:rsidRPr="00895BE6">
        <w:t xml:space="preserve"> a culture of care throughout TMR.</w:t>
      </w:r>
    </w:p>
    <w:p w14:paraId="4304BE6E" w14:textId="77777777" w:rsidR="00AC6058" w:rsidRPr="00895BE6" w:rsidRDefault="00AC6058" w:rsidP="00AC6058">
      <w:pPr>
        <w:pStyle w:val="ListBullet"/>
      </w:pPr>
      <w:r>
        <w:t>R</w:t>
      </w:r>
      <w:r w:rsidRPr="00895BE6">
        <w:t xml:space="preserve">evised TMR's recruitment strategy and campaign for the </w:t>
      </w:r>
      <w:r>
        <w:t>g</w:t>
      </w:r>
      <w:r w:rsidRPr="00895BE6">
        <w:t xml:space="preserve">raduate </w:t>
      </w:r>
      <w:r>
        <w:t>p</w:t>
      </w:r>
      <w:r w:rsidRPr="00895BE6">
        <w:t>rogram to maximise our candidate attraction and retention opportunities within a very competitive labor market.</w:t>
      </w:r>
    </w:p>
    <w:p w14:paraId="280A5E20" w14:textId="77777777" w:rsidR="00AC6058" w:rsidRPr="00895BE6" w:rsidRDefault="00AC6058" w:rsidP="00AC6058">
      <w:pPr>
        <w:pStyle w:val="ListBullet"/>
      </w:pPr>
      <w:r w:rsidRPr="00C43DD8">
        <w:t xml:space="preserve">Welcomed </w:t>
      </w:r>
      <w:r w:rsidRPr="00895BE6">
        <w:t>46 new graduates in 2023 as part of TMR’s graduate program. This intake brings TMR’s graduate program total to 86 across 20 disciplines.</w:t>
      </w:r>
    </w:p>
    <w:p w14:paraId="30C9B523" w14:textId="77777777" w:rsidR="00AC6058" w:rsidRPr="00895BE6" w:rsidRDefault="00AC6058" w:rsidP="00AC6058">
      <w:pPr>
        <w:pStyle w:val="ListBullet"/>
      </w:pPr>
      <w:r w:rsidRPr="00C43DD8">
        <w:t>Piloted a disability entry pathway in partnership with disability employment providers and Customer Services Branch</w:t>
      </w:r>
      <w:r>
        <w:t>.</w:t>
      </w:r>
    </w:p>
    <w:p w14:paraId="4536CC71" w14:textId="77777777" w:rsidR="00AC6058" w:rsidRPr="00895BE6" w:rsidRDefault="00AC6058" w:rsidP="00AC6058">
      <w:pPr>
        <w:pStyle w:val="ListBullet"/>
      </w:pPr>
      <w:r w:rsidRPr="00C43DD8">
        <w:t xml:space="preserve">Celebrated Queensland Women’s Week by holding TMR's annual Women's week event with speakers from </w:t>
      </w:r>
      <w:r w:rsidRPr="00895BE6">
        <w:t>within TMR, as well as the Federal Women's Economic Equality Taskforce and The Fathering Project to highlight the importance of gender equity for all.</w:t>
      </w:r>
    </w:p>
    <w:p w14:paraId="624DE4E3" w14:textId="77777777" w:rsidR="00AC6058" w:rsidRPr="00895BE6" w:rsidRDefault="00AC6058" w:rsidP="00AC6058">
      <w:pPr>
        <w:pStyle w:val="ListBullet"/>
      </w:pPr>
      <w:r w:rsidRPr="00C43DD8">
        <w:t xml:space="preserve">Won the 2022 Australian </w:t>
      </w:r>
      <w:r>
        <w:t>Human Resources (HR)</w:t>
      </w:r>
      <w:r w:rsidRPr="00895BE6">
        <w:t xml:space="preserve"> institute award for Gender Equality</w:t>
      </w:r>
      <w:r>
        <w:t xml:space="preserve">, which </w:t>
      </w:r>
      <w:r w:rsidRPr="00E22D9E">
        <w:t>recognises organisations that actively encourage, promote</w:t>
      </w:r>
      <w:r>
        <w:t>,</w:t>
      </w:r>
      <w:r w:rsidRPr="00E22D9E">
        <w:t xml:space="preserve"> and instil a commitment to achieving equality across all gender identities in their workforce and recognise that gender equality is critical to the organisation’s success.</w:t>
      </w:r>
    </w:p>
    <w:p w14:paraId="6152D080" w14:textId="77777777" w:rsidR="00AC6058" w:rsidRPr="00895BE6" w:rsidRDefault="00AC6058" w:rsidP="00AC6058">
      <w:pPr>
        <w:pStyle w:val="ListBullet"/>
      </w:pPr>
      <w:r w:rsidRPr="00C43DD8">
        <w:t>Delivered the</w:t>
      </w:r>
      <w:r w:rsidRPr="00895BE6">
        <w:t xml:space="preserve"> ninth year of OneTMR and </w:t>
      </w:r>
      <w:r>
        <w:t>eighth</w:t>
      </w:r>
      <w:r w:rsidRPr="00895BE6">
        <w:t xml:space="preserve"> year of Women in Leadership TMR mentoring programs, which encourage and support professional development</w:t>
      </w:r>
      <w:r>
        <w:t>, w</w:t>
      </w:r>
      <w:r w:rsidRPr="00895BE6">
        <w:t xml:space="preserve">ith 36 matched pairs in the Women in </w:t>
      </w:r>
      <w:r>
        <w:t>L</w:t>
      </w:r>
      <w:r w:rsidRPr="00895BE6">
        <w:t>eadership program and 45 matched pairs in the OneTMR Mentoring program.</w:t>
      </w:r>
    </w:p>
    <w:p w14:paraId="411597E4" w14:textId="77777777" w:rsidR="00AC6058" w:rsidRPr="00895BE6" w:rsidRDefault="00AC6058" w:rsidP="00AC6058">
      <w:pPr>
        <w:pStyle w:val="ListBullet"/>
      </w:pPr>
      <w:r w:rsidRPr="00C43DD8">
        <w:t>Partnered with the University of the Sunshine Coast's Thompson Institute to deliver health and wellbeing initiatives</w:t>
      </w:r>
      <w:r>
        <w:t>.</w:t>
      </w:r>
    </w:p>
    <w:p w14:paraId="7470D40D" w14:textId="77777777" w:rsidR="00AC6058" w:rsidRPr="00895BE6" w:rsidRDefault="00AC6058" w:rsidP="00AC6058">
      <w:pPr>
        <w:pStyle w:val="ListBullet"/>
      </w:pPr>
      <w:r w:rsidRPr="00C43DD8">
        <w:t xml:space="preserve">Held </w:t>
      </w:r>
      <w:r w:rsidRPr="00895BE6">
        <w:t>TMR's ninth annual CUBIE Awards, which acknowledge and recogni</w:t>
      </w:r>
      <w:r>
        <w:t>s</w:t>
      </w:r>
      <w:r w:rsidRPr="00895BE6">
        <w:t>e our people and teams for demonstrating each of the TMR values: Customers First, Unleash Potential, Be Courageous, Empower People</w:t>
      </w:r>
      <w:r>
        <w:t>,</w:t>
      </w:r>
      <w:r w:rsidRPr="00895BE6">
        <w:t xml:space="preserve"> and Ideas Into Action. </w:t>
      </w:r>
    </w:p>
    <w:p w14:paraId="2783E8D7" w14:textId="77777777" w:rsidR="00AC6058" w:rsidRPr="00895BE6" w:rsidRDefault="00AC6058" w:rsidP="00AC6058">
      <w:pPr>
        <w:pStyle w:val="ListBullet"/>
      </w:pPr>
      <w:r w:rsidRPr="00C43DD8">
        <w:t xml:space="preserve">Commenced and finalised negotiations with the relevant unions to replace all </w:t>
      </w:r>
      <w:r>
        <w:t>four</w:t>
      </w:r>
      <w:r w:rsidRPr="00C43DD8">
        <w:t xml:space="preserve"> certified agreements applying to TMR employees.</w:t>
      </w:r>
    </w:p>
    <w:p w14:paraId="0A884C29" w14:textId="77777777" w:rsidR="00AC6058" w:rsidRPr="00895BE6" w:rsidRDefault="00AC6058" w:rsidP="00AC6058">
      <w:pPr>
        <w:pStyle w:val="ListBullet"/>
      </w:pPr>
      <w:r w:rsidRPr="00C43DD8">
        <w:t xml:space="preserve">Designed </w:t>
      </w:r>
      <w:r>
        <w:t xml:space="preserve">a Digital Leadership pathway to give </w:t>
      </w:r>
      <w:r w:rsidRPr="00C43DD8">
        <w:t>leaders the confidence to lead others into the future and ensure a pipeline of ready leaders. </w:t>
      </w:r>
    </w:p>
    <w:p w14:paraId="29DE8262" w14:textId="77777777" w:rsidR="00AC6058" w:rsidRPr="00895BE6" w:rsidRDefault="00AC6058" w:rsidP="00AC6058">
      <w:pPr>
        <w:pStyle w:val="ListBullet"/>
      </w:pPr>
      <w:r w:rsidRPr="00C43DD8">
        <w:t xml:space="preserve">Reviewed </w:t>
      </w:r>
      <w:r w:rsidRPr="00895BE6">
        <w:t>the TSafe Safety Charter, endorsed by Senior Leadership Team members and re-committed to embedding safety as a core value in everything we do.</w:t>
      </w:r>
    </w:p>
    <w:p w14:paraId="583CBA00" w14:textId="77777777" w:rsidR="00AC6058" w:rsidRPr="00895BE6" w:rsidRDefault="00AC6058" w:rsidP="00AC6058">
      <w:pPr>
        <w:pStyle w:val="ListBullet"/>
      </w:pPr>
      <w:r w:rsidRPr="00C43DD8">
        <w:t xml:space="preserve">Made </w:t>
      </w:r>
      <w:r w:rsidRPr="00895BE6">
        <w:t>significant progress on the replacement of our Workplace Health and Safety management system, to ensure that Workplace Health and Safety events and processes can be effectively reported and managed. </w:t>
      </w:r>
      <w:r>
        <w:t>The system will be able to be accessed from any TMR device – desktop computer, laptop, or mobile phone – in any location and at any time</w:t>
      </w:r>
      <w:r w:rsidRPr="00895BE6">
        <w:t>. </w:t>
      </w:r>
    </w:p>
    <w:p w14:paraId="2CB86805" w14:textId="77777777" w:rsidR="00AC6058" w:rsidRPr="00895BE6" w:rsidRDefault="00AC6058" w:rsidP="00AC6058">
      <w:pPr>
        <w:pStyle w:val="ListBullet"/>
      </w:pPr>
      <w:r w:rsidRPr="00C43DD8">
        <w:lastRenderedPageBreak/>
        <w:t>Delivered the</w:t>
      </w:r>
      <w:r w:rsidRPr="00895BE6">
        <w:t>, in-house developed, Positive Performance Management Program to 380 participants</w:t>
      </w:r>
      <w:r>
        <w:t xml:space="preserve"> to support our managers, supervisors, and team leaders with the knowledge, practical skills, and confidence to positively manage the performance of their people. </w:t>
      </w:r>
      <w:r w:rsidRPr="00895BE6">
        <w:t xml:space="preserve"> </w:t>
      </w:r>
    </w:p>
    <w:p w14:paraId="397B4F60" w14:textId="77777777" w:rsidR="00AC6058" w:rsidRDefault="00AC6058" w:rsidP="00AC6058">
      <w:pPr>
        <w:pStyle w:val="Heading2"/>
      </w:pPr>
      <w:r>
        <w:t>Supporting our people</w:t>
      </w:r>
    </w:p>
    <w:p w14:paraId="4AA0DB42" w14:textId="77777777" w:rsidR="00AC6058" w:rsidRDefault="00AC6058" w:rsidP="00AC6058">
      <w:r w:rsidRPr="00217C56">
        <w:t xml:space="preserve">TMR's people are vital to delivering on the vision of creating a single integrated transport network accessible </w:t>
      </w:r>
      <w:r>
        <w:t>to</w:t>
      </w:r>
      <w:r w:rsidRPr="00217C56">
        <w:t xml:space="preserve"> everyone. In 2022–23</w:t>
      </w:r>
      <w:r>
        <w:t>,</w:t>
      </w:r>
      <w:r w:rsidRPr="00217C56">
        <w:t xml:space="preserve"> TMR delivered on key projects to support employees in their work and personal lives. </w:t>
      </w:r>
    </w:p>
    <w:p w14:paraId="18085476" w14:textId="77777777" w:rsidR="00AC6058" w:rsidRDefault="00AC6058" w:rsidP="00AC6058">
      <w:r w:rsidRPr="00217C56">
        <w:t>Over 2022–23</w:t>
      </w:r>
      <w:r>
        <w:t>,</w:t>
      </w:r>
      <w:r w:rsidRPr="00217C56">
        <w:t xml:space="preserve"> there have been a number of initiatives to support employees to bring their whole selves to work. TMR supported employee innovation and creativity, recognising that when employees can bring their authentic selves to work, they are able to share their unique perspectives, ideas</w:t>
      </w:r>
      <w:r>
        <w:t>,</w:t>
      </w:r>
      <w:r w:rsidRPr="00217C56">
        <w:t xml:space="preserve"> and experiences to help deliver for the diverse community TMR serves. </w:t>
      </w:r>
    </w:p>
    <w:p w14:paraId="129CF269" w14:textId="77777777" w:rsidR="00AC6058" w:rsidRDefault="00AC6058" w:rsidP="00AC6058">
      <w:r>
        <w:t xml:space="preserve">Key focus areas included: </w:t>
      </w:r>
    </w:p>
    <w:p w14:paraId="2A0C5AD2" w14:textId="77777777" w:rsidR="00AC6058" w:rsidRPr="00765830" w:rsidRDefault="00AC6058" w:rsidP="00AC6058">
      <w:pPr>
        <w:pStyle w:val="ListBullet"/>
      </w:pPr>
      <w:r>
        <w:t>employee wellness and ment</w:t>
      </w:r>
      <w:r w:rsidRPr="00765830">
        <w:t xml:space="preserve">al health </w:t>
      </w:r>
    </w:p>
    <w:p w14:paraId="3704F85D" w14:textId="77777777" w:rsidR="00AC6058" w:rsidRPr="00765830" w:rsidRDefault="00AC6058" w:rsidP="00AC6058">
      <w:pPr>
        <w:pStyle w:val="ListBullet"/>
      </w:pPr>
      <w:r>
        <w:t>diversity</w:t>
      </w:r>
      <w:r w:rsidRPr="00765830">
        <w:t>, equity</w:t>
      </w:r>
      <w:r>
        <w:t>,</w:t>
      </w:r>
      <w:r w:rsidRPr="00765830">
        <w:t xml:space="preserve"> and inclusion </w:t>
      </w:r>
    </w:p>
    <w:p w14:paraId="54B8EBF7" w14:textId="77777777" w:rsidR="00AC6058" w:rsidRPr="00765830" w:rsidRDefault="00AC6058" w:rsidP="00AC6058">
      <w:pPr>
        <w:pStyle w:val="ListBullet"/>
      </w:pPr>
      <w:r>
        <w:t>l</w:t>
      </w:r>
      <w:r w:rsidRPr="00765830">
        <w:t xml:space="preserve">eadership development </w:t>
      </w:r>
    </w:p>
    <w:p w14:paraId="554136F3" w14:textId="77777777" w:rsidR="00AC6058" w:rsidRDefault="00AC6058" w:rsidP="00AC6058">
      <w:pPr>
        <w:pStyle w:val="ListBullet"/>
      </w:pPr>
      <w:r>
        <w:t xml:space="preserve">learning and development </w:t>
      </w:r>
    </w:p>
    <w:p w14:paraId="41E5E869" w14:textId="77777777" w:rsidR="00AC6058" w:rsidRPr="00765830" w:rsidRDefault="00AC6058" w:rsidP="00AC6058">
      <w:pPr>
        <w:pStyle w:val="ListBullet"/>
      </w:pPr>
      <w:r>
        <w:t xml:space="preserve">employee safety. </w:t>
      </w:r>
    </w:p>
    <w:p w14:paraId="2C11DFB5" w14:textId="77777777" w:rsidR="00AC6058" w:rsidRDefault="00AC6058" w:rsidP="00AC6058">
      <w:r>
        <w:t xml:space="preserve">TMR has always emphasised the importance of employees' health and wellbeing and recognised creating a culture that supports employee health and wellbeing improves productivity, retention, and workplace safety. In 2022–23, there has been as strong emphasis on mental health, with programs including: </w:t>
      </w:r>
    </w:p>
    <w:p w14:paraId="44BFFB3F" w14:textId="77777777" w:rsidR="00AC6058" w:rsidRPr="00765830" w:rsidRDefault="00AC6058" w:rsidP="00AC6058">
      <w:pPr>
        <w:pStyle w:val="ListBullet"/>
      </w:pPr>
      <w:r>
        <w:t xml:space="preserve">Be </w:t>
      </w:r>
      <w:r w:rsidRPr="00765830">
        <w:t xml:space="preserve">Your Best You campaign </w:t>
      </w:r>
    </w:p>
    <w:p w14:paraId="14166739" w14:textId="77777777" w:rsidR="00AC6058" w:rsidRPr="00765830" w:rsidRDefault="00AC6058" w:rsidP="00AC6058">
      <w:pPr>
        <w:pStyle w:val="ListBullet"/>
      </w:pPr>
      <w:r>
        <w:t>work done with</w:t>
      </w:r>
      <w:r w:rsidRPr="00765830">
        <w:t xml:space="preserve"> University of Sunshine Coast's Thompson Institute </w:t>
      </w:r>
      <w:r>
        <w:t xml:space="preserve">focusing on employees' mental health and wellbeing, and equipping them with the skills and knowledge to respond and assist distressed colleagues </w:t>
      </w:r>
    </w:p>
    <w:p w14:paraId="3A82A630" w14:textId="77777777" w:rsidR="00AC6058" w:rsidRPr="00765830" w:rsidRDefault="00AC6058" w:rsidP="00AC6058">
      <w:pPr>
        <w:pStyle w:val="ListBullet"/>
        <w:rPr>
          <w:rStyle w:val="Emphasis"/>
        </w:rPr>
      </w:pPr>
      <w:r w:rsidRPr="00765830">
        <w:rPr>
          <w:rStyle w:val="Emphasis"/>
        </w:rPr>
        <w:t>TMR Mental Health and Wellbeing Strategy 2022–23.</w:t>
      </w:r>
    </w:p>
    <w:p w14:paraId="412E46EB" w14:textId="77777777" w:rsidR="00AC6058" w:rsidRDefault="00AC6058" w:rsidP="00AC6058">
      <w:r>
        <w:t xml:space="preserve">TMR improved creativity and innovation, problem solving, customer insights, and employee engagement and retention through embracing diversity, equity, and inclusion. The annual Design Thinking Week also highlighted how design thinking is applied in TMR, covering topics from the basics of design thinking, to specifics on security, accessibility, and making personal, virtual connections. The </w:t>
      </w:r>
      <w:r w:rsidRPr="00765830">
        <w:rPr>
          <w:rStyle w:val="Emphasis"/>
        </w:rPr>
        <w:t>TMR Gender Equity Plan (2022–2024)</w:t>
      </w:r>
      <w:r w:rsidRPr="00765830">
        <w:t xml:space="preserve"> </w:t>
      </w:r>
      <w:r>
        <w:t xml:space="preserve">supports progress towards a gender equal workplace and reaffirms TMR's roadmap for the future. </w:t>
      </w:r>
    </w:p>
    <w:p w14:paraId="27638A27" w14:textId="77777777" w:rsidR="00AC6058" w:rsidRDefault="00AC6058" w:rsidP="00AC6058">
      <w:r>
        <w:t xml:space="preserve">In 2022–23, TMR made progress in raising cultural awareness through celebration of significant First Nations events and continuing the IEN. TMR also continued to roll out activities within the </w:t>
      </w:r>
      <w:r w:rsidRPr="00765830">
        <w:rPr>
          <w:rStyle w:val="Emphasis"/>
        </w:rPr>
        <w:t>LGBTIQ+ Plan 2021–2023</w:t>
      </w:r>
      <w:r w:rsidRPr="00765830">
        <w:t xml:space="preserve"> </w:t>
      </w:r>
      <w:r>
        <w:t xml:space="preserve">and </w:t>
      </w:r>
      <w:r w:rsidRPr="00765830">
        <w:rPr>
          <w:rStyle w:val="Emphasis"/>
        </w:rPr>
        <w:t>Disability Service Plan 2022–2025</w:t>
      </w:r>
      <w:r w:rsidRPr="00765830">
        <w:t xml:space="preserve"> </w:t>
      </w:r>
      <w:r>
        <w:t xml:space="preserve">to ensure staff have a diverse workplace that is inclusive for all employees. </w:t>
      </w:r>
    </w:p>
    <w:p w14:paraId="30B7B969" w14:textId="77777777" w:rsidR="00AC6058" w:rsidRDefault="00AC6058" w:rsidP="00AC6058">
      <w:r>
        <w:t xml:space="preserve">TMR recognises leadership development programs, that provide people with the skills, knowledge, and experience they need to be effective leaders, can enhance communication, decision-making, problem-solving, and collaboration skills which are essential for driving innovation and success in TMR. Based on this, TMR designed a bespoke Leadership development roadmap that gives leaders the confidence to lead others into the future and ensure a pipeline of ready leaders. </w:t>
      </w:r>
    </w:p>
    <w:p w14:paraId="1350B050" w14:textId="77777777" w:rsidR="00AC6058" w:rsidRDefault="00AC6058" w:rsidP="00AC6058">
      <w:r>
        <w:t xml:space="preserve">TMR's leaders demonstrate a learning and development mindset and create a culture of continuous learning. By investing in employee learning and development, TMR created a culture of growth and development, leading to increased employee engagement, retention, and productivity. </w:t>
      </w:r>
    </w:p>
    <w:p w14:paraId="1988A543" w14:textId="77777777" w:rsidR="00AC6058" w:rsidRDefault="00AC6058" w:rsidP="00AC6058">
      <w:r>
        <w:t xml:space="preserve">The </w:t>
      </w:r>
      <w:r w:rsidRPr="00765830">
        <w:rPr>
          <w:rStyle w:val="Emphasis"/>
        </w:rPr>
        <w:t>Learning and Strategy 2021–24</w:t>
      </w:r>
      <w:r w:rsidRPr="00765830">
        <w:t xml:space="preserve"> </w:t>
      </w:r>
      <w:r>
        <w:t xml:space="preserve">underpinned TMR's continuous growth culture, delivering key tools including:  </w:t>
      </w:r>
    </w:p>
    <w:p w14:paraId="2A38B7A9" w14:textId="77777777" w:rsidR="00AC6058" w:rsidRDefault="00AC6058" w:rsidP="00AC6058">
      <w:pPr>
        <w:pStyle w:val="ListBullet"/>
      </w:pPr>
      <w:r>
        <w:t xml:space="preserve">LinkedIn Learning </w:t>
      </w:r>
    </w:p>
    <w:p w14:paraId="5CEA8A56" w14:textId="77777777" w:rsidR="00AC6058" w:rsidRDefault="00AC6058" w:rsidP="00AC6058">
      <w:pPr>
        <w:pStyle w:val="ListBullet"/>
      </w:pPr>
      <w:r>
        <w:t xml:space="preserve">TMR Learning Personas </w:t>
      </w:r>
    </w:p>
    <w:p w14:paraId="2CC9EB12" w14:textId="77777777" w:rsidR="00AC6058" w:rsidRPr="00765830" w:rsidRDefault="00AC6058" w:rsidP="00AC6058">
      <w:pPr>
        <w:pStyle w:val="ListBullet"/>
      </w:pPr>
      <w:r>
        <w:t>Learning Arch</w:t>
      </w:r>
      <w:r w:rsidRPr="00765830">
        <w:t>itecture Guides</w:t>
      </w:r>
    </w:p>
    <w:p w14:paraId="594BE59B" w14:textId="77777777" w:rsidR="00AC6058" w:rsidRPr="00765830" w:rsidRDefault="00AC6058" w:rsidP="00AC6058">
      <w:pPr>
        <w:pStyle w:val="ListBullet"/>
      </w:pPr>
      <w:r>
        <w:t xml:space="preserve">TMR Learning </w:t>
      </w:r>
      <w:r w:rsidRPr="00765830">
        <w:t xml:space="preserve">calendar </w:t>
      </w:r>
    </w:p>
    <w:p w14:paraId="4FB463DE" w14:textId="77777777" w:rsidR="00AC6058" w:rsidRPr="00765830" w:rsidRDefault="00AC6058" w:rsidP="00AC6058">
      <w:pPr>
        <w:pStyle w:val="ListBullet"/>
      </w:pPr>
      <w:r>
        <w:t xml:space="preserve">TMR </w:t>
      </w:r>
      <w:r w:rsidRPr="00765830">
        <w:t xml:space="preserve">Development Library. </w:t>
      </w:r>
    </w:p>
    <w:p w14:paraId="56681F74" w14:textId="77777777" w:rsidR="00AC6058" w:rsidRDefault="00AC6058" w:rsidP="00AC6058">
      <w:r>
        <w:lastRenderedPageBreak/>
        <w:t xml:space="preserve">Every employee has a right to a safe and healthy workplace. TMR is committed to providing a safe working environment that ensures employees are not exposed to any physical or emotional harm while performing their job duties. The TMR Safety Charter was renewed in 2023 to formalise TMR's commitment to embedding safety as a core value in everything TMR does.  TMR has also made significant progress on the Workplace Health and Safety (WHS) management system replacement to ensure that WHS events and processes can be effectively reported and managed as soon as possible. </w:t>
      </w:r>
    </w:p>
    <w:p w14:paraId="738B7CE1" w14:textId="77777777" w:rsidR="00AC6058" w:rsidRDefault="00AC6058" w:rsidP="00AC6058">
      <w:r w:rsidRPr="00217C56">
        <w:t>TMR has successfully delivered on key people and culture initiatives for the year. TMR has fostered a more inclusive and diverse workplace culture, implemented new employee development programs and improved the safety and wellbeing initiatives on offer to its workforce. TMR remains committed to building a strong and engage</w:t>
      </w:r>
      <w:r>
        <w:t>d</w:t>
      </w:r>
      <w:r w:rsidRPr="00217C56">
        <w:t xml:space="preserve"> workforce that is empowered to drive TMR's</w:t>
      </w:r>
      <w:r>
        <w:t xml:space="preserve"> success. </w:t>
      </w:r>
    </w:p>
    <w:p w14:paraId="4942B87A" w14:textId="77777777" w:rsidR="00AC6058" w:rsidRPr="002E0FA3" w:rsidRDefault="00AC6058" w:rsidP="00AC6058">
      <w:pPr>
        <w:pStyle w:val="Heading2"/>
      </w:pPr>
      <w:r w:rsidRPr="002E0FA3">
        <w:t>Establishing an agile and future</w:t>
      </w:r>
      <w:r>
        <w:t>-</w:t>
      </w:r>
      <w:r w:rsidRPr="002E0FA3">
        <w:t>ready workforce</w:t>
      </w:r>
    </w:p>
    <w:p w14:paraId="1FABFA29" w14:textId="77777777" w:rsidR="00AC6058" w:rsidRPr="00DC1A33" w:rsidRDefault="00AC6058" w:rsidP="00AC6058">
      <w:pPr>
        <w:pStyle w:val="Heading3"/>
      </w:pPr>
      <w:r>
        <w:t xml:space="preserve">Workforce profile </w:t>
      </w:r>
    </w:p>
    <w:p w14:paraId="23A8C892" w14:textId="77777777" w:rsidR="00AC6058" w:rsidRDefault="00AC6058" w:rsidP="00AC6058">
      <w:r w:rsidRPr="00C755C0">
        <w:t xml:space="preserve">As at </w:t>
      </w:r>
      <w:r>
        <w:t>16</w:t>
      </w:r>
      <w:r w:rsidRPr="00C755C0">
        <w:t xml:space="preserve"> June 202</w:t>
      </w:r>
      <w:r>
        <w:t>3</w:t>
      </w:r>
      <w:r w:rsidRPr="00C755C0">
        <w:t xml:space="preserve">, there were </w:t>
      </w:r>
      <w:r>
        <w:t>9438</w:t>
      </w:r>
      <w:r w:rsidRPr="00C755C0">
        <w:t xml:space="preserve"> full-time equivalent (FTE) (see page 79) employees within TMR, representing an increase of </w:t>
      </w:r>
      <w:r>
        <w:t>2033</w:t>
      </w:r>
      <w:r w:rsidRPr="00C755C0">
        <w:t xml:space="preserve"> on last year’s total FTEs</w:t>
      </w:r>
      <w:r>
        <w:t>*</w:t>
      </w:r>
      <w:r w:rsidRPr="00C755C0">
        <w:t xml:space="preserve">. Our workforce composition is complex and includes </w:t>
      </w:r>
      <w:r>
        <w:t>80</w:t>
      </w:r>
      <w:r w:rsidRPr="00C755C0">
        <w:t xml:space="preserve"> occupational groups spread across trade, professional, technical</w:t>
      </w:r>
      <w:r>
        <w:t>,</w:t>
      </w:r>
      <w:r w:rsidRPr="00C755C0">
        <w:t xml:space="preserve"> and administrative disciplines throughout Queensland. </w:t>
      </w:r>
    </w:p>
    <w:p w14:paraId="1D233C11" w14:textId="77777777" w:rsidR="00AC6058" w:rsidRDefault="00AC6058" w:rsidP="00AC6058">
      <w:pPr>
        <w:pStyle w:val="Caption"/>
      </w:pPr>
      <w:r w:rsidRPr="00C91CDC">
        <w:t>*Machinery-of-government changes, effective 18 May 2023, saw the transition of the Queensland Government Customer and Digital  Group (QGCDG) from the former Department of Communities, Housing and Digital Economy.</w:t>
      </w:r>
    </w:p>
    <w:p w14:paraId="6BC42666" w14:textId="77777777" w:rsidR="00AC6058" w:rsidRDefault="00AC6058" w:rsidP="00AC6058">
      <w:pPr>
        <w:pStyle w:val="TableofFigures"/>
      </w:pPr>
      <w:r>
        <w:t>Table 10: Workforce statistics for TMR at 16 June 2023</w:t>
      </w:r>
    </w:p>
    <w:tbl>
      <w:tblPr>
        <w:tblStyle w:val="GridTable4-Accent1"/>
        <w:tblW w:w="5000" w:type="pct"/>
        <w:tblLook w:val="04A0" w:firstRow="1" w:lastRow="0" w:firstColumn="1" w:lastColumn="0" w:noHBand="0" w:noVBand="1"/>
      </w:tblPr>
      <w:tblGrid>
        <w:gridCol w:w="1357"/>
        <w:gridCol w:w="990"/>
        <w:gridCol w:w="980"/>
        <w:gridCol w:w="981"/>
        <w:gridCol w:w="981"/>
        <w:gridCol w:w="981"/>
        <w:gridCol w:w="981"/>
        <w:gridCol w:w="981"/>
        <w:gridCol w:w="981"/>
        <w:gridCol w:w="981"/>
      </w:tblGrid>
      <w:tr w:rsidR="00AC6058" w14:paraId="3E084426" w14:textId="77777777" w:rsidTr="00A74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66" w:type="pct"/>
          </w:tcPr>
          <w:p w14:paraId="5F02092B" w14:textId="77777777" w:rsidR="00AC6058" w:rsidRDefault="00AC6058" w:rsidP="000708AF">
            <w:pPr>
              <w:pStyle w:val="Normal-table"/>
            </w:pPr>
          </w:p>
        </w:tc>
        <w:tc>
          <w:tcPr>
            <w:tcW w:w="486" w:type="pct"/>
          </w:tcPr>
          <w:p w14:paraId="6C26A909" w14:textId="77777777" w:rsidR="00AC6058" w:rsidRDefault="00AC6058" w:rsidP="000708AF">
            <w:pPr>
              <w:pStyle w:val="Normal-table"/>
              <w:cnfStyle w:val="100000000000" w:firstRow="1" w:lastRow="0" w:firstColumn="0" w:lastColumn="0" w:oddVBand="0" w:evenVBand="0" w:oddHBand="0" w:evenHBand="0" w:firstRowFirstColumn="0" w:firstRowLastColumn="0" w:lastRowFirstColumn="0" w:lastRowLastColumn="0"/>
            </w:pPr>
            <w:r>
              <w:t>2022–23</w:t>
            </w:r>
          </w:p>
        </w:tc>
        <w:tc>
          <w:tcPr>
            <w:tcW w:w="481" w:type="pct"/>
          </w:tcPr>
          <w:p w14:paraId="222FA61F" w14:textId="77777777" w:rsidR="00AC6058" w:rsidRDefault="00AC6058" w:rsidP="000708AF">
            <w:pPr>
              <w:pStyle w:val="Normal-table"/>
              <w:cnfStyle w:val="100000000000" w:firstRow="1" w:lastRow="0" w:firstColumn="0" w:lastColumn="0" w:oddVBand="0" w:evenVBand="0" w:oddHBand="0" w:evenHBand="0" w:firstRowFirstColumn="0" w:firstRowLastColumn="0" w:lastRowFirstColumn="0" w:lastRowLastColumn="0"/>
            </w:pPr>
            <w:r>
              <w:t>2021–22</w:t>
            </w:r>
          </w:p>
        </w:tc>
        <w:tc>
          <w:tcPr>
            <w:tcW w:w="481" w:type="pct"/>
          </w:tcPr>
          <w:p w14:paraId="1904C3D0" w14:textId="77777777" w:rsidR="00AC6058" w:rsidRDefault="00AC6058" w:rsidP="000708AF">
            <w:pPr>
              <w:pStyle w:val="Normal-table"/>
              <w:cnfStyle w:val="100000000000" w:firstRow="1" w:lastRow="0" w:firstColumn="0" w:lastColumn="0" w:oddVBand="0" w:evenVBand="0" w:oddHBand="0" w:evenHBand="0" w:firstRowFirstColumn="0" w:firstRowLastColumn="0" w:lastRowFirstColumn="0" w:lastRowLastColumn="0"/>
            </w:pPr>
            <w:r>
              <w:t>2020–21</w:t>
            </w:r>
          </w:p>
        </w:tc>
        <w:tc>
          <w:tcPr>
            <w:tcW w:w="481" w:type="pct"/>
          </w:tcPr>
          <w:p w14:paraId="66D8C027" w14:textId="77777777" w:rsidR="00AC6058" w:rsidRDefault="00AC6058" w:rsidP="000708AF">
            <w:pPr>
              <w:pStyle w:val="Normal-table"/>
              <w:cnfStyle w:val="100000000000" w:firstRow="1" w:lastRow="0" w:firstColumn="0" w:lastColumn="0" w:oddVBand="0" w:evenVBand="0" w:oddHBand="0" w:evenHBand="0" w:firstRowFirstColumn="0" w:firstRowLastColumn="0" w:lastRowFirstColumn="0" w:lastRowLastColumn="0"/>
            </w:pPr>
            <w:r>
              <w:t>2019–20</w:t>
            </w:r>
          </w:p>
        </w:tc>
        <w:tc>
          <w:tcPr>
            <w:tcW w:w="481" w:type="pct"/>
          </w:tcPr>
          <w:p w14:paraId="24507DD9" w14:textId="77777777" w:rsidR="00AC6058" w:rsidRDefault="00AC6058" w:rsidP="000708AF">
            <w:pPr>
              <w:pStyle w:val="Normal-table"/>
              <w:cnfStyle w:val="100000000000" w:firstRow="1" w:lastRow="0" w:firstColumn="0" w:lastColumn="0" w:oddVBand="0" w:evenVBand="0" w:oddHBand="0" w:evenHBand="0" w:firstRowFirstColumn="0" w:firstRowLastColumn="0" w:lastRowFirstColumn="0" w:lastRowLastColumn="0"/>
            </w:pPr>
            <w:r>
              <w:t>2018–19</w:t>
            </w:r>
          </w:p>
        </w:tc>
        <w:tc>
          <w:tcPr>
            <w:tcW w:w="481" w:type="pct"/>
          </w:tcPr>
          <w:p w14:paraId="3EF8B3F7" w14:textId="77777777" w:rsidR="00AC6058" w:rsidRDefault="00AC6058" w:rsidP="000708AF">
            <w:pPr>
              <w:pStyle w:val="Normal-table"/>
              <w:cnfStyle w:val="100000000000" w:firstRow="1" w:lastRow="0" w:firstColumn="0" w:lastColumn="0" w:oddVBand="0" w:evenVBand="0" w:oddHBand="0" w:evenHBand="0" w:firstRowFirstColumn="0" w:firstRowLastColumn="0" w:lastRowFirstColumn="0" w:lastRowLastColumn="0"/>
            </w:pPr>
            <w:r>
              <w:t>2017–18</w:t>
            </w:r>
          </w:p>
        </w:tc>
        <w:tc>
          <w:tcPr>
            <w:tcW w:w="481" w:type="pct"/>
          </w:tcPr>
          <w:p w14:paraId="661CE52B" w14:textId="77777777" w:rsidR="00AC6058" w:rsidRDefault="00AC6058" w:rsidP="000708AF">
            <w:pPr>
              <w:pStyle w:val="Normal-table"/>
              <w:cnfStyle w:val="100000000000" w:firstRow="1" w:lastRow="0" w:firstColumn="0" w:lastColumn="0" w:oddVBand="0" w:evenVBand="0" w:oddHBand="0" w:evenHBand="0" w:firstRowFirstColumn="0" w:firstRowLastColumn="0" w:lastRowFirstColumn="0" w:lastRowLastColumn="0"/>
            </w:pPr>
            <w:r>
              <w:t>2016–17</w:t>
            </w:r>
          </w:p>
        </w:tc>
        <w:tc>
          <w:tcPr>
            <w:tcW w:w="481" w:type="pct"/>
          </w:tcPr>
          <w:p w14:paraId="7D9085AC" w14:textId="77777777" w:rsidR="00AC6058" w:rsidRDefault="00AC6058" w:rsidP="000708AF">
            <w:pPr>
              <w:pStyle w:val="Normal-table"/>
              <w:cnfStyle w:val="100000000000" w:firstRow="1" w:lastRow="0" w:firstColumn="0" w:lastColumn="0" w:oddVBand="0" w:evenVBand="0" w:oddHBand="0" w:evenHBand="0" w:firstRowFirstColumn="0" w:firstRowLastColumn="0" w:lastRowFirstColumn="0" w:lastRowLastColumn="0"/>
            </w:pPr>
            <w:r>
              <w:t>2015–16</w:t>
            </w:r>
          </w:p>
        </w:tc>
        <w:tc>
          <w:tcPr>
            <w:tcW w:w="481" w:type="pct"/>
          </w:tcPr>
          <w:p w14:paraId="2C651CA2" w14:textId="77777777" w:rsidR="00AC6058" w:rsidRDefault="00AC6058" w:rsidP="000708AF">
            <w:pPr>
              <w:pStyle w:val="Normal-table"/>
              <w:cnfStyle w:val="100000000000" w:firstRow="1" w:lastRow="0" w:firstColumn="0" w:lastColumn="0" w:oddVBand="0" w:evenVBand="0" w:oddHBand="0" w:evenHBand="0" w:firstRowFirstColumn="0" w:firstRowLastColumn="0" w:lastRowFirstColumn="0" w:lastRowLastColumn="0"/>
            </w:pPr>
            <w:r>
              <w:t>2014–15</w:t>
            </w:r>
          </w:p>
        </w:tc>
      </w:tr>
      <w:tr w:rsidR="00AC6058" w14:paraId="0DFB45C4" w14:textId="77777777" w:rsidTr="00A7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pct"/>
          </w:tcPr>
          <w:p w14:paraId="5E2B42B7" w14:textId="77777777" w:rsidR="00AC6058" w:rsidRDefault="00AC6058" w:rsidP="000708AF">
            <w:pPr>
              <w:pStyle w:val="Normal-table"/>
            </w:pPr>
            <w:r>
              <w:t>Full-time equivalent employees</w:t>
            </w:r>
          </w:p>
        </w:tc>
        <w:tc>
          <w:tcPr>
            <w:tcW w:w="486" w:type="pct"/>
          </w:tcPr>
          <w:p w14:paraId="3CAB4950"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9438</w:t>
            </w:r>
          </w:p>
        </w:tc>
        <w:tc>
          <w:tcPr>
            <w:tcW w:w="481" w:type="pct"/>
          </w:tcPr>
          <w:p w14:paraId="12284BF2"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7405</w:t>
            </w:r>
          </w:p>
        </w:tc>
        <w:tc>
          <w:tcPr>
            <w:tcW w:w="481" w:type="pct"/>
          </w:tcPr>
          <w:p w14:paraId="2EF63A23"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7382</w:t>
            </w:r>
          </w:p>
        </w:tc>
        <w:tc>
          <w:tcPr>
            <w:tcW w:w="481" w:type="pct"/>
          </w:tcPr>
          <w:p w14:paraId="37212589"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7333</w:t>
            </w:r>
          </w:p>
        </w:tc>
        <w:tc>
          <w:tcPr>
            <w:tcW w:w="481" w:type="pct"/>
          </w:tcPr>
          <w:p w14:paraId="0DA9C3ED"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7199</w:t>
            </w:r>
          </w:p>
        </w:tc>
        <w:tc>
          <w:tcPr>
            <w:tcW w:w="481" w:type="pct"/>
          </w:tcPr>
          <w:p w14:paraId="44CE15B1"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7180</w:t>
            </w:r>
          </w:p>
        </w:tc>
        <w:tc>
          <w:tcPr>
            <w:tcW w:w="481" w:type="pct"/>
          </w:tcPr>
          <w:p w14:paraId="312302CA"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7192</w:t>
            </w:r>
          </w:p>
        </w:tc>
        <w:tc>
          <w:tcPr>
            <w:tcW w:w="481" w:type="pct"/>
          </w:tcPr>
          <w:p w14:paraId="272ED0E8"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7032</w:t>
            </w:r>
          </w:p>
        </w:tc>
        <w:tc>
          <w:tcPr>
            <w:tcW w:w="481" w:type="pct"/>
          </w:tcPr>
          <w:p w14:paraId="4A111FBC"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6891</w:t>
            </w:r>
          </w:p>
        </w:tc>
      </w:tr>
      <w:tr w:rsidR="00AC6058" w14:paraId="3871860A" w14:textId="77777777" w:rsidTr="00A74536">
        <w:tc>
          <w:tcPr>
            <w:cnfStyle w:val="001000000000" w:firstRow="0" w:lastRow="0" w:firstColumn="1" w:lastColumn="0" w:oddVBand="0" w:evenVBand="0" w:oddHBand="0" w:evenHBand="0" w:firstRowFirstColumn="0" w:firstRowLastColumn="0" w:lastRowFirstColumn="0" w:lastRowLastColumn="0"/>
            <w:tcW w:w="666" w:type="pct"/>
          </w:tcPr>
          <w:p w14:paraId="7BB03B34" w14:textId="77777777" w:rsidR="00AC6058" w:rsidRDefault="00AC6058" w:rsidP="000708AF">
            <w:pPr>
              <w:pStyle w:val="Normal-table"/>
            </w:pPr>
            <w:r>
              <w:t>Employee headcount</w:t>
            </w:r>
          </w:p>
        </w:tc>
        <w:tc>
          <w:tcPr>
            <w:tcW w:w="486" w:type="pct"/>
          </w:tcPr>
          <w:p w14:paraId="32DC3347"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11,636</w:t>
            </w:r>
          </w:p>
        </w:tc>
        <w:tc>
          <w:tcPr>
            <w:tcW w:w="481" w:type="pct"/>
          </w:tcPr>
          <w:p w14:paraId="44A7E829"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9474</w:t>
            </w:r>
          </w:p>
        </w:tc>
        <w:tc>
          <w:tcPr>
            <w:tcW w:w="481" w:type="pct"/>
          </w:tcPr>
          <w:p w14:paraId="78823DAA"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9460</w:t>
            </w:r>
          </w:p>
        </w:tc>
        <w:tc>
          <w:tcPr>
            <w:tcW w:w="481" w:type="pct"/>
          </w:tcPr>
          <w:p w14:paraId="37849B9E"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9446</w:t>
            </w:r>
          </w:p>
        </w:tc>
        <w:tc>
          <w:tcPr>
            <w:tcW w:w="481" w:type="pct"/>
          </w:tcPr>
          <w:p w14:paraId="7552D5C9"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9186</w:t>
            </w:r>
          </w:p>
        </w:tc>
        <w:tc>
          <w:tcPr>
            <w:tcW w:w="481" w:type="pct"/>
          </w:tcPr>
          <w:p w14:paraId="05E0749D"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9181</w:t>
            </w:r>
          </w:p>
        </w:tc>
        <w:tc>
          <w:tcPr>
            <w:tcW w:w="481" w:type="pct"/>
          </w:tcPr>
          <w:p w14:paraId="0EE6506D"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8112</w:t>
            </w:r>
          </w:p>
        </w:tc>
        <w:tc>
          <w:tcPr>
            <w:tcW w:w="481" w:type="pct"/>
          </w:tcPr>
          <w:p w14:paraId="34A83193"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8899</w:t>
            </w:r>
          </w:p>
        </w:tc>
        <w:tc>
          <w:tcPr>
            <w:tcW w:w="481" w:type="pct"/>
          </w:tcPr>
          <w:p w14:paraId="3382B549"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8737</w:t>
            </w:r>
          </w:p>
        </w:tc>
      </w:tr>
      <w:tr w:rsidR="00AC6058" w14:paraId="79C489B7" w14:textId="77777777" w:rsidTr="00A7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pct"/>
          </w:tcPr>
          <w:p w14:paraId="76300346" w14:textId="77777777" w:rsidR="00AC6058" w:rsidRDefault="00AC6058" w:rsidP="000708AF">
            <w:pPr>
              <w:pStyle w:val="Normal-table"/>
            </w:pPr>
            <w:r>
              <w:t>Permanent</w:t>
            </w:r>
          </w:p>
        </w:tc>
        <w:tc>
          <w:tcPr>
            <w:tcW w:w="486" w:type="pct"/>
          </w:tcPr>
          <w:p w14:paraId="2AFA85DF"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75%</w:t>
            </w:r>
          </w:p>
        </w:tc>
        <w:tc>
          <w:tcPr>
            <w:tcW w:w="481" w:type="pct"/>
          </w:tcPr>
          <w:p w14:paraId="67EE9626"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72%</w:t>
            </w:r>
          </w:p>
        </w:tc>
        <w:tc>
          <w:tcPr>
            <w:tcW w:w="481" w:type="pct"/>
          </w:tcPr>
          <w:p w14:paraId="47031D5A"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72%</w:t>
            </w:r>
          </w:p>
        </w:tc>
        <w:tc>
          <w:tcPr>
            <w:tcW w:w="481" w:type="pct"/>
          </w:tcPr>
          <w:p w14:paraId="5D89CE99"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70%</w:t>
            </w:r>
          </w:p>
        </w:tc>
        <w:tc>
          <w:tcPr>
            <w:tcW w:w="481" w:type="pct"/>
          </w:tcPr>
          <w:p w14:paraId="0AC7B9AC"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70%</w:t>
            </w:r>
          </w:p>
        </w:tc>
        <w:tc>
          <w:tcPr>
            <w:tcW w:w="481" w:type="pct"/>
          </w:tcPr>
          <w:p w14:paraId="2B2AB927"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70%</w:t>
            </w:r>
          </w:p>
        </w:tc>
        <w:tc>
          <w:tcPr>
            <w:tcW w:w="481" w:type="pct"/>
          </w:tcPr>
          <w:p w14:paraId="210DD374"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70%</w:t>
            </w:r>
          </w:p>
        </w:tc>
        <w:tc>
          <w:tcPr>
            <w:tcW w:w="481" w:type="pct"/>
          </w:tcPr>
          <w:p w14:paraId="2A75CB27"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71%</w:t>
            </w:r>
          </w:p>
        </w:tc>
        <w:tc>
          <w:tcPr>
            <w:tcW w:w="481" w:type="pct"/>
          </w:tcPr>
          <w:p w14:paraId="03FF71FC"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71%</w:t>
            </w:r>
          </w:p>
        </w:tc>
      </w:tr>
      <w:tr w:rsidR="00AC6058" w14:paraId="62FAFD90" w14:textId="77777777" w:rsidTr="00A74536">
        <w:tc>
          <w:tcPr>
            <w:cnfStyle w:val="001000000000" w:firstRow="0" w:lastRow="0" w:firstColumn="1" w:lastColumn="0" w:oddVBand="0" w:evenVBand="0" w:oddHBand="0" w:evenHBand="0" w:firstRowFirstColumn="0" w:firstRowLastColumn="0" w:lastRowFirstColumn="0" w:lastRowLastColumn="0"/>
            <w:tcW w:w="666" w:type="pct"/>
          </w:tcPr>
          <w:p w14:paraId="03E42207" w14:textId="77777777" w:rsidR="00AC6058" w:rsidRDefault="00AC6058" w:rsidP="000708AF">
            <w:pPr>
              <w:pStyle w:val="Normal-table"/>
            </w:pPr>
            <w:r>
              <w:t>Temporary</w:t>
            </w:r>
          </w:p>
        </w:tc>
        <w:tc>
          <w:tcPr>
            <w:tcW w:w="486" w:type="pct"/>
          </w:tcPr>
          <w:p w14:paraId="61FA136C"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8%</w:t>
            </w:r>
          </w:p>
        </w:tc>
        <w:tc>
          <w:tcPr>
            <w:tcW w:w="481" w:type="pct"/>
          </w:tcPr>
          <w:p w14:paraId="51C80EDE"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8%</w:t>
            </w:r>
          </w:p>
        </w:tc>
        <w:tc>
          <w:tcPr>
            <w:tcW w:w="481" w:type="pct"/>
          </w:tcPr>
          <w:p w14:paraId="02EF456D"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7%</w:t>
            </w:r>
          </w:p>
        </w:tc>
        <w:tc>
          <w:tcPr>
            <w:tcW w:w="481" w:type="pct"/>
          </w:tcPr>
          <w:p w14:paraId="304713DB"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8%</w:t>
            </w:r>
          </w:p>
        </w:tc>
        <w:tc>
          <w:tcPr>
            <w:tcW w:w="481" w:type="pct"/>
          </w:tcPr>
          <w:p w14:paraId="31D18750"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7%</w:t>
            </w:r>
          </w:p>
        </w:tc>
        <w:tc>
          <w:tcPr>
            <w:tcW w:w="481" w:type="pct"/>
          </w:tcPr>
          <w:p w14:paraId="4E40CEDF"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8%</w:t>
            </w:r>
          </w:p>
        </w:tc>
        <w:tc>
          <w:tcPr>
            <w:tcW w:w="481" w:type="pct"/>
          </w:tcPr>
          <w:p w14:paraId="274D0D71"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8%</w:t>
            </w:r>
          </w:p>
        </w:tc>
        <w:tc>
          <w:tcPr>
            <w:tcW w:w="481" w:type="pct"/>
          </w:tcPr>
          <w:p w14:paraId="52096604"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7%</w:t>
            </w:r>
          </w:p>
        </w:tc>
        <w:tc>
          <w:tcPr>
            <w:tcW w:w="481" w:type="pct"/>
          </w:tcPr>
          <w:p w14:paraId="4D9B899C"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5%</w:t>
            </w:r>
          </w:p>
        </w:tc>
      </w:tr>
      <w:tr w:rsidR="00AC6058" w14:paraId="2B558809" w14:textId="77777777" w:rsidTr="00A7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pct"/>
          </w:tcPr>
          <w:p w14:paraId="51DE59A0" w14:textId="77777777" w:rsidR="00AC6058" w:rsidRDefault="00AC6058" w:rsidP="000708AF">
            <w:pPr>
              <w:pStyle w:val="Normal-table"/>
            </w:pPr>
            <w:r>
              <w:t>Casual</w:t>
            </w:r>
          </w:p>
        </w:tc>
        <w:tc>
          <w:tcPr>
            <w:tcW w:w="486" w:type="pct"/>
          </w:tcPr>
          <w:p w14:paraId="5A212092"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17%</w:t>
            </w:r>
          </w:p>
        </w:tc>
        <w:tc>
          <w:tcPr>
            <w:tcW w:w="481" w:type="pct"/>
          </w:tcPr>
          <w:p w14:paraId="43EB6BE3"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21%</w:t>
            </w:r>
          </w:p>
        </w:tc>
        <w:tc>
          <w:tcPr>
            <w:tcW w:w="481" w:type="pct"/>
          </w:tcPr>
          <w:p w14:paraId="3996BE0E"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21%</w:t>
            </w:r>
          </w:p>
        </w:tc>
        <w:tc>
          <w:tcPr>
            <w:tcW w:w="481" w:type="pct"/>
          </w:tcPr>
          <w:p w14:paraId="6705E9B6"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22%</w:t>
            </w:r>
          </w:p>
        </w:tc>
        <w:tc>
          <w:tcPr>
            <w:tcW w:w="481" w:type="pct"/>
          </w:tcPr>
          <w:p w14:paraId="68E3E805"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22%</w:t>
            </w:r>
          </w:p>
        </w:tc>
        <w:tc>
          <w:tcPr>
            <w:tcW w:w="481" w:type="pct"/>
          </w:tcPr>
          <w:p w14:paraId="0A490028"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22%</w:t>
            </w:r>
          </w:p>
        </w:tc>
        <w:tc>
          <w:tcPr>
            <w:tcW w:w="481" w:type="pct"/>
          </w:tcPr>
          <w:p w14:paraId="2D97A712"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22%</w:t>
            </w:r>
          </w:p>
        </w:tc>
        <w:tc>
          <w:tcPr>
            <w:tcW w:w="481" w:type="pct"/>
          </w:tcPr>
          <w:p w14:paraId="2DF11B48"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22%</w:t>
            </w:r>
          </w:p>
        </w:tc>
        <w:tc>
          <w:tcPr>
            <w:tcW w:w="481" w:type="pct"/>
          </w:tcPr>
          <w:p w14:paraId="15B06669"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22%</w:t>
            </w:r>
          </w:p>
        </w:tc>
      </w:tr>
      <w:tr w:rsidR="00AC6058" w14:paraId="2A910257" w14:textId="77777777" w:rsidTr="00A74536">
        <w:tc>
          <w:tcPr>
            <w:cnfStyle w:val="001000000000" w:firstRow="0" w:lastRow="0" w:firstColumn="1" w:lastColumn="0" w:oddVBand="0" w:evenVBand="0" w:oddHBand="0" w:evenHBand="0" w:firstRowFirstColumn="0" w:firstRowLastColumn="0" w:lastRowFirstColumn="0" w:lastRowLastColumn="0"/>
            <w:tcW w:w="666" w:type="pct"/>
          </w:tcPr>
          <w:p w14:paraId="0B509C76" w14:textId="77777777" w:rsidR="00AC6058" w:rsidRDefault="00AC6058" w:rsidP="000708AF">
            <w:pPr>
              <w:pStyle w:val="Normal-table"/>
            </w:pPr>
            <w:r>
              <w:t>Permanent employee separation rate</w:t>
            </w:r>
          </w:p>
        </w:tc>
        <w:tc>
          <w:tcPr>
            <w:tcW w:w="486" w:type="pct"/>
          </w:tcPr>
          <w:p w14:paraId="2E8F1084"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10%</w:t>
            </w:r>
          </w:p>
        </w:tc>
        <w:tc>
          <w:tcPr>
            <w:tcW w:w="481" w:type="pct"/>
          </w:tcPr>
          <w:p w14:paraId="417973E4"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8%</w:t>
            </w:r>
          </w:p>
        </w:tc>
        <w:tc>
          <w:tcPr>
            <w:tcW w:w="481" w:type="pct"/>
          </w:tcPr>
          <w:p w14:paraId="6B5FC6CB"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5%</w:t>
            </w:r>
          </w:p>
        </w:tc>
        <w:tc>
          <w:tcPr>
            <w:tcW w:w="481" w:type="pct"/>
          </w:tcPr>
          <w:p w14:paraId="545A5933"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6%</w:t>
            </w:r>
          </w:p>
        </w:tc>
        <w:tc>
          <w:tcPr>
            <w:tcW w:w="481" w:type="pct"/>
          </w:tcPr>
          <w:p w14:paraId="291CD252"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6%</w:t>
            </w:r>
          </w:p>
        </w:tc>
        <w:tc>
          <w:tcPr>
            <w:tcW w:w="481" w:type="pct"/>
          </w:tcPr>
          <w:p w14:paraId="51BD50A1"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6%</w:t>
            </w:r>
          </w:p>
        </w:tc>
        <w:tc>
          <w:tcPr>
            <w:tcW w:w="481" w:type="pct"/>
          </w:tcPr>
          <w:p w14:paraId="66CB1D35"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5%</w:t>
            </w:r>
          </w:p>
        </w:tc>
        <w:tc>
          <w:tcPr>
            <w:tcW w:w="481" w:type="pct"/>
          </w:tcPr>
          <w:p w14:paraId="192C699A"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6%</w:t>
            </w:r>
          </w:p>
        </w:tc>
        <w:tc>
          <w:tcPr>
            <w:tcW w:w="481" w:type="pct"/>
          </w:tcPr>
          <w:p w14:paraId="57DBE946"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5%</w:t>
            </w:r>
          </w:p>
        </w:tc>
      </w:tr>
      <w:tr w:rsidR="00AC6058" w14:paraId="69DF55ED" w14:textId="77777777" w:rsidTr="00A7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pct"/>
          </w:tcPr>
          <w:p w14:paraId="18138A44" w14:textId="77777777" w:rsidR="00AC6058" w:rsidRDefault="00AC6058" w:rsidP="000708AF">
            <w:pPr>
              <w:pStyle w:val="Normal-table"/>
            </w:pPr>
            <w:r>
              <w:t>Non-Corporate roles</w:t>
            </w:r>
          </w:p>
        </w:tc>
        <w:tc>
          <w:tcPr>
            <w:tcW w:w="486" w:type="pct"/>
          </w:tcPr>
          <w:p w14:paraId="40AC1132"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72%</w:t>
            </w:r>
          </w:p>
        </w:tc>
        <w:tc>
          <w:tcPr>
            <w:tcW w:w="481" w:type="pct"/>
          </w:tcPr>
          <w:p w14:paraId="241C7160"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84%</w:t>
            </w:r>
          </w:p>
        </w:tc>
        <w:tc>
          <w:tcPr>
            <w:tcW w:w="481" w:type="pct"/>
          </w:tcPr>
          <w:p w14:paraId="72362AEA"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84%</w:t>
            </w:r>
          </w:p>
        </w:tc>
        <w:tc>
          <w:tcPr>
            <w:tcW w:w="481" w:type="pct"/>
          </w:tcPr>
          <w:p w14:paraId="2319584F"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82%</w:t>
            </w:r>
          </w:p>
        </w:tc>
        <w:tc>
          <w:tcPr>
            <w:tcW w:w="481" w:type="pct"/>
          </w:tcPr>
          <w:p w14:paraId="1E5D8792"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82%</w:t>
            </w:r>
          </w:p>
        </w:tc>
        <w:tc>
          <w:tcPr>
            <w:tcW w:w="481" w:type="pct"/>
          </w:tcPr>
          <w:p w14:paraId="0526C0B6"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82%</w:t>
            </w:r>
          </w:p>
        </w:tc>
        <w:tc>
          <w:tcPr>
            <w:tcW w:w="481" w:type="pct"/>
          </w:tcPr>
          <w:p w14:paraId="3ABBC356"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82%</w:t>
            </w:r>
          </w:p>
        </w:tc>
        <w:tc>
          <w:tcPr>
            <w:tcW w:w="481" w:type="pct"/>
          </w:tcPr>
          <w:p w14:paraId="50417D14"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82%</w:t>
            </w:r>
          </w:p>
        </w:tc>
        <w:tc>
          <w:tcPr>
            <w:tcW w:w="481" w:type="pct"/>
          </w:tcPr>
          <w:p w14:paraId="7B684300"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81%</w:t>
            </w:r>
          </w:p>
        </w:tc>
      </w:tr>
      <w:tr w:rsidR="00AC6058" w14:paraId="68A0157C" w14:textId="77777777" w:rsidTr="00A74536">
        <w:tc>
          <w:tcPr>
            <w:cnfStyle w:val="001000000000" w:firstRow="0" w:lastRow="0" w:firstColumn="1" w:lastColumn="0" w:oddVBand="0" w:evenVBand="0" w:oddHBand="0" w:evenHBand="0" w:firstRowFirstColumn="0" w:firstRowLastColumn="0" w:lastRowFirstColumn="0" w:lastRowLastColumn="0"/>
            <w:tcW w:w="666" w:type="pct"/>
          </w:tcPr>
          <w:p w14:paraId="37F059E9" w14:textId="77777777" w:rsidR="00AC6058" w:rsidRDefault="00AC6058" w:rsidP="000708AF">
            <w:pPr>
              <w:pStyle w:val="Normal-table"/>
            </w:pPr>
            <w:r>
              <w:t>Average age</w:t>
            </w:r>
          </w:p>
        </w:tc>
        <w:tc>
          <w:tcPr>
            <w:tcW w:w="486" w:type="pct"/>
          </w:tcPr>
          <w:p w14:paraId="1AB6204E"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48.8</w:t>
            </w:r>
          </w:p>
        </w:tc>
        <w:tc>
          <w:tcPr>
            <w:tcW w:w="481" w:type="pct"/>
          </w:tcPr>
          <w:p w14:paraId="58020FF3"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48.8</w:t>
            </w:r>
          </w:p>
        </w:tc>
        <w:tc>
          <w:tcPr>
            <w:tcW w:w="481" w:type="pct"/>
          </w:tcPr>
          <w:p w14:paraId="622ABF48"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48.5</w:t>
            </w:r>
          </w:p>
        </w:tc>
        <w:tc>
          <w:tcPr>
            <w:tcW w:w="481" w:type="pct"/>
          </w:tcPr>
          <w:p w14:paraId="1CF91D7A"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48.3</w:t>
            </w:r>
          </w:p>
        </w:tc>
        <w:tc>
          <w:tcPr>
            <w:tcW w:w="481" w:type="pct"/>
          </w:tcPr>
          <w:p w14:paraId="1BEC8F83"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48.1</w:t>
            </w:r>
          </w:p>
        </w:tc>
        <w:tc>
          <w:tcPr>
            <w:tcW w:w="481" w:type="pct"/>
          </w:tcPr>
          <w:p w14:paraId="5D4A6549"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47.6</w:t>
            </w:r>
          </w:p>
        </w:tc>
        <w:tc>
          <w:tcPr>
            <w:tcW w:w="481" w:type="pct"/>
          </w:tcPr>
          <w:p w14:paraId="0A1C936A"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47.1</w:t>
            </w:r>
          </w:p>
        </w:tc>
        <w:tc>
          <w:tcPr>
            <w:tcW w:w="481" w:type="pct"/>
          </w:tcPr>
          <w:p w14:paraId="05500096"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46.2</w:t>
            </w:r>
          </w:p>
        </w:tc>
        <w:tc>
          <w:tcPr>
            <w:tcW w:w="481" w:type="pct"/>
          </w:tcPr>
          <w:p w14:paraId="69331B02"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45.8</w:t>
            </w:r>
          </w:p>
        </w:tc>
      </w:tr>
      <w:tr w:rsidR="00AC6058" w14:paraId="02208CED" w14:textId="77777777" w:rsidTr="00A7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pct"/>
          </w:tcPr>
          <w:p w14:paraId="60651641" w14:textId="77777777" w:rsidR="00AC6058" w:rsidRDefault="00AC6058" w:rsidP="000708AF">
            <w:pPr>
              <w:pStyle w:val="Normal-table"/>
            </w:pPr>
            <w:r>
              <w:t>Manager to employee ratio</w:t>
            </w:r>
          </w:p>
        </w:tc>
        <w:tc>
          <w:tcPr>
            <w:tcW w:w="486" w:type="pct"/>
          </w:tcPr>
          <w:p w14:paraId="21139E25"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1:6.6</w:t>
            </w:r>
          </w:p>
        </w:tc>
        <w:tc>
          <w:tcPr>
            <w:tcW w:w="481" w:type="pct"/>
          </w:tcPr>
          <w:p w14:paraId="08A6C5D0"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1:6.3</w:t>
            </w:r>
          </w:p>
        </w:tc>
        <w:tc>
          <w:tcPr>
            <w:tcW w:w="481" w:type="pct"/>
          </w:tcPr>
          <w:p w14:paraId="00FF8446"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1:6.8</w:t>
            </w:r>
          </w:p>
        </w:tc>
        <w:tc>
          <w:tcPr>
            <w:tcW w:w="481" w:type="pct"/>
          </w:tcPr>
          <w:p w14:paraId="65821E62"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1:7.2</w:t>
            </w:r>
          </w:p>
        </w:tc>
        <w:tc>
          <w:tcPr>
            <w:tcW w:w="481" w:type="pct"/>
          </w:tcPr>
          <w:p w14:paraId="4BD49535"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1:7.3</w:t>
            </w:r>
          </w:p>
        </w:tc>
        <w:tc>
          <w:tcPr>
            <w:tcW w:w="481" w:type="pct"/>
          </w:tcPr>
          <w:p w14:paraId="356CDE02"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1:7.2</w:t>
            </w:r>
          </w:p>
        </w:tc>
        <w:tc>
          <w:tcPr>
            <w:tcW w:w="481" w:type="pct"/>
          </w:tcPr>
          <w:p w14:paraId="2C8DBEB5"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1:7.5</w:t>
            </w:r>
          </w:p>
        </w:tc>
        <w:tc>
          <w:tcPr>
            <w:tcW w:w="481" w:type="pct"/>
          </w:tcPr>
          <w:p w14:paraId="54D9E046"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1:7.9</w:t>
            </w:r>
          </w:p>
        </w:tc>
        <w:tc>
          <w:tcPr>
            <w:tcW w:w="481" w:type="pct"/>
          </w:tcPr>
          <w:p w14:paraId="457DB1F3"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1:8.2</w:t>
            </w:r>
          </w:p>
        </w:tc>
      </w:tr>
      <w:tr w:rsidR="00AC6058" w14:paraId="4E3BC4A2" w14:textId="77777777" w:rsidTr="00A74536">
        <w:tc>
          <w:tcPr>
            <w:cnfStyle w:val="001000000000" w:firstRow="0" w:lastRow="0" w:firstColumn="1" w:lastColumn="0" w:oddVBand="0" w:evenVBand="0" w:oddHBand="0" w:evenHBand="0" w:firstRowFirstColumn="0" w:firstRowLastColumn="0" w:lastRowFirstColumn="0" w:lastRowLastColumn="0"/>
            <w:tcW w:w="666" w:type="pct"/>
          </w:tcPr>
          <w:p w14:paraId="35CB04D0" w14:textId="77777777" w:rsidR="00AC6058" w:rsidRDefault="00AC6058" w:rsidP="000708AF">
            <w:pPr>
              <w:pStyle w:val="Normal-table"/>
            </w:pPr>
            <w:r>
              <w:lastRenderedPageBreak/>
              <w:t>SES/SE eligible to retire**</w:t>
            </w:r>
          </w:p>
        </w:tc>
        <w:tc>
          <w:tcPr>
            <w:tcW w:w="486" w:type="pct"/>
          </w:tcPr>
          <w:p w14:paraId="4884798E"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17%</w:t>
            </w:r>
          </w:p>
        </w:tc>
        <w:tc>
          <w:tcPr>
            <w:tcW w:w="481" w:type="pct"/>
          </w:tcPr>
          <w:p w14:paraId="1D380CD6"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16%</w:t>
            </w:r>
          </w:p>
        </w:tc>
        <w:tc>
          <w:tcPr>
            <w:tcW w:w="481" w:type="pct"/>
          </w:tcPr>
          <w:p w14:paraId="0A5135D4"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20%</w:t>
            </w:r>
          </w:p>
        </w:tc>
        <w:tc>
          <w:tcPr>
            <w:tcW w:w="481" w:type="pct"/>
          </w:tcPr>
          <w:p w14:paraId="688AAF73"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29%</w:t>
            </w:r>
          </w:p>
        </w:tc>
        <w:tc>
          <w:tcPr>
            <w:tcW w:w="481" w:type="pct"/>
          </w:tcPr>
          <w:p w14:paraId="2B79B9C7"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29%</w:t>
            </w:r>
          </w:p>
        </w:tc>
        <w:tc>
          <w:tcPr>
            <w:tcW w:w="481" w:type="pct"/>
          </w:tcPr>
          <w:p w14:paraId="77D8C974"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25%</w:t>
            </w:r>
          </w:p>
        </w:tc>
        <w:tc>
          <w:tcPr>
            <w:tcW w:w="481" w:type="pct"/>
          </w:tcPr>
          <w:p w14:paraId="52B54FE4"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22%</w:t>
            </w:r>
          </w:p>
        </w:tc>
        <w:tc>
          <w:tcPr>
            <w:tcW w:w="481" w:type="pct"/>
          </w:tcPr>
          <w:p w14:paraId="10C6B546"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22%</w:t>
            </w:r>
          </w:p>
        </w:tc>
        <w:tc>
          <w:tcPr>
            <w:tcW w:w="481" w:type="pct"/>
          </w:tcPr>
          <w:p w14:paraId="3224F0EF"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23%</w:t>
            </w:r>
          </w:p>
        </w:tc>
      </w:tr>
      <w:tr w:rsidR="00AC6058" w14:paraId="217088B9" w14:textId="77777777" w:rsidTr="00A7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pct"/>
          </w:tcPr>
          <w:p w14:paraId="65F36373" w14:textId="77777777" w:rsidR="00AC6058" w:rsidRDefault="00AC6058" w:rsidP="000708AF">
            <w:pPr>
              <w:pStyle w:val="Normal-table"/>
            </w:pPr>
            <w:r>
              <w:t>Located outside SEQ</w:t>
            </w:r>
          </w:p>
        </w:tc>
        <w:tc>
          <w:tcPr>
            <w:tcW w:w="486" w:type="pct"/>
          </w:tcPr>
          <w:p w14:paraId="453B227F"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26%</w:t>
            </w:r>
          </w:p>
        </w:tc>
        <w:tc>
          <w:tcPr>
            <w:tcW w:w="481" w:type="pct"/>
          </w:tcPr>
          <w:p w14:paraId="08A73550"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30%</w:t>
            </w:r>
          </w:p>
        </w:tc>
        <w:tc>
          <w:tcPr>
            <w:tcW w:w="481" w:type="pct"/>
          </w:tcPr>
          <w:p w14:paraId="11B4E301"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31%</w:t>
            </w:r>
          </w:p>
        </w:tc>
        <w:tc>
          <w:tcPr>
            <w:tcW w:w="481" w:type="pct"/>
          </w:tcPr>
          <w:p w14:paraId="637565E4"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31%</w:t>
            </w:r>
          </w:p>
        </w:tc>
        <w:tc>
          <w:tcPr>
            <w:tcW w:w="481" w:type="pct"/>
          </w:tcPr>
          <w:p w14:paraId="29D2D570"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32%</w:t>
            </w:r>
          </w:p>
        </w:tc>
        <w:tc>
          <w:tcPr>
            <w:tcW w:w="481" w:type="pct"/>
          </w:tcPr>
          <w:p w14:paraId="1852FBF6"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32%</w:t>
            </w:r>
          </w:p>
        </w:tc>
        <w:tc>
          <w:tcPr>
            <w:tcW w:w="481" w:type="pct"/>
          </w:tcPr>
          <w:p w14:paraId="4298D0C7"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36%</w:t>
            </w:r>
          </w:p>
        </w:tc>
        <w:tc>
          <w:tcPr>
            <w:tcW w:w="481" w:type="pct"/>
          </w:tcPr>
          <w:p w14:paraId="7B8E35E9"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36%</w:t>
            </w:r>
          </w:p>
        </w:tc>
        <w:tc>
          <w:tcPr>
            <w:tcW w:w="481" w:type="pct"/>
          </w:tcPr>
          <w:p w14:paraId="19B720C3"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37%</w:t>
            </w:r>
          </w:p>
        </w:tc>
      </w:tr>
      <w:tr w:rsidR="00AC6058" w14:paraId="2B87B4A1" w14:textId="77777777" w:rsidTr="00A74536">
        <w:tc>
          <w:tcPr>
            <w:cnfStyle w:val="001000000000" w:firstRow="0" w:lastRow="0" w:firstColumn="1" w:lastColumn="0" w:oddVBand="0" w:evenVBand="0" w:oddHBand="0" w:evenHBand="0" w:firstRowFirstColumn="0" w:firstRowLastColumn="0" w:lastRowFirstColumn="0" w:lastRowLastColumn="0"/>
            <w:tcW w:w="666" w:type="pct"/>
          </w:tcPr>
          <w:p w14:paraId="7539D74D" w14:textId="77777777" w:rsidR="00AC6058" w:rsidRDefault="00AC6058" w:rsidP="000708AF">
            <w:pPr>
              <w:pStyle w:val="Normal-table"/>
            </w:pPr>
            <w:r>
              <w:t>Average retirement age</w:t>
            </w:r>
          </w:p>
        </w:tc>
        <w:tc>
          <w:tcPr>
            <w:tcW w:w="486" w:type="pct"/>
          </w:tcPr>
          <w:p w14:paraId="4705AAB8"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64.1</w:t>
            </w:r>
          </w:p>
        </w:tc>
        <w:tc>
          <w:tcPr>
            <w:tcW w:w="481" w:type="pct"/>
          </w:tcPr>
          <w:p w14:paraId="3F733786"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63.9</w:t>
            </w:r>
          </w:p>
        </w:tc>
        <w:tc>
          <w:tcPr>
            <w:tcW w:w="481" w:type="pct"/>
          </w:tcPr>
          <w:p w14:paraId="4225F1FC"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64.5</w:t>
            </w:r>
          </w:p>
        </w:tc>
        <w:tc>
          <w:tcPr>
            <w:tcW w:w="481" w:type="pct"/>
          </w:tcPr>
          <w:p w14:paraId="44C13660"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64.2</w:t>
            </w:r>
          </w:p>
        </w:tc>
        <w:tc>
          <w:tcPr>
            <w:tcW w:w="481" w:type="pct"/>
          </w:tcPr>
          <w:p w14:paraId="434FD4F2"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63.9</w:t>
            </w:r>
          </w:p>
        </w:tc>
        <w:tc>
          <w:tcPr>
            <w:tcW w:w="481" w:type="pct"/>
          </w:tcPr>
          <w:p w14:paraId="68A91A1C"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64.3</w:t>
            </w:r>
          </w:p>
        </w:tc>
        <w:tc>
          <w:tcPr>
            <w:tcW w:w="481" w:type="pct"/>
          </w:tcPr>
          <w:p w14:paraId="3A5B87FA"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62.9</w:t>
            </w:r>
          </w:p>
        </w:tc>
        <w:tc>
          <w:tcPr>
            <w:tcW w:w="481" w:type="pct"/>
          </w:tcPr>
          <w:p w14:paraId="647C598F"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63.8</w:t>
            </w:r>
          </w:p>
        </w:tc>
        <w:tc>
          <w:tcPr>
            <w:tcW w:w="481" w:type="pct"/>
          </w:tcPr>
          <w:p w14:paraId="1184B7B1"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63.1</w:t>
            </w:r>
          </w:p>
        </w:tc>
      </w:tr>
      <w:tr w:rsidR="00AC6058" w14:paraId="767B62C1" w14:textId="77777777" w:rsidTr="00A7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pct"/>
          </w:tcPr>
          <w:p w14:paraId="1029483A" w14:textId="77777777" w:rsidR="00AC6058" w:rsidRDefault="00AC6058" w:rsidP="000708AF">
            <w:pPr>
              <w:pStyle w:val="Normal-table"/>
            </w:pPr>
            <w:r>
              <w:t>Average length of service</w:t>
            </w:r>
          </w:p>
        </w:tc>
        <w:tc>
          <w:tcPr>
            <w:tcW w:w="486" w:type="pct"/>
          </w:tcPr>
          <w:p w14:paraId="1AC49457"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10.3</w:t>
            </w:r>
          </w:p>
        </w:tc>
        <w:tc>
          <w:tcPr>
            <w:tcW w:w="481" w:type="pct"/>
          </w:tcPr>
          <w:p w14:paraId="027B9B16"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10.6</w:t>
            </w:r>
          </w:p>
        </w:tc>
        <w:tc>
          <w:tcPr>
            <w:tcW w:w="481" w:type="pct"/>
          </w:tcPr>
          <w:p w14:paraId="5AF9476C"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10.6</w:t>
            </w:r>
          </w:p>
        </w:tc>
        <w:tc>
          <w:tcPr>
            <w:tcW w:w="481" w:type="pct"/>
          </w:tcPr>
          <w:p w14:paraId="2835EF6D"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10.3</w:t>
            </w:r>
          </w:p>
        </w:tc>
        <w:tc>
          <w:tcPr>
            <w:tcW w:w="481" w:type="pct"/>
          </w:tcPr>
          <w:p w14:paraId="382EF660"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10.3</w:t>
            </w:r>
          </w:p>
        </w:tc>
        <w:tc>
          <w:tcPr>
            <w:tcW w:w="481" w:type="pct"/>
          </w:tcPr>
          <w:p w14:paraId="7CAE892D"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10.1</w:t>
            </w:r>
          </w:p>
        </w:tc>
        <w:tc>
          <w:tcPr>
            <w:tcW w:w="481" w:type="pct"/>
          </w:tcPr>
          <w:p w14:paraId="4ED18E6A"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9.8</w:t>
            </w:r>
          </w:p>
        </w:tc>
        <w:tc>
          <w:tcPr>
            <w:tcW w:w="481" w:type="pct"/>
          </w:tcPr>
          <w:p w14:paraId="58515724"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n/a</w:t>
            </w:r>
          </w:p>
        </w:tc>
        <w:tc>
          <w:tcPr>
            <w:tcW w:w="481" w:type="pct"/>
          </w:tcPr>
          <w:p w14:paraId="4388E9BA"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n/a</w:t>
            </w:r>
          </w:p>
        </w:tc>
      </w:tr>
      <w:tr w:rsidR="00AC6058" w14:paraId="2EFC85BA" w14:textId="77777777" w:rsidTr="00A74536">
        <w:tc>
          <w:tcPr>
            <w:cnfStyle w:val="001000000000" w:firstRow="0" w:lastRow="0" w:firstColumn="1" w:lastColumn="0" w:oddVBand="0" w:evenVBand="0" w:oddHBand="0" w:evenHBand="0" w:firstRowFirstColumn="0" w:firstRowLastColumn="0" w:lastRowFirstColumn="0" w:lastRowLastColumn="0"/>
            <w:tcW w:w="666" w:type="pct"/>
          </w:tcPr>
          <w:p w14:paraId="76886C50" w14:textId="77777777" w:rsidR="00AC6058" w:rsidRDefault="00AC6058" w:rsidP="000708AF">
            <w:pPr>
              <w:pStyle w:val="Normal-table"/>
            </w:pPr>
            <w:r>
              <w:t>Occupational groups</w:t>
            </w:r>
          </w:p>
        </w:tc>
        <w:tc>
          <w:tcPr>
            <w:tcW w:w="486" w:type="pct"/>
          </w:tcPr>
          <w:p w14:paraId="6AB02FF9"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80</w:t>
            </w:r>
          </w:p>
        </w:tc>
        <w:tc>
          <w:tcPr>
            <w:tcW w:w="481" w:type="pct"/>
          </w:tcPr>
          <w:p w14:paraId="042D477E"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79</w:t>
            </w:r>
          </w:p>
        </w:tc>
        <w:tc>
          <w:tcPr>
            <w:tcW w:w="481" w:type="pct"/>
          </w:tcPr>
          <w:p w14:paraId="581C4CB1"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79</w:t>
            </w:r>
          </w:p>
        </w:tc>
        <w:tc>
          <w:tcPr>
            <w:tcW w:w="481" w:type="pct"/>
          </w:tcPr>
          <w:p w14:paraId="50B70AAD"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79</w:t>
            </w:r>
          </w:p>
        </w:tc>
        <w:tc>
          <w:tcPr>
            <w:tcW w:w="481" w:type="pct"/>
          </w:tcPr>
          <w:p w14:paraId="192169AA"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79</w:t>
            </w:r>
          </w:p>
        </w:tc>
        <w:tc>
          <w:tcPr>
            <w:tcW w:w="481" w:type="pct"/>
          </w:tcPr>
          <w:p w14:paraId="31DF57EE"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79</w:t>
            </w:r>
          </w:p>
        </w:tc>
        <w:tc>
          <w:tcPr>
            <w:tcW w:w="481" w:type="pct"/>
          </w:tcPr>
          <w:p w14:paraId="603D0FA3"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80</w:t>
            </w:r>
          </w:p>
        </w:tc>
        <w:tc>
          <w:tcPr>
            <w:tcW w:w="481" w:type="pct"/>
          </w:tcPr>
          <w:p w14:paraId="218DD9AD"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79</w:t>
            </w:r>
          </w:p>
        </w:tc>
        <w:tc>
          <w:tcPr>
            <w:tcW w:w="481" w:type="pct"/>
          </w:tcPr>
          <w:p w14:paraId="59E4862E"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80</w:t>
            </w:r>
          </w:p>
        </w:tc>
      </w:tr>
      <w:tr w:rsidR="00AC6058" w14:paraId="385B4F39" w14:textId="77777777" w:rsidTr="00A7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pct"/>
          </w:tcPr>
          <w:p w14:paraId="28A30371" w14:textId="77777777" w:rsidR="00AC6058" w:rsidRDefault="00AC6058" w:rsidP="000708AF">
            <w:pPr>
              <w:pStyle w:val="Normal-table"/>
            </w:pPr>
            <w:r>
              <w:t>Permanent Retention Rate</w:t>
            </w:r>
          </w:p>
        </w:tc>
        <w:tc>
          <w:tcPr>
            <w:tcW w:w="486" w:type="pct"/>
          </w:tcPr>
          <w:p w14:paraId="10C7DBD9"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91%</w:t>
            </w:r>
          </w:p>
        </w:tc>
        <w:tc>
          <w:tcPr>
            <w:tcW w:w="481" w:type="pct"/>
          </w:tcPr>
          <w:p w14:paraId="5E49C67B"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93%</w:t>
            </w:r>
          </w:p>
        </w:tc>
        <w:tc>
          <w:tcPr>
            <w:tcW w:w="481" w:type="pct"/>
          </w:tcPr>
          <w:p w14:paraId="4F5054CB"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95%</w:t>
            </w:r>
          </w:p>
        </w:tc>
        <w:tc>
          <w:tcPr>
            <w:tcW w:w="481" w:type="pct"/>
          </w:tcPr>
          <w:p w14:paraId="57D1D01A"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95%</w:t>
            </w:r>
          </w:p>
        </w:tc>
        <w:tc>
          <w:tcPr>
            <w:tcW w:w="481" w:type="pct"/>
          </w:tcPr>
          <w:p w14:paraId="272965EA"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94%</w:t>
            </w:r>
          </w:p>
        </w:tc>
        <w:tc>
          <w:tcPr>
            <w:tcW w:w="481" w:type="pct"/>
          </w:tcPr>
          <w:p w14:paraId="7A378E22"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94%</w:t>
            </w:r>
          </w:p>
        </w:tc>
        <w:tc>
          <w:tcPr>
            <w:tcW w:w="481" w:type="pct"/>
          </w:tcPr>
          <w:p w14:paraId="40549D2C"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p>
        </w:tc>
        <w:tc>
          <w:tcPr>
            <w:tcW w:w="481" w:type="pct"/>
          </w:tcPr>
          <w:p w14:paraId="091E6D57"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p>
        </w:tc>
        <w:tc>
          <w:tcPr>
            <w:tcW w:w="481" w:type="pct"/>
          </w:tcPr>
          <w:p w14:paraId="6F55599A"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p>
        </w:tc>
      </w:tr>
    </w:tbl>
    <w:p w14:paraId="21FB154D" w14:textId="77777777" w:rsidR="00AC6058" w:rsidRDefault="00AC6058" w:rsidP="00AC6058">
      <w:pPr>
        <w:pStyle w:val="Caption"/>
        <w:rPr>
          <w:lang w:val="en-AU"/>
        </w:rPr>
      </w:pPr>
      <w:r>
        <w:rPr>
          <w:lang w:val="en-AU"/>
        </w:rPr>
        <w:t>Note: Percentages have been rounded to the nearest whole number. Data source: TMR SAP Business Warehouse.</w:t>
      </w:r>
    </w:p>
    <w:p w14:paraId="386CEB69" w14:textId="77777777" w:rsidR="00AC6058" w:rsidRDefault="00AC6058" w:rsidP="00AC6058">
      <w:pPr>
        <w:pStyle w:val="Caption"/>
        <w:rPr>
          <w:lang w:val="en-AU"/>
        </w:rPr>
      </w:pPr>
      <w:r>
        <w:rPr>
          <w:lang w:val="en-AU"/>
        </w:rPr>
        <w:t>*From 1 July 2019 the methodology for calculating the number of public sector full-time equivalent (FTE) workers has been amended. The Review into Queensland Public Sector Workforce Stage 1 – Reporting, undertaken by Professor Peter Coaldrake recommended a shift in methodology from calculating the number of public sector workers by their substantive appointment, to calculating the number of public sector workers by where they are actually paid. The recommendation was accepted by government. This change in methodology has allowed for a more accurate ‘count’ of public sector workers with a reduction in ‘double counting’ of public sector workers on secondment, no longer counting public sector workers who are on leave without pay in their first 8 weeks of leave without pay, and counting public sector workers on recreation leave at the actual FTE rate that they are taking that leave.</w:t>
      </w:r>
    </w:p>
    <w:p w14:paraId="458FFD13" w14:textId="77777777" w:rsidR="00AC6058" w:rsidRDefault="00AC6058" w:rsidP="00AC6058">
      <w:pPr>
        <w:pStyle w:val="Caption"/>
        <w:rPr>
          <w:lang w:val="en-AU"/>
        </w:rPr>
      </w:pPr>
      <w:r>
        <w:rPr>
          <w:lang w:val="en-AU"/>
        </w:rPr>
        <w:t>** SES/SO employees’ birth date and the preservation age has been interrogated to provide the most accurate information on retirement date.</w:t>
      </w:r>
    </w:p>
    <w:p w14:paraId="3FECAB40" w14:textId="77777777" w:rsidR="00AC6058" w:rsidRPr="00734A00" w:rsidRDefault="00AC6058" w:rsidP="00AC6058">
      <w:pPr>
        <w:pStyle w:val="Caption"/>
      </w:pPr>
      <w:r>
        <w:rPr>
          <w:lang w:val="en-AU"/>
        </w:rPr>
        <w:t>FTE data for fortnight ending 16 June 2023.</w:t>
      </w:r>
    </w:p>
    <w:p w14:paraId="02CA7607" w14:textId="77777777" w:rsidR="00A74536" w:rsidRDefault="00A74536">
      <w:pPr>
        <w:spacing w:before="0" w:after="160" w:line="259" w:lineRule="auto"/>
        <w:rPr>
          <w:b/>
        </w:rPr>
      </w:pPr>
      <w:r>
        <w:br w:type="page"/>
      </w:r>
    </w:p>
    <w:p w14:paraId="4947BA6C" w14:textId="1840A36E" w:rsidR="00AC6058" w:rsidRDefault="00AC6058" w:rsidP="00AC6058">
      <w:pPr>
        <w:pStyle w:val="TableofFigures"/>
      </w:pPr>
      <w:r>
        <w:lastRenderedPageBreak/>
        <w:t>Table 11: Target group data equal employment opportunities (EEO) 16 June 2023 1: EEO Groups</w:t>
      </w:r>
    </w:p>
    <w:tbl>
      <w:tblPr>
        <w:tblStyle w:val="GridTable4-Accent1"/>
        <w:tblW w:w="5000" w:type="pct"/>
        <w:tblLook w:val="04A0" w:firstRow="1" w:lastRow="0" w:firstColumn="1" w:lastColumn="0" w:noHBand="0" w:noVBand="1"/>
      </w:tblPr>
      <w:tblGrid>
        <w:gridCol w:w="900"/>
        <w:gridCol w:w="1118"/>
        <w:gridCol w:w="990"/>
        <w:gridCol w:w="1137"/>
        <w:gridCol w:w="1130"/>
        <w:gridCol w:w="1123"/>
        <w:gridCol w:w="1064"/>
        <w:gridCol w:w="1366"/>
        <w:gridCol w:w="1366"/>
      </w:tblGrid>
      <w:tr w:rsidR="00AC6058" w14:paraId="04B727DE" w14:textId="77777777" w:rsidTr="00A74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1" w:type="pct"/>
          </w:tcPr>
          <w:p w14:paraId="5FC79048" w14:textId="77777777" w:rsidR="00AC6058" w:rsidRDefault="00AC6058" w:rsidP="000708AF">
            <w:pPr>
              <w:pStyle w:val="Normal-table"/>
            </w:pPr>
          </w:p>
        </w:tc>
        <w:tc>
          <w:tcPr>
            <w:tcW w:w="548" w:type="pct"/>
          </w:tcPr>
          <w:p w14:paraId="05F70C33" w14:textId="77777777" w:rsidR="00AC6058" w:rsidRDefault="00AC6058" w:rsidP="000708AF">
            <w:pPr>
              <w:pStyle w:val="Normal-table"/>
              <w:cnfStyle w:val="100000000000" w:firstRow="1" w:lastRow="0" w:firstColumn="0" w:lastColumn="0" w:oddVBand="0" w:evenVBand="0" w:oddHBand="0" w:evenHBand="0" w:firstRowFirstColumn="0" w:firstRowLastColumn="0" w:lastRowFirstColumn="0" w:lastRowLastColumn="0"/>
            </w:pPr>
          </w:p>
        </w:tc>
        <w:tc>
          <w:tcPr>
            <w:tcW w:w="485" w:type="pct"/>
          </w:tcPr>
          <w:p w14:paraId="719BC589" w14:textId="77777777" w:rsidR="00AC6058" w:rsidRDefault="00AC6058" w:rsidP="000708AF">
            <w:pPr>
              <w:pStyle w:val="Normal-table"/>
              <w:cnfStyle w:val="100000000000" w:firstRow="1" w:lastRow="0" w:firstColumn="0" w:lastColumn="0" w:oddVBand="0" w:evenVBand="0" w:oddHBand="0" w:evenHBand="0" w:firstRowFirstColumn="0" w:firstRowLastColumn="0" w:lastRowFirstColumn="0" w:lastRowLastColumn="0"/>
            </w:pPr>
            <w:r>
              <w:t>Women</w:t>
            </w:r>
          </w:p>
        </w:tc>
        <w:tc>
          <w:tcPr>
            <w:tcW w:w="557" w:type="pct"/>
          </w:tcPr>
          <w:p w14:paraId="7FF5FDC5" w14:textId="77777777" w:rsidR="00AC6058" w:rsidRDefault="00AC6058" w:rsidP="000708AF">
            <w:pPr>
              <w:pStyle w:val="Normal-table"/>
              <w:cnfStyle w:val="100000000000" w:firstRow="1" w:lastRow="0" w:firstColumn="0" w:lastColumn="0" w:oddVBand="0" w:evenVBand="0" w:oddHBand="0" w:evenHBand="0" w:firstRowFirstColumn="0" w:firstRowLastColumn="0" w:lastRowFirstColumn="0" w:lastRowLastColumn="0"/>
            </w:pPr>
            <w:r>
              <w:t>Women in leadership Roles 2</w:t>
            </w:r>
          </w:p>
        </w:tc>
        <w:tc>
          <w:tcPr>
            <w:tcW w:w="554" w:type="pct"/>
          </w:tcPr>
          <w:p w14:paraId="1B156914" w14:textId="77777777" w:rsidR="00AC6058" w:rsidRDefault="00AC6058" w:rsidP="000708AF">
            <w:pPr>
              <w:pStyle w:val="Normal-table"/>
              <w:cnfStyle w:val="100000000000" w:firstRow="1" w:lastRow="0" w:firstColumn="0" w:lastColumn="0" w:oddVBand="0" w:evenVBand="0" w:oddHBand="0" w:evenHBand="0" w:firstRowFirstColumn="0" w:firstRowLastColumn="0" w:lastRowFirstColumn="0" w:lastRowLastColumn="0"/>
            </w:pPr>
            <w:r>
              <w:t>Aboriginal Peoples and Torres Strait Islander Peoples</w:t>
            </w:r>
          </w:p>
        </w:tc>
        <w:tc>
          <w:tcPr>
            <w:tcW w:w="551" w:type="pct"/>
          </w:tcPr>
          <w:p w14:paraId="1F6CD725" w14:textId="77777777" w:rsidR="00AC6058" w:rsidRDefault="00AC6058" w:rsidP="000708AF">
            <w:pPr>
              <w:pStyle w:val="Normal-table"/>
              <w:cnfStyle w:val="100000000000" w:firstRow="1" w:lastRow="0" w:firstColumn="0" w:lastColumn="0" w:oddVBand="0" w:evenVBand="0" w:oddHBand="0" w:evenHBand="0" w:firstRowFirstColumn="0" w:firstRowLastColumn="0" w:lastRowFirstColumn="0" w:lastRowLastColumn="0"/>
            </w:pPr>
            <w:r>
              <w:t>Australian South Sea Island Peoples</w:t>
            </w:r>
          </w:p>
        </w:tc>
        <w:tc>
          <w:tcPr>
            <w:tcW w:w="522" w:type="pct"/>
          </w:tcPr>
          <w:p w14:paraId="2D8666BB" w14:textId="77777777" w:rsidR="00AC6058" w:rsidRDefault="00AC6058" w:rsidP="000708AF">
            <w:pPr>
              <w:pStyle w:val="Normal-table"/>
              <w:cnfStyle w:val="100000000000" w:firstRow="1" w:lastRow="0" w:firstColumn="0" w:lastColumn="0" w:oddVBand="0" w:evenVBand="0" w:oddHBand="0" w:evenHBand="0" w:firstRowFirstColumn="0" w:firstRowLastColumn="0" w:lastRowFirstColumn="0" w:lastRowLastColumn="0"/>
            </w:pPr>
            <w:r>
              <w:t xml:space="preserve">People with a disability </w:t>
            </w:r>
          </w:p>
        </w:tc>
        <w:tc>
          <w:tcPr>
            <w:tcW w:w="670" w:type="pct"/>
          </w:tcPr>
          <w:p w14:paraId="181FE7EE" w14:textId="77777777" w:rsidR="00AC6058" w:rsidRDefault="00AC6058" w:rsidP="000708AF">
            <w:pPr>
              <w:pStyle w:val="Normal-table"/>
              <w:cnfStyle w:val="100000000000" w:firstRow="1" w:lastRow="0" w:firstColumn="0" w:lastColumn="0" w:oddVBand="0" w:evenVBand="0" w:oddHBand="0" w:evenHBand="0" w:firstRowFirstColumn="0" w:firstRowLastColumn="0" w:lastRowFirstColumn="0" w:lastRowLastColumn="0"/>
            </w:pPr>
            <w:r>
              <w:t>Culturally and Linguistically Diverse – Born overseas in a mainly non-English speaking country</w:t>
            </w:r>
          </w:p>
        </w:tc>
        <w:tc>
          <w:tcPr>
            <w:tcW w:w="670" w:type="pct"/>
          </w:tcPr>
          <w:p w14:paraId="1B1160B1" w14:textId="77777777" w:rsidR="00AC6058" w:rsidRDefault="00AC6058" w:rsidP="000708AF">
            <w:pPr>
              <w:pStyle w:val="Normal-table"/>
              <w:cnfStyle w:val="100000000000" w:firstRow="1" w:lastRow="0" w:firstColumn="0" w:lastColumn="0" w:oddVBand="0" w:evenVBand="0" w:oddHBand="0" w:evenHBand="0" w:firstRowFirstColumn="0" w:firstRowLastColumn="0" w:lastRowFirstColumn="0" w:lastRowLastColumn="0"/>
            </w:pPr>
            <w:r>
              <w:t>Culturally and Linguistically Diverse – Speak a language at home other than English including ATSI/ASSI languages</w:t>
            </w:r>
          </w:p>
        </w:tc>
      </w:tr>
      <w:tr w:rsidR="00AC6058" w14:paraId="081197A7" w14:textId="77777777" w:rsidTr="00A7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pct"/>
          </w:tcPr>
          <w:p w14:paraId="018120A8" w14:textId="77777777" w:rsidR="00AC6058" w:rsidRDefault="00AC6058" w:rsidP="000708AF">
            <w:pPr>
              <w:pStyle w:val="Normal-table"/>
            </w:pPr>
            <w:r>
              <w:t>2022–23</w:t>
            </w:r>
          </w:p>
        </w:tc>
        <w:tc>
          <w:tcPr>
            <w:tcW w:w="548" w:type="pct"/>
          </w:tcPr>
          <w:p w14:paraId="51CE7890"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Headcount</w:t>
            </w:r>
          </w:p>
        </w:tc>
        <w:tc>
          <w:tcPr>
            <w:tcW w:w="485" w:type="pct"/>
          </w:tcPr>
          <w:p w14:paraId="78F41A9B"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6307</w:t>
            </w:r>
          </w:p>
        </w:tc>
        <w:tc>
          <w:tcPr>
            <w:tcW w:w="557" w:type="pct"/>
          </w:tcPr>
          <w:p w14:paraId="47AD9FFF"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166</w:t>
            </w:r>
          </w:p>
        </w:tc>
        <w:tc>
          <w:tcPr>
            <w:tcW w:w="554" w:type="pct"/>
          </w:tcPr>
          <w:p w14:paraId="6ADFE4DB"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190</w:t>
            </w:r>
          </w:p>
        </w:tc>
        <w:tc>
          <w:tcPr>
            <w:tcW w:w="551" w:type="pct"/>
          </w:tcPr>
          <w:p w14:paraId="2A5BA2FD"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23</w:t>
            </w:r>
          </w:p>
        </w:tc>
        <w:tc>
          <w:tcPr>
            <w:tcW w:w="522" w:type="pct"/>
          </w:tcPr>
          <w:p w14:paraId="1888A073"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526</w:t>
            </w:r>
          </w:p>
        </w:tc>
        <w:tc>
          <w:tcPr>
            <w:tcW w:w="670" w:type="pct"/>
          </w:tcPr>
          <w:p w14:paraId="4C801BC4"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458</w:t>
            </w:r>
          </w:p>
        </w:tc>
        <w:tc>
          <w:tcPr>
            <w:tcW w:w="670" w:type="pct"/>
          </w:tcPr>
          <w:p w14:paraId="69B60CAF"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586</w:t>
            </w:r>
          </w:p>
        </w:tc>
      </w:tr>
      <w:tr w:rsidR="00AC6058" w14:paraId="60314F9C" w14:textId="77777777" w:rsidTr="00A74536">
        <w:tc>
          <w:tcPr>
            <w:cnfStyle w:val="001000000000" w:firstRow="0" w:lastRow="0" w:firstColumn="1" w:lastColumn="0" w:oddVBand="0" w:evenVBand="0" w:oddHBand="0" w:evenHBand="0" w:firstRowFirstColumn="0" w:firstRowLastColumn="0" w:lastRowFirstColumn="0" w:lastRowLastColumn="0"/>
            <w:tcW w:w="441" w:type="pct"/>
          </w:tcPr>
          <w:p w14:paraId="25F3A1BC" w14:textId="77777777" w:rsidR="00AC6058" w:rsidRDefault="00AC6058" w:rsidP="000708AF">
            <w:pPr>
              <w:pStyle w:val="Normal-table"/>
            </w:pPr>
          </w:p>
        </w:tc>
        <w:tc>
          <w:tcPr>
            <w:tcW w:w="548" w:type="pct"/>
          </w:tcPr>
          <w:p w14:paraId="0E906864"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 of TMR</w:t>
            </w:r>
          </w:p>
        </w:tc>
        <w:tc>
          <w:tcPr>
            <w:tcW w:w="485" w:type="pct"/>
          </w:tcPr>
          <w:p w14:paraId="5501758E"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54%</w:t>
            </w:r>
          </w:p>
        </w:tc>
        <w:tc>
          <w:tcPr>
            <w:tcW w:w="557" w:type="pct"/>
          </w:tcPr>
          <w:p w14:paraId="3407AF63"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37%</w:t>
            </w:r>
          </w:p>
        </w:tc>
        <w:tc>
          <w:tcPr>
            <w:tcW w:w="554" w:type="pct"/>
          </w:tcPr>
          <w:p w14:paraId="25E04AE6"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2%</w:t>
            </w:r>
          </w:p>
        </w:tc>
        <w:tc>
          <w:tcPr>
            <w:tcW w:w="551" w:type="pct"/>
          </w:tcPr>
          <w:p w14:paraId="28A61C8B"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0.2%</w:t>
            </w:r>
          </w:p>
        </w:tc>
        <w:tc>
          <w:tcPr>
            <w:tcW w:w="522" w:type="pct"/>
          </w:tcPr>
          <w:p w14:paraId="07A1C2D0"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5%</w:t>
            </w:r>
          </w:p>
        </w:tc>
        <w:tc>
          <w:tcPr>
            <w:tcW w:w="670" w:type="pct"/>
          </w:tcPr>
          <w:p w14:paraId="63BB4F85"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4%</w:t>
            </w:r>
          </w:p>
        </w:tc>
        <w:tc>
          <w:tcPr>
            <w:tcW w:w="670" w:type="pct"/>
          </w:tcPr>
          <w:p w14:paraId="23E696BB"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5%</w:t>
            </w:r>
          </w:p>
        </w:tc>
      </w:tr>
      <w:tr w:rsidR="00AC6058" w14:paraId="045982B4" w14:textId="77777777" w:rsidTr="00A7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pct"/>
          </w:tcPr>
          <w:p w14:paraId="5EC7FF0B" w14:textId="77777777" w:rsidR="00AC6058" w:rsidRDefault="00AC6058" w:rsidP="000708AF">
            <w:pPr>
              <w:pStyle w:val="Normal-table"/>
            </w:pPr>
            <w:r>
              <w:t>2021–22</w:t>
            </w:r>
          </w:p>
        </w:tc>
        <w:tc>
          <w:tcPr>
            <w:tcW w:w="548" w:type="pct"/>
          </w:tcPr>
          <w:p w14:paraId="39902E00"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Headcount</w:t>
            </w:r>
          </w:p>
        </w:tc>
        <w:tc>
          <w:tcPr>
            <w:tcW w:w="485" w:type="pct"/>
          </w:tcPr>
          <w:p w14:paraId="6B418A24"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4982</w:t>
            </w:r>
          </w:p>
        </w:tc>
        <w:tc>
          <w:tcPr>
            <w:tcW w:w="557" w:type="pct"/>
          </w:tcPr>
          <w:p w14:paraId="4C5D869B"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131</w:t>
            </w:r>
          </w:p>
        </w:tc>
        <w:tc>
          <w:tcPr>
            <w:tcW w:w="554" w:type="pct"/>
          </w:tcPr>
          <w:p w14:paraId="3B01C824"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153</w:t>
            </w:r>
          </w:p>
        </w:tc>
        <w:tc>
          <w:tcPr>
            <w:tcW w:w="551" w:type="pct"/>
          </w:tcPr>
          <w:p w14:paraId="4E67F321"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6</w:t>
            </w:r>
          </w:p>
        </w:tc>
        <w:tc>
          <w:tcPr>
            <w:tcW w:w="522" w:type="pct"/>
          </w:tcPr>
          <w:p w14:paraId="04E721F7"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416</w:t>
            </w:r>
          </w:p>
        </w:tc>
        <w:tc>
          <w:tcPr>
            <w:tcW w:w="670" w:type="pct"/>
          </w:tcPr>
          <w:p w14:paraId="320EC691"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213</w:t>
            </w:r>
          </w:p>
        </w:tc>
        <w:tc>
          <w:tcPr>
            <w:tcW w:w="670" w:type="pct"/>
          </w:tcPr>
          <w:p w14:paraId="7BE4673D"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251</w:t>
            </w:r>
          </w:p>
        </w:tc>
      </w:tr>
      <w:tr w:rsidR="00AC6058" w14:paraId="3F9D8FBE" w14:textId="77777777" w:rsidTr="00A74536">
        <w:tc>
          <w:tcPr>
            <w:cnfStyle w:val="001000000000" w:firstRow="0" w:lastRow="0" w:firstColumn="1" w:lastColumn="0" w:oddVBand="0" w:evenVBand="0" w:oddHBand="0" w:evenHBand="0" w:firstRowFirstColumn="0" w:firstRowLastColumn="0" w:lastRowFirstColumn="0" w:lastRowLastColumn="0"/>
            <w:tcW w:w="441" w:type="pct"/>
          </w:tcPr>
          <w:p w14:paraId="78F7EA76" w14:textId="77777777" w:rsidR="00AC6058" w:rsidRDefault="00AC6058" w:rsidP="000708AF">
            <w:pPr>
              <w:pStyle w:val="Normal-table"/>
            </w:pPr>
          </w:p>
        </w:tc>
        <w:tc>
          <w:tcPr>
            <w:tcW w:w="548" w:type="pct"/>
          </w:tcPr>
          <w:p w14:paraId="59EA9E1D"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 of TMR</w:t>
            </w:r>
          </w:p>
        </w:tc>
        <w:tc>
          <w:tcPr>
            <w:tcW w:w="485" w:type="pct"/>
          </w:tcPr>
          <w:p w14:paraId="18C09215"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53%</w:t>
            </w:r>
          </w:p>
        </w:tc>
        <w:tc>
          <w:tcPr>
            <w:tcW w:w="557" w:type="pct"/>
          </w:tcPr>
          <w:p w14:paraId="2EB0F769"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36%</w:t>
            </w:r>
          </w:p>
        </w:tc>
        <w:tc>
          <w:tcPr>
            <w:tcW w:w="554" w:type="pct"/>
          </w:tcPr>
          <w:p w14:paraId="5610516F"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2%</w:t>
            </w:r>
          </w:p>
        </w:tc>
        <w:tc>
          <w:tcPr>
            <w:tcW w:w="551" w:type="pct"/>
          </w:tcPr>
          <w:p w14:paraId="4B10E471"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0.1%</w:t>
            </w:r>
          </w:p>
        </w:tc>
        <w:tc>
          <w:tcPr>
            <w:tcW w:w="522" w:type="pct"/>
          </w:tcPr>
          <w:p w14:paraId="6218AA13"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4%</w:t>
            </w:r>
          </w:p>
        </w:tc>
        <w:tc>
          <w:tcPr>
            <w:tcW w:w="670" w:type="pct"/>
          </w:tcPr>
          <w:p w14:paraId="674191BD"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2%</w:t>
            </w:r>
          </w:p>
        </w:tc>
        <w:tc>
          <w:tcPr>
            <w:tcW w:w="670" w:type="pct"/>
          </w:tcPr>
          <w:p w14:paraId="5980DCA5"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3%</w:t>
            </w:r>
          </w:p>
        </w:tc>
      </w:tr>
      <w:tr w:rsidR="00AC6058" w14:paraId="69009A2C" w14:textId="77777777" w:rsidTr="00A7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pct"/>
          </w:tcPr>
          <w:p w14:paraId="1AA031C9" w14:textId="77777777" w:rsidR="00AC6058" w:rsidRDefault="00AC6058" w:rsidP="000708AF">
            <w:pPr>
              <w:pStyle w:val="Normal-table"/>
            </w:pPr>
            <w:r>
              <w:t>2020–21</w:t>
            </w:r>
          </w:p>
        </w:tc>
        <w:tc>
          <w:tcPr>
            <w:tcW w:w="548" w:type="pct"/>
          </w:tcPr>
          <w:p w14:paraId="0EA2A39F"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Headcount</w:t>
            </w:r>
          </w:p>
        </w:tc>
        <w:tc>
          <w:tcPr>
            <w:tcW w:w="485" w:type="pct"/>
          </w:tcPr>
          <w:p w14:paraId="106BB5B3"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5018</w:t>
            </w:r>
          </w:p>
        </w:tc>
        <w:tc>
          <w:tcPr>
            <w:tcW w:w="557" w:type="pct"/>
          </w:tcPr>
          <w:p w14:paraId="0F264A94"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116</w:t>
            </w:r>
          </w:p>
        </w:tc>
        <w:tc>
          <w:tcPr>
            <w:tcW w:w="554" w:type="pct"/>
          </w:tcPr>
          <w:p w14:paraId="4B07CC3B"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146</w:t>
            </w:r>
          </w:p>
        </w:tc>
        <w:tc>
          <w:tcPr>
            <w:tcW w:w="551" w:type="pct"/>
          </w:tcPr>
          <w:p w14:paraId="0532E3AE"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p>
        </w:tc>
        <w:tc>
          <w:tcPr>
            <w:tcW w:w="522" w:type="pct"/>
          </w:tcPr>
          <w:p w14:paraId="0C554170"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440</w:t>
            </w:r>
          </w:p>
        </w:tc>
        <w:tc>
          <w:tcPr>
            <w:tcW w:w="670" w:type="pct"/>
          </w:tcPr>
          <w:p w14:paraId="3DBC1425"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p>
        </w:tc>
        <w:tc>
          <w:tcPr>
            <w:tcW w:w="670" w:type="pct"/>
          </w:tcPr>
          <w:p w14:paraId="735D9A97"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698</w:t>
            </w:r>
          </w:p>
        </w:tc>
      </w:tr>
      <w:tr w:rsidR="00AC6058" w14:paraId="456AE36A" w14:textId="77777777" w:rsidTr="00A74536">
        <w:tc>
          <w:tcPr>
            <w:cnfStyle w:val="001000000000" w:firstRow="0" w:lastRow="0" w:firstColumn="1" w:lastColumn="0" w:oddVBand="0" w:evenVBand="0" w:oddHBand="0" w:evenHBand="0" w:firstRowFirstColumn="0" w:firstRowLastColumn="0" w:lastRowFirstColumn="0" w:lastRowLastColumn="0"/>
            <w:tcW w:w="441" w:type="pct"/>
          </w:tcPr>
          <w:p w14:paraId="57278BFC" w14:textId="77777777" w:rsidR="00AC6058" w:rsidRDefault="00AC6058" w:rsidP="000708AF">
            <w:pPr>
              <w:pStyle w:val="Normal-table"/>
            </w:pPr>
          </w:p>
        </w:tc>
        <w:tc>
          <w:tcPr>
            <w:tcW w:w="548" w:type="pct"/>
          </w:tcPr>
          <w:p w14:paraId="23322202"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 of TMR</w:t>
            </w:r>
          </w:p>
        </w:tc>
        <w:tc>
          <w:tcPr>
            <w:tcW w:w="485" w:type="pct"/>
          </w:tcPr>
          <w:p w14:paraId="554F69F0"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53%</w:t>
            </w:r>
          </w:p>
        </w:tc>
        <w:tc>
          <w:tcPr>
            <w:tcW w:w="557" w:type="pct"/>
          </w:tcPr>
          <w:p w14:paraId="629FF367"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34%</w:t>
            </w:r>
          </w:p>
        </w:tc>
        <w:tc>
          <w:tcPr>
            <w:tcW w:w="554" w:type="pct"/>
          </w:tcPr>
          <w:p w14:paraId="2D49A0BE"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2%</w:t>
            </w:r>
          </w:p>
        </w:tc>
        <w:tc>
          <w:tcPr>
            <w:tcW w:w="551" w:type="pct"/>
          </w:tcPr>
          <w:p w14:paraId="7CA86931"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p>
        </w:tc>
        <w:tc>
          <w:tcPr>
            <w:tcW w:w="522" w:type="pct"/>
          </w:tcPr>
          <w:p w14:paraId="63D88AA3"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5%</w:t>
            </w:r>
          </w:p>
        </w:tc>
        <w:tc>
          <w:tcPr>
            <w:tcW w:w="670" w:type="pct"/>
          </w:tcPr>
          <w:p w14:paraId="054B8994"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p>
        </w:tc>
        <w:tc>
          <w:tcPr>
            <w:tcW w:w="670" w:type="pct"/>
          </w:tcPr>
          <w:p w14:paraId="3DE997A1"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7%</w:t>
            </w:r>
          </w:p>
        </w:tc>
      </w:tr>
      <w:tr w:rsidR="00AC6058" w14:paraId="3D88E398" w14:textId="77777777" w:rsidTr="00A7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pct"/>
          </w:tcPr>
          <w:p w14:paraId="30A330E0" w14:textId="77777777" w:rsidR="00AC6058" w:rsidRDefault="00AC6058" w:rsidP="000708AF">
            <w:pPr>
              <w:pStyle w:val="Normal-table"/>
            </w:pPr>
            <w:r>
              <w:t>2019–20</w:t>
            </w:r>
          </w:p>
        </w:tc>
        <w:tc>
          <w:tcPr>
            <w:tcW w:w="548" w:type="pct"/>
          </w:tcPr>
          <w:p w14:paraId="7F96D345"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Headcount</w:t>
            </w:r>
          </w:p>
        </w:tc>
        <w:tc>
          <w:tcPr>
            <w:tcW w:w="485" w:type="pct"/>
          </w:tcPr>
          <w:p w14:paraId="5833EC5C"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4993</w:t>
            </w:r>
          </w:p>
        </w:tc>
        <w:tc>
          <w:tcPr>
            <w:tcW w:w="557" w:type="pct"/>
          </w:tcPr>
          <w:p w14:paraId="5AFF6DA5"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106</w:t>
            </w:r>
          </w:p>
        </w:tc>
        <w:tc>
          <w:tcPr>
            <w:tcW w:w="554" w:type="pct"/>
          </w:tcPr>
          <w:p w14:paraId="141E462F"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131</w:t>
            </w:r>
          </w:p>
        </w:tc>
        <w:tc>
          <w:tcPr>
            <w:tcW w:w="551" w:type="pct"/>
          </w:tcPr>
          <w:p w14:paraId="68773A7C"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p>
        </w:tc>
        <w:tc>
          <w:tcPr>
            <w:tcW w:w="522" w:type="pct"/>
          </w:tcPr>
          <w:p w14:paraId="410B96D7"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470</w:t>
            </w:r>
          </w:p>
        </w:tc>
        <w:tc>
          <w:tcPr>
            <w:tcW w:w="670" w:type="pct"/>
          </w:tcPr>
          <w:p w14:paraId="74A6903E"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p>
        </w:tc>
        <w:tc>
          <w:tcPr>
            <w:tcW w:w="670" w:type="pct"/>
          </w:tcPr>
          <w:p w14:paraId="34F88812"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674</w:t>
            </w:r>
          </w:p>
        </w:tc>
      </w:tr>
      <w:tr w:rsidR="00AC6058" w14:paraId="4AB366FC" w14:textId="77777777" w:rsidTr="00A74536">
        <w:tc>
          <w:tcPr>
            <w:cnfStyle w:val="001000000000" w:firstRow="0" w:lastRow="0" w:firstColumn="1" w:lastColumn="0" w:oddVBand="0" w:evenVBand="0" w:oddHBand="0" w:evenHBand="0" w:firstRowFirstColumn="0" w:firstRowLastColumn="0" w:lastRowFirstColumn="0" w:lastRowLastColumn="0"/>
            <w:tcW w:w="441" w:type="pct"/>
          </w:tcPr>
          <w:p w14:paraId="47901BE1" w14:textId="77777777" w:rsidR="00AC6058" w:rsidRDefault="00AC6058" w:rsidP="000708AF">
            <w:pPr>
              <w:pStyle w:val="Normal-table"/>
            </w:pPr>
          </w:p>
        </w:tc>
        <w:tc>
          <w:tcPr>
            <w:tcW w:w="548" w:type="pct"/>
          </w:tcPr>
          <w:p w14:paraId="7E8A6286"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 of TMR</w:t>
            </w:r>
          </w:p>
        </w:tc>
        <w:tc>
          <w:tcPr>
            <w:tcW w:w="485" w:type="pct"/>
          </w:tcPr>
          <w:p w14:paraId="1DF29C14"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53%</w:t>
            </w:r>
          </w:p>
        </w:tc>
        <w:tc>
          <w:tcPr>
            <w:tcW w:w="557" w:type="pct"/>
          </w:tcPr>
          <w:p w14:paraId="7F5A663B"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34%</w:t>
            </w:r>
          </w:p>
        </w:tc>
        <w:tc>
          <w:tcPr>
            <w:tcW w:w="554" w:type="pct"/>
          </w:tcPr>
          <w:p w14:paraId="4A10E3C3"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2%</w:t>
            </w:r>
          </w:p>
        </w:tc>
        <w:tc>
          <w:tcPr>
            <w:tcW w:w="551" w:type="pct"/>
          </w:tcPr>
          <w:p w14:paraId="04FE9346"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p>
        </w:tc>
        <w:tc>
          <w:tcPr>
            <w:tcW w:w="522" w:type="pct"/>
          </w:tcPr>
          <w:p w14:paraId="35649954"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5%</w:t>
            </w:r>
          </w:p>
        </w:tc>
        <w:tc>
          <w:tcPr>
            <w:tcW w:w="670" w:type="pct"/>
          </w:tcPr>
          <w:p w14:paraId="6F5B0E7E"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p>
        </w:tc>
        <w:tc>
          <w:tcPr>
            <w:tcW w:w="670" w:type="pct"/>
          </w:tcPr>
          <w:p w14:paraId="1347F5F5"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7%</w:t>
            </w:r>
          </w:p>
        </w:tc>
      </w:tr>
      <w:tr w:rsidR="00AC6058" w14:paraId="6A80F3A7" w14:textId="77777777" w:rsidTr="00A7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pct"/>
          </w:tcPr>
          <w:p w14:paraId="5F82A71D" w14:textId="77777777" w:rsidR="00AC6058" w:rsidRDefault="00AC6058" w:rsidP="000708AF">
            <w:pPr>
              <w:pStyle w:val="Normal-table"/>
            </w:pPr>
            <w:r>
              <w:t>2018–19</w:t>
            </w:r>
          </w:p>
        </w:tc>
        <w:tc>
          <w:tcPr>
            <w:tcW w:w="548" w:type="pct"/>
          </w:tcPr>
          <w:p w14:paraId="3251EE02"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Headcount</w:t>
            </w:r>
          </w:p>
        </w:tc>
        <w:tc>
          <w:tcPr>
            <w:tcW w:w="485" w:type="pct"/>
          </w:tcPr>
          <w:p w14:paraId="0C24A0D7"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4892</w:t>
            </w:r>
          </w:p>
        </w:tc>
        <w:tc>
          <w:tcPr>
            <w:tcW w:w="557" w:type="pct"/>
          </w:tcPr>
          <w:p w14:paraId="743B10F9"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97</w:t>
            </w:r>
          </w:p>
        </w:tc>
        <w:tc>
          <w:tcPr>
            <w:tcW w:w="554" w:type="pct"/>
          </w:tcPr>
          <w:p w14:paraId="19071B7E"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132</w:t>
            </w:r>
          </w:p>
        </w:tc>
        <w:tc>
          <w:tcPr>
            <w:tcW w:w="551" w:type="pct"/>
          </w:tcPr>
          <w:p w14:paraId="40B66E24"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p>
        </w:tc>
        <w:tc>
          <w:tcPr>
            <w:tcW w:w="522" w:type="pct"/>
          </w:tcPr>
          <w:p w14:paraId="31AC2BDA"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480</w:t>
            </w:r>
          </w:p>
        </w:tc>
        <w:tc>
          <w:tcPr>
            <w:tcW w:w="670" w:type="pct"/>
          </w:tcPr>
          <w:p w14:paraId="351B1CB1"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p>
        </w:tc>
        <w:tc>
          <w:tcPr>
            <w:tcW w:w="670" w:type="pct"/>
          </w:tcPr>
          <w:p w14:paraId="6C288B9D"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600</w:t>
            </w:r>
          </w:p>
        </w:tc>
      </w:tr>
      <w:tr w:rsidR="00AC6058" w14:paraId="24BC3378" w14:textId="77777777" w:rsidTr="00A74536">
        <w:tc>
          <w:tcPr>
            <w:cnfStyle w:val="001000000000" w:firstRow="0" w:lastRow="0" w:firstColumn="1" w:lastColumn="0" w:oddVBand="0" w:evenVBand="0" w:oddHBand="0" w:evenHBand="0" w:firstRowFirstColumn="0" w:firstRowLastColumn="0" w:lastRowFirstColumn="0" w:lastRowLastColumn="0"/>
            <w:tcW w:w="441" w:type="pct"/>
          </w:tcPr>
          <w:p w14:paraId="701043FA" w14:textId="77777777" w:rsidR="00AC6058" w:rsidRDefault="00AC6058" w:rsidP="000708AF">
            <w:pPr>
              <w:pStyle w:val="Normal-table"/>
            </w:pPr>
          </w:p>
        </w:tc>
        <w:tc>
          <w:tcPr>
            <w:tcW w:w="548" w:type="pct"/>
          </w:tcPr>
          <w:p w14:paraId="3B0CC6C1"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 of TMR</w:t>
            </w:r>
          </w:p>
        </w:tc>
        <w:tc>
          <w:tcPr>
            <w:tcW w:w="485" w:type="pct"/>
          </w:tcPr>
          <w:p w14:paraId="7431BA8B"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53%</w:t>
            </w:r>
          </w:p>
        </w:tc>
        <w:tc>
          <w:tcPr>
            <w:tcW w:w="557" w:type="pct"/>
          </w:tcPr>
          <w:p w14:paraId="32CE5DEF"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30%</w:t>
            </w:r>
          </w:p>
        </w:tc>
        <w:tc>
          <w:tcPr>
            <w:tcW w:w="554" w:type="pct"/>
          </w:tcPr>
          <w:p w14:paraId="31F661FB"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1%</w:t>
            </w:r>
          </w:p>
        </w:tc>
        <w:tc>
          <w:tcPr>
            <w:tcW w:w="551" w:type="pct"/>
          </w:tcPr>
          <w:p w14:paraId="5419B0F3"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p>
        </w:tc>
        <w:tc>
          <w:tcPr>
            <w:tcW w:w="522" w:type="pct"/>
          </w:tcPr>
          <w:p w14:paraId="78A64127"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5%</w:t>
            </w:r>
          </w:p>
        </w:tc>
        <w:tc>
          <w:tcPr>
            <w:tcW w:w="670" w:type="pct"/>
          </w:tcPr>
          <w:p w14:paraId="1D1E5E12"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p>
        </w:tc>
        <w:tc>
          <w:tcPr>
            <w:tcW w:w="670" w:type="pct"/>
          </w:tcPr>
          <w:p w14:paraId="310B9768"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7%</w:t>
            </w:r>
          </w:p>
        </w:tc>
      </w:tr>
      <w:tr w:rsidR="00AC6058" w14:paraId="55C13B86" w14:textId="77777777" w:rsidTr="00A7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pct"/>
          </w:tcPr>
          <w:p w14:paraId="630F4F65" w14:textId="77777777" w:rsidR="00AC6058" w:rsidRDefault="00AC6058" w:rsidP="000708AF">
            <w:pPr>
              <w:pStyle w:val="Normal-table"/>
            </w:pPr>
            <w:r>
              <w:t>2017–18</w:t>
            </w:r>
          </w:p>
        </w:tc>
        <w:tc>
          <w:tcPr>
            <w:tcW w:w="548" w:type="pct"/>
          </w:tcPr>
          <w:p w14:paraId="5D65B67F"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Headcount</w:t>
            </w:r>
          </w:p>
        </w:tc>
        <w:tc>
          <w:tcPr>
            <w:tcW w:w="485" w:type="pct"/>
          </w:tcPr>
          <w:p w14:paraId="22171A0E"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4885</w:t>
            </w:r>
          </w:p>
        </w:tc>
        <w:tc>
          <w:tcPr>
            <w:tcW w:w="557" w:type="pct"/>
          </w:tcPr>
          <w:p w14:paraId="6B4F3E7C"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104</w:t>
            </w:r>
          </w:p>
        </w:tc>
        <w:tc>
          <w:tcPr>
            <w:tcW w:w="554" w:type="pct"/>
          </w:tcPr>
          <w:p w14:paraId="5A1D0C1D"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122</w:t>
            </w:r>
          </w:p>
        </w:tc>
        <w:tc>
          <w:tcPr>
            <w:tcW w:w="551" w:type="pct"/>
          </w:tcPr>
          <w:p w14:paraId="2766921F"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p>
        </w:tc>
        <w:tc>
          <w:tcPr>
            <w:tcW w:w="522" w:type="pct"/>
          </w:tcPr>
          <w:p w14:paraId="25008415"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543</w:t>
            </w:r>
          </w:p>
        </w:tc>
        <w:tc>
          <w:tcPr>
            <w:tcW w:w="670" w:type="pct"/>
          </w:tcPr>
          <w:p w14:paraId="1FD7E4C9"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p>
        </w:tc>
        <w:tc>
          <w:tcPr>
            <w:tcW w:w="670" w:type="pct"/>
          </w:tcPr>
          <w:p w14:paraId="3870AD9D"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596</w:t>
            </w:r>
          </w:p>
        </w:tc>
      </w:tr>
      <w:tr w:rsidR="00AC6058" w14:paraId="2A198096" w14:textId="77777777" w:rsidTr="00A74536">
        <w:tc>
          <w:tcPr>
            <w:cnfStyle w:val="001000000000" w:firstRow="0" w:lastRow="0" w:firstColumn="1" w:lastColumn="0" w:oddVBand="0" w:evenVBand="0" w:oddHBand="0" w:evenHBand="0" w:firstRowFirstColumn="0" w:firstRowLastColumn="0" w:lastRowFirstColumn="0" w:lastRowLastColumn="0"/>
            <w:tcW w:w="441" w:type="pct"/>
          </w:tcPr>
          <w:p w14:paraId="71155533" w14:textId="77777777" w:rsidR="00AC6058" w:rsidRDefault="00AC6058" w:rsidP="000708AF">
            <w:pPr>
              <w:pStyle w:val="Normal-table"/>
            </w:pPr>
          </w:p>
        </w:tc>
        <w:tc>
          <w:tcPr>
            <w:tcW w:w="548" w:type="pct"/>
          </w:tcPr>
          <w:p w14:paraId="5A727758"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 of TMR</w:t>
            </w:r>
          </w:p>
        </w:tc>
        <w:tc>
          <w:tcPr>
            <w:tcW w:w="485" w:type="pct"/>
          </w:tcPr>
          <w:p w14:paraId="74594182"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53%</w:t>
            </w:r>
          </w:p>
        </w:tc>
        <w:tc>
          <w:tcPr>
            <w:tcW w:w="557" w:type="pct"/>
          </w:tcPr>
          <w:p w14:paraId="1F331090"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32%</w:t>
            </w:r>
          </w:p>
        </w:tc>
        <w:tc>
          <w:tcPr>
            <w:tcW w:w="554" w:type="pct"/>
          </w:tcPr>
          <w:p w14:paraId="050F335E"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1%</w:t>
            </w:r>
          </w:p>
        </w:tc>
        <w:tc>
          <w:tcPr>
            <w:tcW w:w="551" w:type="pct"/>
          </w:tcPr>
          <w:p w14:paraId="33324277"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p>
        </w:tc>
        <w:tc>
          <w:tcPr>
            <w:tcW w:w="522" w:type="pct"/>
          </w:tcPr>
          <w:p w14:paraId="2A2C943E"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6%</w:t>
            </w:r>
          </w:p>
        </w:tc>
        <w:tc>
          <w:tcPr>
            <w:tcW w:w="670" w:type="pct"/>
          </w:tcPr>
          <w:p w14:paraId="0B3FCD2B"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p>
        </w:tc>
        <w:tc>
          <w:tcPr>
            <w:tcW w:w="670" w:type="pct"/>
          </w:tcPr>
          <w:p w14:paraId="29AE9867"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6%</w:t>
            </w:r>
          </w:p>
        </w:tc>
      </w:tr>
      <w:tr w:rsidR="00AC6058" w14:paraId="69CDAB5E" w14:textId="77777777" w:rsidTr="00A7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pct"/>
          </w:tcPr>
          <w:p w14:paraId="2F66B3D0" w14:textId="77777777" w:rsidR="00AC6058" w:rsidRDefault="00AC6058" w:rsidP="000708AF">
            <w:pPr>
              <w:pStyle w:val="Normal-table"/>
            </w:pPr>
            <w:r>
              <w:t>2016–17</w:t>
            </w:r>
          </w:p>
        </w:tc>
        <w:tc>
          <w:tcPr>
            <w:tcW w:w="548" w:type="pct"/>
          </w:tcPr>
          <w:p w14:paraId="120D0AAE"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Headcount</w:t>
            </w:r>
          </w:p>
        </w:tc>
        <w:tc>
          <w:tcPr>
            <w:tcW w:w="485" w:type="pct"/>
          </w:tcPr>
          <w:p w14:paraId="195F8011"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4844</w:t>
            </w:r>
          </w:p>
        </w:tc>
        <w:tc>
          <w:tcPr>
            <w:tcW w:w="557" w:type="pct"/>
          </w:tcPr>
          <w:p w14:paraId="7FC0D142"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101</w:t>
            </w:r>
          </w:p>
        </w:tc>
        <w:tc>
          <w:tcPr>
            <w:tcW w:w="554" w:type="pct"/>
          </w:tcPr>
          <w:p w14:paraId="2328BCF3"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97</w:t>
            </w:r>
          </w:p>
        </w:tc>
        <w:tc>
          <w:tcPr>
            <w:tcW w:w="551" w:type="pct"/>
          </w:tcPr>
          <w:p w14:paraId="6CE58660"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p>
        </w:tc>
        <w:tc>
          <w:tcPr>
            <w:tcW w:w="522" w:type="pct"/>
          </w:tcPr>
          <w:p w14:paraId="3C60F162"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663</w:t>
            </w:r>
          </w:p>
        </w:tc>
        <w:tc>
          <w:tcPr>
            <w:tcW w:w="670" w:type="pct"/>
          </w:tcPr>
          <w:p w14:paraId="6E1914A4"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p>
        </w:tc>
        <w:tc>
          <w:tcPr>
            <w:tcW w:w="670" w:type="pct"/>
          </w:tcPr>
          <w:p w14:paraId="5339C1D3"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524</w:t>
            </w:r>
          </w:p>
        </w:tc>
      </w:tr>
      <w:tr w:rsidR="00AC6058" w14:paraId="774319C4" w14:textId="77777777" w:rsidTr="00A74536">
        <w:tc>
          <w:tcPr>
            <w:cnfStyle w:val="001000000000" w:firstRow="0" w:lastRow="0" w:firstColumn="1" w:lastColumn="0" w:oddVBand="0" w:evenVBand="0" w:oddHBand="0" w:evenHBand="0" w:firstRowFirstColumn="0" w:firstRowLastColumn="0" w:lastRowFirstColumn="0" w:lastRowLastColumn="0"/>
            <w:tcW w:w="441" w:type="pct"/>
          </w:tcPr>
          <w:p w14:paraId="12342EAF" w14:textId="77777777" w:rsidR="00AC6058" w:rsidRDefault="00AC6058" w:rsidP="000708AF">
            <w:pPr>
              <w:pStyle w:val="Normal-table"/>
            </w:pPr>
          </w:p>
        </w:tc>
        <w:tc>
          <w:tcPr>
            <w:tcW w:w="548" w:type="pct"/>
          </w:tcPr>
          <w:p w14:paraId="76EFBAE0"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 of TMR</w:t>
            </w:r>
          </w:p>
        </w:tc>
        <w:tc>
          <w:tcPr>
            <w:tcW w:w="485" w:type="pct"/>
          </w:tcPr>
          <w:p w14:paraId="65E11244"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53%</w:t>
            </w:r>
          </w:p>
        </w:tc>
        <w:tc>
          <w:tcPr>
            <w:tcW w:w="557" w:type="pct"/>
          </w:tcPr>
          <w:p w14:paraId="0686B451"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30%</w:t>
            </w:r>
          </w:p>
        </w:tc>
        <w:tc>
          <w:tcPr>
            <w:tcW w:w="554" w:type="pct"/>
          </w:tcPr>
          <w:p w14:paraId="78C03355"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1%</w:t>
            </w:r>
          </w:p>
        </w:tc>
        <w:tc>
          <w:tcPr>
            <w:tcW w:w="551" w:type="pct"/>
          </w:tcPr>
          <w:p w14:paraId="007E2EA8"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p>
        </w:tc>
        <w:tc>
          <w:tcPr>
            <w:tcW w:w="522" w:type="pct"/>
          </w:tcPr>
          <w:p w14:paraId="03D0905E"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7%</w:t>
            </w:r>
          </w:p>
        </w:tc>
        <w:tc>
          <w:tcPr>
            <w:tcW w:w="670" w:type="pct"/>
          </w:tcPr>
          <w:p w14:paraId="733F1580"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p>
        </w:tc>
        <w:tc>
          <w:tcPr>
            <w:tcW w:w="670" w:type="pct"/>
          </w:tcPr>
          <w:p w14:paraId="5628D368"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6%</w:t>
            </w:r>
          </w:p>
        </w:tc>
      </w:tr>
      <w:tr w:rsidR="00AC6058" w14:paraId="5804CCF6" w14:textId="77777777" w:rsidTr="00A7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pct"/>
          </w:tcPr>
          <w:p w14:paraId="64405E00" w14:textId="77777777" w:rsidR="00AC6058" w:rsidRDefault="00AC6058" w:rsidP="000708AF">
            <w:pPr>
              <w:pStyle w:val="Normal-table"/>
            </w:pPr>
            <w:r>
              <w:t>2015–16</w:t>
            </w:r>
          </w:p>
        </w:tc>
        <w:tc>
          <w:tcPr>
            <w:tcW w:w="548" w:type="pct"/>
          </w:tcPr>
          <w:p w14:paraId="14631220"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Headcount</w:t>
            </w:r>
          </w:p>
        </w:tc>
        <w:tc>
          <w:tcPr>
            <w:tcW w:w="485" w:type="pct"/>
          </w:tcPr>
          <w:p w14:paraId="37BB0D39"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4703</w:t>
            </w:r>
          </w:p>
        </w:tc>
        <w:tc>
          <w:tcPr>
            <w:tcW w:w="557" w:type="pct"/>
          </w:tcPr>
          <w:p w14:paraId="1DF71502"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85</w:t>
            </w:r>
          </w:p>
        </w:tc>
        <w:tc>
          <w:tcPr>
            <w:tcW w:w="554" w:type="pct"/>
          </w:tcPr>
          <w:p w14:paraId="2AEDA447"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106</w:t>
            </w:r>
          </w:p>
        </w:tc>
        <w:tc>
          <w:tcPr>
            <w:tcW w:w="551" w:type="pct"/>
          </w:tcPr>
          <w:p w14:paraId="79C3F442"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p>
        </w:tc>
        <w:tc>
          <w:tcPr>
            <w:tcW w:w="522" w:type="pct"/>
          </w:tcPr>
          <w:p w14:paraId="6D7E7837"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718</w:t>
            </w:r>
          </w:p>
        </w:tc>
        <w:tc>
          <w:tcPr>
            <w:tcW w:w="670" w:type="pct"/>
          </w:tcPr>
          <w:p w14:paraId="27D6DA15"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p>
        </w:tc>
        <w:tc>
          <w:tcPr>
            <w:tcW w:w="670" w:type="pct"/>
          </w:tcPr>
          <w:p w14:paraId="78791418"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525</w:t>
            </w:r>
          </w:p>
        </w:tc>
      </w:tr>
      <w:tr w:rsidR="00AC6058" w14:paraId="1E747647" w14:textId="77777777" w:rsidTr="00A74536">
        <w:tc>
          <w:tcPr>
            <w:cnfStyle w:val="001000000000" w:firstRow="0" w:lastRow="0" w:firstColumn="1" w:lastColumn="0" w:oddVBand="0" w:evenVBand="0" w:oddHBand="0" w:evenHBand="0" w:firstRowFirstColumn="0" w:firstRowLastColumn="0" w:lastRowFirstColumn="0" w:lastRowLastColumn="0"/>
            <w:tcW w:w="441" w:type="pct"/>
          </w:tcPr>
          <w:p w14:paraId="4B37D71A" w14:textId="77777777" w:rsidR="00AC6058" w:rsidRDefault="00AC6058" w:rsidP="000708AF">
            <w:pPr>
              <w:pStyle w:val="Normal-table"/>
            </w:pPr>
          </w:p>
        </w:tc>
        <w:tc>
          <w:tcPr>
            <w:tcW w:w="548" w:type="pct"/>
          </w:tcPr>
          <w:p w14:paraId="3843E334"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 of TMR</w:t>
            </w:r>
          </w:p>
        </w:tc>
        <w:tc>
          <w:tcPr>
            <w:tcW w:w="485" w:type="pct"/>
          </w:tcPr>
          <w:p w14:paraId="1F7004CE"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53%</w:t>
            </w:r>
          </w:p>
        </w:tc>
        <w:tc>
          <w:tcPr>
            <w:tcW w:w="557" w:type="pct"/>
          </w:tcPr>
          <w:p w14:paraId="27750E2E"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27%</w:t>
            </w:r>
          </w:p>
        </w:tc>
        <w:tc>
          <w:tcPr>
            <w:tcW w:w="554" w:type="pct"/>
          </w:tcPr>
          <w:p w14:paraId="50ADCF28"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1%</w:t>
            </w:r>
          </w:p>
        </w:tc>
        <w:tc>
          <w:tcPr>
            <w:tcW w:w="551" w:type="pct"/>
          </w:tcPr>
          <w:p w14:paraId="36F10035"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p>
        </w:tc>
        <w:tc>
          <w:tcPr>
            <w:tcW w:w="522" w:type="pct"/>
          </w:tcPr>
          <w:p w14:paraId="56A1C074"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8%</w:t>
            </w:r>
          </w:p>
        </w:tc>
        <w:tc>
          <w:tcPr>
            <w:tcW w:w="670" w:type="pct"/>
          </w:tcPr>
          <w:p w14:paraId="1660FBC2"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p>
        </w:tc>
        <w:tc>
          <w:tcPr>
            <w:tcW w:w="670" w:type="pct"/>
          </w:tcPr>
          <w:p w14:paraId="21A6FE3F"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6%</w:t>
            </w:r>
          </w:p>
        </w:tc>
      </w:tr>
      <w:tr w:rsidR="00AC6058" w14:paraId="6DDAA02C" w14:textId="77777777" w:rsidTr="00A7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pct"/>
          </w:tcPr>
          <w:p w14:paraId="74EA4EE4" w14:textId="77777777" w:rsidR="00AC6058" w:rsidRDefault="00AC6058" w:rsidP="000708AF">
            <w:pPr>
              <w:pStyle w:val="Normal-table"/>
            </w:pPr>
            <w:r>
              <w:t>2014–15</w:t>
            </w:r>
          </w:p>
        </w:tc>
        <w:tc>
          <w:tcPr>
            <w:tcW w:w="548" w:type="pct"/>
          </w:tcPr>
          <w:p w14:paraId="5BE17D82"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Headcount</w:t>
            </w:r>
          </w:p>
        </w:tc>
        <w:tc>
          <w:tcPr>
            <w:tcW w:w="485" w:type="pct"/>
          </w:tcPr>
          <w:p w14:paraId="7498C7A7"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4639</w:t>
            </w:r>
          </w:p>
        </w:tc>
        <w:tc>
          <w:tcPr>
            <w:tcW w:w="557" w:type="pct"/>
          </w:tcPr>
          <w:p w14:paraId="2430534C"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78</w:t>
            </w:r>
          </w:p>
        </w:tc>
        <w:tc>
          <w:tcPr>
            <w:tcW w:w="554" w:type="pct"/>
          </w:tcPr>
          <w:p w14:paraId="6CF84760"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107</w:t>
            </w:r>
          </w:p>
        </w:tc>
        <w:tc>
          <w:tcPr>
            <w:tcW w:w="551" w:type="pct"/>
          </w:tcPr>
          <w:p w14:paraId="0BD713A2"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p>
        </w:tc>
        <w:tc>
          <w:tcPr>
            <w:tcW w:w="522" w:type="pct"/>
          </w:tcPr>
          <w:p w14:paraId="5518D4BD"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771</w:t>
            </w:r>
          </w:p>
        </w:tc>
        <w:tc>
          <w:tcPr>
            <w:tcW w:w="670" w:type="pct"/>
          </w:tcPr>
          <w:p w14:paraId="34A63AEA"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p>
        </w:tc>
        <w:tc>
          <w:tcPr>
            <w:tcW w:w="670" w:type="pct"/>
          </w:tcPr>
          <w:p w14:paraId="682EFE32"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535</w:t>
            </w:r>
          </w:p>
        </w:tc>
      </w:tr>
      <w:tr w:rsidR="00AC6058" w14:paraId="5BEB39F5" w14:textId="77777777" w:rsidTr="00A74536">
        <w:tc>
          <w:tcPr>
            <w:cnfStyle w:val="001000000000" w:firstRow="0" w:lastRow="0" w:firstColumn="1" w:lastColumn="0" w:oddVBand="0" w:evenVBand="0" w:oddHBand="0" w:evenHBand="0" w:firstRowFirstColumn="0" w:firstRowLastColumn="0" w:lastRowFirstColumn="0" w:lastRowLastColumn="0"/>
            <w:tcW w:w="441" w:type="pct"/>
          </w:tcPr>
          <w:p w14:paraId="773FBA48" w14:textId="77777777" w:rsidR="00AC6058" w:rsidRDefault="00AC6058" w:rsidP="000708AF">
            <w:pPr>
              <w:pStyle w:val="Normal-table"/>
            </w:pPr>
          </w:p>
        </w:tc>
        <w:tc>
          <w:tcPr>
            <w:tcW w:w="548" w:type="pct"/>
          </w:tcPr>
          <w:p w14:paraId="62DA5790"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 of TMR</w:t>
            </w:r>
          </w:p>
        </w:tc>
        <w:tc>
          <w:tcPr>
            <w:tcW w:w="485" w:type="pct"/>
          </w:tcPr>
          <w:p w14:paraId="6D5E0F71"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53%</w:t>
            </w:r>
          </w:p>
        </w:tc>
        <w:tc>
          <w:tcPr>
            <w:tcW w:w="557" w:type="pct"/>
          </w:tcPr>
          <w:p w14:paraId="4C8363FA"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27%</w:t>
            </w:r>
          </w:p>
        </w:tc>
        <w:tc>
          <w:tcPr>
            <w:tcW w:w="554" w:type="pct"/>
          </w:tcPr>
          <w:p w14:paraId="679F4675"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1%</w:t>
            </w:r>
          </w:p>
        </w:tc>
        <w:tc>
          <w:tcPr>
            <w:tcW w:w="551" w:type="pct"/>
          </w:tcPr>
          <w:p w14:paraId="645EF222"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p>
        </w:tc>
        <w:tc>
          <w:tcPr>
            <w:tcW w:w="522" w:type="pct"/>
          </w:tcPr>
          <w:p w14:paraId="297BF751"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9%</w:t>
            </w:r>
          </w:p>
        </w:tc>
        <w:tc>
          <w:tcPr>
            <w:tcW w:w="670" w:type="pct"/>
          </w:tcPr>
          <w:p w14:paraId="13CBA6A9"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p>
        </w:tc>
        <w:tc>
          <w:tcPr>
            <w:tcW w:w="670" w:type="pct"/>
          </w:tcPr>
          <w:p w14:paraId="06C558C5"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6%</w:t>
            </w:r>
          </w:p>
        </w:tc>
      </w:tr>
    </w:tbl>
    <w:p w14:paraId="488EC0CB" w14:textId="77777777" w:rsidR="00A74536" w:rsidRDefault="00A74536">
      <w:pPr>
        <w:spacing w:before="0" w:after="160" w:line="259" w:lineRule="auto"/>
        <w:rPr>
          <w:b/>
        </w:rPr>
      </w:pPr>
      <w:r>
        <w:br w:type="page"/>
      </w:r>
    </w:p>
    <w:p w14:paraId="6A1B5547" w14:textId="17704188" w:rsidR="00AC6058" w:rsidRDefault="00AC6058" w:rsidP="00AC6058">
      <w:pPr>
        <w:pStyle w:val="TableofFigures"/>
      </w:pPr>
      <w:r>
        <w:lastRenderedPageBreak/>
        <w:t xml:space="preserve">Table 12: Target group data equal employment opportunities (EE) 16 June 2023 1: Gender </w:t>
      </w:r>
    </w:p>
    <w:tbl>
      <w:tblPr>
        <w:tblStyle w:val="GridTable4-Accent1"/>
        <w:tblW w:w="5000" w:type="pct"/>
        <w:tblLook w:val="04A0" w:firstRow="1" w:lastRow="0" w:firstColumn="1" w:lastColumn="0" w:noHBand="0" w:noVBand="1"/>
      </w:tblPr>
      <w:tblGrid>
        <w:gridCol w:w="2036"/>
        <w:gridCol w:w="2049"/>
        <w:gridCol w:w="2031"/>
        <w:gridCol w:w="2041"/>
        <w:gridCol w:w="2037"/>
      </w:tblGrid>
      <w:tr w:rsidR="00AC6058" w14:paraId="2526FA29" w14:textId="77777777" w:rsidTr="00A74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8" w:type="pct"/>
          </w:tcPr>
          <w:p w14:paraId="35A36680" w14:textId="77777777" w:rsidR="00AC6058" w:rsidRDefault="00AC6058" w:rsidP="000708AF">
            <w:pPr>
              <w:pStyle w:val="Normal-table"/>
            </w:pPr>
          </w:p>
        </w:tc>
        <w:tc>
          <w:tcPr>
            <w:tcW w:w="1005" w:type="pct"/>
          </w:tcPr>
          <w:p w14:paraId="58A010F1" w14:textId="77777777" w:rsidR="00AC6058" w:rsidRDefault="00AC6058" w:rsidP="000708AF">
            <w:pPr>
              <w:pStyle w:val="Normal-table"/>
              <w:cnfStyle w:val="100000000000" w:firstRow="1" w:lastRow="0" w:firstColumn="0" w:lastColumn="0" w:oddVBand="0" w:evenVBand="0" w:oddHBand="0" w:evenHBand="0" w:firstRowFirstColumn="0" w:firstRowLastColumn="0" w:lastRowFirstColumn="0" w:lastRowLastColumn="0"/>
            </w:pPr>
          </w:p>
        </w:tc>
        <w:tc>
          <w:tcPr>
            <w:tcW w:w="996" w:type="pct"/>
          </w:tcPr>
          <w:p w14:paraId="0FB6E298" w14:textId="77777777" w:rsidR="00AC6058" w:rsidRDefault="00AC6058" w:rsidP="000708AF">
            <w:pPr>
              <w:pStyle w:val="Normal-table"/>
              <w:cnfStyle w:val="100000000000" w:firstRow="1" w:lastRow="0" w:firstColumn="0" w:lastColumn="0" w:oddVBand="0" w:evenVBand="0" w:oddHBand="0" w:evenHBand="0" w:firstRowFirstColumn="0" w:firstRowLastColumn="0" w:lastRowFirstColumn="0" w:lastRowLastColumn="0"/>
            </w:pPr>
            <w:r>
              <w:t xml:space="preserve">Man </w:t>
            </w:r>
          </w:p>
        </w:tc>
        <w:tc>
          <w:tcPr>
            <w:tcW w:w="1001" w:type="pct"/>
          </w:tcPr>
          <w:p w14:paraId="761F8A0D" w14:textId="77777777" w:rsidR="00AC6058" w:rsidRDefault="00AC6058" w:rsidP="000708AF">
            <w:pPr>
              <w:pStyle w:val="Normal-table"/>
              <w:cnfStyle w:val="100000000000" w:firstRow="1" w:lastRow="0" w:firstColumn="0" w:lastColumn="0" w:oddVBand="0" w:evenVBand="0" w:oddHBand="0" w:evenHBand="0" w:firstRowFirstColumn="0" w:firstRowLastColumn="0" w:lastRowFirstColumn="0" w:lastRowLastColumn="0"/>
            </w:pPr>
            <w:r>
              <w:t>Woman</w:t>
            </w:r>
          </w:p>
        </w:tc>
        <w:tc>
          <w:tcPr>
            <w:tcW w:w="999" w:type="pct"/>
          </w:tcPr>
          <w:p w14:paraId="330014B4" w14:textId="77777777" w:rsidR="00AC6058" w:rsidRDefault="00AC6058" w:rsidP="000708AF">
            <w:pPr>
              <w:pStyle w:val="Normal-table"/>
              <w:cnfStyle w:val="100000000000" w:firstRow="1" w:lastRow="0" w:firstColumn="0" w:lastColumn="0" w:oddVBand="0" w:evenVBand="0" w:oddHBand="0" w:evenHBand="0" w:firstRowFirstColumn="0" w:firstRowLastColumn="0" w:lastRowFirstColumn="0" w:lastRowLastColumn="0"/>
            </w:pPr>
            <w:r>
              <w:t>Non-binary</w:t>
            </w:r>
          </w:p>
        </w:tc>
      </w:tr>
      <w:tr w:rsidR="00AC6058" w14:paraId="19B80115" w14:textId="77777777" w:rsidTr="00A7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 w:type="pct"/>
          </w:tcPr>
          <w:p w14:paraId="6357B648" w14:textId="77777777" w:rsidR="00AC6058" w:rsidRDefault="00AC6058" w:rsidP="000708AF">
            <w:pPr>
              <w:pStyle w:val="Normal-table"/>
            </w:pPr>
            <w:r>
              <w:t>2022–23</w:t>
            </w:r>
          </w:p>
        </w:tc>
        <w:tc>
          <w:tcPr>
            <w:tcW w:w="1005" w:type="pct"/>
          </w:tcPr>
          <w:p w14:paraId="36F8DB9F"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Headcount</w:t>
            </w:r>
          </w:p>
        </w:tc>
        <w:tc>
          <w:tcPr>
            <w:tcW w:w="996" w:type="pct"/>
          </w:tcPr>
          <w:p w14:paraId="040E3915"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5318</w:t>
            </w:r>
          </w:p>
        </w:tc>
        <w:tc>
          <w:tcPr>
            <w:tcW w:w="1001" w:type="pct"/>
          </w:tcPr>
          <w:p w14:paraId="30B097B2"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6307</w:t>
            </w:r>
          </w:p>
        </w:tc>
        <w:tc>
          <w:tcPr>
            <w:tcW w:w="999" w:type="pct"/>
          </w:tcPr>
          <w:p w14:paraId="01B862EE"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11</w:t>
            </w:r>
          </w:p>
        </w:tc>
      </w:tr>
      <w:tr w:rsidR="00AC6058" w14:paraId="52B317CF" w14:textId="77777777" w:rsidTr="00A74536">
        <w:tc>
          <w:tcPr>
            <w:cnfStyle w:val="001000000000" w:firstRow="0" w:lastRow="0" w:firstColumn="1" w:lastColumn="0" w:oddVBand="0" w:evenVBand="0" w:oddHBand="0" w:evenHBand="0" w:firstRowFirstColumn="0" w:firstRowLastColumn="0" w:lastRowFirstColumn="0" w:lastRowLastColumn="0"/>
            <w:tcW w:w="998" w:type="pct"/>
          </w:tcPr>
          <w:p w14:paraId="430E3416" w14:textId="77777777" w:rsidR="00AC6058" w:rsidRDefault="00AC6058" w:rsidP="000708AF">
            <w:pPr>
              <w:pStyle w:val="Normal-table"/>
            </w:pPr>
          </w:p>
        </w:tc>
        <w:tc>
          <w:tcPr>
            <w:tcW w:w="1005" w:type="pct"/>
          </w:tcPr>
          <w:p w14:paraId="12F0F5FA"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 of TMR</w:t>
            </w:r>
          </w:p>
        </w:tc>
        <w:tc>
          <w:tcPr>
            <w:tcW w:w="996" w:type="pct"/>
          </w:tcPr>
          <w:p w14:paraId="41194453"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46%</w:t>
            </w:r>
          </w:p>
        </w:tc>
        <w:tc>
          <w:tcPr>
            <w:tcW w:w="1001" w:type="pct"/>
          </w:tcPr>
          <w:p w14:paraId="015EE917"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54%</w:t>
            </w:r>
          </w:p>
        </w:tc>
        <w:tc>
          <w:tcPr>
            <w:tcW w:w="999" w:type="pct"/>
          </w:tcPr>
          <w:p w14:paraId="3120CF07"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0.1%</w:t>
            </w:r>
          </w:p>
        </w:tc>
      </w:tr>
      <w:tr w:rsidR="00AC6058" w14:paraId="5FC7E965" w14:textId="77777777" w:rsidTr="00A7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 w:type="pct"/>
          </w:tcPr>
          <w:p w14:paraId="3BA5447E" w14:textId="77777777" w:rsidR="00AC6058" w:rsidRDefault="00AC6058" w:rsidP="000708AF">
            <w:pPr>
              <w:pStyle w:val="Normal-table"/>
            </w:pPr>
            <w:r>
              <w:t>2021–22</w:t>
            </w:r>
          </w:p>
        </w:tc>
        <w:tc>
          <w:tcPr>
            <w:tcW w:w="1005" w:type="pct"/>
          </w:tcPr>
          <w:p w14:paraId="4E41614D"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Headcount</w:t>
            </w:r>
          </w:p>
        </w:tc>
        <w:tc>
          <w:tcPr>
            <w:tcW w:w="996" w:type="pct"/>
          </w:tcPr>
          <w:p w14:paraId="3D3EA469"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4491</w:t>
            </w:r>
          </w:p>
        </w:tc>
        <w:tc>
          <w:tcPr>
            <w:tcW w:w="1001" w:type="pct"/>
          </w:tcPr>
          <w:p w14:paraId="27361707"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4982</w:t>
            </w:r>
          </w:p>
        </w:tc>
        <w:tc>
          <w:tcPr>
            <w:tcW w:w="999" w:type="pct"/>
          </w:tcPr>
          <w:p w14:paraId="611E3AF0"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&lt;5</w:t>
            </w:r>
          </w:p>
        </w:tc>
      </w:tr>
      <w:tr w:rsidR="00AC6058" w14:paraId="5354B122" w14:textId="77777777" w:rsidTr="00A74536">
        <w:tc>
          <w:tcPr>
            <w:cnfStyle w:val="001000000000" w:firstRow="0" w:lastRow="0" w:firstColumn="1" w:lastColumn="0" w:oddVBand="0" w:evenVBand="0" w:oddHBand="0" w:evenHBand="0" w:firstRowFirstColumn="0" w:firstRowLastColumn="0" w:lastRowFirstColumn="0" w:lastRowLastColumn="0"/>
            <w:tcW w:w="998" w:type="pct"/>
          </w:tcPr>
          <w:p w14:paraId="1351AA3A" w14:textId="77777777" w:rsidR="00AC6058" w:rsidRDefault="00AC6058" w:rsidP="000708AF">
            <w:pPr>
              <w:pStyle w:val="Normal-table"/>
            </w:pPr>
          </w:p>
        </w:tc>
        <w:tc>
          <w:tcPr>
            <w:tcW w:w="1005" w:type="pct"/>
          </w:tcPr>
          <w:p w14:paraId="3EFC2114"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 of TMR</w:t>
            </w:r>
          </w:p>
        </w:tc>
        <w:tc>
          <w:tcPr>
            <w:tcW w:w="996" w:type="pct"/>
          </w:tcPr>
          <w:p w14:paraId="698DC3F8"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47%</w:t>
            </w:r>
          </w:p>
        </w:tc>
        <w:tc>
          <w:tcPr>
            <w:tcW w:w="1001" w:type="pct"/>
          </w:tcPr>
          <w:p w14:paraId="7EA3FAC6"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53%</w:t>
            </w:r>
          </w:p>
        </w:tc>
        <w:tc>
          <w:tcPr>
            <w:tcW w:w="999" w:type="pct"/>
          </w:tcPr>
          <w:p w14:paraId="73D87D88"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0.01%</w:t>
            </w:r>
          </w:p>
        </w:tc>
      </w:tr>
    </w:tbl>
    <w:p w14:paraId="731C4063" w14:textId="77777777" w:rsidR="00AC6058" w:rsidRDefault="00AC6058" w:rsidP="00AC6058"/>
    <w:p w14:paraId="1DDF0A68" w14:textId="77777777" w:rsidR="00AC6058" w:rsidRDefault="00AC6058" w:rsidP="00AC6058">
      <w:pPr>
        <w:pStyle w:val="Caption"/>
        <w:rPr>
          <w:lang w:val="en-AU"/>
        </w:rPr>
      </w:pPr>
      <w:r>
        <w:rPr>
          <w:lang w:val="en-AU"/>
        </w:rPr>
        <w:t>1 To ensure privacy, in tables where there are less than 5 respondents in a category, specific numbers should be replaced by &lt;5.</w:t>
      </w:r>
    </w:p>
    <w:p w14:paraId="109EF5C0" w14:textId="77777777" w:rsidR="00AC6058" w:rsidRDefault="00AC6058" w:rsidP="00AC6058">
      <w:pPr>
        <w:pStyle w:val="Caption"/>
        <w:rPr>
          <w:lang w:val="en-AU"/>
        </w:rPr>
      </w:pPr>
      <w:r>
        <w:rPr>
          <w:lang w:val="en-AU"/>
        </w:rPr>
        <w:t>2 The Women in Leadership Roles figure only includes employees at classification Senior Officers = Employees classified as SO or s122/</w:t>
      </w:r>
    </w:p>
    <w:p w14:paraId="3D46828B" w14:textId="77777777" w:rsidR="00AC6058" w:rsidRDefault="00AC6058" w:rsidP="00AC6058">
      <w:pPr>
        <w:pStyle w:val="Caption"/>
        <w:rPr>
          <w:lang w:val="en-AU"/>
        </w:rPr>
      </w:pPr>
      <w:r>
        <w:rPr>
          <w:lang w:val="en-AU"/>
        </w:rPr>
        <w:t>s155 SO and Senior Executive Service and Chief Executives = Employees classified as SES, CEO, s122/s155 SES or s122/s155CEO as per 2023 set out in Section 15 Annual Reporting requirements. Previous years’ figures included MSQ equivalent salary level employees.</w:t>
      </w:r>
    </w:p>
    <w:p w14:paraId="550AE663" w14:textId="77777777" w:rsidR="00AC6058" w:rsidRDefault="00AC6058" w:rsidP="00AC6058">
      <w:pPr>
        <w:pStyle w:val="Caption"/>
        <w:rPr>
          <w:lang w:val="en-AU"/>
        </w:rPr>
      </w:pPr>
      <w:r>
        <w:rPr>
          <w:lang w:val="en-AU"/>
        </w:rPr>
        <w:t>** Headcount is the actual number of employees at a point in time.</w:t>
      </w:r>
    </w:p>
    <w:p w14:paraId="1E354047" w14:textId="77777777" w:rsidR="00AC6058" w:rsidRDefault="00AC6058" w:rsidP="00AC6058">
      <w:pPr>
        <w:pStyle w:val="Caption"/>
      </w:pPr>
      <w:r>
        <w:rPr>
          <w:lang w:val="en-AU"/>
        </w:rPr>
        <w:t>Data Source: TMR SAP Business Warehouse</w:t>
      </w:r>
    </w:p>
    <w:p w14:paraId="3608D002" w14:textId="77777777" w:rsidR="00AC6058" w:rsidRDefault="00AC6058" w:rsidP="00AC6058">
      <w:pPr>
        <w:pStyle w:val="TableofFigures"/>
      </w:pPr>
      <w:r>
        <w:t xml:space="preserve">Table 13: Comparative workforce data as at 16 June 2023 </w:t>
      </w:r>
    </w:p>
    <w:p w14:paraId="0B20B778" w14:textId="77777777" w:rsidR="00AC6058" w:rsidRPr="00CB28DE" w:rsidRDefault="00AC6058" w:rsidP="00AC6058">
      <w:pPr>
        <w:pStyle w:val="TableofFigures"/>
      </w:pPr>
      <w:r>
        <w:t>Headcount</w:t>
      </w:r>
    </w:p>
    <w:tbl>
      <w:tblPr>
        <w:tblStyle w:val="GridTable4-Accent1"/>
        <w:tblW w:w="0" w:type="auto"/>
        <w:tblLook w:val="04E0" w:firstRow="1" w:lastRow="1" w:firstColumn="1" w:lastColumn="0" w:noHBand="0" w:noVBand="1"/>
      </w:tblPr>
      <w:tblGrid>
        <w:gridCol w:w="2044"/>
        <w:gridCol w:w="2034"/>
        <w:gridCol w:w="2034"/>
        <w:gridCol w:w="2041"/>
        <w:gridCol w:w="2041"/>
      </w:tblGrid>
      <w:tr w:rsidR="00AC6058" w14:paraId="5704616C" w14:textId="77777777" w:rsidTr="00A74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1" w:type="dxa"/>
          </w:tcPr>
          <w:p w14:paraId="012B28CD" w14:textId="77777777" w:rsidR="00AC6058" w:rsidRDefault="00AC6058" w:rsidP="000708AF">
            <w:pPr>
              <w:pStyle w:val="Normal-table"/>
            </w:pPr>
            <w:r>
              <w:t>Gender</w:t>
            </w:r>
          </w:p>
        </w:tc>
        <w:tc>
          <w:tcPr>
            <w:tcW w:w="2091" w:type="dxa"/>
          </w:tcPr>
          <w:p w14:paraId="6FC8E868" w14:textId="77777777" w:rsidR="00AC6058" w:rsidRDefault="00AC6058" w:rsidP="000708AF">
            <w:pPr>
              <w:pStyle w:val="Normal-table"/>
              <w:cnfStyle w:val="100000000000" w:firstRow="1" w:lastRow="0" w:firstColumn="0" w:lastColumn="0" w:oddVBand="0" w:evenVBand="0" w:oddHBand="0" w:evenHBand="0" w:firstRowFirstColumn="0" w:firstRowLastColumn="0" w:lastRowFirstColumn="0" w:lastRowLastColumn="0"/>
            </w:pPr>
            <w:r>
              <w:t>Full time</w:t>
            </w:r>
          </w:p>
        </w:tc>
        <w:tc>
          <w:tcPr>
            <w:tcW w:w="2091" w:type="dxa"/>
          </w:tcPr>
          <w:p w14:paraId="0988D6DF" w14:textId="77777777" w:rsidR="00AC6058" w:rsidRDefault="00AC6058" w:rsidP="000708AF">
            <w:pPr>
              <w:pStyle w:val="Normal-table"/>
              <w:cnfStyle w:val="100000000000" w:firstRow="1" w:lastRow="0" w:firstColumn="0" w:lastColumn="0" w:oddVBand="0" w:evenVBand="0" w:oddHBand="0" w:evenHBand="0" w:firstRowFirstColumn="0" w:firstRowLastColumn="0" w:lastRowFirstColumn="0" w:lastRowLastColumn="0"/>
            </w:pPr>
            <w:r>
              <w:t>Part time</w:t>
            </w:r>
          </w:p>
        </w:tc>
        <w:tc>
          <w:tcPr>
            <w:tcW w:w="2091" w:type="dxa"/>
          </w:tcPr>
          <w:p w14:paraId="61A7D60B" w14:textId="77777777" w:rsidR="00AC6058" w:rsidRDefault="00AC6058" w:rsidP="000708AF">
            <w:pPr>
              <w:pStyle w:val="Normal-table"/>
              <w:cnfStyle w:val="100000000000" w:firstRow="1" w:lastRow="0" w:firstColumn="0" w:lastColumn="0" w:oddVBand="0" w:evenVBand="0" w:oddHBand="0" w:evenHBand="0" w:firstRowFirstColumn="0" w:firstRowLastColumn="0" w:lastRowFirstColumn="0" w:lastRowLastColumn="0"/>
            </w:pPr>
            <w:r>
              <w:t>Casual</w:t>
            </w:r>
          </w:p>
        </w:tc>
        <w:tc>
          <w:tcPr>
            <w:tcW w:w="2092" w:type="dxa"/>
          </w:tcPr>
          <w:p w14:paraId="7ECB4433" w14:textId="77777777" w:rsidR="00AC6058" w:rsidRDefault="00AC6058" w:rsidP="000708AF">
            <w:pPr>
              <w:pStyle w:val="Normal-table"/>
              <w:cnfStyle w:val="100000000000" w:firstRow="1" w:lastRow="0" w:firstColumn="0" w:lastColumn="0" w:oddVBand="0" w:evenVBand="0" w:oddHBand="0" w:evenHBand="0" w:firstRowFirstColumn="0" w:firstRowLastColumn="0" w:lastRowFirstColumn="0" w:lastRowLastColumn="0"/>
            </w:pPr>
            <w:r>
              <w:t>Total</w:t>
            </w:r>
          </w:p>
        </w:tc>
      </w:tr>
      <w:tr w:rsidR="00AC6058" w14:paraId="5E4BF767" w14:textId="77777777" w:rsidTr="00A7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5E1A40AD" w14:textId="77777777" w:rsidR="00AC6058" w:rsidRDefault="00AC6058" w:rsidP="000708AF">
            <w:pPr>
              <w:pStyle w:val="Normal-table"/>
            </w:pPr>
            <w:r>
              <w:t>Woman</w:t>
            </w:r>
          </w:p>
        </w:tc>
        <w:tc>
          <w:tcPr>
            <w:tcW w:w="2091" w:type="dxa"/>
          </w:tcPr>
          <w:p w14:paraId="303021E3"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3741</w:t>
            </w:r>
          </w:p>
        </w:tc>
        <w:tc>
          <w:tcPr>
            <w:tcW w:w="2091" w:type="dxa"/>
          </w:tcPr>
          <w:p w14:paraId="4190D0AA"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1095</w:t>
            </w:r>
          </w:p>
        </w:tc>
        <w:tc>
          <w:tcPr>
            <w:tcW w:w="2091" w:type="dxa"/>
          </w:tcPr>
          <w:p w14:paraId="6BA1E35F"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1471</w:t>
            </w:r>
          </w:p>
        </w:tc>
        <w:tc>
          <w:tcPr>
            <w:tcW w:w="2092" w:type="dxa"/>
          </w:tcPr>
          <w:p w14:paraId="3C9C96A4"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6307</w:t>
            </w:r>
          </w:p>
        </w:tc>
      </w:tr>
      <w:tr w:rsidR="00AC6058" w14:paraId="10130E90" w14:textId="77777777" w:rsidTr="00A74536">
        <w:tc>
          <w:tcPr>
            <w:cnfStyle w:val="001000000000" w:firstRow="0" w:lastRow="0" w:firstColumn="1" w:lastColumn="0" w:oddVBand="0" w:evenVBand="0" w:oddHBand="0" w:evenHBand="0" w:firstRowFirstColumn="0" w:firstRowLastColumn="0" w:lastRowFirstColumn="0" w:lastRowLastColumn="0"/>
            <w:tcW w:w="2091" w:type="dxa"/>
          </w:tcPr>
          <w:p w14:paraId="235F24DA" w14:textId="77777777" w:rsidR="00AC6058" w:rsidRDefault="00AC6058" w:rsidP="000708AF">
            <w:pPr>
              <w:pStyle w:val="Normal-table"/>
            </w:pPr>
            <w:r>
              <w:t>Man</w:t>
            </w:r>
          </w:p>
        </w:tc>
        <w:tc>
          <w:tcPr>
            <w:tcW w:w="2091" w:type="dxa"/>
          </w:tcPr>
          <w:p w14:paraId="14159165"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4614</w:t>
            </w:r>
          </w:p>
        </w:tc>
        <w:tc>
          <w:tcPr>
            <w:tcW w:w="2091" w:type="dxa"/>
          </w:tcPr>
          <w:p w14:paraId="1A778D23"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149</w:t>
            </w:r>
          </w:p>
        </w:tc>
        <w:tc>
          <w:tcPr>
            <w:tcW w:w="2091" w:type="dxa"/>
          </w:tcPr>
          <w:p w14:paraId="776E2917"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555</w:t>
            </w:r>
          </w:p>
        </w:tc>
        <w:tc>
          <w:tcPr>
            <w:tcW w:w="2092" w:type="dxa"/>
          </w:tcPr>
          <w:p w14:paraId="582B4C18"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5318</w:t>
            </w:r>
          </w:p>
        </w:tc>
      </w:tr>
      <w:tr w:rsidR="00AC6058" w14:paraId="3DCEA45C" w14:textId="77777777" w:rsidTr="00A7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4622559F" w14:textId="77777777" w:rsidR="00AC6058" w:rsidRDefault="00AC6058" w:rsidP="000708AF">
            <w:pPr>
              <w:pStyle w:val="Normal-table"/>
            </w:pPr>
            <w:r>
              <w:t>Non-binary</w:t>
            </w:r>
          </w:p>
        </w:tc>
        <w:tc>
          <w:tcPr>
            <w:tcW w:w="2091" w:type="dxa"/>
          </w:tcPr>
          <w:p w14:paraId="2E3B8E27"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8</w:t>
            </w:r>
          </w:p>
        </w:tc>
        <w:tc>
          <w:tcPr>
            <w:tcW w:w="2091" w:type="dxa"/>
          </w:tcPr>
          <w:p w14:paraId="3DC93C65"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2</w:t>
            </w:r>
          </w:p>
        </w:tc>
        <w:tc>
          <w:tcPr>
            <w:tcW w:w="2091" w:type="dxa"/>
          </w:tcPr>
          <w:p w14:paraId="6C1EBA71"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w:t>
            </w:r>
          </w:p>
        </w:tc>
        <w:tc>
          <w:tcPr>
            <w:tcW w:w="2092" w:type="dxa"/>
          </w:tcPr>
          <w:p w14:paraId="71E37363"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11</w:t>
            </w:r>
          </w:p>
        </w:tc>
      </w:tr>
      <w:tr w:rsidR="00AC6058" w14:paraId="7038A340" w14:textId="77777777" w:rsidTr="00A7453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3B843FF4" w14:textId="77777777" w:rsidR="00AC6058" w:rsidRDefault="00AC6058" w:rsidP="000708AF">
            <w:pPr>
              <w:pStyle w:val="Normal-table"/>
            </w:pPr>
            <w:r>
              <w:t>Grand Total</w:t>
            </w:r>
          </w:p>
        </w:tc>
        <w:tc>
          <w:tcPr>
            <w:tcW w:w="2091" w:type="dxa"/>
          </w:tcPr>
          <w:p w14:paraId="5B964802" w14:textId="77777777" w:rsidR="00AC6058" w:rsidRDefault="00AC6058" w:rsidP="000708AF">
            <w:pPr>
              <w:pStyle w:val="Normal-table"/>
              <w:cnfStyle w:val="010000000000" w:firstRow="0" w:lastRow="1" w:firstColumn="0" w:lastColumn="0" w:oddVBand="0" w:evenVBand="0" w:oddHBand="0" w:evenHBand="0" w:firstRowFirstColumn="0" w:firstRowLastColumn="0" w:lastRowFirstColumn="0" w:lastRowLastColumn="0"/>
            </w:pPr>
            <w:r>
              <w:t>8363</w:t>
            </w:r>
          </w:p>
        </w:tc>
        <w:tc>
          <w:tcPr>
            <w:tcW w:w="2091" w:type="dxa"/>
          </w:tcPr>
          <w:p w14:paraId="2F5562CC" w14:textId="77777777" w:rsidR="00AC6058" w:rsidRDefault="00AC6058" w:rsidP="000708AF">
            <w:pPr>
              <w:pStyle w:val="Normal-table"/>
              <w:cnfStyle w:val="010000000000" w:firstRow="0" w:lastRow="1" w:firstColumn="0" w:lastColumn="0" w:oddVBand="0" w:evenVBand="0" w:oddHBand="0" w:evenHBand="0" w:firstRowFirstColumn="0" w:firstRowLastColumn="0" w:lastRowFirstColumn="0" w:lastRowLastColumn="0"/>
            </w:pPr>
            <w:r>
              <w:t>1246</w:t>
            </w:r>
          </w:p>
        </w:tc>
        <w:tc>
          <w:tcPr>
            <w:tcW w:w="2091" w:type="dxa"/>
          </w:tcPr>
          <w:p w14:paraId="79BBFF6D" w14:textId="77777777" w:rsidR="00AC6058" w:rsidRDefault="00AC6058" w:rsidP="000708AF">
            <w:pPr>
              <w:pStyle w:val="Normal-table"/>
              <w:cnfStyle w:val="010000000000" w:firstRow="0" w:lastRow="1" w:firstColumn="0" w:lastColumn="0" w:oddVBand="0" w:evenVBand="0" w:oddHBand="0" w:evenHBand="0" w:firstRowFirstColumn="0" w:firstRowLastColumn="0" w:lastRowFirstColumn="0" w:lastRowLastColumn="0"/>
            </w:pPr>
            <w:r>
              <w:t>2027</w:t>
            </w:r>
          </w:p>
        </w:tc>
        <w:tc>
          <w:tcPr>
            <w:tcW w:w="2092" w:type="dxa"/>
          </w:tcPr>
          <w:p w14:paraId="3C42F833" w14:textId="77777777" w:rsidR="00AC6058" w:rsidRDefault="00AC6058" w:rsidP="000708AF">
            <w:pPr>
              <w:pStyle w:val="Normal-table"/>
              <w:cnfStyle w:val="010000000000" w:firstRow="0" w:lastRow="1" w:firstColumn="0" w:lastColumn="0" w:oddVBand="0" w:evenVBand="0" w:oddHBand="0" w:evenHBand="0" w:firstRowFirstColumn="0" w:firstRowLastColumn="0" w:lastRowFirstColumn="0" w:lastRowLastColumn="0"/>
            </w:pPr>
            <w:r>
              <w:t>11,636</w:t>
            </w:r>
          </w:p>
        </w:tc>
      </w:tr>
    </w:tbl>
    <w:p w14:paraId="47DBCF93" w14:textId="77777777" w:rsidR="00AC6058" w:rsidRDefault="00AC6058" w:rsidP="00AC6058"/>
    <w:tbl>
      <w:tblPr>
        <w:tblStyle w:val="GridTable4-Accent1"/>
        <w:tblW w:w="0" w:type="auto"/>
        <w:tblLook w:val="04E0" w:firstRow="1" w:lastRow="1" w:firstColumn="1" w:lastColumn="0" w:noHBand="0" w:noVBand="1"/>
      </w:tblPr>
      <w:tblGrid>
        <w:gridCol w:w="2040"/>
        <w:gridCol w:w="2035"/>
        <w:gridCol w:w="2035"/>
        <w:gridCol w:w="2042"/>
        <w:gridCol w:w="2042"/>
      </w:tblGrid>
      <w:tr w:rsidR="00AC6058" w14:paraId="415039B4" w14:textId="77777777" w:rsidTr="00A74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1" w:type="dxa"/>
          </w:tcPr>
          <w:p w14:paraId="56B72805" w14:textId="77777777" w:rsidR="00AC6058" w:rsidRDefault="00AC6058" w:rsidP="000708AF">
            <w:pPr>
              <w:pStyle w:val="Normal-table"/>
            </w:pPr>
            <w:r>
              <w:t>Age</w:t>
            </w:r>
          </w:p>
        </w:tc>
        <w:tc>
          <w:tcPr>
            <w:tcW w:w="2091" w:type="dxa"/>
          </w:tcPr>
          <w:p w14:paraId="4B873E0E" w14:textId="77777777" w:rsidR="00AC6058" w:rsidRDefault="00AC6058" w:rsidP="000708AF">
            <w:pPr>
              <w:pStyle w:val="Normal-table"/>
              <w:cnfStyle w:val="100000000000" w:firstRow="1" w:lastRow="0" w:firstColumn="0" w:lastColumn="0" w:oddVBand="0" w:evenVBand="0" w:oddHBand="0" w:evenHBand="0" w:firstRowFirstColumn="0" w:firstRowLastColumn="0" w:lastRowFirstColumn="0" w:lastRowLastColumn="0"/>
            </w:pPr>
            <w:r>
              <w:t>Full time</w:t>
            </w:r>
          </w:p>
        </w:tc>
        <w:tc>
          <w:tcPr>
            <w:tcW w:w="2091" w:type="dxa"/>
          </w:tcPr>
          <w:p w14:paraId="1E646AB1" w14:textId="77777777" w:rsidR="00AC6058" w:rsidRDefault="00AC6058" w:rsidP="000708AF">
            <w:pPr>
              <w:pStyle w:val="Normal-table"/>
              <w:cnfStyle w:val="100000000000" w:firstRow="1" w:lastRow="0" w:firstColumn="0" w:lastColumn="0" w:oddVBand="0" w:evenVBand="0" w:oddHBand="0" w:evenHBand="0" w:firstRowFirstColumn="0" w:firstRowLastColumn="0" w:lastRowFirstColumn="0" w:lastRowLastColumn="0"/>
            </w:pPr>
            <w:r>
              <w:t>Part time</w:t>
            </w:r>
          </w:p>
        </w:tc>
        <w:tc>
          <w:tcPr>
            <w:tcW w:w="2091" w:type="dxa"/>
          </w:tcPr>
          <w:p w14:paraId="0D5DC658" w14:textId="77777777" w:rsidR="00AC6058" w:rsidRDefault="00AC6058" w:rsidP="000708AF">
            <w:pPr>
              <w:pStyle w:val="Normal-table"/>
              <w:cnfStyle w:val="100000000000" w:firstRow="1" w:lastRow="0" w:firstColumn="0" w:lastColumn="0" w:oddVBand="0" w:evenVBand="0" w:oddHBand="0" w:evenHBand="0" w:firstRowFirstColumn="0" w:firstRowLastColumn="0" w:lastRowFirstColumn="0" w:lastRowLastColumn="0"/>
            </w:pPr>
            <w:r>
              <w:t>Casual</w:t>
            </w:r>
          </w:p>
        </w:tc>
        <w:tc>
          <w:tcPr>
            <w:tcW w:w="2092" w:type="dxa"/>
          </w:tcPr>
          <w:p w14:paraId="618EE0BA" w14:textId="77777777" w:rsidR="00AC6058" w:rsidRDefault="00AC6058" w:rsidP="000708AF">
            <w:pPr>
              <w:pStyle w:val="Normal-table"/>
              <w:cnfStyle w:val="100000000000" w:firstRow="1" w:lastRow="0" w:firstColumn="0" w:lastColumn="0" w:oddVBand="0" w:evenVBand="0" w:oddHBand="0" w:evenHBand="0" w:firstRowFirstColumn="0" w:firstRowLastColumn="0" w:lastRowFirstColumn="0" w:lastRowLastColumn="0"/>
            </w:pPr>
            <w:r>
              <w:t>Total</w:t>
            </w:r>
          </w:p>
        </w:tc>
      </w:tr>
      <w:tr w:rsidR="00AC6058" w14:paraId="270DBFF7" w14:textId="77777777" w:rsidTr="00A7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3DC28B14" w14:textId="77777777" w:rsidR="00AC6058" w:rsidRDefault="00AC6058" w:rsidP="000708AF">
            <w:pPr>
              <w:pStyle w:val="Normal-table"/>
            </w:pPr>
            <w:r>
              <w:t>&lt; 25 Years</w:t>
            </w:r>
          </w:p>
        </w:tc>
        <w:tc>
          <w:tcPr>
            <w:tcW w:w="2091" w:type="dxa"/>
          </w:tcPr>
          <w:p w14:paraId="6B5E4C30"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273</w:t>
            </w:r>
          </w:p>
        </w:tc>
        <w:tc>
          <w:tcPr>
            <w:tcW w:w="2091" w:type="dxa"/>
          </w:tcPr>
          <w:p w14:paraId="1B9DCA0C"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30</w:t>
            </w:r>
          </w:p>
        </w:tc>
        <w:tc>
          <w:tcPr>
            <w:tcW w:w="2091" w:type="dxa"/>
          </w:tcPr>
          <w:p w14:paraId="0F5CE489"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52</w:t>
            </w:r>
          </w:p>
        </w:tc>
        <w:tc>
          <w:tcPr>
            <w:tcW w:w="2092" w:type="dxa"/>
          </w:tcPr>
          <w:p w14:paraId="79B81BC1"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355</w:t>
            </w:r>
          </w:p>
        </w:tc>
      </w:tr>
      <w:tr w:rsidR="00AC6058" w14:paraId="18DDEFA4" w14:textId="77777777" w:rsidTr="00A74536">
        <w:tc>
          <w:tcPr>
            <w:cnfStyle w:val="001000000000" w:firstRow="0" w:lastRow="0" w:firstColumn="1" w:lastColumn="0" w:oddVBand="0" w:evenVBand="0" w:oddHBand="0" w:evenHBand="0" w:firstRowFirstColumn="0" w:firstRowLastColumn="0" w:lastRowFirstColumn="0" w:lastRowLastColumn="0"/>
            <w:tcW w:w="2091" w:type="dxa"/>
          </w:tcPr>
          <w:p w14:paraId="558A1C27" w14:textId="77777777" w:rsidR="00AC6058" w:rsidRDefault="00AC6058" w:rsidP="000708AF">
            <w:pPr>
              <w:pStyle w:val="Normal-table"/>
            </w:pPr>
            <w:r>
              <w:t>25–34 Years</w:t>
            </w:r>
          </w:p>
        </w:tc>
        <w:tc>
          <w:tcPr>
            <w:tcW w:w="2091" w:type="dxa"/>
          </w:tcPr>
          <w:p w14:paraId="2E66F191"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1282</w:t>
            </w:r>
          </w:p>
        </w:tc>
        <w:tc>
          <w:tcPr>
            <w:tcW w:w="2091" w:type="dxa"/>
          </w:tcPr>
          <w:p w14:paraId="3E4E02A5"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145</w:t>
            </w:r>
          </w:p>
        </w:tc>
        <w:tc>
          <w:tcPr>
            <w:tcW w:w="2091" w:type="dxa"/>
          </w:tcPr>
          <w:p w14:paraId="51C84BE8"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113</w:t>
            </w:r>
          </w:p>
        </w:tc>
        <w:tc>
          <w:tcPr>
            <w:tcW w:w="2092" w:type="dxa"/>
          </w:tcPr>
          <w:p w14:paraId="0C14E691"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1540</w:t>
            </w:r>
          </w:p>
        </w:tc>
      </w:tr>
      <w:tr w:rsidR="00AC6058" w14:paraId="4019FE43" w14:textId="77777777" w:rsidTr="00A7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153F2B71" w14:textId="77777777" w:rsidR="00AC6058" w:rsidRDefault="00AC6058" w:rsidP="000708AF">
            <w:pPr>
              <w:pStyle w:val="Normal-table"/>
            </w:pPr>
            <w:r>
              <w:t>35–44 Years</w:t>
            </w:r>
          </w:p>
        </w:tc>
        <w:tc>
          <w:tcPr>
            <w:tcW w:w="2091" w:type="dxa"/>
          </w:tcPr>
          <w:p w14:paraId="33723EC1"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2113</w:t>
            </w:r>
          </w:p>
        </w:tc>
        <w:tc>
          <w:tcPr>
            <w:tcW w:w="2091" w:type="dxa"/>
          </w:tcPr>
          <w:p w14:paraId="40DE4E80"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436</w:t>
            </w:r>
          </w:p>
        </w:tc>
        <w:tc>
          <w:tcPr>
            <w:tcW w:w="2091" w:type="dxa"/>
          </w:tcPr>
          <w:p w14:paraId="2B765CEB"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187</w:t>
            </w:r>
          </w:p>
        </w:tc>
        <w:tc>
          <w:tcPr>
            <w:tcW w:w="2092" w:type="dxa"/>
          </w:tcPr>
          <w:p w14:paraId="76D763BB"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2736</w:t>
            </w:r>
          </w:p>
        </w:tc>
      </w:tr>
      <w:tr w:rsidR="00AC6058" w14:paraId="3A3BF8CB" w14:textId="77777777" w:rsidTr="00A74536">
        <w:tc>
          <w:tcPr>
            <w:cnfStyle w:val="001000000000" w:firstRow="0" w:lastRow="0" w:firstColumn="1" w:lastColumn="0" w:oddVBand="0" w:evenVBand="0" w:oddHBand="0" w:evenHBand="0" w:firstRowFirstColumn="0" w:firstRowLastColumn="0" w:lastRowFirstColumn="0" w:lastRowLastColumn="0"/>
            <w:tcW w:w="2091" w:type="dxa"/>
          </w:tcPr>
          <w:p w14:paraId="403C1799" w14:textId="77777777" w:rsidR="00AC6058" w:rsidRDefault="00AC6058" w:rsidP="000708AF">
            <w:pPr>
              <w:pStyle w:val="Normal-table"/>
            </w:pPr>
            <w:r>
              <w:t>45-54 Years</w:t>
            </w:r>
          </w:p>
        </w:tc>
        <w:tc>
          <w:tcPr>
            <w:tcW w:w="2091" w:type="dxa"/>
          </w:tcPr>
          <w:p w14:paraId="5C621874"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2449</w:t>
            </w:r>
          </w:p>
        </w:tc>
        <w:tc>
          <w:tcPr>
            <w:tcW w:w="2091" w:type="dxa"/>
          </w:tcPr>
          <w:p w14:paraId="3A510C1B"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300</w:t>
            </w:r>
          </w:p>
        </w:tc>
        <w:tc>
          <w:tcPr>
            <w:tcW w:w="2091" w:type="dxa"/>
          </w:tcPr>
          <w:p w14:paraId="524A4C36"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303</w:t>
            </w:r>
          </w:p>
        </w:tc>
        <w:tc>
          <w:tcPr>
            <w:tcW w:w="2092" w:type="dxa"/>
          </w:tcPr>
          <w:p w14:paraId="075A9CBF"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3052</w:t>
            </w:r>
          </w:p>
        </w:tc>
      </w:tr>
      <w:tr w:rsidR="00AC6058" w14:paraId="1C491936" w14:textId="77777777" w:rsidTr="00A7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29C4606F" w14:textId="77777777" w:rsidR="00AC6058" w:rsidRDefault="00AC6058" w:rsidP="000708AF">
            <w:pPr>
              <w:pStyle w:val="Normal-table"/>
            </w:pPr>
            <w:r>
              <w:t>55–64 Years</w:t>
            </w:r>
          </w:p>
        </w:tc>
        <w:tc>
          <w:tcPr>
            <w:tcW w:w="2091" w:type="dxa"/>
          </w:tcPr>
          <w:p w14:paraId="6DB4503F"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1878</w:t>
            </w:r>
          </w:p>
        </w:tc>
        <w:tc>
          <w:tcPr>
            <w:tcW w:w="2091" w:type="dxa"/>
          </w:tcPr>
          <w:p w14:paraId="39777D7E"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262</w:t>
            </w:r>
          </w:p>
        </w:tc>
        <w:tc>
          <w:tcPr>
            <w:tcW w:w="2091" w:type="dxa"/>
          </w:tcPr>
          <w:p w14:paraId="38162750"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512</w:t>
            </w:r>
          </w:p>
        </w:tc>
        <w:tc>
          <w:tcPr>
            <w:tcW w:w="2092" w:type="dxa"/>
          </w:tcPr>
          <w:p w14:paraId="44EEE80D"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2652</w:t>
            </w:r>
          </w:p>
        </w:tc>
      </w:tr>
      <w:tr w:rsidR="00AC6058" w14:paraId="0D8473C2" w14:textId="77777777" w:rsidTr="00A74536">
        <w:tc>
          <w:tcPr>
            <w:cnfStyle w:val="001000000000" w:firstRow="0" w:lastRow="0" w:firstColumn="1" w:lastColumn="0" w:oddVBand="0" w:evenVBand="0" w:oddHBand="0" w:evenHBand="0" w:firstRowFirstColumn="0" w:firstRowLastColumn="0" w:lastRowFirstColumn="0" w:lastRowLastColumn="0"/>
            <w:tcW w:w="2091" w:type="dxa"/>
          </w:tcPr>
          <w:p w14:paraId="3B58E1F7" w14:textId="77777777" w:rsidR="00AC6058" w:rsidRDefault="00AC6058" w:rsidP="000708AF">
            <w:pPr>
              <w:pStyle w:val="Normal-table"/>
            </w:pPr>
            <w:r>
              <w:t>&gt; 65 Years</w:t>
            </w:r>
          </w:p>
        </w:tc>
        <w:tc>
          <w:tcPr>
            <w:tcW w:w="2091" w:type="dxa"/>
          </w:tcPr>
          <w:p w14:paraId="5BE1A728"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368</w:t>
            </w:r>
          </w:p>
        </w:tc>
        <w:tc>
          <w:tcPr>
            <w:tcW w:w="2091" w:type="dxa"/>
          </w:tcPr>
          <w:p w14:paraId="7AD68EFB"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73</w:t>
            </w:r>
          </w:p>
        </w:tc>
        <w:tc>
          <w:tcPr>
            <w:tcW w:w="2091" w:type="dxa"/>
          </w:tcPr>
          <w:p w14:paraId="14383124"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860</w:t>
            </w:r>
          </w:p>
        </w:tc>
        <w:tc>
          <w:tcPr>
            <w:tcW w:w="2092" w:type="dxa"/>
          </w:tcPr>
          <w:p w14:paraId="4AC1F297"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1301</w:t>
            </w:r>
          </w:p>
        </w:tc>
      </w:tr>
      <w:tr w:rsidR="00AC6058" w14:paraId="5B565CAC" w14:textId="77777777" w:rsidTr="00A7453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2D599858" w14:textId="77777777" w:rsidR="00AC6058" w:rsidRDefault="00AC6058" w:rsidP="000708AF">
            <w:pPr>
              <w:pStyle w:val="Normal-table"/>
            </w:pPr>
            <w:r>
              <w:lastRenderedPageBreak/>
              <w:t xml:space="preserve">Grand Total </w:t>
            </w:r>
          </w:p>
        </w:tc>
        <w:tc>
          <w:tcPr>
            <w:tcW w:w="2091" w:type="dxa"/>
          </w:tcPr>
          <w:p w14:paraId="61362AA7" w14:textId="77777777" w:rsidR="00AC6058" w:rsidRDefault="00AC6058" w:rsidP="000708AF">
            <w:pPr>
              <w:pStyle w:val="Normal-table"/>
              <w:cnfStyle w:val="010000000000" w:firstRow="0" w:lastRow="1" w:firstColumn="0" w:lastColumn="0" w:oddVBand="0" w:evenVBand="0" w:oddHBand="0" w:evenHBand="0" w:firstRowFirstColumn="0" w:firstRowLastColumn="0" w:lastRowFirstColumn="0" w:lastRowLastColumn="0"/>
            </w:pPr>
            <w:r>
              <w:t>8363</w:t>
            </w:r>
          </w:p>
        </w:tc>
        <w:tc>
          <w:tcPr>
            <w:tcW w:w="2091" w:type="dxa"/>
          </w:tcPr>
          <w:p w14:paraId="760F3BD4" w14:textId="77777777" w:rsidR="00AC6058" w:rsidRDefault="00AC6058" w:rsidP="000708AF">
            <w:pPr>
              <w:pStyle w:val="Normal-table"/>
              <w:cnfStyle w:val="010000000000" w:firstRow="0" w:lastRow="1" w:firstColumn="0" w:lastColumn="0" w:oddVBand="0" w:evenVBand="0" w:oddHBand="0" w:evenHBand="0" w:firstRowFirstColumn="0" w:firstRowLastColumn="0" w:lastRowFirstColumn="0" w:lastRowLastColumn="0"/>
            </w:pPr>
            <w:r>
              <w:t>1246</w:t>
            </w:r>
          </w:p>
        </w:tc>
        <w:tc>
          <w:tcPr>
            <w:tcW w:w="2091" w:type="dxa"/>
          </w:tcPr>
          <w:p w14:paraId="41773B30" w14:textId="77777777" w:rsidR="00AC6058" w:rsidRDefault="00AC6058" w:rsidP="000708AF">
            <w:pPr>
              <w:pStyle w:val="Normal-table"/>
              <w:cnfStyle w:val="010000000000" w:firstRow="0" w:lastRow="1" w:firstColumn="0" w:lastColumn="0" w:oddVBand="0" w:evenVBand="0" w:oddHBand="0" w:evenHBand="0" w:firstRowFirstColumn="0" w:firstRowLastColumn="0" w:lastRowFirstColumn="0" w:lastRowLastColumn="0"/>
            </w:pPr>
            <w:r>
              <w:t>2027</w:t>
            </w:r>
          </w:p>
        </w:tc>
        <w:tc>
          <w:tcPr>
            <w:tcW w:w="2092" w:type="dxa"/>
          </w:tcPr>
          <w:p w14:paraId="16266DFE" w14:textId="77777777" w:rsidR="00AC6058" w:rsidRDefault="00AC6058" w:rsidP="000708AF">
            <w:pPr>
              <w:pStyle w:val="Normal-table"/>
              <w:cnfStyle w:val="010000000000" w:firstRow="0" w:lastRow="1" w:firstColumn="0" w:lastColumn="0" w:oddVBand="0" w:evenVBand="0" w:oddHBand="0" w:evenHBand="0" w:firstRowFirstColumn="0" w:firstRowLastColumn="0" w:lastRowFirstColumn="0" w:lastRowLastColumn="0"/>
            </w:pPr>
            <w:r>
              <w:t>11,636</w:t>
            </w:r>
          </w:p>
        </w:tc>
      </w:tr>
    </w:tbl>
    <w:p w14:paraId="1B2E238E" w14:textId="77777777" w:rsidR="00AC6058" w:rsidRDefault="00AC6058" w:rsidP="00AC6058"/>
    <w:tbl>
      <w:tblPr>
        <w:tblStyle w:val="GridTable4-Accent1"/>
        <w:tblW w:w="0" w:type="auto"/>
        <w:tblLook w:val="04E0" w:firstRow="1" w:lastRow="1" w:firstColumn="1" w:lastColumn="0" w:noHBand="0" w:noVBand="1"/>
      </w:tblPr>
      <w:tblGrid>
        <w:gridCol w:w="2052"/>
        <w:gridCol w:w="2032"/>
        <w:gridCol w:w="2032"/>
        <w:gridCol w:w="2039"/>
        <w:gridCol w:w="2039"/>
      </w:tblGrid>
      <w:tr w:rsidR="00AC6058" w14:paraId="53955C3B" w14:textId="77777777" w:rsidTr="00A74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1" w:type="dxa"/>
          </w:tcPr>
          <w:p w14:paraId="5416B5BB" w14:textId="77777777" w:rsidR="00AC6058" w:rsidRDefault="00AC6058" w:rsidP="000708AF">
            <w:pPr>
              <w:pStyle w:val="Normal-table"/>
            </w:pPr>
            <w:r>
              <w:t>Equivalent Salary Level</w:t>
            </w:r>
          </w:p>
        </w:tc>
        <w:tc>
          <w:tcPr>
            <w:tcW w:w="2091" w:type="dxa"/>
          </w:tcPr>
          <w:p w14:paraId="0646BB27" w14:textId="77777777" w:rsidR="00AC6058" w:rsidRDefault="00AC6058" w:rsidP="000708AF">
            <w:pPr>
              <w:pStyle w:val="Normal-table"/>
              <w:cnfStyle w:val="100000000000" w:firstRow="1" w:lastRow="0" w:firstColumn="0" w:lastColumn="0" w:oddVBand="0" w:evenVBand="0" w:oddHBand="0" w:evenHBand="0" w:firstRowFirstColumn="0" w:firstRowLastColumn="0" w:lastRowFirstColumn="0" w:lastRowLastColumn="0"/>
            </w:pPr>
            <w:r>
              <w:t>Full time</w:t>
            </w:r>
          </w:p>
        </w:tc>
        <w:tc>
          <w:tcPr>
            <w:tcW w:w="2091" w:type="dxa"/>
          </w:tcPr>
          <w:p w14:paraId="62867014" w14:textId="77777777" w:rsidR="00AC6058" w:rsidRDefault="00AC6058" w:rsidP="000708AF">
            <w:pPr>
              <w:pStyle w:val="Normal-table"/>
              <w:cnfStyle w:val="100000000000" w:firstRow="1" w:lastRow="0" w:firstColumn="0" w:lastColumn="0" w:oddVBand="0" w:evenVBand="0" w:oddHBand="0" w:evenHBand="0" w:firstRowFirstColumn="0" w:firstRowLastColumn="0" w:lastRowFirstColumn="0" w:lastRowLastColumn="0"/>
            </w:pPr>
            <w:r>
              <w:t>Part time</w:t>
            </w:r>
          </w:p>
        </w:tc>
        <w:tc>
          <w:tcPr>
            <w:tcW w:w="2091" w:type="dxa"/>
          </w:tcPr>
          <w:p w14:paraId="5A868FD9" w14:textId="77777777" w:rsidR="00AC6058" w:rsidRDefault="00AC6058" w:rsidP="000708AF">
            <w:pPr>
              <w:pStyle w:val="Normal-table"/>
              <w:cnfStyle w:val="100000000000" w:firstRow="1" w:lastRow="0" w:firstColumn="0" w:lastColumn="0" w:oddVBand="0" w:evenVBand="0" w:oddHBand="0" w:evenHBand="0" w:firstRowFirstColumn="0" w:firstRowLastColumn="0" w:lastRowFirstColumn="0" w:lastRowLastColumn="0"/>
            </w:pPr>
            <w:r>
              <w:t>Casual</w:t>
            </w:r>
          </w:p>
        </w:tc>
        <w:tc>
          <w:tcPr>
            <w:tcW w:w="2092" w:type="dxa"/>
          </w:tcPr>
          <w:p w14:paraId="774956D7" w14:textId="77777777" w:rsidR="00AC6058" w:rsidRDefault="00AC6058" w:rsidP="000708AF">
            <w:pPr>
              <w:pStyle w:val="Normal-table"/>
              <w:cnfStyle w:val="100000000000" w:firstRow="1" w:lastRow="0" w:firstColumn="0" w:lastColumn="0" w:oddVBand="0" w:evenVBand="0" w:oddHBand="0" w:evenHBand="0" w:firstRowFirstColumn="0" w:firstRowLastColumn="0" w:lastRowFirstColumn="0" w:lastRowLastColumn="0"/>
            </w:pPr>
            <w:r>
              <w:t>Total</w:t>
            </w:r>
          </w:p>
        </w:tc>
      </w:tr>
      <w:tr w:rsidR="00AC6058" w14:paraId="28C7D31E" w14:textId="77777777" w:rsidTr="00A7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24003374" w14:textId="77777777" w:rsidR="00AC6058" w:rsidRDefault="00AC6058" w:rsidP="000708AF">
            <w:pPr>
              <w:pStyle w:val="Normal-table"/>
            </w:pPr>
            <w:r>
              <w:t>AO1</w:t>
            </w:r>
          </w:p>
        </w:tc>
        <w:tc>
          <w:tcPr>
            <w:tcW w:w="2091" w:type="dxa"/>
          </w:tcPr>
          <w:p w14:paraId="36C2B1D2"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12</w:t>
            </w:r>
          </w:p>
        </w:tc>
        <w:tc>
          <w:tcPr>
            <w:tcW w:w="2091" w:type="dxa"/>
          </w:tcPr>
          <w:p w14:paraId="662CA678"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w:t>
            </w:r>
          </w:p>
        </w:tc>
        <w:tc>
          <w:tcPr>
            <w:tcW w:w="2091" w:type="dxa"/>
          </w:tcPr>
          <w:p w14:paraId="59FB39FC"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0</w:t>
            </w:r>
          </w:p>
        </w:tc>
        <w:tc>
          <w:tcPr>
            <w:tcW w:w="2092" w:type="dxa"/>
          </w:tcPr>
          <w:p w14:paraId="15EC6412"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13</w:t>
            </w:r>
          </w:p>
        </w:tc>
      </w:tr>
      <w:tr w:rsidR="00AC6058" w14:paraId="40FC3024" w14:textId="77777777" w:rsidTr="00A74536">
        <w:tc>
          <w:tcPr>
            <w:cnfStyle w:val="001000000000" w:firstRow="0" w:lastRow="0" w:firstColumn="1" w:lastColumn="0" w:oddVBand="0" w:evenVBand="0" w:oddHBand="0" w:evenHBand="0" w:firstRowFirstColumn="0" w:firstRowLastColumn="0" w:lastRowFirstColumn="0" w:lastRowLastColumn="0"/>
            <w:tcW w:w="2091" w:type="dxa"/>
          </w:tcPr>
          <w:p w14:paraId="14FAF1CE" w14:textId="77777777" w:rsidR="00AC6058" w:rsidRDefault="00AC6058" w:rsidP="000708AF">
            <w:pPr>
              <w:pStyle w:val="Normal-table"/>
            </w:pPr>
            <w:r>
              <w:t>AO2</w:t>
            </w:r>
          </w:p>
        </w:tc>
        <w:tc>
          <w:tcPr>
            <w:tcW w:w="2091" w:type="dxa"/>
          </w:tcPr>
          <w:p w14:paraId="7A1B1F62"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752</w:t>
            </w:r>
          </w:p>
        </w:tc>
        <w:tc>
          <w:tcPr>
            <w:tcW w:w="2091" w:type="dxa"/>
          </w:tcPr>
          <w:p w14:paraId="7D8FF19A"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45</w:t>
            </w:r>
          </w:p>
        </w:tc>
        <w:tc>
          <w:tcPr>
            <w:tcW w:w="2091" w:type="dxa"/>
          </w:tcPr>
          <w:p w14:paraId="16349CA8"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1898</w:t>
            </w:r>
          </w:p>
        </w:tc>
        <w:tc>
          <w:tcPr>
            <w:tcW w:w="2092" w:type="dxa"/>
          </w:tcPr>
          <w:p w14:paraId="7B6A884F"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2695</w:t>
            </w:r>
          </w:p>
        </w:tc>
      </w:tr>
      <w:tr w:rsidR="00AC6058" w14:paraId="13688431" w14:textId="77777777" w:rsidTr="00A7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25CFAF38" w14:textId="77777777" w:rsidR="00AC6058" w:rsidRDefault="00AC6058" w:rsidP="000708AF">
            <w:pPr>
              <w:pStyle w:val="Normal-table"/>
            </w:pPr>
            <w:r>
              <w:t>AO3</w:t>
            </w:r>
          </w:p>
        </w:tc>
        <w:tc>
          <w:tcPr>
            <w:tcW w:w="2091" w:type="dxa"/>
          </w:tcPr>
          <w:p w14:paraId="2B81BE87"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1713</w:t>
            </w:r>
          </w:p>
        </w:tc>
        <w:tc>
          <w:tcPr>
            <w:tcW w:w="2091" w:type="dxa"/>
          </w:tcPr>
          <w:p w14:paraId="2B7709F3"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620</w:t>
            </w:r>
          </w:p>
        </w:tc>
        <w:tc>
          <w:tcPr>
            <w:tcW w:w="2091" w:type="dxa"/>
          </w:tcPr>
          <w:p w14:paraId="10C57F01"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109</w:t>
            </w:r>
          </w:p>
        </w:tc>
        <w:tc>
          <w:tcPr>
            <w:tcW w:w="2092" w:type="dxa"/>
          </w:tcPr>
          <w:p w14:paraId="03A60709"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2442</w:t>
            </w:r>
          </w:p>
        </w:tc>
      </w:tr>
      <w:tr w:rsidR="00AC6058" w14:paraId="1A682196" w14:textId="77777777" w:rsidTr="00A74536">
        <w:tc>
          <w:tcPr>
            <w:cnfStyle w:val="001000000000" w:firstRow="0" w:lastRow="0" w:firstColumn="1" w:lastColumn="0" w:oddVBand="0" w:evenVBand="0" w:oddHBand="0" w:evenHBand="0" w:firstRowFirstColumn="0" w:firstRowLastColumn="0" w:lastRowFirstColumn="0" w:lastRowLastColumn="0"/>
            <w:tcW w:w="2091" w:type="dxa"/>
          </w:tcPr>
          <w:p w14:paraId="2BA40DD0" w14:textId="77777777" w:rsidR="00AC6058" w:rsidRDefault="00AC6058" w:rsidP="000708AF">
            <w:pPr>
              <w:pStyle w:val="Normal-table"/>
            </w:pPr>
            <w:r>
              <w:t>AO4</w:t>
            </w:r>
          </w:p>
        </w:tc>
        <w:tc>
          <w:tcPr>
            <w:tcW w:w="2091" w:type="dxa"/>
          </w:tcPr>
          <w:p w14:paraId="4FB2BF60"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1074</w:t>
            </w:r>
          </w:p>
        </w:tc>
        <w:tc>
          <w:tcPr>
            <w:tcW w:w="2091" w:type="dxa"/>
          </w:tcPr>
          <w:p w14:paraId="1764A569"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101</w:t>
            </w:r>
          </w:p>
        </w:tc>
        <w:tc>
          <w:tcPr>
            <w:tcW w:w="2091" w:type="dxa"/>
          </w:tcPr>
          <w:p w14:paraId="0B2A7754"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1</w:t>
            </w:r>
          </w:p>
        </w:tc>
        <w:tc>
          <w:tcPr>
            <w:tcW w:w="2092" w:type="dxa"/>
          </w:tcPr>
          <w:p w14:paraId="77307E3F"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1176</w:t>
            </w:r>
          </w:p>
        </w:tc>
      </w:tr>
      <w:tr w:rsidR="00AC6058" w14:paraId="51B9170D" w14:textId="77777777" w:rsidTr="00A7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27DD4425" w14:textId="77777777" w:rsidR="00AC6058" w:rsidRDefault="00AC6058" w:rsidP="000708AF">
            <w:pPr>
              <w:pStyle w:val="Normal-table"/>
            </w:pPr>
            <w:r>
              <w:t>AO5</w:t>
            </w:r>
          </w:p>
        </w:tc>
        <w:tc>
          <w:tcPr>
            <w:tcW w:w="2091" w:type="dxa"/>
          </w:tcPr>
          <w:p w14:paraId="6E8C124F"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1255</w:t>
            </w:r>
          </w:p>
        </w:tc>
        <w:tc>
          <w:tcPr>
            <w:tcW w:w="2091" w:type="dxa"/>
          </w:tcPr>
          <w:p w14:paraId="0EA75CDC"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147</w:t>
            </w:r>
          </w:p>
        </w:tc>
        <w:tc>
          <w:tcPr>
            <w:tcW w:w="2091" w:type="dxa"/>
          </w:tcPr>
          <w:p w14:paraId="45A216A6"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w:t>
            </w:r>
          </w:p>
        </w:tc>
        <w:tc>
          <w:tcPr>
            <w:tcW w:w="2092" w:type="dxa"/>
          </w:tcPr>
          <w:p w14:paraId="764BB704"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1403</w:t>
            </w:r>
          </w:p>
        </w:tc>
      </w:tr>
      <w:tr w:rsidR="00AC6058" w14:paraId="4DF4D480" w14:textId="77777777" w:rsidTr="00A74536">
        <w:tc>
          <w:tcPr>
            <w:cnfStyle w:val="001000000000" w:firstRow="0" w:lastRow="0" w:firstColumn="1" w:lastColumn="0" w:oddVBand="0" w:evenVBand="0" w:oddHBand="0" w:evenHBand="0" w:firstRowFirstColumn="0" w:firstRowLastColumn="0" w:lastRowFirstColumn="0" w:lastRowLastColumn="0"/>
            <w:tcW w:w="2091" w:type="dxa"/>
          </w:tcPr>
          <w:p w14:paraId="44B63EA4" w14:textId="77777777" w:rsidR="00AC6058" w:rsidRDefault="00AC6058" w:rsidP="000708AF">
            <w:pPr>
              <w:pStyle w:val="Normal-table"/>
            </w:pPr>
            <w:r>
              <w:t>AO6</w:t>
            </w:r>
          </w:p>
        </w:tc>
        <w:tc>
          <w:tcPr>
            <w:tcW w:w="2091" w:type="dxa"/>
          </w:tcPr>
          <w:p w14:paraId="1E8DE928"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1156</w:t>
            </w:r>
          </w:p>
        </w:tc>
        <w:tc>
          <w:tcPr>
            <w:tcW w:w="2091" w:type="dxa"/>
          </w:tcPr>
          <w:p w14:paraId="45365343"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123</w:t>
            </w:r>
          </w:p>
        </w:tc>
        <w:tc>
          <w:tcPr>
            <w:tcW w:w="2091" w:type="dxa"/>
          </w:tcPr>
          <w:p w14:paraId="5024FFDD"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9</w:t>
            </w:r>
          </w:p>
        </w:tc>
        <w:tc>
          <w:tcPr>
            <w:tcW w:w="2092" w:type="dxa"/>
          </w:tcPr>
          <w:p w14:paraId="3678A8E9"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1288</w:t>
            </w:r>
          </w:p>
        </w:tc>
      </w:tr>
      <w:tr w:rsidR="00AC6058" w14:paraId="2CF810F5" w14:textId="77777777" w:rsidTr="00A7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448914E2" w14:textId="77777777" w:rsidR="00AC6058" w:rsidRDefault="00AC6058" w:rsidP="000708AF">
            <w:pPr>
              <w:pStyle w:val="Normal-table"/>
            </w:pPr>
            <w:r>
              <w:t>AO7</w:t>
            </w:r>
          </w:p>
        </w:tc>
        <w:tc>
          <w:tcPr>
            <w:tcW w:w="2091" w:type="dxa"/>
          </w:tcPr>
          <w:p w14:paraId="59F2E888"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1116</w:t>
            </w:r>
          </w:p>
        </w:tc>
        <w:tc>
          <w:tcPr>
            <w:tcW w:w="2091" w:type="dxa"/>
          </w:tcPr>
          <w:p w14:paraId="56CF9FB8"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130</w:t>
            </w:r>
          </w:p>
        </w:tc>
        <w:tc>
          <w:tcPr>
            <w:tcW w:w="2091" w:type="dxa"/>
          </w:tcPr>
          <w:p w14:paraId="762F2869"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9</w:t>
            </w:r>
          </w:p>
        </w:tc>
        <w:tc>
          <w:tcPr>
            <w:tcW w:w="2092" w:type="dxa"/>
          </w:tcPr>
          <w:p w14:paraId="0A2E4ACB"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1255</w:t>
            </w:r>
          </w:p>
        </w:tc>
      </w:tr>
      <w:tr w:rsidR="00AC6058" w14:paraId="16AC1740" w14:textId="77777777" w:rsidTr="00A74536">
        <w:tc>
          <w:tcPr>
            <w:cnfStyle w:val="001000000000" w:firstRow="0" w:lastRow="0" w:firstColumn="1" w:lastColumn="0" w:oddVBand="0" w:evenVBand="0" w:oddHBand="0" w:evenHBand="0" w:firstRowFirstColumn="0" w:firstRowLastColumn="0" w:lastRowFirstColumn="0" w:lastRowLastColumn="0"/>
            <w:tcW w:w="2091" w:type="dxa"/>
          </w:tcPr>
          <w:p w14:paraId="43AF5E38" w14:textId="77777777" w:rsidR="00AC6058" w:rsidRDefault="00AC6058" w:rsidP="000708AF">
            <w:pPr>
              <w:pStyle w:val="Normal-table"/>
            </w:pPr>
            <w:r>
              <w:t>AO8</w:t>
            </w:r>
          </w:p>
        </w:tc>
        <w:tc>
          <w:tcPr>
            <w:tcW w:w="2091" w:type="dxa"/>
          </w:tcPr>
          <w:p w14:paraId="39BE74AB"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832</w:t>
            </w:r>
          </w:p>
        </w:tc>
        <w:tc>
          <w:tcPr>
            <w:tcW w:w="2091" w:type="dxa"/>
          </w:tcPr>
          <w:p w14:paraId="5A8E944B"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60</w:t>
            </w:r>
          </w:p>
        </w:tc>
        <w:tc>
          <w:tcPr>
            <w:tcW w:w="2091" w:type="dxa"/>
          </w:tcPr>
          <w:p w14:paraId="2ADBE8B9"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0</w:t>
            </w:r>
          </w:p>
        </w:tc>
        <w:tc>
          <w:tcPr>
            <w:tcW w:w="2092" w:type="dxa"/>
          </w:tcPr>
          <w:p w14:paraId="517BD520"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892</w:t>
            </w:r>
          </w:p>
        </w:tc>
      </w:tr>
      <w:tr w:rsidR="00AC6058" w14:paraId="09DE5C57" w14:textId="77777777" w:rsidTr="00A7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6304B7EE" w14:textId="77777777" w:rsidR="00AC6058" w:rsidRDefault="00AC6058" w:rsidP="000708AF">
            <w:pPr>
              <w:pStyle w:val="Normal-table"/>
            </w:pPr>
            <w:r>
              <w:t>SO</w:t>
            </w:r>
          </w:p>
        </w:tc>
        <w:tc>
          <w:tcPr>
            <w:tcW w:w="2091" w:type="dxa"/>
          </w:tcPr>
          <w:p w14:paraId="471122D1"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310</w:t>
            </w:r>
          </w:p>
        </w:tc>
        <w:tc>
          <w:tcPr>
            <w:tcW w:w="2091" w:type="dxa"/>
          </w:tcPr>
          <w:p w14:paraId="77718157"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17</w:t>
            </w:r>
          </w:p>
        </w:tc>
        <w:tc>
          <w:tcPr>
            <w:tcW w:w="2091" w:type="dxa"/>
          </w:tcPr>
          <w:p w14:paraId="587BE981"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0</w:t>
            </w:r>
          </w:p>
        </w:tc>
        <w:tc>
          <w:tcPr>
            <w:tcW w:w="2092" w:type="dxa"/>
          </w:tcPr>
          <w:p w14:paraId="24B9E04B"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327</w:t>
            </w:r>
          </w:p>
        </w:tc>
      </w:tr>
      <w:tr w:rsidR="00AC6058" w14:paraId="25CC9254" w14:textId="77777777" w:rsidTr="00A74536">
        <w:tc>
          <w:tcPr>
            <w:cnfStyle w:val="001000000000" w:firstRow="0" w:lastRow="0" w:firstColumn="1" w:lastColumn="0" w:oddVBand="0" w:evenVBand="0" w:oddHBand="0" w:evenHBand="0" w:firstRowFirstColumn="0" w:firstRowLastColumn="0" w:lastRowFirstColumn="0" w:lastRowLastColumn="0"/>
            <w:tcW w:w="2091" w:type="dxa"/>
          </w:tcPr>
          <w:p w14:paraId="328926D6" w14:textId="77777777" w:rsidR="00AC6058" w:rsidRDefault="00AC6058" w:rsidP="000708AF">
            <w:pPr>
              <w:pStyle w:val="Normal-table"/>
            </w:pPr>
            <w:r>
              <w:t>SES</w:t>
            </w:r>
          </w:p>
        </w:tc>
        <w:tc>
          <w:tcPr>
            <w:tcW w:w="2091" w:type="dxa"/>
          </w:tcPr>
          <w:p w14:paraId="52A3A02E"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143</w:t>
            </w:r>
          </w:p>
        </w:tc>
        <w:tc>
          <w:tcPr>
            <w:tcW w:w="2091" w:type="dxa"/>
          </w:tcPr>
          <w:p w14:paraId="6A44E6A4"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2</w:t>
            </w:r>
          </w:p>
        </w:tc>
        <w:tc>
          <w:tcPr>
            <w:tcW w:w="2091" w:type="dxa"/>
          </w:tcPr>
          <w:p w14:paraId="70510AED"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0</w:t>
            </w:r>
          </w:p>
        </w:tc>
        <w:tc>
          <w:tcPr>
            <w:tcW w:w="2092" w:type="dxa"/>
          </w:tcPr>
          <w:p w14:paraId="701D0EC5"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145</w:t>
            </w:r>
          </w:p>
        </w:tc>
      </w:tr>
      <w:tr w:rsidR="00AC6058" w14:paraId="38E6FDEE" w14:textId="77777777" w:rsidTr="00A7453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3416769C" w14:textId="77777777" w:rsidR="00AC6058" w:rsidRDefault="00AC6058" w:rsidP="000708AF">
            <w:pPr>
              <w:pStyle w:val="Normal-table"/>
            </w:pPr>
            <w:r>
              <w:t>Grand Total</w:t>
            </w:r>
          </w:p>
        </w:tc>
        <w:tc>
          <w:tcPr>
            <w:tcW w:w="2091" w:type="dxa"/>
          </w:tcPr>
          <w:p w14:paraId="5CD10D32" w14:textId="77777777" w:rsidR="00AC6058" w:rsidRDefault="00AC6058" w:rsidP="000708AF">
            <w:pPr>
              <w:pStyle w:val="Normal-table"/>
              <w:cnfStyle w:val="010000000000" w:firstRow="0" w:lastRow="1" w:firstColumn="0" w:lastColumn="0" w:oddVBand="0" w:evenVBand="0" w:oddHBand="0" w:evenHBand="0" w:firstRowFirstColumn="0" w:firstRowLastColumn="0" w:lastRowFirstColumn="0" w:lastRowLastColumn="0"/>
            </w:pPr>
            <w:r>
              <w:t>8363</w:t>
            </w:r>
          </w:p>
        </w:tc>
        <w:tc>
          <w:tcPr>
            <w:tcW w:w="2091" w:type="dxa"/>
          </w:tcPr>
          <w:p w14:paraId="5AF41ECA" w14:textId="77777777" w:rsidR="00AC6058" w:rsidRDefault="00AC6058" w:rsidP="000708AF">
            <w:pPr>
              <w:pStyle w:val="Normal-table"/>
              <w:cnfStyle w:val="010000000000" w:firstRow="0" w:lastRow="1" w:firstColumn="0" w:lastColumn="0" w:oddVBand="0" w:evenVBand="0" w:oddHBand="0" w:evenHBand="0" w:firstRowFirstColumn="0" w:firstRowLastColumn="0" w:lastRowFirstColumn="0" w:lastRowLastColumn="0"/>
            </w:pPr>
            <w:r>
              <w:t>1246</w:t>
            </w:r>
          </w:p>
        </w:tc>
        <w:tc>
          <w:tcPr>
            <w:tcW w:w="2091" w:type="dxa"/>
          </w:tcPr>
          <w:p w14:paraId="624E0D3D" w14:textId="77777777" w:rsidR="00AC6058" w:rsidRDefault="00AC6058" w:rsidP="000708AF">
            <w:pPr>
              <w:pStyle w:val="Normal-table"/>
              <w:cnfStyle w:val="010000000000" w:firstRow="0" w:lastRow="1" w:firstColumn="0" w:lastColumn="0" w:oddVBand="0" w:evenVBand="0" w:oddHBand="0" w:evenHBand="0" w:firstRowFirstColumn="0" w:firstRowLastColumn="0" w:lastRowFirstColumn="0" w:lastRowLastColumn="0"/>
            </w:pPr>
            <w:r>
              <w:t>2027</w:t>
            </w:r>
          </w:p>
        </w:tc>
        <w:tc>
          <w:tcPr>
            <w:tcW w:w="2092" w:type="dxa"/>
          </w:tcPr>
          <w:p w14:paraId="675EBF8A" w14:textId="77777777" w:rsidR="00AC6058" w:rsidRDefault="00AC6058" w:rsidP="000708AF">
            <w:pPr>
              <w:pStyle w:val="Normal-table"/>
              <w:cnfStyle w:val="010000000000" w:firstRow="0" w:lastRow="1" w:firstColumn="0" w:lastColumn="0" w:oddVBand="0" w:evenVBand="0" w:oddHBand="0" w:evenHBand="0" w:firstRowFirstColumn="0" w:firstRowLastColumn="0" w:lastRowFirstColumn="0" w:lastRowLastColumn="0"/>
            </w:pPr>
            <w:r>
              <w:t>11,676</w:t>
            </w:r>
          </w:p>
        </w:tc>
      </w:tr>
    </w:tbl>
    <w:p w14:paraId="10A8636A" w14:textId="77777777" w:rsidR="00AC6058" w:rsidRDefault="00AC6058" w:rsidP="00AC6058"/>
    <w:tbl>
      <w:tblPr>
        <w:tblStyle w:val="GridTable4-Accent1"/>
        <w:tblW w:w="0" w:type="auto"/>
        <w:tblLook w:val="04A0" w:firstRow="1" w:lastRow="0" w:firstColumn="1" w:lastColumn="0" w:noHBand="0" w:noVBand="1"/>
      </w:tblPr>
      <w:tblGrid>
        <w:gridCol w:w="2056"/>
        <w:gridCol w:w="2031"/>
        <w:gridCol w:w="2031"/>
        <w:gridCol w:w="2038"/>
        <w:gridCol w:w="2038"/>
      </w:tblGrid>
      <w:tr w:rsidR="00AC6058" w14:paraId="53623060" w14:textId="77777777" w:rsidTr="00A74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1" w:type="dxa"/>
          </w:tcPr>
          <w:p w14:paraId="26FA85B8" w14:textId="77777777" w:rsidR="00AC6058" w:rsidRDefault="00AC6058" w:rsidP="000708AF">
            <w:pPr>
              <w:pStyle w:val="Normal-table"/>
            </w:pPr>
            <w:r>
              <w:t>Comparison</w:t>
            </w:r>
          </w:p>
        </w:tc>
        <w:tc>
          <w:tcPr>
            <w:tcW w:w="2091" w:type="dxa"/>
          </w:tcPr>
          <w:p w14:paraId="73E89DC3" w14:textId="77777777" w:rsidR="00AC6058" w:rsidRDefault="00AC6058" w:rsidP="000708AF">
            <w:pPr>
              <w:pStyle w:val="Normal-table"/>
              <w:cnfStyle w:val="100000000000" w:firstRow="1" w:lastRow="0" w:firstColumn="0" w:lastColumn="0" w:oddVBand="0" w:evenVBand="0" w:oddHBand="0" w:evenHBand="0" w:firstRowFirstColumn="0" w:firstRowLastColumn="0" w:lastRowFirstColumn="0" w:lastRowLastColumn="0"/>
            </w:pPr>
            <w:r>
              <w:t>Full time</w:t>
            </w:r>
          </w:p>
        </w:tc>
        <w:tc>
          <w:tcPr>
            <w:tcW w:w="2091" w:type="dxa"/>
          </w:tcPr>
          <w:p w14:paraId="3DF92B57" w14:textId="77777777" w:rsidR="00AC6058" w:rsidRDefault="00AC6058" w:rsidP="000708AF">
            <w:pPr>
              <w:pStyle w:val="Normal-table"/>
              <w:cnfStyle w:val="100000000000" w:firstRow="1" w:lastRow="0" w:firstColumn="0" w:lastColumn="0" w:oddVBand="0" w:evenVBand="0" w:oddHBand="0" w:evenHBand="0" w:firstRowFirstColumn="0" w:firstRowLastColumn="0" w:lastRowFirstColumn="0" w:lastRowLastColumn="0"/>
            </w:pPr>
            <w:r>
              <w:t>Part time</w:t>
            </w:r>
          </w:p>
        </w:tc>
        <w:tc>
          <w:tcPr>
            <w:tcW w:w="2091" w:type="dxa"/>
          </w:tcPr>
          <w:p w14:paraId="1B0078DB" w14:textId="77777777" w:rsidR="00AC6058" w:rsidRDefault="00AC6058" w:rsidP="000708AF">
            <w:pPr>
              <w:pStyle w:val="Normal-table"/>
              <w:cnfStyle w:val="100000000000" w:firstRow="1" w:lastRow="0" w:firstColumn="0" w:lastColumn="0" w:oddVBand="0" w:evenVBand="0" w:oddHBand="0" w:evenHBand="0" w:firstRowFirstColumn="0" w:firstRowLastColumn="0" w:lastRowFirstColumn="0" w:lastRowLastColumn="0"/>
            </w:pPr>
            <w:r>
              <w:t>Casual</w:t>
            </w:r>
          </w:p>
        </w:tc>
        <w:tc>
          <w:tcPr>
            <w:tcW w:w="2092" w:type="dxa"/>
          </w:tcPr>
          <w:p w14:paraId="7C2931A3" w14:textId="77777777" w:rsidR="00AC6058" w:rsidRDefault="00AC6058" w:rsidP="000708AF">
            <w:pPr>
              <w:pStyle w:val="Normal-table"/>
              <w:cnfStyle w:val="100000000000" w:firstRow="1" w:lastRow="0" w:firstColumn="0" w:lastColumn="0" w:oddVBand="0" w:evenVBand="0" w:oddHBand="0" w:evenHBand="0" w:firstRowFirstColumn="0" w:firstRowLastColumn="0" w:lastRowFirstColumn="0" w:lastRowLastColumn="0"/>
            </w:pPr>
            <w:r>
              <w:t>Total</w:t>
            </w:r>
          </w:p>
        </w:tc>
      </w:tr>
      <w:tr w:rsidR="00AC6058" w14:paraId="19025AE8" w14:textId="77777777" w:rsidTr="00A7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78E6BDF2" w14:textId="77777777" w:rsidR="00AC6058" w:rsidRDefault="00AC6058" w:rsidP="000708AF">
            <w:pPr>
              <w:pStyle w:val="Normal-table"/>
            </w:pPr>
            <w:r>
              <w:t>Jun-23</w:t>
            </w:r>
          </w:p>
        </w:tc>
        <w:tc>
          <w:tcPr>
            <w:tcW w:w="2091" w:type="dxa"/>
          </w:tcPr>
          <w:p w14:paraId="4711DC68"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8363</w:t>
            </w:r>
          </w:p>
        </w:tc>
        <w:tc>
          <w:tcPr>
            <w:tcW w:w="2091" w:type="dxa"/>
          </w:tcPr>
          <w:p w14:paraId="1341666A"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1246</w:t>
            </w:r>
          </w:p>
        </w:tc>
        <w:tc>
          <w:tcPr>
            <w:tcW w:w="2091" w:type="dxa"/>
          </w:tcPr>
          <w:p w14:paraId="4F02A1CF"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2027</w:t>
            </w:r>
          </w:p>
        </w:tc>
        <w:tc>
          <w:tcPr>
            <w:tcW w:w="2092" w:type="dxa"/>
          </w:tcPr>
          <w:p w14:paraId="33066FF8"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11,636</w:t>
            </w:r>
          </w:p>
        </w:tc>
      </w:tr>
      <w:tr w:rsidR="00AC6058" w14:paraId="1D267DC6" w14:textId="77777777" w:rsidTr="00A74536">
        <w:tc>
          <w:tcPr>
            <w:cnfStyle w:val="001000000000" w:firstRow="0" w:lastRow="0" w:firstColumn="1" w:lastColumn="0" w:oddVBand="0" w:evenVBand="0" w:oddHBand="0" w:evenHBand="0" w:firstRowFirstColumn="0" w:firstRowLastColumn="0" w:lastRowFirstColumn="0" w:lastRowLastColumn="0"/>
            <w:tcW w:w="2091" w:type="dxa"/>
          </w:tcPr>
          <w:p w14:paraId="0A6639A5" w14:textId="77777777" w:rsidR="00AC6058" w:rsidRDefault="00AC6058" w:rsidP="000708AF">
            <w:pPr>
              <w:pStyle w:val="Normal-table"/>
            </w:pPr>
            <w:r>
              <w:t>Jun-22</w:t>
            </w:r>
          </w:p>
        </w:tc>
        <w:tc>
          <w:tcPr>
            <w:tcW w:w="2091" w:type="dxa"/>
          </w:tcPr>
          <w:p w14:paraId="0EBE2DBC"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6606</w:t>
            </w:r>
          </w:p>
        </w:tc>
        <w:tc>
          <w:tcPr>
            <w:tcW w:w="2091" w:type="dxa"/>
          </w:tcPr>
          <w:p w14:paraId="30ED4104"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907</w:t>
            </w:r>
          </w:p>
        </w:tc>
        <w:tc>
          <w:tcPr>
            <w:tcW w:w="2091" w:type="dxa"/>
          </w:tcPr>
          <w:p w14:paraId="18E40761"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1961</w:t>
            </w:r>
          </w:p>
        </w:tc>
        <w:tc>
          <w:tcPr>
            <w:tcW w:w="2092" w:type="dxa"/>
          </w:tcPr>
          <w:p w14:paraId="7EFBCE4E"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9474</w:t>
            </w:r>
          </w:p>
        </w:tc>
      </w:tr>
      <w:tr w:rsidR="00AC6058" w14:paraId="7FE8FF89" w14:textId="77777777" w:rsidTr="00A7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68B3DD15" w14:textId="77777777" w:rsidR="00AC6058" w:rsidRDefault="00AC6058" w:rsidP="000708AF">
            <w:pPr>
              <w:pStyle w:val="Normal-table"/>
            </w:pPr>
            <w:r>
              <w:t>Jun-21</w:t>
            </w:r>
          </w:p>
        </w:tc>
        <w:tc>
          <w:tcPr>
            <w:tcW w:w="2091" w:type="dxa"/>
          </w:tcPr>
          <w:p w14:paraId="57356BC2"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6531</w:t>
            </w:r>
          </w:p>
        </w:tc>
        <w:tc>
          <w:tcPr>
            <w:tcW w:w="2091" w:type="dxa"/>
          </w:tcPr>
          <w:p w14:paraId="3773D85B"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909</w:t>
            </w:r>
          </w:p>
        </w:tc>
        <w:tc>
          <w:tcPr>
            <w:tcW w:w="2091" w:type="dxa"/>
          </w:tcPr>
          <w:p w14:paraId="723FDD98"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2020</w:t>
            </w:r>
          </w:p>
        </w:tc>
        <w:tc>
          <w:tcPr>
            <w:tcW w:w="2092" w:type="dxa"/>
          </w:tcPr>
          <w:p w14:paraId="1724F573"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9460</w:t>
            </w:r>
          </w:p>
        </w:tc>
      </w:tr>
      <w:tr w:rsidR="00AC6058" w14:paraId="2C571CD8" w14:textId="77777777" w:rsidTr="00A74536">
        <w:tc>
          <w:tcPr>
            <w:cnfStyle w:val="001000000000" w:firstRow="0" w:lastRow="0" w:firstColumn="1" w:lastColumn="0" w:oddVBand="0" w:evenVBand="0" w:oddHBand="0" w:evenHBand="0" w:firstRowFirstColumn="0" w:firstRowLastColumn="0" w:lastRowFirstColumn="0" w:lastRowLastColumn="0"/>
            <w:tcW w:w="2091" w:type="dxa"/>
          </w:tcPr>
          <w:p w14:paraId="28A024E8" w14:textId="77777777" w:rsidR="00AC6058" w:rsidRDefault="00AC6058" w:rsidP="000708AF">
            <w:pPr>
              <w:pStyle w:val="Normal-table"/>
            </w:pPr>
            <w:r>
              <w:t>Jun-20</w:t>
            </w:r>
          </w:p>
        </w:tc>
        <w:tc>
          <w:tcPr>
            <w:tcW w:w="2091" w:type="dxa"/>
          </w:tcPr>
          <w:p w14:paraId="22B48EC2"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6487</w:t>
            </w:r>
          </w:p>
        </w:tc>
        <w:tc>
          <w:tcPr>
            <w:tcW w:w="2091" w:type="dxa"/>
          </w:tcPr>
          <w:p w14:paraId="03D55DFB"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844</w:t>
            </w:r>
          </w:p>
        </w:tc>
        <w:tc>
          <w:tcPr>
            <w:tcW w:w="2091" w:type="dxa"/>
          </w:tcPr>
          <w:p w14:paraId="2B830DD2"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2115</w:t>
            </w:r>
          </w:p>
        </w:tc>
        <w:tc>
          <w:tcPr>
            <w:tcW w:w="2092" w:type="dxa"/>
          </w:tcPr>
          <w:p w14:paraId="5DB60E80"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9446</w:t>
            </w:r>
          </w:p>
        </w:tc>
      </w:tr>
    </w:tbl>
    <w:p w14:paraId="24FA43DE" w14:textId="77777777" w:rsidR="00AC6058" w:rsidRDefault="00AC6058" w:rsidP="00AC6058">
      <w:pPr>
        <w:pStyle w:val="TableofFigures"/>
      </w:pPr>
      <w:r>
        <w:t>Full Time Equivalent (FTE)</w:t>
      </w:r>
    </w:p>
    <w:tbl>
      <w:tblPr>
        <w:tblStyle w:val="GridTable4-Accent1"/>
        <w:tblW w:w="0" w:type="auto"/>
        <w:tblLook w:val="04E0" w:firstRow="1" w:lastRow="1" w:firstColumn="1" w:lastColumn="0" w:noHBand="0" w:noVBand="1"/>
      </w:tblPr>
      <w:tblGrid>
        <w:gridCol w:w="2045"/>
        <w:gridCol w:w="2036"/>
        <w:gridCol w:w="2034"/>
        <w:gridCol w:w="2042"/>
        <w:gridCol w:w="2037"/>
      </w:tblGrid>
      <w:tr w:rsidR="00AC6058" w14:paraId="1CBEC0E6" w14:textId="77777777" w:rsidTr="00A74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1" w:type="dxa"/>
          </w:tcPr>
          <w:p w14:paraId="300A545F" w14:textId="77777777" w:rsidR="00AC6058" w:rsidRDefault="00AC6058" w:rsidP="000708AF">
            <w:pPr>
              <w:pStyle w:val="Normal-table"/>
            </w:pPr>
            <w:r>
              <w:t>Gender</w:t>
            </w:r>
          </w:p>
        </w:tc>
        <w:tc>
          <w:tcPr>
            <w:tcW w:w="2091" w:type="dxa"/>
          </w:tcPr>
          <w:p w14:paraId="1753873F" w14:textId="77777777" w:rsidR="00AC6058" w:rsidRDefault="00AC6058" w:rsidP="000708AF">
            <w:pPr>
              <w:pStyle w:val="Normal-table"/>
              <w:cnfStyle w:val="100000000000" w:firstRow="1" w:lastRow="0" w:firstColumn="0" w:lastColumn="0" w:oddVBand="0" w:evenVBand="0" w:oddHBand="0" w:evenHBand="0" w:firstRowFirstColumn="0" w:firstRowLastColumn="0" w:lastRowFirstColumn="0" w:lastRowLastColumn="0"/>
            </w:pPr>
            <w:r>
              <w:t>Full time</w:t>
            </w:r>
          </w:p>
        </w:tc>
        <w:tc>
          <w:tcPr>
            <w:tcW w:w="2091" w:type="dxa"/>
          </w:tcPr>
          <w:p w14:paraId="7A784158" w14:textId="77777777" w:rsidR="00AC6058" w:rsidRDefault="00AC6058" w:rsidP="000708AF">
            <w:pPr>
              <w:pStyle w:val="Normal-table"/>
              <w:cnfStyle w:val="100000000000" w:firstRow="1" w:lastRow="0" w:firstColumn="0" w:lastColumn="0" w:oddVBand="0" w:evenVBand="0" w:oddHBand="0" w:evenHBand="0" w:firstRowFirstColumn="0" w:firstRowLastColumn="0" w:lastRowFirstColumn="0" w:lastRowLastColumn="0"/>
            </w:pPr>
            <w:r>
              <w:t>Part time</w:t>
            </w:r>
          </w:p>
        </w:tc>
        <w:tc>
          <w:tcPr>
            <w:tcW w:w="2091" w:type="dxa"/>
          </w:tcPr>
          <w:p w14:paraId="726FB56B" w14:textId="77777777" w:rsidR="00AC6058" w:rsidRDefault="00AC6058" w:rsidP="000708AF">
            <w:pPr>
              <w:pStyle w:val="Normal-table"/>
              <w:cnfStyle w:val="100000000000" w:firstRow="1" w:lastRow="0" w:firstColumn="0" w:lastColumn="0" w:oddVBand="0" w:evenVBand="0" w:oddHBand="0" w:evenHBand="0" w:firstRowFirstColumn="0" w:firstRowLastColumn="0" w:lastRowFirstColumn="0" w:lastRowLastColumn="0"/>
            </w:pPr>
            <w:r>
              <w:t>Casual</w:t>
            </w:r>
          </w:p>
        </w:tc>
        <w:tc>
          <w:tcPr>
            <w:tcW w:w="2092" w:type="dxa"/>
          </w:tcPr>
          <w:p w14:paraId="428FABCD" w14:textId="77777777" w:rsidR="00AC6058" w:rsidRDefault="00AC6058" w:rsidP="000708AF">
            <w:pPr>
              <w:pStyle w:val="Normal-table"/>
              <w:cnfStyle w:val="100000000000" w:firstRow="1" w:lastRow="0" w:firstColumn="0" w:lastColumn="0" w:oddVBand="0" w:evenVBand="0" w:oddHBand="0" w:evenHBand="0" w:firstRowFirstColumn="0" w:firstRowLastColumn="0" w:lastRowFirstColumn="0" w:lastRowLastColumn="0"/>
            </w:pPr>
            <w:r>
              <w:t>Total</w:t>
            </w:r>
          </w:p>
        </w:tc>
      </w:tr>
      <w:tr w:rsidR="00AC6058" w14:paraId="49F2590E" w14:textId="77777777" w:rsidTr="00A7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5CFB00D5" w14:textId="77777777" w:rsidR="00AC6058" w:rsidRDefault="00AC6058" w:rsidP="000708AF">
            <w:pPr>
              <w:pStyle w:val="Normal-table"/>
            </w:pPr>
            <w:r>
              <w:t>Woman</w:t>
            </w:r>
          </w:p>
        </w:tc>
        <w:tc>
          <w:tcPr>
            <w:tcW w:w="2091" w:type="dxa"/>
          </w:tcPr>
          <w:p w14:paraId="245BDDF2"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3662</w:t>
            </w:r>
          </w:p>
        </w:tc>
        <w:tc>
          <w:tcPr>
            <w:tcW w:w="2091" w:type="dxa"/>
          </w:tcPr>
          <w:p w14:paraId="735E5C56"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761</w:t>
            </w:r>
          </w:p>
        </w:tc>
        <w:tc>
          <w:tcPr>
            <w:tcW w:w="2091" w:type="dxa"/>
          </w:tcPr>
          <w:p w14:paraId="06093DC4"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235</w:t>
            </w:r>
          </w:p>
        </w:tc>
        <w:tc>
          <w:tcPr>
            <w:tcW w:w="2092" w:type="dxa"/>
          </w:tcPr>
          <w:p w14:paraId="2B9338AF"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4658</w:t>
            </w:r>
          </w:p>
        </w:tc>
      </w:tr>
      <w:tr w:rsidR="00AC6058" w14:paraId="56FBBFC1" w14:textId="77777777" w:rsidTr="00A74536">
        <w:tc>
          <w:tcPr>
            <w:cnfStyle w:val="001000000000" w:firstRow="0" w:lastRow="0" w:firstColumn="1" w:lastColumn="0" w:oddVBand="0" w:evenVBand="0" w:oddHBand="0" w:evenHBand="0" w:firstRowFirstColumn="0" w:firstRowLastColumn="0" w:lastRowFirstColumn="0" w:lastRowLastColumn="0"/>
            <w:tcW w:w="2091" w:type="dxa"/>
          </w:tcPr>
          <w:p w14:paraId="714F52DD" w14:textId="77777777" w:rsidR="00AC6058" w:rsidRDefault="00AC6058" w:rsidP="000708AF">
            <w:pPr>
              <w:pStyle w:val="Normal-table"/>
            </w:pPr>
            <w:r>
              <w:t>Man</w:t>
            </w:r>
          </w:p>
        </w:tc>
        <w:tc>
          <w:tcPr>
            <w:tcW w:w="2091" w:type="dxa"/>
          </w:tcPr>
          <w:p w14:paraId="0B2ACDE4"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4562</w:t>
            </w:r>
          </w:p>
        </w:tc>
        <w:tc>
          <w:tcPr>
            <w:tcW w:w="2091" w:type="dxa"/>
          </w:tcPr>
          <w:p w14:paraId="042962FF"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105</w:t>
            </w:r>
          </w:p>
        </w:tc>
        <w:tc>
          <w:tcPr>
            <w:tcW w:w="2091" w:type="dxa"/>
          </w:tcPr>
          <w:p w14:paraId="42C788D5"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102</w:t>
            </w:r>
          </w:p>
        </w:tc>
        <w:tc>
          <w:tcPr>
            <w:tcW w:w="2092" w:type="dxa"/>
          </w:tcPr>
          <w:p w14:paraId="7BD9360E"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4769</w:t>
            </w:r>
          </w:p>
        </w:tc>
      </w:tr>
      <w:tr w:rsidR="00AC6058" w14:paraId="34EEDFED" w14:textId="77777777" w:rsidTr="00A7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12F834F2" w14:textId="77777777" w:rsidR="00AC6058" w:rsidRDefault="00AC6058" w:rsidP="000708AF">
            <w:pPr>
              <w:pStyle w:val="Normal-table"/>
            </w:pPr>
            <w:r>
              <w:t>Non-binary</w:t>
            </w:r>
          </w:p>
        </w:tc>
        <w:tc>
          <w:tcPr>
            <w:tcW w:w="2091" w:type="dxa"/>
          </w:tcPr>
          <w:p w14:paraId="5713D59F"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8</w:t>
            </w:r>
          </w:p>
        </w:tc>
        <w:tc>
          <w:tcPr>
            <w:tcW w:w="2091" w:type="dxa"/>
          </w:tcPr>
          <w:p w14:paraId="2EF706F6"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2</w:t>
            </w:r>
          </w:p>
        </w:tc>
        <w:tc>
          <w:tcPr>
            <w:tcW w:w="2091" w:type="dxa"/>
          </w:tcPr>
          <w:p w14:paraId="55D2C8CF"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w:t>
            </w:r>
          </w:p>
        </w:tc>
        <w:tc>
          <w:tcPr>
            <w:tcW w:w="2092" w:type="dxa"/>
          </w:tcPr>
          <w:p w14:paraId="126E84F1"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11</w:t>
            </w:r>
          </w:p>
        </w:tc>
      </w:tr>
      <w:tr w:rsidR="00AC6058" w14:paraId="503CD745" w14:textId="77777777" w:rsidTr="00A7453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4B1160C9" w14:textId="77777777" w:rsidR="00AC6058" w:rsidRDefault="00AC6058" w:rsidP="000708AF">
            <w:pPr>
              <w:pStyle w:val="Normal-table"/>
            </w:pPr>
            <w:r>
              <w:lastRenderedPageBreak/>
              <w:t>Grand Total</w:t>
            </w:r>
          </w:p>
        </w:tc>
        <w:tc>
          <w:tcPr>
            <w:tcW w:w="2091" w:type="dxa"/>
          </w:tcPr>
          <w:p w14:paraId="74BAE91D" w14:textId="77777777" w:rsidR="00AC6058" w:rsidRDefault="00AC6058" w:rsidP="000708AF">
            <w:pPr>
              <w:pStyle w:val="Normal-table"/>
              <w:cnfStyle w:val="010000000000" w:firstRow="0" w:lastRow="1" w:firstColumn="0" w:lastColumn="0" w:oddVBand="0" w:evenVBand="0" w:oddHBand="0" w:evenHBand="0" w:firstRowFirstColumn="0" w:firstRowLastColumn="0" w:lastRowFirstColumn="0" w:lastRowLastColumn="0"/>
            </w:pPr>
            <w:r>
              <w:t>8232</w:t>
            </w:r>
          </w:p>
        </w:tc>
        <w:tc>
          <w:tcPr>
            <w:tcW w:w="2091" w:type="dxa"/>
          </w:tcPr>
          <w:p w14:paraId="418E0588" w14:textId="77777777" w:rsidR="00AC6058" w:rsidRDefault="00AC6058" w:rsidP="000708AF">
            <w:pPr>
              <w:pStyle w:val="Normal-table"/>
              <w:cnfStyle w:val="010000000000" w:firstRow="0" w:lastRow="1" w:firstColumn="0" w:lastColumn="0" w:oddVBand="0" w:evenVBand="0" w:oddHBand="0" w:evenHBand="0" w:firstRowFirstColumn="0" w:firstRowLastColumn="0" w:lastRowFirstColumn="0" w:lastRowLastColumn="0"/>
            </w:pPr>
            <w:r>
              <w:t>868</w:t>
            </w:r>
          </w:p>
        </w:tc>
        <w:tc>
          <w:tcPr>
            <w:tcW w:w="2091" w:type="dxa"/>
          </w:tcPr>
          <w:p w14:paraId="0076FFF6" w14:textId="77777777" w:rsidR="00AC6058" w:rsidRDefault="00AC6058" w:rsidP="000708AF">
            <w:pPr>
              <w:pStyle w:val="Normal-table"/>
              <w:cnfStyle w:val="010000000000" w:firstRow="0" w:lastRow="1" w:firstColumn="0" w:lastColumn="0" w:oddVBand="0" w:evenVBand="0" w:oddHBand="0" w:evenHBand="0" w:firstRowFirstColumn="0" w:firstRowLastColumn="0" w:lastRowFirstColumn="0" w:lastRowLastColumn="0"/>
            </w:pPr>
            <w:r>
              <w:t>338</w:t>
            </w:r>
          </w:p>
        </w:tc>
        <w:tc>
          <w:tcPr>
            <w:tcW w:w="2092" w:type="dxa"/>
          </w:tcPr>
          <w:p w14:paraId="704633C4" w14:textId="77777777" w:rsidR="00AC6058" w:rsidRDefault="00AC6058" w:rsidP="000708AF">
            <w:pPr>
              <w:pStyle w:val="Normal-table"/>
              <w:cnfStyle w:val="010000000000" w:firstRow="0" w:lastRow="1" w:firstColumn="0" w:lastColumn="0" w:oddVBand="0" w:evenVBand="0" w:oddHBand="0" w:evenHBand="0" w:firstRowFirstColumn="0" w:firstRowLastColumn="0" w:lastRowFirstColumn="0" w:lastRowLastColumn="0"/>
            </w:pPr>
            <w:r>
              <w:t>9438</w:t>
            </w:r>
          </w:p>
        </w:tc>
      </w:tr>
    </w:tbl>
    <w:p w14:paraId="2C682B1F" w14:textId="77777777" w:rsidR="00E6328B" w:rsidRDefault="00E6328B">
      <w:pPr>
        <w:spacing w:before="0" w:after="160" w:line="259" w:lineRule="auto"/>
      </w:pPr>
      <w:r>
        <w:br w:type="page"/>
      </w:r>
    </w:p>
    <w:p w14:paraId="43E33764" w14:textId="77777777" w:rsidR="00AC6058" w:rsidRDefault="00AC6058" w:rsidP="00AC6058"/>
    <w:tbl>
      <w:tblPr>
        <w:tblStyle w:val="GridTable4-Accent1"/>
        <w:tblW w:w="0" w:type="auto"/>
        <w:tblLook w:val="04E0" w:firstRow="1" w:lastRow="1" w:firstColumn="1" w:lastColumn="0" w:noHBand="0" w:noVBand="1"/>
      </w:tblPr>
      <w:tblGrid>
        <w:gridCol w:w="2042"/>
        <w:gridCol w:w="2036"/>
        <w:gridCol w:w="2035"/>
        <w:gridCol w:w="2043"/>
        <w:gridCol w:w="2038"/>
      </w:tblGrid>
      <w:tr w:rsidR="00AC6058" w14:paraId="613B1169" w14:textId="77777777" w:rsidTr="00A74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1" w:type="dxa"/>
          </w:tcPr>
          <w:p w14:paraId="39863A92" w14:textId="77777777" w:rsidR="00AC6058" w:rsidRDefault="00AC6058" w:rsidP="000708AF">
            <w:pPr>
              <w:pStyle w:val="Normal-table"/>
            </w:pPr>
            <w:r>
              <w:t>Age</w:t>
            </w:r>
          </w:p>
        </w:tc>
        <w:tc>
          <w:tcPr>
            <w:tcW w:w="2091" w:type="dxa"/>
          </w:tcPr>
          <w:p w14:paraId="6D81CFB9" w14:textId="77777777" w:rsidR="00AC6058" w:rsidRDefault="00AC6058" w:rsidP="000708AF">
            <w:pPr>
              <w:pStyle w:val="Normal-table"/>
              <w:cnfStyle w:val="100000000000" w:firstRow="1" w:lastRow="0" w:firstColumn="0" w:lastColumn="0" w:oddVBand="0" w:evenVBand="0" w:oddHBand="0" w:evenHBand="0" w:firstRowFirstColumn="0" w:firstRowLastColumn="0" w:lastRowFirstColumn="0" w:lastRowLastColumn="0"/>
            </w:pPr>
            <w:r>
              <w:t>Full time</w:t>
            </w:r>
          </w:p>
        </w:tc>
        <w:tc>
          <w:tcPr>
            <w:tcW w:w="2091" w:type="dxa"/>
          </w:tcPr>
          <w:p w14:paraId="280AE07F" w14:textId="77777777" w:rsidR="00AC6058" w:rsidRDefault="00AC6058" w:rsidP="000708AF">
            <w:pPr>
              <w:pStyle w:val="Normal-table"/>
              <w:cnfStyle w:val="100000000000" w:firstRow="1" w:lastRow="0" w:firstColumn="0" w:lastColumn="0" w:oddVBand="0" w:evenVBand="0" w:oddHBand="0" w:evenHBand="0" w:firstRowFirstColumn="0" w:firstRowLastColumn="0" w:lastRowFirstColumn="0" w:lastRowLastColumn="0"/>
            </w:pPr>
            <w:r>
              <w:t>Part time</w:t>
            </w:r>
          </w:p>
        </w:tc>
        <w:tc>
          <w:tcPr>
            <w:tcW w:w="2091" w:type="dxa"/>
          </w:tcPr>
          <w:p w14:paraId="44533E61" w14:textId="77777777" w:rsidR="00AC6058" w:rsidRDefault="00AC6058" w:rsidP="000708AF">
            <w:pPr>
              <w:pStyle w:val="Normal-table"/>
              <w:cnfStyle w:val="100000000000" w:firstRow="1" w:lastRow="0" w:firstColumn="0" w:lastColumn="0" w:oddVBand="0" w:evenVBand="0" w:oddHBand="0" w:evenHBand="0" w:firstRowFirstColumn="0" w:firstRowLastColumn="0" w:lastRowFirstColumn="0" w:lastRowLastColumn="0"/>
            </w:pPr>
            <w:r>
              <w:t>Casual</w:t>
            </w:r>
          </w:p>
        </w:tc>
        <w:tc>
          <w:tcPr>
            <w:tcW w:w="2092" w:type="dxa"/>
          </w:tcPr>
          <w:p w14:paraId="488CEBB3" w14:textId="77777777" w:rsidR="00AC6058" w:rsidRDefault="00AC6058" w:rsidP="000708AF">
            <w:pPr>
              <w:pStyle w:val="Normal-table"/>
              <w:cnfStyle w:val="100000000000" w:firstRow="1" w:lastRow="0" w:firstColumn="0" w:lastColumn="0" w:oddVBand="0" w:evenVBand="0" w:oddHBand="0" w:evenHBand="0" w:firstRowFirstColumn="0" w:firstRowLastColumn="0" w:lastRowFirstColumn="0" w:lastRowLastColumn="0"/>
            </w:pPr>
            <w:r>
              <w:t>Total</w:t>
            </w:r>
          </w:p>
        </w:tc>
      </w:tr>
      <w:tr w:rsidR="00AC6058" w14:paraId="4A9127D2" w14:textId="77777777" w:rsidTr="00A7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3217CBC0" w14:textId="77777777" w:rsidR="00AC6058" w:rsidRDefault="00AC6058" w:rsidP="000708AF">
            <w:pPr>
              <w:pStyle w:val="Normal-table"/>
            </w:pPr>
            <w:r>
              <w:t>&lt; 25 Years</w:t>
            </w:r>
          </w:p>
        </w:tc>
        <w:tc>
          <w:tcPr>
            <w:tcW w:w="2091" w:type="dxa"/>
          </w:tcPr>
          <w:p w14:paraId="55F06016"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270</w:t>
            </w:r>
          </w:p>
        </w:tc>
        <w:tc>
          <w:tcPr>
            <w:tcW w:w="2091" w:type="dxa"/>
          </w:tcPr>
          <w:p w14:paraId="01A315F2"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17</w:t>
            </w:r>
          </w:p>
        </w:tc>
        <w:tc>
          <w:tcPr>
            <w:tcW w:w="2091" w:type="dxa"/>
          </w:tcPr>
          <w:p w14:paraId="688D923E"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15</w:t>
            </w:r>
          </w:p>
        </w:tc>
        <w:tc>
          <w:tcPr>
            <w:tcW w:w="2092" w:type="dxa"/>
          </w:tcPr>
          <w:p w14:paraId="1A30509C"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301</w:t>
            </w:r>
          </w:p>
        </w:tc>
      </w:tr>
      <w:tr w:rsidR="00AC6058" w14:paraId="00153787" w14:textId="77777777" w:rsidTr="00A74536">
        <w:tc>
          <w:tcPr>
            <w:cnfStyle w:val="001000000000" w:firstRow="0" w:lastRow="0" w:firstColumn="1" w:lastColumn="0" w:oddVBand="0" w:evenVBand="0" w:oddHBand="0" w:evenHBand="0" w:firstRowFirstColumn="0" w:firstRowLastColumn="0" w:lastRowFirstColumn="0" w:lastRowLastColumn="0"/>
            <w:tcW w:w="2091" w:type="dxa"/>
          </w:tcPr>
          <w:p w14:paraId="3DB17124" w14:textId="77777777" w:rsidR="00AC6058" w:rsidRDefault="00AC6058" w:rsidP="000708AF">
            <w:pPr>
              <w:pStyle w:val="Normal-table"/>
            </w:pPr>
            <w:r>
              <w:t>25–34 Years</w:t>
            </w:r>
          </w:p>
        </w:tc>
        <w:tc>
          <w:tcPr>
            <w:tcW w:w="2091" w:type="dxa"/>
          </w:tcPr>
          <w:p w14:paraId="5B4E415A"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1250</w:t>
            </w:r>
          </w:p>
        </w:tc>
        <w:tc>
          <w:tcPr>
            <w:tcW w:w="2091" w:type="dxa"/>
          </w:tcPr>
          <w:p w14:paraId="642DFA47"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96</w:t>
            </w:r>
          </w:p>
        </w:tc>
        <w:tc>
          <w:tcPr>
            <w:tcW w:w="2091" w:type="dxa"/>
          </w:tcPr>
          <w:p w14:paraId="52E754CD"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33</w:t>
            </w:r>
          </w:p>
        </w:tc>
        <w:tc>
          <w:tcPr>
            <w:tcW w:w="2092" w:type="dxa"/>
          </w:tcPr>
          <w:p w14:paraId="0FAD229A"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1379</w:t>
            </w:r>
          </w:p>
        </w:tc>
      </w:tr>
      <w:tr w:rsidR="00AC6058" w14:paraId="73517E42" w14:textId="77777777" w:rsidTr="00A7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48FFF7C1" w14:textId="77777777" w:rsidR="00AC6058" w:rsidRDefault="00AC6058" w:rsidP="000708AF">
            <w:pPr>
              <w:pStyle w:val="Normal-table"/>
            </w:pPr>
            <w:r>
              <w:t>35–44 Years</w:t>
            </w:r>
          </w:p>
        </w:tc>
        <w:tc>
          <w:tcPr>
            <w:tcW w:w="2091" w:type="dxa"/>
          </w:tcPr>
          <w:p w14:paraId="1ED08C6C"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2077</w:t>
            </w:r>
          </w:p>
        </w:tc>
        <w:tc>
          <w:tcPr>
            <w:tcW w:w="2091" w:type="dxa"/>
          </w:tcPr>
          <w:p w14:paraId="41A7BC2A"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308</w:t>
            </w:r>
          </w:p>
        </w:tc>
        <w:tc>
          <w:tcPr>
            <w:tcW w:w="2091" w:type="dxa"/>
          </w:tcPr>
          <w:p w14:paraId="5AEA622F"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37</w:t>
            </w:r>
          </w:p>
        </w:tc>
        <w:tc>
          <w:tcPr>
            <w:tcW w:w="2092" w:type="dxa"/>
          </w:tcPr>
          <w:p w14:paraId="6CC5977D"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2422</w:t>
            </w:r>
          </w:p>
        </w:tc>
      </w:tr>
      <w:tr w:rsidR="00AC6058" w14:paraId="6AD0C419" w14:textId="77777777" w:rsidTr="00A74536">
        <w:tc>
          <w:tcPr>
            <w:cnfStyle w:val="001000000000" w:firstRow="0" w:lastRow="0" w:firstColumn="1" w:lastColumn="0" w:oddVBand="0" w:evenVBand="0" w:oddHBand="0" w:evenHBand="0" w:firstRowFirstColumn="0" w:firstRowLastColumn="0" w:lastRowFirstColumn="0" w:lastRowLastColumn="0"/>
            <w:tcW w:w="2091" w:type="dxa"/>
          </w:tcPr>
          <w:p w14:paraId="1865A0E4" w14:textId="77777777" w:rsidR="00AC6058" w:rsidRDefault="00AC6058" w:rsidP="000708AF">
            <w:pPr>
              <w:pStyle w:val="Normal-table"/>
            </w:pPr>
            <w:r>
              <w:t>45-54 Years</w:t>
            </w:r>
          </w:p>
        </w:tc>
        <w:tc>
          <w:tcPr>
            <w:tcW w:w="2091" w:type="dxa"/>
          </w:tcPr>
          <w:p w14:paraId="0DDA087F"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2429</w:t>
            </w:r>
          </w:p>
        </w:tc>
        <w:tc>
          <w:tcPr>
            <w:tcW w:w="2091" w:type="dxa"/>
          </w:tcPr>
          <w:p w14:paraId="0084B66C"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217</w:t>
            </w:r>
          </w:p>
        </w:tc>
        <w:tc>
          <w:tcPr>
            <w:tcW w:w="2091" w:type="dxa"/>
          </w:tcPr>
          <w:p w14:paraId="7E570F3E"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56</w:t>
            </w:r>
          </w:p>
        </w:tc>
        <w:tc>
          <w:tcPr>
            <w:tcW w:w="2092" w:type="dxa"/>
          </w:tcPr>
          <w:p w14:paraId="6CF0BEB3"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2702</w:t>
            </w:r>
          </w:p>
        </w:tc>
      </w:tr>
      <w:tr w:rsidR="00AC6058" w14:paraId="648A9DB9" w14:textId="77777777" w:rsidTr="00A7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65FFE2A6" w14:textId="77777777" w:rsidR="00AC6058" w:rsidRDefault="00AC6058" w:rsidP="000708AF">
            <w:pPr>
              <w:pStyle w:val="Normal-table"/>
            </w:pPr>
            <w:r>
              <w:t>55–64 Years</w:t>
            </w:r>
          </w:p>
        </w:tc>
        <w:tc>
          <w:tcPr>
            <w:tcW w:w="2091" w:type="dxa"/>
          </w:tcPr>
          <w:p w14:paraId="24A6E5FB"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1850</w:t>
            </w:r>
          </w:p>
        </w:tc>
        <w:tc>
          <w:tcPr>
            <w:tcW w:w="2091" w:type="dxa"/>
          </w:tcPr>
          <w:p w14:paraId="31D18256"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183</w:t>
            </w:r>
          </w:p>
        </w:tc>
        <w:tc>
          <w:tcPr>
            <w:tcW w:w="2091" w:type="dxa"/>
          </w:tcPr>
          <w:p w14:paraId="4D81E0E7"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77</w:t>
            </w:r>
          </w:p>
        </w:tc>
        <w:tc>
          <w:tcPr>
            <w:tcW w:w="2092" w:type="dxa"/>
          </w:tcPr>
          <w:p w14:paraId="0A9DD896"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2109</w:t>
            </w:r>
          </w:p>
        </w:tc>
      </w:tr>
      <w:tr w:rsidR="00AC6058" w14:paraId="77B10041" w14:textId="77777777" w:rsidTr="00A74536">
        <w:tc>
          <w:tcPr>
            <w:cnfStyle w:val="001000000000" w:firstRow="0" w:lastRow="0" w:firstColumn="1" w:lastColumn="0" w:oddVBand="0" w:evenVBand="0" w:oddHBand="0" w:evenHBand="0" w:firstRowFirstColumn="0" w:firstRowLastColumn="0" w:lastRowFirstColumn="0" w:lastRowLastColumn="0"/>
            <w:tcW w:w="2091" w:type="dxa"/>
          </w:tcPr>
          <w:p w14:paraId="34D1BAFE" w14:textId="77777777" w:rsidR="00AC6058" w:rsidRDefault="00AC6058" w:rsidP="000708AF">
            <w:pPr>
              <w:pStyle w:val="Normal-table"/>
            </w:pPr>
            <w:r>
              <w:t>&gt; 65 Years</w:t>
            </w:r>
          </w:p>
        </w:tc>
        <w:tc>
          <w:tcPr>
            <w:tcW w:w="2091" w:type="dxa"/>
          </w:tcPr>
          <w:p w14:paraId="6CFF749E"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356</w:t>
            </w:r>
          </w:p>
        </w:tc>
        <w:tc>
          <w:tcPr>
            <w:tcW w:w="2091" w:type="dxa"/>
          </w:tcPr>
          <w:p w14:paraId="1F29C324"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48</w:t>
            </w:r>
          </w:p>
        </w:tc>
        <w:tc>
          <w:tcPr>
            <w:tcW w:w="2091" w:type="dxa"/>
          </w:tcPr>
          <w:p w14:paraId="20300BBB"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120</w:t>
            </w:r>
          </w:p>
        </w:tc>
        <w:tc>
          <w:tcPr>
            <w:tcW w:w="2092" w:type="dxa"/>
          </w:tcPr>
          <w:p w14:paraId="6E3EBBA1"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524</w:t>
            </w:r>
          </w:p>
        </w:tc>
      </w:tr>
      <w:tr w:rsidR="00AC6058" w14:paraId="3026F1FE" w14:textId="77777777" w:rsidTr="00A7453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5C63A5B0" w14:textId="77777777" w:rsidR="00AC6058" w:rsidRDefault="00AC6058" w:rsidP="000708AF">
            <w:pPr>
              <w:pStyle w:val="Normal-table"/>
            </w:pPr>
            <w:r>
              <w:t>Grand Total</w:t>
            </w:r>
          </w:p>
        </w:tc>
        <w:tc>
          <w:tcPr>
            <w:tcW w:w="2091" w:type="dxa"/>
          </w:tcPr>
          <w:p w14:paraId="75D83650" w14:textId="77777777" w:rsidR="00AC6058" w:rsidRDefault="00AC6058" w:rsidP="000708AF">
            <w:pPr>
              <w:pStyle w:val="Normal-table"/>
              <w:cnfStyle w:val="010000000000" w:firstRow="0" w:lastRow="1" w:firstColumn="0" w:lastColumn="0" w:oddVBand="0" w:evenVBand="0" w:oddHBand="0" w:evenHBand="0" w:firstRowFirstColumn="0" w:firstRowLastColumn="0" w:lastRowFirstColumn="0" w:lastRowLastColumn="0"/>
            </w:pPr>
            <w:r>
              <w:t>8232</w:t>
            </w:r>
          </w:p>
        </w:tc>
        <w:tc>
          <w:tcPr>
            <w:tcW w:w="2091" w:type="dxa"/>
          </w:tcPr>
          <w:p w14:paraId="02A8920D" w14:textId="77777777" w:rsidR="00AC6058" w:rsidRDefault="00AC6058" w:rsidP="000708AF">
            <w:pPr>
              <w:pStyle w:val="Normal-table"/>
              <w:cnfStyle w:val="010000000000" w:firstRow="0" w:lastRow="1" w:firstColumn="0" w:lastColumn="0" w:oddVBand="0" w:evenVBand="0" w:oddHBand="0" w:evenHBand="0" w:firstRowFirstColumn="0" w:firstRowLastColumn="0" w:lastRowFirstColumn="0" w:lastRowLastColumn="0"/>
            </w:pPr>
            <w:r>
              <w:t>868</w:t>
            </w:r>
          </w:p>
        </w:tc>
        <w:tc>
          <w:tcPr>
            <w:tcW w:w="2091" w:type="dxa"/>
          </w:tcPr>
          <w:p w14:paraId="17F7C149" w14:textId="77777777" w:rsidR="00AC6058" w:rsidRDefault="00AC6058" w:rsidP="000708AF">
            <w:pPr>
              <w:pStyle w:val="Normal-table"/>
              <w:cnfStyle w:val="010000000000" w:firstRow="0" w:lastRow="1" w:firstColumn="0" w:lastColumn="0" w:oddVBand="0" w:evenVBand="0" w:oddHBand="0" w:evenHBand="0" w:firstRowFirstColumn="0" w:firstRowLastColumn="0" w:lastRowFirstColumn="0" w:lastRowLastColumn="0"/>
            </w:pPr>
            <w:r>
              <w:t>338</w:t>
            </w:r>
          </w:p>
        </w:tc>
        <w:tc>
          <w:tcPr>
            <w:tcW w:w="2092" w:type="dxa"/>
          </w:tcPr>
          <w:p w14:paraId="16BEC8B8" w14:textId="77777777" w:rsidR="00AC6058" w:rsidRDefault="00AC6058" w:rsidP="000708AF">
            <w:pPr>
              <w:pStyle w:val="Normal-table"/>
              <w:cnfStyle w:val="010000000000" w:firstRow="0" w:lastRow="1" w:firstColumn="0" w:lastColumn="0" w:oddVBand="0" w:evenVBand="0" w:oddHBand="0" w:evenHBand="0" w:firstRowFirstColumn="0" w:firstRowLastColumn="0" w:lastRowFirstColumn="0" w:lastRowLastColumn="0"/>
            </w:pPr>
            <w:r>
              <w:t>9438</w:t>
            </w:r>
          </w:p>
        </w:tc>
      </w:tr>
    </w:tbl>
    <w:p w14:paraId="611E6B1F" w14:textId="77777777" w:rsidR="00AC6058" w:rsidRDefault="00AC6058" w:rsidP="00AC6058"/>
    <w:tbl>
      <w:tblPr>
        <w:tblStyle w:val="GridTable4-Accent1"/>
        <w:tblW w:w="0" w:type="auto"/>
        <w:tblLook w:val="04E0" w:firstRow="1" w:lastRow="1" w:firstColumn="1" w:lastColumn="0" w:noHBand="0" w:noVBand="1"/>
      </w:tblPr>
      <w:tblGrid>
        <w:gridCol w:w="2053"/>
        <w:gridCol w:w="2034"/>
        <w:gridCol w:w="2032"/>
        <w:gridCol w:w="2040"/>
        <w:gridCol w:w="2035"/>
      </w:tblGrid>
      <w:tr w:rsidR="00AC6058" w14:paraId="79AD385D" w14:textId="77777777" w:rsidTr="00A74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1" w:type="dxa"/>
          </w:tcPr>
          <w:p w14:paraId="670079E6" w14:textId="77777777" w:rsidR="00AC6058" w:rsidRDefault="00AC6058" w:rsidP="000708AF">
            <w:pPr>
              <w:pStyle w:val="Normal-table"/>
            </w:pPr>
            <w:r>
              <w:t>Equivalent Salary Level</w:t>
            </w:r>
          </w:p>
        </w:tc>
        <w:tc>
          <w:tcPr>
            <w:tcW w:w="2091" w:type="dxa"/>
          </w:tcPr>
          <w:p w14:paraId="18514D24" w14:textId="77777777" w:rsidR="00AC6058" w:rsidRDefault="00AC6058" w:rsidP="000708AF">
            <w:pPr>
              <w:pStyle w:val="Normal-table"/>
              <w:cnfStyle w:val="100000000000" w:firstRow="1" w:lastRow="0" w:firstColumn="0" w:lastColumn="0" w:oddVBand="0" w:evenVBand="0" w:oddHBand="0" w:evenHBand="0" w:firstRowFirstColumn="0" w:firstRowLastColumn="0" w:lastRowFirstColumn="0" w:lastRowLastColumn="0"/>
            </w:pPr>
            <w:r>
              <w:t>Full time</w:t>
            </w:r>
          </w:p>
        </w:tc>
        <w:tc>
          <w:tcPr>
            <w:tcW w:w="2091" w:type="dxa"/>
          </w:tcPr>
          <w:p w14:paraId="020916BA" w14:textId="77777777" w:rsidR="00AC6058" w:rsidRDefault="00AC6058" w:rsidP="000708AF">
            <w:pPr>
              <w:pStyle w:val="Normal-table"/>
              <w:cnfStyle w:val="100000000000" w:firstRow="1" w:lastRow="0" w:firstColumn="0" w:lastColumn="0" w:oddVBand="0" w:evenVBand="0" w:oddHBand="0" w:evenHBand="0" w:firstRowFirstColumn="0" w:firstRowLastColumn="0" w:lastRowFirstColumn="0" w:lastRowLastColumn="0"/>
            </w:pPr>
            <w:r>
              <w:t>Part time</w:t>
            </w:r>
          </w:p>
        </w:tc>
        <w:tc>
          <w:tcPr>
            <w:tcW w:w="2091" w:type="dxa"/>
          </w:tcPr>
          <w:p w14:paraId="31B99D56" w14:textId="77777777" w:rsidR="00AC6058" w:rsidRDefault="00AC6058" w:rsidP="000708AF">
            <w:pPr>
              <w:pStyle w:val="Normal-table"/>
              <w:cnfStyle w:val="100000000000" w:firstRow="1" w:lastRow="0" w:firstColumn="0" w:lastColumn="0" w:oddVBand="0" w:evenVBand="0" w:oddHBand="0" w:evenHBand="0" w:firstRowFirstColumn="0" w:firstRowLastColumn="0" w:lastRowFirstColumn="0" w:lastRowLastColumn="0"/>
            </w:pPr>
            <w:r>
              <w:t>Casual</w:t>
            </w:r>
          </w:p>
        </w:tc>
        <w:tc>
          <w:tcPr>
            <w:tcW w:w="2092" w:type="dxa"/>
          </w:tcPr>
          <w:p w14:paraId="38D5B5D3" w14:textId="77777777" w:rsidR="00AC6058" w:rsidRDefault="00AC6058" w:rsidP="000708AF">
            <w:pPr>
              <w:pStyle w:val="Normal-table"/>
              <w:cnfStyle w:val="100000000000" w:firstRow="1" w:lastRow="0" w:firstColumn="0" w:lastColumn="0" w:oddVBand="0" w:evenVBand="0" w:oddHBand="0" w:evenHBand="0" w:firstRowFirstColumn="0" w:firstRowLastColumn="0" w:lastRowFirstColumn="0" w:lastRowLastColumn="0"/>
            </w:pPr>
            <w:r>
              <w:t>Total</w:t>
            </w:r>
          </w:p>
        </w:tc>
      </w:tr>
      <w:tr w:rsidR="00AC6058" w14:paraId="63539A9A" w14:textId="77777777" w:rsidTr="00A7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05584A64" w14:textId="77777777" w:rsidR="00AC6058" w:rsidRDefault="00AC6058" w:rsidP="000708AF">
            <w:pPr>
              <w:pStyle w:val="Normal-table"/>
            </w:pPr>
            <w:r>
              <w:t>AO1</w:t>
            </w:r>
          </w:p>
        </w:tc>
        <w:tc>
          <w:tcPr>
            <w:tcW w:w="2091" w:type="dxa"/>
          </w:tcPr>
          <w:p w14:paraId="272A8285"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12</w:t>
            </w:r>
          </w:p>
        </w:tc>
        <w:tc>
          <w:tcPr>
            <w:tcW w:w="2091" w:type="dxa"/>
          </w:tcPr>
          <w:p w14:paraId="24DDF7E4"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0</w:t>
            </w:r>
          </w:p>
        </w:tc>
        <w:tc>
          <w:tcPr>
            <w:tcW w:w="2091" w:type="dxa"/>
          </w:tcPr>
          <w:p w14:paraId="727BBBEB"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0</w:t>
            </w:r>
          </w:p>
        </w:tc>
        <w:tc>
          <w:tcPr>
            <w:tcW w:w="2092" w:type="dxa"/>
          </w:tcPr>
          <w:p w14:paraId="0FE51B43"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12</w:t>
            </w:r>
          </w:p>
        </w:tc>
      </w:tr>
      <w:tr w:rsidR="00AC6058" w14:paraId="6CE4B513" w14:textId="77777777" w:rsidTr="00A74536">
        <w:tc>
          <w:tcPr>
            <w:cnfStyle w:val="001000000000" w:firstRow="0" w:lastRow="0" w:firstColumn="1" w:lastColumn="0" w:oddVBand="0" w:evenVBand="0" w:oddHBand="0" w:evenHBand="0" w:firstRowFirstColumn="0" w:firstRowLastColumn="0" w:lastRowFirstColumn="0" w:lastRowLastColumn="0"/>
            <w:tcW w:w="2091" w:type="dxa"/>
          </w:tcPr>
          <w:p w14:paraId="195EE7CE" w14:textId="77777777" w:rsidR="00AC6058" w:rsidRDefault="00AC6058" w:rsidP="000708AF">
            <w:pPr>
              <w:pStyle w:val="Normal-table"/>
            </w:pPr>
            <w:r>
              <w:t>AO2</w:t>
            </w:r>
          </w:p>
        </w:tc>
        <w:tc>
          <w:tcPr>
            <w:tcW w:w="2091" w:type="dxa"/>
          </w:tcPr>
          <w:p w14:paraId="68EF85DA"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741</w:t>
            </w:r>
          </w:p>
        </w:tc>
        <w:tc>
          <w:tcPr>
            <w:tcW w:w="2091" w:type="dxa"/>
          </w:tcPr>
          <w:p w14:paraId="47EEE8FE"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25</w:t>
            </w:r>
          </w:p>
        </w:tc>
        <w:tc>
          <w:tcPr>
            <w:tcW w:w="2091" w:type="dxa"/>
          </w:tcPr>
          <w:p w14:paraId="336D2839"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264</w:t>
            </w:r>
          </w:p>
        </w:tc>
        <w:tc>
          <w:tcPr>
            <w:tcW w:w="2092" w:type="dxa"/>
          </w:tcPr>
          <w:p w14:paraId="7DACE546"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1030</w:t>
            </w:r>
          </w:p>
        </w:tc>
      </w:tr>
      <w:tr w:rsidR="00AC6058" w14:paraId="16355DA1" w14:textId="77777777" w:rsidTr="00A7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1D03837B" w14:textId="77777777" w:rsidR="00AC6058" w:rsidRDefault="00AC6058" w:rsidP="000708AF">
            <w:pPr>
              <w:pStyle w:val="Normal-table"/>
            </w:pPr>
            <w:r>
              <w:t>AO3</w:t>
            </w:r>
          </w:p>
        </w:tc>
        <w:tc>
          <w:tcPr>
            <w:tcW w:w="2091" w:type="dxa"/>
          </w:tcPr>
          <w:p w14:paraId="2AD7B69D"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1683</w:t>
            </w:r>
          </w:p>
        </w:tc>
        <w:tc>
          <w:tcPr>
            <w:tcW w:w="2091" w:type="dxa"/>
          </w:tcPr>
          <w:p w14:paraId="30856FF7"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421</w:t>
            </w:r>
          </w:p>
        </w:tc>
        <w:tc>
          <w:tcPr>
            <w:tcW w:w="2091" w:type="dxa"/>
          </w:tcPr>
          <w:p w14:paraId="0A2522C9"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61</w:t>
            </w:r>
          </w:p>
        </w:tc>
        <w:tc>
          <w:tcPr>
            <w:tcW w:w="2092" w:type="dxa"/>
          </w:tcPr>
          <w:p w14:paraId="4DB43A82"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2165</w:t>
            </w:r>
          </w:p>
        </w:tc>
      </w:tr>
      <w:tr w:rsidR="00AC6058" w14:paraId="3E665572" w14:textId="77777777" w:rsidTr="00A74536">
        <w:tc>
          <w:tcPr>
            <w:cnfStyle w:val="001000000000" w:firstRow="0" w:lastRow="0" w:firstColumn="1" w:lastColumn="0" w:oddVBand="0" w:evenVBand="0" w:oddHBand="0" w:evenHBand="0" w:firstRowFirstColumn="0" w:firstRowLastColumn="0" w:lastRowFirstColumn="0" w:lastRowLastColumn="0"/>
            <w:tcW w:w="2091" w:type="dxa"/>
          </w:tcPr>
          <w:p w14:paraId="18559925" w14:textId="77777777" w:rsidR="00AC6058" w:rsidRDefault="00AC6058" w:rsidP="000708AF">
            <w:pPr>
              <w:pStyle w:val="Normal-table"/>
            </w:pPr>
            <w:r>
              <w:t>AO4</w:t>
            </w:r>
          </w:p>
        </w:tc>
        <w:tc>
          <w:tcPr>
            <w:tcW w:w="2091" w:type="dxa"/>
          </w:tcPr>
          <w:p w14:paraId="26E0E800"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1056</w:t>
            </w:r>
          </w:p>
        </w:tc>
        <w:tc>
          <w:tcPr>
            <w:tcW w:w="2091" w:type="dxa"/>
          </w:tcPr>
          <w:p w14:paraId="1D310D63"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73</w:t>
            </w:r>
          </w:p>
        </w:tc>
        <w:tc>
          <w:tcPr>
            <w:tcW w:w="2091" w:type="dxa"/>
          </w:tcPr>
          <w:p w14:paraId="7DDB4A14"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0</w:t>
            </w:r>
          </w:p>
        </w:tc>
        <w:tc>
          <w:tcPr>
            <w:tcW w:w="2092" w:type="dxa"/>
          </w:tcPr>
          <w:p w14:paraId="60B5ED88"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1130</w:t>
            </w:r>
          </w:p>
        </w:tc>
      </w:tr>
      <w:tr w:rsidR="00AC6058" w14:paraId="1597C513" w14:textId="77777777" w:rsidTr="00A7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76E8C47C" w14:textId="77777777" w:rsidR="00AC6058" w:rsidRDefault="00AC6058" w:rsidP="000708AF">
            <w:pPr>
              <w:pStyle w:val="Normal-table"/>
            </w:pPr>
            <w:r>
              <w:t>AO5</w:t>
            </w:r>
          </w:p>
        </w:tc>
        <w:tc>
          <w:tcPr>
            <w:tcW w:w="2091" w:type="dxa"/>
          </w:tcPr>
          <w:p w14:paraId="5AC6D397"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1239</w:t>
            </w:r>
          </w:p>
        </w:tc>
        <w:tc>
          <w:tcPr>
            <w:tcW w:w="2091" w:type="dxa"/>
          </w:tcPr>
          <w:p w14:paraId="18B01C27"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106</w:t>
            </w:r>
          </w:p>
        </w:tc>
        <w:tc>
          <w:tcPr>
            <w:tcW w:w="2091" w:type="dxa"/>
          </w:tcPr>
          <w:p w14:paraId="3734C4E8"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w:t>
            </w:r>
          </w:p>
        </w:tc>
        <w:tc>
          <w:tcPr>
            <w:tcW w:w="2092" w:type="dxa"/>
          </w:tcPr>
          <w:p w14:paraId="7E72CFB8"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1345</w:t>
            </w:r>
          </w:p>
        </w:tc>
      </w:tr>
      <w:tr w:rsidR="00AC6058" w14:paraId="642283A0" w14:textId="77777777" w:rsidTr="00A74536">
        <w:tc>
          <w:tcPr>
            <w:cnfStyle w:val="001000000000" w:firstRow="0" w:lastRow="0" w:firstColumn="1" w:lastColumn="0" w:oddVBand="0" w:evenVBand="0" w:oddHBand="0" w:evenHBand="0" w:firstRowFirstColumn="0" w:firstRowLastColumn="0" w:lastRowFirstColumn="0" w:lastRowLastColumn="0"/>
            <w:tcW w:w="2091" w:type="dxa"/>
          </w:tcPr>
          <w:p w14:paraId="7A702DDC" w14:textId="77777777" w:rsidR="00AC6058" w:rsidRDefault="00AC6058" w:rsidP="000708AF">
            <w:pPr>
              <w:pStyle w:val="Normal-table"/>
            </w:pPr>
            <w:r>
              <w:t>AO6</w:t>
            </w:r>
          </w:p>
        </w:tc>
        <w:tc>
          <w:tcPr>
            <w:tcW w:w="2091" w:type="dxa"/>
          </w:tcPr>
          <w:p w14:paraId="3C9C4775"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1136</w:t>
            </w:r>
          </w:p>
        </w:tc>
        <w:tc>
          <w:tcPr>
            <w:tcW w:w="2091" w:type="dxa"/>
          </w:tcPr>
          <w:p w14:paraId="526E3B21"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88</w:t>
            </w:r>
          </w:p>
        </w:tc>
        <w:tc>
          <w:tcPr>
            <w:tcW w:w="2091" w:type="dxa"/>
          </w:tcPr>
          <w:p w14:paraId="69DF42D8"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6</w:t>
            </w:r>
          </w:p>
        </w:tc>
        <w:tc>
          <w:tcPr>
            <w:tcW w:w="2092" w:type="dxa"/>
          </w:tcPr>
          <w:p w14:paraId="35143ADA"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1229</w:t>
            </w:r>
          </w:p>
        </w:tc>
      </w:tr>
      <w:tr w:rsidR="00AC6058" w14:paraId="2B99B01F" w14:textId="77777777" w:rsidTr="00A7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1B208770" w14:textId="77777777" w:rsidR="00AC6058" w:rsidRDefault="00AC6058" w:rsidP="000708AF">
            <w:pPr>
              <w:pStyle w:val="Normal-table"/>
            </w:pPr>
            <w:r>
              <w:t>AO7</w:t>
            </w:r>
          </w:p>
        </w:tc>
        <w:tc>
          <w:tcPr>
            <w:tcW w:w="2091" w:type="dxa"/>
          </w:tcPr>
          <w:p w14:paraId="49F8A642"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1101</w:t>
            </w:r>
          </w:p>
        </w:tc>
        <w:tc>
          <w:tcPr>
            <w:tcW w:w="2091" w:type="dxa"/>
          </w:tcPr>
          <w:p w14:paraId="630F1242"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94</w:t>
            </w:r>
          </w:p>
        </w:tc>
        <w:tc>
          <w:tcPr>
            <w:tcW w:w="2091" w:type="dxa"/>
          </w:tcPr>
          <w:p w14:paraId="543C577A"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6</w:t>
            </w:r>
          </w:p>
        </w:tc>
        <w:tc>
          <w:tcPr>
            <w:tcW w:w="2092" w:type="dxa"/>
          </w:tcPr>
          <w:p w14:paraId="29F4B392"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1202</w:t>
            </w:r>
          </w:p>
        </w:tc>
      </w:tr>
      <w:tr w:rsidR="00AC6058" w14:paraId="6F0CE29C" w14:textId="77777777" w:rsidTr="00A74536">
        <w:tc>
          <w:tcPr>
            <w:cnfStyle w:val="001000000000" w:firstRow="0" w:lastRow="0" w:firstColumn="1" w:lastColumn="0" w:oddVBand="0" w:evenVBand="0" w:oddHBand="0" w:evenHBand="0" w:firstRowFirstColumn="0" w:firstRowLastColumn="0" w:lastRowFirstColumn="0" w:lastRowLastColumn="0"/>
            <w:tcW w:w="2091" w:type="dxa"/>
          </w:tcPr>
          <w:p w14:paraId="42066510" w14:textId="77777777" w:rsidR="00AC6058" w:rsidRDefault="00AC6058" w:rsidP="000708AF">
            <w:pPr>
              <w:pStyle w:val="Normal-table"/>
            </w:pPr>
            <w:r>
              <w:t>AO8</w:t>
            </w:r>
          </w:p>
        </w:tc>
        <w:tc>
          <w:tcPr>
            <w:tcW w:w="2091" w:type="dxa"/>
          </w:tcPr>
          <w:p w14:paraId="0A5FDB73"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819</w:t>
            </w:r>
          </w:p>
        </w:tc>
        <w:tc>
          <w:tcPr>
            <w:tcW w:w="2091" w:type="dxa"/>
          </w:tcPr>
          <w:p w14:paraId="1A728CF1"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46</w:t>
            </w:r>
          </w:p>
        </w:tc>
        <w:tc>
          <w:tcPr>
            <w:tcW w:w="2091" w:type="dxa"/>
          </w:tcPr>
          <w:p w14:paraId="3795BBF0"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0</w:t>
            </w:r>
          </w:p>
        </w:tc>
        <w:tc>
          <w:tcPr>
            <w:tcW w:w="2092" w:type="dxa"/>
          </w:tcPr>
          <w:p w14:paraId="0657BD7C"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865</w:t>
            </w:r>
          </w:p>
        </w:tc>
      </w:tr>
      <w:tr w:rsidR="00AC6058" w14:paraId="2470F6F7" w14:textId="77777777" w:rsidTr="00A7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5C5E6D16" w14:textId="77777777" w:rsidR="00AC6058" w:rsidRDefault="00AC6058" w:rsidP="000708AF">
            <w:pPr>
              <w:pStyle w:val="Normal-table"/>
            </w:pPr>
            <w:r>
              <w:t>SO</w:t>
            </w:r>
          </w:p>
        </w:tc>
        <w:tc>
          <w:tcPr>
            <w:tcW w:w="2091" w:type="dxa"/>
          </w:tcPr>
          <w:p w14:paraId="2D8BCCEB"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304</w:t>
            </w:r>
          </w:p>
        </w:tc>
        <w:tc>
          <w:tcPr>
            <w:tcW w:w="2091" w:type="dxa"/>
          </w:tcPr>
          <w:p w14:paraId="67412ABC"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13</w:t>
            </w:r>
          </w:p>
        </w:tc>
        <w:tc>
          <w:tcPr>
            <w:tcW w:w="2091" w:type="dxa"/>
          </w:tcPr>
          <w:p w14:paraId="4A11668E"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0</w:t>
            </w:r>
          </w:p>
        </w:tc>
        <w:tc>
          <w:tcPr>
            <w:tcW w:w="2092" w:type="dxa"/>
          </w:tcPr>
          <w:p w14:paraId="189843E2"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317</w:t>
            </w:r>
          </w:p>
        </w:tc>
      </w:tr>
      <w:tr w:rsidR="00AC6058" w14:paraId="0C461C5C" w14:textId="77777777" w:rsidTr="00A74536">
        <w:tc>
          <w:tcPr>
            <w:cnfStyle w:val="001000000000" w:firstRow="0" w:lastRow="0" w:firstColumn="1" w:lastColumn="0" w:oddVBand="0" w:evenVBand="0" w:oddHBand="0" w:evenHBand="0" w:firstRowFirstColumn="0" w:firstRowLastColumn="0" w:lastRowFirstColumn="0" w:lastRowLastColumn="0"/>
            <w:tcW w:w="2091" w:type="dxa"/>
          </w:tcPr>
          <w:p w14:paraId="1CBF2E9C" w14:textId="77777777" w:rsidR="00AC6058" w:rsidRDefault="00AC6058" w:rsidP="000708AF">
            <w:pPr>
              <w:pStyle w:val="Normal-table"/>
            </w:pPr>
            <w:r>
              <w:t>SES</w:t>
            </w:r>
          </w:p>
        </w:tc>
        <w:tc>
          <w:tcPr>
            <w:tcW w:w="2091" w:type="dxa"/>
          </w:tcPr>
          <w:p w14:paraId="6D6BD815"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142</w:t>
            </w:r>
          </w:p>
        </w:tc>
        <w:tc>
          <w:tcPr>
            <w:tcW w:w="2091" w:type="dxa"/>
          </w:tcPr>
          <w:p w14:paraId="5D4D8D6C"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2</w:t>
            </w:r>
          </w:p>
        </w:tc>
        <w:tc>
          <w:tcPr>
            <w:tcW w:w="2091" w:type="dxa"/>
          </w:tcPr>
          <w:p w14:paraId="03374261"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0</w:t>
            </w:r>
          </w:p>
        </w:tc>
        <w:tc>
          <w:tcPr>
            <w:tcW w:w="2092" w:type="dxa"/>
          </w:tcPr>
          <w:p w14:paraId="79FA240E"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144</w:t>
            </w:r>
          </w:p>
        </w:tc>
      </w:tr>
      <w:tr w:rsidR="00AC6058" w14:paraId="13D4CE40" w14:textId="77777777" w:rsidTr="00A7453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78BAB5C8" w14:textId="77777777" w:rsidR="00AC6058" w:rsidRDefault="00AC6058" w:rsidP="000708AF">
            <w:pPr>
              <w:pStyle w:val="Normal-table"/>
            </w:pPr>
            <w:r>
              <w:t>Grand Total</w:t>
            </w:r>
          </w:p>
        </w:tc>
        <w:tc>
          <w:tcPr>
            <w:tcW w:w="2091" w:type="dxa"/>
          </w:tcPr>
          <w:p w14:paraId="2DDCBAFC" w14:textId="77777777" w:rsidR="00AC6058" w:rsidRDefault="00AC6058" w:rsidP="000708AF">
            <w:pPr>
              <w:pStyle w:val="Normal-table"/>
              <w:cnfStyle w:val="010000000000" w:firstRow="0" w:lastRow="1" w:firstColumn="0" w:lastColumn="0" w:oddVBand="0" w:evenVBand="0" w:oddHBand="0" w:evenHBand="0" w:firstRowFirstColumn="0" w:firstRowLastColumn="0" w:lastRowFirstColumn="0" w:lastRowLastColumn="0"/>
            </w:pPr>
            <w:r>
              <w:t>8232</w:t>
            </w:r>
          </w:p>
        </w:tc>
        <w:tc>
          <w:tcPr>
            <w:tcW w:w="2091" w:type="dxa"/>
          </w:tcPr>
          <w:p w14:paraId="07FE1CCF" w14:textId="77777777" w:rsidR="00AC6058" w:rsidRDefault="00AC6058" w:rsidP="000708AF">
            <w:pPr>
              <w:pStyle w:val="Normal-table"/>
              <w:cnfStyle w:val="010000000000" w:firstRow="0" w:lastRow="1" w:firstColumn="0" w:lastColumn="0" w:oddVBand="0" w:evenVBand="0" w:oddHBand="0" w:evenHBand="0" w:firstRowFirstColumn="0" w:firstRowLastColumn="0" w:lastRowFirstColumn="0" w:lastRowLastColumn="0"/>
            </w:pPr>
            <w:r>
              <w:t>868</w:t>
            </w:r>
          </w:p>
        </w:tc>
        <w:tc>
          <w:tcPr>
            <w:tcW w:w="2091" w:type="dxa"/>
          </w:tcPr>
          <w:p w14:paraId="3AA3DAB6" w14:textId="77777777" w:rsidR="00AC6058" w:rsidRDefault="00AC6058" w:rsidP="000708AF">
            <w:pPr>
              <w:pStyle w:val="Normal-table"/>
              <w:cnfStyle w:val="010000000000" w:firstRow="0" w:lastRow="1" w:firstColumn="0" w:lastColumn="0" w:oddVBand="0" w:evenVBand="0" w:oddHBand="0" w:evenHBand="0" w:firstRowFirstColumn="0" w:firstRowLastColumn="0" w:lastRowFirstColumn="0" w:lastRowLastColumn="0"/>
            </w:pPr>
            <w:r>
              <w:t>338</w:t>
            </w:r>
          </w:p>
        </w:tc>
        <w:tc>
          <w:tcPr>
            <w:tcW w:w="2092" w:type="dxa"/>
          </w:tcPr>
          <w:p w14:paraId="3B0A43B8" w14:textId="77777777" w:rsidR="00AC6058" w:rsidRDefault="00AC6058" w:rsidP="000708AF">
            <w:pPr>
              <w:pStyle w:val="Normal-table"/>
              <w:cnfStyle w:val="010000000000" w:firstRow="0" w:lastRow="1" w:firstColumn="0" w:lastColumn="0" w:oddVBand="0" w:evenVBand="0" w:oddHBand="0" w:evenHBand="0" w:firstRowFirstColumn="0" w:firstRowLastColumn="0" w:lastRowFirstColumn="0" w:lastRowLastColumn="0"/>
            </w:pPr>
            <w:r>
              <w:t>9438</w:t>
            </w:r>
          </w:p>
        </w:tc>
      </w:tr>
    </w:tbl>
    <w:p w14:paraId="65F93002" w14:textId="77777777" w:rsidR="00AC6058" w:rsidRDefault="00AC6058" w:rsidP="00AC6058"/>
    <w:tbl>
      <w:tblPr>
        <w:tblStyle w:val="GridTable4-Accent1"/>
        <w:tblW w:w="0" w:type="auto"/>
        <w:tblLook w:val="04A0" w:firstRow="1" w:lastRow="0" w:firstColumn="1" w:lastColumn="0" w:noHBand="0" w:noVBand="1"/>
      </w:tblPr>
      <w:tblGrid>
        <w:gridCol w:w="2058"/>
        <w:gridCol w:w="2032"/>
        <w:gridCol w:w="2031"/>
        <w:gridCol w:w="2039"/>
        <w:gridCol w:w="2034"/>
      </w:tblGrid>
      <w:tr w:rsidR="00AC6058" w14:paraId="58E979EB" w14:textId="77777777" w:rsidTr="00A745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1" w:type="dxa"/>
          </w:tcPr>
          <w:p w14:paraId="23B3B6DD" w14:textId="77777777" w:rsidR="00AC6058" w:rsidRDefault="00AC6058" w:rsidP="000708AF">
            <w:pPr>
              <w:pStyle w:val="Normal-table"/>
            </w:pPr>
            <w:r>
              <w:t>Comparison</w:t>
            </w:r>
          </w:p>
        </w:tc>
        <w:tc>
          <w:tcPr>
            <w:tcW w:w="2091" w:type="dxa"/>
          </w:tcPr>
          <w:p w14:paraId="407AF29C" w14:textId="77777777" w:rsidR="00AC6058" w:rsidRDefault="00AC6058" w:rsidP="000708AF">
            <w:pPr>
              <w:pStyle w:val="Normal-table"/>
              <w:cnfStyle w:val="100000000000" w:firstRow="1" w:lastRow="0" w:firstColumn="0" w:lastColumn="0" w:oddVBand="0" w:evenVBand="0" w:oddHBand="0" w:evenHBand="0" w:firstRowFirstColumn="0" w:firstRowLastColumn="0" w:lastRowFirstColumn="0" w:lastRowLastColumn="0"/>
            </w:pPr>
            <w:r>
              <w:t>Full time</w:t>
            </w:r>
          </w:p>
        </w:tc>
        <w:tc>
          <w:tcPr>
            <w:tcW w:w="2091" w:type="dxa"/>
          </w:tcPr>
          <w:p w14:paraId="47BA1899" w14:textId="77777777" w:rsidR="00AC6058" w:rsidRDefault="00AC6058" w:rsidP="000708AF">
            <w:pPr>
              <w:pStyle w:val="Normal-table"/>
              <w:cnfStyle w:val="100000000000" w:firstRow="1" w:lastRow="0" w:firstColumn="0" w:lastColumn="0" w:oddVBand="0" w:evenVBand="0" w:oddHBand="0" w:evenHBand="0" w:firstRowFirstColumn="0" w:firstRowLastColumn="0" w:lastRowFirstColumn="0" w:lastRowLastColumn="0"/>
            </w:pPr>
            <w:r>
              <w:t>Part time</w:t>
            </w:r>
          </w:p>
        </w:tc>
        <w:tc>
          <w:tcPr>
            <w:tcW w:w="2091" w:type="dxa"/>
          </w:tcPr>
          <w:p w14:paraId="494E7BD3" w14:textId="77777777" w:rsidR="00AC6058" w:rsidRDefault="00AC6058" w:rsidP="000708AF">
            <w:pPr>
              <w:pStyle w:val="Normal-table"/>
              <w:cnfStyle w:val="100000000000" w:firstRow="1" w:lastRow="0" w:firstColumn="0" w:lastColumn="0" w:oddVBand="0" w:evenVBand="0" w:oddHBand="0" w:evenHBand="0" w:firstRowFirstColumn="0" w:firstRowLastColumn="0" w:lastRowFirstColumn="0" w:lastRowLastColumn="0"/>
            </w:pPr>
            <w:r>
              <w:t>Casual</w:t>
            </w:r>
          </w:p>
        </w:tc>
        <w:tc>
          <w:tcPr>
            <w:tcW w:w="2092" w:type="dxa"/>
          </w:tcPr>
          <w:p w14:paraId="62F12A1D" w14:textId="77777777" w:rsidR="00AC6058" w:rsidRDefault="00AC6058" w:rsidP="000708AF">
            <w:pPr>
              <w:pStyle w:val="Normal-table"/>
              <w:cnfStyle w:val="100000000000" w:firstRow="1" w:lastRow="0" w:firstColumn="0" w:lastColumn="0" w:oddVBand="0" w:evenVBand="0" w:oddHBand="0" w:evenHBand="0" w:firstRowFirstColumn="0" w:firstRowLastColumn="0" w:lastRowFirstColumn="0" w:lastRowLastColumn="0"/>
            </w:pPr>
            <w:r>
              <w:t>Total</w:t>
            </w:r>
          </w:p>
        </w:tc>
      </w:tr>
      <w:tr w:rsidR="00AC6058" w14:paraId="130CF10E" w14:textId="77777777" w:rsidTr="00A7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0FF70EFB" w14:textId="77777777" w:rsidR="00AC6058" w:rsidRDefault="00AC6058" w:rsidP="000708AF">
            <w:pPr>
              <w:pStyle w:val="Normal-table"/>
            </w:pPr>
            <w:r>
              <w:t>Jun-23</w:t>
            </w:r>
          </w:p>
        </w:tc>
        <w:tc>
          <w:tcPr>
            <w:tcW w:w="2091" w:type="dxa"/>
          </w:tcPr>
          <w:p w14:paraId="14066829"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8232</w:t>
            </w:r>
          </w:p>
        </w:tc>
        <w:tc>
          <w:tcPr>
            <w:tcW w:w="2091" w:type="dxa"/>
          </w:tcPr>
          <w:p w14:paraId="54D6B07B"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868</w:t>
            </w:r>
          </w:p>
        </w:tc>
        <w:tc>
          <w:tcPr>
            <w:tcW w:w="2091" w:type="dxa"/>
          </w:tcPr>
          <w:p w14:paraId="4B3D3261"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338</w:t>
            </w:r>
          </w:p>
        </w:tc>
        <w:tc>
          <w:tcPr>
            <w:tcW w:w="2092" w:type="dxa"/>
          </w:tcPr>
          <w:p w14:paraId="05C288F6"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9438</w:t>
            </w:r>
          </w:p>
        </w:tc>
      </w:tr>
      <w:tr w:rsidR="00AC6058" w14:paraId="6BA37F5E" w14:textId="77777777" w:rsidTr="00A74536">
        <w:tc>
          <w:tcPr>
            <w:cnfStyle w:val="001000000000" w:firstRow="0" w:lastRow="0" w:firstColumn="1" w:lastColumn="0" w:oddVBand="0" w:evenVBand="0" w:oddHBand="0" w:evenHBand="0" w:firstRowFirstColumn="0" w:firstRowLastColumn="0" w:lastRowFirstColumn="0" w:lastRowLastColumn="0"/>
            <w:tcW w:w="2091" w:type="dxa"/>
          </w:tcPr>
          <w:p w14:paraId="72885596" w14:textId="77777777" w:rsidR="00AC6058" w:rsidRDefault="00AC6058" w:rsidP="000708AF">
            <w:pPr>
              <w:pStyle w:val="Normal-table"/>
            </w:pPr>
            <w:r>
              <w:t>Jun-22</w:t>
            </w:r>
          </w:p>
        </w:tc>
        <w:tc>
          <w:tcPr>
            <w:tcW w:w="2091" w:type="dxa"/>
          </w:tcPr>
          <w:p w14:paraId="734861D6"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6481</w:t>
            </w:r>
          </w:p>
        </w:tc>
        <w:tc>
          <w:tcPr>
            <w:tcW w:w="2091" w:type="dxa"/>
          </w:tcPr>
          <w:p w14:paraId="3ADE42CF"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623</w:t>
            </w:r>
          </w:p>
        </w:tc>
        <w:tc>
          <w:tcPr>
            <w:tcW w:w="2091" w:type="dxa"/>
          </w:tcPr>
          <w:p w14:paraId="7BB5C09C"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301</w:t>
            </w:r>
          </w:p>
        </w:tc>
        <w:tc>
          <w:tcPr>
            <w:tcW w:w="2092" w:type="dxa"/>
          </w:tcPr>
          <w:p w14:paraId="06AB1078"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7405</w:t>
            </w:r>
          </w:p>
        </w:tc>
      </w:tr>
      <w:tr w:rsidR="00AC6058" w14:paraId="4D8A7A74" w14:textId="77777777" w:rsidTr="00A74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7A5A26B1" w14:textId="77777777" w:rsidR="00AC6058" w:rsidRDefault="00AC6058" w:rsidP="000708AF">
            <w:pPr>
              <w:pStyle w:val="Normal-table"/>
            </w:pPr>
            <w:r>
              <w:t>Jun-21</w:t>
            </w:r>
          </w:p>
        </w:tc>
        <w:tc>
          <w:tcPr>
            <w:tcW w:w="2091" w:type="dxa"/>
          </w:tcPr>
          <w:p w14:paraId="6F8B43B7"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6431</w:t>
            </w:r>
          </w:p>
        </w:tc>
        <w:tc>
          <w:tcPr>
            <w:tcW w:w="2091" w:type="dxa"/>
          </w:tcPr>
          <w:p w14:paraId="4CB1C794"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630</w:t>
            </w:r>
          </w:p>
        </w:tc>
        <w:tc>
          <w:tcPr>
            <w:tcW w:w="2091" w:type="dxa"/>
          </w:tcPr>
          <w:p w14:paraId="5B425B98"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621</w:t>
            </w:r>
          </w:p>
        </w:tc>
        <w:tc>
          <w:tcPr>
            <w:tcW w:w="2092" w:type="dxa"/>
          </w:tcPr>
          <w:p w14:paraId="1BC0C677" w14:textId="77777777" w:rsidR="00AC6058" w:rsidRDefault="00AC6058" w:rsidP="000708AF">
            <w:pPr>
              <w:pStyle w:val="Normal-table"/>
              <w:cnfStyle w:val="000000100000" w:firstRow="0" w:lastRow="0" w:firstColumn="0" w:lastColumn="0" w:oddVBand="0" w:evenVBand="0" w:oddHBand="1" w:evenHBand="0" w:firstRowFirstColumn="0" w:firstRowLastColumn="0" w:lastRowFirstColumn="0" w:lastRowLastColumn="0"/>
            </w:pPr>
            <w:r>
              <w:t>7382</w:t>
            </w:r>
          </w:p>
        </w:tc>
      </w:tr>
      <w:tr w:rsidR="00AC6058" w14:paraId="30E51784" w14:textId="77777777" w:rsidTr="00A74536">
        <w:tc>
          <w:tcPr>
            <w:cnfStyle w:val="001000000000" w:firstRow="0" w:lastRow="0" w:firstColumn="1" w:lastColumn="0" w:oddVBand="0" w:evenVBand="0" w:oddHBand="0" w:evenHBand="0" w:firstRowFirstColumn="0" w:firstRowLastColumn="0" w:lastRowFirstColumn="0" w:lastRowLastColumn="0"/>
            <w:tcW w:w="2091" w:type="dxa"/>
          </w:tcPr>
          <w:p w14:paraId="548888F5" w14:textId="77777777" w:rsidR="00AC6058" w:rsidRDefault="00AC6058" w:rsidP="000708AF">
            <w:pPr>
              <w:pStyle w:val="Normal-table"/>
            </w:pPr>
            <w:r>
              <w:lastRenderedPageBreak/>
              <w:t>Jun-20</w:t>
            </w:r>
          </w:p>
        </w:tc>
        <w:tc>
          <w:tcPr>
            <w:tcW w:w="2091" w:type="dxa"/>
          </w:tcPr>
          <w:p w14:paraId="14FB1086"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6404</w:t>
            </w:r>
          </w:p>
        </w:tc>
        <w:tc>
          <w:tcPr>
            <w:tcW w:w="2091" w:type="dxa"/>
          </w:tcPr>
          <w:p w14:paraId="7EB59F45"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583</w:t>
            </w:r>
          </w:p>
        </w:tc>
        <w:tc>
          <w:tcPr>
            <w:tcW w:w="2091" w:type="dxa"/>
          </w:tcPr>
          <w:p w14:paraId="18AC1BEB"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346</w:t>
            </w:r>
          </w:p>
        </w:tc>
        <w:tc>
          <w:tcPr>
            <w:tcW w:w="2092" w:type="dxa"/>
          </w:tcPr>
          <w:p w14:paraId="1DB7D7F8" w14:textId="77777777" w:rsidR="00AC6058" w:rsidRDefault="00AC6058" w:rsidP="000708AF">
            <w:pPr>
              <w:pStyle w:val="Normal-table"/>
              <w:cnfStyle w:val="000000000000" w:firstRow="0" w:lastRow="0" w:firstColumn="0" w:lastColumn="0" w:oddVBand="0" w:evenVBand="0" w:oddHBand="0" w:evenHBand="0" w:firstRowFirstColumn="0" w:firstRowLastColumn="0" w:lastRowFirstColumn="0" w:lastRowLastColumn="0"/>
            </w:pPr>
            <w:r>
              <w:t>7333</w:t>
            </w:r>
          </w:p>
        </w:tc>
      </w:tr>
    </w:tbl>
    <w:p w14:paraId="5FC3F54C" w14:textId="77777777" w:rsidR="00AC6058" w:rsidRDefault="00AC6058" w:rsidP="00AC6058"/>
    <w:p w14:paraId="7BA65659" w14:textId="77777777" w:rsidR="00AC6058" w:rsidRPr="00DC1A33" w:rsidRDefault="00AC6058" w:rsidP="00AC6058">
      <w:pPr>
        <w:pStyle w:val="Heading3"/>
      </w:pPr>
      <w:r w:rsidRPr="000035FB">
        <w:t xml:space="preserve">Strategic </w:t>
      </w:r>
      <w:r>
        <w:t>w</w:t>
      </w:r>
      <w:r w:rsidRPr="000035FB">
        <w:t>orkforce planning</w:t>
      </w:r>
    </w:p>
    <w:p w14:paraId="374B8A32" w14:textId="77777777" w:rsidR="00AC6058" w:rsidRPr="002E0FA3" w:rsidRDefault="00AC6058" w:rsidP="00AC6058">
      <w:r w:rsidRPr="002E0FA3">
        <w:t>TMR is people-focused and strives to build, grow, and inspire its workforce to be agile, adaptable, capable, purpose-driven, safe, healthy, and resilient. </w:t>
      </w:r>
    </w:p>
    <w:p w14:paraId="68016F5C" w14:textId="77777777" w:rsidR="00AC6058" w:rsidRPr="002E0FA3" w:rsidRDefault="00AC6058" w:rsidP="00AC6058">
      <w:r w:rsidRPr="002E0FA3">
        <w:t>This includes investing in and building capability, mobilising staff to areas of need,</w:t>
      </w:r>
      <w:r>
        <w:t xml:space="preserve"> and</w:t>
      </w:r>
      <w:r w:rsidRPr="002E0FA3">
        <w:t xml:space="preserve"> ensuring people are safe at work and supported to lead healthy lives. </w:t>
      </w:r>
    </w:p>
    <w:p w14:paraId="1A1A1C67" w14:textId="77777777" w:rsidR="00AC6058" w:rsidRPr="002E0FA3" w:rsidRDefault="00AC6058" w:rsidP="00AC6058">
      <w:r w:rsidRPr="008313F2">
        <w:rPr>
          <w:rStyle w:val="Emphasis"/>
        </w:rPr>
        <w:t>TMR’s Strategic Workforce Plan 2020–2024</w:t>
      </w:r>
      <w:r w:rsidRPr="002E0FA3">
        <w:t xml:space="preserve"> (revised for 202</w:t>
      </w:r>
      <w:r>
        <w:t>2</w:t>
      </w:r>
      <w:r w:rsidRPr="002E0FA3">
        <w:t>–2</w:t>
      </w:r>
      <w:r>
        <w:t>4</w:t>
      </w:r>
      <w:r w:rsidRPr="002E0FA3">
        <w:t>) sets out the roadmap to meet purpose-driven, capable, mobile</w:t>
      </w:r>
      <w:r>
        <w:t>,</w:t>
      </w:r>
      <w:r w:rsidRPr="002E0FA3">
        <w:t xml:space="preserve"> and healthy workforce priorities</w:t>
      </w:r>
      <w:r>
        <w:t xml:space="preserve">. Priority </w:t>
      </w:r>
      <w:r w:rsidRPr="002E0FA3">
        <w:t>projects include: </w:t>
      </w:r>
    </w:p>
    <w:p w14:paraId="76C0582F" w14:textId="77777777" w:rsidR="00AC6058" w:rsidRDefault="00AC6058" w:rsidP="00AC6058">
      <w:pPr>
        <w:pStyle w:val="ListBullet"/>
      </w:pPr>
      <w:r>
        <w:t>Mental Health and Wellbeing</w:t>
      </w:r>
    </w:p>
    <w:p w14:paraId="4C03E8D4" w14:textId="77777777" w:rsidR="00AC6058" w:rsidRDefault="00AC6058" w:rsidP="00AC6058">
      <w:pPr>
        <w:pStyle w:val="ListBullet"/>
      </w:pPr>
      <w:r>
        <w:t xml:space="preserve">Enterprise Bargaining </w:t>
      </w:r>
    </w:p>
    <w:p w14:paraId="4D07DA44" w14:textId="77777777" w:rsidR="00AC6058" w:rsidRDefault="00AC6058" w:rsidP="00AC6058">
      <w:pPr>
        <w:pStyle w:val="ListBullet"/>
      </w:pPr>
      <w:r>
        <w:t xml:space="preserve">Leadership and Management </w:t>
      </w:r>
    </w:p>
    <w:p w14:paraId="414D46F5" w14:textId="77777777" w:rsidR="00AC6058" w:rsidRDefault="00AC6058" w:rsidP="00AC6058">
      <w:pPr>
        <w:pStyle w:val="ListBullet"/>
      </w:pPr>
      <w:r>
        <w:t xml:space="preserve">Talent Attraction and Retention. </w:t>
      </w:r>
    </w:p>
    <w:p w14:paraId="4CA80031" w14:textId="77777777" w:rsidR="00AC6058" w:rsidRDefault="00AC6058" w:rsidP="00AC6058">
      <w:r>
        <w:t>In 2022–23, TMR has invested in our agile and future ready workforce through the following initiatives:</w:t>
      </w:r>
    </w:p>
    <w:p w14:paraId="641C33D0" w14:textId="77777777" w:rsidR="00AC6058" w:rsidRDefault="00AC6058" w:rsidP="00AC6058">
      <w:pPr>
        <w:pStyle w:val="ListBullet"/>
      </w:pPr>
      <w:r>
        <w:t xml:space="preserve">progressed actions from our Learning Strategy, including developing Learning personas, a learning calendar, establish a learning network and TMR Development Library with 18 capabilities available </w:t>
      </w:r>
    </w:p>
    <w:p w14:paraId="28FC8E80" w14:textId="77777777" w:rsidR="00AC6058" w:rsidRDefault="00AC6058" w:rsidP="00AC6058">
      <w:pPr>
        <w:pStyle w:val="ListBullet"/>
      </w:pPr>
      <w:r>
        <w:t>delivered an in-house developed Positive Performance Management Program for supervisors and established a new Leadership Development Roadmap</w:t>
      </w:r>
    </w:p>
    <w:p w14:paraId="7BF39977" w14:textId="77777777" w:rsidR="00AC6058" w:rsidRDefault="00AC6058" w:rsidP="00AC6058">
      <w:pPr>
        <w:pStyle w:val="ListBullet"/>
      </w:pPr>
      <w:r>
        <w:t>reviewed workforce and succession planning tools and HR capability uplift</w:t>
      </w:r>
    </w:p>
    <w:p w14:paraId="4B5369AF" w14:textId="77777777" w:rsidR="00AC6058" w:rsidRDefault="00AC6058" w:rsidP="00AC6058">
      <w:pPr>
        <w:pStyle w:val="ListBullet"/>
      </w:pPr>
      <w:r>
        <w:t>developed proof of concept for WHS System Replacement and a new service delivery model for safety in TMR</w:t>
      </w:r>
    </w:p>
    <w:p w14:paraId="5A0A375D" w14:textId="77777777" w:rsidR="00AC6058" w:rsidRPr="00FE0362" w:rsidRDefault="00AC6058" w:rsidP="00AC6058">
      <w:pPr>
        <w:pStyle w:val="ListBullet"/>
      </w:pPr>
      <w:r>
        <w:t>reviewed Flexible Work Statement to support business and employees to navigate flexible working.</w:t>
      </w:r>
    </w:p>
    <w:p w14:paraId="54FACDFD" w14:textId="77777777" w:rsidR="00AC6058" w:rsidRPr="00246722" w:rsidRDefault="00AC6058" w:rsidP="00AC6058">
      <w:pPr>
        <w:pStyle w:val="Heading3"/>
      </w:pPr>
      <w:r>
        <w:t>Cloud enablement</w:t>
      </w:r>
    </w:p>
    <w:p w14:paraId="34BD4FA2" w14:textId="77777777" w:rsidR="00AC6058" w:rsidRDefault="00AC6058" w:rsidP="00AC6058">
      <w:r>
        <w:t xml:space="preserve">In 2022–23, TMR continued to invest in cloud platforms, building on the strong foundational hybrid cloud strategy underpinned by the whole-of-government </w:t>
      </w:r>
      <w:r w:rsidRPr="00F9329F">
        <w:rPr>
          <w:rStyle w:val="Emphasis"/>
        </w:rPr>
        <w:t>Cloud Computing Strategy.</w:t>
      </w:r>
    </w:p>
    <w:p w14:paraId="5DA4C2D5" w14:textId="77777777" w:rsidR="00AC6058" w:rsidRDefault="00AC6058" w:rsidP="00AC6058">
      <w:r>
        <w:t>TMR continues to embrace cloud-based solutions, which have increased by a further 20 per cent in 2022–23, with TMR continuing to adopt a cloud first approach for new services and progressing the transition of on-premises data centre workload to public cloud vendors within Australia. This transition has been progressed through TMR's Cloud Horizon Project (Public Cloud). Both projects are expected to be completed by December 2023.</w:t>
      </w:r>
    </w:p>
    <w:p w14:paraId="14D33C13" w14:textId="77777777" w:rsidR="00AC6058" w:rsidRDefault="00AC6058" w:rsidP="00AC6058">
      <w:r>
        <w:t xml:space="preserve">Adoption of cloud-based services enables enhanced agility, resiliency, security, and cost transparency to deliver digital online solutions for Queenslanders and line of business solutions for TMR business units. </w:t>
      </w:r>
    </w:p>
    <w:p w14:paraId="06B45E73" w14:textId="77777777" w:rsidR="00AC6058" w:rsidRPr="002E0FA3" w:rsidRDefault="00AC6058" w:rsidP="00AC6058">
      <w:r>
        <w:t>Cloud computing allows TMR to benefit from enhanced security capabilities that are intrinsic to the service offered by the Public Cloud vendors, including compliance with Australian and international security standards such as IRAP and ISO 27001, automatic protection from distributed denial-of-service (DDOS) attacks and responsibility for security of the cloud platform itself, including the underlying IT infrastructure, storage, computer, and network services.</w:t>
      </w:r>
    </w:p>
    <w:p w14:paraId="5098286F" w14:textId="77777777" w:rsidR="00AC6058" w:rsidRDefault="00AC6058" w:rsidP="00AC6058">
      <w:pPr>
        <w:pStyle w:val="Heading3"/>
      </w:pPr>
      <w:bookmarkStart w:id="32" w:name="_Hlk128645229"/>
      <w:r>
        <w:t xml:space="preserve">Digital </w:t>
      </w:r>
      <w:r w:rsidRPr="002E0FA3">
        <w:t>capability</w:t>
      </w:r>
    </w:p>
    <w:p w14:paraId="78540F2D" w14:textId="77777777" w:rsidR="00AC6058" w:rsidRPr="00400C27" w:rsidRDefault="00AC6058" w:rsidP="00AC6058">
      <w:r w:rsidRPr="00400C27">
        <w:t xml:space="preserve">The </w:t>
      </w:r>
      <w:r w:rsidRPr="002E0FA3">
        <w:t xml:space="preserve">TMR Learning Strategy </w:t>
      </w:r>
      <w:r w:rsidRPr="00400C27">
        <w:t xml:space="preserve">identifies digital and data as a priority capability. To ensure TMR's workforce </w:t>
      </w:r>
      <w:r>
        <w:t>is</w:t>
      </w:r>
      <w:r w:rsidRPr="00400C27">
        <w:t xml:space="preserve"> prepared for modern ways of working and able to leverage technology, data</w:t>
      </w:r>
      <w:r>
        <w:t>,</w:t>
      </w:r>
      <w:r w:rsidRPr="00400C27">
        <w:t xml:space="preserve"> and information, TMR facilitates a range of courses and programs for staff including: </w:t>
      </w:r>
    </w:p>
    <w:p w14:paraId="4BD71DEB" w14:textId="77777777" w:rsidR="00AC6058" w:rsidRPr="00400C27" w:rsidRDefault="00AC6058" w:rsidP="00AC6058">
      <w:pPr>
        <w:pStyle w:val="ListBullet"/>
      </w:pPr>
      <w:r>
        <w:lastRenderedPageBreak/>
        <w:t>Digital Capability Explorer (DCX) Learning Pathway – a guided learning pathway of monthly eLearning courses and learning circles tailored for TMR staff</w:t>
      </w:r>
    </w:p>
    <w:p w14:paraId="16A3A1DB" w14:textId="77777777" w:rsidR="00AC6058" w:rsidRPr="00400C27" w:rsidRDefault="00AC6058" w:rsidP="00AC6058">
      <w:pPr>
        <w:pStyle w:val="ListBullet"/>
      </w:pPr>
      <w:r w:rsidRPr="00400C27">
        <w:t>Digital Mindset Coach eLearning course</w:t>
      </w:r>
    </w:p>
    <w:p w14:paraId="1E850E1A" w14:textId="77777777" w:rsidR="00AC6058" w:rsidRDefault="00AC6058" w:rsidP="00AC6058">
      <w:pPr>
        <w:pStyle w:val="ListBullet"/>
      </w:pPr>
      <w:r>
        <w:t>DigiCAT – TMR's web-based capability self-assessment tool which assesses individuals against TMR's Digital Capability Framework and suggests a tailored course of learning and development options upon completion.</w:t>
      </w:r>
    </w:p>
    <w:p w14:paraId="433E560E" w14:textId="77777777" w:rsidR="00916DF7" w:rsidRDefault="00916DF7">
      <w:pPr>
        <w:spacing w:before="0" w:after="160" w:line="259" w:lineRule="auto"/>
      </w:pPr>
      <w:r>
        <w:br w:type="page"/>
      </w:r>
    </w:p>
    <w:p w14:paraId="717AB01E" w14:textId="7B994D7B" w:rsidR="00AC6058" w:rsidRDefault="00AC6058" w:rsidP="00AC6058">
      <w:r w:rsidRPr="00400C27">
        <w:lastRenderedPageBreak/>
        <w:t xml:space="preserve">These offerings are </w:t>
      </w:r>
      <w:r>
        <w:t xml:space="preserve">regularly </w:t>
      </w:r>
      <w:r w:rsidRPr="00400C27">
        <w:t xml:space="preserve">reviewed </w:t>
      </w:r>
      <w:r>
        <w:t xml:space="preserve">and updated </w:t>
      </w:r>
      <w:r w:rsidRPr="00400C27">
        <w:t>to ensure they capture current trends in technology and ways of working</w:t>
      </w:r>
      <w:r>
        <w:t>. I</w:t>
      </w:r>
      <w:r w:rsidRPr="00400C27">
        <w:t>n 2022</w:t>
      </w:r>
      <w:r>
        <w:t>–</w:t>
      </w:r>
      <w:r w:rsidRPr="00400C27">
        <w:t>23:</w:t>
      </w:r>
    </w:p>
    <w:p w14:paraId="0AC36357" w14:textId="77777777" w:rsidR="00AC6058" w:rsidRDefault="00AC6058" w:rsidP="00AC6058">
      <w:pPr>
        <w:pStyle w:val="ListBullet"/>
      </w:pPr>
      <w:r>
        <w:t>DCX pathway was shared with and made available across Queensland Government agencies</w:t>
      </w:r>
    </w:p>
    <w:p w14:paraId="04C6BE93" w14:textId="77777777" w:rsidR="00AC6058" w:rsidRDefault="00AC6058" w:rsidP="00AC6058">
      <w:pPr>
        <w:pStyle w:val="ListBullet"/>
      </w:pPr>
      <w:r>
        <w:t>ability for teams in TMR to undertake the DCX pathway was introduced</w:t>
      </w:r>
    </w:p>
    <w:p w14:paraId="5789C932" w14:textId="77777777" w:rsidR="00AC6058" w:rsidRDefault="00AC6058" w:rsidP="00AC6058">
      <w:pPr>
        <w:pStyle w:val="ListBullet"/>
      </w:pPr>
      <w:r>
        <w:t>a Future Technology course was added to the DCX pathway exploring upcoming technology and how it may impact TMR</w:t>
      </w:r>
    </w:p>
    <w:p w14:paraId="5BF85B0E" w14:textId="77777777" w:rsidR="00AC6058" w:rsidRDefault="00AC6058" w:rsidP="00AC6058">
      <w:pPr>
        <w:pStyle w:val="ListBullet"/>
      </w:pPr>
      <w:r>
        <w:t>DigiCAT platform was expanded to include a procurement capability self-assessment.</w:t>
      </w:r>
      <w:bookmarkEnd w:id="32"/>
    </w:p>
    <w:p w14:paraId="61CA0465" w14:textId="77777777" w:rsidR="00AC6058" w:rsidRDefault="00AC6058" w:rsidP="00AC6058">
      <w:pPr>
        <w:pStyle w:val="ListBullet"/>
      </w:pPr>
      <w:r>
        <w:t>TMR held annual events</w:t>
      </w:r>
      <w:r w:rsidRPr="002E0FA3">
        <w:t xml:space="preserve"> to build staff capability including Design Thinking Week and Incite data and analytics showcase, with presentations and workshops from TMR teams and industry experts.</w:t>
      </w:r>
    </w:p>
    <w:p w14:paraId="1E178E81" w14:textId="77777777" w:rsidR="00AC6058" w:rsidRPr="00DC1A33" w:rsidRDefault="00AC6058" w:rsidP="00AC6058">
      <w:pPr>
        <w:pStyle w:val="Heading3"/>
      </w:pPr>
      <w:r w:rsidRPr="001652EF">
        <w:t>Industrial relations</w:t>
      </w:r>
    </w:p>
    <w:p w14:paraId="08C2AF5A" w14:textId="77777777" w:rsidR="00AC6058" w:rsidRDefault="00AC6058" w:rsidP="00AC6058">
      <w:r w:rsidRPr="00221000">
        <w:t xml:space="preserve">The Employee Relations team continued to proactively engage with TMR's </w:t>
      </w:r>
      <w:r>
        <w:t>HR</w:t>
      </w:r>
      <w:r w:rsidRPr="00221000">
        <w:t xml:space="preserve"> Network to ensure the prompt and effective management of </w:t>
      </w:r>
      <w:r>
        <w:t>Industrial Relations</w:t>
      </w:r>
      <w:r w:rsidRPr="00221000">
        <w:t xml:space="preserve"> matters. </w:t>
      </w:r>
    </w:p>
    <w:p w14:paraId="2FCDC3EC" w14:textId="77777777" w:rsidR="00AC6058" w:rsidRPr="00181C28" w:rsidRDefault="00AC6058" w:rsidP="00AC6058">
      <w:r w:rsidRPr="00221000">
        <w:t>The 2022</w:t>
      </w:r>
      <w:r>
        <w:t>–</w:t>
      </w:r>
      <w:r w:rsidRPr="00221000">
        <w:t xml:space="preserve">23 financial year saw the introduction of a new </w:t>
      </w:r>
      <w:r w:rsidRPr="00181C28">
        <w:rPr>
          <w:rStyle w:val="Emphasis"/>
        </w:rPr>
        <w:t>Public Sector Act 2022</w:t>
      </w:r>
      <w:r>
        <w:t xml:space="preserve">, </w:t>
      </w:r>
      <w:r w:rsidRPr="00221000">
        <w:t xml:space="preserve">effective 1 March 2023, and </w:t>
      </w:r>
      <w:r>
        <w:t xml:space="preserve">publication of </w:t>
      </w:r>
      <w:r w:rsidRPr="00221000">
        <w:t>new</w:t>
      </w:r>
      <w:r>
        <w:t xml:space="preserve"> and a</w:t>
      </w:r>
      <w:r w:rsidRPr="00221000">
        <w:t>mended Directives by the Public Sector Commission. TMR</w:t>
      </w:r>
      <w:r>
        <w:t xml:space="preserve"> </w:t>
      </w:r>
      <w:r w:rsidRPr="00221000">
        <w:t xml:space="preserve">implemented these public sector reforms, including </w:t>
      </w:r>
      <w:r>
        <w:t xml:space="preserve">a number of </w:t>
      </w:r>
      <w:r w:rsidRPr="00221000">
        <w:t>policy and procedure updates, the development of supportive resources, and the educat</w:t>
      </w:r>
      <w:r>
        <w:t>ion</w:t>
      </w:r>
      <w:r w:rsidRPr="00221000">
        <w:t xml:space="preserve"> of staff across</w:t>
      </w:r>
      <w:r>
        <w:t xml:space="preserve"> TMR</w:t>
      </w:r>
      <w:r w:rsidRPr="00221000">
        <w:t xml:space="preserve">. </w:t>
      </w:r>
      <w:r>
        <w:t xml:space="preserve">Work will continue on delivering further aspects of the Public Sector Act and related Directives updates. </w:t>
      </w:r>
    </w:p>
    <w:p w14:paraId="03E1FF5E" w14:textId="77777777" w:rsidR="00AC6058" w:rsidRDefault="00AC6058" w:rsidP="00AC6058">
      <w:r w:rsidRPr="00221000">
        <w:t xml:space="preserve">TMR’s </w:t>
      </w:r>
      <w:r>
        <w:t>HR</w:t>
      </w:r>
      <w:r w:rsidRPr="00221000">
        <w:t xml:space="preserve"> practitioners continued to support senior leaders by providing multidisciplinary analysis on complex matters and strategic advice and guidance on early intervention strategies to mitigate such cases from escalating to investigation and potential disciplinary processes.</w:t>
      </w:r>
    </w:p>
    <w:p w14:paraId="100E6955" w14:textId="77777777" w:rsidR="00AC6058" w:rsidRDefault="00AC6058" w:rsidP="00AC6058">
      <w:r w:rsidRPr="00221000">
        <w:t>TMR</w:t>
      </w:r>
      <w:r>
        <w:t xml:space="preserve"> also </w:t>
      </w:r>
      <w:r w:rsidRPr="00221000">
        <w:t xml:space="preserve">commenced and finalised negotiations with </w:t>
      </w:r>
      <w:r>
        <w:t xml:space="preserve">the relevant </w:t>
      </w:r>
      <w:r w:rsidRPr="00221000">
        <w:t xml:space="preserve">unions to replace all </w:t>
      </w:r>
      <w:r>
        <w:t>four</w:t>
      </w:r>
      <w:r w:rsidRPr="00221000">
        <w:t xml:space="preserve"> certified agreements applying to TMR employees</w:t>
      </w:r>
      <w:r>
        <w:t xml:space="preserve"> and continued to progress towards certification of these agreements in 2023–2024</w:t>
      </w:r>
      <w:r w:rsidRPr="00221000">
        <w:t>.</w:t>
      </w:r>
    </w:p>
    <w:p w14:paraId="13EB8D7D" w14:textId="77777777" w:rsidR="00AC6058" w:rsidRPr="002E0FA3" w:rsidRDefault="00AC6058" w:rsidP="00AC6058">
      <w:r w:rsidRPr="00221000">
        <w:t>TMR continued to foster strong relationships with other Queensland Government departments, the Public Se</w:t>
      </w:r>
      <w:r>
        <w:t>ctor</w:t>
      </w:r>
      <w:r w:rsidRPr="00221000">
        <w:t xml:space="preserve"> Commission, and the Office of Industrial Relations to support whole-of-government policies and directives being met.</w:t>
      </w:r>
    </w:p>
    <w:p w14:paraId="4E9FC34F" w14:textId="77777777" w:rsidR="00AC6058" w:rsidRPr="00DC1A33" w:rsidRDefault="00AC6058" w:rsidP="00AC6058">
      <w:pPr>
        <w:pStyle w:val="Heading3"/>
      </w:pPr>
      <w:r w:rsidRPr="007633CD">
        <w:t>Redundancy and retrenchment</w:t>
      </w:r>
    </w:p>
    <w:p w14:paraId="621491CD" w14:textId="77777777" w:rsidR="00AC6058" w:rsidRPr="002E0FA3" w:rsidRDefault="00AC6058" w:rsidP="00AC6058">
      <w:r w:rsidRPr="00C25A98">
        <w:t>No redundancy, early retirement or retrenchment packages were paid during the 202</w:t>
      </w:r>
      <w:r>
        <w:t>2</w:t>
      </w:r>
      <w:r w:rsidRPr="00C25A98">
        <w:t>–2</w:t>
      </w:r>
      <w:r>
        <w:t>3</w:t>
      </w:r>
      <w:r w:rsidRPr="00C25A98">
        <w:t xml:space="preserve"> financial period.</w:t>
      </w:r>
    </w:p>
    <w:p w14:paraId="162373F0" w14:textId="77777777" w:rsidR="00C6602D" w:rsidRDefault="00C6602D">
      <w:pPr>
        <w:spacing w:before="0" w:after="160" w:line="259" w:lineRule="auto"/>
        <w:rPr>
          <w:rFonts w:eastAsiaTheme="majorEastAsia" w:cstheme="majorBidi"/>
          <w:color w:val="000000" w:themeColor="text1"/>
          <w:sz w:val="48"/>
          <w:szCs w:val="26"/>
        </w:rPr>
      </w:pPr>
      <w:r>
        <w:br w:type="page"/>
      </w:r>
    </w:p>
    <w:p w14:paraId="55A8853F" w14:textId="6BA0E2A3" w:rsidR="00AC6058" w:rsidRDefault="00AC6058" w:rsidP="00AC6058">
      <w:pPr>
        <w:pStyle w:val="Heading2"/>
      </w:pPr>
      <w:r>
        <w:lastRenderedPageBreak/>
        <w:t>Digital uplift of our information and processes</w:t>
      </w:r>
    </w:p>
    <w:p w14:paraId="3D0C9D13" w14:textId="77777777" w:rsidR="00AC6058" w:rsidRPr="00DC1A33" w:rsidRDefault="00AC6058" w:rsidP="00AC6058">
      <w:pPr>
        <w:pStyle w:val="Heading3"/>
      </w:pPr>
      <w:r>
        <w:t>Information and Communications Technology resources strategic planning</w:t>
      </w:r>
    </w:p>
    <w:p w14:paraId="27F2BDEB" w14:textId="77777777" w:rsidR="00AC6058" w:rsidRPr="00DF31C4" w:rsidRDefault="00AC6058" w:rsidP="00AC6058">
      <w:r w:rsidRPr="00DF31C4">
        <w:t xml:space="preserve">An </w:t>
      </w:r>
      <w:r>
        <w:t>Information and Communications Technology (</w:t>
      </w:r>
      <w:r w:rsidRPr="00DF31C4">
        <w:t>ICT</w:t>
      </w:r>
      <w:r>
        <w:t>)</w:t>
      </w:r>
      <w:r w:rsidRPr="00DF31C4">
        <w:t xml:space="preserve"> asset register is used to uphold a consistent and evidenced-based approach for managing ICT assets and planning. In conjunction with the ICT portfolio of work, it provides details on current and planned activities that impact </w:t>
      </w:r>
      <w:r>
        <w:t>TMR's</w:t>
      </w:r>
      <w:r w:rsidRPr="00DF31C4">
        <w:t xml:space="preserve"> ICT resources and the effectiveness and efficiency of those resources in supporting the delivery of </w:t>
      </w:r>
      <w:r>
        <w:t>TMR's</w:t>
      </w:r>
      <w:r w:rsidRPr="00DF31C4">
        <w:t xml:space="preserve"> services. </w:t>
      </w:r>
    </w:p>
    <w:p w14:paraId="266C95F2" w14:textId="77777777" w:rsidR="00AC6058" w:rsidRPr="00DF31C4" w:rsidRDefault="00AC6058" w:rsidP="00AC6058">
      <w:r w:rsidRPr="00DF31C4">
        <w:t>The ICT asset register records functional, financial</w:t>
      </w:r>
      <w:r>
        <w:t>,</w:t>
      </w:r>
      <w:r w:rsidRPr="00DF31C4">
        <w:t xml:space="preserve"> and lifecycle information about the application, technology</w:t>
      </w:r>
      <w:r>
        <w:t>,</w:t>
      </w:r>
      <w:r w:rsidRPr="00DF31C4">
        <w:t xml:space="preserve"> and information assets </w:t>
      </w:r>
      <w:r>
        <w:t>TMR</w:t>
      </w:r>
      <w:r w:rsidRPr="00DF31C4">
        <w:t xml:space="preserve"> has investment authority over. The register supports business capability planning and ICT portfolio investment analysis at </w:t>
      </w:r>
      <w:r>
        <w:t>TMR</w:t>
      </w:r>
      <w:r w:rsidRPr="00DF31C4">
        <w:t xml:space="preserve"> and whole-of-government level. Additionally, it is the enterprise source of information for the Queensland </w:t>
      </w:r>
      <w:r>
        <w:t>QGCDG</w:t>
      </w:r>
      <w:r w:rsidRPr="00DF31C4">
        <w:t xml:space="preserve"> ICT Resources reporting which contributes to improving whole-of-government ICT policies and custodianship. </w:t>
      </w:r>
    </w:p>
    <w:p w14:paraId="2EC139E2" w14:textId="77777777" w:rsidR="00AC6058" w:rsidRPr="00DF31C4" w:rsidRDefault="00AC6058" w:rsidP="00AC6058">
      <w:r>
        <w:t>TMR</w:t>
      </w:r>
      <w:r w:rsidRPr="00DF31C4">
        <w:t xml:space="preserve"> has robust planning processes supported by an ICT Portfolio Management Framework. The ICT </w:t>
      </w:r>
      <w:r>
        <w:t>p</w:t>
      </w:r>
      <w:r w:rsidRPr="00DF31C4">
        <w:t xml:space="preserve">ortfolio of </w:t>
      </w:r>
      <w:r>
        <w:t>w</w:t>
      </w:r>
      <w:r w:rsidRPr="00DF31C4">
        <w:t>ork is determined by the Information and Systems Committee</w:t>
      </w:r>
      <w:r>
        <w:t xml:space="preserve"> </w:t>
      </w:r>
      <w:r w:rsidRPr="00DF31C4">
        <w:t xml:space="preserve">using a portfolio definition cycle to set the direction of the ICT portfolio over a planning horizon of </w:t>
      </w:r>
      <w:r>
        <w:t>four</w:t>
      </w:r>
      <w:r w:rsidRPr="00DF31C4">
        <w:t xml:space="preserve"> years aligned to </w:t>
      </w:r>
      <w:r>
        <w:t>TMR's</w:t>
      </w:r>
      <w:r w:rsidRPr="00DF31C4">
        <w:t xml:space="preserve"> strategic plan. </w:t>
      </w:r>
    </w:p>
    <w:p w14:paraId="45D66C31" w14:textId="49781FFE" w:rsidR="00AC6058" w:rsidRPr="00DC1A33" w:rsidRDefault="00AC6058" w:rsidP="00AC6058">
      <w:pPr>
        <w:pStyle w:val="Heading3"/>
      </w:pPr>
      <w:r>
        <w:t>Driving a modern digital workplace</w:t>
      </w:r>
    </w:p>
    <w:p w14:paraId="4E016C84" w14:textId="77777777" w:rsidR="00AC6058" w:rsidRDefault="00AC6058" w:rsidP="00AC6058">
      <w:r>
        <w:t>TMR's execution of the modern digital workplace plan has gathered pace over the course of 2022–23 with a key focus on collaboration and improved mobility for staff.</w:t>
      </w:r>
    </w:p>
    <w:p w14:paraId="27ACE031" w14:textId="77777777" w:rsidR="00AC6058" w:rsidRDefault="00AC6058" w:rsidP="00AC6058">
      <w:r>
        <w:t>Supporting this shift was TMR's upgraded Microsoft Enterprise Licensing, which allowed staff access to a suite of new tools hosted on Microsoft's Azure Cloud platform. This enabled the move away from legacy Skype calling to a holistic collaboration platform, Microsoft Teams.</w:t>
      </w:r>
    </w:p>
    <w:p w14:paraId="2E218248" w14:textId="77777777" w:rsidR="00AC6058" w:rsidRDefault="00AC6058" w:rsidP="00AC6058">
      <w:r>
        <w:t>To further improve mobility and take advantage of modern ways of working, a shift away from desktop hardware has taken place with only 20 per cent of TMR's devices remaining as desktop PCs.</w:t>
      </w:r>
    </w:p>
    <w:p w14:paraId="568FCCC3" w14:textId="77777777" w:rsidR="00AC6058" w:rsidRPr="00A71890" w:rsidRDefault="00AC6058" w:rsidP="00AC6058">
      <w:r>
        <w:t xml:space="preserve">Improvements to IT self-service tools have given staff access to an enhanced remote IT support experience. Ensuring staff are supported with technology when in and out of the office has been a key pillar in enabling a modern digital workplace. </w:t>
      </w:r>
    </w:p>
    <w:p w14:paraId="65AF2F0D" w14:textId="77777777" w:rsidR="00AC6058" w:rsidRPr="00756FBC" w:rsidRDefault="00AC6058" w:rsidP="00AC6058">
      <w:pPr>
        <w:pStyle w:val="Heading3"/>
      </w:pPr>
      <w:r>
        <w:t>Source 2 Pay Project</w:t>
      </w:r>
    </w:p>
    <w:p w14:paraId="0CACFA3D" w14:textId="77777777" w:rsidR="00AC6058" w:rsidRDefault="00AC6058" w:rsidP="00AC6058">
      <w:r w:rsidRPr="008B6128">
        <w:t>The Source 2 Pay project was launched in March 2021 with a two</w:t>
      </w:r>
      <w:r>
        <w:t xml:space="preserve"> </w:t>
      </w:r>
      <w:r w:rsidRPr="008B6128">
        <w:t xml:space="preserve">year implementation plan aimed at enabling a more contemporary, streamlined, and customer-focused way of procuring goods and services. </w:t>
      </w:r>
    </w:p>
    <w:p w14:paraId="6308BAF1" w14:textId="77777777" w:rsidR="00AC6058" w:rsidRDefault="00AC6058" w:rsidP="00AC6058">
      <w:r w:rsidRPr="008B6128">
        <w:t xml:space="preserve">Wave one saw the introduction of SAP Ariba in April 2022, followed a year later by the implementation of SAP Fieldglass at the end of wave two. </w:t>
      </w:r>
    </w:p>
    <w:p w14:paraId="60F8A603" w14:textId="77777777" w:rsidR="00AC6058" w:rsidRDefault="00AC6058" w:rsidP="00AC6058">
      <w:r w:rsidRPr="008B6128">
        <w:t>The technology streamlines procurement and payment approval processes</w:t>
      </w:r>
      <w:r>
        <w:t>,</w:t>
      </w:r>
      <w:r w:rsidRPr="008B6128">
        <w:t xml:space="preserve"> that are compliant by design, providing staff more flexibility and support to perform their day-to-day roles. Processes are quicker and simpler</w:t>
      </w:r>
      <w:r>
        <w:t>,</w:t>
      </w:r>
      <w:r w:rsidRPr="008B6128">
        <w:t xml:space="preserve"> allowing for rapid purchasing and approval ‘on the go’ resulting in less red tape, while ensuring accountability and transparency in purchasing. </w:t>
      </w:r>
    </w:p>
    <w:p w14:paraId="3E05A199" w14:textId="77777777" w:rsidR="00AC6058" w:rsidRDefault="00AC6058" w:rsidP="00AC6058">
      <w:r w:rsidRPr="008B6128">
        <w:t xml:space="preserve">The implementation also improves how TMR collaborates with suppliers and enables improvements to payment turn-around times in support of small business. The SAP Ariba and Fieldglass rollout is a significant step in TMR’s digital transformation journey, transitioning away from manual procurement processes to focus resources on frontline service delivery. </w:t>
      </w:r>
      <w:r>
        <w:t xml:space="preserve">Significant benefits are already being achieved for our suppliers with on-time </w:t>
      </w:r>
      <w:r w:rsidRPr="008B6128">
        <w:t>performance at 90</w:t>
      </w:r>
      <w:r>
        <w:t xml:space="preserve"> per cent</w:t>
      </w:r>
      <w:r w:rsidRPr="008B6128">
        <w:t xml:space="preserve">. </w:t>
      </w:r>
    </w:p>
    <w:p w14:paraId="7915429F" w14:textId="77777777" w:rsidR="00AC6058" w:rsidRPr="00C86322" w:rsidRDefault="00AC6058" w:rsidP="00AC6058">
      <w:pPr>
        <w:rPr>
          <w:b/>
          <w:bCs/>
        </w:rPr>
      </w:pPr>
      <w:r w:rsidRPr="008B6128">
        <w:t>The project was delivered on</w:t>
      </w:r>
      <w:r>
        <w:t>-</w:t>
      </w:r>
      <w:r w:rsidRPr="008B6128">
        <w:t>time, on schedule and below the approved budget. Following the formal close of the project in April 2023, TMR is now focused on transitioning additional categories of spend onto the new platforms.  </w:t>
      </w:r>
    </w:p>
    <w:p w14:paraId="3CA06DDD" w14:textId="77777777" w:rsidR="00C6602D" w:rsidRDefault="00C6602D">
      <w:pPr>
        <w:spacing w:before="0" w:after="160" w:line="259" w:lineRule="auto"/>
        <w:rPr>
          <w:rFonts w:eastAsiaTheme="majorEastAsia" w:cstheme="majorBidi"/>
          <w:color w:val="000000" w:themeColor="text1"/>
          <w:sz w:val="48"/>
          <w:szCs w:val="26"/>
        </w:rPr>
      </w:pPr>
      <w:r>
        <w:br w:type="page"/>
      </w:r>
    </w:p>
    <w:p w14:paraId="6D051471" w14:textId="13083330" w:rsidR="00AC6058" w:rsidRDefault="00AC6058" w:rsidP="00AC6058">
      <w:pPr>
        <w:pStyle w:val="Heading2"/>
      </w:pPr>
      <w:r>
        <w:lastRenderedPageBreak/>
        <w:t>Creating a diverse and inclusive workforce</w:t>
      </w:r>
    </w:p>
    <w:p w14:paraId="76EE2C95" w14:textId="77777777" w:rsidR="00AC6058" w:rsidRPr="00DC1A33" w:rsidRDefault="00AC6058" w:rsidP="00AC6058">
      <w:pPr>
        <w:pStyle w:val="Heading3"/>
      </w:pPr>
      <w:r>
        <w:t xml:space="preserve">Inclusion and diversity programs </w:t>
      </w:r>
    </w:p>
    <w:p w14:paraId="2A3141F2" w14:textId="77777777" w:rsidR="00AC6058" w:rsidRDefault="00AC6058" w:rsidP="00AC6058">
      <w:r w:rsidRPr="00FA7278">
        <w:t>TMR continues to ensure that we have a diverse workforce and workplaces that are inclusive for all.</w:t>
      </w:r>
      <w:r>
        <w:t xml:space="preserve"> </w:t>
      </w:r>
    </w:p>
    <w:p w14:paraId="3EBBB775" w14:textId="77777777" w:rsidR="00AC6058" w:rsidRPr="00FA7278" w:rsidRDefault="00AC6058" w:rsidP="00AC6058">
      <w:r>
        <w:t xml:space="preserve">Geoff Magoffin, </w:t>
      </w:r>
      <w:r w:rsidRPr="001A5370">
        <w:t>Deputy Director-General (Customer Services, Safety and Regulation)</w:t>
      </w:r>
      <w:r>
        <w:t>,</w:t>
      </w:r>
      <w:r w:rsidRPr="001A5370">
        <w:t xml:space="preserve"> is TMR's Inclusion and Diversity Champion</w:t>
      </w:r>
      <w:r>
        <w:t>, TMR</w:t>
      </w:r>
      <w:r w:rsidRPr="001A5370">
        <w:t xml:space="preserve"> </w:t>
      </w:r>
      <w:r>
        <w:t xml:space="preserve">is </w:t>
      </w:r>
      <w:r w:rsidRPr="001A5370">
        <w:t>committed to building an inclusive and diverse workforce that better reflects the community we serve.</w:t>
      </w:r>
    </w:p>
    <w:p w14:paraId="4279D57A" w14:textId="77777777" w:rsidR="00AC6058" w:rsidRPr="00FA7278" w:rsidRDefault="00AC6058" w:rsidP="00AC6058">
      <w:r w:rsidRPr="00C21687">
        <w:t xml:space="preserve">TMR has continued to make progress in raising the cultural </w:t>
      </w:r>
      <w:r w:rsidRPr="00FA7278">
        <w:t>awareness of employees through the celebration of significant First Nations events, such as Reconciliation Week and NAIDOC Week, and ongoing commitment to the Indigenous Employee Network (IEN).</w:t>
      </w:r>
    </w:p>
    <w:p w14:paraId="56FF7838" w14:textId="77777777" w:rsidR="00AC6058" w:rsidRPr="00FA7278" w:rsidRDefault="00AC6058" w:rsidP="00AC6058">
      <w:r w:rsidRPr="00FA7278">
        <w:t>The IEN was formed in 2015. The network supports First Nations employees and looks to grow the knowledge and capability of TMR, to deliver a culturally inclusive service to Queensland communities.</w:t>
      </w:r>
    </w:p>
    <w:p w14:paraId="21B3E073" w14:textId="77777777" w:rsidR="00AC6058" w:rsidRPr="00B63C2D" w:rsidRDefault="00AC6058" w:rsidP="00AC6058">
      <w:r>
        <w:t>The IEN boasts 48</w:t>
      </w:r>
      <w:r w:rsidRPr="00FA7278">
        <w:t xml:space="preserve"> members from across Queensland who meet quarterly in an online forum</w:t>
      </w:r>
      <w:r>
        <w:t>. A First Nations Reference group was also established from the IEN</w:t>
      </w:r>
      <w:r w:rsidRPr="00FA7278">
        <w:t xml:space="preserve"> to keep informed of activities taking place and provide feedback </w:t>
      </w:r>
      <w:r>
        <w:t>on policies and advice</w:t>
      </w:r>
      <w:r w:rsidRPr="00FA7278">
        <w:t>. This year the IEN forum was held at the Queensland State Library and provided an opportunity to review our progress in Reconciliation Action Plan as well as updates from the Cultural Working Group.</w:t>
      </w:r>
      <w:r>
        <w:t xml:space="preserve"> IEN members also participated in a Culture Walking Tour of significant First Nations artworks in Brisbane City. These cultural walks have been attended by members of TMR's Senior Leadership Team and are an important part of growing cultural capability. Indigenous owned</w:t>
      </w:r>
      <w:r w:rsidRPr="00B63C2D">
        <w:t xml:space="preserve"> company The BlackCard facilitated a cultural capability session for 40 members of TMR's graduate cohort in April 2023. These sessions provide additional context and ensure the perspectives of First Nations peoples</w:t>
      </w:r>
      <w:r>
        <w:t xml:space="preserve"> is embedded in all aspects of the work we do at TMR. </w:t>
      </w:r>
    </w:p>
    <w:p w14:paraId="0CB66908" w14:textId="08FB74AB" w:rsidR="00AC6058" w:rsidRPr="00FA7278" w:rsidRDefault="00AC6058" w:rsidP="00AC6058">
      <w:r>
        <w:t xml:space="preserve">In 2022, TMR released the </w:t>
      </w:r>
      <w:r w:rsidRPr="00FA7278">
        <w:rPr>
          <w:rStyle w:val="Emphasis"/>
        </w:rPr>
        <w:t>TMR Gender Equity Plan (</w:t>
      </w:r>
      <w:r w:rsidRPr="00FA7278">
        <w:t xml:space="preserve">2022–2024), with the goals of: </w:t>
      </w:r>
    </w:p>
    <w:p w14:paraId="4CE815CC" w14:textId="77777777" w:rsidR="00AC6058" w:rsidRPr="00FA7278" w:rsidRDefault="00AC6058" w:rsidP="00AC6058">
      <w:pPr>
        <w:pStyle w:val="ListBullet"/>
      </w:pPr>
      <w:r w:rsidRPr="00F72CC5">
        <w:t>enhancing career development opportunities</w:t>
      </w:r>
    </w:p>
    <w:p w14:paraId="7E990E4B" w14:textId="77777777" w:rsidR="00AC6058" w:rsidRPr="00FA7278" w:rsidRDefault="00AC6058" w:rsidP="00AC6058">
      <w:pPr>
        <w:pStyle w:val="ListBullet"/>
      </w:pPr>
      <w:r w:rsidRPr="00F72CC5">
        <w:t xml:space="preserve">creating truly flexible and supportive </w:t>
      </w:r>
      <w:r w:rsidRPr="00FA7278">
        <w:t>workplaces</w:t>
      </w:r>
    </w:p>
    <w:p w14:paraId="50C6559F" w14:textId="77777777" w:rsidR="00AC6058" w:rsidRPr="00FA7278" w:rsidRDefault="00AC6058" w:rsidP="00AC6058">
      <w:pPr>
        <w:pStyle w:val="ListBullet"/>
      </w:pPr>
      <w:r w:rsidRPr="00F72CC5">
        <w:t>ensuring all TMR workplaces are free from sexual harassment and discrimination</w:t>
      </w:r>
    </w:p>
    <w:p w14:paraId="63CF90B2" w14:textId="77777777" w:rsidR="00AC6058" w:rsidRPr="00FA7278" w:rsidRDefault="00AC6058" w:rsidP="00AC6058">
      <w:pPr>
        <w:pStyle w:val="ListBullet"/>
      </w:pPr>
      <w:r w:rsidRPr="00F72CC5">
        <w:t>reducing the gender pay gap</w:t>
      </w:r>
    </w:p>
    <w:p w14:paraId="2CEEF7FF" w14:textId="77777777" w:rsidR="00AC6058" w:rsidRPr="00FA7278" w:rsidRDefault="00AC6058" w:rsidP="00AC6058">
      <w:pPr>
        <w:pStyle w:val="ListBullet"/>
      </w:pPr>
      <w:r w:rsidRPr="00F72CC5">
        <w:t xml:space="preserve">becoming an employer of choice for women </w:t>
      </w:r>
    </w:p>
    <w:p w14:paraId="66ACCAB9" w14:textId="77777777" w:rsidR="00AC6058" w:rsidRPr="00FA7278" w:rsidRDefault="00AC6058" w:rsidP="00AC6058">
      <w:pPr>
        <w:pStyle w:val="ListBullet"/>
      </w:pPr>
      <w:r w:rsidRPr="00F72CC5">
        <w:t>increas</w:t>
      </w:r>
      <w:r w:rsidRPr="00FA7278">
        <w:t>ing the representation of women in Senior Officer and Senior Executive Service roles.</w:t>
      </w:r>
    </w:p>
    <w:p w14:paraId="0DEA1A4A" w14:textId="77777777" w:rsidR="00AC6058" w:rsidRPr="00FA7278" w:rsidRDefault="00AC6058" w:rsidP="00AC6058">
      <w:r>
        <w:t>T</w:t>
      </w:r>
      <w:r w:rsidRPr="00C21687">
        <w:t>he</w:t>
      </w:r>
      <w:r w:rsidRPr="00FA7278">
        <w:t xml:space="preserve"> annual Queensland Women's Week event was held in March</w:t>
      </w:r>
      <w:r>
        <w:t xml:space="preserve"> 2023</w:t>
      </w:r>
      <w:r w:rsidRPr="00FA7278">
        <w:t xml:space="preserve">. Speakers included: </w:t>
      </w:r>
    </w:p>
    <w:p w14:paraId="68FF3EC1" w14:textId="77777777" w:rsidR="00AC6058" w:rsidRPr="00026B83" w:rsidRDefault="00AC6058" w:rsidP="00AC6058">
      <w:pPr>
        <w:pStyle w:val="ListBullet"/>
      </w:pPr>
      <w:r w:rsidRPr="00460ACB">
        <w:t>Ms Chiou See Anderson, President of the National</w:t>
      </w:r>
      <w:r>
        <w:t xml:space="preserve"> </w:t>
      </w:r>
      <w:r w:rsidRPr="00460ACB">
        <w:t xml:space="preserve">Council of Women and a member of the Federal Women’s Economic Equality Taskforce </w:t>
      </w:r>
    </w:p>
    <w:p w14:paraId="231762F5" w14:textId="77777777" w:rsidR="00AC6058" w:rsidRPr="00FA7278" w:rsidRDefault="00AC6058" w:rsidP="00AC6058">
      <w:pPr>
        <w:pStyle w:val="ListBullet"/>
      </w:pPr>
      <w:r w:rsidRPr="00460ACB">
        <w:t>Mr John Rutter</w:t>
      </w:r>
      <w:r>
        <w:t xml:space="preserve">, </w:t>
      </w:r>
      <w:r w:rsidRPr="00460ACB">
        <w:t xml:space="preserve">The Fathering Project </w:t>
      </w:r>
    </w:p>
    <w:p w14:paraId="533C199C" w14:textId="77777777" w:rsidR="00AC6058" w:rsidRPr="00FA7278" w:rsidRDefault="00AC6058" w:rsidP="00AC6058">
      <w:pPr>
        <w:pStyle w:val="ListBullet"/>
      </w:pPr>
      <w:r w:rsidRPr="00460ACB">
        <w:t xml:space="preserve">Ms Max </w:t>
      </w:r>
      <w:r w:rsidRPr="00FA7278">
        <w:t>Jamwal-Girdler, 2022 TMR Wonder Woman.</w:t>
      </w:r>
    </w:p>
    <w:p w14:paraId="43AF4FE3" w14:textId="77777777" w:rsidR="00AC6058" w:rsidRDefault="00AC6058" w:rsidP="00AC6058">
      <w:r w:rsidRPr="00C21687">
        <w:t>At th</w:t>
      </w:r>
      <w:r w:rsidRPr="00FA7278">
        <w:t xml:space="preserve">is event, the fourth cohort of </w:t>
      </w:r>
      <w:r>
        <w:t>TMR's</w:t>
      </w:r>
      <w:r w:rsidRPr="00FA7278">
        <w:t xml:space="preserve"> Wonder Women was announced, showcasing our diverse and talented women who inspire others and lead positive change. </w:t>
      </w:r>
      <w:r>
        <w:t>TMR</w:t>
      </w:r>
      <w:r w:rsidRPr="00FA7278">
        <w:t xml:space="preserve">'s Wonder Women program is made up of visible role models who are actively involved in gender equity initiatives and lead change across </w:t>
      </w:r>
      <w:r>
        <w:t>TMR</w:t>
      </w:r>
      <w:r w:rsidRPr="00FA7278">
        <w:t xml:space="preserve">. </w:t>
      </w:r>
    </w:p>
    <w:p w14:paraId="3798859E" w14:textId="77777777" w:rsidR="00AC6058" w:rsidRPr="00FA7278" w:rsidRDefault="00AC6058" w:rsidP="00AC6058">
      <w:r>
        <w:t>TMR also supports diverse employees through</w:t>
      </w:r>
      <w:r w:rsidRPr="00FA7278">
        <w:t xml:space="preserve"> the </w:t>
      </w:r>
      <w:r w:rsidRPr="00B814BC">
        <w:rPr>
          <w:rStyle w:val="Emphasis"/>
        </w:rPr>
        <w:t>LGBTIQ+ Plan 2021–2023</w:t>
      </w:r>
      <w:r w:rsidRPr="00FA7278">
        <w:t xml:space="preserve"> and the OneTMR Pride Network</w:t>
      </w:r>
      <w:r>
        <w:t>,</w:t>
      </w:r>
      <w:r w:rsidRPr="00FA7278">
        <w:t xml:space="preserve"> which has grown from three members to 80 members and works closely with Pride in Diversity to provide awareness, education, and support to employees.</w:t>
      </w:r>
      <w:r>
        <w:t xml:space="preserve"> TMR supported the </w:t>
      </w:r>
      <w:r w:rsidRPr="007B53E1">
        <w:t>LGBTQ - Light Up and the Night Charity Gala</w:t>
      </w:r>
      <w:r>
        <w:t xml:space="preserve"> by purchasing tickets for a table. </w:t>
      </w:r>
    </w:p>
    <w:p w14:paraId="714AC32E" w14:textId="77777777" w:rsidR="00AC6058" w:rsidRPr="00FA7278" w:rsidRDefault="00AC6058" w:rsidP="00AC6058">
      <w:r>
        <w:t>TMR</w:t>
      </w:r>
      <w:r w:rsidRPr="00FA7278">
        <w:t xml:space="preserve"> also supports the whole</w:t>
      </w:r>
      <w:r>
        <w:t>-</w:t>
      </w:r>
      <w:r w:rsidRPr="00FA7278">
        <w:t>of</w:t>
      </w:r>
      <w:r>
        <w:t>-</w:t>
      </w:r>
      <w:r w:rsidRPr="00FA7278">
        <w:t>government commitment to people with disability and has incorporated the 'opportunities for all' vision</w:t>
      </w:r>
      <w:r>
        <w:t>,</w:t>
      </w:r>
      <w:r w:rsidRPr="00FA7278">
        <w:t xml:space="preserve"> where people with disability are included and enabled to lead valued and fulfilling lives into our </w:t>
      </w:r>
      <w:r w:rsidRPr="00F41E27">
        <w:rPr>
          <w:rStyle w:val="Emphasis"/>
        </w:rPr>
        <w:t>Disability Service Plan 2022–2025</w:t>
      </w:r>
      <w:r w:rsidRPr="00FA7278">
        <w:t>.</w:t>
      </w:r>
    </w:p>
    <w:p w14:paraId="5C2EB22C" w14:textId="77777777" w:rsidR="00AC6058" w:rsidRPr="00FA7278" w:rsidRDefault="00AC6058" w:rsidP="00AC6058">
      <w:r>
        <w:t xml:space="preserve">The </w:t>
      </w:r>
      <w:r w:rsidRPr="00FA7278">
        <w:t>TMR D</w:t>
      </w:r>
      <w:r>
        <w:t>isability Service Plan</w:t>
      </w:r>
      <w:r w:rsidRPr="00FA7278">
        <w:t xml:space="preserve">, a </w:t>
      </w:r>
      <w:r>
        <w:t xml:space="preserve">three </w:t>
      </w:r>
      <w:r w:rsidRPr="00FA7278">
        <w:t>year roadmap on how TMR builds safe inclusive and accessible workplaces and transport products and services, was released in February 2023.</w:t>
      </w:r>
    </w:p>
    <w:p w14:paraId="06762292" w14:textId="77777777" w:rsidR="00AC6058" w:rsidRDefault="00AC6058" w:rsidP="00AC6058">
      <w:r>
        <w:lastRenderedPageBreak/>
        <w:t xml:space="preserve">TMR also </w:t>
      </w:r>
      <w:r w:rsidRPr="00FA7278">
        <w:t>implemented the</w:t>
      </w:r>
      <w:r w:rsidRPr="00E76BE2">
        <w:t xml:space="preserve"> Australian Network on Disability, Access</w:t>
      </w:r>
      <w:r>
        <w:t>,</w:t>
      </w:r>
      <w:r w:rsidRPr="00E76BE2">
        <w:t xml:space="preserve"> and Inclusion Self-Assessment Index</w:t>
      </w:r>
      <w:r w:rsidRPr="00FA7278">
        <w:t>. This index provides an insight into our strengths and opportunities to target our programs of work to embed principles of accessibility and inclusion for people with disability.</w:t>
      </w:r>
    </w:p>
    <w:p w14:paraId="193C4C85" w14:textId="77777777" w:rsidR="00C6602D" w:rsidRDefault="00C6602D" w:rsidP="00AC6058">
      <w:pPr>
        <w:pStyle w:val="Heading3"/>
      </w:pPr>
    </w:p>
    <w:p w14:paraId="7D18F3AE" w14:textId="2831CAC2" w:rsidR="00AC6058" w:rsidRPr="00DC1A33" w:rsidRDefault="00AC6058" w:rsidP="00AC6058">
      <w:pPr>
        <w:pStyle w:val="Heading3"/>
      </w:pPr>
      <w:r w:rsidRPr="00026B83">
        <w:t>Programs</w:t>
      </w:r>
      <w:r w:rsidRPr="006A1134">
        <w:t xml:space="preserve"> on the prevention of domestic and family violence</w:t>
      </w:r>
    </w:p>
    <w:p w14:paraId="414966B4" w14:textId="77777777" w:rsidR="00AC6058" w:rsidRDefault="00AC6058" w:rsidP="00AC6058">
      <w:r w:rsidRPr="008D28EF">
        <w:t>In 202</w:t>
      </w:r>
      <w:r>
        <w:t>2</w:t>
      </w:r>
      <w:r w:rsidRPr="008D28EF">
        <w:t>–2</w:t>
      </w:r>
      <w:r>
        <w:t>3</w:t>
      </w:r>
      <w:r w:rsidRPr="008D28EF">
        <w:t xml:space="preserve">, TMR continued to champion domestic and </w:t>
      </w:r>
      <w:r>
        <w:t>f</w:t>
      </w:r>
      <w:r w:rsidRPr="008D28EF">
        <w:t>amily violence (DFV) awareness and prevention.</w:t>
      </w:r>
    </w:p>
    <w:p w14:paraId="37F5D10C" w14:textId="77777777" w:rsidR="00AC6058" w:rsidRPr="008D28EF" w:rsidRDefault="00AC6058" w:rsidP="00AC6058">
      <w:r>
        <w:t xml:space="preserve">We continued to ensure staff are equipped to recognise, respond, and refer fellow colleagues or customers who are experiencing DFV. This training has been completed by 84.5 per cent of TMR staff. </w:t>
      </w:r>
    </w:p>
    <w:p w14:paraId="6C61820A" w14:textId="77777777" w:rsidR="00AC6058" w:rsidRDefault="00AC6058" w:rsidP="00AC6058">
      <w:r w:rsidRPr="008D28EF">
        <w:t xml:space="preserve">The Griffith University MATE Bystander prevention program continued to be rolled out with over </w:t>
      </w:r>
      <w:r>
        <w:t>4116</w:t>
      </w:r>
      <w:r w:rsidRPr="008D28EF">
        <w:t xml:space="preserve"> employees completing face to face or online training. The program empowers people to take action when they witness problematic behaviours in the workplace, home</w:t>
      </w:r>
      <w:r>
        <w:t>,</w:t>
      </w:r>
      <w:r w:rsidRPr="008D28EF">
        <w:t xml:space="preserve"> or community. </w:t>
      </w:r>
    </w:p>
    <w:p w14:paraId="73C69AD0" w14:textId="77777777" w:rsidR="00AC6058" w:rsidRDefault="00AC6058" w:rsidP="00AC6058">
      <w:r>
        <w:t>TMR c</w:t>
      </w:r>
      <w:r w:rsidRPr="00C1479E">
        <w:t xml:space="preserve">ontinued </w:t>
      </w:r>
      <w:r>
        <w:t xml:space="preserve">its </w:t>
      </w:r>
      <w:r w:rsidRPr="00C1479E">
        <w:t>partnership with WorkHaven on the Fresh Start for Me online coaching program</w:t>
      </w:r>
      <w:r>
        <w:t>. This program</w:t>
      </w:r>
      <w:r w:rsidRPr="00C1479E">
        <w:t xml:space="preserve"> assist</w:t>
      </w:r>
      <w:r>
        <w:t>s</w:t>
      </w:r>
      <w:r w:rsidRPr="00C1479E">
        <w:t xml:space="preserve"> employees who are impacted by </w:t>
      </w:r>
      <w:r>
        <w:t>DFV and a number of TMR staff have used it</w:t>
      </w:r>
      <w:r w:rsidRPr="00C1479E">
        <w:t xml:space="preserve"> to build a life beyond DFV.</w:t>
      </w:r>
      <w:r>
        <w:t xml:space="preserve"> </w:t>
      </w:r>
    </w:p>
    <w:p w14:paraId="252E0E08" w14:textId="77777777" w:rsidR="00AC6058" w:rsidRPr="008D28EF" w:rsidRDefault="00AC6058" w:rsidP="00AC6058">
      <w:r w:rsidRPr="008D28EF">
        <w:t xml:space="preserve">TMR raised awareness </w:t>
      </w:r>
      <w:r>
        <w:t>of</w:t>
      </w:r>
      <w:r w:rsidRPr="008D28EF">
        <w:t xml:space="preserve"> DFV </w:t>
      </w:r>
      <w:r>
        <w:t xml:space="preserve">and prevention </w:t>
      </w:r>
      <w:r w:rsidRPr="008D28EF">
        <w:t>within TMR by supporting the following events during 202</w:t>
      </w:r>
      <w:r>
        <w:t>2</w:t>
      </w:r>
      <w:r w:rsidRPr="008D28EF">
        <w:t>–2</w:t>
      </w:r>
      <w:r>
        <w:t>3</w:t>
      </w:r>
      <w:r w:rsidRPr="008D28EF">
        <w:t xml:space="preserve">: </w:t>
      </w:r>
    </w:p>
    <w:p w14:paraId="72DD151B" w14:textId="77777777" w:rsidR="00AC6058" w:rsidRDefault="00AC6058" w:rsidP="00AC6058">
      <w:pPr>
        <w:pStyle w:val="ListBullet"/>
      </w:pPr>
      <w:r w:rsidRPr="00A03B24">
        <w:t xml:space="preserve">TMR's Annual White Ribbon Day Event - TMR Road to respect with guest speakers discussing how TMR can work together to end </w:t>
      </w:r>
      <w:r>
        <w:t>DFV</w:t>
      </w:r>
      <w:r w:rsidRPr="00A03B24">
        <w:t xml:space="preserve"> and gendered violence</w:t>
      </w:r>
    </w:p>
    <w:p w14:paraId="267FA299" w14:textId="77777777" w:rsidR="00AC6058" w:rsidRPr="008D28EF" w:rsidRDefault="00AC6058" w:rsidP="00AC6058">
      <w:pPr>
        <w:pStyle w:val="ListBullet"/>
      </w:pPr>
      <w:r w:rsidRPr="008D28EF">
        <w:t>sponsorship of Challenge DV’s Darkness to Daylight</w:t>
      </w:r>
      <w:r>
        <w:t xml:space="preserve"> event</w:t>
      </w:r>
    </w:p>
    <w:p w14:paraId="098D8FBE" w14:textId="77777777" w:rsidR="00AC6058" w:rsidRPr="008D28EF" w:rsidRDefault="00AC6058" w:rsidP="00AC6058">
      <w:pPr>
        <w:pStyle w:val="ListBullet"/>
      </w:pPr>
      <w:r>
        <w:t xml:space="preserve">Road to Respect event - an event to raise funds and awareness for DFV. </w:t>
      </w:r>
    </w:p>
    <w:p w14:paraId="16D01C6E" w14:textId="694579CA" w:rsidR="00AC6058" w:rsidRPr="00034068" w:rsidRDefault="00AC6058" w:rsidP="00AC6058">
      <w:pPr>
        <w:pStyle w:val="Heading3"/>
      </w:pPr>
      <w:r>
        <w:t>Cultural heritage graduates</w:t>
      </w:r>
    </w:p>
    <w:p w14:paraId="48DF6879" w14:textId="77777777" w:rsidR="00AC6058" w:rsidRPr="00A4731E" w:rsidRDefault="00AC6058" w:rsidP="00AC6058">
      <w:r w:rsidRPr="00A4731E">
        <w:t xml:space="preserve">TMR currently employs four </w:t>
      </w:r>
      <w:r>
        <w:t>c</w:t>
      </w:r>
      <w:r w:rsidRPr="00A4731E">
        <w:t xml:space="preserve">ultural </w:t>
      </w:r>
      <w:r>
        <w:t>h</w:t>
      </w:r>
      <w:r w:rsidRPr="00A4731E">
        <w:t>eritage graduates as part of the</w:t>
      </w:r>
      <w:r>
        <w:t xml:space="preserve"> </w:t>
      </w:r>
      <w:r w:rsidRPr="00A4731E">
        <w:t xml:space="preserve">TMR Graduate Program, based in Brisbane, Bundaberg, Sunshine Coast and at a statewide level. </w:t>
      </w:r>
      <w:r w:rsidRPr="002967FD">
        <w:t>Cultural Heritage graduates conduct cultural heritage assessments on QTRIP projects, consult with Traditional Owners, survey project areas, deliver heritage asset management,</w:t>
      </w:r>
      <w:r>
        <w:t xml:space="preserve"> and</w:t>
      </w:r>
      <w:r w:rsidRPr="002967FD">
        <w:t xml:space="preserve"> contribute to TMR cultural heritage policy development and technical support across the State.</w:t>
      </w:r>
    </w:p>
    <w:p w14:paraId="3DB7D2DB" w14:textId="77777777" w:rsidR="00AC6058" w:rsidRPr="00A4731E" w:rsidRDefault="00AC6058" w:rsidP="00AC6058">
      <w:r w:rsidRPr="00A4731E">
        <w:t xml:space="preserve">Cultural Heritage is a specialist career that requires development and on-the-job training. By having Cultural Heritage graduates, TMR is not only supporting TMR's future Cultural Heritage workforce but producing highly skilled staff who could work in consultancies that deliver services to TMR. </w:t>
      </w:r>
    </w:p>
    <w:p w14:paraId="502100C9" w14:textId="77777777" w:rsidR="00AC6058" w:rsidRDefault="00AC6058" w:rsidP="00AC6058">
      <w:r w:rsidRPr="00A4731E">
        <w:t>The graduates have many development opportunities, including formal training, mentoring</w:t>
      </w:r>
      <w:r>
        <w:t>,</w:t>
      </w:r>
      <w:r w:rsidRPr="00A4731E">
        <w:t xml:space="preserve"> and project work</w:t>
      </w:r>
    </w:p>
    <w:p w14:paraId="1D280812" w14:textId="77777777" w:rsidR="00AC6058" w:rsidRPr="00AF6BC8" w:rsidRDefault="00AC6058" w:rsidP="00AC6058">
      <w:pPr>
        <w:pStyle w:val="Heading3"/>
      </w:pPr>
      <w:r>
        <w:t>Women in Engineering Program</w:t>
      </w:r>
    </w:p>
    <w:p w14:paraId="23CA6758" w14:textId="77777777" w:rsidR="00AC6058" w:rsidRPr="006E0FF7" w:rsidRDefault="00AC6058" w:rsidP="00AC6058">
      <w:r w:rsidRPr="006E0FF7">
        <w:t xml:space="preserve">The </w:t>
      </w:r>
      <w:r>
        <w:t>W</w:t>
      </w:r>
      <w:r w:rsidRPr="006E0FF7">
        <w:t xml:space="preserve">omen in </w:t>
      </w:r>
      <w:r>
        <w:t>E</w:t>
      </w:r>
      <w:r w:rsidRPr="006E0FF7">
        <w:t xml:space="preserve">ngineering </w:t>
      </w:r>
      <w:r>
        <w:t>P</w:t>
      </w:r>
      <w:r w:rsidRPr="006E0FF7">
        <w:t xml:space="preserve">rogram aims to attract, support, retain, and celebrate women in engineering by focusing on: </w:t>
      </w:r>
    </w:p>
    <w:p w14:paraId="26EB556A" w14:textId="77777777" w:rsidR="00AC6058" w:rsidRDefault="00AC6058" w:rsidP="00AC6058">
      <w:pPr>
        <w:pStyle w:val="ListBullet"/>
      </w:pPr>
      <w:r w:rsidRPr="00AE5A5A">
        <w:t xml:space="preserve">early awareness – providing an opportunity for primary and secondary school students to engage with science, technology, engineering, and mathematics (STEM) through </w:t>
      </w:r>
      <w:r>
        <w:t>practical</w:t>
      </w:r>
      <w:r w:rsidRPr="00AE5A5A">
        <w:t xml:space="preserve"> activities </w:t>
      </w:r>
    </w:p>
    <w:p w14:paraId="2D38910F" w14:textId="77777777" w:rsidR="00AC6058" w:rsidRPr="006E0FF7" w:rsidRDefault="00AC6058" w:rsidP="00AC6058">
      <w:pPr>
        <w:pStyle w:val="ListBullet"/>
      </w:pPr>
      <w:r w:rsidRPr="006E0FF7">
        <w:t xml:space="preserve">continued engagement – supporting female high school and university students to consider or continue studies in STEM </w:t>
      </w:r>
    </w:p>
    <w:p w14:paraId="6E21C636" w14:textId="77777777" w:rsidR="00AC6058" w:rsidRPr="006E0FF7" w:rsidRDefault="00AC6058" w:rsidP="00AC6058">
      <w:pPr>
        <w:pStyle w:val="ListBullet"/>
      </w:pPr>
      <w:r w:rsidRPr="006E0FF7">
        <w:t xml:space="preserve">professional support and development – </w:t>
      </w:r>
      <w:r>
        <w:t xml:space="preserve">delivering workplace engagement and networking events to inspire, celebrate, and retain </w:t>
      </w:r>
      <w:r w:rsidRPr="008735A8">
        <w:t>female</w:t>
      </w:r>
      <w:r>
        <w:t xml:space="preserve"> engineers</w:t>
      </w:r>
      <w:r w:rsidRPr="006E0FF7">
        <w:t xml:space="preserve">. </w:t>
      </w:r>
    </w:p>
    <w:p w14:paraId="20BDF6B0" w14:textId="77777777" w:rsidR="00AC6058" w:rsidRPr="006E0FF7" w:rsidRDefault="00AC6058" w:rsidP="00AC6058">
      <w:r w:rsidRPr="006E0FF7">
        <w:t>TMR</w:t>
      </w:r>
      <w:r>
        <w:t>-</w:t>
      </w:r>
      <w:r w:rsidRPr="006E0FF7">
        <w:t xml:space="preserve"> supported initiatives during 202</w:t>
      </w:r>
      <w:r>
        <w:t>2</w:t>
      </w:r>
      <w:r w:rsidRPr="006E0FF7">
        <w:t>–2</w:t>
      </w:r>
      <w:r>
        <w:t>3</w:t>
      </w:r>
      <w:r w:rsidRPr="006E0FF7">
        <w:t xml:space="preserve"> included: </w:t>
      </w:r>
    </w:p>
    <w:p w14:paraId="32AD7529" w14:textId="77777777" w:rsidR="00AC6058" w:rsidRPr="006E0FF7" w:rsidRDefault="00AC6058" w:rsidP="00AC6058">
      <w:pPr>
        <w:pStyle w:val="ListBullet"/>
      </w:pPr>
      <w:r>
        <w:t xml:space="preserve">sponsored the Engineering Link Group: 391 high-school students, of which 40 per cent were female, </w:t>
      </w:r>
      <w:r w:rsidRPr="008735A8">
        <w:t>participat</w:t>
      </w:r>
      <w:r>
        <w:t>ed in workshops and competitions</w:t>
      </w:r>
    </w:p>
    <w:p w14:paraId="43747AB7" w14:textId="77777777" w:rsidR="00AC6058" w:rsidRPr="006E0FF7" w:rsidRDefault="00AC6058" w:rsidP="00AC6058">
      <w:pPr>
        <w:pStyle w:val="ListBullet"/>
      </w:pPr>
      <w:r w:rsidRPr="006E0FF7">
        <w:lastRenderedPageBreak/>
        <w:t xml:space="preserve">awarded four bursaries of $1000 each to </w:t>
      </w:r>
      <w:r>
        <w:t xml:space="preserve">high-performing women </w:t>
      </w:r>
      <w:r w:rsidRPr="00D75A9B">
        <w:t>studying a Bachelor of Engineering</w:t>
      </w:r>
      <w:r>
        <w:t>,</w:t>
      </w:r>
      <w:r w:rsidRPr="00382AB6">
        <w:t xml:space="preserve"> </w:t>
      </w:r>
      <w:r>
        <w:t>delivered in partnership with</w:t>
      </w:r>
      <w:r w:rsidRPr="006E0FF7">
        <w:t xml:space="preserve"> the National Council of Women of Queensland </w:t>
      </w:r>
    </w:p>
    <w:p w14:paraId="669489A2" w14:textId="77777777" w:rsidR="00AC6058" w:rsidRPr="006E0FF7" w:rsidRDefault="00AC6058" w:rsidP="00AC6058">
      <w:pPr>
        <w:pStyle w:val="ListBullet"/>
      </w:pPr>
      <w:r w:rsidRPr="006E0FF7">
        <w:t>sponsor</w:t>
      </w:r>
      <w:r>
        <w:t>ed</w:t>
      </w:r>
      <w:r w:rsidRPr="006E0FF7">
        <w:t xml:space="preserve"> a table at </w:t>
      </w:r>
      <w:r>
        <w:t xml:space="preserve">the </w:t>
      </w:r>
      <w:r w:rsidRPr="006E0FF7">
        <w:t>Engineers Australia International Women in Engineering lunch</w:t>
      </w:r>
    </w:p>
    <w:p w14:paraId="6B70ECCE" w14:textId="77777777" w:rsidR="00AC6058" w:rsidRPr="006E0FF7" w:rsidRDefault="00AC6058" w:rsidP="00AC6058">
      <w:pPr>
        <w:pStyle w:val="ListBullet"/>
      </w:pPr>
      <w:r w:rsidRPr="006E0FF7">
        <w:t>support</w:t>
      </w:r>
      <w:r>
        <w:t xml:space="preserve">ed </w:t>
      </w:r>
      <w:r w:rsidRPr="006E0FF7">
        <w:t>TMR graduates to participate in</w:t>
      </w:r>
      <w:r>
        <w:t xml:space="preserve"> an all-female build-in the </w:t>
      </w:r>
      <w:r w:rsidRPr="006E0FF7">
        <w:t>Constructionarium</w:t>
      </w:r>
      <w:r>
        <w:t xml:space="preserve"> program.</w:t>
      </w:r>
      <w:r w:rsidRPr="006E0FF7">
        <w:t xml:space="preserve"> </w:t>
      </w:r>
    </w:p>
    <w:p w14:paraId="66399CAF" w14:textId="77777777" w:rsidR="00AC6058" w:rsidRPr="00756FBC" w:rsidRDefault="00AC6058" w:rsidP="00AC6058">
      <w:pPr>
        <w:pStyle w:val="Heading3"/>
      </w:pPr>
      <w:r>
        <w:t>RoadTek Respect Action Plan</w:t>
      </w:r>
    </w:p>
    <w:p w14:paraId="4B3CDD89" w14:textId="77777777" w:rsidR="00AC6058" w:rsidRPr="00D11B09" w:rsidRDefault="00AC6058" w:rsidP="00AC6058">
      <w:bookmarkStart w:id="33" w:name="_Hlk128473465"/>
      <w:r w:rsidRPr="00D11B09">
        <w:t xml:space="preserve">The RoadTek Respect </w:t>
      </w:r>
      <w:r>
        <w:t>A</w:t>
      </w:r>
      <w:r w:rsidRPr="00D11B09">
        <w:t xml:space="preserve">ction </w:t>
      </w:r>
      <w:r>
        <w:t>P</w:t>
      </w:r>
      <w:r w:rsidRPr="00D11B09">
        <w:t xml:space="preserve">lan was </w:t>
      </w:r>
      <w:r>
        <w:t xml:space="preserve">developed </w:t>
      </w:r>
      <w:r w:rsidRPr="00D11B09">
        <w:t>in December 2021</w:t>
      </w:r>
      <w:r>
        <w:t xml:space="preserve"> with an expected delivery by December 2024 and</w:t>
      </w:r>
      <w:r w:rsidRPr="00D11B09">
        <w:t xml:space="preserve"> outlines the steps </w:t>
      </w:r>
      <w:r>
        <w:t>TMR is</w:t>
      </w:r>
      <w:r w:rsidRPr="00D11B09">
        <w:t xml:space="preserve"> taking to promot</w:t>
      </w:r>
      <w:r>
        <w:t>e</w:t>
      </w:r>
      <w:r w:rsidRPr="00D11B09">
        <w:t xml:space="preserve"> a culture that supports respectful relationships, challenges gender stereotypes</w:t>
      </w:r>
      <w:r>
        <w:t>,</w:t>
      </w:r>
      <w:r w:rsidRPr="00D11B09">
        <w:t xml:space="preserve"> and enhances staff's capability to recognise and respond to unacceptable behavio</w:t>
      </w:r>
      <w:r>
        <w:t>u</w:t>
      </w:r>
      <w:r w:rsidRPr="00D11B09">
        <w:t>r.</w:t>
      </w:r>
    </w:p>
    <w:p w14:paraId="790BA330" w14:textId="77777777" w:rsidR="00AC6058" w:rsidRPr="00D11B09" w:rsidRDefault="00AC6058" w:rsidP="00AC6058">
      <w:r>
        <w:t>Initiatives that</w:t>
      </w:r>
      <w:r w:rsidRPr="00D11B09">
        <w:t xml:space="preserve"> have been implemented </w:t>
      </w:r>
      <w:r>
        <w:t>under the action plan include</w:t>
      </w:r>
      <w:r w:rsidRPr="00D11B09">
        <w:t>:</w:t>
      </w:r>
    </w:p>
    <w:p w14:paraId="4E806125" w14:textId="77777777" w:rsidR="00AC6058" w:rsidRPr="00D11B09" w:rsidRDefault="00AC6058" w:rsidP="00AC6058">
      <w:pPr>
        <w:pStyle w:val="ListBullet"/>
      </w:pPr>
      <w:r w:rsidRPr="00D11B09">
        <w:t xml:space="preserve">implementation of a Respect at RoadTek survey </w:t>
      </w:r>
    </w:p>
    <w:p w14:paraId="2E1BBA42" w14:textId="77777777" w:rsidR="00AC6058" w:rsidRPr="00D11B09" w:rsidRDefault="00AC6058" w:rsidP="00AC6058">
      <w:pPr>
        <w:pStyle w:val="ListBullet"/>
      </w:pPr>
      <w:r w:rsidRPr="00D11B09">
        <w:t xml:space="preserve">introduction of a </w:t>
      </w:r>
      <w:r w:rsidRPr="00BB712F">
        <w:rPr>
          <w:rStyle w:val="Emphasis"/>
        </w:rPr>
        <w:t>RoadTek Charter of Respect</w:t>
      </w:r>
    </w:p>
    <w:p w14:paraId="78C54C71" w14:textId="77777777" w:rsidR="00AC6058" w:rsidRPr="00D11B09" w:rsidRDefault="00AC6058" w:rsidP="00AC6058">
      <w:pPr>
        <w:pStyle w:val="ListBullet"/>
      </w:pPr>
      <w:r w:rsidRPr="00D11B09">
        <w:t>access to specialist support services for staff who experience sexual harassment and/or assault</w:t>
      </w:r>
    </w:p>
    <w:p w14:paraId="44127C6B" w14:textId="77777777" w:rsidR="00AC6058" w:rsidRPr="00D11B09" w:rsidRDefault="00AC6058" w:rsidP="00AC6058">
      <w:pPr>
        <w:pStyle w:val="ListBullet"/>
      </w:pPr>
      <w:r w:rsidRPr="00D11B09">
        <w:t>the establishment of a Women in RoadTek working group</w:t>
      </w:r>
    </w:p>
    <w:p w14:paraId="143BE7F8" w14:textId="77777777" w:rsidR="00AC6058" w:rsidRDefault="00AC6058" w:rsidP="00AC6058">
      <w:pPr>
        <w:pStyle w:val="ListBullet"/>
      </w:pPr>
      <w:r w:rsidRPr="00D11B09">
        <w:t xml:space="preserve">the roll out of resources to help raise awareness of how staff can raise their concerns </w:t>
      </w:r>
    </w:p>
    <w:p w14:paraId="593ED96D" w14:textId="77777777" w:rsidR="00AC6058" w:rsidRPr="00D11B09" w:rsidRDefault="00AC6058" w:rsidP="00AC6058">
      <w:pPr>
        <w:pStyle w:val="ListBullet"/>
      </w:pPr>
      <w:r w:rsidRPr="004363FF">
        <w:t xml:space="preserve">the face-to-face delivery of the highly regarded Griffith University MATE bystander program. As of </w:t>
      </w:r>
      <w:r>
        <w:t>30</w:t>
      </w:r>
      <w:r w:rsidRPr="004363FF">
        <w:t xml:space="preserve"> </w:t>
      </w:r>
      <w:r>
        <w:t>June</w:t>
      </w:r>
      <w:r w:rsidRPr="004363FF">
        <w:t xml:space="preserve"> 2023, </w:t>
      </w:r>
      <w:r>
        <w:t>RoadTek has trained approximately</w:t>
      </w:r>
      <w:r w:rsidRPr="004363FF">
        <w:t xml:space="preserve"> </w:t>
      </w:r>
      <w:r>
        <w:t>1485</w:t>
      </w:r>
      <w:r w:rsidRPr="004363FF">
        <w:t xml:space="preserve"> RoadTek employees and contractors. Training continues during 2023, ensuring everyone in RoadTek can participate.</w:t>
      </w:r>
    </w:p>
    <w:bookmarkEnd w:id="33"/>
    <w:p w14:paraId="5B281D9C" w14:textId="1F1FBC7C" w:rsidR="00AC6058" w:rsidRDefault="00AC6058" w:rsidP="00AC6058">
      <w:pPr>
        <w:pStyle w:val="Heading3"/>
      </w:pPr>
      <w:r>
        <w:t>Women in Maritime</w:t>
      </w:r>
    </w:p>
    <w:p w14:paraId="2D04E2E8" w14:textId="77777777" w:rsidR="00AC6058" w:rsidRDefault="00AC6058" w:rsidP="00AC6058">
      <w:r>
        <w:t>MSQ</w:t>
      </w:r>
      <w:r w:rsidRPr="00B42871">
        <w:t xml:space="preserve"> launched its Women in Maritime Committee in March 2020</w:t>
      </w:r>
      <w:r>
        <w:t xml:space="preserve"> </w:t>
      </w:r>
      <w:r w:rsidRPr="00B42871">
        <w:t xml:space="preserve">to develop a long-term, meaningful commitment to careers for women in maritime. </w:t>
      </w:r>
    </w:p>
    <w:p w14:paraId="2F81B413" w14:textId="77777777" w:rsidR="00AC6058" w:rsidRDefault="00AC6058" w:rsidP="00AC6058">
      <w:r w:rsidRPr="00B42871">
        <w:t xml:space="preserve">The </w:t>
      </w:r>
      <w:r>
        <w:t>c</w:t>
      </w:r>
      <w:r w:rsidRPr="00B42871">
        <w:t xml:space="preserve">ommittee seeks to create diverse employment avenues for current and potential staff to take up opportunities in a variety of maritime roles and training avenues in Queensland. </w:t>
      </w:r>
      <w:r>
        <w:t>It</w:t>
      </w:r>
      <w:r w:rsidRPr="00B42871">
        <w:t xml:space="preserve"> consists of members from a range of regions, job roles</w:t>
      </w:r>
      <w:r>
        <w:t>,</w:t>
      </w:r>
      <w:r w:rsidRPr="00B42871">
        <w:t xml:space="preserve"> and gender. </w:t>
      </w:r>
    </w:p>
    <w:p w14:paraId="1DE615EB" w14:textId="77777777" w:rsidR="00AC6058" w:rsidRDefault="00AC6058" w:rsidP="00AC6058">
      <w:r>
        <w:t>Since commencing, the committee has launched initiatives including:</w:t>
      </w:r>
    </w:p>
    <w:p w14:paraId="1EE3AA1F" w14:textId="77777777" w:rsidR="00AC6058" w:rsidRDefault="00AC6058" w:rsidP="00AC6058">
      <w:pPr>
        <w:pStyle w:val="ListBullet"/>
      </w:pPr>
      <w:r>
        <w:t>MSQ's first job shadowing program, open to participants TMR wide</w:t>
      </w:r>
    </w:p>
    <w:p w14:paraId="1F022142" w14:textId="77777777" w:rsidR="00AC6058" w:rsidRDefault="00AC6058" w:rsidP="00AC6058">
      <w:pPr>
        <w:pStyle w:val="ListBullet"/>
      </w:pPr>
      <w:r>
        <w:t xml:space="preserve">showcasing profile cards of women currently in MSQ </w:t>
      </w:r>
    </w:p>
    <w:p w14:paraId="2FC2AB15" w14:textId="77777777" w:rsidR="00AC6058" w:rsidRDefault="00AC6058" w:rsidP="00AC6058">
      <w:pPr>
        <w:pStyle w:val="ListBullet"/>
      </w:pPr>
      <w:r>
        <w:t xml:space="preserve">female only pollution response training courses, attended by both MSQ and external stakeholders </w:t>
      </w:r>
    </w:p>
    <w:p w14:paraId="5A2A10C1" w14:textId="77777777" w:rsidR="00AC6058" w:rsidRDefault="00AC6058" w:rsidP="00AC6058">
      <w:pPr>
        <w:pStyle w:val="ListBullet"/>
      </w:pPr>
      <w:r>
        <w:t xml:space="preserve">networking events. </w:t>
      </w:r>
    </w:p>
    <w:p w14:paraId="1AD1AAEF" w14:textId="77777777" w:rsidR="00AC6058" w:rsidRPr="00B42871" w:rsidRDefault="00AC6058" w:rsidP="00AC6058">
      <w:r w:rsidRPr="00B42871">
        <w:t xml:space="preserve">The Women in Maritime Committee has a range of initiatives planned for 2023 including expanding the </w:t>
      </w:r>
      <w:r>
        <w:t>c</w:t>
      </w:r>
      <w:r w:rsidRPr="00B42871">
        <w:t xml:space="preserve">ommittee and looks forward to creating more avenues for women within </w:t>
      </w:r>
      <w:r>
        <w:t xml:space="preserve">the </w:t>
      </w:r>
      <w:r w:rsidRPr="00B42871">
        <w:t>maritime</w:t>
      </w:r>
      <w:r>
        <w:t xml:space="preserve"> industry</w:t>
      </w:r>
      <w:r w:rsidRPr="00B42871">
        <w:t xml:space="preserve">.  </w:t>
      </w:r>
    </w:p>
    <w:p w14:paraId="78975F19" w14:textId="77777777" w:rsidR="00AC6058" w:rsidRPr="00756FBC" w:rsidRDefault="00AC6058" w:rsidP="00AC6058">
      <w:pPr>
        <w:pStyle w:val="Heading3"/>
      </w:pPr>
      <w:r>
        <w:t>RoadTek Women in Construction</w:t>
      </w:r>
    </w:p>
    <w:p w14:paraId="62283ED6" w14:textId="77777777" w:rsidR="00AC6058" w:rsidRDefault="00AC6058" w:rsidP="00AC6058">
      <w:r>
        <w:t xml:space="preserve">RoadTek welcomed its 8th Women in Construction program cohort this financial year. The program provides women across Queensland with an entryway into the construction industry 23 joined the program, with 19 of those graduating and 11 still employed with RoadTek in June 2023. </w:t>
      </w:r>
    </w:p>
    <w:p w14:paraId="3CFF8237" w14:textId="77777777" w:rsidR="00AC6058" w:rsidRPr="00D46B1F" w:rsidRDefault="00AC6058" w:rsidP="00AC6058">
      <w:r w:rsidRPr="00D46B1F">
        <w:t xml:space="preserve">Participants undertook theoretical and practical training to gain certification in six units of </w:t>
      </w:r>
      <w:r>
        <w:t>a</w:t>
      </w:r>
      <w:r w:rsidRPr="00D46B1F">
        <w:t xml:space="preserve"> Certificate III in Civil Construction (</w:t>
      </w:r>
      <w:r w:rsidRPr="0039203F">
        <w:t xml:space="preserve">Road Construction </w:t>
      </w:r>
      <w:r>
        <w:t>and</w:t>
      </w:r>
      <w:r w:rsidRPr="0039203F">
        <w:t xml:space="preserve"> Maintenance)</w:t>
      </w:r>
      <w:r>
        <w:t>.</w:t>
      </w:r>
    </w:p>
    <w:p w14:paraId="31335617" w14:textId="77777777" w:rsidR="00AC6058" w:rsidRPr="00D46B1F" w:rsidRDefault="00AC6058" w:rsidP="00AC6058">
      <w:r w:rsidRPr="00D46B1F">
        <w:t>This unique blend of classroom and practical training ensures th</w:t>
      </w:r>
      <w:r>
        <w:t>at</w:t>
      </w:r>
      <w:r w:rsidRPr="00D46B1F">
        <w:t xml:space="preserve"> women </w:t>
      </w:r>
      <w:r>
        <w:t>have</w:t>
      </w:r>
      <w:r w:rsidRPr="00D46B1F">
        <w:t xml:space="preserve"> basic safety and underpinning civil construction knowledge to achieve a long</w:t>
      </w:r>
      <w:r>
        <w:noBreakHyphen/>
      </w:r>
      <w:r w:rsidRPr="00D46B1F">
        <w:t xml:space="preserve">term career in the civil construction industry. </w:t>
      </w:r>
    </w:p>
    <w:p w14:paraId="197A8F98" w14:textId="77777777" w:rsidR="00AC6058" w:rsidRPr="00D46B1F" w:rsidRDefault="00AC6058" w:rsidP="00AC6058">
      <w:r w:rsidRPr="00D46B1F">
        <w:t xml:space="preserve">The </w:t>
      </w:r>
      <w:r>
        <w:t>program's success</w:t>
      </w:r>
      <w:r w:rsidRPr="00D46B1F">
        <w:t xml:space="preserve"> is </w:t>
      </w:r>
      <w:r>
        <w:t>evidenced</w:t>
      </w:r>
      <w:r w:rsidRPr="00D46B1F">
        <w:t xml:space="preserve"> by the increase in female construction workers in RoadTek’s workforce from</w:t>
      </w:r>
      <w:r>
        <w:t xml:space="preserve"> 2 </w:t>
      </w:r>
      <w:r w:rsidRPr="00D46B1F">
        <w:t>per cent in 2017 to</w:t>
      </w:r>
      <w:r>
        <w:t xml:space="preserve"> </w:t>
      </w:r>
      <w:r w:rsidRPr="00D46B1F">
        <w:t>over 5.9 per cent.</w:t>
      </w:r>
    </w:p>
    <w:p w14:paraId="0DE36887" w14:textId="77777777" w:rsidR="00AC6058" w:rsidRPr="00CA0B2B" w:rsidRDefault="00AC6058" w:rsidP="00AC6058">
      <w:pPr>
        <w:pStyle w:val="Heading3"/>
      </w:pPr>
      <w:r w:rsidRPr="00CA0B2B">
        <w:lastRenderedPageBreak/>
        <w:t xml:space="preserve">Women in </w:t>
      </w:r>
      <w:r>
        <w:t>P</w:t>
      </w:r>
      <w:r w:rsidRPr="00CA0B2B">
        <w:t xml:space="preserve">roject </w:t>
      </w:r>
      <w:r>
        <w:t>M</w:t>
      </w:r>
      <w:r w:rsidRPr="00CA0B2B">
        <w:t xml:space="preserve">anagement program </w:t>
      </w:r>
    </w:p>
    <w:p w14:paraId="682DC042" w14:textId="77777777" w:rsidR="00AC6058" w:rsidRPr="00CA0B2B" w:rsidRDefault="00AC6058" w:rsidP="00AC6058">
      <w:r w:rsidRPr="00CA0B2B">
        <w:t>Following the successful delivery of the Women in Construction program, the inaugural Women in</w:t>
      </w:r>
      <w:r>
        <w:t xml:space="preserve"> P</w:t>
      </w:r>
      <w:r w:rsidRPr="00CA0B2B">
        <w:t xml:space="preserve">roject </w:t>
      </w:r>
      <w:r>
        <w:t>M</w:t>
      </w:r>
      <w:r w:rsidRPr="00CA0B2B">
        <w:t xml:space="preserve">anagement program was launched in 2022. The program aimed to attract and engage more female project managers into the civil construction industry. </w:t>
      </w:r>
    </w:p>
    <w:p w14:paraId="3E358D2D" w14:textId="77777777" w:rsidR="00AC6058" w:rsidRPr="00CA0B2B" w:rsidRDefault="00AC6058" w:rsidP="00AC6058">
      <w:r w:rsidRPr="00CA0B2B">
        <w:t xml:space="preserve">Seven participants were engaged from a variety of backgrounds and have had the opportunity to build on their current skill sets, receiving on the job training while working with existing project managers. Working at both site and office locations, </w:t>
      </w:r>
      <w:r>
        <w:t>responsibilities</w:t>
      </w:r>
      <w:r w:rsidRPr="00CA0B2B">
        <w:t xml:space="preserve"> involve</w:t>
      </w:r>
      <w:r>
        <w:t>d</w:t>
      </w:r>
      <w:r w:rsidRPr="00CA0B2B">
        <w:t xml:space="preserve"> project managing the delivery of assigned civil activities including: </w:t>
      </w:r>
    </w:p>
    <w:p w14:paraId="2775D216" w14:textId="77777777" w:rsidR="00AC6058" w:rsidRPr="00CA0B2B" w:rsidRDefault="00AC6058" w:rsidP="00AC6058">
      <w:pPr>
        <w:pStyle w:val="ListBullet"/>
      </w:pPr>
      <w:r w:rsidRPr="00CA0B2B">
        <w:t xml:space="preserve">construction </w:t>
      </w:r>
    </w:p>
    <w:p w14:paraId="6E096E8E" w14:textId="77777777" w:rsidR="00AC6058" w:rsidRPr="00CA0B2B" w:rsidRDefault="00AC6058" w:rsidP="00AC6058">
      <w:pPr>
        <w:pStyle w:val="ListBullet"/>
      </w:pPr>
      <w:r w:rsidRPr="00CA0B2B">
        <w:t xml:space="preserve">maintenance </w:t>
      </w:r>
    </w:p>
    <w:p w14:paraId="7AE3323F" w14:textId="77777777" w:rsidR="00AC6058" w:rsidRPr="00CA0B2B" w:rsidRDefault="00AC6058" w:rsidP="00AC6058">
      <w:pPr>
        <w:pStyle w:val="ListBullet"/>
      </w:pPr>
      <w:r w:rsidRPr="00CA0B2B">
        <w:t xml:space="preserve">rehabilitation </w:t>
      </w:r>
    </w:p>
    <w:p w14:paraId="790B940B" w14:textId="77777777" w:rsidR="00AC6058" w:rsidRPr="00CA0B2B" w:rsidRDefault="00AC6058" w:rsidP="00AC6058">
      <w:pPr>
        <w:pStyle w:val="ListBullet"/>
      </w:pPr>
      <w:r w:rsidRPr="00CA0B2B">
        <w:t xml:space="preserve">preconstruction </w:t>
      </w:r>
    </w:p>
    <w:p w14:paraId="4C3B5F42" w14:textId="77777777" w:rsidR="00AC6058" w:rsidRPr="00CA0B2B" w:rsidRDefault="00AC6058" w:rsidP="00AC6058">
      <w:pPr>
        <w:pStyle w:val="ListBullet"/>
      </w:pPr>
      <w:r w:rsidRPr="00CA0B2B">
        <w:t xml:space="preserve">electrical </w:t>
      </w:r>
    </w:p>
    <w:p w14:paraId="1CC24B28" w14:textId="77777777" w:rsidR="00AC6058" w:rsidRPr="00CA0B2B" w:rsidRDefault="00AC6058" w:rsidP="00AC6058">
      <w:pPr>
        <w:pStyle w:val="ListBullet"/>
      </w:pPr>
      <w:r w:rsidRPr="00CA0B2B">
        <w:t>business projects</w:t>
      </w:r>
      <w:r>
        <w:t>.</w:t>
      </w:r>
    </w:p>
    <w:p w14:paraId="64CA11C0" w14:textId="77777777" w:rsidR="00AC6058" w:rsidRPr="00CA0B2B" w:rsidRDefault="00AC6058" w:rsidP="00AC6058">
      <w:r w:rsidRPr="00CA0B2B">
        <w:t xml:space="preserve">The first program cohort </w:t>
      </w:r>
      <w:r>
        <w:t xml:space="preserve">all </w:t>
      </w:r>
      <w:r w:rsidRPr="00CA0B2B">
        <w:t>graduate</w:t>
      </w:r>
      <w:r>
        <w:t>d</w:t>
      </w:r>
      <w:r w:rsidRPr="00CA0B2B">
        <w:t xml:space="preserve"> </w:t>
      </w:r>
      <w:r>
        <w:t>prior to June 2023,</w:t>
      </w:r>
      <w:r w:rsidRPr="00CA0B2B">
        <w:t xml:space="preserve"> and participant feedback</w:t>
      </w:r>
      <w:r>
        <w:t xml:space="preserve"> was positive:</w:t>
      </w:r>
      <w:r w:rsidRPr="00CA0B2B">
        <w:t xml:space="preserve"> </w:t>
      </w:r>
      <w:r>
        <w:t>'I</w:t>
      </w:r>
      <w:r w:rsidRPr="00CA0B2B">
        <w:t>t is a really good program and provides opportunities for women to gain experience in project management. This program is well supported and gives me job satisfaction</w:t>
      </w:r>
      <w:r>
        <w:t>'.</w:t>
      </w:r>
      <w:r w:rsidRPr="00CA0B2B">
        <w:t xml:space="preserve"> </w:t>
      </w:r>
    </w:p>
    <w:p w14:paraId="3717D2E2" w14:textId="77777777" w:rsidR="00AC6058" w:rsidRPr="00026B83" w:rsidRDefault="00AC6058" w:rsidP="00AC6058">
      <w:r w:rsidRPr="00CA0B2B">
        <w:t>The program will be released again in 2023 to build on the success of the 2022 pilot program.</w:t>
      </w:r>
    </w:p>
    <w:p w14:paraId="7053693F" w14:textId="77777777" w:rsidR="00AC6058" w:rsidRDefault="00AC6058" w:rsidP="00AC6058">
      <w:pPr>
        <w:pStyle w:val="Heading2"/>
      </w:pPr>
      <w:r w:rsidRPr="00AC044D">
        <w:t>Attracting talented people</w:t>
      </w:r>
      <w:r>
        <w:t xml:space="preserve"> </w:t>
      </w:r>
      <w:r w:rsidRPr="000035FB">
        <w:t xml:space="preserve"> </w:t>
      </w:r>
    </w:p>
    <w:p w14:paraId="4AF98395" w14:textId="77777777" w:rsidR="00AC6058" w:rsidRPr="004507E6" w:rsidRDefault="00AC6058" w:rsidP="00AC6058">
      <w:pPr>
        <w:pStyle w:val="Heading3"/>
      </w:pPr>
      <w:r w:rsidRPr="004507E6">
        <w:t>Backing maritime jobs</w:t>
      </w:r>
    </w:p>
    <w:p w14:paraId="6139C1F8" w14:textId="77777777" w:rsidR="00AC6058" w:rsidRPr="004507E6" w:rsidRDefault="00AC6058" w:rsidP="00AC6058">
      <w:r w:rsidRPr="004507E6">
        <w:t>The Queensland Government has committed $21 million funding to the Backing Queensland Maritime Jobs initiative, giving financial assistance under three new grant programs. This initiative will revitalise and strengthen coastal shipping and create ongoing maritime jobs in Queensland. </w:t>
      </w:r>
    </w:p>
    <w:p w14:paraId="7FD334EF" w14:textId="77777777" w:rsidR="00AC6058" w:rsidRPr="004507E6" w:rsidRDefault="00AC6058" w:rsidP="00AC6058">
      <w:r w:rsidRPr="004507E6">
        <w:t>Grant programs were established after a parliamentary inquiry into promoting sustainable intrastate shipping industry in Queensland.</w:t>
      </w:r>
    </w:p>
    <w:p w14:paraId="64A2BFF7" w14:textId="77777777" w:rsidR="00AC6058" w:rsidRPr="004507E6" w:rsidRDefault="00AC6058" w:rsidP="00AC6058">
      <w:r w:rsidRPr="004507E6">
        <w:t xml:space="preserve">Successful applicants were announced during March 2023 for the Maritime Training Grant Program with 10 companies to receive grants for training </w:t>
      </w:r>
      <w:r>
        <w:t>29</w:t>
      </w:r>
      <w:r w:rsidRPr="004507E6">
        <w:t xml:space="preserve"> of their employees.  Maritime Employment Grant Programs were announced during March 2023 with </w:t>
      </w:r>
      <w:r>
        <w:t>two</w:t>
      </w:r>
      <w:r w:rsidRPr="004507E6">
        <w:t xml:space="preserve"> companies </w:t>
      </w:r>
      <w:r>
        <w:t>receiving grants for the funding of 10</w:t>
      </w:r>
      <w:r w:rsidRPr="004507E6">
        <w:t xml:space="preserve"> maritime positions, these include </w:t>
      </w:r>
      <w:r>
        <w:t>four maritime cadets or</w:t>
      </w:r>
      <w:r w:rsidRPr="004507E6">
        <w:t xml:space="preserve"> trainees.</w:t>
      </w:r>
    </w:p>
    <w:p w14:paraId="109F1E48" w14:textId="77777777" w:rsidR="00AC6058" w:rsidRPr="004507E6" w:rsidRDefault="00AC6058" w:rsidP="00AC6058">
      <w:r w:rsidRPr="004507E6">
        <w:t>The funding arrangements create a partnership with industry to deliver increased maritime employment, potentially through establishing new coastal shipping services or other innovative approaches with new roles with existing operators in Queensland</w:t>
      </w:r>
      <w:r>
        <w:t xml:space="preserve"> to</w:t>
      </w:r>
      <w:r w:rsidRPr="004507E6">
        <w:t xml:space="preserve"> address skill shortages and create opportunities for seafarers to grow skills.</w:t>
      </w:r>
    </w:p>
    <w:p w14:paraId="4359643B" w14:textId="77777777" w:rsidR="00AC6058" w:rsidRPr="004507E6" w:rsidRDefault="00AC6058" w:rsidP="00AC6058">
      <w:r w:rsidRPr="004507E6">
        <w:t>This initiative aligns with the Queensland Government's good jobs objective—to create and support secure jobs in our traditional and emerging industries.</w:t>
      </w:r>
    </w:p>
    <w:p w14:paraId="57670E7D" w14:textId="77777777" w:rsidR="00AC6058" w:rsidRPr="004507E6" w:rsidRDefault="00AC6058" w:rsidP="00AC6058">
      <w:r w:rsidRPr="004507E6">
        <w:t xml:space="preserve">Successful applicants across all streams were required to enter into formal grant agreements with MSQ acting on behalf of the State. </w:t>
      </w:r>
    </w:p>
    <w:p w14:paraId="27A3B032" w14:textId="77777777" w:rsidR="00AC6058" w:rsidRPr="00DC1A33" w:rsidRDefault="00AC6058" w:rsidP="00AC6058">
      <w:pPr>
        <w:pStyle w:val="Heading3"/>
      </w:pPr>
      <w:r w:rsidRPr="00930F2A">
        <w:t xml:space="preserve">Learning </w:t>
      </w:r>
      <w:r>
        <w:t>s</w:t>
      </w:r>
      <w:r w:rsidRPr="00930F2A">
        <w:t>trategy</w:t>
      </w:r>
      <w:r w:rsidRPr="00153669">
        <w:t xml:space="preserve"> </w:t>
      </w:r>
    </w:p>
    <w:p w14:paraId="4DAB3F63" w14:textId="77777777" w:rsidR="00AC6058" w:rsidRPr="00453D43" w:rsidRDefault="00AC6058" w:rsidP="00AC6058">
      <w:r w:rsidRPr="00453D43">
        <w:t xml:space="preserve">TMR's </w:t>
      </w:r>
      <w:r w:rsidRPr="00363809">
        <w:rPr>
          <w:rStyle w:val="Emphasis"/>
        </w:rPr>
        <w:t>Learning Strategy</w:t>
      </w:r>
      <w:r w:rsidRPr="00453D43">
        <w:t xml:space="preserve"> </w:t>
      </w:r>
      <w:r w:rsidRPr="00B7545E">
        <w:rPr>
          <w:rStyle w:val="Emphasis"/>
        </w:rPr>
        <w:t xml:space="preserve">2021–2024 </w:t>
      </w:r>
      <w:r w:rsidRPr="00170371">
        <w:t>underpins</w:t>
      </w:r>
      <w:r w:rsidRPr="00453D43">
        <w:t xml:space="preserve"> the continuous growth of TMR's learning culture through targeted initiatives that support</w:t>
      </w:r>
      <w:r>
        <w:t xml:space="preserve"> </w:t>
      </w:r>
      <w:r w:rsidRPr="00453D43">
        <w:t>employees to drive their own development, managers to develop their teams for performance excellence and capability specialists to design quality and accessible learning to meet the needs of our people.</w:t>
      </w:r>
    </w:p>
    <w:p w14:paraId="3DAB8EE8" w14:textId="77777777" w:rsidR="00AC6058" w:rsidRPr="00453D43" w:rsidRDefault="00AC6058" w:rsidP="00AC6058">
      <w:r w:rsidRPr="00453D43">
        <w:t xml:space="preserve">Since its inception, the strategy </w:t>
      </w:r>
      <w:r>
        <w:t>has changed</w:t>
      </w:r>
      <w:r w:rsidRPr="00453D43">
        <w:t xml:space="preserve"> the learning landscape in TMR, delivering a number of key resources and tools including</w:t>
      </w:r>
      <w:r>
        <w:t>:</w:t>
      </w:r>
      <w:r w:rsidRPr="00453D43">
        <w:t xml:space="preserve"> </w:t>
      </w:r>
    </w:p>
    <w:p w14:paraId="7996413B" w14:textId="77777777" w:rsidR="00AC6058" w:rsidRPr="00453D43" w:rsidRDefault="00AC6058" w:rsidP="00AC6058">
      <w:pPr>
        <w:pStyle w:val="ListBullet"/>
      </w:pPr>
      <w:r w:rsidRPr="00453D43">
        <w:lastRenderedPageBreak/>
        <w:t xml:space="preserve">LinkedIn Learning </w:t>
      </w:r>
    </w:p>
    <w:p w14:paraId="1451644E" w14:textId="77777777" w:rsidR="00AC6058" w:rsidRPr="00453D43" w:rsidRDefault="00AC6058" w:rsidP="00AC6058">
      <w:pPr>
        <w:pStyle w:val="ListBullet"/>
      </w:pPr>
      <w:r w:rsidRPr="00453D43">
        <w:t xml:space="preserve">TMR Learning Personas </w:t>
      </w:r>
    </w:p>
    <w:p w14:paraId="1181BF28" w14:textId="77777777" w:rsidR="00AC6058" w:rsidRPr="00453D43" w:rsidRDefault="00AC6058" w:rsidP="00AC6058">
      <w:pPr>
        <w:pStyle w:val="ListBullet"/>
      </w:pPr>
      <w:r>
        <w:t>L</w:t>
      </w:r>
      <w:r w:rsidRPr="00170371">
        <w:t>earning</w:t>
      </w:r>
      <w:r w:rsidRPr="00453D43">
        <w:t xml:space="preserve"> </w:t>
      </w:r>
      <w:r w:rsidRPr="00170371">
        <w:t>A</w:t>
      </w:r>
      <w:r w:rsidRPr="00453D43">
        <w:t xml:space="preserve">rchitecture </w:t>
      </w:r>
      <w:r w:rsidRPr="00170371">
        <w:t>G</w:t>
      </w:r>
      <w:r w:rsidRPr="00453D43">
        <w:t>uides</w:t>
      </w:r>
    </w:p>
    <w:p w14:paraId="398F2B90" w14:textId="77777777" w:rsidR="00AC6058" w:rsidRPr="00453D43" w:rsidRDefault="00AC6058" w:rsidP="00AC6058">
      <w:pPr>
        <w:pStyle w:val="ListBullet"/>
      </w:pPr>
      <w:r w:rsidRPr="00453D43">
        <w:t xml:space="preserve">TMR Learning Calendar </w:t>
      </w:r>
    </w:p>
    <w:p w14:paraId="4486F879" w14:textId="77777777" w:rsidR="00AC6058" w:rsidRPr="00453D43" w:rsidRDefault="00AC6058" w:rsidP="00AC6058">
      <w:pPr>
        <w:pStyle w:val="ListBullet"/>
      </w:pPr>
      <w:r w:rsidRPr="00453D43">
        <w:t xml:space="preserve">TMR Development Library. </w:t>
      </w:r>
    </w:p>
    <w:p w14:paraId="08F7068A" w14:textId="77777777" w:rsidR="00AC6058" w:rsidRPr="00453D43" w:rsidRDefault="00AC6058" w:rsidP="00AC6058">
      <w:r w:rsidRPr="00453D43">
        <w:t>The</w:t>
      </w:r>
      <w:r>
        <w:t xml:space="preserve"> Development</w:t>
      </w:r>
      <w:r w:rsidRPr="00453D43">
        <w:t xml:space="preserve"> </w:t>
      </w:r>
      <w:r>
        <w:t>L</w:t>
      </w:r>
      <w:r w:rsidRPr="00453D43">
        <w:t xml:space="preserve">ibrary is a tailored development offering with curated resources designed to grow capability across TMR's </w:t>
      </w:r>
      <w:r w:rsidRPr="00170371">
        <w:t xml:space="preserve">six </w:t>
      </w:r>
      <w:r w:rsidRPr="00453D43">
        <w:t>priority capability areas:</w:t>
      </w:r>
    </w:p>
    <w:p w14:paraId="07C281AD" w14:textId="77777777" w:rsidR="00AC6058" w:rsidRPr="00170371" w:rsidRDefault="00AC6058" w:rsidP="00AC6058">
      <w:pPr>
        <w:pStyle w:val="ListBullet"/>
      </w:pPr>
      <w:r w:rsidRPr="00170371">
        <w:t>digital and data </w:t>
      </w:r>
    </w:p>
    <w:p w14:paraId="4BF57D66" w14:textId="77777777" w:rsidR="00AC6058" w:rsidRPr="00170371" w:rsidRDefault="00AC6058" w:rsidP="00AC6058">
      <w:pPr>
        <w:pStyle w:val="ListBullet"/>
      </w:pPr>
      <w:r w:rsidRPr="00170371">
        <w:t>portfolio, program and project management </w:t>
      </w:r>
    </w:p>
    <w:p w14:paraId="23D88AB2" w14:textId="77777777" w:rsidR="00AC6058" w:rsidRPr="00170371" w:rsidRDefault="00AC6058" w:rsidP="00AC6058">
      <w:pPr>
        <w:pStyle w:val="ListBullet"/>
      </w:pPr>
      <w:r w:rsidRPr="00170371">
        <w:t>safety and wellbeing </w:t>
      </w:r>
    </w:p>
    <w:p w14:paraId="454DA3EF" w14:textId="77777777" w:rsidR="00AC6058" w:rsidRPr="00170371" w:rsidRDefault="00AC6058" w:rsidP="00AC6058">
      <w:pPr>
        <w:pStyle w:val="ListBullet"/>
      </w:pPr>
      <w:r w:rsidRPr="00170371">
        <w:t>leadership and management </w:t>
      </w:r>
    </w:p>
    <w:p w14:paraId="4E96D66C" w14:textId="77777777" w:rsidR="00AC6058" w:rsidRPr="00170371" w:rsidRDefault="00AC6058" w:rsidP="00AC6058">
      <w:pPr>
        <w:pStyle w:val="ListBullet"/>
      </w:pPr>
      <w:r w:rsidRPr="00170371">
        <w:t>general business skills </w:t>
      </w:r>
    </w:p>
    <w:p w14:paraId="0BACDBD5" w14:textId="77777777" w:rsidR="00AC6058" w:rsidRPr="00170371" w:rsidRDefault="00AC6058" w:rsidP="00AC6058">
      <w:pPr>
        <w:pStyle w:val="ListBullet"/>
      </w:pPr>
      <w:r w:rsidRPr="00170371">
        <w:t>occupational technical competencies</w:t>
      </w:r>
      <w:r>
        <w:t>.</w:t>
      </w:r>
    </w:p>
    <w:p w14:paraId="017A31C1" w14:textId="77777777" w:rsidR="00AC6058" w:rsidRPr="00453D43" w:rsidRDefault="00AC6058" w:rsidP="00AC6058">
      <w:r w:rsidRPr="00453D43">
        <w:t xml:space="preserve">In September 2022, we held our second annual TMR Learning Network Forum as part of International Adult Learners' Week. The theme was 'connect with learning' and welcomed guest speakers from Queensland Health and Griffith University who shared their valuable insights on learning and academic partnerships. </w:t>
      </w:r>
    </w:p>
    <w:p w14:paraId="47D37581" w14:textId="77777777" w:rsidR="00AC6058" w:rsidRPr="00DC1A33" w:rsidRDefault="00AC6058" w:rsidP="00AC6058">
      <w:pPr>
        <w:pStyle w:val="Heading3"/>
      </w:pPr>
      <w:r w:rsidRPr="00153669">
        <w:t>Leadership development</w:t>
      </w:r>
    </w:p>
    <w:p w14:paraId="164FBF24" w14:textId="77777777" w:rsidR="00AC6058" w:rsidRPr="009923EF" w:rsidRDefault="00AC6058" w:rsidP="00AC6058">
      <w:r w:rsidRPr="009923EF">
        <w:t xml:space="preserve">Developing leadership and management capability is one of </w:t>
      </w:r>
      <w:r>
        <w:t xml:space="preserve">the </w:t>
      </w:r>
      <w:r w:rsidRPr="009923EF">
        <w:t>four</w:t>
      </w:r>
      <w:r>
        <w:t xml:space="preserve"> </w:t>
      </w:r>
      <w:r w:rsidRPr="009923EF">
        <w:t xml:space="preserve">strategic workforce priorities </w:t>
      </w:r>
      <w:r>
        <w:t>for TMR and continues to be a critical capability for our organisation</w:t>
      </w:r>
      <w:r w:rsidRPr="009923EF">
        <w:t xml:space="preserve">. </w:t>
      </w:r>
    </w:p>
    <w:p w14:paraId="0C648EE4" w14:textId="77777777" w:rsidR="00AC6058" w:rsidRPr="009923EF" w:rsidRDefault="00AC6058" w:rsidP="00AC6058">
      <w:r w:rsidRPr="009923EF">
        <w:t>In response,</w:t>
      </w:r>
      <w:r>
        <w:t xml:space="preserve"> TMR </w:t>
      </w:r>
      <w:r w:rsidRPr="009923EF">
        <w:t xml:space="preserve">designed a bespoke </w:t>
      </w:r>
      <w:r>
        <w:t>L</w:t>
      </w:r>
      <w:r w:rsidRPr="009923EF">
        <w:t xml:space="preserve">eadership </w:t>
      </w:r>
      <w:r>
        <w:t>D</w:t>
      </w:r>
      <w:r w:rsidRPr="009923EF">
        <w:t xml:space="preserve">evelopment </w:t>
      </w:r>
      <w:r>
        <w:t>R</w:t>
      </w:r>
      <w:r w:rsidRPr="009923EF">
        <w:t xml:space="preserve">oadmap to support leaders at all levels with a range of learning opportunities </w:t>
      </w:r>
      <w:r>
        <w:t>–</w:t>
      </w:r>
      <w:r w:rsidRPr="009923EF">
        <w:t xml:space="preserve"> to give our leaders the confidence to lead others into the future and to ensure a pipeline of ready leaders.</w:t>
      </w:r>
    </w:p>
    <w:p w14:paraId="08CA66E5" w14:textId="77777777" w:rsidR="00AC6058" w:rsidRPr="00453D43" w:rsidRDefault="00AC6058" w:rsidP="00AC6058">
      <w:r>
        <w:t>TMR</w:t>
      </w:r>
      <w:r w:rsidRPr="00453D43">
        <w:t xml:space="preserve"> rolled out a suite of leadership development offerings, including: </w:t>
      </w:r>
    </w:p>
    <w:p w14:paraId="57DA1D28" w14:textId="77777777" w:rsidR="00AC6058" w:rsidRPr="009923EF" w:rsidRDefault="00AC6058" w:rsidP="00AC6058">
      <w:pPr>
        <w:pStyle w:val="ListBullet"/>
      </w:pPr>
      <w:r w:rsidRPr="009923EF">
        <w:t>125 participants in Good-decision training delivered by the Queensland Ombudsman</w:t>
      </w:r>
    </w:p>
    <w:p w14:paraId="659D69AF" w14:textId="77777777" w:rsidR="00AC6058" w:rsidRPr="009923EF" w:rsidRDefault="00AC6058" w:rsidP="00AC6058">
      <w:pPr>
        <w:pStyle w:val="ListBullet"/>
      </w:pPr>
      <w:r>
        <w:t>380</w:t>
      </w:r>
      <w:r w:rsidRPr="009923EF">
        <w:t xml:space="preserve"> participants in the Positive Performance Management Program </w:t>
      </w:r>
    </w:p>
    <w:p w14:paraId="62EC5CD4" w14:textId="77777777" w:rsidR="00AC6058" w:rsidRPr="009923EF" w:rsidRDefault="00AC6058" w:rsidP="00AC6058">
      <w:pPr>
        <w:pStyle w:val="ListBullet"/>
      </w:pPr>
      <w:r>
        <w:t>508</w:t>
      </w:r>
      <w:r w:rsidRPr="009923EF">
        <w:t xml:space="preserve"> partic</w:t>
      </w:r>
      <w:r>
        <w:t>i</w:t>
      </w:r>
      <w:r w:rsidRPr="009923EF">
        <w:t>pants in the Management Fundamental series, including</w:t>
      </w:r>
    </w:p>
    <w:p w14:paraId="20B20D54" w14:textId="77777777" w:rsidR="00AC6058" w:rsidRPr="009923EF" w:rsidRDefault="00AC6058" w:rsidP="00AC6058">
      <w:pPr>
        <w:pStyle w:val="ListBullet2"/>
      </w:pPr>
      <w:r>
        <w:t>77</w:t>
      </w:r>
      <w:r w:rsidRPr="009923EF">
        <w:t xml:space="preserve"> participants in Positive Performance Engagement</w:t>
      </w:r>
    </w:p>
    <w:p w14:paraId="69B620F6" w14:textId="77777777" w:rsidR="00AC6058" w:rsidRPr="009923EF" w:rsidRDefault="00AC6058" w:rsidP="00AC6058">
      <w:pPr>
        <w:pStyle w:val="ListBullet2"/>
      </w:pPr>
      <w:r w:rsidRPr="009923EF">
        <w:t>77 participants in Developing Your Team</w:t>
      </w:r>
    </w:p>
    <w:p w14:paraId="0B1B6838" w14:textId="77777777" w:rsidR="00AC6058" w:rsidRPr="009923EF" w:rsidRDefault="00AC6058" w:rsidP="00AC6058">
      <w:pPr>
        <w:pStyle w:val="ListBullet2"/>
      </w:pPr>
      <w:r w:rsidRPr="009923EF">
        <w:t>44 participants in Employee Wellbeing</w:t>
      </w:r>
    </w:p>
    <w:p w14:paraId="3579E092" w14:textId="77777777" w:rsidR="00AC6058" w:rsidRDefault="00AC6058" w:rsidP="00AC6058">
      <w:pPr>
        <w:pStyle w:val="ListBullet2"/>
      </w:pPr>
      <w:r>
        <w:t>101</w:t>
      </w:r>
      <w:r w:rsidRPr="009923EF">
        <w:t xml:space="preserve"> participants in Psychosocial Health and Safety at Work</w:t>
      </w:r>
    </w:p>
    <w:p w14:paraId="1FA90BAC" w14:textId="77777777" w:rsidR="00AC6058" w:rsidRDefault="00AC6058" w:rsidP="00AC6058">
      <w:pPr>
        <w:pStyle w:val="ListBullet2"/>
      </w:pPr>
      <w:r>
        <w:t xml:space="preserve">39 participants in Early Intervention </w:t>
      </w:r>
    </w:p>
    <w:p w14:paraId="333175AA" w14:textId="77777777" w:rsidR="00AC6058" w:rsidRDefault="00AC6058" w:rsidP="00AC6058">
      <w:pPr>
        <w:pStyle w:val="ListBullet2"/>
      </w:pPr>
      <w:r>
        <w:t xml:space="preserve">37 participants in Case Management </w:t>
      </w:r>
    </w:p>
    <w:p w14:paraId="0B7BCCBC" w14:textId="77777777" w:rsidR="00AC6058" w:rsidRDefault="00AC6058" w:rsidP="00AC6058">
      <w:pPr>
        <w:pStyle w:val="ListBullet2"/>
      </w:pPr>
      <w:r>
        <w:t xml:space="preserve">66 participants in Finance Basics </w:t>
      </w:r>
    </w:p>
    <w:p w14:paraId="2769F0D6" w14:textId="77777777" w:rsidR="00AC6058" w:rsidRDefault="00AC6058" w:rsidP="00AC6058">
      <w:pPr>
        <w:pStyle w:val="ListBullet2"/>
      </w:pPr>
      <w:r>
        <w:t xml:space="preserve">37 participants in Safety Rehabilitation and Return to Work </w:t>
      </w:r>
    </w:p>
    <w:p w14:paraId="2648FF7C" w14:textId="77777777" w:rsidR="00AC6058" w:rsidRPr="009923EF" w:rsidRDefault="00AC6058" w:rsidP="00AC6058">
      <w:pPr>
        <w:pStyle w:val="ListBullet2"/>
      </w:pPr>
      <w:r>
        <w:t xml:space="preserve">110 participants in Workforce Planning, Business, and Strategic Planning </w:t>
      </w:r>
    </w:p>
    <w:p w14:paraId="597E054C" w14:textId="77777777" w:rsidR="00AC6058" w:rsidRPr="00453D43" w:rsidRDefault="00AC6058" w:rsidP="00AC6058">
      <w:pPr>
        <w:pStyle w:val="ListBullet"/>
      </w:pPr>
      <w:r>
        <w:t>o</w:t>
      </w:r>
      <w:r w:rsidRPr="009923EF">
        <w:t>ver 180 employees participated in TMR's Digital leadership pathway</w:t>
      </w:r>
    </w:p>
    <w:p w14:paraId="529E18DD" w14:textId="77777777" w:rsidR="00AC6058" w:rsidRPr="00453D43" w:rsidRDefault="00AC6058" w:rsidP="00AC6058">
      <w:pPr>
        <w:pStyle w:val="ListBullet"/>
      </w:pPr>
      <w:r>
        <w:t>45 and 36 matched pairs</w:t>
      </w:r>
      <w:r w:rsidRPr="00453D43">
        <w:t xml:space="preserve"> in OneTMR Mentoring Program and Women in Leadership Mentoring Program</w:t>
      </w:r>
      <w:r>
        <w:t>, respectively</w:t>
      </w:r>
    </w:p>
    <w:p w14:paraId="162CB17A" w14:textId="77777777" w:rsidR="00AC6058" w:rsidRPr="009923EF" w:rsidRDefault="00AC6058" w:rsidP="00AC6058">
      <w:pPr>
        <w:pStyle w:val="ListBullet"/>
      </w:pPr>
      <w:r w:rsidRPr="009923EF">
        <w:t xml:space="preserve">76 participants in </w:t>
      </w:r>
      <w:r>
        <w:t>Australian and New Zealand School of Government's (</w:t>
      </w:r>
      <w:r w:rsidRPr="009923EF">
        <w:t>ANZSOG</w:t>
      </w:r>
      <w:r>
        <w:t>)</w:t>
      </w:r>
      <w:r w:rsidRPr="009923EF">
        <w:t xml:space="preserve"> masterclasses </w:t>
      </w:r>
    </w:p>
    <w:p w14:paraId="4BA14AF8" w14:textId="77777777" w:rsidR="00AC6058" w:rsidRPr="009923EF" w:rsidRDefault="00AC6058" w:rsidP="00AC6058">
      <w:pPr>
        <w:pStyle w:val="ListBullet"/>
      </w:pPr>
      <w:r w:rsidRPr="009923EF">
        <w:t>1 scholarship for the ANZSOG Executive Master of Public Administration</w:t>
      </w:r>
    </w:p>
    <w:p w14:paraId="05C5E809" w14:textId="77777777" w:rsidR="00AC6058" w:rsidRPr="009923EF" w:rsidRDefault="00AC6058" w:rsidP="00AC6058">
      <w:pPr>
        <w:pStyle w:val="ListBullet"/>
      </w:pPr>
      <w:r w:rsidRPr="009923EF">
        <w:t>23 participants in the ANZSOG First Nations Conference</w:t>
      </w:r>
    </w:p>
    <w:p w14:paraId="14634FE1" w14:textId="77777777" w:rsidR="00AC6058" w:rsidRPr="00453D43" w:rsidRDefault="00AC6058" w:rsidP="00AC6058">
      <w:pPr>
        <w:pStyle w:val="ListBullet"/>
      </w:pPr>
      <w:r>
        <w:t>12</w:t>
      </w:r>
      <w:r w:rsidRPr="009923EF">
        <w:t xml:space="preserve"> partic</w:t>
      </w:r>
      <w:r>
        <w:t>i</w:t>
      </w:r>
      <w:r w:rsidRPr="009923EF">
        <w:t>pants in the QUT Public Sector Management Program</w:t>
      </w:r>
    </w:p>
    <w:p w14:paraId="40FC1D77" w14:textId="77777777" w:rsidR="00AC6058" w:rsidRPr="009923EF" w:rsidRDefault="00AC6058" w:rsidP="00AC6058">
      <w:pPr>
        <w:pStyle w:val="ListBullet"/>
      </w:pPr>
      <w:r w:rsidRPr="009923EF">
        <w:t>35 participants in the QUT online Everyday Conversations for Healthy Minds and for Better Conversations programs</w:t>
      </w:r>
      <w:r>
        <w:t>.</w:t>
      </w:r>
    </w:p>
    <w:p w14:paraId="230336F3" w14:textId="77777777" w:rsidR="00AC6058" w:rsidRDefault="00AC6058" w:rsidP="00AC6058">
      <w:r w:rsidRPr="005E3DB9">
        <w:lastRenderedPageBreak/>
        <w:t>Formal training</w:t>
      </w:r>
      <w:r>
        <w:t>,</w:t>
      </w:r>
      <w:r w:rsidRPr="005E3DB9">
        <w:t xml:space="preserve"> as well as coaching, mentoring, job shadowing, networking, individual research</w:t>
      </w:r>
      <w:r>
        <w:t>,</w:t>
      </w:r>
      <w:r w:rsidRPr="005E3DB9">
        <w:t xml:space="preserve"> and on-the-job learning opportunities, and relieving in senior roles was also offered to eligible employees</w:t>
      </w:r>
      <w:r>
        <w:t>.</w:t>
      </w:r>
    </w:p>
    <w:p w14:paraId="4D5FBE26" w14:textId="77777777" w:rsidR="00AC6058" w:rsidRDefault="00AC6058" w:rsidP="00AC6058">
      <w:r w:rsidRPr="009923EF">
        <w:t>LinkedIn Learning corporate membership has enabled approximately 11</w:t>
      </w:r>
      <w:r>
        <w:t xml:space="preserve"> per cent</w:t>
      </w:r>
      <w:r w:rsidRPr="009923EF">
        <w:t xml:space="preserve"> of active LinkedIn Learners </w:t>
      </w:r>
      <w:r>
        <w:t xml:space="preserve">to </w:t>
      </w:r>
      <w:r w:rsidRPr="009923EF">
        <w:t xml:space="preserve">engage with Leadership content during the last year </w:t>
      </w:r>
      <w:r>
        <w:t>–</w:t>
      </w:r>
      <w:r w:rsidRPr="009923EF">
        <w:t xml:space="preserve"> 299 unique learners upskilled in areas including interpersonal, team, project, </w:t>
      </w:r>
      <w:r>
        <w:t>e</w:t>
      </w:r>
      <w:r w:rsidRPr="009923EF">
        <w:t>xecutive leadership, and more. This was an increase of approximately 48</w:t>
      </w:r>
      <w:r>
        <w:t xml:space="preserve"> per cent</w:t>
      </w:r>
      <w:r w:rsidRPr="009923EF">
        <w:t xml:space="preserve"> learners from the previous year engaging in LinkedIn Learning Leadership content. </w:t>
      </w:r>
    </w:p>
    <w:p w14:paraId="6D0EA8A5" w14:textId="77777777" w:rsidR="00AC6058" w:rsidRDefault="00AC6058" w:rsidP="00AC6058">
      <w:pPr>
        <w:pStyle w:val="Heading3"/>
      </w:pPr>
      <w:r w:rsidRPr="006767F4">
        <w:t xml:space="preserve">TMR </w:t>
      </w:r>
      <w:r>
        <w:t>g</w:t>
      </w:r>
      <w:r w:rsidRPr="006767F4">
        <w:t>raduate program</w:t>
      </w:r>
      <w:r>
        <w:t xml:space="preserve">  </w:t>
      </w:r>
    </w:p>
    <w:p w14:paraId="6668B0E8" w14:textId="77777777" w:rsidR="00AC6058" w:rsidRPr="00453D43" w:rsidRDefault="00AC6058" w:rsidP="00AC6058">
      <w:r w:rsidRPr="00453D43">
        <w:t>In February 2023, TMR onboarded 4</w:t>
      </w:r>
      <w:r>
        <w:t>5</w:t>
      </w:r>
      <w:r w:rsidRPr="00453D43">
        <w:t xml:space="preserve"> new graduates in </w:t>
      </w:r>
      <w:r>
        <w:t xml:space="preserve">various </w:t>
      </w:r>
      <w:r w:rsidRPr="00453D43">
        <w:t xml:space="preserve">roles across the state. The additional intake of graduates increased the program total to </w:t>
      </w:r>
      <w:r>
        <w:t>89</w:t>
      </w:r>
      <w:r w:rsidRPr="00453D43">
        <w:t xml:space="preserve"> graduates across 20 disciplines</w:t>
      </w:r>
      <w:r>
        <w:t xml:space="preserve"> in 10 locations across the state.</w:t>
      </w:r>
    </w:p>
    <w:p w14:paraId="5957B4EF" w14:textId="77777777" w:rsidR="00AC6058" w:rsidRPr="00453D43" w:rsidRDefault="00AC6058" w:rsidP="00AC6058">
      <w:r w:rsidRPr="00453D43">
        <w:t xml:space="preserve">Over </w:t>
      </w:r>
      <w:r>
        <w:t>6</w:t>
      </w:r>
      <w:r w:rsidRPr="00453D43">
        <w:t>0 per cent of TMR graduates are in technical streams, building an ongoing pipeline of capabilities in these critical roles. </w:t>
      </w:r>
    </w:p>
    <w:p w14:paraId="14C509F2" w14:textId="77777777" w:rsidR="00AC6058" w:rsidRPr="00453D43" w:rsidRDefault="00AC6058" w:rsidP="00AC6058">
      <w:r w:rsidRPr="00453D43">
        <w:t xml:space="preserve">Alongside technical development, professional capability development for these graduates is aligned to </w:t>
      </w:r>
      <w:r w:rsidRPr="00DB64A3">
        <w:rPr>
          <w:rStyle w:val="Emphasis"/>
        </w:rPr>
        <w:t>TMR’s Strategic Workforce Plan 2021–2024</w:t>
      </w:r>
      <w:r w:rsidRPr="00453D43">
        <w:t xml:space="preserve"> and the attributes of future TMR employees. This will ensure TMR has a pipeline of employees who hold capabilities to become TMR’s future leaders. </w:t>
      </w:r>
    </w:p>
    <w:p w14:paraId="661B4993" w14:textId="77777777" w:rsidR="00AC6058" w:rsidRDefault="00AC6058" w:rsidP="00AC6058">
      <w:r w:rsidRPr="004F609B">
        <w:t xml:space="preserve">The TMR Graduate Program is focused on providing an engaging and enriching experience. </w:t>
      </w:r>
      <w:r>
        <w:t xml:space="preserve">When asked why they applied for TMR's program, many TMR graduates reported that they were drawn to the program due to its positive reputation in peer and university networks. </w:t>
      </w:r>
    </w:p>
    <w:p w14:paraId="3FE2833D" w14:textId="77777777" w:rsidR="00AC6058" w:rsidRDefault="00AC6058" w:rsidP="00AC6058">
      <w:r>
        <w:t xml:space="preserve">TMR's work-life balance, inclusive practices, and a positive culture were also a strong motivator for graduate candidates to apply. In a recent survey, over 90 per cent of TMR's cohort reported that the program has met or exceeded their expectations. </w:t>
      </w:r>
    </w:p>
    <w:p w14:paraId="6FD19825" w14:textId="77777777" w:rsidR="00AC6058" w:rsidRDefault="00AC6058" w:rsidP="00AC6058">
      <w:r>
        <w:t>TMR's program has placed in the top 75 of the Australasian Association of Graduate Employers of graduate programs in 2020 and has also placed in Australian Financial Review's top 100 in 2022 as part of the broader Queensland Government category.</w:t>
      </w:r>
    </w:p>
    <w:p w14:paraId="56C6AD3D" w14:textId="77777777" w:rsidR="00AC6058" w:rsidRPr="00453D43" w:rsidRDefault="00AC6058" w:rsidP="00AC6058">
      <w:r w:rsidRPr="00453D43">
        <w:t>TMR is an inclusive organisation that supports staff to bring different perspectives, beliefs, ideas</w:t>
      </w:r>
      <w:r>
        <w:t>,</w:t>
      </w:r>
      <w:r w:rsidRPr="00453D43">
        <w:t xml:space="preserve"> and cultures to the workplace. Of the 4</w:t>
      </w:r>
      <w:r>
        <w:t>5</w:t>
      </w:r>
      <w:r w:rsidRPr="00453D43">
        <w:t xml:space="preserve"> new graduate roles: </w:t>
      </w:r>
    </w:p>
    <w:p w14:paraId="1EF0E949" w14:textId="77777777" w:rsidR="00AC6058" w:rsidRPr="0052770B" w:rsidRDefault="00AC6058" w:rsidP="00AC6058">
      <w:pPr>
        <w:pStyle w:val="ListBullet"/>
      </w:pPr>
      <w:r w:rsidRPr="0052770B">
        <w:t>42 per cent identified as people from a non-English speaking background </w:t>
      </w:r>
    </w:p>
    <w:p w14:paraId="1B324D1E" w14:textId="77777777" w:rsidR="00AC6058" w:rsidRPr="0052770B" w:rsidRDefault="00AC6058" w:rsidP="00AC6058">
      <w:pPr>
        <w:pStyle w:val="ListBullet"/>
      </w:pPr>
      <w:r w:rsidRPr="0052770B">
        <w:t>4.7 per cent identified as disabled </w:t>
      </w:r>
    </w:p>
    <w:p w14:paraId="73C54931" w14:textId="77777777" w:rsidR="00AC6058" w:rsidRPr="0052770B" w:rsidRDefault="00AC6058" w:rsidP="00AC6058">
      <w:pPr>
        <w:pStyle w:val="ListBullet"/>
      </w:pPr>
      <w:r w:rsidRPr="0052770B">
        <w:t>37 per cent identified as female.</w:t>
      </w:r>
    </w:p>
    <w:p w14:paraId="7295E013" w14:textId="77777777" w:rsidR="00AC6058" w:rsidRPr="00453D43" w:rsidRDefault="00AC6058" w:rsidP="00AC6058">
      <w:r>
        <w:t xml:space="preserve">All of these are increases from previous years reaffirms TMR's commitment to supporting its diverse workforce. </w:t>
      </w:r>
    </w:p>
    <w:p w14:paraId="7AC21BBB" w14:textId="77777777" w:rsidR="00AC6058" w:rsidRDefault="00AC6058" w:rsidP="00AC6058">
      <w:pPr>
        <w:pStyle w:val="ForMoreInformation"/>
      </w:pPr>
      <w:r>
        <w:t xml:space="preserve">For more information  </w:t>
      </w:r>
      <w:r>
        <w:br/>
      </w:r>
      <w:r w:rsidRPr="00E05E48">
        <w:rPr>
          <w:rStyle w:val="Hyperlink"/>
        </w:rPr>
        <w:t>https://www.tmr.qld.gov.au/About-us/Employment-and-careers/Entry-Pathways-Program/Graduate-progra</w:t>
      </w:r>
    </w:p>
    <w:p w14:paraId="03AEC541" w14:textId="77777777" w:rsidR="00AC6058" w:rsidRPr="00DC1A33" w:rsidRDefault="00AC6058" w:rsidP="00AC6058">
      <w:pPr>
        <w:pStyle w:val="Heading3"/>
      </w:pPr>
      <w:r w:rsidRPr="0041463B">
        <w:t>Mentoring in TMR</w:t>
      </w:r>
      <w:r w:rsidRPr="00153669">
        <w:t xml:space="preserve"> </w:t>
      </w:r>
    </w:p>
    <w:p w14:paraId="62D20CE0" w14:textId="77777777" w:rsidR="00AC6058" w:rsidRPr="00C96BF0" w:rsidRDefault="00AC6058" w:rsidP="00AC6058">
      <w:pPr>
        <w:pStyle w:val="Heading4"/>
      </w:pPr>
      <w:r w:rsidRPr="00C96BF0">
        <w:t xml:space="preserve">Women in Leadership Mentoring </w:t>
      </w:r>
      <w:r>
        <w:t>P</w:t>
      </w:r>
      <w:r w:rsidRPr="00C96BF0">
        <w:t>rogram  </w:t>
      </w:r>
    </w:p>
    <w:p w14:paraId="2F44EB68" w14:textId="77777777" w:rsidR="00AC6058" w:rsidRPr="002F43E5" w:rsidRDefault="00AC6058" w:rsidP="00AC6058">
      <w:r w:rsidRPr="002F43E5">
        <w:t>The Women in Leadership Mentoring Program, now in its ninth year</w:t>
      </w:r>
      <w:r>
        <w:t>,</w:t>
      </w:r>
      <w:r w:rsidRPr="002F43E5">
        <w:t xml:space="preserve"> is a key initiative within TMR’s Gender Equity Plan</w:t>
      </w:r>
      <w:r>
        <w:t>.</w:t>
      </w:r>
      <w:r w:rsidRPr="002F43E5">
        <w:t xml:space="preserve"> </w:t>
      </w:r>
    </w:p>
    <w:p w14:paraId="0207BC31" w14:textId="77777777" w:rsidR="00AC6058" w:rsidRPr="002F43E5" w:rsidRDefault="00AC6058" w:rsidP="00AC6058">
      <w:r w:rsidRPr="002F43E5">
        <w:t xml:space="preserve">The program is designed to help women create broader networks, overcome challenges and breakdown workplace barriers to achieve their goals.  </w:t>
      </w:r>
    </w:p>
    <w:p w14:paraId="7DCB5B3F" w14:textId="77777777" w:rsidR="00AC6058" w:rsidRPr="002F43E5" w:rsidRDefault="00AC6058" w:rsidP="00AC6058">
      <w:r w:rsidRPr="002F43E5">
        <w:t>In 2023, the program matched</w:t>
      </w:r>
      <w:r>
        <w:t xml:space="preserve"> 36 </w:t>
      </w:r>
      <w:r w:rsidRPr="002F43E5">
        <w:t>pairs</w:t>
      </w:r>
      <w:r>
        <w:t>,</w:t>
      </w:r>
      <w:r w:rsidRPr="002F43E5">
        <w:t xml:space="preserve"> with participation from across TMR. The program runs from June to December</w:t>
      </w:r>
      <w:r>
        <w:t>. It</w:t>
      </w:r>
      <w:r w:rsidRPr="002F43E5">
        <w:t xml:space="preserve"> launche</w:t>
      </w:r>
      <w:r>
        <w:t>d</w:t>
      </w:r>
      <w:r w:rsidRPr="002F43E5">
        <w:t xml:space="preserve"> with</w:t>
      </w:r>
      <w:r>
        <w:t xml:space="preserve"> </w:t>
      </w:r>
      <w:r w:rsidRPr="002F43E5">
        <w:t>virtual workshops in early-June</w:t>
      </w:r>
      <w:r>
        <w:t>,</w:t>
      </w:r>
      <w:r w:rsidRPr="002F43E5">
        <w:t xml:space="preserve"> with a mid-program reflection in September </w:t>
      </w:r>
      <w:r>
        <w:t>and</w:t>
      </w:r>
      <w:r w:rsidRPr="002F43E5">
        <w:t xml:space="preserve"> an end-of- program webinar in December 2023. </w:t>
      </w:r>
    </w:p>
    <w:p w14:paraId="7D78699C" w14:textId="77777777" w:rsidR="00AC6058" w:rsidRPr="00C96BF0" w:rsidRDefault="00AC6058" w:rsidP="00AC6058">
      <w:pPr>
        <w:pStyle w:val="Heading4"/>
      </w:pPr>
      <w:r w:rsidRPr="00C96BF0">
        <w:lastRenderedPageBreak/>
        <w:t>OneTMR Mentoring Program  </w:t>
      </w:r>
    </w:p>
    <w:p w14:paraId="0F7881D5" w14:textId="77777777" w:rsidR="00AC6058" w:rsidRPr="002F43E5" w:rsidRDefault="00AC6058" w:rsidP="00AC6058">
      <w:r w:rsidRPr="002F43E5">
        <w:t xml:space="preserve">The OneTMR Mentoring Program is now in its tenth year and provides employees with the opportunity to get guidance and support from experienced peers. </w:t>
      </w:r>
    </w:p>
    <w:p w14:paraId="1D197B1C" w14:textId="77777777" w:rsidR="00AC6058" w:rsidRPr="002F43E5" w:rsidRDefault="00AC6058" w:rsidP="00AC6058">
      <w:r w:rsidRPr="002F43E5">
        <w:t>The program is open to all employees and assists in making OneTMR a reality by offering the opportunity to build capability, leadership skills</w:t>
      </w:r>
      <w:r>
        <w:t>,</w:t>
      </w:r>
      <w:r w:rsidRPr="002F43E5">
        <w:t xml:space="preserve"> and networks to better understand the business through cross-collaboration.</w:t>
      </w:r>
    </w:p>
    <w:p w14:paraId="75949385" w14:textId="77777777" w:rsidR="00AC6058" w:rsidRPr="002F43E5" w:rsidRDefault="00AC6058" w:rsidP="00AC6058">
      <w:r w:rsidRPr="002F43E5">
        <w:t>The 2023 mentoring program runs from June to December</w:t>
      </w:r>
      <w:r>
        <w:t>. It launched with</w:t>
      </w:r>
      <w:r w:rsidRPr="002F43E5">
        <w:t xml:space="preserve"> virtual workshops in early-June</w:t>
      </w:r>
      <w:r>
        <w:t>,</w:t>
      </w:r>
      <w:r w:rsidRPr="002F43E5">
        <w:t xml:space="preserve"> with a mid-program reflection in September</w:t>
      </w:r>
      <w:r>
        <w:t xml:space="preserve"> and </w:t>
      </w:r>
      <w:r w:rsidRPr="002F43E5">
        <w:t>an end of program webinar in early-December 2023. There are</w:t>
      </w:r>
      <w:r>
        <w:t xml:space="preserve"> 45</w:t>
      </w:r>
      <w:r w:rsidRPr="002F43E5">
        <w:t xml:space="preserve"> matched pairs for the 2023 OneTMR Mentoring program. </w:t>
      </w:r>
    </w:p>
    <w:p w14:paraId="5FEC57EA" w14:textId="77777777" w:rsidR="00AC6058" w:rsidRPr="00C96BF0" w:rsidRDefault="00AC6058" w:rsidP="00AC6058">
      <w:pPr>
        <w:pStyle w:val="Heading4"/>
      </w:pPr>
      <w:r w:rsidRPr="00C96BF0">
        <w:t>Program outcomes</w:t>
      </w:r>
    </w:p>
    <w:p w14:paraId="08F59CEE" w14:textId="77777777" w:rsidR="00AC6058" w:rsidRPr="00453D43" w:rsidRDefault="00AC6058" w:rsidP="00AC6058">
      <w:r>
        <w:t xml:space="preserve">100 per cent of </w:t>
      </w:r>
      <w:r w:rsidRPr="000559A6">
        <w:t xml:space="preserve">OneTMR and </w:t>
      </w:r>
      <w:r>
        <w:t>Women in Leadership (</w:t>
      </w:r>
      <w:r w:rsidRPr="000559A6">
        <w:t>WiL</w:t>
      </w:r>
      <w:r>
        <w:t>)</w:t>
      </w:r>
      <w:r w:rsidRPr="000559A6">
        <w:t xml:space="preserve"> workshop survey participants</w:t>
      </w:r>
      <w:r>
        <w:t xml:space="preserve"> </w:t>
      </w:r>
      <w:r w:rsidRPr="00754F67">
        <w:t>had valuable learnings throughout the mentoring program</w:t>
      </w:r>
      <w:r>
        <w:t xml:space="preserve"> and were satisfied with the program. 97 per cent of </w:t>
      </w:r>
      <w:r w:rsidRPr="00961B9F">
        <w:t xml:space="preserve">OneTMR and WiL workshop survey participants </w:t>
      </w:r>
      <w:r>
        <w:t xml:space="preserve">also </w:t>
      </w:r>
      <w:r w:rsidRPr="00961B9F">
        <w:t>agree</w:t>
      </w:r>
      <w:r>
        <w:t>d</w:t>
      </w:r>
      <w:r w:rsidRPr="00961B9F">
        <w:t xml:space="preserve"> tha</w:t>
      </w:r>
      <w:r>
        <w:t xml:space="preserve">t </w:t>
      </w:r>
      <w:r w:rsidRPr="00961B9F">
        <w:t>mentoring is a useful tool for career development.</w:t>
      </w:r>
    </w:p>
    <w:p w14:paraId="53BF6CF4" w14:textId="77777777" w:rsidR="00916DF7" w:rsidRDefault="00916DF7">
      <w:pPr>
        <w:spacing w:before="0" w:after="160" w:line="259" w:lineRule="auto"/>
        <w:rPr>
          <w:rFonts w:eastAsiaTheme="majorEastAsia" w:cstheme="majorBidi"/>
          <w:color w:val="000000" w:themeColor="text1"/>
          <w:sz w:val="48"/>
          <w:szCs w:val="26"/>
        </w:rPr>
      </w:pPr>
      <w:r>
        <w:br w:type="page"/>
      </w:r>
    </w:p>
    <w:p w14:paraId="690A3F93" w14:textId="3F4BA32B" w:rsidR="00AC6058" w:rsidRDefault="00AC6058" w:rsidP="00AC6058">
      <w:pPr>
        <w:pStyle w:val="Heading2"/>
      </w:pPr>
      <w:r w:rsidRPr="00E125F2">
        <w:lastRenderedPageBreak/>
        <w:t>Building a Strong Culture</w:t>
      </w:r>
    </w:p>
    <w:p w14:paraId="4935DF4A" w14:textId="77777777" w:rsidR="00AC6058" w:rsidRPr="00DC1A33" w:rsidRDefault="00AC6058" w:rsidP="00AC6058">
      <w:pPr>
        <w:pStyle w:val="Heading3"/>
      </w:pPr>
      <w:r w:rsidRPr="001A3AC1">
        <w:t>CUBIE Awards 202</w:t>
      </w:r>
      <w:r>
        <w:t>2</w:t>
      </w:r>
      <w:r w:rsidRPr="00153669">
        <w:t xml:space="preserve"> </w:t>
      </w:r>
    </w:p>
    <w:p w14:paraId="32C40183" w14:textId="77777777" w:rsidR="00AC6058" w:rsidRDefault="00AC6058" w:rsidP="00AC6058">
      <w:r>
        <w:t>In September 2022, the annual CUBIE Awards were held for the ninth year. The awards are aligned to the Queensland Public Sector values, and candidates are nominated by their peers and managers based on their commitment to these values.</w:t>
      </w:r>
    </w:p>
    <w:p w14:paraId="247ABA16" w14:textId="77777777" w:rsidR="00AC6058" w:rsidRDefault="00AC6058" w:rsidP="00AC6058">
      <w:r>
        <w:t>Winners are awarded in eight categories, including:</w:t>
      </w:r>
    </w:p>
    <w:p w14:paraId="13419A03" w14:textId="77777777" w:rsidR="00AC6058" w:rsidRDefault="00AC6058" w:rsidP="00AC6058">
      <w:pPr>
        <w:pStyle w:val="ListBullet"/>
      </w:pPr>
      <w:r>
        <w:t>customers first</w:t>
      </w:r>
    </w:p>
    <w:p w14:paraId="56BE2B85" w14:textId="77777777" w:rsidR="00AC6058" w:rsidRDefault="00AC6058" w:rsidP="00AC6058">
      <w:pPr>
        <w:pStyle w:val="ListBullet"/>
      </w:pPr>
      <w:r>
        <w:t>unleash potential</w:t>
      </w:r>
    </w:p>
    <w:p w14:paraId="589883A1" w14:textId="77777777" w:rsidR="00AC6058" w:rsidRDefault="00AC6058" w:rsidP="00AC6058">
      <w:pPr>
        <w:pStyle w:val="ListBullet"/>
      </w:pPr>
      <w:r>
        <w:t>be courageous</w:t>
      </w:r>
    </w:p>
    <w:p w14:paraId="6DFE8A0F" w14:textId="77777777" w:rsidR="00AC6058" w:rsidRDefault="00AC6058" w:rsidP="00AC6058">
      <w:pPr>
        <w:pStyle w:val="ListBullet"/>
      </w:pPr>
      <w:r>
        <w:t>ideas into action</w:t>
      </w:r>
    </w:p>
    <w:p w14:paraId="590341BB" w14:textId="77777777" w:rsidR="00AC6058" w:rsidRDefault="00AC6058" w:rsidP="00AC6058">
      <w:pPr>
        <w:pStyle w:val="ListBullet"/>
      </w:pPr>
      <w:r>
        <w:t>empower people</w:t>
      </w:r>
    </w:p>
    <w:p w14:paraId="6CFD8C81" w14:textId="77777777" w:rsidR="00AC6058" w:rsidRDefault="00AC6058" w:rsidP="00AC6058">
      <w:pPr>
        <w:pStyle w:val="ListBullet"/>
      </w:pPr>
      <w:r>
        <w:t>OneTMR Individual</w:t>
      </w:r>
    </w:p>
    <w:p w14:paraId="56042E71" w14:textId="77777777" w:rsidR="00AC6058" w:rsidRDefault="00AC6058" w:rsidP="00AC6058">
      <w:pPr>
        <w:pStyle w:val="ListBullet"/>
      </w:pPr>
      <w:r>
        <w:t>OneTMR Team</w:t>
      </w:r>
    </w:p>
    <w:p w14:paraId="79768F5F" w14:textId="77777777" w:rsidR="00AC6058" w:rsidRDefault="00AC6058" w:rsidP="00AC6058">
      <w:pPr>
        <w:pStyle w:val="ListBullet"/>
      </w:pPr>
      <w:r>
        <w:t>Director-General's all-rounder.</w:t>
      </w:r>
    </w:p>
    <w:p w14:paraId="5467260C" w14:textId="77777777" w:rsidR="00AC6058" w:rsidRDefault="00AC6058" w:rsidP="00AC6058">
      <w:r>
        <w:t>A total of 1250 submissions were received, with nominations shortlisted by TMR's 17 branches before progressing to the Values and Culture Network panel, and then to the final judging panel convened by the Director-General. The 2022 CUBIE awards ceremony was held in Brisbane and livestreamed to employees across Queensland.</w:t>
      </w:r>
    </w:p>
    <w:p w14:paraId="142B81FD" w14:textId="77777777" w:rsidR="00AC6058" w:rsidRDefault="00AC6058" w:rsidP="00AC6058">
      <w:r>
        <w:t>People for People (P4P) Week is an annual event in TMR, where teams come together to recognise local CUBIE winners. 2022–23 celebrated 21 years since the first 'People for People' celebration occurred at the former Department of Transport.</w:t>
      </w:r>
    </w:p>
    <w:p w14:paraId="64268267" w14:textId="77777777" w:rsidR="00AC6058" w:rsidRDefault="00AC6058" w:rsidP="00AC6058">
      <w:pPr>
        <w:pStyle w:val="TableofFigures"/>
      </w:pPr>
      <w:r>
        <w:t>Table 14: Winners for the 2022 CUBIE awards</w:t>
      </w:r>
    </w:p>
    <w:tbl>
      <w:tblPr>
        <w:tblStyle w:val="GridTable4-Accent1"/>
        <w:tblW w:w="5000" w:type="pct"/>
        <w:tblLook w:val="04A0" w:firstRow="1" w:lastRow="0" w:firstColumn="1" w:lastColumn="0" w:noHBand="0" w:noVBand="1"/>
      </w:tblPr>
      <w:tblGrid>
        <w:gridCol w:w="3398"/>
        <w:gridCol w:w="3397"/>
        <w:gridCol w:w="3399"/>
      </w:tblGrid>
      <w:tr w:rsidR="00AC6058" w14:paraId="6A161301" w14:textId="77777777" w:rsidTr="00AA259F">
        <w:trPr>
          <w:cnfStyle w:val="100000000000" w:firstRow="1" w:lastRow="0" w:firstColumn="0" w:lastColumn="0" w:oddVBand="0" w:evenVBand="0" w:oddHBand="0" w:evenHBand="0" w:firstRowFirstColumn="0" w:firstRowLastColumn="0" w:lastRowFirstColumn="0" w:lastRowLastColumn="0"/>
          <w:trHeight w:val="202"/>
          <w:tblHeader/>
        </w:trPr>
        <w:tc>
          <w:tcPr>
            <w:cnfStyle w:val="001000000000" w:firstRow="0" w:lastRow="0" w:firstColumn="1" w:lastColumn="0" w:oddVBand="0" w:evenVBand="0" w:oddHBand="0" w:evenHBand="0" w:firstRowFirstColumn="0" w:firstRowLastColumn="0" w:lastRowFirstColumn="0" w:lastRowLastColumn="0"/>
            <w:tcW w:w="1666" w:type="pct"/>
          </w:tcPr>
          <w:p w14:paraId="34658BCD" w14:textId="77777777" w:rsidR="00AC6058" w:rsidRPr="00AA259F" w:rsidRDefault="00AC6058" w:rsidP="00DE4FC5">
            <w:pPr>
              <w:pStyle w:val="Normal-table"/>
              <w:rPr>
                <w:rStyle w:val="Strong"/>
                <w:b/>
                <w:bCs/>
              </w:rPr>
            </w:pPr>
            <w:r w:rsidRPr="00AA259F">
              <w:rPr>
                <w:rStyle w:val="Strong"/>
              </w:rPr>
              <w:t>Category</w:t>
            </w:r>
          </w:p>
        </w:tc>
        <w:tc>
          <w:tcPr>
            <w:tcW w:w="1666" w:type="pct"/>
          </w:tcPr>
          <w:p w14:paraId="36B0FDE8" w14:textId="77777777" w:rsidR="00AC6058" w:rsidRPr="00AA259F" w:rsidRDefault="00AC6058" w:rsidP="00DE4FC5">
            <w:pPr>
              <w:pStyle w:val="Normal-table"/>
              <w:cnfStyle w:val="100000000000" w:firstRow="1" w:lastRow="0" w:firstColumn="0" w:lastColumn="0" w:oddVBand="0" w:evenVBand="0" w:oddHBand="0" w:evenHBand="0" w:firstRowFirstColumn="0" w:firstRowLastColumn="0" w:lastRowFirstColumn="0" w:lastRowLastColumn="0"/>
            </w:pPr>
            <w:r w:rsidRPr="00AA259F">
              <w:t>Winner</w:t>
            </w:r>
          </w:p>
        </w:tc>
        <w:tc>
          <w:tcPr>
            <w:tcW w:w="1667" w:type="pct"/>
          </w:tcPr>
          <w:p w14:paraId="3F097D3B" w14:textId="77777777" w:rsidR="00AC6058" w:rsidRPr="00AA259F" w:rsidRDefault="00AC6058" w:rsidP="00DE4FC5">
            <w:pPr>
              <w:pStyle w:val="Normal-table"/>
              <w:cnfStyle w:val="100000000000" w:firstRow="1" w:lastRow="0" w:firstColumn="0" w:lastColumn="0" w:oddVBand="0" w:evenVBand="0" w:oddHBand="0" w:evenHBand="0" w:firstRowFirstColumn="0" w:firstRowLastColumn="0" w:lastRowFirstColumn="0" w:lastRowLastColumn="0"/>
            </w:pPr>
            <w:r w:rsidRPr="00AA259F">
              <w:t>Highly Commended</w:t>
            </w:r>
          </w:p>
        </w:tc>
      </w:tr>
      <w:tr w:rsidR="00AC6058" w14:paraId="01F255E4" w14:textId="77777777" w:rsidTr="00AA259F">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66" w:type="pct"/>
          </w:tcPr>
          <w:p w14:paraId="6BE3EDA5" w14:textId="77777777" w:rsidR="00AC6058" w:rsidRPr="00C226E7" w:rsidRDefault="00AC6058" w:rsidP="00DE4FC5">
            <w:pPr>
              <w:pStyle w:val="Normal-table"/>
              <w:rPr>
                <w:rStyle w:val="Strong"/>
              </w:rPr>
            </w:pPr>
            <w:r w:rsidRPr="004647E7">
              <w:rPr>
                <w:rStyle w:val="Strong"/>
              </w:rPr>
              <w:t>Customers First</w:t>
            </w:r>
          </w:p>
        </w:tc>
        <w:tc>
          <w:tcPr>
            <w:tcW w:w="1666" w:type="pct"/>
          </w:tcPr>
          <w:p w14:paraId="2220BC71" w14:textId="77777777" w:rsidR="00AC6058" w:rsidRPr="00C226E7" w:rsidRDefault="00AC6058" w:rsidP="00DE4FC5">
            <w:pPr>
              <w:pStyle w:val="Normal-table"/>
              <w:cnfStyle w:val="000000100000" w:firstRow="0" w:lastRow="0" w:firstColumn="0" w:lastColumn="0" w:oddVBand="0" w:evenVBand="0" w:oddHBand="1" w:evenHBand="0" w:firstRowFirstColumn="0" w:firstRowLastColumn="0" w:lastRowFirstColumn="0" w:lastRowLastColumn="0"/>
            </w:pPr>
            <w:r>
              <w:t>Katrina Sullivan, Translink, Passenger Transport Integration</w:t>
            </w:r>
          </w:p>
          <w:p w14:paraId="5CEA0B4C" w14:textId="77777777" w:rsidR="00AC6058" w:rsidRPr="00C226E7" w:rsidRDefault="00AC6058" w:rsidP="00DE4FC5">
            <w:pPr>
              <w:pStyle w:val="Normal-table"/>
              <w:cnfStyle w:val="000000100000" w:firstRow="0" w:lastRow="0" w:firstColumn="0" w:lastColumn="0" w:oddVBand="0" w:evenVBand="0" w:oddHBand="1" w:evenHBand="0" w:firstRowFirstColumn="0" w:firstRowLastColumn="0" w:lastRowFirstColumn="0" w:lastRowLastColumn="0"/>
            </w:pPr>
            <w:r>
              <w:t xml:space="preserve">Eric Spronck, Infrastructure Management and Delivery, </w:t>
            </w:r>
            <w:r w:rsidRPr="00C226E7">
              <w:t>Program Delivery and Operations</w:t>
            </w:r>
          </w:p>
        </w:tc>
        <w:tc>
          <w:tcPr>
            <w:tcW w:w="1667" w:type="pct"/>
          </w:tcPr>
          <w:p w14:paraId="19C0510E" w14:textId="77777777" w:rsidR="00AC6058" w:rsidRDefault="00AC6058" w:rsidP="00DE4FC5">
            <w:pPr>
              <w:pStyle w:val="Normal-table"/>
              <w:cnfStyle w:val="000000100000" w:firstRow="0" w:lastRow="0" w:firstColumn="0" w:lastColumn="0" w:oddVBand="0" w:evenVBand="0" w:oddHBand="1" w:evenHBand="0" w:firstRowFirstColumn="0" w:firstRowLastColumn="0" w:lastRowFirstColumn="0" w:lastRowLastColumn="0"/>
            </w:pPr>
          </w:p>
        </w:tc>
      </w:tr>
      <w:tr w:rsidR="00AC6058" w14:paraId="732EB709" w14:textId="77777777" w:rsidTr="00AA259F">
        <w:trPr>
          <w:trHeight w:val="520"/>
        </w:trPr>
        <w:tc>
          <w:tcPr>
            <w:cnfStyle w:val="001000000000" w:firstRow="0" w:lastRow="0" w:firstColumn="1" w:lastColumn="0" w:oddVBand="0" w:evenVBand="0" w:oddHBand="0" w:evenHBand="0" w:firstRowFirstColumn="0" w:firstRowLastColumn="0" w:lastRowFirstColumn="0" w:lastRowLastColumn="0"/>
            <w:tcW w:w="1666" w:type="pct"/>
          </w:tcPr>
          <w:p w14:paraId="48D5AA19" w14:textId="77777777" w:rsidR="00AC6058" w:rsidRPr="00C226E7" w:rsidRDefault="00AC6058" w:rsidP="00DE4FC5">
            <w:pPr>
              <w:pStyle w:val="Normal-table"/>
              <w:rPr>
                <w:rStyle w:val="Strong"/>
              </w:rPr>
            </w:pPr>
            <w:r w:rsidRPr="004647E7">
              <w:rPr>
                <w:rStyle w:val="Strong"/>
              </w:rPr>
              <w:t>Unleash Potential</w:t>
            </w:r>
          </w:p>
        </w:tc>
        <w:tc>
          <w:tcPr>
            <w:tcW w:w="1666" w:type="pct"/>
          </w:tcPr>
          <w:p w14:paraId="47EB699C" w14:textId="77777777" w:rsidR="00AC6058" w:rsidRPr="00C226E7" w:rsidRDefault="00AC6058" w:rsidP="00DE4FC5">
            <w:pPr>
              <w:pStyle w:val="Normal-table"/>
              <w:cnfStyle w:val="000000000000" w:firstRow="0" w:lastRow="0" w:firstColumn="0" w:lastColumn="0" w:oddVBand="0" w:evenVBand="0" w:oddHBand="0" w:evenHBand="0" w:firstRowFirstColumn="0" w:firstRowLastColumn="0" w:lastRowFirstColumn="0" w:lastRowLastColumn="0"/>
            </w:pPr>
            <w:r>
              <w:t>Melody Wu, Translink, Passenger Transport Services</w:t>
            </w:r>
          </w:p>
        </w:tc>
        <w:tc>
          <w:tcPr>
            <w:tcW w:w="1667" w:type="pct"/>
          </w:tcPr>
          <w:p w14:paraId="2D3F5F10" w14:textId="77777777" w:rsidR="00AC6058" w:rsidRPr="00C226E7" w:rsidRDefault="00AC6058" w:rsidP="00DE4FC5">
            <w:pPr>
              <w:pStyle w:val="Normal-table"/>
              <w:cnfStyle w:val="000000000000" w:firstRow="0" w:lastRow="0" w:firstColumn="0" w:lastColumn="0" w:oddVBand="0" w:evenVBand="0" w:oddHBand="0" w:evenHBand="0" w:firstRowFirstColumn="0" w:firstRowLastColumn="0" w:lastRowFirstColumn="0" w:lastRowLastColumn="0"/>
            </w:pPr>
            <w:r>
              <w:t>Senarath Weerakoon, Customer Services, Safety and Regulation, Maritime Safety Queensland</w:t>
            </w:r>
          </w:p>
        </w:tc>
      </w:tr>
      <w:tr w:rsidR="00AC6058" w14:paraId="1F5F39FC" w14:textId="77777777" w:rsidTr="00AA259F">
        <w:trPr>
          <w:cnfStyle w:val="000000100000" w:firstRow="0" w:lastRow="0" w:firstColumn="0" w:lastColumn="0" w:oddVBand="0" w:evenVBand="0" w:oddHBand="1" w:evenHBand="0" w:firstRowFirstColumn="0" w:firstRowLastColumn="0" w:lastRowFirstColumn="0" w:lastRowLastColumn="0"/>
          <w:trHeight w:val="1302"/>
        </w:trPr>
        <w:tc>
          <w:tcPr>
            <w:cnfStyle w:val="001000000000" w:firstRow="0" w:lastRow="0" w:firstColumn="1" w:lastColumn="0" w:oddVBand="0" w:evenVBand="0" w:oddHBand="0" w:evenHBand="0" w:firstRowFirstColumn="0" w:firstRowLastColumn="0" w:lastRowFirstColumn="0" w:lastRowLastColumn="0"/>
            <w:tcW w:w="1666" w:type="pct"/>
          </w:tcPr>
          <w:p w14:paraId="6230C662" w14:textId="77777777" w:rsidR="00AC6058" w:rsidRPr="00C226E7" w:rsidRDefault="00AC6058" w:rsidP="00DE4FC5">
            <w:pPr>
              <w:pStyle w:val="Normal-table"/>
              <w:rPr>
                <w:rStyle w:val="Strong"/>
              </w:rPr>
            </w:pPr>
            <w:r w:rsidRPr="004647E7">
              <w:rPr>
                <w:rStyle w:val="Strong"/>
              </w:rPr>
              <w:t>Be courageous</w:t>
            </w:r>
          </w:p>
        </w:tc>
        <w:tc>
          <w:tcPr>
            <w:tcW w:w="1666" w:type="pct"/>
          </w:tcPr>
          <w:p w14:paraId="04379005" w14:textId="77777777" w:rsidR="00AC6058" w:rsidRPr="00C226E7" w:rsidRDefault="00AC6058" w:rsidP="00DE4FC5">
            <w:pPr>
              <w:pStyle w:val="Normal-table"/>
              <w:cnfStyle w:val="000000100000" w:firstRow="0" w:lastRow="0" w:firstColumn="0" w:lastColumn="0" w:oddVBand="0" w:evenVBand="0" w:oddHBand="1" w:evenHBand="0" w:firstRowFirstColumn="0" w:firstRowLastColumn="0" w:lastRowFirstColumn="0" w:lastRowLastColumn="0"/>
            </w:pPr>
            <w:r>
              <w:t xml:space="preserve">Tarsha Scott, Customer </w:t>
            </w:r>
            <w:r w:rsidRPr="00C226E7">
              <w:t>Services, Safety and Regulation, Customer Services Branch</w:t>
            </w:r>
          </w:p>
        </w:tc>
        <w:tc>
          <w:tcPr>
            <w:tcW w:w="1667" w:type="pct"/>
          </w:tcPr>
          <w:p w14:paraId="629CD14D" w14:textId="77777777" w:rsidR="00AC6058" w:rsidRPr="00C226E7" w:rsidRDefault="00AC6058" w:rsidP="00DE4FC5">
            <w:pPr>
              <w:pStyle w:val="Normal-table"/>
              <w:cnfStyle w:val="000000100000" w:firstRow="0" w:lastRow="0" w:firstColumn="0" w:lastColumn="0" w:oddVBand="0" w:evenVBand="0" w:oddHBand="1" w:evenHBand="0" w:firstRowFirstColumn="0" w:firstRowLastColumn="0" w:lastRowFirstColumn="0" w:lastRowLastColumn="0"/>
            </w:pPr>
            <w:r>
              <w:t>Adam Clarke, Corporate, Human Resources Branch</w:t>
            </w:r>
          </w:p>
          <w:p w14:paraId="35166DBC" w14:textId="77777777" w:rsidR="00AC6058" w:rsidRPr="00C226E7" w:rsidRDefault="00AC6058" w:rsidP="00DE4FC5">
            <w:pPr>
              <w:pStyle w:val="Normal-table"/>
              <w:cnfStyle w:val="000000100000" w:firstRow="0" w:lastRow="0" w:firstColumn="0" w:lastColumn="0" w:oddVBand="0" w:evenVBand="0" w:oddHBand="1" w:evenHBand="0" w:firstRowFirstColumn="0" w:firstRowLastColumn="0" w:lastRowFirstColumn="0" w:lastRowLastColumn="0"/>
            </w:pPr>
            <w:r>
              <w:t xml:space="preserve">Jade Ryan, Infrastructure </w:t>
            </w:r>
            <w:r w:rsidRPr="00C226E7">
              <w:t>Management and Delivery, Engineering and Technology</w:t>
            </w:r>
          </w:p>
          <w:p w14:paraId="387C9B51" w14:textId="77777777" w:rsidR="00AC6058" w:rsidRPr="00C226E7" w:rsidRDefault="00AC6058" w:rsidP="00DE4FC5">
            <w:pPr>
              <w:pStyle w:val="Normal-table"/>
              <w:cnfStyle w:val="000000100000" w:firstRow="0" w:lastRow="0" w:firstColumn="0" w:lastColumn="0" w:oddVBand="0" w:evenVBand="0" w:oddHBand="1" w:evenHBand="0" w:firstRowFirstColumn="0" w:firstRowLastColumn="0" w:lastRowFirstColumn="0" w:lastRowLastColumn="0"/>
            </w:pPr>
            <w:r>
              <w:t>Lesley Branch, Policy, Planning and Investment, Transport Strategy and Planning</w:t>
            </w:r>
          </w:p>
        </w:tc>
      </w:tr>
      <w:tr w:rsidR="00AC6058" w14:paraId="7D57BAC8" w14:textId="77777777" w:rsidTr="00AA259F">
        <w:trPr>
          <w:trHeight w:val="906"/>
        </w:trPr>
        <w:tc>
          <w:tcPr>
            <w:cnfStyle w:val="001000000000" w:firstRow="0" w:lastRow="0" w:firstColumn="1" w:lastColumn="0" w:oddVBand="0" w:evenVBand="0" w:oddHBand="0" w:evenHBand="0" w:firstRowFirstColumn="0" w:firstRowLastColumn="0" w:lastRowFirstColumn="0" w:lastRowLastColumn="0"/>
            <w:tcW w:w="1666" w:type="pct"/>
          </w:tcPr>
          <w:p w14:paraId="23403DEF" w14:textId="77777777" w:rsidR="00AC6058" w:rsidRPr="00C226E7" w:rsidRDefault="00AC6058" w:rsidP="00DE4FC5">
            <w:pPr>
              <w:pStyle w:val="Normal-table"/>
              <w:rPr>
                <w:rStyle w:val="Strong"/>
              </w:rPr>
            </w:pPr>
            <w:r w:rsidRPr="004647E7">
              <w:rPr>
                <w:rStyle w:val="Strong"/>
              </w:rPr>
              <w:t xml:space="preserve">Ideas into </w:t>
            </w:r>
            <w:r w:rsidRPr="00C226E7">
              <w:rPr>
                <w:rStyle w:val="Strong"/>
              </w:rPr>
              <w:t>Action</w:t>
            </w:r>
          </w:p>
        </w:tc>
        <w:tc>
          <w:tcPr>
            <w:tcW w:w="1666" w:type="pct"/>
          </w:tcPr>
          <w:p w14:paraId="7294B4F1" w14:textId="77777777" w:rsidR="00AC6058" w:rsidRPr="00C226E7" w:rsidRDefault="00AC6058" w:rsidP="00DE4FC5">
            <w:pPr>
              <w:pStyle w:val="Normal-table"/>
              <w:cnfStyle w:val="000000000000" w:firstRow="0" w:lastRow="0" w:firstColumn="0" w:lastColumn="0" w:oddVBand="0" w:evenVBand="0" w:oddHBand="0" w:evenHBand="0" w:firstRowFirstColumn="0" w:firstRowLastColumn="0" w:lastRowFirstColumn="0" w:lastRowLastColumn="0"/>
            </w:pPr>
            <w:r>
              <w:t>Richard Cresswell, Customer Services, Safety and Regulation, Maritime Safety Queensland</w:t>
            </w:r>
          </w:p>
        </w:tc>
        <w:tc>
          <w:tcPr>
            <w:tcW w:w="1667" w:type="pct"/>
          </w:tcPr>
          <w:p w14:paraId="4DEE6774" w14:textId="77777777" w:rsidR="00AC6058" w:rsidRPr="00C226E7" w:rsidRDefault="00AC6058" w:rsidP="00DE4FC5">
            <w:pPr>
              <w:pStyle w:val="Normal-table"/>
              <w:cnfStyle w:val="000000000000" w:firstRow="0" w:lastRow="0" w:firstColumn="0" w:lastColumn="0" w:oddVBand="0" w:evenVBand="0" w:oddHBand="0" w:evenHBand="0" w:firstRowFirstColumn="0" w:firstRowLastColumn="0" w:lastRowFirstColumn="0" w:lastRowLastColumn="0"/>
            </w:pPr>
            <w:r>
              <w:t>Shardae Hutson</w:t>
            </w:r>
            <w:r w:rsidRPr="00C226E7">
              <w:t>, Customer Services, Safety and Regulation, Customer Services Branch</w:t>
            </w:r>
          </w:p>
          <w:p w14:paraId="4E03A82E" w14:textId="77777777" w:rsidR="00AC6058" w:rsidRPr="00C226E7" w:rsidRDefault="00AC6058" w:rsidP="00DE4FC5">
            <w:pPr>
              <w:pStyle w:val="Normal-table"/>
              <w:cnfStyle w:val="000000000000" w:firstRow="0" w:lastRow="0" w:firstColumn="0" w:lastColumn="0" w:oddVBand="0" w:evenVBand="0" w:oddHBand="0" w:evenHBand="0" w:firstRowFirstColumn="0" w:firstRowLastColumn="0" w:lastRowFirstColumn="0" w:lastRowLastColumn="0"/>
            </w:pPr>
            <w:r>
              <w:lastRenderedPageBreak/>
              <w:t>Bronwyn Kelly, Infrastructure Management and Delivery, Program Delivery and Operations</w:t>
            </w:r>
          </w:p>
        </w:tc>
      </w:tr>
      <w:tr w:rsidR="00AC6058" w14:paraId="73A277C4" w14:textId="77777777" w:rsidTr="00AA259F">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666" w:type="pct"/>
          </w:tcPr>
          <w:p w14:paraId="29A59533" w14:textId="77777777" w:rsidR="00AC6058" w:rsidRPr="00C226E7" w:rsidRDefault="00AC6058" w:rsidP="00DE4FC5">
            <w:pPr>
              <w:pStyle w:val="Normal-table"/>
              <w:rPr>
                <w:rStyle w:val="Strong"/>
              </w:rPr>
            </w:pPr>
            <w:r w:rsidRPr="004647E7">
              <w:rPr>
                <w:rStyle w:val="Strong"/>
              </w:rPr>
              <w:lastRenderedPageBreak/>
              <w:t>Empower people</w:t>
            </w:r>
          </w:p>
        </w:tc>
        <w:tc>
          <w:tcPr>
            <w:tcW w:w="1666" w:type="pct"/>
          </w:tcPr>
          <w:p w14:paraId="505999D2" w14:textId="77777777" w:rsidR="00AC6058" w:rsidRPr="00C226E7" w:rsidRDefault="00AC6058" w:rsidP="00DE4FC5">
            <w:pPr>
              <w:pStyle w:val="Normal-table"/>
              <w:cnfStyle w:val="000000100000" w:firstRow="0" w:lastRow="0" w:firstColumn="0" w:lastColumn="0" w:oddVBand="0" w:evenVBand="0" w:oddHBand="1" w:evenHBand="0" w:firstRowFirstColumn="0" w:firstRowLastColumn="0" w:lastRowFirstColumn="0" w:lastRowLastColumn="0"/>
            </w:pPr>
            <w:r>
              <w:t>Leslie Monagle, Infrastructure Management and Delivery, RoadTek</w:t>
            </w:r>
          </w:p>
        </w:tc>
        <w:tc>
          <w:tcPr>
            <w:tcW w:w="1667" w:type="pct"/>
          </w:tcPr>
          <w:p w14:paraId="186EF465" w14:textId="77777777" w:rsidR="00AC6058" w:rsidRPr="00C226E7" w:rsidRDefault="00AC6058" w:rsidP="00DE4FC5">
            <w:pPr>
              <w:pStyle w:val="Normal-table"/>
              <w:cnfStyle w:val="000000100000" w:firstRow="0" w:lastRow="0" w:firstColumn="0" w:lastColumn="0" w:oddVBand="0" w:evenVBand="0" w:oddHBand="1" w:evenHBand="0" w:firstRowFirstColumn="0" w:firstRowLastColumn="0" w:lastRowFirstColumn="0" w:lastRowLastColumn="0"/>
            </w:pPr>
            <w:r>
              <w:t>Andy Meyer, Translink, Passenger Transport Integration</w:t>
            </w:r>
          </w:p>
        </w:tc>
      </w:tr>
      <w:tr w:rsidR="00AC6058" w14:paraId="527340C7" w14:textId="77777777" w:rsidTr="00AA259F">
        <w:trPr>
          <w:trHeight w:val="520"/>
        </w:trPr>
        <w:tc>
          <w:tcPr>
            <w:cnfStyle w:val="001000000000" w:firstRow="0" w:lastRow="0" w:firstColumn="1" w:lastColumn="0" w:oddVBand="0" w:evenVBand="0" w:oddHBand="0" w:evenHBand="0" w:firstRowFirstColumn="0" w:firstRowLastColumn="0" w:lastRowFirstColumn="0" w:lastRowLastColumn="0"/>
            <w:tcW w:w="1666" w:type="pct"/>
          </w:tcPr>
          <w:p w14:paraId="3AD9996F" w14:textId="77777777" w:rsidR="00AC6058" w:rsidRPr="00C226E7" w:rsidRDefault="00AC6058" w:rsidP="00DE4FC5">
            <w:pPr>
              <w:pStyle w:val="Normal-table"/>
              <w:rPr>
                <w:rStyle w:val="Strong"/>
              </w:rPr>
            </w:pPr>
            <w:r w:rsidRPr="004647E7">
              <w:rPr>
                <w:rStyle w:val="Strong"/>
              </w:rPr>
              <w:t>OneTMR Individual</w:t>
            </w:r>
          </w:p>
        </w:tc>
        <w:tc>
          <w:tcPr>
            <w:tcW w:w="1666" w:type="pct"/>
          </w:tcPr>
          <w:p w14:paraId="48DFFB49" w14:textId="77777777" w:rsidR="00AC6058" w:rsidRPr="00C226E7" w:rsidRDefault="00AC6058" w:rsidP="00DE4FC5">
            <w:pPr>
              <w:pStyle w:val="Normal-table"/>
              <w:cnfStyle w:val="000000000000" w:firstRow="0" w:lastRow="0" w:firstColumn="0" w:lastColumn="0" w:oddVBand="0" w:evenVBand="0" w:oddHBand="0" w:evenHBand="0" w:firstRowFirstColumn="0" w:firstRowLastColumn="0" w:lastRowFirstColumn="0" w:lastRowLastColumn="0"/>
            </w:pPr>
            <w:r>
              <w:t xml:space="preserve">Sharon Light, Customer Services, Safety and Regulation, Land Transport Safety and </w:t>
            </w:r>
            <w:r w:rsidRPr="00C226E7">
              <w:t>Regulation</w:t>
            </w:r>
          </w:p>
        </w:tc>
        <w:tc>
          <w:tcPr>
            <w:tcW w:w="1667" w:type="pct"/>
          </w:tcPr>
          <w:p w14:paraId="53B7EFB1" w14:textId="77777777" w:rsidR="00AC6058" w:rsidRPr="00C226E7" w:rsidRDefault="00AC6058" w:rsidP="00DE4FC5">
            <w:pPr>
              <w:pStyle w:val="Normal-table"/>
              <w:cnfStyle w:val="000000000000" w:firstRow="0" w:lastRow="0" w:firstColumn="0" w:lastColumn="0" w:oddVBand="0" w:evenVBand="0" w:oddHBand="0" w:evenHBand="0" w:firstRowFirstColumn="0" w:firstRowLastColumn="0" w:lastRowFirstColumn="0" w:lastRowLastColumn="0"/>
            </w:pPr>
            <w:r>
              <w:t>Raewyn Ricketts, Corporate, Human Resources Branch</w:t>
            </w:r>
          </w:p>
        </w:tc>
      </w:tr>
      <w:tr w:rsidR="00AC6058" w14:paraId="56CDA83F" w14:textId="77777777" w:rsidTr="00AA259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666" w:type="pct"/>
          </w:tcPr>
          <w:p w14:paraId="2A88E637" w14:textId="77777777" w:rsidR="00AC6058" w:rsidRPr="00C226E7" w:rsidRDefault="00AC6058" w:rsidP="00DE4FC5">
            <w:pPr>
              <w:pStyle w:val="Normal-table"/>
              <w:rPr>
                <w:rStyle w:val="Strong"/>
              </w:rPr>
            </w:pPr>
            <w:r w:rsidRPr="004647E7">
              <w:rPr>
                <w:rStyle w:val="Strong"/>
              </w:rPr>
              <w:t>OneTMR Team</w:t>
            </w:r>
          </w:p>
        </w:tc>
        <w:tc>
          <w:tcPr>
            <w:tcW w:w="1666" w:type="pct"/>
          </w:tcPr>
          <w:p w14:paraId="60F4903D" w14:textId="77777777" w:rsidR="00AC6058" w:rsidRPr="00C226E7" w:rsidRDefault="00AC6058" w:rsidP="00DE4FC5">
            <w:pPr>
              <w:pStyle w:val="Normal-table"/>
              <w:cnfStyle w:val="000000100000" w:firstRow="0" w:lastRow="0" w:firstColumn="0" w:lastColumn="0" w:oddVBand="0" w:evenVBand="0" w:oddHBand="1" w:evenHBand="0" w:firstRowFirstColumn="0" w:firstRowLastColumn="0" w:lastRowFirstColumn="0" w:lastRowLastColumn="0"/>
            </w:pPr>
            <w:r>
              <w:t>Indigenous Driver Licensing Unit</w:t>
            </w:r>
          </w:p>
        </w:tc>
        <w:tc>
          <w:tcPr>
            <w:tcW w:w="1667" w:type="pct"/>
          </w:tcPr>
          <w:p w14:paraId="214E6035" w14:textId="77777777" w:rsidR="00AC6058" w:rsidRPr="00C226E7" w:rsidRDefault="00AC6058" w:rsidP="00DE4FC5">
            <w:pPr>
              <w:pStyle w:val="Normal-table"/>
              <w:cnfStyle w:val="000000100000" w:firstRow="0" w:lastRow="0" w:firstColumn="0" w:lastColumn="0" w:oddVBand="0" w:evenVBand="0" w:oddHBand="1" w:evenHBand="0" w:firstRowFirstColumn="0" w:firstRowLastColumn="0" w:lastRowFirstColumn="0" w:lastRowLastColumn="0"/>
            </w:pPr>
            <w:r>
              <w:t>Osprey Nest Relocation</w:t>
            </w:r>
          </w:p>
        </w:tc>
      </w:tr>
      <w:tr w:rsidR="00AC6058" w14:paraId="7133AD44" w14:textId="77777777" w:rsidTr="00AA259F">
        <w:trPr>
          <w:trHeight w:val="266"/>
        </w:trPr>
        <w:tc>
          <w:tcPr>
            <w:cnfStyle w:val="001000000000" w:firstRow="0" w:lastRow="0" w:firstColumn="1" w:lastColumn="0" w:oddVBand="0" w:evenVBand="0" w:oddHBand="0" w:evenHBand="0" w:firstRowFirstColumn="0" w:firstRowLastColumn="0" w:lastRowFirstColumn="0" w:lastRowLastColumn="0"/>
            <w:tcW w:w="1666" w:type="pct"/>
          </w:tcPr>
          <w:p w14:paraId="2ABC4E4E" w14:textId="77777777" w:rsidR="00AC6058" w:rsidRPr="00C226E7" w:rsidRDefault="00AC6058" w:rsidP="00DE4FC5">
            <w:pPr>
              <w:pStyle w:val="Normal-table"/>
              <w:rPr>
                <w:rStyle w:val="Strong"/>
              </w:rPr>
            </w:pPr>
            <w:r w:rsidRPr="004647E7">
              <w:rPr>
                <w:rStyle w:val="Strong"/>
              </w:rPr>
              <w:t>Director-General's All Rounder</w:t>
            </w:r>
          </w:p>
        </w:tc>
        <w:tc>
          <w:tcPr>
            <w:tcW w:w="1666" w:type="pct"/>
          </w:tcPr>
          <w:p w14:paraId="1514E2E0" w14:textId="77777777" w:rsidR="00AC6058" w:rsidRPr="00C226E7" w:rsidRDefault="00AC6058" w:rsidP="00DE4FC5">
            <w:pPr>
              <w:pStyle w:val="Normal-table"/>
              <w:cnfStyle w:val="000000000000" w:firstRow="0" w:lastRow="0" w:firstColumn="0" w:lastColumn="0" w:oddVBand="0" w:evenVBand="0" w:oddHBand="0" w:evenHBand="0" w:firstRowFirstColumn="0" w:firstRowLastColumn="0" w:lastRowFirstColumn="0" w:lastRowLastColumn="0"/>
            </w:pPr>
            <w:r>
              <w:t>Customer Service Centres</w:t>
            </w:r>
          </w:p>
        </w:tc>
        <w:tc>
          <w:tcPr>
            <w:tcW w:w="1667" w:type="pct"/>
          </w:tcPr>
          <w:p w14:paraId="5D506B5D" w14:textId="77777777" w:rsidR="00AC6058" w:rsidRDefault="00AC6058" w:rsidP="00DE4FC5">
            <w:pPr>
              <w:pStyle w:val="Normal-table"/>
              <w:cnfStyle w:val="000000000000" w:firstRow="0" w:lastRow="0" w:firstColumn="0" w:lastColumn="0" w:oddVBand="0" w:evenVBand="0" w:oddHBand="0" w:evenHBand="0" w:firstRowFirstColumn="0" w:firstRowLastColumn="0" w:lastRowFirstColumn="0" w:lastRowLastColumn="0"/>
            </w:pPr>
          </w:p>
        </w:tc>
      </w:tr>
    </w:tbl>
    <w:p w14:paraId="35B2829F" w14:textId="77777777" w:rsidR="00AA259F" w:rsidRDefault="00AA259F" w:rsidP="00AA259F">
      <w:pPr>
        <w:pStyle w:val="Normal-table"/>
      </w:pPr>
    </w:p>
    <w:p w14:paraId="668B0BC7" w14:textId="67013DF3" w:rsidR="00AC6058" w:rsidRDefault="00AC6058" w:rsidP="00AC6058">
      <w:pPr>
        <w:pStyle w:val="Heading3"/>
      </w:pPr>
      <w:r>
        <w:t>Maritime industry award</w:t>
      </w:r>
    </w:p>
    <w:p w14:paraId="7F4FB7B7" w14:textId="77777777" w:rsidR="00AC6058" w:rsidRPr="00BD7D8F" w:rsidRDefault="00AC6058" w:rsidP="00AC6058">
      <w:r>
        <w:t>MSQ</w:t>
      </w:r>
      <w:r w:rsidRPr="00BD7D8F">
        <w:t xml:space="preserve"> was a finalist for the Maritime Services Award for the South East Queensland 2022 Flood Response</w:t>
      </w:r>
      <w:r>
        <w:t xml:space="preserve"> </w:t>
      </w:r>
      <w:r w:rsidRPr="00BD7D8F">
        <w:t>and the CSC Friendship Rescue.</w:t>
      </w:r>
    </w:p>
    <w:p w14:paraId="3047F34C" w14:textId="77777777" w:rsidR="00AC6058" w:rsidRPr="00BD7D8F" w:rsidRDefault="00AC6058" w:rsidP="00AC6058">
      <w:r w:rsidRPr="00BD7D8F">
        <w:t>Torrential rain in the Brisbane River catchment created a large runoff resulting</w:t>
      </w:r>
      <w:r>
        <w:t xml:space="preserve"> in</w:t>
      </w:r>
      <w:r w:rsidRPr="00BD7D8F">
        <w:t xml:space="preserve"> river flows that dislodged pontoons, boats</w:t>
      </w:r>
      <w:r>
        <w:t>,</w:t>
      </w:r>
      <w:r w:rsidRPr="00BD7D8F">
        <w:t xml:space="preserve"> and debris </w:t>
      </w:r>
      <w:r>
        <w:t>sending</w:t>
      </w:r>
      <w:r w:rsidRPr="00BD7D8F">
        <w:t xml:space="preserve"> them downriver creating dangerous conditions on the </w:t>
      </w:r>
      <w:r>
        <w:t>Brisbane River</w:t>
      </w:r>
      <w:r w:rsidRPr="00BD7D8F">
        <w:t>, its tributaries, the Mary and Burnett Rivers</w:t>
      </w:r>
      <w:r>
        <w:t>,</w:t>
      </w:r>
      <w:r w:rsidRPr="00BD7D8F">
        <w:t xml:space="preserve"> and the Gold Coast and Wide Bay areas.</w:t>
      </w:r>
    </w:p>
    <w:p w14:paraId="534D8259" w14:textId="77777777" w:rsidR="00AC6058" w:rsidRDefault="00AC6058" w:rsidP="00AC6058">
      <w:r w:rsidRPr="00BD7D8F">
        <w:t xml:space="preserve">MSQ stood up to coordinate an emergency response to waterborne threats and later managed the complex task of returning the rivers to safe working order. The response included attending </w:t>
      </w:r>
      <w:r>
        <w:t xml:space="preserve">debris posing a significant threat to other vessels and structures including dislodged trees, vessels, and pontoons adrift on the river. </w:t>
      </w:r>
    </w:p>
    <w:p w14:paraId="5F8E8512" w14:textId="77777777" w:rsidR="00AC6058" w:rsidRPr="00BD7D8F" w:rsidRDefault="00AC6058" w:rsidP="00AC6058">
      <w:r w:rsidRPr="00BD7D8F">
        <w:t>In addition to responding to threats on the Brisbane River, the laden 185</w:t>
      </w:r>
      <w:r>
        <w:t xml:space="preserve"> meter</w:t>
      </w:r>
      <w:r w:rsidRPr="00BD7D8F">
        <w:t xml:space="preserve"> tanker</w:t>
      </w:r>
      <w:r>
        <w:t>,</w:t>
      </w:r>
      <w:r w:rsidRPr="00BD7D8F">
        <w:t xml:space="preserve"> CSC Friendship</w:t>
      </w:r>
      <w:r>
        <w:t>,</w:t>
      </w:r>
      <w:r w:rsidRPr="00BD7D8F">
        <w:t xml:space="preserve"> parted lines and broke away from its berth.</w:t>
      </w:r>
    </w:p>
    <w:p w14:paraId="7993DD3A" w14:textId="77777777" w:rsidR="00AC6058" w:rsidRPr="00BD7D8F" w:rsidRDefault="00AC6058" w:rsidP="00AC6058">
      <w:r w:rsidRPr="00BD7D8F">
        <w:t>Despite grounding</w:t>
      </w:r>
      <w:r>
        <w:t>,</w:t>
      </w:r>
      <w:r w:rsidRPr="00BD7D8F">
        <w:t xml:space="preserve"> the vessel had not been holed. However, conditions ensured the situation remained uncertain and a crisis management team was quickly assembled by MSQ to stabilise the situation and prepare for recovery.</w:t>
      </w:r>
    </w:p>
    <w:p w14:paraId="389AE42B" w14:textId="77777777" w:rsidR="00AC6058" w:rsidRPr="00BD7D8F" w:rsidRDefault="00AC6058" w:rsidP="00AC6058">
      <w:r w:rsidRPr="00BD7D8F">
        <w:t>Over the next few hours, the vessel was monitored as more water was required to re-float it. As the water level lifted the vessel clear of the riverbed, it was carefully moved clear of the rocks, departing for the inner anchorage for inspection.</w:t>
      </w:r>
    </w:p>
    <w:p w14:paraId="29302741" w14:textId="77777777" w:rsidR="00AC6058" w:rsidRPr="00BD7D8F" w:rsidRDefault="00AC6058" w:rsidP="00AC6058">
      <w:r w:rsidRPr="00BD7D8F">
        <w:t>The collaborative and determined efforts by MSQ and partners to respond to this weather event prevented protentional significant safety, economic</w:t>
      </w:r>
      <w:r>
        <w:t>,</w:t>
      </w:r>
      <w:r w:rsidRPr="00BD7D8F">
        <w:t xml:space="preserve"> and environmental impacts.</w:t>
      </w:r>
    </w:p>
    <w:p w14:paraId="375EB617" w14:textId="77777777" w:rsidR="00AC6058" w:rsidRPr="00BD7D8F" w:rsidRDefault="00AC6058" w:rsidP="00AC6058">
      <w:r w:rsidRPr="00BD7D8F">
        <w:t xml:space="preserve">MSQ was </w:t>
      </w:r>
      <w:r>
        <w:t>h</w:t>
      </w:r>
      <w:r w:rsidRPr="00BD7D8F">
        <w:t xml:space="preserve">ighly </w:t>
      </w:r>
      <w:r>
        <w:t>c</w:t>
      </w:r>
      <w:r w:rsidRPr="00BD7D8F">
        <w:t>ommended for both nominations.</w:t>
      </w:r>
    </w:p>
    <w:p w14:paraId="477C6327" w14:textId="77777777" w:rsidR="00AC6058" w:rsidRPr="00DC1A33" w:rsidRDefault="00AC6058" w:rsidP="00AC6058">
      <w:pPr>
        <w:pStyle w:val="Heading3"/>
      </w:pPr>
      <w:r w:rsidRPr="004E6304">
        <w:t>Working for Queensland Survey</w:t>
      </w:r>
      <w:r w:rsidRPr="00153669">
        <w:t xml:space="preserve"> </w:t>
      </w:r>
    </w:p>
    <w:p w14:paraId="09F49DFF" w14:textId="77777777" w:rsidR="00AC6058" w:rsidRDefault="00AC6058" w:rsidP="00AC6058">
      <w:r>
        <w:t>The Working for Queensland (WfQ) survey provides an opportunity for TMR to help shape the future of the Queensland public service, while improving employees' work experience.</w:t>
      </w:r>
    </w:p>
    <w:p w14:paraId="085DF66A" w14:textId="77777777" w:rsidR="00AC6058" w:rsidRDefault="00AC6058" w:rsidP="00AC6058">
      <w:r>
        <w:t>Survey results inform the focus on enhancing employee engagement and building a positive workplace culture, strategy development, and resource investment.</w:t>
      </w:r>
    </w:p>
    <w:p w14:paraId="17C2EB85" w14:textId="77777777" w:rsidR="00AC6058" w:rsidRDefault="00AC6058" w:rsidP="00AC6058">
      <w:r>
        <w:t>Despite ongoing challenges during 2022, 74 per cent of employees and contractors responded to the WfQ survey and the results showed improvements across key areas including:</w:t>
      </w:r>
    </w:p>
    <w:p w14:paraId="2BD20AD6" w14:textId="77777777" w:rsidR="00AC6058" w:rsidRDefault="00AC6058" w:rsidP="00AC6058">
      <w:pPr>
        <w:pStyle w:val="ListBullet"/>
      </w:pPr>
      <w:r>
        <w:t>my workgroup</w:t>
      </w:r>
    </w:p>
    <w:p w14:paraId="33F66C17" w14:textId="77777777" w:rsidR="00AC6058" w:rsidRDefault="00AC6058" w:rsidP="00AC6058">
      <w:pPr>
        <w:pStyle w:val="ListBullet"/>
      </w:pPr>
      <w:r>
        <w:lastRenderedPageBreak/>
        <w:t>my manager</w:t>
      </w:r>
    </w:p>
    <w:p w14:paraId="0F9D789D" w14:textId="77777777" w:rsidR="00AC6058" w:rsidRDefault="00AC6058" w:rsidP="00AC6058">
      <w:pPr>
        <w:pStyle w:val="ListBullet"/>
      </w:pPr>
      <w:r>
        <w:t>keeping you well</w:t>
      </w:r>
    </w:p>
    <w:p w14:paraId="2728D2BD" w14:textId="77777777" w:rsidR="00AC6058" w:rsidRDefault="00AC6058" w:rsidP="00AC6058">
      <w:pPr>
        <w:pStyle w:val="ListBullet"/>
      </w:pPr>
      <w:r>
        <w:t>flexible work.</w:t>
      </w:r>
    </w:p>
    <w:p w14:paraId="64295CDF" w14:textId="77777777" w:rsidR="00AC6058" w:rsidRDefault="00AC6058" w:rsidP="00AC6058">
      <w:r>
        <w:t>Ongoing communications by the ELT regarding an increased focus on employee wellbeing have been identified by employees as key drivers in these improved results.</w:t>
      </w:r>
    </w:p>
    <w:p w14:paraId="7D9C62E6" w14:textId="77777777" w:rsidR="00916DF7" w:rsidRDefault="00916DF7">
      <w:pPr>
        <w:spacing w:before="0" w:after="160" w:line="259" w:lineRule="auto"/>
      </w:pPr>
      <w:r>
        <w:br w:type="page"/>
      </w:r>
    </w:p>
    <w:p w14:paraId="21DCCA67" w14:textId="71C3BFA7" w:rsidR="00AC6058" w:rsidRDefault="00AC6058" w:rsidP="00AC6058">
      <w:r>
        <w:lastRenderedPageBreak/>
        <w:t>During 2022–23, TMR has focused on three focus areas including:</w:t>
      </w:r>
    </w:p>
    <w:p w14:paraId="2E4DA0C5" w14:textId="77777777" w:rsidR="00AC6058" w:rsidRDefault="00AC6058" w:rsidP="00AC6058">
      <w:pPr>
        <w:pStyle w:val="ListBullet"/>
      </w:pPr>
      <w:r>
        <w:t>workload</w:t>
      </w:r>
    </w:p>
    <w:p w14:paraId="731D66C0" w14:textId="77777777" w:rsidR="00AC6058" w:rsidRDefault="00AC6058" w:rsidP="00AC6058">
      <w:pPr>
        <w:pStyle w:val="ListBullet"/>
      </w:pPr>
      <w:r>
        <w:t xml:space="preserve">performance and development </w:t>
      </w:r>
    </w:p>
    <w:p w14:paraId="49FBD500" w14:textId="77777777" w:rsidR="00AC6058" w:rsidRDefault="00AC6058" w:rsidP="00AC6058">
      <w:pPr>
        <w:pStyle w:val="ListBullet"/>
      </w:pPr>
      <w:r>
        <w:t>change management.</w:t>
      </w:r>
    </w:p>
    <w:p w14:paraId="5D274793" w14:textId="77777777" w:rsidR="00AC6058" w:rsidRDefault="00AC6058" w:rsidP="00AC6058">
      <w:r>
        <w:t>Survey results continued to assist TMR in identifying local opportunities to improve employee engagement.</w:t>
      </w:r>
    </w:p>
    <w:p w14:paraId="46F1C5CB" w14:textId="77777777" w:rsidR="00AC6058" w:rsidRPr="00DC1A33" w:rsidRDefault="00AC6058" w:rsidP="00AC6058">
      <w:pPr>
        <w:pStyle w:val="Heading3"/>
      </w:pPr>
      <w:r w:rsidRPr="003701AE">
        <w:t xml:space="preserve">Community Recovery Awards </w:t>
      </w:r>
      <w:r w:rsidRPr="00153669">
        <w:t xml:space="preserve"> </w:t>
      </w:r>
    </w:p>
    <w:p w14:paraId="443DCC18" w14:textId="77777777" w:rsidR="00AC6058" w:rsidRPr="00AF27FD" w:rsidRDefault="00AC6058" w:rsidP="00AC6058">
      <w:r w:rsidRPr="00AF27FD">
        <w:t xml:space="preserve">Each year TMR employees volunteer to become part of a group of public service volunteers working away from their regular roles to assist with disaster recovery, called the Ready Reserves. </w:t>
      </w:r>
    </w:p>
    <w:p w14:paraId="11CB9C46" w14:textId="77777777" w:rsidR="00AC6058" w:rsidRDefault="00AC6058" w:rsidP="00AC6058">
      <w:r w:rsidRPr="00AF27FD">
        <w:t>Through their participation in community recovery, they make a real difference to supporting vulnerable people and communities of Queensland when its needed most.</w:t>
      </w:r>
    </w:p>
    <w:p w14:paraId="4B36DDF4" w14:textId="77777777" w:rsidR="00AC6058" w:rsidRPr="00AF27FD" w:rsidRDefault="00AC6058" w:rsidP="00AC6058">
      <w:r w:rsidRPr="00AF27FD">
        <w:t xml:space="preserve">The Ready Reserve Reward and Recognition Awards ceremony was presented in Brisbane in October 2022. </w:t>
      </w:r>
    </w:p>
    <w:p w14:paraId="12EDC025" w14:textId="77777777" w:rsidR="00AC6058" w:rsidRPr="00AF27FD" w:rsidRDefault="00AC6058" w:rsidP="00AC6058">
      <w:r w:rsidRPr="00AF27FD">
        <w:t>The awards ceremony provided an opportunity to recognise and thank the Ready Reserves for their efforts, promote cross-government collaboration</w:t>
      </w:r>
      <w:r>
        <w:t>,</w:t>
      </w:r>
      <w:r w:rsidRPr="00AF27FD">
        <w:t xml:space="preserve"> and to highlight Ready Reserve members who have made an exceptional difference in one or more of the following recovery efforts: </w:t>
      </w:r>
    </w:p>
    <w:p w14:paraId="45F11180" w14:textId="77777777" w:rsidR="00AC6058" w:rsidRPr="00E82810" w:rsidRDefault="00AC6058" w:rsidP="00AC6058">
      <w:r w:rsidRPr="00E82810">
        <w:t xml:space="preserve">A total of ten TMR employees were nominated this year. </w:t>
      </w:r>
    </w:p>
    <w:p w14:paraId="4C392EF8" w14:textId="77777777" w:rsidR="00AC6058" w:rsidRPr="00E82810" w:rsidRDefault="00AC6058" w:rsidP="00AC6058">
      <w:pPr>
        <w:rPr>
          <w:rStyle w:val="Strong"/>
        </w:rPr>
      </w:pPr>
      <w:r w:rsidRPr="00E82810">
        <w:rPr>
          <w:rStyle w:val="Strong"/>
        </w:rPr>
        <w:t>Minister</w:t>
      </w:r>
      <w:r>
        <w:rPr>
          <w:rStyle w:val="Strong"/>
        </w:rPr>
        <w:t>'</w:t>
      </w:r>
      <w:r w:rsidRPr="00E82810">
        <w:rPr>
          <w:rStyle w:val="Strong"/>
        </w:rPr>
        <w:t>s Special Commendation Award</w:t>
      </w:r>
    </w:p>
    <w:p w14:paraId="48CBC745" w14:textId="77777777" w:rsidR="00AC6058" w:rsidRPr="00E82810" w:rsidRDefault="00AC6058" w:rsidP="00AC6058">
      <w:r w:rsidRPr="005D2DA7">
        <w:rPr>
          <w:rStyle w:val="Emphasis"/>
        </w:rPr>
        <w:t>Nominated</w:t>
      </w:r>
      <w:r w:rsidRPr="00E82810">
        <w:t xml:space="preserve">: Donna Nathan, Strategic Property, Portfolio Investment </w:t>
      </w:r>
      <w:r>
        <w:t>and</w:t>
      </w:r>
      <w:r w:rsidRPr="00E82810">
        <w:t xml:space="preserve"> Programming</w:t>
      </w:r>
    </w:p>
    <w:p w14:paraId="4CA8807A" w14:textId="77777777" w:rsidR="00AC6058" w:rsidRPr="00E82810" w:rsidRDefault="00AC6058" w:rsidP="00AC6058">
      <w:pPr>
        <w:rPr>
          <w:rStyle w:val="Strong"/>
        </w:rPr>
      </w:pPr>
      <w:r w:rsidRPr="00E82810">
        <w:rPr>
          <w:rStyle w:val="Strong"/>
        </w:rPr>
        <w:t xml:space="preserve">Quiet Achievers Award  </w:t>
      </w:r>
    </w:p>
    <w:p w14:paraId="77559D10" w14:textId="77777777" w:rsidR="00AC6058" w:rsidRDefault="00AC6058" w:rsidP="00AC6058">
      <w:r w:rsidRPr="005D2DA7">
        <w:rPr>
          <w:rStyle w:val="Emphasis"/>
        </w:rPr>
        <w:t>Winner:</w:t>
      </w:r>
      <w:r w:rsidRPr="00E82810">
        <w:t xml:space="preserve"> Deb McDonald, Mobility Policy and Insights,</w:t>
      </w:r>
      <w:r>
        <w:t xml:space="preserve"> </w:t>
      </w:r>
      <w:r w:rsidRPr="00E82810">
        <w:t>Engineering and Technology</w:t>
      </w:r>
    </w:p>
    <w:p w14:paraId="2A77595D" w14:textId="77777777" w:rsidR="00AC6058" w:rsidRDefault="00AC6058" w:rsidP="00AC6058">
      <w:r w:rsidRPr="005D2DA7">
        <w:rPr>
          <w:rStyle w:val="Emphasis"/>
        </w:rPr>
        <w:t>Nominated</w:t>
      </w:r>
      <w:r w:rsidRPr="00E82810">
        <w:t xml:space="preserve">: </w:t>
      </w:r>
    </w:p>
    <w:p w14:paraId="3FAC03A6" w14:textId="77777777" w:rsidR="00AC6058" w:rsidRDefault="00AC6058" w:rsidP="00AC6058">
      <w:pPr>
        <w:pStyle w:val="ListBullet"/>
      </w:pPr>
      <w:r w:rsidRPr="00E82810">
        <w:t>Brett Collard, Service Operations, Information Technology Branch</w:t>
      </w:r>
    </w:p>
    <w:p w14:paraId="4514E05B" w14:textId="77777777" w:rsidR="00AC6058" w:rsidRPr="00E82810" w:rsidRDefault="00AC6058" w:rsidP="00AC6058">
      <w:pPr>
        <w:pStyle w:val="ListBullet"/>
      </w:pPr>
      <w:r w:rsidRPr="00E82810">
        <w:t>Chris Oldham, Corridor Management and Protection, Transport Strategy and Planning</w:t>
      </w:r>
    </w:p>
    <w:p w14:paraId="4CEFCFDC" w14:textId="77777777" w:rsidR="00AC6058" w:rsidRPr="005D2DA7" w:rsidRDefault="00AC6058" w:rsidP="00AC6058">
      <w:pPr>
        <w:rPr>
          <w:rStyle w:val="Strong"/>
        </w:rPr>
      </w:pPr>
      <w:r w:rsidRPr="005D2DA7">
        <w:rPr>
          <w:rStyle w:val="Strong"/>
        </w:rPr>
        <w:t xml:space="preserve">Exceptional Services Award </w:t>
      </w:r>
    </w:p>
    <w:p w14:paraId="27060BBB" w14:textId="77777777" w:rsidR="00AC6058" w:rsidRDefault="00AC6058" w:rsidP="00AC6058">
      <w:r w:rsidRPr="005D2DA7">
        <w:rPr>
          <w:rStyle w:val="Emphasis"/>
        </w:rPr>
        <w:t>Nominated</w:t>
      </w:r>
      <w:r w:rsidRPr="00E82810">
        <w:t xml:space="preserve">: </w:t>
      </w:r>
    </w:p>
    <w:p w14:paraId="2DFCD27C" w14:textId="77777777" w:rsidR="00AC6058" w:rsidRDefault="00AC6058" w:rsidP="00AC6058">
      <w:pPr>
        <w:pStyle w:val="ListBullet"/>
      </w:pPr>
      <w:r w:rsidRPr="00E82810">
        <w:t>Craig Carter, Executive Directorate, Information Technology Branch</w:t>
      </w:r>
    </w:p>
    <w:p w14:paraId="5723B8CF" w14:textId="77777777" w:rsidR="00AC6058" w:rsidRDefault="00AC6058" w:rsidP="00AC6058">
      <w:pPr>
        <w:pStyle w:val="ListBullet"/>
      </w:pPr>
      <w:r w:rsidRPr="00E82810">
        <w:t xml:space="preserve">Chris Oldham, Corridor Management and Protection, Transport Strategy and Planning  </w:t>
      </w:r>
    </w:p>
    <w:p w14:paraId="1075CE45" w14:textId="77777777" w:rsidR="00AC6058" w:rsidRPr="00E82810" w:rsidRDefault="00AC6058" w:rsidP="00AC6058">
      <w:pPr>
        <w:pStyle w:val="ListBullet"/>
      </w:pPr>
      <w:r w:rsidRPr="00E82810">
        <w:t>Ian Fitzgerald, Corridor Management and Protection, Transport Strategy and Planning</w:t>
      </w:r>
    </w:p>
    <w:p w14:paraId="1276E437" w14:textId="77777777" w:rsidR="00AC6058" w:rsidRPr="005D2DA7" w:rsidRDefault="00AC6058" w:rsidP="00AC6058">
      <w:pPr>
        <w:rPr>
          <w:rStyle w:val="Strong"/>
        </w:rPr>
      </w:pPr>
      <w:r w:rsidRPr="005D2DA7">
        <w:rPr>
          <w:rStyle w:val="Strong"/>
        </w:rPr>
        <w:t xml:space="preserve">Team Excellence Award </w:t>
      </w:r>
    </w:p>
    <w:p w14:paraId="761DDFD4" w14:textId="77777777" w:rsidR="00AC6058" w:rsidRDefault="00AC6058" w:rsidP="00AC6058">
      <w:r w:rsidRPr="005D2DA7">
        <w:rPr>
          <w:rStyle w:val="Emphasis"/>
        </w:rPr>
        <w:t>Winner:</w:t>
      </w:r>
      <w:r w:rsidRPr="00E82810">
        <w:t xml:space="preserve"> Owen Sadler, Portfolio Management Office, Portfolio Investment and Programming</w:t>
      </w:r>
      <w:r>
        <w:t xml:space="preserve"> and</w:t>
      </w:r>
      <w:r w:rsidRPr="00E82810">
        <w:t xml:space="preserve"> Ian Fitzgerald, Corridor Management and Protection, Transport Strategy and Planning</w:t>
      </w:r>
      <w:r>
        <w:t xml:space="preserve">. </w:t>
      </w:r>
      <w:r w:rsidRPr="00E82810">
        <w:t>Owen and Ian were part of a multi-agency team for the Gympie Flood Team</w:t>
      </w:r>
      <w:r>
        <w:t>.</w:t>
      </w:r>
    </w:p>
    <w:p w14:paraId="7320BDA6" w14:textId="77777777" w:rsidR="00AC6058" w:rsidRPr="00F329F6" w:rsidRDefault="00AC6058" w:rsidP="00AC6058">
      <w:r w:rsidRPr="00FE1752">
        <w:rPr>
          <w:rStyle w:val="Emphasis"/>
        </w:rPr>
        <w:t>Nominated</w:t>
      </w:r>
      <w:r w:rsidRPr="00FE1752">
        <w:t>: Colin Campbell, Metro District Technical Services, Program Delivery and Operations</w:t>
      </w:r>
    </w:p>
    <w:p w14:paraId="4A189066" w14:textId="738B0DDC" w:rsidR="00AC6058" w:rsidRPr="00DC1A33" w:rsidRDefault="00AC6058" w:rsidP="00AC6058">
      <w:pPr>
        <w:pStyle w:val="Heading3"/>
      </w:pPr>
      <w:r w:rsidRPr="00E125F2">
        <w:t>Values and culture network</w:t>
      </w:r>
      <w:r w:rsidRPr="00153669">
        <w:t xml:space="preserve"> </w:t>
      </w:r>
    </w:p>
    <w:p w14:paraId="2B688614" w14:textId="77777777" w:rsidR="00AC6058" w:rsidRDefault="00AC6058" w:rsidP="00AC6058">
      <w:r>
        <w:t>TMR's Values and Culture Network actively promotes the Queensland public sector values and fosters a OneTMR culture. With over 30 members from across TMR, the network meets quarterly to discuss areas of focus which, during 2022–23 included:</w:t>
      </w:r>
    </w:p>
    <w:p w14:paraId="63EC6BC1" w14:textId="77777777" w:rsidR="00AC6058" w:rsidRDefault="00AC6058" w:rsidP="00AC6058">
      <w:pPr>
        <w:pStyle w:val="ListBullet"/>
      </w:pPr>
      <w:r>
        <w:t>continuing to build relationships in regional and remote areas</w:t>
      </w:r>
    </w:p>
    <w:p w14:paraId="7FEEB7AE" w14:textId="77777777" w:rsidR="00AC6058" w:rsidRDefault="00AC6058" w:rsidP="00AC6058">
      <w:pPr>
        <w:pStyle w:val="ListBullet"/>
      </w:pPr>
      <w:r>
        <w:lastRenderedPageBreak/>
        <w:t>championing values and culture across key departmental initiatives, such as People 4 People Week, R U OK Day, Fly the Flag Day for Mates in Construction, TMR's annual Darkness to Daylight event, and the 10,000 Step Challenge</w:t>
      </w:r>
    </w:p>
    <w:p w14:paraId="040995FC" w14:textId="77777777" w:rsidR="00AC6058" w:rsidRDefault="00AC6058" w:rsidP="00AC6058">
      <w:pPr>
        <w:pStyle w:val="ListBullet"/>
      </w:pPr>
      <w:r>
        <w:t>participating in a WfQ focus group. The event received positive feedback including 100 per cent of respondents reporting initiatives having an impact, particularly related to health and wellbeing. Nearly 100 per cent of respondents indicated the WfQ highlights reflected their local experience.</w:t>
      </w:r>
    </w:p>
    <w:p w14:paraId="7ECB9D1D" w14:textId="41740FF3" w:rsidR="00AC6058" w:rsidRDefault="00AC6058" w:rsidP="00AC6058">
      <w:pPr>
        <w:pStyle w:val="Heading2"/>
      </w:pPr>
      <w:r w:rsidRPr="00676015">
        <w:t>Health and Wellbeing</w:t>
      </w:r>
    </w:p>
    <w:p w14:paraId="6457670E" w14:textId="77777777" w:rsidR="00AC6058" w:rsidRPr="00DC1A33" w:rsidRDefault="00AC6058" w:rsidP="00AC6058">
      <w:pPr>
        <w:pStyle w:val="Heading3"/>
      </w:pPr>
      <w:r>
        <w:t>Wellbeing programs</w:t>
      </w:r>
    </w:p>
    <w:p w14:paraId="0819784E" w14:textId="77777777" w:rsidR="00AC6058" w:rsidRPr="0028269E" w:rsidRDefault="00AC6058" w:rsidP="00AC6058">
      <w:r w:rsidRPr="0028269E">
        <w:t xml:space="preserve">In </w:t>
      </w:r>
      <w:r>
        <w:t>2022–23</w:t>
      </w:r>
      <w:r w:rsidRPr="0028269E">
        <w:t xml:space="preserve">, TMR continued to deliver health and wellbeing programs in line with the </w:t>
      </w:r>
      <w:r w:rsidRPr="009B13EE">
        <w:rPr>
          <w:rStyle w:val="Emphasis"/>
        </w:rPr>
        <w:t>TMR Mental Health and Wellbeing Strategy 2022–2024</w:t>
      </w:r>
      <w:r w:rsidRPr="0028269E">
        <w:t>, originally developed to align with the Queensland Government</w:t>
      </w:r>
      <w:r>
        <w:t>'s</w:t>
      </w:r>
      <w:r w:rsidRPr="0028269E">
        <w:t xml:space="preserve"> 'Be Healthy, Be Safe, Be Well Framework’. </w:t>
      </w:r>
      <w:r>
        <w:t>TMR's</w:t>
      </w:r>
      <w:r w:rsidRPr="0028269E">
        <w:t xml:space="preserve"> wellbeing </w:t>
      </w:r>
      <w:r>
        <w:t>program</w:t>
      </w:r>
      <w:r w:rsidRPr="0028269E">
        <w:t xml:space="preserve"> focuse</w:t>
      </w:r>
      <w:r>
        <w:t>s</w:t>
      </w:r>
      <w:r w:rsidRPr="0028269E">
        <w:t xml:space="preserve"> on the individual wellbeing of our employees, providing the tools and resources to robustly manage their own wellbeing and overcome challenges. </w:t>
      </w:r>
    </w:p>
    <w:p w14:paraId="5428F13F" w14:textId="77777777" w:rsidR="00AC6058" w:rsidRPr="0028269E" w:rsidRDefault="00AC6058" w:rsidP="00AC6058">
      <w:r w:rsidRPr="0028269E">
        <w:t xml:space="preserve">The strategy </w:t>
      </w:r>
      <w:r>
        <w:t>i</w:t>
      </w:r>
      <w:r w:rsidRPr="0028269E">
        <w:t>s supported by the ‘Be Your Best You’ challenge, launched in July 2022, which highligh</w:t>
      </w:r>
      <w:r>
        <w:t>ts</w:t>
      </w:r>
      <w:r w:rsidRPr="0028269E">
        <w:t xml:space="preserve"> the five pillars of wellbeing (physical, psychological, social, financial, and work)</w:t>
      </w:r>
      <w:r>
        <w:t>.</w:t>
      </w:r>
      <w:r w:rsidRPr="0028269E">
        <w:t xml:space="preserve"> </w:t>
      </w:r>
      <w:r>
        <w:t>The wellbeing program is actively</w:t>
      </w:r>
      <w:r w:rsidRPr="0028269E">
        <w:t xml:space="preserve"> supported </w:t>
      </w:r>
      <w:r>
        <w:t>through</w:t>
      </w:r>
      <w:r w:rsidRPr="0028269E">
        <w:t xml:space="preserve"> ongoing communications from the Director-General and </w:t>
      </w:r>
      <w:r>
        <w:t xml:space="preserve">TMR's </w:t>
      </w:r>
      <w:r w:rsidRPr="0028269E">
        <w:t>Executive Champion for Health and Wellbeing.</w:t>
      </w:r>
    </w:p>
    <w:p w14:paraId="41BBDE78" w14:textId="77777777" w:rsidR="00AC6058" w:rsidRPr="0028269E" w:rsidRDefault="00AC6058" w:rsidP="00AC6058">
      <w:r>
        <w:t>TMR employees participated in</w:t>
      </w:r>
      <w:r w:rsidRPr="0028269E">
        <w:t xml:space="preserve"> wellbeing initiatives throughout the year, such as the 10,000 Step Challenge, 'Steptember', which involved fundraising for cerebral palsy and promoting the benefits of physical exercise</w:t>
      </w:r>
      <w:r>
        <w:t>,</w:t>
      </w:r>
      <w:r w:rsidRPr="0028269E">
        <w:t xml:space="preserve"> and </w:t>
      </w:r>
      <w:r>
        <w:t xml:space="preserve">again winning </w:t>
      </w:r>
      <w:r w:rsidRPr="0028269E">
        <w:t xml:space="preserve">the Queensland Government Lifeblood Challenge. </w:t>
      </w:r>
    </w:p>
    <w:p w14:paraId="5F52809A" w14:textId="77777777" w:rsidR="00AC6058" w:rsidRDefault="00AC6058" w:rsidP="00AC6058">
      <w:r w:rsidRPr="0028269E">
        <w:t xml:space="preserve">TMR </w:t>
      </w:r>
      <w:r>
        <w:t xml:space="preserve">has also </w:t>
      </w:r>
      <w:r w:rsidRPr="0028269E">
        <w:t>partnered with the University of Sunshine Coast</w:t>
      </w:r>
      <w:r>
        <w:t>'s</w:t>
      </w:r>
      <w:r w:rsidRPr="0028269E">
        <w:t xml:space="preserve"> Thompson Institute, a world-leading mental health and neuroscientific research hub, to provide a suite of wellbeing programs</w:t>
      </w:r>
      <w:r>
        <w:t xml:space="preserve"> and workshops</w:t>
      </w:r>
      <w:r w:rsidRPr="0028269E">
        <w:t>.</w:t>
      </w:r>
      <w:r>
        <w:t xml:space="preserve"> </w:t>
      </w:r>
      <w:r w:rsidRPr="0028269E">
        <w:t>T</w:t>
      </w:r>
      <w:r>
        <w:t>he</w:t>
      </w:r>
      <w:r w:rsidRPr="0028269E">
        <w:t xml:space="preserve"> workshops help equip employees with skills and knowledge to assist distressed colleagues and identify people who are at risk of suicide. </w:t>
      </w:r>
    </w:p>
    <w:p w14:paraId="7B1C7A12" w14:textId="77777777" w:rsidR="00AC6058" w:rsidRDefault="00AC6058" w:rsidP="00AC6058">
      <w:r w:rsidRPr="0028269E">
        <w:t xml:space="preserve">The 'Expert Series' of online webinars delivered by the Thompson Institute supported the internal wellbeing campaign 'Be your Best You' on various topics such as nutrition, sleep, and stress. </w:t>
      </w:r>
    </w:p>
    <w:p w14:paraId="0E83F47C" w14:textId="77777777" w:rsidR="00AC6058" w:rsidRPr="0028269E" w:rsidRDefault="00AC6058" w:rsidP="00AC6058">
      <w:r w:rsidRPr="0028269E">
        <w:t>The package also included an early intervention health coaching program, the provision of a research student to complete a PhD scholarship examining organisation-wide wellbeing and measur</w:t>
      </w:r>
      <w:r>
        <w:t>ing</w:t>
      </w:r>
      <w:r w:rsidRPr="0028269E">
        <w:t xml:space="preserve"> TMR's wellbeing climate by integrating workforce data, training programs feedback and employee survey data into a story-driven dashboard. In </w:t>
      </w:r>
      <w:r>
        <w:t>2022–23</w:t>
      </w:r>
      <w:r w:rsidRPr="0028269E">
        <w:t>, a total of 794 employees engaged with the programs.</w:t>
      </w:r>
    </w:p>
    <w:p w14:paraId="7746FAE8" w14:textId="77777777" w:rsidR="00AC6058" w:rsidRDefault="00AC6058" w:rsidP="00AC6058">
      <w:pPr>
        <w:pStyle w:val="Heading3"/>
      </w:pPr>
      <w:r w:rsidRPr="00592328">
        <w:t xml:space="preserve">Injury management </w:t>
      </w:r>
    </w:p>
    <w:p w14:paraId="79148985" w14:textId="77777777" w:rsidR="00AC6058" w:rsidRDefault="00AC6058" w:rsidP="00AC6058">
      <w:r w:rsidRPr="00C77601">
        <w:t xml:space="preserve">Through the </w:t>
      </w:r>
      <w:r w:rsidRPr="00C77601">
        <w:rPr>
          <w:rStyle w:val="Emphasis"/>
        </w:rPr>
        <w:t>Workplace Rehabilitation Policy</w:t>
      </w:r>
      <w:r>
        <w:t xml:space="preserve"> and centralised management of rehabilitation and workers' compensation claims, TMR remained committed to ensuring that rehabilitation and return to work services are provided in keeping with injury management best practice.</w:t>
      </w:r>
    </w:p>
    <w:p w14:paraId="23EC9B3E" w14:textId="77777777" w:rsidR="00AC6058" w:rsidRDefault="00AC6058" w:rsidP="00AC6058">
      <w:r>
        <w:t>TMR recognises that workplace rehabilitation assists in the recovery process and helps restore the employee's normal function sooner. In the event of an injury or illness, regardless of whether it is work-related, TMR is committed to assisting employees to achieve a safe return to work in a way that will facilitate their best possible recovery. This is achieved by:</w:t>
      </w:r>
    </w:p>
    <w:p w14:paraId="470C70F7" w14:textId="77777777" w:rsidR="00AC6058" w:rsidRDefault="00AC6058" w:rsidP="00AC6058">
      <w:pPr>
        <w:pStyle w:val="ListBullet"/>
      </w:pPr>
      <w:r>
        <w:t>accommodating a gradual return to work, with a focus on suitable duties in accordance with medical advice</w:t>
      </w:r>
    </w:p>
    <w:p w14:paraId="43568C98" w14:textId="77777777" w:rsidR="00AC6058" w:rsidRDefault="00AC6058" w:rsidP="00AC6058">
      <w:pPr>
        <w:pStyle w:val="ListBullet"/>
      </w:pPr>
      <w:r>
        <w:t>building a positive culture around injury management and providing suitable duties to assist in employees' recovery</w:t>
      </w:r>
    </w:p>
    <w:p w14:paraId="6A5C8D64" w14:textId="77777777" w:rsidR="00AC6058" w:rsidRPr="00C77601" w:rsidRDefault="00AC6058" w:rsidP="00AC6058">
      <w:pPr>
        <w:pStyle w:val="ListBullet"/>
      </w:pPr>
      <w:r>
        <w:t>working closely with WorkCover Queensland and QSuper to ensure proactive case management.</w:t>
      </w:r>
    </w:p>
    <w:p w14:paraId="7BA91DED" w14:textId="5D9515D3" w:rsidR="00AC6058" w:rsidRDefault="00AC6058" w:rsidP="00AC6058">
      <w:pPr>
        <w:pStyle w:val="TableofFigures"/>
      </w:pPr>
      <w:r>
        <w:t>Table 15: Comparison of workers' compensation claims lodged over a five year period</w:t>
      </w:r>
    </w:p>
    <w:tbl>
      <w:tblPr>
        <w:tblStyle w:val="GridTable4-Accent1"/>
        <w:tblW w:w="5000" w:type="pct"/>
        <w:tblLook w:val="0020" w:firstRow="1" w:lastRow="0" w:firstColumn="0" w:lastColumn="0" w:noHBand="0" w:noVBand="0"/>
      </w:tblPr>
      <w:tblGrid>
        <w:gridCol w:w="1699"/>
        <w:gridCol w:w="1699"/>
        <w:gridCol w:w="1699"/>
        <w:gridCol w:w="1699"/>
        <w:gridCol w:w="1698"/>
        <w:gridCol w:w="1700"/>
      </w:tblGrid>
      <w:tr w:rsidR="00AC6058" w14:paraId="2E7305C4" w14:textId="77777777" w:rsidTr="00AA259F">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33" w:type="pct"/>
          </w:tcPr>
          <w:p w14:paraId="21EDFCD1" w14:textId="77777777" w:rsidR="00AC6058" w:rsidRDefault="00AC6058" w:rsidP="00DE4FC5">
            <w:pPr>
              <w:pStyle w:val="Normal-table"/>
            </w:pPr>
          </w:p>
        </w:tc>
        <w:tc>
          <w:tcPr>
            <w:tcW w:w="833" w:type="pct"/>
          </w:tcPr>
          <w:p w14:paraId="4208B12C" w14:textId="77777777" w:rsidR="00AC6058" w:rsidRPr="00D14E7E" w:rsidRDefault="00AC6058" w:rsidP="00DE4FC5">
            <w:pPr>
              <w:pStyle w:val="Normal-table"/>
              <w:cnfStyle w:val="100000000000" w:firstRow="1" w:lastRow="0" w:firstColumn="0" w:lastColumn="0" w:oddVBand="0" w:evenVBand="0" w:oddHBand="0" w:evenHBand="0" w:firstRowFirstColumn="0" w:firstRowLastColumn="0" w:lastRowFirstColumn="0" w:lastRowLastColumn="0"/>
            </w:pPr>
            <w:r>
              <w:t>2022–23</w:t>
            </w:r>
          </w:p>
        </w:tc>
        <w:tc>
          <w:tcPr>
            <w:cnfStyle w:val="000010000000" w:firstRow="0" w:lastRow="0" w:firstColumn="0" w:lastColumn="0" w:oddVBand="1" w:evenVBand="0" w:oddHBand="0" w:evenHBand="0" w:firstRowFirstColumn="0" w:firstRowLastColumn="0" w:lastRowFirstColumn="0" w:lastRowLastColumn="0"/>
            <w:tcW w:w="833" w:type="pct"/>
          </w:tcPr>
          <w:p w14:paraId="6281B741" w14:textId="77777777" w:rsidR="00AC6058" w:rsidRPr="00D14E7E" w:rsidRDefault="00AC6058" w:rsidP="00DE4FC5">
            <w:pPr>
              <w:pStyle w:val="Normal-table"/>
            </w:pPr>
            <w:r>
              <w:t>2021–22</w:t>
            </w:r>
          </w:p>
        </w:tc>
        <w:tc>
          <w:tcPr>
            <w:tcW w:w="833" w:type="pct"/>
          </w:tcPr>
          <w:p w14:paraId="25602363" w14:textId="77777777" w:rsidR="00AC6058" w:rsidRPr="00D14E7E" w:rsidRDefault="00AC6058" w:rsidP="00DE4FC5">
            <w:pPr>
              <w:pStyle w:val="Normal-table"/>
              <w:cnfStyle w:val="100000000000" w:firstRow="1" w:lastRow="0" w:firstColumn="0" w:lastColumn="0" w:oddVBand="0" w:evenVBand="0" w:oddHBand="0" w:evenHBand="0" w:firstRowFirstColumn="0" w:firstRowLastColumn="0" w:lastRowFirstColumn="0" w:lastRowLastColumn="0"/>
            </w:pPr>
            <w:r>
              <w:t>2020–21</w:t>
            </w:r>
          </w:p>
        </w:tc>
        <w:tc>
          <w:tcPr>
            <w:cnfStyle w:val="000010000000" w:firstRow="0" w:lastRow="0" w:firstColumn="0" w:lastColumn="0" w:oddVBand="1" w:evenVBand="0" w:oddHBand="0" w:evenHBand="0" w:firstRowFirstColumn="0" w:firstRowLastColumn="0" w:lastRowFirstColumn="0" w:lastRowLastColumn="0"/>
            <w:tcW w:w="833" w:type="pct"/>
          </w:tcPr>
          <w:p w14:paraId="743A6095" w14:textId="77777777" w:rsidR="00AC6058" w:rsidRPr="00D14E7E" w:rsidRDefault="00AC6058" w:rsidP="00DE4FC5">
            <w:pPr>
              <w:pStyle w:val="Normal-table"/>
            </w:pPr>
            <w:r>
              <w:t>2019–20</w:t>
            </w:r>
          </w:p>
        </w:tc>
        <w:tc>
          <w:tcPr>
            <w:tcW w:w="834" w:type="pct"/>
          </w:tcPr>
          <w:p w14:paraId="7E98293D" w14:textId="77777777" w:rsidR="00AC6058" w:rsidRPr="00D14E7E" w:rsidRDefault="00AC6058" w:rsidP="00DE4FC5">
            <w:pPr>
              <w:pStyle w:val="Normal-table"/>
              <w:cnfStyle w:val="100000000000" w:firstRow="1" w:lastRow="0" w:firstColumn="0" w:lastColumn="0" w:oddVBand="0" w:evenVBand="0" w:oddHBand="0" w:evenHBand="0" w:firstRowFirstColumn="0" w:firstRowLastColumn="0" w:lastRowFirstColumn="0" w:lastRowLastColumn="0"/>
            </w:pPr>
            <w:r>
              <w:t>2018–19</w:t>
            </w:r>
          </w:p>
        </w:tc>
      </w:tr>
      <w:tr w:rsidR="00AC6058" w14:paraId="26A134FE" w14:textId="77777777" w:rsidTr="00AA259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33" w:type="pct"/>
          </w:tcPr>
          <w:p w14:paraId="0DB10CBE" w14:textId="77777777" w:rsidR="00AC6058" w:rsidRPr="00D14E7E" w:rsidRDefault="00AC6058" w:rsidP="00DE4FC5">
            <w:pPr>
              <w:pStyle w:val="Normal-table"/>
            </w:pPr>
            <w:r>
              <w:t>Claims</w:t>
            </w:r>
          </w:p>
        </w:tc>
        <w:tc>
          <w:tcPr>
            <w:tcW w:w="833" w:type="pct"/>
          </w:tcPr>
          <w:p w14:paraId="5C429503" w14:textId="77777777" w:rsidR="00AC6058" w:rsidRPr="00D14E7E" w:rsidRDefault="00AC6058" w:rsidP="00DE4FC5">
            <w:pPr>
              <w:pStyle w:val="Normal-table"/>
              <w:cnfStyle w:val="000000100000" w:firstRow="0" w:lastRow="0" w:firstColumn="0" w:lastColumn="0" w:oddVBand="0" w:evenVBand="0" w:oddHBand="1" w:evenHBand="0" w:firstRowFirstColumn="0" w:firstRowLastColumn="0" w:lastRowFirstColumn="0" w:lastRowLastColumn="0"/>
            </w:pPr>
            <w:r>
              <w:t>226</w:t>
            </w:r>
          </w:p>
        </w:tc>
        <w:tc>
          <w:tcPr>
            <w:cnfStyle w:val="000010000000" w:firstRow="0" w:lastRow="0" w:firstColumn="0" w:lastColumn="0" w:oddVBand="1" w:evenVBand="0" w:oddHBand="0" w:evenHBand="0" w:firstRowFirstColumn="0" w:firstRowLastColumn="0" w:lastRowFirstColumn="0" w:lastRowLastColumn="0"/>
            <w:tcW w:w="833" w:type="pct"/>
          </w:tcPr>
          <w:p w14:paraId="015B7294" w14:textId="77777777" w:rsidR="00AC6058" w:rsidRPr="00D14E7E" w:rsidRDefault="00AC6058" w:rsidP="00DE4FC5">
            <w:pPr>
              <w:pStyle w:val="Normal-table"/>
            </w:pPr>
            <w:r>
              <w:t>207</w:t>
            </w:r>
          </w:p>
        </w:tc>
        <w:tc>
          <w:tcPr>
            <w:tcW w:w="833" w:type="pct"/>
          </w:tcPr>
          <w:p w14:paraId="2C474D1E" w14:textId="77777777" w:rsidR="00AC6058" w:rsidRPr="00D14E7E" w:rsidRDefault="00AC6058" w:rsidP="00DE4FC5">
            <w:pPr>
              <w:pStyle w:val="Normal-table"/>
              <w:cnfStyle w:val="000000100000" w:firstRow="0" w:lastRow="0" w:firstColumn="0" w:lastColumn="0" w:oddVBand="0" w:evenVBand="0" w:oddHBand="1" w:evenHBand="0" w:firstRowFirstColumn="0" w:firstRowLastColumn="0" w:lastRowFirstColumn="0" w:lastRowLastColumn="0"/>
            </w:pPr>
            <w:r>
              <w:t>241</w:t>
            </w:r>
          </w:p>
        </w:tc>
        <w:tc>
          <w:tcPr>
            <w:cnfStyle w:val="000010000000" w:firstRow="0" w:lastRow="0" w:firstColumn="0" w:lastColumn="0" w:oddVBand="1" w:evenVBand="0" w:oddHBand="0" w:evenHBand="0" w:firstRowFirstColumn="0" w:firstRowLastColumn="0" w:lastRowFirstColumn="0" w:lastRowLastColumn="0"/>
            <w:tcW w:w="833" w:type="pct"/>
          </w:tcPr>
          <w:p w14:paraId="466637F7" w14:textId="77777777" w:rsidR="00AC6058" w:rsidRPr="00D14E7E" w:rsidRDefault="00AC6058" w:rsidP="00DE4FC5">
            <w:pPr>
              <w:pStyle w:val="Normal-table"/>
            </w:pPr>
            <w:r>
              <w:t>280</w:t>
            </w:r>
          </w:p>
        </w:tc>
        <w:tc>
          <w:tcPr>
            <w:tcW w:w="834" w:type="pct"/>
          </w:tcPr>
          <w:p w14:paraId="5A7DC952" w14:textId="77777777" w:rsidR="00AC6058" w:rsidRPr="00D14E7E" w:rsidRDefault="00AC6058" w:rsidP="00DE4FC5">
            <w:pPr>
              <w:pStyle w:val="Normal-table"/>
              <w:cnfStyle w:val="000000100000" w:firstRow="0" w:lastRow="0" w:firstColumn="0" w:lastColumn="0" w:oddVBand="0" w:evenVBand="0" w:oddHBand="1" w:evenHBand="0" w:firstRowFirstColumn="0" w:firstRowLastColumn="0" w:lastRowFirstColumn="0" w:lastRowLastColumn="0"/>
            </w:pPr>
            <w:r>
              <w:t>301</w:t>
            </w:r>
          </w:p>
        </w:tc>
      </w:tr>
    </w:tbl>
    <w:p w14:paraId="117AC4D3" w14:textId="77777777" w:rsidR="00AC6058" w:rsidRDefault="00AC6058" w:rsidP="00AC6058">
      <w:pPr>
        <w:pStyle w:val="Caption"/>
      </w:pPr>
      <w:r>
        <w:lastRenderedPageBreak/>
        <w:t>Data source: WorkCover Queensland – Online services for employers.</w:t>
      </w:r>
    </w:p>
    <w:p w14:paraId="2DDD903F" w14:textId="77777777" w:rsidR="00AC6058" w:rsidRDefault="00AC6058" w:rsidP="00AC6058">
      <w:pPr>
        <w:pStyle w:val="Caption"/>
      </w:pPr>
      <w:r>
        <w:t>Note: Figures are subject to revision as more information becomes available.</w:t>
      </w:r>
    </w:p>
    <w:p w14:paraId="27F38034" w14:textId="77777777" w:rsidR="00AC6058" w:rsidRPr="00C77601" w:rsidRDefault="00AC6058" w:rsidP="00AC6058">
      <w:pPr>
        <w:pStyle w:val="Caption"/>
      </w:pPr>
      <w:r>
        <w:t>*Based on data from July 2022 to June 2023 extrapolated for 2022–23 FY</w:t>
      </w:r>
    </w:p>
    <w:p w14:paraId="40C432B0" w14:textId="77777777" w:rsidR="00C6602D" w:rsidRDefault="00C6602D" w:rsidP="00AC6058">
      <w:pPr>
        <w:pStyle w:val="TableofFigures"/>
      </w:pPr>
    </w:p>
    <w:p w14:paraId="4A31EDD9" w14:textId="77777777" w:rsidR="00C6602D" w:rsidRDefault="00C6602D" w:rsidP="00AC6058">
      <w:pPr>
        <w:pStyle w:val="TableofFigures"/>
      </w:pPr>
    </w:p>
    <w:p w14:paraId="438A1106" w14:textId="41D958D6" w:rsidR="00AC6058" w:rsidRDefault="00AC6058" w:rsidP="00AC6058">
      <w:pPr>
        <w:pStyle w:val="TableofFigures"/>
      </w:pPr>
      <w:r>
        <w:t>Table 16: Comparison of final return to work percentages</w:t>
      </w:r>
    </w:p>
    <w:tbl>
      <w:tblPr>
        <w:tblStyle w:val="ListTable4-Accent1"/>
        <w:tblW w:w="5000" w:type="pct"/>
        <w:tblLook w:val="0020" w:firstRow="1" w:lastRow="0" w:firstColumn="0" w:lastColumn="0" w:noHBand="0" w:noVBand="0"/>
      </w:tblPr>
      <w:tblGrid>
        <w:gridCol w:w="1677"/>
        <w:gridCol w:w="1705"/>
        <w:gridCol w:w="1704"/>
        <w:gridCol w:w="1704"/>
        <w:gridCol w:w="1704"/>
        <w:gridCol w:w="1700"/>
      </w:tblGrid>
      <w:tr w:rsidR="00AC6058" w14:paraId="39003EF8" w14:textId="77777777" w:rsidTr="00AA259F">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22" w:type="pct"/>
          </w:tcPr>
          <w:p w14:paraId="22BBED9F" w14:textId="77777777" w:rsidR="00AC6058" w:rsidRDefault="00AC6058" w:rsidP="00DE4FC5">
            <w:pPr>
              <w:pStyle w:val="Normal-table"/>
            </w:pPr>
          </w:p>
        </w:tc>
        <w:tc>
          <w:tcPr>
            <w:tcW w:w="836" w:type="pct"/>
          </w:tcPr>
          <w:p w14:paraId="1E97A975" w14:textId="77777777" w:rsidR="00AC6058" w:rsidRPr="00D14E7E" w:rsidRDefault="00AC6058" w:rsidP="00DE4FC5">
            <w:pPr>
              <w:pStyle w:val="Normal-table"/>
              <w:cnfStyle w:val="100000000000" w:firstRow="1" w:lastRow="0" w:firstColumn="0" w:lastColumn="0" w:oddVBand="0" w:evenVBand="0" w:oddHBand="0" w:evenHBand="0" w:firstRowFirstColumn="0" w:firstRowLastColumn="0" w:lastRowFirstColumn="0" w:lastRowLastColumn="0"/>
            </w:pPr>
            <w:r>
              <w:t>2022–23</w:t>
            </w:r>
          </w:p>
        </w:tc>
        <w:tc>
          <w:tcPr>
            <w:cnfStyle w:val="000010000000" w:firstRow="0" w:lastRow="0" w:firstColumn="0" w:lastColumn="0" w:oddVBand="1" w:evenVBand="0" w:oddHBand="0" w:evenHBand="0" w:firstRowFirstColumn="0" w:firstRowLastColumn="0" w:lastRowFirstColumn="0" w:lastRowLastColumn="0"/>
            <w:tcW w:w="836" w:type="pct"/>
          </w:tcPr>
          <w:p w14:paraId="3B4CA5ED" w14:textId="77777777" w:rsidR="00AC6058" w:rsidRPr="00D14E7E" w:rsidRDefault="00AC6058" w:rsidP="00DE4FC5">
            <w:pPr>
              <w:pStyle w:val="Normal-table"/>
            </w:pPr>
            <w:r>
              <w:t>2021–22</w:t>
            </w:r>
          </w:p>
        </w:tc>
        <w:tc>
          <w:tcPr>
            <w:tcW w:w="836" w:type="pct"/>
          </w:tcPr>
          <w:p w14:paraId="06864653" w14:textId="77777777" w:rsidR="00AC6058" w:rsidRPr="00D14E7E" w:rsidRDefault="00AC6058" w:rsidP="00DE4FC5">
            <w:pPr>
              <w:pStyle w:val="Normal-table"/>
              <w:cnfStyle w:val="100000000000" w:firstRow="1" w:lastRow="0" w:firstColumn="0" w:lastColumn="0" w:oddVBand="0" w:evenVBand="0" w:oddHBand="0" w:evenHBand="0" w:firstRowFirstColumn="0" w:firstRowLastColumn="0" w:lastRowFirstColumn="0" w:lastRowLastColumn="0"/>
            </w:pPr>
            <w:r>
              <w:t>2020–21</w:t>
            </w:r>
          </w:p>
        </w:tc>
        <w:tc>
          <w:tcPr>
            <w:cnfStyle w:val="000010000000" w:firstRow="0" w:lastRow="0" w:firstColumn="0" w:lastColumn="0" w:oddVBand="1" w:evenVBand="0" w:oddHBand="0" w:evenHBand="0" w:firstRowFirstColumn="0" w:firstRowLastColumn="0" w:lastRowFirstColumn="0" w:lastRowLastColumn="0"/>
            <w:tcW w:w="836" w:type="pct"/>
          </w:tcPr>
          <w:p w14:paraId="68448DBB" w14:textId="77777777" w:rsidR="00AC6058" w:rsidRPr="00D14E7E" w:rsidRDefault="00AC6058" w:rsidP="00DE4FC5">
            <w:pPr>
              <w:pStyle w:val="Normal-table"/>
            </w:pPr>
            <w:r>
              <w:t>2019–20</w:t>
            </w:r>
          </w:p>
        </w:tc>
        <w:tc>
          <w:tcPr>
            <w:tcW w:w="836" w:type="pct"/>
          </w:tcPr>
          <w:p w14:paraId="28FE25E3" w14:textId="77777777" w:rsidR="00AC6058" w:rsidRPr="00D14E7E" w:rsidRDefault="00AC6058" w:rsidP="00DE4FC5">
            <w:pPr>
              <w:pStyle w:val="Normal-table"/>
              <w:cnfStyle w:val="100000000000" w:firstRow="1" w:lastRow="0" w:firstColumn="0" w:lastColumn="0" w:oddVBand="0" w:evenVBand="0" w:oddHBand="0" w:evenHBand="0" w:firstRowFirstColumn="0" w:firstRowLastColumn="0" w:lastRowFirstColumn="0" w:lastRowLastColumn="0"/>
            </w:pPr>
            <w:r>
              <w:t>2018–19</w:t>
            </w:r>
          </w:p>
        </w:tc>
      </w:tr>
      <w:tr w:rsidR="00AC6058" w14:paraId="59167FA4" w14:textId="77777777" w:rsidTr="00AA259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22" w:type="pct"/>
          </w:tcPr>
          <w:p w14:paraId="597C9133" w14:textId="77777777" w:rsidR="00AC6058" w:rsidRPr="00D14E7E" w:rsidRDefault="00AC6058" w:rsidP="00DE4FC5">
            <w:pPr>
              <w:pStyle w:val="Normal-table"/>
            </w:pPr>
            <w:r>
              <w:t>Final FTW</w:t>
            </w:r>
          </w:p>
        </w:tc>
        <w:tc>
          <w:tcPr>
            <w:tcW w:w="836" w:type="pct"/>
          </w:tcPr>
          <w:p w14:paraId="1ADB3AF4" w14:textId="77777777" w:rsidR="00AC6058" w:rsidRPr="00D14E7E" w:rsidRDefault="00AC6058" w:rsidP="00DE4FC5">
            <w:pPr>
              <w:pStyle w:val="Normal-table"/>
              <w:cnfStyle w:val="000000100000" w:firstRow="0" w:lastRow="0" w:firstColumn="0" w:lastColumn="0" w:oddVBand="0" w:evenVBand="0" w:oddHBand="1" w:evenHBand="0" w:firstRowFirstColumn="0" w:firstRowLastColumn="0" w:lastRowFirstColumn="0" w:lastRowLastColumn="0"/>
            </w:pPr>
            <w:r>
              <w:t>97.00%</w:t>
            </w:r>
          </w:p>
        </w:tc>
        <w:tc>
          <w:tcPr>
            <w:cnfStyle w:val="000010000000" w:firstRow="0" w:lastRow="0" w:firstColumn="0" w:lastColumn="0" w:oddVBand="1" w:evenVBand="0" w:oddHBand="0" w:evenHBand="0" w:firstRowFirstColumn="0" w:firstRowLastColumn="0" w:lastRowFirstColumn="0" w:lastRowLastColumn="0"/>
            <w:tcW w:w="836" w:type="pct"/>
          </w:tcPr>
          <w:p w14:paraId="67716BEB" w14:textId="77777777" w:rsidR="00AC6058" w:rsidRPr="00D14E7E" w:rsidRDefault="00AC6058" w:rsidP="00DE4FC5">
            <w:pPr>
              <w:pStyle w:val="Normal-table"/>
            </w:pPr>
            <w:r>
              <w:t>94.00%</w:t>
            </w:r>
          </w:p>
        </w:tc>
        <w:tc>
          <w:tcPr>
            <w:tcW w:w="836" w:type="pct"/>
          </w:tcPr>
          <w:p w14:paraId="054608F1" w14:textId="77777777" w:rsidR="00AC6058" w:rsidRPr="00D14E7E" w:rsidRDefault="00AC6058" w:rsidP="00DE4FC5">
            <w:pPr>
              <w:pStyle w:val="Normal-table"/>
              <w:cnfStyle w:val="000000100000" w:firstRow="0" w:lastRow="0" w:firstColumn="0" w:lastColumn="0" w:oddVBand="0" w:evenVBand="0" w:oddHBand="1" w:evenHBand="0" w:firstRowFirstColumn="0" w:firstRowLastColumn="0" w:lastRowFirstColumn="0" w:lastRowLastColumn="0"/>
            </w:pPr>
            <w:r>
              <w:t>95.25%</w:t>
            </w:r>
          </w:p>
        </w:tc>
        <w:tc>
          <w:tcPr>
            <w:cnfStyle w:val="000010000000" w:firstRow="0" w:lastRow="0" w:firstColumn="0" w:lastColumn="0" w:oddVBand="1" w:evenVBand="0" w:oddHBand="0" w:evenHBand="0" w:firstRowFirstColumn="0" w:firstRowLastColumn="0" w:lastRowFirstColumn="0" w:lastRowLastColumn="0"/>
            <w:tcW w:w="836" w:type="pct"/>
          </w:tcPr>
          <w:p w14:paraId="6AD1AE9C" w14:textId="77777777" w:rsidR="00AC6058" w:rsidRPr="00D14E7E" w:rsidRDefault="00AC6058" w:rsidP="00DE4FC5">
            <w:pPr>
              <w:pStyle w:val="Normal-table"/>
            </w:pPr>
            <w:r>
              <w:t>99.00%</w:t>
            </w:r>
          </w:p>
        </w:tc>
        <w:tc>
          <w:tcPr>
            <w:tcW w:w="836" w:type="pct"/>
          </w:tcPr>
          <w:p w14:paraId="09248532" w14:textId="77777777" w:rsidR="00AC6058" w:rsidRPr="00D14E7E" w:rsidRDefault="00AC6058" w:rsidP="00DE4FC5">
            <w:pPr>
              <w:pStyle w:val="Normal-table"/>
              <w:cnfStyle w:val="000000100000" w:firstRow="0" w:lastRow="0" w:firstColumn="0" w:lastColumn="0" w:oddVBand="0" w:evenVBand="0" w:oddHBand="1" w:evenHBand="0" w:firstRowFirstColumn="0" w:firstRowLastColumn="0" w:lastRowFirstColumn="0" w:lastRowLastColumn="0"/>
            </w:pPr>
            <w:r>
              <w:t>96.00%</w:t>
            </w:r>
          </w:p>
        </w:tc>
      </w:tr>
    </w:tbl>
    <w:p w14:paraId="4F2BA46C" w14:textId="77777777" w:rsidR="00AC6058" w:rsidRDefault="00AC6058" w:rsidP="00AC6058">
      <w:pPr>
        <w:pStyle w:val="Caption"/>
      </w:pPr>
      <w:r>
        <w:t>Data source: WorkCover Queensland – Online services for employers.</w:t>
      </w:r>
    </w:p>
    <w:p w14:paraId="584FA803" w14:textId="77777777" w:rsidR="00AC6058" w:rsidRDefault="00AC6058" w:rsidP="00AC6058">
      <w:pPr>
        <w:pStyle w:val="Caption"/>
      </w:pPr>
      <w:r>
        <w:t>Note: Figures are subject to revision as more information becomes available.</w:t>
      </w:r>
    </w:p>
    <w:p w14:paraId="02ED60B2" w14:textId="77777777" w:rsidR="00AC6058" w:rsidRPr="00C13697" w:rsidRDefault="00AC6058" w:rsidP="00AC6058">
      <w:pPr>
        <w:pStyle w:val="Caption"/>
      </w:pPr>
      <w:r w:rsidRPr="00C13697">
        <w:t>Please note: The WorkCover information for QGCDG and CAA employees is not included as they are not on the TMR workers’ compensation policy at this time</w:t>
      </w:r>
    </w:p>
    <w:p w14:paraId="67A34BD4" w14:textId="77777777" w:rsidR="00AC6058" w:rsidRPr="00DC1A33" w:rsidRDefault="00AC6058" w:rsidP="00AC6058">
      <w:pPr>
        <w:pStyle w:val="Heading3"/>
      </w:pPr>
      <w:r>
        <w:t>Creating a safe and healthy workspace for staff and customers</w:t>
      </w:r>
    </w:p>
    <w:p w14:paraId="7EA0E293" w14:textId="77777777" w:rsidR="00AC6058" w:rsidRDefault="00AC6058" w:rsidP="00AC6058">
      <w:r w:rsidRPr="00E30A28">
        <w:t>T</w:t>
      </w:r>
      <w:r>
        <w:t xml:space="preserve">MR </w:t>
      </w:r>
      <w:r w:rsidRPr="00E30A28">
        <w:t xml:space="preserve">has made significant efforts to ensure the safety and well-being of its frontline employees, who sometimes face challenging situations while dealing with customers. </w:t>
      </w:r>
    </w:p>
    <w:p w14:paraId="7D211B15" w14:textId="77777777" w:rsidR="00AC6058" w:rsidRPr="00E30A28" w:rsidRDefault="00AC6058" w:rsidP="00AC6058">
      <w:r w:rsidRPr="00E30A28">
        <w:t>While most customers are respectful, instances of customer misbehavio</w:t>
      </w:r>
      <w:r>
        <w:t>u</w:t>
      </w:r>
      <w:r w:rsidRPr="00E30A28">
        <w:t>r can have physical, psychological, and social impacts on employees.</w:t>
      </w:r>
    </w:p>
    <w:p w14:paraId="7A18F43B" w14:textId="77777777" w:rsidR="00AC6058" w:rsidRPr="00E30A28" w:rsidRDefault="00AC6058" w:rsidP="00AC6058">
      <w:r w:rsidRPr="00E30A28">
        <w:t>Recogn</w:t>
      </w:r>
      <w:r>
        <w:t>is</w:t>
      </w:r>
      <w:r w:rsidRPr="00E30A28">
        <w:t xml:space="preserve">ing the importance of addressing this issue, </w:t>
      </w:r>
      <w:r>
        <w:t>TMR</w:t>
      </w:r>
      <w:r w:rsidRPr="00E30A28">
        <w:t xml:space="preserve"> has partnered with Griffith University to design and deliver Customer Misbehavior Intervention training. This training is designed to equip frontline employees with the necessary skills and strategies to effectively respond to instances of customer misbehavior, reduce the intensity of such incidents and assist employees to manage their emotional response, minimi</w:t>
      </w:r>
      <w:r>
        <w:t>s</w:t>
      </w:r>
      <w:r w:rsidRPr="00E30A28">
        <w:t>ing personal, team</w:t>
      </w:r>
      <w:r>
        <w:t>, and</w:t>
      </w:r>
      <w:r w:rsidRPr="00E30A28">
        <w:t xml:space="preserve"> organi</w:t>
      </w:r>
      <w:r>
        <w:t>s</w:t>
      </w:r>
      <w:r w:rsidRPr="00E30A28">
        <w:t>ational impacts.</w:t>
      </w:r>
    </w:p>
    <w:p w14:paraId="2A5E6229" w14:textId="77777777" w:rsidR="00AC6058" w:rsidRPr="00E30A28" w:rsidRDefault="00AC6058" w:rsidP="00AC6058">
      <w:r w:rsidRPr="00E30A28">
        <w:t xml:space="preserve">In 2022, over 600 frontline employees who handle customer interactions in person underwent this training, </w:t>
      </w:r>
      <w:r>
        <w:t>with an additional</w:t>
      </w:r>
      <w:r w:rsidRPr="00E30A28">
        <w:t xml:space="preserve"> 120 undergo</w:t>
      </w:r>
      <w:r>
        <w:t>ing</w:t>
      </w:r>
      <w:r w:rsidRPr="00E30A28">
        <w:t xml:space="preserve"> the training in 2023. Additionally, 200 employees who handle interactions over the phone also receive</w:t>
      </w:r>
      <w:r>
        <w:t>d</w:t>
      </w:r>
      <w:r w:rsidRPr="00E30A28">
        <w:t xml:space="preserve"> this training.</w:t>
      </w:r>
    </w:p>
    <w:p w14:paraId="01E899F0" w14:textId="77777777" w:rsidR="00AC6058" w:rsidRDefault="00AC6058" w:rsidP="00AC6058">
      <w:r w:rsidRPr="00E30A28">
        <w:t>The training aims to enhance the capability of managers and supervisors in supporting employees who respond to instances of customer misbehavio</w:t>
      </w:r>
      <w:r>
        <w:t>u</w:t>
      </w:r>
      <w:r w:rsidRPr="00E30A28">
        <w:t xml:space="preserve">r, thereby creating a safe and supportive work environment for all employees. </w:t>
      </w:r>
    </w:p>
    <w:p w14:paraId="536633E6" w14:textId="77777777" w:rsidR="00AC6058" w:rsidRPr="00E30A28" w:rsidRDefault="00AC6058" w:rsidP="00AC6058">
      <w:r>
        <w:t>It is ex</w:t>
      </w:r>
      <w:r w:rsidRPr="00E30A28">
        <w:t>pect</w:t>
      </w:r>
      <w:r>
        <w:t>ed</w:t>
      </w:r>
      <w:r w:rsidRPr="00E30A28">
        <w:t xml:space="preserve"> that this training will have a positive impact on employee well-being and job satisfaction, which in turn will translate into better customer service outcomes.</w:t>
      </w:r>
    </w:p>
    <w:p w14:paraId="12E1E2BD" w14:textId="77777777" w:rsidR="00AC6058" w:rsidRPr="004E7488" w:rsidRDefault="00AC6058" w:rsidP="00AC6058">
      <w:r w:rsidRPr="00E30A28">
        <w:t xml:space="preserve">Through this proactive initiative, </w:t>
      </w:r>
      <w:r>
        <w:t xml:space="preserve">TMR </w:t>
      </w:r>
      <w:r w:rsidRPr="00E30A28">
        <w:t>demonstrates its commitment to ensuring the safety and well-being of its employees, even in challenging situations.</w:t>
      </w:r>
    </w:p>
    <w:p w14:paraId="24DEE8E3" w14:textId="77777777" w:rsidR="00C6602D" w:rsidRDefault="00C6602D">
      <w:pPr>
        <w:spacing w:before="0" w:after="160" w:line="259" w:lineRule="auto"/>
        <w:rPr>
          <w:rFonts w:eastAsiaTheme="majorEastAsia" w:cstheme="majorBidi"/>
          <w:color w:val="000000" w:themeColor="text1"/>
          <w:sz w:val="48"/>
          <w:szCs w:val="26"/>
        </w:rPr>
      </w:pPr>
      <w:r>
        <w:br w:type="page"/>
      </w:r>
    </w:p>
    <w:p w14:paraId="7EC43184" w14:textId="787E6B14" w:rsidR="00AC6058" w:rsidRDefault="00AC6058" w:rsidP="00AC6058">
      <w:pPr>
        <w:pStyle w:val="Heading2"/>
      </w:pPr>
      <w:r w:rsidRPr="00417791">
        <w:lastRenderedPageBreak/>
        <w:t>Safety</w:t>
      </w:r>
      <w:r w:rsidRPr="00EB3013">
        <w:t xml:space="preserve"> of our staff</w:t>
      </w:r>
    </w:p>
    <w:p w14:paraId="47AC9262" w14:textId="77777777" w:rsidR="00AC6058" w:rsidRPr="00610DA5" w:rsidRDefault="00AC6058" w:rsidP="00AC6058">
      <w:pPr>
        <w:pStyle w:val="Heading3"/>
      </w:pPr>
      <w:r w:rsidRPr="00EB3013">
        <w:t xml:space="preserve">Safety </w:t>
      </w:r>
      <w:r w:rsidRPr="00417791">
        <w:t>performance</w:t>
      </w:r>
      <w:r w:rsidRPr="00592328">
        <w:t xml:space="preserve">  </w:t>
      </w:r>
    </w:p>
    <w:p w14:paraId="42789623" w14:textId="77777777" w:rsidR="00AC6058" w:rsidRPr="00610DA5" w:rsidRDefault="00AC6058" w:rsidP="00AC6058">
      <w:bookmarkStart w:id="34" w:name="_Hlk130812306"/>
      <w:r w:rsidRPr="00610DA5">
        <w:t xml:space="preserve">Reporting on </w:t>
      </w:r>
      <w:r>
        <w:t>w</w:t>
      </w:r>
      <w:r w:rsidRPr="00610DA5">
        <w:t xml:space="preserve">orkplace </w:t>
      </w:r>
      <w:r>
        <w:t>h</w:t>
      </w:r>
      <w:r w:rsidRPr="00610DA5">
        <w:t xml:space="preserve">ealth and </w:t>
      </w:r>
      <w:r>
        <w:t>s</w:t>
      </w:r>
      <w:r w:rsidRPr="00610DA5">
        <w:t xml:space="preserve">afety </w:t>
      </w:r>
      <w:r>
        <w:t>demonstrates how</w:t>
      </w:r>
      <w:r w:rsidRPr="00610DA5">
        <w:t xml:space="preserve"> safety </w:t>
      </w:r>
      <w:r>
        <w:t xml:space="preserve">is </w:t>
      </w:r>
      <w:r w:rsidRPr="00610DA5">
        <w:t>manage</w:t>
      </w:r>
      <w:r>
        <w:t>d and where improvements are required.</w:t>
      </w:r>
      <w:r w:rsidRPr="00610DA5">
        <w:t xml:space="preserve"> This </w:t>
      </w:r>
      <w:r>
        <w:t>leads</w:t>
      </w:r>
      <w:r w:rsidRPr="00610DA5">
        <w:t xml:space="preserve"> to increase</w:t>
      </w:r>
      <w:r>
        <w:t>d</w:t>
      </w:r>
      <w:r w:rsidRPr="00610DA5">
        <w:t xml:space="preserve"> safety awareness within </w:t>
      </w:r>
      <w:r>
        <w:t>TMR</w:t>
      </w:r>
      <w:r w:rsidRPr="00610DA5">
        <w:t xml:space="preserve"> and contribute</w:t>
      </w:r>
      <w:r>
        <w:t>s</w:t>
      </w:r>
      <w:r w:rsidRPr="00610DA5">
        <w:t xml:space="preserve"> to improved safe work culture and health and safety</w:t>
      </w:r>
      <w:r>
        <w:t xml:space="preserve"> </w:t>
      </w:r>
      <w:r w:rsidRPr="00610DA5">
        <w:t>outcomes</w:t>
      </w:r>
      <w:r>
        <w:t>.</w:t>
      </w:r>
    </w:p>
    <w:p w14:paraId="2724A312" w14:textId="77777777" w:rsidR="00AC6058" w:rsidRPr="00610DA5" w:rsidRDefault="00AC6058" w:rsidP="00AC6058">
      <w:r w:rsidRPr="00610DA5">
        <w:t>In 2022–23, TMR recorded a total of 2</w:t>
      </w:r>
      <w:r>
        <w:t>516</w:t>
      </w:r>
      <w:r w:rsidRPr="00610DA5">
        <w:t xml:space="preserve"> incidents, which is an increase from the 2238 incidents reported for the previous </w:t>
      </w:r>
      <w:r>
        <w:t>financial year</w:t>
      </w:r>
      <w:r w:rsidRPr="00610DA5">
        <w:t>. Of the 2</w:t>
      </w:r>
      <w:r>
        <w:t xml:space="preserve">516 </w:t>
      </w:r>
      <w:r w:rsidRPr="00610DA5">
        <w:t>incidents reported for 2022</w:t>
      </w:r>
      <w:r>
        <w:t>–</w:t>
      </w:r>
      <w:r w:rsidRPr="00610DA5">
        <w:t xml:space="preserve">23, </w:t>
      </w:r>
      <w:r>
        <w:t>2050</w:t>
      </w:r>
      <w:r w:rsidRPr="00610DA5">
        <w:t xml:space="preserve"> were work related, </w:t>
      </w:r>
      <w:r>
        <w:t>466</w:t>
      </w:r>
      <w:r w:rsidRPr="00610DA5">
        <w:t xml:space="preserve"> were non</w:t>
      </w:r>
      <w:r>
        <w:t>-</w:t>
      </w:r>
      <w:r w:rsidRPr="00610DA5">
        <w:t xml:space="preserve">work related. </w:t>
      </w:r>
    </w:p>
    <w:p w14:paraId="4390A1A9" w14:textId="77777777" w:rsidR="00AC6058" w:rsidRDefault="00AC6058" w:rsidP="00AC6058">
      <w:r>
        <w:t>T</w:t>
      </w:r>
      <w:r w:rsidRPr="00610DA5">
        <w:t>here has been a steady increase in reporting of Principal Contractors incidents</w:t>
      </w:r>
      <w:r>
        <w:t xml:space="preserve">, </w:t>
      </w:r>
      <w:r w:rsidRPr="00610DA5">
        <w:t xml:space="preserve">due to an improved awareness from </w:t>
      </w:r>
      <w:r>
        <w:t>Principal Contractor</w:t>
      </w:r>
      <w:r w:rsidRPr="00610DA5">
        <w:t>s and within TMR. Reporting of incidents involving psychosocial hazards (customer aggression, mental health</w:t>
      </w:r>
      <w:r>
        <w:t xml:space="preserve"> and </w:t>
      </w:r>
      <w:r w:rsidRPr="00610DA5">
        <w:t>stress</w:t>
      </w:r>
      <w:r>
        <w:t>, and</w:t>
      </w:r>
      <w:r w:rsidRPr="00610DA5">
        <w:t xml:space="preserve"> assaults) have been on the increase since 2020</w:t>
      </w:r>
      <w:r>
        <w:t>,</w:t>
      </w:r>
      <w:r w:rsidRPr="00610DA5">
        <w:t xml:space="preserve"> however</w:t>
      </w:r>
      <w:r>
        <w:t>,</w:t>
      </w:r>
      <w:r w:rsidRPr="00610DA5">
        <w:t xml:space="preserve"> 2022–23</w:t>
      </w:r>
      <w:r>
        <w:t xml:space="preserve"> </w:t>
      </w:r>
      <w:r w:rsidRPr="00610DA5">
        <w:t xml:space="preserve">has seen a </w:t>
      </w:r>
      <w:r>
        <w:t xml:space="preserve">further </w:t>
      </w:r>
      <w:r w:rsidRPr="00610DA5">
        <w:t xml:space="preserve">increase. </w:t>
      </w:r>
    </w:p>
    <w:p w14:paraId="1E96AC1C" w14:textId="77777777" w:rsidR="00AC6058" w:rsidRPr="00610DA5" w:rsidRDefault="00AC6058" w:rsidP="00AC6058">
      <w:r w:rsidRPr="00610DA5">
        <w:t>The increase coincides with the improved awareness of psychosocial hazards in the workplace</w:t>
      </w:r>
      <w:r>
        <w:t xml:space="preserve"> </w:t>
      </w:r>
      <w:r w:rsidRPr="00610DA5">
        <w:t xml:space="preserve">as part of TMR's preparation for the commencement of the new </w:t>
      </w:r>
      <w:r w:rsidRPr="00F07FCD">
        <w:rPr>
          <w:rStyle w:val="Emphasis"/>
        </w:rPr>
        <w:t>Managing the risk of psychosocial hazards at work Code of Practice</w:t>
      </w:r>
      <w:r w:rsidRPr="00610DA5">
        <w:t>.   </w:t>
      </w:r>
    </w:p>
    <w:p w14:paraId="15556E3D" w14:textId="77777777" w:rsidR="00AC6058" w:rsidRDefault="00AC6058" w:rsidP="00AC6058">
      <w:r w:rsidRPr="00610DA5">
        <w:t xml:space="preserve">TMR is taking an active approach to enhance our </w:t>
      </w:r>
      <w:r>
        <w:t xml:space="preserve">prevention and </w:t>
      </w:r>
      <w:r w:rsidRPr="00610DA5">
        <w:t>management of incidents involving psychosocial hazards through identifying and managing work related factors, implementi</w:t>
      </w:r>
      <w:r>
        <w:t>ng</w:t>
      </w:r>
      <w:r w:rsidRPr="00610DA5">
        <w:t xml:space="preserve"> controls to manage hazards and reduce the risk of future incidents, support for impacted workers including early intervention programs and promoting health and wellbeing.  </w:t>
      </w:r>
    </w:p>
    <w:p w14:paraId="0972D941" w14:textId="77777777" w:rsidR="00AC6058" w:rsidRDefault="00AC6058" w:rsidP="00AC6058">
      <w:r>
        <w:t xml:space="preserve">For 2022–23, TMR recorded </w:t>
      </w:r>
      <w:r w:rsidRPr="00262BD6">
        <w:t xml:space="preserve">51 </w:t>
      </w:r>
      <w:r>
        <w:t>lost time injuries</w:t>
      </w:r>
      <w:r w:rsidRPr="00262BD6">
        <w:t>, which is less than the 65 recorded during the last financial year. There is also a decrease in the number of working days lost compared to last financial year. There has been 733 days lost in the financial year to date compared with 1381 last financial year.</w:t>
      </w:r>
    </w:p>
    <w:p w14:paraId="160543D8" w14:textId="77777777" w:rsidR="00AC6058" w:rsidRPr="00417791" w:rsidRDefault="00AC6058" w:rsidP="00AC6058">
      <w:bookmarkStart w:id="35" w:name="_Hlk130810614"/>
      <w:r w:rsidRPr="00417791">
        <w:t xml:space="preserve">TMR is developing a new WHS management system to </w:t>
      </w:r>
      <w:r>
        <w:t>enhance its safety reporting and capability. The new system, scheduled for release in October 2023 will</w:t>
      </w:r>
      <w:r w:rsidRPr="00417791">
        <w:t xml:space="preserve"> ensure that </w:t>
      </w:r>
      <w:r>
        <w:t>WHS events and processes</w:t>
      </w:r>
      <w:r w:rsidRPr="00417791">
        <w:t xml:space="preserve"> can </w:t>
      </w:r>
      <w:r>
        <w:t xml:space="preserve">be </w:t>
      </w:r>
      <w:r w:rsidRPr="00417791">
        <w:t>effectively report</w:t>
      </w:r>
      <w:r>
        <w:t>ed and</w:t>
      </w:r>
      <w:r w:rsidRPr="00417791">
        <w:t xml:space="preserve"> manage</w:t>
      </w:r>
      <w:r>
        <w:t>d and</w:t>
      </w:r>
      <w:r w:rsidRPr="00417791">
        <w:t xml:space="preserve"> </w:t>
      </w:r>
      <w:r>
        <w:t xml:space="preserve">provide improved safety performance </w:t>
      </w:r>
      <w:r w:rsidRPr="00417791">
        <w:t>report</w:t>
      </w:r>
      <w:r>
        <w:t xml:space="preserve"> for TMR</w:t>
      </w:r>
      <w:r w:rsidRPr="00417791">
        <w:t xml:space="preserve">. TMR is the lead agency for implementation of a </w:t>
      </w:r>
      <w:r>
        <w:t>w</w:t>
      </w:r>
      <w:r w:rsidRPr="00417791">
        <w:t>hole</w:t>
      </w:r>
      <w:r>
        <w:t>-</w:t>
      </w:r>
      <w:r w:rsidRPr="00417791">
        <w:t>of</w:t>
      </w:r>
      <w:r>
        <w:t>-g</w:t>
      </w:r>
      <w:r w:rsidRPr="00417791">
        <w:t>overnment solution that will deliver efficiency and cost savings for all agencies.</w:t>
      </w:r>
    </w:p>
    <w:p w14:paraId="630875E8" w14:textId="77777777" w:rsidR="00AC6058" w:rsidRPr="00417791" w:rsidRDefault="00AC6058" w:rsidP="00AC6058">
      <w:r>
        <w:t>System testing involving representatives of all TMR business areas will commence in</w:t>
      </w:r>
      <w:r w:rsidRPr="00417791">
        <w:t xml:space="preserve"> </w:t>
      </w:r>
      <w:r>
        <w:t xml:space="preserve">August </w:t>
      </w:r>
      <w:r w:rsidRPr="00417791">
        <w:t xml:space="preserve">2023, </w:t>
      </w:r>
      <w:r>
        <w:t>and the</w:t>
      </w:r>
      <w:r w:rsidRPr="00417791">
        <w:t xml:space="preserve"> release date </w:t>
      </w:r>
      <w:r>
        <w:t>for the new system is October</w:t>
      </w:r>
      <w:r w:rsidRPr="00417791">
        <w:t xml:space="preserve"> 2023.</w:t>
      </w:r>
      <w:bookmarkEnd w:id="34"/>
      <w:bookmarkEnd w:id="35"/>
    </w:p>
    <w:p w14:paraId="06D90FA4" w14:textId="77777777" w:rsidR="00C6602D" w:rsidRDefault="00C6602D">
      <w:pPr>
        <w:spacing w:before="0" w:after="160" w:line="259" w:lineRule="auto"/>
        <w:rPr>
          <w:rFonts w:eastAsiaTheme="majorEastAsia" w:cstheme="majorBidi"/>
          <w:b/>
          <w:color w:val="000000" w:themeColor="text1"/>
          <w:sz w:val="52"/>
          <w:szCs w:val="32"/>
        </w:rPr>
      </w:pPr>
      <w:r>
        <w:br w:type="page"/>
      </w:r>
    </w:p>
    <w:p w14:paraId="4754214F" w14:textId="16990171" w:rsidR="007504B6" w:rsidRDefault="007504B6" w:rsidP="00AA259F">
      <w:pPr>
        <w:pStyle w:val="Heading1"/>
      </w:pPr>
      <w:r>
        <w:lastRenderedPageBreak/>
        <w:t>Our organisation</w:t>
      </w:r>
    </w:p>
    <w:p w14:paraId="018EA7D9" w14:textId="77777777" w:rsidR="007504B6" w:rsidRDefault="007504B6" w:rsidP="007504B6">
      <w:pPr>
        <w:pStyle w:val="Heading2"/>
      </w:pPr>
      <w:r>
        <w:t>Highlights</w:t>
      </w:r>
    </w:p>
    <w:p w14:paraId="58C9E2A2" w14:textId="77777777" w:rsidR="007504B6" w:rsidRPr="00B52E39" w:rsidRDefault="007504B6" w:rsidP="007504B6">
      <w:pPr>
        <w:pStyle w:val="ListBullet"/>
      </w:pPr>
      <w:r w:rsidRPr="00A775CF">
        <w:t xml:space="preserve">Following machinery-of-government changes in May 2023, </w:t>
      </w:r>
      <w:r>
        <w:t>TMR</w:t>
      </w:r>
      <w:r w:rsidRPr="00A775CF">
        <w:t xml:space="preserve"> </w:t>
      </w:r>
      <w:r>
        <w:t>welcomed</w:t>
      </w:r>
      <w:r w:rsidRPr="00A775CF">
        <w:t xml:space="preserve"> of the Queensland Government Customer and Digital Group to </w:t>
      </w:r>
      <w:r>
        <w:t>TMR</w:t>
      </w:r>
      <w:r w:rsidRPr="00A775CF">
        <w:t>.</w:t>
      </w:r>
    </w:p>
    <w:p w14:paraId="54084089" w14:textId="77777777" w:rsidR="007504B6" w:rsidRPr="00B52E39" w:rsidRDefault="007504B6" w:rsidP="007504B6">
      <w:pPr>
        <w:pStyle w:val="ListBullet"/>
      </w:pPr>
      <w:r w:rsidRPr="00B52E39">
        <w:t>Developed and delivered an annual plan of internal audits covering assurance and improving the effectiveness of controls, systems, project management, operations. and risk management.</w:t>
      </w:r>
    </w:p>
    <w:p w14:paraId="5BA0AB59" w14:textId="77777777" w:rsidR="007504B6" w:rsidRPr="00B52E39" w:rsidRDefault="007504B6" w:rsidP="007504B6">
      <w:pPr>
        <w:pStyle w:val="ListBullet"/>
      </w:pPr>
      <w:r w:rsidRPr="00B52E39">
        <w:t xml:space="preserve">Incorporated training products and awareness campaigns relating to </w:t>
      </w:r>
      <w:r>
        <w:t>cu</w:t>
      </w:r>
      <w:r w:rsidRPr="00B52E39">
        <w:t xml:space="preserve">stomer </w:t>
      </w:r>
      <w:r>
        <w:t>c</w:t>
      </w:r>
      <w:r w:rsidRPr="00B52E39">
        <w:t xml:space="preserve">omplaints handling including a focus </w:t>
      </w:r>
      <w:r>
        <w:t>or</w:t>
      </w:r>
      <w:r w:rsidRPr="00B52E39">
        <w:t xml:space="preserve"> instruction on human rights to reinforce the objectives of the </w:t>
      </w:r>
      <w:r w:rsidRPr="00E912B7">
        <w:rPr>
          <w:rStyle w:val="Emphasis"/>
        </w:rPr>
        <w:t>Human Rights Act 2019</w:t>
      </w:r>
      <w:r w:rsidRPr="00B52E39">
        <w:t>.</w:t>
      </w:r>
    </w:p>
    <w:p w14:paraId="3DDA5E88" w14:textId="77777777" w:rsidR="007504B6" w:rsidRPr="00B52E39" w:rsidRDefault="007504B6" w:rsidP="007504B6">
      <w:pPr>
        <w:pStyle w:val="ListBullet"/>
      </w:pPr>
      <w:r w:rsidRPr="00B52E39">
        <w:t xml:space="preserve">To deliver </w:t>
      </w:r>
      <w:r>
        <w:t>TMR's</w:t>
      </w:r>
      <w:r w:rsidRPr="00B52E39">
        <w:t xml:space="preserve"> $9.86 billion program in 2022–23, TMR leveraged the Queensland Procurement Policy and Queensland Indigenous Procurement Policy to incorporate a range of local, social, and innovative procurement objectives that create opportunities for local, regional, and statewide suppliers.</w:t>
      </w:r>
    </w:p>
    <w:p w14:paraId="7D696224" w14:textId="77777777" w:rsidR="007504B6" w:rsidRPr="00B52E39" w:rsidRDefault="007504B6" w:rsidP="007504B6">
      <w:pPr>
        <w:pStyle w:val="ListBullet"/>
      </w:pPr>
      <w:r w:rsidRPr="00B52E39">
        <w:t>Undertook a comprehensive review and update of the Risk Management Framework, Risk Management Policy, Risk Management Guide, Risk Assessment and Rating Matrix and other risk tools to promote a consistent risk management approach across all business areas in TMR.</w:t>
      </w:r>
    </w:p>
    <w:p w14:paraId="4EE6FE02" w14:textId="77777777" w:rsidR="007504B6" w:rsidRPr="00B52E39" w:rsidRDefault="007504B6" w:rsidP="007504B6">
      <w:pPr>
        <w:pStyle w:val="ListBullet"/>
      </w:pPr>
      <w:r w:rsidRPr="00B52E39">
        <w:t xml:space="preserve">Released an update to the Data and Analytics Strategy 2023–2026, outlining steps </w:t>
      </w:r>
      <w:r>
        <w:t xml:space="preserve">to </w:t>
      </w:r>
      <w:r w:rsidRPr="00B52E39">
        <w:t>improve data and analytics capabilities and develop an ecosystem that informs an integrated, accessible transport network.</w:t>
      </w:r>
    </w:p>
    <w:p w14:paraId="0EAB612E" w14:textId="77777777" w:rsidR="007504B6" w:rsidRPr="00B52E39" w:rsidRDefault="007504B6" w:rsidP="007504B6">
      <w:pPr>
        <w:pStyle w:val="ListBullet"/>
      </w:pPr>
      <w:r>
        <w:t>C</w:t>
      </w:r>
      <w:r w:rsidRPr="00B52E39">
        <w:t>ontinued to improve guidelines, policies, and procedures to support the effective management of personal information, to meet community expectations and compliance obligations.</w:t>
      </w:r>
    </w:p>
    <w:p w14:paraId="5FBBDC01" w14:textId="77777777" w:rsidR="007504B6" w:rsidRDefault="007504B6" w:rsidP="007504B6">
      <w:pPr>
        <w:pStyle w:val="ListBullet"/>
      </w:pPr>
      <w:r w:rsidRPr="00B52E39">
        <w:t>Assisted with Parliamentary inquiries into three infrastructure projects.</w:t>
      </w:r>
    </w:p>
    <w:p w14:paraId="44F3F857" w14:textId="77777777" w:rsidR="007504B6" w:rsidRDefault="007504B6" w:rsidP="007504B6">
      <w:pPr>
        <w:pStyle w:val="ListBullet"/>
      </w:pPr>
      <w:r>
        <w:t xml:space="preserve">Creation of a Statewide Network Operations branch. </w:t>
      </w:r>
    </w:p>
    <w:p w14:paraId="5E8B039C" w14:textId="77777777" w:rsidR="007504B6" w:rsidRDefault="007504B6" w:rsidP="007504B6">
      <w:pPr>
        <w:pStyle w:val="ListBullet"/>
      </w:pPr>
      <w:r>
        <w:t xml:space="preserve">Endorsed the development of a TMR Workplace Psychological Health Framework. </w:t>
      </w:r>
    </w:p>
    <w:p w14:paraId="161667FE" w14:textId="77777777" w:rsidR="007504B6" w:rsidRDefault="007504B6" w:rsidP="007504B6">
      <w:pPr>
        <w:pStyle w:val="ListBullet"/>
      </w:pPr>
      <w:r>
        <w:t xml:space="preserve">Endorsed the design and commencement of delivery of a training and development program associated with increasing capability for the management of workplace psychosocial hazards. </w:t>
      </w:r>
    </w:p>
    <w:p w14:paraId="74A03976" w14:textId="77777777" w:rsidR="007504B6" w:rsidRDefault="007504B6" w:rsidP="007504B6">
      <w:pPr>
        <w:pStyle w:val="ListBullet"/>
      </w:pPr>
      <w:r>
        <w:t xml:space="preserve">Awarded more than 90 per cent of contracts to Queensland suppliers and increased the number of First Nations' businesses engaged by 5.83 per cent. </w:t>
      </w:r>
    </w:p>
    <w:p w14:paraId="64B22810" w14:textId="0623F6FA" w:rsidR="007504B6" w:rsidRDefault="007504B6" w:rsidP="007504B6">
      <w:pPr>
        <w:pStyle w:val="ListBullet"/>
      </w:pPr>
      <w:r>
        <w:t>Awarded 2064 contracts to Queensland suppliers contributing $2.85 billion directly into the Queensland economy.</w:t>
      </w:r>
    </w:p>
    <w:p w14:paraId="21B7D238" w14:textId="77777777" w:rsidR="007504B6" w:rsidRDefault="007504B6" w:rsidP="007504B6">
      <w:pPr>
        <w:pStyle w:val="Heading2"/>
      </w:pPr>
      <w:r>
        <w:rPr>
          <w:noProof/>
        </w:rPr>
        <w:lastRenderedPageBreak/>
        <w:drawing>
          <wp:inline distT="0" distB="0" distL="0" distR="0" wp14:anchorId="4B282353" wp14:editId="10E23F39">
            <wp:extent cx="6638925" cy="9382125"/>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38925" cy="9382125"/>
                    </a:xfrm>
                    <a:prstGeom prst="rect">
                      <a:avLst/>
                    </a:prstGeom>
                    <a:noFill/>
                    <a:ln>
                      <a:noFill/>
                    </a:ln>
                  </pic:spPr>
                </pic:pic>
              </a:graphicData>
            </a:graphic>
          </wp:inline>
        </w:drawing>
      </w:r>
    </w:p>
    <w:p w14:paraId="2408711B" w14:textId="77777777" w:rsidR="007504B6" w:rsidRDefault="007504B6" w:rsidP="007504B6">
      <w:pPr>
        <w:pStyle w:val="Heading2"/>
        <w:rPr>
          <w:lang w:val="en-AU"/>
        </w:rPr>
      </w:pPr>
      <w:r>
        <w:lastRenderedPageBreak/>
        <w:t>Management Structure and ELT Bios</w:t>
      </w:r>
    </w:p>
    <w:p w14:paraId="466BC674" w14:textId="45202222" w:rsidR="007504B6" w:rsidRDefault="007504B6" w:rsidP="00AA259F">
      <w:pPr>
        <w:pStyle w:val="ListBullet"/>
      </w:pPr>
      <w:r w:rsidRPr="00774502">
        <w:rPr>
          <w:rStyle w:val="Strong"/>
        </w:rPr>
        <w:t>Transport and Main Roads</w:t>
      </w:r>
      <w:r>
        <w:t xml:space="preserve"> Sally Stannard</w:t>
      </w:r>
    </w:p>
    <w:p w14:paraId="2FA91E24" w14:textId="7CCA4704" w:rsidR="007504B6" w:rsidRDefault="007504B6" w:rsidP="00AA259F">
      <w:pPr>
        <w:pStyle w:val="ListBullet2"/>
      </w:pPr>
      <w:r w:rsidRPr="00774502">
        <w:rPr>
          <w:rStyle w:val="Strong"/>
        </w:rPr>
        <w:t>Chief Operations Officer</w:t>
      </w:r>
      <w:r>
        <w:t xml:space="preserve"> Anne Moffat</w:t>
      </w:r>
    </w:p>
    <w:p w14:paraId="05F6284B" w14:textId="77136E65" w:rsidR="007504B6" w:rsidRDefault="007504B6" w:rsidP="00AA259F">
      <w:pPr>
        <w:pStyle w:val="ListBullet2"/>
      </w:pPr>
      <w:r w:rsidRPr="00774502">
        <w:rPr>
          <w:rStyle w:val="Strong"/>
        </w:rPr>
        <w:t xml:space="preserve">Policy, Planning and Investment </w:t>
      </w:r>
      <w:r>
        <w:t>Andrew Mahon</w:t>
      </w:r>
    </w:p>
    <w:p w14:paraId="4F747739" w14:textId="067B4284" w:rsidR="007504B6" w:rsidRDefault="007504B6" w:rsidP="00AA259F">
      <w:pPr>
        <w:pStyle w:val="ListBullet2"/>
      </w:pPr>
      <w:r w:rsidRPr="00774502">
        <w:rPr>
          <w:rStyle w:val="Strong"/>
        </w:rPr>
        <w:t>Infrastructure Management and Delivery</w:t>
      </w:r>
      <w:r w:rsidR="00916DF7">
        <w:rPr>
          <w:rStyle w:val="Strong"/>
        </w:rPr>
        <w:t xml:space="preserve"> </w:t>
      </w:r>
      <w:r>
        <w:t xml:space="preserve">Julie Mitchell </w:t>
      </w:r>
    </w:p>
    <w:p w14:paraId="420EA577" w14:textId="1CE92BEB" w:rsidR="007504B6" w:rsidRDefault="007504B6" w:rsidP="00AA259F">
      <w:pPr>
        <w:pStyle w:val="ListBullet2"/>
      </w:pPr>
      <w:r w:rsidRPr="00774502">
        <w:rPr>
          <w:rStyle w:val="Strong"/>
        </w:rPr>
        <w:t>Customer Services, Safety and Regulation</w:t>
      </w:r>
      <w:r w:rsidR="00916DF7">
        <w:rPr>
          <w:rStyle w:val="Strong"/>
        </w:rPr>
        <w:t xml:space="preserve"> </w:t>
      </w:r>
      <w:r>
        <w:t>Geoff Magoffin</w:t>
      </w:r>
    </w:p>
    <w:p w14:paraId="46EEA550" w14:textId="09590B03" w:rsidR="007504B6" w:rsidRDefault="007504B6" w:rsidP="00AA259F">
      <w:pPr>
        <w:pStyle w:val="ListBullet2"/>
      </w:pPr>
      <w:r w:rsidRPr="00774502">
        <w:rPr>
          <w:rStyle w:val="Strong"/>
        </w:rPr>
        <w:t>Translink</w:t>
      </w:r>
      <w:r w:rsidR="00916DF7">
        <w:rPr>
          <w:rStyle w:val="Strong"/>
        </w:rPr>
        <w:t xml:space="preserve"> </w:t>
      </w:r>
      <w:r>
        <w:t>Peter Milward</w:t>
      </w:r>
    </w:p>
    <w:p w14:paraId="4C48DB28" w14:textId="38081A41" w:rsidR="007504B6" w:rsidRDefault="007504B6" w:rsidP="00AA259F">
      <w:pPr>
        <w:pStyle w:val="ListBullet2"/>
      </w:pPr>
      <w:r w:rsidRPr="00774502">
        <w:rPr>
          <w:rStyle w:val="Strong"/>
        </w:rPr>
        <w:t xml:space="preserve">Corporate </w:t>
      </w:r>
      <w:r>
        <w:t>Tracy O’Bryan</w:t>
      </w:r>
    </w:p>
    <w:p w14:paraId="53985A25" w14:textId="29E3F0E1" w:rsidR="007504B6" w:rsidRDefault="007504B6" w:rsidP="00AA259F">
      <w:pPr>
        <w:pStyle w:val="ListBullet2"/>
      </w:pPr>
      <w:r w:rsidRPr="00774502">
        <w:rPr>
          <w:rStyle w:val="Strong"/>
        </w:rPr>
        <w:t>Queensland Government Customer and Digital Group</w:t>
      </w:r>
      <w:r>
        <w:t xml:space="preserve"> Chris McLaren</w:t>
      </w:r>
    </w:p>
    <w:p w14:paraId="16C71F3A" w14:textId="2CD4F376" w:rsidR="007504B6" w:rsidRPr="00EA73C8" w:rsidRDefault="007504B6" w:rsidP="007504B6">
      <w:pPr>
        <w:pStyle w:val="Heading3"/>
        <w:rPr>
          <w:lang w:val="en-AU"/>
        </w:rPr>
      </w:pPr>
      <w:r w:rsidRPr="00EA73C8">
        <w:rPr>
          <w:lang w:val="en-AU"/>
        </w:rPr>
        <w:t>Neil Scales OBE</w:t>
      </w:r>
      <w:r w:rsidR="00AA259F">
        <w:rPr>
          <w:lang w:val="en-AU"/>
        </w:rPr>
        <w:t xml:space="preserve"> </w:t>
      </w:r>
      <w:r w:rsidRPr="00EA73C8">
        <w:rPr>
          <w:lang w:val="en-AU"/>
        </w:rPr>
        <w:t xml:space="preserve">Director-General (Transport and Main Roads) </w:t>
      </w:r>
    </w:p>
    <w:p w14:paraId="7005A91E" w14:textId="77777777" w:rsidR="007504B6" w:rsidRPr="00271072" w:rsidRDefault="007504B6" w:rsidP="007504B6">
      <w:pPr>
        <w:pStyle w:val="Caption"/>
      </w:pPr>
      <w:r w:rsidRPr="00271072">
        <w:t xml:space="preserve">ONC (Eng), HNC (EEng), BSc (Eng), C.Eng (UK), MSc (ContEng&amp;CompSys), DMS, MBA, FIEAust CPEng, EngExec, NER APEC Engineer Int PE (Aus), Hon FLJMU, FIMechE, FIET, FICE, FCIT, FILT, FRSA, FIRTE, FSOE, RPEQ, MAICD, VFF </w:t>
      </w:r>
    </w:p>
    <w:p w14:paraId="2435D4D1" w14:textId="77777777" w:rsidR="007504B6" w:rsidRPr="00EA73C8" w:rsidRDefault="007504B6" w:rsidP="007504B6">
      <w:pPr>
        <w:pStyle w:val="ListBullet"/>
        <w:rPr>
          <w:lang w:val="en-AU"/>
        </w:rPr>
      </w:pPr>
      <w:r w:rsidRPr="00EA73C8">
        <w:rPr>
          <w:lang w:val="en-AU"/>
        </w:rPr>
        <w:t xml:space="preserve">Appointed as Director-General January 2013 </w:t>
      </w:r>
      <w:r>
        <w:t>to 3 June 2023</w:t>
      </w:r>
    </w:p>
    <w:p w14:paraId="40322593" w14:textId="77777777" w:rsidR="007504B6" w:rsidRPr="00EA73C8" w:rsidRDefault="007504B6" w:rsidP="007504B6">
      <w:pPr>
        <w:pStyle w:val="ListBullet"/>
        <w:rPr>
          <w:lang w:val="en-AU"/>
        </w:rPr>
      </w:pPr>
      <w:r w:rsidRPr="00EA73C8">
        <w:rPr>
          <w:lang w:val="en-AU"/>
        </w:rPr>
        <w:t xml:space="preserve">Champion for Accessibility </w:t>
      </w:r>
    </w:p>
    <w:p w14:paraId="5ED85576" w14:textId="77777777" w:rsidR="007504B6" w:rsidRPr="00EA73C8" w:rsidRDefault="007504B6" w:rsidP="007504B6">
      <w:pPr>
        <w:pStyle w:val="ListBullet"/>
        <w:rPr>
          <w:lang w:val="en-AU"/>
        </w:rPr>
      </w:pPr>
      <w:r w:rsidRPr="00EA73C8">
        <w:rPr>
          <w:lang w:val="en-AU"/>
        </w:rPr>
        <w:t xml:space="preserve">Champion for Domestic and Family Violence Awareness </w:t>
      </w:r>
    </w:p>
    <w:p w14:paraId="2C5380A3" w14:textId="77777777" w:rsidR="007504B6" w:rsidRPr="00EA73C8" w:rsidRDefault="007504B6" w:rsidP="007504B6">
      <w:pPr>
        <w:pStyle w:val="ListBullet"/>
        <w:rPr>
          <w:lang w:val="en-AU"/>
        </w:rPr>
      </w:pPr>
      <w:r w:rsidRPr="00EA73C8">
        <w:rPr>
          <w:lang w:val="en-AU"/>
        </w:rPr>
        <w:t xml:space="preserve">Champion for Privacy </w:t>
      </w:r>
    </w:p>
    <w:p w14:paraId="1A7AAEDB" w14:textId="77777777" w:rsidR="007504B6" w:rsidRPr="00EA73C8" w:rsidRDefault="007504B6" w:rsidP="007504B6">
      <w:pPr>
        <w:pStyle w:val="ListBullet"/>
        <w:rPr>
          <w:lang w:val="en-AU"/>
        </w:rPr>
      </w:pPr>
      <w:r w:rsidRPr="00EA73C8">
        <w:rPr>
          <w:lang w:val="en-AU"/>
        </w:rPr>
        <w:t xml:space="preserve">Champion for Safety </w:t>
      </w:r>
    </w:p>
    <w:p w14:paraId="6F92BF87" w14:textId="77777777" w:rsidR="007504B6" w:rsidRPr="00EA73C8" w:rsidRDefault="007504B6" w:rsidP="007504B6">
      <w:pPr>
        <w:pStyle w:val="ListBullet"/>
        <w:rPr>
          <w:lang w:val="en-AU"/>
        </w:rPr>
      </w:pPr>
      <w:r w:rsidRPr="00EA73C8">
        <w:rPr>
          <w:lang w:val="en-AU"/>
        </w:rPr>
        <w:t xml:space="preserve">Government Champion for Woorabinda </w:t>
      </w:r>
    </w:p>
    <w:p w14:paraId="6BCA922E" w14:textId="77777777" w:rsidR="007504B6" w:rsidRPr="00D079E5" w:rsidRDefault="007504B6" w:rsidP="007504B6">
      <w:bookmarkStart w:id="36" w:name="_Hlk140751499"/>
      <w:r w:rsidRPr="00EA73C8">
        <w:rPr>
          <w:lang w:val="en-AU"/>
        </w:rPr>
        <w:t xml:space="preserve">Under the </w:t>
      </w:r>
      <w:r w:rsidRPr="00EA73C8">
        <w:rPr>
          <w:rStyle w:val="Emphasis"/>
          <w:lang w:val="en-AU"/>
        </w:rPr>
        <w:t>Financial Accountability Act 2009</w:t>
      </w:r>
      <w:r w:rsidRPr="00EA73C8">
        <w:rPr>
          <w:lang w:val="en-AU"/>
        </w:rPr>
        <w:t>, the</w:t>
      </w:r>
      <w:r>
        <w:br/>
      </w:r>
      <w:r w:rsidRPr="00EA73C8">
        <w:rPr>
          <w:lang w:val="en-AU"/>
        </w:rPr>
        <w:t>Director-General is accountable to the Minister for Transport and Main Roads</w:t>
      </w:r>
      <w:r>
        <w:t xml:space="preserve"> </w:t>
      </w:r>
      <w:r w:rsidRPr="00EA73C8">
        <w:rPr>
          <w:lang w:val="en-AU"/>
        </w:rPr>
        <w:t>and the Premier of Queensland for the efficient, effective</w:t>
      </w:r>
      <w:r>
        <w:t>,</w:t>
      </w:r>
      <w:r w:rsidRPr="00EA73C8">
        <w:rPr>
          <w:lang w:val="en-AU"/>
        </w:rPr>
        <w:t xml:space="preserve"> and financially responsible performance of the Department of Transport and Main Roads. He leads the department </w:t>
      </w:r>
      <w:r w:rsidRPr="00D079E5">
        <w:t>with an operating budget of more than $8.223 billion, capital budget of $4.704 billion and managed assets worth $106.719 billion.</w:t>
      </w:r>
    </w:p>
    <w:bookmarkEnd w:id="36"/>
    <w:p w14:paraId="5556DD87" w14:textId="77777777" w:rsidR="007504B6" w:rsidRPr="00EA73C8" w:rsidRDefault="007504B6" w:rsidP="007504B6">
      <w:pPr>
        <w:rPr>
          <w:lang w:val="en-AU"/>
        </w:rPr>
      </w:pPr>
      <w:r w:rsidRPr="00EA73C8">
        <w:rPr>
          <w:lang w:val="en-AU"/>
        </w:rPr>
        <w:t xml:space="preserve">Former positions: </w:t>
      </w:r>
    </w:p>
    <w:p w14:paraId="007D76C3" w14:textId="77777777" w:rsidR="007504B6" w:rsidRPr="00EA73C8" w:rsidRDefault="007504B6" w:rsidP="007504B6">
      <w:pPr>
        <w:pStyle w:val="ListBullet"/>
        <w:rPr>
          <w:lang w:val="en-AU"/>
        </w:rPr>
      </w:pPr>
      <w:r w:rsidRPr="00EA73C8">
        <w:rPr>
          <w:lang w:val="en-AU"/>
        </w:rPr>
        <w:t>Chief Executive Officer, Trans</w:t>
      </w:r>
      <w:r>
        <w:t>l</w:t>
      </w:r>
      <w:r w:rsidRPr="00EA73C8">
        <w:rPr>
          <w:lang w:val="en-AU"/>
        </w:rPr>
        <w:t xml:space="preserve">ink Transit Authority </w:t>
      </w:r>
    </w:p>
    <w:p w14:paraId="6841CDD6" w14:textId="77777777" w:rsidR="007504B6" w:rsidRPr="00EA73C8" w:rsidRDefault="007504B6" w:rsidP="007504B6">
      <w:pPr>
        <w:pStyle w:val="ListBullet"/>
        <w:rPr>
          <w:lang w:val="en-AU"/>
        </w:rPr>
      </w:pPr>
      <w:r w:rsidRPr="00EA73C8">
        <w:rPr>
          <w:lang w:val="en-AU"/>
        </w:rPr>
        <w:t xml:space="preserve">Chief Executive and Director-General, Merseytravel, United Kingdom </w:t>
      </w:r>
    </w:p>
    <w:p w14:paraId="3F827105" w14:textId="77777777" w:rsidR="007504B6" w:rsidRDefault="007504B6" w:rsidP="007504B6">
      <w:pPr>
        <w:rPr>
          <w:lang w:val="en-AU"/>
        </w:rPr>
      </w:pPr>
      <w:r w:rsidRPr="00EA73C8">
        <w:rPr>
          <w:lang w:val="en-AU"/>
        </w:rPr>
        <w:t xml:space="preserve">Along with </w:t>
      </w:r>
      <w:r>
        <w:t>more than</w:t>
      </w:r>
      <w:r w:rsidRPr="00EA73C8">
        <w:rPr>
          <w:lang w:val="en-AU"/>
        </w:rPr>
        <w:t xml:space="preserve"> 40 years’ experience in the transport industry, Neil received the Order of the British Empire for services to public transport in 2005 and in 2011 was awarded an honorary Fellowship from Liverpool John Moores University for his services to the region. Neil is a Vincent Fairfax Fellow after successfully completing a course in Ethical Leadership. In 2021, Neil was awarded the Roads Australia John Shaw Medal in recognition of his outstanding contribution to roads in Australia.</w:t>
      </w:r>
    </w:p>
    <w:p w14:paraId="0A36AFCD" w14:textId="4B29D6FC" w:rsidR="007504B6" w:rsidRPr="00667666" w:rsidRDefault="007504B6" w:rsidP="007504B6">
      <w:pPr>
        <w:pStyle w:val="Heading3"/>
      </w:pPr>
      <w:r w:rsidRPr="00667666">
        <w:t>Sally Stannard</w:t>
      </w:r>
      <w:r w:rsidR="00AA259F">
        <w:t xml:space="preserve"> </w:t>
      </w:r>
      <w:r w:rsidRPr="00667666">
        <w:t>Acting Director-General (Transport and Main Roads)</w:t>
      </w:r>
    </w:p>
    <w:p w14:paraId="6F02FCEC" w14:textId="77777777" w:rsidR="007504B6" w:rsidRPr="00667666" w:rsidRDefault="007504B6" w:rsidP="007504B6">
      <w:pPr>
        <w:pStyle w:val="Caption"/>
      </w:pPr>
      <w:r w:rsidRPr="00667666">
        <w:t>BE/BA Hons, Dip Eng Prac, GAICD</w:t>
      </w:r>
    </w:p>
    <w:p w14:paraId="60ADE570" w14:textId="77777777" w:rsidR="007504B6" w:rsidRPr="00667666" w:rsidRDefault="007504B6" w:rsidP="007504B6">
      <w:pPr>
        <w:pStyle w:val="ListBullet"/>
      </w:pPr>
      <w:r w:rsidRPr="00667666">
        <w:t>Appointed as Acting Director-General</w:t>
      </w:r>
      <w:r>
        <w:t xml:space="preserve"> from 4</w:t>
      </w:r>
      <w:r w:rsidRPr="00667666">
        <w:t xml:space="preserve"> June 2023 </w:t>
      </w:r>
    </w:p>
    <w:p w14:paraId="0A47F5B3" w14:textId="77777777" w:rsidR="007504B6" w:rsidRPr="00667666" w:rsidRDefault="007504B6" w:rsidP="007504B6">
      <w:pPr>
        <w:pStyle w:val="ListBullet"/>
      </w:pPr>
      <w:r w:rsidRPr="00667666">
        <w:t xml:space="preserve">Champion for Accessibility </w:t>
      </w:r>
    </w:p>
    <w:p w14:paraId="05A978BF" w14:textId="77777777" w:rsidR="007504B6" w:rsidRPr="00667666" w:rsidRDefault="007504B6" w:rsidP="007504B6">
      <w:pPr>
        <w:pStyle w:val="ListBullet"/>
      </w:pPr>
      <w:r w:rsidRPr="00667666">
        <w:t xml:space="preserve">Champion for Domestic and Family Violence Awareness </w:t>
      </w:r>
    </w:p>
    <w:p w14:paraId="5189EB03" w14:textId="77777777" w:rsidR="007504B6" w:rsidRPr="00667666" w:rsidRDefault="007504B6" w:rsidP="007504B6">
      <w:pPr>
        <w:pStyle w:val="ListBullet"/>
      </w:pPr>
      <w:r w:rsidRPr="00667666">
        <w:t xml:space="preserve">Champion for Privacy </w:t>
      </w:r>
    </w:p>
    <w:p w14:paraId="3309B1B3" w14:textId="77777777" w:rsidR="007504B6" w:rsidRDefault="007504B6" w:rsidP="007504B6">
      <w:pPr>
        <w:pStyle w:val="ListBullet"/>
      </w:pPr>
      <w:r w:rsidRPr="00667666">
        <w:t xml:space="preserve">Champion for Safety </w:t>
      </w:r>
    </w:p>
    <w:p w14:paraId="15F2F12D" w14:textId="77777777" w:rsidR="007504B6" w:rsidRPr="00667666" w:rsidRDefault="007504B6" w:rsidP="007504B6">
      <w:pPr>
        <w:pStyle w:val="ListBullet"/>
      </w:pPr>
      <w:r w:rsidRPr="00667666">
        <w:t>Government Champion for Woorabinda</w:t>
      </w:r>
    </w:p>
    <w:p w14:paraId="241B1A53" w14:textId="77777777" w:rsidR="007504B6" w:rsidRPr="00667666" w:rsidRDefault="007504B6" w:rsidP="007504B6">
      <w:r w:rsidRPr="00667666">
        <w:t xml:space="preserve">Under the </w:t>
      </w:r>
      <w:r w:rsidRPr="00667666">
        <w:rPr>
          <w:rStyle w:val="Emphasis"/>
        </w:rPr>
        <w:t>Financial Accountability Act 2009</w:t>
      </w:r>
      <w:r w:rsidRPr="00667666">
        <w:t>, the</w:t>
      </w:r>
      <w:r w:rsidRPr="00667666">
        <w:br/>
        <w:t>Director-General is accountable to the Minister for Transport and Main Roads and Digital Services and the Premier of Queensland for the efficient, effective</w:t>
      </w:r>
      <w:r>
        <w:t>,</w:t>
      </w:r>
      <w:r w:rsidRPr="00667666">
        <w:t xml:space="preserve"> and financially responsible performance of the Department of Transport and Main Roads. </w:t>
      </w:r>
    </w:p>
    <w:p w14:paraId="3ECDA6DD" w14:textId="77777777" w:rsidR="007504B6" w:rsidRPr="00667666" w:rsidRDefault="007504B6" w:rsidP="007504B6">
      <w:r w:rsidRPr="00667666">
        <w:lastRenderedPageBreak/>
        <w:t>As Acting Director-General, Sally leads the department with an operating budget of more than $8.223 billion, capital budget of $4.704 billion and managed assets worth $106.719 billion. She also leads TMR's portfolio of work across road, rail, bus, cycling</w:t>
      </w:r>
      <w:r>
        <w:t>,</w:t>
      </w:r>
      <w:r w:rsidRPr="00667666">
        <w:t xml:space="preserve"> and marine infrastructure in Queensland as well as the Queensland Government Customer and Digital Group. </w:t>
      </w:r>
    </w:p>
    <w:p w14:paraId="7287356A" w14:textId="77777777" w:rsidR="007504B6" w:rsidRPr="00667666" w:rsidRDefault="007504B6" w:rsidP="007504B6">
      <w:r w:rsidRPr="00667666">
        <w:t>Former positions:</w:t>
      </w:r>
    </w:p>
    <w:p w14:paraId="48190823" w14:textId="77777777" w:rsidR="007504B6" w:rsidRPr="00667666" w:rsidRDefault="007504B6" w:rsidP="007504B6">
      <w:pPr>
        <w:pStyle w:val="ListBullet"/>
      </w:pPr>
      <w:r w:rsidRPr="00667666">
        <w:t>Deputy Director-General (Translink)</w:t>
      </w:r>
    </w:p>
    <w:p w14:paraId="0359FE76" w14:textId="77777777" w:rsidR="007504B6" w:rsidRPr="00667666" w:rsidRDefault="007504B6" w:rsidP="007504B6">
      <w:pPr>
        <w:pStyle w:val="ListBullet"/>
      </w:pPr>
      <w:r w:rsidRPr="00667666">
        <w:t>Executive Director (Service Planning and Infrastructure)</w:t>
      </w:r>
    </w:p>
    <w:p w14:paraId="2E839CE1" w14:textId="77777777" w:rsidR="007504B6" w:rsidRPr="00667666" w:rsidRDefault="007504B6" w:rsidP="007504B6">
      <w:pPr>
        <w:pStyle w:val="ListBullet"/>
      </w:pPr>
      <w:r w:rsidRPr="00667666">
        <w:t>Director (Strategy and Planning)</w:t>
      </w:r>
    </w:p>
    <w:p w14:paraId="0A263D6E" w14:textId="77777777" w:rsidR="007504B6" w:rsidRPr="00252088" w:rsidRDefault="007504B6" w:rsidP="007504B6">
      <w:r w:rsidRPr="00252088">
        <w:t>In her previous role as Deputy Director-General (Translink), Sally led the delivery of customer-focused passenger transport services across Queensland including policy, planning, ticketing, contract management</w:t>
      </w:r>
      <w:r>
        <w:t>,</w:t>
      </w:r>
      <w:r w:rsidRPr="00252088">
        <w:t xml:space="preserve"> and customer services. </w:t>
      </w:r>
    </w:p>
    <w:p w14:paraId="780F68B1" w14:textId="655D8B6D" w:rsidR="007504B6" w:rsidRDefault="007504B6" w:rsidP="007504B6">
      <w:r w:rsidRPr="00667666">
        <w:t>Sally is the Chair of Cross River Rail and Chair of Public Transport Association Australia New Zealand.</w:t>
      </w:r>
    </w:p>
    <w:p w14:paraId="50BABED8" w14:textId="77777777" w:rsidR="00BC5219" w:rsidRPr="00667666" w:rsidRDefault="00BC5219" w:rsidP="007504B6"/>
    <w:p w14:paraId="136B6F2A" w14:textId="42784EBC" w:rsidR="007504B6" w:rsidRDefault="007504B6" w:rsidP="00AA259F">
      <w:pPr>
        <w:pStyle w:val="ListBullet"/>
      </w:pPr>
      <w:r w:rsidRPr="00A87BF2">
        <w:rPr>
          <w:rStyle w:val="Strong"/>
        </w:rPr>
        <w:t>Chief Operations Officer</w:t>
      </w:r>
      <w:r w:rsidR="00916DF7">
        <w:rPr>
          <w:rStyle w:val="Strong"/>
        </w:rPr>
        <w:t xml:space="preserve"> </w:t>
      </w:r>
      <w:r>
        <w:t>Ann Moffat</w:t>
      </w:r>
    </w:p>
    <w:p w14:paraId="1B9451AA" w14:textId="1C7157A5" w:rsidR="007504B6" w:rsidRDefault="007504B6" w:rsidP="007504B6">
      <w:pPr>
        <w:pStyle w:val="ListBullet2"/>
      </w:pPr>
      <w:r w:rsidRPr="00A87BF2">
        <w:rPr>
          <w:rStyle w:val="Strong"/>
        </w:rPr>
        <w:t>Accessible Transport Network</w:t>
      </w:r>
      <w:r>
        <w:t xml:space="preserve"> Kevin Cocks</w:t>
      </w:r>
    </w:p>
    <w:p w14:paraId="240DA21A" w14:textId="7077E9E9" w:rsidR="007504B6" w:rsidRDefault="007504B6" w:rsidP="007504B6">
      <w:pPr>
        <w:pStyle w:val="ListBullet2"/>
      </w:pPr>
      <w:r w:rsidRPr="00A87BF2">
        <w:rPr>
          <w:rStyle w:val="Strong"/>
        </w:rPr>
        <w:t>Mobility as a Service</w:t>
      </w:r>
      <w:r w:rsidR="00916DF7">
        <w:rPr>
          <w:rStyle w:val="Strong"/>
        </w:rPr>
        <w:t xml:space="preserve"> </w:t>
      </w:r>
      <w:r>
        <w:t>Melissa Perkins</w:t>
      </w:r>
    </w:p>
    <w:p w14:paraId="3A1093E4" w14:textId="4355941E" w:rsidR="007504B6" w:rsidRDefault="007504B6" w:rsidP="007504B6">
      <w:pPr>
        <w:pStyle w:val="ListBullet2"/>
      </w:pPr>
      <w:r w:rsidRPr="00A87BF2">
        <w:rPr>
          <w:rStyle w:val="Strong"/>
        </w:rPr>
        <w:t>Transport Network Security and Resilience</w:t>
      </w:r>
      <w:r>
        <w:t xml:space="preserve"> Don Bletchly</w:t>
      </w:r>
    </w:p>
    <w:p w14:paraId="74B1040F" w14:textId="5427BB26" w:rsidR="007504B6" w:rsidRPr="00B11CBE" w:rsidRDefault="007504B6" w:rsidP="007504B6">
      <w:pPr>
        <w:pStyle w:val="Heading3"/>
      </w:pPr>
      <w:r w:rsidRPr="001268ED">
        <w:t>Anne Moffat</w:t>
      </w:r>
      <w:r w:rsidR="00AA259F">
        <w:t xml:space="preserve"> </w:t>
      </w:r>
      <w:r w:rsidRPr="00B11CBE">
        <w:t>Chief Operations Officer</w:t>
      </w:r>
    </w:p>
    <w:p w14:paraId="45F5B36D" w14:textId="77777777" w:rsidR="007504B6" w:rsidRPr="00790C70" w:rsidRDefault="007504B6" w:rsidP="007504B6">
      <w:pPr>
        <w:pStyle w:val="Caption"/>
      </w:pPr>
      <w:r w:rsidRPr="00790C70">
        <w:t xml:space="preserve">BBus, FSBCQ, MAICD </w:t>
      </w:r>
    </w:p>
    <w:p w14:paraId="7DF13FB9" w14:textId="77777777" w:rsidR="007504B6" w:rsidRPr="00E41744" w:rsidRDefault="007504B6" w:rsidP="007504B6">
      <w:pPr>
        <w:pStyle w:val="ListBullet"/>
      </w:pPr>
      <w:r w:rsidRPr="00E41744">
        <w:t xml:space="preserve">Appointed as Chief Operations Officer in December 2018 </w:t>
      </w:r>
    </w:p>
    <w:p w14:paraId="2B26A853" w14:textId="77777777" w:rsidR="007504B6" w:rsidRPr="00E41744" w:rsidRDefault="007504B6" w:rsidP="007504B6">
      <w:pPr>
        <w:pStyle w:val="ListBullet"/>
      </w:pPr>
      <w:r w:rsidRPr="00E41744">
        <w:t xml:space="preserve">Champion for Gender Equity </w:t>
      </w:r>
    </w:p>
    <w:p w14:paraId="05144568" w14:textId="77777777" w:rsidR="007504B6" w:rsidRPr="00E41744" w:rsidRDefault="007504B6" w:rsidP="007504B6">
      <w:r w:rsidRPr="00E41744">
        <w:t xml:space="preserve">Anne supports the Director-General with the day-to-day operations of the department allowing the Director-General to focus on strategy, the government’s objectives, and key stakeholder relationships. </w:t>
      </w:r>
    </w:p>
    <w:p w14:paraId="75B764AB" w14:textId="77777777" w:rsidR="007504B6" w:rsidRPr="00E41744" w:rsidRDefault="007504B6" w:rsidP="007504B6">
      <w:r w:rsidRPr="00E41744">
        <w:t xml:space="preserve">Former positions: </w:t>
      </w:r>
    </w:p>
    <w:p w14:paraId="179DF5AD" w14:textId="77777777" w:rsidR="007504B6" w:rsidRPr="00E41744" w:rsidRDefault="007504B6" w:rsidP="007504B6">
      <w:pPr>
        <w:pStyle w:val="ListBullet"/>
      </w:pPr>
      <w:r w:rsidRPr="00E41744">
        <w:t xml:space="preserve">Project Director South East Queensland Asset Management (Infrastructure Management and Delivery) </w:t>
      </w:r>
    </w:p>
    <w:p w14:paraId="21E6A393" w14:textId="77777777" w:rsidR="007504B6" w:rsidRPr="00E41744" w:rsidRDefault="007504B6" w:rsidP="007504B6">
      <w:pPr>
        <w:pStyle w:val="ListBullet"/>
      </w:pPr>
      <w:r w:rsidRPr="00E41744">
        <w:t xml:space="preserve">Executive Director, State Services (Department of the Premier and Cabinet) </w:t>
      </w:r>
    </w:p>
    <w:p w14:paraId="281DFAF2" w14:textId="77777777" w:rsidR="007504B6" w:rsidRPr="00E41744" w:rsidRDefault="007504B6" w:rsidP="007504B6">
      <w:pPr>
        <w:pStyle w:val="ListBullet"/>
      </w:pPr>
      <w:r w:rsidRPr="00E41744">
        <w:t xml:space="preserve">Executive Director (Planning Management, Planning and Investment) </w:t>
      </w:r>
    </w:p>
    <w:p w14:paraId="2130E6C4" w14:textId="77777777" w:rsidR="007504B6" w:rsidRPr="00E41744" w:rsidRDefault="007504B6" w:rsidP="007504B6">
      <w:pPr>
        <w:pStyle w:val="ListBullet"/>
      </w:pPr>
      <w:r w:rsidRPr="00E41744">
        <w:t xml:space="preserve">Executive Director, Strategy and Policy (Passenger Transport) </w:t>
      </w:r>
    </w:p>
    <w:p w14:paraId="6C11A04D" w14:textId="2738540A" w:rsidR="007504B6" w:rsidRDefault="007504B6" w:rsidP="007504B6">
      <w:r w:rsidRPr="00E41744">
        <w:t>Anne has more than 20 years’ experience across both state and local government in Queensland. She has held a number of senior roles across the infrastructure programming and delivery areas, as well as urban and regional planning. She has delivered a number of large policy and engagement projects, plus reform agendas.</w:t>
      </w:r>
    </w:p>
    <w:p w14:paraId="36FCC8DE" w14:textId="77777777" w:rsidR="00BC5219" w:rsidRPr="00B11CBE" w:rsidRDefault="00BC5219" w:rsidP="007504B6"/>
    <w:p w14:paraId="53BE1A1D" w14:textId="609FD4EF" w:rsidR="007504B6" w:rsidRDefault="007504B6" w:rsidP="00AA259F">
      <w:pPr>
        <w:pStyle w:val="ListBullet"/>
      </w:pPr>
      <w:r w:rsidRPr="00F42B61">
        <w:rPr>
          <w:rStyle w:val="Strong"/>
        </w:rPr>
        <w:t>Policy, Planning and Investment</w:t>
      </w:r>
      <w:r>
        <w:t xml:space="preserve"> Andrew Mahon</w:t>
      </w:r>
    </w:p>
    <w:p w14:paraId="3EFC9DEE" w14:textId="3744E72B" w:rsidR="007504B6" w:rsidRDefault="007504B6" w:rsidP="007504B6">
      <w:pPr>
        <w:pStyle w:val="ListBullet2"/>
      </w:pPr>
      <w:r w:rsidRPr="00F42B61">
        <w:rPr>
          <w:rStyle w:val="Strong"/>
        </w:rPr>
        <w:t>Customer Experience</w:t>
      </w:r>
      <w:r>
        <w:t xml:space="preserve"> </w:t>
      </w:r>
      <w:r w:rsidR="00916DF7">
        <w:t xml:space="preserve"> </w:t>
      </w:r>
      <w:r>
        <w:t xml:space="preserve">Julie Salsbury </w:t>
      </w:r>
    </w:p>
    <w:p w14:paraId="7C4393AA" w14:textId="69651C3C" w:rsidR="007504B6" w:rsidRDefault="007504B6" w:rsidP="007504B6">
      <w:pPr>
        <w:pStyle w:val="ListBullet2"/>
      </w:pPr>
      <w:r w:rsidRPr="00F42B61">
        <w:rPr>
          <w:rStyle w:val="Strong"/>
        </w:rPr>
        <w:t xml:space="preserve">Transport Strategy and Planning </w:t>
      </w:r>
      <w:r>
        <w:t xml:space="preserve">Joshua Hannan </w:t>
      </w:r>
    </w:p>
    <w:p w14:paraId="4784E9A7" w14:textId="66F90BCD" w:rsidR="007504B6" w:rsidRDefault="007504B6" w:rsidP="007504B6">
      <w:pPr>
        <w:pStyle w:val="ListBullet2"/>
      </w:pPr>
      <w:r w:rsidRPr="00F42B61">
        <w:rPr>
          <w:rStyle w:val="Strong"/>
        </w:rPr>
        <w:t xml:space="preserve">Portfolio Investment and Programming </w:t>
      </w:r>
      <w:r>
        <w:t>Tony Philip</w:t>
      </w:r>
    </w:p>
    <w:p w14:paraId="5104801D" w14:textId="7B46A7C9" w:rsidR="007504B6" w:rsidRDefault="007504B6" w:rsidP="007504B6">
      <w:pPr>
        <w:pStyle w:val="ListBullet2"/>
      </w:pPr>
      <w:r w:rsidRPr="00F42B61">
        <w:rPr>
          <w:rStyle w:val="Strong"/>
        </w:rPr>
        <w:t>Transport Policy</w:t>
      </w:r>
      <w:r>
        <w:t xml:space="preserve"> Lucinda Hoffman</w:t>
      </w:r>
    </w:p>
    <w:p w14:paraId="6B2291D0" w14:textId="5770F66B" w:rsidR="007504B6" w:rsidRPr="00DC1A33" w:rsidRDefault="007504B6" w:rsidP="007504B6">
      <w:pPr>
        <w:pStyle w:val="Heading3"/>
      </w:pPr>
      <w:r>
        <w:t>Andrew Mahon</w:t>
      </w:r>
      <w:r w:rsidR="00AA259F">
        <w:t xml:space="preserve"> </w:t>
      </w:r>
      <w:r>
        <w:t xml:space="preserve">Deputy Director-General (Policy, Planning and Investment) </w:t>
      </w:r>
    </w:p>
    <w:p w14:paraId="2840D88B" w14:textId="77777777" w:rsidR="007504B6" w:rsidRPr="00A1465B" w:rsidRDefault="007504B6" w:rsidP="007504B6">
      <w:pPr>
        <w:pStyle w:val="Caption"/>
      </w:pPr>
      <w:r w:rsidRPr="00A1465B">
        <w:t>MPA, BJus, GAICD, PostGradDipPolicyAnalysis</w:t>
      </w:r>
    </w:p>
    <w:p w14:paraId="5AC00943" w14:textId="77777777" w:rsidR="007504B6" w:rsidRPr="0093524A" w:rsidRDefault="007504B6" w:rsidP="007504B6">
      <w:pPr>
        <w:pStyle w:val="ListBullet"/>
      </w:pPr>
      <w:r w:rsidRPr="0093524A">
        <w:t xml:space="preserve">Appointed as Deputy-Director General (Policy, Planning and Investment) October 2022 </w:t>
      </w:r>
    </w:p>
    <w:p w14:paraId="14303518" w14:textId="77777777" w:rsidR="007504B6" w:rsidRPr="0093524A" w:rsidRDefault="007504B6" w:rsidP="007504B6">
      <w:pPr>
        <w:pStyle w:val="ListBullet"/>
      </w:pPr>
      <w:r w:rsidRPr="0093524A">
        <w:lastRenderedPageBreak/>
        <w:t xml:space="preserve">Champion for Health and Wellbeing </w:t>
      </w:r>
    </w:p>
    <w:p w14:paraId="1871A6D3" w14:textId="77777777" w:rsidR="007504B6" w:rsidRPr="0093524A" w:rsidRDefault="007504B6" w:rsidP="007504B6">
      <w:r w:rsidRPr="0093524A">
        <w:t>Andrew leads a broad and strategic portfolio which creates the foundations for an integrated, multi-modal, state-wide transport system. He provides the principal source of advice to the Director-General and Minister for Transport and Main Roads on a broad range of major transport policy and planning issues as well as having a key role in the development of strategic linkages with other key agencies and industry. He has corporate responsibility for and oversees the investment direction and prioritisation of major business programs which form the $32.1</w:t>
      </w:r>
      <w:r>
        <w:t xml:space="preserve"> billion</w:t>
      </w:r>
      <w:r w:rsidRPr="0093524A">
        <w:t xml:space="preserve"> Queensland Transport Roads and Investment Program and provides key input into the Queensland Infrastructure Plan.</w:t>
      </w:r>
    </w:p>
    <w:p w14:paraId="5B199C9B" w14:textId="77777777" w:rsidR="007504B6" w:rsidRPr="0093524A" w:rsidRDefault="007504B6" w:rsidP="007504B6">
      <w:r w:rsidRPr="0093524A">
        <w:t xml:space="preserve">As Health and Wellbeing Champion, Andrew actively promotes wellbeing initiatives driven by our </w:t>
      </w:r>
      <w:r w:rsidRPr="00ED42EC">
        <w:rPr>
          <w:rStyle w:val="Emphasis"/>
        </w:rPr>
        <w:t>TMR Mental Health and Wellbeing Strategy 2022–2024</w:t>
      </w:r>
      <w:r w:rsidRPr="0093524A">
        <w:t>, along with active transport initiatives.</w:t>
      </w:r>
    </w:p>
    <w:p w14:paraId="0099C9BE" w14:textId="77777777" w:rsidR="007504B6" w:rsidRPr="0093524A" w:rsidRDefault="007504B6" w:rsidP="007504B6">
      <w:r w:rsidRPr="0093524A">
        <w:t>Andrew i</w:t>
      </w:r>
      <w:r>
        <w:t>s</w:t>
      </w:r>
      <w:r w:rsidRPr="0093524A">
        <w:t xml:space="preserve"> an experienced executive leader and public policy professional with a twenty-two year track record of delivery in strategic policy, regulation, customer service, contract management, legislative, policy</w:t>
      </w:r>
      <w:r>
        <w:t>,</w:t>
      </w:r>
      <w:r w:rsidRPr="0093524A">
        <w:t xml:space="preserve"> and consultative environments. Working across multiple disciplines including land transport safety, maritime safety, passenger transport, along with experience in multiple departments. </w:t>
      </w:r>
    </w:p>
    <w:p w14:paraId="26DD32ED" w14:textId="77777777" w:rsidR="007504B6" w:rsidRPr="00C50ED2" w:rsidRDefault="007504B6" w:rsidP="007504B6">
      <w:r w:rsidRPr="00C50ED2">
        <w:t>Former positions:</w:t>
      </w:r>
    </w:p>
    <w:p w14:paraId="0EF76AB8" w14:textId="77777777" w:rsidR="007504B6" w:rsidRPr="00C50ED2" w:rsidRDefault="007504B6" w:rsidP="007504B6">
      <w:pPr>
        <w:pStyle w:val="ListBullet"/>
      </w:pPr>
      <w:r w:rsidRPr="00C50ED2">
        <w:t>General Manager (Land Transport Safety and Regulation)</w:t>
      </w:r>
    </w:p>
    <w:p w14:paraId="44C5D1CC" w14:textId="75C45010" w:rsidR="007504B6" w:rsidRDefault="007504B6" w:rsidP="007504B6">
      <w:pPr>
        <w:pStyle w:val="ListBullet"/>
      </w:pPr>
      <w:r w:rsidRPr="00C50ED2">
        <w:t>A/General Manager (Maritime Safety Queensland)</w:t>
      </w:r>
    </w:p>
    <w:p w14:paraId="07406E14" w14:textId="1AB2C032" w:rsidR="00AA259F" w:rsidRDefault="00AA259F" w:rsidP="00AA259F">
      <w:pPr>
        <w:pStyle w:val="ListBullet"/>
        <w:numPr>
          <w:ilvl w:val="0"/>
          <w:numId w:val="0"/>
        </w:numPr>
        <w:ind w:left="284"/>
      </w:pPr>
    </w:p>
    <w:p w14:paraId="568405F2" w14:textId="77777777" w:rsidR="00BC5219" w:rsidRPr="00C50ED2" w:rsidRDefault="00BC5219" w:rsidP="00AA259F">
      <w:pPr>
        <w:pStyle w:val="ListBullet"/>
        <w:numPr>
          <w:ilvl w:val="0"/>
          <w:numId w:val="0"/>
        </w:numPr>
        <w:ind w:left="284"/>
      </w:pPr>
    </w:p>
    <w:p w14:paraId="66FCB276" w14:textId="77777777" w:rsidR="007504B6" w:rsidRDefault="007504B6" w:rsidP="00AA259F">
      <w:pPr>
        <w:pStyle w:val="ListBullet"/>
      </w:pPr>
      <w:r w:rsidRPr="001F4A83">
        <w:rPr>
          <w:rStyle w:val="Strong"/>
        </w:rPr>
        <w:t>Infrastructure Management and Delivery</w:t>
      </w:r>
      <w:r>
        <w:br/>
        <w:t xml:space="preserve">Julie Mitchell </w:t>
      </w:r>
    </w:p>
    <w:p w14:paraId="075746CA" w14:textId="3FC2D7C5" w:rsidR="007504B6" w:rsidRDefault="007504B6" w:rsidP="007504B6">
      <w:pPr>
        <w:pStyle w:val="ListBullet2"/>
      </w:pPr>
      <w:r w:rsidRPr="001F4A83">
        <w:rPr>
          <w:rStyle w:val="Strong"/>
        </w:rPr>
        <w:t>Engineering and Technology</w:t>
      </w:r>
      <w:r>
        <w:t xml:space="preserve"> Dennis Walsh</w:t>
      </w:r>
    </w:p>
    <w:p w14:paraId="3A4378C4" w14:textId="13BE4B90" w:rsidR="007504B6" w:rsidRDefault="007504B6" w:rsidP="007504B6">
      <w:pPr>
        <w:pStyle w:val="ListBullet2"/>
      </w:pPr>
      <w:r w:rsidRPr="001F4A83">
        <w:rPr>
          <w:rStyle w:val="Strong"/>
        </w:rPr>
        <w:t>Program Delivery and Operations</w:t>
      </w:r>
      <w:r w:rsidR="00916DF7">
        <w:rPr>
          <w:rStyle w:val="Strong"/>
        </w:rPr>
        <w:t xml:space="preserve"> </w:t>
      </w:r>
      <w:r>
        <w:t xml:space="preserve">Ann-Maree Knox </w:t>
      </w:r>
    </w:p>
    <w:p w14:paraId="497CD8AF" w14:textId="00190340" w:rsidR="007504B6" w:rsidRDefault="007504B6" w:rsidP="007504B6">
      <w:pPr>
        <w:pStyle w:val="ListBullet2"/>
      </w:pPr>
      <w:r w:rsidRPr="001F4A83">
        <w:rPr>
          <w:rStyle w:val="Strong"/>
        </w:rPr>
        <w:t>RoadTek</w:t>
      </w:r>
      <w:r w:rsidR="00916DF7">
        <w:rPr>
          <w:rStyle w:val="Strong"/>
        </w:rPr>
        <w:t xml:space="preserve"> </w:t>
      </w:r>
      <w:r>
        <w:t>Kym Murphy</w:t>
      </w:r>
    </w:p>
    <w:p w14:paraId="5591977A" w14:textId="06211064" w:rsidR="007504B6" w:rsidRDefault="007504B6" w:rsidP="007504B6">
      <w:pPr>
        <w:pStyle w:val="ListBullet2"/>
      </w:pPr>
      <w:r w:rsidRPr="001F4A83">
        <w:rPr>
          <w:rStyle w:val="Strong"/>
        </w:rPr>
        <w:t>Statewide Network Operations</w:t>
      </w:r>
      <w:r w:rsidR="00916DF7">
        <w:rPr>
          <w:rStyle w:val="Strong"/>
        </w:rPr>
        <w:t xml:space="preserve"> </w:t>
      </w:r>
      <w:r>
        <w:t>Vincent Doran</w:t>
      </w:r>
    </w:p>
    <w:p w14:paraId="6966DD7F" w14:textId="56B7C9D2" w:rsidR="007504B6" w:rsidRPr="00DC1A33" w:rsidRDefault="007504B6" w:rsidP="007504B6">
      <w:pPr>
        <w:pStyle w:val="Heading3"/>
      </w:pPr>
      <w:bookmarkStart w:id="37" w:name="_Hlk103607787"/>
      <w:r>
        <w:t>Julie Mitchell</w:t>
      </w:r>
      <w:r w:rsidR="00AA259F">
        <w:t xml:space="preserve"> </w:t>
      </w:r>
      <w:r>
        <w:t xml:space="preserve">Deputy </w:t>
      </w:r>
      <w:r w:rsidRPr="00E41744">
        <w:t>Director</w:t>
      </w:r>
      <w:r>
        <w:t>-General (Infrastructure Management and Delivery)</w:t>
      </w:r>
    </w:p>
    <w:bookmarkEnd w:id="37"/>
    <w:p w14:paraId="2A4C3551" w14:textId="77777777" w:rsidR="007504B6" w:rsidRPr="002018B5" w:rsidRDefault="007504B6" w:rsidP="007504B6">
      <w:pPr>
        <w:rPr>
          <w:rStyle w:val="Emphasis"/>
        </w:rPr>
      </w:pPr>
      <w:r w:rsidRPr="002018B5">
        <w:rPr>
          <w:rStyle w:val="Emphasis"/>
        </w:rPr>
        <w:t>BE, MBA, MEnvMan, FIEAust, RPEQ, GAICD, PSM </w:t>
      </w:r>
    </w:p>
    <w:p w14:paraId="48A638A5" w14:textId="77777777" w:rsidR="007504B6" w:rsidRDefault="007504B6" w:rsidP="007504B6">
      <w:pPr>
        <w:pStyle w:val="ListBullet"/>
      </w:pPr>
      <w:r>
        <w:t xml:space="preserve">Appointed as Deputy Direct-General (Infrastructure Management and Delivery) October 2022. </w:t>
      </w:r>
    </w:p>
    <w:p w14:paraId="2BD7F213" w14:textId="77777777" w:rsidR="007504B6" w:rsidRDefault="007504B6" w:rsidP="007504B6">
      <w:pPr>
        <w:pStyle w:val="ListBullet"/>
      </w:pPr>
      <w:r>
        <w:t xml:space="preserve">Champion for Innovation </w:t>
      </w:r>
    </w:p>
    <w:p w14:paraId="166E9E78" w14:textId="77777777" w:rsidR="007504B6" w:rsidRPr="00CC41C0" w:rsidRDefault="007504B6" w:rsidP="007504B6">
      <w:r w:rsidRPr="00CC41C0">
        <w:t>Julie manages the state-controlled road transport system in Queensland, and ensures the investment across road, public transport, active transport, and freight networks ($</w:t>
      </w:r>
      <w:r>
        <w:t>32</w:t>
      </w:r>
      <w:r w:rsidRPr="00CC41C0">
        <w:t>.</w:t>
      </w:r>
      <w:r>
        <w:t>1</w:t>
      </w:r>
      <w:r w:rsidRPr="00CC41C0">
        <w:t xml:space="preserve"> billion over four years) is delivered as part of a single integrated transport network. </w:t>
      </w:r>
    </w:p>
    <w:p w14:paraId="2CC213B9" w14:textId="77777777" w:rsidR="007504B6" w:rsidRPr="00CC41C0" w:rsidRDefault="007504B6" w:rsidP="007504B6">
      <w:r w:rsidRPr="00CC41C0">
        <w:t>Julie implements key strategies, policies</w:t>
      </w:r>
      <w:r>
        <w:t>,</w:t>
      </w:r>
      <w:r w:rsidRPr="00CC41C0">
        <w:t xml:space="preserve"> and plans for an integrated transport system that supports the safe and efficient movement of people and goods, while driving value for the community.</w:t>
      </w:r>
    </w:p>
    <w:p w14:paraId="2C7B678A" w14:textId="77777777" w:rsidR="007504B6" w:rsidRPr="00CC41C0" w:rsidRDefault="007504B6" w:rsidP="007504B6">
      <w:r w:rsidRPr="00CC41C0">
        <w:t xml:space="preserve">Julie is a </w:t>
      </w:r>
      <w:r>
        <w:t xml:space="preserve">highly </w:t>
      </w:r>
      <w:r w:rsidRPr="00CC41C0">
        <w:t xml:space="preserve">respected leader with more than 35 years of experience in </w:t>
      </w:r>
      <w:r>
        <w:t xml:space="preserve">civil engineering, </w:t>
      </w:r>
      <w:r w:rsidRPr="00CC41C0">
        <w:t xml:space="preserve">policy, planning, design, business case, delivery, and asset management of large complex transport infrastructure, including </w:t>
      </w:r>
      <w:r>
        <w:t>eight</w:t>
      </w:r>
      <w:r w:rsidRPr="00CC41C0">
        <w:t xml:space="preserve"> years as Chief Engineer and </w:t>
      </w:r>
      <w:r>
        <w:t xml:space="preserve">four </w:t>
      </w:r>
      <w:r w:rsidRPr="00CC41C0">
        <w:t>years as the Deputy Director-General</w:t>
      </w:r>
      <w:r>
        <w:t xml:space="preserve"> (</w:t>
      </w:r>
      <w:r w:rsidRPr="00CC41C0">
        <w:t>Policy, Planning and Investment</w:t>
      </w:r>
      <w:r>
        <w:t>)</w:t>
      </w:r>
      <w:r w:rsidRPr="00CC41C0">
        <w:t xml:space="preserve">. She is a member of the </w:t>
      </w:r>
      <w:r>
        <w:t>ELT</w:t>
      </w:r>
      <w:r w:rsidRPr="00CC41C0">
        <w:t xml:space="preserve"> at TMR and has extensive experience in strategic organisational and technical leadership and development, significant organisational change agendas on customer focus, efficiency, staff empowerment, reducing infrastructure costs, and technical innovation.</w:t>
      </w:r>
    </w:p>
    <w:p w14:paraId="153FEFFA" w14:textId="77777777" w:rsidR="007504B6" w:rsidRPr="00CC41C0" w:rsidRDefault="007504B6" w:rsidP="007504B6">
      <w:r w:rsidRPr="00CC41C0">
        <w:t xml:space="preserve">Julie is experienced in planning and delivery for major infrastructure projects. Her focus is on exploring innovations and efficiencies, collaborating with industry partners and the safety of her people. </w:t>
      </w:r>
    </w:p>
    <w:p w14:paraId="50E6114D" w14:textId="77777777" w:rsidR="007504B6" w:rsidRDefault="007504B6" w:rsidP="007504B6">
      <w:r w:rsidRPr="00CC41C0">
        <w:t>As Innovation Champion, Julie has delivered programs that have made a real impact for our network and the community and is dedicated to providing infrastructure and services that connect people, places, goods, and services safely, efficiently, and effectively across Queensland.</w:t>
      </w:r>
    </w:p>
    <w:p w14:paraId="25329BC1" w14:textId="77777777" w:rsidR="007504B6" w:rsidRDefault="007504B6" w:rsidP="007504B6">
      <w:r>
        <w:lastRenderedPageBreak/>
        <w:t xml:space="preserve">Former positions: </w:t>
      </w:r>
    </w:p>
    <w:p w14:paraId="218DFA5B" w14:textId="77777777" w:rsidR="007504B6" w:rsidRDefault="007504B6" w:rsidP="007504B6">
      <w:pPr>
        <w:pStyle w:val="ListBullet"/>
      </w:pPr>
      <w:r>
        <w:t>Deputy Director-General (Policy, Planning and Investment)</w:t>
      </w:r>
    </w:p>
    <w:p w14:paraId="5ECA3439" w14:textId="77777777" w:rsidR="007504B6" w:rsidRPr="00CC41C0" w:rsidRDefault="007504B6" w:rsidP="007504B6">
      <w:pPr>
        <w:pStyle w:val="ListBullet"/>
      </w:pPr>
      <w:r>
        <w:t xml:space="preserve">Chief Engineer </w:t>
      </w:r>
    </w:p>
    <w:p w14:paraId="0E424D45" w14:textId="77777777" w:rsidR="007504B6" w:rsidRDefault="007504B6" w:rsidP="007504B6"/>
    <w:p w14:paraId="209B0C63" w14:textId="4FD9485C" w:rsidR="007504B6" w:rsidRDefault="007504B6" w:rsidP="00AA259F">
      <w:pPr>
        <w:pStyle w:val="ListBullet"/>
      </w:pPr>
      <w:r w:rsidRPr="00AA259F">
        <w:rPr>
          <w:rStyle w:val="Strong"/>
        </w:rPr>
        <w:t>Customer Services, Safety and Regulation</w:t>
      </w:r>
      <w:r>
        <w:t xml:space="preserve"> Geoff Magoffin</w:t>
      </w:r>
    </w:p>
    <w:p w14:paraId="7736EDE8" w14:textId="4B8515CF" w:rsidR="007504B6" w:rsidRDefault="007504B6" w:rsidP="007504B6">
      <w:pPr>
        <w:pStyle w:val="ListBullet2"/>
      </w:pPr>
      <w:r w:rsidRPr="003D4DA8">
        <w:rPr>
          <w:rStyle w:val="Strong"/>
        </w:rPr>
        <w:t>Customer Services</w:t>
      </w:r>
      <w:r w:rsidR="00916DF7">
        <w:rPr>
          <w:rStyle w:val="Strong"/>
        </w:rPr>
        <w:t xml:space="preserve"> </w:t>
      </w:r>
      <w:r>
        <w:t>Michael Crago</w:t>
      </w:r>
    </w:p>
    <w:p w14:paraId="1151C31D" w14:textId="4AC3CC2A" w:rsidR="007504B6" w:rsidRDefault="007504B6" w:rsidP="007504B6">
      <w:pPr>
        <w:pStyle w:val="ListBullet2"/>
      </w:pPr>
      <w:r w:rsidRPr="003D4DA8">
        <w:rPr>
          <w:rStyle w:val="Strong"/>
        </w:rPr>
        <w:t>Land Transport Safety and Regulation</w:t>
      </w:r>
      <w:r>
        <w:t xml:space="preserve"> Joanna Robinson</w:t>
      </w:r>
    </w:p>
    <w:p w14:paraId="08B6DD52" w14:textId="547C4DD5" w:rsidR="007504B6" w:rsidRDefault="007504B6" w:rsidP="007504B6">
      <w:pPr>
        <w:pStyle w:val="ListBullet2"/>
      </w:pPr>
      <w:r w:rsidRPr="003D4DA8">
        <w:rPr>
          <w:rStyle w:val="Strong"/>
        </w:rPr>
        <w:t>Maritime Safety Queensland</w:t>
      </w:r>
      <w:r>
        <w:t xml:space="preserve"> Kell Dillion </w:t>
      </w:r>
    </w:p>
    <w:p w14:paraId="645B9189" w14:textId="20FE72F1" w:rsidR="007504B6" w:rsidRDefault="007504B6" w:rsidP="007504B6">
      <w:pPr>
        <w:pStyle w:val="Heading3"/>
      </w:pPr>
      <w:r w:rsidRPr="001F4921">
        <w:t>Geoff Magoffin</w:t>
      </w:r>
      <w:r w:rsidR="00AA259F">
        <w:t xml:space="preserve"> </w:t>
      </w:r>
      <w:r w:rsidRPr="00BB6F2D">
        <w:t>Deputy Director-General (Customer Services, Safety and Regulation)</w:t>
      </w:r>
    </w:p>
    <w:p w14:paraId="27EB3340" w14:textId="77777777" w:rsidR="007504B6" w:rsidRPr="00CE2F84" w:rsidRDefault="007504B6" w:rsidP="007504B6">
      <w:pPr>
        <w:pStyle w:val="Caption"/>
        <w:rPr>
          <w:rStyle w:val="Emphasis"/>
        </w:rPr>
      </w:pPr>
      <w:r w:rsidRPr="00CE2F84">
        <w:rPr>
          <w:rStyle w:val="Emphasis"/>
        </w:rPr>
        <w:t>MBA, GradDipBusAdmin, GradCertMgt, GAICD</w:t>
      </w:r>
    </w:p>
    <w:p w14:paraId="0519E91B" w14:textId="77777777" w:rsidR="007504B6" w:rsidRPr="008C6412" w:rsidRDefault="007504B6" w:rsidP="007504B6">
      <w:pPr>
        <w:pStyle w:val="ListBullet"/>
      </w:pPr>
      <w:r w:rsidRPr="008C6412">
        <w:t>Appointed as Deputy Director-General (Customer</w:t>
      </w:r>
      <w:r>
        <w:t xml:space="preserve"> </w:t>
      </w:r>
      <w:r w:rsidRPr="008C6412">
        <w:t xml:space="preserve">Services, Safety and Regulation) </w:t>
      </w:r>
      <w:r>
        <w:t>31 October 2022</w:t>
      </w:r>
    </w:p>
    <w:p w14:paraId="4E1075E4" w14:textId="77777777" w:rsidR="007504B6" w:rsidRPr="008C6412" w:rsidRDefault="007504B6" w:rsidP="007504B6">
      <w:pPr>
        <w:pStyle w:val="ListBullet"/>
      </w:pPr>
      <w:r w:rsidRPr="008C6412">
        <w:t>Inclusion and Diversity</w:t>
      </w:r>
      <w:r>
        <w:t xml:space="preserve"> </w:t>
      </w:r>
      <w:r w:rsidRPr="008C6412">
        <w:t>Champion</w:t>
      </w:r>
    </w:p>
    <w:p w14:paraId="688797CC" w14:textId="77777777" w:rsidR="007504B6" w:rsidRPr="008C6412" w:rsidRDefault="007504B6" w:rsidP="007504B6">
      <w:r w:rsidRPr="008C6412">
        <w:t>Geoff oversees the delivery of safety, regulatory</w:t>
      </w:r>
      <w:r>
        <w:t>,</w:t>
      </w:r>
      <w:r w:rsidRPr="008C6412">
        <w:t xml:space="preserve"> and transactional</w:t>
      </w:r>
      <w:r>
        <w:t xml:space="preserve"> </w:t>
      </w:r>
      <w:r w:rsidRPr="008C6412">
        <w:t>transport services for the department. This division is critical to TMR’s</w:t>
      </w:r>
      <w:r>
        <w:t xml:space="preserve"> </w:t>
      </w:r>
      <w:r w:rsidRPr="008C6412">
        <w:t>current and future transport system, managing the State’s regulation,</w:t>
      </w:r>
      <w:r>
        <w:t xml:space="preserve"> </w:t>
      </w:r>
      <w:r w:rsidRPr="008C6412">
        <w:t>marine, road safety</w:t>
      </w:r>
      <w:r>
        <w:t>,</w:t>
      </w:r>
      <w:r w:rsidRPr="008C6412">
        <w:t xml:space="preserve"> and frontline services for Queenslanders.</w:t>
      </w:r>
    </w:p>
    <w:p w14:paraId="34D7637F" w14:textId="77777777" w:rsidR="007504B6" w:rsidRPr="008C6412" w:rsidRDefault="007504B6" w:rsidP="007504B6">
      <w:r w:rsidRPr="008C6412">
        <w:t>Former positions:</w:t>
      </w:r>
    </w:p>
    <w:p w14:paraId="4610D8AD" w14:textId="77777777" w:rsidR="007504B6" w:rsidRPr="008C6412" w:rsidRDefault="007504B6" w:rsidP="007504B6">
      <w:pPr>
        <w:pStyle w:val="ListBullet"/>
      </w:pPr>
      <w:r w:rsidRPr="008C6412">
        <w:t>General Manager (Customer Services)</w:t>
      </w:r>
    </w:p>
    <w:p w14:paraId="0F554103" w14:textId="21E4EF34" w:rsidR="007504B6" w:rsidRDefault="007504B6" w:rsidP="007504B6">
      <w:r w:rsidRPr="008C6412">
        <w:t>For over 30 years, Geoff has held leadership positions within the</w:t>
      </w:r>
      <w:r>
        <w:t xml:space="preserve"> </w:t>
      </w:r>
      <w:r w:rsidRPr="008C6412">
        <w:t>customer service industry, initially as a Stock and Station Agent</w:t>
      </w:r>
      <w:r>
        <w:t xml:space="preserve"> </w:t>
      </w:r>
      <w:r w:rsidRPr="008C6412">
        <w:t>with Elders, before starting a banking career with QIDC (now</w:t>
      </w:r>
      <w:r>
        <w:t xml:space="preserve"> </w:t>
      </w:r>
      <w:r w:rsidRPr="008C6412">
        <w:t>Suncorp) in 1991. Geoff’s banking career spanned 20 years,</w:t>
      </w:r>
      <w:r>
        <w:t xml:space="preserve"> </w:t>
      </w:r>
      <w:r w:rsidRPr="008C6412">
        <w:t>primarily in senior agribusiness management roles in Suncorp,</w:t>
      </w:r>
      <w:r>
        <w:t xml:space="preserve"> </w:t>
      </w:r>
      <w:r w:rsidRPr="008C6412">
        <w:t>before taking up a senior executive position with Rural Bank as</w:t>
      </w:r>
      <w:r>
        <w:t xml:space="preserve"> </w:t>
      </w:r>
      <w:r w:rsidRPr="008C6412">
        <w:t>the State Manager for New South Wales, Queensland</w:t>
      </w:r>
      <w:r>
        <w:t>,</w:t>
      </w:r>
      <w:r w:rsidRPr="008C6412">
        <w:t xml:space="preserve"> and the</w:t>
      </w:r>
      <w:r>
        <w:t xml:space="preserve"> </w:t>
      </w:r>
      <w:r w:rsidRPr="008C6412">
        <w:t>Northern Territory.</w:t>
      </w:r>
    </w:p>
    <w:p w14:paraId="66B97302" w14:textId="77777777" w:rsidR="00BC5219" w:rsidRPr="00BB6F2D" w:rsidRDefault="00BC5219" w:rsidP="007504B6"/>
    <w:p w14:paraId="5EE187AC" w14:textId="317401EA" w:rsidR="007504B6" w:rsidRDefault="007504B6" w:rsidP="00AA259F">
      <w:pPr>
        <w:pStyle w:val="ListBullet"/>
      </w:pPr>
      <w:r w:rsidRPr="00AA259F">
        <w:rPr>
          <w:rStyle w:val="Strong"/>
        </w:rPr>
        <w:t>Translink</w:t>
      </w:r>
      <w:r w:rsidR="00916DF7">
        <w:rPr>
          <w:rStyle w:val="Strong"/>
        </w:rPr>
        <w:t xml:space="preserve"> </w:t>
      </w:r>
      <w:r>
        <w:t>Peter Milward</w:t>
      </w:r>
    </w:p>
    <w:p w14:paraId="0D1EAB54" w14:textId="4A7A3125" w:rsidR="007504B6" w:rsidRDefault="007504B6" w:rsidP="007504B6">
      <w:pPr>
        <w:pStyle w:val="ListBullet2"/>
      </w:pPr>
      <w:r w:rsidRPr="002721C5">
        <w:rPr>
          <w:rStyle w:val="Strong"/>
        </w:rPr>
        <w:t>Strategic Rail</w:t>
      </w:r>
      <w:r>
        <w:t xml:space="preserve"> Jane Brander</w:t>
      </w:r>
    </w:p>
    <w:p w14:paraId="6C9F60D2" w14:textId="6971D661" w:rsidR="007504B6" w:rsidRDefault="007504B6" w:rsidP="007504B6">
      <w:pPr>
        <w:pStyle w:val="ListBullet2"/>
      </w:pPr>
      <w:r w:rsidRPr="002721C5">
        <w:rPr>
          <w:rStyle w:val="Strong"/>
        </w:rPr>
        <w:t>Passenger Transport Strategy and Technology</w:t>
      </w:r>
      <w:r w:rsidR="00916DF7">
        <w:rPr>
          <w:rStyle w:val="Strong"/>
        </w:rPr>
        <w:t xml:space="preserve"> </w:t>
      </w:r>
      <w:r>
        <w:t>Ishra Baksh</w:t>
      </w:r>
    </w:p>
    <w:p w14:paraId="3952580B" w14:textId="08525D0E" w:rsidR="007504B6" w:rsidRDefault="007504B6" w:rsidP="007504B6">
      <w:pPr>
        <w:pStyle w:val="ListBullet2"/>
      </w:pPr>
      <w:r w:rsidRPr="002721C5">
        <w:rPr>
          <w:rStyle w:val="Strong"/>
        </w:rPr>
        <w:t>Passenger Transport Services</w:t>
      </w:r>
      <w:r w:rsidR="00916DF7">
        <w:rPr>
          <w:rStyle w:val="Strong"/>
        </w:rPr>
        <w:t xml:space="preserve"> </w:t>
      </w:r>
      <w:r>
        <w:t>Graham Davis</w:t>
      </w:r>
    </w:p>
    <w:p w14:paraId="27086C4C" w14:textId="5AC8A43F" w:rsidR="007504B6" w:rsidRDefault="007504B6" w:rsidP="007504B6">
      <w:pPr>
        <w:pStyle w:val="ListBullet2"/>
      </w:pPr>
      <w:r w:rsidRPr="002721C5">
        <w:rPr>
          <w:rStyle w:val="Strong"/>
        </w:rPr>
        <w:t>Passenger Rollingstock and Signalling</w:t>
      </w:r>
      <w:r>
        <w:t xml:space="preserve"> Paul Hoffman </w:t>
      </w:r>
    </w:p>
    <w:p w14:paraId="092F7255" w14:textId="08165D83" w:rsidR="007504B6" w:rsidRDefault="007504B6" w:rsidP="007504B6">
      <w:pPr>
        <w:pStyle w:val="ListBullet2"/>
      </w:pPr>
      <w:r w:rsidRPr="002721C5">
        <w:rPr>
          <w:rStyle w:val="Strong"/>
        </w:rPr>
        <w:t>Passenger Transport Integration</w:t>
      </w:r>
      <w:r w:rsidR="00916DF7">
        <w:rPr>
          <w:rStyle w:val="Strong"/>
        </w:rPr>
        <w:t xml:space="preserve"> </w:t>
      </w:r>
      <w:r>
        <w:t>Suzanne Rose</w:t>
      </w:r>
    </w:p>
    <w:p w14:paraId="7C41EEBB" w14:textId="5D0E0F27" w:rsidR="007504B6" w:rsidRDefault="007504B6" w:rsidP="007504B6">
      <w:pPr>
        <w:pStyle w:val="ListBullet2"/>
      </w:pPr>
      <w:r w:rsidRPr="002721C5">
        <w:rPr>
          <w:rStyle w:val="Strong"/>
        </w:rPr>
        <w:t>Rail Infrastructure Delivery</w:t>
      </w:r>
      <w:r>
        <w:t xml:space="preserve"> Peter Papantonlou</w:t>
      </w:r>
    </w:p>
    <w:p w14:paraId="5F73AFBB" w14:textId="66D2A4EF" w:rsidR="007504B6" w:rsidRPr="00691145" w:rsidRDefault="007504B6" w:rsidP="007504B6">
      <w:pPr>
        <w:pStyle w:val="Heading3"/>
      </w:pPr>
      <w:r>
        <w:t>Peter Milward</w:t>
      </w:r>
      <w:r w:rsidR="00AA259F">
        <w:t xml:space="preserve"> </w:t>
      </w:r>
      <w:r>
        <w:t xml:space="preserve">Acting </w:t>
      </w:r>
      <w:r w:rsidRPr="00691145">
        <w:t>Deputy Director-General (Trans</w:t>
      </w:r>
      <w:r>
        <w:t>l</w:t>
      </w:r>
      <w:r w:rsidRPr="00691145">
        <w:t>ink)</w:t>
      </w:r>
    </w:p>
    <w:p w14:paraId="74298E45" w14:textId="77777777" w:rsidR="007504B6" w:rsidRPr="00790C70" w:rsidRDefault="007504B6" w:rsidP="007504B6">
      <w:pPr>
        <w:pStyle w:val="Caption"/>
      </w:pPr>
      <w:r w:rsidRPr="00790C70">
        <w:t>BCom, MBA, CertSuperannuationMan, GAICD</w:t>
      </w:r>
    </w:p>
    <w:p w14:paraId="7943D823" w14:textId="77777777" w:rsidR="007504B6" w:rsidRPr="00691145" w:rsidRDefault="007504B6" w:rsidP="007504B6">
      <w:pPr>
        <w:pStyle w:val="ListBullet"/>
      </w:pPr>
      <w:r w:rsidRPr="00691145">
        <w:t xml:space="preserve">Appointed as </w:t>
      </w:r>
      <w:r>
        <w:t xml:space="preserve">Acting </w:t>
      </w:r>
      <w:r w:rsidRPr="00691145">
        <w:t>Deputy Director-General (Translink)</w:t>
      </w:r>
      <w:r>
        <w:t xml:space="preserve"> June</w:t>
      </w:r>
      <w:r w:rsidRPr="00691145">
        <w:t xml:space="preserve"> </w:t>
      </w:r>
      <w:r>
        <w:t>2023</w:t>
      </w:r>
    </w:p>
    <w:p w14:paraId="3AC7A649" w14:textId="77777777" w:rsidR="007504B6" w:rsidRPr="00691145" w:rsidRDefault="007504B6" w:rsidP="007504B6">
      <w:pPr>
        <w:pStyle w:val="ListBullet"/>
      </w:pPr>
      <w:r>
        <w:t>Champion for Customers</w:t>
      </w:r>
    </w:p>
    <w:p w14:paraId="184303D5" w14:textId="77777777" w:rsidR="007504B6" w:rsidRPr="00691145" w:rsidRDefault="007504B6" w:rsidP="007504B6">
      <w:r>
        <w:t>Peter</w:t>
      </w:r>
      <w:r w:rsidRPr="00691145">
        <w:t xml:space="preserve"> leads the delivery of customer-focused passenger transport services across Queensland including policy, planning, ticketing, contract management and customer services.</w:t>
      </w:r>
    </w:p>
    <w:p w14:paraId="5DF6B687" w14:textId="77777777" w:rsidR="007504B6" w:rsidRPr="00691145" w:rsidRDefault="007504B6" w:rsidP="007504B6">
      <w:r w:rsidRPr="00691145">
        <w:t>Translink Division is responsible for the integrated rail, bus, ferry</w:t>
      </w:r>
      <w:r>
        <w:t>,</w:t>
      </w:r>
      <w:r w:rsidRPr="00691145">
        <w:t xml:space="preserve"> and tram network in South East Queensland and long-distance rail, bus</w:t>
      </w:r>
      <w:r>
        <w:t>,</w:t>
      </w:r>
      <w:r w:rsidRPr="00691145">
        <w:t xml:space="preserve"> and aviation services in regional, rural</w:t>
      </w:r>
      <w:r>
        <w:t>,</w:t>
      </w:r>
      <w:r w:rsidRPr="00691145">
        <w:t xml:space="preserve"> and remote Queensland, in addition to school transport, personalised transport</w:t>
      </w:r>
      <w:r>
        <w:t>,</w:t>
      </w:r>
      <w:r w:rsidRPr="00691145">
        <w:t xml:space="preserve"> and on</w:t>
      </w:r>
      <w:r>
        <w:t>-</w:t>
      </w:r>
      <w:r w:rsidRPr="00691145">
        <w:t>demand services.</w:t>
      </w:r>
    </w:p>
    <w:p w14:paraId="5CC54311" w14:textId="77777777" w:rsidR="007504B6" w:rsidRPr="00691145" w:rsidRDefault="007504B6" w:rsidP="007504B6">
      <w:r w:rsidRPr="00691145">
        <w:lastRenderedPageBreak/>
        <w:t>Former positions:</w:t>
      </w:r>
    </w:p>
    <w:p w14:paraId="16AABDD8" w14:textId="77777777" w:rsidR="007504B6" w:rsidRPr="003E6DAC" w:rsidRDefault="007504B6" w:rsidP="007504B6">
      <w:pPr>
        <w:pStyle w:val="ListBullet"/>
      </w:pPr>
      <w:r w:rsidRPr="001C2ACB">
        <w:t>General</w:t>
      </w:r>
      <w:r>
        <w:t xml:space="preserve"> </w:t>
      </w:r>
      <w:r w:rsidRPr="001C2ACB">
        <w:t>Manager</w:t>
      </w:r>
      <w:r>
        <w:t xml:space="preserve">, </w:t>
      </w:r>
      <w:r w:rsidRPr="001C2ACB">
        <w:t>Passenger</w:t>
      </w:r>
      <w:r>
        <w:t xml:space="preserve"> </w:t>
      </w:r>
      <w:r w:rsidRPr="001C2ACB">
        <w:t>Transport</w:t>
      </w:r>
      <w:r>
        <w:t xml:space="preserve"> </w:t>
      </w:r>
      <w:r w:rsidRPr="001C2ACB">
        <w:t>Integration</w:t>
      </w:r>
      <w:r>
        <w:t xml:space="preserve"> </w:t>
      </w:r>
      <w:r w:rsidRPr="00DE697B">
        <w:t>(Translink)</w:t>
      </w:r>
    </w:p>
    <w:p w14:paraId="2F41B2B4" w14:textId="77777777" w:rsidR="007504B6" w:rsidRDefault="007504B6" w:rsidP="007504B6">
      <w:pPr>
        <w:pStyle w:val="ListBullet"/>
      </w:pPr>
      <w:r w:rsidRPr="00416B1A">
        <w:t>Acting Deputy Director</w:t>
      </w:r>
      <w:r>
        <w:t>-</w:t>
      </w:r>
      <w:r w:rsidRPr="00416B1A">
        <w:t xml:space="preserve">General </w:t>
      </w:r>
      <w:r>
        <w:t>(</w:t>
      </w:r>
      <w:r w:rsidRPr="00416B1A">
        <w:t>Corporate</w:t>
      </w:r>
      <w:r>
        <w:t>)</w:t>
      </w:r>
    </w:p>
    <w:p w14:paraId="067175D1" w14:textId="77777777" w:rsidR="007504B6" w:rsidRDefault="007504B6" w:rsidP="007504B6">
      <w:pPr>
        <w:pStyle w:val="ListBullet"/>
      </w:pPr>
      <w:r w:rsidRPr="00416B1A">
        <w:t>Executive Director</w:t>
      </w:r>
      <w:r>
        <w:t xml:space="preserve">, </w:t>
      </w:r>
      <w:r w:rsidRPr="00416B1A">
        <w:t>Service Policy and Investment</w:t>
      </w:r>
      <w:r>
        <w:t xml:space="preserve"> </w:t>
      </w:r>
      <w:r w:rsidRPr="00DE697B">
        <w:t>(Translink)</w:t>
      </w:r>
    </w:p>
    <w:p w14:paraId="49C17EE9" w14:textId="77777777" w:rsidR="007504B6" w:rsidRDefault="007504B6" w:rsidP="007504B6">
      <w:pPr>
        <w:pStyle w:val="ListBullet"/>
      </w:pPr>
      <w:r w:rsidRPr="0041782B">
        <w:t>Director Economic Policy</w:t>
      </w:r>
      <w:r>
        <w:t xml:space="preserve">, </w:t>
      </w:r>
      <w:r w:rsidRPr="0041782B">
        <w:t>Department of the Premier and Cabinet (Queensland)</w:t>
      </w:r>
    </w:p>
    <w:p w14:paraId="1F2E7C06" w14:textId="77777777" w:rsidR="007504B6" w:rsidRDefault="007504B6" w:rsidP="007504B6">
      <w:r w:rsidRPr="00416B1A">
        <w:t xml:space="preserve">Over the past </w:t>
      </w:r>
      <w:r>
        <w:t>14</w:t>
      </w:r>
      <w:r w:rsidRPr="00416B1A">
        <w:t xml:space="preserve"> years, Peter has been involved in the delivery of transport policy, services</w:t>
      </w:r>
      <w:r>
        <w:t>,</w:t>
      </w:r>
      <w:r w:rsidRPr="00416B1A">
        <w:t xml:space="preserve"> and projects in Queensland and has over 3</w:t>
      </w:r>
      <w:r>
        <w:t>5</w:t>
      </w:r>
      <w:r w:rsidRPr="00416B1A">
        <w:t xml:space="preserve"> years’ experience in both private and public sectors in superannuation management and economic and transport policy, projects, and service delivery.</w:t>
      </w:r>
    </w:p>
    <w:p w14:paraId="5558C1AD" w14:textId="4CF23DD8" w:rsidR="00916DF7" w:rsidRDefault="007504B6" w:rsidP="007504B6">
      <w:r>
        <w:t xml:space="preserve">Peter has led the coordination and integration of major projects into the South East Queensland public transport network. He also leads the policy settings for public transport in Queensland, including the regulation of the personalised transport sector, concessions, and input to the reforms of the Disability Standards for Accessible Public Transport. </w:t>
      </w:r>
    </w:p>
    <w:p w14:paraId="043B6176" w14:textId="77777777" w:rsidR="00916DF7" w:rsidRDefault="00916DF7">
      <w:pPr>
        <w:spacing w:before="0" w:after="160" w:line="259" w:lineRule="auto"/>
      </w:pPr>
      <w:r>
        <w:br w:type="page"/>
      </w:r>
    </w:p>
    <w:p w14:paraId="45F258E3" w14:textId="7F683D94" w:rsidR="007504B6" w:rsidRDefault="007504B6" w:rsidP="00AA259F">
      <w:pPr>
        <w:pStyle w:val="ListBullet"/>
      </w:pPr>
      <w:r w:rsidRPr="0031771A">
        <w:rPr>
          <w:rStyle w:val="Strong"/>
        </w:rPr>
        <w:lastRenderedPageBreak/>
        <w:t xml:space="preserve">Corporate </w:t>
      </w:r>
      <w:r>
        <w:t xml:space="preserve">Tracy O’Bryan </w:t>
      </w:r>
    </w:p>
    <w:p w14:paraId="7D48E3B6" w14:textId="5BA5E0BB" w:rsidR="007504B6" w:rsidRDefault="007504B6" w:rsidP="007504B6">
      <w:pPr>
        <w:pStyle w:val="ListBullet2"/>
      </w:pPr>
      <w:r w:rsidRPr="0031771A">
        <w:rPr>
          <w:rStyle w:val="Strong"/>
        </w:rPr>
        <w:t>Finance and Procurement</w:t>
      </w:r>
      <w:r w:rsidR="00916DF7">
        <w:rPr>
          <w:rStyle w:val="Strong"/>
        </w:rPr>
        <w:t xml:space="preserve"> </w:t>
      </w:r>
      <w:r>
        <w:t>Nick Shaw</w:t>
      </w:r>
    </w:p>
    <w:p w14:paraId="7054C8DB" w14:textId="40EB7E1A" w:rsidR="007504B6" w:rsidRDefault="007504B6" w:rsidP="007504B6">
      <w:pPr>
        <w:pStyle w:val="ListBullet2"/>
      </w:pPr>
      <w:r w:rsidRPr="0031771A">
        <w:rPr>
          <w:rStyle w:val="Strong"/>
        </w:rPr>
        <w:t>Human Resources</w:t>
      </w:r>
      <w:r>
        <w:t xml:space="preserve"> Fiona Leyden </w:t>
      </w:r>
    </w:p>
    <w:p w14:paraId="7FAA709E" w14:textId="25518210" w:rsidR="007504B6" w:rsidRDefault="007504B6" w:rsidP="007504B6">
      <w:pPr>
        <w:pStyle w:val="ListBullet2"/>
      </w:pPr>
      <w:r w:rsidRPr="0031771A">
        <w:rPr>
          <w:rStyle w:val="Strong"/>
        </w:rPr>
        <w:t>Information Technology</w:t>
      </w:r>
      <w:r>
        <w:t xml:space="preserve"> Sandra Slater</w:t>
      </w:r>
    </w:p>
    <w:p w14:paraId="48AF4F5D" w14:textId="42F778C1" w:rsidR="007504B6" w:rsidRDefault="007504B6" w:rsidP="007504B6">
      <w:pPr>
        <w:pStyle w:val="ListBullet2"/>
      </w:pPr>
      <w:r w:rsidRPr="0031771A">
        <w:rPr>
          <w:rStyle w:val="Strong"/>
        </w:rPr>
        <w:t xml:space="preserve">Governance </w:t>
      </w:r>
      <w:r>
        <w:t>Brydie Bodnar</w:t>
      </w:r>
    </w:p>
    <w:p w14:paraId="08848745" w14:textId="7A3F654E" w:rsidR="007504B6" w:rsidRDefault="007504B6" w:rsidP="007504B6">
      <w:pPr>
        <w:pStyle w:val="ListBullet2"/>
      </w:pPr>
      <w:r w:rsidRPr="0031771A">
        <w:rPr>
          <w:rStyle w:val="Strong"/>
        </w:rPr>
        <w:t>Internal Audit</w:t>
      </w:r>
      <w:r w:rsidR="00916DF7">
        <w:rPr>
          <w:rStyle w:val="Strong"/>
        </w:rPr>
        <w:t xml:space="preserve"> </w:t>
      </w:r>
      <w:r>
        <w:t xml:space="preserve">Samara Dowling </w:t>
      </w:r>
    </w:p>
    <w:p w14:paraId="1C4B42FA" w14:textId="546C190B" w:rsidR="007504B6" w:rsidRPr="009C1432" w:rsidRDefault="007504B6" w:rsidP="007504B6">
      <w:pPr>
        <w:pStyle w:val="Heading3"/>
      </w:pPr>
      <w:r w:rsidRPr="009C1432">
        <w:t>Tracy O’Bryan</w:t>
      </w:r>
      <w:r w:rsidR="00AA259F">
        <w:t xml:space="preserve"> </w:t>
      </w:r>
      <w:r w:rsidRPr="009C1432">
        <w:t>Deputy Director-General (Corporate)</w:t>
      </w:r>
    </w:p>
    <w:p w14:paraId="0E552785" w14:textId="77777777" w:rsidR="007504B6" w:rsidRPr="00790C70" w:rsidRDefault="007504B6" w:rsidP="007504B6">
      <w:pPr>
        <w:pStyle w:val="Caption"/>
      </w:pPr>
      <w:r w:rsidRPr="00790C70">
        <w:t>LLB, LLM, EMPA (ANZSOG), ANZSOG Alumni Advisory Council</w:t>
      </w:r>
      <w:r>
        <w:t xml:space="preserve"> member</w:t>
      </w:r>
      <w:r w:rsidRPr="00790C70">
        <w:t>, GAICD, Solicitor Supreme Court of Queensland and High Court of Australia.</w:t>
      </w:r>
    </w:p>
    <w:p w14:paraId="73D9E3B8" w14:textId="77777777" w:rsidR="007504B6" w:rsidRDefault="007504B6" w:rsidP="007504B6">
      <w:pPr>
        <w:pStyle w:val="ListBullet"/>
      </w:pPr>
      <w:r w:rsidRPr="009C1432">
        <w:t>Appointed Deputy Director-General in May 2017</w:t>
      </w:r>
    </w:p>
    <w:p w14:paraId="0901F1D9" w14:textId="77777777" w:rsidR="007504B6" w:rsidRPr="009C1432" w:rsidRDefault="007504B6" w:rsidP="007504B6">
      <w:pPr>
        <w:pStyle w:val="ListBullet"/>
      </w:pPr>
      <w:r>
        <w:t>Champion for Values and Culture</w:t>
      </w:r>
    </w:p>
    <w:p w14:paraId="2AA7C9CE" w14:textId="77777777" w:rsidR="007504B6" w:rsidRPr="009C1432" w:rsidRDefault="007504B6" w:rsidP="007504B6">
      <w:r w:rsidRPr="009C1432">
        <w:t>Tracy leads the department’s corporate services, including</w:t>
      </w:r>
      <w:r>
        <w:t xml:space="preserve"> </w:t>
      </w:r>
      <w:r w:rsidRPr="009C1432">
        <w:t>governance</w:t>
      </w:r>
      <w:r>
        <w:t xml:space="preserve"> (encompassing cabinet and legislation, legal, media and communications, Right to Information, and risk)</w:t>
      </w:r>
      <w:r w:rsidRPr="009C1432">
        <w:t xml:space="preserve">, finance and procurement, ICT, </w:t>
      </w:r>
      <w:r>
        <w:t>HR,</w:t>
      </w:r>
      <w:r w:rsidRPr="009C1432">
        <w:t xml:space="preserve"> and</w:t>
      </w:r>
      <w:r>
        <w:t xml:space="preserve"> </w:t>
      </w:r>
      <w:r w:rsidRPr="009C1432">
        <w:t>internal audit to enable TMR to achieve its business objectives.</w:t>
      </w:r>
    </w:p>
    <w:p w14:paraId="01F5B19E" w14:textId="77777777" w:rsidR="007504B6" w:rsidRPr="009C1432" w:rsidRDefault="007504B6" w:rsidP="007504B6">
      <w:r w:rsidRPr="009C1432">
        <w:t>Former positions:</w:t>
      </w:r>
    </w:p>
    <w:p w14:paraId="49AB9C57" w14:textId="77777777" w:rsidR="007504B6" w:rsidRDefault="007504B6" w:rsidP="007504B6">
      <w:pPr>
        <w:pStyle w:val="ListBullet"/>
      </w:pPr>
      <w:r w:rsidRPr="009C1432">
        <w:t>Executive Director (Department of National Parks, Sport</w:t>
      </w:r>
      <w:r>
        <w:t xml:space="preserve"> </w:t>
      </w:r>
      <w:r w:rsidRPr="009C1432">
        <w:t>and Racing)</w:t>
      </w:r>
    </w:p>
    <w:p w14:paraId="57999A4F" w14:textId="77777777" w:rsidR="007504B6" w:rsidRPr="009C1432" w:rsidRDefault="007504B6" w:rsidP="007504B6">
      <w:pPr>
        <w:pStyle w:val="ListBullet"/>
      </w:pPr>
      <w:r w:rsidRPr="009C1432">
        <w:t>Acting Deputy Director-General, Corporate (Department of</w:t>
      </w:r>
      <w:r>
        <w:t xml:space="preserve"> </w:t>
      </w:r>
      <w:r w:rsidRPr="009C1432">
        <w:t>Environment and Heritage Protection)</w:t>
      </w:r>
    </w:p>
    <w:p w14:paraId="3AC1BE56" w14:textId="77777777" w:rsidR="007504B6" w:rsidRPr="009C1432" w:rsidRDefault="007504B6" w:rsidP="007504B6">
      <w:r w:rsidRPr="009C1432">
        <w:t xml:space="preserve">Tracy has </w:t>
      </w:r>
      <w:r>
        <w:t>more than</w:t>
      </w:r>
      <w:r w:rsidRPr="009C1432">
        <w:t xml:space="preserve"> 2</w:t>
      </w:r>
      <w:r>
        <w:t>5</w:t>
      </w:r>
      <w:r w:rsidRPr="009C1432">
        <w:t xml:space="preserve"> years’ experience in the Queensland public</w:t>
      </w:r>
      <w:r>
        <w:t xml:space="preserve"> </w:t>
      </w:r>
      <w:r w:rsidRPr="009C1432">
        <w:t>sector in the fields of law, policy, governance, major projects</w:t>
      </w:r>
      <w:r>
        <w:t>,</w:t>
      </w:r>
      <w:r w:rsidRPr="009C1432">
        <w:t xml:space="preserve"> program design and delivery, and stakeholder engagement.</w:t>
      </w:r>
    </w:p>
    <w:p w14:paraId="35AFC9D3" w14:textId="737DFAC0" w:rsidR="007504B6" w:rsidRDefault="007504B6" w:rsidP="007504B6">
      <w:r w:rsidRPr="009C1432">
        <w:t>She has also led major reform and commissions of inquiry for</w:t>
      </w:r>
      <w:r>
        <w:t xml:space="preserve"> </w:t>
      </w:r>
      <w:r w:rsidRPr="009C1432">
        <w:t>government and worked in a number of Queensland Government</w:t>
      </w:r>
      <w:r>
        <w:t xml:space="preserve"> </w:t>
      </w:r>
      <w:r w:rsidRPr="009C1432">
        <w:t>departments including the Department of the Premier and</w:t>
      </w:r>
      <w:r>
        <w:t xml:space="preserve"> </w:t>
      </w:r>
      <w:r w:rsidRPr="009C1432">
        <w:t>Cabinet. Tracy has also won ministerial awards and been</w:t>
      </w:r>
      <w:r>
        <w:t xml:space="preserve"> </w:t>
      </w:r>
      <w:r w:rsidRPr="009C1432">
        <w:t>nominated for a Premier’s Excellence Award.</w:t>
      </w:r>
    </w:p>
    <w:p w14:paraId="43098E96" w14:textId="77777777" w:rsidR="00BC5219" w:rsidRPr="009C1432" w:rsidRDefault="00BC5219" w:rsidP="007504B6"/>
    <w:p w14:paraId="7A477385" w14:textId="77777777" w:rsidR="007504B6" w:rsidRDefault="007504B6" w:rsidP="00AA259F">
      <w:pPr>
        <w:pStyle w:val="ListBullet"/>
      </w:pPr>
      <w:r w:rsidRPr="001138D1">
        <w:rPr>
          <w:rStyle w:val="Strong"/>
        </w:rPr>
        <w:t>Chief Customer and Digital Officer</w:t>
      </w:r>
      <w:r>
        <w:br/>
        <w:t xml:space="preserve">Chris McLaren </w:t>
      </w:r>
    </w:p>
    <w:p w14:paraId="2227A543" w14:textId="77777777" w:rsidR="007504B6" w:rsidRDefault="007504B6" w:rsidP="007504B6">
      <w:pPr>
        <w:pStyle w:val="ListBullet2"/>
      </w:pPr>
      <w:r w:rsidRPr="001138D1">
        <w:rPr>
          <w:rStyle w:val="Strong"/>
        </w:rPr>
        <w:t>Customer and Digital Strategy</w:t>
      </w:r>
      <w:r>
        <w:t xml:space="preserve"> </w:t>
      </w:r>
      <w:r>
        <w:br/>
        <w:t xml:space="preserve">Darrin Bond </w:t>
      </w:r>
    </w:p>
    <w:p w14:paraId="65FBBD33" w14:textId="77777777" w:rsidR="007504B6" w:rsidRDefault="007504B6" w:rsidP="007504B6">
      <w:pPr>
        <w:pStyle w:val="ListBullet2"/>
      </w:pPr>
      <w:r w:rsidRPr="001138D1">
        <w:rPr>
          <w:rStyle w:val="Strong"/>
        </w:rPr>
        <w:t>Transformation and Enabling Technologies</w:t>
      </w:r>
      <w:r>
        <w:t xml:space="preserve"> </w:t>
      </w:r>
      <w:r>
        <w:br/>
        <w:t xml:space="preserve">Dallas Stower </w:t>
      </w:r>
    </w:p>
    <w:p w14:paraId="059640C5" w14:textId="77777777" w:rsidR="007504B6" w:rsidRDefault="007504B6" w:rsidP="007504B6">
      <w:pPr>
        <w:pStyle w:val="ListBullet2"/>
      </w:pPr>
      <w:r w:rsidRPr="001138D1">
        <w:rPr>
          <w:rStyle w:val="Strong"/>
        </w:rPr>
        <w:t>Service Delivery and Operations</w:t>
      </w:r>
      <w:r>
        <w:t xml:space="preserve"> </w:t>
      </w:r>
      <w:r>
        <w:br/>
        <w:t>Andrew Spina</w:t>
      </w:r>
    </w:p>
    <w:p w14:paraId="502A149D" w14:textId="45D727E5" w:rsidR="007504B6" w:rsidRDefault="007504B6" w:rsidP="007504B6">
      <w:pPr>
        <w:pStyle w:val="Heading3"/>
      </w:pPr>
      <w:r>
        <w:t>Chris McLaren Chief Customer and Digital Officer</w:t>
      </w:r>
    </w:p>
    <w:p w14:paraId="7965A52C" w14:textId="77777777" w:rsidR="007504B6" w:rsidRPr="0056107D" w:rsidRDefault="007504B6" w:rsidP="007504B6">
      <w:pPr>
        <w:rPr>
          <w:rStyle w:val="Emphasis"/>
        </w:rPr>
      </w:pPr>
      <w:r w:rsidRPr="0056107D">
        <w:rPr>
          <w:rStyle w:val="Emphasis"/>
        </w:rPr>
        <w:t>BE</w:t>
      </w:r>
      <w:r>
        <w:rPr>
          <w:rStyle w:val="Emphasis"/>
        </w:rPr>
        <w:t>E</w:t>
      </w:r>
      <w:r w:rsidRPr="0056107D">
        <w:rPr>
          <w:rStyle w:val="Emphasis"/>
        </w:rPr>
        <w:t xml:space="preserve"> (Honours)</w:t>
      </w:r>
      <w:r>
        <w:rPr>
          <w:rStyle w:val="Emphasis"/>
        </w:rPr>
        <w:t xml:space="preserve"> FAICD</w:t>
      </w:r>
    </w:p>
    <w:p w14:paraId="4B7E7687" w14:textId="77777777" w:rsidR="007504B6" w:rsidRPr="0056107D" w:rsidRDefault="007504B6" w:rsidP="007504B6">
      <w:pPr>
        <w:pStyle w:val="ListBullet"/>
      </w:pPr>
      <w:r w:rsidRPr="0056107D">
        <w:t xml:space="preserve">Appointed as Queensland Government Chief Customer and Digital Officer in </w:t>
      </w:r>
      <w:r>
        <w:t xml:space="preserve">April </w:t>
      </w:r>
      <w:r w:rsidRPr="0056107D">
        <w:t>2022</w:t>
      </w:r>
    </w:p>
    <w:p w14:paraId="4D960876" w14:textId="77777777" w:rsidR="007504B6" w:rsidRPr="009B6E46" w:rsidRDefault="007504B6" w:rsidP="007504B6">
      <w:r w:rsidRPr="0056107D">
        <w:t>Chris is responsible for driving Queensland’s digital economy, delivering better citizen-centric services and optimising Queensland Government’s investment and use of technology.</w:t>
      </w:r>
    </w:p>
    <w:p w14:paraId="0FCF7488" w14:textId="6CFDFC38" w:rsidR="007504B6" w:rsidRPr="0056107D" w:rsidRDefault="007504B6" w:rsidP="007504B6">
      <w:r w:rsidRPr="0056107D">
        <w:t>Former positions:</w:t>
      </w:r>
    </w:p>
    <w:p w14:paraId="24B63AD5" w14:textId="77777777" w:rsidR="007504B6" w:rsidRPr="0056107D" w:rsidRDefault="007504B6" w:rsidP="007504B6">
      <w:pPr>
        <w:pStyle w:val="ListBullet"/>
      </w:pPr>
      <w:r w:rsidRPr="0056107D">
        <w:t>Country CEO (USA)</w:t>
      </w:r>
      <w:r>
        <w:t xml:space="preserve">, </w:t>
      </w:r>
      <w:r w:rsidRPr="0056107D">
        <w:t>XpertiseNow</w:t>
      </w:r>
    </w:p>
    <w:p w14:paraId="7DFBC468" w14:textId="77777777" w:rsidR="007504B6" w:rsidRPr="0056107D" w:rsidRDefault="007504B6" w:rsidP="007504B6">
      <w:pPr>
        <w:pStyle w:val="ListBullet"/>
      </w:pPr>
      <w:r w:rsidRPr="0056107D">
        <w:t xml:space="preserve">Partner, KMPG </w:t>
      </w:r>
    </w:p>
    <w:p w14:paraId="3EAAD17A" w14:textId="77777777" w:rsidR="007504B6" w:rsidRPr="0056107D" w:rsidRDefault="007504B6" w:rsidP="007504B6">
      <w:pPr>
        <w:pStyle w:val="ListBullet"/>
      </w:pPr>
      <w:r w:rsidRPr="0056107D">
        <w:lastRenderedPageBreak/>
        <w:t>Vice-President, Capgemini</w:t>
      </w:r>
    </w:p>
    <w:p w14:paraId="3E117AA0" w14:textId="77777777" w:rsidR="00916DF7" w:rsidRDefault="00916DF7">
      <w:pPr>
        <w:spacing w:before="0" w:after="160" w:line="259" w:lineRule="auto"/>
      </w:pPr>
      <w:r>
        <w:br w:type="page"/>
      </w:r>
    </w:p>
    <w:p w14:paraId="3A330D5D" w14:textId="00C91AB0" w:rsidR="007504B6" w:rsidRDefault="007504B6" w:rsidP="007504B6">
      <w:r w:rsidRPr="00F73028">
        <w:lastRenderedPageBreak/>
        <w:t>Chris is a globally-experienced senior executive with a successful 25-year track record leading, growing, transforming and advising technology, telecom, utility, energy, services and software organisations, including multinationals and start-ups. Chris specialises in digital enablement and transformation, customer experience, operations improvement and technology innovation. Chris has an Honours degree in Electrical Engineering from University of Technology Sydney and has completed studies in Governance at Australian Institute of Company Directors and Digital Strategy and Transformation at Massachusetts Institute of Technology.</w:t>
      </w:r>
    </w:p>
    <w:p w14:paraId="0019CBB2" w14:textId="77777777" w:rsidR="007504B6" w:rsidRPr="00E500F3" w:rsidRDefault="007504B6" w:rsidP="007504B6">
      <w:pPr>
        <w:pStyle w:val="Heading2"/>
      </w:pPr>
      <w:r>
        <w:t>Key organisational changes</w:t>
      </w:r>
    </w:p>
    <w:p w14:paraId="78A80A88" w14:textId="77777777" w:rsidR="007504B6" w:rsidRPr="00CA6B3A" w:rsidRDefault="007504B6" w:rsidP="007504B6">
      <w:r w:rsidRPr="00CA6B3A">
        <w:t xml:space="preserve">The following structural changes occurred within TMR during the 2022–23 period: </w:t>
      </w:r>
    </w:p>
    <w:p w14:paraId="61A8FD50" w14:textId="77777777" w:rsidR="007504B6" w:rsidRDefault="007504B6" w:rsidP="007504B6">
      <w:pPr>
        <w:pStyle w:val="ListBullet"/>
      </w:pPr>
      <w:r>
        <w:t>April</w:t>
      </w:r>
      <w:r w:rsidRPr="00CA6B3A">
        <w:t xml:space="preserve"> 2023: Infrastructure Management and Delivery Division created a Statewide Network Operations branch to consolidate existing operations capability from Program Delivery and Operations and the Engineering and Technology branches. </w:t>
      </w:r>
    </w:p>
    <w:p w14:paraId="2B0AE1EC" w14:textId="77777777" w:rsidR="007504B6" w:rsidRDefault="007504B6" w:rsidP="007504B6">
      <w:pPr>
        <w:pStyle w:val="ListBullet"/>
      </w:pPr>
      <w:r>
        <w:t xml:space="preserve">May 2023: </w:t>
      </w:r>
      <w:r w:rsidRPr="008E6966">
        <w:t>Following machinery-of-government changes, the department underwent a structural realignment resulting in the inclusion of the Queensland Government Customer and Digital Group to the department.</w:t>
      </w:r>
    </w:p>
    <w:p w14:paraId="5B89D7E0" w14:textId="77777777" w:rsidR="007504B6" w:rsidRDefault="007504B6" w:rsidP="007504B6">
      <w:pPr>
        <w:pStyle w:val="ListBullet"/>
      </w:pPr>
      <w:r>
        <w:t xml:space="preserve">November 2022: Translink Division created a Rail Infrastructure Delivery Office. </w:t>
      </w:r>
    </w:p>
    <w:p w14:paraId="522B8E9B" w14:textId="77777777" w:rsidR="007504B6" w:rsidRPr="00E41744" w:rsidRDefault="007504B6" w:rsidP="007504B6">
      <w:pPr>
        <w:pStyle w:val="ListBullet"/>
        <w:rPr>
          <w:rStyle w:val="SubtleReference"/>
          <w:color w:val="auto"/>
        </w:rPr>
      </w:pPr>
      <w:r>
        <w:t xml:space="preserve">November 2022: TMR transitioned the management of mobile phone and seatbelt camera detected infringements to Queensland Treasury's Queensland Revenue Office (QR). </w:t>
      </w:r>
    </w:p>
    <w:p w14:paraId="583C0ADC" w14:textId="77777777" w:rsidR="00BC5219" w:rsidRDefault="00BC5219">
      <w:pPr>
        <w:spacing w:before="0" w:after="160" w:line="259" w:lineRule="auto"/>
        <w:rPr>
          <w:rFonts w:eastAsiaTheme="majorEastAsia" w:cstheme="majorBidi"/>
          <w:color w:val="000000" w:themeColor="text1"/>
          <w:sz w:val="48"/>
          <w:szCs w:val="26"/>
        </w:rPr>
      </w:pPr>
      <w:r>
        <w:br w:type="page"/>
      </w:r>
    </w:p>
    <w:p w14:paraId="70EEDCCF" w14:textId="60AFEDA0" w:rsidR="007504B6" w:rsidRDefault="007504B6" w:rsidP="007504B6">
      <w:pPr>
        <w:pStyle w:val="Heading2"/>
      </w:pPr>
      <w:r>
        <w:lastRenderedPageBreak/>
        <w:t>Governance Committees</w:t>
      </w:r>
    </w:p>
    <w:p w14:paraId="1699E976" w14:textId="77777777" w:rsidR="007504B6" w:rsidRPr="00756FBC" w:rsidRDefault="007504B6" w:rsidP="007504B6">
      <w:pPr>
        <w:pStyle w:val="Heading3"/>
      </w:pPr>
      <w:r>
        <w:t>Audit and Risk Committee</w:t>
      </w:r>
    </w:p>
    <w:p w14:paraId="299E1BE0" w14:textId="77777777" w:rsidR="007504B6" w:rsidRPr="00AF25DE" w:rsidRDefault="007504B6" w:rsidP="007504B6">
      <w:r w:rsidRPr="00AF25DE">
        <w:t>The Audit and Risk Committee (ARC) plays a key</w:t>
      </w:r>
      <w:r>
        <w:t xml:space="preserve"> assurance and</w:t>
      </w:r>
      <w:r w:rsidRPr="00AF25DE">
        <w:t xml:space="preserve"> advisory role in </w:t>
      </w:r>
      <w:r>
        <w:t>TMR</w:t>
      </w:r>
      <w:r w:rsidRPr="00AF25DE">
        <w:t xml:space="preserve">, </w:t>
      </w:r>
      <w:r w:rsidRPr="00E03B32">
        <w:t xml:space="preserve">by monitoring </w:t>
      </w:r>
      <w:r w:rsidRPr="00AF25DE">
        <w:t xml:space="preserve">the </w:t>
      </w:r>
      <w:r w:rsidRPr="00E03B32">
        <w:rPr>
          <w:lang w:val="en-AU" w:eastAsia="en-AU"/>
        </w:rPr>
        <w:t xml:space="preserve">effectiveness and efficiency of departmental financial and operation systems, </w:t>
      </w:r>
      <w:r w:rsidRPr="00E03B32">
        <w:t xml:space="preserve">risk </w:t>
      </w:r>
      <w:r>
        <w:t xml:space="preserve">identification and management </w:t>
      </w:r>
      <w:r w:rsidRPr="00E03B32">
        <w:t>system</w:t>
      </w:r>
      <w:r>
        <w:t xml:space="preserve">s, </w:t>
      </w:r>
      <w:r w:rsidRPr="00E03B32">
        <w:rPr>
          <w:lang w:val="en-AU" w:eastAsia="en-AU"/>
        </w:rPr>
        <w:t>reporting processes</w:t>
      </w:r>
      <w:r>
        <w:t xml:space="preserve">, </w:t>
      </w:r>
      <w:r w:rsidRPr="00AF25DE">
        <w:t>and compliance with legislative and regulatory requirements.</w:t>
      </w:r>
    </w:p>
    <w:p w14:paraId="31A02935" w14:textId="77777777" w:rsidR="007504B6" w:rsidRDefault="007504B6" w:rsidP="007504B6">
      <w:r w:rsidRPr="00AF25DE">
        <w:t xml:space="preserve">ARC members are appointed </w:t>
      </w:r>
      <w:r>
        <w:t xml:space="preserve">based on their skills and experience, and not by their position in TMR. They are nominated </w:t>
      </w:r>
      <w:r w:rsidRPr="00AF25DE">
        <w:t xml:space="preserve">by the Director-General and assist the Director-General </w:t>
      </w:r>
      <w:r>
        <w:t>with</w:t>
      </w:r>
      <w:r w:rsidRPr="00AF25DE">
        <w:t xml:space="preserve"> oversight of:</w:t>
      </w:r>
    </w:p>
    <w:p w14:paraId="68599F02" w14:textId="77777777" w:rsidR="007504B6" w:rsidRDefault="007504B6" w:rsidP="007504B6">
      <w:pPr>
        <w:pStyle w:val="ListBullet"/>
      </w:pPr>
      <w:r>
        <w:t>integrity of TMR's financial statements and internal controls</w:t>
      </w:r>
    </w:p>
    <w:p w14:paraId="5135F7E0" w14:textId="77777777" w:rsidR="007504B6" w:rsidRDefault="007504B6" w:rsidP="007504B6">
      <w:pPr>
        <w:pStyle w:val="ListBullet"/>
      </w:pPr>
      <w:r>
        <w:t>compliance with legislative and regulatory requirements, including TMR's ethical standards and policies</w:t>
      </w:r>
    </w:p>
    <w:p w14:paraId="1E7338A6" w14:textId="77777777" w:rsidR="007504B6" w:rsidRDefault="007504B6" w:rsidP="007504B6">
      <w:pPr>
        <w:pStyle w:val="ListBullet"/>
      </w:pPr>
      <w:r>
        <w:t>risk management, performance management, integrity oversight, misconduct prevention, the internal control environment, and key supporting systems</w:t>
      </w:r>
    </w:p>
    <w:p w14:paraId="4550FDD7" w14:textId="77777777" w:rsidR="007504B6" w:rsidRDefault="007504B6" w:rsidP="007504B6">
      <w:pPr>
        <w:pStyle w:val="ListBullet"/>
      </w:pPr>
      <w:r>
        <w:t xml:space="preserve">effectiveness of </w:t>
      </w:r>
      <w:r w:rsidRPr="00AF25DE">
        <w:t>risk management and control systems</w:t>
      </w:r>
    </w:p>
    <w:p w14:paraId="4F26EA29" w14:textId="77777777" w:rsidR="007504B6" w:rsidRPr="00AF25DE" w:rsidRDefault="007504B6" w:rsidP="007504B6">
      <w:pPr>
        <w:pStyle w:val="ListBullet"/>
      </w:pPr>
      <w:r>
        <w:t>p</w:t>
      </w:r>
      <w:r w:rsidRPr="00AF25DE">
        <w:t>erformance of the internal audit function.</w:t>
      </w:r>
    </w:p>
    <w:p w14:paraId="22F2048F" w14:textId="77777777" w:rsidR="007504B6" w:rsidRDefault="007504B6" w:rsidP="007504B6">
      <w:r w:rsidRPr="00AF25DE">
        <w:t>TMR's ARC met six times in 202</w:t>
      </w:r>
      <w:r>
        <w:t>2</w:t>
      </w:r>
      <w:r>
        <w:softHyphen/>
        <w:t>–</w:t>
      </w:r>
      <w:r w:rsidRPr="00AF25DE">
        <w:t>2</w:t>
      </w:r>
      <w:r>
        <w:t>3 and had due regard to Queensland Treasury's Audit Committee Guidelines.</w:t>
      </w:r>
      <w:r w:rsidRPr="00AF25DE">
        <w:t xml:space="preserve"> As at 30 June 202</w:t>
      </w:r>
      <w:r>
        <w:t>3</w:t>
      </w:r>
      <w:r w:rsidRPr="00AF25DE">
        <w:t>, costs associated with external member's fees totaled $</w:t>
      </w:r>
      <w:r>
        <w:t>46,940.55 (</w:t>
      </w:r>
      <w:r w:rsidRPr="00AF25DE">
        <w:t>including GST)</w:t>
      </w:r>
      <w:r>
        <w:t>.</w:t>
      </w:r>
      <w:r w:rsidRPr="00AF25DE">
        <w:t xml:space="preserve"> </w:t>
      </w:r>
    </w:p>
    <w:p w14:paraId="39A59760" w14:textId="77777777" w:rsidR="007504B6" w:rsidRDefault="007504B6" w:rsidP="007504B6">
      <w:r>
        <w:t xml:space="preserve">For our external members, TMR abides by the </w:t>
      </w:r>
      <w:r w:rsidRPr="006A5FD4">
        <w:t>Queensland Treasury Audit Committee Guidelines</w:t>
      </w:r>
      <w:r>
        <w:t>, which</w:t>
      </w:r>
      <w:r w:rsidRPr="006A5FD4">
        <w:t xml:space="preserve"> state that an audit committee should consist of members who have an appropriate mix of skills and experience that will enable the committee to perform all its functions effectively. These guidelines state the Chair should be independent and have sufficient independence and expertise to discharge their responsibilities under the Committee Charter. The guidelines also state that one independent member must hold an appropriate accounting qualification and that one should possess expertise in the industry in which the agency operates.</w:t>
      </w:r>
    </w:p>
    <w:p w14:paraId="20AD04E9" w14:textId="77777777" w:rsidR="007504B6" w:rsidRPr="00CE6F64" w:rsidRDefault="007504B6" w:rsidP="007504B6">
      <w:pPr>
        <w:rPr>
          <w:b/>
          <w:bCs/>
        </w:rPr>
      </w:pPr>
      <w:r w:rsidRPr="00F914D2">
        <w:rPr>
          <w:rStyle w:val="Strong"/>
        </w:rPr>
        <w:t>Chair</w:t>
      </w:r>
      <w:r>
        <w:rPr>
          <w:rStyle w:val="Strong"/>
        </w:rPr>
        <w:t xml:space="preserve">: </w:t>
      </w:r>
      <w:r>
        <w:t xml:space="preserve">Ms. Julie-Anne Schafer </w:t>
      </w:r>
      <w:r w:rsidRPr="00CE7E76">
        <w:t>LLB (Honors) FAICD</w:t>
      </w:r>
    </w:p>
    <w:p w14:paraId="28A2199D" w14:textId="77777777" w:rsidR="007504B6" w:rsidRPr="00F914D2" w:rsidRDefault="007504B6" w:rsidP="007504B6">
      <w:pPr>
        <w:pStyle w:val="ListBullet"/>
        <w:numPr>
          <w:ilvl w:val="0"/>
          <w:numId w:val="0"/>
        </w:numPr>
        <w:rPr>
          <w:rStyle w:val="Strong"/>
        </w:rPr>
      </w:pPr>
      <w:r w:rsidRPr="00F914D2">
        <w:rPr>
          <w:rStyle w:val="Strong"/>
        </w:rPr>
        <w:t>Members</w:t>
      </w:r>
      <w:r>
        <w:rPr>
          <w:rStyle w:val="Strong"/>
        </w:rPr>
        <w:t>:</w:t>
      </w:r>
    </w:p>
    <w:p w14:paraId="6DBD7400" w14:textId="77777777" w:rsidR="007504B6" w:rsidRDefault="007504B6" w:rsidP="007504B6">
      <w:pPr>
        <w:pStyle w:val="ListBullet"/>
      </w:pPr>
      <w:r>
        <w:t>Mr. Ian Webb BA (Honors), Post Graduate development program, AGSM</w:t>
      </w:r>
    </w:p>
    <w:p w14:paraId="18180748" w14:textId="77777777" w:rsidR="007504B6" w:rsidRDefault="007504B6" w:rsidP="007504B6">
      <w:pPr>
        <w:pStyle w:val="ListBullet"/>
      </w:pPr>
      <w:r>
        <w:t>Ms. Abigail Cheadle BBus, CA</w:t>
      </w:r>
    </w:p>
    <w:p w14:paraId="6CDC228E" w14:textId="77777777" w:rsidR="007504B6" w:rsidRDefault="007504B6" w:rsidP="007504B6">
      <w:pPr>
        <w:pStyle w:val="ListBullet"/>
      </w:pPr>
      <w:r>
        <w:t>Ms. Tracy O'Bryan (see page XXX)</w:t>
      </w:r>
    </w:p>
    <w:p w14:paraId="542693C7" w14:textId="77777777" w:rsidR="007504B6" w:rsidRDefault="007504B6" w:rsidP="007504B6">
      <w:pPr>
        <w:pStyle w:val="ListBullet"/>
      </w:pPr>
      <w:r>
        <w:t>Mr. Andrew Mahon (see page XXX)</w:t>
      </w:r>
    </w:p>
    <w:p w14:paraId="67000C3D" w14:textId="77777777" w:rsidR="007504B6" w:rsidRDefault="007504B6" w:rsidP="007504B6">
      <w:pPr>
        <w:pStyle w:val="ListBullet"/>
      </w:pPr>
      <w:r>
        <w:t>Mr. Graham Davis General Manager (Passenger Transport Services) GAICD, FCIL</w:t>
      </w:r>
    </w:p>
    <w:p w14:paraId="07E25CED" w14:textId="77777777" w:rsidR="007504B6" w:rsidRDefault="007504B6" w:rsidP="007504B6">
      <w:pPr>
        <w:pStyle w:val="ListBullet"/>
      </w:pPr>
      <w:r>
        <w:t>Mr. Michael Crago General Manager (Customer Services Branch).</w:t>
      </w:r>
    </w:p>
    <w:p w14:paraId="12139EA2" w14:textId="77777777" w:rsidR="007504B6" w:rsidRDefault="007504B6" w:rsidP="007504B6">
      <w:r>
        <w:t>During 2022–23, the committee reviewed:</w:t>
      </w:r>
    </w:p>
    <w:p w14:paraId="15B9589D" w14:textId="77777777" w:rsidR="007504B6" w:rsidRDefault="007504B6" w:rsidP="007504B6">
      <w:pPr>
        <w:pStyle w:val="ListBullet"/>
      </w:pPr>
      <w:r>
        <w:t>the integrity of TMR's financial statements and internal controls supporting the i</w:t>
      </w:r>
      <w:r w:rsidRPr="000D30B1">
        <w:t xml:space="preserve">ntegrity of </w:t>
      </w:r>
      <w:r>
        <w:t>TMR's</w:t>
      </w:r>
      <w:r w:rsidRPr="000D30B1">
        <w:t xml:space="preserve"> financial statements</w:t>
      </w:r>
    </w:p>
    <w:p w14:paraId="02893583" w14:textId="77777777" w:rsidR="007504B6" w:rsidRDefault="007504B6" w:rsidP="007504B6">
      <w:pPr>
        <w:pStyle w:val="ListBullet"/>
      </w:pPr>
      <w:r>
        <w:t>t</w:t>
      </w:r>
      <w:r w:rsidRPr="00EA0C48">
        <w:t xml:space="preserve">he adequacy of the internal control structure </w:t>
      </w:r>
      <w:r>
        <w:t>to support IT</w:t>
      </w:r>
      <w:r w:rsidRPr="00EA0C48">
        <w:t xml:space="preserve"> security and</w:t>
      </w:r>
      <w:r>
        <w:t xml:space="preserve"> </w:t>
      </w:r>
      <w:r w:rsidRPr="00EA0C48">
        <w:t>control</w:t>
      </w:r>
    </w:p>
    <w:p w14:paraId="64D69816" w14:textId="77777777" w:rsidR="007504B6" w:rsidRDefault="007504B6" w:rsidP="007504B6">
      <w:pPr>
        <w:pStyle w:val="ListBullet"/>
      </w:pPr>
      <w:r>
        <w:t>processes to identify risks and appropriateness of control treatments regarding TMR's risk appetite</w:t>
      </w:r>
    </w:p>
    <w:p w14:paraId="1795785C" w14:textId="77777777" w:rsidR="007504B6" w:rsidRDefault="007504B6" w:rsidP="007504B6">
      <w:pPr>
        <w:pStyle w:val="ListBullet"/>
      </w:pPr>
      <w:r>
        <w:t>compliance with legislative and regulatory requirements, including government policies</w:t>
      </w:r>
    </w:p>
    <w:p w14:paraId="5C372F45" w14:textId="77777777" w:rsidR="007504B6" w:rsidRDefault="007504B6" w:rsidP="007504B6">
      <w:pPr>
        <w:pStyle w:val="ListBullet"/>
      </w:pPr>
      <w:r>
        <w:t>compliance with TMR's integrity framework, fraud and corruption framework, policies, and procedures</w:t>
      </w:r>
    </w:p>
    <w:p w14:paraId="4C1D5FB4" w14:textId="77777777" w:rsidR="007504B6" w:rsidRDefault="007504B6" w:rsidP="007504B6">
      <w:pPr>
        <w:pStyle w:val="ListBullet"/>
      </w:pPr>
      <w:r>
        <w:t>performance management reporting, risk management processes, and the adequacy of mitigating control systems</w:t>
      </w:r>
    </w:p>
    <w:p w14:paraId="1DED5CFA" w14:textId="77777777" w:rsidR="007504B6" w:rsidRDefault="007504B6" w:rsidP="007504B6">
      <w:pPr>
        <w:pStyle w:val="ListBullet"/>
      </w:pPr>
      <w:r>
        <w:t>performance and maturity of the internal audit function and co-ordination with the external auditor.</w:t>
      </w:r>
    </w:p>
    <w:p w14:paraId="36149B78" w14:textId="77777777" w:rsidR="007504B6" w:rsidRPr="00756FBC" w:rsidRDefault="007504B6" w:rsidP="007504B6">
      <w:pPr>
        <w:pStyle w:val="Heading3"/>
      </w:pPr>
      <w:r>
        <w:t>Finance and Procurement Committee</w:t>
      </w:r>
    </w:p>
    <w:p w14:paraId="4F9D0A5B" w14:textId="77777777" w:rsidR="007504B6" w:rsidRPr="00C97C24" w:rsidRDefault="007504B6" w:rsidP="007504B6">
      <w:r w:rsidRPr="00C97C24">
        <w:t xml:space="preserve">The Finance and Procurement Committee monitors financial and procurement performance ensuring that TMR has the financial resources to deliver on its vision </w:t>
      </w:r>
      <w:r>
        <w:t>t</w:t>
      </w:r>
      <w:r w:rsidRPr="00C97C24">
        <w:t xml:space="preserve">o create a single integrated </w:t>
      </w:r>
      <w:r>
        <w:t xml:space="preserve">transport </w:t>
      </w:r>
      <w:r w:rsidRPr="00C97C24">
        <w:t xml:space="preserve">network accessible to everyone.  </w:t>
      </w:r>
    </w:p>
    <w:p w14:paraId="56A33500" w14:textId="77777777" w:rsidR="007504B6" w:rsidRPr="00C97C24" w:rsidRDefault="007504B6" w:rsidP="007504B6">
      <w:r w:rsidRPr="00C97C24">
        <w:lastRenderedPageBreak/>
        <w:t xml:space="preserve">The committee ensures that the Transport and Infrastructure Services Category spend is aligned with the </w:t>
      </w:r>
      <w:r w:rsidRPr="004E42B8">
        <w:rPr>
          <w:rStyle w:val="Emphasis"/>
        </w:rPr>
        <w:t>Queensland Procurement Policy</w:t>
      </w:r>
      <w:r w:rsidRPr="00C97C24">
        <w:t>, which is aimed at prioritising Queensland business by focusing on local, economic</w:t>
      </w:r>
      <w:r>
        <w:t>,</w:t>
      </w:r>
      <w:r w:rsidRPr="00C97C24">
        <w:t xml:space="preserve"> and employment opportunities. </w:t>
      </w:r>
    </w:p>
    <w:p w14:paraId="4E352913" w14:textId="77777777" w:rsidR="007504B6" w:rsidRPr="00C97C24" w:rsidRDefault="007504B6" w:rsidP="007504B6">
      <w:r w:rsidRPr="00C97C24">
        <w:t>The finance and procurement functions operate in a centre-led model with the business operations carried out locally in line with the standards, policies</w:t>
      </w:r>
      <w:r>
        <w:t>,</w:t>
      </w:r>
      <w:r w:rsidRPr="00C97C24">
        <w:t xml:space="preserve"> and procedures established in the centre. </w:t>
      </w:r>
    </w:p>
    <w:p w14:paraId="6875A334" w14:textId="77777777" w:rsidR="007504B6" w:rsidRPr="00C97C24" w:rsidRDefault="007504B6" w:rsidP="007504B6">
      <w:r w:rsidRPr="00C97C24">
        <w:t> The key role of the committee is to: </w:t>
      </w:r>
    </w:p>
    <w:p w14:paraId="0402F1EA" w14:textId="77777777" w:rsidR="007504B6" w:rsidRPr="00C97C24" w:rsidRDefault="007504B6" w:rsidP="007504B6">
      <w:pPr>
        <w:pStyle w:val="ListBullet"/>
      </w:pPr>
      <w:r w:rsidRPr="00C97C24">
        <w:t>ensure all financial resources are allocated consistently with approved strategic direction, priorities, and ongoing commitments </w:t>
      </w:r>
    </w:p>
    <w:p w14:paraId="00074054" w14:textId="77777777" w:rsidR="007504B6" w:rsidRPr="00C97C24" w:rsidRDefault="007504B6" w:rsidP="007504B6">
      <w:pPr>
        <w:pStyle w:val="ListBullet"/>
      </w:pPr>
      <w:r w:rsidRPr="00C97C24">
        <w:t>identify reform initiatives and associated savings </w:t>
      </w:r>
    </w:p>
    <w:p w14:paraId="313B9156" w14:textId="77777777" w:rsidR="007504B6" w:rsidRPr="00C97C24" w:rsidRDefault="007504B6" w:rsidP="007504B6">
      <w:pPr>
        <w:pStyle w:val="ListBullet"/>
      </w:pPr>
      <w:r w:rsidRPr="00C97C24">
        <w:t>realise savings in line with government savings targets </w:t>
      </w:r>
    </w:p>
    <w:p w14:paraId="55435A46" w14:textId="77777777" w:rsidR="007504B6" w:rsidRPr="00C97C24" w:rsidRDefault="007504B6" w:rsidP="007504B6">
      <w:pPr>
        <w:pStyle w:val="ListBullet"/>
      </w:pPr>
      <w:r w:rsidRPr="00C97C24">
        <w:t>ensure cost control and longer-term funding sustainability </w:t>
      </w:r>
    </w:p>
    <w:p w14:paraId="13EB023A" w14:textId="77777777" w:rsidR="007504B6" w:rsidRPr="00C97C24" w:rsidRDefault="007504B6" w:rsidP="007504B6">
      <w:pPr>
        <w:pStyle w:val="ListBullet"/>
      </w:pPr>
      <w:r w:rsidRPr="00C97C24">
        <w:t>approve procurement strategic direction, priorities, and ongoing commitments </w:t>
      </w:r>
    </w:p>
    <w:p w14:paraId="39C139E5" w14:textId="77777777" w:rsidR="007504B6" w:rsidRPr="00C97C24" w:rsidRDefault="007504B6" w:rsidP="007504B6">
      <w:pPr>
        <w:pStyle w:val="ListBullet"/>
      </w:pPr>
      <w:r w:rsidRPr="00C97C24">
        <w:t>provide strategic oversight of the procurement policy environment </w:t>
      </w:r>
    </w:p>
    <w:p w14:paraId="44D6E354" w14:textId="77777777" w:rsidR="007504B6" w:rsidRPr="00C97C24" w:rsidRDefault="007504B6" w:rsidP="007504B6">
      <w:pPr>
        <w:pStyle w:val="ListBullet"/>
      </w:pPr>
      <w:r w:rsidRPr="00C97C24">
        <w:t>monitor functional performance and category benefits realisation. </w:t>
      </w:r>
    </w:p>
    <w:p w14:paraId="02DBDEE4" w14:textId="77777777" w:rsidR="007504B6" w:rsidRPr="00C97C24" w:rsidRDefault="007504B6" w:rsidP="007504B6">
      <w:r w:rsidRPr="009A48BF">
        <w:rPr>
          <w:rStyle w:val="Strong"/>
        </w:rPr>
        <w:t>Chair:</w:t>
      </w:r>
      <w:r w:rsidRPr="00C97C24">
        <w:t xml:space="preserve"> Deputy Director-General (Corporate) </w:t>
      </w:r>
    </w:p>
    <w:p w14:paraId="48028E58" w14:textId="77777777" w:rsidR="007504B6" w:rsidRPr="009A48BF" w:rsidRDefault="007504B6" w:rsidP="007504B6">
      <w:pPr>
        <w:rPr>
          <w:rStyle w:val="Strong"/>
        </w:rPr>
      </w:pPr>
      <w:r w:rsidRPr="009A48BF">
        <w:rPr>
          <w:rStyle w:val="Strong"/>
        </w:rPr>
        <w:t>Members: </w:t>
      </w:r>
    </w:p>
    <w:p w14:paraId="251BA4AF" w14:textId="77777777" w:rsidR="007504B6" w:rsidRPr="00C97C24" w:rsidRDefault="007504B6" w:rsidP="007504B6">
      <w:pPr>
        <w:pStyle w:val="ListBullet"/>
      </w:pPr>
      <w:r w:rsidRPr="00C97C24">
        <w:t>Director-General </w:t>
      </w:r>
    </w:p>
    <w:p w14:paraId="30898878" w14:textId="77777777" w:rsidR="007504B6" w:rsidRPr="00C97C24" w:rsidRDefault="007504B6" w:rsidP="007504B6">
      <w:pPr>
        <w:pStyle w:val="ListBullet"/>
      </w:pPr>
      <w:r w:rsidRPr="00C97C24">
        <w:t>Deputy Director-General (Translink) </w:t>
      </w:r>
    </w:p>
    <w:p w14:paraId="27453498" w14:textId="77777777" w:rsidR="007504B6" w:rsidRPr="00C97C24" w:rsidRDefault="007504B6" w:rsidP="007504B6">
      <w:pPr>
        <w:pStyle w:val="ListBullet"/>
      </w:pPr>
      <w:r w:rsidRPr="00C97C24">
        <w:t>Deputy Director-General (Customer Services, Safety and Regulation) </w:t>
      </w:r>
    </w:p>
    <w:p w14:paraId="24FF6C42" w14:textId="77777777" w:rsidR="007504B6" w:rsidRPr="00C97C24" w:rsidRDefault="007504B6" w:rsidP="007504B6">
      <w:pPr>
        <w:pStyle w:val="ListBullet"/>
      </w:pPr>
      <w:r w:rsidRPr="00C97C24">
        <w:t>Deputy Director-General (Infrastructure Management and Delivery) </w:t>
      </w:r>
    </w:p>
    <w:p w14:paraId="75E8ECED" w14:textId="77777777" w:rsidR="007504B6" w:rsidRPr="00C97C24" w:rsidRDefault="007504B6" w:rsidP="007504B6">
      <w:pPr>
        <w:pStyle w:val="ListBullet"/>
      </w:pPr>
      <w:r w:rsidRPr="00C97C24">
        <w:t>Deputy Director-General (Policy, Planning and Investment) </w:t>
      </w:r>
    </w:p>
    <w:p w14:paraId="03D62ED8" w14:textId="77777777" w:rsidR="007504B6" w:rsidRPr="00C97C24" w:rsidRDefault="007504B6" w:rsidP="007504B6">
      <w:pPr>
        <w:pStyle w:val="ListBullet"/>
      </w:pPr>
      <w:r w:rsidRPr="00C97C24">
        <w:t>Chief Operations Officer </w:t>
      </w:r>
    </w:p>
    <w:p w14:paraId="4ACFD9ED" w14:textId="77777777" w:rsidR="007504B6" w:rsidRPr="00C97C24" w:rsidRDefault="007504B6" w:rsidP="007504B6">
      <w:pPr>
        <w:pStyle w:val="ListBullet"/>
      </w:pPr>
      <w:r w:rsidRPr="00C97C24">
        <w:t>Chief Finance Officer. </w:t>
      </w:r>
    </w:p>
    <w:p w14:paraId="22E8418D" w14:textId="77777777" w:rsidR="007504B6" w:rsidRPr="00C97C24" w:rsidRDefault="007504B6" w:rsidP="007504B6">
      <w:r w:rsidRPr="00C97C24">
        <w:t> The committee met 10 times during 2022–23 and: </w:t>
      </w:r>
    </w:p>
    <w:p w14:paraId="432779A4" w14:textId="77777777" w:rsidR="007504B6" w:rsidRPr="00C97C24" w:rsidRDefault="007504B6" w:rsidP="007504B6">
      <w:pPr>
        <w:pStyle w:val="ListBullet"/>
      </w:pPr>
      <w:r w:rsidRPr="00C97C24">
        <w:t xml:space="preserve">monitored progress and actions outlined in TMR's </w:t>
      </w:r>
      <w:r w:rsidRPr="004E42B8">
        <w:rPr>
          <w:rStyle w:val="Emphasis"/>
        </w:rPr>
        <w:t>Financial Sustainability Plan</w:t>
      </w:r>
      <w:r w:rsidRPr="00C97C24">
        <w:t>  </w:t>
      </w:r>
    </w:p>
    <w:p w14:paraId="5C7263FD" w14:textId="77777777" w:rsidR="007504B6" w:rsidRPr="00C97C24" w:rsidRDefault="007504B6" w:rsidP="007504B6">
      <w:pPr>
        <w:pStyle w:val="ListBullet"/>
      </w:pPr>
      <w:r w:rsidRPr="00C97C24">
        <w:t>oversaw the budget process ensuring the budget aligned to agreed business plans  </w:t>
      </w:r>
    </w:p>
    <w:p w14:paraId="2B72D1D4" w14:textId="77777777" w:rsidR="007504B6" w:rsidRPr="00C97C24" w:rsidRDefault="007504B6" w:rsidP="007504B6">
      <w:pPr>
        <w:pStyle w:val="ListBullet"/>
      </w:pPr>
      <w:r w:rsidRPr="00C97C24">
        <w:t>monitored TMR’s financial position and workforce, ensuring that cost pressures, trends</w:t>
      </w:r>
      <w:r>
        <w:t>,</w:t>
      </w:r>
      <w:r w:rsidRPr="00C97C24">
        <w:t xml:space="preserve"> and future opportunities </w:t>
      </w:r>
      <w:r>
        <w:t>were</w:t>
      </w:r>
      <w:r w:rsidRPr="00C97C24">
        <w:t xml:space="preserve"> well understood </w:t>
      </w:r>
    </w:p>
    <w:p w14:paraId="6EE88196" w14:textId="77777777" w:rsidR="007504B6" w:rsidRPr="00C97C24" w:rsidRDefault="007504B6" w:rsidP="007504B6">
      <w:pPr>
        <w:pStyle w:val="ListBullet"/>
      </w:pPr>
      <w:r w:rsidRPr="00C97C24">
        <w:t>reviewed TMR’s key financial related risks and took necessary action to mitigate these risks where required </w:t>
      </w:r>
    </w:p>
    <w:p w14:paraId="68C053F2" w14:textId="77777777" w:rsidR="007504B6" w:rsidRPr="00C97C24" w:rsidRDefault="007504B6" w:rsidP="007504B6">
      <w:pPr>
        <w:pStyle w:val="ListBullet"/>
      </w:pPr>
      <w:r w:rsidRPr="00C97C24">
        <w:t xml:space="preserve">oversaw the continued implementation of the </w:t>
      </w:r>
      <w:r w:rsidRPr="00F1247B">
        <w:rPr>
          <w:rStyle w:val="Emphasis"/>
        </w:rPr>
        <w:t>Queensland Procurement Policy</w:t>
      </w:r>
      <w:r w:rsidRPr="00C97C24">
        <w:t>. </w:t>
      </w:r>
    </w:p>
    <w:p w14:paraId="35615FE1" w14:textId="77777777" w:rsidR="007504B6" w:rsidRPr="00555D99" w:rsidRDefault="007504B6" w:rsidP="007504B6">
      <w:pPr>
        <w:pStyle w:val="Heading3"/>
      </w:pPr>
      <w:r w:rsidRPr="00555D99">
        <w:t xml:space="preserve">Information and Systems Committee </w:t>
      </w:r>
    </w:p>
    <w:p w14:paraId="73A802F7" w14:textId="77777777" w:rsidR="007504B6" w:rsidRDefault="007504B6" w:rsidP="007504B6">
      <w:r w:rsidRPr="009F22CE">
        <w:t xml:space="preserve">The Information and Systems Committee is the peak ICT governance board for all business-led ICT and ICT-enabled investments. </w:t>
      </w:r>
    </w:p>
    <w:p w14:paraId="0F86C1D5" w14:textId="77777777" w:rsidR="007504B6" w:rsidRPr="009F22CE" w:rsidRDefault="007504B6" w:rsidP="007504B6">
      <w:r w:rsidRPr="009F22CE">
        <w:t xml:space="preserve">The committee helps ensure </w:t>
      </w:r>
      <w:r>
        <w:t>TMR</w:t>
      </w:r>
      <w:r w:rsidRPr="009F22CE">
        <w:t xml:space="preserve"> achieves maximum value for investments. The </w:t>
      </w:r>
      <w:r>
        <w:t>Information and Systems Committee</w:t>
      </w:r>
      <w:r w:rsidRPr="009F22CE">
        <w:t xml:space="preserve"> also acts as the information security governance body, establishing the information security strategy and ensuring information security objectives are achieved. </w:t>
      </w:r>
    </w:p>
    <w:p w14:paraId="3FC6C4D9" w14:textId="77777777" w:rsidR="007504B6" w:rsidRDefault="007504B6" w:rsidP="007504B6">
      <w:r w:rsidRPr="009F22CE">
        <w:t>The Chair is the Director-General and</w:t>
      </w:r>
      <w:r>
        <w:t xml:space="preserve"> the</w:t>
      </w:r>
      <w:r w:rsidRPr="009F22CE">
        <w:t xml:space="preserve"> </w:t>
      </w:r>
      <w:r>
        <w:t>c</w:t>
      </w:r>
      <w:r w:rsidRPr="009F22CE">
        <w:t xml:space="preserve">ommittee meets monthly. </w:t>
      </w:r>
    </w:p>
    <w:p w14:paraId="477A82B6" w14:textId="77777777" w:rsidR="007504B6" w:rsidRPr="0029222E" w:rsidRDefault="007504B6" w:rsidP="007504B6">
      <w:r w:rsidRPr="00817776">
        <w:rPr>
          <w:rStyle w:val="Strong"/>
        </w:rPr>
        <w:t>Chair:</w:t>
      </w:r>
      <w:r w:rsidRPr="0029222E">
        <w:t xml:space="preserve"> Director-General</w:t>
      </w:r>
    </w:p>
    <w:p w14:paraId="41F55DB4" w14:textId="77777777" w:rsidR="007504B6" w:rsidRPr="00E43C95" w:rsidRDefault="007504B6" w:rsidP="007504B6">
      <w:pPr>
        <w:rPr>
          <w:rStyle w:val="Strong"/>
        </w:rPr>
      </w:pPr>
      <w:r w:rsidRPr="00E43C95">
        <w:rPr>
          <w:rStyle w:val="Strong"/>
        </w:rPr>
        <w:t>Members:</w:t>
      </w:r>
    </w:p>
    <w:p w14:paraId="7D189735" w14:textId="77777777" w:rsidR="007504B6" w:rsidRPr="009F22CE" w:rsidRDefault="007504B6" w:rsidP="007504B6">
      <w:pPr>
        <w:pStyle w:val="ListBullet"/>
      </w:pPr>
      <w:r>
        <w:t xml:space="preserve">Director-General </w:t>
      </w:r>
    </w:p>
    <w:p w14:paraId="336DBDC5" w14:textId="77777777" w:rsidR="007504B6" w:rsidRPr="009F22CE" w:rsidRDefault="007504B6" w:rsidP="007504B6">
      <w:pPr>
        <w:pStyle w:val="ListBullet"/>
      </w:pPr>
      <w:r>
        <w:t>Deputy Director-General, (Corporate)</w:t>
      </w:r>
    </w:p>
    <w:p w14:paraId="14160F9A" w14:textId="77777777" w:rsidR="007504B6" w:rsidRPr="009F22CE" w:rsidRDefault="007504B6" w:rsidP="007504B6">
      <w:pPr>
        <w:pStyle w:val="ListBullet"/>
      </w:pPr>
      <w:r>
        <w:lastRenderedPageBreak/>
        <w:t>Deputy Director-General, (Translink)</w:t>
      </w:r>
    </w:p>
    <w:p w14:paraId="2D61430A" w14:textId="77777777" w:rsidR="007504B6" w:rsidRPr="009F22CE" w:rsidRDefault="007504B6" w:rsidP="007504B6">
      <w:pPr>
        <w:pStyle w:val="ListBullet"/>
      </w:pPr>
      <w:r>
        <w:t>Deputy Director-General, (Customer Services, Safety and Regulation)</w:t>
      </w:r>
    </w:p>
    <w:p w14:paraId="0755A40A" w14:textId="77777777" w:rsidR="007504B6" w:rsidRPr="009F22CE" w:rsidRDefault="007504B6" w:rsidP="007504B6">
      <w:pPr>
        <w:pStyle w:val="ListBullet"/>
      </w:pPr>
      <w:r>
        <w:t>Deputy Director-General, (Infrastructure Management and Delivery)</w:t>
      </w:r>
    </w:p>
    <w:p w14:paraId="7B82B918" w14:textId="77777777" w:rsidR="007504B6" w:rsidRPr="009F22CE" w:rsidRDefault="007504B6" w:rsidP="007504B6">
      <w:pPr>
        <w:pStyle w:val="ListBullet"/>
      </w:pPr>
      <w:r>
        <w:t>Deputy Director-General, (Policy, Planning and Investment)</w:t>
      </w:r>
    </w:p>
    <w:p w14:paraId="6103C707" w14:textId="77777777" w:rsidR="007504B6" w:rsidRPr="009F22CE" w:rsidRDefault="007504B6" w:rsidP="007504B6">
      <w:pPr>
        <w:pStyle w:val="ListBullet"/>
      </w:pPr>
      <w:r>
        <w:t>Chief Operations Officer</w:t>
      </w:r>
    </w:p>
    <w:p w14:paraId="68F73460" w14:textId="77777777" w:rsidR="007504B6" w:rsidRPr="009F22CE" w:rsidRDefault="007504B6" w:rsidP="007504B6">
      <w:pPr>
        <w:pStyle w:val="ListBullet"/>
      </w:pPr>
      <w:r>
        <w:t>Chief Information Officer</w:t>
      </w:r>
    </w:p>
    <w:p w14:paraId="6EA14919" w14:textId="77777777" w:rsidR="007504B6" w:rsidRDefault="007504B6" w:rsidP="007504B6">
      <w:pPr>
        <w:pStyle w:val="ListBullet"/>
      </w:pPr>
      <w:r>
        <w:t>Chief Finance Officer.</w:t>
      </w:r>
    </w:p>
    <w:p w14:paraId="3C7E3872" w14:textId="77777777" w:rsidR="007504B6" w:rsidRPr="00C97C24" w:rsidRDefault="007504B6" w:rsidP="007504B6">
      <w:r>
        <w:t xml:space="preserve">The committee met 11 times during </w:t>
      </w:r>
      <w:r w:rsidRPr="00C97C24">
        <w:t>2022–23 and:</w:t>
      </w:r>
    </w:p>
    <w:p w14:paraId="51484AB3" w14:textId="77777777" w:rsidR="007504B6" w:rsidRPr="004D0D41" w:rsidRDefault="007504B6" w:rsidP="007504B6">
      <w:pPr>
        <w:pStyle w:val="ListBullet"/>
      </w:pPr>
      <w:bookmarkStart w:id="38" w:name="_Hlk41660617"/>
      <w:r w:rsidRPr="004D0D41">
        <w:t xml:space="preserve">continued to strengthen ICT delivery through </w:t>
      </w:r>
      <w:r>
        <w:t>improved</w:t>
      </w:r>
      <w:r w:rsidRPr="004D0D41">
        <w:t xml:space="preserve"> governance, practices, methods</w:t>
      </w:r>
      <w:r>
        <w:t>,</w:t>
      </w:r>
      <w:r w:rsidRPr="004D0D41">
        <w:t xml:space="preserve"> and tools</w:t>
      </w:r>
    </w:p>
    <w:p w14:paraId="5D669456" w14:textId="77777777" w:rsidR="007504B6" w:rsidRPr="00C97C24" w:rsidRDefault="007504B6" w:rsidP="007504B6">
      <w:pPr>
        <w:pStyle w:val="ListBullet"/>
        <w:rPr>
          <w:rStyle w:val="Emphasis"/>
        </w:rPr>
      </w:pPr>
      <w:r w:rsidRPr="004D0D41">
        <w:t xml:space="preserve">endorsed two key strategies including the </w:t>
      </w:r>
      <w:r w:rsidRPr="004D0D41">
        <w:rPr>
          <w:rStyle w:val="Emphasis"/>
        </w:rPr>
        <w:t>TMR Cyber Security Strategy and Roadmap 2023</w:t>
      </w:r>
      <w:r w:rsidRPr="00C62145">
        <w:t>–</w:t>
      </w:r>
      <w:r w:rsidRPr="004D0D41">
        <w:rPr>
          <w:rStyle w:val="Emphasis"/>
        </w:rPr>
        <w:t xml:space="preserve">26 </w:t>
      </w:r>
      <w:r w:rsidRPr="004D0D41">
        <w:t xml:space="preserve">and </w:t>
      </w:r>
      <w:r w:rsidRPr="004D0D41">
        <w:rPr>
          <w:rStyle w:val="Emphasis"/>
        </w:rPr>
        <w:t>TMR Data and Analytics Strategy 2023</w:t>
      </w:r>
      <w:r w:rsidRPr="00C62145">
        <w:t>–</w:t>
      </w:r>
      <w:r w:rsidRPr="004D0D41">
        <w:rPr>
          <w:rStyle w:val="Emphasis"/>
        </w:rPr>
        <w:t>26</w:t>
      </w:r>
    </w:p>
    <w:p w14:paraId="435582E1" w14:textId="77777777" w:rsidR="007504B6" w:rsidRPr="004D0D41" w:rsidRDefault="007504B6" w:rsidP="007504B6">
      <w:pPr>
        <w:pStyle w:val="ListBullet"/>
      </w:pPr>
      <w:r w:rsidRPr="00282D3B">
        <w:rPr>
          <w:rStyle w:val="Emphasis"/>
          <w:i w:val="0"/>
          <w:iCs w:val="0"/>
        </w:rPr>
        <w:t>oversight of the delivery of key projects including:</w:t>
      </w:r>
      <w:r>
        <w:rPr>
          <w:rStyle w:val="Emphasis"/>
        </w:rPr>
        <w:t xml:space="preserve"> </w:t>
      </w:r>
      <w:r w:rsidRPr="00282D3B">
        <w:rPr>
          <w:rStyle w:val="Emphasis"/>
          <w:i w:val="0"/>
          <w:iCs w:val="0"/>
        </w:rPr>
        <w:t>E</w:t>
      </w:r>
      <w:r w:rsidRPr="00282D3B">
        <w:t>n</w:t>
      </w:r>
      <w:r w:rsidRPr="004D0D41">
        <w:t>vironmental and Tide System</w:t>
      </w:r>
      <w:r>
        <w:t>,</w:t>
      </w:r>
      <w:r w:rsidRPr="004D0D41">
        <w:t xml:space="preserve"> Webform</w:t>
      </w:r>
      <w:r>
        <w:t>,</w:t>
      </w:r>
      <w:r w:rsidRPr="004D0D41">
        <w:t xml:space="preserve"> Source to Pay</w:t>
      </w:r>
      <w:r>
        <w:t xml:space="preserve">, and </w:t>
      </w:r>
      <w:r w:rsidRPr="004D0D41">
        <w:t xml:space="preserve">On Demand Transport Enabling Technology </w:t>
      </w:r>
    </w:p>
    <w:p w14:paraId="428AD132" w14:textId="77777777" w:rsidR="007504B6" w:rsidRPr="004D0D41" w:rsidRDefault="007504B6" w:rsidP="007504B6">
      <w:pPr>
        <w:pStyle w:val="ListBullet"/>
      </w:pPr>
      <w:r w:rsidRPr="004D0D41">
        <w:t>maintained a multi-year rolling program of work,</w:t>
      </w:r>
      <w:r w:rsidRPr="004D0D41" w:rsidDel="00F713B8">
        <w:t xml:space="preserve"> </w:t>
      </w:r>
      <w:r w:rsidRPr="004D0D41">
        <w:t>ensuring ICT investments align to departmental and government priorities</w:t>
      </w:r>
    </w:p>
    <w:p w14:paraId="628854BC" w14:textId="77777777" w:rsidR="007504B6" w:rsidRPr="004D0D41" w:rsidRDefault="007504B6" w:rsidP="007504B6">
      <w:pPr>
        <w:pStyle w:val="ListBullet"/>
      </w:pPr>
      <w:r w:rsidRPr="004D0D41">
        <w:t xml:space="preserve">embedded benefits management and assurance recommendation management processes across the portfolio </w:t>
      </w:r>
    </w:p>
    <w:p w14:paraId="2327ADE1" w14:textId="77777777" w:rsidR="007504B6" w:rsidRPr="004D0D41" w:rsidRDefault="007504B6" w:rsidP="007504B6">
      <w:pPr>
        <w:pStyle w:val="ListBullet"/>
      </w:pPr>
      <w:r w:rsidRPr="004D0D41">
        <w:t>ov</w:t>
      </w:r>
      <w:r>
        <w:t>ersight of</w:t>
      </w:r>
      <w:r w:rsidRPr="004D0D41">
        <w:t xml:space="preserve"> the performance of critical department</w:t>
      </w:r>
      <w:r>
        <w:t>al</w:t>
      </w:r>
      <w:r w:rsidRPr="004D0D41">
        <w:t xml:space="preserve"> ICT systems</w:t>
      </w:r>
      <w:bookmarkEnd w:id="38"/>
      <w:r w:rsidRPr="004D0D41">
        <w:t xml:space="preserve">. </w:t>
      </w:r>
    </w:p>
    <w:p w14:paraId="444654B3" w14:textId="77777777" w:rsidR="007504B6" w:rsidRPr="0029222E" w:rsidRDefault="007504B6" w:rsidP="007504B6">
      <w:pPr>
        <w:pStyle w:val="Heading3"/>
      </w:pPr>
      <w:r w:rsidRPr="0029222E">
        <w:t>RoadTek Performance Committee</w:t>
      </w:r>
    </w:p>
    <w:p w14:paraId="592C2733" w14:textId="77777777" w:rsidR="007504B6" w:rsidRPr="0029222E" w:rsidRDefault="007504B6" w:rsidP="007504B6">
      <w:r w:rsidRPr="0029222E">
        <w:t>The RoadTek Performance Committee provides strategic guidance and governance, while reviewing RoadTek’s annual performance contract, strategic</w:t>
      </w:r>
      <w:r>
        <w:t>,</w:t>
      </w:r>
      <w:r w:rsidRPr="0029222E">
        <w:t xml:space="preserve"> and business plans and performance indicators.</w:t>
      </w:r>
    </w:p>
    <w:p w14:paraId="0DE8B702" w14:textId="77777777" w:rsidR="007504B6" w:rsidRPr="0029222E" w:rsidRDefault="007504B6" w:rsidP="007504B6">
      <w:r w:rsidRPr="00817776">
        <w:rPr>
          <w:rStyle w:val="Strong"/>
        </w:rPr>
        <w:t>Chair:</w:t>
      </w:r>
      <w:r w:rsidRPr="0029222E">
        <w:t xml:space="preserve"> Director-General</w:t>
      </w:r>
    </w:p>
    <w:p w14:paraId="33C17549" w14:textId="77777777" w:rsidR="007504B6" w:rsidRPr="00817776" w:rsidRDefault="007504B6" w:rsidP="007504B6">
      <w:pPr>
        <w:rPr>
          <w:rStyle w:val="Strong"/>
        </w:rPr>
      </w:pPr>
      <w:r w:rsidRPr="00817776">
        <w:rPr>
          <w:rStyle w:val="Strong"/>
        </w:rPr>
        <w:t>Members:</w:t>
      </w:r>
    </w:p>
    <w:p w14:paraId="1FBD35C8" w14:textId="77777777" w:rsidR="007504B6" w:rsidRPr="0029222E" w:rsidRDefault="007504B6" w:rsidP="007504B6">
      <w:pPr>
        <w:pStyle w:val="ListBullet"/>
      </w:pPr>
      <w:r w:rsidRPr="0029222E">
        <w:t>Deputy Director-General (Corporate)</w:t>
      </w:r>
    </w:p>
    <w:p w14:paraId="38C4FF57" w14:textId="77777777" w:rsidR="007504B6" w:rsidRPr="0029222E" w:rsidRDefault="007504B6" w:rsidP="007504B6">
      <w:pPr>
        <w:pStyle w:val="ListBullet"/>
      </w:pPr>
      <w:r w:rsidRPr="0029222E">
        <w:t>Deputy Director-General (Trans</w:t>
      </w:r>
      <w:r>
        <w:t>l</w:t>
      </w:r>
      <w:r w:rsidRPr="0029222E">
        <w:t>ink)</w:t>
      </w:r>
    </w:p>
    <w:p w14:paraId="78848398" w14:textId="77777777" w:rsidR="007504B6" w:rsidRPr="0029222E" w:rsidRDefault="007504B6" w:rsidP="007504B6">
      <w:pPr>
        <w:pStyle w:val="ListBullet"/>
      </w:pPr>
      <w:r w:rsidRPr="0029222E">
        <w:t>Deputy Director-General (Customer Services, Safety and Regulation)</w:t>
      </w:r>
    </w:p>
    <w:p w14:paraId="0EB95A01" w14:textId="77777777" w:rsidR="007504B6" w:rsidRPr="0029222E" w:rsidRDefault="007504B6" w:rsidP="007504B6">
      <w:pPr>
        <w:pStyle w:val="ListBullet"/>
      </w:pPr>
      <w:r w:rsidRPr="0029222E">
        <w:t>Deputy Director-General (Infrastructure Management and Delivery)</w:t>
      </w:r>
    </w:p>
    <w:p w14:paraId="77BE8E89" w14:textId="77777777" w:rsidR="007504B6" w:rsidRPr="0029222E" w:rsidRDefault="007504B6" w:rsidP="007504B6">
      <w:pPr>
        <w:pStyle w:val="ListBullet"/>
      </w:pPr>
      <w:r w:rsidRPr="0029222E">
        <w:t>Deputy Director-General (Policy, Planning and Investment)</w:t>
      </w:r>
    </w:p>
    <w:p w14:paraId="646F041F" w14:textId="77777777" w:rsidR="007504B6" w:rsidRPr="0029222E" w:rsidRDefault="007504B6" w:rsidP="007504B6">
      <w:pPr>
        <w:pStyle w:val="ListBullet"/>
      </w:pPr>
      <w:r w:rsidRPr="0029222E">
        <w:t>Chief Operations Officer</w:t>
      </w:r>
    </w:p>
    <w:p w14:paraId="11FDF7E6" w14:textId="77777777" w:rsidR="007504B6" w:rsidRPr="0029222E" w:rsidRDefault="007504B6" w:rsidP="007504B6">
      <w:pPr>
        <w:pStyle w:val="ListBullet"/>
      </w:pPr>
      <w:r w:rsidRPr="0029222E">
        <w:t>Chief Finance Officer</w:t>
      </w:r>
    </w:p>
    <w:p w14:paraId="571BF5D7" w14:textId="77777777" w:rsidR="007504B6" w:rsidRPr="0029222E" w:rsidRDefault="007504B6" w:rsidP="007504B6">
      <w:pPr>
        <w:pStyle w:val="ListBullet"/>
      </w:pPr>
      <w:r w:rsidRPr="0029222E">
        <w:t xml:space="preserve">General Manager </w:t>
      </w:r>
      <w:r>
        <w:t>(</w:t>
      </w:r>
      <w:r w:rsidRPr="0029222E">
        <w:t>RoadTek</w:t>
      </w:r>
      <w:r>
        <w:t>).</w:t>
      </w:r>
    </w:p>
    <w:p w14:paraId="66B3174A" w14:textId="3F9A17CE" w:rsidR="007504B6" w:rsidRPr="0029222E" w:rsidRDefault="007504B6" w:rsidP="007504B6">
      <w:r>
        <w:t>Key achievements of the committee during 2022–23</w:t>
      </w:r>
      <w:r w:rsidRPr="0029222E">
        <w:t>:</w:t>
      </w:r>
    </w:p>
    <w:p w14:paraId="7F915815" w14:textId="77777777" w:rsidR="007504B6" w:rsidRPr="0029222E" w:rsidRDefault="007504B6" w:rsidP="007504B6">
      <w:pPr>
        <w:pStyle w:val="ListBullet"/>
      </w:pPr>
      <w:r w:rsidRPr="0029222E">
        <w:t>RoadTek’s performance against the Service Delivery Statement measures and forecast end of year result</w:t>
      </w:r>
      <w:r>
        <w:t>s</w:t>
      </w:r>
    </w:p>
    <w:p w14:paraId="05ED148B" w14:textId="77777777" w:rsidR="007504B6" w:rsidRPr="0029222E" w:rsidRDefault="007504B6" w:rsidP="007504B6">
      <w:pPr>
        <w:pStyle w:val="ListBullet"/>
      </w:pPr>
      <w:r w:rsidRPr="0029222E">
        <w:t xml:space="preserve">RoadTek’s ongoing cultural change activities including the implementation of the </w:t>
      </w:r>
      <w:r w:rsidRPr="00F02FEE">
        <w:rPr>
          <w:rStyle w:val="Emphasis"/>
        </w:rPr>
        <w:t>RoadTek Respect Action Plan</w:t>
      </w:r>
    </w:p>
    <w:p w14:paraId="7339D629" w14:textId="77777777" w:rsidR="007504B6" w:rsidRPr="0029222E" w:rsidRDefault="007504B6" w:rsidP="007504B6">
      <w:pPr>
        <w:pStyle w:val="ListBullet"/>
      </w:pPr>
      <w:r>
        <w:t>s</w:t>
      </w:r>
      <w:r w:rsidRPr="0029222E">
        <w:t>hap</w:t>
      </w:r>
      <w:r>
        <w:t>ed</w:t>
      </w:r>
      <w:r w:rsidRPr="0029222E">
        <w:t xml:space="preserve"> RoadTek's strategic direction, through engagement and development of the Value Laden Statements, and progress towards setting RoadTek's 10 </w:t>
      </w:r>
      <w:r>
        <w:t>y</w:t>
      </w:r>
      <w:r w:rsidRPr="0029222E">
        <w:t>ear strategy</w:t>
      </w:r>
    </w:p>
    <w:p w14:paraId="0CD9CF8B" w14:textId="77777777" w:rsidR="007504B6" w:rsidRPr="0029222E" w:rsidRDefault="007504B6" w:rsidP="007504B6">
      <w:pPr>
        <w:pStyle w:val="ListBullet"/>
      </w:pPr>
      <w:r w:rsidRPr="0029222E">
        <w:t xml:space="preserve">RoadTek’s environmental performance against the REP2030 continues to see increasing positive results in waste being diverted from landfill to recycling centers and increased solar power generation </w:t>
      </w:r>
    </w:p>
    <w:p w14:paraId="1AFBC9A9" w14:textId="77777777" w:rsidR="007504B6" w:rsidRPr="0029222E" w:rsidRDefault="007504B6" w:rsidP="007504B6">
      <w:pPr>
        <w:pStyle w:val="ListBullet"/>
      </w:pPr>
      <w:r>
        <w:t>c</w:t>
      </w:r>
      <w:r w:rsidRPr="0029222E">
        <w:t>onsider</w:t>
      </w:r>
      <w:r>
        <w:t>ed</w:t>
      </w:r>
      <w:r w:rsidRPr="0029222E">
        <w:t xml:space="preserve"> the results of the externally led review of the Transport and Main Roads</w:t>
      </w:r>
      <w:r>
        <w:t>'</w:t>
      </w:r>
      <w:r w:rsidRPr="0029222E">
        <w:t xml:space="preserve"> Commercialisation Framework.</w:t>
      </w:r>
    </w:p>
    <w:p w14:paraId="48741AC8" w14:textId="77777777" w:rsidR="007504B6" w:rsidRPr="00DC1A33" w:rsidRDefault="007504B6" w:rsidP="007504B6">
      <w:pPr>
        <w:pStyle w:val="Heading3"/>
      </w:pPr>
      <w:r w:rsidRPr="00B36316">
        <w:t xml:space="preserve">TMR People and Capability </w:t>
      </w:r>
      <w:r w:rsidRPr="005C0AD0">
        <w:t>Board</w:t>
      </w:r>
      <w:r w:rsidRPr="00B36316">
        <w:t xml:space="preserve"> </w:t>
      </w:r>
    </w:p>
    <w:p w14:paraId="293441F3" w14:textId="77777777" w:rsidR="007504B6" w:rsidRPr="00CE01EE" w:rsidRDefault="007504B6" w:rsidP="007504B6">
      <w:r w:rsidRPr="00CE01EE">
        <w:t xml:space="preserve">The TMR People and Capability Board (TPaC) provides governance to the </w:t>
      </w:r>
      <w:r>
        <w:t>ELT</w:t>
      </w:r>
      <w:r w:rsidRPr="00CE01EE">
        <w:t xml:space="preserve"> and the Chief People and Culture Officer on the attraction, development, engagement</w:t>
      </w:r>
      <w:r>
        <w:t>,</w:t>
      </w:r>
      <w:r w:rsidRPr="00CE01EE">
        <w:t xml:space="preserve"> and wellbeing of TMR’s workforce. </w:t>
      </w:r>
    </w:p>
    <w:p w14:paraId="54D2D234" w14:textId="77777777" w:rsidR="007504B6" w:rsidRPr="00CE01EE" w:rsidRDefault="007504B6" w:rsidP="007504B6">
      <w:r w:rsidRPr="00CE01EE">
        <w:lastRenderedPageBreak/>
        <w:t xml:space="preserve">In 2022, TPaC approved the TMR </w:t>
      </w:r>
      <w:r w:rsidRPr="00B06012">
        <w:rPr>
          <w:rStyle w:val="Emphasis"/>
        </w:rPr>
        <w:t>Strategic Workforce Plan 2020–2024 (revised for 2022–2024)</w:t>
      </w:r>
      <w:r w:rsidRPr="00CE01EE">
        <w:t xml:space="preserve"> and continues to drive and monitor our workforce capability, culture</w:t>
      </w:r>
      <w:r>
        <w:t>,</w:t>
      </w:r>
      <w:r w:rsidRPr="00CE01EE">
        <w:t xml:space="preserve"> and wellbeing objectives, that will foster TMR as an employer of choice. </w:t>
      </w:r>
    </w:p>
    <w:p w14:paraId="36D7074F" w14:textId="77777777" w:rsidR="007504B6" w:rsidRPr="00CE01EE" w:rsidRDefault="007504B6" w:rsidP="007504B6">
      <w:r w:rsidRPr="00B06012">
        <w:rPr>
          <w:rStyle w:val="Strong"/>
        </w:rPr>
        <w:t>Chair:</w:t>
      </w:r>
      <w:r w:rsidRPr="00CE01EE">
        <w:t xml:space="preserve"> Director-General </w:t>
      </w:r>
    </w:p>
    <w:p w14:paraId="7240232F" w14:textId="77777777" w:rsidR="007504B6" w:rsidRPr="006C66C4" w:rsidRDefault="007504B6" w:rsidP="007504B6">
      <w:pPr>
        <w:rPr>
          <w:rStyle w:val="Strong"/>
        </w:rPr>
      </w:pPr>
      <w:r w:rsidRPr="006C66C4">
        <w:rPr>
          <w:rStyle w:val="Strong"/>
        </w:rPr>
        <w:t>Members: </w:t>
      </w:r>
    </w:p>
    <w:p w14:paraId="2192B8D6" w14:textId="77777777" w:rsidR="007504B6" w:rsidRPr="00CE01EE" w:rsidRDefault="007504B6" w:rsidP="007504B6">
      <w:pPr>
        <w:pStyle w:val="ListBullet"/>
      </w:pPr>
      <w:r w:rsidRPr="00CE01EE">
        <w:t>Deputy Director-General (Corporate) - Deputy Chair </w:t>
      </w:r>
    </w:p>
    <w:p w14:paraId="14C9BFD6" w14:textId="77777777" w:rsidR="007504B6" w:rsidRPr="00CE01EE" w:rsidRDefault="007504B6" w:rsidP="007504B6">
      <w:pPr>
        <w:pStyle w:val="ListBullet"/>
      </w:pPr>
      <w:r w:rsidRPr="00CE01EE">
        <w:t>Chief Operations Officer </w:t>
      </w:r>
    </w:p>
    <w:p w14:paraId="1AD14345" w14:textId="77777777" w:rsidR="007504B6" w:rsidRPr="00CE01EE" w:rsidRDefault="007504B6" w:rsidP="007504B6">
      <w:pPr>
        <w:pStyle w:val="ListBullet"/>
      </w:pPr>
      <w:r w:rsidRPr="00CE01EE">
        <w:t>Deputy Director-General (Customer Services, Safety and Regulation) </w:t>
      </w:r>
    </w:p>
    <w:p w14:paraId="690E6F54" w14:textId="77777777" w:rsidR="007504B6" w:rsidRPr="00CE01EE" w:rsidRDefault="007504B6" w:rsidP="007504B6">
      <w:pPr>
        <w:pStyle w:val="ListBullet"/>
      </w:pPr>
      <w:r w:rsidRPr="00CE01EE">
        <w:t>Deputy Director-General (Infrastructure Management and Delivery) </w:t>
      </w:r>
    </w:p>
    <w:p w14:paraId="69D1CB5F" w14:textId="77777777" w:rsidR="007504B6" w:rsidRPr="00CE01EE" w:rsidRDefault="007504B6" w:rsidP="007504B6">
      <w:pPr>
        <w:pStyle w:val="ListBullet"/>
      </w:pPr>
      <w:r w:rsidRPr="00CE01EE">
        <w:t>Deputy Director-General (Policy, Planning and Investment) </w:t>
      </w:r>
    </w:p>
    <w:p w14:paraId="3073DDE5" w14:textId="77777777" w:rsidR="007504B6" w:rsidRPr="00CE01EE" w:rsidRDefault="007504B6" w:rsidP="007504B6">
      <w:pPr>
        <w:pStyle w:val="ListBullet"/>
      </w:pPr>
      <w:r w:rsidRPr="00CE01EE">
        <w:t>Deputy Director-General (Translink) </w:t>
      </w:r>
    </w:p>
    <w:p w14:paraId="6814609F" w14:textId="77777777" w:rsidR="007504B6" w:rsidRPr="00CE01EE" w:rsidRDefault="007504B6" w:rsidP="007504B6">
      <w:pPr>
        <w:pStyle w:val="ListBullet"/>
      </w:pPr>
      <w:r w:rsidRPr="00CE01EE">
        <w:t>Chief Finance Officer</w:t>
      </w:r>
    </w:p>
    <w:p w14:paraId="70CBAA12" w14:textId="77777777" w:rsidR="007504B6" w:rsidRPr="00CE01EE" w:rsidRDefault="007504B6" w:rsidP="007504B6">
      <w:pPr>
        <w:pStyle w:val="ListBullet"/>
      </w:pPr>
      <w:r w:rsidRPr="00CE01EE">
        <w:t>Chief People and Culture Officer. </w:t>
      </w:r>
    </w:p>
    <w:p w14:paraId="50486D79" w14:textId="77777777" w:rsidR="007504B6" w:rsidRPr="00CE01EE" w:rsidRDefault="007504B6" w:rsidP="007504B6">
      <w:r w:rsidRPr="00CE01EE">
        <w:t>Key achievements during 2022–23: </w:t>
      </w:r>
    </w:p>
    <w:p w14:paraId="059C9B65" w14:textId="77777777" w:rsidR="007504B6" w:rsidRPr="00CE01EE" w:rsidRDefault="007504B6" w:rsidP="007504B6">
      <w:pPr>
        <w:pStyle w:val="ListBullet"/>
      </w:pPr>
      <w:r>
        <w:t>i</w:t>
      </w:r>
      <w:r w:rsidRPr="00CE01EE">
        <w:t>mplementation of permanent roles for Graduate Program participants from 2022 cohort onwards</w:t>
      </w:r>
    </w:p>
    <w:p w14:paraId="64021C66" w14:textId="77777777" w:rsidR="007504B6" w:rsidRPr="00CE01EE" w:rsidRDefault="007504B6" w:rsidP="007504B6">
      <w:pPr>
        <w:pStyle w:val="ListBullet"/>
      </w:pPr>
      <w:r>
        <w:t>e</w:t>
      </w:r>
      <w:r w:rsidRPr="00CE01EE">
        <w:t>xploration of TMR's approach towards attracting and maintain talent</w:t>
      </w:r>
    </w:p>
    <w:p w14:paraId="4008636D" w14:textId="77777777" w:rsidR="007504B6" w:rsidRPr="00CE01EE" w:rsidRDefault="007504B6" w:rsidP="007504B6">
      <w:pPr>
        <w:pStyle w:val="ListBullet"/>
      </w:pPr>
      <w:r>
        <w:t>provided input for the</w:t>
      </w:r>
      <w:r w:rsidRPr="00CE01EE">
        <w:t xml:space="preserve"> consultation o</w:t>
      </w:r>
      <w:r>
        <w:t>n</w:t>
      </w:r>
      <w:r w:rsidRPr="00CE01EE">
        <w:t xml:space="preserve"> the </w:t>
      </w:r>
      <w:r w:rsidRPr="00C00F84">
        <w:rPr>
          <w:rStyle w:val="Emphasis"/>
        </w:rPr>
        <w:t>Strategic Workforce Plan</w:t>
      </w:r>
      <w:r w:rsidRPr="00CE01EE">
        <w:t xml:space="preserve"> and determined the priority projects on our path to a health</w:t>
      </w:r>
      <w:r>
        <w:t>y</w:t>
      </w:r>
      <w:r w:rsidRPr="00CE01EE">
        <w:t>, purpose driven, capable</w:t>
      </w:r>
      <w:r>
        <w:t>,</w:t>
      </w:r>
      <w:r w:rsidRPr="00CE01EE">
        <w:t xml:space="preserve"> and mobile workforce.</w:t>
      </w:r>
    </w:p>
    <w:p w14:paraId="1CDB156E" w14:textId="77777777" w:rsidR="007504B6" w:rsidRPr="00CE01EE" w:rsidRDefault="007504B6" w:rsidP="007504B6">
      <w:pPr>
        <w:pStyle w:val="ListBullet"/>
      </w:pPr>
      <w:r>
        <w:t>a</w:t>
      </w:r>
      <w:r w:rsidRPr="00CE01EE">
        <w:t xml:space="preserve">greed on a leadership focus to our 2022 </w:t>
      </w:r>
      <w:r>
        <w:t>WfQ</w:t>
      </w:r>
      <w:r w:rsidRPr="00CE01EE">
        <w:t xml:space="preserve"> results on workload  </w:t>
      </w:r>
    </w:p>
    <w:p w14:paraId="1BD1E5B8" w14:textId="77777777" w:rsidR="007504B6" w:rsidRDefault="007504B6" w:rsidP="007504B6">
      <w:pPr>
        <w:pStyle w:val="ListBullet"/>
      </w:pPr>
      <w:r>
        <w:t>r</w:t>
      </w:r>
      <w:r w:rsidRPr="00CE01EE">
        <w:t xml:space="preserve">eviewed the TPaC charter and implemented </w:t>
      </w:r>
      <w:r>
        <w:t xml:space="preserve">a </w:t>
      </w:r>
      <w:r w:rsidRPr="00CE01EE">
        <w:t>process to further communicat</w:t>
      </w:r>
      <w:r>
        <w:t>e</w:t>
      </w:r>
      <w:r w:rsidRPr="00CE01EE">
        <w:t xml:space="preserve"> board outcomes through bi-annual meetings with </w:t>
      </w:r>
      <w:r>
        <w:t>d</w:t>
      </w:r>
      <w:r w:rsidRPr="00CE01EE">
        <w:t xml:space="preserve">ivisional </w:t>
      </w:r>
      <w:r>
        <w:t>l</w:t>
      </w:r>
      <w:r w:rsidRPr="00CE01EE">
        <w:t xml:space="preserve">eadership </w:t>
      </w:r>
      <w:r>
        <w:t>t</w:t>
      </w:r>
      <w:r w:rsidRPr="00CE01EE">
        <w:t>eams</w:t>
      </w:r>
      <w:r>
        <w:t>.</w:t>
      </w:r>
    </w:p>
    <w:p w14:paraId="5E6685A1" w14:textId="77777777" w:rsidR="007504B6" w:rsidRPr="00DC1A33" w:rsidRDefault="007504B6" w:rsidP="007504B6">
      <w:pPr>
        <w:pStyle w:val="Heading3"/>
      </w:pPr>
      <w:r w:rsidRPr="004D06BF">
        <w:t>TMR Safety Board</w:t>
      </w:r>
    </w:p>
    <w:p w14:paraId="1E215DC3" w14:textId="77777777" w:rsidR="007504B6" w:rsidRDefault="007504B6" w:rsidP="007504B6">
      <w:r>
        <w:t>TMR’s Safety Board (TSafe) is a governance board of the ELT and meets quarterly. It is responsible for setting and enabling clear strategic direction and priorities that will build and maintain an effective safety culture and systems across TMR, and includes:</w:t>
      </w:r>
    </w:p>
    <w:p w14:paraId="0116C761" w14:textId="77777777" w:rsidR="007504B6" w:rsidRPr="00415D7C" w:rsidRDefault="007504B6" w:rsidP="007504B6">
      <w:pPr>
        <w:pStyle w:val="ListBullet"/>
      </w:pPr>
      <w:r w:rsidRPr="006C2B72">
        <w:t xml:space="preserve">monitoring of </w:t>
      </w:r>
      <w:r w:rsidRPr="00415D7C">
        <w:t>the Safety Enterprise Operating Risk and our strategic response</w:t>
      </w:r>
    </w:p>
    <w:p w14:paraId="61EB76EE" w14:textId="77777777" w:rsidR="007504B6" w:rsidRPr="00415D7C" w:rsidRDefault="007504B6" w:rsidP="007504B6">
      <w:pPr>
        <w:pStyle w:val="ListBullet"/>
      </w:pPr>
      <w:r w:rsidRPr="006C2B72">
        <w:t>sharing of safety information and lessons learnt across TMR</w:t>
      </w:r>
    </w:p>
    <w:p w14:paraId="213E6620" w14:textId="77777777" w:rsidR="007504B6" w:rsidRPr="00415D7C" w:rsidRDefault="007504B6" w:rsidP="007504B6">
      <w:pPr>
        <w:pStyle w:val="ListBullet"/>
      </w:pPr>
      <w:r w:rsidRPr="006C2B72">
        <w:t>building our safety capability across TMR</w:t>
      </w:r>
    </w:p>
    <w:p w14:paraId="71E09A83" w14:textId="77777777" w:rsidR="007504B6" w:rsidRPr="00415D7C" w:rsidRDefault="007504B6" w:rsidP="007504B6">
      <w:pPr>
        <w:pStyle w:val="ListBullet"/>
      </w:pPr>
      <w:r w:rsidRPr="006C2B72">
        <w:t>ensuring the successful delivery of the safety management system</w:t>
      </w:r>
    </w:p>
    <w:p w14:paraId="509478F8" w14:textId="77777777" w:rsidR="007504B6" w:rsidRPr="00415D7C" w:rsidRDefault="007504B6" w:rsidP="007504B6">
      <w:pPr>
        <w:pStyle w:val="ListBullet"/>
      </w:pPr>
      <w:r w:rsidRPr="006C2B72">
        <w:t>enabling strong safety performance, including the achievement of safety objectives</w:t>
      </w:r>
    </w:p>
    <w:p w14:paraId="6AF192CA" w14:textId="77777777" w:rsidR="007504B6" w:rsidRPr="00415D7C" w:rsidRDefault="007504B6" w:rsidP="007504B6">
      <w:pPr>
        <w:pStyle w:val="ListBullet"/>
      </w:pPr>
      <w:r w:rsidRPr="006C2B72">
        <w:t>ensuring safety priorities are communicated and workers are consulted on the potential impact of safety in their workplace</w:t>
      </w:r>
    </w:p>
    <w:p w14:paraId="50994146" w14:textId="51E855AF" w:rsidR="007504B6" w:rsidRPr="00415D7C" w:rsidRDefault="007504B6" w:rsidP="007504B6">
      <w:pPr>
        <w:pStyle w:val="ListBullet"/>
      </w:pPr>
      <w:r w:rsidRPr="006C2B72">
        <w:t>promoting safety programs and initiatives</w:t>
      </w:r>
    </w:p>
    <w:p w14:paraId="2269F7DE" w14:textId="77777777" w:rsidR="007504B6" w:rsidRPr="00415D7C" w:rsidRDefault="007504B6" w:rsidP="007504B6">
      <w:pPr>
        <w:pStyle w:val="ListBullet"/>
      </w:pPr>
      <w:r w:rsidRPr="006C2B72">
        <w:t>providing a forum where members can mature their understanding of risk and responsibility</w:t>
      </w:r>
    </w:p>
    <w:p w14:paraId="5656C688" w14:textId="77777777" w:rsidR="007504B6" w:rsidRPr="00415D7C" w:rsidRDefault="007504B6" w:rsidP="007504B6">
      <w:pPr>
        <w:pStyle w:val="ListBullet"/>
      </w:pPr>
      <w:r w:rsidRPr="006C2B72">
        <w:t>compl</w:t>
      </w:r>
      <w:r>
        <w:t>iance</w:t>
      </w:r>
      <w:r w:rsidRPr="006C2B72">
        <w:t xml:space="preserve"> with the </w:t>
      </w:r>
      <w:r w:rsidRPr="00415D7C">
        <w:rPr>
          <w:rStyle w:val="Emphasis"/>
        </w:rPr>
        <w:t>Work Health and Safety Act 2011</w:t>
      </w:r>
      <w:r w:rsidRPr="00415D7C">
        <w:t xml:space="preserve"> (the Act), associated regulations, codes of practice</w:t>
      </w:r>
      <w:r>
        <w:t>,</w:t>
      </w:r>
      <w:r w:rsidRPr="00415D7C">
        <w:t xml:space="preserve"> and advisory standards.</w:t>
      </w:r>
    </w:p>
    <w:p w14:paraId="5A0B22CD" w14:textId="77777777" w:rsidR="007504B6" w:rsidRDefault="007504B6" w:rsidP="007504B6">
      <w:r w:rsidRPr="006C2B72">
        <w:rPr>
          <w:rStyle w:val="Strong"/>
        </w:rPr>
        <w:t>Chair</w:t>
      </w:r>
      <w:r>
        <w:t>: Director-General</w:t>
      </w:r>
    </w:p>
    <w:p w14:paraId="7842F2AD" w14:textId="77777777" w:rsidR="007504B6" w:rsidRPr="006C2B72" w:rsidRDefault="007504B6" w:rsidP="007504B6">
      <w:pPr>
        <w:rPr>
          <w:rStyle w:val="Strong"/>
        </w:rPr>
      </w:pPr>
      <w:r w:rsidRPr="006C2B72">
        <w:rPr>
          <w:rStyle w:val="Strong"/>
        </w:rPr>
        <w:t>Members:</w:t>
      </w:r>
    </w:p>
    <w:p w14:paraId="3B64DFBE" w14:textId="77777777" w:rsidR="007504B6" w:rsidRPr="00415D7C" w:rsidRDefault="007504B6" w:rsidP="007504B6">
      <w:pPr>
        <w:pStyle w:val="ListBullet"/>
      </w:pPr>
      <w:r w:rsidRPr="006C2B72">
        <w:t>Chief People and Culture Officer - Deputy Chair</w:t>
      </w:r>
    </w:p>
    <w:p w14:paraId="27E85078" w14:textId="77777777" w:rsidR="007504B6" w:rsidRDefault="007504B6" w:rsidP="007504B6">
      <w:pPr>
        <w:pStyle w:val="ListBullet"/>
      </w:pPr>
      <w:r w:rsidRPr="006C2B72">
        <w:t xml:space="preserve">Chief Operations Officer </w:t>
      </w:r>
    </w:p>
    <w:p w14:paraId="1663DA45" w14:textId="77777777" w:rsidR="007504B6" w:rsidRPr="00415D7C" w:rsidRDefault="007504B6" w:rsidP="007504B6">
      <w:pPr>
        <w:pStyle w:val="ListBullet"/>
      </w:pPr>
      <w:r w:rsidRPr="006C2B72">
        <w:t>Deputy Director-General (Corporate)</w:t>
      </w:r>
    </w:p>
    <w:p w14:paraId="0FB95845" w14:textId="77777777" w:rsidR="007504B6" w:rsidRPr="00415D7C" w:rsidRDefault="007504B6" w:rsidP="007504B6">
      <w:pPr>
        <w:pStyle w:val="ListBullet"/>
      </w:pPr>
      <w:r w:rsidRPr="006C2B72">
        <w:t>Deputy Director-General (Policy, Planning and Investment)</w:t>
      </w:r>
    </w:p>
    <w:p w14:paraId="547C0251" w14:textId="77777777" w:rsidR="007504B6" w:rsidRPr="00415D7C" w:rsidRDefault="007504B6" w:rsidP="007504B6">
      <w:pPr>
        <w:pStyle w:val="ListBullet"/>
      </w:pPr>
      <w:r w:rsidRPr="006C2B72">
        <w:t>Deputy Director-General (Infrastructure Management and Delivery)</w:t>
      </w:r>
    </w:p>
    <w:p w14:paraId="3471C08F" w14:textId="77777777" w:rsidR="007504B6" w:rsidRPr="00415D7C" w:rsidRDefault="007504B6" w:rsidP="007504B6">
      <w:pPr>
        <w:pStyle w:val="ListBullet"/>
      </w:pPr>
      <w:r>
        <w:t>D</w:t>
      </w:r>
      <w:r w:rsidRPr="00415D7C">
        <w:t>eputy Director-General (Customer Service, Safety and Regulation)</w:t>
      </w:r>
    </w:p>
    <w:p w14:paraId="0AF4ED58" w14:textId="77777777" w:rsidR="007504B6" w:rsidRPr="00415D7C" w:rsidRDefault="007504B6" w:rsidP="007504B6">
      <w:pPr>
        <w:pStyle w:val="ListBullet"/>
      </w:pPr>
      <w:r>
        <w:lastRenderedPageBreak/>
        <w:t>D</w:t>
      </w:r>
      <w:r w:rsidRPr="00415D7C">
        <w:t>eputy Director-General (Translink)</w:t>
      </w:r>
      <w:r>
        <w:t>.</w:t>
      </w:r>
    </w:p>
    <w:p w14:paraId="7141EFB4" w14:textId="77777777" w:rsidR="007504B6" w:rsidRDefault="007504B6" w:rsidP="007504B6">
      <w:r>
        <w:t>Key achievements during 2022–23:</w:t>
      </w:r>
    </w:p>
    <w:p w14:paraId="0995C913" w14:textId="77777777" w:rsidR="007504B6" w:rsidRPr="00415D7C" w:rsidRDefault="007504B6" w:rsidP="007504B6">
      <w:pPr>
        <w:pStyle w:val="ListBullet"/>
      </w:pPr>
      <w:r>
        <w:t>e</w:t>
      </w:r>
      <w:r w:rsidRPr="00F82092">
        <w:t xml:space="preserve">ndorsed the </w:t>
      </w:r>
      <w:r w:rsidRPr="00E27D55">
        <w:rPr>
          <w:rStyle w:val="Emphasis"/>
        </w:rPr>
        <w:t>Safety Audit Plan</w:t>
      </w:r>
      <w:r w:rsidRPr="00F82092">
        <w:t xml:space="preserve"> for 2022</w:t>
      </w:r>
      <w:r>
        <w:t>–</w:t>
      </w:r>
      <w:r w:rsidRPr="00F82092">
        <w:t>23</w:t>
      </w:r>
      <w:r w:rsidRPr="00415D7C">
        <w:t>, which was developed to provide assurance to leaders in meeting workplace health and safety obligations</w:t>
      </w:r>
    </w:p>
    <w:p w14:paraId="524F9AF8" w14:textId="77777777" w:rsidR="007504B6" w:rsidRPr="00415D7C" w:rsidRDefault="007504B6" w:rsidP="007504B6">
      <w:pPr>
        <w:pStyle w:val="ListBullet"/>
      </w:pPr>
      <w:r>
        <w:t>endorsed the d</w:t>
      </w:r>
      <w:r w:rsidRPr="00415D7C">
        <w:t>evelopment of a TMR Workplace Psychological Health Framework to support the TMR Mental Health and Wellbeing Strategy and elevate the management of workplace psychological health</w:t>
      </w:r>
    </w:p>
    <w:p w14:paraId="52F8F75B" w14:textId="77777777" w:rsidR="007504B6" w:rsidRDefault="007504B6" w:rsidP="007504B6">
      <w:pPr>
        <w:pStyle w:val="ListBullet"/>
      </w:pPr>
      <w:r>
        <w:t>endorsed the d</w:t>
      </w:r>
      <w:r w:rsidRPr="00415D7C">
        <w:t>esign and commencement of delivery of a training and development program associated with increasing capability for the management of workplace psychosocial hazards</w:t>
      </w:r>
    </w:p>
    <w:p w14:paraId="3436410A" w14:textId="77777777" w:rsidR="007504B6" w:rsidRPr="00415D7C" w:rsidRDefault="007504B6" w:rsidP="007504B6">
      <w:pPr>
        <w:pStyle w:val="ListBullet"/>
      </w:pPr>
      <w:r>
        <w:t xml:space="preserve">championed the revision of </w:t>
      </w:r>
      <w:r w:rsidRPr="00B36139">
        <w:rPr>
          <w:rStyle w:val="Emphasis"/>
          <w:i w:val="0"/>
          <w:iCs w:val="0"/>
        </w:rPr>
        <w:t>the</w:t>
      </w:r>
      <w:r w:rsidRPr="00BC70EB">
        <w:rPr>
          <w:rStyle w:val="Emphasis"/>
        </w:rPr>
        <w:t xml:space="preserve"> Safety Leadership Charter </w:t>
      </w:r>
      <w:r>
        <w:t>which outlines TMR's</w:t>
      </w:r>
      <w:r w:rsidRPr="00415D7C">
        <w:t xml:space="preserve"> Senior Leadership Team and a commitment to putting people first and driving safety as a core value across the business</w:t>
      </w:r>
    </w:p>
    <w:p w14:paraId="2069F473" w14:textId="77777777" w:rsidR="007504B6" w:rsidRPr="009601AA" w:rsidRDefault="007504B6" w:rsidP="007504B6">
      <w:pPr>
        <w:pStyle w:val="ListBullet"/>
      </w:pPr>
      <w:r>
        <w:t xml:space="preserve">oversaw the </w:t>
      </w:r>
      <w:r w:rsidRPr="00415D7C">
        <w:t>whole-of-</w:t>
      </w:r>
      <w:r>
        <w:t>g</w:t>
      </w:r>
      <w:r w:rsidRPr="00415D7C">
        <w:t>overnment procurement of a technology solution for workplace</w:t>
      </w:r>
      <w:r>
        <w:t>,</w:t>
      </w:r>
      <w:r w:rsidRPr="00415D7C">
        <w:t xml:space="preserve"> health and safety that reinforces TMR's commitment to ensuring safety is a priority to the people.</w:t>
      </w:r>
    </w:p>
    <w:p w14:paraId="23D83BD5" w14:textId="76E8C3CF" w:rsidR="007504B6" w:rsidRPr="007F2555" w:rsidRDefault="007504B6" w:rsidP="007504B6">
      <w:pPr>
        <w:pStyle w:val="Heading2"/>
      </w:pPr>
      <w:r w:rsidRPr="007F2555">
        <w:t xml:space="preserve">Robust </w:t>
      </w:r>
      <w:r>
        <w:t>m</w:t>
      </w:r>
      <w:r w:rsidRPr="007F2555">
        <w:t xml:space="preserve">anagement </w:t>
      </w:r>
      <w:r>
        <w:t>s</w:t>
      </w:r>
      <w:r w:rsidRPr="007F2555">
        <w:t>tandards</w:t>
      </w:r>
    </w:p>
    <w:p w14:paraId="397C1E7D" w14:textId="77777777" w:rsidR="007504B6" w:rsidRPr="007F2555" w:rsidRDefault="007504B6" w:rsidP="007504B6">
      <w:pPr>
        <w:pStyle w:val="Heading3"/>
      </w:pPr>
      <w:r w:rsidRPr="007F2555">
        <w:t xml:space="preserve">Information </w:t>
      </w:r>
      <w:r>
        <w:t>m</w:t>
      </w:r>
      <w:r w:rsidRPr="007F2555">
        <w:t>anagement</w:t>
      </w:r>
    </w:p>
    <w:p w14:paraId="69AA7F85" w14:textId="77777777" w:rsidR="007504B6" w:rsidRPr="007F2555" w:rsidRDefault="007504B6" w:rsidP="007504B6">
      <w:r w:rsidRPr="007F2555">
        <w:t xml:space="preserve">Driven by the </w:t>
      </w:r>
      <w:r w:rsidRPr="0016692E">
        <w:rPr>
          <w:rStyle w:val="Emphasis"/>
        </w:rPr>
        <w:t>Information Management (IM) Strategy 2021–26</w:t>
      </w:r>
      <w:r w:rsidRPr="007F2555">
        <w:t xml:space="preserve"> and five</w:t>
      </w:r>
      <w:r>
        <w:t xml:space="preserve"> </w:t>
      </w:r>
      <w:r w:rsidRPr="007F2555">
        <w:t>year Roadmap, TMR has progressed its IM Program to leverage contemporary ICT solutions, optimise IM processes, uplift IM culture, and improve information governance. The transformation will ensure staff have access to the right information at the right time to make informed decisions, achieve efficiencies</w:t>
      </w:r>
      <w:r>
        <w:t>,</w:t>
      </w:r>
      <w:r w:rsidRPr="007F2555">
        <w:t xml:space="preserve"> and seamless service delivery.</w:t>
      </w:r>
    </w:p>
    <w:p w14:paraId="4CEAF08D" w14:textId="77777777" w:rsidR="007504B6" w:rsidRPr="007F2555" w:rsidRDefault="007504B6" w:rsidP="007504B6">
      <w:r w:rsidRPr="007F2555">
        <w:t>Detailed planning for a new content management solution is underway, following approval of preliminary evaluations in late 2022. The project</w:t>
      </w:r>
      <w:r w:rsidRPr="007F2555" w:rsidDel="000A237E">
        <w:t xml:space="preserve"> </w:t>
      </w:r>
      <w:r w:rsidRPr="007F2555">
        <w:t xml:space="preserve">will analyse contemporary and compliant solutions </w:t>
      </w:r>
      <w:r w:rsidRPr="007F2555" w:rsidDel="00450E27">
        <w:t>to</w:t>
      </w:r>
      <w:r w:rsidRPr="007F2555">
        <w:t xml:space="preserve"> take TMR into the future and retire multiple legacy systems.</w:t>
      </w:r>
    </w:p>
    <w:p w14:paraId="6C1B25E4" w14:textId="77777777" w:rsidR="007504B6" w:rsidRPr="007F2555" w:rsidRDefault="007504B6" w:rsidP="007504B6">
      <w:r w:rsidRPr="007F2555">
        <w:t>The transformation of TMR's intranet to SharePoint Online has commenced this year, which will establish the platform as an authoritative source of information for staff, as well as improve collaboration and information sharing.</w:t>
      </w:r>
      <w:r>
        <w:t xml:space="preserve"> This transformation is anchored in the TMR Intranet Strategy. </w:t>
      </w:r>
    </w:p>
    <w:p w14:paraId="68897F68" w14:textId="77777777" w:rsidR="007504B6" w:rsidRDefault="007504B6" w:rsidP="007504B6">
      <w:pPr>
        <w:rPr>
          <w:lang w:val="en-AU"/>
        </w:rPr>
      </w:pPr>
      <w:r w:rsidRPr="007F2555" w:rsidDel="00BC6037">
        <w:t>The</w:t>
      </w:r>
      <w:r w:rsidRPr="007F2555">
        <w:t xml:space="preserve"> design of a new </w:t>
      </w:r>
      <w:r>
        <w:t>IM</w:t>
      </w:r>
      <w:r w:rsidRPr="007F2555">
        <w:t xml:space="preserve"> </w:t>
      </w:r>
      <w:r>
        <w:t>f</w:t>
      </w:r>
      <w:r w:rsidRPr="007F2555">
        <w:t xml:space="preserve">ramework, </w:t>
      </w:r>
      <w:r>
        <w:t>p</w:t>
      </w:r>
      <w:r w:rsidRPr="007F2555">
        <w:t xml:space="preserve">olicy </w:t>
      </w:r>
      <w:r>
        <w:t>f</w:t>
      </w:r>
      <w:r w:rsidRPr="007F2555">
        <w:t>ramework</w:t>
      </w:r>
      <w:r>
        <w:t>,</w:t>
      </w:r>
      <w:r w:rsidRPr="007F2555">
        <w:t xml:space="preserve"> and </w:t>
      </w:r>
      <w:r>
        <w:t>g</w:t>
      </w:r>
      <w:r w:rsidRPr="007F2555">
        <w:t xml:space="preserve">overnance </w:t>
      </w:r>
      <w:r>
        <w:t>m</w:t>
      </w:r>
      <w:r w:rsidRPr="007F2555">
        <w:t>odel was completed in late</w:t>
      </w:r>
      <w:r>
        <w:t>-</w:t>
      </w:r>
      <w:r w:rsidRPr="007F2555">
        <w:t xml:space="preserve">2022, with activities to operationalise these commencing 2023. The </w:t>
      </w:r>
      <w:r>
        <w:t>IM</w:t>
      </w:r>
      <w:r w:rsidRPr="007F2555">
        <w:t xml:space="preserve"> Framework sets out the principles, requirements, and roles, providing a robust</w:t>
      </w:r>
      <w:r w:rsidRPr="009A589A">
        <w:rPr>
          <w:lang w:val="en-AU"/>
        </w:rPr>
        <w:t xml:space="preserve"> approach to best practice information management. </w:t>
      </w:r>
    </w:p>
    <w:p w14:paraId="7DE9A20D" w14:textId="08B09CA3" w:rsidR="007504B6" w:rsidRPr="007F2555" w:rsidRDefault="007504B6" w:rsidP="007504B6">
      <w:pPr>
        <w:pStyle w:val="Heading3"/>
      </w:pPr>
      <w:r w:rsidRPr="007F2555">
        <w:t xml:space="preserve">Information </w:t>
      </w:r>
      <w:r>
        <w:t>p</w:t>
      </w:r>
      <w:r w:rsidRPr="007F2555">
        <w:t>rivacy</w:t>
      </w:r>
    </w:p>
    <w:p w14:paraId="06FAD4CC" w14:textId="77777777" w:rsidR="007504B6" w:rsidRPr="007F2555" w:rsidRDefault="007504B6" w:rsidP="007504B6">
      <w:r w:rsidRPr="007F2555">
        <w:t xml:space="preserve">Queensland’s </w:t>
      </w:r>
      <w:r>
        <w:t>i</w:t>
      </w:r>
      <w:r w:rsidRPr="007F2555">
        <w:t xml:space="preserve">nformation </w:t>
      </w:r>
      <w:r>
        <w:t>p</w:t>
      </w:r>
      <w:r w:rsidRPr="007F2555">
        <w:t xml:space="preserve">rivacy legislation is designed to provide a framework for the lawful management and handling of individuals’ personal information. TMR is committed to protecting the personal information it holds in accordance with its obligations under the </w:t>
      </w:r>
      <w:r w:rsidRPr="00AC78DB">
        <w:rPr>
          <w:rStyle w:val="Emphasis"/>
        </w:rPr>
        <w:t>Information Privacy Act 2009</w:t>
      </w:r>
      <w:r w:rsidRPr="007F2555">
        <w:t xml:space="preserve"> (IP Act). The IP Act regulates how personal information is collected, stored, used</w:t>
      </w:r>
      <w:r>
        <w:t>,</w:t>
      </w:r>
      <w:r w:rsidRPr="007F2555">
        <w:t xml:space="preserve"> and disclosed by all Queensland Government agencies and their contracted service providers. </w:t>
      </w:r>
    </w:p>
    <w:p w14:paraId="5FC24430" w14:textId="77777777" w:rsidR="007504B6" w:rsidRPr="007F2555" w:rsidRDefault="007504B6" w:rsidP="007504B6">
      <w:r w:rsidRPr="007F2555">
        <w:t>In 2022–23, TMR has continued to improve its guidelines, policies</w:t>
      </w:r>
      <w:r>
        <w:t>,</w:t>
      </w:r>
      <w:r w:rsidRPr="007F2555">
        <w:t xml:space="preserve"> and procedures to support the effective management of personal information in order to meet community expectations and compliance obligations.</w:t>
      </w:r>
    </w:p>
    <w:p w14:paraId="3ABEDA7A" w14:textId="77777777" w:rsidR="007504B6" w:rsidRPr="007F2555" w:rsidRDefault="007504B6" w:rsidP="007504B6">
      <w:r w:rsidRPr="007F2555">
        <w:t>TMR provides employees with awareness on information privacy through face-to-face training, a mandatory online course, and regular internal communications, including animated case studies, yammer publications</w:t>
      </w:r>
      <w:r>
        <w:t>,</w:t>
      </w:r>
      <w:r w:rsidRPr="007F2555">
        <w:t xml:space="preserve"> and screensavers. These regular communications provide employees with a comprehensive awareness of how the information privacy principles apply to an employee’s day-to-day responsibilities.</w:t>
      </w:r>
    </w:p>
    <w:p w14:paraId="46D04985" w14:textId="77777777" w:rsidR="007504B6" w:rsidRPr="007F2555" w:rsidRDefault="007504B6" w:rsidP="007504B6">
      <w:r w:rsidRPr="007F2555">
        <w:t>TMR's Information Privacy Plan demonstrates to members of the public how TMR meets its obligations under the IP Act. This plan provides a guideline for employees and contractors of TMR who deal with personal information and illustrates TMR’s commitment to respecting the privacy rights of employees and members of the public.</w:t>
      </w:r>
    </w:p>
    <w:p w14:paraId="3FA14CEE" w14:textId="77777777" w:rsidR="007504B6" w:rsidRPr="00EC346E" w:rsidRDefault="007504B6" w:rsidP="007504B6">
      <w:r w:rsidRPr="00EC346E">
        <w:lastRenderedPageBreak/>
        <w:t xml:space="preserve">TMR is increasingly </w:t>
      </w:r>
      <w:r>
        <w:t>using</w:t>
      </w:r>
      <w:r w:rsidRPr="00EC346E">
        <w:t xml:space="preserve"> emerging technologies to carry out</w:t>
      </w:r>
      <w:r>
        <w:t xml:space="preserve"> its</w:t>
      </w:r>
      <w:r w:rsidRPr="00EC346E">
        <w:t xml:space="preserve"> functions, inform policy and deliver services. To ensure compliance with the</w:t>
      </w:r>
      <w:r>
        <w:t xml:space="preserve"> IP Act and the</w:t>
      </w:r>
      <w:r w:rsidRPr="00EC346E">
        <w:t xml:space="preserve"> Information Privacy Principles, TMR actively conducts Privacy Impact Assessments to </w:t>
      </w:r>
      <w:r>
        <w:t>embed</w:t>
      </w:r>
      <w:r w:rsidRPr="00EC346E">
        <w:t xml:space="preserve"> privacy </w:t>
      </w:r>
      <w:r>
        <w:t xml:space="preserve">protections </w:t>
      </w:r>
      <w:r w:rsidRPr="00EC346E">
        <w:t>when planning and delivering projects and program</w:t>
      </w:r>
      <w:r>
        <w:t>s</w:t>
      </w:r>
      <w:r w:rsidRPr="00EC346E">
        <w:t xml:space="preserve"> </w:t>
      </w:r>
      <w:r>
        <w:t>that</w:t>
      </w:r>
      <w:r w:rsidRPr="00EC346E">
        <w:t xml:space="preserve"> involve the management of personal information. </w:t>
      </w:r>
    </w:p>
    <w:p w14:paraId="2A112998" w14:textId="77777777" w:rsidR="007504B6" w:rsidRPr="00EC346E" w:rsidRDefault="007504B6" w:rsidP="007504B6">
      <w:r>
        <w:t xml:space="preserve">As TMR's </w:t>
      </w:r>
      <w:r w:rsidRPr="009F4D6C">
        <w:t>dedicated Privacy Champion</w:t>
      </w:r>
      <w:r>
        <w:t>, t</w:t>
      </w:r>
      <w:r w:rsidRPr="00EC346E">
        <w:t xml:space="preserve">he Director-General continues to provide and support awareness campaigns and resources to TMR staff to </w:t>
      </w:r>
      <w:r>
        <w:t>promote</w:t>
      </w:r>
      <w:r w:rsidRPr="00EC346E">
        <w:t xml:space="preserve"> a culture that respects</w:t>
      </w:r>
      <w:r>
        <w:t xml:space="preserve"> and protects</w:t>
      </w:r>
      <w:r w:rsidRPr="00EC346E">
        <w:t xml:space="preserve"> the personal information of staff and customers. </w:t>
      </w:r>
    </w:p>
    <w:p w14:paraId="6F756B9B" w14:textId="77777777" w:rsidR="007504B6" w:rsidRDefault="007504B6" w:rsidP="007504B6">
      <w:pPr>
        <w:pStyle w:val="ForMoreInformation"/>
        <w:rPr>
          <w:rStyle w:val="Hyperlink"/>
        </w:rPr>
      </w:pPr>
      <w:r>
        <w:t xml:space="preserve">For more information </w:t>
      </w:r>
      <w:r>
        <w:br/>
      </w:r>
      <w:r w:rsidRPr="00E347C9">
        <w:rPr>
          <w:rStyle w:val="Hyperlink"/>
        </w:rPr>
        <w:t>https://www.tmr.qld.gov.au/Help/Privacy</w:t>
      </w:r>
    </w:p>
    <w:p w14:paraId="06AE0CC7" w14:textId="77777777" w:rsidR="007504B6" w:rsidRPr="00175CDC" w:rsidRDefault="007504B6" w:rsidP="007504B6">
      <w:pPr>
        <w:pStyle w:val="Heading3"/>
      </w:pPr>
      <w:r w:rsidRPr="00175CDC">
        <w:t xml:space="preserve">Information </w:t>
      </w:r>
      <w:r>
        <w:t>s</w:t>
      </w:r>
      <w:r w:rsidRPr="00175CDC">
        <w:t xml:space="preserve">ecurity </w:t>
      </w:r>
      <w:r>
        <w:t>m</w:t>
      </w:r>
      <w:r w:rsidRPr="00175CDC">
        <w:t xml:space="preserve">anagement </w:t>
      </w:r>
      <w:r>
        <w:t>s</w:t>
      </w:r>
      <w:r w:rsidRPr="00175CDC">
        <w:t>ystem</w:t>
      </w:r>
    </w:p>
    <w:p w14:paraId="5E2CDE52" w14:textId="77777777" w:rsidR="007504B6" w:rsidRPr="007F2555" w:rsidRDefault="007504B6" w:rsidP="007504B6">
      <w:r w:rsidRPr="007F2555">
        <w:t>TMR is heavily reliant on digital technologies, devices, applications</w:t>
      </w:r>
      <w:r>
        <w:t>,</w:t>
      </w:r>
      <w:r w:rsidRPr="007F2555">
        <w:t xml:space="preserve"> and business systems to deliver a range of core and critical services to our customers.</w:t>
      </w:r>
    </w:p>
    <w:p w14:paraId="7A59DA2F" w14:textId="77777777" w:rsidR="007504B6" w:rsidRPr="007F2555" w:rsidRDefault="007504B6" w:rsidP="007504B6">
      <w:r w:rsidRPr="007F2555">
        <w:t>To ensure TMR's information, application, technology</w:t>
      </w:r>
      <w:r>
        <w:t>,</w:t>
      </w:r>
      <w:r w:rsidRPr="007F2555">
        <w:t xml:space="preserve"> and critical infrastructure assets are appropriately protected</w:t>
      </w:r>
      <w:r>
        <w:t xml:space="preserve"> TMR</w:t>
      </w:r>
      <w:r w:rsidRPr="007F2555">
        <w:t xml:space="preserve"> complies with the requirements of the Queensland Government Information Security Policy (IS18:2018).</w:t>
      </w:r>
    </w:p>
    <w:p w14:paraId="64143A94" w14:textId="77777777" w:rsidR="007504B6" w:rsidRPr="007F2555" w:rsidRDefault="007504B6" w:rsidP="007504B6">
      <w:r w:rsidRPr="007F2555">
        <w:t xml:space="preserve">In accordance with IS18:2018, TMR </w:t>
      </w:r>
      <w:r>
        <w:t>utilises</w:t>
      </w:r>
      <w:r w:rsidRPr="007F2555">
        <w:t xml:space="preserve"> an </w:t>
      </w:r>
      <w:r>
        <w:t>i</w:t>
      </w:r>
      <w:r w:rsidRPr="007F2555">
        <w:t xml:space="preserve">nformation </w:t>
      </w:r>
      <w:r>
        <w:t>s</w:t>
      </w:r>
      <w:r w:rsidRPr="007F2555">
        <w:t xml:space="preserve">ecurity </w:t>
      </w:r>
      <w:r>
        <w:t>m</w:t>
      </w:r>
      <w:r w:rsidRPr="007F2555">
        <w:t xml:space="preserve">anagement </w:t>
      </w:r>
      <w:r>
        <w:t>s</w:t>
      </w:r>
      <w:r w:rsidRPr="007F2555">
        <w:t>ystem in place which forms the basis of the governance, processes, and controls necessary to ensure risks to TMR's systems and information are understood and effectively managed.</w:t>
      </w:r>
    </w:p>
    <w:p w14:paraId="77182331" w14:textId="77777777" w:rsidR="007504B6" w:rsidRPr="007F2555" w:rsidRDefault="007504B6" w:rsidP="007504B6">
      <w:r>
        <w:t xml:space="preserve">TMR continues to prioritise maturing its ISMS framework of policies and controls that manage security and risks </w:t>
      </w:r>
      <w:r w:rsidRPr="007F2555">
        <w:t>and continues to improve TMR's security posture through:</w:t>
      </w:r>
    </w:p>
    <w:p w14:paraId="740B106D" w14:textId="77777777" w:rsidR="007504B6" w:rsidRPr="007F2555" w:rsidRDefault="007504B6" w:rsidP="007504B6">
      <w:pPr>
        <w:pStyle w:val="ListBullet"/>
      </w:pPr>
      <w:r w:rsidRPr="007F2555">
        <w:t xml:space="preserve">ongoing cyber security education and awareness campaigns supported by mandatory annual training for all staff </w:t>
      </w:r>
    </w:p>
    <w:p w14:paraId="678208BA" w14:textId="77777777" w:rsidR="007504B6" w:rsidRPr="007F2555" w:rsidRDefault="007504B6" w:rsidP="007504B6">
      <w:pPr>
        <w:pStyle w:val="ListBullet"/>
      </w:pPr>
      <w:r w:rsidRPr="007F2555">
        <w:t>the development and implementation of the Cyber Security Strategy and Roadmap 2023–26</w:t>
      </w:r>
    </w:p>
    <w:p w14:paraId="0295AD67" w14:textId="77777777" w:rsidR="007504B6" w:rsidRPr="007F2555" w:rsidRDefault="007504B6" w:rsidP="007504B6">
      <w:pPr>
        <w:pStyle w:val="ListBullet"/>
      </w:pPr>
      <w:r w:rsidRPr="007F2555">
        <w:t>increased response in relation to external breaches</w:t>
      </w:r>
    </w:p>
    <w:p w14:paraId="4329F620" w14:textId="77777777" w:rsidR="007504B6" w:rsidRPr="007F2555" w:rsidRDefault="007504B6" w:rsidP="007504B6">
      <w:pPr>
        <w:pStyle w:val="ListBullet"/>
      </w:pPr>
      <w:r w:rsidRPr="007F2555">
        <w:t>effective governance responsible for the implementation of strategy, policy, standards</w:t>
      </w:r>
      <w:r>
        <w:t>,</w:t>
      </w:r>
      <w:r w:rsidRPr="007F2555">
        <w:t xml:space="preserve"> and processes </w:t>
      </w:r>
    </w:p>
    <w:p w14:paraId="3BD3FBD3" w14:textId="77777777" w:rsidR="007504B6" w:rsidRPr="007F2555" w:rsidRDefault="007504B6" w:rsidP="007504B6">
      <w:pPr>
        <w:pStyle w:val="ListBullet"/>
      </w:pPr>
      <w:r w:rsidRPr="007F2555">
        <w:t>actively reporting, monitoring, mitigating</w:t>
      </w:r>
      <w:r>
        <w:t>,</w:t>
      </w:r>
      <w:r w:rsidRPr="007F2555">
        <w:t xml:space="preserve"> and ongoing management of information security and cyber risks</w:t>
      </w:r>
    </w:p>
    <w:p w14:paraId="4E70A219" w14:textId="77777777" w:rsidR="007504B6" w:rsidRDefault="007504B6" w:rsidP="007504B6">
      <w:pPr>
        <w:pStyle w:val="ListBullet"/>
      </w:pPr>
      <w:r>
        <w:t xml:space="preserve">embedding </w:t>
      </w:r>
      <w:r w:rsidRPr="007F2555">
        <w:t xml:space="preserve">resiliency requirements for systems aligned to the delivery of critical business services. </w:t>
      </w:r>
    </w:p>
    <w:p w14:paraId="520767C2" w14:textId="77777777" w:rsidR="007504B6" w:rsidRPr="007F2555" w:rsidRDefault="007504B6" w:rsidP="007504B6">
      <w:r w:rsidRPr="00485C94">
        <w:t>During the mandatory annual information security reporting process, the Director-General attested to the appropriateness of the information security risk management within TMR to the Queensland Government Chief Information Security Officer, noting that appropriate assurance activities have been undertaken to inform this opinion and TMR's information security risk position.</w:t>
      </w:r>
    </w:p>
    <w:p w14:paraId="689E6276" w14:textId="0AB9122F" w:rsidR="007504B6" w:rsidRPr="00DC1A33" w:rsidRDefault="007504B6" w:rsidP="007504B6">
      <w:pPr>
        <w:pStyle w:val="Heading2"/>
      </w:pPr>
      <w:r>
        <w:t>Internal accountability</w:t>
      </w:r>
    </w:p>
    <w:p w14:paraId="1F342C00" w14:textId="77777777" w:rsidR="007504B6" w:rsidRPr="00756FBC" w:rsidRDefault="007504B6" w:rsidP="007504B6">
      <w:pPr>
        <w:pStyle w:val="Heading3"/>
      </w:pPr>
      <w:r>
        <w:t>Performance management and monitoring</w:t>
      </w:r>
    </w:p>
    <w:p w14:paraId="2F88C6DB" w14:textId="77777777" w:rsidR="007504B6" w:rsidRDefault="007504B6" w:rsidP="007504B6">
      <w:r>
        <w:t>TMR monitors performance against service standards in the Service Delivery Statements and progress of strategic initiatives through quarterly performance reports to the ELT.</w:t>
      </w:r>
    </w:p>
    <w:p w14:paraId="2D4184A5" w14:textId="77777777" w:rsidR="007504B6" w:rsidRDefault="007504B6" w:rsidP="007504B6">
      <w:r>
        <w:t>The internal quarterly performance reports inform strategic decisions, drive improvements, and allow course correction or re-evaluation of objectives to ensure value is continually delivered to our customers, stakeholders, and the community.</w:t>
      </w:r>
    </w:p>
    <w:p w14:paraId="458A738D" w14:textId="77777777" w:rsidR="007504B6" w:rsidRDefault="007504B6" w:rsidP="007504B6">
      <w:pPr>
        <w:rPr>
          <w:rStyle w:val="Emphasis"/>
        </w:rPr>
      </w:pPr>
      <w:r>
        <w:t xml:space="preserve">These reports also fulfil the requirements of the Queensland Government's </w:t>
      </w:r>
      <w:r>
        <w:rPr>
          <w:rStyle w:val="Emphasis"/>
        </w:rPr>
        <w:t xml:space="preserve">Financial and Performance Management 2019 </w:t>
      </w:r>
      <w:r>
        <w:t xml:space="preserve">and </w:t>
      </w:r>
      <w:r>
        <w:rPr>
          <w:rStyle w:val="Emphasis"/>
        </w:rPr>
        <w:t>Financial Accountability Act 2009.</w:t>
      </w:r>
    </w:p>
    <w:p w14:paraId="6B7FB83E" w14:textId="77777777" w:rsidR="007504B6" w:rsidRDefault="007504B6" w:rsidP="007504B6">
      <w:r>
        <w:t xml:space="preserve">TMR's commitment to continuous improvement is affirmed through key representatives from each division/branch, who connect regularly to strengthen planning and performance capability and to champion a performance culture across TMR. </w:t>
      </w:r>
    </w:p>
    <w:p w14:paraId="1DCC226E" w14:textId="77777777" w:rsidR="007504B6" w:rsidRPr="00DC1A33" w:rsidRDefault="007504B6" w:rsidP="007504B6">
      <w:pPr>
        <w:pStyle w:val="Heading3"/>
      </w:pPr>
      <w:r>
        <w:lastRenderedPageBreak/>
        <w:t>Complaints management</w:t>
      </w:r>
    </w:p>
    <w:p w14:paraId="3B518BD6" w14:textId="77777777" w:rsidR="007504B6" w:rsidRDefault="007504B6" w:rsidP="007504B6">
      <w:r>
        <w:t>TMR is committed to building a culture of customer service excellence. TMR encourages a people-focused and proactive approach to complaints management. We ensure our complaints management process is accessible, fair, and responsive.  We work together with our customers to innovate and enhance services, improve decision-making, and increase government accountability.</w:t>
      </w:r>
    </w:p>
    <w:p w14:paraId="426E5B39" w14:textId="77777777" w:rsidR="007504B6" w:rsidRDefault="007504B6" w:rsidP="007504B6">
      <w:r>
        <w:t xml:space="preserve">TMR's complaints management system complies with the </w:t>
      </w:r>
      <w:r w:rsidRPr="0048060F">
        <w:rPr>
          <w:rStyle w:val="Emphasis"/>
        </w:rPr>
        <w:t>Public Sector Act 2022</w:t>
      </w:r>
      <w:r>
        <w:t xml:space="preserve"> (Section 264), is compatible with the </w:t>
      </w:r>
      <w:r w:rsidRPr="0048060F">
        <w:rPr>
          <w:rStyle w:val="Emphasis"/>
        </w:rPr>
        <w:t>Human Rights Act 2019</w:t>
      </w:r>
      <w:r>
        <w:t xml:space="preserve">, and meets the guiding principles of the Australian Standard 10002:2022 </w:t>
      </w:r>
      <w:r w:rsidRPr="008E0310">
        <w:t>Guidelines for complaint management in organisations.</w:t>
      </w:r>
    </w:p>
    <w:p w14:paraId="1EAE6251" w14:textId="77777777" w:rsidR="007504B6" w:rsidRDefault="007504B6" w:rsidP="007504B6">
      <w:r>
        <w:t xml:space="preserve">Between 1 July 2022 and 30 June 2023, TMR reported 39,680 customer complaints, including 38 human rights complaints. TMR's 39,680 cusomter complaints represented less than one per cent of the overall 20.5 million customer interactions managed by TMR and the 153 million trips on South East Queensland public transport. Of the 37 human rights complaints, eight were determined to involve a breach of the </w:t>
      </w:r>
      <w:r w:rsidRPr="0048060F">
        <w:rPr>
          <w:rStyle w:val="Emphasis"/>
        </w:rPr>
        <w:t>Human Rights Act 2019</w:t>
      </w:r>
      <w:r>
        <w:t>.</w:t>
      </w:r>
    </w:p>
    <w:p w14:paraId="22FE7147" w14:textId="77777777" w:rsidR="007504B6" w:rsidRDefault="007504B6" w:rsidP="007504B6">
      <w:r>
        <w:t xml:space="preserve">36 per cent of the 39,679 complaints were substantiated, requiring corrective action. </w:t>
      </w:r>
    </w:p>
    <w:p w14:paraId="164C7EF2" w14:textId="77777777" w:rsidR="007504B6" w:rsidRDefault="007504B6" w:rsidP="007504B6">
      <w:pPr>
        <w:pStyle w:val="TableofFigures"/>
      </w:pPr>
      <w:r w:rsidRPr="003C6C45">
        <w:t xml:space="preserve">Table 17: </w:t>
      </w:r>
      <w:r>
        <w:t>Complaints received</w:t>
      </w:r>
    </w:p>
    <w:tbl>
      <w:tblPr>
        <w:tblStyle w:val="GridTable4-Accent1"/>
        <w:tblW w:w="5000" w:type="pct"/>
        <w:tblLook w:val="04A0" w:firstRow="1" w:lastRow="0" w:firstColumn="1" w:lastColumn="0" w:noHBand="0" w:noVBand="1"/>
      </w:tblPr>
      <w:tblGrid>
        <w:gridCol w:w="3398"/>
        <w:gridCol w:w="3397"/>
        <w:gridCol w:w="3399"/>
      </w:tblGrid>
      <w:tr w:rsidR="00DE4FC5" w14:paraId="6BD56D64" w14:textId="77777777" w:rsidTr="00AA25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0FAECEB4" w14:textId="77777777" w:rsidR="007504B6" w:rsidRPr="00A90C5B" w:rsidRDefault="007504B6" w:rsidP="00DE4FC5">
            <w:pPr>
              <w:pStyle w:val="Normal-table"/>
            </w:pPr>
            <w:r>
              <w:t>Year</w:t>
            </w:r>
          </w:p>
        </w:tc>
        <w:tc>
          <w:tcPr>
            <w:tcW w:w="1666" w:type="pct"/>
          </w:tcPr>
          <w:p w14:paraId="403C7920" w14:textId="77777777" w:rsidR="007504B6" w:rsidRPr="00A90C5B" w:rsidRDefault="007504B6" w:rsidP="00DE4FC5">
            <w:pPr>
              <w:pStyle w:val="Normal-table"/>
              <w:cnfStyle w:val="100000000000" w:firstRow="1" w:lastRow="0" w:firstColumn="0" w:lastColumn="0" w:oddVBand="0" w:evenVBand="0" w:oddHBand="0" w:evenHBand="0" w:firstRowFirstColumn="0" w:firstRowLastColumn="0" w:lastRowFirstColumn="0" w:lastRowLastColumn="0"/>
            </w:pPr>
            <w:r>
              <w:t>Customer Complaints Volume</w:t>
            </w:r>
          </w:p>
        </w:tc>
        <w:tc>
          <w:tcPr>
            <w:tcW w:w="1667" w:type="pct"/>
          </w:tcPr>
          <w:p w14:paraId="6AFFA121" w14:textId="77777777" w:rsidR="007504B6" w:rsidRPr="00A90C5B" w:rsidRDefault="007504B6" w:rsidP="00DE4FC5">
            <w:pPr>
              <w:pStyle w:val="Normal-table"/>
              <w:cnfStyle w:val="100000000000" w:firstRow="1" w:lastRow="0" w:firstColumn="0" w:lastColumn="0" w:oddVBand="0" w:evenVBand="0" w:oddHBand="0" w:evenHBand="0" w:firstRowFirstColumn="0" w:firstRowLastColumn="0" w:lastRowFirstColumn="0" w:lastRowLastColumn="0"/>
            </w:pPr>
            <w:r>
              <w:t>Customer Interactions Volume</w:t>
            </w:r>
          </w:p>
        </w:tc>
      </w:tr>
      <w:tr w:rsidR="007504B6" w14:paraId="727235CF" w14:textId="77777777" w:rsidTr="00AA2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75D27FA6" w14:textId="77777777" w:rsidR="007504B6" w:rsidRPr="00A90C5B" w:rsidRDefault="007504B6" w:rsidP="00DE4FC5">
            <w:pPr>
              <w:pStyle w:val="Normal-table"/>
            </w:pPr>
            <w:r>
              <w:t>2018</w:t>
            </w:r>
            <w:r w:rsidRPr="00A90C5B">
              <w:t>–19</w:t>
            </w:r>
          </w:p>
        </w:tc>
        <w:tc>
          <w:tcPr>
            <w:tcW w:w="1666" w:type="pct"/>
          </w:tcPr>
          <w:p w14:paraId="2777F9EB" w14:textId="77777777" w:rsidR="007504B6" w:rsidRPr="00A90C5B" w:rsidRDefault="007504B6" w:rsidP="00DE4FC5">
            <w:pPr>
              <w:pStyle w:val="Normal-table"/>
              <w:cnfStyle w:val="000000100000" w:firstRow="0" w:lastRow="0" w:firstColumn="0" w:lastColumn="0" w:oddVBand="0" w:evenVBand="0" w:oddHBand="1" w:evenHBand="0" w:firstRowFirstColumn="0" w:firstRowLastColumn="0" w:lastRowFirstColumn="0" w:lastRowLastColumn="0"/>
            </w:pPr>
            <w:r>
              <w:t>45,057</w:t>
            </w:r>
          </w:p>
        </w:tc>
        <w:tc>
          <w:tcPr>
            <w:tcW w:w="1667" w:type="pct"/>
          </w:tcPr>
          <w:p w14:paraId="40BB7487" w14:textId="77777777" w:rsidR="007504B6" w:rsidRPr="00A90C5B" w:rsidRDefault="007504B6" w:rsidP="00DE4FC5">
            <w:pPr>
              <w:pStyle w:val="Normal-table"/>
              <w:cnfStyle w:val="000000100000" w:firstRow="0" w:lastRow="0" w:firstColumn="0" w:lastColumn="0" w:oddVBand="0" w:evenVBand="0" w:oddHBand="1" w:evenHBand="0" w:firstRowFirstColumn="0" w:firstRowLastColumn="0" w:lastRowFirstColumn="0" w:lastRowLastColumn="0"/>
            </w:pPr>
            <w:r>
              <w:t>16,000,000</w:t>
            </w:r>
          </w:p>
        </w:tc>
      </w:tr>
      <w:tr w:rsidR="007504B6" w14:paraId="203B98F8" w14:textId="77777777" w:rsidTr="00AA259F">
        <w:tc>
          <w:tcPr>
            <w:cnfStyle w:val="001000000000" w:firstRow="0" w:lastRow="0" w:firstColumn="1" w:lastColumn="0" w:oddVBand="0" w:evenVBand="0" w:oddHBand="0" w:evenHBand="0" w:firstRowFirstColumn="0" w:firstRowLastColumn="0" w:lastRowFirstColumn="0" w:lastRowLastColumn="0"/>
            <w:tcW w:w="1666" w:type="pct"/>
          </w:tcPr>
          <w:p w14:paraId="22872D14" w14:textId="77777777" w:rsidR="007504B6" w:rsidRPr="00A90C5B" w:rsidRDefault="007504B6" w:rsidP="00DE4FC5">
            <w:pPr>
              <w:pStyle w:val="Normal-table"/>
            </w:pPr>
            <w:r>
              <w:t>2019</w:t>
            </w:r>
            <w:r w:rsidRPr="00A90C5B">
              <w:t>–20</w:t>
            </w:r>
          </w:p>
        </w:tc>
        <w:tc>
          <w:tcPr>
            <w:tcW w:w="1666" w:type="pct"/>
          </w:tcPr>
          <w:p w14:paraId="36D91AE1" w14:textId="77777777" w:rsidR="007504B6" w:rsidRPr="00A90C5B" w:rsidRDefault="007504B6" w:rsidP="00DE4FC5">
            <w:pPr>
              <w:pStyle w:val="Normal-table"/>
              <w:cnfStyle w:val="000000000000" w:firstRow="0" w:lastRow="0" w:firstColumn="0" w:lastColumn="0" w:oddVBand="0" w:evenVBand="0" w:oddHBand="0" w:evenHBand="0" w:firstRowFirstColumn="0" w:firstRowLastColumn="0" w:lastRowFirstColumn="0" w:lastRowLastColumn="0"/>
            </w:pPr>
            <w:r>
              <w:t>35,159</w:t>
            </w:r>
          </w:p>
        </w:tc>
        <w:tc>
          <w:tcPr>
            <w:tcW w:w="1667" w:type="pct"/>
          </w:tcPr>
          <w:p w14:paraId="41E8EF92" w14:textId="77777777" w:rsidR="007504B6" w:rsidRPr="00A90C5B" w:rsidRDefault="007504B6" w:rsidP="00DE4FC5">
            <w:pPr>
              <w:pStyle w:val="Normal-table"/>
              <w:cnfStyle w:val="000000000000" w:firstRow="0" w:lastRow="0" w:firstColumn="0" w:lastColumn="0" w:oddVBand="0" w:evenVBand="0" w:oddHBand="0" w:evenHBand="0" w:firstRowFirstColumn="0" w:firstRowLastColumn="0" w:lastRowFirstColumn="0" w:lastRowLastColumn="0"/>
            </w:pPr>
            <w:r>
              <w:t>15,500,000</w:t>
            </w:r>
          </w:p>
        </w:tc>
      </w:tr>
      <w:tr w:rsidR="007504B6" w14:paraId="00A52D01" w14:textId="77777777" w:rsidTr="00AA2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29682F46" w14:textId="77777777" w:rsidR="007504B6" w:rsidRPr="00A90C5B" w:rsidRDefault="007504B6" w:rsidP="00DE4FC5">
            <w:pPr>
              <w:pStyle w:val="Normal-table"/>
            </w:pPr>
            <w:r>
              <w:t>2020</w:t>
            </w:r>
            <w:r w:rsidRPr="00A90C5B">
              <w:t>–21</w:t>
            </w:r>
          </w:p>
        </w:tc>
        <w:tc>
          <w:tcPr>
            <w:tcW w:w="1666" w:type="pct"/>
          </w:tcPr>
          <w:p w14:paraId="1CEA475B" w14:textId="77777777" w:rsidR="007504B6" w:rsidRPr="00A90C5B" w:rsidRDefault="007504B6" w:rsidP="00DE4FC5">
            <w:pPr>
              <w:pStyle w:val="Normal-table"/>
              <w:cnfStyle w:val="000000100000" w:firstRow="0" w:lastRow="0" w:firstColumn="0" w:lastColumn="0" w:oddVBand="0" w:evenVBand="0" w:oddHBand="1" w:evenHBand="0" w:firstRowFirstColumn="0" w:firstRowLastColumn="0" w:lastRowFirstColumn="0" w:lastRowLastColumn="0"/>
            </w:pPr>
            <w:r>
              <w:t>25,853</w:t>
            </w:r>
          </w:p>
        </w:tc>
        <w:tc>
          <w:tcPr>
            <w:tcW w:w="1667" w:type="pct"/>
          </w:tcPr>
          <w:p w14:paraId="62C02701" w14:textId="77777777" w:rsidR="007504B6" w:rsidRPr="00A90C5B" w:rsidRDefault="007504B6" w:rsidP="00DE4FC5">
            <w:pPr>
              <w:pStyle w:val="Normal-table"/>
              <w:cnfStyle w:val="000000100000" w:firstRow="0" w:lastRow="0" w:firstColumn="0" w:lastColumn="0" w:oddVBand="0" w:evenVBand="0" w:oddHBand="1" w:evenHBand="0" w:firstRowFirstColumn="0" w:firstRowLastColumn="0" w:lastRowFirstColumn="0" w:lastRowLastColumn="0"/>
            </w:pPr>
            <w:r>
              <w:t>17,500,000</w:t>
            </w:r>
          </w:p>
        </w:tc>
      </w:tr>
      <w:tr w:rsidR="007504B6" w14:paraId="1CDA7D39" w14:textId="77777777" w:rsidTr="00AA259F">
        <w:tc>
          <w:tcPr>
            <w:cnfStyle w:val="001000000000" w:firstRow="0" w:lastRow="0" w:firstColumn="1" w:lastColumn="0" w:oddVBand="0" w:evenVBand="0" w:oddHBand="0" w:evenHBand="0" w:firstRowFirstColumn="0" w:firstRowLastColumn="0" w:lastRowFirstColumn="0" w:lastRowLastColumn="0"/>
            <w:tcW w:w="1666" w:type="pct"/>
          </w:tcPr>
          <w:p w14:paraId="5BBC3875" w14:textId="77777777" w:rsidR="007504B6" w:rsidRPr="00A90C5B" w:rsidRDefault="007504B6" w:rsidP="00DE4FC5">
            <w:pPr>
              <w:pStyle w:val="Normal-table"/>
            </w:pPr>
            <w:r>
              <w:t>2021</w:t>
            </w:r>
            <w:r w:rsidRPr="00A90C5B">
              <w:t>–22</w:t>
            </w:r>
          </w:p>
        </w:tc>
        <w:tc>
          <w:tcPr>
            <w:tcW w:w="1666" w:type="pct"/>
          </w:tcPr>
          <w:p w14:paraId="5ECECA14" w14:textId="77777777" w:rsidR="007504B6" w:rsidRPr="00A90C5B" w:rsidRDefault="007504B6" w:rsidP="00DE4FC5">
            <w:pPr>
              <w:pStyle w:val="Normal-table"/>
              <w:cnfStyle w:val="000000000000" w:firstRow="0" w:lastRow="0" w:firstColumn="0" w:lastColumn="0" w:oddVBand="0" w:evenVBand="0" w:oddHBand="0" w:evenHBand="0" w:firstRowFirstColumn="0" w:firstRowLastColumn="0" w:lastRowFirstColumn="0" w:lastRowLastColumn="0"/>
            </w:pPr>
            <w:r>
              <w:t>28,67</w:t>
            </w:r>
            <w:r w:rsidRPr="00A90C5B">
              <w:t>3</w:t>
            </w:r>
          </w:p>
        </w:tc>
        <w:tc>
          <w:tcPr>
            <w:tcW w:w="1667" w:type="pct"/>
          </w:tcPr>
          <w:p w14:paraId="3E2B43F2" w14:textId="77777777" w:rsidR="007504B6" w:rsidRPr="00A90C5B" w:rsidRDefault="007504B6" w:rsidP="00DE4FC5">
            <w:pPr>
              <w:pStyle w:val="Normal-table"/>
              <w:cnfStyle w:val="000000000000" w:firstRow="0" w:lastRow="0" w:firstColumn="0" w:lastColumn="0" w:oddVBand="0" w:evenVBand="0" w:oddHBand="0" w:evenHBand="0" w:firstRowFirstColumn="0" w:firstRowLastColumn="0" w:lastRowFirstColumn="0" w:lastRowLastColumn="0"/>
            </w:pPr>
            <w:r>
              <w:t>19,000,000</w:t>
            </w:r>
          </w:p>
        </w:tc>
      </w:tr>
      <w:tr w:rsidR="007504B6" w14:paraId="114657F7" w14:textId="77777777" w:rsidTr="00AA2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0502B32D" w14:textId="77777777" w:rsidR="007504B6" w:rsidRPr="00A90C5B" w:rsidRDefault="007504B6" w:rsidP="00DE4FC5">
            <w:pPr>
              <w:pStyle w:val="Normal-table"/>
            </w:pPr>
            <w:r>
              <w:t>2022</w:t>
            </w:r>
            <w:r w:rsidRPr="00A90C5B">
              <w:t>–23</w:t>
            </w:r>
          </w:p>
        </w:tc>
        <w:tc>
          <w:tcPr>
            <w:tcW w:w="1666" w:type="pct"/>
          </w:tcPr>
          <w:p w14:paraId="53A0730E" w14:textId="77777777" w:rsidR="007504B6" w:rsidRPr="00A90C5B" w:rsidRDefault="007504B6" w:rsidP="00DE4FC5">
            <w:pPr>
              <w:pStyle w:val="Normal-table"/>
              <w:cnfStyle w:val="000000100000" w:firstRow="0" w:lastRow="0" w:firstColumn="0" w:lastColumn="0" w:oddVBand="0" w:evenVBand="0" w:oddHBand="1" w:evenHBand="0" w:firstRowFirstColumn="0" w:firstRowLastColumn="0" w:lastRowFirstColumn="0" w:lastRowLastColumn="0"/>
            </w:pPr>
            <w:r>
              <w:t>39,716</w:t>
            </w:r>
          </w:p>
        </w:tc>
        <w:tc>
          <w:tcPr>
            <w:tcW w:w="1667" w:type="pct"/>
          </w:tcPr>
          <w:p w14:paraId="4D6AB248" w14:textId="77777777" w:rsidR="007504B6" w:rsidRPr="00A90C5B" w:rsidRDefault="007504B6" w:rsidP="00DE4FC5">
            <w:pPr>
              <w:pStyle w:val="Normal-table"/>
              <w:cnfStyle w:val="000000100000" w:firstRow="0" w:lastRow="0" w:firstColumn="0" w:lastColumn="0" w:oddVBand="0" w:evenVBand="0" w:oddHBand="1" w:evenHBand="0" w:firstRowFirstColumn="0" w:firstRowLastColumn="0" w:lastRowFirstColumn="0" w:lastRowLastColumn="0"/>
            </w:pPr>
            <w:r>
              <w:t>20,500,000</w:t>
            </w:r>
          </w:p>
        </w:tc>
      </w:tr>
    </w:tbl>
    <w:p w14:paraId="52A9501B" w14:textId="77777777" w:rsidR="007504B6" w:rsidRDefault="007504B6" w:rsidP="007504B6"/>
    <w:p w14:paraId="4473108C" w14:textId="77777777" w:rsidR="007504B6" w:rsidRPr="00CA191D" w:rsidRDefault="007504B6" w:rsidP="007504B6">
      <w:pPr>
        <w:pStyle w:val="Caption"/>
      </w:pPr>
      <w:r>
        <w:t>Data source: TMR Complaints Management System</w:t>
      </w:r>
    </w:p>
    <w:p w14:paraId="0D4EA48D" w14:textId="77777777" w:rsidR="007504B6" w:rsidRPr="009601AA" w:rsidRDefault="007504B6" w:rsidP="007504B6">
      <w:pPr>
        <w:pStyle w:val="ForMoreInformation"/>
      </w:pPr>
      <w:r>
        <w:t xml:space="preserve">For more information </w:t>
      </w:r>
      <w:r>
        <w:br/>
      </w:r>
      <w:r w:rsidRPr="003F2EDA">
        <w:rPr>
          <w:rStyle w:val="Hyperlink"/>
        </w:rPr>
        <w:t>https://www.tmr.qld.gov.au/About-us/Contact-us/Compliments-and-complaints</w:t>
      </w:r>
    </w:p>
    <w:p w14:paraId="1D0B78F6" w14:textId="77777777" w:rsidR="007504B6" w:rsidRPr="00DC1A33" w:rsidRDefault="007504B6" w:rsidP="007504B6">
      <w:pPr>
        <w:pStyle w:val="Heading3"/>
      </w:pPr>
      <w:r>
        <w:t>Internal Audit</w:t>
      </w:r>
    </w:p>
    <w:p w14:paraId="5C2C30A2" w14:textId="77777777" w:rsidR="007504B6" w:rsidRDefault="007504B6" w:rsidP="007504B6">
      <w:r w:rsidRPr="00C51387">
        <w:t>Internal Audit operates independently, and provides assurance and advice to the Director-General, senior management</w:t>
      </w:r>
      <w:r>
        <w:t>,</w:t>
      </w:r>
      <w:r w:rsidRPr="00C51387">
        <w:t xml:space="preserve"> and the </w:t>
      </w:r>
      <w:r>
        <w:t>ARC</w:t>
      </w:r>
      <w:r w:rsidRPr="00C51387">
        <w:t xml:space="preserve"> on whether</w:t>
      </w:r>
      <w:r>
        <w:t xml:space="preserve"> TMR's </w:t>
      </w:r>
      <w:r w:rsidRPr="00C51387">
        <w:t xml:space="preserve">financial and operational controls are operating in an efficient and effective manner. </w:t>
      </w:r>
    </w:p>
    <w:p w14:paraId="2652AAB1" w14:textId="77777777" w:rsidR="007504B6" w:rsidRDefault="007504B6" w:rsidP="007504B6">
      <w:r w:rsidRPr="00C51387">
        <w:t xml:space="preserve">Internal Audit considers the coverage and management of risks and controls across </w:t>
      </w:r>
      <w:r>
        <w:t>TMR</w:t>
      </w:r>
      <w:r w:rsidRPr="00C51387">
        <w:t xml:space="preserve"> to assess whether an appropriate level of assurance is maintained. </w:t>
      </w:r>
    </w:p>
    <w:p w14:paraId="4C6B1B19" w14:textId="77777777" w:rsidR="007504B6" w:rsidRDefault="007504B6" w:rsidP="007504B6">
      <w:r w:rsidRPr="00C51387">
        <w:t>Internal Audit operates a quality assurance and improvement program that identifies opportunities to ensure the efficient, effective, and economical operation of the function. During 202</w:t>
      </w:r>
      <w:r>
        <w:t>2</w:t>
      </w:r>
      <w:r w:rsidRPr="00C51387">
        <w:t>–2</w:t>
      </w:r>
      <w:r>
        <w:t>3</w:t>
      </w:r>
      <w:r w:rsidRPr="00C51387">
        <w:t xml:space="preserve">, the Internal Audit Unit completed </w:t>
      </w:r>
      <w:r>
        <w:t>36</w:t>
      </w:r>
      <w:r w:rsidRPr="00C51387">
        <w:t xml:space="preserve"> internal audit reviews, completed </w:t>
      </w:r>
      <w:r>
        <w:t>19</w:t>
      </w:r>
      <w:r w:rsidRPr="00C51387">
        <w:t xml:space="preserve"> management requests, followed-up on open audit recommendations, provided independent advice on a variety of project committees and provided ad-hoc advice to managers on a range of issues.</w:t>
      </w:r>
    </w:p>
    <w:p w14:paraId="43FB5CE8" w14:textId="77777777" w:rsidR="007504B6" w:rsidRDefault="007504B6" w:rsidP="007504B6">
      <w:r>
        <w:t>Internal Audit is a key component of TMR's corporate governance</w:t>
      </w:r>
      <w:r w:rsidRPr="00AE02C2">
        <w:t xml:space="preserve"> </w:t>
      </w:r>
      <w:r>
        <w:t>structure. The function operates under a charter, which complies with the Institute of Internal Auditors' international standards and is approved by TMR's Director-General.</w:t>
      </w:r>
    </w:p>
    <w:p w14:paraId="1D280D6B" w14:textId="77777777" w:rsidR="007504B6" w:rsidRDefault="007504B6" w:rsidP="007504B6">
      <w:r>
        <w:t xml:space="preserve">The Chief Auditor is directly accountable to the Director-General for leading an effective and efficient internal audit function and for ensuring internal audit activity is risk-based and value adding to TMR. This includes the implementation of risk-based </w:t>
      </w:r>
      <w:r>
        <w:lastRenderedPageBreak/>
        <w:t>strategic and annual internal audit plans and coordinating internal audit activities with the external auditors, Queensland Audit Office.</w:t>
      </w:r>
    </w:p>
    <w:p w14:paraId="2497933F" w14:textId="77777777" w:rsidR="007504B6" w:rsidRDefault="007504B6" w:rsidP="007504B6">
      <w:r>
        <w:t xml:space="preserve">The Chief Auditor reports regularly to the ARC (see page xx), which is responsible for reviewing the work of the internal audit function. The relationship with the committee is based on Queensland Treasury's Audit Committee Guidelines. </w:t>
      </w:r>
    </w:p>
    <w:p w14:paraId="65F89567" w14:textId="77777777" w:rsidR="007504B6" w:rsidRDefault="007504B6" w:rsidP="007504B6">
      <w:r>
        <w:t>Internal Audit has a central role in improving operational processes and financial practices by:</w:t>
      </w:r>
    </w:p>
    <w:p w14:paraId="0C886F21" w14:textId="77777777" w:rsidR="007504B6" w:rsidRDefault="007504B6" w:rsidP="007504B6">
      <w:pPr>
        <w:pStyle w:val="ListBullet"/>
      </w:pPr>
      <w:r>
        <w:t>assessing the effectiveness and efficiency of TMR financial and operating systems and reporting processes and activities</w:t>
      </w:r>
    </w:p>
    <w:p w14:paraId="691C0F3D" w14:textId="77777777" w:rsidR="007504B6" w:rsidRDefault="007504B6" w:rsidP="007504B6">
      <w:pPr>
        <w:pStyle w:val="ListBullet"/>
      </w:pPr>
      <w:r>
        <w:t>identifying operational deficiencies and non-compliance with legislative or prescribed requirements</w:t>
      </w:r>
    </w:p>
    <w:p w14:paraId="74819796" w14:textId="77777777" w:rsidR="007504B6" w:rsidRDefault="007504B6" w:rsidP="007504B6">
      <w:pPr>
        <w:pStyle w:val="ListBullet"/>
      </w:pPr>
      <w:r>
        <w:t>assisting in risk management and identifying deficiencies in the internal control environment</w:t>
      </w:r>
    </w:p>
    <w:p w14:paraId="2AA13C12" w14:textId="77777777" w:rsidR="007504B6" w:rsidRDefault="007504B6" w:rsidP="007504B6">
      <w:pPr>
        <w:pStyle w:val="ListBullet"/>
      </w:pPr>
      <w:r>
        <w:t>bringing a broad range of issues to management's attention, including performance, efficiency, and economy</w:t>
      </w:r>
    </w:p>
    <w:p w14:paraId="068A4BA5" w14:textId="77777777" w:rsidR="007504B6" w:rsidRDefault="007504B6" w:rsidP="007504B6">
      <w:pPr>
        <w:pStyle w:val="ListBullet"/>
      </w:pPr>
      <w:r>
        <w:t>monitoring whether agreed remedial actions are undertaken.</w:t>
      </w:r>
    </w:p>
    <w:p w14:paraId="0284A8E6" w14:textId="77777777" w:rsidR="007504B6" w:rsidRDefault="007504B6" w:rsidP="007504B6">
      <w:r>
        <w:t>2022–23 achievements included:</w:t>
      </w:r>
    </w:p>
    <w:p w14:paraId="36503C9F" w14:textId="77777777" w:rsidR="007504B6" w:rsidRDefault="007504B6" w:rsidP="007504B6">
      <w:pPr>
        <w:pStyle w:val="ListBullet"/>
      </w:pPr>
      <w:r>
        <w:t>developed and delivered an annual plan of internal audits approved by the Director-General and completed 36 (as at 30 June 2023) internal audit reports, covering assurance and improving effectiveness of controls, systems, project management, operations, and risk management</w:t>
      </w:r>
    </w:p>
    <w:p w14:paraId="3F327B07" w14:textId="77777777" w:rsidR="007504B6" w:rsidRDefault="007504B6" w:rsidP="007504B6">
      <w:pPr>
        <w:pStyle w:val="ListBullet"/>
      </w:pPr>
      <w:r>
        <w:t>engaged with the ARC about proposed internal audit plans and their alignment to the risks of TMR</w:t>
      </w:r>
    </w:p>
    <w:p w14:paraId="0EA68F2B" w14:textId="77777777" w:rsidR="007504B6" w:rsidRDefault="007504B6" w:rsidP="007504B6">
      <w:pPr>
        <w:pStyle w:val="ListBullet"/>
      </w:pPr>
      <w:r>
        <w:t>provided advice and assistance on key projects and initiatives</w:t>
      </w:r>
    </w:p>
    <w:p w14:paraId="26CF0D02" w14:textId="77777777" w:rsidR="007504B6" w:rsidRDefault="007504B6" w:rsidP="007504B6">
      <w:pPr>
        <w:pStyle w:val="ListBullet"/>
      </w:pPr>
      <w:r>
        <w:t>monitored and reported on the implementation of agreed recommendations</w:t>
      </w:r>
    </w:p>
    <w:p w14:paraId="7032DBE4" w14:textId="77777777" w:rsidR="007504B6" w:rsidRPr="002763A9" w:rsidRDefault="007504B6" w:rsidP="007504B6">
      <w:pPr>
        <w:pStyle w:val="ListBullet"/>
      </w:pPr>
      <w:r>
        <w:t>maintained an effective working relationship with the Queensland Audit Office and other external assurance providers.</w:t>
      </w:r>
    </w:p>
    <w:p w14:paraId="6A2AB5AF" w14:textId="77777777" w:rsidR="007504B6" w:rsidRPr="00DC1A33" w:rsidRDefault="007504B6" w:rsidP="007504B6">
      <w:pPr>
        <w:pStyle w:val="Heading3"/>
      </w:pPr>
      <w:r>
        <w:t>Data and Analytics Strategy</w:t>
      </w:r>
    </w:p>
    <w:p w14:paraId="0388DE28" w14:textId="77777777" w:rsidR="007504B6" w:rsidRDefault="007504B6" w:rsidP="007504B6">
      <w:r>
        <w:t xml:space="preserve">TMR's </w:t>
      </w:r>
      <w:r w:rsidRPr="001D5900">
        <w:rPr>
          <w:rStyle w:val="Emphasis"/>
        </w:rPr>
        <w:t>Data and Analytics Strategy 2023–2026</w:t>
      </w:r>
      <w:r>
        <w:t xml:space="preserve"> </w:t>
      </w:r>
      <w:r w:rsidRPr="00573056">
        <w:t xml:space="preserve">outlines the steps </w:t>
      </w:r>
      <w:r>
        <w:t>TMR</w:t>
      </w:r>
      <w:r w:rsidRPr="00573056">
        <w:t xml:space="preserve"> </w:t>
      </w:r>
      <w:r>
        <w:t xml:space="preserve">is taking </w:t>
      </w:r>
      <w:r w:rsidRPr="00573056">
        <w:t xml:space="preserve">to improve </w:t>
      </w:r>
      <w:r>
        <w:t>its</w:t>
      </w:r>
      <w:r w:rsidRPr="00573056">
        <w:t xml:space="preserve"> data and analytics capabilities and develop an ecosystem that informs an integrated, accessible transport network.</w:t>
      </w:r>
      <w:r>
        <w:t xml:space="preserve"> The updated strategy was released in January 2023. </w:t>
      </w:r>
    </w:p>
    <w:p w14:paraId="34BF675E" w14:textId="77777777" w:rsidR="007504B6" w:rsidRDefault="007504B6" w:rsidP="007504B6">
      <w:r>
        <w:t>The strategy is u</w:t>
      </w:r>
      <w:r w:rsidRPr="001A74D7">
        <w:t xml:space="preserve">nderpinned by </w:t>
      </w:r>
      <w:r>
        <w:t>TMR's</w:t>
      </w:r>
      <w:r w:rsidRPr="001A74D7">
        <w:t xml:space="preserve"> strategic data analytics framework</w:t>
      </w:r>
      <w:r>
        <w:t>, the</w:t>
      </w:r>
      <w:r w:rsidRPr="001A74D7">
        <w:t xml:space="preserve"> Transport Data Exchange (TDx)</w:t>
      </w:r>
      <w:r>
        <w:t xml:space="preserve">. Through the TDx, TMR has </w:t>
      </w:r>
      <w:r w:rsidRPr="001A74D7">
        <w:t>implement</w:t>
      </w:r>
      <w:r>
        <w:t>ed</w:t>
      </w:r>
      <w:r w:rsidRPr="001A74D7">
        <w:t xml:space="preserve"> cloud-based analytics solutions to solve complex business and customer challenges</w:t>
      </w:r>
      <w:r>
        <w:t>.</w:t>
      </w:r>
    </w:p>
    <w:p w14:paraId="2DED5BE3" w14:textId="77777777" w:rsidR="007504B6" w:rsidRDefault="007504B6" w:rsidP="007504B6">
      <w:r>
        <w:t>Examples included:</w:t>
      </w:r>
    </w:p>
    <w:p w14:paraId="05EAEC09" w14:textId="77777777" w:rsidR="007504B6" w:rsidRPr="002D0098" w:rsidRDefault="007504B6" w:rsidP="007504B6">
      <w:pPr>
        <w:pStyle w:val="ListBullet"/>
      </w:pPr>
      <w:r>
        <w:t>the continued development of</w:t>
      </w:r>
      <w:r w:rsidRPr="002D0098">
        <w:t xml:space="preserve"> self-service analytics dashboards</w:t>
      </w:r>
      <w:r>
        <w:t>,</w:t>
      </w:r>
      <w:r w:rsidRPr="002D0098">
        <w:t xml:space="preserve"> which automate</w:t>
      </w:r>
      <w:r>
        <w:t xml:space="preserve"> the</w:t>
      </w:r>
      <w:r w:rsidRPr="002D0098">
        <w:t xml:space="preserve"> previous manual </w:t>
      </w:r>
      <w:r>
        <w:t>process</w:t>
      </w:r>
      <w:r w:rsidRPr="002D0098">
        <w:t xml:space="preserve"> of business reporting efforts and enable greater sharing of data</w:t>
      </w:r>
    </w:p>
    <w:p w14:paraId="206DBD35" w14:textId="77777777" w:rsidR="007504B6" w:rsidRPr="002D0098" w:rsidRDefault="007504B6" w:rsidP="007504B6">
      <w:pPr>
        <w:pStyle w:val="ListBullet"/>
      </w:pPr>
      <w:r>
        <w:t>p</w:t>
      </w:r>
      <w:r w:rsidRPr="002D0098">
        <w:t>romotion of training across multiple modern cloud</w:t>
      </w:r>
      <w:r>
        <w:t>-</w:t>
      </w:r>
      <w:r w:rsidRPr="002D0098">
        <w:t xml:space="preserve">enabled data and analytics </w:t>
      </w:r>
      <w:r>
        <w:t xml:space="preserve">tools </w:t>
      </w:r>
      <w:r w:rsidRPr="002D0098">
        <w:t>and technologies to enable the capability uplift of TMR’s staff</w:t>
      </w:r>
    </w:p>
    <w:p w14:paraId="2D006CFA" w14:textId="77777777" w:rsidR="007504B6" w:rsidRDefault="007504B6" w:rsidP="007504B6">
      <w:pPr>
        <w:pStyle w:val="ListBullet"/>
      </w:pPr>
      <w:r>
        <w:t>the implementation of</w:t>
      </w:r>
      <w:r w:rsidRPr="002D0098">
        <w:t xml:space="preserve"> new </w:t>
      </w:r>
      <w:r>
        <w:t xml:space="preserve">cloud data assets </w:t>
      </w:r>
      <w:r w:rsidRPr="002D0098">
        <w:t xml:space="preserve">to TMR’s TDx Data Catalogue, </w:t>
      </w:r>
      <w:r>
        <w:t>enhancing the</w:t>
      </w:r>
      <w:r w:rsidRPr="002D0098">
        <w:t xml:space="preserve"> visibility of cloud data assets across the organisation</w:t>
      </w:r>
      <w:r>
        <w:t>.</w:t>
      </w:r>
    </w:p>
    <w:p w14:paraId="04617AAE" w14:textId="77777777" w:rsidR="007504B6" w:rsidRDefault="007504B6" w:rsidP="007504B6">
      <w:pPr>
        <w:pStyle w:val="ForMoreInformation"/>
      </w:pPr>
      <w:r>
        <w:t xml:space="preserve">For more information </w:t>
      </w:r>
      <w:r>
        <w:br/>
      </w:r>
      <w:r w:rsidRPr="006B7AF8">
        <w:rPr>
          <w:rStyle w:val="Hyperlink"/>
        </w:rPr>
        <w:t>https://www.tmr.qld.gov.au/about-us/corporate-information/publications/data-and-analytics-strategy</w:t>
      </w:r>
    </w:p>
    <w:p w14:paraId="2AAC201B" w14:textId="77777777" w:rsidR="007504B6" w:rsidRPr="00450F8C" w:rsidRDefault="007504B6" w:rsidP="007504B6">
      <w:pPr>
        <w:pStyle w:val="Heading3"/>
      </w:pPr>
      <w:r w:rsidRPr="00450F8C">
        <w:t>Integrity Commissioner</w:t>
      </w:r>
    </w:p>
    <w:p w14:paraId="28587CCF" w14:textId="77777777" w:rsidR="007504B6" w:rsidRPr="00450F8C" w:rsidRDefault="007504B6" w:rsidP="007504B6">
      <w:r w:rsidRPr="00450F8C">
        <w:t xml:space="preserve">In accordance with the provisions of the </w:t>
      </w:r>
      <w:r w:rsidRPr="00450F8C">
        <w:rPr>
          <w:rStyle w:val="Emphasis"/>
        </w:rPr>
        <w:t>Integrity Act 2009</w:t>
      </w:r>
      <w:r w:rsidRPr="00450F8C">
        <w:t>, TMR maintains a lobbyist contact register, and, upon request reports lobbyist contact with TMR employees to the Integrity Commissioner</w:t>
      </w:r>
      <w:r>
        <w:t>—</w:t>
      </w:r>
      <w:r w:rsidRPr="00450F8C">
        <w:t xml:space="preserve">a statutory officer holder and officer of the Queensland Parliament. </w:t>
      </w:r>
    </w:p>
    <w:p w14:paraId="65B8D23C" w14:textId="77777777" w:rsidR="007504B6" w:rsidRDefault="007504B6" w:rsidP="007504B6">
      <w:r w:rsidRPr="00450F8C">
        <w:t xml:space="preserve">The role of </w:t>
      </w:r>
      <w:r>
        <w:t xml:space="preserve">the </w:t>
      </w:r>
      <w:r w:rsidRPr="00450F8C">
        <w:t xml:space="preserve">Integrity Commissioner involves: </w:t>
      </w:r>
    </w:p>
    <w:p w14:paraId="7E663B1C" w14:textId="77777777" w:rsidR="007504B6" w:rsidRDefault="007504B6" w:rsidP="007504B6">
      <w:pPr>
        <w:pStyle w:val="ListBullet"/>
      </w:pPr>
      <w:r w:rsidRPr="00450F8C">
        <w:t>providing confidential advice on ethics and integrity matters to Ministers, members of the Legislative Assembly, ministerial staff, senior public servants</w:t>
      </w:r>
      <w:r>
        <w:t>,</w:t>
      </w:r>
      <w:r w:rsidRPr="00450F8C">
        <w:t xml:space="preserve"> and other persons or classes of persons nominated by a Minister</w:t>
      </w:r>
    </w:p>
    <w:p w14:paraId="32F68FEB" w14:textId="77777777" w:rsidR="007504B6" w:rsidRPr="00450F8C" w:rsidRDefault="007504B6" w:rsidP="007504B6">
      <w:pPr>
        <w:pStyle w:val="ListBullet"/>
      </w:pPr>
      <w:r w:rsidRPr="00450F8C">
        <w:lastRenderedPageBreak/>
        <w:t>regulating lobbyist activity and maintaining the lobbyists register</w:t>
      </w:r>
      <w:r>
        <w:t>,</w:t>
      </w:r>
      <w:r w:rsidRPr="00450F8C">
        <w:t xml:space="preserve"> raising public awareness of ethics and integrity matters</w:t>
      </w:r>
      <w:r>
        <w:t>,</w:t>
      </w:r>
      <w:r w:rsidRPr="00450F8C">
        <w:t xml:space="preserve"> and standard</w:t>
      </w:r>
      <w:r>
        <w:t xml:space="preserve"> </w:t>
      </w:r>
      <w:r w:rsidRPr="00450F8C">
        <w:t>setting on ethics and integrity matters at the request of the Premier.</w:t>
      </w:r>
    </w:p>
    <w:p w14:paraId="37FBEFD5" w14:textId="77777777" w:rsidR="007504B6" w:rsidRDefault="007504B6" w:rsidP="007504B6">
      <w:r w:rsidRPr="00450F8C">
        <w:t>In order to encourage integrity principles within the workplace, TMR provides advice, training</w:t>
      </w:r>
      <w:r>
        <w:t>,</w:t>
      </w:r>
      <w:r w:rsidRPr="00450F8C">
        <w:t xml:space="preserve"> and awareness to the </w:t>
      </w:r>
      <w:r>
        <w:t xml:space="preserve">TMR employees </w:t>
      </w:r>
      <w:r w:rsidRPr="00450F8C">
        <w:t>and manages conduct matters pertaining to conflicts of interest.</w:t>
      </w:r>
    </w:p>
    <w:p w14:paraId="572C8077" w14:textId="77777777" w:rsidR="007504B6" w:rsidRPr="002D0027" w:rsidRDefault="007504B6" w:rsidP="007504B6">
      <w:pPr>
        <w:pStyle w:val="Heading3"/>
      </w:pPr>
      <w:r w:rsidRPr="002D0027">
        <w:t xml:space="preserve">Suppliers and </w:t>
      </w:r>
      <w:r>
        <w:t>p</w:t>
      </w:r>
      <w:r w:rsidRPr="002D0027">
        <w:t>rocurement</w:t>
      </w:r>
    </w:p>
    <w:p w14:paraId="61493703" w14:textId="77777777" w:rsidR="007504B6" w:rsidRDefault="007504B6" w:rsidP="007504B6">
      <w:r w:rsidRPr="002D0027">
        <w:t xml:space="preserve">TMR is committed to delivering social, environmental and economic outcomes through the Queensland Government’s Buy Queensland approach to support quality, local jobs, boost the Queensland economy, and leave a legacy for current and future generations of Queenslanders through well considered procurement and contract management strategies. </w:t>
      </w:r>
    </w:p>
    <w:p w14:paraId="50D04980" w14:textId="77777777" w:rsidR="007504B6" w:rsidRPr="00802972" w:rsidRDefault="007504B6" w:rsidP="007504B6">
      <w:r w:rsidRPr="002D0027">
        <w:t xml:space="preserve">To deliver </w:t>
      </w:r>
      <w:r>
        <w:t>TMR's</w:t>
      </w:r>
      <w:r w:rsidRPr="002D0027">
        <w:t xml:space="preserve"> $9.86 billion program in 2022–23, TMR leveraged the </w:t>
      </w:r>
      <w:r w:rsidRPr="00B95DB8">
        <w:rPr>
          <w:rStyle w:val="Emphasis"/>
        </w:rPr>
        <w:t>Queensland Procurement Policy</w:t>
      </w:r>
      <w:r w:rsidRPr="002D0027">
        <w:t xml:space="preserve"> and </w:t>
      </w:r>
      <w:r w:rsidRPr="00B95DB8">
        <w:rPr>
          <w:rStyle w:val="Emphasis"/>
        </w:rPr>
        <w:t>Queensland Indigenous Procurement Policy</w:t>
      </w:r>
      <w:r w:rsidRPr="002D0027">
        <w:t xml:space="preserve"> to incorporate a range of local, social, and innovative procurement objectives that create opportunities for local, regional</w:t>
      </w:r>
      <w:r>
        <w:t>,</w:t>
      </w:r>
      <w:r w:rsidRPr="002D0027">
        <w:t xml:space="preserve"> and </w:t>
      </w:r>
      <w:r>
        <w:t xml:space="preserve">statewide </w:t>
      </w:r>
      <w:r w:rsidRPr="002D0027">
        <w:t xml:space="preserve">suppliers. </w:t>
      </w:r>
    </w:p>
    <w:p w14:paraId="61A0A46A" w14:textId="77777777" w:rsidR="007504B6" w:rsidRDefault="007504B6" w:rsidP="007504B6">
      <w:r w:rsidRPr="002D0027">
        <w:t>In 2022–23</w:t>
      </w:r>
      <w:r>
        <w:t>,</w:t>
      </w:r>
      <w:r w:rsidRPr="002D0027">
        <w:t xml:space="preserve"> TMR awarded more than 90 per cent of contracts to Queensland suppliers and increased the number of First Nations' businesses engaged by 5.83 per cent. </w:t>
      </w:r>
    </w:p>
    <w:p w14:paraId="6AD06C71" w14:textId="77777777" w:rsidR="007504B6" w:rsidRPr="002D0027" w:rsidRDefault="007504B6" w:rsidP="007504B6">
      <w:r w:rsidRPr="002D0027">
        <w:t>TMR also awarded 2064 contracts to Queensland suppliers, contributing $2.85 billion directly into the Queensland economy. Additionally, goods and services were procured from 2698 regional suppliers contributing over $2.65 billion directly into local regional economies and $47.9 million directly to First Nations</w:t>
      </w:r>
      <w:r>
        <w:t>'</w:t>
      </w:r>
      <w:r w:rsidRPr="002D0027">
        <w:t xml:space="preserve"> businesses.</w:t>
      </w:r>
    </w:p>
    <w:p w14:paraId="58DD2781" w14:textId="77777777" w:rsidR="007504B6" w:rsidRPr="002D0027" w:rsidRDefault="007504B6" w:rsidP="007504B6">
      <w:pPr>
        <w:pStyle w:val="TableofFigures"/>
      </w:pPr>
      <w:r w:rsidRPr="002D0027">
        <w:t xml:space="preserve">Table </w:t>
      </w:r>
      <w:r>
        <w:t>18:</w:t>
      </w:r>
      <w:r w:rsidRPr="002D0027">
        <w:t xml:space="preserve"> Transport and Main Roads addressable spend with First Nations, Regional and Queensland Vendors by financial year</w:t>
      </w:r>
    </w:p>
    <w:tbl>
      <w:tblPr>
        <w:tblStyle w:val="GridTable4-Accent1"/>
        <w:tblW w:w="5000" w:type="pct"/>
        <w:tblLook w:val="04A0" w:firstRow="1" w:lastRow="0" w:firstColumn="1" w:lastColumn="0" w:noHBand="0" w:noVBand="1"/>
      </w:tblPr>
      <w:tblGrid>
        <w:gridCol w:w="2037"/>
        <w:gridCol w:w="3066"/>
        <w:gridCol w:w="3066"/>
        <w:gridCol w:w="2025"/>
      </w:tblGrid>
      <w:tr w:rsidR="007504B6" w:rsidRPr="002D0027" w14:paraId="57B6823A" w14:textId="77777777" w:rsidTr="00AA25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tcPr>
          <w:p w14:paraId="374174D4" w14:textId="77777777" w:rsidR="007504B6" w:rsidRPr="002D0027" w:rsidRDefault="007504B6" w:rsidP="00DE4FC5">
            <w:pPr>
              <w:pStyle w:val="Normal-table"/>
            </w:pPr>
          </w:p>
        </w:tc>
        <w:tc>
          <w:tcPr>
            <w:tcW w:w="1504" w:type="pct"/>
          </w:tcPr>
          <w:p w14:paraId="652BB13F" w14:textId="77777777" w:rsidR="007504B6" w:rsidRPr="001A19DF" w:rsidRDefault="007504B6" w:rsidP="00DE4FC5">
            <w:pPr>
              <w:pStyle w:val="Normal-table"/>
              <w:cnfStyle w:val="100000000000" w:firstRow="1" w:lastRow="0" w:firstColumn="0" w:lastColumn="0" w:oddVBand="0" w:evenVBand="0" w:oddHBand="0" w:evenHBand="0" w:firstRowFirstColumn="0" w:firstRowLastColumn="0" w:lastRowFirstColumn="0" w:lastRowLastColumn="0"/>
            </w:pPr>
            <w:r w:rsidRPr="002D0027">
              <w:t>2020–2021</w:t>
            </w:r>
          </w:p>
        </w:tc>
        <w:tc>
          <w:tcPr>
            <w:tcW w:w="1504" w:type="pct"/>
          </w:tcPr>
          <w:p w14:paraId="583B9B9F" w14:textId="77777777" w:rsidR="007504B6" w:rsidRPr="001A19DF" w:rsidRDefault="007504B6" w:rsidP="00DE4FC5">
            <w:pPr>
              <w:pStyle w:val="Normal-table"/>
              <w:cnfStyle w:val="100000000000" w:firstRow="1" w:lastRow="0" w:firstColumn="0" w:lastColumn="0" w:oddVBand="0" w:evenVBand="0" w:oddHBand="0" w:evenHBand="0" w:firstRowFirstColumn="0" w:firstRowLastColumn="0" w:lastRowFirstColumn="0" w:lastRowLastColumn="0"/>
            </w:pPr>
            <w:r w:rsidRPr="002D0027">
              <w:t>2021–2022</w:t>
            </w:r>
          </w:p>
        </w:tc>
        <w:tc>
          <w:tcPr>
            <w:tcW w:w="993" w:type="pct"/>
          </w:tcPr>
          <w:p w14:paraId="01CE0585" w14:textId="77777777" w:rsidR="007504B6" w:rsidRPr="001A19DF" w:rsidRDefault="007504B6" w:rsidP="00DE4FC5">
            <w:pPr>
              <w:pStyle w:val="Normal-table"/>
              <w:cnfStyle w:val="100000000000" w:firstRow="1" w:lastRow="0" w:firstColumn="0" w:lastColumn="0" w:oddVBand="0" w:evenVBand="0" w:oddHBand="0" w:evenHBand="0" w:firstRowFirstColumn="0" w:firstRowLastColumn="0" w:lastRowFirstColumn="0" w:lastRowLastColumn="0"/>
            </w:pPr>
            <w:r w:rsidRPr="002D0027">
              <w:t>2022–2023</w:t>
            </w:r>
          </w:p>
        </w:tc>
      </w:tr>
      <w:tr w:rsidR="007504B6" w:rsidRPr="002D0027" w14:paraId="555953EA" w14:textId="77777777" w:rsidTr="00AA2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tcPr>
          <w:p w14:paraId="0FAECCC8" w14:textId="77777777" w:rsidR="007504B6" w:rsidRPr="001A19DF" w:rsidRDefault="007504B6" w:rsidP="00DE4FC5">
            <w:pPr>
              <w:pStyle w:val="Normal-table"/>
            </w:pPr>
            <w:r w:rsidRPr="002D0027">
              <w:t>First Nations</w:t>
            </w:r>
          </w:p>
        </w:tc>
        <w:tc>
          <w:tcPr>
            <w:tcW w:w="1504" w:type="pct"/>
          </w:tcPr>
          <w:p w14:paraId="3FF2D9BE" w14:textId="77777777" w:rsidR="007504B6" w:rsidRPr="001A19DF" w:rsidRDefault="007504B6" w:rsidP="00DE4FC5">
            <w:pPr>
              <w:pStyle w:val="Normal-table"/>
              <w:cnfStyle w:val="000000100000" w:firstRow="0" w:lastRow="0" w:firstColumn="0" w:lastColumn="0" w:oddVBand="0" w:evenVBand="0" w:oddHBand="1" w:evenHBand="0" w:firstRowFirstColumn="0" w:firstRowLastColumn="0" w:lastRowFirstColumn="0" w:lastRowLastColumn="0"/>
            </w:pPr>
            <w:r w:rsidRPr="002D0027">
              <w:t>$32,257,234</w:t>
            </w:r>
          </w:p>
        </w:tc>
        <w:tc>
          <w:tcPr>
            <w:tcW w:w="1504" w:type="pct"/>
          </w:tcPr>
          <w:p w14:paraId="629813A1" w14:textId="77777777" w:rsidR="007504B6" w:rsidRPr="001A19DF" w:rsidRDefault="007504B6" w:rsidP="00DE4FC5">
            <w:pPr>
              <w:pStyle w:val="Normal-table"/>
              <w:cnfStyle w:val="000000100000" w:firstRow="0" w:lastRow="0" w:firstColumn="0" w:lastColumn="0" w:oddVBand="0" w:evenVBand="0" w:oddHBand="1" w:evenHBand="0" w:firstRowFirstColumn="0" w:firstRowLastColumn="0" w:lastRowFirstColumn="0" w:lastRowLastColumn="0"/>
            </w:pPr>
            <w:r w:rsidRPr="002D0027">
              <w:t>$51,402,940</w:t>
            </w:r>
          </w:p>
        </w:tc>
        <w:tc>
          <w:tcPr>
            <w:tcW w:w="993" w:type="pct"/>
          </w:tcPr>
          <w:p w14:paraId="7F35FDDF" w14:textId="77777777" w:rsidR="007504B6" w:rsidRPr="001A19DF" w:rsidRDefault="007504B6" w:rsidP="00DE4FC5">
            <w:pPr>
              <w:pStyle w:val="Normal-table"/>
              <w:cnfStyle w:val="000000100000" w:firstRow="0" w:lastRow="0" w:firstColumn="0" w:lastColumn="0" w:oddVBand="0" w:evenVBand="0" w:oddHBand="1" w:evenHBand="0" w:firstRowFirstColumn="0" w:firstRowLastColumn="0" w:lastRowFirstColumn="0" w:lastRowLastColumn="0"/>
            </w:pPr>
            <w:bookmarkStart w:id="39" w:name="_Hlk107992998"/>
            <w:r w:rsidRPr="002D0027">
              <w:t>$</w:t>
            </w:r>
            <w:bookmarkEnd w:id="39"/>
            <w:r w:rsidRPr="002D0027">
              <w:t>47,907,007</w:t>
            </w:r>
          </w:p>
        </w:tc>
      </w:tr>
      <w:tr w:rsidR="007504B6" w:rsidRPr="002D0027" w14:paraId="1453FB8A" w14:textId="77777777" w:rsidTr="00AA259F">
        <w:tc>
          <w:tcPr>
            <w:cnfStyle w:val="001000000000" w:firstRow="0" w:lastRow="0" w:firstColumn="1" w:lastColumn="0" w:oddVBand="0" w:evenVBand="0" w:oddHBand="0" w:evenHBand="0" w:firstRowFirstColumn="0" w:firstRowLastColumn="0" w:lastRowFirstColumn="0" w:lastRowLastColumn="0"/>
            <w:tcW w:w="999" w:type="pct"/>
          </w:tcPr>
          <w:p w14:paraId="5EF5143E" w14:textId="77777777" w:rsidR="007504B6" w:rsidRPr="001A19DF" w:rsidRDefault="007504B6" w:rsidP="00DE4FC5">
            <w:pPr>
              <w:pStyle w:val="Normal-table"/>
            </w:pPr>
            <w:r w:rsidRPr="002D0027">
              <w:t>Regional</w:t>
            </w:r>
          </w:p>
        </w:tc>
        <w:tc>
          <w:tcPr>
            <w:tcW w:w="1504" w:type="pct"/>
          </w:tcPr>
          <w:p w14:paraId="7B167F5D" w14:textId="77777777" w:rsidR="007504B6" w:rsidRPr="001A19DF" w:rsidRDefault="007504B6" w:rsidP="00DE4FC5">
            <w:pPr>
              <w:pStyle w:val="Normal-table"/>
              <w:cnfStyle w:val="000000000000" w:firstRow="0" w:lastRow="0" w:firstColumn="0" w:lastColumn="0" w:oddVBand="0" w:evenVBand="0" w:oddHBand="0" w:evenHBand="0" w:firstRowFirstColumn="0" w:firstRowLastColumn="0" w:lastRowFirstColumn="0" w:lastRowLastColumn="0"/>
            </w:pPr>
            <w:r w:rsidRPr="002D0027">
              <w:t>$2,121,476,520</w:t>
            </w:r>
          </w:p>
        </w:tc>
        <w:tc>
          <w:tcPr>
            <w:tcW w:w="1504" w:type="pct"/>
          </w:tcPr>
          <w:p w14:paraId="292101C1" w14:textId="77777777" w:rsidR="007504B6" w:rsidRPr="001A19DF" w:rsidRDefault="007504B6" w:rsidP="00DE4FC5">
            <w:pPr>
              <w:pStyle w:val="Normal-table"/>
              <w:cnfStyle w:val="000000000000" w:firstRow="0" w:lastRow="0" w:firstColumn="0" w:lastColumn="0" w:oddVBand="0" w:evenVBand="0" w:oddHBand="0" w:evenHBand="0" w:firstRowFirstColumn="0" w:firstRowLastColumn="0" w:lastRowFirstColumn="0" w:lastRowLastColumn="0"/>
            </w:pPr>
            <w:r w:rsidRPr="002D0027">
              <w:t>$2,367,306,824</w:t>
            </w:r>
          </w:p>
        </w:tc>
        <w:tc>
          <w:tcPr>
            <w:tcW w:w="993" w:type="pct"/>
          </w:tcPr>
          <w:p w14:paraId="724D2366" w14:textId="77777777" w:rsidR="007504B6" w:rsidRPr="001A19DF" w:rsidRDefault="007504B6" w:rsidP="00DE4FC5">
            <w:pPr>
              <w:pStyle w:val="Normal-table"/>
              <w:cnfStyle w:val="000000000000" w:firstRow="0" w:lastRow="0" w:firstColumn="0" w:lastColumn="0" w:oddVBand="0" w:evenVBand="0" w:oddHBand="0" w:evenHBand="0" w:firstRowFirstColumn="0" w:firstRowLastColumn="0" w:lastRowFirstColumn="0" w:lastRowLastColumn="0"/>
            </w:pPr>
            <w:r w:rsidRPr="002D0027">
              <w:t>$2,655,880,371</w:t>
            </w:r>
          </w:p>
        </w:tc>
      </w:tr>
      <w:tr w:rsidR="007504B6" w:rsidRPr="002D0027" w14:paraId="598F06C8" w14:textId="77777777" w:rsidTr="00AA2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tcPr>
          <w:p w14:paraId="74E59DCB" w14:textId="77777777" w:rsidR="007504B6" w:rsidRPr="001A19DF" w:rsidRDefault="007504B6" w:rsidP="00DE4FC5">
            <w:pPr>
              <w:pStyle w:val="Normal-table"/>
            </w:pPr>
            <w:r w:rsidRPr="002D0027">
              <w:t>Queensland</w:t>
            </w:r>
          </w:p>
        </w:tc>
        <w:tc>
          <w:tcPr>
            <w:tcW w:w="1504" w:type="pct"/>
          </w:tcPr>
          <w:p w14:paraId="27E36B96" w14:textId="77777777" w:rsidR="007504B6" w:rsidRPr="001A19DF" w:rsidRDefault="007504B6" w:rsidP="00DE4FC5">
            <w:pPr>
              <w:pStyle w:val="Normal-table"/>
              <w:cnfStyle w:val="000000100000" w:firstRow="0" w:lastRow="0" w:firstColumn="0" w:lastColumn="0" w:oddVBand="0" w:evenVBand="0" w:oddHBand="1" w:evenHBand="0" w:firstRowFirstColumn="0" w:firstRowLastColumn="0" w:lastRowFirstColumn="0" w:lastRowLastColumn="0"/>
            </w:pPr>
            <w:r w:rsidRPr="002D0027">
              <w:t>$7,122,693,376</w:t>
            </w:r>
          </w:p>
        </w:tc>
        <w:tc>
          <w:tcPr>
            <w:tcW w:w="1504" w:type="pct"/>
          </w:tcPr>
          <w:p w14:paraId="5AA31043" w14:textId="77777777" w:rsidR="007504B6" w:rsidRPr="001A19DF" w:rsidRDefault="007504B6" w:rsidP="00DE4FC5">
            <w:pPr>
              <w:pStyle w:val="Normal-table"/>
              <w:cnfStyle w:val="000000100000" w:firstRow="0" w:lastRow="0" w:firstColumn="0" w:lastColumn="0" w:oddVBand="0" w:evenVBand="0" w:oddHBand="1" w:evenHBand="0" w:firstRowFirstColumn="0" w:firstRowLastColumn="0" w:lastRowFirstColumn="0" w:lastRowLastColumn="0"/>
            </w:pPr>
            <w:r w:rsidRPr="002D0027">
              <w:t>$7,786,082,694</w:t>
            </w:r>
          </w:p>
        </w:tc>
        <w:tc>
          <w:tcPr>
            <w:tcW w:w="993" w:type="pct"/>
          </w:tcPr>
          <w:p w14:paraId="3CB3D213" w14:textId="77777777" w:rsidR="007504B6" w:rsidRPr="001A19DF" w:rsidRDefault="007504B6" w:rsidP="00DE4FC5">
            <w:pPr>
              <w:pStyle w:val="Normal-table"/>
              <w:cnfStyle w:val="000000100000" w:firstRow="0" w:lastRow="0" w:firstColumn="0" w:lastColumn="0" w:oddVBand="0" w:evenVBand="0" w:oddHBand="1" w:evenHBand="0" w:firstRowFirstColumn="0" w:firstRowLastColumn="0" w:lastRowFirstColumn="0" w:lastRowLastColumn="0"/>
            </w:pPr>
            <w:r w:rsidRPr="002D0027">
              <w:t>$8,804,593,947</w:t>
            </w:r>
          </w:p>
        </w:tc>
      </w:tr>
      <w:tr w:rsidR="007504B6" w:rsidRPr="002D0027" w14:paraId="35027E5E" w14:textId="77777777" w:rsidTr="00AA259F">
        <w:tc>
          <w:tcPr>
            <w:cnfStyle w:val="001000000000" w:firstRow="0" w:lastRow="0" w:firstColumn="1" w:lastColumn="0" w:oddVBand="0" w:evenVBand="0" w:oddHBand="0" w:evenHBand="0" w:firstRowFirstColumn="0" w:firstRowLastColumn="0" w:lastRowFirstColumn="0" w:lastRowLastColumn="0"/>
            <w:tcW w:w="999" w:type="pct"/>
          </w:tcPr>
          <w:p w14:paraId="5F04055D" w14:textId="77777777" w:rsidR="007504B6" w:rsidRPr="001A19DF" w:rsidRDefault="007504B6" w:rsidP="00DE4FC5">
            <w:pPr>
              <w:pStyle w:val="Normal-table"/>
            </w:pPr>
            <w:r w:rsidRPr="002D0027">
              <w:t>Total Spend</w:t>
            </w:r>
          </w:p>
        </w:tc>
        <w:tc>
          <w:tcPr>
            <w:tcW w:w="1504" w:type="pct"/>
          </w:tcPr>
          <w:p w14:paraId="384EB167" w14:textId="77777777" w:rsidR="007504B6" w:rsidRPr="001A19DF" w:rsidRDefault="007504B6" w:rsidP="00DE4FC5">
            <w:pPr>
              <w:pStyle w:val="Normal-table"/>
              <w:cnfStyle w:val="000000000000" w:firstRow="0" w:lastRow="0" w:firstColumn="0" w:lastColumn="0" w:oddVBand="0" w:evenVBand="0" w:oddHBand="0" w:evenHBand="0" w:firstRowFirstColumn="0" w:firstRowLastColumn="0" w:lastRowFirstColumn="0" w:lastRowLastColumn="0"/>
            </w:pPr>
            <w:r w:rsidRPr="002D0027">
              <w:t>$7,571,206,324</w:t>
            </w:r>
          </w:p>
        </w:tc>
        <w:tc>
          <w:tcPr>
            <w:tcW w:w="1504" w:type="pct"/>
          </w:tcPr>
          <w:p w14:paraId="3DF8967B" w14:textId="77777777" w:rsidR="007504B6" w:rsidRPr="001A19DF" w:rsidRDefault="007504B6" w:rsidP="00DE4FC5">
            <w:pPr>
              <w:pStyle w:val="Normal-table"/>
              <w:cnfStyle w:val="000000000000" w:firstRow="0" w:lastRow="0" w:firstColumn="0" w:lastColumn="0" w:oddVBand="0" w:evenVBand="0" w:oddHBand="0" w:evenHBand="0" w:firstRowFirstColumn="0" w:firstRowLastColumn="0" w:lastRowFirstColumn="0" w:lastRowLastColumn="0"/>
            </w:pPr>
            <w:r w:rsidRPr="002D0027">
              <w:t>$8,745,468,369</w:t>
            </w:r>
          </w:p>
        </w:tc>
        <w:tc>
          <w:tcPr>
            <w:tcW w:w="993" w:type="pct"/>
          </w:tcPr>
          <w:p w14:paraId="04B1D344" w14:textId="77777777" w:rsidR="007504B6" w:rsidRPr="001A19DF" w:rsidRDefault="007504B6" w:rsidP="00DE4FC5">
            <w:pPr>
              <w:pStyle w:val="Normal-table"/>
              <w:cnfStyle w:val="000000000000" w:firstRow="0" w:lastRow="0" w:firstColumn="0" w:lastColumn="0" w:oddVBand="0" w:evenVBand="0" w:oddHBand="0" w:evenHBand="0" w:firstRowFirstColumn="0" w:firstRowLastColumn="0" w:lastRowFirstColumn="0" w:lastRowLastColumn="0"/>
            </w:pPr>
            <w:r w:rsidRPr="002D0027">
              <w:t>$9,859,671,441</w:t>
            </w:r>
          </w:p>
        </w:tc>
      </w:tr>
      <w:tr w:rsidR="007504B6" w:rsidRPr="002D0027" w14:paraId="39E1E597" w14:textId="77777777" w:rsidTr="00AA2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tcPr>
          <w:p w14:paraId="3BB6AB80" w14:textId="77777777" w:rsidR="007504B6" w:rsidRPr="001A19DF" w:rsidRDefault="007504B6" w:rsidP="00DE4FC5">
            <w:pPr>
              <w:pStyle w:val="Normal-table"/>
            </w:pPr>
            <w:r w:rsidRPr="002D0027">
              <w:t xml:space="preserve">Regional spend as per </w:t>
            </w:r>
            <w:r w:rsidRPr="001A19DF">
              <w:t>cent</w:t>
            </w:r>
          </w:p>
        </w:tc>
        <w:tc>
          <w:tcPr>
            <w:tcW w:w="1504" w:type="pct"/>
          </w:tcPr>
          <w:p w14:paraId="69DE0EAF" w14:textId="77777777" w:rsidR="007504B6" w:rsidRPr="001A19DF" w:rsidRDefault="007504B6" w:rsidP="00DE4FC5">
            <w:pPr>
              <w:pStyle w:val="Normal-table"/>
              <w:cnfStyle w:val="000000100000" w:firstRow="0" w:lastRow="0" w:firstColumn="0" w:lastColumn="0" w:oddVBand="0" w:evenVBand="0" w:oddHBand="1" w:evenHBand="0" w:firstRowFirstColumn="0" w:firstRowLastColumn="0" w:lastRowFirstColumn="0" w:lastRowLastColumn="0"/>
            </w:pPr>
            <w:r w:rsidRPr="002D0027">
              <w:t>28.02 per cent</w:t>
            </w:r>
          </w:p>
        </w:tc>
        <w:tc>
          <w:tcPr>
            <w:tcW w:w="1504" w:type="pct"/>
          </w:tcPr>
          <w:p w14:paraId="06E650D4" w14:textId="77777777" w:rsidR="007504B6" w:rsidRPr="001A19DF" w:rsidRDefault="007504B6" w:rsidP="00DE4FC5">
            <w:pPr>
              <w:pStyle w:val="Normal-table"/>
              <w:cnfStyle w:val="000000100000" w:firstRow="0" w:lastRow="0" w:firstColumn="0" w:lastColumn="0" w:oddVBand="0" w:evenVBand="0" w:oddHBand="1" w:evenHBand="0" w:firstRowFirstColumn="0" w:firstRowLastColumn="0" w:lastRowFirstColumn="0" w:lastRowLastColumn="0"/>
            </w:pPr>
            <w:r w:rsidRPr="002D0027">
              <w:t>27.07 per cent</w:t>
            </w:r>
          </w:p>
        </w:tc>
        <w:tc>
          <w:tcPr>
            <w:tcW w:w="993" w:type="pct"/>
          </w:tcPr>
          <w:p w14:paraId="4CB79527" w14:textId="77777777" w:rsidR="007504B6" w:rsidRPr="001A19DF" w:rsidRDefault="007504B6" w:rsidP="00DE4FC5">
            <w:pPr>
              <w:pStyle w:val="Normal-table"/>
              <w:cnfStyle w:val="000000100000" w:firstRow="0" w:lastRow="0" w:firstColumn="0" w:lastColumn="0" w:oddVBand="0" w:evenVBand="0" w:oddHBand="1" w:evenHBand="0" w:firstRowFirstColumn="0" w:firstRowLastColumn="0" w:lastRowFirstColumn="0" w:lastRowLastColumn="0"/>
            </w:pPr>
            <w:r w:rsidRPr="002D0027">
              <w:t>26.94 per cent</w:t>
            </w:r>
          </w:p>
        </w:tc>
      </w:tr>
    </w:tbl>
    <w:p w14:paraId="2A31A554" w14:textId="77777777" w:rsidR="007504B6" w:rsidRDefault="007504B6" w:rsidP="007504B6"/>
    <w:p w14:paraId="4DA04854" w14:textId="77777777" w:rsidR="007504B6" w:rsidRPr="002D0027" w:rsidRDefault="007504B6" w:rsidP="007504B6">
      <w:pPr>
        <w:pStyle w:val="Caption"/>
      </w:pPr>
      <w:r w:rsidRPr="002D0027">
        <w:t>Data source: Aboriginal and Torres Strait Islander vendor list supplied by the Department of Seniors, Disability Services and Aboriginal and Torres Strait Islander Partnerships. Regional and Queensland vendors identified by applying SAP Vendor Master Data.</w:t>
      </w:r>
    </w:p>
    <w:p w14:paraId="19039CEE" w14:textId="77777777" w:rsidR="007504B6" w:rsidRPr="00CC202C" w:rsidRDefault="007504B6" w:rsidP="007504B6">
      <w:pPr>
        <w:pStyle w:val="Caption"/>
        <w:rPr>
          <w:rStyle w:val="SubtleReference"/>
          <w:color w:val="auto"/>
        </w:rPr>
      </w:pPr>
      <w:r w:rsidRPr="001A19DF">
        <w:t>Spend data sourced from TMR Spend Cube.</w:t>
      </w:r>
    </w:p>
    <w:p w14:paraId="5ACE96A7" w14:textId="5AEE8CE6" w:rsidR="007504B6" w:rsidRPr="00E500F3" w:rsidRDefault="007504B6" w:rsidP="007504B6">
      <w:pPr>
        <w:pStyle w:val="Heading2"/>
      </w:pPr>
      <w:r w:rsidRPr="00E500F3">
        <w:t>External accountability</w:t>
      </w:r>
    </w:p>
    <w:p w14:paraId="427669BF" w14:textId="77777777" w:rsidR="007504B6" w:rsidRPr="00E500F3" w:rsidRDefault="007504B6" w:rsidP="007504B6">
      <w:pPr>
        <w:pStyle w:val="Heading3"/>
      </w:pPr>
      <w:r w:rsidRPr="00E500F3">
        <w:t>Protecting the public interest: Queensland Ombudsman</w:t>
      </w:r>
    </w:p>
    <w:p w14:paraId="53C39F80" w14:textId="77777777" w:rsidR="007504B6" w:rsidRPr="00E500F3" w:rsidRDefault="007504B6" w:rsidP="007504B6">
      <w:r w:rsidRPr="00E500F3">
        <w:t>The Queensland Ombudsman plays a pivotal role in ensuring</w:t>
      </w:r>
      <w:r>
        <w:t xml:space="preserve"> departments </w:t>
      </w:r>
      <w:r w:rsidRPr="00E500F3">
        <w:t>make fair and accountable decisions in the delivery of services</w:t>
      </w:r>
      <w:r>
        <w:t>–</w:t>
      </w:r>
      <w:r w:rsidRPr="00E500F3">
        <w:t>a critical element of open and transparent public administration</w:t>
      </w:r>
      <w:r>
        <w:t xml:space="preserve">. </w:t>
      </w:r>
      <w:r w:rsidRPr="00E500F3">
        <w:t xml:space="preserve">The </w:t>
      </w:r>
      <w:r>
        <w:t xml:space="preserve">Queensland </w:t>
      </w:r>
      <w:r w:rsidRPr="00E500F3">
        <w:t xml:space="preserve">Ombudsman has wide powers and authorities outlined within the </w:t>
      </w:r>
      <w:r w:rsidRPr="00E500F3">
        <w:rPr>
          <w:rStyle w:val="Emphasis"/>
        </w:rPr>
        <w:t>Ombudsman Act 2001</w:t>
      </w:r>
      <w:r w:rsidRPr="00E500F3">
        <w:t xml:space="preserve"> which facilitate the investigation of administrative actions with the view to improving the quality of decision</w:t>
      </w:r>
      <w:r>
        <w:t>-</w:t>
      </w:r>
      <w:r w:rsidRPr="00E500F3">
        <w:t xml:space="preserve">making and administrative practices in agencies.  The </w:t>
      </w:r>
      <w:r>
        <w:t xml:space="preserve">Queensland </w:t>
      </w:r>
      <w:r w:rsidRPr="00E500F3">
        <w:t xml:space="preserve">Ombudsman also has oversight of the </w:t>
      </w:r>
      <w:r w:rsidRPr="00E500F3">
        <w:rPr>
          <w:rStyle w:val="Emphasis"/>
        </w:rPr>
        <w:t>Public Interest Disclosure Act 2010</w:t>
      </w:r>
      <w:r w:rsidRPr="00E500F3">
        <w:t>.</w:t>
      </w:r>
    </w:p>
    <w:p w14:paraId="12CAC68C" w14:textId="77777777" w:rsidR="007504B6" w:rsidRPr="00E500F3" w:rsidRDefault="007504B6" w:rsidP="007504B6">
      <w:r w:rsidRPr="00E500F3">
        <w:lastRenderedPageBreak/>
        <w:t xml:space="preserve">For the reporting period, TMR responded to </w:t>
      </w:r>
      <w:r>
        <w:t>41</w:t>
      </w:r>
      <w:r w:rsidRPr="00E500F3">
        <w:t xml:space="preserve"> Ombudsman matters referred to the Director</w:t>
      </w:r>
      <w:r>
        <w:t>-</w:t>
      </w:r>
      <w:r w:rsidRPr="00E500F3">
        <w:t>General for administrative review or investigation</w:t>
      </w:r>
      <w:r>
        <w:t>.</w:t>
      </w:r>
      <w:r w:rsidRPr="00E500F3">
        <w:t xml:space="preserve"> </w:t>
      </w:r>
      <w:r>
        <w:t>41</w:t>
      </w:r>
      <w:r w:rsidRPr="00E500F3">
        <w:t xml:space="preserve"> of these matters were concluded following TMR review</w:t>
      </w:r>
      <w:r>
        <w:t xml:space="preserve"> in 2022–23.</w:t>
      </w:r>
    </w:p>
    <w:p w14:paraId="082FA28F" w14:textId="77777777" w:rsidR="007504B6" w:rsidRDefault="007504B6" w:rsidP="007504B6">
      <w:r w:rsidRPr="00E500F3">
        <w:t>TMR works closely with the Queensland Ombudsman to enhance agency decision-making and administrative practices. The outcomes of investigations or reviews can identify significant opportunities for organisational improvement. TMR readily implements appropriate recommendations based on Queensland Ombudsman advice to advance the shared commitment to continuous improvement in public administration.</w:t>
      </w:r>
    </w:p>
    <w:p w14:paraId="267BF62F" w14:textId="77777777" w:rsidR="007504B6" w:rsidRPr="00E500F3" w:rsidRDefault="007504B6" w:rsidP="007504B6">
      <w:pPr>
        <w:pStyle w:val="Heading3"/>
      </w:pPr>
      <w:r w:rsidRPr="004F792F">
        <w:t>Auditor-General Reports</w:t>
      </w:r>
    </w:p>
    <w:p w14:paraId="7CA01F52" w14:textId="77777777" w:rsidR="007504B6" w:rsidRPr="0009441B" w:rsidRDefault="007504B6" w:rsidP="007504B6">
      <w:r w:rsidRPr="0009441B">
        <w:t>Our operations are subject to regular scrutiny from external oversight bodies.</w:t>
      </w:r>
    </w:p>
    <w:p w14:paraId="25DE7A1D" w14:textId="77777777" w:rsidR="007504B6" w:rsidRPr="0009441B" w:rsidRDefault="007504B6" w:rsidP="007504B6">
      <w:r w:rsidRPr="0009441B">
        <w:t xml:space="preserve">In addition to the audit of </w:t>
      </w:r>
      <w:r>
        <w:t>TMR's</w:t>
      </w:r>
      <w:r w:rsidRPr="0009441B">
        <w:t xml:space="preserve"> financial statements, during 2022-23 the Auditor-General audits recommendations were either specifically addressed to </w:t>
      </w:r>
      <w:r>
        <w:t>TMR</w:t>
      </w:r>
      <w:r w:rsidRPr="0009441B">
        <w:t xml:space="preserve">, were for agencies to consider, or included learnings potentially applicable to </w:t>
      </w:r>
      <w:r>
        <w:t>TMR</w:t>
      </w:r>
      <w:r w:rsidRPr="0009441B">
        <w:t>.</w:t>
      </w:r>
    </w:p>
    <w:p w14:paraId="62FF5E9C" w14:textId="77777777" w:rsidR="007504B6" w:rsidRDefault="007504B6" w:rsidP="007504B6">
      <w:r w:rsidRPr="0009441B">
        <w:t>These a</w:t>
      </w:r>
      <w:r>
        <w:t>udits</w:t>
      </w:r>
      <w:r w:rsidRPr="0009441B">
        <w:t xml:space="preserve"> included:</w:t>
      </w:r>
    </w:p>
    <w:p w14:paraId="79DD69B9" w14:textId="77777777" w:rsidR="007504B6" w:rsidRDefault="007504B6" w:rsidP="007504B6">
      <w:pPr>
        <w:pStyle w:val="ListBullet"/>
      </w:pPr>
      <w:r>
        <w:t>Report 2: Improving grants management</w:t>
      </w:r>
    </w:p>
    <w:p w14:paraId="3E2DE35B" w14:textId="77777777" w:rsidR="007504B6" w:rsidRDefault="007504B6" w:rsidP="007504B6">
      <w:pPr>
        <w:pStyle w:val="ListBullet"/>
      </w:pPr>
      <w:r>
        <w:t>Report 4: Status of Auditor-General's recommendations</w:t>
      </w:r>
    </w:p>
    <w:p w14:paraId="0177EB5C" w14:textId="77777777" w:rsidR="007504B6" w:rsidRDefault="007504B6" w:rsidP="007504B6">
      <w:pPr>
        <w:pStyle w:val="ListBullet"/>
      </w:pPr>
      <w:r>
        <w:t>Report 6: Managing workforce agility in the Queensland public sector</w:t>
      </w:r>
    </w:p>
    <w:p w14:paraId="708CDEF8" w14:textId="77777777" w:rsidR="007504B6" w:rsidRDefault="007504B6" w:rsidP="007504B6">
      <w:pPr>
        <w:pStyle w:val="ListBullet"/>
      </w:pPr>
      <w:r>
        <w:t>Report 7: Major projects 2022</w:t>
      </w:r>
    </w:p>
    <w:p w14:paraId="6752B2EC" w14:textId="77777777" w:rsidR="007504B6" w:rsidRDefault="007504B6" w:rsidP="007504B6">
      <w:pPr>
        <w:pStyle w:val="ListBullet"/>
      </w:pPr>
      <w:r>
        <w:t>Report 11: State entities 2022</w:t>
      </w:r>
    </w:p>
    <w:p w14:paraId="6AA70397" w14:textId="77777777" w:rsidR="007504B6" w:rsidRDefault="007504B6" w:rsidP="007504B6">
      <w:pPr>
        <w:pStyle w:val="ListBullet"/>
      </w:pPr>
      <w:r>
        <w:t>Report 13: Managing Queensland's debt and investments 2022.</w:t>
      </w:r>
    </w:p>
    <w:p w14:paraId="24419B5D" w14:textId="77777777" w:rsidR="007504B6" w:rsidRDefault="007504B6" w:rsidP="007504B6">
      <w:pPr>
        <w:pStyle w:val="ForMoreInformation"/>
        <w:rPr>
          <w:rStyle w:val="Hyperlink"/>
        </w:rPr>
      </w:pPr>
      <w:r w:rsidRPr="00431252">
        <w:t xml:space="preserve">For more information </w:t>
      </w:r>
      <w:r>
        <w:rPr>
          <w:rStyle w:val="Hyperlink"/>
        </w:rPr>
        <w:br/>
      </w:r>
      <w:hyperlink r:id="rId78" w:history="1">
        <w:r w:rsidRPr="00A24256">
          <w:rPr>
            <w:rStyle w:val="Hyperlink"/>
          </w:rPr>
          <w:t>www.qao.qld.gov.au</w:t>
        </w:r>
      </w:hyperlink>
    </w:p>
    <w:p w14:paraId="03F1FAA8" w14:textId="77777777" w:rsidR="007504B6" w:rsidRPr="00DC1A33" w:rsidRDefault="007504B6" w:rsidP="007504B6">
      <w:pPr>
        <w:pStyle w:val="Heading3"/>
      </w:pPr>
      <w:r>
        <w:t>Transparency and the Right to Information</w:t>
      </w:r>
    </w:p>
    <w:p w14:paraId="7529B786" w14:textId="77777777" w:rsidR="007504B6" w:rsidRDefault="007504B6" w:rsidP="007504B6">
      <w:r>
        <w:t>TMR is committed to providing open and transparent access to information about our functions and operations. P</w:t>
      </w:r>
      <w:r w:rsidRPr="00CF535C">
        <w:t xml:space="preserve">ublications detailing our activities are available on </w:t>
      </w:r>
      <w:r>
        <w:t>TMR's</w:t>
      </w:r>
      <w:r w:rsidRPr="00CF535C">
        <w:t xml:space="preserve"> website </w:t>
      </w:r>
      <w:r>
        <w:t>and, wherever possible, information is proactively released to the community.</w:t>
      </w:r>
    </w:p>
    <w:p w14:paraId="5C728E3B" w14:textId="77777777" w:rsidR="007504B6" w:rsidRDefault="007504B6" w:rsidP="007504B6">
      <w:r>
        <w:t xml:space="preserve">In addition, people may wish to access information held by TMR by lodging a formal application under the </w:t>
      </w:r>
      <w:r w:rsidRPr="008E5A11">
        <w:rPr>
          <w:rStyle w:val="Emphasis"/>
        </w:rPr>
        <w:t>Right to Information Act 2009</w:t>
      </w:r>
      <w:r w:rsidRPr="008E5A11">
        <w:t xml:space="preserve"> </w:t>
      </w:r>
      <w:r>
        <w:t xml:space="preserve">(Qld) </w:t>
      </w:r>
      <w:r w:rsidRPr="008E5A11">
        <w:t xml:space="preserve">(the RTI Act) </w:t>
      </w:r>
      <w:r>
        <w:t>or</w:t>
      </w:r>
      <w:r w:rsidRPr="008E5A11">
        <w:t xml:space="preserve"> the </w:t>
      </w:r>
      <w:r w:rsidRPr="008E5A11">
        <w:rPr>
          <w:rStyle w:val="Emphasis"/>
        </w:rPr>
        <w:t>Information Privacy Act 2009</w:t>
      </w:r>
      <w:r w:rsidRPr="008E5A11">
        <w:t xml:space="preserve"> </w:t>
      </w:r>
      <w:r>
        <w:t xml:space="preserve">(Qld). </w:t>
      </w:r>
    </w:p>
    <w:p w14:paraId="31C765B2" w14:textId="77777777" w:rsidR="007504B6" w:rsidRDefault="007504B6" w:rsidP="007504B6">
      <w:r>
        <w:t>A</w:t>
      </w:r>
      <w:r w:rsidRPr="00EF2713">
        <w:t xml:space="preserve">pplications for documents that do not contain an applicant's personal information are processed under the RTI Act, while requests for documents containing </w:t>
      </w:r>
      <w:r>
        <w:t xml:space="preserve">their </w:t>
      </w:r>
      <w:r w:rsidRPr="00EF2713">
        <w:t>personal information are processed under the IP Act.</w:t>
      </w:r>
      <w:r>
        <w:t xml:space="preserve"> </w:t>
      </w:r>
    </w:p>
    <w:p w14:paraId="49952598" w14:textId="77777777" w:rsidR="007504B6" w:rsidRDefault="007504B6" w:rsidP="007504B6">
      <w:r>
        <w:t>D</w:t>
      </w:r>
      <w:r w:rsidRPr="00EF2713">
        <w:t xml:space="preserve">etails on how to make an application under the RTI </w:t>
      </w:r>
      <w:r>
        <w:t xml:space="preserve">Act </w:t>
      </w:r>
      <w:r w:rsidRPr="00EF2713">
        <w:t xml:space="preserve">or IP Act is available on our website: </w:t>
      </w:r>
      <w:hyperlink r:id="rId79" w:history="1">
        <w:r w:rsidRPr="00EF2713">
          <w:rPr>
            <w:rStyle w:val="Hyperlink"/>
          </w:rPr>
          <w:t>www.tmr.qld.gov.au/About-us/Right-to-Information</w:t>
        </w:r>
      </w:hyperlink>
      <w:r w:rsidRPr="00EF2713">
        <w:t xml:space="preserve">.   </w:t>
      </w:r>
    </w:p>
    <w:p w14:paraId="79D02071" w14:textId="77777777" w:rsidR="007504B6" w:rsidRDefault="007504B6" w:rsidP="007504B6">
      <w:r w:rsidRPr="00C21EC7">
        <w:t xml:space="preserve">As TMR is responsible for overseeing Queensland's transport network, </w:t>
      </w:r>
      <w:r>
        <w:t>information is regularly requested about veh</w:t>
      </w:r>
      <w:r w:rsidRPr="00C21EC7">
        <w:t>icle registrations, domestic commercial vessels</w:t>
      </w:r>
      <w:r>
        <w:t>,</w:t>
      </w:r>
      <w:r w:rsidRPr="00C21EC7">
        <w:t xml:space="preserve"> and major </w:t>
      </w:r>
      <w:r>
        <w:t xml:space="preserve">departmental </w:t>
      </w:r>
      <w:r w:rsidRPr="00C21EC7">
        <w:t xml:space="preserve">projects. </w:t>
      </w:r>
      <w:r w:rsidRPr="00657A5A">
        <w:t>With the demand for digital technology, TMR has experienced an increase in the number of requests it receives for CCTV footage, particularly capturing incidents which have occurred on TMR’s road network.</w:t>
      </w:r>
    </w:p>
    <w:p w14:paraId="52A0B0E8" w14:textId="77777777" w:rsidR="00916DF7" w:rsidRDefault="00916DF7">
      <w:pPr>
        <w:spacing w:before="0" w:after="160" w:line="259" w:lineRule="auto"/>
      </w:pPr>
      <w:r>
        <w:br w:type="page"/>
      </w:r>
    </w:p>
    <w:p w14:paraId="4079824A" w14:textId="14D88CDD" w:rsidR="007504B6" w:rsidRPr="00C21EC7" w:rsidRDefault="007504B6" w:rsidP="007504B6">
      <w:r w:rsidRPr="00C21EC7">
        <w:lastRenderedPageBreak/>
        <w:t>During 202</w:t>
      </w:r>
      <w:r>
        <w:t>2–</w:t>
      </w:r>
      <w:r w:rsidRPr="00C21EC7">
        <w:t>2</w:t>
      </w:r>
      <w:r>
        <w:t>3</w:t>
      </w:r>
      <w:r w:rsidRPr="00C21EC7">
        <w:t xml:space="preserve">, TMR received </w:t>
      </w:r>
      <w:r>
        <w:t>788</w:t>
      </w:r>
      <w:r w:rsidRPr="00C21EC7">
        <w:t xml:space="preserve"> applications under the RTI and IP Acts, with </w:t>
      </w:r>
      <w:r>
        <w:t>785</w:t>
      </w:r>
      <w:r w:rsidRPr="00C21EC7">
        <w:t xml:space="preserve"> applications being completed in this period</w:t>
      </w:r>
      <w:r>
        <w:t xml:space="preserve"> (some of these were carried over from 2022–23)</w:t>
      </w:r>
      <w:r w:rsidRPr="00C21EC7">
        <w:t xml:space="preserve">. The remaining applications will be finalised </w:t>
      </w:r>
      <w:r>
        <w:t>during</w:t>
      </w:r>
      <w:r w:rsidRPr="00C21EC7">
        <w:t xml:space="preserve"> 202</w:t>
      </w:r>
      <w:r>
        <w:t>3–</w:t>
      </w:r>
      <w:r w:rsidRPr="00C21EC7">
        <w:t>2</w:t>
      </w:r>
      <w:r>
        <w:t>4</w:t>
      </w:r>
      <w:r w:rsidRPr="00C21EC7">
        <w:t>.</w:t>
      </w:r>
    </w:p>
    <w:p w14:paraId="108838D0" w14:textId="77777777" w:rsidR="007504B6" w:rsidRPr="00A24256" w:rsidRDefault="007504B6" w:rsidP="007504B6">
      <w:pPr>
        <w:pStyle w:val="ForMoreInformation"/>
      </w:pPr>
      <w:r w:rsidRPr="00A24256">
        <w:t xml:space="preserve">For more information </w:t>
      </w:r>
      <w:r>
        <w:br/>
      </w:r>
      <w:hyperlink r:id="rId80" w:history="1">
        <w:r w:rsidRPr="00A24256">
          <w:rPr>
            <w:rStyle w:val="Hyperlink"/>
          </w:rPr>
          <w:t>www.tmr.qld.gov.au/About-us/Right-to-Information/Disclosure-log</w:t>
        </w:r>
      </w:hyperlink>
      <w:r w:rsidRPr="00A24256">
        <w:rPr>
          <w:rStyle w:val="Hyperlink"/>
        </w:rPr>
        <w:t xml:space="preserve">. </w:t>
      </w:r>
    </w:p>
    <w:p w14:paraId="54F83491" w14:textId="77777777" w:rsidR="007504B6" w:rsidRPr="00325BE8" w:rsidRDefault="007504B6" w:rsidP="007504B6">
      <w:pPr>
        <w:pStyle w:val="Heading3"/>
        <w:rPr>
          <w:rStyle w:val="Emphasis"/>
        </w:rPr>
      </w:pPr>
      <w:r w:rsidRPr="00325BE8">
        <w:rPr>
          <w:rStyle w:val="Emphasis"/>
        </w:rPr>
        <w:t>Human Rights Act 2019</w:t>
      </w:r>
    </w:p>
    <w:p w14:paraId="51057092" w14:textId="77777777" w:rsidR="007504B6" w:rsidRPr="005A2234" w:rsidRDefault="007504B6" w:rsidP="007504B6">
      <w:r w:rsidRPr="005A2234">
        <w:t xml:space="preserve">The Queensland Government </w:t>
      </w:r>
      <w:r w:rsidRPr="002A638C">
        <w:rPr>
          <w:rStyle w:val="Emphasis"/>
        </w:rPr>
        <w:t>Human Rights Strategy</w:t>
      </w:r>
      <w:r w:rsidRPr="005A2234">
        <w:t xml:space="preserve"> sets the vision of a modern, fair</w:t>
      </w:r>
      <w:r>
        <w:t>,</w:t>
      </w:r>
      <w:r w:rsidRPr="005A2234">
        <w:t xml:space="preserve"> and responsive Queensland where we respect, protect</w:t>
      </w:r>
      <w:r>
        <w:t>,</w:t>
      </w:r>
      <w:r w:rsidRPr="005A2234">
        <w:t xml:space="preserve"> and promote human rights. A key objective to achieve this vision is to build a culture in the Queensland public sector that respects and promotes human rights.</w:t>
      </w:r>
    </w:p>
    <w:p w14:paraId="58BC7F55" w14:textId="77777777" w:rsidR="007504B6" w:rsidRPr="005A2234" w:rsidRDefault="007504B6" w:rsidP="007504B6">
      <w:r w:rsidRPr="005A2234">
        <w:t xml:space="preserve">Consistent with fulfilling this vision, TMR is committed to ensuring we act and make decisions compatible with the </w:t>
      </w:r>
      <w:r w:rsidRPr="00693BCA">
        <w:rPr>
          <w:rStyle w:val="Emphasis"/>
        </w:rPr>
        <w:t>Human Rights Act 2019</w:t>
      </w:r>
      <w:r w:rsidRPr="005A2234">
        <w:t xml:space="preserve">. </w:t>
      </w:r>
    </w:p>
    <w:p w14:paraId="526DC81A" w14:textId="77777777" w:rsidR="007504B6" w:rsidRDefault="007504B6" w:rsidP="007504B6">
      <w:r w:rsidRPr="005A2234">
        <w:t xml:space="preserve">As part of this commitment, TMR has taken steps to further the objectives of the </w:t>
      </w:r>
      <w:r>
        <w:t xml:space="preserve">Human Rights </w:t>
      </w:r>
      <w:r w:rsidRPr="005A2234">
        <w:t>Act including:</w:t>
      </w:r>
    </w:p>
    <w:p w14:paraId="58A280AF" w14:textId="77777777" w:rsidR="007504B6" w:rsidRPr="00605EBB" w:rsidRDefault="007504B6" w:rsidP="007504B6">
      <w:pPr>
        <w:pStyle w:val="ListBullet"/>
      </w:pPr>
      <w:r w:rsidRPr="005A2234">
        <w:t xml:space="preserve"> incorporating human</w:t>
      </w:r>
      <w:r w:rsidRPr="00605EBB">
        <w:t xml:space="preserve"> rights into strategic plans, staff position descriptions, performance management,</w:t>
      </w:r>
      <w:r>
        <w:t xml:space="preserve"> briefing notes, and</w:t>
      </w:r>
      <w:r w:rsidRPr="00605EBB">
        <w:t xml:space="preserve"> professional development targets</w:t>
      </w:r>
    </w:p>
    <w:p w14:paraId="6D2FA159" w14:textId="77777777" w:rsidR="007504B6" w:rsidRPr="00605EBB" w:rsidRDefault="007504B6" w:rsidP="007504B6">
      <w:pPr>
        <w:pStyle w:val="ListBullet"/>
      </w:pPr>
      <w:r>
        <w:t>r</w:t>
      </w:r>
      <w:r w:rsidRPr="00605EBB">
        <w:t>eviewing internal policies for example, complaint-handling policy and procedures to ensure compatibility with the Act</w:t>
      </w:r>
    </w:p>
    <w:p w14:paraId="574DC320" w14:textId="77777777" w:rsidR="007504B6" w:rsidRPr="00605EBB" w:rsidRDefault="007504B6" w:rsidP="007504B6">
      <w:pPr>
        <w:pStyle w:val="ListBullet"/>
      </w:pPr>
      <w:r w:rsidRPr="005A2234">
        <w:t xml:space="preserve">developing the necessary templates and processes to ensure that TMR complies with the scrutiny of legislation provision in the Act </w:t>
      </w:r>
    </w:p>
    <w:p w14:paraId="5D437CC3" w14:textId="77777777" w:rsidR="007504B6" w:rsidRPr="00605EBB" w:rsidRDefault="007504B6" w:rsidP="007504B6">
      <w:pPr>
        <w:pStyle w:val="ListBullet"/>
      </w:pPr>
      <w:r w:rsidRPr="005A2234">
        <w:t>embedding human rights in regular reporting and decision-making through education, training</w:t>
      </w:r>
      <w:r>
        <w:t>,</w:t>
      </w:r>
      <w:r w:rsidRPr="005A2234">
        <w:t xml:space="preserve"> and awareness by promoting cultural safety in disciplinary processes </w:t>
      </w:r>
    </w:p>
    <w:p w14:paraId="01163264" w14:textId="77777777" w:rsidR="007504B6" w:rsidRPr="00605EBB" w:rsidRDefault="007504B6" w:rsidP="007504B6">
      <w:pPr>
        <w:pStyle w:val="ListBullet"/>
      </w:pPr>
      <w:r w:rsidRPr="005A2234">
        <w:t>establishing a Human Rights reference page within TMR's internal intranet channel and a Human Rights compatibility Assessment Tool to assist decision-markers</w:t>
      </w:r>
    </w:p>
    <w:p w14:paraId="4B97C8DF" w14:textId="77777777" w:rsidR="007504B6" w:rsidRPr="00605EBB" w:rsidRDefault="007504B6" w:rsidP="007504B6">
      <w:pPr>
        <w:pStyle w:val="ListBullet"/>
      </w:pPr>
      <w:r w:rsidRPr="005A2234">
        <w:t xml:space="preserve">incorporating training products and awareness campaigns relating to Customer Complaints handling including a focus / instruction on human rights to reinforce the objectives of the </w:t>
      </w:r>
      <w:r w:rsidRPr="00605EBB">
        <w:rPr>
          <w:rStyle w:val="Emphasis"/>
        </w:rPr>
        <w:t>Human Rights Act 2019.</w:t>
      </w:r>
    </w:p>
    <w:p w14:paraId="1901E2BD" w14:textId="77777777" w:rsidR="007504B6" w:rsidRPr="005A2234" w:rsidRDefault="007504B6" w:rsidP="007504B6">
      <w:r w:rsidRPr="005A2234">
        <w:t>TMR continues to drive efforts in supporting practices of its leaders and workforce to build human rights capacity, capability</w:t>
      </w:r>
      <w:r>
        <w:t>,</w:t>
      </w:r>
      <w:r w:rsidRPr="005A2234">
        <w:t xml:space="preserve"> and maturity amongst staff by actively participating as a member of the Human Rights Interdepartmental Committee (HRIDC) led by the Department of Justice and Attorney-General.</w:t>
      </w:r>
    </w:p>
    <w:p w14:paraId="786435C9" w14:textId="77777777" w:rsidR="007504B6" w:rsidRPr="005A2234" w:rsidRDefault="007504B6" w:rsidP="007504B6">
      <w:r w:rsidRPr="005A2234">
        <w:t xml:space="preserve">The HRIDC is comprised of representatives from across Queensland Government departments with a key forum to help drive the development of a human rights culture across Queensland </w:t>
      </w:r>
      <w:r>
        <w:t>G</w:t>
      </w:r>
      <w:r w:rsidRPr="005A2234">
        <w:t>overnment departments and to provide a forum and opportunity for regular communication and sharing of information between all Queensland Government departments.</w:t>
      </w:r>
    </w:p>
    <w:p w14:paraId="37706B03" w14:textId="77777777" w:rsidR="007504B6" w:rsidRDefault="007504B6" w:rsidP="007504B6">
      <w:r w:rsidRPr="005A2234">
        <w:t>The purpose of the HRIDC is to:</w:t>
      </w:r>
    </w:p>
    <w:p w14:paraId="6EC629D4" w14:textId="77777777" w:rsidR="007504B6" w:rsidRPr="00605EBB" w:rsidRDefault="007504B6" w:rsidP="007504B6">
      <w:pPr>
        <w:pStyle w:val="ListBullet"/>
      </w:pPr>
      <w:r w:rsidRPr="005A2234">
        <w:t>champion the development of a human</w:t>
      </w:r>
      <w:r w:rsidRPr="00605EBB">
        <w:t xml:space="preserve"> rights culture across Queensland Government</w:t>
      </w:r>
    </w:p>
    <w:p w14:paraId="433F9EC1" w14:textId="77777777" w:rsidR="007504B6" w:rsidRPr="00605EBB" w:rsidRDefault="007504B6" w:rsidP="007504B6">
      <w:pPr>
        <w:pStyle w:val="ListBullet"/>
      </w:pPr>
      <w:r w:rsidRPr="005A2234">
        <w:t xml:space="preserve">support capacity building and the development of human rights maturity within </w:t>
      </w:r>
      <w:r w:rsidRPr="00605EBB">
        <w:t>Queensland Government departments</w:t>
      </w:r>
    </w:p>
    <w:p w14:paraId="7ABA2BF3" w14:textId="77777777" w:rsidR="007504B6" w:rsidRPr="00605EBB" w:rsidRDefault="007504B6" w:rsidP="007504B6">
      <w:pPr>
        <w:pStyle w:val="ListBullet"/>
      </w:pPr>
      <w:r>
        <w:t>i</w:t>
      </w:r>
      <w:r w:rsidRPr="00605EBB">
        <w:t>dentify issues, discuss challenges and develop solutions to respond to the needs of Queensland Government departments</w:t>
      </w:r>
    </w:p>
    <w:p w14:paraId="53350150" w14:textId="77777777" w:rsidR="007504B6" w:rsidRPr="00605EBB" w:rsidRDefault="007504B6" w:rsidP="007504B6">
      <w:pPr>
        <w:pStyle w:val="ListBullet"/>
      </w:pPr>
      <w:r w:rsidRPr="005A2234">
        <w:t>facilitate the sharing and distribution of information and resources across Queensland Government departments</w:t>
      </w:r>
    </w:p>
    <w:p w14:paraId="3380339A" w14:textId="77777777" w:rsidR="007504B6" w:rsidRPr="00605EBB" w:rsidRDefault="007504B6" w:rsidP="007504B6">
      <w:pPr>
        <w:pStyle w:val="ListBullet"/>
      </w:pPr>
      <w:r w:rsidRPr="005A2234">
        <w:t xml:space="preserve">provide cohesive and consistent advice in relation to the </w:t>
      </w:r>
      <w:r w:rsidRPr="00E07EDF">
        <w:rPr>
          <w:rStyle w:val="Emphasis"/>
        </w:rPr>
        <w:t>Human Rights Act 2019</w:t>
      </w:r>
      <w:r w:rsidRPr="00605EBB">
        <w:t xml:space="preserve">. </w:t>
      </w:r>
    </w:p>
    <w:p w14:paraId="61505163" w14:textId="77777777" w:rsidR="00916DF7" w:rsidRDefault="00916DF7">
      <w:pPr>
        <w:spacing w:before="0" w:after="160" w:line="259" w:lineRule="auto"/>
        <w:rPr>
          <w:rFonts w:eastAsiaTheme="majorEastAsia" w:cstheme="majorBidi"/>
          <w:color w:val="000000" w:themeColor="text1"/>
          <w:sz w:val="32"/>
          <w:szCs w:val="24"/>
        </w:rPr>
      </w:pPr>
      <w:r>
        <w:br w:type="page"/>
      </w:r>
    </w:p>
    <w:p w14:paraId="5848771B" w14:textId="79AF9E14" w:rsidR="007504B6" w:rsidRPr="005A2234" w:rsidRDefault="007504B6" w:rsidP="007504B6">
      <w:pPr>
        <w:pStyle w:val="Heading3"/>
      </w:pPr>
      <w:r w:rsidRPr="005A2234">
        <w:lastRenderedPageBreak/>
        <w:t>Human Rights complaints</w:t>
      </w:r>
    </w:p>
    <w:p w14:paraId="6F0E30AE" w14:textId="77777777" w:rsidR="007504B6" w:rsidRPr="005A2234" w:rsidRDefault="007504B6" w:rsidP="007504B6">
      <w:r w:rsidRPr="005A2234">
        <w:t>Since the commencement of the Act, TMR ha</w:t>
      </w:r>
      <w:r>
        <w:t>s</w:t>
      </w:r>
      <w:r w:rsidRPr="005A2234">
        <w:t xml:space="preserve"> updated its complaints and grievance policies, procedures</w:t>
      </w:r>
      <w:r>
        <w:t>,</w:t>
      </w:r>
      <w:r w:rsidRPr="005A2234">
        <w:t xml:space="preserve"> and mechanisms to ensure human rights complaints can be recorded, assessed</w:t>
      </w:r>
      <w:r>
        <w:t>,</w:t>
      </w:r>
      <w:r w:rsidRPr="005A2234">
        <w:t xml:space="preserve"> and responded to appropriately. TMR examines all complaints received by TMR to ensure decisions made by the services and its employees </w:t>
      </w:r>
      <w:r>
        <w:t>are</w:t>
      </w:r>
      <w:r w:rsidRPr="005A2234">
        <w:t xml:space="preserve"> compatible with the Act.</w:t>
      </w:r>
    </w:p>
    <w:p w14:paraId="0E6E764E" w14:textId="77777777" w:rsidR="007504B6" w:rsidRPr="005A2234" w:rsidRDefault="007504B6" w:rsidP="007504B6">
      <w:r w:rsidRPr="005A2234">
        <w:t>In 2022</w:t>
      </w:r>
      <w:r>
        <w:t>–</w:t>
      </w:r>
      <w:r w:rsidRPr="005A2234">
        <w:t>2023, TMR recorded:</w:t>
      </w:r>
    </w:p>
    <w:p w14:paraId="3EBD41D0" w14:textId="77777777" w:rsidR="007504B6" w:rsidRDefault="007504B6" w:rsidP="007504B6">
      <w:pPr>
        <w:pStyle w:val="ListBullet"/>
      </w:pPr>
      <w:r>
        <w:t>38 complaints where it was identified that one or more human rights may have been unreasonable limited</w:t>
      </w:r>
    </w:p>
    <w:p w14:paraId="7D929A3B" w14:textId="77777777" w:rsidR="007504B6" w:rsidRDefault="007504B6" w:rsidP="007504B6">
      <w:pPr>
        <w:pStyle w:val="ListBullet"/>
      </w:pPr>
      <w:r>
        <w:t xml:space="preserve">Of the 38 complaints, 8 complaints involved human rights limitations (one complaint can include more than one human rights limitation). </w:t>
      </w:r>
    </w:p>
    <w:p w14:paraId="7C33C92F" w14:textId="77777777" w:rsidR="007504B6" w:rsidRPr="005A2234" w:rsidRDefault="007504B6" w:rsidP="007504B6">
      <w:r w:rsidRPr="005A2234">
        <w:t>Each time TMR received a complaint, human rights limitations were assessed to determine if any rights were unreasonably limited.  The human rights aspect of each complaint w</w:t>
      </w:r>
      <w:r>
        <w:t>as</w:t>
      </w:r>
      <w:r w:rsidRPr="005A2234">
        <w:t xml:space="preserve"> investigated along with the allegation/s, which assisted in determining the appropriate resolution. </w:t>
      </w:r>
    </w:p>
    <w:p w14:paraId="69BA04BC" w14:textId="77777777" w:rsidR="007504B6" w:rsidRPr="005A2234" w:rsidRDefault="007504B6" w:rsidP="007504B6">
      <w:r w:rsidRPr="005A2234">
        <w:t xml:space="preserve">For example, a customer complained to TMR about the lack of public access to facilities at a </w:t>
      </w:r>
      <w:r w:rsidRPr="00605EBB">
        <w:t>purpose-built stand-alone</w:t>
      </w:r>
      <w:r w:rsidRPr="005A2234">
        <w:t xml:space="preserve"> </w:t>
      </w:r>
      <w:r w:rsidRPr="00605EBB">
        <w:t>CSC</w:t>
      </w:r>
      <w:r w:rsidRPr="005A2234">
        <w:t xml:space="preserve"> </w:t>
      </w:r>
      <w:r w:rsidRPr="00605EBB">
        <w:t>building.</w:t>
      </w:r>
      <w:r w:rsidRPr="005A2234">
        <w:t xml:space="preserve"> The customer had a condition requiring urgent use of the toilet facilities.    </w:t>
      </w:r>
    </w:p>
    <w:p w14:paraId="20549975" w14:textId="77777777" w:rsidR="007504B6" w:rsidRPr="00605EBB" w:rsidRDefault="007504B6" w:rsidP="007504B6">
      <w:r w:rsidRPr="005A2234">
        <w:t>The customer was advised at the time by the site security guard the centr</w:t>
      </w:r>
      <w:r>
        <w:t>e</w:t>
      </w:r>
      <w:r w:rsidRPr="005A2234">
        <w:t xml:space="preserve"> did not have onsite facilities and didn't make the customer aware of t</w:t>
      </w:r>
      <w:r w:rsidRPr="00605EBB">
        <w:t xml:space="preserve">he nearest public toilet </w:t>
      </w:r>
      <w:r w:rsidRPr="005A2234">
        <w:t xml:space="preserve">being </w:t>
      </w:r>
      <w:r w:rsidRPr="00605EBB">
        <w:t>approximately 230–500 metres from the CSC, on the other side of a four-lane road. ​</w:t>
      </w:r>
    </w:p>
    <w:p w14:paraId="688FEC54" w14:textId="77777777" w:rsidR="007504B6" w:rsidRPr="00605EBB" w:rsidRDefault="007504B6" w:rsidP="007504B6">
      <w:r w:rsidRPr="005A2234">
        <w:t xml:space="preserve">During the investigation, TMR identified the customer's human rights were </w:t>
      </w:r>
      <w:r w:rsidRPr="00605EBB">
        <w:t>breach</w:t>
      </w:r>
      <w:r w:rsidRPr="005A2234">
        <w:t>ed</w:t>
      </w:r>
      <w:r w:rsidRPr="00605EBB">
        <w:t xml:space="preserve"> under Section 15</w:t>
      </w:r>
      <w:r w:rsidRPr="005A2234">
        <w:t xml:space="preserve"> - Recognition and equality before the law</w:t>
      </w:r>
      <w:r>
        <w:t>,</w:t>
      </w:r>
      <w:r w:rsidRPr="005A2234">
        <w:t xml:space="preserve"> and </w:t>
      </w:r>
      <w:r w:rsidRPr="00605EBB">
        <w:t>assessed as a contravention of the </w:t>
      </w:r>
      <w:r w:rsidRPr="00591C12">
        <w:rPr>
          <w:rStyle w:val="Emphasis"/>
        </w:rPr>
        <w:t>Anti-Discrimination Act 1991</w:t>
      </w:r>
      <w:r w:rsidRPr="00605EBB">
        <w:t> due to unlawful indirect discrimination.</w:t>
      </w:r>
    </w:p>
    <w:p w14:paraId="746A2FA6" w14:textId="77777777" w:rsidR="007504B6" w:rsidRPr="00605EBB" w:rsidRDefault="007504B6" w:rsidP="007504B6">
      <w:r w:rsidRPr="00605EBB">
        <w:t>TMR apologised to the customer who was able to return at a later date to complete their transaction.</w:t>
      </w:r>
    </w:p>
    <w:p w14:paraId="28B2EB0B" w14:textId="77777777" w:rsidR="007504B6" w:rsidRPr="00605EBB" w:rsidRDefault="007504B6" w:rsidP="007504B6">
      <w:r w:rsidRPr="00605EBB">
        <w:t>To prevent future similar instances, a special service was implemented, allowing customers experiencing a disability or impairment to access a priority queue to conduct their transaction.</w:t>
      </w:r>
    </w:p>
    <w:p w14:paraId="72EFC2A9" w14:textId="77777777" w:rsidR="007504B6" w:rsidRPr="005A2234" w:rsidRDefault="007504B6" w:rsidP="007504B6">
      <w:r w:rsidRPr="005A2234">
        <w:t>TMR uses learnings from any complaints to inform future practice.</w:t>
      </w:r>
    </w:p>
    <w:p w14:paraId="730BBA0A" w14:textId="77777777" w:rsidR="007504B6" w:rsidRPr="005A2234" w:rsidRDefault="007504B6" w:rsidP="007504B6">
      <w:r w:rsidRPr="00543688">
        <w:t xml:space="preserve">As at 30 June 2023, 13,588 staff had completed the mandatory online </w:t>
      </w:r>
      <w:r w:rsidRPr="00543688">
        <w:rPr>
          <w:rStyle w:val="Emphasis"/>
        </w:rPr>
        <w:t>Human Rights Act 2019</w:t>
      </w:r>
      <w:r w:rsidRPr="00543688">
        <w:t xml:space="preserve"> training course since being launched in November 2019.</w:t>
      </w:r>
    </w:p>
    <w:p w14:paraId="23ECFA29" w14:textId="77777777" w:rsidR="007504B6" w:rsidRPr="00DC1A33" w:rsidRDefault="007504B6" w:rsidP="007504B6">
      <w:pPr>
        <w:pStyle w:val="Heading3"/>
      </w:pPr>
      <w:r>
        <w:t>Open data</w:t>
      </w:r>
    </w:p>
    <w:p w14:paraId="5545B95B" w14:textId="77777777" w:rsidR="007504B6" w:rsidRDefault="007504B6" w:rsidP="007504B6">
      <w:r>
        <w:t xml:space="preserve">TMR is consistently one of the largest contributors to the Queensland Government's Open Data Portal. TMR has a collection of 262 published datasets in </w:t>
      </w:r>
      <w:r w:rsidRPr="00BF5F1D">
        <w:t>202</w:t>
      </w:r>
      <w:r>
        <w:t>2</w:t>
      </w:r>
      <w:r w:rsidRPr="00BF5F1D">
        <w:t>–2</w:t>
      </w:r>
      <w:r>
        <w:t xml:space="preserve">3, up from 256 in </w:t>
      </w:r>
      <w:r w:rsidRPr="00BF5F1D">
        <w:t>2021–22</w:t>
      </w:r>
      <w:r>
        <w:t>.</w:t>
      </w:r>
    </w:p>
    <w:p w14:paraId="6EE4B651" w14:textId="77777777" w:rsidR="007504B6" w:rsidRDefault="007504B6" w:rsidP="007504B6">
      <w:r>
        <w:t>Publicly available d</w:t>
      </w:r>
      <w:r w:rsidRPr="00BF5F1D">
        <w:t xml:space="preserve">atasets enable business partners and industry to help deliver better traffic and transport services for the community </w:t>
      </w:r>
      <w:r>
        <w:t xml:space="preserve">and </w:t>
      </w:r>
      <w:r w:rsidRPr="00BF5F1D">
        <w:t xml:space="preserve">empower Queenslanders to make informed decisions about how and when they travel. </w:t>
      </w:r>
    </w:p>
    <w:p w14:paraId="57332E98" w14:textId="77777777" w:rsidR="007504B6" w:rsidRPr="00A24256" w:rsidRDefault="007504B6" w:rsidP="007504B6">
      <w:pPr>
        <w:pStyle w:val="ForMoreInformation"/>
        <w:rPr>
          <w:rStyle w:val="Hyperlink"/>
          <w:color w:val="auto"/>
          <w:u w:val="none"/>
        </w:rPr>
      </w:pPr>
      <w:r>
        <w:t>For more information</w:t>
      </w:r>
      <w:r>
        <w:br/>
      </w:r>
      <w:hyperlink r:id="rId81" w:history="1">
        <w:r w:rsidRPr="00A24256">
          <w:rPr>
            <w:rStyle w:val="Hyperlink"/>
          </w:rPr>
          <w:t>https://www.data.qld.gov.au/dataset?organization=transport-and-main-roads</w:t>
        </w:r>
      </w:hyperlink>
    </w:p>
    <w:p w14:paraId="618F7015" w14:textId="77777777" w:rsidR="007504B6" w:rsidRPr="00A24256" w:rsidRDefault="007504B6" w:rsidP="007504B6">
      <w:pPr>
        <w:pStyle w:val="Heading3"/>
      </w:pPr>
      <w:r>
        <w:t>Coronial inquests and recommendations</w:t>
      </w:r>
    </w:p>
    <w:p w14:paraId="56CBC0ED" w14:textId="77777777" w:rsidR="007504B6" w:rsidRPr="00444D1F" w:rsidRDefault="007504B6" w:rsidP="007504B6">
      <w:r w:rsidRPr="00444D1F">
        <w:t xml:space="preserve">Under the whole-of-government coronial reporting arrangements, Ministers are required to inform the Attorney-General within six months of coronial findings being handed down as to whether the recommendations are supported. Ministers must also provide progress updates every six months until the recommendation is implemented. </w:t>
      </w:r>
    </w:p>
    <w:p w14:paraId="61B52222" w14:textId="77777777" w:rsidR="007504B6" w:rsidRPr="00444D1F" w:rsidRDefault="007504B6" w:rsidP="007504B6">
      <w:r w:rsidRPr="00444D1F">
        <w:t xml:space="preserve">Where recommendations are directed to more than one department, the government is required to produce a single, coordinated response to the recommendation. These responses are published on the coroner’s website by the Department of Justice and Attorney-General. </w:t>
      </w:r>
    </w:p>
    <w:p w14:paraId="7CEB4A9D" w14:textId="77777777" w:rsidR="007504B6" w:rsidRPr="00444D1F" w:rsidRDefault="007504B6" w:rsidP="007504B6">
      <w:r w:rsidRPr="00444D1F">
        <w:t>TMR’s response for the period January to June 202</w:t>
      </w:r>
      <w:r>
        <w:t>3</w:t>
      </w:r>
      <w:r w:rsidRPr="00444D1F">
        <w:t xml:space="preserve"> is required to be provided to the Attorney-General by </w:t>
      </w:r>
      <w:r>
        <w:t xml:space="preserve">29 September 2023. </w:t>
      </w:r>
    </w:p>
    <w:p w14:paraId="699A6830" w14:textId="77777777" w:rsidR="007504B6" w:rsidRPr="00444D1F" w:rsidRDefault="007504B6" w:rsidP="007504B6">
      <w:r>
        <w:lastRenderedPageBreak/>
        <w:t xml:space="preserve">No </w:t>
      </w:r>
      <w:r w:rsidRPr="00444D1F">
        <w:t>new recommendation</w:t>
      </w:r>
      <w:r>
        <w:t>s</w:t>
      </w:r>
      <w:r w:rsidRPr="00444D1F">
        <w:t xml:space="preserve"> w</w:t>
      </w:r>
      <w:r>
        <w:t>ere</w:t>
      </w:r>
      <w:r w:rsidRPr="00444D1F">
        <w:t xml:space="preserve"> directed toward TMR </w:t>
      </w:r>
      <w:r>
        <w:t xml:space="preserve">in the period </w:t>
      </w:r>
      <w:r w:rsidRPr="00444D1F">
        <w:t>2022</w:t>
      </w:r>
      <w:r>
        <w:t>–</w:t>
      </w:r>
      <w:r w:rsidRPr="00444D1F">
        <w:t>23. TMR’s report for the period January to June 202</w:t>
      </w:r>
      <w:r>
        <w:t>3</w:t>
      </w:r>
      <w:r w:rsidRPr="00444D1F">
        <w:t xml:space="preserve"> will provide an update on </w:t>
      </w:r>
      <w:r>
        <w:t xml:space="preserve">seven </w:t>
      </w:r>
      <w:r w:rsidRPr="00444D1F">
        <w:t xml:space="preserve">recommendations in total. </w:t>
      </w:r>
    </w:p>
    <w:p w14:paraId="639BDCB7" w14:textId="77777777" w:rsidR="007504B6" w:rsidRPr="004377DE" w:rsidRDefault="007504B6" w:rsidP="007504B6">
      <w:pPr>
        <w:pStyle w:val="Heading3"/>
      </w:pPr>
      <w:r w:rsidRPr="004377DE">
        <w:t>Crime and Corruption Commission reports</w:t>
      </w:r>
    </w:p>
    <w:p w14:paraId="6D6F4C2B" w14:textId="77777777" w:rsidR="007504B6" w:rsidRPr="004377DE" w:rsidRDefault="007504B6" w:rsidP="007504B6">
      <w:r w:rsidRPr="004377DE">
        <w:t>The Crime and Corruption Commission (CCC) is a statutory oversight body accountable to the Parliamentary Crime and Corruption Committee. Set up to combat and reduce the incidence of major crime and corruption in the public sector,</w:t>
      </w:r>
      <w:r>
        <w:t xml:space="preserve"> </w:t>
      </w:r>
      <w:r w:rsidRPr="004377DE">
        <w:t xml:space="preserve">its functions and powers are set out in the </w:t>
      </w:r>
      <w:r w:rsidRPr="004377DE">
        <w:rPr>
          <w:rStyle w:val="Emphasis"/>
        </w:rPr>
        <w:t>Crime and Corruption Act 2001</w:t>
      </w:r>
      <w:r w:rsidRPr="004377DE">
        <w:t xml:space="preserve">. </w:t>
      </w:r>
    </w:p>
    <w:p w14:paraId="61C9F8D7" w14:textId="77777777" w:rsidR="007504B6" w:rsidRPr="004377DE" w:rsidRDefault="007504B6" w:rsidP="007504B6">
      <w:r w:rsidRPr="004377DE">
        <w:t xml:space="preserve">Pursuant to the </w:t>
      </w:r>
      <w:r w:rsidRPr="004377DE">
        <w:rPr>
          <w:rStyle w:val="Emphasis"/>
        </w:rPr>
        <w:t>Crime and Corruption Act 2001</w:t>
      </w:r>
      <w:r w:rsidRPr="004377DE">
        <w:t xml:space="preserve">, the Director-General has a statutory obligation to notify the CCC when there is a reasonable suspicion of corrupt conduct. TMR maintains a robust investigative capacity to ensure the expectations of the CCC and the Director-General are effectively discharged consistent with the CCC publication </w:t>
      </w:r>
      <w:r>
        <w:t>'</w:t>
      </w:r>
      <w:r w:rsidRPr="004377DE" w:rsidDel="006F4D43">
        <w:t>"</w:t>
      </w:r>
      <w:r w:rsidRPr="004377DE">
        <w:t>Corruption in Focus</w:t>
      </w:r>
      <w:r>
        <w:t>'</w:t>
      </w:r>
      <w:r w:rsidRPr="004377DE" w:rsidDel="006F4D43">
        <w:t>"</w:t>
      </w:r>
      <w:r w:rsidRPr="004377DE">
        <w:t xml:space="preserve">. </w:t>
      </w:r>
    </w:p>
    <w:p w14:paraId="1C5C4D9D" w14:textId="77777777" w:rsidR="007504B6" w:rsidRPr="004377DE" w:rsidRDefault="007504B6" w:rsidP="007504B6">
      <w:r w:rsidRPr="004377DE">
        <w:t>The Director</w:t>
      </w:r>
      <w:r>
        <w:t>-</w:t>
      </w:r>
      <w:r w:rsidRPr="004377DE">
        <w:t xml:space="preserve">General has statutory obligations within the </w:t>
      </w:r>
      <w:r w:rsidRPr="004377DE">
        <w:rPr>
          <w:rStyle w:val="Emphasis"/>
        </w:rPr>
        <w:t>Crime and Corruption Act 2001</w:t>
      </w:r>
      <w:r w:rsidRPr="004377DE">
        <w:t xml:space="preserve"> to thoroughly investigate allegations of suspected corrupt conduct, ensure any person involved in a corruption investigation is afforded natural justice and provide timely outcome advice to the complainant.  </w:t>
      </w:r>
    </w:p>
    <w:p w14:paraId="1C1A3D08" w14:textId="77777777" w:rsidR="007504B6" w:rsidRPr="004377DE" w:rsidRDefault="007504B6" w:rsidP="007504B6">
      <w:r w:rsidRPr="004377DE">
        <w:t>TMR maintains dedicated policies for dealing with suspected corrupt conduct and serious misconduct to ensure investigations are open and honest.</w:t>
      </w:r>
    </w:p>
    <w:p w14:paraId="35A409D7" w14:textId="77777777" w:rsidR="007504B6" w:rsidRDefault="007504B6" w:rsidP="007504B6">
      <w:r w:rsidRPr="004377DE">
        <w:t>TMR has zero tolerance to suspected corrupt conduct. In addition to reacting to any allegation of wrongdoing by investigation, TMR provides employees with mandatory ethical awareness training, both on-line and in face-to-face presentations to foster a strong corruption prevention focus.</w:t>
      </w:r>
      <w:r>
        <w:t xml:space="preserve"> In keeping with the introduction of the </w:t>
      </w:r>
      <w:r w:rsidRPr="00A24256">
        <w:rPr>
          <w:rStyle w:val="Emphasis"/>
        </w:rPr>
        <w:t>Public Sector Act 2022</w:t>
      </w:r>
      <w:r>
        <w:t>, face to face and online ethical awareness training is subject to refresh to reflect relevant amendments to public sector ethics and integrity expectations imposed on all TMR staff.</w:t>
      </w:r>
    </w:p>
    <w:p w14:paraId="711A3DD7" w14:textId="77777777" w:rsidR="007504B6" w:rsidRPr="007402D7" w:rsidRDefault="007504B6" w:rsidP="007504B6">
      <w:pPr>
        <w:pStyle w:val="Heading3"/>
      </w:pPr>
      <w:r w:rsidRPr="007402D7">
        <w:t>Parliamentary Committees</w:t>
      </w:r>
    </w:p>
    <w:p w14:paraId="16C35EEA" w14:textId="77777777" w:rsidR="007504B6" w:rsidRPr="00F01955" w:rsidRDefault="007504B6" w:rsidP="007504B6">
      <w:r w:rsidRPr="00F01955">
        <w:t>Parliamentary committees are responsible for the review of legislation, investigating specific issues, reporting to the Queensland Parliament</w:t>
      </w:r>
      <w:r>
        <w:t>,</w:t>
      </w:r>
      <w:r w:rsidRPr="00F01955">
        <w:t xml:space="preserve"> and can have continuing roles to monitor and review public sector organisations or keep areas of the law or other activities under review.</w:t>
      </w:r>
    </w:p>
    <w:p w14:paraId="601CE995" w14:textId="77777777" w:rsidR="007504B6" w:rsidRPr="00F01955" w:rsidRDefault="007504B6" w:rsidP="007504B6">
      <w:r w:rsidRPr="00F01955">
        <w:t>The committee which relates to TMR’s portfolio is the Transport and Resources Committe</w:t>
      </w:r>
      <w:r>
        <w:t>e</w:t>
      </w:r>
      <w:r w:rsidRPr="00F01955">
        <w:t>.</w:t>
      </w:r>
    </w:p>
    <w:p w14:paraId="5039EA45" w14:textId="77777777" w:rsidR="007504B6" w:rsidRPr="00F01955" w:rsidRDefault="007504B6" w:rsidP="007504B6">
      <w:r w:rsidRPr="00F01955">
        <w:t>The committee is responsible for:</w:t>
      </w:r>
    </w:p>
    <w:p w14:paraId="58DD3D8B" w14:textId="77777777" w:rsidR="007504B6" w:rsidRPr="00F01955" w:rsidRDefault="007504B6" w:rsidP="007504B6">
      <w:pPr>
        <w:pStyle w:val="ListBullet"/>
      </w:pPr>
      <w:r w:rsidRPr="00F01955">
        <w:t xml:space="preserve">examining bills and subordinate legislation to consider the policy to be enacted and the application of the fundamental legislative principles set out in section 4 of the </w:t>
      </w:r>
      <w:r w:rsidRPr="00DA3852">
        <w:rPr>
          <w:rStyle w:val="Emphasis"/>
        </w:rPr>
        <w:t>Legislative Standards Act 1992</w:t>
      </w:r>
      <w:r w:rsidRPr="00F01955">
        <w:t xml:space="preserve">, and compatibility with the </w:t>
      </w:r>
      <w:r w:rsidRPr="00DA3852">
        <w:rPr>
          <w:rStyle w:val="Emphasis"/>
        </w:rPr>
        <w:t>Human Rights Act 2019</w:t>
      </w:r>
    </w:p>
    <w:p w14:paraId="3A8EED97" w14:textId="77777777" w:rsidR="007504B6" w:rsidRPr="00F01955" w:rsidRDefault="007504B6" w:rsidP="007504B6">
      <w:pPr>
        <w:pStyle w:val="ListBullet"/>
      </w:pPr>
      <w:r w:rsidRPr="00F01955">
        <w:t>examining the budget estimates of TMR</w:t>
      </w:r>
    </w:p>
    <w:p w14:paraId="183D8982" w14:textId="77777777" w:rsidR="007504B6" w:rsidRPr="00F01955" w:rsidRDefault="007504B6" w:rsidP="007504B6">
      <w:pPr>
        <w:pStyle w:val="ListBullet"/>
      </w:pPr>
      <w:r w:rsidRPr="00F01955">
        <w:t>assessing public accounts in its portfolio area regarding integrity, economy, efficiency</w:t>
      </w:r>
      <w:r w:rsidRPr="00F01955" w:rsidDel="009B5040">
        <w:t>,</w:t>
      </w:r>
      <w:r w:rsidRPr="00F01955">
        <w:t xml:space="preserve"> and effectiveness of financial management</w:t>
      </w:r>
    </w:p>
    <w:p w14:paraId="0BD0F6ED" w14:textId="77777777" w:rsidR="007504B6" w:rsidRPr="00F01955" w:rsidRDefault="007504B6" w:rsidP="007504B6">
      <w:pPr>
        <w:pStyle w:val="ListBullet"/>
      </w:pPr>
      <w:r w:rsidRPr="00F01955">
        <w:t>assessing the public works of each department regarding the suitability of the works for the purpose.</w:t>
      </w:r>
    </w:p>
    <w:p w14:paraId="6A9DAC80" w14:textId="77777777" w:rsidR="007504B6" w:rsidRPr="00F01955" w:rsidRDefault="007504B6" w:rsidP="007504B6">
      <w:r w:rsidRPr="00F01955">
        <w:t>The committee may initiate an inquiry into any matter it considers appropriate within its portfolio area.</w:t>
      </w:r>
    </w:p>
    <w:p w14:paraId="3DEF9280" w14:textId="77777777" w:rsidR="007504B6" w:rsidRPr="00F01955" w:rsidRDefault="007504B6" w:rsidP="007504B6">
      <w:r w:rsidRPr="00F01955">
        <w:t>During 202</w:t>
      </w:r>
      <w:r>
        <w:t>2</w:t>
      </w:r>
      <w:r w:rsidRPr="00F01955">
        <w:t>–2</w:t>
      </w:r>
      <w:r>
        <w:t>3</w:t>
      </w:r>
      <w:r w:rsidRPr="00F01955">
        <w:t xml:space="preserve">, the committee </w:t>
      </w:r>
      <w:r>
        <w:t>considered</w:t>
      </w:r>
      <w:r w:rsidRPr="00F01955">
        <w:t xml:space="preserve"> the following relating to TMR’s portfolio:</w:t>
      </w:r>
    </w:p>
    <w:p w14:paraId="2AD416D6" w14:textId="77777777" w:rsidR="007504B6" w:rsidRDefault="007504B6" w:rsidP="007504B6">
      <w:pPr>
        <w:pStyle w:val="ListBullet"/>
      </w:pPr>
      <w:r w:rsidRPr="00F01955">
        <w:t xml:space="preserve">inquiry into </w:t>
      </w:r>
      <w:r>
        <w:t>the Transport Legislation (Road Safety and Other Matters) Amendment Bill 2022</w:t>
      </w:r>
    </w:p>
    <w:p w14:paraId="257CDD85" w14:textId="77777777" w:rsidR="007504B6" w:rsidRDefault="007504B6" w:rsidP="007504B6">
      <w:pPr>
        <w:pStyle w:val="ListBullet"/>
      </w:pPr>
      <w:r>
        <w:t>inquiry into the Tow Truck Bill 2023</w:t>
      </w:r>
    </w:p>
    <w:p w14:paraId="424AFF9F" w14:textId="77777777" w:rsidR="007504B6" w:rsidRDefault="007504B6" w:rsidP="007504B6">
      <w:pPr>
        <w:pStyle w:val="ListBullet"/>
      </w:pPr>
      <w:r>
        <w:t>examination of subordinate legislation:</w:t>
      </w:r>
    </w:p>
    <w:p w14:paraId="523D5B77" w14:textId="77777777" w:rsidR="007504B6" w:rsidRPr="00A24256" w:rsidRDefault="007504B6" w:rsidP="007504B6">
      <w:pPr>
        <w:pStyle w:val="ListBullet2"/>
        <w:rPr>
          <w:rStyle w:val="Emphasis"/>
        </w:rPr>
      </w:pPr>
      <w:r w:rsidRPr="00A24256">
        <w:rPr>
          <w:rStyle w:val="Emphasis"/>
        </w:rPr>
        <w:t xml:space="preserve">Transport and Other Legislation Amendment Regulation (No.2) 2022 </w:t>
      </w:r>
    </w:p>
    <w:p w14:paraId="16EAC2DE" w14:textId="77777777" w:rsidR="007504B6" w:rsidRPr="00A24256" w:rsidRDefault="007504B6" w:rsidP="007504B6">
      <w:pPr>
        <w:pStyle w:val="ListBullet2"/>
        <w:rPr>
          <w:rStyle w:val="Emphasis"/>
        </w:rPr>
      </w:pPr>
      <w:r w:rsidRPr="00A24256">
        <w:rPr>
          <w:rStyle w:val="Emphasis"/>
        </w:rPr>
        <w:t>Transport Legislation (Fee Unit Conversion and Registration Fees) Amendment Regulation 2022</w:t>
      </w:r>
    </w:p>
    <w:p w14:paraId="474281EF" w14:textId="77777777" w:rsidR="007504B6" w:rsidRPr="00A24256" w:rsidRDefault="007504B6" w:rsidP="007504B6">
      <w:pPr>
        <w:pStyle w:val="ListBullet2"/>
        <w:rPr>
          <w:rStyle w:val="Emphasis"/>
        </w:rPr>
      </w:pPr>
      <w:r w:rsidRPr="00A24256">
        <w:rPr>
          <w:rStyle w:val="Emphasis"/>
        </w:rPr>
        <w:t>Transport Legislation (Fees and Other Matters) Amendment Regulation 2022</w:t>
      </w:r>
    </w:p>
    <w:p w14:paraId="5D7F8C02" w14:textId="77777777" w:rsidR="007504B6" w:rsidRPr="00A24256" w:rsidRDefault="007504B6" w:rsidP="007504B6">
      <w:pPr>
        <w:pStyle w:val="ListBullet2"/>
        <w:rPr>
          <w:rStyle w:val="Emphasis"/>
        </w:rPr>
      </w:pPr>
      <w:r w:rsidRPr="00A24256">
        <w:rPr>
          <w:rStyle w:val="Emphasis"/>
        </w:rPr>
        <w:t>Transport and Other Legislation Amendment Regulation (No. 3) 2022</w:t>
      </w:r>
    </w:p>
    <w:p w14:paraId="012B0EEF" w14:textId="77777777" w:rsidR="007504B6" w:rsidRPr="00A24256" w:rsidRDefault="007504B6" w:rsidP="007504B6">
      <w:pPr>
        <w:pStyle w:val="ListBullet2"/>
        <w:rPr>
          <w:rStyle w:val="Emphasis"/>
        </w:rPr>
      </w:pPr>
      <w:r w:rsidRPr="00A24256">
        <w:rPr>
          <w:rStyle w:val="Emphasis"/>
        </w:rPr>
        <w:t>Transport Operations (Passenger Transport) Amendment Regulation 2022</w:t>
      </w:r>
    </w:p>
    <w:p w14:paraId="6BE89102" w14:textId="77777777" w:rsidR="007504B6" w:rsidRPr="00A24256" w:rsidRDefault="007504B6" w:rsidP="007504B6">
      <w:pPr>
        <w:pStyle w:val="ListBullet2"/>
        <w:rPr>
          <w:rStyle w:val="Emphasis"/>
        </w:rPr>
      </w:pPr>
      <w:r w:rsidRPr="00A24256">
        <w:rPr>
          <w:rStyle w:val="Emphasis"/>
        </w:rPr>
        <w:lastRenderedPageBreak/>
        <w:t>Gold Coast Waterways Authority Regulation 2022</w:t>
      </w:r>
    </w:p>
    <w:p w14:paraId="540FDDAE" w14:textId="77777777" w:rsidR="007504B6" w:rsidRPr="008535EC" w:rsidRDefault="007504B6" w:rsidP="007504B6">
      <w:pPr>
        <w:pStyle w:val="ListBullet2"/>
      </w:pPr>
      <w:r w:rsidRPr="00494B67">
        <w:rPr>
          <w:rStyle w:val="Emphasis"/>
        </w:rPr>
        <w:t xml:space="preserve">Rail Safety National Law National Regulations (Fees and FOI) </w:t>
      </w:r>
      <w:r w:rsidRPr="00A24256">
        <w:rPr>
          <w:rStyle w:val="Emphasis"/>
        </w:rPr>
        <w:t>Amendment Regulations 2022</w:t>
      </w:r>
      <w:r w:rsidRPr="008535EC">
        <w:t xml:space="preserve"> (South Australia)</w:t>
      </w:r>
    </w:p>
    <w:p w14:paraId="7FB84D6D" w14:textId="77777777" w:rsidR="007504B6" w:rsidRPr="00A24256" w:rsidRDefault="007504B6" w:rsidP="007504B6">
      <w:pPr>
        <w:pStyle w:val="ListBullet2"/>
        <w:rPr>
          <w:rStyle w:val="Emphasis"/>
        </w:rPr>
      </w:pPr>
      <w:r w:rsidRPr="00A24256">
        <w:rPr>
          <w:rStyle w:val="Emphasis"/>
        </w:rPr>
        <w:t>Transport Operations (Road Use Management – Road Rules) and Other Legislation Amendment Regulation 2022</w:t>
      </w:r>
    </w:p>
    <w:p w14:paraId="5C7F3A0B" w14:textId="77777777" w:rsidR="007504B6" w:rsidRPr="00A24256" w:rsidRDefault="007504B6" w:rsidP="007504B6">
      <w:pPr>
        <w:pStyle w:val="ListBullet2"/>
        <w:rPr>
          <w:rStyle w:val="Emphasis"/>
        </w:rPr>
      </w:pPr>
      <w:r w:rsidRPr="00A24256">
        <w:rPr>
          <w:rStyle w:val="Emphasis"/>
        </w:rPr>
        <w:t>Transport Legislation Amendment Regulation 2023</w:t>
      </w:r>
    </w:p>
    <w:p w14:paraId="17E2A41F" w14:textId="77777777" w:rsidR="007504B6" w:rsidRPr="00A24256" w:rsidRDefault="007504B6" w:rsidP="007504B6">
      <w:pPr>
        <w:pStyle w:val="ListBullet2"/>
        <w:rPr>
          <w:rStyle w:val="Emphasis"/>
        </w:rPr>
      </w:pPr>
      <w:r w:rsidRPr="00A24256">
        <w:rPr>
          <w:rStyle w:val="Emphasis"/>
        </w:rPr>
        <w:t>Heavy Vehicle (Vehicle Standards) National Amendment Regulation 2023</w:t>
      </w:r>
    </w:p>
    <w:p w14:paraId="33B1D544" w14:textId="77777777" w:rsidR="00916DF7" w:rsidRDefault="00916DF7">
      <w:pPr>
        <w:spacing w:before="0" w:after="160" w:line="259" w:lineRule="auto"/>
      </w:pPr>
      <w:r>
        <w:br w:type="page"/>
      </w:r>
    </w:p>
    <w:p w14:paraId="6CBEF0DB" w14:textId="614F2100" w:rsidR="007504B6" w:rsidRDefault="007504B6" w:rsidP="007504B6">
      <w:pPr>
        <w:pStyle w:val="ListBullet"/>
      </w:pPr>
      <w:r>
        <w:lastRenderedPageBreak/>
        <w:t xml:space="preserve">examination </w:t>
      </w:r>
      <w:r w:rsidRPr="005E17E9">
        <w:t>of 2022</w:t>
      </w:r>
      <w:r>
        <w:t>–</w:t>
      </w:r>
      <w:r w:rsidRPr="005E17E9">
        <w:t>23 Budget Estimates</w:t>
      </w:r>
      <w:r>
        <w:t xml:space="preserve"> </w:t>
      </w:r>
    </w:p>
    <w:p w14:paraId="742AF937" w14:textId="77777777" w:rsidR="007504B6" w:rsidRPr="007D3773" w:rsidRDefault="007504B6" w:rsidP="007504B6">
      <w:pPr>
        <w:pStyle w:val="ListBullet"/>
      </w:pPr>
      <w:r w:rsidRPr="007D3773">
        <w:t>consideration</w:t>
      </w:r>
      <w:r>
        <w:t xml:space="preserve"> of</w:t>
      </w:r>
      <w:r w:rsidRPr="007D3773">
        <w:t xml:space="preserve"> TMR's 2021–22 Annual Report</w:t>
      </w:r>
    </w:p>
    <w:p w14:paraId="2FA7B655" w14:textId="77777777" w:rsidR="007504B6" w:rsidRPr="00F01955" w:rsidRDefault="007504B6" w:rsidP="007504B6">
      <w:pPr>
        <w:pStyle w:val="ListBullet"/>
      </w:pPr>
      <w:r w:rsidRPr="00F01955">
        <w:t>inquiry into Peninsula Developmental Road (Laura to Weipa) Project</w:t>
      </w:r>
    </w:p>
    <w:p w14:paraId="500A9E63" w14:textId="77777777" w:rsidR="007504B6" w:rsidRDefault="007504B6" w:rsidP="007504B6">
      <w:pPr>
        <w:pStyle w:val="ListBullet"/>
      </w:pPr>
      <w:r w:rsidRPr="00F01955">
        <w:t>inquiry into Sumners Road Interchange Upgrade Project</w:t>
      </w:r>
    </w:p>
    <w:p w14:paraId="426B2F0E" w14:textId="77777777" w:rsidR="007504B6" w:rsidRPr="00A24256" w:rsidRDefault="007504B6" w:rsidP="007504B6">
      <w:pPr>
        <w:pStyle w:val="ListBullet"/>
        <w:rPr>
          <w:rStyle w:val="Hyperlink"/>
          <w:color w:val="auto"/>
          <w:u w:val="none"/>
        </w:rPr>
      </w:pPr>
      <w:r>
        <w:t xml:space="preserve">inquiry </w:t>
      </w:r>
      <w:r w:rsidRPr="00F52947">
        <w:t>into the state</w:t>
      </w:r>
      <w:r>
        <w:t>-</w:t>
      </w:r>
      <w:r w:rsidRPr="00F52947">
        <w:t>controlled roads from Birdsville to Bedourie and Birdsville to Windorah</w:t>
      </w:r>
      <w:r w:rsidRPr="00F01955">
        <w:t>.</w:t>
      </w:r>
    </w:p>
    <w:p w14:paraId="006526C6" w14:textId="78E04304" w:rsidR="007504B6" w:rsidRPr="00756FBC" w:rsidRDefault="007504B6" w:rsidP="007504B6">
      <w:pPr>
        <w:pStyle w:val="Heading2"/>
      </w:pPr>
      <w:r>
        <w:t xml:space="preserve">Risk management </w:t>
      </w:r>
    </w:p>
    <w:p w14:paraId="438D2CF5" w14:textId="77777777" w:rsidR="007504B6" w:rsidRPr="00672A1E" w:rsidRDefault="007504B6" w:rsidP="007504B6">
      <w:r w:rsidRPr="003966CC">
        <w:t>Risk management is essential for TMR to maximise opportunity and minimise loss associated with achieving its objectives. Risk management practice</w:t>
      </w:r>
      <w:r>
        <w:t>s</w:t>
      </w:r>
      <w:r w:rsidRPr="003966CC">
        <w:t xml:space="preserve"> </w:t>
      </w:r>
      <w:r>
        <w:t>are</w:t>
      </w:r>
      <w:r w:rsidRPr="003966CC">
        <w:t xml:space="preserve"> integrated into TMR's strategic and business planning, business operation</w:t>
      </w:r>
      <w:r>
        <w:t>s,</w:t>
      </w:r>
      <w:r w:rsidRPr="003966CC">
        <w:t xml:space="preserve"> and decision-making processes. The risk management framework is based on the international standard </w:t>
      </w:r>
      <w:r>
        <w:rPr>
          <w:rStyle w:val="Emphasis"/>
        </w:rPr>
        <w:t>ISO 31000:2018,</w:t>
      </w:r>
      <w:r w:rsidRPr="00672A1E">
        <w:t xml:space="preserve"> </w:t>
      </w:r>
      <w:r>
        <w:t xml:space="preserve">which </w:t>
      </w:r>
      <w:r w:rsidRPr="00672A1E">
        <w:t>establishes a consistent approach to identifying, recording, assessing, evaluating</w:t>
      </w:r>
      <w:r>
        <w:t>,</w:t>
      </w:r>
      <w:r w:rsidRPr="00672A1E">
        <w:t xml:space="preserve"> and managing risks. </w:t>
      </w:r>
    </w:p>
    <w:p w14:paraId="1A02813C" w14:textId="77777777" w:rsidR="007504B6" w:rsidRPr="00B81039" w:rsidRDefault="007504B6" w:rsidP="007504B6">
      <w:r w:rsidRPr="00895CC3">
        <w:t>In accordance with the</w:t>
      </w:r>
      <w:r>
        <w:t xml:space="preserve"> </w:t>
      </w:r>
      <w:r>
        <w:rPr>
          <w:rStyle w:val="Emphasis"/>
        </w:rPr>
        <w:t xml:space="preserve">Financial Accountability Act 2019, </w:t>
      </w:r>
      <w:r w:rsidRPr="00B81039">
        <w:t>overall accountability for risk management resides with the Director-General and is exercised through the</w:t>
      </w:r>
      <w:r>
        <w:t xml:space="preserve"> ELT</w:t>
      </w:r>
      <w:r w:rsidRPr="00B81039">
        <w:t xml:space="preserve">. The ARC is appointed by the Director-General and charged with assisting the Director-General </w:t>
      </w:r>
      <w:r>
        <w:t>with</w:t>
      </w:r>
      <w:r w:rsidRPr="00B81039">
        <w:t xml:space="preserve"> oversight of the effective performance of </w:t>
      </w:r>
      <w:r>
        <w:t>TMR</w:t>
      </w:r>
      <w:r w:rsidRPr="00B81039">
        <w:t xml:space="preserve">’s risk management and control systems. </w:t>
      </w:r>
    </w:p>
    <w:p w14:paraId="6D248E92" w14:textId="77777777" w:rsidR="007504B6" w:rsidRPr="00B81039" w:rsidRDefault="007504B6" w:rsidP="007504B6">
      <w:r w:rsidRPr="00B81039">
        <w:t>All employees in TMR are required to have a diligent involvement with risk management in relation to their duties that impact on both internal and external operations.</w:t>
      </w:r>
    </w:p>
    <w:p w14:paraId="2E7E6496" w14:textId="77777777" w:rsidR="007504B6" w:rsidRPr="00B81039" w:rsidRDefault="007504B6" w:rsidP="007504B6">
      <w:r w:rsidRPr="00B81039">
        <w:t>Strategic and operational risks at and above branch level (including enterprise operating, divisional, branch</w:t>
      </w:r>
      <w:r>
        <w:t>,</w:t>
      </w:r>
      <w:r w:rsidRPr="00B81039">
        <w:t xml:space="preserve"> and portfolio risks) are recorded and monitored in the TMR Risk Management System with regular review and reporting requirement</w:t>
      </w:r>
      <w:r>
        <w:t>s</w:t>
      </w:r>
      <w:r w:rsidRPr="00B81039">
        <w:t>. Other operational risks (including risks in business areas below branch level, program</w:t>
      </w:r>
      <w:r>
        <w:t>,</w:t>
      </w:r>
      <w:r w:rsidRPr="00B81039">
        <w:t xml:space="preserve"> and project risks) are recorded and managed locally with ongoing support and assistance provided by the </w:t>
      </w:r>
      <w:r>
        <w:t xml:space="preserve">Corporate </w:t>
      </w:r>
      <w:r w:rsidRPr="00B81039">
        <w:t>Risk Advisory Services Team</w:t>
      </w:r>
      <w:r>
        <w:t xml:space="preserve"> and local Risk Management Reference Group members</w:t>
      </w:r>
      <w:r w:rsidRPr="00B81039">
        <w:t xml:space="preserve">. </w:t>
      </w:r>
    </w:p>
    <w:p w14:paraId="41E5978C" w14:textId="77777777" w:rsidR="007504B6" w:rsidRPr="00505497" w:rsidRDefault="007504B6" w:rsidP="007504B6">
      <w:pPr>
        <w:rPr>
          <w:rStyle w:val="Emphasis"/>
          <w:i w:val="0"/>
          <w:iCs w:val="0"/>
        </w:rPr>
      </w:pPr>
      <w:r w:rsidRPr="00505497">
        <w:t xml:space="preserve">Key risk achievements during </w:t>
      </w:r>
      <w:r w:rsidRPr="00021D2C">
        <w:t>20</w:t>
      </w:r>
      <w:r>
        <w:t>22</w:t>
      </w:r>
      <w:r w:rsidRPr="00021D2C">
        <w:t>–</w:t>
      </w:r>
      <w:r>
        <w:t xml:space="preserve">23 </w:t>
      </w:r>
      <w:r w:rsidRPr="00505497">
        <w:t>included:</w:t>
      </w:r>
    </w:p>
    <w:p w14:paraId="1FF3B386" w14:textId="77777777" w:rsidR="007504B6" w:rsidRDefault="007504B6" w:rsidP="007504B6">
      <w:pPr>
        <w:pStyle w:val="ListBullet"/>
      </w:pPr>
      <w:r>
        <w:t>consolidation of strategic risk and enterprise operational risk management practices by the ELT through a commitment to regular risk review workshops and meetings</w:t>
      </w:r>
    </w:p>
    <w:p w14:paraId="633AD11A" w14:textId="77777777" w:rsidR="007504B6" w:rsidRDefault="007504B6" w:rsidP="007504B6">
      <w:pPr>
        <w:pStyle w:val="ListBullet"/>
      </w:pPr>
      <w:r>
        <w:t xml:space="preserve">review and update of strategic risks for the new Strategic Plan (2023–2027) </w:t>
      </w:r>
    </w:p>
    <w:p w14:paraId="6274BFD7" w14:textId="77777777" w:rsidR="007504B6" w:rsidRDefault="007504B6" w:rsidP="007504B6">
      <w:pPr>
        <w:pStyle w:val="ListBullet"/>
      </w:pPr>
      <w:r>
        <w:t>a comprehensive review and update of the Risk Management Framework, Risk Management Policy, Risk Management Guide, Risk Assessment and Rating Matrix, and other risk tools to promote a consistent risk management approach across all business areas in TMR</w:t>
      </w:r>
    </w:p>
    <w:p w14:paraId="33F07C70" w14:textId="77777777" w:rsidR="007504B6" w:rsidRDefault="007504B6" w:rsidP="007504B6">
      <w:pPr>
        <w:pStyle w:val="ListBullet"/>
      </w:pPr>
      <w:r>
        <w:t>continued enhancement of risk dashboards and Risk Management System functionality for better reporting and management decision-making</w:t>
      </w:r>
    </w:p>
    <w:p w14:paraId="2BE2ACA8" w14:textId="77777777" w:rsidR="007504B6" w:rsidRDefault="007504B6" w:rsidP="007504B6">
      <w:pPr>
        <w:pStyle w:val="ListBullet"/>
      </w:pPr>
      <w:r>
        <w:t>integration of the new internal control practices into the Risk Management Framework to enhance the risk and control environment.</w:t>
      </w:r>
    </w:p>
    <w:p w14:paraId="320665F3" w14:textId="77777777" w:rsidR="007504B6" w:rsidRPr="00A7200B" w:rsidRDefault="007504B6" w:rsidP="007504B6">
      <w:pPr>
        <w:rPr>
          <w:lang w:val="en-AU"/>
        </w:rPr>
      </w:pPr>
      <w:r w:rsidRPr="001973D1">
        <w:rPr>
          <w:lang w:val="en-AU"/>
        </w:rPr>
        <w:t>TMR</w:t>
      </w:r>
      <w:r>
        <w:t xml:space="preserve"> will continue to focus on </w:t>
      </w:r>
      <w:r w:rsidRPr="001973D1">
        <w:rPr>
          <w:lang w:val="en-AU"/>
        </w:rPr>
        <w:t xml:space="preserve">developing a proactive </w:t>
      </w:r>
      <w:r>
        <w:t>approach</w:t>
      </w:r>
      <w:r w:rsidRPr="001973D1">
        <w:rPr>
          <w:lang w:val="en-AU"/>
        </w:rPr>
        <w:t xml:space="preserve"> for the identification</w:t>
      </w:r>
      <w:r>
        <w:t xml:space="preserve">, </w:t>
      </w:r>
      <w:r w:rsidRPr="001973D1">
        <w:rPr>
          <w:lang w:val="en-AU"/>
        </w:rPr>
        <w:t>categorisation</w:t>
      </w:r>
      <w:r>
        <w:t xml:space="preserve">, </w:t>
      </w:r>
      <w:r w:rsidRPr="001973D1">
        <w:rPr>
          <w:lang w:val="en-AU"/>
        </w:rPr>
        <w:t>monitoring</w:t>
      </w:r>
      <w:r>
        <w:t>,</w:t>
      </w:r>
      <w:r w:rsidRPr="001973D1">
        <w:rPr>
          <w:lang w:val="en-AU"/>
        </w:rPr>
        <w:t xml:space="preserve"> and reporting of emerging risks</w:t>
      </w:r>
      <w:r>
        <w:t xml:space="preserve">. This includes </w:t>
      </w:r>
      <w:r w:rsidRPr="001973D1">
        <w:rPr>
          <w:lang w:val="en-AU"/>
        </w:rPr>
        <w:t xml:space="preserve">newly developing risks that cannot yet be fully assessed but could, in the future, affect TMR's strategic direction. </w:t>
      </w:r>
    </w:p>
    <w:p w14:paraId="3A81E89B" w14:textId="66DD16DE" w:rsidR="007504B6" w:rsidRDefault="007504B6">
      <w:pPr>
        <w:spacing w:before="0" w:after="160" w:line="259" w:lineRule="auto"/>
      </w:pPr>
      <w:r>
        <w:br w:type="page"/>
      </w:r>
    </w:p>
    <w:p w14:paraId="5CC96EC5" w14:textId="77777777" w:rsidR="00BC5219" w:rsidRPr="008A2B8F" w:rsidRDefault="001D2E68" w:rsidP="00BC5219">
      <w:pPr>
        <w:jc w:val="center"/>
        <w:rPr>
          <w:rFonts w:ascii="Meta Pro" w:hAnsi="Meta Pro"/>
          <w:b/>
          <w:bCs/>
          <w:sz w:val="40"/>
          <w:szCs w:val="40"/>
        </w:rPr>
      </w:pPr>
      <w:r>
        <w:rPr>
          <w:rFonts w:ascii="Meta Pro" w:eastAsia="Times New Roman" w:hAnsi="Meta Pro"/>
          <w:b/>
          <w:bCs/>
          <w:color w:val="000000"/>
          <w:szCs w:val="18"/>
          <w:lang w:eastAsia="en-AU"/>
        </w:rPr>
        <w:lastRenderedPageBreak/>
        <w:br w:type="page"/>
      </w:r>
      <w:r w:rsidR="00BC5219" w:rsidRPr="008A2B8F">
        <w:rPr>
          <w:rFonts w:ascii="Meta Pro" w:hAnsi="Meta Pro"/>
          <w:b/>
          <w:bCs/>
          <w:sz w:val="40"/>
          <w:szCs w:val="40"/>
        </w:rPr>
        <w:lastRenderedPageBreak/>
        <w:t>Department of Transport and Main Roads</w:t>
      </w:r>
    </w:p>
    <w:p w14:paraId="31EC0EF7" w14:textId="77777777" w:rsidR="00BC5219" w:rsidRPr="008A2B8F" w:rsidRDefault="00BC5219" w:rsidP="00BC5219">
      <w:pPr>
        <w:jc w:val="center"/>
        <w:rPr>
          <w:rFonts w:ascii="Meta Pro" w:hAnsi="Meta Pro" w:cstheme="minorBidi"/>
        </w:rPr>
      </w:pPr>
      <w:r w:rsidRPr="008A2B8F">
        <w:rPr>
          <w:rFonts w:ascii="Meta Pro" w:hAnsi="Meta Pro"/>
          <w:b/>
          <w:bCs/>
          <w:sz w:val="40"/>
          <w:szCs w:val="40"/>
        </w:rPr>
        <w:t>Financial Statements as at 30 June 2023</w:t>
      </w:r>
    </w:p>
    <w:p w14:paraId="4806F3CB" w14:textId="77777777" w:rsidR="00BC5219" w:rsidRPr="00470BFB" w:rsidRDefault="00BC5219" w:rsidP="00BC5219">
      <w:pPr>
        <w:rPr>
          <w:rFonts w:ascii="Meta Pro" w:hAnsi="Meta Pro" w:cstheme="minorBidi"/>
        </w:rPr>
      </w:pPr>
    </w:p>
    <w:tbl>
      <w:tblPr>
        <w:tblW w:w="0" w:type="auto"/>
        <w:tblCellMar>
          <w:left w:w="0" w:type="dxa"/>
        </w:tblCellMar>
        <w:tblLook w:val="04A0" w:firstRow="1" w:lastRow="0" w:firstColumn="1" w:lastColumn="0" w:noHBand="0" w:noVBand="1"/>
      </w:tblPr>
      <w:tblGrid>
        <w:gridCol w:w="1382"/>
        <w:gridCol w:w="1621"/>
        <w:gridCol w:w="470"/>
        <w:gridCol w:w="5439"/>
        <w:gridCol w:w="1292"/>
      </w:tblGrid>
      <w:tr w:rsidR="00BC5219" w:rsidRPr="00470BFB" w14:paraId="2E7FB1F8" w14:textId="77777777" w:rsidTr="00E83802">
        <w:trPr>
          <w:trHeight w:val="198"/>
        </w:trPr>
        <w:tc>
          <w:tcPr>
            <w:tcW w:w="1496" w:type="dxa"/>
            <w:tcBorders>
              <w:top w:val="nil"/>
              <w:left w:val="nil"/>
              <w:bottom w:val="nil"/>
              <w:right w:val="nil"/>
            </w:tcBorders>
            <w:shd w:val="clear" w:color="auto" w:fill="auto"/>
            <w:noWrap/>
            <w:vAlign w:val="center"/>
            <w:hideMark/>
          </w:tcPr>
          <w:p w14:paraId="4DC39953" w14:textId="77777777" w:rsidR="00BC5219" w:rsidRPr="00470BFB" w:rsidRDefault="00BC5219" w:rsidP="00E83802">
            <w:pPr>
              <w:rPr>
                <w:rFonts w:ascii="Meta Pro" w:eastAsia="Times New Roman" w:hAnsi="Meta Pro"/>
                <w:b/>
                <w:bCs/>
                <w:color w:val="000000"/>
                <w:lang w:eastAsia="en-AU"/>
              </w:rPr>
            </w:pPr>
            <w:r w:rsidRPr="00470BFB">
              <w:rPr>
                <w:rFonts w:ascii="Meta Pro" w:eastAsia="Times New Roman" w:hAnsi="Meta Pro"/>
                <w:b/>
                <w:bCs/>
                <w:color w:val="000000"/>
                <w:lang w:eastAsia="en-AU"/>
              </w:rPr>
              <w:t>CONTENTS</w:t>
            </w:r>
          </w:p>
        </w:tc>
        <w:tc>
          <w:tcPr>
            <w:tcW w:w="1756" w:type="dxa"/>
            <w:tcBorders>
              <w:top w:val="nil"/>
              <w:left w:val="nil"/>
              <w:bottom w:val="nil"/>
              <w:right w:val="nil"/>
            </w:tcBorders>
            <w:shd w:val="clear" w:color="auto" w:fill="auto"/>
            <w:noWrap/>
            <w:vAlign w:val="center"/>
            <w:hideMark/>
          </w:tcPr>
          <w:p w14:paraId="63DDD22D" w14:textId="77777777" w:rsidR="00BC5219" w:rsidRPr="00470BFB" w:rsidRDefault="00BC5219" w:rsidP="00E83802">
            <w:pPr>
              <w:rPr>
                <w:rFonts w:ascii="Meta Pro" w:eastAsia="Times New Roman" w:hAnsi="Meta Pro"/>
                <w:b/>
                <w:bCs/>
                <w:color w:val="000000"/>
                <w:lang w:eastAsia="en-AU"/>
              </w:rPr>
            </w:pPr>
          </w:p>
        </w:tc>
        <w:tc>
          <w:tcPr>
            <w:tcW w:w="496" w:type="dxa"/>
            <w:tcBorders>
              <w:top w:val="nil"/>
              <w:left w:val="nil"/>
              <w:bottom w:val="nil"/>
              <w:right w:val="nil"/>
            </w:tcBorders>
            <w:shd w:val="clear" w:color="auto" w:fill="auto"/>
            <w:noWrap/>
            <w:vAlign w:val="center"/>
            <w:hideMark/>
          </w:tcPr>
          <w:p w14:paraId="4FD4FE0F" w14:textId="77777777" w:rsidR="00BC5219" w:rsidRPr="00470BFB" w:rsidRDefault="00BC5219" w:rsidP="00E83802">
            <w:pPr>
              <w:rPr>
                <w:rFonts w:ascii="Meta Pro" w:eastAsia="Times New Roman" w:hAnsi="Meta Pro" w:cs="Times New Roman"/>
                <w:sz w:val="20"/>
                <w:szCs w:val="20"/>
                <w:lang w:eastAsia="en-AU"/>
              </w:rPr>
            </w:pPr>
          </w:p>
        </w:tc>
        <w:tc>
          <w:tcPr>
            <w:tcW w:w="5936" w:type="dxa"/>
            <w:tcBorders>
              <w:top w:val="nil"/>
              <w:left w:val="nil"/>
              <w:bottom w:val="nil"/>
              <w:right w:val="nil"/>
            </w:tcBorders>
            <w:shd w:val="clear" w:color="auto" w:fill="auto"/>
            <w:noWrap/>
            <w:vAlign w:val="center"/>
            <w:hideMark/>
          </w:tcPr>
          <w:p w14:paraId="39236D00" w14:textId="77777777" w:rsidR="00BC5219" w:rsidRPr="00470BFB" w:rsidRDefault="00BC5219" w:rsidP="00E83802">
            <w:pPr>
              <w:rPr>
                <w:rFonts w:ascii="Meta Pro" w:eastAsia="Times New Roman" w:hAnsi="Meta Pro" w:cs="Times New Roman"/>
                <w:sz w:val="20"/>
                <w:szCs w:val="20"/>
                <w:lang w:eastAsia="en-AU"/>
              </w:rPr>
            </w:pPr>
          </w:p>
        </w:tc>
        <w:tc>
          <w:tcPr>
            <w:tcW w:w="1396" w:type="dxa"/>
            <w:tcBorders>
              <w:top w:val="nil"/>
              <w:left w:val="nil"/>
              <w:bottom w:val="nil"/>
              <w:right w:val="nil"/>
            </w:tcBorders>
            <w:shd w:val="clear" w:color="auto" w:fill="auto"/>
            <w:noWrap/>
            <w:vAlign w:val="center"/>
            <w:hideMark/>
          </w:tcPr>
          <w:p w14:paraId="1F1973E4" w14:textId="77777777" w:rsidR="00BC5219" w:rsidRPr="00470BFB" w:rsidRDefault="00BC5219" w:rsidP="00E83802">
            <w:pPr>
              <w:jc w:val="center"/>
              <w:rPr>
                <w:rFonts w:ascii="Meta Pro" w:eastAsia="Times New Roman" w:hAnsi="Meta Pro"/>
                <w:b/>
                <w:bCs/>
                <w:color w:val="000000"/>
                <w:lang w:eastAsia="en-AU"/>
              </w:rPr>
            </w:pPr>
            <w:r w:rsidRPr="00470BFB">
              <w:rPr>
                <w:rFonts w:ascii="Meta Pro" w:eastAsia="Times New Roman" w:hAnsi="Meta Pro"/>
                <w:b/>
                <w:bCs/>
                <w:color w:val="000000"/>
                <w:lang w:eastAsia="en-AU"/>
              </w:rPr>
              <w:t>PAGE NO.</w:t>
            </w:r>
          </w:p>
        </w:tc>
      </w:tr>
      <w:tr w:rsidR="00BC5219" w:rsidRPr="00470BFB" w14:paraId="3D6B0772" w14:textId="77777777" w:rsidTr="00E83802">
        <w:trPr>
          <w:trHeight w:val="198"/>
        </w:trPr>
        <w:tc>
          <w:tcPr>
            <w:tcW w:w="1496" w:type="dxa"/>
            <w:tcBorders>
              <w:top w:val="nil"/>
              <w:left w:val="nil"/>
              <w:bottom w:val="nil"/>
              <w:right w:val="nil"/>
            </w:tcBorders>
            <w:shd w:val="clear" w:color="auto" w:fill="auto"/>
            <w:noWrap/>
            <w:vAlign w:val="center"/>
            <w:hideMark/>
          </w:tcPr>
          <w:p w14:paraId="73DB3D26" w14:textId="77777777" w:rsidR="00BC5219" w:rsidRPr="00470BFB" w:rsidRDefault="00BC5219" w:rsidP="00E83802">
            <w:pPr>
              <w:jc w:val="center"/>
              <w:rPr>
                <w:rFonts w:ascii="Meta Pro" w:eastAsia="Times New Roman" w:hAnsi="Meta Pro"/>
                <w:b/>
                <w:bCs/>
                <w:color w:val="000000"/>
                <w:lang w:eastAsia="en-AU"/>
              </w:rPr>
            </w:pPr>
          </w:p>
        </w:tc>
        <w:tc>
          <w:tcPr>
            <w:tcW w:w="1756" w:type="dxa"/>
            <w:tcBorders>
              <w:top w:val="nil"/>
              <w:left w:val="nil"/>
              <w:bottom w:val="nil"/>
              <w:right w:val="nil"/>
            </w:tcBorders>
            <w:shd w:val="clear" w:color="auto" w:fill="auto"/>
            <w:noWrap/>
            <w:vAlign w:val="center"/>
            <w:hideMark/>
          </w:tcPr>
          <w:p w14:paraId="3CC5D4A3" w14:textId="77777777" w:rsidR="00BC5219" w:rsidRPr="00470BFB" w:rsidRDefault="00BC5219" w:rsidP="00E83802">
            <w:pPr>
              <w:rPr>
                <w:rFonts w:ascii="Meta Pro" w:eastAsia="Times New Roman" w:hAnsi="Meta Pro" w:cs="Times New Roman"/>
                <w:sz w:val="20"/>
                <w:szCs w:val="20"/>
                <w:lang w:eastAsia="en-AU"/>
              </w:rPr>
            </w:pPr>
          </w:p>
        </w:tc>
        <w:tc>
          <w:tcPr>
            <w:tcW w:w="496" w:type="dxa"/>
            <w:tcBorders>
              <w:top w:val="nil"/>
              <w:left w:val="nil"/>
              <w:bottom w:val="nil"/>
              <w:right w:val="nil"/>
            </w:tcBorders>
            <w:shd w:val="clear" w:color="auto" w:fill="auto"/>
            <w:noWrap/>
            <w:vAlign w:val="center"/>
            <w:hideMark/>
          </w:tcPr>
          <w:p w14:paraId="0C7B588B" w14:textId="77777777" w:rsidR="00BC5219" w:rsidRPr="00470BFB" w:rsidRDefault="00BC5219" w:rsidP="00E83802">
            <w:pPr>
              <w:rPr>
                <w:rFonts w:ascii="Meta Pro" w:eastAsia="Times New Roman" w:hAnsi="Meta Pro" w:cs="Times New Roman"/>
                <w:sz w:val="20"/>
                <w:szCs w:val="20"/>
                <w:lang w:eastAsia="en-AU"/>
              </w:rPr>
            </w:pPr>
          </w:p>
        </w:tc>
        <w:tc>
          <w:tcPr>
            <w:tcW w:w="5936" w:type="dxa"/>
            <w:tcBorders>
              <w:top w:val="nil"/>
              <w:left w:val="nil"/>
              <w:bottom w:val="nil"/>
              <w:right w:val="nil"/>
            </w:tcBorders>
            <w:shd w:val="clear" w:color="auto" w:fill="auto"/>
            <w:noWrap/>
            <w:vAlign w:val="center"/>
            <w:hideMark/>
          </w:tcPr>
          <w:p w14:paraId="7300927A" w14:textId="77777777" w:rsidR="00BC5219" w:rsidRPr="00470BFB" w:rsidRDefault="00BC5219" w:rsidP="00E83802">
            <w:pPr>
              <w:rPr>
                <w:rFonts w:ascii="Meta Pro" w:eastAsia="Times New Roman" w:hAnsi="Meta Pro" w:cs="Times New Roman"/>
                <w:sz w:val="20"/>
                <w:szCs w:val="20"/>
                <w:lang w:eastAsia="en-AU"/>
              </w:rPr>
            </w:pPr>
          </w:p>
        </w:tc>
        <w:tc>
          <w:tcPr>
            <w:tcW w:w="1396" w:type="dxa"/>
            <w:tcBorders>
              <w:top w:val="nil"/>
              <w:left w:val="nil"/>
              <w:bottom w:val="nil"/>
              <w:right w:val="nil"/>
            </w:tcBorders>
            <w:shd w:val="clear" w:color="auto" w:fill="auto"/>
            <w:noWrap/>
            <w:vAlign w:val="center"/>
            <w:hideMark/>
          </w:tcPr>
          <w:p w14:paraId="7800452F" w14:textId="77777777" w:rsidR="00BC5219" w:rsidRPr="00470BFB" w:rsidRDefault="00BC5219" w:rsidP="00E83802">
            <w:pPr>
              <w:rPr>
                <w:rFonts w:ascii="Meta Pro" w:eastAsia="Times New Roman" w:hAnsi="Meta Pro" w:cs="Times New Roman"/>
                <w:sz w:val="20"/>
                <w:szCs w:val="20"/>
                <w:lang w:eastAsia="en-AU"/>
              </w:rPr>
            </w:pPr>
          </w:p>
        </w:tc>
      </w:tr>
      <w:tr w:rsidR="00BC5219" w:rsidRPr="00470BFB" w14:paraId="0229654A" w14:textId="77777777" w:rsidTr="00E83802">
        <w:trPr>
          <w:trHeight w:val="198"/>
        </w:trPr>
        <w:tc>
          <w:tcPr>
            <w:tcW w:w="1496" w:type="dxa"/>
            <w:vMerge w:val="restart"/>
            <w:tcBorders>
              <w:top w:val="nil"/>
              <w:left w:val="nil"/>
              <w:bottom w:val="nil"/>
              <w:right w:val="nil"/>
            </w:tcBorders>
            <w:shd w:val="clear" w:color="auto" w:fill="auto"/>
            <w:hideMark/>
          </w:tcPr>
          <w:p w14:paraId="4E09857E" w14:textId="77777777" w:rsidR="00BC5219" w:rsidRPr="00470BFB" w:rsidRDefault="00BC5219" w:rsidP="00E83802">
            <w:pPr>
              <w:rPr>
                <w:rFonts w:ascii="Meta Pro" w:eastAsia="Times New Roman" w:hAnsi="Meta Pro"/>
                <w:b/>
                <w:bCs/>
                <w:color w:val="000000"/>
                <w:szCs w:val="18"/>
                <w:lang w:eastAsia="en-AU"/>
              </w:rPr>
            </w:pPr>
            <w:r w:rsidRPr="00470BFB">
              <w:rPr>
                <w:rFonts w:ascii="Meta Pro" w:eastAsia="Times New Roman" w:hAnsi="Meta Pro"/>
                <w:b/>
                <w:bCs/>
                <w:color w:val="000000"/>
                <w:szCs w:val="18"/>
                <w:lang w:eastAsia="en-AU"/>
              </w:rPr>
              <w:t>Financial Statements</w:t>
            </w:r>
          </w:p>
        </w:tc>
        <w:tc>
          <w:tcPr>
            <w:tcW w:w="8188" w:type="dxa"/>
            <w:gridSpan w:val="3"/>
            <w:tcBorders>
              <w:top w:val="nil"/>
              <w:left w:val="nil"/>
              <w:bottom w:val="nil"/>
              <w:right w:val="nil"/>
            </w:tcBorders>
            <w:shd w:val="clear" w:color="auto" w:fill="auto"/>
            <w:noWrap/>
            <w:vAlign w:val="center"/>
            <w:hideMark/>
          </w:tcPr>
          <w:p w14:paraId="5E530DE2" w14:textId="77777777" w:rsidR="00BC5219" w:rsidRPr="00470BFB" w:rsidRDefault="00BC5219" w:rsidP="00E83802">
            <w:pPr>
              <w:rPr>
                <w:rFonts w:ascii="Meta Pro" w:eastAsia="Times New Roman" w:hAnsi="Meta Pro"/>
                <w:color w:val="000000"/>
                <w:szCs w:val="18"/>
                <w:lang w:eastAsia="en-AU"/>
              </w:rPr>
            </w:pPr>
            <w:r w:rsidRPr="00470BFB">
              <w:rPr>
                <w:rFonts w:ascii="Meta Pro" w:eastAsia="Times New Roman" w:hAnsi="Meta Pro"/>
                <w:color w:val="000000"/>
                <w:szCs w:val="18"/>
                <w:lang w:eastAsia="en-AU"/>
              </w:rPr>
              <w:t>Statement of comprehensive income</w:t>
            </w:r>
          </w:p>
        </w:tc>
        <w:tc>
          <w:tcPr>
            <w:tcW w:w="1396" w:type="dxa"/>
            <w:tcBorders>
              <w:top w:val="nil"/>
              <w:left w:val="nil"/>
              <w:bottom w:val="nil"/>
              <w:right w:val="nil"/>
            </w:tcBorders>
            <w:shd w:val="clear" w:color="auto" w:fill="auto"/>
            <w:noWrap/>
            <w:vAlign w:val="center"/>
            <w:hideMark/>
          </w:tcPr>
          <w:p w14:paraId="33489282" w14:textId="77777777" w:rsidR="00BC5219" w:rsidRPr="00470BFB" w:rsidRDefault="00BC5219" w:rsidP="00E83802">
            <w:pPr>
              <w:jc w:val="center"/>
              <w:rPr>
                <w:rFonts w:ascii="Meta Pro" w:eastAsia="Times New Roman" w:hAnsi="Meta Pro"/>
                <w:color w:val="000000"/>
                <w:szCs w:val="18"/>
                <w:lang w:eastAsia="en-AU"/>
              </w:rPr>
            </w:pPr>
          </w:p>
        </w:tc>
      </w:tr>
      <w:tr w:rsidR="00BC5219" w:rsidRPr="00470BFB" w14:paraId="3592B287" w14:textId="77777777" w:rsidTr="00E83802">
        <w:trPr>
          <w:trHeight w:val="198"/>
        </w:trPr>
        <w:tc>
          <w:tcPr>
            <w:tcW w:w="1496" w:type="dxa"/>
            <w:vMerge/>
            <w:tcBorders>
              <w:top w:val="nil"/>
              <w:left w:val="nil"/>
              <w:bottom w:val="nil"/>
              <w:right w:val="nil"/>
            </w:tcBorders>
            <w:vAlign w:val="center"/>
            <w:hideMark/>
          </w:tcPr>
          <w:p w14:paraId="091F761E" w14:textId="77777777" w:rsidR="00BC5219" w:rsidRPr="00470BFB" w:rsidRDefault="00BC5219" w:rsidP="00E83802">
            <w:pPr>
              <w:rPr>
                <w:rFonts w:ascii="Meta Pro" w:eastAsia="Times New Roman" w:hAnsi="Meta Pro"/>
                <w:b/>
                <w:bCs/>
                <w:color w:val="000000"/>
                <w:szCs w:val="18"/>
                <w:lang w:eastAsia="en-AU"/>
              </w:rPr>
            </w:pPr>
          </w:p>
        </w:tc>
        <w:tc>
          <w:tcPr>
            <w:tcW w:w="8188" w:type="dxa"/>
            <w:gridSpan w:val="3"/>
            <w:tcBorders>
              <w:top w:val="nil"/>
              <w:left w:val="nil"/>
              <w:bottom w:val="nil"/>
              <w:right w:val="nil"/>
            </w:tcBorders>
            <w:shd w:val="clear" w:color="auto" w:fill="auto"/>
            <w:noWrap/>
            <w:vAlign w:val="center"/>
            <w:hideMark/>
          </w:tcPr>
          <w:p w14:paraId="17031327" w14:textId="77777777" w:rsidR="00BC5219" w:rsidRPr="00470BFB" w:rsidRDefault="00BC5219" w:rsidP="00E83802">
            <w:pPr>
              <w:rPr>
                <w:rFonts w:ascii="Meta Pro" w:eastAsia="Times New Roman" w:hAnsi="Meta Pro"/>
                <w:color w:val="000000"/>
                <w:szCs w:val="18"/>
                <w:lang w:eastAsia="en-AU"/>
              </w:rPr>
            </w:pPr>
            <w:r w:rsidRPr="00470BFB">
              <w:rPr>
                <w:rFonts w:ascii="Meta Pro" w:eastAsia="Times New Roman" w:hAnsi="Meta Pro"/>
                <w:color w:val="000000"/>
                <w:szCs w:val="18"/>
                <w:lang w:eastAsia="en-AU"/>
              </w:rPr>
              <w:t>Statement of financial position</w:t>
            </w:r>
          </w:p>
        </w:tc>
        <w:tc>
          <w:tcPr>
            <w:tcW w:w="1396" w:type="dxa"/>
            <w:tcBorders>
              <w:top w:val="nil"/>
              <w:left w:val="nil"/>
              <w:bottom w:val="nil"/>
              <w:right w:val="nil"/>
            </w:tcBorders>
            <w:shd w:val="clear" w:color="auto" w:fill="auto"/>
            <w:noWrap/>
            <w:vAlign w:val="center"/>
            <w:hideMark/>
          </w:tcPr>
          <w:p w14:paraId="6C0276C1" w14:textId="77777777" w:rsidR="00BC5219" w:rsidRPr="00470BFB" w:rsidRDefault="00BC5219" w:rsidP="00E83802">
            <w:pPr>
              <w:jc w:val="center"/>
              <w:rPr>
                <w:rFonts w:ascii="Meta Pro" w:eastAsia="Times New Roman" w:hAnsi="Meta Pro"/>
                <w:color w:val="000000"/>
                <w:szCs w:val="18"/>
                <w:lang w:eastAsia="en-AU"/>
              </w:rPr>
            </w:pPr>
          </w:p>
        </w:tc>
      </w:tr>
      <w:tr w:rsidR="00BC5219" w:rsidRPr="00470BFB" w14:paraId="005D1E47" w14:textId="77777777" w:rsidTr="00E83802">
        <w:trPr>
          <w:trHeight w:val="198"/>
        </w:trPr>
        <w:tc>
          <w:tcPr>
            <w:tcW w:w="1496" w:type="dxa"/>
            <w:tcBorders>
              <w:top w:val="nil"/>
              <w:left w:val="nil"/>
              <w:bottom w:val="nil"/>
              <w:right w:val="nil"/>
            </w:tcBorders>
            <w:shd w:val="clear" w:color="auto" w:fill="auto"/>
            <w:noWrap/>
            <w:vAlign w:val="center"/>
            <w:hideMark/>
          </w:tcPr>
          <w:p w14:paraId="57D7B032" w14:textId="77777777" w:rsidR="00BC5219" w:rsidRPr="00470BFB" w:rsidRDefault="00BC5219" w:rsidP="00E83802">
            <w:pPr>
              <w:jc w:val="center"/>
              <w:rPr>
                <w:rFonts w:ascii="Meta Pro" w:eastAsia="Times New Roman" w:hAnsi="Meta Pro"/>
                <w:color w:val="000000"/>
                <w:szCs w:val="18"/>
                <w:lang w:eastAsia="en-AU"/>
              </w:rPr>
            </w:pPr>
          </w:p>
        </w:tc>
        <w:tc>
          <w:tcPr>
            <w:tcW w:w="8188" w:type="dxa"/>
            <w:gridSpan w:val="3"/>
            <w:tcBorders>
              <w:top w:val="nil"/>
              <w:left w:val="nil"/>
              <w:bottom w:val="nil"/>
              <w:right w:val="nil"/>
            </w:tcBorders>
            <w:shd w:val="clear" w:color="auto" w:fill="auto"/>
            <w:noWrap/>
            <w:vAlign w:val="center"/>
            <w:hideMark/>
          </w:tcPr>
          <w:p w14:paraId="088F4F20" w14:textId="77777777" w:rsidR="00BC5219" w:rsidRPr="00470BFB" w:rsidRDefault="00BC5219" w:rsidP="00E83802">
            <w:pPr>
              <w:rPr>
                <w:rFonts w:ascii="Meta Pro" w:eastAsia="Times New Roman" w:hAnsi="Meta Pro"/>
                <w:color w:val="000000"/>
                <w:szCs w:val="18"/>
                <w:lang w:eastAsia="en-AU"/>
              </w:rPr>
            </w:pPr>
            <w:r w:rsidRPr="00470BFB">
              <w:rPr>
                <w:rFonts w:ascii="Meta Pro" w:eastAsia="Times New Roman" w:hAnsi="Meta Pro"/>
                <w:color w:val="000000"/>
                <w:szCs w:val="18"/>
                <w:lang w:eastAsia="en-AU"/>
              </w:rPr>
              <w:t>Statement of comprehensive income by major departmental services</w:t>
            </w:r>
          </w:p>
        </w:tc>
        <w:tc>
          <w:tcPr>
            <w:tcW w:w="1396" w:type="dxa"/>
            <w:tcBorders>
              <w:top w:val="nil"/>
              <w:left w:val="nil"/>
              <w:bottom w:val="nil"/>
              <w:right w:val="nil"/>
            </w:tcBorders>
            <w:shd w:val="clear" w:color="auto" w:fill="auto"/>
            <w:noWrap/>
            <w:vAlign w:val="center"/>
            <w:hideMark/>
          </w:tcPr>
          <w:p w14:paraId="7CDB33BF" w14:textId="77777777" w:rsidR="00BC5219" w:rsidRPr="00470BFB" w:rsidRDefault="00BC5219" w:rsidP="00E83802">
            <w:pPr>
              <w:jc w:val="center"/>
              <w:rPr>
                <w:rFonts w:ascii="Meta Pro" w:eastAsia="Times New Roman" w:hAnsi="Meta Pro"/>
                <w:color w:val="000000"/>
                <w:szCs w:val="18"/>
                <w:lang w:eastAsia="en-AU"/>
              </w:rPr>
            </w:pPr>
          </w:p>
        </w:tc>
      </w:tr>
      <w:tr w:rsidR="00BC5219" w:rsidRPr="00470BFB" w14:paraId="4FB15E3D" w14:textId="77777777" w:rsidTr="00E83802">
        <w:trPr>
          <w:trHeight w:val="198"/>
        </w:trPr>
        <w:tc>
          <w:tcPr>
            <w:tcW w:w="1496" w:type="dxa"/>
            <w:tcBorders>
              <w:top w:val="nil"/>
              <w:left w:val="nil"/>
              <w:bottom w:val="nil"/>
              <w:right w:val="nil"/>
            </w:tcBorders>
            <w:shd w:val="clear" w:color="auto" w:fill="auto"/>
            <w:noWrap/>
            <w:vAlign w:val="center"/>
            <w:hideMark/>
          </w:tcPr>
          <w:p w14:paraId="0F5F2EE3" w14:textId="77777777" w:rsidR="00BC5219" w:rsidRPr="00470BFB" w:rsidRDefault="00BC5219" w:rsidP="00E83802">
            <w:pPr>
              <w:jc w:val="center"/>
              <w:rPr>
                <w:rFonts w:ascii="Meta Pro" w:eastAsia="Times New Roman" w:hAnsi="Meta Pro"/>
                <w:color w:val="000000"/>
                <w:szCs w:val="18"/>
                <w:lang w:eastAsia="en-AU"/>
              </w:rPr>
            </w:pPr>
          </w:p>
        </w:tc>
        <w:tc>
          <w:tcPr>
            <w:tcW w:w="8188" w:type="dxa"/>
            <w:gridSpan w:val="3"/>
            <w:tcBorders>
              <w:top w:val="nil"/>
              <w:left w:val="nil"/>
              <w:bottom w:val="nil"/>
              <w:right w:val="nil"/>
            </w:tcBorders>
            <w:shd w:val="clear" w:color="auto" w:fill="auto"/>
            <w:noWrap/>
            <w:vAlign w:val="center"/>
            <w:hideMark/>
          </w:tcPr>
          <w:p w14:paraId="51966A92" w14:textId="77777777" w:rsidR="00BC5219" w:rsidRPr="00470BFB" w:rsidRDefault="00BC5219" w:rsidP="00E83802">
            <w:pPr>
              <w:rPr>
                <w:rFonts w:ascii="Meta Pro" w:eastAsia="Times New Roman" w:hAnsi="Meta Pro"/>
                <w:color w:val="000000"/>
                <w:szCs w:val="18"/>
                <w:lang w:eastAsia="en-AU"/>
              </w:rPr>
            </w:pPr>
            <w:r w:rsidRPr="00470BFB">
              <w:rPr>
                <w:rFonts w:ascii="Meta Pro" w:eastAsia="Times New Roman" w:hAnsi="Meta Pro"/>
                <w:color w:val="000000"/>
                <w:szCs w:val="18"/>
                <w:lang w:eastAsia="en-AU"/>
              </w:rPr>
              <w:t>Statement of assets and liabilities by major departmental services</w:t>
            </w:r>
          </w:p>
        </w:tc>
        <w:tc>
          <w:tcPr>
            <w:tcW w:w="1396" w:type="dxa"/>
            <w:tcBorders>
              <w:top w:val="nil"/>
              <w:left w:val="nil"/>
              <w:bottom w:val="nil"/>
              <w:right w:val="nil"/>
            </w:tcBorders>
            <w:shd w:val="clear" w:color="auto" w:fill="auto"/>
            <w:noWrap/>
            <w:vAlign w:val="center"/>
            <w:hideMark/>
          </w:tcPr>
          <w:p w14:paraId="12833C6A" w14:textId="77777777" w:rsidR="00BC5219" w:rsidRPr="00470BFB" w:rsidRDefault="00BC5219" w:rsidP="00E83802">
            <w:pPr>
              <w:jc w:val="center"/>
              <w:rPr>
                <w:rFonts w:ascii="Meta Pro" w:eastAsia="Times New Roman" w:hAnsi="Meta Pro"/>
                <w:color w:val="000000"/>
                <w:szCs w:val="18"/>
                <w:lang w:eastAsia="en-AU"/>
              </w:rPr>
            </w:pPr>
          </w:p>
        </w:tc>
      </w:tr>
      <w:tr w:rsidR="00BC5219" w:rsidRPr="00470BFB" w14:paraId="20A7A0FC" w14:textId="77777777" w:rsidTr="00E83802">
        <w:trPr>
          <w:trHeight w:val="198"/>
        </w:trPr>
        <w:tc>
          <w:tcPr>
            <w:tcW w:w="1496" w:type="dxa"/>
            <w:tcBorders>
              <w:top w:val="nil"/>
              <w:left w:val="nil"/>
              <w:bottom w:val="nil"/>
              <w:right w:val="nil"/>
            </w:tcBorders>
            <w:shd w:val="clear" w:color="auto" w:fill="auto"/>
            <w:noWrap/>
            <w:vAlign w:val="center"/>
            <w:hideMark/>
          </w:tcPr>
          <w:p w14:paraId="627918AF" w14:textId="77777777" w:rsidR="00BC5219" w:rsidRPr="00470BFB" w:rsidRDefault="00BC5219" w:rsidP="00E83802">
            <w:pPr>
              <w:jc w:val="center"/>
              <w:rPr>
                <w:rFonts w:ascii="Meta Pro" w:eastAsia="Times New Roman" w:hAnsi="Meta Pro"/>
                <w:color w:val="000000"/>
                <w:szCs w:val="18"/>
                <w:lang w:eastAsia="en-AU"/>
              </w:rPr>
            </w:pPr>
          </w:p>
        </w:tc>
        <w:tc>
          <w:tcPr>
            <w:tcW w:w="8188" w:type="dxa"/>
            <w:gridSpan w:val="3"/>
            <w:tcBorders>
              <w:top w:val="nil"/>
              <w:left w:val="nil"/>
              <w:bottom w:val="nil"/>
              <w:right w:val="nil"/>
            </w:tcBorders>
            <w:shd w:val="clear" w:color="auto" w:fill="auto"/>
            <w:noWrap/>
            <w:vAlign w:val="center"/>
            <w:hideMark/>
          </w:tcPr>
          <w:p w14:paraId="5AB4D933" w14:textId="77777777" w:rsidR="00BC5219" w:rsidRPr="00470BFB" w:rsidRDefault="00BC5219" w:rsidP="00E83802">
            <w:pPr>
              <w:rPr>
                <w:rFonts w:ascii="Meta Pro" w:eastAsia="Times New Roman" w:hAnsi="Meta Pro"/>
                <w:color w:val="000000"/>
                <w:szCs w:val="18"/>
                <w:lang w:eastAsia="en-AU"/>
              </w:rPr>
            </w:pPr>
            <w:r w:rsidRPr="00470BFB">
              <w:rPr>
                <w:rFonts w:ascii="Meta Pro" w:eastAsia="Times New Roman" w:hAnsi="Meta Pro"/>
                <w:color w:val="000000"/>
                <w:szCs w:val="18"/>
                <w:lang w:eastAsia="en-AU"/>
              </w:rPr>
              <w:t>Statement of changes in equity</w:t>
            </w:r>
          </w:p>
        </w:tc>
        <w:tc>
          <w:tcPr>
            <w:tcW w:w="1396" w:type="dxa"/>
            <w:tcBorders>
              <w:top w:val="nil"/>
              <w:left w:val="nil"/>
              <w:bottom w:val="nil"/>
              <w:right w:val="nil"/>
            </w:tcBorders>
            <w:shd w:val="clear" w:color="auto" w:fill="auto"/>
            <w:noWrap/>
            <w:vAlign w:val="center"/>
            <w:hideMark/>
          </w:tcPr>
          <w:p w14:paraId="66FD5B62" w14:textId="77777777" w:rsidR="00BC5219" w:rsidRPr="00470BFB" w:rsidRDefault="00BC5219" w:rsidP="00E83802">
            <w:pPr>
              <w:jc w:val="center"/>
              <w:rPr>
                <w:rFonts w:ascii="Meta Pro" w:eastAsia="Times New Roman" w:hAnsi="Meta Pro"/>
                <w:color w:val="000000"/>
                <w:szCs w:val="18"/>
                <w:lang w:eastAsia="en-AU"/>
              </w:rPr>
            </w:pPr>
          </w:p>
        </w:tc>
      </w:tr>
      <w:tr w:rsidR="00BC5219" w:rsidRPr="00470BFB" w14:paraId="09BD2205" w14:textId="77777777" w:rsidTr="00E83802">
        <w:trPr>
          <w:trHeight w:val="198"/>
        </w:trPr>
        <w:tc>
          <w:tcPr>
            <w:tcW w:w="1496" w:type="dxa"/>
            <w:tcBorders>
              <w:top w:val="nil"/>
              <w:left w:val="nil"/>
              <w:bottom w:val="nil"/>
              <w:right w:val="nil"/>
            </w:tcBorders>
            <w:shd w:val="clear" w:color="auto" w:fill="auto"/>
            <w:noWrap/>
            <w:vAlign w:val="center"/>
            <w:hideMark/>
          </w:tcPr>
          <w:p w14:paraId="59D7A9FA" w14:textId="77777777" w:rsidR="00BC5219" w:rsidRPr="00470BFB" w:rsidRDefault="00BC5219" w:rsidP="00E83802">
            <w:pPr>
              <w:jc w:val="center"/>
              <w:rPr>
                <w:rFonts w:ascii="Meta Pro" w:eastAsia="Times New Roman" w:hAnsi="Meta Pro"/>
                <w:color w:val="000000"/>
                <w:szCs w:val="18"/>
                <w:lang w:eastAsia="en-AU"/>
              </w:rPr>
            </w:pPr>
          </w:p>
        </w:tc>
        <w:tc>
          <w:tcPr>
            <w:tcW w:w="8188" w:type="dxa"/>
            <w:gridSpan w:val="3"/>
            <w:tcBorders>
              <w:top w:val="nil"/>
              <w:left w:val="nil"/>
              <w:bottom w:val="nil"/>
              <w:right w:val="nil"/>
            </w:tcBorders>
            <w:shd w:val="clear" w:color="auto" w:fill="auto"/>
            <w:noWrap/>
            <w:vAlign w:val="center"/>
            <w:hideMark/>
          </w:tcPr>
          <w:p w14:paraId="41A0D222" w14:textId="77777777" w:rsidR="00BC5219" w:rsidRPr="00470BFB" w:rsidRDefault="00BC5219" w:rsidP="00E83802">
            <w:pPr>
              <w:rPr>
                <w:rFonts w:ascii="Meta Pro" w:eastAsia="Times New Roman" w:hAnsi="Meta Pro"/>
                <w:color w:val="000000"/>
                <w:szCs w:val="18"/>
                <w:lang w:eastAsia="en-AU"/>
              </w:rPr>
            </w:pPr>
            <w:r w:rsidRPr="00470BFB">
              <w:rPr>
                <w:rFonts w:ascii="Meta Pro" w:eastAsia="Times New Roman" w:hAnsi="Meta Pro"/>
                <w:color w:val="000000"/>
                <w:szCs w:val="18"/>
                <w:lang w:eastAsia="en-AU"/>
              </w:rPr>
              <w:t>Statement of cash flows</w:t>
            </w:r>
          </w:p>
        </w:tc>
        <w:tc>
          <w:tcPr>
            <w:tcW w:w="1396" w:type="dxa"/>
            <w:tcBorders>
              <w:top w:val="nil"/>
              <w:left w:val="nil"/>
              <w:bottom w:val="nil"/>
              <w:right w:val="nil"/>
            </w:tcBorders>
            <w:shd w:val="clear" w:color="auto" w:fill="auto"/>
            <w:noWrap/>
            <w:vAlign w:val="center"/>
            <w:hideMark/>
          </w:tcPr>
          <w:p w14:paraId="51AA34EC" w14:textId="77777777" w:rsidR="00BC5219" w:rsidRPr="00470BFB" w:rsidRDefault="00BC5219" w:rsidP="00E83802">
            <w:pPr>
              <w:jc w:val="center"/>
              <w:rPr>
                <w:rFonts w:ascii="Meta Pro" w:eastAsia="Times New Roman" w:hAnsi="Meta Pro"/>
                <w:color w:val="000000"/>
                <w:szCs w:val="18"/>
                <w:lang w:eastAsia="en-AU"/>
              </w:rPr>
            </w:pPr>
          </w:p>
        </w:tc>
      </w:tr>
      <w:tr w:rsidR="00BC5219" w:rsidRPr="00470BFB" w14:paraId="67B85071" w14:textId="77777777" w:rsidTr="00E83802">
        <w:trPr>
          <w:trHeight w:val="198"/>
        </w:trPr>
        <w:tc>
          <w:tcPr>
            <w:tcW w:w="1496" w:type="dxa"/>
            <w:tcBorders>
              <w:top w:val="nil"/>
              <w:left w:val="nil"/>
              <w:bottom w:val="nil"/>
              <w:right w:val="nil"/>
            </w:tcBorders>
            <w:shd w:val="clear" w:color="auto" w:fill="auto"/>
            <w:noWrap/>
            <w:vAlign w:val="center"/>
            <w:hideMark/>
          </w:tcPr>
          <w:p w14:paraId="37CEDCF4" w14:textId="77777777" w:rsidR="00BC5219" w:rsidRPr="00470BFB" w:rsidRDefault="00BC5219" w:rsidP="00E83802">
            <w:pPr>
              <w:jc w:val="center"/>
              <w:rPr>
                <w:rFonts w:ascii="Meta Pro" w:eastAsia="Times New Roman" w:hAnsi="Meta Pro"/>
                <w:color w:val="000000"/>
                <w:szCs w:val="18"/>
                <w:lang w:eastAsia="en-AU"/>
              </w:rPr>
            </w:pPr>
          </w:p>
        </w:tc>
        <w:tc>
          <w:tcPr>
            <w:tcW w:w="8188" w:type="dxa"/>
            <w:gridSpan w:val="3"/>
            <w:tcBorders>
              <w:top w:val="nil"/>
              <w:left w:val="nil"/>
              <w:bottom w:val="single" w:sz="4" w:space="0" w:color="auto"/>
              <w:right w:val="nil"/>
            </w:tcBorders>
            <w:shd w:val="clear" w:color="auto" w:fill="auto"/>
            <w:noWrap/>
            <w:vAlign w:val="center"/>
            <w:hideMark/>
          </w:tcPr>
          <w:p w14:paraId="15FF4CE4" w14:textId="77777777" w:rsidR="00BC5219" w:rsidRPr="00470BFB" w:rsidRDefault="00BC5219" w:rsidP="00E83802">
            <w:pPr>
              <w:rPr>
                <w:rFonts w:ascii="Meta Pro" w:eastAsia="Times New Roman" w:hAnsi="Meta Pro"/>
                <w:color w:val="000000"/>
                <w:szCs w:val="18"/>
                <w:lang w:eastAsia="en-AU"/>
              </w:rPr>
            </w:pPr>
            <w:r w:rsidRPr="00470BFB">
              <w:rPr>
                <w:rFonts w:ascii="Meta Pro" w:eastAsia="Times New Roman" w:hAnsi="Meta Pro"/>
                <w:color w:val="000000"/>
                <w:szCs w:val="18"/>
                <w:lang w:eastAsia="en-AU"/>
              </w:rPr>
              <w:t>Notes to the Statement of cash flows</w:t>
            </w:r>
          </w:p>
        </w:tc>
        <w:tc>
          <w:tcPr>
            <w:tcW w:w="1396" w:type="dxa"/>
            <w:tcBorders>
              <w:top w:val="nil"/>
              <w:left w:val="nil"/>
              <w:bottom w:val="nil"/>
              <w:right w:val="nil"/>
            </w:tcBorders>
            <w:shd w:val="clear" w:color="auto" w:fill="auto"/>
            <w:noWrap/>
            <w:vAlign w:val="center"/>
            <w:hideMark/>
          </w:tcPr>
          <w:p w14:paraId="7E358EE8" w14:textId="77777777" w:rsidR="00BC5219" w:rsidRPr="00470BFB" w:rsidRDefault="00BC5219" w:rsidP="00E83802">
            <w:pPr>
              <w:jc w:val="center"/>
              <w:rPr>
                <w:rFonts w:ascii="Meta Pro" w:eastAsia="Times New Roman" w:hAnsi="Meta Pro"/>
                <w:color w:val="000000"/>
                <w:szCs w:val="18"/>
                <w:lang w:eastAsia="en-AU"/>
              </w:rPr>
            </w:pPr>
          </w:p>
        </w:tc>
      </w:tr>
      <w:tr w:rsidR="00BC5219" w:rsidRPr="00470BFB" w14:paraId="44540C4E" w14:textId="77777777" w:rsidTr="00E83802">
        <w:trPr>
          <w:trHeight w:val="198"/>
        </w:trPr>
        <w:tc>
          <w:tcPr>
            <w:tcW w:w="1496" w:type="dxa"/>
            <w:tcBorders>
              <w:top w:val="single" w:sz="4" w:space="0" w:color="auto"/>
              <w:left w:val="nil"/>
              <w:bottom w:val="nil"/>
              <w:right w:val="nil"/>
            </w:tcBorders>
            <w:shd w:val="clear" w:color="auto" w:fill="auto"/>
            <w:hideMark/>
          </w:tcPr>
          <w:p w14:paraId="24F2EA20" w14:textId="77777777" w:rsidR="00BC5219" w:rsidRPr="00470BFB" w:rsidRDefault="00BC5219" w:rsidP="00E83802">
            <w:pPr>
              <w:rPr>
                <w:rFonts w:ascii="Meta Pro" w:eastAsia="Times New Roman" w:hAnsi="Meta Pro"/>
                <w:b/>
                <w:bCs/>
                <w:color w:val="000000"/>
                <w:szCs w:val="18"/>
                <w:lang w:eastAsia="en-AU"/>
              </w:rPr>
            </w:pPr>
            <w:r w:rsidRPr="00470BFB">
              <w:rPr>
                <w:rFonts w:ascii="Meta Pro" w:eastAsia="Times New Roman" w:hAnsi="Meta Pro"/>
                <w:b/>
                <w:bCs/>
                <w:color w:val="000000"/>
                <w:szCs w:val="18"/>
                <w:lang w:eastAsia="en-AU"/>
              </w:rPr>
              <w:t>Notes to the</w:t>
            </w:r>
            <w:r w:rsidRPr="00470BFB">
              <w:rPr>
                <w:rFonts w:ascii="Meta Pro" w:eastAsia="Times New Roman" w:hAnsi="Meta Pro"/>
                <w:b/>
                <w:bCs/>
                <w:color w:val="000000"/>
                <w:szCs w:val="18"/>
                <w:lang w:eastAsia="en-AU"/>
              </w:rPr>
              <w:br/>
              <w:t>Financial</w:t>
            </w:r>
            <w:r w:rsidRPr="00470BFB">
              <w:rPr>
                <w:rFonts w:ascii="Meta Pro" w:eastAsia="Times New Roman" w:hAnsi="Meta Pro"/>
                <w:b/>
                <w:bCs/>
                <w:color w:val="000000"/>
                <w:szCs w:val="18"/>
                <w:lang w:eastAsia="en-AU"/>
              </w:rPr>
              <w:br/>
              <w:t>Statements</w:t>
            </w:r>
          </w:p>
        </w:tc>
        <w:tc>
          <w:tcPr>
            <w:tcW w:w="1756" w:type="dxa"/>
            <w:tcBorders>
              <w:top w:val="nil"/>
              <w:left w:val="nil"/>
              <w:bottom w:val="single" w:sz="4" w:space="0" w:color="auto"/>
              <w:right w:val="nil"/>
            </w:tcBorders>
            <w:shd w:val="clear" w:color="auto" w:fill="auto"/>
            <w:hideMark/>
          </w:tcPr>
          <w:p w14:paraId="160C96C2" w14:textId="77777777" w:rsidR="00BC5219" w:rsidRPr="00470BFB" w:rsidRDefault="00BC5219" w:rsidP="00E83802">
            <w:pPr>
              <w:rPr>
                <w:rFonts w:ascii="Meta Pro" w:eastAsia="Times New Roman" w:hAnsi="Meta Pro"/>
                <w:color w:val="000000"/>
                <w:szCs w:val="18"/>
                <w:lang w:eastAsia="en-AU"/>
              </w:rPr>
            </w:pPr>
            <w:r w:rsidRPr="00470BFB">
              <w:rPr>
                <w:rFonts w:ascii="Meta Pro" w:eastAsia="Times New Roman" w:hAnsi="Meta Pro"/>
                <w:color w:val="000000"/>
                <w:szCs w:val="18"/>
                <w:lang w:eastAsia="en-AU"/>
              </w:rPr>
              <w:t>How we Operate - Our Departmental Objectives and Activities</w:t>
            </w:r>
          </w:p>
        </w:tc>
        <w:tc>
          <w:tcPr>
            <w:tcW w:w="496" w:type="dxa"/>
            <w:tcBorders>
              <w:top w:val="nil"/>
              <w:left w:val="nil"/>
              <w:bottom w:val="nil"/>
              <w:right w:val="nil"/>
            </w:tcBorders>
            <w:shd w:val="clear" w:color="auto" w:fill="auto"/>
            <w:hideMark/>
          </w:tcPr>
          <w:p w14:paraId="7C004EBD" w14:textId="77777777" w:rsidR="00BC5219" w:rsidRPr="00470BFB" w:rsidRDefault="00BC5219" w:rsidP="00E83802">
            <w:pPr>
              <w:jc w:val="right"/>
              <w:rPr>
                <w:rFonts w:ascii="Meta Pro" w:eastAsia="Times New Roman" w:hAnsi="Meta Pro"/>
                <w:color w:val="000000"/>
                <w:szCs w:val="18"/>
                <w:lang w:eastAsia="en-AU"/>
              </w:rPr>
            </w:pPr>
            <w:r w:rsidRPr="00470BFB">
              <w:rPr>
                <w:rFonts w:ascii="Meta Pro" w:eastAsia="Times New Roman" w:hAnsi="Meta Pro"/>
                <w:color w:val="000000"/>
                <w:szCs w:val="18"/>
                <w:lang w:eastAsia="en-AU"/>
              </w:rPr>
              <w:t>1</w:t>
            </w:r>
          </w:p>
        </w:tc>
        <w:tc>
          <w:tcPr>
            <w:tcW w:w="5936" w:type="dxa"/>
            <w:tcBorders>
              <w:top w:val="nil"/>
              <w:left w:val="nil"/>
              <w:bottom w:val="nil"/>
              <w:right w:val="nil"/>
            </w:tcBorders>
            <w:shd w:val="clear" w:color="auto" w:fill="auto"/>
            <w:hideMark/>
          </w:tcPr>
          <w:p w14:paraId="32D9A6B1" w14:textId="77777777" w:rsidR="00BC5219" w:rsidRPr="00470BFB" w:rsidRDefault="00BC5219" w:rsidP="00E83802">
            <w:pPr>
              <w:rPr>
                <w:rFonts w:ascii="Meta Pro" w:eastAsia="Times New Roman" w:hAnsi="Meta Pro"/>
                <w:color w:val="000000"/>
                <w:szCs w:val="18"/>
                <w:lang w:eastAsia="en-AU"/>
              </w:rPr>
            </w:pPr>
            <w:r w:rsidRPr="00470BFB">
              <w:rPr>
                <w:rFonts w:ascii="Meta Pro" w:eastAsia="Times New Roman" w:hAnsi="Meta Pro"/>
                <w:color w:val="000000"/>
                <w:szCs w:val="18"/>
                <w:lang w:eastAsia="en-AU"/>
              </w:rPr>
              <w:t>Accounting policies and basis for financial statements</w:t>
            </w:r>
            <w:r w:rsidRPr="00470BFB">
              <w:rPr>
                <w:rFonts w:ascii="Meta Pro" w:eastAsia="Times New Roman" w:hAnsi="Meta Pro"/>
                <w:color w:val="000000"/>
                <w:szCs w:val="18"/>
                <w:lang w:eastAsia="en-AU"/>
              </w:rPr>
              <w:br/>
              <w:t>preparation</w:t>
            </w:r>
          </w:p>
        </w:tc>
        <w:tc>
          <w:tcPr>
            <w:tcW w:w="1396" w:type="dxa"/>
            <w:tcBorders>
              <w:top w:val="single" w:sz="4" w:space="0" w:color="auto"/>
              <w:left w:val="nil"/>
              <w:bottom w:val="nil"/>
              <w:right w:val="nil"/>
            </w:tcBorders>
            <w:shd w:val="clear" w:color="auto" w:fill="auto"/>
            <w:hideMark/>
          </w:tcPr>
          <w:p w14:paraId="62DC9BDB" w14:textId="77777777" w:rsidR="00BC5219" w:rsidRPr="00470BFB" w:rsidRDefault="00BC5219" w:rsidP="00E83802">
            <w:pPr>
              <w:jc w:val="center"/>
              <w:rPr>
                <w:rFonts w:ascii="Meta Pro" w:eastAsia="Times New Roman" w:hAnsi="Meta Pro"/>
                <w:color w:val="000000"/>
                <w:szCs w:val="18"/>
                <w:lang w:eastAsia="en-AU"/>
              </w:rPr>
            </w:pPr>
          </w:p>
        </w:tc>
      </w:tr>
      <w:tr w:rsidR="00BC5219" w:rsidRPr="00470BFB" w14:paraId="79CA2412" w14:textId="77777777" w:rsidTr="00E83802">
        <w:trPr>
          <w:trHeight w:val="198"/>
        </w:trPr>
        <w:tc>
          <w:tcPr>
            <w:tcW w:w="1496" w:type="dxa"/>
            <w:tcBorders>
              <w:top w:val="nil"/>
              <w:left w:val="nil"/>
              <w:bottom w:val="nil"/>
              <w:right w:val="nil"/>
            </w:tcBorders>
            <w:shd w:val="clear" w:color="auto" w:fill="auto"/>
            <w:vAlign w:val="center"/>
            <w:hideMark/>
          </w:tcPr>
          <w:p w14:paraId="6768EDD1" w14:textId="77777777" w:rsidR="00BC5219" w:rsidRPr="00470BFB" w:rsidRDefault="00BC5219" w:rsidP="00E83802">
            <w:pPr>
              <w:jc w:val="center"/>
              <w:rPr>
                <w:rFonts w:ascii="Meta Pro" w:eastAsia="Times New Roman" w:hAnsi="Meta Pro"/>
                <w:color w:val="000000"/>
                <w:szCs w:val="18"/>
                <w:lang w:eastAsia="en-AU"/>
              </w:rPr>
            </w:pPr>
          </w:p>
        </w:tc>
        <w:tc>
          <w:tcPr>
            <w:tcW w:w="1756" w:type="dxa"/>
            <w:vMerge w:val="restart"/>
            <w:tcBorders>
              <w:top w:val="nil"/>
              <w:left w:val="nil"/>
              <w:bottom w:val="nil"/>
              <w:right w:val="nil"/>
            </w:tcBorders>
            <w:shd w:val="clear" w:color="auto" w:fill="auto"/>
            <w:hideMark/>
          </w:tcPr>
          <w:p w14:paraId="3F7850D4" w14:textId="77777777" w:rsidR="00BC5219" w:rsidRPr="00470BFB" w:rsidRDefault="00BC5219" w:rsidP="00E83802">
            <w:pPr>
              <w:rPr>
                <w:rFonts w:ascii="Meta Pro" w:eastAsia="Times New Roman" w:hAnsi="Meta Pro"/>
                <w:color w:val="000000"/>
                <w:szCs w:val="18"/>
                <w:lang w:eastAsia="en-AU"/>
              </w:rPr>
            </w:pPr>
            <w:r w:rsidRPr="00470BFB">
              <w:rPr>
                <w:rFonts w:ascii="Meta Pro" w:eastAsia="Times New Roman" w:hAnsi="Meta Pro"/>
                <w:color w:val="000000"/>
                <w:szCs w:val="18"/>
                <w:lang w:eastAsia="en-AU"/>
              </w:rPr>
              <w:t>Notes about our Financial Performance</w:t>
            </w:r>
          </w:p>
        </w:tc>
        <w:tc>
          <w:tcPr>
            <w:tcW w:w="6432" w:type="dxa"/>
            <w:gridSpan w:val="2"/>
            <w:tcBorders>
              <w:top w:val="single" w:sz="4" w:space="0" w:color="auto"/>
              <w:left w:val="nil"/>
              <w:bottom w:val="nil"/>
              <w:right w:val="nil"/>
            </w:tcBorders>
            <w:shd w:val="clear" w:color="auto" w:fill="auto"/>
            <w:noWrap/>
            <w:hideMark/>
          </w:tcPr>
          <w:p w14:paraId="05C1B00F" w14:textId="77777777" w:rsidR="00BC5219" w:rsidRPr="00470BFB" w:rsidRDefault="00BC5219" w:rsidP="00E83802">
            <w:pPr>
              <w:rPr>
                <w:rFonts w:ascii="Meta Pro" w:eastAsia="Times New Roman" w:hAnsi="Meta Pro"/>
                <w:color w:val="000000"/>
                <w:szCs w:val="18"/>
                <w:lang w:eastAsia="en-AU"/>
              </w:rPr>
            </w:pPr>
            <w:r w:rsidRPr="00470BFB">
              <w:rPr>
                <w:rFonts w:ascii="Meta Pro" w:eastAsia="Times New Roman" w:hAnsi="Meta Pro"/>
                <w:color w:val="000000"/>
                <w:szCs w:val="18"/>
                <w:lang w:eastAsia="en-AU"/>
              </w:rPr>
              <w:t>Income</w:t>
            </w:r>
          </w:p>
        </w:tc>
        <w:tc>
          <w:tcPr>
            <w:tcW w:w="1396" w:type="dxa"/>
            <w:tcBorders>
              <w:top w:val="single" w:sz="4" w:space="0" w:color="auto"/>
              <w:left w:val="nil"/>
              <w:bottom w:val="nil"/>
              <w:right w:val="nil"/>
            </w:tcBorders>
            <w:shd w:val="clear" w:color="auto" w:fill="auto"/>
            <w:noWrap/>
            <w:vAlign w:val="center"/>
            <w:hideMark/>
          </w:tcPr>
          <w:p w14:paraId="728BD729" w14:textId="77777777" w:rsidR="00BC5219" w:rsidRPr="00470BFB" w:rsidRDefault="00BC5219" w:rsidP="00E83802">
            <w:pPr>
              <w:jc w:val="center"/>
              <w:rPr>
                <w:rFonts w:ascii="Meta Pro" w:eastAsia="Times New Roman" w:hAnsi="Meta Pro"/>
                <w:color w:val="000000"/>
                <w:szCs w:val="18"/>
                <w:lang w:eastAsia="en-AU"/>
              </w:rPr>
            </w:pPr>
            <w:r w:rsidRPr="00470BFB">
              <w:rPr>
                <w:rFonts w:ascii="Meta Pro" w:eastAsia="Times New Roman" w:hAnsi="Meta Pro"/>
                <w:color w:val="000000"/>
                <w:szCs w:val="18"/>
                <w:lang w:eastAsia="en-AU"/>
              </w:rPr>
              <w:t> </w:t>
            </w:r>
          </w:p>
        </w:tc>
      </w:tr>
      <w:tr w:rsidR="00BC5219" w:rsidRPr="00470BFB" w14:paraId="1C5AFB33" w14:textId="77777777" w:rsidTr="00E83802">
        <w:trPr>
          <w:trHeight w:val="198"/>
        </w:trPr>
        <w:tc>
          <w:tcPr>
            <w:tcW w:w="1496" w:type="dxa"/>
            <w:tcBorders>
              <w:top w:val="nil"/>
              <w:left w:val="nil"/>
              <w:bottom w:val="nil"/>
              <w:right w:val="nil"/>
            </w:tcBorders>
            <w:shd w:val="clear" w:color="auto" w:fill="auto"/>
            <w:vAlign w:val="center"/>
            <w:hideMark/>
          </w:tcPr>
          <w:p w14:paraId="5AD6C132" w14:textId="77777777" w:rsidR="00BC5219" w:rsidRPr="00470BFB" w:rsidRDefault="00BC5219" w:rsidP="00E83802">
            <w:pPr>
              <w:jc w:val="center"/>
              <w:rPr>
                <w:rFonts w:ascii="Meta Pro" w:eastAsia="Times New Roman" w:hAnsi="Meta Pro"/>
                <w:color w:val="000000"/>
                <w:szCs w:val="18"/>
                <w:lang w:eastAsia="en-AU"/>
              </w:rPr>
            </w:pPr>
          </w:p>
        </w:tc>
        <w:tc>
          <w:tcPr>
            <w:tcW w:w="1756" w:type="dxa"/>
            <w:vMerge/>
            <w:tcBorders>
              <w:top w:val="nil"/>
              <w:left w:val="nil"/>
              <w:bottom w:val="nil"/>
              <w:right w:val="nil"/>
            </w:tcBorders>
            <w:vAlign w:val="center"/>
            <w:hideMark/>
          </w:tcPr>
          <w:p w14:paraId="7BBE8256" w14:textId="77777777" w:rsidR="00BC5219" w:rsidRPr="00470BFB" w:rsidRDefault="00BC5219" w:rsidP="00E83802">
            <w:pPr>
              <w:rPr>
                <w:rFonts w:ascii="Meta Pro" w:eastAsia="Times New Roman" w:hAnsi="Meta Pro"/>
                <w:color w:val="000000"/>
                <w:szCs w:val="18"/>
                <w:lang w:eastAsia="en-AU"/>
              </w:rPr>
            </w:pPr>
          </w:p>
        </w:tc>
        <w:tc>
          <w:tcPr>
            <w:tcW w:w="496" w:type="dxa"/>
            <w:tcBorders>
              <w:top w:val="nil"/>
              <w:left w:val="nil"/>
              <w:bottom w:val="nil"/>
              <w:right w:val="nil"/>
            </w:tcBorders>
            <w:shd w:val="clear" w:color="auto" w:fill="auto"/>
            <w:noWrap/>
            <w:vAlign w:val="center"/>
            <w:hideMark/>
          </w:tcPr>
          <w:p w14:paraId="569B2204" w14:textId="77777777" w:rsidR="00BC5219" w:rsidRPr="00470BFB" w:rsidRDefault="00BC5219" w:rsidP="00E83802">
            <w:pPr>
              <w:jc w:val="right"/>
              <w:rPr>
                <w:rFonts w:ascii="Meta Pro" w:eastAsia="Times New Roman" w:hAnsi="Meta Pro"/>
                <w:color w:val="000000"/>
                <w:szCs w:val="18"/>
                <w:lang w:eastAsia="en-AU"/>
              </w:rPr>
            </w:pPr>
            <w:r w:rsidRPr="00470BFB">
              <w:rPr>
                <w:rFonts w:ascii="Meta Pro" w:eastAsia="Times New Roman" w:hAnsi="Meta Pro"/>
                <w:color w:val="000000"/>
                <w:szCs w:val="18"/>
                <w:lang w:eastAsia="en-AU"/>
              </w:rPr>
              <w:t>2</w:t>
            </w:r>
          </w:p>
        </w:tc>
        <w:tc>
          <w:tcPr>
            <w:tcW w:w="5936" w:type="dxa"/>
            <w:tcBorders>
              <w:top w:val="nil"/>
              <w:left w:val="nil"/>
              <w:bottom w:val="nil"/>
              <w:right w:val="nil"/>
            </w:tcBorders>
            <w:shd w:val="clear" w:color="auto" w:fill="auto"/>
            <w:noWrap/>
            <w:vAlign w:val="center"/>
            <w:hideMark/>
          </w:tcPr>
          <w:p w14:paraId="1874C833" w14:textId="77777777" w:rsidR="00BC5219" w:rsidRPr="00470BFB" w:rsidRDefault="00BC5219" w:rsidP="00E83802">
            <w:pPr>
              <w:rPr>
                <w:rFonts w:ascii="Meta Pro" w:eastAsia="Times New Roman" w:hAnsi="Meta Pro"/>
                <w:color w:val="000000"/>
                <w:szCs w:val="18"/>
                <w:lang w:eastAsia="en-AU"/>
              </w:rPr>
            </w:pPr>
            <w:r w:rsidRPr="00470BFB">
              <w:rPr>
                <w:rFonts w:ascii="Meta Pro" w:eastAsia="Times New Roman" w:hAnsi="Meta Pro"/>
                <w:color w:val="000000"/>
                <w:szCs w:val="18"/>
                <w:lang w:eastAsia="en-AU"/>
              </w:rPr>
              <w:t>Appropriations</w:t>
            </w:r>
          </w:p>
        </w:tc>
        <w:tc>
          <w:tcPr>
            <w:tcW w:w="1396" w:type="dxa"/>
            <w:tcBorders>
              <w:top w:val="nil"/>
              <w:left w:val="nil"/>
              <w:bottom w:val="nil"/>
              <w:right w:val="nil"/>
            </w:tcBorders>
            <w:shd w:val="clear" w:color="auto" w:fill="auto"/>
            <w:noWrap/>
            <w:vAlign w:val="center"/>
            <w:hideMark/>
          </w:tcPr>
          <w:p w14:paraId="533110B6" w14:textId="77777777" w:rsidR="00BC5219" w:rsidRPr="00470BFB" w:rsidRDefault="00BC5219" w:rsidP="00E83802">
            <w:pPr>
              <w:jc w:val="center"/>
              <w:rPr>
                <w:rFonts w:ascii="Meta Pro" w:eastAsia="Times New Roman" w:hAnsi="Meta Pro"/>
                <w:color w:val="000000"/>
                <w:szCs w:val="18"/>
                <w:lang w:eastAsia="en-AU"/>
              </w:rPr>
            </w:pPr>
          </w:p>
        </w:tc>
      </w:tr>
      <w:tr w:rsidR="00BC5219" w:rsidRPr="00470BFB" w14:paraId="581D1E57" w14:textId="77777777" w:rsidTr="00E83802">
        <w:trPr>
          <w:trHeight w:val="198"/>
        </w:trPr>
        <w:tc>
          <w:tcPr>
            <w:tcW w:w="1496" w:type="dxa"/>
            <w:tcBorders>
              <w:top w:val="nil"/>
              <w:left w:val="nil"/>
              <w:bottom w:val="nil"/>
              <w:right w:val="nil"/>
            </w:tcBorders>
            <w:shd w:val="clear" w:color="auto" w:fill="auto"/>
            <w:noWrap/>
            <w:vAlign w:val="center"/>
            <w:hideMark/>
          </w:tcPr>
          <w:p w14:paraId="69638846" w14:textId="77777777" w:rsidR="00BC5219" w:rsidRPr="00470BFB" w:rsidRDefault="00BC5219" w:rsidP="00E83802">
            <w:pPr>
              <w:jc w:val="center"/>
              <w:rPr>
                <w:rFonts w:ascii="Meta Pro" w:eastAsia="Times New Roman" w:hAnsi="Meta Pro"/>
                <w:color w:val="000000"/>
                <w:szCs w:val="18"/>
                <w:lang w:eastAsia="en-AU"/>
              </w:rPr>
            </w:pPr>
          </w:p>
        </w:tc>
        <w:tc>
          <w:tcPr>
            <w:tcW w:w="1756" w:type="dxa"/>
            <w:vMerge/>
            <w:tcBorders>
              <w:top w:val="nil"/>
              <w:left w:val="nil"/>
              <w:bottom w:val="nil"/>
              <w:right w:val="nil"/>
            </w:tcBorders>
            <w:vAlign w:val="center"/>
            <w:hideMark/>
          </w:tcPr>
          <w:p w14:paraId="2A6FE0D7" w14:textId="77777777" w:rsidR="00BC5219" w:rsidRPr="00470BFB" w:rsidRDefault="00BC5219" w:rsidP="00E83802">
            <w:pPr>
              <w:rPr>
                <w:rFonts w:ascii="Meta Pro" w:eastAsia="Times New Roman" w:hAnsi="Meta Pro"/>
                <w:color w:val="000000"/>
                <w:szCs w:val="18"/>
                <w:lang w:eastAsia="en-AU"/>
              </w:rPr>
            </w:pPr>
          </w:p>
        </w:tc>
        <w:tc>
          <w:tcPr>
            <w:tcW w:w="496" w:type="dxa"/>
            <w:tcBorders>
              <w:top w:val="nil"/>
              <w:left w:val="nil"/>
              <w:bottom w:val="nil"/>
              <w:right w:val="nil"/>
            </w:tcBorders>
            <w:shd w:val="clear" w:color="auto" w:fill="auto"/>
            <w:noWrap/>
            <w:vAlign w:val="center"/>
            <w:hideMark/>
          </w:tcPr>
          <w:p w14:paraId="211151CD" w14:textId="77777777" w:rsidR="00BC5219" w:rsidRPr="00470BFB" w:rsidRDefault="00BC5219" w:rsidP="00E83802">
            <w:pPr>
              <w:jc w:val="right"/>
              <w:rPr>
                <w:rFonts w:ascii="Meta Pro" w:eastAsia="Times New Roman" w:hAnsi="Meta Pro"/>
                <w:color w:val="000000"/>
                <w:szCs w:val="18"/>
                <w:lang w:eastAsia="en-AU"/>
              </w:rPr>
            </w:pPr>
            <w:r w:rsidRPr="00470BFB">
              <w:rPr>
                <w:rFonts w:ascii="Meta Pro" w:eastAsia="Times New Roman" w:hAnsi="Meta Pro"/>
                <w:color w:val="000000"/>
                <w:szCs w:val="18"/>
                <w:lang w:eastAsia="en-AU"/>
              </w:rPr>
              <w:t>3</w:t>
            </w:r>
          </w:p>
        </w:tc>
        <w:tc>
          <w:tcPr>
            <w:tcW w:w="5936" w:type="dxa"/>
            <w:tcBorders>
              <w:top w:val="nil"/>
              <w:left w:val="nil"/>
              <w:bottom w:val="nil"/>
              <w:right w:val="nil"/>
            </w:tcBorders>
            <w:shd w:val="clear" w:color="auto" w:fill="auto"/>
            <w:noWrap/>
            <w:vAlign w:val="center"/>
            <w:hideMark/>
          </w:tcPr>
          <w:p w14:paraId="307BFA11" w14:textId="77777777" w:rsidR="00BC5219" w:rsidRPr="00470BFB" w:rsidRDefault="00BC5219" w:rsidP="00E83802">
            <w:pPr>
              <w:rPr>
                <w:rFonts w:ascii="Meta Pro" w:eastAsia="Times New Roman" w:hAnsi="Meta Pro"/>
                <w:color w:val="000000"/>
                <w:szCs w:val="18"/>
                <w:lang w:eastAsia="en-AU"/>
              </w:rPr>
            </w:pPr>
            <w:r w:rsidRPr="00470BFB">
              <w:rPr>
                <w:rFonts w:ascii="Meta Pro" w:eastAsia="Times New Roman" w:hAnsi="Meta Pro"/>
                <w:color w:val="000000"/>
                <w:szCs w:val="18"/>
                <w:lang w:eastAsia="en-AU"/>
              </w:rPr>
              <w:t>User charges and fees</w:t>
            </w:r>
          </w:p>
        </w:tc>
        <w:tc>
          <w:tcPr>
            <w:tcW w:w="1396" w:type="dxa"/>
            <w:tcBorders>
              <w:top w:val="nil"/>
              <w:left w:val="nil"/>
              <w:bottom w:val="nil"/>
              <w:right w:val="nil"/>
            </w:tcBorders>
            <w:shd w:val="clear" w:color="auto" w:fill="auto"/>
            <w:noWrap/>
            <w:vAlign w:val="center"/>
            <w:hideMark/>
          </w:tcPr>
          <w:p w14:paraId="1F353ACA" w14:textId="77777777" w:rsidR="00BC5219" w:rsidRPr="00470BFB" w:rsidRDefault="00BC5219" w:rsidP="00E83802">
            <w:pPr>
              <w:jc w:val="center"/>
              <w:rPr>
                <w:rFonts w:ascii="Meta Pro" w:eastAsia="Times New Roman" w:hAnsi="Meta Pro"/>
                <w:color w:val="000000"/>
                <w:szCs w:val="18"/>
                <w:lang w:eastAsia="en-AU"/>
              </w:rPr>
            </w:pPr>
          </w:p>
        </w:tc>
      </w:tr>
      <w:tr w:rsidR="00BC5219" w:rsidRPr="00470BFB" w14:paraId="58275017" w14:textId="77777777" w:rsidTr="00E83802">
        <w:trPr>
          <w:trHeight w:val="198"/>
        </w:trPr>
        <w:tc>
          <w:tcPr>
            <w:tcW w:w="1496" w:type="dxa"/>
            <w:tcBorders>
              <w:top w:val="nil"/>
              <w:left w:val="nil"/>
              <w:bottom w:val="nil"/>
              <w:right w:val="nil"/>
            </w:tcBorders>
            <w:shd w:val="clear" w:color="auto" w:fill="auto"/>
            <w:noWrap/>
            <w:vAlign w:val="center"/>
            <w:hideMark/>
          </w:tcPr>
          <w:p w14:paraId="7021C9F7" w14:textId="77777777" w:rsidR="00BC5219" w:rsidRPr="00470BFB" w:rsidRDefault="00BC5219" w:rsidP="00E83802">
            <w:pPr>
              <w:jc w:val="center"/>
              <w:rPr>
                <w:rFonts w:ascii="Meta Pro" w:eastAsia="Times New Roman" w:hAnsi="Meta Pro"/>
                <w:color w:val="000000"/>
                <w:szCs w:val="18"/>
                <w:lang w:eastAsia="en-AU"/>
              </w:rPr>
            </w:pPr>
          </w:p>
        </w:tc>
        <w:tc>
          <w:tcPr>
            <w:tcW w:w="1756" w:type="dxa"/>
            <w:vMerge/>
            <w:tcBorders>
              <w:top w:val="nil"/>
              <w:left w:val="nil"/>
              <w:bottom w:val="nil"/>
              <w:right w:val="nil"/>
            </w:tcBorders>
            <w:vAlign w:val="center"/>
            <w:hideMark/>
          </w:tcPr>
          <w:p w14:paraId="5B4E0B2E" w14:textId="77777777" w:rsidR="00BC5219" w:rsidRPr="00470BFB" w:rsidRDefault="00BC5219" w:rsidP="00E83802">
            <w:pPr>
              <w:rPr>
                <w:rFonts w:ascii="Meta Pro" w:eastAsia="Times New Roman" w:hAnsi="Meta Pro"/>
                <w:color w:val="000000"/>
                <w:szCs w:val="18"/>
                <w:lang w:eastAsia="en-AU"/>
              </w:rPr>
            </w:pPr>
          </w:p>
        </w:tc>
        <w:tc>
          <w:tcPr>
            <w:tcW w:w="496" w:type="dxa"/>
            <w:tcBorders>
              <w:top w:val="nil"/>
              <w:left w:val="nil"/>
              <w:bottom w:val="nil"/>
              <w:right w:val="nil"/>
            </w:tcBorders>
            <w:shd w:val="clear" w:color="auto" w:fill="auto"/>
            <w:noWrap/>
            <w:vAlign w:val="center"/>
            <w:hideMark/>
          </w:tcPr>
          <w:p w14:paraId="5C0FC6B1" w14:textId="77777777" w:rsidR="00BC5219" w:rsidRPr="00470BFB" w:rsidRDefault="00BC5219" w:rsidP="00E83802">
            <w:pPr>
              <w:jc w:val="right"/>
              <w:rPr>
                <w:rFonts w:ascii="Meta Pro" w:eastAsia="Times New Roman" w:hAnsi="Meta Pro"/>
                <w:color w:val="000000"/>
                <w:szCs w:val="18"/>
                <w:lang w:eastAsia="en-AU"/>
              </w:rPr>
            </w:pPr>
            <w:r w:rsidRPr="00470BFB">
              <w:rPr>
                <w:rFonts w:ascii="Meta Pro" w:eastAsia="Times New Roman" w:hAnsi="Meta Pro"/>
                <w:color w:val="000000"/>
                <w:szCs w:val="18"/>
                <w:lang w:eastAsia="en-AU"/>
              </w:rPr>
              <w:t>4</w:t>
            </w:r>
          </w:p>
        </w:tc>
        <w:tc>
          <w:tcPr>
            <w:tcW w:w="5936" w:type="dxa"/>
            <w:tcBorders>
              <w:top w:val="nil"/>
              <w:left w:val="nil"/>
              <w:bottom w:val="nil"/>
              <w:right w:val="nil"/>
            </w:tcBorders>
            <w:shd w:val="clear" w:color="auto" w:fill="auto"/>
            <w:noWrap/>
            <w:vAlign w:val="center"/>
            <w:hideMark/>
          </w:tcPr>
          <w:p w14:paraId="64464C1D" w14:textId="77777777" w:rsidR="00BC5219" w:rsidRPr="00470BFB" w:rsidRDefault="00BC5219" w:rsidP="00E83802">
            <w:pPr>
              <w:rPr>
                <w:rFonts w:ascii="Meta Pro" w:eastAsia="Times New Roman" w:hAnsi="Meta Pro"/>
                <w:color w:val="000000"/>
                <w:szCs w:val="18"/>
                <w:lang w:eastAsia="en-AU"/>
              </w:rPr>
            </w:pPr>
            <w:r w:rsidRPr="00470BFB">
              <w:rPr>
                <w:rFonts w:ascii="Meta Pro" w:eastAsia="Times New Roman" w:hAnsi="Meta Pro"/>
                <w:color w:val="000000"/>
                <w:szCs w:val="18"/>
                <w:lang w:eastAsia="en-AU"/>
              </w:rPr>
              <w:t>Grants and other contributions</w:t>
            </w:r>
          </w:p>
        </w:tc>
        <w:tc>
          <w:tcPr>
            <w:tcW w:w="1396" w:type="dxa"/>
            <w:tcBorders>
              <w:top w:val="nil"/>
              <w:left w:val="nil"/>
              <w:bottom w:val="nil"/>
              <w:right w:val="nil"/>
            </w:tcBorders>
            <w:shd w:val="clear" w:color="auto" w:fill="auto"/>
            <w:noWrap/>
            <w:vAlign w:val="center"/>
            <w:hideMark/>
          </w:tcPr>
          <w:p w14:paraId="77E2F03D" w14:textId="77777777" w:rsidR="00BC5219" w:rsidRPr="00470BFB" w:rsidRDefault="00BC5219" w:rsidP="00E83802">
            <w:pPr>
              <w:jc w:val="center"/>
              <w:rPr>
                <w:rFonts w:ascii="Meta Pro" w:eastAsia="Times New Roman" w:hAnsi="Meta Pro"/>
                <w:color w:val="000000"/>
                <w:szCs w:val="18"/>
                <w:lang w:eastAsia="en-AU"/>
              </w:rPr>
            </w:pPr>
          </w:p>
        </w:tc>
      </w:tr>
      <w:tr w:rsidR="00BC5219" w:rsidRPr="00470BFB" w14:paraId="1AF8F7F5" w14:textId="77777777" w:rsidTr="00E83802">
        <w:trPr>
          <w:trHeight w:val="198"/>
        </w:trPr>
        <w:tc>
          <w:tcPr>
            <w:tcW w:w="1496" w:type="dxa"/>
            <w:tcBorders>
              <w:top w:val="nil"/>
              <w:left w:val="nil"/>
              <w:bottom w:val="nil"/>
              <w:right w:val="nil"/>
            </w:tcBorders>
            <w:shd w:val="clear" w:color="auto" w:fill="auto"/>
            <w:noWrap/>
            <w:vAlign w:val="center"/>
            <w:hideMark/>
          </w:tcPr>
          <w:p w14:paraId="77386CFA" w14:textId="77777777" w:rsidR="00BC5219" w:rsidRPr="00470BFB" w:rsidRDefault="00BC5219" w:rsidP="00E83802">
            <w:pPr>
              <w:jc w:val="center"/>
              <w:rPr>
                <w:rFonts w:ascii="Meta Pro" w:eastAsia="Times New Roman" w:hAnsi="Meta Pro"/>
                <w:color w:val="000000"/>
                <w:szCs w:val="18"/>
                <w:lang w:eastAsia="en-AU"/>
              </w:rPr>
            </w:pPr>
          </w:p>
        </w:tc>
        <w:tc>
          <w:tcPr>
            <w:tcW w:w="1756" w:type="dxa"/>
            <w:tcBorders>
              <w:top w:val="nil"/>
              <w:left w:val="nil"/>
              <w:bottom w:val="nil"/>
              <w:right w:val="nil"/>
            </w:tcBorders>
            <w:shd w:val="clear" w:color="auto" w:fill="auto"/>
            <w:vAlign w:val="center"/>
            <w:hideMark/>
          </w:tcPr>
          <w:p w14:paraId="4AB99EDE" w14:textId="77777777" w:rsidR="00BC5219" w:rsidRPr="00470BFB" w:rsidRDefault="00BC5219" w:rsidP="00E83802">
            <w:pPr>
              <w:rPr>
                <w:rFonts w:ascii="Meta Pro" w:eastAsia="Times New Roman" w:hAnsi="Meta Pro" w:cs="Times New Roman"/>
                <w:sz w:val="20"/>
                <w:szCs w:val="20"/>
                <w:lang w:eastAsia="en-AU"/>
              </w:rPr>
            </w:pPr>
          </w:p>
        </w:tc>
        <w:tc>
          <w:tcPr>
            <w:tcW w:w="6432" w:type="dxa"/>
            <w:gridSpan w:val="2"/>
            <w:tcBorders>
              <w:top w:val="nil"/>
              <w:left w:val="nil"/>
              <w:bottom w:val="nil"/>
              <w:right w:val="nil"/>
            </w:tcBorders>
            <w:shd w:val="clear" w:color="auto" w:fill="auto"/>
            <w:noWrap/>
            <w:hideMark/>
          </w:tcPr>
          <w:p w14:paraId="4E1081CA" w14:textId="77777777" w:rsidR="00BC5219" w:rsidRPr="00470BFB" w:rsidRDefault="00BC5219" w:rsidP="00E83802">
            <w:pPr>
              <w:rPr>
                <w:rFonts w:ascii="Meta Pro" w:eastAsia="Times New Roman" w:hAnsi="Meta Pro"/>
                <w:szCs w:val="18"/>
                <w:lang w:eastAsia="en-AU"/>
              </w:rPr>
            </w:pPr>
            <w:r w:rsidRPr="00470BFB">
              <w:rPr>
                <w:rFonts w:ascii="Meta Pro" w:eastAsia="Times New Roman" w:hAnsi="Meta Pro"/>
                <w:szCs w:val="18"/>
                <w:lang w:eastAsia="en-AU"/>
              </w:rPr>
              <w:t>Expenses</w:t>
            </w:r>
          </w:p>
        </w:tc>
        <w:tc>
          <w:tcPr>
            <w:tcW w:w="1396" w:type="dxa"/>
            <w:tcBorders>
              <w:top w:val="nil"/>
              <w:left w:val="nil"/>
              <w:bottom w:val="nil"/>
              <w:right w:val="nil"/>
            </w:tcBorders>
            <w:shd w:val="clear" w:color="auto" w:fill="auto"/>
            <w:noWrap/>
            <w:vAlign w:val="center"/>
            <w:hideMark/>
          </w:tcPr>
          <w:p w14:paraId="6A5005BC" w14:textId="77777777" w:rsidR="00BC5219" w:rsidRPr="00470BFB" w:rsidRDefault="00BC5219" w:rsidP="00E83802">
            <w:pPr>
              <w:rPr>
                <w:rFonts w:ascii="Meta Pro" w:eastAsia="Times New Roman" w:hAnsi="Meta Pro"/>
                <w:szCs w:val="18"/>
                <w:lang w:eastAsia="en-AU"/>
              </w:rPr>
            </w:pPr>
          </w:p>
        </w:tc>
      </w:tr>
      <w:tr w:rsidR="00BC5219" w:rsidRPr="00470BFB" w14:paraId="3B9C3E51" w14:textId="77777777" w:rsidTr="00E83802">
        <w:trPr>
          <w:trHeight w:val="198"/>
        </w:trPr>
        <w:tc>
          <w:tcPr>
            <w:tcW w:w="1496" w:type="dxa"/>
            <w:tcBorders>
              <w:top w:val="nil"/>
              <w:left w:val="nil"/>
              <w:bottom w:val="nil"/>
              <w:right w:val="nil"/>
            </w:tcBorders>
            <w:shd w:val="clear" w:color="auto" w:fill="auto"/>
            <w:noWrap/>
            <w:vAlign w:val="center"/>
            <w:hideMark/>
          </w:tcPr>
          <w:p w14:paraId="5C4D32BE" w14:textId="77777777" w:rsidR="00BC5219" w:rsidRPr="00470BFB" w:rsidRDefault="00BC5219" w:rsidP="00E83802">
            <w:pPr>
              <w:jc w:val="center"/>
              <w:rPr>
                <w:rFonts w:ascii="Meta Pro" w:eastAsia="Times New Roman" w:hAnsi="Meta Pro" w:cs="Times New Roman"/>
                <w:sz w:val="20"/>
                <w:szCs w:val="20"/>
                <w:lang w:eastAsia="en-AU"/>
              </w:rPr>
            </w:pPr>
          </w:p>
        </w:tc>
        <w:tc>
          <w:tcPr>
            <w:tcW w:w="1756" w:type="dxa"/>
            <w:tcBorders>
              <w:top w:val="nil"/>
              <w:left w:val="nil"/>
              <w:bottom w:val="nil"/>
              <w:right w:val="nil"/>
            </w:tcBorders>
            <w:shd w:val="clear" w:color="auto" w:fill="auto"/>
            <w:noWrap/>
            <w:vAlign w:val="center"/>
            <w:hideMark/>
          </w:tcPr>
          <w:p w14:paraId="18A07A78" w14:textId="77777777" w:rsidR="00BC5219" w:rsidRPr="00470BFB" w:rsidRDefault="00BC5219" w:rsidP="00E83802">
            <w:pPr>
              <w:rPr>
                <w:rFonts w:ascii="Meta Pro" w:eastAsia="Times New Roman" w:hAnsi="Meta Pro" w:cs="Times New Roman"/>
                <w:sz w:val="20"/>
                <w:szCs w:val="20"/>
                <w:lang w:eastAsia="en-AU"/>
              </w:rPr>
            </w:pPr>
          </w:p>
        </w:tc>
        <w:tc>
          <w:tcPr>
            <w:tcW w:w="496" w:type="dxa"/>
            <w:tcBorders>
              <w:top w:val="nil"/>
              <w:left w:val="nil"/>
              <w:bottom w:val="nil"/>
              <w:right w:val="nil"/>
            </w:tcBorders>
            <w:shd w:val="clear" w:color="auto" w:fill="auto"/>
            <w:noWrap/>
            <w:vAlign w:val="center"/>
            <w:hideMark/>
          </w:tcPr>
          <w:p w14:paraId="5F870018" w14:textId="77777777" w:rsidR="00BC5219" w:rsidRPr="00470BFB" w:rsidRDefault="00BC5219" w:rsidP="00E83802">
            <w:pPr>
              <w:jc w:val="right"/>
              <w:rPr>
                <w:rFonts w:ascii="Meta Pro" w:eastAsia="Times New Roman" w:hAnsi="Meta Pro"/>
                <w:color w:val="000000"/>
                <w:szCs w:val="18"/>
                <w:lang w:eastAsia="en-AU"/>
              </w:rPr>
            </w:pPr>
            <w:r w:rsidRPr="00470BFB">
              <w:rPr>
                <w:rFonts w:ascii="Meta Pro" w:eastAsia="Times New Roman" w:hAnsi="Meta Pro"/>
                <w:color w:val="000000"/>
                <w:szCs w:val="18"/>
                <w:lang w:eastAsia="en-AU"/>
              </w:rPr>
              <w:t>5</w:t>
            </w:r>
          </w:p>
        </w:tc>
        <w:tc>
          <w:tcPr>
            <w:tcW w:w="5936" w:type="dxa"/>
            <w:tcBorders>
              <w:top w:val="nil"/>
              <w:left w:val="nil"/>
              <w:bottom w:val="nil"/>
              <w:right w:val="nil"/>
            </w:tcBorders>
            <w:shd w:val="clear" w:color="auto" w:fill="auto"/>
            <w:noWrap/>
            <w:vAlign w:val="center"/>
            <w:hideMark/>
          </w:tcPr>
          <w:p w14:paraId="591B82E4" w14:textId="77777777" w:rsidR="00BC5219" w:rsidRPr="00470BFB" w:rsidRDefault="00BC5219" w:rsidP="00E83802">
            <w:pPr>
              <w:rPr>
                <w:rFonts w:ascii="Meta Pro" w:eastAsia="Times New Roman" w:hAnsi="Meta Pro"/>
                <w:color w:val="000000"/>
                <w:szCs w:val="18"/>
                <w:lang w:eastAsia="en-AU"/>
              </w:rPr>
            </w:pPr>
            <w:r w:rsidRPr="00470BFB">
              <w:rPr>
                <w:rFonts w:ascii="Meta Pro" w:eastAsia="Times New Roman" w:hAnsi="Meta Pro"/>
                <w:color w:val="000000"/>
                <w:szCs w:val="18"/>
                <w:lang w:eastAsia="en-AU"/>
              </w:rPr>
              <w:t>Employee expenses</w:t>
            </w:r>
          </w:p>
        </w:tc>
        <w:tc>
          <w:tcPr>
            <w:tcW w:w="1396" w:type="dxa"/>
            <w:tcBorders>
              <w:top w:val="nil"/>
              <w:left w:val="nil"/>
              <w:bottom w:val="nil"/>
              <w:right w:val="nil"/>
            </w:tcBorders>
            <w:shd w:val="clear" w:color="auto" w:fill="auto"/>
            <w:noWrap/>
            <w:vAlign w:val="center"/>
            <w:hideMark/>
          </w:tcPr>
          <w:p w14:paraId="0F794D6E" w14:textId="77777777" w:rsidR="00BC5219" w:rsidRPr="00470BFB" w:rsidRDefault="00BC5219" w:rsidP="00E83802">
            <w:pPr>
              <w:jc w:val="center"/>
              <w:rPr>
                <w:rFonts w:ascii="Meta Pro" w:eastAsia="Times New Roman" w:hAnsi="Meta Pro"/>
                <w:color w:val="000000"/>
                <w:szCs w:val="18"/>
                <w:lang w:eastAsia="en-AU"/>
              </w:rPr>
            </w:pPr>
          </w:p>
        </w:tc>
      </w:tr>
      <w:tr w:rsidR="00BC5219" w:rsidRPr="00470BFB" w14:paraId="08157891" w14:textId="77777777" w:rsidTr="00E83802">
        <w:trPr>
          <w:trHeight w:val="198"/>
        </w:trPr>
        <w:tc>
          <w:tcPr>
            <w:tcW w:w="1496" w:type="dxa"/>
            <w:tcBorders>
              <w:top w:val="nil"/>
              <w:left w:val="nil"/>
              <w:bottom w:val="nil"/>
              <w:right w:val="nil"/>
            </w:tcBorders>
            <w:shd w:val="clear" w:color="auto" w:fill="auto"/>
            <w:noWrap/>
            <w:vAlign w:val="center"/>
            <w:hideMark/>
          </w:tcPr>
          <w:p w14:paraId="740F7C98" w14:textId="77777777" w:rsidR="00BC5219" w:rsidRPr="00470BFB" w:rsidRDefault="00BC5219" w:rsidP="00E83802">
            <w:pPr>
              <w:jc w:val="center"/>
              <w:rPr>
                <w:rFonts w:ascii="Meta Pro" w:eastAsia="Times New Roman" w:hAnsi="Meta Pro"/>
                <w:color w:val="000000"/>
                <w:szCs w:val="18"/>
                <w:lang w:eastAsia="en-AU"/>
              </w:rPr>
            </w:pPr>
          </w:p>
        </w:tc>
        <w:tc>
          <w:tcPr>
            <w:tcW w:w="1756" w:type="dxa"/>
            <w:tcBorders>
              <w:top w:val="nil"/>
              <w:left w:val="nil"/>
              <w:bottom w:val="nil"/>
              <w:right w:val="nil"/>
            </w:tcBorders>
            <w:shd w:val="clear" w:color="auto" w:fill="auto"/>
            <w:noWrap/>
            <w:vAlign w:val="center"/>
            <w:hideMark/>
          </w:tcPr>
          <w:p w14:paraId="112BC4E3" w14:textId="77777777" w:rsidR="00BC5219" w:rsidRPr="00470BFB" w:rsidRDefault="00BC5219" w:rsidP="00E83802">
            <w:pPr>
              <w:rPr>
                <w:rFonts w:ascii="Meta Pro" w:eastAsia="Times New Roman" w:hAnsi="Meta Pro" w:cs="Times New Roman"/>
                <w:sz w:val="20"/>
                <w:szCs w:val="20"/>
                <w:lang w:eastAsia="en-AU"/>
              </w:rPr>
            </w:pPr>
          </w:p>
        </w:tc>
        <w:tc>
          <w:tcPr>
            <w:tcW w:w="496" w:type="dxa"/>
            <w:tcBorders>
              <w:top w:val="nil"/>
              <w:left w:val="nil"/>
              <w:bottom w:val="nil"/>
              <w:right w:val="nil"/>
            </w:tcBorders>
            <w:shd w:val="clear" w:color="auto" w:fill="auto"/>
            <w:noWrap/>
            <w:vAlign w:val="center"/>
            <w:hideMark/>
          </w:tcPr>
          <w:p w14:paraId="572D0112" w14:textId="77777777" w:rsidR="00BC5219" w:rsidRPr="00470BFB" w:rsidRDefault="00BC5219" w:rsidP="00E83802">
            <w:pPr>
              <w:jc w:val="right"/>
              <w:rPr>
                <w:rFonts w:ascii="Meta Pro" w:eastAsia="Times New Roman" w:hAnsi="Meta Pro"/>
                <w:color w:val="000000"/>
                <w:szCs w:val="18"/>
                <w:lang w:eastAsia="en-AU"/>
              </w:rPr>
            </w:pPr>
            <w:r w:rsidRPr="00470BFB">
              <w:rPr>
                <w:rFonts w:ascii="Meta Pro" w:eastAsia="Times New Roman" w:hAnsi="Meta Pro"/>
                <w:color w:val="000000"/>
                <w:szCs w:val="18"/>
                <w:lang w:eastAsia="en-AU"/>
              </w:rPr>
              <w:t>6</w:t>
            </w:r>
          </w:p>
        </w:tc>
        <w:tc>
          <w:tcPr>
            <w:tcW w:w="5936" w:type="dxa"/>
            <w:tcBorders>
              <w:top w:val="nil"/>
              <w:left w:val="nil"/>
              <w:bottom w:val="nil"/>
              <w:right w:val="nil"/>
            </w:tcBorders>
            <w:shd w:val="clear" w:color="auto" w:fill="auto"/>
            <w:noWrap/>
            <w:vAlign w:val="center"/>
            <w:hideMark/>
          </w:tcPr>
          <w:p w14:paraId="748EE9C0" w14:textId="77777777" w:rsidR="00BC5219" w:rsidRPr="00470BFB" w:rsidRDefault="00BC5219" w:rsidP="00E83802">
            <w:pPr>
              <w:rPr>
                <w:rFonts w:ascii="Meta Pro" w:eastAsia="Times New Roman" w:hAnsi="Meta Pro"/>
                <w:color w:val="000000"/>
                <w:szCs w:val="18"/>
                <w:lang w:eastAsia="en-AU"/>
              </w:rPr>
            </w:pPr>
            <w:r w:rsidRPr="00470BFB">
              <w:rPr>
                <w:rFonts w:ascii="Meta Pro" w:eastAsia="Times New Roman" w:hAnsi="Meta Pro"/>
                <w:color w:val="000000"/>
                <w:szCs w:val="18"/>
                <w:lang w:eastAsia="en-AU"/>
              </w:rPr>
              <w:t>Key management personnel and remuneration expenses</w:t>
            </w:r>
          </w:p>
        </w:tc>
        <w:tc>
          <w:tcPr>
            <w:tcW w:w="1396" w:type="dxa"/>
            <w:tcBorders>
              <w:top w:val="nil"/>
              <w:left w:val="nil"/>
              <w:bottom w:val="nil"/>
              <w:right w:val="nil"/>
            </w:tcBorders>
            <w:shd w:val="clear" w:color="auto" w:fill="auto"/>
            <w:noWrap/>
            <w:vAlign w:val="center"/>
            <w:hideMark/>
          </w:tcPr>
          <w:p w14:paraId="29AA5F44" w14:textId="77777777" w:rsidR="00BC5219" w:rsidRPr="00470BFB" w:rsidRDefault="00BC5219" w:rsidP="00E83802">
            <w:pPr>
              <w:jc w:val="center"/>
              <w:rPr>
                <w:rFonts w:ascii="Meta Pro" w:eastAsia="Times New Roman" w:hAnsi="Meta Pro"/>
                <w:color w:val="000000"/>
                <w:szCs w:val="18"/>
                <w:lang w:eastAsia="en-AU"/>
              </w:rPr>
            </w:pPr>
          </w:p>
        </w:tc>
      </w:tr>
      <w:tr w:rsidR="00BC5219" w:rsidRPr="00470BFB" w14:paraId="27739F93" w14:textId="77777777" w:rsidTr="00E83802">
        <w:trPr>
          <w:trHeight w:val="198"/>
        </w:trPr>
        <w:tc>
          <w:tcPr>
            <w:tcW w:w="1496" w:type="dxa"/>
            <w:tcBorders>
              <w:top w:val="nil"/>
              <w:left w:val="nil"/>
              <w:bottom w:val="nil"/>
              <w:right w:val="nil"/>
            </w:tcBorders>
            <w:shd w:val="clear" w:color="auto" w:fill="auto"/>
            <w:noWrap/>
            <w:vAlign w:val="center"/>
            <w:hideMark/>
          </w:tcPr>
          <w:p w14:paraId="3ABF0361" w14:textId="77777777" w:rsidR="00BC5219" w:rsidRPr="00470BFB" w:rsidRDefault="00BC5219" w:rsidP="00E83802">
            <w:pPr>
              <w:jc w:val="center"/>
              <w:rPr>
                <w:rFonts w:ascii="Meta Pro" w:eastAsia="Times New Roman" w:hAnsi="Meta Pro"/>
                <w:color w:val="000000"/>
                <w:szCs w:val="18"/>
                <w:lang w:eastAsia="en-AU"/>
              </w:rPr>
            </w:pPr>
          </w:p>
        </w:tc>
        <w:tc>
          <w:tcPr>
            <w:tcW w:w="1756" w:type="dxa"/>
            <w:tcBorders>
              <w:top w:val="nil"/>
              <w:left w:val="nil"/>
              <w:bottom w:val="nil"/>
              <w:right w:val="nil"/>
            </w:tcBorders>
            <w:shd w:val="clear" w:color="auto" w:fill="auto"/>
            <w:noWrap/>
            <w:vAlign w:val="center"/>
            <w:hideMark/>
          </w:tcPr>
          <w:p w14:paraId="4CF17CA0" w14:textId="77777777" w:rsidR="00BC5219" w:rsidRPr="00470BFB" w:rsidRDefault="00BC5219" w:rsidP="00E83802">
            <w:pPr>
              <w:rPr>
                <w:rFonts w:ascii="Meta Pro" w:eastAsia="Times New Roman" w:hAnsi="Meta Pro" w:cs="Times New Roman"/>
                <w:sz w:val="20"/>
                <w:szCs w:val="20"/>
                <w:lang w:eastAsia="en-AU"/>
              </w:rPr>
            </w:pPr>
          </w:p>
        </w:tc>
        <w:tc>
          <w:tcPr>
            <w:tcW w:w="496" w:type="dxa"/>
            <w:tcBorders>
              <w:top w:val="nil"/>
              <w:left w:val="nil"/>
              <w:bottom w:val="nil"/>
              <w:right w:val="nil"/>
            </w:tcBorders>
            <w:shd w:val="clear" w:color="auto" w:fill="auto"/>
            <w:noWrap/>
            <w:vAlign w:val="center"/>
            <w:hideMark/>
          </w:tcPr>
          <w:p w14:paraId="6746DE8A" w14:textId="77777777" w:rsidR="00BC5219" w:rsidRPr="00470BFB" w:rsidRDefault="00BC5219" w:rsidP="00E83802">
            <w:pPr>
              <w:jc w:val="right"/>
              <w:rPr>
                <w:rFonts w:ascii="Meta Pro" w:eastAsia="Times New Roman" w:hAnsi="Meta Pro"/>
                <w:color w:val="000000"/>
                <w:szCs w:val="18"/>
                <w:lang w:eastAsia="en-AU"/>
              </w:rPr>
            </w:pPr>
            <w:r w:rsidRPr="00470BFB">
              <w:rPr>
                <w:rFonts w:ascii="Meta Pro" w:eastAsia="Times New Roman" w:hAnsi="Meta Pro"/>
                <w:color w:val="000000"/>
                <w:szCs w:val="18"/>
                <w:lang w:eastAsia="en-AU"/>
              </w:rPr>
              <w:t>7</w:t>
            </w:r>
          </w:p>
        </w:tc>
        <w:tc>
          <w:tcPr>
            <w:tcW w:w="5936" w:type="dxa"/>
            <w:tcBorders>
              <w:top w:val="nil"/>
              <w:left w:val="nil"/>
              <w:bottom w:val="nil"/>
              <w:right w:val="nil"/>
            </w:tcBorders>
            <w:shd w:val="clear" w:color="auto" w:fill="auto"/>
            <w:noWrap/>
            <w:vAlign w:val="center"/>
            <w:hideMark/>
          </w:tcPr>
          <w:p w14:paraId="24D43ADD" w14:textId="77777777" w:rsidR="00BC5219" w:rsidRPr="00470BFB" w:rsidRDefault="00BC5219" w:rsidP="00E83802">
            <w:pPr>
              <w:rPr>
                <w:rFonts w:ascii="Meta Pro" w:eastAsia="Times New Roman" w:hAnsi="Meta Pro"/>
                <w:color w:val="000000"/>
                <w:szCs w:val="18"/>
                <w:lang w:eastAsia="en-AU"/>
              </w:rPr>
            </w:pPr>
            <w:r w:rsidRPr="00470BFB">
              <w:rPr>
                <w:rFonts w:ascii="Meta Pro" w:eastAsia="Times New Roman" w:hAnsi="Meta Pro"/>
                <w:color w:val="000000"/>
                <w:szCs w:val="18"/>
                <w:lang w:eastAsia="en-AU"/>
              </w:rPr>
              <w:t>Supplies and services</w:t>
            </w:r>
          </w:p>
        </w:tc>
        <w:tc>
          <w:tcPr>
            <w:tcW w:w="1396" w:type="dxa"/>
            <w:tcBorders>
              <w:top w:val="nil"/>
              <w:left w:val="nil"/>
              <w:bottom w:val="nil"/>
              <w:right w:val="nil"/>
            </w:tcBorders>
            <w:shd w:val="clear" w:color="auto" w:fill="auto"/>
            <w:noWrap/>
            <w:vAlign w:val="center"/>
            <w:hideMark/>
          </w:tcPr>
          <w:p w14:paraId="7CE2E4E2" w14:textId="77777777" w:rsidR="00BC5219" w:rsidRPr="00470BFB" w:rsidRDefault="00BC5219" w:rsidP="00E83802">
            <w:pPr>
              <w:jc w:val="center"/>
              <w:rPr>
                <w:rFonts w:ascii="Meta Pro" w:eastAsia="Times New Roman" w:hAnsi="Meta Pro"/>
                <w:color w:val="000000"/>
                <w:szCs w:val="18"/>
                <w:lang w:eastAsia="en-AU"/>
              </w:rPr>
            </w:pPr>
          </w:p>
        </w:tc>
      </w:tr>
      <w:tr w:rsidR="00BC5219" w:rsidRPr="00470BFB" w14:paraId="67A76E27" w14:textId="77777777" w:rsidTr="00E83802">
        <w:trPr>
          <w:trHeight w:val="198"/>
        </w:trPr>
        <w:tc>
          <w:tcPr>
            <w:tcW w:w="1496" w:type="dxa"/>
            <w:tcBorders>
              <w:top w:val="nil"/>
              <w:left w:val="nil"/>
              <w:bottom w:val="nil"/>
              <w:right w:val="nil"/>
            </w:tcBorders>
            <w:shd w:val="clear" w:color="auto" w:fill="auto"/>
            <w:noWrap/>
            <w:vAlign w:val="center"/>
            <w:hideMark/>
          </w:tcPr>
          <w:p w14:paraId="19BD8C6B" w14:textId="77777777" w:rsidR="00BC5219" w:rsidRPr="00470BFB" w:rsidRDefault="00BC5219" w:rsidP="00E83802">
            <w:pPr>
              <w:jc w:val="center"/>
              <w:rPr>
                <w:rFonts w:ascii="Meta Pro" w:eastAsia="Times New Roman" w:hAnsi="Meta Pro"/>
                <w:color w:val="000000"/>
                <w:szCs w:val="18"/>
                <w:lang w:eastAsia="en-AU"/>
              </w:rPr>
            </w:pPr>
          </w:p>
        </w:tc>
        <w:tc>
          <w:tcPr>
            <w:tcW w:w="1756" w:type="dxa"/>
            <w:tcBorders>
              <w:top w:val="nil"/>
              <w:left w:val="nil"/>
              <w:bottom w:val="nil"/>
              <w:right w:val="nil"/>
            </w:tcBorders>
            <w:shd w:val="clear" w:color="auto" w:fill="auto"/>
            <w:noWrap/>
            <w:vAlign w:val="center"/>
            <w:hideMark/>
          </w:tcPr>
          <w:p w14:paraId="17C09953" w14:textId="77777777" w:rsidR="00BC5219" w:rsidRPr="00470BFB" w:rsidRDefault="00BC5219" w:rsidP="00E83802">
            <w:pPr>
              <w:rPr>
                <w:rFonts w:ascii="Meta Pro" w:eastAsia="Times New Roman" w:hAnsi="Meta Pro" w:cs="Times New Roman"/>
                <w:sz w:val="20"/>
                <w:szCs w:val="20"/>
                <w:lang w:eastAsia="en-AU"/>
              </w:rPr>
            </w:pPr>
          </w:p>
        </w:tc>
        <w:tc>
          <w:tcPr>
            <w:tcW w:w="496" w:type="dxa"/>
            <w:tcBorders>
              <w:top w:val="nil"/>
              <w:left w:val="nil"/>
              <w:bottom w:val="nil"/>
              <w:right w:val="nil"/>
            </w:tcBorders>
            <w:shd w:val="clear" w:color="auto" w:fill="auto"/>
            <w:noWrap/>
            <w:vAlign w:val="center"/>
            <w:hideMark/>
          </w:tcPr>
          <w:p w14:paraId="52C6BE52" w14:textId="77777777" w:rsidR="00BC5219" w:rsidRPr="00470BFB" w:rsidRDefault="00BC5219" w:rsidP="00E83802">
            <w:pPr>
              <w:jc w:val="right"/>
              <w:rPr>
                <w:rFonts w:ascii="Meta Pro" w:eastAsia="Times New Roman" w:hAnsi="Meta Pro"/>
                <w:color w:val="000000"/>
                <w:szCs w:val="18"/>
                <w:lang w:eastAsia="en-AU"/>
              </w:rPr>
            </w:pPr>
            <w:r w:rsidRPr="00470BFB">
              <w:rPr>
                <w:rFonts w:ascii="Meta Pro" w:eastAsia="Times New Roman" w:hAnsi="Meta Pro"/>
                <w:color w:val="000000"/>
                <w:szCs w:val="18"/>
                <w:lang w:eastAsia="en-AU"/>
              </w:rPr>
              <w:t>8</w:t>
            </w:r>
          </w:p>
        </w:tc>
        <w:tc>
          <w:tcPr>
            <w:tcW w:w="5936" w:type="dxa"/>
            <w:tcBorders>
              <w:top w:val="nil"/>
              <w:left w:val="nil"/>
              <w:bottom w:val="nil"/>
              <w:right w:val="nil"/>
            </w:tcBorders>
            <w:shd w:val="clear" w:color="auto" w:fill="auto"/>
            <w:noWrap/>
            <w:vAlign w:val="center"/>
            <w:hideMark/>
          </w:tcPr>
          <w:p w14:paraId="2D804055" w14:textId="77777777" w:rsidR="00BC5219" w:rsidRPr="00470BFB" w:rsidRDefault="00BC5219" w:rsidP="00E83802">
            <w:pPr>
              <w:rPr>
                <w:rFonts w:ascii="Meta Pro" w:eastAsia="Times New Roman" w:hAnsi="Meta Pro"/>
                <w:color w:val="000000"/>
                <w:szCs w:val="18"/>
                <w:lang w:eastAsia="en-AU"/>
              </w:rPr>
            </w:pPr>
            <w:r w:rsidRPr="00470BFB">
              <w:rPr>
                <w:rFonts w:ascii="Meta Pro" w:eastAsia="Times New Roman" w:hAnsi="Meta Pro"/>
                <w:color w:val="000000"/>
                <w:szCs w:val="18"/>
                <w:lang w:eastAsia="en-AU"/>
              </w:rPr>
              <w:t>Grants and subsidies</w:t>
            </w:r>
          </w:p>
        </w:tc>
        <w:tc>
          <w:tcPr>
            <w:tcW w:w="1396" w:type="dxa"/>
            <w:tcBorders>
              <w:top w:val="nil"/>
              <w:left w:val="nil"/>
              <w:bottom w:val="nil"/>
              <w:right w:val="nil"/>
            </w:tcBorders>
            <w:shd w:val="clear" w:color="auto" w:fill="auto"/>
            <w:noWrap/>
            <w:vAlign w:val="center"/>
            <w:hideMark/>
          </w:tcPr>
          <w:p w14:paraId="2C30CFFA" w14:textId="77777777" w:rsidR="00BC5219" w:rsidRPr="00470BFB" w:rsidRDefault="00BC5219" w:rsidP="00E83802">
            <w:pPr>
              <w:jc w:val="center"/>
              <w:rPr>
                <w:rFonts w:ascii="Meta Pro" w:eastAsia="Times New Roman" w:hAnsi="Meta Pro"/>
                <w:color w:val="000000"/>
                <w:szCs w:val="18"/>
                <w:lang w:eastAsia="en-AU"/>
              </w:rPr>
            </w:pPr>
          </w:p>
        </w:tc>
      </w:tr>
      <w:tr w:rsidR="00BC5219" w:rsidRPr="00470BFB" w14:paraId="7CB1C76B" w14:textId="77777777" w:rsidTr="00E83802">
        <w:trPr>
          <w:trHeight w:val="198"/>
        </w:trPr>
        <w:tc>
          <w:tcPr>
            <w:tcW w:w="1496" w:type="dxa"/>
            <w:tcBorders>
              <w:top w:val="nil"/>
              <w:left w:val="nil"/>
              <w:bottom w:val="nil"/>
              <w:right w:val="nil"/>
            </w:tcBorders>
            <w:shd w:val="clear" w:color="auto" w:fill="auto"/>
            <w:noWrap/>
            <w:vAlign w:val="center"/>
            <w:hideMark/>
          </w:tcPr>
          <w:p w14:paraId="1D39C12F" w14:textId="77777777" w:rsidR="00BC5219" w:rsidRPr="00470BFB" w:rsidRDefault="00BC5219" w:rsidP="00E83802">
            <w:pPr>
              <w:jc w:val="center"/>
              <w:rPr>
                <w:rFonts w:ascii="Meta Pro" w:eastAsia="Times New Roman" w:hAnsi="Meta Pro"/>
                <w:color w:val="000000"/>
                <w:szCs w:val="18"/>
                <w:lang w:eastAsia="en-AU"/>
              </w:rPr>
            </w:pPr>
          </w:p>
        </w:tc>
        <w:tc>
          <w:tcPr>
            <w:tcW w:w="1756" w:type="dxa"/>
            <w:tcBorders>
              <w:top w:val="nil"/>
              <w:left w:val="nil"/>
              <w:bottom w:val="nil"/>
              <w:right w:val="nil"/>
            </w:tcBorders>
            <w:shd w:val="clear" w:color="auto" w:fill="auto"/>
            <w:noWrap/>
            <w:vAlign w:val="center"/>
            <w:hideMark/>
          </w:tcPr>
          <w:p w14:paraId="4BB4FAF2" w14:textId="77777777" w:rsidR="00BC5219" w:rsidRPr="00470BFB" w:rsidRDefault="00BC5219" w:rsidP="00E83802">
            <w:pPr>
              <w:rPr>
                <w:rFonts w:ascii="Meta Pro" w:eastAsia="Times New Roman" w:hAnsi="Meta Pro" w:cs="Times New Roman"/>
                <w:sz w:val="20"/>
                <w:szCs w:val="20"/>
                <w:lang w:eastAsia="en-AU"/>
              </w:rPr>
            </w:pPr>
          </w:p>
        </w:tc>
        <w:tc>
          <w:tcPr>
            <w:tcW w:w="496" w:type="dxa"/>
            <w:tcBorders>
              <w:top w:val="nil"/>
              <w:left w:val="nil"/>
              <w:bottom w:val="nil"/>
              <w:right w:val="nil"/>
            </w:tcBorders>
            <w:shd w:val="clear" w:color="auto" w:fill="auto"/>
            <w:noWrap/>
            <w:vAlign w:val="center"/>
            <w:hideMark/>
          </w:tcPr>
          <w:p w14:paraId="790BEBB4" w14:textId="77777777" w:rsidR="00BC5219" w:rsidRPr="00470BFB" w:rsidRDefault="00BC5219" w:rsidP="00E83802">
            <w:pPr>
              <w:jc w:val="right"/>
              <w:rPr>
                <w:rFonts w:ascii="Meta Pro" w:eastAsia="Times New Roman" w:hAnsi="Meta Pro"/>
                <w:color w:val="000000"/>
                <w:szCs w:val="18"/>
                <w:lang w:eastAsia="en-AU"/>
              </w:rPr>
            </w:pPr>
            <w:r w:rsidRPr="00470BFB">
              <w:rPr>
                <w:rFonts w:ascii="Meta Pro" w:eastAsia="Times New Roman" w:hAnsi="Meta Pro"/>
                <w:color w:val="000000"/>
                <w:szCs w:val="18"/>
                <w:lang w:eastAsia="en-AU"/>
              </w:rPr>
              <w:t>9</w:t>
            </w:r>
          </w:p>
        </w:tc>
        <w:tc>
          <w:tcPr>
            <w:tcW w:w="5936" w:type="dxa"/>
            <w:tcBorders>
              <w:top w:val="nil"/>
              <w:left w:val="nil"/>
              <w:bottom w:val="nil"/>
              <w:right w:val="nil"/>
            </w:tcBorders>
            <w:shd w:val="clear" w:color="auto" w:fill="auto"/>
            <w:noWrap/>
            <w:vAlign w:val="center"/>
            <w:hideMark/>
          </w:tcPr>
          <w:p w14:paraId="595E57C4" w14:textId="77777777" w:rsidR="00BC5219" w:rsidRPr="00470BFB" w:rsidRDefault="00BC5219" w:rsidP="00E83802">
            <w:pPr>
              <w:rPr>
                <w:rFonts w:ascii="Meta Pro" w:eastAsia="Times New Roman" w:hAnsi="Meta Pro"/>
                <w:color w:val="000000"/>
                <w:szCs w:val="18"/>
                <w:lang w:eastAsia="en-AU"/>
              </w:rPr>
            </w:pPr>
            <w:r w:rsidRPr="00470BFB">
              <w:rPr>
                <w:rFonts w:ascii="Meta Pro" w:eastAsia="Times New Roman" w:hAnsi="Meta Pro"/>
                <w:color w:val="000000"/>
                <w:szCs w:val="18"/>
                <w:lang w:eastAsia="en-AU"/>
              </w:rPr>
              <w:t xml:space="preserve">Finance and borrowing costs </w:t>
            </w:r>
          </w:p>
        </w:tc>
        <w:tc>
          <w:tcPr>
            <w:tcW w:w="1396" w:type="dxa"/>
            <w:tcBorders>
              <w:top w:val="nil"/>
              <w:left w:val="nil"/>
              <w:bottom w:val="nil"/>
              <w:right w:val="nil"/>
            </w:tcBorders>
            <w:shd w:val="clear" w:color="auto" w:fill="auto"/>
            <w:noWrap/>
            <w:vAlign w:val="center"/>
            <w:hideMark/>
          </w:tcPr>
          <w:p w14:paraId="1359F251" w14:textId="77777777" w:rsidR="00BC5219" w:rsidRPr="00470BFB" w:rsidRDefault="00BC5219" w:rsidP="00E83802">
            <w:pPr>
              <w:jc w:val="center"/>
              <w:rPr>
                <w:rFonts w:ascii="Meta Pro" w:eastAsia="Times New Roman" w:hAnsi="Meta Pro"/>
                <w:color w:val="000000"/>
                <w:szCs w:val="18"/>
                <w:lang w:eastAsia="en-AU"/>
              </w:rPr>
            </w:pPr>
          </w:p>
        </w:tc>
      </w:tr>
      <w:tr w:rsidR="00BC5219" w:rsidRPr="00470BFB" w14:paraId="6C9BB39C" w14:textId="77777777" w:rsidTr="00E83802">
        <w:trPr>
          <w:trHeight w:val="198"/>
        </w:trPr>
        <w:tc>
          <w:tcPr>
            <w:tcW w:w="1496" w:type="dxa"/>
            <w:tcBorders>
              <w:top w:val="nil"/>
              <w:left w:val="nil"/>
              <w:bottom w:val="nil"/>
              <w:right w:val="nil"/>
            </w:tcBorders>
            <w:shd w:val="clear" w:color="auto" w:fill="auto"/>
            <w:noWrap/>
            <w:vAlign w:val="center"/>
            <w:hideMark/>
          </w:tcPr>
          <w:p w14:paraId="4B3C4457" w14:textId="77777777" w:rsidR="00BC5219" w:rsidRPr="00470BFB" w:rsidRDefault="00BC5219" w:rsidP="00E83802">
            <w:pPr>
              <w:jc w:val="center"/>
              <w:rPr>
                <w:rFonts w:ascii="Meta Pro" w:eastAsia="Times New Roman" w:hAnsi="Meta Pro"/>
                <w:color w:val="000000"/>
                <w:szCs w:val="18"/>
                <w:lang w:eastAsia="en-AU"/>
              </w:rPr>
            </w:pPr>
          </w:p>
        </w:tc>
        <w:tc>
          <w:tcPr>
            <w:tcW w:w="1756" w:type="dxa"/>
            <w:tcBorders>
              <w:top w:val="nil"/>
              <w:left w:val="nil"/>
              <w:bottom w:val="nil"/>
              <w:right w:val="nil"/>
            </w:tcBorders>
            <w:shd w:val="clear" w:color="auto" w:fill="auto"/>
            <w:noWrap/>
            <w:vAlign w:val="center"/>
            <w:hideMark/>
          </w:tcPr>
          <w:p w14:paraId="621689CE" w14:textId="77777777" w:rsidR="00BC5219" w:rsidRPr="00470BFB" w:rsidRDefault="00BC5219" w:rsidP="00E83802">
            <w:pPr>
              <w:rPr>
                <w:rFonts w:ascii="Meta Pro" w:eastAsia="Times New Roman" w:hAnsi="Meta Pro" w:cs="Times New Roman"/>
                <w:sz w:val="20"/>
                <w:szCs w:val="20"/>
                <w:lang w:eastAsia="en-AU"/>
              </w:rPr>
            </w:pPr>
          </w:p>
        </w:tc>
        <w:tc>
          <w:tcPr>
            <w:tcW w:w="496" w:type="dxa"/>
            <w:tcBorders>
              <w:top w:val="nil"/>
              <w:left w:val="nil"/>
              <w:bottom w:val="nil"/>
              <w:right w:val="nil"/>
            </w:tcBorders>
            <w:shd w:val="clear" w:color="auto" w:fill="auto"/>
            <w:noWrap/>
            <w:vAlign w:val="center"/>
            <w:hideMark/>
          </w:tcPr>
          <w:p w14:paraId="15B199A0" w14:textId="77777777" w:rsidR="00BC5219" w:rsidRPr="00470BFB" w:rsidRDefault="00BC5219" w:rsidP="00E83802">
            <w:pPr>
              <w:jc w:val="right"/>
              <w:rPr>
                <w:rFonts w:ascii="Meta Pro" w:eastAsia="Times New Roman" w:hAnsi="Meta Pro"/>
                <w:color w:val="000000"/>
                <w:szCs w:val="18"/>
                <w:lang w:eastAsia="en-AU"/>
              </w:rPr>
            </w:pPr>
            <w:r w:rsidRPr="00470BFB">
              <w:rPr>
                <w:rFonts w:ascii="Meta Pro" w:eastAsia="Times New Roman" w:hAnsi="Meta Pro"/>
                <w:color w:val="000000"/>
                <w:szCs w:val="18"/>
                <w:lang w:eastAsia="en-AU"/>
              </w:rPr>
              <w:t>10</w:t>
            </w:r>
          </w:p>
        </w:tc>
        <w:tc>
          <w:tcPr>
            <w:tcW w:w="5936" w:type="dxa"/>
            <w:tcBorders>
              <w:top w:val="nil"/>
              <w:left w:val="nil"/>
              <w:bottom w:val="nil"/>
              <w:right w:val="nil"/>
            </w:tcBorders>
            <w:shd w:val="clear" w:color="auto" w:fill="auto"/>
            <w:noWrap/>
            <w:vAlign w:val="center"/>
            <w:hideMark/>
          </w:tcPr>
          <w:p w14:paraId="595F5748" w14:textId="77777777" w:rsidR="00BC5219" w:rsidRPr="00470BFB" w:rsidRDefault="00BC5219" w:rsidP="00E83802">
            <w:pPr>
              <w:rPr>
                <w:rFonts w:ascii="Meta Pro" w:eastAsia="Times New Roman" w:hAnsi="Meta Pro"/>
                <w:color w:val="000000"/>
                <w:szCs w:val="18"/>
                <w:lang w:eastAsia="en-AU"/>
              </w:rPr>
            </w:pPr>
            <w:r w:rsidRPr="00470BFB">
              <w:rPr>
                <w:rFonts w:ascii="Meta Pro" w:eastAsia="Times New Roman" w:hAnsi="Meta Pro"/>
                <w:color w:val="000000"/>
                <w:szCs w:val="18"/>
                <w:lang w:eastAsia="en-AU"/>
              </w:rPr>
              <w:t>Depreciation and amortisation</w:t>
            </w:r>
          </w:p>
        </w:tc>
        <w:tc>
          <w:tcPr>
            <w:tcW w:w="1396" w:type="dxa"/>
            <w:tcBorders>
              <w:top w:val="nil"/>
              <w:left w:val="nil"/>
              <w:bottom w:val="nil"/>
              <w:right w:val="nil"/>
            </w:tcBorders>
            <w:shd w:val="clear" w:color="auto" w:fill="auto"/>
            <w:noWrap/>
            <w:vAlign w:val="center"/>
            <w:hideMark/>
          </w:tcPr>
          <w:p w14:paraId="39A43BED" w14:textId="77777777" w:rsidR="00BC5219" w:rsidRPr="00470BFB" w:rsidRDefault="00BC5219" w:rsidP="00E83802">
            <w:pPr>
              <w:jc w:val="center"/>
              <w:rPr>
                <w:rFonts w:ascii="Meta Pro" w:eastAsia="Times New Roman" w:hAnsi="Meta Pro"/>
                <w:color w:val="000000"/>
                <w:szCs w:val="18"/>
                <w:lang w:eastAsia="en-AU"/>
              </w:rPr>
            </w:pPr>
          </w:p>
        </w:tc>
      </w:tr>
      <w:tr w:rsidR="00BC5219" w:rsidRPr="00470BFB" w14:paraId="14DA375A" w14:textId="77777777" w:rsidTr="00E83802">
        <w:trPr>
          <w:trHeight w:val="198"/>
        </w:trPr>
        <w:tc>
          <w:tcPr>
            <w:tcW w:w="1496" w:type="dxa"/>
            <w:tcBorders>
              <w:top w:val="nil"/>
              <w:left w:val="nil"/>
              <w:bottom w:val="nil"/>
              <w:right w:val="nil"/>
            </w:tcBorders>
            <w:shd w:val="clear" w:color="auto" w:fill="auto"/>
            <w:noWrap/>
            <w:vAlign w:val="center"/>
            <w:hideMark/>
          </w:tcPr>
          <w:p w14:paraId="2C465093" w14:textId="77777777" w:rsidR="00BC5219" w:rsidRPr="00470BFB" w:rsidRDefault="00BC5219" w:rsidP="00E83802">
            <w:pPr>
              <w:jc w:val="center"/>
              <w:rPr>
                <w:rFonts w:ascii="Meta Pro" w:eastAsia="Times New Roman" w:hAnsi="Meta Pro"/>
                <w:color w:val="000000"/>
                <w:szCs w:val="18"/>
                <w:lang w:eastAsia="en-AU"/>
              </w:rPr>
            </w:pPr>
          </w:p>
        </w:tc>
        <w:tc>
          <w:tcPr>
            <w:tcW w:w="1756" w:type="dxa"/>
            <w:tcBorders>
              <w:top w:val="nil"/>
              <w:left w:val="nil"/>
              <w:bottom w:val="single" w:sz="4" w:space="0" w:color="auto"/>
              <w:right w:val="nil"/>
            </w:tcBorders>
            <w:shd w:val="clear" w:color="auto" w:fill="auto"/>
            <w:noWrap/>
            <w:vAlign w:val="center"/>
            <w:hideMark/>
          </w:tcPr>
          <w:p w14:paraId="208DD645" w14:textId="77777777" w:rsidR="00BC5219" w:rsidRPr="00470BFB" w:rsidRDefault="00BC5219" w:rsidP="00E83802">
            <w:pPr>
              <w:rPr>
                <w:rFonts w:ascii="Meta Pro" w:eastAsia="Times New Roman" w:hAnsi="Meta Pro"/>
                <w:color w:val="000000"/>
                <w:szCs w:val="18"/>
                <w:lang w:eastAsia="en-AU"/>
              </w:rPr>
            </w:pPr>
            <w:r w:rsidRPr="00470BFB">
              <w:rPr>
                <w:rFonts w:ascii="Meta Pro" w:eastAsia="Times New Roman" w:hAnsi="Meta Pro"/>
                <w:color w:val="000000"/>
                <w:szCs w:val="18"/>
                <w:lang w:eastAsia="en-AU"/>
              </w:rPr>
              <w:t> </w:t>
            </w:r>
          </w:p>
        </w:tc>
        <w:tc>
          <w:tcPr>
            <w:tcW w:w="496" w:type="dxa"/>
            <w:tcBorders>
              <w:top w:val="nil"/>
              <w:left w:val="nil"/>
              <w:bottom w:val="nil"/>
              <w:right w:val="nil"/>
            </w:tcBorders>
            <w:shd w:val="clear" w:color="auto" w:fill="auto"/>
            <w:noWrap/>
            <w:vAlign w:val="center"/>
            <w:hideMark/>
          </w:tcPr>
          <w:p w14:paraId="7C61D7C0" w14:textId="77777777" w:rsidR="00BC5219" w:rsidRPr="00470BFB" w:rsidRDefault="00BC5219" w:rsidP="00E83802">
            <w:pPr>
              <w:jc w:val="right"/>
              <w:rPr>
                <w:rFonts w:ascii="Meta Pro" w:eastAsia="Times New Roman" w:hAnsi="Meta Pro"/>
                <w:color w:val="000000"/>
                <w:szCs w:val="18"/>
                <w:lang w:eastAsia="en-AU"/>
              </w:rPr>
            </w:pPr>
            <w:r w:rsidRPr="00470BFB">
              <w:rPr>
                <w:rFonts w:ascii="Meta Pro" w:eastAsia="Times New Roman" w:hAnsi="Meta Pro"/>
                <w:color w:val="000000"/>
                <w:szCs w:val="18"/>
                <w:lang w:eastAsia="en-AU"/>
              </w:rPr>
              <w:t>11</w:t>
            </w:r>
          </w:p>
        </w:tc>
        <w:tc>
          <w:tcPr>
            <w:tcW w:w="5936" w:type="dxa"/>
            <w:tcBorders>
              <w:top w:val="nil"/>
              <w:left w:val="nil"/>
              <w:bottom w:val="nil"/>
              <w:right w:val="nil"/>
            </w:tcBorders>
            <w:shd w:val="clear" w:color="auto" w:fill="auto"/>
            <w:noWrap/>
            <w:vAlign w:val="center"/>
            <w:hideMark/>
          </w:tcPr>
          <w:p w14:paraId="509ED3EA" w14:textId="77777777" w:rsidR="00BC5219" w:rsidRPr="00470BFB" w:rsidRDefault="00BC5219" w:rsidP="00E83802">
            <w:pPr>
              <w:rPr>
                <w:rFonts w:ascii="Meta Pro" w:eastAsia="Times New Roman" w:hAnsi="Meta Pro"/>
                <w:color w:val="000000"/>
                <w:szCs w:val="18"/>
                <w:lang w:eastAsia="en-AU"/>
              </w:rPr>
            </w:pPr>
            <w:r w:rsidRPr="00470BFB">
              <w:rPr>
                <w:rFonts w:ascii="Meta Pro" w:eastAsia="Times New Roman" w:hAnsi="Meta Pro"/>
                <w:color w:val="000000"/>
                <w:szCs w:val="18"/>
                <w:lang w:eastAsia="en-AU"/>
              </w:rPr>
              <w:t>Other expenses</w:t>
            </w:r>
          </w:p>
        </w:tc>
        <w:tc>
          <w:tcPr>
            <w:tcW w:w="1396" w:type="dxa"/>
            <w:tcBorders>
              <w:top w:val="nil"/>
              <w:left w:val="nil"/>
              <w:bottom w:val="nil"/>
              <w:right w:val="nil"/>
            </w:tcBorders>
            <w:shd w:val="clear" w:color="auto" w:fill="auto"/>
            <w:noWrap/>
            <w:vAlign w:val="center"/>
            <w:hideMark/>
          </w:tcPr>
          <w:p w14:paraId="783498E3" w14:textId="77777777" w:rsidR="00BC5219" w:rsidRPr="00470BFB" w:rsidRDefault="00BC5219" w:rsidP="00E83802">
            <w:pPr>
              <w:jc w:val="center"/>
              <w:rPr>
                <w:rFonts w:ascii="Meta Pro" w:eastAsia="Times New Roman" w:hAnsi="Meta Pro"/>
                <w:color w:val="000000"/>
                <w:szCs w:val="18"/>
                <w:lang w:eastAsia="en-AU"/>
              </w:rPr>
            </w:pPr>
          </w:p>
        </w:tc>
      </w:tr>
      <w:tr w:rsidR="00BC5219" w:rsidRPr="00470BFB" w14:paraId="2C8399FB" w14:textId="77777777" w:rsidTr="00E83802">
        <w:trPr>
          <w:trHeight w:val="198"/>
        </w:trPr>
        <w:tc>
          <w:tcPr>
            <w:tcW w:w="1496" w:type="dxa"/>
            <w:tcBorders>
              <w:top w:val="nil"/>
              <w:left w:val="nil"/>
              <w:bottom w:val="nil"/>
              <w:right w:val="nil"/>
            </w:tcBorders>
            <w:shd w:val="clear" w:color="auto" w:fill="auto"/>
            <w:noWrap/>
            <w:vAlign w:val="center"/>
            <w:hideMark/>
          </w:tcPr>
          <w:p w14:paraId="128A26FA" w14:textId="77777777" w:rsidR="00BC5219" w:rsidRPr="00470BFB" w:rsidRDefault="00BC5219" w:rsidP="00E83802">
            <w:pPr>
              <w:jc w:val="center"/>
              <w:rPr>
                <w:rFonts w:ascii="Meta Pro" w:eastAsia="Times New Roman" w:hAnsi="Meta Pro"/>
                <w:color w:val="000000"/>
                <w:szCs w:val="18"/>
                <w:lang w:eastAsia="en-AU"/>
              </w:rPr>
            </w:pPr>
          </w:p>
        </w:tc>
        <w:tc>
          <w:tcPr>
            <w:tcW w:w="1756" w:type="dxa"/>
            <w:vMerge w:val="restart"/>
            <w:tcBorders>
              <w:top w:val="nil"/>
              <w:left w:val="nil"/>
              <w:bottom w:val="nil"/>
              <w:right w:val="nil"/>
            </w:tcBorders>
            <w:shd w:val="clear" w:color="auto" w:fill="auto"/>
            <w:hideMark/>
          </w:tcPr>
          <w:p w14:paraId="59060FE6" w14:textId="77777777" w:rsidR="00BC5219" w:rsidRPr="00470BFB" w:rsidRDefault="00BC5219" w:rsidP="00E83802">
            <w:pPr>
              <w:rPr>
                <w:rFonts w:ascii="Meta Pro" w:eastAsia="Times New Roman" w:hAnsi="Meta Pro"/>
                <w:color w:val="000000"/>
                <w:szCs w:val="18"/>
                <w:lang w:eastAsia="en-AU"/>
              </w:rPr>
            </w:pPr>
            <w:r w:rsidRPr="00470BFB">
              <w:rPr>
                <w:rFonts w:ascii="Meta Pro" w:eastAsia="Times New Roman" w:hAnsi="Meta Pro"/>
                <w:color w:val="000000"/>
                <w:szCs w:val="18"/>
                <w:lang w:eastAsia="en-AU"/>
              </w:rPr>
              <w:t>Notes about our Financial Position</w:t>
            </w:r>
          </w:p>
        </w:tc>
        <w:tc>
          <w:tcPr>
            <w:tcW w:w="496" w:type="dxa"/>
            <w:tcBorders>
              <w:top w:val="single" w:sz="4" w:space="0" w:color="auto"/>
              <w:left w:val="nil"/>
              <w:bottom w:val="nil"/>
              <w:right w:val="nil"/>
            </w:tcBorders>
            <w:shd w:val="clear" w:color="auto" w:fill="auto"/>
            <w:noWrap/>
            <w:vAlign w:val="center"/>
            <w:hideMark/>
          </w:tcPr>
          <w:p w14:paraId="589CC48B" w14:textId="77777777" w:rsidR="00BC5219" w:rsidRPr="00470BFB" w:rsidRDefault="00BC5219" w:rsidP="00E83802">
            <w:pPr>
              <w:jc w:val="right"/>
              <w:rPr>
                <w:rFonts w:ascii="Meta Pro" w:eastAsia="Times New Roman" w:hAnsi="Meta Pro"/>
                <w:color w:val="000000"/>
                <w:szCs w:val="18"/>
                <w:lang w:eastAsia="en-AU"/>
              </w:rPr>
            </w:pPr>
            <w:r w:rsidRPr="00470BFB">
              <w:rPr>
                <w:rFonts w:ascii="Meta Pro" w:eastAsia="Times New Roman" w:hAnsi="Meta Pro"/>
                <w:color w:val="000000"/>
                <w:szCs w:val="18"/>
                <w:lang w:eastAsia="en-AU"/>
              </w:rPr>
              <w:t>12</w:t>
            </w:r>
          </w:p>
        </w:tc>
        <w:tc>
          <w:tcPr>
            <w:tcW w:w="5936" w:type="dxa"/>
            <w:tcBorders>
              <w:top w:val="single" w:sz="4" w:space="0" w:color="auto"/>
              <w:left w:val="nil"/>
              <w:bottom w:val="nil"/>
              <w:right w:val="nil"/>
            </w:tcBorders>
            <w:shd w:val="clear" w:color="auto" w:fill="auto"/>
            <w:noWrap/>
            <w:vAlign w:val="center"/>
            <w:hideMark/>
          </w:tcPr>
          <w:p w14:paraId="112CE81C" w14:textId="77777777" w:rsidR="00BC5219" w:rsidRPr="00470BFB" w:rsidRDefault="00BC5219" w:rsidP="00E83802">
            <w:pPr>
              <w:rPr>
                <w:rFonts w:ascii="Meta Pro" w:eastAsia="Times New Roman" w:hAnsi="Meta Pro"/>
                <w:color w:val="000000"/>
                <w:szCs w:val="18"/>
                <w:lang w:eastAsia="en-AU"/>
              </w:rPr>
            </w:pPr>
            <w:r w:rsidRPr="00470BFB">
              <w:rPr>
                <w:rFonts w:ascii="Meta Pro" w:eastAsia="Times New Roman" w:hAnsi="Meta Pro"/>
                <w:color w:val="000000"/>
                <w:szCs w:val="18"/>
                <w:lang w:eastAsia="en-AU"/>
              </w:rPr>
              <w:t>Receivables</w:t>
            </w:r>
          </w:p>
        </w:tc>
        <w:tc>
          <w:tcPr>
            <w:tcW w:w="1396" w:type="dxa"/>
            <w:tcBorders>
              <w:top w:val="single" w:sz="4" w:space="0" w:color="auto"/>
              <w:left w:val="nil"/>
              <w:bottom w:val="nil"/>
              <w:right w:val="nil"/>
            </w:tcBorders>
            <w:shd w:val="clear" w:color="auto" w:fill="auto"/>
            <w:noWrap/>
            <w:vAlign w:val="center"/>
            <w:hideMark/>
          </w:tcPr>
          <w:p w14:paraId="02D124F6" w14:textId="77777777" w:rsidR="00BC5219" w:rsidRPr="00470BFB" w:rsidRDefault="00BC5219" w:rsidP="00E83802">
            <w:pPr>
              <w:jc w:val="center"/>
              <w:rPr>
                <w:rFonts w:ascii="Meta Pro" w:eastAsia="Times New Roman" w:hAnsi="Meta Pro"/>
                <w:color w:val="000000"/>
                <w:szCs w:val="18"/>
                <w:lang w:eastAsia="en-AU"/>
              </w:rPr>
            </w:pPr>
          </w:p>
        </w:tc>
      </w:tr>
      <w:tr w:rsidR="00BC5219" w:rsidRPr="00470BFB" w14:paraId="7AF71139" w14:textId="77777777" w:rsidTr="00E83802">
        <w:trPr>
          <w:trHeight w:val="198"/>
        </w:trPr>
        <w:tc>
          <w:tcPr>
            <w:tcW w:w="1496" w:type="dxa"/>
            <w:tcBorders>
              <w:top w:val="nil"/>
              <w:left w:val="nil"/>
              <w:bottom w:val="nil"/>
              <w:right w:val="nil"/>
            </w:tcBorders>
            <w:shd w:val="clear" w:color="auto" w:fill="auto"/>
            <w:noWrap/>
            <w:vAlign w:val="center"/>
            <w:hideMark/>
          </w:tcPr>
          <w:p w14:paraId="4FB6F6E5" w14:textId="77777777" w:rsidR="00BC5219" w:rsidRPr="00470BFB" w:rsidRDefault="00BC5219" w:rsidP="00E83802">
            <w:pPr>
              <w:jc w:val="center"/>
              <w:rPr>
                <w:rFonts w:ascii="Meta Pro" w:eastAsia="Times New Roman" w:hAnsi="Meta Pro"/>
                <w:color w:val="000000"/>
                <w:szCs w:val="18"/>
                <w:lang w:eastAsia="en-AU"/>
              </w:rPr>
            </w:pPr>
          </w:p>
        </w:tc>
        <w:tc>
          <w:tcPr>
            <w:tcW w:w="1756" w:type="dxa"/>
            <w:vMerge/>
            <w:tcBorders>
              <w:top w:val="nil"/>
              <w:left w:val="nil"/>
              <w:bottom w:val="nil"/>
              <w:right w:val="nil"/>
            </w:tcBorders>
            <w:vAlign w:val="center"/>
            <w:hideMark/>
          </w:tcPr>
          <w:p w14:paraId="392A8F53" w14:textId="77777777" w:rsidR="00BC5219" w:rsidRPr="00470BFB" w:rsidRDefault="00BC5219" w:rsidP="00E83802">
            <w:pPr>
              <w:rPr>
                <w:rFonts w:ascii="Meta Pro" w:eastAsia="Times New Roman" w:hAnsi="Meta Pro"/>
                <w:color w:val="000000"/>
                <w:szCs w:val="18"/>
                <w:lang w:eastAsia="en-AU"/>
              </w:rPr>
            </w:pPr>
          </w:p>
        </w:tc>
        <w:tc>
          <w:tcPr>
            <w:tcW w:w="496" w:type="dxa"/>
            <w:tcBorders>
              <w:top w:val="nil"/>
              <w:left w:val="nil"/>
              <w:bottom w:val="nil"/>
              <w:right w:val="nil"/>
            </w:tcBorders>
            <w:shd w:val="clear" w:color="auto" w:fill="auto"/>
            <w:noWrap/>
            <w:vAlign w:val="center"/>
            <w:hideMark/>
          </w:tcPr>
          <w:p w14:paraId="30C93EB7" w14:textId="77777777" w:rsidR="00BC5219" w:rsidRPr="00470BFB" w:rsidRDefault="00BC5219" w:rsidP="00E83802">
            <w:pPr>
              <w:jc w:val="right"/>
              <w:rPr>
                <w:rFonts w:ascii="Meta Pro" w:eastAsia="Times New Roman" w:hAnsi="Meta Pro"/>
                <w:color w:val="000000"/>
                <w:szCs w:val="18"/>
                <w:lang w:eastAsia="en-AU"/>
              </w:rPr>
            </w:pPr>
            <w:r w:rsidRPr="00470BFB">
              <w:rPr>
                <w:rFonts w:ascii="Meta Pro" w:eastAsia="Times New Roman" w:hAnsi="Meta Pro"/>
                <w:color w:val="000000"/>
                <w:szCs w:val="18"/>
                <w:lang w:eastAsia="en-AU"/>
              </w:rPr>
              <w:t>13</w:t>
            </w:r>
          </w:p>
        </w:tc>
        <w:tc>
          <w:tcPr>
            <w:tcW w:w="5936" w:type="dxa"/>
            <w:tcBorders>
              <w:top w:val="nil"/>
              <w:left w:val="nil"/>
              <w:bottom w:val="nil"/>
              <w:right w:val="nil"/>
            </w:tcBorders>
            <w:shd w:val="clear" w:color="auto" w:fill="auto"/>
            <w:noWrap/>
            <w:vAlign w:val="center"/>
            <w:hideMark/>
          </w:tcPr>
          <w:p w14:paraId="3377CAF9" w14:textId="77777777" w:rsidR="00BC5219" w:rsidRPr="00470BFB" w:rsidRDefault="00BC5219" w:rsidP="00E83802">
            <w:pPr>
              <w:rPr>
                <w:rFonts w:ascii="Meta Pro" w:eastAsia="Times New Roman" w:hAnsi="Meta Pro"/>
                <w:color w:val="000000"/>
                <w:szCs w:val="18"/>
                <w:lang w:eastAsia="en-AU"/>
              </w:rPr>
            </w:pPr>
            <w:r w:rsidRPr="00470BFB">
              <w:rPr>
                <w:rFonts w:ascii="Meta Pro" w:eastAsia="Times New Roman" w:hAnsi="Meta Pro"/>
                <w:color w:val="000000"/>
                <w:szCs w:val="18"/>
                <w:lang w:eastAsia="en-AU"/>
              </w:rPr>
              <w:t>Prepayments</w:t>
            </w:r>
          </w:p>
        </w:tc>
        <w:tc>
          <w:tcPr>
            <w:tcW w:w="1396" w:type="dxa"/>
            <w:tcBorders>
              <w:top w:val="nil"/>
              <w:left w:val="nil"/>
              <w:bottom w:val="nil"/>
              <w:right w:val="nil"/>
            </w:tcBorders>
            <w:shd w:val="clear" w:color="auto" w:fill="auto"/>
            <w:noWrap/>
            <w:vAlign w:val="center"/>
            <w:hideMark/>
          </w:tcPr>
          <w:p w14:paraId="15B279CB" w14:textId="77777777" w:rsidR="00BC5219" w:rsidRPr="00470BFB" w:rsidRDefault="00BC5219" w:rsidP="00E83802">
            <w:pPr>
              <w:jc w:val="center"/>
              <w:rPr>
                <w:rFonts w:ascii="Meta Pro" w:eastAsia="Times New Roman" w:hAnsi="Meta Pro"/>
                <w:color w:val="000000"/>
                <w:szCs w:val="18"/>
                <w:lang w:eastAsia="en-AU"/>
              </w:rPr>
            </w:pPr>
          </w:p>
        </w:tc>
      </w:tr>
      <w:tr w:rsidR="00BC5219" w:rsidRPr="00470BFB" w14:paraId="314F4A93" w14:textId="77777777" w:rsidTr="00E83802">
        <w:trPr>
          <w:trHeight w:val="198"/>
        </w:trPr>
        <w:tc>
          <w:tcPr>
            <w:tcW w:w="1496" w:type="dxa"/>
            <w:tcBorders>
              <w:top w:val="nil"/>
              <w:left w:val="nil"/>
              <w:bottom w:val="nil"/>
              <w:right w:val="nil"/>
            </w:tcBorders>
            <w:shd w:val="clear" w:color="auto" w:fill="auto"/>
            <w:noWrap/>
            <w:vAlign w:val="center"/>
            <w:hideMark/>
          </w:tcPr>
          <w:p w14:paraId="735CA58D" w14:textId="77777777" w:rsidR="00BC5219" w:rsidRPr="00470BFB" w:rsidRDefault="00BC5219" w:rsidP="00E83802">
            <w:pPr>
              <w:jc w:val="center"/>
              <w:rPr>
                <w:rFonts w:ascii="Meta Pro" w:eastAsia="Times New Roman" w:hAnsi="Meta Pro"/>
                <w:color w:val="000000"/>
                <w:szCs w:val="18"/>
                <w:lang w:eastAsia="en-AU"/>
              </w:rPr>
            </w:pPr>
          </w:p>
        </w:tc>
        <w:tc>
          <w:tcPr>
            <w:tcW w:w="1756" w:type="dxa"/>
            <w:vMerge/>
            <w:tcBorders>
              <w:top w:val="nil"/>
              <w:left w:val="nil"/>
              <w:bottom w:val="nil"/>
              <w:right w:val="nil"/>
            </w:tcBorders>
            <w:vAlign w:val="center"/>
            <w:hideMark/>
          </w:tcPr>
          <w:p w14:paraId="4447F727" w14:textId="77777777" w:rsidR="00BC5219" w:rsidRPr="00470BFB" w:rsidRDefault="00BC5219" w:rsidP="00E83802">
            <w:pPr>
              <w:rPr>
                <w:rFonts w:ascii="Meta Pro" w:eastAsia="Times New Roman" w:hAnsi="Meta Pro"/>
                <w:color w:val="000000"/>
                <w:szCs w:val="18"/>
                <w:lang w:eastAsia="en-AU"/>
              </w:rPr>
            </w:pPr>
          </w:p>
        </w:tc>
        <w:tc>
          <w:tcPr>
            <w:tcW w:w="496" w:type="dxa"/>
            <w:tcBorders>
              <w:top w:val="nil"/>
              <w:left w:val="nil"/>
              <w:bottom w:val="nil"/>
              <w:right w:val="nil"/>
            </w:tcBorders>
            <w:shd w:val="clear" w:color="auto" w:fill="auto"/>
            <w:noWrap/>
            <w:vAlign w:val="center"/>
            <w:hideMark/>
          </w:tcPr>
          <w:p w14:paraId="17E1606C" w14:textId="77777777" w:rsidR="00BC5219" w:rsidRPr="00470BFB" w:rsidRDefault="00BC5219" w:rsidP="00E83802">
            <w:pPr>
              <w:jc w:val="right"/>
              <w:rPr>
                <w:rFonts w:ascii="Meta Pro" w:eastAsia="Times New Roman" w:hAnsi="Meta Pro"/>
                <w:color w:val="000000"/>
                <w:szCs w:val="18"/>
                <w:lang w:eastAsia="en-AU"/>
              </w:rPr>
            </w:pPr>
            <w:r w:rsidRPr="00470BFB">
              <w:rPr>
                <w:rFonts w:ascii="Meta Pro" w:eastAsia="Times New Roman" w:hAnsi="Meta Pro"/>
                <w:color w:val="000000"/>
                <w:szCs w:val="18"/>
                <w:lang w:eastAsia="en-AU"/>
              </w:rPr>
              <w:t>14</w:t>
            </w:r>
          </w:p>
        </w:tc>
        <w:tc>
          <w:tcPr>
            <w:tcW w:w="5936" w:type="dxa"/>
            <w:tcBorders>
              <w:top w:val="nil"/>
              <w:left w:val="nil"/>
              <w:bottom w:val="nil"/>
              <w:right w:val="nil"/>
            </w:tcBorders>
            <w:shd w:val="clear" w:color="auto" w:fill="auto"/>
            <w:noWrap/>
            <w:vAlign w:val="center"/>
            <w:hideMark/>
          </w:tcPr>
          <w:p w14:paraId="3C3CCD20" w14:textId="77777777" w:rsidR="00BC5219" w:rsidRPr="00470BFB" w:rsidRDefault="00BC5219" w:rsidP="00E83802">
            <w:pPr>
              <w:rPr>
                <w:rFonts w:ascii="Meta Pro" w:eastAsia="Times New Roman" w:hAnsi="Meta Pro"/>
                <w:color w:val="000000"/>
                <w:szCs w:val="18"/>
                <w:lang w:eastAsia="en-AU"/>
              </w:rPr>
            </w:pPr>
            <w:r w:rsidRPr="00470BFB">
              <w:rPr>
                <w:rFonts w:ascii="Meta Pro" w:eastAsia="Times New Roman" w:hAnsi="Meta Pro"/>
                <w:color w:val="000000"/>
                <w:szCs w:val="18"/>
                <w:lang w:eastAsia="en-AU"/>
              </w:rPr>
              <w:t>Intangible assets</w:t>
            </w:r>
          </w:p>
        </w:tc>
        <w:tc>
          <w:tcPr>
            <w:tcW w:w="1396" w:type="dxa"/>
            <w:tcBorders>
              <w:top w:val="nil"/>
              <w:left w:val="nil"/>
              <w:bottom w:val="nil"/>
              <w:right w:val="nil"/>
            </w:tcBorders>
            <w:shd w:val="clear" w:color="auto" w:fill="auto"/>
            <w:noWrap/>
            <w:vAlign w:val="center"/>
            <w:hideMark/>
          </w:tcPr>
          <w:p w14:paraId="03961FD1" w14:textId="77777777" w:rsidR="00BC5219" w:rsidRPr="00470BFB" w:rsidRDefault="00BC5219" w:rsidP="00E83802">
            <w:pPr>
              <w:jc w:val="center"/>
              <w:rPr>
                <w:rFonts w:ascii="Meta Pro" w:eastAsia="Times New Roman" w:hAnsi="Meta Pro"/>
                <w:color w:val="000000"/>
                <w:szCs w:val="18"/>
                <w:lang w:eastAsia="en-AU"/>
              </w:rPr>
            </w:pPr>
          </w:p>
        </w:tc>
      </w:tr>
      <w:tr w:rsidR="00BC5219" w:rsidRPr="00470BFB" w14:paraId="0A418EDD" w14:textId="77777777" w:rsidTr="00E83802">
        <w:trPr>
          <w:trHeight w:val="198"/>
        </w:trPr>
        <w:tc>
          <w:tcPr>
            <w:tcW w:w="1496" w:type="dxa"/>
            <w:tcBorders>
              <w:top w:val="nil"/>
              <w:left w:val="nil"/>
              <w:bottom w:val="nil"/>
              <w:right w:val="nil"/>
            </w:tcBorders>
            <w:shd w:val="clear" w:color="auto" w:fill="auto"/>
            <w:noWrap/>
            <w:vAlign w:val="center"/>
            <w:hideMark/>
          </w:tcPr>
          <w:p w14:paraId="49ECC557" w14:textId="77777777" w:rsidR="00BC5219" w:rsidRPr="00470BFB" w:rsidRDefault="00BC5219" w:rsidP="00E83802">
            <w:pPr>
              <w:jc w:val="center"/>
              <w:rPr>
                <w:rFonts w:ascii="Meta Pro" w:eastAsia="Times New Roman" w:hAnsi="Meta Pro"/>
                <w:color w:val="000000"/>
                <w:szCs w:val="18"/>
                <w:lang w:eastAsia="en-AU"/>
              </w:rPr>
            </w:pPr>
          </w:p>
        </w:tc>
        <w:tc>
          <w:tcPr>
            <w:tcW w:w="1756" w:type="dxa"/>
            <w:vMerge/>
            <w:tcBorders>
              <w:top w:val="nil"/>
              <w:left w:val="nil"/>
              <w:bottom w:val="nil"/>
              <w:right w:val="nil"/>
            </w:tcBorders>
            <w:vAlign w:val="center"/>
            <w:hideMark/>
          </w:tcPr>
          <w:p w14:paraId="1B5B6F94" w14:textId="77777777" w:rsidR="00BC5219" w:rsidRPr="00470BFB" w:rsidRDefault="00BC5219" w:rsidP="00E83802">
            <w:pPr>
              <w:rPr>
                <w:rFonts w:ascii="Meta Pro" w:eastAsia="Times New Roman" w:hAnsi="Meta Pro"/>
                <w:color w:val="000000"/>
                <w:szCs w:val="18"/>
                <w:lang w:eastAsia="en-AU"/>
              </w:rPr>
            </w:pPr>
          </w:p>
        </w:tc>
        <w:tc>
          <w:tcPr>
            <w:tcW w:w="496" w:type="dxa"/>
            <w:tcBorders>
              <w:top w:val="nil"/>
              <w:left w:val="nil"/>
              <w:bottom w:val="nil"/>
              <w:right w:val="nil"/>
            </w:tcBorders>
            <w:shd w:val="clear" w:color="auto" w:fill="auto"/>
            <w:noWrap/>
            <w:vAlign w:val="center"/>
            <w:hideMark/>
          </w:tcPr>
          <w:p w14:paraId="1DD4337F" w14:textId="77777777" w:rsidR="00BC5219" w:rsidRPr="00470BFB" w:rsidRDefault="00BC5219" w:rsidP="00E83802">
            <w:pPr>
              <w:jc w:val="right"/>
              <w:rPr>
                <w:rFonts w:ascii="Meta Pro" w:eastAsia="Times New Roman" w:hAnsi="Meta Pro"/>
                <w:color w:val="000000"/>
                <w:szCs w:val="18"/>
                <w:lang w:eastAsia="en-AU"/>
              </w:rPr>
            </w:pPr>
            <w:r w:rsidRPr="00470BFB">
              <w:rPr>
                <w:rFonts w:ascii="Meta Pro" w:eastAsia="Times New Roman" w:hAnsi="Meta Pro"/>
                <w:color w:val="000000"/>
                <w:szCs w:val="18"/>
                <w:lang w:eastAsia="en-AU"/>
              </w:rPr>
              <w:t>15</w:t>
            </w:r>
          </w:p>
        </w:tc>
        <w:tc>
          <w:tcPr>
            <w:tcW w:w="5936" w:type="dxa"/>
            <w:tcBorders>
              <w:top w:val="nil"/>
              <w:left w:val="nil"/>
              <w:bottom w:val="nil"/>
              <w:right w:val="nil"/>
            </w:tcBorders>
            <w:shd w:val="clear" w:color="auto" w:fill="auto"/>
            <w:vAlign w:val="center"/>
            <w:hideMark/>
          </w:tcPr>
          <w:p w14:paraId="70C8417C" w14:textId="77777777" w:rsidR="00BC5219" w:rsidRPr="00470BFB" w:rsidRDefault="00BC5219" w:rsidP="00E83802">
            <w:pPr>
              <w:rPr>
                <w:rFonts w:ascii="Meta Pro" w:eastAsia="Times New Roman" w:hAnsi="Meta Pro"/>
                <w:color w:val="000000"/>
                <w:szCs w:val="18"/>
                <w:lang w:eastAsia="en-AU"/>
              </w:rPr>
            </w:pPr>
            <w:r w:rsidRPr="00470BFB">
              <w:rPr>
                <w:rFonts w:ascii="Meta Pro" w:eastAsia="Times New Roman" w:hAnsi="Meta Pro"/>
                <w:color w:val="000000"/>
                <w:szCs w:val="18"/>
                <w:lang w:eastAsia="en-AU"/>
              </w:rPr>
              <w:t>Property, plant and equipment</w:t>
            </w:r>
          </w:p>
        </w:tc>
        <w:tc>
          <w:tcPr>
            <w:tcW w:w="1396" w:type="dxa"/>
            <w:tcBorders>
              <w:top w:val="nil"/>
              <w:left w:val="nil"/>
              <w:bottom w:val="nil"/>
              <w:right w:val="nil"/>
            </w:tcBorders>
            <w:shd w:val="clear" w:color="auto" w:fill="auto"/>
            <w:noWrap/>
            <w:vAlign w:val="center"/>
            <w:hideMark/>
          </w:tcPr>
          <w:p w14:paraId="4D8534A5" w14:textId="77777777" w:rsidR="00BC5219" w:rsidRPr="00470BFB" w:rsidRDefault="00BC5219" w:rsidP="00E83802">
            <w:pPr>
              <w:jc w:val="center"/>
              <w:rPr>
                <w:rFonts w:ascii="Meta Pro" w:eastAsia="Times New Roman" w:hAnsi="Meta Pro"/>
                <w:color w:val="000000"/>
                <w:szCs w:val="18"/>
                <w:lang w:eastAsia="en-AU"/>
              </w:rPr>
            </w:pPr>
          </w:p>
        </w:tc>
      </w:tr>
      <w:tr w:rsidR="00BC5219" w:rsidRPr="00470BFB" w14:paraId="0D696A81" w14:textId="77777777" w:rsidTr="00E83802">
        <w:trPr>
          <w:trHeight w:val="198"/>
        </w:trPr>
        <w:tc>
          <w:tcPr>
            <w:tcW w:w="1496" w:type="dxa"/>
            <w:tcBorders>
              <w:top w:val="nil"/>
              <w:left w:val="nil"/>
              <w:bottom w:val="nil"/>
              <w:right w:val="nil"/>
            </w:tcBorders>
            <w:shd w:val="clear" w:color="auto" w:fill="auto"/>
            <w:noWrap/>
            <w:vAlign w:val="center"/>
            <w:hideMark/>
          </w:tcPr>
          <w:p w14:paraId="10125D80" w14:textId="77777777" w:rsidR="00BC5219" w:rsidRPr="00470BFB" w:rsidRDefault="00BC5219" w:rsidP="00E83802">
            <w:pPr>
              <w:jc w:val="center"/>
              <w:rPr>
                <w:rFonts w:ascii="Meta Pro" w:eastAsia="Times New Roman" w:hAnsi="Meta Pro"/>
                <w:color w:val="000000"/>
                <w:szCs w:val="18"/>
                <w:lang w:eastAsia="en-AU"/>
              </w:rPr>
            </w:pPr>
          </w:p>
        </w:tc>
        <w:tc>
          <w:tcPr>
            <w:tcW w:w="1756" w:type="dxa"/>
            <w:tcBorders>
              <w:top w:val="nil"/>
              <w:left w:val="nil"/>
              <w:bottom w:val="nil"/>
              <w:right w:val="nil"/>
            </w:tcBorders>
            <w:shd w:val="clear" w:color="auto" w:fill="auto"/>
            <w:noWrap/>
            <w:vAlign w:val="center"/>
            <w:hideMark/>
          </w:tcPr>
          <w:p w14:paraId="2B99A73B" w14:textId="77777777" w:rsidR="00BC5219" w:rsidRPr="00470BFB" w:rsidRDefault="00BC5219" w:rsidP="00E83802">
            <w:pPr>
              <w:rPr>
                <w:rFonts w:ascii="Meta Pro" w:eastAsia="Times New Roman" w:hAnsi="Meta Pro" w:cs="Times New Roman"/>
                <w:sz w:val="20"/>
                <w:szCs w:val="20"/>
                <w:lang w:eastAsia="en-AU"/>
              </w:rPr>
            </w:pPr>
          </w:p>
        </w:tc>
        <w:tc>
          <w:tcPr>
            <w:tcW w:w="496" w:type="dxa"/>
            <w:tcBorders>
              <w:top w:val="nil"/>
              <w:left w:val="nil"/>
              <w:bottom w:val="nil"/>
              <w:right w:val="nil"/>
            </w:tcBorders>
            <w:shd w:val="clear" w:color="auto" w:fill="auto"/>
            <w:noWrap/>
            <w:vAlign w:val="center"/>
            <w:hideMark/>
          </w:tcPr>
          <w:p w14:paraId="40B150F5" w14:textId="77777777" w:rsidR="00BC5219" w:rsidRPr="00470BFB" w:rsidRDefault="00BC5219" w:rsidP="00E83802">
            <w:pPr>
              <w:jc w:val="right"/>
              <w:rPr>
                <w:rFonts w:ascii="Meta Pro" w:eastAsia="Times New Roman" w:hAnsi="Meta Pro"/>
                <w:color w:val="000000"/>
                <w:szCs w:val="18"/>
                <w:lang w:eastAsia="en-AU"/>
              </w:rPr>
            </w:pPr>
            <w:r w:rsidRPr="00470BFB">
              <w:rPr>
                <w:rFonts w:ascii="Meta Pro" w:eastAsia="Times New Roman" w:hAnsi="Meta Pro"/>
                <w:color w:val="000000"/>
                <w:szCs w:val="18"/>
                <w:lang w:eastAsia="en-AU"/>
              </w:rPr>
              <w:t>16</w:t>
            </w:r>
          </w:p>
        </w:tc>
        <w:tc>
          <w:tcPr>
            <w:tcW w:w="5936" w:type="dxa"/>
            <w:tcBorders>
              <w:top w:val="nil"/>
              <w:left w:val="nil"/>
              <w:bottom w:val="nil"/>
              <w:right w:val="nil"/>
            </w:tcBorders>
            <w:shd w:val="clear" w:color="auto" w:fill="auto"/>
            <w:noWrap/>
            <w:vAlign w:val="center"/>
            <w:hideMark/>
          </w:tcPr>
          <w:p w14:paraId="6D7BAEA1" w14:textId="77777777" w:rsidR="00BC5219" w:rsidRPr="00470BFB" w:rsidRDefault="00BC5219" w:rsidP="00E83802">
            <w:pPr>
              <w:rPr>
                <w:rFonts w:ascii="Meta Pro" w:eastAsia="Times New Roman" w:hAnsi="Meta Pro"/>
                <w:color w:val="000000"/>
                <w:szCs w:val="18"/>
                <w:lang w:eastAsia="en-AU"/>
              </w:rPr>
            </w:pPr>
            <w:r w:rsidRPr="00470BFB">
              <w:rPr>
                <w:rFonts w:ascii="Meta Pro" w:eastAsia="Times New Roman" w:hAnsi="Meta Pro"/>
                <w:color w:val="000000"/>
                <w:szCs w:val="18"/>
                <w:lang w:eastAsia="en-AU"/>
              </w:rPr>
              <w:t>Public private partnerships</w:t>
            </w:r>
          </w:p>
        </w:tc>
        <w:tc>
          <w:tcPr>
            <w:tcW w:w="1396" w:type="dxa"/>
            <w:tcBorders>
              <w:top w:val="nil"/>
              <w:left w:val="nil"/>
              <w:bottom w:val="nil"/>
              <w:right w:val="nil"/>
            </w:tcBorders>
            <w:shd w:val="clear" w:color="auto" w:fill="auto"/>
            <w:noWrap/>
            <w:vAlign w:val="center"/>
            <w:hideMark/>
          </w:tcPr>
          <w:p w14:paraId="3CE73858" w14:textId="77777777" w:rsidR="00BC5219" w:rsidRPr="00470BFB" w:rsidRDefault="00BC5219" w:rsidP="00E83802">
            <w:pPr>
              <w:jc w:val="center"/>
              <w:rPr>
                <w:rFonts w:ascii="Meta Pro" w:eastAsia="Times New Roman" w:hAnsi="Meta Pro"/>
                <w:color w:val="000000"/>
                <w:szCs w:val="18"/>
                <w:lang w:eastAsia="en-AU"/>
              </w:rPr>
            </w:pPr>
          </w:p>
        </w:tc>
      </w:tr>
      <w:tr w:rsidR="00BC5219" w:rsidRPr="00470BFB" w14:paraId="2487D761" w14:textId="77777777" w:rsidTr="00E83802">
        <w:trPr>
          <w:trHeight w:val="198"/>
        </w:trPr>
        <w:tc>
          <w:tcPr>
            <w:tcW w:w="1496" w:type="dxa"/>
            <w:tcBorders>
              <w:top w:val="nil"/>
              <w:left w:val="nil"/>
              <w:bottom w:val="nil"/>
              <w:right w:val="nil"/>
            </w:tcBorders>
            <w:shd w:val="clear" w:color="auto" w:fill="auto"/>
            <w:noWrap/>
            <w:vAlign w:val="center"/>
            <w:hideMark/>
          </w:tcPr>
          <w:p w14:paraId="202784DF" w14:textId="77777777" w:rsidR="00BC5219" w:rsidRPr="00470BFB" w:rsidRDefault="00BC5219" w:rsidP="00E83802">
            <w:pPr>
              <w:jc w:val="center"/>
              <w:rPr>
                <w:rFonts w:ascii="Meta Pro" w:eastAsia="Times New Roman" w:hAnsi="Meta Pro"/>
                <w:color w:val="000000"/>
                <w:szCs w:val="18"/>
                <w:lang w:eastAsia="en-AU"/>
              </w:rPr>
            </w:pPr>
          </w:p>
        </w:tc>
        <w:tc>
          <w:tcPr>
            <w:tcW w:w="1756" w:type="dxa"/>
            <w:tcBorders>
              <w:top w:val="nil"/>
              <w:left w:val="nil"/>
              <w:bottom w:val="nil"/>
              <w:right w:val="nil"/>
            </w:tcBorders>
            <w:shd w:val="clear" w:color="auto" w:fill="auto"/>
            <w:noWrap/>
            <w:vAlign w:val="center"/>
            <w:hideMark/>
          </w:tcPr>
          <w:p w14:paraId="272126B8" w14:textId="77777777" w:rsidR="00BC5219" w:rsidRPr="00470BFB" w:rsidRDefault="00BC5219" w:rsidP="00E83802">
            <w:pPr>
              <w:rPr>
                <w:rFonts w:ascii="Meta Pro" w:eastAsia="Times New Roman" w:hAnsi="Meta Pro" w:cs="Times New Roman"/>
                <w:sz w:val="20"/>
                <w:szCs w:val="20"/>
                <w:lang w:eastAsia="en-AU"/>
              </w:rPr>
            </w:pPr>
          </w:p>
        </w:tc>
        <w:tc>
          <w:tcPr>
            <w:tcW w:w="496" w:type="dxa"/>
            <w:tcBorders>
              <w:top w:val="nil"/>
              <w:left w:val="nil"/>
              <w:bottom w:val="nil"/>
              <w:right w:val="nil"/>
            </w:tcBorders>
            <w:shd w:val="clear" w:color="auto" w:fill="auto"/>
            <w:noWrap/>
            <w:vAlign w:val="center"/>
            <w:hideMark/>
          </w:tcPr>
          <w:p w14:paraId="3DD7342A" w14:textId="77777777" w:rsidR="00BC5219" w:rsidRPr="00470BFB" w:rsidRDefault="00BC5219" w:rsidP="00E83802">
            <w:pPr>
              <w:jc w:val="right"/>
              <w:rPr>
                <w:rFonts w:ascii="Meta Pro" w:eastAsia="Times New Roman" w:hAnsi="Meta Pro"/>
                <w:color w:val="000000"/>
                <w:szCs w:val="18"/>
                <w:lang w:eastAsia="en-AU"/>
              </w:rPr>
            </w:pPr>
            <w:r w:rsidRPr="00470BFB">
              <w:rPr>
                <w:rFonts w:ascii="Meta Pro" w:eastAsia="Times New Roman" w:hAnsi="Meta Pro"/>
                <w:color w:val="000000"/>
                <w:szCs w:val="18"/>
                <w:lang w:eastAsia="en-AU"/>
              </w:rPr>
              <w:t>17</w:t>
            </w:r>
          </w:p>
        </w:tc>
        <w:tc>
          <w:tcPr>
            <w:tcW w:w="5936" w:type="dxa"/>
            <w:tcBorders>
              <w:top w:val="nil"/>
              <w:left w:val="nil"/>
              <w:bottom w:val="nil"/>
              <w:right w:val="nil"/>
            </w:tcBorders>
            <w:shd w:val="clear" w:color="auto" w:fill="auto"/>
            <w:noWrap/>
            <w:vAlign w:val="center"/>
            <w:hideMark/>
          </w:tcPr>
          <w:p w14:paraId="03F90880" w14:textId="77777777" w:rsidR="00BC5219" w:rsidRPr="00470BFB" w:rsidRDefault="00BC5219" w:rsidP="00E83802">
            <w:pPr>
              <w:rPr>
                <w:rFonts w:ascii="Meta Pro" w:eastAsia="Times New Roman" w:hAnsi="Meta Pro"/>
                <w:color w:val="000000"/>
                <w:szCs w:val="18"/>
                <w:lang w:eastAsia="en-AU"/>
              </w:rPr>
            </w:pPr>
            <w:r w:rsidRPr="00470BFB">
              <w:rPr>
                <w:rFonts w:ascii="Meta Pro" w:eastAsia="Times New Roman" w:hAnsi="Meta Pro"/>
                <w:color w:val="000000"/>
                <w:szCs w:val="18"/>
                <w:lang w:eastAsia="en-AU"/>
              </w:rPr>
              <w:t>Leases</w:t>
            </w:r>
          </w:p>
        </w:tc>
        <w:tc>
          <w:tcPr>
            <w:tcW w:w="1396" w:type="dxa"/>
            <w:tcBorders>
              <w:top w:val="nil"/>
              <w:left w:val="nil"/>
              <w:bottom w:val="nil"/>
              <w:right w:val="nil"/>
            </w:tcBorders>
            <w:shd w:val="clear" w:color="auto" w:fill="auto"/>
            <w:noWrap/>
            <w:vAlign w:val="center"/>
            <w:hideMark/>
          </w:tcPr>
          <w:p w14:paraId="03C7D6CB" w14:textId="77777777" w:rsidR="00BC5219" w:rsidRPr="00470BFB" w:rsidRDefault="00BC5219" w:rsidP="00E83802">
            <w:pPr>
              <w:jc w:val="center"/>
              <w:rPr>
                <w:rFonts w:ascii="Meta Pro" w:eastAsia="Times New Roman" w:hAnsi="Meta Pro"/>
                <w:color w:val="000000"/>
                <w:szCs w:val="18"/>
                <w:lang w:eastAsia="en-AU"/>
              </w:rPr>
            </w:pPr>
          </w:p>
        </w:tc>
      </w:tr>
      <w:tr w:rsidR="00BC5219" w:rsidRPr="00470BFB" w14:paraId="7B2066C3" w14:textId="77777777" w:rsidTr="00E83802">
        <w:trPr>
          <w:trHeight w:val="198"/>
        </w:trPr>
        <w:tc>
          <w:tcPr>
            <w:tcW w:w="1496" w:type="dxa"/>
            <w:tcBorders>
              <w:top w:val="nil"/>
              <w:left w:val="nil"/>
              <w:bottom w:val="nil"/>
              <w:right w:val="nil"/>
            </w:tcBorders>
            <w:shd w:val="clear" w:color="auto" w:fill="auto"/>
            <w:noWrap/>
            <w:vAlign w:val="center"/>
            <w:hideMark/>
          </w:tcPr>
          <w:p w14:paraId="0A5E6F78" w14:textId="77777777" w:rsidR="00BC5219" w:rsidRPr="00470BFB" w:rsidRDefault="00BC5219" w:rsidP="00E83802">
            <w:pPr>
              <w:jc w:val="center"/>
              <w:rPr>
                <w:rFonts w:ascii="Meta Pro" w:eastAsia="Times New Roman" w:hAnsi="Meta Pro"/>
                <w:color w:val="000000"/>
                <w:szCs w:val="18"/>
                <w:lang w:eastAsia="en-AU"/>
              </w:rPr>
            </w:pPr>
          </w:p>
        </w:tc>
        <w:tc>
          <w:tcPr>
            <w:tcW w:w="1756" w:type="dxa"/>
            <w:tcBorders>
              <w:top w:val="nil"/>
              <w:left w:val="nil"/>
              <w:bottom w:val="nil"/>
              <w:right w:val="nil"/>
            </w:tcBorders>
            <w:shd w:val="clear" w:color="auto" w:fill="auto"/>
            <w:noWrap/>
            <w:vAlign w:val="center"/>
            <w:hideMark/>
          </w:tcPr>
          <w:p w14:paraId="63E71027" w14:textId="77777777" w:rsidR="00BC5219" w:rsidRPr="00470BFB" w:rsidRDefault="00BC5219" w:rsidP="00E83802">
            <w:pPr>
              <w:rPr>
                <w:rFonts w:ascii="Meta Pro" w:eastAsia="Times New Roman" w:hAnsi="Meta Pro" w:cs="Times New Roman"/>
                <w:sz w:val="20"/>
                <w:szCs w:val="20"/>
                <w:lang w:eastAsia="en-AU"/>
              </w:rPr>
            </w:pPr>
          </w:p>
        </w:tc>
        <w:tc>
          <w:tcPr>
            <w:tcW w:w="496" w:type="dxa"/>
            <w:tcBorders>
              <w:top w:val="nil"/>
              <w:left w:val="nil"/>
              <w:bottom w:val="nil"/>
              <w:right w:val="nil"/>
            </w:tcBorders>
            <w:shd w:val="clear" w:color="auto" w:fill="auto"/>
            <w:noWrap/>
            <w:vAlign w:val="center"/>
            <w:hideMark/>
          </w:tcPr>
          <w:p w14:paraId="3263A5E6" w14:textId="77777777" w:rsidR="00BC5219" w:rsidRPr="00470BFB" w:rsidRDefault="00BC5219" w:rsidP="00E83802">
            <w:pPr>
              <w:jc w:val="right"/>
              <w:rPr>
                <w:rFonts w:ascii="Meta Pro" w:eastAsia="Times New Roman" w:hAnsi="Meta Pro"/>
                <w:color w:val="000000"/>
                <w:szCs w:val="18"/>
                <w:lang w:eastAsia="en-AU"/>
              </w:rPr>
            </w:pPr>
            <w:r w:rsidRPr="00470BFB">
              <w:rPr>
                <w:rFonts w:ascii="Meta Pro" w:eastAsia="Times New Roman" w:hAnsi="Meta Pro"/>
                <w:color w:val="000000"/>
                <w:szCs w:val="18"/>
                <w:lang w:eastAsia="en-AU"/>
              </w:rPr>
              <w:t>18</w:t>
            </w:r>
          </w:p>
        </w:tc>
        <w:tc>
          <w:tcPr>
            <w:tcW w:w="5936" w:type="dxa"/>
            <w:tcBorders>
              <w:top w:val="nil"/>
              <w:left w:val="nil"/>
              <w:bottom w:val="nil"/>
              <w:right w:val="nil"/>
            </w:tcBorders>
            <w:shd w:val="clear" w:color="auto" w:fill="auto"/>
            <w:noWrap/>
            <w:vAlign w:val="center"/>
            <w:hideMark/>
          </w:tcPr>
          <w:p w14:paraId="33E03A74" w14:textId="77777777" w:rsidR="00BC5219" w:rsidRPr="00470BFB" w:rsidRDefault="00BC5219" w:rsidP="00E83802">
            <w:pPr>
              <w:rPr>
                <w:rFonts w:ascii="Meta Pro" w:eastAsia="Times New Roman" w:hAnsi="Meta Pro"/>
                <w:color w:val="000000"/>
                <w:szCs w:val="18"/>
                <w:lang w:eastAsia="en-AU"/>
              </w:rPr>
            </w:pPr>
            <w:r w:rsidRPr="00470BFB">
              <w:rPr>
                <w:rFonts w:ascii="Meta Pro" w:eastAsia="Times New Roman" w:hAnsi="Meta Pro"/>
                <w:color w:val="000000"/>
                <w:szCs w:val="18"/>
                <w:lang w:eastAsia="en-AU"/>
              </w:rPr>
              <w:t>Payables</w:t>
            </w:r>
          </w:p>
        </w:tc>
        <w:tc>
          <w:tcPr>
            <w:tcW w:w="1396" w:type="dxa"/>
            <w:tcBorders>
              <w:top w:val="nil"/>
              <w:left w:val="nil"/>
              <w:bottom w:val="nil"/>
              <w:right w:val="nil"/>
            </w:tcBorders>
            <w:shd w:val="clear" w:color="auto" w:fill="auto"/>
            <w:noWrap/>
            <w:vAlign w:val="center"/>
            <w:hideMark/>
          </w:tcPr>
          <w:p w14:paraId="3C2F3C13" w14:textId="77777777" w:rsidR="00BC5219" w:rsidRPr="00470BFB" w:rsidRDefault="00BC5219" w:rsidP="00E83802">
            <w:pPr>
              <w:jc w:val="center"/>
              <w:rPr>
                <w:rFonts w:ascii="Meta Pro" w:eastAsia="Times New Roman" w:hAnsi="Meta Pro"/>
                <w:color w:val="000000"/>
                <w:szCs w:val="18"/>
                <w:lang w:eastAsia="en-AU"/>
              </w:rPr>
            </w:pPr>
          </w:p>
        </w:tc>
      </w:tr>
      <w:tr w:rsidR="00BC5219" w:rsidRPr="00470BFB" w14:paraId="698E19E4" w14:textId="77777777" w:rsidTr="00E83802">
        <w:trPr>
          <w:trHeight w:val="198"/>
        </w:trPr>
        <w:tc>
          <w:tcPr>
            <w:tcW w:w="1496" w:type="dxa"/>
            <w:tcBorders>
              <w:top w:val="nil"/>
              <w:left w:val="nil"/>
              <w:bottom w:val="nil"/>
              <w:right w:val="nil"/>
            </w:tcBorders>
            <w:shd w:val="clear" w:color="auto" w:fill="auto"/>
            <w:noWrap/>
            <w:vAlign w:val="center"/>
            <w:hideMark/>
          </w:tcPr>
          <w:p w14:paraId="25133A15" w14:textId="77777777" w:rsidR="00BC5219" w:rsidRPr="00470BFB" w:rsidRDefault="00BC5219" w:rsidP="00E83802">
            <w:pPr>
              <w:jc w:val="center"/>
              <w:rPr>
                <w:rFonts w:ascii="Meta Pro" w:eastAsia="Times New Roman" w:hAnsi="Meta Pro"/>
                <w:color w:val="000000"/>
                <w:szCs w:val="18"/>
                <w:lang w:eastAsia="en-AU"/>
              </w:rPr>
            </w:pPr>
          </w:p>
        </w:tc>
        <w:tc>
          <w:tcPr>
            <w:tcW w:w="1756" w:type="dxa"/>
            <w:tcBorders>
              <w:top w:val="nil"/>
              <w:left w:val="nil"/>
              <w:bottom w:val="nil"/>
              <w:right w:val="nil"/>
            </w:tcBorders>
            <w:shd w:val="clear" w:color="auto" w:fill="auto"/>
            <w:noWrap/>
            <w:vAlign w:val="center"/>
            <w:hideMark/>
          </w:tcPr>
          <w:p w14:paraId="6DA7F930" w14:textId="77777777" w:rsidR="00BC5219" w:rsidRPr="00470BFB" w:rsidRDefault="00BC5219" w:rsidP="00E83802">
            <w:pPr>
              <w:rPr>
                <w:rFonts w:ascii="Meta Pro" w:eastAsia="Times New Roman" w:hAnsi="Meta Pro" w:cs="Times New Roman"/>
                <w:sz w:val="20"/>
                <w:szCs w:val="20"/>
                <w:lang w:eastAsia="en-AU"/>
              </w:rPr>
            </w:pPr>
          </w:p>
        </w:tc>
        <w:tc>
          <w:tcPr>
            <w:tcW w:w="496" w:type="dxa"/>
            <w:tcBorders>
              <w:top w:val="nil"/>
              <w:left w:val="nil"/>
              <w:bottom w:val="nil"/>
              <w:right w:val="nil"/>
            </w:tcBorders>
            <w:shd w:val="clear" w:color="auto" w:fill="auto"/>
            <w:noWrap/>
            <w:vAlign w:val="center"/>
            <w:hideMark/>
          </w:tcPr>
          <w:p w14:paraId="600FA42A" w14:textId="77777777" w:rsidR="00BC5219" w:rsidRPr="00470BFB" w:rsidRDefault="00BC5219" w:rsidP="00E83802">
            <w:pPr>
              <w:jc w:val="right"/>
              <w:rPr>
                <w:rFonts w:ascii="Meta Pro" w:eastAsia="Times New Roman" w:hAnsi="Meta Pro"/>
                <w:color w:val="000000"/>
                <w:szCs w:val="18"/>
                <w:lang w:eastAsia="en-AU"/>
              </w:rPr>
            </w:pPr>
            <w:r w:rsidRPr="00470BFB">
              <w:rPr>
                <w:rFonts w:ascii="Meta Pro" w:eastAsia="Times New Roman" w:hAnsi="Meta Pro"/>
                <w:color w:val="000000"/>
                <w:szCs w:val="18"/>
                <w:lang w:eastAsia="en-AU"/>
              </w:rPr>
              <w:t>19</w:t>
            </w:r>
          </w:p>
        </w:tc>
        <w:tc>
          <w:tcPr>
            <w:tcW w:w="5936" w:type="dxa"/>
            <w:tcBorders>
              <w:top w:val="nil"/>
              <w:left w:val="nil"/>
              <w:bottom w:val="nil"/>
              <w:right w:val="nil"/>
            </w:tcBorders>
            <w:shd w:val="clear" w:color="auto" w:fill="auto"/>
            <w:noWrap/>
            <w:vAlign w:val="center"/>
            <w:hideMark/>
          </w:tcPr>
          <w:p w14:paraId="5319D7AB" w14:textId="77777777" w:rsidR="00BC5219" w:rsidRPr="00470BFB" w:rsidRDefault="00BC5219" w:rsidP="00E83802">
            <w:pPr>
              <w:rPr>
                <w:rFonts w:ascii="Meta Pro" w:eastAsia="Times New Roman" w:hAnsi="Meta Pro"/>
                <w:color w:val="000000"/>
                <w:szCs w:val="18"/>
                <w:lang w:eastAsia="en-AU"/>
              </w:rPr>
            </w:pPr>
            <w:r w:rsidRPr="00470BFB">
              <w:rPr>
                <w:rFonts w:ascii="Meta Pro" w:eastAsia="Times New Roman" w:hAnsi="Meta Pro"/>
                <w:color w:val="000000"/>
                <w:szCs w:val="18"/>
                <w:lang w:eastAsia="en-AU"/>
              </w:rPr>
              <w:t>Borrowings</w:t>
            </w:r>
          </w:p>
        </w:tc>
        <w:tc>
          <w:tcPr>
            <w:tcW w:w="1396" w:type="dxa"/>
            <w:tcBorders>
              <w:top w:val="nil"/>
              <w:left w:val="nil"/>
              <w:bottom w:val="nil"/>
              <w:right w:val="nil"/>
            </w:tcBorders>
            <w:shd w:val="clear" w:color="auto" w:fill="auto"/>
            <w:noWrap/>
            <w:vAlign w:val="center"/>
            <w:hideMark/>
          </w:tcPr>
          <w:p w14:paraId="217390FE" w14:textId="77777777" w:rsidR="00BC5219" w:rsidRPr="00470BFB" w:rsidRDefault="00BC5219" w:rsidP="00E83802">
            <w:pPr>
              <w:jc w:val="center"/>
              <w:rPr>
                <w:rFonts w:ascii="Meta Pro" w:eastAsia="Times New Roman" w:hAnsi="Meta Pro"/>
                <w:color w:val="000000"/>
                <w:szCs w:val="18"/>
                <w:lang w:eastAsia="en-AU"/>
              </w:rPr>
            </w:pPr>
          </w:p>
        </w:tc>
      </w:tr>
      <w:tr w:rsidR="00BC5219" w:rsidRPr="00470BFB" w14:paraId="1A2482AA" w14:textId="77777777" w:rsidTr="00E83802">
        <w:trPr>
          <w:trHeight w:val="198"/>
        </w:trPr>
        <w:tc>
          <w:tcPr>
            <w:tcW w:w="1496" w:type="dxa"/>
            <w:tcBorders>
              <w:top w:val="nil"/>
              <w:left w:val="nil"/>
              <w:bottom w:val="nil"/>
              <w:right w:val="nil"/>
            </w:tcBorders>
            <w:shd w:val="clear" w:color="auto" w:fill="auto"/>
            <w:noWrap/>
            <w:vAlign w:val="center"/>
            <w:hideMark/>
          </w:tcPr>
          <w:p w14:paraId="0B8433D2" w14:textId="77777777" w:rsidR="00BC5219" w:rsidRPr="00470BFB" w:rsidRDefault="00BC5219" w:rsidP="00E83802">
            <w:pPr>
              <w:jc w:val="center"/>
              <w:rPr>
                <w:rFonts w:ascii="Meta Pro" w:eastAsia="Times New Roman" w:hAnsi="Meta Pro"/>
                <w:color w:val="000000"/>
                <w:szCs w:val="18"/>
                <w:lang w:eastAsia="en-AU"/>
              </w:rPr>
            </w:pPr>
          </w:p>
        </w:tc>
        <w:tc>
          <w:tcPr>
            <w:tcW w:w="1756" w:type="dxa"/>
            <w:tcBorders>
              <w:top w:val="nil"/>
              <w:left w:val="nil"/>
              <w:bottom w:val="nil"/>
              <w:right w:val="nil"/>
            </w:tcBorders>
            <w:shd w:val="clear" w:color="auto" w:fill="auto"/>
            <w:noWrap/>
            <w:vAlign w:val="center"/>
            <w:hideMark/>
          </w:tcPr>
          <w:p w14:paraId="69C4B9A8" w14:textId="77777777" w:rsidR="00BC5219" w:rsidRPr="00470BFB" w:rsidRDefault="00BC5219" w:rsidP="00E83802">
            <w:pPr>
              <w:rPr>
                <w:rFonts w:ascii="Meta Pro" w:eastAsia="Times New Roman" w:hAnsi="Meta Pro" w:cs="Times New Roman"/>
                <w:sz w:val="20"/>
                <w:szCs w:val="20"/>
                <w:lang w:eastAsia="en-AU"/>
              </w:rPr>
            </w:pPr>
          </w:p>
        </w:tc>
        <w:tc>
          <w:tcPr>
            <w:tcW w:w="496" w:type="dxa"/>
            <w:tcBorders>
              <w:top w:val="nil"/>
              <w:left w:val="nil"/>
              <w:bottom w:val="nil"/>
              <w:right w:val="nil"/>
            </w:tcBorders>
            <w:shd w:val="clear" w:color="auto" w:fill="auto"/>
            <w:noWrap/>
            <w:vAlign w:val="center"/>
            <w:hideMark/>
          </w:tcPr>
          <w:p w14:paraId="3B134EFA" w14:textId="77777777" w:rsidR="00BC5219" w:rsidRPr="00470BFB" w:rsidRDefault="00BC5219" w:rsidP="00E83802">
            <w:pPr>
              <w:jc w:val="right"/>
              <w:rPr>
                <w:rFonts w:ascii="Meta Pro" w:eastAsia="Times New Roman" w:hAnsi="Meta Pro"/>
                <w:color w:val="000000"/>
                <w:szCs w:val="18"/>
                <w:lang w:eastAsia="en-AU"/>
              </w:rPr>
            </w:pPr>
            <w:r w:rsidRPr="00470BFB">
              <w:rPr>
                <w:rFonts w:ascii="Meta Pro" w:eastAsia="Times New Roman" w:hAnsi="Meta Pro"/>
                <w:color w:val="000000"/>
                <w:szCs w:val="18"/>
                <w:lang w:eastAsia="en-AU"/>
              </w:rPr>
              <w:t>20</w:t>
            </w:r>
          </w:p>
        </w:tc>
        <w:tc>
          <w:tcPr>
            <w:tcW w:w="5936" w:type="dxa"/>
            <w:tcBorders>
              <w:top w:val="nil"/>
              <w:left w:val="nil"/>
              <w:bottom w:val="nil"/>
              <w:right w:val="nil"/>
            </w:tcBorders>
            <w:shd w:val="clear" w:color="auto" w:fill="auto"/>
            <w:noWrap/>
            <w:vAlign w:val="center"/>
            <w:hideMark/>
          </w:tcPr>
          <w:p w14:paraId="6EC9AAB4" w14:textId="77777777" w:rsidR="00BC5219" w:rsidRPr="00470BFB" w:rsidRDefault="00BC5219" w:rsidP="00E83802">
            <w:pPr>
              <w:rPr>
                <w:rFonts w:ascii="Meta Pro" w:eastAsia="Times New Roman" w:hAnsi="Meta Pro"/>
                <w:color w:val="000000"/>
                <w:szCs w:val="18"/>
                <w:lang w:eastAsia="en-AU"/>
              </w:rPr>
            </w:pPr>
            <w:r w:rsidRPr="00470BFB">
              <w:rPr>
                <w:rFonts w:ascii="Meta Pro" w:eastAsia="Times New Roman" w:hAnsi="Meta Pro"/>
                <w:color w:val="000000"/>
                <w:szCs w:val="18"/>
                <w:lang w:eastAsia="en-AU"/>
              </w:rPr>
              <w:t>Provisions</w:t>
            </w:r>
          </w:p>
        </w:tc>
        <w:tc>
          <w:tcPr>
            <w:tcW w:w="1396" w:type="dxa"/>
            <w:tcBorders>
              <w:top w:val="nil"/>
              <w:left w:val="nil"/>
              <w:bottom w:val="nil"/>
              <w:right w:val="nil"/>
            </w:tcBorders>
            <w:shd w:val="clear" w:color="auto" w:fill="auto"/>
            <w:noWrap/>
            <w:vAlign w:val="center"/>
            <w:hideMark/>
          </w:tcPr>
          <w:p w14:paraId="49A6AC15" w14:textId="77777777" w:rsidR="00BC5219" w:rsidRPr="00470BFB" w:rsidRDefault="00BC5219" w:rsidP="00E83802">
            <w:pPr>
              <w:jc w:val="center"/>
              <w:rPr>
                <w:rFonts w:ascii="Meta Pro" w:eastAsia="Times New Roman" w:hAnsi="Meta Pro"/>
                <w:color w:val="000000"/>
                <w:szCs w:val="18"/>
                <w:lang w:eastAsia="en-AU"/>
              </w:rPr>
            </w:pPr>
          </w:p>
        </w:tc>
      </w:tr>
      <w:tr w:rsidR="00BC5219" w:rsidRPr="00470BFB" w14:paraId="4AD785AA" w14:textId="77777777" w:rsidTr="00E83802">
        <w:trPr>
          <w:trHeight w:val="198"/>
        </w:trPr>
        <w:tc>
          <w:tcPr>
            <w:tcW w:w="1496" w:type="dxa"/>
            <w:tcBorders>
              <w:top w:val="nil"/>
              <w:left w:val="nil"/>
              <w:bottom w:val="nil"/>
              <w:right w:val="nil"/>
            </w:tcBorders>
            <w:shd w:val="clear" w:color="auto" w:fill="auto"/>
            <w:noWrap/>
            <w:vAlign w:val="center"/>
            <w:hideMark/>
          </w:tcPr>
          <w:p w14:paraId="05B56FDB" w14:textId="77777777" w:rsidR="00BC5219" w:rsidRPr="00470BFB" w:rsidRDefault="00BC5219" w:rsidP="00E83802">
            <w:pPr>
              <w:jc w:val="center"/>
              <w:rPr>
                <w:rFonts w:ascii="Meta Pro" w:eastAsia="Times New Roman" w:hAnsi="Meta Pro"/>
                <w:color w:val="000000"/>
                <w:szCs w:val="18"/>
                <w:lang w:eastAsia="en-AU"/>
              </w:rPr>
            </w:pPr>
          </w:p>
        </w:tc>
        <w:tc>
          <w:tcPr>
            <w:tcW w:w="1756" w:type="dxa"/>
            <w:tcBorders>
              <w:top w:val="nil"/>
              <w:left w:val="nil"/>
              <w:bottom w:val="nil"/>
              <w:right w:val="nil"/>
            </w:tcBorders>
            <w:shd w:val="clear" w:color="auto" w:fill="auto"/>
            <w:noWrap/>
            <w:vAlign w:val="center"/>
            <w:hideMark/>
          </w:tcPr>
          <w:p w14:paraId="1C90CB99" w14:textId="77777777" w:rsidR="00BC5219" w:rsidRPr="00470BFB" w:rsidRDefault="00BC5219" w:rsidP="00E83802">
            <w:pPr>
              <w:rPr>
                <w:rFonts w:ascii="Meta Pro" w:eastAsia="Times New Roman" w:hAnsi="Meta Pro" w:cs="Times New Roman"/>
                <w:sz w:val="20"/>
                <w:szCs w:val="20"/>
                <w:lang w:eastAsia="en-AU"/>
              </w:rPr>
            </w:pPr>
          </w:p>
        </w:tc>
        <w:tc>
          <w:tcPr>
            <w:tcW w:w="496" w:type="dxa"/>
            <w:tcBorders>
              <w:top w:val="nil"/>
              <w:left w:val="nil"/>
              <w:bottom w:val="nil"/>
              <w:right w:val="nil"/>
            </w:tcBorders>
            <w:shd w:val="clear" w:color="auto" w:fill="auto"/>
            <w:noWrap/>
            <w:vAlign w:val="center"/>
            <w:hideMark/>
          </w:tcPr>
          <w:p w14:paraId="79DF7868" w14:textId="77777777" w:rsidR="00BC5219" w:rsidRPr="00470BFB" w:rsidRDefault="00BC5219" w:rsidP="00E83802">
            <w:pPr>
              <w:jc w:val="right"/>
              <w:rPr>
                <w:rFonts w:ascii="Meta Pro" w:eastAsia="Times New Roman" w:hAnsi="Meta Pro"/>
                <w:color w:val="000000"/>
                <w:szCs w:val="18"/>
                <w:lang w:eastAsia="en-AU"/>
              </w:rPr>
            </w:pPr>
            <w:r w:rsidRPr="00470BFB">
              <w:rPr>
                <w:rFonts w:ascii="Meta Pro" w:eastAsia="Times New Roman" w:hAnsi="Meta Pro"/>
                <w:color w:val="000000"/>
                <w:szCs w:val="18"/>
                <w:lang w:eastAsia="en-AU"/>
              </w:rPr>
              <w:t>21</w:t>
            </w:r>
          </w:p>
        </w:tc>
        <w:tc>
          <w:tcPr>
            <w:tcW w:w="5936" w:type="dxa"/>
            <w:tcBorders>
              <w:top w:val="nil"/>
              <w:left w:val="nil"/>
              <w:bottom w:val="nil"/>
              <w:right w:val="nil"/>
            </w:tcBorders>
            <w:shd w:val="clear" w:color="auto" w:fill="auto"/>
            <w:noWrap/>
            <w:vAlign w:val="center"/>
            <w:hideMark/>
          </w:tcPr>
          <w:p w14:paraId="0D1B2718" w14:textId="77777777" w:rsidR="00BC5219" w:rsidRPr="00470BFB" w:rsidRDefault="00BC5219" w:rsidP="00E83802">
            <w:pPr>
              <w:rPr>
                <w:rFonts w:ascii="Meta Pro" w:eastAsia="Times New Roman" w:hAnsi="Meta Pro"/>
                <w:color w:val="000000"/>
                <w:szCs w:val="18"/>
                <w:lang w:eastAsia="en-AU"/>
              </w:rPr>
            </w:pPr>
            <w:r w:rsidRPr="00470BFB">
              <w:rPr>
                <w:rFonts w:ascii="Meta Pro" w:eastAsia="Times New Roman" w:hAnsi="Meta Pro"/>
                <w:color w:val="000000"/>
                <w:szCs w:val="18"/>
                <w:lang w:eastAsia="en-AU"/>
              </w:rPr>
              <w:t>Accrued employee benefits</w:t>
            </w:r>
          </w:p>
        </w:tc>
        <w:tc>
          <w:tcPr>
            <w:tcW w:w="1396" w:type="dxa"/>
            <w:tcBorders>
              <w:top w:val="nil"/>
              <w:left w:val="nil"/>
              <w:bottom w:val="nil"/>
              <w:right w:val="nil"/>
            </w:tcBorders>
            <w:shd w:val="clear" w:color="auto" w:fill="auto"/>
            <w:noWrap/>
            <w:vAlign w:val="center"/>
            <w:hideMark/>
          </w:tcPr>
          <w:p w14:paraId="65B77A31" w14:textId="77777777" w:rsidR="00BC5219" w:rsidRPr="00470BFB" w:rsidRDefault="00BC5219" w:rsidP="00E83802">
            <w:pPr>
              <w:jc w:val="center"/>
              <w:rPr>
                <w:rFonts w:ascii="Meta Pro" w:eastAsia="Times New Roman" w:hAnsi="Meta Pro"/>
                <w:color w:val="000000"/>
                <w:szCs w:val="18"/>
                <w:lang w:eastAsia="en-AU"/>
              </w:rPr>
            </w:pPr>
          </w:p>
        </w:tc>
      </w:tr>
      <w:tr w:rsidR="00BC5219" w:rsidRPr="00470BFB" w14:paraId="2538676F" w14:textId="77777777" w:rsidTr="00E83802">
        <w:trPr>
          <w:trHeight w:val="198"/>
        </w:trPr>
        <w:tc>
          <w:tcPr>
            <w:tcW w:w="1496" w:type="dxa"/>
            <w:tcBorders>
              <w:top w:val="nil"/>
              <w:left w:val="nil"/>
              <w:bottom w:val="nil"/>
              <w:right w:val="nil"/>
            </w:tcBorders>
            <w:shd w:val="clear" w:color="auto" w:fill="auto"/>
            <w:noWrap/>
            <w:vAlign w:val="bottom"/>
            <w:hideMark/>
          </w:tcPr>
          <w:p w14:paraId="492F98C2" w14:textId="77777777" w:rsidR="00BC5219" w:rsidRPr="00470BFB" w:rsidRDefault="00BC5219" w:rsidP="00E83802">
            <w:pPr>
              <w:jc w:val="center"/>
              <w:rPr>
                <w:rFonts w:ascii="Meta Pro" w:eastAsia="Times New Roman" w:hAnsi="Meta Pro"/>
                <w:color w:val="000000"/>
                <w:szCs w:val="18"/>
                <w:lang w:eastAsia="en-AU"/>
              </w:rPr>
            </w:pPr>
          </w:p>
        </w:tc>
        <w:tc>
          <w:tcPr>
            <w:tcW w:w="1756" w:type="dxa"/>
            <w:tcBorders>
              <w:top w:val="nil"/>
              <w:left w:val="nil"/>
              <w:bottom w:val="nil"/>
              <w:right w:val="nil"/>
            </w:tcBorders>
            <w:shd w:val="clear" w:color="auto" w:fill="auto"/>
            <w:noWrap/>
            <w:vAlign w:val="bottom"/>
            <w:hideMark/>
          </w:tcPr>
          <w:p w14:paraId="420427B0" w14:textId="77777777" w:rsidR="00BC5219" w:rsidRPr="00470BFB" w:rsidRDefault="00BC5219" w:rsidP="00E83802">
            <w:pPr>
              <w:rPr>
                <w:rFonts w:ascii="Meta Pro" w:eastAsia="Times New Roman" w:hAnsi="Meta Pro" w:cs="Times New Roman"/>
                <w:sz w:val="20"/>
                <w:szCs w:val="20"/>
                <w:lang w:eastAsia="en-AU"/>
              </w:rPr>
            </w:pPr>
          </w:p>
        </w:tc>
        <w:tc>
          <w:tcPr>
            <w:tcW w:w="496" w:type="dxa"/>
            <w:tcBorders>
              <w:top w:val="nil"/>
              <w:left w:val="nil"/>
              <w:bottom w:val="single" w:sz="4" w:space="0" w:color="auto"/>
              <w:right w:val="nil"/>
            </w:tcBorders>
            <w:shd w:val="clear" w:color="auto" w:fill="auto"/>
            <w:noWrap/>
            <w:vAlign w:val="center"/>
            <w:hideMark/>
          </w:tcPr>
          <w:p w14:paraId="34736347" w14:textId="77777777" w:rsidR="00BC5219" w:rsidRPr="00470BFB" w:rsidRDefault="00BC5219" w:rsidP="00E83802">
            <w:pPr>
              <w:jc w:val="right"/>
              <w:rPr>
                <w:rFonts w:ascii="Meta Pro" w:eastAsia="Times New Roman" w:hAnsi="Meta Pro"/>
                <w:color w:val="000000"/>
                <w:szCs w:val="18"/>
                <w:lang w:eastAsia="en-AU"/>
              </w:rPr>
            </w:pPr>
            <w:r w:rsidRPr="00470BFB">
              <w:rPr>
                <w:rFonts w:ascii="Meta Pro" w:eastAsia="Times New Roman" w:hAnsi="Meta Pro"/>
                <w:color w:val="000000"/>
                <w:szCs w:val="18"/>
                <w:lang w:eastAsia="en-AU"/>
              </w:rPr>
              <w:t>22</w:t>
            </w:r>
          </w:p>
        </w:tc>
        <w:tc>
          <w:tcPr>
            <w:tcW w:w="5936" w:type="dxa"/>
            <w:tcBorders>
              <w:top w:val="nil"/>
              <w:left w:val="nil"/>
              <w:bottom w:val="nil"/>
              <w:right w:val="nil"/>
            </w:tcBorders>
            <w:shd w:val="clear" w:color="auto" w:fill="auto"/>
            <w:noWrap/>
            <w:vAlign w:val="center"/>
            <w:hideMark/>
          </w:tcPr>
          <w:p w14:paraId="49B47A8D" w14:textId="77777777" w:rsidR="00BC5219" w:rsidRPr="00470BFB" w:rsidRDefault="00BC5219" w:rsidP="00E83802">
            <w:pPr>
              <w:rPr>
                <w:rFonts w:ascii="Meta Pro" w:eastAsia="Times New Roman" w:hAnsi="Meta Pro"/>
                <w:color w:val="000000"/>
                <w:szCs w:val="18"/>
                <w:lang w:eastAsia="en-AU"/>
              </w:rPr>
            </w:pPr>
            <w:r w:rsidRPr="00470BFB">
              <w:rPr>
                <w:rFonts w:ascii="Meta Pro" w:eastAsia="Times New Roman" w:hAnsi="Meta Pro"/>
                <w:color w:val="000000"/>
                <w:szCs w:val="18"/>
                <w:lang w:eastAsia="en-AU"/>
              </w:rPr>
              <w:t>Other liabilities</w:t>
            </w:r>
          </w:p>
        </w:tc>
        <w:tc>
          <w:tcPr>
            <w:tcW w:w="1396" w:type="dxa"/>
            <w:tcBorders>
              <w:top w:val="nil"/>
              <w:left w:val="nil"/>
              <w:bottom w:val="nil"/>
              <w:right w:val="nil"/>
            </w:tcBorders>
            <w:shd w:val="clear" w:color="auto" w:fill="auto"/>
            <w:noWrap/>
            <w:vAlign w:val="center"/>
            <w:hideMark/>
          </w:tcPr>
          <w:p w14:paraId="2BCE524F" w14:textId="77777777" w:rsidR="00BC5219" w:rsidRPr="00470BFB" w:rsidRDefault="00BC5219" w:rsidP="00E83802">
            <w:pPr>
              <w:jc w:val="center"/>
              <w:rPr>
                <w:rFonts w:ascii="Meta Pro" w:eastAsia="Times New Roman" w:hAnsi="Meta Pro"/>
                <w:color w:val="000000"/>
                <w:szCs w:val="18"/>
                <w:lang w:eastAsia="en-AU"/>
              </w:rPr>
            </w:pPr>
          </w:p>
        </w:tc>
      </w:tr>
      <w:tr w:rsidR="00BC5219" w:rsidRPr="00470BFB" w14:paraId="408658BE" w14:textId="77777777" w:rsidTr="00E83802">
        <w:trPr>
          <w:trHeight w:val="198"/>
        </w:trPr>
        <w:tc>
          <w:tcPr>
            <w:tcW w:w="1496" w:type="dxa"/>
            <w:tcBorders>
              <w:top w:val="nil"/>
              <w:left w:val="nil"/>
              <w:bottom w:val="nil"/>
              <w:right w:val="nil"/>
            </w:tcBorders>
            <w:shd w:val="clear" w:color="auto" w:fill="auto"/>
            <w:noWrap/>
            <w:vAlign w:val="center"/>
            <w:hideMark/>
          </w:tcPr>
          <w:p w14:paraId="7FE4D2C7" w14:textId="77777777" w:rsidR="00BC5219" w:rsidRPr="00470BFB" w:rsidRDefault="00BC5219" w:rsidP="00E83802">
            <w:pPr>
              <w:jc w:val="center"/>
              <w:rPr>
                <w:rFonts w:ascii="Meta Pro" w:eastAsia="Times New Roman" w:hAnsi="Meta Pro"/>
                <w:color w:val="000000"/>
                <w:szCs w:val="18"/>
                <w:lang w:eastAsia="en-AU"/>
              </w:rPr>
            </w:pPr>
          </w:p>
        </w:tc>
        <w:tc>
          <w:tcPr>
            <w:tcW w:w="1756" w:type="dxa"/>
            <w:vMerge w:val="restart"/>
            <w:tcBorders>
              <w:top w:val="single" w:sz="4" w:space="0" w:color="auto"/>
              <w:left w:val="nil"/>
              <w:bottom w:val="nil"/>
              <w:right w:val="nil"/>
            </w:tcBorders>
            <w:shd w:val="clear" w:color="auto" w:fill="auto"/>
            <w:hideMark/>
          </w:tcPr>
          <w:p w14:paraId="08772B1C" w14:textId="77777777" w:rsidR="00BC5219" w:rsidRPr="00470BFB" w:rsidRDefault="00BC5219" w:rsidP="00E83802">
            <w:pPr>
              <w:rPr>
                <w:rFonts w:ascii="Meta Pro" w:eastAsia="Times New Roman" w:hAnsi="Meta Pro"/>
                <w:color w:val="000000"/>
                <w:szCs w:val="18"/>
                <w:lang w:eastAsia="en-AU"/>
              </w:rPr>
            </w:pPr>
            <w:r w:rsidRPr="00470BFB">
              <w:rPr>
                <w:rFonts w:ascii="Meta Pro" w:eastAsia="Times New Roman" w:hAnsi="Meta Pro"/>
                <w:color w:val="000000"/>
                <w:szCs w:val="18"/>
                <w:lang w:eastAsia="en-AU"/>
              </w:rPr>
              <w:t>Other Information</w:t>
            </w:r>
          </w:p>
        </w:tc>
        <w:tc>
          <w:tcPr>
            <w:tcW w:w="496" w:type="dxa"/>
            <w:tcBorders>
              <w:top w:val="nil"/>
              <w:left w:val="nil"/>
              <w:bottom w:val="nil"/>
              <w:right w:val="nil"/>
            </w:tcBorders>
            <w:shd w:val="clear" w:color="auto" w:fill="auto"/>
            <w:noWrap/>
            <w:vAlign w:val="center"/>
            <w:hideMark/>
          </w:tcPr>
          <w:p w14:paraId="5EBD8CBD" w14:textId="77777777" w:rsidR="00BC5219" w:rsidRPr="00470BFB" w:rsidRDefault="00BC5219" w:rsidP="00E83802">
            <w:pPr>
              <w:jc w:val="right"/>
              <w:rPr>
                <w:rFonts w:ascii="Meta Pro" w:eastAsia="Times New Roman" w:hAnsi="Meta Pro"/>
                <w:color w:val="000000"/>
                <w:szCs w:val="18"/>
                <w:lang w:eastAsia="en-AU"/>
              </w:rPr>
            </w:pPr>
            <w:r w:rsidRPr="00470BFB">
              <w:rPr>
                <w:rFonts w:ascii="Meta Pro" w:eastAsia="Times New Roman" w:hAnsi="Meta Pro"/>
                <w:color w:val="000000"/>
                <w:szCs w:val="18"/>
                <w:lang w:eastAsia="en-AU"/>
              </w:rPr>
              <w:t>23</w:t>
            </w:r>
          </w:p>
        </w:tc>
        <w:tc>
          <w:tcPr>
            <w:tcW w:w="5936" w:type="dxa"/>
            <w:tcBorders>
              <w:top w:val="single" w:sz="4" w:space="0" w:color="auto"/>
              <w:left w:val="nil"/>
              <w:bottom w:val="nil"/>
              <w:right w:val="nil"/>
            </w:tcBorders>
            <w:shd w:val="clear" w:color="auto" w:fill="auto"/>
            <w:noWrap/>
            <w:vAlign w:val="center"/>
            <w:hideMark/>
          </w:tcPr>
          <w:p w14:paraId="28CD1803" w14:textId="77777777" w:rsidR="00BC5219" w:rsidRPr="00470BFB" w:rsidRDefault="00BC5219" w:rsidP="00E83802">
            <w:pPr>
              <w:rPr>
                <w:rFonts w:ascii="Meta Pro" w:eastAsia="Times New Roman" w:hAnsi="Meta Pro"/>
                <w:color w:val="000000"/>
                <w:szCs w:val="18"/>
                <w:lang w:eastAsia="en-AU"/>
              </w:rPr>
            </w:pPr>
            <w:r w:rsidRPr="00470BFB">
              <w:rPr>
                <w:rFonts w:ascii="Meta Pro" w:eastAsia="Times New Roman" w:hAnsi="Meta Pro"/>
                <w:color w:val="000000"/>
                <w:szCs w:val="18"/>
                <w:lang w:eastAsia="en-AU"/>
              </w:rPr>
              <w:t>Income tax equivalents</w:t>
            </w:r>
          </w:p>
        </w:tc>
        <w:tc>
          <w:tcPr>
            <w:tcW w:w="1396" w:type="dxa"/>
            <w:tcBorders>
              <w:top w:val="single" w:sz="4" w:space="0" w:color="auto"/>
              <w:left w:val="nil"/>
              <w:bottom w:val="nil"/>
              <w:right w:val="nil"/>
            </w:tcBorders>
            <w:shd w:val="clear" w:color="auto" w:fill="auto"/>
            <w:noWrap/>
            <w:vAlign w:val="center"/>
            <w:hideMark/>
          </w:tcPr>
          <w:p w14:paraId="5F1EED66" w14:textId="77777777" w:rsidR="00BC5219" w:rsidRPr="00470BFB" w:rsidRDefault="00BC5219" w:rsidP="00E83802">
            <w:pPr>
              <w:jc w:val="center"/>
              <w:rPr>
                <w:rFonts w:ascii="Meta Pro" w:eastAsia="Times New Roman" w:hAnsi="Meta Pro"/>
                <w:color w:val="000000"/>
                <w:szCs w:val="18"/>
                <w:lang w:eastAsia="en-AU"/>
              </w:rPr>
            </w:pPr>
          </w:p>
        </w:tc>
      </w:tr>
      <w:tr w:rsidR="00BC5219" w:rsidRPr="00470BFB" w14:paraId="445F8D7B" w14:textId="77777777" w:rsidTr="00E83802">
        <w:trPr>
          <w:trHeight w:val="198"/>
        </w:trPr>
        <w:tc>
          <w:tcPr>
            <w:tcW w:w="1496" w:type="dxa"/>
            <w:tcBorders>
              <w:top w:val="nil"/>
              <w:left w:val="nil"/>
              <w:bottom w:val="nil"/>
              <w:right w:val="nil"/>
            </w:tcBorders>
            <w:shd w:val="clear" w:color="auto" w:fill="auto"/>
            <w:noWrap/>
            <w:vAlign w:val="center"/>
            <w:hideMark/>
          </w:tcPr>
          <w:p w14:paraId="7D074012" w14:textId="77777777" w:rsidR="00BC5219" w:rsidRPr="00470BFB" w:rsidRDefault="00BC5219" w:rsidP="00E83802">
            <w:pPr>
              <w:jc w:val="center"/>
              <w:rPr>
                <w:rFonts w:ascii="Meta Pro" w:eastAsia="Times New Roman" w:hAnsi="Meta Pro"/>
                <w:color w:val="000000"/>
                <w:szCs w:val="18"/>
                <w:lang w:eastAsia="en-AU"/>
              </w:rPr>
            </w:pPr>
          </w:p>
        </w:tc>
        <w:tc>
          <w:tcPr>
            <w:tcW w:w="1756" w:type="dxa"/>
            <w:vMerge/>
            <w:tcBorders>
              <w:top w:val="single" w:sz="4" w:space="0" w:color="auto"/>
              <w:left w:val="nil"/>
              <w:bottom w:val="nil"/>
              <w:right w:val="nil"/>
            </w:tcBorders>
            <w:vAlign w:val="center"/>
            <w:hideMark/>
          </w:tcPr>
          <w:p w14:paraId="1A31E495" w14:textId="77777777" w:rsidR="00BC5219" w:rsidRPr="00470BFB" w:rsidRDefault="00BC5219" w:rsidP="00E83802">
            <w:pPr>
              <w:rPr>
                <w:rFonts w:ascii="Meta Pro" w:eastAsia="Times New Roman" w:hAnsi="Meta Pro"/>
                <w:color w:val="000000"/>
                <w:szCs w:val="18"/>
                <w:lang w:eastAsia="en-AU"/>
              </w:rPr>
            </w:pPr>
          </w:p>
        </w:tc>
        <w:tc>
          <w:tcPr>
            <w:tcW w:w="496" w:type="dxa"/>
            <w:tcBorders>
              <w:top w:val="nil"/>
              <w:left w:val="nil"/>
              <w:bottom w:val="nil"/>
              <w:right w:val="nil"/>
            </w:tcBorders>
            <w:shd w:val="clear" w:color="auto" w:fill="auto"/>
            <w:noWrap/>
            <w:vAlign w:val="center"/>
            <w:hideMark/>
          </w:tcPr>
          <w:p w14:paraId="071AED4B" w14:textId="77777777" w:rsidR="00BC5219" w:rsidRPr="00470BFB" w:rsidRDefault="00BC5219" w:rsidP="00E83802">
            <w:pPr>
              <w:jc w:val="right"/>
              <w:rPr>
                <w:rFonts w:ascii="Meta Pro" w:eastAsia="Times New Roman" w:hAnsi="Meta Pro"/>
                <w:color w:val="000000"/>
                <w:szCs w:val="18"/>
                <w:lang w:eastAsia="en-AU"/>
              </w:rPr>
            </w:pPr>
            <w:r w:rsidRPr="00470BFB">
              <w:rPr>
                <w:rFonts w:ascii="Meta Pro" w:eastAsia="Times New Roman" w:hAnsi="Meta Pro"/>
                <w:color w:val="000000"/>
                <w:szCs w:val="18"/>
                <w:lang w:eastAsia="en-AU"/>
              </w:rPr>
              <w:t>24</w:t>
            </w:r>
          </w:p>
        </w:tc>
        <w:tc>
          <w:tcPr>
            <w:tcW w:w="5936" w:type="dxa"/>
            <w:tcBorders>
              <w:top w:val="nil"/>
              <w:left w:val="nil"/>
              <w:bottom w:val="nil"/>
              <w:right w:val="nil"/>
            </w:tcBorders>
            <w:shd w:val="clear" w:color="auto" w:fill="auto"/>
            <w:noWrap/>
            <w:vAlign w:val="center"/>
            <w:hideMark/>
          </w:tcPr>
          <w:p w14:paraId="2F0DFC76" w14:textId="77777777" w:rsidR="00BC5219" w:rsidRPr="00470BFB" w:rsidRDefault="00BC5219" w:rsidP="00E83802">
            <w:pPr>
              <w:rPr>
                <w:rFonts w:ascii="Meta Pro" w:eastAsia="Times New Roman" w:hAnsi="Meta Pro"/>
                <w:color w:val="000000"/>
                <w:szCs w:val="18"/>
                <w:lang w:eastAsia="en-AU"/>
              </w:rPr>
            </w:pPr>
            <w:r w:rsidRPr="00470BFB">
              <w:rPr>
                <w:rFonts w:ascii="Meta Pro" w:eastAsia="Times New Roman" w:hAnsi="Meta Pro"/>
                <w:color w:val="000000"/>
                <w:szCs w:val="18"/>
                <w:lang w:eastAsia="en-AU"/>
              </w:rPr>
              <w:t>Commitments for expenditure</w:t>
            </w:r>
          </w:p>
        </w:tc>
        <w:tc>
          <w:tcPr>
            <w:tcW w:w="1396" w:type="dxa"/>
            <w:tcBorders>
              <w:top w:val="nil"/>
              <w:left w:val="nil"/>
              <w:bottom w:val="nil"/>
              <w:right w:val="nil"/>
            </w:tcBorders>
            <w:shd w:val="clear" w:color="auto" w:fill="auto"/>
            <w:noWrap/>
            <w:vAlign w:val="center"/>
            <w:hideMark/>
          </w:tcPr>
          <w:p w14:paraId="469B06C5" w14:textId="77777777" w:rsidR="00BC5219" w:rsidRPr="00470BFB" w:rsidRDefault="00BC5219" w:rsidP="00E83802">
            <w:pPr>
              <w:jc w:val="center"/>
              <w:rPr>
                <w:rFonts w:ascii="Meta Pro" w:eastAsia="Times New Roman" w:hAnsi="Meta Pro"/>
                <w:color w:val="000000"/>
                <w:szCs w:val="18"/>
                <w:lang w:eastAsia="en-AU"/>
              </w:rPr>
            </w:pPr>
          </w:p>
        </w:tc>
      </w:tr>
      <w:tr w:rsidR="00BC5219" w:rsidRPr="00470BFB" w14:paraId="4E29178E" w14:textId="77777777" w:rsidTr="00E83802">
        <w:trPr>
          <w:trHeight w:val="198"/>
        </w:trPr>
        <w:tc>
          <w:tcPr>
            <w:tcW w:w="1496" w:type="dxa"/>
            <w:tcBorders>
              <w:top w:val="nil"/>
              <w:left w:val="nil"/>
              <w:bottom w:val="nil"/>
              <w:right w:val="nil"/>
            </w:tcBorders>
            <w:shd w:val="clear" w:color="auto" w:fill="auto"/>
            <w:noWrap/>
            <w:vAlign w:val="center"/>
            <w:hideMark/>
          </w:tcPr>
          <w:p w14:paraId="20C38053" w14:textId="77777777" w:rsidR="00BC5219" w:rsidRPr="00470BFB" w:rsidRDefault="00BC5219" w:rsidP="00E83802">
            <w:pPr>
              <w:jc w:val="center"/>
              <w:rPr>
                <w:rFonts w:ascii="Meta Pro" w:eastAsia="Times New Roman" w:hAnsi="Meta Pro"/>
                <w:color w:val="000000"/>
                <w:szCs w:val="18"/>
                <w:lang w:eastAsia="en-AU"/>
              </w:rPr>
            </w:pPr>
          </w:p>
        </w:tc>
        <w:tc>
          <w:tcPr>
            <w:tcW w:w="1756" w:type="dxa"/>
            <w:vMerge/>
            <w:tcBorders>
              <w:top w:val="single" w:sz="4" w:space="0" w:color="auto"/>
              <w:left w:val="nil"/>
              <w:bottom w:val="nil"/>
              <w:right w:val="nil"/>
            </w:tcBorders>
            <w:vAlign w:val="center"/>
            <w:hideMark/>
          </w:tcPr>
          <w:p w14:paraId="071EC56D" w14:textId="77777777" w:rsidR="00BC5219" w:rsidRPr="00470BFB" w:rsidRDefault="00BC5219" w:rsidP="00E83802">
            <w:pPr>
              <w:rPr>
                <w:rFonts w:ascii="Meta Pro" w:eastAsia="Times New Roman" w:hAnsi="Meta Pro"/>
                <w:color w:val="000000"/>
                <w:szCs w:val="18"/>
                <w:lang w:eastAsia="en-AU"/>
              </w:rPr>
            </w:pPr>
          </w:p>
        </w:tc>
        <w:tc>
          <w:tcPr>
            <w:tcW w:w="496" w:type="dxa"/>
            <w:tcBorders>
              <w:top w:val="nil"/>
              <w:left w:val="nil"/>
              <w:bottom w:val="nil"/>
              <w:right w:val="nil"/>
            </w:tcBorders>
            <w:shd w:val="clear" w:color="auto" w:fill="auto"/>
            <w:noWrap/>
            <w:vAlign w:val="center"/>
            <w:hideMark/>
          </w:tcPr>
          <w:p w14:paraId="42888ED6" w14:textId="77777777" w:rsidR="00BC5219" w:rsidRPr="00470BFB" w:rsidRDefault="00BC5219" w:rsidP="00E83802">
            <w:pPr>
              <w:jc w:val="right"/>
              <w:rPr>
                <w:rFonts w:ascii="Meta Pro" w:eastAsia="Times New Roman" w:hAnsi="Meta Pro"/>
                <w:color w:val="000000"/>
                <w:szCs w:val="18"/>
                <w:lang w:eastAsia="en-AU"/>
              </w:rPr>
            </w:pPr>
            <w:r w:rsidRPr="00470BFB">
              <w:rPr>
                <w:rFonts w:ascii="Meta Pro" w:eastAsia="Times New Roman" w:hAnsi="Meta Pro"/>
                <w:color w:val="000000"/>
                <w:szCs w:val="18"/>
                <w:lang w:eastAsia="en-AU"/>
              </w:rPr>
              <w:t>25</w:t>
            </w:r>
          </w:p>
        </w:tc>
        <w:tc>
          <w:tcPr>
            <w:tcW w:w="5936" w:type="dxa"/>
            <w:tcBorders>
              <w:top w:val="nil"/>
              <w:left w:val="nil"/>
              <w:bottom w:val="nil"/>
              <w:right w:val="nil"/>
            </w:tcBorders>
            <w:shd w:val="clear" w:color="auto" w:fill="auto"/>
            <w:noWrap/>
            <w:vAlign w:val="center"/>
            <w:hideMark/>
          </w:tcPr>
          <w:p w14:paraId="0BDC6FFA" w14:textId="77777777" w:rsidR="00BC5219" w:rsidRPr="00470BFB" w:rsidRDefault="00BC5219" w:rsidP="00E83802">
            <w:pPr>
              <w:rPr>
                <w:rFonts w:ascii="Meta Pro" w:eastAsia="Times New Roman" w:hAnsi="Meta Pro"/>
                <w:color w:val="000000"/>
                <w:szCs w:val="18"/>
                <w:lang w:eastAsia="en-AU"/>
              </w:rPr>
            </w:pPr>
            <w:r w:rsidRPr="00470BFB">
              <w:rPr>
                <w:rFonts w:ascii="Meta Pro" w:eastAsia="Times New Roman" w:hAnsi="Meta Pro"/>
                <w:color w:val="000000"/>
                <w:szCs w:val="18"/>
                <w:lang w:eastAsia="en-AU"/>
              </w:rPr>
              <w:t>Contingencies</w:t>
            </w:r>
          </w:p>
        </w:tc>
        <w:tc>
          <w:tcPr>
            <w:tcW w:w="1396" w:type="dxa"/>
            <w:tcBorders>
              <w:top w:val="nil"/>
              <w:left w:val="nil"/>
              <w:bottom w:val="nil"/>
              <w:right w:val="nil"/>
            </w:tcBorders>
            <w:shd w:val="clear" w:color="auto" w:fill="auto"/>
            <w:noWrap/>
            <w:vAlign w:val="center"/>
            <w:hideMark/>
          </w:tcPr>
          <w:p w14:paraId="22C08132" w14:textId="77777777" w:rsidR="00BC5219" w:rsidRPr="00470BFB" w:rsidRDefault="00BC5219" w:rsidP="00E83802">
            <w:pPr>
              <w:jc w:val="center"/>
              <w:rPr>
                <w:rFonts w:ascii="Meta Pro" w:eastAsia="Times New Roman" w:hAnsi="Meta Pro"/>
                <w:color w:val="000000"/>
                <w:szCs w:val="18"/>
                <w:lang w:eastAsia="en-AU"/>
              </w:rPr>
            </w:pPr>
          </w:p>
        </w:tc>
      </w:tr>
      <w:tr w:rsidR="00BC5219" w:rsidRPr="00470BFB" w14:paraId="2B9408A5" w14:textId="77777777" w:rsidTr="00E83802">
        <w:trPr>
          <w:trHeight w:val="198"/>
        </w:trPr>
        <w:tc>
          <w:tcPr>
            <w:tcW w:w="1496" w:type="dxa"/>
            <w:tcBorders>
              <w:top w:val="nil"/>
              <w:left w:val="nil"/>
              <w:bottom w:val="nil"/>
              <w:right w:val="nil"/>
            </w:tcBorders>
            <w:shd w:val="clear" w:color="auto" w:fill="auto"/>
            <w:noWrap/>
            <w:vAlign w:val="center"/>
            <w:hideMark/>
          </w:tcPr>
          <w:p w14:paraId="19798BDD" w14:textId="77777777" w:rsidR="00BC5219" w:rsidRPr="00470BFB" w:rsidRDefault="00BC5219" w:rsidP="00E83802">
            <w:pPr>
              <w:jc w:val="center"/>
              <w:rPr>
                <w:rFonts w:ascii="Meta Pro" w:eastAsia="Times New Roman" w:hAnsi="Meta Pro"/>
                <w:color w:val="000000"/>
                <w:szCs w:val="18"/>
                <w:lang w:eastAsia="en-AU"/>
              </w:rPr>
            </w:pPr>
          </w:p>
        </w:tc>
        <w:tc>
          <w:tcPr>
            <w:tcW w:w="1756" w:type="dxa"/>
            <w:vMerge/>
            <w:tcBorders>
              <w:top w:val="single" w:sz="4" w:space="0" w:color="auto"/>
              <w:left w:val="nil"/>
              <w:bottom w:val="nil"/>
              <w:right w:val="nil"/>
            </w:tcBorders>
            <w:vAlign w:val="center"/>
            <w:hideMark/>
          </w:tcPr>
          <w:p w14:paraId="66F758A0" w14:textId="77777777" w:rsidR="00BC5219" w:rsidRPr="00470BFB" w:rsidRDefault="00BC5219" w:rsidP="00E83802">
            <w:pPr>
              <w:rPr>
                <w:rFonts w:ascii="Meta Pro" w:eastAsia="Times New Roman" w:hAnsi="Meta Pro"/>
                <w:color w:val="000000"/>
                <w:szCs w:val="18"/>
                <w:lang w:eastAsia="en-AU"/>
              </w:rPr>
            </w:pPr>
          </w:p>
        </w:tc>
        <w:tc>
          <w:tcPr>
            <w:tcW w:w="496" w:type="dxa"/>
            <w:tcBorders>
              <w:top w:val="nil"/>
              <w:left w:val="nil"/>
              <w:bottom w:val="nil"/>
              <w:right w:val="nil"/>
            </w:tcBorders>
            <w:shd w:val="clear" w:color="auto" w:fill="auto"/>
            <w:noWrap/>
            <w:vAlign w:val="center"/>
            <w:hideMark/>
          </w:tcPr>
          <w:p w14:paraId="3A0FECEF" w14:textId="77777777" w:rsidR="00BC5219" w:rsidRPr="00470BFB" w:rsidRDefault="00BC5219" w:rsidP="00E83802">
            <w:pPr>
              <w:jc w:val="right"/>
              <w:rPr>
                <w:rFonts w:ascii="Meta Pro" w:eastAsia="Times New Roman" w:hAnsi="Meta Pro"/>
                <w:color w:val="000000"/>
                <w:szCs w:val="18"/>
                <w:lang w:eastAsia="en-AU"/>
              </w:rPr>
            </w:pPr>
            <w:r w:rsidRPr="00470BFB">
              <w:rPr>
                <w:rFonts w:ascii="Meta Pro" w:eastAsia="Times New Roman" w:hAnsi="Meta Pro"/>
                <w:color w:val="000000"/>
                <w:szCs w:val="18"/>
                <w:lang w:eastAsia="en-AU"/>
              </w:rPr>
              <w:t>26</w:t>
            </w:r>
          </w:p>
        </w:tc>
        <w:tc>
          <w:tcPr>
            <w:tcW w:w="5936" w:type="dxa"/>
            <w:tcBorders>
              <w:top w:val="nil"/>
              <w:left w:val="nil"/>
              <w:bottom w:val="nil"/>
              <w:right w:val="nil"/>
            </w:tcBorders>
            <w:shd w:val="clear" w:color="auto" w:fill="auto"/>
            <w:noWrap/>
            <w:vAlign w:val="center"/>
            <w:hideMark/>
          </w:tcPr>
          <w:p w14:paraId="10015B81" w14:textId="77777777" w:rsidR="00BC5219" w:rsidRPr="00470BFB" w:rsidRDefault="00BC5219" w:rsidP="00E83802">
            <w:pPr>
              <w:rPr>
                <w:rFonts w:ascii="Meta Pro" w:eastAsia="Times New Roman" w:hAnsi="Meta Pro"/>
                <w:color w:val="000000"/>
                <w:szCs w:val="18"/>
                <w:lang w:eastAsia="en-AU"/>
              </w:rPr>
            </w:pPr>
            <w:r w:rsidRPr="00470BFB">
              <w:rPr>
                <w:rFonts w:ascii="Meta Pro" w:eastAsia="Times New Roman" w:hAnsi="Meta Pro"/>
                <w:color w:val="000000"/>
                <w:szCs w:val="18"/>
                <w:lang w:eastAsia="en-AU"/>
              </w:rPr>
              <w:t>Investment in subsidiary</w:t>
            </w:r>
          </w:p>
        </w:tc>
        <w:tc>
          <w:tcPr>
            <w:tcW w:w="1396" w:type="dxa"/>
            <w:tcBorders>
              <w:top w:val="nil"/>
              <w:left w:val="nil"/>
              <w:bottom w:val="nil"/>
              <w:right w:val="nil"/>
            </w:tcBorders>
            <w:shd w:val="clear" w:color="auto" w:fill="auto"/>
            <w:noWrap/>
            <w:vAlign w:val="center"/>
            <w:hideMark/>
          </w:tcPr>
          <w:p w14:paraId="1F200CB4" w14:textId="77777777" w:rsidR="00BC5219" w:rsidRPr="00470BFB" w:rsidRDefault="00BC5219" w:rsidP="00E83802">
            <w:pPr>
              <w:jc w:val="center"/>
              <w:rPr>
                <w:rFonts w:ascii="Meta Pro" w:eastAsia="Times New Roman" w:hAnsi="Meta Pro"/>
                <w:color w:val="000000"/>
                <w:szCs w:val="18"/>
                <w:lang w:eastAsia="en-AU"/>
              </w:rPr>
            </w:pPr>
          </w:p>
        </w:tc>
      </w:tr>
      <w:tr w:rsidR="00BC5219" w:rsidRPr="00470BFB" w14:paraId="484D139F" w14:textId="77777777" w:rsidTr="00E83802">
        <w:trPr>
          <w:trHeight w:val="198"/>
        </w:trPr>
        <w:tc>
          <w:tcPr>
            <w:tcW w:w="1496" w:type="dxa"/>
            <w:tcBorders>
              <w:top w:val="nil"/>
              <w:left w:val="nil"/>
              <w:bottom w:val="nil"/>
              <w:right w:val="nil"/>
            </w:tcBorders>
            <w:shd w:val="clear" w:color="auto" w:fill="auto"/>
            <w:noWrap/>
            <w:vAlign w:val="center"/>
            <w:hideMark/>
          </w:tcPr>
          <w:p w14:paraId="691C5EB5" w14:textId="77777777" w:rsidR="00BC5219" w:rsidRPr="00470BFB" w:rsidRDefault="00BC5219" w:rsidP="00E83802">
            <w:pPr>
              <w:jc w:val="center"/>
              <w:rPr>
                <w:rFonts w:ascii="Meta Pro" w:eastAsia="Times New Roman" w:hAnsi="Meta Pro"/>
                <w:color w:val="000000"/>
                <w:szCs w:val="18"/>
                <w:lang w:eastAsia="en-AU"/>
              </w:rPr>
            </w:pPr>
          </w:p>
        </w:tc>
        <w:tc>
          <w:tcPr>
            <w:tcW w:w="1756" w:type="dxa"/>
            <w:tcBorders>
              <w:top w:val="nil"/>
              <w:left w:val="nil"/>
              <w:bottom w:val="nil"/>
              <w:right w:val="nil"/>
            </w:tcBorders>
            <w:shd w:val="clear" w:color="auto" w:fill="auto"/>
            <w:noWrap/>
            <w:vAlign w:val="center"/>
            <w:hideMark/>
          </w:tcPr>
          <w:p w14:paraId="006A2B83" w14:textId="77777777" w:rsidR="00BC5219" w:rsidRPr="00470BFB" w:rsidRDefault="00BC5219" w:rsidP="00E83802">
            <w:pPr>
              <w:rPr>
                <w:rFonts w:ascii="Meta Pro" w:eastAsia="Times New Roman" w:hAnsi="Meta Pro" w:cs="Times New Roman"/>
                <w:sz w:val="20"/>
                <w:szCs w:val="20"/>
                <w:lang w:eastAsia="en-AU"/>
              </w:rPr>
            </w:pPr>
          </w:p>
        </w:tc>
        <w:tc>
          <w:tcPr>
            <w:tcW w:w="496" w:type="dxa"/>
            <w:tcBorders>
              <w:top w:val="nil"/>
              <w:left w:val="nil"/>
              <w:bottom w:val="nil"/>
              <w:right w:val="nil"/>
            </w:tcBorders>
            <w:shd w:val="clear" w:color="auto" w:fill="auto"/>
            <w:noWrap/>
            <w:vAlign w:val="center"/>
            <w:hideMark/>
          </w:tcPr>
          <w:p w14:paraId="0413E755" w14:textId="77777777" w:rsidR="00BC5219" w:rsidRPr="00470BFB" w:rsidRDefault="00BC5219" w:rsidP="00E83802">
            <w:pPr>
              <w:jc w:val="right"/>
              <w:rPr>
                <w:rFonts w:ascii="Meta Pro" w:eastAsia="Times New Roman" w:hAnsi="Meta Pro"/>
                <w:color w:val="000000"/>
                <w:szCs w:val="18"/>
                <w:lang w:eastAsia="en-AU"/>
              </w:rPr>
            </w:pPr>
            <w:r w:rsidRPr="00470BFB">
              <w:rPr>
                <w:rFonts w:ascii="Meta Pro" w:eastAsia="Times New Roman" w:hAnsi="Meta Pro"/>
                <w:color w:val="000000"/>
                <w:szCs w:val="18"/>
                <w:lang w:eastAsia="en-AU"/>
              </w:rPr>
              <w:t>27</w:t>
            </w:r>
          </w:p>
        </w:tc>
        <w:tc>
          <w:tcPr>
            <w:tcW w:w="5936" w:type="dxa"/>
            <w:tcBorders>
              <w:top w:val="nil"/>
              <w:left w:val="nil"/>
              <w:bottom w:val="nil"/>
              <w:right w:val="nil"/>
            </w:tcBorders>
            <w:shd w:val="clear" w:color="auto" w:fill="auto"/>
            <w:noWrap/>
            <w:vAlign w:val="center"/>
            <w:hideMark/>
          </w:tcPr>
          <w:p w14:paraId="0A9E57D6" w14:textId="77777777" w:rsidR="00BC5219" w:rsidRPr="00470BFB" w:rsidRDefault="00BC5219" w:rsidP="00E83802">
            <w:pPr>
              <w:rPr>
                <w:rFonts w:ascii="Meta Pro" w:eastAsia="Times New Roman" w:hAnsi="Meta Pro"/>
                <w:color w:val="000000"/>
                <w:szCs w:val="18"/>
                <w:lang w:eastAsia="en-AU"/>
              </w:rPr>
            </w:pPr>
            <w:r w:rsidRPr="00470BFB">
              <w:rPr>
                <w:rFonts w:ascii="Meta Pro" w:eastAsia="Times New Roman" w:hAnsi="Meta Pro"/>
                <w:color w:val="000000"/>
                <w:szCs w:val="18"/>
                <w:lang w:eastAsia="en-AU"/>
              </w:rPr>
              <w:t xml:space="preserve">Financial instruments </w:t>
            </w:r>
          </w:p>
        </w:tc>
        <w:tc>
          <w:tcPr>
            <w:tcW w:w="1396" w:type="dxa"/>
            <w:tcBorders>
              <w:top w:val="nil"/>
              <w:left w:val="nil"/>
              <w:bottom w:val="nil"/>
              <w:right w:val="nil"/>
            </w:tcBorders>
            <w:shd w:val="clear" w:color="auto" w:fill="auto"/>
            <w:noWrap/>
            <w:vAlign w:val="center"/>
            <w:hideMark/>
          </w:tcPr>
          <w:p w14:paraId="779C754D" w14:textId="77777777" w:rsidR="00BC5219" w:rsidRPr="00470BFB" w:rsidRDefault="00BC5219" w:rsidP="00E83802">
            <w:pPr>
              <w:jc w:val="center"/>
              <w:rPr>
                <w:rFonts w:ascii="Meta Pro" w:eastAsia="Times New Roman" w:hAnsi="Meta Pro"/>
                <w:color w:val="000000"/>
                <w:szCs w:val="18"/>
                <w:lang w:eastAsia="en-AU"/>
              </w:rPr>
            </w:pPr>
          </w:p>
        </w:tc>
      </w:tr>
      <w:tr w:rsidR="00BC5219" w:rsidRPr="00470BFB" w14:paraId="4EB224B0" w14:textId="77777777" w:rsidTr="00E83802">
        <w:trPr>
          <w:trHeight w:val="198"/>
        </w:trPr>
        <w:tc>
          <w:tcPr>
            <w:tcW w:w="1496" w:type="dxa"/>
            <w:tcBorders>
              <w:top w:val="nil"/>
              <w:left w:val="nil"/>
              <w:bottom w:val="nil"/>
              <w:right w:val="nil"/>
            </w:tcBorders>
            <w:shd w:val="clear" w:color="auto" w:fill="auto"/>
            <w:noWrap/>
            <w:vAlign w:val="center"/>
            <w:hideMark/>
          </w:tcPr>
          <w:p w14:paraId="4FF6A888" w14:textId="77777777" w:rsidR="00BC5219" w:rsidRPr="00470BFB" w:rsidRDefault="00BC5219" w:rsidP="00E83802">
            <w:pPr>
              <w:jc w:val="center"/>
              <w:rPr>
                <w:rFonts w:ascii="Meta Pro" w:eastAsia="Times New Roman" w:hAnsi="Meta Pro"/>
                <w:color w:val="000000"/>
                <w:szCs w:val="18"/>
                <w:lang w:eastAsia="en-AU"/>
              </w:rPr>
            </w:pPr>
          </w:p>
        </w:tc>
        <w:tc>
          <w:tcPr>
            <w:tcW w:w="1756" w:type="dxa"/>
            <w:tcBorders>
              <w:top w:val="nil"/>
              <w:left w:val="nil"/>
              <w:bottom w:val="nil"/>
              <w:right w:val="nil"/>
            </w:tcBorders>
            <w:shd w:val="clear" w:color="auto" w:fill="auto"/>
            <w:noWrap/>
            <w:vAlign w:val="center"/>
            <w:hideMark/>
          </w:tcPr>
          <w:p w14:paraId="44AC4737" w14:textId="77777777" w:rsidR="00BC5219" w:rsidRPr="00470BFB" w:rsidRDefault="00BC5219" w:rsidP="00E83802">
            <w:pPr>
              <w:rPr>
                <w:rFonts w:ascii="Meta Pro" w:eastAsia="Times New Roman" w:hAnsi="Meta Pro" w:cs="Times New Roman"/>
                <w:sz w:val="20"/>
                <w:szCs w:val="20"/>
                <w:lang w:eastAsia="en-AU"/>
              </w:rPr>
            </w:pPr>
          </w:p>
        </w:tc>
        <w:tc>
          <w:tcPr>
            <w:tcW w:w="496" w:type="dxa"/>
            <w:tcBorders>
              <w:top w:val="nil"/>
              <w:left w:val="nil"/>
              <w:bottom w:val="nil"/>
              <w:right w:val="nil"/>
            </w:tcBorders>
            <w:shd w:val="clear" w:color="auto" w:fill="auto"/>
            <w:noWrap/>
            <w:vAlign w:val="center"/>
            <w:hideMark/>
          </w:tcPr>
          <w:p w14:paraId="2034F2B5" w14:textId="77777777" w:rsidR="00BC5219" w:rsidRPr="00470BFB" w:rsidRDefault="00BC5219" w:rsidP="00E83802">
            <w:pPr>
              <w:jc w:val="right"/>
              <w:rPr>
                <w:rFonts w:ascii="Meta Pro" w:eastAsia="Times New Roman" w:hAnsi="Meta Pro"/>
                <w:color w:val="000000"/>
                <w:szCs w:val="18"/>
                <w:lang w:eastAsia="en-AU"/>
              </w:rPr>
            </w:pPr>
            <w:r w:rsidRPr="00470BFB">
              <w:rPr>
                <w:rFonts w:ascii="Meta Pro" w:eastAsia="Times New Roman" w:hAnsi="Meta Pro"/>
                <w:color w:val="000000"/>
                <w:szCs w:val="18"/>
                <w:lang w:eastAsia="en-AU"/>
              </w:rPr>
              <w:t>28</w:t>
            </w:r>
          </w:p>
        </w:tc>
        <w:tc>
          <w:tcPr>
            <w:tcW w:w="5936" w:type="dxa"/>
            <w:tcBorders>
              <w:top w:val="nil"/>
              <w:left w:val="nil"/>
              <w:bottom w:val="nil"/>
              <w:right w:val="nil"/>
            </w:tcBorders>
            <w:shd w:val="clear" w:color="auto" w:fill="auto"/>
            <w:noWrap/>
            <w:vAlign w:val="center"/>
            <w:hideMark/>
          </w:tcPr>
          <w:p w14:paraId="2A4FC88C" w14:textId="77777777" w:rsidR="00BC5219" w:rsidRPr="00470BFB" w:rsidRDefault="00BC5219" w:rsidP="00E83802">
            <w:pPr>
              <w:rPr>
                <w:rFonts w:ascii="Meta Pro" w:eastAsia="Times New Roman" w:hAnsi="Meta Pro"/>
                <w:color w:val="000000"/>
                <w:szCs w:val="18"/>
                <w:lang w:eastAsia="en-AU"/>
              </w:rPr>
            </w:pPr>
            <w:r w:rsidRPr="00470BFB">
              <w:rPr>
                <w:rFonts w:ascii="Meta Pro" w:eastAsia="Times New Roman" w:hAnsi="Meta Pro"/>
                <w:color w:val="000000"/>
                <w:szCs w:val="18"/>
                <w:lang w:eastAsia="en-AU"/>
              </w:rPr>
              <w:t>Schedule of administered items</w:t>
            </w:r>
          </w:p>
        </w:tc>
        <w:tc>
          <w:tcPr>
            <w:tcW w:w="1396" w:type="dxa"/>
            <w:tcBorders>
              <w:top w:val="nil"/>
              <w:left w:val="nil"/>
              <w:bottom w:val="nil"/>
              <w:right w:val="nil"/>
            </w:tcBorders>
            <w:shd w:val="clear" w:color="auto" w:fill="auto"/>
            <w:noWrap/>
            <w:vAlign w:val="center"/>
            <w:hideMark/>
          </w:tcPr>
          <w:p w14:paraId="51CD5E94" w14:textId="77777777" w:rsidR="00BC5219" w:rsidRPr="00470BFB" w:rsidRDefault="00BC5219" w:rsidP="00E83802">
            <w:pPr>
              <w:jc w:val="center"/>
              <w:rPr>
                <w:rFonts w:ascii="Meta Pro" w:eastAsia="Times New Roman" w:hAnsi="Meta Pro"/>
                <w:color w:val="000000"/>
                <w:szCs w:val="18"/>
                <w:lang w:eastAsia="en-AU"/>
              </w:rPr>
            </w:pPr>
          </w:p>
        </w:tc>
      </w:tr>
      <w:tr w:rsidR="00BC5219" w:rsidRPr="00470BFB" w14:paraId="0D6F83E5" w14:textId="77777777" w:rsidTr="00E83802">
        <w:trPr>
          <w:trHeight w:val="198"/>
        </w:trPr>
        <w:tc>
          <w:tcPr>
            <w:tcW w:w="1496" w:type="dxa"/>
            <w:tcBorders>
              <w:top w:val="nil"/>
              <w:left w:val="nil"/>
              <w:bottom w:val="nil"/>
              <w:right w:val="nil"/>
            </w:tcBorders>
            <w:shd w:val="clear" w:color="auto" w:fill="auto"/>
            <w:noWrap/>
            <w:vAlign w:val="center"/>
            <w:hideMark/>
          </w:tcPr>
          <w:p w14:paraId="2336545F" w14:textId="77777777" w:rsidR="00BC5219" w:rsidRPr="00470BFB" w:rsidRDefault="00BC5219" w:rsidP="00E83802">
            <w:pPr>
              <w:jc w:val="center"/>
              <w:rPr>
                <w:rFonts w:ascii="Meta Pro" w:eastAsia="Times New Roman" w:hAnsi="Meta Pro"/>
                <w:color w:val="000000"/>
                <w:szCs w:val="18"/>
                <w:lang w:eastAsia="en-AU"/>
              </w:rPr>
            </w:pPr>
          </w:p>
        </w:tc>
        <w:tc>
          <w:tcPr>
            <w:tcW w:w="1756" w:type="dxa"/>
            <w:tcBorders>
              <w:top w:val="nil"/>
              <w:left w:val="nil"/>
              <w:bottom w:val="nil"/>
              <w:right w:val="nil"/>
            </w:tcBorders>
            <w:shd w:val="clear" w:color="auto" w:fill="auto"/>
            <w:noWrap/>
            <w:vAlign w:val="center"/>
            <w:hideMark/>
          </w:tcPr>
          <w:p w14:paraId="764F9195" w14:textId="77777777" w:rsidR="00BC5219" w:rsidRPr="00470BFB" w:rsidRDefault="00BC5219" w:rsidP="00E83802">
            <w:pPr>
              <w:rPr>
                <w:rFonts w:ascii="Meta Pro" w:eastAsia="Times New Roman" w:hAnsi="Meta Pro" w:cs="Times New Roman"/>
                <w:sz w:val="20"/>
                <w:szCs w:val="20"/>
                <w:lang w:eastAsia="en-AU"/>
              </w:rPr>
            </w:pPr>
          </w:p>
        </w:tc>
        <w:tc>
          <w:tcPr>
            <w:tcW w:w="496" w:type="dxa"/>
            <w:tcBorders>
              <w:top w:val="nil"/>
              <w:left w:val="nil"/>
              <w:bottom w:val="nil"/>
              <w:right w:val="nil"/>
            </w:tcBorders>
            <w:shd w:val="clear" w:color="auto" w:fill="auto"/>
            <w:noWrap/>
            <w:vAlign w:val="center"/>
            <w:hideMark/>
          </w:tcPr>
          <w:p w14:paraId="6590EF7F" w14:textId="77777777" w:rsidR="00BC5219" w:rsidRPr="00470BFB" w:rsidRDefault="00BC5219" w:rsidP="00E83802">
            <w:pPr>
              <w:jc w:val="right"/>
              <w:rPr>
                <w:rFonts w:ascii="Meta Pro" w:eastAsia="Times New Roman" w:hAnsi="Meta Pro"/>
                <w:color w:val="000000"/>
                <w:szCs w:val="18"/>
                <w:lang w:eastAsia="en-AU"/>
              </w:rPr>
            </w:pPr>
            <w:r w:rsidRPr="00470BFB">
              <w:rPr>
                <w:rFonts w:ascii="Meta Pro" w:eastAsia="Times New Roman" w:hAnsi="Meta Pro"/>
                <w:color w:val="000000"/>
                <w:szCs w:val="18"/>
                <w:lang w:eastAsia="en-AU"/>
              </w:rPr>
              <w:t>29</w:t>
            </w:r>
          </w:p>
        </w:tc>
        <w:tc>
          <w:tcPr>
            <w:tcW w:w="5936" w:type="dxa"/>
            <w:tcBorders>
              <w:top w:val="nil"/>
              <w:left w:val="nil"/>
              <w:bottom w:val="nil"/>
              <w:right w:val="nil"/>
            </w:tcBorders>
            <w:shd w:val="clear" w:color="auto" w:fill="auto"/>
            <w:noWrap/>
            <w:vAlign w:val="center"/>
            <w:hideMark/>
          </w:tcPr>
          <w:p w14:paraId="0440CA69" w14:textId="77777777" w:rsidR="00BC5219" w:rsidRPr="00470BFB" w:rsidRDefault="00BC5219" w:rsidP="00E83802">
            <w:pPr>
              <w:rPr>
                <w:rFonts w:ascii="Meta Pro" w:eastAsia="Times New Roman" w:hAnsi="Meta Pro"/>
                <w:color w:val="000000"/>
                <w:szCs w:val="18"/>
                <w:lang w:eastAsia="en-AU"/>
              </w:rPr>
            </w:pPr>
            <w:r w:rsidRPr="00470BFB">
              <w:rPr>
                <w:rFonts w:ascii="Meta Pro" w:eastAsia="Times New Roman" w:hAnsi="Meta Pro"/>
                <w:color w:val="000000"/>
                <w:szCs w:val="18"/>
                <w:lang w:eastAsia="en-AU"/>
              </w:rPr>
              <w:t>Administered appropriations</w:t>
            </w:r>
          </w:p>
        </w:tc>
        <w:tc>
          <w:tcPr>
            <w:tcW w:w="1396" w:type="dxa"/>
            <w:tcBorders>
              <w:top w:val="nil"/>
              <w:left w:val="nil"/>
              <w:bottom w:val="nil"/>
              <w:right w:val="nil"/>
            </w:tcBorders>
            <w:shd w:val="clear" w:color="auto" w:fill="auto"/>
            <w:noWrap/>
            <w:vAlign w:val="center"/>
            <w:hideMark/>
          </w:tcPr>
          <w:p w14:paraId="44A1C781" w14:textId="77777777" w:rsidR="00BC5219" w:rsidRPr="00470BFB" w:rsidRDefault="00BC5219" w:rsidP="00E83802">
            <w:pPr>
              <w:jc w:val="center"/>
              <w:rPr>
                <w:rFonts w:ascii="Meta Pro" w:eastAsia="Times New Roman" w:hAnsi="Meta Pro"/>
                <w:color w:val="000000"/>
                <w:szCs w:val="18"/>
                <w:lang w:eastAsia="en-AU"/>
              </w:rPr>
            </w:pPr>
          </w:p>
        </w:tc>
      </w:tr>
      <w:tr w:rsidR="00BC5219" w:rsidRPr="00470BFB" w14:paraId="1C223FD5" w14:textId="77777777" w:rsidTr="00E83802">
        <w:trPr>
          <w:trHeight w:val="198"/>
        </w:trPr>
        <w:tc>
          <w:tcPr>
            <w:tcW w:w="1496" w:type="dxa"/>
            <w:tcBorders>
              <w:top w:val="nil"/>
              <w:left w:val="nil"/>
              <w:bottom w:val="single" w:sz="4" w:space="0" w:color="auto"/>
              <w:right w:val="nil"/>
            </w:tcBorders>
            <w:shd w:val="clear" w:color="auto" w:fill="auto"/>
            <w:noWrap/>
            <w:vAlign w:val="center"/>
            <w:hideMark/>
          </w:tcPr>
          <w:p w14:paraId="0A23AE7A" w14:textId="77777777" w:rsidR="00BC5219" w:rsidRPr="00470BFB" w:rsidRDefault="00BC5219" w:rsidP="00E83802">
            <w:pPr>
              <w:rPr>
                <w:rFonts w:ascii="Meta Pro" w:eastAsia="Times New Roman" w:hAnsi="Meta Pro"/>
                <w:color w:val="000000"/>
                <w:szCs w:val="18"/>
                <w:lang w:eastAsia="en-AU"/>
              </w:rPr>
            </w:pPr>
            <w:r w:rsidRPr="00470BFB">
              <w:rPr>
                <w:rFonts w:ascii="Meta Pro" w:eastAsia="Times New Roman" w:hAnsi="Meta Pro"/>
                <w:color w:val="000000"/>
                <w:szCs w:val="18"/>
                <w:lang w:eastAsia="en-AU"/>
              </w:rPr>
              <w:t> </w:t>
            </w:r>
          </w:p>
        </w:tc>
        <w:tc>
          <w:tcPr>
            <w:tcW w:w="1756" w:type="dxa"/>
            <w:tcBorders>
              <w:top w:val="nil"/>
              <w:left w:val="nil"/>
              <w:bottom w:val="single" w:sz="4" w:space="0" w:color="auto"/>
              <w:right w:val="nil"/>
            </w:tcBorders>
            <w:shd w:val="clear" w:color="auto" w:fill="auto"/>
            <w:noWrap/>
            <w:vAlign w:val="center"/>
            <w:hideMark/>
          </w:tcPr>
          <w:p w14:paraId="15E94056" w14:textId="77777777" w:rsidR="00BC5219" w:rsidRPr="00470BFB" w:rsidRDefault="00BC5219" w:rsidP="00E83802">
            <w:pPr>
              <w:rPr>
                <w:rFonts w:ascii="Meta Pro" w:eastAsia="Times New Roman" w:hAnsi="Meta Pro"/>
                <w:color w:val="000000"/>
                <w:szCs w:val="18"/>
                <w:lang w:eastAsia="en-AU"/>
              </w:rPr>
            </w:pPr>
            <w:r w:rsidRPr="00470BFB">
              <w:rPr>
                <w:rFonts w:ascii="Meta Pro" w:eastAsia="Times New Roman" w:hAnsi="Meta Pro"/>
                <w:color w:val="000000"/>
                <w:szCs w:val="18"/>
                <w:lang w:eastAsia="en-AU"/>
              </w:rPr>
              <w:t> </w:t>
            </w:r>
          </w:p>
        </w:tc>
        <w:tc>
          <w:tcPr>
            <w:tcW w:w="496" w:type="dxa"/>
            <w:tcBorders>
              <w:top w:val="nil"/>
              <w:left w:val="nil"/>
              <w:bottom w:val="single" w:sz="4" w:space="0" w:color="auto"/>
              <w:right w:val="nil"/>
            </w:tcBorders>
            <w:shd w:val="clear" w:color="auto" w:fill="auto"/>
            <w:noWrap/>
            <w:vAlign w:val="center"/>
            <w:hideMark/>
          </w:tcPr>
          <w:p w14:paraId="3055D7B1" w14:textId="77777777" w:rsidR="00BC5219" w:rsidRPr="00470BFB" w:rsidRDefault="00BC5219" w:rsidP="00E83802">
            <w:pPr>
              <w:jc w:val="right"/>
              <w:rPr>
                <w:rFonts w:ascii="Meta Pro" w:eastAsia="Times New Roman" w:hAnsi="Meta Pro"/>
                <w:color w:val="000000"/>
                <w:szCs w:val="18"/>
                <w:lang w:eastAsia="en-AU"/>
              </w:rPr>
            </w:pPr>
            <w:r w:rsidRPr="00470BFB">
              <w:rPr>
                <w:rFonts w:ascii="Meta Pro" w:eastAsia="Times New Roman" w:hAnsi="Meta Pro"/>
                <w:color w:val="000000"/>
                <w:szCs w:val="18"/>
                <w:lang w:eastAsia="en-AU"/>
              </w:rPr>
              <w:t>30</w:t>
            </w:r>
          </w:p>
        </w:tc>
        <w:tc>
          <w:tcPr>
            <w:tcW w:w="5936" w:type="dxa"/>
            <w:tcBorders>
              <w:top w:val="nil"/>
              <w:left w:val="nil"/>
              <w:bottom w:val="single" w:sz="4" w:space="0" w:color="auto"/>
              <w:right w:val="nil"/>
            </w:tcBorders>
            <w:shd w:val="clear" w:color="auto" w:fill="auto"/>
            <w:noWrap/>
            <w:vAlign w:val="center"/>
            <w:hideMark/>
          </w:tcPr>
          <w:p w14:paraId="684080D5" w14:textId="77777777" w:rsidR="00BC5219" w:rsidRPr="00470BFB" w:rsidRDefault="00BC5219" w:rsidP="00E83802">
            <w:pPr>
              <w:rPr>
                <w:rFonts w:ascii="Meta Pro" w:eastAsia="Times New Roman" w:hAnsi="Meta Pro"/>
                <w:color w:val="000000"/>
                <w:szCs w:val="18"/>
                <w:lang w:eastAsia="en-AU"/>
              </w:rPr>
            </w:pPr>
            <w:r w:rsidRPr="00470BFB">
              <w:rPr>
                <w:rFonts w:ascii="Meta Pro" w:eastAsia="Times New Roman" w:hAnsi="Meta Pro"/>
                <w:color w:val="000000"/>
                <w:szCs w:val="18"/>
                <w:lang w:eastAsia="en-AU"/>
              </w:rPr>
              <w:t>Budgetary reporting</w:t>
            </w:r>
          </w:p>
        </w:tc>
        <w:tc>
          <w:tcPr>
            <w:tcW w:w="1396" w:type="dxa"/>
            <w:tcBorders>
              <w:top w:val="nil"/>
              <w:left w:val="nil"/>
              <w:bottom w:val="single" w:sz="4" w:space="0" w:color="auto"/>
              <w:right w:val="nil"/>
            </w:tcBorders>
            <w:shd w:val="clear" w:color="auto" w:fill="auto"/>
            <w:noWrap/>
            <w:vAlign w:val="center"/>
            <w:hideMark/>
          </w:tcPr>
          <w:p w14:paraId="0D9B5BED" w14:textId="77777777" w:rsidR="00BC5219" w:rsidRPr="00470BFB" w:rsidRDefault="00BC5219" w:rsidP="00E83802">
            <w:pPr>
              <w:jc w:val="center"/>
              <w:rPr>
                <w:rFonts w:ascii="Meta Pro" w:eastAsia="Times New Roman" w:hAnsi="Meta Pro"/>
                <w:color w:val="000000"/>
                <w:szCs w:val="18"/>
                <w:lang w:eastAsia="en-AU"/>
              </w:rPr>
            </w:pPr>
          </w:p>
        </w:tc>
      </w:tr>
      <w:tr w:rsidR="00BC5219" w:rsidRPr="00470BFB" w14:paraId="6BE77941" w14:textId="77777777" w:rsidTr="00E83802">
        <w:trPr>
          <w:trHeight w:val="198"/>
        </w:trPr>
        <w:tc>
          <w:tcPr>
            <w:tcW w:w="1496" w:type="dxa"/>
            <w:tcBorders>
              <w:top w:val="nil"/>
              <w:left w:val="nil"/>
              <w:bottom w:val="nil"/>
              <w:right w:val="nil"/>
            </w:tcBorders>
            <w:shd w:val="clear" w:color="auto" w:fill="auto"/>
            <w:noWrap/>
            <w:hideMark/>
          </w:tcPr>
          <w:p w14:paraId="68F792B6" w14:textId="77777777" w:rsidR="00BC5219" w:rsidRPr="00470BFB" w:rsidRDefault="00BC5219" w:rsidP="00E83802">
            <w:pPr>
              <w:rPr>
                <w:rFonts w:ascii="Meta Pro" w:eastAsia="Times New Roman" w:hAnsi="Meta Pro"/>
                <w:b/>
                <w:bCs/>
                <w:color w:val="000000"/>
                <w:szCs w:val="18"/>
                <w:lang w:eastAsia="en-AU"/>
              </w:rPr>
            </w:pPr>
            <w:r w:rsidRPr="00470BFB">
              <w:rPr>
                <w:rFonts w:ascii="Meta Pro" w:eastAsia="Times New Roman" w:hAnsi="Meta Pro"/>
                <w:b/>
                <w:bCs/>
                <w:color w:val="000000"/>
                <w:szCs w:val="18"/>
                <w:lang w:eastAsia="en-AU"/>
              </w:rPr>
              <w:t>Certification</w:t>
            </w:r>
          </w:p>
        </w:tc>
        <w:tc>
          <w:tcPr>
            <w:tcW w:w="1756" w:type="dxa"/>
            <w:tcBorders>
              <w:top w:val="nil"/>
              <w:left w:val="nil"/>
              <w:bottom w:val="nil"/>
              <w:right w:val="nil"/>
            </w:tcBorders>
            <w:shd w:val="clear" w:color="auto" w:fill="auto"/>
            <w:noWrap/>
            <w:vAlign w:val="center"/>
            <w:hideMark/>
          </w:tcPr>
          <w:p w14:paraId="7CC44321" w14:textId="77777777" w:rsidR="00BC5219" w:rsidRPr="00470BFB" w:rsidRDefault="00BC5219" w:rsidP="00E83802">
            <w:pPr>
              <w:rPr>
                <w:rFonts w:ascii="Meta Pro" w:eastAsia="Times New Roman" w:hAnsi="Meta Pro"/>
                <w:b/>
                <w:bCs/>
                <w:color w:val="000000"/>
                <w:szCs w:val="18"/>
                <w:lang w:eastAsia="en-AU"/>
              </w:rPr>
            </w:pPr>
          </w:p>
        </w:tc>
        <w:tc>
          <w:tcPr>
            <w:tcW w:w="6432" w:type="dxa"/>
            <w:gridSpan w:val="2"/>
            <w:tcBorders>
              <w:top w:val="nil"/>
              <w:left w:val="nil"/>
              <w:bottom w:val="nil"/>
              <w:right w:val="nil"/>
            </w:tcBorders>
            <w:shd w:val="clear" w:color="auto" w:fill="auto"/>
            <w:hideMark/>
          </w:tcPr>
          <w:p w14:paraId="1050423A" w14:textId="77777777" w:rsidR="00BC5219" w:rsidRPr="00470BFB" w:rsidRDefault="00BC5219" w:rsidP="00E83802">
            <w:pPr>
              <w:rPr>
                <w:rFonts w:ascii="Meta Pro" w:eastAsia="Times New Roman" w:hAnsi="Meta Pro"/>
                <w:color w:val="000000"/>
                <w:szCs w:val="18"/>
                <w:lang w:eastAsia="en-AU"/>
              </w:rPr>
            </w:pPr>
            <w:r w:rsidRPr="00470BFB">
              <w:rPr>
                <w:rFonts w:ascii="Meta Pro" w:eastAsia="Times New Roman" w:hAnsi="Meta Pro"/>
                <w:color w:val="000000"/>
                <w:szCs w:val="18"/>
                <w:lang w:eastAsia="en-AU"/>
              </w:rPr>
              <w:t>Management Certificate of the Department of Transport</w:t>
            </w:r>
          </w:p>
        </w:tc>
        <w:tc>
          <w:tcPr>
            <w:tcW w:w="1396" w:type="dxa"/>
            <w:tcBorders>
              <w:top w:val="nil"/>
              <w:left w:val="nil"/>
              <w:bottom w:val="nil"/>
              <w:right w:val="nil"/>
            </w:tcBorders>
            <w:shd w:val="clear" w:color="auto" w:fill="auto"/>
            <w:noWrap/>
            <w:vAlign w:val="center"/>
            <w:hideMark/>
          </w:tcPr>
          <w:p w14:paraId="72095AA6" w14:textId="77777777" w:rsidR="00BC5219" w:rsidRPr="00470BFB" w:rsidRDefault="00BC5219" w:rsidP="00E83802">
            <w:pPr>
              <w:jc w:val="center"/>
              <w:rPr>
                <w:rFonts w:ascii="Meta Pro" w:eastAsia="Times New Roman" w:hAnsi="Meta Pro"/>
                <w:color w:val="000000"/>
                <w:szCs w:val="18"/>
                <w:lang w:eastAsia="en-AU"/>
              </w:rPr>
            </w:pPr>
          </w:p>
        </w:tc>
      </w:tr>
      <w:tr w:rsidR="00BC5219" w:rsidRPr="00470BFB" w14:paraId="2AA1FAD4" w14:textId="77777777" w:rsidTr="00E83802">
        <w:trPr>
          <w:trHeight w:val="198"/>
        </w:trPr>
        <w:tc>
          <w:tcPr>
            <w:tcW w:w="1496" w:type="dxa"/>
            <w:tcBorders>
              <w:top w:val="nil"/>
              <w:left w:val="nil"/>
              <w:bottom w:val="nil"/>
              <w:right w:val="nil"/>
            </w:tcBorders>
            <w:shd w:val="clear" w:color="auto" w:fill="auto"/>
            <w:noWrap/>
            <w:hideMark/>
          </w:tcPr>
          <w:p w14:paraId="2A23A2A2" w14:textId="77777777" w:rsidR="00BC5219" w:rsidRPr="00470BFB" w:rsidRDefault="00BC5219" w:rsidP="00E83802">
            <w:pPr>
              <w:jc w:val="center"/>
              <w:rPr>
                <w:rFonts w:ascii="Meta Pro" w:eastAsia="Times New Roman" w:hAnsi="Meta Pro"/>
                <w:color w:val="000000"/>
                <w:szCs w:val="18"/>
                <w:lang w:eastAsia="en-AU"/>
              </w:rPr>
            </w:pPr>
          </w:p>
        </w:tc>
        <w:tc>
          <w:tcPr>
            <w:tcW w:w="1756" w:type="dxa"/>
            <w:tcBorders>
              <w:top w:val="nil"/>
              <w:left w:val="nil"/>
              <w:bottom w:val="nil"/>
              <w:right w:val="nil"/>
            </w:tcBorders>
            <w:shd w:val="clear" w:color="auto" w:fill="auto"/>
            <w:noWrap/>
            <w:vAlign w:val="center"/>
            <w:hideMark/>
          </w:tcPr>
          <w:p w14:paraId="3422E99C" w14:textId="77777777" w:rsidR="00BC5219" w:rsidRPr="00470BFB" w:rsidRDefault="00BC5219" w:rsidP="00E83802">
            <w:pPr>
              <w:rPr>
                <w:rFonts w:ascii="Meta Pro" w:eastAsia="Times New Roman" w:hAnsi="Meta Pro" w:cs="Times New Roman"/>
                <w:sz w:val="20"/>
                <w:szCs w:val="20"/>
                <w:lang w:eastAsia="en-AU"/>
              </w:rPr>
            </w:pPr>
          </w:p>
        </w:tc>
        <w:tc>
          <w:tcPr>
            <w:tcW w:w="6432" w:type="dxa"/>
            <w:gridSpan w:val="2"/>
            <w:tcBorders>
              <w:top w:val="nil"/>
              <w:left w:val="nil"/>
              <w:bottom w:val="nil"/>
              <w:right w:val="nil"/>
            </w:tcBorders>
            <w:shd w:val="clear" w:color="auto" w:fill="auto"/>
            <w:hideMark/>
          </w:tcPr>
          <w:p w14:paraId="3A68C776" w14:textId="77777777" w:rsidR="00BC5219" w:rsidRPr="00470BFB" w:rsidRDefault="00BC5219" w:rsidP="00E83802">
            <w:pPr>
              <w:rPr>
                <w:rFonts w:ascii="Meta Pro" w:eastAsia="Times New Roman" w:hAnsi="Meta Pro"/>
                <w:color w:val="000000"/>
                <w:szCs w:val="18"/>
                <w:lang w:eastAsia="en-AU"/>
              </w:rPr>
            </w:pPr>
            <w:r w:rsidRPr="00470BFB">
              <w:rPr>
                <w:rFonts w:ascii="Meta Pro" w:eastAsia="Times New Roman" w:hAnsi="Meta Pro"/>
                <w:color w:val="000000"/>
                <w:szCs w:val="18"/>
                <w:lang w:eastAsia="en-AU"/>
              </w:rPr>
              <w:t>and Main Roads</w:t>
            </w:r>
          </w:p>
        </w:tc>
        <w:tc>
          <w:tcPr>
            <w:tcW w:w="1396" w:type="dxa"/>
            <w:tcBorders>
              <w:top w:val="nil"/>
              <w:left w:val="nil"/>
              <w:bottom w:val="nil"/>
              <w:right w:val="nil"/>
            </w:tcBorders>
            <w:shd w:val="clear" w:color="auto" w:fill="auto"/>
            <w:noWrap/>
            <w:vAlign w:val="center"/>
            <w:hideMark/>
          </w:tcPr>
          <w:p w14:paraId="60B8BFC6" w14:textId="77777777" w:rsidR="00BC5219" w:rsidRPr="00470BFB" w:rsidRDefault="00BC5219" w:rsidP="00E83802">
            <w:pPr>
              <w:rPr>
                <w:rFonts w:ascii="Meta Pro" w:eastAsia="Times New Roman" w:hAnsi="Meta Pro"/>
                <w:color w:val="000000"/>
                <w:szCs w:val="18"/>
                <w:lang w:eastAsia="en-AU"/>
              </w:rPr>
            </w:pPr>
          </w:p>
        </w:tc>
      </w:tr>
      <w:tr w:rsidR="00BC5219" w:rsidRPr="00470BFB" w14:paraId="1F5C1BD7" w14:textId="77777777" w:rsidTr="00E83802">
        <w:trPr>
          <w:trHeight w:val="198"/>
        </w:trPr>
        <w:tc>
          <w:tcPr>
            <w:tcW w:w="1496" w:type="dxa"/>
            <w:tcBorders>
              <w:top w:val="nil"/>
              <w:left w:val="nil"/>
              <w:bottom w:val="nil"/>
              <w:right w:val="nil"/>
            </w:tcBorders>
            <w:shd w:val="clear" w:color="auto" w:fill="auto"/>
            <w:noWrap/>
            <w:vAlign w:val="center"/>
            <w:hideMark/>
          </w:tcPr>
          <w:p w14:paraId="23206013" w14:textId="77777777" w:rsidR="00BC5219" w:rsidRPr="00470BFB" w:rsidRDefault="00BC5219" w:rsidP="00E83802">
            <w:pPr>
              <w:jc w:val="center"/>
              <w:rPr>
                <w:rFonts w:ascii="Meta Pro" w:eastAsia="Times New Roman" w:hAnsi="Meta Pro" w:cs="Times New Roman"/>
                <w:sz w:val="20"/>
                <w:szCs w:val="20"/>
                <w:lang w:eastAsia="en-AU"/>
              </w:rPr>
            </w:pPr>
          </w:p>
        </w:tc>
        <w:tc>
          <w:tcPr>
            <w:tcW w:w="1756" w:type="dxa"/>
            <w:tcBorders>
              <w:top w:val="nil"/>
              <w:left w:val="nil"/>
              <w:bottom w:val="nil"/>
              <w:right w:val="nil"/>
            </w:tcBorders>
            <w:shd w:val="clear" w:color="auto" w:fill="auto"/>
            <w:noWrap/>
            <w:vAlign w:val="center"/>
            <w:hideMark/>
          </w:tcPr>
          <w:p w14:paraId="2C127033" w14:textId="77777777" w:rsidR="00BC5219" w:rsidRPr="00470BFB" w:rsidRDefault="00BC5219" w:rsidP="00E83802">
            <w:pPr>
              <w:rPr>
                <w:rFonts w:ascii="Meta Pro" w:eastAsia="Times New Roman" w:hAnsi="Meta Pro" w:cs="Times New Roman"/>
                <w:sz w:val="20"/>
                <w:szCs w:val="20"/>
                <w:lang w:eastAsia="en-AU"/>
              </w:rPr>
            </w:pPr>
          </w:p>
        </w:tc>
        <w:tc>
          <w:tcPr>
            <w:tcW w:w="6432" w:type="dxa"/>
            <w:gridSpan w:val="2"/>
            <w:tcBorders>
              <w:top w:val="nil"/>
              <w:left w:val="nil"/>
              <w:bottom w:val="single" w:sz="4" w:space="0" w:color="auto"/>
              <w:right w:val="nil"/>
            </w:tcBorders>
            <w:shd w:val="clear" w:color="auto" w:fill="auto"/>
            <w:hideMark/>
          </w:tcPr>
          <w:p w14:paraId="5A673050" w14:textId="77777777" w:rsidR="00BC5219" w:rsidRPr="00470BFB" w:rsidRDefault="00BC5219" w:rsidP="00E83802">
            <w:pPr>
              <w:rPr>
                <w:rFonts w:ascii="Meta Pro" w:eastAsia="Times New Roman" w:hAnsi="Meta Pro"/>
                <w:color w:val="000000"/>
                <w:szCs w:val="18"/>
                <w:lang w:eastAsia="en-AU"/>
              </w:rPr>
            </w:pPr>
            <w:r w:rsidRPr="00470BFB">
              <w:rPr>
                <w:rFonts w:ascii="Meta Pro" w:eastAsia="Times New Roman" w:hAnsi="Meta Pro"/>
                <w:color w:val="000000"/>
                <w:szCs w:val="18"/>
                <w:lang w:eastAsia="en-AU"/>
              </w:rPr>
              <w:t>Independent Auditor's Report</w:t>
            </w:r>
          </w:p>
        </w:tc>
        <w:tc>
          <w:tcPr>
            <w:tcW w:w="1396" w:type="dxa"/>
            <w:tcBorders>
              <w:top w:val="nil"/>
              <w:left w:val="nil"/>
              <w:bottom w:val="single" w:sz="4" w:space="0" w:color="auto"/>
              <w:right w:val="nil"/>
            </w:tcBorders>
            <w:shd w:val="clear" w:color="auto" w:fill="auto"/>
            <w:noWrap/>
            <w:vAlign w:val="center"/>
            <w:hideMark/>
          </w:tcPr>
          <w:p w14:paraId="43B55A75" w14:textId="77777777" w:rsidR="00BC5219" w:rsidRPr="00470BFB" w:rsidRDefault="00BC5219" w:rsidP="00E83802">
            <w:pPr>
              <w:jc w:val="center"/>
              <w:rPr>
                <w:rFonts w:ascii="Meta Pro" w:eastAsia="Times New Roman" w:hAnsi="Meta Pro"/>
                <w:color w:val="000000"/>
                <w:szCs w:val="18"/>
                <w:lang w:eastAsia="en-AU"/>
              </w:rPr>
            </w:pPr>
          </w:p>
        </w:tc>
      </w:tr>
    </w:tbl>
    <w:p w14:paraId="2BA4B8B6" w14:textId="77777777" w:rsidR="00BC5219" w:rsidRPr="008A2B8F" w:rsidRDefault="00BC5219" w:rsidP="00BC5219">
      <w:pPr>
        <w:rPr>
          <w:rFonts w:ascii="Meta Pro" w:hAnsi="Meta Pro"/>
        </w:rPr>
      </w:pPr>
      <w:r>
        <w:rPr>
          <w:rFonts w:ascii="Meta Pro" w:hAnsi="Meta Pro"/>
        </w:rPr>
        <w:t xml:space="preserve"> </w:t>
      </w:r>
    </w:p>
    <w:p w14:paraId="694EDB08" w14:textId="77777777" w:rsidR="00BC5219" w:rsidRPr="008A2B8F" w:rsidRDefault="00BC5219" w:rsidP="00BC5219">
      <w:pPr>
        <w:rPr>
          <w:rFonts w:ascii="Meta Pro" w:hAnsi="Meta Pro"/>
        </w:rPr>
      </w:pPr>
    </w:p>
    <w:p w14:paraId="1135B599" w14:textId="77777777" w:rsidR="00BC5219" w:rsidRPr="008A2B8F" w:rsidRDefault="00BC5219" w:rsidP="00BC5219">
      <w:pPr>
        <w:rPr>
          <w:rFonts w:ascii="Meta Pro" w:hAnsi="Meta Pro"/>
        </w:rPr>
      </w:pPr>
    </w:p>
    <w:p w14:paraId="54847371" w14:textId="77777777" w:rsidR="00BC5219" w:rsidRPr="008A2B8F" w:rsidRDefault="00BC5219" w:rsidP="00BC5219">
      <w:pPr>
        <w:rPr>
          <w:rFonts w:ascii="Meta Pro" w:hAnsi="Meta Pro"/>
        </w:rPr>
      </w:pPr>
    </w:p>
    <w:p w14:paraId="784D8D1D" w14:textId="77777777" w:rsidR="00BC5219" w:rsidRPr="008A2B8F" w:rsidRDefault="00BC5219" w:rsidP="00BC5219">
      <w:pPr>
        <w:rPr>
          <w:rFonts w:ascii="Meta Pro" w:hAnsi="Meta Pro"/>
        </w:rPr>
      </w:pPr>
    </w:p>
    <w:p w14:paraId="522B9449" w14:textId="77777777" w:rsidR="00BC5219" w:rsidRPr="008A2B8F" w:rsidRDefault="00BC5219" w:rsidP="00BC5219">
      <w:pPr>
        <w:rPr>
          <w:rFonts w:ascii="Meta Pro" w:hAnsi="Meta Pro"/>
        </w:rPr>
      </w:pPr>
    </w:p>
    <w:p w14:paraId="6CE48D02" w14:textId="77777777" w:rsidR="00BC5219" w:rsidRPr="008A2B8F" w:rsidRDefault="00BC5219" w:rsidP="00BC5219">
      <w:pPr>
        <w:rPr>
          <w:rFonts w:ascii="Meta Pro" w:eastAsia="Times New Roman" w:hAnsi="Meta Pro"/>
          <w:i/>
          <w:iCs/>
          <w:color w:val="000000" w:themeColor="text1"/>
          <w:lang w:eastAsia="en-AU"/>
        </w:rPr>
      </w:pPr>
      <w:r w:rsidRPr="008A2B8F">
        <w:rPr>
          <w:rFonts w:ascii="Meta Pro" w:eastAsia="Times New Roman" w:hAnsi="Meta Pro"/>
          <w:i/>
          <w:iCs/>
          <w:color w:val="000000" w:themeColor="text1"/>
          <w:lang w:eastAsia="en-AU"/>
        </w:rPr>
        <w:t>Department of Transport and Main Roads</w:t>
      </w:r>
    </w:p>
    <w:p w14:paraId="1702736D"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Statement of comprehensive income</w:t>
      </w:r>
    </w:p>
    <w:p w14:paraId="5412CD13"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for the year ended 30 June 2023</w:t>
      </w:r>
    </w:p>
    <w:p w14:paraId="70523FBF" w14:textId="77777777" w:rsidR="00BC5219" w:rsidRPr="009C55C2" w:rsidRDefault="00BC5219" w:rsidP="00BC5219">
      <w:pPr>
        <w:rPr>
          <w:rFonts w:ascii="Meta Pro" w:hAnsi="Meta Pro" w:cstheme="minorBidi"/>
        </w:rPr>
      </w:pPr>
    </w:p>
    <w:tbl>
      <w:tblPr>
        <w:tblW w:w="0" w:type="auto"/>
        <w:tblCellMar>
          <w:left w:w="0" w:type="dxa"/>
        </w:tblCellMar>
        <w:tblLook w:val="04A0" w:firstRow="1" w:lastRow="0" w:firstColumn="1" w:lastColumn="0" w:noHBand="0" w:noVBand="1"/>
      </w:tblPr>
      <w:tblGrid>
        <w:gridCol w:w="223"/>
        <w:gridCol w:w="4998"/>
        <w:gridCol w:w="1029"/>
        <w:gridCol w:w="223"/>
        <w:gridCol w:w="1522"/>
        <w:gridCol w:w="224"/>
        <w:gridCol w:w="1522"/>
      </w:tblGrid>
      <w:tr w:rsidR="00BC5219" w:rsidRPr="009C55C2" w14:paraId="4AED035E" w14:textId="77777777" w:rsidTr="00E83802">
        <w:trPr>
          <w:trHeight w:val="240"/>
        </w:trPr>
        <w:tc>
          <w:tcPr>
            <w:tcW w:w="4990" w:type="dxa"/>
            <w:gridSpan w:val="2"/>
            <w:tcBorders>
              <w:top w:val="nil"/>
              <w:left w:val="nil"/>
              <w:bottom w:val="nil"/>
              <w:right w:val="nil"/>
            </w:tcBorders>
            <w:shd w:val="clear" w:color="auto" w:fill="auto"/>
            <w:noWrap/>
            <w:vAlign w:val="center"/>
            <w:hideMark/>
          </w:tcPr>
          <w:p w14:paraId="1E64672B" w14:textId="77777777" w:rsidR="00BC5219" w:rsidRPr="009C55C2" w:rsidRDefault="00BC5219" w:rsidP="00E83802">
            <w:pPr>
              <w:rPr>
                <w:rFonts w:ascii="Meta Pro" w:eastAsia="Times New Roman" w:hAnsi="Meta Pro"/>
                <w:b/>
                <w:bCs/>
                <w:color w:val="000000"/>
                <w:lang w:eastAsia="en-AU"/>
              </w:rPr>
            </w:pPr>
            <w:r w:rsidRPr="009C55C2">
              <w:rPr>
                <w:rFonts w:ascii="Meta Pro" w:eastAsia="Times New Roman" w:hAnsi="Meta Pro"/>
                <w:b/>
                <w:bCs/>
                <w:color w:val="000000"/>
                <w:lang w:eastAsia="en-AU"/>
              </w:rPr>
              <w:t>OPERATING RESULT</w:t>
            </w:r>
          </w:p>
        </w:tc>
        <w:tc>
          <w:tcPr>
            <w:tcW w:w="1021" w:type="dxa"/>
            <w:tcBorders>
              <w:top w:val="nil"/>
              <w:left w:val="nil"/>
              <w:bottom w:val="nil"/>
              <w:right w:val="nil"/>
            </w:tcBorders>
            <w:shd w:val="clear" w:color="auto" w:fill="auto"/>
            <w:noWrap/>
            <w:vAlign w:val="center"/>
            <w:hideMark/>
          </w:tcPr>
          <w:p w14:paraId="0CD69BF0" w14:textId="77777777" w:rsidR="00BC5219" w:rsidRPr="009C55C2" w:rsidRDefault="00BC5219" w:rsidP="00E83802">
            <w:pPr>
              <w:jc w:val="center"/>
              <w:rPr>
                <w:rFonts w:ascii="Meta Pro" w:eastAsia="Times New Roman" w:hAnsi="Meta Pro"/>
                <w:b/>
                <w:bCs/>
                <w:color w:val="000000"/>
                <w:lang w:eastAsia="en-AU"/>
              </w:rPr>
            </w:pPr>
            <w:r w:rsidRPr="009C55C2">
              <w:rPr>
                <w:rFonts w:ascii="Meta Pro" w:eastAsia="Times New Roman" w:hAnsi="Meta Pro"/>
                <w:b/>
                <w:bCs/>
                <w:color w:val="000000"/>
                <w:lang w:eastAsia="en-AU"/>
              </w:rPr>
              <w:t>Note</w:t>
            </w:r>
          </w:p>
        </w:tc>
        <w:tc>
          <w:tcPr>
            <w:tcW w:w="215" w:type="dxa"/>
            <w:tcBorders>
              <w:top w:val="nil"/>
              <w:left w:val="nil"/>
              <w:bottom w:val="nil"/>
              <w:right w:val="nil"/>
            </w:tcBorders>
            <w:shd w:val="clear" w:color="auto" w:fill="auto"/>
            <w:noWrap/>
            <w:vAlign w:val="center"/>
            <w:hideMark/>
          </w:tcPr>
          <w:p w14:paraId="20290C53" w14:textId="77777777" w:rsidR="00BC5219" w:rsidRPr="009C55C2" w:rsidRDefault="00BC5219" w:rsidP="00E83802">
            <w:pPr>
              <w:jc w:val="center"/>
              <w:rPr>
                <w:rFonts w:ascii="Meta Pro" w:eastAsia="Times New Roman" w:hAnsi="Meta Pro"/>
                <w:b/>
                <w:bCs/>
                <w:color w:val="000000"/>
                <w:lang w:eastAsia="en-AU"/>
              </w:rPr>
            </w:pPr>
          </w:p>
        </w:tc>
        <w:tc>
          <w:tcPr>
            <w:tcW w:w="1514" w:type="dxa"/>
            <w:tcBorders>
              <w:top w:val="nil"/>
              <w:left w:val="nil"/>
              <w:bottom w:val="nil"/>
              <w:right w:val="nil"/>
            </w:tcBorders>
            <w:shd w:val="clear" w:color="auto" w:fill="auto"/>
            <w:noWrap/>
            <w:vAlign w:val="center"/>
            <w:hideMark/>
          </w:tcPr>
          <w:p w14:paraId="61CA803A" w14:textId="77777777" w:rsidR="00BC5219" w:rsidRPr="009C55C2" w:rsidRDefault="00BC5219" w:rsidP="00E83802">
            <w:pPr>
              <w:jc w:val="center"/>
              <w:rPr>
                <w:rFonts w:ascii="Meta Pro" w:eastAsia="Times New Roman" w:hAnsi="Meta Pro"/>
                <w:b/>
                <w:bCs/>
                <w:lang w:eastAsia="en-AU"/>
              </w:rPr>
            </w:pPr>
            <w:r w:rsidRPr="009C55C2">
              <w:rPr>
                <w:rFonts w:ascii="Meta Pro" w:eastAsia="Times New Roman" w:hAnsi="Meta Pro"/>
                <w:b/>
                <w:bCs/>
                <w:lang w:eastAsia="en-AU"/>
              </w:rPr>
              <w:t>2023</w:t>
            </w:r>
          </w:p>
        </w:tc>
        <w:tc>
          <w:tcPr>
            <w:tcW w:w="216" w:type="dxa"/>
            <w:tcBorders>
              <w:top w:val="nil"/>
              <w:left w:val="nil"/>
              <w:bottom w:val="nil"/>
              <w:right w:val="nil"/>
            </w:tcBorders>
            <w:shd w:val="clear" w:color="auto" w:fill="auto"/>
            <w:noWrap/>
            <w:vAlign w:val="center"/>
            <w:hideMark/>
          </w:tcPr>
          <w:p w14:paraId="30A61420" w14:textId="77777777" w:rsidR="00BC5219" w:rsidRPr="009C55C2" w:rsidRDefault="00BC5219" w:rsidP="00E83802">
            <w:pPr>
              <w:jc w:val="center"/>
              <w:rPr>
                <w:rFonts w:ascii="Meta Pro" w:eastAsia="Times New Roman" w:hAnsi="Meta Pro"/>
                <w:b/>
                <w:bCs/>
                <w:lang w:eastAsia="en-AU"/>
              </w:rPr>
            </w:pPr>
          </w:p>
        </w:tc>
        <w:tc>
          <w:tcPr>
            <w:tcW w:w="1514" w:type="dxa"/>
            <w:tcBorders>
              <w:top w:val="nil"/>
              <w:left w:val="nil"/>
              <w:bottom w:val="nil"/>
              <w:right w:val="nil"/>
            </w:tcBorders>
            <w:shd w:val="clear" w:color="auto" w:fill="auto"/>
            <w:noWrap/>
            <w:vAlign w:val="center"/>
            <w:hideMark/>
          </w:tcPr>
          <w:p w14:paraId="6E5EEE68" w14:textId="77777777" w:rsidR="00BC5219" w:rsidRPr="009C55C2" w:rsidRDefault="00BC5219" w:rsidP="00E83802">
            <w:pPr>
              <w:jc w:val="center"/>
              <w:rPr>
                <w:rFonts w:ascii="Meta Pro" w:eastAsia="Times New Roman" w:hAnsi="Meta Pro"/>
                <w:b/>
                <w:bCs/>
                <w:lang w:eastAsia="en-AU"/>
              </w:rPr>
            </w:pPr>
            <w:r w:rsidRPr="009C55C2">
              <w:rPr>
                <w:rFonts w:ascii="Meta Pro" w:eastAsia="Times New Roman" w:hAnsi="Meta Pro"/>
                <w:b/>
                <w:bCs/>
                <w:lang w:eastAsia="en-AU"/>
              </w:rPr>
              <w:t>2022</w:t>
            </w:r>
          </w:p>
        </w:tc>
      </w:tr>
      <w:tr w:rsidR="00BC5219" w:rsidRPr="009C55C2" w14:paraId="4F81F939" w14:textId="77777777" w:rsidTr="00E83802">
        <w:trPr>
          <w:trHeight w:val="240"/>
        </w:trPr>
        <w:tc>
          <w:tcPr>
            <w:tcW w:w="215" w:type="dxa"/>
            <w:tcBorders>
              <w:top w:val="nil"/>
              <w:left w:val="nil"/>
              <w:bottom w:val="nil"/>
              <w:right w:val="nil"/>
            </w:tcBorders>
            <w:shd w:val="clear" w:color="auto" w:fill="auto"/>
            <w:noWrap/>
            <w:vAlign w:val="center"/>
            <w:hideMark/>
          </w:tcPr>
          <w:p w14:paraId="01A70318" w14:textId="77777777" w:rsidR="00BC5219" w:rsidRPr="009C55C2" w:rsidRDefault="00BC5219" w:rsidP="00E83802">
            <w:pPr>
              <w:jc w:val="center"/>
              <w:rPr>
                <w:rFonts w:ascii="Meta Pro" w:eastAsia="Times New Roman" w:hAnsi="Meta Pro"/>
                <w:b/>
                <w:bCs/>
                <w:lang w:eastAsia="en-AU"/>
              </w:rPr>
            </w:pPr>
          </w:p>
        </w:tc>
        <w:tc>
          <w:tcPr>
            <w:tcW w:w="4990" w:type="dxa"/>
            <w:tcBorders>
              <w:top w:val="nil"/>
              <w:left w:val="nil"/>
              <w:bottom w:val="nil"/>
              <w:right w:val="nil"/>
            </w:tcBorders>
            <w:shd w:val="clear" w:color="auto" w:fill="auto"/>
            <w:noWrap/>
            <w:vAlign w:val="center"/>
            <w:hideMark/>
          </w:tcPr>
          <w:p w14:paraId="7F2E704E" w14:textId="77777777" w:rsidR="00BC5219" w:rsidRPr="009C55C2" w:rsidRDefault="00BC5219" w:rsidP="00E83802">
            <w:pPr>
              <w:rPr>
                <w:rFonts w:ascii="Meta Pro" w:eastAsia="Times New Roman" w:hAnsi="Meta Pro" w:cs="Times New Roman"/>
                <w:sz w:val="20"/>
                <w:szCs w:val="20"/>
                <w:lang w:eastAsia="en-AU"/>
              </w:rPr>
            </w:pPr>
          </w:p>
        </w:tc>
        <w:tc>
          <w:tcPr>
            <w:tcW w:w="1021" w:type="dxa"/>
            <w:tcBorders>
              <w:top w:val="nil"/>
              <w:left w:val="nil"/>
              <w:bottom w:val="nil"/>
              <w:right w:val="nil"/>
            </w:tcBorders>
            <w:shd w:val="clear" w:color="auto" w:fill="auto"/>
            <w:noWrap/>
            <w:vAlign w:val="center"/>
            <w:hideMark/>
          </w:tcPr>
          <w:p w14:paraId="33975035" w14:textId="77777777" w:rsidR="00BC5219" w:rsidRPr="009C55C2" w:rsidRDefault="00BC5219" w:rsidP="00E83802">
            <w:pPr>
              <w:rPr>
                <w:rFonts w:ascii="Meta Pro" w:eastAsia="Times New Roman" w:hAnsi="Meta Pro"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4EECC79C" w14:textId="77777777" w:rsidR="00BC5219" w:rsidRPr="009C55C2"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auto" w:fill="auto"/>
            <w:noWrap/>
            <w:vAlign w:val="center"/>
            <w:hideMark/>
          </w:tcPr>
          <w:p w14:paraId="6CB29B03" w14:textId="77777777" w:rsidR="00BC5219" w:rsidRPr="009C55C2" w:rsidRDefault="00BC5219" w:rsidP="00E83802">
            <w:pPr>
              <w:jc w:val="center"/>
              <w:rPr>
                <w:rFonts w:ascii="Meta Pro" w:eastAsia="Times New Roman" w:hAnsi="Meta Pro"/>
                <w:b/>
                <w:bCs/>
                <w:color w:val="000000"/>
                <w:lang w:eastAsia="en-AU"/>
              </w:rPr>
            </w:pPr>
            <w:r w:rsidRPr="009C55C2">
              <w:rPr>
                <w:rFonts w:ascii="Meta Pro" w:eastAsia="Times New Roman" w:hAnsi="Meta Pro"/>
                <w:b/>
                <w:bCs/>
                <w:color w:val="000000"/>
                <w:lang w:eastAsia="en-AU"/>
              </w:rPr>
              <w:t>$'000</w:t>
            </w:r>
          </w:p>
        </w:tc>
        <w:tc>
          <w:tcPr>
            <w:tcW w:w="216" w:type="dxa"/>
            <w:tcBorders>
              <w:top w:val="nil"/>
              <w:left w:val="nil"/>
              <w:bottom w:val="nil"/>
              <w:right w:val="nil"/>
            </w:tcBorders>
            <w:shd w:val="clear" w:color="auto" w:fill="auto"/>
            <w:noWrap/>
            <w:vAlign w:val="center"/>
            <w:hideMark/>
          </w:tcPr>
          <w:p w14:paraId="1AF1BF26" w14:textId="77777777" w:rsidR="00BC5219" w:rsidRPr="009C55C2" w:rsidRDefault="00BC5219" w:rsidP="00E83802">
            <w:pPr>
              <w:jc w:val="center"/>
              <w:rPr>
                <w:rFonts w:ascii="Meta Pro" w:eastAsia="Times New Roman" w:hAnsi="Meta Pro"/>
                <w:b/>
                <w:bCs/>
                <w:color w:val="000000"/>
                <w:lang w:eastAsia="en-AU"/>
              </w:rPr>
            </w:pPr>
          </w:p>
        </w:tc>
        <w:tc>
          <w:tcPr>
            <w:tcW w:w="1514" w:type="dxa"/>
            <w:tcBorders>
              <w:top w:val="nil"/>
              <w:left w:val="nil"/>
              <w:bottom w:val="nil"/>
              <w:right w:val="nil"/>
            </w:tcBorders>
            <w:shd w:val="clear" w:color="auto" w:fill="auto"/>
            <w:noWrap/>
            <w:vAlign w:val="center"/>
            <w:hideMark/>
          </w:tcPr>
          <w:p w14:paraId="473ECE6D" w14:textId="77777777" w:rsidR="00BC5219" w:rsidRPr="009C55C2" w:rsidRDefault="00BC5219" w:rsidP="00E83802">
            <w:pPr>
              <w:jc w:val="center"/>
              <w:rPr>
                <w:rFonts w:ascii="Meta Pro" w:eastAsia="Times New Roman" w:hAnsi="Meta Pro"/>
                <w:b/>
                <w:bCs/>
                <w:color w:val="000000"/>
                <w:lang w:eastAsia="en-AU"/>
              </w:rPr>
            </w:pPr>
            <w:r w:rsidRPr="009C55C2">
              <w:rPr>
                <w:rFonts w:ascii="Meta Pro" w:eastAsia="Times New Roman" w:hAnsi="Meta Pro"/>
                <w:b/>
                <w:bCs/>
                <w:color w:val="000000"/>
                <w:lang w:eastAsia="en-AU"/>
              </w:rPr>
              <w:t>$'000</w:t>
            </w:r>
          </w:p>
        </w:tc>
      </w:tr>
      <w:tr w:rsidR="00BC5219" w:rsidRPr="009C55C2" w14:paraId="5C4D1547" w14:textId="77777777" w:rsidTr="00E83802">
        <w:trPr>
          <w:trHeight w:val="240"/>
        </w:trPr>
        <w:tc>
          <w:tcPr>
            <w:tcW w:w="4990" w:type="dxa"/>
            <w:gridSpan w:val="2"/>
            <w:tcBorders>
              <w:top w:val="nil"/>
              <w:left w:val="nil"/>
              <w:bottom w:val="nil"/>
              <w:right w:val="nil"/>
            </w:tcBorders>
            <w:shd w:val="clear" w:color="auto" w:fill="auto"/>
            <w:noWrap/>
            <w:vAlign w:val="center"/>
            <w:hideMark/>
          </w:tcPr>
          <w:p w14:paraId="4842E070" w14:textId="77777777" w:rsidR="00BC5219" w:rsidRPr="009C55C2" w:rsidRDefault="00BC5219" w:rsidP="00E83802">
            <w:pPr>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Income</w:t>
            </w:r>
          </w:p>
        </w:tc>
        <w:tc>
          <w:tcPr>
            <w:tcW w:w="1021" w:type="dxa"/>
            <w:tcBorders>
              <w:top w:val="nil"/>
              <w:left w:val="nil"/>
              <w:bottom w:val="nil"/>
              <w:right w:val="nil"/>
            </w:tcBorders>
            <w:shd w:val="clear" w:color="auto" w:fill="auto"/>
            <w:noWrap/>
            <w:vAlign w:val="center"/>
            <w:hideMark/>
          </w:tcPr>
          <w:p w14:paraId="48A915A2" w14:textId="77777777" w:rsidR="00BC5219" w:rsidRPr="009C55C2" w:rsidRDefault="00BC5219" w:rsidP="00E83802">
            <w:pPr>
              <w:rPr>
                <w:rFonts w:ascii="Meta Pro" w:eastAsia="Times New Roman" w:hAnsi="Meta Pro"/>
                <w:b/>
                <w:bCs/>
                <w:color w:val="000000"/>
                <w:szCs w:val="18"/>
                <w:lang w:eastAsia="en-AU"/>
              </w:rPr>
            </w:pPr>
          </w:p>
        </w:tc>
        <w:tc>
          <w:tcPr>
            <w:tcW w:w="215" w:type="dxa"/>
            <w:tcBorders>
              <w:top w:val="nil"/>
              <w:left w:val="nil"/>
              <w:bottom w:val="nil"/>
              <w:right w:val="nil"/>
            </w:tcBorders>
            <w:shd w:val="clear" w:color="auto" w:fill="auto"/>
            <w:noWrap/>
            <w:vAlign w:val="center"/>
            <w:hideMark/>
          </w:tcPr>
          <w:p w14:paraId="19AFC5BD" w14:textId="77777777" w:rsidR="00BC5219" w:rsidRPr="009C55C2"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auto" w:fill="auto"/>
            <w:noWrap/>
            <w:vAlign w:val="center"/>
            <w:hideMark/>
          </w:tcPr>
          <w:p w14:paraId="0741ADFE" w14:textId="77777777" w:rsidR="00BC5219" w:rsidRPr="009C55C2" w:rsidRDefault="00BC5219" w:rsidP="00E83802">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7DBCA3F0" w14:textId="77777777" w:rsidR="00BC5219" w:rsidRPr="009C55C2" w:rsidRDefault="00BC5219" w:rsidP="00E83802">
            <w:pP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auto" w:fill="auto"/>
            <w:noWrap/>
            <w:vAlign w:val="center"/>
            <w:hideMark/>
          </w:tcPr>
          <w:p w14:paraId="48EA3702" w14:textId="77777777" w:rsidR="00BC5219" w:rsidRPr="009C55C2" w:rsidRDefault="00BC5219" w:rsidP="00E83802">
            <w:pPr>
              <w:rPr>
                <w:rFonts w:ascii="Meta Pro" w:eastAsia="Times New Roman" w:hAnsi="Meta Pro" w:cs="Times New Roman"/>
                <w:sz w:val="20"/>
                <w:szCs w:val="20"/>
                <w:lang w:eastAsia="en-AU"/>
              </w:rPr>
            </w:pPr>
          </w:p>
        </w:tc>
      </w:tr>
      <w:tr w:rsidR="00BC5219" w:rsidRPr="009C55C2" w14:paraId="2DC501C6" w14:textId="77777777" w:rsidTr="00E83802">
        <w:trPr>
          <w:trHeight w:val="240"/>
        </w:trPr>
        <w:tc>
          <w:tcPr>
            <w:tcW w:w="215" w:type="dxa"/>
            <w:tcBorders>
              <w:top w:val="nil"/>
              <w:left w:val="nil"/>
              <w:bottom w:val="nil"/>
              <w:right w:val="nil"/>
            </w:tcBorders>
            <w:shd w:val="clear" w:color="auto" w:fill="auto"/>
            <w:noWrap/>
            <w:vAlign w:val="center"/>
            <w:hideMark/>
          </w:tcPr>
          <w:p w14:paraId="14361E8F" w14:textId="77777777" w:rsidR="00BC5219" w:rsidRPr="009C55C2" w:rsidRDefault="00BC5219" w:rsidP="00E83802">
            <w:pPr>
              <w:rPr>
                <w:rFonts w:ascii="Meta Pro" w:eastAsia="Times New Roman" w:hAnsi="Meta Pro" w:cs="Times New Roman"/>
                <w:sz w:val="20"/>
                <w:szCs w:val="20"/>
                <w:lang w:eastAsia="en-AU"/>
              </w:rPr>
            </w:pPr>
          </w:p>
        </w:tc>
        <w:tc>
          <w:tcPr>
            <w:tcW w:w="4990" w:type="dxa"/>
            <w:tcBorders>
              <w:top w:val="nil"/>
              <w:left w:val="nil"/>
              <w:bottom w:val="nil"/>
              <w:right w:val="nil"/>
            </w:tcBorders>
            <w:shd w:val="clear" w:color="auto" w:fill="auto"/>
            <w:noWrap/>
            <w:vAlign w:val="center"/>
            <w:hideMark/>
          </w:tcPr>
          <w:p w14:paraId="7B3F1EA6"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Appropriation revenue</w:t>
            </w:r>
          </w:p>
        </w:tc>
        <w:tc>
          <w:tcPr>
            <w:tcW w:w="1021" w:type="dxa"/>
            <w:tcBorders>
              <w:top w:val="nil"/>
              <w:left w:val="nil"/>
              <w:bottom w:val="nil"/>
              <w:right w:val="nil"/>
            </w:tcBorders>
            <w:shd w:val="clear" w:color="auto" w:fill="auto"/>
            <w:noWrap/>
            <w:vAlign w:val="center"/>
            <w:hideMark/>
          </w:tcPr>
          <w:p w14:paraId="3F87CA2E"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2</w:t>
            </w:r>
          </w:p>
        </w:tc>
        <w:tc>
          <w:tcPr>
            <w:tcW w:w="215" w:type="dxa"/>
            <w:tcBorders>
              <w:top w:val="nil"/>
              <w:left w:val="nil"/>
              <w:bottom w:val="nil"/>
              <w:right w:val="nil"/>
            </w:tcBorders>
            <w:shd w:val="clear" w:color="auto" w:fill="auto"/>
            <w:noWrap/>
            <w:vAlign w:val="center"/>
            <w:hideMark/>
          </w:tcPr>
          <w:p w14:paraId="5764148F" w14:textId="77777777" w:rsidR="00BC5219" w:rsidRPr="009C55C2" w:rsidRDefault="00BC5219" w:rsidP="00E83802">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3575A796"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6,371,614 </w:t>
            </w:r>
          </w:p>
        </w:tc>
        <w:tc>
          <w:tcPr>
            <w:tcW w:w="216" w:type="dxa"/>
            <w:tcBorders>
              <w:top w:val="nil"/>
              <w:left w:val="nil"/>
              <w:bottom w:val="nil"/>
              <w:right w:val="nil"/>
            </w:tcBorders>
            <w:shd w:val="clear" w:color="auto" w:fill="auto"/>
            <w:noWrap/>
            <w:vAlign w:val="center"/>
            <w:hideMark/>
          </w:tcPr>
          <w:p w14:paraId="7DAB0612" w14:textId="77777777" w:rsidR="00BC5219" w:rsidRPr="009C55C2"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2514E5EA"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5,927,541 </w:t>
            </w:r>
          </w:p>
        </w:tc>
      </w:tr>
      <w:tr w:rsidR="00BC5219" w:rsidRPr="009C55C2" w14:paraId="260F4129" w14:textId="77777777" w:rsidTr="00E83802">
        <w:trPr>
          <w:trHeight w:val="240"/>
        </w:trPr>
        <w:tc>
          <w:tcPr>
            <w:tcW w:w="215" w:type="dxa"/>
            <w:tcBorders>
              <w:top w:val="nil"/>
              <w:left w:val="nil"/>
              <w:bottom w:val="nil"/>
              <w:right w:val="nil"/>
            </w:tcBorders>
            <w:shd w:val="clear" w:color="auto" w:fill="auto"/>
            <w:noWrap/>
            <w:vAlign w:val="center"/>
            <w:hideMark/>
          </w:tcPr>
          <w:p w14:paraId="79E1D282" w14:textId="77777777" w:rsidR="00BC5219" w:rsidRPr="009C55C2" w:rsidRDefault="00BC5219" w:rsidP="00E83802">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6755AD4D"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User charges and fees</w:t>
            </w:r>
          </w:p>
        </w:tc>
        <w:tc>
          <w:tcPr>
            <w:tcW w:w="1021" w:type="dxa"/>
            <w:tcBorders>
              <w:top w:val="nil"/>
              <w:left w:val="nil"/>
              <w:bottom w:val="nil"/>
              <w:right w:val="nil"/>
            </w:tcBorders>
            <w:shd w:val="clear" w:color="auto" w:fill="auto"/>
            <w:noWrap/>
            <w:vAlign w:val="center"/>
            <w:hideMark/>
          </w:tcPr>
          <w:p w14:paraId="5CE64859"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3</w:t>
            </w:r>
          </w:p>
        </w:tc>
        <w:tc>
          <w:tcPr>
            <w:tcW w:w="215" w:type="dxa"/>
            <w:tcBorders>
              <w:top w:val="nil"/>
              <w:left w:val="nil"/>
              <w:bottom w:val="nil"/>
              <w:right w:val="nil"/>
            </w:tcBorders>
            <w:shd w:val="clear" w:color="auto" w:fill="auto"/>
            <w:noWrap/>
            <w:vAlign w:val="center"/>
            <w:hideMark/>
          </w:tcPr>
          <w:p w14:paraId="09727552" w14:textId="77777777" w:rsidR="00BC5219" w:rsidRPr="009C55C2" w:rsidRDefault="00BC5219" w:rsidP="00E83802">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070B8F5A"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778,843 </w:t>
            </w:r>
          </w:p>
        </w:tc>
        <w:tc>
          <w:tcPr>
            <w:tcW w:w="216" w:type="dxa"/>
            <w:tcBorders>
              <w:top w:val="nil"/>
              <w:left w:val="nil"/>
              <w:bottom w:val="nil"/>
              <w:right w:val="nil"/>
            </w:tcBorders>
            <w:shd w:val="clear" w:color="auto" w:fill="auto"/>
            <w:noWrap/>
            <w:vAlign w:val="center"/>
            <w:hideMark/>
          </w:tcPr>
          <w:p w14:paraId="61872AE3" w14:textId="77777777" w:rsidR="00BC5219" w:rsidRPr="009C55C2"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19853357"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703,281 </w:t>
            </w:r>
          </w:p>
        </w:tc>
      </w:tr>
      <w:tr w:rsidR="00BC5219" w:rsidRPr="009C55C2" w14:paraId="3F3C4B84" w14:textId="77777777" w:rsidTr="00E83802">
        <w:trPr>
          <w:trHeight w:val="240"/>
        </w:trPr>
        <w:tc>
          <w:tcPr>
            <w:tcW w:w="215" w:type="dxa"/>
            <w:tcBorders>
              <w:top w:val="nil"/>
              <w:left w:val="nil"/>
              <w:bottom w:val="nil"/>
              <w:right w:val="nil"/>
            </w:tcBorders>
            <w:shd w:val="clear" w:color="auto" w:fill="auto"/>
            <w:noWrap/>
            <w:vAlign w:val="center"/>
            <w:hideMark/>
          </w:tcPr>
          <w:p w14:paraId="32439058" w14:textId="77777777" w:rsidR="00BC5219" w:rsidRPr="009C55C2" w:rsidRDefault="00BC5219" w:rsidP="00E83802">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650560A0"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Grants and other contributions</w:t>
            </w:r>
          </w:p>
        </w:tc>
        <w:tc>
          <w:tcPr>
            <w:tcW w:w="1021" w:type="dxa"/>
            <w:tcBorders>
              <w:top w:val="nil"/>
              <w:left w:val="nil"/>
              <w:bottom w:val="nil"/>
              <w:right w:val="nil"/>
            </w:tcBorders>
            <w:shd w:val="clear" w:color="auto" w:fill="auto"/>
            <w:noWrap/>
            <w:vAlign w:val="center"/>
            <w:hideMark/>
          </w:tcPr>
          <w:p w14:paraId="1A58C01B"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4</w:t>
            </w:r>
          </w:p>
        </w:tc>
        <w:tc>
          <w:tcPr>
            <w:tcW w:w="215" w:type="dxa"/>
            <w:tcBorders>
              <w:top w:val="nil"/>
              <w:left w:val="nil"/>
              <w:bottom w:val="nil"/>
              <w:right w:val="nil"/>
            </w:tcBorders>
            <w:shd w:val="clear" w:color="auto" w:fill="auto"/>
            <w:noWrap/>
            <w:vAlign w:val="center"/>
            <w:hideMark/>
          </w:tcPr>
          <w:p w14:paraId="59CE8773" w14:textId="77777777" w:rsidR="00BC5219" w:rsidRPr="009C55C2" w:rsidRDefault="00BC5219" w:rsidP="00E83802">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632F3718"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276,088 </w:t>
            </w:r>
          </w:p>
        </w:tc>
        <w:tc>
          <w:tcPr>
            <w:tcW w:w="216" w:type="dxa"/>
            <w:tcBorders>
              <w:top w:val="nil"/>
              <w:left w:val="nil"/>
              <w:bottom w:val="nil"/>
              <w:right w:val="nil"/>
            </w:tcBorders>
            <w:shd w:val="clear" w:color="auto" w:fill="auto"/>
            <w:noWrap/>
            <w:vAlign w:val="center"/>
            <w:hideMark/>
          </w:tcPr>
          <w:p w14:paraId="25617846" w14:textId="77777777" w:rsidR="00BC5219" w:rsidRPr="009C55C2"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274FE621"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216,753 </w:t>
            </w:r>
          </w:p>
        </w:tc>
      </w:tr>
      <w:tr w:rsidR="00BC5219" w:rsidRPr="009C55C2" w14:paraId="5ECF86BC" w14:textId="77777777" w:rsidTr="00E83802">
        <w:trPr>
          <w:trHeight w:val="240"/>
        </w:trPr>
        <w:tc>
          <w:tcPr>
            <w:tcW w:w="215" w:type="dxa"/>
            <w:tcBorders>
              <w:top w:val="nil"/>
              <w:left w:val="nil"/>
              <w:bottom w:val="nil"/>
              <w:right w:val="nil"/>
            </w:tcBorders>
            <w:shd w:val="clear" w:color="auto" w:fill="auto"/>
            <w:noWrap/>
            <w:vAlign w:val="center"/>
            <w:hideMark/>
          </w:tcPr>
          <w:p w14:paraId="0729E464" w14:textId="77777777" w:rsidR="00BC5219" w:rsidRPr="009C55C2" w:rsidRDefault="00BC5219" w:rsidP="00E83802">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6D2B9735"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Service concession arrangements revenue</w:t>
            </w:r>
          </w:p>
        </w:tc>
        <w:tc>
          <w:tcPr>
            <w:tcW w:w="1021" w:type="dxa"/>
            <w:tcBorders>
              <w:top w:val="nil"/>
              <w:left w:val="nil"/>
              <w:bottom w:val="nil"/>
              <w:right w:val="nil"/>
            </w:tcBorders>
            <w:shd w:val="clear" w:color="auto" w:fill="auto"/>
            <w:noWrap/>
            <w:vAlign w:val="center"/>
            <w:hideMark/>
          </w:tcPr>
          <w:p w14:paraId="3C54C603"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16</w:t>
            </w:r>
          </w:p>
        </w:tc>
        <w:tc>
          <w:tcPr>
            <w:tcW w:w="215" w:type="dxa"/>
            <w:tcBorders>
              <w:top w:val="nil"/>
              <w:left w:val="nil"/>
              <w:bottom w:val="nil"/>
              <w:right w:val="nil"/>
            </w:tcBorders>
            <w:shd w:val="clear" w:color="auto" w:fill="auto"/>
            <w:noWrap/>
            <w:vAlign w:val="center"/>
            <w:hideMark/>
          </w:tcPr>
          <w:p w14:paraId="1B3D4160" w14:textId="77777777" w:rsidR="00BC5219" w:rsidRPr="009C55C2" w:rsidRDefault="00BC5219" w:rsidP="00E83802">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1801C303"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232,180 </w:t>
            </w:r>
          </w:p>
        </w:tc>
        <w:tc>
          <w:tcPr>
            <w:tcW w:w="216" w:type="dxa"/>
            <w:tcBorders>
              <w:top w:val="nil"/>
              <w:left w:val="nil"/>
              <w:bottom w:val="nil"/>
              <w:right w:val="nil"/>
            </w:tcBorders>
            <w:shd w:val="clear" w:color="auto" w:fill="auto"/>
            <w:noWrap/>
            <w:vAlign w:val="center"/>
            <w:hideMark/>
          </w:tcPr>
          <w:p w14:paraId="16A31A57" w14:textId="77777777" w:rsidR="00BC5219" w:rsidRPr="009C55C2"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0A3643B1"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232,180 </w:t>
            </w:r>
          </w:p>
        </w:tc>
      </w:tr>
      <w:tr w:rsidR="00BC5219" w:rsidRPr="009C55C2" w14:paraId="5E4B70D1" w14:textId="77777777" w:rsidTr="00E83802">
        <w:trPr>
          <w:trHeight w:val="240"/>
        </w:trPr>
        <w:tc>
          <w:tcPr>
            <w:tcW w:w="215" w:type="dxa"/>
            <w:tcBorders>
              <w:top w:val="nil"/>
              <w:left w:val="nil"/>
              <w:bottom w:val="single" w:sz="4" w:space="0" w:color="auto"/>
              <w:right w:val="nil"/>
            </w:tcBorders>
            <w:shd w:val="clear" w:color="auto" w:fill="auto"/>
            <w:noWrap/>
            <w:vAlign w:val="center"/>
            <w:hideMark/>
          </w:tcPr>
          <w:p w14:paraId="5A70C54B"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4990" w:type="dxa"/>
            <w:tcBorders>
              <w:top w:val="nil"/>
              <w:left w:val="nil"/>
              <w:bottom w:val="single" w:sz="4" w:space="0" w:color="auto"/>
              <w:right w:val="nil"/>
            </w:tcBorders>
            <w:shd w:val="clear" w:color="auto" w:fill="auto"/>
            <w:noWrap/>
            <w:vAlign w:val="center"/>
            <w:hideMark/>
          </w:tcPr>
          <w:p w14:paraId="334DB6C6"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Other revenue</w:t>
            </w:r>
          </w:p>
        </w:tc>
        <w:tc>
          <w:tcPr>
            <w:tcW w:w="1021" w:type="dxa"/>
            <w:tcBorders>
              <w:top w:val="nil"/>
              <w:left w:val="nil"/>
              <w:bottom w:val="single" w:sz="4" w:space="0" w:color="auto"/>
              <w:right w:val="nil"/>
            </w:tcBorders>
            <w:shd w:val="clear" w:color="auto" w:fill="auto"/>
            <w:noWrap/>
            <w:vAlign w:val="center"/>
            <w:hideMark/>
          </w:tcPr>
          <w:p w14:paraId="47698C51"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215" w:type="dxa"/>
            <w:tcBorders>
              <w:top w:val="nil"/>
              <w:left w:val="nil"/>
              <w:bottom w:val="single" w:sz="4" w:space="0" w:color="auto"/>
              <w:right w:val="nil"/>
            </w:tcBorders>
            <w:shd w:val="clear" w:color="auto" w:fill="auto"/>
            <w:noWrap/>
            <w:vAlign w:val="center"/>
            <w:hideMark/>
          </w:tcPr>
          <w:p w14:paraId="3738D6B8"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1514" w:type="dxa"/>
            <w:tcBorders>
              <w:top w:val="nil"/>
              <w:left w:val="nil"/>
              <w:bottom w:val="single" w:sz="4" w:space="0" w:color="auto"/>
              <w:right w:val="nil"/>
            </w:tcBorders>
            <w:shd w:val="clear" w:color="000000" w:fill="C9E3B4"/>
            <w:noWrap/>
            <w:vAlign w:val="center"/>
            <w:hideMark/>
          </w:tcPr>
          <w:p w14:paraId="1A921BC6"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31,784 </w:t>
            </w:r>
          </w:p>
        </w:tc>
        <w:tc>
          <w:tcPr>
            <w:tcW w:w="216" w:type="dxa"/>
            <w:tcBorders>
              <w:top w:val="nil"/>
              <w:left w:val="nil"/>
              <w:bottom w:val="single" w:sz="4" w:space="0" w:color="auto"/>
              <w:right w:val="nil"/>
            </w:tcBorders>
            <w:shd w:val="clear" w:color="auto" w:fill="auto"/>
            <w:noWrap/>
            <w:vAlign w:val="center"/>
            <w:hideMark/>
          </w:tcPr>
          <w:p w14:paraId="724046FB"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1514" w:type="dxa"/>
            <w:tcBorders>
              <w:top w:val="nil"/>
              <w:left w:val="nil"/>
              <w:bottom w:val="single" w:sz="4" w:space="0" w:color="auto"/>
              <w:right w:val="nil"/>
            </w:tcBorders>
            <w:shd w:val="clear" w:color="auto" w:fill="auto"/>
            <w:noWrap/>
            <w:vAlign w:val="center"/>
            <w:hideMark/>
          </w:tcPr>
          <w:p w14:paraId="26EFF309"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50,448 </w:t>
            </w:r>
          </w:p>
        </w:tc>
      </w:tr>
      <w:tr w:rsidR="00BC5219" w:rsidRPr="009C55C2" w14:paraId="5D5C2A5F" w14:textId="77777777" w:rsidTr="00E83802">
        <w:trPr>
          <w:trHeight w:val="240"/>
        </w:trPr>
        <w:tc>
          <w:tcPr>
            <w:tcW w:w="215" w:type="dxa"/>
            <w:tcBorders>
              <w:top w:val="nil"/>
              <w:left w:val="nil"/>
              <w:bottom w:val="nil"/>
              <w:right w:val="nil"/>
            </w:tcBorders>
            <w:shd w:val="clear" w:color="auto" w:fill="auto"/>
            <w:noWrap/>
            <w:vAlign w:val="center"/>
            <w:hideMark/>
          </w:tcPr>
          <w:p w14:paraId="0F33E5E2" w14:textId="77777777" w:rsidR="00BC5219" w:rsidRPr="009C55C2" w:rsidRDefault="00BC5219" w:rsidP="00E83802">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5506CE6A" w14:textId="77777777" w:rsidR="00BC5219" w:rsidRPr="009C55C2" w:rsidRDefault="00BC5219" w:rsidP="00E83802">
            <w:pPr>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Total revenue</w:t>
            </w:r>
          </w:p>
        </w:tc>
        <w:tc>
          <w:tcPr>
            <w:tcW w:w="1021" w:type="dxa"/>
            <w:tcBorders>
              <w:top w:val="single" w:sz="4" w:space="0" w:color="auto"/>
              <w:left w:val="nil"/>
              <w:bottom w:val="nil"/>
              <w:right w:val="nil"/>
            </w:tcBorders>
            <w:shd w:val="clear" w:color="auto" w:fill="auto"/>
            <w:noWrap/>
            <w:vAlign w:val="center"/>
            <w:hideMark/>
          </w:tcPr>
          <w:p w14:paraId="0129A502"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215" w:type="dxa"/>
            <w:tcBorders>
              <w:top w:val="nil"/>
              <w:left w:val="nil"/>
              <w:bottom w:val="nil"/>
              <w:right w:val="nil"/>
            </w:tcBorders>
            <w:shd w:val="clear" w:color="auto" w:fill="auto"/>
            <w:noWrap/>
            <w:vAlign w:val="center"/>
            <w:hideMark/>
          </w:tcPr>
          <w:p w14:paraId="35ABF1CD" w14:textId="77777777" w:rsidR="00BC5219" w:rsidRPr="009C55C2" w:rsidRDefault="00BC5219" w:rsidP="00E83802">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20682888"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xml:space="preserve">7,690,509 </w:t>
            </w:r>
          </w:p>
        </w:tc>
        <w:tc>
          <w:tcPr>
            <w:tcW w:w="216" w:type="dxa"/>
            <w:tcBorders>
              <w:top w:val="nil"/>
              <w:left w:val="nil"/>
              <w:bottom w:val="nil"/>
              <w:right w:val="nil"/>
            </w:tcBorders>
            <w:shd w:val="clear" w:color="auto" w:fill="auto"/>
            <w:noWrap/>
            <w:vAlign w:val="center"/>
            <w:hideMark/>
          </w:tcPr>
          <w:p w14:paraId="56E7AD4A" w14:textId="77777777" w:rsidR="00BC5219" w:rsidRPr="009C55C2" w:rsidRDefault="00BC5219" w:rsidP="00E83802">
            <w:pPr>
              <w:jc w:val="right"/>
              <w:rPr>
                <w:rFonts w:ascii="Meta Pro" w:eastAsia="Times New Roman" w:hAnsi="Meta Pro"/>
                <w:b/>
                <w:bCs/>
                <w:color w:val="000000"/>
                <w:szCs w:val="18"/>
                <w:lang w:eastAsia="en-AU"/>
              </w:rPr>
            </w:pPr>
          </w:p>
        </w:tc>
        <w:tc>
          <w:tcPr>
            <w:tcW w:w="1514" w:type="dxa"/>
            <w:tcBorders>
              <w:top w:val="nil"/>
              <w:left w:val="nil"/>
              <w:bottom w:val="nil"/>
              <w:right w:val="nil"/>
            </w:tcBorders>
            <w:shd w:val="clear" w:color="auto" w:fill="auto"/>
            <w:noWrap/>
            <w:vAlign w:val="center"/>
            <w:hideMark/>
          </w:tcPr>
          <w:p w14:paraId="10EFDF74"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xml:space="preserve">7,130,203 </w:t>
            </w:r>
          </w:p>
        </w:tc>
      </w:tr>
      <w:tr w:rsidR="00BC5219" w:rsidRPr="009C55C2" w14:paraId="18AA4DE1" w14:textId="77777777" w:rsidTr="00E83802">
        <w:trPr>
          <w:trHeight w:val="240"/>
        </w:trPr>
        <w:tc>
          <w:tcPr>
            <w:tcW w:w="215" w:type="dxa"/>
            <w:tcBorders>
              <w:top w:val="nil"/>
              <w:left w:val="nil"/>
              <w:bottom w:val="nil"/>
              <w:right w:val="nil"/>
            </w:tcBorders>
            <w:shd w:val="clear" w:color="auto" w:fill="auto"/>
            <w:noWrap/>
            <w:vAlign w:val="center"/>
            <w:hideMark/>
          </w:tcPr>
          <w:p w14:paraId="33D2786C" w14:textId="77777777" w:rsidR="00BC5219" w:rsidRPr="009C55C2" w:rsidRDefault="00BC5219" w:rsidP="00E83802">
            <w:pPr>
              <w:jc w:val="right"/>
              <w:rPr>
                <w:rFonts w:ascii="Meta Pro" w:eastAsia="Times New Roman" w:hAnsi="Meta Pro"/>
                <w:b/>
                <w:bCs/>
                <w:color w:val="000000"/>
                <w:szCs w:val="18"/>
                <w:lang w:eastAsia="en-AU"/>
              </w:rPr>
            </w:pPr>
          </w:p>
        </w:tc>
        <w:tc>
          <w:tcPr>
            <w:tcW w:w="4990" w:type="dxa"/>
            <w:tcBorders>
              <w:top w:val="nil"/>
              <w:left w:val="nil"/>
              <w:bottom w:val="nil"/>
              <w:right w:val="nil"/>
            </w:tcBorders>
            <w:shd w:val="clear" w:color="auto" w:fill="auto"/>
            <w:noWrap/>
            <w:vAlign w:val="center"/>
            <w:hideMark/>
          </w:tcPr>
          <w:p w14:paraId="2C628F04" w14:textId="77777777" w:rsidR="00BC5219" w:rsidRPr="009C55C2" w:rsidRDefault="00BC5219" w:rsidP="00E83802">
            <w:pPr>
              <w:rPr>
                <w:rFonts w:ascii="Meta Pro" w:eastAsia="Times New Roman" w:hAnsi="Meta Pro" w:cs="Times New Roman"/>
                <w:sz w:val="20"/>
                <w:szCs w:val="20"/>
                <w:lang w:eastAsia="en-AU"/>
              </w:rPr>
            </w:pPr>
          </w:p>
        </w:tc>
        <w:tc>
          <w:tcPr>
            <w:tcW w:w="1021" w:type="dxa"/>
            <w:tcBorders>
              <w:top w:val="nil"/>
              <w:left w:val="nil"/>
              <w:bottom w:val="nil"/>
              <w:right w:val="nil"/>
            </w:tcBorders>
            <w:shd w:val="clear" w:color="auto" w:fill="auto"/>
            <w:noWrap/>
            <w:vAlign w:val="center"/>
            <w:hideMark/>
          </w:tcPr>
          <w:p w14:paraId="5C1566BE" w14:textId="77777777" w:rsidR="00BC5219" w:rsidRPr="009C55C2" w:rsidRDefault="00BC5219" w:rsidP="00E83802">
            <w:pPr>
              <w:rPr>
                <w:rFonts w:ascii="Meta Pro" w:eastAsia="Times New Roman" w:hAnsi="Meta Pro"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3C135C24" w14:textId="77777777" w:rsidR="00BC5219" w:rsidRPr="009C55C2"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4DC2B81B"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421DB448" w14:textId="77777777" w:rsidR="00BC5219" w:rsidRPr="009C55C2"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089A0B25" w14:textId="77777777" w:rsidR="00BC5219" w:rsidRPr="009C55C2" w:rsidRDefault="00BC5219" w:rsidP="00E83802">
            <w:pPr>
              <w:jc w:val="right"/>
              <w:rPr>
                <w:rFonts w:ascii="Meta Pro" w:eastAsia="Times New Roman" w:hAnsi="Meta Pro" w:cs="Times New Roman"/>
                <w:sz w:val="20"/>
                <w:szCs w:val="20"/>
                <w:lang w:eastAsia="en-AU"/>
              </w:rPr>
            </w:pPr>
          </w:p>
        </w:tc>
      </w:tr>
      <w:tr w:rsidR="00BC5219" w:rsidRPr="009C55C2" w14:paraId="5EB0D3BC" w14:textId="77777777" w:rsidTr="00E83802">
        <w:trPr>
          <w:trHeight w:val="240"/>
        </w:trPr>
        <w:tc>
          <w:tcPr>
            <w:tcW w:w="215" w:type="dxa"/>
            <w:tcBorders>
              <w:top w:val="nil"/>
              <w:left w:val="nil"/>
              <w:bottom w:val="single" w:sz="4" w:space="0" w:color="auto"/>
              <w:right w:val="nil"/>
            </w:tcBorders>
            <w:shd w:val="clear" w:color="auto" w:fill="auto"/>
            <w:noWrap/>
            <w:vAlign w:val="center"/>
            <w:hideMark/>
          </w:tcPr>
          <w:p w14:paraId="587A767F"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4990" w:type="dxa"/>
            <w:tcBorders>
              <w:top w:val="nil"/>
              <w:left w:val="nil"/>
              <w:bottom w:val="single" w:sz="4" w:space="0" w:color="auto"/>
              <w:right w:val="nil"/>
            </w:tcBorders>
            <w:shd w:val="clear" w:color="auto" w:fill="auto"/>
            <w:noWrap/>
            <w:vAlign w:val="center"/>
            <w:hideMark/>
          </w:tcPr>
          <w:p w14:paraId="6D20C418"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Gains on disposal of assets</w:t>
            </w:r>
          </w:p>
        </w:tc>
        <w:tc>
          <w:tcPr>
            <w:tcW w:w="1021" w:type="dxa"/>
            <w:tcBorders>
              <w:top w:val="nil"/>
              <w:left w:val="nil"/>
              <w:bottom w:val="single" w:sz="4" w:space="0" w:color="auto"/>
              <w:right w:val="nil"/>
            </w:tcBorders>
            <w:shd w:val="clear" w:color="auto" w:fill="auto"/>
            <w:noWrap/>
            <w:vAlign w:val="center"/>
            <w:hideMark/>
          </w:tcPr>
          <w:p w14:paraId="1D0FC462"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215" w:type="dxa"/>
            <w:tcBorders>
              <w:top w:val="nil"/>
              <w:left w:val="nil"/>
              <w:bottom w:val="single" w:sz="4" w:space="0" w:color="auto"/>
              <w:right w:val="nil"/>
            </w:tcBorders>
            <w:shd w:val="clear" w:color="auto" w:fill="auto"/>
            <w:noWrap/>
            <w:vAlign w:val="center"/>
            <w:hideMark/>
          </w:tcPr>
          <w:p w14:paraId="00ED9A3A"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1514" w:type="dxa"/>
            <w:tcBorders>
              <w:top w:val="nil"/>
              <w:left w:val="nil"/>
              <w:bottom w:val="single" w:sz="4" w:space="0" w:color="auto"/>
              <w:right w:val="nil"/>
            </w:tcBorders>
            <w:shd w:val="clear" w:color="000000" w:fill="C9E3B4"/>
            <w:noWrap/>
            <w:vAlign w:val="center"/>
            <w:hideMark/>
          </w:tcPr>
          <w:p w14:paraId="36426682"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2,642 </w:t>
            </w:r>
          </w:p>
        </w:tc>
        <w:tc>
          <w:tcPr>
            <w:tcW w:w="216" w:type="dxa"/>
            <w:tcBorders>
              <w:top w:val="nil"/>
              <w:left w:val="nil"/>
              <w:bottom w:val="single" w:sz="4" w:space="0" w:color="auto"/>
              <w:right w:val="nil"/>
            </w:tcBorders>
            <w:shd w:val="clear" w:color="auto" w:fill="auto"/>
            <w:noWrap/>
            <w:vAlign w:val="center"/>
            <w:hideMark/>
          </w:tcPr>
          <w:p w14:paraId="2C634EFD"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1514" w:type="dxa"/>
            <w:tcBorders>
              <w:top w:val="nil"/>
              <w:left w:val="nil"/>
              <w:bottom w:val="single" w:sz="4" w:space="0" w:color="auto"/>
              <w:right w:val="nil"/>
            </w:tcBorders>
            <w:shd w:val="clear" w:color="auto" w:fill="auto"/>
            <w:noWrap/>
            <w:vAlign w:val="center"/>
            <w:hideMark/>
          </w:tcPr>
          <w:p w14:paraId="78DA02F8"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3,127 </w:t>
            </w:r>
          </w:p>
        </w:tc>
      </w:tr>
      <w:tr w:rsidR="00BC5219" w:rsidRPr="009C55C2" w14:paraId="5C49307D" w14:textId="77777777" w:rsidTr="00E83802">
        <w:trPr>
          <w:trHeight w:val="240"/>
        </w:trPr>
        <w:tc>
          <w:tcPr>
            <w:tcW w:w="215" w:type="dxa"/>
            <w:tcBorders>
              <w:top w:val="nil"/>
              <w:left w:val="nil"/>
              <w:bottom w:val="nil"/>
              <w:right w:val="nil"/>
            </w:tcBorders>
            <w:shd w:val="clear" w:color="auto" w:fill="auto"/>
            <w:noWrap/>
            <w:vAlign w:val="center"/>
            <w:hideMark/>
          </w:tcPr>
          <w:p w14:paraId="40B7C603" w14:textId="77777777" w:rsidR="00BC5219" w:rsidRPr="009C55C2" w:rsidRDefault="00BC5219" w:rsidP="00E83802">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65343E73" w14:textId="77777777" w:rsidR="00BC5219" w:rsidRPr="009C55C2" w:rsidRDefault="00BC5219" w:rsidP="00E83802">
            <w:pPr>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Total income</w:t>
            </w:r>
          </w:p>
        </w:tc>
        <w:tc>
          <w:tcPr>
            <w:tcW w:w="1021" w:type="dxa"/>
            <w:tcBorders>
              <w:top w:val="single" w:sz="4" w:space="0" w:color="auto"/>
              <w:left w:val="nil"/>
              <w:bottom w:val="nil"/>
              <w:right w:val="nil"/>
            </w:tcBorders>
            <w:shd w:val="clear" w:color="auto" w:fill="auto"/>
            <w:noWrap/>
            <w:vAlign w:val="center"/>
            <w:hideMark/>
          </w:tcPr>
          <w:p w14:paraId="204CA80F"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215" w:type="dxa"/>
            <w:tcBorders>
              <w:top w:val="nil"/>
              <w:left w:val="nil"/>
              <w:bottom w:val="nil"/>
              <w:right w:val="nil"/>
            </w:tcBorders>
            <w:shd w:val="clear" w:color="auto" w:fill="auto"/>
            <w:noWrap/>
            <w:vAlign w:val="center"/>
            <w:hideMark/>
          </w:tcPr>
          <w:p w14:paraId="37D7F89A" w14:textId="77777777" w:rsidR="00BC5219" w:rsidRPr="009C55C2" w:rsidRDefault="00BC5219" w:rsidP="00E83802">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73690BC7"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xml:space="preserve">7,693,151 </w:t>
            </w:r>
          </w:p>
        </w:tc>
        <w:tc>
          <w:tcPr>
            <w:tcW w:w="216" w:type="dxa"/>
            <w:tcBorders>
              <w:top w:val="nil"/>
              <w:left w:val="nil"/>
              <w:bottom w:val="nil"/>
              <w:right w:val="nil"/>
            </w:tcBorders>
            <w:shd w:val="clear" w:color="auto" w:fill="auto"/>
            <w:noWrap/>
            <w:vAlign w:val="center"/>
            <w:hideMark/>
          </w:tcPr>
          <w:p w14:paraId="1FF5B759" w14:textId="77777777" w:rsidR="00BC5219" w:rsidRPr="009C55C2" w:rsidRDefault="00BC5219" w:rsidP="00E83802">
            <w:pPr>
              <w:jc w:val="right"/>
              <w:rPr>
                <w:rFonts w:ascii="Meta Pro" w:eastAsia="Times New Roman" w:hAnsi="Meta Pro"/>
                <w:b/>
                <w:bCs/>
                <w:color w:val="000000"/>
                <w:szCs w:val="18"/>
                <w:lang w:eastAsia="en-AU"/>
              </w:rPr>
            </w:pPr>
          </w:p>
        </w:tc>
        <w:tc>
          <w:tcPr>
            <w:tcW w:w="1514" w:type="dxa"/>
            <w:tcBorders>
              <w:top w:val="nil"/>
              <w:left w:val="nil"/>
              <w:bottom w:val="nil"/>
              <w:right w:val="nil"/>
            </w:tcBorders>
            <w:shd w:val="clear" w:color="auto" w:fill="auto"/>
            <w:noWrap/>
            <w:vAlign w:val="center"/>
            <w:hideMark/>
          </w:tcPr>
          <w:p w14:paraId="30879418"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xml:space="preserve">7,133,330 </w:t>
            </w:r>
          </w:p>
        </w:tc>
      </w:tr>
      <w:tr w:rsidR="00BC5219" w:rsidRPr="009C55C2" w14:paraId="5B5E2E61" w14:textId="77777777" w:rsidTr="00E83802">
        <w:trPr>
          <w:trHeight w:val="240"/>
        </w:trPr>
        <w:tc>
          <w:tcPr>
            <w:tcW w:w="215" w:type="dxa"/>
            <w:tcBorders>
              <w:top w:val="nil"/>
              <w:left w:val="nil"/>
              <w:bottom w:val="nil"/>
              <w:right w:val="nil"/>
            </w:tcBorders>
            <w:shd w:val="clear" w:color="auto" w:fill="auto"/>
            <w:noWrap/>
            <w:vAlign w:val="center"/>
            <w:hideMark/>
          </w:tcPr>
          <w:p w14:paraId="7ED60818" w14:textId="77777777" w:rsidR="00BC5219" w:rsidRPr="009C55C2" w:rsidRDefault="00BC5219" w:rsidP="00E83802">
            <w:pPr>
              <w:jc w:val="right"/>
              <w:rPr>
                <w:rFonts w:ascii="Meta Pro" w:eastAsia="Times New Roman" w:hAnsi="Meta Pro"/>
                <w:b/>
                <w:bCs/>
                <w:color w:val="000000"/>
                <w:szCs w:val="18"/>
                <w:lang w:eastAsia="en-AU"/>
              </w:rPr>
            </w:pPr>
          </w:p>
        </w:tc>
        <w:tc>
          <w:tcPr>
            <w:tcW w:w="4990" w:type="dxa"/>
            <w:tcBorders>
              <w:top w:val="nil"/>
              <w:left w:val="nil"/>
              <w:bottom w:val="nil"/>
              <w:right w:val="nil"/>
            </w:tcBorders>
            <w:shd w:val="clear" w:color="auto" w:fill="auto"/>
            <w:noWrap/>
            <w:vAlign w:val="center"/>
            <w:hideMark/>
          </w:tcPr>
          <w:p w14:paraId="74017501" w14:textId="77777777" w:rsidR="00BC5219" w:rsidRPr="009C55C2" w:rsidRDefault="00BC5219" w:rsidP="00E83802">
            <w:pPr>
              <w:rPr>
                <w:rFonts w:ascii="Meta Pro" w:eastAsia="Times New Roman" w:hAnsi="Meta Pro" w:cs="Times New Roman"/>
                <w:sz w:val="20"/>
                <w:szCs w:val="20"/>
                <w:lang w:eastAsia="en-AU"/>
              </w:rPr>
            </w:pPr>
          </w:p>
        </w:tc>
        <w:tc>
          <w:tcPr>
            <w:tcW w:w="1021" w:type="dxa"/>
            <w:tcBorders>
              <w:top w:val="nil"/>
              <w:left w:val="nil"/>
              <w:bottom w:val="nil"/>
              <w:right w:val="nil"/>
            </w:tcBorders>
            <w:shd w:val="clear" w:color="auto" w:fill="auto"/>
            <w:noWrap/>
            <w:vAlign w:val="center"/>
            <w:hideMark/>
          </w:tcPr>
          <w:p w14:paraId="76F2A3F7" w14:textId="77777777" w:rsidR="00BC5219" w:rsidRPr="009C55C2" w:rsidRDefault="00BC5219" w:rsidP="00E83802">
            <w:pPr>
              <w:rPr>
                <w:rFonts w:ascii="Meta Pro" w:eastAsia="Times New Roman" w:hAnsi="Meta Pro"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55893DA1" w14:textId="77777777" w:rsidR="00BC5219" w:rsidRPr="009C55C2"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0D0E2FEB"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74510975" w14:textId="77777777" w:rsidR="00BC5219" w:rsidRPr="009C55C2"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63E4CB75" w14:textId="77777777" w:rsidR="00BC5219" w:rsidRPr="009C55C2" w:rsidRDefault="00BC5219" w:rsidP="00E83802">
            <w:pPr>
              <w:jc w:val="right"/>
              <w:rPr>
                <w:rFonts w:ascii="Meta Pro" w:eastAsia="Times New Roman" w:hAnsi="Meta Pro" w:cs="Times New Roman"/>
                <w:sz w:val="20"/>
                <w:szCs w:val="20"/>
                <w:lang w:eastAsia="en-AU"/>
              </w:rPr>
            </w:pPr>
          </w:p>
        </w:tc>
      </w:tr>
      <w:tr w:rsidR="00BC5219" w:rsidRPr="009C55C2" w14:paraId="310D128B" w14:textId="77777777" w:rsidTr="00E83802">
        <w:trPr>
          <w:trHeight w:val="240"/>
        </w:trPr>
        <w:tc>
          <w:tcPr>
            <w:tcW w:w="4990" w:type="dxa"/>
            <w:gridSpan w:val="2"/>
            <w:tcBorders>
              <w:top w:val="nil"/>
              <w:left w:val="nil"/>
              <w:bottom w:val="nil"/>
              <w:right w:val="nil"/>
            </w:tcBorders>
            <w:shd w:val="clear" w:color="auto" w:fill="auto"/>
            <w:noWrap/>
            <w:vAlign w:val="center"/>
            <w:hideMark/>
          </w:tcPr>
          <w:p w14:paraId="47262823" w14:textId="77777777" w:rsidR="00BC5219" w:rsidRPr="009C55C2" w:rsidRDefault="00BC5219" w:rsidP="00E83802">
            <w:pPr>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Expenses</w:t>
            </w:r>
          </w:p>
        </w:tc>
        <w:tc>
          <w:tcPr>
            <w:tcW w:w="1021" w:type="dxa"/>
            <w:tcBorders>
              <w:top w:val="nil"/>
              <w:left w:val="nil"/>
              <w:bottom w:val="nil"/>
              <w:right w:val="nil"/>
            </w:tcBorders>
            <w:shd w:val="clear" w:color="auto" w:fill="auto"/>
            <w:noWrap/>
            <w:vAlign w:val="center"/>
            <w:hideMark/>
          </w:tcPr>
          <w:p w14:paraId="1DDEABF2" w14:textId="77777777" w:rsidR="00BC5219" w:rsidRPr="009C55C2" w:rsidRDefault="00BC5219" w:rsidP="00E83802">
            <w:pPr>
              <w:rPr>
                <w:rFonts w:ascii="Meta Pro" w:eastAsia="Times New Roman" w:hAnsi="Meta Pro"/>
                <w:b/>
                <w:bCs/>
                <w:color w:val="000000"/>
                <w:szCs w:val="18"/>
                <w:lang w:eastAsia="en-AU"/>
              </w:rPr>
            </w:pPr>
          </w:p>
        </w:tc>
        <w:tc>
          <w:tcPr>
            <w:tcW w:w="215" w:type="dxa"/>
            <w:tcBorders>
              <w:top w:val="nil"/>
              <w:left w:val="nil"/>
              <w:bottom w:val="nil"/>
              <w:right w:val="nil"/>
            </w:tcBorders>
            <w:shd w:val="clear" w:color="auto" w:fill="auto"/>
            <w:noWrap/>
            <w:vAlign w:val="center"/>
            <w:hideMark/>
          </w:tcPr>
          <w:p w14:paraId="0277259B" w14:textId="77777777" w:rsidR="00BC5219" w:rsidRPr="009C55C2"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2FEA51C0"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4B4EED32" w14:textId="77777777" w:rsidR="00BC5219" w:rsidRPr="009C55C2"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2DEE7BB8" w14:textId="77777777" w:rsidR="00BC5219" w:rsidRPr="009C55C2" w:rsidRDefault="00BC5219" w:rsidP="00E83802">
            <w:pPr>
              <w:jc w:val="right"/>
              <w:rPr>
                <w:rFonts w:ascii="Meta Pro" w:eastAsia="Times New Roman" w:hAnsi="Meta Pro" w:cs="Times New Roman"/>
                <w:sz w:val="20"/>
                <w:szCs w:val="20"/>
                <w:lang w:eastAsia="en-AU"/>
              </w:rPr>
            </w:pPr>
          </w:p>
        </w:tc>
      </w:tr>
      <w:tr w:rsidR="00BC5219" w:rsidRPr="009C55C2" w14:paraId="7CC90C3D" w14:textId="77777777" w:rsidTr="00E83802">
        <w:trPr>
          <w:trHeight w:val="240"/>
        </w:trPr>
        <w:tc>
          <w:tcPr>
            <w:tcW w:w="215" w:type="dxa"/>
            <w:tcBorders>
              <w:top w:val="nil"/>
              <w:left w:val="nil"/>
              <w:bottom w:val="nil"/>
              <w:right w:val="nil"/>
            </w:tcBorders>
            <w:shd w:val="clear" w:color="auto" w:fill="auto"/>
            <w:noWrap/>
            <w:vAlign w:val="center"/>
            <w:hideMark/>
          </w:tcPr>
          <w:p w14:paraId="5D8D2A06" w14:textId="77777777" w:rsidR="00BC5219" w:rsidRPr="009C55C2" w:rsidRDefault="00BC5219" w:rsidP="00E83802">
            <w:pPr>
              <w:jc w:val="right"/>
              <w:rPr>
                <w:rFonts w:ascii="Meta Pro" w:eastAsia="Times New Roman" w:hAnsi="Meta Pro" w:cs="Times New Roman"/>
                <w:sz w:val="20"/>
                <w:szCs w:val="20"/>
                <w:lang w:eastAsia="en-AU"/>
              </w:rPr>
            </w:pPr>
          </w:p>
        </w:tc>
        <w:tc>
          <w:tcPr>
            <w:tcW w:w="4990" w:type="dxa"/>
            <w:tcBorders>
              <w:top w:val="nil"/>
              <w:left w:val="nil"/>
              <w:bottom w:val="nil"/>
              <w:right w:val="nil"/>
            </w:tcBorders>
            <w:shd w:val="clear" w:color="auto" w:fill="auto"/>
            <w:noWrap/>
            <w:vAlign w:val="center"/>
            <w:hideMark/>
          </w:tcPr>
          <w:p w14:paraId="0B92059E"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Employee expenses</w:t>
            </w:r>
          </w:p>
        </w:tc>
        <w:tc>
          <w:tcPr>
            <w:tcW w:w="1021" w:type="dxa"/>
            <w:tcBorders>
              <w:top w:val="nil"/>
              <w:left w:val="nil"/>
              <w:bottom w:val="nil"/>
              <w:right w:val="nil"/>
            </w:tcBorders>
            <w:shd w:val="clear" w:color="auto" w:fill="auto"/>
            <w:noWrap/>
            <w:vAlign w:val="center"/>
            <w:hideMark/>
          </w:tcPr>
          <w:p w14:paraId="7BEE4547"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5</w:t>
            </w:r>
          </w:p>
        </w:tc>
        <w:tc>
          <w:tcPr>
            <w:tcW w:w="215" w:type="dxa"/>
            <w:tcBorders>
              <w:top w:val="nil"/>
              <w:left w:val="nil"/>
              <w:bottom w:val="nil"/>
              <w:right w:val="nil"/>
            </w:tcBorders>
            <w:shd w:val="clear" w:color="auto" w:fill="auto"/>
            <w:noWrap/>
            <w:vAlign w:val="center"/>
            <w:hideMark/>
          </w:tcPr>
          <w:p w14:paraId="7EE4AE8C" w14:textId="77777777" w:rsidR="00BC5219" w:rsidRPr="009C55C2" w:rsidRDefault="00BC5219" w:rsidP="00E83802">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26093782"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709,747 </w:t>
            </w:r>
          </w:p>
        </w:tc>
        <w:tc>
          <w:tcPr>
            <w:tcW w:w="216" w:type="dxa"/>
            <w:tcBorders>
              <w:top w:val="nil"/>
              <w:left w:val="nil"/>
              <w:bottom w:val="nil"/>
              <w:right w:val="nil"/>
            </w:tcBorders>
            <w:shd w:val="clear" w:color="auto" w:fill="auto"/>
            <w:noWrap/>
            <w:vAlign w:val="center"/>
            <w:hideMark/>
          </w:tcPr>
          <w:p w14:paraId="4AA33970" w14:textId="77777777" w:rsidR="00BC5219" w:rsidRPr="009C55C2"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72DF54E7"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650,326 </w:t>
            </w:r>
          </w:p>
        </w:tc>
      </w:tr>
      <w:tr w:rsidR="00BC5219" w:rsidRPr="009C55C2" w14:paraId="3748B208" w14:textId="77777777" w:rsidTr="00E83802">
        <w:trPr>
          <w:trHeight w:val="240"/>
        </w:trPr>
        <w:tc>
          <w:tcPr>
            <w:tcW w:w="215" w:type="dxa"/>
            <w:tcBorders>
              <w:top w:val="nil"/>
              <w:left w:val="nil"/>
              <w:bottom w:val="nil"/>
              <w:right w:val="nil"/>
            </w:tcBorders>
            <w:shd w:val="clear" w:color="auto" w:fill="auto"/>
            <w:noWrap/>
            <w:vAlign w:val="center"/>
            <w:hideMark/>
          </w:tcPr>
          <w:p w14:paraId="47E776C6" w14:textId="77777777" w:rsidR="00BC5219" w:rsidRPr="009C55C2" w:rsidRDefault="00BC5219" w:rsidP="00E83802">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15C45217"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Supplies and services</w:t>
            </w:r>
          </w:p>
        </w:tc>
        <w:tc>
          <w:tcPr>
            <w:tcW w:w="1021" w:type="dxa"/>
            <w:tcBorders>
              <w:top w:val="nil"/>
              <w:left w:val="nil"/>
              <w:bottom w:val="nil"/>
              <w:right w:val="nil"/>
            </w:tcBorders>
            <w:shd w:val="clear" w:color="auto" w:fill="auto"/>
            <w:noWrap/>
            <w:vAlign w:val="center"/>
            <w:hideMark/>
          </w:tcPr>
          <w:p w14:paraId="278DECC3"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7</w:t>
            </w:r>
          </w:p>
        </w:tc>
        <w:tc>
          <w:tcPr>
            <w:tcW w:w="215" w:type="dxa"/>
            <w:tcBorders>
              <w:top w:val="nil"/>
              <w:left w:val="nil"/>
              <w:bottom w:val="nil"/>
              <w:right w:val="nil"/>
            </w:tcBorders>
            <w:shd w:val="clear" w:color="auto" w:fill="auto"/>
            <w:noWrap/>
            <w:vAlign w:val="center"/>
            <w:hideMark/>
          </w:tcPr>
          <w:p w14:paraId="0AC0B55B" w14:textId="77777777" w:rsidR="00BC5219" w:rsidRPr="009C55C2" w:rsidRDefault="00BC5219" w:rsidP="00E83802">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1DFA2699"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4,536,142 </w:t>
            </w:r>
          </w:p>
        </w:tc>
        <w:tc>
          <w:tcPr>
            <w:tcW w:w="216" w:type="dxa"/>
            <w:tcBorders>
              <w:top w:val="nil"/>
              <w:left w:val="nil"/>
              <w:bottom w:val="nil"/>
              <w:right w:val="nil"/>
            </w:tcBorders>
            <w:shd w:val="clear" w:color="auto" w:fill="auto"/>
            <w:noWrap/>
            <w:vAlign w:val="center"/>
            <w:hideMark/>
          </w:tcPr>
          <w:p w14:paraId="20A77A73" w14:textId="77777777" w:rsidR="00BC5219" w:rsidRPr="009C55C2"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54115076"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4,250,502 </w:t>
            </w:r>
          </w:p>
        </w:tc>
      </w:tr>
      <w:tr w:rsidR="00BC5219" w:rsidRPr="009C55C2" w14:paraId="688630D4" w14:textId="77777777" w:rsidTr="00E83802">
        <w:trPr>
          <w:trHeight w:val="240"/>
        </w:trPr>
        <w:tc>
          <w:tcPr>
            <w:tcW w:w="215" w:type="dxa"/>
            <w:tcBorders>
              <w:top w:val="nil"/>
              <w:left w:val="nil"/>
              <w:bottom w:val="nil"/>
              <w:right w:val="nil"/>
            </w:tcBorders>
            <w:shd w:val="clear" w:color="auto" w:fill="auto"/>
            <w:noWrap/>
            <w:vAlign w:val="center"/>
            <w:hideMark/>
          </w:tcPr>
          <w:p w14:paraId="7AE2BDB6" w14:textId="77777777" w:rsidR="00BC5219" w:rsidRPr="009C55C2" w:rsidRDefault="00BC5219" w:rsidP="00E83802">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6794E307"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Grants and subsidies </w:t>
            </w:r>
          </w:p>
        </w:tc>
        <w:tc>
          <w:tcPr>
            <w:tcW w:w="1021" w:type="dxa"/>
            <w:tcBorders>
              <w:top w:val="nil"/>
              <w:left w:val="nil"/>
              <w:bottom w:val="nil"/>
              <w:right w:val="nil"/>
            </w:tcBorders>
            <w:shd w:val="clear" w:color="auto" w:fill="auto"/>
            <w:noWrap/>
            <w:vAlign w:val="center"/>
            <w:hideMark/>
          </w:tcPr>
          <w:p w14:paraId="55D683BF"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8</w:t>
            </w:r>
          </w:p>
        </w:tc>
        <w:tc>
          <w:tcPr>
            <w:tcW w:w="215" w:type="dxa"/>
            <w:tcBorders>
              <w:top w:val="nil"/>
              <w:left w:val="nil"/>
              <w:bottom w:val="nil"/>
              <w:right w:val="nil"/>
            </w:tcBorders>
            <w:shd w:val="clear" w:color="auto" w:fill="auto"/>
            <w:noWrap/>
            <w:vAlign w:val="center"/>
            <w:hideMark/>
          </w:tcPr>
          <w:p w14:paraId="21890810" w14:textId="77777777" w:rsidR="00BC5219" w:rsidRPr="009C55C2" w:rsidRDefault="00BC5219" w:rsidP="00E83802">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210700D7"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796,688 </w:t>
            </w:r>
          </w:p>
        </w:tc>
        <w:tc>
          <w:tcPr>
            <w:tcW w:w="216" w:type="dxa"/>
            <w:tcBorders>
              <w:top w:val="nil"/>
              <w:left w:val="nil"/>
              <w:bottom w:val="nil"/>
              <w:right w:val="nil"/>
            </w:tcBorders>
            <w:shd w:val="clear" w:color="auto" w:fill="auto"/>
            <w:noWrap/>
            <w:vAlign w:val="center"/>
            <w:hideMark/>
          </w:tcPr>
          <w:p w14:paraId="24B80655" w14:textId="77777777" w:rsidR="00BC5219" w:rsidRPr="009C55C2"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42D7B6A2"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812,378 </w:t>
            </w:r>
          </w:p>
        </w:tc>
      </w:tr>
      <w:tr w:rsidR="00BC5219" w:rsidRPr="009C55C2" w14:paraId="7D0DC2E6" w14:textId="77777777" w:rsidTr="00E83802">
        <w:trPr>
          <w:trHeight w:val="240"/>
        </w:trPr>
        <w:tc>
          <w:tcPr>
            <w:tcW w:w="215" w:type="dxa"/>
            <w:tcBorders>
              <w:top w:val="nil"/>
              <w:left w:val="nil"/>
              <w:bottom w:val="nil"/>
              <w:right w:val="nil"/>
            </w:tcBorders>
            <w:shd w:val="clear" w:color="auto" w:fill="auto"/>
            <w:noWrap/>
            <w:vAlign w:val="center"/>
            <w:hideMark/>
          </w:tcPr>
          <w:p w14:paraId="7F0C15E5" w14:textId="77777777" w:rsidR="00BC5219" w:rsidRPr="009C55C2" w:rsidRDefault="00BC5219" w:rsidP="00E83802">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0DB0ED14"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Finance and borrowing costs</w:t>
            </w:r>
          </w:p>
        </w:tc>
        <w:tc>
          <w:tcPr>
            <w:tcW w:w="1021" w:type="dxa"/>
            <w:tcBorders>
              <w:top w:val="nil"/>
              <w:left w:val="nil"/>
              <w:bottom w:val="nil"/>
              <w:right w:val="nil"/>
            </w:tcBorders>
            <w:shd w:val="clear" w:color="auto" w:fill="auto"/>
            <w:noWrap/>
            <w:vAlign w:val="center"/>
            <w:hideMark/>
          </w:tcPr>
          <w:p w14:paraId="5783C78B"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9</w:t>
            </w:r>
          </w:p>
        </w:tc>
        <w:tc>
          <w:tcPr>
            <w:tcW w:w="215" w:type="dxa"/>
            <w:tcBorders>
              <w:top w:val="nil"/>
              <w:left w:val="nil"/>
              <w:bottom w:val="nil"/>
              <w:right w:val="nil"/>
            </w:tcBorders>
            <w:shd w:val="clear" w:color="auto" w:fill="auto"/>
            <w:noWrap/>
            <w:vAlign w:val="center"/>
            <w:hideMark/>
          </w:tcPr>
          <w:p w14:paraId="758B10EF" w14:textId="77777777" w:rsidR="00BC5219" w:rsidRPr="009C55C2" w:rsidRDefault="00BC5219" w:rsidP="00E83802">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7315A12C"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97,277 </w:t>
            </w:r>
          </w:p>
        </w:tc>
        <w:tc>
          <w:tcPr>
            <w:tcW w:w="216" w:type="dxa"/>
            <w:tcBorders>
              <w:top w:val="nil"/>
              <w:left w:val="nil"/>
              <w:bottom w:val="nil"/>
              <w:right w:val="nil"/>
            </w:tcBorders>
            <w:shd w:val="clear" w:color="auto" w:fill="auto"/>
            <w:noWrap/>
            <w:vAlign w:val="center"/>
            <w:hideMark/>
          </w:tcPr>
          <w:p w14:paraId="1FD51B09" w14:textId="77777777" w:rsidR="00BC5219" w:rsidRPr="009C55C2"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4D7ADA19"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79,971 </w:t>
            </w:r>
          </w:p>
        </w:tc>
      </w:tr>
      <w:tr w:rsidR="00BC5219" w:rsidRPr="009C55C2" w14:paraId="268786D6" w14:textId="77777777" w:rsidTr="00E83802">
        <w:trPr>
          <w:trHeight w:val="240"/>
        </w:trPr>
        <w:tc>
          <w:tcPr>
            <w:tcW w:w="215" w:type="dxa"/>
            <w:tcBorders>
              <w:top w:val="nil"/>
              <w:left w:val="nil"/>
              <w:bottom w:val="nil"/>
              <w:right w:val="nil"/>
            </w:tcBorders>
            <w:shd w:val="clear" w:color="auto" w:fill="auto"/>
            <w:noWrap/>
            <w:vAlign w:val="center"/>
            <w:hideMark/>
          </w:tcPr>
          <w:p w14:paraId="13FAFF3F" w14:textId="77777777" w:rsidR="00BC5219" w:rsidRPr="009C55C2" w:rsidRDefault="00BC5219" w:rsidP="00E83802">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1F1ED9F2"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Depreciation and amortisation</w:t>
            </w:r>
          </w:p>
        </w:tc>
        <w:tc>
          <w:tcPr>
            <w:tcW w:w="1021" w:type="dxa"/>
            <w:tcBorders>
              <w:top w:val="nil"/>
              <w:left w:val="nil"/>
              <w:bottom w:val="nil"/>
              <w:right w:val="nil"/>
            </w:tcBorders>
            <w:shd w:val="clear" w:color="auto" w:fill="auto"/>
            <w:noWrap/>
            <w:vAlign w:val="center"/>
            <w:hideMark/>
          </w:tcPr>
          <w:p w14:paraId="7D9BEC61"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10</w:t>
            </w:r>
          </w:p>
        </w:tc>
        <w:tc>
          <w:tcPr>
            <w:tcW w:w="215" w:type="dxa"/>
            <w:tcBorders>
              <w:top w:val="nil"/>
              <w:left w:val="nil"/>
              <w:bottom w:val="nil"/>
              <w:right w:val="nil"/>
            </w:tcBorders>
            <w:shd w:val="clear" w:color="auto" w:fill="auto"/>
            <w:noWrap/>
            <w:vAlign w:val="center"/>
            <w:hideMark/>
          </w:tcPr>
          <w:p w14:paraId="61C852C7" w14:textId="77777777" w:rsidR="00BC5219" w:rsidRPr="009C55C2" w:rsidRDefault="00BC5219" w:rsidP="00E83802">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5D1C7AC7"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1,506,325 </w:t>
            </w:r>
          </w:p>
        </w:tc>
        <w:tc>
          <w:tcPr>
            <w:tcW w:w="216" w:type="dxa"/>
            <w:tcBorders>
              <w:top w:val="nil"/>
              <w:left w:val="nil"/>
              <w:bottom w:val="nil"/>
              <w:right w:val="nil"/>
            </w:tcBorders>
            <w:shd w:val="clear" w:color="auto" w:fill="auto"/>
            <w:noWrap/>
            <w:vAlign w:val="center"/>
            <w:hideMark/>
          </w:tcPr>
          <w:p w14:paraId="289F0002" w14:textId="77777777" w:rsidR="00BC5219" w:rsidRPr="009C55C2"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76D00CCA"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1,355,679 </w:t>
            </w:r>
          </w:p>
        </w:tc>
      </w:tr>
      <w:tr w:rsidR="00BC5219" w:rsidRPr="009C55C2" w14:paraId="1407AF4E" w14:textId="77777777" w:rsidTr="00E83802">
        <w:trPr>
          <w:trHeight w:val="240"/>
        </w:trPr>
        <w:tc>
          <w:tcPr>
            <w:tcW w:w="215" w:type="dxa"/>
            <w:tcBorders>
              <w:top w:val="nil"/>
              <w:left w:val="nil"/>
              <w:bottom w:val="nil"/>
              <w:right w:val="nil"/>
            </w:tcBorders>
            <w:shd w:val="clear" w:color="auto" w:fill="auto"/>
            <w:noWrap/>
            <w:vAlign w:val="center"/>
            <w:hideMark/>
          </w:tcPr>
          <w:p w14:paraId="384C977C" w14:textId="77777777" w:rsidR="00BC5219" w:rsidRPr="009C55C2" w:rsidRDefault="00BC5219" w:rsidP="00E83802">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6D5C3E6B"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Impairment losses</w:t>
            </w:r>
          </w:p>
        </w:tc>
        <w:tc>
          <w:tcPr>
            <w:tcW w:w="1021" w:type="dxa"/>
            <w:tcBorders>
              <w:top w:val="nil"/>
              <w:left w:val="nil"/>
              <w:bottom w:val="nil"/>
              <w:right w:val="nil"/>
            </w:tcBorders>
            <w:shd w:val="clear" w:color="auto" w:fill="auto"/>
            <w:noWrap/>
            <w:vAlign w:val="center"/>
            <w:hideMark/>
          </w:tcPr>
          <w:p w14:paraId="06D38EED"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12</w:t>
            </w:r>
          </w:p>
        </w:tc>
        <w:tc>
          <w:tcPr>
            <w:tcW w:w="215" w:type="dxa"/>
            <w:tcBorders>
              <w:top w:val="nil"/>
              <w:left w:val="nil"/>
              <w:bottom w:val="nil"/>
              <w:right w:val="nil"/>
            </w:tcBorders>
            <w:shd w:val="clear" w:color="auto" w:fill="auto"/>
            <w:noWrap/>
            <w:vAlign w:val="center"/>
            <w:hideMark/>
          </w:tcPr>
          <w:p w14:paraId="7D1EDDE8" w14:textId="77777777" w:rsidR="00BC5219" w:rsidRPr="009C55C2" w:rsidRDefault="00BC5219" w:rsidP="00E83802">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2433F5E2"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1,409 </w:t>
            </w:r>
          </w:p>
        </w:tc>
        <w:tc>
          <w:tcPr>
            <w:tcW w:w="216" w:type="dxa"/>
            <w:tcBorders>
              <w:top w:val="nil"/>
              <w:left w:val="nil"/>
              <w:bottom w:val="nil"/>
              <w:right w:val="nil"/>
            </w:tcBorders>
            <w:shd w:val="clear" w:color="auto" w:fill="auto"/>
            <w:noWrap/>
            <w:vAlign w:val="center"/>
            <w:hideMark/>
          </w:tcPr>
          <w:p w14:paraId="786CA874" w14:textId="77777777" w:rsidR="00BC5219" w:rsidRPr="009C55C2"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7B8763AC"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1,162 </w:t>
            </w:r>
          </w:p>
        </w:tc>
      </w:tr>
      <w:tr w:rsidR="00BC5219" w:rsidRPr="009C55C2" w14:paraId="568EA398" w14:textId="77777777" w:rsidTr="00E83802">
        <w:trPr>
          <w:trHeight w:val="240"/>
        </w:trPr>
        <w:tc>
          <w:tcPr>
            <w:tcW w:w="215" w:type="dxa"/>
            <w:tcBorders>
              <w:top w:val="nil"/>
              <w:left w:val="nil"/>
              <w:bottom w:val="single" w:sz="4" w:space="0" w:color="auto"/>
              <w:right w:val="nil"/>
            </w:tcBorders>
            <w:shd w:val="clear" w:color="auto" w:fill="auto"/>
            <w:noWrap/>
            <w:vAlign w:val="center"/>
            <w:hideMark/>
          </w:tcPr>
          <w:p w14:paraId="05DCF385"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4990" w:type="dxa"/>
            <w:tcBorders>
              <w:top w:val="nil"/>
              <w:left w:val="nil"/>
              <w:bottom w:val="single" w:sz="4" w:space="0" w:color="auto"/>
              <w:right w:val="nil"/>
            </w:tcBorders>
            <w:shd w:val="clear" w:color="auto" w:fill="auto"/>
            <w:noWrap/>
            <w:vAlign w:val="center"/>
            <w:hideMark/>
          </w:tcPr>
          <w:p w14:paraId="0876E0EE"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Other expenses</w:t>
            </w:r>
          </w:p>
        </w:tc>
        <w:tc>
          <w:tcPr>
            <w:tcW w:w="1021" w:type="dxa"/>
            <w:tcBorders>
              <w:top w:val="nil"/>
              <w:left w:val="nil"/>
              <w:bottom w:val="single" w:sz="4" w:space="0" w:color="auto"/>
              <w:right w:val="nil"/>
            </w:tcBorders>
            <w:shd w:val="clear" w:color="auto" w:fill="auto"/>
            <w:noWrap/>
            <w:vAlign w:val="center"/>
            <w:hideMark/>
          </w:tcPr>
          <w:p w14:paraId="539FB2FF"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11</w:t>
            </w:r>
          </w:p>
        </w:tc>
        <w:tc>
          <w:tcPr>
            <w:tcW w:w="215" w:type="dxa"/>
            <w:tcBorders>
              <w:top w:val="nil"/>
              <w:left w:val="nil"/>
              <w:bottom w:val="single" w:sz="4" w:space="0" w:color="auto"/>
              <w:right w:val="nil"/>
            </w:tcBorders>
            <w:shd w:val="clear" w:color="auto" w:fill="auto"/>
            <w:noWrap/>
            <w:vAlign w:val="center"/>
            <w:hideMark/>
          </w:tcPr>
          <w:p w14:paraId="30A2C4BE"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1514" w:type="dxa"/>
            <w:tcBorders>
              <w:top w:val="nil"/>
              <w:left w:val="nil"/>
              <w:bottom w:val="single" w:sz="4" w:space="0" w:color="auto"/>
              <w:right w:val="nil"/>
            </w:tcBorders>
            <w:shd w:val="clear" w:color="000000" w:fill="C9E3B4"/>
            <w:noWrap/>
            <w:vAlign w:val="center"/>
            <w:hideMark/>
          </w:tcPr>
          <w:p w14:paraId="6F627A46"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32,865 </w:t>
            </w:r>
          </w:p>
        </w:tc>
        <w:tc>
          <w:tcPr>
            <w:tcW w:w="216" w:type="dxa"/>
            <w:tcBorders>
              <w:top w:val="nil"/>
              <w:left w:val="nil"/>
              <w:bottom w:val="single" w:sz="4" w:space="0" w:color="auto"/>
              <w:right w:val="nil"/>
            </w:tcBorders>
            <w:shd w:val="clear" w:color="auto" w:fill="auto"/>
            <w:noWrap/>
            <w:vAlign w:val="center"/>
            <w:hideMark/>
          </w:tcPr>
          <w:p w14:paraId="2FF9B3AF"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1514" w:type="dxa"/>
            <w:tcBorders>
              <w:top w:val="nil"/>
              <w:left w:val="nil"/>
              <w:bottom w:val="single" w:sz="4" w:space="0" w:color="auto"/>
              <w:right w:val="nil"/>
            </w:tcBorders>
            <w:shd w:val="clear" w:color="auto" w:fill="auto"/>
            <w:noWrap/>
            <w:vAlign w:val="center"/>
            <w:hideMark/>
          </w:tcPr>
          <w:p w14:paraId="196F1BEA"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28,131 </w:t>
            </w:r>
          </w:p>
        </w:tc>
      </w:tr>
      <w:tr w:rsidR="00BC5219" w:rsidRPr="009C55C2" w14:paraId="6A4723F1" w14:textId="77777777" w:rsidTr="00E83802">
        <w:trPr>
          <w:trHeight w:val="240"/>
        </w:trPr>
        <w:tc>
          <w:tcPr>
            <w:tcW w:w="215" w:type="dxa"/>
            <w:tcBorders>
              <w:top w:val="nil"/>
              <w:left w:val="nil"/>
              <w:bottom w:val="nil"/>
              <w:right w:val="nil"/>
            </w:tcBorders>
            <w:shd w:val="clear" w:color="auto" w:fill="auto"/>
            <w:noWrap/>
            <w:vAlign w:val="center"/>
            <w:hideMark/>
          </w:tcPr>
          <w:p w14:paraId="3926D1EA" w14:textId="77777777" w:rsidR="00BC5219" w:rsidRPr="009C55C2" w:rsidRDefault="00BC5219" w:rsidP="00E83802">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214FD3BA" w14:textId="77777777" w:rsidR="00BC5219" w:rsidRPr="009C55C2" w:rsidRDefault="00BC5219" w:rsidP="00E83802">
            <w:pPr>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Total expenses</w:t>
            </w:r>
          </w:p>
        </w:tc>
        <w:tc>
          <w:tcPr>
            <w:tcW w:w="1021" w:type="dxa"/>
            <w:tcBorders>
              <w:top w:val="single" w:sz="4" w:space="0" w:color="auto"/>
              <w:left w:val="nil"/>
              <w:bottom w:val="nil"/>
              <w:right w:val="nil"/>
            </w:tcBorders>
            <w:shd w:val="clear" w:color="auto" w:fill="auto"/>
            <w:noWrap/>
            <w:vAlign w:val="center"/>
            <w:hideMark/>
          </w:tcPr>
          <w:p w14:paraId="0E7A589F"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215" w:type="dxa"/>
            <w:tcBorders>
              <w:top w:val="nil"/>
              <w:left w:val="nil"/>
              <w:bottom w:val="nil"/>
              <w:right w:val="nil"/>
            </w:tcBorders>
            <w:shd w:val="clear" w:color="auto" w:fill="auto"/>
            <w:noWrap/>
            <w:vAlign w:val="center"/>
            <w:hideMark/>
          </w:tcPr>
          <w:p w14:paraId="06A67B45" w14:textId="77777777" w:rsidR="00BC5219" w:rsidRPr="009C55C2" w:rsidRDefault="00BC5219" w:rsidP="00E83802">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3BD3BFB0"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xml:space="preserve">7,680,453 </w:t>
            </w:r>
          </w:p>
        </w:tc>
        <w:tc>
          <w:tcPr>
            <w:tcW w:w="216" w:type="dxa"/>
            <w:tcBorders>
              <w:top w:val="nil"/>
              <w:left w:val="nil"/>
              <w:bottom w:val="nil"/>
              <w:right w:val="nil"/>
            </w:tcBorders>
            <w:shd w:val="clear" w:color="auto" w:fill="auto"/>
            <w:noWrap/>
            <w:vAlign w:val="center"/>
            <w:hideMark/>
          </w:tcPr>
          <w:p w14:paraId="456D9090" w14:textId="77777777" w:rsidR="00BC5219" w:rsidRPr="009C55C2" w:rsidRDefault="00BC5219" w:rsidP="00E83802">
            <w:pPr>
              <w:jc w:val="right"/>
              <w:rPr>
                <w:rFonts w:ascii="Meta Pro" w:eastAsia="Times New Roman" w:hAnsi="Meta Pro"/>
                <w:b/>
                <w:bCs/>
                <w:color w:val="000000"/>
                <w:szCs w:val="18"/>
                <w:lang w:eastAsia="en-AU"/>
              </w:rPr>
            </w:pPr>
          </w:p>
        </w:tc>
        <w:tc>
          <w:tcPr>
            <w:tcW w:w="1514" w:type="dxa"/>
            <w:tcBorders>
              <w:top w:val="nil"/>
              <w:left w:val="nil"/>
              <w:bottom w:val="nil"/>
              <w:right w:val="nil"/>
            </w:tcBorders>
            <w:shd w:val="clear" w:color="auto" w:fill="auto"/>
            <w:noWrap/>
            <w:vAlign w:val="center"/>
            <w:hideMark/>
          </w:tcPr>
          <w:p w14:paraId="174FC50C"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xml:space="preserve">7,178,149 </w:t>
            </w:r>
          </w:p>
        </w:tc>
      </w:tr>
      <w:tr w:rsidR="00BC5219" w:rsidRPr="009C55C2" w14:paraId="43DFD175" w14:textId="77777777" w:rsidTr="00E83802">
        <w:trPr>
          <w:trHeight w:val="240"/>
        </w:trPr>
        <w:tc>
          <w:tcPr>
            <w:tcW w:w="215" w:type="dxa"/>
            <w:tcBorders>
              <w:top w:val="nil"/>
              <w:left w:val="nil"/>
              <w:bottom w:val="nil"/>
              <w:right w:val="nil"/>
            </w:tcBorders>
            <w:shd w:val="clear" w:color="auto" w:fill="auto"/>
            <w:noWrap/>
            <w:vAlign w:val="center"/>
            <w:hideMark/>
          </w:tcPr>
          <w:p w14:paraId="463AB270" w14:textId="77777777" w:rsidR="00BC5219" w:rsidRPr="009C55C2" w:rsidRDefault="00BC5219" w:rsidP="00E83802">
            <w:pPr>
              <w:jc w:val="right"/>
              <w:rPr>
                <w:rFonts w:ascii="Meta Pro" w:eastAsia="Times New Roman" w:hAnsi="Meta Pro"/>
                <w:b/>
                <w:bCs/>
                <w:color w:val="000000"/>
                <w:szCs w:val="18"/>
                <w:lang w:eastAsia="en-AU"/>
              </w:rPr>
            </w:pPr>
          </w:p>
        </w:tc>
        <w:tc>
          <w:tcPr>
            <w:tcW w:w="4990" w:type="dxa"/>
            <w:tcBorders>
              <w:top w:val="nil"/>
              <w:left w:val="nil"/>
              <w:bottom w:val="nil"/>
              <w:right w:val="nil"/>
            </w:tcBorders>
            <w:shd w:val="clear" w:color="auto" w:fill="auto"/>
            <w:noWrap/>
            <w:vAlign w:val="center"/>
            <w:hideMark/>
          </w:tcPr>
          <w:p w14:paraId="54DC3D04" w14:textId="77777777" w:rsidR="00BC5219" w:rsidRPr="009C55C2" w:rsidRDefault="00BC5219" w:rsidP="00E83802">
            <w:pPr>
              <w:rPr>
                <w:rFonts w:ascii="Meta Pro" w:eastAsia="Times New Roman" w:hAnsi="Meta Pro" w:cs="Times New Roman"/>
                <w:sz w:val="20"/>
                <w:szCs w:val="20"/>
                <w:lang w:eastAsia="en-AU"/>
              </w:rPr>
            </w:pPr>
          </w:p>
        </w:tc>
        <w:tc>
          <w:tcPr>
            <w:tcW w:w="1021" w:type="dxa"/>
            <w:tcBorders>
              <w:top w:val="nil"/>
              <w:left w:val="nil"/>
              <w:bottom w:val="nil"/>
              <w:right w:val="nil"/>
            </w:tcBorders>
            <w:shd w:val="clear" w:color="auto" w:fill="auto"/>
            <w:noWrap/>
            <w:vAlign w:val="center"/>
            <w:hideMark/>
          </w:tcPr>
          <w:p w14:paraId="201DA37D" w14:textId="77777777" w:rsidR="00BC5219" w:rsidRPr="009C55C2" w:rsidRDefault="00BC5219" w:rsidP="00E83802">
            <w:pPr>
              <w:rPr>
                <w:rFonts w:ascii="Meta Pro" w:eastAsia="Times New Roman" w:hAnsi="Meta Pro"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2C15AE81" w14:textId="77777777" w:rsidR="00BC5219" w:rsidRPr="009C55C2"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56D45843"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2B4AF488" w14:textId="77777777" w:rsidR="00BC5219" w:rsidRPr="009C55C2"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7593D859" w14:textId="77777777" w:rsidR="00BC5219" w:rsidRPr="009C55C2" w:rsidRDefault="00BC5219" w:rsidP="00E83802">
            <w:pPr>
              <w:jc w:val="right"/>
              <w:rPr>
                <w:rFonts w:ascii="Meta Pro" w:eastAsia="Times New Roman" w:hAnsi="Meta Pro" w:cs="Times New Roman"/>
                <w:sz w:val="20"/>
                <w:szCs w:val="20"/>
                <w:lang w:eastAsia="en-AU"/>
              </w:rPr>
            </w:pPr>
          </w:p>
        </w:tc>
      </w:tr>
      <w:tr w:rsidR="00BC5219" w:rsidRPr="009C55C2" w14:paraId="27A33CE6" w14:textId="77777777" w:rsidTr="00E83802">
        <w:trPr>
          <w:trHeight w:val="240"/>
        </w:trPr>
        <w:tc>
          <w:tcPr>
            <w:tcW w:w="4990" w:type="dxa"/>
            <w:gridSpan w:val="2"/>
            <w:tcBorders>
              <w:top w:val="nil"/>
              <w:left w:val="nil"/>
              <w:bottom w:val="nil"/>
              <w:right w:val="nil"/>
            </w:tcBorders>
            <w:shd w:val="clear" w:color="auto" w:fill="auto"/>
            <w:noWrap/>
            <w:vAlign w:val="center"/>
            <w:hideMark/>
          </w:tcPr>
          <w:p w14:paraId="7C734A8B" w14:textId="77777777" w:rsidR="00BC5219" w:rsidRPr="009C55C2" w:rsidRDefault="00BC5219" w:rsidP="00E83802">
            <w:pPr>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Operating result before income tax equivalent expense</w:t>
            </w:r>
          </w:p>
        </w:tc>
        <w:tc>
          <w:tcPr>
            <w:tcW w:w="1021" w:type="dxa"/>
            <w:tcBorders>
              <w:top w:val="nil"/>
              <w:left w:val="nil"/>
              <w:bottom w:val="nil"/>
              <w:right w:val="nil"/>
            </w:tcBorders>
            <w:shd w:val="clear" w:color="auto" w:fill="auto"/>
            <w:noWrap/>
            <w:vAlign w:val="center"/>
            <w:hideMark/>
          </w:tcPr>
          <w:p w14:paraId="6DFFBCEA" w14:textId="77777777" w:rsidR="00BC5219" w:rsidRPr="009C55C2" w:rsidRDefault="00BC5219" w:rsidP="00E83802">
            <w:pPr>
              <w:rPr>
                <w:rFonts w:ascii="Meta Pro" w:eastAsia="Times New Roman" w:hAnsi="Meta Pro"/>
                <w:b/>
                <w:bCs/>
                <w:color w:val="000000"/>
                <w:szCs w:val="18"/>
                <w:lang w:eastAsia="en-AU"/>
              </w:rPr>
            </w:pPr>
          </w:p>
        </w:tc>
        <w:tc>
          <w:tcPr>
            <w:tcW w:w="215" w:type="dxa"/>
            <w:tcBorders>
              <w:top w:val="nil"/>
              <w:left w:val="nil"/>
              <w:bottom w:val="nil"/>
              <w:right w:val="nil"/>
            </w:tcBorders>
            <w:shd w:val="clear" w:color="auto" w:fill="auto"/>
            <w:noWrap/>
            <w:vAlign w:val="center"/>
            <w:hideMark/>
          </w:tcPr>
          <w:p w14:paraId="06FF581E" w14:textId="77777777" w:rsidR="00BC5219" w:rsidRPr="009C55C2"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0CE43B29"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xml:space="preserve">12,698 </w:t>
            </w:r>
          </w:p>
        </w:tc>
        <w:tc>
          <w:tcPr>
            <w:tcW w:w="216" w:type="dxa"/>
            <w:tcBorders>
              <w:top w:val="nil"/>
              <w:left w:val="nil"/>
              <w:bottom w:val="nil"/>
              <w:right w:val="nil"/>
            </w:tcBorders>
            <w:shd w:val="clear" w:color="auto" w:fill="auto"/>
            <w:noWrap/>
            <w:vAlign w:val="center"/>
            <w:hideMark/>
          </w:tcPr>
          <w:p w14:paraId="2ABE5994" w14:textId="77777777" w:rsidR="00BC5219" w:rsidRPr="009C55C2" w:rsidRDefault="00BC5219" w:rsidP="00E83802">
            <w:pPr>
              <w:jc w:val="right"/>
              <w:rPr>
                <w:rFonts w:ascii="Meta Pro" w:eastAsia="Times New Roman" w:hAnsi="Meta Pro"/>
                <w:b/>
                <w:bCs/>
                <w:color w:val="000000"/>
                <w:szCs w:val="18"/>
                <w:lang w:eastAsia="en-AU"/>
              </w:rPr>
            </w:pPr>
          </w:p>
        </w:tc>
        <w:tc>
          <w:tcPr>
            <w:tcW w:w="1514" w:type="dxa"/>
            <w:tcBorders>
              <w:top w:val="nil"/>
              <w:left w:val="nil"/>
              <w:bottom w:val="nil"/>
              <w:right w:val="nil"/>
            </w:tcBorders>
            <w:shd w:val="clear" w:color="auto" w:fill="auto"/>
            <w:noWrap/>
            <w:vAlign w:val="center"/>
            <w:hideMark/>
          </w:tcPr>
          <w:p w14:paraId="637F59C1"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(44,819)</w:t>
            </w:r>
          </w:p>
        </w:tc>
      </w:tr>
      <w:tr w:rsidR="00BC5219" w:rsidRPr="009C55C2" w14:paraId="01933A4C" w14:textId="77777777" w:rsidTr="00E83802">
        <w:trPr>
          <w:trHeight w:val="240"/>
        </w:trPr>
        <w:tc>
          <w:tcPr>
            <w:tcW w:w="215" w:type="dxa"/>
            <w:tcBorders>
              <w:top w:val="nil"/>
              <w:left w:val="nil"/>
              <w:bottom w:val="single" w:sz="4" w:space="0" w:color="auto"/>
              <w:right w:val="nil"/>
            </w:tcBorders>
            <w:shd w:val="clear" w:color="auto" w:fill="auto"/>
            <w:noWrap/>
            <w:vAlign w:val="center"/>
            <w:hideMark/>
          </w:tcPr>
          <w:p w14:paraId="3C63F9BA"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4990" w:type="dxa"/>
            <w:tcBorders>
              <w:top w:val="nil"/>
              <w:left w:val="nil"/>
              <w:bottom w:val="single" w:sz="4" w:space="0" w:color="auto"/>
              <w:right w:val="nil"/>
            </w:tcBorders>
            <w:shd w:val="clear" w:color="auto" w:fill="auto"/>
            <w:noWrap/>
            <w:vAlign w:val="center"/>
            <w:hideMark/>
          </w:tcPr>
          <w:p w14:paraId="62703AEC"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Income tax equivalent expense</w:t>
            </w:r>
          </w:p>
        </w:tc>
        <w:tc>
          <w:tcPr>
            <w:tcW w:w="1021" w:type="dxa"/>
            <w:tcBorders>
              <w:top w:val="nil"/>
              <w:left w:val="nil"/>
              <w:bottom w:val="single" w:sz="4" w:space="0" w:color="auto"/>
              <w:right w:val="nil"/>
            </w:tcBorders>
            <w:shd w:val="clear" w:color="auto" w:fill="auto"/>
            <w:noWrap/>
            <w:vAlign w:val="center"/>
            <w:hideMark/>
          </w:tcPr>
          <w:p w14:paraId="06914E39"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23</w:t>
            </w:r>
          </w:p>
        </w:tc>
        <w:tc>
          <w:tcPr>
            <w:tcW w:w="215" w:type="dxa"/>
            <w:tcBorders>
              <w:top w:val="nil"/>
              <w:left w:val="nil"/>
              <w:bottom w:val="single" w:sz="4" w:space="0" w:color="auto"/>
              <w:right w:val="nil"/>
            </w:tcBorders>
            <w:shd w:val="clear" w:color="auto" w:fill="auto"/>
            <w:noWrap/>
            <w:vAlign w:val="center"/>
            <w:hideMark/>
          </w:tcPr>
          <w:p w14:paraId="0F72960F"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1514" w:type="dxa"/>
            <w:tcBorders>
              <w:top w:val="nil"/>
              <w:left w:val="nil"/>
              <w:bottom w:val="single" w:sz="4" w:space="0" w:color="auto"/>
              <w:right w:val="nil"/>
            </w:tcBorders>
            <w:shd w:val="clear" w:color="000000" w:fill="C9E3B4"/>
            <w:noWrap/>
            <w:vAlign w:val="center"/>
            <w:hideMark/>
          </w:tcPr>
          <w:p w14:paraId="39F37D83"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7,702 </w:t>
            </w:r>
          </w:p>
        </w:tc>
        <w:tc>
          <w:tcPr>
            <w:tcW w:w="216" w:type="dxa"/>
            <w:tcBorders>
              <w:top w:val="nil"/>
              <w:left w:val="nil"/>
              <w:bottom w:val="single" w:sz="4" w:space="0" w:color="auto"/>
              <w:right w:val="nil"/>
            </w:tcBorders>
            <w:shd w:val="clear" w:color="auto" w:fill="auto"/>
            <w:noWrap/>
            <w:vAlign w:val="center"/>
            <w:hideMark/>
          </w:tcPr>
          <w:p w14:paraId="4D22F00B"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1514" w:type="dxa"/>
            <w:tcBorders>
              <w:top w:val="nil"/>
              <w:left w:val="nil"/>
              <w:bottom w:val="single" w:sz="4" w:space="0" w:color="auto"/>
              <w:right w:val="nil"/>
            </w:tcBorders>
            <w:shd w:val="clear" w:color="auto" w:fill="auto"/>
            <w:noWrap/>
            <w:vAlign w:val="center"/>
            <w:hideMark/>
          </w:tcPr>
          <w:p w14:paraId="505FAD96"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16,260 </w:t>
            </w:r>
          </w:p>
        </w:tc>
      </w:tr>
      <w:tr w:rsidR="00BC5219" w:rsidRPr="009C55C2" w14:paraId="0ACFD3BB" w14:textId="77777777" w:rsidTr="00E83802">
        <w:trPr>
          <w:trHeight w:val="240"/>
        </w:trPr>
        <w:tc>
          <w:tcPr>
            <w:tcW w:w="215" w:type="dxa"/>
            <w:tcBorders>
              <w:top w:val="nil"/>
              <w:left w:val="nil"/>
              <w:bottom w:val="nil"/>
              <w:right w:val="nil"/>
            </w:tcBorders>
            <w:shd w:val="clear" w:color="auto" w:fill="auto"/>
            <w:noWrap/>
            <w:vAlign w:val="center"/>
            <w:hideMark/>
          </w:tcPr>
          <w:p w14:paraId="0830312E" w14:textId="77777777" w:rsidR="00BC5219" w:rsidRPr="009C55C2" w:rsidRDefault="00BC5219" w:rsidP="00E83802">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vAlign w:val="center"/>
            <w:hideMark/>
          </w:tcPr>
          <w:p w14:paraId="3BDB74B3" w14:textId="77777777" w:rsidR="00BC5219" w:rsidRPr="009C55C2" w:rsidRDefault="00BC5219" w:rsidP="00E83802">
            <w:pPr>
              <w:rPr>
                <w:rFonts w:ascii="Meta Pro" w:eastAsia="Times New Roman" w:hAnsi="Meta Pro" w:cs="Times New Roman"/>
                <w:sz w:val="20"/>
                <w:szCs w:val="20"/>
                <w:lang w:eastAsia="en-AU"/>
              </w:rPr>
            </w:pPr>
          </w:p>
        </w:tc>
        <w:tc>
          <w:tcPr>
            <w:tcW w:w="1021" w:type="dxa"/>
            <w:tcBorders>
              <w:top w:val="single" w:sz="4" w:space="0" w:color="auto"/>
              <w:left w:val="nil"/>
              <w:bottom w:val="nil"/>
              <w:right w:val="nil"/>
            </w:tcBorders>
            <w:shd w:val="clear" w:color="auto" w:fill="auto"/>
            <w:noWrap/>
            <w:vAlign w:val="center"/>
            <w:hideMark/>
          </w:tcPr>
          <w:p w14:paraId="6D18C4D7"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215" w:type="dxa"/>
            <w:tcBorders>
              <w:top w:val="nil"/>
              <w:left w:val="nil"/>
              <w:bottom w:val="nil"/>
              <w:right w:val="nil"/>
            </w:tcBorders>
            <w:shd w:val="clear" w:color="auto" w:fill="auto"/>
            <w:noWrap/>
            <w:vAlign w:val="center"/>
            <w:hideMark/>
          </w:tcPr>
          <w:p w14:paraId="6A444B1D" w14:textId="77777777" w:rsidR="00BC5219" w:rsidRPr="009C55C2" w:rsidRDefault="00BC5219" w:rsidP="00E83802">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59027DA9"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w:t>
            </w:r>
          </w:p>
        </w:tc>
        <w:tc>
          <w:tcPr>
            <w:tcW w:w="216" w:type="dxa"/>
            <w:tcBorders>
              <w:top w:val="nil"/>
              <w:left w:val="nil"/>
              <w:bottom w:val="nil"/>
              <w:right w:val="nil"/>
            </w:tcBorders>
            <w:shd w:val="clear" w:color="auto" w:fill="auto"/>
            <w:noWrap/>
            <w:vAlign w:val="center"/>
            <w:hideMark/>
          </w:tcPr>
          <w:p w14:paraId="4F9BAC56" w14:textId="77777777" w:rsidR="00BC5219" w:rsidRPr="009C55C2" w:rsidRDefault="00BC5219" w:rsidP="00E83802">
            <w:pPr>
              <w:jc w:val="right"/>
              <w:rPr>
                <w:rFonts w:ascii="Meta Pro" w:eastAsia="Times New Roman" w:hAnsi="Meta Pro"/>
                <w:b/>
                <w:bCs/>
                <w:color w:val="000000"/>
                <w:szCs w:val="18"/>
                <w:lang w:eastAsia="en-AU"/>
              </w:rPr>
            </w:pPr>
          </w:p>
        </w:tc>
        <w:tc>
          <w:tcPr>
            <w:tcW w:w="1514" w:type="dxa"/>
            <w:tcBorders>
              <w:top w:val="nil"/>
              <w:left w:val="nil"/>
              <w:bottom w:val="nil"/>
              <w:right w:val="nil"/>
            </w:tcBorders>
            <w:shd w:val="clear" w:color="auto" w:fill="auto"/>
            <w:noWrap/>
            <w:vAlign w:val="center"/>
            <w:hideMark/>
          </w:tcPr>
          <w:p w14:paraId="222F4752" w14:textId="77777777" w:rsidR="00BC5219" w:rsidRPr="009C55C2" w:rsidRDefault="00BC5219" w:rsidP="00E83802">
            <w:pPr>
              <w:jc w:val="right"/>
              <w:rPr>
                <w:rFonts w:ascii="Meta Pro" w:eastAsia="Times New Roman" w:hAnsi="Meta Pro" w:cs="Times New Roman"/>
                <w:sz w:val="20"/>
                <w:szCs w:val="20"/>
                <w:lang w:eastAsia="en-AU"/>
              </w:rPr>
            </w:pPr>
          </w:p>
        </w:tc>
      </w:tr>
      <w:tr w:rsidR="00BC5219" w:rsidRPr="009C55C2" w14:paraId="3E26F038" w14:textId="77777777" w:rsidTr="00E83802">
        <w:trPr>
          <w:trHeight w:val="240"/>
        </w:trPr>
        <w:tc>
          <w:tcPr>
            <w:tcW w:w="4990" w:type="dxa"/>
            <w:gridSpan w:val="2"/>
            <w:tcBorders>
              <w:top w:val="nil"/>
              <w:left w:val="nil"/>
              <w:bottom w:val="single" w:sz="4" w:space="0" w:color="auto"/>
              <w:right w:val="nil"/>
            </w:tcBorders>
            <w:shd w:val="clear" w:color="auto" w:fill="auto"/>
            <w:noWrap/>
            <w:vAlign w:val="center"/>
            <w:hideMark/>
          </w:tcPr>
          <w:p w14:paraId="61FA7696" w14:textId="77777777" w:rsidR="00BC5219" w:rsidRPr="009C55C2" w:rsidRDefault="00BC5219" w:rsidP="00E83802">
            <w:pPr>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OPERATING RESULT FOR THE YEAR</w:t>
            </w:r>
          </w:p>
        </w:tc>
        <w:tc>
          <w:tcPr>
            <w:tcW w:w="1021" w:type="dxa"/>
            <w:tcBorders>
              <w:top w:val="nil"/>
              <w:left w:val="nil"/>
              <w:bottom w:val="single" w:sz="4" w:space="0" w:color="auto"/>
              <w:right w:val="nil"/>
            </w:tcBorders>
            <w:shd w:val="clear" w:color="auto" w:fill="auto"/>
            <w:noWrap/>
            <w:vAlign w:val="center"/>
            <w:hideMark/>
          </w:tcPr>
          <w:p w14:paraId="60A44789" w14:textId="77777777" w:rsidR="00BC5219" w:rsidRPr="009C55C2" w:rsidRDefault="00BC5219" w:rsidP="00E83802">
            <w:pPr>
              <w:jc w:val="center"/>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w:t>
            </w:r>
          </w:p>
        </w:tc>
        <w:tc>
          <w:tcPr>
            <w:tcW w:w="215" w:type="dxa"/>
            <w:tcBorders>
              <w:top w:val="nil"/>
              <w:left w:val="nil"/>
              <w:bottom w:val="single" w:sz="4" w:space="0" w:color="auto"/>
              <w:right w:val="nil"/>
            </w:tcBorders>
            <w:shd w:val="clear" w:color="auto" w:fill="auto"/>
            <w:noWrap/>
            <w:vAlign w:val="center"/>
            <w:hideMark/>
          </w:tcPr>
          <w:p w14:paraId="195933F4" w14:textId="77777777" w:rsidR="00BC5219" w:rsidRPr="009C55C2" w:rsidRDefault="00BC5219" w:rsidP="00E83802">
            <w:pPr>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w:t>
            </w:r>
          </w:p>
        </w:tc>
        <w:tc>
          <w:tcPr>
            <w:tcW w:w="1514" w:type="dxa"/>
            <w:tcBorders>
              <w:top w:val="nil"/>
              <w:left w:val="nil"/>
              <w:bottom w:val="single" w:sz="4" w:space="0" w:color="auto"/>
              <w:right w:val="nil"/>
            </w:tcBorders>
            <w:shd w:val="clear" w:color="000000" w:fill="C9E3B4"/>
            <w:noWrap/>
            <w:vAlign w:val="center"/>
            <w:hideMark/>
          </w:tcPr>
          <w:p w14:paraId="0E2AE1AC"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xml:space="preserve">4,996 </w:t>
            </w:r>
          </w:p>
        </w:tc>
        <w:tc>
          <w:tcPr>
            <w:tcW w:w="216" w:type="dxa"/>
            <w:tcBorders>
              <w:top w:val="nil"/>
              <w:left w:val="nil"/>
              <w:bottom w:val="single" w:sz="4" w:space="0" w:color="auto"/>
              <w:right w:val="nil"/>
            </w:tcBorders>
            <w:shd w:val="clear" w:color="auto" w:fill="auto"/>
            <w:noWrap/>
            <w:vAlign w:val="center"/>
            <w:hideMark/>
          </w:tcPr>
          <w:p w14:paraId="1E2048A5"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w:t>
            </w:r>
          </w:p>
        </w:tc>
        <w:tc>
          <w:tcPr>
            <w:tcW w:w="1514" w:type="dxa"/>
            <w:tcBorders>
              <w:top w:val="nil"/>
              <w:left w:val="nil"/>
              <w:bottom w:val="single" w:sz="4" w:space="0" w:color="auto"/>
              <w:right w:val="nil"/>
            </w:tcBorders>
            <w:shd w:val="clear" w:color="auto" w:fill="auto"/>
            <w:noWrap/>
            <w:vAlign w:val="center"/>
            <w:hideMark/>
          </w:tcPr>
          <w:p w14:paraId="578FAE84"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(61,079)</w:t>
            </w:r>
          </w:p>
        </w:tc>
      </w:tr>
      <w:tr w:rsidR="00BC5219" w:rsidRPr="009C55C2" w14:paraId="3A6A4892" w14:textId="77777777" w:rsidTr="00E83802">
        <w:trPr>
          <w:trHeight w:val="240"/>
        </w:trPr>
        <w:tc>
          <w:tcPr>
            <w:tcW w:w="215" w:type="dxa"/>
            <w:tcBorders>
              <w:top w:val="nil"/>
              <w:left w:val="nil"/>
              <w:bottom w:val="nil"/>
              <w:right w:val="nil"/>
            </w:tcBorders>
            <w:shd w:val="clear" w:color="auto" w:fill="auto"/>
            <w:noWrap/>
            <w:vAlign w:val="center"/>
            <w:hideMark/>
          </w:tcPr>
          <w:p w14:paraId="76DA6E41" w14:textId="77777777" w:rsidR="00BC5219" w:rsidRPr="009C55C2" w:rsidRDefault="00BC5219" w:rsidP="00E83802">
            <w:pPr>
              <w:jc w:val="right"/>
              <w:rPr>
                <w:rFonts w:ascii="Meta Pro" w:eastAsia="Times New Roman" w:hAnsi="Meta Pro"/>
                <w:b/>
                <w:bCs/>
                <w:color w:val="000000"/>
                <w:szCs w:val="18"/>
                <w:lang w:eastAsia="en-AU"/>
              </w:rPr>
            </w:pPr>
          </w:p>
        </w:tc>
        <w:tc>
          <w:tcPr>
            <w:tcW w:w="4990" w:type="dxa"/>
            <w:tcBorders>
              <w:top w:val="nil"/>
              <w:left w:val="nil"/>
              <w:bottom w:val="nil"/>
              <w:right w:val="nil"/>
            </w:tcBorders>
            <w:shd w:val="clear" w:color="auto" w:fill="auto"/>
            <w:noWrap/>
            <w:vAlign w:val="center"/>
            <w:hideMark/>
          </w:tcPr>
          <w:p w14:paraId="34C4B29E" w14:textId="77777777" w:rsidR="00BC5219" w:rsidRPr="009C55C2" w:rsidRDefault="00BC5219" w:rsidP="00E83802">
            <w:pPr>
              <w:rPr>
                <w:rFonts w:ascii="Meta Pro" w:eastAsia="Times New Roman" w:hAnsi="Meta Pro" w:cs="Times New Roman"/>
                <w:sz w:val="20"/>
                <w:szCs w:val="20"/>
                <w:lang w:eastAsia="en-AU"/>
              </w:rPr>
            </w:pPr>
          </w:p>
        </w:tc>
        <w:tc>
          <w:tcPr>
            <w:tcW w:w="1021" w:type="dxa"/>
            <w:tcBorders>
              <w:top w:val="single" w:sz="4" w:space="0" w:color="auto"/>
              <w:left w:val="nil"/>
              <w:bottom w:val="nil"/>
              <w:right w:val="nil"/>
            </w:tcBorders>
            <w:shd w:val="clear" w:color="auto" w:fill="auto"/>
            <w:noWrap/>
            <w:vAlign w:val="center"/>
            <w:hideMark/>
          </w:tcPr>
          <w:p w14:paraId="79052CBD" w14:textId="77777777" w:rsidR="00BC5219" w:rsidRPr="009C55C2" w:rsidRDefault="00BC5219" w:rsidP="00E83802">
            <w:pPr>
              <w:jc w:val="center"/>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w:t>
            </w:r>
          </w:p>
        </w:tc>
        <w:tc>
          <w:tcPr>
            <w:tcW w:w="215" w:type="dxa"/>
            <w:tcBorders>
              <w:top w:val="nil"/>
              <w:left w:val="nil"/>
              <w:bottom w:val="nil"/>
              <w:right w:val="nil"/>
            </w:tcBorders>
            <w:shd w:val="clear" w:color="auto" w:fill="auto"/>
            <w:noWrap/>
            <w:vAlign w:val="center"/>
            <w:hideMark/>
          </w:tcPr>
          <w:p w14:paraId="56924A97" w14:textId="77777777" w:rsidR="00BC5219" w:rsidRPr="009C55C2" w:rsidRDefault="00BC5219" w:rsidP="00E83802">
            <w:pPr>
              <w:jc w:val="center"/>
              <w:rPr>
                <w:rFonts w:ascii="Meta Pro" w:eastAsia="Times New Roman" w:hAnsi="Meta Pro"/>
                <w:b/>
                <w:bCs/>
                <w:color w:val="000000"/>
                <w:szCs w:val="18"/>
                <w:lang w:eastAsia="en-AU"/>
              </w:rPr>
            </w:pPr>
          </w:p>
        </w:tc>
        <w:tc>
          <w:tcPr>
            <w:tcW w:w="1514" w:type="dxa"/>
            <w:tcBorders>
              <w:top w:val="nil"/>
              <w:left w:val="nil"/>
              <w:bottom w:val="nil"/>
              <w:right w:val="nil"/>
            </w:tcBorders>
            <w:shd w:val="clear" w:color="000000" w:fill="C9E3B4"/>
            <w:noWrap/>
            <w:vAlign w:val="center"/>
            <w:hideMark/>
          </w:tcPr>
          <w:p w14:paraId="45446D7A"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w:t>
            </w:r>
          </w:p>
        </w:tc>
        <w:tc>
          <w:tcPr>
            <w:tcW w:w="216" w:type="dxa"/>
            <w:tcBorders>
              <w:top w:val="nil"/>
              <w:left w:val="nil"/>
              <w:bottom w:val="nil"/>
              <w:right w:val="nil"/>
            </w:tcBorders>
            <w:shd w:val="clear" w:color="auto" w:fill="auto"/>
            <w:noWrap/>
            <w:vAlign w:val="center"/>
            <w:hideMark/>
          </w:tcPr>
          <w:p w14:paraId="6D28CD5D" w14:textId="77777777" w:rsidR="00BC5219" w:rsidRPr="009C55C2" w:rsidRDefault="00BC5219" w:rsidP="00E83802">
            <w:pPr>
              <w:jc w:val="right"/>
              <w:rPr>
                <w:rFonts w:ascii="Meta Pro" w:eastAsia="Times New Roman" w:hAnsi="Meta Pro"/>
                <w:b/>
                <w:bCs/>
                <w:color w:val="000000"/>
                <w:szCs w:val="18"/>
                <w:lang w:eastAsia="en-AU"/>
              </w:rPr>
            </w:pPr>
          </w:p>
        </w:tc>
        <w:tc>
          <w:tcPr>
            <w:tcW w:w="1514" w:type="dxa"/>
            <w:tcBorders>
              <w:top w:val="nil"/>
              <w:left w:val="nil"/>
              <w:bottom w:val="nil"/>
              <w:right w:val="nil"/>
            </w:tcBorders>
            <w:shd w:val="clear" w:color="auto" w:fill="auto"/>
            <w:noWrap/>
            <w:vAlign w:val="center"/>
            <w:hideMark/>
          </w:tcPr>
          <w:p w14:paraId="515B6624" w14:textId="77777777" w:rsidR="00BC5219" w:rsidRPr="009C55C2" w:rsidRDefault="00BC5219" w:rsidP="00E83802">
            <w:pPr>
              <w:jc w:val="right"/>
              <w:rPr>
                <w:rFonts w:ascii="Meta Pro" w:eastAsia="Times New Roman" w:hAnsi="Meta Pro" w:cs="Times New Roman"/>
                <w:sz w:val="20"/>
                <w:szCs w:val="20"/>
                <w:lang w:eastAsia="en-AU"/>
              </w:rPr>
            </w:pPr>
          </w:p>
        </w:tc>
      </w:tr>
      <w:tr w:rsidR="00BC5219" w:rsidRPr="009C55C2" w14:paraId="09725BF2" w14:textId="77777777" w:rsidTr="00E83802">
        <w:trPr>
          <w:trHeight w:val="240"/>
        </w:trPr>
        <w:tc>
          <w:tcPr>
            <w:tcW w:w="215" w:type="dxa"/>
            <w:tcBorders>
              <w:top w:val="nil"/>
              <w:left w:val="nil"/>
              <w:bottom w:val="nil"/>
              <w:right w:val="nil"/>
            </w:tcBorders>
            <w:shd w:val="clear" w:color="auto" w:fill="auto"/>
            <w:noWrap/>
            <w:vAlign w:val="center"/>
            <w:hideMark/>
          </w:tcPr>
          <w:p w14:paraId="1A6EEC8C" w14:textId="77777777" w:rsidR="00BC5219" w:rsidRPr="009C55C2" w:rsidRDefault="00BC5219" w:rsidP="00E83802">
            <w:pPr>
              <w:jc w:val="right"/>
              <w:rPr>
                <w:rFonts w:ascii="Meta Pro" w:eastAsia="Times New Roman" w:hAnsi="Meta Pro" w:cs="Times New Roman"/>
                <w:sz w:val="20"/>
                <w:szCs w:val="20"/>
                <w:lang w:eastAsia="en-AU"/>
              </w:rPr>
            </w:pPr>
          </w:p>
        </w:tc>
        <w:tc>
          <w:tcPr>
            <w:tcW w:w="4990" w:type="dxa"/>
            <w:tcBorders>
              <w:top w:val="nil"/>
              <w:left w:val="nil"/>
              <w:bottom w:val="nil"/>
              <w:right w:val="nil"/>
            </w:tcBorders>
            <w:shd w:val="clear" w:color="auto" w:fill="auto"/>
            <w:noWrap/>
            <w:vAlign w:val="center"/>
            <w:hideMark/>
          </w:tcPr>
          <w:p w14:paraId="2C7572BB" w14:textId="77777777" w:rsidR="00BC5219" w:rsidRPr="009C55C2" w:rsidRDefault="00BC5219" w:rsidP="00E83802">
            <w:pPr>
              <w:rPr>
                <w:rFonts w:ascii="Meta Pro" w:eastAsia="Times New Roman" w:hAnsi="Meta Pro" w:cs="Times New Roman"/>
                <w:sz w:val="20"/>
                <w:szCs w:val="20"/>
                <w:lang w:eastAsia="en-AU"/>
              </w:rPr>
            </w:pPr>
          </w:p>
        </w:tc>
        <w:tc>
          <w:tcPr>
            <w:tcW w:w="1021" w:type="dxa"/>
            <w:tcBorders>
              <w:top w:val="nil"/>
              <w:left w:val="nil"/>
              <w:bottom w:val="nil"/>
              <w:right w:val="nil"/>
            </w:tcBorders>
            <w:shd w:val="clear" w:color="auto" w:fill="auto"/>
            <w:noWrap/>
            <w:vAlign w:val="center"/>
            <w:hideMark/>
          </w:tcPr>
          <w:p w14:paraId="30BF286E" w14:textId="77777777" w:rsidR="00BC5219" w:rsidRPr="009C55C2" w:rsidRDefault="00BC5219" w:rsidP="00E83802">
            <w:pPr>
              <w:rPr>
                <w:rFonts w:ascii="Meta Pro" w:eastAsia="Times New Roman" w:hAnsi="Meta Pro"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307EDC27" w14:textId="77777777" w:rsidR="00BC5219" w:rsidRPr="009C55C2"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0DD095FE"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1616F23D" w14:textId="77777777" w:rsidR="00BC5219" w:rsidRPr="009C55C2"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0957D426" w14:textId="77777777" w:rsidR="00BC5219" w:rsidRPr="009C55C2" w:rsidRDefault="00BC5219" w:rsidP="00E83802">
            <w:pPr>
              <w:jc w:val="right"/>
              <w:rPr>
                <w:rFonts w:ascii="Meta Pro" w:eastAsia="Times New Roman" w:hAnsi="Meta Pro" w:cs="Times New Roman"/>
                <w:sz w:val="20"/>
                <w:szCs w:val="20"/>
                <w:lang w:eastAsia="en-AU"/>
              </w:rPr>
            </w:pPr>
          </w:p>
        </w:tc>
      </w:tr>
      <w:tr w:rsidR="00BC5219" w:rsidRPr="009C55C2" w14:paraId="57EA6FF4" w14:textId="77777777" w:rsidTr="00E83802">
        <w:trPr>
          <w:trHeight w:val="240"/>
        </w:trPr>
        <w:tc>
          <w:tcPr>
            <w:tcW w:w="4990" w:type="dxa"/>
            <w:gridSpan w:val="2"/>
            <w:tcBorders>
              <w:top w:val="nil"/>
              <w:left w:val="nil"/>
              <w:bottom w:val="nil"/>
              <w:right w:val="nil"/>
            </w:tcBorders>
            <w:shd w:val="clear" w:color="auto" w:fill="auto"/>
            <w:noWrap/>
            <w:vAlign w:val="center"/>
            <w:hideMark/>
          </w:tcPr>
          <w:p w14:paraId="033E17DA" w14:textId="77777777" w:rsidR="00BC5219" w:rsidRPr="009C55C2" w:rsidRDefault="00BC5219" w:rsidP="00E83802">
            <w:pPr>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Items not reclassified to operating result</w:t>
            </w:r>
          </w:p>
        </w:tc>
        <w:tc>
          <w:tcPr>
            <w:tcW w:w="1021" w:type="dxa"/>
            <w:tcBorders>
              <w:top w:val="nil"/>
              <w:left w:val="nil"/>
              <w:bottom w:val="nil"/>
              <w:right w:val="nil"/>
            </w:tcBorders>
            <w:shd w:val="clear" w:color="auto" w:fill="auto"/>
            <w:noWrap/>
            <w:vAlign w:val="center"/>
            <w:hideMark/>
          </w:tcPr>
          <w:p w14:paraId="0025BDDF" w14:textId="77777777" w:rsidR="00BC5219" w:rsidRPr="009C55C2" w:rsidRDefault="00BC5219" w:rsidP="00E83802">
            <w:pPr>
              <w:rPr>
                <w:rFonts w:ascii="Meta Pro" w:eastAsia="Times New Roman" w:hAnsi="Meta Pro"/>
                <w:b/>
                <w:bCs/>
                <w:color w:val="000000"/>
                <w:szCs w:val="18"/>
                <w:lang w:eastAsia="en-AU"/>
              </w:rPr>
            </w:pPr>
          </w:p>
        </w:tc>
        <w:tc>
          <w:tcPr>
            <w:tcW w:w="215" w:type="dxa"/>
            <w:tcBorders>
              <w:top w:val="nil"/>
              <w:left w:val="nil"/>
              <w:bottom w:val="nil"/>
              <w:right w:val="nil"/>
            </w:tcBorders>
            <w:shd w:val="clear" w:color="auto" w:fill="auto"/>
            <w:noWrap/>
            <w:vAlign w:val="center"/>
            <w:hideMark/>
          </w:tcPr>
          <w:p w14:paraId="42F1C5EB" w14:textId="77777777" w:rsidR="00BC5219" w:rsidRPr="009C55C2"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504291CB"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24E008FE" w14:textId="77777777" w:rsidR="00BC5219" w:rsidRPr="009C55C2"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41C5AF7F" w14:textId="77777777" w:rsidR="00BC5219" w:rsidRPr="009C55C2" w:rsidRDefault="00BC5219" w:rsidP="00E83802">
            <w:pPr>
              <w:jc w:val="right"/>
              <w:rPr>
                <w:rFonts w:ascii="Meta Pro" w:eastAsia="Times New Roman" w:hAnsi="Meta Pro" w:cs="Times New Roman"/>
                <w:sz w:val="20"/>
                <w:szCs w:val="20"/>
                <w:lang w:eastAsia="en-AU"/>
              </w:rPr>
            </w:pPr>
          </w:p>
        </w:tc>
      </w:tr>
      <w:tr w:rsidR="00BC5219" w:rsidRPr="009C55C2" w14:paraId="1BD0E0F1" w14:textId="77777777" w:rsidTr="00E83802">
        <w:trPr>
          <w:trHeight w:val="240"/>
        </w:trPr>
        <w:tc>
          <w:tcPr>
            <w:tcW w:w="215" w:type="dxa"/>
            <w:tcBorders>
              <w:top w:val="nil"/>
              <w:left w:val="nil"/>
              <w:bottom w:val="single" w:sz="4" w:space="0" w:color="auto"/>
              <w:right w:val="nil"/>
            </w:tcBorders>
            <w:shd w:val="clear" w:color="auto" w:fill="auto"/>
            <w:noWrap/>
            <w:vAlign w:val="center"/>
            <w:hideMark/>
          </w:tcPr>
          <w:p w14:paraId="57D5D528"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4990" w:type="dxa"/>
            <w:tcBorders>
              <w:top w:val="nil"/>
              <w:left w:val="nil"/>
              <w:bottom w:val="single" w:sz="4" w:space="0" w:color="auto"/>
              <w:right w:val="nil"/>
            </w:tcBorders>
            <w:shd w:val="clear" w:color="auto" w:fill="auto"/>
            <w:noWrap/>
            <w:vAlign w:val="center"/>
            <w:hideMark/>
          </w:tcPr>
          <w:p w14:paraId="415F407D"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Increase in asset revaluation surplus</w:t>
            </w:r>
          </w:p>
        </w:tc>
        <w:tc>
          <w:tcPr>
            <w:tcW w:w="1021" w:type="dxa"/>
            <w:tcBorders>
              <w:top w:val="nil"/>
              <w:left w:val="nil"/>
              <w:bottom w:val="single" w:sz="4" w:space="0" w:color="auto"/>
              <w:right w:val="nil"/>
            </w:tcBorders>
            <w:shd w:val="clear" w:color="auto" w:fill="auto"/>
            <w:noWrap/>
            <w:vAlign w:val="center"/>
            <w:hideMark/>
          </w:tcPr>
          <w:p w14:paraId="7E39D6E5"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15, 16</w:t>
            </w:r>
          </w:p>
        </w:tc>
        <w:tc>
          <w:tcPr>
            <w:tcW w:w="215" w:type="dxa"/>
            <w:tcBorders>
              <w:top w:val="nil"/>
              <w:left w:val="nil"/>
              <w:bottom w:val="single" w:sz="4" w:space="0" w:color="auto"/>
              <w:right w:val="nil"/>
            </w:tcBorders>
            <w:shd w:val="clear" w:color="auto" w:fill="auto"/>
            <w:noWrap/>
            <w:vAlign w:val="center"/>
            <w:hideMark/>
          </w:tcPr>
          <w:p w14:paraId="0BF60715"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1514" w:type="dxa"/>
            <w:tcBorders>
              <w:top w:val="nil"/>
              <w:left w:val="nil"/>
              <w:bottom w:val="single" w:sz="4" w:space="0" w:color="auto"/>
              <w:right w:val="nil"/>
            </w:tcBorders>
            <w:shd w:val="clear" w:color="000000" w:fill="C9E3B4"/>
            <w:noWrap/>
            <w:vAlign w:val="center"/>
            <w:hideMark/>
          </w:tcPr>
          <w:p w14:paraId="787A55B7"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15,103,128 </w:t>
            </w:r>
          </w:p>
        </w:tc>
        <w:tc>
          <w:tcPr>
            <w:tcW w:w="216" w:type="dxa"/>
            <w:tcBorders>
              <w:top w:val="nil"/>
              <w:left w:val="nil"/>
              <w:bottom w:val="single" w:sz="4" w:space="0" w:color="auto"/>
              <w:right w:val="nil"/>
            </w:tcBorders>
            <w:shd w:val="clear" w:color="auto" w:fill="auto"/>
            <w:noWrap/>
            <w:vAlign w:val="center"/>
            <w:hideMark/>
          </w:tcPr>
          <w:p w14:paraId="08374A51"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1514" w:type="dxa"/>
            <w:tcBorders>
              <w:top w:val="nil"/>
              <w:left w:val="nil"/>
              <w:bottom w:val="single" w:sz="4" w:space="0" w:color="auto"/>
              <w:right w:val="nil"/>
            </w:tcBorders>
            <w:shd w:val="clear" w:color="auto" w:fill="auto"/>
            <w:noWrap/>
            <w:vAlign w:val="center"/>
            <w:hideMark/>
          </w:tcPr>
          <w:p w14:paraId="4C2AAA37"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10,757,900 </w:t>
            </w:r>
          </w:p>
        </w:tc>
      </w:tr>
      <w:tr w:rsidR="00BC5219" w:rsidRPr="009C55C2" w14:paraId="7B1B0553" w14:textId="77777777" w:rsidTr="00E83802">
        <w:trPr>
          <w:trHeight w:val="240"/>
        </w:trPr>
        <w:tc>
          <w:tcPr>
            <w:tcW w:w="4990" w:type="dxa"/>
            <w:gridSpan w:val="2"/>
            <w:tcBorders>
              <w:top w:val="nil"/>
              <w:left w:val="nil"/>
              <w:bottom w:val="single" w:sz="4" w:space="0" w:color="auto"/>
              <w:right w:val="nil"/>
            </w:tcBorders>
            <w:shd w:val="clear" w:color="auto" w:fill="auto"/>
            <w:noWrap/>
            <w:vAlign w:val="center"/>
            <w:hideMark/>
          </w:tcPr>
          <w:p w14:paraId="375232AD" w14:textId="77777777" w:rsidR="00BC5219" w:rsidRPr="009C55C2" w:rsidRDefault="00BC5219" w:rsidP="00E83802">
            <w:pPr>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Total other comprehensive income</w:t>
            </w:r>
          </w:p>
        </w:tc>
        <w:tc>
          <w:tcPr>
            <w:tcW w:w="1021" w:type="dxa"/>
            <w:tcBorders>
              <w:top w:val="single" w:sz="4" w:space="0" w:color="auto"/>
              <w:left w:val="nil"/>
              <w:bottom w:val="single" w:sz="4" w:space="0" w:color="auto"/>
              <w:right w:val="nil"/>
            </w:tcBorders>
            <w:shd w:val="clear" w:color="auto" w:fill="auto"/>
            <w:noWrap/>
            <w:vAlign w:val="center"/>
            <w:hideMark/>
          </w:tcPr>
          <w:p w14:paraId="676EE85E"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215" w:type="dxa"/>
            <w:tcBorders>
              <w:top w:val="nil"/>
              <w:left w:val="nil"/>
              <w:bottom w:val="single" w:sz="4" w:space="0" w:color="auto"/>
              <w:right w:val="nil"/>
            </w:tcBorders>
            <w:shd w:val="clear" w:color="auto" w:fill="auto"/>
            <w:noWrap/>
            <w:vAlign w:val="center"/>
            <w:hideMark/>
          </w:tcPr>
          <w:p w14:paraId="24D54FF7"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1514" w:type="dxa"/>
            <w:tcBorders>
              <w:top w:val="nil"/>
              <w:left w:val="nil"/>
              <w:bottom w:val="single" w:sz="4" w:space="0" w:color="auto"/>
              <w:right w:val="nil"/>
            </w:tcBorders>
            <w:shd w:val="clear" w:color="000000" w:fill="C9E3B4"/>
            <w:noWrap/>
            <w:vAlign w:val="center"/>
            <w:hideMark/>
          </w:tcPr>
          <w:p w14:paraId="26698D33"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xml:space="preserve">15,103,128 </w:t>
            </w:r>
          </w:p>
        </w:tc>
        <w:tc>
          <w:tcPr>
            <w:tcW w:w="216" w:type="dxa"/>
            <w:tcBorders>
              <w:top w:val="nil"/>
              <w:left w:val="nil"/>
              <w:bottom w:val="single" w:sz="4" w:space="0" w:color="auto"/>
              <w:right w:val="nil"/>
            </w:tcBorders>
            <w:shd w:val="clear" w:color="auto" w:fill="auto"/>
            <w:noWrap/>
            <w:vAlign w:val="center"/>
            <w:hideMark/>
          </w:tcPr>
          <w:p w14:paraId="3A5AA888"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w:t>
            </w:r>
          </w:p>
        </w:tc>
        <w:tc>
          <w:tcPr>
            <w:tcW w:w="1514" w:type="dxa"/>
            <w:tcBorders>
              <w:top w:val="nil"/>
              <w:left w:val="nil"/>
              <w:bottom w:val="single" w:sz="4" w:space="0" w:color="auto"/>
              <w:right w:val="nil"/>
            </w:tcBorders>
            <w:shd w:val="clear" w:color="auto" w:fill="auto"/>
            <w:noWrap/>
            <w:vAlign w:val="center"/>
            <w:hideMark/>
          </w:tcPr>
          <w:p w14:paraId="43003C6D"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xml:space="preserve">10,757,900 </w:t>
            </w:r>
          </w:p>
        </w:tc>
      </w:tr>
      <w:tr w:rsidR="00BC5219" w:rsidRPr="009C55C2" w14:paraId="5C9A5FEB" w14:textId="77777777" w:rsidTr="00E83802">
        <w:trPr>
          <w:trHeight w:val="240"/>
        </w:trPr>
        <w:tc>
          <w:tcPr>
            <w:tcW w:w="215" w:type="dxa"/>
            <w:tcBorders>
              <w:top w:val="nil"/>
              <w:left w:val="nil"/>
              <w:bottom w:val="nil"/>
              <w:right w:val="nil"/>
            </w:tcBorders>
            <w:shd w:val="clear" w:color="auto" w:fill="auto"/>
            <w:noWrap/>
            <w:vAlign w:val="center"/>
            <w:hideMark/>
          </w:tcPr>
          <w:p w14:paraId="56A8384A" w14:textId="77777777" w:rsidR="00BC5219" w:rsidRPr="009C55C2" w:rsidRDefault="00BC5219" w:rsidP="00E83802">
            <w:pPr>
              <w:jc w:val="right"/>
              <w:rPr>
                <w:rFonts w:ascii="Meta Pro" w:eastAsia="Times New Roman" w:hAnsi="Meta Pro"/>
                <w:b/>
                <w:bCs/>
                <w:color w:val="000000"/>
                <w:szCs w:val="18"/>
                <w:lang w:eastAsia="en-AU"/>
              </w:rPr>
            </w:pPr>
          </w:p>
        </w:tc>
        <w:tc>
          <w:tcPr>
            <w:tcW w:w="4990" w:type="dxa"/>
            <w:tcBorders>
              <w:top w:val="nil"/>
              <w:left w:val="nil"/>
              <w:bottom w:val="nil"/>
              <w:right w:val="nil"/>
            </w:tcBorders>
            <w:shd w:val="clear" w:color="auto" w:fill="auto"/>
            <w:noWrap/>
            <w:vAlign w:val="center"/>
            <w:hideMark/>
          </w:tcPr>
          <w:p w14:paraId="0E844188" w14:textId="77777777" w:rsidR="00BC5219" w:rsidRPr="009C55C2" w:rsidRDefault="00BC5219" w:rsidP="00E83802">
            <w:pPr>
              <w:rPr>
                <w:rFonts w:ascii="Meta Pro" w:eastAsia="Times New Roman" w:hAnsi="Meta Pro" w:cs="Times New Roman"/>
                <w:sz w:val="20"/>
                <w:szCs w:val="20"/>
                <w:lang w:eastAsia="en-AU"/>
              </w:rPr>
            </w:pPr>
          </w:p>
        </w:tc>
        <w:tc>
          <w:tcPr>
            <w:tcW w:w="1021" w:type="dxa"/>
            <w:tcBorders>
              <w:top w:val="single" w:sz="4" w:space="0" w:color="auto"/>
              <w:left w:val="nil"/>
              <w:bottom w:val="nil"/>
              <w:right w:val="nil"/>
            </w:tcBorders>
            <w:shd w:val="clear" w:color="auto" w:fill="auto"/>
            <w:noWrap/>
            <w:vAlign w:val="center"/>
            <w:hideMark/>
          </w:tcPr>
          <w:p w14:paraId="02D2BF4C"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215" w:type="dxa"/>
            <w:tcBorders>
              <w:top w:val="nil"/>
              <w:left w:val="nil"/>
              <w:bottom w:val="nil"/>
              <w:right w:val="nil"/>
            </w:tcBorders>
            <w:shd w:val="clear" w:color="auto" w:fill="auto"/>
            <w:noWrap/>
            <w:vAlign w:val="center"/>
            <w:hideMark/>
          </w:tcPr>
          <w:p w14:paraId="6A01859F" w14:textId="77777777" w:rsidR="00BC5219" w:rsidRPr="009C55C2" w:rsidRDefault="00BC5219" w:rsidP="00E83802">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57701BC0"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w:t>
            </w:r>
          </w:p>
        </w:tc>
        <w:tc>
          <w:tcPr>
            <w:tcW w:w="216" w:type="dxa"/>
            <w:tcBorders>
              <w:top w:val="nil"/>
              <w:left w:val="nil"/>
              <w:bottom w:val="nil"/>
              <w:right w:val="nil"/>
            </w:tcBorders>
            <w:shd w:val="clear" w:color="auto" w:fill="auto"/>
            <w:noWrap/>
            <w:vAlign w:val="center"/>
            <w:hideMark/>
          </w:tcPr>
          <w:p w14:paraId="02E57051" w14:textId="77777777" w:rsidR="00BC5219" w:rsidRPr="009C55C2" w:rsidRDefault="00BC5219" w:rsidP="00E83802">
            <w:pPr>
              <w:jc w:val="right"/>
              <w:rPr>
                <w:rFonts w:ascii="Meta Pro" w:eastAsia="Times New Roman" w:hAnsi="Meta Pro"/>
                <w:b/>
                <w:bCs/>
                <w:color w:val="000000"/>
                <w:szCs w:val="18"/>
                <w:lang w:eastAsia="en-AU"/>
              </w:rPr>
            </w:pPr>
          </w:p>
        </w:tc>
        <w:tc>
          <w:tcPr>
            <w:tcW w:w="1514" w:type="dxa"/>
            <w:tcBorders>
              <w:top w:val="nil"/>
              <w:left w:val="nil"/>
              <w:bottom w:val="nil"/>
              <w:right w:val="nil"/>
            </w:tcBorders>
            <w:shd w:val="clear" w:color="auto" w:fill="auto"/>
            <w:noWrap/>
            <w:vAlign w:val="center"/>
            <w:hideMark/>
          </w:tcPr>
          <w:p w14:paraId="3712858E" w14:textId="77777777" w:rsidR="00BC5219" w:rsidRPr="009C55C2" w:rsidRDefault="00BC5219" w:rsidP="00E83802">
            <w:pPr>
              <w:jc w:val="right"/>
              <w:rPr>
                <w:rFonts w:ascii="Meta Pro" w:eastAsia="Times New Roman" w:hAnsi="Meta Pro" w:cs="Times New Roman"/>
                <w:sz w:val="20"/>
                <w:szCs w:val="20"/>
                <w:lang w:eastAsia="en-AU"/>
              </w:rPr>
            </w:pPr>
          </w:p>
        </w:tc>
      </w:tr>
      <w:tr w:rsidR="00BC5219" w:rsidRPr="009C55C2" w14:paraId="752DCAC2" w14:textId="77777777" w:rsidTr="00E83802">
        <w:trPr>
          <w:trHeight w:val="240"/>
        </w:trPr>
        <w:tc>
          <w:tcPr>
            <w:tcW w:w="4990" w:type="dxa"/>
            <w:gridSpan w:val="2"/>
            <w:tcBorders>
              <w:top w:val="nil"/>
              <w:left w:val="nil"/>
              <w:bottom w:val="double" w:sz="6" w:space="0" w:color="auto"/>
              <w:right w:val="nil"/>
            </w:tcBorders>
            <w:shd w:val="clear" w:color="auto" w:fill="auto"/>
            <w:noWrap/>
            <w:vAlign w:val="center"/>
            <w:hideMark/>
          </w:tcPr>
          <w:p w14:paraId="295EA838" w14:textId="77777777" w:rsidR="00BC5219" w:rsidRPr="009C55C2" w:rsidRDefault="00BC5219" w:rsidP="00E83802">
            <w:pPr>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TOTAL COMPREHENSIVE INCOME</w:t>
            </w:r>
          </w:p>
        </w:tc>
        <w:tc>
          <w:tcPr>
            <w:tcW w:w="1021" w:type="dxa"/>
            <w:tcBorders>
              <w:top w:val="nil"/>
              <w:left w:val="nil"/>
              <w:bottom w:val="double" w:sz="6" w:space="0" w:color="auto"/>
              <w:right w:val="nil"/>
            </w:tcBorders>
            <w:shd w:val="clear" w:color="auto" w:fill="auto"/>
            <w:noWrap/>
            <w:vAlign w:val="center"/>
            <w:hideMark/>
          </w:tcPr>
          <w:p w14:paraId="2F682AC3"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215" w:type="dxa"/>
            <w:tcBorders>
              <w:top w:val="nil"/>
              <w:left w:val="nil"/>
              <w:bottom w:val="double" w:sz="6" w:space="0" w:color="auto"/>
              <w:right w:val="nil"/>
            </w:tcBorders>
            <w:shd w:val="clear" w:color="auto" w:fill="auto"/>
            <w:noWrap/>
            <w:vAlign w:val="center"/>
            <w:hideMark/>
          </w:tcPr>
          <w:p w14:paraId="4A3D3A14"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1514" w:type="dxa"/>
            <w:tcBorders>
              <w:top w:val="nil"/>
              <w:left w:val="nil"/>
              <w:bottom w:val="double" w:sz="6" w:space="0" w:color="auto"/>
              <w:right w:val="nil"/>
            </w:tcBorders>
            <w:shd w:val="clear" w:color="000000" w:fill="C9E3B4"/>
            <w:noWrap/>
            <w:vAlign w:val="center"/>
            <w:hideMark/>
          </w:tcPr>
          <w:p w14:paraId="29E9F6CC"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xml:space="preserve">15,108,124 </w:t>
            </w:r>
          </w:p>
        </w:tc>
        <w:tc>
          <w:tcPr>
            <w:tcW w:w="216" w:type="dxa"/>
            <w:tcBorders>
              <w:top w:val="nil"/>
              <w:left w:val="nil"/>
              <w:bottom w:val="double" w:sz="6" w:space="0" w:color="auto"/>
              <w:right w:val="nil"/>
            </w:tcBorders>
            <w:shd w:val="clear" w:color="auto" w:fill="auto"/>
            <w:noWrap/>
            <w:vAlign w:val="center"/>
            <w:hideMark/>
          </w:tcPr>
          <w:p w14:paraId="0FADA84F"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w:t>
            </w:r>
          </w:p>
        </w:tc>
        <w:tc>
          <w:tcPr>
            <w:tcW w:w="1514" w:type="dxa"/>
            <w:tcBorders>
              <w:top w:val="nil"/>
              <w:left w:val="nil"/>
              <w:bottom w:val="double" w:sz="6" w:space="0" w:color="auto"/>
              <w:right w:val="nil"/>
            </w:tcBorders>
            <w:shd w:val="clear" w:color="auto" w:fill="auto"/>
            <w:noWrap/>
            <w:vAlign w:val="center"/>
            <w:hideMark/>
          </w:tcPr>
          <w:p w14:paraId="141E9B05"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xml:space="preserve">10,696,821 </w:t>
            </w:r>
          </w:p>
        </w:tc>
      </w:tr>
    </w:tbl>
    <w:p w14:paraId="78C85A4D" w14:textId="77777777" w:rsidR="00BC5219" w:rsidRPr="008A2B8F" w:rsidRDefault="00BC5219" w:rsidP="00BC5219">
      <w:pPr>
        <w:spacing w:before="120"/>
        <w:rPr>
          <w:rFonts w:ascii="Meta Pro" w:eastAsia="Times New Roman" w:hAnsi="Meta Pro"/>
          <w:i/>
          <w:iCs/>
          <w:color w:val="000000"/>
          <w:szCs w:val="18"/>
          <w:lang w:eastAsia="en-AU"/>
        </w:rPr>
      </w:pPr>
      <w:r w:rsidRPr="008A2B8F">
        <w:rPr>
          <w:rFonts w:ascii="Meta Pro" w:eastAsia="Times New Roman" w:hAnsi="Meta Pro"/>
          <w:i/>
          <w:iCs/>
          <w:color w:val="000000"/>
          <w:szCs w:val="18"/>
          <w:lang w:eastAsia="en-AU"/>
        </w:rPr>
        <w:t>The accompanying notes form part of these financial statements.</w:t>
      </w:r>
    </w:p>
    <w:p w14:paraId="393D367B" w14:textId="77777777" w:rsidR="00BC5219" w:rsidRPr="008A2B8F" w:rsidRDefault="00BC5219" w:rsidP="00BC5219">
      <w:pPr>
        <w:spacing w:line="259" w:lineRule="auto"/>
        <w:rPr>
          <w:rFonts w:ascii="Meta Pro" w:eastAsia="Times New Roman" w:hAnsi="Meta Pro"/>
          <w:i/>
          <w:iCs/>
          <w:color w:val="000000"/>
          <w:szCs w:val="18"/>
          <w:lang w:eastAsia="en-AU"/>
        </w:rPr>
      </w:pPr>
    </w:p>
    <w:p w14:paraId="7C5FE5EB" w14:textId="77777777" w:rsidR="00BC5219" w:rsidRPr="008A2B8F" w:rsidRDefault="00BC5219" w:rsidP="00BC5219">
      <w:pPr>
        <w:spacing w:line="259" w:lineRule="auto"/>
        <w:rPr>
          <w:rFonts w:ascii="Meta Pro" w:eastAsia="Times New Roman" w:hAnsi="Meta Pro"/>
          <w:i/>
          <w:iCs/>
          <w:color w:val="000000"/>
          <w:szCs w:val="18"/>
          <w:lang w:eastAsia="en-AU"/>
        </w:rPr>
        <w:sectPr w:rsidR="00BC5219" w:rsidRPr="008A2B8F" w:rsidSect="00766F2A">
          <w:footerReference w:type="default" r:id="rId82"/>
          <w:pgSz w:w="11906" w:h="16838"/>
          <w:pgMar w:top="1701" w:right="851" w:bottom="1134" w:left="851" w:header="454" w:footer="454" w:gutter="0"/>
          <w:pgNumType w:start="1"/>
          <w:cols w:space="708"/>
          <w:docGrid w:linePitch="360"/>
        </w:sectPr>
      </w:pPr>
    </w:p>
    <w:p w14:paraId="06047564" w14:textId="77777777" w:rsidR="00BC5219" w:rsidRPr="008A2B8F" w:rsidRDefault="00BC5219" w:rsidP="00BC5219">
      <w:pPr>
        <w:spacing w:after="160" w:line="259" w:lineRule="auto"/>
        <w:rPr>
          <w:rFonts w:ascii="Meta Pro" w:hAnsi="Meta Pro"/>
          <w:lang w:eastAsia="en-AU"/>
        </w:rPr>
      </w:pPr>
      <w:r w:rsidRPr="008A2B8F">
        <w:rPr>
          <w:rFonts w:ascii="Meta Pro" w:hAnsi="Meta Pro"/>
          <w:lang w:eastAsia="en-AU"/>
        </w:rPr>
        <w:br w:type="page"/>
      </w:r>
    </w:p>
    <w:p w14:paraId="74182B1B"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bookmarkStart w:id="40" w:name="_Hlk140215414"/>
      <w:r w:rsidRPr="008A2B8F">
        <w:rPr>
          <w:rFonts w:ascii="Meta Pro" w:eastAsia="Times New Roman" w:hAnsi="Meta Pro"/>
          <w:i/>
          <w:iCs/>
          <w:color w:val="000000" w:themeColor="text1"/>
          <w:lang w:eastAsia="en-AU"/>
        </w:rPr>
        <w:lastRenderedPageBreak/>
        <w:t>Department of Transport and Main Roads</w:t>
      </w:r>
    </w:p>
    <w:p w14:paraId="5E3AAA56"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Statement of financial position</w:t>
      </w:r>
    </w:p>
    <w:p w14:paraId="0BA58514"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as at 30 June 2023</w:t>
      </w:r>
    </w:p>
    <w:bookmarkEnd w:id="40"/>
    <w:p w14:paraId="67EF0FF4" w14:textId="77777777" w:rsidR="00BC5219" w:rsidRPr="009C55C2" w:rsidRDefault="00BC5219" w:rsidP="00BC5219">
      <w:pPr>
        <w:spacing w:line="180" w:lineRule="auto"/>
        <w:rPr>
          <w:rFonts w:ascii="Meta Pro" w:hAnsi="Meta Pro" w:cstheme="minorBidi"/>
        </w:rPr>
      </w:pPr>
    </w:p>
    <w:tbl>
      <w:tblPr>
        <w:tblW w:w="0" w:type="auto"/>
        <w:tblCellMar>
          <w:left w:w="0" w:type="dxa"/>
        </w:tblCellMar>
        <w:tblLook w:val="04A0" w:firstRow="1" w:lastRow="0" w:firstColumn="1" w:lastColumn="0" w:noHBand="0" w:noVBand="1"/>
      </w:tblPr>
      <w:tblGrid>
        <w:gridCol w:w="224"/>
        <w:gridCol w:w="4998"/>
        <w:gridCol w:w="1029"/>
        <w:gridCol w:w="223"/>
        <w:gridCol w:w="1522"/>
        <w:gridCol w:w="224"/>
        <w:gridCol w:w="1522"/>
        <w:gridCol w:w="8"/>
      </w:tblGrid>
      <w:tr w:rsidR="00BC5219" w:rsidRPr="009C55C2" w14:paraId="48B8BFF6" w14:textId="77777777" w:rsidTr="00E83802">
        <w:trPr>
          <w:gridAfter w:val="1"/>
          <w:wAfter w:w="8" w:type="dxa"/>
          <w:trHeight w:val="240"/>
        </w:trPr>
        <w:tc>
          <w:tcPr>
            <w:tcW w:w="216" w:type="dxa"/>
            <w:tcBorders>
              <w:top w:val="nil"/>
              <w:left w:val="nil"/>
              <w:bottom w:val="nil"/>
              <w:right w:val="nil"/>
            </w:tcBorders>
            <w:shd w:val="clear" w:color="auto" w:fill="auto"/>
            <w:noWrap/>
            <w:vAlign w:val="center"/>
            <w:hideMark/>
          </w:tcPr>
          <w:p w14:paraId="5943EC9D" w14:textId="77777777" w:rsidR="00BC5219" w:rsidRPr="009C55C2" w:rsidRDefault="00BC5219" w:rsidP="00E83802">
            <w:pPr>
              <w:rPr>
                <w:rFonts w:ascii="Meta Pro" w:eastAsia="Times New Roman" w:hAnsi="Meta Pro" w:cs="Times New Roman"/>
                <w:sz w:val="24"/>
                <w:szCs w:val="24"/>
                <w:lang w:eastAsia="en-AU"/>
              </w:rPr>
            </w:pPr>
          </w:p>
        </w:tc>
        <w:tc>
          <w:tcPr>
            <w:tcW w:w="4990" w:type="dxa"/>
            <w:tcBorders>
              <w:top w:val="nil"/>
              <w:left w:val="nil"/>
              <w:bottom w:val="nil"/>
              <w:right w:val="nil"/>
            </w:tcBorders>
            <w:shd w:val="clear" w:color="auto" w:fill="auto"/>
            <w:noWrap/>
            <w:vAlign w:val="center"/>
            <w:hideMark/>
          </w:tcPr>
          <w:p w14:paraId="1DD92F3C" w14:textId="77777777" w:rsidR="00BC5219" w:rsidRPr="009C55C2" w:rsidRDefault="00BC5219" w:rsidP="00E83802">
            <w:pPr>
              <w:rPr>
                <w:rFonts w:ascii="Meta Pro" w:eastAsia="Times New Roman" w:hAnsi="Meta Pro" w:cs="Times New Roman"/>
                <w:sz w:val="20"/>
                <w:szCs w:val="20"/>
                <w:lang w:eastAsia="en-AU"/>
              </w:rPr>
            </w:pPr>
          </w:p>
        </w:tc>
        <w:tc>
          <w:tcPr>
            <w:tcW w:w="1021" w:type="dxa"/>
            <w:tcBorders>
              <w:top w:val="nil"/>
              <w:left w:val="nil"/>
              <w:bottom w:val="nil"/>
              <w:right w:val="nil"/>
            </w:tcBorders>
            <w:shd w:val="clear" w:color="auto" w:fill="auto"/>
            <w:noWrap/>
            <w:vAlign w:val="center"/>
            <w:hideMark/>
          </w:tcPr>
          <w:p w14:paraId="2FF5CF5D" w14:textId="77777777" w:rsidR="00BC5219" w:rsidRPr="009C55C2" w:rsidRDefault="00BC5219" w:rsidP="00E83802">
            <w:pPr>
              <w:jc w:val="center"/>
              <w:rPr>
                <w:rFonts w:ascii="Meta Pro" w:eastAsia="Times New Roman" w:hAnsi="Meta Pro"/>
                <w:b/>
                <w:bCs/>
                <w:color w:val="000000"/>
                <w:lang w:eastAsia="en-AU"/>
              </w:rPr>
            </w:pPr>
            <w:r w:rsidRPr="009C55C2">
              <w:rPr>
                <w:rFonts w:ascii="Meta Pro" w:eastAsia="Times New Roman" w:hAnsi="Meta Pro"/>
                <w:b/>
                <w:bCs/>
                <w:color w:val="000000"/>
                <w:lang w:eastAsia="en-AU"/>
              </w:rPr>
              <w:t>Note</w:t>
            </w:r>
          </w:p>
        </w:tc>
        <w:tc>
          <w:tcPr>
            <w:tcW w:w="215" w:type="dxa"/>
            <w:tcBorders>
              <w:top w:val="nil"/>
              <w:left w:val="nil"/>
              <w:bottom w:val="nil"/>
              <w:right w:val="nil"/>
            </w:tcBorders>
            <w:shd w:val="clear" w:color="auto" w:fill="auto"/>
            <w:noWrap/>
            <w:vAlign w:val="center"/>
            <w:hideMark/>
          </w:tcPr>
          <w:p w14:paraId="0420EFF7" w14:textId="77777777" w:rsidR="00BC5219" w:rsidRPr="009C55C2" w:rsidRDefault="00BC5219" w:rsidP="00E83802">
            <w:pPr>
              <w:jc w:val="center"/>
              <w:rPr>
                <w:rFonts w:ascii="Meta Pro" w:eastAsia="Times New Roman" w:hAnsi="Meta Pro"/>
                <w:b/>
                <w:bCs/>
                <w:color w:val="000000"/>
                <w:lang w:eastAsia="en-AU"/>
              </w:rPr>
            </w:pPr>
          </w:p>
        </w:tc>
        <w:tc>
          <w:tcPr>
            <w:tcW w:w="1514" w:type="dxa"/>
            <w:tcBorders>
              <w:top w:val="nil"/>
              <w:left w:val="nil"/>
              <w:bottom w:val="nil"/>
              <w:right w:val="nil"/>
            </w:tcBorders>
            <w:shd w:val="clear" w:color="auto" w:fill="auto"/>
            <w:noWrap/>
            <w:vAlign w:val="center"/>
            <w:hideMark/>
          </w:tcPr>
          <w:p w14:paraId="7EA28DA6" w14:textId="77777777" w:rsidR="00BC5219" w:rsidRPr="009C55C2" w:rsidRDefault="00BC5219" w:rsidP="00E83802">
            <w:pPr>
              <w:jc w:val="center"/>
              <w:rPr>
                <w:rFonts w:ascii="Meta Pro" w:eastAsia="Times New Roman" w:hAnsi="Meta Pro"/>
                <w:b/>
                <w:bCs/>
                <w:lang w:eastAsia="en-AU"/>
              </w:rPr>
            </w:pPr>
            <w:r w:rsidRPr="009C55C2">
              <w:rPr>
                <w:rFonts w:ascii="Meta Pro" w:eastAsia="Times New Roman" w:hAnsi="Meta Pro"/>
                <w:b/>
                <w:bCs/>
                <w:lang w:eastAsia="en-AU"/>
              </w:rPr>
              <w:t>2023</w:t>
            </w:r>
          </w:p>
        </w:tc>
        <w:tc>
          <w:tcPr>
            <w:tcW w:w="216" w:type="dxa"/>
            <w:tcBorders>
              <w:top w:val="nil"/>
              <w:left w:val="nil"/>
              <w:bottom w:val="nil"/>
              <w:right w:val="nil"/>
            </w:tcBorders>
            <w:shd w:val="clear" w:color="auto" w:fill="auto"/>
            <w:noWrap/>
            <w:vAlign w:val="center"/>
            <w:hideMark/>
          </w:tcPr>
          <w:p w14:paraId="3D211EFA" w14:textId="77777777" w:rsidR="00BC5219" w:rsidRPr="009C55C2" w:rsidRDefault="00BC5219" w:rsidP="00E83802">
            <w:pPr>
              <w:jc w:val="center"/>
              <w:rPr>
                <w:rFonts w:ascii="Meta Pro" w:eastAsia="Times New Roman" w:hAnsi="Meta Pro"/>
                <w:b/>
                <w:bCs/>
                <w:lang w:eastAsia="en-AU"/>
              </w:rPr>
            </w:pPr>
          </w:p>
        </w:tc>
        <w:tc>
          <w:tcPr>
            <w:tcW w:w="1514" w:type="dxa"/>
            <w:tcBorders>
              <w:top w:val="nil"/>
              <w:left w:val="nil"/>
              <w:bottom w:val="nil"/>
              <w:right w:val="nil"/>
            </w:tcBorders>
            <w:shd w:val="clear" w:color="auto" w:fill="auto"/>
            <w:noWrap/>
            <w:vAlign w:val="center"/>
            <w:hideMark/>
          </w:tcPr>
          <w:p w14:paraId="3AAE3875" w14:textId="77777777" w:rsidR="00BC5219" w:rsidRPr="009C55C2" w:rsidRDefault="00BC5219" w:rsidP="00E83802">
            <w:pPr>
              <w:jc w:val="center"/>
              <w:rPr>
                <w:rFonts w:ascii="Meta Pro" w:eastAsia="Times New Roman" w:hAnsi="Meta Pro"/>
                <w:b/>
                <w:bCs/>
                <w:lang w:eastAsia="en-AU"/>
              </w:rPr>
            </w:pPr>
            <w:r w:rsidRPr="009C55C2">
              <w:rPr>
                <w:rFonts w:ascii="Meta Pro" w:eastAsia="Times New Roman" w:hAnsi="Meta Pro"/>
                <w:b/>
                <w:bCs/>
                <w:lang w:eastAsia="en-AU"/>
              </w:rPr>
              <w:t>2022</w:t>
            </w:r>
          </w:p>
        </w:tc>
      </w:tr>
      <w:tr w:rsidR="00BC5219" w:rsidRPr="009C55C2" w14:paraId="143327BB" w14:textId="77777777" w:rsidTr="00E83802">
        <w:trPr>
          <w:trHeight w:val="240"/>
        </w:trPr>
        <w:tc>
          <w:tcPr>
            <w:tcW w:w="4990" w:type="dxa"/>
            <w:gridSpan w:val="2"/>
            <w:tcBorders>
              <w:top w:val="nil"/>
              <w:left w:val="nil"/>
              <w:bottom w:val="nil"/>
              <w:right w:val="nil"/>
            </w:tcBorders>
            <w:shd w:val="clear" w:color="auto" w:fill="auto"/>
            <w:noWrap/>
            <w:vAlign w:val="center"/>
            <w:hideMark/>
          </w:tcPr>
          <w:p w14:paraId="72A929F0" w14:textId="77777777" w:rsidR="00BC5219" w:rsidRPr="009C55C2" w:rsidRDefault="00BC5219" w:rsidP="00E83802">
            <w:pPr>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Assets</w:t>
            </w:r>
          </w:p>
        </w:tc>
        <w:tc>
          <w:tcPr>
            <w:tcW w:w="1021" w:type="dxa"/>
            <w:tcBorders>
              <w:top w:val="nil"/>
              <w:left w:val="nil"/>
              <w:bottom w:val="nil"/>
              <w:right w:val="nil"/>
            </w:tcBorders>
            <w:shd w:val="clear" w:color="auto" w:fill="auto"/>
            <w:noWrap/>
            <w:vAlign w:val="center"/>
            <w:hideMark/>
          </w:tcPr>
          <w:p w14:paraId="5EBAD9C4" w14:textId="77777777" w:rsidR="00BC5219" w:rsidRPr="009C55C2" w:rsidRDefault="00BC5219" w:rsidP="00E83802">
            <w:pPr>
              <w:rPr>
                <w:rFonts w:ascii="Meta Pro" w:eastAsia="Times New Roman" w:hAnsi="Meta Pro"/>
                <w:b/>
                <w:bCs/>
                <w:color w:val="000000"/>
                <w:szCs w:val="18"/>
                <w:lang w:eastAsia="en-AU"/>
              </w:rPr>
            </w:pPr>
          </w:p>
        </w:tc>
        <w:tc>
          <w:tcPr>
            <w:tcW w:w="215" w:type="dxa"/>
            <w:tcBorders>
              <w:top w:val="nil"/>
              <w:left w:val="nil"/>
              <w:bottom w:val="nil"/>
              <w:right w:val="nil"/>
            </w:tcBorders>
            <w:shd w:val="clear" w:color="auto" w:fill="auto"/>
            <w:noWrap/>
            <w:vAlign w:val="center"/>
            <w:hideMark/>
          </w:tcPr>
          <w:p w14:paraId="41411E87" w14:textId="77777777" w:rsidR="00BC5219" w:rsidRPr="009C55C2"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auto" w:fill="auto"/>
            <w:noWrap/>
            <w:vAlign w:val="center"/>
            <w:hideMark/>
          </w:tcPr>
          <w:p w14:paraId="7A3CF137" w14:textId="77777777" w:rsidR="00BC5219" w:rsidRPr="009C55C2" w:rsidRDefault="00BC5219" w:rsidP="00E83802">
            <w:pPr>
              <w:jc w:val="center"/>
              <w:rPr>
                <w:rFonts w:ascii="Meta Pro" w:eastAsia="Times New Roman" w:hAnsi="Meta Pro"/>
                <w:b/>
                <w:bCs/>
                <w:color w:val="000000"/>
                <w:lang w:eastAsia="en-AU"/>
              </w:rPr>
            </w:pPr>
            <w:r w:rsidRPr="009C55C2">
              <w:rPr>
                <w:rFonts w:ascii="Meta Pro" w:eastAsia="Times New Roman" w:hAnsi="Meta Pro"/>
                <w:b/>
                <w:bCs/>
                <w:color w:val="000000"/>
                <w:lang w:eastAsia="en-AU"/>
              </w:rPr>
              <w:t>$'000</w:t>
            </w:r>
          </w:p>
        </w:tc>
        <w:tc>
          <w:tcPr>
            <w:tcW w:w="216" w:type="dxa"/>
            <w:tcBorders>
              <w:top w:val="nil"/>
              <w:left w:val="nil"/>
              <w:bottom w:val="nil"/>
              <w:right w:val="nil"/>
            </w:tcBorders>
            <w:shd w:val="clear" w:color="auto" w:fill="auto"/>
            <w:noWrap/>
            <w:vAlign w:val="center"/>
            <w:hideMark/>
          </w:tcPr>
          <w:p w14:paraId="0EFEB276" w14:textId="77777777" w:rsidR="00BC5219" w:rsidRPr="009C55C2" w:rsidRDefault="00BC5219" w:rsidP="00E83802">
            <w:pPr>
              <w:jc w:val="center"/>
              <w:rPr>
                <w:rFonts w:ascii="Meta Pro" w:eastAsia="Times New Roman" w:hAnsi="Meta Pro"/>
                <w:b/>
                <w:bCs/>
                <w:color w:val="000000"/>
                <w:lang w:eastAsia="en-AU"/>
              </w:rPr>
            </w:pPr>
          </w:p>
        </w:tc>
        <w:tc>
          <w:tcPr>
            <w:tcW w:w="1514" w:type="dxa"/>
            <w:gridSpan w:val="2"/>
            <w:tcBorders>
              <w:top w:val="nil"/>
              <w:left w:val="nil"/>
              <w:bottom w:val="nil"/>
              <w:right w:val="nil"/>
            </w:tcBorders>
            <w:shd w:val="clear" w:color="auto" w:fill="auto"/>
            <w:noWrap/>
            <w:vAlign w:val="center"/>
            <w:hideMark/>
          </w:tcPr>
          <w:p w14:paraId="5C11067F" w14:textId="77777777" w:rsidR="00BC5219" w:rsidRPr="009C55C2" w:rsidRDefault="00BC5219" w:rsidP="00E83802">
            <w:pPr>
              <w:jc w:val="center"/>
              <w:rPr>
                <w:rFonts w:ascii="Meta Pro" w:eastAsia="Times New Roman" w:hAnsi="Meta Pro"/>
                <w:b/>
                <w:bCs/>
                <w:color w:val="000000"/>
                <w:lang w:eastAsia="en-AU"/>
              </w:rPr>
            </w:pPr>
            <w:r w:rsidRPr="009C55C2">
              <w:rPr>
                <w:rFonts w:ascii="Meta Pro" w:eastAsia="Times New Roman" w:hAnsi="Meta Pro"/>
                <w:b/>
                <w:bCs/>
                <w:color w:val="000000"/>
                <w:lang w:eastAsia="en-AU"/>
              </w:rPr>
              <w:t>$'000</w:t>
            </w:r>
          </w:p>
        </w:tc>
      </w:tr>
      <w:tr w:rsidR="00BC5219" w:rsidRPr="009C55C2" w14:paraId="3D77C38A" w14:textId="77777777" w:rsidTr="00E83802">
        <w:trPr>
          <w:trHeight w:val="240"/>
        </w:trPr>
        <w:tc>
          <w:tcPr>
            <w:tcW w:w="4990" w:type="dxa"/>
            <w:gridSpan w:val="2"/>
            <w:tcBorders>
              <w:top w:val="nil"/>
              <w:left w:val="nil"/>
              <w:bottom w:val="nil"/>
              <w:right w:val="nil"/>
            </w:tcBorders>
            <w:shd w:val="clear" w:color="auto" w:fill="auto"/>
            <w:noWrap/>
            <w:vAlign w:val="center"/>
            <w:hideMark/>
          </w:tcPr>
          <w:p w14:paraId="0987F280" w14:textId="77777777" w:rsidR="00BC5219" w:rsidRPr="009C55C2" w:rsidRDefault="00BC5219" w:rsidP="00E83802">
            <w:pPr>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Current assets</w:t>
            </w:r>
          </w:p>
        </w:tc>
        <w:tc>
          <w:tcPr>
            <w:tcW w:w="1021" w:type="dxa"/>
            <w:tcBorders>
              <w:top w:val="nil"/>
              <w:left w:val="nil"/>
              <w:bottom w:val="nil"/>
              <w:right w:val="nil"/>
            </w:tcBorders>
            <w:shd w:val="clear" w:color="auto" w:fill="auto"/>
            <w:noWrap/>
            <w:vAlign w:val="center"/>
            <w:hideMark/>
          </w:tcPr>
          <w:p w14:paraId="3F6EC981" w14:textId="77777777" w:rsidR="00BC5219" w:rsidRPr="009C55C2" w:rsidRDefault="00BC5219" w:rsidP="00E83802">
            <w:pPr>
              <w:rPr>
                <w:rFonts w:ascii="Meta Pro" w:eastAsia="Times New Roman" w:hAnsi="Meta Pro"/>
                <w:b/>
                <w:bCs/>
                <w:color w:val="000000"/>
                <w:szCs w:val="18"/>
                <w:lang w:eastAsia="en-AU"/>
              </w:rPr>
            </w:pPr>
          </w:p>
        </w:tc>
        <w:tc>
          <w:tcPr>
            <w:tcW w:w="215" w:type="dxa"/>
            <w:tcBorders>
              <w:top w:val="nil"/>
              <w:left w:val="nil"/>
              <w:bottom w:val="nil"/>
              <w:right w:val="nil"/>
            </w:tcBorders>
            <w:shd w:val="clear" w:color="auto" w:fill="auto"/>
            <w:noWrap/>
            <w:vAlign w:val="center"/>
            <w:hideMark/>
          </w:tcPr>
          <w:p w14:paraId="18352BC3" w14:textId="77777777" w:rsidR="00BC5219" w:rsidRPr="009C55C2"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auto" w:fill="auto"/>
            <w:noWrap/>
            <w:vAlign w:val="center"/>
            <w:hideMark/>
          </w:tcPr>
          <w:p w14:paraId="4ADC9FC5" w14:textId="77777777" w:rsidR="00BC5219" w:rsidRPr="009C55C2" w:rsidRDefault="00BC5219" w:rsidP="00E83802">
            <w:pPr>
              <w:jc w:val="cente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0CEA30CC" w14:textId="77777777" w:rsidR="00BC5219" w:rsidRPr="009C55C2" w:rsidRDefault="00BC5219" w:rsidP="00E83802">
            <w:pPr>
              <w:rPr>
                <w:rFonts w:ascii="Meta Pro" w:eastAsia="Times New Roman" w:hAnsi="Meta Pro" w:cs="Times New Roman"/>
                <w:sz w:val="20"/>
                <w:szCs w:val="20"/>
                <w:lang w:eastAsia="en-AU"/>
              </w:rPr>
            </w:pPr>
          </w:p>
        </w:tc>
        <w:tc>
          <w:tcPr>
            <w:tcW w:w="1514" w:type="dxa"/>
            <w:gridSpan w:val="2"/>
            <w:tcBorders>
              <w:top w:val="nil"/>
              <w:left w:val="nil"/>
              <w:bottom w:val="nil"/>
              <w:right w:val="nil"/>
            </w:tcBorders>
            <w:shd w:val="clear" w:color="auto" w:fill="auto"/>
            <w:noWrap/>
            <w:vAlign w:val="center"/>
            <w:hideMark/>
          </w:tcPr>
          <w:p w14:paraId="0F5EA8A0" w14:textId="77777777" w:rsidR="00BC5219" w:rsidRPr="009C55C2" w:rsidRDefault="00BC5219" w:rsidP="00E83802">
            <w:pPr>
              <w:rPr>
                <w:rFonts w:ascii="Meta Pro" w:eastAsia="Times New Roman" w:hAnsi="Meta Pro" w:cs="Times New Roman"/>
                <w:sz w:val="20"/>
                <w:szCs w:val="20"/>
                <w:lang w:eastAsia="en-AU"/>
              </w:rPr>
            </w:pPr>
          </w:p>
        </w:tc>
      </w:tr>
      <w:tr w:rsidR="00BC5219" w:rsidRPr="009C55C2" w14:paraId="1396E0D3" w14:textId="77777777" w:rsidTr="00E83802">
        <w:trPr>
          <w:gridAfter w:val="1"/>
          <w:wAfter w:w="8" w:type="dxa"/>
          <w:trHeight w:val="240"/>
        </w:trPr>
        <w:tc>
          <w:tcPr>
            <w:tcW w:w="216" w:type="dxa"/>
            <w:tcBorders>
              <w:top w:val="nil"/>
              <w:left w:val="nil"/>
              <w:bottom w:val="nil"/>
              <w:right w:val="nil"/>
            </w:tcBorders>
            <w:shd w:val="clear" w:color="auto" w:fill="auto"/>
            <w:noWrap/>
            <w:vAlign w:val="center"/>
            <w:hideMark/>
          </w:tcPr>
          <w:p w14:paraId="36954E90" w14:textId="77777777" w:rsidR="00BC5219" w:rsidRPr="009C55C2" w:rsidRDefault="00BC5219" w:rsidP="00E83802">
            <w:pPr>
              <w:rPr>
                <w:rFonts w:ascii="Meta Pro" w:eastAsia="Times New Roman" w:hAnsi="Meta Pro" w:cs="Times New Roman"/>
                <w:sz w:val="20"/>
                <w:szCs w:val="20"/>
                <w:lang w:eastAsia="en-AU"/>
              </w:rPr>
            </w:pPr>
          </w:p>
        </w:tc>
        <w:tc>
          <w:tcPr>
            <w:tcW w:w="4990" w:type="dxa"/>
            <w:tcBorders>
              <w:top w:val="nil"/>
              <w:left w:val="nil"/>
              <w:bottom w:val="nil"/>
              <w:right w:val="nil"/>
            </w:tcBorders>
            <w:shd w:val="clear" w:color="auto" w:fill="auto"/>
            <w:noWrap/>
            <w:vAlign w:val="center"/>
            <w:hideMark/>
          </w:tcPr>
          <w:p w14:paraId="18F3C474"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Cash</w:t>
            </w:r>
          </w:p>
        </w:tc>
        <w:tc>
          <w:tcPr>
            <w:tcW w:w="1021" w:type="dxa"/>
            <w:tcBorders>
              <w:top w:val="nil"/>
              <w:left w:val="nil"/>
              <w:bottom w:val="nil"/>
              <w:right w:val="nil"/>
            </w:tcBorders>
            <w:shd w:val="clear" w:color="auto" w:fill="auto"/>
            <w:noWrap/>
            <w:vAlign w:val="center"/>
            <w:hideMark/>
          </w:tcPr>
          <w:p w14:paraId="5AC45D52" w14:textId="77777777" w:rsidR="00BC5219" w:rsidRPr="009C55C2" w:rsidRDefault="00BC5219" w:rsidP="00E83802">
            <w:pPr>
              <w:rPr>
                <w:rFonts w:ascii="Meta Pro" w:eastAsia="Times New Roman" w:hAnsi="Meta Pro"/>
                <w:color w:val="000000"/>
                <w:szCs w:val="18"/>
                <w:lang w:eastAsia="en-AU"/>
              </w:rPr>
            </w:pPr>
          </w:p>
        </w:tc>
        <w:tc>
          <w:tcPr>
            <w:tcW w:w="215" w:type="dxa"/>
            <w:tcBorders>
              <w:top w:val="nil"/>
              <w:left w:val="nil"/>
              <w:bottom w:val="nil"/>
              <w:right w:val="nil"/>
            </w:tcBorders>
            <w:shd w:val="clear" w:color="auto" w:fill="auto"/>
            <w:noWrap/>
            <w:vAlign w:val="center"/>
            <w:hideMark/>
          </w:tcPr>
          <w:p w14:paraId="3A3D020F" w14:textId="77777777" w:rsidR="00BC5219" w:rsidRPr="009C55C2"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5184C92C"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670,102 </w:t>
            </w:r>
          </w:p>
        </w:tc>
        <w:tc>
          <w:tcPr>
            <w:tcW w:w="216" w:type="dxa"/>
            <w:tcBorders>
              <w:top w:val="nil"/>
              <w:left w:val="nil"/>
              <w:bottom w:val="nil"/>
              <w:right w:val="nil"/>
            </w:tcBorders>
            <w:shd w:val="clear" w:color="auto" w:fill="auto"/>
            <w:noWrap/>
            <w:vAlign w:val="center"/>
            <w:hideMark/>
          </w:tcPr>
          <w:p w14:paraId="6E268103" w14:textId="77777777" w:rsidR="00BC5219" w:rsidRPr="009C55C2"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56303CBC"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245,430 </w:t>
            </w:r>
          </w:p>
        </w:tc>
      </w:tr>
      <w:tr w:rsidR="00BC5219" w:rsidRPr="009C55C2" w14:paraId="500A38BE" w14:textId="77777777" w:rsidTr="00E83802">
        <w:trPr>
          <w:gridAfter w:val="1"/>
          <w:wAfter w:w="8" w:type="dxa"/>
          <w:trHeight w:val="240"/>
        </w:trPr>
        <w:tc>
          <w:tcPr>
            <w:tcW w:w="216" w:type="dxa"/>
            <w:tcBorders>
              <w:top w:val="nil"/>
              <w:left w:val="nil"/>
              <w:bottom w:val="nil"/>
              <w:right w:val="nil"/>
            </w:tcBorders>
            <w:shd w:val="clear" w:color="auto" w:fill="auto"/>
            <w:noWrap/>
            <w:vAlign w:val="center"/>
            <w:hideMark/>
          </w:tcPr>
          <w:p w14:paraId="1E3BC10B" w14:textId="77777777" w:rsidR="00BC5219" w:rsidRPr="009C55C2" w:rsidRDefault="00BC5219" w:rsidP="00E83802">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756973EC"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Receivables</w:t>
            </w:r>
          </w:p>
        </w:tc>
        <w:tc>
          <w:tcPr>
            <w:tcW w:w="1021" w:type="dxa"/>
            <w:tcBorders>
              <w:top w:val="nil"/>
              <w:left w:val="nil"/>
              <w:bottom w:val="nil"/>
              <w:right w:val="nil"/>
            </w:tcBorders>
            <w:shd w:val="clear" w:color="auto" w:fill="auto"/>
            <w:noWrap/>
            <w:vAlign w:val="center"/>
            <w:hideMark/>
          </w:tcPr>
          <w:p w14:paraId="69911606"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12</w:t>
            </w:r>
          </w:p>
        </w:tc>
        <w:tc>
          <w:tcPr>
            <w:tcW w:w="215" w:type="dxa"/>
            <w:tcBorders>
              <w:top w:val="nil"/>
              <w:left w:val="nil"/>
              <w:bottom w:val="nil"/>
              <w:right w:val="nil"/>
            </w:tcBorders>
            <w:shd w:val="clear" w:color="auto" w:fill="auto"/>
            <w:noWrap/>
            <w:vAlign w:val="center"/>
            <w:hideMark/>
          </w:tcPr>
          <w:p w14:paraId="7E06D697" w14:textId="77777777" w:rsidR="00BC5219" w:rsidRPr="009C55C2" w:rsidRDefault="00BC5219" w:rsidP="00E83802">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67636D11"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245,064 </w:t>
            </w:r>
          </w:p>
        </w:tc>
        <w:tc>
          <w:tcPr>
            <w:tcW w:w="216" w:type="dxa"/>
            <w:tcBorders>
              <w:top w:val="nil"/>
              <w:left w:val="nil"/>
              <w:bottom w:val="nil"/>
              <w:right w:val="nil"/>
            </w:tcBorders>
            <w:shd w:val="clear" w:color="auto" w:fill="auto"/>
            <w:noWrap/>
            <w:vAlign w:val="center"/>
            <w:hideMark/>
          </w:tcPr>
          <w:p w14:paraId="6C5C1C16" w14:textId="77777777" w:rsidR="00BC5219" w:rsidRPr="009C55C2"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24AE5BF3"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226,713 </w:t>
            </w:r>
          </w:p>
        </w:tc>
      </w:tr>
      <w:tr w:rsidR="00BC5219" w:rsidRPr="009C55C2" w14:paraId="025C6176" w14:textId="77777777" w:rsidTr="00E83802">
        <w:trPr>
          <w:gridAfter w:val="1"/>
          <w:wAfter w:w="8" w:type="dxa"/>
          <w:trHeight w:val="240"/>
        </w:trPr>
        <w:tc>
          <w:tcPr>
            <w:tcW w:w="216" w:type="dxa"/>
            <w:tcBorders>
              <w:top w:val="nil"/>
              <w:left w:val="nil"/>
              <w:bottom w:val="nil"/>
              <w:right w:val="nil"/>
            </w:tcBorders>
            <w:shd w:val="clear" w:color="auto" w:fill="auto"/>
            <w:noWrap/>
            <w:vAlign w:val="center"/>
            <w:hideMark/>
          </w:tcPr>
          <w:p w14:paraId="332FA518" w14:textId="77777777" w:rsidR="00BC5219" w:rsidRPr="009C55C2" w:rsidRDefault="00BC5219" w:rsidP="00E83802">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45DD5BEA"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Inventories</w:t>
            </w:r>
          </w:p>
        </w:tc>
        <w:tc>
          <w:tcPr>
            <w:tcW w:w="1021" w:type="dxa"/>
            <w:tcBorders>
              <w:top w:val="nil"/>
              <w:left w:val="nil"/>
              <w:bottom w:val="nil"/>
              <w:right w:val="nil"/>
            </w:tcBorders>
            <w:shd w:val="clear" w:color="auto" w:fill="auto"/>
            <w:noWrap/>
            <w:vAlign w:val="center"/>
            <w:hideMark/>
          </w:tcPr>
          <w:p w14:paraId="581C03D0" w14:textId="77777777" w:rsidR="00BC5219" w:rsidRPr="009C55C2" w:rsidRDefault="00BC5219" w:rsidP="00E83802">
            <w:pPr>
              <w:rPr>
                <w:rFonts w:ascii="Meta Pro" w:eastAsia="Times New Roman" w:hAnsi="Meta Pro"/>
                <w:color w:val="000000"/>
                <w:szCs w:val="18"/>
                <w:lang w:eastAsia="en-AU"/>
              </w:rPr>
            </w:pPr>
          </w:p>
        </w:tc>
        <w:tc>
          <w:tcPr>
            <w:tcW w:w="215" w:type="dxa"/>
            <w:tcBorders>
              <w:top w:val="nil"/>
              <w:left w:val="nil"/>
              <w:bottom w:val="nil"/>
              <w:right w:val="nil"/>
            </w:tcBorders>
            <w:shd w:val="clear" w:color="auto" w:fill="auto"/>
            <w:noWrap/>
            <w:vAlign w:val="center"/>
            <w:hideMark/>
          </w:tcPr>
          <w:p w14:paraId="45CB1A4E" w14:textId="77777777" w:rsidR="00BC5219" w:rsidRPr="009C55C2"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1BBCF0B7"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21,716 </w:t>
            </w:r>
          </w:p>
        </w:tc>
        <w:tc>
          <w:tcPr>
            <w:tcW w:w="216" w:type="dxa"/>
            <w:tcBorders>
              <w:top w:val="nil"/>
              <w:left w:val="nil"/>
              <w:bottom w:val="nil"/>
              <w:right w:val="nil"/>
            </w:tcBorders>
            <w:shd w:val="clear" w:color="auto" w:fill="auto"/>
            <w:noWrap/>
            <w:vAlign w:val="center"/>
            <w:hideMark/>
          </w:tcPr>
          <w:p w14:paraId="3A6B4FCF" w14:textId="77777777" w:rsidR="00BC5219" w:rsidRPr="009C55C2"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41E17BEF"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17,936 </w:t>
            </w:r>
          </w:p>
        </w:tc>
      </w:tr>
      <w:tr w:rsidR="00BC5219" w:rsidRPr="009C55C2" w14:paraId="50402FAA" w14:textId="77777777" w:rsidTr="00E83802">
        <w:trPr>
          <w:gridAfter w:val="1"/>
          <w:wAfter w:w="8" w:type="dxa"/>
          <w:trHeight w:val="240"/>
        </w:trPr>
        <w:tc>
          <w:tcPr>
            <w:tcW w:w="216" w:type="dxa"/>
            <w:tcBorders>
              <w:top w:val="nil"/>
              <w:left w:val="nil"/>
              <w:bottom w:val="nil"/>
              <w:right w:val="nil"/>
            </w:tcBorders>
            <w:shd w:val="clear" w:color="auto" w:fill="auto"/>
            <w:noWrap/>
            <w:vAlign w:val="center"/>
            <w:hideMark/>
          </w:tcPr>
          <w:p w14:paraId="2D1392FB" w14:textId="77777777" w:rsidR="00BC5219" w:rsidRPr="009C55C2" w:rsidRDefault="00BC5219" w:rsidP="00E83802">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62FA79FB"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Prepayments</w:t>
            </w:r>
          </w:p>
        </w:tc>
        <w:tc>
          <w:tcPr>
            <w:tcW w:w="1021" w:type="dxa"/>
            <w:tcBorders>
              <w:top w:val="nil"/>
              <w:left w:val="nil"/>
              <w:bottom w:val="nil"/>
              <w:right w:val="nil"/>
            </w:tcBorders>
            <w:shd w:val="clear" w:color="auto" w:fill="auto"/>
            <w:noWrap/>
            <w:vAlign w:val="center"/>
            <w:hideMark/>
          </w:tcPr>
          <w:p w14:paraId="3E267803"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13</w:t>
            </w:r>
          </w:p>
        </w:tc>
        <w:tc>
          <w:tcPr>
            <w:tcW w:w="215" w:type="dxa"/>
            <w:tcBorders>
              <w:top w:val="nil"/>
              <w:left w:val="nil"/>
              <w:bottom w:val="nil"/>
              <w:right w:val="nil"/>
            </w:tcBorders>
            <w:shd w:val="clear" w:color="auto" w:fill="auto"/>
            <w:noWrap/>
            <w:vAlign w:val="center"/>
            <w:hideMark/>
          </w:tcPr>
          <w:p w14:paraId="64D6DF28" w14:textId="77777777" w:rsidR="00BC5219" w:rsidRPr="009C55C2" w:rsidRDefault="00BC5219" w:rsidP="00E83802">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223BFA18"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113,085 </w:t>
            </w:r>
          </w:p>
        </w:tc>
        <w:tc>
          <w:tcPr>
            <w:tcW w:w="216" w:type="dxa"/>
            <w:tcBorders>
              <w:top w:val="nil"/>
              <w:left w:val="nil"/>
              <w:bottom w:val="nil"/>
              <w:right w:val="nil"/>
            </w:tcBorders>
            <w:shd w:val="clear" w:color="auto" w:fill="auto"/>
            <w:noWrap/>
            <w:vAlign w:val="center"/>
            <w:hideMark/>
          </w:tcPr>
          <w:p w14:paraId="71F62828" w14:textId="77777777" w:rsidR="00BC5219" w:rsidRPr="009C55C2"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0B6F84A4"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93,791 </w:t>
            </w:r>
          </w:p>
        </w:tc>
      </w:tr>
      <w:tr w:rsidR="00BC5219" w:rsidRPr="009C55C2" w14:paraId="5E45973C" w14:textId="77777777" w:rsidTr="00E83802">
        <w:trPr>
          <w:gridAfter w:val="1"/>
          <w:wAfter w:w="8" w:type="dxa"/>
          <w:trHeight w:val="240"/>
        </w:trPr>
        <w:tc>
          <w:tcPr>
            <w:tcW w:w="216" w:type="dxa"/>
            <w:tcBorders>
              <w:top w:val="nil"/>
              <w:left w:val="nil"/>
              <w:bottom w:val="nil"/>
              <w:right w:val="nil"/>
            </w:tcBorders>
            <w:shd w:val="clear" w:color="auto" w:fill="auto"/>
            <w:noWrap/>
            <w:vAlign w:val="center"/>
            <w:hideMark/>
          </w:tcPr>
          <w:p w14:paraId="49716D6A" w14:textId="77777777" w:rsidR="00BC5219" w:rsidRPr="009C55C2" w:rsidRDefault="00BC5219" w:rsidP="00E83802">
            <w:pPr>
              <w:jc w:val="right"/>
              <w:rPr>
                <w:rFonts w:ascii="Meta Pro" w:eastAsia="Times New Roman" w:hAnsi="Meta Pro"/>
                <w:color w:val="000000"/>
                <w:szCs w:val="18"/>
                <w:lang w:eastAsia="en-AU"/>
              </w:rPr>
            </w:pPr>
          </w:p>
        </w:tc>
        <w:tc>
          <w:tcPr>
            <w:tcW w:w="4990" w:type="dxa"/>
            <w:tcBorders>
              <w:top w:val="nil"/>
              <w:left w:val="nil"/>
              <w:bottom w:val="single" w:sz="4" w:space="0" w:color="auto"/>
              <w:right w:val="nil"/>
            </w:tcBorders>
            <w:shd w:val="clear" w:color="auto" w:fill="auto"/>
            <w:noWrap/>
            <w:vAlign w:val="center"/>
            <w:hideMark/>
          </w:tcPr>
          <w:p w14:paraId="1F7F617D"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Non-current assets classified as held for sale</w:t>
            </w:r>
          </w:p>
        </w:tc>
        <w:tc>
          <w:tcPr>
            <w:tcW w:w="1021" w:type="dxa"/>
            <w:tcBorders>
              <w:top w:val="nil"/>
              <w:left w:val="nil"/>
              <w:bottom w:val="single" w:sz="4" w:space="0" w:color="auto"/>
              <w:right w:val="nil"/>
            </w:tcBorders>
            <w:shd w:val="clear" w:color="auto" w:fill="auto"/>
            <w:noWrap/>
            <w:vAlign w:val="center"/>
            <w:hideMark/>
          </w:tcPr>
          <w:p w14:paraId="74CBB40D"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215" w:type="dxa"/>
            <w:tcBorders>
              <w:top w:val="nil"/>
              <w:left w:val="nil"/>
              <w:bottom w:val="nil"/>
              <w:right w:val="nil"/>
            </w:tcBorders>
            <w:shd w:val="clear" w:color="auto" w:fill="auto"/>
            <w:noWrap/>
            <w:vAlign w:val="center"/>
            <w:hideMark/>
          </w:tcPr>
          <w:p w14:paraId="45C7470A" w14:textId="77777777" w:rsidR="00BC5219" w:rsidRPr="009C55C2" w:rsidRDefault="00BC5219" w:rsidP="00E83802">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08FD2F44"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3,562 </w:t>
            </w:r>
          </w:p>
        </w:tc>
        <w:tc>
          <w:tcPr>
            <w:tcW w:w="216" w:type="dxa"/>
            <w:tcBorders>
              <w:top w:val="nil"/>
              <w:left w:val="nil"/>
              <w:bottom w:val="nil"/>
              <w:right w:val="nil"/>
            </w:tcBorders>
            <w:shd w:val="clear" w:color="auto" w:fill="auto"/>
            <w:noWrap/>
            <w:vAlign w:val="center"/>
            <w:hideMark/>
          </w:tcPr>
          <w:p w14:paraId="740AF501" w14:textId="77777777" w:rsidR="00BC5219" w:rsidRPr="009C55C2"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63661522"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2,824 </w:t>
            </w:r>
          </w:p>
        </w:tc>
      </w:tr>
      <w:tr w:rsidR="00BC5219" w:rsidRPr="009C55C2" w14:paraId="2AA20732" w14:textId="77777777" w:rsidTr="00E83802">
        <w:trPr>
          <w:gridAfter w:val="1"/>
          <w:wAfter w:w="8" w:type="dxa"/>
          <w:trHeight w:val="240"/>
        </w:trPr>
        <w:tc>
          <w:tcPr>
            <w:tcW w:w="216" w:type="dxa"/>
            <w:tcBorders>
              <w:top w:val="single" w:sz="4" w:space="0" w:color="auto"/>
              <w:left w:val="nil"/>
              <w:bottom w:val="nil"/>
              <w:right w:val="nil"/>
            </w:tcBorders>
            <w:shd w:val="clear" w:color="auto" w:fill="auto"/>
            <w:noWrap/>
            <w:vAlign w:val="center"/>
            <w:hideMark/>
          </w:tcPr>
          <w:p w14:paraId="2EC7C97E"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4990" w:type="dxa"/>
            <w:tcBorders>
              <w:top w:val="nil"/>
              <w:left w:val="nil"/>
              <w:bottom w:val="nil"/>
              <w:right w:val="nil"/>
            </w:tcBorders>
            <w:shd w:val="clear" w:color="auto" w:fill="auto"/>
            <w:noWrap/>
            <w:vAlign w:val="center"/>
            <w:hideMark/>
          </w:tcPr>
          <w:p w14:paraId="4189A171" w14:textId="77777777" w:rsidR="00BC5219" w:rsidRPr="009C55C2" w:rsidRDefault="00BC5219" w:rsidP="00E83802">
            <w:pPr>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Total current assets</w:t>
            </w:r>
          </w:p>
        </w:tc>
        <w:tc>
          <w:tcPr>
            <w:tcW w:w="1021" w:type="dxa"/>
            <w:tcBorders>
              <w:top w:val="single" w:sz="4" w:space="0" w:color="auto"/>
              <w:left w:val="nil"/>
              <w:bottom w:val="nil"/>
              <w:right w:val="nil"/>
            </w:tcBorders>
            <w:shd w:val="clear" w:color="auto" w:fill="auto"/>
            <w:noWrap/>
            <w:vAlign w:val="center"/>
            <w:hideMark/>
          </w:tcPr>
          <w:p w14:paraId="58034E81"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215" w:type="dxa"/>
            <w:tcBorders>
              <w:top w:val="single" w:sz="4" w:space="0" w:color="auto"/>
              <w:left w:val="nil"/>
              <w:bottom w:val="nil"/>
              <w:right w:val="nil"/>
            </w:tcBorders>
            <w:shd w:val="clear" w:color="auto" w:fill="auto"/>
            <w:noWrap/>
            <w:vAlign w:val="center"/>
            <w:hideMark/>
          </w:tcPr>
          <w:p w14:paraId="11E79EA1"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1514" w:type="dxa"/>
            <w:tcBorders>
              <w:top w:val="single" w:sz="4" w:space="0" w:color="auto"/>
              <w:left w:val="nil"/>
              <w:bottom w:val="nil"/>
              <w:right w:val="nil"/>
            </w:tcBorders>
            <w:shd w:val="clear" w:color="000000" w:fill="C9E3B4"/>
            <w:noWrap/>
            <w:vAlign w:val="center"/>
            <w:hideMark/>
          </w:tcPr>
          <w:p w14:paraId="7DBD5250"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xml:space="preserve">          1,053,529 </w:t>
            </w:r>
          </w:p>
        </w:tc>
        <w:tc>
          <w:tcPr>
            <w:tcW w:w="216" w:type="dxa"/>
            <w:tcBorders>
              <w:top w:val="single" w:sz="4" w:space="0" w:color="auto"/>
              <w:left w:val="nil"/>
              <w:bottom w:val="nil"/>
              <w:right w:val="nil"/>
            </w:tcBorders>
            <w:shd w:val="clear" w:color="auto" w:fill="auto"/>
            <w:noWrap/>
            <w:vAlign w:val="center"/>
            <w:hideMark/>
          </w:tcPr>
          <w:p w14:paraId="630BC05F"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w:t>
            </w:r>
          </w:p>
        </w:tc>
        <w:tc>
          <w:tcPr>
            <w:tcW w:w="1514" w:type="dxa"/>
            <w:tcBorders>
              <w:top w:val="single" w:sz="4" w:space="0" w:color="auto"/>
              <w:left w:val="nil"/>
              <w:bottom w:val="nil"/>
              <w:right w:val="nil"/>
            </w:tcBorders>
            <w:shd w:val="clear" w:color="auto" w:fill="auto"/>
            <w:noWrap/>
            <w:vAlign w:val="center"/>
            <w:hideMark/>
          </w:tcPr>
          <w:p w14:paraId="54DFD959"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xml:space="preserve">586,694 </w:t>
            </w:r>
          </w:p>
        </w:tc>
      </w:tr>
      <w:tr w:rsidR="00BC5219" w:rsidRPr="009C55C2" w14:paraId="2AFE020B" w14:textId="77777777" w:rsidTr="00E83802">
        <w:trPr>
          <w:gridAfter w:val="1"/>
          <w:wAfter w:w="8" w:type="dxa"/>
          <w:trHeight w:val="240"/>
        </w:trPr>
        <w:tc>
          <w:tcPr>
            <w:tcW w:w="216" w:type="dxa"/>
            <w:tcBorders>
              <w:top w:val="nil"/>
              <w:left w:val="nil"/>
              <w:bottom w:val="nil"/>
              <w:right w:val="nil"/>
            </w:tcBorders>
            <w:shd w:val="clear" w:color="auto" w:fill="auto"/>
            <w:noWrap/>
            <w:vAlign w:val="center"/>
            <w:hideMark/>
          </w:tcPr>
          <w:p w14:paraId="24FAD72B" w14:textId="77777777" w:rsidR="00BC5219" w:rsidRPr="009C55C2" w:rsidRDefault="00BC5219" w:rsidP="00E83802">
            <w:pPr>
              <w:jc w:val="right"/>
              <w:rPr>
                <w:rFonts w:ascii="Meta Pro" w:eastAsia="Times New Roman" w:hAnsi="Meta Pro"/>
                <w:b/>
                <w:bCs/>
                <w:color w:val="000000"/>
                <w:szCs w:val="18"/>
                <w:lang w:eastAsia="en-AU"/>
              </w:rPr>
            </w:pPr>
          </w:p>
        </w:tc>
        <w:tc>
          <w:tcPr>
            <w:tcW w:w="4990" w:type="dxa"/>
            <w:tcBorders>
              <w:top w:val="nil"/>
              <w:left w:val="nil"/>
              <w:bottom w:val="nil"/>
              <w:right w:val="nil"/>
            </w:tcBorders>
            <w:shd w:val="clear" w:color="auto" w:fill="auto"/>
            <w:noWrap/>
            <w:vAlign w:val="center"/>
            <w:hideMark/>
          </w:tcPr>
          <w:p w14:paraId="461D4378" w14:textId="77777777" w:rsidR="00BC5219" w:rsidRPr="009C55C2" w:rsidRDefault="00BC5219" w:rsidP="00E83802">
            <w:pPr>
              <w:rPr>
                <w:rFonts w:ascii="Meta Pro" w:eastAsia="Times New Roman" w:hAnsi="Meta Pro" w:cs="Times New Roman"/>
                <w:sz w:val="20"/>
                <w:szCs w:val="20"/>
                <w:lang w:eastAsia="en-AU"/>
              </w:rPr>
            </w:pPr>
          </w:p>
        </w:tc>
        <w:tc>
          <w:tcPr>
            <w:tcW w:w="1021" w:type="dxa"/>
            <w:tcBorders>
              <w:top w:val="nil"/>
              <w:left w:val="nil"/>
              <w:bottom w:val="nil"/>
              <w:right w:val="nil"/>
            </w:tcBorders>
            <w:shd w:val="clear" w:color="auto" w:fill="auto"/>
            <w:noWrap/>
            <w:vAlign w:val="center"/>
            <w:hideMark/>
          </w:tcPr>
          <w:p w14:paraId="6BB22AEF" w14:textId="77777777" w:rsidR="00BC5219" w:rsidRPr="009C55C2" w:rsidRDefault="00BC5219" w:rsidP="00E83802">
            <w:pPr>
              <w:rPr>
                <w:rFonts w:ascii="Meta Pro" w:eastAsia="Times New Roman" w:hAnsi="Meta Pro"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2D25F296" w14:textId="77777777" w:rsidR="00BC5219" w:rsidRPr="009C55C2"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23D81D5D"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34EB4D75" w14:textId="77777777" w:rsidR="00BC5219" w:rsidRPr="009C55C2"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42073EB8" w14:textId="77777777" w:rsidR="00BC5219" w:rsidRPr="009C55C2" w:rsidRDefault="00BC5219" w:rsidP="00E83802">
            <w:pPr>
              <w:rPr>
                <w:rFonts w:ascii="Meta Pro" w:eastAsia="Times New Roman" w:hAnsi="Meta Pro" w:cs="Times New Roman"/>
                <w:sz w:val="20"/>
                <w:szCs w:val="20"/>
                <w:lang w:eastAsia="en-AU"/>
              </w:rPr>
            </w:pPr>
          </w:p>
        </w:tc>
      </w:tr>
      <w:tr w:rsidR="00BC5219" w:rsidRPr="009C55C2" w14:paraId="22851285" w14:textId="77777777" w:rsidTr="00E83802">
        <w:trPr>
          <w:trHeight w:val="240"/>
        </w:trPr>
        <w:tc>
          <w:tcPr>
            <w:tcW w:w="4990" w:type="dxa"/>
            <w:gridSpan w:val="2"/>
            <w:tcBorders>
              <w:top w:val="nil"/>
              <w:left w:val="nil"/>
              <w:bottom w:val="nil"/>
              <w:right w:val="nil"/>
            </w:tcBorders>
            <w:shd w:val="clear" w:color="auto" w:fill="auto"/>
            <w:noWrap/>
            <w:vAlign w:val="center"/>
            <w:hideMark/>
          </w:tcPr>
          <w:p w14:paraId="6DA13ABB" w14:textId="77777777" w:rsidR="00BC5219" w:rsidRPr="009C55C2" w:rsidRDefault="00BC5219" w:rsidP="00E83802">
            <w:pPr>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Non-current assets</w:t>
            </w:r>
          </w:p>
        </w:tc>
        <w:tc>
          <w:tcPr>
            <w:tcW w:w="1021" w:type="dxa"/>
            <w:tcBorders>
              <w:top w:val="nil"/>
              <w:left w:val="nil"/>
              <w:bottom w:val="nil"/>
              <w:right w:val="nil"/>
            </w:tcBorders>
            <w:shd w:val="clear" w:color="auto" w:fill="auto"/>
            <w:noWrap/>
            <w:vAlign w:val="center"/>
            <w:hideMark/>
          </w:tcPr>
          <w:p w14:paraId="5D5716DC" w14:textId="77777777" w:rsidR="00BC5219" w:rsidRPr="009C55C2" w:rsidRDefault="00BC5219" w:rsidP="00E83802">
            <w:pPr>
              <w:rPr>
                <w:rFonts w:ascii="Meta Pro" w:eastAsia="Times New Roman" w:hAnsi="Meta Pro"/>
                <w:b/>
                <w:bCs/>
                <w:color w:val="000000"/>
                <w:szCs w:val="18"/>
                <w:lang w:eastAsia="en-AU"/>
              </w:rPr>
            </w:pPr>
          </w:p>
        </w:tc>
        <w:tc>
          <w:tcPr>
            <w:tcW w:w="215" w:type="dxa"/>
            <w:tcBorders>
              <w:top w:val="nil"/>
              <w:left w:val="nil"/>
              <w:bottom w:val="nil"/>
              <w:right w:val="nil"/>
            </w:tcBorders>
            <w:shd w:val="clear" w:color="auto" w:fill="auto"/>
            <w:noWrap/>
            <w:vAlign w:val="center"/>
            <w:hideMark/>
          </w:tcPr>
          <w:p w14:paraId="7114EABB" w14:textId="77777777" w:rsidR="00BC5219" w:rsidRPr="009C55C2"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4A7E0EF4"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61108CC4" w14:textId="77777777" w:rsidR="00BC5219" w:rsidRPr="009C55C2" w:rsidRDefault="00BC5219" w:rsidP="00E83802">
            <w:pPr>
              <w:jc w:val="right"/>
              <w:rPr>
                <w:rFonts w:ascii="Meta Pro" w:eastAsia="Times New Roman" w:hAnsi="Meta Pro"/>
                <w:color w:val="000000"/>
                <w:szCs w:val="18"/>
                <w:lang w:eastAsia="en-AU"/>
              </w:rPr>
            </w:pPr>
          </w:p>
        </w:tc>
        <w:tc>
          <w:tcPr>
            <w:tcW w:w="1514" w:type="dxa"/>
            <w:gridSpan w:val="2"/>
            <w:tcBorders>
              <w:top w:val="nil"/>
              <w:left w:val="nil"/>
              <w:bottom w:val="nil"/>
              <w:right w:val="nil"/>
            </w:tcBorders>
            <w:shd w:val="clear" w:color="auto" w:fill="auto"/>
            <w:noWrap/>
            <w:vAlign w:val="center"/>
            <w:hideMark/>
          </w:tcPr>
          <w:p w14:paraId="52F52B25" w14:textId="77777777" w:rsidR="00BC5219" w:rsidRPr="009C55C2" w:rsidRDefault="00BC5219" w:rsidP="00E83802">
            <w:pPr>
              <w:rPr>
                <w:rFonts w:ascii="Meta Pro" w:eastAsia="Times New Roman" w:hAnsi="Meta Pro" w:cs="Times New Roman"/>
                <w:sz w:val="20"/>
                <w:szCs w:val="20"/>
                <w:lang w:eastAsia="en-AU"/>
              </w:rPr>
            </w:pPr>
          </w:p>
        </w:tc>
      </w:tr>
      <w:tr w:rsidR="00BC5219" w:rsidRPr="009C55C2" w14:paraId="294CA32A" w14:textId="77777777" w:rsidTr="00E83802">
        <w:trPr>
          <w:gridAfter w:val="1"/>
          <w:wAfter w:w="8" w:type="dxa"/>
          <w:trHeight w:val="240"/>
        </w:trPr>
        <w:tc>
          <w:tcPr>
            <w:tcW w:w="216" w:type="dxa"/>
            <w:tcBorders>
              <w:top w:val="nil"/>
              <w:left w:val="nil"/>
              <w:bottom w:val="nil"/>
              <w:right w:val="nil"/>
            </w:tcBorders>
            <w:shd w:val="clear" w:color="auto" w:fill="auto"/>
            <w:noWrap/>
            <w:vAlign w:val="center"/>
            <w:hideMark/>
          </w:tcPr>
          <w:p w14:paraId="66243741" w14:textId="77777777" w:rsidR="00BC5219" w:rsidRPr="009C55C2" w:rsidRDefault="00BC5219" w:rsidP="00E83802">
            <w:pPr>
              <w:jc w:val="right"/>
              <w:rPr>
                <w:rFonts w:ascii="Meta Pro" w:eastAsia="Times New Roman" w:hAnsi="Meta Pro" w:cs="Times New Roman"/>
                <w:sz w:val="20"/>
                <w:szCs w:val="20"/>
                <w:lang w:eastAsia="en-AU"/>
              </w:rPr>
            </w:pPr>
          </w:p>
        </w:tc>
        <w:tc>
          <w:tcPr>
            <w:tcW w:w="4990" w:type="dxa"/>
            <w:tcBorders>
              <w:top w:val="nil"/>
              <w:left w:val="nil"/>
              <w:bottom w:val="nil"/>
              <w:right w:val="nil"/>
            </w:tcBorders>
            <w:shd w:val="clear" w:color="auto" w:fill="auto"/>
            <w:noWrap/>
            <w:vAlign w:val="center"/>
            <w:hideMark/>
          </w:tcPr>
          <w:p w14:paraId="1668A8A2"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Receivables</w:t>
            </w:r>
          </w:p>
        </w:tc>
        <w:tc>
          <w:tcPr>
            <w:tcW w:w="1021" w:type="dxa"/>
            <w:tcBorders>
              <w:top w:val="nil"/>
              <w:left w:val="nil"/>
              <w:bottom w:val="nil"/>
              <w:right w:val="nil"/>
            </w:tcBorders>
            <w:shd w:val="clear" w:color="auto" w:fill="auto"/>
            <w:noWrap/>
            <w:vAlign w:val="center"/>
            <w:hideMark/>
          </w:tcPr>
          <w:p w14:paraId="481A1788"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12</w:t>
            </w:r>
          </w:p>
        </w:tc>
        <w:tc>
          <w:tcPr>
            <w:tcW w:w="215" w:type="dxa"/>
            <w:tcBorders>
              <w:top w:val="nil"/>
              <w:left w:val="nil"/>
              <w:bottom w:val="nil"/>
              <w:right w:val="nil"/>
            </w:tcBorders>
            <w:shd w:val="clear" w:color="auto" w:fill="auto"/>
            <w:noWrap/>
            <w:vAlign w:val="center"/>
            <w:hideMark/>
          </w:tcPr>
          <w:p w14:paraId="2C059D97" w14:textId="77777777" w:rsidR="00BC5219" w:rsidRPr="009C55C2" w:rsidRDefault="00BC5219" w:rsidP="00E83802">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6E7B73E2"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3,421 </w:t>
            </w:r>
          </w:p>
        </w:tc>
        <w:tc>
          <w:tcPr>
            <w:tcW w:w="216" w:type="dxa"/>
            <w:tcBorders>
              <w:top w:val="nil"/>
              <w:left w:val="nil"/>
              <w:bottom w:val="nil"/>
              <w:right w:val="nil"/>
            </w:tcBorders>
            <w:shd w:val="clear" w:color="auto" w:fill="auto"/>
            <w:noWrap/>
            <w:vAlign w:val="center"/>
            <w:hideMark/>
          </w:tcPr>
          <w:p w14:paraId="111990A0" w14:textId="77777777" w:rsidR="00BC5219" w:rsidRPr="009C55C2"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1CCE16C7" w14:textId="77777777" w:rsidR="00BC5219" w:rsidRPr="009C55C2" w:rsidRDefault="00BC5219" w:rsidP="00E83802">
            <w:pPr>
              <w:jc w:val="right"/>
              <w:rPr>
                <w:rFonts w:ascii="Meta Pro" w:eastAsia="Times New Roman" w:hAnsi="Meta Pro"/>
                <w:szCs w:val="18"/>
                <w:lang w:eastAsia="en-AU"/>
              </w:rPr>
            </w:pPr>
            <w:r w:rsidRPr="009C55C2">
              <w:rPr>
                <w:rFonts w:ascii="Meta Pro" w:eastAsia="Times New Roman" w:hAnsi="Meta Pro"/>
                <w:szCs w:val="18"/>
                <w:lang w:eastAsia="en-AU"/>
              </w:rPr>
              <w:t xml:space="preserve">3,274 </w:t>
            </w:r>
          </w:p>
        </w:tc>
      </w:tr>
      <w:tr w:rsidR="00BC5219" w:rsidRPr="009C55C2" w14:paraId="00E0F89D" w14:textId="77777777" w:rsidTr="00E83802">
        <w:trPr>
          <w:gridAfter w:val="1"/>
          <w:wAfter w:w="8" w:type="dxa"/>
          <w:trHeight w:val="240"/>
        </w:trPr>
        <w:tc>
          <w:tcPr>
            <w:tcW w:w="216" w:type="dxa"/>
            <w:tcBorders>
              <w:top w:val="nil"/>
              <w:left w:val="nil"/>
              <w:bottom w:val="nil"/>
              <w:right w:val="nil"/>
            </w:tcBorders>
            <w:shd w:val="clear" w:color="auto" w:fill="auto"/>
            <w:noWrap/>
            <w:vAlign w:val="center"/>
            <w:hideMark/>
          </w:tcPr>
          <w:p w14:paraId="7C1C580C" w14:textId="77777777" w:rsidR="00BC5219" w:rsidRPr="009C55C2" w:rsidRDefault="00BC5219" w:rsidP="00E83802">
            <w:pPr>
              <w:jc w:val="right"/>
              <w:rPr>
                <w:rFonts w:ascii="Meta Pro" w:eastAsia="Times New Roman" w:hAnsi="Meta Pro"/>
                <w:szCs w:val="18"/>
                <w:lang w:eastAsia="en-AU"/>
              </w:rPr>
            </w:pPr>
          </w:p>
        </w:tc>
        <w:tc>
          <w:tcPr>
            <w:tcW w:w="4990" w:type="dxa"/>
            <w:tcBorders>
              <w:top w:val="nil"/>
              <w:left w:val="nil"/>
              <w:bottom w:val="nil"/>
              <w:right w:val="nil"/>
            </w:tcBorders>
            <w:shd w:val="clear" w:color="auto" w:fill="auto"/>
            <w:noWrap/>
            <w:vAlign w:val="center"/>
            <w:hideMark/>
          </w:tcPr>
          <w:p w14:paraId="666AC3BC"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Prepayments</w:t>
            </w:r>
          </w:p>
        </w:tc>
        <w:tc>
          <w:tcPr>
            <w:tcW w:w="1021" w:type="dxa"/>
            <w:tcBorders>
              <w:top w:val="nil"/>
              <w:left w:val="nil"/>
              <w:bottom w:val="nil"/>
              <w:right w:val="nil"/>
            </w:tcBorders>
            <w:shd w:val="clear" w:color="auto" w:fill="auto"/>
            <w:noWrap/>
            <w:vAlign w:val="center"/>
            <w:hideMark/>
          </w:tcPr>
          <w:p w14:paraId="28E3FB69"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13</w:t>
            </w:r>
          </w:p>
        </w:tc>
        <w:tc>
          <w:tcPr>
            <w:tcW w:w="215" w:type="dxa"/>
            <w:tcBorders>
              <w:top w:val="nil"/>
              <w:left w:val="nil"/>
              <w:bottom w:val="nil"/>
              <w:right w:val="nil"/>
            </w:tcBorders>
            <w:shd w:val="clear" w:color="auto" w:fill="auto"/>
            <w:noWrap/>
            <w:vAlign w:val="center"/>
            <w:hideMark/>
          </w:tcPr>
          <w:p w14:paraId="4D30A523" w14:textId="77777777" w:rsidR="00BC5219" w:rsidRPr="009C55C2" w:rsidRDefault="00BC5219" w:rsidP="00E83802">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5E3C202E"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80,550 </w:t>
            </w:r>
          </w:p>
        </w:tc>
        <w:tc>
          <w:tcPr>
            <w:tcW w:w="216" w:type="dxa"/>
            <w:tcBorders>
              <w:top w:val="nil"/>
              <w:left w:val="nil"/>
              <w:bottom w:val="nil"/>
              <w:right w:val="nil"/>
            </w:tcBorders>
            <w:shd w:val="clear" w:color="auto" w:fill="auto"/>
            <w:noWrap/>
            <w:vAlign w:val="center"/>
            <w:hideMark/>
          </w:tcPr>
          <w:p w14:paraId="43AB7734" w14:textId="77777777" w:rsidR="00BC5219" w:rsidRPr="009C55C2"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2408CE59"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144,427 </w:t>
            </w:r>
          </w:p>
        </w:tc>
      </w:tr>
      <w:tr w:rsidR="00BC5219" w:rsidRPr="009C55C2" w14:paraId="60CC9993" w14:textId="77777777" w:rsidTr="00E83802">
        <w:trPr>
          <w:gridAfter w:val="1"/>
          <w:wAfter w:w="8" w:type="dxa"/>
          <w:trHeight w:val="240"/>
        </w:trPr>
        <w:tc>
          <w:tcPr>
            <w:tcW w:w="216" w:type="dxa"/>
            <w:tcBorders>
              <w:top w:val="nil"/>
              <w:left w:val="nil"/>
              <w:bottom w:val="nil"/>
              <w:right w:val="nil"/>
            </w:tcBorders>
            <w:shd w:val="clear" w:color="auto" w:fill="auto"/>
            <w:noWrap/>
            <w:vAlign w:val="center"/>
            <w:hideMark/>
          </w:tcPr>
          <w:p w14:paraId="51AE4F10" w14:textId="77777777" w:rsidR="00BC5219" w:rsidRPr="009C55C2" w:rsidRDefault="00BC5219" w:rsidP="00E83802">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271C0337"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Intangible assets</w:t>
            </w:r>
          </w:p>
        </w:tc>
        <w:tc>
          <w:tcPr>
            <w:tcW w:w="1021" w:type="dxa"/>
            <w:tcBorders>
              <w:top w:val="nil"/>
              <w:left w:val="nil"/>
              <w:bottom w:val="nil"/>
              <w:right w:val="nil"/>
            </w:tcBorders>
            <w:shd w:val="clear" w:color="auto" w:fill="auto"/>
            <w:noWrap/>
            <w:vAlign w:val="center"/>
            <w:hideMark/>
          </w:tcPr>
          <w:p w14:paraId="78B41138"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14</w:t>
            </w:r>
          </w:p>
        </w:tc>
        <w:tc>
          <w:tcPr>
            <w:tcW w:w="215" w:type="dxa"/>
            <w:tcBorders>
              <w:top w:val="nil"/>
              <w:left w:val="nil"/>
              <w:bottom w:val="nil"/>
              <w:right w:val="nil"/>
            </w:tcBorders>
            <w:shd w:val="clear" w:color="auto" w:fill="auto"/>
            <w:noWrap/>
            <w:vAlign w:val="center"/>
            <w:hideMark/>
          </w:tcPr>
          <w:p w14:paraId="2F05930C" w14:textId="77777777" w:rsidR="00BC5219" w:rsidRPr="009C55C2" w:rsidRDefault="00BC5219" w:rsidP="00E83802">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03E6F706"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69,214 </w:t>
            </w:r>
          </w:p>
        </w:tc>
        <w:tc>
          <w:tcPr>
            <w:tcW w:w="216" w:type="dxa"/>
            <w:tcBorders>
              <w:top w:val="nil"/>
              <w:left w:val="nil"/>
              <w:bottom w:val="nil"/>
              <w:right w:val="nil"/>
            </w:tcBorders>
            <w:shd w:val="clear" w:color="auto" w:fill="auto"/>
            <w:noWrap/>
            <w:vAlign w:val="center"/>
            <w:hideMark/>
          </w:tcPr>
          <w:p w14:paraId="4E9F557B" w14:textId="77777777" w:rsidR="00BC5219" w:rsidRPr="009C55C2"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519F2148"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90,176 </w:t>
            </w:r>
          </w:p>
        </w:tc>
      </w:tr>
      <w:tr w:rsidR="00BC5219" w:rsidRPr="009C55C2" w14:paraId="52969892" w14:textId="77777777" w:rsidTr="00E83802">
        <w:trPr>
          <w:gridAfter w:val="1"/>
          <w:wAfter w:w="8" w:type="dxa"/>
          <w:trHeight w:val="240"/>
        </w:trPr>
        <w:tc>
          <w:tcPr>
            <w:tcW w:w="216" w:type="dxa"/>
            <w:tcBorders>
              <w:top w:val="nil"/>
              <w:left w:val="nil"/>
              <w:bottom w:val="nil"/>
              <w:right w:val="nil"/>
            </w:tcBorders>
            <w:shd w:val="clear" w:color="auto" w:fill="auto"/>
            <w:noWrap/>
            <w:vAlign w:val="center"/>
            <w:hideMark/>
          </w:tcPr>
          <w:p w14:paraId="242C951D" w14:textId="77777777" w:rsidR="00BC5219" w:rsidRPr="009C55C2" w:rsidRDefault="00BC5219" w:rsidP="00E83802">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5D6144E9"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Property, plant and equipment</w:t>
            </w:r>
          </w:p>
        </w:tc>
        <w:tc>
          <w:tcPr>
            <w:tcW w:w="1021" w:type="dxa"/>
            <w:tcBorders>
              <w:top w:val="nil"/>
              <w:left w:val="nil"/>
              <w:bottom w:val="nil"/>
              <w:right w:val="nil"/>
            </w:tcBorders>
            <w:shd w:val="clear" w:color="auto" w:fill="auto"/>
            <w:noWrap/>
            <w:vAlign w:val="center"/>
            <w:hideMark/>
          </w:tcPr>
          <w:p w14:paraId="779D9481"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15</w:t>
            </w:r>
          </w:p>
        </w:tc>
        <w:tc>
          <w:tcPr>
            <w:tcW w:w="215" w:type="dxa"/>
            <w:tcBorders>
              <w:top w:val="nil"/>
              <w:left w:val="nil"/>
              <w:bottom w:val="nil"/>
              <w:right w:val="nil"/>
            </w:tcBorders>
            <w:shd w:val="clear" w:color="auto" w:fill="auto"/>
            <w:noWrap/>
            <w:vAlign w:val="center"/>
            <w:hideMark/>
          </w:tcPr>
          <w:p w14:paraId="73570E59" w14:textId="77777777" w:rsidR="00BC5219" w:rsidRPr="009C55C2" w:rsidRDefault="00BC5219" w:rsidP="00E83802">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6DCE6557"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104,496,070 </w:t>
            </w:r>
          </w:p>
        </w:tc>
        <w:tc>
          <w:tcPr>
            <w:tcW w:w="216" w:type="dxa"/>
            <w:tcBorders>
              <w:top w:val="nil"/>
              <w:left w:val="nil"/>
              <w:bottom w:val="nil"/>
              <w:right w:val="nil"/>
            </w:tcBorders>
            <w:shd w:val="clear" w:color="auto" w:fill="auto"/>
            <w:noWrap/>
            <w:vAlign w:val="center"/>
            <w:hideMark/>
          </w:tcPr>
          <w:p w14:paraId="2212A1EF" w14:textId="77777777" w:rsidR="00BC5219" w:rsidRPr="009C55C2"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3FDB13E2"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86,999,719 </w:t>
            </w:r>
          </w:p>
        </w:tc>
      </w:tr>
      <w:tr w:rsidR="00BC5219" w:rsidRPr="009C55C2" w14:paraId="4ED0C52D" w14:textId="77777777" w:rsidTr="00E83802">
        <w:trPr>
          <w:gridAfter w:val="1"/>
          <w:wAfter w:w="8" w:type="dxa"/>
          <w:trHeight w:val="240"/>
        </w:trPr>
        <w:tc>
          <w:tcPr>
            <w:tcW w:w="216" w:type="dxa"/>
            <w:tcBorders>
              <w:top w:val="nil"/>
              <w:left w:val="nil"/>
              <w:bottom w:val="nil"/>
              <w:right w:val="nil"/>
            </w:tcBorders>
            <w:shd w:val="clear" w:color="auto" w:fill="auto"/>
            <w:noWrap/>
            <w:vAlign w:val="center"/>
            <w:hideMark/>
          </w:tcPr>
          <w:p w14:paraId="76680036" w14:textId="77777777" w:rsidR="00BC5219" w:rsidRPr="009C55C2" w:rsidRDefault="00BC5219" w:rsidP="00E83802">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0EDD1C65"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Service concession assets</w:t>
            </w:r>
          </w:p>
        </w:tc>
        <w:tc>
          <w:tcPr>
            <w:tcW w:w="1021" w:type="dxa"/>
            <w:tcBorders>
              <w:top w:val="nil"/>
              <w:left w:val="nil"/>
              <w:bottom w:val="nil"/>
              <w:right w:val="nil"/>
            </w:tcBorders>
            <w:shd w:val="clear" w:color="auto" w:fill="auto"/>
            <w:noWrap/>
            <w:vAlign w:val="center"/>
            <w:hideMark/>
          </w:tcPr>
          <w:p w14:paraId="5396FD12"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16</w:t>
            </w:r>
          </w:p>
        </w:tc>
        <w:tc>
          <w:tcPr>
            <w:tcW w:w="215" w:type="dxa"/>
            <w:tcBorders>
              <w:top w:val="nil"/>
              <w:left w:val="nil"/>
              <w:bottom w:val="nil"/>
              <w:right w:val="nil"/>
            </w:tcBorders>
            <w:shd w:val="clear" w:color="auto" w:fill="auto"/>
            <w:noWrap/>
            <w:vAlign w:val="center"/>
            <w:hideMark/>
          </w:tcPr>
          <w:p w14:paraId="62778616" w14:textId="77777777" w:rsidR="00BC5219" w:rsidRPr="009C55C2" w:rsidRDefault="00BC5219" w:rsidP="00E83802">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1E5FDF13"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14,097,645 </w:t>
            </w:r>
          </w:p>
        </w:tc>
        <w:tc>
          <w:tcPr>
            <w:tcW w:w="216" w:type="dxa"/>
            <w:tcBorders>
              <w:top w:val="nil"/>
              <w:left w:val="nil"/>
              <w:bottom w:val="nil"/>
              <w:right w:val="nil"/>
            </w:tcBorders>
            <w:shd w:val="clear" w:color="auto" w:fill="auto"/>
            <w:noWrap/>
            <w:vAlign w:val="center"/>
            <w:hideMark/>
          </w:tcPr>
          <w:p w14:paraId="5EFD90A6" w14:textId="77777777" w:rsidR="00BC5219" w:rsidRPr="009C55C2"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40A32BB6"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12,917,452 </w:t>
            </w:r>
          </w:p>
        </w:tc>
      </w:tr>
      <w:tr w:rsidR="00BC5219" w:rsidRPr="009C55C2" w14:paraId="03037F9F" w14:textId="77777777" w:rsidTr="00E83802">
        <w:trPr>
          <w:gridAfter w:val="1"/>
          <w:wAfter w:w="8" w:type="dxa"/>
          <w:trHeight w:val="240"/>
        </w:trPr>
        <w:tc>
          <w:tcPr>
            <w:tcW w:w="216" w:type="dxa"/>
            <w:tcBorders>
              <w:top w:val="nil"/>
              <w:left w:val="nil"/>
              <w:bottom w:val="nil"/>
              <w:right w:val="nil"/>
            </w:tcBorders>
            <w:shd w:val="clear" w:color="auto" w:fill="auto"/>
            <w:noWrap/>
            <w:vAlign w:val="center"/>
            <w:hideMark/>
          </w:tcPr>
          <w:p w14:paraId="3A2923F1" w14:textId="77777777" w:rsidR="00BC5219" w:rsidRPr="009C55C2" w:rsidRDefault="00BC5219" w:rsidP="00E83802">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5754B129"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Deferred tax assets</w:t>
            </w:r>
          </w:p>
        </w:tc>
        <w:tc>
          <w:tcPr>
            <w:tcW w:w="1021" w:type="dxa"/>
            <w:tcBorders>
              <w:top w:val="nil"/>
              <w:left w:val="nil"/>
              <w:bottom w:val="nil"/>
              <w:right w:val="nil"/>
            </w:tcBorders>
            <w:shd w:val="clear" w:color="auto" w:fill="auto"/>
            <w:noWrap/>
            <w:vAlign w:val="center"/>
            <w:hideMark/>
          </w:tcPr>
          <w:p w14:paraId="671D5F36"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23</w:t>
            </w:r>
          </w:p>
        </w:tc>
        <w:tc>
          <w:tcPr>
            <w:tcW w:w="215" w:type="dxa"/>
            <w:tcBorders>
              <w:top w:val="nil"/>
              <w:left w:val="nil"/>
              <w:bottom w:val="nil"/>
              <w:right w:val="nil"/>
            </w:tcBorders>
            <w:shd w:val="clear" w:color="auto" w:fill="auto"/>
            <w:noWrap/>
            <w:vAlign w:val="center"/>
            <w:hideMark/>
          </w:tcPr>
          <w:p w14:paraId="6CDA9B57" w14:textId="77777777" w:rsidR="00BC5219" w:rsidRPr="009C55C2" w:rsidRDefault="00BC5219" w:rsidP="00E83802">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19865B0F"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3,001 </w:t>
            </w:r>
          </w:p>
        </w:tc>
        <w:tc>
          <w:tcPr>
            <w:tcW w:w="216" w:type="dxa"/>
            <w:tcBorders>
              <w:top w:val="nil"/>
              <w:left w:val="nil"/>
              <w:bottom w:val="nil"/>
              <w:right w:val="nil"/>
            </w:tcBorders>
            <w:shd w:val="clear" w:color="auto" w:fill="auto"/>
            <w:noWrap/>
            <w:vAlign w:val="center"/>
            <w:hideMark/>
          </w:tcPr>
          <w:p w14:paraId="52600B11" w14:textId="77777777" w:rsidR="00BC5219" w:rsidRPr="009C55C2"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499562FE"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3,296 </w:t>
            </w:r>
          </w:p>
        </w:tc>
      </w:tr>
      <w:tr w:rsidR="00BC5219" w:rsidRPr="009C55C2" w14:paraId="58AAB312" w14:textId="77777777" w:rsidTr="00E83802">
        <w:trPr>
          <w:gridAfter w:val="1"/>
          <w:wAfter w:w="8" w:type="dxa"/>
          <w:trHeight w:val="240"/>
        </w:trPr>
        <w:tc>
          <w:tcPr>
            <w:tcW w:w="216" w:type="dxa"/>
            <w:tcBorders>
              <w:top w:val="nil"/>
              <w:left w:val="nil"/>
              <w:bottom w:val="nil"/>
              <w:right w:val="nil"/>
            </w:tcBorders>
            <w:shd w:val="clear" w:color="auto" w:fill="auto"/>
            <w:noWrap/>
            <w:vAlign w:val="center"/>
            <w:hideMark/>
          </w:tcPr>
          <w:p w14:paraId="3843A5F8" w14:textId="77777777" w:rsidR="00BC5219" w:rsidRPr="009C55C2" w:rsidRDefault="00BC5219" w:rsidP="00E83802">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1642DF35"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Right-of-use assets</w:t>
            </w:r>
          </w:p>
        </w:tc>
        <w:tc>
          <w:tcPr>
            <w:tcW w:w="1021" w:type="dxa"/>
            <w:tcBorders>
              <w:top w:val="nil"/>
              <w:left w:val="nil"/>
              <w:bottom w:val="nil"/>
              <w:right w:val="nil"/>
            </w:tcBorders>
            <w:shd w:val="clear" w:color="auto" w:fill="auto"/>
            <w:noWrap/>
            <w:vAlign w:val="center"/>
            <w:hideMark/>
          </w:tcPr>
          <w:p w14:paraId="1E79C302"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17</w:t>
            </w:r>
          </w:p>
        </w:tc>
        <w:tc>
          <w:tcPr>
            <w:tcW w:w="215" w:type="dxa"/>
            <w:tcBorders>
              <w:top w:val="nil"/>
              <w:left w:val="nil"/>
              <w:bottom w:val="nil"/>
              <w:right w:val="nil"/>
            </w:tcBorders>
            <w:shd w:val="clear" w:color="auto" w:fill="auto"/>
            <w:noWrap/>
            <w:vAlign w:val="center"/>
            <w:hideMark/>
          </w:tcPr>
          <w:p w14:paraId="403AD388" w14:textId="77777777" w:rsidR="00BC5219" w:rsidRPr="009C55C2" w:rsidRDefault="00BC5219" w:rsidP="00E83802">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2BD1DDE7"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98,871 </w:t>
            </w:r>
          </w:p>
        </w:tc>
        <w:tc>
          <w:tcPr>
            <w:tcW w:w="216" w:type="dxa"/>
            <w:tcBorders>
              <w:top w:val="nil"/>
              <w:left w:val="nil"/>
              <w:bottom w:val="nil"/>
              <w:right w:val="nil"/>
            </w:tcBorders>
            <w:shd w:val="clear" w:color="auto" w:fill="auto"/>
            <w:noWrap/>
            <w:vAlign w:val="center"/>
            <w:hideMark/>
          </w:tcPr>
          <w:p w14:paraId="2D3AA410" w14:textId="77777777" w:rsidR="00BC5219" w:rsidRPr="009C55C2"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3DB4B5AE" w14:textId="77777777" w:rsidR="00BC5219" w:rsidRPr="009C55C2" w:rsidRDefault="00BC5219" w:rsidP="00E83802">
            <w:pPr>
              <w:jc w:val="right"/>
              <w:rPr>
                <w:rFonts w:ascii="Meta Pro" w:eastAsia="Times New Roman" w:hAnsi="Meta Pro"/>
                <w:szCs w:val="18"/>
                <w:lang w:eastAsia="en-AU"/>
              </w:rPr>
            </w:pPr>
            <w:r w:rsidRPr="009C55C2">
              <w:rPr>
                <w:rFonts w:ascii="Meta Pro" w:eastAsia="Times New Roman" w:hAnsi="Meta Pro"/>
                <w:szCs w:val="18"/>
                <w:lang w:eastAsia="en-AU"/>
              </w:rPr>
              <w:t xml:space="preserve">2 </w:t>
            </w:r>
          </w:p>
        </w:tc>
      </w:tr>
      <w:tr w:rsidR="00BC5219" w:rsidRPr="009C55C2" w14:paraId="0D40025C" w14:textId="77777777" w:rsidTr="00E83802">
        <w:trPr>
          <w:gridAfter w:val="1"/>
          <w:wAfter w:w="8" w:type="dxa"/>
          <w:trHeight w:val="240"/>
        </w:trPr>
        <w:tc>
          <w:tcPr>
            <w:tcW w:w="216" w:type="dxa"/>
            <w:tcBorders>
              <w:top w:val="nil"/>
              <w:left w:val="nil"/>
              <w:bottom w:val="nil"/>
              <w:right w:val="nil"/>
            </w:tcBorders>
            <w:shd w:val="clear" w:color="auto" w:fill="auto"/>
            <w:noWrap/>
            <w:vAlign w:val="center"/>
            <w:hideMark/>
          </w:tcPr>
          <w:p w14:paraId="27A491BB" w14:textId="77777777" w:rsidR="00BC5219" w:rsidRPr="009C55C2" w:rsidRDefault="00BC5219" w:rsidP="00E83802">
            <w:pPr>
              <w:jc w:val="right"/>
              <w:rPr>
                <w:rFonts w:ascii="Meta Pro" w:eastAsia="Times New Roman" w:hAnsi="Meta Pro"/>
                <w:szCs w:val="18"/>
                <w:lang w:eastAsia="en-AU"/>
              </w:rPr>
            </w:pPr>
          </w:p>
        </w:tc>
        <w:tc>
          <w:tcPr>
            <w:tcW w:w="4990" w:type="dxa"/>
            <w:tcBorders>
              <w:top w:val="nil"/>
              <w:left w:val="nil"/>
              <w:bottom w:val="nil"/>
              <w:right w:val="nil"/>
            </w:tcBorders>
            <w:shd w:val="clear" w:color="auto" w:fill="auto"/>
            <w:noWrap/>
            <w:vAlign w:val="center"/>
            <w:hideMark/>
          </w:tcPr>
          <w:p w14:paraId="6F7784C1"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Investment in subsidiary</w:t>
            </w:r>
          </w:p>
        </w:tc>
        <w:tc>
          <w:tcPr>
            <w:tcW w:w="1021" w:type="dxa"/>
            <w:tcBorders>
              <w:top w:val="nil"/>
              <w:left w:val="nil"/>
              <w:bottom w:val="single" w:sz="4" w:space="0" w:color="auto"/>
              <w:right w:val="nil"/>
            </w:tcBorders>
            <w:shd w:val="clear" w:color="auto" w:fill="auto"/>
            <w:noWrap/>
            <w:vAlign w:val="center"/>
            <w:hideMark/>
          </w:tcPr>
          <w:p w14:paraId="572CC770"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26</w:t>
            </w:r>
          </w:p>
        </w:tc>
        <w:tc>
          <w:tcPr>
            <w:tcW w:w="215" w:type="dxa"/>
            <w:tcBorders>
              <w:top w:val="nil"/>
              <w:left w:val="nil"/>
              <w:bottom w:val="nil"/>
              <w:right w:val="nil"/>
            </w:tcBorders>
            <w:shd w:val="clear" w:color="auto" w:fill="auto"/>
            <w:noWrap/>
            <w:vAlign w:val="center"/>
            <w:hideMark/>
          </w:tcPr>
          <w:p w14:paraId="6BEC001B" w14:textId="77777777" w:rsidR="00BC5219" w:rsidRPr="009C55C2" w:rsidRDefault="00BC5219" w:rsidP="00E83802">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57CD05A4"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15,601 </w:t>
            </w:r>
          </w:p>
        </w:tc>
        <w:tc>
          <w:tcPr>
            <w:tcW w:w="216" w:type="dxa"/>
            <w:tcBorders>
              <w:top w:val="nil"/>
              <w:left w:val="nil"/>
              <w:bottom w:val="nil"/>
              <w:right w:val="nil"/>
            </w:tcBorders>
            <w:shd w:val="clear" w:color="auto" w:fill="auto"/>
            <w:noWrap/>
            <w:vAlign w:val="center"/>
            <w:hideMark/>
          </w:tcPr>
          <w:p w14:paraId="6F5E4BE7" w14:textId="77777777" w:rsidR="00BC5219" w:rsidRPr="009C55C2"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0F92C944"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5,601 </w:t>
            </w:r>
          </w:p>
        </w:tc>
      </w:tr>
      <w:tr w:rsidR="00BC5219" w:rsidRPr="009C55C2" w14:paraId="154D1955" w14:textId="77777777" w:rsidTr="00E83802">
        <w:trPr>
          <w:gridAfter w:val="1"/>
          <w:wAfter w:w="8" w:type="dxa"/>
          <w:trHeight w:val="240"/>
        </w:trPr>
        <w:tc>
          <w:tcPr>
            <w:tcW w:w="216" w:type="dxa"/>
            <w:tcBorders>
              <w:top w:val="single" w:sz="4" w:space="0" w:color="auto"/>
              <w:left w:val="nil"/>
              <w:bottom w:val="nil"/>
              <w:right w:val="nil"/>
            </w:tcBorders>
            <w:shd w:val="clear" w:color="auto" w:fill="auto"/>
            <w:noWrap/>
            <w:vAlign w:val="center"/>
            <w:hideMark/>
          </w:tcPr>
          <w:p w14:paraId="6BA72FED"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4990" w:type="dxa"/>
            <w:tcBorders>
              <w:top w:val="single" w:sz="4" w:space="0" w:color="auto"/>
              <w:left w:val="nil"/>
              <w:bottom w:val="nil"/>
              <w:right w:val="nil"/>
            </w:tcBorders>
            <w:shd w:val="clear" w:color="auto" w:fill="auto"/>
            <w:noWrap/>
            <w:vAlign w:val="center"/>
            <w:hideMark/>
          </w:tcPr>
          <w:p w14:paraId="07E69342" w14:textId="77777777" w:rsidR="00BC5219" w:rsidRPr="009C55C2" w:rsidRDefault="00BC5219" w:rsidP="00E83802">
            <w:pPr>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Total non-current assets</w:t>
            </w:r>
          </w:p>
        </w:tc>
        <w:tc>
          <w:tcPr>
            <w:tcW w:w="1021" w:type="dxa"/>
            <w:tcBorders>
              <w:top w:val="single" w:sz="4" w:space="0" w:color="auto"/>
              <w:left w:val="nil"/>
              <w:bottom w:val="nil"/>
              <w:right w:val="nil"/>
            </w:tcBorders>
            <w:shd w:val="clear" w:color="auto" w:fill="auto"/>
            <w:noWrap/>
            <w:vAlign w:val="center"/>
            <w:hideMark/>
          </w:tcPr>
          <w:p w14:paraId="33ABFDB4"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215" w:type="dxa"/>
            <w:tcBorders>
              <w:top w:val="single" w:sz="4" w:space="0" w:color="auto"/>
              <w:left w:val="nil"/>
              <w:bottom w:val="nil"/>
              <w:right w:val="nil"/>
            </w:tcBorders>
            <w:shd w:val="clear" w:color="auto" w:fill="auto"/>
            <w:noWrap/>
            <w:vAlign w:val="center"/>
            <w:hideMark/>
          </w:tcPr>
          <w:p w14:paraId="6830BB1B" w14:textId="77777777" w:rsidR="00BC5219" w:rsidRPr="009C55C2" w:rsidRDefault="00BC5219" w:rsidP="00E83802">
            <w:pPr>
              <w:jc w:val="center"/>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w:t>
            </w:r>
          </w:p>
        </w:tc>
        <w:tc>
          <w:tcPr>
            <w:tcW w:w="1514" w:type="dxa"/>
            <w:tcBorders>
              <w:top w:val="single" w:sz="4" w:space="0" w:color="auto"/>
              <w:left w:val="nil"/>
              <w:bottom w:val="nil"/>
              <w:right w:val="nil"/>
            </w:tcBorders>
            <w:shd w:val="clear" w:color="000000" w:fill="C9E3B4"/>
            <w:noWrap/>
            <w:vAlign w:val="center"/>
            <w:hideMark/>
          </w:tcPr>
          <w:p w14:paraId="3086D70C"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xml:space="preserve">     118,864,373 </w:t>
            </w:r>
          </w:p>
        </w:tc>
        <w:tc>
          <w:tcPr>
            <w:tcW w:w="216" w:type="dxa"/>
            <w:tcBorders>
              <w:top w:val="single" w:sz="4" w:space="0" w:color="auto"/>
              <w:left w:val="nil"/>
              <w:bottom w:val="nil"/>
              <w:right w:val="nil"/>
            </w:tcBorders>
            <w:shd w:val="clear" w:color="auto" w:fill="auto"/>
            <w:noWrap/>
            <w:vAlign w:val="center"/>
            <w:hideMark/>
          </w:tcPr>
          <w:p w14:paraId="3FF4B1D7"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w:t>
            </w:r>
          </w:p>
        </w:tc>
        <w:tc>
          <w:tcPr>
            <w:tcW w:w="1514" w:type="dxa"/>
            <w:tcBorders>
              <w:top w:val="single" w:sz="4" w:space="0" w:color="auto"/>
              <w:left w:val="nil"/>
              <w:bottom w:val="nil"/>
              <w:right w:val="nil"/>
            </w:tcBorders>
            <w:shd w:val="clear" w:color="auto" w:fill="auto"/>
            <w:noWrap/>
            <w:vAlign w:val="center"/>
            <w:hideMark/>
          </w:tcPr>
          <w:p w14:paraId="29574DB6"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xml:space="preserve">     100,163,947 </w:t>
            </w:r>
          </w:p>
        </w:tc>
      </w:tr>
      <w:tr w:rsidR="00BC5219" w:rsidRPr="009C55C2" w14:paraId="3293AB92" w14:textId="77777777" w:rsidTr="00E83802">
        <w:trPr>
          <w:gridAfter w:val="1"/>
          <w:wAfter w:w="8" w:type="dxa"/>
          <w:trHeight w:val="240"/>
        </w:trPr>
        <w:tc>
          <w:tcPr>
            <w:tcW w:w="216" w:type="dxa"/>
            <w:tcBorders>
              <w:top w:val="nil"/>
              <w:left w:val="nil"/>
              <w:bottom w:val="nil"/>
              <w:right w:val="nil"/>
            </w:tcBorders>
            <w:shd w:val="clear" w:color="auto" w:fill="auto"/>
            <w:noWrap/>
            <w:vAlign w:val="center"/>
            <w:hideMark/>
          </w:tcPr>
          <w:p w14:paraId="49D1A007" w14:textId="77777777" w:rsidR="00BC5219" w:rsidRPr="009C55C2" w:rsidRDefault="00BC5219" w:rsidP="00E83802">
            <w:pPr>
              <w:jc w:val="right"/>
              <w:rPr>
                <w:rFonts w:ascii="Meta Pro" w:eastAsia="Times New Roman" w:hAnsi="Meta Pro"/>
                <w:b/>
                <w:bCs/>
                <w:color w:val="000000"/>
                <w:szCs w:val="18"/>
                <w:lang w:eastAsia="en-AU"/>
              </w:rPr>
            </w:pPr>
          </w:p>
        </w:tc>
        <w:tc>
          <w:tcPr>
            <w:tcW w:w="4990" w:type="dxa"/>
            <w:tcBorders>
              <w:top w:val="nil"/>
              <w:left w:val="nil"/>
              <w:bottom w:val="nil"/>
              <w:right w:val="nil"/>
            </w:tcBorders>
            <w:shd w:val="clear" w:color="auto" w:fill="auto"/>
            <w:noWrap/>
            <w:vAlign w:val="center"/>
            <w:hideMark/>
          </w:tcPr>
          <w:p w14:paraId="09F517B2" w14:textId="77777777" w:rsidR="00BC5219" w:rsidRPr="009C55C2" w:rsidRDefault="00BC5219" w:rsidP="00E83802">
            <w:pPr>
              <w:rPr>
                <w:rFonts w:ascii="Meta Pro" w:eastAsia="Times New Roman" w:hAnsi="Meta Pro" w:cs="Times New Roman"/>
                <w:sz w:val="20"/>
                <w:szCs w:val="20"/>
                <w:lang w:eastAsia="en-AU"/>
              </w:rPr>
            </w:pPr>
          </w:p>
        </w:tc>
        <w:tc>
          <w:tcPr>
            <w:tcW w:w="1021" w:type="dxa"/>
            <w:tcBorders>
              <w:top w:val="nil"/>
              <w:left w:val="nil"/>
              <w:bottom w:val="nil"/>
              <w:right w:val="nil"/>
            </w:tcBorders>
            <w:shd w:val="clear" w:color="auto" w:fill="auto"/>
            <w:noWrap/>
            <w:vAlign w:val="center"/>
            <w:hideMark/>
          </w:tcPr>
          <w:p w14:paraId="1A9AB167" w14:textId="77777777" w:rsidR="00BC5219" w:rsidRPr="009C55C2" w:rsidRDefault="00BC5219" w:rsidP="00E83802">
            <w:pPr>
              <w:rPr>
                <w:rFonts w:ascii="Meta Pro" w:eastAsia="Times New Roman" w:hAnsi="Meta Pro"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3B947690" w14:textId="77777777" w:rsidR="00BC5219" w:rsidRPr="009C55C2"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49954A5A"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7F5248F1" w14:textId="77777777" w:rsidR="00BC5219" w:rsidRPr="009C55C2"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12C5351F" w14:textId="77777777" w:rsidR="00BC5219" w:rsidRPr="009C55C2" w:rsidRDefault="00BC5219" w:rsidP="00E83802">
            <w:pPr>
              <w:jc w:val="right"/>
              <w:rPr>
                <w:rFonts w:ascii="Meta Pro" w:eastAsia="Times New Roman" w:hAnsi="Meta Pro" w:cs="Times New Roman"/>
                <w:sz w:val="20"/>
                <w:szCs w:val="20"/>
                <w:lang w:eastAsia="en-AU"/>
              </w:rPr>
            </w:pPr>
          </w:p>
        </w:tc>
      </w:tr>
      <w:tr w:rsidR="00BC5219" w:rsidRPr="009C55C2" w14:paraId="7F288103" w14:textId="77777777" w:rsidTr="00E83802">
        <w:trPr>
          <w:trHeight w:val="240"/>
        </w:trPr>
        <w:tc>
          <w:tcPr>
            <w:tcW w:w="4990" w:type="dxa"/>
            <w:gridSpan w:val="2"/>
            <w:tcBorders>
              <w:top w:val="nil"/>
              <w:left w:val="nil"/>
              <w:bottom w:val="single" w:sz="4" w:space="0" w:color="auto"/>
              <w:right w:val="nil"/>
            </w:tcBorders>
            <w:shd w:val="clear" w:color="auto" w:fill="auto"/>
            <w:noWrap/>
            <w:vAlign w:val="center"/>
            <w:hideMark/>
          </w:tcPr>
          <w:p w14:paraId="6629DA8D" w14:textId="77777777" w:rsidR="00BC5219" w:rsidRPr="009C55C2" w:rsidRDefault="00BC5219" w:rsidP="00E83802">
            <w:pPr>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Total assets</w:t>
            </w:r>
          </w:p>
        </w:tc>
        <w:tc>
          <w:tcPr>
            <w:tcW w:w="1021" w:type="dxa"/>
            <w:tcBorders>
              <w:top w:val="nil"/>
              <w:left w:val="nil"/>
              <w:bottom w:val="single" w:sz="4" w:space="0" w:color="auto"/>
              <w:right w:val="nil"/>
            </w:tcBorders>
            <w:shd w:val="clear" w:color="auto" w:fill="auto"/>
            <w:noWrap/>
            <w:vAlign w:val="center"/>
            <w:hideMark/>
          </w:tcPr>
          <w:p w14:paraId="6EB23D3E"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215" w:type="dxa"/>
            <w:tcBorders>
              <w:top w:val="nil"/>
              <w:left w:val="nil"/>
              <w:bottom w:val="single" w:sz="4" w:space="0" w:color="auto"/>
              <w:right w:val="nil"/>
            </w:tcBorders>
            <w:shd w:val="clear" w:color="auto" w:fill="auto"/>
            <w:noWrap/>
            <w:vAlign w:val="center"/>
            <w:hideMark/>
          </w:tcPr>
          <w:p w14:paraId="46E4748D" w14:textId="77777777" w:rsidR="00BC5219" w:rsidRPr="009C55C2" w:rsidRDefault="00BC5219" w:rsidP="00E83802">
            <w:pPr>
              <w:jc w:val="center"/>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w:t>
            </w:r>
          </w:p>
        </w:tc>
        <w:tc>
          <w:tcPr>
            <w:tcW w:w="1514" w:type="dxa"/>
            <w:tcBorders>
              <w:top w:val="nil"/>
              <w:left w:val="nil"/>
              <w:bottom w:val="single" w:sz="4" w:space="0" w:color="auto"/>
              <w:right w:val="nil"/>
            </w:tcBorders>
            <w:shd w:val="clear" w:color="000000" w:fill="C9E3B4"/>
            <w:noWrap/>
            <w:vAlign w:val="center"/>
            <w:hideMark/>
          </w:tcPr>
          <w:p w14:paraId="455816F8"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xml:space="preserve">      119,917,902 </w:t>
            </w:r>
          </w:p>
        </w:tc>
        <w:tc>
          <w:tcPr>
            <w:tcW w:w="216" w:type="dxa"/>
            <w:tcBorders>
              <w:top w:val="nil"/>
              <w:left w:val="nil"/>
              <w:bottom w:val="single" w:sz="4" w:space="0" w:color="auto"/>
              <w:right w:val="nil"/>
            </w:tcBorders>
            <w:shd w:val="clear" w:color="auto" w:fill="auto"/>
            <w:noWrap/>
            <w:vAlign w:val="center"/>
            <w:hideMark/>
          </w:tcPr>
          <w:p w14:paraId="5F760873"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w:t>
            </w:r>
          </w:p>
        </w:tc>
        <w:tc>
          <w:tcPr>
            <w:tcW w:w="1514" w:type="dxa"/>
            <w:gridSpan w:val="2"/>
            <w:tcBorders>
              <w:top w:val="nil"/>
              <w:left w:val="nil"/>
              <w:bottom w:val="single" w:sz="4" w:space="0" w:color="auto"/>
              <w:right w:val="nil"/>
            </w:tcBorders>
            <w:shd w:val="clear" w:color="auto" w:fill="auto"/>
            <w:noWrap/>
            <w:vAlign w:val="center"/>
            <w:hideMark/>
          </w:tcPr>
          <w:p w14:paraId="4E2F143F"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xml:space="preserve">      100,750,641 </w:t>
            </w:r>
          </w:p>
        </w:tc>
      </w:tr>
      <w:tr w:rsidR="00BC5219" w:rsidRPr="009C55C2" w14:paraId="7389E0DA" w14:textId="77777777" w:rsidTr="00E83802">
        <w:trPr>
          <w:gridAfter w:val="1"/>
          <w:wAfter w:w="8" w:type="dxa"/>
          <w:trHeight w:val="240"/>
        </w:trPr>
        <w:tc>
          <w:tcPr>
            <w:tcW w:w="216" w:type="dxa"/>
            <w:tcBorders>
              <w:top w:val="nil"/>
              <w:left w:val="nil"/>
              <w:bottom w:val="nil"/>
              <w:right w:val="nil"/>
            </w:tcBorders>
            <w:shd w:val="clear" w:color="auto" w:fill="auto"/>
            <w:noWrap/>
            <w:vAlign w:val="center"/>
            <w:hideMark/>
          </w:tcPr>
          <w:p w14:paraId="4FEA3EE8" w14:textId="77777777" w:rsidR="00BC5219" w:rsidRPr="009C55C2" w:rsidRDefault="00BC5219" w:rsidP="00E83802">
            <w:pPr>
              <w:jc w:val="right"/>
              <w:rPr>
                <w:rFonts w:ascii="Meta Pro" w:eastAsia="Times New Roman" w:hAnsi="Meta Pro"/>
                <w:b/>
                <w:bCs/>
                <w:color w:val="000000"/>
                <w:szCs w:val="18"/>
                <w:lang w:eastAsia="en-AU"/>
              </w:rPr>
            </w:pPr>
          </w:p>
        </w:tc>
        <w:tc>
          <w:tcPr>
            <w:tcW w:w="4990" w:type="dxa"/>
            <w:tcBorders>
              <w:top w:val="nil"/>
              <w:left w:val="nil"/>
              <w:bottom w:val="nil"/>
              <w:right w:val="nil"/>
            </w:tcBorders>
            <w:shd w:val="clear" w:color="auto" w:fill="auto"/>
            <w:noWrap/>
            <w:vAlign w:val="center"/>
            <w:hideMark/>
          </w:tcPr>
          <w:p w14:paraId="687C3CFF" w14:textId="77777777" w:rsidR="00BC5219" w:rsidRPr="009C55C2" w:rsidRDefault="00BC5219" w:rsidP="00E83802">
            <w:pPr>
              <w:rPr>
                <w:rFonts w:ascii="Meta Pro" w:eastAsia="Times New Roman" w:hAnsi="Meta Pro" w:cs="Times New Roman"/>
                <w:sz w:val="20"/>
                <w:szCs w:val="20"/>
                <w:lang w:eastAsia="en-AU"/>
              </w:rPr>
            </w:pPr>
          </w:p>
        </w:tc>
        <w:tc>
          <w:tcPr>
            <w:tcW w:w="1021" w:type="dxa"/>
            <w:tcBorders>
              <w:top w:val="single" w:sz="4" w:space="0" w:color="auto"/>
              <w:left w:val="nil"/>
              <w:bottom w:val="nil"/>
              <w:right w:val="nil"/>
            </w:tcBorders>
            <w:shd w:val="clear" w:color="auto" w:fill="auto"/>
            <w:noWrap/>
            <w:vAlign w:val="center"/>
            <w:hideMark/>
          </w:tcPr>
          <w:p w14:paraId="013CE000"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215" w:type="dxa"/>
            <w:tcBorders>
              <w:top w:val="nil"/>
              <w:left w:val="nil"/>
              <w:bottom w:val="nil"/>
              <w:right w:val="nil"/>
            </w:tcBorders>
            <w:shd w:val="clear" w:color="auto" w:fill="auto"/>
            <w:noWrap/>
            <w:vAlign w:val="center"/>
            <w:hideMark/>
          </w:tcPr>
          <w:p w14:paraId="176A1FEB" w14:textId="77777777" w:rsidR="00BC5219" w:rsidRPr="009C55C2" w:rsidRDefault="00BC5219" w:rsidP="00E83802">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5D572B86"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742D9F03" w14:textId="77777777" w:rsidR="00BC5219" w:rsidRPr="009C55C2"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153A2AD5" w14:textId="77777777" w:rsidR="00BC5219" w:rsidRPr="009C55C2" w:rsidRDefault="00BC5219" w:rsidP="00E83802">
            <w:pPr>
              <w:jc w:val="right"/>
              <w:rPr>
                <w:rFonts w:ascii="Meta Pro" w:eastAsia="Times New Roman" w:hAnsi="Meta Pro" w:cs="Times New Roman"/>
                <w:sz w:val="20"/>
                <w:szCs w:val="20"/>
                <w:lang w:eastAsia="en-AU"/>
              </w:rPr>
            </w:pPr>
          </w:p>
        </w:tc>
      </w:tr>
      <w:tr w:rsidR="00BC5219" w:rsidRPr="009C55C2" w14:paraId="71EFBA2E" w14:textId="77777777" w:rsidTr="00E83802">
        <w:trPr>
          <w:trHeight w:val="240"/>
        </w:trPr>
        <w:tc>
          <w:tcPr>
            <w:tcW w:w="4990" w:type="dxa"/>
            <w:gridSpan w:val="2"/>
            <w:tcBorders>
              <w:top w:val="nil"/>
              <w:left w:val="nil"/>
              <w:bottom w:val="nil"/>
              <w:right w:val="nil"/>
            </w:tcBorders>
            <w:shd w:val="clear" w:color="auto" w:fill="auto"/>
            <w:noWrap/>
            <w:vAlign w:val="center"/>
            <w:hideMark/>
          </w:tcPr>
          <w:p w14:paraId="0B84033C" w14:textId="77777777" w:rsidR="00BC5219" w:rsidRPr="009C55C2" w:rsidRDefault="00BC5219" w:rsidP="00E83802">
            <w:pPr>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Liabilities</w:t>
            </w:r>
          </w:p>
        </w:tc>
        <w:tc>
          <w:tcPr>
            <w:tcW w:w="1021" w:type="dxa"/>
            <w:tcBorders>
              <w:top w:val="nil"/>
              <w:left w:val="nil"/>
              <w:bottom w:val="nil"/>
              <w:right w:val="nil"/>
            </w:tcBorders>
            <w:shd w:val="clear" w:color="auto" w:fill="auto"/>
            <w:noWrap/>
            <w:vAlign w:val="center"/>
            <w:hideMark/>
          </w:tcPr>
          <w:p w14:paraId="627CC7F9" w14:textId="77777777" w:rsidR="00BC5219" w:rsidRPr="009C55C2" w:rsidRDefault="00BC5219" w:rsidP="00E83802">
            <w:pPr>
              <w:rPr>
                <w:rFonts w:ascii="Meta Pro" w:eastAsia="Times New Roman" w:hAnsi="Meta Pro"/>
                <w:b/>
                <w:bCs/>
                <w:color w:val="000000"/>
                <w:szCs w:val="18"/>
                <w:lang w:eastAsia="en-AU"/>
              </w:rPr>
            </w:pPr>
          </w:p>
        </w:tc>
        <w:tc>
          <w:tcPr>
            <w:tcW w:w="215" w:type="dxa"/>
            <w:tcBorders>
              <w:top w:val="nil"/>
              <w:left w:val="nil"/>
              <w:bottom w:val="nil"/>
              <w:right w:val="nil"/>
            </w:tcBorders>
            <w:shd w:val="clear" w:color="auto" w:fill="auto"/>
            <w:noWrap/>
            <w:vAlign w:val="center"/>
            <w:hideMark/>
          </w:tcPr>
          <w:p w14:paraId="6810779E" w14:textId="77777777" w:rsidR="00BC5219" w:rsidRPr="009C55C2"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5AC9D245"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0B949429" w14:textId="77777777" w:rsidR="00BC5219" w:rsidRPr="009C55C2" w:rsidRDefault="00BC5219" w:rsidP="00E83802">
            <w:pPr>
              <w:jc w:val="right"/>
              <w:rPr>
                <w:rFonts w:ascii="Meta Pro" w:eastAsia="Times New Roman" w:hAnsi="Meta Pro"/>
                <w:color w:val="000000"/>
                <w:szCs w:val="18"/>
                <w:lang w:eastAsia="en-AU"/>
              </w:rPr>
            </w:pPr>
          </w:p>
        </w:tc>
        <w:tc>
          <w:tcPr>
            <w:tcW w:w="1514" w:type="dxa"/>
            <w:gridSpan w:val="2"/>
            <w:tcBorders>
              <w:top w:val="nil"/>
              <w:left w:val="nil"/>
              <w:bottom w:val="nil"/>
              <w:right w:val="nil"/>
            </w:tcBorders>
            <w:shd w:val="clear" w:color="auto" w:fill="auto"/>
            <w:noWrap/>
            <w:vAlign w:val="center"/>
            <w:hideMark/>
          </w:tcPr>
          <w:p w14:paraId="5E049C5E" w14:textId="77777777" w:rsidR="00BC5219" w:rsidRPr="009C55C2" w:rsidRDefault="00BC5219" w:rsidP="00E83802">
            <w:pPr>
              <w:jc w:val="right"/>
              <w:rPr>
                <w:rFonts w:ascii="Meta Pro" w:eastAsia="Times New Roman" w:hAnsi="Meta Pro" w:cs="Times New Roman"/>
                <w:sz w:val="20"/>
                <w:szCs w:val="20"/>
                <w:lang w:eastAsia="en-AU"/>
              </w:rPr>
            </w:pPr>
          </w:p>
        </w:tc>
      </w:tr>
      <w:tr w:rsidR="00BC5219" w:rsidRPr="009C55C2" w14:paraId="194E8714" w14:textId="77777777" w:rsidTr="00E83802">
        <w:trPr>
          <w:trHeight w:val="240"/>
        </w:trPr>
        <w:tc>
          <w:tcPr>
            <w:tcW w:w="4990" w:type="dxa"/>
            <w:gridSpan w:val="2"/>
            <w:tcBorders>
              <w:top w:val="nil"/>
              <w:left w:val="nil"/>
              <w:bottom w:val="nil"/>
              <w:right w:val="nil"/>
            </w:tcBorders>
            <w:shd w:val="clear" w:color="auto" w:fill="auto"/>
            <w:noWrap/>
            <w:vAlign w:val="center"/>
            <w:hideMark/>
          </w:tcPr>
          <w:p w14:paraId="14C67677" w14:textId="77777777" w:rsidR="00BC5219" w:rsidRPr="009C55C2" w:rsidRDefault="00BC5219" w:rsidP="00E83802">
            <w:pPr>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Current liabilities</w:t>
            </w:r>
          </w:p>
        </w:tc>
        <w:tc>
          <w:tcPr>
            <w:tcW w:w="1021" w:type="dxa"/>
            <w:tcBorders>
              <w:top w:val="nil"/>
              <w:left w:val="nil"/>
              <w:bottom w:val="nil"/>
              <w:right w:val="nil"/>
            </w:tcBorders>
            <w:shd w:val="clear" w:color="auto" w:fill="auto"/>
            <w:noWrap/>
            <w:vAlign w:val="center"/>
            <w:hideMark/>
          </w:tcPr>
          <w:p w14:paraId="1CBB8188" w14:textId="77777777" w:rsidR="00BC5219" w:rsidRPr="009C55C2" w:rsidRDefault="00BC5219" w:rsidP="00E83802">
            <w:pPr>
              <w:rPr>
                <w:rFonts w:ascii="Meta Pro" w:eastAsia="Times New Roman" w:hAnsi="Meta Pro"/>
                <w:b/>
                <w:bCs/>
                <w:color w:val="000000"/>
                <w:szCs w:val="18"/>
                <w:lang w:eastAsia="en-AU"/>
              </w:rPr>
            </w:pPr>
          </w:p>
        </w:tc>
        <w:tc>
          <w:tcPr>
            <w:tcW w:w="215" w:type="dxa"/>
            <w:tcBorders>
              <w:top w:val="nil"/>
              <w:left w:val="nil"/>
              <w:bottom w:val="nil"/>
              <w:right w:val="nil"/>
            </w:tcBorders>
            <w:shd w:val="clear" w:color="auto" w:fill="auto"/>
            <w:noWrap/>
            <w:vAlign w:val="center"/>
            <w:hideMark/>
          </w:tcPr>
          <w:p w14:paraId="60651120" w14:textId="77777777" w:rsidR="00BC5219" w:rsidRPr="009C55C2"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204EE6D9"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0DFACDBB" w14:textId="77777777" w:rsidR="00BC5219" w:rsidRPr="009C55C2" w:rsidRDefault="00BC5219" w:rsidP="00E83802">
            <w:pPr>
              <w:jc w:val="right"/>
              <w:rPr>
                <w:rFonts w:ascii="Meta Pro" w:eastAsia="Times New Roman" w:hAnsi="Meta Pro"/>
                <w:color w:val="000000"/>
                <w:szCs w:val="18"/>
                <w:lang w:eastAsia="en-AU"/>
              </w:rPr>
            </w:pPr>
          </w:p>
        </w:tc>
        <w:tc>
          <w:tcPr>
            <w:tcW w:w="1514" w:type="dxa"/>
            <w:gridSpan w:val="2"/>
            <w:tcBorders>
              <w:top w:val="nil"/>
              <w:left w:val="nil"/>
              <w:bottom w:val="nil"/>
              <w:right w:val="nil"/>
            </w:tcBorders>
            <w:shd w:val="clear" w:color="auto" w:fill="auto"/>
            <w:noWrap/>
            <w:vAlign w:val="center"/>
            <w:hideMark/>
          </w:tcPr>
          <w:p w14:paraId="69B32991" w14:textId="77777777" w:rsidR="00BC5219" w:rsidRPr="009C55C2" w:rsidRDefault="00BC5219" w:rsidP="00E83802">
            <w:pPr>
              <w:jc w:val="right"/>
              <w:rPr>
                <w:rFonts w:ascii="Meta Pro" w:eastAsia="Times New Roman" w:hAnsi="Meta Pro" w:cs="Times New Roman"/>
                <w:sz w:val="20"/>
                <w:szCs w:val="20"/>
                <w:lang w:eastAsia="en-AU"/>
              </w:rPr>
            </w:pPr>
          </w:p>
        </w:tc>
      </w:tr>
      <w:tr w:rsidR="00BC5219" w:rsidRPr="009C55C2" w14:paraId="144B8FAA" w14:textId="77777777" w:rsidTr="00E83802">
        <w:trPr>
          <w:gridAfter w:val="1"/>
          <w:wAfter w:w="8" w:type="dxa"/>
          <w:trHeight w:val="240"/>
        </w:trPr>
        <w:tc>
          <w:tcPr>
            <w:tcW w:w="216" w:type="dxa"/>
            <w:tcBorders>
              <w:top w:val="nil"/>
              <w:left w:val="nil"/>
              <w:bottom w:val="nil"/>
              <w:right w:val="nil"/>
            </w:tcBorders>
            <w:shd w:val="clear" w:color="auto" w:fill="auto"/>
            <w:noWrap/>
            <w:vAlign w:val="center"/>
            <w:hideMark/>
          </w:tcPr>
          <w:p w14:paraId="74A0D737" w14:textId="77777777" w:rsidR="00BC5219" w:rsidRPr="009C55C2" w:rsidRDefault="00BC5219" w:rsidP="00E83802">
            <w:pPr>
              <w:jc w:val="right"/>
              <w:rPr>
                <w:rFonts w:ascii="Meta Pro" w:eastAsia="Times New Roman" w:hAnsi="Meta Pro" w:cs="Times New Roman"/>
                <w:sz w:val="20"/>
                <w:szCs w:val="20"/>
                <w:lang w:eastAsia="en-AU"/>
              </w:rPr>
            </w:pPr>
          </w:p>
        </w:tc>
        <w:tc>
          <w:tcPr>
            <w:tcW w:w="4990" w:type="dxa"/>
            <w:tcBorders>
              <w:top w:val="nil"/>
              <w:left w:val="nil"/>
              <w:bottom w:val="nil"/>
              <w:right w:val="nil"/>
            </w:tcBorders>
            <w:shd w:val="clear" w:color="auto" w:fill="auto"/>
            <w:noWrap/>
            <w:vAlign w:val="center"/>
            <w:hideMark/>
          </w:tcPr>
          <w:p w14:paraId="596D47B9"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Payables</w:t>
            </w:r>
          </w:p>
        </w:tc>
        <w:tc>
          <w:tcPr>
            <w:tcW w:w="1021" w:type="dxa"/>
            <w:tcBorders>
              <w:top w:val="nil"/>
              <w:left w:val="nil"/>
              <w:bottom w:val="nil"/>
              <w:right w:val="nil"/>
            </w:tcBorders>
            <w:shd w:val="clear" w:color="auto" w:fill="auto"/>
            <w:noWrap/>
            <w:vAlign w:val="center"/>
            <w:hideMark/>
          </w:tcPr>
          <w:p w14:paraId="50657007"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18</w:t>
            </w:r>
          </w:p>
        </w:tc>
        <w:tc>
          <w:tcPr>
            <w:tcW w:w="215" w:type="dxa"/>
            <w:tcBorders>
              <w:top w:val="nil"/>
              <w:left w:val="nil"/>
              <w:bottom w:val="nil"/>
              <w:right w:val="nil"/>
            </w:tcBorders>
            <w:shd w:val="clear" w:color="auto" w:fill="auto"/>
            <w:noWrap/>
            <w:vAlign w:val="center"/>
            <w:hideMark/>
          </w:tcPr>
          <w:p w14:paraId="5E87A4FE" w14:textId="77777777" w:rsidR="00BC5219" w:rsidRPr="009C55C2" w:rsidRDefault="00BC5219" w:rsidP="00E83802">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14D1860F"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942,274 </w:t>
            </w:r>
          </w:p>
        </w:tc>
        <w:tc>
          <w:tcPr>
            <w:tcW w:w="216" w:type="dxa"/>
            <w:tcBorders>
              <w:top w:val="nil"/>
              <w:left w:val="nil"/>
              <w:bottom w:val="nil"/>
              <w:right w:val="nil"/>
            </w:tcBorders>
            <w:shd w:val="clear" w:color="auto" w:fill="auto"/>
            <w:noWrap/>
            <w:vAlign w:val="center"/>
            <w:hideMark/>
          </w:tcPr>
          <w:p w14:paraId="4510A280" w14:textId="77777777" w:rsidR="00BC5219" w:rsidRPr="009C55C2"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2A36D30E"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683,237 </w:t>
            </w:r>
          </w:p>
        </w:tc>
      </w:tr>
      <w:tr w:rsidR="00BC5219" w:rsidRPr="009C55C2" w14:paraId="66958C9B" w14:textId="77777777" w:rsidTr="00E83802">
        <w:trPr>
          <w:gridAfter w:val="1"/>
          <w:wAfter w:w="8" w:type="dxa"/>
          <w:trHeight w:val="240"/>
        </w:trPr>
        <w:tc>
          <w:tcPr>
            <w:tcW w:w="216" w:type="dxa"/>
            <w:tcBorders>
              <w:top w:val="nil"/>
              <w:left w:val="nil"/>
              <w:bottom w:val="nil"/>
              <w:right w:val="nil"/>
            </w:tcBorders>
            <w:shd w:val="clear" w:color="auto" w:fill="auto"/>
            <w:noWrap/>
            <w:vAlign w:val="center"/>
            <w:hideMark/>
          </w:tcPr>
          <w:p w14:paraId="31D31C7D" w14:textId="77777777" w:rsidR="00BC5219" w:rsidRPr="009C55C2" w:rsidRDefault="00BC5219" w:rsidP="00E83802">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0AF8B5F0"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Borrowings</w:t>
            </w:r>
          </w:p>
        </w:tc>
        <w:tc>
          <w:tcPr>
            <w:tcW w:w="1021" w:type="dxa"/>
            <w:tcBorders>
              <w:top w:val="nil"/>
              <w:left w:val="nil"/>
              <w:bottom w:val="nil"/>
              <w:right w:val="nil"/>
            </w:tcBorders>
            <w:shd w:val="clear" w:color="auto" w:fill="auto"/>
            <w:noWrap/>
            <w:vAlign w:val="center"/>
            <w:hideMark/>
          </w:tcPr>
          <w:p w14:paraId="02687974"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19</w:t>
            </w:r>
          </w:p>
        </w:tc>
        <w:tc>
          <w:tcPr>
            <w:tcW w:w="215" w:type="dxa"/>
            <w:tcBorders>
              <w:top w:val="nil"/>
              <w:left w:val="nil"/>
              <w:bottom w:val="nil"/>
              <w:right w:val="nil"/>
            </w:tcBorders>
            <w:shd w:val="clear" w:color="auto" w:fill="auto"/>
            <w:noWrap/>
            <w:vAlign w:val="center"/>
            <w:hideMark/>
          </w:tcPr>
          <w:p w14:paraId="7D0812A1" w14:textId="77777777" w:rsidR="00BC5219" w:rsidRPr="009C55C2" w:rsidRDefault="00BC5219" w:rsidP="00E83802">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39BFB33C"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44,204 </w:t>
            </w:r>
          </w:p>
        </w:tc>
        <w:tc>
          <w:tcPr>
            <w:tcW w:w="216" w:type="dxa"/>
            <w:tcBorders>
              <w:top w:val="nil"/>
              <w:left w:val="nil"/>
              <w:bottom w:val="nil"/>
              <w:right w:val="nil"/>
            </w:tcBorders>
            <w:shd w:val="clear" w:color="auto" w:fill="auto"/>
            <w:noWrap/>
            <w:vAlign w:val="center"/>
            <w:hideMark/>
          </w:tcPr>
          <w:p w14:paraId="0A4BE23C" w14:textId="77777777" w:rsidR="00BC5219" w:rsidRPr="009C55C2"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1C32DEAE"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40,276 </w:t>
            </w:r>
          </w:p>
        </w:tc>
      </w:tr>
      <w:tr w:rsidR="00BC5219" w:rsidRPr="009C55C2" w14:paraId="297F04FD" w14:textId="77777777" w:rsidTr="00E83802">
        <w:trPr>
          <w:gridAfter w:val="1"/>
          <w:wAfter w:w="8" w:type="dxa"/>
          <w:trHeight w:val="240"/>
        </w:trPr>
        <w:tc>
          <w:tcPr>
            <w:tcW w:w="216" w:type="dxa"/>
            <w:tcBorders>
              <w:top w:val="nil"/>
              <w:left w:val="nil"/>
              <w:bottom w:val="nil"/>
              <w:right w:val="nil"/>
            </w:tcBorders>
            <w:shd w:val="clear" w:color="auto" w:fill="auto"/>
            <w:noWrap/>
            <w:vAlign w:val="center"/>
            <w:hideMark/>
          </w:tcPr>
          <w:p w14:paraId="123FF685" w14:textId="77777777" w:rsidR="00BC5219" w:rsidRPr="009C55C2" w:rsidRDefault="00BC5219" w:rsidP="00E83802">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3AE1087C"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Provisions</w:t>
            </w:r>
          </w:p>
        </w:tc>
        <w:tc>
          <w:tcPr>
            <w:tcW w:w="1021" w:type="dxa"/>
            <w:tcBorders>
              <w:top w:val="nil"/>
              <w:left w:val="nil"/>
              <w:bottom w:val="nil"/>
              <w:right w:val="nil"/>
            </w:tcBorders>
            <w:shd w:val="clear" w:color="auto" w:fill="auto"/>
            <w:noWrap/>
            <w:vAlign w:val="center"/>
            <w:hideMark/>
          </w:tcPr>
          <w:p w14:paraId="660F516A"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20</w:t>
            </w:r>
          </w:p>
        </w:tc>
        <w:tc>
          <w:tcPr>
            <w:tcW w:w="215" w:type="dxa"/>
            <w:tcBorders>
              <w:top w:val="nil"/>
              <w:left w:val="nil"/>
              <w:bottom w:val="nil"/>
              <w:right w:val="nil"/>
            </w:tcBorders>
            <w:shd w:val="clear" w:color="auto" w:fill="auto"/>
            <w:noWrap/>
            <w:vAlign w:val="center"/>
            <w:hideMark/>
          </w:tcPr>
          <w:p w14:paraId="74B33D93" w14:textId="77777777" w:rsidR="00BC5219" w:rsidRPr="009C55C2" w:rsidRDefault="00BC5219" w:rsidP="00E83802">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1B4E2A17"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317,937 </w:t>
            </w:r>
          </w:p>
        </w:tc>
        <w:tc>
          <w:tcPr>
            <w:tcW w:w="216" w:type="dxa"/>
            <w:tcBorders>
              <w:top w:val="nil"/>
              <w:left w:val="nil"/>
              <w:bottom w:val="nil"/>
              <w:right w:val="nil"/>
            </w:tcBorders>
            <w:shd w:val="clear" w:color="auto" w:fill="auto"/>
            <w:noWrap/>
            <w:vAlign w:val="center"/>
            <w:hideMark/>
          </w:tcPr>
          <w:p w14:paraId="20B1673C" w14:textId="77777777" w:rsidR="00BC5219" w:rsidRPr="009C55C2"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50D22916"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228,718 </w:t>
            </w:r>
          </w:p>
        </w:tc>
      </w:tr>
      <w:tr w:rsidR="00BC5219" w:rsidRPr="009C55C2" w14:paraId="5AD62805" w14:textId="77777777" w:rsidTr="00E83802">
        <w:trPr>
          <w:gridAfter w:val="1"/>
          <w:wAfter w:w="8" w:type="dxa"/>
          <w:trHeight w:val="240"/>
        </w:trPr>
        <w:tc>
          <w:tcPr>
            <w:tcW w:w="216" w:type="dxa"/>
            <w:tcBorders>
              <w:top w:val="nil"/>
              <w:left w:val="nil"/>
              <w:bottom w:val="nil"/>
              <w:right w:val="nil"/>
            </w:tcBorders>
            <w:shd w:val="clear" w:color="auto" w:fill="auto"/>
            <w:noWrap/>
            <w:vAlign w:val="center"/>
            <w:hideMark/>
          </w:tcPr>
          <w:p w14:paraId="08EF2924" w14:textId="77777777" w:rsidR="00BC5219" w:rsidRPr="009C55C2" w:rsidRDefault="00BC5219" w:rsidP="00E83802">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5A0A0BA4"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Accrued employee benefits</w:t>
            </w:r>
          </w:p>
        </w:tc>
        <w:tc>
          <w:tcPr>
            <w:tcW w:w="1021" w:type="dxa"/>
            <w:tcBorders>
              <w:top w:val="nil"/>
              <w:left w:val="nil"/>
              <w:bottom w:val="nil"/>
              <w:right w:val="nil"/>
            </w:tcBorders>
            <w:shd w:val="clear" w:color="auto" w:fill="auto"/>
            <w:noWrap/>
            <w:vAlign w:val="center"/>
            <w:hideMark/>
          </w:tcPr>
          <w:p w14:paraId="4E6D69F2"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21</w:t>
            </w:r>
          </w:p>
        </w:tc>
        <w:tc>
          <w:tcPr>
            <w:tcW w:w="215" w:type="dxa"/>
            <w:tcBorders>
              <w:top w:val="nil"/>
              <w:left w:val="nil"/>
              <w:bottom w:val="nil"/>
              <w:right w:val="nil"/>
            </w:tcBorders>
            <w:shd w:val="clear" w:color="auto" w:fill="auto"/>
            <w:noWrap/>
            <w:vAlign w:val="center"/>
            <w:hideMark/>
          </w:tcPr>
          <w:p w14:paraId="56863ACF" w14:textId="77777777" w:rsidR="00BC5219" w:rsidRPr="009C55C2" w:rsidRDefault="00BC5219" w:rsidP="00E83802">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768B057E"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40,445 </w:t>
            </w:r>
          </w:p>
        </w:tc>
        <w:tc>
          <w:tcPr>
            <w:tcW w:w="216" w:type="dxa"/>
            <w:tcBorders>
              <w:top w:val="nil"/>
              <w:left w:val="nil"/>
              <w:bottom w:val="nil"/>
              <w:right w:val="nil"/>
            </w:tcBorders>
            <w:shd w:val="clear" w:color="auto" w:fill="auto"/>
            <w:noWrap/>
            <w:vAlign w:val="center"/>
            <w:hideMark/>
          </w:tcPr>
          <w:p w14:paraId="4E5E9B00" w14:textId="77777777" w:rsidR="00BC5219" w:rsidRPr="009C55C2"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1E6D1BF4"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31,859 </w:t>
            </w:r>
          </w:p>
        </w:tc>
      </w:tr>
      <w:tr w:rsidR="00BC5219" w:rsidRPr="009C55C2" w14:paraId="037A8BF7" w14:textId="77777777" w:rsidTr="00E83802">
        <w:trPr>
          <w:gridAfter w:val="1"/>
          <w:wAfter w:w="8" w:type="dxa"/>
          <w:trHeight w:val="240"/>
        </w:trPr>
        <w:tc>
          <w:tcPr>
            <w:tcW w:w="216" w:type="dxa"/>
            <w:tcBorders>
              <w:top w:val="nil"/>
              <w:left w:val="nil"/>
              <w:bottom w:val="nil"/>
              <w:right w:val="nil"/>
            </w:tcBorders>
            <w:shd w:val="clear" w:color="auto" w:fill="auto"/>
            <w:noWrap/>
            <w:vAlign w:val="center"/>
            <w:hideMark/>
          </w:tcPr>
          <w:p w14:paraId="64CA337D" w14:textId="77777777" w:rsidR="00BC5219" w:rsidRPr="009C55C2" w:rsidRDefault="00BC5219" w:rsidP="00E83802">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3C261CED"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Unearned revenue – service concession arrangements </w:t>
            </w:r>
          </w:p>
        </w:tc>
        <w:tc>
          <w:tcPr>
            <w:tcW w:w="1021" w:type="dxa"/>
            <w:tcBorders>
              <w:top w:val="nil"/>
              <w:left w:val="nil"/>
              <w:bottom w:val="nil"/>
              <w:right w:val="nil"/>
            </w:tcBorders>
            <w:shd w:val="clear" w:color="auto" w:fill="auto"/>
            <w:noWrap/>
            <w:vAlign w:val="center"/>
            <w:hideMark/>
          </w:tcPr>
          <w:p w14:paraId="1D3073C3"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16</w:t>
            </w:r>
          </w:p>
        </w:tc>
        <w:tc>
          <w:tcPr>
            <w:tcW w:w="215" w:type="dxa"/>
            <w:tcBorders>
              <w:top w:val="nil"/>
              <w:left w:val="nil"/>
              <w:bottom w:val="nil"/>
              <w:right w:val="nil"/>
            </w:tcBorders>
            <w:shd w:val="clear" w:color="auto" w:fill="auto"/>
            <w:noWrap/>
            <w:vAlign w:val="center"/>
            <w:hideMark/>
          </w:tcPr>
          <w:p w14:paraId="66D5B423" w14:textId="77777777" w:rsidR="00BC5219" w:rsidRPr="009C55C2" w:rsidRDefault="00BC5219" w:rsidP="00E83802">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2F6C9AAD"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232,180 </w:t>
            </w:r>
          </w:p>
        </w:tc>
        <w:tc>
          <w:tcPr>
            <w:tcW w:w="216" w:type="dxa"/>
            <w:tcBorders>
              <w:top w:val="nil"/>
              <w:left w:val="nil"/>
              <w:bottom w:val="nil"/>
              <w:right w:val="nil"/>
            </w:tcBorders>
            <w:shd w:val="clear" w:color="auto" w:fill="auto"/>
            <w:noWrap/>
            <w:vAlign w:val="center"/>
            <w:hideMark/>
          </w:tcPr>
          <w:p w14:paraId="7476B144" w14:textId="77777777" w:rsidR="00BC5219" w:rsidRPr="009C55C2"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087B766B"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232,180 </w:t>
            </w:r>
          </w:p>
        </w:tc>
      </w:tr>
      <w:tr w:rsidR="00BC5219" w:rsidRPr="009C55C2" w14:paraId="3AA59537" w14:textId="77777777" w:rsidTr="00E83802">
        <w:trPr>
          <w:gridAfter w:val="1"/>
          <w:wAfter w:w="8" w:type="dxa"/>
          <w:trHeight w:val="240"/>
        </w:trPr>
        <w:tc>
          <w:tcPr>
            <w:tcW w:w="216" w:type="dxa"/>
            <w:tcBorders>
              <w:top w:val="nil"/>
              <w:left w:val="nil"/>
              <w:bottom w:val="nil"/>
              <w:right w:val="nil"/>
            </w:tcBorders>
            <w:shd w:val="clear" w:color="auto" w:fill="auto"/>
            <w:noWrap/>
            <w:vAlign w:val="center"/>
            <w:hideMark/>
          </w:tcPr>
          <w:p w14:paraId="0F5832D6" w14:textId="77777777" w:rsidR="00BC5219" w:rsidRPr="009C55C2" w:rsidRDefault="00BC5219" w:rsidP="00E83802">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45A306BF"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Lease liabilities</w:t>
            </w:r>
          </w:p>
        </w:tc>
        <w:tc>
          <w:tcPr>
            <w:tcW w:w="1021" w:type="dxa"/>
            <w:tcBorders>
              <w:top w:val="nil"/>
              <w:left w:val="nil"/>
              <w:bottom w:val="nil"/>
              <w:right w:val="nil"/>
            </w:tcBorders>
            <w:shd w:val="clear" w:color="auto" w:fill="auto"/>
            <w:noWrap/>
            <w:vAlign w:val="center"/>
            <w:hideMark/>
          </w:tcPr>
          <w:p w14:paraId="1A46A069"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17</w:t>
            </w:r>
          </w:p>
        </w:tc>
        <w:tc>
          <w:tcPr>
            <w:tcW w:w="215" w:type="dxa"/>
            <w:tcBorders>
              <w:top w:val="nil"/>
              <w:left w:val="nil"/>
              <w:bottom w:val="nil"/>
              <w:right w:val="nil"/>
            </w:tcBorders>
            <w:shd w:val="clear" w:color="auto" w:fill="auto"/>
            <w:noWrap/>
            <w:vAlign w:val="center"/>
            <w:hideMark/>
          </w:tcPr>
          <w:p w14:paraId="22849983" w14:textId="77777777" w:rsidR="00BC5219" w:rsidRPr="009C55C2" w:rsidRDefault="00BC5219" w:rsidP="00E83802">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5402075D"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24,962 </w:t>
            </w:r>
          </w:p>
        </w:tc>
        <w:tc>
          <w:tcPr>
            <w:tcW w:w="216" w:type="dxa"/>
            <w:tcBorders>
              <w:top w:val="nil"/>
              <w:left w:val="nil"/>
              <w:bottom w:val="nil"/>
              <w:right w:val="nil"/>
            </w:tcBorders>
            <w:shd w:val="clear" w:color="auto" w:fill="auto"/>
            <w:noWrap/>
            <w:vAlign w:val="center"/>
            <w:hideMark/>
          </w:tcPr>
          <w:p w14:paraId="6CE14D47" w14:textId="77777777" w:rsidR="00BC5219" w:rsidRPr="009C55C2"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1A5E9C79"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96 </w:t>
            </w:r>
          </w:p>
        </w:tc>
      </w:tr>
      <w:tr w:rsidR="00BC5219" w:rsidRPr="009C55C2" w14:paraId="4E26D082" w14:textId="77777777" w:rsidTr="00E83802">
        <w:trPr>
          <w:gridAfter w:val="1"/>
          <w:wAfter w:w="8" w:type="dxa"/>
          <w:trHeight w:val="240"/>
        </w:trPr>
        <w:tc>
          <w:tcPr>
            <w:tcW w:w="216" w:type="dxa"/>
            <w:tcBorders>
              <w:top w:val="nil"/>
              <w:left w:val="nil"/>
              <w:bottom w:val="single" w:sz="4" w:space="0" w:color="auto"/>
              <w:right w:val="nil"/>
            </w:tcBorders>
            <w:shd w:val="clear" w:color="auto" w:fill="auto"/>
            <w:noWrap/>
            <w:vAlign w:val="center"/>
            <w:hideMark/>
          </w:tcPr>
          <w:p w14:paraId="7D5A2EDA"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4990" w:type="dxa"/>
            <w:tcBorders>
              <w:top w:val="nil"/>
              <w:left w:val="nil"/>
              <w:bottom w:val="single" w:sz="4" w:space="0" w:color="auto"/>
              <w:right w:val="nil"/>
            </w:tcBorders>
            <w:shd w:val="clear" w:color="auto" w:fill="auto"/>
            <w:noWrap/>
            <w:vAlign w:val="center"/>
            <w:hideMark/>
          </w:tcPr>
          <w:p w14:paraId="07C4532A"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Other</w:t>
            </w:r>
          </w:p>
        </w:tc>
        <w:tc>
          <w:tcPr>
            <w:tcW w:w="1021" w:type="dxa"/>
            <w:tcBorders>
              <w:top w:val="nil"/>
              <w:left w:val="nil"/>
              <w:bottom w:val="single" w:sz="4" w:space="0" w:color="auto"/>
              <w:right w:val="nil"/>
            </w:tcBorders>
            <w:shd w:val="clear" w:color="auto" w:fill="auto"/>
            <w:noWrap/>
            <w:vAlign w:val="center"/>
            <w:hideMark/>
          </w:tcPr>
          <w:p w14:paraId="11B73060"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22</w:t>
            </w:r>
          </w:p>
        </w:tc>
        <w:tc>
          <w:tcPr>
            <w:tcW w:w="215" w:type="dxa"/>
            <w:tcBorders>
              <w:top w:val="nil"/>
              <w:left w:val="nil"/>
              <w:bottom w:val="single" w:sz="4" w:space="0" w:color="auto"/>
              <w:right w:val="nil"/>
            </w:tcBorders>
            <w:shd w:val="clear" w:color="auto" w:fill="auto"/>
            <w:noWrap/>
            <w:vAlign w:val="center"/>
            <w:hideMark/>
          </w:tcPr>
          <w:p w14:paraId="3BC79C9B"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1514" w:type="dxa"/>
            <w:tcBorders>
              <w:top w:val="nil"/>
              <w:left w:val="nil"/>
              <w:bottom w:val="single" w:sz="4" w:space="0" w:color="auto"/>
              <w:right w:val="nil"/>
            </w:tcBorders>
            <w:shd w:val="clear" w:color="000000" w:fill="C9E3B4"/>
            <w:noWrap/>
            <w:vAlign w:val="center"/>
            <w:hideMark/>
          </w:tcPr>
          <w:p w14:paraId="73CFB5F4"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241,599 </w:t>
            </w:r>
          </w:p>
        </w:tc>
        <w:tc>
          <w:tcPr>
            <w:tcW w:w="216" w:type="dxa"/>
            <w:tcBorders>
              <w:top w:val="nil"/>
              <w:left w:val="nil"/>
              <w:bottom w:val="single" w:sz="4" w:space="0" w:color="auto"/>
              <w:right w:val="nil"/>
            </w:tcBorders>
            <w:shd w:val="clear" w:color="auto" w:fill="auto"/>
            <w:noWrap/>
            <w:vAlign w:val="center"/>
            <w:hideMark/>
          </w:tcPr>
          <w:p w14:paraId="02845512"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1514" w:type="dxa"/>
            <w:tcBorders>
              <w:top w:val="nil"/>
              <w:left w:val="nil"/>
              <w:bottom w:val="single" w:sz="4" w:space="0" w:color="auto"/>
              <w:right w:val="nil"/>
            </w:tcBorders>
            <w:shd w:val="clear" w:color="auto" w:fill="auto"/>
            <w:noWrap/>
            <w:vAlign w:val="center"/>
            <w:hideMark/>
          </w:tcPr>
          <w:p w14:paraId="29C037BB"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234,194 </w:t>
            </w:r>
          </w:p>
        </w:tc>
      </w:tr>
      <w:tr w:rsidR="00BC5219" w:rsidRPr="009C55C2" w14:paraId="6D415EA5" w14:textId="77777777" w:rsidTr="00E83802">
        <w:trPr>
          <w:gridAfter w:val="1"/>
          <w:wAfter w:w="8" w:type="dxa"/>
          <w:trHeight w:val="240"/>
        </w:trPr>
        <w:tc>
          <w:tcPr>
            <w:tcW w:w="216" w:type="dxa"/>
            <w:tcBorders>
              <w:top w:val="nil"/>
              <w:left w:val="nil"/>
              <w:bottom w:val="nil"/>
              <w:right w:val="nil"/>
            </w:tcBorders>
            <w:shd w:val="clear" w:color="auto" w:fill="auto"/>
            <w:noWrap/>
            <w:vAlign w:val="center"/>
            <w:hideMark/>
          </w:tcPr>
          <w:p w14:paraId="4219F853"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4990" w:type="dxa"/>
            <w:tcBorders>
              <w:top w:val="nil"/>
              <w:left w:val="nil"/>
              <w:bottom w:val="nil"/>
              <w:right w:val="nil"/>
            </w:tcBorders>
            <w:shd w:val="clear" w:color="auto" w:fill="auto"/>
            <w:noWrap/>
            <w:vAlign w:val="center"/>
            <w:hideMark/>
          </w:tcPr>
          <w:p w14:paraId="79584D9C" w14:textId="77777777" w:rsidR="00BC5219" w:rsidRPr="009C55C2" w:rsidRDefault="00BC5219" w:rsidP="00E83802">
            <w:pPr>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Total current liabilities</w:t>
            </w:r>
          </w:p>
        </w:tc>
        <w:tc>
          <w:tcPr>
            <w:tcW w:w="1021" w:type="dxa"/>
            <w:tcBorders>
              <w:top w:val="single" w:sz="4" w:space="0" w:color="auto"/>
              <w:left w:val="nil"/>
              <w:bottom w:val="nil"/>
              <w:right w:val="nil"/>
            </w:tcBorders>
            <w:shd w:val="clear" w:color="auto" w:fill="auto"/>
            <w:noWrap/>
            <w:vAlign w:val="center"/>
            <w:hideMark/>
          </w:tcPr>
          <w:p w14:paraId="4BA6421F"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215" w:type="dxa"/>
            <w:tcBorders>
              <w:top w:val="nil"/>
              <w:left w:val="nil"/>
              <w:bottom w:val="nil"/>
              <w:right w:val="nil"/>
            </w:tcBorders>
            <w:shd w:val="clear" w:color="auto" w:fill="auto"/>
            <w:noWrap/>
            <w:vAlign w:val="center"/>
            <w:hideMark/>
          </w:tcPr>
          <w:p w14:paraId="44438131" w14:textId="77777777" w:rsidR="00BC5219" w:rsidRPr="009C55C2" w:rsidRDefault="00BC5219" w:rsidP="00E83802">
            <w:pPr>
              <w:jc w:val="center"/>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w:t>
            </w:r>
          </w:p>
        </w:tc>
        <w:tc>
          <w:tcPr>
            <w:tcW w:w="1514" w:type="dxa"/>
            <w:tcBorders>
              <w:top w:val="nil"/>
              <w:left w:val="nil"/>
              <w:bottom w:val="nil"/>
              <w:right w:val="nil"/>
            </w:tcBorders>
            <w:shd w:val="clear" w:color="000000" w:fill="C9E3B4"/>
            <w:noWrap/>
            <w:vAlign w:val="center"/>
            <w:hideMark/>
          </w:tcPr>
          <w:p w14:paraId="6CC01E26"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xml:space="preserve">          1,843,601 </w:t>
            </w:r>
          </w:p>
        </w:tc>
        <w:tc>
          <w:tcPr>
            <w:tcW w:w="216" w:type="dxa"/>
            <w:tcBorders>
              <w:top w:val="nil"/>
              <w:left w:val="nil"/>
              <w:bottom w:val="nil"/>
              <w:right w:val="nil"/>
            </w:tcBorders>
            <w:shd w:val="clear" w:color="auto" w:fill="auto"/>
            <w:noWrap/>
            <w:vAlign w:val="center"/>
            <w:hideMark/>
          </w:tcPr>
          <w:p w14:paraId="2151807B"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w:t>
            </w:r>
          </w:p>
        </w:tc>
        <w:tc>
          <w:tcPr>
            <w:tcW w:w="1514" w:type="dxa"/>
            <w:tcBorders>
              <w:top w:val="nil"/>
              <w:left w:val="nil"/>
              <w:bottom w:val="nil"/>
              <w:right w:val="nil"/>
            </w:tcBorders>
            <w:shd w:val="clear" w:color="auto" w:fill="auto"/>
            <w:noWrap/>
            <w:vAlign w:val="center"/>
            <w:hideMark/>
          </w:tcPr>
          <w:p w14:paraId="4EBABF15"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xml:space="preserve">1,450,560 </w:t>
            </w:r>
          </w:p>
        </w:tc>
      </w:tr>
      <w:tr w:rsidR="00BC5219" w:rsidRPr="009C55C2" w14:paraId="7BF02D43" w14:textId="77777777" w:rsidTr="00E83802">
        <w:trPr>
          <w:gridAfter w:val="1"/>
          <w:wAfter w:w="8" w:type="dxa"/>
          <w:trHeight w:val="240"/>
        </w:trPr>
        <w:tc>
          <w:tcPr>
            <w:tcW w:w="216" w:type="dxa"/>
            <w:tcBorders>
              <w:top w:val="nil"/>
              <w:left w:val="nil"/>
              <w:bottom w:val="nil"/>
              <w:right w:val="nil"/>
            </w:tcBorders>
            <w:shd w:val="clear" w:color="auto" w:fill="auto"/>
            <w:noWrap/>
            <w:vAlign w:val="center"/>
            <w:hideMark/>
          </w:tcPr>
          <w:p w14:paraId="7FD8CDDC" w14:textId="77777777" w:rsidR="00BC5219" w:rsidRPr="009C55C2" w:rsidRDefault="00BC5219" w:rsidP="00E83802">
            <w:pPr>
              <w:jc w:val="right"/>
              <w:rPr>
                <w:rFonts w:ascii="Meta Pro" w:eastAsia="Times New Roman" w:hAnsi="Meta Pro"/>
                <w:b/>
                <w:bCs/>
                <w:color w:val="000000"/>
                <w:szCs w:val="18"/>
                <w:lang w:eastAsia="en-AU"/>
              </w:rPr>
            </w:pPr>
          </w:p>
        </w:tc>
        <w:tc>
          <w:tcPr>
            <w:tcW w:w="4990" w:type="dxa"/>
            <w:tcBorders>
              <w:top w:val="nil"/>
              <w:left w:val="nil"/>
              <w:bottom w:val="nil"/>
              <w:right w:val="nil"/>
            </w:tcBorders>
            <w:shd w:val="clear" w:color="auto" w:fill="auto"/>
            <w:noWrap/>
            <w:vAlign w:val="center"/>
            <w:hideMark/>
          </w:tcPr>
          <w:p w14:paraId="3B5E5CBF" w14:textId="77777777" w:rsidR="00BC5219" w:rsidRPr="009C55C2" w:rsidRDefault="00BC5219" w:rsidP="00E83802">
            <w:pPr>
              <w:rPr>
                <w:rFonts w:ascii="Meta Pro" w:eastAsia="Times New Roman" w:hAnsi="Meta Pro" w:cs="Times New Roman"/>
                <w:sz w:val="20"/>
                <w:szCs w:val="20"/>
                <w:lang w:eastAsia="en-AU"/>
              </w:rPr>
            </w:pPr>
          </w:p>
        </w:tc>
        <w:tc>
          <w:tcPr>
            <w:tcW w:w="1021" w:type="dxa"/>
            <w:tcBorders>
              <w:top w:val="nil"/>
              <w:left w:val="nil"/>
              <w:bottom w:val="nil"/>
              <w:right w:val="nil"/>
            </w:tcBorders>
            <w:shd w:val="clear" w:color="auto" w:fill="auto"/>
            <w:noWrap/>
            <w:vAlign w:val="center"/>
            <w:hideMark/>
          </w:tcPr>
          <w:p w14:paraId="2E18CD8D" w14:textId="77777777" w:rsidR="00BC5219" w:rsidRPr="009C55C2" w:rsidRDefault="00BC5219" w:rsidP="00E83802">
            <w:pPr>
              <w:rPr>
                <w:rFonts w:ascii="Meta Pro" w:eastAsia="Times New Roman" w:hAnsi="Meta Pro"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08925C9D" w14:textId="77777777" w:rsidR="00BC5219" w:rsidRPr="009C55C2"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71F7A3F6"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445A05A9" w14:textId="77777777" w:rsidR="00BC5219" w:rsidRPr="009C55C2"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4C97F072" w14:textId="77777777" w:rsidR="00BC5219" w:rsidRPr="009C55C2" w:rsidRDefault="00BC5219" w:rsidP="00E83802">
            <w:pPr>
              <w:jc w:val="right"/>
              <w:rPr>
                <w:rFonts w:ascii="Meta Pro" w:eastAsia="Times New Roman" w:hAnsi="Meta Pro" w:cs="Times New Roman"/>
                <w:sz w:val="20"/>
                <w:szCs w:val="20"/>
                <w:lang w:eastAsia="en-AU"/>
              </w:rPr>
            </w:pPr>
          </w:p>
        </w:tc>
      </w:tr>
      <w:tr w:rsidR="00BC5219" w:rsidRPr="009C55C2" w14:paraId="44A16044" w14:textId="77777777" w:rsidTr="00E83802">
        <w:trPr>
          <w:trHeight w:val="240"/>
        </w:trPr>
        <w:tc>
          <w:tcPr>
            <w:tcW w:w="4990" w:type="dxa"/>
            <w:gridSpan w:val="2"/>
            <w:tcBorders>
              <w:top w:val="nil"/>
              <w:left w:val="nil"/>
              <w:bottom w:val="nil"/>
              <w:right w:val="nil"/>
            </w:tcBorders>
            <w:shd w:val="clear" w:color="auto" w:fill="auto"/>
            <w:noWrap/>
            <w:vAlign w:val="center"/>
            <w:hideMark/>
          </w:tcPr>
          <w:p w14:paraId="48055A1A" w14:textId="77777777" w:rsidR="00BC5219" w:rsidRPr="009C55C2" w:rsidRDefault="00BC5219" w:rsidP="00E83802">
            <w:pPr>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Non-current liabilities</w:t>
            </w:r>
          </w:p>
        </w:tc>
        <w:tc>
          <w:tcPr>
            <w:tcW w:w="1021" w:type="dxa"/>
            <w:tcBorders>
              <w:top w:val="nil"/>
              <w:left w:val="nil"/>
              <w:bottom w:val="nil"/>
              <w:right w:val="nil"/>
            </w:tcBorders>
            <w:shd w:val="clear" w:color="auto" w:fill="auto"/>
            <w:noWrap/>
            <w:vAlign w:val="center"/>
            <w:hideMark/>
          </w:tcPr>
          <w:p w14:paraId="105E6D8B" w14:textId="77777777" w:rsidR="00BC5219" w:rsidRPr="009C55C2" w:rsidRDefault="00BC5219" w:rsidP="00E83802">
            <w:pPr>
              <w:rPr>
                <w:rFonts w:ascii="Meta Pro" w:eastAsia="Times New Roman" w:hAnsi="Meta Pro"/>
                <w:b/>
                <w:bCs/>
                <w:color w:val="000000"/>
                <w:szCs w:val="18"/>
                <w:lang w:eastAsia="en-AU"/>
              </w:rPr>
            </w:pPr>
          </w:p>
        </w:tc>
        <w:tc>
          <w:tcPr>
            <w:tcW w:w="215" w:type="dxa"/>
            <w:tcBorders>
              <w:top w:val="nil"/>
              <w:left w:val="nil"/>
              <w:bottom w:val="nil"/>
              <w:right w:val="nil"/>
            </w:tcBorders>
            <w:shd w:val="clear" w:color="auto" w:fill="auto"/>
            <w:noWrap/>
            <w:vAlign w:val="center"/>
            <w:hideMark/>
          </w:tcPr>
          <w:p w14:paraId="119D15A9" w14:textId="77777777" w:rsidR="00BC5219" w:rsidRPr="009C55C2"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5254B5A8"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16C9CFE4" w14:textId="77777777" w:rsidR="00BC5219" w:rsidRPr="009C55C2" w:rsidRDefault="00BC5219" w:rsidP="00E83802">
            <w:pPr>
              <w:jc w:val="right"/>
              <w:rPr>
                <w:rFonts w:ascii="Meta Pro" w:eastAsia="Times New Roman" w:hAnsi="Meta Pro"/>
                <w:color w:val="000000"/>
                <w:szCs w:val="18"/>
                <w:lang w:eastAsia="en-AU"/>
              </w:rPr>
            </w:pPr>
          </w:p>
        </w:tc>
        <w:tc>
          <w:tcPr>
            <w:tcW w:w="1514" w:type="dxa"/>
            <w:gridSpan w:val="2"/>
            <w:tcBorders>
              <w:top w:val="nil"/>
              <w:left w:val="nil"/>
              <w:bottom w:val="nil"/>
              <w:right w:val="nil"/>
            </w:tcBorders>
            <w:shd w:val="clear" w:color="auto" w:fill="auto"/>
            <w:noWrap/>
            <w:vAlign w:val="center"/>
            <w:hideMark/>
          </w:tcPr>
          <w:p w14:paraId="573919D8" w14:textId="77777777" w:rsidR="00BC5219" w:rsidRPr="009C55C2" w:rsidRDefault="00BC5219" w:rsidP="00E83802">
            <w:pPr>
              <w:jc w:val="right"/>
              <w:rPr>
                <w:rFonts w:ascii="Meta Pro" w:eastAsia="Times New Roman" w:hAnsi="Meta Pro" w:cs="Times New Roman"/>
                <w:sz w:val="20"/>
                <w:szCs w:val="20"/>
                <w:lang w:eastAsia="en-AU"/>
              </w:rPr>
            </w:pPr>
          </w:p>
        </w:tc>
      </w:tr>
      <w:tr w:rsidR="00BC5219" w:rsidRPr="009C55C2" w14:paraId="3B4DDA05" w14:textId="77777777" w:rsidTr="00E83802">
        <w:trPr>
          <w:gridAfter w:val="1"/>
          <w:wAfter w:w="8" w:type="dxa"/>
          <w:trHeight w:val="240"/>
        </w:trPr>
        <w:tc>
          <w:tcPr>
            <w:tcW w:w="216" w:type="dxa"/>
            <w:tcBorders>
              <w:top w:val="nil"/>
              <w:left w:val="nil"/>
              <w:bottom w:val="nil"/>
              <w:right w:val="nil"/>
            </w:tcBorders>
            <w:shd w:val="clear" w:color="auto" w:fill="auto"/>
            <w:noWrap/>
            <w:vAlign w:val="center"/>
            <w:hideMark/>
          </w:tcPr>
          <w:p w14:paraId="7DF6E0A6" w14:textId="77777777" w:rsidR="00BC5219" w:rsidRPr="009C55C2" w:rsidRDefault="00BC5219" w:rsidP="00E83802">
            <w:pPr>
              <w:jc w:val="right"/>
              <w:rPr>
                <w:rFonts w:ascii="Meta Pro" w:eastAsia="Times New Roman" w:hAnsi="Meta Pro" w:cs="Times New Roman"/>
                <w:sz w:val="20"/>
                <w:szCs w:val="20"/>
                <w:lang w:eastAsia="en-AU"/>
              </w:rPr>
            </w:pPr>
          </w:p>
        </w:tc>
        <w:tc>
          <w:tcPr>
            <w:tcW w:w="4990" w:type="dxa"/>
            <w:tcBorders>
              <w:top w:val="nil"/>
              <w:left w:val="nil"/>
              <w:bottom w:val="nil"/>
              <w:right w:val="nil"/>
            </w:tcBorders>
            <w:shd w:val="clear" w:color="auto" w:fill="auto"/>
            <w:noWrap/>
            <w:vAlign w:val="center"/>
            <w:hideMark/>
          </w:tcPr>
          <w:p w14:paraId="0315393E"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Borrowings</w:t>
            </w:r>
          </w:p>
        </w:tc>
        <w:tc>
          <w:tcPr>
            <w:tcW w:w="1021" w:type="dxa"/>
            <w:tcBorders>
              <w:top w:val="nil"/>
              <w:left w:val="nil"/>
              <w:bottom w:val="nil"/>
              <w:right w:val="nil"/>
            </w:tcBorders>
            <w:shd w:val="clear" w:color="auto" w:fill="auto"/>
            <w:noWrap/>
            <w:vAlign w:val="center"/>
            <w:hideMark/>
          </w:tcPr>
          <w:p w14:paraId="6041B997"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19</w:t>
            </w:r>
          </w:p>
        </w:tc>
        <w:tc>
          <w:tcPr>
            <w:tcW w:w="215" w:type="dxa"/>
            <w:tcBorders>
              <w:top w:val="nil"/>
              <w:left w:val="nil"/>
              <w:bottom w:val="nil"/>
              <w:right w:val="nil"/>
            </w:tcBorders>
            <w:shd w:val="clear" w:color="auto" w:fill="auto"/>
            <w:noWrap/>
            <w:vAlign w:val="center"/>
            <w:hideMark/>
          </w:tcPr>
          <w:p w14:paraId="5479CD4B" w14:textId="77777777" w:rsidR="00BC5219" w:rsidRPr="009C55C2" w:rsidRDefault="00BC5219" w:rsidP="00E83802">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5FC59541"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1,137,243 </w:t>
            </w:r>
          </w:p>
        </w:tc>
        <w:tc>
          <w:tcPr>
            <w:tcW w:w="216" w:type="dxa"/>
            <w:tcBorders>
              <w:top w:val="nil"/>
              <w:left w:val="nil"/>
              <w:bottom w:val="nil"/>
              <w:right w:val="nil"/>
            </w:tcBorders>
            <w:shd w:val="clear" w:color="auto" w:fill="auto"/>
            <w:noWrap/>
            <w:vAlign w:val="center"/>
            <w:hideMark/>
          </w:tcPr>
          <w:p w14:paraId="39FBC4BE" w14:textId="77777777" w:rsidR="00BC5219" w:rsidRPr="009C55C2"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0AB7769B"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1,251,955 </w:t>
            </w:r>
          </w:p>
        </w:tc>
      </w:tr>
      <w:tr w:rsidR="00BC5219" w:rsidRPr="009C55C2" w14:paraId="22BD136D" w14:textId="77777777" w:rsidTr="00E83802">
        <w:trPr>
          <w:gridAfter w:val="1"/>
          <w:wAfter w:w="8" w:type="dxa"/>
          <w:trHeight w:val="240"/>
        </w:trPr>
        <w:tc>
          <w:tcPr>
            <w:tcW w:w="216" w:type="dxa"/>
            <w:tcBorders>
              <w:top w:val="nil"/>
              <w:left w:val="nil"/>
              <w:bottom w:val="nil"/>
              <w:right w:val="nil"/>
            </w:tcBorders>
            <w:shd w:val="clear" w:color="auto" w:fill="auto"/>
            <w:noWrap/>
            <w:vAlign w:val="center"/>
            <w:hideMark/>
          </w:tcPr>
          <w:p w14:paraId="34B1D71F" w14:textId="77777777" w:rsidR="00BC5219" w:rsidRPr="009C55C2" w:rsidRDefault="00BC5219" w:rsidP="00E83802">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259689EB"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Provisions</w:t>
            </w:r>
          </w:p>
        </w:tc>
        <w:tc>
          <w:tcPr>
            <w:tcW w:w="1021" w:type="dxa"/>
            <w:tcBorders>
              <w:top w:val="nil"/>
              <w:left w:val="nil"/>
              <w:bottom w:val="nil"/>
              <w:right w:val="nil"/>
            </w:tcBorders>
            <w:shd w:val="clear" w:color="auto" w:fill="auto"/>
            <w:noWrap/>
            <w:vAlign w:val="center"/>
            <w:hideMark/>
          </w:tcPr>
          <w:p w14:paraId="1B35C50E"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20</w:t>
            </w:r>
          </w:p>
        </w:tc>
        <w:tc>
          <w:tcPr>
            <w:tcW w:w="215" w:type="dxa"/>
            <w:tcBorders>
              <w:top w:val="nil"/>
              <w:left w:val="nil"/>
              <w:bottom w:val="nil"/>
              <w:right w:val="nil"/>
            </w:tcBorders>
            <w:shd w:val="clear" w:color="auto" w:fill="auto"/>
            <w:noWrap/>
            <w:vAlign w:val="center"/>
            <w:hideMark/>
          </w:tcPr>
          <w:p w14:paraId="78D564E7" w14:textId="77777777" w:rsidR="00BC5219" w:rsidRPr="009C55C2" w:rsidRDefault="00BC5219" w:rsidP="00E83802">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2D8CE250"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196,130 </w:t>
            </w:r>
          </w:p>
        </w:tc>
        <w:tc>
          <w:tcPr>
            <w:tcW w:w="216" w:type="dxa"/>
            <w:tcBorders>
              <w:top w:val="nil"/>
              <w:left w:val="nil"/>
              <w:bottom w:val="nil"/>
              <w:right w:val="nil"/>
            </w:tcBorders>
            <w:shd w:val="clear" w:color="auto" w:fill="auto"/>
            <w:noWrap/>
            <w:vAlign w:val="center"/>
            <w:hideMark/>
          </w:tcPr>
          <w:p w14:paraId="10D2DC39" w14:textId="77777777" w:rsidR="00BC5219" w:rsidRPr="009C55C2"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0457434A"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181,810 </w:t>
            </w:r>
          </w:p>
        </w:tc>
      </w:tr>
      <w:tr w:rsidR="00BC5219" w:rsidRPr="009C55C2" w14:paraId="649F6909" w14:textId="77777777" w:rsidTr="00E83802">
        <w:trPr>
          <w:gridAfter w:val="1"/>
          <w:wAfter w:w="8" w:type="dxa"/>
          <w:trHeight w:val="240"/>
        </w:trPr>
        <w:tc>
          <w:tcPr>
            <w:tcW w:w="216" w:type="dxa"/>
            <w:tcBorders>
              <w:top w:val="nil"/>
              <w:left w:val="nil"/>
              <w:bottom w:val="nil"/>
              <w:right w:val="nil"/>
            </w:tcBorders>
            <w:shd w:val="clear" w:color="auto" w:fill="auto"/>
            <w:noWrap/>
            <w:vAlign w:val="center"/>
            <w:hideMark/>
          </w:tcPr>
          <w:p w14:paraId="4A9EF026" w14:textId="77777777" w:rsidR="00BC5219" w:rsidRPr="009C55C2" w:rsidRDefault="00BC5219" w:rsidP="00E83802">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4E6FBA72"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Unearned revenue – service concession arrangements </w:t>
            </w:r>
          </w:p>
        </w:tc>
        <w:tc>
          <w:tcPr>
            <w:tcW w:w="1021" w:type="dxa"/>
            <w:tcBorders>
              <w:top w:val="nil"/>
              <w:left w:val="nil"/>
              <w:bottom w:val="nil"/>
              <w:right w:val="nil"/>
            </w:tcBorders>
            <w:shd w:val="clear" w:color="auto" w:fill="auto"/>
            <w:noWrap/>
            <w:vAlign w:val="center"/>
            <w:hideMark/>
          </w:tcPr>
          <w:p w14:paraId="2F507CAF"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16</w:t>
            </w:r>
          </w:p>
        </w:tc>
        <w:tc>
          <w:tcPr>
            <w:tcW w:w="215" w:type="dxa"/>
            <w:tcBorders>
              <w:top w:val="nil"/>
              <w:left w:val="nil"/>
              <w:bottom w:val="nil"/>
              <w:right w:val="nil"/>
            </w:tcBorders>
            <w:shd w:val="clear" w:color="auto" w:fill="auto"/>
            <w:noWrap/>
            <w:vAlign w:val="center"/>
            <w:hideMark/>
          </w:tcPr>
          <w:p w14:paraId="3DCC142D" w14:textId="77777777" w:rsidR="00BC5219" w:rsidRPr="009C55C2" w:rsidRDefault="00BC5219" w:rsidP="00E83802">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592ECA94"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6,923,134 </w:t>
            </w:r>
          </w:p>
        </w:tc>
        <w:tc>
          <w:tcPr>
            <w:tcW w:w="216" w:type="dxa"/>
            <w:tcBorders>
              <w:top w:val="nil"/>
              <w:left w:val="nil"/>
              <w:bottom w:val="nil"/>
              <w:right w:val="nil"/>
            </w:tcBorders>
            <w:shd w:val="clear" w:color="auto" w:fill="auto"/>
            <w:noWrap/>
            <w:vAlign w:val="center"/>
            <w:hideMark/>
          </w:tcPr>
          <w:p w14:paraId="731E6D80" w14:textId="77777777" w:rsidR="00BC5219" w:rsidRPr="009C55C2"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715BAA41"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7,155,314 </w:t>
            </w:r>
          </w:p>
        </w:tc>
      </w:tr>
      <w:tr w:rsidR="00BC5219" w:rsidRPr="009C55C2" w14:paraId="659A493F" w14:textId="77777777" w:rsidTr="00E83802">
        <w:trPr>
          <w:gridAfter w:val="1"/>
          <w:wAfter w:w="8" w:type="dxa"/>
          <w:trHeight w:val="240"/>
        </w:trPr>
        <w:tc>
          <w:tcPr>
            <w:tcW w:w="216" w:type="dxa"/>
            <w:tcBorders>
              <w:top w:val="nil"/>
              <w:left w:val="nil"/>
              <w:bottom w:val="nil"/>
              <w:right w:val="nil"/>
            </w:tcBorders>
            <w:shd w:val="clear" w:color="auto" w:fill="auto"/>
            <w:noWrap/>
            <w:vAlign w:val="center"/>
            <w:hideMark/>
          </w:tcPr>
          <w:p w14:paraId="528D6DFD" w14:textId="77777777" w:rsidR="00BC5219" w:rsidRPr="009C55C2" w:rsidRDefault="00BC5219" w:rsidP="00E83802">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16C15615"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Lease liabilities</w:t>
            </w:r>
          </w:p>
        </w:tc>
        <w:tc>
          <w:tcPr>
            <w:tcW w:w="1021" w:type="dxa"/>
            <w:tcBorders>
              <w:top w:val="nil"/>
              <w:left w:val="nil"/>
              <w:bottom w:val="nil"/>
              <w:right w:val="nil"/>
            </w:tcBorders>
            <w:shd w:val="clear" w:color="auto" w:fill="auto"/>
            <w:noWrap/>
            <w:vAlign w:val="center"/>
            <w:hideMark/>
          </w:tcPr>
          <w:p w14:paraId="12102EEF"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17</w:t>
            </w:r>
          </w:p>
        </w:tc>
        <w:tc>
          <w:tcPr>
            <w:tcW w:w="215" w:type="dxa"/>
            <w:tcBorders>
              <w:top w:val="nil"/>
              <w:left w:val="nil"/>
              <w:bottom w:val="nil"/>
              <w:right w:val="nil"/>
            </w:tcBorders>
            <w:shd w:val="clear" w:color="auto" w:fill="auto"/>
            <w:noWrap/>
            <w:vAlign w:val="center"/>
            <w:hideMark/>
          </w:tcPr>
          <w:p w14:paraId="11E54F5C" w14:textId="77777777" w:rsidR="00BC5219" w:rsidRPr="009C55C2" w:rsidRDefault="00BC5219" w:rsidP="00E83802">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2522294E"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85,780 </w:t>
            </w:r>
          </w:p>
        </w:tc>
        <w:tc>
          <w:tcPr>
            <w:tcW w:w="216" w:type="dxa"/>
            <w:tcBorders>
              <w:top w:val="nil"/>
              <w:left w:val="nil"/>
              <w:bottom w:val="nil"/>
              <w:right w:val="nil"/>
            </w:tcBorders>
            <w:shd w:val="clear" w:color="auto" w:fill="auto"/>
            <w:noWrap/>
            <w:vAlign w:val="center"/>
            <w:hideMark/>
          </w:tcPr>
          <w:p w14:paraId="2A97679C" w14:textId="77777777" w:rsidR="00BC5219" w:rsidRPr="009C55C2"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0D6E9016"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3,274 </w:t>
            </w:r>
          </w:p>
        </w:tc>
      </w:tr>
      <w:tr w:rsidR="00BC5219" w:rsidRPr="009C55C2" w14:paraId="4F690DC8" w14:textId="77777777" w:rsidTr="00E83802">
        <w:trPr>
          <w:gridAfter w:val="1"/>
          <w:wAfter w:w="8" w:type="dxa"/>
          <w:trHeight w:val="240"/>
        </w:trPr>
        <w:tc>
          <w:tcPr>
            <w:tcW w:w="216" w:type="dxa"/>
            <w:tcBorders>
              <w:top w:val="nil"/>
              <w:left w:val="nil"/>
              <w:bottom w:val="single" w:sz="4" w:space="0" w:color="auto"/>
              <w:right w:val="nil"/>
            </w:tcBorders>
            <w:shd w:val="clear" w:color="auto" w:fill="auto"/>
            <w:noWrap/>
            <w:vAlign w:val="center"/>
            <w:hideMark/>
          </w:tcPr>
          <w:p w14:paraId="6AF8EAFF"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4990" w:type="dxa"/>
            <w:tcBorders>
              <w:top w:val="nil"/>
              <w:left w:val="nil"/>
              <w:bottom w:val="single" w:sz="4" w:space="0" w:color="auto"/>
              <w:right w:val="nil"/>
            </w:tcBorders>
            <w:shd w:val="clear" w:color="auto" w:fill="auto"/>
            <w:noWrap/>
            <w:vAlign w:val="center"/>
            <w:hideMark/>
          </w:tcPr>
          <w:p w14:paraId="6A5C352A"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Other</w:t>
            </w:r>
          </w:p>
        </w:tc>
        <w:tc>
          <w:tcPr>
            <w:tcW w:w="1021" w:type="dxa"/>
            <w:tcBorders>
              <w:top w:val="nil"/>
              <w:left w:val="nil"/>
              <w:bottom w:val="single" w:sz="4" w:space="0" w:color="auto"/>
              <w:right w:val="nil"/>
            </w:tcBorders>
            <w:shd w:val="clear" w:color="auto" w:fill="auto"/>
            <w:noWrap/>
            <w:vAlign w:val="center"/>
            <w:hideMark/>
          </w:tcPr>
          <w:p w14:paraId="6E708843"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22</w:t>
            </w:r>
          </w:p>
        </w:tc>
        <w:tc>
          <w:tcPr>
            <w:tcW w:w="215" w:type="dxa"/>
            <w:tcBorders>
              <w:top w:val="nil"/>
              <w:left w:val="nil"/>
              <w:bottom w:val="single" w:sz="4" w:space="0" w:color="auto"/>
              <w:right w:val="nil"/>
            </w:tcBorders>
            <w:shd w:val="clear" w:color="auto" w:fill="auto"/>
            <w:noWrap/>
            <w:vAlign w:val="center"/>
            <w:hideMark/>
          </w:tcPr>
          <w:p w14:paraId="6E2863C7"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1514" w:type="dxa"/>
            <w:tcBorders>
              <w:top w:val="nil"/>
              <w:left w:val="nil"/>
              <w:bottom w:val="single" w:sz="4" w:space="0" w:color="auto"/>
              <w:right w:val="nil"/>
            </w:tcBorders>
            <w:shd w:val="clear" w:color="000000" w:fill="C9E3B4"/>
            <w:noWrap/>
            <w:vAlign w:val="center"/>
            <w:hideMark/>
          </w:tcPr>
          <w:p w14:paraId="1E88C9CC"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108 </w:t>
            </w:r>
          </w:p>
        </w:tc>
        <w:tc>
          <w:tcPr>
            <w:tcW w:w="216" w:type="dxa"/>
            <w:tcBorders>
              <w:top w:val="nil"/>
              <w:left w:val="nil"/>
              <w:bottom w:val="single" w:sz="4" w:space="0" w:color="auto"/>
              <w:right w:val="nil"/>
            </w:tcBorders>
            <w:shd w:val="clear" w:color="auto" w:fill="auto"/>
            <w:noWrap/>
            <w:vAlign w:val="center"/>
            <w:hideMark/>
          </w:tcPr>
          <w:p w14:paraId="00B25E5F"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1514" w:type="dxa"/>
            <w:tcBorders>
              <w:top w:val="nil"/>
              <w:left w:val="nil"/>
              <w:bottom w:val="single" w:sz="4" w:space="0" w:color="auto"/>
              <w:right w:val="nil"/>
            </w:tcBorders>
            <w:shd w:val="clear" w:color="auto" w:fill="auto"/>
            <w:noWrap/>
            <w:vAlign w:val="center"/>
            <w:hideMark/>
          </w:tcPr>
          <w:p w14:paraId="55DB0C05"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r>
      <w:tr w:rsidR="00BC5219" w:rsidRPr="009C55C2" w14:paraId="35933E96" w14:textId="77777777" w:rsidTr="00E83802">
        <w:trPr>
          <w:gridAfter w:val="1"/>
          <w:wAfter w:w="8" w:type="dxa"/>
          <w:trHeight w:val="240"/>
        </w:trPr>
        <w:tc>
          <w:tcPr>
            <w:tcW w:w="216" w:type="dxa"/>
            <w:tcBorders>
              <w:top w:val="single" w:sz="4" w:space="0" w:color="auto"/>
              <w:left w:val="nil"/>
              <w:bottom w:val="nil"/>
              <w:right w:val="nil"/>
            </w:tcBorders>
            <w:shd w:val="clear" w:color="auto" w:fill="auto"/>
            <w:noWrap/>
            <w:vAlign w:val="center"/>
            <w:hideMark/>
          </w:tcPr>
          <w:p w14:paraId="0C42A187"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4990" w:type="dxa"/>
            <w:tcBorders>
              <w:top w:val="single" w:sz="4" w:space="0" w:color="auto"/>
              <w:left w:val="nil"/>
              <w:bottom w:val="nil"/>
              <w:right w:val="nil"/>
            </w:tcBorders>
            <w:shd w:val="clear" w:color="auto" w:fill="auto"/>
            <w:noWrap/>
            <w:vAlign w:val="center"/>
            <w:hideMark/>
          </w:tcPr>
          <w:p w14:paraId="733B72C9" w14:textId="77777777" w:rsidR="00BC5219" w:rsidRPr="009C55C2" w:rsidRDefault="00BC5219" w:rsidP="00E83802">
            <w:pPr>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Total non-current liabilities</w:t>
            </w:r>
          </w:p>
        </w:tc>
        <w:tc>
          <w:tcPr>
            <w:tcW w:w="1021" w:type="dxa"/>
            <w:tcBorders>
              <w:top w:val="single" w:sz="4" w:space="0" w:color="auto"/>
              <w:left w:val="nil"/>
              <w:bottom w:val="nil"/>
              <w:right w:val="nil"/>
            </w:tcBorders>
            <w:shd w:val="clear" w:color="auto" w:fill="auto"/>
            <w:noWrap/>
            <w:vAlign w:val="center"/>
            <w:hideMark/>
          </w:tcPr>
          <w:p w14:paraId="4AAF7271"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215" w:type="dxa"/>
            <w:tcBorders>
              <w:top w:val="nil"/>
              <w:left w:val="nil"/>
              <w:bottom w:val="nil"/>
              <w:right w:val="nil"/>
            </w:tcBorders>
            <w:shd w:val="clear" w:color="auto" w:fill="auto"/>
            <w:noWrap/>
            <w:vAlign w:val="center"/>
            <w:hideMark/>
          </w:tcPr>
          <w:p w14:paraId="47C648C5" w14:textId="77777777" w:rsidR="00BC5219" w:rsidRPr="009C55C2" w:rsidRDefault="00BC5219" w:rsidP="00E83802">
            <w:pPr>
              <w:jc w:val="center"/>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w:t>
            </w:r>
          </w:p>
        </w:tc>
        <w:tc>
          <w:tcPr>
            <w:tcW w:w="1514" w:type="dxa"/>
            <w:tcBorders>
              <w:top w:val="nil"/>
              <w:left w:val="nil"/>
              <w:bottom w:val="nil"/>
              <w:right w:val="nil"/>
            </w:tcBorders>
            <w:shd w:val="clear" w:color="000000" w:fill="C9E3B4"/>
            <w:noWrap/>
            <w:vAlign w:val="center"/>
            <w:hideMark/>
          </w:tcPr>
          <w:p w14:paraId="1CE280BD"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xml:space="preserve">         8,342,395 </w:t>
            </w:r>
          </w:p>
        </w:tc>
        <w:tc>
          <w:tcPr>
            <w:tcW w:w="216" w:type="dxa"/>
            <w:tcBorders>
              <w:top w:val="nil"/>
              <w:left w:val="nil"/>
              <w:bottom w:val="nil"/>
              <w:right w:val="nil"/>
            </w:tcBorders>
            <w:shd w:val="clear" w:color="auto" w:fill="auto"/>
            <w:noWrap/>
            <w:vAlign w:val="center"/>
            <w:hideMark/>
          </w:tcPr>
          <w:p w14:paraId="38719DF7"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w:t>
            </w:r>
          </w:p>
        </w:tc>
        <w:tc>
          <w:tcPr>
            <w:tcW w:w="1514" w:type="dxa"/>
            <w:tcBorders>
              <w:top w:val="nil"/>
              <w:left w:val="nil"/>
              <w:bottom w:val="nil"/>
              <w:right w:val="nil"/>
            </w:tcBorders>
            <w:shd w:val="clear" w:color="auto" w:fill="auto"/>
            <w:noWrap/>
            <w:vAlign w:val="center"/>
            <w:hideMark/>
          </w:tcPr>
          <w:p w14:paraId="79C5D542"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xml:space="preserve">8,592,353 </w:t>
            </w:r>
          </w:p>
        </w:tc>
      </w:tr>
      <w:tr w:rsidR="00BC5219" w:rsidRPr="009C55C2" w14:paraId="7CF34AE1" w14:textId="77777777" w:rsidTr="00E83802">
        <w:trPr>
          <w:gridAfter w:val="1"/>
          <w:wAfter w:w="8" w:type="dxa"/>
          <w:trHeight w:val="240"/>
        </w:trPr>
        <w:tc>
          <w:tcPr>
            <w:tcW w:w="216" w:type="dxa"/>
            <w:tcBorders>
              <w:top w:val="nil"/>
              <w:left w:val="nil"/>
              <w:bottom w:val="nil"/>
              <w:right w:val="nil"/>
            </w:tcBorders>
            <w:shd w:val="clear" w:color="auto" w:fill="auto"/>
            <w:noWrap/>
            <w:vAlign w:val="center"/>
            <w:hideMark/>
          </w:tcPr>
          <w:p w14:paraId="6CD4D2D6" w14:textId="77777777" w:rsidR="00BC5219" w:rsidRPr="009C55C2" w:rsidRDefault="00BC5219" w:rsidP="00E83802">
            <w:pPr>
              <w:jc w:val="right"/>
              <w:rPr>
                <w:rFonts w:ascii="Meta Pro" w:eastAsia="Times New Roman" w:hAnsi="Meta Pro"/>
                <w:b/>
                <w:bCs/>
                <w:color w:val="000000"/>
                <w:szCs w:val="18"/>
                <w:lang w:eastAsia="en-AU"/>
              </w:rPr>
            </w:pPr>
          </w:p>
        </w:tc>
        <w:tc>
          <w:tcPr>
            <w:tcW w:w="4990" w:type="dxa"/>
            <w:tcBorders>
              <w:top w:val="nil"/>
              <w:left w:val="nil"/>
              <w:bottom w:val="nil"/>
              <w:right w:val="nil"/>
            </w:tcBorders>
            <w:shd w:val="clear" w:color="auto" w:fill="auto"/>
            <w:noWrap/>
            <w:vAlign w:val="center"/>
            <w:hideMark/>
          </w:tcPr>
          <w:p w14:paraId="3BA94D7C" w14:textId="77777777" w:rsidR="00BC5219" w:rsidRPr="009C55C2" w:rsidRDefault="00BC5219" w:rsidP="00E83802">
            <w:pPr>
              <w:rPr>
                <w:rFonts w:ascii="Meta Pro" w:eastAsia="Times New Roman" w:hAnsi="Meta Pro" w:cs="Times New Roman"/>
                <w:sz w:val="20"/>
                <w:szCs w:val="20"/>
                <w:lang w:eastAsia="en-AU"/>
              </w:rPr>
            </w:pPr>
          </w:p>
        </w:tc>
        <w:tc>
          <w:tcPr>
            <w:tcW w:w="1021" w:type="dxa"/>
            <w:tcBorders>
              <w:top w:val="nil"/>
              <w:left w:val="nil"/>
              <w:bottom w:val="nil"/>
              <w:right w:val="nil"/>
            </w:tcBorders>
            <w:shd w:val="clear" w:color="auto" w:fill="auto"/>
            <w:noWrap/>
            <w:vAlign w:val="center"/>
            <w:hideMark/>
          </w:tcPr>
          <w:p w14:paraId="690E5DB2" w14:textId="77777777" w:rsidR="00BC5219" w:rsidRPr="009C55C2" w:rsidRDefault="00BC5219" w:rsidP="00E83802">
            <w:pPr>
              <w:rPr>
                <w:rFonts w:ascii="Meta Pro" w:eastAsia="Times New Roman" w:hAnsi="Meta Pro"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672D52B9" w14:textId="77777777" w:rsidR="00BC5219" w:rsidRPr="009C55C2"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50CB73F9"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282CFF76" w14:textId="77777777" w:rsidR="00BC5219" w:rsidRPr="009C55C2"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615109D6" w14:textId="77777777" w:rsidR="00BC5219" w:rsidRPr="009C55C2" w:rsidRDefault="00BC5219" w:rsidP="00E83802">
            <w:pPr>
              <w:jc w:val="right"/>
              <w:rPr>
                <w:rFonts w:ascii="Meta Pro" w:eastAsia="Times New Roman" w:hAnsi="Meta Pro" w:cs="Times New Roman"/>
                <w:sz w:val="20"/>
                <w:szCs w:val="20"/>
                <w:lang w:eastAsia="en-AU"/>
              </w:rPr>
            </w:pPr>
          </w:p>
        </w:tc>
      </w:tr>
      <w:tr w:rsidR="00BC5219" w:rsidRPr="009C55C2" w14:paraId="00457F8C" w14:textId="77777777" w:rsidTr="00E83802">
        <w:trPr>
          <w:trHeight w:val="240"/>
        </w:trPr>
        <w:tc>
          <w:tcPr>
            <w:tcW w:w="4990" w:type="dxa"/>
            <w:gridSpan w:val="2"/>
            <w:tcBorders>
              <w:top w:val="nil"/>
              <w:left w:val="nil"/>
              <w:bottom w:val="single" w:sz="4" w:space="0" w:color="auto"/>
              <w:right w:val="nil"/>
            </w:tcBorders>
            <w:shd w:val="clear" w:color="auto" w:fill="auto"/>
            <w:noWrap/>
            <w:vAlign w:val="center"/>
            <w:hideMark/>
          </w:tcPr>
          <w:p w14:paraId="1C8C8869" w14:textId="77777777" w:rsidR="00BC5219" w:rsidRPr="009C55C2" w:rsidRDefault="00BC5219" w:rsidP="00E83802">
            <w:pPr>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Total liabilities</w:t>
            </w:r>
          </w:p>
        </w:tc>
        <w:tc>
          <w:tcPr>
            <w:tcW w:w="1021" w:type="dxa"/>
            <w:tcBorders>
              <w:top w:val="nil"/>
              <w:left w:val="nil"/>
              <w:bottom w:val="single" w:sz="4" w:space="0" w:color="auto"/>
              <w:right w:val="nil"/>
            </w:tcBorders>
            <w:shd w:val="clear" w:color="auto" w:fill="auto"/>
            <w:noWrap/>
            <w:vAlign w:val="center"/>
            <w:hideMark/>
          </w:tcPr>
          <w:p w14:paraId="5659E28F"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215" w:type="dxa"/>
            <w:tcBorders>
              <w:top w:val="nil"/>
              <w:left w:val="nil"/>
              <w:bottom w:val="single" w:sz="4" w:space="0" w:color="auto"/>
              <w:right w:val="nil"/>
            </w:tcBorders>
            <w:shd w:val="clear" w:color="auto" w:fill="auto"/>
            <w:noWrap/>
            <w:vAlign w:val="center"/>
            <w:hideMark/>
          </w:tcPr>
          <w:p w14:paraId="51556D8D"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1514" w:type="dxa"/>
            <w:tcBorders>
              <w:top w:val="nil"/>
              <w:left w:val="nil"/>
              <w:bottom w:val="single" w:sz="4" w:space="0" w:color="auto"/>
              <w:right w:val="nil"/>
            </w:tcBorders>
            <w:shd w:val="clear" w:color="000000" w:fill="C9E3B4"/>
            <w:noWrap/>
            <w:vAlign w:val="center"/>
            <w:hideMark/>
          </w:tcPr>
          <w:p w14:paraId="55589FC0"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xml:space="preserve">        10,185,996 </w:t>
            </w:r>
          </w:p>
        </w:tc>
        <w:tc>
          <w:tcPr>
            <w:tcW w:w="216" w:type="dxa"/>
            <w:tcBorders>
              <w:top w:val="nil"/>
              <w:left w:val="nil"/>
              <w:bottom w:val="single" w:sz="4" w:space="0" w:color="auto"/>
              <w:right w:val="nil"/>
            </w:tcBorders>
            <w:shd w:val="clear" w:color="auto" w:fill="auto"/>
            <w:noWrap/>
            <w:vAlign w:val="center"/>
            <w:hideMark/>
          </w:tcPr>
          <w:p w14:paraId="43F5674F"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w:t>
            </w:r>
          </w:p>
        </w:tc>
        <w:tc>
          <w:tcPr>
            <w:tcW w:w="1514" w:type="dxa"/>
            <w:gridSpan w:val="2"/>
            <w:tcBorders>
              <w:top w:val="nil"/>
              <w:left w:val="nil"/>
              <w:bottom w:val="single" w:sz="4" w:space="0" w:color="auto"/>
              <w:right w:val="nil"/>
            </w:tcBorders>
            <w:shd w:val="clear" w:color="auto" w:fill="auto"/>
            <w:noWrap/>
            <w:vAlign w:val="center"/>
            <w:hideMark/>
          </w:tcPr>
          <w:p w14:paraId="38892461"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xml:space="preserve">       10,042,913 </w:t>
            </w:r>
          </w:p>
        </w:tc>
      </w:tr>
      <w:tr w:rsidR="00BC5219" w:rsidRPr="009C55C2" w14:paraId="6B2E56DF" w14:textId="77777777" w:rsidTr="00E83802">
        <w:trPr>
          <w:gridAfter w:val="1"/>
          <w:wAfter w:w="8" w:type="dxa"/>
          <w:trHeight w:val="240"/>
        </w:trPr>
        <w:tc>
          <w:tcPr>
            <w:tcW w:w="216" w:type="dxa"/>
            <w:tcBorders>
              <w:top w:val="nil"/>
              <w:left w:val="nil"/>
              <w:bottom w:val="nil"/>
              <w:right w:val="nil"/>
            </w:tcBorders>
            <w:shd w:val="clear" w:color="auto" w:fill="auto"/>
            <w:noWrap/>
            <w:vAlign w:val="center"/>
            <w:hideMark/>
          </w:tcPr>
          <w:p w14:paraId="053ADD54" w14:textId="77777777" w:rsidR="00BC5219" w:rsidRPr="009C55C2" w:rsidRDefault="00BC5219" w:rsidP="00E83802">
            <w:pPr>
              <w:jc w:val="right"/>
              <w:rPr>
                <w:rFonts w:ascii="Meta Pro" w:eastAsia="Times New Roman" w:hAnsi="Meta Pro"/>
                <w:b/>
                <w:bCs/>
                <w:color w:val="000000"/>
                <w:szCs w:val="18"/>
                <w:lang w:eastAsia="en-AU"/>
              </w:rPr>
            </w:pPr>
          </w:p>
        </w:tc>
        <w:tc>
          <w:tcPr>
            <w:tcW w:w="4990" w:type="dxa"/>
            <w:tcBorders>
              <w:top w:val="nil"/>
              <w:left w:val="nil"/>
              <w:bottom w:val="nil"/>
              <w:right w:val="nil"/>
            </w:tcBorders>
            <w:shd w:val="clear" w:color="auto" w:fill="auto"/>
            <w:noWrap/>
            <w:vAlign w:val="center"/>
            <w:hideMark/>
          </w:tcPr>
          <w:p w14:paraId="3E498D39" w14:textId="77777777" w:rsidR="00BC5219" w:rsidRPr="009C55C2" w:rsidRDefault="00BC5219" w:rsidP="00E83802">
            <w:pPr>
              <w:rPr>
                <w:rFonts w:ascii="Meta Pro" w:eastAsia="Times New Roman" w:hAnsi="Meta Pro" w:cs="Times New Roman"/>
                <w:sz w:val="20"/>
                <w:szCs w:val="20"/>
                <w:lang w:eastAsia="en-AU"/>
              </w:rPr>
            </w:pPr>
          </w:p>
        </w:tc>
        <w:tc>
          <w:tcPr>
            <w:tcW w:w="1021" w:type="dxa"/>
            <w:tcBorders>
              <w:top w:val="single" w:sz="4" w:space="0" w:color="auto"/>
              <w:left w:val="nil"/>
              <w:bottom w:val="single" w:sz="4" w:space="0" w:color="auto"/>
              <w:right w:val="nil"/>
            </w:tcBorders>
            <w:shd w:val="clear" w:color="auto" w:fill="auto"/>
            <w:noWrap/>
            <w:vAlign w:val="center"/>
            <w:hideMark/>
          </w:tcPr>
          <w:p w14:paraId="26BBA447"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215" w:type="dxa"/>
            <w:tcBorders>
              <w:top w:val="nil"/>
              <w:left w:val="nil"/>
              <w:bottom w:val="nil"/>
              <w:right w:val="nil"/>
            </w:tcBorders>
            <w:shd w:val="clear" w:color="auto" w:fill="auto"/>
            <w:noWrap/>
            <w:vAlign w:val="center"/>
            <w:hideMark/>
          </w:tcPr>
          <w:p w14:paraId="0799FFF4" w14:textId="77777777" w:rsidR="00BC5219" w:rsidRPr="009C55C2" w:rsidRDefault="00BC5219" w:rsidP="00E83802">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39FCE40C"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35C560E0" w14:textId="77777777" w:rsidR="00BC5219" w:rsidRPr="009C55C2"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702233E9" w14:textId="77777777" w:rsidR="00BC5219" w:rsidRPr="009C55C2" w:rsidRDefault="00BC5219" w:rsidP="00E83802">
            <w:pPr>
              <w:jc w:val="right"/>
              <w:rPr>
                <w:rFonts w:ascii="Meta Pro" w:eastAsia="Times New Roman" w:hAnsi="Meta Pro" w:cs="Times New Roman"/>
                <w:sz w:val="20"/>
                <w:szCs w:val="20"/>
                <w:lang w:eastAsia="en-AU"/>
              </w:rPr>
            </w:pPr>
          </w:p>
        </w:tc>
      </w:tr>
      <w:tr w:rsidR="00BC5219" w:rsidRPr="009C55C2" w14:paraId="63750930" w14:textId="77777777" w:rsidTr="00E83802">
        <w:trPr>
          <w:trHeight w:val="240"/>
        </w:trPr>
        <w:tc>
          <w:tcPr>
            <w:tcW w:w="4990" w:type="dxa"/>
            <w:gridSpan w:val="2"/>
            <w:tcBorders>
              <w:top w:val="single" w:sz="4" w:space="0" w:color="auto"/>
              <w:left w:val="nil"/>
              <w:bottom w:val="double" w:sz="6" w:space="0" w:color="auto"/>
              <w:right w:val="nil"/>
            </w:tcBorders>
            <w:shd w:val="clear" w:color="auto" w:fill="auto"/>
            <w:noWrap/>
            <w:vAlign w:val="center"/>
            <w:hideMark/>
          </w:tcPr>
          <w:p w14:paraId="6BC79222" w14:textId="77777777" w:rsidR="00BC5219" w:rsidRPr="009C55C2" w:rsidRDefault="00BC5219" w:rsidP="00E83802">
            <w:pPr>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NET ASSETS</w:t>
            </w:r>
          </w:p>
        </w:tc>
        <w:tc>
          <w:tcPr>
            <w:tcW w:w="1021" w:type="dxa"/>
            <w:tcBorders>
              <w:top w:val="single" w:sz="4" w:space="0" w:color="auto"/>
              <w:left w:val="nil"/>
              <w:bottom w:val="double" w:sz="6" w:space="0" w:color="auto"/>
              <w:right w:val="nil"/>
            </w:tcBorders>
            <w:shd w:val="clear" w:color="auto" w:fill="auto"/>
            <w:noWrap/>
            <w:vAlign w:val="center"/>
            <w:hideMark/>
          </w:tcPr>
          <w:p w14:paraId="623E1C8F"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215" w:type="dxa"/>
            <w:tcBorders>
              <w:top w:val="single" w:sz="4" w:space="0" w:color="auto"/>
              <w:left w:val="nil"/>
              <w:bottom w:val="double" w:sz="6" w:space="0" w:color="auto"/>
              <w:right w:val="nil"/>
            </w:tcBorders>
            <w:shd w:val="clear" w:color="auto" w:fill="auto"/>
            <w:noWrap/>
            <w:vAlign w:val="center"/>
            <w:hideMark/>
          </w:tcPr>
          <w:p w14:paraId="03DA7DAF"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1514" w:type="dxa"/>
            <w:tcBorders>
              <w:top w:val="single" w:sz="4" w:space="0" w:color="auto"/>
              <w:left w:val="nil"/>
              <w:bottom w:val="double" w:sz="6" w:space="0" w:color="auto"/>
              <w:right w:val="nil"/>
            </w:tcBorders>
            <w:shd w:val="clear" w:color="000000" w:fill="C9E3B4"/>
            <w:noWrap/>
            <w:vAlign w:val="center"/>
            <w:hideMark/>
          </w:tcPr>
          <w:p w14:paraId="70144CFB"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xml:space="preserve">     109,731,906 </w:t>
            </w:r>
          </w:p>
        </w:tc>
        <w:tc>
          <w:tcPr>
            <w:tcW w:w="216" w:type="dxa"/>
            <w:tcBorders>
              <w:top w:val="single" w:sz="4" w:space="0" w:color="auto"/>
              <w:left w:val="nil"/>
              <w:bottom w:val="double" w:sz="6" w:space="0" w:color="auto"/>
              <w:right w:val="nil"/>
            </w:tcBorders>
            <w:shd w:val="clear" w:color="auto" w:fill="auto"/>
            <w:noWrap/>
            <w:vAlign w:val="center"/>
            <w:hideMark/>
          </w:tcPr>
          <w:p w14:paraId="55DA320B"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w:t>
            </w:r>
          </w:p>
        </w:tc>
        <w:tc>
          <w:tcPr>
            <w:tcW w:w="1514" w:type="dxa"/>
            <w:gridSpan w:val="2"/>
            <w:tcBorders>
              <w:top w:val="single" w:sz="4" w:space="0" w:color="auto"/>
              <w:left w:val="nil"/>
              <w:bottom w:val="double" w:sz="6" w:space="0" w:color="auto"/>
              <w:right w:val="nil"/>
            </w:tcBorders>
            <w:shd w:val="clear" w:color="auto" w:fill="auto"/>
            <w:noWrap/>
            <w:vAlign w:val="center"/>
            <w:hideMark/>
          </w:tcPr>
          <w:p w14:paraId="2EBEA963"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xml:space="preserve">       90,707,728 </w:t>
            </w:r>
          </w:p>
        </w:tc>
      </w:tr>
      <w:tr w:rsidR="00BC5219" w:rsidRPr="009C55C2" w14:paraId="31998764" w14:textId="77777777" w:rsidTr="00E83802">
        <w:trPr>
          <w:gridAfter w:val="1"/>
          <w:wAfter w:w="8" w:type="dxa"/>
          <w:trHeight w:val="240"/>
        </w:trPr>
        <w:tc>
          <w:tcPr>
            <w:tcW w:w="216" w:type="dxa"/>
            <w:tcBorders>
              <w:top w:val="nil"/>
              <w:left w:val="nil"/>
              <w:bottom w:val="nil"/>
              <w:right w:val="nil"/>
            </w:tcBorders>
            <w:shd w:val="clear" w:color="auto" w:fill="auto"/>
            <w:noWrap/>
            <w:vAlign w:val="center"/>
            <w:hideMark/>
          </w:tcPr>
          <w:p w14:paraId="1BEE688E" w14:textId="77777777" w:rsidR="00BC5219" w:rsidRPr="009C55C2" w:rsidRDefault="00BC5219" w:rsidP="00E83802">
            <w:pPr>
              <w:jc w:val="right"/>
              <w:rPr>
                <w:rFonts w:ascii="Meta Pro" w:eastAsia="Times New Roman" w:hAnsi="Meta Pro"/>
                <w:b/>
                <w:bCs/>
                <w:color w:val="000000"/>
                <w:szCs w:val="18"/>
                <w:lang w:eastAsia="en-AU"/>
              </w:rPr>
            </w:pPr>
          </w:p>
        </w:tc>
        <w:tc>
          <w:tcPr>
            <w:tcW w:w="4990" w:type="dxa"/>
            <w:tcBorders>
              <w:top w:val="nil"/>
              <w:left w:val="nil"/>
              <w:bottom w:val="nil"/>
              <w:right w:val="nil"/>
            </w:tcBorders>
            <w:shd w:val="clear" w:color="auto" w:fill="auto"/>
            <w:noWrap/>
            <w:vAlign w:val="center"/>
            <w:hideMark/>
          </w:tcPr>
          <w:p w14:paraId="242DDB91" w14:textId="77777777" w:rsidR="00BC5219" w:rsidRPr="009C55C2" w:rsidRDefault="00BC5219" w:rsidP="00E83802">
            <w:pPr>
              <w:rPr>
                <w:rFonts w:ascii="Meta Pro" w:eastAsia="Times New Roman" w:hAnsi="Meta Pro" w:cs="Times New Roman"/>
                <w:sz w:val="20"/>
                <w:szCs w:val="20"/>
                <w:lang w:eastAsia="en-AU"/>
              </w:rPr>
            </w:pPr>
          </w:p>
        </w:tc>
        <w:tc>
          <w:tcPr>
            <w:tcW w:w="1021" w:type="dxa"/>
            <w:tcBorders>
              <w:top w:val="double" w:sz="6" w:space="0" w:color="auto"/>
              <w:left w:val="nil"/>
              <w:bottom w:val="nil"/>
              <w:right w:val="nil"/>
            </w:tcBorders>
            <w:shd w:val="clear" w:color="auto" w:fill="auto"/>
            <w:noWrap/>
            <w:vAlign w:val="center"/>
            <w:hideMark/>
          </w:tcPr>
          <w:p w14:paraId="0E4D0433"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215" w:type="dxa"/>
            <w:tcBorders>
              <w:top w:val="nil"/>
              <w:left w:val="nil"/>
              <w:bottom w:val="nil"/>
              <w:right w:val="nil"/>
            </w:tcBorders>
            <w:shd w:val="clear" w:color="auto" w:fill="auto"/>
            <w:noWrap/>
            <w:vAlign w:val="center"/>
            <w:hideMark/>
          </w:tcPr>
          <w:p w14:paraId="3BA6C6AF" w14:textId="77777777" w:rsidR="00BC5219" w:rsidRPr="009C55C2" w:rsidRDefault="00BC5219" w:rsidP="00E83802">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0820FD39"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749F186B" w14:textId="77777777" w:rsidR="00BC5219" w:rsidRPr="009C55C2"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1678C13A" w14:textId="77777777" w:rsidR="00BC5219" w:rsidRPr="009C55C2" w:rsidRDefault="00BC5219" w:rsidP="00E83802">
            <w:pPr>
              <w:jc w:val="right"/>
              <w:rPr>
                <w:rFonts w:ascii="Meta Pro" w:eastAsia="Times New Roman" w:hAnsi="Meta Pro" w:cs="Times New Roman"/>
                <w:sz w:val="20"/>
                <w:szCs w:val="20"/>
                <w:lang w:eastAsia="en-AU"/>
              </w:rPr>
            </w:pPr>
          </w:p>
        </w:tc>
      </w:tr>
      <w:tr w:rsidR="00BC5219" w:rsidRPr="009C55C2" w14:paraId="5B48B1E4" w14:textId="77777777" w:rsidTr="00E83802">
        <w:trPr>
          <w:trHeight w:val="240"/>
        </w:trPr>
        <w:tc>
          <w:tcPr>
            <w:tcW w:w="4990" w:type="dxa"/>
            <w:gridSpan w:val="2"/>
            <w:tcBorders>
              <w:top w:val="nil"/>
              <w:left w:val="nil"/>
              <w:bottom w:val="nil"/>
              <w:right w:val="nil"/>
            </w:tcBorders>
            <w:shd w:val="clear" w:color="auto" w:fill="auto"/>
            <w:noWrap/>
            <w:vAlign w:val="center"/>
            <w:hideMark/>
          </w:tcPr>
          <w:p w14:paraId="69EBDF71" w14:textId="77777777" w:rsidR="00BC5219" w:rsidRPr="009C55C2" w:rsidRDefault="00BC5219" w:rsidP="00E83802">
            <w:pPr>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Equity</w:t>
            </w:r>
          </w:p>
        </w:tc>
        <w:tc>
          <w:tcPr>
            <w:tcW w:w="1021" w:type="dxa"/>
            <w:tcBorders>
              <w:top w:val="nil"/>
              <w:left w:val="nil"/>
              <w:bottom w:val="nil"/>
              <w:right w:val="nil"/>
            </w:tcBorders>
            <w:shd w:val="clear" w:color="auto" w:fill="auto"/>
            <w:noWrap/>
            <w:vAlign w:val="center"/>
            <w:hideMark/>
          </w:tcPr>
          <w:p w14:paraId="18E7E345" w14:textId="77777777" w:rsidR="00BC5219" w:rsidRPr="009C55C2" w:rsidRDefault="00BC5219" w:rsidP="00E83802">
            <w:pPr>
              <w:rPr>
                <w:rFonts w:ascii="Meta Pro" w:eastAsia="Times New Roman" w:hAnsi="Meta Pro"/>
                <w:b/>
                <w:bCs/>
                <w:color w:val="000000"/>
                <w:szCs w:val="18"/>
                <w:lang w:eastAsia="en-AU"/>
              </w:rPr>
            </w:pPr>
          </w:p>
        </w:tc>
        <w:tc>
          <w:tcPr>
            <w:tcW w:w="215" w:type="dxa"/>
            <w:tcBorders>
              <w:top w:val="nil"/>
              <w:left w:val="nil"/>
              <w:bottom w:val="nil"/>
              <w:right w:val="nil"/>
            </w:tcBorders>
            <w:shd w:val="clear" w:color="auto" w:fill="auto"/>
            <w:noWrap/>
            <w:vAlign w:val="center"/>
            <w:hideMark/>
          </w:tcPr>
          <w:p w14:paraId="13069327" w14:textId="77777777" w:rsidR="00BC5219" w:rsidRPr="009C55C2"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7E4804C6"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2BEC1651" w14:textId="77777777" w:rsidR="00BC5219" w:rsidRPr="009C55C2" w:rsidRDefault="00BC5219" w:rsidP="00E83802">
            <w:pPr>
              <w:jc w:val="right"/>
              <w:rPr>
                <w:rFonts w:ascii="Meta Pro" w:eastAsia="Times New Roman" w:hAnsi="Meta Pro"/>
                <w:color w:val="000000"/>
                <w:szCs w:val="18"/>
                <w:lang w:eastAsia="en-AU"/>
              </w:rPr>
            </w:pPr>
          </w:p>
        </w:tc>
        <w:tc>
          <w:tcPr>
            <w:tcW w:w="1514" w:type="dxa"/>
            <w:gridSpan w:val="2"/>
            <w:tcBorders>
              <w:top w:val="nil"/>
              <w:left w:val="nil"/>
              <w:bottom w:val="nil"/>
              <w:right w:val="nil"/>
            </w:tcBorders>
            <w:shd w:val="clear" w:color="auto" w:fill="auto"/>
            <w:noWrap/>
            <w:vAlign w:val="center"/>
            <w:hideMark/>
          </w:tcPr>
          <w:p w14:paraId="1B20FAF8" w14:textId="77777777" w:rsidR="00BC5219" w:rsidRPr="009C55C2" w:rsidRDefault="00BC5219" w:rsidP="00E83802">
            <w:pPr>
              <w:jc w:val="right"/>
              <w:rPr>
                <w:rFonts w:ascii="Meta Pro" w:eastAsia="Times New Roman" w:hAnsi="Meta Pro" w:cs="Times New Roman"/>
                <w:sz w:val="20"/>
                <w:szCs w:val="20"/>
                <w:lang w:eastAsia="en-AU"/>
              </w:rPr>
            </w:pPr>
          </w:p>
        </w:tc>
      </w:tr>
      <w:tr w:rsidR="00BC5219" w:rsidRPr="009C55C2" w14:paraId="55E632FA" w14:textId="77777777" w:rsidTr="00E83802">
        <w:trPr>
          <w:gridAfter w:val="1"/>
          <w:wAfter w:w="8" w:type="dxa"/>
          <w:trHeight w:val="240"/>
        </w:trPr>
        <w:tc>
          <w:tcPr>
            <w:tcW w:w="216" w:type="dxa"/>
            <w:tcBorders>
              <w:top w:val="nil"/>
              <w:left w:val="nil"/>
              <w:bottom w:val="nil"/>
              <w:right w:val="nil"/>
            </w:tcBorders>
            <w:shd w:val="clear" w:color="auto" w:fill="auto"/>
            <w:noWrap/>
            <w:vAlign w:val="center"/>
            <w:hideMark/>
          </w:tcPr>
          <w:p w14:paraId="0EDD61B5" w14:textId="77777777" w:rsidR="00BC5219" w:rsidRPr="009C55C2" w:rsidRDefault="00BC5219" w:rsidP="00E83802">
            <w:pPr>
              <w:jc w:val="right"/>
              <w:rPr>
                <w:rFonts w:ascii="Meta Pro" w:eastAsia="Times New Roman" w:hAnsi="Meta Pro" w:cs="Times New Roman"/>
                <w:sz w:val="20"/>
                <w:szCs w:val="20"/>
                <w:lang w:eastAsia="en-AU"/>
              </w:rPr>
            </w:pPr>
          </w:p>
        </w:tc>
        <w:tc>
          <w:tcPr>
            <w:tcW w:w="4990" w:type="dxa"/>
            <w:tcBorders>
              <w:top w:val="nil"/>
              <w:left w:val="nil"/>
              <w:bottom w:val="nil"/>
              <w:right w:val="nil"/>
            </w:tcBorders>
            <w:shd w:val="clear" w:color="auto" w:fill="auto"/>
            <w:noWrap/>
            <w:vAlign w:val="center"/>
            <w:hideMark/>
          </w:tcPr>
          <w:p w14:paraId="5DFA031E"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Contributed equity</w:t>
            </w:r>
          </w:p>
        </w:tc>
        <w:tc>
          <w:tcPr>
            <w:tcW w:w="1021" w:type="dxa"/>
            <w:tcBorders>
              <w:top w:val="nil"/>
              <w:left w:val="nil"/>
              <w:bottom w:val="nil"/>
              <w:right w:val="nil"/>
            </w:tcBorders>
            <w:shd w:val="clear" w:color="auto" w:fill="auto"/>
            <w:noWrap/>
            <w:vAlign w:val="center"/>
            <w:hideMark/>
          </w:tcPr>
          <w:p w14:paraId="5B566FBC" w14:textId="77777777" w:rsidR="00BC5219" w:rsidRPr="009C55C2" w:rsidRDefault="00BC5219" w:rsidP="00E83802">
            <w:pPr>
              <w:rPr>
                <w:rFonts w:ascii="Meta Pro" w:eastAsia="Times New Roman" w:hAnsi="Meta Pro"/>
                <w:color w:val="000000"/>
                <w:szCs w:val="18"/>
                <w:lang w:eastAsia="en-AU"/>
              </w:rPr>
            </w:pPr>
          </w:p>
        </w:tc>
        <w:tc>
          <w:tcPr>
            <w:tcW w:w="215" w:type="dxa"/>
            <w:tcBorders>
              <w:top w:val="nil"/>
              <w:left w:val="nil"/>
              <w:bottom w:val="nil"/>
              <w:right w:val="nil"/>
            </w:tcBorders>
            <w:shd w:val="clear" w:color="auto" w:fill="auto"/>
            <w:noWrap/>
            <w:vAlign w:val="center"/>
            <w:hideMark/>
          </w:tcPr>
          <w:p w14:paraId="1E097756" w14:textId="77777777" w:rsidR="00BC5219" w:rsidRPr="009C55C2"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6C33D144"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70,014,674 </w:t>
            </w:r>
          </w:p>
        </w:tc>
        <w:tc>
          <w:tcPr>
            <w:tcW w:w="216" w:type="dxa"/>
            <w:tcBorders>
              <w:top w:val="nil"/>
              <w:left w:val="nil"/>
              <w:bottom w:val="nil"/>
              <w:right w:val="nil"/>
            </w:tcBorders>
            <w:shd w:val="clear" w:color="auto" w:fill="auto"/>
            <w:noWrap/>
            <w:vAlign w:val="center"/>
            <w:hideMark/>
          </w:tcPr>
          <w:p w14:paraId="1AF0124B" w14:textId="77777777" w:rsidR="00BC5219" w:rsidRPr="009C55C2"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06FA9301"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66,098,620 </w:t>
            </w:r>
          </w:p>
        </w:tc>
      </w:tr>
      <w:tr w:rsidR="00BC5219" w:rsidRPr="009C55C2" w14:paraId="332BE30B" w14:textId="77777777" w:rsidTr="00E83802">
        <w:trPr>
          <w:gridAfter w:val="1"/>
          <w:wAfter w:w="8" w:type="dxa"/>
          <w:trHeight w:val="240"/>
        </w:trPr>
        <w:tc>
          <w:tcPr>
            <w:tcW w:w="216" w:type="dxa"/>
            <w:tcBorders>
              <w:top w:val="nil"/>
              <w:left w:val="nil"/>
              <w:bottom w:val="nil"/>
              <w:right w:val="nil"/>
            </w:tcBorders>
            <w:shd w:val="clear" w:color="auto" w:fill="auto"/>
            <w:noWrap/>
            <w:vAlign w:val="center"/>
            <w:hideMark/>
          </w:tcPr>
          <w:p w14:paraId="7B3E81B3" w14:textId="77777777" w:rsidR="00BC5219" w:rsidRPr="009C55C2" w:rsidRDefault="00BC5219" w:rsidP="00E83802">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2802AAE9"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Accumulated surplus</w:t>
            </w:r>
          </w:p>
        </w:tc>
        <w:tc>
          <w:tcPr>
            <w:tcW w:w="1021" w:type="dxa"/>
            <w:tcBorders>
              <w:top w:val="nil"/>
              <w:left w:val="nil"/>
              <w:bottom w:val="nil"/>
              <w:right w:val="nil"/>
            </w:tcBorders>
            <w:shd w:val="clear" w:color="auto" w:fill="auto"/>
            <w:noWrap/>
            <w:vAlign w:val="center"/>
            <w:hideMark/>
          </w:tcPr>
          <w:p w14:paraId="0963824B" w14:textId="77777777" w:rsidR="00BC5219" w:rsidRPr="009C55C2" w:rsidRDefault="00BC5219" w:rsidP="00E83802">
            <w:pPr>
              <w:rPr>
                <w:rFonts w:ascii="Meta Pro" w:eastAsia="Times New Roman" w:hAnsi="Meta Pro"/>
                <w:color w:val="000000"/>
                <w:szCs w:val="18"/>
                <w:lang w:eastAsia="en-AU"/>
              </w:rPr>
            </w:pPr>
          </w:p>
        </w:tc>
        <w:tc>
          <w:tcPr>
            <w:tcW w:w="215" w:type="dxa"/>
            <w:tcBorders>
              <w:top w:val="nil"/>
              <w:left w:val="nil"/>
              <w:bottom w:val="nil"/>
              <w:right w:val="nil"/>
            </w:tcBorders>
            <w:shd w:val="clear" w:color="auto" w:fill="auto"/>
            <w:noWrap/>
            <w:vAlign w:val="center"/>
            <w:hideMark/>
          </w:tcPr>
          <w:p w14:paraId="498A1BF6" w14:textId="77777777" w:rsidR="00BC5219" w:rsidRPr="009C55C2"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525F865B"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3,682,603 </w:t>
            </w:r>
          </w:p>
        </w:tc>
        <w:tc>
          <w:tcPr>
            <w:tcW w:w="216" w:type="dxa"/>
            <w:tcBorders>
              <w:top w:val="nil"/>
              <w:left w:val="nil"/>
              <w:bottom w:val="nil"/>
              <w:right w:val="nil"/>
            </w:tcBorders>
            <w:shd w:val="clear" w:color="auto" w:fill="auto"/>
            <w:noWrap/>
            <w:vAlign w:val="center"/>
            <w:hideMark/>
          </w:tcPr>
          <w:p w14:paraId="35B230AB" w14:textId="77777777" w:rsidR="00BC5219" w:rsidRPr="009C55C2"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1001E146"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3,677,607 </w:t>
            </w:r>
          </w:p>
        </w:tc>
      </w:tr>
      <w:tr w:rsidR="00BC5219" w:rsidRPr="009C55C2" w14:paraId="2E70FAA6" w14:textId="77777777" w:rsidTr="00E83802">
        <w:trPr>
          <w:gridAfter w:val="1"/>
          <w:wAfter w:w="8" w:type="dxa"/>
          <w:trHeight w:val="240"/>
        </w:trPr>
        <w:tc>
          <w:tcPr>
            <w:tcW w:w="216" w:type="dxa"/>
            <w:tcBorders>
              <w:top w:val="nil"/>
              <w:left w:val="nil"/>
              <w:bottom w:val="nil"/>
              <w:right w:val="nil"/>
            </w:tcBorders>
            <w:shd w:val="clear" w:color="auto" w:fill="auto"/>
            <w:noWrap/>
            <w:vAlign w:val="center"/>
            <w:hideMark/>
          </w:tcPr>
          <w:p w14:paraId="35B1E1B5" w14:textId="77777777" w:rsidR="00BC5219" w:rsidRPr="009C55C2" w:rsidRDefault="00BC5219" w:rsidP="00E83802">
            <w:pPr>
              <w:jc w:val="right"/>
              <w:rPr>
                <w:rFonts w:ascii="Meta Pro" w:eastAsia="Times New Roman" w:hAnsi="Meta Pro"/>
                <w:color w:val="000000"/>
                <w:szCs w:val="18"/>
                <w:lang w:eastAsia="en-AU"/>
              </w:rPr>
            </w:pPr>
          </w:p>
        </w:tc>
        <w:tc>
          <w:tcPr>
            <w:tcW w:w="4990" w:type="dxa"/>
            <w:tcBorders>
              <w:top w:val="nil"/>
              <w:left w:val="nil"/>
              <w:bottom w:val="nil"/>
              <w:right w:val="nil"/>
            </w:tcBorders>
            <w:shd w:val="clear" w:color="auto" w:fill="auto"/>
            <w:noWrap/>
            <w:vAlign w:val="center"/>
            <w:hideMark/>
          </w:tcPr>
          <w:p w14:paraId="042CA5E3"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Asset revaluation surplus</w:t>
            </w:r>
          </w:p>
        </w:tc>
        <w:tc>
          <w:tcPr>
            <w:tcW w:w="1021" w:type="dxa"/>
            <w:tcBorders>
              <w:top w:val="nil"/>
              <w:left w:val="nil"/>
              <w:bottom w:val="single" w:sz="4" w:space="0" w:color="auto"/>
              <w:right w:val="nil"/>
            </w:tcBorders>
            <w:shd w:val="clear" w:color="auto" w:fill="auto"/>
            <w:noWrap/>
            <w:vAlign w:val="center"/>
            <w:hideMark/>
          </w:tcPr>
          <w:p w14:paraId="3FE4B3BB"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215" w:type="dxa"/>
            <w:tcBorders>
              <w:top w:val="nil"/>
              <w:left w:val="nil"/>
              <w:bottom w:val="nil"/>
              <w:right w:val="nil"/>
            </w:tcBorders>
            <w:shd w:val="clear" w:color="auto" w:fill="auto"/>
            <w:noWrap/>
            <w:vAlign w:val="center"/>
            <w:hideMark/>
          </w:tcPr>
          <w:p w14:paraId="43CFE49A" w14:textId="77777777" w:rsidR="00BC5219" w:rsidRPr="009C55C2" w:rsidRDefault="00BC5219" w:rsidP="00E83802">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1981AF5B"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36,034,629 </w:t>
            </w:r>
          </w:p>
        </w:tc>
        <w:tc>
          <w:tcPr>
            <w:tcW w:w="216" w:type="dxa"/>
            <w:tcBorders>
              <w:top w:val="nil"/>
              <w:left w:val="nil"/>
              <w:bottom w:val="nil"/>
              <w:right w:val="nil"/>
            </w:tcBorders>
            <w:shd w:val="clear" w:color="auto" w:fill="auto"/>
            <w:noWrap/>
            <w:vAlign w:val="center"/>
            <w:hideMark/>
          </w:tcPr>
          <w:p w14:paraId="1F30ED82" w14:textId="77777777" w:rsidR="00BC5219" w:rsidRPr="009C55C2"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33145797"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20,931,501 </w:t>
            </w:r>
          </w:p>
        </w:tc>
      </w:tr>
      <w:tr w:rsidR="00BC5219" w:rsidRPr="009C55C2" w14:paraId="142019B7" w14:textId="77777777" w:rsidTr="00E83802">
        <w:trPr>
          <w:trHeight w:val="240"/>
        </w:trPr>
        <w:tc>
          <w:tcPr>
            <w:tcW w:w="4990" w:type="dxa"/>
            <w:gridSpan w:val="2"/>
            <w:tcBorders>
              <w:top w:val="single" w:sz="4" w:space="0" w:color="auto"/>
              <w:left w:val="nil"/>
              <w:bottom w:val="double" w:sz="6" w:space="0" w:color="auto"/>
              <w:right w:val="nil"/>
            </w:tcBorders>
            <w:shd w:val="clear" w:color="auto" w:fill="auto"/>
            <w:noWrap/>
            <w:vAlign w:val="center"/>
            <w:hideMark/>
          </w:tcPr>
          <w:p w14:paraId="3F4C6E06" w14:textId="77777777" w:rsidR="00BC5219" w:rsidRPr="009C55C2" w:rsidRDefault="00BC5219" w:rsidP="00E83802">
            <w:pPr>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TOTAL EQUITY</w:t>
            </w:r>
          </w:p>
        </w:tc>
        <w:tc>
          <w:tcPr>
            <w:tcW w:w="1021" w:type="dxa"/>
            <w:tcBorders>
              <w:top w:val="single" w:sz="4" w:space="0" w:color="auto"/>
              <w:left w:val="nil"/>
              <w:bottom w:val="double" w:sz="6" w:space="0" w:color="auto"/>
              <w:right w:val="nil"/>
            </w:tcBorders>
            <w:shd w:val="clear" w:color="auto" w:fill="auto"/>
            <w:noWrap/>
            <w:vAlign w:val="center"/>
            <w:hideMark/>
          </w:tcPr>
          <w:p w14:paraId="7225AD19"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215" w:type="dxa"/>
            <w:tcBorders>
              <w:top w:val="single" w:sz="4" w:space="0" w:color="auto"/>
              <w:left w:val="nil"/>
              <w:bottom w:val="double" w:sz="6" w:space="0" w:color="auto"/>
              <w:right w:val="nil"/>
            </w:tcBorders>
            <w:shd w:val="clear" w:color="auto" w:fill="auto"/>
            <w:noWrap/>
            <w:vAlign w:val="center"/>
            <w:hideMark/>
          </w:tcPr>
          <w:p w14:paraId="2A6E9EE1"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1514" w:type="dxa"/>
            <w:tcBorders>
              <w:top w:val="single" w:sz="4" w:space="0" w:color="auto"/>
              <w:left w:val="nil"/>
              <w:bottom w:val="double" w:sz="6" w:space="0" w:color="auto"/>
              <w:right w:val="nil"/>
            </w:tcBorders>
            <w:shd w:val="clear" w:color="000000" w:fill="C9E3B4"/>
            <w:noWrap/>
            <w:vAlign w:val="center"/>
            <w:hideMark/>
          </w:tcPr>
          <w:p w14:paraId="70D1EEE2"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xml:space="preserve">     109,731,906 </w:t>
            </w:r>
          </w:p>
        </w:tc>
        <w:tc>
          <w:tcPr>
            <w:tcW w:w="216" w:type="dxa"/>
            <w:tcBorders>
              <w:top w:val="single" w:sz="4" w:space="0" w:color="auto"/>
              <w:left w:val="nil"/>
              <w:bottom w:val="double" w:sz="6" w:space="0" w:color="auto"/>
              <w:right w:val="nil"/>
            </w:tcBorders>
            <w:shd w:val="clear" w:color="auto" w:fill="auto"/>
            <w:noWrap/>
            <w:vAlign w:val="center"/>
            <w:hideMark/>
          </w:tcPr>
          <w:p w14:paraId="40C64971"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w:t>
            </w:r>
          </w:p>
        </w:tc>
        <w:tc>
          <w:tcPr>
            <w:tcW w:w="1514" w:type="dxa"/>
            <w:gridSpan w:val="2"/>
            <w:tcBorders>
              <w:top w:val="single" w:sz="4" w:space="0" w:color="auto"/>
              <w:left w:val="nil"/>
              <w:bottom w:val="double" w:sz="6" w:space="0" w:color="auto"/>
              <w:right w:val="nil"/>
            </w:tcBorders>
            <w:shd w:val="clear" w:color="auto" w:fill="auto"/>
            <w:noWrap/>
            <w:vAlign w:val="center"/>
            <w:hideMark/>
          </w:tcPr>
          <w:p w14:paraId="11FC38EA"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xml:space="preserve">       90,707,728 </w:t>
            </w:r>
          </w:p>
        </w:tc>
      </w:tr>
    </w:tbl>
    <w:p w14:paraId="2E873781" w14:textId="77777777" w:rsidR="00BC5219" w:rsidRPr="008A2B8F" w:rsidRDefault="00BC5219" w:rsidP="00BC5219">
      <w:pPr>
        <w:spacing w:before="120"/>
        <w:rPr>
          <w:rFonts w:ascii="Meta Pro" w:eastAsia="Times New Roman" w:hAnsi="Meta Pro"/>
          <w:i/>
          <w:iCs/>
          <w:color w:val="000000"/>
          <w:szCs w:val="18"/>
          <w:lang w:eastAsia="en-AU"/>
        </w:rPr>
        <w:sectPr w:rsidR="00BC5219" w:rsidRPr="008A2B8F" w:rsidSect="006B5FF2">
          <w:headerReference w:type="even" r:id="rId83"/>
          <w:headerReference w:type="default" r:id="rId84"/>
          <w:footerReference w:type="default" r:id="rId85"/>
          <w:type w:val="continuous"/>
          <w:pgSz w:w="11906" w:h="16838"/>
          <w:pgMar w:top="1701" w:right="851" w:bottom="1134" w:left="851" w:header="454" w:footer="454" w:gutter="0"/>
          <w:pgNumType w:start="1"/>
          <w:cols w:space="708"/>
          <w:docGrid w:linePitch="360"/>
        </w:sectPr>
      </w:pPr>
      <w:r w:rsidRPr="006B5FF2">
        <w:rPr>
          <w:rFonts w:ascii="Meta Pro" w:eastAsia="Times New Roman" w:hAnsi="Meta Pro"/>
          <w:i/>
          <w:iCs/>
          <w:color w:val="000000"/>
          <w:szCs w:val="18"/>
          <w:lang w:eastAsia="en-AU"/>
        </w:rPr>
        <w:t xml:space="preserve"> </w:t>
      </w:r>
      <w:r w:rsidRPr="008A2B8F">
        <w:rPr>
          <w:rFonts w:ascii="Meta Pro" w:eastAsia="Times New Roman" w:hAnsi="Meta Pro"/>
          <w:i/>
          <w:iCs/>
          <w:color w:val="000000"/>
          <w:szCs w:val="18"/>
          <w:lang w:eastAsia="en-AU"/>
        </w:rPr>
        <w:t>The accompanying notes form part of these financial statements.</w:t>
      </w:r>
    </w:p>
    <w:p w14:paraId="14692848" w14:textId="77777777" w:rsidR="00BC5219" w:rsidRPr="008A2B8F" w:rsidRDefault="00BC5219" w:rsidP="00BC5219">
      <w:pPr>
        <w:spacing w:before="120"/>
        <w:rPr>
          <w:rFonts w:ascii="Meta Pro" w:eastAsia="Times New Roman" w:hAnsi="Meta Pro"/>
          <w:i/>
          <w:iCs/>
          <w:color w:val="000000"/>
          <w:szCs w:val="18"/>
          <w:lang w:eastAsia="en-AU"/>
        </w:rPr>
        <w:sectPr w:rsidR="00BC5219" w:rsidRPr="008A2B8F" w:rsidSect="006B5FF2">
          <w:headerReference w:type="even" r:id="rId86"/>
          <w:headerReference w:type="default" r:id="rId87"/>
          <w:footerReference w:type="default" r:id="rId88"/>
          <w:type w:val="continuous"/>
          <w:pgSz w:w="11906" w:h="16838"/>
          <w:pgMar w:top="1701" w:right="851" w:bottom="1134" w:left="851" w:header="454" w:footer="397" w:gutter="0"/>
          <w:pgNumType w:start="1"/>
          <w:cols w:space="708"/>
          <w:docGrid w:linePitch="360"/>
        </w:sectPr>
      </w:pPr>
    </w:p>
    <w:p w14:paraId="213B1286"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bookmarkStart w:id="41" w:name="_Hlk139613146"/>
      <w:r w:rsidRPr="008A2B8F">
        <w:rPr>
          <w:rFonts w:ascii="Meta Pro" w:eastAsia="Times New Roman" w:hAnsi="Meta Pro"/>
          <w:i/>
          <w:iCs/>
          <w:color w:val="000000" w:themeColor="text1"/>
          <w:lang w:eastAsia="en-AU"/>
        </w:rPr>
        <w:lastRenderedPageBreak/>
        <w:t>Department of Transport and Main Roads</w:t>
      </w:r>
    </w:p>
    <w:p w14:paraId="72425347"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bookmarkStart w:id="42" w:name="_Hlk141879211"/>
      <w:r w:rsidRPr="008A2B8F">
        <w:rPr>
          <w:rFonts w:ascii="Meta Pro" w:eastAsia="Times New Roman" w:hAnsi="Meta Pro"/>
          <w:color w:val="000000" w:themeColor="text1"/>
          <w:lang w:eastAsia="en-AU"/>
        </w:rPr>
        <w:t>Statement of comprehensive income by major departmental services</w:t>
      </w:r>
    </w:p>
    <w:bookmarkEnd w:id="42"/>
    <w:p w14:paraId="7581B843"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 xml:space="preserve">for the year ended </w:t>
      </w:r>
      <w:bookmarkEnd w:id="41"/>
      <w:r w:rsidRPr="008A2B8F">
        <w:rPr>
          <w:rFonts w:ascii="Meta Pro" w:eastAsia="Times New Roman" w:hAnsi="Meta Pro"/>
          <w:color w:val="000000" w:themeColor="text1"/>
          <w:lang w:eastAsia="en-AU"/>
        </w:rPr>
        <w:t>30 June 2023</w:t>
      </w:r>
    </w:p>
    <w:p w14:paraId="0C86CAB8" w14:textId="77777777" w:rsidR="00BC5219" w:rsidRPr="009C55C2" w:rsidRDefault="00BC5219" w:rsidP="00BC5219">
      <w:pPr>
        <w:spacing w:after="120" w:line="17" w:lineRule="auto"/>
        <w:rPr>
          <w:rFonts w:ascii="Meta Pro" w:hAnsi="Meta Pro" w:cstheme="minorBidi"/>
        </w:rPr>
      </w:pPr>
    </w:p>
    <w:tbl>
      <w:tblPr>
        <w:tblW w:w="0" w:type="auto"/>
        <w:tblCellMar>
          <w:left w:w="0" w:type="dxa"/>
        </w:tblCellMar>
        <w:tblLook w:val="04A0" w:firstRow="1" w:lastRow="0" w:firstColumn="1" w:lastColumn="0" w:noHBand="0" w:noVBand="1"/>
      </w:tblPr>
      <w:tblGrid>
        <w:gridCol w:w="222"/>
        <w:gridCol w:w="4314"/>
        <w:gridCol w:w="1407"/>
        <w:gridCol w:w="205"/>
        <w:gridCol w:w="1407"/>
        <w:gridCol w:w="205"/>
        <w:gridCol w:w="1407"/>
        <w:gridCol w:w="205"/>
        <w:gridCol w:w="1407"/>
        <w:gridCol w:w="205"/>
        <w:gridCol w:w="1407"/>
        <w:gridCol w:w="205"/>
        <w:gridCol w:w="1407"/>
      </w:tblGrid>
      <w:tr w:rsidR="00BC5219" w:rsidRPr="009C55C2" w14:paraId="224490C4" w14:textId="77777777" w:rsidTr="00E83802">
        <w:trPr>
          <w:trHeight w:val="198"/>
        </w:trPr>
        <w:tc>
          <w:tcPr>
            <w:tcW w:w="4366" w:type="dxa"/>
            <w:gridSpan w:val="2"/>
            <w:tcBorders>
              <w:top w:val="nil"/>
              <w:left w:val="nil"/>
              <w:bottom w:val="nil"/>
              <w:right w:val="nil"/>
            </w:tcBorders>
            <w:shd w:val="clear" w:color="auto" w:fill="auto"/>
            <w:noWrap/>
            <w:vAlign w:val="bottom"/>
            <w:hideMark/>
          </w:tcPr>
          <w:p w14:paraId="2A1BA95F" w14:textId="77777777" w:rsidR="00BC5219" w:rsidRPr="009C55C2" w:rsidRDefault="00BC5219" w:rsidP="00E83802">
            <w:pPr>
              <w:rPr>
                <w:rFonts w:ascii="Meta Pro" w:eastAsia="Times New Roman" w:hAnsi="Meta Pro"/>
                <w:b/>
                <w:bCs/>
                <w:sz w:val="16"/>
                <w:szCs w:val="16"/>
                <w:lang w:eastAsia="en-AU"/>
              </w:rPr>
            </w:pPr>
            <w:r w:rsidRPr="009C55C2">
              <w:rPr>
                <w:rFonts w:ascii="Meta Pro" w:eastAsia="Times New Roman" w:hAnsi="Meta Pro"/>
                <w:b/>
                <w:bCs/>
                <w:sz w:val="16"/>
                <w:szCs w:val="16"/>
                <w:lang w:eastAsia="en-AU"/>
              </w:rPr>
              <w:t>OPERATING RESULT</w:t>
            </w:r>
          </w:p>
        </w:tc>
        <w:tc>
          <w:tcPr>
            <w:tcW w:w="1418" w:type="dxa"/>
            <w:tcBorders>
              <w:top w:val="nil"/>
              <w:left w:val="nil"/>
              <w:bottom w:val="nil"/>
              <w:right w:val="nil"/>
            </w:tcBorders>
            <w:shd w:val="clear" w:color="auto" w:fill="auto"/>
            <w:hideMark/>
          </w:tcPr>
          <w:p w14:paraId="023D61A8" w14:textId="77777777" w:rsidR="00BC5219" w:rsidRPr="009C55C2" w:rsidRDefault="00BC5219" w:rsidP="00E83802">
            <w:pPr>
              <w:jc w:val="center"/>
              <w:rPr>
                <w:rFonts w:ascii="Meta Pro" w:eastAsia="Times New Roman" w:hAnsi="Meta Pro"/>
                <w:b/>
                <w:bCs/>
                <w:sz w:val="16"/>
                <w:szCs w:val="16"/>
                <w:lang w:eastAsia="en-AU"/>
              </w:rPr>
            </w:pPr>
            <w:r w:rsidRPr="009C55C2">
              <w:rPr>
                <w:rFonts w:ascii="Meta Pro" w:eastAsia="Times New Roman" w:hAnsi="Meta Pro"/>
                <w:b/>
                <w:bCs/>
                <w:sz w:val="16"/>
                <w:szCs w:val="16"/>
                <w:lang w:eastAsia="en-AU"/>
              </w:rPr>
              <w:t>Transport system investment planning and programming</w:t>
            </w:r>
          </w:p>
        </w:tc>
        <w:tc>
          <w:tcPr>
            <w:tcW w:w="198" w:type="dxa"/>
            <w:tcBorders>
              <w:top w:val="nil"/>
              <w:left w:val="nil"/>
              <w:bottom w:val="nil"/>
              <w:right w:val="nil"/>
            </w:tcBorders>
            <w:shd w:val="clear" w:color="auto" w:fill="auto"/>
            <w:hideMark/>
          </w:tcPr>
          <w:p w14:paraId="07D809BB" w14:textId="77777777" w:rsidR="00BC5219" w:rsidRPr="009C55C2" w:rsidRDefault="00BC5219" w:rsidP="00E83802">
            <w:pPr>
              <w:jc w:val="center"/>
              <w:rPr>
                <w:rFonts w:ascii="Meta Pro" w:eastAsia="Times New Roman" w:hAnsi="Meta Pro"/>
                <w:b/>
                <w:bCs/>
                <w:sz w:val="16"/>
                <w:szCs w:val="16"/>
                <w:lang w:eastAsia="en-AU"/>
              </w:rPr>
            </w:pPr>
          </w:p>
        </w:tc>
        <w:tc>
          <w:tcPr>
            <w:tcW w:w="1418" w:type="dxa"/>
            <w:tcBorders>
              <w:top w:val="nil"/>
              <w:left w:val="nil"/>
              <w:bottom w:val="nil"/>
              <w:right w:val="nil"/>
            </w:tcBorders>
            <w:shd w:val="clear" w:color="auto" w:fill="auto"/>
            <w:hideMark/>
          </w:tcPr>
          <w:p w14:paraId="05F9F80C" w14:textId="77777777" w:rsidR="00BC5219" w:rsidRPr="009C55C2" w:rsidRDefault="00BC5219" w:rsidP="00E83802">
            <w:pPr>
              <w:jc w:val="center"/>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Transport infrastructure management and </w:t>
            </w:r>
            <w:r w:rsidRPr="009C55C2">
              <w:rPr>
                <w:rFonts w:ascii="Meta Pro" w:eastAsia="Times New Roman" w:hAnsi="Meta Pro"/>
                <w:b/>
                <w:bCs/>
                <w:sz w:val="16"/>
                <w:szCs w:val="16"/>
                <w:lang w:eastAsia="en-AU"/>
              </w:rPr>
              <w:br/>
              <w:t>delivery</w:t>
            </w:r>
          </w:p>
        </w:tc>
        <w:tc>
          <w:tcPr>
            <w:tcW w:w="198" w:type="dxa"/>
            <w:tcBorders>
              <w:top w:val="nil"/>
              <w:left w:val="nil"/>
              <w:bottom w:val="nil"/>
              <w:right w:val="nil"/>
            </w:tcBorders>
            <w:shd w:val="clear" w:color="auto" w:fill="auto"/>
            <w:hideMark/>
          </w:tcPr>
          <w:p w14:paraId="61AD95CD" w14:textId="77777777" w:rsidR="00BC5219" w:rsidRPr="009C55C2" w:rsidRDefault="00BC5219" w:rsidP="00E83802">
            <w:pPr>
              <w:jc w:val="center"/>
              <w:rPr>
                <w:rFonts w:ascii="Meta Pro" w:eastAsia="Times New Roman" w:hAnsi="Meta Pro"/>
                <w:b/>
                <w:bCs/>
                <w:sz w:val="16"/>
                <w:szCs w:val="16"/>
                <w:lang w:eastAsia="en-AU"/>
              </w:rPr>
            </w:pPr>
          </w:p>
        </w:tc>
        <w:tc>
          <w:tcPr>
            <w:tcW w:w="1418" w:type="dxa"/>
            <w:tcBorders>
              <w:top w:val="nil"/>
              <w:left w:val="nil"/>
              <w:bottom w:val="nil"/>
              <w:right w:val="nil"/>
            </w:tcBorders>
            <w:shd w:val="clear" w:color="auto" w:fill="auto"/>
            <w:hideMark/>
          </w:tcPr>
          <w:p w14:paraId="5B58C5EC" w14:textId="77777777" w:rsidR="00BC5219" w:rsidRPr="009C55C2" w:rsidRDefault="00BC5219" w:rsidP="00E83802">
            <w:pPr>
              <w:jc w:val="center"/>
              <w:rPr>
                <w:rFonts w:ascii="Meta Pro" w:eastAsia="Times New Roman" w:hAnsi="Meta Pro"/>
                <w:b/>
                <w:bCs/>
                <w:sz w:val="16"/>
                <w:szCs w:val="16"/>
                <w:lang w:eastAsia="en-AU"/>
              </w:rPr>
            </w:pPr>
            <w:r w:rsidRPr="009C55C2">
              <w:rPr>
                <w:rFonts w:ascii="Meta Pro" w:eastAsia="Times New Roman" w:hAnsi="Meta Pro"/>
                <w:b/>
                <w:bCs/>
                <w:sz w:val="16"/>
                <w:szCs w:val="16"/>
                <w:lang w:eastAsia="en-AU"/>
              </w:rPr>
              <w:t>Transport safety and regulation</w:t>
            </w:r>
          </w:p>
        </w:tc>
        <w:tc>
          <w:tcPr>
            <w:tcW w:w="198" w:type="dxa"/>
            <w:tcBorders>
              <w:top w:val="nil"/>
              <w:left w:val="nil"/>
              <w:bottom w:val="nil"/>
              <w:right w:val="nil"/>
            </w:tcBorders>
            <w:shd w:val="clear" w:color="auto" w:fill="auto"/>
            <w:hideMark/>
          </w:tcPr>
          <w:p w14:paraId="77ADC99F" w14:textId="77777777" w:rsidR="00BC5219" w:rsidRPr="009C55C2" w:rsidRDefault="00BC5219" w:rsidP="00E83802">
            <w:pPr>
              <w:jc w:val="center"/>
              <w:rPr>
                <w:rFonts w:ascii="Meta Pro" w:eastAsia="Times New Roman" w:hAnsi="Meta Pro"/>
                <w:b/>
                <w:bCs/>
                <w:sz w:val="16"/>
                <w:szCs w:val="16"/>
                <w:lang w:eastAsia="en-AU"/>
              </w:rPr>
            </w:pPr>
          </w:p>
        </w:tc>
        <w:tc>
          <w:tcPr>
            <w:tcW w:w="1418" w:type="dxa"/>
            <w:tcBorders>
              <w:top w:val="nil"/>
              <w:left w:val="nil"/>
              <w:bottom w:val="nil"/>
              <w:right w:val="nil"/>
            </w:tcBorders>
            <w:shd w:val="clear" w:color="auto" w:fill="auto"/>
            <w:hideMark/>
          </w:tcPr>
          <w:p w14:paraId="611CBF43" w14:textId="77777777" w:rsidR="00BC5219" w:rsidRPr="009C55C2" w:rsidRDefault="00BC5219" w:rsidP="00E83802">
            <w:pPr>
              <w:jc w:val="center"/>
              <w:rPr>
                <w:rFonts w:ascii="Meta Pro" w:eastAsia="Times New Roman" w:hAnsi="Meta Pro"/>
                <w:b/>
                <w:bCs/>
                <w:sz w:val="16"/>
                <w:szCs w:val="16"/>
                <w:lang w:eastAsia="en-AU"/>
              </w:rPr>
            </w:pPr>
            <w:r w:rsidRPr="009C55C2">
              <w:rPr>
                <w:rFonts w:ascii="Meta Pro" w:eastAsia="Times New Roman" w:hAnsi="Meta Pro"/>
                <w:b/>
                <w:bCs/>
                <w:sz w:val="16"/>
                <w:szCs w:val="16"/>
                <w:lang w:eastAsia="en-AU"/>
              </w:rPr>
              <w:t>Customer experience</w:t>
            </w:r>
          </w:p>
        </w:tc>
        <w:tc>
          <w:tcPr>
            <w:tcW w:w="198" w:type="dxa"/>
            <w:tcBorders>
              <w:top w:val="nil"/>
              <w:left w:val="nil"/>
              <w:bottom w:val="nil"/>
              <w:right w:val="nil"/>
            </w:tcBorders>
            <w:shd w:val="clear" w:color="auto" w:fill="auto"/>
            <w:hideMark/>
          </w:tcPr>
          <w:p w14:paraId="26E259C3" w14:textId="77777777" w:rsidR="00BC5219" w:rsidRPr="009C55C2" w:rsidRDefault="00BC5219" w:rsidP="00E83802">
            <w:pPr>
              <w:jc w:val="center"/>
              <w:rPr>
                <w:rFonts w:ascii="Meta Pro" w:eastAsia="Times New Roman" w:hAnsi="Meta Pro"/>
                <w:b/>
                <w:bCs/>
                <w:sz w:val="16"/>
                <w:szCs w:val="16"/>
                <w:lang w:eastAsia="en-AU"/>
              </w:rPr>
            </w:pPr>
          </w:p>
        </w:tc>
        <w:tc>
          <w:tcPr>
            <w:tcW w:w="1418" w:type="dxa"/>
            <w:tcBorders>
              <w:top w:val="nil"/>
              <w:left w:val="nil"/>
              <w:bottom w:val="nil"/>
              <w:right w:val="nil"/>
            </w:tcBorders>
            <w:shd w:val="clear" w:color="auto" w:fill="auto"/>
            <w:hideMark/>
          </w:tcPr>
          <w:p w14:paraId="549A614F" w14:textId="77777777" w:rsidR="00BC5219" w:rsidRPr="009C55C2" w:rsidRDefault="00BC5219" w:rsidP="00E83802">
            <w:pPr>
              <w:jc w:val="center"/>
              <w:rPr>
                <w:rFonts w:ascii="Meta Pro" w:eastAsia="Times New Roman" w:hAnsi="Meta Pro"/>
                <w:b/>
                <w:bCs/>
                <w:sz w:val="16"/>
                <w:szCs w:val="16"/>
                <w:lang w:eastAsia="en-AU"/>
              </w:rPr>
            </w:pPr>
            <w:r w:rsidRPr="009C55C2">
              <w:rPr>
                <w:rFonts w:ascii="Meta Pro" w:eastAsia="Times New Roman" w:hAnsi="Meta Pro"/>
                <w:b/>
                <w:bCs/>
                <w:sz w:val="16"/>
                <w:szCs w:val="16"/>
                <w:lang w:eastAsia="en-AU"/>
              </w:rPr>
              <w:t>Passenger transport services</w:t>
            </w:r>
          </w:p>
        </w:tc>
        <w:tc>
          <w:tcPr>
            <w:tcW w:w="198" w:type="dxa"/>
            <w:tcBorders>
              <w:top w:val="nil"/>
              <w:left w:val="nil"/>
              <w:bottom w:val="nil"/>
              <w:right w:val="nil"/>
            </w:tcBorders>
            <w:shd w:val="clear" w:color="auto" w:fill="auto"/>
            <w:hideMark/>
          </w:tcPr>
          <w:p w14:paraId="4193FAE0" w14:textId="77777777" w:rsidR="00BC5219" w:rsidRPr="009C55C2" w:rsidRDefault="00BC5219" w:rsidP="00E83802">
            <w:pPr>
              <w:jc w:val="center"/>
              <w:rPr>
                <w:rFonts w:ascii="Meta Pro" w:eastAsia="Times New Roman" w:hAnsi="Meta Pro"/>
                <w:b/>
                <w:bCs/>
                <w:sz w:val="16"/>
                <w:szCs w:val="16"/>
                <w:lang w:eastAsia="en-AU"/>
              </w:rPr>
            </w:pPr>
          </w:p>
        </w:tc>
        <w:tc>
          <w:tcPr>
            <w:tcW w:w="1418" w:type="dxa"/>
            <w:tcBorders>
              <w:top w:val="nil"/>
              <w:left w:val="nil"/>
              <w:bottom w:val="nil"/>
              <w:right w:val="nil"/>
            </w:tcBorders>
            <w:shd w:val="clear" w:color="auto" w:fill="auto"/>
            <w:hideMark/>
          </w:tcPr>
          <w:p w14:paraId="650C41C8" w14:textId="77777777" w:rsidR="00BC5219" w:rsidRPr="009C55C2" w:rsidRDefault="00BC5219" w:rsidP="00E83802">
            <w:pPr>
              <w:jc w:val="center"/>
              <w:rPr>
                <w:rFonts w:ascii="Meta Pro" w:eastAsia="Times New Roman" w:hAnsi="Meta Pro"/>
                <w:b/>
                <w:bCs/>
                <w:sz w:val="16"/>
                <w:szCs w:val="16"/>
                <w:lang w:eastAsia="en-AU"/>
              </w:rPr>
            </w:pPr>
            <w:r w:rsidRPr="009C55C2">
              <w:rPr>
                <w:rFonts w:ascii="Meta Pro" w:eastAsia="Times New Roman" w:hAnsi="Meta Pro"/>
                <w:b/>
                <w:bCs/>
                <w:sz w:val="16"/>
                <w:szCs w:val="16"/>
                <w:lang w:eastAsia="en-AU"/>
              </w:rPr>
              <w:t>Transport infrastructure construction and maintenance</w:t>
            </w:r>
          </w:p>
        </w:tc>
      </w:tr>
      <w:tr w:rsidR="00BC5219" w:rsidRPr="009C55C2" w14:paraId="6E538498" w14:textId="77777777" w:rsidTr="00E83802">
        <w:trPr>
          <w:trHeight w:hRule="exact" w:val="40"/>
        </w:trPr>
        <w:tc>
          <w:tcPr>
            <w:tcW w:w="215" w:type="dxa"/>
            <w:tcBorders>
              <w:top w:val="nil"/>
              <w:left w:val="nil"/>
              <w:bottom w:val="nil"/>
              <w:right w:val="nil"/>
            </w:tcBorders>
            <w:shd w:val="clear" w:color="auto" w:fill="auto"/>
            <w:noWrap/>
            <w:vAlign w:val="center"/>
            <w:hideMark/>
          </w:tcPr>
          <w:p w14:paraId="3B727363" w14:textId="77777777" w:rsidR="00BC5219" w:rsidRPr="009C55C2" w:rsidRDefault="00BC5219" w:rsidP="00E83802">
            <w:pPr>
              <w:jc w:val="center"/>
              <w:rPr>
                <w:rFonts w:ascii="Meta Pro" w:eastAsia="Times New Roman" w:hAnsi="Meta Pro"/>
                <w:b/>
                <w:bCs/>
                <w:sz w:val="16"/>
                <w:szCs w:val="16"/>
                <w:lang w:eastAsia="en-AU"/>
              </w:rPr>
            </w:pPr>
          </w:p>
        </w:tc>
        <w:tc>
          <w:tcPr>
            <w:tcW w:w="4366" w:type="dxa"/>
            <w:tcBorders>
              <w:top w:val="nil"/>
              <w:left w:val="nil"/>
              <w:bottom w:val="nil"/>
              <w:right w:val="nil"/>
            </w:tcBorders>
            <w:shd w:val="clear" w:color="auto" w:fill="auto"/>
            <w:noWrap/>
            <w:vAlign w:val="center"/>
            <w:hideMark/>
          </w:tcPr>
          <w:p w14:paraId="30C1820B" w14:textId="77777777" w:rsidR="00BC5219" w:rsidRPr="009C55C2" w:rsidRDefault="00BC5219" w:rsidP="00E83802">
            <w:pPr>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hideMark/>
          </w:tcPr>
          <w:p w14:paraId="0AA6BB1D" w14:textId="77777777" w:rsidR="00BC5219" w:rsidRPr="009C55C2" w:rsidRDefault="00BC5219" w:rsidP="00E83802">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hideMark/>
          </w:tcPr>
          <w:p w14:paraId="3964F637" w14:textId="77777777" w:rsidR="00BC5219" w:rsidRPr="009C55C2" w:rsidRDefault="00BC5219" w:rsidP="00E83802">
            <w:pPr>
              <w:jc w:val="center"/>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hideMark/>
          </w:tcPr>
          <w:p w14:paraId="71467C09" w14:textId="77777777" w:rsidR="00BC5219" w:rsidRPr="009C55C2" w:rsidRDefault="00BC5219" w:rsidP="00E83802">
            <w:pPr>
              <w:jc w:val="cente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hideMark/>
          </w:tcPr>
          <w:p w14:paraId="3811603A" w14:textId="77777777" w:rsidR="00BC5219" w:rsidRPr="009C55C2" w:rsidRDefault="00BC5219" w:rsidP="00E83802">
            <w:pPr>
              <w:jc w:val="center"/>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hideMark/>
          </w:tcPr>
          <w:p w14:paraId="0DA56DC3" w14:textId="77777777" w:rsidR="00BC5219" w:rsidRPr="009C55C2" w:rsidRDefault="00BC5219" w:rsidP="00E83802">
            <w:pPr>
              <w:jc w:val="cente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hideMark/>
          </w:tcPr>
          <w:p w14:paraId="1E707968" w14:textId="77777777" w:rsidR="00BC5219" w:rsidRPr="009C55C2" w:rsidRDefault="00BC5219" w:rsidP="00E83802">
            <w:pPr>
              <w:jc w:val="center"/>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hideMark/>
          </w:tcPr>
          <w:p w14:paraId="5BEE3AA9" w14:textId="77777777" w:rsidR="00BC5219" w:rsidRPr="009C55C2" w:rsidRDefault="00BC5219" w:rsidP="00E83802">
            <w:pPr>
              <w:jc w:val="cente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hideMark/>
          </w:tcPr>
          <w:p w14:paraId="5D4D41DB" w14:textId="77777777" w:rsidR="00BC5219" w:rsidRPr="009C55C2" w:rsidRDefault="00BC5219" w:rsidP="00E83802">
            <w:pPr>
              <w:jc w:val="center"/>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hideMark/>
          </w:tcPr>
          <w:p w14:paraId="77E44DF0" w14:textId="77777777" w:rsidR="00BC5219" w:rsidRPr="009C55C2" w:rsidRDefault="00BC5219" w:rsidP="00E83802">
            <w:pPr>
              <w:jc w:val="cente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hideMark/>
          </w:tcPr>
          <w:p w14:paraId="0C8EF929" w14:textId="77777777" w:rsidR="00BC5219" w:rsidRPr="009C55C2" w:rsidRDefault="00BC5219" w:rsidP="00E83802">
            <w:pPr>
              <w:jc w:val="center"/>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hideMark/>
          </w:tcPr>
          <w:p w14:paraId="63F94EDE" w14:textId="77777777" w:rsidR="00BC5219" w:rsidRPr="009C55C2" w:rsidRDefault="00BC5219" w:rsidP="00E83802">
            <w:pPr>
              <w:jc w:val="center"/>
              <w:rPr>
                <w:rFonts w:ascii="Meta Pro" w:eastAsia="Times New Roman" w:hAnsi="Meta Pro" w:cs="Times New Roman"/>
                <w:sz w:val="20"/>
                <w:szCs w:val="20"/>
                <w:lang w:eastAsia="en-AU"/>
              </w:rPr>
            </w:pPr>
          </w:p>
        </w:tc>
      </w:tr>
      <w:tr w:rsidR="00BC5219" w:rsidRPr="009C55C2" w14:paraId="22265E26" w14:textId="77777777" w:rsidTr="00E83802">
        <w:trPr>
          <w:trHeight w:val="198"/>
        </w:trPr>
        <w:tc>
          <w:tcPr>
            <w:tcW w:w="215" w:type="dxa"/>
            <w:tcBorders>
              <w:top w:val="nil"/>
              <w:left w:val="nil"/>
              <w:bottom w:val="nil"/>
              <w:right w:val="nil"/>
            </w:tcBorders>
            <w:shd w:val="clear" w:color="auto" w:fill="auto"/>
            <w:noWrap/>
            <w:vAlign w:val="center"/>
            <w:hideMark/>
          </w:tcPr>
          <w:p w14:paraId="1512B548" w14:textId="77777777" w:rsidR="00BC5219" w:rsidRPr="009C55C2" w:rsidRDefault="00BC5219" w:rsidP="00E83802">
            <w:pPr>
              <w:jc w:val="center"/>
              <w:rPr>
                <w:rFonts w:ascii="Meta Pro" w:eastAsia="Times New Roman" w:hAnsi="Meta Pro" w:cs="Times New Roman"/>
                <w:sz w:val="20"/>
                <w:szCs w:val="20"/>
                <w:lang w:eastAsia="en-AU"/>
              </w:rPr>
            </w:pPr>
          </w:p>
        </w:tc>
        <w:tc>
          <w:tcPr>
            <w:tcW w:w="4366" w:type="dxa"/>
            <w:tcBorders>
              <w:top w:val="nil"/>
              <w:left w:val="nil"/>
              <w:bottom w:val="nil"/>
              <w:right w:val="nil"/>
            </w:tcBorders>
            <w:shd w:val="clear" w:color="auto" w:fill="auto"/>
            <w:noWrap/>
            <w:vAlign w:val="center"/>
            <w:hideMark/>
          </w:tcPr>
          <w:p w14:paraId="09C13A97" w14:textId="77777777" w:rsidR="00BC5219" w:rsidRPr="009C55C2" w:rsidRDefault="00BC5219" w:rsidP="00E83802">
            <w:pPr>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noWrap/>
            <w:vAlign w:val="center"/>
            <w:hideMark/>
          </w:tcPr>
          <w:p w14:paraId="54F16582" w14:textId="77777777" w:rsidR="00BC5219" w:rsidRPr="009C55C2" w:rsidRDefault="00BC5219" w:rsidP="00E83802">
            <w:pPr>
              <w:jc w:val="center"/>
              <w:rPr>
                <w:rFonts w:ascii="Meta Pro" w:eastAsia="Times New Roman" w:hAnsi="Meta Pro"/>
                <w:b/>
                <w:bCs/>
                <w:sz w:val="16"/>
                <w:szCs w:val="16"/>
                <w:lang w:eastAsia="en-AU"/>
              </w:rPr>
            </w:pPr>
            <w:r w:rsidRPr="009C55C2">
              <w:rPr>
                <w:rFonts w:ascii="Meta Pro" w:eastAsia="Times New Roman" w:hAnsi="Meta Pro"/>
                <w:b/>
                <w:bCs/>
                <w:sz w:val="16"/>
                <w:szCs w:val="16"/>
                <w:lang w:eastAsia="en-AU"/>
              </w:rPr>
              <w:t>2023</w:t>
            </w:r>
          </w:p>
        </w:tc>
        <w:tc>
          <w:tcPr>
            <w:tcW w:w="198" w:type="dxa"/>
            <w:tcBorders>
              <w:top w:val="nil"/>
              <w:left w:val="nil"/>
              <w:bottom w:val="nil"/>
              <w:right w:val="nil"/>
            </w:tcBorders>
            <w:shd w:val="clear" w:color="auto" w:fill="auto"/>
            <w:noWrap/>
            <w:vAlign w:val="center"/>
            <w:hideMark/>
          </w:tcPr>
          <w:p w14:paraId="4BCFFDF9" w14:textId="77777777" w:rsidR="00BC5219" w:rsidRPr="009C55C2" w:rsidRDefault="00BC5219" w:rsidP="00E83802">
            <w:pPr>
              <w:jc w:val="center"/>
              <w:rPr>
                <w:rFonts w:ascii="Meta Pro" w:eastAsia="Times New Roman" w:hAnsi="Meta Pro"/>
                <w:b/>
                <w:bCs/>
                <w:sz w:val="16"/>
                <w:szCs w:val="16"/>
                <w:lang w:eastAsia="en-AU"/>
              </w:rPr>
            </w:pPr>
          </w:p>
        </w:tc>
        <w:tc>
          <w:tcPr>
            <w:tcW w:w="1418" w:type="dxa"/>
            <w:tcBorders>
              <w:top w:val="nil"/>
              <w:left w:val="nil"/>
              <w:bottom w:val="nil"/>
              <w:right w:val="nil"/>
            </w:tcBorders>
            <w:shd w:val="clear" w:color="auto" w:fill="auto"/>
            <w:noWrap/>
            <w:vAlign w:val="center"/>
            <w:hideMark/>
          </w:tcPr>
          <w:p w14:paraId="054F19D2" w14:textId="77777777" w:rsidR="00BC5219" w:rsidRPr="009C55C2" w:rsidRDefault="00BC5219" w:rsidP="00E83802">
            <w:pPr>
              <w:jc w:val="center"/>
              <w:rPr>
                <w:rFonts w:ascii="Meta Pro" w:eastAsia="Times New Roman" w:hAnsi="Meta Pro"/>
                <w:b/>
                <w:bCs/>
                <w:sz w:val="16"/>
                <w:szCs w:val="16"/>
                <w:lang w:eastAsia="en-AU"/>
              </w:rPr>
            </w:pPr>
            <w:r w:rsidRPr="009C55C2">
              <w:rPr>
                <w:rFonts w:ascii="Meta Pro" w:eastAsia="Times New Roman" w:hAnsi="Meta Pro"/>
                <w:b/>
                <w:bCs/>
                <w:sz w:val="16"/>
                <w:szCs w:val="16"/>
                <w:lang w:eastAsia="en-AU"/>
              </w:rPr>
              <w:t>2023</w:t>
            </w:r>
          </w:p>
        </w:tc>
        <w:tc>
          <w:tcPr>
            <w:tcW w:w="198" w:type="dxa"/>
            <w:tcBorders>
              <w:top w:val="nil"/>
              <w:left w:val="nil"/>
              <w:bottom w:val="nil"/>
              <w:right w:val="nil"/>
            </w:tcBorders>
            <w:shd w:val="clear" w:color="auto" w:fill="auto"/>
            <w:noWrap/>
            <w:vAlign w:val="center"/>
            <w:hideMark/>
          </w:tcPr>
          <w:p w14:paraId="469E3108" w14:textId="77777777" w:rsidR="00BC5219" w:rsidRPr="009C55C2" w:rsidRDefault="00BC5219" w:rsidP="00E83802">
            <w:pPr>
              <w:jc w:val="center"/>
              <w:rPr>
                <w:rFonts w:ascii="Meta Pro" w:eastAsia="Times New Roman" w:hAnsi="Meta Pro"/>
                <w:b/>
                <w:bCs/>
                <w:sz w:val="16"/>
                <w:szCs w:val="16"/>
                <w:lang w:eastAsia="en-AU"/>
              </w:rPr>
            </w:pPr>
          </w:p>
        </w:tc>
        <w:tc>
          <w:tcPr>
            <w:tcW w:w="1418" w:type="dxa"/>
            <w:tcBorders>
              <w:top w:val="nil"/>
              <w:left w:val="nil"/>
              <w:bottom w:val="nil"/>
              <w:right w:val="nil"/>
            </w:tcBorders>
            <w:shd w:val="clear" w:color="auto" w:fill="auto"/>
            <w:noWrap/>
            <w:vAlign w:val="center"/>
            <w:hideMark/>
          </w:tcPr>
          <w:p w14:paraId="3DCBCC09" w14:textId="77777777" w:rsidR="00BC5219" w:rsidRPr="009C55C2" w:rsidRDefault="00BC5219" w:rsidP="00E83802">
            <w:pPr>
              <w:jc w:val="center"/>
              <w:rPr>
                <w:rFonts w:ascii="Meta Pro" w:eastAsia="Times New Roman" w:hAnsi="Meta Pro"/>
                <w:b/>
                <w:bCs/>
                <w:sz w:val="16"/>
                <w:szCs w:val="16"/>
                <w:lang w:eastAsia="en-AU"/>
              </w:rPr>
            </w:pPr>
            <w:r w:rsidRPr="009C55C2">
              <w:rPr>
                <w:rFonts w:ascii="Meta Pro" w:eastAsia="Times New Roman" w:hAnsi="Meta Pro"/>
                <w:b/>
                <w:bCs/>
                <w:sz w:val="16"/>
                <w:szCs w:val="16"/>
                <w:lang w:eastAsia="en-AU"/>
              </w:rPr>
              <w:t>2023</w:t>
            </w:r>
          </w:p>
        </w:tc>
        <w:tc>
          <w:tcPr>
            <w:tcW w:w="198" w:type="dxa"/>
            <w:tcBorders>
              <w:top w:val="nil"/>
              <w:left w:val="nil"/>
              <w:bottom w:val="nil"/>
              <w:right w:val="nil"/>
            </w:tcBorders>
            <w:shd w:val="clear" w:color="auto" w:fill="auto"/>
            <w:noWrap/>
            <w:vAlign w:val="center"/>
            <w:hideMark/>
          </w:tcPr>
          <w:p w14:paraId="4E5F3DBA" w14:textId="77777777" w:rsidR="00BC5219" w:rsidRPr="009C55C2" w:rsidRDefault="00BC5219" w:rsidP="00E83802">
            <w:pPr>
              <w:jc w:val="center"/>
              <w:rPr>
                <w:rFonts w:ascii="Meta Pro" w:eastAsia="Times New Roman" w:hAnsi="Meta Pro"/>
                <w:b/>
                <w:bCs/>
                <w:sz w:val="16"/>
                <w:szCs w:val="16"/>
                <w:lang w:eastAsia="en-AU"/>
              </w:rPr>
            </w:pPr>
          </w:p>
        </w:tc>
        <w:tc>
          <w:tcPr>
            <w:tcW w:w="1418" w:type="dxa"/>
            <w:tcBorders>
              <w:top w:val="nil"/>
              <w:left w:val="nil"/>
              <w:bottom w:val="nil"/>
              <w:right w:val="nil"/>
            </w:tcBorders>
            <w:shd w:val="clear" w:color="auto" w:fill="auto"/>
            <w:noWrap/>
            <w:vAlign w:val="center"/>
            <w:hideMark/>
          </w:tcPr>
          <w:p w14:paraId="36CFD4D9" w14:textId="77777777" w:rsidR="00BC5219" w:rsidRPr="009C55C2" w:rsidRDefault="00BC5219" w:rsidP="00E83802">
            <w:pPr>
              <w:jc w:val="center"/>
              <w:rPr>
                <w:rFonts w:ascii="Meta Pro" w:eastAsia="Times New Roman" w:hAnsi="Meta Pro"/>
                <w:b/>
                <w:bCs/>
                <w:sz w:val="16"/>
                <w:szCs w:val="16"/>
                <w:lang w:eastAsia="en-AU"/>
              </w:rPr>
            </w:pPr>
            <w:r w:rsidRPr="009C55C2">
              <w:rPr>
                <w:rFonts w:ascii="Meta Pro" w:eastAsia="Times New Roman" w:hAnsi="Meta Pro"/>
                <w:b/>
                <w:bCs/>
                <w:sz w:val="16"/>
                <w:szCs w:val="16"/>
                <w:lang w:eastAsia="en-AU"/>
              </w:rPr>
              <w:t>2023</w:t>
            </w:r>
          </w:p>
        </w:tc>
        <w:tc>
          <w:tcPr>
            <w:tcW w:w="198" w:type="dxa"/>
            <w:tcBorders>
              <w:top w:val="nil"/>
              <w:left w:val="nil"/>
              <w:bottom w:val="nil"/>
              <w:right w:val="nil"/>
            </w:tcBorders>
            <w:shd w:val="clear" w:color="auto" w:fill="auto"/>
            <w:noWrap/>
            <w:vAlign w:val="center"/>
            <w:hideMark/>
          </w:tcPr>
          <w:p w14:paraId="5E255F39" w14:textId="77777777" w:rsidR="00BC5219" w:rsidRPr="009C55C2" w:rsidRDefault="00BC5219" w:rsidP="00E83802">
            <w:pPr>
              <w:jc w:val="center"/>
              <w:rPr>
                <w:rFonts w:ascii="Meta Pro" w:eastAsia="Times New Roman" w:hAnsi="Meta Pro"/>
                <w:b/>
                <w:bCs/>
                <w:sz w:val="16"/>
                <w:szCs w:val="16"/>
                <w:lang w:eastAsia="en-AU"/>
              </w:rPr>
            </w:pPr>
          </w:p>
        </w:tc>
        <w:tc>
          <w:tcPr>
            <w:tcW w:w="1418" w:type="dxa"/>
            <w:tcBorders>
              <w:top w:val="nil"/>
              <w:left w:val="nil"/>
              <w:bottom w:val="nil"/>
              <w:right w:val="nil"/>
            </w:tcBorders>
            <w:shd w:val="clear" w:color="auto" w:fill="auto"/>
            <w:noWrap/>
            <w:vAlign w:val="center"/>
            <w:hideMark/>
          </w:tcPr>
          <w:p w14:paraId="5AC2F81B" w14:textId="77777777" w:rsidR="00BC5219" w:rsidRPr="009C55C2" w:rsidRDefault="00BC5219" w:rsidP="00E83802">
            <w:pPr>
              <w:jc w:val="center"/>
              <w:rPr>
                <w:rFonts w:ascii="Meta Pro" w:eastAsia="Times New Roman" w:hAnsi="Meta Pro"/>
                <w:b/>
                <w:bCs/>
                <w:sz w:val="16"/>
                <w:szCs w:val="16"/>
                <w:lang w:eastAsia="en-AU"/>
              </w:rPr>
            </w:pPr>
            <w:r w:rsidRPr="009C55C2">
              <w:rPr>
                <w:rFonts w:ascii="Meta Pro" w:eastAsia="Times New Roman" w:hAnsi="Meta Pro"/>
                <w:b/>
                <w:bCs/>
                <w:sz w:val="16"/>
                <w:szCs w:val="16"/>
                <w:lang w:eastAsia="en-AU"/>
              </w:rPr>
              <w:t>2023</w:t>
            </w:r>
          </w:p>
        </w:tc>
        <w:tc>
          <w:tcPr>
            <w:tcW w:w="198" w:type="dxa"/>
            <w:tcBorders>
              <w:top w:val="nil"/>
              <w:left w:val="nil"/>
              <w:bottom w:val="nil"/>
              <w:right w:val="nil"/>
            </w:tcBorders>
            <w:shd w:val="clear" w:color="auto" w:fill="auto"/>
            <w:noWrap/>
            <w:vAlign w:val="center"/>
            <w:hideMark/>
          </w:tcPr>
          <w:p w14:paraId="04B4FAF4" w14:textId="77777777" w:rsidR="00BC5219" w:rsidRPr="009C55C2" w:rsidRDefault="00BC5219" w:rsidP="00E83802">
            <w:pPr>
              <w:jc w:val="center"/>
              <w:rPr>
                <w:rFonts w:ascii="Meta Pro" w:eastAsia="Times New Roman" w:hAnsi="Meta Pro"/>
                <w:b/>
                <w:bCs/>
                <w:sz w:val="16"/>
                <w:szCs w:val="16"/>
                <w:lang w:eastAsia="en-AU"/>
              </w:rPr>
            </w:pPr>
          </w:p>
        </w:tc>
        <w:tc>
          <w:tcPr>
            <w:tcW w:w="1418" w:type="dxa"/>
            <w:tcBorders>
              <w:top w:val="nil"/>
              <w:left w:val="nil"/>
              <w:bottom w:val="nil"/>
              <w:right w:val="nil"/>
            </w:tcBorders>
            <w:shd w:val="clear" w:color="auto" w:fill="auto"/>
            <w:noWrap/>
            <w:vAlign w:val="center"/>
            <w:hideMark/>
          </w:tcPr>
          <w:p w14:paraId="2E0C1FA2" w14:textId="77777777" w:rsidR="00BC5219" w:rsidRPr="009C55C2" w:rsidRDefault="00BC5219" w:rsidP="00E83802">
            <w:pPr>
              <w:jc w:val="center"/>
              <w:rPr>
                <w:rFonts w:ascii="Meta Pro" w:eastAsia="Times New Roman" w:hAnsi="Meta Pro"/>
                <w:b/>
                <w:bCs/>
                <w:sz w:val="16"/>
                <w:szCs w:val="16"/>
                <w:lang w:eastAsia="en-AU"/>
              </w:rPr>
            </w:pPr>
            <w:r w:rsidRPr="009C55C2">
              <w:rPr>
                <w:rFonts w:ascii="Meta Pro" w:eastAsia="Times New Roman" w:hAnsi="Meta Pro"/>
                <w:b/>
                <w:bCs/>
                <w:sz w:val="16"/>
                <w:szCs w:val="16"/>
                <w:lang w:eastAsia="en-AU"/>
              </w:rPr>
              <w:t>2023</w:t>
            </w:r>
          </w:p>
        </w:tc>
      </w:tr>
      <w:tr w:rsidR="00BC5219" w:rsidRPr="009C55C2" w14:paraId="0EE28C0B" w14:textId="77777777" w:rsidTr="00E83802">
        <w:trPr>
          <w:trHeight w:val="198"/>
        </w:trPr>
        <w:tc>
          <w:tcPr>
            <w:tcW w:w="215" w:type="dxa"/>
            <w:tcBorders>
              <w:top w:val="nil"/>
              <w:left w:val="nil"/>
              <w:bottom w:val="nil"/>
              <w:right w:val="nil"/>
            </w:tcBorders>
            <w:shd w:val="clear" w:color="auto" w:fill="auto"/>
            <w:noWrap/>
            <w:vAlign w:val="center"/>
            <w:hideMark/>
          </w:tcPr>
          <w:p w14:paraId="34F6988B" w14:textId="77777777" w:rsidR="00BC5219" w:rsidRPr="009C55C2" w:rsidRDefault="00BC5219" w:rsidP="00E83802">
            <w:pPr>
              <w:jc w:val="center"/>
              <w:rPr>
                <w:rFonts w:ascii="Meta Pro" w:eastAsia="Times New Roman" w:hAnsi="Meta Pro"/>
                <w:b/>
                <w:bCs/>
                <w:sz w:val="16"/>
                <w:szCs w:val="16"/>
                <w:lang w:eastAsia="en-AU"/>
              </w:rPr>
            </w:pPr>
          </w:p>
        </w:tc>
        <w:tc>
          <w:tcPr>
            <w:tcW w:w="4366" w:type="dxa"/>
            <w:tcBorders>
              <w:top w:val="nil"/>
              <w:left w:val="nil"/>
              <w:bottom w:val="nil"/>
              <w:right w:val="nil"/>
            </w:tcBorders>
            <w:shd w:val="clear" w:color="auto" w:fill="auto"/>
            <w:noWrap/>
            <w:vAlign w:val="center"/>
            <w:hideMark/>
          </w:tcPr>
          <w:p w14:paraId="7346E3EF" w14:textId="77777777" w:rsidR="00BC5219" w:rsidRPr="009C55C2" w:rsidRDefault="00BC5219" w:rsidP="00E83802">
            <w:pPr>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noWrap/>
            <w:vAlign w:val="center"/>
            <w:hideMark/>
          </w:tcPr>
          <w:p w14:paraId="01A3470E" w14:textId="77777777" w:rsidR="00BC5219" w:rsidRPr="009C55C2" w:rsidRDefault="00BC5219" w:rsidP="00E83802">
            <w:pPr>
              <w:jc w:val="center"/>
              <w:rPr>
                <w:rFonts w:ascii="Meta Pro" w:eastAsia="Times New Roman" w:hAnsi="Meta Pro"/>
                <w:b/>
                <w:bCs/>
                <w:sz w:val="16"/>
                <w:szCs w:val="16"/>
                <w:lang w:eastAsia="en-AU"/>
              </w:rPr>
            </w:pPr>
            <w:r w:rsidRPr="009C55C2">
              <w:rPr>
                <w:rFonts w:ascii="Meta Pro" w:eastAsia="Times New Roman" w:hAnsi="Meta Pro"/>
                <w:b/>
                <w:bCs/>
                <w:sz w:val="16"/>
                <w:szCs w:val="16"/>
                <w:lang w:eastAsia="en-AU"/>
              </w:rPr>
              <w:t>$'000</w:t>
            </w:r>
          </w:p>
        </w:tc>
        <w:tc>
          <w:tcPr>
            <w:tcW w:w="198" w:type="dxa"/>
            <w:tcBorders>
              <w:top w:val="nil"/>
              <w:left w:val="nil"/>
              <w:bottom w:val="nil"/>
              <w:right w:val="nil"/>
            </w:tcBorders>
            <w:shd w:val="clear" w:color="auto" w:fill="auto"/>
            <w:noWrap/>
            <w:vAlign w:val="center"/>
            <w:hideMark/>
          </w:tcPr>
          <w:p w14:paraId="6FE9A80B" w14:textId="77777777" w:rsidR="00BC5219" w:rsidRPr="009C55C2" w:rsidRDefault="00BC5219" w:rsidP="00E83802">
            <w:pPr>
              <w:jc w:val="center"/>
              <w:rPr>
                <w:rFonts w:ascii="Meta Pro" w:eastAsia="Times New Roman" w:hAnsi="Meta Pro"/>
                <w:b/>
                <w:bCs/>
                <w:sz w:val="16"/>
                <w:szCs w:val="16"/>
                <w:lang w:eastAsia="en-AU"/>
              </w:rPr>
            </w:pPr>
          </w:p>
        </w:tc>
        <w:tc>
          <w:tcPr>
            <w:tcW w:w="1418" w:type="dxa"/>
            <w:tcBorders>
              <w:top w:val="nil"/>
              <w:left w:val="nil"/>
              <w:bottom w:val="nil"/>
              <w:right w:val="nil"/>
            </w:tcBorders>
            <w:shd w:val="clear" w:color="auto" w:fill="auto"/>
            <w:noWrap/>
            <w:vAlign w:val="center"/>
            <w:hideMark/>
          </w:tcPr>
          <w:p w14:paraId="71E0A488" w14:textId="77777777" w:rsidR="00BC5219" w:rsidRPr="009C55C2" w:rsidRDefault="00BC5219" w:rsidP="00E83802">
            <w:pPr>
              <w:jc w:val="center"/>
              <w:rPr>
                <w:rFonts w:ascii="Meta Pro" w:eastAsia="Times New Roman" w:hAnsi="Meta Pro"/>
                <w:b/>
                <w:bCs/>
                <w:sz w:val="16"/>
                <w:szCs w:val="16"/>
                <w:lang w:eastAsia="en-AU"/>
              </w:rPr>
            </w:pPr>
            <w:r w:rsidRPr="009C55C2">
              <w:rPr>
                <w:rFonts w:ascii="Meta Pro" w:eastAsia="Times New Roman" w:hAnsi="Meta Pro"/>
                <w:b/>
                <w:bCs/>
                <w:sz w:val="16"/>
                <w:szCs w:val="16"/>
                <w:lang w:eastAsia="en-AU"/>
              </w:rPr>
              <w:t>$'000</w:t>
            </w:r>
          </w:p>
        </w:tc>
        <w:tc>
          <w:tcPr>
            <w:tcW w:w="198" w:type="dxa"/>
            <w:tcBorders>
              <w:top w:val="nil"/>
              <w:left w:val="nil"/>
              <w:bottom w:val="nil"/>
              <w:right w:val="nil"/>
            </w:tcBorders>
            <w:shd w:val="clear" w:color="auto" w:fill="auto"/>
            <w:noWrap/>
            <w:vAlign w:val="center"/>
            <w:hideMark/>
          </w:tcPr>
          <w:p w14:paraId="5214E86C" w14:textId="77777777" w:rsidR="00BC5219" w:rsidRPr="009C55C2" w:rsidRDefault="00BC5219" w:rsidP="00E83802">
            <w:pPr>
              <w:jc w:val="center"/>
              <w:rPr>
                <w:rFonts w:ascii="Meta Pro" w:eastAsia="Times New Roman" w:hAnsi="Meta Pro"/>
                <w:b/>
                <w:bCs/>
                <w:sz w:val="16"/>
                <w:szCs w:val="16"/>
                <w:lang w:eastAsia="en-AU"/>
              </w:rPr>
            </w:pPr>
          </w:p>
        </w:tc>
        <w:tc>
          <w:tcPr>
            <w:tcW w:w="1418" w:type="dxa"/>
            <w:tcBorders>
              <w:top w:val="nil"/>
              <w:left w:val="nil"/>
              <w:bottom w:val="nil"/>
              <w:right w:val="nil"/>
            </w:tcBorders>
            <w:shd w:val="clear" w:color="auto" w:fill="auto"/>
            <w:noWrap/>
            <w:vAlign w:val="center"/>
            <w:hideMark/>
          </w:tcPr>
          <w:p w14:paraId="07254A2F" w14:textId="77777777" w:rsidR="00BC5219" w:rsidRPr="009C55C2" w:rsidRDefault="00BC5219" w:rsidP="00E83802">
            <w:pPr>
              <w:jc w:val="center"/>
              <w:rPr>
                <w:rFonts w:ascii="Meta Pro" w:eastAsia="Times New Roman" w:hAnsi="Meta Pro"/>
                <w:b/>
                <w:bCs/>
                <w:sz w:val="16"/>
                <w:szCs w:val="16"/>
                <w:lang w:eastAsia="en-AU"/>
              </w:rPr>
            </w:pPr>
            <w:r w:rsidRPr="009C55C2">
              <w:rPr>
                <w:rFonts w:ascii="Meta Pro" w:eastAsia="Times New Roman" w:hAnsi="Meta Pro"/>
                <w:b/>
                <w:bCs/>
                <w:sz w:val="16"/>
                <w:szCs w:val="16"/>
                <w:lang w:eastAsia="en-AU"/>
              </w:rPr>
              <w:t>$'000</w:t>
            </w:r>
          </w:p>
        </w:tc>
        <w:tc>
          <w:tcPr>
            <w:tcW w:w="198" w:type="dxa"/>
            <w:tcBorders>
              <w:top w:val="nil"/>
              <w:left w:val="nil"/>
              <w:bottom w:val="nil"/>
              <w:right w:val="nil"/>
            </w:tcBorders>
            <w:shd w:val="clear" w:color="auto" w:fill="auto"/>
            <w:noWrap/>
            <w:vAlign w:val="center"/>
            <w:hideMark/>
          </w:tcPr>
          <w:p w14:paraId="3C9BA379" w14:textId="77777777" w:rsidR="00BC5219" w:rsidRPr="009C55C2" w:rsidRDefault="00BC5219" w:rsidP="00E83802">
            <w:pPr>
              <w:jc w:val="center"/>
              <w:rPr>
                <w:rFonts w:ascii="Meta Pro" w:eastAsia="Times New Roman" w:hAnsi="Meta Pro"/>
                <w:b/>
                <w:bCs/>
                <w:sz w:val="16"/>
                <w:szCs w:val="16"/>
                <w:lang w:eastAsia="en-AU"/>
              </w:rPr>
            </w:pPr>
          </w:p>
        </w:tc>
        <w:tc>
          <w:tcPr>
            <w:tcW w:w="1418" w:type="dxa"/>
            <w:tcBorders>
              <w:top w:val="nil"/>
              <w:left w:val="nil"/>
              <w:bottom w:val="nil"/>
              <w:right w:val="nil"/>
            </w:tcBorders>
            <w:shd w:val="clear" w:color="auto" w:fill="auto"/>
            <w:noWrap/>
            <w:vAlign w:val="center"/>
            <w:hideMark/>
          </w:tcPr>
          <w:p w14:paraId="39DB2DDA" w14:textId="77777777" w:rsidR="00BC5219" w:rsidRPr="009C55C2" w:rsidRDefault="00BC5219" w:rsidP="00E83802">
            <w:pPr>
              <w:jc w:val="center"/>
              <w:rPr>
                <w:rFonts w:ascii="Meta Pro" w:eastAsia="Times New Roman" w:hAnsi="Meta Pro"/>
                <w:b/>
                <w:bCs/>
                <w:sz w:val="16"/>
                <w:szCs w:val="16"/>
                <w:lang w:eastAsia="en-AU"/>
              </w:rPr>
            </w:pPr>
            <w:r w:rsidRPr="009C55C2">
              <w:rPr>
                <w:rFonts w:ascii="Meta Pro" w:eastAsia="Times New Roman" w:hAnsi="Meta Pro"/>
                <w:b/>
                <w:bCs/>
                <w:sz w:val="16"/>
                <w:szCs w:val="16"/>
                <w:lang w:eastAsia="en-AU"/>
              </w:rPr>
              <w:t>$'000</w:t>
            </w:r>
          </w:p>
        </w:tc>
        <w:tc>
          <w:tcPr>
            <w:tcW w:w="198" w:type="dxa"/>
            <w:tcBorders>
              <w:top w:val="nil"/>
              <w:left w:val="nil"/>
              <w:bottom w:val="nil"/>
              <w:right w:val="nil"/>
            </w:tcBorders>
            <w:shd w:val="clear" w:color="auto" w:fill="auto"/>
            <w:noWrap/>
            <w:vAlign w:val="center"/>
            <w:hideMark/>
          </w:tcPr>
          <w:p w14:paraId="287AD652" w14:textId="77777777" w:rsidR="00BC5219" w:rsidRPr="009C55C2" w:rsidRDefault="00BC5219" w:rsidP="00E83802">
            <w:pPr>
              <w:jc w:val="center"/>
              <w:rPr>
                <w:rFonts w:ascii="Meta Pro" w:eastAsia="Times New Roman" w:hAnsi="Meta Pro"/>
                <w:b/>
                <w:bCs/>
                <w:sz w:val="16"/>
                <w:szCs w:val="16"/>
                <w:lang w:eastAsia="en-AU"/>
              </w:rPr>
            </w:pPr>
          </w:p>
        </w:tc>
        <w:tc>
          <w:tcPr>
            <w:tcW w:w="1418" w:type="dxa"/>
            <w:tcBorders>
              <w:top w:val="nil"/>
              <w:left w:val="nil"/>
              <w:bottom w:val="nil"/>
              <w:right w:val="nil"/>
            </w:tcBorders>
            <w:shd w:val="clear" w:color="auto" w:fill="auto"/>
            <w:noWrap/>
            <w:vAlign w:val="center"/>
            <w:hideMark/>
          </w:tcPr>
          <w:p w14:paraId="0B7CBE44" w14:textId="77777777" w:rsidR="00BC5219" w:rsidRPr="009C55C2" w:rsidRDefault="00BC5219" w:rsidP="00E83802">
            <w:pPr>
              <w:jc w:val="center"/>
              <w:rPr>
                <w:rFonts w:ascii="Meta Pro" w:eastAsia="Times New Roman" w:hAnsi="Meta Pro"/>
                <w:b/>
                <w:bCs/>
                <w:sz w:val="16"/>
                <w:szCs w:val="16"/>
                <w:lang w:eastAsia="en-AU"/>
              </w:rPr>
            </w:pPr>
            <w:r w:rsidRPr="009C55C2">
              <w:rPr>
                <w:rFonts w:ascii="Meta Pro" w:eastAsia="Times New Roman" w:hAnsi="Meta Pro"/>
                <w:b/>
                <w:bCs/>
                <w:sz w:val="16"/>
                <w:szCs w:val="16"/>
                <w:lang w:eastAsia="en-AU"/>
              </w:rPr>
              <w:t>$'000</w:t>
            </w:r>
          </w:p>
        </w:tc>
        <w:tc>
          <w:tcPr>
            <w:tcW w:w="198" w:type="dxa"/>
            <w:tcBorders>
              <w:top w:val="nil"/>
              <w:left w:val="nil"/>
              <w:bottom w:val="nil"/>
              <w:right w:val="nil"/>
            </w:tcBorders>
            <w:shd w:val="clear" w:color="auto" w:fill="auto"/>
            <w:noWrap/>
            <w:vAlign w:val="center"/>
            <w:hideMark/>
          </w:tcPr>
          <w:p w14:paraId="4B9BEC34" w14:textId="77777777" w:rsidR="00BC5219" w:rsidRPr="009C55C2" w:rsidRDefault="00BC5219" w:rsidP="00E83802">
            <w:pPr>
              <w:jc w:val="center"/>
              <w:rPr>
                <w:rFonts w:ascii="Meta Pro" w:eastAsia="Times New Roman" w:hAnsi="Meta Pro"/>
                <w:b/>
                <w:bCs/>
                <w:sz w:val="16"/>
                <w:szCs w:val="16"/>
                <w:lang w:eastAsia="en-AU"/>
              </w:rPr>
            </w:pPr>
          </w:p>
        </w:tc>
        <w:tc>
          <w:tcPr>
            <w:tcW w:w="1418" w:type="dxa"/>
            <w:tcBorders>
              <w:top w:val="nil"/>
              <w:left w:val="nil"/>
              <w:bottom w:val="nil"/>
              <w:right w:val="nil"/>
            </w:tcBorders>
            <w:shd w:val="clear" w:color="auto" w:fill="auto"/>
            <w:noWrap/>
            <w:vAlign w:val="center"/>
            <w:hideMark/>
          </w:tcPr>
          <w:p w14:paraId="37C154E4" w14:textId="77777777" w:rsidR="00BC5219" w:rsidRPr="009C55C2" w:rsidRDefault="00BC5219" w:rsidP="00E83802">
            <w:pPr>
              <w:jc w:val="center"/>
              <w:rPr>
                <w:rFonts w:ascii="Meta Pro" w:eastAsia="Times New Roman" w:hAnsi="Meta Pro"/>
                <w:b/>
                <w:bCs/>
                <w:sz w:val="16"/>
                <w:szCs w:val="16"/>
                <w:lang w:eastAsia="en-AU"/>
              </w:rPr>
            </w:pPr>
            <w:r w:rsidRPr="009C55C2">
              <w:rPr>
                <w:rFonts w:ascii="Meta Pro" w:eastAsia="Times New Roman" w:hAnsi="Meta Pro"/>
                <w:b/>
                <w:bCs/>
                <w:sz w:val="16"/>
                <w:szCs w:val="16"/>
                <w:lang w:eastAsia="en-AU"/>
              </w:rPr>
              <w:t>$'000</w:t>
            </w:r>
          </w:p>
        </w:tc>
      </w:tr>
      <w:tr w:rsidR="00BC5219" w:rsidRPr="009C55C2" w14:paraId="6F6365C3" w14:textId="77777777" w:rsidTr="00E83802">
        <w:trPr>
          <w:trHeight w:val="198"/>
        </w:trPr>
        <w:tc>
          <w:tcPr>
            <w:tcW w:w="4366" w:type="dxa"/>
            <w:gridSpan w:val="2"/>
            <w:tcBorders>
              <w:top w:val="nil"/>
              <w:left w:val="nil"/>
              <w:bottom w:val="nil"/>
              <w:right w:val="nil"/>
            </w:tcBorders>
            <w:shd w:val="clear" w:color="auto" w:fill="auto"/>
            <w:noWrap/>
            <w:vAlign w:val="center"/>
            <w:hideMark/>
          </w:tcPr>
          <w:p w14:paraId="242333FA" w14:textId="77777777" w:rsidR="00BC5219" w:rsidRPr="009C55C2" w:rsidRDefault="00BC5219" w:rsidP="00E83802">
            <w:pPr>
              <w:rPr>
                <w:rFonts w:ascii="Meta Pro" w:eastAsia="Times New Roman" w:hAnsi="Meta Pro"/>
                <w:b/>
                <w:bCs/>
                <w:sz w:val="16"/>
                <w:szCs w:val="16"/>
                <w:lang w:eastAsia="en-AU"/>
              </w:rPr>
            </w:pPr>
            <w:r w:rsidRPr="009C55C2">
              <w:rPr>
                <w:rFonts w:ascii="Meta Pro" w:eastAsia="Times New Roman" w:hAnsi="Meta Pro"/>
                <w:b/>
                <w:bCs/>
                <w:sz w:val="16"/>
                <w:szCs w:val="16"/>
                <w:lang w:eastAsia="en-AU"/>
              </w:rPr>
              <w:t>Income</w:t>
            </w:r>
          </w:p>
        </w:tc>
        <w:tc>
          <w:tcPr>
            <w:tcW w:w="1418" w:type="dxa"/>
            <w:tcBorders>
              <w:top w:val="nil"/>
              <w:left w:val="nil"/>
              <w:bottom w:val="nil"/>
              <w:right w:val="nil"/>
            </w:tcBorders>
            <w:shd w:val="clear" w:color="auto" w:fill="auto"/>
            <w:noWrap/>
            <w:vAlign w:val="center"/>
            <w:hideMark/>
          </w:tcPr>
          <w:p w14:paraId="758DB736" w14:textId="77777777" w:rsidR="00BC5219" w:rsidRPr="009C55C2" w:rsidRDefault="00BC5219" w:rsidP="00E83802">
            <w:pPr>
              <w:rPr>
                <w:rFonts w:ascii="Meta Pro" w:eastAsia="Times New Roman" w:hAnsi="Meta Pro"/>
                <w:b/>
                <w:bCs/>
                <w:sz w:val="16"/>
                <w:szCs w:val="16"/>
                <w:lang w:eastAsia="en-AU"/>
              </w:rPr>
            </w:pPr>
          </w:p>
        </w:tc>
        <w:tc>
          <w:tcPr>
            <w:tcW w:w="198" w:type="dxa"/>
            <w:tcBorders>
              <w:top w:val="nil"/>
              <w:left w:val="nil"/>
              <w:bottom w:val="nil"/>
              <w:right w:val="nil"/>
            </w:tcBorders>
            <w:shd w:val="clear" w:color="auto" w:fill="auto"/>
            <w:noWrap/>
            <w:vAlign w:val="center"/>
            <w:hideMark/>
          </w:tcPr>
          <w:p w14:paraId="58BA9810" w14:textId="77777777" w:rsidR="00BC5219" w:rsidRPr="009C55C2" w:rsidRDefault="00BC5219" w:rsidP="00E83802">
            <w:pPr>
              <w:jc w:val="center"/>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noWrap/>
            <w:vAlign w:val="center"/>
            <w:hideMark/>
          </w:tcPr>
          <w:p w14:paraId="09688AFD" w14:textId="77777777" w:rsidR="00BC5219" w:rsidRPr="009C55C2" w:rsidRDefault="00BC5219" w:rsidP="00E83802">
            <w:pPr>
              <w:jc w:val="cente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0AA8B1FA" w14:textId="77777777" w:rsidR="00BC5219" w:rsidRPr="009C55C2" w:rsidRDefault="00BC5219" w:rsidP="00E83802">
            <w:pPr>
              <w:jc w:val="center"/>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noWrap/>
            <w:vAlign w:val="center"/>
            <w:hideMark/>
          </w:tcPr>
          <w:p w14:paraId="04C081CA" w14:textId="77777777" w:rsidR="00BC5219" w:rsidRPr="009C55C2" w:rsidRDefault="00BC5219" w:rsidP="00E83802">
            <w:pPr>
              <w:jc w:val="cente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683FDE2C" w14:textId="77777777" w:rsidR="00BC5219" w:rsidRPr="009C55C2" w:rsidRDefault="00BC5219" w:rsidP="00E83802">
            <w:pPr>
              <w:jc w:val="center"/>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noWrap/>
            <w:vAlign w:val="center"/>
            <w:hideMark/>
          </w:tcPr>
          <w:p w14:paraId="753B3C3C" w14:textId="77777777" w:rsidR="00BC5219" w:rsidRPr="009C55C2" w:rsidRDefault="00BC5219" w:rsidP="00E83802">
            <w:pPr>
              <w:jc w:val="cente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7C82CC78" w14:textId="77777777" w:rsidR="00BC5219" w:rsidRPr="009C55C2" w:rsidRDefault="00BC5219" w:rsidP="00E83802">
            <w:pPr>
              <w:jc w:val="center"/>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noWrap/>
            <w:vAlign w:val="center"/>
            <w:hideMark/>
          </w:tcPr>
          <w:p w14:paraId="40EB0F68" w14:textId="77777777" w:rsidR="00BC5219" w:rsidRPr="009C55C2" w:rsidRDefault="00BC5219" w:rsidP="00E83802">
            <w:pPr>
              <w:jc w:val="cente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14BACD58" w14:textId="77777777" w:rsidR="00BC5219" w:rsidRPr="009C55C2" w:rsidRDefault="00BC5219" w:rsidP="00E83802">
            <w:pPr>
              <w:jc w:val="center"/>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noWrap/>
            <w:vAlign w:val="center"/>
            <w:hideMark/>
          </w:tcPr>
          <w:p w14:paraId="5D646429" w14:textId="77777777" w:rsidR="00BC5219" w:rsidRPr="009C55C2" w:rsidRDefault="00BC5219" w:rsidP="00E83802">
            <w:pPr>
              <w:jc w:val="center"/>
              <w:rPr>
                <w:rFonts w:ascii="Meta Pro" w:eastAsia="Times New Roman" w:hAnsi="Meta Pro" w:cs="Times New Roman"/>
                <w:sz w:val="20"/>
                <w:szCs w:val="20"/>
                <w:lang w:eastAsia="en-AU"/>
              </w:rPr>
            </w:pPr>
          </w:p>
        </w:tc>
      </w:tr>
      <w:tr w:rsidR="00BC5219" w:rsidRPr="009C55C2" w14:paraId="4232D430" w14:textId="77777777" w:rsidTr="00E83802">
        <w:trPr>
          <w:trHeight w:val="198"/>
        </w:trPr>
        <w:tc>
          <w:tcPr>
            <w:tcW w:w="215" w:type="dxa"/>
            <w:tcBorders>
              <w:top w:val="nil"/>
              <w:left w:val="nil"/>
              <w:bottom w:val="nil"/>
              <w:right w:val="nil"/>
            </w:tcBorders>
            <w:shd w:val="clear" w:color="auto" w:fill="auto"/>
            <w:noWrap/>
            <w:vAlign w:val="center"/>
            <w:hideMark/>
          </w:tcPr>
          <w:p w14:paraId="5343E71E" w14:textId="77777777" w:rsidR="00BC5219" w:rsidRPr="009C55C2" w:rsidRDefault="00BC5219" w:rsidP="00E83802">
            <w:pPr>
              <w:jc w:val="center"/>
              <w:rPr>
                <w:rFonts w:ascii="Meta Pro" w:eastAsia="Times New Roman" w:hAnsi="Meta Pro" w:cs="Times New Roman"/>
                <w:sz w:val="20"/>
                <w:szCs w:val="20"/>
                <w:lang w:eastAsia="en-AU"/>
              </w:rPr>
            </w:pPr>
          </w:p>
        </w:tc>
        <w:tc>
          <w:tcPr>
            <w:tcW w:w="4366" w:type="dxa"/>
            <w:tcBorders>
              <w:top w:val="nil"/>
              <w:left w:val="nil"/>
              <w:bottom w:val="nil"/>
              <w:right w:val="nil"/>
            </w:tcBorders>
            <w:shd w:val="clear" w:color="auto" w:fill="auto"/>
            <w:noWrap/>
            <w:vAlign w:val="center"/>
            <w:hideMark/>
          </w:tcPr>
          <w:p w14:paraId="6F065EB6"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Appropriation revenue</w:t>
            </w:r>
          </w:p>
        </w:tc>
        <w:tc>
          <w:tcPr>
            <w:tcW w:w="1418" w:type="dxa"/>
            <w:tcBorders>
              <w:top w:val="nil"/>
              <w:left w:val="nil"/>
              <w:bottom w:val="nil"/>
              <w:right w:val="nil"/>
            </w:tcBorders>
            <w:shd w:val="clear" w:color="000000" w:fill="C9E3B4"/>
            <w:noWrap/>
            <w:vAlign w:val="center"/>
            <w:hideMark/>
          </w:tcPr>
          <w:p w14:paraId="626C4CC6"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119,472 </w:t>
            </w:r>
          </w:p>
        </w:tc>
        <w:tc>
          <w:tcPr>
            <w:tcW w:w="198" w:type="dxa"/>
            <w:tcBorders>
              <w:top w:val="nil"/>
              <w:left w:val="nil"/>
              <w:bottom w:val="nil"/>
              <w:right w:val="nil"/>
            </w:tcBorders>
            <w:shd w:val="clear" w:color="auto" w:fill="auto"/>
            <w:noWrap/>
            <w:vAlign w:val="center"/>
            <w:hideMark/>
          </w:tcPr>
          <w:p w14:paraId="6FCA2E0E"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3A55BF08"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2,625,581 </w:t>
            </w:r>
          </w:p>
        </w:tc>
        <w:tc>
          <w:tcPr>
            <w:tcW w:w="198" w:type="dxa"/>
            <w:tcBorders>
              <w:top w:val="nil"/>
              <w:left w:val="nil"/>
              <w:bottom w:val="nil"/>
              <w:right w:val="nil"/>
            </w:tcBorders>
            <w:shd w:val="clear" w:color="auto" w:fill="auto"/>
            <w:noWrap/>
            <w:vAlign w:val="center"/>
            <w:hideMark/>
          </w:tcPr>
          <w:p w14:paraId="068E57C6"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DC9ED72"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33,984 </w:t>
            </w:r>
          </w:p>
        </w:tc>
        <w:tc>
          <w:tcPr>
            <w:tcW w:w="198" w:type="dxa"/>
            <w:tcBorders>
              <w:top w:val="nil"/>
              <w:left w:val="nil"/>
              <w:bottom w:val="nil"/>
              <w:right w:val="nil"/>
            </w:tcBorders>
            <w:shd w:val="clear" w:color="auto" w:fill="auto"/>
            <w:noWrap/>
            <w:vAlign w:val="center"/>
            <w:hideMark/>
          </w:tcPr>
          <w:p w14:paraId="66A6EFD3"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2D4B6172"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398,092 </w:t>
            </w:r>
          </w:p>
        </w:tc>
        <w:tc>
          <w:tcPr>
            <w:tcW w:w="198" w:type="dxa"/>
            <w:tcBorders>
              <w:top w:val="nil"/>
              <w:left w:val="nil"/>
              <w:bottom w:val="nil"/>
              <w:right w:val="nil"/>
            </w:tcBorders>
            <w:shd w:val="clear" w:color="auto" w:fill="auto"/>
            <w:noWrap/>
            <w:vAlign w:val="center"/>
            <w:hideMark/>
          </w:tcPr>
          <w:p w14:paraId="3FE62C8E"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7C480AC4"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3,180,773 </w:t>
            </w:r>
          </w:p>
        </w:tc>
        <w:tc>
          <w:tcPr>
            <w:tcW w:w="198" w:type="dxa"/>
            <w:tcBorders>
              <w:top w:val="nil"/>
              <w:left w:val="nil"/>
              <w:bottom w:val="nil"/>
              <w:right w:val="nil"/>
            </w:tcBorders>
            <w:shd w:val="clear" w:color="auto" w:fill="auto"/>
            <w:noWrap/>
            <w:vAlign w:val="center"/>
            <w:hideMark/>
          </w:tcPr>
          <w:p w14:paraId="72D1F078"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7B0321C1"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r>
      <w:tr w:rsidR="00BC5219" w:rsidRPr="009C55C2" w14:paraId="02BFABB4" w14:textId="77777777" w:rsidTr="00E83802">
        <w:trPr>
          <w:trHeight w:val="198"/>
        </w:trPr>
        <w:tc>
          <w:tcPr>
            <w:tcW w:w="215" w:type="dxa"/>
            <w:tcBorders>
              <w:top w:val="nil"/>
              <w:left w:val="nil"/>
              <w:bottom w:val="nil"/>
              <w:right w:val="nil"/>
            </w:tcBorders>
            <w:shd w:val="clear" w:color="auto" w:fill="auto"/>
            <w:noWrap/>
            <w:vAlign w:val="center"/>
            <w:hideMark/>
          </w:tcPr>
          <w:p w14:paraId="3302FEA5"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14EFC52E"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User charges and fees</w:t>
            </w:r>
          </w:p>
        </w:tc>
        <w:tc>
          <w:tcPr>
            <w:tcW w:w="1418" w:type="dxa"/>
            <w:tcBorders>
              <w:top w:val="nil"/>
              <w:left w:val="nil"/>
              <w:bottom w:val="nil"/>
              <w:right w:val="nil"/>
            </w:tcBorders>
            <w:shd w:val="clear" w:color="000000" w:fill="C9E3B4"/>
            <w:noWrap/>
            <w:vAlign w:val="center"/>
            <w:hideMark/>
          </w:tcPr>
          <w:p w14:paraId="4D6C22E4"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37,897 </w:t>
            </w:r>
          </w:p>
        </w:tc>
        <w:tc>
          <w:tcPr>
            <w:tcW w:w="198" w:type="dxa"/>
            <w:tcBorders>
              <w:top w:val="nil"/>
              <w:left w:val="nil"/>
              <w:bottom w:val="nil"/>
              <w:right w:val="nil"/>
            </w:tcBorders>
            <w:shd w:val="clear" w:color="auto" w:fill="auto"/>
            <w:noWrap/>
            <w:vAlign w:val="center"/>
            <w:hideMark/>
          </w:tcPr>
          <w:p w14:paraId="488372F9"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75DE94BE"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63,670 </w:t>
            </w:r>
          </w:p>
        </w:tc>
        <w:tc>
          <w:tcPr>
            <w:tcW w:w="198" w:type="dxa"/>
            <w:tcBorders>
              <w:top w:val="nil"/>
              <w:left w:val="nil"/>
              <w:bottom w:val="nil"/>
              <w:right w:val="nil"/>
            </w:tcBorders>
            <w:shd w:val="clear" w:color="auto" w:fill="auto"/>
            <w:noWrap/>
            <w:vAlign w:val="center"/>
            <w:hideMark/>
          </w:tcPr>
          <w:p w14:paraId="76FD3881"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6B6D93E3"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299,771 </w:t>
            </w:r>
          </w:p>
        </w:tc>
        <w:tc>
          <w:tcPr>
            <w:tcW w:w="198" w:type="dxa"/>
            <w:tcBorders>
              <w:top w:val="nil"/>
              <w:left w:val="nil"/>
              <w:bottom w:val="nil"/>
              <w:right w:val="nil"/>
            </w:tcBorders>
            <w:shd w:val="clear" w:color="auto" w:fill="auto"/>
            <w:noWrap/>
            <w:vAlign w:val="center"/>
            <w:hideMark/>
          </w:tcPr>
          <w:p w14:paraId="65CF6260"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5FFDE0E7"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17,483 </w:t>
            </w:r>
          </w:p>
        </w:tc>
        <w:tc>
          <w:tcPr>
            <w:tcW w:w="198" w:type="dxa"/>
            <w:tcBorders>
              <w:top w:val="nil"/>
              <w:left w:val="nil"/>
              <w:bottom w:val="nil"/>
              <w:right w:val="nil"/>
            </w:tcBorders>
            <w:shd w:val="clear" w:color="auto" w:fill="auto"/>
            <w:noWrap/>
            <w:vAlign w:val="center"/>
            <w:hideMark/>
          </w:tcPr>
          <w:p w14:paraId="29A9EA91"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76987EAF"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315,211 </w:t>
            </w:r>
          </w:p>
        </w:tc>
        <w:tc>
          <w:tcPr>
            <w:tcW w:w="198" w:type="dxa"/>
            <w:tcBorders>
              <w:top w:val="nil"/>
              <w:left w:val="nil"/>
              <w:bottom w:val="nil"/>
              <w:right w:val="nil"/>
            </w:tcBorders>
            <w:shd w:val="clear" w:color="auto" w:fill="auto"/>
            <w:noWrap/>
            <w:vAlign w:val="center"/>
            <w:hideMark/>
          </w:tcPr>
          <w:p w14:paraId="534100C0"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7FC6A548"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816,446 </w:t>
            </w:r>
          </w:p>
        </w:tc>
      </w:tr>
      <w:tr w:rsidR="00BC5219" w:rsidRPr="009C55C2" w14:paraId="1B5627BF" w14:textId="77777777" w:rsidTr="00E83802">
        <w:trPr>
          <w:trHeight w:val="198"/>
        </w:trPr>
        <w:tc>
          <w:tcPr>
            <w:tcW w:w="215" w:type="dxa"/>
            <w:tcBorders>
              <w:top w:val="nil"/>
              <w:left w:val="nil"/>
              <w:bottom w:val="nil"/>
              <w:right w:val="nil"/>
            </w:tcBorders>
            <w:shd w:val="clear" w:color="auto" w:fill="auto"/>
            <w:noWrap/>
            <w:vAlign w:val="center"/>
            <w:hideMark/>
          </w:tcPr>
          <w:p w14:paraId="0E2AC547"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19DEE0B5"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 xml:space="preserve">Grants and other contributions </w:t>
            </w:r>
          </w:p>
        </w:tc>
        <w:tc>
          <w:tcPr>
            <w:tcW w:w="1418" w:type="dxa"/>
            <w:tcBorders>
              <w:top w:val="nil"/>
              <w:left w:val="nil"/>
              <w:bottom w:val="nil"/>
              <w:right w:val="nil"/>
            </w:tcBorders>
            <w:shd w:val="clear" w:color="000000" w:fill="C9E3B4"/>
            <w:noWrap/>
            <w:vAlign w:val="center"/>
            <w:hideMark/>
          </w:tcPr>
          <w:p w14:paraId="165F34CE"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259 </w:t>
            </w:r>
          </w:p>
        </w:tc>
        <w:tc>
          <w:tcPr>
            <w:tcW w:w="198" w:type="dxa"/>
            <w:tcBorders>
              <w:top w:val="nil"/>
              <w:left w:val="nil"/>
              <w:bottom w:val="nil"/>
              <w:right w:val="nil"/>
            </w:tcBorders>
            <w:shd w:val="clear" w:color="auto" w:fill="auto"/>
            <w:noWrap/>
            <w:vAlign w:val="center"/>
            <w:hideMark/>
          </w:tcPr>
          <w:p w14:paraId="5D798D63"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B3204E8"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211,807 </w:t>
            </w:r>
          </w:p>
        </w:tc>
        <w:tc>
          <w:tcPr>
            <w:tcW w:w="198" w:type="dxa"/>
            <w:tcBorders>
              <w:top w:val="nil"/>
              <w:left w:val="nil"/>
              <w:bottom w:val="nil"/>
              <w:right w:val="nil"/>
            </w:tcBorders>
            <w:shd w:val="clear" w:color="auto" w:fill="auto"/>
            <w:noWrap/>
            <w:vAlign w:val="center"/>
            <w:hideMark/>
          </w:tcPr>
          <w:p w14:paraId="68F2E802"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49BB899D"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3,685 </w:t>
            </w:r>
          </w:p>
        </w:tc>
        <w:tc>
          <w:tcPr>
            <w:tcW w:w="198" w:type="dxa"/>
            <w:tcBorders>
              <w:top w:val="nil"/>
              <w:left w:val="nil"/>
              <w:bottom w:val="nil"/>
              <w:right w:val="nil"/>
            </w:tcBorders>
            <w:shd w:val="clear" w:color="auto" w:fill="auto"/>
            <w:noWrap/>
            <w:vAlign w:val="center"/>
            <w:hideMark/>
          </w:tcPr>
          <w:p w14:paraId="3A9B33A9"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6F19BC40"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720 </w:t>
            </w:r>
          </w:p>
        </w:tc>
        <w:tc>
          <w:tcPr>
            <w:tcW w:w="198" w:type="dxa"/>
            <w:tcBorders>
              <w:top w:val="nil"/>
              <w:left w:val="nil"/>
              <w:bottom w:val="nil"/>
              <w:right w:val="nil"/>
            </w:tcBorders>
            <w:shd w:val="clear" w:color="auto" w:fill="auto"/>
            <w:noWrap/>
            <w:vAlign w:val="center"/>
            <w:hideMark/>
          </w:tcPr>
          <w:p w14:paraId="4957C5A1"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47459E5C"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59,593 </w:t>
            </w:r>
          </w:p>
        </w:tc>
        <w:tc>
          <w:tcPr>
            <w:tcW w:w="198" w:type="dxa"/>
            <w:tcBorders>
              <w:top w:val="nil"/>
              <w:left w:val="nil"/>
              <w:bottom w:val="nil"/>
              <w:right w:val="nil"/>
            </w:tcBorders>
            <w:shd w:val="clear" w:color="auto" w:fill="auto"/>
            <w:noWrap/>
            <w:vAlign w:val="center"/>
            <w:hideMark/>
          </w:tcPr>
          <w:p w14:paraId="54D90656"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24D5060F"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r>
      <w:tr w:rsidR="00BC5219" w:rsidRPr="009C55C2" w14:paraId="6272860C" w14:textId="77777777" w:rsidTr="00E83802">
        <w:trPr>
          <w:trHeight w:val="198"/>
        </w:trPr>
        <w:tc>
          <w:tcPr>
            <w:tcW w:w="215" w:type="dxa"/>
            <w:tcBorders>
              <w:top w:val="nil"/>
              <w:left w:val="nil"/>
              <w:bottom w:val="nil"/>
              <w:right w:val="nil"/>
            </w:tcBorders>
            <w:shd w:val="clear" w:color="auto" w:fill="auto"/>
            <w:noWrap/>
            <w:vAlign w:val="center"/>
            <w:hideMark/>
          </w:tcPr>
          <w:p w14:paraId="533F8A00"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479E0402"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Service concession arrangements revenue</w:t>
            </w:r>
          </w:p>
        </w:tc>
        <w:tc>
          <w:tcPr>
            <w:tcW w:w="1418" w:type="dxa"/>
            <w:tcBorders>
              <w:top w:val="nil"/>
              <w:left w:val="nil"/>
              <w:bottom w:val="nil"/>
              <w:right w:val="nil"/>
            </w:tcBorders>
            <w:shd w:val="clear" w:color="000000" w:fill="C9E3B4"/>
            <w:noWrap/>
            <w:vAlign w:val="center"/>
            <w:hideMark/>
          </w:tcPr>
          <w:p w14:paraId="140C8AAF"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403119C4"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36B644E7"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223,020 </w:t>
            </w:r>
          </w:p>
        </w:tc>
        <w:tc>
          <w:tcPr>
            <w:tcW w:w="198" w:type="dxa"/>
            <w:tcBorders>
              <w:top w:val="nil"/>
              <w:left w:val="nil"/>
              <w:bottom w:val="nil"/>
              <w:right w:val="nil"/>
            </w:tcBorders>
            <w:shd w:val="clear" w:color="auto" w:fill="auto"/>
            <w:noWrap/>
            <w:vAlign w:val="center"/>
            <w:hideMark/>
          </w:tcPr>
          <w:p w14:paraId="097E1D73"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463C7BD9"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19682115"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4AC9CFA9"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3B30669A"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4ADD047A"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9,160 </w:t>
            </w:r>
          </w:p>
        </w:tc>
        <w:tc>
          <w:tcPr>
            <w:tcW w:w="198" w:type="dxa"/>
            <w:tcBorders>
              <w:top w:val="nil"/>
              <w:left w:val="nil"/>
              <w:bottom w:val="nil"/>
              <w:right w:val="nil"/>
            </w:tcBorders>
            <w:shd w:val="clear" w:color="auto" w:fill="auto"/>
            <w:noWrap/>
            <w:vAlign w:val="center"/>
            <w:hideMark/>
          </w:tcPr>
          <w:p w14:paraId="1C0190B1"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3189E03"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r>
      <w:tr w:rsidR="00BC5219" w:rsidRPr="009C55C2" w14:paraId="294F8537" w14:textId="77777777" w:rsidTr="00E83802">
        <w:trPr>
          <w:trHeight w:val="198"/>
        </w:trPr>
        <w:tc>
          <w:tcPr>
            <w:tcW w:w="215" w:type="dxa"/>
            <w:tcBorders>
              <w:top w:val="nil"/>
              <w:left w:val="nil"/>
              <w:bottom w:val="single" w:sz="4" w:space="0" w:color="auto"/>
              <w:right w:val="nil"/>
            </w:tcBorders>
            <w:shd w:val="clear" w:color="auto" w:fill="auto"/>
            <w:noWrap/>
            <w:vAlign w:val="center"/>
            <w:hideMark/>
          </w:tcPr>
          <w:p w14:paraId="5E8D539A"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4366" w:type="dxa"/>
            <w:tcBorders>
              <w:top w:val="nil"/>
              <w:left w:val="nil"/>
              <w:bottom w:val="nil"/>
              <w:right w:val="nil"/>
            </w:tcBorders>
            <w:shd w:val="clear" w:color="auto" w:fill="auto"/>
            <w:noWrap/>
            <w:vAlign w:val="center"/>
            <w:hideMark/>
          </w:tcPr>
          <w:p w14:paraId="6ECD123C"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Other revenue</w:t>
            </w:r>
          </w:p>
        </w:tc>
        <w:tc>
          <w:tcPr>
            <w:tcW w:w="1418" w:type="dxa"/>
            <w:tcBorders>
              <w:top w:val="nil"/>
              <w:left w:val="nil"/>
              <w:bottom w:val="nil"/>
              <w:right w:val="nil"/>
            </w:tcBorders>
            <w:shd w:val="clear" w:color="000000" w:fill="C9E3B4"/>
            <w:noWrap/>
            <w:vAlign w:val="center"/>
            <w:hideMark/>
          </w:tcPr>
          <w:p w14:paraId="4C417917"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1,677 </w:t>
            </w:r>
          </w:p>
        </w:tc>
        <w:tc>
          <w:tcPr>
            <w:tcW w:w="198" w:type="dxa"/>
            <w:tcBorders>
              <w:top w:val="nil"/>
              <w:left w:val="nil"/>
              <w:bottom w:val="single" w:sz="4" w:space="0" w:color="auto"/>
              <w:right w:val="nil"/>
            </w:tcBorders>
            <w:shd w:val="clear" w:color="auto" w:fill="auto"/>
            <w:noWrap/>
            <w:vAlign w:val="center"/>
            <w:hideMark/>
          </w:tcPr>
          <w:p w14:paraId="06CF3369"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nil"/>
              <w:right w:val="nil"/>
            </w:tcBorders>
            <w:shd w:val="clear" w:color="000000" w:fill="C9E3B4"/>
            <w:noWrap/>
            <w:vAlign w:val="center"/>
            <w:hideMark/>
          </w:tcPr>
          <w:p w14:paraId="55F404A1"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39,414 </w:t>
            </w:r>
          </w:p>
        </w:tc>
        <w:tc>
          <w:tcPr>
            <w:tcW w:w="198" w:type="dxa"/>
            <w:tcBorders>
              <w:top w:val="nil"/>
              <w:left w:val="nil"/>
              <w:bottom w:val="single" w:sz="4" w:space="0" w:color="auto"/>
              <w:right w:val="nil"/>
            </w:tcBorders>
            <w:shd w:val="clear" w:color="auto" w:fill="auto"/>
            <w:noWrap/>
            <w:vAlign w:val="center"/>
            <w:hideMark/>
          </w:tcPr>
          <w:p w14:paraId="0D628B41"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nil"/>
              <w:right w:val="nil"/>
            </w:tcBorders>
            <w:shd w:val="clear" w:color="000000" w:fill="C9E3B4"/>
            <w:noWrap/>
            <w:vAlign w:val="center"/>
            <w:hideMark/>
          </w:tcPr>
          <w:p w14:paraId="1884EC45"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1,237 </w:t>
            </w:r>
          </w:p>
        </w:tc>
        <w:tc>
          <w:tcPr>
            <w:tcW w:w="198" w:type="dxa"/>
            <w:tcBorders>
              <w:top w:val="nil"/>
              <w:left w:val="nil"/>
              <w:bottom w:val="single" w:sz="4" w:space="0" w:color="auto"/>
              <w:right w:val="nil"/>
            </w:tcBorders>
            <w:shd w:val="clear" w:color="auto" w:fill="auto"/>
            <w:noWrap/>
            <w:vAlign w:val="center"/>
            <w:hideMark/>
          </w:tcPr>
          <w:p w14:paraId="3E68DAA0"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nil"/>
              <w:right w:val="nil"/>
            </w:tcBorders>
            <w:shd w:val="clear" w:color="000000" w:fill="C9E3B4"/>
            <w:noWrap/>
            <w:vAlign w:val="center"/>
            <w:hideMark/>
          </w:tcPr>
          <w:p w14:paraId="5797F182"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39 </w:t>
            </w:r>
          </w:p>
        </w:tc>
        <w:tc>
          <w:tcPr>
            <w:tcW w:w="198" w:type="dxa"/>
            <w:tcBorders>
              <w:top w:val="nil"/>
              <w:left w:val="nil"/>
              <w:bottom w:val="single" w:sz="4" w:space="0" w:color="auto"/>
              <w:right w:val="nil"/>
            </w:tcBorders>
            <w:shd w:val="clear" w:color="auto" w:fill="auto"/>
            <w:noWrap/>
            <w:vAlign w:val="center"/>
            <w:hideMark/>
          </w:tcPr>
          <w:p w14:paraId="7B18E9B4"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nil"/>
              <w:right w:val="nil"/>
            </w:tcBorders>
            <w:shd w:val="clear" w:color="000000" w:fill="C9E3B4"/>
            <w:noWrap/>
            <w:vAlign w:val="center"/>
            <w:hideMark/>
          </w:tcPr>
          <w:p w14:paraId="05CAAAA9"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9,520 </w:t>
            </w:r>
          </w:p>
        </w:tc>
        <w:tc>
          <w:tcPr>
            <w:tcW w:w="198" w:type="dxa"/>
            <w:tcBorders>
              <w:top w:val="nil"/>
              <w:left w:val="nil"/>
              <w:bottom w:val="single" w:sz="4" w:space="0" w:color="auto"/>
              <w:right w:val="nil"/>
            </w:tcBorders>
            <w:shd w:val="clear" w:color="auto" w:fill="auto"/>
            <w:noWrap/>
            <w:vAlign w:val="center"/>
            <w:hideMark/>
          </w:tcPr>
          <w:p w14:paraId="4B01CA12"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nil"/>
              <w:right w:val="nil"/>
            </w:tcBorders>
            <w:shd w:val="clear" w:color="000000" w:fill="C9E3B4"/>
            <w:noWrap/>
            <w:vAlign w:val="center"/>
            <w:hideMark/>
          </w:tcPr>
          <w:p w14:paraId="1EB1E29E"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2,876 </w:t>
            </w:r>
          </w:p>
        </w:tc>
      </w:tr>
      <w:tr w:rsidR="00BC5219" w:rsidRPr="009C55C2" w14:paraId="53F09F00" w14:textId="77777777" w:rsidTr="00E83802">
        <w:trPr>
          <w:trHeight w:val="198"/>
        </w:trPr>
        <w:tc>
          <w:tcPr>
            <w:tcW w:w="215" w:type="dxa"/>
            <w:tcBorders>
              <w:top w:val="nil"/>
              <w:left w:val="nil"/>
              <w:bottom w:val="nil"/>
              <w:right w:val="nil"/>
            </w:tcBorders>
            <w:shd w:val="clear" w:color="auto" w:fill="auto"/>
            <w:noWrap/>
            <w:vAlign w:val="center"/>
            <w:hideMark/>
          </w:tcPr>
          <w:p w14:paraId="6AB66333"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single" w:sz="4" w:space="0" w:color="auto"/>
              <w:left w:val="nil"/>
              <w:bottom w:val="nil"/>
              <w:right w:val="nil"/>
            </w:tcBorders>
            <w:shd w:val="clear" w:color="auto" w:fill="auto"/>
            <w:noWrap/>
            <w:vAlign w:val="center"/>
            <w:hideMark/>
          </w:tcPr>
          <w:p w14:paraId="72087BA8" w14:textId="77777777" w:rsidR="00BC5219" w:rsidRPr="009C55C2" w:rsidRDefault="00BC5219" w:rsidP="00E83802">
            <w:pPr>
              <w:rPr>
                <w:rFonts w:ascii="Meta Pro" w:eastAsia="Times New Roman" w:hAnsi="Meta Pro"/>
                <w:b/>
                <w:bCs/>
                <w:sz w:val="16"/>
                <w:szCs w:val="16"/>
                <w:lang w:eastAsia="en-AU"/>
              </w:rPr>
            </w:pPr>
            <w:r w:rsidRPr="009C55C2">
              <w:rPr>
                <w:rFonts w:ascii="Meta Pro" w:eastAsia="Times New Roman" w:hAnsi="Meta Pro"/>
                <w:b/>
                <w:bCs/>
                <w:sz w:val="16"/>
                <w:szCs w:val="16"/>
                <w:lang w:eastAsia="en-AU"/>
              </w:rPr>
              <w:t>Total revenue</w:t>
            </w:r>
          </w:p>
        </w:tc>
        <w:tc>
          <w:tcPr>
            <w:tcW w:w="1418" w:type="dxa"/>
            <w:tcBorders>
              <w:top w:val="single" w:sz="4" w:space="0" w:color="auto"/>
              <w:left w:val="nil"/>
              <w:bottom w:val="nil"/>
              <w:right w:val="nil"/>
            </w:tcBorders>
            <w:shd w:val="clear" w:color="000000" w:fill="C9E3B4"/>
            <w:noWrap/>
            <w:vAlign w:val="center"/>
            <w:hideMark/>
          </w:tcPr>
          <w:p w14:paraId="4A7CDDF5"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159,305 </w:t>
            </w:r>
          </w:p>
        </w:tc>
        <w:tc>
          <w:tcPr>
            <w:tcW w:w="198" w:type="dxa"/>
            <w:tcBorders>
              <w:top w:val="nil"/>
              <w:left w:val="nil"/>
              <w:bottom w:val="nil"/>
              <w:right w:val="nil"/>
            </w:tcBorders>
            <w:shd w:val="clear" w:color="auto" w:fill="auto"/>
            <w:noWrap/>
            <w:vAlign w:val="center"/>
            <w:hideMark/>
          </w:tcPr>
          <w:p w14:paraId="335BD8A5" w14:textId="77777777" w:rsidR="00BC5219" w:rsidRPr="009C55C2" w:rsidRDefault="00BC5219" w:rsidP="00E83802">
            <w:pPr>
              <w:jc w:val="right"/>
              <w:rPr>
                <w:rFonts w:ascii="Meta Pro" w:eastAsia="Times New Roman" w:hAnsi="Meta Pro"/>
                <w:b/>
                <w:bCs/>
                <w:sz w:val="16"/>
                <w:szCs w:val="16"/>
                <w:lang w:eastAsia="en-AU"/>
              </w:rPr>
            </w:pPr>
          </w:p>
        </w:tc>
        <w:tc>
          <w:tcPr>
            <w:tcW w:w="1418" w:type="dxa"/>
            <w:tcBorders>
              <w:top w:val="single" w:sz="4" w:space="0" w:color="auto"/>
              <w:left w:val="nil"/>
              <w:bottom w:val="nil"/>
              <w:right w:val="nil"/>
            </w:tcBorders>
            <w:shd w:val="clear" w:color="000000" w:fill="C9E3B4"/>
            <w:noWrap/>
            <w:vAlign w:val="center"/>
            <w:hideMark/>
          </w:tcPr>
          <w:p w14:paraId="65930735"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3,163,492 </w:t>
            </w:r>
          </w:p>
        </w:tc>
        <w:tc>
          <w:tcPr>
            <w:tcW w:w="198" w:type="dxa"/>
            <w:tcBorders>
              <w:top w:val="nil"/>
              <w:left w:val="nil"/>
              <w:bottom w:val="nil"/>
              <w:right w:val="nil"/>
            </w:tcBorders>
            <w:shd w:val="clear" w:color="auto" w:fill="auto"/>
            <w:noWrap/>
            <w:vAlign w:val="center"/>
            <w:hideMark/>
          </w:tcPr>
          <w:p w14:paraId="54887137" w14:textId="77777777" w:rsidR="00BC5219" w:rsidRPr="009C55C2" w:rsidRDefault="00BC5219" w:rsidP="00E83802">
            <w:pPr>
              <w:jc w:val="right"/>
              <w:rPr>
                <w:rFonts w:ascii="Meta Pro" w:eastAsia="Times New Roman" w:hAnsi="Meta Pro"/>
                <w:b/>
                <w:bCs/>
                <w:sz w:val="16"/>
                <w:szCs w:val="16"/>
                <w:lang w:eastAsia="en-AU"/>
              </w:rPr>
            </w:pPr>
          </w:p>
        </w:tc>
        <w:tc>
          <w:tcPr>
            <w:tcW w:w="1418" w:type="dxa"/>
            <w:tcBorders>
              <w:top w:val="single" w:sz="4" w:space="0" w:color="auto"/>
              <w:left w:val="nil"/>
              <w:bottom w:val="nil"/>
              <w:right w:val="nil"/>
            </w:tcBorders>
            <w:shd w:val="clear" w:color="000000" w:fill="C9E3B4"/>
            <w:noWrap/>
            <w:vAlign w:val="center"/>
            <w:hideMark/>
          </w:tcPr>
          <w:p w14:paraId="116C3994"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338,677 </w:t>
            </w:r>
          </w:p>
        </w:tc>
        <w:tc>
          <w:tcPr>
            <w:tcW w:w="198" w:type="dxa"/>
            <w:tcBorders>
              <w:top w:val="nil"/>
              <w:left w:val="nil"/>
              <w:bottom w:val="nil"/>
              <w:right w:val="nil"/>
            </w:tcBorders>
            <w:shd w:val="clear" w:color="auto" w:fill="auto"/>
            <w:noWrap/>
            <w:vAlign w:val="center"/>
            <w:hideMark/>
          </w:tcPr>
          <w:p w14:paraId="7FE99A22" w14:textId="77777777" w:rsidR="00BC5219" w:rsidRPr="009C55C2" w:rsidRDefault="00BC5219" w:rsidP="00E83802">
            <w:pPr>
              <w:jc w:val="right"/>
              <w:rPr>
                <w:rFonts w:ascii="Meta Pro" w:eastAsia="Times New Roman" w:hAnsi="Meta Pro"/>
                <w:b/>
                <w:bCs/>
                <w:sz w:val="16"/>
                <w:szCs w:val="16"/>
                <w:lang w:eastAsia="en-AU"/>
              </w:rPr>
            </w:pPr>
          </w:p>
        </w:tc>
        <w:tc>
          <w:tcPr>
            <w:tcW w:w="1418" w:type="dxa"/>
            <w:tcBorders>
              <w:top w:val="single" w:sz="4" w:space="0" w:color="auto"/>
              <w:left w:val="nil"/>
              <w:bottom w:val="nil"/>
              <w:right w:val="nil"/>
            </w:tcBorders>
            <w:shd w:val="clear" w:color="000000" w:fill="C9E3B4"/>
            <w:noWrap/>
            <w:vAlign w:val="center"/>
            <w:hideMark/>
          </w:tcPr>
          <w:p w14:paraId="3FCB1378"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416,334 </w:t>
            </w:r>
          </w:p>
        </w:tc>
        <w:tc>
          <w:tcPr>
            <w:tcW w:w="198" w:type="dxa"/>
            <w:tcBorders>
              <w:top w:val="nil"/>
              <w:left w:val="nil"/>
              <w:bottom w:val="nil"/>
              <w:right w:val="nil"/>
            </w:tcBorders>
            <w:shd w:val="clear" w:color="auto" w:fill="auto"/>
            <w:noWrap/>
            <w:vAlign w:val="center"/>
            <w:hideMark/>
          </w:tcPr>
          <w:p w14:paraId="6CB6CC04" w14:textId="77777777" w:rsidR="00BC5219" w:rsidRPr="009C55C2" w:rsidRDefault="00BC5219" w:rsidP="00E83802">
            <w:pPr>
              <w:jc w:val="right"/>
              <w:rPr>
                <w:rFonts w:ascii="Meta Pro" w:eastAsia="Times New Roman" w:hAnsi="Meta Pro"/>
                <w:b/>
                <w:bCs/>
                <w:sz w:val="16"/>
                <w:szCs w:val="16"/>
                <w:lang w:eastAsia="en-AU"/>
              </w:rPr>
            </w:pPr>
          </w:p>
        </w:tc>
        <w:tc>
          <w:tcPr>
            <w:tcW w:w="1418" w:type="dxa"/>
            <w:tcBorders>
              <w:top w:val="single" w:sz="4" w:space="0" w:color="auto"/>
              <w:left w:val="nil"/>
              <w:bottom w:val="nil"/>
              <w:right w:val="nil"/>
            </w:tcBorders>
            <w:shd w:val="clear" w:color="000000" w:fill="C9E3B4"/>
            <w:noWrap/>
            <w:vAlign w:val="center"/>
            <w:hideMark/>
          </w:tcPr>
          <w:p w14:paraId="3BBDA519"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3,574,257 </w:t>
            </w:r>
          </w:p>
        </w:tc>
        <w:tc>
          <w:tcPr>
            <w:tcW w:w="198" w:type="dxa"/>
            <w:tcBorders>
              <w:top w:val="nil"/>
              <w:left w:val="nil"/>
              <w:bottom w:val="nil"/>
              <w:right w:val="nil"/>
            </w:tcBorders>
            <w:shd w:val="clear" w:color="auto" w:fill="auto"/>
            <w:noWrap/>
            <w:vAlign w:val="center"/>
            <w:hideMark/>
          </w:tcPr>
          <w:p w14:paraId="75737C6E" w14:textId="77777777" w:rsidR="00BC5219" w:rsidRPr="009C55C2" w:rsidRDefault="00BC5219" w:rsidP="00E83802">
            <w:pPr>
              <w:jc w:val="right"/>
              <w:rPr>
                <w:rFonts w:ascii="Meta Pro" w:eastAsia="Times New Roman" w:hAnsi="Meta Pro"/>
                <w:b/>
                <w:bCs/>
                <w:sz w:val="16"/>
                <w:szCs w:val="16"/>
                <w:lang w:eastAsia="en-AU"/>
              </w:rPr>
            </w:pPr>
          </w:p>
        </w:tc>
        <w:tc>
          <w:tcPr>
            <w:tcW w:w="1418" w:type="dxa"/>
            <w:tcBorders>
              <w:top w:val="single" w:sz="4" w:space="0" w:color="auto"/>
              <w:left w:val="nil"/>
              <w:bottom w:val="nil"/>
              <w:right w:val="nil"/>
            </w:tcBorders>
            <w:shd w:val="clear" w:color="000000" w:fill="C9E3B4"/>
            <w:noWrap/>
            <w:vAlign w:val="center"/>
            <w:hideMark/>
          </w:tcPr>
          <w:p w14:paraId="6A798BAF"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819,322 </w:t>
            </w:r>
          </w:p>
        </w:tc>
      </w:tr>
      <w:tr w:rsidR="00BC5219" w:rsidRPr="009C55C2" w14:paraId="779A7C21" w14:textId="77777777" w:rsidTr="00E83802">
        <w:trPr>
          <w:trHeight w:val="198"/>
        </w:trPr>
        <w:tc>
          <w:tcPr>
            <w:tcW w:w="215" w:type="dxa"/>
            <w:tcBorders>
              <w:top w:val="nil"/>
              <w:left w:val="nil"/>
              <w:bottom w:val="nil"/>
              <w:right w:val="nil"/>
            </w:tcBorders>
            <w:shd w:val="clear" w:color="auto" w:fill="auto"/>
            <w:noWrap/>
            <w:vAlign w:val="center"/>
            <w:hideMark/>
          </w:tcPr>
          <w:p w14:paraId="5110A874" w14:textId="77777777" w:rsidR="00BC5219" w:rsidRPr="009C55C2" w:rsidRDefault="00BC5219" w:rsidP="00E83802">
            <w:pPr>
              <w:jc w:val="right"/>
              <w:rPr>
                <w:rFonts w:ascii="Meta Pro" w:eastAsia="Times New Roman" w:hAnsi="Meta Pro"/>
                <w:b/>
                <w:bCs/>
                <w:sz w:val="16"/>
                <w:szCs w:val="16"/>
                <w:lang w:eastAsia="en-AU"/>
              </w:rPr>
            </w:pPr>
          </w:p>
        </w:tc>
        <w:tc>
          <w:tcPr>
            <w:tcW w:w="4366" w:type="dxa"/>
            <w:tcBorders>
              <w:top w:val="nil"/>
              <w:left w:val="nil"/>
              <w:bottom w:val="nil"/>
              <w:right w:val="nil"/>
            </w:tcBorders>
            <w:shd w:val="clear" w:color="auto" w:fill="auto"/>
            <w:noWrap/>
            <w:vAlign w:val="center"/>
            <w:hideMark/>
          </w:tcPr>
          <w:p w14:paraId="071B41BC" w14:textId="77777777" w:rsidR="00BC5219" w:rsidRPr="009C55C2" w:rsidRDefault="00BC5219" w:rsidP="00E83802">
            <w:pPr>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000000" w:fill="C9E3B4"/>
            <w:noWrap/>
            <w:vAlign w:val="center"/>
            <w:hideMark/>
          </w:tcPr>
          <w:p w14:paraId="3BB589BC"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3E71D33B"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2FC1416C"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23F78E8C"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6B24612E"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6DB1171F"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3DD0F261"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13EF3F4B"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5C5BE1BB"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4BEFB9B2"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46B3B7AF"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r>
      <w:tr w:rsidR="00BC5219" w:rsidRPr="009C55C2" w14:paraId="72111930" w14:textId="77777777" w:rsidTr="00E83802">
        <w:trPr>
          <w:trHeight w:val="198"/>
        </w:trPr>
        <w:tc>
          <w:tcPr>
            <w:tcW w:w="215" w:type="dxa"/>
            <w:tcBorders>
              <w:top w:val="nil"/>
              <w:left w:val="nil"/>
              <w:bottom w:val="single" w:sz="4" w:space="0" w:color="auto"/>
              <w:right w:val="nil"/>
            </w:tcBorders>
            <w:shd w:val="clear" w:color="auto" w:fill="auto"/>
            <w:noWrap/>
            <w:vAlign w:val="center"/>
            <w:hideMark/>
          </w:tcPr>
          <w:p w14:paraId="7C98E9BB"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4366" w:type="dxa"/>
            <w:tcBorders>
              <w:top w:val="nil"/>
              <w:left w:val="nil"/>
              <w:bottom w:val="nil"/>
              <w:right w:val="nil"/>
            </w:tcBorders>
            <w:shd w:val="clear" w:color="auto" w:fill="auto"/>
            <w:noWrap/>
            <w:vAlign w:val="center"/>
            <w:hideMark/>
          </w:tcPr>
          <w:p w14:paraId="114BB2EE"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Gains on disposal of assets</w:t>
            </w:r>
          </w:p>
        </w:tc>
        <w:tc>
          <w:tcPr>
            <w:tcW w:w="1418" w:type="dxa"/>
            <w:tcBorders>
              <w:top w:val="nil"/>
              <w:left w:val="nil"/>
              <w:bottom w:val="nil"/>
              <w:right w:val="nil"/>
            </w:tcBorders>
            <w:shd w:val="clear" w:color="000000" w:fill="C9E3B4"/>
            <w:noWrap/>
            <w:vAlign w:val="center"/>
            <w:hideMark/>
          </w:tcPr>
          <w:p w14:paraId="201C2204"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905 </w:t>
            </w:r>
          </w:p>
        </w:tc>
        <w:tc>
          <w:tcPr>
            <w:tcW w:w="198" w:type="dxa"/>
            <w:tcBorders>
              <w:top w:val="nil"/>
              <w:left w:val="nil"/>
              <w:bottom w:val="single" w:sz="4" w:space="0" w:color="auto"/>
              <w:right w:val="nil"/>
            </w:tcBorders>
            <w:shd w:val="clear" w:color="auto" w:fill="auto"/>
            <w:noWrap/>
            <w:vAlign w:val="center"/>
            <w:hideMark/>
          </w:tcPr>
          <w:p w14:paraId="7251A6DA"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nil"/>
              <w:right w:val="nil"/>
            </w:tcBorders>
            <w:shd w:val="clear" w:color="000000" w:fill="C9E3B4"/>
            <w:noWrap/>
            <w:vAlign w:val="center"/>
            <w:hideMark/>
          </w:tcPr>
          <w:p w14:paraId="417AEA43"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55 </w:t>
            </w:r>
          </w:p>
        </w:tc>
        <w:tc>
          <w:tcPr>
            <w:tcW w:w="198" w:type="dxa"/>
            <w:tcBorders>
              <w:top w:val="nil"/>
              <w:left w:val="nil"/>
              <w:bottom w:val="single" w:sz="4" w:space="0" w:color="auto"/>
              <w:right w:val="nil"/>
            </w:tcBorders>
            <w:shd w:val="clear" w:color="auto" w:fill="auto"/>
            <w:noWrap/>
            <w:vAlign w:val="center"/>
            <w:hideMark/>
          </w:tcPr>
          <w:p w14:paraId="2379E9ED"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nil"/>
              <w:right w:val="nil"/>
            </w:tcBorders>
            <w:shd w:val="clear" w:color="000000" w:fill="C9E3B4"/>
            <w:noWrap/>
            <w:vAlign w:val="center"/>
            <w:hideMark/>
          </w:tcPr>
          <w:p w14:paraId="170FFDEB"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131 </w:t>
            </w:r>
          </w:p>
        </w:tc>
        <w:tc>
          <w:tcPr>
            <w:tcW w:w="198" w:type="dxa"/>
            <w:tcBorders>
              <w:top w:val="nil"/>
              <w:left w:val="nil"/>
              <w:bottom w:val="single" w:sz="4" w:space="0" w:color="auto"/>
              <w:right w:val="nil"/>
            </w:tcBorders>
            <w:shd w:val="clear" w:color="auto" w:fill="auto"/>
            <w:noWrap/>
            <w:vAlign w:val="center"/>
            <w:hideMark/>
          </w:tcPr>
          <w:p w14:paraId="5B8CEB86"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nil"/>
              <w:right w:val="nil"/>
            </w:tcBorders>
            <w:shd w:val="clear" w:color="000000" w:fill="C9E3B4"/>
            <w:noWrap/>
            <w:vAlign w:val="center"/>
            <w:hideMark/>
          </w:tcPr>
          <w:p w14:paraId="483454A3"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6 </w:t>
            </w:r>
          </w:p>
        </w:tc>
        <w:tc>
          <w:tcPr>
            <w:tcW w:w="198" w:type="dxa"/>
            <w:tcBorders>
              <w:top w:val="nil"/>
              <w:left w:val="nil"/>
              <w:bottom w:val="single" w:sz="4" w:space="0" w:color="auto"/>
              <w:right w:val="nil"/>
            </w:tcBorders>
            <w:shd w:val="clear" w:color="auto" w:fill="auto"/>
            <w:noWrap/>
            <w:vAlign w:val="center"/>
            <w:hideMark/>
          </w:tcPr>
          <w:p w14:paraId="1A9FCCB4"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nil"/>
              <w:right w:val="nil"/>
            </w:tcBorders>
            <w:shd w:val="clear" w:color="000000" w:fill="C9E3B4"/>
            <w:noWrap/>
            <w:vAlign w:val="center"/>
            <w:hideMark/>
          </w:tcPr>
          <w:p w14:paraId="7F7CE6E9"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48 </w:t>
            </w:r>
          </w:p>
        </w:tc>
        <w:tc>
          <w:tcPr>
            <w:tcW w:w="198" w:type="dxa"/>
            <w:tcBorders>
              <w:top w:val="nil"/>
              <w:left w:val="nil"/>
              <w:bottom w:val="single" w:sz="4" w:space="0" w:color="auto"/>
              <w:right w:val="nil"/>
            </w:tcBorders>
            <w:shd w:val="clear" w:color="auto" w:fill="auto"/>
            <w:noWrap/>
            <w:vAlign w:val="center"/>
            <w:hideMark/>
          </w:tcPr>
          <w:p w14:paraId="75B36A75"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nil"/>
              <w:right w:val="nil"/>
            </w:tcBorders>
            <w:shd w:val="clear" w:color="000000" w:fill="C9E3B4"/>
            <w:noWrap/>
            <w:vAlign w:val="center"/>
            <w:hideMark/>
          </w:tcPr>
          <w:p w14:paraId="7F080768"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1,497 </w:t>
            </w:r>
          </w:p>
        </w:tc>
      </w:tr>
      <w:tr w:rsidR="00BC5219" w:rsidRPr="009C55C2" w14:paraId="2F38088E" w14:textId="77777777" w:rsidTr="00E83802">
        <w:trPr>
          <w:trHeight w:val="198"/>
        </w:trPr>
        <w:tc>
          <w:tcPr>
            <w:tcW w:w="215" w:type="dxa"/>
            <w:tcBorders>
              <w:top w:val="nil"/>
              <w:left w:val="nil"/>
              <w:bottom w:val="nil"/>
              <w:right w:val="nil"/>
            </w:tcBorders>
            <w:shd w:val="clear" w:color="auto" w:fill="auto"/>
            <w:noWrap/>
            <w:vAlign w:val="center"/>
            <w:hideMark/>
          </w:tcPr>
          <w:p w14:paraId="150042BF"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single" w:sz="4" w:space="0" w:color="auto"/>
              <w:left w:val="nil"/>
              <w:bottom w:val="nil"/>
              <w:right w:val="nil"/>
            </w:tcBorders>
            <w:shd w:val="clear" w:color="auto" w:fill="auto"/>
            <w:vAlign w:val="center"/>
            <w:hideMark/>
          </w:tcPr>
          <w:p w14:paraId="460D5A0D" w14:textId="77777777" w:rsidR="00BC5219" w:rsidRPr="009C55C2" w:rsidRDefault="00BC5219" w:rsidP="00E83802">
            <w:pPr>
              <w:rPr>
                <w:rFonts w:ascii="Meta Pro" w:eastAsia="Times New Roman" w:hAnsi="Meta Pro"/>
                <w:b/>
                <w:bCs/>
                <w:sz w:val="16"/>
                <w:szCs w:val="16"/>
                <w:lang w:eastAsia="en-AU"/>
              </w:rPr>
            </w:pPr>
            <w:r w:rsidRPr="009C55C2">
              <w:rPr>
                <w:rFonts w:ascii="Meta Pro" w:eastAsia="Times New Roman" w:hAnsi="Meta Pro"/>
                <w:b/>
                <w:bCs/>
                <w:sz w:val="16"/>
                <w:szCs w:val="16"/>
                <w:lang w:eastAsia="en-AU"/>
              </w:rPr>
              <w:t>Total income</w:t>
            </w:r>
          </w:p>
        </w:tc>
        <w:tc>
          <w:tcPr>
            <w:tcW w:w="1418" w:type="dxa"/>
            <w:tcBorders>
              <w:top w:val="single" w:sz="4" w:space="0" w:color="auto"/>
              <w:left w:val="nil"/>
              <w:bottom w:val="nil"/>
              <w:right w:val="nil"/>
            </w:tcBorders>
            <w:shd w:val="clear" w:color="000000" w:fill="C9E3B4"/>
            <w:noWrap/>
            <w:vAlign w:val="center"/>
            <w:hideMark/>
          </w:tcPr>
          <w:p w14:paraId="09447533"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160,210 </w:t>
            </w:r>
          </w:p>
        </w:tc>
        <w:tc>
          <w:tcPr>
            <w:tcW w:w="198" w:type="dxa"/>
            <w:tcBorders>
              <w:top w:val="nil"/>
              <w:left w:val="nil"/>
              <w:bottom w:val="nil"/>
              <w:right w:val="nil"/>
            </w:tcBorders>
            <w:shd w:val="clear" w:color="auto" w:fill="auto"/>
            <w:noWrap/>
            <w:vAlign w:val="center"/>
            <w:hideMark/>
          </w:tcPr>
          <w:p w14:paraId="2250DC27" w14:textId="77777777" w:rsidR="00BC5219" w:rsidRPr="009C55C2" w:rsidRDefault="00BC5219" w:rsidP="00E83802">
            <w:pPr>
              <w:jc w:val="right"/>
              <w:rPr>
                <w:rFonts w:ascii="Meta Pro" w:eastAsia="Times New Roman" w:hAnsi="Meta Pro"/>
                <w:b/>
                <w:bCs/>
                <w:sz w:val="16"/>
                <w:szCs w:val="16"/>
                <w:lang w:eastAsia="en-AU"/>
              </w:rPr>
            </w:pPr>
          </w:p>
        </w:tc>
        <w:tc>
          <w:tcPr>
            <w:tcW w:w="1418" w:type="dxa"/>
            <w:tcBorders>
              <w:top w:val="single" w:sz="4" w:space="0" w:color="auto"/>
              <w:left w:val="nil"/>
              <w:bottom w:val="nil"/>
              <w:right w:val="nil"/>
            </w:tcBorders>
            <w:shd w:val="clear" w:color="000000" w:fill="C9E3B4"/>
            <w:noWrap/>
            <w:vAlign w:val="center"/>
            <w:hideMark/>
          </w:tcPr>
          <w:p w14:paraId="131A879B"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3,163,547 </w:t>
            </w:r>
          </w:p>
        </w:tc>
        <w:tc>
          <w:tcPr>
            <w:tcW w:w="198" w:type="dxa"/>
            <w:tcBorders>
              <w:top w:val="nil"/>
              <w:left w:val="nil"/>
              <w:bottom w:val="nil"/>
              <w:right w:val="nil"/>
            </w:tcBorders>
            <w:shd w:val="clear" w:color="auto" w:fill="auto"/>
            <w:noWrap/>
            <w:vAlign w:val="center"/>
            <w:hideMark/>
          </w:tcPr>
          <w:p w14:paraId="7BD10B10" w14:textId="77777777" w:rsidR="00BC5219" w:rsidRPr="009C55C2" w:rsidRDefault="00BC5219" w:rsidP="00E83802">
            <w:pPr>
              <w:jc w:val="right"/>
              <w:rPr>
                <w:rFonts w:ascii="Meta Pro" w:eastAsia="Times New Roman" w:hAnsi="Meta Pro"/>
                <w:b/>
                <w:bCs/>
                <w:sz w:val="16"/>
                <w:szCs w:val="16"/>
                <w:lang w:eastAsia="en-AU"/>
              </w:rPr>
            </w:pPr>
          </w:p>
        </w:tc>
        <w:tc>
          <w:tcPr>
            <w:tcW w:w="1418" w:type="dxa"/>
            <w:tcBorders>
              <w:top w:val="single" w:sz="4" w:space="0" w:color="auto"/>
              <w:left w:val="nil"/>
              <w:bottom w:val="nil"/>
              <w:right w:val="nil"/>
            </w:tcBorders>
            <w:shd w:val="clear" w:color="000000" w:fill="C9E3B4"/>
            <w:noWrap/>
            <w:vAlign w:val="center"/>
            <w:hideMark/>
          </w:tcPr>
          <w:p w14:paraId="1DA26923"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338,808 </w:t>
            </w:r>
          </w:p>
        </w:tc>
        <w:tc>
          <w:tcPr>
            <w:tcW w:w="198" w:type="dxa"/>
            <w:tcBorders>
              <w:top w:val="nil"/>
              <w:left w:val="nil"/>
              <w:bottom w:val="nil"/>
              <w:right w:val="nil"/>
            </w:tcBorders>
            <w:shd w:val="clear" w:color="auto" w:fill="auto"/>
            <w:noWrap/>
            <w:vAlign w:val="center"/>
            <w:hideMark/>
          </w:tcPr>
          <w:p w14:paraId="7AA83529" w14:textId="77777777" w:rsidR="00BC5219" w:rsidRPr="009C55C2" w:rsidRDefault="00BC5219" w:rsidP="00E83802">
            <w:pPr>
              <w:jc w:val="right"/>
              <w:rPr>
                <w:rFonts w:ascii="Meta Pro" w:eastAsia="Times New Roman" w:hAnsi="Meta Pro"/>
                <w:b/>
                <w:bCs/>
                <w:sz w:val="16"/>
                <w:szCs w:val="16"/>
                <w:lang w:eastAsia="en-AU"/>
              </w:rPr>
            </w:pPr>
          </w:p>
        </w:tc>
        <w:tc>
          <w:tcPr>
            <w:tcW w:w="1418" w:type="dxa"/>
            <w:tcBorders>
              <w:top w:val="single" w:sz="4" w:space="0" w:color="auto"/>
              <w:left w:val="nil"/>
              <w:bottom w:val="nil"/>
              <w:right w:val="nil"/>
            </w:tcBorders>
            <w:shd w:val="clear" w:color="000000" w:fill="C9E3B4"/>
            <w:noWrap/>
            <w:vAlign w:val="center"/>
            <w:hideMark/>
          </w:tcPr>
          <w:p w14:paraId="220C50BF"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416,340 </w:t>
            </w:r>
          </w:p>
        </w:tc>
        <w:tc>
          <w:tcPr>
            <w:tcW w:w="198" w:type="dxa"/>
            <w:tcBorders>
              <w:top w:val="nil"/>
              <w:left w:val="nil"/>
              <w:bottom w:val="nil"/>
              <w:right w:val="nil"/>
            </w:tcBorders>
            <w:shd w:val="clear" w:color="auto" w:fill="auto"/>
            <w:noWrap/>
            <w:vAlign w:val="center"/>
            <w:hideMark/>
          </w:tcPr>
          <w:p w14:paraId="4D8263C3" w14:textId="77777777" w:rsidR="00BC5219" w:rsidRPr="009C55C2" w:rsidRDefault="00BC5219" w:rsidP="00E83802">
            <w:pPr>
              <w:jc w:val="right"/>
              <w:rPr>
                <w:rFonts w:ascii="Meta Pro" w:eastAsia="Times New Roman" w:hAnsi="Meta Pro"/>
                <w:b/>
                <w:bCs/>
                <w:sz w:val="16"/>
                <w:szCs w:val="16"/>
                <w:lang w:eastAsia="en-AU"/>
              </w:rPr>
            </w:pPr>
          </w:p>
        </w:tc>
        <w:tc>
          <w:tcPr>
            <w:tcW w:w="1418" w:type="dxa"/>
            <w:tcBorders>
              <w:top w:val="single" w:sz="4" w:space="0" w:color="auto"/>
              <w:left w:val="nil"/>
              <w:bottom w:val="nil"/>
              <w:right w:val="nil"/>
            </w:tcBorders>
            <w:shd w:val="clear" w:color="000000" w:fill="C9E3B4"/>
            <w:noWrap/>
            <w:vAlign w:val="center"/>
            <w:hideMark/>
          </w:tcPr>
          <w:p w14:paraId="1E3A0868"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3,574,305 </w:t>
            </w:r>
          </w:p>
        </w:tc>
        <w:tc>
          <w:tcPr>
            <w:tcW w:w="198" w:type="dxa"/>
            <w:tcBorders>
              <w:top w:val="nil"/>
              <w:left w:val="nil"/>
              <w:bottom w:val="nil"/>
              <w:right w:val="nil"/>
            </w:tcBorders>
            <w:shd w:val="clear" w:color="auto" w:fill="auto"/>
            <w:noWrap/>
            <w:vAlign w:val="center"/>
            <w:hideMark/>
          </w:tcPr>
          <w:p w14:paraId="33614C15" w14:textId="77777777" w:rsidR="00BC5219" w:rsidRPr="009C55C2" w:rsidRDefault="00BC5219" w:rsidP="00E83802">
            <w:pPr>
              <w:jc w:val="right"/>
              <w:rPr>
                <w:rFonts w:ascii="Meta Pro" w:eastAsia="Times New Roman" w:hAnsi="Meta Pro"/>
                <w:b/>
                <w:bCs/>
                <w:sz w:val="16"/>
                <w:szCs w:val="16"/>
                <w:lang w:eastAsia="en-AU"/>
              </w:rPr>
            </w:pPr>
          </w:p>
        </w:tc>
        <w:tc>
          <w:tcPr>
            <w:tcW w:w="1418" w:type="dxa"/>
            <w:tcBorders>
              <w:top w:val="single" w:sz="4" w:space="0" w:color="auto"/>
              <w:left w:val="nil"/>
              <w:bottom w:val="nil"/>
              <w:right w:val="nil"/>
            </w:tcBorders>
            <w:shd w:val="clear" w:color="000000" w:fill="C9E3B4"/>
            <w:noWrap/>
            <w:vAlign w:val="center"/>
            <w:hideMark/>
          </w:tcPr>
          <w:p w14:paraId="36B0945A"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820,819 </w:t>
            </w:r>
          </w:p>
        </w:tc>
      </w:tr>
      <w:tr w:rsidR="00BC5219" w:rsidRPr="009C55C2" w14:paraId="43B741D5" w14:textId="77777777" w:rsidTr="00E83802">
        <w:trPr>
          <w:trHeight w:val="198"/>
        </w:trPr>
        <w:tc>
          <w:tcPr>
            <w:tcW w:w="215" w:type="dxa"/>
            <w:tcBorders>
              <w:top w:val="nil"/>
              <w:left w:val="nil"/>
              <w:bottom w:val="nil"/>
              <w:right w:val="nil"/>
            </w:tcBorders>
            <w:shd w:val="clear" w:color="auto" w:fill="auto"/>
            <w:noWrap/>
            <w:vAlign w:val="center"/>
            <w:hideMark/>
          </w:tcPr>
          <w:p w14:paraId="13ACEA7C" w14:textId="77777777" w:rsidR="00BC5219" w:rsidRPr="009C55C2" w:rsidRDefault="00BC5219" w:rsidP="00E83802">
            <w:pPr>
              <w:jc w:val="right"/>
              <w:rPr>
                <w:rFonts w:ascii="Meta Pro" w:eastAsia="Times New Roman" w:hAnsi="Meta Pro"/>
                <w:b/>
                <w:bCs/>
                <w:sz w:val="16"/>
                <w:szCs w:val="16"/>
                <w:lang w:eastAsia="en-AU"/>
              </w:rPr>
            </w:pPr>
          </w:p>
        </w:tc>
        <w:tc>
          <w:tcPr>
            <w:tcW w:w="4366" w:type="dxa"/>
            <w:tcBorders>
              <w:top w:val="nil"/>
              <w:left w:val="nil"/>
              <w:bottom w:val="nil"/>
              <w:right w:val="nil"/>
            </w:tcBorders>
            <w:shd w:val="clear" w:color="auto" w:fill="auto"/>
            <w:vAlign w:val="center"/>
            <w:hideMark/>
          </w:tcPr>
          <w:p w14:paraId="6BAC41AE" w14:textId="77777777" w:rsidR="00BC5219" w:rsidRPr="009C55C2" w:rsidRDefault="00BC5219" w:rsidP="00E83802">
            <w:pPr>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000000" w:fill="C9E3B4"/>
            <w:noWrap/>
            <w:vAlign w:val="center"/>
            <w:hideMark/>
          </w:tcPr>
          <w:p w14:paraId="4A60979D"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76A52EFC"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3A08684B"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6F95CAB4"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608E43D7"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4CCD7109"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0764F9F"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55D94912"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BD52E3B"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0C5B4196"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23EFDB28"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r>
      <w:tr w:rsidR="00BC5219" w:rsidRPr="009C55C2" w14:paraId="41786EC3" w14:textId="77777777" w:rsidTr="00E83802">
        <w:trPr>
          <w:trHeight w:val="198"/>
        </w:trPr>
        <w:tc>
          <w:tcPr>
            <w:tcW w:w="4366" w:type="dxa"/>
            <w:gridSpan w:val="2"/>
            <w:tcBorders>
              <w:top w:val="nil"/>
              <w:left w:val="nil"/>
              <w:bottom w:val="nil"/>
              <w:right w:val="nil"/>
            </w:tcBorders>
            <w:shd w:val="clear" w:color="auto" w:fill="auto"/>
            <w:noWrap/>
            <w:vAlign w:val="center"/>
            <w:hideMark/>
          </w:tcPr>
          <w:p w14:paraId="686559F9" w14:textId="77777777" w:rsidR="00BC5219" w:rsidRPr="009C55C2" w:rsidRDefault="00BC5219" w:rsidP="00E83802">
            <w:pPr>
              <w:rPr>
                <w:rFonts w:ascii="Meta Pro" w:eastAsia="Times New Roman" w:hAnsi="Meta Pro"/>
                <w:b/>
                <w:bCs/>
                <w:sz w:val="16"/>
                <w:szCs w:val="16"/>
                <w:lang w:eastAsia="en-AU"/>
              </w:rPr>
            </w:pPr>
            <w:r w:rsidRPr="009C55C2">
              <w:rPr>
                <w:rFonts w:ascii="Meta Pro" w:eastAsia="Times New Roman" w:hAnsi="Meta Pro"/>
                <w:b/>
                <w:bCs/>
                <w:sz w:val="16"/>
                <w:szCs w:val="16"/>
                <w:lang w:eastAsia="en-AU"/>
              </w:rPr>
              <w:t>Expenses</w:t>
            </w:r>
          </w:p>
        </w:tc>
        <w:tc>
          <w:tcPr>
            <w:tcW w:w="1418" w:type="dxa"/>
            <w:tcBorders>
              <w:top w:val="nil"/>
              <w:left w:val="nil"/>
              <w:bottom w:val="nil"/>
              <w:right w:val="nil"/>
            </w:tcBorders>
            <w:shd w:val="clear" w:color="000000" w:fill="C9E3B4"/>
            <w:noWrap/>
            <w:vAlign w:val="center"/>
            <w:hideMark/>
          </w:tcPr>
          <w:p w14:paraId="13399E3F"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247882DF"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3E417064"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6F817BD3"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55784324"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01B48EBA"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6D43676"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163A0BE3"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4BE6C4B8"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6F159973"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2AACC7C4"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r>
      <w:tr w:rsidR="00BC5219" w:rsidRPr="009C55C2" w14:paraId="5F137A56" w14:textId="77777777" w:rsidTr="00E83802">
        <w:trPr>
          <w:trHeight w:val="198"/>
        </w:trPr>
        <w:tc>
          <w:tcPr>
            <w:tcW w:w="215" w:type="dxa"/>
            <w:tcBorders>
              <w:top w:val="nil"/>
              <w:left w:val="nil"/>
              <w:bottom w:val="nil"/>
              <w:right w:val="nil"/>
            </w:tcBorders>
            <w:shd w:val="clear" w:color="auto" w:fill="auto"/>
            <w:noWrap/>
            <w:vAlign w:val="center"/>
            <w:hideMark/>
          </w:tcPr>
          <w:p w14:paraId="443E1066"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1C07DF91"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Employee expenses</w:t>
            </w:r>
          </w:p>
        </w:tc>
        <w:tc>
          <w:tcPr>
            <w:tcW w:w="1418" w:type="dxa"/>
            <w:tcBorders>
              <w:top w:val="nil"/>
              <w:left w:val="nil"/>
              <w:bottom w:val="nil"/>
              <w:right w:val="nil"/>
            </w:tcBorders>
            <w:shd w:val="clear" w:color="000000" w:fill="C9E3B4"/>
            <w:noWrap/>
            <w:vAlign w:val="center"/>
            <w:hideMark/>
          </w:tcPr>
          <w:p w14:paraId="75186E3A"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70,878 </w:t>
            </w:r>
          </w:p>
        </w:tc>
        <w:tc>
          <w:tcPr>
            <w:tcW w:w="198" w:type="dxa"/>
            <w:tcBorders>
              <w:top w:val="nil"/>
              <w:left w:val="nil"/>
              <w:bottom w:val="nil"/>
              <w:right w:val="nil"/>
            </w:tcBorders>
            <w:shd w:val="clear" w:color="auto" w:fill="auto"/>
            <w:noWrap/>
            <w:vAlign w:val="center"/>
            <w:hideMark/>
          </w:tcPr>
          <w:p w14:paraId="45499BE2"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33EE0DD6"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195,619 </w:t>
            </w:r>
          </w:p>
        </w:tc>
        <w:tc>
          <w:tcPr>
            <w:tcW w:w="198" w:type="dxa"/>
            <w:tcBorders>
              <w:top w:val="nil"/>
              <w:left w:val="nil"/>
              <w:bottom w:val="nil"/>
              <w:right w:val="nil"/>
            </w:tcBorders>
            <w:shd w:val="clear" w:color="auto" w:fill="auto"/>
            <w:noWrap/>
            <w:vAlign w:val="center"/>
            <w:hideMark/>
          </w:tcPr>
          <w:p w14:paraId="4E959153"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5AF4FB09"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86,558 </w:t>
            </w:r>
          </w:p>
        </w:tc>
        <w:tc>
          <w:tcPr>
            <w:tcW w:w="198" w:type="dxa"/>
            <w:tcBorders>
              <w:top w:val="nil"/>
              <w:left w:val="nil"/>
              <w:bottom w:val="nil"/>
              <w:right w:val="nil"/>
            </w:tcBorders>
            <w:shd w:val="clear" w:color="auto" w:fill="auto"/>
            <w:noWrap/>
            <w:vAlign w:val="center"/>
            <w:hideMark/>
          </w:tcPr>
          <w:p w14:paraId="034F78F7"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AE05667"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198,678 </w:t>
            </w:r>
          </w:p>
        </w:tc>
        <w:tc>
          <w:tcPr>
            <w:tcW w:w="198" w:type="dxa"/>
            <w:tcBorders>
              <w:top w:val="nil"/>
              <w:left w:val="nil"/>
              <w:bottom w:val="nil"/>
              <w:right w:val="nil"/>
            </w:tcBorders>
            <w:shd w:val="clear" w:color="auto" w:fill="auto"/>
            <w:noWrap/>
            <w:vAlign w:val="center"/>
            <w:hideMark/>
          </w:tcPr>
          <w:p w14:paraId="2B5F6984"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65FAAFF"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105,717 </w:t>
            </w:r>
          </w:p>
        </w:tc>
        <w:tc>
          <w:tcPr>
            <w:tcW w:w="198" w:type="dxa"/>
            <w:tcBorders>
              <w:top w:val="nil"/>
              <w:left w:val="nil"/>
              <w:bottom w:val="nil"/>
              <w:right w:val="nil"/>
            </w:tcBorders>
            <w:shd w:val="clear" w:color="auto" w:fill="auto"/>
            <w:noWrap/>
            <w:vAlign w:val="center"/>
            <w:hideMark/>
          </w:tcPr>
          <w:p w14:paraId="1F2FBB66"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5350BD4"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163,254 </w:t>
            </w:r>
          </w:p>
        </w:tc>
      </w:tr>
      <w:tr w:rsidR="00BC5219" w:rsidRPr="009C55C2" w14:paraId="4A8163CD" w14:textId="77777777" w:rsidTr="00E83802">
        <w:trPr>
          <w:trHeight w:val="198"/>
        </w:trPr>
        <w:tc>
          <w:tcPr>
            <w:tcW w:w="215" w:type="dxa"/>
            <w:tcBorders>
              <w:top w:val="nil"/>
              <w:left w:val="nil"/>
              <w:bottom w:val="nil"/>
              <w:right w:val="nil"/>
            </w:tcBorders>
            <w:shd w:val="clear" w:color="auto" w:fill="auto"/>
            <w:noWrap/>
            <w:vAlign w:val="center"/>
            <w:hideMark/>
          </w:tcPr>
          <w:p w14:paraId="09492989"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56CB1CA6"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 xml:space="preserve">Supplies and services </w:t>
            </w:r>
          </w:p>
        </w:tc>
        <w:tc>
          <w:tcPr>
            <w:tcW w:w="1418" w:type="dxa"/>
            <w:tcBorders>
              <w:top w:val="nil"/>
              <w:left w:val="nil"/>
              <w:bottom w:val="nil"/>
              <w:right w:val="nil"/>
            </w:tcBorders>
            <w:shd w:val="clear" w:color="000000" w:fill="C9E3B4"/>
            <w:noWrap/>
            <w:vAlign w:val="center"/>
            <w:hideMark/>
          </w:tcPr>
          <w:p w14:paraId="4916E8C4"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33,416 </w:t>
            </w:r>
          </w:p>
        </w:tc>
        <w:tc>
          <w:tcPr>
            <w:tcW w:w="198" w:type="dxa"/>
            <w:tcBorders>
              <w:top w:val="nil"/>
              <w:left w:val="nil"/>
              <w:bottom w:val="nil"/>
              <w:right w:val="nil"/>
            </w:tcBorders>
            <w:shd w:val="clear" w:color="auto" w:fill="auto"/>
            <w:noWrap/>
            <w:vAlign w:val="center"/>
            <w:hideMark/>
          </w:tcPr>
          <w:p w14:paraId="0EEC8697"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22F40B1A"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949,155 </w:t>
            </w:r>
          </w:p>
        </w:tc>
        <w:tc>
          <w:tcPr>
            <w:tcW w:w="198" w:type="dxa"/>
            <w:tcBorders>
              <w:top w:val="nil"/>
              <w:left w:val="nil"/>
              <w:bottom w:val="nil"/>
              <w:right w:val="nil"/>
            </w:tcBorders>
            <w:shd w:val="clear" w:color="auto" w:fill="auto"/>
            <w:noWrap/>
            <w:vAlign w:val="center"/>
            <w:hideMark/>
          </w:tcPr>
          <w:p w14:paraId="075A996C"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39BC87D2"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223,700 </w:t>
            </w:r>
          </w:p>
        </w:tc>
        <w:tc>
          <w:tcPr>
            <w:tcW w:w="198" w:type="dxa"/>
            <w:tcBorders>
              <w:top w:val="nil"/>
              <w:left w:val="nil"/>
              <w:bottom w:val="nil"/>
              <w:right w:val="nil"/>
            </w:tcBorders>
            <w:shd w:val="clear" w:color="auto" w:fill="auto"/>
            <w:noWrap/>
            <w:vAlign w:val="center"/>
            <w:hideMark/>
          </w:tcPr>
          <w:p w14:paraId="10B356FD"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4B1CD744"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207,884 </w:t>
            </w:r>
          </w:p>
        </w:tc>
        <w:tc>
          <w:tcPr>
            <w:tcW w:w="198" w:type="dxa"/>
            <w:tcBorders>
              <w:top w:val="nil"/>
              <w:left w:val="nil"/>
              <w:bottom w:val="nil"/>
              <w:right w:val="nil"/>
            </w:tcBorders>
            <w:shd w:val="clear" w:color="auto" w:fill="auto"/>
            <w:noWrap/>
            <w:vAlign w:val="center"/>
            <w:hideMark/>
          </w:tcPr>
          <w:p w14:paraId="2C7B1DC0"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A31249F"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3,157,972 </w:t>
            </w:r>
          </w:p>
        </w:tc>
        <w:tc>
          <w:tcPr>
            <w:tcW w:w="198" w:type="dxa"/>
            <w:tcBorders>
              <w:top w:val="nil"/>
              <w:left w:val="nil"/>
              <w:bottom w:val="nil"/>
              <w:right w:val="nil"/>
            </w:tcBorders>
            <w:shd w:val="clear" w:color="auto" w:fill="auto"/>
            <w:noWrap/>
            <w:vAlign w:val="center"/>
            <w:hideMark/>
          </w:tcPr>
          <w:p w14:paraId="1A56A162"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879FA3B"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613,168 </w:t>
            </w:r>
          </w:p>
        </w:tc>
      </w:tr>
      <w:tr w:rsidR="00BC5219" w:rsidRPr="009C55C2" w14:paraId="468FDF88" w14:textId="77777777" w:rsidTr="00E83802">
        <w:trPr>
          <w:trHeight w:val="198"/>
        </w:trPr>
        <w:tc>
          <w:tcPr>
            <w:tcW w:w="215" w:type="dxa"/>
            <w:tcBorders>
              <w:top w:val="nil"/>
              <w:left w:val="nil"/>
              <w:bottom w:val="nil"/>
              <w:right w:val="nil"/>
            </w:tcBorders>
            <w:shd w:val="clear" w:color="auto" w:fill="auto"/>
            <w:noWrap/>
            <w:vAlign w:val="center"/>
            <w:hideMark/>
          </w:tcPr>
          <w:p w14:paraId="60DE9C6B"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572392C1"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 xml:space="preserve">Grants and subsidies </w:t>
            </w:r>
          </w:p>
        </w:tc>
        <w:tc>
          <w:tcPr>
            <w:tcW w:w="1418" w:type="dxa"/>
            <w:tcBorders>
              <w:top w:val="nil"/>
              <w:left w:val="nil"/>
              <w:bottom w:val="nil"/>
              <w:right w:val="nil"/>
            </w:tcBorders>
            <w:shd w:val="clear" w:color="000000" w:fill="C9E3B4"/>
            <w:noWrap/>
            <w:vAlign w:val="center"/>
            <w:hideMark/>
          </w:tcPr>
          <w:p w14:paraId="0AC1E6CF"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50,089 </w:t>
            </w:r>
          </w:p>
        </w:tc>
        <w:tc>
          <w:tcPr>
            <w:tcW w:w="198" w:type="dxa"/>
            <w:tcBorders>
              <w:top w:val="nil"/>
              <w:left w:val="nil"/>
              <w:bottom w:val="nil"/>
              <w:right w:val="nil"/>
            </w:tcBorders>
            <w:shd w:val="clear" w:color="auto" w:fill="auto"/>
            <w:noWrap/>
            <w:vAlign w:val="center"/>
            <w:hideMark/>
          </w:tcPr>
          <w:p w14:paraId="4BC04DDE"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2B78201B"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489,277 </w:t>
            </w:r>
          </w:p>
        </w:tc>
        <w:tc>
          <w:tcPr>
            <w:tcW w:w="198" w:type="dxa"/>
            <w:tcBorders>
              <w:top w:val="nil"/>
              <w:left w:val="nil"/>
              <w:bottom w:val="nil"/>
              <w:right w:val="nil"/>
            </w:tcBorders>
            <w:shd w:val="clear" w:color="auto" w:fill="auto"/>
            <w:noWrap/>
            <w:vAlign w:val="center"/>
            <w:hideMark/>
          </w:tcPr>
          <w:p w14:paraId="3A747936"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215AD872"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7,654 </w:t>
            </w:r>
          </w:p>
        </w:tc>
        <w:tc>
          <w:tcPr>
            <w:tcW w:w="198" w:type="dxa"/>
            <w:tcBorders>
              <w:top w:val="nil"/>
              <w:left w:val="nil"/>
              <w:bottom w:val="nil"/>
              <w:right w:val="nil"/>
            </w:tcBorders>
            <w:shd w:val="clear" w:color="auto" w:fill="auto"/>
            <w:noWrap/>
            <w:vAlign w:val="center"/>
            <w:hideMark/>
          </w:tcPr>
          <w:p w14:paraId="352E605C"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4F33862F"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173 </w:t>
            </w:r>
          </w:p>
        </w:tc>
        <w:tc>
          <w:tcPr>
            <w:tcW w:w="198" w:type="dxa"/>
            <w:tcBorders>
              <w:top w:val="nil"/>
              <w:left w:val="nil"/>
              <w:bottom w:val="nil"/>
              <w:right w:val="nil"/>
            </w:tcBorders>
            <w:shd w:val="clear" w:color="auto" w:fill="auto"/>
            <w:noWrap/>
            <w:vAlign w:val="center"/>
            <w:hideMark/>
          </w:tcPr>
          <w:p w14:paraId="06AF8DF9"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7E63538"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248,999 </w:t>
            </w:r>
          </w:p>
        </w:tc>
        <w:tc>
          <w:tcPr>
            <w:tcW w:w="198" w:type="dxa"/>
            <w:tcBorders>
              <w:top w:val="nil"/>
              <w:left w:val="nil"/>
              <w:bottom w:val="nil"/>
              <w:right w:val="nil"/>
            </w:tcBorders>
            <w:shd w:val="clear" w:color="auto" w:fill="auto"/>
            <w:noWrap/>
            <w:vAlign w:val="center"/>
            <w:hideMark/>
          </w:tcPr>
          <w:p w14:paraId="75945BD0"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57933CC9"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r>
      <w:tr w:rsidR="00BC5219" w:rsidRPr="009C55C2" w14:paraId="757B1498" w14:textId="77777777" w:rsidTr="00E83802">
        <w:trPr>
          <w:trHeight w:val="198"/>
        </w:trPr>
        <w:tc>
          <w:tcPr>
            <w:tcW w:w="215" w:type="dxa"/>
            <w:tcBorders>
              <w:top w:val="nil"/>
              <w:left w:val="nil"/>
              <w:bottom w:val="nil"/>
              <w:right w:val="nil"/>
            </w:tcBorders>
            <w:shd w:val="clear" w:color="auto" w:fill="auto"/>
            <w:noWrap/>
            <w:vAlign w:val="center"/>
            <w:hideMark/>
          </w:tcPr>
          <w:p w14:paraId="187F4F8E"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671BCAAF"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Finance and borrowing costs</w:t>
            </w:r>
          </w:p>
        </w:tc>
        <w:tc>
          <w:tcPr>
            <w:tcW w:w="1418" w:type="dxa"/>
            <w:tcBorders>
              <w:top w:val="nil"/>
              <w:left w:val="nil"/>
              <w:bottom w:val="nil"/>
              <w:right w:val="nil"/>
            </w:tcBorders>
            <w:shd w:val="clear" w:color="000000" w:fill="C9E3B4"/>
            <w:noWrap/>
            <w:vAlign w:val="center"/>
            <w:hideMark/>
          </w:tcPr>
          <w:p w14:paraId="303B7C15"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2 </w:t>
            </w:r>
          </w:p>
        </w:tc>
        <w:tc>
          <w:tcPr>
            <w:tcW w:w="198" w:type="dxa"/>
            <w:tcBorders>
              <w:top w:val="nil"/>
              <w:left w:val="nil"/>
              <w:bottom w:val="nil"/>
              <w:right w:val="nil"/>
            </w:tcBorders>
            <w:shd w:val="clear" w:color="auto" w:fill="auto"/>
            <w:noWrap/>
            <w:vAlign w:val="center"/>
            <w:hideMark/>
          </w:tcPr>
          <w:p w14:paraId="751409AB"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CC3CF5F"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25,250 </w:t>
            </w:r>
          </w:p>
        </w:tc>
        <w:tc>
          <w:tcPr>
            <w:tcW w:w="198" w:type="dxa"/>
            <w:tcBorders>
              <w:top w:val="nil"/>
              <w:left w:val="nil"/>
              <w:bottom w:val="nil"/>
              <w:right w:val="nil"/>
            </w:tcBorders>
            <w:shd w:val="clear" w:color="auto" w:fill="auto"/>
            <w:noWrap/>
            <w:vAlign w:val="center"/>
            <w:hideMark/>
          </w:tcPr>
          <w:p w14:paraId="1EF738DE"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D4D6FD2"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4 </w:t>
            </w:r>
          </w:p>
        </w:tc>
        <w:tc>
          <w:tcPr>
            <w:tcW w:w="198" w:type="dxa"/>
            <w:tcBorders>
              <w:top w:val="nil"/>
              <w:left w:val="nil"/>
              <w:bottom w:val="nil"/>
              <w:right w:val="nil"/>
            </w:tcBorders>
            <w:shd w:val="clear" w:color="auto" w:fill="auto"/>
            <w:noWrap/>
            <w:vAlign w:val="center"/>
            <w:hideMark/>
          </w:tcPr>
          <w:p w14:paraId="6EC79697"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79E90DBF"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5 </w:t>
            </w:r>
          </w:p>
        </w:tc>
        <w:tc>
          <w:tcPr>
            <w:tcW w:w="198" w:type="dxa"/>
            <w:tcBorders>
              <w:top w:val="nil"/>
              <w:left w:val="nil"/>
              <w:bottom w:val="nil"/>
              <w:right w:val="nil"/>
            </w:tcBorders>
            <w:shd w:val="clear" w:color="auto" w:fill="auto"/>
            <w:noWrap/>
            <w:vAlign w:val="center"/>
            <w:hideMark/>
          </w:tcPr>
          <w:p w14:paraId="7CC151FE"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F7375FC"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72,309 </w:t>
            </w:r>
          </w:p>
        </w:tc>
        <w:tc>
          <w:tcPr>
            <w:tcW w:w="198" w:type="dxa"/>
            <w:tcBorders>
              <w:top w:val="nil"/>
              <w:left w:val="nil"/>
              <w:bottom w:val="nil"/>
              <w:right w:val="nil"/>
            </w:tcBorders>
            <w:shd w:val="clear" w:color="auto" w:fill="auto"/>
            <w:noWrap/>
            <w:vAlign w:val="center"/>
            <w:hideMark/>
          </w:tcPr>
          <w:p w14:paraId="2B821000"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37ACA678"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1,719 </w:t>
            </w:r>
          </w:p>
        </w:tc>
      </w:tr>
      <w:tr w:rsidR="00BC5219" w:rsidRPr="009C55C2" w14:paraId="22B79017" w14:textId="77777777" w:rsidTr="00E83802">
        <w:trPr>
          <w:trHeight w:val="198"/>
        </w:trPr>
        <w:tc>
          <w:tcPr>
            <w:tcW w:w="215" w:type="dxa"/>
            <w:tcBorders>
              <w:top w:val="nil"/>
              <w:left w:val="nil"/>
              <w:bottom w:val="nil"/>
              <w:right w:val="nil"/>
            </w:tcBorders>
            <w:shd w:val="clear" w:color="auto" w:fill="auto"/>
            <w:noWrap/>
            <w:vAlign w:val="center"/>
            <w:hideMark/>
          </w:tcPr>
          <w:p w14:paraId="0DD2049B"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4D076BAD"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 xml:space="preserve">Depreciation and amortisation </w:t>
            </w:r>
          </w:p>
        </w:tc>
        <w:tc>
          <w:tcPr>
            <w:tcW w:w="1418" w:type="dxa"/>
            <w:tcBorders>
              <w:top w:val="nil"/>
              <w:left w:val="nil"/>
              <w:bottom w:val="nil"/>
              <w:right w:val="nil"/>
            </w:tcBorders>
            <w:shd w:val="clear" w:color="000000" w:fill="C9E3B4"/>
            <w:noWrap/>
            <w:vAlign w:val="center"/>
            <w:hideMark/>
          </w:tcPr>
          <w:p w14:paraId="30BA9C9F"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4,712 </w:t>
            </w:r>
          </w:p>
        </w:tc>
        <w:tc>
          <w:tcPr>
            <w:tcW w:w="198" w:type="dxa"/>
            <w:tcBorders>
              <w:top w:val="nil"/>
              <w:left w:val="nil"/>
              <w:bottom w:val="nil"/>
              <w:right w:val="nil"/>
            </w:tcBorders>
            <w:shd w:val="clear" w:color="auto" w:fill="auto"/>
            <w:noWrap/>
            <w:vAlign w:val="center"/>
            <w:hideMark/>
          </w:tcPr>
          <w:p w14:paraId="02175243"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53BB874A"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1,367,698 </w:t>
            </w:r>
          </w:p>
        </w:tc>
        <w:tc>
          <w:tcPr>
            <w:tcW w:w="198" w:type="dxa"/>
            <w:tcBorders>
              <w:top w:val="nil"/>
              <w:left w:val="nil"/>
              <w:bottom w:val="nil"/>
              <w:right w:val="nil"/>
            </w:tcBorders>
            <w:shd w:val="clear" w:color="auto" w:fill="auto"/>
            <w:noWrap/>
            <w:vAlign w:val="center"/>
            <w:hideMark/>
          </w:tcPr>
          <w:p w14:paraId="5C420F81"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6D59AEBD"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13,605 </w:t>
            </w:r>
          </w:p>
        </w:tc>
        <w:tc>
          <w:tcPr>
            <w:tcW w:w="198" w:type="dxa"/>
            <w:tcBorders>
              <w:top w:val="nil"/>
              <w:left w:val="nil"/>
              <w:bottom w:val="nil"/>
              <w:right w:val="nil"/>
            </w:tcBorders>
            <w:shd w:val="clear" w:color="auto" w:fill="auto"/>
            <w:noWrap/>
            <w:vAlign w:val="center"/>
            <w:hideMark/>
          </w:tcPr>
          <w:p w14:paraId="24917190"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7ABE602D"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4,581 </w:t>
            </w:r>
          </w:p>
        </w:tc>
        <w:tc>
          <w:tcPr>
            <w:tcW w:w="198" w:type="dxa"/>
            <w:tcBorders>
              <w:top w:val="nil"/>
              <w:left w:val="nil"/>
              <w:bottom w:val="nil"/>
              <w:right w:val="nil"/>
            </w:tcBorders>
            <w:shd w:val="clear" w:color="auto" w:fill="auto"/>
            <w:noWrap/>
            <w:vAlign w:val="center"/>
            <w:hideMark/>
          </w:tcPr>
          <w:p w14:paraId="747C8765"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68632101"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101,669 </w:t>
            </w:r>
          </w:p>
        </w:tc>
        <w:tc>
          <w:tcPr>
            <w:tcW w:w="198" w:type="dxa"/>
            <w:tcBorders>
              <w:top w:val="nil"/>
              <w:left w:val="nil"/>
              <w:bottom w:val="nil"/>
              <w:right w:val="nil"/>
            </w:tcBorders>
            <w:shd w:val="clear" w:color="auto" w:fill="auto"/>
            <w:noWrap/>
            <w:vAlign w:val="center"/>
            <w:hideMark/>
          </w:tcPr>
          <w:p w14:paraId="3DF6122F"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2424615A"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11,306 </w:t>
            </w:r>
          </w:p>
        </w:tc>
      </w:tr>
      <w:tr w:rsidR="00BC5219" w:rsidRPr="009C55C2" w14:paraId="6B5B01E5" w14:textId="77777777" w:rsidTr="00E83802">
        <w:trPr>
          <w:trHeight w:val="198"/>
        </w:trPr>
        <w:tc>
          <w:tcPr>
            <w:tcW w:w="215" w:type="dxa"/>
            <w:tcBorders>
              <w:top w:val="nil"/>
              <w:left w:val="nil"/>
              <w:bottom w:val="nil"/>
              <w:right w:val="nil"/>
            </w:tcBorders>
            <w:shd w:val="clear" w:color="auto" w:fill="auto"/>
            <w:noWrap/>
            <w:vAlign w:val="center"/>
            <w:hideMark/>
          </w:tcPr>
          <w:p w14:paraId="771F8663"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0F738179"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Impairment losses</w:t>
            </w:r>
          </w:p>
        </w:tc>
        <w:tc>
          <w:tcPr>
            <w:tcW w:w="1418" w:type="dxa"/>
            <w:tcBorders>
              <w:top w:val="nil"/>
              <w:left w:val="nil"/>
              <w:bottom w:val="nil"/>
              <w:right w:val="nil"/>
            </w:tcBorders>
            <w:shd w:val="clear" w:color="000000" w:fill="C9E3B4"/>
            <w:noWrap/>
            <w:vAlign w:val="center"/>
            <w:hideMark/>
          </w:tcPr>
          <w:p w14:paraId="5D3ABC06"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92 </w:t>
            </w:r>
          </w:p>
        </w:tc>
        <w:tc>
          <w:tcPr>
            <w:tcW w:w="198" w:type="dxa"/>
            <w:tcBorders>
              <w:top w:val="nil"/>
              <w:left w:val="nil"/>
              <w:bottom w:val="nil"/>
              <w:right w:val="nil"/>
            </w:tcBorders>
            <w:shd w:val="clear" w:color="auto" w:fill="auto"/>
            <w:noWrap/>
            <w:vAlign w:val="center"/>
            <w:hideMark/>
          </w:tcPr>
          <w:p w14:paraId="314C0D72"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4DAC8B08"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1,097 </w:t>
            </w:r>
          </w:p>
        </w:tc>
        <w:tc>
          <w:tcPr>
            <w:tcW w:w="198" w:type="dxa"/>
            <w:tcBorders>
              <w:top w:val="nil"/>
              <w:left w:val="nil"/>
              <w:bottom w:val="nil"/>
              <w:right w:val="nil"/>
            </w:tcBorders>
            <w:shd w:val="clear" w:color="auto" w:fill="auto"/>
            <w:noWrap/>
            <w:vAlign w:val="center"/>
            <w:hideMark/>
          </w:tcPr>
          <w:p w14:paraId="6F5E89B8"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8D6538E"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73 </w:t>
            </w:r>
          </w:p>
        </w:tc>
        <w:tc>
          <w:tcPr>
            <w:tcW w:w="198" w:type="dxa"/>
            <w:tcBorders>
              <w:top w:val="nil"/>
              <w:left w:val="nil"/>
              <w:bottom w:val="nil"/>
              <w:right w:val="nil"/>
            </w:tcBorders>
            <w:shd w:val="clear" w:color="auto" w:fill="auto"/>
            <w:noWrap/>
            <w:vAlign w:val="center"/>
            <w:hideMark/>
          </w:tcPr>
          <w:p w14:paraId="71501DDD"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299698BA"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23 </w:t>
            </w:r>
          </w:p>
        </w:tc>
        <w:tc>
          <w:tcPr>
            <w:tcW w:w="198" w:type="dxa"/>
            <w:tcBorders>
              <w:top w:val="nil"/>
              <w:left w:val="nil"/>
              <w:bottom w:val="nil"/>
              <w:right w:val="nil"/>
            </w:tcBorders>
            <w:shd w:val="clear" w:color="auto" w:fill="auto"/>
            <w:noWrap/>
            <w:vAlign w:val="center"/>
            <w:hideMark/>
          </w:tcPr>
          <w:p w14:paraId="116DF1B6"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41DE9A4D"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82 </w:t>
            </w:r>
          </w:p>
        </w:tc>
        <w:tc>
          <w:tcPr>
            <w:tcW w:w="198" w:type="dxa"/>
            <w:tcBorders>
              <w:top w:val="nil"/>
              <w:left w:val="nil"/>
              <w:bottom w:val="nil"/>
              <w:right w:val="nil"/>
            </w:tcBorders>
            <w:shd w:val="clear" w:color="auto" w:fill="auto"/>
            <w:noWrap/>
            <w:vAlign w:val="center"/>
            <w:hideMark/>
          </w:tcPr>
          <w:p w14:paraId="13D244E2"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4A93B77"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42 </w:t>
            </w:r>
          </w:p>
        </w:tc>
      </w:tr>
      <w:tr w:rsidR="00BC5219" w:rsidRPr="009C55C2" w14:paraId="2D5AED17" w14:textId="77777777" w:rsidTr="00E83802">
        <w:trPr>
          <w:trHeight w:val="198"/>
        </w:trPr>
        <w:tc>
          <w:tcPr>
            <w:tcW w:w="215" w:type="dxa"/>
            <w:tcBorders>
              <w:top w:val="nil"/>
              <w:left w:val="nil"/>
              <w:bottom w:val="single" w:sz="4" w:space="0" w:color="auto"/>
              <w:right w:val="nil"/>
            </w:tcBorders>
            <w:shd w:val="clear" w:color="auto" w:fill="auto"/>
            <w:noWrap/>
            <w:vAlign w:val="center"/>
            <w:hideMark/>
          </w:tcPr>
          <w:p w14:paraId="1D649AD7"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4366" w:type="dxa"/>
            <w:tcBorders>
              <w:top w:val="nil"/>
              <w:left w:val="nil"/>
              <w:bottom w:val="nil"/>
              <w:right w:val="nil"/>
            </w:tcBorders>
            <w:shd w:val="clear" w:color="auto" w:fill="auto"/>
            <w:noWrap/>
            <w:vAlign w:val="center"/>
            <w:hideMark/>
          </w:tcPr>
          <w:p w14:paraId="3794EC45"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Other expenses</w:t>
            </w:r>
          </w:p>
        </w:tc>
        <w:tc>
          <w:tcPr>
            <w:tcW w:w="1418" w:type="dxa"/>
            <w:tcBorders>
              <w:top w:val="nil"/>
              <w:left w:val="nil"/>
              <w:bottom w:val="single" w:sz="4" w:space="0" w:color="auto"/>
              <w:right w:val="nil"/>
            </w:tcBorders>
            <w:shd w:val="clear" w:color="000000" w:fill="C9E3B4"/>
            <w:noWrap/>
            <w:vAlign w:val="center"/>
            <w:hideMark/>
          </w:tcPr>
          <w:p w14:paraId="6738D573"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1,021 </w:t>
            </w:r>
          </w:p>
        </w:tc>
        <w:tc>
          <w:tcPr>
            <w:tcW w:w="198" w:type="dxa"/>
            <w:tcBorders>
              <w:top w:val="nil"/>
              <w:left w:val="nil"/>
              <w:bottom w:val="single" w:sz="4" w:space="0" w:color="auto"/>
              <w:right w:val="nil"/>
            </w:tcBorders>
            <w:shd w:val="clear" w:color="auto" w:fill="auto"/>
            <w:noWrap/>
            <w:vAlign w:val="center"/>
            <w:hideMark/>
          </w:tcPr>
          <w:p w14:paraId="0A619A70"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5D6E5F40"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15,457 </w:t>
            </w:r>
          </w:p>
        </w:tc>
        <w:tc>
          <w:tcPr>
            <w:tcW w:w="198" w:type="dxa"/>
            <w:tcBorders>
              <w:top w:val="nil"/>
              <w:left w:val="nil"/>
              <w:bottom w:val="single" w:sz="4" w:space="0" w:color="auto"/>
              <w:right w:val="nil"/>
            </w:tcBorders>
            <w:shd w:val="clear" w:color="auto" w:fill="auto"/>
            <w:noWrap/>
            <w:vAlign w:val="center"/>
            <w:hideMark/>
          </w:tcPr>
          <w:p w14:paraId="6E490CAA"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0377BD9D"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7,214 </w:t>
            </w:r>
          </w:p>
        </w:tc>
        <w:tc>
          <w:tcPr>
            <w:tcW w:w="198" w:type="dxa"/>
            <w:tcBorders>
              <w:top w:val="nil"/>
              <w:left w:val="nil"/>
              <w:bottom w:val="single" w:sz="4" w:space="0" w:color="auto"/>
              <w:right w:val="nil"/>
            </w:tcBorders>
            <w:shd w:val="clear" w:color="auto" w:fill="auto"/>
            <w:noWrap/>
            <w:vAlign w:val="center"/>
            <w:hideMark/>
          </w:tcPr>
          <w:p w14:paraId="23B1DA39"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790D7A4C"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4,996 </w:t>
            </w:r>
          </w:p>
        </w:tc>
        <w:tc>
          <w:tcPr>
            <w:tcW w:w="198" w:type="dxa"/>
            <w:tcBorders>
              <w:top w:val="nil"/>
              <w:left w:val="nil"/>
              <w:bottom w:val="single" w:sz="4" w:space="0" w:color="auto"/>
              <w:right w:val="nil"/>
            </w:tcBorders>
            <w:shd w:val="clear" w:color="auto" w:fill="auto"/>
            <w:noWrap/>
            <w:vAlign w:val="center"/>
            <w:hideMark/>
          </w:tcPr>
          <w:p w14:paraId="15199B4A"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12672C18"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1,959 </w:t>
            </w:r>
          </w:p>
        </w:tc>
        <w:tc>
          <w:tcPr>
            <w:tcW w:w="198" w:type="dxa"/>
            <w:tcBorders>
              <w:top w:val="nil"/>
              <w:left w:val="nil"/>
              <w:bottom w:val="single" w:sz="4" w:space="0" w:color="auto"/>
              <w:right w:val="nil"/>
            </w:tcBorders>
            <w:shd w:val="clear" w:color="auto" w:fill="auto"/>
            <w:noWrap/>
            <w:vAlign w:val="center"/>
            <w:hideMark/>
          </w:tcPr>
          <w:p w14:paraId="1B134FC4"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4EE7CAC6"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25,318 </w:t>
            </w:r>
          </w:p>
        </w:tc>
      </w:tr>
      <w:tr w:rsidR="00BC5219" w:rsidRPr="009C55C2" w14:paraId="2DDDD4A7" w14:textId="77777777" w:rsidTr="00E83802">
        <w:trPr>
          <w:trHeight w:val="198"/>
        </w:trPr>
        <w:tc>
          <w:tcPr>
            <w:tcW w:w="215" w:type="dxa"/>
            <w:tcBorders>
              <w:top w:val="nil"/>
              <w:left w:val="nil"/>
              <w:bottom w:val="nil"/>
              <w:right w:val="nil"/>
            </w:tcBorders>
            <w:shd w:val="clear" w:color="auto" w:fill="auto"/>
            <w:noWrap/>
            <w:vAlign w:val="center"/>
            <w:hideMark/>
          </w:tcPr>
          <w:p w14:paraId="1446590F"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single" w:sz="4" w:space="0" w:color="auto"/>
              <w:left w:val="nil"/>
              <w:bottom w:val="nil"/>
              <w:right w:val="nil"/>
            </w:tcBorders>
            <w:shd w:val="clear" w:color="auto" w:fill="auto"/>
            <w:vAlign w:val="center"/>
            <w:hideMark/>
          </w:tcPr>
          <w:p w14:paraId="69D355C9" w14:textId="77777777" w:rsidR="00BC5219" w:rsidRPr="009C55C2" w:rsidRDefault="00BC5219" w:rsidP="00E83802">
            <w:pPr>
              <w:rPr>
                <w:rFonts w:ascii="Meta Pro" w:eastAsia="Times New Roman" w:hAnsi="Meta Pro"/>
                <w:b/>
                <w:bCs/>
                <w:sz w:val="16"/>
                <w:szCs w:val="16"/>
                <w:lang w:eastAsia="en-AU"/>
              </w:rPr>
            </w:pPr>
            <w:r w:rsidRPr="009C55C2">
              <w:rPr>
                <w:rFonts w:ascii="Meta Pro" w:eastAsia="Times New Roman" w:hAnsi="Meta Pro"/>
                <w:b/>
                <w:bCs/>
                <w:sz w:val="16"/>
                <w:szCs w:val="16"/>
                <w:lang w:eastAsia="en-AU"/>
              </w:rPr>
              <w:t>Total expenses</w:t>
            </w:r>
          </w:p>
        </w:tc>
        <w:tc>
          <w:tcPr>
            <w:tcW w:w="1418" w:type="dxa"/>
            <w:tcBorders>
              <w:top w:val="nil"/>
              <w:left w:val="nil"/>
              <w:bottom w:val="nil"/>
              <w:right w:val="nil"/>
            </w:tcBorders>
            <w:shd w:val="clear" w:color="000000" w:fill="C9E3B4"/>
            <w:noWrap/>
            <w:vAlign w:val="center"/>
            <w:hideMark/>
          </w:tcPr>
          <w:p w14:paraId="6B8EE8D8"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160,210 </w:t>
            </w:r>
          </w:p>
        </w:tc>
        <w:tc>
          <w:tcPr>
            <w:tcW w:w="198" w:type="dxa"/>
            <w:tcBorders>
              <w:top w:val="nil"/>
              <w:left w:val="nil"/>
              <w:bottom w:val="nil"/>
              <w:right w:val="nil"/>
            </w:tcBorders>
            <w:shd w:val="clear" w:color="auto" w:fill="auto"/>
            <w:noWrap/>
            <w:vAlign w:val="center"/>
            <w:hideMark/>
          </w:tcPr>
          <w:p w14:paraId="648784BA" w14:textId="77777777" w:rsidR="00BC5219" w:rsidRPr="009C55C2" w:rsidRDefault="00BC5219" w:rsidP="00E83802">
            <w:pPr>
              <w:jc w:val="right"/>
              <w:rPr>
                <w:rFonts w:ascii="Meta Pro" w:eastAsia="Times New Roman" w:hAnsi="Meta Pro"/>
                <w:b/>
                <w:bCs/>
                <w:sz w:val="16"/>
                <w:szCs w:val="16"/>
                <w:lang w:eastAsia="en-AU"/>
              </w:rPr>
            </w:pPr>
          </w:p>
        </w:tc>
        <w:tc>
          <w:tcPr>
            <w:tcW w:w="1418" w:type="dxa"/>
            <w:tcBorders>
              <w:top w:val="nil"/>
              <w:left w:val="nil"/>
              <w:bottom w:val="nil"/>
              <w:right w:val="nil"/>
            </w:tcBorders>
            <w:shd w:val="clear" w:color="000000" w:fill="C9E3B4"/>
            <w:noWrap/>
            <w:vAlign w:val="center"/>
            <w:hideMark/>
          </w:tcPr>
          <w:p w14:paraId="3DFBC0E4"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3,043,553 </w:t>
            </w:r>
          </w:p>
        </w:tc>
        <w:tc>
          <w:tcPr>
            <w:tcW w:w="198" w:type="dxa"/>
            <w:tcBorders>
              <w:top w:val="nil"/>
              <w:left w:val="nil"/>
              <w:bottom w:val="nil"/>
              <w:right w:val="nil"/>
            </w:tcBorders>
            <w:shd w:val="clear" w:color="auto" w:fill="auto"/>
            <w:noWrap/>
            <w:vAlign w:val="center"/>
            <w:hideMark/>
          </w:tcPr>
          <w:p w14:paraId="7E23C530" w14:textId="77777777" w:rsidR="00BC5219" w:rsidRPr="009C55C2" w:rsidRDefault="00BC5219" w:rsidP="00E83802">
            <w:pPr>
              <w:jc w:val="right"/>
              <w:rPr>
                <w:rFonts w:ascii="Meta Pro" w:eastAsia="Times New Roman" w:hAnsi="Meta Pro"/>
                <w:b/>
                <w:bCs/>
                <w:sz w:val="16"/>
                <w:szCs w:val="16"/>
                <w:lang w:eastAsia="en-AU"/>
              </w:rPr>
            </w:pPr>
          </w:p>
        </w:tc>
        <w:tc>
          <w:tcPr>
            <w:tcW w:w="1418" w:type="dxa"/>
            <w:tcBorders>
              <w:top w:val="nil"/>
              <w:left w:val="nil"/>
              <w:bottom w:val="nil"/>
              <w:right w:val="nil"/>
            </w:tcBorders>
            <w:shd w:val="clear" w:color="000000" w:fill="C9E3B4"/>
            <w:noWrap/>
            <w:vAlign w:val="center"/>
            <w:hideMark/>
          </w:tcPr>
          <w:p w14:paraId="3D50C4E3"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338,808 </w:t>
            </w:r>
          </w:p>
        </w:tc>
        <w:tc>
          <w:tcPr>
            <w:tcW w:w="198" w:type="dxa"/>
            <w:tcBorders>
              <w:top w:val="nil"/>
              <w:left w:val="nil"/>
              <w:bottom w:val="nil"/>
              <w:right w:val="nil"/>
            </w:tcBorders>
            <w:shd w:val="clear" w:color="auto" w:fill="auto"/>
            <w:noWrap/>
            <w:vAlign w:val="center"/>
            <w:hideMark/>
          </w:tcPr>
          <w:p w14:paraId="5E9E1B72" w14:textId="77777777" w:rsidR="00BC5219" w:rsidRPr="009C55C2" w:rsidRDefault="00BC5219" w:rsidP="00E83802">
            <w:pPr>
              <w:jc w:val="right"/>
              <w:rPr>
                <w:rFonts w:ascii="Meta Pro" w:eastAsia="Times New Roman" w:hAnsi="Meta Pro"/>
                <w:b/>
                <w:bCs/>
                <w:sz w:val="16"/>
                <w:szCs w:val="16"/>
                <w:lang w:eastAsia="en-AU"/>
              </w:rPr>
            </w:pPr>
          </w:p>
        </w:tc>
        <w:tc>
          <w:tcPr>
            <w:tcW w:w="1418" w:type="dxa"/>
            <w:tcBorders>
              <w:top w:val="nil"/>
              <w:left w:val="nil"/>
              <w:bottom w:val="nil"/>
              <w:right w:val="nil"/>
            </w:tcBorders>
            <w:shd w:val="clear" w:color="000000" w:fill="C9E3B4"/>
            <w:noWrap/>
            <w:vAlign w:val="center"/>
            <w:hideMark/>
          </w:tcPr>
          <w:p w14:paraId="728FBC3A"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416,340 </w:t>
            </w:r>
          </w:p>
        </w:tc>
        <w:tc>
          <w:tcPr>
            <w:tcW w:w="198" w:type="dxa"/>
            <w:tcBorders>
              <w:top w:val="nil"/>
              <w:left w:val="nil"/>
              <w:bottom w:val="nil"/>
              <w:right w:val="nil"/>
            </w:tcBorders>
            <w:shd w:val="clear" w:color="auto" w:fill="auto"/>
            <w:noWrap/>
            <w:vAlign w:val="center"/>
            <w:hideMark/>
          </w:tcPr>
          <w:p w14:paraId="0F34F8C8" w14:textId="77777777" w:rsidR="00BC5219" w:rsidRPr="009C55C2" w:rsidRDefault="00BC5219" w:rsidP="00E83802">
            <w:pPr>
              <w:jc w:val="right"/>
              <w:rPr>
                <w:rFonts w:ascii="Meta Pro" w:eastAsia="Times New Roman" w:hAnsi="Meta Pro"/>
                <w:b/>
                <w:bCs/>
                <w:sz w:val="16"/>
                <w:szCs w:val="16"/>
                <w:lang w:eastAsia="en-AU"/>
              </w:rPr>
            </w:pPr>
          </w:p>
        </w:tc>
        <w:tc>
          <w:tcPr>
            <w:tcW w:w="1418" w:type="dxa"/>
            <w:tcBorders>
              <w:top w:val="nil"/>
              <w:left w:val="nil"/>
              <w:bottom w:val="nil"/>
              <w:right w:val="nil"/>
            </w:tcBorders>
            <w:shd w:val="clear" w:color="000000" w:fill="C9E3B4"/>
            <w:noWrap/>
            <w:vAlign w:val="center"/>
            <w:hideMark/>
          </w:tcPr>
          <w:p w14:paraId="7E38BFEF"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3,688,707 </w:t>
            </w:r>
          </w:p>
        </w:tc>
        <w:tc>
          <w:tcPr>
            <w:tcW w:w="198" w:type="dxa"/>
            <w:tcBorders>
              <w:top w:val="nil"/>
              <w:left w:val="nil"/>
              <w:bottom w:val="nil"/>
              <w:right w:val="nil"/>
            </w:tcBorders>
            <w:shd w:val="clear" w:color="auto" w:fill="auto"/>
            <w:noWrap/>
            <w:vAlign w:val="center"/>
            <w:hideMark/>
          </w:tcPr>
          <w:p w14:paraId="62282544" w14:textId="77777777" w:rsidR="00BC5219" w:rsidRPr="009C55C2" w:rsidRDefault="00BC5219" w:rsidP="00E83802">
            <w:pPr>
              <w:jc w:val="right"/>
              <w:rPr>
                <w:rFonts w:ascii="Meta Pro" w:eastAsia="Times New Roman" w:hAnsi="Meta Pro"/>
                <w:b/>
                <w:bCs/>
                <w:sz w:val="16"/>
                <w:szCs w:val="16"/>
                <w:lang w:eastAsia="en-AU"/>
              </w:rPr>
            </w:pPr>
          </w:p>
        </w:tc>
        <w:tc>
          <w:tcPr>
            <w:tcW w:w="1418" w:type="dxa"/>
            <w:tcBorders>
              <w:top w:val="nil"/>
              <w:left w:val="nil"/>
              <w:bottom w:val="nil"/>
              <w:right w:val="nil"/>
            </w:tcBorders>
            <w:shd w:val="clear" w:color="000000" w:fill="C9E3B4"/>
            <w:noWrap/>
            <w:vAlign w:val="center"/>
            <w:hideMark/>
          </w:tcPr>
          <w:p w14:paraId="392A7BD8"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814,807 </w:t>
            </w:r>
          </w:p>
        </w:tc>
      </w:tr>
      <w:tr w:rsidR="00BC5219" w:rsidRPr="009C55C2" w14:paraId="0D6D5D98" w14:textId="77777777" w:rsidTr="00E83802">
        <w:trPr>
          <w:trHeight w:val="198"/>
        </w:trPr>
        <w:tc>
          <w:tcPr>
            <w:tcW w:w="215" w:type="dxa"/>
            <w:tcBorders>
              <w:top w:val="nil"/>
              <w:left w:val="nil"/>
              <w:bottom w:val="nil"/>
              <w:right w:val="nil"/>
            </w:tcBorders>
            <w:shd w:val="clear" w:color="auto" w:fill="auto"/>
            <w:noWrap/>
            <w:vAlign w:val="center"/>
            <w:hideMark/>
          </w:tcPr>
          <w:p w14:paraId="3233D393" w14:textId="77777777" w:rsidR="00BC5219" w:rsidRPr="009C55C2" w:rsidRDefault="00BC5219" w:rsidP="00E83802">
            <w:pPr>
              <w:jc w:val="right"/>
              <w:rPr>
                <w:rFonts w:ascii="Meta Pro" w:eastAsia="Times New Roman" w:hAnsi="Meta Pro"/>
                <w:b/>
                <w:bCs/>
                <w:sz w:val="16"/>
                <w:szCs w:val="16"/>
                <w:lang w:eastAsia="en-AU"/>
              </w:rPr>
            </w:pPr>
          </w:p>
        </w:tc>
        <w:tc>
          <w:tcPr>
            <w:tcW w:w="4366" w:type="dxa"/>
            <w:tcBorders>
              <w:top w:val="nil"/>
              <w:left w:val="nil"/>
              <w:bottom w:val="nil"/>
              <w:right w:val="nil"/>
            </w:tcBorders>
            <w:shd w:val="clear" w:color="auto" w:fill="auto"/>
            <w:noWrap/>
            <w:vAlign w:val="center"/>
            <w:hideMark/>
          </w:tcPr>
          <w:p w14:paraId="09487E21" w14:textId="77777777" w:rsidR="00BC5219" w:rsidRPr="009C55C2" w:rsidRDefault="00BC5219" w:rsidP="00E83802">
            <w:pPr>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000000" w:fill="C9E3B4"/>
            <w:noWrap/>
            <w:vAlign w:val="center"/>
            <w:hideMark/>
          </w:tcPr>
          <w:p w14:paraId="3D1B75A8"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617D7450"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24E40971"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5B4AE880"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63C65608"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4ADF6173"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76AA4BDF"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7E2D94B5"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35AED6C5"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0F721684"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26D67C5A"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r>
      <w:tr w:rsidR="00BC5219" w:rsidRPr="009C55C2" w14:paraId="69FBBC47" w14:textId="77777777" w:rsidTr="00E83802">
        <w:trPr>
          <w:trHeight w:val="198"/>
        </w:trPr>
        <w:tc>
          <w:tcPr>
            <w:tcW w:w="4366" w:type="dxa"/>
            <w:gridSpan w:val="2"/>
            <w:tcBorders>
              <w:top w:val="nil"/>
              <w:left w:val="nil"/>
              <w:bottom w:val="nil"/>
              <w:right w:val="nil"/>
            </w:tcBorders>
            <w:shd w:val="clear" w:color="auto" w:fill="auto"/>
            <w:noWrap/>
            <w:vAlign w:val="center"/>
            <w:hideMark/>
          </w:tcPr>
          <w:p w14:paraId="37AC3BFA" w14:textId="77777777" w:rsidR="00BC5219" w:rsidRPr="009C55C2" w:rsidRDefault="00BC5219" w:rsidP="00E83802">
            <w:pPr>
              <w:rPr>
                <w:rFonts w:ascii="Meta Pro" w:eastAsia="Times New Roman" w:hAnsi="Meta Pro"/>
                <w:b/>
                <w:bCs/>
                <w:sz w:val="16"/>
                <w:szCs w:val="16"/>
                <w:lang w:eastAsia="en-AU"/>
              </w:rPr>
            </w:pPr>
            <w:r w:rsidRPr="009C55C2">
              <w:rPr>
                <w:rFonts w:ascii="Meta Pro" w:eastAsia="Times New Roman" w:hAnsi="Meta Pro"/>
                <w:b/>
                <w:bCs/>
                <w:sz w:val="16"/>
                <w:szCs w:val="16"/>
                <w:lang w:eastAsia="en-AU"/>
              </w:rPr>
              <w:t>Operating result before income tax equivalent expense</w:t>
            </w:r>
          </w:p>
        </w:tc>
        <w:tc>
          <w:tcPr>
            <w:tcW w:w="1418" w:type="dxa"/>
            <w:tcBorders>
              <w:top w:val="nil"/>
              <w:left w:val="nil"/>
              <w:bottom w:val="nil"/>
              <w:right w:val="nil"/>
            </w:tcBorders>
            <w:shd w:val="clear" w:color="000000" w:fill="C9E3B4"/>
            <w:noWrap/>
            <w:vAlign w:val="center"/>
            <w:hideMark/>
          </w:tcPr>
          <w:p w14:paraId="6585C2A8"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578982E4" w14:textId="77777777" w:rsidR="00BC5219" w:rsidRPr="009C55C2" w:rsidRDefault="00BC5219" w:rsidP="00E83802">
            <w:pPr>
              <w:jc w:val="right"/>
              <w:rPr>
                <w:rFonts w:ascii="Meta Pro" w:eastAsia="Times New Roman" w:hAnsi="Meta Pro"/>
                <w:b/>
                <w:bCs/>
                <w:sz w:val="16"/>
                <w:szCs w:val="16"/>
                <w:lang w:eastAsia="en-AU"/>
              </w:rPr>
            </w:pPr>
          </w:p>
        </w:tc>
        <w:tc>
          <w:tcPr>
            <w:tcW w:w="1418" w:type="dxa"/>
            <w:tcBorders>
              <w:top w:val="nil"/>
              <w:left w:val="nil"/>
              <w:bottom w:val="nil"/>
              <w:right w:val="nil"/>
            </w:tcBorders>
            <w:shd w:val="clear" w:color="000000" w:fill="C9E3B4"/>
            <w:noWrap/>
            <w:vAlign w:val="center"/>
            <w:hideMark/>
          </w:tcPr>
          <w:p w14:paraId="516F5931"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119,994 </w:t>
            </w:r>
          </w:p>
        </w:tc>
        <w:tc>
          <w:tcPr>
            <w:tcW w:w="198" w:type="dxa"/>
            <w:tcBorders>
              <w:top w:val="nil"/>
              <w:left w:val="nil"/>
              <w:bottom w:val="nil"/>
              <w:right w:val="nil"/>
            </w:tcBorders>
            <w:shd w:val="clear" w:color="auto" w:fill="auto"/>
            <w:noWrap/>
            <w:vAlign w:val="center"/>
            <w:hideMark/>
          </w:tcPr>
          <w:p w14:paraId="37BD8A03" w14:textId="77777777" w:rsidR="00BC5219" w:rsidRPr="009C55C2" w:rsidRDefault="00BC5219" w:rsidP="00E83802">
            <w:pPr>
              <w:jc w:val="right"/>
              <w:rPr>
                <w:rFonts w:ascii="Meta Pro" w:eastAsia="Times New Roman" w:hAnsi="Meta Pro"/>
                <w:b/>
                <w:bCs/>
                <w:sz w:val="16"/>
                <w:szCs w:val="16"/>
                <w:lang w:eastAsia="en-AU"/>
              </w:rPr>
            </w:pPr>
          </w:p>
        </w:tc>
        <w:tc>
          <w:tcPr>
            <w:tcW w:w="1418" w:type="dxa"/>
            <w:tcBorders>
              <w:top w:val="nil"/>
              <w:left w:val="nil"/>
              <w:bottom w:val="nil"/>
              <w:right w:val="nil"/>
            </w:tcBorders>
            <w:shd w:val="clear" w:color="000000" w:fill="C9E3B4"/>
            <w:noWrap/>
            <w:vAlign w:val="center"/>
            <w:hideMark/>
          </w:tcPr>
          <w:p w14:paraId="7D646D6D"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10C6F4B9" w14:textId="77777777" w:rsidR="00BC5219" w:rsidRPr="009C55C2" w:rsidRDefault="00BC5219" w:rsidP="00E83802">
            <w:pPr>
              <w:jc w:val="right"/>
              <w:rPr>
                <w:rFonts w:ascii="Meta Pro" w:eastAsia="Times New Roman" w:hAnsi="Meta Pro"/>
                <w:b/>
                <w:bCs/>
                <w:sz w:val="16"/>
                <w:szCs w:val="16"/>
                <w:lang w:eastAsia="en-AU"/>
              </w:rPr>
            </w:pPr>
          </w:p>
        </w:tc>
        <w:tc>
          <w:tcPr>
            <w:tcW w:w="1418" w:type="dxa"/>
            <w:tcBorders>
              <w:top w:val="nil"/>
              <w:left w:val="nil"/>
              <w:bottom w:val="nil"/>
              <w:right w:val="nil"/>
            </w:tcBorders>
            <w:shd w:val="clear" w:color="000000" w:fill="C9E3B4"/>
            <w:noWrap/>
            <w:vAlign w:val="center"/>
            <w:hideMark/>
          </w:tcPr>
          <w:p w14:paraId="3BA71614"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1406D1F0" w14:textId="77777777" w:rsidR="00BC5219" w:rsidRPr="009C55C2" w:rsidRDefault="00BC5219" w:rsidP="00E83802">
            <w:pPr>
              <w:jc w:val="right"/>
              <w:rPr>
                <w:rFonts w:ascii="Meta Pro" w:eastAsia="Times New Roman" w:hAnsi="Meta Pro"/>
                <w:b/>
                <w:bCs/>
                <w:sz w:val="16"/>
                <w:szCs w:val="16"/>
                <w:lang w:eastAsia="en-AU"/>
              </w:rPr>
            </w:pPr>
          </w:p>
        </w:tc>
        <w:tc>
          <w:tcPr>
            <w:tcW w:w="1418" w:type="dxa"/>
            <w:tcBorders>
              <w:top w:val="nil"/>
              <w:left w:val="nil"/>
              <w:bottom w:val="nil"/>
              <w:right w:val="nil"/>
            </w:tcBorders>
            <w:shd w:val="clear" w:color="000000" w:fill="C9E3B4"/>
            <w:noWrap/>
            <w:vAlign w:val="center"/>
            <w:hideMark/>
          </w:tcPr>
          <w:p w14:paraId="64B0A167"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(114,402)</w:t>
            </w:r>
          </w:p>
        </w:tc>
        <w:tc>
          <w:tcPr>
            <w:tcW w:w="198" w:type="dxa"/>
            <w:tcBorders>
              <w:top w:val="nil"/>
              <w:left w:val="nil"/>
              <w:bottom w:val="nil"/>
              <w:right w:val="nil"/>
            </w:tcBorders>
            <w:shd w:val="clear" w:color="auto" w:fill="auto"/>
            <w:noWrap/>
            <w:vAlign w:val="center"/>
            <w:hideMark/>
          </w:tcPr>
          <w:p w14:paraId="672CD59D" w14:textId="77777777" w:rsidR="00BC5219" w:rsidRPr="009C55C2" w:rsidRDefault="00BC5219" w:rsidP="00E83802">
            <w:pPr>
              <w:jc w:val="right"/>
              <w:rPr>
                <w:rFonts w:ascii="Meta Pro" w:eastAsia="Times New Roman" w:hAnsi="Meta Pro"/>
                <w:b/>
                <w:bCs/>
                <w:sz w:val="16"/>
                <w:szCs w:val="16"/>
                <w:lang w:eastAsia="en-AU"/>
              </w:rPr>
            </w:pPr>
          </w:p>
        </w:tc>
        <w:tc>
          <w:tcPr>
            <w:tcW w:w="1418" w:type="dxa"/>
            <w:tcBorders>
              <w:top w:val="nil"/>
              <w:left w:val="nil"/>
              <w:bottom w:val="nil"/>
              <w:right w:val="nil"/>
            </w:tcBorders>
            <w:shd w:val="clear" w:color="000000" w:fill="C9E3B4"/>
            <w:noWrap/>
            <w:vAlign w:val="center"/>
            <w:hideMark/>
          </w:tcPr>
          <w:p w14:paraId="3E0BE923"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6,012 </w:t>
            </w:r>
          </w:p>
        </w:tc>
      </w:tr>
      <w:tr w:rsidR="00BC5219" w:rsidRPr="009C55C2" w14:paraId="58454C87" w14:textId="77777777" w:rsidTr="00E83802">
        <w:trPr>
          <w:trHeight w:val="198"/>
        </w:trPr>
        <w:tc>
          <w:tcPr>
            <w:tcW w:w="215" w:type="dxa"/>
            <w:tcBorders>
              <w:top w:val="nil"/>
              <w:left w:val="nil"/>
              <w:bottom w:val="single" w:sz="4" w:space="0" w:color="auto"/>
              <w:right w:val="nil"/>
            </w:tcBorders>
            <w:shd w:val="clear" w:color="auto" w:fill="auto"/>
            <w:noWrap/>
            <w:vAlign w:val="center"/>
            <w:hideMark/>
          </w:tcPr>
          <w:p w14:paraId="7972E474"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4366" w:type="dxa"/>
            <w:tcBorders>
              <w:top w:val="nil"/>
              <w:left w:val="nil"/>
              <w:bottom w:val="single" w:sz="4" w:space="0" w:color="auto"/>
              <w:right w:val="nil"/>
            </w:tcBorders>
            <w:shd w:val="clear" w:color="auto" w:fill="auto"/>
            <w:noWrap/>
            <w:vAlign w:val="center"/>
            <w:hideMark/>
          </w:tcPr>
          <w:p w14:paraId="47B32F39"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Income tax equivalent expense</w:t>
            </w:r>
          </w:p>
        </w:tc>
        <w:tc>
          <w:tcPr>
            <w:tcW w:w="1418" w:type="dxa"/>
            <w:tcBorders>
              <w:top w:val="nil"/>
              <w:left w:val="nil"/>
              <w:bottom w:val="single" w:sz="4" w:space="0" w:color="auto"/>
              <w:right w:val="nil"/>
            </w:tcBorders>
            <w:shd w:val="clear" w:color="000000" w:fill="C9E3B4"/>
            <w:noWrap/>
            <w:vAlign w:val="center"/>
            <w:hideMark/>
          </w:tcPr>
          <w:p w14:paraId="40278BED"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482FE45B"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7058480E"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05D1287E"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440B105D"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777F882A"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72979EED"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3DB8EB0D"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7A1E1C6C"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70355F1B"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4A8E8306"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7,706 </w:t>
            </w:r>
          </w:p>
        </w:tc>
      </w:tr>
      <w:tr w:rsidR="00BC5219" w:rsidRPr="009C55C2" w14:paraId="0111A894" w14:textId="77777777" w:rsidTr="00E83802">
        <w:trPr>
          <w:trHeight w:val="198"/>
        </w:trPr>
        <w:tc>
          <w:tcPr>
            <w:tcW w:w="215" w:type="dxa"/>
            <w:tcBorders>
              <w:top w:val="nil"/>
              <w:left w:val="nil"/>
              <w:bottom w:val="nil"/>
              <w:right w:val="nil"/>
            </w:tcBorders>
            <w:shd w:val="clear" w:color="auto" w:fill="auto"/>
            <w:noWrap/>
            <w:vAlign w:val="center"/>
            <w:hideMark/>
          </w:tcPr>
          <w:p w14:paraId="7595BE97"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0CBDA81C" w14:textId="77777777" w:rsidR="00BC5219" w:rsidRPr="009C55C2" w:rsidRDefault="00BC5219" w:rsidP="00E83802">
            <w:pPr>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000000" w:fill="C9E3B4"/>
            <w:noWrap/>
            <w:vAlign w:val="center"/>
            <w:hideMark/>
          </w:tcPr>
          <w:p w14:paraId="62E6FA62"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522074FE"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nil"/>
              <w:right w:val="nil"/>
            </w:tcBorders>
            <w:shd w:val="clear" w:color="000000" w:fill="C9E3B4"/>
            <w:noWrap/>
            <w:vAlign w:val="center"/>
            <w:hideMark/>
          </w:tcPr>
          <w:p w14:paraId="4235039F"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06D8D251"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nil"/>
              <w:right w:val="nil"/>
            </w:tcBorders>
            <w:shd w:val="clear" w:color="000000" w:fill="C9E3B4"/>
            <w:noWrap/>
            <w:vAlign w:val="center"/>
            <w:hideMark/>
          </w:tcPr>
          <w:p w14:paraId="470921F3"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44684DC8"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nil"/>
              <w:right w:val="nil"/>
            </w:tcBorders>
            <w:shd w:val="clear" w:color="000000" w:fill="C9E3B4"/>
            <w:noWrap/>
            <w:vAlign w:val="center"/>
            <w:hideMark/>
          </w:tcPr>
          <w:p w14:paraId="707CB7B6"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7BA0BAF3"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nil"/>
              <w:right w:val="nil"/>
            </w:tcBorders>
            <w:shd w:val="clear" w:color="000000" w:fill="C9E3B4"/>
            <w:noWrap/>
            <w:vAlign w:val="center"/>
            <w:hideMark/>
          </w:tcPr>
          <w:p w14:paraId="6030E39A"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4E98775E"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nil"/>
              <w:right w:val="nil"/>
            </w:tcBorders>
            <w:shd w:val="clear" w:color="000000" w:fill="C9E3B4"/>
            <w:noWrap/>
            <w:vAlign w:val="center"/>
            <w:hideMark/>
          </w:tcPr>
          <w:p w14:paraId="4A28249E"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r>
      <w:tr w:rsidR="00BC5219" w:rsidRPr="009C55C2" w14:paraId="174B485E" w14:textId="77777777" w:rsidTr="00E83802">
        <w:trPr>
          <w:trHeight w:val="198"/>
        </w:trPr>
        <w:tc>
          <w:tcPr>
            <w:tcW w:w="4366" w:type="dxa"/>
            <w:gridSpan w:val="2"/>
            <w:tcBorders>
              <w:top w:val="nil"/>
              <w:left w:val="nil"/>
              <w:bottom w:val="single" w:sz="4" w:space="0" w:color="auto"/>
              <w:right w:val="nil"/>
            </w:tcBorders>
            <w:shd w:val="clear" w:color="auto" w:fill="auto"/>
            <w:noWrap/>
            <w:vAlign w:val="center"/>
            <w:hideMark/>
          </w:tcPr>
          <w:p w14:paraId="1D7CEDD0" w14:textId="77777777" w:rsidR="00BC5219" w:rsidRPr="009C55C2" w:rsidRDefault="00BC5219" w:rsidP="00E83802">
            <w:pPr>
              <w:rPr>
                <w:rFonts w:ascii="Meta Pro" w:eastAsia="Times New Roman" w:hAnsi="Meta Pro"/>
                <w:b/>
                <w:bCs/>
                <w:sz w:val="16"/>
                <w:szCs w:val="16"/>
                <w:lang w:eastAsia="en-AU"/>
              </w:rPr>
            </w:pPr>
            <w:r w:rsidRPr="009C55C2">
              <w:rPr>
                <w:rFonts w:ascii="Meta Pro" w:eastAsia="Times New Roman" w:hAnsi="Meta Pro"/>
                <w:b/>
                <w:bCs/>
                <w:sz w:val="16"/>
                <w:szCs w:val="16"/>
                <w:lang w:eastAsia="en-AU"/>
              </w:rPr>
              <w:t>OPERATING RESULT FOR THE YEAR</w:t>
            </w:r>
          </w:p>
        </w:tc>
        <w:tc>
          <w:tcPr>
            <w:tcW w:w="1418" w:type="dxa"/>
            <w:tcBorders>
              <w:top w:val="nil"/>
              <w:left w:val="nil"/>
              <w:bottom w:val="single" w:sz="4" w:space="0" w:color="auto"/>
              <w:right w:val="nil"/>
            </w:tcBorders>
            <w:shd w:val="clear" w:color="000000" w:fill="C9E3B4"/>
            <w:noWrap/>
            <w:vAlign w:val="center"/>
            <w:hideMark/>
          </w:tcPr>
          <w:p w14:paraId="5CBC194E"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3723BB63"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70D8924A"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119,994 </w:t>
            </w:r>
          </w:p>
        </w:tc>
        <w:tc>
          <w:tcPr>
            <w:tcW w:w="198" w:type="dxa"/>
            <w:tcBorders>
              <w:top w:val="nil"/>
              <w:left w:val="nil"/>
              <w:bottom w:val="single" w:sz="4" w:space="0" w:color="auto"/>
              <w:right w:val="nil"/>
            </w:tcBorders>
            <w:shd w:val="clear" w:color="auto" w:fill="auto"/>
            <w:noWrap/>
            <w:vAlign w:val="center"/>
            <w:hideMark/>
          </w:tcPr>
          <w:p w14:paraId="3F710C1B"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6EEA3EF3"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2B7DD3A2"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152CC24C"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7126AC48"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73AC3BB7"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(114,402)</w:t>
            </w:r>
          </w:p>
        </w:tc>
        <w:tc>
          <w:tcPr>
            <w:tcW w:w="198" w:type="dxa"/>
            <w:tcBorders>
              <w:top w:val="nil"/>
              <w:left w:val="nil"/>
              <w:bottom w:val="single" w:sz="4" w:space="0" w:color="auto"/>
              <w:right w:val="nil"/>
            </w:tcBorders>
            <w:shd w:val="clear" w:color="auto" w:fill="auto"/>
            <w:noWrap/>
            <w:vAlign w:val="center"/>
            <w:hideMark/>
          </w:tcPr>
          <w:p w14:paraId="317BDB89"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77A1DA94"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(1,694)</w:t>
            </w:r>
          </w:p>
        </w:tc>
      </w:tr>
      <w:tr w:rsidR="00BC5219" w:rsidRPr="009C55C2" w14:paraId="14288AE7" w14:textId="77777777" w:rsidTr="00E83802">
        <w:trPr>
          <w:trHeight w:val="198"/>
        </w:trPr>
        <w:tc>
          <w:tcPr>
            <w:tcW w:w="215" w:type="dxa"/>
            <w:tcBorders>
              <w:top w:val="nil"/>
              <w:left w:val="nil"/>
              <w:bottom w:val="nil"/>
              <w:right w:val="nil"/>
            </w:tcBorders>
            <w:shd w:val="clear" w:color="auto" w:fill="auto"/>
            <w:noWrap/>
            <w:vAlign w:val="center"/>
            <w:hideMark/>
          </w:tcPr>
          <w:p w14:paraId="3E240781" w14:textId="77777777" w:rsidR="00BC5219" w:rsidRPr="009C55C2" w:rsidRDefault="00BC5219" w:rsidP="00E83802">
            <w:pPr>
              <w:jc w:val="right"/>
              <w:rPr>
                <w:rFonts w:ascii="Meta Pro" w:eastAsia="Times New Roman" w:hAnsi="Meta Pro"/>
                <w:b/>
                <w:bCs/>
                <w:sz w:val="16"/>
                <w:szCs w:val="16"/>
                <w:lang w:eastAsia="en-AU"/>
              </w:rPr>
            </w:pPr>
          </w:p>
        </w:tc>
        <w:tc>
          <w:tcPr>
            <w:tcW w:w="4366" w:type="dxa"/>
            <w:tcBorders>
              <w:top w:val="nil"/>
              <w:left w:val="nil"/>
              <w:bottom w:val="nil"/>
              <w:right w:val="nil"/>
            </w:tcBorders>
            <w:shd w:val="clear" w:color="auto" w:fill="auto"/>
            <w:noWrap/>
            <w:vAlign w:val="center"/>
            <w:hideMark/>
          </w:tcPr>
          <w:p w14:paraId="0740B30A" w14:textId="77777777" w:rsidR="00BC5219" w:rsidRPr="009C55C2" w:rsidRDefault="00BC5219" w:rsidP="00E83802">
            <w:pPr>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000000" w:fill="C9E3B4"/>
            <w:noWrap/>
            <w:vAlign w:val="center"/>
            <w:hideMark/>
          </w:tcPr>
          <w:p w14:paraId="58212B92"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0B916EF0"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65599A11"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397876D0"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5D72CDF8"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18549D14"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11AD705"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7DB78A9E"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54DCB43"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147B6BBC"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5DE0CD15"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r>
      <w:tr w:rsidR="00BC5219" w:rsidRPr="009C55C2" w14:paraId="20FA67F2" w14:textId="77777777" w:rsidTr="00E83802">
        <w:trPr>
          <w:trHeight w:val="198"/>
        </w:trPr>
        <w:tc>
          <w:tcPr>
            <w:tcW w:w="215" w:type="dxa"/>
            <w:tcBorders>
              <w:top w:val="nil"/>
              <w:left w:val="nil"/>
              <w:bottom w:val="nil"/>
              <w:right w:val="nil"/>
            </w:tcBorders>
            <w:shd w:val="clear" w:color="auto" w:fill="auto"/>
            <w:noWrap/>
            <w:vAlign w:val="center"/>
            <w:hideMark/>
          </w:tcPr>
          <w:p w14:paraId="72658573"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3BBD7C32" w14:textId="77777777" w:rsidR="00BC5219" w:rsidRPr="009C55C2" w:rsidRDefault="00BC5219" w:rsidP="00E83802">
            <w:pPr>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000000" w:fill="C9E3B4"/>
            <w:noWrap/>
            <w:vAlign w:val="center"/>
            <w:hideMark/>
          </w:tcPr>
          <w:p w14:paraId="6F5267E6"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4768C54F"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9665120"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054301E9"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76ACED7B"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631F7D78"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4A1D531D"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620A564D"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419DAED9"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5949A3BB"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791B2229"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r>
      <w:tr w:rsidR="00BC5219" w:rsidRPr="009C55C2" w14:paraId="2171CA71" w14:textId="77777777" w:rsidTr="00E83802">
        <w:trPr>
          <w:trHeight w:val="198"/>
        </w:trPr>
        <w:tc>
          <w:tcPr>
            <w:tcW w:w="4366" w:type="dxa"/>
            <w:gridSpan w:val="2"/>
            <w:tcBorders>
              <w:top w:val="nil"/>
              <w:left w:val="nil"/>
              <w:bottom w:val="nil"/>
              <w:right w:val="nil"/>
            </w:tcBorders>
            <w:shd w:val="clear" w:color="auto" w:fill="auto"/>
            <w:noWrap/>
            <w:vAlign w:val="center"/>
            <w:hideMark/>
          </w:tcPr>
          <w:p w14:paraId="41727BDE" w14:textId="77777777" w:rsidR="00BC5219" w:rsidRPr="009C55C2" w:rsidRDefault="00BC5219" w:rsidP="00E83802">
            <w:pPr>
              <w:rPr>
                <w:rFonts w:ascii="Meta Pro" w:eastAsia="Times New Roman" w:hAnsi="Meta Pro"/>
                <w:b/>
                <w:bCs/>
                <w:sz w:val="16"/>
                <w:szCs w:val="16"/>
                <w:lang w:eastAsia="en-AU"/>
              </w:rPr>
            </w:pPr>
            <w:r w:rsidRPr="009C55C2">
              <w:rPr>
                <w:rFonts w:ascii="Meta Pro" w:eastAsia="Times New Roman" w:hAnsi="Meta Pro"/>
                <w:b/>
                <w:bCs/>
                <w:sz w:val="16"/>
                <w:szCs w:val="16"/>
                <w:lang w:eastAsia="en-AU"/>
              </w:rPr>
              <w:t>Items not reclassified to operating result</w:t>
            </w:r>
          </w:p>
        </w:tc>
        <w:tc>
          <w:tcPr>
            <w:tcW w:w="1418" w:type="dxa"/>
            <w:tcBorders>
              <w:top w:val="nil"/>
              <w:left w:val="nil"/>
              <w:bottom w:val="nil"/>
              <w:right w:val="nil"/>
            </w:tcBorders>
            <w:shd w:val="clear" w:color="000000" w:fill="C9E3B4"/>
            <w:noWrap/>
            <w:vAlign w:val="center"/>
            <w:hideMark/>
          </w:tcPr>
          <w:p w14:paraId="6006BC07"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7D684436"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240DCC7F"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406AE7CC"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604B57C5"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45731887"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6B80C576"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46243894"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769B5137"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3F87A7D0"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523DA1B7"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r>
      <w:tr w:rsidR="00BC5219" w:rsidRPr="009C55C2" w14:paraId="40FB43B1" w14:textId="77777777" w:rsidTr="00E83802">
        <w:trPr>
          <w:trHeight w:val="198"/>
        </w:trPr>
        <w:tc>
          <w:tcPr>
            <w:tcW w:w="215" w:type="dxa"/>
            <w:tcBorders>
              <w:top w:val="nil"/>
              <w:left w:val="nil"/>
              <w:bottom w:val="single" w:sz="4" w:space="0" w:color="auto"/>
              <w:right w:val="nil"/>
            </w:tcBorders>
            <w:shd w:val="clear" w:color="auto" w:fill="auto"/>
            <w:noWrap/>
            <w:vAlign w:val="center"/>
            <w:hideMark/>
          </w:tcPr>
          <w:p w14:paraId="2570062D"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4366" w:type="dxa"/>
            <w:tcBorders>
              <w:top w:val="nil"/>
              <w:left w:val="nil"/>
              <w:bottom w:val="nil"/>
              <w:right w:val="nil"/>
            </w:tcBorders>
            <w:shd w:val="clear" w:color="auto" w:fill="auto"/>
            <w:noWrap/>
            <w:vAlign w:val="center"/>
            <w:hideMark/>
          </w:tcPr>
          <w:p w14:paraId="55A9BDDE"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Increase in asset revaluation surplus</w:t>
            </w:r>
          </w:p>
        </w:tc>
        <w:tc>
          <w:tcPr>
            <w:tcW w:w="1418" w:type="dxa"/>
            <w:tcBorders>
              <w:top w:val="nil"/>
              <w:left w:val="nil"/>
              <w:bottom w:val="single" w:sz="4" w:space="0" w:color="auto"/>
              <w:right w:val="nil"/>
            </w:tcBorders>
            <w:shd w:val="clear" w:color="000000" w:fill="C9E3B4"/>
            <w:noWrap/>
            <w:vAlign w:val="center"/>
            <w:hideMark/>
          </w:tcPr>
          <w:p w14:paraId="6BE5DF76"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910 </w:t>
            </w:r>
          </w:p>
        </w:tc>
        <w:tc>
          <w:tcPr>
            <w:tcW w:w="198" w:type="dxa"/>
            <w:tcBorders>
              <w:top w:val="nil"/>
              <w:left w:val="nil"/>
              <w:bottom w:val="single" w:sz="4" w:space="0" w:color="auto"/>
              <w:right w:val="nil"/>
            </w:tcBorders>
            <w:shd w:val="clear" w:color="auto" w:fill="auto"/>
            <w:noWrap/>
            <w:vAlign w:val="center"/>
            <w:hideMark/>
          </w:tcPr>
          <w:p w14:paraId="6CBAAEB2"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50CCD42E"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14,874,801 </w:t>
            </w:r>
          </w:p>
        </w:tc>
        <w:tc>
          <w:tcPr>
            <w:tcW w:w="198" w:type="dxa"/>
            <w:tcBorders>
              <w:top w:val="nil"/>
              <w:left w:val="nil"/>
              <w:bottom w:val="single" w:sz="4" w:space="0" w:color="auto"/>
              <w:right w:val="nil"/>
            </w:tcBorders>
            <w:shd w:val="clear" w:color="auto" w:fill="auto"/>
            <w:noWrap/>
            <w:vAlign w:val="center"/>
            <w:hideMark/>
          </w:tcPr>
          <w:p w14:paraId="5CF4C9BE"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35EC607B"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67,022 </w:t>
            </w:r>
          </w:p>
        </w:tc>
        <w:tc>
          <w:tcPr>
            <w:tcW w:w="198" w:type="dxa"/>
            <w:tcBorders>
              <w:top w:val="nil"/>
              <w:left w:val="nil"/>
              <w:bottom w:val="single" w:sz="4" w:space="0" w:color="auto"/>
              <w:right w:val="nil"/>
            </w:tcBorders>
            <w:shd w:val="clear" w:color="auto" w:fill="auto"/>
            <w:noWrap/>
            <w:vAlign w:val="center"/>
            <w:hideMark/>
          </w:tcPr>
          <w:p w14:paraId="483E1C16"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11C843D3"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2,461 </w:t>
            </w:r>
          </w:p>
        </w:tc>
        <w:tc>
          <w:tcPr>
            <w:tcW w:w="198" w:type="dxa"/>
            <w:tcBorders>
              <w:top w:val="nil"/>
              <w:left w:val="nil"/>
              <w:bottom w:val="single" w:sz="4" w:space="0" w:color="auto"/>
              <w:right w:val="nil"/>
            </w:tcBorders>
            <w:shd w:val="clear" w:color="auto" w:fill="auto"/>
            <w:noWrap/>
            <w:vAlign w:val="center"/>
            <w:hideMark/>
          </w:tcPr>
          <w:p w14:paraId="4ADEA23C"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5A02B48F"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157,869 </w:t>
            </w:r>
          </w:p>
        </w:tc>
        <w:tc>
          <w:tcPr>
            <w:tcW w:w="198" w:type="dxa"/>
            <w:tcBorders>
              <w:top w:val="nil"/>
              <w:left w:val="nil"/>
              <w:bottom w:val="single" w:sz="4" w:space="0" w:color="auto"/>
              <w:right w:val="nil"/>
            </w:tcBorders>
            <w:shd w:val="clear" w:color="auto" w:fill="auto"/>
            <w:noWrap/>
            <w:vAlign w:val="center"/>
            <w:hideMark/>
          </w:tcPr>
          <w:p w14:paraId="34D5A6D8"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036E7E98"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65 </w:t>
            </w:r>
          </w:p>
        </w:tc>
      </w:tr>
      <w:tr w:rsidR="00BC5219" w:rsidRPr="009C55C2" w14:paraId="2100C09A" w14:textId="77777777" w:rsidTr="00E83802">
        <w:trPr>
          <w:trHeight w:val="198"/>
        </w:trPr>
        <w:tc>
          <w:tcPr>
            <w:tcW w:w="4366" w:type="dxa"/>
            <w:gridSpan w:val="2"/>
            <w:tcBorders>
              <w:top w:val="single" w:sz="4" w:space="0" w:color="auto"/>
              <w:left w:val="nil"/>
              <w:bottom w:val="single" w:sz="4" w:space="0" w:color="auto"/>
              <w:right w:val="nil"/>
            </w:tcBorders>
            <w:shd w:val="clear" w:color="auto" w:fill="auto"/>
            <w:noWrap/>
            <w:vAlign w:val="center"/>
            <w:hideMark/>
          </w:tcPr>
          <w:p w14:paraId="0260B92B" w14:textId="77777777" w:rsidR="00BC5219" w:rsidRPr="009C55C2" w:rsidRDefault="00BC5219" w:rsidP="00E83802">
            <w:pPr>
              <w:rPr>
                <w:rFonts w:ascii="Meta Pro" w:eastAsia="Times New Roman" w:hAnsi="Meta Pro"/>
                <w:b/>
                <w:bCs/>
                <w:sz w:val="16"/>
                <w:szCs w:val="16"/>
                <w:lang w:eastAsia="en-AU"/>
              </w:rPr>
            </w:pPr>
            <w:r w:rsidRPr="009C55C2">
              <w:rPr>
                <w:rFonts w:ascii="Meta Pro" w:eastAsia="Times New Roman" w:hAnsi="Meta Pro"/>
                <w:b/>
                <w:bCs/>
                <w:sz w:val="16"/>
                <w:szCs w:val="16"/>
                <w:lang w:eastAsia="en-AU"/>
              </w:rPr>
              <w:t>Total other comprehensive income</w:t>
            </w:r>
          </w:p>
        </w:tc>
        <w:tc>
          <w:tcPr>
            <w:tcW w:w="1418" w:type="dxa"/>
            <w:tcBorders>
              <w:top w:val="nil"/>
              <w:left w:val="nil"/>
              <w:bottom w:val="single" w:sz="4" w:space="0" w:color="auto"/>
              <w:right w:val="nil"/>
            </w:tcBorders>
            <w:shd w:val="clear" w:color="000000" w:fill="C9E3B4"/>
            <w:noWrap/>
            <w:vAlign w:val="center"/>
            <w:hideMark/>
          </w:tcPr>
          <w:p w14:paraId="53AC4E42"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910 </w:t>
            </w:r>
          </w:p>
        </w:tc>
        <w:tc>
          <w:tcPr>
            <w:tcW w:w="198" w:type="dxa"/>
            <w:tcBorders>
              <w:top w:val="nil"/>
              <w:left w:val="nil"/>
              <w:bottom w:val="single" w:sz="4" w:space="0" w:color="auto"/>
              <w:right w:val="nil"/>
            </w:tcBorders>
            <w:shd w:val="clear" w:color="auto" w:fill="auto"/>
            <w:noWrap/>
            <w:vAlign w:val="center"/>
            <w:hideMark/>
          </w:tcPr>
          <w:p w14:paraId="14431731"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6CDD7BC7"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14,874,801 </w:t>
            </w:r>
          </w:p>
        </w:tc>
        <w:tc>
          <w:tcPr>
            <w:tcW w:w="198" w:type="dxa"/>
            <w:tcBorders>
              <w:top w:val="nil"/>
              <w:left w:val="nil"/>
              <w:bottom w:val="single" w:sz="4" w:space="0" w:color="auto"/>
              <w:right w:val="nil"/>
            </w:tcBorders>
            <w:shd w:val="clear" w:color="auto" w:fill="auto"/>
            <w:noWrap/>
            <w:vAlign w:val="center"/>
            <w:hideMark/>
          </w:tcPr>
          <w:p w14:paraId="07E27E5A"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1715FC51"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67,022 </w:t>
            </w:r>
          </w:p>
        </w:tc>
        <w:tc>
          <w:tcPr>
            <w:tcW w:w="198" w:type="dxa"/>
            <w:tcBorders>
              <w:top w:val="nil"/>
              <w:left w:val="nil"/>
              <w:bottom w:val="single" w:sz="4" w:space="0" w:color="auto"/>
              <w:right w:val="nil"/>
            </w:tcBorders>
            <w:shd w:val="clear" w:color="auto" w:fill="auto"/>
            <w:noWrap/>
            <w:vAlign w:val="center"/>
            <w:hideMark/>
          </w:tcPr>
          <w:p w14:paraId="417D7D0D"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06333C75"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2,461 </w:t>
            </w:r>
          </w:p>
        </w:tc>
        <w:tc>
          <w:tcPr>
            <w:tcW w:w="198" w:type="dxa"/>
            <w:tcBorders>
              <w:top w:val="nil"/>
              <w:left w:val="nil"/>
              <w:bottom w:val="single" w:sz="4" w:space="0" w:color="auto"/>
              <w:right w:val="nil"/>
            </w:tcBorders>
            <w:shd w:val="clear" w:color="auto" w:fill="auto"/>
            <w:noWrap/>
            <w:vAlign w:val="center"/>
            <w:hideMark/>
          </w:tcPr>
          <w:p w14:paraId="76A31B15"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6A52F8E0"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157,869 </w:t>
            </w:r>
          </w:p>
        </w:tc>
        <w:tc>
          <w:tcPr>
            <w:tcW w:w="198" w:type="dxa"/>
            <w:tcBorders>
              <w:top w:val="nil"/>
              <w:left w:val="nil"/>
              <w:bottom w:val="single" w:sz="4" w:space="0" w:color="auto"/>
              <w:right w:val="nil"/>
            </w:tcBorders>
            <w:shd w:val="clear" w:color="auto" w:fill="auto"/>
            <w:noWrap/>
            <w:vAlign w:val="center"/>
            <w:hideMark/>
          </w:tcPr>
          <w:p w14:paraId="0C229A25"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26803F15"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65 </w:t>
            </w:r>
          </w:p>
        </w:tc>
      </w:tr>
      <w:tr w:rsidR="00BC5219" w:rsidRPr="009C55C2" w14:paraId="4EC61D17" w14:textId="77777777" w:rsidTr="00E83802">
        <w:trPr>
          <w:trHeight w:val="198"/>
        </w:trPr>
        <w:tc>
          <w:tcPr>
            <w:tcW w:w="215" w:type="dxa"/>
            <w:tcBorders>
              <w:top w:val="nil"/>
              <w:left w:val="nil"/>
              <w:bottom w:val="nil"/>
              <w:right w:val="nil"/>
            </w:tcBorders>
            <w:shd w:val="clear" w:color="auto" w:fill="auto"/>
            <w:noWrap/>
            <w:vAlign w:val="center"/>
            <w:hideMark/>
          </w:tcPr>
          <w:p w14:paraId="34E9A1B9" w14:textId="77777777" w:rsidR="00BC5219" w:rsidRPr="009C55C2" w:rsidRDefault="00BC5219" w:rsidP="00E83802">
            <w:pPr>
              <w:jc w:val="right"/>
              <w:rPr>
                <w:rFonts w:ascii="Meta Pro" w:eastAsia="Times New Roman" w:hAnsi="Meta Pro"/>
                <w:b/>
                <w:bCs/>
                <w:sz w:val="16"/>
                <w:szCs w:val="16"/>
                <w:lang w:eastAsia="en-AU"/>
              </w:rPr>
            </w:pPr>
          </w:p>
        </w:tc>
        <w:tc>
          <w:tcPr>
            <w:tcW w:w="4366" w:type="dxa"/>
            <w:tcBorders>
              <w:top w:val="nil"/>
              <w:left w:val="nil"/>
              <w:bottom w:val="nil"/>
              <w:right w:val="nil"/>
            </w:tcBorders>
            <w:shd w:val="clear" w:color="auto" w:fill="auto"/>
            <w:vAlign w:val="center"/>
            <w:hideMark/>
          </w:tcPr>
          <w:p w14:paraId="01EDFE84" w14:textId="77777777" w:rsidR="00BC5219" w:rsidRPr="009C55C2" w:rsidRDefault="00BC5219" w:rsidP="00E83802">
            <w:pPr>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000000" w:fill="C9E3B4"/>
            <w:noWrap/>
            <w:vAlign w:val="center"/>
            <w:hideMark/>
          </w:tcPr>
          <w:p w14:paraId="2249CC4C"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042F37E3"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nil"/>
              <w:right w:val="nil"/>
            </w:tcBorders>
            <w:shd w:val="clear" w:color="000000" w:fill="C9E3B4"/>
            <w:noWrap/>
            <w:vAlign w:val="center"/>
            <w:hideMark/>
          </w:tcPr>
          <w:p w14:paraId="227FB364"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1811D873"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nil"/>
              <w:right w:val="nil"/>
            </w:tcBorders>
            <w:shd w:val="clear" w:color="000000" w:fill="C9E3B4"/>
            <w:noWrap/>
            <w:vAlign w:val="center"/>
            <w:hideMark/>
          </w:tcPr>
          <w:p w14:paraId="7FA97470"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22E4E387"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nil"/>
              <w:right w:val="nil"/>
            </w:tcBorders>
            <w:shd w:val="clear" w:color="000000" w:fill="C9E3B4"/>
            <w:noWrap/>
            <w:vAlign w:val="center"/>
            <w:hideMark/>
          </w:tcPr>
          <w:p w14:paraId="41F968D1"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1836EB4D"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nil"/>
              <w:right w:val="nil"/>
            </w:tcBorders>
            <w:shd w:val="clear" w:color="000000" w:fill="C9E3B4"/>
            <w:noWrap/>
            <w:vAlign w:val="center"/>
            <w:hideMark/>
          </w:tcPr>
          <w:p w14:paraId="0DEDA67E"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7118E81E"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nil"/>
              <w:right w:val="nil"/>
            </w:tcBorders>
            <w:shd w:val="clear" w:color="000000" w:fill="C9E3B4"/>
            <w:noWrap/>
            <w:vAlign w:val="center"/>
            <w:hideMark/>
          </w:tcPr>
          <w:p w14:paraId="638DB784"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r>
      <w:tr w:rsidR="00BC5219" w:rsidRPr="009C55C2" w14:paraId="7E9886E8" w14:textId="77777777" w:rsidTr="00E83802">
        <w:trPr>
          <w:trHeight w:val="198"/>
        </w:trPr>
        <w:tc>
          <w:tcPr>
            <w:tcW w:w="4366" w:type="dxa"/>
            <w:gridSpan w:val="2"/>
            <w:tcBorders>
              <w:top w:val="nil"/>
              <w:left w:val="nil"/>
              <w:bottom w:val="double" w:sz="6" w:space="0" w:color="auto"/>
              <w:right w:val="nil"/>
            </w:tcBorders>
            <w:shd w:val="clear" w:color="auto" w:fill="auto"/>
            <w:noWrap/>
            <w:vAlign w:val="center"/>
            <w:hideMark/>
          </w:tcPr>
          <w:p w14:paraId="2156E8E7" w14:textId="77777777" w:rsidR="00BC5219" w:rsidRPr="009C55C2" w:rsidRDefault="00BC5219" w:rsidP="00E83802">
            <w:pPr>
              <w:rPr>
                <w:rFonts w:ascii="Meta Pro" w:eastAsia="Times New Roman" w:hAnsi="Meta Pro"/>
                <w:b/>
                <w:bCs/>
                <w:sz w:val="16"/>
                <w:szCs w:val="16"/>
                <w:lang w:eastAsia="en-AU"/>
              </w:rPr>
            </w:pPr>
            <w:r w:rsidRPr="009C55C2">
              <w:rPr>
                <w:rFonts w:ascii="Meta Pro" w:eastAsia="Times New Roman" w:hAnsi="Meta Pro"/>
                <w:b/>
                <w:bCs/>
                <w:sz w:val="16"/>
                <w:szCs w:val="16"/>
                <w:lang w:eastAsia="en-AU"/>
              </w:rPr>
              <w:t>TOTAL COMPREHENSIVE INCOME</w:t>
            </w:r>
          </w:p>
        </w:tc>
        <w:tc>
          <w:tcPr>
            <w:tcW w:w="1418" w:type="dxa"/>
            <w:tcBorders>
              <w:top w:val="nil"/>
              <w:left w:val="nil"/>
              <w:bottom w:val="double" w:sz="6" w:space="0" w:color="auto"/>
              <w:right w:val="nil"/>
            </w:tcBorders>
            <w:shd w:val="clear" w:color="000000" w:fill="C9E3B4"/>
            <w:noWrap/>
            <w:vAlign w:val="center"/>
            <w:hideMark/>
          </w:tcPr>
          <w:p w14:paraId="1E31AED3"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910 </w:t>
            </w:r>
          </w:p>
        </w:tc>
        <w:tc>
          <w:tcPr>
            <w:tcW w:w="198" w:type="dxa"/>
            <w:tcBorders>
              <w:top w:val="nil"/>
              <w:left w:val="nil"/>
              <w:bottom w:val="double" w:sz="6" w:space="0" w:color="auto"/>
              <w:right w:val="nil"/>
            </w:tcBorders>
            <w:shd w:val="clear" w:color="auto" w:fill="auto"/>
            <w:noWrap/>
            <w:vAlign w:val="center"/>
            <w:hideMark/>
          </w:tcPr>
          <w:p w14:paraId="730CA460"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nil"/>
              <w:left w:val="nil"/>
              <w:bottom w:val="double" w:sz="6" w:space="0" w:color="auto"/>
              <w:right w:val="nil"/>
            </w:tcBorders>
            <w:shd w:val="clear" w:color="000000" w:fill="C9E3B4"/>
            <w:noWrap/>
            <w:vAlign w:val="center"/>
            <w:hideMark/>
          </w:tcPr>
          <w:p w14:paraId="470ADAE7"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14,994,795 </w:t>
            </w:r>
          </w:p>
        </w:tc>
        <w:tc>
          <w:tcPr>
            <w:tcW w:w="198" w:type="dxa"/>
            <w:tcBorders>
              <w:top w:val="nil"/>
              <w:left w:val="nil"/>
              <w:bottom w:val="double" w:sz="6" w:space="0" w:color="auto"/>
              <w:right w:val="nil"/>
            </w:tcBorders>
            <w:shd w:val="clear" w:color="auto" w:fill="auto"/>
            <w:noWrap/>
            <w:vAlign w:val="center"/>
            <w:hideMark/>
          </w:tcPr>
          <w:p w14:paraId="067CBCA5"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nil"/>
              <w:left w:val="nil"/>
              <w:bottom w:val="double" w:sz="6" w:space="0" w:color="auto"/>
              <w:right w:val="nil"/>
            </w:tcBorders>
            <w:shd w:val="clear" w:color="000000" w:fill="C9E3B4"/>
            <w:noWrap/>
            <w:vAlign w:val="center"/>
            <w:hideMark/>
          </w:tcPr>
          <w:p w14:paraId="7A5DA88E"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67,022 </w:t>
            </w:r>
          </w:p>
        </w:tc>
        <w:tc>
          <w:tcPr>
            <w:tcW w:w="198" w:type="dxa"/>
            <w:tcBorders>
              <w:top w:val="nil"/>
              <w:left w:val="nil"/>
              <w:bottom w:val="double" w:sz="6" w:space="0" w:color="auto"/>
              <w:right w:val="nil"/>
            </w:tcBorders>
            <w:shd w:val="clear" w:color="auto" w:fill="auto"/>
            <w:noWrap/>
            <w:vAlign w:val="center"/>
            <w:hideMark/>
          </w:tcPr>
          <w:p w14:paraId="76184CA3"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nil"/>
              <w:left w:val="nil"/>
              <w:bottom w:val="double" w:sz="6" w:space="0" w:color="auto"/>
              <w:right w:val="nil"/>
            </w:tcBorders>
            <w:shd w:val="clear" w:color="000000" w:fill="C9E3B4"/>
            <w:noWrap/>
            <w:vAlign w:val="center"/>
            <w:hideMark/>
          </w:tcPr>
          <w:p w14:paraId="1D410F90"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2,461 </w:t>
            </w:r>
          </w:p>
        </w:tc>
        <w:tc>
          <w:tcPr>
            <w:tcW w:w="198" w:type="dxa"/>
            <w:tcBorders>
              <w:top w:val="nil"/>
              <w:left w:val="nil"/>
              <w:bottom w:val="double" w:sz="6" w:space="0" w:color="auto"/>
              <w:right w:val="nil"/>
            </w:tcBorders>
            <w:shd w:val="clear" w:color="auto" w:fill="auto"/>
            <w:noWrap/>
            <w:vAlign w:val="center"/>
            <w:hideMark/>
          </w:tcPr>
          <w:p w14:paraId="63FED503"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nil"/>
              <w:left w:val="nil"/>
              <w:bottom w:val="double" w:sz="6" w:space="0" w:color="auto"/>
              <w:right w:val="nil"/>
            </w:tcBorders>
            <w:shd w:val="clear" w:color="000000" w:fill="C9E3B4"/>
            <w:noWrap/>
            <w:vAlign w:val="center"/>
            <w:hideMark/>
          </w:tcPr>
          <w:p w14:paraId="423EBBCA"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43,467 </w:t>
            </w:r>
          </w:p>
        </w:tc>
        <w:tc>
          <w:tcPr>
            <w:tcW w:w="198" w:type="dxa"/>
            <w:tcBorders>
              <w:top w:val="nil"/>
              <w:left w:val="nil"/>
              <w:bottom w:val="double" w:sz="6" w:space="0" w:color="auto"/>
              <w:right w:val="nil"/>
            </w:tcBorders>
            <w:shd w:val="clear" w:color="auto" w:fill="auto"/>
            <w:noWrap/>
            <w:vAlign w:val="center"/>
            <w:hideMark/>
          </w:tcPr>
          <w:p w14:paraId="7BB71D34"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nil"/>
              <w:left w:val="nil"/>
              <w:bottom w:val="double" w:sz="6" w:space="0" w:color="auto"/>
              <w:right w:val="nil"/>
            </w:tcBorders>
            <w:shd w:val="clear" w:color="000000" w:fill="C9E3B4"/>
            <w:noWrap/>
            <w:vAlign w:val="center"/>
            <w:hideMark/>
          </w:tcPr>
          <w:p w14:paraId="3AE85884"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(1,629)</w:t>
            </w:r>
          </w:p>
        </w:tc>
      </w:tr>
    </w:tbl>
    <w:p w14:paraId="3C7C7302" w14:textId="77777777" w:rsidR="00BC5219" w:rsidRPr="008A2B8F" w:rsidRDefault="00BC5219" w:rsidP="00BC5219">
      <w:pPr>
        <w:spacing w:line="259" w:lineRule="auto"/>
        <w:rPr>
          <w:rFonts w:ascii="Meta Pro" w:hAnsi="Meta Pro" w:cstheme="minorBidi"/>
        </w:rPr>
      </w:pPr>
    </w:p>
    <w:p w14:paraId="0D54EFF7" w14:textId="77777777" w:rsidR="00BC5219" w:rsidRPr="008A2B8F" w:rsidRDefault="00BC5219" w:rsidP="00BC5219">
      <w:pPr>
        <w:spacing w:line="259" w:lineRule="auto"/>
        <w:rPr>
          <w:rFonts w:ascii="Meta Pro" w:hAnsi="Meta Pro"/>
          <w:lang w:eastAsia="en-AU"/>
        </w:rPr>
      </w:pPr>
    </w:p>
    <w:p w14:paraId="0E86A136" w14:textId="77777777" w:rsidR="00BC5219" w:rsidRPr="008A2B8F" w:rsidRDefault="00BC5219" w:rsidP="00BC5219">
      <w:pPr>
        <w:spacing w:line="259" w:lineRule="auto"/>
        <w:rPr>
          <w:rFonts w:ascii="Meta Pro" w:hAnsi="Meta Pro" w:cstheme="minorBidi"/>
        </w:rPr>
      </w:pPr>
    </w:p>
    <w:p w14:paraId="5DE35D39" w14:textId="77777777" w:rsidR="00BC5219" w:rsidRPr="008A2B8F" w:rsidRDefault="00BC5219" w:rsidP="00BC5219">
      <w:pPr>
        <w:spacing w:after="160" w:line="259" w:lineRule="auto"/>
        <w:rPr>
          <w:rFonts w:ascii="Meta Pro" w:hAnsi="Meta Pro" w:cstheme="minorBidi"/>
        </w:rPr>
      </w:pPr>
      <w:r w:rsidRPr="008A2B8F">
        <w:rPr>
          <w:rFonts w:ascii="Meta Pro" w:hAnsi="Meta Pro" w:cstheme="minorBidi"/>
        </w:rPr>
        <w:br w:type="page"/>
      </w:r>
    </w:p>
    <w:p w14:paraId="767C2DEB" w14:textId="77777777" w:rsidR="00BC5219" w:rsidRPr="008A2B8F" w:rsidRDefault="00BC5219" w:rsidP="00BC5219">
      <w:pPr>
        <w:spacing w:line="259" w:lineRule="auto"/>
        <w:rPr>
          <w:rFonts w:ascii="Meta Pro" w:hAnsi="Meta Pro" w:cstheme="minorBidi"/>
          <w:i/>
          <w:iCs/>
        </w:rPr>
      </w:pPr>
      <w:r w:rsidRPr="008A2B8F">
        <w:rPr>
          <w:rFonts w:ascii="Meta Pro" w:hAnsi="Meta Pro" w:cstheme="minorBidi"/>
          <w:i/>
          <w:iCs/>
        </w:rPr>
        <w:lastRenderedPageBreak/>
        <w:t>Department of Transport and Main Roads</w:t>
      </w:r>
    </w:p>
    <w:p w14:paraId="14FA84E3" w14:textId="77777777" w:rsidR="00BC5219" w:rsidRPr="008A2B8F" w:rsidRDefault="00BC5219" w:rsidP="00BC5219">
      <w:pPr>
        <w:pBdr>
          <w:bottom w:val="single" w:sz="4" w:space="1" w:color="auto"/>
        </w:pBdr>
        <w:rPr>
          <w:rFonts w:ascii="Meta Pro" w:hAnsi="Meta Pro" w:cstheme="minorBidi"/>
        </w:rPr>
      </w:pPr>
      <w:r w:rsidRPr="008A2B8F">
        <w:rPr>
          <w:rFonts w:ascii="Meta Pro" w:hAnsi="Meta Pro" w:cstheme="minorBidi"/>
        </w:rPr>
        <w:t>Statement of comprehensive income by major departmental services (continued)</w:t>
      </w:r>
    </w:p>
    <w:p w14:paraId="69C8BD52" w14:textId="77777777" w:rsidR="00BC5219" w:rsidRPr="008A2B8F" w:rsidRDefault="00BC5219" w:rsidP="00BC5219">
      <w:pPr>
        <w:pBdr>
          <w:bottom w:val="single" w:sz="4" w:space="1" w:color="auto"/>
        </w:pBdr>
        <w:rPr>
          <w:rFonts w:ascii="Meta Pro" w:hAnsi="Meta Pro"/>
          <w:lang w:eastAsia="en-AU"/>
        </w:rPr>
      </w:pPr>
      <w:r w:rsidRPr="008A2B8F">
        <w:rPr>
          <w:rFonts w:ascii="Meta Pro" w:hAnsi="Meta Pro" w:cstheme="minorBidi"/>
        </w:rPr>
        <w:t>for the year ended 30 June 2023</w:t>
      </w:r>
    </w:p>
    <w:p w14:paraId="5513F038" w14:textId="77777777" w:rsidR="00BC5219" w:rsidRPr="009C55C2" w:rsidRDefault="00BC5219" w:rsidP="00BC5219">
      <w:pPr>
        <w:spacing w:after="120" w:line="17" w:lineRule="auto"/>
        <w:rPr>
          <w:rFonts w:ascii="Meta Pro" w:hAnsi="Meta Pro" w:cstheme="minorBidi"/>
        </w:rPr>
      </w:pPr>
    </w:p>
    <w:tbl>
      <w:tblPr>
        <w:tblW w:w="0" w:type="auto"/>
        <w:tblCellMar>
          <w:left w:w="0" w:type="dxa"/>
        </w:tblCellMar>
        <w:tblLook w:val="04A0" w:firstRow="1" w:lastRow="0" w:firstColumn="1" w:lastColumn="0" w:noHBand="0" w:noVBand="1"/>
      </w:tblPr>
      <w:tblGrid>
        <w:gridCol w:w="204"/>
        <w:gridCol w:w="4320"/>
        <w:gridCol w:w="1409"/>
        <w:gridCol w:w="205"/>
        <w:gridCol w:w="1409"/>
        <w:gridCol w:w="205"/>
        <w:gridCol w:w="1409"/>
        <w:gridCol w:w="205"/>
        <w:gridCol w:w="1409"/>
        <w:gridCol w:w="205"/>
        <w:gridCol w:w="1409"/>
        <w:gridCol w:w="205"/>
        <w:gridCol w:w="1409"/>
      </w:tblGrid>
      <w:tr w:rsidR="00EC4029" w:rsidRPr="00EC4029" w14:paraId="51DD7424" w14:textId="77777777" w:rsidTr="00E83802">
        <w:trPr>
          <w:trHeight w:val="198"/>
        </w:trPr>
        <w:tc>
          <w:tcPr>
            <w:tcW w:w="4366" w:type="dxa"/>
            <w:gridSpan w:val="2"/>
            <w:tcBorders>
              <w:top w:val="nil"/>
              <w:left w:val="nil"/>
              <w:bottom w:val="nil"/>
              <w:right w:val="nil"/>
            </w:tcBorders>
            <w:shd w:val="clear" w:color="auto" w:fill="auto"/>
            <w:noWrap/>
            <w:vAlign w:val="bottom"/>
            <w:hideMark/>
          </w:tcPr>
          <w:p w14:paraId="78F370BA" w14:textId="77777777" w:rsidR="00BC5219" w:rsidRPr="00EC4029" w:rsidRDefault="00BC5219" w:rsidP="00E83802">
            <w:pPr>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OPERATING RESULT</w:t>
            </w:r>
          </w:p>
        </w:tc>
        <w:tc>
          <w:tcPr>
            <w:tcW w:w="1418" w:type="dxa"/>
            <w:tcBorders>
              <w:top w:val="nil"/>
              <w:left w:val="nil"/>
              <w:bottom w:val="nil"/>
              <w:right w:val="nil"/>
            </w:tcBorders>
            <w:shd w:val="clear" w:color="auto" w:fill="auto"/>
            <w:hideMark/>
          </w:tcPr>
          <w:p w14:paraId="2E388E5A" w14:textId="77777777" w:rsidR="00BC5219" w:rsidRPr="00EC4029" w:rsidRDefault="00BC5219" w:rsidP="00E83802">
            <w:pPr>
              <w:jc w:val="center"/>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Customer and Digital Group</w:t>
            </w:r>
          </w:p>
        </w:tc>
        <w:tc>
          <w:tcPr>
            <w:tcW w:w="198" w:type="dxa"/>
            <w:tcBorders>
              <w:top w:val="nil"/>
              <w:left w:val="nil"/>
              <w:bottom w:val="nil"/>
              <w:right w:val="nil"/>
            </w:tcBorders>
            <w:shd w:val="clear" w:color="auto" w:fill="auto"/>
            <w:hideMark/>
          </w:tcPr>
          <w:p w14:paraId="4AB9D30F" w14:textId="77777777" w:rsidR="00BC5219" w:rsidRPr="00EC4029" w:rsidRDefault="00BC5219" w:rsidP="00E83802">
            <w:pPr>
              <w:jc w:val="center"/>
              <w:rPr>
                <w:rFonts w:ascii="Meta Pro" w:eastAsia="Times New Roman" w:hAnsi="Meta Pro"/>
                <w:b/>
                <w:bCs/>
                <w:color w:val="000000" w:themeColor="text1"/>
                <w:sz w:val="16"/>
                <w:szCs w:val="16"/>
                <w:lang w:eastAsia="en-AU"/>
              </w:rPr>
            </w:pPr>
          </w:p>
        </w:tc>
        <w:tc>
          <w:tcPr>
            <w:tcW w:w="1418" w:type="dxa"/>
            <w:tcBorders>
              <w:top w:val="nil"/>
              <w:left w:val="nil"/>
              <w:bottom w:val="nil"/>
              <w:right w:val="nil"/>
            </w:tcBorders>
            <w:shd w:val="clear" w:color="auto" w:fill="auto"/>
            <w:hideMark/>
          </w:tcPr>
          <w:p w14:paraId="55E2C169" w14:textId="77777777" w:rsidR="00BC5219" w:rsidRPr="00EC4029" w:rsidRDefault="00BC5219" w:rsidP="00E83802">
            <w:pPr>
              <w:jc w:val="center"/>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CITEC</w:t>
            </w:r>
          </w:p>
        </w:tc>
        <w:tc>
          <w:tcPr>
            <w:tcW w:w="198" w:type="dxa"/>
            <w:tcBorders>
              <w:top w:val="nil"/>
              <w:left w:val="nil"/>
              <w:bottom w:val="nil"/>
              <w:right w:val="nil"/>
            </w:tcBorders>
            <w:shd w:val="clear" w:color="auto" w:fill="auto"/>
            <w:hideMark/>
          </w:tcPr>
          <w:p w14:paraId="7722C69D" w14:textId="77777777" w:rsidR="00BC5219" w:rsidRPr="00EC4029" w:rsidRDefault="00BC5219" w:rsidP="00E83802">
            <w:pPr>
              <w:jc w:val="center"/>
              <w:rPr>
                <w:rFonts w:ascii="Meta Pro" w:eastAsia="Times New Roman" w:hAnsi="Meta Pro"/>
                <w:b/>
                <w:bCs/>
                <w:color w:val="000000" w:themeColor="text1"/>
                <w:sz w:val="16"/>
                <w:szCs w:val="16"/>
                <w:lang w:eastAsia="en-AU"/>
              </w:rPr>
            </w:pPr>
          </w:p>
        </w:tc>
        <w:tc>
          <w:tcPr>
            <w:tcW w:w="1418" w:type="dxa"/>
            <w:tcBorders>
              <w:top w:val="nil"/>
              <w:left w:val="nil"/>
              <w:bottom w:val="nil"/>
              <w:right w:val="nil"/>
            </w:tcBorders>
            <w:shd w:val="clear" w:color="auto" w:fill="auto"/>
            <w:hideMark/>
          </w:tcPr>
          <w:p w14:paraId="0C2A5D57" w14:textId="77777777" w:rsidR="00BC5219" w:rsidRPr="00EC4029" w:rsidRDefault="00BC5219" w:rsidP="00E83802">
            <w:pPr>
              <w:jc w:val="center"/>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Queensland Shared Services </w:t>
            </w:r>
          </w:p>
        </w:tc>
        <w:tc>
          <w:tcPr>
            <w:tcW w:w="198" w:type="dxa"/>
            <w:tcBorders>
              <w:top w:val="nil"/>
              <w:left w:val="nil"/>
              <w:bottom w:val="nil"/>
              <w:right w:val="nil"/>
            </w:tcBorders>
            <w:shd w:val="clear" w:color="auto" w:fill="auto"/>
            <w:hideMark/>
          </w:tcPr>
          <w:p w14:paraId="504B8016" w14:textId="77777777" w:rsidR="00BC5219" w:rsidRPr="00EC4029" w:rsidRDefault="00BC5219" w:rsidP="00E83802">
            <w:pPr>
              <w:jc w:val="center"/>
              <w:rPr>
                <w:rFonts w:ascii="Meta Pro" w:eastAsia="Times New Roman" w:hAnsi="Meta Pro"/>
                <w:b/>
                <w:bCs/>
                <w:color w:val="000000" w:themeColor="text1"/>
                <w:sz w:val="16"/>
                <w:szCs w:val="16"/>
                <w:lang w:eastAsia="en-AU"/>
              </w:rPr>
            </w:pPr>
          </w:p>
        </w:tc>
        <w:tc>
          <w:tcPr>
            <w:tcW w:w="1418" w:type="dxa"/>
            <w:tcBorders>
              <w:top w:val="nil"/>
              <w:left w:val="nil"/>
              <w:bottom w:val="nil"/>
              <w:right w:val="nil"/>
            </w:tcBorders>
            <w:shd w:val="clear" w:color="auto" w:fill="auto"/>
            <w:hideMark/>
          </w:tcPr>
          <w:p w14:paraId="7B7DAFA5" w14:textId="77777777" w:rsidR="00BC5219" w:rsidRPr="00EC4029" w:rsidRDefault="00BC5219" w:rsidP="00E83802">
            <w:pPr>
              <w:jc w:val="center"/>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Corporate Administration Agency </w:t>
            </w:r>
          </w:p>
        </w:tc>
        <w:tc>
          <w:tcPr>
            <w:tcW w:w="198" w:type="dxa"/>
            <w:tcBorders>
              <w:top w:val="nil"/>
              <w:left w:val="nil"/>
              <w:bottom w:val="nil"/>
              <w:right w:val="nil"/>
            </w:tcBorders>
            <w:shd w:val="clear" w:color="auto" w:fill="auto"/>
            <w:hideMark/>
          </w:tcPr>
          <w:p w14:paraId="1FC83D1D" w14:textId="77777777" w:rsidR="00BC5219" w:rsidRPr="00EC4029" w:rsidRDefault="00BC5219" w:rsidP="00E83802">
            <w:pPr>
              <w:jc w:val="center"/>
              <w:rPr>
                <w:rFonts w:ascii="Meta Pro" w:eastAsia="Times New Roman" w:hAnsi="Meta Pro"/>
                <w:b/>
                <w:bCs/>
                <w:color w:val="000000" w:themeColor="text1"/>
                <w:sz w:val="16"/>
                <w:szCs w:val="16"/>
                <w:lang w:eastAsia="en-AU"/>
              </w:rPr>
            </w:pPr>
          </w:p>
        </w:tc>
        <w:tc>
          <w:tcPr>
            <w:tcW w:w="1418" w:type="dxa"/>
            <w:tcBorders>
              <w:top w:val="nil"/>
              <w:left w:val="nil"/>
              <w:bottom w:val="nil"/>
              <w:right w:val="nil"/>
            </w:tcBorders>
            <w:shd w:val="clear" w:color="auto" w:fill="auto"/>
            <w:hideMark/>
          </w:tcPr>
          <w:p w14:paraId="5FDD31DD" w14:textId="77777777" w:rsidR="00BC5219" w:rsidRPr="00EC4029" w:rsidRDefault="00BC5219" w:rsidP="00E83802">
            <w:pPr>
              <w:jc w:val="center"/>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Inter-service/unit</w:t>
            </w:r>
            <w:r w:rsidRPr="00EC4029">
              <w:rPr>
                <w:rFonts w:ascii="Meta Pro" w:eastAsia="Times New Roman" w:hAnsi="Meta Pro"/>
                <w:b/>
                <w:bCs/>
                <w:color w:val="000000" w:themeColor="text1"/>
                <w:sz w:val="16"/>
                <w:szCs w:val="16"/>
                <w:lang w:eastAsia="en-AU"/>
              </w:rPr>
              <w:br/>
              <w:t xml:space="preserve">eliminations </w:t>
            </w:r>
          </w:p>
        </w:tc>
        <w:tc>
          <w:tcPr>
            <w:tcW w:w="198" w:type="dxa"/>
            <w:tcBorders>
              <w:top w:val="nil"/>
              <w:left w:val="nil"/>
              <w:bottom w:val="nil"/>
              <w:right w:val="nil"/>
            </w:tcBorders>
            <w:shd w:val="clear" w:color="auto" w:fill="auto"/>
            <w:noWrap/>
            <w:hideMark/>
          </w:tcPr>
          <w:p w14:paraId="43CECB32" w14:textId="77777777" w:rsidR="00BC5219" w:rsidRPr="00EC4029" w:rsidRDefault="00BC5219" w:rsidP="00E83802">
            <w:pPr>
              <w:jc w:val="center"/>
              <w:rPr>
                <w:rFonts w:ascii="Meta Pro" w:eastAsia="Times New Roman" w:hAnsi="Meta Pro"/>
                <w:b/>
                <w:bCs/>
                <w:color w:val="000000" w:themeColor="text1"/>
                <w:sz w:val="16"/>
                <w:szCs w:val="16"/>
                <w:lang w:eastAsia="en-AU"/>
              </w:rPr>
            </w:pPr>
          </w:p>
        </w:tc>
        <w:tc>
          <w:tcPr>
            <w:tcW w:w="1418" w:type="dxa"/>
            <w:tcBorders>
              <w:top w:val="nil"/>
              <w:left w:val="nil"/>
              <w:bottom w:val="nil"/>
              <w:right w:val="nil"/>
            </w:tcBorders>
            <w:shd w:val="clear" w:color="auto" w:fill="auto"/>
            <w:hideMark/>
          </w:tcPr>
          <w:p w14:paraId="6F5603D2" w14:textId="77777777" w:rsidR="00BC5219" w:rsidRPr="00EC4029" w:rsidRDefault="00BC5219" w:rsidP="00E83802">
            <w:pPr>
              <w:jc w:val="center"/>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Total    </w:t>
            </w:r>
            <w:r w:rsidRPr="00EC4029">
              <w:rPr>
                <w:rFonts w:ascii="Meta Pro" w:eastAsia="Times New Roman" w:hAnsi="Meta Pro"/>
                <w:b/>
                <w:bCs/>
                <w:color w:val="000000" w:themeColor="text1"/>
                <w:sz w:val="16"/>
                <w:szCs w:val="16"/>
                <w:lang w:eastAsia="en-AU"/>
              </w:rPr>
              <w:br/>
              <w:t>Department</w:t>
            </w:r>
          </w:p>
        </w:tc>
      </w:tr>
      <w:tr w:rsidR="00EC4029" w:rsidRPr="00EC4029" w14:paraId="093ED350" w14:textId="77777777" w:rsidTr="00E83802">
        <w:trPr>
          <w:trHeight w:hRule="exact" w:val="40"/>
        </w:trPr>
        <w:tc>
          <w:tcPr>
            <w:tcW w:w="198" w:type="dxa"/>
            <w:tcBorders>
              <w:top w:val="nil"/>
              <w:left w:val="nil"/>
              <w:bottom w:val="nil"/>
              <w:right w:val="nil"/>
            </w:tcBorders>
            <w:shd w:val="clear" w:color="auto" w:fill="auto"/>
            <w:noWrap/>
            <w:vAlign w:val="center"/>
            <w:hideMark/>
          </w:tcPr>
          <w:p w14:paraId="37BD75CD" w14:textId="77777777" w:rsidR="00BC5219" w:rsidRPr="00EC4029" w:rsidRDefault="00BC5219" w:rsidP="00E83802">
            <w:pPr>
              <w:jc w:val="center"/>
              <w:rPr>
                <w:rFonts w:ascii="Meta Pro" w:eastAsia="Times New Roman" w:hAnsi="Meta Pro"/>
                <w:b/>
                <w:bCs/>
                <w:color w:val="000000" w:themeColor="text1"/>
                <w:sz w:val="16"/>
                <w:szCs w:val="16"/>
                <w:lang w:eastAsia="en-AU"/>
              </w:rPr>
            </w:pPr>
          </w:p>
        </w:tc>
        <w:tc>
          <w:tcPr>
            <w:tcW w:w="4366" w:type="dxa"/>
            <w:tcBorders>
              <w:top w:val="nil"/>
              <w:left w:val="nil"/>
              <w:bottom w:val="nil"/>
              <w:right w:val="nil"/>
            </w:tcBorders>
            <w:shd w:val="clear" w:color="auto" w:fill="auto"/>
            <w:noWrap/>
            <w:vAlign w:val="center"/>
            <w:hideMark/>
          </w:tcPr>
          <w:p w14:paraId="7A5D0273" w14:textId="77777777" w:rsidR="00BC5219" w:rsidRPr="00EC4029" w:rsidRDefault="00BC5219" w:rsidP="00E83802">
            <w:pPr>
              <w:rPr>
                <w:rFonts w:ascii="Meta Pro" w:eastAsia="Times New Roman" w:hAnsi="Meta Pro" w:cs="Times New Roman"/>
                <w:color w:val="000000" w:themeColor="text1"/>
                <w:sz w:val="20"/>
                <w:szCs w:val="20"/>
                <w:lang w:eastAsia="en-AU"/>
              </w:rPr>
            </w:pPr>
          </w:p>
        </w:tc>
        <w:tc>
          <w:tcPr>
            <w:tcW w:w="1418" w:type="dxa"/>
            <w:tcBorders>
              <w:top w:val="nil"/>
              <w:left w:val="nil"/>
              <w:bottom w:val="nil"/>
              <w:right w:val="nil"/>
            </w:tcBorders>
            <w:shd w:val="clear" w:color="auto" w:fill="auto"/>
            <w:hideMark/>
          </w:tcPr>
          <w:p w14:paraId="5D33F2D5" w14:textId="77777777" w:rsidR="00BC5219" w:rsidRPr="00EC4029" w:rsidRDefault="00BC5219" w:rsidP="00E83802">
            <w:pPr>
              <w:rPr>
                <w:rFonts w:ascii="Meta Pro" w:eastAsia="Times New Roman" w:hAnsi="Meta Pro" w:cs="Times New Roman"/>
                <w:color w:val="000000" w:themeColor="text1"/>
                <w:sz w:val="20"/>
                <w:szCs w:val="20"/>
                <w:lang w:eastAsia="en-AU"/>
              </w:rPr>
            </w:pPr>
          </w:p>
        </w:tc>
        <w:tc>
          <w:tcPr>
            <w:tcW w:w="198" w:type="dxa"/>
            <w:tcBorders>
              <w:top w:val="nil"/>
              <w:left w:val="nil"/>
              <w:bottom w:val="nil"/>
              <w:right w:val="nil"/>
            </w:tcBorders>
            <w:shd w:val="clear" w:color="auto" w:fill="auto"/>
            <w:hideMark/>
          </w:tcPr>
          <w:p w14:paraId="2CF7B55D" w14:textId="77777777" w:rsidR="00BC5219" w:rsidRPr="00EC4029" w:rsidRDefault="00BC5219" w:rsidP="00E83802">
            <w:pPr>
              <w:jc w:val="center"/>
              <w:rPr>
                <w:rFonts w:ascii="Meta Pro" w:eastAsia="Times New Roman" w:hAnsi="Meta Pro" w:cs="Times New Roman"/>
                <w:color w:val="000000" w:themeColor="text1"/>
                <w:sz w:val="20"/>
                <w:szCs w:val="20"/>
                <w:lang w:eastAsia="en-AU"/>
              </w:rPr>
            </w:pPr>
          </w:p>
        </w:tc>
        <w:tc>
          <w:tcPr>
            <w:tcW w:w="1418" w:type="dxa"/>
            <w:tcBorders>
              <w:top w:val="nil"/>
              <w:left w:val="nil"/>
              <w:bottom w:val="nil"/>
              <w:right w:val="nil"/>
            </w:tcBorders>
            <w:shd w:val="clear" w:color="auto" w:fill="auto"/>
            <w:hideMark/>
          </w:tcPr>
          <w:p w14:paraId="35F57E69" w14:textId="77777777" w:rsidR="00BC5219" w:rsidRPr="00EC4029" w:rsidRDefault="00BC5219" w:rsidP="00E83802">
            <w:pPr>
              <w:jc w:val="center"/>
              <w:rPr>
                <w:rFonts w:ascii="Meta Pro" w:eastAsia="Times New Roman" w:hAnsi="Meta Pro" w:cs="Times New Roman"/>
                <w:color w:val="000000" w:themeColor="text1"/>
                <w:sz w:val="20"/>
                <w:szCs w:val="20"/>
                <w:lang w:eastAsia="en-AU"/>
              </w:rPr>
            </w:pPr>
          </w:p>
        </w:tc>
        <w:tc>
          <w:tcPr>
            <w:tcW w:w="198" w:type="dxa"/>
            <w:tcBorders>
              <w:top w:val="nil"/>
              <w:left w:val="nil"/>
              <w:bottom w:val="nil"/>
              <w:right w:val="nil"/>
            </w:tcBorders>
            <w:shd w:val="clear" w:color="auto" w:fill="auto"/>
            <w:hideMark/>
          </w:tcPr>
          <w:p w14:paraId="25FF62E1" w14:textId="77777777" w:rsidR="00BC5219" w:rsidRPr="00EC4029" w:rsidRDefault="00BC5219" w:rsidP="00E83802">
            <w:pPr>
              <w:jc w:val="center"/>
              <w:rPr>
                <w:rFonts w:ascii="Meta Pro" w:eastAsia="Times New Roman" w:hAnsi="Meta Pro" w:cs="Times New Roman"/>
                <w:color w:val="000000" w:themeColor="text1"/>
                <w:sz w:val="20"/>
                <w:szCs w:val="20"/>
                <w:lang w:eastAsia="en-AU"/>
              </w:rPr>
            </w:pPr>
          </w:p>
        </w:tc>
        <w:tc>
          <w:tcPr>
            <w:tcW w:w="1418" w:type="dxa"/>
            <w:tcBorders>
              <w:top w:val="nil"/>
              <w:left w:val="nil"/>
              <w:bottom w:val="nil"/>
              <w:right w:val="nil"/>
            </w:tcBorders>
            <w:shd w:val="clear" w:color="auto" w:fill="auto"/>
            <w:hideMark/>
          </w:tcPr>
          <w:p w14:paraId="51811852" w14:textId="77777777" w:rsidR="00BC5219" w:rsidRPr="00EC4029" w:rsidRDefault="00BC5219" w:rsidP="00E83802">
            <w:pPr>
              <w:jc w:val="center"/>
              <w:rPr>
                <w:rFonts w:ascii="Meta Pro" w:eastAsia="Times New Roman" w:hAnsi="Meta Pro" w:cs="Times New Roman"/>
                <w:color w:val="000000" w:themeColor="text1"/>
                <w:sz w:val="20"/>
                <w:szCs w:val="20"/>
                <w:lang w:eastAsia="en-AU"/>
              </w:rPr>
            </w:pPr>
          </w:p>
        </w:tc>
        <w:tc>
          <w:tcPr>
            <w:tcW w:w="198" w:type="dxa"/>
            <w:tcBorders>
              <w:top w:val="nil"/>
              <w:left w:val="nil"/>
              <w:bottom w:val="nil"/>
              <w:right w:val="nil"/>
            </w:tcBorders>
            <w:shd w:val="clear" w:color="auto" w:fill="auto"/>
            <w:hideMark/>
          </w:tcPr>
          <w:p w14:paraId="608EDFAC" w14:textId="77777777" w:rsidR="00BC5219" w:rsidRPr="00EC4029" w:rsidRDefault="00BC5219" w:rsidP="00E83802">
            <w:pPr>
              <w:jc w:val="center"/>
              <w:rPr>
                <w:rFonts w:ascii="Meta Pro" w:eastAsia="Times New Roman" w:hAnsi="Meta Pro" w:cs="Times New Roman"/>
                <w:color w:val="000000" w:themeColor="text1"/>
                <w:sz w:val="20"/>
                <w:szCs w:val="20"/>
                <w:lang w:eastAsia="en-AU"/>
              </w:rPr>
            </w:pPr>
          </w:p>
        </w:tc>
        <w:tc>
          <w:tcPr>
            <w:tcW w:w="1418" w:type="dxa"/>
            <w:tcBorders>
              <w:top w:val="nil"/>
              <w:left w:val="nil"/>
              <w:bottom w:val="nil"/>
              <w:right w:val="nil"/>
            </w:tcBorders>
            <w:shd w:val="clear" w:color="auto" w:fill="auto"/>
            <w:hideMark/>
          </w:tcPr>
          <w:p w14:paraId="6427BA2D" w14:textId="77777777" w:rsidR="00BC5219" w:rsidRPr="00EC4029" w:rsidRDefault="00BC5219" w:rsidP="00E83802">
            <w:pPr>
              <w:jc w:val="center"/>
              <w:rPr>
                <w:rFonts w:ascii="Meta Pro" w:eastAsia="Times New Roman" w:hAnsi="Meta Pro" w:cs="Times New Roman"/>
                <w:color w:val="000000" w:themeColor="text1"/>
                <w:sz w:val="20"/>
                <w:szCs w:val="20"/>
                <w:lang w:eastAsia="en-AU"/>
              </w:rPr>
            </w:pPr>
          </w:p>
        </w:tc>
        <w:tc>
          <w:tcPr>
            <w:tcW w:w="198" w:type="dxa"/>
            <w:tcBorders>
              <w:top w:val="nil"/>
              <w:left w:val="nil"/>
              <w:bottom w:val="nil"/>
              <w:right w:val="nil"/>
            </w:tcBorders>
            <w:shd w:val="clear" w:color="auto" w:fill="auto"/>
            <w:hideMark/>
          </w:tcPr>
          <w:p w14:paraId="631E3161" w14:textId="77777777" w:rsidR="00BC5219" w:rsidRPr="00EC4029" w:rsidRDefault="00BC5219" w:rsidP="00E83802">
            <w:pPr>
              <w:jc w:val="center"/>
              <w:rPr>
                <w:rFonts w:ascii="Meta Pro" w:eastAsia="Times New Roman" w:hAnsi="Meta Pro" w:cs="Times New Roman"/>
                <w:color w:val="000000" w:themeColor="text1"/>
                <w:sz w:val="20"/>
                <w:szCs w:val="20"/>
                <w:lang w:eastAsia="en-AU"/>
              </w:rPr>
            </w:pPr>
          </w:p>
        </w:tc>
        <w:tc>
          <w:tcPr>
            <w:tcW w:w="1418" w:type="dxa"/>
            <w:tcBorders>
              <w:top w:val="nil"/>
              <w:left w:val="nil"/>
              <w:bottom w:val="nil"/>
              <w:right w:val="nil"/>
            </w:tcBorders>
            <w:shd w:val="clear" w:color="auto" w:fill="auto"/>
            <w:hideMark/>
          </w:tcPr>
          <w:p w14:paraId="185938B2" w14:textId="77777777" w:rsidR="00BC5219" w:rsidRPr="00EC4029" w:rsidRDefault="00BC5219" w:rsidP="00E83802">
            <w:pPr>
              <w:jc w:val="center"/>
              <w:rPr>
                <w:rFonts w:ascii="Meta Pro" w:eastAsia="Times New Roman" w:hAnsi="Meta Pro" w:cs="Times New Roman"/>
                <w:color w:val="000000" w:themeColor="text1"/>
                <w:sz w:val="20"/>
                <w:szCs w:val="20"/>
                <w:lang w:eastAsia="en-AU"/>
              </w:rPr>
            </w:pPr>
          </w:p>
        </w:tc>
        <w:tc>
          <w:tcPr>
            <w:tcW w:w="198" w:type="dxa"/>
            <w:tcBorders>
              <w:top w:val="nil"/>
              <w:left w:val="nil"/>
              <w:bottom w:val="nil"/>
              <w:right w:val="nil"/>
            </w:tcBorders>
            <w:shd w:val="clear" w:color="auto" w:fill="auto"/>
            <w:hideMark/>
          </w:tcPr>
          <w:p w14:paraId="31E0D211" w14:textId="77777777" w:rsidR="00BC5219" w:rsidRPr="00EC4029" w:rsidRDefault="00BC5219" w:rsidP="00E83802">
            <w:pPr>
              <w:jc w:val="center"/>
              <w:rPr>
                <w:rFonts w:ascii="Meta Pro" w:eastAsia="Times New Roman" w:hAnsi="Meta Pro" w:cs="Times New Roman"/>
                <w:color w:val="000000" w:themeColor="text1"/>
                <w:sz w:val="20"/>
                <w:szCs w:val="20"/>
                <w:lang w:eastAsia="en-AU"/>
              </w:rPr>
            </w:pPr>
          </w:p>
        </w:tc>
        <w:tc>
          <w:tcPr>
            <w:tcW w:w="1418" w:type="dxa"/>
            <w:tcBorders>
              <w:top w:val="nil"/>
              <w:left w:val="nil"/>
              <w:bottom w:val="nil"/>
              <w:right w:val="nil"/>
            </w:tcBorders>
            <w:shd w:val="clear" w:color="auto" w:fill="auto"/>
            <w:hideMark/>
          </w:tcPr>
          <w:p w14:paraId="18E7A202" w14:textId="77777777" w:rsidR="00BC5219" w:rsidRPr="00EC4029" w:rsidRDefault="00BC5219" w:rsidP="00E83802">
            <w:pPr>
              <w:jc w:val="center"/>
              <w:rPr>
                <w:rFonts w:ascii="Meta Pro" w:eastAsia="Times New Roman" w:hAnsi="Meta Pro" w:cs="Times New Roman"/>
                <w:color w:val="000000" w:themeColor="text1"/>
                <w:sz w:val="20"/>
                <w:szCs w:val="20"/>
                <w:lang w:eastAsia="en-AU"/>
              </w:rPr>
            </w:pPr>
          </w:p>
        </w:tc>
      </w:tr>
      <w:tr w:rsidR="00EC4029" w:rsidRPr="00EC4029" w14:paraId="6D702A9D" w14:textId="77777777" w:rsidTr="00E83802">
        <w:trPr>
          <w:trHeight w:hRule="exact" w:val="198"/>
        </w:trPr>
        <w:tc>
          <w:tcPr>
            <w:tcW w:w="198" w:type="dxa"/>
            <w:tcBorders>
              <w:top w:val="nil"/>
              <w:left w:val="nil"/>
              <w:bottom w:val="nil"/>
              <w:right w:val="nil"/>
            </w:tcBorders>
            <w:shd w:val="clear" w:color="auto" w:fill="auto"/>
            <w:noWrap/>
            <w:vAlign w:val="center"/>
            <w:hideMark/>
          </w:tcPr>
          <w:p w14:paraId="4A3D5A76" w14:textId="77777777" w:rsidR="00BC5219" w:rsidRPr="00EC4029" w:rsidRDefault="00BC5219" w:rsidP="00E83802">
            <w:pPr>
              <w:jc w:val="center"/>
              <w:rPr>
                <w:rFonts w:ascii="Meta Pro" w:eastAsia="Times New Roman" w:hAnsi="Meta Pro" w:cs="Times New Roman"/>
                <w:color w:val="000000" w:themeColor="text1"/>
                <w:sz w:val="20"/>
                <w:szCs w:val="20"/>
                <w:lang w:eastAsia="en-AU"/>
              </w:rPr>
            </w:pPr>
          </w:p>
        </w:tc>
        <w:tc>
          <w:tcPr>
            <w:tcW w:w="4366" w:type="dxa"/>
            <w:tcBorders>
              <w:top w:val="nil"/>
              <w:left w:val="nil"/>
              <w:bottom w:val="nil"/>
              <w:right w:val="nil"/>
            </w:tcBorders>
            <w:shd w:val="clear" w:color="auto" w:fill="auto"/>
            <w:noWrap/>
            <w:vAlign w:val="center"/>
            <w:hideMark/>
          </w:tcPr>
          <w:p w14:paraId="2EC435C3" w14:textId="77777777" w:rsidR="00BC5219" w:rsidRPr="00EC4029" w:rsidRDefault="00BC5219" w:rsidP="00E83802">
            <w:pPr>
              <w:rPr>
                <w:rFonts w:ascii="Meta Pro" w:eastAsia="Times New Roman" w:hAnsi="Meta Pro" w:cs="Times New Roman"/>
                <w:color w:val="000000" w:themeColor="text1"/>
                <w:sz w:val="20"/>
                <w:szCs w:val="20"/>
                <w:lang w:eastAsia="en-AU"/>
              </w:rPr>
            </w:pPr>
          </w:p>
        </w:tc>
        <w:tc>
          <w:tcPr>
            <w:tcW w:w="1418" w:type="dxa"/>
            <w:tcBorders>
              <w:top w:val="nil"/>
              <w:left w:val="nil"/>
              <w:bottom w:val="nil"/>
              <w:right w:val="nil"/>
            </w:tcBorders>
            <w:shd w:val="clear" w:color="auto" w:fill="auto"/>
            <w:noWrap/>
            <w:vAlign w:val="center"/>
            <w:hideMark/>
          </w:tcPr>
          <w:p w14:paraId="384F4BF6" w14:textId="77777777" w:rsidR="00BC5219" w:rsidRPr="00EC4029" w:rsidRDefault="00BC5219" w:rsidP="00E83802">
            <w:pPr>
              <w:jc w:val="center"/>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2023</w:t>
            </w:r>
          </w:p>
        </w:tc>
        <w:tc>
          <w:tcPr>
            <w:tcW w:w="198" w:type="dxa"/>
            <w:tcBorders>
              <w:top w:val="nil"/>
              <w:left w:val="nil"/>
              <w:bottom w:val="nil"/>
              <w:right w:val="nil"/>
            </w:tcBorders>
            <w:shd w:val="clear" w:color="auto" w:fill="auto"/>
            <w:noWrap/>
            <w:vAlign w:val="center"/>
            <w:hideMark/>
          </w:tcPr>
          <w:p w14:paraId="5521F934" w14:textId="77777777" w:rsidR="00BC5219" w:rsidRPr="00EC4029" w:rsidRDefault="00BC5219" w:rsidP="00E83802">
            <w:pPr>
              <w:jc w:val="center"/>
              <w:rPr>
                <w:rFonts w:ascii="Meta Pro" w:eastAsia="Times New Roman" w:hAnsi="Meta Pro"/>
                <w:b/>
                <w:bCs/>
                <w:color w:val="000000" w:themeColor="text1"/>
                <w:sz w:val="16"/>
                <w:szCs w:val="16"/>
                <w:lang w:eastAsia="en-AU"/>
              </w:rPr>
            </w:pPr>
          </w:p>
        </w:tc>
        <w:tc>
          <w:tcPr>
            <w:tcW w:w="1418" w:type="dxa"/>
            <w:tcBorders>
              <w:top w:val="nil"/>
              <w:left w:val="nil"/>
              <w:bottom w:val="nil"/>
              <w:right w:val="nil"/>
            </w:tcBorders>
            <w:shd w:val="clear" w:color="auto" w:fill="auto"/>
            <w:noWrap/>
            <w:vAlign w:val="center"/>
            <w:hideMark/>
          </w:tcPr>
          <w:p w14:paraId="13621BC1" w14:textId="77777777" w:rsidR="00BC5219" w:rsidRPr="00EC4029" w:rsidRDefault="00BC5219" w:rsidP="00E83802">
            <w:pPr>
              <w:jc w:val="center"/>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2023</w:t>
            </w:r>
          </w:p>
        </w:tc>
        <w:tc>
          <w:tcPr>
            <w:tcW w:w="198" w:type="dxa"/>
            <w:tcBorders>
              <w:top w:val="nil"/>
              <w:left w:val="nil"/>
              <w:bottom w:val="nil"/>
              <w:right w:val="nil"/>
            </w:tcBorders>
            <w:shd w:val="clear" w:color="auto" w:fill="auto"/>
            <w:noWrap/>
            <w:vAlign w:val="center"/>
            <w:hideMark/>
          </w:tcPr>
          <w:p w14:paraId="35CF891D" w14:textId="77777777" w:rsidR="00BC5219" w:rsidRPr="00EC4029" w:rsidRDefault="00BC5219" w:rsidP="00E83802">
            <w:pPr>
              <w:jc w:val="center"/>
              <w:rPr>
                <w:rFonts w:ascii="Meta Pro" w:eastAsia="Times New Roman" w:hAnsi="Meta Pro"/>
                <w:b/>
                <w:bCs/>
                <w:color w:val="000000" w:themeColor="text1"/>
                <w:sz w:val="16"/>
                <w:szCs w:val="16"/>
                <w:lang w:eastAsia="en-AU"/>
              </w:rPr>
            </w:pPr>
          </w:p>
        </w:tc>
        <w:tc>
          <w:tcPr>
            <w:tcW w:w="1418" w:type="dxa"/>
            <w:tcBorders>
              <w:top w:val="nil"/>
              <w:left w:val="nil"/>
              <w:bottom w:val="nil"/>
              <w:right w:val="nil"/>
            </w:tcBorders>
            <w:shd w:val="clear" w:color="auto" w:fill="auto"/>
            <w:noWrap/>
            <w:vAlign w:val="center"/>
            <w:hideMark/>
          </w:tcPr>
          <w:p w14:paraId="75CBFABE" w14:textId="77777777" w:rsidR="00BC5219" w:rsidRPr="00EC4029" w:rsidRDefault="00BC5219" w:rsidP="00E83802">
            <w:pPr>
              <w:jc w:val="center"/>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2023</w:t>
            </w:r>
          </w:p>
        </w:tc>
        <w:tc>
          <w:tcPr>
            <w:tcW w:w="198" w:type="dxa"/>
            <w:tcBorders>
              <w:top w:val="nil"/>
              <w:left w:val="nil"/>
              <w:bottom w:val="nil"/>
              <w:right w:val="nil"/>
            </w:tcBorders>
            <w:shd w:val="clear" w:color="auto" w:fill="auto"/>
            <w:noWrap/>
            <w:vAlign w:val="center"/>
            <w:hideMark/>
          </w:tcPr>
          <w:p w14:paraId="2D5F49BB" w14:textId="77777777" w:rsidR="00BC5219" w:rsidRPr="00EC4029" w:rsidRDefault="00BC5219" w:rsidP="00E83802">
            <w:pPr>
              <w:jc w:val="center"/>
              <w:rPr>
                <w:rFonts w:ascii="Meta Pro" w:eastAsia="Times New Roman" w:hAnsi="Meta Pro"/>
                <w:b/>
                <w:bCs/>
                <w:color w:val="000000" w:themeColor="text1"/>
                <w:sz w:val="16"/>
                <w:szCs w:val="16"/>
                <w:lang w:eastAsia="en-AU"/>
              </w:rPr>
            </w:pPr>
          </w:p>
        </w:tc>
        <w:tc>
          <w:tcPr>
            <w:tcW w:w="1418" w:type="dxa"/>
            <w:tcBorders>
              <w:top w:val="nil"/>
              <w:left w:val="nil"/>
              <w:bottom w:val="nil"/>
              <w:right w:val="nil"/>
            </w:tcBorders>
            <w:shd w:val="clear" w:color="auto" w:fill="auto"/>
            <w:noWrap/>
            <w:vAlign w:val="center"/>
            <w:hideMark/>
          </w:tcPr>
          <w:p w14:paraId="3B9C4467" w14:textId="77777777" w:rsidR="00BC5219" w:rsidRPr="00EC4029" w:rsidRDefault="00BC5219" w:rsidP="00E83802">
            <w:pPr>
              <w:jc w:val="center"/>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2023</w:t>
            </w:r>
          </w:p>
        </w:tc>
        <w:tc>
          <w:tcPr>
            <w:tcW w:w="198" w:type="dxa"/>
            <w:tcBorders>
              <w:top w:val="nil"/>
              <w:left w:val="nil"/>
              <w:bottom w:val="nil"/>
              <w:right w:val="nil"/>
            </w:tcBorders>
            <w:shd w:val="clear" w:color="auto" w:fill="auto"/>
            <w:noWrap/>
            <w:vAlign w:val="center"/>
            <w:hideMark/>
          </w:tcPr>
          <w:p w14:paraId="74F90978" w14:textId="77777777" w:rsidR="00BC5219" w:rsidRPr="00EC4029" w:rsidRDefault="00BC5219" w:rsidP="00E83802">
            <w:pPr>
              <w:jc w:val="center"/>
              <w:rPr>
                <w:rFonts w:ascii="Meta Pro" w:eastAsia="Times New Roman" w:hAnsi="Meta Pro"/>
                <w:b/>
                <w:bCs/>
                <w:color w:val="000000" w:themeColor="text1"/>
                <w:sz w:val="16"/>
                <w:szCs w:val="16"/>
                <w:lang w:eastAsia="en-AU"/>
              </w:rPr>
            </w:pPr>
          </w:p>
        </w:tc>
        <w:tc>
          <w:tcPr>
            <w:tcW w:w="1418" w:type="dxa"/>
            <w:tcBorders>
              <w:top w:val="nil"/>
              <w:left w:val="nil"/>
              <w:bottom w:val="nil"/>
              <w:right w:val="nil"/>
            </w:tcBorders>
            <w:shd w:val="clear" w:color="auto" w:fill="auto"/>
            <w:noWrap/>
            <w:vAlign w:val="center"/>
            <w:hideMark/>
          </w:tcPr>
          <w:p w14:paraId="10ED2992" w14:textId="77777777" w:rsidR="00BC5219" w:rsidRPr="00EC4029" w:rsidRDefault="00BC5219" w:rsidP="00E83802">
            <w:pPr>
              <w:jc w:val="center"/>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2023</w:t>
            </w:r>
          </w:p>
        </w:tc>
        <w:tc>
          <w:tcPr>
            <w:tcW w:w="198" w:type="dxa"/>
            <w:tcBorders>
              <w:top w:val="nil"/>
              <w:left w:val="nil"/>
              <w:bottom w:val="nil"/>
              <w:right w:val="nil"/>
            </w:tcBorders>
            <w:shd w:val="clear" w:color="auto" w:fill="auto"/>
            <w:noWrap/>
            <w:vAlign w:val="center"/>
            <w:hideMark/>
          </w:tcPr>
          <w:p w14:paraId="75608BF2" w14:textId="77777777" w:rsidR="00BC5219" w:rsidRPr="00EC4029" w:rsidRDefault="00BC5219" w:rsidP="00E83802">
            <w:pPr>
              <w:jc w:val="center"/>
              <w:rPr>
                <w:rFonts w:ascii="Meta Pro" w:eastAsia="Times New Roman" w:hAnsi="Meta Pro"/>
                <w:b/>
                <w:bCs/>
                <w:color w:val="000000" w:themeColor="text1"/>
                <w:sz w:val="16"/>
                <w:szCs w:val="16"/>
                <w:lang w:eastAsia="en-AU"/>
              </w:rPr>
            </w:pPr>
          </w:p>
        </w:tc>
        <w:tc>
          <w:tcPr>
            <w:tcW w:w="1418" w:type="dxa"/>
            <w:tcBorders>
              <w:top w:val="nil"/>
              <w:left w:val="nil"/>
              <w:bottom w:val="nil"/>
              <w:right w:val="nil"/>
            </w:tcBorders>
            <w:shd w:val="clear" w:color="auto" w:fill="auto"/>
            <w:noWrap/>
            <w:vAlign w:val="center"/>
            <w:hideMark/>
          </w:tcPr>
          <w:p w14:paraId="13E5AED0" w14:textId="77777777" w:rsidR="00BC5219" w:rsidRPr="00EC4029" w:rsidRDefault="00BC5219" w:rsidP="00E83802">
            <w:pPr>
              <w:jc w:val="center"/>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2023</w:t>
            </w:r>
          </w:p>
        </w:tc>
      </w:tr>
      <w:tr w:rsidR="00EC4029" w:rsidRPr="00EC4029" w14:paraId="189F2A65" w14:textId="77777777" w:rsidTr="00E83802">
        <w:trPr>
          <w:trHeight w:hRule="exact" w:val="198"/>
        </w:trPr>
        <w:tc>
          <w:tcPr>
            <w:tcW w:w="198" w:type="dxa"/>
            <w:tcBorders>
              <w:top w:val="nil"/>
              <w:left w:val="nil"/>
              <w:bottom w:val="nil"/>
              <w:right w:val="nil"/>
            </w:tcBorders>
            <w:shd w:val="clear" w:color="auto" w:fill="auto"/>
            <w:noWrap/>
            <w:vAlign w:val="center"/>
            <w:hideMark/>
          </w:tcPr>
          <w:p w14:paraId="031FCD10" w14:textId="77777777" w:rsidR="00BC5219" w:rsidRPr="00EC4029" w:rsidRDefault="00BC5219" w:rsidP="00E83802">
            <w:pPr>
              <w:jc w:val="center"/>
              <w:rPr>
                <w:rFonts w:ascii="Meta Pro" w:eastAsia="Times New Roman" w:hAnsi="Meta Pro"/>
                <w:b/>
                <w:bCs/>
                <w:color w:val="000000" w:themeColor="text1"/>
                <w:sz w:val="16"/>
                <w:szCs w:val="16"/>
                <w:lang w:eastAsia="en-AU"/>
              </w:rPr>
            </w:pPr>
          </w:p>
        </w:tc>
        <w:tc>
          <w:tcPr>
            <w:tcW w:w="4366" w:type="dxa"/>
            <w:tcBorders>
              <w:top w:val="nil"/>
              <w:left w:val="nil"/>
              <w:bottom w:val="nil"/>
              <w:right w:val="nil"/>
            </w:tcBorders>
            <w:shd w:val="clear" w:color="auto" w:fill="auto"/>
            <w:noWrap/>
            <w:vAlign w:val="center"/>
            <w:hideMark/>
          </w:tcPr>
          <w:p w14:paraId="760A9462" w14:textId="77777777" w:rsidR="00BC5219" w:rsidRPr="00EC4029" w:rsidRDefault="00BC5219" w:rsidP="00E83802">
            <w:pPr>
              <w:rPr>
                <w:rFonts w:ascii="Meta Pro" w:eastAsia="Times New Roman" w:hAnsi="Meta Pro" w:cs="Times New Roman"/>
                <w:color w:val="000000" w:themeColor="text1"/>
                <w:sz w:val="20"/>
                <w:szCs w:val="20"/>
                <w:lang w:eastAsia="en-AU"/>
              </w:rPr>
            </w:pPr>
          </w:p>
        </w:tc>
        <w:tc>
          <w:tcPr>
            <w:tcW w:w="1418" w:type="dxa"/>
            <w:tcBorders>
              <w:top w:val="nil"/>
              <w:left w:val="nil"/>
              <w:bottom w:val="nil"/>
              <w:right w:val="nil"/>
            </w:tcBorders>
            <w:shd w:val="clear" w:color="auto" w:fill="auto"/>
            <w:noWrap/>
            <w:vAlign w:val="center"/>
            <w:hideMark/>
          </w:tcPr>
          <w:p w14:paraId="0EEB6EF0" w14:textId="77777777" w:rsidR="00BC5219" w:rsidRPr="00EC4029" w:rsidRDefault="00BC5219" w:rsidP="00E83802">
            <w:pPr>
              <w:jc w:val="center"/>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$'000</w:t>
            </w:r>
          </w:p>
        </w:tc>
        <w:tc>
          <w:tcPr>
            <w:tcW w:w="198" w:type="dxa"/>
            <w:tcBorders>
              <w:top w:val="nil"/>
              <w:left w:val="nil"/>
              <w:bottom w:val="nil"/>
              <w:right w:val="nil"/>
            </w:tcBorders>
            <w:shd w:val="clear" w:color="auto" w:fill="auto"/>
            <w:noWrap/>
            <w:vAlign w:val="center"/>
            <w:hideMark/>
          </w:tcPr>
          <w:p w14:paraId="790BB6FD" w14:textId="77777777" w:rsidR="00BC5219" w:rsidRPr="00EC4029" w:rsidRDefault="00BC5219" w:rsidP="00E83802">
            <w:pPr>
              <w:jc w:val="center"/>
              <w:rPr>
                <w:rFonts w:ascii="Meta Pro" w:eastAsia="Times New Roman" w:hAnsi="Meta Pro"/>
                <w:b/>
                <w:bCs/>
                <w:color w:val="000000" w:themeColor="text1"/>
                <w:sz w:val="16"/>
                <w:szCs w:val="16"/>
                <w:lang w:eastAsia="en-AU"/>
              </w:rPr>
            </w:pPr>
          </w:p>
        </w:tc>
        <w:tc>
          <w:tcPr>
            <w:tcW w:w="1418" w:type="dxa"/>
            <w:tcBorders>
              <w:top w:val="nil"/>
              <w:left w:val="nil"/>
              <w:bottom w:val="nil"/>
              <w:right w:val="nil"/>
            </w:tcBorders>
            <w:shd w:val="clear" w:color="auto" w:fill="auto"/>
            <w:noWrap/>
            <w:vAlign w:val="center"/>
            <w:hideMark/>
          </w:tcPr>
          <w:p w14:paraId="517804E4" w14:textId="77777777" w:rsidR="00BC5219" w:rsidRPr="00EC4029" w:rsidRDefault="00BC5219" w:rsidP="00E83802">
            <w:pPr>
              <w:jc w:val="center"/>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$'000</w:t>
            </w:r>
          </w:p>
        </w:tc>
        <w:tc>
          <w:tcPr>
            <w:tcW w:w="198" w:type="dxa"/>
            <w:tcBorders>
              <w:top w:val="nil"/>
              <w:left w:val="nil"/>
              <w:bottom w:val="nil"/>
              <w:right w:val="nil"/>
            </w:tcBorders>
            <w:shd w:val="clear" w:color="auto" w:fill="auto"/>
            <w:noWrap/>
            <w:vAlign w:val="center"/>
            <w:hideMark/>
          </w:tcPr>
          <w:p w14:paraId="046077C6" w14:textId="77777777" w:rsidR="00BC5219" w:rsidRPr="00EC4029" w:rsidRDefault="00BC5219" w:rsidP="00E83802">
            <w:pPr>
              <w:jc w:val="center"/>
              <w:rPr>
                <w:rFonts w:ascii="Meta Pro" w:eastAsia="Times New Roman" w:hAnsi="Meta Pro"/>
                <w:b/>
                <w:bCs/>
                <w:color w:val="000000" w:themeColor="text1"/>
                <w:sz w:val="16"/>
                <w:szCs w:val="16"/>
                <w:lang w:eastAsia="en-AU"/>
              </w:rPr>
            </w:pPr>
          </w:p>
        </w:tc>
        <w:tc>
          <w:tcPr>
            <w:tcW w:w="1418" w:type="dxa"/>
            <w:tcBorders>
              <w:top w:val="nil"/>
              <w:left w:val="nil"/>
              <w:bottom w:val="nil"/>
              <w:right w:val="nil"/>
            </w:tcBorders>
            <w:shd w:val="clear" w:color="auto" w:fill="auto"/>
            <w:noWrap/>
            <w:vAlign w:val="center"/>
            <w:hideMark/>
          </w:tcPr>
          <w:p w14:paraId="03DF8B59" w14:textId="77777777" w:rsidR="00BC5219" w:rsidRPr="00EC4029" w:rsidRDefault="00BC5219" w:rsidP="00E83802">
            <w:pPr>
              <w:jc w:val="center"/>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$'000</w:t>
            </w:r>
          </w:p>
        </w:tc>
        <w:tc>
          <w:tcPr>
            <w:tcW w:w="198" w:type="dxa"/>
            <w:tcBorders>
              <w:top w:val="nil"/>
              <w:left w:val="nil"/>
              <w:bottom w:val="nil"/>
              <w:right w:val="nil"/>
            </w:tcBorders>
            <w:shd w:val="clear" w:color="auto" w:fill="auto"/>
            <w:noWrap/>
            <w:vAlign w:val="center"/>
            <w:hideMark/>
          </w:tcPr>
          <w:p w14:paraId="31F19373" w14:textId="77777777" w:rsidR="00BC5219" w:rsidRPr="00EC4029" w:rsidRDefault="00BC5219" w:rsidP="00E83802">
            <w:pPr>
              <w:jc w:val="center"/>
              <w:rPr>
                <w:rFonts w:ascii="Meta Pro" w:eastAsia="Times New Roman" w:hAnsi="Meta Pro"/>
                <w:b/>
                <w:bCs/>
                <w:color w:val="000000" w:themeColor="text1"/>
                <w:sz w:val="16"/>
                <w:szCs w:val="16"/>
                <w:lang w:eastAsia="en-AU"/>
              </w:rPr>
            </w:pPr>
          </w:p>
        </w:tc>
        <w:tc>
          <w:tcPr>
            <w:tcW w:w="1418" w:type="dxa"/>
            <w:tcBorders>
              <w:top w:val="nil"/>
              <w:left w:val="nil"/>
              <w:bottom w:val="nil"/>
              <w:right w:val="nil"/>
            </w:tcBorders>
            <w:shd w:val="clear" w:color="auto" w:fill="auto"/>
            <w:noWrap/>
            <w:vAlign w:val="center"/>
            <w:hideMark/>
          </w:tcPr>
          <w:p w14:paraId="1BB26C82" w14:textId="77777777" w:rsidR="00BC5219" w:rsidRPr="00EC4029" w:rsidRDefault="00BC5219" w:rsidP="00E83802">
            <w:pPr>
              <w:jc w:val="center"/>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$'000</w:t>
            </w:r>
          </w:p>
        </w:tc>
        <w:tc>
          <w:tcPr>
            <w:tcW w:w="198" w:type="dxa"/>
            <w:tcBorders>
              <w:top w:val="nil"/>
              <w:left w:val="nil"/>
              <w:bottom w:val="nil"/>
              <w:right w:val="nil"/>
            </w:tcBorders>
            <w:shd w:val="clear" w:color="auto" w:fill="auto"/>
            <w:noWrap/>
            <w:vAlign w:val="center"/>
            <w:hideMark/>
          </w:tcPr>
          <w:p w14:paraId="26F986E1" w14:textId="77777777" w:rsidR="00BC5219" w:rsidRPr="00EC4029" w:rsidRDefault="00BC5219" w:rsidP="00E83802">
            <w:pPr>
              <w:jc w:val="center"/>
              <w:rPr>
                <w:rFonts w:ascii="Meta Pro" w:eastAsia="Times New Roman" w:hAnsi="Meta Pro"/>
                <w:b/>
                <w:bCs/>
                <w:color w:val="000000" w:themeColor="text1"/>
                <w:sz w:val="16"/>
                <w:szCs w:val="16"/>
                <w:lang w:eastAsia="en-AU"/>
              </w:rPr>
            </w:pPr>
          </w:p>
        </w:tc>
        <w:tc>
          <w:tcPr>
            <w:tcW w:w="1418" w:type="dxa"/>
            <w:tcBorders>
              <w:top w:val="nil"/>
              <w:left w:val="nil"/>
              <w:bottom w:val="nil"/>
              <w:right w:val="nil"/>
            </w:tcBorders>
            <w:shd w:val="clear" w:color="auto" w:fill="auto"/>
            <w:noWrap/>
            <w:vAlign w:val="center"/>
            <w:hideMark/>
          </w:tcPr>
          <w:p w14:paraId="4DB81C6F" w14:textId="77777777" w:rsidR="00BC5219" w:rsidRPr="00EC4029" w:rsidRDefault="00BC5219" w:rsidP="00E83802">
            <w:pPr>
              <w:jc w:val="center"/>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$'000</w:t>
            </w:r>
          </w:p>
        </w:tc>
        <w:tc>
          <w:tcPr>
            <w:tcW w:w="198" w:type="dxa"/>
            <w:tcBorders>
              <w:top w:val="nil"/>
              <w:left w:val="nil"/>
              <w:bottom w:val="nil"/>
              <w:right w:val="nil"/>
            </w:tcBorders>
            <w:shd w:val="clear" w:color="auto" w:fill="auto"/>
            <w:noWrap/>
            <w:vAlign w:val="center"/>
            <w:hideMark/>
          </w:tcPr>
          <w:p w14:paraId="2B27BF18" w14:textId="77777777" w:rsidR="00BC5219" w:rsidRPr="00EC4029" w:rsidRDefault="00BC5219" w:rsidP="00E83802">
            <w:pPr>
              <w:jc w:val="center"/>
              <w:rPr>
                <w:rFonts w:ascii="Meta Pro" w:eastAsia="Times New Roman" w:hAnsi="Meta Pro"/>
                <w:b/>
                <w:bCs/>
                <w:color w:val="000000" w:themeColor="text1"/>
                <w:sz w:val="16"/>
                <w:szCs w:val="16"/>
                <w:lang w:eastAsia="en-AU"/>
              </w:rPr>
            </w:pPr>
          </w:p>
        </w:tc>
        <w:tc>
          <w:tcPr>
            <w:tcW w:w="1418" w:type="dxa"/>
            <w:tcBorders>
              <w:top w:val="nil"/>
              <w:left w:val="nil"/>
              <w:bottom w:val="nil"/>
              <w:right w:val="nil"/>
            </w:tcBorders>
            <w:shd w:val="clear" w:color="auto" w:fill="auto"/>
            <w:noWrap/>
            <w:vAlign w:val="center"/>
            <w:hideMark/>
          </w:tcPr>
          <w:p w14:paraId="2EDABD5B" w14:textId="77777777" w:rsidR="00BC5219" w:rsidRPr="00EC4029" w:rsidRDefault="00BC5219" w:rsidP="00E83802">
            <w:pPr>
              <w:jc w:val="center"/>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$'000</w:t>
            </w:r>
          </w:p>
        </w:tc>
      </w:tr>
      <w:tr w:rsidR="00EC4029" w:rsidRPr="00EC4029" w14:paraId="69046D27" w14:textId="77777777" w:rsidTr="00E83802">
        <w:trPr>
          <w:trHeight w:hRule="exact" w:val="198"/>
        </w:trPr>
        <w:tc>
          <w:tcPr>
            <w:tcW w:w="4366" w:type="dxa"/>
            <w:gridSpan w:val="2"/>
            <w:tcBorders>
              <w:top w:val="nil"/>
              <w:left w:val="nil"/>
              <w:bottom w:val="nil"/>
              <w:right w:val="nil"/>
            </w:tcBorders>
            <w:shd w:val="clear" w:color="auto" w:fill="auto"/>
            <w:noWrap/>
            <w:vAlign w:val="center"/>
            <w:hideMark/>
          </w:tcPr>
          <w:p w14:paraId="2D2A3278" w14:textId="77777777" w:rsidR="00BC5219" w:rsidRPr="00EC4029" w:rsidRDefault="00BC5219" w:rsidP="00E83802">
            <w:pPr>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Income</w:t>
            </w:r>
          </w:p>
        </w:tc>
        <w:tc>
          <w:tcPr>
            <w:tcW w:w="1418" w:type="dxa"/>
            <w:tcBorders>
              <w:top w:val="nil"/>
              <w:left w:val="nil"/>
              <w:bottom w:val="nil"/>
              <w:right w:val="nil"/>
            </w:tcBorders>
            <w:shd w:val="clear" w:color="auto" w:fill="auto"/>
            <w:noWrap/>
            <w:vAlign w:val="center"/>
            <w:hideMark/>
          </w:tcPr>
          <w:p w14:paraId="46DEEDE6" w14:textId="77777777" w:rsidR="00BC5219" w:rsidRPr="00EC4029" w:rsidRDefault="00BC5219" w:rsidP="00E83802">
            <w:pPr>
              <w:rPr>
                <w:rFonts w:ascii="Meta Pro" w:eastAsia="Times New Roman" w:hAnsi="Meta Pro"/>
                <w:b/>
                <w:bCs/>
                <w:color w:val="000000" w:themeColor="text1"/>
                <w:sz w:val="16"/>
                <w:szCs w:val="16"/>
                <w:lang w:eastAsia="en-AU"/>
              </w:rPr>
            </w:pPr>
          </w:p>
        </w:tc>
        <w:tc>
          <w:tcPr>
            <w:tcW w:w="198" w:type="dxa"/>
            <w:tcBorders>
              <w:top w:val="nil"/>
              <w:left w:val="nil"/>
              <w:bottom w:val="nil"/>
              <w:right w:val="nil"/>
            </w:tcBorders>
            <w:shd w:val="clear" w:color="auto" w:fill="auto"/>
            <w:noWrap/>
            <w:vAlign w:val="center"/>
            <w:hideMark/>
          </w:tcPr>
          <w:p w14:paraId="71597541" w14:textId="77777777" w:rsidR="00BC5219" w:rsidRPr="00EC4029" w:rsidRDefault="00BC5219" w:rsidP="00E83802">
            <w:pPr>
              <w:jc w:val="center"/>
              <w:rPr>
                <w:rFonts w:ascii="Meta Pro" w:eastAsia="Times New Roman" w:hAnsi="Meta Pro" w:cs="Times New Roman"/>
                <w:color w:val="000000" w:themeColor="text1"/>
                <w:sz w:val="20"/>
                <w:szCs w:val="20"/>
                <w:lang w:eastAsia="en-AU"/>
              </w:rPr>
            </w:pPr>
          </w:p>
        </w:tc>
        <w:tc>
          <w:tcPr>
            <w:tcW w:w="1418" w:type="dxa"/>
            <w:tcBorders>
              <w:top w:val="nil"/>
              <w:left w:val="nil"/>
              <w:bottom w:val="nil"/>
              <w:right w:val="nil"/>
            </w:tcBorders>
            <w:shd w:val="clear" w:color="auto" w:fill="auto"/>
            <w:noWrap/>
            <w:vAlign w:val="center"/>
            <w:hideMark/>
          </w:tcPr>
          <w:p w14:paraId="0FF4439D" w14:textId="77777777" w:rsidR="00BC5219" w:rsidRPr="00EC4029" w:rsidRDefault="00BC5219" w:rsidP="00E83802">
            <w:pPr>
              <w:jc w:val="center"/>
              <w:rPr>
                <w:rFonts w:ascii="Meta Pro" w:eastAsia="Times New Roman" w:hAnsi="Meta Pro" w:cs="Times New Roman"/>
                <w:color w:val="000000" w:themeColor="text1"/>
                <w:sz w:val="20"/>
                <w:szCs w:val="20"/>
                <w:lang w:eastAsia="en-AU"/>
              </w:rPr>
            </w:pPr>
          </w:p>
        </w:tc>
        <w:tc>
          <w:tcPr>
            <w:tcW w:w="198" w:type="dxa"/>
            <w:tcBorders>
              <w:top w:val="nil"/>
              <w:left w:val="nil"/>
              <w:bottom w:val="nil"/>
              <w:right w:val="nil"/>
            </w:tcBorders>
            <w:shd w:val="clear" w:color="auto" w:fill="auto"/>
            <w:noWrap/>
            <w:vAlign w:val="center"/>
            <w:hideMark/>
          </w:tcPr>
          <w:p w14:paraId="28D2A166" w14:textId="77777777" w:rsidR="00BC5219" w:rsidRPr="00EC4029" w:rsidRDefault="00BC5219" w:rsidP="00E83802">
            <w:pPr>
              <w:jc w:val="center"/>
              <w:rPr>
                <w:rFonts w:ascii="Meta Pro" w:eastAsia="Times New Roman" w:hAnsi="Meta Pro" w:cs="Times New Roman"/>
                <w:color w:val="000000" w:themeColor="text1"/>
                <w:sz w:val="20"/>
                <w:szCs w:val="20"/>
                <w:lang w:eastAsia="en-AU"/>
              </w:rPr>
            </w:pPr>
          </w:p>
        </w:tc>
        <w:tc>
          <w:tcPr>
            <w:tcW w:w="1418" w:type="dxa"/>
            <w:tcBorders>
              <w:top w:val="nil"/>
              <w:left w:val="nil"/>
              <w:bottom w:val="nil"/>
              <w:right w:val="nil"/>
            </w:tcBorders>
            <w:shd w:val="clear" w:color="auto" w:fill="auto"/>
            <w:noWrap/>
            <w:vAlign w:val="center"/>
            <w:hideMark/>
          </w:tcPr>
          <w:p w14:paraId="338684D8" w14:textId="77777777" w:rsidR="00BC5219" w:rsidRPr="00EC4029" w:rsidRDefault="00BC5219" w:rsidP="00E83802">
            <w:pPr>
              <w:jc w:val="center"/>
              <w:rPr>
                <w:rFonts w:ascii="Meta Pro" w:eastAsia="Times New Roman" w:hAnsi="Meta Pro" w:cs="Times New Roman"/>
                <w:color w:val="000000" w:themeColor="text1"/>
                <w:sz w:val="20"/>
                <w:szCs w:val="20"/>
                <w:lang w:eastAsia="en-AU"/>
              </w:rPr>
            </w:pPr>
          </w:p>
        </w:tc>
        <w:tc>
          <w:tcPr>
            <w:tcW w:w="198" w:type="dxa"/>
            <w:tcBorders>
              <w:top w:val="nil"/>
              <w:left w:val="nil"/>
              <w:bottom w:val="nil"/>
              <w:right w:val="nil"/>
            </w:tcBorders>
            <w:shd w:val="clear" w:color="auto" w:fill="auto"/>
            <w:noWrap/>
            <w:vAlign w:val="center"/>
            <w:hideMark/>
          </w:tcPr>
          <w:p w14:paraId="4AA3348D" w14:textId="77777777" w:rsidR="00BC5219" w:rsidRPr="00EC4029" w:rsidRDefault="00BC5219" w:rsidP="00E83802">
            <w:pPr>
              <w:jc w:val="center"/>
              <w:rPr>
                <w:rFonts w:ascii="Meta Pro" w:eastAsia="Times New Roman" w:hAnsi="Meta Pro" w:cs="Times New Roman"/>
                <w:color w:val="000000" w:themeColor="text1"/>
                <w:sz w:val="20"/>
                <w:szCs w:val="20"/>
                <w:lang w:eastAsia="en-AU"/>
              </w:rPr>
            </w:pPr>
          </w:p>
        </w:tc>
        <w:tc>
          <w:tcPr>
            <w:tcW w:w="1418" w:type="dxa"/>
            <w:tcBorders>
              <w:top w:val="nil"/>
              <w:left w:val="nil"/>
              <w:bottom w:val="nil"/>
              <w:right w:val="nil"/>
            </w:tcBorders>
            <w:shd w:val="clear" w:color="auto" w:fill="auto"/>
            <w:noWrap/>
            <w:vAlign w:val="center"/>
            <w:hideMark/>
          </w:tcPr>
          <w:p w14:paraId="7223D624" w14:textId="77777777" w:rsidR="00BC5219" w:rsidRPr="00EC4029" w:rsidRDefault="00BC5219" w:rsidP="00E83802">
            <w:pPr>
              <w:jc w:val="center"/>
              <w:rPr>
                <w:rFonts w:ascii="Meta Pro" w:eastAsia="Times New Roman" w:hAnsi="Meta Pro" w:cs="Times New Roman"/>
                <w:color w:val="000000" w:themeColor="text1"/>
                <w:sz w:val="20"/>
                <w:szCs w:val="20"/>
                <w:lang w:eastAsia="en-AU"/>
              </w:rPr>
            </w:pPr>
          </w:p>
        </w:tc>
        <w:tc>
          <w:tcPr>
            <w:tcW w:w="198" w:type="dxa"/>
            <w:tcBorders>
              <w:top w:val="nil"/>
              <w:left w:val="nil"/>
              <w:bottom w:val="nil"/>
              <w:right w:val="nil"/>
            </w:tcBorders>
            <w:shd w:val="clear" w:color="auto" w:fill="auto"/>
            <w:noWrap/>
            <w:vAlign w:val="center"/>
            <w:hideMark/>
          </w:tcPr>
          <w:p w14:paraId="63DB29DF" w14:textId="77777777" w:rsidR="00BC5219" w:rsidRPr="00EC4029" w:rsidRDefault="00BC5219" w:rsidP="00E83802">
            <w:pPr>
              <w:jc w:val="center"/>
              <w:rPr>
                <w:rFonts w:ascii="Meta Pro" w:eastAsia="Times New Roman" w:hAnsi="Meta Pro" w:cs="Times New Roman"/>
                <w:color w:val="000000" w:themeColor="text1"/>
                <w:sz w:val="20"/>
                <w:szCs w:val="20"/>
                <w:lang w:eastAsia="en-AU"/>
              </w:rPr>
            </w:pPr>
          </w:p>
        </w:tc>
        <w:tc>
          <w:tcPr>
            <w:tcW w:w="1418" w:type="dxa"/>
            <w:tcBorders>
              <w:top w:val="nil"/>
              <w:left w:val="nil"/>
              <w:bottom w:val="nil"/>
              <w:right w:val="nil"/>
            </w:tcBorders>
            <w:shd w:val="clear" w:color="auto" w:fill="auto"/>
            <w:noWrap/>
            <w:vAlign w:val="center"/>
            <w:hideMark/>
          </w:tcPr>
          <w:p w14:paraId="69E24785" w14:textId="77777777" w:rsidR="00BC5219" w:rsidRPr="00EC4029" w:rsidRDefault="00BC5219" w:rsidP="00E83802">
            <w:pPr>
              <w:jc w:val="center"/>
              <w:rPr>
                <w:rFonts w:ascii="Meta Pro" w:eastAsia="Times New Roman" w:hAnsi="Meta Pro" w:cs="Times New Roman"/>
                <w:color w:val="000000" w:themeColor="text1"/>
                <w:sz w:val="20"/>
                <w:szCs w:val="20"/>
                <w:lang w:eastAsia="en-AU"/>
              </w:rPr>
            </w:pPr>
          </w:p>
        </w:tc>
        <w:tc>
          <w:tcPr>
            <w:tcW w:w="198" w:type="dxa"/>
            <w:tcBorders>
              <w:top w:val="nil"/>
              <w:left w:val="nil"/>
              <w:bottom w:val="nil"/>
              <w:right w:val="nil"/>
            </w:tcBorders>
            <w:shd w:val="clear" w:color="auto" w:fill="auto"/>
            <w:noWrap/>
            <w:vAlign w:val="center"/>
            <w:hideMark/>
          </w:tcPr>
          <w:p w14:paraId="28DEAEA8" w14:textId="77777777" w:rsidR="00BC5219" w:rsidRPr="00EC4029" w:rsidRDefault="00BC5219" w:rsidP="00E83802">
            <w:pPr>
              <w:jc w:val="center"/>
              <w:rPr>
                <w:rFonts w:ascii="Meta Pro" w:eastAsia="Times New Roman" w:hAnsi="Meta Pro" w:cs="Times New Roman"/>
                <w:color w:val="000000" w:themeColor="text1"/>
                <w:sz w:val="20"/>
                <w:szCs w:val="20"/>
                <w:lang w:eastAsia="en-AU"/>
              </w:rPr>
            </w:pPr>
          </w:p>
        </w:tc>
        <w:tc>
          <w:tcPr>
            <w:tcW w:w="1418" w:type="dxa"/>
            <w:tcBorders>
              <w:top w:val="nil"/>
              <w:left w:val="nil"/>
              <w:bottom w:val="nil"/>
              <w:right w:val="nil"/>
            </w:tcBorders>
            <w:shd w:val="clear" w:color="auto" w:fill="auto"/>
            <w:noWrap/>
            <w:vAlign w:val="center"/>
            <w:hideMark/>
          </w:tcPr>
          <w:p w14:paraId="01DF27BF" w14:textId="77777777" w:rsidR="00BC5219" w:rsidRPr="00EC4029" w:rsidRDefault="00BC5219" w:rsidP="00E83802">
            <w:pPr>
              <w:jc w:val="center"/>
              <w:rPr>
                <w:rFonts w:ascii="Meta Pro" w:eastAsia="Times New Roman" w:hAnsi="Meta Pro" w:cs="Times New Roman"/>
                <w:color w:val="000000" w:themeColor="text1"/>
                <w:sz w:val="20"/>
                <w:szCs w:val="20"/>
                <w:lang w:eastAsia="en-AU"/>
              </w:rPr>
            </w:pPr>
          </w:p>
        </w:tc>
      </w:tr>
      <w:tr w:rsidR="00EC4029" w:rsidRPr="00EC4029" w14:paraId="244730F5" w14:textId="77777777" w:rsidTr="00E83802">
        <w:trPr>
          <w:trHeight w:hRule="exact" w:val="198"/>
        </w:trPr>
        <w:tc>
          <w:tcPr>
            <w:tcW w:w="198" w:type="dxa"/>
            <w:tcBorders>
              <w:top w:val="nil"/>
              <w:left w:val="nil"/>
              <w:bottom w:val="nil"/>
              <w:right w:val="nil"/>
            </w:tcBorders>
            <w:shd w:val="clear" w:color="auto" w:fill="auto"/>
            <w:noWrap/>
            <w:vAlign w:val="center"/>
            <w:hideMark/>
          </w:tcPr>
          <w:p w14:paraId="69DC55CC" w14:textId="77777777" w:rsidR="00BC5219" w:rsidRPr="00EC4029" w:rsidRDefault="00BC5219" w:rsidP="00E83802">
            <w:pPr>
              <w:jc w:val="center"/>
              <w:rPr>
                <w:rFonts w:ascii="Meta Pro" w:eastAsia="Times New Roman" w:hAnsi="Meta Pro" w:cs="Times New Roman"/>
                <w:color w:val="000000" w:themeColor="text1"/>
                <w:sz w:val="20"/>
                <w:szCs w:val="20"/>
                <w:lang w:eastAsia="en-AU"/>
              </w:rPr>
            </w:pPr>
          </w:p>
        </w:tc>
        <w:tc>
          <w:tcPr>
            <w:tcW w:w="4366" w:type="dxa"/>
            <w:tcBorders>
              <w:top w:val="nil"/>
              <w:left w:val="nil"/>
              <w:bottom w:val="nil"/>
              <w:right w:val="nil"/>
            </w:tcBorders>
            <w:shd w:val="clear" w:color="auto" w:fill="auto"/>
            <w:noWrap/>
            <w:vAlign w:val="center"/>
            <w:hideMark/>
          </w:tcPr>
          <w:p w14:paraId="44D461C7" w14:textId="77777777" w:rsidR="00BC5219" w:rsidRPr="00EC4029" w:rsidRDefault="00BC5219" w:rsidP="00E83802">
            <w:pPr>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Appropriation revenue</w:t>
            </w:r>
          </w:p>
        </w:tc>
        <w:tc>
          <w:tcPr>
            <w:tcW w:w="1418" w:type="dxa"/>
            <w:tcBorders>
              <w:top w:val="nil"/>
              <w:left w:val="nil"/>
              <w:bottom w:val="nil"/>
              <w:right w:val="nil"/>
            </w:tcBorders>
            <w:shd w:val="clear" w:color="000000" w:fill="C9E3B4"/>
            <w:noWrap/>
            <w:vAlign w:val="center"/>
            <w:hideMark/>
          </w:tcPr>
          <w:p w14:paraId="22B7F400"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13,712 </w:t>
            </w:r>
          </w:p>
        </w:tc>
        <w:tc>
          <w:tcPr>
            <w:tcW w:w="198" w:type="dxa"/>
            <w:tcBorders>
              <w:top w:val="nil"/>
              <w:left w:val="nil"/>
              <w:bottom w:val="nil"/>
              <w:right w:val="nil"/>
            </w:tcBorders>
            <w:shd w:val="clear" w:color="auto" w:fill="auto"/>
            <w:noWrap/>
            <w:vAlign w:val="center"/>
            <w:hideMark/>
          </w:tcPr>
          <w:p w14:paraId="06185C46"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6F98ACB6"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4F26C6AA"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1DA04E0A"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29DE86CA"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58E5ACDA"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7E250D3F"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6E7A12DC"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5C326E31"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15BA39C6"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6,371,614 </w:t>
            </w:r>
          </w:p>
        </w:tc>
      </w:tr>
      <w:tr w:rsidR="00EC4029" w:rsidRPr="00EC4029" w14:paraId="19ED190E" w14:textId="77777777" w:rsidTr="00E83802">
        <w:trPr>
          <w:trHeight w:hRule="exact" w:val="198"/>
        </w:trPr>
        <w:tc>
          <w:tcPr>
            <w:tcW w:w="198" w:type="dxa"/>
            <w:tcBorders>
              <w:top w:val="nil"/>
              <w:left w:val="nil"/>
              <w:bottom w:val="nil"/>
              <w:right w:val="nil"/>
            </w:tcBorders>
            <w:shd w:val="clear" w:color="auto" w:fill="auto"/>
            <w:noWrap/>
            <w:vAlign w:val="center"/>
            <w:hideMark/>
          </w:tcPr>
          <w:p w14:paraId="5A2DDA2E"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4366" w:type="dxa"/>
            <w:tcBorders>
              <w:top w:val="nil"/>
              <w:left w:val="nil"/>
              <w:bottom w:val="nil"/>
              <w:right w:val="nil"/>
            </w:tcBorders>
            <w:shd w:val="clear" w:color="auto" w:fill="auto"/>
            <w:noWrap/>
            <w:vAlign w:val="center"/>
            <w:hideMark/>
          </w:tcPr>
          <w:p w14:paraId="2C17F2E0" w14:textId="77777777" w:rsidR="00BC5219" w:rsidRPr="00EC4029" w:rsidRDefault="00BC5219" w:rsidP="00E83802">
            <w:pPr>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User charges and fees</w:t>
            </w:r>
          </w:p>
        </w:tc>
        <w:tc>
          <w:tcPr>
            <w:tcW w:w="1418" w:type="dxa"/>
            <w:tcBorders>
              <w:top w:val="nil"/>
              <w:left w:val="nil"/>
              <w:bottom w:val="nil"/>
              <w:right w:val="nil"/>
            </w:tcBorders>
            <w:shd w:val="clear" w:color="000000" w:fill="C9E3B4"/>
            <w:noWrap/>
            <w:vAlign w:val="center"/>
            <w:hideMark/>
          </w:tcPr>
          <w:p w14:paraId="2DCD3EE3"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5,392 </w:t>
            </w:r>
          </w:p>
        </w:tc>
        <w:tc>
          <w:tcPr>
            <w:tcW w:w="198" w:type="dxa"/>
            <w:tcBorders>
              <w:top w:val="nil"/>
              <w:left w:val="nil"/>
              <w:bottom w:val="nil"/>
              <w:right w:val="nil"/>
            </w:tcBorders>
            <w:shd w:val="clear" w:color="auto" w:fill="auto"/>
            <w:noWrap/>
            <w:vAlign w:val="center"/>
            <w:hideMark/>
          </w:tcPr>
          <w:p w14:paraId="35F25731"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2D07CCA4"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13,159 </w:t>
            </w:r>
          </w:p>
        </w:tc>
        <w:tc>
          <w:tcPr>
            <w:tcW w:w="198" w:type="dxa"/>
            <w:tcBorders>
              <w:top w:val="nil"/>
              <w:left w:val="nil"/>
              <w:bottom w:val="nil"/>
              <w:right w:val="nil"/>
            </w:tcBorders>
            <w:shd w:val="clear" w:color="auto" w:fill="auto"/>
            <w:noWrap/>
            <w:vAlign w:val="center"/>
            <w:hideMark/>
          </w:tcPr>
          <w:p w14:paraId="1F428141"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55654DA3"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12,593 </w:t>
            </w:r>
          </w:p>
        </w:tc>
        <w:tc>
          <w:tcPr>
            <w:tcW w:w="198" w:type="dxa"/>
            <w:tcBorders>
              <w:top w:val="nil"/>
              <w:left w:val="nil"/>
              <w:bottom w:val="nil"/>
              <w:right w:val="nil"/>
            </w:tcBorders>
            <w:shd w:val="clear" w:color="auto" w:fill="auto"/>
            <w:noWrap/>
            <w:vAlign w:val="center"/>
            <w:hideMark/>
          </w:tcPr>
          <w:p w14:paraId="2A605ACE"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4D885C97"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1,114 </w:t>
            </w:r>
          </w:p>
        </w:tc>
        <w:tc>
          <w:tcPr>
            <w:tcW w:w="198" w:type="dxa"/>
            <w:tcBorders>
              <w:top w:val="nil"/>
              <w:left w:val="nil"/>
              <w:bottom w:val="nil"/>
              <w:right w:val="nil"/>
            </w:tcBorders>
            <w:shd w:val="clear" w:color="auto" w:fill="auto"/>
            <w:noWrap/>
            <w:vAlign w:val="center"/>
            <w:hideMark/>
          </w:tcPr>
          <w:p w14:paraId="0354D8D6"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690F4442"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(803,893)</w:t>
            </w:r>
          </w:p>
        </w:tc>
        <w:tc>
          <w:tcPr>
            <w:tcW w:w="198" w:type="dxa"/>
            <w:tcBorders>
              <w:top w:val="nil"/>
              <w:left w:val="nil"/>
              <w:bottom w:val="nil"/>
              <w:right w:val="nil"/>
            </w:tcBorders>
            <w:shd w:val="clear" w:color="auto" w:fill="auto"/>
            <w:noWrap/>
            <w:vAlign w:val="center"/>
            <w:hideMark/>
          </w:tcPr>
          <w:p w14:paraId="09BA92DD"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55A0EE91"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778,843 </w:t>
            </w:r>
          </w:p>
        </w:tc>
      </w:tr>
      <w:tr w:rsidR="00EC4029" w:rsidRPr="00EC4029" w14:paraId="5A334D8B" w14:textId="77777777" w:rsidTr="00E83802">
        <w:trPr>
          <w:trHeight w:hRule="exact" w:val="198"/>
        </w:trPr>
        <w:tc>
          <w:tcPr>
            <w:tcW w:w="198" w:type="dxa"/>
            <w:tcBorders>
              <w:top w:val="nil"/>
              <w:left w:val="nil"/>
              <w:bottom w:val="nil"/>
              <w:right w:val="nil"/>
            </w:tcBorders>
            <w:shd w:val="clear" w:color="auto" w:fill="auto"/>
            <w:noWrap/>
            <w:vAlign w:val="center"/>
            <w:hideMark/>
          </w:tcPr>
          <w:p w14:paraId="37E6E289"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4366" w:type="dxa"/>
            <w:tcBorders>
              <w:top w:val="nil"/>
              <w:left w:val="nil"/>
              <w:bottom w:val="nil"/>
              <w:right w:val="nil"/>
            </w:tcBorders>
            <w:shd w:val="clear" w:color="auto" w:fill="auto"/>
            <w:noWrap/>
            <w:vAlign w:val="center"/>
            <w:hideMark/>
          </w:tcPr>
          <w:p w14:paraId="2F8D814E" w14:textId="77777777" w:rsidR="00BC5219" w:rsidRPr="00EC4029" w:rsidRDefault="00BC5219" w:rsidP="00E83802">
            <w:pPr>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Grants and other contributions </w:t>
            </w:r>
          </w:p>
        </w:tc>
        <w:tc>
          <w:tcPr>
            <w:tcW w:w="1418" w:type="dxa"/>
            <w:tcBorders>
              <w:top w:val="nil"/>
              <w:left w:val="nil"/>
              <w:bottom w:val="nil"/>
              <w:right w:val="nil"/>
            </w:tcBorders>
            <w:shd w:val="clear" w:color="000000" w:fill="C9E3B4"/>
            <w:noWrap/>
            <w:vAlign w:val="center"/>
            <w:hideMark/>
          </w:tcPr>
          <w:p w14:paraId="62A65783"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2278360D"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78BE550E"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38D1ED1A"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6881D164"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574AC617"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6A9E353F"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24 </w:t>
            </w:r>
          </w:p>
        </w:tc>
        <w:tc>
          <w:tcPr>
            <w:tcW w:w="198" w:type="dxa"/>
            <w:tcBorders>
              <w:top w:val="nil"/>
              <w:left w:val="nil"/>
              <w:bottom w:val="nil"/>
              <w:right w:val="nil"/>
            </w:tcBorders>
            <w:shd w:val="clear" w:color="auto" w:fill="auto"/>
            <w:noWrap/>
            <w:vAlign w:val="center"/>
            <w:hideMark/>
          </w:tcPr>
          <w:p w14:paraId="526DAA5F"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542DDB59"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7E44C131"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2EB4692A"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276,088 </w:t>
            </w:r>
          </w:p>
        </w:tc>
      </w:tr>
      <w:tr w:rsidR="00EC4029" w:rsidRPr="00EC4029" w14:paraId="33ACED2B" w14:textId="77777777" w:rsidTr="00E83802">
        <w:trPr>
          <w:trHeight w:hRule="exact" w:val="198"/>
        </w:trPr>
        <w:tc>
          <w:tcPr>
            <w:tcW w:w="198" w:type="dxa"/>
            <w:tcBorders>
              <w:top w:val="nil"/>
              <w:left w:val="nil"/>
              <w:bottom w:val="nil"/>
              <w:right w:val="nil"/>
            </w:tcBorders>
            <w:shd w:val="clear" w:color="auto" w:fill="auto"/>
            <w:noWrap/>
            <w:vAlign w:val="center"/>
            <w:hideMark/>
          </w:tcPr>
          <w:p w14:paraId="7D32ACCD"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4366" w:type="dxa"/>
            <w:tcBorders>
              <w:top w:val="nil"/>
              <w:left w:val="nil"/>
              <w:bottom w:val="nil"/>
              <w:right w:val="nil"/>
            </w:tcBorders>
            <w:shd w:val="clear" w:color="auto" w:fill="auto"/>
            <w:noWrap/>
            <w:vAlign w:val="center"/>
            <w:hideMark/>
          </w:tcPr>
          <w:p w14:paraId="1C1C367A" w14:textId="77777777" w:rsidR="00BC5219" w:rsidRPr="00EC4029" w:rsidRDefault="00BC5219" w:rsidP="00E83802">
            <w:pPr>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Service concession arrangements revenue</w:t>
            </w:r>
          </w:p>
        </w:tc>
        <w:tc>
          <w:tcPr>
            <w:tcW w:w="1418" w:type="dxa"/>
            <w:tcBorders>
              <w:top w:val="nil"/>
              <w:left w:val="nil"/>
              <w:bottom w:val="nil"/>
              <w:right w:val="nil"/>
            </w:tcBorders>
            <w:shd w:val="clear" w:color="000000" w:fill="C9E3B4"/>
            <w:noWrap/>
            <w:vAlign w:val="center"/>
            <w:hideMark/>
          </w:tcPr>
          <w:p w14:paraId="01629F7F"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3F8D6EF4"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2FE659BD"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330D7776"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26ACAE81"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49AF4D06"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652AC7ED"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3544CCC1"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2B6FD30B"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7C00190C"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2ACDC936"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232,180 </w:t>
            </w:r>
          </w:p>
        </w:tc>
      </w:tr>
      <w:tr w:rsidR="00EC4029" w:rsidRPr="00EC4029" w14:paraId="5EE5D727" w14:textId="77777777" w:rsidTr="00E83802">
        <w:trPr>
          <w:trHeight w:hRule="exact" w:val="198"/>
        </w:trPr>
        <w:tc>
          <w:tcPr>
            <w:tcW w:w="198" w:type="dxa"/>
            <w:tcBorders>
              <w:top w:val="nil"/>
              <w:left w:val="nil"/>
              <w:bottom w:val="single" w:sz="4" w:space="0" w:color="auto"/>
              <w:right w:val="nil"/>
            </w:tcBorders>
            <w:shd w:val="clear" w:color="auto" w:fill="auto"/>
            <w:noWrap/>
            <w:vAlign w:val="center"/>
            <w:hideMark/>
          </w:tcPr>
          <w:p w14:paraId="0C134837" w14:textId="77777777" w:rsidR="00BC5219" w:rsidRPr="00EC4029" w:rsidRDefault="00BC5219" w:rsidP="00E83802">
            <w:pPr>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4366" w:type="dxa"/>
            <w:tcBorders>
              <w:top w:val="nil"/>
              <w:left w:val="nil"/>
              <w:bottom w:val="nil"/>
              <w:right w:val="nil"/>
            </w:tcBorders>
            <w:shd w:val="clear" w:color="auto" w:fill="auto"/>
            <w:noWrap/>
            <w:vAlign w:val="center"/>
            <w:hideMark/>
          </w:tcPr>
          <w:p w14:paraId="5AC6254B" w14:textId="77777777" w:rsidR="00BC5219" w:rsidRPr="00EC4029" w:rsidRDefault="00BC5219" w:rsidP="00E83802">
            <w:pPr>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Other revenue</w:t>
            </w:r>
          </w:p>
        </w:tc>
        <w:tc>
          <w:tcPr>
            <w:tcW w:w="1418" w:type="dxa"/>
            <w:tcBorders>
              <w:top w:val="nil"/>
              <w:left w:val="nil"/>
              <w:bottom w:val="nil"/>
              <w:right w:val="nil"/>
            </w:tcBorders>
            <w:shd w:val="clear" w:color="000000" w:fill="C9E3B4"/>
            <w:noWrap/>
            <w:vAlign w:val="center"/>
            <w:hideMark/>
          </w:tcPr>
          <w:p w14:paraId="7E919ABD"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2,697 </w:t>
            </w:r>
          </w:p>
        </w:tc>
        <w:tc>
          <w:tcPr>
            <w:tcW w:w="198" w:type="dxa"/>
            <w:tcBorders>
              <w:top w:val="nil"/>
              <w:left w:val="nil"/>
              <w:bottom w:val="single" w:sz="4" w:space="0" w:color="auto"/>
              <w:right w:val="nil"/>
            </w:tcBorders>
            <w:shd w:val="clear" w:color="auto" w:fill="auto"/>
            <w:noWrap/>
            <w:vAlign w:val="center"/>
            <w:hideMark/>
          </w:tcPr>
          <w:p w14:paraId="32EA4577"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418" w:type="dxa"/>
            <w:tcBorders>
              <w:top w:val="nil"/>
              <w:left w:val="nil"/>
              <w:bottom w:val="nil"/>
              <w:right w:val="nil"/>
            </w:tcBorders>
            <w:shd w:val="clear" w:color="000000" w:fill="C9E3B4"/>
            <w:noWrap/>
            <w:vAlign w:val="center"/>
            <w:hideMark/>
          </w:tcPr>
          <w:p w14:paraId="6077A2FF"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1 </w:t>
            </w:r>
          </w:p>
        </w:tc>
        <w:tc>
          <w:tcPr>
            <w:tcW w:w="198" w:type="dxa"/>
            <w:tcBorders>
              <w:top w:val="nil"/>
              <w:left w:val="nil"/>
              <w:bottom w:val="single" w:sz="4" w:space="0" w:color="auto"/>
              <w:right w:val="nil"/>
            </w:tcBorders>
            <w:shd w:val="clear" w:color="auto" w:fill="auto"/>
            <w:noWrap/>
            <w:vAlign w:val="center"/>
            <w:hideMark/>
          </w:tcPr>
          <w:p w14:paraId="68B4F663"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418" w:type="dxa"/>
            <w:tcBorders>
              <w:top w:val="nil"/>
              <w:left w:val="nil"/>
              <w:bottom w:val="nil"/>
              <w:right w:val="nil"/>
            </w:tcBorders>
            <w:shd w:val="clear" w:color="000000" w:fill="C9E3B4"/>
            <w:noWrap/>
            <w:vAlign w:val="center"/>
            <w:hideMark/>
          </w:tcPr>
          <w:p w14:paraId="015D276F"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6DBE7D47"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418" w:type="dxa"/>
            <w:tcBorders>
              <w:top w:val="nil"/>
              <w:left w:val="nil"/>
              <w:bottom w:val="nil"/>
              <w:right w:val="nil"/>
            </w:tcBorders>
            <w:shd w:val="clear" w:color="000000" w:fill="C9E3B4"/>
            <w:noWrap/>
            <w:vAlign w:val="center"/>
            <w:hideMark/>
          </w:tcPr>
          <w:p w14:paraId="3FD8F039"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0084A196"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418" w:type="dxa"/>
            <w:tcBorders>
              <w:top w:val="nil"/>
              <w:left w:val="nil"/>
              <w:bottom w:val="nil"/>
              <w:right w:val="nil"/>
            </w:tcBorders>
            <w:shd w:val="clear" w:color="000000" w:fill="C9E3B4"/>
            <w:noWrap/>
            <w:vAlign w:val="center"/>
            <w:hideMark/>
          </w:tcPr>
          <w:p w14:paraId="7B37BA06"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(25,677)</w:t>
            </w:r>
          </w:p>
        </w:tc>
        <w:tc>
          <w:tcPr>
            <w:tcW w:w="198" w:type="dxa"/>
            <w:tcBorders>
              <w:top w:val="nil"/>
              <w:left w:val="nil"/>
              <w:bottom w:val="single" w:sz="4" w:space="0" w:color="auto"/>
              <w:right w:val="nil"/>
            </w:tcBorders>
            <w:shd w:val="clear" w:color="auto" w:fill="auto"/>
            <w:noWrap/>
            <w:vAlign w:val="center"/>
            <w:hideMark/>
          </w:tcPr>
          <w:p w14:paraId="23E883C6"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418" w:type="dxa"/>
            <w:tcBorders>
              <w:top w:val="nil"/>
              <w:left w:val="nil"/>
              <w:bottom w:val="nil"/>
              <w:right w:val="nil"/>
            </w:tcBorders>
            <w:shd w:val="clear" w:color="000000" w:fill="C9E3B4"/>
            <w:noWrap/>
            <w:vAlign w:val="center"/>
            <w:hideMark/>
          </w:tcPr>
          <w:p w14:paraId="2A14113B"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31,784 </w:t>
            </w:r>
          </w:p>
        </w:tc>
      </w:tr>
      <w:tr w:rsidR="00EC4029" w:rsidRPr="00EC4029" w14:paraId="5AD6A790" w14:textId="77777777" w:rsidTr="00E83802">
        <w:trPr>
          <w:trHeight w:hRule="exact" w:val="198"/>
        </w:trPr>
        <w:tc>
          <w:tcPr>
            <w:tcW w:w="198" w:type="dxa"/>
            <w:tcBorders>
              <w:top w:val="nil"/>
              <w:left w:val="nil"/>
              <w:bottom w:val="nil"/>
              <w:right w:val="nil"/>
            </w:tcBorders>
            <w:shd w:val="clear" w:color="auto" w:fill="auto"/>
            <w:noWrap/>
            <w:vAlign w:val="center"/>
            <w:hideMark/>
          </w:tcPr>
          <w:p w14:paraId="327BE163"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4366" w:type="dxa"/>
            <w:tcBorders>
              <w:top w:val="single" w:sz="4" w:space="0" w:color="auto"/>
              <w:left w:val="nil"/>
              <w:bottom w:val="nil"/>
              <w:right w:val="nil"/>
            </w:tcBorders>
            <w:shd w:val="clear" w:color="auto" w:fill="auto"/>
            <w:noWrap/>
            <w:vAlign w:val="center"/>
            <w:hideMark/>
          </w:tcPr>
          <w:p w14:paraId="55827439" w14:textId="77777777" w:rsidR="00BC5219" w:rsidRPr="00EC4029" w:rsidRDefault="00BC5219" w:rsidP="00E83802">
            <w:pPr>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Total revenue</w:t>
            </w:r>
          </w:p>
        </w:tc>
        <w:tc>
          <w:tcPr>
            <w:tcW w:w="1418" w:type="dxa"/>
            <w:tcBorders>
              <w:top w:val="single" w:sz="4" w:space="0" w:color="auto"/>
              <w:left w:val="nil"/>
              <w:bottom w:val="nil"/>
              <w:right w:val="nil"/>
            </w:tcBorders>
            <w:shd w:val="clear" w:color="000000" w:fill="C9E3B4"/>
            <w:noWrap/>
            <w:vAlign w:val="center"/>
            <w:hideMark/>
          </w:tcPr>
          <w:p w14:paraId="08B17FB5"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21,801 </w:t>
            </w:r>
          </w:p>
        </w:tc>
        <w:tc>
          <w:tcPr>
            <w:tcW w:w="198" w:type="dxa"/>
            <w:tcBorders>
              <w:top w:val="nil"/>
              <w:left w:val="nil"/>
              <w:bottom w:val="nil"/>
              <w:right w:val="nil"/>
            </w:tcBorders>
            <w:shd w:val="clear" w:color="auto" w:fill="auto"/>
            <w:noWrap/>
            <w:vAlign w:val="center"/>
            <w:hideMark/>
          </w:tcPr>
          <w:p w14:paraId="1C7D03CB" w14:textId="77777777" w:rsidR="00BC5219" w:rsidRPr="00EC4029" w:rsidRDefault="00BC5219" w:rsidP="00E83802">
            <w:pPr>
              <w:jc w:val="right"/>
              <w:rPr>
                <w:rFonts w:ascii="Meta Pro" w:eastAsia="Times New Roman" w:hAnsi="Meta Pro"/>
                <w:b/>
                <w:bCs/>
                <w:color w:val="000000" w:themeColor="text1"/>
                <w:sz w:val="16"/>
                <w:szCs w:val="16"/>
                <w:lang w:eastAsia="en-AU"/>
              </w:rPr>
            </w:pPr>
          </w:p>
        </w:tc>
        <w:tc>
          <w:tcPr>
            <w:tcW w:w="1418" w:type="dxa"/>
            <w:tcBorders>
              <w:top w:val="single" w:sz="4" w:space="0" w:color="auto"/>
              <w:left w:val="nil"/>
              <w:bottom w:val="nil"/>
              <w:right w:val="nil"/>
            </w:tcBorders>
            <w:shd w:val="clear" w:color="000000" w:fill="C9E3B4"/>
            <w:noWrap/>
            <w:vAlign w:val="center"/>
            <w:hideMark/>
          </w:tcPr>
          <w:p w14:paraId="03074FB4"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13,160 </w:t>
            </w:r>
          </w:p>
        </w:tc>
        <w:tc>
          <w:tcPr>
            <w:tcW w:w="198" w:type="dxa"/>
            <w:tcBorders>
              <w:top w:val="nil"/>
              <w:left w:val="nil"/>
              <w:bottom w:val="nil"/>
              <w:right w:val="nil"/>
            </w:tcBorders>
            <w:shd w:val="clear" w:color="auto" w:fill="auto"/>
            <w:noWrap/>
            <w:vAlign w:val="center"/>
            <w:hideMark/>
          </w:tcPr>
          <w:p w14:paraId="4A894E68" w14:textId="77777777" w:rsidR="00BC5219" w:rsidRPr="00EC4029" w:rsidRDefault="00BC5219" w:rsidP="00E83802">
            <w:pPr>
              <w:jc w:val="right"/>
              <w:rPr>
                <w:rFonts w:ascii="Meta Pro" w:eastAsia="Times New Roman" w:hAnsi="Meta Pro"/>
                <w:b/>
                <w:bCs/>
                <w:color w:val="000000" w:themeColor="text1"/>
                <w:sz w:val="16"/>
                <w:szCs w:val="16"/>
                <w:lang w:eastAsia="en-AU"/>
              </w:rPr>
            </w:pPr>
          </w:p>
        </w:tc>
        <w:tc>
          <w:tcPr>
            <w:tcW w:w="1418" w:type="dxa"/>
            <w:tcBorders>
              <w:top w:val="single" w:sz="4" w:space="0" w:color="auto"/>
              <w:left w:val="nil"/>
              <w:bottom w:val="nil"/>
              <w:right w:val="nil"/>
            </w:tcBorders>
            <w:shd w:val="clear" w:color="000000" w:fill="C9E3B4"/>
            <w:noWrap/>
            <w:vAlign w:val="center"/>
            <w:hideMark/>
          </w:tcPr>
          <w:p w14:paraId="1091D775"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12,593 </w:t>
            </w:r>
          </w:p>
        </w:tc>
        <w:tc>
          <w:tcPr>
            <w:tcW w:w="198" w:type="dxa"/>
            <w:tcBorders>
              <w:top w:val="nil"/>
              <w:left w:val="nil"/>
              <w:bottom w:val="nil"/>
              <w:right w:val="nil"/>
            </w:tcBorders>
            <w:shd w:val="clear" w:color="auto" w:fill="auto"/>
            <w:noWrap/>
            <w:vAlign w:val="center"/>
            <w:hideMark/>
          </w:tcPr>
          <w:p w14:paraId="46036EA8" w14:textId="77777777" w:rsidR="00BC5219" w:rsidRPr="00EC4029" w:rsidRDefault="00BC5219" w:rsidP="00E83802">
            <w:pPr>
              <w:jc w:val="right"/>
              <w:rPr>
                <w:rFonts w:ascii="Meta Pro" w:eastAsia="Times New Roman" w:hAnsi="Meta Pro"/>
                <w:b/>
                <w:bCs/>
                <w:color w:val="000000" w:themeColor="text1"/>
                <w:sz w:val="16"/>
                <w:szCs w:val="16"/>
                <w:lang w:eastAsia="en-AU"/>
              </w:rPr>
            </w:pPr>
          </w:p>
        </w:tc>
        <w:tc>
          <w:tcPr>
            <w:tcW w:w="1418" w:type="dxa"/>
            <w:tcBorders>
              <w:top w:val="single" w:sz="4" w:space="0" w:color="auto"/>
              <w:left w:val="nil"/>
              <w:bottom w:val="nil"/>
              <w:right w:val="nil"/>
            </w:tcBorders>
            <w:shd w:val="clear" w:color="000000" w:fill="C9E3B4"/>
            <w:noWrap/>
            <w:vAlign w:val="center"/>
            <w:hideMark/>
          </w:tcPr>
          <w:p w14:paraId="0CB903FE"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1,138 </w:t>
            </w:r>
          </w:p>
        </w:tc>
        <w:tc>
          <w:tcPr>
            <w:tcW w:w="198" w:type="dxa"/>
            <w:tcBorders>
              <w:top w:val="nil"/>
              <w:left w:val="nil"/>
              <w:bottom w:val="nil"/>
              <w:right w:val="nil"/>
            </w:tcBorders>
            <w:shd w:val="clear" w:color="auto" w:fill="auto"/>
            <w:noWrap/>
            <w:vAlign w:val="center"/>
            <w:hideMark/>
          </w:tcPr>
          <w:p w14:paraId="30DADC66" w14:textId="77777777" w:rsidR="00BC5219" w:rsidRPr="00EC4029" w:rsidRDefault="00BC5219" w:rsidP="00E83802">
            <w:pPr>
              <w:jc w:val="right"/>
              <w:rPr>
                <w:rFonts w:ascii="Meta Pro" w:eastAsia="Times New Roman" w:hAnsi="Meta Pro"/>
                <w:b/>
                <w:bCs/>
                <w:color w:val="000000" w:themeColor="text1"/>
                <w:sz w:val="16"/>
                <w:szCs w:val="16"/>
                <w:lang w:eastAsia="en-AU"/>
              </w:rPr>
            </w:pPr>
          </w:p>
        </w:tc>
        <w:tc>
          <w:tcPr>
            <w:tcW w:w="1418" w:type="dxa"/>
            <w:tcBorders>
              <w:top w:val="single" w:sz="4" w:space="0" w:color="auto"/>
              <w:left w:val="nil"/>
              <w:bottom w:val="nil"/>
              <w:right w:val="nil"/>
            </w:tcBorders>
            <w:shd w:val="clear" w:color="000000" w:fill="C9E3B4"/>
            <w:noWrap/>
            <w:vAlign w:val="center"/>
            <w:hideMark/>
          </w:tcPr>
          <w:p w14:paraId="57460693"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(829,570)</w:t>
            </w:r>
          </w:p>
        </w:tc>
        <w:tc>
          <w:tcPr>
            <w:tcW w:w="198" w:type="dxa"/>
            <w:tcBorders>
              <w:top w:val="nil"/>
              <w:left w:val="nil"/>
              <w:bottom w:val="nil"/>
              <w:right w:val="nil"/>
            </w:tcBorders>
            <w:shd w:val="clear" w:color="auto" w:fill="auto"/>
            <w:noWrap/>
            <w:vAlign w:val="center"/>
            <w:hideMark/>
          </w:tcPr>
          <w:p w14:paraId="34772738" w14:textId="77777777" w:rsidR="00BC5219" w:rsidRPr="00EC4029" w:rsidRDefault="00BC5219" w:rsidP="00E83802">
            <w:pPr>
              <w:jc w:val="right"/>
              <w:rPr>
                <w:rFonts w:ascii="Meta Pro" w:eastAsia="Times New Roman" w:hAnsi="Meta Pro"/>
                <w:b/>
                <w:bCs/>
                <w:color w:val="000000" w:themeColor="text1"/>
                <w:sz w:val="16"/>
                <w:szCs w:val="16"/>
                <w:lang w:eastAsia="en-AU"/>
              </w:rPr>
            </w:pPr>
          </w:p>
        </w:tc>
        <w:tc>
          <w:tcPr>
            <w:tcW w:w="1418" w:type="dxa"/>
            <w:tcBorders>
              <w:top w:val="single" w:sz="4" w:space="0" w:color="auto"/>
              <w:left w:val="nil"/>
              <w:bottom w:val="nil"/>
              <w:right w:val="nil"/>
            </w:tcBorders>
            <w:shd w:val="clear" w:color="000000" w:fill="C9E3B4"/>
            <w:noWrap/>
            <w:vAlign w:val="center"/>
            <w:hideMark/>
          </w:tcPr>
          <w:p w14:paraId="5A2865CF"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7,690,509 </w:t>
            </w:r>
          </w:p>
        </w:tc>
      </w:tr>
      <w:tr w:rsidR="00EC4029" w:rsidRPr="00EC4029" w14:paraId="478B5A6B" w14:textId="77777777" w:rsidTr="00E83802">
        <w:trPr>
          <w:trHeight w:hRule="exact" w:val="198"/>
        </w:trPr>
        <w:tc>
          <w:tcPr>
            <w:tcW w:w="198" w:type="dxa"/>
            <w:tcBorders>
              <w:top w:val="nil"/>
              <w:left w:val="nil"/>
              <w:bottom w:val="nil"/>
              <w:right w:val="nil"/>
            </w:tcBorders>
            <w:shd w:val="clear" w:color="auto" w:fill="auto"/>
            <w:noWrap/>
            <w:vAlign w:val="center"/>
            <w:hideMark/>
          </w:tcPr>
          <w:p w14:paraId="77E738B1" w14:textId="77777777" w:rsidR="00BC5219" w:rsidRPr="00EC4029" w:rsidRDefault="00BC5219" w:rsidP="00E83802">
            <w:pPr>
              <w:jc w:val="right"/>
              <w:rPr>
                <w:rFonts w:ascii="Meta Pro" w:eastAsia="Times New Roman" w:hAnsi="Meta Pro"/>
                <w:b/>
                <w:bCs/>
                <w:color w:val="000000" w:themeColor="text1"/>
                <w:sz w:val="16"/>
                <w:szCs w:val="16"/>
                <w:lang w:eastAsia="en-AU"/>
              </w:rPr>
            </w:pPr>
          </w:p>
        </w:tc>
        <w:tc>
          <w:tcPr>
            <w:tcW w:w="4366" w:type="dxa"/>
            <w:tcBorders>
              <w:top w:val="nil"/>
              <w:left w:val="nil"/>
              <w:bottom w:val="nil"/>
              <w:right w:val="nil"/>
            </w:tcBorders>
            <w:shd w:val="clear" w:color="auto" w:fill="auto"/>
            <w:noWrap/>
            <w:vAlign w:val="center"/>
            <w:hideMark/>
          </w:tcPr>
          <w:p w14:paraId="7C76E864" w14:textId="77777777" w:rsidR="00BC5219" w:rsidRPr="00EC4029" w:rsidRDefault="00BC5219" w:rsidP="00E83802">
            <w:pPr>
              <w:rPr>
                <w:rFonts w:ascii="Meta Pro" w:eastAsia="Times New Roman" w:hAnsi="Meta Pro" w:cs="Times New Roman"/>
                <w:color w:val="000000" w:themeColor="text1"/>
                <w:sz w:val="20"/>
                <w:szCs w:val="20"/>
                <w:lang w:eastAsia="en-AU"/>
              </w:rPr>
            </w:pPr>
          </w:p>
        </w:tc>
        <w:tc>
          <w:tcPr>
            <w:tcW w:w="1418" w:type="dxa"/>
            <w:tcBorders>
              <w:top w:val="nil"/>
              <w:left w:val="nil"/>
              <w:bottom w:val="nil"/>
              <w:right w:val="nil"/>
            </w:tcBorders>
            <w:shd w:val="clear" w:color="000000" w:fill="C9E3B4"/>
            <w:noWrap/>
            <w:vAlign w:val="center"/>
            <w:hideMark/>
          </w:tcPr>
          <w:p w14:paraId="78BE3B89"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98" w:type="dxa"/>
            <w:tcBorders>
              <w:top w:val="nil"/>
              <w:left w:val="nil"/>
              <w:bottom w:val="nil"/>
              <w:right w:val="nil"/>
            </w:tcBorders>
            <w:shd w:val="clear" w:color="auto" w:fill="auto"/>
            <w:noWrap/>
            <w:vAlign w:val="center"/>
            <w:hideMark/>
          </w:tcPr>
          <w:p w14:paraId="34FEF6AC"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344A00B9"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98" w:type="dxa"/>
            <w:tcBorders>
              <w:top w:val="nil"/>
              <w:left w:val="nil"/>
              <w:bottom w:val="nil"/>
              <w:right w:val="nil"/>
            </w:tcBorders>
            <w:shd w:val="clear" w:color="auto" w:fill="auto"/>
            <w:noWrap/>
            <w:vAlign w:val="center"/>
            <w:hideMark/>
          </w:tcPr>
          <w:p w14:paraId="160A83B0"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2C6ABF8B"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98" w:type="dxa"/>
            <w:tcBorders>
              <w:top w:val="nil"/>
              <w:left w:val="nil"/>
              <w:bottom w:val="nil"/>
              <w:right w:val="nil"/>
            </w:tcBorders>
            <w:shd w:val="clear" w:color="auto" w:fill="auto"/>
            <w:noWrap/>
            <w:vAlign w:val="center"/>
            <w:hideMark/>
          </w:tcPr>
          <w:p w14:paraId="164311B6"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260B4145"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98" w:type="dxa"/>
            <w:tcBorders>
              <w:top w:val="nil"/>
              <w:left w:val="nil"/>
              <w:bottom w:val="nil"/>
              <w:right w:val="nil"/>
            </w:tcBorders>
            <w:shd w:val="clear" w:color="auto" w:fill="auto"/>
            <w:noWrap/>
            <w:vAlign w:val="center"/>
            <w:hideMark/>
          </w:tcPr>
          <w:p w14:paraId="18D3B8DA"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0D67534C"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98" w:type="dxa"/>
            <w:tcBorders>
              <w:top w:val="nil"/>
              <w:left w:val="nil"/>
              <w:bottom w:val="nil"/>
              <w:right w:val="nil"/>
            </w:tcBorders>
            <w:shd w:val="clear" w:color="auto" w:fill="auto"/>
            <w:noWrap/>
            <w:vAlign w:val="center"/>
            <w:hideMark/>
          </w:tcPr>
          <w:p w14:paraId="4FF344C1"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42A17827"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w:t>
            </w:r>
          </w:p>
        </w:tc>
      </w:tr>
      <w:tr w:rsidR="00EC4029" w:rsidRPr="00EC4029" w14:paraId="3B8D1BFA" w14:textId="77777777" w:rsidTr="00E83802">
        <w:trPr>
          <w:trHeight w:hRule="exact" w:val="198"/>
        </w:trPr>
        <w:tc>
          <w:tcPr>
            <w:tcW w:w="198" w:type="dxa"/>
            <w:tcBorders>
              <w:top w:val="nil"/>
              <w:left w:val="nil"/>
              <w:bottom w:val="single" w:sz="4" w:space="0" w:color="auto"/>
              <w:right w:val="nil"/>
            </w:tcBorders>
            <w:shd w:val="clear" w:color="auto" w:fill="auto"/>
            <w:noWrap/>
            <w:vAlign w:val="center"/>
            <w:hideMark/>
          </w:tcPr>
          <w:p w14:paraId="48188413" w14:textId="77777777" w:rsidR="00BC5219" w:rsidRPr="00EC4029" w:rsidRDefault="00BC5219" w:rsidP="00E83802">
            <w:pPr>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4366" w:type="dxa"/>
            <w:tcBorders>
              <w:top w:val="nil"/>
              <w:left w:val="nil"/>
              <w:bottom w:val="nil"/>
              <w:right w:val="nil"/>
            </w:tcBorders>
            <w:shd w:val="clear" w:color="auto" w:fill="auto"/>
            <w:noWrap/>
            <w:vAlign w:val="center"/>
            <w:hideMark/>
          </w:tcPr>
          <w:p w14:paraId="6F8FB87F" w14:textId="77777777" w:rsidR="00BC5219" w:rsidRPr="00EC4029" w:rsidRDefault="00BC5219" w:rsidP="00E83802">
            <w:pPr>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Gains on disposal of assets</w:t>
            </w:r>
          </w:p>
        </w:tc>
        <w:tc>
          <w:tcPr>
            <w:tcW w:w="1418" w:type="dxa"/>
            <w:tcBorders>
              <w:top w:val="nil"/>
              <w:left w:val="nil"/>
              <w:bottom w:val="nil"/>
              <w:right w:val="nil"/>
            </w:tcBorders>
            <w:shd w:val="clear" w:color="000000" w:fill="C9E3B4"/>
            <w:noWrap/>
            <w:vAlign w:val="center"/>
            <w:hideMark/>
          </w:tcPr>
          <w:p w14:paraId="77A5DA0B"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30AAC638"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418" w:type="dxa"/>
            <w:tcBorders>
              <w:top w:val="nil"/>
              <w:left w:val="nil"/>
              <w:bottom w:val="nil"/>
              <w:right w:val="nil"/>
            </w:tcBorders>
            <w:shd w:val="clear" w:color="000000" w:fill="C9E3B4"/>
            <w:noWrap/>
            <w:vAlign w:val="center"/>
            <w:hideMark/>
          </w:tcPr>
          <w:p w14:paraId="22830D50"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18A28E08"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418" w:type="dxa"/>
            <w:tcBorders>
              <w:top w:val="nil"/>
              <w:left w:val="nil"/>
              <w:bottom w:val="nil"/>
              <w:right w:val="nil"/>
            </w:tcBorders>
            <w:shd w:val="clear" w:color="000000" w:fill="C9E3B4"/>
            <w:noWrap/>
            <w:vAlign w:val="center"/>
            <w:hideMark/>
          </w:tcPr>
          <w:p w14:paraId="2F2F85D3"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4D2DBCFA"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418" w:type="dxa"/>
            <w:tcBorders>
              <w:top w:val="nil"/>
              <w:left w:val="nil"/>
              <w:bottom w:val="nil"/>
              <w:right w:val="nil"/>
            </w:tcBorders>
            <w:shd w:val="clear" w:color="000000" w:fill="C9E3B4"/>
            <w:noWrap/>
            <w:vAlign w:val="center"/>
            <w:hideMark/>
          </w:tcPr>
          <w:p w14:paraId="6EB7AE0A"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179CB311"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418" w:type="dxa"/>
            <w:tcBorders>
              <w:top w:val="nil"/>
              <w:left w:val="nil"/>
              <w:bottom w:val="nil"/>
              <w:right w:val="nil"/>
            </w:tcBorders>
            <w:shd w:val="clear" w:color="000000" w:fill="C9E3B4"/>
            <w:noWrap/>
            <w:vAlign w:val="center"/>
            <w:hideMark/>
          </w:tcPr>
          <w:p w14:paraId="718E4959"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7AA0C1AE"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418" w:type="dxa"/>
            <w:tcBorders>
              <w:top w:val="nil"/>
              <w:left w:val="nil"/>
              <w:bottom w:val="nil"/>
              <w:right w:val="nil"/>
            </w:tcBorders>
            <w:shd w:val="clear" w:color="000000" w:fill="C9E3B4"/>
            <w:noWrap/>
            <w:vAlign w:val="center"/>
            <w:hideMark/>
          </w:tcPr>
          <w:p w14:paraId="04333536"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2,642 </w:t>
            </w:r>
          </w:p>
        </w:tc>
      </w:tr>
      <w:tr w:rsidR="00EC4029" w:rsidRPr="00EC4029" w14:paraId="51E20C95" w14:textId="77777777" w:rsidTr="00E83802">
        <w:trPr>
          <w:trHeight w:hRule="exact" w:val="198"/>
        </w:trPr>
        <w:tc>
          <w:tcPr>
            <w:tcW w:w="198" w:type="dxa"/>
            <w:tcBorders>
              <w:top w:val="nil"/>
              <w:left w:val="nil"/>
              <w:bottom w:val="nil"/>
              <w:right w:val="nil"/>
            </w:tcBorders>
            <w:shd w:val="clear" w:color="auto" w:fill="auto"/>
            <w:noWrap/>
            <w:vAlign w:val="center"/>
            <w:hideMark/>
          </w:tcPr>
          <w:p w14:paraId="2F772AFA"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4366" w:type="dxa"/>
            <w:tcBorders>
              <w:top w:val="single" w:sz="4" w:space="0" w:color="auto"/>
              <w:left w:val="nil"/>
              <w:bottom w:val="nil"/>
              <w:right w:val="nil"/>
            </w:tcBorders>
            <w:shd w:val="clear" w:color="auto" w:fill="auto"/>
            <w:vAlign w:val="center"/>
            <w:hideMark/>
          </w:tcPr>
          <w:p w14:paraId="09B8748B" w14:textId="77777777" w:rsidR="00BC5219" w:rsidRPr="00EC4029" w:rsidRDefault="00BC5219" w:rsidP="00E83802">
            <w:pPr>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Total income</w:t>
            </w:r>
          </w:p>
        </w:tc>
        <w:tc>
          <w:tcPr>
            <w:tcW w:w="1418" w:type="dxa"/>
            <w:tcBorders>
              <w:top w:val="single" w:sz="4" w:space="0" w:color="auto"/>
              <w:left w:val="nil"/>
              <w:bottom w:val="nil"/>
              <w:right w:val="nil"/>
            </w:tcBorders>
            <w:shd w:val="clear" w:color="000000" w:fill="C9E3B4"/>
            <w:noWrap/>
            <w:vAlign w:val="center"/>
            <w:hideMark/>
          </w:tcPr>
          <w:p w14:paraId="045BA30F"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21,801 </w:t>
            </w:r>
          </w:p>
        </w:tc>
        <w:tc>
          <w:tcPr>
            <w:tcW w:w="198" w:type="dxa"/>
            <w:tcBorders>
              <w:top w:val="nil"/>
              <w:left w:val="nil"/>
              <w:bottom w:val="nil"/>
              <w:right w:val="nil"/>
            </w:tcBorders>
            <w:shd w:val="clear" w:color="auto" w:fill="auto"/>
            <w:noWrap/>
            <w:vAlign w:val="center"/>
            <w:hideMark/>
          </w:tcPr>
          <w:p w14:paraId="4A8B3085" w14:textId="77777777" w:rsidR="00BC5219" w:rsidRPr="00EC4029" w:rsidRDefault="00BC5219" w:rsidP="00E83802">
            <w:pPr>
              <w:jc w:val="right"/>
              <w:rPr>
                <w:rFonts w:ascii="Meta Pro" w:eastAsia="Times New Roman" w:hAnsi="Meta Pro"/>
                <w:b/>
                <w:bCs/>
                <w:color w:val="000000" w:themeColor="text1"/>
                <w:sz w:val="16"/>
                <w:szCs w:val="16"/>
                <w:lang w:eastAsia="en-AU"/>
              </w:rPr>
            </w:pPr>
          </w:p>
        </w:tc>
        <w:tc>
          <w:tcPr>
            <w:tcW w:w="1418" w:type="dxa"/>
            <w:tcBorders>
              <w:top w:val="single" w:sz="4" w:space="0" w:color="auto"/>
              <w:left w:val="nil"/>
              <w:bottom w:val="nil"/>
              <w:right w:val="nil"/>
            </w:tcBorders>
            <w:shd w:val="clear" w:color="000000" w:fill="C9E3B4"/>
            <w:noWrap/>
            <w:vAlign w:val="center"/>
            <w:hideMark/>
          </w:tcPr>
          <w:p w14:paraId="58D12F63"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13,160 </w:t>
            </w:r>
          </w:p>
        </w:tc>
        <w:tc>
          <w:tcPr>
            <w:tcW w:w="198" w:type="dxa"/>
            <w:tcBorders>
              <w:top w:val="nil"/>
              <w:left w:val="nil"/>
              <w:bottom w:val="nil"/>
              <w:right w:val="nil"/>
            </w:tcBorders>
            <w:shd w:val="clear" w:color="auto" w:fill="auto"/>
            <w:noWrap/>
            <w:vAlign w:val="center"/>
            <w:hideMark/>
          </w:tcPr>
          <w:p w14:paraId="6C13D755" w14:textId="77777777" w:rsidR="00BC5219" w:rsidRPr="00EC4029" w:rsidRDefault="00BC5219" w:rsidP="00E83802">
            <w:pPr>
              <w:jc w:val="right"/>
              <w:rPr>
                <w:rFonts w:ascii="Meta Pro" w:eastAsia="Times New Roman" w:hAnsi="Meta Pro"/>
                <w:b/>
                <w:bCs/>
                <w:color w:val="000000" w:themeColor="text1"/>
                <w:sz w:val="16"/>
                <w:szCs w:val="16"/>
                <w:lang w:eastAsia="en-AU"/>
              </w:rPr>
            </w:pPr>
          </w:p>
        </w:tc>
        <w:tc>
          <w:tcPr>
            <w:tcW w:w="1418" w:type="dxa"/>
            <w:tcBorders>
              <w:top w:val="single" w:sz="4" w:space="0" w:color="auto"/>
              <w:left w:val="nil"/>
              <w:bottom w:val="nil"/>
              <w:right w:val="nil"/>
            </w:tcBorders>
            <w:shd w:val="clear" w:color="000000" w:fill="C9E3B4"/>
            <w:noWrap/>
            <w:vAlign w:val="center"/>
            <w:hideMark/>
          </w:tcPr>
          <w:p w14:paraId="5038C712"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12,593 </w:t>
            </w:r>
          </w:p>
        </w:tc>
        <w:tc>
          <w:tcPr>
            <w:tcW w:w="198" w:type="dxa"/>
            <w:tcBorders>
              <w:top w:val="nil"/>
              <w:left w:val="nil"/>
              <w:bottom w:val="nil"/>
              <w:right w:val="nil"/>
            </w:tcBorders>
            <w:shd w:val="clear" w:color="auto" w:fill="auto"/>
            <w:noWrap/>
            <w:vAlign w:val="center"/>
            <w:hideMark/>
          </w:tcPr>
          <w:p w14:paraId="2D39ECA9" w14:textId="77777777" w:rsidR="00BC5219" w:rsidRPr="00EC4029" w:rsidRDefault="00BC5219" w:rsidP="00E83802">
            <w:pPr>
              <w:jc w:val="right"/>
              <w:rPr>
                <w:rFonts w:ascii="Meta Pro" w:eastAsia="Times New Roman" w:hAnsi="Meta Pro"/>
                <w:b/>
                <w:bCs/>
                <w:color w:val="000000" w:themeColor="text1"/>
                <w:sz w:val="16"/>
                <w:szCs w:val="16"/>
                <w:lang w:eastAsia="en-AU"/>
              </w:rPr>
            </w:pPr>
          </w:p>
        </w:tc>
        <w:tc>
          <w:tcPr>
            <w:tcW w:w="1418" w:type="dxa"/>
            <w:tcBorders>
              <w:top w:val="single" w:sz="4" w:space="0" w:color="auto"/>
              <w:left w:val="nil"/>
              <w:bottom w:val="nil"/>
              <w:right w:val="nil"/>
            </w:tcBorders>
            <w:shd w:val="clear" w:color="000000" w:fill="C9E3B4"/>
            <w:noWrap/>
            <w:vAlign w:val="center"/>
            <w:hideMark/>
          </w:tcPr>
          <w:p w14:paraId="2238D12F"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1,138 </w:t>
            </w:r>
          </w:p>
        </w:tc>
        <w:tc>
          <w:tcPr>
            <w:tcW w:w="198" w:type="dxa"/>
            <w:tcBorders>
              <w:top w:val="nil"/>
              <w:left w:val="nil"/>
              <w:bottom w:val="nil"/>
              <w:right w:val="nil"/>
            </w:tcBorders>
            <w:shd w:val="clear" w:color="auto" w:fill="auto"/>
            <w:noWrap/>
            <w:vAlign w:val="center"/>
            <w:hideMark/>
          </w:tcPr>
          <w:p w14:paraId="78BDBDFB" w14:textId="77777777" w:rsidR="00BC5219" w:rsidRPr="00EC4029" w:rsidRDefault="00BC5219" w:rsidP="00E83802">
            <w:pPr>
              <w:jc w:val="right"/>
              <w:rPr>
                <w:rFonts w:ascii="Meta Pro" w:eastAsia="Times New Roman" w:hAnsi="Meta Pro"/>
                <w:b/>
                <w:bCs/>
                <w:color w:val="000000" w:themeColor="text1"/>
                <w:sz w:val="16"/>
                <w:szCs w:val="16"/>
                <w:lang w:eastAsia="en-AU"/>
              </w:rPr>
            </w:pPr>
          </w:p>
        </w:tc>
        <w:tc>
          <w:tcPr>
            <w:tcW w:w="1418" w:type="dxa"/>
            <w:tcBorders>
              <w:top w:val="single" w:sz="4" w:space="0" w:color="auto"/>
              <w:left w:val="nil"/>
              <w:bottom w:val="nil"/>
              <w:right w:val="nil"/>
            </w:tcBorders>
            <w:shd w:val="clear" w:color="000000" w:fill="C9E3B4"/>
            <w:noWrap/>
            <w:vAlign w:val="center"/>
            <w:hideMark/>
          </w:tcPr>
          <w:p w14:paraId="222E3215"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(829,570)</w:t>
            </w:r>
          </w:p>
        </w:tc>
        <w:tc>
          <w:tcPr>
            <w:tcW w:w="198" w:type="dxa"/>
            <w:tcBorders>
              <w:top w:val="nil"/>
              <w:left w:val="nil"/>
              <w:bottom w:val="nil"/>
              <w:right w:val="nil"/>
            </w:tcBorders>
            <w:shd w:val="clear" w:color="auto" w:fill="auto"/>
            <w:noWrap/>
            <w:vAlign w:val="center"/>
            <w:hideMark/>
          </w:tcPr>
          <w:p w14:paraId="614418AF" w14:textId="77777777" w:rsidR="00BC5219" w:rsidRPr="00EC4029" w:rsidRDefault="00BC5219" w:rsidP="00E83802">
            <w:pPr>
              <w:jc w:val="right"/>
              <w:rPr>
                <w:rFonts w:ascii="Meta Pro" w:eastAsia="Times New Roman" w:hAnsi="Meta Pro"/>
                <w:b/>
                <w:bCs/>
                <w:color w:val="000000" w:themeColor="text1"/>
                <w:sz w:val="16"/>
                <w:szCs w:val="16"/>
                <w:lang w:eastAsia="en-AU"/>
              </w:rPr>
            </w:pPr>
          </w:p>
        </w:tc>
        <w:tc>
          <w:tcPr>
            <w:tcW w:w="1418" w:type="dxa"/>
            <w:tcBorders>
              <w:top w:val="single" w:sz="4" w:space="0" w:color="auto"/>
              <w:left w:val="nil"/>
              <w:bottom w:val="nil"/>
              <w:right w:val="nil"/>
            </w:tcBorders>
            <w:shd w:val="clear" w:color="000000" w:fill="C9E3B4"/>
            <w:noWrap/>
            <w:vAlign w:val="center"/>
            <w:hideMark/>
          </w:tcPr>
          <w:p w14:paraId="0C73CF3D"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7,693,151 </w:t>
            </w:r>
          </w:p>
        </w:tc>
      </w:tr>
      <w:tr w:rsidR="00EC4029" w:rsidRPr="00EC4029" w14:paraId="332119D2" w14:textId="77777777" w:rsidTr="00E83802">
        <w:trPr>
          <w:trHeight w:hRule="exact" w:val="198"/>
        </w:trPr>
        <w:tc>
          <w:tcPr>
            <w:tcW w:w="198" w:type="dxa"/>
            <w:tcBorders>
              <w:top w:val="nil"/>
              <w:left w:val="nil"/>
              <w:bottom w:val="nil"/>
              <w:right w:val="nil"/>
            </w:tcBorders>
            <w:shd w:val="clear" w:color="auto" w:fill="auto"/>
            <w:noWrap/>
            <w:vAlign w:val="center"/>
            <w:hideMark/>
          </w:tcPr>
          <w:p w14:paraId="68099D86" w14:textId="77777777" w:rsidR="00BC5219" w:rsidRPr="00EC4029" w:rsidRDefault="00BC5219" w:rsidP="00E83802">
            <w:pPr>
              <w:jc w:val="right"/>
              <w:rPr>
                <w:rFonts w:ascii="Meta Pro" w:eastAsia="Times New Roman" w:hAnsi="Meta Pro"/>
                <w:b/>
                <w:bCs/>
                <w:color w:val="000000" w:themeColor="text1"/>
                <w:sz w:val="16"/>
                <w:szCs w:val="16"/>
                <w:lang w:eastAsia="en-AU"/>
              </w:rPr>
            </w:pPr>
          </w:p>
        </w:tc>
        <w:tc>
          <w:tcPr>
            <w:tcW w:w="4366" w:type="dxa"/>
            <w:tcBorders>
              <w:top w:val="nil"/>
              <w:left w:val="nil"/>
              <w:bottom w:val="nil"/>
              <w:right w:val="nil"/>
            </w:tcBorders>
            <w:shd w:val="clear" w:color="auto" w:fill="auto"/>
            <w:vAlign w:val="center"/>
            <w:hideMark/>
          </w:tcPr>
          <w:p w14:paraId="53ECFF03" w14:textId="77777777" w:rsidR="00BC5219" w:rsidRPr="00EC4029" w:rsidRDefault="00BC5219" w:rsidP="00E83802">
            <w:pPr>
              <w:rPr>
                <w:rFonts w:ascii="Meta Pro" w:eastAsia="Times New Roman" w:hAnsi="Meta Pro" w:cs="Times New Roman"/>
                <w:color w:val="000000" w:themeColor="text1"/>
                <w:sz w:val="20"/>
                <w:szCs w:val="20"/>
                <w:lang w:eastAsia="en-AU"/>
              </w:rPr>
            </w:pPr>
          </w:p>
        </w:tc>
        <w:tc>
          <w:tcPr>
            <w:tcW w:w="1418" w:type="dxa"/>
            <w:tcBorders>
              <w:top w:val="nil"/>
              <w:left w:val="nil"/>
              <w:bottom w:val="nil"/>
              <w:right w:val="nil"/>
            </w:tcBorders>
            <w:shd w:val="clear" w:color="000000" w:fill="C9E3B4"/>
            <w:noWrap/>
            <w:vAlign w:val="center"/>
            <w:hideMark/>
          </w:tcPr>
          <w:p w14:paraId="45FFEE0E"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98" w:type="dxa"/>
            <w:tcBorders>
              <w:top w:val="nil"/>
              <w:left w:val="nil"/>
              <w:bottom w:val="nil"/>
              <w:right w:val="nil"/>
            </w:tcBorders>
            <w:shd w:val="clear" w:color="auto" w:fill="auto"/>
            <w:noWrap/>
            <w:vAlign w:val="center"/>
            <w:hideMark/>
          </w:tcPr>
          <w:p w14:paraId="065C725F"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239C4D7A"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98" w:type="dxa"/>
            <w:tcBorders>
              <w:top w:val="nil"/>
              <w:left w:val="nil"/>
              <w:bottom w:val="nil"/>
              <w:right w:val="nil"/>
            </w:tcBorders>
            <w:shd w:val="clear" w:color="auto" w:fill="auto"/>
            <w:noWrap/>
            <w:vAlign w:val="center"/>
            <w:hideMark/>
          </w:tcPr>
          <w:p w14:paraId="3E55062E"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5EDAE9C7"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98" w:type="dxa"/>
            <w:tcBorders>
              <w:top w:val="nil"/>
              <w:left w:val="nil"/>
              <w:bottom w:val="nil"/>
              <w:right w:val="nil"/>
            </w:tcBorders>
            <w:shd w:val="clear" w:color="auto" w:fill="auto"/>
            <w:noWrap/>
            <w:vAlign w:val="center"/>
            <w:hideMark/>
          </w:tcPr>
          <w:p w14:paraId="0F4753AF"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3E6212A0"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98" w:type="dxa"/>
            <w:tcBorders>
              <w:top w:val="nil"/>
              <w:left w:val="nil"/>
              <w:bottom w:val="nil"/>
              <w:right w:val="nil"/>
            </w:tcBorders>
            <w:shd w:val="clear" w:color="auto" w:fill="auto"/>
            <w:noWrap/>
            <w:vAlign w:val="center"/>
            <w:hideMark/>
          </w:tcPr>
          <w:p w14:paraId="53716ADA"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411D0829"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98" w:type="dxa"/>
            <w:tcBorders>
              <w:top w:val="nil"/>
              <w:left w:val="nil"/>
              <w:bottom w:val="nil"/>
              <w:right w:val="nil"/>
            </w:tcBorders>
            <w:shd w:val="clear" w:color="auto" w:fill="auto"/>
            <w:noWrap/>
            <w:vAlign w:val="center"/>
            <w:hideMark/>
          </w:tcPr>
          <w:p w14:paraId="11CED401"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46A7EC4D"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w:t>
            </w:r>
          </w:p>
        </w:tc>
      </w:tr>
      <w:tr w:rsidR="00EC4029" w:rsidRPr="00EC4029" w14:paraId="7491FFB7" w14:textId="77777777" w:rsidTr="00E83802">
        <w:trPr>
          <w:trHeight w:hRule="exact" w:val="198"/>
        </w:trPr>
        <w:tc>
          <w:tcPr>
            <w:tcW w:w="4366" w:type="dxa"/>
            <w:gridSpan w:val="2"/>
            <w:tcBorders>
              <w:top w:val="nil"/>
              <w:left w:val="nil"/>
              <w:bottom w:val="nil"/>
              <w:right w:val="nil"/>
            </w:tcBorders>
            <w:shd w:val="clear" w:color="auto" w:fill="auto"/>
            <w:noWrap/>
            <w:vAlign w:val="center"/>
            <w:hideMark/>
          </w:tcPr>
          <w:p w14:paraId="17E84A95" w14:textId="77777777" w:rsidR="00BC5219" w:rsidRPr="00EC4029" w:rsidRDefault="00BC5219" w:rsidP="00E83802">
            <w:pPr>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Expenses</w:t>
            </w:r>
          </w:p>
        </w:tc>
        <w:tc>
          <w:tcPr>
            <w:tcW w:w="1418" w:type="dxa"/>
            <w:tcBorders>
              <w:top w:val="nil"/>
              <w:left w:val="nil"/>
              <w:bottom w:val="nil"/>
              <w:right w:val="nil"/>
            </w:tcBorders>
            <w:shd w:val="clear" w:color="000000" w:fill="C9E3B4"/>
            <w:noWrap/>
            <w:vAlign w:val="center"/>
            <w:hideMark/>
          </w:tcPr>
          <w:p w14:paraId="4581FFEF"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98" w:type="dxa"/>
            <w:tcBorders>
              <w:top w:val="nil"/>
              <w:left w:val="nil"/>
              <w:bottom w:val="nil"/>
              <w:right w:val="nil"/>
            </w:tcBorders>
            <w:shd w:val="clear" w:color="auto" w:fill="auto"/>
            <w:noWrap/>
            <w:vAlign w:val="center"/>
            <w:hideMark/>
          </w:tcPr>
          <w:p w14:paraId="27444A71"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01E8A9FF"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98" w:type="dxa"/>
            <w:tcBorders>
              <w:top w:val="nil"/>
              <w:left w:val="nil"/>
              <w:bottom w:val="nil"/>
              <w:right w:val="nil"/>
            </w:tcBorders>
            <w:shd w:val="clear" w:color="auto" w:fill="auto"/>
            <w:noWrap/>
            <w:vAlign w:val="center"/>
            <w:hideMark/>
          </w:tcPr>
          <w:p w14:paraId="55CE400D"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647C1734"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98" w:type="dxa"/>
            <w:tcBorders>
              <w:top w:val="nil"/>
              <w:left w:val="nil"/>
              <w:bottom w:val="nil"/>
              <w:right w:val="nil"/>
            </w:tcBorders>
            <w:shd w:val="clear" w:color="auto" w:fill="auto"/>
            <w:noWrap/>
            <w:vAlign w:val="center"/>
            <w:hideMark/>
          </w:tcPr>
          <w:p w14:paraId="079306A0"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2E71EEB5"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98" w:type="dxa"/>
            <w:tcBorders>
              <w:top w:val="nil"/>
              <w:left w:val="nil"/>
              <w:bottom w:val="nil"/>
              <w:right w:val="nil"/>
            </w:tcBorders>
            <w:shd w:val="clear" w:color="auto" w:fill="auto"/>
            <w:noWrap/>
            <w:vAlign w:val="center"/>
            <w:hideMark/>
          </w:tcPr>
          <w:p w14:paraId="63DF73A3"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0E6424E9"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98" w:type="dxa"/>
            <w:tcBorders>
              <w:top w:val="nil"/>
              <w:left w:val="nil"/>
              <w:bottom w:val="nil"/>
              <w:right w:val="nil"/>
            </w:tcBorders>
            <w:shd w:val="clear" w:color="auto" w:fill="auto"/>
            <w:noWrap/>
            <w:vAlign w:val="center"/>
            <w:hideMark/>
          </w:tcPr>
          <w:p w14:paraId="32E8B951"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251A1485"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w:t>
            </w:r>
          </w:p>
        </w:tc>
      </w:tr>
      <w:tr w:rsidR="00EC4029" w:rsidRPr="00EC4029" w14:paraId="7603963E" w14:textId="77777777" w:rsidTr="00E83802">
        <w:trPr>
          <w:trHeight w:hRule="exact" w:val="198"/>
        </w:trPr>
        <w:tc>
          <w:tcPr>
            <w:tcW w:w="198" w:type="dxa"/>
            <w:tcBorders>
              <w:top w:val="nil"/>
              <w:left w:val="nil"/>
              <w:bottom w:val="nil"/>
              <w:right w:val="nil"/>
            </w:tcBorders>
            <w:shd w:val="clear" w:color="auto" w:fill="auto"/>
            <w:noWrap/>
            <w:vAlign w:val="center"/>
            <w:hideMark/>
          </w:tcPr>
          <w:p w14:paraId="200C01AC"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4366" w:type="dxa"/>
            <w:tcBorders>
              <w:top w:val="nil"/>
              <w:left w:val="nil"/>
              <w:bottom w:val="nil"/>
              <w:right w:val="nil"/>
            </w:tcBorders>
            <w:shd w:val="clear" w:color="auto" w:fill="auto"/>
            <w:noWrap/>
            <w:vAlign w:val="center"/>
            <w:hideMark/>
          </w:tcPr>
          <w:p w14:paraId="07A8F66F" w14:textId="77777777" w:rsidR="00BC5219" w:rsidRPr="00EC4029" w:rsidRDefault="00BC5219" w:rsidP="00E83802">
            <w:pPr>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Employee expenses</w:t>
            </w:r>
          </w:p>
        </w:tc>
        <w:tc>
          <w:tcPr>
            <w:tcW w:w="1418" w:type="dxa"/>
            <w:tcBorders>
              <w:top w:val="nil"/>
              <w:left w:val="nil"/>
              <w:bottom w:val="nil"/>
              <w:right w:val="nil"/>
            </w:tcBorders>
            <w:shd w:val="clear" w:color="000000" w:fill="C9E3B4"/>
            <w:noWrap/>
            <w:vAlign w:val="center"/>
            <w:hideMark/>
          </w:tcPr>
          <w:p w14:paraId="7802B6B8"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6,548 </w:t>
            </w:r>
          </w:p>
        </w:tc>
        <w:tc>
          <w:tcPr>
            <w:tcW w:w="198" w:type="dxa"/>
            <w:tcBorders>
              <w:top w:val="nil"/>
              <w:left w:val="nil"/>
              <w:bottom w:val="nil"/>
              <w:right w:val="nil"/>
            </w:tcBorders>
            <w:shd w:val="clear" w:color="auto" w:fill="auto"/>
            <w:noWrap/>
            <w:vAlign w:val="center"/>
            <w:hideMark/>
          </w:tcPr>
          <w:p w14:paraId="1B28AC1A"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025F33A5"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3,434 </w:t>
            </w:r>
          </w:p>
        </w:tc>
        <w:tc>
          <w:tcPr>
            <w:tcW w:w="198" w:type="dxa"/>
            <w:tcBorders>
              <w:top w:val="nil"/>
              <w:left w:val="nil"/>
              <w:bottom w:val="nil"/>
              <w:right w:val="nil"/>
            </w:tcBorders>
            <w:shd w:val="clear" w:color="auto" w:fill="auto"/>
            <w:noWrap/>
            <w:vAlign w:val="center"/>
            <w:hideMark/>
          </w:tcPr>
          <w:p w14:paraId="194CFE63"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39C7CD58"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6,877 </w:t>
            </w:r>
          </w:p>
        </w:tc>
        <w:tc>
          <w:tcPr>
            <w:tcW w:w="198" w:type="dxa"/>
            <w:tcBorders>
              <w:top w:val="nil"/>
              <w:left w:val="nil"/>
              <w:bottom w:val="nil"/>
              <w:right w:val="nil"/>
            </w:tcBorders>
            <w:shd w:val="clear" w:color="auto" w:fill="auto"/>
            <w:noWrap/>
            <w:vAlign w:val="center"/>
            <w:hideMark/>
          </w:tcPr>
          <w:p w14:paraId="411D8E59"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25EABCF5"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756 </w:t>
            </w:r>
          </w:p>
        </w:tc>
        <w:tc>
          <w:tcPr>
            <w:tcW w:w="198" w:type="dxa"/>
            <w:tcBorders>
              <w:top w:val="nil"/>
              <w:left w:val="nil"/>
              <w:bottom w:val="nil"/>
              <w:right w:val="nil"/>
            </w:tcBorders>
            <w:shd w:val="clear" w:color="auto" w:fill="auto"/>
            <w:noWrap/>
            <w:vAlign w:val="center"/>
            <w:hideMark/>
          </w:tcPr>
          <w:p w14:paraId="395FC790"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2A77C0DF"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(128,572)</w:t>
            </w:r>
          </w:p>
        </w:tc>
        <w:tc>
          <w:tcPr>
            <w:tcW w:w="198" w:type="dxa"/>
            <w:tcBorders>
              <w:top w:val="nil"/>
              <w:left w:val="nil"/>
              <w:bottom w:val="nil"/>
              <w:right w:val="nil"/>
            </w:tcBorders>
            <w:shd w:val="clear" w:color="auto" w:fill="auto"/>
            <w:noWrap/>
            <w:vAlign w:val="center"/>
            <w:hideMark/>
          </w:tcPr>
          <w:p w14:paraId="4F2EF185"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56F4523B"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709,747 </w:t>
            </w:r>
          </w:p>
        </w:tc>
      </w:tr>
      <w:tr w:rsidR="00EC4029" w:rsidRPr="00EC4029" w14:paraId="20A1E019" w14:textId="77777777" w:rsidTr="00E83802">
        <w:trPr>
          <w:trHeight w:hRule="exact" w:val="198"/>
        </w:trPr>
        <w:tc>
          <w:tcPr>
            <w:tcW w:w="198" w:type="dxa"/>
            <w:tcBorders>
              <w:top w:val="nil"/>
              <w:left w:val="nil"/>
              <w:bottom w:val="nil"/>
              <w:right w:val="nil"/>
            </w:tcBorders>
            <w:shd w:val="clear" w:color="auto" w:fill="auto"/>
            <w:noWrap/>
            <w:vAlign w:val="center"/>
            <w:hideMark/>
          </w:tcPr>
          <w:p w14:paraId="02A7CF8C"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4366" w:type="dxa"/>
            <w:tcBorders>
              <w:top w:val="nil"/>
              <w:left w:val="nil"/>
              <w:bottom w:val="nil"/>
              <w:right w:val="nil"/>
            </w:tcBorders>
            <w:shd w:val="clear" w:color="auto" w:fill="auto"/>
            <w:noWrap/>
            <w:vAlign w:val="center"/>
            <w:hideMark/>
          </w:tcPr>
          <w:p w14:paraId="7AD1ED9F" w14:textId="77777777" w:rsidR="00BC5219" w:rsidRPr="00EC4029" w:rsidRDefault="00BC5219" w:rsidP="00E83802">
            <w:pPr>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Supplies and services </w:t>
            </w:r>
          </w:p>
        </w:tc>
        <w:tc>
          <w:tcPr>
            <w:tcW w:w="1418" w:type="dxa"/>
            <w:tcBorders>
              <w:top w:val="nil"/>
              <w:left w:val="nil"/>
              <w:bottom w:val="nil"/>
              <w:right w:val="nil"/>
            </w:tcBorders>
            <w:shd w:val="clear" w:color="000000" w:fill="C9E3B4"/>
            <w:noWrap/>
            <w:vAlign w:val="center"/>
            <w:hideMark/>
          </w:tcPr>
          <w:p w14:paraId="6295DCB5"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12,962 </w:t>
            </w:r>
          </w:p>
        </w:tc>
        <w:tc>
          <w:tcPr>
            <w:tcW w:w="198" w:type="dxa"/>
            <w:tcBorders>
              <w:top w:val="nil"/>
              <w:left w:val="nil"/>
              <w:bottom w:val="nil"/>
              <w:right w:val="nil"/>
            </w:tcBorders>
            <w:shd w:val="clear" w:color="auto" w:fill="auto"/>
            <w:noWrap/>
            <w:vAlign w:val="center"/>
            <w:hideMark/>
          </w:tcPr>
          <w:p w14:paraId="2A40E48C"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168C8BB4"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7,954 </w:t>
            </w:r>
          </w:p>
        </w:tc>
        <w:tc>
          <w:tcPr>
            <w:tcW w:w="198" w:type="dxa"/>
            <w:tcBorders>
              <w:top w:val="nil"/>
              <w:left w:val="nil"/>
              <w:bottom w:val="nil"/>
              <w:right w:val="nil"/>
            </w:tcBorders>
            <w:shd w:val="clear" w:color="auto" w:fill="auto"/>
            <w:noWrap/>
            <w:vAlign w:val="center"/>
            <w:hideMark/>
          </w:tcPr>
          <w:p w14:paraId="28D83EC0"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0AEC14BC"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4,855 </w:t>
            </w:r>
          </w:p>
        </w:tc>
        <w:tc>
          <w:tcPr>
            <w:tcW w:w="198" w:type="dxa"/>
            <w:tcBorders>
              <w:top w:val="nil"/>
              <w:left w:val="nil"/>
              <w:bottom w:val="nil"/>
              <w:right w:val="nil"/>
            </w:tcBorders>
            <w:shd w:val="clear" w:color="auto" w:fill="auto"/>
            <w:noWrap/>
            <w:vAlign w:val="center"/>
            <w:hideMark/>
          </w:tcPr>
          <w:p w14:paraId="1DE420A1"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53C47A08"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397 </w:t>
            </w:r>
          </w:p>
        </w:tc>
        <w:tc>
          <w:tcPr>
            <w:tcW w:w="198" w:type="dxa"/>
            <w:tcBorders>
              <w:top w:val="nil"/>
              <w:left w:val="nil"/>
              <w:bottom w:val="nil"/>
              <w:right w:val="nil"/>
            </w:tcBorders>
            <w:shd w:val="clear" w:color="auto" w:fill="auto"/>
            <w:noWrap/>
            <w:vAlign w:val="center"/>
            <w:hideMark/>
          </w:tcPr>
          <w:p w14:paraId="338A71EE"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614175F3"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(675,321)</w:t>
            </w:r>
          </w:p>
        </w:tc>
        <w:tc>
          <w:tcPr>
            <w:tcW w:w="198" w:type="dxa"/>
            <w:tcBorders>
              <w:top w:val="nil"/>
              <w:left w:val="nil"/>
              <w:bottom w:val="nil"/>
              <w:right w:val="nil"/>
            </w:tcBorders>
            <w:shd w:val="clear" w:color="auto" w:fill="auto"/>
            <w:noWrap/>
            <w:vAlign w:val="center"/>
            <w:hideMark/>
          </w:tcPr>
          <w:p w14:paraId="2756D7DA"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49A3813D"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4,536,142 </w:t>
            </w:r>
          </w:p>
        </w:tc>
      </w:tr>
      <w:tr w:rsidR="00EC4029" w:rsidRPr="00EC4029" w14:paraId="0182FA8A" w14:textId="77777777" w:rsidTr="00E83802">
        <w:trPr>
          <w:trHeight w:hRule="exact" w:val="198"/>
        </w:trPr>
        <w:tc>
          <w:tcPr>
            <w:tcW w:w="198" w:type="dxa"/>
            <w:tcBorders>
              <w:top w:val="nil"/>
              <w:left w:val="nil"/>
              <w:bottom w:val="nil"/>
              <w:right w:val="nil"/>
            </w:tcBorders>
            <w:shd w:val="clear" w:color="auto" w:fill="auto"/>
            <w:noWrap/>
            <w:vAlign w:val="center"/>
            <w:hideMark/>
          </w:tcPr>
          <w:p w14:paraId="7D1ED7E0"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4366" w:type="dxa"/>
            <w:tcBorders>
              <w:top w:val="nil"/>
              <w:left w:val="nil"/>
              <w:bottom w:val="nil"/>
              <w:right w:val="nil"/>
            </w:tcBorders>
            <w:shd w:val="clear" w:color="auto" w:fill="auto"/>
            <w:noWrap/>
            <w:vAlign w:val="center"/>
            <w:hideMark/>
          </w:tcPr>
          <w:p w14:paraId="234CA071" w14:textId="77777777" w:rsidR="00BC5219" w:rsidRPr="00EC4029" w:rsidRDefault="00BC5219" w:rsidP="00E83802">
            <w:pPr>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Grants and subsidies </w:t>
            </w:r>
          </w:p>
        </w:tc>
        <w:tc>
          <w:tcPr>
            <w:tcW w:w="1418" w:type="dxa"/>
            <w:tcBorders>
              <w:top w:val="nil"/>
              <w:left w:val="nil"/>
              <w:bottom w:val="nil"/>
              <w:right w:val="nil"/>
            </w:tcBorders>
            <w:shd w:val="clear" w:color="000000" w:fill="C9E3B4"/>
            <w:noWrap/>
            <w:vAlign w:val="center"/>
            <w:hideMark/>
          </w:tcPr>
          <w:p w14:paraId="4DB3D076"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496 </w:t>
            </w:r>
          </w:p>
        </w:tc>
        <w:tc>
          <w:tcPr>
            <w:tcW w:w="198" w:type="dxa"/>
            <w:tcBorders>
              <w:top w:val="nil"/>
              <w:left w:val="nil"/>
              <w:bottom w:val="nil"/>
              <w:right w:val="nil"/>
            </w:tcBorders>
            <w:shd w:val="clear" w:color="auto" w:fill="auto"/>
            <w:noWrap/>
            <w:vAlign w:val="center"/>
            <w:hideMark/>
          </w:tcPr>
          <w:p w14:paraId="06512EAA"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7377E388"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5960C5F3"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7096EAB1"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68B68C53"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3E322817"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2538CF53"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0F767C3F"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4F892F3D"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5CE61365"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796,688 </w:t>
            </w:r>
          </w:p>
        </w:tc>
      </w:tr>
      <w:tr w:rsidR="00EC4029" w:rsidRPr="00EC4029" w14:paraId="7B839A52" w14:textId="77777777" w:rsidTr="00E83802">
        <w:trPr>
          <w:trHeight w:hRule="exact" w:val="198"/>
        </w:trPr>
        <w:tc>
          <w:tcPr>
            <w:tcW w:w="198" w:type="dxa"/>
            <w:tcBorders>
              <w:top w:val="nil"/>
              <w:left w:val="nil"/>
              <w:bottom w:val="nil"/>
              <w:right w:val="nil"/>
            </w:tcBorders>
            <w:shd w:val="clear" w:color="auto" w:fill="auto"/>
            <w:noWrap/>
            <w:vAlign w:val="center"/>
            <w:hideMark/>
          </w:tcPr>
          <w:p w14:paraId="18D22261"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4366" w:type="dxa"/>
            <w:tcBorders>
              <w:top w:val="nil"/>
              <w:left w:val="nil"/>
              <w:bottom w:val="nil"/>
              <w:right w:val="nil"/>
            </w:tcBorders>
            <w:shd w:val="clear" w:color="auto" w:fill="auto"/>
            <w:noWrap/>
            <w:vAlign w:val="center"/>
            <w:hideMark/>
          </w:tcPr>
          <w:p w14:paraId="507D9717" w14:textId="77777777" w:rsidR="00BC5219" w:rsidRPr="00EC4029" w:rsidRDefault="00BC5219" w:rsidP="00E83802">
            <w:pPr>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Finance and borrowing costs</w:t>
            </w:r>
          </w:p>
        </w:tc>
        <w:tc>
          <w:tcPr>
            <w:tcW w:w="1418" w:type="dxa"/>
            <w:tcBorders>
              <w:top w:val="nil"/>
              <w:left w:val="nil"/>
              <w:bottom w:val="nil"/>
              <w:right w:val="nil"/>
            </w:tcBorders>
            <w:shd w:val="clear" w:color="000000" w:fill="C9E3B4"/>
            <w:noWrap/>
            <w:vAlign w:val="center"/>
            <w:hideMark/>
          </w:tcPr>
          <w:p w14:paraId="7D1A2701"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261 </w:t>
            </w:r>
          </w:p>
        </w:tc>
        <w:tc>
          <w:tcPr>
            <w:tcW w:w="198" w:type="dxa"/>
            <w:tcBorders>
              <w:top w:val="nil"/>
              <w:left w:val="nil"/>
              <w:bottom w:val="nil"/>
              <w:right w:val="nil"/>
            </w:tcBorders>
            <w:shd w:val="clear" w:color="auto" w:fill="auto"/>
            <w:noWrap/>
            <w:vAlign w:val="center"/>
            <w:hideMark/>
          </w:tcPr>
          <w:p w14:paraId="6F574B32"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02ECA47F"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22 </w:t>
            </w:r>
          </w:p>
        </w:tc>
        <w:tc>
          <w:tcPr>
            <w:tcW w:w="198" w:type="dxa"/>
            <w:tcBorders>
              <w:top w:val="nil"/>
              <w:left w:val="nil"/>
              <w:bottom w:val="nil"/>
              <w:right w:val="nil"/>
            </w:tcBorders>
            <w:shd w:val="clear" w:color="auto" w:fill="auto"/>
            <w:noWrap/>
            <w:vAlign w:val="center"/>
            <w:hideMark/>
          </w:tcPr>
          <w:p w14:paraId="4B6F3BD5"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05572DDB"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7C86DC02"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5CB3346F"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61EF5BF7"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36A8042C"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(2,295)</w:t>
            </w:r>
          </w:p>
        </w:tc>
        <w:tc>
          <w:tcPr>
            <w:tcW w:w="198" w:type="dxa"/>
            <w:tcBorders>
              <w:top w:val="nil"/>
              <w:left w:val="nil"/>
              <w:bottom w:val="nil"/>
              <w:right w:val="nil"/>
            </w:tcBorders>
            <w:shd w:val="clear" w:color="auto" w:fill="auto"/>
            <w:noWrap/>
            <w:vAlign w:val="center"/>
            <w:hideMark/>
          </w:tcPr>
          <w:p w14:paraId="66B4E5F9"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44E76111"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97,277 </w:t>
            </w:r>
          </w:p>
        </w:tc>
      </w:tr>
      <w:tr w:rsidR="00EC4029" w:rsidRPr="00EC4029" w14:paraId="60D76F33" w14:textId="77777777" w:rsidTr="00E83802">
        <w:trPr>
          <w:trHeight w:hRule="exact" w:val="198"/>
        </w:trPr>
        <w:tc>
          <w:tcPr>
            <w:tcW w:w="198" w:type="dxa"/>
            <w:tcBorders>
              <w:top w:val="nil"/>
              <w:left w:val="nil"/>
              <w:bottom w:val="nil"/>
              <w:right w:val="nil"/>
            </w:tcBorders>
            <w:shd w:val="clear" w:color="auto" w:fill="auto"/>
            <w:noWrap/>
            <w:vAlign w:val="center"/>
            <w:hideMark/>
          </w:tcPr>
          <w:p w14:paraId="02C43121"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4366" w:type="dxa"/>
            <w:tcBorders>
              <w:top w:val="nil"/>
              <w:left w:val="nil"/>
              <w:bottom w:val="nil"/>
              <w:right w:val="nil"/>
            </w:tcBorders>
            <w:shd w:val="clear" w:color="auto" w:fill="auto"/>
            <w:noWrap/>
            <w:vAlign w:val="center"/>
            <w:hideMark/>
          </w:tcPr>
          <w:p w14:paraId="3B9D83D9" w14:textId="77777777" w:rsidR="00BC5219" w:rsidRPr="00EC4029" w:rsidRDefault="00BC5219" w:rsidP="00E83802">
            <w:pPr>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Depreciation and amortisation </w:t>
            </w:r>
          </w:p>
        </w:tc>
        <w:tc>
          <w:tcPr>
            <w:tcW w:w="1418" w:type="dxa"/>
            <w:tcBorders>
              <w:top w:val="nil"/>
              <w:left w:val="nil"/>
              <w:bottom w:val="nil"/>
              <w:right w:val="nil"/>
            </w:tcBorders>
            <w:shd w:val="clear" w:color="000000" w:fill="C9E3B4"/>
            <w:noWrap/>
            <w:vAlign w:val="center"/>
            <w:hideMark/>
          </w:tcPr>
          <w:p w14:paraId="24D7F2E7"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1,523 </w:t>
            </w:r>
          </w:p>
        </w:tc>
        <w:tc>
          <w:tcPr>
            <w:tcW w:w="198" w:type="dxa"/>
            <w:tcBorders>
              <w:top w:val="nil"/>
              <w:left w:val="nil"/>
              <w:bottom w:val="nil"/>
              <w:right w:val="nil"/>
            </w:tcBorders>
            <w:shd w:val="clear" w:color="auto" w:fill="auto"/>
            <w:noWrap/>
            <w:vAlign w:val="center"/>
            <w:hideMark/>
          </w:tcPr>
          <w:p w14:paraId="0B8E54F3"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6E5D9743"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1,079 </w:t>
            </w:r>
          </w:p>
        </w:tc>
        <w:tc>
          <w:tcPr>
            <w:tcW w:w="198" w:type="dxa"/>
            <w:tcBorders>
              <w:top w:val="nil"/>
              <w:left w:val="nil"/>
              <w:bottom w:val="nil"/>
              <w:right w:val="nil"/>
            </w:tcBorders>
            <w:shd w:val="clear" w:color="auto" w:fill="auto"/>
            <w:noWrap/>
            <w:vAlign w:val="center"/>
            <w:hideMark/>
          </w:tcPr>
          <w:p w14:paraId="1780CCE5"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434121DE"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152 </w:t>
            </w:r>
          </w:p>
        </w:tc>
        <w:tc>
          <w:tcPr>
            <w:tcW w:w="198" w:type="dxa"/>
            <w:tcBorders>
              <w:top w:val="nil"/>
              <w:left w:val="nil"/>
              <w:bottom w:val="nil"/>
              <w:right w:val="nil"/>
            </w:tcBorders>
            <w:shd w:val="clear" w:color="auto" w:fill="auto"/>
            <w:noWrap/>
            <w:vAlign w:val="center"/>
            <w:hideMark/>
          </w:tcPr>
          <w:p w14:paraId="34BD0FBA"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54111063"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2DAE7A30"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19923D36"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1A42F5D2"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15DD2B6B"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1,506,325 </w:t>
            </w:r>
          </w:p>
        </w:tc>
      </w:tr>
      <w:tr w:rsidR="00EC4029" w:rsidRPr="00EC4029" w14:paraId="38080B7B" w14:textId="77777777" w:rsidTr="00E83802">
        <w:trPr>
          <w:trHeight w:hRule="exact" w:val="198"/>
        </w:trPr>
        <w:tc>
          <w:tcPr>
            <w:tcW w:w="198" w:type="dxa"/>
            <w:tcBorders>
              <w:top w:val="nil"/>
              <w:left w:val="nil"/>
              <w:bottom w:val="nil"/>
              <w:right w:val="nil"/>
            </w:tcBorders>
            <w:shd w:val="clear" w:color="auto" w:fill="auto"/>
            <w:noWrap/>
            <w:vAlign w:val="center"/>
            <w:hideMark/>
          </w:tcPr>
          <w:p w14:paraId="43D1F4BC"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4366" w:type="dxa"/>
            <w:tcBorders>
              <w:top w:val="nil"/>
              <w:left w:val="nil"/>
              <w:bottom w:val="nil"/>
              <w:right w:val="nil"/>
            </w:tcBorders>
            <w:shd w:val="clear" w:color="auto" w:fill="auto"/>
            <w:noWrap/>
            <w:vAlign w:val="center"/>
            <w:hideMark/>
          </w:tcPr>
          <w:p w14:paraId="68A697C7" w14:textId="77777777" w:rsidR="00BC5219" w:rsidRPr="00EC4029" w:rsidRDefault="00BC5219" w:rsidP="00E83802">
            <w:pPr>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Impairment losses</w:t>
            </w:r>
          </w:p>
        </w:tc>
        <w:tc>
          <w:tcPr>
            <w:tcW w:w="1418" w:type="dxa"/>
            <w:tcBorders>
              <w:top w:val="nil"/>
              <w:left w:val="nil"/>
              <w:bottom w:val="nil"/>
              <w:right w:val="nil"/>
            </w:tcBorders>
            <w:shd w:val="clear" w:color="000000" w:fill="C9E3B4"/>
            <w:noWrap/>
            <w:vAlign w:val="center"/>
            <w:hideMark/>
          </w:tcPr>
          <w:p w14:paraId="5A199212"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2205A225"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4D2A249B"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64CB2CDE"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61852354"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4BA92FD2"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349C711E"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70AC5FF7"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1FEA7F4B"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02221DC4"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71DCA08C"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1,409 </w:t>
            </w:r>
          </w:p>
        </w:tc>
      </w:tr>
      <w:tr w:rsidR="00EC4029" w:rsidRPr="00EC4029" w14:paraId="55B20641" w14:textId="77777777" w:rsidTr="00E83802">
        <w:trPr>
          <w:trHeight w:hRule="exact" w:val="198"/>
        </w:trPr>
        <w:tc>
          <w:tcPr>
            <w:tcW w:w="198" w:type="dxa"/>
            <w:tcBorders>
              <w:top w:val="nil"/>
              <w:left w:val="nil"/>
              <w:bottom w:val="single" w:sz="4" w:space="0" w:color="auto"/>
              <w:right w:val="nil"/>
            </w:tcBorders>
            <w:shd w:val="clear" w:color="auto" w:fill="auto"/>
            <w:noWrap/>
            <w:vAlign w:val="center"/>
            <w:hideMark/>
          </w:tcPr>
          <w:p w14:paraId="27AD3864" w14:textId="77777777" w:rsidR="00BC5219" w:rsidRPr="00EC4029" w:rsidRDefault="00BC5219" w:rsidP="00E83802">
            <w:pPr>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4366" w:type="dxa"/>
            <w:tcBorders>
              <w:top w:val="nil"/>
              <w:left w:val="nil"/>
              <w:bottom w:val="nil"/>
              <w:right w:val="nil"/>
            </w:tcBorders>
            <w:shd w:val="clear" w:color="auto" w:fill="auto"/>
            <w:noWrap/>
            <w:vAlign w:val="center"/>
            <w:hideMark/>
          </w:tcPr>
          <w:p w14:paraId="3B590B7A" w14:textId="77777777" w:rsidR="00BC5219" w:rsidRPr="00EC4029" w:rsidRDefault="00BC5219" w:rsidP="00E83802">
            <w:pPr>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Other expenses</w:t>
            </w:r>
          </w:p>
        </w:tc>
        <w:tc>
          <w:tcPr>
            <w:tcW w:w="1418" w:type="dxa"/>
            <w:tcBorders>
              <w:top w:val="nil"/>
              <w:left w:val="nil"/>
              <w:bottom w:val="single" w:sz="4" w:space="0" w:color="auto"/>
              <w:right w:val="nil"/>
            </w:tcBorders>
            <w:shd w:val="clear" w:color="000000" w:fill="C9E3B4"/>
            <w:noWrap/>
            <w:vAlign w:val="center"/>
            <w:hideMark/>
          </w:tcPr>
          <w:p w14:paraId="621A152B"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11 </w:t>
            </w:r>
          </w:p>
        </w:tc>
        <w:tc>
          <w:tcPr>
            <w:tcW w:w="198" w:type="dxa"/>
            <w:tcBorders>
              <w:top w:val="nil"/>
              <w:left w:val="nil"/>
              <w:bottom w:val="single" w:sz="4" w:space="0" w:color="auto"/>
              <w:right w:val="nil"/>
            </w:tcBorders>
            <w:shd w:val="clear" w:color="auto" w:fill="auto"/>
            <w:noWrap/>
            <w:vAlign w:val="center"/>
            <w:hideMark/>
          </w:tcPr>
          <w:p w14:paraId="1DAB0843"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4568AC8F"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110 </w:t>
            </w:r>
          </w:p>
        </w:tc>
        <w:tc>
          <w:tcPr>
            <w:tcW w:w="198" w:type="dxa"/>
            <w:tcBorders>
              <w:top w:val="nil"/>
              <w:left w:val="nil"/>
              <w:bottom w:val="single" w:sz="4" w:space="0" w:color="auto"/>
              <w:right w:val="nil"/>
            </w:tcBorders>
            <w:shd w:val="clear" w:color="auto" w:fill="auto"/>
            <w:noWrap/>
            <w:vAlign w:val="center"/>
            <w:hideMark/>
          </w:tcPr>
          <w:p w14:paraId="5BB0C8F5"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281A4522"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147 </w:t>
            </w:r>
          </w:p>
        </w:tc>
        <w:tc>
          <w:tcPr>
            <w:tcW w:w="198" w:type="dxa"/>
            <w:tcBorders>
              <w:top w:val="nil"/>
              <w:left w:val="nil"/>
              <w:bottom w:val="single" w:sz="4" w:space="0" w:color="auto"/>
              <w:right w:val="nil"/>
            </w:tcBorders>
            <w:shd w:val="clear" w:color="auto" w:fill="auto"/>
            <w:noWrap/>
            <w:vAlign w:val="center"/>
            <w:hideMark/>
          </w:tcPr>
          <w:p w14:paraId="12DAF2EF"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74A67C89"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14 </w:t>
            </w:r>
          </w:p>
        </w:tc>
        <w:tc>
          <w:tcPr>
            <w:tcW w:w="198" w:type="dxa"/>
            <w:tcBorders>
              <w:top w:val="nil"/>
              <w:left w:val="nil"/>
              <w:bottom w:val="single" w:sz="4" w:space="0" w:color="auto"/>
              <w:right w:val="nil"/>
            </w:tcBorders>
            <w:shd w:val="clear" w:color="auto" w:fill="auto"/>
            <w:noWrap/>
            <w:vAlign w:val="center"/>
            <w:hideMark/>
          </w:tcPr>
          <w:p w14:paraId="32047913"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70A5978E"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(23,382)</w:t>
            </w:r>
          </w:p>
        </w:tc>
        <w:tc>
          <w:tcPr>
            <w:tcW w:w="198" w:type="dxa"/>
            <w:tcBorders>
              <w:top w:val="nil"/>
              <w:left w:val="nil"/>
              <w:bottom w:val="single" w:sz="4" w:space="0" w:color="auto"/>
              <w:right w:val="nil"/>
            </w:tcBorders>
            <w:shd w:val="clear" w:color="auto" w:fill="auto"/>
            <w:noWrap/>
            <w:vAlign w:val="center"/>
            <w:hideMark/>
          </w:tcPr>
          <w:p w14:paraId="1BB411A2"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66152ED1"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32,865 </w:t>
            </w:r>
          </w:p>
        </w:tc>
      </w:tr>
      <w:tr w:rsidR="00EC4029" w:rsidRPr="00EC4029" w14:paraId="42C5434B" w14:textId="77777777" w:rsidTr="00E83802">
        <w:trPr>
          <w:trHeight w:hRule="exact" w:val="198"/>
        </w:trPr>
        <w:tc>
          <w:tcPr>
            <w:tcW w:w="198" w:type="dxa"/>
            <w:tcBorders>
              <w:top w:val="nil"/>
              <w:left w:val="nil"/>
              <w:bottom w:val="nil"/>
              <w:right w:val="nil"/>
            </w:tcBorders>
            <w:shd w:val="clear" w:color="auto" w:fill="auto"/>
            <w:noWrap/>
            <w:vAlign w:val="center"/>
            <w:hideMark/>
          </w:tcPr>
          <w:p w14:paraId="29A6CEE5"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4366" w:type="dxa"/>
            <w:tcBorders>
              <w:top w:val="single" w:sz="4" w:space="0" w:color="auto"/>
              <w:left w:val="nil"/>
              <w:bottom w:val="nil"/>
              <w:right w:val="nil"/>
            </w:tcBorders>
            <w:shd w:val="clear" w:color="auto" w:fill="auto"/>
            <w:vAlign w:val="center"/>
            <w:hideMark/>
          </w:tcPr>
          <w:p w14:paraId="7F5BF484" w14:textId="77777777" w:rsidR="00BC5219" w:rsidRPr="00EC4029" w:rsidRDefault="00BC5219" w:rsidP="00E83802">
            <w:pPr>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Total Expenses</w:t>
            </w:r>
          </w:p>
        </w:tc>
        <w:tc>
          <w:tcPr>
            <w:tcW w:w="1418" w:type="dxa"/>
            <w:tcBorders>
              <w:top w:val="nil"/>
              <w:left w:val="nil"/>
              <w:bottom w:val="nil"/>
              <w:right w:val="nil"/>
            </w:tcBorders>
            <w:shd w:val="clear" w:color="000000" w:fill="C9E3B4"/>
            <w:noWrap/>
            <w:vAlign w:val="center"/>
            <w:hideMark/>
          </w:tcPr>
          <w:p w14:paraId="05C0572E"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21,801 </w:t>
            </w:r>
          </w:p>
        </w:tc>
        <w:tc>
          <w:tcPr>
            <w:tcW w:w="198" w:type="dxa"/>
            <w:tcBorders>
              <w:top w:val="nil"/>
              <w:left w:val="nil"/>
              <w:bottom w:val="nil"/>
              <w:right w:val="nil"/>
            </w:tcBorders>
            <w:shd w:val="clear" w:color="auto" w:fill="auto"/>
            <w:noWrap/>
            <w:vAlign w:val="center"/>
            <w:hideMark/>
          </w:tcPr>
          <w:p w14:paraId="3EDD307D" w14:textId="77777777" w:rsidR="00BC5219" w:rsidRPr="00EC4029" w:rsidRDefault="00BC5219" w:rsidP="00E83802">
            <w:pPr>
              <w:jc w:val="right"/>
              <w:rPr>
                <w:rFonts w:ascii="Meta Pro" w:eastAsia="Times New Roman" w:hAnsi="Meta Pro"/>
                <w:b/>
                <w:bCs/>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469A0EC4"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12,599 </w:t>
            </w:r>
          </w:p>
        </w:tc>
        <w:tc>
          <w:tcPr>
            <w:tcW w:w="198" w:type="dxa"/>
            <w:tcBorders>
              <w:top w:val="nil"/>
              <w:left w:val="nil"/>
              <w:bottom w:val="nil"/>
              <w:right w:val="nil"/>
            </w:tcBorders>
            <w:shd w:val="clear" w:color="auto" w:fill="auto"/>
            <w:noWrap/>
            <w:vAlign w:val="center"/>
            <w:hideMark/>
          </w:tcPr>
          <w:p w14:paraId="1F354980" w14:textId="77777777" w:rsidR="00BC5219" w:rsidRPr="00EC4029" w:rsidRDefault="00BC5219" w:rsidP="00E83802">
            <w:pPr>
              <w:jc w:val="right"/>
              <w:rPr>
                <w:rFonts w:ascii="Meta Pro" w:eastAsia="Times New Roman" w:hAnsi="Meta Pro"/>
                <w:b/>
                <w:bCs/>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5A51743D"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12,031 </w:t>
            </w:r>
          </w:p>
        </w:tc>
        <w:tc>
          <w:tcPr>
            <w:tcW w:w="198" w:type="dxa"/>
            <w:tcBorders>
              <w:top w:val="nil"/>
              <w:left w:val="nil"/>
              <w:bottom w:val="nil"/>
              <w:right w:val="nil"/>
            </w:tcBorders>
            <w:shd w:val="clear" w:color="auto" w:fill="auto"/>
            <w:noWrap/>
            <w:vAlign w:val="center"/>
            <w:hideMark/>
          </w:tcPr>
          <w:p w14:paraId="01E51F9B" w14:textId="77777777" w:rsidR="00BC5219" w:rsidRPr="00EC4029" w:rsidRDefault="00BC5219" w:rsidP="00E83802">
            <w:pPr>
              <w:jc w:val="right"/>
              <w:rPr>
                <w:rFonts w:ascii="Meta Pro" w:eastAsia="Times New Roman" w:hAnsi="Meta Pro"/>
                <w:b/>
                <w:bCs/>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4DFA2FCF"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1,167 </w:t>
            </w:r>
          </w:p>
        </w:tc>
        <w:tc>
          <w:tcPr>
            <w:tcW w:w="198" w:type="dxa"/>
            <w:tcBorders>
              <w:top w:val="nil"/>
              <w:left w:val="nil"/>
              <w:bottom w:val="nil"/>
              <w:right w:val="nil"/>
            </w:tcBorders>
            <w:shd w:val="clear" w:color="auto" w:fill="auto"/>
            <w:noWrap/>
            <w:vAlign w:val="center"/>
            <w:hideMark/>
          </w:tcPr>
          <w:p w14:paraId="12090261" w14:textId="77777777" w:rsidR="00BC5219" w:rsidRPr="00EC4029" w:rsidRDefault="00BC5219" w:rsidP="00E83802">
            <w:pPr>
              <w:jc w:val="right"/>
              <w:rPr>
                <w:rFonts w:ascii="Meta Pro" w:eastAsia="Times New Roman" w:hAnsi="Meta Pro"/>
                <w:b/>
                <w:bCs/>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7EACF61C"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(829,570)</w:t>
            </w:r>
          </w:p>
        </w:tc>
        <w:tc>
          <w:tcPr>
            <w:tcW w:w="198" w:type="dxa"/>
            <w:tcBorders>
              <w:top w:val="nil"/>
              <w:left w:val="nil"/>
              <w:bottom w:val="nil"/>
              <w:right w:val="nil"/>
            </w:tcBorders>
            <w:shd w:val="clear" w:color="auto" w:fill="auto"/>
            <w:noWrap/>
            <w:vAlign w:val="center"/>
            <w:hideMark/>
          </w:tcPr>
          <w:p w14:paraId="4C6A9D30" w14:textId="77777777" w:rsidR="00BC5219" w:rsidRPr="00EC4029" w:rsidRDefault="00BC5219" w:rsidP="00E83802">
            <w:pPr>
              <w:jc w:val="right"/>
              <w:rPr>
                <w:rFonts w:ascii="Meta Pro" w:eastAsia="Times New Roman" w:hAnsi="Meta Pro"/>
                <w:b/>
                <w:bCs/>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311D0E95"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7,680,453 </w:t>
            </w:r>
          </w:p>
        </w:tc>
      </w:tr>
      <w:tr w:rsidR="00EC4029" w:rsidRPr="00EC4029" w14:paraId="2D167D8B" w14:textId="77777777" w:rsidTr="00E83802">
        <w:trPr>
          <w:trHeight w:hRule="exact" w:val="198"/>
        </w:trPr>
        <w:tc>
          <w:tcPr>
            <w:tcW w:w="198" w:type="dxa"/>
            <w:tcBorders>
              <w:top w:val="nil"/>
              <w:left w:val="nil"/>
              <w:bottom w:val="nil"/>
              <w:right w:val="nil"/>
            </w:tcBorders>
            <w:shd w:val="clear" w:color="auto" w:fill="auto"/>
            <w:noWrap/>
            <w:vAlign w:val="center"/>
            <w:hideMark/>
          </w:tcPr>
          <w:p w14:paraId="24B373EE" w14:textId="77777777" w:rsidR="00BC5219" w:rsidRPr="00EC4029" w:rsidRDefault="00BC5219" w:rsidP="00E83802">
            <w:pPr>
              <w:jc w:val="right"/>
              <w:rPr>
                <w:rFonts w:ascii="Meta Pro" w:eastAsia="Times New Roman" w:hAnsi="Meta Pro"/>
                <w:b/>
                <w:bCs/>
                <w:color w:val="000000" w:themeColor="text1"/>
                <w:sz w:val="16"/>
                <w:szCs w:val="16"/>
                <w:lang w:eastAsia="en-AU"/>
              </w:rPr>
            </w:pPr>
          </w:p>
        </w:tc>
        <w:tc>
          <w:tcPr>
            <w:tcW w:w="4366" w:type="dxa"/>
            <w:tcBorders>
              <w:top w:val="nil"/>
              <w:left w:val="nil"/>
              <w:bottom w:val="nil"/>
              <w:right w:val="nil"/>
            </w:tcBorders>
            <w:shd w:val="clear" w:color="auto" w:fill="auto"/>
            <w:noWrap/>
            <w:vAlign w:val="center"/>
            <w:hideMark/>
          </w:tcPr>
          <w:p w14:paraId="13734994" w14:textId="77777777" w:rsidR="00BC5219" w:rsidRPr="00EC4029" w:rsidRDefault="00BC5219" w:rsidP="00E83802">
            <w:pPr>
              <w:rPr>
                <w:rFonts w:ascii="Meta Pro" w:eastAsia="Times New Roman" w:hAnsi="Meta Pro" w:cs="Times New Roman"/>
                <w:color w:val="000000" w:themeColor="text1"/>
                <w:sz w:val="20"/>
                <w:szCs w:val="20"/>
                <w:lang w:eastAsia="en-AU"/>
              </w:rPr>
            </w:pPr>
          </w:p>
        </w:tc>
        <w:tc>
          <w:tcPr>
            <w:tcW w:w="1418" w:type="dxa"/>
            <w:tcBorders>
              <w:top w:val="nil"/>
              <w:left w:val="nil"/>
              <w:bottom w:val="nil"/>
              <w:right w:val="nil"/>
            </w:tcBorders>
            <w:shd w:val="clear" w:color="000000" w:fill="C9E3B4"/>
            <w:noWrap/>
            <w:vAlign w:val="center"/>
            <w:hideMark/>
          </w:tcPr>
          <w:p w14:paraId="48DA7D9E"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98" w:type="dxa"/>
            <w:tcBorders>
              <w:top w:val="nil"/>
              <w:left w:val="nil"/>
              <w:bottom w:val="nil"/>
              <w:right w:val="nil"/>
            </w:tcBorders>
            <w:shd w:val="clear" w:color="auto" w:fill="auto"/>
            <w:noWrap/>
            <w:vAlign w:val="center"/>
            <w:hideMark/>
          </w:tcPr>
          <w:p w14:paraId="011201DA"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2ADDA771"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98" w:type="dxa"/>
            <w:tcBorders>
              <w:top w:val="nil"/>
              <w:left w:val="nil"/>
              <w:bottom w:val="nil"/>
              <w:right w:val="nil"/>
            </w:tcBorders>
            <w:shd w:val="clear" w:color="auto" w:fill="auto"/>
            <w:noWrap/>
            <w:vAlign w:val="center"/>
            <w:hideMark/>
          </w:tcPr>
          <w:p w14:paraId="146D6A14"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448B3FF1"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98" w:type="dxa"/>
            <w:tcBorders>
              <w:top w:val="nil"/>
              <w:left w:val="nil"/>
              <w:bottom w:val="nil"/>
              <w:right w:val="nil"/>
            </w:tcBorders>
            <w:shd w:val="clear" w:color="auto" w:fill="auto"/>
            <w:noWrap/>
            <w:vAlign w:val="center"/>
            <w:hideMark/>
          </w:tcPr>
          <w:p w14:paraId="2D20EB5D"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62F212AB"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98" w:type="dxa"/>
            <w:tcBorders>
              <w:top w:val="nil"/>
              <w:left w:val="nil"/>
              <w:bottom w:val="nil"/>
              <w:right w:val="nil"/>
            </w:tcBorders>
            <w:shd w:val="clear" w:color="auto" w:fill="auto"/>
            <w:noWrap/>
            <w:vAlign w:val="center"/>
            <w:hideMark/>
          </w:tcPr>
          <w:p w14:paraId="7BC319B0"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06BD608A"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98" w:type="dxa"/>
            <w:tcBorders>
              <w:top w:val="nil"/>
              <w:left w:val="nil"/>
              <w:bottom w:val="nil"/>
              <w:right w:val="nil"/>
            </w:tcBorders>
            <w:shd w:val="clear" w:color="auto" w:fill="auto"/>
            <w:noWrap/>
            <w:vAlign w:val="center"/>
            <w:hideMark/>
          </w:tcPr>
          <w:p w14:paraId="2A2D3B51"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24495A36"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w:t>
            </w:r>
          </w:p>
        </w:tc>
      </w:tr>
      <w:tr w:rsidR="00EC4029" w:rsidRPr="00EC4029" w14:paraId="601F0DB8" w14:textId="77777777" w:rsidTr="00E83802">
        <w:trPr>
          <w:trHeight w:hRule="exact" w:val="198"/>
        </w:trPr>
        <w:tc>
          <w:tcPr>
            <w:tcW w:w="4366" w:type="dxa"/>
            <w:gridSpan w:val="2"/>
            <w:tcBorders>
              <w:top w:val="nil"/>
              <w:left w:val="nil"/>
              <w:bottom w:val="nil"/>
              <w:right w:val="nil"/>
            </w:tcBorders>
            <w:shd w:val="clear" w:color="auto" w:fill="auto"/>
            <w:noWrap/>
            <w:vAlign w:val="center"/>
            <w:hideMark/>
          </w:tcPr>
          <w:p w14:paraId="52DB129D" w14:textId="77777777" w:rsidR="00BC5219" w:rsidRPr="00EC4029" w:rsidRDefault="00BC5219" w:rsidP="00E83802">
            <w:pPr>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Operating result before income tax equivalent expense</w:t>
            </w:r>
          </w:p>
        </w:tc>
        <w:tc>
          <w:tcPr>
            <w:tcW w:w="1418" w:type="dxa"/>
            <w:tcBorders>
              <w:top w:val="nil"/>
              <w:left w:val="nil"/>
              <w:bottom w:val="nil"/>
              <w:right w:val="nil"/>
            </w:tcBorders>
            <w:shd w:val="clear" w:color="000000" w:fill="C9E3B4"/>
            <w:noWrap/>
            <w:vAlign w:val="center"/>
            <w:hideMark/>
          </w:tcPr>
          <w:p w14:paraId="3965F810"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17EA4E4A" w14:textId="77777777" w:rsidR="00BC5219" w:rsidRPr="00EC4029" w:rsidRDefault="00BC5219" w:rsidP="00E83802">
            <w:pPr>
              <w:jc w:val="right"/>
              <w:rPr>
                <w:rFonts w:ascii="Meta Pro" w:eastAsia="Times New Roman" w:hAnsi="Meta Pro"/>
                <w:b/>
                <w:bCs/>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12CA2382"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561 </w:t>
            </w:r>
          </w:p>
        </w:tc>
        <w:tc>
          <w:tcPr>
            <w:tcW w:w="198" w:type="dxa"/>
            <w:tcBorders>
              <w:top w:val="nil"/>
              <w:left w:val="nil"/>
              <w:bottom w:val="nil"/>
              <w:right w:val="nil"/>
            </w:tcBorders>
            <w:shd w:val="clear" w:color="auto" w:fill="auto"/>
            <w:noWrap/>
            <w:vAlign w:val="center"/>
            <w:hideMark/>
          </w:tcPr>
          <w:p w14:paraId="6FC0F5A9" w14:textId="77777777" w:rsidR="00BC5219" w:rsidRPr="00EC4029" w:rsidRDefault="00BC5219" w:rsidP="00E83802">
            <w:pPr>
              <w:jc w:val="right"/>
              <w:rPr>
                <w:rFonts w:ascii="Meta Pro" w:eastAsia="Times New Roman" w:hAnsi="Meta Pro"/>
                <w:b/>
                <w:bCs/>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589D4084"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562 </w:t>
            </w:r>
          </w:p>
        </w:tc>
        <w:tc>
          <w:tcPr>
            <w:tcW w:w="198" w:type="dxa"/>
            <w:tcBorders>
              <w:top w:val="nil"/>
              <w:left w:val="nil"/>
              <w:bottom w:val="nil"/>
              <w:right w:val="nil"/>
            </w:tcBorders>
            <w:shd w:val="clear" w:color="auto" w:fill="auto"/>
            <w:noWrap/>
            <w:vAlign w:val="center"/>
            <w:hideMark/>
          </w:tcPr>
          <w:p w14:paraId="23C0E5FD" w14:textId="77777777" w:rsidR="00BC5219" w:rsidRPr="00EC4029" w:rsidRDefault="00BC5219" w:rsidP="00E83802">
            <w:pPr>
              <w:jc w:val="right"/>
              <w:rPr>
                <w:rFonts w:ascii="Meta Pro" w:eastAsia="Times New Roman" w:hAnsi="Meta Pro"/>
                <w:b/>
                <w:bCs/>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3A43F32D"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(29)</w:t>
            </w:r>
          </w:p>
        </w:tc>
        <w:tc>
          <w:tcPr>
            <w:tcW w:w="198" w:type="dxa"/>
            <w:tcBorders>
              <w:top w:val="nil"/>
              <w:left w:val="nil"/>
              <w:bottom w:val="nil"/>
              <w:right w:val="nil"/>
            </w:tcBorders>
            <w:shd w:val="clear" w:color="auto" w:fill="auto"/>
            <w:noWrap/>
            <w:vAlign w:val="center"/>
            <w:hideMark/>
          </w:tcPr>
          <w:p w14:paraId="5BD4DE23" w14:textId="77777777" w:rsidR="00BC5219" w:rsidRPr="00EC4029" w:rsidRDefault="00BC5219" w:rsidP="00E83802">
            <w:pPr>
              <w:jc w:val="right"/>
              <w:rPr>
                <w:rFonts w:ascii="Meta Pro" w:eastAsia="Times New Roman" w:hAnsi="Meta Pro"/>
                <w:b/>
                <w:bCs/>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105AC7EC"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05B46F19" w14:textId="77777777" w:rsidR="00BC5219" w:rsidRPr="00EC4029" w:rsidRDefault="00BC5219" w:rsidP="00E83802">
            <w:pPr>
              <w:jc w:val="right"/>
              <w:rPr>
                <w:rFonts w:ascii="Meta Pro" w:eastAsia="Times New Roman" w:hAnsi="Meta Pro"/>
                <w:b/>
                <w:bCs/>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7616B4B2"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12,698 </w:t>
            </w:r>
          </w:p>
        </w:tc>
      </w:tr>
      <w:tr w:rsidR="00EC4029" w:rsidRPr="00EC4029" w14:paraId="039A44D2" w14:textId="77777777" w:rsidTr="00E83802">
        <w:trPr>
          <w:trHeight w:hRule="exact" w:val="198"/>
        </w:trPr>
        <w:tc>
          <w:tcPr>
            <w:tcW w:w="198" w:type="dxa"/>
            <w:tcBorders>
              <w:top w:val="nil"/>
              <w:left w:val="nil"/>
              <w:bottom w:val="single" w:sz="4" w:space="0" w:color="auto"/>
              <w:right w:val="nil"/>
            </w:tcBorders>
            <w:shd w:val="clear" w:color="auto" w:fill="auto"/>
            <w:noWrap/>
            <w:vAlign w:val="center"/>
            <w:hideMark/>
          </w:tcPr>
          <w:p w14:paraId="225E2BD4" w14:textId="77777777" w:rsidR="00BC5219" w:rsidRPr="00EC4029" w:rsidRDefault="00BC5219" w:rsidP="00E83802">
            <w:pPr>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4366" w:type="dxa"/>
            <w:tcBorders>
              <w:top w:val="nil"/>
              <w:left w:val="nil"/>
              <w:bottom w:val="single" w:sz="4" w:space="0" w:color="auto"/>
              <w:right w:val="nil"/>
            </w:tcBorders>
            <w:shd w:val="clear" w:color="auto" w:fill="auto"/>
            <w:noWrap/>
            <w:vAlign w:val="center"/>
            <w:hideMark/>
          </w:tcPr>
          <w:p w14:paraId="11C431A5" w14:textId="77777777" w:rsidR="00BC5219" w:rsidRPr="00EC4029" w:rsidRDefault="00BC5219" w:rsidP="00E83802">
            <w:pPr>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Income tax equivalent expense</w:t>
            </w:r>
          </w:p>
        </w:tc>
        <w:tc>
          <w:tcPr>
            <w:tcW w:w="1418" w:type="dxa"/>
            <w:tcBorders>
              <w:top w:val="nil"/>
              <w:left w:val="nil"/>
              <w:bottom w:val="single" w:sz="4" w:space="0" w:color="auto"/>
              <w:right w:val="nil"/>
            </w:tcBorders>
            <w:shd w:val="clear" w:color="000000" w:fill="C9E3B4"/>
            <w:noWrap/>
            <w:vAlign w:val="center"/>
            <w:hideMark/>
          </w:tcPr>
          <w:p w14:paraId="2EB14150"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612360A5"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253F77D4"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(4)</w:t>
            </w:r>
          </w:p>
        </w:tc>
        <w:tc>
          <w:tcPr>
            <w:tcW w:w="198" w:type="dxa"/>
            <w:tcBorders>
              <w:top w:val="nil"/>
              <w:left w:val="nil"/>
              <w:bottom w:val="single" w:sz="4" w:space="0" w:color="auto"/>
              <w:right w:val="nil"/>
            </w:tcBorders>
            <w:shd w:val="clear" w:color="auto" w:fill="auto"/>
            <w:noWrap/>
            <w:vAlign w:val="center"/>
            <w:hideMark/>
          </w:tcPr>
          <w:p w14:paraId="0EE4CA59"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7A3372FF"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22CFA975"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13A4BB0F"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31A8E1DA"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36ED32E6"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44C67F11"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0E057D08"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7,702 </w:t>
            </w:r>
          </w:p>
        </w:tc>
      </w:tr>
      <w:tr w:rsidR="00EC4029" w:rsidRPr="00EC4029" w14:paraId="7628443D" w14:textId="77777777" w:rsidTr="00E83802">
        <w:trPr>
          <w:trHeight w:hRule="exact" w:val="198"/>
        </w:trPr>
        <w:tc>
          <w:tcPr>
            <w:tcW w:w="198" w:type="dxa"/>
            <w:tcBorders>
              <w:top w:val="nil"/>
              <w:left w:val="nil"/>
              <w:bottom w:val="nil"/>
              <w:right w:val="nil"/>
            </w:tcBorders>
            <w:shd w:val="clear" w:color="auto" w:fill="auto"/>
            <w:noWrap/>
            <w:vAlign w:val="center"/>
            <w:hideMark/>
          </w:tcPr>
          <w:p w14:paraId="504EE682"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4366" w:type="dxa"/>
            <w:tcBorders>
              <w:top w:val="nil"/>
              <w:left w:val="nil"/>
              <w:bottom w:val="nil"/>
              <w:right w:val="nil"/>
            </w:tcBorders>
            <w:shd w:val="clear" w:color="auto" w:fill="auto"/>
            <w:noWrap/>
            <w:vAlign w:val="center"/>
            <w:hideMark/>
          </w:tcPr>
          <w:p w14:paraId="7DEDE83B" w14:textId="77777777" w:rsidR="00BC5219" w:rsidRPr="00EC4029" w:rsidRDefault="00BC5219" w:rsidP="00E83802">
            <w:pPr>
              <w:rPr>
                <w:rFonts w:ascii="Meta Pro" w:eastAsia="Times New Roman" w:hAnsi="Meta Pro" w:cs="Times New Roman"/>
                <w:color w:val="000000" w:themeColor="text1"/>
                <w:sz w:val="20"/>
                <w:szCs w:val="20"/>
                <w:lang w:eastAsia="en-AU"/>
              </w:rPr>
            </w:pPr>
          </w:p>
        </w:tc>
        <w:tc>
          <w:tcPr>
            <w:tcW w:w="1418" w:type="dxa"/>
            <w:tcBorders>
              <w:top w:val="nil"/>
              <w:left w:val="nil"/>
              <w:bottom w:val="nil"/>
              <w:right w:val="nil"/>
            </w:tcBorders>
            <w:shd w:val="clear" w:color="000000" w:fill="C9E3B4"/>
            <w:noWrap/>
            <w:vAlign w:val="center"/>
            <w:hideMark/>
          </w:tcPr>
          <w:p w14:paraId="2AF32BED"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98" w:type="dxa"/>
            <w:tcBorders>
              <w:top w:val="nil"/>
              <w:left w:val="nil"/>
              <w:bottom w:val="nil"/>
              <w:right w:val="nil"/>
            </w:tcBorders>
            <w:shd w:val="clear" w:color="auto" w:fill="auto"/>
            <w:noWrap/>
            <w:vAlign w:val="center"/>
            <w:hideMark/>
          </w:tcPr>
          <w:p w14:paraId="4DE8ECC0"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418" w:type="dxa"/>
            <w:tcBorders>
              <w:top w:val="nil"/>
              <w:left w:val="nil"/>
              <w:bottom w:val="nil"/>
              <w:right w:val="nil"/>
            </w:tcBorders>
            <w:shd w:val="clear" w:color="000000" w:fill="C9E3B4"/>
            <w:noWrap/>
            <w:vAlign w:val="center"/>
            <w:hideMark/>
          </w:tcPr>
          <w:p w14:paraId="7BCF70CA"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98" w:type="dxa"/>
            <w:tcBorders>
              <w:top w:val="nil"/>
              <w:left w:val="nil"/>
              <w:bottom w:val="nil"/>
              <w:right w:val="nil"/>
            </w:tcBorders>
            <w:shd w:val="clear" w:color="auto" w:fill="auto"/>
            <w:noWrap/>
            <w:vAlign w:val="center"/>
            <w:hideMark/>
          </w:tcPr>
          <w:p w14:paraId="6026FCED"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418" w:type="dxa"/>
            <w:tcBorders>
              <w:top w:val="nil"/>
              <w:left w:val="nil"/>
              <w:bottom w:val="nil"/>
              <w:right w:val="nil"/>
            </w:tcBorders>
            <w:shd w:val="clear" w:color="000000" w:fill="C9E3B4"/>
            <w:noWrap/>
            <w:vAlign w:val="center"/>
            <w:hideMark/>
          </w:tcPr>
          <w:p w14:paraId="52C20090"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98" w:type="dxa"/>
            <w:tcBorders>
              <w:top w:val="nil"/>
              <w:left w:val="nil"/>
              <w:bottom w:val="nil"/>
              <w:right w:val="nil"/>
            </w:tcBorders>
            <w:shd w:val="clear" w:color="auto" w:fill="auto"/>
            <w:noWrap/>
            <w:vAlign w:val="center"/>
            <w:hideMark/>
          </w:tcPr>
          <w:p w14:paraId="779C86CD"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418" w:type="dxa"/>
            <w:tcBorders>
              <w:top w:val="nil"/>
              <w:left w:val="nil"/>
              <w:bottom w:val="nil"/>
              <w:right w:val="nil"/>
            </w:tcBorders>
            <w:shd w:val="clear" w:color="000000" w:fill="C9E3B4"/>
            <w:noWrap/>
            <w:vAlign w:val="center"/>
            <w:hideMark/>
          </w:tcPr>
          <w:p w14:paraId="4AEC554B"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98" w:type="dxa"/>
            <w:tcBorders>
              <w:top w:val="nil"/>
              <w:left w:val="nil"/>
              <w:bottom w:val="nil"/>
              <w:right w:val="nil"/>
            </w:tcBorders>
            <w:shd w:val="clear" w:color="auto" w:fill="auto"/>
            <w:noWrap/>
            <w:vAlign w:val="center"/>
            <w:hideMark/>
          </w:tcPr>
          <w:p w14:paraId="6790EA99"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418" w:type="dxa"/>
            <w:tcBorders>
              <w:top w:val="nil"/>
              <w:left w:val="nil"/>
              <w:bottom w:val="nil"/>
              <w:right w:val="nil"/>
            </w:tcBorders>
            <w:shd w:val="clear" w:color="000000" w:fill="C9E3B4"/>
            <w:noWrap/>
            <w:vAlign w:val="center"/>
            <w:hideMark/>
          </w:tcPr>
          <w:p w14:paraId="3D84CCF1"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98" w:type="dxa"/>
            <w:tcBorders>
              <w:top w:val="nil"/>
              <w:left w:val="nil"/>
              <w:bottom w:val="nil"/>
              <w:right w:val="nil"/>
            </w:tcBorders>
            <w:shd w:val="clear" w:color="auto" w:fill="auto"/>
            <w:noWrap/>
            <w:vAlign w:val="center"/>
            <w:hideMark/>
          </w:tcPr>
          <w:p w14:paraId="2AB71FD4"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418" w:type="dxa"/>
            <w:tcBorders>
              <w:top w:val="nil"/>
              <w:left w:val="nil"/>
              <w:bottom w:val="nil"/>
              <w:right w:val="nil"/>
            </w:tcBorders>
            <w:shd w:val="clear" w:color="000000" w:fill="C9E3B4"/>
            <w:noWrap/>
            <w:vAlign w:val="center"/>
            <w:hideMark/>
          </w:tcPr>
          <w:p w14:paraId="4E4CDF88"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w:t>
            </w:r>
          </w:p>
        </w:tc>
      </w:tr>
      <w:tr w:rsidR="00EC4029" w:rsidRPr="00EC4029" w14:paraId="2B2FC569" w14:textId="77777777" w:rsidTr="00E83802">
        <w:trPr>
          <w:trHeight w:hRule="exact" w:val="198"/>
        </w:trPr>
        <w:tc>
          <w:tcPr>
            <w:tcW w:w="4366" w:type="dxa"/>
            <w:gridSpan w:val="2"/>
            <w:tcBorders>
              <w:top w:val="nil"/>
              <w:left w:val="nil"/>
              <w:bottom w:val="single" w:sz="4" w:space="0" w:color="auto"/>
              <w:right w:val="nil"/>
            </w:tcBorders>
            <w:shd w:val="clear" w:color="auto" w:fill="auto"/>
            <w:noWrap/>
            <w:vAlign w:val="center"/>
            <w:hideMark/>
          </w:tcPr>
          <w:p w14:paraId="01CEBE37" w14:textId="77777777" w:rsidR="00BC5219" w:rsidRPr="00EC4029" w:rsidRDefault="00BC5219" w:rsidP="00E83802">
            <w:pPr>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OPERATING RESULT FOR THE YEAR</w:t>
            </w:r>
          </w:p>
        </w:tc>
        <w:tc>
          <w:tcPr>
            <w:tcW w:w="1418" w:type="dxa"/>
            <w:tcBorders>
              <w:top w:val="nil"/>
              <w:left w:val="nil"/>
              <w:bottom w:val="single" w:sz="4" w:space="0" w:color="auto"/>
              <w:right w:val="nil"/>
            </w:tcBorders>
            <w:shd w:val="clear" w:color="000000" w:fill="C9E3B4"/>
            <w:noWrap/>
            <w:vAlign w:val="center"/>
            <w:hideMark/>
          </w:tcPr>
          <w:p w14:paraId="736406BD"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5F637ACB"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066AB184"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565 </w:t>
            </w:r>
          </w:p>
        </w:tc>
        <w:tc>
          <w:tcPr>
            <w:tcW w:w="198" w:type="dxa"/>
            <w:tcBorders>
              <w:top w:val="nil"/>
              <w:left w:val="nil"/>
              <w:bottom w:val="single" w:sz="4" w:space="0" w:color="auto"/>
              <w:right w:val="nil"/>
            </w:tcBorders>
            <w:shd w:val="clear" w:color="auto" w:fill="auto"/>
            <w:noWrap/>
            <w:vAlign w:val="center"/>
            <w:hideMark/>
          </w:tcPr>
          <w:p w14:paraId="4628BA6B"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23846DD2"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562 </w:t>
            </w:r>
          </w:p>
        </w:tc>
        <w:tc>
          <w:tcPr>
            <w:tcW w:w="198" w:type="dxa"/>
            <w:tcBorders>
              <w:top w:val="nil"/>
              <w:left w:val="nil"/>
              <w:bottom w:val="single" w:sz="4" w:space="0" w:color="auto"/>
              <w:right w:val="nil"/>
            </w:tcBorders>
            <w:shd w:val="clear" w:color="auto" w:fill="auto"/>
            <w:noWrap/>
            <w:vAlign w:val="center"/>
            <w:hideMark/>
          </w:tcPr>
          <w:p w14:paraId="2A75C7B0"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037A7FD6"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(29)</w:t>
            </w:r>
          </w:p>
        </w:tc>
        <w:tc>
          <w:tcPr>
            <w:tcW w:w="198" w:type="dxa"/>
            <w:tcBorders>
              <w:top w:val="nil"/>
              <w:left w:val="nil"/>
              <w:bottom w:val="single" w:sz="4" w:space="0" w:color="auto"/>
              <w:right w:val="nil"/>
            </w:tcBorders>
            <w:shd w:val="clear" w:color="auto" w:fill="auto"/>
            <w:noWrap/>
            <w:vAlign w:val="center"/>
            <w:hideMark/>
          </w:tcPr>
          <w:p w14:paraId="0D86E081"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0A5F6B57"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09A59E1C"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31AF3FCF"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4,996 </w:t>
            </w:r>
          </w:p>
        </w:tc>
      </w:tr>
      <w:tr w:rsidR="00EC4029" w:rsidRPr="00EC4029" w14:paraId="26238545" w14:textId="77777777" w:rsidTr="00E83802">
        <w:trPr>
          <w:trHeight w:hRule="exact" w:val="198"/>
        </w:trPr>
        <w:tc>
          <w:tcPr>
            <w:tcW w:w="198" w:type="dxa"/>
            <w:tcBorders>
              <w:top w:val="nil"/>
              <w:left w:val="nil"/>
              <w:bottom w:val="nil"/>
              <w:right w:val="nil"/>
            </w:tcBorders>
            <w:shd w:val="clear" w:color="auto" w:fill="auto"/>
            <w:noWrap/>
            <w:vAlign w:val="center"/>
            <w:hideMark/>
          </w:tcPr>
          <w:p w14:paraId="62B5257C" w14:textId="77777777" w:rsidR="00BC5219" w:rsidRPr="00EC4029" w:rsidRDefault="00BC5219" w:rsidP="00E83802">
            <w:pPr>
              <w:jc w:val="right"/>
              <w:rPr>
                <w:rFonts w:ascii="Meta Pro" w:eastAsia="Times New Roman" w:hAnsi="Meta Pro"/>
                <w:b/>
                <w:bCs/>
                <w:color w:val="000000" w:themeColor="text1"/>
                <w:sz w:val="16"/>
                <w:szCs w:val="16"/>
                <w:lang w:eastAsia="en-AU"/>
              </w:rPr>
            </w:pPr>
          </w:p>
        </w:tc>
        <w:tc>
          <w:tcPr>
            <w:tcW w:w="4366" w:type="dxa"/>
            <w:tcBorders>
              <w:top w:val="nil"/>
              <w:left w:val="nil"/>
              <w:bottom w:val="nil"/>
              <w:right w:val="nil"/>
            </w:tcBorders>
            <w:shd w:val="clear" w:color="auto" w:fill="auto"/>
            <w:noWrap/>
            <w:vAlign w:val="center"/>
            <w:hideMark/>
          </w:tcPr>
          <w:p w14:paraId="5A6BE5CE" w14:textId="77777777" w:rsidR="00BC5219" w:rsidRPr="00EC4029" w:rsidRDefault="00BC5219" w:rsidP="00E83802">
            <w:pPr>
              <w:rPr>
                <w:rFonts w:ascii="Meta Pro" w:eastAsia="Times New Roman" w:hAnsi="Meta Pro" w:cs="Times New Roman"/>
                <w:color w:val="000000" w:themeColor="text1"/>
                <w:sz w:val="20"/>
                <w:szCs w:val="20"/>
                <w:lang w:eastAsia="en-AU"/>
              </w:rPr>
            </w:pPr>
          </w:p>
        </w:tc>
        <w:tc>
          <w:tcPr>
            <w:tcW w:w="1418" w:type="dxa"/>
            <w:tcBorders>
              <w:top w:val="nil"/>
              <w:left w:val="nil"/>
              <w:bottom w:val="nil"/>
              <w:right w:val="nil"/>
            </w:tcBorders>
            <w:shd w:val="clear" w:color="000000" w:fill="C9E3B4"/>
            <w:noWrap/>
            <w:vAlign w:val="center"/>
            <w:hideMark/>
          </w:tcPr>
          <w:p w14:paraId="785BEEEB"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98" w:type="dxa"/>
            <w:tcBorders>
              <w:top w:val="nil"/>
              <w:left w:val="nil"/>
              <w:bottom w:val="nil"/>
              <w:right w:val="nil"/>
            </w:tcBorders>
            <w:shd w:val="clear" w:color="auto" w:fill="auto"/>
            <w:noWrap/>
            <w:vAlign w:val="center"/>
            <w:hideMark/>
          </w:tcPr>
          <w:p w14:paraId="79E99A77"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11D7B30E"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98" w:type="dxa"/>
            <w:tcBorders>
              <w:top w:val="nil"/>
              <w:left w:val="nil"/>
              <w:bottom w:val="nil"/>
              <w:right w:val="nil"/>
            </w:tcBorders>
            <w:shd w:val="clear" w:color="auto" w:fill="auto"/>
            <w:noWrap/>
            <w:vAlign w:val="center"/>
            <w:hideMark/>
          </w:tcPr>
          <w:p w14:paraId="1AFCE240"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728073A2"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98" w:type="dxa"/>
            <w:tcBorders>
              <w:top w:val="nil"/>
              <w:left w:val="nil"/>
              <w:bottom w:val="nil"/>
              <w:right w:val="nil"/>
            </w:tcBorders>
            <w:shd w:val="clear" w:color="auto" w:fill="auto"/>
            <w:noWrap/>
            <w:vAlign w:val="center"/>
            <w:hideMark/>
          </w:tcPr>
          <w:p w14:paraId="44E10B82"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0883453C"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98" w:type="dxa"/>
            <w:tcBorders>
              <w:top w:val="nil"/>
              <w:left w:val="nil"/>
              <w:bottom w:val="nil"/>
              <w:right w:val="nil"/>
            </w:tcBorders>
            <w:shd w:val="clear" w:color="auto" w:fill="auto"/>
            <w:noWrap/>
            <w:vAlign w:val="center"/>
            <w:hideMark/>
          </w:tcPr>
          <w:p w14:paraId="2F03BB75"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3D3B34DF"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98" w:type="dxa"/>
            <w:tcBorders>
              <w:top w:val="nil"/>
              <w:left w:val="nil"/>
              <w:bottom w:val="nil"/>
              <w:right w:val="nil"/>
            </w:tcBorders>
            <w:shd w:val="clear" w:color="auto" w:fill="auto"/>
            <w:noWrap/>
            <w:vAlign w:val="center"/>
            <w:hideMark/>
          </w:tcPr>
          <w:p w14:paraId="23681FC9"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6C983483"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w:t>
            </w:r>
          </w:p>
        </w:tc>
      </w:tr>
      <w:tr w:rsidR="00EC4029" w:rsidRPr="00EC4029" w14:paraId="0D404E3D" w14:textId="77777777" w:rsidTr="00E83802">
        <w:trPr>
          <w:trHeight w:hRule="exact" w:val="198"/>
        </w:trPr>
        <w:tc>
          <w:tcPr>
            <w:tcW w:w="198" w:type="dxa"/>
            <w:tcBorders>
              <w:top w:val="nil"/>
              <w:left w:val="nil"/>
              <w:bottom w:val="nil"/>
              <w:right w:val="nil"/>
            </w:tcBorders>
            <w:shd w:val="clear" w:color="auto" w:fill="auto"/>
            <w:noWrap/>
            <w:vAlign w:val="center"/>
            <w:hideMark/>
          </w:tcPr>
          <w:p w14:paraId="3BBC6F53"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4366" w:type="dxa"/>
            <w:tcBorders>
              <w:top w:val="nil"/>
              <w:left w:val="nil"/>
              <w:bottom w:val="nil"/>
              <w:right w:val="nil"/>
            </w:tcBorders>
            <w:shd w:val="clear" w:color="auto" w:fill="auto"/>
            <w:noWrap/>
            <w:vAlign w:val="center"/>
            <w:hideMark/>
          </w:tcPr>
          <w:p w14:paraId="47079307" w14:textId="77777777" w:rsidR="00BC5219" w:rsidRPr="00EC4029" w:rsidRDefault="00BC5219" w:rsidP="00E83802">
            <w:pPr>
              <w:rPr>
                <w:rFonts w:ascii="Meta Pro" w:eastAsia="Times New Roman" w:hAnsi="Meta Pro" w:cs="Times New Roman"/>
                <w:color w:val="000000" w:themeColor="text1"/>
                <w:sz w:val="20"/>
                <w:szCs w:val="20"/>
                <w:lang w:eastAsia="en-AU"/>
              </w:rPr>
            </w:pPr>
          </w:p>
        </w:tc>
        <w:tc>
          <w:tcPr>
            <w:tcW w:w="1418" w:type="dxa"/>
            <w:tcBorders>
              <w:top w:val="nil"/>
              <w:left w:val="nil"/>
              <w:bottom w:val="nil"/>
              <w:right w:val="nil"/>
            </w:tcBorders>
            <w:shd w:val="clear" w:color="000000" w:fill="C9E3B4"/>
            <w:noWrap/>
            <w:vAlign w:val="center"/>
            <w:hideMark/>
          </w:tcPr>
          <w:p w14:paraId="08A03F26"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98" w:type="dxa"/>
            <w:tcBorders>
              <w:top w:val="nil"/>
              <w:left w:val="nil"/>
              <w:bottom w:val="nil"/>
              <w:right w:val="nil"/>
            </w:tcBorders>
            <w:shd w:val="clear" w:color="auto" w:fill="auto"/>
            <w:noWrap/>
            <w:vAlign w:val="center"/>
            <w:hideMark/>
          </w:tcPr>
          <w:p w14:paraId="06A352D9"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42AE1198"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98" w:type="dxa"/>
            <w:tcBorders>
              <w:top w:val="nil"/>
              <w:left w:val="nil"/>
              <w:bottom w:val="nil"/>
              <w:right w:val="nil"/>
            </w:tcBorders>
            <w:shd w:val="clear" w:color="auto" w:fill="auto"/>
            <w:noWrap/>
            <w:vAlign w:val="center"/>
            <w:hideMark/>
          </w:tcPr>
          <w:p w14:paraId="2AE5C7FD"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4C361199"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98" w:type="dxa"/>
            <w:tcBorders>
              <w:top w:val="nil"/>
              <w:left w:val="nil"/>
              <w:bottom w:val="nil"/>
              <w:right w:val="nil"/>
            </w:tcBorders>
            <w:shd w:val="clear" w:color="auto" w:fill="auto"/>
            <w:noWrap/>
            <w:vAlign w:val="center"/>
            <w:hideMark/>
          </w:tcPr>
          <w:p w14:paraId="514DE882"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34DD9978"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98" w:type="dxa"/>
            <w:tcBorders>
              <w:top w:val="nil"/>
              <w:left w:val="nil"/>
              <w:bottom w:val="nil"/>
              <w:right w:val="nil"/>
            </w:tcBorders>
            <w:shd w:val="clear" w:color="auto" w:fill="auto"/>
            <w:noWrap/>
            <w:vAlign w:val="center"/>
            <w:hideMark/>
          </w:tcPr>
          <w:p w14:paraId="34556D0E"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4C459178"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98" w:type="dxa"/>
            <w:tcBorders>
              <w:top w:val="nil"/>
              <w:left w:val="nil"/>
              <w:bottom w:val="nil"/>
              <w:right w:val="nil"/>
            </w:tcBorders>
            <w:shd w:val="clear" w:color="auto" w:fill="auto"/>
            <w:noWrap/>
            <w:vAlign w:val="center"/>
            <w:hideMark/>
          </w:tcPr>
          <w:p w14:paraId="23EA8B34"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77EAFEDD"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w:t>
            </w:r>
          </w:p>
        </w:tc>
      </w:tr>
      <w:tr w:rsidR="00EC4029" w:rsidRPr="00EC4029" w14:paraId="74247675" w14:textId="77777777" w:rsidTr="00E83802">
        <w:trPr>
          <w:trHeight w:hRule="exact" w:val="198"/>
        </w:trPr>
        <w:tc>
          <w:tcPr>
            <w:tcW w:w="4366" w:type="dxa"/>
            <w:gridSpan w:val="2"/>
            <w:tcBorders>
              <w:top w:val="nil"/>
              <w:left w:val="nil"/>
              <w:bottom w:val="nil"/>
              <w:right w:val="nil"/>
            </w:tcBorders>
            <w:shd w:val="clear" w:color="auto" w:fill="auto"/>
            <w:noWrap/>
            <w:vAlign w:val="center"/>
            <w:hideMark/>
          </w:tcPr>
          <w:p w14:paraId="770627A3" w14:textId="77777777" w:rsidR="00BC5219" w:rsidRPr="00EC4029" w:rsidRDefault="00BC5219" w:rsidP="00E83802">
            <w:pPr>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Items not reclassified to operating result</w:t>
            </w:r>
          </w:p>
        </w:tc>
        <w:tc>
          <w:tcPr>
            <w:tcW w:w="1418" w:type="dxa"/>
            <w:tcBorders>
              <w:top w:val="nil"/>
              <w:left w:val="nil"/>
              <w:bottom w:val="nil"/>
              <w:right w:val="nil"/>
            </w:tcBorders>
            <w:shd w:val="clear" w:color="000000" w:fill="C9E3B4"/>
            <w:noWrap/>
            <w:vAlign w:val="center"/>
            <w:hideMark/>
          </w:tcPr>
          <w:p w14:paraId="422BA23C"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98" w:type="dxa"/>
            <w:tcBorders>
              <w:top w:val="nil"/>
              <w:left w:val="nil"/>
              <w:bottom w:val="nil"/>
              <w:right w:val="nil"/>
            </w:tcBorders>
            <w:shd w:val="clear" w:color="auto" w:fill="auto"/>
            <w:noWrap/>
            <w:vAlign w:val="center"/>
            <w:hideMark/>
          </w:tcPr>
          <w:p w14:paraId="1EFBA1C1"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3679274E"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98" w:type="dxa"/>
            <w:tcBorders>
              <w:top w:val="nil"/>
              <w:left w:val="nil"/>
              <w:bottom w:val="nil"/>
              <w:right w:val="nil"/>
            </w:tcBorders>
            <w:shd w:val="clear" w:color="auto" w:fill="auto"/>
            <w:noWrap/>
            <w:vAlign w:val="center"/>
            <w:hideMark/>
          </w:tcPr>
          <w:p w14:paraId="60E5AC08"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6605A0CC"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98" w:type="dxa"/>
            <w:tcBorders>
              <w:top w:val="nil"/>
              <w:left w:val="nil"/>
              <w:bottom w:val="nil"/>
              <w:right w:val="nil"/>
            </w:tcBorders>
            <w:shd w:val="clear" w:color="auto" w:fill="auto"/>
            <w:noWrap/>
            <w:vAlign w:val="center"/>
            <w:hideMark/>
          </w:tcPr>
          <w:p w14:paraId="00F68F8D"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0DEDB4BF"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98" w:type="dxa"/>
            <w:tcBorders>
              <w:top w:val="nil"/>
              <w:left w:val="nil"/>
              <w:bottom w:val="nil"/>
              <w:right w:val="nil"/>
            </w:tcBorders>
            <w:shd w:val="clear" w:color="auto" w:fill="auto"/>
            <w:noWrap/>
            <w:vAlign w:val="center"/>
            <w:hideMark/>
          </w:tcPr>
          <w:p w14:paraId="733BB06B"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53EBE494"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98" w:type="dxa"/>
            <w:tcBorders>
              <w:top w:val="nil"/>
              <w:left w:val="nil"/>
              <w:bottom w:val="nil"/>
              <w:right w:val="nil"/>
            </w:tcBorders>
            <w:shd w:val="clear" w:color="auto" w:fill="auto"/>
            <w:noWrap/>
            <w:vAlign w:val="center"/>
            <w:hideMark/>
          </w:tcPr>
          <w:p w14:paraId="1BACF2FC" w14:textId="77777777" w:rsidR="00BC5219" w:rsidRPr="00EC4029" w:rsidRDefault="00BC5219" w:rsidP="00E83802">
            <w:pPr>
              <w:jc w:val="right"/>
              <w:rPr>
                <w:rFonts w:ascii="Meta Pro" w:eastAsia="Times New Roman" w:hAnsi="Meta Pro"/>
                <w:color w:val="000000" w:themeColor="text1"/>
                <w:sz w:val="16"/>
                <w:szCs w:val="16"/>
                <w:lang w:eastAsia="en-AU"/>
              </w:rPr>
            </w:pPr>
          </w:p>
        </w:tc>
        <w:tc>
          <w:tcPr>
            <w:tcW w:w="1418" w:type="dxa"/>
            <w:tcBorders>
              <w:top w:val="nil"/>
              <w:left w:val="nil"/>
              <w:bottom w:val="nil"/>
              <w:right w:val="nil"/>
            </w:tcBorders>
            <w:shd w:val="clear" w:color="000000" w:fill="C9E3B4"/>
            <w:noWrap/>
            <w:vAlign w:val="center"/>
            <w:hideMark/>
          </w:tcPr>
          <w:p w14:paraId="54F272A1"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w:t>
            </w:r>
          </w:p>
        </w:tc>
      </w:tr>
      <w:tr w:rsidR="00EC4029" w:rsidRPr="00EC4029" w14:paraId="2E0E0336" w14:textId="77777777" w:rsidTr="00E83802">
        <w:trPr>
          <w:trHeight w:hRule="exact" w:val="198"/>
        </w:trPr>
        <w:tc>
          <w:tcPr>
            <w:tcW w:w="198" w:type="dxa"/>
            <w:tcBorders>
              <w:top w:val="nil"/>
              <w:left w:val="nil"/>
              <w:bottom w:val="single" w:sz="4" w:space="0" w:color="auto"/>
              <w:right w:val="nil"/>
            </w:tcBorders>
            <w:shd w:val="clear" w:color="auto" w:fill="auto"/>
            <w:noWrap/>
            <w:vAlign w:val="center"/>
            <w:hideMark/>
          </w:tcPr>
          <w:p w14:paraId="35E15CE4" w14:textId="77777777" w:rsidR="00BC5219" w:rsidRPr="00EC4029" w:rsidRDefault="00BC5219" w:rsidP="00E83802">
            <w:pPr>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4366" w:type="dxa"/>
            <w:tcBorders>
              <w:top w:val="nil"/>
              <w:left w:val="nil"/>
              <w:bottom w:val="nil"/>
              <w:right w:val="nil"/>
            </w:tcBorders>
            <w:shd w:val="clear" w:color="auto" w:fill="auto"/>
            <w:noWrap/>
            <w:vAlign w:val="center"/>
            <w:hideMark/>
          </w:tcPr>
          <w:p w14:paraId="21B5705F" w14:textId="77777777" w:rsidR="00BC5219" w:rsidRPr="00EC4029" w:rsidRDefault="00BC5219" w:rsidP="00E83802">
            <w:pPr>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Increase in asset revaluation surplus</w:t>
            </w:r>
          </w:p>
        </w:tc>
        <w:tc>
          <w:tcPr>
            <w:tcW w:w="1418" w:type="dxa"/>
            <w:tcBorders>
              <w:top w:val="nil"/>
              <w:left w:val="nil"/>
              <w:bottom w:val="single" w:sz="4" w:space="0" w:color="auto"/>
              <w:right w:val="nil"/>
            </w:tcBorders>
            <w:shd w:val="clear" w:color="000000" w:fill="C9E3B4"/>
            <w:noWrap/>
            <w:vAlign w:val="center"/>
            <w:hideMark/>
          </w:tcPr>
          <w:p w14:paraId="48A4A24F"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6EF39A92"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127DC622"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7E26B9D3"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2EB3CBB0"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4299F87A"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27DE3C7C"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13C3248F"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405E4EAD"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7CFD1CAF"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15425D9D"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15,103,128 </w:t>
            </w:r>
          </w:p>
        </w:tc>
      </w:tr>
      <w:tr w:rsidR="00EC4029" w:rsidRPr="00EC4029" w14:paraId="36349E91" w14:textId="77777777" w:rsidTr="00E83802">
        <w:trPr>
          <w:trHeight w:hRule="exact" w:val="198"/>
        </w:trPr>
        <w:tc>
          <w:tcPr>
            <w:tcW w:w="4366" w:type="dxa"/>
            <w:gridSpan w:val="2"/>
            <w:tcBorders>
              <w:top w:val="single" w:sz="4" w:space="0" w:color="auto"/>
              <w:left w:val="nil"/>
              <w:bottom w:val="single" w:sz="4" w:space="0" w:color="auto"/>
              <w:right w:val="nil"/>
            </w:tcBorders>
            <w:shd w:val="clear" w:color="auto" w:fill="auto"/>
            <w:noWrap/>
            <w:vAlign w:val="center"/>
            <w:hideMark/>
          </w:tcPr>
          <w:p w14:paraId="6A9E0AC7" w14:textId="77777777" w:rsidR="00BC5219" w:rsidRPr="00EC4029" w:rsidRDefault="00BC5219" w:rsidP="00E83802">
            <w:pPr>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Total other comprehensive income</w:t>
            </w:r>
          </w:p>
        </w:tc>
        <w:tc>
          <w:tcPr>
            <w:tcW w:w="1418" w:type="dxa"/>
            <w:tcBorders>
              <w:top w:val="nil"/>
              <w:left w:val="nil"/>
              <w:bottom w:val="single" w:sz="4" w:space="0" w:color="auto"/>
              <w:right w:val="nil"/>
            </w:tcBorders>
            <w:shd w:val="clear" w:color="000000" w:fill="C9E3B4"/>
            <w:noWrap/>
            <w:vAlign w:val="center"/>
            <w:hideMark/>
          </w:tcPr>
          <w:p w14:paraId="4C105E2B"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2AF96459"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3C8B842C"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4F5A5DA8"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58C7CF6B"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046D3077"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6BE8EA9E"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617DA1BD"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2BB2B0B2"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013158C3"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5D26D7E0"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15,103,128 </w:t>
            </w:r>
          </w:p>
        </w:tc>
      </w:tr>
      <w:tr w:rsidR="00EC4029" w:rsidRPr="00EC4029" w14:paraId="738BDF27" w14:textId="77777777" w:rsidTr="00E83802">
        <w:trPr>
          <w:trHeight w:hRule="exact" w:val="198"/>
        </w:trPr>
        <w:tc>
          <w:tcPr>
            <w:tcW w:w="198" w:type="dxa"/>
            <w:tcBorders>
              <w:top w:val="nil"/>
              <w:left w:val="nil"/>
              <w:bottom w:val="nil"/>
              <w:right w:val="nil"/>
            </w:tcBorders>
            <w:shd w:val="clear" w:color="auto" w:fill="auto"/>
            <w:noWrap/>
            <w:vAlign w:val="center"/>
            <w:hideMark/>
          </w:tcPr>
          <w:p w14:paraId="1BB3FF17" w14:textId="77777777" w:rsidR="00BC5219" w:rsidRPr="00EC4029" w:rsidRDefault="00BC5219" w:rsidP="00E83802">
            <w:pPr>
              <w:jc w:val="right"/>
              <w:rPr>
                <w:rFonts w:ascii="Meta Pro" w:eastAsia="Times New Roman" w:hAnsi="Meta Pro"/>
                <w:b/>
                <w:bCs/>
                <w:color w:val="000000" w:themeColor="text1"/>
                <w:sz w:val="16"/>
                <w:szCs w:val="16"/>
                <w:lang w:eastAsia="en-AU"/>
              </w:rPr>
            </w:pPr>
          </w:p>
        </w:tc>
        <w:tc>
          <w:tcPr>
            <w:tcW w:w="4366" w:type="dxa"/>
            <w:tcBorders>
              <w:top w:val="nil"/>
              <w:left w:val="nil"/>
              <w:bottom w:val="nil"/>
              <w:right w:val="nil"/>
            </w:tcBorders>
            <w:shd w:val="clear" w:color="auto" w:fill="auto"/>
            <w:vAlign w:val="center"/>
            <w:hideMark/>
          </w:tcPr>
          <w:p w14:paraId="634DC3BC" w14:textId="77777777" w:rsidR="00BC5219" w:rsidRPr="00EC4029" w:rsidRDefault="00BC5219" w:rsidP="00E83802">
            <w:pPr>
              <w:rPr>
                <w:rFonts w:ascii="Meta Pro" w:eastAsia="Times New Roman" w:hAnsi="Meta Pro" w:cs="Times New Roman"/>
                <w:color w:val="000000" w:themeColor="text1"/>
                <w:sz w:val="20"/>
                <w:szCs w:val="20"/>
                <w:lang w:eastAsia="en-AU"/>
              </w:rPr>
            </w:pPr>
          </w:p>
        </w:tc>
        <w:tc>
          <w:tcPr>
            <w:tcW w:w="1418" w:type="dxa"/>
            <w:tcBorders>
              <w:top w:val="nil"/>
              <w:left w:val="nil"/>
              <w:bottom w:val="nil"/>
              <w:right w:val="nil"/>
            </w:tcBorders>
            <w:shd w:val="clear" w:color="000000" w:fill="C9E3B4"/>
            <w:noWrap/>
            <w:vAlign w:val="center"/>
            <w:hideMark/>
          </w:tcPr>
          <w:p w14:paraId="395AEDD8"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98" w:type="dxa"/>
            <w:tcBorders>
              <w:top w:val="nil"/>
              <w:left w:val="nil"/>
              <w:bottom w:val="nil"/>
              <w:right w:val="nil"/>
            </w:tcBorders>
            <w:shd w:val="clear" w:color="auto" w:fill="auto"/>
            <w:noWrap/>
            <w:vAlign w:val="center"/>
            <w:hideMark/>
          </w:tcPr>
          <w:p w14:paraId="70635C8B"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418" w:type="dxa"/>
            <w:tcBorders>
              <w:top w:val="nil"/>
              <w:left w:val="nil"/>
              <w:bottom w:val="nil"/>
              <w:right w:val="nil"/>
            </w:tcBorders>
            <w:shd w:val="clear" w:color="000000" w:fill="C9E3B4"/>
            <w:noWrap/>
            <w:vAlign w:val="center"/>
            <w:hideMark/>
          </w:tcPr>
          <w:p w14:paraId="2EE241F9"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98" w:type="dxa"/>
            <w:tcBorders>
              <w:top w:val="nil"/>
              <w:left w:val="nil"/>
              <w:bottom w:val="nil"/>
              <w:right w:val="nil"/>
            </w:tcBorders>
            <w:shd w:val="clear" w:color="auto" w:fill="auto"/>
            <w:noWrap/>
            <w:vAlign w:val="center"/>
            <w:hideMark/>
          </w:tcPr>
          <w:p w14:paraId="3909C280"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418" w:type="dxa"/>
            <w:tcBorders>
              <w:top w:val="nil"/>
              <w:left w:val="nil"/>
              <w:bottom w:val="nil"/>
              <w:right w:val="nil"/>
            </w:tcBorders>
            <w:shd w:val="clear" w:color="000000" w:fill="C9E3B4"/>
            <w:noWrap/>
            <w:vAlign w:val="center"/>
            <w:hideMark/>
          </w:tcPr>
          <w:p w14:paraId="4677888F"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98" w:type="dxa"/>
            <w:tcBorders>
              <w:top w:val="nil"/>
              <w:left w:val="nil"/>
              <w:bottom w:val="nil"/>
              <w:right w:val="nil"/>
            </w:tcBorders>
            <w:shd w:val="clear" w:color="auto" w:fill="auto"/>
            <w:noWrap/>
            <w:vAlign w:val="center"/>
            <w:hideMark/>
          </w:tcPr>
          <w:p w14:paraId="72BEAA8A"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418" w:type="dxa"/>
            <w:tcBorders>
              <w:top w:val="nil"/>
              <w:left w:val="nil"/>
              <w:bottom w:val="nil"/>
              <w:right w:val="nil"/>
            </w:tcBorders>
            <w:shd w:val="clear" w:color="000000" w:fill="C9E3B4"/>
            <w:noWrap/>
            <w:vAlign w:val="center"/>
            <w:hideMark/>
          </w:tcPr>
          <w:p w14:paraId="17A1731C"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98" w:type="dxa"/>
            <w:tcBorders>
              <w:top w:val="nil"/>
              <w:left w:val="nil"/>
              <w:bottom w:val="nil"/>
              <w:right w:val="nil"/>
            </w:tcBorders>
            <w:shd w:val="clear" w:color="auto" w:fill="auto"/>
            <w:noWrap/>
            <w:vAlign w:val="center"/>
            <w:hideMark/>
          </w:tcPr>
          <w:p w14:paraId="27C9C021"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418" w:type="dxa"/>
            <w:tcBorders>
              <w:top w:val="nil"/>
              <w:left w:val="nil"/>
              <w:bottom w:val="nil"/>
              <w:right w:val="nil"/>
            </w:tcBorders>
            <w:shd w:val="clear" w:color="000000" w:fill="C9E3B4"/>
            <w:noWrap/>
            <w:vAlign w:val="center"/>
            <w:hideMark/>
          </w:tcPr>
          <w:p w14:paraId="01DC8C5B"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98" w:type="dxa"/>
            <w:tcBorders>
              <w:top w:val="nil"/>
              <w:left w:val="nil"/>
              <w:bottom w:val="nil"/>
              <w:right w:val="nil"/>
            </w:tcBorders>
            <w:shd w:val="clear" w:color="auto" w:fill="auto"/>
            <w:noWrap/>
            <w:vAlign w:val="center"/>
            <w:hideMark/>
          </w:tcPr>
          <w:p w14:paraId="050134C9" w14:textId="77777777" w:rsidR="00BC5219" w:rsidRPr="00EC4029" w:rsidRDefault="00BC5219" w:rsidP="00E83802">
            <w:pPr>
              <w:jc w:val="right"/>
              <w:rPr>
                <w:rFonts w:ascii="Meta Pro" w:eastAsia="Times New Roman" w:hAnsi="Meta Pro"/>
                <w:color w:val="000000" w:themeColor="text1"/>
                <w:sz w:val="16"/>
                <w:szCs w:val="16"/>
                <w:lang w:eastAsia="en-AU"/>
              </w:rPr>
            </w:pPr>
            <w:r w:rsidRPr="00EC4029">
              <w:rPr>
                <w:rFonts w:ascii="Meta Pro" w:eastAsia="Times New Roman" w:hAnsi="Meta Pro"/>
                <w:color w:val="000000" w:themeColor="text1"/>
                <w:sz w:val="16"/>
                <w:szCs w:val="16"/>
                <w:lang w:eastAsia="en-AU"/>
              </w:rPr>
              <w:t> </w:t>
            </w:r>
          </w:p>
        </w:tc>
        <w:tc>
          <w:tcPr>
            <w:tcW w:w="1418" w:type="dxa"/>
            <w:tcBorders>
              <w:top w:val="nil"/>
              <w:left w:val="nil"/>
              <w:bottom w:val="nil"/>
              <w:right w:val="nil"/>
            </w:tcBorders>
            <w:shd w:val="clear" w:color="000000" w:fill="C9E3B4"/>
            <w:noWrap/>
            <w:vAlign w:val="center"/>
            <w:hideMark/>
          </w:tcPr>
          <w:p w14:paraId="1A52BF91"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w:t>
            </w:r>
          </w:p>
        </w:tc>
      </w:tr>
      <w:tr w:rsidR="00EC4029" w:rsidRPr="00EC4029" w14:paraId="2C35C674" w14:textId="77777777" w:rsidTr="00E83802">
        <w:trPr>
          <w:trHeight w:hRule="exact" w:val="198"/>
        </w:trPr>
        <w:tc>
          <w:tcPr>
            <w:tcW w:w="4366" w:type="dxa"/>
            <w:gridSpan w:val="2"/>
            <w:tcBorders>
              <w:top w:val="nil"/>
              <w:left w:val="nil"/>
              <w:bottom w:val="double" w:sz="6" w:space="0" w:color="auto"/>
              <w:right w:val="nil"/>
            </w:tcBorders>
            <w:shd w:val="clear" w:color="auto" w:fill="auto"/>
            <w:noWrap/>
            <w:vAlign w:val="center"/>
            <w:hideMark/>
          </w:tcPr>
          <w:p w14:paraId="57FCC2AE" w14:textId="77777777" w:rsidR="00BC5219" w:rsidRPr="00EC4029" w:rsidRDefault="00BC5219" w:rsidP="00E83802">
            <w:pPr>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TOTAL COMPREHENSIVE INCOME</w:t>
            </w:r>
          </w:p>
        </w:tc>
        <w:tc>
          <w:tcPr>
            <w:tcW w:w="1418" w:type="dxa"/>
            <w:tcBorders>
              <w:top w:val="nil"/>
              <w:left w:val="nil"/>
              <w:bottom w:val="double" w:sz="6" w:space="0" w:color="auto"/>
              <w:right w:val="nil"/>
            </w:tcBorders>
            <w:shd w:val="clear" w:color="000000" w:fill="C9E3B4"/>
            <w:noWrap/>
            <w:vAlign w:val="center"/>
            <w:hideMark/>
          </w:tcPr>
          <w:p w14:paraId="16C577D6"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 </w:t>
            </w:r>
          </w:p>
        </w:tc>
        <w:tc>
          <w:tcPr>
            <w:tcW w:w="198" w:type="dxa"/>
            <w:tcBorders>
              <w:top w:val="nil"/>
              <w:left w:val="nil"/>
              <w:bottom w:val="double" w:sz="6" w:space="0" w:color="auto"/>
              <w:right w:val="nil"/>
            </w:tcBorders>
            <w:shd w:val="clear" w:color="auto" w:fill="auto"/>
            <w:noWrap/>
            <w:vAlign w:val="center"/>
            <w:hideMark/>
          </w:tcPr>
          <w:p w14:paraId="3093126D"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w:t>
            </w:r>
          </w:p>
        </w:tc>
        <w:tc>
          <w:tcPr>
            <w:tcW w:w="1418" w:type="dxa"/>
            <w:tcBorders>
              <w:top w:val="nil"/>
              <w:left w:val="nil"/>
              <w:bottom w:val="double" w:sz="6" w:space="0" w:color="auto"/>
              <w:right w:val="nil"/>
            </w:tcBorders>
            <w:shd w:val="clear" w:color="000000" w:fill="C9E3B4"/>
            <w:noWrap/>
            <w:vAlign w:val="center"/>
            <w:hideMark/>
          </w:tcPr>
          <w:p w14:paraId="1536B698"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565 </w:t>
            </w:r>
          </w:p>
        </w:tc>
        <w:tc>
          <w:tcPr>
            <w:tcW w:w="198" w:type="dxa"/>
            <w:tcBorders>
              <w:top w:val="nil"/>
              <w:left w:val="nil"/>
              <w:bottom w:val="double" w:sz="6" w:space="0" w:color="auto"/>
              <w:right w:val="nil"/>
            </w:tcBorders>
            <w:shd w:val="clear" w:color="auto" w:fill="auto"/>
            <w:noWrap/>
            <w:vAlign w:val="center"/>
            <w:hideMark/>
          </w:tcPr>
          <w:p w14:paraId="6F079445"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w:t>
            </w:r>
          </w:p>
        </w:tc>
        <w:tc>
          <w:tcPr>
            <w:tcW w:w="1418" w:type="dxa"/>
            <w:tcBorders>
              <w:top w:val="nil"/>
              <w:left w:val="nil"/>
              <w:bottom w:val="double" w:sz="6" w:space="0" w:color="auto"/>
              <w:right w:val="nil"/>
            </w:tcBorders>
            <w:shd w:val="clear" w:color="000000" w:fill="C9E3B4"/>
            <w:noWrap/>
            <w:vAlign w:val="center"/>
            <w:hideMark/>
          </w:tcPr>
          <w:p w14:paraId="10D01DF8"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562 </w:t>
            </w:r>
          </w:p>
        </w:tc>
        <w:tc>
          <w:tcPr>
            <w:tcW w:w="198" w:type="dxa"/>
            <w:tcBorders>
              <w:top w:val="nil"/>
              <w:left w:val="nil"/>
              <w:bottom w:val="double" w:sz="6" w:space="0" w:color="auto"/>
              <w:right w:val="nil"/>
            </w:tcBorders>
            <w:shd w:val="clear" w:color="auto" w:fill="auto"/>
            <w:noWrap/>
            <w:vAlign w:val="center"/>
            <w:hideMark/>
          </w:tcPr>
          <w:p w14:paraId="1B1A7329"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w:t>
            </w:r>
          </w:p>
        </w:tc>
        <w:tc>
          <w:tcPr>
            <w:tcW w:w="1418" w:type="dxa"/>
            <w:tcBorders>
              <w:top w:val="nil"/>
              <w:left w:val="nil"/>
              <w:bottom w:val="double" w:sz="6" w:space="0" w:color="auto"/>
              <w:right w:val="nil"/>
            </w:tcBorders>
            <w:shd w:val="clear" w:color="000000" w:fill="C9E3B4"/>
            <w:noWrap/>
            <w:vAlign w:val="center"/>
            <w:hideMark/>
          </w:tcPr>
          <w:p w14:paraId="60C0AAFC"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(29)</w:t>
            </w:r>
          </w:p>
        </w:tc>
        <w:tc>
          <w:tcPr>
            <w:tcW w:w="198" w:type="dxa"/>
            <w:tcBorders>
              <w:top w:val="nil"/>
              <w:left w:val="nil"/>
              <w:bottom w:val="double" w:sz="6" w:space="0" w:color="auto"/>
              <w:right w:val="nil"/>
            </w:tcBorders>
            <w:shd w:val="clear" w:color="auto" w:fill="auto"/>
            <w:noWrap/>
            <w:vAlign w:val="center"/>
            <w:hideMark/>
          </w:tcPr>
          <w:p w14:paraId="5A6C5D23"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w:t>
            </w:r>
          </w:p>
        </w:tc>
        <w:tc>
          <w:tcPr>
            <w:tcW w:w="1418" w:type="dxa"/>
            <w:tcBorders>
              <w:top w:val="nil"/>
              <w:left w:val="nil"/>
              <w:bottom w:val="double" w:sz="6" w:space="0" w:color="auto"/>
              <w:right w:val="nil"/>
            </w:tcBorders>
            <w:shd w:val="clear" w:color="000000" w:fill="C9E3B4"/>
            <w:noWrap/>
            <w:vAlign w:val="center"/>
            <w:hideMark/>
          </w:tcPr>
          <w:p w14:paraId="0A3DEE85"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 </w:t>
            </w:r>
          </w:p>
        </w:tc>
        <w:tc>
          <w:tcPr>
            <w:tcW w:w="198" w:type="dxa"/>
            <w:tcBorders>
              <w:top w:val="nil"/>
              <w:left w:val="nil"/>
              <w:bottom w:val="double" w:sz="6" w:space="0" w:color="auto"/>
              <w:right w:val="nil"/>
            </w:tcBorders>
            <w:shd w:val="clear" w:color="auto" w:fill="auto"/>
            <w:noWrap/>
            <w:vAlign w:val="center"/>
            <w:hideMark/>
          </w:tcPr>
          <w:p w14:paraId="04F41FE3"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w:t>
            </w:r>
          </w:p>
        </w:tc>
        <w:tc>
          <w:tcPr>
            <w:tcW w:w="1418" w:type="dxa"/>
            <w:tcBorders>
              <w:top w:val="nil"/>
              <w:left w:val="nil"/>
              <w:bottom w:val="double" w:sz="6" w:space="0" w:color="auto"/>
              <w:right w:val="nil"/>
            </w:tcBorders>
            <w:shd w:val="clear" w:color="000000" w:fill="C9E3B4"/>
            <w:noWrap/>
            <w:vAlign w:val="center"/>
            <w:hideMark/>
          </w:tcPr>
          <w:p w14:paraId="24780A74" w14:textId="77777777" w:rsidR="00BC5219" w:rsidRPr="00EC4029" w:rsidRDefault="00BC5219" w:rsidP="00E83802">
            <w:pPr>
              <w:jc w:val="right"/>
              <w:rPr>
                <w:rFonts w:ascii="Meta Pro" w:eastAsia="Times New Roman" w:hAnsi="Meta Pro"/>
                <w:b/>
                <w:bCs/>
                <w:color w:val="000000" w:themeColor="text1"/>
                <w:sz w:val="16"/>
                <w:szCs w:val="16"/>
                <w:lang w:eastAsia="en-AU"/>
              </w:rPr>
            </w:pPr>
            <w:r w:rsidRPr="00EC4029">
              <w:rPr>
                <w:rFonts w:ascii="Meta Pro" w:eastAsia="Times New Roman" w:hAnsi="Meta Pro"/>
                <w:b/>
                <w:bCs/>
                <w:color w:val="000000" w:themeColor="text1"/>
                <w:sz w:val="16"/>
                <w:szCs w:val="16"/>
                <w:lang w:eastAsia="en-AU"/>
              </w:rPr>
              <w:t xml:space="preserve">15,108,124 </w:t>
            </w:r>
          </w:p>
        </w:tc>
      </w:tr>
    </w:tbl>
    <w:p w14:paraId="260B2077" w14:textId="77777777" w:rsidR="00BC5219" w:rsidRPr="008A2B8F" w:rsidRDefault="00BC5219" w:rsidP="00BC5219">
      <w:pPr>
        <w:spacing w:after="160" w:line="259" w:lineRule="auto"/>
        <w:rPr>
          <w:rFonts w:ascii="Meta Pro" w:eastAsia="Times New Roman" w:hAnsi="Meta Pro"/>
          <w:i/>
          <w:iCs/>
          <w:color w:val="000000" w:themeColor="text1"/>
          <w:lang w:eastAsia="en-AU"/>
        </w:rPr>
      </w:pPr>
    </w:p>
    <w:p w14:paraId="13E94448" w14:textId="77777777" w:rsidR="00BC5219" w:rsidRPr="008A2B8F" w:rsidRDefault="00BC5219" w:rsidP="00BC5219">
      <w:pPr>
        <w:spacing w:after="160" w:line="259" w:lineRule="auto"/>
        <w:rPr>
          <w:rFonts w:ascii="Meta Pro" w:eastAsia="Times New Roman" w:hAnsi="Meta Pro"/>
          <w:i/>
          <w:iCs/>
          <w:color w:val="000000" w:themeColor="text1"/>
          <w:lang w:eastAsia="en-AU"/>
        </w:rPr>
      </w:pPr>
      <w:r w:rsidRPr="008A2B8F">
        <w:rPr>
          <w:rFonts w:ascii="Meta Pro" w:eastAsia="Times New Roman" w:hAnsi="Meta Pro"/>
          <w:i/>
          <w:iCs/>
          <w:color w:val="000000" w:themeColor="text1"/>
          <w:lang w:eastAsia="en-AU"/>
        </w:rPr>
        <w:br w:type="page"/>
      </w:r>
    </w:p>
    <w:p w14:paraId="76ED49D5"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bookmarkStart w:id="43" w:name="_Hlk141879190"/>
      <w:r w:rsidRPr="008A2B8F">
        <w:rPr>
          <w:rFonts w:ascii="Meta Pro" w:eastAsia="Times New Roman" w:hAnsi="Meta Pro"/>
          <w:i/>
          <w:iCs/>
          <w:color w:val="000000" w:themeColor="text1"/>
          <w:lang w:eastAsia="en-AU"/>
        </w:rPr>
        <w:lastRenderedPageBreak/>
        <w:t>Department of Transport and Main Roads</w:t>
      </w:r>
    </w:p>
    <w:p w14:paraId="08365BC1"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Statement of comprehensive income by major departmental services (continued)</w:t>
      </w:r>
    </w:p>
    <w:bookmarkEnd w:id="43"/>
    <w:p w14:paraId="286AB9D4"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for the year ended 30 June 2023</w:t>
      </w:r>
    </w:p>
    <w:p w14:paraId="2167D521" w14:textId="77777777" w:rsidR="00BC5219" w:rsidRPr="008A2B8F" w:rsidRDefault="00BC5219" w:rsidP="00BC5219">
      <w:pPr>
        <w:spacing w:line="17" w:lineRule="auto"/>
        <w:rPr>
          <w:rFonts w:ascii="Meta Pro" w:hAnsi="Meta Pro" w:cstheme="minorBidi"/>
        </w:rPr>
      </w:pPr>
    </w:p>
    <w:tbl>
      <w:tblPr>
        <w:tblW w:w="0" w:type="auto"/>
        <w:tblCellMar>
          <w:left w:w="0" w:type="dxa"/>
        </w:tblCellMar>
        <w:tblLook w:val="04A0" w:firstRow="1" w:lastRow="0" w:firstColumn="1" w:lastColumn="0" w:noHBand="0" w:noVBand="1"/>
      </w:tblPr>
      <w:tblGrid>
        <w:gridCol w:w="401"/>
        <w:gridCol w:w="3391"/>
        <w:gridCol w:w="1111"/>
        <w:gridCol w:w="189"/>
        <w:gridCol w:w="1111"/>
        <w:gridCol w:w="189"/>
        <w:gridCol w:w="1111"/>
        <w:gridCol w:w="189"/>
        <w:gridCol w:w="1111"/>
        <w:gridCol w:w="189"/>
        <w:gridCol w:w="1111"/>
        <w:gridCol w:w="189"/>
        <w:gridCol w:w="1111"/>
        <w:gridCol w:w="189"/>
        <w:gridCol w:w="1111"/>
        <w:gridCol w:w="189"/>
        <w:gridCol w:w="1111"/>
      </w:tblGrid>
      <w:tr w:rsidR="00BC5219" w:rsidRPr="008A2B8F" w14:paraId="7D381FC1" w14:textId="77777777" w:rsidTr="00E83802">
        <w:trPr>
          <w:trHeight w:val="198"/>
        </w:trPr>
        <w:tc>
          <w:tcPr>
            <w:tcW w:w="4077" w:type="dxa"/>
            <w:gridSpan w:val="2"/>
            <w:tcBorders>
              <w:top w:val="nil"/>
              <w:left w:val="nil"/>
              <w:bottom w:val="nil"/>
              <w:right w:val="nil"/>
            </w:tcBorders>
            <w:shd w:val="clear" w:color="auto" w:fill="auto"/>
            <w:noWrap/>
            <w:vAlign w:val="bottom"/>
            <w:hideMark/>
          </w:tcPr>
          <w:p w14:paraId="27682809" w14:textId="77777777" w:rsidR="00BC5219" w:rsidRPr="008A2B8F" w:rsidRDefault="00BC5219" w:rsidP="00E83802">
            <w:pPr>
              <w:spacing w:before="160"/>
              <w:rPr>
                <w:rFonts w:ascii="Meta Pro" w:eastAsia="Times New Roman" w:hAnsi="Meta Pro"/>
                <w:b/>
                <w:bCs/>
                <w:sz w:val="16"/>
                <w:szCs w:val="16"/>
                <w:lang w:eastAsia="en-AU"/>
              </w:rPr>
            </w:pPr>
            <w:r w:rsidRPr="008A2B8F">
              <w:rPr>
                <w:rFonts w:ascii="Meta Pro" w:eastAsia="Times New Roman" w:hAnsi="Meta Pro"/>
                <w:b/>
                <w:bCs/>
                <w:sz w:val="16"/>
                <w:szCs w:val="16"/>
                <w:lang w:eastAsia="en-AU"/>
              </w:rPr>
              <w:t>OPERATING RESULT</w:t>
            </w:r>
          </w:p>
        </w:tc>
        <w:tc>
          <w:tcPr>
            <w:tcW w:w="1315" w:type="dxa"/>
            <w:tcBorders>
              <w:top w:val="nil"/>
              <w:left w:val="nil"/>
              <w:bottom w:val="nil"/>
              <w:right w:val="nil"/>
            </w:tcBorders>
            <w:shd w:val="clear" w:color="auto" w:fill="auto"/>
            <w:hideMark/>
          </w:tcPr>
          <w:p w14:paraId="61D49AF6" w14:textId="77777777" w:rsidR="00BC5219" w:rsidRPr="008A2B8F" w:rsidRDefault="00BC5219" w:rsidP="00E83802">
            <w:pPr>
              <w:spacing w:before="160"/>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Transport system investment planning and programming</w:t>
            </w:r>
          </w:p>
        </w:tc>
        <w:tc>
          <w:tcPr>
            <w:tcW w:w="198" w:type="dxa"/>
            <w:tcBorders>
              <w:top w:val="nil"/>
              <w:left w:val="nil"/>
              <w:bottom w:val="nil"/>
              <w:right w:val="nil"/>
            </w:tcBorders>
            <w:shd w:val="clear" w:color="auto" w:fill="auto"/>
            <w:hideMark/>
          </w:tcPr>
          <w:p w14:paraId="3449CA53" w14:textId="77777777" w:rsidR="00BC5219" w:rsidRPr="008A2B8F" w:rsidRDefault="00BC5219" w:rsidP="00E83802">
            <w:pPr>
              <w:spacing w:before="160"/>
              <w:jc w:val="center"/>
              <w:rPr>
                <w:rFonts w:ascii="Meta Pro" w:eastAsia="Times New Roman" w:hAnsi="Meta Pro"/>
                <w:b/>
                <w:bCs/>
                <w:sz w:val="16"/>
                <w:szCs w:val="16"/>
                <w:lang w:eastAsia="en-AU"/>
              </w:rPr>
            </w:pPr>
          </w:p>
        </w:tc>
        <w:tc>
          <w:tcPr>
            <w:tcW w:w="1315" w:type="dxa"/>
            <w:tcBorders>
              <w:top w:val="nil"/>
              <w:left w:val="nil"/>
              <w:bottom w:val="nil"/>
              <w:right w:val="nil"/>
            </w:tcBorders>
            <w:shd w:val="clear" w:color="auto" w:fill="auto"/>
            <w:hideMark/>
          </w:tcPr>
          <w:p w14:paraId="0DE3AEC4" w14:textId="77777777" w:rsidR="00BC5219" w:rsidRPr="008A2B8F" w:rsidRDefault="00BC5219" w:rsidP="00E83802">
            <w:pPr>
              <w:spacing w:before="160"/>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Transport infrastructure management and </w:t>
            </w:r>
            <w:r w:rsidRPr="008A2B8F">
              <w:rPr>
                <w:rFonts w:ascii="Meta Pro" w:eastAsia="Times New Roman" w:hAnsi="Meta Pro"/>
                <w:b/>
                <w:bCs/>
                <w:sz w:val="16"/>
                <w:szCs w:val="16"/>
                <w:lang w:eastAsia="en-AU"/>
              </w:rPr>
              <w:br/>
              <w:t>delivery</w:t>
            </w:r>
          </w:p>
        </w:tc>
        <w:tc>
          <w:tcPr>
            <w:tcW w:w="198" w:type="dxa"/>
            <w:tcBorders>
              <w:top w:val="nil"/>
              <w:left w:val="nil"/>
              <w:bottom w:val="nil"/>
              <w:right w:val="nil"/>
            </w:tcBorders>
            <w:shd w:val="clear" w:color="auto" w:fill="auto"/>
            <w:hideMark/>
          </w:tcPr>
          <w:p w14:paraId="72B45C28" w14:textId="77777777" w:rsidR="00BC5219" w:rsidRPr="008A2B8F" w:rsidRDefault="00BC5219" w:rsidP="00E83802">
            <w:pPr>
              <w:spacing w:before="160"/>
              <w:jc w:val="center"/>
              <w:rPr>
                <w:rFonts w:ascii="Meta Pro" w:eastAsia="Times New Roman" w:hAnsi="Meta Pro"/>
                <w:b/>
                <w:bCs/>
                <w:sz w:val="16"/>
                <w:szCs w:val="16"/>
                <w:lang w:eastAsia="en-AU"/>
              </w:rPr>
            </w:pPr>
          </w:p>
        </w:tc>
        <w:tc>
          <w:tcPr>
            <w:tcW w:w="1315" w:type="dxa"/>
            <w:tcBorders>
              <w:top w:val="nil"/>
              <w:left w:val="nil"/>
              <w:bottom w:val="nil"/>
              <w:right w:val="nil"/>
            </w:tcBorders>
            <w:shd w:val="clear" w:color="auto" w:fill="auto"/>
            <w:hideMark/>
          </w:tcPr>
          <w:p w14:paraId="0C406B43" w14:textId="77777777" w:rsidR="00BC5219" w:rsidRPr="008A2B8F" w:rsidRDefault="00BC5219" w:rsidP="00E83802">
            <w:pPr>
              <w:spacing w:before="160"/>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Transport safety and regulation</w:t>
            </w:r>
          </w:p>
        </w:tc>
        <w:tc>
          <w:tcPr>
            <w:tcW w:w="198" w:type="dxa"/>
            <w:tcBorders>
              <w:top w:val="nil"/>
              <w:left w:val="nil"/>
              <w:bottom w:val="nil"/>
              <w:right w:val="nil"/>
            </w:tcBorders>
            <w:shd w:val="clear" w:color="auto" w:fill="auto"/>
            <w:hideMark/>
          </w:tcPr>
          <w:p w14:paraId="1E5F9F37" w14:textId="77777777" w:rsidR="00BC5219" w:rsidRPr="008A2B8F" w:rsidRDefault="00BC5219" w:rsidP="00E83802">
            <w:pPr>
              <w:spacing w:before="160"/>
              <w:jc w:val="center"/>
              <w:rPr>
                <w:rFonts w:ascii="Meta Pro" w:eastAsia="Times New Roman" w:hAnsi="Meta Pro"/>
                <w:b/>
                <w:bCs/>
                <w:sz w:val="16"/>
                <w:szCs w:val="16"/>
                <w:lang w:eastAsia="en-AU"/>
              </w:rPr>
            </w:pPr>
          </w:p>
        </w:tc>
        <w:tc>
          <w:tcPr>
            <w:tcW w:w="1315" w:type="dxa"/>
            <w:tcBorders>
              <w:top w:val="nil"/>
              <w:left w:val="nil"/>
              <w:bottom w:val="nil"/>
              <w:right w:val="nil"/>
            </w:tcBorders>
            <w:shd w:val="clear" w:color="auto" w:fill="auto"/>
            <w:hideMark/>
          </w:tcPr>
          <w:p w14:paraId="556BCB75" w14:textId="77777777" w:rsidR="00BC5219" w:rsidRPr="008A2B8F" w:rsidRDefault="00BC5219" w:rsidP="00E83802">
            <w:pPr>
              <w:spacing w:before="160"/>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Customer experience</w:t>
            </w:r>
          </w:p>
        </w:tc>
        <w:tc>
          <w:tcPr>
            <w:tcW w:w="198" w:type="dxa"/>
            <w:tcBorders>
              <w:top w:val="nil"/>
              <w:left w:val="nil"/>
              <w:bottom w:val="nil"/>
              <w:right w:val="nil"/>
            </w:tcBorders>
            <w:shd w:val="clear" w:color="auto" w:fill="auto"/>
            <w:hideMark/>
          </w:tcPr>
          <w:p w14:paraId="2369367A" w14:textId="77777777" w:rsidR="00BC5219" w:rsidRPr="008A2B8F" w:rsidRDefault="00BC5219" w:rsidP="00E83802">
            <w:pPr>
              <w:spacing w:before="160"/>
              <w:jc w:val="center"/>
              <w:rPr>
                <w:rFonts w:ascii="Meta Pro" w:eastAsia="Times New Roman" w:hAnsi="Meta Pro"/>
                <w:b/>
                <w:bCs/>
                <w:sz w:val="16"/>
                <w:szCs w:val="16"/>
                <w:lang w:eastAsia="en-AU"/>
              </w:rPr>
            </w:pPr>
          </w:p>
        </w:tc>
        <w:tc>
          <w:tcPr>
            <w:tcW w:w="1315" w:type="dxa"/>
            <w:tcBorders>
              <w:top w:val="nil"/>
              <w:left w:val="nil"/>
              <w:bottom w:val="nil"/>
              <w:right w:val="nil"/>
            </w:tcBorders>
            <w:shd w:val="clear" w:color="auto" w:fill="auto"/>
            <w:hideMark/>
          </w:tcPr>
          <w:p w14:paraId="165B9A2C" w14:textId="77777777" w:rsidR="00BC5219" w:rsidRPr="008A2B8F" w:rsidRDefault="00BC5219" w:rsidP="00E83802">
            <w:pPr>
              <w:spacing w:before="160"/>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Passenger transport services</w:t>
            </w:r>
          </w:p>
        </w:tc>
        <w:tc>
          <w:tcPr>
            <w:tcW w:w="198" w:type="dxa"/>
            <w:tcBorders>
              <w:top w:val="nil"/>
              <w:left w:val="nil"/>
              <w:bottom w:val="nil"/>
              <w:right w:val="nil"/>
            </w:tcBorders>
            <w:shd w:val="clear" w:color="auto" w:fill="auto"/>
            <w:hideMark/>
          </w:tcPr>
          <w:p w14:paraId="53365822" w14:textId="77777777" w:rsidR="00BC5219" w:rsidRPr="008A2B8F" w:rsidRDefault="00BC5219" w:rsidP="00E83802">
            <w:pPr>
              <w:spacing w:before="160"/>
              <w:jc w:val="center"/>
              <w:rPr>
                <w:rFonts w:ascii="Meta Pro" w:eastAsia="Times New Roman" w:hAnsi="Meta Pro"/>
                <w:b/>
                <w:bCs/>
                <w:sz w:val="16"/>
                <w:szCs w:val="16"/>
                <w:lang w:eastAsia="en-AU"/>
              </w:rPr>
            </w:pPr>
          </w:p>
        </w:tc>
        <w:tc>
          <w:tcPr>
            <w:tcW w:w="1315" w:type="dxa"/>
            <w:tcBorders>
              <w:top w:val="nil"/>
              <w:left w:val="nil"/>
              <w:bottom w:val="nil"/>
              <w:right w:val="nil"/>
            </w:tcBorders>
            <w:shd w:val="clear" w:color="auto" w:fill="auto"/>
            <w:hideMark/>
          </w:tcPr>
          <w:p w14:paraId="66DFFB7F" w14:textId="77777777" w:rsidR="00BC5219" w:rsidRPr="008A2B8F" w:rsidRDefault="00BC5219" w:rsidP="00E83802">
            <w:pPr>
              <w:spacing w:before="160"/>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Transport infrastructure construction and maintenance</w:t>
            </w:r>
          </w:p>
        </w:tc>
        <w:tc>
          <w:tcPr>
            <w:tcW w:w="198" w:type="dxa"/>
            <w:tcBorders>
              <w:top w:val="nil"/>
              <w:left w:val="nil"/>
              <w:bottom w:val="nil"/>
              <w:right w:val="nil"/>
            </w:tcBorders>
            <w:shd w:val="clear" w:color="auto" w:fill="auto"/>
            <w:hideMark/>
          </w:tcPr>
          <w:p w14:paraId="39C02D99" w14:textId="77777777" w:rsidR="00BC5219" w:rsidRPr="008A2B8F" w:rsidRDefault="00BC5219" w:rsidP="00E83802">
            <w:pPr>
              <w:spacing w:before="160"/>
              <w:jc w:val="center"/>
              <w:rPr>
                <w:rFonts w:ascii="Meta Pro" w:eastAsia="Times New Roman" w:hAnsi="Meta Pro"/>
                <w:b/>
                <w:bCs/>
                <w:sz w:val="16"/>
                <w:szCs w:val="16"/>
                <w:lang w:eastAsia="en-AU"/>
              </w:rPr>
            </w:pPr>
          </w:p>
        </w:tc>
        <w:tc>
          <w:tcPr>
            <w:tcW w:w="1315" w:type="dxa"/>
            <w:tcBorders>
              <w:top w:val="nil"/>
              <w:left w:val="nil"/>
              <w:bottom w:val="nil"/>
              <w:right w:val="nil"/>
            </w:tcBorders>
            <w:shd w:val="clear" w:color="auto" w:fill="auto"/>
            <w:hideMark/>
          </w:tcPr>
          <w:p w14:paraId="1CA22718" w14:textId="77777777" w:rsidR="00BC5219" w:rsidRPr="008A2B8F" w:rsidRDefault="00BC5219" w:rsidP="00E83802">
            <w:pPr>
              <w:spacing w:before="160"/>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Inter-service/unit</w:t>
            </w:r>
            <w:r w:rsidRPr="008A2B8F">
              <w:rPr>
                <w:rFonts w:ascii="Meta Pro" w:eastAsia="Times New Roman" w:hAnsi="Meta Pro"/>
                <w:b/>
                <w:bCs/>
                <w:sz w:val="16"/>
                <w:szCs w:val="16"/>
                <w:lang w:eastAsia="en-AU"/>
              </w:rPr>
              <w:br/>
              <w:t>eliminations</w:t>
            </w:r>
          </w:p>
        </w:tc>
        <w:tc>
          <w:tcPr>
            <w:tcW w:w="198" w:type="dxa"/>
            <w:tcBorders>
              <w:top w:val="nil"/>
              <w:left w:val="nil"/>
              <w:bottom w:val="nil"/>
              <w:right w:val="nil"/>
            </w:tcBorders>
            <w:shd w:val="clear" w:color="auto" w:fill="auto"/>
            <w:noWrap/>
            <w:hideMark/>
          </w:tcPr>
          <w:p w14:paraId="13C27566" w14:textId="77777777" w:rsidR="00BC5219" w:rsidRPr="008A2B8F" w:rsidRDefault="00BC5219" w:rsidP="00E83802">
            <w:pPr>
              <w:spacing w:before="160"/>
              <w:jc w:val="center"/>
              <w:rPr>
                <w:rFonts w:ascii="Meta Pro" w:eastAsia="Times New Roman" w:hAnsi="Meta Pro"/>
                <w:b/>
                <w:bCs/>
                <w:sz w:val="16"/>
                <w:szCs w:val="16"/>
                <w:lang w:eastAsia="en-AU"/>
              </w:rPr>
            </w:pPr>
          </w:p>
        </w:tc>
        <w:tc>
          <w:tcPr>
            <w:tcW w:w="1315" w:type="dxa"/>
            <w:tcBorders>
              <w:top w:val="nil"/>
              <w:left w:val="nil"/>
              <w:bottom w:val="nil"/>
              <w:right w:val="nil"/>
            </w:tcBorders>
            <w:shd w:val="clear" w:color="auto" w:fill="auto"/>
            <w:hideMark/>
          </w:tcPr>
          <w:p w14:paraId="261E8DF1" w14:textId="77777777" w:rsidR="00BC5219" w:rsidRPr="008A2B8F" w:rsidRDefault="00BC5219" w:rsidP="00E83802">
            <w:pPr>
              <w:spacing w:before="160"/>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Total</w:t>
            </w:r>
            <w:r w:rsidRPr="008A2B8F">
              <w:rPr>
                <w:rFonts w:ascii="Meta Pro" w:eastAsia="Times New Roman" w:hAnsi="Meta Pro"/>
                <w:b/>
                <w:bCs/>
                <w:sz w:val="16"/>
                <w:szCs w:val="16"/>
                <w:lang w:eastAsia="en-AU"/>
              </w:rPr>
              <w:br/>
              <w:t>Department</w:t>
            </w:r>
          </w:p>
        </w:tc>
      </w:tr>
      <w:tr w:rsidR="00BC5219" w:rsidRPr="008A2B8F" w14:paraId="4761D378" w14:textId="77777777" w:rsidTr="00E83802">
        <w:trPr>
          <w:trHeight w:hRule="exact" w:val="40"/>
        </w:trPr>
        <w:tc>
          <w:tcPr>
            <w:tcW w:w="454" w:type="dxa"/>
            <w:tcBorders>
              <w:top w:val="nil"/>
              <w:left w:val="nil"/>
              <w:bottom w:val="nil"/>
              <w:right w:val="nil"/>
            </w:tcBorders>
            <w:shd w:val="clear" w:color="auto" w:fill="auto"/>
            <w:noWrap/>
            <w:vAlign w:val="center"/>
            <w:hideMark/>
          </w:tcPr>
          <w:p w14:paraId="6D271AB5" w14:textId="77777777" w:rsidR="00BC5219" w:rsidRPr="008A2B8F" w:rsidRDefault="00BC5219" w:rsidP="00E83802">
            <w:pPr>
              <w:jc w:val="center"/>
              <w:rPr>
                <w:rFonts w:ascii="Meta Pro" w:eastAsia="Times New Roman" w:hAnsi="Meta Pro"/>
                <w:b/>
                <w:bCs/>
                <w:sz w:val="16"/>
                <w:szCs w:val="16"/>
                <w:lang w:eastAsia="en-AU"/>
              </w:rPr>
            </w:pPr>
          </w:p>
        </w:tc>
        <w:tc>
          <w:tcPr>
            <w:tcW w:w="4077" w:type="dxa"/>
            <w:tcBorders>
              <w:top w:val="nil"/>
              <w:left w:val="nil"/>
              <w:bottom w:val="nil"/>
              <w:right w:val="nil"/>
            </w:tcBorders>
            <w:shd w:val="clear" w:color="auto" w:fill="auto"/>
            <w:noWrap/>
            <w:vAlign w:val="center"/>
            <w:hideMark/>
          </w:tcPr>
          <w:p w14:paraId="10388BAA" w14:textId="77777777" w:rsidR="00BC5219" w:rsidRPr="008A2B8F" w:rsidRDefault="00BC5219" w:rsidP="00E83802">
            <w:pPr>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hideMark/>
          </w:tcPr>
          <w:p w14:paraId="6452C09D" w14:textId="77777777" w:rsidR="00BC5219" w:rsidRPr="008A2B8F" w:rsidRDefault="00BC5219" w:rsidP="00E83802">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hideMark/>
          </w:tcPr>
          <w:p w14:paraId="55B4284B" w14:textId="77777777" w:rsidR="00BC5219" w:rsidRPr="008A2B8F" w:rsidRDefault="00BC5219" w:rsidP="00E83802">
            <w:pPr>
              <w:jc w:val="center"/>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hideMark/>
          </w:tcPr>
          <w:p w14:paraId="7B7A963E" w14:textId="77777777" w:rsidR="00BC5219" w:rsidRPr="008A2B8F" w:rsidRDefault="00BC5219" w:rsidP="00E83802">
            <w:pPr>
              <w:jc w:val="cente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hideMark/>
          </w:tcPr>
          <w:p w14:paraId="28E2AFED" w14:textId="77777777" w:rsidR="00BC5219" w:rsidRPr="008A2B8F" w:rsidRDefault="00BC5219" w:rsidP="00E83802">
            <w:pPr>
              <w:jc w:val="center"/>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hideMark/>
          </w:tcPr>
          <w:p w14:paraId="1B83E40D" w14:textId="77777777" w:rsidR="00BC5219" w:rsidRPr="008A2B8F" w:rsidRDefault="00BC5219" w:rsidP="00E83802">
            <w:pPr>
              <w:jc w:val="cente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hideMark/>
          </w:tcPr>
          <w:p w14:paraId="2DD08F1B" w14:textId="77777777" w:rsidR="00BC5219" w:rsidRPr="008A2B8F" w:rsidRDefault="00BC5219" w:rsidP="00E83802">
            <w:pPr>
              <w:jc w:val="center"/>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hideMark/>
          </w:tcPr>
          <w:p w14:paraId="350EC41E" w14:textId="77777777" w:rsidR="00BC5219" w:rsidRPr="008A2B8F" w:rsidRDefault="00BC5219" w:rsidP="00E83802">
            <w:pPr>
              <w:jc w:val="cente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hideMark/>
          </w:tcPr>
          <w:p w14:paraId="12868D6A" w14:textId="77777777" w:rsidR="00BC5219" w:rsidRPr="008A2B8F" w:rsidRDefault="00BC5219" w:rsidP="00E83802">
            <w:pPr>
              <w:jc w:val="center"/>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hideMark/>
          </w:tcPr>
          <w:p w14:paraId="4EEBDF2B" w14:textId="77777777" w:rsidR="00BC5219" w:rsidRPr="008A2B8F" w:rsidRDefault="00BC5219" w:rsidP="00E83802">
            <w:pPr>
              <w:jc w:val="cente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hideMark/>
          </w:tcPr>
          <w:p w14:paraId="49DD4F49" w14:textId="77777777" w:rsidR="00BC5219" w:rsidRPr="008A2B8F" w:rsidRDefault="00BC5219" w:rsidP="00E83802">
            <w:pPr>
              <w:jc w:val="center"/>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hideMark/>
          </w:tcPr>
          <w:p w14:paraId="4A37751E" w14:textId="77777777" w:rsidR="00BC5219" w:rsidRPr="008A2B8F" w:rsidRDefault="00BC5219" w:rsidP="00E83802">
            <w:pPr>
              <w:jc w:val="cente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hideMark/>
          </w:tcPr>
          <w:p w14:paraId="4C94D252" w14:textId="77777777" w:rsidR="00BC5219" w:rsidRPr="008A2B8F" w:rsidRDefault="00BC5219" w:rsidP="00E83802">
            <w:pPr>
              <w:jc w:val="center"/>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hideMark/>
          </w:tcPr>
          <w:p w14:paraId="04556624" w14:textId="77777777" w:rsidR="00BC5219" w:rsidRPr="008A2B8F" w:rsidRDefault="00BC5219" w:rsidP="00E83802">
            <w:pPr>
              <w:jc w:val="cente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hideMark/>
          </w:tcPr>
          <w:p w14:paraId="5B3C1817" w14:textId="77777777" w:rsidR="00BC5219" w:rsidRPr="008A2B8F" w:rsidRDefault="00BC5219" w:rsidP="00E83802">
            <w:pPr>
              <w:jc w:val="center"/>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hideMark/>
          </w:tcPr>
          <w:p w14:paraId="2B752038" w14:textId="77777777" w:rsidR="00BC5219" w:rsidRPr="008A2B8F" w:rsidRDefault="00BC5219" w:rsidP="00E83802">
            <w:pPr>
              <w:jc w:val="center"/>
              <w:rPr>
                <w:rFonts w:ascii="Meta Pro" w:eastAsia="Times New Roman" w:hAnsi="Meta Pro" w:cs="Times New Roman"/>
                <w:sz w:val="20"/>
                <w:szCs w:val="20"/>
                <w:lang w:eastAsia="en-AU"/>
              </w:rPr>
            </w:pPr>
          </w:p>
        </w:tc>
      </w:tr>
      <w:tr w:rsidR="00BC5219" w:rsidRPr="008A2B8F" w14:paraId="39C9F336" w14:textId="77777777" w:rsidTr="00E83802">
        <w:trPr>
          <w:trHeight w:val="198"/>
        </w:trPr>
        <w:tc>
          <w:tcPr>
            <w:tcW w:w="454" w:type="dxa"/>
            <w:tcBorders>
              <w:top w:val="nil"/>
              <w:left w:val="nil"/>
              <w:bottom w:val="nil"/>
              <w:right w:val="nil"/>
            </w:tcBorders>
            <w:shd w:val="clear" w:color="auto" w:fill="auto"/>
            <w:noWrap/>
            <w:vAlign w:val="center"/>
            <w:hideMark/>
          </w:tcPr>
          <w:p w14:paraId="0EFA753E" w14:textId="77777777" w:rsidR="00BC5219" w:rsidRPr="008A2B8F" w:rsidRDefault="00BC5219" w:rsidP="00E83802">
            <w:pPr>
              <w:jc w:val="center"/>
              <w:rPr>
                <w:rFonts w:ascii="Meta Pro" w:eastAsia="Times New Roman" w:hAnsi="Meta Pro" w:cs="Times New Roman"/>
                <w:sz w:val="20"/>
                <w:szCs w:val="20"/>
                <w:lang w:eastAsia="en-AU"/>
              </w:rPr>
            </w:pPr>
          </w:p>
        </w:tc>
        <w:tc>
          <w:tcPr>
            <w:tcW w:w="4077" w:type="dxa"/>
            <w:tcBorders>
              <w:top w:val="nil"/>
              <w:left w:val="nil"/>
              <w:bottom w:val="nil"/>
              <w:right w:val="nil"/>
            </w:tcBorders>
            <w:shd w:val="clear" w:color="auto" w:fill="auto"/>
            <w:noWrap/>
            <w:vAlign w:val="center"/>
            <w:hideMark/>
          </w:tcPr>
          <w:p w14:paraId="39708C69" w14:textId="77777777" w:rsidR="00BC5219" w:rsidRPr="008A2B8F" w:rsidRDefault="00BC5219" w:rsidP="00E83802">
            <w:pPr>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2DC77D86"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2022</w:t>
            </w:r>
          </w:p>
        </w:tc>
        <w:tc>
          <w:tcPr>
            <w:tcW w:w="198" w:type="dxa"/>
            <w:tcBorders>
              <w:top w:val="nil"/>
              <w:left w:val="nil"/>
              <w:bottom w:val="nil"/>
              <w:right w:val="nil"/>
            </w:tcBorders>
            <w:shd w:val="clear" w:color="auto" w:fill="auto"/>
            <w:noWrap/>
            <w:vAlign w:val="center"/>
            <w:hideMark/>
          </w:tcPr>
          <w:p w14:paraId="59274E4D" w14:textId="77777777" w:rsidR="00BC5219" w:rsidRPr="008A2B8F" w:rsidRDefault="00BC5219" w:rsidP="00E83802">
            <w:pPr>
              <w:jc w:val="center"/>
              <w:rPr>
                <w:rFonts w:ascii="Meta Pro" w:eastAsia="Times New Roman" w:hAnsi="Meta Pro"/>
                <w:b/>
                <w:bCs/>
                <w:sz w:val="16"/>
                <w:szCs w:val="16"/>
                <w:lang w:eastAsia="en-AU"/>
              </w:rPr>
            </w:pPr>
          </w:p>
        </w:tc>
        <w:tc>
          <w:tcPr>
            <w:tcW w:w="1315" w:type="dxa"/>
            <w:tcBorders>
              <w:top w:val="nil"/>
              <w:left w:val="nil"/>
              <w:bottom w:val="nil"/>
              <w:right w:val="nil"/>
            </w:tcBorders>
            <w:shd w:val="clear" w:color="auto" w:fill="auto"/>
            <w:noWrap/>
            <w:vAlign w:val="center"/>
            <w:hideMark/>
          </w:tcPr>
          <w:p w14:paraId="53F3CAE5"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2022</w:t>
            </w:r>
          </w:p>
        </w:tc>
        <w:tc>
          <w:tcPr>
            <w:tcW w:w="198" w:type="dxa"/>
            <w:tcBorders>
              <w:top w:val="nil"/>
              <w:left w:val="nil"/>
              <w:bottom w:val="nil"/>
              <w:right w:val="nil"/>
            </w:tcBorders>
            <w:shd w:val="clear" w:color="auto" w:fill="auto"/>
            <w:noWrap/>
            <w:vAlign w:val="center"/>
            <w:hideMark/>
          </w:tcPr>
          <w:p w14:paraId="4ABB94BF" w14:textId="77777777" w:rsidR="00BC5219" w:rsidRPr="008A2B8F" w:rsidRDefault="00BC5219" w:rsidP="00E83802">
            <w:pPr>
              <w:jc w:val="center"/>
              <w:rPr>
                <w:rFonts w:ascii="Meta Pro" w:eastAsia="Times New Roman" w:hAnsi="Meta Pro"/>
                <w:b/>
                <w:bCs/>
                <w:sz w:val="16"/>
                <w:szCs w:val="16"/>
                <w:lang w:eastAsia="en-AU"/>
              </w:rPr>
            </w:pPr>
          </w:p>
        </w:tc>
        <w:tc>
          <w:tcPr>
            <w:tcW w:w="1315" w:type="dxa"/>
            <w:tcBorders>
              <w:top w:val="nil"/>
              <w:left w:val="nil"/>
              <w:bottom w:val="nil"/>
              <w:right w:val="nil"/>
            </w:tcBorders>
            <w:shd w:val="clear" w:color="auto" w:fill="auto"/>
            <w:noWrap/>
            <w:vAlign w:val="center"/>
            <w:hideMark/>
          </w:tcPr>
          <w:p w14:paraId="19465043"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2022</w:t>
            </w:r>
          </w:p>
        </w:tc>
        <w:tc>
          <w:tcPr>
            <w:tcW w:w="198" w:type="dxa"/>
            <w:tcBorders>
              <w:top w:val="nil"/>
              <w:left w:val="nil"/>
              <w:bottom w:val="nil"/>
              <w:right w:val="nil"/>
            </w:tcBorders>
            <w:shd w:val="clear" w:color="auto" w:fill="auto"/>
            <w:noWrap/>
            <w:vAlign w:val="center"/>
            <w:hideMark/>
          </w:tcPr>
          <w:p w14:paraId="3981CAE5" w14:textId="77777777" w:rsidR="00BC5219" w:rsidRPr="008A2B8F" w:rsidRDefault="00BC5219" w:rsidP="00E83802">
            <w:pPr>
              <w:jc w:val="center"/>
              <w:rPr>
                <w:rFonts w:ascii="Meta Pro" w:eastAsia="Times New Roman" w:hAnsi="Meta Pro"/>
                <w:b/>
                <w:bCs/>
                <w:sz w:val="16"/>
                <w:szCs w:val="16"/>
                <w:lang w:eastAsia="en-AU"/>
              </w:rPr>
            </w:pPr>
          </w:p>
        </w:tc>
        <w:tc>
          <w:tcPr>
            <w:tcW w:w="1315" w:type="dxa"/>
            <w:tcBorders>
              <w:top w:val="nil"/>
              <w:left w:val="nil"/>
              <w:bottom w:val="nil"/>
              <w:right w:val="nil"/>
            </w:tcBorders>
            <w:shd w:val="clear" w:color="auto" w:fill="auto"/>
            <w:noWrap/>
            <w:vAlign w:val="center"/>
            <w:hideMark/>
          </w:tcPr>
          <w:p w14:paraId="435181A4"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2022</w:t>
            </w:r>
          </w:p>
        </w:tc>
        <w:tc>
          <w:tcPr>
            <w:tcW w:w="198" w:type="dxa"/>
            <w:tcBorders>
              <w:top w:val="nil"/>
              <w:left w:val="nil"/>
              <w:bottom w:val="nil"/>
              <w:right w:val="nil"/>
            </w:tcBorders>
            <w:shd w:val="clear" w:color="auto" w:fill="auto"/>
            <w:noWrap/>
            <w:vAlign w:val="center"/>
            <w:hideMark/>
          </w:tcPr>
          <w:p w14:paraId="28E7513D" w14:textId="77777777" w:rsidR="00BC5219" w:rsidRPr="008A2B8F" w:rsidRDefault="00BC5219" w:rsidP="00E83802">
            <w:pPr>
              <w:jc w:val="center"/>
              <w:rPr>
                <w:rFonts w:ascii="Meta Pro" w:eastAsia="Times New Roman" w:hAnsi="Meta Pro"/>
                <w:b/>
                <w:bCs/>
                <w:sz w:val="16"/>
                <w:szCs w:val="16"/>
                <w:lang w:eastAsia="en-AU"/>
              </w:rPr>
            </w:pPr>
          </w:p>
        </w:tc>
        <w:tc>
          <w:tcPr>
            <w:tcW w:w="1315" w:type="dxa"/>
            <w:tcBorders>
              <w:top w:val="nil"/>
              <w:left w:val="nil"/>
              <w:bottom w:val="nil"/>
              <w:right w:val="nil"/>
            </w:tcBorders>
            <w:shd w:val="clear" w:color="auto" w:fill="auto"/>
            <w:noWrap/>
            <w:vAlign w:val="center"/>
            <w:hideMark/>
          </w:tcPr>
          <w:p w14:paraId="4D2450C6"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2022</w:t>
            </w:r>
          </w:p>
        </w:tc>
        <w:tc>
          <w:tcPr>
            <w:tcW w:w="198" w:type="dxa"/>
            <w:tcBorders>
              <w:top w:val="nil"/>
              <w:left w:val="nil"/>
              <w:bottom w:val="nil"/>
              <w:right w:val="nil"/>
            </w:tcBorders>
            <w:shd w:val="clear" w:color="auto" w:fill="auto"/>
            <w:noWrap/>
            <w:vAlign w:val="center"/>
            <w:hideMark/>
          </w:tcPr>
          <w:p w14:paraId="053B9DF1" w14:textId="77777777" w:rsidR="00BC5219" w:rsidRPr="008A2B8F" w:rsidRDefault="00BC5219" w:rsidP="00E83802">
            <w:pPr>
              <w:jc w:val="center"/>
              <w:rPr>
                <w:rFonts w:ascii="Meta Pro" w:eastAsia="Times New Roman" w:hAnsi="Meta Pro"/>
                <w:b/>
                <w:bCs/>
                <w:sz w:val="16"/>
                <w:szCs w:val="16"/>
                <w:lang w:eastAsia="en-AU"/>
              </w:rPr>
            </w:pPr>
          </w:p>
        </w:tc>
        <w:tc>
          <w:tcPr>
            <w:tcW w:w="1315" w:type="dxa"/>
            <w:tcBorders>
              <w:top w:val="nil"/>
              <w:left w:val="nil"/>
              <w:bottom w:val="nil"/>
              <w:right w:val="nil"/>
            </w:tcBorders>
            <w:shd w:val="clear" w:color="auto" w:fill="auto"/>
            <w:noWrap/>
            <w:vAlign w:val="center"/>
            <w:hideMark/>
          </w:tcPr>
          <w:p w14:paraId="5B26CA24"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2022</w:t>
            </w:r>
          </w:p>
        </w:tc>
        <w:tc>
          <w:tcPr>
            <w:tcW w:w="198" w:type="dxa"/>
            <w:tcBorders>
              <w:top w:val="nil"/>
              <w:left w:val="nil"/>
              <w:bottom w:val="nil"/>
              <w:right w:val="nil"/>
            </w:tcBorders>
            <w:shd w:val="clear" w:color="auto" w:fill="auto"/>
            <w:noWrap/>
            <w:vAlign w:val="center"/>
            <w:hideMark/>
          </w:tcPr>
          <w:p w14:paraId="7A25ABA1" w14:textId="77777777" w:rsidR="00BC5219" w:rsidRPr="008A2B8F" w:rsidRDefault="00BC5219" w:rsidP="00E83802">
            <w:pPr>
              <w:jc w:val="center"/>
              <w:rPr>
                <w:rFonts w:ascii="Meta Pro" w:eastAsia="Times New Roman" w:hAnsi="Meta Pro"/>
                <w:b/>
                <w:bCs/>
                <w:sz w:val="16"/>
                <w:szCs w:val="16"/>
                <w:lang w:eastAsia="en-AU"/>
              </w:rPr>
            </w:pPr>
          </w:p>
        </w:tc>
        <w:tc>
          <w:tcPr>
            <w:tcW w:w="1315" w:type="dxa"/>
            <w:tcBorders>
              <w:top w:val="nil"/>
              <w:left w:val="nil"/>
              <w:bottom w:val="nil"/>
              <w:right w:val="nil"/>
            </w:tcBorders>
            <w:shd w:val="clear" w:color="auto" w:fill="auto"/>
            <w:noWrap/>
            <w:vAlign w:val="center"/>
            <w:hideMark/>
          </w:tcPr>
          <w:p w14:paraId="1236368D"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2022</w:t>
            </w:r>
          </w:p>
        </w:tc>
        <w:tc>
          <w:tcPr>
            <w:tcW w:w="198" w:type="dxa"/>
            <w:tcBorders>
              <w:top w:val="nil"/>
              <w:left w:val="nil"/>
              <w:bottom w:val="nil"/>
              <w:right w:val="nil"/>
            </w:tcBorders>
            <w:shd w:val="clear" w:color="auto" w:fill="auto"/>
            <w:noWrap/>
            <w:vAlign w:val="center"/>
            <w:hideMark/>
          </w:tcPr>
          <w:p w14:paraId="44D78AD3" w14:textId="77777777" w:rsidR="00BC5219" w:rsidRPr="008A2B8F" w:rsidRDefault="00BC5219" w:rsidP="00E83802">
            <w:pPr>
              <w:jc w:val="center"/>
              <w:rPr>
                <w:rFonts w:ascii="Meta Pro" w:eastAsia="Times New Roman" w:hAnsi="Meta Pro"/>
                <w:b/>
                <w:bCs/>
                <w:sz w:val="16"/>
                <w:szCs w:val="16"/>
                <w:lang w:eastAsia="en-AU"/>
              </w:rPr>
            </w:pPr>
          </w:p>
        </w:tc>
        <w:tc>
          <w:tcPr>
            <w:tcW w:w="1315" w:type="dxa"/>
            <w:tcBorders>
              <w:top w:val="nil"/>
              <w:left w:val="nil"/>
              <w:bottom w:val="nil"/>
              <w:right w:val="nil"/>
            </w:tcBorders>
            <w:shd w:val="clear" w:color="auto" w:fill="auto"/>
            <w:noWrap/>
            <w:vAlign w:val="center"/>
            <w:hideMark/>
          </w:tcPr>
          <w:p w14:paraId="1BF5A50F"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2022</w:t>
            </w:r>
          </w:p>
        </w:tc>
      </w:tr>
      <w:tr w:rsidR="00BC5219" w:rsidRPr="008A2B8F" w14:paraId="1B06CADB" w14:textId="77777777" w:rsidTr="00E83802">
        <w:trPr>
          <w:trHeight w:val="198"/>
        </w:trPr>
        <w:tc>
          <w:tcPr>
            <w:tcW w:w="454" w:type="dxa"/>
            <w:tcBorders>
              <w:top w:val="nil"/>
              <w:left w:val="nil"/>
              <w:bottom w:val="nil"/>
              <w:right w:val="nil"/>
            </w:tcBorders>
            <w:shd w:val="clear" w:color="auto" w:fill="auto"/>
            <w:noWrap/>
            <w:vAlign w:val="center"/>
            <w:hideMark/>
          </w:tcPr>
          <w:p w14:paraId="13843264" w14:textId="77777777" w:rsidR="00BC5219" w:rsidRPr="008A2B8F" w:rsidRDefault="00BC5219" w:rsidP="00E83802">
            <w:pPr>
              <w:jc w:val="center"/>
              <w:rPr>
                <w:rFonts w:ascii="Meta Pro" w:eastAsia="Times New Roman" w:hAnsi="Meta Pro"/>
                <w:b/>
                <w:bCs/>
                <w:sz w:val="16"/>
                <w:szCs w:val="16"/>
                <w:lang w:eastAsia="en-AU"/>
              </w:rPr>
            </w:pPr>
          </w:p>
        </w:tc>
        <w:tc>
          <w:tcPr>
            <w:tcW w:w="4077" w:type="dxa"/>
            <w:tcBorders>
              <w:top w:val="nil"/>
              <w:left w:val="nil"/>
              <w:bottom w:val="nil"/>
              <w:right w:val="nil"/>
            </w:tcBorders>
            <w:shd w:val="clear" w:color="auto" w:fill="auto"/>
            <w:noWrap/>
            <w:vAlign w:val="center"/>
            <w:hideMark/>
          </w:tcPr>
          <w:p w14:paraId="518DDCA7" w14:textId="77777777" w:rsidR="00BC5219" w:rsidRPr="008A2B8F" w:rsidRDefault="00BC5219" w:rsidP="00E83802">
            <w:pPr>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4A56C098"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$'000</w:t>
            </w:r>
          </w:p>
        </w:tc>
        <w:tc>
          <w:tcPr>
            <w:tcW w:w="198" w:type="dxa"/>
            <w:tcBorders>
              <w:top w:val="nil"/>
              <w:left w:val="nil"/>
              <w:bottom w:val="nil"/>
              <w:right w:val="nil"/>
            </w:tcBorders>
            <w:shd w:val="clear" w:color="auto" w:fill="auto"/>
            <w:noWrap/>
            <w:vAlign w:val="center"/>
            <w:hideMark/>
          </w:tcPr>
          <w:p w14:paraId="7D275D75" w14:textId="77777777" w:rsidR="00BC5219" w:rsidRPr="008A2B8F" w:rsidRDefault="00BC5219" w:rsidP="00E83802">
            <w:pPr>
              <w:jc w:val="center"/>
              <w:rPr>
                <w:rFonts w:ascii="Meta Pro" w:eastAsia="Times New Roman" w:hAnsi="Meta Pro"/>
                <w:b/>
                <w:bCs/>
                <w:sz w:val="16"/>
                <w:szCs w:val="16"/>
                <w:lang w:eastAsia="en-AU"/>
              </w:rPr>
            </w:pPr>
          </w:p>
        </w:tc>
        <w:tc>
          <w:tcPr>
            <w:tcW w:w="1315" w:type="dxa"/>
            <w:tcBorders>
              <w:top w:val="nil"/>
              <w:left w:val="nil"/>
              <w:bottom w:val="nil"/>
              <w:right w:val="nil"/>
            </w:tcBorders>
            <w:shd w:val="clear" w:color="auto" w:fill="auto"/>
            <w:noWrap/>
            <w:vAlign w:val="center"/>
            <w:hideMark/>
          </w:tcPr>
          <w:p w14:paraId="6A395454"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$'000</w:t>
            </w:r>
          </w:p>
        </w:tc>
        <w:tc>
          <w:tcPr>
            <w:tcW w:w="198" w:type="dxa"/>
            <w:tcBorders>
              <w:top w:val="nil"/>
              <w:left w:val="nil"/>
              <w:bottom w:val="nil"/>
              <w:right w:val="nil"/>
            </w:tcBorders>
            <w:shd w:val="clear" w:color="auto" w:fill="auto"/>
            <w:noWrap/>
            <w:vAlign w:val="center"/>
            <w:hideMark/>
          </w:tcPr>
          <w:p w14:paraId="3464FA0D" w14:textId="77777777" w:rsidR="00BC5219" w:rsidRPr="008A2B8F" w:rsidRDefault="00BC5219" w:rsidP="00E83802">
            <w:pPr>
              <w:jc w:val="center"/>
              <w:rPr>
                <w:rFonts w:ascii="Meta Pro" w:eastAsia="Times New Roman" w:hAnsi="Meta Pro"/>
                <w:b/>
                <w:bCs/>
                <w:sz w:val="16"/>
                <w:szCs w:val="16"/>
                <w:lang w:eastAsia="en-AU"/>
              </w:rPr>
            </w:pPr>
          </w:p>
        </w:tc>
        <w:tc>
          <w:tcPr>
            <w:tcW w:w="1315" w:type="dxa"/>
            <w:tcBorders>
              <w:top w:val="nil"/>
              <w:left w:val="nil"/>
              <w:bottom w:val="nil"/>
              <w:right w:val="nil"/>
            </w:tcBorders>
            <w:shd w:val="clear" w:color="auto" w:fill="auto"/>
            <w:noWrap/>
            <w:vAlign w:val="center"/>
            <w:hideMark/>
          </w:tcPr>
          <w:p w14:paraId="20D98EE7"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$'000</w:t>
            </w:r>
          </w:p>
        </w:tc>
        <w:tc>
          <w:tcPr>
            <w:tcW w:w="198" w:type="dxa"/>
            <w:tcBorders>
              <w:top w:val="nil"/>
              <w:left w:val="nil"/>
              <w:bottom w:val="nil"/>
              <w:right w:val="nil"/>
            </w:tcBorders>
            <w:shd w:val="clear" w:color="auto" w:fill="auto"/>
            <w:noWrap/>
            <w:vAlign w:val="center"/>
            <w:hideMark/>
          </w:tcPr>
          <w:p w14:paraId="554C0703" w14:textId="77777777" w:rsidR="00BC5219" w:rsidRPr="008A2B8F" w:rsidRDefault="00BC5219" w:rsidP="00E83802">
            <w:pPr>
              <w:jc w:val="center"/>
              <w:rPr>
                <w:rFonts w:ascii="Meta Pro" w:eastAsia="Times New Roman" w:hAnsi="Meta Pro"/>
                <w:b/>
                <w:bCs/>
                <w:sz w:val="16"/>
                <w:szCs w:val="16"/>
                <w:lang w:eastAsia="en-AU"/>
              </w:rPr>
            </w:pPr>
          </w:p>
        </w:tc>
        <w:tc>
          <w:tcPr>
            <w:tcW w:w="1315" w:type="dxa"/>
            <w:tcBorders>
              <w:top w:val="nil"/>
              <w:left w:val="nil"/>
              <w:bottom w:val="nil"/>
              <w:right w:val="nil"/>
            </w:tcBorders>
            <w:shd w:val="clear" w:color="auto" w:fill="auto"/>
            <w:noWrap/>
            <w:vAlign w:val="center"/>
            <w:hideMark/>
          </w:tcPr>
          <w:p w14:paraId="60B5E8C9"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$'000</w:t>
            </w:r>
          </w:p>
        </w:tc>
        <w:tc>
          <w:tcPr>
            <w:tcW w:w="198" w:type="dxa"/>
            <w:tcBorders>
              <w:top w:val="nil"/>
              <w:left w:val="nil"/>
              <w:bottom w:val="nil"/>
              <w:right w:val="nil"/>
            </w:tcBorders>
            <w:shd w:val="clear" w:color="auto" w:fill="auto"/>
            <w:noWrap/>
            <w:vAlign w:val="center"/>
            <w:hideMark/>
          </w:tcPr>
          <w:p w14:paraId="3DB05A09" w14:textId="77777777" w:rsidR="00BC5219" w:rsidRPr="008A2B8F" w:rsidRDefault="00BC5219" w:rsidP="00E83802">
            <w:pPr>
              <w:jc w:val="center"/>
              <w:rPr>
                <w:rFonts w:ascii="Meta Pro" w:eastAsia="Times New Roman" w:hAnsi="Meta Pro"/>
                <w:b/>
                <w:bCs/>
                <w:sz w:val="16"/>
                <w:szCs w:val="16"/>
                <w:lang w:eastAsia="en-AU"/>
              </w:rPr>
            </w:pPr>
          </w:p>
        </w:tc>
        <w:tc>
          <w:tcPr>
            <w:tcW w:w="1315" w:type="dxa"/>
            <w:tcBorders>
              <w:top w:val="nil"/>
              <w:left w:val="nil"/>
              <w:bottom w:val="nil"/>
              <w:right w:val="nil"/>
            </w:tcBorders>
            <w:shd w:val="clear" w:color="auto" w:fill="auto"/>
            <w:noWrap/>
            <w:vAlign w:val="center"/>
            <w:hideMark/>
          </w:tcPr>
          <w:p w14:paraId="317ADE24"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$'000</w:t>
            </w:r>
          </w:p>
        </w:tc>
        <w:tc>
          <w:tcPr>
            <w:tcW w:w="198" w:type="dxa"/>
            <w:tcBorders>
              <w:top w:val="nil"/>
              <w:left w:val="nil"/>
              <w:bottom w:val="nil"/>
              <w:right w:val="nil"/>
            </w:tcBorders>
            <w:shd w:val="clear" w:color="auto" w:fill="auto"/>
            <w:noWrap/>
            <w:vAlign w:val="center"/>
            <w:hideMark/>
          </w:tcPr>
          <w:p w14:paraId="51A8E0DF" w14:textId="77777777" w:rsidR="00BC5219" w:rsidRPr="008A2B8F" w:rsidRDefault="00BC5219" w:rsidP="00E83802">
            <w:pPr>
              <w:jc w:val="center"/>
              <w:rPr>
                <w:rFonts w:ascii="Meta Pro" w:eastAsia="Times New Roman" w:hAnsi="Meta Pro"/>
                <w:b/>
                <w:bCs/>
                <w:sz w:val="16"/>
                <w:szCs w:val="16"/>
                <w:lang w:eastAsia="en-AU"/>
              </w:rPr>
            </w:pPr>
          </w:p>
        </w:tc>
        <w:tc>
          <w:tcPr>
            <w:tcW w:w="1315" w:type="dxa"/>
            <w:tcBorders>
              <w:top w:val="nil"/>
              <w:left w:val="nil"/>
              <w:bottom w:val="nil"/>
              <w:right w:val="nil"/>
            </w:tcBorders>
            <w:shd w:val="clear" w:color="auto" w:fill="auto"/>
            <w:noWrap/>
            <w:vAlign w:val="center"/>
            <w:hideMark/>
          </w:tcPr>
          <w:p w14:paraId="56C7A407"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$'000</w:t>
            </w:r>
          </w:p>
        </w:tc>
        <w:tc>
          <w:tcPr>
            <w:tcW w:w="198" w:type="dxa"/>
            <w:tcBorders>
              <w:top w:val="nil"/>
              <w:left w:val="nil"/>
              <w:bottom w:val="nil"/>
              <w:right w:val="nil"/>
            </w:tcBorders>
            <w:shd w:val="clear" w:color="auto" w:fill="auto"/>
            <w:noWrap/>
            <w:vAlign w:val="center"/>
            <w:hideMark/>
          </w:tcPr>
          <w:p w14:paraId="43EC724A" w14:textId="77777777" w:rsidR="00BC5219" w:rsidRPr="008A2B8F" w:rsidRDefault="00BC5219" w:rsidP="00E83802">
            <w:pPr>
              <w:jc w:val="center"/>
              <w:rPr>
                <w:rFonts w:ascii="Meta Pro" w:eastAsia="Times New Roman" w:hAnsi="Meta Pro"/>
                <w:b/>
                <w:bCs/>
                <w:sz w:val="16"/>
                <w:szCs w:val="16"/>
                <w:lang w:eastAsia="en-AU"/>
              </w:rPr>
            </w:pPr>
          </w:p>
        </w:tc>
        <w:tc>
          <w:tcPr>
            <w:tcW w:w="1315" w:type="dxa"/>
            <w:tcBorders>
              <w:top w:val="nil"/>
              <w:left w:val="nil"/>
              <w:bottom w:val="nil"/>
              <w:right w:val="nil"/>
            </w:tcBorders>
            <w:shd w:val="clear" w:color="auto" w:fill="auto"/>
            <w:noWrap/>
            <w:vAlign w:val="center"/>
            <w:hideMark/>
          </w:tcPr>
          <w:p w14:paraId="60E9613D"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$'000</w:t>
            </w:r>
          </w:p>
        </w:tc>
        <w:tc>
          <w:tcPr>
            <w:tcW w:w="198" w:type="dxa"/>
            <w:tcBorders>
              <w:top w:val="nil"/>
              <w:left w:val="nil"/>
              <w:bottom w:val="nil"/>
              <w:right w:val="nil"/>
            </w:tcBorders>
            <w:shd w:val="clear" w:color="auto" w:fill="auto"/>
            <w:noWrap/>
            <w:vAlign w:val="center"/>
            <w:hideMark/>
          </w:tcPr>
          <w:p w14:paraId="744451A0" w14:textId="77777777" w:rsidR="00BC5219" w:rsidRPr="008A2B8F" w:rsidRDefault="00BC5219" w:rsidP="00E83802">
            <w:pPr>
              <w:jc w:val="center"/>
              <w:rPr>
                <w:rFonts w:ascii="Meta Pro" w:eastAsia="Times New Roman" w:hAnsi="Meta Pro"/>
                <w:b/>
                <w:bCs/>
                <w:sz w:val="16"/>
                <w:szCs w:val="16"/>
                <w:lang w:eastAsia="en-AU"/>
              </w:rPr>
            </w:pPr>
          </w:p>
        </w:tc>
        <w:tc>
          <w:tcPr>
            <w:tcW w:w="1315" w:type="dxa"/>
            <w:tcBorders>
              <w:top w:val="nil"/>
              <w:left w:val="nil"/>
              <w:bottom w:val="nil"/>
              <w:right w:val="nil"/>
            </w:tcBorders>
            <w:shd w:val="clear" w:color="auto" w:fill="auto"/>
            <w:noWrap/>
            <w:vAlign w:val="center"/>
            <w:hideMark/>
          </w:tcPr>
          <w:p w14:paraId="7BFC599D"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$'000</w:t>
            </w:r>
          </w:p>
        </w:tc>
      </w:tr>
      <w:tr w:rsidR="00BC5219" w:rsidRPr="008A2B8F" w14:paraId="49B4DCA5" w14:textId="77777777" w:rsidTr="00E83802">
        <w:trPr>
          <w:trHeight w:val="198"/>
        </w:trPr>
        <w:tc>
          <w:tcPr>
            <w:tcW w:w="4077" w:type="dxa"/>
            <w:gridSpan w:val="2"/>
            <w:tcBorders>
              <w:top w:val="nil"/>
              <w:left w:val="nil"/>
              <w:bottom w:val="nil"/>
              <w:right w:val="nil"/>
            </w:tcBorders>
            <w:shd w:val="clear" w:color="auto" w:fill="auto"/>
            <w:noWrap/>
            <w:vAlign w:val="center"/>
            <w:hideMark/>
          </w:tcPr>
          <w:p w14:paraId="6EA0FFE8" w14:textId="77777777" w:rsidR="00BC5219" w:rsidRPr="008A2B8F" w:rsidRDefault="00BC5219" w:rsidP="00E83802">
            <w:pPr>
              <w:rPr>
                <w:rFonts w:ascii="Meta Pro" w:eastAsia="Times New Roman" w:hAnsi="Meta Pro"/>
                <w:b/>
                <w:bCs/>
                <w:sz w:val="16"/>
                <w:szCs w:val="16"/>
                <w:lang w:eastAsia="en-AU"/>
              </w:rPr>
            </w:pPr>
            <w:r w:rsidRPr="008A2B8F">
              <w:rPr>
                <w:rFonts w:ascii="Meta Pro" w:eastAsia="Times New Roman" w:hAnsi="Meta Pro"/>
                <w:b/>
                <w:bCs/>
                <w:sz w:val="16"/>
                <w:szCs w:val="16"/>
                <w:lang w:eastAsia="en-AU"/>
              </w:rPr>
              <w:t>Income</w:t>
            </w:r>
          </w:p>
        </w:tc>
        <w:tc>
          <w:tcPr>
            <w:tcW w:w="1315" w:type="dxa"/>
            <w:tcBorders>
              <w:top w:val="nil"/>
              <w:left w:val="nil"/>
              <w:bottom w:val="nil"/>
              <w:right w:val="nil"/>
            </w:tcBorders>
            <w:shd w:val="clear" w:color="auto" w:fill="auto"/>
            <w:noWrap/>
            <w:vAlign w:val="center"/>
            <w:hideMark/>
          </w:tcPr>
          <w:p w14:paraId="31866B02" w14:textId="77777777" w:rsidR="00BC5219" w:rsidRPr="008A2B8F" w:rsidRDefault="00BC5219" w:rsidP="00E83802">
            <w:pPr>
              <w:rPr>
                <w:rFonts w:ascii="Meta Pro" w:eastAsia="Times New Roman" w:hAnsi="Meta Pro"/>
                <w:b/>
                <w:bCs/>
                <w:sz w:val="16"/>
                <w:szCs w:val="16"/>
                <w:lang w:eastAsia="en-AU"/>
              </w:rPr>
            </w:pPr>
          </w:p>
        </w:tc>
        <w:tc>
          <w:tcPr>
            <w:tcW w:w="198" w:type="dxa"/>
            <w:tcBorders>
              <w:top w:val="nil"/>
              <w:left w:val="nil"/>
              <w:bottom w:val="nil"/>
              <w:right w:val="nil"/>
            </w:tcBorders>
            <w:shd w:val="clear" w:color="auto" w:fill="auto"/>
            <w:noWrap/>
            <w:vAlign w:val="center"/>
            <w:hideMark/>
          </w:tcPr>
          <w:p w14:paraId="0CC3EBCB" w14:textId="77777777" w:rsidR="00BC5219" w:rsidRPr="008A2B8F" w:rsidRDefault="00BC5219" w:rsidP="00E83802">
            <w:pPr>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533989D6" w14:textId="77777777" w:rsidR="00BC5219" w:rsidRPr="008A2B8F" w:rsidRDefault="00BC5219" w:rsidP="00E83802">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6169AE55" w14:textId="77777777" w:rsidR="00BC5219" w:rsidRPr="008A2B8F" w:rsidRDefault="00BC5219" w:rsidP="00E83802">
            <w:pPr>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2E51D9AF" w14:textId="77777777" w:rsidR="00BC5219" w:rsidRPr="008A2B8F" w:rsidRDefault="00BC5219" w:rsidP="00E83802">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1518CA25" w14:textId="77777777" w:rsidR="00BC5219" w:rsidRPr="008A2B8F" w:rsidRDefault="00BC5219" w:rsidP="00E83802">
            <w:pPr>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730FB06D" w14:textId="77777777" w:rsidR="00BC5219" w:rsidRPr="008A2B8F" w:rsidRDefault="00BC5219" w:rsidP="00E83802">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3BF02E46" w14:textId="77777777" w:rsidR="00BC5219" w:rsidRPr="008A2B8F" w:rsidRDefault="00BC5219" w:rsidP="00E83802">
            <w:pPr>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082C03D5" w14:textId="77777777" w:rsidR="00BC5219" w:rsidRPr="008A2B8F" w:rsidRDefault="00BC5219" w:rsidP="00E83802">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1B9BB209" w14:textId="77777777" w:rsidR="00BC5219" w:rsidRPr="008A2B8F" w:rsidRDefault="00BC5219" w:rsidP="00E83802">
            <w:pPr>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3F09CAD4" w14:textId="77777777" w:rsidR="00BC5219" w:rsidRPr="008A2B8F" w:rsidRDefault="00BC5219" w:rsidP="00E83802">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75B6EC65" w14:textId="77777777" w:rsidR="00BC5219" w:rsidRPr="008A2B8F" w:rsidRDefault="00BC5219" w:rsidP="00E83802">
            <w:pPr>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0597E68A" w14:textId="77777777" w:rsidR="00BC5219" w:rsidRPr="008A2B8F" w:rsidRDefault="00BC5219" w:rsidP="00E83802">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2F73FBC0" w14:textId="77777777" w:rsidR="00BC5219" w:rsidRPr="008A2B8F" w:rsidRDefault="00BC5219" w:rsidP="00E83802">
            <w:pPr>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0F8DB065"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2C959879" w14:textId="77777777" w:rsidTr="00E83802">
        <w:trPr>
          <w:trHeight w:val="198"/>
        </w:trPr>
        <w:tc>
          <w:tcPr>
            <w:tcW w:w="454" w:type="dxa"/>
            <w:tcBorders>
              <w:top w:val="nil"/>
              <w:left w:val="nil"/>
              <w:bottom w:val="nil"/>
              <w:right w:val="nil"/>
            </w:tcBorders>
            <w:shd w:val="clear" w:color="auto" w:fill="auto"/>
            <w:noWrap/>
            <w:vAlign w:val="center"/>
            <w:hideMark/>
          </w:tcPr>
          <w:p w14:paraId="3A818A7F" w14:textId="77777777" w:rsidR="00BC5219" w:rsidRPr="008A2B8F" w:rsidRDefault="00BC5219" w:rsidP="00E83802">
            <w:pPr>
              <w:rPr>
                <w:rFonts w:ascii="Meta Pro" w:eastAsia="Times New Roman" w:hAnsi="Meta Pro" w:cs="Times New Roman"/>
                <w:sz w:val="20"/>
                <w:szCs w:val="20"/>
                <w:lang w:eastAsia="en-AU"/>
              </w:rPr>
            </w:pPr>
          </w:p>
        </w:tc>
        <w:tc>
          <w:tcPr>
            <w:tcW w:w="4077" w:type="dxa"/>
            <w:tcBorders>
              <w:top w:val="nil"/>
              <w:left w:val="nil"/>
              <w:bottom w:val="nil"/>
              <w:right w:val="nil"/>
            </w:tcBorders>
            <w:shd w:val="clear" w:color="auto" w:fill="auto"/>
            <w:noWrap/>
            <w:vAlign w:val="center"/>
            <w:hideMark/>
          </w:tcPr>
          <w:p w14:paraId="16AAFAD6"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Appropriation revenue</w:t>
            </w:r>
          </w:p>
        </w:tc>
        <w:tc>
          <w:tcPr>
            <w:tcW w:w="1315" w:type="dxa"/>
            <w:tcBorders>
              <w:top w:val="nil"/>
              <w:left w:val="nil"/>
              <w:bottom w:val="nil"/>
              <w:right w:val="nil"/>
            </w:tcBorders>
            <w:shd w:val="clear" w:color="auto" w:fill="auto"/>
            <w:noWrap/>
            <w:vAlign w:val="center"/>
            <w:hideMark/>
          </w:tcPr>
          <w:p w14:paraId="3865AF45"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105,703 </w:t>
            </w:r>
          </w:p>
        </w:tc>
        <w:tc>
          <w:tcPr>
            <w:tcW w:w="198" w:type="dxa"/>
            <w:tcBorders>
              <w:top w:val="nil"/>
              <w:left w:val="nil"/>
              <w:bottom w:val="nil"/>
              <w:right w:val="nil"/>
            </w:tcBorders>
            <w:shd w:val="clear" w:color="auto" w:fill="auto"/>
            <w:noWrap/>
            <w:vAlign w:val="center"/>
            <w:hideMark/>
          </w:tcPr>
          <w:p w14:paraId="3001C781"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4F4F66BF"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2,429,967 </w:t>
            </w:r>
          </w:p>
        </w:tc>
        <w:tc>
          <w:tcPr>
            <w:tcW w:w="198" w:type="dxa"/>
            <w:tcBorders>
              <w:top w:val="nil"/>
              <w:left w:val="nil"/>
              <w:bottom w:val="nil"/>
              <w:right w:val="nil"/>
            </w:tcBorders>
            <w:shd w:val="clear" w:color="auto" w:fill="auto"/>
            <w:noWrap/>
            <w:vAlign w:val="center"/>
            <w:hideMark/>
          </w:tcPr>
          <w:p w14:paraId="342580C8"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1DCA58DE"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12,726 </w:t>
            </w:r>
          </w:p>
        </w:tc>
        <w:tc>
          <w:tcPr>
            <w:tcW w:w="198" w:type="dxa"/>
            <w:tcBorders>
              <w:top w:val="nil"/>
              <w:left w:val="nil"/>
              <w:bottom w:val="nil"/>
              <w:right w:val="nil"/>
            </w:tcBorders>
            <w:shd w:val="clear" w:color="auto" w:fill="auto"/>
            <w:noWrap/>
            <w:vAlign w:val="center"/>
            <w:hideMark/>
          </w:tcPr>
          <w:p w14:paraId="76BFF8D0"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3DB93E4C"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334,505 </w:t>
            </w:r>
          </w:p>
        </w:tc>
        <w:tc>
          <w:tcPr>
            <w:tcW w:w="198" w:type="dxa"/>
            <w:tcBorders>
              <w:top w:val="nil"/>
              <w:left w:val="nil"/>
              <w:bottom w:val="nil"/>
              <w:right w:val="nil"/>
            </w:tcBorders>
            <w:shd w:val="clear" w:color="auto" w:fill="auto"/>
            <w:noWrap/>
            <w:vAlign w:val="center"/>
            <w:hideMark/>
          </w:tcPr>
          <w:p w14:paraId="0697B178"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0480037E"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3,044,640 </w:t>
            </w:r>
          </w:p>
        </w:tc>
        <w:tc>
          <w:tcPr>
            <w:tcW w:w="198" w:type="dxa"/>
            <w:tcBorders>
              <w:top w:val="nil"/>
              <w:left w:val="nil"/>
              <w:bottom w:val="nil"/>
              <w:right w:val="nil"/>
            </w:tcBorders>
            <w:shd w:val="clear" w:color="auto" w:fill="auto"/>
            <w:noWrap/>
            <w:vAlign w:val="center"/>
            <w:hideMark/>
          </w:tcPr>
          <w:p w14:paraId="3E12A368"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6C13B42E"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4AF43C06"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16AFA100"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6AC04946"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6DC7FF2F"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5,927,541 </w:t>
            </w:r>
          </w:p>
        </w:tc>
      </w:tr>
      <w:tr w:rsidR="00BC5219" w:rsidRPr="008A2B8F" w14:paraId="45B1EB8D" w14:textId="77777777" w:rsidTr="00E83802">
        <w:trPr>
          <w:trHeight w:val="198"/>
        </w:trPr>
        <w:tc>
          <w:tcPr>
            <w:tcW w:w="454" w:type="dxa"/>
            <w:tcBorders>
              <w:top w:val="nil"/>
              <w:left w:val="nil"/>
              <w:bottom w:val="nil"/>
              <w:right w:val="nil"/>
            </w:tcBorders>
            <w:shd w:val="clear" w:color="auto" w:fill="auto"/>
            <w:noWrap/>
            <w:vAlign w:val="center"/>
            <w:hideMark/>
          </w:tcPr>
          <w:p w14:paraId="0207311A" w14:textId="77777777" w:rsidR="00BC5219" w:rsidRPr="008A2B8F" w:rsidRDefault="00BC5219" w:rsidP="00E83802">
            <w:pPr>
              <w:jc w:val="right"/>
              <w:rPr>
                <w:rFonts w:ascii="Meta Pro" w:eastAsia="Times New Roman" w:hAnsi="Meta Pro"/>
                <w:b/>
                <w:bCs/>
                <w:sz w:val="16"/>
                <w:szCs w:val="16"/>
                <w:lang w:eastAsia="en-AU"/>
              </w:rPr>
            </w:pPr>
          </w:p>
        </w:tc>
        <w:tc>
          <w:tcPr>
            <w:tcW w:w="4077" w:type="dxa"/>
            <w:tcBorders>
              <w:top w:val="nil"/>
              <w:left w:val="nil"/>
              <w:bottom w:val="nil"/>
              <w:right w:val="nil"/>
            </w:tcBorders>
            <w:shd w:val="clear" w:color="auto" w:fill="auto"/>
            <w:noWrap/>
            <w:vAlign w:val="center"/>
            <w:hideMark/>
          </w:tcPr>
          <w:p w14:paraId="68F36F6F"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User charges and fees</w:t>
            </w:r>
          </w:p>
        </w:tc>
        <w:tc>
          <w:tcPr>
            <w:tcW w:w="1315" w:type="dxa"/>
            <w:tcBorders>
              <w:top w:val="nil"/>
              <w:left w:val="nil"/>
              <w:bottom w:val="nil"/>
              <w:right w:val="nil"/>
            </w:tcBorders>
            <w:shd w:val="clear" w:color="auto" w:fill="auto"/>
            <w:noWrap/>
            <w:vAlign w:val="center"/>
            <w:hideMark/>
          </w:tcPr>
          <w:p w14:paraId="5E06EFFC"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36,540 </w:t>
            </w:r>
          </w:p>
        </w:tc>
        <w:tc>
          <w:tcPr>
            <w:tcW w:w="198" w:type="dxa"/>
            <w:tcBorders>
              <w:top w:val="nil"/>
              <w:left w:val="nil"/>
              <w:bottom w:val="nil"/>
              <w:right w:val="nil"/>
            </w:tcBorders>
            <w:shd w:val="clear" w:color="auto" w:fill="auto"/>
            <w:noWrap/>
            <w:vAlign w:val="center"/>
            <w:hideMark/>
          </w:tcPr>
          <w:p w14:paraId="4B316E4A"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4260DB42"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138,748 </w:t>
            </w:r>
          </w:p>
        </w:tc>
        <w:tc>
          <w:tcPr>
            <w:tcW w:w="198" w:type="dxa"/>
            <w:tcBorders>
              <w:top w:val="nil"/>
              <w:left w:val="nil"/>
              <w:bottom w:val="nil"/>
              <w:right w:val="nil"/>
            </w:tcBorders>
            <w:shd w:val="clear" w:color="auto" w:fill="auto"/>
            <w:noWrap/>
            <w:vAlign w:val="center"/>
            <w:hideMark/>
          </w:tcPr>
          <w:p w14:paraId="18C84CAB"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5731FFDB"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286,359 </w:t>
            </w:r>
          </w:p>
        </w:tc>
        <w:tc>
          <w:tcPr>
            <w:tcW w:w="198" w:type="dxa"/>
            <w:tcBorders>
              <w:top w:val="nil"/>
              <w:left w:val="nil"/>
              <w:bottom w:val="nil"/>
              <w:right w:val="nil"/>
            </w:tcBorders>
            <w:shd w:val="clear" w:color="auto" w:fill="auto"/>
            <w:noWrap/>
            <w:vAlign w:val="center"/>
            <w:hideMark/>
          </w:tcPr>
          <w:p w14:paraId="34315631"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63C46346"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14,997 </w:t>
            </w:r>
          </w:p>
        </w:tc>
        <w:tc>
          <w:tcPr>
            <w:tcW w:w="198" w:type="dxa"/>
            <w:tcBorders>
              <w:top w:val="nil"/>
              <w:left w:val="nil"/>
              <w:bottom w:val="nil"/>
              <w:right w:val="nil"/>
            </w:tcBorders>
            <w:shd w:val="clear" w:color="auto" w:fill="auto"/>
            <w:noWrap/>
            <w:vAlign w:val="center"/>
            <w:hideMark/>
          </w:tcPr>
          <w:p w14:paraId="00216D98"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1D7608AF"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220,560 </w:t>
            </w:r>
          </w:p>
        </w:tc>
        <w:tc>
          <w:tcPr>
            <w:tcW w:w="198" w:type="dxa"/>
            <w:tcBorders>
              <w:top w:val="nil"/>
              <w:left w:val="nil"/>
              <w:bottom w:val="nil"/>
              <w:right w:val="nil"/>
            </w:tcBorders>
            <w:shd w:val="clear" w:color="auto" w:fill="auto"/>
            <w:noWrap/>
            <w:vAlign w:val="center"/>
            <w:hideMark/>
          </w:tcPr>
          <w:p w14:paraId="5437D859"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7D73AE16"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833,272 </w:t>
            </w:r>
          </w:p>
        </w:tc>
        <w:tc>
          <w:tcPr>
            <w:tcW w:w="198" w:type="dxa"/>
            <w:tcBorders>
              <w:top w:val="nil"/>
              <w:left w:val="nil"/>
              <w:bottom w:val="nil"/>
              <w:right w:val="nil"/>
            </w:tcBorders>
            <w:shd w:val="clear" w:color="auto" w:fill="auto"/>
            <w:noWrap/>
            <w:vAlign w:val="center"/>
            <w:hideMark/>
          </w:tcPr>
          <w:p w14:paraId="59EA8770"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155AC0DC"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(827,195)</w:t>
            </w:r>
          </w:p>
        </w:tc>
        <w:tc>
          <w:tcPr>
            <w:tcW w:w="198" w:type="dxa"/>
            <w:tcBorders>
              <w:top w:val="nil"/>
              <w:left w:val="nil"/>
              <w:bottom w:val="nil"/>
              <w:right w:val="nil"/>
            </w:tcBorders>
            <w:shd w:val="clear" w:color="auto" w:fill="auto"/>
            <w:noWrap/>
            <w:vAlign w:val="center"/>
            <w:hideMark/>
          </w:tcPr>
          <w:p w14:paraId="55A58459"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49D32EA9"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703,281 </w:t>
            </w:r>
          </w:p>
        </w:tc>
      </w:tr>
      <w:tr w:rsidR="00BC5219" w:rsidRPr="008A2B8F" w14:paraId="100820B8" w14:textId="77777777" w:rsidTr="00E83802">
        <w:trPr>
          <w:trHeight w:val="198"/>
        </w:trPr>
        <w:tc>
          <w:tcPr>
            <w:tcW w:w="454" w:type="dxa"/>
            <w:tcBorders>
              <w:top w:val="nil"/>
              <w:left w:val="nil"/>
              <w:bottom w:val="nil"/>
              <w:right w:val="nil"/>
            </w:tcBorders>
            <w:shd w:val="clear" w:color="auto" w:fill="auto"/>
            <w:noWrap/>
            <w:vAlign w:val="center"/>
            <w:hideMark/>
          </w:tcPr>
          <w:p w14:paraId="55A6581D" w14:textId="77777777" w:rsidR="00BC5219" w:rsidRPr="008A2B8F" w:rsidRDefault="00BC5219" w:rsidP="00E83802">
            <w:pPr>
              <w:jc w:val="right"/>
              <w:rPr>
                <w:rFonts w:ascii="Meta Pro" w:eastAsia="Times New Roman" w:hAnsi="Meta Pro"/>
                <w:b/>
                <w:bCs/>
                <w:sz w:val="16"/>
                <w:szCs w:val="16"/>
                <w:lang w:eastAsia="en-AU"/>
              </w:rPr>
            </w:pPr>
          </w:p>
        </w:tc>
        <w:tc>
          <w:tcPr>
            <w:tcW w:w="4077" w:type="dxa"/>
            <w:tcBorders>
              <w:top w:val="nil"/>
              <w:left w:val="nil"/>
              <w:bottom w:val="nil"/>
              <w:right w:val="nil"/>
            </w:tcBorders>
            <w:shd w:val="clear" w:color="auto" w:fill="auto"/>
            <w:noWrap/>
            <w:vAlign w:val="center"/>
            <w:hideMark/>
          </w:tcPr>
          <w:p w14:paraId="698F2CD8"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 xml:space="preserve">Grants and other contributions </w:t>
            </w:r>
          </w:p>
        </w:tc>
        <w:tc>
          <w:tcPr>
            <w:tcW w:w="1315" w:type="dxa"/>
            <w:tcBorders>
              <w:top w:val="nil"/>
              <w:left w:val="nil"/>
              <w:bottom w:val="nil"/>
              <w:right w:val="nil"/>
            </w:tcBorders>
            <w:shd w:val="clear" w:color="auto" w:fill="auto"/>
            <w:noWrap/>
            <w:vAlign w:val="center"/>
            <w:hideMark/>
          </w:tcPr>
          <w:p w14:paraId="34B85248"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62 </w:t>
            </w:r>
          </w:p>
        </w:tc>
        <w:tc>
          <w:tcPr>
            <w:tcW w:w="198" w:type="dxa"/>
            <w:tcBorders>
              <w:top w:val="nil"/>
              <w:left w:val="nil"/>
              <w:bottom w:val="nil"/>
              <w:right w:val="nil"/>
            </w:tcBorders>
            <w:shd w:val="clear" w:color="auto" w:fill="auto"/>
            <w:noWrap/>
            <w:vAlign w:val="center"/>
            <w:hideMark/>
          </w:tcPr>
          <w:p w14:paraId="1E3958A5"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190A662B"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163,448 </w:t>
            </w:r>
          </w:p>
        </w:tc>
        <w:tc>
          <w:tcPr>
            <w:tcW w:w="198" w:type="dxa"/>
            <w:tcBorders>
              <w:top w:val="nil"/>
              <w:left w:val="nil"/>
              <w:bottom w:val="nil"/>
              <w:right w:val="nil"/>
            </w:tcBorders>
            <w:shd w:val="clear" w:color="auto" w:fill="auto"/>
            <w:noWrap/>
            <w:vAlign w:val="center"/>
            <w:hideMark/>
          </w:tcPr>
          <w:p w14:paraId="3EFE4A40"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3C734FCB"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2,884 </w:t>
            </w:r>
          </w:p>
        </w:tc>
        <w:tc>
          <w:tcPr>
            <w:tcW w:w="198" w:type="dxa"/>
            <w:tcBorders>
              <w:top w:val="nil"/>
              <w:left w:val="nil"/>
              <w:bottom w:val="nil"/>
              <w:right w:val="nil"/>
            </w:tcBorders>
            <w:shd w:val="clear" w:color="auto" w:fill="auto"/>
            <w:noWrap/>
            <w:vAlign w:val="center"/>
            <w:hideMark/>
          </w:tcPr>
          <w:p w14:paraId="2EC8F0B8"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6DC791BE"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771 </w:t>
            </w:r>
          </w:p>
        </w:tc>
        <w:tc>
          <w:tcPr>
            <w:tcW w:w="198" w:type="dxa"/>
            <w:tcBorders>
              <w:top w:val="nil"/>
              <w:left w:val="nil"/>
              <w:bottom w:val="nil"/>
              <w:right w:val="nil"/>
            </w:tcBorders>
            <w:shd w:val="clear" w:color="auto" w:fill="auto"/>
            <w:noWrap/>
            <w:vAlign w:val="center"/>
            <w:hideMark/>
          </w:tcPr>
          <w:p w14:paraId="1C2F0A21"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53A4613D"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49,588 </w:t>
            </w:r>
          </w:p>
        </w:tc>
        <w:tc>
          <w:tcPr>
            <w:tcW w:w="198" w:type="dxa"/>
            <w:tcBorders>
              <w:top w:val="nil"/>
              <w:left w:val="nil"/>
              <w:bottom w:val="nil"/>
              <w:right w:val="nil"/>
            </w:tcBorders>
            <w:shd w:val="clear" w:color="auto" w:fill="auto"/>
            <w:noWrap/>
            <w:vAlign w:val="center"/>
            <w:hideMark/>
          </w:tcPr>
          <w:p w14:paraId="6433456A"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1DFACEB3"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39D85EAD"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3CB4EEC9"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043969FE"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29A3E800"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216,753 </w:t>
            </w:r>
          </w:p>
        </w:tc>
      </w:tr>
      <w:tr w:rsidR="00BC5219" w:rsidRPr="008A2B8F" w14:paraId="1BE1D8A4" w14:textId="77777777" w:rsidTr="00E83802">
        <w:trPr>
          <w:trHeight w:val="198"/>
        </w:trPr>
        <w:tc>
          <w:tcPr>
            <w:tcW w:w="454" w:type="dxa"/>
            <w:tcBorders>
              <w:top w:val="nil"/>
              <w:left w:val="nil"/>
              <w:bottom w:val="nil"/>
              <w:right w:val="nil"/>
            </w:tcBorders>
            <w:shd w:val="clear" w:color="auto" w:fill="auto"/>
            <w:noWrap/>
            <w:vAlign w:val="center"/>
            <w:hideMark/>
          </w:tcPr>
          <w:p w14:paraId="22DBE8B8" w14:textId="77777777" w:rsidR="00BC5219" w:rsidRPr="008A2B8F" w:rsidRDefault="00BC5219" w:rsidP="00E83802">
            <w:pPr>
              <w:jc w:val="right"/>
              <w:rPr>
                <w:rFonts w:ascii="Meta Pro" w:eastAsia="Times New Roman" w:hAnsi="Meta Pro"/>
                <w:b/>
                <w:bCs/>
                <w:sz w:val="16"/>
                <w:szCs w:val="16"/>
                <w:lang w:eastAsia="en-AU"/>
              </w:rPr>
            </w:pPr>
          </w:p>
        </w:tc>
        <w:tc>
          <w:tcPr>
            <w:tcW w:w="4077" w:type="dxa"/>
            <w:tcBorders>
              <w:top w:val="nil"/>
              <w:left w:val="nil"/>
              <w:bottom w:val="nil"/>
              <w:right w:val="nil"/>
            </w:tcBorders>
            <w:shd w:val="clear" w:color="auto" w:fill="auto"/>
            <w:noWrap/>
            <w:vAlign w:val="center"/>
            <w:hideMark/>
          </w:tcPr>
          <w:p w14:paraId="697BA552"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Service concession arrangements revenue</w:t>
            </w:r>
          </w:p>
        </w:tc>
        <w:tc>
          <w:tcPr>
            <w:tcW w:w="1315" w:type="dxa"/>
            <w:tcBorders>
              <w:top w:val="nil"/>
              <w:left w:val="nil"/>
              <w:bottom w:val="nil"/>
              <w:right w:val="nil"/>
            </w:tcBorders>
            <w:shd w:val="clear" w:color="auto" w:fill="auto"/>
            <w:noWrap/>
            <w:vAlign w:val="center"/>
            <w:hideMark/>
          </w:tcPr>
          <w:p w14:paraId="478229C2"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6788D1B0"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06E14174"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232,180 </w:t>
            </w:r>
          </w:p>
        </w:tc>
        <w:tc>
          <w:tcPr>
            <w:tcW w:w="198" w:type="dxa"/>
            <w:tcBorders>
              <w:top w:val="nil"/>
              <w:left w:val="nil"/>
              <w:bottom w:val="nil"/>
              <w:right w:val="nil"/>
            </w:tcBorders>
            <w:shd w:val="clear" w:color="auto" w:fill="auto"/>
            <w:noWrap/>
            <w:vAlign w:val="center"/>
            <w:hideMark/>
          </w:tcPr>
          <w:p w14:paraId="0A98C3EE"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21A12B33"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3F02FDAC"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70CA8786"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24BE09EE"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298FB8D1"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09B1FD1A"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0C477363"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2C22657F"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3E9C8C62"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16C25DE0"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39981EC9"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232,180 </w:t>
            </w:r>
          </w:p>
        </w:tc>
      </w:tr>
      <w:tr w:rsidR="00BC5219" w:rsidRPr="008A2B8F" w14:paraId="0434943A" w14:textId="77777777" w:rsidTr="00E83802">
        <w:trPr>
          <w:trHeight w:val="198"/>
        </w:trPr>
        <w:tc>
          <w:tcPr>
            <w:tcW w:w="454" w:type="dxa"/>
            <w:tcBorders>
              <w:top w:val="nil"/>
              <w:left w:val="nil"/>
              <w:bottom w:val="single" w:sz="4" w:space="0" w:color="auto"/>
              <w:right w:val="nil"/>
            </w:tcBorders>
            <w:shd w:val="clear" w:color="auto" w:fill="auto"/>
            <w:noWrap/>
            <w:vAlign w:val="center"/>
            <w:hideMark/>
          </w:tcPr>
          <w:p w14:paraId="4240DA54"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4077" w:type="dxa"/>
            <w:tcBorders>
              <w:top w:val="nil"/>
              <w:left w:val="nil"/>
              <w:bottom w:val="nil"/>
              <w:right w:val="nil"/>
            </w:tcBorders>
            <w:shd w:val="clear" w:color="auto" w:fill="auto"/>
            <w:noWrap/>
            <w:vAlign w:val="center"/>
            <w:hideMark/>
          </w:tcPr>
          <w:p w14:paraId="4D049EAF"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Other revenue</w:t>
            </w:r>
          </w:p>
        </w:tc>
        <w:tc>
          <w:tcPr>
            <w:tcW w:w="1315" w:type="dxa"/>
            <w:tcBorders>
              <w:top w:val="nil"/>
              <w:left w:val="nil"/>
              <w:bottom w:val="single" w:sz="4" w:space="0" w:color="auto"/>
              <w:right w:val="nil"/>
            </w:tcBorders>
            <w:shd w:val="clear" w:color="auto" w:fill="auto"/>
            <w:noWrap/>
            <w:vAlign w:val="center"/>
            <w:hideMark/>
          </w:tcPr>
          <w:p w14:paraId="45487511"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208 </w:t>
            </w:r>
          </w:p>
        </w:tc>
        <w:tc>
          <w:tcPr>
            <w:tcW w:w="198" w:type="dxa"/>
            <w:tcBorders>
              <w:top w:val="nil"/>
              <w:left w:val="nil"/>
              <w:bottom w:val="single" w:sz="4" w:space="0" w:color="auto"/>
              <w:right w:val="nil"/>
            </w:tcBorders>
            <w:shd w:val="clear" w:color="auto" w:fill="auto"/>
            <w:noWrap/>
            <w:vAlign w:val="center"/>
            <w:hideMark/>
          </w:tcPr>
          <w:p w14:paraId="07BFF0AF"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1315" w:type="dxa"/>
            <w:tcBorders>
              <w:top w:val="nil"/>
              <w:left w:val="nil"/>
              <w:bottom w:val="single" w:sz="4" w:space="0" w:color="auto"/>
              <w:right w:val="nil"/>
            </w:tcBorders>
            <w:shd w:val="clear" w:color="auto" w:fill="auto"/>
            <w:noWrap/>
            <w:vAlign w:val="center"/>
            <w:hideMark/>
          </w:tcPr>
          <w:p w14:paraId="69812571"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57,787 </w:t>
            </w:r>
          </w:p>
        </w:tc>
        <w:tc>
          <w:tcPr>
            <w:tcW w:w="198" w:type="dxa"/>
            <w:tcBorders>
              <w:top w:val="nil"/>
              <w:left w:val="nil"/>
              <w:bottom w:val="single" w:sz="4" w:space="0" w:color="auto"/>
              <w:right w:val="nil"/>
            </w:tcBorders>
            <w:shd w:val="clear" w:color="auto" w:fill="auto"/>
            <w:noWrap/>
            <w:vAlign w:val="center"/>
            <w:hideMark/>
          </w:tcPr>
          <w:p w14:paraId="1A863EEA"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1315" w:type="dxa"/>
            <w:tcBorders>
              <w:top w:val="nil"/>
              <w:left w:val="nil"/>
              <w:bottom w:val="single" w:sz="4" w:space="0" w:color="auto"/>
              <w:right w:val="nil"/>
            </w:tcBorders>
            <w:shd w:val="clear" w:color="auto" w:fill="auto"/>
            <w:noWrap/>
            <w:vAlign w:val="center"/>
            <w:hideMark/>
          </w:tcPr>
          <w:p w14:paraId="2B2848D6"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11,987 </w:t>
            </w:r>
          </w:p>
        </w:tc>
        <w:tc>
          <w:tcPr>
            <w:tcW w:w="198" w:type="dxa"/>
            <w:tcBorders>
              <w:top w:val="nil"/>
              <w:left w:val="nil"/>
              <w:bottom w:val="single" w:sz="4" w:space="0" w:color="auto"/>
              <w:right w:val="nil"/>
            </w:tcBorders>
            <w:shd w:val="clear" w:color="auto" w:fill="auto"/>
            <w:noWrap/>
            <w:vAlign w:val="center"/>
            <w:hideMark/>
          </w:tcPr>
          <w:p w14:paraId="437F0B90"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1315" w:type="dxa"/>
            <w:tcBorders>
              <w:top w:val="nil"/>
              <w:left w:val="nil"/>
              <w:bottom w:val="single" w:sz="4" w:space="0" w:color="auto"/>
              <w:right w:val="nil"/>
            </w:tcBorders>
            <w:shd w:val="clear" w:color="auto" w:fill="auto"/>
            <w:noWrap/>
            <w:vAlign w:val="center"/>
            <w:hideMark/>
          </w:tcPr>
          <w:p w14:paraId="7BEB7AA3"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36 </w:t>
            </w:r>
          </w:p>
        </w:tc>
        <w:tc>
          <w:tcPr>
            <w:tcW w:w="198" w:type="dxa"/>
            <w:tcBorders>
              <w:top w:val="nil"/>
              <w:left w:val="nil"/>
              <w:bottom w:val="single" w:sz="4" w:space="0" w:color="auto"/>
              <w:right w:val="nil"/>
            </w:tcBorders>
            <w:shd w:val="clear" w:color="auto" w:fill="auto"/>
            <w:noWrap/>
            <w:vAlign w:val="center"/>
            <w:hideMark/>
          </w:tcPr>
          <w:p w14:paraId="13CCAB90"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1315" w:type="dxa"/>
            <w:tcBorders>
              <w:top w:val="nil"/>
              <w:left w:val="nil"/>
              <w:bottom w:val="single" w:sz="4" w:space="0" w:color="auto"/>
              <w:right w:val="nil"/>
            </w:tcBorders>
            <w:shd w:val="clear" w:color="auto" w:fill="auto"/>
            <w:noWrap/>
            <w:vAlign w:val="center"/>
            <w:hideMark/>
          </w:tcPr>
          <w:p w14:paraId="2DDE7FF7"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12,175 </w:t>
            </w:r>
          </w:p>
        </w:tc>
        <w:tc>
          <w:tcPr>
            <w:tcW w:w="198" w:type="dxa"/>
            <w:tcBorders>
              <w:top w:val="nil"/>
              <w:left w:val="nil"/>
              <w:bottom w:val="single" w:sz="4" w:space="0" w:color="auto"/>
              <w:right w:val="nil"/>
            </w:tcBorders>
            <w:shd w:val="clear" w:color="auto" w:fill="auto"/>
            <w:noWrap/>
            <w:vAlign w:val="center"/>
            <w:hideMark/>
          </w:tcPr>
          <w:p w14:paraId="4BDFF99A"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1315" w:type="dxa"/>
            <w:tcBorders>
              <w:top w:val="nil"/>
              <w:left w:val="nil"/>
              <w:bottom w:val="single" w:sz="4" w:space="0" w:color="auto"/>
              <w:right w:val="nil"/>
            </w:tcBorders>
            <w:shd w:val="clear" w:color="auto" w:fill="auto"/>
            <w:noWrap/>
            <w:vAlign w:val="center"/>
            <w:hideMark/>
          </w:tcPr>
          <w:p w14:paraId="6A775EBC"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1,686 </w:t>
            </w:r>
          </w:p>
        </w:tc>
        <w:tc>
          <w:tcPr>
            <w:tcW w:w="198" w:type="dxa"/>
            <w:tcBorders>
              <w:top w:val="nil"/>
              <w:left w:val="nil"/>
              <w:bottom w:val="single" w:sz="4" w:space="0" w:color="auto"/>
              <w:right w:val="nil"/>
            </w:tcBorders>
            <w:shd w:val="clear" w:color="auto" w:fill="auto"/>
            <w:noWrap/>
            <w:vAlign w:val="center"/>
            <w:hideMark/>
          </w:tcPr>
          <w:p w14:paraId="007A51AE"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1315" w:type="dxa"/>
            <w:tcBorders>
              <w:top w:val="nil"/>
              <w:left w:val="nil"/>
              <w:bottom w:val="single" w:sz="4" w:space="0" w:color="auto"/>
              <w:right w:val="nil"/>
            </w:tcBorders>
            <w:shd w:val="clear" w:color="auto" w:fill="auto"/>
            <w:noWrap/>
            <w:vAlign w:val="center"/>
            <w:hideMark/>
          </w:tcPr>
          <w:p w14:paraId="6F9C2B98"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(33,431)</w:t>
            </w:r>
          </w:p>
        </w:tc>
        <w:tc>
          <w:tcPr>
            <w:tcW w:w="198" w:type="dxa"/>
            <w:tcBorders>
              <w:top w:val="nil"/>
              <w:left w:val="nil"/>
              <w:bottom w:val="single" w:sz="4" w:space="0" w:color="auto"/>
              <w:right w:val="nil"/>
            </w:tcBorders>
            <w:shd w:val="clear" w:color="auto" w:fill="auto"/>
            <w:noWrap/>
            <w:vAlign w:val="center"/>
            <w:hideMark/>
          </w:tcPr>
          <w:p w14:paraId="55414694"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1315" w:type="dxa"/>
            <w:tcBorders>
              <w:top w:val="nil"/>
              <w:left w:val="nil"/>
              <w:bottom w:val="nil"/>
              <w:right w:val="nil"/>
            </w:tcBorders>
            <w:shd w:val="clear" w:color="auto" w:fill="auto"/>
            <w:noWrap/>
            <w:vAlign w:val="center"/>
            <w:hideMark/>
          </w:tcPr>
          <w:p w14:paraId="443D7169"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50,448 </w:t>
            </w:r>
          </w:p>
        </w:tc>
      </w:tr>
      <w:tr w:rsidR="00BC5219" w:rsidRPr="008A2B8F" w14:paraId="0F2BB515" w14:textId="77777777" w:rsidTr="00E83802">
        <w:trPr>
          <w:trHeight w:val="198"/>
        </w:trPr>
        <w:tc>
          <w:tcPr>
            <w:tcW w:w="454" w:type="dxa"/>
            <w:tcBorders>
              <w:top w:val="nil"/>
              <w:left w:val="nil"/>
              <w:bottom w:val="nil"/>
              <w:right w:val="nil"/>
            </w:tcBorders>
            <w:shd w:val="clear" w:color="auto" w:fill="auto"/>
            <w:noWrap/>
            <w:vAlign w:val="center"/>
            <w:hideMark/>
          </w:tcPr>
          <w:p w14:paraId="702728B1" w14:textId="77777777" w:rsidR="00BC5219" w:rsidRPr="008A2B8F" w:rsidRDefault="00BC5219" w:rsidP="00E83802">
            <w:pPr>
              <w:jc w:val="right"/>
              <w:rPr>
                <w:rFonts w:ascii="Meta Pro" w:eastAsia="Times New Roman" w:hAnsi="Meta Pro"/>
                <w:b/>
                <w:bCs/>
                <w:sz w:val="16"/>
                <w:szCs w:val="16"/>
                <w:lang w:eastAsia="en-AU"/>
              </w:rPr>
            </w:pPr>
          </w:p>
        </w:tc>
        <w:tc>
          <w:tcPr>
            <w:tcW w:w="4077" w:type="dxa"/>
            <w:tcBorders>
              <w:top w:val="single" w:sz="4" w:space="0" w:color="auto"/>
              <w:left w:val="nil"/>
              <w:bottom w:val="nil"/>
              <w:right w:val="nil"/>
            </w:tcBorders>
            <w:shd w:val="clear" w:color="auto" w:fill="auto"/>
            <w:noWrap/>
            <w:vAlign w:val="center"/>
            <w:hideMark/>
          </w:tcPr>
          <w:p w14:paraId="29511446" w14:textId="77777777" w:rsidR="00BC5219" w:rsidRPr="008A2B8F" w:rsidRDefault="00BC5219" w:rsidP="00E83802">
            <w:pPr>
              <w:rPr>
                <w:rFonts w:ascii="Meta Pro" w:eastAsia="Times New Roman" w:hAnsi="Meta Pro"/>
                <w:b/>
                <w:bCs/>
                <w:sz w:val="16"/>
                <w:szCs w:val="16"/>
                <w:lang w:eastAsia="en-AU"/>
              </w:rPr>
            </w:pPr>
            <w:r w:rsidRPr="008A2B8F">
              <w:rPr>
                <w:rFonts w:ascii="Meta Pro" w:eastAsia="Times New Roman" w:hAnsi="Meta Pro"/>
                <w:b/>
                <w:bCs/>
                <w:sz w:val="16"/>
                <w:szCs w:val="16"/>
                <w:lang w:eastAsia="en-AU"/>
              </w:rPr>
              <w:t>Total revenue</w:t>
            </w:r>
          </w:p>
        </w:tc>
        <w:tc>
          <w:tcPr>
            <w:tcW w:w="1315" w:type="dxa"/>
            <w:tcBorders>
              <w:top w:val="nil"/>
              <w:left w:val="nil"/>
              <w:bottom w:val="nil"/>
              <w:right w:val="nil"/>
            </w:tcBorders>
            <w:shd w:val="clear" w:color="auto" w:fill="auto"/>
            <w:noWrap/>
            <w:vAlign w:val="center"/>
            <w:hideMark/>
          </w:tcPr>
          <w:p w14:paraId="26839294"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142,513 </w:t>
            </w:r>
          </w:p>
        </w:tc>
        <w:tc>
          <w:tcPr>
            <w:tcW w:w="198" w:type="dxa"/>
            <w:tcBorders>
              <w:top w:val="nil"/>
              <w:left w:val="nil"/>
              <w:bottom w:val="nil"/>
              <w:right w:val="nil"/>
            </w:tcBorders>
            <w:shd w:val="clear" w:color="auto" w:fill="auto"/>
            <w:noWrap/>
            <w:vAlign w:val="center"/>
            <w:hideMark/>
          </w:tcPr>
          <w:p w14:paraId="209B06BE" w14:textId="77777777" w:rsidR="00BC5219" w:rsidRPr="008A2B8F" w:rsidRDefault="00BC5219" w:rsidP="00E83802">
            <w:pPr>
              <w:jc w:val="right"/>
              <w:rPr>
                <w:rFonts w:ascii="Meta Pro" w:eastAsia="Times New Roman" w:hAnsi="Meta Pro"/>
                <w:b/>
                <w:bCs/>
                <w:sz w:val="16"/>
                <w:szCs w:val="16"/>
                <w:lang w:eastAsia="en-AU"/>
              </w:rPr>
            </w:pPr>
          </w:p>
        </w:tc>
        <w:tc>
          <w:tcPr>
            <w:tcW w:w="1315" w:type="dxa"/>
            <w:tcBorders>
              <w:top w:val="nil"/>
              <w:left w:val="nil"/>
              <w:bottom w:val="nil"/>
              <w:right w:val="nil"/>
            </w:tcBorders>
            <w:shd w:val="clear" w:color="auto" w:fill="auto"/>
            <w:noWrap/>
            <w:vAlign w:val="center"/>
            <w:hideMark/>
          </w:tcPr>
          <w:p w14:paraId="765E6BBB"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3,022,130 </w:t>
            </w:r>
          </w:p>
        </w:tc>
        <w:tc>
          <w:tcPr>
            <w:tcW w:w="198" w:type="dxa"/>
            <w:tcBorders>
              <w:top w:val="nil"/>
              <w:left w:val="nil"/>
              <w:bottom w:val="nil"/>
              <w:right w:val="nil"/>
            </w:tcBorders>
            <w:shd w:val="clear" w:color="auto" w:fill="auto"/>
            <w:noWrap/>
            <w:vAlign w:val="center"/>
            <w:hideMark/>
          </w:tcPr>
          <w:p w14:paraId="1F57D46E" w14:textId="77777777" w:rsidR="00BC5219" w:rsidRPr="008A2B8F" w:rsidRDefault="00BC5219" w:rsidP="00E83802">
            <w:pPr>
              <w:jc w:val="right"/>
              <w:rPr>
                <w:rFonts w:ascii="Meta Pro" w:eastAsia="Times New Roman" w:hAnsi="Meta Pro"/>
                <w:b/>
                <w:bCs/>
                <w:sz w:val="16"/>
                <w:szCs w:val="16"/>
                <w:lang w:eastAsia="en-AU"/>
              </w:rPr>
            </w:pPr>
          </w:p>
        </w:tc>
        <w:tc>
          <w:tcPr>
            <w:tcW w:w="1315" w:type="dxa"/>
            <w:tcBorders>
              <w:top w:val="nil"/>
              <w:left w:val="nil"/>
              <w:bottom w:val="nil"/>
              <w:right w:val="nil"/>
            </w:tcBorders>
            <w:shd w:val="clear" w:color="auto" w:fill="auto"/>
            <w:noWrap/>
            <w:vAlign w:val="center"/>
            <w:hideMark/>
          </w:tcPr>
          <w:p w14:paraId="077D3E3B"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313,956 </w:t>
            </w:r>
          </w:p>
        </w:tc>
        <w:tc>
          <w:tcPr>
            <w:tcW w:w="198" w:type="dxa"/>
            <w:tcBorders>
              <w:top w:val="nil"/>
              <w:left w:val="nil"/>
              <w:bottom w:val="nil"/>
              <w:right w:val="nil"/>
            </w:tcBorders>
            <w:shd w:val="clear" w:color="auto" w:fill="auto"/>
            <w:noWrap/>
            <w:vAlign w:val="center"/>
            <w:hideMark/>
          </w:tcPr>
          <w:p w14:paraId="6AC90EBC" w14:textId="77777777" w:rsidR="00BC5219" w:rsidRPr="008A2B8F" w:rsidRDefault="00BC5219" w:rsidP="00E83802">
            <w:pPr>
              <w:jc w:val="right"/>
              <w:rPr>
                <w:rFonts w:ascii="Meta Pro" w:eastAsia="Times New Roman" w:hAnsi="Meta Pro"/>
                <w:b/>
                <w:bCs/>
                <w:sz w:val="16"/>
                <w:szCs w:val="16"/>
                <w:lang w:eastAsia="en-AU"/>
              </w:rPr>
            </w:pPr>
          </w:p>
        </w:tc>
        <w:tc>
          <w:tcPr>
            <w:tcW w:w="1315" w:type="dxa"/>
            <w:tcBorders>
              <w:top w:val="nil"/>
              <w:left w:val="nil"/>
              <w:bottom w:val="nil"/>
              <w:right w:val="nil"/>
            </w:tcBorders>
            <w:shd w:val="clear" w:color="auto" w:fill="auto"/>
            <w:noWrap/>
            <w:vAlign w:val="center"/>
            <w:hideMark/>
          </w:tcPr>
          <w:p w14:paraId="3E473011"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350,309 </w:t>
            </w:r>
          </w:p>
        </w:tc>
        <w:tc>
          <w:tcPr>
            <w:tcW w:w="198" w:type="dxa"/>
            <w:tcBorders>
              <w:top w:val="nil"/>
              <w:left w:val="nil"/>
              <w:bottom w:val="nil"/>
              <w:right w:val="nil"/>
            </w:tcBorders>
            <w:shd w:val="clear" w:color="auto" w:fill="auto"/>
            <w:noWrap/>
            <w:vAlign w:val="center"/>
            <w:hideMark/>
          </w:tcPr>
          <w:p w14:paraId="4C0BDA0F" w14:textId="77777777" w:rsidR="00BC5219" w:rsidRPr="008A2B8F" w:rsidRDefault="00BC5219" w:rsidP="00E83802">
            <w:pPr>
              <w:jc w:val="right"/>
              <w:rPr>
                <w:rFonts w:ascii="Meta Pro" w:eastAsia="Times New Roman" w:hAnsi="Meta Pro"/>
                <w:b/>
                <w:bCs/>
                <w:sz w:val="16"/>
                <w:szCs w:val="16"/>
                <w:lang w:eastAsia="en-AU"/>
              </w:rPr>
            </w:pPr>
          </w:p>
        </w:tc>
        <w:tc>
          <w:tcPr>
            <w:tcW w:w="1315" w:type="dxa"/>
            <w:tcBorders>
              <w:top w:val="nil"/>
              <w:left w:val="nil"/>
              <w:bottom w:val="nil"/>
              <w:right w:val="nil"/>
            </w:tcBorders>
            <w:shd w:val="clear" w:color="auto" w:fill="auto"/>
            <w:noWrap/>
            <w:vAlign w:val="center"/>
            <w:hideMark/>
          </w:tcPr>
          <w:p w14:paraId="7DB96223"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3,326,963 </w:t>
            </w:r>
          </w:p>
        </w:tc>
        <w:tc>
          <w:tcPr>
            <w:tcW w:w="198" w:type="dxa"/>
            <w:tcBorders>
              <w:top w:val="nil"/>
              <w:left w:val="nil"/>
              <w:bottom w:val="nil"/>
              <w:right w:val="nil"/>
            </w:tcBorders>
            <w:shd w:val="clear" w:color="auto" w:fill="auto"/>
            <w:noWrap/>
            <w:vAlign w:val="center"/>
            <w:hideMark/>
          </w:tcPr>
          <w:p w14:paraId="4BF6E01C" w14:textId="77777777" w:rsidR="00BC5219" w:rsidRPr="008A2B8F" w:rsidRDefault="00BC5219" w:rsidP="00E83802">
            <w:pPr>
              <w:jc w:val="right"/>
              <w:rPr>
                <w:rFonts w:ascii="Meta Pro" w:eastAsia="Times New Roman" w:hAnsi="Meta Pro"/>
                <w:b/>
                <w:bCs/>
                <w:sz w:val="16"/>
                <w:szCs w:val="16"/>
                <w:lang w:eastAsia="en-AU"/>
              </w:rPr>
            </w:pPr>
          </w:p>
        </w:tc>
        <w:tc>
          <w:tcPr>
            <w:tcW w:w="1315" w:type="dxa"/>
            <w:tcBorders>
              <w:top w:val="nil"/>
              <w:left w:val="nil"/>
              <w:bottom w:val="nil"/>
              <w:right w:val="nil"/>
            </w:tcBorders>
            <w:shd w:val="clear" w:color="auto" w:fill="auto"/>
            <w:noWrap/>
            <w:vAlign w:val="center"/>
            <w:hideMark/>
          </w:tcPr>
          <w:p w14:paraId="590074B4"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834,958 </w:t>
            </w:r>
          </w:p>
        </w:tc>
        <w:tc>
          <w:tcPr>
            <w:tcW w:w="198" w:type="dxa"/>
            <w:tcBorders>
              <w:top w:val="nil"/>
              <w:left w:val="nil"/>
              <w:bottom w:val="nil"/>
              <w:right w:val="nil"/>
            </w:tcBorders>
            <w:shd w:val="clear" w:color="auto" w:fill="auto"/>
            <w:noWrap/>
            <w:vAlign w:val="center"/>
            <w:hideMark/>
          </w:tcPr>
          <w:p w14:paraId="0189F1C4" w14:textId="77777777" w:rsidR="00BC5219" w:rsidRPr="008A2B8F" w:rsidRDefault="00BC5219" w:rsidP="00E83802">
            <w:pPr>
              <w:jc w:val="right"/>
              <w:rPr>
                <w:rFonts w:ascii="Meta Pro" w:eastAsia="Times New Roman" w:hAnsi="Meta Pro"/>
                <w:b/>
                <w:bCs/>
                <w:sz w:val="16"/>
                <w:szCs w:val="16"/>
                <w:lang w:eastAsia="en-AU"/>
              </w:rPr>
            </w:pPr>
          </w:p>
        </w:tc>
        <w:tc>
          <w:tcPr>
            <w:tcW w:w="1315" w:type="dxa"/>
            <w:tcBorders>
              <w:top w:val="nil"/>
              <w:left w:val="nil"/>
              <w:bottom w:val="nil"/>
              <w:right w:val="nil"/>
            </w:tcBorders>
            <w:shd w:val="clear" w:color="auto" w:fill="auto"/>
            <w:noWrap/>
            <w:vAlign w:val="center"/>
            <w:hideMark/>
          </w:tcPr>
          <w:p w14:paraId="240C8D8C"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(860,626)</w:t>
            </w:r>
          </w:p>
        </w:tc>
        <w:tc>
          <w:tcPr>
            <w:tcW w:w="198" w:type="dxa"/>
            <w:tcBorders>
              <w:top w:val="nil"/>
              <w:left w:val="nil"/>
              <w:bottom w:val="nil"/>
              <w:right w:val="nil"/>
            </w:tcBorders>
            <w:shd w:val="clear" w:color="auto" w:fill="auto"/>
            <w:noWrap/>
            <w:vAlign w:val="center"/>
            <w:hideMark/>
          </w:tcPr>
          <w:p w14:paraId="109F072F" w14:textId="77777777" w:rsidR="00BC5219" w:rsidRPr="008A2B8F" w:rsidRDefault="00BC5219" w:rsidP="00E83802">
            <w:pPr>
              <w:jc w:val="right"/>
              <w:rPr>
                <w:rFonts w:ascii="Meta Pro" w:eastAsia="Times New Roman" w:hAnsi="Meta Pro"/>
                <w:b/>
                <w:bCs/>
                <w:sz w:val="16"/>
                <w:szCs w:val="16"/>
                <w:lang w:eastAsia="en-AU"/>
              </w:rPr>
            </w:pPr>
          </w:p>
        </w:tc>
        <w:tc>
          <w:tcPr>
            <w:tcW w:w="1315" w:type="dxa"/>
            <w:tcBorders>
              <w:top w:val="single" w:sz="4" w:space="0" w:color="auto"/>
              <w:left w:val="nil"/>
              <w:bottom w:val="nil"/>
              <w:right w:val="nil"/>
            </w:tcBorders>
            <w:shd w:val="clear" w:color="auto" w:fill="auto"/>
            <w:noWrap/>
            <w:vAlign w:val="center"/>
            <w:hideMark/>
          </w:tcPr>
          <w:p w14:paraId="3FE35474"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7,130,203 </w:t>
            </w:r>
          </w:p>
        </w:tc>
      </w:tr>
      <w:tr w:rsidR="00BC5219" w:rsidRPr="008A2B8F" w14:paraId="15ED1482" w14:textId="77777777" w:rsidTr="00E83802">
        <w:trPr>
          <w:trHeight w:val="198"/>
        </w:trPr>
        <w:tc>
          <w:tcPr>
            <w:tcW w:w="454" w:type="dxa"/>
            <w:tcBorders>
              <w:top w:val="nil"/>
              <w:left w:val="nil"/>
              <w:bottom w:val="nil"/>
              <w:right w:val="nil"/>
            </w:tcBorders>
            <w:shd w:val="clear" w:color="auto" w:fill="auto"/>
            <w:noWrap/>
            <w:vAlign w:val="center"/>
            <w:hideMark/>
          </w:tcPr>
          <w:p w14:paraId="1ACE94A3" w14:textId="77777777" w:rsidR="00BC5219" w:rsidRPr="008A2B8F" w:rsidRDefault="00BC5219" w:rsidP="00E83802">
            <w:pPr>
              <w:jc w:val="right"/>
              <w:rPr>
                <w:rFonts w:ascii="Meta Pro" w:eastAsia="Times New Roman" w:hAnsi="Meta Pro"/>
                <w:b/>
                <w:bCs/>
                <w:sz w:val="16"/>
                <w:szCs w:val="16"/>
                <w:lang w:eastAsia="en-AU"/>
              </w:rPr>
            </w:pPr>
          </w:p>
        </w:tc>
        <w:tc>
          <w:tcPr>
            <w:tcW w:w="4077" w:type="dxa"/>
            <w:tcBorders>
              <w:top w:val="nil"/>
              <w:left w:val="nil"/>
              <w:bottom w:val="nil"/>
              <w:right w:val="nil"/>
            </w:tcBorders>
            <w:shd w:val="clear" w:color="auto" w:fill="auto"/>
            <w:noWrap/>
            <w:vAlign w:val="center"/>
            <w:hideMark/>
          </w:tcPr>
          <w:p w14:paraId="0228F8ED" w14:textId="77777777" w:rsidR="00BC5219" w:rsidRPr="008A2B8F" w:rsidRDefault="00BC5219" w:rsidP="00E83802">
            <w:pPr>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78E2490D" w14:textId="77777777" w:rsidR="00BC5219" w:rsidRPr="008A2B8F" w:rsidRDefault="00BC5219" w:rsidP="00E83802">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1C197755" w14:textId="77777777" w:rsidR="00BC5219" w:rsidRPr="008A2B8F" w:rsidRDefault="00BC5219" w:rsidP="00E83802">
            <w:pPr>
              <w:jc w:val="right"/>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1803A8CF" w14:textId="77777777" w:rsidR="00BC5219" w:rsidRPr="008A2B8F" w:rsidRDefault="00BC5219" w:rsidP="00E83802">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5F6FD820" w14:textId="77777777" w:rsidR="00BC5219" w:rsidRPr="008A2B8F" w:rsidRDefault="00BC5219" w:rsidP="00E83802">
            <w:pPr>
              <w:jc w:val="right"/>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60C3360A" w14:textId="77777777" w:rsidR="00BC5219" w:rsidRPr="008A2B8F" w:rsidRDefault="00BC5219" w:rsidP="00E83802">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3BFD057C" w14:textId="77777777" w:rsidR="00BC5219" w:rsidRPr="008A2B8F" w:rsidRDefault="00BC5219" w:rsidP="00E83802">
            <w:pPr>
              <w:jc w:val="right"/>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74C83671" w14:textId="77777777" w:rsidR="00BC5219" w:rsidRPr="008A2B8F" w:rsidRDefault="00BC5219" w:rsidP="00E83802">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3FDD896F" w14:textId="77777777" w:rsidR="00BC5219" w:rsidRPr="008A2B8F" w:rsidRDefault="00BC5219" w:rsidP="00E83802">
            <w:pPr>
              <w:jc w:val="right"/>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30EE2EE2" w14:textId="77777777" w:rsidR="00BC5219" w:rsidRPr="008A2B8F" w:rsidRDefault="00BC5219" w:rsidP="00E83802">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3C89597C" w14:textId="77777777" w:rsidR="00BC5219" w:rsidRPr="008A2B8F" w:rsidRDefault="00BC5219" w:rsidP="00E83802">
            <w:pPr>
              <w:jc w:val="right"/>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7C3ACB86" w14:textId="77777777" w:rsidR="00BC5219" w:rsidRPr="008A2B8F" w:rsidRDefault="00BC5219" w:rsidP="00E83802">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769EDFF1" w14:textId="77777777" w:rsidR="00BC5219" w:rsidRPr="008A2B8F" w:rsidRDefault="00BC5219" w:rsidP="00E83802">
            <w:pPr>
              <w:jc w:val="right"/>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480221F4" w14:textId="77777777" w:rsidR="00BC5219" w:rsidRPr="008A2B8F" w:rsidRDefault="00BC5219" w:rsidP="00E83802">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14DD5BCB" w14:textId="77777777" w:rsidR="00BC5219" w:rsidRPr="008A2B8F" w:rsidRDefault="00BC5219" w:rsidP="00E83802">
            <w:pPr>
              <w:jc w:val="right"/>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0B173F89"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5D81F3A2" w14:textId="77777777" w:rsidTr="00E83802">
        <w:trPr>
          <w:trHeight w:val="198"/>
        </w:trPr>
        <w:tc>
          <w:tcPr>
            <w:tcW w:w="454" w:type="dxa"/>
            <w:tcBorders>
              <w:top w:val="nil"/>
              <w:left w:val="nil"/>
              <w:bottom w:val="single" w:sz="4" w:space="0" w:color="auto"/>
              <w:right w:val="nil"/>
            </w:tcBorders>
            <w:shd w:val="clear" w:color="auto" w:fill="auto"/>
            <w:noWrap/>
            <w:vAlign w:val="center"/>
            <w:hideMark/>
          </w:tcPr>
          <w:p w14:paraId="4338795F"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4077" w:type="dxa"/>
            <w:tcBorders>
              <w:top w:val="nil"/>
              <w:left w:val="nil"/>
              <w:bottom w:val="nil"/>
              <w:right w:val="nil"/>
            </w:tcBorders>
            <w:shd w:val="clear" w:color="auto" w:fill="auto"/>
            <w:noWrap/>
            <w:vAlign w:val="center"/>
            <w:hideMark/>
          </w:tcPr>
          <w:p w14:paraId="6895098D"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Gains on disposal of assets</w:t>
            </w:r>
          </w:p>
        </w:tc>
        <w:tc>
          <w:tcPr>
            <w:tcW w:w="1315" w:type="dxa"/>
            <w:tcBorders>
              <w:top w:val="nil"/>
              <w:left w:val="nil"/>
              <w:bottom w:val="single" w:sz="4" w:space="0" w:color="auto"/>
              <w:right w:val="nil"/>
            </w:tcBorders>
            <w:shd w:val="clear" w:color="auto" w:fill="auto"/>
            <w:noWrap/>
            <w:vAlign w:val="center"/>
            <w:hideMark/>
          </w:tcPr>
          <w:p w14:paraId="389C5079"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571 </w:t>
            </w:r>
          </w:p>
        </w:tc>
        <w:tc>
          <w:tcPr>
            <w:tcW w:w="198" w:type="dxa"/>
            <w:tcBorders>
              <w:top w:val="nil"/>
              <w:left w:val="nil"/>
              <w:bottom w:val="single" w:sz="4" w:space="0" w:color="auto"/>
              <w:right w:val="nil"/>
            </w:tcBorders>
            <w:shd w:val="clear" w:color="auto" w:fill="auto"/>
            <w:noWrap/>
            <w:vAlign w:val="center"/>
            <w:hideMark/>
          </w:tcPr>
          <w:p w14:paraId="5FC7FB29"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1315" w:type="dxa"/>
            <w:tcBorders>
              <w:top w:val="nil"/>
              <w:left w:val="nil"/>
              <w:bottom w:val="single" w:sz="4" w:space="0" w:color="auto"/>
              <w:right w:val="nil"/>
            </w:tcBorders>
            <w:shd w:val="clear" w:color="auto" w:fill="auto"/>
            <w:noWrap/>
            <w:vAlign w:val="center"/>
            <w:hideMark/>
          </w:tcPr>
          <w:p w14:paraId="15FB3F7F"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62BF9851"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1315" w:type="dxa"/>
            <w:tcBorders>
              <w:top w:val="nil"/>
              <w:left w:val="nil"/>
              <w:bottom w:val="single" w:sz="4" w:space="0" w:color="auto"/>
              <w:right w:val="nil"/>
            </w:tcBorders>
            <w:shd w:val="clear" w:color="auto" w:fill="auto"/>
            <w:noWrap/>
            <w:vAlign w:val="center"/>
            <w:hideMark/>
          </w:tcPr>
          <w:p w14:paraId="6B434991"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116 </w:t>
            </w:r>
          </w:p>
        </w:tc>
        <w:tc>
          <w:tcPr>
            <w:tcW w:w="198" w:type="dxa"/>
            <w:tcBorders>
              <w:top w:val="nil"/>
              <w:left w:val="nil"/>
              <w:bottom w:val="single" w:sz="4" w:space="0" w:color="auto"/>
              <w:right w:val="nil"/>
            </w:tcBorders>
            <w:shd w:val="clear" w:color="auto" w:fill="auto"/>
            <w:noWrap/>
            <w:vAlign w:val="center"/>
            <w:hideMark/>
          </w:tcPr>
          <w:p w14:paraId="0F6A4055"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1315" w:type="dxa"/>
            <w:tcBorders>
              <w:top w:val="nil"/>
              <w:left w:val="nil"/>
              <w:bottom w:val="single" w:sz="4" w:space="0" w:color="auto"/>
              <w:right w:val="nil"/>
            </w:tcBorders>
            <w:shd w:val="clear" w:color="auto" w:fill="auto"/>
            <w:noWrap/>
            <w:vAlign w:val="center"/>
            <w:hideMark/>
          </w:tcPr>
          <w:p w14:paraId="7A32ABB5"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217 </w:t>
            </w:r>
          </w:p>
        </w:tc>
        <w:tc>
          <w:tcPr>
            <w:tcW w:w="198" w:type="dxa"/>
            <w:tcBorders>
              <w:top w:val="nil"/>
              <w:left w:val="nil"/>
              <w:bottom w:val="single" w:sz="4" w:space="0" w:color="auto"/>
              <w:right w:val="nil"/>
            </w:tcBorders>
            <w:shd w:val="clear" w:color="auto" w:fill="auto"/>
            <w:noWrap/>
            <w:vAlign w:val="center"/>
            <w:hideMark/>
          </w:tcPr>
          <w:p w14:paraId="04F22CC1"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1315" w:type="dxa"/>
            <w:tcBorders>
              <w:top w:val="nil"/>
              <w:left w:val="nil"/>
              <w:bottom w:val="single" w:sz="4" w:space="0" w:color="auto"/>
              <w:right w:val="nil"/>
            </w:tcBorders>
            <w:shd w:val="clear" w:color="auto" w:fill="auto"/>
            <w:noWrap/>
            <w:vAlign w:val="center"/>
            <w:hideMark/>
          </w:tcPr>
          <w:p w14:paraId="59AB8E1A"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257758CF"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1315" w:type="dxa"/>
            <w:tcBorders>
              <w:top w:val="nil"/>
              <w:left w:val="nil"/>
              <w:bottom w:val="single" w:sz="4" w:space="0" w:color="auto"/>
              <w:right w:val="nil"/>
            </w:tcBorders>
            <w:shd w:val="clear" w:color="auto" w:fill="auto"/>
            <w:noWrap/>
            <w:vAlign w:val="center"/>
            <w:hideMark/>
          </w:tcPr>
          <w:p w14:paraId="6E96BD1C"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2,223 </w:t>
            </w:r>
          </w:p>
        </w:tc>
        <w:tc>
          <w:tcPr>
            <w:tcW w:w="198" w:type="dxa"/>
            <w:tcBorders>
              <w:top w:val="nil"/>
              <w:left w:val="nil"/>
              <w:bottom w:val="single" w:sz="4" w:space="0" w:color="auto"/>
              <w:right w:val="nil"/>
            </w:tcBorders>
            <w:shd w:val="clear" w:color="auto" w:fill="auto"/>
            <w:noWrap/>
            <w:vAlign w:val="center"/>
            <w:hideMark/>
          </w:tcPr>
          <w:p w14:paraId="27E1D90E"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1315" w:type="dxa"/>
            <w:tcBorders>
              <w:top w:val="nil"/>
              <w:left w:val="nil"/>
              <w:bottom w:val="single" w:sz="4" w:space="0" w:color="auto"/>
              <w:right w:val="nil"/>
            </w:tcBorders>
            <w:shd w:val="clear" w:color="auto" w:fill="auto"/>
            <w:noWrap/>
            <w:vAlign w:val="center"/>
            <w:hideMark/>
          </w:tcPr>
          <w:p w14:paraId="1E50A78F"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1738D8A4"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1315" w:type="dxa"/>
            <w:tcBorders>
              <w:top w:val="nil"/>
              <w:left w:val="nil"/>
              <w:bottom w:val="single" w:sz="4" w:space="0" w:color="auto"/>
              <w:right w:val="nil"/>
            </w:tcBorders>
            <w:shd w:val="clear" w:color="auto" w:fill="auto"/>
            <w:noWrap/>
            <w:vAlign w:val="center"/>
            <w:hideMark/>
          </w:tcPr>
          <w:p w14:paraId="7ADBCE30"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3,127 </w:t>
            </w:r>
          </w:p>
        </w:tc>
      </w:tr>
      <w:tr w:rsidR="00BC5219" w:rsidRPr="008A2B8F" w14:paraId="4B2E6B8E" w14:textId="77777777" w:rsidTr="00E83802">
        <w:trPr>
          <w:trHeight w:val="198"/>
        </w:trPr>
        <w:tc>
          <w:tcPr>
            <w:tcW w:w="454" w:type="dxa"/>
            <w:tcBorders>
              <w:top w:val="nil"/>
              <w:left w:val="nil"/>
              <w:bottom w:val="nil"/>
              <w:right w:val="nil"/>
            </w:tcBorders>
            <w:shd w:val="clear" w:color="auto" w:fill="auto"/>
            <w:noWrap/>
            <w:vAlign w:val="center"/>
            <w:hideMark/>
          </w:tcPr>
          <w:p w14:paraId="5D6C72C7" w14:textId="77777777" w:rsidR="00BC5219" w:rsidRPr="008A2B8F" w:rsidRDefault="00BC5219" w:rsidP="00E83802">
            <w:pPr>
              <w:jc w:val="right"/>
              <w:rPr>
                <w:rFonts w:ascii="Meta Pro" w:eastAsia="Times New Roman" w:hAnsi="Meta Pro"/>
                <w:b/>
                <w:bCs/>
                <w:sz w:val="16"/>
                <w:szCs w:val="16"/>
                <w:lang w:eastAsia="en-AU"/>
              </w:rPr>
            </w:pPr>
          </w:p>
        </w:tc>
        <w:tc>
          <w:tcPr>
            <w:tcW w:w="4077" w:type="dxa"/>
            <w:tcBorders>
              <w:top w:val="single" w:sz="4" w:space="0" w:color="auto"/>
              <w:left w:val="nil"/>
              <w:bottom w:val="nil"/>
              <w:right w:val="nil"/>
            </w:tcBorders>
            <w:shd w:val="clear" w:color="auto" w:fill="auto"/>
            <w:vAlign w:val="center"/>
            <w:hideMark/>
          </w:tcPr>
          <w:p w14:paraId="247C2FD6" w14:textId="77777777" w:rsidR="00BC5219" w:rsidRPr="008A2B8F" w:rsidRDefault="00BC5219" w:rsidP="00E83802">
            <w:pPr>
              <w:rPr>
                <w:rFonts w:ascii="Meta Pro" w:eastAsia="Times New Roman" w:hAnsi="Meta Pro"/>
                <w:b/>
                <w:bCs/>
                <w:sz w:val="16"/>
                <w:szCs w:val="16"/>
                <w:lang w:eastAsia="en-AU"/>
              </w:rPr>
            </w:pPr>
            <w:r w:rsidRPr="008A2B8F">
              <w:rPr>
                <w:rFonts w:ascii="Meta Pro" w:eastAsia="Times New Roman" w:hAnsi="Meta Pro"/>
                <w:b/>
                <w:bCs/>
                <w:sz w:val="16"/>
                <w:szCs w:val="16"/>
                <w:lang w:eastAsia="en-AU"/>
              </w:rPr>
              <w:t>Total income</w:t>
            </w:r>
          </w:p>
        </w:tc>
        <w:tc>
          <w:tcPr>
            <w:tcW w:w="1315" w:type="dxa"/>
            <w:tcBorders>
              <w:top w:val="nil"/>
              <w:left w:val="nil"/>
              <w:bottom w:val="nil"/>
              <w:right w:val="nil"/>
            </w:tcBorders>
            <w:shd w:val="clear" w:color="auto" w:fill="auto"/>
            <w:noWrap/>
            <w:vAlign w:val="center"/>
            <w:hideMark/>
          </w:tcPr>
          <w:p w14:paraId="4B43DBAA"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143,084 </w:t>
            </w:r>
          </w:p>
        </w:tc>
        <w:tc>
          <w:tcPr>
            <w:tcW w:w="198" w:type="dxa"/>
            <w:tcBorders>
              <w:top w:val="nil"/>
              <w:left w:val="nil"/>
              <w:bottom w:val="nil"/>
              <w:right w:val="nil"/>
            </w:tcBorders>
            <w:shd w:val="clear" w:color="auto" w:fill="auto"/>
            <w:noWrap/>
            <w:vAlign w:val="center"/>
            <w:hideMark/>
          </w:tcPr>
          <w:p w14:paraId="054EE812" w14:textId="77777777" w:rsidR="00BC5219" w:rsidRPr="008A2B8F" w:rsidRDefault="00BC5219" w:rsidP="00E83802">
            <w:pPr>
              <w:jc w:val="right"/>
              <w:rPr>
                <w:rFonts w:ascii="Meta Pro" w:eastAsia="Times New Roman" w:hAnsi="Meta Pro"/>
                <w:b/>
                <w:bCs/>
                <w:sz w:val="16"/>
                <w:szCs w:val="16"/>
                <w:lang w:eastAsia="en-AU"/>
              </w:rPr>
            </w:pPr>
          </w:p>
        </w:tc>
        <w:tc>
          <w:tcPr>
            <w:tcW w:w="1315" w:type="dxa"/>
            <w:tcBorders>
              <w:top w:val="nil"/>
              <w:left w:val="nil"/>
              <w:bottom w:val="nil"/>
              <w:right w:val="nil"/>
            </w:tcBorders>
            <w:shd w:val="clear" w:color="auto" w:fill="auto"/>
            <w:noWrap/>
            <w:vAlign w:val="center"/>
            <w:hideMark/>
          </w:tcPr>
          <w:p w14:paraId="3F29AFD0"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3,022,130 </w:t>
            </w:r>
          </w:p>
        </w:tc>
        <w:tc>
          <w:tcPr>
            <w:tcW w:w="198" w:type="dxa"/>
            <w:tcBorders>
              <w:top w:val="nil"/>
              <w:left w:val="nil"/>
              <w:bottom w:val="nil"/>
              <w:right w:val="nil"/>
            </w:tcBorders>
            <w:shd w:val="clear" w:color="auto" w:fill="auto"/>
            <w:noWrap/>
            <w:vAlign w:val="center"/>
            <w:hideMark/>
          </w:tcPr>
          <w:p w14:paraId="3D4A9E06" w14:textId="77777777" w:rsidR="00BC5219" w:rsidRPr="008A2B8F" w:rsidRDefault="00BC5219" w:rsidP="00E83802">
            <w:pPr>
              <w:jc w:val="right"/>
              <w:rPr>
                <w:rFonts w:ascii="Meta Pro" w:eastAsia="Times New Roman" w:hAnsi="Meta Pro"/>
                <w:b/>
                <w:bCs/>
                <w:sz w:val="16"/>
                <w:szCs w:val="16"/>
                <w:lang w:eastAsia="en-AU"/>
              </w:rPr>
            </w:pPr>
          </w:p>
        </w:tc>
        <w:tc>
          <w:tcPr>
            <w:tcW w:w="1315" w:type="dxa"/>
            <w:tcBorders>
              <w:top w:val="nil"/>
              <w:left w:val="nil"/>
              <w:bottom w:val="nil"/>
              <w:right w:val="nil"/>
            </w:tcBorders>
            <w:shd w:val="clear" w:color="auto" w:fill="auto"/>
            <w:noWrap/>
            <w:vAlign w:val="center"/>
            <w:hideMark/>
          </w:tcPr>
          <w:p w14:paraId="729D0F63"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314,072 </w:t>
            </w:r>
          </w:p>
        </w:tc>
        <w:tc>
          <w:tcPr>
            <w:tcW w:w="198" w:type="dxa"/>
            <w:tcBorders>
              <w:top w:val="nil"/>
              <w:left w:val="nil"/>
              <w:bottom w:val="nil"/>
              <w:right w:val="nil"/>
            </w:tcBorders>
            <w:shd w:val="clear" w:color="auto" w:fill="auto"/>
            <w:noWrap/>
            <w:vAlign w:val="center"/>
            <w:hideMark/>
          </w:tcPr>
          <w:p w14:paraId="0E64468C" w14:textId="77777777" w:rsidR="00BC5219" w:rsidRPr="008A2B8F" w:rsidRDefault="00BC5219" w:rsidP="00E83802">
            <w:pPr>
              <w:jc w:val="right"/>
              <w:rPr>
                <w:rFonts w:ascii="Meta Pro" w:eastAsia="Times New Roman" w:hAnsi="Meta Pro"/>
                <w:b/>
                <w:bCs/>
                <w:sz w:val="16"/>
                <w:szCs w:val="16"/>
                <w:lang w:eastAsia="en-AU"/>
              </w:rPr>
            </w:pPr>
          </w:p>
        </w:tc>
        <w:tc>
          <w:tcPr>
            <w:tcW w:w="1315" w:type="dxa"/>
            <w:tcBorders>
              <w:top w:val="nil"/>
              <w:left w:val="nil"/>
              <w:bottom w:val="nil"/>
              <w:right w:val="nil"/>
            </w:tcBorders>
            <w:shd w:val="clear" w:color="auto" w:fill="auto"/>
            <w:noWrap/>
            <w:vAlign w:val="center"/>
            <w:hideMark/>
          </w:tcPr>
          <w:p w14:paraId="37F32CD2"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350,526 </w:t>
            </w:r>
          </w:p>
        </w:tc>
        <w:tc>
          <w:tcPr>
            <w:tcW w:w="198" w:type="dxa"/>
            <w:tcBorders>
              <w:top w:val="nil"/>
              <w:left w:val="nil"/>
              <w:bottom w:val="nil"/>
              <w:right w:val="nil"/>
            </w:tcBorders>
            <w:shd w:val="clear" w:color="auto" w:fill="auto"/>
            <w:noWrap/>
            <w:vAlign w:val="center"/>
            <w:hideMark/>
          </w:tcPr>
          <w:p w14:paraId="070B4477" w14:textId="77777777" w:rsidR="00BC5219" w:rsidRPr="008A2B8F" w:rsidRDefault="00BC5219" w:rsidP="00E83802">
            <w:pPr>
              <w:jc w:val="right"/>
              <w:rPr>
                <w:rFonts w:ascii="Meta Pro" w:eastAsia="Times New Roman" w:hAnsi="Meta Pro"/>
                <w:b/>
                <w:bCs/>
                <w:sz w:val="16"/>
                <w:szCs w:val="16"/>
                <w:lang w:eastAsia="en-AU"/>
              </w:rPr>
            </w:pPr>
          </w:p>
        </w:tc>
        <w:tc>
          <w:tcPr>
            <w:tcW w:w="1315" w:type="dxa"/>
            <w:tcBorders>
              <w:top w:val="nil"/>
              <w:left w:val="nil"/>
              <w:bottom w:val="nil"/>
              <w:right w:val="nil"/>
            </w:tcBorders>
            <w:shd w:val="clear" w:color="auto" w:fill="auto"/>
            <w:noWrap/>
            <w:vAlign w:val="center"/>
            <w:hideMark/>
          </w:tcPr>
          <w:p w14:paraId="564E4A58"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3,326,963 </w:t>
            </w:r>
          </w:p>
        </w:tc>
        <w:tc>
          <w:tcPr>
            <w:tcW w:w="198" w:type="dxa"/>
            <w:tcBorders>
              <w:top w:val="nil"/>
              <w:left w:val="nil"/>
              <w:bottom w:val="nil"/>
              <w:right w:val="nil"/>
            </w:tcBorders>
            <w:shd w:val="clear" w:color="auto" w:fill="auto"/>
            <w:noWrap/>
            <w:vAlign w:val="center"/>
            <w:hideMark/>
          </w:tcPr>
          <w:p w14:paraId="1486E5E4" w14:textId="77777777" w:rsidR="00BC5219" w:rsidRPr="008A2B8F" w:rsidRDefault="00BC5219" w:rsidP="00E83802">
            <w:pPr>
              <w:jc w:val="right"/>
              <w:rPr>
                <w:rFonts w:ascii="Meta Pro" w:eastAsia="Times New Roman" w:hAnsi="Meta Pro"/>
                <w:b/>
                <w:bCs/>
                <w:sz w:val="16"/>
                <w:szCs w:val="16"/>
                <w:lang w:eastAsia="en-AU"/>
              </w:rPr>
            </w:pPr>
          </w:p>
        </w:tc>
        <w:tc>
          <w:tcPr>
            <w:tcW w:w="1315" w:type="dxa"/>
            <w:tcBorders>
              <w:top w:val="nil"/>
              <w:left w:val="nil"/>
              <w:bottom w:val="nil"/>
              <w:right w:val="nil"/>
            </w:tcBorders>
            <w:shd w:val="clear" w:color="auto" w:fill="auto"/>
            <w:noWrap/>
            <w:vAlign w:val="center"/>
            <w:hideMark/>
          </w:tcPr>
          <w:p w14:paraId="162E2017"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837,181 </w:t>
            </w:r>
          </w:p>
        </w:tc>
        <w:tc>
          <w:tcPr>
            <w:tcW w:w="198" w:type="dxa"/>
            <w:tcBorders>
              <w:top w:val="nil"/>
              <w:left w:val="nil"/>
              <w:bottom w:val="nil"/>
              <w:right w:val="nil"/>
            </w:tcBorders>
            <w:shd w:val="clear" w:color="auto" w:fill="auto"/>
            <w:noWrap/>
            <w:vAlign w:val="center"/>
            <w:hideMark/>
          </w:tcPr>
          <w:p w14:paraId="0291D80B" w14:textId="77777777" w:rsidR="00BC5219" w:rsidRPr="008A2B8F" w:rsidRDefault="00BC5219" w:rsidP="00E83802">
            <w:pPr>
              <w:jc w:val="right"/>
              <w:rPr>
                <w:rFonts w:ascii="Meta Pro" w:eastAsia="Times New Roman" w:hAnsi="Meta Pro"/>
                <w:b/>
                <w:bCs/>
                <w:sz w:val="16"/>
                <w:szCs w:val="16"/>
                <w:lang w:eastAsia="en-AU"/>
              </w:rPr>
            </w:pPr>
          </w:p>
        </w:tc>
        <w:tc>
          <w:tcPr>
            <w:tcW w:w="1315" w:type="dxa"/>
            <w:tcBorders>
              <w:top w:val="nil"/>
              <w:left w:val="nil"/>
              <w:bottom w:val="nil"/>
              <w:right w:val="nil"/>
            </w:tcBorders>
            <w:shd w:val="clear" w:color="auto" w:fill="auto"/>
            <w:noWrap/>
            <w:vAlign w:val="center"/>
            <w:hideMark/>
          </w:tcPr>
          <w:p w14:paraId="3019CEA0"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(860,626)</w:t>
            </w:r>
          </w:p>
        </w:tc>
        <w:tc>
          <w:tcPr>
            <w:tcW w:w="198" w:type="dxa"/>
            <w:tcBorders>
              <w:top w:val="nil"/>
              <w:left w:val="nil"/>
              <w:bottom w:val="nil"/>
              <w:right w:val="nil"/>
            </w:tcBorders>
            <w:shd w:val="clear" w:color="auto" w:fill="auto"/>
            <w:noWrap/>
            <w:vAlign w:val="center"/>
            <w:hideMark/>
          </w:tcPr>
          <w:p w14:paraId="6918A58B" w14:textId="77777777" w:rsidR="00BC5219" w:rsidRPr="008A2B8F" w:rsidRDefault="00BC5219" w:rsidP="00E83802">
            <w:pPr>
              <w:jc w:val="right"/>
              <w:rPr>
                <w:rFonts w:ascii="Meta Pro" w:eastAsia="Times New Roman" w:hAnsi="Meta Pro"/>
                <w:b/>
                <w:bCs/>
                <w:sz w:val="16"/>
                <w:szCs w:val="16"/>
                <w:lang w:eastAsia="en-AU"/>
              </w:rPr>
            </w:pPr>
          </w:p>
        </w:tc>
        <w:tc>
          <w:tcPr>
            <w:tcW w:w="1315" w:type="dxa"/>
            <w:tcBorders>
              <w:top w:val="nil"/>
              <w:left w:val="nil"/>
              <w:bottom w:val="nil"/>
              <w:right w:val="nil"/>
            </w:tcBorders>
            <w:shd w:val="clear" w:color="auto" w:fill="auto"/>
            <w:noWrap/>
            <w:vAlign w:val="center"/>
            <w:hideMark/>
          </w:tcPr>
          <w:p w14:paraId="7193B908"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7,133,330 </w:t>
            </w:r>
          </w:p>
        </w:tc>
      </w:tr>
      <w:tr w:rsidR="00BC5219" w:rsidRPr="008A2B8F" w14:paraId="17C4F3A0" w14:textId="77777777" w:rsidTr="00E83802">
        <w:trPr>
          <w:trHeight w:val="198"/>
        </w:trPr>
        <w:tc>
          <w:tcPr>
            <w:tcW w:w="454" w:type="dxa"/>
            <w:tcBorders>
              <w:top w:val="nil"/>
              <w:left w:val="nil"/>
              <w:bottom w:val="nil"/>
              <w:right w:val="nil"/>
            </w:tcBorders>
            <w:shd w:val="clear" w:color="auto" w:fill="auto"/>
            <w:noWrap/>
            <w:vAlign w:val="center"/>
            <w:hideMark/>
          </w:tcPr>
          <w:p w14:paraId="4EE105F8" w14:textId="77777777" w:rsidR="00BC5219" w:rsidRPr="008A2B8F" w:rsidRDefault="00BC5219" w:rsidP="00E83802">
            <w:pPr>
              <w:jc w:val="right"/>
              <w:rPr>
                <w:rFonts w:ascii="Meta Pro" w:eastAsia="Times New Roman" w:hAnsi="Meta Pro"/>
                <w:b/>
                <w:bCs/>
                <w:sz w:val="16"/>
                <w:szCs w:val="16"/>
                <w:lang w:eastAsia="en-AU"/>
              </w:rPr>
            </w:pPr>
          </w:p>
        </w:tc>
        <w:tc>
          <w:tcPr>
            <w:tcW w:w="4077" w:type="dxa"/>
            <w:tcBorders>
              <w:top w:val="nil"/>
              <w:left w:val="nil"/>
              <w:bottom w:val="nil"/>
              <w:right w:val="nil"/>
            </w:tcBorders>
            <w:shd w:val="clear" w:color="auto" w:fill="auto"/>
            <w:vAlign w:val="center"/>
            <w:hideMark/>
          </w:tcPr>
          <w:p w14:paraId="29AEDDB3" w14:textId="77777777" w:rsidR="00BC5219" w:rsidRPr="008A2B8F" w:rsidRDefault="00BC5219" w:rsidP="00E83802">
            <w:pPr>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347BF75E" w14:textId="77777777" w:rsidR="00BC5219" w:rsidRPr="008A2B8F" w:rsidRDefault="00BC5219" w:rsidP="00E83802">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12CD94BD" w14:textId="77777777" w:rsidR="00BC5219" w:rsidRPr="008A2B8F" w:rsidRDefault="00BC5219" w:rsidP="00E83802">
            <w:pPr>
              <w:jc w:val="right"/>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73CFC3FD" w14:textId="77777777" w:rsidR="00BC5219" w:rsidRPr="008A2B8F" w:rsidRDefault="00BC5219" w:rsidP="00E83802">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049EBCFF" w14:textId="77777777" w:rsidR="00BC5219" w:rsidRPr="008A2B8F" w:rsidRDefault="00BC5219" w:rsidP="00E83802">
            <w:pPr>
              <w:jc w:val="right"/>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58C52E52" w14:textId="77777777" w:rsidR="00BC5219" w:rsidRPr="008A2B8F" w:rsidRDefault="00BC5219" w:rsidP="00E83802">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1F8ED5A9" w14:textId="77777777" w:rsidR="00BC5219" w:rsidRPr="008A2B8F" w:rsidRDefault="00BC5219" w:rsidP="00E83802">
            <w:pPr>
              <w:jc w:val="right"/>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45A76E04" w14:textId="77777777" w:rsidR="00BC5219" w:rsidRPr="008A2B8F" w:rsidRDefault="00BC5219" w:rsidP="00E83802">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43345D14" w14:textId="77777777" w:rsidR="00BC5219" w:rsidRPr="008A2B8F" w:rsidRDefault="00BC5219" w:rsidP="00E83802">
            <w:pPr>
              <w:jc w:val="right"/>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4AE3A8FF" w14:textId="77777777" w:rsidR="00BC5219" w:rsidRPr="008A2B8F" w:rsidRDefault="00BC5219" w:rsidP="00E83802">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1AD72B96" w14:textId="77777777" w:rsidR="00BC5219" w:rsidRPr="008A2B8F" w:rsidRDefault="00BC5219" w:rsidP="00E83802">
            <w:pPr>
              <w:jc w:val="right"/>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4BAFD103" w14:textId="77777777" w:rsidR="00BC5219" w:rsidRPr="008A2B8F" w:rsidRDefault="00BC5219" w:rsidP="00E83802">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32F250C8" w14:textId="77777777" w:rsidR="00BC5219" w:rsidRPr="008A2B8F" w:rsidRDefault="00BC5219" w:rsidP="00E83802">
            <w:pPr>
              <w:jc w:val="right"/>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1511E9B1" w14:textId="77777777" w:rsidR="00BC5219" w:rsidRPr="008A2B8F" w:rsidRDefault="00BC5219" w:rsidP="00E83802">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6B3EE764" w14:textId="77777777" w:rsidR="00BC5219" w:rsidRPr="008A2B8F" w:rsidRDefault="00BC5219" w:rsidP="00E83802">
            <w:pPr>
              <w:jc w:val="right"/>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673FDB17"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2B2E105E" w14:textId="77777777" w:rsidTr="00E83802">
        <w:trPr>
          <w:trHeight w:val="198"/>
        </w:trPr>
        <w:tc>
          <w:tcPr>
            <w:tcW w:w="4077" w:type="dxa"/>
            <w:gridSpan w:val="2"/>
            <w:tcBorders>
              <w:top w:val="nil"/>
              <w:left w:val="nil"/>
              <w:bottom w:val="nil"/>
              <w:right w:val="nil"/>
            </w:tcBorders>
            <w:shd w:val="clear" w:color="auto" w:fill="auto"/>
            <w:noWrap/>
            <w:vAlign w:val="center"/>
            <w:hideMark/>
          </w:tcPr>
          <w:p w14:paraId="79C2F4AC" w14:textId="77777777" w:rsidR="00BC5219" w:rsidRPr="008A2B8F" w:rsidRDefault="00BC5219" w:rsidP="00E83802">
            <w:pPr>
              <w:rPr>
                <w:rFonts w:ascii="Meta Pro" w:eastAsia="Times New Roman" w:hAnsi="Meta Pro"/>
                <w:b/>
                <w:bCs/>
                <w:sz w:val="16"/>
                <w:szCs w:val="16"/>
                <w:lang w:eastAsia="en-AU"/>
              </w:rPr>
            </w:pPr>
            <w:r w:rsidRPr="008A2B8F">
              <w:rPr>
                <w:rFonts w:ascii="Meta Pro" w:eastAsia="Times New Roman" w:hAnsi="Meta Pro"/>
                <w:b/>
                <w:bCs/>
                <w:sz w:val="16"/>
                <w:szCs w:val="16"/>
                <w:lang w:eastAsia="en-AU"/>
              </w:rPr>
              <w:t>Expenses</w:t>
            </w:r>
          </w:p>
        </w:tc>
        <w:tc>
          <w:tcPr>
            <w:tcW w:w="1315" w:type="dxa"/>
            <w:tcBorders>
              <w:top w:val="nil"/>
              <w:left w:val="nil"/>
              <w:bottom w:val="nil"/>
              <w:right w:val="nil"/>
            </w:tcBorders>
            <w:shd w:val="clear" w:color="auto" w:fill="auto"/>
            <w:noWrap/>
            <w:vAlign w:val="center"/>
            <w:hideMark/>
          </w:tcPr>
          <w:p w14:paraId="4731697D" w14:textId="77777777" w:rsidR="00BC5219" w:rsidRPr="008A2B8F" w:rsidRDefault="00BC5219" w:rsidP="00E83802">
            <w:pPr>
              <w:rPr>
                <w:rFonts w:ascii="Meta Pro" w:eastAsia="Times New Roman" w:hAnsi="Meta Pro"/>
                <w:b/>
                <w:bCs/>
                <w:sz w:val="16"/>
                <w:szCs w:val="16"/>
                <w:lang w:eastAsia="en-AU"/>
              </w:rPr>
            </w:pPr>
          </w:p>
        </w:tc>
        <w:tc>
          <w:tcPr>
            <w:tcW w:w="198" w:type="dxa"/>
            <w:tcBorders>
              <w:top w:val="nil"/>
              <w:left w:val="nil"/>
              <w:bottom w:val="nil"/>
              <w:right w:val="nil"/>
            </w:tcBorders>
            <w:shd w:val="clear" w:color="auto" w:fill="auto"/>
            <w:noWrap/>
            <w:vAlign w:val="center"/>
            <w:hideMark/>
          </w:tcPr>
          <w:p w14:paraId="4DA8B5C1" w14:textId="77777777" w:rsidR="00BC5219" w:rsidRPr="008A2B8F" w:rsidRDefault="00BC5219" w:rsidP="00E83802">
            <w:pPr>
              <w:jc w:val="right"/>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5C5182AE" w14:textId="77777777" w:rsidR="00BC5219" w:rsidRPr="008A2B8F" w:rsidRDefault="00BC5219" w:rsidP="00E83802">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3E0F37AF" w14:textId="77777777" w:rsidR="00BC5219" w:rsidRPr="008A2B8F" w:rsidRDefault="00BC5219" w:rsidP="00E83802">
            <w:pPr>
              <w:jc w:val="right"/>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68D812AF" w14:textId="77777777" w:rsidR="00BC5219" w:rsidRPr="008A2B8F" w:rsidRDefault="00BC5219" w:rsidP="00E83802">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4451A2CF" w14:textId="77777777" w:rsidR="00BC5219" w:rsidRPr="008A2B8F" w:rsidRDefault="00BC5219" w:rsidP="00E83802">
            <w:pPr>
              <w:jc w:val="right"/>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0ADFB3DF" w14:textId="77777777" w:rsidR="00BC5219" w:rsidRPr="008A2B8F" w:rsidRDefault="00BC5219" w:rsidP="00E83802">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43042F3A" w14:textId="77777777" w:rsidR="00BC5219" w:rsidRPr="008A2B8F" w:rsidRDefault="00BC5219" w:rsidP="00E83802">
            <w:pPr>
              <w:jc w:val="right"/>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1294AD46" w14:textId="77777777" w:rsidR="00BC5219" w:rsidRPr="008A2B8F" w:rsidRDefault="00BC5219" w:rsidP="00E83802">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6CC80ACD" w14:textId="77777777" w:rsidR="00BC5219" w:rsidRPr="008A2B8F" w:rsidRDefault="00BC5219" w:rsidP="00E83802">
            <w:pPr>
              <w:jc w:val="right"/>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51535967" w14:textId="77777777" w:rsidR="00BC5219" w:rsidRPr="008A2B8F" w:rsidRDefault="00BC5219" w:rsidP="00E83802">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059992DF" w14:textId="77777777" w:rsidR="00BC5219" w:rsidRPr="008A2B8F" w:rsidRDefault="00BC5219" w:rsidP="00E83802">
            <w:pPr>
              <w:jc w:val="right"/>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6FA42F4E" w14:textId="77777777" w:rsidR="00BC5219" w:rsidRPr="008A2B8F" w:rsidRDefault="00BC5219" w:rsidP="00E83802">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08B7A951" w14:textId="77777777" w:rsidR="00BC5219" w:rsidRPr="008A2B8F" w:rsidRDefault="00BC5219" w:rsidP="00E83802">
            <w:pPr>
              <w:jc w:val="right"/>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08E74426"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64091CC2" w14:textId="77777777" w:rsidTr="00E83802">
        <w:trPr>
          <w:trHeight w:val="198"/>
        </w:trPr>
        <w:tc>
          <w:tcPr>
            <w:tcW w:w="454" w:type="dxa"/>
            <w:tcBorders>
              <w:top w:val="nil"/>
              <w:left w:val="nil"/>
              <w:bottom w:val="nil"/>
              <w:right w:val="nil"/>
            </w:tcBorders>
            <w:shd w:val="clear" w:color="auto" w:fill="auto"/>
            <w:noWrap/>
            <w:vAlign w:val="center"/>
            <w:hideMark/>
          </w:tcPr>
          <w:p w14:paraId="2136A038" w14:textId="77777777" w:rsidR="00BC5219" w:rsidRPr="008A2B8F" w:rsidRDefault="00BC5219" w:rsidP="00E83802">
            <w:pPr>
              <w:jc w:val="right"/>
              <w:rPr>
                <w:rFonts w:ascii="Meta Pro" w:eastAsia="Times New Roman" w:hAnsi="Meta Pro" w:cs="Times New Roman"/>
                <w:sz w:val="20"/>
                <w:szCs w:val="20"/>
                <w:lang w:eastAsia="en-AU"/>
              </w:rPr>
            </w:pPr>
          </w:p>
        </w:tc>
        <w:tc>
          <w:tcPr>
            <w:tcW w:w="4077" w:type="dxa"/>
            <w:tcBorders>
              <w:top w:val="nil"/>
              <w:left w:val="nil"/>
              <w:bottom w:val="nil"/>
              <w:right w:val="nil"/>
            </w:tcBorders>
            <w:shd w:val="clear" w:color="auto" w:fill="auto"/>
            <w:noWrap/>
            <w:vAlign w:val="center"/>
            <w:hideMark/>
          </w:tcPr>
          <w:p w14:paraId="47AD556B"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Employee expenses</w:t>
            </w:r>
          </w:p>
        </w:tc>
        <w:tc>
          <w:tcPr>
            <w:tcW w:w="1315" w:type="dxa"/>
            <w:tcBorders>
              <w:top w:val="nil"/>
              <w:left w:val="nil"/>
              <w:bottom w:val="nil"/>
              <w:right w:val="nil"/>
            </w:tcBorders>
            <w:shd w:val="clear" w:color="auto" w:fill="auto"/>
            <w:noWrap/>
            <w:vAlign w:val="center"/>
            <w:hideMark/>
          </w:tcPr>
          <w:p w14:paraId="5FB2B1E0"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70,619 </w:t>
            </w:r>
          </w:p>
        </w:tc>
        <w:tc>
          <w:tcPr>
            <w:tcW w:w="198" w:type="dxa"/>
            <w:tcBorders>
              <w:top w:val="nil"/>
              <w:left w:val="nil"/>
              <w:bottom w:val="nil"/>
              <w:right w:val="nil"/>
            </w:tcBorders>
            <w:shd w:val="clear" w:color="auto" w:fill="auto"/>
            <w:noWrap/>
            <w:vAlign w:val="center"/>
            <w:hideMark/>
          </w:tcPr>
          <w:p w14:paraId="655ECD91"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010122CC"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184,622 </w:t>
            </w:r>
          </w:p>
        </w:tc>
        <w:tc>
          <w:tcPr>
            <w:tcW w:w="198" w:type="dxa"/>
            <w:tcBorders>
              <w:top w:val="nil"/>
              <w:left w:val="nil"/>
              <w:bottom w:val="nil"/>
              <w:right w:val="nil"/>
            </w:tcBorders>
            <w:shd w:val="clear" w:color="auto" w:fill="auto"/>
            <w:noWrap/>
            <w:vAlign w:val="center"/>
            <w:hideMark/>
          </w:tcPr>
          <w:p w14:paraId="23A0ADE6"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663C1676"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81,968 </w:t>
            </w:r>
          </w:p>
        </w:tc>
        <w:tc>
          <w:tcPr>
            <w:tcW w:w="198" w:type="dxa"/>
            <w:tcBorders>
              <w:top w:val="nil"/>
              <w:left w:val="nil"/>
              <w:bottom w:val="nil"/>
              <w:right w:val="nil"/>
            </w:tcBorders>
            <w:shd w:val="clear" w:color="auto" w:fill="auto"/>
            <w:noWrap/>
            <w:vAlign w:val="center"/>
            <w:hideMark/>
          </w:tcPr>
          <w:p w14:paraId="2A36A444"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0D489C5F"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180,508 </w:t>
            </w:r>
          </w:p>
        </w:tc>
        <w:tc>
          <w:tcPr>
            <w:tcW w:w="198" w:type="dxa"/>
            <w:tcBorders>
              <w:top w:val="nil"/>
              <w:left w:val="nil"/>
              <w:bottom w:val="nil"/>
              <w:right w:val="nil"/>
            </w:tcBorders>
            <w:shd w:val="clear" w:color="auto" w:fill="auto"/>
            <w:noWrap/>
            <w:vAlign w:val="center"/>
            <w:hideMark/>
          </w:tcPr>
          <w:p w14:paraId="35A3AFEB"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63A0A82E"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97,718 </w:t>
            </w:r>
          </w:p>
        </w:tc>
        <w:tc>
          <w:tcPr>
            <w:tcW w:w="198" w:type="dxa"/>
            <w:tcBorders>
              <w:top w:val="nil"/>
              <w:left w:val="nil"/>
              <w:bottom w:val="nil"/>
              <w:right w:val="nil"/>
            </w:tcBorders>
            <w:shd w:val="clear" w:color="auto" w:fill="auto"/>
            <w:noWrap/>
            <w:vAlign w:val="center"/>
            <w:hideMark/>
          </w:tcPr>
          <w:p w14:paraId="2560D670"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0F0F457B"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157,283 </w:t>
            </w:r>
          </w:p>
        </w:tc>
        <w:tc>
          <w:tcPr>
            <w:tcW w:w="198" w:type="dxa"/>
            <w:tcBorders>
              <w:top w:val="nil"/>
              <w:left w:val="nil"/>
              <w:bottom w:val="nil"/>
              <w:right w:val="nil"/>
            </w:tcBorders>
            <w:shd w:val="clear" w:color="auto" w:fill="auto"/>
            <w:noWrap/>
            <w:vAlign w:val="center"/>
            <w:hideMark/>
          </w:tcPr>
          <w:p w14:paraId="57E93B66"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2998AF58"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(122,392)</w:t>
            </w:r>
          </w:p>
        </w:tc>
        <w:tc>
          <w:tcPr>
            <w:tcW w:w="198" w:type="dxa"/>
            <w:tcBorders>
              <w:top w:val="nil"/>
              <w:left w:val="nil"/>
              <w:bottom w:val="nil"/>
              <w:right w:val="nil"/>
            </w:tcBorders>
            <w:shd w:val="clear" w:color="auto" w:fill="auto"/>
            <w:noWrap/>
            <w:vAlign w:val="center"/>
            <w:hideMark/>
          </w:tcPr>
          <w:p w14:paraId="618B7D09"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3F48B9B5"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650,326 </w:t>
            </w:r>
          </w:p>
        </w:tc>
      </w:tr>
      <w:tr w:rsidR="00BC5219" w:rsidRPr="008A2B8F" w14:paraId="6B993BAA" w14:textId="77777777" w:rsidTr="00E83802">
        <w:trPr>
          <w:trHeight w:val="198"/>
        </w:trPr>
        <w:tc>
          <w:tcPr>
            <w:tcW w:w="454" w:type="dxa"/>
            <w:tcBorders>
              <w:top w:val="nil"/>
              <w:left w:val="nil"/>
              <w:bottom w:val="nil"/>
              <w:right w:val="nil"/>
            </w:tcBorders>
            <w:shd w:val="clear" w:color="auto" w:fill="auto"/>
            <w:noWrap/>
            <w:vAlign w:val="center"/>
            <w:hideMark/>
          </w:tcPr>
          <w:p w14:paraId="4CA12DAB" w14:textId="77777777" w:rsidR="00BC5219" w:rsidRPr="008A2B8F" w:rsidRDefault="00BC5219" w:rsidP="00E83802">
            <w:pPr>
              <w:jc w:val="right"/>
              <w:rPr>
                <w:rFonts w:ascii="Meta Pro" w:eastAsia="Times New Roman" w:hAnsi="Meta Pro"/>
                <w:b/>
                <w:bCs/>
                <w:sz w:val="16"/>
                <w:szCs w:val="16"/>
                <w:lang w:eastAsia="en-AU"/>
              </w:rPr>
            </w:pPr>
          </w:p>
        </w:tc>
        <w:tc>
          <w:tcPr>
            <w:tcW w:w="4077" w:type="dxa"/>
            <w:tcBorders>
              <w:top w:val="nil"/>
              <w:left w:val="nil"/>
              <w:bottom w:val="nil"/>
              <w:right w:val="nil"/>
            </w:tcBorders>
            <w:shd w:val="clear" w:color="auto" w:fill="auto"/>
            <w:noWrap/>
            <w:vAlign w:val="center"/>
            <w:hideMark/>
          </w:tcPr>
          <w:p w14:paraId="5E61E83D"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 xml:space="preserve">Supplies and services </w:t>
            </w:r>
          </w:p>
        </w:tc>
        <w:tc>
          <w:tcPr>
            <w:tcW w:w="1315" w:type="dxa"/>
            <w:tcBorders>
              <w:top w:val="nil"/>
              <w:left w:val="nil"/>
              <w:bottom w:val="nil"/>
              <w:right w:val="nil"/>
            </w:tcBorders>
            <w:shd w:val="clear" w:color="auto" w:fill="auto"/>
            <w:noWrap/>
            <w:vAlign w:val="center"/>
            <w:hideMark/>
          </w:tcPr>
          <w:p w14:paraId="6D17544F"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32,262 </w:t>
            </w:r>
          </w:p>
        </w:tc>
        <w:tc>
          <w:tcPr>
            <w:tcW w:w="198" w:type="dxa"/>
            <w:tcBorders>
              <w:top w:val="nil"/>
              <w:left w:val="nil"/>
              <w:bottom w:val="nil"/>
              <w:right w:val="nil"/>
            </w:tcBorders>
            <w:shd w:val="clear" w:color="auto" w:fill="auto"/>
            <w:noWrap/>
            <w:vAlign w:val="center"/>
            <w:hideMark/>
          </w:tcPr>
          <w:p w14:paraId="330A46F9"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2C518411"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908,423 </w:t>
            </w:r>
          </w:p>
        </w:tc>
        <w:tc>
          <w:tcPr>
            <w:tcW w:w="198" w:type="dxa"/>
            <w:tcBorders>
              <w:top w:val="nil"/>
              <w:left w:val="nil"/>
              <w:bottom w:val="nil"/>
              <w:right w:val="nil"/>
            </w:tcBorders>
            <w:shd w:val="clear" w:color="auto" w:fill="auto"/>
            <w:noWrap/>
            <w:vAlign w:val="center"/>
            <w:hideMark/>
          </w:tcPr>
          <w:p w14:paraId="4E445033"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2DC58E11"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210,773 </w:t>
            </w:r>
          </w:p>
        </w:tc>
        <w:tc>
          <w:tcPr>
            <w:tcW w:w="198" w:type="dxa"/>
            <w:tcBorders>
              <w:top w:val="nil"/>
              <w:left w:val="nil"/>
              <w:bottom w:val="nil"/>
              <w:right w:val="nil"/>
            </w:tcBorders>
            <w:shd w:val="clear" w:color="auto" w:fill="auto"/>
            <w:noWrap/>
            <w:vAlign w:val="center"/>
            <w:hideMark/>
          </w:tcPr>
          <w:p w14:paraId="0EE7FE57"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7515131D"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164,307 </w:t>
            </w:r>
          </w:p>
        </w:tc>
        <w:tc>
          <w:tcPr>
            <w:tcW w:w="198" w:type="dxa"/>
            <w:tcBorders>
              <w:top w:val="nil"/>
              <w:left w:val="nil"/>
              <w:bottom w:val="nil"/>
              <w:right w:val="nil"/>
            </w:tcBorders>
            <w:shd w:val="clear" w:color="auto" w:fill="auto"/>
            <w:noWrap/>
            <w:vAlign w:val="center"/>
            <w:hideMark/>
          </w:tcPr>
          <w:p w14:paraId="448B32A0"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2B21FDF7"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3,010,249 </w:t>
            </w:r>
          </w:p>
        </w:tc>
        <w:tc>
          <w:tcPr>
            <w:tcW w:w="198" w:type="dxa"/>
            <w:tcBorders>
              <w:top w:val="nil"/>
              <w:left w:val="nil"/>
              <w:bottom w:val="nil"/>
              <w:right w:val="nil"/>
            </w:tcBorders>
            <w:shd w:val="clear" w:color="auto" w:fill="auto"/>
            <w:noWrap/>
            <w:vAlign w:val="center"/>
            <w:hideMark/>
          </w:tcPr>
          <w:p w14:paraId="5218BE67"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1A4D4ECF"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629,291 </w:t>
            </w:r>
          </w:p>
        </w:tc>
        <w:tc>
          <w:tcPr>
            <w:tcW w:w="198" w:type="dxa"/>
            <w:tcBorders>
              <w:top w:val="nil"/>
              <w:left w:val="nil"/>
              <w:bottom w:val="nil"/>
              <w:right w:val="nil"/>
            </w:tcBorders>
            <w:shd w:val="clear" w:color="auto" w:fill="auto"/>
            <w:noWrap/>
            <w:vAlign w:val="center"/>
            <w:hideMark/>
          </w:tcPr>
          <w:p w14:paraId="22D5296D"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66A30659"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(704,803)</w:t>
            </w:r>
          </w:p>
        </w:tc>
        <w:tc>
          <w:tcPr>
            <w:tcW w:w="198" w:type="dxa"/>
            <w:tcBorders>
              <w:top w:val="nil"/>
              <w:left w:val="nil"/>
              <w:bottom w:val="nil"/>
              <w:right w:val="nil"/>
            </w:tcBorders>
            <w:shd w:val="clear" w:color="auto" w:fill="auto"/>
            <w:noWrap/>
            <w:vAlign w:val="center"/>
            <w:hideMark/>
          </w:tcPr>
          <w:p w14:paraId="173776AD"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45D0855E"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4,250,502 </w:t>
            </w:r>
          </w:p>
        </w:tc>
      </w:tr>
      <w:tr w:rsidR="00BC5219" w:rsidRPr="008A2B8F" w14:paraId="40D0C9BC" w14:textId="77777777" w:rsidTr="00E83802">
        <w:trPr>
          <w:trHeight w:val="198"/>
        </w:trPr>
        <w:tc>
          <w:tcPr>
            <w:tcW w:w="454" w:type="dxa"/>
            <w:tcBorders>
              <w:top w:val="nil"/>
              <w:left w:val="nil"/>
              <w:bottom w:val="nil"/>
              <w:right w:val="nil"/>
            </w:tcBorders>
            <w:shd w:val="clear" w:color="auto" w:fill="auto"/>
            <w:noWrap/>
            <w:vAlign w:val="center"/>
            <w:hideMark/>
          </w:tcPr>
          <w:p w14:paraId="7092E4C3" w14:textId="77777777" w:rsidR="00BC5219" w:rsidRPr="008A2B8F" w:rsidRDefault="00BC5219" w:rsidP="00E83802">
            <w:pPr>
              <w:jc w:val="right"/>
              <w:rPr>
                <w:rFonts w:ascii="Meta Pro" w:eastAsia="Times New Roman" w:hAnsi="Meta Pro"/>
                <w:b/>
                <w:bCs/>
                <w:sz w:val="16"/>
                <w:szCs w:val="16"/>
                <w:lang w:eastAsia="en-AU"/>
              </w:rPr>
            </w:pPr>
          </w:p>
        </w:tc>
        <w:tc>
          <w:tcPr>
            <w:tcW w:w="4077" w:type="dxa"/>
            <w:tcBorders>
              <w:top w:val="nil"/>
              <w:left w:val="nil"/>
              <w:bottom w:val="nil"/>
              <w:right w:val="nil"/>
            </w:tcBorders>
            <w:shd w:val="clear" w:color="auto" w:fill="auto"/>
            <w:noWrap/>
            <w:vAlign w:val="center"/>
            <w:hideMark/>
          </w:tcPr>
          <w:p w14:paraId="4E5EFE5B"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 xml:space="preserve">Grants and subsidies </w:t>
            </w:r>
          </w:p>
        </w:tc>
        <w:tc>
          <w:tcPr>
            <w:tcW w:w="1315" w:type="dxa"/>
            <w:tcBorders>
              <w:top w:val="nil"/>
              <w:left w:val="nil"/>
              <w:bottom w:val="nil"/>
              <w:right w:val="nil"/>
            </w:tcBorders>
            <w:shd w:val="clear" w:color="auto" w:fill="auto"/>
            <w:noWrap/>
            <w:vAlign w:val="center"/>
            <w:hideMark/>
          </w:tcPr>
          <w:p w14:paraId="2D50CA18"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27,555 </w:t>
            </w:r>
          </w:p>
        </w:tc>
        <w:tc>
          <w:tcPr>
            <w:tcW w:w="198" w:type="dxa"/>
            <w:tcBorders>
              <w:top w:val="nil"/>
              <w:left w:val="nil"/>
              <w:bottom w:val="nil"/>
              <w:right w:val="nil"/>
            </w:tcBorders>
            <w:shd w:val="clear" w:color="auto" w:fill="auto"/>
            <w:noWrap/>
            <w:vAlign w:val="center"/>
            <w:hideMark/>
          </w:tcPr>
          <w:p w14:paraId="0F65B6D1"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4C2316F7"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526,201 </w:t>
            </w:r>
          </w:p>
        </w:tc>
        <w:tc>
          <w:tcPr>
            <w:tcW w:w="198" w:type="dxa"/>
            <w:tcBorders>
              <w:top w:val="nil"/>
              <w:left w:val="nil"/>
              <w:bottom w:val="nil"/>
              <w:right w:val="nil"/>
            </w:tcBorders>
            <w:shd w:val="clear" w:color="auto" w:fill="auto"/>
            <w:noWrap/>
            <w:vAlign w:val="center"/>
            <w:hideMark/>
          </w:tcPr>
          <w:p w14:paraId="7934CD8E"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79BEB9E4"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7,154 </w:t>
            </w:r>
          </w:p>
        </w:tc>
        <w:tc>
          <w:tcPr>
            <w:tcW w:w="198" w:type="dxa"/>
            <w:tcBorders>
              <w:top w:val="nil"/>
              <w:left w:val="nil"/>
              <w:bottom w:val="nil"/>
              <w:right w:val="nil"/>
            </w:tcBorders>
            <w:shd w:val="clear" w:color="auto" w:fill="auto"/>
            <w:noWrap/>
            <w:vAlign w:val="center"/>
            <w:hideMark/>
          </w:tcPr>
          <w:p w14:paraId="24EE6308"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6859DF7A"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73 </w:t>
            </w:r>
          </w:p>
        </w:tc>
        <w:tc>
          <w:tcPr>
            <w:tcW w:w="198" w:type="dxa"/>
            <w:tcBorders>
              <w:top w:val="nil"/>
              <w:left w:val="nil"/>
              <w:bottom w:val="nil"/>
              <w:right w:val="nil"/>
            </w:tcBorders>
            <w:shd w:val="clear" w:color="auto" w:fill="auto"/>
            <w:noWrap/>
            <w:vAlign w:val="center"/>
            <w:hideMark/>
          </w:tcPr>
          <w:p w14:paraId="5ADF46A7"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42A64DC2"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251,392 </w:t>
            </w:r>
          </w:p>
        </w:tc>
        <w:tc>
          <w:tcPr>
            <w:tcW w:w="198" w:type="dxa"/>
            <w:tcBorders>
              <w:top w:val="nil"/>
              <w:left w:val="nil"/>
              <w:bottom w:val="nil"/>
              <w:right w:val="nil"/>
            </w:tcBorders>
            <w:shd w:val="clear" w:color="auto" w:fill="auto"/>
            <w:noWrap/>
            <w:vAlign w:val="center"/>
            <w:hideMark/>
          </w:tcPr>
          <w:p w14:paraId="0101E432"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409C080A"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3 </w:t>
            </w:r>
          </w:p>
        </w:tc>
        <w:tc>
          <w:tcPr>
            <w:tcW w:w="198" w:type="dxa"/>
            <w:tcBorders>
              <w:top w:val="nil"/>
              <w:left w:val="nil"/>
              <w:bottom w:val="nil"/>
              <w:right w:val="nil"/>
            </w:tcBorders>
            <w:shd w:val="clear" w:color="auto" w:fill="auto"/>
            <w:noWrap/>
            <w:vAlign w:val="center"/>
            <w:hideMark/>
          </w:tcPr>
          <w:p w14:paraId="3CED321D"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72A8569A"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3F0F4A81"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48AA1ABE"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812,378 </w:t>
            </w:r>
          </w:p>
        </w:tc>
      </w:tr>
      <w:tr w:rsidR="00BC5219" w:rsidRPr="008A2B8F" w14:paraId="19D21615" w14:textId="77777777" w:rsidTr="00E83802">
        <w:trPr>
          <w:trHeight w:val="198"/>
        </w:trPr>
        <w:tc>
          <w:tcPr>
            <w:tcW w:w="454" w:type="dxa"/>
            <w:tcBorders>
              <w:top w:val="nil"/>
              <w:left w:val="nil"/>
              <w:bottom w:val="nil"/>
              <w:right w:val="nil"/>
            </w:tcBorders>
            <w:shd w:val="clear" w:color="auto" w:fill="auto"/>
            <w:noWrap/>
            <w:vAlign w:val="center"/>
            <w:hideMark/>
          </w:tcPr>
          <w:p w14:paraId="24D7FB8E" w14:textId="77777777" w:rsidR="00BC5219" w:rsidRPr="008A2B8F" w:rsidRDefault="00BC5219" w:rsidP="00E83802">
            <w:pPr>
              <w:jc w:val="right"/>
              <w:rPr>
                <w:rFonts w:ascii="Meta Pro" w:eastAsia="Times New Roman" w:hAnsi="Meta Pro"/>
                <w:b/>
                <w:bCs/>
                <w:sz w:val="16"/>
                <w:szCs w:val="16"/>
                <w:lang w:eastAsia="en-AU"/>
              </w:rPr>
            </w:pPr>
          </w:p>
        </w:tc>
        <w:tc>
          <w:tcPr>
            <w:tcW w:w="4077" w:type="dxa"/>
            <w:tcBorders>
              <w:top w:val="nil"/>
              <w:left w:val="nil"/>
              <w:bottom w:val="nil"/>
              <w:right w:val="nil"/>
            </w:tcBorders>
            <w:shd w:val="clear" w:color="auto" w:fill="auto"/>
            <w:noWrap/>
            <w:vAlign w:val="center"/>
            <w:hideMark/>
          </w:tcPr>
          <w:p w14:paraId="0CDA2A4A"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Finance and borrowing costs</w:t>
            </w:r>
          </w:p>
        </w:tc>
        <w:tc>
          <w:tcPr>
            <w:tcW w:w="1315" w:type="dxa"/>
            <w:tcBorders>
              <w:top w:val="nil"/>
              <w:left w:val="nil"/>
              <w:bottom w:val="nil"/>
              <w:right w:val="nil"/>
            </w:tcBorders>
            <w:shd w:val="clear" w:color="auto" w:fill="auto"/>
            <w:noWrap/>
            <w:vAlign w:val="center"/>
            <w:hideMark/>
          </w:tcPr>
          <w:p w14:paraId="28951919"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2 </w:t>
            </w:r>
          </w:p>
        </w:tc>
        <w:tc>
          <w:tcPr>
            <w:tcW w:w="198" w:type="dxa"/>
            <w:tcBorders>
              <w:top w:val="nil"/>
              <w:left w:val="nil"/>
              <w:bottom w:val="nil"/>
              <w:right w:val="nil"/>
            </w:tcBorders>
            <w:shd w:val="clear" w:color="auto" w:fill="auto"/>
            <w:noWrap/>
            <w:vAlign w:val="center"/>
            <w:hideMark/>
          </w:tcPr>
          <w:p w14:paraId="7AF0A11B"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7C617E85"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22,530 </w:t>
            </w:r>
          </w:p>
        </w:tc>
        <w:tc>
          <w:tcPr>
            <w:tcW w:w="198" w:type="dxa"/>
            <w:tcBorders>
              <w:top w:val="nil"/>
              <w:left w:val="nil"/>
              <w:bottom w:val="nil"/>
              <w:right w:val="nil"/>
            </w:tcBorders>
            <w:shd w:val="clear" w:color="auto" w:fill="auto"/>
            <w:noWrap/>
            <w:vAlign w:val="center"/>
            <w:hideMark/>
          </w:tcPr>
          <w:p w14:paraId="433F9BF1"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7A4E4E7B"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4 </w:t>
            </w:r>
          </w:p>
        </w:tc>
        <w:tc>
          <w:tcPr>
            <w:tcW w:w="198" w:type="dxa"/>
            <w:tcBorders>
              <w:top w:val="nil"/>
              <w:left w:val="nil"/>
              <w:bottom w:val="nil"/>
              <w:right w:val="nil"/>
            </w:tcBorders>
            <w:shd w:val="clear" w:color="auto" w:fill="auto"/>
            <w:noWrap/>
            <w:vAlign w:val="center"/>
            <w:hideMark/>
          </w:tcPr>
          <w:p w14:paraId="2925AE09"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259251BC"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4 </w:t>
            </w:r>
          </w:p>
        </w:tc>
        <w:tc>
          <w:tcPr>
            <w:tcW w:w="198" w:type="dxa"/>
            <w:tcBorders>
              <w:top w:val="nil"/>
              <w:left w:val="nil"/>
              <w:bottom w:val="nil"/>
              <w:right w:val="nil"/>
            </w:tcBorders>
            <w:shd w:val="clear" w:color="auto" w:fill="auto"/>
            <w:noWrap/>
            <w:vAlign w:val="center"/>
            <w:hideMark/>
          </w:tcPr>
          <w:p w14:paraId="79565131"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7F75B1F8"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57,476 </w:t>
            </w:r>
          </w:p>
        </w:tc>
        <w:tc>
          <w:tcPr>
            <w:tcW w:w="198" w:type="dxa"/>
            <w:tcBorders>
              <w:top w:val="nil"/>
              <w:left w:val="nil"/>
              <w:bottom w:val="nil"/>
              <w:right w:val="nil"/>
            </w:tcBorders>
            <w:shd w:val="clear" w:color="auto" w:fill="auto"/>
            <w:noWrap/>
            <w:vAlign w:val="center"/>
            <w:hideMark/>
          </w:tcPr>
          <w:p w14:paraId="613969F5"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72A2C760"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1,190 </w:t>
            </w:r>
          </w:p>
        </w:tc>
        <w:tc>
          <w:tcPr>
            <w:tcW w:w="198" w:type="dxa"/>
            <w:tcBorders>
              <w:top w:val="nil"/>
              <w:left w:val="nil"/>
              <w:bottom w:val="nil"/>
              <w:right w:val="nil"/>
            </w:tcBorders>
            <w:shd w:val="clear" w:color="auto" w:fill="auto"/>
            <w:noWrap/>
            <w:vAlign w:val="center"/>
            <w:hideMark/>
          </w:tcPr>
          <w:p w14:paraId="69C792E0"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285A95E2"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(1,235)</w:t>
            </w:r>
          </w:p>
        </w:tc>
        <w:tc>
          <w:tcPr>
            <w:tcW w:w="198" w:type="dxa"/>
            <w:tcBorders>
              <w:top w:val="nil"/>
              <w:left w:val="nil"/>
              <w:bottom w:val="nil"/>
              <w:right w:val="nil"/>
            </w:tcBorders>
            <w:shd w:val="clear" w:color="auto" w:fill="auto"/>
            <w:noWrap/>
            <w:vAlign w:val="center"/>
            <w:hideMark/>
          </w:tcPr>
          <w:p w14:paraId="3634D844"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24598863"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79,971 </w:t>
            </w:r>
          </w:p>
        </w:tc>
      </w:tr>
      <w:tr w:rsidR="00BC5219" w:rsidRPr="008A2B8F" w14:paraId="230DCCC1" w14:textId="77777777" w:rsidTr="00E83802">
        <w:trPr>
          <w:trHeight w:val="198"/>
        </w:trPr>
        <w:tc>
          <w:tcPr>
            <w:tcW w:w="454" w:type="dxa"/>
            <w:tcBorders>
              <w:top w:val="nil"/>
              <w:left w:val="nil"/>
              <w:bottom w:val="nil"/>
              <w:right w:val="nil"/>
            </w:tcBorders>
            <w:shd w:val="clear" w:color="auto" w:fill="auto"/>
            <w:noWrap/>
            <w:vAlign w:val="center"/>
            <w:hideMark/>
          </w:tcPr>
          <w:p w14:paraId="2BA5EE7C" w14:textId="77777777" w:rsidR="00BC5219" w:rsidRPr="008A2B8F" w:rsidRDefault="00BC5219" w:rsidP="00E83802">
            <w:pPr>
              <w:jc w:val="right"/>
              <w:rPr>
                <w:rFonts w:ascii="Meta Pro" w:eastAsia="Times New Roman" w:hAnsi="Meta Pro"/>
                <w:b/>
                <w:bCs/>
                <w:sz w:val="16"/>
                <w:szCs w:val="16"/>
                <w:lang w:eastAsia="en-AU"/>
              </w:rPr>
            </w:pPr>
          </w:p>
        </w:tc>
        <w:tc>
          <w:tcPr>
            <w:tcW w:w="4077" w:type="dxa"/>
            <w:tcBorders>
              <w:top w:val="nil"/>
              <w:left w:val="nil"/>
              <w:bottom w:val="nil"/>
              <w:right w:val="nil"/>
            </w:tcBorders>
            <w:shd w:val="clear" w:color="auto" w:fill="auto"/>
            <w:noWrap/>
            <w:vAlign w:val="center"/>
            <w:hideMark/>
          </w:tcPr>
          <w:p w14:paraId="17BAD022"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 xml:space="preserve">Depreciation and amortisation </w:t>
            </w:r>
          </w:p>
        </w:tc>
        <w:tc>
          <w:tcPr>
            <w:tcW w:w="1315" w:type="dxa"/>
            <w:tcBorders>
              <w:top w:val="nil"/>
              <w:left w:val="nil"/>
              <w:bottom w:val="nil"/>
              <w:right w:val="nil"/>
            </w:tcBorders>
            <w:shd w:val="clear" w:color="auto" w:fill="auto"/>
            <w:noWrap/>
            <w:vAlign w:val="center"/>
            <w:hideMark/>
          </w:tcPr>
          <w:p w14:paraId="74CF6DF5"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4,657 </w:t>
            </w:r>
          </w:p>
        </w:tc>
        <w:tc>
          <w:tcPr>
            <w:tcW w:w="198" w:type="dxa"/>
            <w:tcBorders>
              <w:top w:val="nil"/>
              <w:left w:val="nil"/>
              <w:bottom w:val="nil"/>
              <w:right w:val="nil"/>
            </w:tcBorders>
            <w:shd w:val="clear" w:color="auto" w:fill="auto"/>
            <w:noWrap/>
            <w:vAlign w:val="center"/>
            <w:hideMark/>
          </w:tcPr>
          <w:p w14:paraId="54BA4664"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092B43DF"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1,229,336 </w:t>
            </w:r>
          </w:p>
        </w:tc>
        <w:tc>
          <w:tcPr>
            <w:tcW w:w="198" w:type="dxa"/>
            <w:tcBorders>
              <w:top w:val="nil"/>
              <w:left w:val="nil"/>
              <w:bottom w:val="nil"/>
              <w:right w:val="nil"/>
            </w:tcBorders>
            <w:shd w:val="clear" w:color="auto" w:fill="auto"/>
            <w:noWrap/>
            <w:vAlign w:val="center"/>
            <w:hideMark/>
          </w:tcPr>
          <w:p w14:paraId="5BD777CF"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741C2A12"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12,189 </w:t>
            </w:r>
          </w:p>
        </w:tc>
        <w:tc>
          <w:tcPr>
            <w:tcW w:w="198" w:type="dxa"/>
            <w:tcBorders>
              <w:top w:val="nil"/>
              <w:left w:val="nil"/>
              <w:bottom w:val="nil"/>
              <w:right w:val="nil"/>
            </w:tcBorders>
            <w:shd w:val="clear" w:color="auto" w:fill="auto"/>
            <w:noWrap/>
            <w:vAlign w:val="center"/>
            <w:hideMark/>
          </w:tcPr>
          <w:p w14:paraId="7786E7A0"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0D70E555"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5,051 </w:t>
            </w:r>
          </w:p>
        </w:tc>
        <w:tc>
          <w:tcPr>
            <w:tcW w:w="198" w:type="dxa"/>
            <w:tcBorders>
              <w:top w:val="nil"/>
              <w:left w:val="nil"/>
              <w:bottom w:val="nil"/>
              <w:right w:val="nil"/>
            </w:tcBorders>
            <w:shd w:val="clear" w:color="auto" w:fill="auto"/>
            <w:noWrap/>
            <w:vAlign w:val="center"/>
            <w:hideMark/>
          </w:tcPr>
          <w:p w14:paraId="3F1A9943"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7A767FB2"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93,662 </w:t>
            </w:r>
          </w:p>
        </w:tc>
        <w:tc>
          <w:tcPr>
            <w:tcW w:w="198" w:type="dxa"/>
            <w:tcBorders>
              <w:top w:val="nil"/>
              <w:left w:val="nil"/>
              <w:bottom w:val="nil"/>
              <w:right w:val="nil"/>
            </w:tcBorders>
            <w:shd w:val="clear" w:color="auto" w:fill="auto"/>
            <w:noWrap/>
            <w:vAlign w:val="center"/>
            <w:hideMark/>
          </w:tcPr>
          <w:p w14:paraId="2F0DC022"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3D90A48E"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10,784 </w:t>
            </w:r>
          </w:p>
        </w:tc>
        <w:tc>
          <w:tcPr>
            <w:tcW w:w="198" w:type="dxa"/>
            <w:tcBorders>
              <w:top w:val="nil"/>
              <w:left w:val="nil"/>
              <w:bottom w:val="nil"/>
              <w:right w:val="nil"/>
            </w:tcBorders>
            <w:shd w:val="clear" w:color="auto" w:fill="auto"/>
            <w:noWrap/>
            <w:vAlign w:val="center"/>
            <w:hideMark/>
          </w:tcPr>
          <w:p w14:paraId="7105AB02"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017E5A40"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6758F9BA"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5B71426A"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1,355,679 </w:t>
            </w:r>
          </w:p>
        </w:tc>
      </w:tr>
      <w:tr w:rsidR="00BC5219" w:rsidRPr="008A2B8F" w14:paraId="4AA9229F" w14:textId="77777777" w:rsidTr="00E83802">
        <w:trPr>
          <w:trHeight w:val="198"/>
        </w:trPr>
        <w:tc>
          <w:tcPr>
            <w:tcW w:w="454" w:type="dxa"/>
            <w:tcBorders>
              <w:top w:val="nil"/>
              <w:left w:val="nil"/>
              <w:bottom w:val="nil"/>
              <w:right w:val="nil"/>
            </w:tcBorders>
            <w:shd w:val="clear" w:color="auto" w:fill="auto"/>
            <w:noWrap/>
            <w:vAlign w:val="center"/>
            <w:hideMark/>
          </w:tcPr>
          <w:p w14:paraId="6374BF55" w14:textId="77777777" w:rsidR="00BC5219" w:rsidRPr="008A2B8F" w:rsidRDefault="00BC5219" w:rsidP="00E83802">
            <w:pPr>
              <w:jc w:val="right"/>
              <w:rPr>
                <w:rFonts w:ascii="Meta Pro" w:eastAsia="Times New Roman" w:hAnsi="Meta Pro"/>
                <w:b/>
                <w:bCs/>
                <w:sz w:val="16"/>
                <w:szCs w:val="16"/>
                <w:lang w:eastAsia="en-AU"/>
              </w:rPr>
            </w:pPr>
          </w:p>
        </w:tc>
        <w:tc>
          <w:tcPr>
            <w:tcW w:w="4077" w:type="dxa"/>
            <w:tcBorders>
              <w:top w:val="nil"/>
              <w:left w:val="nil"/>
              <w:bottom w:val="nil"/>
              <w:right w:val="nil"/>
            </w:tcBorders>
            <w:shd w:val="clear" w:color="auto" w:fill="auto"/>
            <w:noWrap/>
            <w:vAlign w:val="center"/>
            <w:hideMark/>
          </w:tcPr>
          <w:p w14:paraId="10DD1B10"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Impairment losses/(reversals)</w:t>
            </w:r>
          </w:p>
        </w:tc>
        <w:tc>
          <w:tcPr>
            <w:tcW w:w="1315" w:type="dxa"/>
            <w:tcBorders>
              <w:top w:val="nil"/>
              <w:left w:val="nil"/>
              <w:bottom w:val="nil"/>
              <w:right w:val="nil"/>
            </w:tcBorders>
            <w:shd w:val="clear" w:color="auto" w:fill="auto"/>
            <w:noWrap/>
            <w:vAlign w:val="center"/>
            <w:hideMark/>
          </w:tcPr>
          <w:p w14:paraId="0D63FFF8"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36 </w:t>
            </w:r>
          </w:p>
        </w:tc>
        <w:tc>
          <w:tcPr>
            <w:tcW w:w="198" w:type="dxa"/>
            <w:tcBorders>
              <w:top w:val="nil"/>
              <w:left w:val="nil"/>
              <w:bottom w:val="nil"/>
              <w:right w:val="nil"/>
            </w:tcBorders>
            <w:shd w:val="clear" w:color="auto" w:fill="auto"/>
            <w:noWrap/>
            <w:vAlign w:val="center"/>
            <w:hideMark/>
          </w:tcPr>
          <w:p w14:paraId="505F87B0"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7BE5466C"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1,738 </w:t>
            </w:r>
          </w:p>
        </w:tc>
        <w:tc>
          <w:tcPr>
            <w:tcW w:w="198" w:type="dxa"/>
            <w:tcBorders>
              <w:top w:val="nil"/>
              <w:left w:val="nil"/>
              <w:bottom w:val="nil"/>
              <w:right w:val="nil"/>
            </w:tcBorders>
            <w:shd w:val="clear" w:color="auto" w:fill="auto"/>
            <w:noWrap/>
            <w:vAlign w:val="center"/>
            <w:hideMark/>
          </w:tcPr>
          <w:p w14:paraId="25CB951F"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0E2491B8"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(674)</w:t>
            </w:r>
          </w:p>
        </w:tc>
        <w:tc>
          <w:tcPr>
            <w:tcW w:w="198" w:type="dxa"/>
            <w:tcBorders>
              <w:top w:val="nil"/>
              <w:left w:val="nil"/>
              <w:bottom w:val="nil"/>
              <w:right w:val="nil"/>
            </w:tcBorders>
            <w:shd w:val="clear" w:color="auto" w:fill="auto"/>
            <w:noWrap/>
            <w:vAlign w:val="center"/>
            <w:hideMark/>
          </w:tcPr>
          <w:p w14:paraId="2BF6EFF3"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3B600848"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(30)</w:t>
            </w:r>
          </w:p>
        </w:tc>
        <w:tc>
          <w:tcPr>
            <w:tcW w:w="198" w:type="dxa"/>
            <w:tcBorders>
              <w:top w:val="nil"/>
              <w:left w:val="nil"/>
              <w:bottom w:val="nil"/>
              <w:right w:val="nil"/>
            </w:tcBorders>
            <w:shd w:val="clear" w:color="auto" w:fill="auto"/>
            <w:noWrap/>
            <w:vAlign w:val="center"/>
            <w:hideMark/>
          </w:tcPr>
          <w:p w14:paraId="6E2A852D"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7043F313"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126 </w:t>
            </w:r>
          </w:p>
        </w:tc>
        <w:tc>
          <w:tcPr>
            <w:tcW w:w="198" w:type="dxa"/>
            <w:tcBorders>
              <w:top w:val="nil"/>
              <w:left w:val="nil"/>
              <w:bottom w:val="nil"/>
              <w:right w:val="nil"/>
            </w:tcBorders>
            <w:shd w:val="clear" w:color="auto" w:fill="auto"/>
            <w:noWrap/>
            <w:vAlign w:val="center"/>
            <w:hideMark/>
          </w:tcPr>
          <w:p w14:paraId="79D1171C"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65708D13"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(34)</w:t>
            </w:r>
          </w:p>
        </w:tc>
        <w:tc>
          <w:tcPr>
            <w:tcW w:w="198" w:type="dxa"/>
            <w:tcBorders>
              <w:top w:val="nil"/>
              <w:left w:val="nil"/>
              <w:bottom w:val="nil"/>
              <w:right w:val="nil"/>
            </w:tcBorders>
            <w:shd w:val="clear" w:color="auto" w:fill="auto"/>
            <w:noWrap/>
            <w:vAlign w:val="center"/>
            <w:hideMark/>
          </w:tcPr>
          <w:p w14:paraId="29E0EE24"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351CA58F"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2708278E" w14:textId="77777777" w:rsidR="00BC5219" w:rsidRPr="008A2B8F" w:rsidRDefault="00BC5219" w:rsidP="00E83802">
            <w:pPr>
              <w:jc w:val="right"/>
              <w:rPr>
                <w:rFonts w:ascii="Meta Pro" w:eastAsia="Times New Roman" w:hAnsi="Meta Pro"/>
                <w:sz w:val="16"/>
                <w:szCs w:val="16"/>
                <w:lang w:eastAsia="en-AU"/>
              </w:rPr>
            </w:pPr>
          </w:p>
        </w:tc>
        <w:tc>
          <w:tcPr>
            <w:tcW w:w="1315" w:type="dxa"/>
            <w:tcBorders>
              <w:top w:val="nil"/>
              <w:left w:val="nil"/>
              <w:bottom w:val="nil"/>
              <w:right w:val="nil"/>
            </w:tcBorders>
            <w:shd w:val="clear" w:color="auto" w:fill="auto"/>
            <w:noWrap/>
            <w:vAlign w:val="center"/>
            <w:hideMark/>
          </w:tcPr>
          <w:p w14:paraId="7EE24CCC"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1,162 </w:t>
            </w:r>
          </w:p>
        </w:tc>
      </w:tr>
      <w:tr w:rsidR="00BC5219" w:rsidRPr="008A2B8F" w14:paraId="6D364C54" w14:textId="77777777" w:rsidTr="00E83802">
        <w:trPr>
          <w:trHeight w:val="198"/>
        </w:trPr>
        <w:tc>
          <w:tcPr>
            <w:tcW w:w="454" w:type="dxa"/>
            <w:tcBorders>
              <w:top w:val="nil"/>
              <w:left w:val="nil"/>
              <w:bottom w:val="single" w:sz="4" w:space="0" w:color="auto"/>
              <w:right w:val="nil"/>
            </w:tcBorders>
            <w:shd w:val="clear" w:color="auto" w:fill="auto"/>
            <w:noWrap/>
            <w:vAlign w:val="center"/>
            <w:hideMark/>
          </w:tcPr>
          <w:p w14:paraId="55A218FC"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4077" w:type="dxa"/>
            <w:tcBorders>
              <w:top w:val="nil"/>
              <w:left w:val="nil"/>
              <w:bottom w:val="nil"/>
              <w:right w:val="nil"/>
            </w:tcBorders>
            <w:shd w:val="clear" w:color="auto" w:fill="auto"/>
            <w:noWrap/>
            <w:vAlign w:val="center"/>
            <w:hideMark/>
          </w:tcPr>
          <w:p w14:paraId="46A5529D"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Other expenses</w:t>
            </w:r>
          </w:p>
        </w:tc>
        <w:tc>
          <w:tcPr>
            <w:tcW w:w="1315" w:type="dxa"/>
            <w:tcBorders>
              <w:top w:val="nil"/>
              <w:left w:val="nil"/>
              <w:bottom w:val="single" w:sz="4" w:space="0" w:color="auto"/>
              <w:right w:val="nil"/>
            </w:tcBorders>
            <w:shd w:val="clear" w:color="auto" w:fill="auto"/>
            <w:noWrap/>
            <w:vAlign w:val="center"/>
            <w:hideMark/>
          </w:tcPr>
          <w:p w14:paraId="4F5F2D6C"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7,953 </w:t>
            </w:r>
          </w:p>
        </w:tc>
        <w:tc>
          <w:tcPr>
            <w:tcW w:w="198" w:type="dxa"/>
            <w:tcBorders>
              <w:top w:val="nil"/>
              <w:left w:val="nil"/>
              <w:bottom w:val="single" w:sz="4" w:space="0" w:color="auto"/>
              <w:right w:val="nil"/>
            </w:tcBorders>
            <w:shd w:val="clear" w:color="auto" w:fill="auto"/>
            <w:noWrap/>
            <w:vAlign w:val="center"/>
            <w:hideMark/>
          </w:tcPr>
          <w:p w14:paraId="115E60A7"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1315" w:type="dxa"/>
            <w:tcBorders>
              <w:top w:val="nil"/>
              <w:left w:val="nil"/>
              <w:bottom w:val="single" w:sz="4" w:space="0" w:color="auto"/>
              <w:right w:val="nil"/>
            </w:tcBorders>
            <w:shd w:val="clear" w:color="auto" w:fill="auto"/>
            <w:noWrap/>
            <w:vAlign w:val="center"/>
            <w:hideMark/>
          </w:tcPr>
          <w:p w14:paraId="6CAEA707"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13,377 </w:t>
            </w:r>
          </w:p>
        </w:tc>
        <w:tc>
          <w:tcPr>
            <w:tcW w:w="198" w:type="dxa"/>
            <w:tcBorders>
              <w:top w:val="nil"/>
              <w:left w:val="nil"/>
              <w:bottom w:val="single" w:sz="4" w:space="0" w:color="auto"/>
              <w:right w:val="nil"/>
            </w:tcBorders>
            <w:shd w:val="clear" w:color="auto" w:fill="auto"/>
            <w:noWrap/>
            <w:vAlign w:val="center"/>
            <w:hideMark/>
          </w:tcPr>
          <w:p w14:paraId="034AB8E0"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1315" w:type="dxa"/>
            <w:tcBorders>
              <w:top w:val="nil"/>
              <w:left w:val="nil"/>
              <w:bottom w:val="single" w:sz="4" w:space="0" w:color="auto"/>
              <w:right w:val="nil"/>
            </w:tcBorders>
            <w:shd w:val="clear" w:color="auto" w:fill="auto"/>
            <w:noWrap/>
            <w:vAlign w:val="center"/>
            <w:hideMark/>
          </w:tcPr>
          <w:p w14:paraId="64A30A44"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2,658 </w:t>
            </w:r>
          </w:p>
        </w:tc>
        <w:tc>
          <w:tcPr>
            <w:tcW w:w="198" w:type="dxa"/>
            <w:tcBorders>
              <w:top w:val="nil"/>
              <w:left w:val="nil"/>
              <w:bottom w:val="single" w:sz="4" w:space="0" w:color="auto"/>
              <w:right w:val="nil"/>
            </w:tcBorders>
            <w:shd w:val="clear" w:color="auto" w:fill="auto"/>
            <w:noWrap/>
            <w:vAlign w:val="center"/>
            <w:hideMark/>
          </w:tcPr>
          <w:p w14:paraId="5DCDC8F1"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1315" w:type="dxa"/>
            <w:tcBorders>
              <w:top w:val="nil"/>
              <w:left w:val="nil"/>
              <w:bottom w:val="single" w:sz="4" w:space="0" w:color="auto"/>
              <w:right w:val="nil"/>
            </w:tcBorders>
            <w:shd w:val="clear" w:color="auto" w:fill="auto"/>
            <w:noWrap/>
            <w:vAlign w:val="center"/>
            <w:hideMark/>
          </w:tcPr>
          <w:p w14:paraId="3AA2A828"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613 </w:t>
            </w:r>
          </w:p>
        </w:tc>
        <w:tc>
          <w:tcPr>
            <w:tcW w:w="198" w:type="dxa"/>
            <w:tcBorders>
              <w:top w:val="nil"/>
              <w:left w:val="nil"/>
              <w:bottom w:val="single" w:sz="4" w:space="0" w:color="auto"/>
              <w:right w:val="nil"/>
            </w:tcBorders>
            <w:shd w:val="clear" w:color="auto" w:fill="auto"/>
            <w:noWrap/>
            <w:vAlign w:val="center"/>
            <w:hideMark/>
          </w:tcPr>
          <w:p w14:paraId="0D19E1DF"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1315" w:type="dxa"/>
            <w:tcBorders>
              <w:top w:val="nil"/>
              <w:left w:val="nil"/>
              <w:bottom w:val="single" w:sz="4" w:space="0" w:color="auto"/>
              <w:right w:val="nil"/>
            </w:tcBorders>
            <w:shd w:val="clear" w:color="auto" w:fill="auto"/>
            <w:noWrap/>
            <w:vAlign w:val="center"/>
            <w:hideMark/>
          </w:tcPr>
          <w:p w14:paraId="34FAEB99"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2,244 </w:t>
            </w:r>
          </w:p>
        </w:tc>
        <w:tc>
          <w:tcPr>
            <w:tcW w:w="198" w:type="dxa"/>
            <w:tcBorders>
              <w:top w:val="nil"/>
              <w:left w:val="nil"/>
              <w:bottom w:val="single" w:sz="4" w:space="0" w:color="auto"/>
              <w:right w:val="nil"/>
            </w:tcBorders>
            <w:shd w:val="clear" w:color="auto" w:fill="auto"/>
            <w:noWrap/>
            <w:vAlign w:val="center"/>
            <w:hideMark/>
          </w:tcPr>
          <w:p w14:paraId="192D2048"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1315" w:type="dxa"/>
            <w:tcBorders>
              <w:top w:val="nil"/>
              <w:left w:val="nil"/>
              <w:bottom w:val="single" w:sz="4" w:space="0" w:color="auto"/>
              <w:right w:val="nil"/>
            </w:tcBorders>
            <w:shd w:val="clear" w:color="auto" w:fill="auto"/>
            <w:noWrap/>
            <w:vAlign w:val="center"/>
            <w:hideMark/>
          </w:tcPr>
          <w:p w14:paraId="733C1982"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33,482 </w:t>
            </w:r>
          </w:p>
        </w:tc>
        <w:tc>
          <w:tcPr>
            <w:tcW w:w="198" w:type="dxa"/>
            <w:tcBorders>
              <w:top w:val="nil"/>
              <w:left w:val="nil"/>
              <w:bottom w:val="single" w:sz="4" w:space="0" w:color="auto"/>
              <w:right w:val="nil"/>
            </w:tcBorders>
            <w:shd w:val="clear" w:color="auto" w:fill="auto"/>
            <w:noWrap/>
            <w:vAlign w:val="center"/>
            <w:hideMark/>
          </w:tcPr>
          <w:p w14:paraId="63AB88A2"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1315" w:type="dxa"/>
            <w:tcBorders>
              <w:top w:val="nil"/>
              <w:left w:val="nil"/>
              <w:bottom w:val="single" w:sz="4" w:space="0" w:color="auto"/>
              <w:right w:val="nil"/>
            </w:tcBorders>
            <w:shd w:val="clear" w:color="auto" w:fill="auto"/>
            <w:noWrap/>
            <w:vAlign w:val="center"/>
            <w:hideMark/>
          </w:tcPr>
          <w:p w14:paraId="46A5AB28"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(32,196)</w:t>
            </w:r>
          </w:p>
        </w:tc>
        <w:tc>
          <w:tcPr>
            <w:tcW w:w="198" w:type="dxa"/>
            <w:tcBorders>
              <w:top w:val="nil"/>
              <w:left w:val="nil"/>
              <w:bottom w:val="single" w:sz="4" w:space="0" w:color="auto"/>
              <w:right w:val="nil"/>
            </w:tcBorders>
            <w:shd w:val="clear" w:color="auto" w:fill="auto"/>
            <w:noWrap/>
            <w:vAlign w:val="center"/>
            <w:hideMark/>
          </w:tcPr>
          <w:p w14:paraId="5CA4047B"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1315" w:type="dxa"/>
            <w:tcBorders>
              <w:top w:val="nil"/>
              <w:left w:val="nil"/>
              <w:bottom w:val="nil"/>
              <w:right w:val="nil"/>
            </w:tcBorders>
            <w:shd w:val="clear" w:color="auto" w:fill="auto"/>
            <w:noWrap/>
            <w:vAlign w:val="center"/>
            <w:hideMark/>
          </w:tcPr>
          <w:p w14:paraId="1B4CD28E"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28,131 </w:t>
            </w:r>
          </w:p>
        </w:tc>
      </w:tr>
      <w:tr w:rsidR="00BC5219" w:rsidRPr="008A2B8F" w14:paraId="11274D68" w14:textId="77777777" w:rsidTr="00E83802">
        <w:trPr>
          <w:trHeight w:val="198"/>
        </w:trPr>
        <w:tc>
          <w:tcPr>
            <w:tcW w:w="454" w:type="dxa"/>
            <w:tcBorders>
              <w:top w:val="nil"/>
              <w:left w:val="nil"/>
              <w:bottom w:val="nil"/>
              <w:right w:val="nil"/>
            </w:tcBorders>
            <w:shd w:val="clear" w:color="auto" w:fill="auto"/>
            <w:noWrap/>
            <w:vAlign w:val="center"/>
            <w:hideMark/>
          </w:tcPr>
          <w:p w14:paraId="571B1BF0" w14:textId="77777777" w:rsidR="00BC5219" w:rsidRPr="008A2B8F" w:rsidRDefault="00BC5219" w:rsidP="00E83802">
            <w:pPr>
              <w:jc w:val="right"/>
              <w:rPr>
                <w:rFonts w:ascii="Meta Pro" w:eastAsia="Times New Roman" w:hAnsi="Meta Pro"/>
                <w:b/>
                <w:bCs/>
                <w:sz w:val="16"/>
                <w:szCs w:val="16"/>
                <w:lang w:eastAsia="en-AU"/>
              </w:rPr>
            </w:pPr>
          </w:p>
        </w:tc>
        <w:tc>
          <w:tcPr>
            <w:tcW w:w="4077" w:type="dxa"/>
            <w:tcBorders>
              <w:top w:val="single" w:sz="4" w:space="0" w:color="auto"/>
              <w:left w:val="nil"/>
              <w:bottom w:val="nil"/>
              <w:right w:val="nil"/>
            </w:tcBorders>
            <w:shd w:val="clear" w:color="auto" w:fill="auto"/>
            <w:vAlign w:val="center"/>
            <w:hideMark/>
          </w:tcPr>
          <w:p w14:paraId="460BB5E8" w14:textId="77777777" w:rsidR="00BC5219" w:rsidRPr="008A2B8F" w:rsidRDefault="00BC5219" w:rsidP="00E83802">
            <w:pPr>
              <w:rPr>
                <w:rFonts w:ascii="Meta Pro" w:eastAsia="Times New Roman" w:hAnsi="Meta Pro"/>
                <w:b/>
                <w:bCs/>
                <w:sz w:val="16"/>
                <w:szCs w:val="16"/>
                <w:lang w:eastAsia="en-AU"/>
              </w:rPr>
            </w:pPr>
            <w:r w:rsidRPr="008A2B8F">
              <w:rPr>
                <w:rFonts w:ascii="Meta Pro" w:eastAsia="Times New Roman" w:hAnsi="Meta Pro"/>
                <w:b/>
                <w:bCs/>
                <w:sz w:val="16"/>
                <w:szCs w:val="16"/>
                <w:lang w:eastAsia="en-AU"/>
              </w:rPr>
              <w:t>Total expenses</w:t>
            </w:r>
          </w:p>
        </w:tc>
        <w:tc>
          <w:tcPr>
            <w:tcW w:w="1315" w:type="dxa"/>
            <w:tcBorders>
              <w:top w:val="nil"/>
              <w:left w:val="nil"/>
              <w:bottom w:val="nil"/>
              <w:right w:val="nil"/>
            </w:tcBorders>
            <w:shd w:val="clear" w:color="auto" w:fill="auto"/>
            <w:noWrap/>
            <w:vAlign w:val="center"/>
            <w:hideMark/>
          </w:tcPr>
          <w:p w14:paraId="4A4E5874"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143,084 </w:t>
            </w:r>
          </w:p>
        </w:tc>
        <w:tc>
          <w:tcPr>
            <w:tcW w:w="198" w:type="dxa"/>
            <w:tcBorders>
              <w:top w:val="nil"/>
              <w:left w:val="nil"/>
              <w:bottom w:val="nil"/>
              <w:right w:val="nil"/>
            </w:tcBorders>
            <w:shd w:val="clear" w:color="auto" w:fill="auto"/>
            <w:noWrap/>
            <w:vAlign w:val="center"/>
            <w:hideMark/>
          </w:tcPr>
          <w:p w14:paraId="3AA42572" w14:textId="77777777" w:rsidR="00BC5219" w:rsidRPr="008A2B8F" w:rsidRDefault="00BC5219" w:rsidP="00E83802">
            <w:pPr>
              <w:jc w:val="right"/>
              <w:rPr>
                <w:rFonts w:ascii="Meta Pro" w:eastAsia="Times New Roman" w:hAnsi="Meta Pro"/>
                <w:b/>
                <w:bCs/>
                <w:sz w:val="16"/>
                <w:szCs w:val="16"/>
                <w:lang w:eastAsia="en-AU"/>
              </w:rPr>
            </w:pPr>
          </w:p>
        </w:tc>
        <w:tc>
          <w:tcPr>
            <w:tcW w:w="1315" w:type="dxa"/>
            <w:tcBorders>
              <w:top w:val="nil"/>
              <w:left w:val="nil"/>
              <w:bottom w:val="nil"/>
              <w:right w:val="nil"/>
            </w:tcBorders>
            <w:shd w:val="clear" w:color="auto" w:fill="auto"/>
            <w:noWrap/>
            <w:vAlign w:val="center"/>
            <w:hideMark/>
          </w:tcPr>
          <w:p w14:paraId="463D4EF2"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2,886,227 </w:t>
            </w:r>
          </w:p>
        </w:tc>
        <w:tc>
          <w:tcPr>
            <w:tcW w:w="198" w:type="dxa"/>
            <w:tcBorders>
              <w:top w:val="nil"/>
              <w:left w:val="nil"/>
              <w:bottom w:val="nil"/>
              <w:right w:val="nil"/>
            </w:tcBorders>
            <w:shd w:val="clear" w:color="auto" w:fill="auto"/>
            <w:noWrap/>
            <w:vAlign w:val="center"/>
            <w:hideMark/>
          </w:tcPr>
          <w:p w14:paraId="390A6D29" w14:textId="77777777" w:rsidR="00BC5219" w:rsidRPr="008A2B8F" w:rsidRDefault="00BC5219" w:rsidP="00E83802">
            <w:pPr>
              <w:jc w:val="right"/>
              <w:rPr>
                <w:rFonts w:ascii="Meta Pro" w:eastAsia="Times New Roman" w:hAnsi="Meta Pro"/>
                <w:b/>
                <w:bCs/>
                <w:sz w:val="16"/>
                <w:szCs w:val="16"/>
                <w:lang w:eastAsia="en-AU"/>
              </w:rPr>
            </w:pPr>
          </w:p>
        </w:tc>
        <w:tc>
          <w:tcPr>
            <w:tcW w:w="1315" w:type="dxa"/>
            <w:tcBorders>
              <w:top w:val="nil"/>
              <w:left w:val="nil"/>
              <w:bottom w:val="nil"/>
              <w:right w:val="nil"/>
            </w:tcBorders>
            <w:shd w:val="clear" w:color="auto" w:fill="auto"/>
            <w:noWrap/>
            <w:vAlign w:val="center"/>
            <w:hideMark/>
          </w:tcPr>
          <w:p w14:paraId="600A902A"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314,072 </w:t>
            </w:r>
          </w:p>
        </w:tc>
        <w:tc>
          <w:tcPr>
            <w:tcW w:w="198" w:type="dxa"/>
            <w:tcBorders>
              <w:top w:val="nil"/>
              <w:left w:val="nil"/>
              <w:bottom w:val="nil"/>
              <w:right w:val="nil"/>
            </w:tcBorders>
            <w:shd w:val="clear" w:color="auto" w:fill="auto"/>
            <w:noWrap/>
            <w:vAlign w:val="center"/>
            <w:hideMark/>
          </w:tcPr>
          <w:p w14:paraId="10498609" w14:textId="77777777" w:rsidR="00BC5219" w:rsidRPr="008A2B8F" w:rsidRDefault="00BC5219" w:rsidP="00E83802">
            <w:pPr>
              <w:jc w:val="right"/>
              <w:rPr>
                <w:rFonts w:ascii="Meta Pro" w:eastAsia="Times New Roman" w:hAnsi="Meta Pro"/>
                <w:b/>
                <w:bCs/>
                <w:sz w:val="16"/>
                <w:szCs w:val="16"/>
                <w:lang w:eastAsia="en-AU"/>
              </w:rPr>
            </w:pPr>
          </w:p>
        </w:tc>
        <w:tc>
          <w:tcPr>
            <w:tcW w:w="1315" w:type="dxa"/>
            <w:tcBorders>
              <w:top w:val="nil"/>
              <w:left w:val="nil"/>
              <w:bottom w:val="nil"/>
              <w:right w:val="nil"/>
            </w:tcBorders>
            <w:shd w:val="clear" w:color="auto" w:fill="auto"/>
            <w:noWrap/>
            <w:vAlign w:val="center"/>
            <w:hideMark/>
          </w:tcPr>
          <w:p w14:paraId="6FA7B486"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350,526 </w:t>
            </w:r>
          </w:p>
        </w:tc>
        <w:tc>
          <w:tcPr>
            <w:tcW w:w="198" w:type="dxa"/>
            <w:tcBorders>
              <w:top w:val="nil"/>
              <w:left w:val="nil"/>
              <w:bottom w:val="nil"/>
              <w:right w:val="nil"/>
            </w:tcBorders>
            <w:shd w:val="clear" w:color="auto" w:fill="auto"/>
            <w:noWrap/>
            <w:vAlign w:val="center"/>
            <w:hideMark/>
          </w:tcPr>
          <w:p w14:paraId="0FC56DCC" w14:textId="77777777" w:rsidR="00BC5219" w:rsidRPr="008A2B8F" w:rsidRDefault="00BC5219" w:rsidP="00E83802">
            <w:pPr>
              <w:jc w:val="right"/>
              <w:rPr>
                <w:rFonts w:ascii="Meta Pro" w:eastAsia="Times New Roman" w:hAnsi="Meta Pro"/>
                <w:b/>
                <w:bCs/>
                <w:sz w:val="16"/>
                <w:szCs w:val="16"/>
                <w:lang w:eastAsia="en-AU"/>
              </w:rPr>
            </w:pPr>
          </w:p>
        </w:tc>
        <w:tc>
          <w:tcPr>
            <w:tcW w:w="1315" w:type="dxa"/>
            <w:tcBorders>
              <w:top w:val="nil"/>
              <w:left w:val="nil"/>
              <w:bottom w:val="nil"/>
              <w:right w:val="nil"/>
            </w:tcBorders>
            <w:shd w:val="clear" w:color="auto" w:fill="auto"/>
            <w:noWrap/>
            <w:vAlign w:val="center"/>
            <w:hideMark/>
          </w:tcPr>
          <w:p w14:paraId="2411DAFE"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3,512,867 </w:t>
            </w:r>
          </w:p>
        </w:tc>
        <w:tc>
          <w:tcPr>
            <w:tcW w:w="198" w:type="dxa"/>
            <w:tcBorders>
              <w:top w:val="nil"/>
              <w:left w:val="nil"/>
              <w:bottom w:val="nil"/>
              <w:right w:val="nil"/>
            </w:tcBorders>
            <w:shd w:val="clear" w:color="auto" w:fill="auto"/>
            <w:noWrap/>
            <w:vAlign w:val="center"/>
            <w:hideMark/>
          </w:tcPr>
          <w:p w14:paraId="5C0AF85F" w14:textId="77777777" w:rsidR="00BC5219" w:rsidRPr="008A2B8F" w:rsidRDefault="00BC5219" w:rsidP="00E83802">
            <w:pPr>
              <w:jc w:val="right"/>
              <w:rPr>
                <w:rFonts w:ascii="Meta Pro" w:eastAsia="Times New Roman" w:hAnsi="Meta Pro"/>
                <w:b/>
                <w:bCs/>
                <w:sz w:val="16"/>
                <w:szCs w:val="16"/>
                <w:lang w:eastAsia="en-AU"/>
              </w:rPr>
            </w:pPr>
          </w:p>
        </w:tc>
        <w:tc>
          <w:tcPr>
            <w:tcW w:w="1315" w:type="dxa"/>
            <w:tcBorders>
              <w:top w:val="nil"/>
              <w:left w:val="nil"/>
              <w:bottom w:val="nil"/>
              <w:right w:val="nil"/>
            </w:tcBorders>
            <w:shd w:val="clear" w:color="auto" w:fill="auto"/>
            <w:noWrap/>
            <w:vAlign w:val="center"/>
            <w:hideMark/>
          </w:tcPr>
          <w:p w14:paraId="2BE733E6"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831,999 </w:t>
            </w:r>
          </w:p>
        </w:tc>
        <w:tc>
          <w:tcPr>
            <w:tcW w:w="198" w:type="dxa"/>
            <w:tcBorders>
              <w:top w:val="nil"/>
              <w:left w:val="nil"/>
              <w:bottom w:val="nil"/>
              <w:right w:val="nil"/>
            </w:tcBorders>
            <w:shd w:val="clear" w:color="auto" w:fill="auto"/>
            <w:noWrap/>
            <w:vAlign w:val="center"/>
            <w:hideMark/>
          </w:tcPr>
          <w:p w14:paraId="5FBEBACC" w14:textId="77777777" w:rsidR="00BC5219" w:rsidRPr="008A2B8F" w:rsidRDefault="00BC5219" w:rsidP="00E83802">
            <w:pPr>
              <w:jc w:val="right"/>
              <w:rPr>
                <w:rFonts w:ascii="Meta Pro" w:eastAsia="Times New Roman" w:hAnsi="Meta Pro"/>
                <w:b/>
                <w:bCs/>
                <w:sz w:val="16"/>
                <w:szCs w:val="16"/>
                <w:lang w:eastAsia="en-AU"/>
              </w:rPr>
            </w:pPr>
          </w:p>
        </w:tc>
        <w:tc>
          <w:tcPr>
            <w:tcW w:w="1315" w:type="dxa"/>
            <w:tcBorders>
              <w:top w:val="nil"/>
              <w:left w:val="nil"/>
              <w:bottom w:val="nil"/>
              <w:right w:val="nil"/>
            </w:tcBorders>
            <w:shd w:val="clear" w:color="auto" w:fill="auto"/>
            <w:noWrap/>
            <w:vAlign w:val="center"/>
            <w:hideMark/>
          </w:tcPr>
          <w:p w14:paraId="3310FF73"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(860,626)</w:t>
            </w:r>
          </w:p>
        </w:tc>
        <w:tc>
          <w:tcPr>
            <w:tcW w:w="198" w:type="dxa"/>
            <w:tcBorders>
              <w:top w:val="nil"/>
              <w:left w:val="nil"/>
              <w:bottom w:val="nil"/>
              <w:right w:val="nil"/>
            </w:tcBorders>
            <w:shd w:val="clear" w:color="auto" w:fill="auto"/>
            <w:noWrap/>
            <w:vAlign w:val="center"/>
            <w:hideMark/>
          </w:tcPr>
          <w:p w14:paraId="2E24A25D" w14:textId="77777777" w:rsidR="00BC5219" w:rsidRPr="008A2B8F" w:rsidRDefault="00BC5219" w:rsidP="00E83802">
            <w:pPr>
              <w:jc w:val="right"/>
              <w:rPr>
                <w:rFonts w:ascii="Meta Pro" w:eastAsia="Times New Roman" w:hAnsi="Meta Pro"/>
                <w:b/>
                <w:bCs/>
                <w:sz w:val="16"/>
                <w:szCs w:val="16"/>
                <w:lang w:eastAsia="en-AU"/>
              </w:rPr>
            </w:pPr>
          </w:p>
        </w:tc>
        <w:tc>
          <w:tcPr>
            <w:tcW w:w="1315" w:type="dxa"/>
            <w:tcBorders>
              <w:top w:val="single" w:sz="4" w:space="0" w:color="auto"/>
              <w:left w:val="nil"/>
              <w:bottom w:val="nil"/>
              <w:right w:val="nil"/>
            </w:tcBorders>
            <w:shd w:val="clear" w:color="auto" w:fill="auto"/>
            <w:noWrap/>
            <w:vAlign w:val="center"/>
            <w:hideMark/>
          </w:tcPr>
          <w:p w14:paraId="4E759D7B"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7,178,149 </w:t>
            </w:r>
          </w:p>
        </w:tc>
      </w:tr>
      <w:tr w:rsidR="00BC5219" w:rsidRPr="008A2B8F" w14:paraId="1F1EF32A" w14:textId="77777777" w:rsidTr="00E83802">
        <w:trPr>
          <w:trHeight w:val="198"/>
        </w:trPr>
        <w:tc>
          <w:tcPr>
            <w:tcW w:w="454" w:type="dxa"/>
            <w:tcBorders>
              <w:top w:val="nil"/>
              <w:left w:val="nil"/>
              <w:bottom w:val="nil"/>
              <w:right w:val="nil"/>
            </w:tcBorders>
            <w:shd w:val="clear" w:color="auto" w:fill="auto"/>
            <w:noWrap/>
            <w:vAlign w:val="center"/>
            <w:hideMark/>
          </w:tcPr>
          <w:p w14:paraId="2BD13A77" w14:textId="77777777" w:rsidR="00BC5219" w:rsidRPr="008A2B8F" w:rsidRDefault="00BC5219" w:rsidP="00E83802">
            <w:pPr>
              <w:jc w:val="right"/>
              <w:rPr>
                <w:rFonts w:ascii="Meta Pro" w:eastAsia="Times New Roman" w:hAnsi="Meta Pro"/>
                <w:b/>
                <w:bCs/>
                <w:sz w:val="16"/>
                <w:szCs w:val="16"/>
                <w:lang w:eastAsia="en-AU"/>
              </w:rPr>
            </w:pPr>
          </w:p>
        </w:tc>
        <w:tc>
          <w:tcPr>
            <w:tcW w:w="4077" w:type="dxa"/>
            <w:tcBorders>
              <w:top w:val="nil"/>
              <w:left w:val="nil"/>
              <w:bottom w:val="nil"/>
              <w:right w:val="nil"/>
            </w:tcBorders>
            <w:shd w:val="clear" w:color="auto" w:fill="auto"/>
            <w:noWrap/>
            <w:vAlign w:val="center"/>
            <w:hideMark/>
          </w:tcPr>
          <w:p w14:paraId="14BCBD1A" w14:textId="77777777" w:rsidR="00BC5219" w:rsidRPr="008A2B8F" w:rsidRDefault="00BC5219" w:rsidP="00E83802">
            <w:pPr>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27AF4811" w14:textId="77777777" w:rsidR="00BC5219" w:rsidRPr="008A2B8F" w:rsidRDefault="00BC5219" w:rsidP="00E83802">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0A6C81CE" w14:textId="77777777" w:rsidR="00BC5219" w:rsidRPr="008A2B8F" w:rsidRDefault="00BC5219" w:rsidP="00E83802">
            <w:pPr>
              <w:jc w:val="right"/>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7FBC7634" w14:textId="77777777" w:rsidR="00BC5219" w:rsidRPr="008A2B8F" w:rsidRDefault="00BC5219" w:rsidP="00E83802">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7C0F95D5" w14:textId="77777777" w:rsidR="00BC5219" w:rsidRPr="008A2B8F" w:rsidRDefault="00BC5219" w:rsidP="00E83802">
            <w:pPr>
              <w:jc w:val="right"/>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7CF410C6" w14:textId="77777777" w:rsidR="00BC5219" w:rsidRPr="008A2B8F" w:rsidRDefault="00BC5219" w:rsidP="00E83802">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3A347AA2" w14:textId="77777777" w:rsidR="00BC5219" w:rsidRPr="008A2B8F" w:rsidRDefault="00BC5219" w:rsidP="00E83802">
            <w:pPr>
              <w:jc w:val="right"/>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0A5178B0" w14:textId="77777777" w:rsidR="00BC5219" w:rsidRPr="008A2B8F" w:rsidRDefault="00BC5219" w:rsidP="00E83802">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728FB7A0" w14:textId="77777777" w:rsidR="00BC5219" w:rsidRPr="008A2B8F" w:rsidRDefault="00BC5219" w:rsidP="00E83802">
            <w:pPr>
              <w:jc w:val="right"/>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0E845E1A" w14:textId="77777777" w:rsidR="00BC5219" w:rsidRPr="008A2B8F" w:rsidRDefault="00BC5219" w:rsidP="00E83802">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071AD15B" w14:textId="77777777" w:rsidR="00BC5219" w:rsidRPr="008A2B8F" w:rsidRDefault="00BC5219" w:rsidP="00E83802">
            <w:pPr>
              <w:jc w:val="right"/>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2ADE5598" w14:textId="77777777" w:rsidR="00BC5219" w:rsidRPr="008A2B8F" w:rsidRDefault="00BC5219" w:rsidP="00E83802">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2E867146" w14:textId="77777777" w:rsidR="00BC5219" w:rsidRPr="008A2B8F" w:rsidRDefault="00BC5219" w:rsidP="00E83802">
            <w:pPr>
              <w:jc w:val="right"/>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76B46816" w14:textId="77777777" w:rsidR="00BC5219" w:rsidRPr="008A2B8F" w:rsidRDefault="00BC5219" w:rsidP="00E83802">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020A1626" w14:textId="77777777" w:rsidR="00BC5219" w:rsidRPr="008A2B8F" w:rsidRDefault="00BC5219" w:rsidP="00E83802">
            <w:pPr>
              <w:jc w:val="right"/>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5800508C"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1C8608B5" w14:textId="77777777" w:rsidTr="00E83802">
        <w:trPr>
          <w:trHeight w:val="198"/>
        </w:trPr>
        <w:tc>
          <w:tcPr>
            <w:tcW w:w="4077" w:type="dxa"/>
            <w:gridSpan w:val="2"/>
            <w:tcBorders>
              <w:top w:val="nil"/>
              <w:left w:val="nil"/>
              <w:bottom w:val="nil"/>
              <w:right w:val="nil"/>
            </w:tcBorders>
            <w:shd w:val="clear" w:color="auto" w:fill="auto"/>
            <w:noWrap/>
            <w:vAlign w:val="center"/>
            <w:hideMark/>
          </w:tcPr>
          <w:p w14:paraId="016356BF" w14:textId="77777777" w:rsidR="00BC5219" w:rsidRPr="008A2B8F" w:rsidRDefault="00BC5219" w:rsidP="00E83802">
            <w:pPr>
              <w:rPr>
                <w:rFonts w:ascii="Meta Pro" w:eastAsia="Times New Roman" w:hAnsi="Meta Pro"/>
                <w:b/>
                <w:bCs/>
                <w:sz w:val="16"/>
                <w:szCs w:val="16"/>
                <w:lang w:eastAsia="en-AU"/>
              </w:rPr>
            </w:pPr>
            <w:r w:rsidRPr="008A2B8F">
              <w:rPr>
                <w:rFonts w:ascii="Meta Pro" w:eastAsia="Times New Roman" w:hAnsi="Meta Pro"/>
                <w:b/>
                <w:bCs/>
                <w:sz w:val="16"/>
                <w:szCs w:val="16"/>
                <w:lang w:eastAsia="en-AU"/>
              </w:rPr>
              <w:t>Operating result before income tax equivalent expense</w:t>
            </w:r>
          </w:p>
        </w:tc>
        <w:tc>
          <w:tcPr>
            <w:tcW w:w="1315" w:type="dxa"/>
            <w:tcBorders>
              <w:top w:val="nil"/>
              <w:left w:val="nil"/>
              <w:bottom w:val="nil"/>
              <w:right w:val="nil"/>
            </w:tcBorders>
            <w:shd w:val="clear" w:color="auto" w:fill="auto"/>
            <w:noWrap/>
            <w:vAlign w:val="center"/>
            <w:hideMark/>
          </w:tcPr>
          <w:p w14:paraId="5B03919C"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32F5FEAB" w14:textId="77777777" w:rsidR="00BC5219" w:rsidRPr="008A2B8F" w:rsidRDefault="00BC5219" w:rsidP="00E83802">
            <w:pPr>
              <w:jc w:val="right"/>
              <w:rPr>
                <w:rFonts w:ascii="Meta Pro" w:eastAsia="Times New Roman" w:hAnsi="Meta Pro"/>
                <w:b/>
                <w:bCs/>
                <w:sz w:val="16"/>
                <w:szCs w:val="16"/>
                <w:lang w:eastAsia="en-AU"/>
              </w:rPr>
            </w:pPr>
          </w:p>
        </w:tc>
        <w:tc>
          <w:tcPr>
            <w:tcW w:w="1315" w:type="dxa"/>
            <w:tcBorders>
              <w:top w:val="nil"/>
              <w:left w:val="nil"/>
              <w:bottom w:val="nil"/>
              <w:right w:val="nil"/>
            </w:tcBorders>
            <w:shd w:val="clear" w:color="auto" w:fill="auto"/>
            <w:noWrap/>
            <w:vAlign w:val="center"/>
            <w:hideMark/>
          </w:tcPr>
          <w:p w14:paraId="2237A1C4"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135,903 </w:t>
            </w:r>
          </w:p>
        </w:tc>
        <w:tc>
          <w:tcPr>
            <w:tcW w:w="198" w:type="dxa"/>
            <w:tcBorders>
              <w:top w:val="nil"/>
              <w:left w:val="nil"/>
              <w:bottom w:val="nil"/>
              <w:right w:val="nil"/>
            </w:tcBorders>
            <w:shd w:val="clear" w:color="auto" w:fill="auto"/>
            <w:noWrap/>
            <w:vAlign w:val="center"/>
            <w:hideMark/>
          </w:tcPr>
          <w:p w14:paraId="4B45A628" w14:textId="77777777" w:rsidR="00BC5219" w:rsidRPr="008A2B8F" w:rsidRDefault="00BC5219" w:rsidP="00E83802">
            <w:pPr>
              <w:jc w:val="right"/>
              <w:rPr>
                <w:rFonts w:ascii="Meta Pro" w:eastAsia="Times New Roman" w:hAnsi="Meta Pro"/>
                <w:b/>
                <w:bCs/>
                <w:sz w:val="16"/>
                <w:szCs w:val="16"/>
                <w:lang w:eastAsia="en-AU"/>
              </w:rPr>
            </w:pPr>
          </w:p>
        </w:tc>
        <w:tc>
          <w:tcPr>
            <w:tcW w:w="1315" w:type="dxa"/>
            <w:tcBorders>
              <w:top w:val="nil"/>
              <w:left w:val="nil"/>
              <w:bottom w:val="nil"/>
              <w:right w:val="nil"/>
            </w:tcBorders>
            <w:shd w:val="clear" w:color="auto" w:fill="auto"/>
            <w:noWrap/>
            <w:vAlign w:val="center"/>
            <w:hideMark/>
          </w:tcPr>
          <w:p w14:paraId="4A043116"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1DDBE9B1" w14:textId="77777777" w:rsidR="00BC5219" w:rsidRPr="008A2B8F" w:rsidRDefault="00BC5219" w:rsidP="00E83802">
            <w:pPr>
              <w:jc w:val="right"/>
              <w:rPr>
                <w:rFonts w:ascii="Meta Pro" w:eastAsia="Times New Roman" w:hAnsi="Meta Pro"/>
                <w:b/>
                <w:bCs/>
                <w:sz w:val="16"/>
                <w:szCs w:val="16"/>
                <w:lang w:eastAsia="en-AU"/>
              </w:rPr>
            </w:pPr>
          </w:p>
        </w:tc>
        <w:tc>
          <w:tcPr>
            <w:tcW w:w="1315" w:type="dxa"/>
            <w:tcBorders>
              <w:top w:val="nil"/>
              <w:left w:val="nil"/>
              <w:bottom w:val="nil"/>
              <w:right w:val="nil"/>
            </w:tcBorders>
            <w:shd w:val="clear" w:color="auto" w:fill="auto"/>
            <w:noWrap/>
            <w:vAlign w:val="center"/>
            <w:hideMark/>
          </w:tcPr>
          <w:p w14:paraId="18A0F6D5"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722A0073" w14:textId="77777777" w:rsidR="00BC5219" w:rsidRPr="008A2B8F" w:rsidRDefault="00BC5219" w:rsidP="00E83802">
            <w:pPr>
              <w:jc w:val="right"/>
              <w:rPr>
                <w:rFonts w:ascii="Meta Pro" w:eastAsia="Times New Roman" w:hAnsi="Meta Pro"/>
                <w:b/>
                <w:bCs/>
                <w:sz w:val="16"/>
                <w:szCs w:val="16"/>
                <w:lang w:eastAsia="en-AU"/>
              </w:rPr>
            </w:pPr>
          </w:p>
        </w:tc>
        <w:tc>
          <w:tcPr>
            <w:tcW w:w="1315" w:type="dxa"/>
            <w:tcBorders>
              <w:top w:val="nil"/>
              <w:left w:val="nil"/>
              <w:bottom w:val="nil"/>
              <w:right w:val="nil"/>
            </w:tcBorders>
            <w:shd w:val="clear" w:color="auto" w:fill="auto"/>
            <w:noWrap/>
            <w:vAlign w:val="center"/>
            <w:hideMark/>
          </w:tcPr>
          <w:p w14:paraId="50602906"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(185,904)</w:t>
            </w:r>
          </w:p>
        </w:tc>
        <w:tc>
          <w:tcPr>
            <w:tcW w:w="198" w:type="dxa"/>
            <w:tcBorders>
              <w:top w:val="nil"/>
              <w:left w:val="nil"/>
              <w:bottom w:val="nil"/>
              <w:right w:val="nil"/>
            </w:tcBorders>
            <w:shd w:val="clear" w:color="auto" w:fill="auto"/>
            <w:noWrap/>
            <w:vAlign w:val="center"/>
            <w:hideMark/>
          </w:tcPr>
          <w:p w14:paraId="14129EBA" w14:textId="77777777" w:rsidR="00BC5219" w:rsidRPr="008A2B8F" w:rsidRDefault="00BC5219" w:rsidP="00E83802">
            <w:pPr>
              <w:jc w:val="right"/>
              <w:rPr>
                <w:rFonts w:ascii="Meta Pro" w:eastAsia="Times New Roman" w:hAnsi="Meta Pro"/>
                <w:b/>
                <w:bCs/>
                <w:sz w:val="16"/>
                <w:szCs w:val="16"/>
                <w:lang w:eastAsia="en-AU"/>
              </w:rPr>
            </w:pPr>
          </w:p>
        </w:tc>
        <w:tc>
          <w:tcPr>
            <w:tcW w:w="1315" w:type="dxa"/>
            <w:tcBorders>
              <w:top w:val="nil"/>
              <w:left w:val="nil"/>
              <w:bottom w:val="nil"/>
              <w:right w:val="nil"/>
            </w:tcBorders>
            <w:shd w:val="clear" w:color="auto" w:fill="auto"/>
            <w:noWrap/>
            <w:vAlign w:val="center"/>
            <w:hideMark/>
          </w:tcPr>
          <w:p w14:paraId="29600D5A"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5,182 </w:t>
            </w:r>
          </w:p>
        </w:tc>
        <w:tc>
          <w:tcPr>
            <w:tcW w:w="198" w:type="dxa"/>
            <w:tcBorders>
              <w:top w:val="nil"/>
              <w:left w:val="nil"/>
              <w:bottom w:val="nil"/>
              <w:right w:val="nil"/>
            </w:tcBorders>
            <w:shd w:val="clear" w:color="auto" w:fill="auto"/>
            <w:noWrap/>
            <w:vAlign w:val="center"/>
            <w:hideMark/>
          </w:tcPr>
          <w:p w14:paraId="64ED0FFB" w14:textId="77777777" w:rsidR="00BC5219" w:rsidRPr="008A2B8F" w:rsidRDefault="00BC5219" w:rsidP="00E83802">
            <w:pPr>
              <w:jc w:val="right"/>
              <w:rPr>
                <w:rFonts w:ascii="Meta Pro" w:eastAsia="Times New Roman" w:hAnsi="Meta Pro"/>
                <w:b/>
                <w:bCs/>
                <w:sz w:val="16"/>
                <w:szCs w:val="16"/>
                <w:lang w:eastAsia="en-AU"/>
              </w:rPr>
            </w:pPr>
          </w:p>
        </w:tc>
        <w:tc>
          <w:tcPr>
            <w:tcW w:w="1315" w:type="dxa"/>
            <w:tcBorders>
              <w:top w:val="nil"/>
              <w:left w:val="nil"/>
              <w:bottom w:val="nil"/>
              <w:right w:val="nil"/>
            </w:tcBorders>
            <w:shd w:val="clear" w:color="auto" w:fill="auto"/>
            <w:noWrap/>
            <w:vAlign w:val="center"/>
            <w:hideMark/>
          </w:tcPr>
          <w:p w14:paraId="758B0BAA"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724B5FC8" w14:textId="77777777" w:rsidR="00BC5219" w:rsidRPr="008A2B8F" w:rsidRDefault="00BC5219" w:rsidP="00E83802">
            <w:pPr>
              <w:jc w:val="right"/>
              <w:rPr>
                <w:rFonts w:ascii="Meta Pro" w:eastAsia="Times New Roman" w:hAnsi="Meta Pro"/>
                <w:b/>
                <w:bCs/>
                <w:sz w:val="16"/>
                <w:szCs w:val="16"/>
                <w:lang w:eastAsia="en-AU"/>
              </w:rPr>
            </w:pPr>
          </w:p>
        </w:tc>
        <w:tc>
          <w:tcPr>
            <w:tcW w:w="1315" w:type="dxa"/>
            <w:tcBorders>
              <w:top w:val="nil"/>
              <w:left w:val="nil"/>
              <w:bottom w:val="nil"/>
              <w:right w:val="nil"/>
            </w:tcBorders>
            <w:shd w:val="clear" w:color="auto" w:fill="auto"/>
            <w:noWrap/>
            <w:vAlign w:val="center"/>
            <w:hideMark/>
          </w:tcPr>
          <w:p w14:paraId="50A67291"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(44,819)</w:t>
            </w:r>
          </w:p>
        </w:tc>
      </w:tr>
      <w:tr w:rsidR="00BC5219" w:rsidRPr="008A2B8F" w14:paraId="0E03C9A1" w14:textId="77777777" w:rsidTr="00E83802">
        <w:trPr>
          <w:trHeight w:val="198"/>
        </w:trPr>
        <w:tc>
          <w:tcPr>
            <w:tcW w:w="454" w:type="dxa"/>
            <w:tcBorders>
              <w:top w:val="nil"/>
              <w:left w:val="nil"/>
              <w:bottom w:val="single" w:sz="4" w:space="0" w:color="auto"/>
              <w:right w:val="nil"/>
            </w:tcBorders>
            <w:shd w:val="clear" w:color="auto" w:fill="auto"/>
            <w:noWrap/>
            <w:vAlign w:val="center"/>
            <w:hideMark/>
          </w:tcPr>
          <w:p w14:paraId="5D08CE09"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4077" w:type="dxa"/>
            <w:tcBorders>
              <w:top w:val="nil"/>
              <w:left w:val="nil"/>
              <w:bottom w:val="single" w:sz="4" w:space="0" w:color="auto"/>
              <w:right w:val="nil"/>
            </w:tcBorders>
            <w:shd w:val="clear" w:color="auto" w:fill="auto"/>
            <w:noWrap/>
            <w:vAlign w:val="center"/>
            <w:hideMark/>
          </w:tcPr>
          <w:p w14:paraId="35D517A5"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Income tax equivalent expense</w:t>
            </w:r>
          </w:p>
        </w:tc>
        <w:tc>
          <w:tcPr>
            <w:tcW w:w="1315" w:type="dxa"/>
            <w:tcBorders>
              <w:top w:val="nil"/>
              <w:left w:val="nil"/>
              <w:bottom w:val="single" w:sz="4" w:space="0" w:color="auto"/>
              <w:right w:val="nil"/>
            </w:tcBorders>
            <w:shd w:val="clear" w:color="auto" w:fill="auto"/>
            <w:noWrap/>
            <w:vAlign w:val="center"/>
            <w:hideMark/>
          </w:tcPr>
          <w:p w14:paraId="4AF8EFC1"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4B129EA6"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1315" w:type="dxa"/>
            <w:tcBorders>
              <w:top w:val="nil"/>
              <w:left w:val="nil"/>
              <w:bottom w:val="single" w:sz="4" w:space="0" w:color="auto"/>
              <w:right w:val="nil"/>
            </w:tcBorders>
            <w:shd w:val="clear" w:color="auto" w:fill="auto"/>
            <w:noWrap/>
            <w:vAlign w:val="center"/>
            <w:hideMark/>
          </w:tcPr>
          <w:p w14:paraId="245D107C"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214E3825"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1315" w:type="dxa"/>
            <w:tcBorders>
              <w:top w:val="nil"/>
              <w:left w:val="nil"/>
              <w:bottom w:val="single" w:sz="4" w:space="0" w:color="auto"/>
              <w:right w:val="nil"/>
            </w:tcBorders>
            <w:shd w:val="clear" w:color="auto" w:fill="auto"/>
            <w:noWrap/>
            <w:vAlign w:val="center"/>
            <w:hideMark/>
          </w:tcPr>
          <w:p w14:paraId="50CCA7C6"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564D49F2"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1315" w:type="dxa"/>
            <w:tcBorders>
              <w:top w:val="nil"/>
              <w:left w:val="nil"/>
              <w:bottom w:val="single" w:sz="4" w:space="0" w:color="auto"/>
              <w:right w:val="nil"/>
            </w:tcBorders>
            <w:shd w:val="clear" w:color="auto" w:fill="auto"/>
            <w:noWrap/>
            <w:vAlign w:val="center"/>
            <w:hideMark/>
          </w:tcPr>
          <w:p w14:paraId="6E1A9BC8"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0DD743D1"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1315" w:type="dxa"/>
            <w:tcBorders>
              <w:top w:val="nil"/>
              <w:left w:val="nil"/>
              <w:bottom w:val="single" w:sz="4" w:space="0" w:color="auto"/>
              <w:right w:val="nil"/>
            </w:tcBorders>
            <w:shd w:val="clear" w:color="auto" w:fill="auto"/>
            <w:noWrap/>
            <w:vAlign w:val="center"/>
            <w:hideMark/>
          </w:tcPr>
          <w:p w14:paraId="16515BA8"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4A35EE62"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1315" w:type="dxa"/>
            <w:tcBorders>
              <w:top w:val="nil"/>
              <w:left w:val="nil"/>
              <w:bottom w:val="single" w:sz="4" w:space="0" w:color="auto"/>
              <w:right w:val="nil"/>
            </w:tcBorders>
            <w:shd w:val="clear" w:color="auto" w:fill="auto"/>
            <w:noWrap/>
            <w:vAlign w:val="center"/>
            <w:hideMark/>
          </w:tcPr>
          <w:p w14:paraId="120701D7"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16,260 </w:t>
            </w:r>
          </w:p>
        </w:tc>
        <w:tc>
          <w:tcPr>
            <w:tcW w:w="198" w:type="dxa"/>
            <w:tcBorders>
              <w:top w:val="nil"/>
              <w:left w:val="nil"/>
              <w:bottom w:val="single" w:sz="4" w:space="0" w:color="auto"/>
              <w:right w:val="nil"/>
            </w:tcBorders>
            <w:shd w:val="clear" w:color="auto" w:fill="auto"/>
            <w:noWrap/>
            <w:vAlign w:val="center"/>
            <w:hideMark/>
          </w:tcPr>
          <w:p w14:paraId="31DE5F96"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1315" w:type="dxa"/>
            <w:tcBorders>
              <w:top w:val="nil"/>
              <w:left w:val="nil"/>
              <w:bottom w:val="single" w:sz="4" w:space="0" w:color="auto"/>
              <w:right w:val="nil"/>
            </w:tcBorders>
            <w:shd w:val="clear" w:color="auto" w:fill="auto"/>
            <w:noWrap/>
            <w:vAlign w:val="center"/>
            <w:hideMark/>
          </w:tcPr>
          <w:p w14:paraId="3B05C619"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678D874B"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1315" w:type="dxa"/>
            <w:tcBorders>
              <w:top w:val="nil"/>
              <w:left w:val="nil"/>
              <w:bottom w:val="single" w:sz="4" w:space="0" w:color="auto"/>
              <w:right w:val="nil"/>
            </w:tcBorders>
            <w:shd w:val="clear" w:color="auto" w:fill="auto"/>
            <w:noWrap/>
            <w:vAlign w:val="center"/>
            <w:hideMark/>
          </w:tcPr>
          <w:p w14:paraId="3B8C3CC3"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16,260 </w:t>
            </w:r>
          </w:p>
        </w:tc>
      </w:tr>
      <w:tr w:rsidR="00BC5219" w:rsidRPr="008A2B8F" w14:paraId="7272A7EA" w14:textId="77777777" w:rsidTr="00E83802">
        <w:trPr>
          <w:trHeight w:val="198"/>
        </w:trPr>
        <w:tc>
          <w:tcPr>
            <w:tcW w:w="454" w:type="dxa"/>
            <w:tcBorders>
              <w:top w:val="nil"/>
              <w:left w:val="nil"/>
              <w:bottom w:val="nil"/>
              <w:right w:val="nil"/>
            </w:tcBorders>
            <w:shd w:val="clear" w:color="auto" w:fill="auto"/>
            <w:noWrap/>
            <w:vAlign w:val="center"/>
            <w:hideMark/>
          </w:tcPr>
          <w:p w14:paraId="425ACF39" w14:textId="77777777" w:rsidR="00BC5219" w:rsidRPr="008A2B8F" w:rsidRDefault="00BC5219" w:rsidP="00E83802">
            <w:pPr>
              <w:jc w:val="right"/>
              <w:rPr>
                <w:rFonts w:ascii="Meta Pro" w:eastAsia="Times New Roman" w:hAnsi="Meta Pro"/>
                <w:b/>
                <w:bCs/>
                <w:sz w:val="16"/>
                <w:szCs w:val="16"/>
                <w:lang w:eastAsia="en-AU"/>
              </w:rPr>
            </w:pPr>
          </w:p>
        </w:tc>
        <w:tc>
          <w:tcPr>
            <w:tcW w:w="4077" w:type="dxa"/>
            <w:tcBorders>
              <w:top w:val="nil"/>
              <w:left w:val="nil"/>
              <w:bottom w:val="nil"/>
              <w:right w:val="nil"/>
            </w:tcBorders>
            <w:shd w:val="clear" w:color="auto" w:fill="auto"/>
            <w:noWrap/>
            <w:vAlign w:val="center"/>
            <w:hideMark/>
          </w:tcPr>
          <w:p w14:paraId="30CC9E37" w14:textId="77777777" w:rsidR="00BC5219" w:rsidRPr="008A2B8F" w:rsidRDefault="00BC5219" w:rsidP="00E83802">
            <w:pPr>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34DE7C06" w14:textId="77777777" w:rsidR="00BC5219" w:rsidRPr="008A2B8F" w:rsidRDefault="00BC5219" w:rsidP="00E83802">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5648B610"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1315" w:type="dxa"/>
            <w:tcBorders>
              <w:top w:val="nil"/>
              <w:left w:val="nil"/>
              <w:bottom w:val="nil"/>
              <w:right w:val="nil"/>
            </w:tcBorders>
            <w:shd w:val="clear" w:color="auto" w:fill="auto"/>
            <w:noWrap/>
            <w:vAlign w:val="center"/>
            <w:hideMark/>
          </w:tcPr>
          <w:p w14:paraId="3E7D7362" w14:textId="77777777" w:rsidR="00BC5219" w:rsidRPr="008A2B8F" w:rsidRDefault="00BC5219" w:rsidP="00E83802">
            <w:pPr>
              <w:jc w:val="right"/>
              <w:rPr>
                <w:rFonts w:ascii="Meta Pro" w:eastAsia="Times New Roman" w:hAnsi="Meta Pro"/>
                <w:sz w:val="16"/>
                <w:szCs w:val="16"/>
                <w:lang w:eastAsia="en-AU"/>
              </w:rPr>
            </w:pPr>
          </w:p>
        </w:tc>
        <w:tc>
          <w:tcPr>
            <w:tcW w:w="198" w:type="dxa"/>
            <w:tcBorders>
              <w:top w:val="nil"/>
              <w:left w:val="nil"/>
              <w:bottom w:val="nil"/>
              <w:right w:val="nil"/>
            </w:tcBorders>
            <w:shd w:val="clear" w:color="auto" w:fill="auto"/>
            <w:noWrap/>
            <w:vAlign w:val="center"/>
            <w:hideMark/>
          </w:tcPr>
          <w:p w14:paraId="6DC03BD5"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1315" w:type="dxa"/>
            <w:tcBorders>
              <w:top w:val="nil"/>
              <w:left w:val="nil"/>
              <w:bottom w:val="nil"/>
              <w:right w:val="nil"/>
            </w:tcBorders>
            <w:shd w:val="clear" w:color="auto" w:fill="auto"/>
            <w:noWrap/>
            <w:vAlign w:val="center"/>
            <w:hideMark/>
          </w:tcPr>
          <w:p w14:paraId="02C4544B" w14:textId="77777777" w:rsidR="00BC5219" w:rsidRPr="008A2B8F" w:rsidRDefault="00BC5219" w:rsidP="00E83802">
            <w:pPr>
              <w:jc w:val="right"/>
              <w:rPr>
                <w:rFonts w:ascii="Meta Pro" w:eastAsia="Times New Roman" w:hAnsi="Meta Pro"/>
                <w:sz w:val="16"/>
                <w:szCs w:val="16"/>
                <w:lang w:eastAsia="en-AU"/>
              </w:rPr>
            </w:pPr>
          </w:p>
        </w:tc>
        <w:tc>
          <w:tcPr>
            <w:tcW w:w="198" w:type="dxa"/>
            <w:tcBorders>
              <w:top w:val="nil"/>
              <w:left w:val="nil"/>
              <w:bottom w:val="nil"/>
              <w:right w:val="nil"/>
            </w:tcBorders>
            <w:shd w:val="clear" w:color="auto" w:fill="auto"/>
            <w:noWrap/>
            <w:vAlign w:val="center"/>
            <w:hideMark/>
          </w:tcPr>
          <w:p w14:paraId="40E262BD"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1315" w:type="dxa"/>
            <w:tcBorders>
              <w:top w:val="nil"/>
              <w:left w:val="nil"/>
              <w:bottom w:val="nil"/>
              <w:right w:val="nil"/>
            </w:tcBorders>
            <w:shd w:val="clear" w:color="auto" w:fill="auto"/>
            <w:noWrap/>
            <w:vAlign w:val="center"/>
            <w:hideMark/>
          </w:tcPr>
          <w:p w14:paraId="47F2CDEB" w14:textId="77777777" w:rsidR="00BC5219" w:rsidRPr="008A2B8F" w:rsidRDefault="00BC5219" w:rsidP="00E83802">
            <w:pPr>
              <w:jc w:val="right"/>
              <w:rPr>
                <w:rFonts w:ascii="Meta Pro" w:eastAsia="Times New Roman" w:hAnsi="Meta Pro"/>
                <w:sz w:val="16"/>
                <w:szCs w:val="16"/>
                <w:lang w:eastAsia="en-AU"/>
              </w:rPr>
            </w:pPr>
          </w:p>
        </w:tc>
        <w:tc>
          <w:tcPr>
            <w:tcW w:w="198" w:type="dxa"/>
            <w:tcBorders>
              <w:top w:val="nil"/>
              <w:left w:val="nil"/>
              <w:bottom w:val="nil"/>
              <w:right w:val="nil"/>
            </w:tcBorders>
            <w:shd w:val="clear" w:color="auto" w:fill="auto"/>
            <w:noWrap/>
            <w:vAlign w:val="center"/>
            <w:hideMark/>
          </w:tcPr>
          <w:p w14:paraId="48D2985F"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1315" w:type="dxa"/>
            <w:tcBorders>
              <w:top w:val="nil"/>
              <w:left w:val="nil"/>
              <w:bottom w:val="nil"/>
              <w:right w:val="nil"/>
            </w:tcBorders>
            <w:shd w:val="clear" w:color="auto" w:fill="auto"/>
            <w:noWrap/>
            <w:vAlign w:val="center"/>
            <w:hideMark/>
          </w:tcPr>
          <w:p w14:paraId="522C52D8" w14:textId="77777777" w:rsidR="00BC5219" w:rsidRPr="008A2B8F" w:rsidRDefault="00BC5219" w:rsidP="00E83802">
            <w:pPr>
              <w:jc w:val="right"/>
              <w:rPr>
                <w:rFonts w:ascii="Meta Pro" w:eastAsia="Times New Roman" w:hAnsi="Meta Pro"/>
                <w:sz w:val="16"/>
                <w:szCs w:val="16"/>
                <w:lang w:eastAsia="en-AU"/>
              </w:rPr>
            </w:pPr>
          </w:p>
        </w:tc>
        <w:tc>
          <w:tcPr>
            <w:tcW w:w="198" w:type="dxa"/>
            <w:tcBorders>
              <w:top w:val="nil"/>
              <w:left w:val="nil"/>
              <w:bottom w:val="nil"/>
              <w:right w:val="nil"/>
            </w:tcBorders>
            <w:shd w:val="clear" w:color="auto" w:fill="auto"/>
            <w:noWrap/>
            <w:vAlign w:val="center"/>
            <w:hideMark/>
          </w:tcPr>
          <w:p w14:paraId="09731C9C"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1315" w:type="dxa"/>
            <w:tcBorders>
              <w:top w:val="nil"/>
              <w:left w:val="nil"/>
              <w:bottom w:val="nil"/>
              <w:right w:val="nil"/>
            </w:tcBorders>
            <w:shd w:val="clear" w:color="auto" w:fill="auto"/>
            <w:noWrap/>
            <w:vAlign w:val="center"/>
            <w:hideMark/>
          </w:tcPr>
          <w:p w14:paraId="201D54FB" w14:textId="77777777" w:rsidR="00BC5219" w:rsidRPr="008A2B8F" w:rsidRDefault="00BC5219" w:rsidP="00E83802">
            <w:pPr>
              <w:jc w:val="right"/>
              <w:rPr>
                <w:rFonts w:ascii="Meta Pro" w:eastAsia="Times New Roman" w:hAnsi="Meta Pro"/>
                <w:sz w:val="16"/>
                <w:szCs w:val="16"/>
                <w:lang w:eastAsia="en-AU"/>
              </w:rPr>
            </w:pPr>
          </w:p>
        </w:tc>
        <w:tc>
          <w:tcPr>
            <w:tcW w:w="198" w:type="dxa"/>
            <w:tcBorders>
              <w:top w:val="nil"/>
              <w:left w:val="nil"/>
              <w:bottom w:val="nil"/>
              <w:right w:val="nil"/>
            </w:tcBorders>
            <w:shd w:val="clear" w:color="auto" w:fill="auto"/>
            <w:noWrap/>
            <w:vAlign w:val="center"/>
            <w:hideMark/>
          </w:tcPr>
          <w:p w14:paraId="2051DF87"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1315" w:type="dxa"/>
            <w:tcBorders>
              <w:top w:val="nil"/>
              <w:left w:val="nil"/>
              <w:bottom w:val="nil"/>
              <w:right w:val="nil"/>
            </w:tcBorders>
            <w:shd w:val="clear" w:color="auto" w:fill="auto"/>
            <w:noWrap/>
            <w:vAlign w:val="center"/>
            <w:hideMark/>
          </w:tcPr>
          <w:p w14:paraId="7FF8F64F" w14:textId="77777777" w:rsidR="00BC5219" w:rsidRPr="008A2B8F" w:rsidRDefault="00BC5219" w:rsidP="00E83802">
            <w:pPr>
              <w:jc w:val="right"/>
              <w:rPr>
                <w:rFonts w:ascii="Meta Pro" w:eastAsia="Times New Roman" w:hAnsi="Meta Pro"/>
                <w:sz w:val="16"/>
                <w:szCs w:val="16"/>
                <w:lang w:eastAsia="en-AU"/>
              </w:rPr>
            </w:pPr>
          </w:p>
        </w:tc>
        <w:tc>
          <w:tcPr>
            <w:tcW w:w="198" w:type="dxa"/>
            <w:tcBorders>
              <w:top w:val="nil"/>
              <w:left w:val="nil"/>
              <w:bottom w:val="nil"/>
              <w:right w:val="nil"/>
            </w:tcBorders>
            <w:shd w:val="clear" w:color="auto" w:fill="auto"/>
            <w:noWrap/>
            <w:vAlign w:val="center"/>
            <w:hideMark/>
          </w:tcPr>
          <w:p w14:paraId="0D0E44B7"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1315" w:type="dxa"/>
            <w:tcBorders>
              <w:top w:val="nil"/>
              <w:left w:val="nil"/>
              <w:bottom w:val="nil"/>
              <w:right w:val="nil"/>
            </w:tcBorders>
            <w:shd w:val="clear" w:color="auto" w:fill="auto"/>
            <w:noWrap/>
            <w:vAlign w:val="center"/>
            <w:hideMark/>
          </w:tcPr>
          <w:p w14:paraId="776ED873" w14:textId="77777777" w:rsidR="00BC5219" w:rsidRPr="008A2B8F" w:rsidRDefault="00BC5219" w:rsidP="00E83802">
            <w:pPr>
              <w:jc w:val="right"/>
              <w:rPr>
                <w:rFonts w:ascii="Meta Pro" w:eastAsia="Times New Roman" w:hAnsi="Meta Pro"/>
                <w:sz w:val="16"/>
                <w:szCs w:val="16"/>
                <w:lang w:eastAsia="en-AU"/>
              </w:rPr>
            </w:pPr>
          </w:p>
        </w:tc>
      </w:tr>
      <w:tr w:rsidR="00BC5219" w:rsidRPr="008A2B8F" w14:paraId="5E31ED9F" w14:textId="77777777" w:rsidTr="00E83802">
        <w:trPr>
          <w:trHeight w:val="198"/>
        </w:trPr>
        <w:tc>
          <w:tcPr>
            <w:tcW w:w="4077" w:type="dxa"/>
            <w:gridSpan w:val="2"/>
            <w:tcBorders>
              <w:top w:val="nil"/>
              <w:left w:val="nil"/>
              <w:bottom w:val="single" w:sz="4" w:space="0" w:color="auto"/>
              <w:right w:val="nil"/>
            </w:tcBorders>
            <w:shd w:val="clear" w:color="auto" w:fill="auto"/>
            <w:noWrap/>
            <w:vAlign w:val="center"/>
            <w:hideMark/>
          </w:tcPr>
          <w:p w14:paraId="33A0AAD4" w14:textId="77777777" w:rsidR="00BC5219" w:rsidRPr="008A2B8F" w:rsidRDefault="00BC5219" w:rsidP="00E83802">
            <w:pPr>
              <w:rPr>
                <w:rFonts w:ascii="Meta Pro" w:eastAsia="Times New Roman" w:hAnsi="Meta Pro"/>
                <w:b/>
                <w:bCs/>
                <w:sz w:val="16"/>
                <w:szCs w:val="16"/>
                <w:lang w:eastAsia="en-AU"/>
              </w:rPr>
            </w:pPr>
            <w:r w:rsidRPr="008A2B8F">
              <w:rPr>
                <w:rFonts w:ascii="Meta Pro" w:eastAsia="Times New Roman" w:hAnsi="Meta Pro"/>
                <w:b/>
                <w:bCs/>
                <w:sz w:val="16"/>
                <w:szCs w:val="16"/>
                <w:lang w:eastAsia="en-AU"/>
              </w:rPr>
              <w:t>OPERATING RESULT FOR THE YEAR</w:t>
            </w:r>
          </w:p>
        </w:tc>
        <w:tc>
          <w:tcPr>
            <w:tcW w:w="1315" w:type="dxa"/>
            <w:tcBorders>
              <w:top w:val="nil"/>
              <w:left w:val="nil"/>
              <w:bottom w:val="single" w:sz="4" w:space="0" w:color="auto"/>
              <w:right w:val="nil"/>
            </w:tcBorders>
            <w:shd w:val="clear" w:color="auto" w:fill="auto"/>
            <w:noWrap/>
            <w:vAlign w:val="center"/>
            <w:hideMark/>
          </w:tcPr>
          <w:p w14:paraId="35C6535E"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14791A83"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315" w:type="dxa"/>
            <w:tcBorders>
              <w:top w:val="nil"/>
              <w:left w:val="nil"/>
              <w:bottom w:val="single" w:sz="4" w:space="0" w:color="auto"/>
              <w:right w:val="nil"/>
            </w:tcBorders>
            <w:shd w:val="clear" w:color="auto" w:fill="auto"/>
            <w:noWrap/>
            <w:vAlign w:val="center"/>
            <w:hideMark/>
          </w:tcPr>
          <w:p w14:paraId="04FAD382"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135,903 </w:t>
            </w:r>
          </w:p>
        </w:tc>
        <w:tc>
          <w:tcPr>
            <w:tcW w:w="198" w:type="dxa"/>
            <w:tcBorders>
              <w:top w:val="nil"/>
              <w:left w:val="nil"/>
              <w:bottom w:val="single" w:sz="4" w:space="0" w:color="auto"/>
              <w:right w:val="nil"/>
            </w:tcBorders>
            <w:shd w:val="clear" w:color="auto" w:fill="auto"/>
            <w:noWrap/>
            <w:vAlign w:val="center"/>
            <w:hideMark/>
          </w:tcPr>
          <w:p w14:paraId="2590D362"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315" w:type="dxa"/>
            <w:tcBorders>
              <w:top w:val="nil"/>
              <w:left w:val="nil"/>
              <w:bottom w:val="single" w:sz="4" w:space="0" w:color="auto"/>
              <w:right w:val="nil"/>
            </w:tcBorders>
            <w:shd w:val="clear" w:color="auto" w:fill="auto"/>
            <w:noWrap/>
            <w:vAlign w:val="center"/>
            <w:hideMark/>
          </w:tcPr>
          <w:p w14:paraId="400A1012"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5D176897"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315" w:type="dxa"/>
            <w:tcBorders>
              <w:top w:val="nil"/>
              <w:left w:val="nil"/>
              <w:bottom w:val="single" w:sz="4" w:space="0" w:color="auto"/>
              <w:right w:val="nil"/>
            </w:tcBorders>
            <w:shd w:val="clear" w:color="auto" w:fill="auto"/>
            <w:noWrap/>
            <w:vAlign w:val="center"/>
            <w:hideMark/>
          </w:tcPr>
          <w:p w14:paraId="661451D4"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34941E37"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315" w:type="dxa"/>
            <w:tcBorders>
              <w:top w:val="nil"/>
              <w:left w:val="nil"/>
              <w:bottom w:val="single" w:sz="4" w:space="0" w:color="auto"/>
              <w:right w:val="nil"/>
            </w:tcBorders>
            <w:shd w:val="clear" w:color="auto" w:fill="auto"/>
            <w:noWrap/>
            <w:vAlign w:val="center"/>
            <w:hideMark/>
          </w:tcPr>
          <w:p w14:paraId="3157E28C"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(185,904)</w:t>
            </w:r>
          </w:p>
        </w:tc>
        <w:tc>
          <w:tcPr>
            <w:tcW w:w="198" w:type="dxa"/>
            <w:tcBorders>
              <w:top w:val="nil"/>
              <w:left w:val="nil"/>
              <w:bottom w:val="single" w:sz="4" w:space="0" w:color="auto"/>
              <w:right w:val="nil"/>
            </w:tcBorders>
            <w:shd w:val="clear" w:color="auto" w:fill="auto"/>
            <w:noWrap/>
            <w:vAlign w:val="center"/>
            <w:hideMark/>
          </w:tcPr>
          <w:p w14:paraId="139AE20A"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315" w:type="dxa"/>
            <w:tcBorders>
              <w:top w:val="nil"/>
              <w:left w:val="nil"/>
              <w:bottom w:val="single" w:sz="4" w:space="0" w:color="auto"/>
              <w:right w:val="nil"/>
            </w:tcBorders>
            <w:shd w:val="clear" w:color="auto" w:fill="auto"/>
            <w:noWrap/>
            <w:vAlign w:val="center"/>
            <w:hideMark/>
          </w:tcPr>
          <w:p w14:paraId="37DE508E"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(11,078)</w:t>
            </w:r>
          </w:p>
        </w:tc>
        <w:tc>
          <w:tcPr>
            <w:tcW w:w="198" w:type="dxa"/>
            <w:tcBorders>
              <w:top w:val="nil"/>
              <w:left w:val="nil"/>
              <w:bottom w:val="single" w:sz="4" w:space="0" w:color="auto"/>
              <w:right w:val="nil"/>
            </w:tcBorders>
            <w:shd w:val="clear" w:color="auto" w:fill="auto"/>
            <w:noWrap/>
            <w:vAlign w:val="center"/>
            <w:hideMark/>
          </w:tcPr>
          <w:p w14:paraId="66C536E5"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315" w:type="dxa"/>
            <w:tcBorders>
              <w:top w:val="nil"/>
              <w:left w:val="nil"/>
              <w:bottom w:val="single" w:sz="4" w:space="0" w:color="auto"/>
              <w:right w:val="nil"/>
            </w:tcBorders>
            <w:shd w:val="clear" w:color="auto" w:fill="auto"/>
            <w:noWrap/>
            <w:vAlign w:val="center"/>
            <w:hideMark/>
          </w:tcPr>
          <w:p w14:paraId="36D7CAD4"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0F8D067A"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315" w:type="dxa"/>
            <w:tcBorders>
              <w:top w:val="nil"/>
              <w:left w:val="nil"/>
              <w:bottom w:val="single" w:sz="4" w:space="0" w:color="auto"/>
              <w:right w:val="nil"/>
            </w:tcBorders>
            <w:shd w:val="clear" w:color="auto" w:fill="auto"/>
            <w:noWrap/>
            <w:vAlign w:val="center"/>
            <w:hideMark/>
          </w:tcPr>
          <w:p w14:paraId="303E3988"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(61,079)</w:t>
            </w:r>
          </w:p>
        </w:tc>
      </w:tr>
      <w:tr w:rsidR="00BC5219" w:rsidRPr="008A2B8F" w14:paraId="0D93B056" w14:textId="77777777" w:rsidTr="00E83802">
        <w:trPr>
          <w:trHeight w:val="198"/>
        </w:trPr>
        <w:tc>
          <w:tcPr>
            <w:tcW w:w="454" w:type="dxa"/>
            <w:tcBorders>
              <w:top w:val="nil"/>
              <w:left w:val="nil"/>
              <w:bottom w:val="nil"/>
              <w:right w:val="nil"/>
            </w:tcBorders>
            <w:shd w:val="clear" w:color="auto" w:fill="auto"/>
            <w:noWrap/>
            <w:vAlign w:val="center"/>
            <w:hideMark/>
          </w:tcPr>
          <w:p w14:paraId="3C75D716" w14:textId="77777777" w:rsidR="00BC5219" w:rsidRPr="008A2B8F" w:rsidRDefault="00BC5219" w:rsidP="00E83802">
            <w:pPr>
              <w:jc w:val="right"/>
              <w:rPr>
                <w:rFonts w:ascii="Meta Pro" w:eastAsia="Times New Roman" w:hAnsi="Meta Pro"/>
                <w:b/>
                <w:bCs/>
                <w:sz w:val="16"/>
                <w:szCs w:val="16"/>
                <w:lang w:eastAsia="en-AU"/>
              </w:rPr>
            </w:pPr>
          </w:p>
        </w:tc>
        <w:tc>
          <w:tcPr>
            <w:tcW w:w="4077" w:type="dxa"/>
            <w:tcBorders>
              <w:top w:val="nil"/>
              <w:left w:val="nil"/>
              <w:bottom w:val="nil"/>
              <w:right w:val="nil"/>
            </w:tcBorders>
            <w:shd w:val="clear" w:color="auto" w:fill="auto"/>
            <w:noWrap/>
            <w:vAlign w:val="center"/>
            <w:hideMark/>
          </w:tcPr>
          <w:p w14:paraId="0FC9372B" w14:textId="77777777" w:rsidR="00BC5219" w:rsidRPr="008A2B8F" w:rsidRDefault="00BC5219" w:rsidP="00E83802">
            <w:pPr>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35562DBC" w14:textId="77777777" w:rsidR="00BC5219" w:rsidRPr="008A2B8F" w:rsidRDefault="00BC5219" w:rsidP="00E83802">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46255937" w14:textId="77777777" w:rsidR="00BC5219" w:rsidRPr="008A2B8F" w:rsidRDefault="00BC5219" w:rsidP="00E83802">
            <w:pPr>
              <w:jc w:val="right"/>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21DC7D9B" w14:textId="77777777" w:rsidR="00BC5219" w:rsidRPr="008A2B8F" w:rsidRDefault="00BC5219" w:rsidP="00E83802">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22CB68FE" w14:textId="77777777" w:rsidR="00BC5219" w:rsidRPr="008A2B8F" w:rsidRDefault="00BC5219" w:rsidP="00E83802">
            <w:pPr>
              <w:jc w:val="right"/>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7087AF43" w14:textId="77777777" w:rsidR="00BC5219" w:rsidRPr="008A2B8F" w:rsidRDefault="00BC5219" w:rsidP="00E83802">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205B9920" w14:textId="77777777" w:rsidR="00BC5219" w:rsidRPr="008A2B8F" w:rsidRDefault="00BC5219" w:rsidP="00E83802">
            <w:pPr>
              <w:jc w:val="right"/>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750E16CC" w14:textId="77777777" w:rsidR="00BC5219" w:rsidRPr="008A2B8F" w:rsidRDefault="00BC5219" w:rsidP="00E83802">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388D7676" w14:textId="77777777" w:rsidR="00BC5219" w:rsidRPr="008A2B8F" w:rsidRDefault="00BC5219" w:rsidP="00E83802">
            <w:pPr>
              <w:jc w:val="right"/>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26066B81" w14:textId="77777777" w:rsidR="00BC5219" w:rsidRPr="008A2B8F" w:rsidRDefault="00BC5219" w:rsidP="00E83802">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5F56F726" w14:textId="77777777" w:rsidR="00BC5219" w:rsidRPr="008A2B8F" w:rsidRDefault="00BC5219" w:rsidP="00E83802">
            <w:pPr>
              <w:jc w:val="right"/>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26544AFE" w14:textId="77777777" w:rsidR="00BC5219" w:rsidRPr="008A2B8F" w:rsidRDefault="00BC5219" w:rsidP="00E83802">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0ACDB21E" w14:textId="77777777" w:rsidR="00BC5219" w:rsidRPr="008A2B8F" w:rsidRDefault="00BC5219" w:rsidP="00E83802">
            <w:pPr>
              <w:jc w:val="right"/>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1036D316" w14:textId="77777777" w:rsidR="00BC5219" w:rsidRPr="008A2B8F" w:rsidRDefault="00BC5219" w:rsidP="00E83802">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224CB096" w14:textId="77777777" w:rsidR="00BC5219" w:rsidRPr="008A2B8F" w:rsidRDefault="00BC5219" w:rsidP="00E83802">
            <w:pPr>
              <w:jc w:val="right"/>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731F29CE"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17180C54" w14:textId="77777777" w:rsidTr="00E83802">
        <w:trPr>
          <w:trHeight w:val="198"/>
        </w:trPr>
        <w:tc>
          <w:tcPr>
            <w:tcW w:w="454" w:type="dxa"/>
            <w:tcBorders>
              <w:top w:val="nil"/>
              <w:left w:val="nil"/>
              <w:bottom w:val="nil"/>
              <w:right w:val="nil"/>
            </w:tcBorders>
            <w:shd w:val="clear" w:color="auto" w:fill="auto"/>
            <w:noWrap/>
            <w:vAlign w:val="center"/>
            <w:hideMark/>
          </w:tcPr>
          <w:p w14:paraId="75E08750" w14:textId="77777777" w:rsidR="00BC5219" w:rsidRPr="008A2B8F" w:rsidRDefault="00BC5219" w:rsidP="00E83802">
            <w:pPr>
              <w:jc w:val="right"/>
              <w:rPr>
                <w:rFonts w:ascii="Meta Pro" w:eastAsia="Times New Roman" w:hAnsi="Meta Pro" w:cs="Times New Roman"/>
                <w:sz w:val="20"/>
                <w:szCs w:val="20"/>
                <w:lang w:eastAsia="en-AU"/>
              </w:rPr>
            </w:pPr>
          </w:p>
        </w:tc>
        <w:tc>
          <w:tcPr>
            <w:tcW w:w="4077" w:type="dxa"/>
            <w:tcBorders>
              <w:top w:val="nil"/>
              <w:left w:val="nil"/>
              <w:bottom w:val="nil"/>
              <w:right w:val="nil"/>
            </w:tcBorders>
            <w:shd w:val="clear" w:color="auto" w:fill="auto"/>
            <w:noWrap/>
            <w:vAlign w:val="center"/>
            <w:hideMark/>
          </w:tcPr>
          <w:p w14:paraId="41B4117B" w14:textId="77777777" w:rsidR="00BC5219" w:rsidRPr="008A2B8F" w:rsidRDefault="00BC5219" w:rsidP="00E83802">
            <w:pPr>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340F7A9E" w14:textId="77777777" w:rsidR="00BC5219" w:rsidRPr="008A2B8F" w:rsidRDefault="00BC5219" w:rsidP="00E83802">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50DFDE8F" w14:textId="77777777" w:rsidR="00BC5219" w:rsidRPr="008A2B8F" w:rsidRDefault="00BC5219" w:rsidP="00E83802">
            <w:pPr>
              <w:jc w:val="right"/>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3769E1A7" w14:textId="77777777" w:rsidR="00BC5219" w:rsidRPr="008A2B8F" w:rsidRDefault="00BC5219" w:rsidP="00E83802">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74028501" w14:textId="77777777" w:rsidR="00BC5219" w:rsidRPr="008A2B8F" w:rsidRDefault="00BC5219" w:rsidP="00E83802">
            <w:pPr>
              <w:jc w:val="right"/>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1FB56031" w14:textId="77777777" w:rsidR="00BC5219" w:rsidRPr="008A2B8F" w:rsidRDefault="00BC5219" w:rsidP="00E83802">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0C37EFC7" w14:textId="77777777" w:rsidR="00BC5219" w:rsidRPr="008A2B8F" w:rsidRDefault="00BC5219" w:rsidP="00E83802">
            <w:pPr>
              <w:jc w:val="right"/>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58F64CB4" w14:textId="77777777" w:rsidR="00BC5219" w:rsidRPr="008A2B8F" w:rsidRDefault="00BC5219" w:rsidP="00E83802">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7BE9840E" w14:textId="77777777" w:rsidR="00BC5219" w:rsidRPr="008A2B8F" w:rsidRDefault="00BC5219" w:rsidP="00E83802">
            <w:pPr>
              <w:jc w:val="right"/>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487C1827" w14:textId="77777777" w:rsidR="00BC5219" w:rsidRPr="008A2B8F" w:rsidRDefault="00BC5219" w:rsidP="00E83802">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5BB76ECD" w14:textId="77777777" w:rsidR="00BC5219" w:rsidRPr="008A2B8F" w:rsidRDefault="00BC5219" w:rsidP="00E83802">
            <w:pPr>
              <w:jc w:val="right"/>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27229820" w14:textId="77777777" w:rsidR="00BC5219" w:rsidRPr="008A2B8F" w:rsidRDefault="00BC5219" w:rsidP="00E83802">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7532BB72" w14:textId="77777777" w:rsidR="00BC5219" w:rsidRPr="008A2B8F" w:rsidRDefault="00BC5219" w:rsidP="00E83802">
            <w:pPr>
              <w:jc w:val="right"/>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364DEA9E" w14:textId="77777777" w:rsidR="00BC5219" w:rsidRPr="008A2B8F" w:rsidRDefault="00BC5219" w:rsidP="00E83802">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662E7FF2" w14:textId="77777777" w:rsidR="00BC5219" w:rsidRPr="008A2B8F" w:rsidRDefault="00BC5219" w:rsidP="00E83802">
            <w:pPr>
              <w:jc w:val="right"/>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20EF4ADF"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00D37390" w14:textId="77777777" w:rsidTr="00E83802">
        <w:trPr>
          <w:trHeight w:val="198"/>
        </w:trPr>
        <w:tc>
          <w:tcPr>
            <w:tcW w:w="4077" w:type="dxa"/>
            <w:gridSpan w:val="2"/>
            <w:tcBorders>
              <w:top w:val="nil"/>
              <w:left w:val="nil"/>
              <w:bottom w:val="nil"/>
              <w:right w:val="nil"/>
            </w:tcBorders>
            <w:shd w:val="clear" w:color="auto" w:fill="auto"/>
            <w:noWrap/>
            <w:vAlign w:val="center"/>
            <w:hideMark/>
          </w:tcPr>
          <w:p w14:paraId="109DB8A7" w14:textId="77777777" w:rsidR="00BC5219" w:rsidRPr="008A2B8F" w:rsidRDefault="00BC5219" w:rsidP="00E83802">
            <w:pPr>
              <w:rPr>
                <w:rFonts w:ascii="Meta Pro" w:eastAsia="Times New Roman" w:hAnsi="Meta Pro"/>
                <w:b/>
                <w:bCs/>
                <w:sz w:val="16"/>
                <w:szCs w:val="16"/>
                <w:lang w:eastAsia="en-AU"/>
              </w:rPr>
            </w:pPr>
            <w:r w:rsidRPr="008A2B8F">
              <w:rPr>
                <w:rFonts w:ascii="Meta Pro" w:eastAsia="Times New Roman" w:hAnsi="Meta Pro"/>
                <w:b/>
                <w:bCs/>
                <w:sz w:val="16"/>
                <w:szCs w:val="16"/>
                <w:lang w:eastAsia="en-AU"/>
              </w:rPr>
              <w:t>Items not reclassified to operating result</w:t>
            </w:r>
          </w:p>
        </w:tc>
        <w:tc>
          <w:tcPr>
            <w:tcW w:w="1315" w:type="dxa"/>
            <w:tcBorders>
              <w:top w:val="nil"/>
              <w:left w:val="nil"/>
              <w:bottom w:val="nil"/>
              <w:right w:val="nil"/>
            </w:tcBorders>
            <w:shd w:val="clear" w:color="auto" w:fill="auto"/>
            <w:noWrap/>
            <w:vAlign w:val="center"/>
            <w:hideMark/>
          </w:tcPr>
          <w:p w14:paraId="0DC192BF" w14:textId="77777777" w:rsidR="00BC5219" w:rsidRPr="008A2B8F" w:rsidRDefault="00BC5219" w:rsidP="00E83802">
            <w:pPr>
              <w:rPr>
                <w:rFonts w:ascii="Meta Pro" w:eastAsia="Times New Roman" w:hAnsi="Meta Pro"/>
                <w:b/>
                <w:bCs/>
                <w:sz w:val="16"/>
                <w:szCs w:val="16"/>
                <w:lang w:eastAsia="en-AU"/>
              </w:rPr>
            </w:pPr>
          </w:p>
        </w:tc>
        <w:tc>
          <w:tcPr>
            <w:tcW w:w="198" w:type="dxa"/>
            <w:tcBorders>
              <w:top w:val="nil"/>
              <w:left w:val="nil"/>
              <w:bottom w:val="nil"/>
              <w:right w:val="nil"/>
            </w:tcBorders>
            <w:shd w:val="clear" w:color="auto" w:fill="auto"/>
            <w:noWrap/>
            <w:vAlign w:val="center"/>
            <w:hideMark/>
          </w:tcPr>
          <w:p w14:paraId="56276614" w14:textId="77777777" w:rsidR="00BC5219" w:rsidRPr="008A2B8F" w:rsidRDefault="00BC5219" w:rsidP="00E83802">
            <w:pPr>
              <w:jc w:val="right"/>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4083EC0D" w14:textId="77777777" w:rsidR="00BC5219" w:rsidRPr="008A2B8F" w:rsidRDefault="00BC5219" w:rsidP="00E83802">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20037FF2" w14:textId="77777777" w:rsidR="00BC5219" w:rsidRPr="008A2B8F" w:rsidRDefault="00BC5219" w:rsidP="00E83802">
            <w:pPr>
              <w:jc w:val="right"/>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41503CDB" w14:textId="77777777" w:rsidR="00BC5219" w:rsidRPr="008A2B8F" w:rsidRDefault="00BC5219" w:rsidP="00E83802">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3E3B8483" w14:textId="77777777" w:rsidR="00BC5219" w:rsidRPr="008A2B8F" w:rsidRDefault="00BC5219" w:rsidP="00E83802">
            <w:pPr>
              <w:jc w:val="right"/>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0C575F19" w14:textId="77777777" w:rsidR="00BC5219" w:rsidRPr="008A2B8F" w:rsidRDefault="00BC5219" w:rsidP="00E83802">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0EE7FCD4" w14:textId="77777777" w:rsidR="00BC5219" w:rsidRPr="008A2B8F" w:rsidRDefault="00BC5219" w:rsidP="00E83802">
            <w:pPr>
              <w:jc w:val="right"/>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74DB1413" w14:textId="77777777" w:rsidR="00BC5219" w:rsidRPr="008A2B8F" w:rsidRDefault="00BC5219" w:rsidP="00E83802">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139E0C8C" w14:textId="77777777" w:rsidR="00BC5219" w:rsidRPr="008A2B8F" w:rsidRDefault="00BC5219" w:rsidP="00E83802">
            <w:pPr>
              <w:jc w:val="right"/>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31542336" w14:textId="77777777" w:rsidR="00BC5219" w:rsidRPr="008A2B8F" w:rsidRDefault="00BC5219" w:rsidP="00E83802">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03D7ABFB" w14:textId="77777777" w:rsidR="00BC5219" w:rsidRPr="008A2B8F" w:rsidRDefault="00BC5219" w:rsidP="00E83802">
            <w:pPr>
              <w:jc w:val="right"/>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03ED7C1A" w14:textId="77777777" w:rsidR="00BC5219" w:rsidRPr="008A2B8F" w:rsidRDefault="00BC5219" w:rsidP="00E83802">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48BEA299" w14:textId="77777777" w:rsidR="00BC5219" w:rsidRPr="008A2B8F" w:rsidRDefault="00BC5219" w:rsidP="00E83802">
            <w:pPr>
              <w:jc w:val="right"/>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5470A76A"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3CF2E32F" w14:textId="77777777" w:rsidTr="00E83802">
        <w:trPr>
          <w:trHeight w:val="198"/>
        </w:trPr>
        <w:tc>
          <w:tcPr>
            <w:tcW w:w="454" w:type="dxa"/>
            <w:tcBorders>
              <w:top w:val="nil"/>
              <w:left w:val="nil"/>
              <w:bottom w:val="single" w:sz="4" w:space="0" w:color="auto"/>
              <w:right w:val="nil"/>
            </w:tcBorders>
            <w:shd w:val="clear" w:color="auto" w:fill="auto"/>
            <w:noWrap/>
            <w:vAlign w:val="center"/>
            <w:hideMark/>
          </w:tcPr>
          <w:p w14:paraId="4B051DEC"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4077" w:type="dxa"/>
            <w:tcBorders>
              <w:top w:val="nil"/>
              <w:left w:val="nil"/>
              <w:bottom w:val="nil"/>
              <w:right w:val="nil"/>
            </w:tcBorders>
            <w:shd w:val="clear" w:color="auto" w:fill="auto"/>
            <w:noWrap/>
            <w:vAlign w:val="center"/>
            <w:hideMark/>
          </w:tcPr>
          <w:p w14:paraId="1E59D2EF"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Increase in asset revaluation surplus</w:t>
            </w:r>
          </w:p>
        </w:tc>
        <w:tc>
          <w:tcPr>
            <w:tcW w:w="1315" w:type="dxa"/>
            <w:tcBorders>
              <w:top w:val="nil"/>
              <w:left w:val="nil"/>
              <w:bottom w:val="single" w:sz="4" w:space="0" w:color="auto"/>
              <w:right w:val="nil"/>
            </w:tcBorders>
            <w:shd w:val="clear" w:color="auto" w:fill="auto"/>
            <w:noWrap/>
            <w:vAlign w:val="center"/>
            <w:hideMark/>
          </w:tcPr>
          <w:p w14:paraId="76FDE4DA"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652 </w:t>
            </w:r>
          </w:p>
        </w:tc>
        <w:tc>
          <w:tcPr>
            <w:tcW w:w="198" w:type="dxa"/>
            <w:tcBorders>
              <w:top w:val="nil"/>
              <w:left w:val="nil"/>
              <w:bottom w:val="single" w:sz="4" w:space="0" w:color="auto"/>
              <w:right w:val="nil"/>
            </w:tcBorders>
            <w:shd w:val="clear" w:color="auto" w:fill="auto"/>
            <w:noWrap/>
            <w:vAlign w:val="center"/>
            <w:hideMark/>
          </w:tcPr>
          <w:p w14:paraId="05416AB9"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1315" w:type="dxa"/>
            <w:tcBorders>
              <w:top w:val="nil"/>
              <w:left w:val="nil"/>
              <w:bottom w:val="single" w:sz="4" w:space="0" w:color="auto"/>
              <w:right w:val="nil"/>
            </w:tcBorders>
            <w:shd w:val="clear" w:color="auto" w:fill="auto"/>
            <w:noWrap/>
            <w:vAlign w:val="center"/>
            <w:hideMark/>
          </w:tcPr>
          <w:p w14:paraId="39A7E17F"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10,571,551 </w:t>
            </w:r>
          </w:p>
        </w:tc>
        <w:tc>
          <w:tcPr>
            <w:tcW w:w="198" w:type="dxa"/>
            <w:tcBorders>
              <w:top w:val="nil"/>
              <w:left w:val="nil"/>
              <w:bottom w:val="single" w:sz="4" w:space="0" w:color="auto"/>
              <w:right w:val="nil"/>
            </w:tcBorders>
            <w:shd w:val="clear" w:color="auto" w:fill="auto"/>
            <w:noWrap/>
            <w:vAlign w:val="center"/>
            <w:hideMark/>
          </w:tcPr>
          <w:p w14:paraId="78829801"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1315" w:type="dxa"/>
            <w:tcBorders>
              <w:top w:val="nil"/>
              <w:left w:val="nil"/>
              <w:bottom w:val="single" w:sz="4" w:space="0" w:color="auto"/>
              <w:right w:val="nil"/>
            </w:tcBorders>
            <w:shd w:val="clear" w:color="auto" w:fill="auto"/>
            <w:noWrap/>
            <w:vAlign w:val="center"/>
            <w:hideMark/>
          </w:tcPr>
          <w:p w14:paraId="450E5A85"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11,612 </w:t>
            </w:r>
          </w:p>
        </w:tc>
        <w:tc>
          <w:tcPr>
            <w:tcW w:w="198" w:type="dxa"/>
            <w:tcBorders>
              <w:top w:val="nil"/>
              <w:left w:val="nil"/>
              <w:bottom w:val="single" w:sz="4" w:space="0" w:color="auto"/>
              <w:right w:val="nil"/>
            </w:tcBorders>
            <w:shd w:val="clear" w:color="auto" w:fill="auto"/>
            <w:noWrap/>
            <w:vAlign w:val="center"/>
            <w:hideMark/>
          </w:tcPr>
          <w:p w14:paraId="52B37968"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1315" w:type="dxa"/>
            <w:tcBorders>
              <w:top w:val="nil"/>
              <w:left w:val="nil"/>
              <w:bottom w:val="single" w:sz="4" w:space="0" w:color="auto"/>
              <w:right w:val="nil"/>
            </w:tcBorders>
            <w:shd w:val="clear" w:color="auto" w:fill="auto"/>
            <w:noWrap/>
            <w:vAlign w:val="center"/>
            <w:hideMark/>
          </w:tcPr>
          <w:p w14:paraId="4A45637F"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1,642 </w:t>
            </w:r>
          </w:p>
        </w:tc>
        <w:tc>
          <w:tcPr>
            <w:tcW w:w="198" w:type="dxa"/>
            <w:tcBorders>
              <w:top w:val="nil"/>
              <w:left w:val="nil"/>
              <w:bottom w:val="single" w:sz="4" w:space="0" w:color="auto"/>
              <w:right w:val="nil"/>
            </w:tcBorders>
            <w:shd w:val="clear" w:color="auto" w:fill="auto"/>
            <w:noWrap/>
            <w:vAlign w:val="center"/>
            <w:hideMark/>
          </w:tcPr>
          <w:p w14:paraId="6306DB5F"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1315" w:type="dxa"/>
            <w:tcBorders>
              <w:top w:val="nil"/>
              <w:left w:val="nil"/>
              <w:bottom w:val="single" w:sz="4" w:space="0" w:color="auto"/>
              <w:right w:val="nil"/>
            </w:tcBorders>
            <w:shd w:val="clear" w:color="auto" w:fill="auto"/>
            <w:noWrap/>
            <w:vAlign w:val="center"/>
            <w:hideMark/>
          </w:tcPr>
          <w:p w14:paraId="191ABC5B"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172,400 </w:t>
            </w:r>
          </w:p>
        </w:tc>
        <w:tc>
          <w:tcPr>
            <w:tcW w:w="198" w:type="dxa"/>
            <w:tcBorders>
              <w:top w:val="nil"/>
              <w:left w:val="nil"/>
              <w:bottom w:val="single" w:sz="4" w:space="0" w:color="auto"/>
              <w:right w:val="nil"/>
            </w:tcBorders>
            <w:shd w:val="clear" w:color="auto" w:fill="auto"/>
            <w:noWrap/>
            <w:vAlign w:val="center"/>
            <w:hideMark/>
          </w:tcPr>
          <w:p w14:paraId="31B8B7AA"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1315" w:type="dxa"/>
            <w:tcBorders>
              <w:top w:val="nil"/>
              <w:left w:val="nil"/>
              <w:bottom w:val="single" w:sz="4" w:space="0" w:color="auto"/>
              <w:right w:val="nil"/>
            </w:tcBorders>
            <w:shd w:val="clear" w:color="auto" w:fill="auto"/>
            <w:noWrap/>
            <w:vAlign w:val="center"/>
            <w:hideMark/>
          </w:tcPr>
          <w:p w14:paraId="166ACEF9"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43 </w:t>
            </w:r>
          </w:p>
        </w:tc>
        <w:tc>
          <w:tcPr>
            <w:tcW w:w="198" w:type="dxa"/>
            <w:tcBorders>
              <w:top w:val="nil"/>
              <w:left w:val="nil"/>
              <w:bottom w:val="single" w:sz="4" w:space="0" w:color="auto"/>
              <w:right w:val="nil"/>
            </w:tcBorders>
            <w:shd w:val="clear" w:color="auto" w:fill="auto"/>
            <w:noWrap/>
            <w:vAlign w:val="center"/>
            <w:hideMark/>
          </w:tcPr>
          <w:p w14:paraId="1A92F49C"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1315" w:type="dxa"/>
            <w:tcBorders>
              <w:top w:val="nil"/>
              <w:left w:val="nil"/>
              <w:bottom w:val="single" w:sz="4" w:space="0" w:color="auto"/>
              <w:right w:val="nil"/>
            </w:tcBorders>
            <w:shd w:val="clear" w:color="auto" w:fill="auto"/>
            <w:noWrap/>
            <w:vAlign w:val="center"/>
            <w:hideMark/>
          </w:tcPr>
          <w:p w14:paraId="12BEC976"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3C435D9A"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1315" w:type="dxa"/>
            <w:tcBorders>
              <w:top w:val="nil"/>
              <w:left w:val="nil"/>
              <w:bottom w:val="single" w:sz="4" w:space="0" w:color="auto"/>
              <w:right w:val="nil"/>
            </w:tcBorders>
            <w:shd w:val="clear" w:color="auto" w:fill="auto"/>
            <w:noWrap/>
            <w:vAlign w:val="center"/>
            <w:hideMark/>
          </w:tcPr>
          <w:p w14:paraId="7F6ABD73"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10,757,900 </w:t>
            </w:r>
          </w:p>
        </w:tc>
      </w:tr>
      <w:tr w:rsidR="00BC5219" w:rsidRPr="008A2B8F" w14:paraId="1AFAB12F" w14:textId="77777777" w:rsidTr="00E83802">
        <w:trPr>
          <w:trHeight w:val="198"/>
        </w:trPr>
        <w:tc>
          <w:tcPr>
            <w:tcW w:w="4077" w:type="dxa"/>
            <w:gridSpan w:val="2"/>
            <w:tcBorders>
              <w:top w:val="single" w:sz="4" w:space="0" w:color="auto"/>
              <w:left w:val="nil"/>
              <w:bottom w:val="single" w:sz="4" w:space="0" w:color="auto"/>
              <w:right w:val="nil"/>
            </w:tcBorders>
            <w:shd w:val="clear" w:color="auto" w:fill="auto"/>
            <w:noWrap/>
            <w:vAlign w:val="center"/>
            <w:hideMark/>
          </w:tcPr>
          <w:p w14:paraId="4D024609" w14:textId="77777777" w:rsidR="00BC5219" w:rsidRPr="008A2B8F" w:rsidRDefault="00BC5219" w:rsidP="00E83802">
            <w:pPr>
              <w:rPr>
                <w:rFonts w:ascii="Meta Pro" w:eastAsia="Times New Roman" w:hAnsi="Meta Pro"/>
                <w:b/>
                <w:bCs/>
                <w:sz w:val="16"/>
                <w:szCs w:val="16"/>
                <w:lang w:eastAsia="en-AU"/>
              </w:rPr>
            </w:pPr>
            <w:r w:rsidRPr="008A2B8F">
              <w:rPr>
                <w:rFonts w:ascii="Meta Pro" w:eastAsia="Times New Roman" w:hAnsi="Meta Pro"/>
                <w:b/>
                <w:bCs/>
                <w:sz w:val="16"/>
                <w:szCs w:val="16"/>
                <w:lang w:eastAsia="en-AU"/>
              </w:rPr>
              <w:t>Total other comprehensive income</w:t>
            </w:r>
          </w:p>
        </w:tc>
        <w:tc>
          <w:tcPr>
            <w:tcW w:w="1315" w:type="dxa"/>
            <w:tcBorders>
              <w:top w:val="nil"/>
              <w:left w:val="nil"/>
              <w:bottom w:val="single" w:sz="4" w:space="0" w:color="auto"/>
              <w:right w:val="nil"/>
            </w:tcBorders>
            <w:shd w:val="clear" w:color="auto" w:fill="auto"/>
            <w:noWrap/>
            <w:vAlign w:val="center"/>
            <w:hideMark/>
          </w:tcPr>
          <w:p w14:paraId="6B459771"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652 </w:t>
            </w:r>
          </w:p>
        </w:tc>
        <w:tc>
          <w:tcPr>
            <w:tcW w:w="198" w:type="dxa"/>
            <w:tcBorders>
              <w:top w:val="nil"/>
              <w:left w:val="nil"/>
              <w:bottom w:val="single" w:sz="4" w:space="0" w:color="auto"/>
              <w:right w:val="nil"/>
            </w:tcBorders>
            <w:shd w:val="clear" w:color="auto" w:fill="auto"/>
            <w:noWrap/>
            <w:vAlign w:val="center"/>
            <w:hideMark/>
          </w:tcPr>
          <w:p w14:paraId="67CFB186"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315" w:type="dxa"/>
            <w:tcBorders>
              <w:top w:val="nil"/>
              <w:left w:val="nil"/>
              <w:bottom w:val="single" w:sz="4" w:space="0" w:color="auto"/>
              <w:right w:val="nil"/>
            </w:tcBorders>
            <w:shd w:val="clear" w:color="auto" w:fill="auto"/>
            <w:noWrap/>
            <w:vAlign w:val="center"/>
            <w:hideMark/>
          </w:tcPr>
          <w:p w14:paraId="25DA5C0A"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10,571,551 </w:t>
            </w:r>
          </w:p>
        </w:tc>
        <w:tc>
          <w:tcPr>
            <w:tcW w:w="198" w:type="dxa"/>
            <w:tcBorders>
              <w:top w:val="nil"/>
              <w:left w:val="nil"/>
              <w:bottom w:val="single" w:sz="4" w:space="0" w:color="auto"/>
              <w:right w:val="nil"/>
            </w:tcBorders>
            <w:shd w:val="clear" w:color="auto" w:fill="auto"/>
            <w:noWrap/>
            <w:vAlign w:val="center"/>
            <w:hideMark/>
          </w:tcPr>
          <w:p w14:paraId="4509B6DC"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315" w:type="dxa"/>
            <w:tcBorders>
              <w:top w:val="nil"/>
              <w:left w:val="nil"/>
              <w:bottom w:val="single" w:sz="4" w:space="0" w:color="auto"/>
              <w:right w:val="nil"/>
            </w:tcBorders>
            <w:shd w:val="clear" w:color="auto" w:fill="auto"/>
            <w:noWrap/>
            <w:vAlign w:val="center"/>
            <w:hideMark/>
          </w:tcPr>
          <w:p w14:paraId="20B8FDDA"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11,612 </w:t>
            </w:r>
          </w:p>
        </w:tc>
        <w:tc>
          <w:tcPr>
            <w:tcW w:w="198" w:type="dxa"/>
            <w:tcBorders>
              <w:top w:val="nil"/>
              <w:left w:val="nil"/>
              <w:bottom w:val="single" w:sz="4" w:space="0" w:color="auto"/>
              <w:right w:val="nil"/>
            </w:tcBorders>
            <w:shd w:val="clear" w:color="auto" w:fill="auto"/>
            <w:noWrap/>
            <w:vAlign w:val="center"/>
            <w:hideMark/>
          </w:tcPr>
          <w:p w14:paraId="73EF4532"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315" w:type="dxa"/>
            <w:tcBorders>
              <w:top w:val="nil"/>
              <w:left w:val="nil"/>
              <w:bottom w:val="single" w:sz="4" w:space="0" w:color="auto"/>
              <w:right w:val="nil"/>
            </w:tcBorders>
            <w:shd w:val="clear" w:color="auto" w:fill="auto"/>
            <w:noWrap/>
            <w:vAlign w:val="center"/>
            <w:hideMark/>
          </w:tcPr>
          <w:p w14:paraId="3D3E876D"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1,642 </w:t>
            </w:r>
          </w:p>
        </w:tc>
        <w:tc>
          <w:tcPr>
            <w:tcW w:w="198" w:type="dxa"/>
            <w:tcBorders>
              <w:top w:val="nil"/>
              <w:left w:val="nil"/>
              <w:bottom w:val="single" w:sz="4" w:space="0" w:color="auto"/>
              <w:right w:val="nil"/>
            </w:tcBorders>
            <w:shd w:val="clear" w:color="auto" w:fill="auto"/>
            <w:noWrap/>
            <w:vAlign w:val="center"/>
            <w:hideMark/>
          </w:tcPr>
          <w:p w14:paraId="22DE289B"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315" w:type="dxa"/>
            <w:tcBorders>
              <w:top w:val="nil"/>
              <w:left w:val="nil"/>
              <w:bottom w:val="single" w:sz="4" w:space="0" w:color="auto"/>
              <w:right w:val="nil"/>
            </w:tcBorders>
            <w:shd w:val="clear" w:color="auto" w:fill="auto"/>
            <w:noWrap/>
            <w:vAlign w:val="center"/>
            <w:hideMark/>
          </w:tcPr>
          <w:p w14:paraId="3FC88B24"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172,400 </w:t>
            </w:r>
          </w:p>
        </w:tc>
        <w:tc>
          <w:tcPr>
            <w:tcW w:w="198" w:type="dxa"/>
            <w:tcBorders>
              <w:top w:val="nil"/>
              <w:left w:val="nil"/>
              <w:bottom w:val="single" w:sz="4" w:space="0" w:color="auto"/>
              <w:right w:val="nil"/>
            </w:tcBorders>
            <w:shd w:val="clear" w:color="auto" w:fill="auto"/>
            <w:noWrap/>
            <w:vAlign w:val="center"/>
            <w:hideMark/>
          </w:tcPr>
          <w:p w14:paraId="0B8EACD6"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315" w:type="dxa"/>
            <w:tcBorders>
              <w:top w:val="nil"/>
              <w:left w:val="nil"/>
              <w:bottom w:val="single" w:sz="4" w:space="0" w:color="auto"/>
              <w:right w:val="nil"/>
            </w:tcBorders>
            <w:shd w:val="clear" w:color="auto" w:fill="auto"/>
            <w:noWrap/>
            <w:vAlign w:val="center"/>
            <w:hideMark/>
          </w:tcPr>
          <w:p w14:paraId="7B894F87"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43 </w:t>
            </w:r>
          </w:p>
        </w:tc>
        <w:tc>
          <w:tcPr>
            <w:tcW w:w="198" w:type="dxa"/>
            <w:tcBorders>
              <w:top w:val="nil"/>
              <w:left w:val="nil"/>
              <w:bottom w:val="single" w:sz="4" w:space="0" w:color="auto"/>
              <w:right w:val="nil"/>
            </w:tcBorders>
            <w:shd w:val="clear" w:color="auto" w:fill="auto"/>
            <w:noWrap/>
            <w:vAlign w:val="center"/>
            <w:hideMark/>
          </w:tcPr>
          <w:p w14:paraId="5DBCDA50"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315" w:type="dxa"/>
            <w:tcBorders>
              <w:top w:val="nil"/>
              <w:left w:val="nil"/>
              <w:bottom w:val="single" w:sz="4" w:space="0" w:color="auto"/>
              <w:right w:val="nil"/>
            </w:tcBorders>
            <w:shd w:val="clear" w:color="auto" w:fill="auto"/>
            <w:noWrap/>
            <w:vAlign w:val="center"/>
            <w:hideMark/>
          </w:tcPr>
          <w:p w14:paraId="31101B09"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51E9F84B"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315" w:type="dxa"/>
            <w:tcBorders>
              <w:top w:val="nil"/>
              <w:left w:val="nil"/>
              <w:bottom w:val="single" w:sz="4" w:space="0" w:color="auto"/>
              <w:right w:val="nil"/>
            </w:tcBorders>
            <w:shd w:val="clear" w:color="auto" w:fill="auto"/>
            <w:noWrap/>
            <w:vAlign w:val="center"/>
            <w:hideMark/>
          </w:tcPr>
          <w:p w14:paraId="17E72ECA"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10,757,900 </w:t>
            </w:r>
          </w:p>
        </w:tc>
      </w:tr>
      <w:tr w:rsidR="00BC5219" w:rsidRPr="008A2B8F" w14:paraId="44C39082" w14:textId="77777777" w:rsidTr="00E83802">
        <w:trPr>
          <w:trHeight w:val="198"/>
        </w:trPr>
        <w:tc>
          <w:tcPr>
            <w:tcW w:w="454" w:type="dxa"/>
            <w:tcBorders>
              <w:top w:val="nil"/>
              <w:left w:val="nil"/>
              <w:bottom w:val="nil"/>
              <w:right w:val="nil"/>
            </w:tcBorders>
            <w:shd w:val="clear" w:color="auto" w:fill="auto"/>
            <w:noWrap/>
            <w:vAlign w:val="center"/>
            <w:hideMark/>
          </w:tcPr>
          <w:p w14:paraId="1E6C1B96" w14:textId="77777777" w:rsidR="00BC5219" w:rsidRPr="008A2B8F" w:rsidRDefault="00BC5219" w:rsidP="00E83802">
            <w:pPr>
              <w:jc w:val="right"/>
              <w:rPr>
                <w:rFonts w:ascii="Meta Pro" w:eastAsia="Times New Roman" w:hAnsi="Meta Pro"/>
                <w:b/>
                <w:bCs/>
                <w:sz w:val="16"/>
                <w:szCs w:val="16"/>
                <w:lang w:eastAsia="en-AU"/>
              </w:rPr>
            </w:pPr>
          </w:p>
        </w:tc>
        <w:tc>
          <w:tcPr>
            <w:tcW w:w="4077" w:type="dxa"/>
            <w:tcBorders>
              <w:top w:val="nil"/>
              <w:left w:val="nil"/>
              <w:bottom w:val="nil"/>
              <w:right w:val="nil"/>
            </w:tcBorders>
            <w:shd w:val="clear" w:color="auto" w:fill="auto"/>
            <w:vAlign w:val="center"/>
            <w:hideMark/>
          </w:tcPr>
          <w:p w14:paraId="346B1638" w14:textId="77777777" w:rsidR="00BC5219" w:rsidRPr="008A2B8F" w:rsidRDefault="00BC5219" w:rsidP="00E83802">
            <w:pPr>
              <w:rPr>
                <w:rFonts w:ascii="Meta Pro" w:eastAsia="Times New Roman" w:hAnsi="Meta Pro" w:cs="Times New Roman"/>
                <w:sz w:val="20"/>
                <w:szCs w:val="20"/>
                <w:lang w:eastAsia="en-AU"/>
              </w:rPr>
            </w:pPr>
          </w:p>
        </w:tc>
        <w:tc>
          <w:tcPr>
            <w:tcW w:w="1315" w:type="dxa"/>
            <w:tcBorders>
              <w:top w:val="nil"/>
              <w:left w:val="nil"/>
              <w:bottom w:val="nil"/>
              <w:right w:val="nil"/>
            </w:tcBorders>
            <w:shd w:val="clear" w:color="auto" w:fill="auto"/>
            <w:noWrap/>
            <w:vAlign w:val="center"/>
            <w:hideMark/>
          </w:tcPr>
          <w:p w14:paraId="0B403C30"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98" w:type="dxa"/>
            <w:tcBorders>
              <w:top w:val="nil"/>
              <w:left w:val="nil"/>
              <w:bottom w:val="nil"/>
              <w:right w:val="nil"/>
            </w:tcBorders>
            <w:shd w:val="clear" w:color="auto" w:fill="auto"/>
            <w:noWrap/>
            <w:vAlign w:val="center"/>
            <w:hideMark/>
          </w:tcPr>
          <w:p w14:paraId="3A51A8BF"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315" w:type="dxa"/>
            <w:tcBorders>
              <w:top w:val="nil"/>
              <w:left w:val="nil"/>
              <w:bottom w:val="nil"/>
              <w:right w:val="nil"/>
            </w:tcBorders>
            <w:shd w:val="clear" w:color="auto" w:fill="auto"/>
            <w:noWrap/>
            <w:vAlign w:val="center"/>
            <w:hideMark/>
          </w:tcPr>
          <w:p w14:paraId="69C380C6"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98" w:type="dxa"/>
            <w:tcBorders>
              <w:top w:val="nil"/>
              <w:left w:val="nil"/>
              <w:bottom w:val="nil"/>
              <w:right w:val="nil"/>
            </w:tcBorders>
            <w:shd w:val="clear" w:color="auto" w:fill="auto"/>
            <w:noWrap/>
            <w:vAlign w:val="center"/>
            <w:hideMark/>
          </w:tcPr>
          <w:p w14:paraId="0C302086"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315" w:type="dxa"/>
            <w:tcBorders>
              <w:top w:val="nil"/>
              <w:left w:val="nil"/>
              <w:bottom w:val="nil"/>
              <w:right w:val="nil"/>
            </w:tcBorders>
            <w:shd w:val="clear" w:color="auto" w:fill="auto"/>
            <w:noWrap/>
            <w:vAlign w:val="center"/>
            <w:hideMark/>
          </w:tcPr>
          <w:p w14:paraId="2D5C5A12"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98" w:type="dxa"/>
            <w:tcBorders>
              <w:top w:val="nil"/>
              <w:left w:val="nil"/>
              <w:bottom w:val="nil"/>
              <w:right w:val="nil"/>
            </w:tcBorders>
            <w:shd w:val="clear" w:color="auto" w:fill="auto"/>
            <w:noWrap/>
            <w:vAlign w:val="center"/>
            <w:hideMark/>
          </w:tcPr>
          <w:p w14:paraId="4AF83084"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315" w:type="dxa"/>
            <w:tcBorders>
              <w:top w:val="nil"/>
              <w:left w:val="nil"/>
              <w:bottom w:val="nil"/>
              <w:right w:val="nil"/>
            </w:tcBorders>
            <w:shd w:val="clear" w:color="auto" w:fill="auto"/>
            <w:noWrap/>
            <w:vAlign w:val="center"/>
            <w:hideMark/>
          </w:tcPr>
          <w:p w14:paraId="2E6A18D6"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98" w:type="dxa"/>
            <w:tcBorders>
              <w:top w:val="nil"/>
              <w:left w:val="nil"/>
              <w:bottom w:val="nil"/>
              <w:right w:val="nil"/>
            </w:tcBorders>
            <w:shd w:val="clear" w:color="auto" w:fill="auto"/>
            <w:noWrap/>
            <w:vAlign w:val="center"/>
            <w:hideMark/>
          </w:tcPr>
          <w:p w14:paraId="37479E43"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315" w:type="dxa"/>
            <w:tcBorders>
              <w:top w:val="nil"/>
              <w:left w:val="nil"/>
              <w:bottom w:val="nil"/>
              <w:right w:val="nil"/>
            </w:tcBorders>
            <w:shd w:val="clear" w:color="auto" w:fill="auto"/>
            <w:noWrap/>
            <w:vAlign w:val="center"/>
            <w:hideMark/>
          </w:tcPr>
          <w:p w14:paraId="518F45FB"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98" w:type="dxa"/>
            <w:tcBorders>
              <w:top w:val="nil"/>
              <w:left w:val="nil"/>
              <w:bottom w:val="nil"/>
              <w:right w:val="nil"/>
            </w:tcBorders>
            <w:shd w:val="clear" w:color="auto" w:fill="auto"/>
            <w:noWrap/>
            <w:vAlign w:val="center"/>
            <w:hideMark/>
          </w:tcPr>
          <w:p w14:paraId="007C9FA1"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315" w:type="dxa"/>
            <w:tcBorders>
              <w:top w:val="nil"/>
              <w:left w:val="nil"/>
              <w:bottom w:val="nil"/>
              <w:right w:val="nil"/>
            </w:tcBorders>
            <w:shd w:val="clear" w:color="auto" w:fill="auto"/>
            <w:noWrap/>
            <w:vAlign w:val="center"/>
            <w:hideMark/>
          </w:tcPr>
          <w:p w14:paraId="4804971D"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98" w:type="dxa"/>
            <w:tcBorders>
              <w:top w:val="nil"/>
              <w:left w:val="nil"/>
              <w:bottom w:val="nil"/>
              <w:right w:val="nil"/>
            </w:tcBorders>
            <w:shd w:val="clear" w:color="auto" w:fill="auto"/>
            <w:noWrap/>
            <w:vAlign w:val="center"/>
            <w:hideMark/>
          </w:tcPr>
          <w:p w14:paraId="73261324"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315" w:type="dxa"/>
            <w:tcBorders>
              <w:top w:val="nil"/>
              <w:left w:val="nil"/>
              <w:bottom w:val="nil"/>
              <w:right w:val="nil"/>
            </w:tcBorders>
            <w:shd w:val="clear" w:color="auto" w:fill="auto"/>
            <w:noWrap/>
            <w:vAlign w:val="center"/>
            <w:hideMark/>
          </w:tcPr>
          <w:p w14:paraId="16B94F0E"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98" w:type="dxa"/>
            <w:tcBorders>
              <w:top w:val="nil"/>
              <w:left w:val="nil"/>
              <w:bottom w:val="nil"/>
              <w:right w:val="nil"/>
            </w:tcBorders>
            <w:shd w:val="clear" w:color="auto" w:fill="auto"/>
            <w:noWrap/>
            <w:vAlign w:val="center"/>
            <w:hideMark/>
          </w:tcPr>
          <w:p w14:paraId="5E1A930B"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315" w:type="dxa"/>
            <w:tcBorders>
              <w:top w:val="nil"/>
              <w:left w:val="nil"/>
              <w:bottom w:val="nil"/>
              <w:right w:val="nil"/>
            </w:tcBorders>
            <w:shd w:val="clear" w:color="auto" w:fill="auto"/>
            <w:noWrap/>
            <w:vAlign w:val="center"/>
            <w:hideMark/>
          </w:tcPr>
          <w:p w14:paraId="3C87E75C" w14:textId="77777777" w:rsidR="00BC5219" w:rsidRPr="008A2B8F" w:rsidRDefault="00BC5219" w:rsidP="00E83802">
            <w:pPr>
              <w:jc w:val="right"/>
              <w:rPr>
                <w:rFonts w:ascii="Meta Pro" w:eastAsia="Times New Roman" w:hAnsi="Meta Pro"/>
                <w:b/>
                <w:bCs/>
                <w:sz w:val="16"/>
                <w:szCs w:val="16"/>
                <w:lang w:eastAsia="en-AU"/>
              </w:rPr>
            </w:pPr>
          </w:p>
        </w:tc>
      </w:tr>
      <w:tr w:rsidR="00BC5219" w:rsidRPr="008A2B8F" w14:paraId="3133AE06" w14:textId="77777777" w:rsidTr="00E83802">
        <w:trPr>
          <w:trHeight w:val="198"/>
        </w:trPr>
        <w:tc>
          <w:tcPr>
            <w:tcW w:w="4077" w:type="dxa"/>
            <w:gridSpan w:val="2"/>
            <w:tcBorders>
              <w:top w:val="nil"/>
              <w:left w:val="nil"/>
              <w:bottom w:val="double" w:sz="6" w:space="0" w:color="auto"/>
              <w:right w:val="nil"/>
            </w:tcBorders>
            <w:shd w:val="clear" w:color="auto" w:fill="auto"/>
            <w:noWrap/>
            <w:vAlign w:val="center"/>
            <w:hideMark/>
          </w:tcPr>
          <w:p w14:paraId="1D8BAE22" w14:textId="77777777" w:rsidR="00BC5219" w:rsidRPr="008A2B8F" w:rsidRDefault="00BC5219" w:rsidP="00E83802">
            <w:pPr>
              <w:rPr>
                <w:rFonts w:ascii="Meta Pro" w:eastAsia="Times New Roman" w:hAnsi="Meta Pro"/>
                <w:b/>
                <w:bCs/>
                <w:sz w:val="16"/>
                <w:szCs w:val="16"/>
                <w:lang w:eastAsia="en-AU"/>
              </w:rPr>
            </w:pPr>
            <w:r w:rsidRPr="008A2B8F">
              <w:rPr>
                <w:rFonts w:ascii="Meta Pro" w:eastAsia="Times New Roman" w:hAnsi="Meta Pro"/>
                <w:b/>
                <w:bCs/>
                <w:sz w:val="16"/>
                <w:szCs w:val="16"/>
                <w:lang w:eastAsia="en-AU"/>
              </w:rPr>
              <w:t>TOTAL COMPREHENSIVE INCOME</w:t>
            </w:r>
          </w:p>
        </w:tc>
        <w:tc>
          <w:tcPr>
            <w:tcW w:w="1315" w:type="dxa"/>
            <w:tcBorders>
              <w:top w:val="nil"/>
              <w:left w:val="nil"/>
              <w:bottom w:val="double" w:sz="6" w:space="0" w:color="auto"/>
              <w:right w:val="nil"/>
            </w:tcBorders>
            <w:shd w:val="clear" w:color="auto" w:fill="auto"/>
            <w:noWrap/>
            <w:vAlign w:val="center"/>
            <w:hideMark/>
          </w:tcPr>
          <w:p w14:paraId="12A41F34"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652 </w:t>
            </w:r>
          </w:p>
        </w:tc>
        <w:tc>
          <w:tcPr>
            <w:tcW w:w="198" w:type="dxa"/>
            <w:tcBorders>
              <w:top w:val="nil"/>
              <w:left w:val="nil"/>
              <w:bottom w:val="double" w:sz="6" w:space="0" w:color="auto"/>
              <w:right w:val="nil"/>
            </w:tcBorders>
            <w:shd w:val="clear" w:color="auto" w:fill="auto"/>
            <w:noWrap/>
            <w:vAlign w:val="center"/>
            <w:hideMark/>
          </w:tcPr>
          <w:p w14:paraId="3D4DC0FE"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315" w:type="dxa"/>
            <w:tcBorders>
              <w:top w:val="nil"/>
              <w:left w:val="nil"/>
              <w:bottom w:val="double" w:sz="6" w:space="0" w:color="auto"/>
              <w:right w:val="nil"/>
            </w:tcBorders>
            <w:shd w:val="clear" w:color="auto" w:fill="auto"/>
            <w:noWrap/>
            <w:vAlign w:val="center"/>
            <w:hideMark/>
          </w:tcPr>
          <w:p w14:paraId="6AF1A577"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10,707,454 </w:t>
            </w:r>
          </w:p>
        </w:tc>
        <w:tc>
          <w:tcPr>
            <w:tcW w:w="198" w:type="dxa"/>
            <w:tcBorders>
              <w:top w:val="nil"/>
              <w:left w:val="nil"/>
              <w:bottom w:val="double" w:sz="6" w:space="0" w:color="auto"/>
              <w:right w:val="nil"/>
            </w:tcBorders>
            <w:shd w:val="clear" w:color="auto" w:fill="auto"/>
            <w:noWrap/>
            <w:vAlign w:val="center"/>
            <w:hideMark/>
          </w:tcPr>
          <w:p w14:paraId="5365B439"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315" w:type="dxa"/>
            <w:tcBorders>
              <w:top w:val="nil"/>
              <w:left w:val="nil"/>
              <w:bottom w:val="double" w:sz="6" w:space="0" w:color="auto"/>
              <w:right w:val="nil"/>
            </w:tcBorders>
            <w:shd w:val="clear" w:color="auto" w:fill="auto"/>
            <w:noWrap/>
            <w:vAlign w:val="center"/>
            <w:hideMark/>
          </w:tcPr>
          <w:p w14:paraId="7FBFE16B"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11,612 </w:t>
            </w:r>
          </w:p>
        </w:tc>
        <w:tc>
          <w:tcPr>
            <w:tcW w:w="198" w:type="dxa"/>
            <w:tcBorders>
              <w:top w:val="nil"/>
              <w:left w:val="nil"/>
              <w:bottom w:val="double" w:sz="6" w:space="0" w:color="auto"/>
              <w:right w:val="nil"/>
            </w:tcBorders>
            <w:shd w:val="clear" w:color="auto" w:fill="auto"/>
            <w:noWrap/>
            <w:vAlign w:val="center"/>
            <w:hideMark/>
          </w:tcPr>
          <w:p w14:paraId="7F37C997"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315" w:type="dxa"/>
            <w:tcBorders>
              <w:top w:val="nil"/>
              <w:left w:val="nil"/>
              <w:bottom w:val="double" w:sz="6" w:space="0" w:color="auto"/>
              <w:right w:val="nil"/>
            </w:tcBorders>
            <w:shd w:val="clear" w:color="auto" w:fill="auto"/>
            <w:noWrap/>
            <w:vAlign w:val="center"/>
            <w:hideMark/>
          </w:tcPr>
          <w:p w14:paraId="1A3DB2A6"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1,642 </w:t>
            </w:r>
          </w:p>
        </w:tc>
        <w:tc>
          <w:tcPr>
            <w:tcW w:w="198" w:type="dxa"/>
            <w:tcBorders>
              <w:top w:val="nil"/>
              <w:left w:val="nil"/>
              <w:bottom w:val="double" w:sz="6" w:space="0" w:color="auto"/>
              <w:right w:val="nil"/>
            </w:tcBorders>
            <w:shd w:val="clear" w:color="auto" w:fill="auto"/>
            <w:noWrap/>
            <w:vAlign w:val="center"/>
            <w:hideMark/>
          </w:tcPr>
          <w:p w14:paraId="4BFB4978"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315" w:type="dxa"/>
            <w:tcBorders>
              <w:top w:val="nil"/>
              <w:left w:val="nil"/>
              <w:bottom w:val="double" w:sz="6" w:space="0" w:color="auto"/>
              <w:right w:val="nil"/>
            </w:tcBorders>
            <w:shd w:val="clear" w:color="auto" w:fill="auto"/>
            <w:noWrap/>
            <w:vAlign w:val="center"/>
            <w:hideMark/>
          </w:tcPr>
          <w:p w14:paraId="023E5F28"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(13,504)</w:t>
            </w:r>
          </w:p>
        </w:tc>
        <w:tc>
          <w:tcPr>
            <w:tcW w:w="198" w:type="dxa"/>
            <w:tcBorders>
              <w:top w:val="nil"/>
              <w:left w:val="nil"/>
              <w:bottom w:val="double" w:sz="6" w:space="0" w:color="auto"/>
              <w:right w:val="nil"/>
            </w:tcBorders>
            <w:shd w:val="clear" w:color="auto" w:fill="auto"/>
            <w:noWrap/>
            <w:vAlign w:val="center"/>
            <w:hideMark/>
          </w:tcPr>
          <w:p w14:paraId="2DD53DDA"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315" w:type="dxa"/>
            <w:tcBorders>
              <w:top w:val="nil"/>
              <w:left w:val="nil"/>
              <w:bottom w:val="double" w:sz="6" w:space="0" w:color="auto"/>
              <w:right w:val="nil"/>
            </w:tcBorders>
            <w:shd w:val="clear" w:color="auto" w:fill="auto"/>
            <w:noWrap/>
            <w:vAlign w:val="center"/>
            <w:hideMark/>
          </w:tcPr>
          <w:p w14:paraId="68B29023"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(11,035)</w:t>
            </w:r>
          </w:p>
        </w:tc>
        <w:tc>
          <w:tcPr>
            <w:tcW w:w="198" w:type="dxa"/>
            <w:tcBorders>
              <w:top w:val="nil"/>
              <w:left w:val="nil"/>
              <w:bottom w:val="double" w:sz="6" w:space="0" w:color="auto"/>
              <w:right w:val="nil"/>
            </w:tcBorders>
            <w:shd w:val="clear" w:color="auto" w:fill="auto"/>
            <w:noWrap/>
            <w:vAlign w:val="center"/>
            <w:hideMark/>
          </w:tcPr>
          <w:p w14:paraId="25508B8C"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315" w:type="dxa"/>
            <w:tcBorders>
              <w:top w:val="nil"/>
              <w:left w:val="nil"/>
              <w:bottom w:val="double" w:sz="6" w:space="0" w:color="auto"/>
              <w:right w:val="nil"/>
            </w:tcBorders>
            <w:shd w:val="clear" w:color="auto" w:fill="auto"/>
            <w:noWrap/>
            <w:vAlign w:val="center"/>
            <w:hideMark/>
          </w:tcPr>
          <w:p w14:paraId="1E0644DD"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 </w:t>
            </w:r>
          </w:p>
        </w:tc>
        <w:tc>
          <w:tcPr>
            <w:tcW w:w="198" w:type="dxa"/>
            <w:tcBorders>
              <w:top w:val="nil"/>
              <w:left w:val="nil"/>
              <w:bottom w:val="double" w:sz="6" w:space="0" w:color="auto"/>
              <w:right w:val="nil"/>
            </w:tcBorders>
            <w:shd w:val="clear" w:color="auto" w:fill="auto"/>
            <w:noWrap/>
            <w:vAlign w:val="center"/>
            <w:hideMark/>
          </w:tcPr>
          <w:p w14:paraId="718CA54E"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315" w:type="dxa"/>
            <w:tcBorders>
              <w:top w:val="nil"/>
              <w:left w:val="nil"/>
              <w:bottom w:val="double" w:sz="6" w:space="0" w:color="auto"/>
              <w:right w:val="nil"/>
            </w:tcBorders>
            <w:shd w:val="clear" w:color="auto" w:fill="auto"/>
            <w:noWrap/>
            <w:vAlign w:val="center"/>
            <w:hideMark/>
          </w:tcPr>
          <w:p w14:paraId="3BAE8511"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10,696,821 </w:t>
            </w:r>
          </w:p>
        </w:tc>
      </w:tr>
    </w:tbl>
    <w:p w14:paraId="26A7F5A5" w14:textId="77777777" w:rsidR="00BC5219" w:rsidRPr="008A2B8F" w:rsidRDefault="00BC5219" w:rsidP="00BC5219">
      <w:pPr>
        <w:spacing w:line="259" w:lineRule="auto"/>
        <w:rPr>
          <w:rFonts w:ascii="Meta Pro" w:hAnsi="Meta Pro"/>
          <w:lang w:eastAsia="en-AU"/>
        </w:rPr>
      </w:pPr>
    </w:p>
    <w:p w14:paraId="14879023" w14:textId="77777777" w:rsidR="00BC5219" w:rsidRPr="008A2B8F" w:rsidRDefault="00BC5219" w:rsidP="00BC5219">
      <w:pPr>
        <w:spacing w:line="259" w:lineRule="auto"/>
        <w:rPr>
          <w:rFonts w:ascii="Meta Pro" w:hAnsi="Meta Pro"/>
          <w:lang w:eastAsia="en-AU"/>
        </w:rPr>
      </w:pPr>
    </w:p>
    <w:p w14:paraId="2FB15659" w14:textId="77777777" w:rsidR="00BC5219" w:rsidRPr="008A2B8F" w:rsidRDefault="00BC5219" w:rsidP="00BC5219">
      <w:pPr>
        <w:spacing w:line="259" w:lineRule="auto"/>
        <w:rPr>
          <w:rFonts w:ascii="Meta Pro" w:hAnsi="Meta Pro" w:cstheme="minorBidi"/>
        </w:rPr>
      </w:pPr>
    </w:p>
    <w:p w14:paraId="414A60AF" w14:textId="77777777" w:rsidR="00BC5219" w:rsidRPr="008A2B8F" w:rsidRDefault="00BC5219" w:rsidP="00BC5219">
      <w:pPr>
        <w:spacing w:after="160" w:line="259" w:lineRule="auto"/>
        <w:rPr>
          <w:rFonts w:ascii="Meta Pro" w:hAnsi="Meta Pro"/>
          <w:lang w:eastAsia="en-AU"/>
        </w:rPr>
      </w:pPr>
      <w:r w:rsidRPr="008A2B8F">
        <w:rPr>
          <w:rFonts w:ascii="Meta Pro" w:hAnsi="Meta Pro"/>
          <w:lang w:eastAsia="en-AU"/>
        </w:rPr>
        <w:br w:type="page"/>
      </w:r>
    </w:p>
    <w:p w14:paraId="5D6BF6EF"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r w:rsidRPr="008A2B8F">
        <w:rPr>
          <w:rFonts w:ascii="Meta Pro" w:eastAsia="Times New Roman" w:hAnsi="Meta Pro"/>
          <w:i/>
          <w:iCs/>
          <w:color w:val="000000" w:themeColor="text1"/>
          <w:lang w:eastAsia="en-AU"/>
        </w:rPr>
        <w:lastRenderedPageBreak/>
        <w:t>Department of Transport and Main Roads</w:t>
      </w:r>
    </w:p>
    <w:p w14:paraId="11ED151B"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 xml:space="preserve">Statement of assets and liabilities by major departmental services </w:t>
      </w:r>
    </w:p>
    <w:p w14:paraId="4F4F5DF6" w14:textId="77777777" w:rsidR="00BC5219" w:rsidRPr="008A2B8F" w:rsidRDefault="00BC5219" w:rsidP="00BC5219">
      <w:pPr>
        <w:pBdr>
          <w:bottom w:val="single" w:sz="4" w:space="1" w:color="auto"/>
        </w:pBdr>
        <w:rPr>
          <w:rFonts w:ascii="Meta Pro" w:hAnsi="Meta Pro"/>
          <w:lang w:eastAsia="en-AU"/>
        </w:rPr>
      </w:pPr>
      <w:r w:rsidRPr="008A2B8F">
        <w:rPr>
          <w:rFonts w:ascii="Meta Pro" w:eastAsia="Times New Roman" w:hAnsi="Meta Pro"/>
          <w:color w:val="000000" w:themeColor="text1"/>
          <w:lang w:eastAsia="en-AU"/>
        </w:rPr>
        <w:t>for the year ended 30 June 2023</w:t>
      </w:r>
    </w:p>
    <w:p w14:paraId="32D48634" w14:textId="77777777" w:rsidR="00BC5219" w:rsidRPr="009C55C2" w:rsidRDefault="00BC5219" w:rsidP="00BC5219">
      <w:pPr>
        <w:spacing w:line="14" w:lineRule="exact"/>
        <w:rPr>
          <w:rFonts w:ascii="Meta Pro" w:hAnsi="Meta Pro" w:cstheme="minorBidi"/>
        </w:rPr>
      </w:pPr>
    </w:p>
    <w:tbl>
      <w:tblPr>
        <w:tblW w:w="0" w:type="auto"/>
        <w:tblCellMar>
          <w:left w:w="0" w:type="dxa"/>
        </w:tblCellMar>
        <w:tblLook w:val="04A0" w:firstRow="1" w:lastRow="0" w:firstColumn="1" w:lastColumn="0" w:noHBand="0" w:noVBand="1"/>
      </w:tblPr>
      <w:tblGrid>
        <w:gridCol w:w="204"/>
        <w:gridCol w:w="4317"/>
        <w:gridCol w:w="1408"/>
        <w:gridCol w:w="205"/>
        <w:gridCol w:w="1409"/>
        <w:gridCol w:w="206"/>
        <w:gridCol w:w="1409"/>
        <w:gridCol w:w="206"/>
        <w:gridCol w:w="1409"/>
        <w:gridCol w:w="206"/>
        <w:gridCol w:w="1409"/>
        <w:gridCol w:w="206"/>
        <w:gridCol w:w="1409"/>
      </w:tblGrid>
      <w:tr w:rsidR="00BC5219" w:rsidRPr="009C55C2" w14:paraId="14AC6296" w14:textId="77777777" w:rsidTr="00E83802">
        <w:trPr>
          <w:trHeight w:val="198"/>
        </w:trPr>
        <w:tc>
          <w:tcPr>
            <w:tcW w:w="198" w:type="dxa"/>
            <w:tcBorders>
              <w:top w:val="nil"/>
              <w:left w:val="nil"/>
              <w:bottom w:val="nil"/>
              <w:right w:val="nil"/>
            </w:tcBorders>
            <w:shd w:val="clear" w:color="auto" w:fill="auto"/>
            <w:noWrap/>
            <w:vAlign w:val="center"/>
            <w:hideMark/>
          </w:tcPr>
          <w:p w14:paraId="1E2D3895" w14:textId="77777777" w:rsidR="00BC5219" w:rsidRPr="009C55C2" w:rsidRDefault="00BC5219" w:rsidP="00E83802">
            <w:pPr>
              <w:spacing w:before="120"/>
              <w:rPr>
                <w:rFonts w:ascii="Meta Pro" w:eastAsia="Times New Roman" w:hAnsi="Meta Pro" w:cs="Times New Roman"/>
                <w:sz w:val="24"/>
                <w:szCs w:val="24"/>
                <w:lang w:eastAsia="en-AU"/>
              </w:rPr>
            </w:pPr>
          </w:p>
        </w:tc>
        <w:tc>
          <w:tcPr>
            <w:tcW w:w="4366" w:type="dxa"/>
            <w:tcBorders>
              <w:top w:val="nil"/>
              <w:left w:val="nil"/>
              <w:bottom w:val="nil"/>
              <w:right w:val="nil"/>
            </w:tcBorders>
            <w:shd w:val="clear" w:color="auto" w:fill="auto"/>
            <w:noWrap/>
            <w:vAlign w:val="center"/>
            <w:hideMark/>
          </w:tcPr>
          <w:p w14:paraId="47E06EBD" w14:textId="77777777" w:rsidR="00BC5219" w:rsidRPr="009C55C2" w:rsidRDefault="00BC5219" w:rsidP="00E83802">
            <w:pPr>
              <w:spacing w:before="120"/>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hideMark/>
          </w:tcPr>
          <w:p w14:paraId="080534DC" w14:textId="77777777" w:rsidR="00BC5219" w:rsidRPr="009C55C2" w:rsidRDefault="00BC5219" w:rsidP="00E83802">
            <w:pPr>
              <w:spacing w:before="120"/>
              <w:jc w:val="center"/>
              <w:rPr>
                <w:rFonts w:ascii="Meta Pro" w:eastAsia="Times New Roman" w:hAnsi="Meta Pro"/>
                <w:b/>
                <w:bCs/>
                <w:sz w:val="16"/>
                <w:szCs w:val="16"/>
                <w:lang w:eastAsia="en-AU"/>
              </w:rPr>
            </w:pPr>
            <w:r w:rsidRPr="009C55C2">
              <w:rPr>
                <w:rFonts w:ascii="Meta Pro" w:eastAsia="Times New Roman" w:hAnsi="Meta Pro"/>
                <w:b/>
                <w:bCs/>
                <w:sz w:val="16"/>
                <w:szCs w:val="16"/>
                <w:lang w:eastAsia="en-AU"/>
              </w:rPr>
              <w:t>Transport system investment planning and programming</w:t>
            </w:r>
          </w:p>
        </w:tc>
        <w:tc>
          <w:tcPr>
            <w:tcW w:w="198" w:type="dxa"/>
            <w:tcBorders>
              <w:top w:val="nil"/>
              <w:left w:val="nil"/>
              <w:bottom w:val="nil"/>
              <w:right w:val="nil"/>
            </w:tcBorders>
            <w:shd w:val="clear" w:color="auto" w:fill="auto"/>
            <w:hideMark/>
          </w:tcPr>
          <w:p w14:paraId="4AC99A7D" w14:textId="77777777" w:rsidR="00BC5219" w:rsidRPr="009C55C2" w:rsidRDefault="00BC5219" w:rsidP="00E83802">
            <w:pPr>
              <w:spacing w:before="120"/>
              <w:jc w:val="center"/>
              <w:rPr>
                <w:rFonts w:ascii="Meta Pro" w:eastAsia="Times New Roman" w:hAnsi="Meta Pro"/>
                <w:b/>
                <w:bCs/>
                <w:sz w:val="16"/>
                <w:szCs w:val="16"/>
                <w:lang w:eastAsia="en-AU"/>
              </w:rPr>
            </w:pPr>
          </w:p>
        </w:tc>
        <w:tc>
          <w:tcPr>
            <w:tcW w:w="1418" w:type="dxa"/>
            <w:tcBorders>
              <w:top w:val="nil"/>
              <w:left w:val="nil"/>
              <w:bottom w:val="nil"/>
              <w:right w:val="nil"/>
            </w:tcBorders>
            <w:shd w:val="clear" w:color="auto" w:fill="auto"/>
            <w:hideMark/>
          </w:tcPr>
          <w:p w14:paraId="33387A96" w14:textId="77777777" w:rsidR="00BC5219" w:rsidRPr="009C55C2" w:rsidRDefault="00BC5219" w:rsidP="00E83802">
            <w:pPr>
              <w:spacing w:before="120"/>
              <w:jc w:val="center"/>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Transport infrastructure management and </w:t>
            </w:r>
            <w:r w:rsidRPr="009C55C2">
              <w:rPr>
                <w:rFonts w:ascii="Meta Pro" w:eastAsia="Times New Roman" w:hAnsi="Meta Pro"/>
                <w:b/>
                <w:bCs/>
                <w:sz w:val="16"/>
                <w:szCs w:val="16"/>
                <w:lang w:eastAsia="en-AU"/>
              </w:rPr>
              <w:br/>
              <w:t>delivery</w:t>
            </w:r>
          </w:p>
        </w:tc>
        <w:tc>
          <w:tcPr>
            <w:tcW w:w="199" w:type="dxa"/>
            <w:tcBorders>
              <w:top w:val="nil"/>
              <w:left w:val="nil"/>
              <w:bottom w:val="nil"/>
              <w:right w:val="nil"/>
            </w:tcBorders>
            <w:shd w:val="clear" w:color="auto" w:fill="auto"/>
            <w:hideMark/>
          </w:tcPr>
          <w:p w14:paraId="18C3A9C8" w14:textId="77777777" w:rsidR="00BC5219" w:rsidRPr="009C55C2" w:rsidRDefault="00BC5219" w:rsidP="00E83802">
            <w:pPr>
              <w:spacing w:before="120"/>
              <w:jc w:val="center"/>
              <w:rPr>
                <w:rFonts w:ascii="Meta Pro" w:eastAsia="Times New Roman" w:hAnsi="Meta Pro"/>
                <w:b/>
                <w:bCs/>
                <w:sz w:val="16"/>
                <w:szCs w:val="16"/>
                <w:lang w:eastAsia="en-AU"/>
              </w:rPr>
            </w:pPr>
          </w:p>
        </w:tc>
        <w:tc>
          <w:tcPr>
            <w:tcW w:w="1418" w:type="dxa"/>
            <w:tcBorders>
              <w:top w:val="nil"/>
              <w:left w:val="nil"/>
              <w:bottom w:val="nil"/>
              <w:right w:val="nil"/>
            </w:tcBorders>
            <w:shd w:val="clear" w:color="auto" w:fill="auto"/>
            <w:hideMark/>
          </w:tcPr>
          <w:p w14:paraId="2555169B" w14:textId="77777777" w:rsidR="00BC5219" w:rsidRPr="009C55C2" w:rsidRDefault="00BC5219" w:rsidP="00E83802">
            <w:pPr>
              <w:spacing w:before="120"/>
              <w:jc w:val="center"/>
              <w:rPr>
                <w:rFonts w:ascii="Meta Pro" w:eastAsia="Times New Roman" w:hAnsi="Meta Pro"/>
                <w:b/>
                <w:bCs/>
                <w:sz w:val="16"/>
                <w:szCs w:val="16"/>
                <w:lang w:eastAsia="en-AU"/>
              </w:rPr>
            </w:pPr>
            <w:r w:rsidRPr="009C55C2">
              <w:rPr>
                <w:rFonts w:ascii="Meta Pro" w:eastAsia="Times New Roman" w:hAnsi="Meta Pro"/>
                <w:b/>
                <w:bCs/>
                <w:sz w:val="16"/>
                <w:szCs w:val="16"/>
                <w:lang w:eastAsia="en-AU"/>
              </w:rPr>
              <w:t>Transport safety and regulation</w:t>
            </w:r>
          </w:p>
        </w:tc>
        <w:tc>
          <w:tcPr>
            <w:tcW w:w="199" w:type="dxa"/>
            <w:tcBorders>
              <w:top w:val="nil"/>
              <w:left w:val="nil"/>
              <w:bottom w:val="nil"/>
              <w:right w:val="nil"/>
            </w:tcBorders>
            <w:shd w:val="clear" w:color="auto" w:fill="auto"/>
            <w:hideMark/>
          </w:tcPr>
          <w:p w14:paraId="4C50ED95" w14:textId="77777777" w:rsidR="00BC5219" w:rsidRPr="009C55C2" w:rsidRDefault="00BC5219" w:rsidP="00E83802">
            <w:pPr>
              <w:spacing w:before="120"/>
              <w:jc w:val="center"/>
              <w:rPr>
                <w:rFonts w:ascii="Meta Pro" w:eastAsia="Times New Roman" w:hAnsi="Meta Pro"/>
                <w:b/>
                <w:bCs/>
                <w:sz w:val="16"/>
                <w:szCs w:val="16"/>
                <w:lang w:eastAsia="en-AU"/>
              </w:rPr>
            </w:pPr>
          </w:p>
        </w:tc>
        <w:tc>
          <w:tcPr>
            <w:tcW w:w="1418" w:type="dxa"/>
            <w:tcBorders>
              <w:top w:val="nil"/>
              <w:left w:val="nil"/>
              <w:bottom w:val="nil"/>
              <w:right w:val="nil"/>
            </w:tcBorders>
            <w:shd w:val="clear" w:color="auto" w:fill="auto"/>
            <w:hideMark/>
          </w:tcPr>
          <w:p w14:paraId="57B74C96" w14:textId="77777777" w:rsidR="00BC5219" w:rsidRPr="009C55C2" w:rsidRDefault="00BC5219" w:rsidP="00E83802">
            <w:pPr>
              <w:spacing w:before="120"/>
              <w:jc w:val="center"/>
              <w:rPr>
                <w:rFonts w:ascii="Meta Pro" w:eastAsia="Times New Roman" w:hAnsi="Meta Pro"/>
                <w:b/>
                <w:bCs/>
                <w:sz w:val="16"/>
                <w:szCs w:val="16"/>
                <w:lang w:eastAsia="en-AU"/>
              </w:rPr>
            </w:pPr>
            <w:r w:rsidRPr="009C55C2">
              <w:rPr>
                <w:rFonts w:ascii="Meta Pro" w:eastAsia="Times New Roman" w:hAnsi="Meta Pro"/>
                <w:b/>
                <w:bCs/>
                <w:sz w:val="16"/>
                <w:szCs w:val="16"/>
                <w:lang w:eastAsia="en-AU"/>
              </w:rPr>
              <w:t>Customer experience</w:t>
            </w:r>
          </w:p>
        </w:tc>
        <w:tc>
          <w:tcPr>
            <w:tcW w:w="199" w:type="dxa"/>
            <w:tcBorders>
              <w:top w:val="nil"/>
              <w:left w:val="nil"/>
              <w:bottom w:val="nil"/>
              <w:right w:val="nil"/>
            </w:tcBorders>
            <w:shd w:val="clear" w:color="auto" w:fill="auto"/>
            <w:hideMark/>
          </w:tcPr>
          <w:p w14:paraId="2E020011" w14:textId="77777777" w:rsidR="00BC5219" w:rsidRPr="009C55C2" w:rsidRDefault="00BC5219" w:rsidP="00E83802">
            <w:pPr>
              <w:spacing w:before="120"/>
              <w:jc w:val="center"/>
              <w:rPr>
                <w:rFonts w:ascii="Meta Pro" w:eastAsia="Times New Roman" w:hAnsi="Meta Pro"/>
                <w:b/>
                <w:bCs/>
                <w:sz w:val="16"/>
                <w:szCs w:val="16"/>
                <w:lang w:eastAsia="en-AU"/>
              </w:rPr>
            </w:pPr>
          </w:p>
        </w:tc>
        <w:tc>
          <w:tcPr>
            <w:tcW w:w="1418" w:type="dxa"/>
            <w:tcBorders>
              <w:top w:val="nil"/>
              <w:left w:val="nil"/>
              <w:bottom w:val="nil"/>
              <w:right w:val="nil"/>
            </w:tcBorders>
            <w:shd w:val="clear" w:color="auto" w:fill="auto"/>
            <w:hideMark/>
          </w:tcPr>
          <w:p w14:paraId="1DC96365" w14:textId="77777777" w:rsidR="00BC5219" w:rsidRPr="009C55C2" w:rsidRDefault="00BC5219" w:rsidP="00E83802">
            <w:pPr>
              <w:spacing w:before="120"/>
              <w:jc w:val="center"/>
              <w:rPr>
                <w:rFonts w:ascii="Meta Pro" w:eastAsia="Times New Roman" w:hAnsi="Meta Pro"/>
                <w:b/>
                <w:bCs/>
                <w:sz w:val="16"/>
                <w:szCs w:val="16"/>
                <w:lang w:eastAsia="en-AU"/>
              </w:rPr>
            </w:pPr>
            <w:r w:rsidRPr="009C55C2">
              <w:rPr>
                <w:rFonts w:ascii="Meta Pro" w:eastAsia="Times New Roman" w:hAnsi="Meta Pro"/>
                <w:b/>
                <w:bCs/>
                <w:sz w:val="16"/>
                <w:szCs w:val="16"/>
                <w:lang w:eastAsia="en-AU"/>
              </w:rPr>
              <w:t>Passenger transport services</w:t>
            </w:r>
          </w:p>
        </w:tc>
        <w:tc>
          <w:tcPr>
            <w:tcW w:w="199" w:type="dxa"/>
            <w:tcBorders>
              <w:top w:val="nil"/>
              <w:left w:val="nil"/>
              <w:bottom w:val="nil"/>
              <w:right w:val="nil"/>
            </w:tcBorders>
            <w:shd w:val="clear" w:color="auto" w:fill="auto"/>
            <w:hideMark/>
          </w:tcPr>
          <w:p w14:paraId="51F6DDA7" w14:textId="77777777" w:rsidR="00BC5219" w:rsidRPr="009C55C2" w:rsidRDefault="00BC5219" w:rsidP="00E83802">
            <w:pPr>
              <w:spacing w:before="120"/>
              <w:jc w:val="center"/>
              <w:rPr>
                <w:rFonts w:ascii="Meta Pro" w:eastAsia="Times New Roman" w:hAnsi="Meta Pro"/>
                <w:b/>
                <w:bCs/>
                <w:sz w:val="16"/>
                <w:szCs w:val="16"/>
                <w:lang w:eastAsia="en-AU"/>
              </w:rPr>
            </w:pPr>
          </w:p>
        </w:tc>
        <w:tc>
          <w:tcPr>
            <w:tcW w:w="1418" w:type="dxa"/>
            <w:tcBorders>
              <w:top w:val="nil"/>
              <w:left w:val="nil"/>
              <w:bottom w:val="nil"/>
              <w:right w:val="nil"/>
            </w:tcBorders>
            <w:shd w:val="clear" w:color="auto" w:fill="auto"/>
            <w:hideMark/>
          </w:tcPr>
          <w:p w14:paraId="06A21FD8" w14:textId="77777777" w:rsidR="00BC5219" w:rsidRPr="009C55C2" w:rsidRDefault="00BC5219" w:rsidP="00E83802">
            <w:pPr>
              <w:spacing w:before="120"/>
              <w:jc w:val="center"/>
              <w:rPr>
                <w:rFonts w:ascii="Meta Pro" w:eastAsia="Times New Roman" w:hAnsi="Meta Pro"/>
                <w:b/>
                <w:bCs/>
                <w:sz w:val="16"/>
                <w:szCs w:val="16"/>
                <w:lang w:eastAsia="en-AU"/>
              </w:rPr>
            </w:pPr>
            <w:r w:rsidRPr="009C55C2">
              <w:rPr>
                <w:rFonts w:ascii="Meta Pro" w:eastAsia="Times New Roman" w:hAnsi="Meta Pro"/>
                <w:b/>
                <w:bCs/>
                <w:sz w:val="16"/>
                <w:szCs w:val="16"/>
                <w:lang w:eastAsia="en-AU"/>
              </w:rPr>
              <w:t>Transport infrastructure construction and maintenance</w:t>
            </w:r>
          </w:p>
        </w:tc>
      </w:tr>
      <w:tr w:rsidR="00BC5219" w:rsidRPr="009C55C2" w14:paraId="5EA45051" w14:textId="77777777" w:rsidTr="00E83802">
        <w:trPr>
          <w:trHeight w:val="198"/>
        </w:trPr>
        <w:tc>
          <w:tcPr>
            <w:tcW w:w="198" w:type="dxa"/>
            <w:tcBorders>
              <w:top w:val="nil"/>
              <w:left w:val="nil"/>
              <w:bottom w:val="nil"/>
              <w:right w:val="nil"/>
            </w:tcBorders>
            <w:shd w:val="clear" w:color="auto" w:fill="auto"/>
            <w:noWrap/>
            <w:vAlign w:val="center"/>
            <w:hideMark/>
          </w:tcPr>
          <w:p w14:paraId="344EC20D" w14:textId="77777777" w:rsidR="00BC5219" w:rsidRPr="009C55C2" w:rsidRDefault="00BC5219" w:rsidP="00E83802">
            <w:pPr>
              <w:jc w:val="center"/>
              <w:rPr>
                <w:rFonts w:ascii="Meta Pro" w:eastAsia="Times New Roman" w:hAnsi="Meta Pro"/>
                <w:b/>
                <w:bCs/>
                <w:sz w:val="16"/>
                <w:szCs w:val="16"/>
                <w:lang w:eastAsia="en-AU"/>
              </w:rPr>
            </w:pPr>
          </w:p>
        </w:tc>
        <w:tc>
          <w:tcPr>
            <w:tcW w:w="4366" w:type="dxa"/>
            <w:tcBorders>
              <w:top w:val="nil"/>
              <w:left w:val="nil"/>
              <w:bottom w:val="nil"/>
              <w:right w:val="nil"/>
            </w:tcBorders>
            <w:shd w:val="clear" w:color="auto" w:fill="auto"/>
            <w:noWrap/>
            <w:vAlign w:val="center"/>
            <w:hideMark/>
          </w:tcPr>
          <w:p w14:paraId="4C7730FB" w14:textId="77777777" w:rsidR="00BC5219" w:rsidRPr="009C55C2" w:rsidRDefault="00BC5219" w:rsidP="00E83802">
            <w:pPr>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noWrap/>
            <w:vAlign w:val="center"/>
            <w:hideMark/>
          </w:tcPr>
          <w:p w14:paraId="139EF93C" w14:textId="77777777" w:rsidR="00BC5219" w:rsidRPr="009C55C2" w:rsidRDefault="00BC5219" w:rsidP="00E83802">
            <w:pPr>
              <w:jc w:val="center"/>
              <w:rPr>
                <w:rFonts w:ascii="Meta Pro" w:eastAsia="Times New Roman" w:hAnsi="Meta Pro"/>
                <w:b/>
                <w:bCs/>
                <w:sz w:val="16"/>
                <w:szCs w:val="16"/>
                <w:lang w:eastAsia="en-AU"/>
              </w:rPr>
            </w:pPr>
            <w:r w:rsidRPr="009C55C2">
              <w:rPr>
                <w:rFonts w:ascii="Meta Pro" w:eastAsia="Times New Roman" w:hAnsi="Meta Pro"/>
                <w:b/>
                <w:bCs/>
                <w:sz w:val="16"/>
                <w:szCs w:val="16"/>
                <w:lang w:eastAsia="en-AU"/>
              </w:rPr>
              <w:t>2023</w:t>
            </w:r>
          </w:p>
        </w:tc>
        <w:tc>
          <w:tcPr>
            <w:tcW w:w="198" w:type="dxa"/>
            <w:tcBorders>
              <w:top w:val="nil"/>
              <w:left w:val="nil"/>
              <w:bottom w:val="nil"/>
              <w:right w:val="nil"/>
            </w:tcBorders>
            <w:shd w:val="clear" w:color="auto" w:fill="auto"/>
            <w:noWrap/>
            <w:vAlign w:val="center"/>
            <w:hideMark/>
          </w:tcPr>
          <w:p w14:paraId="54CC236D" w14:textId="77777777" w:rsidR="00BC5219" w:rsidRPr="009C55C2" w:rsidRDefault="00BC5219" w:rsidP="00E83802">
            <w:pPr>
              <w:jc w:val="center"/>
              <w:rPr>
                <w:rFonts w:ascii="Meta Pro" w:eastAsia="Times New Roman" w:hAnsi="Meta Pro"/>
                <w:b/>
                <w:bCs/>
                <w:sz w:val="16"/>
                <w:szCs w:val="16"/>
                <w:lang w:eastAsia="en-AU"/>
              </w:rPr>
            </w:pPr>
          </w:p>
        </w:tc>
        <w:tc>
          <w:tcPr>
            <w:tcW w:w="1418" w:type="dxa"/>
            <w:tcBorders>
              <w:top w:val="nil"/>
              <w:left w:val="nil"/>
              <w:bottom w:val="nil"/>
              <w:right w:val="nil"/>
            </w:tcBorders>
            <w:shd w:val="clear" w:color="auto" w:fill="auto"/>
            <w:noWrap/>
            <w:vAlign w:val="center"/>
            <w:hideMark/>
          </w:tcPr>
          <w:p w14:paraId="3677E204" w14:textId="77777777" w:rsidR="00BC5219" w:rsidRPr="009C55C2" w:rsidRDefault="00BC5219" w:rsidP="00E83802">
            <w:pPr>
              <w:jc w:val="center"/>
              <w:rPr>
                <w:rFonts w:ascii="Meta Pro" w:eastAsia="Times New Roman" w:hAnsi="Meta Pro"/>
                <w:b/>
                <w:bCs/>
                <w:sz w:val="16"/>
                <w:szCs w:val="16"/>
                <w:lang w:eastAsia="en-AU"/>
              </w:rPr>
            </w:pPr>
            <w:r w:rsidRPr="009C55C2">
              <w:rPr>
                <w:rFonts w:ascii="Meta Pro" w:eastAsia="Times New Roman" w:hAnsi="Meta Pro"/>
                <w:b/>
                <w:bCs/>
                <w:sz w:val="16"/>
                <w:szCs w:val="16"/>
                <w:lang w:eastAsia="en-AU"/>
              </w:rPr>
              <w:t>2023</w:t>
            </w:r>
          </w:p>
        </w:tc>
        <w:tc>
          <w:tcPr>
            <w:tcW w:w="199" w:type="dxa"/>
            <w:tcBorders>
              <w:top w:val="nil"/>
              <w:left w:val="nil"/>
              <w:bottom w:val="nil"/>
              <w:right w:val="nil"/>
            </w:tcBorders>
            <w:shd w:val="clear" w:color="auto" w:fill="auto"/>
            <w:noWrap/>
            <w:vAlign w:val="center"/>
            <w:hideMark/>
          </w:tcPr>
          <w:p w14:paraId="30268FFE" w14:textId="77777777" w:rsidR="00BC5219" w:rsidRPr="009C55C2" w:rsidRDefault="00BC5219" w:rsidP="00E83802">
            <w:pPr>
              <w:jc w:val="center"/>
              <w:rPr>
                <w:rFonts w:ascii="Meta Pro" w:eastAsia="Times New Roman" w:hAnsi="Meta Pro"/>
                <w:b/>
                <w:bCs/>
                <w:sz w:val="16"/>
                <w:szCs w:val="16"/>
                <w:lang w:eastAsia="en-AU"/>
              </w:rPr>
            </w:pPr>
          </w:p>
        </w:tc>
        <w:tc>
          <w:tcPr>
            <w:tcW w:w="1418" w:type="dxa"/>
            <w:tcBorders>
              <w:top w:val="nil"/>
              <w:left w:val="nil"/>
              <w:bottom w:val="nil"/>
              <w:right w:val="nil"/>
            </w:tcBorders>
            <w:shd w:val="clear" w:color="auto" w:fill="auto"/>
            <w:noWrap/>
            <w:vAlign w:val="center"/>
            <w:hideMark/>
          </w:tcPr>
          <w:p w14:paraId="526EC343" w14:textId="77777777" w:rsidR="00BC5219" w:rsidRPr="009C55C2" w:rsidRDefault="00BC5219" w:rsidP="00E83802">
            <w:pPr>
              <w:jc w:val="center"/>
              <w:rPr>
                <w:rFonts w:ascii="Meta Pro" w:eastAsia="Times New Roman" w:hAnsi="Meta Pro"/>
                <w:b/>
                <w:bCs/>
                <w:sz w:val="16"/>
                <w:szCs w:val="16"/>
                <w:lang w:eastAsia="en-AU"/>
              </w:rPr>
            </w:pPr>
            <w:r w:rsidRPr="009C55C2">
              <w:rPr>
                <w:rFonts w:ascii="Meta Pro" w:eastAsia="Times New Roman" w:hAnsi="Meta Pro"/>
                <w:b/>
                <w:bCs/>
                <w:sz w:val="16"/>
                <w:szCs w:val="16"/>
                <w:lang w:eastAsia="en-AU"/>
              </w:rPr>
              <w:t>2023</w:t>
            </w:r>
          </w:p>
        </w:tc>
        <w:tc>
          <w:tcPr>
            <w:tcW w:w="199" w:type="dxa"/>
            <w:tcBorders>
              <w:top w:val="nil"/>
              <w:left w:val="nil"/>
              <w:bottom w:val="nil"/>
              <w:right w:val="nil"/>
            </w:tcBorders>
            <w:shd w:val="clear" w:color="auto" w:fill="auto"/>
            <w:noWrap/>
            <w:vAlign w:val="center"/>
            <w:hideMark/>
          </w:tcPr>
          <w:p w14:paraId="7E45BFD2" w14:textId="77777777" w:rsidR="00BC5219" w:rsidRPr="009C55C2" w:rsidRDefault="00BC5219" w:rsidP="00E83802">
            <w:pPr>
              <w:jc w:val="center"/>
              <w:rPr>
                <w:rFonts w:ascii="Meta Pro" w:eastAsia="Times New Roman" w:hAnsi="Meta Pro"/>
                <w:b/>
                <w:bCs/>
                <w:sz w:val="16"/>
                <w:szCs w:val="16"/>
                <w:lang w:eastAsia="en-AU"/>
              </w:rPr>
            </w:pPr>
          </w:p>
        </w:tc>
        <w:tc>
          <w:tcPr>
            <w:tcW w:w="1418" w:type="dxa"/>
            <w:tcBorders>
              <w:top w:val="nil"/>
              <w:left w:val="nil"/>
              <w:bottom w:val="nil"/>
              <w:right w:val="nil"/>
            </w:tcBorders>
            <w:shd w:val="clear" w:color="auto" w:fill="auto"/>
            <w:noWrap/>
            <w:vAlign w:val="center"/>
            <w:hideMark/>
          </w:tcPr>
          <w:p w14:paraId="54DCDD5D" w14:textId="77777777" w:rsidR="00BC5219" w:rsidRPr="009C55C2" w:rsidRDefault="00BC5219" w:rsidP="00E83802">
            <w:pPr>
              <w:jc w:val="center"/>
              <w:rPr>
                <w:rFonts w:ascii="Meta Pro" w:eastAsia="Times New Roman" w:hAnsi="Meta Pro"/>
                <w:b/>
                <w:bCs/>
                <w:sz w:val="16"/>
                <w:szCs w:val="16"/>
                <w:lang w:eastAsia="en-AU"/>
              </w:rPr>
            </w:pPr>
            <w:r w:rsidRPr="009C55C2">
              <w:rPr>
                <w:rFonts w:ascii="Meta Pro" w:eastAsia="Times New Roman" w:hAnsi="Meta Pro"/>
                <w:b/>
                <w:bCs/>
                <w:sz w:val="16"/>
                <w:szCs w:val="16"/>
                <w:lang w:eastAsia="en-AU"/>
              </w:rPr>
              <w:t>2023</w:t>
            </w:r>
          </w:p>
        </w:tc>
        <w:tc>
          <w:tcPr>
            <w:tcW w:w="199" w:type="dxa"/>
            <w:tcBorders>
              <w:top w:val="nil"/>
              <w:left w:val="nil"/>
              <w:bottom w:val="nil"/>
              <w:right w:val="nil"/>
            </w:tcBorders>
            <w:shd w:val="clear" w:color="auto" w:fill="auto"/>
            <w:noWrap/>
            <w:vAlign w:val="center"/>
            <w:hideMark/>
          </w:tcPr>
          <w:p w14:paraId="38251F37" w14:textId="77777777" w:rsidR="00BC5219" w:rsidRPr="009C55C2" w:rsidRDefault="00BC5219" w:rsidP="00E83802">
            <w:pPr>
              <w:jc w:val="center"/>
              <w:rPr>
                <w:rFonts w:ascii="Meta Pro" w:eastAsia="Times New Roman" w:hAnsi="Meta Pro"/>
                <w:b/>
                <w:bCs/>
                <w:sz w:val="16"/>
                <w:szCs w:val="16"/>
                <w:lang w:eastAsia="en-AU"/>
              </w:rPr>
            </w:pPr>
          </w:p>
        </w:tc>
        <w:tc>
          <w:tcPr>
            <w:tcW w:w="1418" w:type="dxa"/>
            <w:tcBorders>
              <w:top w:val="nil"/>
              <w:left w:val="nil"/>
              <w:bottom w:val="nil"/>
              <w:right w:val="nil"/>
            </w:tcBorders>
            <w:shd w:val="clear" w:color="auto" w:fill="auto"/>
            <w:noWrap/>
            <w:vAlign w:val="center"/>
            <w:hideMark/>
          </w:tcPr>
          <w:p w14:paraId="032B4013" w14:textId="77777777" w:rsidR="00BC5219" w:rsidRPr="009C55C2" w:rsidRDefault="00BC5219" w:rsidP="00E83802">
            <w:pPr>
              <w:jc w:val="center"/>
              <w:rPr>
                <w:rFonts w:ascii="Meta Pro" w:eastAsia="Times New Roman" w:hAnsi="Meta Pro"/>
                <w:b/>
                <w:bCs/>
                <w:sz w:val="16"/>
                <w:szCs w:val="16"/>
                <w:lang w:eastAsia="en-AU"/>
              </w:rPr>
            </w:pPr>
            <w:r w:rsidRPr="009C55C2">
              <w:rPr>
                <w:rFonts w:ascii="Meta Pro" w:eastAsia="Times New Roman" w:hAnsi="Meta Pro"/>
                <w:b/>
                <w:bCs/>
                <w:sz w:val="16"/>
                <w:szCs w:val="16"/>
                <w:lang w:eastAsia="en-AU"/>
              </w:rPr>
              <w:t>2023</w:t>
            </w:r>
          </w:p>
        </w:tc>
        <w:tc>
          <w:tcPr>
            <w:tcW w:w="199" w:type="dxa"/>
            <w:tcBorders>
              <w:top w:val="nil"/>
              <w:left w:val="nil"/>
              <w:bottom w:val="nil"/>
              <w:right w:val="nil"/>
            </w:tcBorders>
            <w:shd w:val="clear" w:color="auto" w:fill="auto"/>
            <w:noWrap/>
            <w:vAlign w:val="center"/>
            <w:hideMark/>
          </w:tcPr>
          <w:p w14:paraId="2D45CA22" w14:textId="77777777" w:rsidR="00BC5219" w:rsidRPr="009C55C2" w:rsidRDefault="00BC5219" w:rsidP="00E83802">
            <w:pPr>
              <w:jc w:val="center"/>
              <w:rPr>
                <w:rFonts w:ascii="Meta Pro" w:eastAsia="Times New Roman" w:hAnsi="Meta Pro"/>
                <w:b/>
                <w:bCs/>
                <w:sz w:val="16"/>
                <w:szCs w:val="16"/>
                <w:lang w:eastAsia="en-AU"/>
              </w:rPr>
            </w:pPr>
          </w:p>
        </w:tc>
        <w:tc>
          <w:tcPr>
            <w:tcW w:w="1418" w:type="dxa"/>
            <w:tcBorders>
              <w:top w:val="nil"/>
              <w:left w:val="nil"/>
              <w:bottom w:val="nil"/>
              <w:right w:val="nil"/>
            </w:tcBorders>
            <w:shd w:val="clear" w:color="auto" w:fill="auto"/>
            <w:noWrap/>
            <w:vAlign w:val="center"/>
            <w:hideMark/>
          </w:tcPr>
          <w:p w14:paraId="69683ACA" w14:textId="77777777" w:rsidR="00BC5219" w:rsidRPr="009C55C2" w:rsidRDefault="00BC5219" w:rsidP="00E83802">
            <w:pPr>
              <w:jc w:val="center"/>
              <w:rPr>
                <w:rFonts w:ascii="Meta Pro" w:eastAsia="Times New Roman" w:hAnsi="Meta Pro"/>
                <w:b/>
                <w:bCs/>
                <w:sz w:val="16"/>
                <w:szCs w:val="16"/>
                <w:lang w:eastAsia="en-AU"/>
              </w:rPr>
            </w:pPr>
            <w:r w:rsidRPr="009C55C2">
              <w:rPr>
                <w:rFonts w:ascii="Meta Pro" w:eastAsia="Times New Roman" w:hAnsi="Meta Pro"/>
                <w:b/>
                <w:bCs/>
                <w:sz w:val="16"/>
                <w:szCs w:val="16"/>
                <w:lang w:eastAsia="en-AU"/>
              </w:rPr>
              <w:t>2023</w:t>
            </w:r>
          </w:p>
        </w:tc>
      </w:tr>
      <w:tr w:rsidR="00BC5219" w:rsidRPr="009C55C2" w14:paraId="45B6811B" w14:textId="77777777" w:rsidTr="00E83802">
        <w:trPr>
          <w:trHeight w:val="198"/>
        </w:trPr>
        <w:tc>
          <w:tcPr>
            <w:tcW w:w="4366" w:type="dxa"/>
            <w:gridSpan w:val="2"/>
            <w:tcBorders>
              <w:top w:val="nil"/>
              <w:left w:val="nil"/>
              <w:bottom w:val="nil"/>
              <w:right w:val="nil"/>
            </w:tcBorders>
            <w:shd w:val="clear" w:color="auto" w:fill="auto"/>
            <w:noWrap/>
            <w:vAlign w:val="center"/>
            <w:hideMark/>
          </w:tcPr>
          <w:p w14:paraId="60AA13B5" w14:textId="77777777" w:rsidR="00BC5219" w:rsidRPr="009C55C2" w:rsidRDefault="00BC5219" w:rsidP="00E83802">
            <w:pPr>
              <w:rPr>
                <w:rFonts w:ascii="Meta Pro" w:eastAsia="Times New Roman" w:hAnsi="Meta Pro"/>
                <w:b/>
                <w:bCs/>
                <w:sz w:val="16"/>
                <w:szCs w:val="16"/>
                <w:lang w:eastAsia="en-AU"/>
              </w:rPr>
            </w:pPr>
            <w:r w:rsidRPr="009C55C2">
              <w:rPr>
                <w:rFonts w:ascii="Meta Pro" w:eastAsia="Times New Roman" w:hAnsi="Meta Pro"/>
                <w:b/>
                <w:bCs/>
                <w:sz w:val="16"/>
                <w:szCs w:val="16"/>
                <w:lang w:eastAsia="en-AU"/>
              </w:rPr>
              <w:t>Assets</w:t>
            </w:r>
          </w:p>
        </w:tc>
        <w:tc>
          <w:tcPr>
            <w:tcW w:w="1418" w:type="dxa"/>
            <w:tcBorders>
              <w:top w:val="nil"/>
              <w:left w:val="nil"/>
              <w:bottom w:val="nil"/>
              <w:right w:val="nil"/>
            </w:tcBorders>
            <w:shd w:val="clear" w:color="auto" w:fill="auto"/>
            <w:noWrap/>
            <w:vAlign w:val="center"/>
            <w:hideMark/>
          </w:tcPr>
          <w:p w14:paraId="77C2F040" w14:textId="77777777" w:rsidR="00BC5219" w:rsidRPr="009C55C2" w:rsidRDefault="00BC5219" w:rsidP="00E83802">
            <w:pPr>
              <w:jc w:val="center"/>
              <w:rPr>
                <w:rFonts w:ascii="Meta Pro" w:eastAsia="Times New Roman" w:hAnsi="Meta Pro"/>
                <w:b/>
                <w:bCs/>
                <w:sz w:val="16"/>
                <w:szCs w:val="16"/>
                <w:lang w:eastAsia="en-AU"/>
              </w:rPr>
            </w:pPr>
            <w:r w:rsidRPr="009C55C2">
              <w:rPr>
                <w:rFonts w:ascii="Meta Pro" w:eastAsia="Times New Roman" w:hAnsi="Meta Pro"/>
                <w:b/>
                <w:bCs/>
                <w:sz w:val="16"/>
                <w:szCs w:val="16"/>
                <w:lang w:eastAsia="en-AU"/>
              </w:rPr>
              <w:t>$'000</w:t>
            </w:r>
          </w:p>
        </w:tc>
        <w:tc>
          <w:tcPr>
            <w:tcW w:w="198" w:type="dxa"/>
            <w:tcBorders>
              <w:top w:val="nil"/>
              <w:left w:val="nil"/>
              <w:bottom w:val="nil"/>
              <w:right w:val="nil"/>
            </w:tcBorders>
            <w:shd w:val="clear" w:color="auto" w:fill="auto"/>
            <w:noWrap/>
            <w:vAlign w:val="center"/>
            <w:hideMark/>
          </w:tcPr>
          <w:p w14:paraId="0C87BDDD" w14:textId="77777777" w:rsidR="00BC5219" w:rsidRPr="009C55C2" w:rsidRDefault="00BC5219" w:rsidP="00E83802">
            <w:pPr>
              <w:jc w:val="center"/>
              <w:rPr>
                <w:rFonts w:ascii="Meta Pro" w:eastAsia="Times New Roman" w:hAnsi="Meta Pro"/>
                <w:b/>
                <w:bCs/>
                <w:sz w:val="16"/>
                <w:szCs w:val="16"/>
                <w:lang w:eastAsia="en-AU"/>
              </w:rPr>
            </w:pPr>
          </w:p>
        </w:tc>
        <w:tc>
          <w:tcPr>
            <w:tcW w:w="1418" w:type="dxa"/>
            <w:tcBorders>
              <w:top w:val="nil"/>
              <w:left w:val="nil"/>
              <w:bottom w:val="nil"/>
              <w:right w:val="nil"/>
            </w:tcBorders>
            <w:shd w:val="clear" w:color="auto" w:fill="auto"/>
            <w:noWrap/>
            <w:vAlign w:val="center"/>
            <w:hideMark/>
          </w:tcPr>
          <w:p w14:paraId="4E8B8F71" w14:textId="77777777" w:rsidR="00BC5219" w:rsidRPr="009C55C2" w:rsidRDefault="00BC5219" w:rsidP="00E83802">
            <w:pPr>
              <w:jc w:val="center"/>
              <w:rPr>
                <w:rFonts w:ascii="Meta Pro" w:eastAsia="Times New Roman" w:hAnsi="Meta Pro"/>
                <w:b/>
                <w:bCs/>
                <w:sz w:val="16"/>
                <w:szCs w:val="16"/>
                <w:lang w:eastAsia="en-AU"/>
              </w:rPr>
            </w:pPr>
            <w:r w:rsidRPr="009C55C2">
              <w:rPr>
                <w:rFonts w:ascii="Meta Pro" w:eastAsia="Times New Roman" w:hAnsi="Meta Pro"/>
                <w:b/>
                <w:bCs/>
                <w:sz w:val="16"/>
                <w:szCs w:val="16"/>
                <w:lang w:eastAsia="en-AU"/>
              </w:rPr>
              <w:t>$'000</w:t>
            </w:r>
          </w:p>
        </w:tc>
        <w:tc>
          <w:tcPr>
            <w:tcW w:w="199" w:type="dxa"/>
            <w:tcBorders>
              <w:top w:val="nil"/>
              <w:left w:val="nil"/>
              <w:bottom w:val="nil"/>
              <w:right w:val="nil"/>
            </w:tcBorders>
            <w:shd w:val="clear" w:color="auto" w:fill="auto"/>
            <w:noWrap/>
            <w:vAlign w:val="center"/>
            <w:hideMark/>
          </w:tcPr>
          <w:p w14:paraId="5B0AB8D1" w14:textId="77777777" w:rsidR="00BC5219" w:rsidRPr="009C55C2" w:rsidRDefault="00BC5219" w:rsidP="00E83802">
            <w:pPr>
              <w:jc w:val="center"/>
              <w:rPr>
                <w:rFonts w:ascii="Meta Pro" w:eastAsia="Times New Roman" w:hAnsi="Meta Pro"/>
                <w:b/>
                <w:bCs/>
                <w:sz w:val="16"/>
                <w:szCs w:val="16"/>
                <w:lang w:eastAsia="en-AU"/>
              </w:rPr>
            </w:pPr>
          </w:p>
        </w:tc>
        <w:tc>
          <w:tcPr>
            <w:tcW w:w="1418" w:type="dxa"/>
            <w:tcBorders>
              <w:top w:val="nil"/>
              <w:left w:val="nil"/>
              <w:bottom w:val="nil"/>
              <w:right w:val="nil"/>
            </w:tcBorders>
            <w:shd w:val="clear" w:color="auto" w:fill="auto"/>
            <w:noWrap/>
            <w:vAlign w:val="center"/>
            <w:hideMark/>
          </w:tcPr>
          <w:p w14:paraId="456110CD" w14:textId="77777777" w:rsidR="00BC5219" w:rsidRPr="009C55C2" w:rsidRDefault="00BC5219" w:rsidP="00E83802">
            <w:pPr>
              <w:jc w:val="center"/>
              <w:rPr>
                <w:rFonts w:ascii="Meta Pro" w:eastAsia="Times New Roman" w:hAnsi="Meta Pro"/>
                <w:b/>
                <w:bCs/>
                <w:sz w:val="16"/>
                <w:szCs w:val="16"/>
                <w:lang w:eastAsia="en-AU"/>
              </w:rPr>
            </w:pPr>
            <w:r w:rsidRPr="009C55C2">
              <w:rPr>
                <w:rFonts w:ascii="Meta Pro" w:eastAsia="Times New Roman" w:hAnsi="Meta Pro"/>
                <w:b/>
                <w:bCs/>
                <w:sz w:val="16"/>
                <w:szCs w:val="16"/>
                <w:lang w:eastAsia="en-AU"/>
              </w:rPr>
              <w:t>$'000</w:t>
            </w:r>
          </w:p>
        </w:tc>
        <w:tc>
          <w:tcPr>
            <w:tcW w:w="199" w:type="dxa"/>
            <w:tcBorders>
              <w:top w:val="nil"/>
              <w:left w:val="nil"/>
              <w:bottom w:val="nil"/>
              <w:right w:val="nil"/>
            </w:tcBorders>
            <w:shd w:val="clear" w:color="auto" w:fill="auto"/>
            <w:noWrap/>
            <w:vAlign w:val="center"/>
            <w:hideMark/>
          </w:tcPr>
          <w:p w14:paraId="37CE7160" w14:textId="77777777" w:rsidR="00BC5219" w:rsidRPr="009C55C2" w:rsidRDefault="00BC5219" w:rsidP="00E83802">
            <w:pPr>
              <w:jc w:val="center"/>
              <w:rPr>
                <w:rFonts w:ascii="Meta Pro" w:eastAsia="Times New Roman" w:hAnsi="Meta Pro"/>
                <w:b/>
                <w:bCs/>
                <w:sz w:val="16"/>
                <w:szCs w:val="16"/>
                <w:lang w:eastAsia="en-AU"/>
              </w:rPr>
            </w:pPr>
          </w:p>
        </w:tc>
        <w:tc>
          <w:tcPr>
            <w:tcW w:w="1418" w:type="dxa"/>
            <w:tcBorders>
              <w:top w:val="nil"/>
              <w:left w:val="nil"/>
              <w:bottom w:val="nil"/>
              <w:right w:val="nil"/>
            </w:tcBorders>
            <w:shd w:val="clear" w:color="auto" w:fill="auto"/>
            <w:noWrap/>
            <w:vAlign w:val="center"/>
            <w:hideMark/>
          </w:tcPr>
          <w:p w14:paraId="05E02EBE" w14:textId="77777777" w:rsidR="00BC5219" w:rsidRPr="009C55C2" w:rsidRDefault="00BC5219" w:rsidP="00E83802">
            <w:pPr>
              <w:jc w:val="center"/>
              <w:rPr>
                <w:rFonts w:ascii="Meta Pro" w:eastAsia="Times New Roman" w:hAnsi="Meta Pro"/>
                <w:b/>
                <w:bCs/>
                <w:sz w:val="16"/>
                <w:szCs w:val="16"/>
                <w:lang w:eastAsia="en-AU"/>
              </w:rPr>
            </w:pPr>
            <w:r w:rsidRPr="009C55C2">
              <w:rPr>
                <w:rFonts w:ascii="Meta Pro" w:eastAsia="Times New Roman" w:hAnsi="Meta Pro"/>
                <w:b/>
                <w:bCs/>
                <w:sz w:val="16"/>
                <w:szCs w:val="16"/>
                <w:lang w:eastAsia="en-AU"/>
              </w:rPr>
              <w:t>$'000</w:t>
            </w:r>
          </w:p>
        </w:tc>
        <w:tc>
          <w:tcPr>
            <w:tcW w:w="199" w:type="dxa"/>
            <w:tcBorders>
              <w:top w:val="nil"/>
              <w:left w:val="nil"/>
              <w:bottom w:val="nil"/>
              <w:right w:val="nil"/>
            </w:tcBorders>
            <w:shd w:val="clear" w:color="auto" w:fill="auto"/>
            <w:noWrap/>
            <w:vAlign w:val="center"/>
            <w:hideMark/>
          </w:tcPr>
          <w:p w14:paraId="046DF1B7" w14:textId="77777777" w:rsidR="00BC5219" w:rsidRPr="009C55C2" w:rsidRDefault="00BC5219" w:rsidP="00E83802">
            <w:pPr>
              <w:jc w:val="center"/>
              <w:rPr>
                <w:rFonts w:ascii="Meta Pro" w:eastAsia="Times New Roman" w:hAnsi="Meta Pro"/>
                <w:b/>
                <w:bCs/>
                <w:sz w:val="16"/>
                <w:szCs w:val="16"/>
                <w:lang w:eastAsia="en-AU"/>
              </w:rPr>
            </w:pPr>
          </w:p>
        </w:tc>
        <w:tc>
          <w:tcPr>
            <w:tcW w:w="1418" w:type="dxa"/>
            <w:tcBorders>
              <w:top w:val="nil"/>
              <w:left w:val="nil"/>
              <w:bottom w:val="nil"/>
              <w:right w:val="nil"/>
            </w:tcBorders>
            <w:shd w:val="clear" w:color="auto" w:fill="auto"/>
            <w:noWrap/>
            <w:vAlign w:val="center"/>
            <w:hideMark/>
          </w:tcPr>
          <w:p w14:paraId="08DE9FEC" w14:textId="77777777" w:rsidR="00BC5219" w:rsidRPr="009C55C2" w:rsidRDefault="00BC5219" w:rsidP="00E83802">
            <w:pPr>
              <w:jc w:val="center"/>
              <w:rPr>
                <w:rFonts w:ascii="Meta Pro" w:eastAsia="Times New Roman" w:hAnsi="Meta Pro"/>
                <w:b/>
                <w:bCs/>
                <w:sz w:val="16"/>
                <w:szCs w:val="16"/>
                <w:lang w:eastAsia="en-AU"/>
              </w:rPr>
            </w:pPr>
            <w:r w:rsidRPr="009C55C2">
              <w:rPr>
                <w:rFonts w:ascii="Meta Pro" w:eastAsia="Times New Roman" w:hAnsi="Meta Pro"/>
                <w:b/>
                <w:bCs/>
                <w:sz w:val="16"/>
                <w:szCs w:val="16"/>
                <w:lang w:eastAsia="en-AU"/>
              </w:rPr>
              <w:t>$'000</w:t>
            </w:r>
          </w:p>
        </w:tc>
        <w:tc>
          <w:tcPr>
            <w:tcW w:w="199" w:type="dxa"/>
            <w:tcBorders>
              <w:top w:val="nil"/>
              <w:left w:val="nil"/>
              <w:bottom w:val="nil"/>
              <w:right w:val="nil"/>
            </w:tcBorders>
            <w:shd w:val="clear" w:color="auto" w:fill="auto"/>
            <w:noWrap/>
            <w:vAlign w:val="center"/>
            <w:hideMark/>
          </w:tcPr>
          <w:p w14:paraId="5FA9DB2D" w14:textId="77777777" w:rsidR="00BC5219" w:rsidRPr="009C55C2" w:rsidRDefault="00BC5219" w:rsidP="00E83802">
            <w:pPr>
              <w:jc w:val="center"/>
              <w:rPr>
                <w:rFonts w:ascii="Meta Pro" w:eastAsia="Times New Roman" w:hAnsi="Meta Pro"/>
                <w:b/>
                <w:bCs/>
                <w:sz w:val="16"/>
                <w:szCs w:val="16"/>
                <w:lang w:eastAsia="en-AU"/>
              </w:rPr>
            </w:pPr>
          </w:p>
        </w:tc>
        <w:tc>
          <w:tcPr>
            <w:tcW w:w="1418" w:type="dxa"/>
            <w:tcBorders>
              <w:top w:val="nil"/>
              <w:left w:val="nil"/>
              <w:bottom w:val="nil"/>
              <w:right w:val="nil"/>
            </w:tcBorders>
            <w:shd w:val="clear" w:color="auto" w:fill="auto"/>
            <w:noWrap/>
            <w:vAlign w:val="center"/>
            <w:hideMark/>
          </w:tcPr>
          <w:p w14:paraId="124A4144" w14:textId="77777777" w:rsidR="00BC5219" w:rsidRPr="009C55C2" w:rsidRDefault="00BC5219" w:rsidP="00E83802">
            <w:pPr>
              <w:jc w:val="center"/>
              <w:rPr>
                <w:rFonts w:ascii="Meta Pro" w:eastAsia="Times New Roman" w:hAnsi="Meta Pro"/>
                <w:b/>
                <w:bCs/>
                <w:sz w:val="16"/>
                <w:szCs w:val="16"/>
                <w:lang w:eastAsia="en-AU"/>
              </w:rPr>
            </w:pPr>
            <w:r w:rsidRPr="009C55C2">
              <w:rPr>
                <w:rFonts w:ascii="Meta Pro" w:eastAsia="Times New Roman" w:hAnsi="Meta Pro"/>
                <w:b/>
                <w:bCs/>
                <w:sz w:val="16"/>
                <w:szCs w:val="16"/>
                <w:lang w:eastAsia="en-AU"/>
              </w:rPr>
              <w:t>$'000</w:t>
            </w:r>
          </w:p>
        </w:tc>
      </w:tr>
      <w:tr w:rsidR="00BC5219" w:rsidRPr="009C55C2" w14:paraId="10FB74B9" w14:textId="77777777" w:rsidTr="00E83802">
        <w:trPr>
          <w:trHeight w:val="198"/>
        </w:trPr>
        <w:tc>
          <w:tcPr>
            <w:tcW w:w="4366" w:type="dxa"/>
            <w:gridSpan w:val="2"/>
            <w:tcBorders>
              <w:top w:val="nil"/>
              <w:left w:val="nil"/>
              <w:bottom w:val="nil"/>
              <w:right w:val="nil"/>
            </w:tcBorders>
            <w:shd w:val="clear" w:color="auto" w:fill="auto"/>
            <w:noWrap/>
            <w:vAlign w:val="center"/>
            <w:hideMark/>
          </w:tcPr>
          <w:p w14:paraId="0583B384" w14:textId="77777777" w:rsidR="00BC5219" w:rsidRPr="009C55C2" w:rsidRDefault="00BC5219" w:rsidP="00E83802">
            <w:pPr>
              <w:rPr>
                <w:rFonts w:ascii="Meta Pro" w:eastAsia="Times New Roman" w:hAnsi="Meta Pro"/>
                <w:b/>
                <w:bCs/>
                <w:sz w:val="16"/>
                <w:szCs w:val="16"/>
                <w:lang w:eastAsia="en-AU"/>
              </w:rPr>
            </w:pPr>
            <w:r w:rsidRPr="009C55C2">
              <w:rPr>
                <w:rFonts w:ascii="Meta Pro" w:eastAsia="Times New Roman" w:hAnsi="Meta Pro"/>
                <w:b/>
                <w:bCs/>
                <w:sz w:val="16"/>
                <w:szCs w:val="16"/>
                <w:lang w:eastAsia="en-AU"/>
              </w:rPr>
              <w:t>Current assets</w:t>
            </w:r>
          </w:p>
        </w:tc>
        <w:tc>
          <w:tcPr>
            <w:tcW w:w="1418" w:type="dxa"/>
            <w:tcBorders>
              <w:top w:val="nil"/>
              <w:left w:val="nil"/>
              <w:bottom w:val="nil"/>
              <w:right w:val="nil"/>
            </w:tcBorders>
            <w:shd w:val="clear" w:color="auto" w:fill="auto"/>
            <w:noWrap/>
            <w:vAlign w:val="center"/>
            <w:hideMark/>
          </w:tcPr>
          <w:p w14:paraId="288A861A" w14:textId="77777777" w:rsidR="00BC5219" w:rsidRPr="009C55C2" w:rsidRDefault="00BC5219" w:rsidP="00E83802">
            <w:pPr>
              <w:rPr>
                <w:rFonts w:ascii="Meta Pro" w:eastAsia="Times New Roman" w:hAnsi="Meta Pro"/>
                <w:b/>
                <w:bCs/>
                <w:sz w:val="16"/>
                <w:szCs w:val="16"/>
                <w:lang w:eastAsia="en-AU"/>
              </w:rPr>
            </w:pPr>
          </w:p>
        </w:tc>
        <w:tc>
          <w:tcPr>
            <w:tcW w:w="198" w:type="dxa"/>
            <w:tcBorders>
              <w:top w:val="nil"/>
              <w:left w:val="nil"/>
              <w:bottom w:val="nil"/>
              <w:right w:val="nil"/>
            </w:tcBorders>
            <w:shd w:val="clear" w:color="auto" w:fill="auto"/>
            <w:noWrap/>
            <w:vAlign w:val="center"/>
            <w:hideMark/>
          </w:tcPr>
          <w:p w14:paraId="6547614B" w14:textId="77777777" w:rsidR="00BC5219" w:rsidRPr="009C55C2" w:rsidRDefault="00BC5219" w:rsidP="00E83802">
            <w:pPr>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noWrap/>
            <w:vAlign w:val="center"/>
            <w:hideMark/>
          </w:tcPr>
          <w:p w14:paraId="7E6C6FE1" w14:textId="77777777" w:rsidR="00BC5219" w:rsidRPr="009C55C2"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210D11B0" w14:textId="77777777" w:rsidR="00BC5219" w:rsidRPr="009C55C2" w:rsidRDefault="00BC5219" w:rsidP="00E83802">
            <w:pPr>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noWrap/>
            <w:vAlign w:val="center"/>
            <w:hideMark/>
          </w:tcPr>
          <w:p w14:paraId="0D6C45A9" w14:textId="77777777" w:rsidR="00BC5219" w:rsidRPr="009C55C2"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0DB92B21" w14:textId="77777777" w:rsidR="00BC5219" w:rsidRPr="009C55C2" w:rsidRDefault="00BC5219" w:rsidP="00E83802">
            <w:pPr>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noWrap/>
            <w:vAlign w:val="center"/>
            <w:hideMark/>
          </w:tcPr>
          <w:p w14:paraId="13B85673" w14:textId="77777777" w:rsidR="00BC5219" w:rsidRPr="009C55C2"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21D93BDE" w14:textId="77777777" w:rsidR="00BC5219" w:rsidRPr="009C55C2" w:rsidRDefault="00BC5219" w:rsidP="00E83802">
            <w:pPr>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noWrap/>
            <w:vAlign w:val="center"/>
            <w:hideMark/>
          </w:tcPr>
          <w:p w14:paraId="25DA6F12" w14:textId="77777777" w:rsidR="00BC5219" w:rsidRPr="009C55C2"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47E3BA97" w14:textId="77777777" w:rsidR="00BC5219" w:rsidRPr="009C55C2" w:rsidRDefault="00BC5219" w:rsidP="00E83802">
            <w:pPr>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noWrap/>
            <w:vAlign w:val="center"/>
            <w:hideMark/>
          </w:tcPr>
          <w:p w14:paraId="0679FD6A" w14:textId="77777777" w:rsidR="00BC5219" w:rsidRPr="009C55C2" w:rsidRDefault="00BC5219" w:rsidP="00E83802">
            <w:pPr>
              <w:jc w:val="right"/>
              <w:rPr>
                <w:rFonts w:ascii="Meta Pro" w:eastAsia="Times New Roman" w:hAnsi="Meta Pro" w:cs="Times New Roman"/>
                <w:sz w:val="20"/>
                <w:szCs w:val="20"/>
                <w:lang w:eastAsia="en-AU"/>
              </w:rPr>
            </w:pPr>
          </w:p>
        </w:tc>
      </w:tr>
      <w:tr w:rsidR="00BC5219" w:rsidRPr="009C55C2" w14:paraId="7F3FDBE1" w14:textId="77777777" w:rsidTr="00E83802">
        <w:trPr>
          <w:trHeight w:val="198"/>
        </w:trPr>
        <w:tc>
          <w:tcPr>
            <w:tcW w:w="198" w:type="dxa"/>
            <w:tcBorders>
              <w:top w:val="nil"/>
              <w:left w:val="nil"/>
              <w:bottom w:val="nil"/>
              <w:right w:val="nil"/>
            </w:tcBorders>
            <w:shd w:val="clear" w:color="auto" w:fill="auto"/>
            <w:noWrap/>
            <w:vAlign w:val="center"/>
            <w:hideMark/>
          </w:tcPr>
          <w:p w14:paraId="19B98CF0" w14:textId="77777777" w:rsidR="00BC5219" w:rsidRPr="009C55C2" w:rsidRDefault="00BC5219" w:rsidP="00E83802">
            <w:pPr>
              <w:rPr>
                <w:rFonts w:ascii="Meta Pro" w:eastAsia="Times New Roman" w:hAnsi="Meta Pro" w:cs="Times New Roman"/>
                <w:sz w:val="20"/>
                <w:szCs w:val="20"/>
                <w:lang w:eastAsia="en-AU"/>
              </w:rPr>
            </w:pPr>
          </w:p>
        </w:tc>
        <w:tc>
          <w:tcPr>
            <w:tcW w:w="4366" w:type="dxa"/>
            <w:tcBorders>
              <w:top w:val="nil"/>
              <w:left w:val="nil"/>
              <w:bottom w:val="nil"/>
              <w:right w:val="nil"/>
            </w:tcBorders>
            <w:shd w:val="clear" w:color="auto" w:fill="auto"/>
            <w:noWrap/>
            <w:vAlign w:val="center"/>
            <w:hideMark/>
          </w:tcPr>
          <w:p w14:paraId="7E60A1B5"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Cash</w:t>
            </w:r>
          </w:p>
        </w:tc>
        <w:tc>
          <w:tcPr>
            <w:tcW w:w="1418" w:type="dxa"/>
            <w:tcBorders>
              <w:top w:val="nil"/>
              <w:left w:val="nil"/>
              <w:bottom w:val="nil"/>
              <w:right w:val="nil"/>
            </w:tcBorders>
            <w:shd w:val="clear" w:color="000000" w:fill="C9E3B4"/>
            <w:noWrap/>
            <w:vAlign w:val="center"/>
            <w:hideMark/>
          </w:tcPr>
          <w:p w14:paraId="5C28AABE"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11,911 </w:t>
            </w:r>
          </w:p>
        </w:tc>
        <w:tc>
          <w:tcPr>
            <w:tcW w:w="198" w:type="dxa"/>
            <w:tcBorders>
              <w:top w:val="nil"/>
              <w:left w:val="nil"/>
              <w:bottom w:val="nil"/>
              <w:right w:val="nil"/>
            </w:tcBorders>
            <w:shd w:val="clear" w:color="auto" w:fill="auto"/>
            <w:noWrap/>
            <w:vAlign w:val="center"/>
            <w:hideMark/>
          </w:tcPr>
          <w:p w14:paraId="1F2B1CF5"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5402A5FD"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131,224 </w:t>
            </w:r>
          </w:p>
        </w:tc>
        <w:tc>
          <w:tcPr>
            <w:tcW w:w="199" w:type="dxa"/>
            <w:tcBorders>
              <w:top w:val="nil"/>
              <w:left w:val="nil"/>
              <w:bottom w:val="nil"/>
              <w:right w:val="nil"/>
            </w:tcBorders>
            <w:shd w:val="clear" w:color="auto" w:fill="auto"/>
            <w:noWrap/>
            <w:vAlign w:val="center"/>
            <w:hideMark/>
          </w:tcPr>
          <w:p w14:paraId="04A6C397"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CAA21D2"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35,907 </w:t>
            </w:r>
          </w:p>
        </w:tc>
        <w:tc>
          <w:tcPr>
            <w:tcW w:w="199" w:type="dxa"/>
            <w:tcBorders>
              <w:top w:val="nil"/>
              <w:left w:val="nil"/>
              <w:bottom w:val="nil"/>
              <w:right w:val="nil"/>
            </w:tcBorders>
            <w:shd w:val="clear" w:color="auto" w:fill="auto"/>
            <w:noWrap/>
            <w:vAlign w:val="center"/>
            <w:hideMark/>
          </w:tcPr>
          <w:p w14:paraId="75E01DF9"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31EACB80"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46,548 </w:t>
            </w:r>
          </w:p>
        </w:tc>
        <w:tc>
          <w:tcPr>
            <w:tcW w:w="199" w:type="dxa"/>
            <w:tcBorders>
              <w:top w:val="nil"/>
              <w:left w:val="nil"/>
              <w:bottom w:val="nil"/>
              <w:right w:val="nil"/>
            </w:tcBorders>
            <w:shd w:val="clear" w:color="auto" w:fill="auto"/>
            <w:noWrap/>
            <w:vAlign w:val="center"/>
            <w:hideMark/>
          </w:tcPr>
          <w:p w14:paraId="178DB2A9"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320BC9F9"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369,349 </w:t>
            </w:r>
          </w:p>
        </w:tc>
        <w:tc>
          <w:tcPr>
            <w:tcW w:w="199" w:type="dxa"/>
            <w:tcBorders>
              <w:top w:val="nil"/>
              <w:left w:val="nil"/>
              <w:bottom w:val="nil"/>
              <w:right w:val="nil"/>
            </w:tcBorders>
            <w:shd w:val="clear" w:color="auto" w:fill="auto"/>
            <w:noWrap/>
            <w:vAlign w:val="center"/>
            <w:hideMark/>
          </w:tcPr>
          <w:p w14:paraId="0950215D"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621CA056"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6,305 </w:t>
            </w:r>
          </w:p>
        </w:tc>
      </w:tr>
      <w:tr w:rsidR="00BC5219" w:rsidRPr="009C55C2" w14:paraId="03753CC4" w14:textId="77777777" w:rsidTr="00E83802">
        <w:trPr>
          <w:trHeight w:val="198"/>
        </w:trPr>
        <w:tc>
          <w:tcPr>
            <w:tcW w:w="198" w:type="dxa"/>
            <w:tcBorders>
              <w:top w:val="nil"/>
              <w:left w:val="nil"/>
              <w:bottom w:val="nil"/>
              <w:right w:val="nil"/>
            </w:tcBorders>
            <w:shd w:val="clear" w:color="auto" w:fill="auto"/>
            <w:noWrap/>
            <w:vAlign w:val="center"/>
            <w:hideMark/>
          </w:tcPr>
          <w:p w14:paraId="4FE3425F"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5C760543"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Receivables</w:t>
            </w:r>
          </w:p>
        </w:tc>
        <w:tc>
          <w:tcPr>
            <w:tcW w:w="1418" w:type="dxa"/>
            <w:tcBorders>
              <w:top w:val="nil"/>
              <w:left w:val="nil"/>
              <w:bottom w:val="nil"/>
              <w:right w:val="nil"/>
            </w:tcBorders>
            <w:shd w:val="clear" w:color="000000" w:fill="C9E3B4"/>
            <w:noWrap/>
            <w:vAlign w:val="center"/>
            <w:hideMark/>
          </w:tcPr>
          <w:p w14:paraId="36B4B182"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9,073 </w:t>
            </w:r>
          </w:p>
        </w:tc>
        <w:tc>
          <w:tcPr>
            <w:tcW w:w="198" w:type="dxa"/>
            <w:tcBorders>
              <w:top w:val="nil"/>
              <w:left w:val="nil"/>
              <w:bottom w:val="nil"/>
              <w:right w:val="nil"/>
            </w:tcBorders>
            <w:shd w:val="clear" w:color="auto" w:fill="auto"/>
            <w:noWrap/>
            <w:vAlign w:val="center"/>
            <w:hideMark/>
          </w:tcPr>
          <w:p w14:paraId="4D0A9DB8"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2B517F5A"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23,635 </w:t>
            </w:r>
          </w:p>
        </w:tc>
        <w:tc>
          <w:tcPr>
            <w:tcW w:w="199" w:type="dxa"/>
            <w:tcBorders>
              <w:top w:val="nil"/>
              <w:left w:val="nil"/>
              <w:bottom w:val="nil"/>
              <w:right w:val="nil"/>
            </w:tcBorders>
            <w:shd w:val="clear" w:color="auto" w:fill="auto"/>
            <w:noWrap/>
            <w:vAlign w:val="center"/>
            <w:hideMark/>
          </w:tcPr>
          <w:p w14:paraId="708F5B8F"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46B8822C"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69,013 </w:t>
            </w:r>
          </w:p>
        </w:tc>
        <w:tc>
          <w:tcPr>
            <w:tcW w:w="199" w:type="dxa"/>
            <w:tcBorders>
              <w:top w:val="nil"/>
              <w:left w:val="nil"/>
              <w:bottom w:val="nil"/>
              <w:right w:val="nil"/>
            </w:tcBorders>
            <w:shd w:val="clear" w:color="auto" w:fill="auto"/>
            <w:noWrap/>
            <w:vAlign w:val="center"/>
            <w:hideMark/>
          </w:tcPr>
          <w:p w14:paraId="2F66AA53"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0A111EA"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4,017 </w:t>
            </w:r>
          </w:p>
        </w:tc>
        <w:tc>
          <w:tcPr>
            <w:tcW w:w="199" w:type="dxa"/>
            <w:tcBorders>
              <w:top w:val="nil"/>
              <w:left w:val="nil"/>
              <w:bottom w:val="nil"/>
              <w:right w:val="nil"/>
            </w:tcBorders>
            <w:shd w:val="clear" w:color="auto" w:fill="auto"/>
            <w:noWrap/>
            <w:vAlign w:val="center"/>
            <w:hideMark/>
          </w:tcPr>
          <w:p w14:paraId="0E38F6BB"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3A5E2AAB"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74,453 </w:t>
            </w:r>
          </w:p>
        </w:tc>
        <w:tc>
          <w:tcPr>
            <w:tcW w:w="199" w:type="dxa"/>
            <w:tcBorders>
              <w:top w:val="nil"/>
              <w:left w:val="nil"/>
              <w:bottom w:val="nil"/>
              <w:right w:val="nil"/>
            </w:tcBorders>
            <w:shd w:val="clear" w:color="auto" w:fill="auto"/>
            <w:noWrap/>
            <w:vAlign w:val="center"/>
            <w:hideMark/>
          </w:tcPr>
          <w:p w14:paraId="4997A794"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5A04C137"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65,866 </w:t>
            </w:r>
          </w:p>
        </w:tc>
      </w:tr>
      <w:tr w:rsidR="00BC5219" w:rsidRPr="009C55C2" w14:paraId="603E248F" w14:textId="77777777" w:rsidTr="00E83802">
        <w:trPr>
          <w:trHeight w:val="198"/>
        </w:trPr>
        <w:tc>
          <w:tcPr>
            <w:tcW w:w="198" w:type="dxa"/>
            <w:tcBorders>
              <w:top w:val="nil"/>
              <w:left w:val="nil"/>
              <w:bottom w:val="nil"/>
              <w:right w:val="nil"/>
            </w:tcBorders>
            <w:shd w:val="clear" w:color="auto" w:fill="auto"/>
            <w:noWrap/>
            <w:vAlign w:val="center"/>
            <w:hideMark/>
          </w:tcPr>
          <w:p w14:paraId="43A8E041"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40AFE82B"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Inventories</w:t>
            </w:r>
          </w:p>
        </w:tc>
        <w:tc>
          <w:tcPr>
            <w:tcW w:w="1418" w:type="dxa"/>
            <w:tcBorders>
              <w:top w:val="nil"/>
              <w:left w:val="nil"/>
              <w:bottom w:val="nil"/>
              <w:right w:val="nil"/>
            </w:tcBorders>
            <w:shd w:val="clear" w:color="000000" w:fill="C9E3B4"/>
            <w:noWrap/>
            <w:vAlign w:val="center"/>
            <w:hideMark/>
          </w:tcPr>
          <w:p w14:paraId="376A8932"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0D1E1943"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56BBC780"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1,196 </w:t>
            </w:r>
          </w:p>
        </w:tc>
        <w:tc>
          <w:tcPr>
            <w:tcW w:w="199" w:type="dxa"/>
            <w:tcBorders>
              <w:top w:val="nil"/>
              <w:left w:val="nil"/>
              <w:bottom w:val="nil"/>
              <w:right w:val="nil"/>
            </w:tcBorders>
            <w:shd w:val="clear" w:color="auto" w:fill="auto"/>
            <w:noWrap/>
            <w:vAlign w:val="center"/>
            <w:hideMark/>
          </w:tcPr>
          <w:p w14:paraId="7CE1611F"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6D57EA7B"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1,518 </w:t>
            </w:r>
          </w:p>
        </w:tc>
        <w:tc>
          <w:tcPr>
            <w:tcW w:w="199" w:type="dxa"/>
            <w:tcBorders>
              <w:top w:val="nil"/>
              <w:left w:val="nil"/>
              <w:bottom w:val="nil"/>
              <w:right w:val="nil"/>
            </w:tcBorders>
            <w:shd w:val="clear" w:color="auto" w:fill="auto"/>
            <w:noWrap/>
            <w:vAlign w:val="center"/>
            <w:hideMark/>
          </w:tcPr>
          <w:p w14:paraId="60CB5336"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7344396C"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170 </w:t>
            </w:r>
          </w:p>
        </w:tc>
        <w:tc>
          <w:tcPr>
            <w:tcW w:w="199" w:type="dxa"/>
            <w:tcBorders>
              <w:top w:val="nil"/>
              <w:left w:val="nil"/>
              <w:bottom w:val="nil"/>
              <w:right w:val="nil"/>
            </w:tcBorders>
            <w:shd w:val="clear" w:color="auto" w:fill="auto"/>
            <w:noWrap/>
            <w:vAlign w:val="center"/>
            <w:hideMark/>
          </w:tcPr>
          <w:p w14:paraId="1B5BD946"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2DAB21C8"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3,407 </w:t>
            </w:r>
          </w:p>
        </w:tc>
        <w:tc>
          <w:tcPr>
            <w:tcW w:w="199" w:type="dxa"/>
            <w:tcBorders>
              <w:top w:val="nil"/>
              <w:left w:val="nil"/>
              <w:bottom w:val="nil"/>
              <w:right w:val="nil"/>
            </w:tcBorders>
            <w:shd w:val="clear" w:color="auto" w:fill="auto"/>
            <w:noWrap/>
            <w:vAlign w:val="center"/>
            <w:hideMark/>
          </w:tcPr>
          <w:p w14:paraId="193BB6D9"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22E2575C"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91,697 </w:t>
            </w:r>
          </w:p>
        </w:tc>
      </w:tr>
      <w:tr w:rsidR="00BC5219" w:rsidRPr="009C55C2" w14:paraId="05873681" w14:textId="77777777" w:rsidTr="00E83802">
        <w:trPr>
          <w:trHeight w:val="198"/>
        </w:trPr>
        <w:tc>
          <w:tcPr>
            <w:tcW w:w="198" w:type="dxa"/>
            <w:tcBorders>
              <w:top w:val="nil"/>
              <w:left w:val="nil"/>
              <w:bottom w:val="nil"/>
              <w:right w:val="nil"/>
            </w:tcBorders>
            <w:shd w:val="clear" w:color="auto" w:fill="auto"/>
            <w:noWrap/>
            <w:vAlign w:val="center"/>
            <w:hideMark/>
          </w:tcPr>
          <w:p w14:paraId="4B0D6E5F"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5D5005FB"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Prepayments</w:t>
            </w:r>
          </w:p>
        </w:tc>
        <w:tc>
          <w:tcPr>
            <w:tcW w:w="1418" w:type="dxa"/>
            <w:tcBorders>
              <w:top w:val="nil"/>
              <w:left w:val="nil"/>
              <w:bottom w:val="nil"/>
              <w:right w:val="nil"/>
            </w:tcBorders>
            <w:shd w:val="clear" w:color="000000" w:fill="C9E3B4"/>
            <w:noWrap/>
            <w:vAlign w:val="center"/>
            <w:hideMark/>
          </w:tcPr>
          <w:p w14:paraId="6202555C"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1,573 </w:t>
            </w:r>
          </w:p>
        </w:tc>
        <w:tc>
          <w:tcPr>
            <w:tcW w:w="198" w:type="dxa"/>
            <w:tcBorders>
              <w:top w:val="nil"/>
              <w:left w:val="nil"/>
              <w:bottom w:val="nil"/>
              <w:right w:val="nil"/>
            </w:tcBorders>
            <w:shd w:val="clear" w:color="auto" w:fill="auto"/>
            <w:noWrap/>
            <w:vAlign w:val="center"/>
            <w:hideMark/>
          </w:tcPr>
          <w:p w14:paraId="0E9188D6"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03B2821"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9,688 </w:t>
            </w:r>
          </w:p>
        </w:tc>
        <w:tc>
          <w:tcPr>
            <w:tcW w:w="199" w:type="dxa"/>
            <w:tcBorders>
              <w:top w:val="nil"/>
              <w:left w:val="nil"/>
              <w:bottom w:val="nil"/>
              <w:right w:val="nil"/>
            </w:tcBorders>
            <w:shd w:val="clear" w:color="auto" w:fill="auto"/>
            <w:noWrap/>
            <w:vAlign w:val="center"/>
            <w:hideMark/>
          </w:tcPr>
          <w:p w14:paraId="787F17CE"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3EC14548"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2,434 </w:t>
            </w:r>
          </w:p>
        </w:tc>
        <w:tc>
          <w:tcPr>
            <w:tcW w:w="199" w:type="dxa"/>
            <w:tcBorders>
              <w:top w:val="nil"/>
              <w:left w:val="nil"/>
              <w:bottom w:val="nil"/>
              <w:right w:val="nil"/>
            </w:tcBorders>
            <w:shd w:val="clear" w:color="auto" w:fill="auto"/>
            <w:noWrap/>
            <w:vAlign w:val="center"/>
            <w:hideMark/>
          </w:tcPr>
          <w:p w14:paraId="178B9E5F"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6247535D"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1,432 </w:t>
            </w:r>
          </w:p>
        </w:tc>
        <w:tc>
          <w:tcPr>
            <w:tcW w:w="199" w:type="dxa"/>
            <w:tcBorders>
              <w:top w:val="nil"/>
              <w:left w:val="nil"/>
              <w:bottom w:val="nil"/>
              <w:right w:val="nil"/>
            </w:tcBorders>
            <w:shd w:val="clear" w:color="auto" w:fill="auto"/>
            <w:noWrap/>
            <w:vAlign w:val="center"/>
            <w:hideMark/>
          </w:tcPr>
          <w:p w14:paraId="6556011B"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2F755F59"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83,576 </w:t>
            </w:r>
          </w:p>
        </w:tc>
        <w:tc>
          <w:tcPr>
            <w:tcW w:w="199" w:type="dxa"/>
            <w:tcBorders>
              <w:top w:val="nil"/>
              <w:left w:val="nil"/>
              <w:bottom w:val="nil"/>
              <w:right w:val="nil"/>
            </w:tcBorders>
            <w:shd w:val="clear" w:color="auto" w:fill="auto"/>
            <w:noWrap/>
            <w:vAlign w:val="center"/>
            <w:hideMark/>
          </w:tcPr>
          <w:p w14:paraId="44D79A72"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E4CDB56"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960 </w:t>
            </w:r>
          </w:p>
        </w:tc>
      </w:tr>
      <w:tr w:rsidR="00BC5219" w:rsidRPr="009C55C2" w14:paraId="0DFEB103" w14:textId="77777777" w:rsidTr="00E83802">
        <w:trPr>
          <w:trHeight w:val="198"/>
        </w:trPr>
        <w:tc>
          <w:tcPr>
            <w:tcW w:w="198" w:type="dxa"/>
            <w:tcBorders>
              <w:top w:val="nil"/>
              <w:left w:val="nil"/>
              <w:bottom w:val="single" w:sz="4" w:space="0" w:color="auto"/>
              <w:right w:val="nil"/>
            </w:tcBorders>
            <w:shd w:val="clear" w:color="auto" w:fill="auto"/>
            <w:noWrap/>
            <w:vAlign w:val="center"/>
            <w:hideMark/>
          </w:tcPr>
          <w:p w14:paraId="2F42B88C"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4366" w:type="dxa"/>
            <w:tcBorders>
              <w:top w:val="nil"/>
              <w:left w:val="nil"/>
              <w:bottom w:val="single" w:sz="4" w:space="0" w:color="auto"/>
              <w:right w:val="nil"/>
            </w:tcBorders>
            <w:shd w:val="clear" w:color="auto" w:fill="auto"/>
            <w:noWrap/>
            <w:vAlign w:val="center"/>
            <w:hideMark/>
          </w:tcPr>
          <w:p w14:paraId="2DAEA9DA"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Non-current assets classified as held for sale</w:t>
            </w:r>
          </w:p>
        </w:tc>
        <w:tc>
          <w:tcPr>
            <w:tcW w:w="1418" w:type="dxa"/>
            <w:tcBorders>
              <w:top w:val="nil"/>
              <w:left w:val="nil"/>
              <w:bottom w:val="single" w:sz="4" w:space="0" w:color="auto"/>
              <w:right w:val="nil"/>
            </w:tcBorders>
            <w:shd w:val="clear" w:color="000000" w:fill="C9E3B4"/>
            <w:noWrap/>
            <w:vAlign w:val="center"/>
            <w:hideMark/>
          </w:tcPr>
          <w:p w14:paraId="20B6E59E"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3,562 </w:t>
            </w:r>
          </w:p>
        </w:tc>
        <w:tc>
          <w:tcPr>
            <w:tcW w:w="198" w:type="dxa"/>
            <w:tcBorders>
              <w:top w:val="nil"/>
              <w:left w:val="nil"/>
              <w:bottom w:val="single" w:sz="4" w:space="0" w:color="auto"/>
              <w:right w:val="nil"/>
            </w:tcBorders>
            <w:shd w:val="clear" w:color="auto" w:fill="auto"/>
            <w:noWrap/>
            <w:vAlign w:val="center"/>
            <w:hideMark/>
          </w:tcPr>
          <w:p w14:paraId="23939493"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6FB78B63"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9" w:type="dxa"/>
            <w:tcBorders>
              <w:top w:val="nil"/>
              <w:left w:val="nil"/>
              <w:bottom w:val="single" w:sz="4" w:space="0" w:color="auto"/>
              <w:right w:val="nil"/>
            </w:tcBorders>
            <w:shd w:val="clear" w:color="auto" w:fill="auto"/>
            <w:noWrap/>
            <w:vAlign w:val="center"/>
            <w:hideMark/>
          </w:tcPr>
          <w:p w14:paraId="6F6B59CF"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04615C5B"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9" w:type="dxa"/>
            <w:tcBorders>
              <w:top w:val="nil"/>
              <w:left w:val="nil"/>
              <w:bottom w:val="single" w:sz="4" w:space="0" w:color="auto"/>
              <w:right w:val="nil"/>
            </w:tcBorders>
            <w:shd w:val="clear" w:color="auto" w:fill="auto"/>
            <w:noWrap/>
            <w:vAlign w:val="center"/>
            <w:hideMark/>
          </w:tcPr>
          <w:p w14:paraId="2620AFCE"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4F0533C6"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9" w:type="dxa"/>
            <w:tcBorders>
              <w:top w:val="nil"/>
              <w:left w:val="nil"/>
              <w:bottom w:val="single" w:sz="4" w:space="0" w:color="auto"/>
              <w:right w:val="nil"/>
            </w:tcBorders>
            <w:shd w:val="clear" w:color="auto" w:fill="auto"/>
            <w:noWrap/>
            <w:vAlign w:val="center"/>
            <w:hideMark/>
          </w:tcPr>
          <w:p w14:paraId="15A006C7"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3730BD96"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9" w:type="dxa"/>
            <w:tcBorders>
              <w:top w:val="nil"/>
              <w:left w:val="nil"/>
              <w:bottom w:val="single" w:sz="4" w:space="0" w:color="auto"/>
              <w:right w:val="nil"/>
            </w:tcBorders>
            <w:shd w:val="clear" w:color="auto" w:fill="auto"/>
            <w:noWrap/>
            <w:vAlign w:val="center"/>
            <w:hideMark/>
          </w:tcPr>
          <w:p w14:paraId="63E5ED4B"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06CD533B"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r>
      <w:tr w:rsidR="00BC5219" w:rsidRPr="009C55C2" w14:paraId="49688B94" w14:textId="77777777" w:rsidTr="00E83802">
        <w:trPr>
          <w:trHeight w:val="198"/>
        </w:trPr>
        <w:tc>
          <w:tcPr>
            <w:tcW w:w="198" w:type="dxa"/>
            <w:tcBorders>
              <w:top w:val="nil"/>
              <w:left w:val="nil"/>
              <w:bottom w:val="nil"/>
              <w:right w:val="nil"/>
            </w:tcBorders>
            <w:shd w:val="clear" w:color="auto" w:fill="auto"/>
            <w:noWrap/>
            <w:vAlign w:val="center"/>
            <w:hideMark/>
          </w:tcPr>
          <w:p w14:paraId="7ED98ADD"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7AB14B20" w14:textId="77777777" w:rsidR="00BC5219" w:rsidRPr="009C55C2" w:rsidRDefault="00BC5219" w:rsidP="00E83802">
            <w:pPr>
              <w:rPr>
                <w:rFonts w:ascii="Meta Pro" w:eastAsia="Times New Roman" w:hAnsi="Meta Pro"/>
                <w:b/>
                <w:bCs/>
                <w:sz w:val="16"/>
                <w:szCs w:val="16"/>
                <w:lang w:eastAsia="en-AU"/>
              </w:rPr>
            </w:pPr>
            <w:r w:rsidRPr="009C55C2">
              <w:rPr>
                <w:rFonts w:ascii="Meta Pro" w:eastAsia="Times New Roman" w:hAnsi="Meta Pro"/>
                <w:b/>
                <w:bCs/>
                <w:sz w:val="16"/>
                <w:szCs w:val="16"/>
                <w:lang w:eastAsia="en-AU"/>
              </w:rPr>
              <w:t>Total current assets</w:t>
            </w:r>
          </w:p>
        </w:tc>
        <w:tc>
          <w:tcPr>
            <w:tcW w:w="1418" w:type="dxa"/>
            <w:tcBorders>
              <w:top w:val="nil"/>
              <w:left w:val="nil"/>
              <w:bottom w:val="nil"/>
              <w:right w:val="nil"/>
            </w:tcBorders>
            <w:shd w:val="clear" w:color="000000" w:fill="C9E3B4"/>
            <w:noWrap/>
            <w:vAlign w:val="center"/>
            <w:hideMark/>
          </w:tcPr>
          <w:p w14:paraId="7E9BFACA"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26,119 </w:t>
            </w:r>
          </w:p>
        </w:tc>
        <w:tc>
          <w:tcPr>
            <w:tcW w:w="198" w:type="dxa"/>
            <w:tcBorders>
              <w:top w:val="nil"/>
              <w:left w:val="nil"/>
              <w:bottom w:val="nil"/>
              <w:right w:val="nil"/>
            </w:tcBorders>
            <w:shd w:val="clear" w:color="auto" w:fill="auto"/>
            <w:noWrap/>
            <w:vAlign w:val="center"/>
            <w:hideMark/>
          </w:tcPr>
          <w:p w14:paraId="40F11470" w14:textId="77777777" w:rsidR="00BC5219" w:rsidRPr="009C55C2" w:rsidRDefault="00BC5219" w:rsidP="00E83802">
            <w:pPr>
              <w:jc w:val="right"/>
              <w:rPr>
                <w:rFonts w:ascii="Meta Pro" w:eastAsia="Times New Roman" w:hAnsi="Meta Pro"/>
                <w:b/>
                <w:bCs/>
                <w:sz w:val="16"/>
                <w:szCs w:val="16"/>
                <w:lang w:eastAsia="en-AU"/>
              </w:rPr>
            </w:pPr>
          </w:p>
        </w:tc>
        <w:tc>
          <w:tcPr>
            <w:tcW w:w="1418" w:type="dxa"/>
            <w:tcBorders>
              <w:top w:val="nil"/>
              <w:left w:val="nil"/>
              <w:bottom w:val="nil"/>
              <w:right w:val="nil"/>
            </w:tcBorders>
            <w:shd w:val="clear" w:color="000000" w:fill="C9E3B4"/>
            <w:noWrap/>
            <w:vAlign w:val="center"/>
            <w:hideMark/>
          </w:tcPr>
          <w:p w14:paraId="7BA9ECAB"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165,743 </w:t>
            </w:r>
          </w:p>
        </w:tc>
        <w:tc>
          <w:tcPr>
            <w:tcW w:w="199" w:type="dxa"/>
            <w:tcBorders>
              <w:top w:val="nil"/>
              <w:left w:val="nil"/>
              <w:bottom w:val="nil"/>
              <w:right w:val="nil"/>
            </w:tcBorders>
            <w:shd w:val="clear" w:color="auto" w:fill="auto"/>
            <w:noWrap/>
            <w:vAlign w:val="center"/>
            <w:hideMark/>
          </w:tcPr>
          <w:p w14:paraId="40E9501C" w14:textId="77777777" w:rsidR="00BC5219" w:rsidRPr="009C55C2" w:rsidRDefault="00BC5219" w:rsidP="00E83802">
            <w:pPr>
              <w:jc w:val="right"/>
              <w:rPr>
                <w:rFonts w:ascii="Meta Pro" w:eastAsia="Times New Roman" w:hAnsi="Meta Pro"/>
                <w:b/>
                <w:bCs/>
                <w:sz w:val="16"/>
                <w:szCs w:val="16"/>
                <w:lang w:eastAsia="en-AU"/>
              </w:rPr>
            </w:pPr>
          </w:p>
        </w:tc>
        <w:tc>
          <w:tcPr>
            <w:tcW w:w="1418" w:type="dxa"/>
            <w:tcBorders>
              <w:top w:val="nil"/>
              <w:left w:val="nil"/>
              <w:bottom w:val="nil"/>
              <w:right w:val="nil"/>
            </w:tcBorders>
            <w:shd w:val="clear" w:color="000000" w:fill="C9E3B4"/>
            <w:noWrap/>
            <w:vAlign w:val="center"/>
            <w:hideMark/>
          </w:tcPr>
          <w:p w14:paraId="51B322E7"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108,872 </w:t>
            </w:r>
          </w:p>
        </w:tc>
        <w:tc>
          <w:tcPr>
            <w:tcW w:w="199" w:type="dxa"/>
            <w:tcBorders>
              <w:top w:val="nil"/>
              <w:left w:val="nil"/>
              <w:bottom w:val="nil"/>
              <w:right w:val="nil"/>
            </w:tcBorders>
            <w:shd w:val="clear" w:color="auto" w:fill="auto"/>
            <w:noWrap/>
            <w:vAlign w:val="center"/>
            <w:hideMark/>
          </w:tcPr>
          <w:p w14:paraId="604EE4DD" w14:textId="77777777" w:rsidR="00BC5219" w:rsidRPr="009C55C2" w:rsidRDefault="00BC5219" w:rsidP="00E83802">
            <w:pPr>
              <w:jc w:val="right"/>
              <w:rPr>
                <w:rFonts w:ascii="Meta Pro" w:eastAsia="Times New Roman" w:hAnsi="Meta Pro"/>
                <w:b/>
                <w:bCs/>
                <w:sz w:val="16"/>
                <w:szCs w:val="16"/>
                <w:lang w:eastAsia="en-AU"/>
              </w:rPr>
            </w:pPr>
          </w:p>
        </w:tc>
        <w:tc>
          <w:tcPr>
            <w:tcW w:w="1418" w:type="dxa"/>
            <w:tcBorders>
              <w:top w:val="nil"/>
              <w:left w:val="nil"/>
              <w:bottom w:val="nil"/>
              <w:right w:val="nil"/>
            </w:tcBorders>
            <w:shd w:val="clear" w:color="000000" w:fill="C9E3B4"/>
            <w:noWrap/>
            <w:vAlign w:val="center"/>
            <w:hideMark/>
          </w:tcPr>
          <w:p w14:paraId="4DAED02B"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52,167 </w:t>
            </w:r>
          </w:p>
        </w:tc>
        <w:tc>
          <w:tcPr>
            <w:tcW w:w="199" w:type="dxa"/>
            <w:tcBorders>
              <w:top w:val="nil"/>
              <w:left w:val="nil"/>
              <w:bottom w:val="nil"/>
              <w:right w:val="nil"/>
            </w:tcBorders>
            <w:shd w:val="clear" w:color="auto" w:fill="auto"/>
            <w:noWrap/>
            <w:vAlign w:val="center"/>
            <w:hideMark/>
          </w:tcPr>
          <w:p w14:paraId="4674F250" w14:textId="77777777" w:rsidR="00BC5219" w:rsidRPr="009C55C2" w:rsidRDefault="00BC5219" w:rsidP="00E83802">
            <w:pPr>
              <w:jc w:val="right"/>
              <w:rPr>
                <w:rFonts w:ascii="Meta Pro" w:eastAsia="Times New Roman" w:hAnsi="Meta Pro"/>
                <w:b/>
                <w:bCs/>
                <w:sz w:val="16"/>
                <w:szCs w:val="16"/>
                <w:lang w:eastAsia="en-AU"/>
              </w:rPr>
            </w:pPr>
          </w:p>
        </w:tc>
        <w:tc>
          <w:tcPr>
            <w:tcW w:w="1418" w:type="dxa"/>
            <w:tcBorders>
              <w:top w:val="nil"/>
              <w:left w:val="nil"/>
              <w:bottom w:val="nil"/>
              <w:right w:val="nil"/>
            </w:tcBorders>
            <w:shd w:val="clear" w:color="000000" w:fill="C9E3B4"/>
            <w:noWrap/>
            <w:vAlign w:val="center"/>
            <w:hideMark/>
          </w:tcPr>
          <w:p w14:paraId="0F80C819"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530,785 </w:t>
            </w:r>
          </w:p>
        </w:tc>
        <w:tc>
          <w:tcPr>
            <w:tcW w:w="199" w:type="dxa"/>
            <w:tcBorders>
              <w:top w:val="nil"/>
              <w:left w:val="nil"/>
              <w:bottom w:val="nil"/>
              <w:right w:val="nil"/>
            </w:tcBorders>
            <w:shd w:val="clear" w:color="auto" w:fill="auto"/>
            <w:noWrap/>
            <w:vAlign w:val="center"/>
            <w:hideMark/>
          </w:tcPr>
          <w:p w14:paraId="5A89232C" w14:textId="77777777" w:rsidR="00BC5219" w:rsidRPr="009C55C2" w:rsidRDefault="00BC5219" w:rsidP="00E83802">
            <w:pPr>
              <w:jc w:val="right"/>
              <w:rPr>
                <w:rFonts w:ascii="Meta Pro" w:eastAsia="Times New Roman" w:hAnsi="Meta Pro"/>
                <w:b/>
                <w:bCs/>
                <w:sz w:val="16"/>
                <w:szCs w:val="16"/>
                <w:lang w:eastAsia="en-AU"/>
              </w:rPr>
            </w:pPr>
          </w:p>
        </w:tc>
        <w:tc>
          <w:tcPr>
            <w:tcW w:w="1418" w:type="dxa"/>
            <w:tcBorders>
              <w:top w:val="nil"/>
              <w:left w:val="nil"/>
              <w:bottom w:val="nil"/>
              <w:right w:val="nil"/>
            </w:tcBorders>
            <w:shd w:val="clear" w:color="000000" w:fill="C9E3B4"/>
            <w:noWrap/>
            <w:vAlign w:val="center"/>
            <w:hideMark/>
          </w:tcPr>
          <w:p w14:paraId="5A1742BF"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164,828 </w:t>
            </w:r>
          </w:p>
        </w:tc>
      </w:tr>
      <w:tr w:rsidR="00BC5219" w:rsidRPr="009C55C2" w14:paraId="77CB2A85" w14:textId="77777777" w:rsidTr="00E83802">
        <w:trPr>
          <w:trHeight w:hRule="exact" w:val="142"/>
        </w:trPr>
        <w:tc>
          <w:tcPr>
            <w:tcW w:w="198" w:type="dxa"/>
            <w:tcBorders>
              <w:top w:val="nil"/>
              <w:left w:val="nil"/>
              <w:bottom w:val="nil"/>
              <w:right w:val="nil"/>
            </w:tcBorders>
            <w:shd w:val="clear" w:color="auto" w:fill="auto"/>
            <w:noWrap/>
            <w:vAlign w:val="center"/>
            <w:hideMark/>
          </w:tcPr>
          <w:p w14:paraId="4ABF7FB6" w14:textId="77777777" w:rsidR="00BC5219" w:rsidRPr="009C55C2" w:rsidRDefault="00BC5219" w:rsidP="00E83802">
            <w:pPr>
              <w:jc w:val="right"/>
              <w:rPr>
                <w:rFonts w:ascii="Meta Pro" w:eastAsia="Times New Roman" w:hAnsi="Meta Pro"/>
                <w:b/>
                <w:bCs/>
                <w:sz w:val="16"/>
                <w:szCs w:val="16"/>
                <w:lang w:eastAsia="en-AU"/>
              </w:rPr>
            </w:pPr>
          </w:p>
        </w:tc>
        <w:tc>
          <w:tcPr>
            <w:tcW w:w="4366" w:type="dxa"/>
            <w:tcBorders>
              <w:top w:val="nil"/>
              <w:left w:val="nil"/>
              <w:bottom w:val="nil"/>
              <w:right w:val="nil"/>
            </w:tcBorders>
            <w:shd w:val="clear" w:color="auto" w:fill="auto"/>
            <w:noWrap/>
            <w:vAlign w:val="center"/>
            <w:hideMark/>
          </w:tcPr>
          <w:p w14:paraId="2F9345E1" w14:textId="77777777" w:rsidR="00BC5219" w:rsidRPr="009C55C2" w:rsidRDefault="00BC5219" w:rsidP="00E83802">
            <w:pPr>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000000" w:fill="C9E3B4"/>
            <w:noWrap/>
            <w:vAlign w:val="center"/>
            <w:hideMark/>
          </w:tcPr>
          <w:p w14:paraId="3FEC9DA2"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736821F8"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7CEC2A4A"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9" w:type="dxa"/>
            <w:tcBorders>
              <w:top w:val="nil"/>
              <w:left w:val="nil"/>
              <w:bottom w:val="nil"/>
              <w:right w:val="nil"/>
            </w:tcBorders>
            <w:shd w:val="clear" w:color="auto" w:fill="auto"/>
            <w:noWrap/>
            <w:vAlign w:val="center"/>
            <w:hideMark/>
          </w:tcPr>
          <w:p w14:paraId="0B1F5B30"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4CF9EF1E"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9" w:type="dxa"/>
            <w:tcBorders>
              <w:top w:val="nil"/>
              <w:left w:val="nil"/>
              <w:bottom w:val="nil"/>
              <w:right w:val="nil"/>
            </w:tcBorders>
            <w:shd w:val="clear" w:color="auto" w:fill="auto"/>
            <w:noWrap/>
            <w:vAlign w:val="center"/>
            <w:hideMark/>
          </w:tcPr>
          <w:p w14:paraId="2B5731F5"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4B245899"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9" w:type="dxa"/>
            <w:tcBorders>
              <w:top w:val="nil"/>
              <w:left w:val="nil"/>
              <w:bottom w:val="nil"/>
              <w:right w:val="nil"/>
            </w:tcBorders>
            <w:shd w:val="clear" w:color="auto" w:fill="auto"/>
            <w:noWrap/>
            <w:vAlign w:val="center"/>
            <w:hideMark/>
          </w:tcPr>
          <w:p w14:paraId="4C67C231"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4391BF1F"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9" w:type="dxa"/>
            <w:tcBorders>
              <w:top w:val="nil"/>
              <w:left w:val="nil"/>
              <w:bottom w:val="nil"/>
              <w:right w:val="nil"/>
            </w:tcBorders>
            <w:shd w:val="clear" w:color="auto" w:fill="auto"/>
            <w:noWrap/>
            <w:vAlign w:val="center"/>
            <w:hideMark/>
          </w:tcPr>
          <w:p w14:paraId="495DE2A0"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31CBF037"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r>
      <w:tr w:rsidR="00BC5219" w:rsidRPr="009C55C2" w14:paraId="5F92A5BF" w14:textId="77777777" w:rsidTr="00E83802">
        <w:trPr>
          <w:trHeight w:val="198"/>
        </w:trPr>
        <w:tc>
          <w:tcPr>
            <w:tcW w:w="4366" w:type="dxa"/>
            <w:gridSpan w:val="2"/>
            <w:tcBorders>
              <w:top w:val="nil"/>
              <w:left w:val="nil"/>
              <w:bottom w:val="nil"/>
              <w:right w:val="nil"/>
            </w:tcBorders>
            <w:shd w:val="clear" w:color="auto" w:fill="auto"/>
            <w:noWrap/>
            <w:vAlign w:val="center"/>
            <w:hideMark/>
          </w:tcPr>
          <w:p w14:paraId="482B2787" w14:textId="77777777" w:rsidR="00BC5219" w:rsidRPr="009C55C2" w:rsidRDefault="00BC5219" w:rsidP="00E83802">
            <w:pPr>
              <w:rPr>
                <w:rFonts w:ascii="Meta Pro" w:eastAsia="Times New Roman" w:hAnsi="Meta Pro"/>
                <w:b/>
                <w:bCs/>
                <w:sz w:val="16"/>
                <w:szCs w:val="16"/>
                <w:lang w:eastAsia="en-AU"/>
              </w:rPr>
            </w:pPr>
            <w:r w:rsidRPr="009C55C2">
              <w:rPr>
                <w:rFonts w:ascii="Meta Pro" w:eastAsia="Times New Roman" w:hAnsi="Meta Pro"/>
                <w:b/>
                <w:bCs/>
                <w:sz w:val="16"/>
                <w:szCs w:val="16"/>
                <w:lang w:eastAsia="en-AU"/>
              </w:rPr>
              <w:t>Non-current assets</w:t>
            </w:r>
          </w:p>
        </w:tc>
        <w:tc>
          <w:tcPr>
            <w:tcW w:w="1418" w:type="dxa"/>
            <w:tcBorders>
              <w:top w:val="nil"/>
              <w:left w:val="nil"/>
              <w:bottom w:val="nil"/>
              <w:right w:val="nil"/>
            </w:tcBorders>
            <w:shd w:val="clear" w:color="000000" w:fill="C9E3B4"/>
            <w:noWrap/>
            <w:vAlign w:val="center"/>
            <w:hideMark/>
          </w:tcPr>
          <w:p w14:paraId="3A983F95"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7DCC134A"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90CE7C2"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9" w:type="dxa"/>
            <w:tcBorders>
              <w:top w:val="nil"/>
              <w:left w:val="nil"/>
              <w:bottom w:val="nil"/>
              <w:right w:val="nil"/>
            </w:tcBorders>
            <w:shd w:val="clear" w:color="auto" w:fill="auto"/>
            <w:noWrap/>
            <w:vAlign w:val="center"/>
            <w:hideMark/>
          </w:tcPr>
          <w:p w14:paraId="1F23CA48"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3B13E69A"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9" w:type="dxa"/>
            <w:tcBorders>
              <w:top w:val="nil"/>
              <w:left w:val="nil"/>
              <w:bottom w:val="nil"/>
              <w:right w:val="nil"/>
            </w:tcBorders>
            <w:shd w:val="clear" w:color="auto" w:fill="auto"/>
            <w:noWrap/>
            <w:vAlign w:val="center"/>
            <w:hideMark/>
          </w:tcPr>
          <w:p w14:paraId="05826F80"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77FC34E6"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9" w:type="dxa"/>
            <w:tcBorders>
              <w:top w:val="nil"/>
              <w:left w:val="nil"/>
              <w:bottom w:val="nil"/>
              <w:right w:val="nil"/>
            </w:tcBorders>
            <w:shd w:val="clear" w:color="auto" w:fill="auto"/>
            <w:noWrap/>
            <w:vAlign w:val="center"/>
            <w:hideMark/>
          </w:tcPr>
          <w:p w14:paraId="21864CA0"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38364D59"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9" w:type="dxa"/>
            <w:tcBorders>
              <w:top w:val="nil"/>
              <w:left w:val="nil"/>
              <w:bottom w:val="nil"/>
              <w:right w:val="nil"/>
            </w:tcBorders>
            <w:shd w:val="clear" w:color="auto" w:fill="auto"/>
            <w:noWrap/>
            <w:vAlign w:val="center"/>
            <w:hideMark/>
          </w:tcPr>
          <w:p w14:paraId="16422427"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271B753"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r>
      <w:tr w:rsidR="00BC5219" w:rsidRPr="009C55C2" w14:paraId="0D0EF445" w14:textId="77777777" w:rsidTr="00E83802">
        <w:trPr>
          <w:trHeight w:val="198"/>
        </w:trPr>
        <w:tc>
          <w:tcPr>
            <w:tcW w:w="198" w:type="dxa"/>
            <w:tcBorders>
              <w:top w:val="nil"/>
              <w:left w:val="nil"/>
              <w:bottom w:val="nil"/>
              <w:right w:val="nil"/>
            </w:tcBorders>
            <w:shd w:val="clear" w:color="auto" w:fill="auto"/>
            <w:noWrap/>
            <w:vAlign w:val="center"/>
            <w:hideMark/>
          </w:tcPr>
          <w:p w14:paraId="17ED6BE1"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0A5058E7"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Receivables</w:t>
            </w:r>
          </w:p>
        </w:tc>
        <w:tc>
          <w:tcPr>
            <w:tcW w:w="1418" w:type="dxa"/>
            <w:tcBorders>
              <w:top w:val="nil"/>
              <w:left w:val="nil"/>
              <w:bottom w:val="nil"/>
              <w:right w:val="nil"/>
            </w:tcBorders>
            <w:shd w:val="clear" w:color="000000" w:fill="C9E3B4"/>
            <w:noWrap/>
            <w:vAlign w:val="center"/>
            <w:hideMark/>
          </w:tcPr>
          <w:p w14:paraId="476F584E"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159B7FA1"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97C0E6C"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19,000 </w:t>
            </w:r>
          </w:p>
        </w:tc>
        <w:tc>
          <w:tcPr>
            <w:tcW w:w="199" w:type="dxa"/>
            <w:tcBorders>
              <w:top w:val="nil"/>
              <w:left w:val="nil"/>
              <w:bottom w:val="nil"/>
              <w:right w:val="nil"/>
            </w:tcBorders>
            <w:shd w:val="clear" w:color="auto" w:fill="auto"/>
            <w:noWrap/>
            <w:vAlign w:val="center"/>
            <w:hideMark/>
          </w:tcPr>
          <w:p w14:paraId="7741EAEC"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36DE4796"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086D160B"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5BF36196"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22F39D2C"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76E1671D"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3,421 </w:t>
            </w:r>
          </w:p>
        </w:tc>
        <w:tc>
          <w:tcPr>
            <w:tcW w:w="199" w:type="dxa"/>
            <w:tcBorders>
              <w:top w:val="nil"/>
              <w:left w:val="nil"/>
              <w:bottom w:val="nil"/>
              <w:right w:val="nil"/>
            </w:tcBorders>
            <w:shd w:val="clear" w:color="auto" w:fill="auto"/>
            <w:noWrap/>
            <w:vAlign w:val="center"/>
            <w:hideMark/>
          </w:tcPr>
          <w:p w14:paraId="403DC456"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CA1FA60"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r>
      <w:tr w:rsidR="00BC5219" w:rsidRPr="009C55C2" w14:paraId="59F7C87F" w14:textId="77777777" w:rsidTr="00E83802">
        <w:trPr>
          <w:trHeight w:val="198"/>
        </w:trPr>
        <w:tc>
          <w:tcPr>
            <w:tcW w:w="198" w:type="dxa"/>
            <w:tcBorders>
              <w:top w:val="nil"/>
              <w:left w:val="nil"/>
              <w:bottom w:val="nil"/>
              <w:right w:val="nil"/>
            </w:tcBorders>
            <w:shd w:val="clear" w:color="auto" w:fill="auto"/>
            <w:noWrap/>
            <w:vAlign w:val="center"/>
            <w:hideMark/>
          </w:tcPr>
          <w:p w14:paraId="11BDA1CF"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32F53228"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Prepayments</w:t>
            </w:r>
          </w:p>
        </w:tc>
        <w:tc>
          <w:tcPr>
            <w:tcW w:w="1418" w:type="dxa"/>
            <w:tcBorders>
              <w:top w:val="nil"/>
              <w:left w:val="nil"/>
              <w:bottom w:val="nil"/>
              <w:right w:val="nil"/>
            </w:tcBorders>
            <w:shd w:val="clear" w:color="000000" w:fill="C9E3B4"/>
            <w:noWrap/>
            <w:vAlign w:val="center"/>
            <w:hideMark/>
          </w:tcPr>
          <w:p w14:paraId="0391E59A"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47 </w:t>
            </w:r>
          </w:p>
        </w:tc>
        <w:tc>
          <w:tcPr>
            <w:tcW w:w="198" w:type="dxa"/>
            <w:tcBorders>
              <w:top w:val="nil"/>
              <w:left w:val="nil"/>
              <w:bottom w:val="nil"/>
              <w:right w:val="nil"/>
            </w:tcBorders>
            <w:shd w:val="clear" w:color="auto" w:fill="auto"/>
            <w:noWrap/>
            <w:vAlign w:val="center"/>
            <w:hideMark/>
          </w:tcPr>
          <w:p w14:paraId="0F21F9D9"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257AB673"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7,224 </w:t>
            </w:r>
          </w:p>
        </w:tc>
        <w:tc>
          <w:tcPr>
            <w:tcW w:w="199" w:type="dxa"/>
            <w:tcBorders>
              <w:top w:val="nil"/>
              <w:left w:val="nil"/>
              <w:bottom w:val="nil"/>
              <w:right w:val="nil"/>
            </w:tcBorders>
            <w:shd w:val="clear" w:color="auto" w:fill="auto"/>
            <w:noWrap/>
            <w:vAlign w:val="center"/>
            <w:hideMark/>
          </w:tcPr>
          <w:p w14:paraId="6FB63197"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3B996990"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504 </w:t>
            </w:r>
          </w:p>
        </w:tc>
        <w:tc>
          <w:tcPr>
            <w:tcW w:w="199" w:type="dxa"/>
            <w:tcBorders>
              <w:top w:val="nil"/>
              <w:left w:val="nil"/>
              <w:bottom w:val="nil"/>
              <w:right w:val="nil"/>
            </w:tcBorders>
            <w:shd w:val="clear" w:color="auto" w:fill="auto"/>
            <w:noWrap/>
            <w:vAlign w:val="center"/>
            <w:hideMark/>
          </w:tcPr>
          <w:p w14:paraId="07738EF6"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77401814"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210 </w:t>
            </w:r>
          </w:p>
        </w:tc>
        <w:tc>
          <w:tcPr>
            <w:tcW w:w="199" w:type="dxa"/>
            <w:tcBorders>
              <w:top w:val="nil"/>
              <w:left w:val="nil"/>
              <w:bottom w:val="nil"/>
              <w:right w:val="nil"/>
            </w:tcBorders>
            <w:shd w:val="clear" w:color="auto" w:fill="auto"/>
            <w:noWrap/>
            <w:vAlign w:val="center"/>
            <w:hideMark/>
          </w:tcPr>
          <w:p w14:paraId="70E8B79D"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2AD90815"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70,764 </w:t>
            </w:r>
          </w:p>
        </w:tc>
        <w:tc>
          <w:tcPr>
            <w:tcW w:w="199" w:type="dxa"/>
            <w:tcBorders>
              <w:top w:val="nil"/>
              <w:left w:val="nil"/>
              <w:bottom w:val="nil"/>
              <w:right w:val="nil"/>
            </w:tcBorders>
            <w:shd w:val="clear" w:color="auto" w:fill="auto"/>
            <w:noWrap/>
            <w:vAlign w:val="center"/>
            <w:hideMark/>
          </w:tcPr>
          <w:p w14:paraId="6317E5D1"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26D87B1D"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r>
      <w:tr w:rsidR="00BC5219" w:rsidRPr="009C55C2" w14:paraId="74D8ED0D" w14:textId="77777777" w:rsidTr="00E83802">
        <w:trPr>
          <w:trHeight w:val="198"/>
        </w:trPr>
        <w:tc>
          <w:tcPr>
            <w:tcW w:w="198" w:type="dxa"/>
            <w:tcBorders>
              <w:top w:val="nil"/>
              <w:left w:val="nil"/>
              <w:bottom w:val="nil"/>
              <w:right w:val="nil"/>
            </w:tcBorders>
            <w:shd w:val="clear" w:color="auto" w:fill="auto"/>
            <w:noWrap/>
            <w:vAlign w:val="center"/>
            <w:hideMark/>
          </w:tcPr>
          <w:p w14:paraId="11D39C7C"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7E270D8C"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Intangible assets</w:t>
            </w:r>
          </w:p>
        </w:tc>
        <w:tc>
          <w:tcPr>
            <w:tcW w:w="1418" w:type="dxa"/>
            <w:tcBorders>
              <w:top w:val="nil"/>
              <w:left w:val="nil"/>
              <w:bottom w:val="nil"/>
              <w:right w:val="nil"/>
            </w:tcBorders>
            <w:shd w:val="clear" w:color="000000" w:fill="C9E3B4"/>
            <w:noWrap/>
            <w:vAlign w:val="center"/>
            <w:hideMark/>
          </w:tcPr>
          <w:p w14:paraId="3B3F9F28"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13,398 </w:t>
            </w:r>
          </w:p>
        </w:tc>
        <w:tc>
          <w:tcPr>
            <w:tcW w:w="198" w:type="dxa"/>
            <w:tcBorders>
              <w:top w:val="nil"/>
              <w:left w:val="nil"/>
              <w:bottom w:val="nil"/>
              <w:right w:val="nil"/>
            </w:tcBorders>
            <w:shd w:val="clear" w:color="auto" w:fill="auto"/>
            <w:noWrap/>
            <w:vAlign w:val="center"/>
            <w:hideMark/>
          </w:tcPr>
          <w:p w14:paraId="12C99F92"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5BFB55F1"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5,564 </w:t>
            </w:r>
          </w:p>
        </w:tc>
        <w:tc>
          <w:tcPr>
            <w:tcW w:w="199" w:type="dxa"/>
            <w:tcBorders>
              <w:top w:val="nil"/>
              <w:left w:val="nil"/>
              <w:bottom w:val="nil"/>
              <w:right w:val="nil"/>
            </w:tcBorders>
            <w:shd w:val="clear" w:color="auto" w:fill="auto"/>
            <w:noWrap/>
            <w:vAlign w:val="center"/>
            <w:hideMark/>
          </w:tcPr>
          <w:p w14:paraId="541CD757"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717E07CF"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17,798 </w:t>
            </w:r>
          </w:p>
        </w:tc>
        <w:tc>
          <w:tcPr>
            <w:tcW w:w="199" w:type="dxa"/>
            <w:tcBorders>
              <w:top w:val="nil"/>
              <w:left w:val="nil"/>
              <w:bottom w:val="nil"/>
              <w:right w:val="nil"/>
            </w:tcBorders>
            <w:shd w:val="clear" w:color="auto" w:fill="auto"/>
            <w:noWrap/>
            <w:vAlign w:val="center"/>
            <w:hideMark/>
          </w:tcPr>
          <w:p w14:paraId="0AFE7CEC"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600B32CA"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21,878 </w:t>
            </w:r>
          </w:p>
        </w:tc>
        <w:tc>
          <w:tcPr>
            <w:tcW w:w="199" w:type="dxa"/>
            <w:tcBorders>
              <w:top w:val="nil"/>
              <w:left w:val="nil"/>
              <w:bottom w:val="nil"/>
              <w:right w:val="nil"/>
            </w:tcBorders>
            <w:shd w:val="clear" w:color="auto" w:fill="auto"/>
            <w:noWrap/>
            <w:vAlign w:val="center"/>
            <w:hideMark/>
          </w:tcPr>
          <w:p w14:paraId="28A84D0C"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5BA07AC8"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2,345 </w:t>
            </w:r>
          </w:p>
        </w:tc>
        <w:tc>
          <w:tcPr>
            <w:tcW w:w="199" w:type="dxa"/>
            <w:tcBorders>
              <w:top w:val="nil"/>
              <w:left w:val="nil"/>
              <w:bottom w:val="nil"/>
              <w:right w:val="nil"/>
            </w:tcBorders>
            <w:shd w:val="clear" w:color="auto" w:fill="auto"/>
            <w:noWrap/>
            <w:vAlign w:val="center"/>
            <w:hideMark/>
          </w:tcPr>
          <w:p w14:paraId="3693380D"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48DA2C0E"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r>
      <w:tr w:rsidR="00BC5219" w:rsidRPr="009C55C2" w14:paraId="2BBF729D" w14:textId="77777777" w:rsidTr="00E83802">
        <w:trPr>
          <w:trHeight w:val="198"/>
        </w:trPr>
        <w:tc>
          <w:tcPr>
            <w:tcW w:w="198" w:type="dxa"/>
            <w:tcBorders>
              <w:top w:val="nil"/>
              <w:left w:val="nil"/>
              <w:bottom w:val="nil"/>
              <w:right w:val="nil"/>
            </w:tcBorders>
            <w:shd w:val="clear" w:color="auto" w:fill="auto"/>
            <w:noWrap/>
            <w:vAlign w:val="center"/>
            <w:hideMark/>
          </w:tcPr>
          <w:p w14:paraId="410AEF01"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5B7FC6C3"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Property, plant and equipment</w:t>
            </w:r>
          </w:p>
        </w:tc>
        <w:tc>
          <w:tcPr>
            <w:tcW w:w="1418" w:type="dxa"/>
            <w:tcBorders>
              <w:top w:val="nil"/>
              <w:left w:val="nil"/>
              <w:bottom w:val="nil"/>
              <w:right w:val="nil"/>
            </w:tcBorders>
            <w:shd w:val="clear" w:color="000000" w:fill="C9E3B4"/>
            <w:noWrap/>
            <w:vAlign w:val="center"/>
            <w:hideMark/>
          </w:tcPr>
          <w:p w14:paraId="4FF91908"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3,847 </w:t>
            </w:r>
          </w:p>
        </w:tc>
        <w:tc>
          <w:tcPr>
            <w:tcW w:w="198" w:type="dxa"/>
            <w:tcBorders>
              <w:top w:val="nil"/>
              <w:left w:val="nil"/>
              <w:bottom w:val="nil"/>
              <w:right w:val="nil"/>
            </w:tcBorders>
            <w:shd w:val="clear" w:color="auto" w:fill="auto"/>
            <w:noWrap/>
            <w:vAlign w:val="center"/>
            <w:hideMark/>
          </w:tcPr>
          <w:p w14:paraId="22421ADB"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5D0CF9F5"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102,425,848 </w:t>
            </w:r>
          </w:p>
        </w:tc>
        <w:tc>
          <w:tcPr>
            <w:tcW w:w="199" w:type="dxa"/>
            <w:tcBorders>
              <w:top w:val="nil"/>
              <w:left w:val="nil"/>
              <w:bottom w:val="nil"/>
              <w:right w:val="nil"/>
            </w:tcBorders>
            <w:shd w:val="clear" w:color="auto" w:fill="auto"/>
            <w:noWrap/>
            <w:vAlign w:val="center"/>
            <w:hideMark/>
          </w:tcPr>
          <w:p w14:paraId="55DE00E6"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40D549AD"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269,872 </w:t>
            </w:r>
          </w:p>
        </w:tc>
        <w:tc>
          <w:tcPr>
            <w:tcW w:w="199" w:type="dxa"/>
            <w:tcBorders>
              <w:top w:val="nil"/>
              <w:left w:val="nil"/>
              <w:bottom w:val="nil"/>
              <w:right w:val="nil"/>
            </w:tcBorders>
            <w:shd w:val="clear" w:color="auto" w:fill="auto"/>
            <w:noWrap/>
            <w:vAlign w:val="center"/>
            <w:hideMark/>
          </w:tcPr>
          <w:p w14:paraId="51784EAF"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F6F6B71"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22,224 </w:t>
            </w:r>
          </w:p>
        </w:tc>
        <w:tc>
          <w:tcPr>
            <w:tcW w:w="199" w:type="dxa"/>
            <w:tcBorders>
              <w:top w:val="nil"/>
              <w:left w:val="nil"/>
              <w:bottom w:val="nil"/>
              <w:right w:val="nil"/>
            </w:tcBorders>
            <w:shd w:val="clear" w:color="auto" w:fill="auto"/>
            <w:noWrap/>
            <w:vAlign w:val="center"/>
            <w:hideMark/>
          </w:tcPr>
          <w:p w14:paraId="407975B0"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EA4BE27"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1,688,877 </w:t>
            </w:r>
          </w:p>
        </w:tc>
        <w:tc>
          <w:tcPr>
            <w:tcW w:w="199" w:type="dxa"/>
            <w:tcBorders>
              <w:top w:val="nil"/>
              <w:left w:val="nil"/>
              <w:bottom w:val="nil"/>
              <w:right w:val="nil"/>
            </w:tcBorders>
            <w:shd w:val="clear" w:color="auto" w:fill="auto"/>
            <w:noWrap/>
            <w:vAlign w:val="center"/>
            <w:hideMark/>
          </w:tcPr>
          <w:p w14:paraId="611F9025"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2E9BB34"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77,286 </w:t>
            </w:r>
          </w:p>
        </w:tc>
      </w:tr>
      <w:tr w:rsidR="00BC5219" w:rsidRPr="009C55C2" w14:paraId="4ED2269B" w14:textId="77777777" w:rsidTr="00E83802">
        <w:trPr>
          <w:trHeight w:val="198"/>
        </w:trPr>
        <w:tc>
          <w:tcPr>
            <w:tcW w:w="198" w:type="dxa"/>
            <w:tcBorders>
              <w:top w:val="nil"/>
              <w:left w:val="nil"/>
              <w:bottom w:val="nil"/>
              <w:right w:val="nil"/>
            </w:tcBorders>
            <w:shd w:val="clear" w:color="auto" w:fill="auto"/>
            <w:noWrap/>
            <w:vAlign w:val="center"/>
            <w:hideMark/>
          </w:tcPr>
          <w:p w14:paraId="6A9CB7C4"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1942C607"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Service concession assets</w:t>
            </w:r>
          </w:p>
        </w:tc>
        <w:tc>
          <w:tcPr>
            <w:tcW w:w="1418" w:type="dxa"/>
            <w:tcBorders>
              <w:top w:val="nil"/>
              <w:left w:val="nil"/>
              <w:bottom w:val="nil"/>
              <w:right w:val="nil"/>
            </w:tcBorders>
            <w:shd w:val="clear" w:color="000000" w:fill="C9E3B4"/>
            <w:noWrap/>
            <w:vAlign w:val="center"/>
            <w:hideMark/>
          </w:tcPr>
          <w:p w14:paraId="31B3BCA2"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57584E45"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71BF887A"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12,726,611 </w:t>
            </w:r>
          </w:p>
        </w:tc>
        <w:tc>
          <w:tcPr>
            <w:tcW w:w="199" w:type="dxa"/>
            <w:tcBorders>
              <w:top w:val="nil"/>
              <w:left w:val="nil"/>
              <w:bottom w:val="nil"/>
              <w:right w:val="nil"/>
            </w:tcBorders>
            <w:shd w:val="clear" w:color="auto" w:fill="auto"/>
            <w:noWrap/>
            <w:vAlign w:val="center"/>
            <w:hideMark/>
          </w:tcPr>
          <w:p w14:paraId="5BE3A13C"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46AD70CF"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06CD9244"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770DEBF"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601E0706"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7B004F83"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1,371,034 </w:t>
            </w:r>
          </w:p>
        </w:tc>
        <w:tc>
          <w:tcPr>
            <w:tcW w:w="199" w:type="dxa"/>
            <w:tcBorders>
              <w:top w:val="nil"/>
              <w:left w:val="nil"/>
              <w:bottom w:val="nil"/>
              <w:right w:val="nil"/>
            </w:tcBorders>
            <w:shd w:val="clear" w:color="auto" w:fill="auto"/>
            <w:noWrap/>
            <w:vAlign w:val="center"/>
            <w:hideMark/>
          </w:tcPr>
          <w:p w14:paraId="55F748BA"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AADF665"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r>
      <w:tr w:rsidR="00BC5219" w:rsidRPr="009C55C2" w14:paraId="06C2A356" w14:textId="77777777" w:rsidTr="00E83802">
        <w:trPr>
          <w:trHeight w:val="198"/>
        </w:trPr>
        <w:tc>
          <w:tcPr>
            <w:tcW w:w="198" w:type="dxa"/>
            <w:tcBorders>
              <w:top w:val="nil"/>
              <w:left w:val="nil"/>
              <w:bottom w:val="nil"/>
              <w:right w:val="nil"/>
            </w:tcBorders>
            <w:shd w:val="clear" w:color="auto" w:fill="auto"/>
            <w:noWrap/>
            <w:vAlign w:val="center"/>
            <w:hideMark/>
          </w:tcPr>
          <w:p w14:paraId="6F1FDEB3"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34AF636D"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Deferred tax assets</w:t>
            </w:r>
          </w:p>
        </w:tc>
        <w:tc>
          <w:tcPr>
            <w:tcW w:w="1418" w:type="dxa"/>
            <w:tcBorders>
              <w:top w:val="nil"/>
              <w:left w:val="nil"/>
              <w:bottom w:val="nil"/>
              <w:right w:val="nil"/>
            </w:tcBorders>
            <w:shd w:val="clear" w:color="000000" w:fill="C9E3B4"/>
            <w:noWrap/>
            <w:vAlign w:val="center"/>
            <w:hideMark/>
          </w:tcPr>
          <w:p w14:paraId="478623BD"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0015ED05"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643286BF"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0168347E"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5B2847E"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7C918A85"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767C1739"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1193D487"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6F4D0B64"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79BAFF0D"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5D77C27"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3,001 </w:t>
            </w:r>
          </w:p>
        </w:tc>
      </w:tr>
      <w:tr w:rsidR="00BC5219" w:rsidRPr="009C55C2" w14:paraId="70FF5515" w14:textId="77777777" w:rsidTr="00E83802">
        <w:trPr>
          <w:trHeight w:val="198"/>
        </w:trPr>
        <w:tc>
          <w:tcPr>
            <w:tcW w:w="198" w:type="dxa"/>
            <w:tcBorders>
              <w:top w:val="nil"/>
              <w:left w:val="nil"/>
              <w:bottom w:val="nil"/>
              <w:right w:val="nil"/>
            </w:tcBorders>
            <w:shd w:val="clear" w:color="auto" w:fill="auto"/>
            <w:noWrap/>
            <w:vAlign w:val="center"/>
            <w:hideMark/>
          </w:tcPr>
          <w:p w14:paraId="7400D270"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5E95F55E"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Right-of-use assets</w:t>
            </w:r>
          </w:p>
        </w:tc>
        <w:tc>
          <w:tcPr>
            <w:tcW w:w="1418" w:type="dxa"/>
            <w:tcBorders>
              <w:top w:val="nil"/>
              <w:left w:val="nil"/>
              <w:bottom w:val="nil"/>
              <w:right w:val="nil"/>
            </w:tcBorders>
            <w:shd w:val="clear" w:color="000000" w:fill="C9E3B4"/>
            <w:noWrap/>
            <w:vAlign w:val="center"/>
            <w:hideMark/>
          </w:tcPr>
          <w:p w14:paraId="39F2F988"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395B9CD7"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A9CB40F"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38B44FA8"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7860C050"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32BEA690"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5708B28F"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03B70666"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F7D207E"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1E544669"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221DEC4F"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r>
      <w:tr w:rsidR="00BC5219" w:rsidRPr="009C55C2" w14:paraId="083FBF2E" w14:textId="77777777" w:rsidTr="00E83802">
        <w:trPr>
          <w:trHeight w:val="198"/>
        </w:trPr>
        <w:tc>
          <w:tcPr>
            <w:tcW w:w="198" w:type="dxa"/>
            <w:tcBorders>
              <w:top w:val="nil"/>
              <w:left w:val="nil"/>
              <w:bottom w:val="nil"/>
              <w:right w:val="nil"/>
            </w:tcBorders>
            <w:shd w:val="clear" w:color="auto" w:fill="auto"/>
            <w:noWrap/>
            <w:vAlign w:val="center"/>
            <w:hideMark/>
          </w:tcPr>
          <w:p w14:paraId="0E700449"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7A612F85"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Investment in subsidiary</w:t>
            </w:r>
          </w:p>
        </w:tc>
        <w:tc>
          <w:tcPr>
            <w:tcW w:w="1418" w:type="dxa"/>
            <w:tcBorders>
              <w:top w:val="nil"/>
              <w:left w:val="nil"/>
              <w:bottom w:val="nil"/>
              <w:right w:val="nil"/>
            </w:tcBorders>
            <w:shd w:val="clear" w:color="000000" w:fill="C9E3B4"/>
            <w:noWrap/>
            <w:vAlign w:val="center"/>
            <w:hideMark/>
          </w:tcPr>
          <w:p w14:paraId="7D68FAB2"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3F6688C2"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5B994B53"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15,601 </w:t>
            </w:r>
          </w:p>
        </w:tc>
        <w:tc>
          <w:tcPr>
            <w:tcW w:w="199" w:type="dxa"/>
            <w:tcBorders>
              <w:top w:val="nil"/>
              <w:left w:val="nil"/>
              <w:bottom w:val="nil"/>
              <w:right w:val="nil"/>
            </w:tcBorders>
            <w:shd w:val="clear" w:color="auto" w:fill="auto"/>
            <w:noWrap/>
            <w:vAlign w:val="center"/>
            <w:hideMark/>
          </w:tcPr>
          <w:p w14:paraId="22EB889E"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40E4EA98"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290890DA"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48A9C78C"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34592339"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5AA9019F"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20B00848"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C3A6BA1"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r>
      <w:tr w:rsidR="00BC5219" w:rsidRPr="009C55C2" w14:paraId="616C3E90" w14:textId="77777777" w:rsidTr="00E83802">
        <w:trPr>
          <w:trHeight w:val="198"/>
        </w:trPr>
        <w:tc>
          <w:tcPr>
            <w:tcW w:w="198" w:type="dxa"/>
            <w:tcBorders>
              <w:top w:val="single" w:sz="4" w:space="0" w:color="auto"/>
              <w:left w:val="nil"/>
              <w:bottom w:val="nil"/>
              <w:right w:val="nil"/>
            </w:tcBorders>
            <w:shd w:val="clear" w:color="auto" w:fill="auto"/>
            <w:noWrap/>
            <w:vAlign w:val="center"/>
            <w:hideMark/>
          </w:tcPr>
          <w:p w14:paraId="10960A53"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4366" w:type="dxa"/>
            <w:tcBorders>
              <w:top w:val="single" w:sz="4" w:space="0" w:color="auto"/>
              <w:left w:val="nil"/>
              <w:bottom w:val="nil"/>
              <w:right w:val="nil"/>
            </w:tcBorders>
            <w:shd w:val="clear" w:color="auto" w:fill="auto"/>
            <w:noWrap/>
            <w:vAlign w:val="center"/>
            <w:hideMark/>
          </w:tcPr>
          <w:p w14:paraId="6716D7FC" w14:textId="77777777" w:rsidR="00BC5219" w:rsidRPr="009C55C2" w:rsidRDefault="00BC5219" w:rsidP="00E83802">
            <w:pPr>
              <w:rPr>
                <w:rFonts w:ascii="Meta Pro" w:eastAsia="Times New Roman" w:hAnsi="Meta Pro"/>
                <w:b/>
                <w:bCs/>
                <w:sz w:val="16"/>
                <w:szCs w:val="16"/>
                <w:lang w:eastAsia="en-AU"/>
              </w:rPr>
            </w:pPr>
            <w:r w:rsidRPr="009C55C2">
              <w:rPr>
                <w:rFonts w:ascii="Meta Pro" w:eastAsia="Times New Roman" w:hAnsi="Meta Pro"/>
                <w:b/>
                <w:bCs/>
                <w:sz w:val="16"/>
                <w:szCs w:val="16"/>
                <w:lang w:eastAsia="en-AU"/>
              </w:rPr>
              <w:t>Total non-current assets</w:t>
            </w:r>
          </w:p>
        </w:tc>
        <w:tc>
          <w:tcPr>
            <w:tcW w:w="1418" w:type="dxa"/>
            <w:tcBorders>
              <w:top w:val="single" w:sz="4" w:space="0" w:color="auto"/>
              <w:left w:val="nil"/>
              <w:bottom w:val="nil"/>
              <w:right w:val="nil"/>
            </w:tcBorders>
            <w:shd w:val="clear" w:color="000000" w:fill="C9E3B4"/>
            <w:noWrap/>
            <w:vAlign w:val="center"/>
            <w:hideMark/>
          </w:tcPr>
          <w:p w14:paraId="7268C379"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17,292 </w:t>
            </w:r>
          </w:p>
        </w:tc>
        <w:tc>
          <w:tcPr>
            <w:tcW w:w="198" w:type="dxa"/>
            <w:tcBorders>
              <w:top w:val="single" w:sz="4" w:space="0" w:color="auto"/>
              <w:left w:val="nil"/>
              <w:bottom w:val="nil"/>
              <w:right w:val="nil"/>
            </w:tcBorders>
            <w:shd w:val="clear" w:color="auto" w:fill="auto"/>
            <w:noWrap/>
            <w:vAlign w:val="center"/>
            <w:hideMark/>
          </w:tcPr>
          <w:p w14:paraId="381FEC7F"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single" w:sz="4" w:space="0" w:color="auto"/>
              <w:left w:val="nil"/>
              <w:bottom w:val="nil"/>
              <w:right w:val="nil"/>
            </w:tcBorders>
            <w:shd w:val="clear" w:color="000000" w:fill="C9E3B4"/>
            <w:noWrap/>
            <w:vAlign w:val="center"/>
            <w:hideMark/>
          </w:tcPr>
          <w:p w14:paraId="3BC0A193"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115,199,848 </w:t>
            </w:r>
          </w:p>
        </w:tc>
        <w:tc>
          <w:tcPr>
            <w:tcW w:w="199" w:type="dxa"/>
            <w:tcBorders>
              <w:top w:val="single" w:sz="4" w:space="0" w:color="auto"/>
              <w:left w:val="nil"/>
              <w:bottom w:val="nil"/>
              <w:right w:val="nil"/>
            </w:tcBorders>
            <w:shd w:val="clear" w:color="auto" w:fill="auto"/>
            <w:noWrap/>
            <w:vAlign w:val="center"/>
            <w:hideMark/>
          </w:tcPr>
          <w:p w14:paraId="68034B48"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single" w:sz="4" w:space="0" w:color="auto"/>
              <w:left w:val="nil"/>
              <w:bottom w:val="nil"/>
              <w:right w:val="nil"/>
            </w:tcBorders>
            <w:shd w:val="clear" w:color="000000" w:fill="C9E3B4"/>
            <w:noWrap/>
            <w:vAlign w:val="center"/>
            <w:hideMark/>
          </w:tcPr>
          <w:p w14:paraId="616C02EA"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288,174 </w:t>
            </w:r>
          </w:p>
        </w:tc>
        <w:tc>
          <w:tcPr>
            <w:tcW w:w="199" w:type="dxa"/>
            <w:tcBorders>
              <w:top w:val="single" w:sz="4" w:space="0" w:color="auto"/>
              <w:left w:val="nil"/>
              <w:bottom w:val="nil"/>
              <w:right w:val="nil"/>
            </w:tcBorders>
            <w:shd w:val="clear" w:color="auto" w:fill="auto"/>
            <w:noWrap/>
            <w:vAlign w:val="center"/>
            <w:hideMark/>
          </w:tcPr>
          <w:p w14:paraId="07B8AB38"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single" w:sz="4" w:space="0" w:color="auto"/>
              <w:left w:val="nil"/>
              <w:bottom w:val="nil"/>
              <w:right w:val="nil"/>
            </w:tcBorders>
            <w:shd w:val="clear" w:color="000000" w:fill="C9E3B4"/>
            <w:noWrap/>
            <w:vAlign w:val="center"/>
            <w:hideMark/>
          </w:tcPr>
          <w:p w14:paraId="528D3F83"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44,312 </w:t>
            </w:r>
          </w:p>
        </w:tc>
        <w:tc>
          <w:tcPr>
            <w:tcW w:w="199" w:type="dxa"/>
            <w:tcBorders>
              <w:top w:val="single" w:sz="4" w:space="0" w:color="auto"/>
              <w:left w:val="nil"/>
              <w:bottom w:val="nil"/>
              <w:right w:val="nil"/>
            </w:tcBorders>
            <w:shd w:val="clear" w:color="auto" w:fill="auto"/>
            <w:noWrap/>
            <w:vAlign w:val="center"/>
            <w:hideMark/>
          </w:tcPr>
          <w:p w14:paraId="0FCA58F6"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single" w:sz="4" w:space="0" w:color="auto"/>
              <w:left w:val="nil"/>
              <w:bottom w:val="nil"/>
              <w:right w:val="nil"/>
            </w:tcBorders>
            <w:shd w:val="clear" w:color="000000" w:fill="C9E3B4"/>
            <w:noWrap/>
            <w:vAlign w:val="center"/>
            <w:hideMark/>
          </w:tcPr>
          <w:p w14:paraId="60C39D12"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3,136,441 </w:t>
            </w:r>
          </w:p>
        </w:tc>
        <w:tc>
          <w:tcPr>
            <w:tcW w:w="199" w:type="dxa"/>
            <w:tcBorders>
              <w:top w:val="single" w:sz="4" w:space="0" w:color="auto"/>
              <w:left w:val="nil"/>
              <w:bottom w:val="nil"/>
              <w:right w:val="nil"/>
            </w:tcBorders>
            <w:shd w:val="clear" w:color="auto" w:fill="auto"/>
            <w:noWrap/>
            <w:vAlign w:val="center"/>
            <w:hideMark/>
          </w:tcPr>
          <w:p w14:paraId="4B6DB539"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single" w:sz="4" w:space="0" w:color="auto"/>
              <w:left w:val="nil"/>
              <w:bottom w:val="nil"/>
              <w:right w:val="nil"/>
            </w:tcBorders>
            <w:shd w:val="clear" w:color="000000" w:fill="C9E3B4"/>
            <w:noWrap/>
            <w:vAlign w:val="center"/>
            <w:hideMark/>
          </w:tcPr>
          <w:p w14:paraId="4ACE24F2"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80,287 </w:t>
            </w:r>
          </w:p>
        </w:tc>
      </w:tr>
      <w:tr w:rsidR="00BC5219" w:rsidRPr="009C55C2" w14:paraId="09207C4E" w14:textId="77777777" w:rsidTr="00E83802">
        <w:trPr>
          <w:trHeight w:hRule="exact" w:val="142"/>
        </w:trPr>
        <w:tc>
          <w:tcPr>
            <w:tcW w:w="198" w:type="dxa"/>
            <w:tcBorders>
              <w:top w:val="nil"/>
              <w:left w:val="nil"/>
              <w:bottom w:val="nil"/>
              <w:right w:val="nil"/>
            </w:tcBorders>
            <w:shd w:val="clear" w:color="auto" w:fill="auto"/>
            <w:noWrap/>
            <w:vAlign w:val="center"/>
            <w:hideMark/>
          </w:tcPr>
          <w:p w14:paraId="10A914AC" w14:textId="77777777" w:rsidR="00BC5219" w:rsidRPr="009C55C2" w:rsidRDefault="00BC5219" w:rsidP="00E83802">
            <w:pPr>
              <w:jc w:val="right"/>
              <w:rPr>
                <w:rFonts w:ascii="Meta Pro" w:eastAsia="Times New Roman" w:hAnsi="Meta Pro"/>
                <w:b/>
                <w:bCs/>
                <w:sz w:val="16"/>
                <w:szCs w:val="16"/>
                <w:lang w:eastAsia="en-AU"/>
              </w:rPr>
            </w:pPr>
          </w:p>
        </w:tc>
        <w:tc>
          <w:tcPr>
            <w:tcW w:w="4366" w:type="dxa"/>
            <w:tcBorders>
              <w:top w:val="nil"/>
              <w:left w:val="nil"/>
              <w:bottom w:val="nil"/>
              <w:right w:val="nil"/>
            </w:tcBorders>
            <w:shd w:val="clear" w:color="auto" w:fill="auto"/>
            <w:noWrap/>
            <w:vAlign w:val="center"/>
            <w:hideMark/>
          </w:tcPr>
          <w:p w14:paraId="418AD5B6" w14:textId="77777777" w:rsidR="00BC5219" w:rsidRPr="009C55C2" w:rsidRDefault="00BC5219" w:rsidP="00E83802">
            <w:pPr>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000000" w:fill="C9E3B4"/>
            <w:noWrap/>
            <w:vAlign w:val="center"/>
            <w:hideMark/>
          </w:tcPr>
          <w:p w14:paraId="06358F0C"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4FBD705D"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318C71AF"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9" w:type="dxa"/>
            <w:tcBorders>
              <w:top w:val="nil"/>
              <w:left w:val="nil"/>
              <w:bottom w:val="nil"/>
              <w:right w:val="nil"/>
            </w:tcBorders>
            <w:shd w:val="clear" w:color="auto" w:fill="auto"/>
            <w:noWrap/>
            <w:vAlign w:val="center"/>
            <w:hideMark/>
          </w:tcPr>
          <w:p w14:paraId="73F20E81"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28235317"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9" w:type="dxa"/>
            <w:tcBorders>
              <w:top w:val="nil"/>
              <w:left w:val="nil"/>
              <w:bottom w:val="nil"/>
              <w:right w:val="nil"/>
            </w:tcBorders>
            <w:shd w:val="clear" w:color="auto" w:fill="auto"/>
            <w:noWrap/>
            <w:vAlign w:val="center"/>
            <w:hideMark/>
          </w:tcPr>
          <w:p w14:paraId="6E37664E"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5E5CAD14"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9" w:type="dxa"/>
            <w:tcBorders>
              <w:top w:val="nil"/>
              <w:left w:val="nil"/>
              <w:bottom w:val="nil"/>
              <w:right w:val="nil"/>
            </w:tcBorders>
            <w:shd w:val="clear" w:color="auto" w:fill="auto"/>
            <w:noWrap/>
            <w:vAlign w:val="center"/>
            <w:hideMark/>
          </w:tcPr>
          <w:p w14:paraId="2468C417"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62376871"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9" w:type="dxa"/>
            <w:tcBorders>
              <w:top w:val="nil"/>
              <w:left w:val="nil"/>
              <w:bottom w:val="nil"/>
              <w:right w:val="nil"/>
            </w:tcBorders>
            <w:shd w:val="clear" w:color="auto" w:fill="auto"/>
            <w:noWrap/>
            <w:vAlign w:val="center"/>
            <w:hideMark/>
          </w:tcPr>
          <w:p w14:paraId="02AE98D6"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7F29FECA"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r>
      <w:tr w:rsidR="00BC5219" w:rsidRPr="009C55C2" w14:paraId="3E6D479D" w14:textId="77777777" w:rsidTr="00E83802">
        <w:trPr>
          <w:trHeight w:val="198"/>
        </w:trPr>
        <w:tc>
          <w:tcPr>
            <w:tcW w:w="4366" w:type="dxa"/>
            <w:gridSpan w:val="2"/>
            <w:tcBorders>
              <w:top w:val="nil"/>
              <w:left w:val="nil"/>
              <w:bottom w:val="double" w:sz="6" w:space="0" w:color="auto"/>
              <w:right w:val="nil"/>
            </w:tcBorders>
            <w:shd w:val="clear" w:color="auto" w:fill="auto"/>
            <w:noWrap/>
            <w:vAlign w:val="center"/>
            <w:hideMark/>
          </w:tcPr>
          <w:p w14:paraId="3E4D7C8D" w14:textId="77777777" w:rsidR="00BC5219" w:rsidRPr="009C55C2" w:rsidRDefault="00BC5219" w:rsidP="00E83802">
            <w:pPr>
              <w:rPr>
                <w:rFonts w:ascii="Meta Pro" w:eastAsia="Times New Roman" w:hAnsi="Meta Pro"/>
                <w:b/>
                <w:bCs/>
                <w:sz w:val="16"/>
                <w:szCs w:val="16"/>
                <w:lang w:eastAsia="en-AU"/>
              </w:rPr>
            </w:pPr>
            <w:r w:rsidRPr="009C55C2">
              <w:rPr>
                <w:rFonts w:ascii="Meta Pro" w:eastAsia="Times New Roman" w:hAnsi="Meta Pro"/>
                <w:b/>
                <w:bCs/>
                <w:sz w:val="16"/>
                <w:szCs w:val="16"/>
                <w:lang w:eastAsia="en-AU"/>
              </w:rPr>
              <w:t>Total assets</w:t>
            </w:r>
          </w:p>
        </w:tc>
        <w:tc>
          <w:tcPr>
            <w:tcW w:w="1418" w:type="dxa"/>
            <w:tcBorders>
              <w:top w:val="nil"/>
              <w:left w:val="nil"/>
              <w:bottom w:val="double" w:sz="6" w:space="0" w:color="auto"/>
              <w:right w:val="nil"/>
            </w:tcBorders>
            <w:shd w:val="clear" w:color="000000" w:fill="C9E3B4"/>
            <w:noWrap/>
            <w:vAlign w:val="center"/>
            <w:hideMark/>
          </w:tcPr>
          <w:p w14:paraId="3DAFFA40"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43,411 </w:t>
            </w:r>
          </w:p>
        </w:tc>
        <w:tc>
          <w:tcPr>
            <w:tcW w:w="198" w:type="dxa"/>
            <w:tcBorders>
              <w:top w:val="nil"/>
              <w:left w:val="nil"/>
              <w:bottom w:val="double" w:sz="6" w:space="0" w:color="auto"/>
              <w:right w:val="nil"/>
            </w:tcBorders>
            <w:shd w:val="clear" w:color="auto" w:fill="auto"/>
            <w:noWrap/>
            <w:vAlign w:val="center"/>
            <w:hideMark/>
          </w:tcPr>
          <w:p w14:paraId="2320389A"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nil"/>
              <w:left w:val="nil"/>
              <w:bottom w:val="double" w:sz="6" w:space="0" w:color="auto"/>
              <w:right w:val="nil"/>
            </w:tcBorders>
            <w:shd w:val="clear" w:color="000000" w:fill="C9E3B4"/>
            <w:noWrap/>
            <w:vAlign w:val="center"/>
            <w:hideMark/>
          </w:tcPr>
          <w:p w14:paraId="26282D23"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115,365,591 </w:t>
            </w:r>
          </w:p>
        </w:tc>
        <w:tc>
          <w:tcPr>
            <w:tcW w:w="199" w:type="dxa"/>
            <w:tcBorders>
              <w:top w:val="nil"/>
              <w:left w:val="nil"/>
              <w:bottom w:val="double" w:sz="6" w:space="0" w:color="auto"/>
              <w:right w:val="nil"/>
            </w:tcBorders>
            <w:shd w:val="clear" w:color="auto" w:fill="auto"/>
            <w:noWrap/>
            <w:vAlign w:val="center"/>
            <w:hideMark/>
          </w:tcPr>
          <w:p w14:paraId="6E584C3D"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nil"/>
              <w:left w:val="nil"/>
              <w:bottom w:val="double" w:sz="6" w:space="0" w:color="auto"/>
              <w:right w:val="nil"/>
            </w:tcBorders>
            <w:shd w:val="clear" w:color="000000" w:fill="C9E3B4"/>
            <w:noWrap/>
            <w:vAlign w:val="center"/>
            <w:hideMark/>
          </w:tcPr>
          <w:p w14:paraId="4C71A6A9"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397,046 </w:t>
            </w:r>
          </w:p>
        </w:tc>
        <w:tc>
          <w:tcPr>
            <w:tcW w:w="199" w:type="dxa"/>
            <w:tcBorders>
              <w:top w:val="nil"/>
              <w:left w:val="nil"/>
              <w:bottom w:val="double" w:sz="6" w:space="0" w:color="auto"/>
              <w:right w:val="nil"/>
            </w:tcBorders>
            <w:shd w:val="clear" w:color="auto" w:fill="auto"/>
            <w:noWrap/>
            <w:vAlign w:val="center"/>
            <w:hideMark/>
          </w:tcPr>
          <w:p w14:paraId="3F138DD1"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nil"/>
              <w:left w:val="nil"/>
              <w:bottom w:val="double" w:sz="6" w:space="0" w:color="auto"/>
              <w:right w:val="nil"/>
            </w:tcBorders>
            <w:shd w:val="clear" w:color="000000" w:fill="C9E3B4"/>
            <w:noWrap/>
            <w:vAlign w:val="center"/>
            <w:hideMark/>
          </w:tcPr>
          <w:p w14:paraId="6C345E65"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96,479 </w:t>
            </w:r>
          </w:p>
        </w:tc>
        <w:tc>
          <w:tcPr>
            <w:tcW w:w="199" w:type="dxa"/>
            <w:tcBorders>
              <w:top w:val="nil"/>
              <w:left w:val="nil"/>
              <w:bottom w:val="double" w:sz="6" w:space="0" w:color="auto"/>
              <w:right w:val="nil"/>
            </w:tcBorders>
            <w:shd w:val="clear" w:color="auto" w:fill="auto"/>
            <w:noWrap/>
            <w:vAlign w:val="center"/>
            <w:hideMark/>
          </w:tcPr>
          <w:p w14:paraId="30162FDE"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nil"/>
              <w:left w:val="nil"/>
              <w:bottom w:val="double" w:sz="6" w:space="0" w:color="auto"/>
              <w:right w:val="nil"/>
            </w:tcBorders>
            <w:shd w:val="clear" w:color="000000" w:fill="C9E3B4"/>
            <w:noWrap/>
            <w:vAlign w:val="center"/>
            <w:hideMark/>
          </w:tcPr>
          <w:p w14:paraId="5E373622"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3,667,226 </w:t>
            </w:r>
          </w:p>
        </w:tc>
        <w:tc>
          <w:tcPr>
            <w:tcW w:w="199" w:type="dxa"/>
            <w:tcBorders>
              <w:top w:val="nil"/>
              <w:left w:val="nil"/>
              <w:bottom w:val="double" w:sz="6" w:space="0" w:color="auto"/>
              <w:right w:val="nil"/>
            </w:tcBorders>
            <w:shd w:val="clear" w:color="auto" w:fill="auto"/>
            <w:noWrap/>
            <w:vAlign w:val="center"/>
            <w:hideMark/>
          </w:tcPr>
          <w:p w14:paraId="07249211"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nil"/>
              <w:left w:val="nil"/>
              <w:bottom w:val="double" w:sz="6" w:space="0" w:color="auto"/>
              <w:right w:val="nil"/>
            </w:tcBorders>
            <w:shd w:val="clear" w:color="000000" w:fill="C9E3B4"/>
            <w:noWrap/>
            <w:vAlign w:val="center"/>
            <w:hideMark/>
          </w:tcPr>
          <w:p w14:paraId="2104563E"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245,115 </w:t>
            </w:r>
          </w:p>
        </w:tc>
      </w:tr>
      <w:tr w:rsidR="00BC5219" w:rsidRPr="009C55C2" w14:paraId="60FE902A" w14:textId="77777777" w:rsidTr="00E83802">
        <w:trPr>
          <w:trHeight w:hRule="exact" w:val="142"/>
        </w:trPr>
        <w:tc>
          <w:tcPr>
            <w:tcW w:w="198" w:type="dxa"/>
            <w:tcBorders>
              <w:top w:val="nil"/>
              <w:left w:val="nil"/>
              <w:bottom w:val="nil"/>
              <w:right w:val="nil"/>
            </w:tcBorders>
            <w:shd w:val="clear" w:color="auto" w:fill="auto"/>
            <w:noWrap/>
            <w:vAlign w:val="center"/>
            <w:hideMark/>
          </w:tcPr>
          <w:p w14:paraId="016129A1" w14:textId="77777777" w:rsidR="00BC5219" w:rsidRPr="009C55C2" w:rsidRDefault="00BC5219" w:rsidP="00E83802">
            <w:pPr>
              <w:jc w:val="right"/>
              <w:rPr>
                <w:rFonts w:ascii="Meta Pro" w:eastAsia="Times New Roman" w:hAnsi="Meta Pro"/>
                <w:b/>
                <w:bCs/>
                <w:sz w:val="16"/>
                <w:szCs w:val="16"/>
                <w:lang w:eastAsia="en-AU"/>
              </w:rPr>
            </w:pPr>
          </w:p>
        </w:tc>
        <w:tc>
          <w:tcPr>
            <w:tcW w:w="4366" w:type="dxa"/>
            <w:tcBorders>
              <w:top w:val="nil"/>
              <w:left w:val="nil"/>
              <w:bottom w:val="nil"/>
              <w:right w:val="nil"/>
            </w:tcBorders>
            <w:shd w:val="clear" w:color="auto" w:fill="auto"/>
            <w:noWrap/>
            <w:vAlign w:val="center"/>
            <w:hideMark/>
          </w:tcPr>
          <w:p w14:paraId="0786C5EE" w14:textId="77777777" w:rsidR="00BC5219" w:rsidRPr="009C55C2" w:rsidRDefault="00BC5219" w:rsidP="00E83802">
            <w:pPr>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000000" w:fill="C9E3B4"/>
            <w:noWrap/>
            <w:vAlign w:val="center"/>
            <w:hideMark/>
          </w:tcPr>
          <w:p w14:paraId="5863F707"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0E08BC66"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0303F9E"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9" w:type="dxa"/>
            <w:tcBorders>
              <w:top w:val="nil"/>
              <w:left w:val="nil"/>
              <w:bottom w:val="nil"/>
              <w:right w:val="nil"/>
            </w:tcBorders>
            <w:shd w:val="clear" w:color="auto" w:fill="auto"/>
            <w:noWrap/>
            <w:vAlign w:val="center"/>
            <w:hideMark/>
          </w:tcPr>
          <w:p w14:paraId="56054A78"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2406AEAB"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9" w:type="dxa"/>
            <w:tcBorders>
              <w:top w:val="nil"/>
              <w:left w:val="nil"/>
              <w:bottom w:val="nil"/>
              <w:right w:val="nil"/>
            </w:tcBorders>
            <w:shd w:val="clear" w:color="auto" w:fill="auto"/>
            <w:noWrap/>
            <w:vAlign w:val="center"/>
            <w:hideMark/>
          </w:tcPr>
          <w:p w14:paraId="2F67AC84"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375207FD"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9" w:type="dxa"/>
            <w:tcBorders>
              <w:top w:val="nil"/>
              <w:left w:val="nil"/>
              <w:bottom w:val="nil"/>
              <w:right w:val="nil"/>
            </w:tcBorders>
            <w:shd w:val="clear" w:color="auto" w:fill="auto"/>
            <w:noWrap/>
            <w:vAlign w:val="center"/>
            <w:hideMark/>
          </w:tcPr>
          <w:p w14:paraId="61094C0D"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3CB77214"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9" w:type="dxa"/>
            <w:tcBorders>
              <w:top w:val="nil"/>
              <w:left w:val="nil"/>
              <w:bottom w:val="nil"/>
              <w:right w:val="nil"/>
            </w:tcBorders>
            <w:shd w:val="clear" w:color="auto" w:fill="auto"/>
            <w:noWrap/>
            <w:vAlign w:val="center"/>
            <w:hideMark/>
          </w:tcPr>
          <w:p w14:paraId="64A03D8F"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72667E0C"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r>
      <w:tr w:rsidR="00BC5219" w:rsidRPr="009C55C2" w14:paraId="428C2C09" w14:textId="77777777" w:rsidTr="00E83802">
        <w:trPr>
          <w:trHeight w:val="198"/>
        </w:trPr>
        <w:tc>
          <w:tcPr>
            <w:tcW w:w="4366" w:type="dxa"/>
            <w:gridSpan w:val="2"/>
            <w:tcBorders>
              <w:top w:val="nil"/>
              <w:left w:val="nil"/>
              <w:bottom w:val="nil"/>
              <w:right w:val="nil"/>
            </w:tcBorders>
            <w:shd w:val="clear" w:color="auto" w:fill="auto"/>
            <w:noWrap/>
            <w:vAlign w:val="center"/>
            <w:hideMark/>
          </w:tcPr>
          <w:p w14:paraId="20ED7433" w14:textId="77777777" w:rsidR="00BC5219" w:rsidRPr="009C55C2" w:rsidRDefault="00BC5219" w:rsidP="00E83802">
            <w:pPr>
              <w:rPr>
                <w:rFonts w:ascii="Meta Pro" w:eastAsia="Times New Roman" w:hAnsi="Meta Pro"/>
                <w:b/>
                <w:bCs/>
                <w:sz w:val="16"/>
                <w:szCs w:val="16"/>
                <w:lang w:eastAsia="en-AU"/>
              </w:rPr>
            </w:pPr>
            <w:r w:rsidRPr="009C55C2">
              <w:rPr>
                <w:rFonts w:ascii="Meta Pro" w:eastAsia="Times New Roman" w:hAnsi="Meta Pro"/>
                <w:b/>
                <w:bCs/>
                <w:sz w:val="16"/>
                <w:szCs w:val="16"/>
                <w:lang w:eastAsia="en-AU"/>
              </w:rPr>
              <w:t>Liabilities</w:t>
            </w:r>
          </w:p>
        </w:tc>
        <w:tc>
          <w:tcPr>
            <w:tcW w:w="1418" w:type="dxa"/>
            <w:tcBorders>
              <w:top w:val="nil"/>
              <w:left w:val="nil"/>
              <w:bottom w:val="nil"/>
              <w:right w:val="nil"/>
            </w:tcBorders>
            <w:shd w:val="clear" w:color="000000" w:fill="C9E3B4"/>
            <w:noWrap/>
            <w:vAlign w:val="center"/>
            <w:hideMark/>
          </w:tcPr>
          <w:p w14:paraId="508F934E"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2F12FBD1"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6534AA9"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9" w:type="dxa"/>
            <w:tcBorders>
              <w:top w:val="nil"/>
              <w:left w:val="nil"/>
              <w:bottom w:val="nil"/>
              <w:right w:val="nil"/>
            </w:tcBorders>
            <w:shd w:val="clear" w:color="auto" w:fill="auto"/>
            <w:noWrap/>
            <w:vAlign w:val="center"/>
            <w:hideMark/>
          </w:tcPr>
          <w:p w14:paraId="4463DEAE"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46629646"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9" w:type="dxa"/>
            <w:tcBorders>
              <w:top w:val="nil"/>
              <w:left w:val="nil"/>
              <w:bottom w:val="nil"/>
              <w:right w:val="nil"/>
            </w:tcBorders>
            <w:shd w:val="clear" w:color="auto" w:fill="auto"/>
            <w:noWrap/>
            <w:vAlign w:val="center"/>
            <w:hideMark/>
          </w:tcPr>
          <w:p w14:paraId="4F2BC5D5"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5D516461"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9" w:type="dxa"/>
            <w:tcBorders>
              <w:top w:val="nil"/>
              <w:left w:val="nil"/>
              <w:bottom w:val="nil"/>
              <w:right w:val="nil"/>
            </w:tcBorders>
            <w:shd w:val="clear" w:color="auto" w:fill="auto"/>
            <w:noWrap/>
            <w:vAlign w:val="center"/>
            <w:hideMark/>
          </w:tcPr>
          <w:p w14:paraId="1684BB93"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7D1CC42D"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9" w:type="dxa"/>
            <w:tcBorders>
              <w:top w:val="nil"/>
              <w:left w:val="nil"/>
              <w:bottom w:val="nil"/>
              <w:right w:val="nil"/>
            </w:tcBorders>
            <w:shd w:val="clear" w:color="auto" w:fill="auto"/>
            <w:noWrap/>
            <w:vAlign w:val="center"/>
            <w:hideMark/>
          </w:tcPr>
          <w:p w14:paraId="539EE104"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12B3B3C"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r>
      <w:tr w:rsidR="00BC5219" w:rsidRPr="009C55C2" w14:paraId="3A1FB274" w14:textId="77777777" w:rsidTr="00E83802">
        <w:trPr>
          <w:trHeight w:val="198"/>
        </w:trPr>
        <w:tc>
          <w:tcPr>
            <w:tcW w:w="4366" w:type="dxa"/>
            <w:gridSpan w:val="2"/>
            <w:tcBorders>
              <w:top w:val="nil"/>
              <w:left w:val="nil"/>
              <w:bottom w:val="nil"/>
              <w:right w:val="nil"/>
            </w:tcBorders>
            <w:shd w:val="clear" w:color="auto" w:fill="auto"/>
            <w:noWrap/>
            <w:vAlign w:val="center"/>
            <w:hideMark/>
          </w:tcPr>
          <w:p w14:paraId="16823ACD" w14:textId="77777777" w:rsidR="00BC5219" w:rsidRPr="009C55C2" w:rsidRDefault="00BC5219" w:rsidP="00E83802">
            <w:pPr>
              <w:rPr>
                <w:rFonts w:ascii="Meta Pro" w:eastAsia="Times New Roman" w:hAnsi="Meta Pro"/>
                <w:b/>
                <w:bCs/>
                <w:sz w:val="16"/>
                <w:szCs w:val="16"/>
                <w:lang w:eastAsia="en-AU"/>
              </w:rPr>
            </w:pPr>
            <w:r w:rsidRPr="009C55C2">
              <w:rPr>
                <w:rFonts w:ascii="Meta Pro" w:eastAsia="Times New Roman" w:hAnsi="Meta Pro"/>
                <w:b/>
                <w:bCs/>
                <w:sz w:val="16"/>
                <w:szCs w:val="16"/>
                <w:lang w:eastAsia="en-AU"/>
              </w:rPr>
              <w:t>Current liabilities</w:t>
            </w:r>
          </w:p>
        </w:tc>
        <w:tc>
          <w:tcPr>
            <w:tcW w:w="1418" w:type="dxa"/>
            <w:tcBorders>
              <w:top w:val="nil"/>
              <w:left w:val="nil"/>
              <w:bottom w:val="nil"/>
              <w:right w:val="nil"/>
            </w:tcBorders>
            <w:shd w:val="clear" w:color="000000" w:fill="C9E3B4"/>
            <w:noWrap/>
            <w:vAlign w:val="center"/>
            <w:hideMark/>
          </w:tcPr>
          <w:p w14:paraId="1D1682AC"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039FBCCE"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221AE6C8"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9" w:type="dxa"/>
            <w:tcBorders>
              <w:top w:val="nil"/>
              <w:left w:val="nil"/>
              <w:bottom w:val="nil"/>
              <w:right w:val="nil"/>
            </w:tcBorders>
            <w:shd w:val="clear" w:color="auto" w:fill="auto"/>
            <w:noWrap/>
            <w:vAlign w:val="center"/>
            <w:hideMark/>
          </w:tcPr>
          <w:p w14:paraId="7D14461E"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DD2E756"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9" w:type="dxa"/>
            <w:tcBorders>
              <w:top w:val="nil"/>
              <w:left w:val="nil"/>
              <w:bottom w:val="nil"/>
              <w:right w:val="nil"/>
            </w:tcBorders>
            <w:shd w:val="clear" w:color="auto" w:fill="auto"/>
            <w:noWrap/>
            <w:vAlign w:val="center"/>
            <w:hideMark/>
          </w:tcPr>
          <w:p w14:paraId="6F017A39"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26BACE73"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9" w:type="dxa"/>
            <w:tcBorders>
              <w:top w:val="nil"/>
              <w:left w:val="nil"/>
              <w:bottom w:val="nil"/>
              <w:right w:val="nil"/>
            </w:tcBorders>
            <w:shd w:val="clear" w:color="auto" w:fill="auto"/>
            <w:noWrap/>
            <w:vAlign w:val="center"/>
            <w:hideMark/>
          </w:tcPr>
          <w:p w14:paraId="678EE16D"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6F6AEFA8"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9" w:type="dxa"/>
            <w:tcBorders>
              <w:top w:val="nil"/>
              <w:left w:val="nil"/>
              <w:bottom w:val="nil"/>
              <w:right w:val="nil"/>
            </w:tcBorders>
            <w:shd w:val="clear" w:color="auto" w:fill="auto"/>
            <w:noWrap/>
            <w:vAlign w:val="center"/>
            <w:hideMark/>
          </w:tcPr>
          <w:p w14:paraId="7478F0CC"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5EBAAA2F"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r>
      <w:tr w:rsidR="00BC5219" w:rsidRPr="009C55C2" w14:paraId="647D00CD" w14:textId="77777777" w:rsidTr="00E83802">
        <w:trPr>
          <w:trHeight w:val="198"/>
        </w:trPr>
        <w:tc>
          <w:tcPr>
            <w:tcW w:w="198" w:type="dxa"/>
            <w:tcBorders>
              <w:top w:val="nil"/>
              <w:left w:val="nil"/>
              <w:bottom w:val="nil"/>
              <w:right w:val="nil"/>
            </w:tcBorders>
            <w:shd w:val="clear" w:color="auto" w:fill="auto"/>
            <w:noWrap/>
            <w:vAlign w:val="center"/>
            <w:hideMark/>
          </w:tcPr>
          <w:p w14:paraId="6D0DDCC3"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47DB0FC3"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Payables</w:t>
            </w:r>
          </w:p>
        </w:tc>
        <w:tc>
          <w:tcPr>
            <w:tcW w:w="1418" w:type="dxa"/>
            <w:tcBorders>
              <w:top w:val="nil"/>
              <w:left w:val="nil"/>
              <w:bottom w:val="nil"/>
              <w:right w:val="nil"/>
            </w:tcBorders>
            <w:shd w:val="clear" w:color="000000" w:fill="C9E3B4"/>
            <w:noWrap/>
            <w:vAlign w:val="center"/>
            <w:hideMark/>
          </w:tcPr>
          <w:p w14:paraId="39F88D79"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6,773 </w:t>
            </w:r>
          </w:p>
        </w:tc>
        <w:tc>
          <w:tcPr>
            <w:tcW w:w="198" w:type="dxa"/>
            <w:tcBorders>
              <w:top w:val="nil"/>
              <w:left w:val="nil"/>
              <w:bottom w:val="nil"/>
              <w:right w:val="nil"/>
            </w:tcBorders>
            <w:shd w:val="clear" w:color="auto" w:fill="auto"/>
            <w:noWrap/>
            <w:vAlign w:val="center"/>
            <w:hideMark/>
          </w:tcPr>
          <w:p w14:paraId="0F582870"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4413FD1F"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189,734 </w:t>
            </w:r>
          </w:p>
        </w:tc>
        <w:tc>
          <w:tcPr>
            <w:tcW w:w="199" w:type="dxa"/>
            <w:tcBorders>
              <w:top w:val="nil"/>
              <w:left w:val="nil"/>
              <w:bottom w:val="nil"/>
              <w:right w:val="nil"/>
            </w:tcBorders>
            <w:shd w:val="clear" w:color="auto" w:fill="auto"/>
            <w:noWrap/>
            <w:vAlign w:val="center"/>
            <w:hideMark/>
          </w:tcPr>
          <w:p w14:paraId="4DE25D16"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019F222"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45,420 </w:t>
            </w:r>
          </w:p>
        </w:tc>
        <w:tc>
          <w:tcPr>
            <w:tcW w:w="199" w:type="dxa"/>
            <w:tcBorders>
              <w:top w:val="nil"/>
              <w:left w:val="nil"/>
              <w:bottom w:val="nil"/>
              <w:right w:val="nil"/>
            </w:tcBorders>
            <w:shd w:val="clear" w:color="auto" w:fill="auto"/>
            <w:noWrap/>
            <w:vAlign w:val="center"/>
            <w:hideMark/>
          </w:tcPr>
          <w:p w14:paraId="7E6AAD5B"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5D89864D"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41,873 </w:t>
            </w:r>
          </w:p>
        </w:tc>
        <w:tc>
          <w:tcPr>
            <w:tcW w:w="199" w:type="dxa"/>
            <w:tcBorders>
              <w:top w:val="nil"/>
              <w:left w:val="nil"/>
              <w:bottom w:val="nil"/>
              <w:right w:val="nil"/>
            </w:tcBorders>
            <w:shd w:val="clear" w:color="auto" w:fill="auto"/>
            <w:noWrap/>
            <w:vAlign w:val="center"/>
            <w:hideMark/>
          </w:tcPr>
          <w:p w14:paraId="7FF22464"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76B0A2A"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710,319 </w:t>
            </w:r>
          </w:p>
        </w:tc>
        <w:tc>
          <w:tcPr>
            <w:tcW w:w="199" w:type="dxa"/>
            <w:tcBorders>
              <w:top w:val="nil"/>
              <w:left w:val="nil"/>
              <w:bottom w:val="nil"/>
              <w:right w:val="nil"/>
            </w:tcBorders>
            <w:shd w:val="clear" w:color="auto" w:fill="auto"/>
            <w:noWrap/>
            <w:vAlign w:val="center"/>
            <w:hideMark/>
          </w:tcPr>
          <w:p w14:paraId="3071AE39"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43586B1"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38,151 </w:t>
            </w:r>
          </w:p>
        </w:tc>
      </w:tr>
      <w:tr w:rsidR="00BC5219" w:rsidRPr="009C55C2" w14:paraId="2BED9ABE" w14:textId="77777777" w:rsidTr="00E83802">
        <w:trPr>
          <w:trHeight w:val="198"/>
        </w:trPr>
        <w:tc>
          <w:tcPr>
            <w:tcW w:w="198" w:type="dxa"/>
            <w:tcBorders>
              <w:top w:val="nil"/>
              <w:left w:val="nil"/>
              <w:bottom w:val="nil"/>
              <w:right w:val="nil"/>
            </w:tcBorders>
            <w:shd w:val="clear" w:color="auto" w:fill="auto"/>
            <w:noWrap/>
            <w:vAlign w:val="center"/>
            <w:hideMark/>
          </w:tcPr>
          <w:p w14:paraId="2A94A3C6"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235B9A9A"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Borrowings</w:t>
            </w:r>
          </w:p>
        </w:tc>
        <w:tc>
          <w:tcPr>
            <w:tcW w:w="1418" w:type="dxa"/>
            <w:tcBorders>
              <w:top w:val="nil"/>
              <w:left w:val="nil"/>
              <w:bottom w:val="nil"/>
              <w:right w:val="nil"/>
            </w:tcBorders>
            <w:shd w:val="clear" w:color="000000" w:fill="C9E3B4"/>
            <w:noWrap/>
            <w:vAlign w:val="center"/>
            <w:hideMark/>
          </w:tcPr>
          <w:p w14:paraId="0C46DE37"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15C79669"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24E1F6FD"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10,786 </w:t>
            </w:r>
          </w:p>
        </w:tc>
        <w:tc>
          <w:tcPr>
            <w:tcW w:w="199" w:type="dxa"/>
            <w:tcBorders>
              <w:top w:val="nil"/>
              <w:left w:val="nil"/>
              <w:bottom w:val="nil"/>
              <w:right w:val="nil"/>
            </w:tcBorders>
            <w:shd w:val="clear" w:color="auto" w:fill="auto"/>
            <w:noWrap/>
            <w:vAlign w:val="center"/>
            <w:hideMark/>
          </w:tcPr>
          <w:p w14:paraId="0BCD0E45"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54A9360C"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7A8B410C"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4B4B6FA1"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28066083"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7B14015"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33,418 </w:t>
            </w:r>
          </w:p>
        </w:tc>
        <w:tc>
          <w:tcPr>
            <w:tcW w:w="199" w:type="dxa"/>
            <w:tcBorders>
              <w:top w:val="nil"/>
              <w:left w:val="nil"/>
              <w:bottom w:val="nil"/>
              <w:right w:val="nil"/>
            </w:tcBorders>
            <w:shd w:val="clear" w:color="auto" w:fill="auto"/>
            <w:noWrap/>
            <w:vAlign w:val="center"/>
            <w:hideMark/>
          </w:tcPr>
          <w:p w14:paraId="05F42BD7"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3429227"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r>
      <w:tr w:rsidR="00BC5219" w:rsidRPr="009C55C2" w14:paraId="06CAB7DA" w14:textId="77777777" w:rsidTr="00E83802">
        <w:trPr>
          <w:trHeight w:val="198"/>
        </w:trPr>
        <w:tc>
          <w:tcPr>
            <w:tcW w:w="198" w:type="dxa"/>
            <w:tcBorders>
              <w:top w:val="nil"/>
              <w:left w:val="nil"/>
              <w:bottom w:val="nil"/>
              <w:right w:val="nil"/>
            </w:tcBorders>
            <w:shd w:val="clear" w:color="auto" w:fill="auto"/>
            <w:noWrap/>
            <w:vAlign w:val="center"/>
            <w:hideMark/>
          </w:tcPr>
          <w:p w14:paraId="555623D2"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64A913FE"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Provisions</w:t>
            </w:r>
          </w:p>
        </w:tc>
        <w:tc>
          <w:tcPr>
            <w:tcW w:w="1418" w:type="dxa"/>
            <w:tcBorders>
              <w:top w:val="nil"/>
              <w:left w:val="nil"/>
              <w:bottom w:val="nil"/>
              <w:right w:val="nil"/>
            </w:tcBorders>
            <w:shd w:val="clear" w:color="000000" w:fill="C9E3B4"/>
            <w:noWrap/>
            <w:vAlign w:val="center"/>
            <w:hideMark/>
          </w:tcPr>
          <w:p w14:paraId="4570D5E8"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14CB0EEF"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4D089EA5"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264,877 </w:t>
            </w:r>
          </w:p>
        </w:tc>
        <w:tc>
          <w:tcPr>
            <w:tcW w:w="199" w:type="dxa"/>
            <w:tcBorders>
              <w:top w:val="nil"/>
              <w:left w:val="nil"/>
              <w:bottom w:val="nil"/>
              <w:right w:val="nil"/>
            </w:tcBorders>
            <w:shd w:val="clear" w:color="auto" w:fill="auto"/>
            <w:noWrap/>
            <w:vAlign w:val="center"/>
            <w:hideMark/>
          </w:tcPr>
          <w:p w14:paraId="5EBB0624"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47E789FD"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18A592DE"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23000DF7"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542482DD"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7BD32BA"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52,096 </w:t>
            </w:r>
          </w:p>
        </w:tc>
        <w:tc>
          <w:tcPr>
            <w:tcW w:w="199" w:type="dxa"/>
            <w:tcBorders>
              <w:top w:val="nil"/>
              <w:left w:val="nil"/>
              <w:bottom w:val="nil"/>
              <w:right w:val="nil"/>
            </w:tcBorders>
            <w:shd w:val="clear" w:color="auto" w:fill="auto"/>
            <w:noWrap/>
            <w:vAlign w:val="center"/>
            <w:hideMark/>
          </w:tcPr>
          <w:p w14:paraId="504FC643"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F75D720"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r>
      <w:tr w:rsidR="00BC5219" w:rsidRPr="009C55C2" w14:paraId="437CC005" w14:textId="77777777" w:rsidTr="00E83802">
        <w:trPr>
          <w:trHeight w:val="198"/>
        </w:trPr>
        <w:tc>
          <w:tcPr>
            <w:tcW w:w="198" w:type="dxa"/>
            <w:tcBorders>
              <w:top w:val="nil"/>
              <w:left w:val="nil"/>
              <w:bottom w:val="nil"/>
              <w:right w:val="nil"/>
            </w:tcBorders>
            <w:shd w:val="clear" w:color="auto" w:fill="auto"/>
            <w:noWrap/>
            <w:vAlign w:val="center"/>
            <w:hideMark/>
          </w:tcPr>
          <w:p w14:paraId="29FBD5C7"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3D44F3E2"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Accrued employee benefits</w:t>
            </w:r>
          </w:p>
        </w:tc>
        <w:tc>
          <w:tcPr>
            <w:tcW w:w="1418" w:type="dxa"/>
            <w:tcBorders>
              <w:top w:val="nil"/>
              <w:left w:val="nil"/>
              <w:bottom w:val="nil"/>
              <w:right w:val="nil"/>
            </w:tcBorders>
            <w:shd w:val="clear" w:color="000000" w:fill="C9E3B4"/>
            <w:noWrap/>
            <w:vAlign w:val="center"/>
            <w:hideMark/>
          </w:tcPr>
          <w:p w14:paraId="194CEE9C"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3,103 </w:t>
            </w:r>
          </w:p>
        </w:tc>
        <w:tc>
          <w:tcPr>
            <w:tcW w:w="198" w:type="dxa"/>
            <w:tcBorders>
              <w:top w:val="nil"/>
              <w:left w:val="nil"/>
              <w:bottom w:val="nil"/>
              <w:right w:val="nil"/>
            </w:tcBorders>
            <w:shd w:val="clear" w:color="auto" w:fill="auto"/>
            <w:noWrap/>
            <w:vAlign w:val="center"/>
            <w:hideMark/>
          </w:tcPr>
          <w:p w14:paraId="376A916B"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E5978EF"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8,564 </w:t>
            </w:r>
          </w:p>
        </w:tc>
        <w:tc>
          <w:tcPr>
            <w:tcW w:w="199" w:type="dxa"/>
            <w:tcBorders>
              <w:top w:val="nil"/>
              <w:left w:val="nil"/>
              <w:bottom w:val="nil"/>
              <w:right w:val="nil"/>
            </w:tcBorders>
            <w:shd w:val="clear" w:color="auto" w:fill="auto"/>
            <w:noWrap/>
            <w:vAlign w:val="center"/>
            <w:hideMark/>
          </w:tcPr>
          <w:p w14:paraId="1981321B"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C6C0204"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3,789 </w:t>
            </w:r>
          </w:p>
        </w:tc>
        <w:tc>
          <w:tcPr>
            <w:tcW w:w="199" w:type="dxa"/>
            <w:tcBorders>
              <w:top w:val="nil"/>
              <w:left w:val="nil"/>
              <w:bottom w:val="nil"/>
              <w:right w:val="nil"/>
            </w:tcBorders>
            <w:shd w:val="clear" w:color="auto" w:fill="auto"/>
            <w:noWrap/>
            <w:vAlign w:val="center"/>
            <w:hideMark/>
          </w:tcPr>
          <w:p w14:paraId="2695FC84"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63051C1B"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8,698 </w:t>
            </w:r>
          </w:p>
        </w:tc>
        <w:tc>
          <w:tcPr>
            <w:tcW w:w="199" w:type="dxa"/>
            <w:tcBorders>
              <w:top w:val="nil"/>
              <w:left w:val="nil"/>
              <w:bottom w:val="nil"/>
              <w:right w:val="nil"/>
            </w:tcBorders>
            <w:shd w:val="clear" w:color="auto" w:fill="auto"/>
            <w:noWrap/>
            <w:vAlign w:val="center"/>
            <w:hideMark/>
          </w:tcPr>
          <w:p w14:paraId="561434F0"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603FC210"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4,628 </w:t>
            </w:r>
          </w:p>
        </w:tc>
        <w:tc>
          <w:tcPr>
            <w:tcW w:w="199" w:type="dxa"/>
            <w:tcBorders>
              <w:top w:val="nil"/>
              <w:left w:val="nil"/>
              <w:bottom w:val="nil"/>
              <w:right w:val="nil"/>
            </w:tcBorders>
            <w:shd w:val="clear" w:color="auto" w:fill="auto"/>
            <w:noWrap/>
            <w:vAlign w:val="center"/>
            <w:hideMark/>
          </w:tcPr>
          <w:p w14:paraId="0904C8B7"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794D359"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5,729 </w:t>
            </w:r>
          </w:p>
        </w:tc>
      </w:tr>
      <w:tr w:rsidR="00BC5219" w:rsidRPr="009C55C2" w14:paraId="64B9C237" w14:textId="77777777" w:rsidTr="00E83802">
        <w:trPr>
          <w:trHeight w:val="198"/>
        </w:trPr>
        <w:tc>
          <w:tcPr>
            <w:tcW w:w="198" w:type="dxa"/>
            <w:tcBorders>
              <w:top w:val="nil"/>
              <w:left w:val="nil"/>
              <w:bottom w:val="nil"/>
              <w:right w:val="nil"/>
            </w:tcBorders>
            <w:shd w:val="clear" w:color="auto" w:fill="auto"/>
            <w:noWrap/>
            <w:vAlign w:val="center"/>
            <w:hideMark/>
          </w:tcPr>
          <w:p w14:paraId="23DF4C9F"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488B2A35"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 xml:space="preserve">Unearned revenue – service concession arrangements </w:t>
            </w:r>
          </w:p>
        </w:tc>
        <w:tc>
          <w:tcPr>
            <w:tcW w:w="1418" w:type="dxa"/>
            <w:tcBorders>
              <w:top w:val="nil"/>
              <w:left w:val="nil"/>
              <w:bottom w:val="nil"/>
              <w:right w:val="nil"/>
            </w:tcBorders>
            <w:shd w:val="clear" w:color="000000" w:fill="C9E3B4"/>
            <w:noWrap/>
            <w:vAlign w:val="center"/>
            <w:hideMark/>
          </w:tcPr>
          <w:p w14:paraId="1DDF00CF"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0F2EB89A"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E6CB6A7"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223,020 </w:t>
            </w:r>
          </w:p>
        </w:tc>
        <w:tc>
          <w:tcPr>
            <w:tcW w:w="199" w:type="dxa"/>
            <w:tcBorders>
              <w:top w:val="nil"/>
              <w:left w:val="nil"/>
              <w:bottom w:val="nil"/>
              <w:right w:val="nil"/>
            </w:tcBorders>
            <w:shd w:val="clear" w:color="auto" w:fill="auto"/>
            <w:noWrap/>
            <w:vAlign w:val="center"/>
            <w:hideMark/>
          </w:tcPr>
          <w:p w14:paraId="7BA7DBD0"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71A8AEC6"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6F45D7A4"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656E9634"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5E852AD2"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35C8A3A4"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9,160 </w:t>
            </w:r>
          </w:p>
        </w:tc>
        <w:tc>
          <w:tcPr>
            <w:tcW w:w="199" w:type="dxa"/>
            <w:tcBorders>
              <w:top w:val="nil"/>
              <w:left w:val="nil"/>
              <w:bottom w:val="nil"/>
              <w:right w:val="nil"/>
            </w:tcBorders>
            <w:shd w:val="clear" w:color="auto" w:fill="auto"/>
            <w:noWrap/>
            <w:vAlign w:val="center"/>
            <w:hideMark/>
          </w:tcPr>
          <w:p w14:paraId="6D3A8CE3"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7A3BD726"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r>
      <w:tr w:rsidR="00BC5219" w:rsidRPr="009C55C2" w14:paraId="7236B1DE" w14:textId="77777777" w:rsidTr="00E83802">
        <w:trPr>
          <w:trHeight w:val="198"/>
        </w:trPr>
        <w:tc>
          <w:tcPr>
            <w:tcW w:w="198" w:type="dxa"/>
            <w:tcBorders>
              <w:top w:val="nil"/>
              <w:left w:val="nil"/>
              <w:bottom w:val="nil"/>
              <w:right w:val="nil"/>
            </w:tcBorders>
            <w:shd w:val="clear" w:color="auto" w:fill="auto"/>
            <w:noWrap/>
            <w:vAlign w:val="center"/>
            <w:hideMark/>
          </w:tcPr>
          <w:p w14:paraId="455CAA19"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0EF64D10"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Lease liabilities</w:t>
            </w:r>
          </w:p>
        </w:tc>
        <w:tc>
          <w:tcPr>
            <w:tcW w:w="1418" w:type="dxa"/>
            <w:tcBorders>
              <w:top w:val="nil"/>
              <w:left w:val="nil"/>
              <w:bottom w:val="nil"/>
              <w:right w:val="nil"/>
            </w:tcBorders>
            <w:shd w:val="clear" w:color="000000" w:fill="C9E3B4"/>
            <w:noWrap/>
            <w:vAlign w:val="center"/>
            <w:hideMark/>
          </w:tcPr>
          <w:p w14:paraId="19F71956"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3793A666"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36636CB3"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1F4DDA1C"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8B517CD"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265ECCB8"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DE07FFE"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489B023F"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7DB215F5"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106 </w:t>
            </w:r>
          </w:p>
        </w:tc>
        <w:tc>
          <w:tcPr>
            <w:tcW w:w="199" w:type="dxa"/>
            <w:tcBorders>
              <w:top w:val="nil"/>
              <w:left w:val="nil"/>
              <w:bottom w:val="nil"/>
              <w:right w:val="nil"/>
            </w:tcBorders>
            <w:shd w:val="clear" w:color="auto" w:fill="auto"/>
            <w:noWrap/>
            <w:vAlign w:val="center"/>
            <w:hideMark/>
          </w:tcPr>
          <w:p w14:paraId="34014780"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3020B7C4"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r>
      <w:tr w:rsidR="00BC5219" w:rsidRPr="009C55C2" w14:paraId="1AAD6663" w14:textId="77777777" w:rsidTr="00E83802">
        <w:trPr>
          <w:trHeight w:val="198"/>
        </w:trPr>
        <w:tc>
          <w:tcPr>
            <w:tcW w:w="198" w:type="dxa"/>
            <w:tcBorders>
              <w:top w:val="nil"/>
              <w:left w:val="nil"/>
              <w:bottom w:val="single" w:sz="4" w:space="0" w:color="auto"/>
              <w:right w:val="nil"/>
            </w:tcBorders>
            <w:shd w:val="clear" w:color="auto" w:fill="auto"/>
            <w:noWrap/>
            <w:vAlign w:val="center"/>
            <w:hideMark/>
          </w:tcPr>
          <w:p w14:paraId="37527F6B"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4366" w:type="dxa"/>
            <w:tcBorders>
              <w:top w:val="nil"/>
              <w:left w:val="nil"/>
              <w:bottom w:val="nil"/>
              <w:right w:val="nil"/>
            </w:tcBorders>
            <w:shd w:val="clear" w:color="auto" w:fill="auto"/>
            <w:noWrap/>
            <w:vAlign w:val="center"/>
            <w:hideMark/>
          </w:tcPr>
          <w:p w14:paraId="72EF09C1"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 xml:space="preserve">Other </w:t>
            </w:r>
          </w:p>
        </w:tc>
        <w:tc>
          <w:tcPr>
            <w:tcW w:w="1418" w:type="dxa"/>
            <w:tcBorders>
              <w:top w:val="nil"/>
              <w:left w:val="nil"/>
              <w:bottom w:val="nil"/>
              <w:right w:val="nil"/>
            </w:tcBorders>
            <w:shd w:val="clear" w:color="000000" w:fill="C9E3B4"/>
            <w:noWrap/>
            <w:vAlign w:val="center"/>
            <w:hideMark/>
          </w:tcPr>
          <w:p w14:paraId="575621CE"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106,119 </w:t>
            </w:r>
          </w:p>
        </w:tc>
        <w:tc>
          <w:tcPr>
            <w:tcW w:w="198" w:type="dxa"/>
            <w:tcBorders>
              <w:top w:val="nil"/>
              <w:left w:val="nil"/>
              <w:bottom w:val="nil"/>
              <w:right w:val="nil"/>
            </w:tcBorders>
            <w:shd w:val="clear" w:color="auto" w:fill="auto"/>
            <w:noWrap/>
            <w:vAlign w:val="center"/>
            <w:hideMark/>
          </w:tcPr>
          <w:p w14:paraId="1E5BBCDF"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4069731B"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31,145 </w:t>
            </w:r>
          </w:p>
        </w:tc>
        <w:tc>
          <w:tcPr>
            <w:tcW w:w="199" w:type="dxa"/>
            <w:tcBorders>
              <w:top w:val="nil"/>
              <w:left w:val="nil"/>
              <w:bottom w:val="nil"/>
              <w:right w:val="nil"/>
            </w:tcBorders>
            <w:shd w:val="clear" w:color="auto" w:fill="auto"/>
            <w:noWrap/>
            <w:vAlign w:val="center"/>
            <w:hideMark/>
          </w:tcPr>
          <w:p w14:paraId="2871A036"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2A1C0372"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1,524 </w:t>
            </w:r>
          </w:p>
        </w:tc>
        <w:tc>
          <w:tcPr>
            <w:tcW w:w="199" w:type="dxa"/>
            <w:tcBorders>
              <w:top w:val="nil"/>
              <w:left w:val="nil"/>
              <w:bottom w:val="nil"/>
              <w:right w:val="nil"/>
            </w:tcBorders>
            <w:shd w:val="clear" w:color="auto" w:fill="auto"/>
            <w:noWrap/>
            <w:vAlign w:val="center"/>
            <w:hideMark/>
          </w:tcPr>
          <w:p w14:paraId="0FBCFF5D"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609D492E"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0D0D64F9"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55E75037"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100,804 </w:t>
            </w:r>
          </w:p>
        </w:tc>
        <w:tc>
          <w:tcPr>
            <w:tcW w:w="199" w:type="dxa"/>
            <w:tcBorders>
              <w:top w:val="nil"/>
              <w:left w:val="nil"/>
              <w:bottom w:val="nil"/>
              <w:right w:val="nil"/>
            </w:tcBorders>
            <w:shd w:val="clear" w:color="auto" w:fill="auto"/>
            <w:noWrap/>
            <w:vAlign w:val="center"/>
            <w:hideMark/>
          </w:tcPr>
          <w:p w14:paraId="25FD2AD2"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7C606FC9"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r>
      <w:tr w:rsidR="00BC5219" w:rsidRPr="009C55C2" w14:paraId="4C5433B6" w14:textId="77777777" w:rsidTr="00E83802">
        <w:trPr>
          <w:trHeight w:val="198"/>
        </w:trPr>
        <w:tc>
          <w:tcPr>
            <w:tcW w:w="198" w:type="dxa"/>
            <w:tcBorders>
              <w:top w:val="nil"/>
              <w:left w:val="nil"/>
              <w:bottom w:val="nil"/>
              <w:right w:val="nil"/>
            </w:tcBorders>
            <w:shd w:val="clear" w:color="auto" w:fill="auto"/>
            <w:noWrap/>
            <w:vAlign w:val="center"/>
            <w:hideMark/>
          </w:tcPr>
          <w:p w14:paraId="093D9AE4"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single" w:sz="4" w:space="0" w:color="auto"/>
              <w:left w:val="nil"/>
              <w:bottom w:val="nil"/>
              <w:right w:val="nil"/>
            </w:tcBorders>
            <w:shd w:val="clear" w:color="auto" w:fill="auto"/>
            <w:noWrap/>
            <w:vAlign w:val="center"/>
            <w:hideMark/>
          </w:tcPr>
          <w:p w14:paraId="1B6BD5C7" w14:textId="77777777" w:rsidR="00BC5219" w:rsidRPr="009C55C2" w:rsidRDefault="00BC5219" w:rsidP="00E83802">
            <w:pPr>
              <w:rPr>
                <w:rFonts w:ascii="Meta Pro" w:eastAsia="Times New Roman" w:hAnsi="Meta Pro"/>
                <w:b/>
                <w:bCs/>
                <w:sz w:val="16"/>
                <w:szCs w:val="16"/>
                <w:lang w:eastAsia="en-AU"/>
              </w:rPr>
            </w:pPr>
            <w:r w:rsidRPr="009C55C2">
              <w:rPr>
                <w:rFonts w:ascii="Meta Pro" w:eastAsia="Times New Roman" w:hAnsi="Meta Pro"/>
                <w:b/>
                <w:bCs/>
                <w:sz w:val="16"/>
                <w:szCs w:val="16"/>
                <w:lang w:eastAsia="en-AU"/>
              </w:rPr>
              <w:t>Total current liabilities</w:t>
            </w:r>
          </w:p>
        </w:tc>
        <w:tc>
          <w:tcPr>
            <w:tcW w:w="1418" w:type="dxa"/>
            <w:tcBorders>
              <w:top w:val="single" w:sz="4" w:space="0" w:color="auto"/>
              <w:left w:val="nil"/>
              <w:bottom w:val="nil"/>
              <w:right w:val="nil"/>
            </w:tcBorders>
            <w:shd w:val="clear" w:color="000000" w:fill="C9E3B4"/>
            <w:noWrap/>
            <w:vAlign w:val="center"/>
            <w:hideMark/>
          </w:tcPr>
          <w:p w14:paraId="12F4E892"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115,995 </w:t>
            </w:r>
          </w:p>
        </w:tc>
        <w:tc>
          <w:tcPr>
            <w:tcW w:w="198" w:type="dxa"/>
            <w:tcBorders>
              <w:top w:val="single" w:sz="4" w:space="0" w:color="auto"/>
              <w:left w:val="nil"/>
              <w:bottom w:val="nil"/>
              <w:right w:val="nil"/>
            </w:tcBorders>
            <w:shd w:val="clear" w:color="auto" w:fill="auto"/>
            <w:noWrap/>
            <w:vAlign w:val="center"/>
            <w:hideMark/>
          </w:tcPr>
          <w:p w14:paraId="588AE222"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single" w:sz="4" w:space="0" w:color="auto"/>
              <w:left w:val="nil"/>
              <w:bottom w:val="nil"/>
              <w:right w:val="nil"/>
            </w:tcBorders>
            <w:shd w:val="clear" w:color="000000" w:fill="C9E3B4"/>
            <w:noWrap/>
            <w:vAlign w:val="center"/>
            <w:hideMark/>
          </w:tcPr>
          <w:p w14:paraId="63121BEC"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728,126 </w:t>
            </w:r>
          </w:p>
        </w:tc>
        <w:tc>
          <w:tcPr>
            <w:tcW w:w="199" w:type="dxa"/>
            <w:tcBorders>
              <w:top w:val="single" w:sz="4" w:space="0" w:color="auto"/>
              <w:left w:val="nil"/>
              <w:bottom w:val="nil"/>
              <w:right w:val="nil"/>
            </w:tcBorders>
            <w:shd w:val="clear" w:color="auto" w:fill="auto"/>
            <w:noWrap/>
            <w:vAlign w:val="center"/>
            <w:hideMark/>
          </w:tcPr>
          <w:p w14:paraId="48C62A50"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single" w:sz="4" w:space="0" w:color="auto"/>
              <w:left w:val="nil"/>
              <w:bottom w:val="nil"/>
              <w:right w:val="nil"/>
            </w:tcBorders>
            <w:shd w:val="clear" w:color="000000" w:fill="C9E3B4"/>
            <w:noWrap/>
            <w:vAlign w:val="center"/>
            <w:hideMark/>
          </w:tcPr>
          <w:p w14:paraId="75522962"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50,733 </w:t>
            </w:r>
          </w:p>
        </w:tc>
        <w:tc>
          <w:tcPr>
            <w:tcW w:w="199" w:type="dxa"/>
            <w:tcBorders>
              <w:top w:val="single" w:sz="4" w:space="0" w:color="auto"/>
              <w:left w:val="nil"/>
              <w:bottom w:val="nil"/>
              <w:right w:val="nil"/>
            </w:tcBorders>
            <w:shd w:val="clear" w:color="auto" w:fill="auto"/>
            <w:noWrap/>
            <w:vAlign w:val="center"/>
            <w:hideMark/>
          </w:tcPr>
          <w:p w14:paraId="6C0A8B23"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single" w:sz="4" w:space="0" w:color="auto"/>
              <w:left w:val="nil"/>
              <w:bottom w:val="nil"/>
              <w:right w:val="nil"/>
            </w:tcBorders>
            <w:shd w:val="clear" w:color="000000" w:fill="C9E3B4"/>
            <w:noWrap/>
            <w:vAlign w:val="center"/>
            <w:hideMark/>
          </w:tcPr>
          <w:p w14:paraId="6B88A557"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50,571 </w:t>
            </w:r>
          </w:p>
        </w:tc>
        <w:tc>
          <w:tcPr>
            <w:tcW w:w="199" w:type="dxa"/>
            <w:tcBorders>
              <w:top w:val="single" w:sz="4" w:space="0" w:color="auto"/>
              <w:left w:val="nil"/>
              <w:bottom w:val="nil"/>
              <w:right w:val="nil"/>
            </w:tcBorders>
            <w:shd w:val="clear" w:color="auto" w:fill="auto"/>
            <w:noWrap/>
            <w:vAlign w:val="center"/>
            <w:hideMark/>
          </w:tcPr>
          <w:p w14:paraId="743BDC89"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single" w:sz="4" w:space="0" w:color="auto"/>
              <w:left w:val="nil"/>
              <w:bottom w:val="nil"/>
              <w:right w:val="nil"/>
            </w:tcBorders>
            <w:shd w:val="clear" w:color="000000" w:fill="C9E3B4"/>
            <w:noWrap/>
            <w:vAlign w:val="center"/>
            <w:hideMark/>
          </w:tcPr>
          <w:p w14:paraId="37885D32"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910,531 </w:t>
            </w:r>
          </w:p>
        </w:tc>
        <w:tc>
          <w:tcPr>
            <w:tcW w:w="199" w:type="dxa"/>
            <w:tcBorders>
              <w:top w:val="single" w:sz="4" w:space="0" w:color="auto"/>
              <w:left w:val="nil"/>
              <w:bottom w:val="nil"/>
              <w:right w:val="nil"/>
            </w:tcBorders>
            <w:shd w:val="clear" w:color="auto" w:fill="auto"/>
            <w:noWrap/>
            <w:vAlign w:val="center"/>
            <w:hideMark/>
          </w:tcPr>
          <w:p w14:paraId="056C1086"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single" w:sz="4" w:space="0" w:color="auto"/>
              <w:left w:val="nil"/>
              <w:bottom w:val="nil"/>
              <w:right w:val="nil"/>
            </w:tcBorders>
            <w:shd w:val="clear" w:color="000000" w:fill="C9E3B4"/>
            <w:noWrap/>
            <w:vAlign w:val="center"/>
            <w:hideMark/>
          </w:tcPr>
          <w:p w14:paraId="1DC2917D"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43,880 </w:t>
            </w:r>
          </w:p>
        </w:tc>
      </w:tr>
      <w:tr w:rsidR="00BC5219" w:rsidRPr="009C55C2" w14:paraId="42778358" w14:textId="77777777" w:rsidTr="00E83802">
        <w:trPr>
          <w:trHeight w:hRule="exact" w:val="142"/>
        </w:trPr>
        <w:tc>
          <w:tcPr>
            <w:tcW w:w="198" w:type="dxa"/>
            <w:tcBorders>
              <w:top w:val="nil"/>
              <w:left w:val="nil"/>
              <w:bottom w:val="nil"/>
              <w:right w:val="nil"/>
            </w:tcBorders>
            <w:shd w:val="clear" w:color="auto" w:fill="auto"/>
            <w:noWrap/>
            <w:vAlign w:val="center"/>
            <w:hideMark/>
          </w:tcPr>
          <w:p w14:paraId="5550BC03" w14:textId="77777777" w:rsidR="00BC5219" w:rsidRPr="009C55C2" w:rsidRDefault="00BC5219" w:rsidP="00E83802">
            <w:pPr>
              <w:jc w:val="right"/>
              <w:rPr>
                <w:rFonts w:ascii="Meta Pro" w:eastAsia="Times New Roman" w:hAnsi="Meta Pro"/>
                <w:b/>
                <w:bCs/>
                <w:sz w:val="16"/>
                <w:szCs w:val="16"/>
                <w:lang w:eastAsia="en-AU"/>
              </w:rPr>
            </w:pPr>
          </w:p>
        </w:tc>
        <w:tc>
          <w:tcPr>
            <w:tcW w:w="4366" w:type="dxa"/>
            <w:tcBorders>
              <w:top w:val="nil"/>
              <w:left w:val="nil"/>
              <w:bottom w:val="nil"/>
              <w:right w:val="nil"/>
            </w:tcBorders>
            <w:shd w:val="clear" w:color="auto" w:fill="auto"/>
            <w:noWrap/>
            <w:vAlign w:val="center"/>
            <w:hideMark/>
          </w:tcPr>
          <w:p w14:paraId="15499257" w14:textId="77777777" w:rsidR="00BC5219" w:rsidRPr="009C55C2" w:rsidRDefault="00BC5219" w:rsidP="00E83802">
            <w:pPr>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000000" w:fill="C9E3B4"/>
            <w:noWrap/>
            <w:vAlign w:val="center"/>
            <w:hideMark/>
          </w:tcPr>
          <w:p w14:paraId="427FBF83"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39E2EF5D"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52059668"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9" w:type="dxa"/>
            <w:tcBorders>
              <w:top w:val="nil"/>
              <w:left w:val="nil"/>
              <w:bottom w:val="nil"/>
              <w:right w:val="nil"/>
            </w:tcBorders>
            <w:shd w:val="clear" w:color="auto" w:fill="auto"/>
            <w:noWrap/>
            <w:vAlign w:val="center"/>
            <w:hideMark/>
          </w:tcPr>
          <w:p w14:paraId="3B67E288"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B6A5194"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9" w:type="dxa"/>
            <w:tcBorders>
              <w:top w:val="nil"/>
              <w:left w:val="nil"/>
              <w:bottom w:val="nil"/>
              <w:right w:val="nil"/>
            </w:tcBorders>
            <w:shd w:val="clear" w:color="auto" w:fill="auto"/>
            <w:noWrap/>
            <w:vAlign w:val="center"/>
            <w:hideMark/>
          </w:tcPr>
          <w:p w14:paraId="58C849E5"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6C7B9B3"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9" w:type="dxa"/>
            <w:tcBorders>
              <w:top w:val="nil"/>
              <w:left w:val="nil"/>
              <w:bottom w:val="nil"/>
              <w:right w:val="nil"/>
            </w:tcBorders>
            <w:shd w:val="clear" w:color="auto" w:fill="auto"/>
            <w:noWrap/>
            <w:vAlign w:val="center"/>
            <w:hideMark/>
          </w:tcPr>
          <w:p w14:paraId="072BC3E6"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3507070D"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9" w:type="dxa"/>
            <w:tcBorders>
              <w:top w:val="nil"/>
              <w:left w:val="nil"/>
              <w:bottom w:val="nil"/>
              <w:right w:val="nil"/>
            </w:tcBorders>
            <w:shd w:val="clear" w:color="auto" w:fill="auto"/>
            <w:noWrap/>
            <w:vAlign w:val="center"/>
            <w:hideMark/>
          </w:tcPr>
          <w:p w14:paraId="69A655E9"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2D3AC3D5"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r>
      <w:tr w:rsidR="00BC5219" w:rsidRPr="009C55C2" w14:paraId="178A3C86" w14:textId="77777777" w:rsidTr="00E83802">
        <w:trPr>
          <w:trHeight w:val="198"/>
        </w:trPr>
        <w:tc>
          <w:tcPr>
            <w:tcW w:w="4366" w:type="dxa"/>
            <w:gridSpan w:val="2"/>
            <w:tcBorders>
              <w:top w:val="nil"/>
              <w:left w:val="nil"/>
              <w:bottom w:val="nil"/>
              <w:right w:val="nil"/>
            </w:tcBorders>
            <w:shd w:val="clear" w:color="auto" w:fill="auto"/>
            <w:noWrap/>
            <w:vAlign w:val="center"/>
            <w:hideMark/>
          </w:tcPr>
          <w:p w14:paraId="7DF68CF3" w14:textId="77777777" w:rsidR="00BC5219" w:rsidRPr="009C55C2" w:rsidRDefault="00BC5219" w:rsidP="00E83802">
            <w:pPr>
              <w:rPr>
                <w:rFonts w:ascii="Meta Pro" w:eastAsia="Times New Roman" w:hAnsi="Meta Pro"/>
                <w:b/>
                <w:bCs/>
                <w:sz w:val="16"/>
                <w:szCs w:val="16"/>
                <w:lang w:eastAsia="en-AU"/>
              </w:rPr>
            </w:pPr>
            <w:r w:rsidRPr="009C55C2">
              <w:rPr>
                <w:rFonts w:ascii="Meta Pro" w:eastAsia="Times New Roman" w:hAnsi="Meta Pro"/>
                <w:b/>
                <w:bCs/>
                <w:sz w:val="16"/>
                <w:szCs w:val="16"/>
                <w:lang w:eastAsia="en-AU"/>
              </w:rPr>
              <w:t>Non-current liabilities</w:t>
            </w:r>
          </w:p>
        </w:tc>
        <w:tc>
          <w:tcPr>
            <w:tcW w:w="1418" w:type="dxa"/>
            <w:tcBorders>
              <w:top w:val="nil"/>
              <w:left w:val="nil"/>
              <w:bottom w:val="nil"/>
              <w:right w:val="nil"/>
            </w:tcBorders>
            <w:shd w:val="clear" w:color="000000" w:fill="C9E3B4"/>
            <w:noWrap/>
            <w:vAlign w:val="center"/>
            <w:hideMark/>
          </w:tcPr>
          <w:p w14:paraId="768A3924"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2FBF0574"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4E40F1DB"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9" w:type="dxa"/>
            <w:tcBorders>
              <w:top w:val="nil"/>
              <w:left w:val="nil"/>
              <w:bottom w:val="nil"/>
              <w:right w:val="nil"/>
            </w:tcBorders>
            <w:shd w:val="clear" w:color="auto" w:fill="auto"/>
            <w:noWrap/>
            <w:vAlign w:val="center"/>
            <w:hideMark/>
          </w:tcPr>
          <w:p w14:paraId="2C8B39AC"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74305086"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9" w:type="dxa"/>
            <w:tcBorders>
              <w:top w:val="nil"/>
              <w:left w:val="nil"/>
              <w:bottom w:val="nil"/>
              <w:right w:val="nil"/>
            </w:tcBorders>
            <w:shd w:val="clear" w:color="auto" w:fill="auto"/>
            <w:noWrap/>
            <w:vAlign w:val="center"/>
            <w:hideMark/>
          </w:tcPr>
          <w:p w14:paraId="7C8E2B19"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75185930"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9" w:type="dxa"/>
            <w:tcBorders>
              <w:top w:val="nil"/>
              <w:left w:val="nil"/>
              <w:bottom w:val="nil"/>
              <w:right w:val="nil"/>
            </w:tcBorders>
            <w:shd w:val="clear" w:color="auto" w:fill="auto"/>
            <w:noWrap/>
            <w:vAlign w:val="center"/>
            <w:hideMark/>
          </w:tcPr>
          <w:p w14:paraId="42227110"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3E583892"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9" w:type="dxa"/>
            <w:tcBorders>
              <w:top w:val="nil"/>
              <w:left w:val="nil"/>
              <w:bottom w:val="nil"/>
              <w:right w:val="nil"/>
            </w:tcBorders>
            <w:shd w:val="clear" w:color="auto" w:fill="auto"/>
            <w:noWrap/>
            <w:vAlign w:val="center"/>
            <w:hideMark/>
          </w:tcPr>
          <w:p w14:paraId="597F16FF"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7BA22C4B"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r>
      <w:tr w:rsidR="00BC5219" w:rsidRPr="009C55C2" w14:paraId="69C2F4F3" w14:textId="77777777" w:rsidTr="00E83802">
        <w:trPr>
          <w:trHeight w:val="198"/>
        </w:trPr>
        <w:tc>
          <w:tcPr>
            <w:tcW w:w="198" w:type="dxa"/>
            <w:tcBorders>
              <w:top w:val="nil"/>
              <w:left w:val="nil"/>
              <w:bottom w:val="nil"/>
              <w:right w:val="nil"/>
            </w:tcBorders>
            <w:shd w:val="clear" w:color="auto" w:fill="auto"/>
            <w:noWrap/>
            <w:vAlign w:val="center"/>
            <w:hideMark/>
          </w:tcPr>
          <w:p w14:paraId="2D409D26"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22D984B0"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Borrowings</w:t>
            </w:r>
          </w:p>
        </w:tc>
        <w:tc>
          <w:tcPr>
            <w:tcW w:w="1418" w:type="dxa"/>
            <w:tcBorders>
              <w:top w:val="nil"/>
              <w:left w:val="nil"/>
              <w:bottom w:val="nil"/>
              <w:right w:val="nil"/>
            </w:tcBorders>
            <w:shd w:val="clear" w:color="000000" w:fill="C9E3B4"/>
            <w:noWrap/>
            <w:vAlign w:val="center"/>
            <w:hideMark/>
          </w:tcPr>
          <w:p w14:paraId="0DC40B2A"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34ECF8B7"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20E4FA3"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383,909 </w:t>
            </w:r>
          </w:p>
        </w:tc>
        <w:tc>
          <w:tcPr>
            <w:tcW w:w="199" w:type="dxa"/>
            <w:tcBorders>
              <w:top w:val="nil"/>
              <w:left w:val="nil"/>
              <w:bottom w:val="nil"/>
              <w:right w:val="nil"/>
            </w:tcBorders>
            <w:shd w:val="clear" w:color="auto" w:fill="auto"/>
            <w:noWrap/>
            <w:vAlign w:val="center"/>
            <w:hideMark/>
          </w:tcPr>
          <w:p w14:paraId="7A11DACE"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A0412B1"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294DD277"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298FE19E"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0FCF41B1"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D17EE3B"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753,334 </w:t>
            </w:r>
          </w:p>
        </w:tc>
        <w:tc>
          <w:tcPr>
            <w:tcW w:w="199" w:type="dxa"/>
            <w:tcBorders>
              <w:top w:val="nil"/>
              <w:left w:val="nil"/>
              <w:bottom w:val="nil"/>
              <w:right w:val="nil"/>
            </w:tcBorders>
            <w:shd w:val="clear" w:color="auto" w:fill="auto"/>
            <w:noWrap/>
            <w:vAlign w:val="center"/>
            <w:hideMark/>
          </w:tcPr>
          <w:p w14:paraId="3A1B197D"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3CAD91E6"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19,000 </w:t>
            </w:r>
          </w:p>
        </w:tc>
      </w:tr>
      <w:tr w:rsidR="00BC5219" w:rsidRPr="009C55C2" w14:paraId="10C71534" w14:textId="77777777" w:rsidTr="00E83802">
        <w:trPr>
          <w:trHeight w:val="198"/>
        </w:trPr>
        <w:tc>
          <w:tcPr>
            <w:tcW w:w="198" w:type="dxa"/>
            <w:tcBorders>
              <w:top w:val="nil"/>
              <w:left w:val="nil"/>
              <w:bottom w:val="nil"/>
              <w:right w:val="nil"/>
            </w:tcBorders>
            <w:shd w:val="clear" w:color="auto" w:fill="auto"/>
            <w:noWrap/>
            <w:vAlign w:val="center"/>
            <w:hideMark/>
          </w:tcPr>
          <w:p w14:paraId="773C0AA8"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5571BCF3"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Provisions</w:t>
            </w:r>
          </w:p>
        </w:tc>
        <w:tc>
          <w:tcPr>
            <w:tcW w:w="1418" w:type="dxa"/>
            <w:tcBorders>
              <w:top w:val="nil"/>
              <w:left w:val="nil"/>
              <w:bottom w:val="nil"/>
              <w:right w:val="nil"/>
            </w:tcBorders>
            <w:shd w:val="clear" w:color="000000" w:fill="C9E3B4"/>
            <w:noWrap/>
            <w:vAlign w:val="center"/>
            <w:hideMark/>
          </w:tcPr>
          <w:p w14:paraId="076AA21A"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20D98189"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534B2030"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190,548 </w:t>
            </w:r>
          </w:p>
        </w:tc>
        <w:tc>
          <w:tcPr>
            <w:tcW w:w="199" w:type="dxa"/>
            <w:tcBorders>
              <w:top w:val="nil"/>
              <w:left w:val="nil"/>
              <w:bottom w:val="nil"/>
              <w:right w:val="nil"/>
            </w:tcBorders>
            <w:shd w:val="clear" w:color="auto" w:fill="auto"/>
            <w:noWrap/>
            <w:vAlign w:val="center"/>
            <w:hideMark/>
          </w:tcPr>
          <w:p w14:paraId="041EACDB"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27D9F1C0"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6F1C2252"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255DA03F"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13D95F7D"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53106A5"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5,582 </w:t>
            </w:r>
          </w:p>
        </w:tc>
        <w:tc>
          <w:tcPr>
            <w:tcW w:w="199" w:type="dxa"/>
            <w:tcBorders>
              <w:top w:val="nil"/>
              <w:left w:val="nil"/>
              <w:bottom w:val="nil"/>
              <w:right w:val="nil"/>
            </w:tcBorders>
            <w:shd w:val="clear" w:color="auto" w:fill="auto"/>
            <w:noWrap/>
            <w:vAlign w:val="center"/>
            <w:hideMark/>
          </w:tcPr>
          <w:p w14:paraId="14D89F51"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5564A2D1"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r>
      <w:tr w:rsidR="00BC5219" w:rsidRPr="009C55C2" w14:paraId="31C6F172" w14:textId="77777777" w:rsidTr="00E83802">
        <w:trPr>
          <w:trHeight w:val="198"/>
        </w:trPr>
        <w:tc>
          <w:tcPr>
            <w:tcW w:w="198" w:type="dxa"/>
            <w:tcBorders>
              <w:top w:val="nil"/>
              <w:left w:val="nil"/>
              <w:bottom w:val="nil"/>
              <w:right w:val="nil"/>
            </w:tcBorders>
            <w:shd w:val="clear" w:color="auto" w:fill="auto"/>
            <w:noWrap/>
            <w:vAlign w:val="center"/>
            <w:hideMark/>
          </w:tcPr>
          <w:p w14:paraId="4085273C"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4F3EFD3E"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 xml:space="preserve">Unearned revenue – service concession arrangements </w:t>
            </w:r>
          </w:p>
        </w:tc>
        <w:tc>
          <w:tcPr>
            <w:tcW w:w="1418" w:type="dxa"/>
            <w:tcBorders>
              <w:top w:val="nil"/>
              <w:left w:val="nil"/>
              <w:bottom w:val="nil"/>
              <w:right w:val="nil"/>
            </w:tcBorders>
            <w:shd w:val="clear" w:color="000000" w:fill="C9E3B4"/>
            <w:noWrap/>
            <w:vAlign w:val="center"/>
            <w:hideMark/>
          </w:tcPr>
          <w:p w14:paraId="3E860233"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360F2DBA"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7F5A122E"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6,814,737 </w:t>
            </w:r>
          </w:p>
        </w:tc>
        <w:tc>
          <w:tcPr>
            <w:tcW w:w="199" w:type="dxa"/>
            <w:tcBorders>
              <w:top w:val="nil"/>
              <w:left w:val="nil"/>
              <w:bottom w:val="nil"/>
              <w:right w:val="nil"/>
            </w:tcBorders>
            <w:shd w:val="clear" w:color="auto" w:fill="auto"/>
            <w:noWrap/>
            <w:vAlign w:val="center"/>
            <w:hideMark/>
          </w:tcPr>
          <w:p w14:paraId="3D787834"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51A848B8"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3FFA8EEA"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A497935"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3FBBA3B2"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C83BB68"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108,397 </w:t>
            </w:r>
          </w:p>
        </w:tc>
        <w:tc>
          <w:tcPr>
            <w:tcW w:w="199" w:type="dxa"/>
            <w:tcBorders>
              <w:top w:val="nil"/>
              <w:left w:val="nil"/>
              <w:bottom w:val="nil"/>
              <w:right w:val="nil"/>
            </w:tcBorders>
            <w:shd w:val="clear" w:color="auto" w:fill="auto"/>
            <w:noWrap/>
            <w:vAlign w:val="center"/>
            <w:hideMark/>
          </w:tcPr>
          <w:p w14:paraId="04B95329"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54B7FF38"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r>
      <w:tr w:rsidR="00BC5219" w:rsidRPr="009C55C2" w14:paraId="5C2828BE" w14:textId="77777777" w:rsidTr="00E83802">
        <w:trPr>
          <w:trHeight w:val="198"/>
        </w:trPr>
        <w:tc>
          <w:tcPr>
            <w:tcW w:w="198" w:type="dxa"/>
            <w:tcBorders>
              <w:top w:val="nil"/>
              <w:left w:val="nil"/>
              <w:bottom w:val="nil"/>
              <w:right w:val="nil"/>
            </w:tcBorders>
            <w:shd w:val="clear" w:color="auto" w:fill="auto"/>
            <w:noWrap/>
            <w:vAlign w:val="center"/>
            <w:hideMark/>
          </w:tcPr>
          <w:p w14:paraId="38295DAF"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25FBD00D"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Lease liabilities</w:t>
            </w:r>
          </w:p>
        </w:tc>
        <w:tc>
          <w:tcPr>
            <w:tcW w:w="1418" w:type="dxa"/>
            <w:tcBorders>
              <w:top w:val="nil"/>
              <w:left w:val="nil"/>
              <w:bottom w:val="nil"/>
              <w:right w:val="nil"/>
            </w:tcBorders>
            <w:shd w:val="clear" w:color="000000" w:fill="C9E3B4"/>
            <w:noWrap/>
            <w:vAlign w:val="center"/>
            <w:hideMark/>
          </w:tcPr>
          <w:p w14:paraId="48695585"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0C029E25"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5B79A836"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6537175A"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D87BB94"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2B33D51D"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7E8383C9"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1663B673"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A5B1A25"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3,421 </w:t>
            </w:r>
          </w:p>
        </w:tc>
        <w:tc>
          <w:tcPr>
            <w:tcW w:w="199" w:type="dxa"/>
            <w:tcBorders>
              <w:top w:val="nil"/>
              <w:left w:val="nil"/>
              <w:bottom w:val="nil"/>
              <w:right w:val="nil"/>
            </w:tcBorders>
            <w:shd w:val="clear" w:color="auto" w:fill="auto"/>
            <w:noWrap/>
            <w:vAlign w:val="center"/>
            <w:hideMark/>
          </w:tcPr>
          <w:p w14:paraId="6406B20A"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6FE9171A"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r>
      <w:tr w:rsidR="00BC5219" w:rsidRPr="009C55C2" w14:paraId="606D758F" w14:textId="77777777" w:rsidTr="00E83802">
        <w:trPr>
          <w:trHeight w:val="198"/>
        </w:trPr>
        <w:tc>
          <w:tcPr>
            <w:tcW w:w="198" w:type="dxa"/>
            <w:tcBorders>
              <w:top w:val="nil"/>
              <w:left w:val="nil"/>
              <w:bottom w:val="single" w:sz="4" w:space="0" w:color="auto"/>
              <w:right w:val="nil"/>
            </w:tcBorders>
            <w:shd w:val="clear" w:color="auto" w:fill="auto"/>
            <w:noWrap/>
            <w:vAlign w:val="center"/>
            <w:hideMark/>
          </w:tcPr>
          <w:p w14:paraId="0BAFFB3C"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4366" w:type="dxa"/>
            <w:tcBorders>
              <w:top w:val="nil"/>
              <w:left w:val="nil"/>
              <w:bottom w:val="single" w:sz="4" w:space="0" w:color="auto"/>
              <w:right w:val="nil"/>
            </w:tcBorders>
            <w:shd w:val="clear" w:color="auto" w:fill="auto"/>
            <w:noWrap/>
            <w:vAlign w:val="center"/>
            <w:hideMark/>
          </w:tcPr>
          <w:p w14:paraId="7945EA16"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Other</w:t>
            </w:r>
          </w:p>
        </w:tc>
        <w:tc>
          <w:tcPr>
            <w:tcW w:w="1418" w:type="dxa"/>
            <w:tcBorders>
              <w:top w:val="nil"/>
              <w:left w:val="nil"/>
              <w:bottom w:val="single" w:sz="4" w:space="0" w:color="auto"/>
              <w:right w:val="nil"/>
            </w:tcBorders>
            <w:shd w:val="clear" w:color="000000" w:fill="C9E3B4"/>
            <w:noWrap/>
            <w:vAlign w:val="center"/>
            <w:hideMark/>
          </w:tcPr>
          <w:p w14:paraId="0A323E2A"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44878196"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1D833767"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9" w:type="dxa"/>
            <w:tcBorders>
              <w:top w:val="nil"/>
              <w:left w:val="nil"/>
              <w:bottom w:val="single" w:sz="4" w:space="0" w:color="auto"/>
              <w:right w:val="nil"/>
            </w:tcBorders>
            <w:shd w:val="clear" w:color="auto" w:fill="auto"/>
            <w:noWrap/>
            <w:vAlign w:val="center"/>
            <w:hideMark/>
          </w:tcPr>
          <w:p w14:paraId="4DF13113"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38F48AC2"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9" w:type="dxa"/>
            <w:tcBorders>
              <w:top w:val="nil"/>
              <w:left w:val="nil"/>
              <w:bottom w:val="single" w:sz="4" w:space="0" w:color="auto"/>
              <w:right w:val="nil"/>
            </w:tcBorders>
            <w:shd w:val="clear" w:color="auto" w:fill="auto"/>
            <w:noWrap/>
            <w:vAlign w:val="center"/>
            <w:hideMark/>
          </w:tcPr>
          <w:p w14:paraId="187BFAB0"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674CECFB"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9" w:type="dxa"/>
            <w:tcBorders>
              <w:top w:val="nil"/>
              <w:left w:val="nil"/>
              <w:bottom w:val="single" w:sz="4" w:space="0" w:color="auto"/>
              <w:right w:val="nil"/>
            </w:tcBorders>
            <w:shd w:val="clear" w:color="auto" w:fill="auto"/>
            <w:noWrap/>
            <w:vAlign w:val="center"/>
            <w:hideMark/>
          </w:tcPr>
          <w:p w14:paraId="0D2C381F"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7471B60E"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9" w:type="dxa"/>
            <w:tcBorders>
              <w:top w:val="nil"/>
              <w:left w:val="nil"/>
              <w:bottom w:val="single" w:sz="4" w:space="0" w:color="auto"/>
              <w:right w:val="nil"/>
            </w:tcBorders>
            <w:shd w:val="clear" w:color="auto" w:fill="auto"/>
            <w:noWrap/>
            <w:vAlign w:val="center"/>
            <w:hideMark/>
          </w:tcPr>
          <w:p w14:paraId="49622B26"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561E3894"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r>
      <w:tr w:rsidR="00BC5219" w:rsidRPr="009C55C2" w14:paraId="1D9B2138" w14:textId="77777777" w:rsidTr="00E83802">
        <w:trPr>
          <w:trHeight w:val="198"/>
        </w:trPr>
        <w:tc>
          <w:tcPr>
            <w:tcW w:w="198" w:type="dxa"/>
            <w:tcBorders>
              <w:top w:val="nil"/>
              <w:left w:val="nil"/>
              <w:bottom w:val="nil"/>
              <w:right w:val="nil"/>
            </w:tcBorders>
            <w:shd w:val="clear" w:color="auto" w:fill="auto"/>
            <w:noWrap/>
            <w:vAlign w:val="center"/>
            <w:hideMark/>
          </w:tcPr>
          <w:p w14:paraId="6243C916"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5D863E89" w14:textId="77777777" w:rsidR="00BC5219" w:rsidRPr="009C55C2" w:rsidRDefault="00BC5219" w:rsidP="00E83802">
            <w:pPr>
              <w:rPr>
                <w:rFonts w:ascii="Meta Pro" w:eastAsia="Times New Roman" w:hAnsi="Meta Pro"/>
                <w:b/>
                <w:bCs/>
                <w:sz w:val="16"/>
                <w:szCs w:val="16"/>
                <w:lang w:eastAsia="en-AU"/>
              </w:rPr>
            </w:pPr>
            <w:r w:rsidRPr="009C55C2">
              <w:rPr>
                <w:rFonts w:ascii="Meta Pro" w:eastAsia="Times New Roman" w:hAnsi="Meta Pro"/>
                <w:b/>
                <w:bCs/>
                <w:sz w:val="16"/>
                <w:szCs w:val="16"/>
                <w:lang w:eastAsia="en-AU"/>
              </w:rPr>
              <w:t>Total non-current liabilities</w:t>
            </w:r>
          </w:p>
        </w:tc>
        <w:tc>
          <w:tcPr>
            <w:tcW w:w="1418" w:type="dxa"/>
            <w:tcBorders>
              <w:top w:val="nil"/>
              <w:left w:val="nil"/>
              <w:bottom w:val="nil"/>
              <w:right w:val="nil"/>
            </w:tcBorders>
            <w:shd w:val="clear" w:color="000000" w:fill="C9E3B4"/>
            <w:noWrap/>
            <w:vAlign w:val="center"/>
            <w:hideMark/>
          </w:tcPr>
          <w:p w14:paraId="0219FD0B"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3A0D385B" w14:textId="77777777" w:rsidR="00BC5219" w:rsidRPr="009C55C2" w:rsidRDefault="00BC5219" w:rsidP="00E83802">
            <w:pPr>
              <w:jc w:val="right"/>
              <w:rPr>
                <w:rFonts w:ascii="Meta Pro" w:eastAsia="Times New Roman" w:hAnsi="Meta Pro"/>
                <w:b/>
                <w:bCs/>
                <w:sz w:val="16"/>
                <w:szCs w:val="16"/>
                <w:lang w:eastAsia="en-AU"/>
              </w:rPr>
            </w:pPr>
          </w:p>
        </w:tc>
        <w:tc>
          <w:tcPr>
            <w:tcW w:w="1418" w:type="dxa"/>
            <w:tcBorders>
              <w:top w:val="nil"/>
              <w:left w:val="nil"/>
              <w:bottom w:val="nil"/>
              <w:right w:val="nil"/>
            </w:tcBorders>
            <w:shd w:val="clear" w:color="000000" w:fill="C9E3B4"/>
            <w:noWrap/>
            <w:vAlign w:val="center"/>
            <w:hideMark/>
          </w:tcPr>
          <w:p w14:paraId="2837DF18"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7,389,194 </w:t>
            </w:r>
          </w:p>
        </w:tc>
        <w:tc>
          <w:tcPr>
            <w:tcW w:w="199" w:type="dxa"/>
            <w:tcBorders>
              <w:top w:val="nil"/>
              <w:left w:val="nil"/>
              <w:bottom w:val="nil"/>
              <w:right w:val="nil"/>
            </w:tcBorders>
            <w:shd w:val="clear" w:color="auto" w:fill="auto"/>
            <w:noWrap/>
            <w:vAlign w:val="center"/>
            <w:hideMark/>
          </w:tcPr>
          <w:p w14:paraId="027652A5" w14:textId="77777777" w:rsidR="00BC5219" w:rsidRPr="009C55C2" w:rsidRDefault="00BC5219" w:rsidP="00E83802">
            <w:pPr>
              <w:jc w:val="right"/>
              <w:rPr>
                <w:rFonts w:ascii="Meta Pro" w:eastAsia="Times New Roman" w:hAnsi="Meta Pro"/>
                <w:b/>
                <w:bCs/>
                <w:sz w:val="16"/>
                <w:szCs w:val="16"/>
                <w:lang w:eastAsia="en-AU"/>
              </w:rPr>
            </w:pPr>
          </w:p>
        </w:tc>
        <w:tc>
          <w:tcPr>
            <w:tcW w:w="1418" w:type="dxa"/>
            <w:tcBorders>
              <w:top w:val="nil"/>
              <w:left w:val="nil"/>
              <w:bottom w:val="nil"/>
              <w:right w:val="nil"/>
            </w:tcBorders>
            <w:shd w:val="clear" w:color="000000" w:fill="C9E3B4"/>
            <w:noWrap/>
            <w:vAlign w:val="center"/>
            <w:hideMark/>
          </w:tcPr>
          <w:p w14:paraId="104D3CE4"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7E25AC1A" w14:textId="77777777" w:rsidR="00BC5219" w:rsidRPr="009C55C2" w:rsidRDefault="00BC5219" w:rsidP="00E83802">
            <w:pPr>
              <w:jc w:val="right"/>
              <w:rPr>
                <w:rFonts w:ascii="Meta Pro" w:eastAsia="Times New Roman" w:hAnsi="Meta Pro"/>
                <w:b/>
                <w:bCs/>
                <w:sz w:val="16"/>
                <w:szCs w:val="16"/>
                <w:lang w:eastAsia="en-AU"/>
              </w:rPr>
            </w:pPr>
          </w:p>
        </w:tc>
        <w:tc>
          <w:tcPr>
            <w:tcW w:w="1418" w:type="dxa"/>
            <w:tcBorders>
              <w:top w:val="nil"/>
              <w:left w:val="nil"/>
              <w:bottom w:val="nil"/>
              <w:right w:val="nil"/>
            </w:tcBorders>
            <w:shd w:val="clear" w:color="000000" w:fill="C9E3B4"/>
            <w:noWrap/>
            <w:vAlign w:val="center"/>
            <w:hideMark/>
          </w:tcPr>
          <w:p w14:paraId="064857E9"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20613FDE" w14:textId="77777777" w:rsidR="00BC5219" w:rsidRPr="009C55C2" w:rsidRDefault="00BC5219" w:rsidP="00E83802">
            <w:pPr>
              <w:jc w:val="right"/>
              <w:rPr>
                <w:rFonts w:ascii="Meta Pro" w:eastAsia="Times New Roman" w:hAnsi="Meta Pro"/>
                <w:b/>
                <w:bCs/>
                <w:sz w:val="16"/>
                <w:szCs w:val="16"/>
                <w:lang w:eastAsia="en-AU"/>
              </w:rPr>
            </w:pPr>
          </w:p>
        </w:tc>
        <w:tc>
          <w:tcPr>
            <w:tcW w:w="1418" w:type="dxa"/>
            <w:tcBorders>
              <w:top w:val="nil"/>
              <w:left w:val="nil"/>
              <w:bottom w:val="nil"/>
              <w:right w:val="nil"/>
            </w:tcBorders>
            <w:shd w:val="clear" w:color="000000" w:fill="C9E3B4"/>
            <w:noWrap/>
            <w:vAlign w:val="center"/>
            <w:hideMark/>
          </w:tcPr>
          <w:p w14:paraId="4DDBE04B"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870,734 </w:t>
            </w:r>
          </w:p>
        </w:tc>
        <w:tc>
          <w:tcPr>
            <w:tcW w:w="199" w:type="dxa"/>
            <w:tcBorders>
              <w:top w:val="nil"/>
              <w:left w:val="nil"/>
              <w:bottom w:val="nil"/>
              <w:right w:val="nil"/>
            </w:tcBorders>
            <w:shd w:val="clear" w:color="auto" w:fill="auto"/>
            <w:noWrap/>
            <w:vAlign w:val="center"/>
            <w:hideMark/>
          </w:tcPr>
          <w:p w14:paraId="07388361" w14:textId="77777777" w:rsidR="00BC5219" w:rsidRPr="009C55C2" w:rsidRDefault="00BC5219" w:rsidP="00E83802">
            <w:pPr>
              <w:jc w:val="right"/>
              <w:rPr>
                <w:rFonts w:ascii="Meta Pro" w:eastAsia="Times New Roman" w:hAnsi="Meta Pro"/>
                <w:b/>
                <w:bCs/>
                <w:sz w:val="16"/>
                <w:szCs w:val="16"/>
                <w:lang w:eastAsia="en-AU"/>
              </w:rPr>
            </w:pPr>
          </w:p>
        </w:tc>
        <w:tc>
          <w:tcPr>
            <w:tcW w:w="1418" w:type="dxa"/>
            <w:tcBorders>
              <w:top w:val="nil"/>
              <w:left w:val="nil"/>
              <w:bottom w:val="nil"/>
              <w:right w:val="nil"/>
            </w:tcBorders>
            <w:shd w:val="clear" w:color="000000" w:fill="C9E3B4"/>
            <w:noWrap/>
            <w:vAlign w:val="center"/>
            <w:hideMark/>
          </w:tcPr>
          <w:p w14:paraId="1E14C375"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19,000 </w:t>
            </w:r>
          </w:p>
        </w:tc>
      </w:tr>
      <w:tr w:rsidR="00BC5219" w:rsidRPr="009C55C2" w14:paraId="146819BC" w14:textId="77777777" w:rsidTr="00E83802">
        <w:trPr>
          <w:trHeight w:hRule="exact" w:val="142"/>
        </w:trPr>
        <w:tc>
          <w:tcPr>
            <w:tcW w:w="198" w:type="dxa"/>
            <w:tcBorders>
              <w:top w:val="nil"/>
              <w:left w:val="nil"/>
              <w:bottom w:val="nil"/>
              <w:right w:val="nil"/>
            </w:tcBorders>
            <w:shd w:val="clear" w:color="auto" w:fill="auto"/>
            <w:noWrap/>
            <w:vAlign w:val="center"/>
            <w:hideMark/>
          </w:tcPr>
          <w:p w14:paraId="63562048" w14:textId="77777777" w:rsidR="00BC5219" w:rsidRPr="009C55C2" w:rsidRDefault="00BC5219" w:rsidP="00E83802">
            <w:pPr>
              <w:jc w:val="right"/>
              <w:rPr>
                <w:rFonts w:ascii="Meta Pro" w:eastAsia="Times New Roman" w:hAnsi="Meta Pro"/>
                <w:b/>
                <w:bCs/>
                <w:sz w:val="16"/>
                <w:szCs w:val="16"/>
                <w:lang w:eastAsia="en-AU"/>
              </w:rPr>
            </w:pPr>
          </w:p>
        </w:tc>
        <w:tc>
          <w:tcPr>
            <w:tcW w:w="4366" w:type="dxa"/>
            <w:tcBorders>
              <w:top w:val="nil"/>
              <w:left w:val="nil"/>
              <w:bottom w:val="nil"/>
              <w:right w:val="nil"/>
            </w:tcBorders>
            <w:shd w:val="clear" w:color="auto" w:fill="auto"/>
            <w:noWrap/>
            <w:vAlign w:val="center"/>
            <w:hideMark/>
          </w:tcPr>
          <w:p w14:paraId="7A215A2C" w14:textId="77777777" w:rsidR="00BC5219" w:rsidRPr="009C55C2" w:rsidRDefault="00BC5219" w:rsidP="00E83802">
            <w:pPr>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000000" w:fill="C9E3B4"/>
            <w:noWrap/>
            <w:vAlign w:val="center"/>
            <w:hideMark/>
          </w:tcPr>
          <w:p w14:paraId="6C8D3907"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00D1A2E1"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562436B"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9" w:type="dxa"/>
            <w:tcBorders>
              <w:top w:val="nil"/>
              <w:left w:val="nil"/>
              <w:bottom w:val="nil"/>
              <w:right w:val="nil"/>
            </w:tcBorders>
            <w:shd w:val="clear" w:color="auto" w:fill="auto"/>
            <w:noWrap/>
            <w:vAlign w:val="center"/>
            <w:hideMark/>
          </w:tcPr>
          <w:p w14:paraId="25C123C2"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7D859E2D"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9" w:type="dxa"/>
            <w:tcBorders>
              <w:top w:val="nil"/>
              <w:left w:val="nil"/>
              <w:bottom w:val="nil"/>
              <w:right w:val="nil"/>
            </w:tcBorders>
            <w:shd w:val="clear" w:color="auto" w:fill="auto"/>
            <w:noWrap/>
            <w:vAlign w:val="center"/>
            <w:hideMark/>
          </w:tcPr>
          <w:p w14:paraId="0A1216F4"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73074E67"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9" w:type="dxa"/>
            <w:tcBorders>
              <w:top w:val="nil"/>
              <w:left w:val="nil"/>
              <w:bottom w:val="nil"/>
              <w:right w:val="nil"/>
            </w:tcBorders>
            <w:shd w:val="clear" w:color="auto" w:fill="auto"/>
            <w:noWrap/>
            <w:vAlign w:val="center"/>
            <w:hideMark/>
          </w:tcPr>
          <w:p w14:paraId="7A57B55C"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1D572A6"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9" w:type="dxa"/>
            <w:tcBorders>
              <w:top w:val="nil"/>
              <w:left w:val="nil"/>
              <w:bottom w:val="nil"/>
              <w:right w:val="nil"/>
            </w:tcBorders>
            <w:shd w:val="clear" w:color="auto" w:fill="auto"/>
            <w:noWrap/>
            <w:vAlign w:val="center"/>
            <w:hideMark/>
          </w:tcPr>
          <w:p w14:paraId="449C1742"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3335075C"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r>
      <w:tr w:rsidR="00BC5219" w:rsidRPr="009C55C2" w14:paraId="30A94548" w14:textId="77777777" w:rsidTr="00E83802">
        <w:trPr>
          <w:trHeight w:val="198"/>
        </w:trPr>
        <w:tc>
          <w:tcPr>
            <w:tcW w:w="4366" w:type="dxa"/>
            <w:gridSpan w:val="2"/>
            <w:tcBorders>
              <w:top w:val="nil"/>
              <w:left w:val="nil"/>
              <w:bottom w:val="double" w:sz="6" w:space="0" w:color="auto"/>
              <w:right w:val="nil"/>
            </w:tcBorders>
            <w:shd w:val="clear" w:color="auto" w:fill="auto"/>
            <w:noWrap/>
            <w:vAlign w:val="center"/>
            <w:hideMark/>
          </w:tcPr>
          <w:p w14:paraId="78AFF572" w14:textId="77777777" w:rsidR="00BC5219" w:rsidRPr="009C55C2" w:rsidRDefault="00BC5219" w:rsidP="00E83802">
            <w:pPr>
              <w:rPr>
                <w:rFonts w:ascii="Meta Pro" w:eastAsia="Times New Roman" w:hAnsi="Meta Pro"/>
                <w:b/>
                <w:bCs/>
                <w:sz w:val="16"/>
                <w:szCs w:val="16"/>
                <w:lang w:eastAsia="en-AU"/>
              </w:rPr>
            </w:pPr>
            <w:r w:rsidRPr="009C55C2">
              <w:rPr>
                <w:rFonts w:ascii="Meta Pro" w:eastAsia="Times New Roman" w:hAnsi="Meta Pro"/>
                <w:b/>
                <w:bCs/>
                <w:sz w:val="16"/>
                <w:szCs w:val="16"/>
                <w:lang w:eastAsia="en-AU"/>
              </w:rPr>
              <w:t>Total liabilities</w:t>
            </w:r>
          </w:p>
        </w:tc>
        <w:tc>
          <w:tcPr>
            <w:tcW w:w="1418" w:type="dxa"/>
            <w:tcBorders>
              <w:top w:val="nil"/>
              <w:left w:val="nil"/>
              <w:bottom w:val="double" w:sz="6" w:space="0" w:color="auto"/>
              <w:right w:val="nil"/>
            </w:tcBorders>
            <w:shd w:val="clear" w:color="000000" w:fill="C9E3B4"/>
            <w:noWrap/>
            <w:vAlign w:val="center"/>
            <w:hideMark/>
          </w:tcPr>
          <w:p w14:paraId="11680071"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115,995 </w:t>
            </w:r>
          </w:p>
        </w:tc>
        <w:tc>
          <w:tcPr>
            <w:tcW w:w="198" w:type="dxa"/>
            <w:tcBorders>
              <w:top w:val="nil"/>
              <w:left w:val="nil"/>
              <w:bottom w:val="double" w:sz="6" w:space="0" w:color="auto"/>
              <w:right w:val="nil"/>
            </w:tcBorders>
            <w:shd w:val="clear" w:color="auto" w:fill="auto"/>
            <w:noWrap/>
            <w:vAlign w:val="center"/>
            <w:hideMark/>
          </w:tcPr>
          <w:p w14:paraId="5DE5A36D"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nil"/>
              <w:left w:val="nil"/>
              <w:bottom w:val="double" w:sz="6" w:space="0" w:color="auto"/>
              <w:right w:val="nil"/>
            </w:tcBorders>
            <w:shd w:val="clear" w:color="000000" w:fill="C9E3B4"/>
            <w:noWrap/>
            <w:vAlign w:val="center"/>
            <w:hideMark/>
          </w:tcPr>
          <w:p w14:paraId="4DBB652A"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8,117,320 </w:t>
            </w:r>
          </w:p>
        </w:tc>
        <w:tc>
          <w:tcPr>
            <w:tcW w:w="199" w:type="dxa"/>
            <w:tcBorders>
              <w:top w:val="nil"/>
              <w:left w:val="nil"/>
              <w:bottom w:val="double" w:sz="6" w:space="0" w:color="auto"/>
              <w:right w:val="nil"/>
            </w:tcBorders>
            <w:shd w:val="clear" w:color="auto" w:fill="auto"/>
            <w:noWrap/>
            <w:vAlign w:val="center"/>
            <w:hideMark/>
          </w:tcPr>
          <w:p w14:paraId="2924CA8F"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nil"/>
              <w:left w:val="nil"/>
              <w:bottom w:val="double" w:sz="6" w:space="0" w:color="auto"/>
              <w:right w:val="nil"/>
            </w:tcBorders>
            <w:shd w:val="clear" w:color="000000" w:fill="C9E3B4"/>
            <w:noWrap/>
            <w:vAlign w:val="center"/>
            <w:hideMark/>
          </w:tcPr>
          <w:p w14:paraId="037BA2AD"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50,733 </w:t>
            </w:r>
          </w:p>
        </w:tc>
        <w:tc>
          <w:tcPr>
            <w:tcW w:w="199" w:type="dxa"/>
            <w:tcBorders>
              <w:top w:val="nil"/>
              <w:left w:val="nil"/>
              <w:bottom w:val="double" w:sz="6" w:space="0" w:color="auto"/>
              <w:right w:val="nil"/>
            </w:tcBorders>
            <w:shd w:val="clear" w:color="auto" w:fill="auto"/>
            <w:noWrap/>
            <w:vAlign w:val="center"/>
            <w:hideMark/>
          </w:tcPr>
          <w:p w14:paraId="391C6857"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nil"/>
              <w:left w:val="nil"/>
              <w:bottom w:val="double" w:sz="6" w:space="0" w:color="auto"/>
              <w:right w:val="nil"/>
            </w:tcBorders>
            <w:shd w:val="clear" w:color="000000" w:fill="C9E3B4"/>
            <w:noWrap/>
            <w:vAlign w:val="center"/>
            <w:hideMark/>
          </w:tcPr>
          <w:p w14:paraId="11DBB2DE"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50,571 </w:t>
            </w:r>
          </w:p>
        </w:tc>
        <w:tc>
          <w:tcPr>
            <w:tcW w:w="199" w:type="dxa"/>
            <w:tcBorders>
              <w:top w:val="nil"/>
              <w:left w:val="nil"/>
              <w:bottom w:val="double" w:sz="6" w:space="0" w:color="auto"/>
              <w:right w:val="nil"/>
            </w:tcBorders>
            <w:shd w:val="clear" w:color="auto" w:fill="auto"/>
            <w:noWrap/>
            <w:vAlign w:val="center"/>
            <w:hideMark/>
          </w:tcPr>
          <w:p w14:paraId="34699949"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nil"/>
              <w:left w:val="nil"/>
              <w:bottom w:val="double" w:sz="6" w:space="0" w:color="auto"/>
              <w:right w:val="nil"/>
            </w:tcBorders>
            <w:shd w:val="clear" w:color="000000" w:fill="C9E3B4"/>
            <w:noWrap/>
            <w:vAlign w:val="center"/>
            <w:hideMark/>
          </w:tcPr>
          <w:p w14:paraId="522A468E"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1,781,265 </w:t>
            </w:r>
          </w:p>
        </w:tc>
        <w:tc>
          <w:tcPr>
            <w:tcW w:w="199" w:type="dxa"/>
            <w:tcBorders>
              <w:top w:val="nil"/>
              <w:left w:val="nil"/>
              <w:bottom w:val="double" w:sz="6" w:space="0" w:color="auto"/>
              <w:right w:val="nil"/>
            </w:tcBorders>
            <w:shd w:val="clear" w:color="auto" w:fill="auto"/>
            <w:noWrap/>
            <w:vAlign w:val="center"/>
            <w:hideMark/>
          </w:tcPr>
          <w:p w14:paraId="3AE1A8E7"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nil"/>
              <w:left w:val="nil"/>
              <w:bottom w:val="double" w:sz="6" w:space="0" w:color="auto"/>
              <w:right w:val="nil"/>
            </w:tcBorders>
            <w:shd w:val="clear" w:color="000000" w:fill="C9E3B4"/>
            <w:noWrap/>
            <w:vAlign w:val="center"/>
            <w:hideMark/>
          </w:tcPr>
          <w:p w14:paraId="7E196E4C"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62,880 </w:t>
            </w:r>
          </w:p>
        </w:tc>
      </w:tr>
    </w:tbl>
    <w:p w14:paraId="68D3B5BE" w14:textId="77777777" w:rsidR="00BC5219" w:rsidRPr="008A2B8F" w:rsidRDefault="00BC5219" w:rsidP="00BC5219">
      <w:pPr>
        <w:spacing w:line="168" w:lineRule="auto"/>
        <w:rPr>
          <w:rFonts w:ascii="Meta Pro" w:hAnsi="Meta Pro" w:cstheme="minorBidi"/>
        </w:rPr>
      </w:pPr>
    </w:p>
    <w:p w14:paraId="1CF02B05" w14:textId="77777777" w:rsidR="00BC5219" w:rsidRPr="008A2B8F" w:rsidRDefault="00BC5219" w:rsidP="00BC5219">
      <w:pPr>
        <w:spacing w:line="168" w:lineRule="auto"/>
        <w:rPr>
          <w:rFonts w:ascii="Meta Pro" w:hAnsi="Meta Pro"/>
          <w:lang w:eastAsia="en-AU"/>
        </w:rPr>
      </w:pPr>
    </w:p>
    <w:p w14:paraId="44AF0EFF" w14:textId="77777777" w:rsidR="00BC5219" w:rsidRPr="008A2B8F" w:rsidRDefault="00BC5219" w:rsidP="00BC5219">
      <w:pPr>
        <w:spacing w:line="168" w:lineRule="auto"/>
        <w:rPr>
          <w:rFonts w:ascii="Meta Pro" w:eastAsia="Times New Roman" w:hAnsi="Meta Pro"/>
          <w:i/>
          <w:iCs/>
          <w:color w:val="000000" w:themeColor="text1"/>
          <w:lang w:eastAsia="en-AU"/>
        </w:rPr>
      </w:pPr>
    </w:p>
    <w:p w14:paraId="0ADF1E9D" w14:textId="77777777" w:rsidR="00BC5219" w:rsidRPr="008A2B8F" w:rsidRDefault="00BC5219" w:rsidP="00BC5219">
      <w:pPr>
        <w:spacing w:line="168" w:lineRule="auto"/>
        <w:rPr>
          <w:rFonts w:ascii="Meta Pro" w:eastAsia="Times New Roman" w:hAnsi="Meta Pro"/>
          <w:i/>
          <w:iCs/>
          <w:color w:val="000000" w:themeColor="text1"/>
          <w:lang w:eastAsia="en-AU"/>
        </w:rPr>
      </w:pPr>
      <w:r w:rsidRPr="008A2B8F">
        <w:rPr>
          <w:rFonts w:ascii="Meta Pro" w:eastAsia="Times New Roman" w:hAnsi="Meta Pro"/>
          <w:i/>
          <w:iCs/>
          <w:color w:val="000000" w:themeColor="text1"/>
          <w:lang w:eastAsia="en-AU"/>
        </w:rPr>
        <w:t>Department of Transport and Main Roads</w:t>
      </w:r>
    </w:p>
    <w:p w14:paraId="2CA61593"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Statement of assets and liabilities by major departmental services (continued)</w:t>
      </w:r>
    </w:p>
    <w:p w14:paraId="7A966624" w14:textId="77777777" w:rsidR="00BC5219" w:rsidRPr="009C55C2" w:rsidRDefault="00BC5219" w:rsidP="00BC5219">
      <w:pPr>
        <w:pBdr>
          <w:bottom w:val="single" w:sz="4" w:space="1" w:color="auto"/>
        </w:pBdr>
        <w:rPr>
          <w:rFonts w:ascii="Meta Pro" w:hAnsi="Meta Pro"/>
          <w:lang w:eastAsia="en-AU"/>
        </w:rPr>
      </w:pPr>
      <w:r w:rsidRPr="008A2B8F">
        <w:rPr>
          <w:rFonts w:ascii="Meta Pro" w:eastAsia="Times New Roman" w:hAnsi="Meta Pro"/>
          <w:color w:val="000000" w:themeColor="text1"/>
          <w:lang w:eastAsia="en-AU"/>
        </w:rPr>
        <w:t>for the year ended 30 June 2023</w:t>
      </w:r>
    </w:p>
    <w:tbl>
      <w:tblPr>
        <w:tblW w:w="0" w:type="auto"/>
        <w:tblCellMar>
          <w:left w:w="0" w:type="dxa"/>
        </w:tblCellMar>
        <w:tblLook w:val="04A0" w:firstRow="1" w:lastRow="0" w:firstColumn="1" w:lastColumn="0" w:noHBand="0" w:noVBand="1"/>
      </w:tblPr>
      <w:tblGrid>
        <w:gridCol w:w="205"/>
        <w:gridCol w:w="4314"/>
        <w:gridCol w:w="1407"/>
        <w:gridCol w:w="205"/>
        <w:gridCol w:w="1407"/>
        <w:gridCol w:w="205"/>
        <w:gridCol w:w="1407"/>
        <w:gridCol w:w="205"/>
        <w:gridCol w:w="1407"/>
        <w:gridCol w:w="205"/>
        <w:gridCol w:w="1407"/>
        <w:gridCol w:w="222"/>
        <w:gridCol w:w="1407"/>
      </w:tblGrid>
      <w:tr w:rsidR="00BC5219" w:rsidRPr="009C55C2" w14:paraId="43B948D7" w14:textId="77777777" w:rsidTr="00E83802">
        <w:trPr>
          <w:trHeight w:val="198"/>
        </w:trPr>
        <w:tc>
          <w:tcPr>
            <w:tcW w:w="198" w:type="dxa"/>
            <w:tcBorders>
              <w:top w:val="nil"/>
              <w:left w:val="nil"/>
              <w:bottom w:val="nil"/>
              <w:right w:val="nil"/>
            </w:tcBorders>
            <w:shd w:val="clear" w:color="auto" w:fill="auto"/>
            <w:noWrap/>
            <w:vAlign w:val="center"/>
            <w:hideMark/>
          </w:tcPr>
          <w:p w14:paraId="76D966B1" w14:textId="77777777" w:rsidR="00BC5219" w:rsidRPr="009C55C2" w:rsidRDefault="00BC5219" w:rsidP="00E83802">
            <w:pPr>
              <w:spacing w:before="120"/>
              <w:rPr>
                <w:rFonts w:ascii="Meta Pro" w:eastAsia="Times New Roman" w:hAnsi="Meta Pro" w:cs="Times New Roman"/>
                <w:sz w:val="24"/>
                <w:szCs w:val="24"/>
                <w:lang w:eastAsia="en-AU"/>
              </w:rPr>
            </w:pPr>
          </w:p>
        </w:tc>
        <w:tc>
          <w:tcPr>
            <w:tcW w:w="4366" w:type="dxa"/>
            <w:tcBorders>
              <w:top w:val="nil"/>
              <w:left w:val="nil"/>
              <w:bottom w:val="nil"/>
              <w:right w:val="nil"/>
            </w:tcBorders>
            <w:shd w:val="clear" w:color="auto" w:fill="auto"/>
            <w:noWrap/>
            <w:vAlign w:val="center"/>
            <w:hideMark/>
          </w:tcPr>
          <w:p w14:paraId="0D4578A2" w14:textId="77777777" w:rsidR="00BC5219" w:rsidRPr="009C55C2" w:rsidRDefault="00BC5219" w:rsidP="00E83802">
            <w:pPr>
              <w:spacing w:before="120"/>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hideMark/>
          </w:tcPr>
          <w:p w14:paraId="3D319AB8" w14:textId="77777777" w:rsidR="00BC5219" w:rsidRPr="009C55C2" w:rsidRDefault="00BC5219" w:rsidP="00E83802">
            <w:pPr>
              <w:spacing w:before="120"/>
              <w:jc w:val="center"/>
              <w:rPr>
                <w:rFonts w:ascii="Meta Pro" w:eastAsia="Times New Roman" w:hAnsi="Meta Pro"/>
                <w:b/>
                <w:bCs/>
                <w:sz w:val="16"/>
                <w:szCs w:val="16"/>
                <w:lang w:eastAsia="en-AU"/>
              </w:rPr>
            </w:pPr>
            <w:r w:rsidRPr="009C55C2">
              <w:rPr>
                <w:rFonts w:ascii="Meta Pro" w:eastAsia="Times New Roman" w:hAnsi="Meta Pro"/>
                <w:b/>
                <w:bCs/>
                <w:sz w:val="16"/>
                <w:szCs w:val="16"/>
                <w:lang w:eastAsia="en-AU"/>
              </w:rPr>
              <w:t>Customer and Digital Group</w:t>
            </w:r>
          </w:p>
        </w:tc>
        <w:tc>
          <w:tcPr>
            <w:tcW w:w="198" w:type="dxa"/>
            <w:tcBorders>
              <w:top w:val="nil"/>
              <w:left w:val="nil"/>
              <w:bottom w:val="nil"/>
              <w:right w:val="nil"/>
            </w:tcBorders>
            <w:shd w:val="clear" w:color="auto" w:fill="auto"/>
            <w:hideMark/>
          </w:tcPr>
          <w:p w14:paraId="330963B4" w14:textId="77777777" w:rsidR="00BC5219" w:rsidRPr="009C55C2" w:rsidRDefault="00BC5219" w:rsidP="00E83802">
            <w:pPr>
              <w:spacing w:before="120"/>
              <w:jc w:val="center"/>
              <w:rPr>
                <w:rFonts w:ascii="Meta Pro" w:eastAsia="Times New Roman" w:hAnsi="Meta Pro"/>
                <w:b/>
                <w:bCs/>
                <w:sz w:val="16"/>
                <w:szCs w:val="16"/>
                <w:lang w:eastAsia="en-AU"/>
              </w:rPr>
            </w:pPr>
          </w:p>
        </w:tc>
        <w:tc>
          <w:tcPr>
            <w:tcW w:w="1418" w:type="dxa"/>
            <w:tcBorders>
              <w:top w:val="nil"/>
              <w:left w:val="nil"/>
              <w:bottom w:val="nil"/>
              <w:right w:val="nil"/>
            </w:tcBorders>
            <w:shd w:val="clear" w:color="auto" w:fill="auto"/>
            <w:hideMark/>
          </w:tcPr>
          <w:p w14:paraId="0A42C896" w14:textId="77777777" w:rsidR="00BC5219" w:rsidRPr="009C55C2" w:rsidRDefault="00BC5219" w:rsidP="00E83802">
            <w:pPr>
              <w:spacing w:before="120"/>
              <w:jc w:val="center"/>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CITEC </w:t>
            </w:r>
          </w:p>
        </w:tc>
        <w:tc>
          <w:tcPr>
            <w:tcW w:w="198" w:type="dxa"/>
            <w:tcBorders>
              <w:top w:val="nil"/>
              <w:left w:val="nil"/>
              <w:bottom w:val="nil"/>
              <w:right w:val="nil"/>
            </w:tcBorders>
            <w:shd w:val="clear" w:color="auto" w:fill="auto"/>
            <w:hideMark/>
          </w:tcPr>
          <w:p w14:paraId="3F15CDF3" w14:textId="77777777" w:rsidR="00BC5219" w:rsidRPr="009C55C2" w:rsidRDefault="00BC5219" w:rsidP="00E83802">
            <w:pPr>
              <w:spacing w:before="120"/>
              <w:jc w:val="center"/>
              <w:rPr>
                <w:rFonts w:ascii="Meta Pro" w:eastAsia="Times New Roman" w:hAnsi="Meta Pro"/>
                <w:b/>
                <w:bCs/>
                <w:sz w:val="16"/>
                <w:szCs w:val="16"/>
                <w:lang w:eastAsia="en-AU"/>
              </w:rPr>
            </w:pPr>
          </w:p>
        </w:tc>
        <w:tc>
          <w:tcPr>
            <w:tcW w:w="1418" w:type="dxa"/>
            <w:tcBorders>
              <w:top w:val="nil"/>
              <w:left w:val="nil"/>
              <w:bottom w:val="nil"/>
              <w:right w:val="nil"/>
            </w:tcBorders>
            <w:shd w:val="clear" w:color="auto" w:fill="auto"/>
            <w:hideMark/>
          </w:tcPr>
          <w:p w14:paraId="428ACA9B" w14:textId="77777777" w:rsidR="00BC5219" w:rsidRPr="009C55C2" w:rsidRDefault="00BC5219" w:rsidP="00E83802">
            <w:pPr>
              <w:spacing w:before="120"/>
              <w:jc w:val="center"/>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Queensland Shared Services </w:t>
            </w:r>
          </w:p>
        </w:tc>
        <w:tc>
          <w:tcPr>
            <w:tcW w:w="198" w:type="dxa"/>
            <w:tcBorders>
              <w:top w:val="nil"/>
              <w:left w:val="nil"/>
              <w:bottom w:val="nil"/>
              <w:right w:val="nil"/>
            </w:tcBorders>
            <w:shd w:val="clear" w:color="auto" w:fill="auto"/>
            <w:hideMark/>
          </w:tcPr>
          <w:p w14:paraId="618B624A" w14:textId="77777777" w:rsidR="00BC5219" w:rsidRPr="009C55C2" w:rsidRDefault="00BC5219" w:rsidP="00E83802">
            <w:pPr>
              <w:spacing w:before="120"/>
              <w:jc w:val="center"/>
              <w:rPr>
                <w:rFonts w:ascii="Meta Pro" w:eastAsia="Times New Roman" w:hAnsi="Meta Pro"/>
                <w:b/>
                <w:bCs/>
                <w:sz w:val="16"/>
                <w:szCs w:val="16"/>
                <w:lang w:eastAsia="en-AU"/>
              </w:rPr>
            </w:pPr>
          </w:p>
        </w:tc>
        <w:tc>
          <w:tcPr>
            <w:tcW w:w="1418" w:type="dxa"/>
            <w:tcBorders>
              <w:top w:val="nil"/>
              <w:left w:val="nil"/>
              <w:bottom w:val="nil"/>
              <w:right w:val="nil"/>
            </w:tcBorders>
            <w:shd w:val="clear" w:color="auto" w:fill="auto"/>
            <w:hideMark/>
          </w:tcPr>
          <w:p w14:paraId="3B46A3C0" w14:textId="77777777" w:rsidR="00BC5219" w:rsidRPr="009C55C2" w:rsidRDefault="00BC5219" w:rsidP="00E83802">
            <w:pPr>
              <w:spacing w:before="120"/>
              <w:jc w:val="center"/>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Corporate Administration Agency </w:t>
            </w:r>
          </w:p>
        </w:tc>
        <w:tc>
          <w:tcPr>
            <w:tcW w:w="198" w:type="dxa"/>
            <w:tcBorders>
              <w:top w:val="nil"/>
              <w:left w:val="nil"/>
              <w:bottom w:val="nil"/>
              <w:right w:val="nil"/>
            </w:tcBorders>
            <w:shd w:val="clear" w:color="auto" w:fill="auto"/>
            <w:hideMark/>
          </w:tcPr>
          <w:p w14:paraId="2004C1B0" w14:textId="77777777" w:rsidR="00BC5219" w:rsidRPr="009C55C2" w:rsidRDefault="00BC5219" w:rsidP="00E83802">
            <w:pPr>
              <w:spacing w:before="120"/>
              <w:jc w:val="center"/>
              <w:rPr>
                <w:rFonts w:ascii="Meta Pro" w:eastAsia="Times New Roman" w:hAnsi="Meta Pro"/>
                <w:b/>
                <w:bCs/>
                <w:sz w:val="16"/>
                <w:szCs w:val="16"/>
                <w:lang w:eastAsia="en-AU"/>
              </w:rPr>
            </w:pPr>
          </w:p>
        </w:tc>
        <w:tc>
          <w:tcPr>
            <w:tcW w:w="1418" w:type="dxa"/>
            <w:tcBorders>
              <w:top w:val="nil"/>
              <w:left w:val="nil"/>
              <w:bottom w:val="nil"/>
              <w:right w:val="nil"/>
            </w:tcBorders>
            <w:shd w:val="clear" w:color="auto" w:fill="auto"/>
            <w:hideMark/>
          </w:tcPr>
          <w:p w14:paraId="7187349B" w14:textId="77777777" w:rsidR="00BC5219" w:rsidRPr="009C55C2" w:rsidRDefault="00BC5219" w:rsidP="00E83802">
            <w:pPr>
              <w:spacing w:before="120"/>
              <w:jc w:val="center"/>
              <w:rPr>
                <w:rFonts w:ascii="Meta Pro" w:eastAsia="Times New Roman" w:hAnsi="Meta Pro"/>
                <w:b/>
                <w:bCs/>
                <w:color w:val="000000"/>
                <w:sz w:val="16"/>
                <w:szCs w:val="16"/>
                <w:lang w:eastAsia="en-AU"/>
              </w:rPr>
            </w:pPr>
            <w:r w:rsidRPr="009C55C2">
              <w:rPr>
                <w:rFonts w:ascii="Meta Pro" w:eastAsia="Times New Roman" w:hAnsi="Meta Pro"/>
                <w:b/>
                <w:bCs/>
                <w:color w:val="000000"/>
                <w:sz w:val="16"/>
                <w:szCs w:val="16"/>
                <w:lang w:eastAsia="en-AU"/>
              </w:rPr>
              <w:t>Inter-service/unit</w:t>
            </w:r>
            <w:r w:rsidRPr="009C55C2">
              <w:rPr>
                <w:rFonts w:ascii="Meta Pro" w:eastAsia="Times New Roman" w:hAnsi="Meta Pro"/>
                <w:b/>
                <w:bCs/>
                <w:color w:val="000000"/>
                <w:sz w:val="16"/>
                <w:szCs w:val="16"/>
                <w:lang w:eastAsia="en-AU"/>
              </w:rPr>
              <w:br/>
              <w:t xml:space="preserve">eliminations </w:t>
            </w:r>
          </w:p>
        </w:tc>
        <w:tc>
          <w:tcPr>
            <w:tcW w:w="216" w:type="dxa"/>
            <w:tcBorders>
              <w:top w:val="nil"/>
              <w:left w:val="nil"/>
              <w:bottom w:val="nil"/>
              <w:right w:val="nil"/>
            </w:tcBorders>
            <w:shd w:val="clear" w:color="auto" w:fill="auto"/>
            <w:noWrap/>
            <w:hideMark/>
          </w:tcPr>
          <w:p w14:paraId="6AFA1CEF" w14:textId="77777777" w:rsidR="00BC5219" w:rsidRPr="009C55C2" w:rsidRDefault="00BC5219" w:rsidP="00E83802">
            <w:pPr>
              <w:spacing w:before="120"/>
              <w:jc w:val="center"/>
              <w:rPr>
                <w:rFonts w:ascii="Meta Pro" w:eastAsia="Times New Roman" w:hAnsi="Meta Pro"/>
                <w:b/>
                <w:bCs/>
                <w:color w:val="000000"/>
                <w:sz w:val="16"/>
                <w:szCs w:val="16"/>
                <w:lang w:eastAsia="en-AU"/>
              </w:rPr>
            </w:pPr>
          </w:p>
        </w:tc>
        <w:tc>
          <w:tcPr>
            <w:tcW w:w="1418" w:type="dxa"/>
            <w:tcBorders>
              <w:top w:val="nil"/>
              <w:left w:val="nil"/>
              <w:bottom w:val="nil"/>
              <w:right w:val="nil"/>
            </w:tcBorders>
            <w:shd w:val="clear" w:color="auto" w:fill="auto"/>
            <w:hideMark/>
          </w:tcPr>
          <w:p w14:paraId="1834FC21" w14:textId="77777777" w:rsidR="00BC5219" w:rsidRPr="009C55C2" w:rsidRDefault="00BC5219" w:rsidP="00E83802">
            <w:pPr>
              <w:spacing w:before="120"/>
              <w:jc w:val="center"/>
              <w:rPr>
                <w:rFonts w:ascii="Meta Pro" w:eastAsia="Times New Roman" w:hAnsi="Meta Pro"/>
                <w:b/>
                <w:bCs/>
                <w:sz w:val="16"/>
                <w:szCs w:val="16"/>
                <w:lang w:eastAsia="en-AU"/>
              </w:rPr>
            </w:pPr>
            <w:r w:rsidRPr="009C55C2">
              <w:rPr>
                <w:rFonts w:ascii="Meta Pro" w:eastAsia="Times New Roman" w:hAnsi="Meta Pro"/>
                <w:b/>
                <w:bCs/>
                <w:sz w:val="16"/>
                <w:szCs w:val="16"/>
                <w:lang w:eastAsia="en-AU"/>
              </w:rPr>
              <w:t>Total</w:t>
            </w:r>
            <w:r w:rsidRPr="009C55C2">
              <w:rPr>
                <w:rFonts w:ascii="Meta Pro" w:eastAsia="Times New Roman" w:hAnsi="Meta Pro"/>
                <w:b/>
                <w:bCs/>
                <w:sz w:val="16"/>
                <w:szCs w:val="16"/>
                <w:lang w:eastAsia="en-AU"/>
              </w:rPr>
              <w:br/>
              <w:t>Department</w:t>
            </w:r>
          </w:p>
        </w:tc>
      </w:tr>
      <w:tr w:rsidR="00BC5219" w:rsidRPr="009C55C2" w14:paraId="5A2B9DCD" w14:textId="77777777" w:rsidTr="00E83802">
        <w:trPr>
          <w:trHeight w:val="198"/>
        </w:trPr>
        <w:tc>
          <w:tcPr>
            <w:tcW w:w="198" w:type="dxa"/>
            <w:tcBorders>
              <w:top w:val="nil"/>
              <w:left w:val="nil"/>
              <w:bottom w:val="nil"/>
              <w:right w:val="nil"/>
            </w:tcBorders>
            <w:shd w:val="clear" w:color="auto" w:fill="auto"/>
            <w:noWrap/>
            <w:vAlign w:val="center"/>
            <w:hideMark/>
          </w:tcPr>
          <w:p w14:paraId="362C4B8E" w14:textId="77777777" w:rsidR="00BC5219" w:rsidRPr="009C55C2" w:rsidRDefault="00BC5219" w:rsidP="00E83802">
            <w:pPr>
              <w:jc w:val="center"/>
              <w:rPr>
                <w:rFonts w:ascii="Meta Pro" w:eastAsia="Times New Roman" w:hAnsi="Meta Pro"/>
                <w:b/>
                <w:bCs/>
                <w:sz w:val="16"/>
                <w:szCs w:val="16"/>
                <w:lang w:eastAsia="en-AU"/>
              </w:rPr>
            </w:pPr>
          </w:p>
        </w:tc>
        <w:tc>
          <w:tcPr>
            <w:tcW w:w="4366" w:type="dxa"/>
            <w:tcBorders>
              <w:top w:val="nil"/>
              <w:left w:val="nil"/>
              <w:bottom w:val="nil"/>
              <w:right w:val="nil"/>
            </w:tcBorders>
            <w:shd w:val="clear" w:color="auto" w:fill="auto"/>
            <w:noWrap/>
            <w:vAlign w:val="center"/>
            <w:hideMark/>
          </w:tcPr>
          <w:p w14:paraId="5C5B4C31" w14:textId="77777777" w:rsidR="00BC5219" w:rsidRPr="009C55C2" w:rsidRDefault="00BC5219" w:rsidP="00E83802">
            <w:pPr>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noWrap/>
            <w:vAlign w:val="center"/>
            <w:hideMark/>
          </w:tcPr>
          <w:p w14:paraId="3586EA30" w14:textId="77777777" w:rsidR="00BC5219" w:rsidRPr="009C55C2" w:rsidRDefault="00BC5219" w:rsidP="00E83802">
            <w:pPr>
              <w:jc w:val="center"/>
              <w:rPr>
                <w:rFonts w:ascii="Meta Pro" w:eastAsia="Times New Roman" w:hAnsi="Meta Pro"/>
                <w:b/>
                <w:bCs/>
                <w:sz w:val="16"/>
                <w:szCs w:val="16"/>
                <w:lang w:eastAsia="en-AU"/>
              </w:rPr>
            </w:pPr>
            <w:r w:rsidRPr="009C55C2">
              <w:rPr>
                <w:rFonts w:ascii="Meta Pro" w:eastAsia="Times New Roman" w:hAnsi="Meta Pro"/>
                <w:b/>
                <w:bCs/>
                <w:sz w:val="16"/>
                <w:szCs w:val="16"/>
                <w:lang w:eastAsia="en-AU"/>
              </w:rPr>
              <w:t>2023</w:t>
            </w:r>
          </w:p>
        </w:tc>
        <w:tc>
          <w:tcPr>
            <w:tcW w:w="198" w:type="dxa"/>
            <w:tcBorders>
              <w:top w:val="nil"/>
              <w:left w:val="nil"/>
              <w:bottom w:val="nil"/>
              <w:right w:val="nil"/>
            </w:tcBorders>
            <w:shd w:val="clear" w:color="auto" w:fill="auto"/>
            <w:noWrap/>
            <w:vAlign w:val="center"/>
            <w:hideMark/>
          </w:tcPr>
          <w:p w14:paraId="13D30CFB" w14:textId="77777777" w:rsidR="00BC5219" w:rsidRPr="009C55C2" w:rsidRDefault="00BC5219" w:rsidP="00E83802">
            <w:pPr>
              <w:jc w:val="center"/>
              <w:rPr>
                <w:rFonts w:ascii="Meta Pro" w:eastAsia="Times New Roman" w:hAnsi="Meta Pro"/>
                <w:b/>
                <w:bCs/>
                <w:sz w:val="16"/>
                <w:szCs w:val="16"/>
                <w:lang w:eastAsia="en-AU"/>
              </w:rPr>
            </w:pPr>
          </w:p>
        </w:tc>
        <w:tc>
          <w:tcPr>
            <w:tcW w:w="1418" w:type="dxa"/>
            <w:tcBorders>
              <w:top w:val="nil"/>
              <w:left w:val="nil"/>
              <w:bottom w:val="nil"/>
              <w:right w:val="nil"/>
            </w:tcBorders>
            <w:shd w:val="clear" w:color="auto" w:fill="auto"/>
            <w:noWrap/>
            <w:vAlign w:val="center"/>
            <w:hideMark/>
          </w:tcPr>
          <w:p w14:paraId="22A5AEFC" w14:textId="77777777" w:rsidR="00BC5219" w:rsidRPr="009C55C2" w:rsidRDefault="00BC5219" w:rsidP="00E83802">
            <w:pPr>
              <w:jc w:val="center"/>
              <w:rPr>
                <w:rFonts w:ascii="Meta Pro" w:eastAsia="Times New Roman" w:hAnsi="Meta Pro"/>
                <w:b/>
                <w:bCs/>
                <w:sz w:val="16"/>
                <w:szCs w:val="16"/>
                <w:lang w:eastAsia="en-AU"/>
              </w:rPr>
            </w:pPr>
            <w:r w:rsidRPr="009C55C2">
              <w:rPr>
                <w:rFonts w:ascii="Meta Pro" w:eastAsia="Times New Roman" w:hAnsi="Meta Pro"/>
                <w:b/>
                <w:bCs/>
                <w:sz w:val="16"/>
                <w:szCs w:val="16"/>
                <w:lang w:eastAsia="en-AU"/>
              </w:rPr>
              <w:t>2023</w:t>
            </w:r>
          </w:p>
        </w:tc>
        <w:tc>
          <w:tcPr>
            <w:tcW w:w="198" w:type="dxa"/>
            <w:tcBorders>
              <w:top w:val="nil"/>
              <w:left w:val="nil"/>
              <w:bottom w:val="nil"/>
              <w:right w:val="nil"/>
            </w:tcBorders>
            <w:shd w:val="clear" w:color="auto" w:fill="auto"/>
            <w:noWrap/>
            <w:vAlign w:val="center"/>
            <w:hideMark/>
          </w:tcPr>
          <w:p w14:paraId="4936BD0F" w14:textId="77777777" w:rsidR="00BC5219" w:rsidRPr="009C55C2" w:rsidRDefault="00BC5219" w:rsidP="00E83802">
            <w:pPr>
              <w:jc w:val="center"/>
              <w:rPr>
                <w:rFonts w:ascii="Meta Pro" w:eastAsia="Times New Roman" w:hAnsi="Meta Pro"/>
                <w:b/>
                <w:bCs/>
                <w:sz w:val="16"/>
                <w:szCs w:val="16"/>
                <w:lang w:eastAsia="en-AU"/>
              </w:rPr>
            </w:pPr>
          </w:p>
        </w:tc>
        <w:tc>
          <w:tcPr>
            <w:tcW w:w="1418" w:type="dxa"/>
            <w:tcBorders>
              <w:top w:val="nil"/>
              <w:left w:val="nil"/>
              <w:bottom w:val="nil"/>
              <w:right w:val="nil"/>
            </w:tcBorders>
            <w:shd w:val="clear" w:color="auto" w:fill="auto"/>
            <w:noWrap/>
            <w:vAlign w:val="center"/>
            <w:hideMark/>
          </w:tcPr>
          <w:p w14:paraId="53FFB52D" w14:textId="77777777" w:rsidR="00BC5219" w:rsidRPr="009C55C2" w:rsidRDefault="00BC5219" w:rsidP="00E83802">
            <w:pPr>
              <w:jc w:val="center"/>
              <w:rPr>
                <w:rFonts w:ascii="Meta Pro" w:eastAsia="Times New Roman" w:hAnsi="Meta Pro"/>
                <w:b/>
                <w:bCs/>
                <w:sz w:val="16"/>
                <w:szCs w:val="16"/>
                <w:lang w:eastAsia="en-AU"/>
              </w:rPr>
            </w:pPr>
            <w:r w:rsidRPr="009C55C2">
              <w:rPr>
                <w:rFonts w:ascii="Meta Pro" w:eastAsia="Times New Roman" w:hAnsi="Meta Pro"/>
                <w:b/>
                <w:bCs/>
                <w:sz w:val="16"/>
                <w:szCs w:val="16"/>
                <w:lang w:eastAsia="en-AU"/>
              </w:rPr>
              <w:t>2023</w:t>
            </w:r>
          </w:p>
        </w:tc>
        <w:tc>
          <w:tcPr>
            <w:tcW w:w="198" w:type="dxa"/>
            <w:tcBorders>
              <w:top w:val="nil"/>
              <w:left w:val="nil"/>
              <w:bottom w:val="nil"/>
              <w:right w:val="nil"/>
            </w:tcBorders>
            <w:shd w:val="clear" w:color="auto" w:fill="auto"/>
            <w:noWrap/>
            <w:vAlign w:val="center"/>
            <w:hideMark/>
          </w:tcPr>
          <w:p w14:paraId="13D65931" w14:textId="77777777" w:rsidR="00BC5219" w:rsidRPr="009C55C2" w:rsidRDefault="00BC5219" w:rsidP="00E83802">
            <w:pPr>
              <w:jc w:val="center"/>
              <w:rPr>
                <w:rFonts w:ascii="Meta Pro" w:eastAsia="Times New Roman" w:hAnsi="Meta Pro"/>
                <w:b/>
                <w:bCs/>
                <w:sz w:val="16"/>
                <w:szCs w:val="16"/>
                <w:lang w:eastAsia="en-AU"/>
              </w:rPr>
            </w:pPr>
          </w:p>
        </w:tc>
        <w:tc>
          <w:tcPr>
            <w:tcW w:w="1418" w:type="dxa"/>
            <w:tcBorders>
              <w:top w:val="nil"/>
              <w:left w:val="nil"/>
              <w:bottom w:val="nil"/>
              <w:right w:val="nil"/>
            </w:tcBorders>
            <w:shd w:val="clear" w:color="auto" w:fill="auto"/>
            <w:noWrap/>
            <w:vAlign w:val="center"/>
            <w:hideMark/>
          </w:tcPr>
          <w:p w14:paraId="2128581D" w14:textId="77777777" w:rsidR="00BC5219" w:rsidRPr="009C55C2" w:rsidRDefault="00BC5219" w:rsidP="00E83802">
            <w:pPr>
              <w:jc w:val="center"/>
              <w:rPr>
                <w:rFonts w:ascii="Meta Pro" w:eastAsia="Times New Roman" w:hAnsi="Meta Pro"/>
                <w:b/>
                <w:bCs/>
                <w:sz w:val="16"/>
                <w:szCs w:val="16"/>
                <w:lang w:eastAsia="en-AU"/>
              </w:rPr>
            </w:pPr>
            <w:r w:rsidRPr="009C55C2">
              <w:rPr>
                <w:rFonts w:ascii="Meta Pro" w:eastAsia="Times New Roman" w:hAnsi="Meta Pro"/>
                <w:b/>
                <w:bCs/>
                <w:sz w:val="16"/>
                <w:szCs w:val="16"/>
                <w:lang w:eastAsia="en-AU"/>
              </w:rPr>
              <w:t>2023</w:t>
            </w:r>
          </w:p>
        </w:tc>
        <w:tc>
          <w:tcPr>
            <w:tcW w:w="198" w:type="dxa"/>
            <w:tcBorders>
              <w:top w:val="nil"/>
              <w:left w:val="nil"/>
              <w:bottom w:val="nil"/>
              <w:right w:val="nil"/>
            </w:tcBorders>
            <w:shd w:val="clear" w:color="auto" w:fill="auto"/>
            <w:noWrap/>
            <w:vAlign w:val="center"/>
            <w:hideMark/>
          </w:tcPr>
          <w:p w14:paraId="23C90390" w14:textId="77777777" w:rsidR="00BC5219" w:rsidRPr="009C55C2" w:rsidRDefault="00BC5219" w:rsidP="00E83802">
            <w:pPr>
              <w:jc w:val="center"/>
              <w:rPr>
                <w:rFonts w:ascii="Meta Pro" w:eastAsia="Times New Roman" w:hAnsi="Meta Pro"/>
                <w:b/>
                <w:bCs/>
                <w:sz w:val="16"/>
                <w:szCs w:val="16"/>
                <w:lang w:eastAsia="en-AU"/>
              </w:rPr>
            </w:pPr>
          </w:p>
        </w:tc>
        <w:tc>
          <w:tcPr>
            <w:tcW w:w="1418" w:type="dxa"/>
            <w:tcBorders>
              <w:top w:val="nil"/>
              <w:left w:val="nil"/>
              <w:bottom w:val="nil"/>
              <w:right w:val="nil"/>
            </w:tcBorders>
            <w:shd w:val="clear" w:color="auto" w:fill="auto"/>
            <w:noWrap/>
            <w:vAlign w:val="center"/>
            <w:hideMark/>
          </w:tcPr>
          <w:p w14:paraId="719A7989" w14:textId="77777777" w:rsidR="00BC5219" w:rsidRPr="009C55C2" w:rsidRDefault="00BC5219" w:rsidP="00E83802">
            <w:pPr>
              <w:jc w:val="center"/>
              <w:rPr>
                <w:rFonts w:ascii="Meta Pro" w:eastAsia="Times New Roman" w:hAnsi="Meta Pro"/>
                <w:b/>
                <w:bCs/>
                <w:sz w:val="16"/>
                <w:szCs w:val="16"/>
                <w:lang w:eastAsia="en-AU"/>
              </w:rPr>
            </w:pPr>
            <w:r w:rsidRPr="009C55C2">
              <w:rPr>
                <w:rFonts w:ascii="Meta Pro" w:eastAsia="Times New Roman" w:hAnsi="Meta Pro"/>
                <w:b/>
                <w:bCs/>
                <w:sz w:val="16"/>
                <w:szCs w:val="16"/>
                <w:lang w:eastAsia="en-AU"/>
              </w:rPr>
              <w:t>2023</w:t>
            </w:r>
          </w:p>
        </w:tc>
        <w:tc>
          <w:tcPr>
            <w:tcW w:w="216" w:type="dxa"/>
            <w:tcBorders>
              <w:top w:val="nil"/>
              <w:left w:val="nil"/>
              <w:bottom w:val="nil"/>
              <w:right w:val="nil"/>
            </w:tcBorders>
            <w:shd w:val="clear" w:color="auto" w:fill="auto"/>
            <w:noWrap/>
            <w:vAlign w:val="center"/>
            <w:hideMark/>
          </w:tcPr>
          <w:p w14:paraId="4E356EE3" w14:textId="77777777" w:rsidR="00BC5219" w:rsidRPr="009C55C2" w:rsidRDefault="00BC5219" w:rsidP="00E83802">
            <w:pPr>
              <w:jc w:val="center"/>
              <w:rPr>
                <w:rFonts w:ascii="Meta Pro" w:eastAsia="Times New Roman" w:hAnsi="Meta Pro"/>
                <w:b/>
                <w:bCs/>
                <w:sz w:val="16"/>
                <w:szCs w:val="16"/>
                <w:lang w:eastAsia="en-AU"/>
              </w:rPr>
            </w:pPr>
          </w:p>
        </w:tc>
        <w:tc>
          <w:tcPr>
            <w:tcW w:w="1418" w:type="dxa"/>
            <w:tcBorders>
              <w:top w:val="nil"/>
              <w:left w:val="nil"/>
              <w:bottom w:val="nil"/>
              <w:right w:val="nil"/>
            </w:tcBorders>
            <w:shd w:val="clear" w:color="auto" w:fill="auto"/>
            <w:noWrap/>
            <w:vAlign w:val="center"/>
            <w:hideMark/>
          </w:tcPr>
          <w:p w14:paraId="72EBC684" w14:textId="77777777" w:rsidR="00BC5219" w:rsidRPr="009C55C2" w:rsidRDefault="00BC5219" w:rsidP="00E83802">
            <w:pPr>
              <w:jc w:val="center"/>
              <w:rPr>
                <w:rFonts w:ascii="Meta Pro" w:eastAsia="Times New Roman" w:hAnsi="Meta Pro"/>
                <w:b/>
                <w:bCs/>
                <w:sz w:val="16"/>
                <w:szCs w:val="16"/>
                <w:lang w:eastAsia="en-AU"/>
              </w:rPr>
            </w:pPr>
            <w:r w:rsidRPr="009C55C2">
              <w:rPr>
                <w:rFonts w:ascii="Meta Pro" w:eastAsia="Times New Roman" w:hAnsi="Meta Pro"/>
                <w:b/>
                <w:bCs/>
                <w:sz w:val="16"/>
                <w:szCs w:val="16"/>
                <w:lang w:eastAsia="en-AU"/>
              </w:rPr>
              <w:t>2023</w:t>
            </w:r>
          </w:p>
        </w:tc>
      </w:tr>
      <w:tr w:rsidR="00BC5219" w:rsidRPr="009C55C2" w14:paraId="0CFDDD84" w14:textId="77777777" w:rsidTr="00E83802">
        <w:trPr>
          <w:trHeight w:val="198"/>
        </w:trPr>
        <w:tc>
          <w:tcPr>
            <w:tcW w:w="4366" w:type="dxa"/>
            <w:gridSpan w:val="2"/>
            <w:tcBorders>
              <w:top w:val="nil"/>
              <w:left w:val="nil"/>
              <w:bottom w:val="nil"/>
              <w:right w:val="nil"/>
            </w:tcBorders>
            <w:shd w:val="clear" w:color="auto" w:fill="auto"/>
            <w:noWrap/>
            <w:vAlign w:val="center"/>
            <w:hideMark/>
          </w:tcPr>
          <w:p w14:paraId="5651B862" w14:textId="77777777" w:rsidR="00BC5219" w:rsidRPr="009C55C2" w:rsidRDefault="00BC5219" w:rsidP="00E83802">
            <w:pPr>
              <w:rPr>
                <w:rFonts w:ascii="Meta Pro" w:eastAsia="Times New Roman" w:hAnsi="Meta Pro"/>
                <w:b/>
                <w:bCs/>
                <w:sz w:val="16"/>
                <w:szCs w:val="16"/>
                <w:lang w:eastAsia="en-AU"/>
              </w:rPr>
            </w:pPr>
            <w:r w:rsidRPr="009C55C2">
              <w:rPr>
                <w:rFonts w:ascii="Meta Pro" w:eastAsia="Times New Roman" w:hAnsi="Meta Pro"/>
                <w:b/>
                <w:bCs/>
                <w:sz w:val="16"/>
                <w:szCs w:val="16"/>
                <w:lang w:eastAsia="en-AU"/>
              </w:rPr>
              <w:t>Assets</w:t>
            </w:r>
          </w:p>
        </w:tc>
        <w:tc>
          <w:tcPr>
            <w:tcW w:w="1418" w:type="dxa"/>
            <w:tcBorders>
              <w:top w:val="nil"/>
              <w:left w:val="nil"/>
              <w:bottom w:val="nil"/>
              <w:right w:val="nil"/>
            </w:tcBorders>
            <w:shd w:val="clear" w:color="auto" w:fill="auto"/>
            <w:noWrap/>
            <w:vAlign w:val="center"/>
            <w:hideMark/>
          </w:tcPr>
          <w:p w14:paraId="181B6B8F" w14:textId="77777777" w:rsidR="00BC5219" w:rsidRPr="009C55C2" w:rsidRDefault="00BC5219" w:rsidP="00E83802">
            <w:pPr>
              <w:jc w:val="center"/>
              <w:rPr>
                <w:rFonts w:ascii="Meta Pro" w:eastAsia="Times New Roman" w:hAnsi="Meta Pro"/>
                <w:b/>
                <w:bCs/>
                <w:sz w:val="16"/>
                <w:szCs w:val="16"/>
                <w:lang w:eastAsia="en-AU"/>
              </w:rPr>
            </w:pPr>
            <w:r w:rsidRPr="009C55C2">
              <w:rPr>
                <w:rFonts w:ascii="Meta Pro" w:eastAsia="Times New Roman" w:hAnsi="Meta Pro"/>
                <w:b/>
                <w:bCs/>
                <w:sz w:val="16"/>
                <w:szCs w:val="16"/>
                <w:lang w:eastAsia="en-AU"/>
              </w:rPr>
              <w:t>$'000</w:t>
            </w:r>
          </w:p>
        </w:tc>
        <w:tc>
          <w:tcPr>
            <w:tcW w:w="198" w:type="dxa"/>
            <w:tcBorders>
              <w:top w:val="nil"/>
              <w:left w:val="nil"/>
              <w:bottom w:val="nil"/>
              <w:right w:val="nil"/>
            </w:tcBorders>
            <w:shd w:val="clear" w:color="auto" w:fill="auto"/>
            <w:noWrap/>
            <w:vAlign w:val="center"/>
            <w:hideMark/>
          </w:tcPr>
          <w:p w14:paraId="6EFA0C43" w14:textId="77777777" w:rsidR="00BC5219" w:rsidRPr="009C55C2" w:rsidRDefault="00BC5219" w:rsidP="00E83802">
            <w:pPr>
              <w:jc w:val="center"/>
              <w:rPr>
                <w:rFonts w:ascii="Meta Pro" w:eastAsia="Times New Roman" w:hAnsi="Meta Pro"/>
                <w:b/>
                <w:bCs/>
                <w:sz w:val="16"/>
                <w:szCs w:val="16"/>
                <w:lang w:eastAsia="en-AU"/>
              </w:rPr>
            </w:pPr>
          </w:p>
        </w:tc>
        <w:tc>
          <w:tcPr>
            <w:tcW w:w="1418" w:type="dxa"/>
            <w:tcBorders>
              <w:top w:val="nil"/>
              <w:left w:val="nil"/>
              <w:bottom w:val="nil"/>
              <w:right w:val="nil"/>
            </w:tcBorders>
            <w:shd w:val="clear" w:color="auto" w:fill="auto"/>
            <w:noWrap/>
            <w:vAlign w:val="center"/>
            <w:hideMark/>
          </w:tcPr>
          <w:p w14:paraId="09B552D7" w14:textId="77777777" w:rsidR="00BC5219" w:rsidRPr="009C55C2" w:rsidRDefault="00BC5219" w:rsidP="00E83802">
            <w:pPr>
              <w:jc w:val="center"/>
              <w:rPr>
                <w:rFonts w:ascii="Meta Pro" w:eastAsia="Times New Roman" w:hAnsi="Meta Pro"/>
                <w:b/>
                <w:bCs/>
                <w:sz w:val="16"/>
                <w:szCs w:val="16"/>
                <w:lang w:eastAsia="en-AU"/>
              </w:rPr>
            </w:pPr>
            <w:r w:rsidRPr="009C55C2">
              <w:rPr>
                <w:rFonts w:ascii="Meta Pro" w:eastAsia="Times New Roman" w:hAnsi="Meta Pro"/>
                <w:b/>
                <w:bCs/>
                <w:sz w:val="16"/>
                <w:szCs w:val="16"/>
                <w:lang w:eastAsia="en-AU"/>
              </w:rPr>
              <w:t>$'000</w:t>
            </w:r>
          </w:p>
        </w:tc>
        <w:tc>
          <w:tcPr>
            <w:tcW w:w="198" w:type="dxa"/>
            <w:tcBorders>
              <w:top w:val="nil"/>
              <w:left w:val="nil"/>
              <w:bottom w:val="nil"/>
              <w:right w:val="nil"/>
            </w:tcBorders>
            <w:shd w:val="clear" w:color="auto" w:fill="auto"/>
            <w:noWrap/>
            <w:vAlign w:val="center"/>
            <w:hideMark/>
          </w:tcPr>
          <w:p w14:paraId="0C37B62F" w14:textId="77777777" w:rsidR="00BC5219" w:rsidRPr="009C55C2" w:rsidRDefault="00BC5219" w:rsidP="00E83802">
            <w:pPr>
              <w:jc w:val="center"/>
              <w:rPr>
                <w:rFonts w:ascii="Meta Pro" w:eastAsia="Times New Roman" w:hAnsi="Meta Pro"/>
                <w:b/>
                <w:bCs/>
                <w:sz w:val="16"/>
                <w:szCs w:val="16"/>
                <w:lang w:eastAsia="en-AU"/>
              </w:rPr>
            </w:pPr>
          </w:p>
        </w:tc>
        <w:tc>
          <w:tcPr>
            <w:tcW w:w="1418" w:type="dxa"/>
            <w:tcBorders>
              <w:top w:val="nil"/>
              <w:left w:val="nil"/>
              <w:bottom w:val="nil"/>
              <w:right w:val="nil"/>
            </w:tcBorders>
            <w:shd w:val="clear" w:color="auto" w:fill="auto"/>
            <w:noWrap/>
            <w:vAlign w:val="center"/>
            <w:hideMark/>
          </w:tcPr>
          <w:p w14:paraId="5054E5C4" w14:textId="77777777" w:rsidR="00BC5219" w:rsidRPr="009C55C2" w:rsidRDefault="00BC5219" w:rsidP="00E83802">
            <w:pPr>
              <w:jc w:val="center"/>
              <w:rPr>
                <w:rFonts w:ascii="Meta Pro" w:eastAsia="Times New Roman" w:hAnsi="Meta Pro"/>
                <w:b/>
                <w:bCs/>
                <w:sz w:val="16"/>
                <w:szCs w:val="16"/>
                <w:lang w:eastAsia="en-AU"/>
              </w:rPr>
            </w:pPr>
            <w:r w:rsidRPr="009C55C2">
              <w:rPr>
                <w:rFonts w:ascii="Meta Pro" w:eastAsia="Times New Roman" w:hAnsi="Meta Pro"/>
                <w:b/>
                <w:bCs/>
                <w:sz w:val="16"/>
                <w:szCs w:val="16"/>
                <w:lang w:eastAsia="en-AU"/>
              </w:rPr>
              <w:t>$'000</w:t>
            </w:r>
          </w:p>
        </w:tc>
        <w:tc>
          <w:tcPr>
            <w:tcW w:w="198" w:type="dxa"/>
            <w:tcBorders>
              <w:top w:val="nil"/>
              <w:left w:val="nil"/>
              <w:bottom w:val="nil"/>
              <w:right w:val="nil"/>
            </w:tcBorders>
            <w:shd w:val="clear" w:color="auto" w:fill="auto"/>
            <w:noWrap/>
            <w:vAlign w:val="center"/>
            <w:hideMark/>
          </w:tcPr>
          <w:p w14:paraId="63FF6EFC" w14:textId="77777777" w:rsidR="00BC5219" w:rsidRPr="009C55C2" w:rsidRDefault="00BC5219" w:rsidP="00E83802">
            <w:pPr>
              <w:jc w:val="center"/>
              <w:rPr>
                <w:rFonts w:ascii="Meta Pro" w:eastAsia="Times New Roman" w:hAnsi="Meta Pro"/>
                <w:b/>
                <w:bCs/>
                <w:sz w:val="16"/>
                <w:szCs w:val="16"/>
                <w:lang w:eastAsia="en-AU"/>
              </w:rPr>
            </w:pPr>
          </w:p>
        </w:tc>
        <w:tc>
          <w:tcPr>
            <w:tcW w:w="1418" w:type="dxa"/>
            <w:tcBorders>
              <w:top w:val="nil"/>
              <w:left w:val="nil"/>
              <w:bottom w:val="nil"/>
              <w:right w:val="nil"/>
            </w:tcBorders>
            <w:shd w:val="clear" w:color="auto" w:fill="auto"/>
            <w:noWrap/>
            <w:vAlign w:val="center"/>
            <w:hideMark/>
          </w:tcPr>
          <w:p w14:paraId="5951B122" w14:textId="77777777" w:rsidR="00BC5219" w:rsidRPr="009C55C2" w:rsidRDefault="00BC5219" w:rsidP="00E83802">
            <w:pPr>
              <w:jc w:val="center"/>
              <w:rPr>
                <w:rFonts w:ascii="Meta Pro" w:eastAsia="Times New Roman" w:hAnsi="Meta Pro"/>
                <w:b/>
                <w:bCs/>
                <w:sz w:val="16"/>
                <w:szCs w:val="16"/>
                <w:lang w:eastAsia="en-AU"/>
              </w:rPr>
            </w:pPr>
            <w:r w:rsidRPr="009C55C2">
              <w:rPr>
                <w:rFonts w:ascii="Meta Pro" w:eastAsia="Times New Roman" w:hAnsi="Meta Pro"/>
                <w:b/>
                <w:bCs/>
                <w:sz w:val="16"/>
                <w:szCs w:val="16"/>
                <w:lang w:eastAsia="en-AU"/>
              </w:rPr>
              <w:t>$'000</w:t>
            </w:r>
          </w:p>
        </w:tc>
        <w:tc>
          <w:tcPr>
            <w:tcW w:w="198" w:type="dxa"/>
            <w:tcBorders>
              <w:top w:val="nil"/>
              <w:left w:val="nil"/>
              <w:bottom w:val="nil"/>
              <w:right w:val="nil"/>
            </w:tcBorders>
            <w:shd w:val="clear" w:color="auto" w:fill="auto"/>
            <w:noWrap/>
            <w:vAlign w:val="center"/>
            <w:hideMark/>
          </w:tcPr>
          <w:p w14:paraId="2E053B4C" w14:textId="77777777" w:rsidR="00BC5219" w:rsidRPr="009C55C2" w:rsidRDefault="00BC5219" w:rsidP="00E83802">
            <w:pPr>
              <w:jc w:val="center"/>
              <w:rPr>
                <w:rFonts w:ascii="Meta Pro" w:eastAsia="Times New Roman" w:hAnsi="Meta Pro"/>
                <w:b/>
                <w:bCs/>
                <w:sz w:val="16"/>
                <w:szCs w:val="16"/>
                <w:lang w:eastAsia="en-AU"/>
              </w:rPr>
            </w:pPr>
          </w:p>
        </w:tc>
        <w:tc>
          <w:tcPr>
            <w:tcW w:w="1418" w:type="dxa"/>
            <w:tcBorders>
              <w:top w:val="nil"/>
              <w:left w:val="nil"/>
              <w:bottom w:val="nil"/>
              <w:right w:val="nil"/>
            </w:tcBorders>
            <w:shd w:val="clear" w:color="auto" w:fill="auto"/>
            <w:noWrap/>
            <w:vAlign w:val="center"/>
            <w:hideMark/>
          </w:tcPr>
          <w:p w14:paraId="19C09333" w14:textId="77777777" w:rsidR="00BC5219" w:rsidRPr="009C55C2" w:rsidRDefault="00BC5219" w:rsidP="00E83802">
            <w:pPr>
              <w:jc w:val="center"/>
              <w:rPr>
                <w:rFonts w:ascii="Meta Pro" w:eastAsia="Times New Roman" w:hAnsi="Meta Pro"/>
                <w:b/>
                <w:bCs/>
                <w:sz w:val="16"/>
                <w:szCs w:val="16"/>
                <w:lang w:eastAsia="en-AU"/>
              </w:rPr>
            </w:pPr>
            <w:r w:rsidRPr="009C55C2">
              <w:rPr>
                <w:rFonts w:ascii="Meta Pro" w:eastAsia="Times New Roman" w:hAnsi="Meta Pro"/>
                <w:b/>
                <w:bCs/>
                <w:sz w:val="16"/>
                <w:szCs w:val="16"/>
                <w:lang w:eastAsia="en-AU"/>
              </w:rPr>
              <w:t>$'000</w:t>
            </w:r>
          </w:p>
        </w:tc>
        <w:tc>
          <w:tcPr>
            <w:tcW w:w="216" w:type="dxa"/>
            <w:tcBorders>
              <w:top w:val="nil"/>
              <w:left w:val="nil"/>
              <w:bottom w:val="nil"/>
              <w:right w:val="nil"/>
            </w:tcBorders>
            <w:shd w:val="clear" w:color="auto" w:fill="auto"/>
            <w:noWrap/>
            <w:vAlign w:val="center"/>
            <w:hideMark/>
          </w:tcPr>
          <w:p w14:paraId="0BDBD509" w14:textId="77777777" w:rsidR="00BC5219" w:rsidRPr="009C55C2" w:rsidRDefault="00BC5219" w:rsidP="00E83802">
            <w:pPr>
              <w:jc w:val="center"/>
              <w:rPr>
                <w:rFonts w:ascii="Meta Pro" w:eastAsia="Times New Roman" w:hAnsi="Meta Pro"/>
                <w:b/>
                <w:bCs/>
                <w:sz w:val="16"/>
                <w:szCs w:val="16"/>
                <w:lang w:eastAsia="en-AU"/>
              </w:rPr>
            </w:pPr>
          </w:p>
        </w:tc>
        <w:tc>
          <w:tcPr>
            <w:tcW w:w="1418" w:type="dxa"/>
            <w:tcBorders>
              <w:top w:val="nil"/>
              <w:left w:val="nil"/>
              <w:bottom w:val="nil"/>
              <w:right w:val="nil"/>
            </w:tcBorders>
            <w:shd w:val="clear" w:color="auto" w:fill="auto"/>
            <w:noWrap/>
            <w:vAlign w:val="center"/>
            <w:hideMark/>
          </w:tcPr>
          <w:p w14:paraId="0B887504" w14:textId="77777777" w:rsidR="00BC5219" w:rsidRPr="009C55C2" w:rsidRDefault="00BC5219" w:rsidP="00E83802">
            <w:pPr>
              <w:jc w:val="center"/>
              <w:rPr>
                <w:rFonts w:ascii="Meta Pro" w:eastAsia="Times New Roman" w:hAnsi="Meta Pro"/>
                <w:b/>
                <w:bCs/>
                <w:sz w:val="16"/>
                <w:szCs w:val="16"/>
                <w:lang w:eastAsia="en-AU"/>
              </w:rPr>
            </w:pPr>
            <w:r w:rsidRPr="009C55C2">
              <w:rPr>
                <w:rFonts w:ascii="Meta Pro" w:eastAsia="Times New Roman" w:hAnsi="Meta Pro"/>
                <w:b/>
                <w:bCs/>
                <w:sz w:val="16"/>
                <w:szCs w:val="16"/>
                <w:lang w:eastAsia="en-AU"/>
              </w:rPr>
              <w:t>$'000</w:t>
            </w:r>
          </w:p>
        </w:tc>
      </w:tr>
      <w:tr w:rsidR="00BC5219" w:rsidRPr="009C55C2" w14:paraId="5B2222EA" w14:textId="77777777" w:rsidTr="00E83802">
        <w:trPr>
          <w:trHeight w:val="198"/>
        </w:trPr>
        <w:tc>
          <w:tcPr>
            <w:tcW w:w="4366" w:type="dxa"/>
            <w:gridSpan w:val="2"/>
            <w:tcBorders>
              <w:top w:val="nil"/>
              <w:left w:val="nil"/>
              <w:bottom w:val="nil"/>
              <w:right w:val="nil"/>
            </w:tcBorders>
            <w:shd w:val="clear" w:color="auto" w:fill="auto"/>
            <w:noWrap/>
            <w:vAlign w:val="center"/>
            <w:hideMark/>
          </w:tcPr>
          <w:p w14:paraId="0227DA3D" w14:textId="77777777" w:rsidR="00BC5219" w:rsidRPr="009C55C2" w:rsidRDefault="00BC5219" w:rsidP="00E83802">
            <w:pPr>
              <w:rPr>
                <w:rFonts w:ascii="Meta Pro" w:eastAsia="Times New Roman" w:hAnsi="Meta Pro"/>
                <w:b/>
                <w:bCs/>
                <w:sz w:val="16"/>
                <w:szCs w:val="16"/>
                <w:lang w:eastAsia="en-AU"/>
              </w:rPr>
            </w:pPr>
            <w:r w:rsidRPr="009C55C2">
              <w:rPr>
                <w:rFonts w:ascii="Meta Pro" w:eastAsia="Times New Roman" w:hAnsi="Meta Pro"/>
                <w:b/>
                <w:bCs/>
                <w:sz w:val="16"/>
                <w:szCs w:val="16"/>
                <w:lang w:eastAsia="en-AU"/>
              </w:rPr>
              <w:t>Current assets</w:t>
            </w:r>
          </w:p>
        </w:tc>
        <w:tc>
          <w:tcPr>
            <w:tcW w:w="1418" w:type="dxa"/>
            <w:tcBorders>
              <w:top w:val="nil"/>
              <w:left w:val="nil"/>
              <w:bottom w:val="nil"/>
              <w:right w:val="nil"/>
            </w:tcBorders>
            <w:shd w:val="clear" w:color="auto" w:fill="auto"/>
            <w:noWrap/>
            <w:vAlign w:val="center"/>
            <w:hideMark/>
          </w:tcPr>
          <w:p w14:paraId="4DEBFC00" w14:textId="77777777" w:rsidR="00BC5219" w:rsidRPr="009C55C2" w:rsidRDefault="00BC5219" w:rsidP="00E83802">
            <w:pPr>
              <w:rPr>
                <w:rFonts w:ascii="Meta Pro" w:eastAsia="Times New Roman" w:hAnsi="Meta Pro"/>
                <w:b/>
                <w:bCs/>
                <w:sz w:val="16"/>
                <w:szCs w:val="16"/>
                <w:lang w:eastAsia="en-AU"/>
              </w:rPr>
            </w:pPr>
          </w:p>
        </w:tc>
        <w:tc>
          <w:tcPr>
            <w:tcW w:w="198" w:type="dxa"/>
            <w:tcBorders>
              <w:top w:val="nil"/>
              <w:left w:val="nil"/>
              <w:bottom w:val="nil"/>
              <w:right w:val="nil"/>
            </w:tcBorders>
            <w:shd w:val="clear" w:color="auto" w:fill="auto"/>
            <w:noWrap/>
            <w:vAlign w:val="center"/>
            <w:hideMark/>
          </w:tcPr>
          <w:p w14:paraId="712F5B6C" w14:textId="77777777" w:rsidR="00BC5219" w:rsidRPr="009C55C2" w:rsidRDefault="00BC5219" w:rsidP="00E83802">
            <w:pPr>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noWrap/>
            <w:vAlign w:val="center"/>
            <w:hideMark/>
          </w:tcPr>
          <w:p w14:paraId="40D343C2" w14:textId="77777777" w:rsidR="00BC5219" w:rsidRPr="009C55C2" w:rsidRDefault="00BC5219" w:rsidP="00E83802">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03DB3755" w14:textId="77777777" w:rsidR="00BC5219" w:rsidRPr="009C55C2" w:rsidRDefault="00BC5219" w:rsidP="00E83802">
            <w:pPr>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noWrap/>
            <w:vAlign w:val="center"/>
            <w:hideMark/>
          </w:tcPr>
          <w:p w14:paraId="0BE660CB" w14:textId="77777777" w:rsidR="00BC5219" w:rsidRPr="009C55C2" w:rsidRDefault="00BC5219" w:rsidP="00E83802">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201C05F8" w14:textId="77777777" w:rsidR="00BC5219" w:rsidRPr="009C55C2" w:rsidRDefault="00BC5219" w:rsidP="00E83802">
            <w:pPr>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noWrap/>
            <w:vAlign w:val="center"/>
            <w:hideMark/>
          </w:tcPr>
          <w:p w14:paraId="6E1DB3BD" w14:textId="77777777" w:rsidR="00BC5219" w:rsidRPr="009C55C2" w:rsidRDefault="00BC5219" w:rsidP="00E83802">
            <w:pPr>
              <w:jc w:val="right"/>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04853FCB" w14:textId="77777777" w:rsidR="00BC5219" w:rsidRPr="009C55C2" w:rsidRDefault="00BC5219" w:rsidP="00E83802">
            <w:pPr>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noWrap/>
            <w:vAlign w:val="center"/>
            <w:hideMark/>
          </w:tcPr>
          <w:p w14:paraId="06ECF20B" w14:textId="77777777" w:rsidR="00BC5219" w:rsidRPr="009C55C2" w:rsidRDefault="00BC5219" w:rsidP="00E83802">
            <w:pPr>
              <w:jc w:val="right"/>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4B0E3250" w14:textId="77777777" w:rsidR="00BC5219" w:rsidRPr="009C55C2" w:rsidRDefault="00BC5219" w:rsidP="00E83802">
            <w:pPr>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noWrap/>
            <w:vAlign w:val="center"/>
            <w:hideMark/>
          </w:tcPr>
          <w:p w14:paraId="7AAD083E" w14:textId="77777777" w:rsidR="00BC5219" w:rsidRPr="009C55C2" w:rsidRDefault="00BC5219" w:rsidP="00E83802">
            <w:pPr>
              <w:jc w:val="right"/>
              <w:rPr>
                <w:rFonts w:ascii="Meta Pro" w:eastAsia="Times New Roman" w:hAnsi="Meta Pro" w:cs="Times New Roman"/>
                <w:sz w:val="20"/>
                <w:szCs w:val="20"/>
                <w:lang w:eastAsia="en-AU"/>
              </w:rPr>
            </w:pPr>
          </w:p>
        </w:tc>
      </w:tr>
      <w:tr w:rsidR="00BC5219" w:rsidRPr="009C55C2" w14:paraId="7CE7C7C0" w14:textId="77777777" w:rsidTr="00E83802">
        <w:trPr>
          <w:trHeight w:val="198"/>
        </w:trPr>
        <w:tc>
          <w:tcPr>
            <w:tcW w:w="198" w:type="dxa"/>
            <w:tcBorders>
              <w:top w:val="nil"/>
              <w:left w:val="nil"/>
              <w:bottom w:val="nil"/>
              <w:right w:val="nil"/>
            </w:tcBorders>
            <w:shd w:val="clear" w:color="auto" w:fill="auto"/>
            <w:noWrap/>
            <w:vAlign w:val="center"/>
            <w:hideMark/>
          </w:tcPr>
          <w:p w14:paraId="47A25688" w14:textId="77777777" w:rsidR="00BC5219" w:rsidRPr="009C55C2" w:rsidRDefault="00BC5219" w:rsidP="00E83802">
            <w:pPr>
              <w:rPr>
                <w:rFonts w:ascii="Meta Pro" w:eastAsia="Times New Roman" w:hAnsi="Meta Pro" w:cs="Times New Roman"/>
                <w:sz w:val="20"/>
                <w:szCs w:val="20"/>
                <w:lang w:eastAsia="en-AU"/>
              </w:rPr>
            </w:pPr>
          </w:p>
        </w:tc>
        <w:tc>
          <w:tcPr>
            <w:tcW w:w="4366" w:type="dxa"/>
            <w:tcBorders>
              <w:top w:val="nil"/>
              <w:left w:val="nil"/>
              <w:bottom w:val="nil"/>
              <w:right w:val="nil"/>
            </w:tcBorders>
            <w:shd w:val="clear" w:color="auto" w:fill="auto"/>
            <w:noWrap/>
            <w:vAlign w:val="center"/>
            <w:hideMark/>
          </w:tcPr>
          <w:p w14:paraId="39DE6BFC"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Cash</w:t>
            </w:r>
          </w:p>
        </w:tc>
        <w:tc>
          <w:tcPr>
            <w:tcW w:w="1418" w:type="dxa"/>
            <w:tcBorders>
              <w:top w:val="nil"/>
              <w:left w:val="nil"/>
              <w:bottom w:val="nil"/>
              <w:right w:val="nil"/>
            </w:tcBorders>
            <w:shd w:val="clear" w:color="000000" w:fill="C9E3B4"/>
            <w:noWrap/>
            <w:vAlign w:val="center"/>
            <w:hideMark/>
          </w:tcPr>
          <w:p w14:paraId="24E16E74"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8,391 </w:t>
            </w:r>
          </w:p>
        </w:tc>
        <w:tc>
          <w:tcPr>
            <w:tcW w:w="198" w:type="dxa"/>
            <w:tcBorders>
              <w:top w:val="nil"/>
              <w:left w:val="nil"/>
              <w:bottom w:val="nil"/>
              <w:right w:val="nil"/>
            </w:tcBorders>
            <w:shd w:val="clear" w:color="auto" w:fill="auto"/>
            <w:noWrap/>
            <w:vAlign w:val="center"/>
            <w:hideMark/>
          </w:tcPr>
          <w:p w14:paraId="77570BB0"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61685DF0"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11,956 </w:t>
            </w:r>
          </w:p>
        </w:tc>
        <w:tc>
          <w:tcPr>
            <w:tcW w:w="198" w:type="dxa"/>
            <w:tcBorders>
              <w:top w:val="nil"/>
              <w:left w:val="nil"/>
              <w:bottom w:val="nil"/>
              <w:right w:val="nil"/>
            </w:tcBorders>
            <w:shd w:val="clear" w:color="auto" w:fill="auto"/>
            <w:noWrap/>
            <w:vAlign w:val="center"/>
            <w:hideMark/>
          </w:tcPr>
          <w:p w14:paraId="7BE8BBE4"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2A7D15C3"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45,573 </w:t>
            </w:r>
          </w:p>
        </w:tc>
        <w:tc>
          <w:tcPr>
            <w:tcW w:w="198" w:type="dxa"/>
            <w:tcBorders>
              <w:top w:val="nil"/>
              <w:left w:val="nil"/>
              <w:bottom w:val="nil"/>
              <w:right w:val="nil"/>
            </w:tcBorders>
            <w:shd w:val="clear" w:color="auto" w:fill="auto"/>
            <w:noWrap/>
            <w:vAlign w:val="center"/>
            <w:hideMark/>
          </w:tcPr>
          <w:p w14:paraId="1BB89E1A"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4961122"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2,938 </w:t>
            </w:r>
          </w:p>
        </w:tc>
        <w:tc>
          <w:tcPr>
            <w:tcW w:w="198" w:type="dxa"/>
            <w:tcBorders>
              <w:top w:val="nil"/>
              <w:left w:val="nil"/>
              <w:bottom w:val="nil"/>
              <w:right w:val="nil"/>
            </w:tcBorders>
            <w:shd w:val="clear" w:color="auto" w:fill="auto"/>
            <w:noWrap/>
            <w:vAlign w:val="center"/>
            <w:hideMark/>
          </w:tcPr>
          <w:p w14:paraId="5C1BF5FB"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37B8739A"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216" w:type="dxa"/>
            <w:tcBorders>
              <w:top w:val="nil"/>
              <w:left w:val="nil"/>
              <w:bottom w:val="nil"/>
              <w:right w:val="nil"/>
            </w:tcBorders>
            <w:shd w:val="clear" w:color="auto" w:fill="auto"/>
            <w:noWrap/>
            <w:vAlign w:val="center"/>
            <w:hideMark/>
          </w:tcPr>
          <w:p w14:paraId="3A37B77C"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686D00A"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670,102 </w:t>
            </w:r>
          </w:p>
        </w:tc>
      </w:tr>
      <w:tr w:rsidR="00BC5219" w:rsidRPr="009C55C2" w14:paraId="7C42373D" w14:textId="77777777" w:rsidTr="00E83802">
        <w:trPr>
          <w:trHeight w:val="198"/>
        </w:trPr>
        <w:tc>
          <w:tcPr>
            <w:tcW w:w="198" w:type="dxa"/>
            <w:tcBorders>
              <w:top w:val="nil"/>
              <w:left w:val="nil"/>
              <w:bottom w:val="nil"/>
              <w:right w:val="nil"/>
            </w:tcBorders>
            <w:shd w:val="clear" w:color="auto" w:fill="auto"/>
            <w:noWrap/>
            <w:vAlign w:val="center"/>
            <w:hideMark/>
          </w:tcPr>
          <w:p w14:paraId="62E712D3"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55CA0F14"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Receivables</w:t>
            </w:r>
          </w:p>
        </w:tc>
        <w:tc>
          <w:tcPr>
            <w:tcW w:w="1418" w:type="dxa"/>
            <w:tcBorders>
              <w:top w:val="nil"/>
              <w:left w:val="nil"/>
              <w:bottom w:val="nil"/>
              <w:right w:val="nil"/>
            </w:tcBorders>
            <w:shd w:val="clear" w:color="000000" w:fill="C9E3B4"/>
            <w:noWrap/>
            <w:vAlign w:val="center"/>
            <w:hideMark/>
          </w:tcPr>
          <w:p w14:paraId="43B157B8"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23,391 </w:t>
            </w:r>
          </w:p>
        </w:tc>
        <w:tc>
          <w:tcPr>
            <w:tcW w:w="198" w:type="dxa"/>
            <w:tcBorders>
              <w:top w:val="nil"/>
              <w:left w:val="nil"/>
              <w:bottom w:val="nil"/>
              <w:right w:val="nil"/>
            </w:tcBorders>
            <w:shd w:val="clear" w:color="auto" w:fill="auto"/>
            <w:noWrap/>
            <w:vAlign w:val="center"/>
            <w:hideMark/>
          </w:tcPr>
          <w:p w14:paraId="057F0570"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75005A1F"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15,036 </w:t>
            </w:r>
          </w:p>
        </w:tc>
        <w:tc>
          <w:tcPr>
            <w:tcW w:w="198" w:type="dxa"/>
            <w:tcBorders>
              <w:top w:val="nil"/>
              <w:left w:val="nil"/>
              <w:bottom w:val="nil"/>
              <w:right w:val="nil"/>
            </w:tcBorders>
            <w:shd w:val="clear" w:color="auto" w:fill="auto"/>
            <w:noWrap/>
            <w:vAlign w:val="center"/>
            <w:hideMark/>
          </w:tcPr>
          <w:p w14:paraId="298E5F8F"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55F4B402"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11,740 </w:t>
            </w:r>
          </w:p>
        </w:tc>
        <w:tc>
          <w:tcPr>
            <w:tcW w:w="198" w:type="dxa"/>
            <w:tcBorders>
              <w:top w:val="nil"/>
              <w:left w:val="nil"/>
              <w:bottom w:val="nil"/>
              <w:right w:val="nil"/>
            </w:tcBorders>
            <w:shd w:val="clear" w:color="auto" w:fill="auto"/>
            <w:noWrap/>
            <w:vAlign w:val="center"/>
            <w:hideMark/>
          </w:tcPr>
          <w:p w14:paraId="27AAA05F"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57D728B6"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1,371 </w:t>
            </w:r>
          </w:p>
        </w:tc>
        <w:tc>
          <w:tcPr>
            <w:tcW w:w="198" w:type="dxa"/>
            <w:tcBorders>
              <w:top w:val="nil"/>
              <w:left w:val="nil"/>
              <w:bottom w:val="nil"/>
              <w:right w:val="nil"/>
            </w:tcBorders>
            <w:shd w:val="clear" w:color="auto" w:fill="auto"/>
            <w:noWrap/>
            <w:vAlign w:val="center"/>
            <w:hideMark/>
          </w:tcPr>
          <w:p w14:paraId="7441C3E7"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A056371"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(52,531)</w:t>
            </w:r>
          </w:p>
        </w:tc>
        <w:tc>
          <w:tcPr>
            <w:tcW w:w="216" w:type="dxa"/>
            <w:tcBorders>
              <w:top w:val="nil"/>
              <w:left w:val="nil"/>
              <w:bottom w:val="nil"/>
              <w:right w:val="nil"/>
            </w:tcBorders>
            <w:shd w:val="clear" w:color="auto" w:fill="auto"/>
            <w:noWrap/>
            <w:vAlign w:val="center"/>
            <w:hideMark/>
          </w:tcPr>
          <w:p w14:paraId="5BC49687"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FCFA6E4"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245,064 </w:t>
            </w:r>
          </w:p>
        </w:tc>
      </w:tr>
      <w:tr w:rsidR="00BC5219" w:rsidRPr="009C55C2" w14:paraId="7691D3BB" w14:textId="77777777" w:rsidTr="00E83802">
        <w:trPr>
          <w:trHeight w:val="198"/>
        </w:trPr>
        <w:tc>
          <w:tcPr>
            <w:tcW w:w="198" w:type="dxa"/>
            <w:tcBorders>
              <w:top w:val="nil"/>
              <w:left w:val="nil"/>
              <w:bottom w:val="nil"/>
              <w:right w:val="nil"/>
            </w:tcBorders>
            <w:shd w:val="clear" w:color="auto" w:fill="auto"/>
            <w:noWrap/>
            <w:vAlign w:val="center"/>
            <w:hideMark/>
          </w:tcPr>
          <w:p w14:paraId="134E2B21"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38D95027"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Inventories</w:t>
            </w:r>
          </w:p>
        </w:tc>
        <w:tc>
          <w:tcPr>
            <w:tcW w:w="1418" w:type="dxa"/>
            <w:tcBorders>
              <w:top w:val="nil"/>
              <w:left w:val="nil"/>
              <w:bottom w:val="nil"/>
              <w:right w:val="nil"/>
            </w:tcBorders>
            <w:shd w:val="clear" w:color="000000" w:fill="C9E3B4"/>
            <w:noWrap/>
            <w:vAlign w:val="center"/>
            <w:hideMark/>
          </w:tcPr>
          <w:p w14:paraId="03E4C6BB"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7AA8B03F"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347E698F"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70A45269"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6AFA8093"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2723801D"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7F6A3FE"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6BFDF760"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9080F3F"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(76,272)</w:t>
            </w:r>
          </w:p>
        </w:tc>
        <w:tc>
          <w:tcPr>
            <w:tcW w:w="216" w:type="dxa"/>
            <w:tcBorders>
              <w:top w:val="nil"/>
              <w:left w:val="nil"/>
              <w:bottom w:val="nil"/>
              <w:right w:val="nil"/>
            </w:tcBorders>
            <w:shd w:val="clear" w:color="auto" w:fill="auto"/>
            <w:noWrap/>
            <w:vAlign w:val="center"/>
            <w:hideMark/>
          </w:tcPr>
          <w:p w14:paraId="153D909F"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75E1E818"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21,716 </w:t>
            </w:r>
          </w:p>
        </w:tc>
      </w:tr>
      <w:tr w:rsidR="00BC5219" w:rsidRPr="009C55C2" w14:paraId="71E03BF4" w14:textId="77777777" w:rsidTr="00E83802">
        <w:trPr>
          <w:trHeight w:val="198"/>
        </w:trPr>
        <w:tc>
          <w:tcPr>
            <w:tcW w:w="198" w:type="dxa"/>
            <w:tcBorders>
              <w:top w:val="nil"/>
              <w:left w:val="nil"/>
              <w:bottom w:val="nil"/>
              <w:right w:val="nil"/>
            </w:tcBorders>
            <w:shd w:val="clear" w:color="auto" w:fill="auto"/>
            <w:noWrap/>
            <w:vAlign w:val="center"/>
            <w:hideMark/>
          </w:tcPr>
          <w:p w14:paraId="5374A63E"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3D1A755C"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Prepayments</w:t>
            </w:r>
          </w:p>
        </w:tc>
        <w:tc>
          <w:tcPr>
            <w:tcW w:w="1418" w:type="dxa"/>
            <w:tcBorders>
              <w:top w:val="nil"/>
              <w:left w:val="nil"/>
              <w:bottom w:val="nil"/>
              <w:right w:val="nil"/>
            </w:tcBorders>
            <w:shd w:val="clear" w:color="000000" w:fill="C9E3B4"/>
            <w:noWrap/>
            <w:vAlign w:val="center"/>
            <w:hideMark/>
          </w:tcPr>
          <w:p w14:paraId="3B152649"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4,324 </w:t>
            </w:r>
          </w:p>
        </w:tc>
        <w:tc>
          <w:tcPr>
            <w:tcW w:w="198" w:type="dxa"/>
            <w:tcBorders>
              <w:top w:val="nil"/>
              <w:left w:val="nil"/>
              <w:bottom w:val="nil"/>
              <w:right w:val="nil"/>
            </w:tcBorders>
            <w:shd w:val="clear" w:color="auto" w:fill="auto"/>
            <w:noWrap/>
            <w:vAlign w:val="center"/>
            <w:hideMark/>
          </w:tcPr>
          <w:p w14:paraId="356A8C85"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539DA787"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7,094 </w:t>
            </w:r>
          </w:p>
        </w:tc>
        <w:tc>
          <w:tcPr>
            <w:tcW w:w="198" w:type="dxa"/>
            <w:tcBorders>
              <w:top w:val="nil"/>
              <w:left w:val="nil"/>
              <w:bottom w:val="nil"/>
              <w:right w:val="nil"/>
            </w:tcBorders>
            <w:shd w:val="clear" w:color="auto" w:fill="auto"/>
            <w:noWrap/>
            <w:vAlign w:val="center"/>
            <w:hideMark/>
          </w:tcPr>
          <w:p w14:paraId="6230BE62"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304955D"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1,194 </w:t>
            </w:r>
          </w:p>
        </w:tc>
        <w:tc>
          <w:tcPr>
            <w:tcW w:w="198" w:type="dxa"/>
            <w:tcBorders>
              <w:top w:val="nil"/>
              <w:left w:val="nil"/>
              <w:bottom w:val="nil"/>
              <w:right w:val="nil"/>
            </w:tcBorders>
            <w:shd w:val="clear" w:color="auto" w:fill="auto"/>
            <w:noWrap/>
            <w:vAlign w:val="center"/>
            <w:hideMark/>
          </w:tcPr>
          <w:p w14:paraId="61E2C981"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545946F6"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810 </w:t>
            </w:r>
          </w:p>
        </w:tc>
        <w:tc>
          <w:tcPr>
            <w:tcW w:w="198" w:type="dxa"/>
            <w:tcBorders>
              <w:top w:val="nil"/>
              <w:left w:val="nil"/>
              <w:bottom w:val="nil"/>
              <w:right w:val="nil"/>
            </w:tcBorders>
            <w:shd w:val="clear" w:color="auto" w:fill="auto"/>
            <w:noWrap/>
            <w:vAlign w:val="center"/>
            <w:hideMark/>
          </w:tcPr>
          <w:p w14:paraId="000427D5"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3A78CF66"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216" w:type="dxa"/>
            <w:tcBorders>
              <w:top w:val="nil"/>
              <w:left w:val="nil"/>
              <w:bottom w:val="nil"/>
              <w:right w:val="nil"/>
            </w:tcBorders>
            <w:shd w:val="clear" w:color="auto" w:fill="auto"/>
            <w:noWrap/>
            <w:vAlign w:val="center"/>
            <w:hideMark/>
          </w:tcPr>
          <w:p w14:paraId="47B95EA9"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2D716298"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113,085 </w:t>
            </w:r>
          </w:p>
        </w:tc>
      </w:tr>
      <w:tr w:rsidR="00BC5219" w:rsidRPr="009C55C2" w14:paraId="210772EF" w14:textId="77777777" w:rsidTr="00E83802">
        <w:trPr>
          <w:trHeight w:val="198"/>
        </w:trPr>
        <w:tc>
          <w:tcPr>
            <w:tcW w:w="198" w:type="dxa"/>
            <w:tcBorders>
              <w:top w:val="nil"/>
              <w:left w:val="nil"/>
              <w:bottom w:val="single" w:sz="4" w:space="0" w:color="auto"/>
              <w:right w:val="nil"/>
            </w:tcBorders>
            <w:shd w:val="clear" w:color="auto" w:fill="auto"/>
            <w:noWrap/>
            <w:vAlign w:val="center"/>
            <w:hideMark/>
          </w:tcPr>
          <w:p w14:paraId="4268FE92"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4366" w:type="dxa"/>
            <w:tcBorders>
              <w:top w:val="nil"/>
              <w:left w:val="nil"/>
              <w:bottom w:val="single" w:sz="4" w:space="0" w:color="auto"/>
              <w:right w:val="nil"/>
            </w:tcBorders>
            <w:shd w:val="clear" w:color="auto" w:fill="auto"/>
            <w:noWrap/>
            <w:vAlign w:val="center"/>
            <w:hideMark/>
          </w:tcPr>
          <w:p w14:paraId="50FAF57D"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Non-current assets classified as held for sale</w:t>
            </w:r>
          </w:p>
        </w:tc>
        <w:tc>
          <w:tcPr>
            <w:tcW w:w="1418" w:type="dxa"/>
            <w:tcBorders>
              <w:top w:val="nil"/>
              <w:left w:val="nil"/>
              <w:bottom w:val="single" w:sz="4" w:space="0" w:color="auto"/>
              <w:right w:val="nil"/>
            </w:tcBorders>
            <w:shd w:val="clear" w:color="000000" w:fill="C9E3B4"/>
            <w:noWrap/>
            <w:vAlign w:val="center"/>
            <w:hideMark/>
          </w:tcPr>
          <w:p w14:paraId="46A89D11"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4D9E7B27"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53E7692C"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6FBAAD4D"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67974786"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319FD6E4"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5C03C24B"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17418C71"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48B592AF"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216" w:type="dxa"/>
            <w:tcBorders>
              <w:top w:val="nil"/>
              <w:left w:val="nil"/>
              <w:bottom w:val="single" w:sz="4" w:space="0" w:color="auto"/>
              <w:right w:val="nil"/>
            </w:tcBorders>
            <w:shd w:val="clear" w:color="auto" w:fill="auto"/>
            <w:noWrap/>
            <w:vAlign w:val="center"/>
            <w:hideMark/>
          </w:tcPr>
          <w:p w14:paraId="78C90FEC"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5474D475"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3,562 </w:t>
            </w:r>
          </w:p>
        </w:tc>
      </w:tr>
      <w:tr w:rsidR="00BC5219" w:rsidRPr="009C55C2" w14:paraId="662F7B0C" w14:textId="77777777" w:rsidTr="00E83802">
        <w:trPr>
          <w:trHeight w:val="198"/>
        </w:trPr>
        <w:tc>
          <w:tcPr>
            <w:tcW w:w="198" w:type="dxa"/>
            <w:tcBorders>
              <w:top w:val="nil"/>
              <w:left w:val="nil"/>
              <w:bottom w:val="nil"/>
              <w:right w:val="nil"/>
            </w:tcBorders>
            <w:shd w:val="clear" w:color="auto" w:fill="auto"/>
            <w:noWrap/>
            <w:vAlign w:val="center"/>
            <w:hideMark/>
          </w:tcPr>
          <w:p w14:paraId="35D0F9EA"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2D105D9A" w14:textId="77777777" w:rsidR="00BC5219" w:rsidRPr="009C55C2" w:rsidRDefault="00BC5219" w:rsidP="00E83802">
            <w:pPr>
              <w:rPr>
                <w:rFonts w:ascii="Meta Pro" w:eastAsia="Times New Roman" w:hAnsi="Meta Pro"/>
                <w:b/>
                <w:bCs/>
                <w:sz w:val="16"/>
                <w:szCs w:val="16"/>
                <w:lang w:eastAsia="en-AU"/>
              </w:rPr>
            </w:pPr>
            <w:r w:rsidRPr="009C55C2">
              <w:rPr>
                <w:rFonts w:ascii="Meta Pro" w:eastAsia="Times New Roman" w:hAnsi="Meta Pro"/>
                <w:b/>
                <w:bCs/>
                <w:sz w:val="16"/>
                <w:szCs w:val="16"/>
                <w:lang w:eastAsia="en-AU"/>
              </w:rPr>
              <w:t>Total current assets</w:t>
            </w:r>
          </w:p>
        </w:tc>
        <w:tc>
          <w:tcPr>
            <w:tcW w:w="1418" w:type="dxa"/>
            <w:tcBorders>
              <w:top w:val="nil"/>
              <w:left w:val="nil"/>
              <w:bottom w:val="nil"/>
              <w:right w:val="nil"/>
            </w:tcBorders>
            <w:shd w:val="clear" w:color="000000" w:fill="C9E3B4"/>
            <w:noWrap/>
            <w:vAlign w:val="center"/>
            <w:hideMark/>
          </w:tcPr>
          <w:p w14:paraId="67E39D62"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36,106 </w:t>
            </w:r>
          </w:p>
        </w:tc>
        <w:tc>
          <w:tcPr>
            <w:tcW w:w="198" w:type="dxa"/>
            <w:tcBorders>
              <w:top w:val="nil"/>
              <w:left w:val="nil"/>
              <w:bottom w:val="nil"/>
              <w:right w:val="nil"/>
            </w:tcBorders>
            <w:shd w:val="clear" w:color="auto" w:fill="auto"/>
            <w:noWrap/>
            <w:vAlign w:val="center"/>
            <w:hideMark/>
          </w:tcPr>
          <w:p w14:paraId="22199A89" w14:textId="77777777" w:rsidR="00BC5219" w:rsidRPr="009C55C2" w:rsidRDefault="00BC5219" w:rsidP="00E83802">
            <w:pPr>
              <w:jc w:val="right"/>
              <w:rPr>
                <w:rFonts w:ascii="Meta Pro" w:eastAsia="Times New Roman" w:hAnsi="Meta Pro"/>
                <w:b/>
                <w:bCs/>
                <w:sz w:val="16"/>
                <w:szCs w:val="16"/>
                <w:lang w:eastAsia="en-AU"/>
              </w:rPr>
            </w:pPr>
          </w:p>
        </w:tc>
        <w:tc>
          <w:tcPr>
            <w:tcW w:w="1418" w:type="dxa"/>
            <w:tcBorders>
              <w:top w:val="nil"/>
              <w:left w:val="nil"/>
              <w:bottom w:val="nil"/>
              <w:right w:val="nil"/>
            </w:tcBorders>
            <w:shd w:val="clear" w:color="000000" w:fill="C9E3B4"/>
            <w:noWrap/>
            <w:vAlign w:val="center"/>
            <w:hideMark/>
          </w:tcPr>
          <w:p w14:paraId="4B4A3CC1"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34,086 </w:t>
            </w:r>
          </w:p>
        </w:tc>
        <w:tc>
          <w:tcPr>
            <w:tcW w:w="198" w:type="dxa"/>
            <w:tcBorders>
              <w:top w:val="nil"/>
              <w:left w:val="nil"/>
              <w:bottom w:val="nil"/>
              <w:right w:val="nil"/>
            </w:tcBorders>
            <w:shd w:val="clear" w:color="auto" w:fill="auto"/>
            <w:noWrap/>
            <w:vAlign w:val="center"/>
            <w:hideMark/>
          </w:tcPr>
          <w:p w14:paraId="7A09A0C9" w14:textId="77777777" w:rsidR="00BC5219" w:rsidRPr="009C55C2" w:rsidRDefault="00BC5219" w:rsidP="00E83802">
            <w:pPr>
              <w:jc w:val="right"/>
              <w:rPr>
                <w:rFonts w:ascii="Meta Pro" w:eastAsia="Times New Roman" w:hAnsi="Meta Pro"/>
                <w:b/>
                <w:bCs/>
                <w:sz w:val="16"/>
                <w:szCs w:val="16"/>
                <w:lang w:eastAsia="en-AU"/>
              </w:rPr>
            </w:pPr>
          </w:p>
        </w:tc>
        <w:tc>
          <w:tcPr>
            <w:tcW w:w="1418" w:type="dxa"/>
            <w:tcBorders>
              <w:top w:val="nil"/>
              <w:left w:val="nil"/>
              <w:bottom w:val="nil"/>
              <w:right w:val="nil"/>
            </w:tcBorders>
            <w:shd w:val="clear" w:color="000000" w:fill="C9E3B4"/>
            <w:noWrap/>
            <w:vAlign w:val="center"/>
            <w:hideMark/>
          </w:tcPr>
          <w:p w14:paraId="5E6A35B4"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58,507 </w:t>
            </w:r>
          </w:p>
        </w:tc>
        <w:tc>
          <w:tcPr>
            <w:tcW w:w="198" w:type="dxa"/>
            <w:tcBorders>
              <w:top w:val="nil"/>
              <w:left w:val="nil"/>
              <w:bottom w:val="nil"/>
              <w:right w:val="nil"/>
            </w:tcBorders>
            <w:shd w:val="clear" w:color="auto" w:fill="auto"/>
            <w:noWrap/>
            <w:vAlign w:val="center"/>
            <w:hideMark/>
          </w:tcPr>
          <w:p w14:paraId="2B9B2FCE" w14:textId="77777777" w:rsidR="00BC5219" w:rsidRPr="009C55C2" w:rsidRDefault="00BC5219" w:rsidP="00E83802">
            <w:pPr>
              <w:jc w:val="right"/>
              <w:rPr>
                <w:rFonts w:ascii="Meta Pro" w:eastAsia="Times New Roman" w:hAnsi="Meta Pro"/>
                <w:b/>
                <w:bCs/>
                <w:sz w:val="16"/>
                <w:szCs w:val="16"/>
                <w:lang w:eastAsia="en-AU"/>
              </w:rPr>
            </w:pPr>
          </w:p>
        </w:tc>
        <w:tc>
          <w:tcPr>
            <w:tcW w:w="1418" w:type="dxa"/>
            <w:tcBorders>
              <w:top w:val="nil"/>
              <w:left w:val="nil"/>
              <w:bottom w:val="nil"/>
              <w:right w:val="nil"/>
            </w:tcBorders>
            <w:shd w:val="clear" w:color="000000" w:fill="C9E3B4"/>
            <w:noWrap/>
            <w:vAlign w:val="center"/>
            <w:hideMark/>
          </w:tcPr>
          <w:p w14:paraId="7B85BD83"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5,119 </w:t>
            </w:r>
          </w:p>
        </w:tc>
        <w:tc>
          <w:tcPr>
            <w:tcW w:w="198" w:type="dxa"/>
            <w:tcBorders>
              <w:top w:val="nil"/>
              <w:left w:val="nil"/>
              <w:bottom w:val="nil"/>
              <w:right w:val="nil"/>
            </w:tcBorders>
            <w:shd w:val="clear" w:color="auto" w:fill="auto"/>
            <w:noWrap/>
            <w:vAlign w:val="center"/>
            <w:hideMark/>
          </w:tcPr>
          <w:p w14:paraId="54C435F6" w14:textId="77777777" w:rsidR="00BC5219" w:rsidRPr="009C55C2" w:rsidRDefault="00BC5219" w:rsidP="00E83802">
            <w:pPr>
              <w:jc w:val="right"/>
              <w:rPr>
                <w:rFonts w:ascii="Meta Pro" w:eastAsia="Times New Roman" w:hAnsi="Meta Pro"/>
                <w:b/>
                <w:bCs/>
                <w:sz w:val="16"/>
                <w:szCs w:val="16"/>
                <w:lang w:eastAsia="en-AU"/>
              </w:rPr>
            </w:pPr>
          </w:p>
        </w:tc>
        <w:tc>
          <w:tcPr>
            <w:tcW w:w="1418" w:type="dxa"/>
            <w:tcBorders>
              <w:top w:val="nil"/>
              <w:left w:val="nil"/>
              <w:bottom w:val="nil"/>
              <w:right w:val="nil"/>
            </w:tcBorders>
            <w:shd w:val="clear" w:color="000000" w:fill="C9E3B4"/>
            <w:noWrap/>
            <w:vAlign w:val="center"/>
            <w:hideMark/>
          </w:tcPr>
          <w:p w14:paraId="06570373"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(128,803)</w:t>
            </w:r>
          </w:p>
        </w:tc>
        <w:tc>
          <w:tcPr>
            <w:tcW w:w="216" w:type="dxa"/>
            <w:tcBorders>
              <w:top w:val="nil"/>
              <w:left w:val="nil"/>
              <w:bottom w:val="nil"/>
              <w:right w:val="nil"/>
            </w:tcBorders>
            <w:shd w:val="clear" w:color="auto" w:fill="auto"/>
            <w:noWrap/>
            <w:vAlign w:val="center"/>
            <w:hideMark/>
          </w:tcPr>
          <w:p w14:paraId="532C0787" w14:textId="77777777" w:rsidR="00BC5219" w:rsidRPr="009C55C2" w:rsidRDefault="00BC5219" w:rsidP="00E83802">
            <w:pPr>
              <w:jc w:val="right"/>
              <w:rPr>
                <w:rFonts w:ascii="Meta Pro" w:eastAsia="Times New Roman" w:hAnsi="Meta Pro"/>
                <w:b/>
                <w:bCs/>
                <w:sz w:val="16"/>
                <w:szCs w:val="16"/>
                <w:lang w:eastAsia="en-AU"/>
              </w:rPr>
            </w:pPr>
          </w:p>
        </w:tc>
        <w:tc>
          <w:tcPr>
            <w:tcW w:w="1418" w:type="dxa"/>
            <w:tcBorders>
              <w:top w:val="nil"/>
              <w:left w:val="nil"/>
              <w:bottom w:val="nil"/>
              <w:right w:val="nil"/>
            </w:tcBorders>
            <w:shd w:val="clear" w:color="000000" w:fill="C9E3B4"/>
            <w:noWrap/>
            <w:vAlign w:val="center"/>
            <w:hideMark/>
          </w:tcPr>
          <w:p w14:paraId="5B299B16"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1,053,529 </w:t>
            </w:r>
          </w:p>
        </w:tc>
      </w:tr>
      <w:tr w:rsidR="00BC5219" w:rsidRPr="009C55C2" w14:paraId="75A61EE2" w14:textId="77777777" w:rsidTr="00E83802">
        <w:trPr>
          <w:trHeight w:hRule="exact" w:val="142"/>
        </w:trPr>
        <w:tc>
          <w:tcPr>
            <w:tcW w:w="198" w:type="dxa"/>
            <w:tcBorders>
              <w:top w:val="nil"/>
              <w:left w:val="nil"/>
              <w:bottom w:val="nil"/>
              <w:right w:val="nil"/>
            </w:tcBorders>
            <w:shd w:val="clear" w:color="auto" w:fill="auto"/>
            <w:noWrap/>
            <w:vAlign w:val="center"/>
            <w:hideMark/>
          </w:tcPr>
          <w:p w14:paraId="46907651"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2F17DE0A" w14:textId="77777777" w:rsidR="00BC5219" w:rsidRPr="009C55C2" w:rsidRDefault="00BC5219" w:rsidP="00E83802">
            <w:pPr>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000000" w:fill="C9E3B4"/>
            <w:noWrap/>
            <w:vAlign w:val="center"/>
            <w:hideMark/>
          </w:tcPr>
          <w:p w14:paraId="41ADEC97"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485A3738"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48053B6E"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0BC5CDDF"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3E778E7F"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0BA2779B"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72D32423"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291E40B6"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8A55279"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216" w:type="dxa"/>
            <w:tcBorders>
              <w:top w:val="nil"/>
              <w:left w:val="nil"/>
              <w:bottom w:val="nil"/>
              <w:right w:val="nil"/>
            </w:tcBorders>
            <w:shd w:val="clear" w:color="auto" w:fill="auto"/>
            <w:noWrap/>
            <w:vAlign w:val="center"/>
            <w:hideMark/>
          </w:tcPr>
          <w:p w14:paraId="4959A2F4"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ECD50EC"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r>
      <w:tr w:rsidR="00BC5219" w:rsidRPr="009C55C2" w14:paraId="50868313" w14:textId="77777777" w:rsidTr="00E83802">
        <w:trPr>
          <w:trHeight w:val="198"/>
        </w:trPr>
        <w:tc>
          <w:tcPr>
            <w:tcW w:w="4366" w:type="dxa"/>
            <w:gridSpan w:val="2"/>
            <w:tcBorders>
              <w:top w:val="nil"/>
              <w:left w:val="nil"/>
              <w:bottom w:val="nil"/>
              <w:right w:val="nil"/>
            </w:tcBorders>
            <w:shd w:val="clear" w:color="auto" w:fill="auto"/>
            <w:noWrap/>
            <w:vAlign w:val="center"/>
            <w:hideMark/>
          </w:tcPr>
          <w:p w14:paraId="00FBCA4D" w14:textId="77777777" w:rsidR="00BC5219" w:rsidRPr="009C55C2" w:rsidRDefault="00BC5219" w:rsidP="00E83802">
            <w:pPr>
              <w:rPr>
                <w:rFonts w:ascii="Meta Pro" w:eastAsia="Times New Roman" w:hAnsi="Meta Pro"/>
                <w:b/>
                <w:bCs/>
                <w:sz w:val="16"/>
                <w:szCs w:val="16"/>
                <w:lang w:eastAsia="en-AU"/>
              </w:rPr>
            </w:pPr>
            <w:r w:rsidRPr="009C55C2">
              <w:rPr>
                <w:rFonts w:ascii="Meta Pro" w:eastAsia="Times New Roman" w:hAnsi="Meta Pro"/>
                <w:b/>
                <w:bCs/>
                <w:sz w:val="16"/>
                <w:szCs w:val="16"/>
                <w:lang w:eastAsia="en-AU"/>
              </w:rPr>
              <w:t>Non-current assets</w:t>
            </w:r>
          </w:p>
        </w:tc>
        <w:tc>
          <w:tcPr>
            <w:tcW w:w="1418" w:type="dxa"/>
            <w:tcBorders>
              <w:top w:val="nil"/>
              <w:left w:val="nil"/>
              <w:bottom w:val="nil"/>
              <w:right w:val="nil"/>
            </w:tcBorders>
            <w:shd w:val="clear" w:color="000000" w:fill="C9E3B4"/>
            <w:noWrap/>
            <w:vAlign w:val="center"/>
            <w:hideMark/>
          </w:tcPr>
          <w:p w14:paraId="568CABBC"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6DA53B3D"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76DE86B2"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51E25E76"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744EC22F"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0C7C85CE"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2025E5B6"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68EA4198"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7DE3532F"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216" w:type="dxa"/>
            <w:tcBorders>
              <w:top w:val="nil"/>
              <w:left w:val="nil"/>
              <w:bottom w:val="nil"/>
              <w:right w:val="nil"/>
            </w:tcBorders>
            <w:shd w:val="clear" w:color="auto" w:fill="auto"/>
            <w:noWrap/>
            <w:vAlign w:val="center"/>
            <w:hideMark/>
          </w:tcPr>
          <w:p w14:paraId="14FB32A7"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3D2FED2"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r>
      <w:tr w:rsidR="00BC5219" w:rsidRPr="009C55C2" w14:paraId="7F7AFAF8" w14:textId="77777777" w:rsidTr="00E83802">
        <w:trPr>
          <w:trHeight w:val="198"/>
        </w:trPr>
        <w:tc>
          <w:tcPr>
            <w:tcW w:w="198" w:type="dxa"/>
            <w:tcBorders>
              <w:top w:val="nil"/>
              <w:left w:val="nil"/>
              <w:bottom w:val="nil"/>
              <w:right w:val="nil"/>
            </w:tcBorders>
            <w:shd w:val="clear" w:color="auto" w:fill="auto"/>
            <w:noWrap/>
            <w:vAlign w:val="center"/>
            <w:hideMark/>
          </w:tcPr>
          <w:p w14:paraId="535F4000"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08272083"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Receivables</w:t>
            </w:r>
          </w:p>
        </w:tc>
        <w:tc>
          <w:tcPr>
            <w:tcW w:w="1418" w:type="dxa"/>
            <w:tcBorders>
              <w:top w:val="nil"/>
              <w:left w:val="nil"/>
              <w:bottom w:val="nil"/>
              <w:right w:val="nil"/>
            </w:tcBorders>
            <w:shd w:val="clear" w:color="000000" w:fill="C9E3B4"/>
            <w:noWrap/>
            <w:vAlign w:val="center"/>
            <w:hideMark/>
          </w:tcPr>
          <w:p w14:paraId="6016F344"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6B7F61F3"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0DD96D9"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1FF0C825"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733AE797"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35D375E1"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C5E137B"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101E07E4"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6B215DC3"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(19,000)</w:t>
            </w:r>
          </w:p>
        </w:tc>
        <w:tc>
          <w:tcPr>
            <w:tcW w:w="216" w:type="dxa"/>
            <w:tcBorders>
              <w:top w:val="nil"/>
              <w:left w:val="nil"/>
              <w:bottom w:val="nil"/>
              <w:right w:val="nil"/>
            </w:tcBorders>
            <w:shd w:val="clear" w:color="auto" w:fill="auto"/>
            <w:noWrap/>
            <w:vAlign w:val="center"/>
            <w:hideMark/>
          </w:tcPr>
          <w:p w14:paraId="7A16FAEC"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5EA51DF4"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3,421 </w:t>
            </w:r>
          </w:p>
        </w:tc>
      </w:tr>
      <w:tr w:rsidR="00BC5219" w:rsidRPr="009C55C2" w14:paraId="426170B2" w14:textId="77777777" w:rsidTr="00E83802">
        <w:trPr>
          <w:trHeight w:val="198"/>
        </w:trPr>
        <w:tc>
          <w:tcPr>
            <w:tcW w:w="198" w:type="dxa"/>
            <w:tcBorders>
              <w:top w:val="nil"/>
              <w:left w:val="nil"/>
              <w:bottom w:val="nil"/>
              <w:right w:val="nil"/>
            </w:tcBorders>
            <w:shd w:val="clear" w:color="auto" w:fill="auto"/>
            <w:noWrap/>
            <w:vAlign w:val="center"/>
            <w:hideMark/>
          </w:tcPr>
          <w:p w14:paraId="2BFAFA6D"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5665E4AA"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Prepayments</w:t>
            </w:r>
          </w:p>
        </w:tc>
        <w:tc>
          <w:tcPr>
            <w:tcW w:w="1418" w:type="dxa"/>
            <w:tcBorders>
              <w:top w:val="nil"/>
              <w:left w:val="nil"/>
              <w:bottom w:val="nil"/>
              <w:right w:val="nil"/>
            </w:tcBorders>
            <w:shd w:val="clear" w:color="000000" w:fill="C9E3B4"/>
            <w:noWrap/>
            <w:vAlign w:val="center"/>
            <w:hideMark/>
          </w:tcPr>
          <w:p w14:paraId="1E022906"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1,212 </w:t>
            </w:r>
          </w:p>
        </w:tc>
        <w:tc>
          <w:tcPr>
            <w:tcW w:w="198" w:type="dxa"/>
            <w:tcBorders>
              <w:top w:val="nil"/>
              <w:left w:val="nil"/>
              <w:bottom w:val="nil"/>
              <w:right w:val="nil"/>
            </w:tcBorders>
            <w:shd w:val="clear" w:color="auto" w:fill="auto"/>
            <w:noWrap/>
            <w:vAlign w:val="center"/>
            <w:hideMark/>
          </w:tcPr>
          <w:p w14:paraId="53EC87CC"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342274ED"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583 </w:t>
            </w:r>
          </w:p>
        </w:tc>
        <w:tc>
          <w:tcPr>
            <w:tcW w:w="198" w:type="dxa"/>
            <w:tcBorders>
              <w:top w:val="nil"/>
              <w:left w:val="nil"/>
              <w:bottom w:val="nil"/>
              <w:right w:val="nil"/>
            </w:tcBorders>
            <w:shd w:val="clear" w:color="auto" w:fill="auto"/>
            <w:noWrap/>
            <w:vAlign w:val="center"/>
            <w:hideMark/>
          </w:tcPr>
          <w:p w14:paraId="28EC7D71"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3952D9F"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6 </w:t>
            </w:r>
          </w:p>
        </w:tc>
        <w:tc>
          <w:tcPr>
            <w:tcW w:w="198" w:type="dxa"/>
            <w:tcBorders>
              <w:top w:val="nil"/>
              <w:left w:val="nil"/>
              <w:bottom w:val="nil"/>
              <w:right w:val="nil"/>
            </w:tcBorders>
            <w:shd w:val="clear" w:color="auto" w:fill="auto"/>
            <w:noWrap/>
            <w:vAlign w:val="center"/>
            <w:hideMark/>
          </w:tcPr>
          <w:p w14:paraId="5D03F0DF"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7B3C791E"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59FF797F"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38E4D1E2"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216" w:type="dxa"/>
            <w:tcBorders>
              <w:top w:val="nil"/>
              <w:left w:val="nil"/>
              <w:bottom w:val="nil"/>
              <w:right w:val="nil"/>
            </w:tcBorders>
            <w:shd w:val="clear" w:color="auto" w:fill="auto"/>
            <w:noWrap/>
            <w:vAlign w:val="center"/>
            <w:hideMark/>
          </w:tcPr>
          <w:p w14:paraId="3D548F49"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7009C898"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80,550 </w:t>
            </w:r>
          </w:p>
        </w:tc>
      </w:tr>
      <w:tr w:rsidR="00BC5219" w:rsidRPr="009C55C2" w14:paraId="1B960438" w14:textId="77777777" w:rsidTr="00E83802">
        <w:trPr>
          <w:trHeight w:val="198"/>
        </w:trPr>
        <w:tc>
          <w:tcPr>
            <w:tcW w:w="198" w:type="dxa"/>
            <w:tcBorders>
              <w:top w:val="nil"/>
              <w:left w:val="nil"/>
              <w:bottom w:val="nil"/>
              <w:right w:val="nil"/>
            </w:tcBorders>
            <w:shd w:val="clear" w:color="auto" w:fill="auto"/>
            <w:noWrap/>
            <w:vAlign w:val="center"/>
            <w:hideMark/>
          </w:tcPr>
          <w:p w14:paraId="2F2D31B6"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73D8CCCF"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Intangible assets</w:t>
            </w:r>
          </w:p>
        </w:tc>
        <w:tc>
          <w:tcPr>
            <w:tcW w:w="1418" w:type="dxa"/>
            <w:tcBorders>
              <w:top w:val="nil"/>
              <w:left w:val="nil"/>
              <w:bottom w:val="nil"/>
              <w:right w:val="nil"/>
            </w:tcBorders>
            <w:shd w:val="clear" w:color="000000" w:fill="C9E3B4"/>
            <w:noWrap/>
            <w:vAlign w:val="center"/>
            <w:hideMark/>
          </w:tcPr>
          <w:p w14:paraId="5F361C28"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1,741 </w:t>
            </w:r>
          </w:p>
        </w:tc>
        <w:tc>
          <w:tcPr>
            <w:tcW w:w="198" w:type="dxa"/>
            <w:tcBorders>
              <w:top w:val="nil"/>
              <w:left w:val="nil"/>
              <w:bottom w:val="nil"/>
              <w:right w:val="nil"/>
            </w:tcBorders>
            <w:shd w:val="clear" w:color="auto" w:fill="auto"/>
            <w:noWrap/>
            <w:vAlign w:val="center"/>
            <w:hideMark/>
          </w:tcPr>
          <w:p w14:paraId="39E30738"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5598BD45"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1,415 </w:t>
            </w:r>
          </w:p>
        </w:tc>
        <w:tc>
          <w:tcPr>
            <w:tcW w:w="198" w:type="dxa"/>
            <w:tcBorders>
              <w:top w:val="nil"/>
              <w:left w:val="nil"/>
              <w:bottom w:val="nil"/>
              <w:right w:val="nil"/>
            </w:tcBorders>
            <w:shd w:val="clear" w:color="auto" w:fill="auto"/>
            <w:noWrap/>
            <w:vAlign w:val="center"/>
            <w:hideMark/>
          </w:tcPr>
          <w:p w14:paraId="5FA1D64F"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5EA77129"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5,075 </w:t>
            </w:r>
          </w:p>
        </w:tc>
        <w:tc>
          <w:tcPr>
            <w:tcW w:w="198" w:type="dxa"/>
            <w:tcBorders>
              <w:top w:val="nil"/>
              <w:left w:val="nil"/>
              <w:bottom w:val="nil"/>
              <w:right w:val="nil"/>
            </w:tcBorders>
            <w:shd w:val="clear" w:color="auto" w:fill="auto"/>
            <w:noWrap/>
            <w:vAlign w:val="center"/>
            <w:hideMark/>
          </w:tcPr>
          <w:p w14:paraId="58AD1147"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27CB367"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04FB2B65"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32BC8548"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216" w:type="dxa"/>
            <w:tcBorders>
              <w:top w:val="nil"/>
              <w:left w:val="nil"/>
              <w:bottom w:val="nil"/>
              <w:right w:val="nil"/>
            </w:tcBorders>
            <w:shd w:val="clear" w:color="auto" w:fill="auto"/>
            <w:noWrap/>
            <w:vAlign w:val="center"/>
            <w:hideMark/>
          </w:tcPr>
          <w:p w14:paraId="0551DF7C"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30F75574"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69,214 </w:t>
            </w:r>
          </w:p>
        </w:tc>
      </w:tr>
      <w:tr w:rsidR="00BC5219" w:rsidRPr="009C55C2" w14:paraId="752EA022" w14:textId="77777777" w:rsidTr="00E83802">
        <w:trPr>
          <w:trHeight w:val="198"/>
        </w:trPr>
        <w:tc>
          <w:tcPr>
            <w:tcW w:w="198" w:type="dxa"/>
            <w:tcBorders>
              <w:top w:val="nil"/>
              <w:left w:val="nil"/>
              <w:bottom w:val="nil"/>
              <w:right w:val="nil"/>
            </w:tcBorders>
            <w:shd w:val="clear" w:color="auto" w:fill="auto"/>
            <w:noWrap/>
            <w:vAlign w:val="center"/>
            <w:hideMark/>
          </w:tcPr>
          <w:p w14:paraId="652C9598"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7A73E815"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Property, plant and equipment</w:t>
            </w:r>
          </w:p>
        </w:tc>
        <w:tc>
          <w:tcPr>
            <w:tcW w:w="1418" w:type="dxa"/>
            <w:tcBorders>
              <w:top w:val="nil"/>
              <w:left w:val="nil"/>
              <w:bottom w:val="nil"/>
              <w:right w:val="nil"/>
            </w:tcBorders>
            <w:shd w:val="clear" w:color="000000" w:fill="C9E3B4"/>
            <w:noWrap/>
            <w:vAlign w:val="center"/>
            <w:hideMark/>
          </w:tcPr>
          <w:p w14:paraId="4B9B5986"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895 </w:t>
            </w:r>
          </w:p>
        </w:tc>
        <w:tc>
          <w:tcPr>
            <w:tcW w:w="198" w:type="dxa"/>
            <w:tcBorders>
              <w:top w:val="nil"/>
              <w:left w:val="nil"/>
              <w:bottom w:val="nil"/>
              <w:right w:val="nil"/>
            </w:tcBorders>
            <w:shd w:val="clear" w:color="auto" w:fill="auto"/>
            <w:noWrap/>
            <w:vAlign w:val="center"/>
            <w:hideMark/>
          </w:tcPr>
          <w:p w14:paraId="21C6591A"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5154F1BE"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6,895 </w:t>
            </w:r>
          </w:p>
        </w:tc>
        <w:tc>
          <w:tcPr>
            <w:tcW w:w="198" w:type="dxa"/>
            <w:tcBorders>
              <w:top w:val="nil"/>
              <w:left w:val="nil"/>
              <w:bottom w:val="nil"/>
              <w:right w:val="nil"/>
            </w:tcBorders>
            <w:shd w:val="clear" w:color="auto" w:fill="auto"/>
            <w:noWrap/>
            <w:vAlign w:val="center"/>
            <w:hideMark/>
          </w:tcPr>
          <w:p w14:paraId="42CAE1D0"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7C45AF97"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326 </w:t>
            </w:r>
          </w:p>
        </w:tc>
        <w:tc>
          <w:tcPr>
            <w:tcW w:w="198" w:type="dxa"/>
            <w:tcBorders>
              <w:top w:val="nil"/>
              <w:left w:val="nil"/>
              <w:bottom w:val="nil"/>
              <w:right w:val="nil"/>
            </w:tcBorders>
            <w:shd w:val="clear" w:color="auto" w:fill="auto"/>
            <w:noWrap/>
            <w:vAlign w:val="center"/>
            <w:hideMark/>
          </w:tcPr>
          <w:p w14:paraId="186E3B8E"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57EF6843"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167FBC97"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3D72B610"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216" w:type="dxa"/>
            <w:tcBorders>
              <w:top w:val="nil"/>
              <w:left w:val="nil"/>
              <w:bottom w:val="nil"/>
              <w:right w:val="nil"/>
            </w:tcBorders>
            <w:shd w:val="clear" w:color="auto" w:fill="auto"/>
            <w:noWrap/>
            <w:vAlign w:val="center"/>
            <w:hideMark/>
          </w:tcPr>
          <w:p w14:paraId="74BF490B"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696224E7"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104,496,070 </w:t>
            </w:r>
          </w:p>
        </w:tc>
      </w:tr>
      <w:tr w:rsidR="00BC5219" w:rsidRPr="009C55C2" w14:paraId="54522172" w14:textId="77777777" w:rsidTr="00E83802">
        <w:trPr>
          <w:trHeight w:val="198"/>
        </w:trPr>
        <w:tc>
          <w:tcPr>
            <w:tcW w:w="198" w:type="dxa"/>
            <w:tcBorders>
              <w:top w:val="nil"/>
              <w:left w:val="nil"/>
              <w:bottom w:val="nil"/>
              <w:right w:val="nil"/>
            </w:tcBorders>
            <w:shd w:val="clear" w:color="auto" w:fill="auto"/>
            <w:noWrap/>
            <w:vAlign w:val="center"/>
            <w:hideMark/>
          </w:tcPr>
          <w:p w14:paraId="18C23FF9"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6F1D049A"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Service concession assets</w:t>
            </w:r>
          </w:p>
        </w:tc>
        <w:tc>
          <w:tcPr>
            <w:tcW w:w="1418" w:type="dxa"/>
            <w:tcBorders>
              <w:top w:val="nil"/>
              <w:left w:val="nil"/>
              <w:bottom w:val="nil"/>
              <w:right w:val="nil"/>
            </w:tcBorders>
            <w:shd w:val="clear" w:color="000000" w:fill="C9E3B4"/>
            <w:noWrap/>
            <w:vAlign w:val="center"/>
            <w:hideMark/>
          </w:tcPr>
          <w:p w14:paraId="47467D48"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76411E60"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3B37464E"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5290FADF"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EF5235E"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3D5A8545"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54B783C7"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1F474FB9"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DCA2B4D"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216" w:type="dxa"/>
            <w:tcBorders>
              <w:top w:val="nil"/>
              <w:left w:val="nil"/>
              <w:bottom w:val="nil"/>
              <w:right w:val="nil"/>
            </w:tcBorders>
            <w:shd w:val="clear" w:color="auto" w:fill="auto"/>
            <w:noWrap/>
            <w:vAlign w:val="center"/>
            <w:hideMark/>
          </w:tcPr>
          <w:p w14:paraId="1FEBDA34"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361EBD54"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14,097,645 </w:t>
            </w:r>
          </w:p>
        </w:tc>
      </w:tr>
      <w:tr w:rsidR="00BC5219" w:rsidRPr="009C55C2" w14:paraId="46CF60B7" w14:textId="77777777" w:rsidTr="00E83802">
        <w:trPr>
          <w:trHeight w:val="198"/>
        </w:trPr>
        <w:tc>
          <w:tcPr>
            <w:tcW w:w="198" w:type="dxa"/>
            <w:tcBorders>
              <w:top w:val="nil"/>
              <w:left w:val="nil"/>
              <w:bottom w:val="nil"/>
              <w:right w:val="nil"/>
            </w:tcBorders>
            <w:shd w:val="clear" w:color="auto" w:fill="auto"/>
            <w:noWrap/>
            <w:vAlign w:val="center"/>
            <w:hideMark/>
          </w:tcPr>
          <w:p w14:paraId="6DD9FBC3"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5E9C5083"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Deferred tax assets</w:t>
            </w:r>
          </w:p>
        </w:tc>
        <w:tc>
          <w:tcPr>
            <w:tcW w:w="1418" w:type="dxa"/>
            <w:tcBorders>
              <w:top w:val="nil"/>
              <w:left w:val="nil"/>
              <w:bottom w:val="nil"/>
              <w:right w:val="nil"/>
            </w:tcBorders>
            <w:shd w:val="clear" w:color="000000" w:fill="C9E3B4"/>
            <w:noWrap/>
            <w:vAlign w:val="center"/>
            <w:hideMark/>
          </w:tcPr>
          <w:p w14:paraId="2DC9A85A"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2C4C5AB7"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840E60A"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3CC5D304"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C3D21F0"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204BB3BB"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33AC19C"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50224BBF"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4EC0C291"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216" w:type="dxa"/>
            <w:tcBorders>
              <w:top w:val="nil"/>
              <w:left w:val="nil"/>
              <w:bottom w:val="nil"/>
              <w:right w:val="nil"/>
            </w:tcBorders>
            <w:shd w:val="clear" w:color="auto" w:fill="auto"/>
            <w:noWrap/>
            <w:vAlign w:val="center"/>
            <w:hideMark/>
          </w:tcPr>
          <w:p w14:paraId="53F508E5"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7A631952"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3,001 </w:t>
            </w:r>
          </w:p>
        </w:tc>
      </w:tr>
      <w:tr w:rsidR="00BC5219" w:rsidRPr="009C55C2" w14:paraId="143649F4" w14:textId="77777777" w:rsidTr="00E83802">
        <w:trPr>
          <w:trHeight w:val="198"/>
        </w:trPr>
        <w:tc>
          <w:tcPr>
            <w:tcW w:w="198" w:type="dxa"/>
            <w:tcBorders>
              <w:top w:val="nil"/>
              <w:left w:val="nil"/>
              <w:bottom w:val="nil"/>
              <w:right w:val="nil"/>
            </w:tcBorders>
            <w:shd w:val="clear" w:color="auto" w:fill="auto"/>
            <w:noWrap/>
            <w:vAlign w:val="center"/>
            <w:hideMark/>
          </w:tcPr>
          <w:p w14:paraId="1CBE2520"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45A2EB88"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Right-of-use assets</w:t>
            </w:r>
          </w:p>
        </w:tc>
        <w:tc>
          <w:tcPr>
            <w:tcW w:w="1418" w:type="dxa"/>
            <w:tcBorders>
              <w:top w:val="nil"/>
              <w:left w:val="nil"/>
              <w:bottom w:val="nil"/>
              <w:right w:val="nil"/>
            </w:tcBorders>
            <w:shd w:val="clear" w:color="000000" w:fill="C9E3B4"/>
            <w:noWrap/>
            <w:vAlign w:val="center"/>
            <w:hideMark/>
          </w:tcPr>
          <w:p w14:paraId="16328F02"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87,514 </w:t>
            </w:r>
          </w:p>
        </w:tc>
        <w:tc>
          <w:tcPr>
            <w:tcW w:w="198" w:type="dxa"/>
            <w:tcBorders>
              <w:top w:val="nil"/>
              <w:left w:val="nil"/>
              <w:bottom w:val="nil"/>
              <w:right w:val="nil"/>
            </w:tcBorders>
            <w:shd w:val="clear" w:color="auto" w:fill="auto"/>
            <w:noWrap/>
            <w:vAlign w:val="center"/>
            <w:hideMark/>
          </w:tcPr>
          <w:p w14:paraId="2CA507F5"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522F1FBD"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11,357 </w:t>
            </w:r>
          </w:p>
        </w:tc>
        <w:tc>
          <w:tcPr>
            <w:tcW w:w="198" w:type="dxa"/>
            <w:tcBorders>
              <w:top w:val="nil"/>
              <w:left w:val="nil"/>
              <w:bottom w:val="nil"/>
              <w:right w:val="nil"/>
            </w:tcBorders>
            <w:shd w:val="clear" w:color="auto" w:fill="auto"/>
            <w:noWrap/>
            <w:vAlign w:val="center"/>
            <w:hideMark/>
          </w:tcPr>
          <w:p w14:paraId="74E1786A"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8D563C9"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7D61D16F"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2CAC911A"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73475CFF"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3C79894"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216" w:type="dxa"/>
            <w:tcBorders>
              <w:top w:val="nil"/>
              <w:left w:val="nil"/>
              <w:bottom w:val="nil"/>
              <w:right w:val="nil"/>
            </w:tcBorders>
            <w:shd w:val="clear" w:color="auto" w:fill="auto"/>
            <w:noWrap/>
            <w:vAlign w:val="center"/>
            <w:hideMark/>
          </w:tcPr>
          <w:p w14:paraId="6B3515A4"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6E8C3767"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98,871 </w:t>
            </w:r>
          </w:p>
        </w:tc>
      </w:tr>
      <w:tr w:rsidR="00BC5219" w:rsidRPr="009C55C2" w14:paraId="5CC09DF0" w14:textId="77777777" w:rsidTr="00E83802">
        <w:trPr>
          <w:trHeight w:val="198"/>
        </w:trPr>
        <w:tc>
          <w:tcPr>
            <w:tcW w:w="198" w:type="dxa"/>
            <w:tcBorders>
              <w:top w:val="nil"/>
              <w:left w:val="nil"/>
              <w:bottom w:val="nil"/>
              <w:right w:val="nil"/>
            </w:tcBorders>
            <w:shd w:val="clear" w:color="auto" w:fill="auto"/>
            <w:noWrap/>
            <w:vAlign w:val="center"/>
            <w:hideMark/>
          </w:tcPr>
          <w:p w14:paraId="01BFDFE6"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38FD2E42"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Investment in subsidiary</w:t>
            </w:r>
          </w:p>
        </w:tc>
        <w:tc>
          <w:tcPr>
            <w:tcW w:w="1418" w:type="dxa"/>
            <w:tcBorders>
              <w:top w:val="nil"/>
              <w:left w:val="nil"/>
              <w:bottom w:val="nil"/>
              <w:right w:val="nil"/>
            </w:tcBorders>
            <w:shd w:val="clear" w:color="000000" w:fill="C9E3B4"/>
            <w:noWrap/>
            <w:vAlign w:val="center"/>
            <w:hideMark/>
          </w:tcPr>
          <w:p w14:paraId="63E45A31"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4A64EDD4"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D04CAAA"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5BDF9DC5"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2CB46962"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203B8DC6"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27BAAF1C"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3FDC9845"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CCA5368"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216" w:type="dxa"/>
            <w:tcBorders>
              <w:top w:val="nil"/>
              <w:left w:val="nil"/>
              <w:bottom w:val="nil"/>
              <w:right w:val="nil"/>
            </w:tcBorders>
            <w:shd w:val="clear" w:color="auto" w:fill="auto"/>
            <w:noWrap/>
            <w:vAlign w:val="center"/>
            <w:hideMark/>
          </w:tcPr>
          <w:p w14:paraId="48EE6312"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single" w:sz="4" w:space="0" w:color="auto"/>
              <w:right w:val="nil"/>
            </w:tcBorders>
            <w:shd w:val="clear" w:color="000000" w:fill="C9E3B4"/>
            <w:noWrap/>
            <w:vAlign w:val="center"/>
            <w:hideMark/>
          </w:tcPr>
          <w:p w14:paraId="7C5B7C68"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15,601 </w:t>
            </w:r>
          </w:p>
        </w:tc>
      </w:tr>
      <w:tr w:rsidR="00BC5219" w:rsidRPr="009C55C2" w14:paraId="483DA6DA" w14:textId="77777777" w:rsidTr="00E83802">
        <w:trPr>
          <w:trHeight w:val="198"/>
        </w:trPr>
        <w:tc>
          <w:tcPr>
            <w:tcW w:w="198" w:type="dxa"/>
            <w:tcBorders>
              <w:top w:val="single" w:sz="4" w:space="0" w:color="auto"/>
              <w:left w:val="nil"/>
              <w:bottom w:val="nil"/>
              <w:right w:val="nil"/>
            </w:tcBorders>
            <w:shd w:val="clear" w:color="auto" w:fill="auto"/>
            <w:noWrap/>
            <w:vAlign w:val="center"/>
            <w:hideMark/>
          </w:tcPr>
          <w:p w14:paraId="6477D946"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4366" w:type="dxa"/>
            <w:tcBorders>
              <w:top w:val="single" w:sz="4" w:space="0" w:color="auto"/>
              <w:left w:val="nil"/>
              <w:bottom w:val="nil"/>
              <w:right w:val="nil"/>
            </w:tcBorders>
            <w:shd w:val="clear" w:color="auto" w:fill="auto"/>
            <w:noWrap/>
            <w:vAlign w:val="center"/>
            <w:hideMark/>
          </w:tcPr>
          <w:p w14:paraId="64D75182" w14:textId="77777777" w:rsidR="00BC5219" w:rsidRPr="009C55C2" w:rsidRDefault="00BC5219" w:rsidP="00E83802">
            <w:pPr>
              <w:rPr>
                <w:rFonts w:ascii="Meta Pro" w:eastAsia="Times New Roman" w:hAnsi="Meta Pro"/>
                <w:b/>
                <w:bCs/>
                <w:sz w:val="16"/>
                <w:szCs w:val="16"/>
                <w:lang w:eastAsia="en-AU"/>
              </w:rPr>
            </w:pPr>
            <w:r w:rsidRPr="009C55C2">
              <w:rPr>
                <w:rFonts w:ascii="Meta Pro" w:eastAsia="Times New Roman" w:hAnsi="Meta Pro"/>
                <w:b/>
                <w:bCs/>
                <w:sz w:val="16"/>
                <w:szCs w:val="16"/>
                <w:lang w:eastAsia="en-AU"/>
              </w:rPr>
              <w:t>Total non-current assets</w:t>
            </w:r>
          </w:p>
        </w:tc>
        <w:tc>
          <w:tcPr>
            <w:tcW w:w="1418" w:type="dxa"/>
            <w:tcBorders>
              <w:top w:val="single" w:sz="4" w:space="0" w:color="auto"/>
              <w:left w:val="nil"/>
              <w:bottom w:val="nil"/>
              <w:right w:val="nil"/>
            </w:tcBorders>
            <w:shd w:val="clear" w:color="000000" w:fill="C9E3B4"/>
            <w:noWrap/>
            <w:vAlign w:val="center"/>
            <w:hideMark/>
          </w:tcPr>
          <w:p w14:paraId="335EC477"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91,362 </w:t>
            </w:r>
          </w:p>
        </w:tc>
        <w:tc>
          <w:tcPr>
            <w:tcW w:w="198" w:type="dxa"/>
            <w:tcBorders>
              <w:top w:val="single" w:sz="4" w:space="0" w:color="auto"/>
              <w:left w:val="nil"/>
              <w:bottom w:val="nil"/>
              <w:right w:val="nil"/>
            </w:tcBorders>
            <w:shd w:val="clear" w:color="auto" w:fill="auto"/>
            <w:noWrap/>
            <w:vAlign w:val="center"/>
            <w:hideMark/>
          </w:tcPr>
          <w:p w14:paraId="55A3D3B5"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single" w:sz="4" w:space="0" w:color="auto"/>
              <w:left w:val="nil"/>
              <w:bottom w:val="nil"/>
              <w:right w:val="nil"/>
            </w:tcBorders>
            <w:shd w:val="clear" w:color="000000" w:fill="C9E3B4"/>
            <w:noWrap/>
            <w:vAlign w:val="center"/>
            <w:hideMark/>
          </w:tcPr>
          <w:p w14:paraId="08FDB5BA"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20,250 </w:t>
            </w:r>
          </w:p>
        </w:tc>
        <w:tc>
          <w:tcPr>
            <w:tcW w:w="198" w:type="dxa"/>
            <w:tcBorders>
              <w:top w:val="single" w:sz="4" w:space="0" w:color="auto"/>
              <w:left w:val="nil"/>
              <w:bottom w:val="nil"/>
              <w:right w:val="nil"/>
            </w:tcBorders>
            <w:shd w:val="clear" w:color="auto" w:fill="auto"/>
            <w:noWrap/>
            <w:vAlign w:val="center"/>
            <w:hideMark/>
          </w:tcPr>
          <w:p w14:paraId="0831546D"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single" w:sz="4" w:space="0" w:color="auto"/>
              <w:left w:val="nil"/>
              <w:bottom w:val="nil"/>
              <w:right w:val="nil"/>
            </w:tcBorders>
            <w:shd w:val="clear" w:color="000000" w:fill="C9E3B4"/>
            <w:noWrap/>
            <w:vAlign w:val="center"/>
            <w:hideMark/>
          </w:tcPr>
          <w:p w14:paraId="67808162"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5,407 </w:t>
            </w:r>
          </w:p>
        </w:tc>
        <w:tc>
          <w:tcPr>
            <w:tcW w:w="198" w:type="dxa"/>
            <w:tcBorders>
              <w:top w:val="single" w:sz="4" w:space="0" w:color="auto"/>
              <w:left w:val="nil"/>
              <w:bottom w:val="nil"/>
              <w:right w:val="nil"/>
            </w:tcBorders>
            <w:shd w:val="clear" w:color="auto" w:fill="auto"/>
            <w:noWrap/>
            <w:vAlign w:val="center"/>
            <w:hideMark/>
          </w:tcPr>
          <w:p w14:paraId="47F077C0"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single" w:sz="4" w:space="0" w:color="auto"/>
              <w:left w:val="nil"/>
              <w:bottom w:val="nil"/>
              <w:right w:val="nil"/>
            </w:tcBorders>
            <w:shd w:val="clear" w:color="000000" w:fill="C9E3B4"/>
            <w:noWrap/>
            <w:vAlign w:val="center"/>
            <w:hideMark/>
          </w:tcPr>
          <w:p w14:paraId="6F2ED0D9"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 </w:t>
            </w:r>
          </w:p>
        </w:tc>
        <w:tc>
          <w:tcPr>
            <w:tcW w:w="198" w:type="dxa"/>
            <w:tcBorders>
              <w:top w:val="single" w:sz="4" w:space="0" w:color="auto"/>
              <w:left w:val="nil"/>
              <w:bottom w:val="nil"/>
              <w:right w:val="nil"/>
            </w:tcBorders>
            <w:shd w:val="clear" w:color="auto" w:fill="auto"/>
            <w:noWrap/>
            <w:vAlign w:val="center"/>
            <w:hideMark/>
          </w:tcPr>
          <w:p w14:paraId="720EF556"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single" w:sz="4" w:space="0" w:color="auto"/>
              <w:left w:val="nil"/>
              <w:bottom w:val="nil"/>
              <w:right w:val="nil"/>
            </w:tcBorders>
            <w:shd w:val="clear" w:color="000000" w:fill="C9E3B4"/>
            <w:noWrap/>
            <w:vAlign w:val="center"/>
            <w:hideMark/>
          </w:tcPr>
          <w:p w14:paraId="42E6E2A5"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(19,000)</w:t>
            </w:r>
          </w:p>
        </w:tc>
        <w:tc>
          <w:tcPr>
            <w:tcW w:w="216" w:type="dxa"/>
            <w:tcBorders>
              <w:top w:val="single" w:sz="4" w:space="0" w:color="auto"/>
              <w:left w:val="nil"/>
              <w:bottom w:val="nil"/>
              <w:right w:val="nil"/>
            </w:tcBorders>
            <w:shd w:val="clear" w:color="auto" w:fill="auto"/>
            <w:noWrap/>
            <w:vAlign w:val="center"/>
            <w:hideMark/>
          </w:tcPr>
          <w:p w14:paraId="2E91BE44"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nil"/>
              <w:left w:val="nil"/>
              <w:bottom w:val="nil"/>
              <w:right w:val="nil"/>
            </w:tcBorders>
            <w:shd w:val="clear" w:color="000000" w:fill="C9E3B4"/>
            <w:noWrap/>
            <w:vAlign w:val="center"/>
            <w:hideMark/>
          </w:tcPr>
          <w:p w14:paraId="283D06E1"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118,864,373 </w:t>
            </w:r>
          </w:p>
        </w:tc>
      </w:tr>
      <w:tr w:rsidR="00BC5219" w:rsidRPr="009C55C2" w14:paraId="62F09702" w14:textId="77777777" w:rsidTr="00E83802">
        <w:trPr>
          <w:trHeight w:hRule="exact" w:val="142"/>
        </w:trPr>
        <w:tc>
          <w:tcPr>
            <w:tcW w:w="198" w:type="dxa"/>
            <w:tcBorders>
              <w:top w:val="nil"/>
              <w:left w:val="nil"/>
              <w:bottom w:val="nil"/>
              <w:right w:val="nil"/>
            </w:tcBorders>
            <w:shd w:val="clear" w:color="auto" w:fill="auto"/>
            <w:noWrap/>
            <w:vAlign w:val="center"/>
            <w:hideMark/>
          </w:tcPr>
          <w:p w14:paraId="0036CD1F"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5167BC28" w14:textId="77777777" w:rsidR="00BC5219" w:rsidRPr="009C55C2" w:rsidRDefault="00BC5219" w:rsidP="00E83802">
            <w:pPr>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000000" w:fill="C9E3B4"/>
            <w:noWrap/>
            <w:vAlign w:val="center"/>
            <w:hideMark/>
          </w:tcPr>
          <w:p w14:paraId="13AA3695"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03FCB126"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024A911"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6976B5BC"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A26CEDB"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0DDA6E12"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FBD5919"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6E0FBC2B"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6CB29E47"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216" w:type="dxa"/>
            <w:tcBorders>
              <w:top w:val="nil"/>
              <w:left w:val="nil"/>
              <w:bottom w:val="nil"/>
              <w:right w:val="nil"/>
            </w:tcBorders>
            <w:shd w:val="clear" w:color="auto" w:fill="auto"/>
            <w:noWrap/>
            <w:vAlign w:val="center"/>
            <w:hideMark/>
          </w:tcPr>
          <w:p w14:paraId="1B6EEFEC"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9F6FA64"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r>
      <w:tr w:rsidR="00BC5219" w:rsidRPr="009C55C2" w14:paraId="0FC79F17" w14:textId="77777777" w:rsidTr="00E83802">
        <w:trPr>
          <w:trHeight w:val="198"/>
        </w:trPr>
        <w:tc>
          <w:tcPr>
            <w:tcW w:w="4366" w:type="dxa"/>
            <w:gridSpan w:val="2"/>
            <w:tcBorders>
              <w:top w:val="nil"/>
              <w:left w:val="nil"/>
              <w:bottom w:val="double" w:sz="6" w:space="0" w:color="auto"/>
              <w:right w:val="nil"/>
            </w:tcBorders>
            <w:shd w:val="clear" w:color="auto" w:fill="auto"/>
            <w:noWrap/>
            <w:vAlign w:val="center"/>
            <w:hideMark/>
          </w:tcPr>
          <w:p w14:paraId="42DE08E9" w14:textId="77777777" w:rsidR="00BC5219" w:rsidRPr="009C55C2" w:rsidRDefault="00BC5219" w:rsidP="00E83802">
            <w:pPr>
              <w:rPr>
                <w:rFonts w:ascii="Meta Pro" w:eastAsia="Times New Roman" w:hAnsi="Meta Pro"/>
                <w:b/>
                <w:bCs/>
                <w:sz w:val="16"/>
                <w:szCs w:val="16"/>
                <w:lang w:eastAsia="en-AU"/>
              </w:rPr>
            </w:pPr>
            <w:r w:rsidRPr="009C55C2">
              <w:rPr>
                <w:rFonts w:ascii="Meta Pro" w:eastAsia="Times New Roman" w:hAnsi="Meta Pro"/>
                <w:b/>
                <w:bCs/>
                <w:sz w:val="16"/>
                <w:szCs w:val="16"/>
                <w:lang w:eastAsia="en-AU"/>
              </w:rPr>
              <w:t>Total assets</w:t>
            </w:r>
          </w:p>
        </w:tc>
        <w:tc>
          <w:tcPr>
            <w:tcW w:w="1418" w:type="dxa"/>
            <w:tcBorders>
              <w:top w:val="nil"/>
              <w:left w:val="nil"/>
              <w:bottom w:val="double" w:sz="6" w:space="0" w:color="auto"/>
              <w:right w:val="nil"/>
            </w:tcBorders>
            <w:shd w:val="clear" w:color="000000" w:fill="C9E3B4"/>
            <w:noWrap/>
            <w:vAlign w:val="center"/>
            <w:hideMark/>
          </w:tcPr>
          <w:p w14:paraId="5B089CAC"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127,468 </w:t>
            </w:r>
          </w:p>
        </w:tc>
        <w:tc>
          <w:tcPr>
            <w:tcW w:w="198" w:type="dxa"/>
            <w:tcBorders>
              <w:top w:val="nil"/>
              <w:left w:val="nil"/>
              <w:bottom w:val="double" w:sz="6" w:space="0" w:color="auto"/>
              <w:right w:val="nil"/>
            </w:tcBorders>
            <w:shd w:val="clear" w:color="auto" w:fill="auto"/>
            <w:noWrap/>
            <w:vAlign w:val="center"/>
            <w:hideMark/>
          </w:tcPr>
          <w:p w14:paraId="746F5E01"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nil"/>
              <w:left w:val="nil"/>
              <w:bottom w:val="double" w:sz="6" w:space="0" w:color="auto"/>
              <w:right w:val="nil"/>
            </w:tcBorders>
            <w:shd w:val="clear" w:color="000000" w:fill="C9E3B4"/>
            <w:noWrap/>
            <w:vAlign w:val="center"/>
            <w:hideMark/>
          </w:tcPr>
          <w:p w14:paraId="6F763F4D"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54,336 </w:t>
            </w:r>
          </w:p>
        </w:tc>
        <w:tc>
          <w:tcPr>
            <w:tcW w:w="198" w:type="dxa"/>
            <w:tcBorders>
              <w:top w:val="nil"/>
              <w:left w:val="nil"/>
              <w:bottom w:val="double" w:sz="6" w:space="0" w:color="auto"/>
              <w:right w:val="nil"/>
            </w:tcBorders>
            <w:shd w:val="clear" w:color="auto" w:fill="auto"/>
            <w:noWrap/>
            <w:vAlign w:val="center"/>
            <w:hideMark/>
          </w:tcPr>
          <w:p w14:paraId="26675F64"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nil"/>
              <w:left w:val="nil"/>
              <w:bottom w:val="double" w:sz="6" w:space="0" w:color="auto"/>
              <w:right w:val="nil"/>
            </w:tcBorders>
            <w:shd w:val="clear" w:color="000000" w:fill="C9E3B4"/>
            <w:noWrap/>
            <w:vAlign w:val="center"/>
            <w:hideMark/>
          </w:tcPr>
          <w:p w14:paraId="66C340E3"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63,914 </w:t>
            </w:r>
          </w:p>
        </w:tc>
        <w:tc>
          <w:tcPr>
            <w:tcW w:w="198" w:type="dxa"/>
            <w:tcBorders>
              <w:top w:val="nil"/>
              <w:left w:val="nil"/>
              <w:bottom w:val="double" w:sz="6" w:space="0" w:color="auto"/>
              <w:right w:val="nil"/>
            </w:tcBorders>
            <w:shd w:val="clear" w:color="auto" w:fill="auto"/>
            <w:noWrap/>
            <w:vAlign w:val="center"/>
            <w:hideMark/>
          </w:tcPr>
          <w:p w14:paraId="6B9D4231"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nil"/>
              <w:left w:val="nil"/>
              <w:bottom w:val="double" w:sz="6" w:space="0" w:color="auto"/>
              <w:right w:val="nil"/>
            </w:tcBorders>
            <w:shd w:val="clear" w:color="000000" w:fill="C9E3B4"/>
            <w:noWrap/>
            <w:vAlign w:val="center"/>
            <w:hideMark/>
          </w:tcPr>
          <w:p w14:paraId="0B014A10"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5,119 </w:t>
            </w:r>
          </w:p>
        </w:tc>
        <w:tc>
          <w:tcPr>
            <w:tcW w:w="198" w:type="dxa"/>
            <w:tcBorders>
              <w:top w:val="nil"/>
              <w:left w:val="nil"/>
              <w:bottom w:val="double" w:sz="6" w:space="0" w:color="auto"/>
              <w:right w:val="nil"/>
            </w:tcBorders>
            <w:shd w:val="clear" w:color="auto" w:fill="auto"/>
            <w:noWrap/>
            <w:vAlign w:val="center"/>
            <w:hideMark/>
          </w:tcPr>
          <w:p w14:paraId="4B830FD1"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nil"/>
              <w:left w:val="nil"/>
              <w:bottom w:val="double" w:sz="6" w:space="0" w:color="auto"/>
              <w:right w:val="nil"/>
            </w:tcBorders>
            <w:shd w:val="clear" w:color="000000" w:fill="C9E3B4"/>
            <w:noWrap/>
            <w:vAlign w:val="center"/>
            <w:hideMark/>
          </w:tcPr>
          <w:p w14:paraId="7E02B41E"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(147,803)</w:t>
            </w:r>
          </w:p>
        </w:tc>
        <w:tc>
          <w:tcPr>
            <w:tcW w:w="216" w:type="dxa"/>
            <w:tcBorders>
              <w:top w:val="nil"/>
              <w:left w:val="nil"/>
              <w:bottom w:val="double" w:sz="6" w:space="0" w:color="auto"/>
              <w:right w:val="nil"/>
            </w:tcBorders>
            <w:shd w:val="clear" w:color="auto" w:fill="auto"/>
            <w:noWrap/>
            <w:vAlign w:val="center"/>
            <w:hideMark/>
          </w:tcPr>
          <w:p w14:paraId="48C4D204"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nil"/>
              <w:left w:val="nil"/>
              <w:bottom w:val="double" w:sz="6" w:space="0" w:color="auto"/>
              <w:right w:val="nil"/>
            </w:tcBorders>
            <w:shd w:val="clear" w:color="000000" w:fill="C9E3B4"/>
            <w:noWrap/>
            <w:vAlign w:val="center"/>
            <w:hideMark/>
          </w:tcPr>
          <w:p w14:paraId="41B9CBAE"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119,917,902 </w:t>
            </w:r>
          </w:p>
        </w:tc>
      </w:tr>
      <w:tr w:rsidR="00BC5219" w:rsidRPr="009C55C2" w14:paraId="39E8D441" w14:textId="77777777" w:rsidTr="00E83802">
        <w:trPr>
          <w:trHeight w:hRule="exact" w:val="170"/>
        </w:trPr>
        <w:tc>
          <w:tcPr>
            <w:tcW w:w="198" w:type="dxa"/>
            <w:tcBorders>
              <w:top w:val="nil"/>
              <w:left w:val="nil"/>
              <w:bottom w:val="nil"/>
              <w:right w:val="nil"/>
            </w:tcBorders>
            <w:shd w:val="clear" w:color="auto" w:fill="auto"/>
            <w:noWrap/>
            <w:vAlign w:val="center"/>
            <w:hideMark/>
          </w:tcPr>
          <w:p w14:paraId="782EF6C4" w14:textId="77777777" w:rsidR="00BC5219" w:rsidRPr="009C55C2" w:rsidRDefault="00BC5219" w:rsidP="00E83802">
            <w:pPr>
              <w:jc w:val="right"/>
              <w:rPr>
                <w:rFonts w:ascii="Meta Pro" w:eastAsia="Times New Roman" w:hAnsi="Meta Pro"/>
                <w:b/>
                <w:bCs/>
                <w:sz w:val="16"/>
                <w:szCs w:val="16"/>
                <w:lang w:eastAsia="en-AU"/>
              </w:rPr>
            </w:pPr>
          </w:p>
        </w:tc>
        <w:tc>
          <w:tcPr>
            <w:tcW w:w="4366" w:type="dxa"/>
            <w:tcBorders>
              <w:top w:val="nil"/>
              <w:left w:val="nil"/>
              <w:bottom w:val="nil"/>
              <w:right w:val="nil"/>
            </w:tcBorders>
            <w:shd w:val="clear" w:color="auto" w:fill="auto"/>
            <w:noWrap/>
            <w:vAlign w:val="center"/>
            <w:hideMark/>
          </w:tcPr>
          <w:p w14:paraId="3CBDACFF" w14:textId="77777777" w:rsidR="00BC5219" w:rsidRPr="009C55C2" w:rsidRDefault="00BC5219" w:rsidP="00E83802">
            <w:pPr>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000000" w:fill="C9E3B4"/>
            <w:noWrap/>
            <w:vAlign w:val="center"/>
            <w:hideMark/>
          </w:tcPr>
          <w:p w14:paraId="53A28CC6"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1DFF757A"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6C4A9239"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03D88ACC"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255171C7"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4086A593"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88AE0C8"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52DE0D1B"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2BA9A458"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216" w:type="dxa"/>
            <w:tcBorders>
              <w:top w:val="nil"/>
              <w:left w:val="nil"/>
              <w:bottom w:val="nil"/>
              <w:right w:val="nil"/>
            </w:tcBorders>
            <w:shd w:val="clear" w:color="auto" w:fill="auto"/>
            <w:noWrap/>
            <w:vAlign w:val="center"/>
            <w:hideMark/>
          </w:tcPr>
          <w:p w14:paraId="26128E26"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30E41AE7"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r>
      <w:tr w:rsidR="00BC5219" w:rsidRPr="009C55C2" w14:paraId="4EC94B03" w14:textId="77777777" w:rsidTr="00E83802">
        <w:trPr>
          <w:trHeight w:val="198"/>
        </w:trPr>
        <w:tc>
          <w:tcPr>
            <w:tcW w:w="4366" w:type="dxa"/>
            <w:gridSpan w:val="2"/>
            <w:tcBorders>
              <w:top w:val="nil"/>
              <w:left w:val="nil"/>
              <w:bottom w:val="nil"/>
              <w:right w:val="nil"/>
            </w:tcBorders>
            <w:shd w:val="clear" w:color="auto" w:fill="auto"/>
            <w:noWrap/>
            <w:vAlign w:val="center"/>
            <w:hideMark/>
          </w:tcPr>
          <w:p w14:paraId="34238E44" w14:textId="77777777" w:rsidR="00BC5219" w:rsidRPr="009C55C2" w:rsidRDefault="00BC5219" w:rsidP="00E83802">
            <w:pPr>
              <w:rPr>
                <w:rFonts w:ascii="Meta Pro" w:eastAsia="Times New Roman" w:hAnsi="Meta Pro"/>
                <w:b/>
                <w:bCs/>
                <w:sz w:val="16"/>
                <w:szCs w:val="16"/>
                <w:lang w:eastAsia="en-AU"/>
              </w:rPr>
            </w:pPr>
            <w:r w:rsidRPr="009C55C2">
              <w:rPr>
                <w:rFonts w:ascii="Meta Pro" w:eastAsia="Times New Roman" w:hAnsi="Meta Pro"/>
                <w:b/>
                <w:bCs/>
                <w:sz w:val="16"/>
                <w:szCs w:val="16"/>
                <w:lang w:eastAsia="en-AU"/>
              </w:rPr>
              <w:t>Liabilities</w:t>
            </w:r>
          </w:p>
        </w:tc>
        <w:tc>
          <w:tcPr>
            <w:tcW w:w="1418" w:type="dxa"/>
            <w:tcBorders>
              <w:top w:val="nil"/>
              <w:left w:val="nil"/>
              <w:bottom w:val="nil"/>
              <w:right w:val="nil"/>
            </w:tcBorders>
            <w:shd w:val="clear" w:color="000000" w:fill="C9E3B4"/>
            <w:noWrap/>
            <w:vAlign w:val="center"/>
            <w:hideMark/>
          </w:tcPr>
          <w:p w14:paraId="53159993"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7EB17231"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7876C12D"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7EDDD374"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F060FF0"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469E3B56"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3F572138"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0CA2260E"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439AB037"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216" w:type="dxa"/>
            <w:tcBorders>
              <w:top w:val="nil"/>
              <w:left w:val="nil"/>
              <w:bottom w:val="nil"/>
              <w:right w:val="nil"/>
            </w:tcBorders>
            <w:shd w:val="clear" w:color="auto" w:fill="auto"/>
            <w:noWrap/>
            <w:vAlign w:val="center"/>
            <w:hideMark/>
          </w:tcPr>
          <w:p w14:paraId="2067129D"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2D41C257"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r>
      <w:tr w:rsidR="00BC5219" w:rsidRPr="009C55C2" w14:paraId="1D983C36" w14:textId="77777777" w:rsidTr="00E83802">
        <w:trPr>
          <w:trHeight w:val="198"/>
        </w:trPr>
        <w:tc>
          <w:tcPr>
            <w:tcW w:w="4366" w:type="dxa"/>
            <w:gridSpan w:val="2"/>
            <w:tcBorders>
              <w:top w:val="nil"/>
              <w:left w:val="nil"/>
              <w:bottom w:val="nil"/>
              <w:right w:val="nil"/>
            </w:tcBorders>
            <w:shd w:val="clear" w:color="auto" w:fill="auto"/>
            <w:noWrap/>
            <w:vAlign w:val="center"/>
            <w:hideMark/>
          </w:tcPr>
          <w:p w14:paraId="1B4F8FE7" w14:textId="77777777" w:rsidR="00BC5219" w:rsidRPr="009C55C2" w:rsidRDefault="00BC5219" w:rsidP="00E83802">
            <w:pPr>
              <w:rPr>
                <w:rFonts w:ascii="Meta Pro" w:eastAsia="Times New Roman" w:hAnsi="Meta Pro"/>
                <w:b/>
                <w:bCs/>
                <w:sz w:val="16"/>
                <w:szCs w:val="16"/>
                <w:lang w:eastAsia="en-AU"/>
              </w:rPr>
            </w:pPr>
            <w:r w:rsidRPr="009C55C2">
              <w:rPr>
                <w:rFonts w:ascii="Meta Pro" w:eastAsia="Times New Roman" w:hAnsi="Meta Pro"/>
                <w:b/>
                <w:bCs/>
                <w:sz w:val="16"/>
                <w:szCs w:val="16"/>
                <w:lang w:eastAsia="en-AU"/>
              </w:rPr>
              <w:t>Current liabilities</w:t>
            </w:r>
          </w:p>
        </w:tc>
        <w:tc>
          <w:tcPr>
            <w:tcW w:w="1418" w:type="dxa"/>
            <w:tcBorders>
              <w:top w:val="nil"/>
              <w:left w:val="nil"/>
              <w:bottom w:val="nil"/>
              <w:right w:val="nil"/>
            </w:tcBorders>
            <w:shd w:val="clear" w:color="000000" w:fill="C9E3B4"/>
            <w:noWrap/>
            <w:vAlign w:val="center"/>
            <w:hideMark/>
          </w:tcPr>
          <w:p w14:paraId="56505447"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62BE0CF2"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300381FF"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119EE490"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7B32262"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4E3ADAAC"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42E3E6DB"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3C1C2864"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F464D16"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216" w:type="dxa"/>
            <w:tcBorders>
              <w:top w:val="nil"/>
              <w:left w:val="nil"/>
              <w:bottom w:val="nil"/>
              <w:right w:val="nil"/>
            </w:tcBorders>
            <w:shd w:val="clear" w:color="auto" w:fill="auto"/>
            <w:noWrap/>
            <w:vAlign w:val="center"/>
            <w:hideMark/>
          </w:tcPr>
          <w:p w14:paraId="670806C7"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39F8EC91"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r>
      <w:tr w:rsidR="00BC5219" w:rsidRPr="009C55C2" w14:paraId="57703946" w14:textId="77777777" w:rsidTr="00E83802">
        <w:trPr>
          <w:trHeight w:val="198"/>
        </w:trPr>
        <w:tc>
          <w:tcPr>
            <w:tcW w:w="198" w:type="dxa"/>
            <w:tcBorders>
              <w:top w:val="nil"/>
              <w:left w:val="nil"/>
              <w:bottom w:val="nil"/>
              <w:right w:val="nil"/>
            </w:tcBorders>
            <w:shd w:val="clear" w:color="auto" w:fill="auto"/>
            <w:noWrap/>
            <w:vAlign w:val="center"/>
            <w:hideMark/>
          </w:tcPr>
          <w:p w14:paraId="744AACAB"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6FCF2024"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Payables</w:t>
            </w:r>
          </w:p>
        </w:tc>
        <w:tc>
          <w:tcPr>
            <w:tcW w:w="1418" w:type="dxa"/>
            <w:tcBorders>
              <w:top w:val="nil"/>
              <w:left w:val="nil"/>
              <w:bottom w:val="nil"/>
              <w:right w:val="nil"/>
            </w:tcBorders>
            <w:shd w:val="clear" w:color="000000" w:fill="C9E3B4"/>
            <w:noWrap/>
            <w:vAlign w:val="center"/>
            <w:hideMark/>
          </w:tcPr>
          <w:p w14:paraId="78110760"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27,592 </w:t>
            </w:r>
          </w:p>
        </w:tc>
        <w:tc>
          <w:tcPr>
            <w:tcW w:w="198" w:type="dxa"/>
            <w:tcBorders>
              <w:top w:val="nil"/>
              <w:left w:val="nil"/>
              <w:bottom w:val="nil"/>
              <w:right w:val="nil"/>
            </w:tcBorders>
            <w:shd w:val="clear" w:color="auto" w:fill="auto"/>
            <w:noWrap/>
            <w:vAlign w:val="center"/>
            <w:hideMark/>
          </w:tcPr>
          <w:p w14:paraId="4054E948"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4864F4B"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8,806 </w:t>
            </w:r>
          </w:p>
        </w:tc>
        <w:tc>
          <w:tcPr>
            <w:tcW w:w="198" w:type="dxa"/>
            <w:tcBorders>
              <w:top w:val="nil"/>
              <w:left w:val="nil"/>
              <w:bottom w:val="nil"/>
              <w:right w:val="nil"/>
            </w:tcBorders>
            <w:shd w:val="clear" w:color="auto" w:fill="auto"/>
            <w:noWrap/>
            <w:vAlign w:val="center"/>
            <w:hideMark/>
          </w:tcPr>
          <w:p w14:paraId="7F9CA571"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3783DEE8"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2,211 </w:t>
            </w:r>
          </w:p>
        </w:tc>
        <w:tc>
          <w:tcPr>
            <w:tcW w:w="198" w:type="dxa"/>
            <w:tcBorders>
              <w:top w:val="nil"/>
              <w:left w:val="nil"/>
              <w:bottom w:val="nil"/>
              <w:right w:val="nil"/>
            </w:tcBorders>
            <w:shd w:val="clear" w:color="auto" w:fill="auto"/>
            <w:noWrap/>
            <w:vAlign w:val="center"/>
            <w:hideMark/>
          </w:tcPr>
          <w:p w14:paraId="590B31B0"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D7E0AC0"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198 </w:t>
            </w:r>
          </w:p>
        </w:tc>
        <w:tc>
          <w:tcPr>
            <w:tcW w:w="198" w:type="dxa"/>
            <w:tcBorders>
              <w:top w:val="nil"/>
              <w:left w:val="nil"/>
              <w:bottom w:val="nil"/>
              <w:right w:val="nil"/>
            </w:tcBorders>
            <w:shd w:val="clear" w:color="auto" w:fill="auto"/>
            <w:noWrap/>
            <w:vAlign w:val="center"/>
            <w:hideMark/>
          </w:tcPr>
          <w:p w14:paraId="076F2B1D"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4ED5B653"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(128,803)</w:t>
            </w:r>
          </w:p>
        </w:tc>
        <w:tc>
          <w:tcPr>
            <w:tcW w:w="216" w:type="dxa"/>
            <w:tcBorders>
              <w:top w:val="nil"/>
              <w:left w:val="nil"/>
              <w:bottom w:val="nil"/>
              <w:right w:val="nil"/>
            </w:tcBorders>
            <w:shd w:val="clear" w:color="auto" w:fill="auto"/>
            <w:noWrap/>
            <w:vAlign w:val="center"/>
            <w:hideMark/>
          </w:tcPr>
          <w:p w14:paraId="77C0703B"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2C9E7EB9"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942,274 </w:t>
            </w:r>
          </w:p>
        </w:tc>
      </w:tr>
      <w:tr w:rsidR="00BC5219" w:rsidRPr="009C55C2" w14:paraId="621161A3" w14:textId="77777777" w:rsidTr="00E83802">
        <w:trPr>
          <w:trHeight w:val="198"/>
        </w:trPr>
        <w:tc>
          <w:tcPr>
            <w:tcW w:w="198" w:type="dxa"/>
            <w:tcBorders>
              <w:top w:val="nil"/>
              <w:left w:val="nil"/>
              <w:bottom w:val="nil"/>
              <w:right w:val="nil"/>
            </w:tcBorders>
            <w:shd w:val="clear" w:color="auto" w:fill="auto"/>
            <w:noWrap/>
            <w:vAlign w:val="center"/>
            <w:hideMark/>
          </w:tcPr>
          <w:p w14:paraId="075229DF"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761CF1A7"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Borrowings</w:t>
            </w:r>
          </w:p>
        </w:tc>
        <w:tc>
          <w:tcPr>
            <w:tcW w:w="1418" w:type="dxa"/>
            <w:tcBorders>
              <w:top w:val="nil"/>
              <w:left w:val="nil"/>
              <w:bottom w:val="nil"/>
              <w:right w:val="nil"/>
            </w:tcBorders>
            <w:shd w:val="clear" w:color="000000" w:fill="C9E3B4"/>
            <w:noWrap/>
            <w:vAlign w:val="center"/>
            <w:hideMark/>
          </w:tcPr>
          <w:p w14:paraId="4F6F82DC"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03FC210B"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7A8C64C8"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770338ED"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51ABC812"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46272AA3"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679B8FB8"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55E5843F"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610F4F22"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216" w:type="dxa"/>
            <w:tcBorders>
              <w:top w:val="nil"/>
              <w:left w:val="nil"/>
              <w:bottom w:val="nil"/>
              <w:right w:val="nil"/>
            </w:tcBorders>
            <w:shd w:val="clear" w:color="auto" w:fill="auto"/>
            <w:noWrap/>
            <w:vAlign w:val="center"/>
            <w:hideMark/>
          </w:tcPr>
          <w:p w14:paraId="235BBAEC"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11EB4F9"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44,204 </w:t>
            </w:r>
          </w:p>
        </w:tc>
      </w:tr>
      <w:tr w:rsidR="00BC5219" w:rsidRPr="009C55C2" w14:paraId="7DD86858" w14:textId="77777777" w:rsidTr="00E83802">
        <w:trPr>
          <w:trHeight w:val="198"/>
        </w:trPr>
        <w:tc>
          <w:tcPr>
            <w:tcW w:w="198" w:type="dxa"/>
            <w:tcBorders>
              <w:top w:val="nil"/>
              <w:left w:val="nil"/>
              <w:bottom w:val="nil"/>
              <w:right w:val="nil"/>
            </w:tcBorders>
            <w:shd w:val="clear" w:color="auto" w:fill="auto"/>
            <w:noWrap/>
            <w:vAlign w:val="center"/>
            <w:hideMark/>
          </w:tcPr>
          <w:p w14:paraId="4FDB985C"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3670DBB6"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Provisions</w:t>
            </w:r>
          </w:p>
        </w:tc>
        <w:tc>
          <w:tcPr>
            <w:tcW w:w="1418" w:type="dxa"/>
            <w:tcBorders>
              <w:top w:val="nil"/>
              <w:left w:val="nil"/>
              <w:bottom w:val="nil"/>
              <w:right w:val="nil"/>
            </w:tcBorders>
            <w:shd w:val="clear" w:color="000000" w:fill="C9E3B4"/>
            <w:noWrap/>
            <w:vAlign w:val="center"/>
            <w:hideMark/>
          </w:tcPr>
          <w:p w14:paraId="22A9AA3D"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964 </w:t>
            </w:r>
          </w:p>
        </w:tc>
        <w:tc>
          <w:tcPr>
            <w:tcW w:w="198" w:type="dxa"/>
            <w:tcBorders>
              <w:top w:val="nil"/>
              <w:left w:val="nil"/>
              <w:bottom w:val="nil"/>
              <w:right w:val="nil"/>
            </w:tcBorders>
            <w:shd w:val="clear" w:color="auto" w:fill="auto"/>
            <w:noWrap/>
            <w:vAlign w:val="center"/>
            <w:hideMark/>
          </w:tcPr>
          <w:p w14:paraId="61F4A6D2"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1B0BD21"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7454519C"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61CBB779"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5F4A79CB"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472F3C9C"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7A34FAAB"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5D8175B2"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216" w:type="dxa"/>
            <w:tcBorders>
              <w:top w:val="nil"/>
              <w:left w:val="nil"/>
              <w:bottom w:val="nil"/>
              <w:right w:val="nil"/>
            </w:tcBorders>
            <w:shd w:val="clear" w:color="auto" w:fill="auto"/>
            <w:noWrap/>
            <w:vAlign w:val="center"/>
            <w:hideMark/>
          </w:tcPr>
          <w:p w14:paraId="4A8D0601"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F2C3420"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317,937 </w:t>
            </w:r>
          </w:p>
        </w:tc>
      </w:tr>
      <w:tr w:rsidR="00BC5219" w:rsidRPr="009C55C2" w14:paraId="07A3EA75" w14:textId="77777777" w:rsidTr="00E83802">
        <w:trPr>
          <w:trHeight w:val="198"/>
        </w:trPr>
        <w:tc>
          <w:tcPr>
            <w:tcW w:w="198" w:type="dxa"/>
            <w:tcBorders>
              <w:top w:val="nil"/>
              <w:left w:val="nil"/>
              <w:bottom w:val="nil"/>
              <w:right w:val="nil"/>
            </w:tcBorders>
            <w:shd w:val="clear" w:color="auto" w:fill="auto"/>
            <w:noWrap/>
            <w:vAlign w:val="center"/>
            <w:hideMark/>
          </w:tcPr>
          <w:p w14:paraId="7227E510"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7F8B82A1"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Accrued employee benefits</w:t>
            </w:r>
          </w:p>
        </w:tc>
        <w:tc>
          <w:tcPr>
            <w:tcW w:w="1418" w:type="dxa"/>
            <w:tcBorders>
              <w:top w:val="nil"/>
              <w:left w:val="nil"/>
              <w:bottom w:val="nil"/>
              <w:right w:val="nil"/>
            </w:tcBorders>
            <w:shd w:val="clear" w:color="000000" w:fill="C9E3B4"/>
            <w:noWrap/>
            <w:vAlign w:val="center"/>
            <w:hideMark/>
          </w:tcPr>
          <w:p w14:paraId="261F6961"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2,141 </w:t>
            </w:r>
          </w:p>
        </w:tc>
        <w:tc>
          <w:tcPr>
            <w:tcW w:w="198" w:type="dxa"/>
            <w:tcBorders>
              <w:top w:val="nil"/>
              <w:left w:val="nil"/>
              <w:bottom w:val="nil"/>
              <w:right w:val="nil"/>
            </w:tcBorders>
            <w:shd w:val="clear" w:color="auto" w:fill="auto"/>
            <w:noWrap/>
            <w:vAlign w:val="center"/>
            <w:hideMark/>
          </w:tcPr>
          <w:p w14:paraId="1E1A70B4"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77626149"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1,278 </w:t>
            </w:r>
          </w:p>
        </w:tc>
        <w:tc>
          <w:tcPr>
            <w:tcW w:w="198" w:type="dxa"/>
            <w:tcBorders>
              <w:top w:val="nil"/>
              <w:left w:val="nil"/>
              <w:bottom w:val="nil"/>
              <w:right w:val="nil"/>
            </w:tcBorders>
            <w:shd w:val="clear" w:color="auto" w:fill="auto"/>
            <w:noWrap/>
            <w:vAlign w:val="center"/>
            <w:hideMark/>
          </w:tcPr>
          <w:p w14:paraId="143B1AB1"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3A7BC4CE"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2,276 </w:t>
            </w:r>
          </w:p>
        </w:tc>
        <w:tc>
          <w:tcPr>
            <w:tcW w:w="198" w:type="dxa"/>
            <w:tcBorders>
              <w:top w:val="nil"/>
              <w:left w:val="nil"/>
              <w:bottom w:val="nil"/>
              <w:right w:val="nil"/>
            </w:tcBorders>
            <w:shd w:val="clear" w:color="auto" w:fill="auto"/>
            <w:noWrap/>
            <w:vAlign w:val="center"/>
            <w:hideMark/>
          </w:tcPr>
          <w:p w14:paraId="3939D7C5"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7B177E99"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239 </w:t>
            </w:r>
          </w:p>
        </w:tc>
        <w:tc>
          <w:tcPr>
            <w:tcW w:w="198" w:type="dxa"/>
            <w:tcBorders>
              <w:top w:val="nil"/>
              <w:left w:val="nil"/>
              <w:bottom w:val="nil"/>
              <w:right w:val="nil"/>
            </w:tcBorders>
            <w:shd w:val="clear" w:color="auto" w:fill="auto"/>
            <w:noWrap/>
            <w:vAlign w:val="center"/>
            <w:hideMark/>
          </w:tcPr>
          <w:p w14:paraId="4F60B236"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4BA19A8F"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216" w:type="dxa"/>
            <w:tcBorders>
              <w:top w:val="nil"/>
              <w:left w:val="nil"/>
              <w:bottom w:val="nil"/>
              <w:right w:val="nil"/>
            </w:tcBorders>
            <w:shd w:val="clear" w:color="auto" w:fill="auto"/>
            <w:noWrap/>
            <w:vAlign w:val="center"/>
            <w:hideMark/>
          </w:tcPr>
          <w:p w14:paraId="11B32ABB"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217B060D"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40,445 </w:t>
            </w:r>
          </w:p>
        </w:tc>
      </w:tr>
      <w:tr w:rsidR="00BC5219" w:rsidRPr="009C55C2" w14:paraId="61B29820" w14:textId="77777777" w:rsidTr="00E83802">
        <w:trPr>
          <w:trHeight w:val="198"/>
        </w:trPr>
        <w:tc>
          <w:tcPr>
            <w:tcW w:w="198" w:type="dxa"/>
            <w:tcBorders>
              <w:top w:val="nil"/>
              <w:left w:val="nil"/>
              <w:bottom w:val="nil"/>
              <w:right w:val="nil"/>
            </w:tcBorders>
            <w:shd w:val="clear" w:color="auto" w:fill="auto"/>
            <w:noWrap/>
            <w:vAlign w:val="center"/>
            <w:hideMark/>
          </w:tcPr>
          <w:p w14:paraId="366633CA"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09DDA973"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 xml:space="preserve">Unearned revenue – service concession arrangements </w:t>
            </w:r>
          </w:p>
        </w:tc>
        <w:tc>
          <w:tcPr>
            <w:tcW w:w="1418" w:type="dxa"/>
            <w:tcBorders>
              <w:top w:val="nil"/>
              <w:left w:val="nil"/>
              <w:bottom w:val="nil"/>
              <w:right w:val="nil"/>
            </w:tcBorders>
            <w:shd w:val="clear" w:color="000000" w:fill="C9E3B4"/>
            <w:noWrap/>
            <w:vAlign w:val="center"/>
            <w:hideMark/>
          </w:tcPr>
          <w:p w14:paraId="17BA44D2"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5FEEEDED"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6C2A7B6E"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34CE1F1A"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628BF0E6"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2DA59A32"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4519468E"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75B49FFB"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2D6A5DB1"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216" w:type="dxa"/>
            <w:tcBorders>
              <w:top w:val="nil"/>
              <w:left w:val="nil"/>
              <w:bottom w:val="nil"/>
              <w:right w:val="nil"/>
            </w:tcBorders>
            <w:shd w:val="clear" w:color="auto" w:fill="auto"/>
            <w:noWrap/>
            <w:vAlign w:val="center"/>
            <w:hideMark/>
          </w:tcPr>
          <w:p w14:paraId="64990C5E"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5E7C4D69"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232,180 </w:t>
            </w:r>
          </w:p>
        </w:tc>
      </w:tr>
      <w:tr w:rsidR="00BC5219" w:rsidRPr="009C55C2" w14:paraId="1EC6FBD6" w14:textId="77777777" w:rsidTr="00E83802">
        <w:trPr>
          <w:trHeight w:val="198"/>
        </w:trPr>
        <w:tc>
          <w:tcPr>
            <w:tcW w:w="198" w:type="dxa"/>
            <w:tcBorders>
              <w:top w:val="nil"/>
              <w:left w:val="nil"/>
              <w:bottom w:val="nil"/>
              <w:right w:val="nil"/>
            </w:tcBorders>
            <w:shd w:val="clear" w:color="auto" w:fill="auto"/>
            <w:noWrap/>
            <w:vAlign w:val="center"/>
            <w:hideMark/>
          </w:tcPr>
          <w:p w14:paraId="1B82DB72"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06295366"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Lease liabilities</w:t>
            </w:r>
          </w:p>
        </w:tc>
        <w:tc>
          <w:tcPr>
            <w:tcW w:w="1418" w:type="dxa"/>
            <w:tcBorders>
              <w:top w:val="nil"/>
              <w:left w:val="nil"/>
              <w:bottom w:val="nil"/>
              <w:right w:val="nil"/>
            </w:tcBorders>
            <w:shd w:val="clear" w:color="000000" w:fill="C9E3B4"/>
            <w:noWrap/>
            <w:vAlign w:val="center"/>
            <w:hideMark/>
          </w:tcPr>
          <w:p w14:paraId="7A711F42"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17,142 </w:t>
            </w:r>
          </w:p>
        </w:tc>
        <w:tc>
          <w:tcPr>
            <w:tcW w:w="198" w:type="dxa"/>
            <w:tcBorders>
              <w:top w:val="nil"/>
              <w:left w:val="nil"/>
              <w:bottom w:val="nil"/>
              <w:right w:val="nil"/>
            </w:tcBorders>
            <w:shd w:val="clear" w:color="auto" w:fill="auto"/>
            <w:noWrap/>
            <w:vAlign w:val="center"/>
            <w:hideMark/>
          </w:tcPr>
          <w:p w14:paraId="60C91173"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CAF46F7"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7,714 </w:t>
            </w:r>
          </w:p>
        </w:tc>
        <w:tc>
          <w:tcPr>
            <w:tcW w:w="198" w:type="dxa"/>
            <w:tcBorders>
              <w:top w:val="nil"/>
              <w:left w:val="nil"/>
              <w:bottom w:val="nil"/>
              <w:right w:val="nil"/>
            </w:tcBorders>
            <w:shd w:val="clear" w:color="auto" w:fill="auto"/>
            <w:noWrap/>
            <w:vAlign w:val="center"/>
            <w:hideMark/>
          </w:tcPr>
          <w:p w14:paraId="0B423193"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5747E97"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61292472"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2680F19"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6D17D1D9"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45DA72A3"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216" w:type="dxa"/>
            <w:tcBorders>
              <w:top w:val="nil"/>
              <w:left w:val="nil"/>
              <w:bottom w:val="nil"/>
              <w:right w:val="nil"/>
            </w:tcBorders>
            <w:shd w:val="clear" w:color="auto" w:fill="auto"/>
            <w:noWrap/>
            <w:vAlign w:val="center"/>
            <w:hideMark/>
          </w:tcPr>
          <w:p w14:paraId="686CAAE8"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2BE5825D"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24,962 </w:t>
            </w:r>
          </w:p>
        </w:tc>
      </w:tr>
      <w:tr w:rsidR="00BC5219" w:rsidRPr="009C55C2" w14:paraId="3E88D0AA" w14:textId="77777777" w:rsidTr="00E83802">
        <w:trPr>
          <w:trHeight w:val="198"/>
        </w:trPr>
        <w:tc>
          <w:tcPr>
            <w:tcW w:w="198" w:type="dxa"/>
            <w:tcBorders>
              <w:top w:val="nil"/>
              <w:left w:val="nil"/>
              <w:bottom w:val="single" w:sz="4" w:space="0" w:color="auto"/>
              <w:right w:val="nil"/>
            </w:tcBorders>
            <w:shd w:val="clear" w:color="auto" w:fill="auto"/>
            <w:noWrap/>
            <w:vAlign w:val="center"/>
            <w:hideMark/>
          </w:tcPr>
          <w:p w14:paraId="52B7F03F"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4366" w:type="dxa"/>
            <w:tcBorders>
              <w:top w:val="nil"/>
              <w:left w:val="nil"/>
              <w:bottom w:val="nil"/>
              <w:right w:val="nil"/>
            </w:tcBorders>
            <w:shd w:val="clear" w:color="auto" w:fill="auto"/>
            <w:noWrap/>
            <w:vAlign w:val="center"/>
            <w:hideMark/>
          </w:tcPr>
          <w:p w14:paraId="758880DE"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 xml:space="preserve">Other </w:t>
            </w:r>
          </w:p>
        </w:tc>
        <w:tc>
          <w:tcPr>
            <w:tcW w:w="1418" w:type="dxa"/>
            <w:tcBorders>
              <w:top w:val="nil"/>
              <w:left w:val="nil"/>
              <w:bottom w:val="nil"/>
              <w:right w:val="nil"/>
            </w:tcBorders>
            <w:shd w:val="clear" w:color="000000" w:fill="C9E3B4"/>
            <w:noWrap/>
            <w:vAlign w:val="center"/>
            <w:hideMark/>
          </w:tcPr>
          <w:p w14:paraId="10C4B8A4"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497 </w:t>
            </w:r>
          </w:p>
        </w:tc>
        <w:tc>
          <w:tcPr>
            <w:tcW w:w="198" w:type="dxa"/>
            <w:tcBorders>
              <w:top w:val="nil"/>
              <w:left w:val="nil"/>
              <w:bottom w:val="nil"/>
              <w:right w:val="nil"/>
            </w:tcBorders>
            <w:shd w:val="clear" w:color="auto" w:fill="auto"/>
            <w:noWrap/>
            <w:vAlign w:val="center"/>
            <w:hideMark/>
          </w:tcPr>
          <w:p w14:paraId="65EC25F2"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2F78A1DC"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1,204 </w:t>
            </w:r>
          </w:p>
        </w:tc>
        <w:tc>
          <w:tcPr>
            <w:tcW w:w="198" w:type="dxa"/>
            <w:tcBorders>
              <w:top w:val="nil"/>
              <w:left w:val="nil"/>
              <w:bottom w:val="nil"/>
              <w:right w:val="nil"/>
            </w:tcBorders>
            <w:shd w:val="clear" w:color="auto" w:fill="auto"/>
            <w:noWrap/>
            <w:vAlign w:val="center"/>
            <w:hideMark/>
          </w:tcPr>
          <w:p w14:paraId="41E652CF"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3C039987"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3 </w:t>
            </w:r>
          </w:p>
        </w:tc>
        <w:tc>
          <w:tcPr>
            <w:tcW w:w="198" w:type="dxa"/>
            <w:tcBorders>
              <w:top w:val="nil"/>
              <w:left w:val="nil"/>
              <w:bottom w:val="nil"/>
              <w:right w:val="nil"/>
            </w:tcBorders>
            <w:shd w:val="clear" w:color="auto" w:fill="auto"/>
            <w:noWrap/>
            <w:vAlign w:val="center"/>
            <w:hideMark/>
          </w:tcPr>
          <w:p w14:paraId="7125B113"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4E07085C"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303 </w:t>
            </w:r>
          </w:p>
        </w:tc>
        <w:tc>
          <w:tcPr>
            <w:tcW w:w="198" w:type="dxa"/>
            <w:tcBorders>
              <w:top w:val="nil"/>
              <w:left w:val="nil"/>
              <w:bottom w:val="nil"/>
              <w:right w:val="nil"/>
            </w:tcBorders>
            <w:shd w:val="clear" w:color="auto" w:fill="auto"/>
            <w:noWrap/>
            <w:vAlign w:val="center"/>
            <w:hideMark/>
          </w:tcPr>
          <w:p w14:paraId="7ED87EF8"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528BF038"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216" w:type="dxa"/>
            <w:tcBorders>
              <w:top w:val="nil"/>
              <w:left w:val="nil"/>
              <w:bottom w:val="nil"/>
              <w:right w:val="nil"/>
            </w:tcBorders>
            <w:shd w:val="clear" w:color="auto" w:fill="auto"/>
            <w:noWrap/>
            <w:vAlign w:val="center"/>
            <w:hideMark/>
          </w:tcPr>
          <w:p w14:paraId="5D8B858F"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single" w:sz="4" w:space="0" w:color="auto"/>
              <w:right w:val="nil"/>
            </w:tcBorders>
            <w:shd w:val="clear" w:color="000000" w:fill="C9E3B4"/>
            <w:noWrap/>
            <w:vAlign w:val="center"/>
            <w:hideMark/>
          </w:tcPr>
          <w:p w14:paraId="4C8FAA65"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241,599 </w:t>
            </w:r>
          </w:p>
        </w:tc>
      </w:tr>
      <w:tr w:rsidR="00BC5219" w:rsidRPr="009C55C2" w14:paraId="0EED1CFA" w14:textId="77777777" w:rsidTr="00E83802">
        <w:trPr>
          <w:trHeight w:val="198"/>
        </w:trPr>
        <w:tc>
          <w:tcPr>
            <w:tcW w:w="198" w:type="dxa"/>
            <w:tcBorders>
              <w:top w:val="nil"/>
              <w:left w:val="nil"/>
              <w:bottom w:val="nil"/>
              <w:right w:val="nil"/>
            </w:tcBorders>
            <w:shd w:val="clear" w:color="auto" w:fill="auto"/>
            <w:noWrap/>
            <w:vAlign w:val="center"/>
            <w:hideMark/>
          </w:tcPr>
          <w:p w14:paraId="21B9D9C9"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single" w:sz="4" w:space="0" w:color="auto"/>
              <w:left w:val="nil"/>
              <w:bottom w:val="nil"/>
              <w:right w:val="nil"/>
            </w:tcBorders>
            <w:shd w:val="clear" w:color="auto" w:fill="auto"/>
            <w:noWrap/>
            <w:vAlign w:val="center"/>
            <w:hideMark/>
          </w:tcPr>
          <w:p w14:paraId="71E4A731" w14:textId="77777777" w:rsidR="00BC5219" w:rsidRPr="009C55C2" w:rsidRDefault="00BC5219" w:rsidP="00E83802">
            <w:pPr>
              <w:rPr>
                <w:rFonts w:ascii="Meta Pro" w:eastAsia="Times New Roman" w:hAnsi="Meta Pro"/>
                <w:b/>
                <w:bCs/>
                <w:sz w:val="16"/>
                <w:szCs w:val="16"/>
                <w:lang w:eastAsia="en-AU"/>
              </w:rPr>
            </w:pPr>
            <w:r w:rsidRPr="009C55C2">
              <w:rPr>
                <w:rFonts w:ascii="Meta Pro" w:eastAsia="Times New Roman" w:hAnsi="Meta Pro"/>
                <w:b/>
                <w:bCs/>
                <w:sz w:val="16"/>
                <w:szCs w:val="16"/>
                <w:lang w:eastAsia="en-AU"/>
              </w:rPr>
              <w:t>Total current liabilities</w:t>
            </w:r>
          </w:p>
        </w:tc>
        <w:tc>
          <w:tcPr>
            <w:tcW w:w="1418" w:type="dxa"/>
            <w:tcBorders>
              <w:top w:val="single" w:sz="4" w:space="0" w:color="auto"/>
              <w:left w:val="nil"/>
              <w:bottom w:val="nil"/>
              <w:right w:val="nil"/>
            </w:tcBorders>
            <w:shd w:val="clear" w:color="000000" w:fill="C9E3B4"/>
            <w:noWrap/>
            <w:vAlign w:val="center"/>
            <w:hideMark/>
          </w:tcPr>
          <w:p w14:paraId="6BEF0553"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48,336 </w:t>
            </w:r>
          </w:p>
        </w:tc>
        <w:tc>
          <w:tcPr>
            <w:tcW w:w="198" w:type="dxa"/>
            <w:tcBorders>
              <w:top w:val="single" w:sz="4" w:space="0" w:color="auto"/>
              <w:left w:val="nil"/>
              <w:bottom w:val="nil"/>
              <w:right w:val="nil"/>
            </w:tcBorders>
            <w:shd w:val="clear" w:color="auto" w:fill="auto"/>
            <w:noWrap/>
            <w:vAlign w:val="center"/>
            <w:hideMark/>
          </w:tcPr>
          <w:p w14:paraId="4BAC2B2D"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single" w:sz="4" w:space="0" w:color="auto"/>
              <w:left w:val="nil"/>
              <w:bottom w:val="nil"/>
              <w:right w:val="nil"/>
            </w:tcBorders>
            <w:shd w:val="clear" w:color="000000" w:fill="C9E3B4"/>
            <w:noWrap/>
            <w:vAlign w:val="center"/>
            <w:hideMark/>
          </w:tcPr>
          <w:p w14:paraId="27013816"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19,002 </w:t>
            </w:r>
          </w:p>
        </w:tc>
        <w:tc>
          <w:tcPr>
            <w:tcW w:w="198" w:type="dxa"/>
            <w:tcBorders>
              <w:top w:val="single" w:sz="4" w:space="0" w:color="auto"/>
              <w:left w:val="nil"/>
              <w:bottom w:val="nil"/>
              <w:right w:val="nil"/>
            </w:tcBorders>
            <w:shd w:val="clear" w:color="auto" w:fill="auto"/>
            <w:noWrap/>
            <w:vAlign w:val="center"/>
            <w:hideMark/>
          </w:tcPr>
          <w:p w14:paraId="74D17C8E"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single" w:sz="4" w:space="0" w:color="auto"/>
              <w:left w:val="nil"/>
              <w:bottom w:val="nil"/>
              <w:right w:val="nil"/>
            </w:tcBorders>
            <w:shd w:val="clear" w:color="000000" w:fill="C9E3B4"/>
            <w:noWrap/>
            <w:vAlign w:val="center"/>
            <w:hideMark/>
          </w:tcPr>
          <w:p w14:paraId="23A44840"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4,490 </w:t>
            </w:r>
          </w:p>
        </w:tc>
        <w:tc>
          <w:tcPr>
            <w:tcW w:w="198" w:type="dxa"/>
            <w:tcBorders>
              <w:top w:val="single" w:sz="4" w:space="0" w:color="auto"/>
              <w:left w:val="nil"/>
              <w:bottom w:val="nil"/>
              <w:right w:val="nil"/>
            </w:tcBorders>
            <w:shd w:val="clear" w:color="auto" w:fill="auto"/>
            <w:noWrap/>
            <w:vAlign w:val="center"/>
            <w:hideMark/>
          </w:tcPr>
          <w:p w14:paraId="7074920B"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single" w:sz="4" w:space="0" w:color="auto"/>
              <w:left w:val="nil"/>
              <w:bottom w:val="nil"/>
              <w:right w:val="nil"/>
            </w:tcBorders>
            <w:shd w:val="clear" w:color="000000" w:fill="C9E3B4"/>
            <w:noWrap/>
            <w:vAlign w:val="center"/>
            <w:hideMark/>
          </w:tcPr>
          <w:p w14:paraId="4313A52F"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740 </w:t>
            </w:r>
          </w:p>
        </w:tc>
        <w:tc>
          <w:tcPr>
            <w:tcW w:w="198" w:type="dxa"/>
            <w:tcBorders>
              <w:top w:val="single" w:sz="4" w:space="0" w:color="auto"/>
              <w:left w:val="nil"/>
              <w:bottom w:val="nil"/>
              <w:right w:val="nil"/>
            </w:tcBorders>
            <w:shd w:val="clear" w:color="auto" w:fill="auto"/>
            <w:noWrap/>
            <w:vAlign w:val="center"/>
            <w:hideMark/>
          </w:tcPr>
          <w:p w14:paraId="63B4D935"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single" w:sz="4" w:space="0" w:color="auto"/>
              <w:left w:val="nil"/>
              <w:bottom w:val="nil"/>
              <w:right w:val="nil"/>
            </w:tcBorders>
            <w:shd w:val="clear" w:color="000000" w:fill="C9E3B4"/>
            <w:noWrap/>
            <w:vAlign w:val="center"/>
            <w:hideMark/>
          </w:tcPr>
          <w:p w14:paraId="2BFDBDFE"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(128,803)</w:t>
            </w:r>
          </w:p>
        </w:tc>
        <w:tc>
          <w:tcPr>
            <w:tcW w:w="216" w:type="dxa"/>
            <w:tcBorders>
              <w:top w:val="single" w:sz="4" w:space="0" w:color="auto"/>
              <w:left w:val="nil"/>
              <w:bottom w:val="nil"/>
              <w:right w:val="nil"/>
            </w:tcBorders>
            <w:shd w:val="clear" w:color="auto" w:fill="auto"/>
            <w:noWrap/>
            <w:vAlign w:val="center"/>
            <w:hideMark/>
          </w:tcPr>
          <w:p w14:paraId="406E76CA"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nil"/>
              <w:left w:val="nil"/>
              <w:bottom w:val="nil"/>
              <w:right w:val="nil"/>
            </w:tcBorders>
            <w:shd w:val="clear" w:color="000000" w:fill="C9E3B4"/>
            <w:noWrap/>
            <w:vAlign w:val="center"/>
            <w:hideMark/>
          </w:tcPr>
          <w:p w14:paraId="68D00217"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1,843,601 </w:t>
            </w:r>
          </w:p>
        </w:tc>
      </w:tr>
      <w:tr w:rsidR="00BC5219" w:rsidRPr="009C55C2" w14:paraId="6B79F24F" w14:textId="77777777" w:rsidTr="00E83802">
        <w:trPr>
          <w:trHeight w:hRule="exact" w:val="142"/>
        </w:trPr>
        <w:tc>
          <w:tcPr>
            <w:tcW w:w="198" w:type="dxa"/>
            <w:tcBorders>
              <w:top w:val="nil"/>
              <w:left w:val="nil"/>
              <w:bottom w:val="nil"/>
              <w:right w:val="nil"/>
            </w:tcBorders>
            <w:shd w:val="clear" w:color="auto" w:fill="auto"/>
            <w:noWrap/>
            <w:vAlign w:val="center"/>
            <w:hideMark/>
          </w:tcPr>
          <w:p w14:paraId="397D5686" w14:textId="77777777" w:rsidR="00BC5219" w:rsidRPr="009C55C2" w:rsidRDefault="00BC5219" w:rsidP="00E83802">
            <w:pPr>
              <w:jc w:val="right"/>
              <w:rPr>
                <w:rFonts w:ascii="Meta Pro" w:eastAsia="Times New Roman" w:hAnsi="Meta Pro"/>
                <w:b/>
                <w:bCs/>
                <w:sz w:val="16"/>
                <w:szCs w:val="16"/>
                <w:lang w:eastAsia="en-AU"/>
              </w:rPr>
            </w:pPr>
          </w:p>
        </w:tc>
        <w:tc>
          <w:tcPr>
            <w:tcW w:w="4366" w:type="dxa"/>
            <w:tcBorders>
              <w:top w:val="nil"/>
              <w:left w:val="nil"/>
              <w:bottom w:val="nil"/>
              <w:right w:val="nil"/>
            </w:tcBorders>
            <w:shd w:val="clear" w:color="auto" w:fill="auto"/>
            <w:noWrap/>
            <w:vAlign w:val="center"/>
            <w:hideMark/>
          </w:tcPr>
          <w:p w14:paraId="186D12E5" w14:textId="77777777" w:rsidR="00BC5219" w:rsidRPr="009C55C2" w:rsidRDefault="00BC5219" w:rsidP="00E83802">
            <w:pPr>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000000" w:fill="C9E3B4"/>
            <w:noWrap/>
            <w:vAlign w:val="center"/>
            <w:hideMark/>
          </w:tcPr>
          <w:p w14:paraId="2B7AA838"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1B943BB2"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20C2DCDB"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6E9F7215"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75E87621"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7208BC68"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5430DBB0"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7168DD28"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5EF928C9"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216" w:type="dxa"/>
            <w:tcBorders>
              <w:top w:val="nil"/>
              <w:left w:val="nil"/>
              <w:bottom w:val="nil"/>
              <w:right w:val="nil"/>
            </w:tcBorders>
            <w:shd w:val="clear" w:color="auto" w:fill="auto"/>
            <w:noWrap/>
            <w:vAlign w:val="center"/>
            <w:hideMark/>
          </w:tcPr>
          <w:p w14:paraId="179E9E88"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3B349662"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r>
      <w:tr w:rsidR="00BC5219" w:rsidRPr="009C55C2" w14:paraId="3FB618D6" w14:textId="77777777" w:rsidTr="00E83802">
        <w:trPr>
          <w:trHeight w:val="198"/>
        </w:trPr>
        <w:tc>
          <w:tcPr>
            <w:tcW w:w="4366" w:type="dxa"/>
            <w:gridSpan w:val="2"/>
            <w:tcBorders>
              <w:top w:val="nil"/>
              <w:left w:val="nil"/>
              <w:bottom w:val="nil"/>
              <w:right w:val="nil"/>
            </w:tcBorders>
            <w:shd w:val="clear" w:color="auto" w:fill="auto"/>
            <w:noWrap/>
            <w:vAlign w:val="center"/>
            <w:hideMark/>
          </w:tcPr>
          <w:p w14:paraId="4051B031" w14:textId="77777777" w:rsidR="00BC5219" w:rsidRPr="009C55C2" w:rsidRDefault="00BC5219" w:rsidP="00E83802">
            <w:pPr>
              <w:rPr>
                <w:rFonts w:ascii="Meta Pro" w:eastAsia="Times New Roman" w:hAnsi="Meta Pro"/>
                <w:b/>
                <w:bCs/>
                <w:sz w:val="16"/>
                <w:szCs w:val="16"/>
                <w:lang w:eastAsia="en-AU"/>
              </w:rPr>
            </w:pPr>
            <w:r w:rsidRPr="009C55C2">
              <w:rPr>
                <w:rFonts w:ascii="Meta Pro" w:eastAsia="Times New Roman" w:hAnsi="Meta Pro"/>
                <w:b/>
                <w:bCs/>
                <w:sz w:val="16"/>
                <w:szCs w:val="16"/>
                <w:lang w:eastAsia="en-AU"/>
              </w:rPr>
              <w:t>Non-current liabilities</w:t>
            </w:r>
          </w:p>
        </w:tc>
        <w:tc>
          <w:tcPr>
            <w:tcW w:w="1418" w:type="dxa"/>
            <w:tcBorders>
              <w:top w:val="nil"/>
              <w:left w:val="nil"/>
              <w:bottom w:val="nil"/>
              <w:right w:val="nil"/>
            </w:tcBorders>
            <w:shd w:val="clear" w:color="000000" w:fill="C9E3B4"/>
            <w:noWrap/>
            <w:vAlign w:val="center"/>
            <w:hideMark/>
          </w:tcPr>
          <w:p w14:paraId="18E12C6F"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11724FA1"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69659AE5"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79F42100"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25A2E6BA"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757A2C6F"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6B07875F"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1AE13AD4"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4D9A9F79"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216" w:type="dxa"/>
            <w:tcBorders>
              <w:top w:val="nil"/>
              <w:left w:val="nil"/>
              <w:bottom w:val="nil"/>
              <w:right w:val="nil"/>
            </w:tcBorders>
            <w:shd w:val="clear" w:color="auto" w:fill="auto"/>
            <w:noWrap/>
            <w:vAlign w:val="center"/>
            <w:hideMark/>
          </w:tcPr>
          <w:p w14:paraId="3FE4B13C"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43702130"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r>
      <w:tr w:rsidR="00BC5219" w:rsidRPr="009C55C2" w14:paraId="3D97E373" w14:textId="77777777" w:rsidTr="00E83802">
        <w:trPr>
          <w:trHeight w:val="198"/>
        </w:trPr>
        <w:tc>
          <w:tcPr>
            <w:tcW w:w="198" w:type="dxa"/>
            <w:tcBorders>
              <w:top w:val="nil"/>
              <w:left w:val="nil"/>
              <w:bottom w:val="nil"/>
              <w:right w:val="nil"/>
            </w:tcBorders>
            <w:shd w:val="clear" w:color="auto" w:fill="auto"/>
            <w:noWrap/>
            <w:vAlign w:val="center"/>
            <w:hideMark/>
          </w:tcPr>
          <w:p w14:paraId="47E3A0E2"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029FE176"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Borrowings</w:t>
            </w:r>
          </w:p>
        </w:tc>
        <w:tc>
          <w:tcPr>
            <w:tcW w:w="1418" w:type="dxa"/>
            <w:tcBorders>
              <w:top w:val="nil"/>
              <w:left w:val="nil"/>
              <w:bottom w:val="nil"/>
              <w:right w:val="nil"/>
            </w:tcBorders>
            <w:shd w:val="clear" w:color="000000" w:fill="C9E3B4"/>
            <w:noWrap/>
            <w:vAlign w:val="center"/>
            <w:hideMark/>
          </w:tcPr>
          <w:p w14:paraId="4A9919CC"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6E7F8E36"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2E7F9C10"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7092E1C2"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4DEBC869"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69744493"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2C77B2D7"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0714AA1E"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3ECEE35E"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(19,000)</w:t>
            </w:r>
          </w:p>
        </w:tc>
        <w:tc>
          <w:tcPr>
            <w:tcW w:w="216" w:type="dxa"/>
            <w:tcBorders>
              <w:top w:val="nil"/>
              <w:left w:val="nil"/>
              <w:bottom w:val="nil"/>
              <w:right w:val="nil"/>
            </w:tcBorders>
            <w:shd w:val="clear" w:color="auto" w:fill="auto"/>
            <w:noWrap/>
            <w:vAlign w:val="center"/>
            <w:hideMark/>
          </w:tcPr>
          <w:p w14:paraId="21F555E8"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5BED6711"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1,137,243 </w:t>
            </w:r>
          </w:p>
        </w:tc>
      </w:tr>
      <w:tr w:rsidR="00BC5219" w:rsidRPr="009C55C2" w14:paraId="67339F0C" w14:textId="77777777" w:rsidTr="00E83802">
        <w:trPr>
          <w:trHeight w:val="198"/>
        </w:trPr>
        <w:tc>
          <w:tcPr>
            <w:tcW w:w="198" w:type="dxa"/>
            <w:tcBorders>
              <w:top w:val="nil"/>
              <w:left w:val="nil"/>
              <w:bottom w:val="nil"/>
              <w:right w:val="nil"/>
            </w:tcBorders>
            <w:shd w:val="clear" w:color="auto" w:fill="auto"/>
            <w:noWrap/>
            <w:vAlign w:val="center"/>
            <w:hideMark/>
          </w:tcPr>
          <w:p w14:paraId="06FD7851"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44FD5E1E"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Provisions</w:t>
            </w:r>
          </w:p>
        </w:tc>
        <w:tc>
          <w:tcPr>
            <w:tcW w:w="1418" w:type="dxa"/>
            <w:tcBorders>
              <w:top w:val="nil"/>
              <w:left w:val="nil"/>
              <w:bottom w:val="nil"/>
              <w:right w:val="nil"/>
            </w:tcBorders>
            <w:shd w:val="clear" w:color="000000" w:fill="C9E3B4"/>
            <w:noWrap/>
            <w:vAlign w:val="center"/>
            <w:hideMark/>
          </w:tcPr>
          <w:p w14:paraId="4710828F"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5F6D83BC"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763B0B2"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167E57A3"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7F4B9D2"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52896A34"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7CBC4094"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5D0658FD"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5790B90D"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216" w:type="dxa"/>
            <w:tcBorders>
              <w:top w:val="nil"/>
              <w:left w:val="nil"/>
              <w:bottom w:val="nil"/>
              <w:right w:val="nil"/>
            </w:tcBorders>
            <w:shd w:val="clear" w:color="auto" w:fill="auto"/>
            <w:noWrap/>
            <w:vAlign w:val="center"/>
            <w:hideMark/>
          </w:tcPr>
          <w:p w14:paraId="66180B13"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436DD28F"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196,130 </w:t>
            </w:r>
          </w:p>
        </w:tc>
      </w:tr>
      <w:tr w:rsidR="00BC5219" w:rsidRPr="009C55C2" w14:paraId="7DA20C6D" w14:textId="77777777" w:rsidTr="00E83802">
        <w:trPr>
          <w:trHeight w:val="198"/>
        </w:trPr>
        <w:tc>
          <w:tcPr>
            <w:tcW w:w="198" w:type="dxa"/>
            <w:tcBorders>
              <w:top w:val="nil"/>
              <w:left w:val="nil"/>
              <w:bottom w:val="nil"/>
              <w:right w:val="nil"/>
            </w:tcBorders>
            <w:shd w:val="clear" w:color="auto" w:fill="auto"/>
            <w:noWrap/>
            <w:vAlign w:val="center"/>
            <w:hideMark/>
          </w:tcPr>
          <w:p w14:paraId="42698D2A"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66595D1F"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 xml:space="preserve">Unearned revenue – service concession arrangements </w:t>
            </w:r>
          </w:p>
        </w:tc>
        <w:tc>
          <w:tcPr>
            <w:tcW w:w="1418" w:type="dxa"/>
            <w:tcBorders>
              <w:top w:val="nil"/>
              <w:left w:val="nil"/>
              <w:bottom w:val="nil"/>
              <w:right w:val="nil"/>
            </w:tcBorders>
            <w:shd w:val="clear" w:color="000000" w:fill="C9E3B4"/>
            <w:noWrap/>
            <w:vAlign w:val="center"/>
            <w:hideMark/>
          </w:tcPr>
          <w:p w14:paraId="0D565870"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448B82ED"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372A8774"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759B404F"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5FFF085D"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55F0C6C1"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105B455"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22E3C8AB"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7960CE8"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216" w:type="dxa"/>
            <w:tcBorders>
              <w:top w:val="nil"/>
              <w:left w:val="nil"/>
              <w:bottom w:val="nil"/>
              <w:right w:val="nil"/>
            </w:tcBorders>
            <w:shd w:val="clear" w:color="auto" w:fill="auto"/>
            <w:noWrap/>
            <w:vAlign w:val="center"/>
            <w:hideMark/>
          </w:tcPr>
          <w:p w14:paraId="7279F060"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4B0799BF"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6,923,134 </w:t>
            </w:r>
          </w:p>
        </w:tc>
      </w:tr>
      <w:tr w:rsidR="00BC5219" w:rsidRPr="009C55C2" w14:paraId="29D61161" w14:textId="77777777" w:rsidTr="00E83802">
        <w:trPr>
          <w:trHeight w:val="198"/>
        </w:trPr>
        <w:tc>
          <w:tcPr>
            <w:tcW w:w="198" w:type="dxa"/>
            <w:tcBorders>
              <w:top w:val="nil"/>
              <w:left w:val="nil"/>
              <w:bottom w:val="nil"/>
              <w:right w:val="nil"/>
            </w:tcBorders>
            <w:shd w:val="clear" w:color="auto" w:fill="auto"/>
            <w:noWrap/>
            <w:vAlign w:val="center"/>
            <w:hideMark/>
          </w:tcPr>
          <w:p w14:paraId="4CC39BD8"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073E9D31"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Lease liabilities</w:t>
            </w:r>
          </w:p>
        </w:tc>
        <w:tc>
          <w:tcPr>
            <w:tcW w:w="1418" w:type="dxa"/>
            <w:tcBorders>
              <w:top w:val="nil"/>
              <w:left w:val="nil"/>
              <w:bottom w:val="nil"/>
              <w:right w:val="nil"/>
            </w:tcBorders>
            <w:shd w:val="clear" w:color="000000" w:fill="C9E3B4"/>
            <w:noWrap/>
            <w:vAlign w:val="center"/>
            <w:hideMark/>
          </w:tcPr>
          <w:p w14:paraId="08210D9D"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79,110 </w:t>
            </w:r>
          </w:p>
        </w:tc>
        <w:tc>
          <w:tcPr>
            <w:tcW w:w="198" w:type="dxa"/>
            <w:tcBorders>
              <w:top w:val="nil"/>
              <w:left w:val="nil"/>
              <w:bottom w:val="nil"/>
              <w:right w:val="nil"/>
            </w:tcBorders>
            <w:shd w:val="clear" w:color="auto" w:fill="auto"/>
            <w:noWrap/>
            <w:vAlign w:val="center"/>
            <w:hideMark/>
          </w:tcPr>
          <w:p w14:paraId="7713E4F9"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5144135A"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3,249 </w:t>
            </w:r>
          </w:p>
        </w:tc>
        <w:tc>
          <w:tcPr>
            <w:tcW w:w="198" w:type="dxa"/>
            <w:tcBorders>
              <w:top w:val="nil"/>
              <w:left w:val="nil"/>
              <w:bottom w:val="nil"/>
              <w:right w:val="nil"/>
            </w:tcBorders>
            <w:shd w:val="clear" w:color="auto" w:fill="auto"/>
            <w:noWrap/>
            <w:vAlign w:val="center"/>
            <w:hideMark/>
          </w:tcPr>
          <w:p w14:paraId="3BA736F1"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8F38DD3"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52949C10"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2A33E56F"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23F5A213"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21578912"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216" w:type="dxa"/>
            <w:tcBorders>
              <w:top w:val="nil"/>
              <w:left w:val="nil"/>
              <w:bottom w:val="nil"/>
              <w:right w:val="nil"/>
            </w:tcBorders>
            <w:shd w:val="clear" w:color="auto" w:fill="auto"/>
            <w:noWrap/>
            <w:vAlign w:val="center"/>
            <w:hideMark/>
          </w:tcPr>
          <w:p w14:paraId="36324D08"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42C20F69"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85,780 </w:t>
            </w:r>
          </w:p>
        </w:tc>
      </w:tr>
      <w:tr w:rsidR="00BC5219" w:rsidRPr="009C55C2" w14:paraId="73D6C2A6" w14:textId="77777777" w:rsidTr="00E83802">
        <w:trPr>
          <w:trHeight w:val="198"/>
        </w:trPr>
        <w:tc>
          <w:tcPr>
            <w:tcW w:w="198" w:type="dxa"/>
            <w:tcBorders>
              <w:top w:val="nil"/>
              <w:left w:val="nil"/>
              <w:bottom w:val="single" w:sz="4" w:space="0" w:color="auto"/>
              <w:right w:val="nil"/>
            </w:tcBorders>
            <w:shd w:val="clear" w:color="auto" w:fill="auto"/>
            <w:noWrap/>
            <w:vAlign w:val="center"/>
            <w:hideMark/>
          </w:tcPr>
          <w:p w14:paraId="14656EBD"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4366" w:type="dxa"/>
            <w:tcBorders>
              <w:top w:val="nil"/>
              <w:left w:val="nil"/>
              <w:bottom w:val="single" w:sz="4" w:space="0" w:color="auto"/>
              <w:right w:val="nil"/>
            </w:tcBorders>
            <w:shd w:val="clear" w:color="auto" w:fill="auto"/>
            <w:noWrap/>
            <w:vAlign w:val="center"/>
            <w:hideMark/>
          </w:tcPr>
          <w:p w14:paraId="1255FA7E" w14:textId="77777777" w:rsidR="00BC5219" w:rsidRPr="009C55C2" w:rsidRDefault="00BC5219" w:rsidP="00E83802">
            <w:pPr>
              <w:rPr>
                <w:rFonts w:ascii="Meta Pro" w:eastAsia="Times New Roman" w:hAnsi="Meta Pro"/>
                <w:sz w:val="16"/>
                <w:szCs w:val="16"/>
                <w:lang w:eastAsia="en-AU"/>
              </w:rPr>
            </w:pPr>
            <w:r w:rsidRPr="009C55C2">
              <w:rPr>
                <w:rFonts w:ascii="Meta Pro" w:eastAsia="Times New Roman" w:hAnsi="Meta Pro"/>
                <w:sz w:val="16"/>
                <w:szCs w:val="16"/>
                <w:lang w:eastAsia="en-AU"/>
              </w:rPr>
              <w:t>Other</w:t>
            </w:r>
          </w:p>
        </w:tc>
        <w:tc>
          <w:tcPr>
            <w:tcW w:w="1418" w:type="dxa"/>
            <w:tcBorders>
              <w:top w:val="nil"/>
              <w:left w:val="nil"/>
              <w:bottom w:val="single" w:sz="4" w:space="0" w:color="auto"/>
              <w:right w:val="nil"/>
            </w:tcBorders>
            <w:shd w:val="clear" w:color="000000" w:fill="C9E3B4"/>
            <w:noWrap/>
            <w:vAlign w:val="center"/>
            <w:hideMark/>
          </w:tcPr>
          <w:p w14:paraId="07775F3C"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098D41C3"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0B209BD4"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108 </w:t>
            </w:r>
          </w:p>
        </w:tc>
        <w:tc>
          <w:tcPr>
            <w:tcW w:w="198" w:type="dxa"/>
            <w:tcBorders>
              <w:top w:val="nil"/>
              <w:left w:val="nil"/>
              <w:bottom w:val="single" w:sz="4" w:space="0" w:color="auto"/>
              <w:right w:val="nil"/>
            </w:tcBorders>
            <w:shd w:val="clear" w:color="auto" w:fill="auto"/>
            <w:noWrap/>
            <w:vAlign w:val="center"/>
            <w:hideMark/>
          </w:tcPr>
          <w:p w14:paraId="7D06BA27"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06205578"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217B9445"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1CF3CCF9"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198" w:type="dxa"/>
            <w:tcBorders>
              <w:top w:val="nil"/>
              <w:left w:val="nil"/>
              <w:bottom w:val="single" w:sz="4" w:space="0" w:color="auto"/>
              <w:right w:val="nil"/>
            </w:tcBorders>
            <w:shd w:val="clear" w:color="auto" w:fill="auto"/>
            <w:noWrap/>
            <w:vAlign w:val="center"/>
            <w:hideMark/>
          </w:tcPr>
          <w:p w14:paraId="500B1EE2"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55ACA74E"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xml:space="preserve">- </w:t>
            </w:r>
          </w:p>
        </w:tc>
        <w:tc>
          <w:tcPr>
            <w:tcW w:w="216" w:type="dxa"/>
            <w:tcBorders>
              <w:top w:val="nil"/>
              <w:left w:val="nil"/>
              <w:bottom w:val="single" w:sz="4" w:space="0" w:color="auto"/>
              <w:right w:val="nil"/>
            </w:tcBorders>
            <w:shd w:val="clear" w:color="auto" w:fill="auto"/>
            <w:noWrap/>
            <w:vAlign w:val="center"/>
            <w:hideMark/>
          </w:tcPr>
          <w:p w14:paraId="5B9B480E"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418" w:type="dxa"/>
            <w:tcBorders>
              <w:top w:val="nil"/>
              <w:left w:val="nil"/>
              <w:bottom w:val="single" w:sz="4" w:space="0" w:color="auto"/>
              <w:right w:val="nil"/>
            </w:tcBorders>
            <w:shd w:val="clear" w:color="000000" w:fill="C9E3B4"/>
            <w:noWrap/>
            <w:vAlign w:val="center"/>
            <w:hideMark/>
          </w:tcPr>
          <w:p w14:paraId="6F28306D"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108 </w:t>
            </w:r>
          </w:p>
        </w:tc>
      </w:tr>
      <w:tr w:rsidR="00BC5219" w:rsidRPr="009C55C2" w14:paraId="7EF017EE" w14:textId="77777777" w:rsidTr="00E83802">
        <w:trPr>
          <w:trHeight w:val="198"/>
        </w:trPr>
        <w:tc>
          <w:tcPr>
            <w:tcW w:w="198" w:type="dxa"/>
            <w:tcBorders>
              <w:top w:val="nil"/>
              <w:left w:val="nil"/>
              <w:bottom w:val="nil"/>
              <w:right w:val="nil"/>
            </w:tcBorders>
            <w:shd w:val="clear" w:color="auto" w:fill="auto"/>
            <w:noWrap/>
            <w:vAlign w:val="center"/>
            <w:hideMark/>
          </w:tcPr>
          <w:p w14:paraId="10F660A8"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56E6B45E" w14:textId="77777777" w:rsidR="00BC5219" w:rsidRPr="009C55C2" w:rsidRDefault="00BC5219" w:rsidP="00E83802">
            <w:pPr>
              <w:rPr>
                <w:rFonts w:ascii="Meta Pro" w:eastAsia="Times New Roman" w:hAnsi="Meta Pro"/>
                <w:b/>
                <w:bCs/>
                <w:sz w:val="16"/>
                <w:szCs w:val="16"/>
                <w:lang w:eastAsia="en-AU"/>
              </w:rPr>
            </w:pPr>
            <w:r w:rsidRPr="009C55C2">
              <w:rPr>
                <w:rFonts w:ascii="Meta Pro" w:eastAsia="Times New Roman" w:hAnsi="Meta Pro"/>
                <w:b/>
                <w:bCs/>
                <w:sz w:val="16"/>
                <w:szCs w:val="16"/>
                <w:lang w:eastAsia="en-AU"/>
              </w:rPr>
              <w:t>Total non-current liabilities</w:t>
            </w:r>
          </w:p>
        </w:tc>
        <w:tc>
          <w:tcPr>
            <w:tcW w:w="1418" w:type="dxa"/>
            <w:tcBorders>
              <w:top w:val="nil"/>
              <w:left w:val="nil"/>
              <w:bottom w:val="nil"/>
              <w:right w:val="nil"/>
            </w:tcBorders>
            <w:shd w:val="clear" w:color="000000" w:fill="C9E3B4"/>
            <w:noWrap/>
            <w:vAlign w:val="center"/>
            <w:hideMark/>
          </w:tcPr>
          <w:p w14:paraId="6BA261D9"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79,110 </w:t>
            </w:r>
          </w:p>
        </w:tc>
        <w:tc>
          <w:tcPr>
            <w:tcW w:w="198" w:type="dxa"/>
            <w:tcBorders>
              <w:top w:val="nil"/>
              <w:left w:val="nil"/>
              <w:bottom w:val="nil"/>
              <w:right w:val="nil"/>
            </w:tcBorders>
            <w:shd w:val="clear" w:color="auto" w:fill="auto"/>
            <w:noWrap/>
            <w:vAlign w:val="center"/>
            <w:hideMark/>
          </w:tcPr>
          <w:p w14:paraId="4F90AAA8" w14:textId="77777777" w:rsidR="00BC5219" w:rsidRPr="009C55C2" w:rsidRDefault="00BC5219" w:rsidP="00E83802">
            <w:pPr>
              <w:jc w:val="right"/>
              <w:rPr>
                <w:rFonts w:ascii="Meta Pro" w:eastAsia="Times New Roman" w:hAnsi="Meta Pro"/>
                <w:b/>
                <w:bCs/>
                <w:sz w:val="16"/>
                <w:szCs w:val="16"/>
                <w:lang w:eastAsia="en-AU"/>
              </w:rPr>
            </w:pPr>
          </w:p>
        </w:tc>
        <w:tc>
          <w:tcPr>
            <w:tcW w:w="1418" w:type="dxa"/>
            <w:tcBorders>
              <w:top w:val="nil"/>
              <w:left w:val="nil"/>
              <w:bottom w:val="nil"/>
              <w:right w:val="nil"/>
            </w:tcBorders>
            <w:shd w:val="clear" w:color="000000" w:fill="C9E3B4"/>
            <w:noWrap/>
            <w:vAlign w:val="center"/>
            <w:hideMark/>
          </w:tcPr>
          <w:p w14:paraId="7BEFCD5D"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3,357 </w:t>
            </w:r>
          </w:p>
        </w:tc>
        <w:tc>
          <w:tcPr>
            <w:tcW w:w="198" w:type="dxa"/>
            <w:tcBorders>
              <w:top w:val="nil"/>
              <w:left w:val="nil"/>
              <w:bottom w:val="nil"/>
              <w:right w:val="nil"/>
            </w:tcBorders>
            <w:shd w:val="clear" w:color="auto" w:fill="auto"/>
            <w:noWrap/>
            <w:vAlign w:val="center"/>
            <w:hideMark/>
          </w:tcPr>
          <w:p w14:paraId="39A65CED" w14:textId="77777777" w:rsidR="00BC5219" w:rsidRPr="009C55C2" w:rsidRDefault="00BC5219" w:rsidP="00E83802">
            <w:pPr>
              <w:jc w:val="right"/>
              <w:rPr>
                <w:rFonts w:ascii="Meta Pro" w:eastAsia="Times New Roman" w:hAnsi="Meta Pro"/>
                <w:b/>
                <w:bCs/>
                <w:sz w:val="16"/>
                <w:szCs w:val="16"/>
                <w:lang w:eastAsia="en-AU"/>
              </w:rPr>
            </w:pPr>
          </w:p>
        </w:tc>
        <w:tc>
          <w:tcPr>
            <w:tcW w:w="1418" w:type="dxa"/>
            <w:tcBorders>
              <w:top w:val="nil"/>
              <w:left w:val="nil"/>
              <w:bottom w:val="nil"/>
              <w:right w:val="nil"/>
            </w:tcBorders>
            <w:shd w:val="clear" w:color="000000" w:fill="C9E3B4"/>
            <w:noWrap/>
            <w:vAlign w:val="center"/>
            <w:hideMark/>
          </w:tcPr>
          <w:p w14:paraId="3E47B88E"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607FEBDC" w14:textId="77777777" w:rsidR="00BC5219" w:rsidRPr="009C55C2" w:rsidRDefault="00BC5219" w:rsidP="00E83802">
            <w:pPr>
              <w:jc w:val="right"/>
              <w:rPr>
                <w:rFonts w:ascii="Meta Pro" w:eastAsia="Times New Roman" w:hAnsi="Meta Pro"/>
                <w:b/>
                <w:bCs/>
                <w:sz w:val="16"/>
                <w:szCs w:val="16"/>
                <w:lang w:eastAsia="en-AU"/>
              </w:rPr>
            </w:pPr>
          </w:p>
        </w:tc>
        <w:tc>
          <w:tcPr>
            <w:tcW w:w="1418" w:type="dxa"/>
            <w:tcBorders>
              <w:top w:val="nil"/>
              <w:left w:val="nil"/>
              <w:bottom w:val="nil"/>
              <w:right w:val="nil"/>
            </w:tcBorders>
            <w:shd w:val="clear" w:color="000000" w:fill="C9E3B4"/>
            <w:noWrap/>
            <w:vAlign w:val="center"/>
            <w:hideMark/>
          </w:tcPr>
          <w:p w14:paraId="268853AE"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 </w:t>
            </w:r>
          </w:p>
        </w:tc>
        <w:tc>
          <w:tcPr>
            <w:tcW w:w="198" w:type="dxa"/>
            <w:tcBorders>
              <w:top w:val="nil"/>
              <w:left w:val="nil"/>
              <w:bottom w:val="nil"/>
              <w:right w:val="nil"/>
            </w:tcBorders>
            <w:shd w:val="clear" w:color="auto" w:fill="auto"/>
            <w:noWrap/>
            <w:vAlign w:val="center"/>
            <w:hideMark/>
          </w:tcPr>
          <w:p w14:paraId="56FEFE3F" w14:textId="77777777" w:rsidR="00BC5219" w:rsidRPr="009C55C2" w:rsidRDefault="00BC5219" w:rsidP="00E83802">
            <w:pPr>
              <w:jc w:val="right"/>
              <w:rPr>
                <w:rFonts w:ascii="Meta Pro" w:eastAsia="Times New Roman" w:hAnsi="Meta Pro"/>
                <w:b/>
                <w:bCs/>
                <w:sz w:val="16"/>
                <w:szCs w:val="16"/>
                <w:lang w:eastAsia="en-AU"/>
              </w:rPr>
            </w:pPr>
          </w:p>
        </w:tc>
        <w:tc>
          <w:tcPr>
            <w:tcW w:w="1418" w:type="dxa"/>
            <w:tcBorders>
              <w:top w:val="nil"/>
              <w:left w:val="nil"/>
              <w:bottom w:val="nil"/>
              <w:right w:val="nil"/>
            </w:tcBorders>
            <w:shd w:val="clear" w:color="000000" w:fill="C9E3B4"/>
            <w:noWrap/>
            <w:vAlign w:val="center"/>
            <w:hideMark/>
          </w:tcPr>
          <w:p w14:paraId="0F6C8E08"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(19,000)</w:t>
            </w:r>
          </w:p>
        </w:tc>
        <w:tc>
          <w:tcPr>
            <w:tcW w:w="216" w:type="dxa"/>
            <w:tcBorders>
              <w:top w:val="nil"/>
              <w:left w:val="nil"/>
              <w:bottom w:val="nil"/>
              <w:right w:val="nil"/>
            </w:tcBorders>
            <w:shd w:val="clear" w:color="auto" w:fill="auto"/>
            <w:noWrap/>
            <w:vAlign w:val="center"/>
            <w:hideMark/>
          </w:tcPr>
          <w:p w14:paraId="529185E6" w14:textId="77777777" w:rsidR="00BC5219" w:rsidRPr="009C55C2" w:rsidRDefault="00BC5219" w:rsidP="00E83802">
            <w:pPr>
              <w:jc w:val="right"/>
              <w:rPr>
                <w:rFonts w:ascii="Meta Pro" w:eastAsia="Times New Roman" w:hAnsi="Meta Pro"/>
                <w:b/>
                <w:bCs/>
                <w:sz w:val="16"/>
                <w:szCs w:val="16"/>
                <w:lang w:eastAsia="en-AU"/>
              </w:rPr>
            </w:pPr>
          </w:p>
        </w:tc>
        <w:tc>
          <w:tcPr>
            <w:tcW w:w="1418" w:type="dxa"/>
            <w:tcBorders>
              <w:top w:val="nil"/>
              <w:left w:val="nil"/>
              <w:bottom w:val="nil"/>
              <w:right w:val="nil"/>
            </w:tcBorders>
            <w:shd w:val="clear" w:color="000000" w:fill="C9E3B4"/>
            <w:noWrap/>
            <w:vAlign w:val="center"/>
            <w:hideMark/>
          </w:tcPr>
          <w:p w14:paraId="33CA9CDA"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8,342,395 </w:t>
            </w:r>
          </w:p>
        </w:tc>
      </w:tr>
      <w:tr w:rsidR="00BC5219" w:rsidRPr="009C55C2" w14:paraId="2C8E1AB4" w14:textId="77777777" w:rsidTr="00E83802">
        <w:trPr>
          <w:trHeight w:hRule="exact" w:val="142"/>
        </w:trPr>
        <w:tc>
          <w:tcPr>
            <w:tcW w:w="198" w:type="dxa"/>
            <w:tcBorders>
              <w:top w:val="nil"/>
              <w:left w:val="nil"/>
              <w:bottom w:val="nil"/>
              <w:right w:val="nil"/>
            </w:tcBorders>
            <w:shd w:val="clear" w:color="auto" w:fill="auto"/>
            <w:noWrap/>
            <w:vAlign w:val="center"/>
            <w:hideMark/>
          </w:tcPr>
          <w:p w14:paraId="5BD30344" w14:textId="77777777" w:rsidR="00BC5219" w:rsidRPr="009C55C2" w:rsidRDefault="00BC5219" w:rsidP="00E83802">
            <w:pPr>
              <w:jc w:val="right"/>
              <w:rPr>
                <w:rFonts w:ascii="Meta Pro" w:eastAsia="Times New Roman" w:hAnsi="Meta Pro"/>
                <w:sz w:val="16"/>
                <w:szCs w:val="16"/>
                <w:lang w:eastAsia="en-AU"/>
              </w:rPr>
            </w:pPr>
          </w:p>
        </w:tc>
        <w:tc>
          <w:tcPr>
            <w:tcW w:w="4366" w:type="dxa"/>
            <w:tcBorders>
              <w:top w:val="nil"/>
              <w:left w:val="nil"/>
              <w:bottom w:val="nil"/>
              <w:right w:val="nil"/>
            </w:tcBorders>
            <w:shd w:val="clear" w:color="auto" w:fill="auto"/>
            <w:noWrap/>
            <w:vAlign w:val="center"/>
            <w:hideMark/>
          </w:tcPr>
          <w:p w14:paraId="493120A5" w14:textId="77777777" w:rsidR="00BC5219" w:rsidRPr="009C55C2" w:rsidRDefault="00BC5219" w:rsidP="00E83802">
            <w:pPr>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000000" w:fill="C9E3B4"/>
            <w:noWrap/>
            <w:vAlign w:val="center"/>
            <w:hideMark/>
          </w:tcPr>
          <w:p w14:paraId="7CBE24B7"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25938B53"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2854B8F5"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5548659F"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556F5DB3"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2C6A8D2C"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0EB68F1A"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198" w:type="dxa"/>
            <w:tcBorders>
              <w:top w:val="nil"/>
              <w:left w:val="nil"/>
              <w:bottom w:val="nil"/>
              <w:right w:val="nil"/>
            </w:tcBorders>
            <w:shd w:val="clear" w:color="auto" w:fill="auto"/>
            <w:noWrap/>
            <w:vAlign w:val="center"/>
            <w:hideMark/>
          </w:tcPr>
          <w:p w14:paraId="0C9CA22E"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700667FE" w14:textId="77777777" w:rsidR="00BC5219" w:rsidRPr="009C55C2" w:rsidRDefault="00BC5219" w:rsidP="00E83802">
            <w:pPr>
              <w:jc w:val="right"/>
              <w:rPr>
                <w:rFonts w:ascii="Meta Pro" w:eastAsia="Times New Roman" w:hAnsi="Meta Pro"/>
                <w:sz w:val="16"/>
                <w:szCs w:val="16"/>
                <w:lang w:eastAsia="en-AU"/>
              </w:rPr>
            </w:pPr>
            <w:r w:rsidRPr="009C55C2">
              <w:rPr>
                <w:rFonts w:ascii="Meta Pro" w:eastAsia="Times New Roman" w:hAnsi="Meta Pro"/>
                <w:sz w:val="16"/>
                <w:szCs w:val="16"/>
                <w:lang w:eastAsia="en-AU"/>
              </w:rPr>
              <w:t> </w:t>
            </w:r>
          </w:p>
        </w:tc>
        <w:tc>
          <w:tcPr>
            <w:tcW w:w="216" w:type="dxa"/>
            <w:tcBorders>
              <w:top w:val="nil"/>
              <w:left w:val="nil"/>
              <w:bottom w:val="nil"/>
              <w:right w:val="nil"/>
            </w:tcBorders>
            <w:shd w:val="clear" w:color="auto" w:fill="auto"/>
            <w:noWrap/>
            <w:vAlign w:val="center"/>
            <w:hideMark/>
          </w:tcPr>
          <w:p w14:paraId="40D07EB3" w14:textId="77777777" w:rsidR="00BC5219" w:rsidRPr="009C55C2"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000000" w:fill="C9E3B4"/>
            <w:noWrap/>
            <w:vAlign w:val="center"/>
            <w:hideMark/>
          </w:tcPr>
          <w:p w14:paraId="19996395"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r>
      <w:tr w:rsidR="00BC5219" w:rsidRPr="009C55C2" w14:paraId="219FDDD1" w14:textId="77777777" w:rsidTr="00E83802">
        <w:trPr>
          <w:trHeight w:val="198"/>
        </w:trPr>
        <w:tc>
          <w:tcPr>
            <w:tcW w:w="4366" w:type="dxa"/>
            <w:gridSpan w:val="2"/>
            <w:tcBorders>
              <w:top w:val="nil"/>
              <w:left w:val="nil"/>
              <w:bottom w:val="double" w:sz="6" w:space="0" w:color="auto"/>
              <w:right w:val="nil"/>
            </w:tcBorders>
            <w:shd w:val="clear" w:color="auto" w:fill="auto"/>
            <w:noWrap/>
            <w:vAlign w:val="center"/>
            <w:hideMark/>
          </w:tcPr>
          <w:p w14:paraId="62A3417B" w14:textId="77777777" w:rsidR="00BC5219" w:rsidRPr="009C55C2" w:rsidRDefault="00BC5219" w:rsidP="00E83802">
            <w:pPr>
              <w:rPr>
                <w:rFonts w:ascii="Meta Pro" w:eastAsia="Times New Roman" w:hAnsi="Meta Pro"/>
                <w:b/>
                <w:bCs/>
                <w:sz w:val="16"/>
                <w:szCs w:val="16"/>
                <w:lang w:eastAsia="en-AU"/>
              </w:rPr>
            </w:pPr>
            <w:r w:rsidRPr="009C55C2">
              <w:rPr>
                <w:rFonts w:ascii="Meta Pro" w:eastAsia="Times New Roman" w:hAnsi="Meta Pro"/>
                <w:b/>
                <w:bCs/>
                <w:sz w:val="16"/>
                <w:szCs w:val="16"/>
                <w:lang w:eastAsia="en-AU"/>
              </w:rPr>
              <w:t>Total liabilities</w:t>
            </w:r>
          </w:p>
        </w:tc>
        <w:tc>
          <w:tcPr>
            <w:tcW w:w="1418" w:type="dxa"/>
            <w:tcBorders>
              <w:top w:val="nil"/>
              <w:left w:val="nil"/>
              <w:bottom w:val="double" w:sz="6" w:space="0" w:color="auto"/>
              <w:right w:val="nil"/>
            </w:tcBorders>
            <w:shd w:val="clear" w:color="000000" w:fill="C9E3B4"/>
            <w:noWrap/>
            <w:vAlign w:val="center"/>
            <w:hideMark/>
          </w:tcPr>
          <w:p w14:paraId="2C140093"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127,446 </w:t>
            </w:r>
          </w:p>
        </w:tc>
        <w:tc>
          <w:tcPr>
            <w:tcW w:w="198" w:type="dxa"/>
            <w:tcBorders>
              <w:top w:val="nil"/>
              <w:left w:val="nil"/>
              <w:bottom w:val="double" w:sz="6" w:space="0" w:color="auto"/>
              <w:right w:val="nil"/>
            </w:tcBorders>
            <w:shd w:val="clear" w:color="auto" w:fill="auto"/>
            <w:noWrap/>
            <w:vAlign w:val="center"/>
            <w:hideMark/>
          </w:tcPr>
          <w:p w14:paraId="1666C8AB"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nil"/>
              <w:left w:val="nil"/>
              <w:bottom w:val="double" w:sz="6" w:space="0" w:color="auto"/>
              <w:right w:val="nil"/>
            </w:tcBorders>
            <w:shd w:val="clear" w:color="000000" w:fill="C9E3B4"/>
            <w:noWrap/>
            <w:vAlign w:val="center"/>
            <w:hideMark/>
          </w:tcPr>
          <w:p w14:paraId="002D039E"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22,359 </w:t>
            </w:r>
          </w:p>
        </w:tc>
        <w:tc>
          <w:tcPr>
            <w:tcW w:w="198" w:type="dxa"/>
            <w:tcBorders>
              <w:top w:val="nil"/>
              <w:left w:val="nil"/>
              <w:bottom w:val="double" w:sz="6" w:space="0" w:color="auto"/>
              <w:right w:val="nil"/>
            </w:tcBorders>
            <w:shd w:val="clear" w:color="auto" w:fill="auto"/>
            <w:noWrap/>
            <w:vAlign w:val="center"/>
            <w:hideMark/>
          </w:tcPr>
          <w:p w14:paraId="59F0806A"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nil"/>
              <w:left w:val="nil"/>
              <w:bottom w:val="double" w:sz="6" w:space="0" w:color="auto"/>
              <w:right w:val="nil"/>
            </w:tcBorders>
            <w:shd w:val="clear" w:color="000000" w:fill="C9E3B4"/>
            <w:noWrap/>
            <w:vAlign w:val="center"/>
            <w:hideMark/>
          </w:tcPr>
          <w:p w14:paraId="7A7B4F4D"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4,490 </w:t>
            </w:r>
          </w:p>
        </w:tc>
        <w:tc>
          <w:tcPr>
            <w:tcW w:w="198" w:type="dxa"/>
            <w:tcBorders>
              <w:top w:val="nil"/>
              <w:left w:val="nil"/>
              <w:bottom w:val="double" w:sz="6" w:space="0" w:color="auto"/>
              <w:right w:val="nil"/>
            </w:tcBorders>
            <w:shd w:val="clear" w:color="auto" w:fill="auto"/>
            <w:noWrap/>
            <w:vAlign w:val="center"/>
            <w:hideMark/>
          </w:tcPr>
          <w:p w14:paraId="679E41AB"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nil"/>
              <w:left w:val="nil"/>
              <w:bottom w:val="double" w:sz="6" w:space="0" w:color="auto"/>
              <w:right w:val="nil"/>
            </w:tcBorders>
            <w:shd w:val="clear" w:color="000000" w:fill="C9E3B4"/>
            <w:noWrap/>
            <w:vAlign w:val="center"/>
            <w:hideMark/>
          </w:tcPr>
          <w:p w14:paraId="3D4A3156"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740 </w:t>
            </w:r>
          </w:p>
        </w:tc>
        <w:tc>
          <w:tcPr>
            <w:tcW w:w="198" w:type="dxa"/>
            <w:tcBorders>
              <w:top w:val="nil"/>
              <w:left w:val="nil"/>
              <w:bottom w:val="double" w:sz="6" w:space="0" w:color="auto"/>
              <w:right w:val="nil"/>
            </w:tcBorders>
            <w:shd w:val="clear" w:color="auto" w:fill="auto"/>
            <w:noWrap/>
            <w:vAlign w:val="center"/>
            <w:hideMark/>
          </w:tcPr>
          <w:p w14:paraId="62537F84"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nil"/>
              <w:left w:val="nil"/>
              <w:bottom w:val="double" w:sz="6" w:space="0" w:color="auto"/>
              <w:right w:val="nil"/>
            </w:tcBorders>
            <w:shd w:val="clear" w:color="000000" w:fill="C9E3B4"/>
            <w:noWrap/>
            <w:vAlign w:val="center"/>
            <w:hideMark/>
          </w:tcPr>
          <w:p w14:paraId="384FCB89"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(147,803)</w:t>
            </w:r>
          </w:p>
        </w:tc>
        <w:tc>
          <w:tcPr>
            <w:tcW w:w="216" w:type="dxa"/>
            <w:tcBorders>
              <w:top w:val="nil"/>
              <w:left w:val="nil"/>
              <w:bottom w:val="double" w:sz="6" w:space="0" w:color="auto"/>
              <w:right w:val="nil"/>
            </w:tcBorders>
            <w:shd w:val="clear" w:color="auto" w:fill="auto"/>
            <w:noWrap/>
            <w:vAlign w:val="center"/>
            <w:hideMark/>
          </w:tcPr>
          <w:p w14:paraId="684025C7"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w:t>
            </w:r>
          </w:p>
        </w:tc>
        <w:tc>
          <w:tcPr>
            <w:tcW w:w="1418" w:type="dxa"/>
            <w:tcBorders>
              <w:top w:val="nil"/>
              <w:left w:val="nil"/>
              <w:bottom w:val="double" w:sz="6" w:space="0" w:color="auto"/>
              <w:right w:val="nil"/>
            </w:tcBorders>
            <w:shd w:val="clear" w:color="000000" w:fill="C9E3B4"/>
            <w:noWrap/>
            <w:vAlign w:val="center"/>
            <w:hideMark/>
          </w:tcPr>
          <w:p w14:paraId="7FF6296B" w14:textId="77777777" w:rsidR="00BC5219" w:rsidRPr="009C55C2" w:rsidRDefault="00BC5219" w:rsidP="00E83802">
            <w:pPr>
              <w:jc w:val="right"/>
              <w:rPr>
                <w:rFonts w:ascii="Meta Pro" w:eastAsia="Times New Roman" w:hAnsi="Meta Pro"/>
                <w:b/>
                <w:bCs/>
                <w:sz w:val="16"/>
                <w:szCs w:val="16"/>
                <w:lang w:eastAsia="en-AU"/>
              </w:rPr>
            </w:pPr>
            <w:r w:rsidRPr="009C55C2">
              <w:rPr>
                <w:rFonts w:ascii="Meta Pro" w:eastAsia="Times New Roman" w:hAnsi="Meta Pro"/>
                <w:b/>
                <w:bCs/>
                <w:sz w:val="16"/>
                <w:szCs w:val="16"/>
                <w:lang w:eastAsia="en-AU"/>
              </w:rPr>
              <w:t xml:space="preserve">10,185,996 </w:t>
            </w:r>
          </w:p>
        </w:tc>
      </w:tr>
    </w:tbl>
    <w:p w14:paraId="0D0D5CCB" w14:textId="77777777" w:rsidR="00BC5219" w:rsidRPr="008A2B8F" w:rsidRDefault="00BC5219" w:rsidP="00BC5219">
      <w:pPr>
        <w:rPr>
          <w:rFonts w:ascii="Meta Pro" w:hAnsi="Meta Pro"/>
          <w:lang w:eastAsia="en-AU"/>
        </w:rPr>
      </w:pPr>
    </w:p>
    <w:p w14:paraId="54AD7E42" w14:textId="77777777" w:rsidR="00BC5219" w:rsidRPr="008A2B8F" w:rsidRDefault="00BC5219" w:rsidP="00BC5219">
      <w:pPr>
        <w:rPr>
          <w:rFonts w:ascii="Meta Pro" w:eastAsia="Times New Roman" w:hAnsi="Meta Pro"/>
          <w:i/>
          <w:iCs/>
          <w:color w:val="000000" w:themeColor="text1"/>
          <w:lang w:eastAsia="en-AU"/>
        </w:rPr>
      </w:pPr>
    </w:p>
    <w:p w14:paraId="1ED191C1" w14:textId="77777777" w:rsidR="00BC5219" w:rsidRPr="008A2B8F" w:rsidRDefault="00BC5219" w:rsidP="00BC5219">
      <w:pPr>
        <w:rPr>
          <w:rFonts w:ascii="Meta Pro" w:eastAsia="Times New Roman" w:hAnsi="Meta Pro"/>
          <w:i/>
          <w:iCs/>
          <w:color w:val="000000" w:themeColor="text1"/>
          <w:lang w:eastAsia="en-AU"/>
        </w:rPr>
      </w:pPr>
    </w:p>
    <w:p w14:paraId="68D1628A" w14:textId="77777777" w:rsidR="00BC5219" w:rsidRPr="008A2B8F" w:rsidRDefault="00BC5219" w:rsidP="00BC5219">
      <w:pPr>
        <w:rPr>
          <w:rFonts w:ascii="Meta Pro" w:eastAsia="Times New Roman" w:hAnsi="Meta Pro"/>
          <w:i/>
          <w:iCs/>
          <w:color w:val="000000" w:themeColor="text1"/>
          <w:lang w:eastAsia="en-AU"/>
        </w:rPr>
      </w:pPr>
      <w:r w:rsidRPr="008A2B8F">
        <w:rPr>
          <w:rFonts w:ascii="Meta Pro" w:eastAsia="Times New Roman" w:hAnsi="Meta Pro"/>
          <w:i/>
          <w:iCs/>
          <w:color w:val="000000" w:themeColor="text1"/>
          <w:lang w:eastAsia="en-AU"/>
        </w:rPr>
        <w:t>Department of Transport and Main Roads</w:t>
      </w:r>
    </w:p>
    <w:p w14:paraId="43BE48A3"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Statement of assets and liabilities by major departmental services (continued)</w:t>
      </w:r>
    </w:p>
    <w:p w14:paraId="75F55C65" w14:textId="77777777" w:rsidR="00BC5219" w:rsidRPr="008A2B8F" w:rsidRDefault="00BC5219" w:rsidP="00BC5219">
      <w:pPr>
        <w:pBdr>
          <w:bottom w:val="single" w:sz="4" w:space="1" w:color="auto"/>
        </w:pBdr>
        <w:rPr>
          <w:rFonts w:ascii="Meta Pro" w:hAnsi="Meta Pro"/>
          <w:lang w:eastAsia="en-AU"/>
        </w:rPr>
      </w:pPr>
      <w:r w:rsidRPr="008A2B8F">
        <w:rPr>
          <w:rFonts w:ascii="Meta Pro" w:eastAsia="Times New Roman" w:hAnsi="Meta Pro"/>
          <w:color w:val="000000" w:themeColor="text1"/>
          <w:lang w:eastAsia="en-AU"/>
        </w:rPr>
        <w:t>for the year ended 30 June 2023</w:t>
      </w:r>
    </w:p>
    <w:p w14:paraId="60E67DF5" w14:textId="77777777" w:rsidR="00BC5219" w:rsidRPr="008A2B8F" w:rsidRDefault="00BC5219" w:rsidP="00BC5219">
      <w:pPr>
        <w:tabs>
          <w:tab w:val="left" w:pos="3433"/>
        </w:tabs>
        <w:spacing w:line="160" w:lineRule="auto"/>
        <w:rPr>
          <w:rFonts w:ascii="Meta Pro" w:hAnsi="Meta Pro" w:cstheme="minorBidi"/>
        </w:rPr>
      </w:pPr>
    </w:p>
    <w:tbl>
      <w:tblPr>
        <w:tblW w:w="0" w:type="auto"/>
        <w:tblCellMar>
          <w:left w:w="0" w:type="dxa"/>
        </w:tblCellMar>
        <w:tblLook w:val="04A0" w:firstRow="1" w:lastRow="0" w:firstColumn="1" w:lastColumn="0" w:noHBand="0" w:noVBand="1"/>
      </w:tblPr>
      <w:tblGrid>
        <w:gridCol w:w="370"/>
        <w:gridCol w:w="3870"/>
        <w:gridCol w:w="1088"/>
        <w:gridCol w:w="182"/>
        <w:gridCol w:w="1088"/>
        <w:gridCol w:w="182"/>
        <w:gridCol w:w="1045"/>
        <w:gridCol w:w="182"/>
        <w:gridCol w:w="1045"/>
        <w:gridCol w:w="182"/>
        <w:gridCol w:w="1045"/>
        <w:gridCol w:w="182"/>
        <w:gridCol w:w="1088"/>
        <w:gridCol w:w="182"/>
        <w:gridCol w:w="1045"/>
        <w:gridCol w:w="182"/>
        <w:gridCol w:w="1045"/>
      </w:tblGrid>
      <w:tr w:rsidR="00BC5219" w:rsidRPr="008A2B8F" w14:paraId="355A7401" w14:textId="77777777" w:rsidTr="00E83802">
        <w:trPr>
          <w:trHeight w:val="198"/>
        </w:trPr>
        <w:tc>
          <w:tcPr>
            <w:tcW w:w="454" w:type="dxa"/>
            <w:tcBorders>
              <w:top w:val="nil"/>
              <w:left w:val="nil"/>
              <w:bottom w:val="nil"/>
              <w:right w:val="nil"/>
            </w:tcBorders>
            <w:shd w:val="clear" w:color="auto" w:fill="auto"/>
            <w:noWrap/>
            <w:vAlign w:val="center"/>
            <w:hideMark/>
          </w:tcPr>
          <w:p w14:paraId="057B162B" w14:textId="77777777" w:rsidR="00BC5219" w:rsidRPr="008A2B8F" w:rsidRDefault="00BC5219" w:rsidP="00E83802">
            <w:pPr>
              <w:rPr>
                <w:rFonts w:ascii="Meta Pro" w:eastAsia="Times New Roman" w:hAnsi="Meta Pro" w:cs="Times New Roman"/>
                <w:sz w:val="24"/>
                <w:szCs w:val="24"/>
                <w:lang w:eastAsia="en-AU"/>
              </w:rPr>
            </w:pPr>
          </w:p>
        </w:tc>
        <w:tc>
          <w:tcPr>
            <w:tcW w:w="5160" w:type="dxa"/>
            <w:tcBorders>
              <w:top w:val="nil"/>
              <w:left w:val="nil"/>
              <w:bottom w:val="nil"/>
              <w:right w:val="nil"/>
            </w:tcBorders>
            <w:shd w:val="clear" w:color="auto" w:fill="auto"/>
            <w:noWrap/>
            <w:vAlign w:val="center"/>
            <w:hideMark/>
          </w:tcPr>
          <w:p w14:paraId="5E0E3441" w14:textId="77777777" w:rsidR="00BC5219" w:rsidRPr="008A2B8F" w:rsidRDefault="00BC5219" w:rsidP="00E83802">
            <w:pPr>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hideMark/>
          </w:tcPr>
          <w:p w14:paraId="61F78A23"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Transport system investment planning and programming</w:t>
            </w:r>
          </w:p>
        </w:tc>
        <w:tc>
          <w:tcPr>
            <w:tcW w:w="199" w:type="dxa"/>
            <w:tcBorders>
              <w:top w:val="nil"/>
              <w:left w:val="nil"/>
              <w:bottom w:val="nil"/>
              <w:right w:val="nil"/>
            </w:tcBorders>
            <w:shd w:val="clear" w:color="auto" w:fill="auto"/>
            <w:hideMark/>
          </w:tcPr>
          <w:p w14:paraId="707B4976" w14:textId="77777777" w:rsidR="00BC5219" w:rsidRPr="008A2B8F" w:rsidRDefault="00BC5219" w:rsidP="00E83802">
            <w:pPr>
              <w:jc w:val="center"/>
              <w:rPr>
                <w:rFonts w:ascii="Meta Pro" w:eastAsia="Times New Roman" w:hAnsi="Meta Pro"/>
                <w:b/>
                <w:bCs/>
                <w:sz w:val="16"/>
                <w:szCs w:val="16"/>
                <w:lang w:eastAsia="en-AU"/>
              </w:rPr>
            </w:pPr>
          </w:p>
        </w:tc>
        <w:tc>
          <w:tcPr>
            <w:tcW w:w="1418" w:type="dxa"/>
            <w:tcBorders>
              <w:top w:val="nil"/>
              <w:left w:val="nil"/>
              <w:bottom w:val="nil"/>
              <w:right w:val="nil"/>
            </w:tcBorders>
            <w:shd w:val="clear" w:color="auto" w:fill="auto"/>
            <w:hideMark/>
          </w:tcPr>
          <w:p w14:paraId="44BE3186"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Transport infrastructure management and </w:t>
            </w:r>
            <w:r w:rsidRPr="008A2B8F">
              <w:rPr>
                <w:rFonts w:ascii="Meta Pro" w:eastAsia="Times New Roman" w:hAnsi="Meta Pro"/>
                <w:b/>
                <w:bCs/>
                <w:sz w:val="16"/>
                <w:szCs w:val="16"/>
                <w:lang w:eastAsia="en-AU"/>
              </w:rPr>
              <w:br/>
              <w:t>delivery</w:t>
            </w:r>
          </w:p>
        </w:tc>
        <w:tc>
          <w:tcPr>
            <w:tcW w:w="199" w:type="dxa"/>
            <w:tcBorders>
              <w:top w:val="nil"/>
              <w:left w:val="nil"/>
              <w:bottom w:val="nil"/>
              <w:right w:val="nil"/>
            </w:tcBorders>
            <w:shd w:val="clear" w:color="auto" w:fill="auto"/>
            <w:hideMark/>
          </w:tcPr>
          <w:p w14:paraId="4F7EACAF" w14:textId="77777777" w:rsidR="00BC5219" w:rsidRPr="008A2B8F" w:rsidRDefault="00BC5219" w:rsidP="00E83802">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hideMark/>
          </w:tcPr>
          <w:p w14:paraId="49B38898"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Transport safety and regulation</w:t>
            </w:r>
          </w:p>
        </w:tc>
        <w:tc>
          <w:tcPr>
            <w:tcW w:w="199" w:type="dxa"/>
            <w:tcBorders>
              <w:top w:val="nil"/>
              <w:left w:val="nil"/>
              <w:bottom w:val="nil"/>
              <w:right w:val="nil"/>
            </w:tcBorders>
            <w:shd w:val="clear" w:color="auto" w:fill="auto"/>
            <w:hideMark/>
          </w:tcPr>
          <w:p w14:paraId="078C12F4" w14:textId="77777777" w:rsidR="00BC5219" w:rsidRPr="008A2B8F" w:rsidRDefault="00BC5219" w:rsidP="00E83802">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hideMark/>
          </w:tcPr>
          <w:p w14:paraId="23BFC50D"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Customer experience</w:t>
            </w:r>
          </w:p>
        </w:tc>
        <w:tc>
          <w:tcPr>
            <w:tcW w:w="199" w:type="dxa"/>
            <w:tcBorders>
              <w:top w:val="nil"/>
              <w:left w:val="nil"/>
              <w:bottom w:val="nil"/>
              <w:right w:val="nil"/>
            </w:tcBorders>
            <w:shd w:val="clear" w:color="auto" w:fill="auto"/>
            <w:hideMark/>
          </w:tcPr>
          <w:p w14:paraId="0EF75639" w14:textId="77777777" w:rsidR="00BC5219" w:rsidRPr="008A2B8F" w:rsidRDefault="00BC5219" w:rsidP="00E83802">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hideMark/>
          </w:tcPr>
          <w:p w14:paraId="41B37BA9"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Passenger transport services</w:t>
            </w:r>
          </w:p>
        </w:tc>
        <w:tc>
          <w:tcPr>
            <w:tcW w:w="199" w:type="dxa"/>
            <w:tcBorders>
              <w:top w:val="nil"/>
              <w:left w:val="nil"/>
              <w:bottom w:val="nil"/>
              <w:right w:val="nil"/>
            </w:tcBorders>
            <w:shd w:val="clear" w:color="auto" w:fill="auto"/>
            <w:hideMark/>
          </w:tcPr>
          <w:p w14:paraId="1D9BC9A7" w14:textId="77777777" w:rsidR="00BC5219" w:rsidRPr="008A2B8F" w:rsidRDefault="00BC5219" w:rsidP="00E83802">
            <w:pPr>
              <w:jc w:val="center"/>
              <w:rPr>
                <w:rFonts w:ascii="Meta Pro" w:eastAsia="Times New Roman" w:hAnsi="Meta Pro"/>
                <w:b/>
                <w:bCs/>
                <w:sz w:val="16"/>
                <w:szCs w:val="16"/>
                <w:lang w:eastAsia="en-AU"/>
              </w:rPr>
            </w:pPr>
          </w:p>
        </w:tc>
        <w:tc>
          <w:tcPr>
            <w:tcW w:w="1418" w:type="dxa"/>
            <w:tcBorders>
              <w:top w:val="nil"/>
              <w:left w:val="nil"/>
              <w:bottom w:val="nil"/>
              <w:right w:val="nil"/>
            </w:tcBorders>
            <w:shd w:val="clear" w:color="auto" w:fill="auto"/>
            <w:hideMark/>
          </w:tcPr>
          <w:p w14:paraId="7C93DB8A"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Transport infrastructure construction and maintenance</w:t>
            </w:r>
          </w:p>
        </w:tc>
        <w:tc>
          <w:tcPr>
            <w:tcW w:w="199" w:type="dxa"/>
            <w:tcBorders>
              <w:top w:val="nil"/>
              <w:left w:val="nil"/>
              <w:bottom w:val="nil"/>
              <w:right w:val="nil"/>
            </w:tcBorders>
            <w:shd w:val="clear" w:color="auto" w:fill="auto"/>
            <w:hideMark/>
          </w:tcPr>
          <w:p w14:paraId="4F5A2F19" w14:textId="77777777" w:rsidR="00BC5219" w:rsidRPr="008A2B8F" w:rsidRDefault="00BC5219" w:rsidP="00E83802">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hideMark/>
          </w:tcPr>
          <w:p w14:paraId="51CDB68F"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Inter-service/unit</w:t>
            </w:r>
            <w:r w:rsidRPr="008A2B8F">
              <w:rPr>
                <w:rFonts w:ascii="Meta Pro" w:eastAsia="Times New Roman" w:hAnsi="Meta Pro"/>
                <w:b/>
                <w:bCs/>
                <w:sz w:val="16"/>
                <w:szCs w:val="16"/>
                <w:lang w:eastAsia="en-AU"/>
              </w:rPr>
              <w:br/>
              <w:t xml:space="preserve">eliminations </w:t>
            </w:r>
          </w:p>
        </w:tc>
        <w:tc>
          <w:tcPr>
            <w:tcW w:w="199" w:type="dxa"/>
            <w:tcBorders>
              <w:top w:val="nil"/>
              <w:left w:val="nil"/>
              <w:bottom w:val="nil"/>
              <w:right w:val="nil"/>
            </w:tcBorders>
            <w:shd w:val="clear" w:color="auto" w:fill="auto"/>
            <w:hideMark/>
          </w:tcPr>
          <w:p w14:paraId="5BE17C0A" w14:textId="77777777" w:rsidR="00BC5219" w:rsidRPr="008A2B8F" w:rsidRDefault="00BC5219" w:rsidP="00E83802">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hideMark/>
          </w:tcPr>
          <w:p w14:paraId="746081A4"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Total</w:t>
            </w:r>
            <w:r w:rsidRPr="008A2B8F">
              <w:rPr>
                <w:rFonts w:ascii="Meta Pro" w:eastAsia="Times New Roman" w:hAnsi="Meta Pro"/>
                <w:b/>
                <w:bCs/>
                <w:sz w:val="16"/>
                <w:szCs w:val="16"/>
                <w:lang w:eastAsia="en-AU"/>
              </w:rPr>
              <w:br/>
              <w:t>Department</w:t>
            </w:r>
          </w:p>
        </w:tc>
      </w:tr>
      <w:tr w:rsidR="00BC5219" w:rsidRPr="008A2B8F" w14:paraId="08955ED8" w14:textId="77777777" w:rsidTr="00E83802">
        <w:trPr>
          <w:trHeight w:val="198"/>
        </w:trPr>
        <w:tc>
          <w:tcPr>
            <w:tcW w:w="454" w:type="dxa"/>
            <w:tcBorders>
              <w:top w:val="nil"/>
              <w:left w:val="nil"/>
              <w:bottom w:val="nil"/>
              <w:right w:val="nil"/>
            </w:tcBorders>
            <w:shd w:val="clear" w:color="auto" w:fill="auto"/>
            <w:noWrap/>
            <w:vAlign w:val="center"/>
            <w:hideMark/>
          </w:tcPr>
          <w:p w14:paraId="6A2114EA" w14:textId="77777777" w:rsidR="00BC5219" w:rsidRPr="008A2B8F" w:rsidRDefault="00BC5219" w:rsidP="00E83802">
            <w:pPr>
              <w:jc w:val="center"/>
              <w:rPr>
                <w:rFonts w:ascii="Meta Pro" w:eastAsia="Times New Roman" w:hAnsi="Meta Pro"/>
                <w:b/>
                <w:bCs/>
                <w:sz w:val="16"/>
                <w:szCs w:val="16"/>
                <w:lang w:eastAsia="en-AU"/>
              </w:rPr>
            </w:pPr>
          </w:p>
        </w:tc>
        <w:tc>
          <w:tcPr>
            <w:tcW w:w="5160" w:type="dxa"/>
            <w:tcBorders>
              <w:top w:val="nil"/>
              <w:left w:val="nil"/>
              <w:bottom w:val="nil"/>
              <w:right w:val="nil"/>
            </w:tcBorders>
            <w:shd w:val="clear" w:color="auto" w:fill="auto"/>
            <w:noWrap/>
            <w:vAlign w:val="center"/>
            <w:hideMark/>
          </w:tcPr>
          <w:p w14:paraId="122C4AF3" w14:textId="77777777" w:rsidR="00BC5219" w:rsidRPr="008A2B8F" w:rsidRDefault="00BC5219" w:rsidP="00E83802">
            <w:pPr>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noWrap/>
            <w:vAlign w:val="center"/>
            <w:hideMark/>
          </w:tcPr>
          <w:p w14:paraId="4843FC02"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2022</w:t>
            </w:r>
          </w:p>
        </w:tc>
        <w:tc>
          <w:tcPr>
            <w:tcW w:w="199" w:type="dxa"/>
            <w:tcBorders>
              <w:top w:val="nil"/>
              <w:left w:val="nil"/>
              <w:bottom w:val="nil"/>
              <w:right w:val="nil"/>
            </w:tcBorders>
            <w:shd w:val="clear" w:color="auto" w:fill="auto"/>
            <w:noWrap/>
            <w:vAlign w:val="center"/>
            <w:hideMark/>
          </w:tcPr>
          <w:p w14:paraId="7327A740" w14:textId="77777777" w:rsidR="00BC5219" w:rsidRPr="008A2B8F" w:rsidRDefault="00BC5219" w:rsidP="00E83802">
            <w:pPr>
              <w:jc w:val="center"/>
              <w:rPr>
                <w:rFonts w:ascii="Meta Pro" w:eastAsia="Times New Roman" w:hAnsi="Meta Pro"/>
                <w:b/>
                <w:bCs/>
                <w:sz w:val="16"/>
                <w:szCs w:val="16"/>
                <w:lang w:eastAsia="en-AU"/>
              </w:rPr>
            </w:pPr>
          </w:p>
        </w:tc>
        <w:tc>
          <w:tcPr>
            <w:tcW w:w="1418" w:type="dxa"/>
            <w:tcBorders>
              <w:top w:val="nil"/>
              <w:left w:val="nil"/>
              <w:bottom w:val="nil"/>
              <w:right w:val="nil"/>
            </w:tcBorders>
            <w:shd w:val="clear" w:color="auto" w:fill="auto"/>
            <w:noWrap/>
            <w:vAlign w:val="center"/>
            <w:hideMark/>
          </w:tcPr>
          <w:p w14:paraId="534829E0"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2022</w:t>
            </w:r>
          </w:p>
        </w:tc>
        <w:tc>
          <w:tcPr>
            <w:tcW w:w="199" w:type="dxa"/>
            <w:tcBorders>
              <w:top w:val="nil"/>
              <w:left w:val="nil"/>
              <w:bottom w:val="nil"/>
              <w:right w:val="nil"/>
            </w:tcBorders>
            <w:shd w:val="clear" w:color="auto" w:fill="auto"/>
            <w:noWrap/>
            <w:vAlign w:val="center"/>
            <w:hideMark/>
          </w:tcPr>
          <w:p w14:paraId="127B584F" w14:textId="77777777" w:rsidR="00BC5219" w:rsidRPr="008A2B8F" w:rsidRDefault="00BC5219" w:rsidP="00E83802">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noWrap/>
            <w:vAlign w:val="center"/>
            <w:hideMark/>
          </w:tcPr>
          <w:p w14:paraId="20F791B0"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2022</w:t>
            </w:r>
          </w:p>
        </w:tc>
        <w:tc>
          <w:tcPr>
            <w:tcW w:w="199" w:type="dxa"/>
            <w:tcBorders>
              <w:top w:val="nil"/>
              <w:left w:val="nil"/>
              <w:bottom w:val="nil"/>
              <w:right w:val="nil"/>
            </w:tcBorders>
            <w:shd w:val="clear" w:color="auto" w:fill="auto"/>
            <w:noWrap/>
            <w:vAlign w:val="center"/>
            <w:hideMark/>
          </w:tcPr>
          <w:p w14:paraId="549CCF40" w14:textId="77777777" w:rsidR="00BC5219" w:rsidRPr="008A2B8F" w:rsidRDefault="00BC5219" w:rsidP="00E83802">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noWrap/>
            <w:vAlign w:val="center"/>
            <w:hideMark/>
          </w:tcPr>
          <w:p w14:paraId="1EC79A93"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2022</w:t>
            </w:r>
          </w:p>
        </w:tc>
        <w:tc>
          <w:tcPr>
            <w:tcW w:w="199" w:type="dxa"/>
            <w:tcBorders>
              <w:top w:val="nil"/>
              <w:left w:val="nil"/>
              <w:bottom w:val="nil"/>
              <w:right w:val="nil"/>
            </w:tcBorders>
            <w:shd w:val="clear" w:color="auto" w:fill="auto"/>
            <w:noWrap/>
            <w:vAlign w:val="center"/>
            <w:hideMark/>
          </w:tcPr>
          <w:p w14:paraId="6A81C873" w14:textId="77777777" w:rsidR="00BC5219" w:rsidRPr="008A2B8F" w:rsidRDefault="00BC5219" w:rsidP="00E83802">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noWrap/>
            <w:vAlign w:val="center"/>
            <w:hideMark/>
          </w:tcPr>
          <w:p w14:paraId="0FF3D5D2"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2022</w:t>
            </w:r>
          </w:p>
        </w:tc>
        <w:tc>
          <w:tcPr>
            <w:tcW w:w="199" w:type="dxa"/>
            <w:tcBorders>
              <w:top w:val="nil"/>
              <w:left w:val="nil"/>
              <w:bottom w:val="nil"/>
              <w:right w:val="nil"/>
            </w:tcBorders>
            <w:shd w:val="clear" w:color="auto" w:fill="auto"/>
            <w:noWrap/>
            <w:vAlign w:val="center"/>
            <w:hideMark/>
          </w:tcPr>
          <w:p w14:paraId="185E9E4D" w14:textId="77777777" w:rsidR="00BC5219" w:rsidRPr="008A2B8F" w:rsidRDefault="00BC5219" w:rsidP="00E83802">
            <w:pPr>
              <w:jc w:val="center"/>
              <w:rPr>
                <w:rFonts w:ascii="Meta Pro" w:eastAsia="Times New Roman" w:hAnsi="Meta Pro"/>
                <w:b/>
                <w:bCs/>
                <w:sz w:val="16"/>
                <w:szCs w:val="16"/>
                <w:lang w:eastAsia="en-AU"/>
              </w:rPr>
            </w:pPr>
          </w:p>
        </w:tc>
        <w:tc>
          <w:tcPr>
            <w:tcW w:w="1418" w:type="dxa"/>
            <w:tcBorders>
              <w:top w:val="nil"/>
              <w:left w:val="nil"/>
              <w:bottom w:val="nil"/>
              <w:right w:val="nil"/>
            </w:tcBorders>
            <w:shd w:val="clear" w:color="auto" w:fill="auto"/>
            <w:noWrap/>
            <w:vAlign w:val="center"/>
            <w:hideMark/>
          </w:tcPr>
          <w:p w14:paraId="00EBAE9E"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2022</w:t>
            </w:r>
          </w:p>
        </w:tc>
        <w:tc>
          <w:tcPr>
            <w:tcW w:w="199" w:type="dxa"/>
            <w:tcBorders>
              <w:top w:val="nil"/>
              <w:left w:val="nil"/>
              <w:bottom w:val="nil"/>
              <w:right w:val="nil"/>
            </w:tcBorders>
            <w:shd w:val="clear" w:color="auto" w:fill="auto"/>
            <w:noWrap/>
            <w:vAlign w:val="center"/>
            <w:hideMark/>
          </w:tcPr>
          <w:p w14:paraId="6C96912D" w14:textId="77777777" w:rsidR="00BC5219" w:rsidRPr="008A2B8F" w:rsidRDefault="00BC5219" w:rsidP="00E83802">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noWrap/>
            <w:vAlign w:val="center"/>
            <w:hideMark/>
          </w:tcPr>
          <w:p w14:paraId="674C6AE0"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2022</w:t>
            </w:r>
          </w:p>
        </w:tc>
        <w:tc>
          <w:tcPr>
            <w:tcW w:w="199" w:type="dxa"/>
            <w:tcBorders>
              <w:top w:val="nil"/>
              <w:left w:val="nil"/>
              <w:bottom w:val="nil"/>
              <w:right w:val="nil"/>
            </w:tcBorders>
            <w:shd w:val="clear" w:color="auto" w:fill="auto"/>
            <w:noWrap/>
            <w:vAlign w:val="center"/>
            <w:hideMark/>
          </w:tcPr>
          <w:p w14:paraId="79ACFE98" w14:textId="77777777" w:rsidR="00BC5219" w:rsidRPr="008A2B8F" w:rsidRDefault="00BC5219" w:rsidP="00E83802">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noWrap/>
            <w:vAlign w:val="center"/>
            <w:hideMark/>
          </w:tcPr>
          <w:p w14:paraId="7CB00AA5"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2022</w:t>
            </w:r>
          </w:p>
        </w:tc>
      </w:tr>
      <w:tr w:rsidR="00BC5219" w:rsidRPr="008A2B8F" w14:paraId="3E3C66B3" w14:textId="77777777" w:rsidTr="00E83802">
        <w:trPr>
          <w:trHeight w:val="198"/>
        </w:trPr>
        <w:tc>
          <w:tcPr>
            <w:tcW w:w="5160" w:type="dxa"/>
            <w:gridSpan w:val="2"/>
            <w:tcBorders>
              <w:top w:val="nil"/>
              <w:left w:val="nil"/>
              <w:bottom w:val="nil"/>
              <w:right w:val="nil"/>
            </w:tcBorders>
            <w:shd w:val="clear" w:color="auto" w:fill="auto"/>
            <w:noWrap/>
            <w:vAlign w:val="center"/>
            <w:hideMark/>
          </w:tcPr>
          <w:p w14:paraId="65644488" w14:textId="77777777" w:rsidR="00BC5219" w:rsidRPr="008A2B8F" w:rsidRDefault="00BC5219" w:rsidP="00E83802">
            <w:pPr>
              <w:rPr>
                <w:rFonts w:ascii="Meta Pro" w:eastAsia="Times New Roman" w:hAnsi="Meta Pro"/>
                <w:b/>
                <w:bCs/>
                <w:sz w:val="16"/>
                <w:szCs w:val="16"/>
                <w:lang w:eastAsia="en-AU"/>
              </w:rPr>
            </w:pPr>
            <w:r w:rsidRPr="008A2B8F">
              <w:rPr>
                <w:rFonts w:ascii="Meta Pro" w:eastAsia="Times New Roman" w:hAnsi="Meta Pro"/>
                <w:b/>
                <w:bCs/>
                <w:sz w:val="16"/>
                <w:szCs w:val="16"/>
                <w:lang w:eastAsia="en-AU"/>
              </w:rPr>
              <w:t>Assets</w:t>
            </w:r>
          </w:p>
        </w:tc>
        <w:tc>
          <w:tcPr>
            <w:tcW w:w="1418" w:type="dxa"/>
            <w:tcBorders>
              <w:top w:val="nil"/>
              <w:left w:val="nil"/>
              <w:bottom w:val="nil"/>
              <w:right w:val="nil"/>
            </w:tcBorders>
            <w:shd w:val="clear" w:color="auto" w:fill="auto"/>
            <w:noWrap/>
            <w:vAlign w:val="center"/>
            <w:hideMark/>
          </w:tcPr>
          <w:p w14:paraId="52A5FADC"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$'000</w:t>
            </w:r>
          </w:p>
        </w:tc>
        <w:tc>
          <w:tcPr>
            <w:tcW w:w="199" w:type="dxa"/>
            <w:tcBorders>
              <w:top w:val="nil"/>
              <w:left w:val="nil"/>
              <w:bottom w:val="nil"/>
              <w:right w:val="nil"/>
            </w:tcBorders>
            <w:shd w:val="clear" w:color="auto" w:fill="auto"/>
            <w:noWrap/>
            <w:vAlign w:val="center"/>
            <w:hideMark/>
          </w:tcPr>
          <w:p w14:paraId="4495A183" w14:textId="77777777" w:rsidR="00BC5219" w:rsidRPr="008A2B8F" w:rsidRDefault="00BC5219" w:rsidP="00E83802">
            <w:pPr>
              <w:jc w:val="center"/>
              <w:rPr>
                <w:rFonts w:ascii="Meta Pro" w:eastAsia="Times New Roman" w:hAnsi="Meta Pro"/>
                <w:b/>
                <w:bCs/>
                <w:sz w:val="16"/>
                <w:szCs w:val="16"/>
                <w:lang w:eastAsia="en-AU"/>
              </w:rPr>
            </w:pPr>
          </w:p>
        </w:tc>
        <w:tc>
          <w:tcPr>
            <w:tcW w:w="1418" w:type="dxa"/>
            <w:tcBorders>
              <w:top w:val="nil"/>
              <w:left w:val="nil"/>
              <w:bottom w:val="nil"/>
              <w:right w:val="nil"/>
            </w:tcBorders>
            <w:shd w:val="clear" w:color="auto" w:fill="auto"/>
            <w:noWrap/>
            <w:vAlign w:val="center"/>
            <w:hideMark/>
          </w:tcPr>
          <w:p w14:paraId="3B620564"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$'000</w:t>
            </w:r>
          </w:p>
        </w:tc>
        <w:tc>
          <w:tcPr>
            <w:tcW w:w="199" w:type="dxa"/>
            <w:tcBorders>
              <w:top w:val="nil"/>
              <w:left w:val="nil"/>
              <w:bottom w:val="nil"/>
              <w:right w:val="nil"/>
            </w:tcBorders>
            <w:shd w:val="clear" w:color="auto" w:fill="auto"/>
            <w:noWrap/>
            <w:vAlign w:val="center"/>
            <w:hideMark/>
          </w:tcPr>
          <w:p w14:paraId="3A75AF43" w14:textId="77777777" w:rsidR="00BC5219" w:rsidRPr="008A2B8F" w:rsidRDefault="00BC5219" w:rsidP="00E83802">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noWrap/>
            <w:vAlign w:val="center"/>
            <w:hideMark/>
          </w:tcPr>
          <w:p w14:paraId="4FD16053"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$'000</w:t>
            </w:r>
          </w:p>
        </w:tc>
        <w:tc>
          <w:tcPr>
            <w:tcW w:w="199" w:type="dxa"/>
            <w:tcBorders>
              <w:top w:val="nil"/>
              <w:left w:val="nil"/>
              <w:bottom w:val="nil"/>
              <w:right w:val="nil"/>
            </w:tcBorders>
            <w:shd w:val="clear" w:color="auto" w:fill="auto"/>
            <w:noWrap/>
            <w:vAlign w:val="center"/>
            <w:hideMark/>
          </w:tcPr>
          <w:p w14:paraId="2E6938D4" w14:textId="77777777" w:rsidR="00BC5219" w:rsidRPr="008A2B8F" w:rsidRDefault="00BC5219" w:rsidP="00E83802">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noWrap/>
            <w:vAlign w:val="center"/>
            <w:hideMark/>
          </w:tcPr>
          <w:p w14:paraId="15B5ED57"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$'000</w:t>
            </w:r>
          </w:p>
        </w:tc>
        <w:tc>
          <w:tcPr>
            <w:tcW w:w="199" w:type="dxa"/>
            <w:tcBorders>
              <w:top w:val="nil"/>
              <w:left w:val="nil"/>
              <w:bottom w:val="nil"/>
              <w:right w:val="nil"/>
            </w:tcBorders>
            <w:shd w:val="clear" w:color="auto" w:fill="auto"/>
            <w:noWrap/>
            <w:vAlign w:val="center"/>
            <w:hideMark/>
          </w:tcPr>
          <w:p w14:paraId="7F5EF1A7" w14:textId="77777777" w:rsidR="00BC5219" w:rsidRPr="008A2B8F" w:rsidRDefault="00BC5219" w:rsidP="00E83802">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noWrap/>
            <w:vAlign w:val="center"/>
            <w:hideMark/>
          </w:tcPr>
          <w:p w14:paraId="786985B5"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$'000</w:t>
            </w:r>
          </w:p>
        </w:tc>
        <w:tc>
          <w:tcPr>
            <w:tcW w:w="199" w:type="dxa"/>
            <w:tcBorders>
              <w:top w:val="nil"/>
              <w:left w:val="nil"/>
              <w:bottom w:val="nil"/>
              <w:right w:val="nil"/>
            </w:tcBorders>
            <w:shd w:val="clear" w:color="auto" w:fill="auto"/>
            <w:noWrap/>
            <w:vAlign w:val="center"/>
            <w:hideMark/>
          </w:tcPr>
          <w:p w14:paraId="033B5C48" w14:textId="77777777" w:rsidR="00BC5219" w:rsidRPr="008A2B8F" w:rsidRDefault="00BC5219" w:rsidP="00E83802">
            <w:pPr>
              <w:jc w:val="center"/>
              <w:rPr>
                <w:rFonts w:ascii="Meta Pro" w:eastAsia="Times New Roman" w:hAnsi="Meta Pro"/>
                <w:b/>
                <w:bCs/>
                <w:sz w:val="16"/>
                <w:szCs w:val="16"/>
                <w:lang w:eastAsia="en-AU"/>
              </w:rPr>
            </w:pPr>
          </w:p>
        </w:tc>
        <w:tc>
          <w:tcPr>
            <w:tcW w:w="1418" w:type="dxa"/>
            <w:tcBorders>
              <w:top w:val="nil"/>
              <w:left w:val="nil"/>
              <w:bottom w:val="nil"/>
              <w:right w:val="nil"/>
            </w:tcBorders>
            <w:shd w:val="clear" w:color="auto" w:fill="auto"/>
            <w:noWrap/>
            <w:vAlign w:val="center"/>
            <w:hideMark/>
          </w:tcPr>
          <w:p w14:paraId="174FDC73"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$'000</w:t>
            </w:r>
          </w:p>
        </w:tc>
        <w:tc>
          <w:tcPr>
            <w:tcW w:w="199" w:type="dxa"/>
            <w:tcBorders>
              <w:top w:val="nil"/>
              <w:left w:val="nil"/>
              <w:bottom w:val="nil"/>
              <w:right w:val="nil"/>
            </w:tcBorders>
            <w:shd w:val="clear" w:color="auto" w:fill="auto"/>
            <w:noWrap/>
            <w:vAlign w:val="center"/>
            <w:hideMark/>
          </w:tcPr>
          <w:p w14:paraId="6DC8D449" w14:textId="77777777" w:rsidR="00BC5219" w:rsidRPr="008A2B8F" w:rsidRDefault="00BC5219" w:rsidP="00E83802">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noWrap/>
            <w:vAlign w:val="center"/>
            <w:hideMark/>
          </w:tcPr>
          <w:p w14:paraId="4C84E151"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$'000</w:t>
            </w:r>
          </w:p>
        </w:tc>
        <w:tc>
          <w:tcPr>
            <w:tcW w:w="199" w:type="dxa"/>
            <w:tcBorders>
              <w:top w:val="nil"/>
              <w:left w:val="nil"/>
              <w:bottom w:val="nil"/>
              <w:right w:val="nil"/>
            </w:tcBorders>
            <w:shd w:val="clear" w:color="auto" w:fill="auto"/>
            <w:noWrap/>
            <w:vAlign w:val="center"/>
            <w:hideMark/>
          </w:tcPr>
          <w:p w14:paraId="20C4B060" w14:textId="77777777" w:rsidR="00BC5219" w:rsidRPr="008A2B8F" w:rsidRDefault="00BC5219" w:rsidP="00E83802">
            <w:pPr>
              <w:jc w:val="center"/>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noWrap/>
            <w:vAlign w:val="center"/>
            <w:hideMark/>
          </w:tcPr>
          <w:p w14:paraId="34AF2572"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$'000</w:t>
            </w:r>
          </w:p>
        </w:tc>
      </w:tr>
      <w:tr w:rsidR="00BC5219" w:rsidRPr="008A2B8F" w14:paraId="4FCC99A4" w14:textId="77777777" w:rsidTr="00E83802">
        <w:trPr>
          <w:trHeight w:val="198"/>
        </w:trPr>
        <w:tc>
          <w:tcPr>
            <w:tcW w:w="5160" w:type="dxa"/>
            <w:gridSpan w:val="2"/>
            <w:tcBorders>
              <w:top w:val="nil"/>
              <w:left w:val="nil"/>
              <w:bottom w:val="nil"/>
              <w:right w:val="nil"/>
            </w:tcBorders>
            <w:shd w:val="clear" w:color="auto" w:fill="auto"/>
            <w:noWrap/>
            <w:vAlign w:val="center"/>
            <w:hideMark/>
          </w:tcPr>
          <w:p w14:paraId="2E3CA42A" w14:textId="77777777" w:rsidR="00BC5219" w:rsidRPr="008A2B8F" w:rsidRDefault="00BC5219" w:rsidP="00E83802">
            <w:pPr>
              <w:rPr>
                <w:rFonts w:ascii="Meta Pro" w:eastAsia="Times New Roman" w:hAnsi="Meta Pro"/>
                <w:b/>
                <w:bCs/>
                <w:sz w:val="16"/>
                <w:szCs w:val="16"/>
                <w:lang w:eastAsia="en-AU"/>
              </w:rPr>
            </w:pPr>
            <w:r w:rsidRPr="008A2B8F">
              <w:rPr>
                <w:rFonts w:ascii="Meta Pro" w:eastAsia="Times New Roman" w:hAnsi="Meta Pro"/>
                <w:b/>
                <w:bCs/>
                <w:sz w:val="16"/>
                <w:szCs w:val="16"/>
                <w:lang w:eastAsia="en-AU"/>
              </w:rPr>
              <w:t>Current assets</w:t>
            </w:r>
          </w:p>
        </w:tc>
        <w:tc>
          <w:tcPr>
            <w:tcW w:w="1418" w:type="dxa"/>
            <w:tcBorders>
              <w:top w:val="nil"/>
              <w:left w:val="nil"/>
              <w:bottom w:val="nil"/>
              <w:right w:val="nil"/>
            </w:tcBorders>
            <w:shd w:val="clear" w:color="auto" w:fill="auto"/>
            <w:noWrap/>
            <w:vAlign w:val="center"/>
            <w:hideMark/>
          </w:tcPr>
          <w:p w14:paraId="6772AF81" w14:textId="77777777" w:rsidR="00BC5219" w:rsidRPr="008A2B8F" w:rsidRDefault="00BC5219" w:rsidP="00E83802">
            <w:pPr>
              <w:rPr>
                <w:rFonts w:ascii="Meta Pro" w:eastAsia="Times New Roman" w:hAnsi="Meta Pro"/>
                <w:b/>
                <w:bCs/>
                <w:sz w:val="16"/>
                <w:szCs w:val="16"/>
                <w:lang w:eastAsia="en-AU"/>
              </w:rPr>
            </w:pPr>
          </w:p>
        </w:tc>
        <w:tc>
          <w:tcPr>
            <w:tcW w:w="199" w:type="dxa"/>
            <w:tcBorders>
              <w:top w:val="nil"/>
              <w:left w:val="nil"/>
              <w:bottom w:val="nil"/>
              <w:right w:val="nil"/>
            </w:tcBorders>
            <w:shd w:val="clear" w:color="auto" w:fill="auto"/>
            <w:noWrap/>
            <w:vAlign w:val="center"/>
            <w:hideMark/>
          </w:tcPr>
          <w:p w14:paraId="35C3D64F" w14:textId="77777777" w:rsidR="00BC5219" w:rsidRPr="008A2B8F" w:rsidRDefault="00BC5219" w:rsidP="00E83802">
            <w:pPr>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noWrap/>
            <w:vAlign w:val="center"/>
            <w:hideMark/>
          </w:tcPr>
          <w:p w14:paraId="35016480"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11794723" w14:textId="77777777" w:rsidR="00BC5219" w:rsidRPr="008A2B8F" w:rsidRDefault="00BC5219" w:rsidP="00E83802">
            <w:pP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74AACBE0"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575C3920" w14:textId="77777777" w:rsidR="00BC5219" w:rsidRPr="008A2B8F" w:rsidRDefault="00BC5219" w:rsidP="00E83802">
            <w:pP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08085812"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43275D0A" w14:textId="77777777" w:rsidR="00BC5219" w:rsidRPr="008A2B8F" w:rsidRDefault="00BC5219" w:rsidP="00E83802">
            <w:pP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582932CE"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3F8EF170" w14:textId="77777777" w:rsidR="00BC5219" w:rsidRPr="008A2B8F" w:rsidRDefault="00BC5219" w:rsidP="00E83802">
            <w:pPr>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noWrap/>
            <w:vAlign w:val="center"/>
            <w:hideMark/>
          </w:tcPr>
          <w:p w14:paraId="69D11F0A"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16A0BC2B" w14:textId="77777777" w:rsidR="00BC5219" w:rsidRPr="008A2B8F" w:rsidRDefault="00BC5219" w:rsidP="00E83802">
            <w:pP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2F5F88ED"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7F14B4A0" w14:textId="77777777" w:rsidR="00BC5219" w:rsidRPr="008A2B8F" w:rsidRDefault="00BC5219" w:rsidP="00E83802">
            <w:pPr>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586257BC"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04C9AC0B" w14:textId="77777777" w:rsidTr="00E83802">
        <w:trPr>
          <w:trHeight w:val="198"/>
        </w:trPr>
        <w:tc>
          <w:tcPr>
            <w:tcW w:w="454" w:type="dxa"/>
            <w:tcBorders>
              <w:top w:val="nil"/>
              <w:left w:val="nil"/>
              <w:bottom w:val="nil"/>
              <w:right w:val="nil"/>
            </w:tcBorders>
            <w:shd w:val="clear" w:color="auto" w:fill="auto"/>
            <w:noWrap/>
            <w:vAlign w:val="center"/>
            <w:hideMark/>
          </w:tcPr>
          <w:p w14:paraId="772F1A51" w14:textId="77777777" w:rsidR="00BC5219" w:rsidRPr="008A2B8F" w:rsidRDefault="00BC5219" w:rsidP="00E83802">
            <w:pPr>
              <w:rPr>
                <w:rFonts w:ascii="Meta Pro" w:eastAsia="Times New Roman" w:hAnsi="Meta Pro" w:cs="Times New Roman"/>
                <w:sz w:val="20"/>
                <w:szCs w:val="20"/>
                <w:lang w:eastAsia="en-AU"/>
              </w:rPr>
            </w:pPr>
          </w:p>
        </w:tc>
        <w:tc>
          <w:tcPr>
            <w:tcW w:w="5160" w:type="dxa"/>
            <w:tcBorders>
              <w:top w:val="nil"/>
              <w:left w:val="nil"/>
              <w:bottom w:val="nil"/>
              <w:right w:val="nil"/>
            </w:tcBorders>
            <w:shd w:val="clear" w:color="auto" w:fill="auto"/>
            <w:noWrap/>
            <w:vAlign w:val="center"/>
            <w:hideMark/>
          </w:tcPr>
          <w:p w14:paraId="65118B49"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Cash</w:t>
            </w:r>
          </w:p>
        </w:tc>
        <w:tc>
          <w:tcPr>
            <w:tcW w:w="1418" w:type="dxa"/>
            <w:tcBorders>
              <w:top w:val="nil"/>
              <w:left w:val="nil"/>
              <w:bottom w:val="nil"/>
              <w:right w:val="nil"/>
            </w:tcBorders>
            <w:shd w:val="clear" w:color="auto" w:fill="auto"/>
            <w:noWrap/>
            <w:vAlign w:val="center"/>
            <w:hideMark/>
          </w:tcPr>
          <w:p w14:paraId="6D196514"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5,769 </w:t>
            </w:r>
          </w:p>
        </w:tc>
        <w:tc>
          <w:tcPr>
            <w:tcW w:w="199" w:type="dxa"/>
            <w:tcBorders>
              <w:top w:val="nil"/>
              <w:left w:val="nil"/>
              <w:bottom w:val="nil"/>
              <w:right w:val="nil"/>
            </w:tcBorders>
            <w:shd w:val="clear" w:color="auto" w:fill="auto"/>
            <w:noWrap/>
            <w:vAlign w:val="center"/>
            <w:hideMark/>
          </w:tcPr>
          <w:p w14:paraId="0247B03F" w14:textId="77777777" w:rsidR="00BC5219" w:rsidRPr="008A2B8F"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auto" w:fill="auto"/>
            <w:noWrap/>
            <w:vAlign w:val="center"/>
            <w:hideMark/>
          </w:tcPr>
          <w:p w14:paraId="13411DA8"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57,594 </w:t>
            </w:r>
          </w:p>
        </w:tc>
        <w:tc>
          <w:tcPr>
            <w:tcW w:w="199" w:type="dxa"/>
            <w:tcBorders>
              <w:top w:val="nil"/>
              <w:left w:val="nil"/>
              <w:bottom w:val="nil"/>
              <w:right w:val="nil"/>
            </w:tcBorders>
            <w:shd w:val="clear" w:color="auto" w:fill="auto"/>
            <w:noWrap/>
            <w:vAlign w:val="center"/>
            <w:hideMark/>
          </w:tcPr>
          <w:p w14:paraId="441B756C"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6C749456"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15,377 </w:t>
            </w:r>
          </w:p>
        </w:tc>
        <w:tc>
          <w:tcPr>
            <w:tcW w:w="199" w:type="dxa"/>
            <w:tcBorders>
              <w:top w:val="nil"/>
              <w:left w:val="nil"/>
              <w:bottom w:val="nil"/>
              <w:right w:val="nil"/>
            </w:tcBorders>
            <w:shd w:val="clear" w:color="auto" w:fill="auto"/>
            <w:noWrap/>
            <w:vAlign w:val="center"/>
            <w:hideMark/>
          </w:tcPr>
          <w:p w14:paraId="4F6B9ADB"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6E20A7E3"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17,981 </w:t>
            </w:r>
          </w:p>
        </w:tc>
        <w:tc>
          <w:tcPr>
            <w:tcW w:w="199" w:type="dxa"/>
            <w:tcBorders>
              <w:top w:val="nil"/>
              <w:left w:val="nil"/>
              <w:bottom w:val="nil"/>
              <w:right w:val="nil"/>
            </w:tcBorders>
            <w:shd w:val="clear" w:color="auto" w:fill="auto"/>
            <w:noWrap/>
            <w:vAlign w:val="center"/>
            <w:hideMark/>
          </w:tcPr>
          <w:p w14:paraId="75D5919E"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1D4058CE"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161,902 </w:t>
            </w:r>
          </w:p>
        </w:tc>
        <w:tc>
          <w:tcPr>
            <w:tcW w:w="199" w:type="dxa"/>
            <w:tcBorders>
              <w:top w:val="nil"/>
              <w:left w:val="nil"/>
              <w:bottom w:val="nil"/>
              <w:right w:val="nil"/>
            </w:tcBorders>
            <w:shd w:val="clear" w:color="auto" w:fill="auto"/>
            <w:noWrap/>
            <w:vAlign w:val="center"/>
            <w:hideMark/>
          </w:tcPr>
          <w:p w14:paraId="489B9ACC" w14:textId="77777777" w:rsidR="00BC5219" w:rsidRPr="008A2B8F"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auto" w:fill="auto"/>
            <w:noWrap/>
            <w:vAlign w:val="center"/>
            <w:hideMark/>
          </w:tcPr>
          <w:p w14:paraId="148E5449"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(13,193)</w:t>
            </w:r>
          </w:p>
        </w:tc>
        <w:tc>
          <w:tcPr>
            <w:tcW w:w="199" w:type="dxa"/>
            <w:tcBorders>
              <w:top w:val="nil"/>
              <w:left w:val="nil"/>
              <w:bottom w:val="nil"/>
              <w:right w:val="nil"/>
            </w:tcBorders>
            <w:shd w:val="clear" w:color="auto" w:fill="auto"/>
            <w:noWrap/>
            <w:vAlign w:val="center"/>
            <w:hideMark/>
          </w:tcPr>
          <w:p w14:paraId="334435A2"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5ACA5BC5"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202F7F31"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592F407C"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245,430 </w:t>
            </w:r>
          </w:p>
        </w:tc>
      </w:tr>
      <w:tr w:rsidR="00BC5219" w:rsidRPr="008A2B8F" w14:paraId="05845BF9" w14:textId="77777777" w:rsidTr="00E83802">
        <w:trPr>
          <w:trHeight w:val="198"/>
        </w:trPr>
        <w:tc>
          <w:tcPr>
            <w:tcW w:w="454" w:type="dxa"/>
            <w:tcBorders>
              <w:top w:val="nil"/>
              <w:left w:val="nil"/>
              <w:bottom w:val="nil"/>
              <w:right w:val="nil"/>
            </w:tcBorders>
            <w:shd w:val="clear" w:color="auto" w:fill="auto"/>
            <w:noWrap/>
            <w:vAlign w:val="center"/>
            <w:hideMark/>
          </w:tcPr>
          <w:p w14:paraId="47D9D10D" w14:textId="77777777" w:rsidR="00BC5219" w:rsidRPr="008A2B8F" w:rsidRDefault="00BC5219" w:rsidP="00E83802">
            <w:pPr>
              <w:jc w:val="right"/>
              <w:rPr>
                <w:rFonts w:ascii="Meta Pro" w:eastAsia="Times New Roman" w:hAnsi="Meta Pro"/>
                <w:b/>
                <w:bCs/>
                <w:sz w:val="16"/>
                <w:szCs w:val="16"/>
                <w:lang w:eastAsia="en-AU"/>
              </w:rPr>
            </w:pPr>
          </w:p>
        </w:tc>
        <w:tc>
          <w:tcPr>
            <w:tcW w:w="5160" w:type="dxa"/>
            <w:tcBorders>
              <w:top w:val="nil"/>
              <w:left w:val="nil"/>
              <w:bottom w:val="nil"/>
              <w:right w:val="nil"/>
            </w:tcBorders>
            <w:shd w:val="clear" w:color="auto" w:fill="auto"/>
            <w:noWrap/>
            <w:vAlign w:val="center"/>
            <w:hideMark/>
          </w:tcPr>
          <w:p w14:paraId="0A35BC43"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Receivables</w:t>
            </w:r>
          </w:p>
        </w:tc>
        <w:tc>
          <w:tcPr>
            <w:tcW w:w="1418" w:type="dxa"/>
            <w:tcBorders>
              <w:top w:val="nil"/>
              <w:left w:val="nil"/>
              <w:bottom w:val="nil"/>
              <w:right w:val="nil"/>
            </w:tcBorders>
            <w:shd w:val="clear" w:color="auto" w:fill="auto"/>
            <w:noWrap/>
            <w:vAlign w:val="center"/>
            <w:hideMark/>
          </w:tcPr>
          <w:p w14:paraId="4A841654"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11,110 </w:t>
            </w:r>
          </w:p>
        </w:tc>
        <w:tc>
          <w:tcPr>
            <w:tcW w:w="199" w:type="dxa"/>
            <w:tcBorders>
              <w:top w:val="nil"/>
              <w:left w:val="nil"/>
              <w:bottom w:val="nil"/>
              <w:right w:val="nil"/>
            </w:tcBorders>
            <w:shd w:val="clear" w:color="auto" w:fill="auto"/>
            <w:noWrap/>
            <w:vAlign w:val="center"/>
            <w:hideMark/>
          </w:tcPr>
          <w:p w14:paraId="48597300" w14:textId="77777777" w:rsidR="00BC5219" w:rsidRPr="008A2B8F"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auto" w:fill="auto"/>
            <w:noWrap/>
            <w:vAlign w:val="center"/>
            <w:hideMark/>
          </w:tcPr>
          <w:p w14:paraId="2A9DA2B7"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59,419 </w:t>
            </w:r>
          </w:p>
        </w:tc>
        <w:tc>
          <w:tcPr>
            <w:tcW w:w="199" w:type="dxa"/>
            <w:tcBorders>
              <w:top w:val="nil"/>
              <w:left w:val="nil"/>
              <w:bottom w:val="nil"/>
              <w:right w:val="nil"/>
            </w:tcBorders>
            <w:shd w:val="clear" w:color="auto" w:fill="auto"/>
            <w:noWrap/>
            <w:vAlign w:val="center"/>
            <w:hideMark/>
          </w:tcPr>
          <w:p w14:paraId="7C78068A"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239FE7F3"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90,199 </w:t>
            </w:r>
          </w:p>
        </w:tc>
        <w:tc>
          <w:tcPr>
            <w:tcW w:w="199" w:type="dxa"/>
            <w:tcBorders>
              <w:top w:val="nil"/>
              <w:left w:val="nil"/>
              <w:bottom w:val="nil"/>
              <w:right w:val="nil"/>
            </w:tcBorders>
            <w:shd w:val="clear" w:color="auto" w:fill="auto"/>
            <w:noWrap/>
            <w:vAlign w:val="center"/>
            <w:hideMark/>
          </w:tcPr>
          <w:p w14:paraId="48922D05"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2AD5E731"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4,545 </w:t>
            </w:r>
          </w:p>
        </w:tc>
        <w:tc>
          <w:tcPr>
            <w:tcW w:w="199" w:type="dxa"/>
            <w:tcBorders>
              <w:top w:val="nil"/>
              <w:left w:val="nil"/>
              <w:bottom w:val="nil"/>
              <w:right w:val="nil"/>
            </w:tcBorders>
            <w:shd w:val="clear" w:color="auto" w:fill="auto"/>
            <w:noWrap/>
            <w:vAlign w:val="center"/>
            <w:hideMark/>
          </w:tcPr>
          <w:p w14:paraId="6B131C7D"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5738D182"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70,363 </w:t>
            </w:r>
          </w:p>
        </w:tc>
        <w:tc>
          <w:tcPr>
            <w:tcW w:w="199" w:type="dxa"/>
            <w:tcBorders>
              <w:top w:val="nil"/>
              <w:left w:val="nil"/>
              <w:bottom w:val="nil"/>
              <w:right w:val="nil"/>
            </w:tcBorders>
            <w:shd w:val="clear" w:color="auto" w:fill="auto"/>
            <w:noWrap/>
            <w:vAlign w:val="center"/>
            <w:hideMark/>
          </w:tcPr>
          <w:p w14:paraId="39CA49DC" w14:textId="77777777" w:rsidR="00BC5219" w:rsidRPr="008A2B8F"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auto" w:fill="auto"/>
            <w:noWrap/>
            <w:vAlign w:val="center"/>
            <w:hideMark/>
          </w:tcPr>
          <w:p w14:paraId="20804A66"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86,087 </w:t>
            </w:r>
          </w:p>
        </w:tc>
        <w:tc>
          <w:tcPr>
            <w:tcW w:w="199" w:type="dxa"/>
            <w:tcBorders>
              <w:top w:val="nil"/>
              <w:left w:val="nil"/>
              <w:bottom w:val="nil"/>
              <w:right w:val="nil"/>
            </w:tcBorders>
            <w:shd w:val="clear" w:color="auto" w:fill="auto"/>
            <w:noWrap/>
            <w:vAlign w:val="center"/>
            <w:hideMark/>
          </w:tcPr>
          <w:p w14:paraId="74B2FDD9"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11C16306"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(95,010)</w:t>
            </w:r>
          </w:p>
        </w:tc>
        <w:tc>
          <w:tcPr>
            <w:tcW w:w="199" w:type="dxa"/>
            <w:tcBorders>
              <w:top w:val="nil"/>
              <w:left w:val="nil"/>
              <w:bottom w:val="nil"/>
              <w:right w:val="nil"/>
            </w:tcBorders>
            <w:shd w:val="clear" w:color="auto" w:fill="auto"/>
            <w:noWrap/>
            <w:vAlign w:val="center"/>
            <w:hideMark/>
          </w:tcPr>
          <w:p w14:paraId="430093F4"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0838C904"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226,713 </w:t>
            </w:r>
          </w:p>
        </w:tc>
      </w:tr>
      <w:tr w:rsidR="00BC5219" w:rsidRPr="008A2B8F" w14:paraId="2DC3C92A" w14:textId="77777777" w:rsidTr="00E83802">
        <w:trPr>
          <w:trHeight w:val="198"/>
        </w:trPr>
        <w:tc>
          <w:tcPr>
            <w:tcW w:w="454" w:type="dxa"/>
            <w:tcBorders>
              <w:top w:val="nil"/>
              <w:left w:val="nil"/>
              <w:bottom w:val="nil"/>
              <w:right w:val="nil"/>
            </w:tcBorders>
            <w:shd w:val="clear" w:color="auto" w:fill="auto"/>
            <w:noWrap/>
            <w:vAlign w:val="center"/>
            <w:hideMark/>
          </w:tcPr>
          <w:p w14:paraId="41C917CE" w14:textId="77777777" w:rsidR="00BC5219" w:rsidRPr="008A2B8F" w:rsidRDefault="00BC5219" w:rsidP="00E83802">
            <w:pPr>
              <w:jc w:val="right"/>
              <w:rPr>
                <w:rFonts w:ascii="Meta Pro" w:eastAsia="Times New Roman" w:hAnsi="Meta Pro"/>
                <w:b/>
                <w:bCs/>
                <w:sz w:val="16"/>
                <w:szCs w:val="16"/>
                <w:lang w:eastAsia="en-AU"/>
              </w:rPr>
            </w:pPr>
          </w:p>
        </w:tc>
        <w:tc>
          <w:tcPr>
            <w:tcW w:w="5160" w:type="dxa"/>
            <w:tcBorders>
              <w:top w:val="nil"/>
              <w:left w:val="nil"/>
              <w:bottom w:val="nil"/>
              <w:right w:val="nil"/>
            </w:tcBorders>
            <w:shd w:val="clear" w:color="auto" w:fill="auto"/>
            <w:noWrap/>
            <w:vAlign w:val="center"/>
            <w:hideMark/>
          </w:tcPr>
          <w:p w14:paraId="5AA30417"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Inventories</w:t>
            </w:r>
          </w:p>
        </w:tc>
        <w:tc>
          <w:tcPr>
            <w:tcW w:w="1418" w:type="dxa"/>
            <w:tcBorders>
              <w:top w:val="nil"/>
              <w:left w:val="nil"/>
              <w:bottom w:val="nil"/>
              <w:right w:val="nil"/>
            </w:tcBorders>
            <w:shd w:val="clear" w:color="auto" w:fill="auto"/>
            <w:noWrap/>
            <w:vAlign w:val="center"/>
            <w:hideMark/>
          </w:tcPr>
          <w:p w14:paraId="3AE0C06B"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5B42AF72" w14:textId="77777777" w:rsidR="00BC5219" w:rsidRPr="008A2B8F"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auto" w:fill="auto"/>
            <w:noWrap/>
            <w:vAlign w:val="center"/>
            <w:hideMark/>
          </w:tcPr>
          <w:p w14:paraId="28519BCE"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5DD2FD2F"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0247DBA1"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1,101 </w:t>
            </w:r>
          </w:p>
        </w:tc>
        <w:tc>
          <w:tcPr>
            <w:tcW w:w="199" w:type="dxa"/>
            <w:tcBorders>
              <w:top w:val="nil"/>
              <w:left w:val="nil"/>
              <w:bottom w:val="nil"/>
              <w:right w:val="nil"/>
            </w:tcBorders>
            <w:shd w:val="clear" w:color="auto" w:fill="auto"/>
            <w:noWrap/>
            <w:vAlign w:val="center"/>
            <w:hideMark/>
          </w:tcPr>
          <w:p w14:paraId="19C16404"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2B26AD98"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137 </w:t>
            </w:r>
          </w:p>
        </w:tc>
        <w:tc>
          <w:tcPr>
            <w:tcW w:w="199" w:type="dxa"/>
            <w:tcBorders>
              <w:top w:val="nil"/>
              <w:left w:val="nil"/>
              <w:bottom w:val="nil"/>
              <w:right w:val="nil"/>
            </w:tcBorders>
            <w:shd w:val="clear" w:color="auto" w:fill="auto"/>
            <w:noWrap/>
            <w:vAlign w:val="center"/>
            <w:hideMark/>
          </w:tcPr>
          <w:p w14:paraId="05DE7D49"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4378FD8F"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1,899 </w:t>
            </w:r>
          </w:p>
        </w:tc>
        <w:tc>
          <w:tcPr>
            <w:tcW w:w="199" w:type="dxa"/>
            <w:tcBorders>
              <w:top w:val="nil"/>
              <w:left w:val="nil"/>
              <w:bottom w:val="nil"/>
              <w:right w:val="nil"/>
            </w:tcBorders>
            <w:shd w:val="clear" w:color="auto" w:fill="auto"/>
            <w:noWrap/>
            <w:vAlign w:val="center"/>
            <w:hideMark/>
          </w:tcPr>
          <w:p w14:paraId="13A43EF4" w14:textId="77777777" w:rsidR="00BC5219" w:rsidRPr="008A2B8F"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auto" w:fill="auto"/>
            <w:noWrap/>
            <w:vAlign w:val="center"/>
            <w:hideMark/>
          </w:tcPr>
          <w:p w14:paraId="1F0FCE9D"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108,162 </w:t>
            </w:r>
          </w:p>
        </w:tc>
        <w:tc>
          <w:tcPr>
            <w:tcW w:w="199" w:type="dxa"/>
            <w:tcBorders>
              <w:top w:val="nil"/>
              <w:left w:val="nil"/>
              <w:bottom w:val="nil"/>
              <w:right w:val="nil"/>
            </w:tcBorders>
            <w:shd w:val="clear" w:color="auto" w:fill="auto"/>
            <w:noWrap/>
            <w:vAlign w:val="center"/>
            <w:hideMark/>
          </w:tcPr>
          <w:p w14:paraId="3C762AD0"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1C5535DF"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(93,363)</w:t>
            </w:r>
          </w:p>
        </w:tc>
        <w:tc>
          <w:tcPr>
            <w:tcW w:w="199" w:type="dxa"/>
            <w:tcBorders>
              <w:top w:val="nil"/>
              <w:left w:val="nil"/>
              <w:bottom w:val="nil"/>
              <w:right w:val="nil"/>
            </w:tcBorders>
            <w:shd w:val="clear" w:color="auto" w:fill="auto"/>
            <w:noWrap/>
            <w:vAlign w:val="center"/>
            <w:hideMark/>
          </w:tcPr>
          <w:p w14:paraId="0C006A5B"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06FCDD55"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17,936 </w:t>
            </w:r>
          </w:p>
        </w:tc>
      </w:tr>
      <w:tr w:rsidR="00BC5219" w:rsidRPr="008A2B8F" w14:paraId="33E6BDD5" w14:textId="77777777" w:rsidTr="00E83802">
        <w:trPr>
          <w:trHeight w:val="198"/>
        </w:trPr>
        <w:tc>
          <w:tcPr>
            <w:tcW w:w="454" w:type="dxa"/>
            <w:tcBorders>
              <w:top w:val="nil"/>
              <w:left w:val="nil"/>
              <w:bottom w:val="nil"/>
              <w:right w:val="nil"/>
            </w:tcBorders>
            <w:shd w:val="clear" w:color="auto" w:fill="auto"/>
            <w:noWrap/>
            <w:vAlign w:val="center"/>
            <w:hideMark/>
          </w:tcPr>
          <w:p w14:paraId="4B092E71" w14:textId="77777777" w:rsidR="00BC5219" w:rsidRPr="008A2B8F" w:rsidRDefault="00BC5219" w:rsidP="00E83802">
            <w:pPr>
              <w:jc w:val="right"/>
              <w:rPr>
                <w:rFonts w:ascii="Meta Pro" w:eastAsia="Times New Roman" w:hAnsi="Meta Pro"/>
                <w:b/>
                <w:bCs/>
                <w:sz w:val="16"/>
                <w:szCs w:val="16"/>
                <w:lang w:eastAsia="en-AU"/>
              </w:rPr>
            </w:pPr>
          </w:p>
        </w:tc>
        <w:tc>
          <w:tcPr>
            <w:tcW w:w="5160" w:type="dxa"/>
            <w:tcBorders>
              <w:top w:val="nil"/>
              <w:left w:val="nil"/>
              <w:bottom w:val="nil"/>
              <w:right w:val="nil"/>
            </w:tcBorders>
            <w:shd w:val="clear" w:color="auto" w:fill="auto"/>
            <w:noWrap/>
            <w:vAlign w:val="center"/>
            <w:hideMark/>
          </w:tcPr>
          <w:p w14:paraId="3A478B41"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Prepayments</w:t>
            </w:r>
          </w:p>
        </w:tc>
        <w:tc>
          <w:tcPr>
            <w:tcW w:w="1418" w:type="dxa"/>
            <w:tcBorders>
              <w:top w:val="nil"/>
              <w:left w:val="nil"/>
              <w:bottom w:val="nil"/>
              <w:right w:val="nil"/>
            </w:tcBorders>
            <w:shd w:val="clear" w:color="auto" w:fill="auto"/>
            <w:noWrap/>
            <w:vAlign w:val="center"/>
            <w:hideMark/>
          </w:tcPr>
          <w:p w14:paraId="65B60D29"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5,409 </w:t>
            </w:r>
          </w:p>
        </w:tc>
        <w:tc>
          <w:tcPr>
            <w:tcW w:w="199" w:type="dxa"/>
            <w:tcBorders>
              <w:top w:val="nil"/>
              <w:left w:val="nil"/>
              <w:bottom w:val="nil"/>
              <w:right w:val="nil"/>
            </w:tcBorders>
            <w:shd w:val="clear" w:color="auto" w:fill="auto"/>
            <w:noWrap/>
            <w:vAlign w:val="center"/>
            <w:hideMark/>
          </w:tcPr>
          <w:p w14:paraId="1423C1DA" w14:textId="77777777" w:rsidR="00BC5219" w:rsidRPr="008A2B8F"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auto" w:fill="auto"/>
            <w:noWrap/>
            <w:vAlign w:val="center"/>
            <w:hideMark/>
          </w:tcPr>
          <w:p w14:paraId="3AD08783"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7,439 </w:t>
            </w:r>
          </w:p>
        </w:tc>
        <w:tc>
          <w:tcPr>
            <w:tcW w:w="199" w:type="dxa"/>
            <w:tcBorders>
              <w:top w:val="nil"/>
              <w:left w:val="nil"/>
              <w:bottom w:val="nil"/>
              <w:right w:val="nil"/>
            </w:tcBorders>
            <w:shd w:val="clear" w:color="auto" w:fill="auto"/>
            <w:noWrap/>
            <w:vAlign w:val="center"/>
            <w:hideMark/>
          </w:tcPr>
          <w:p w14:paraId="6CEB72B8"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1F9CFDA6"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2,993 </w:t>
            </w:r>
          </w:p>
        </w:tc>
        <w:tc>
          <w:tcPr>
            <w:tcW w:w="199" w:type="dxa"/>
            <w:tcBorders>
              <w:top w:val="nil"/>
              <w:left w:val="nil"/>
              <w:bottom w:val="nil"/>
              <w:right w:val="nil"/>
            </w:tcBorders>
            <w:shd w:val="clear" w:color="auto" w:fill="auto"/>
            <w:noWrap/>
            <w:vAlign w:val="center"/>
            <w:hideMark/>
          </w:tcPr>
          <w:p w14:paraId="64BB8612"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0913464C"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1,844 </w:t>
            </w:r>
          </w:p>
        </w:tc>
        <w:tc>
          <w:tcPr>
            <w:tcW w:w="199" w:type="dxa"/>
            <w:tcBorders>
              <w:top w:val="nil"/>
              <w:left w:val="nil"/>
              <w:bottom w:val="nil"/>
              <w:right w:val="nil"/>
            </w:tcBorders>
            <w:shd w:val="clear" w:color="auto" w:fill="auto"/>
            <w:noWrap/>
            <w:vAlign w:val="center"/>
            <w:hideMark/>
          </w:tcPr>
          <w:p w14:paraId="437C7859"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1921C4A7"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74,947 </w:t>
            </w:r>
          </w:p>
        </w:tc>
        <w:tc>
          <w:tcPr>
            <w:tcW w:w="199" w:type="dxa"/>
            <w:tcBorders>
              <w:top w:val="nil"/>
              <w:left w:val="nil"/>
              <w:bottom w:val="nil"/>
              <w:right w:val="nil"/>
            </w:tcBorders>
            <w:shd w:val="clear" w:color="auto" w:fill="auto"/>
            <w:noWrap/>
            <w:vAlign w:val="center"/>
            <w:hideMark/>
          </w:tcPr>
          <w:p w14:paraId="3F81F7BC" w14:textId="77777777" w:rsidR="00BC5219" w:rsidRPr="008A2B8F"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auto" w:fill="auto"/>
            <w:noWrap/>
            <w:vAlign w:val="center"/>
            <w:hideMark/>
          </w:tcPr>
          <w:p w14:paraId="7809C28E"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1,159 </w:t>
            </w:r>
          </w:p>
        </w:tc>
        <w:tc>
          <w:tcPr>
            <w:tcW w:w="199" w:type="dxa"/>
            <w:tcBorders>
              <w:top w:val="nil"/>
              <w:left w:val="nil"/>
              <w:bottom w:val="nil"/>
              <w:right w:val="nil"/>
            </w:tcBorders>
            <w:shd w:val="clear" w:color="auto" w:fill="auto"/>
            <w:noWrap/>
            <w:vAlign w:val="center"/>
            <w:hideMark/>
          </w:tcPr>
          <w:p w14:paraId="2979CAEE"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406AE45A"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5FC72D01"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7716772C"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93,791 </w:t>
            </w:r>
          </w:p>
        </w:tc>
      </w:tr>
      <w:tr w:rsidR="00BC5219" w:rsidRPr="008A2B8F" w14:paraId="6E05D47D" w14:textId="77777777" w:rsidTr="00E83802">
        <w:trPr>
          <w:trHeight w:val="198"/>
        </w:trPr>
        <w:tc>
          <w:tcPr>
            <w:tcW w:w="454" w:type="dxa"/>
            <w:tcBorders>
              <w:top w:val="nil"/>
              <w:left w:val="nil"/>
              <w:bottom w:val="single" w:sz="4" w:space="0" w:color="auto"/>
              <w:right w:val="nil"/>
            </w:tcBorders>
            <w:shd w:val="clear" w:color="auto" w:fill="auto"/>
            <w:noWrap/>
            <w:vAlign w:val="center"/>
            <w:hideMark/>
          </w:tcPr>
          <w:p w14:paraId="360D6F1E"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5160" w:type="dxa"/>
            <w:tcBorders>
              <w:top w:val="nil"/>
              <w:left w:val="nil"/>
              <w:bottom w:val="single" w:sz="4" w:space="0" w:color="auto"/>
              <w:right w:val="nil"/>
            </w:tcBorders>
            <w:shd w:val="clear" w:color="auto" w:fill="auto"/>
            <w:noWrap/>
            <w:vAlign w:val="center"/>
            <w:hideMark/>
          </w:tcPr>
          <w:p w14:paraId="3C6CAA77"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Non-current assets classified as held for sale</w:t>
            </w:r>
          </w:p>
        </w:tc>
        <w:tc>
          <w:tcPr>
            <w:tcW w:w="1418" w:type="dxa"/>
            <w:tcBorders>
              <w:top w:val="nil"/>
              <w:left w:val="nil"/>
              <w:bottom w:val="nil"/>
              <w:right w:val="nil"/>
            </w:tcBorders>
            <w:shd w:val="clear" w:color="auto" w:fill="auto"/>
            <w:noWrap/>
            <w:vAlign w:val="center"/>
            <w:hideMark/>
          </w:tcPr>
          <w:p w14:paraId="2FD46588"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2,824 </w:t>
            </w:r>
          </w:p>
        </w:tc>
        <w:tc>
          <w:tcPr>
            <w:tcW w:w="199" w:type="dxa"/>
            <w:tcBorders>
              <w:top w:val="nil"/>
              <w:left w:val="nil"/>
              <w:bottom w:val="nil"/>
              <w:right w:val="nil"/>
            </w:tcBorders>
            <w:shd w:val="clear" w:color="auto" w:fill="auto"/>
            <w:noWrap/>
            <w:vAlign w:val="center"/>
            <w:hideMark/>
          </w:tcPr>
          <w:p w14:paraId="0247E522" w14:textId="77777777" w:rsidR="00BC5219" w:rsidRPr="008A2B8F"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auto" w:fill="auto"/>
            <w:noWrap/>
            <w:vAlign w:val="center"/>
            <w:hideMark/>
          </w:tcPr>
          <w:p w14:paraId="1B2DEAD9"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4B9741BA"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04C16493"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0A3C1361"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3DC017A7"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0D5829FA"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0A4F1A2A"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17AB7588" w14:textId="77777777" w:rsidR="00BC5219" w:rsidRPr="008A2B8F"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auto" w:fill="auto"/>
            <w:noWrap/>
            <w:vAlign w:val="center"/>
            <w:hideMark/>
          </w:tcPr>
          <w:p w14:paraId="27C8A5B2"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5789557C"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4AA15C40"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2B5CD3CD"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23361D11"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2,824 </w:t>
            </w:r>
          </w:p>
        </w:tc>
      </w:tr>
      <w:tr w:rsidR="00BC5219" w:rsidRPr="008A2B8F" w14:paraId="6370769E" w14:textId="77777777" w:rsidTr="00E83802">
        <w:trPr>
          <w:trHeight w:val="198"/>
        </w:trPr>
        <w:tc>
          <w:tcPr>
            <w:tcW w:w="454" w:type="dxa"/>
            <w:tcBorders>
              <w:top w:val="nil"/>
              <w:left w:val="nil"/>
              <w:bottom w:val="nil"/>
              <w:right w:val="nil"/>
            </w:tcBorders>
            <w:shd w:val="clear" w:color="auto" w:fill="auto"/>
            <w:noWrap/>
            <w:vAlign w:val="center"/>
            <w:hideMark/>
          </w:tcPr>
          <w:p w14:paraId="70B5ABE7" w14:textId="77777777" w:rsidR="00BC5219" w:rsidRPr="008A2B8F" w:rsidRDefault="00BC5219" w:rsidP="00E83802">
            <w:pPr>
              <w:jc w:val="right"/>
              <w:rPr>
                <w:rFonts w:ascii="Meta Pro" w:eastAsia="Times New Roman" w:hAnsi="Meta Pro"/>
                <w:b/>
                <w:bCs/>
                <w:sz w:val="16"/>
                <w:szCs w:val="16"/>
                <w:lang w:eastAsia="en-AU"/>
              </w:rPr>
            </w:pPr>
          </w:p>
        </w:tc>
        <w:tc>
          <w:tcPr>
            <w:tcW w:w="5160" w:type="dxa"/>
            <w:tcBorders>
              <w:top w:val="nil"/>
              <w:left w:val="nil"/>
              <w:bottom w:val="nil"/>
              <w:right w:val="nil"/>
            </w:tcBorders>
            <w:shd w:val="clear" w:color="auto" w:fill="auto"/>
            <w:noWrap/>
            <w:vAlign w:val="center"/>
            <w:hideMark/>
          </w:tcPr>
          <w:p w14:paraId="0490BDB9" w14:textId="77777777" w:rsidR="00BC5219" w:rsidRPr="008A2B8F" w:rsidRDefault="00BC5219" w:rsidP="00E83802">
            <w:pPr>
              <w:rPr>
                <w:rFonts w:ascii="Meta Pro" w:eastAsia="Times New Roman" w:hAnsi="Meta Pro"/>
                <w:b/>
                <w:bCs/>
                <w:sz w:val="16"/>
                <w:szCs w:val="16"/>
                <w:lang w:eastAsia="en-AU"/>
              </w:rPr>
            </w:pPr>
            <w:r w:rsidRPr="008A2B8F">
              <w:rPr>
                <w:rFonts w:ascii="Meta Pro" w:eastAsia="Times New Roman" w:hAnsi="Meta Pro"/>
                <w:b/>
                <w:bCs/>
                <w:sz w:val="16"/>
                <w:szCs w:val="16"/>
                <w:lang w:eastAsia="en-AU"/>
              </w:rPr>
              <w:t>Total current assets</w:t>
            </w:r>
          </w:p>
        </w:tc>
        <w:tc>
          <w:tcPr>
            <w:tcW w:w="1418" w:type="dxa"/>
            <w:tcBorders>
              <w:top w:val="single" w:sz="4" w:space="0" w:color="auto"/>
              <w:left w:val="nil"/>
              <w:bottom w:val="nil"/>
              <w:right w:val="nil"/>
            </w:tcBorders>
            <w:shd w:val="clear" w:color="auto" w:fill="auto"/>
            <w:noWrap/>
            <w:vAlign w:val="center"/>
            <w:hideMark/>
          </w:tcPr>
          <w:p w14:paraId="3FCB1EF9"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25,112 </w:t>
            </w:r>
          </w:p>
        </w:tc>
        <w:tc>
          <w:tcPr>
            <w:tcW w:w="199" w:type="dxa"/>
            <w:tcBorders>
              <w:top w:val="single" w:sz="4" w:space="0" w:color="auto"/>
              <w:left w:val="nil"/>
              <w:bottom w:val="nil"/>
              <w:right w:val="nil"/>
            </w:tcBorders>
            <w:shd w:val="clear" w:color="auto" w:fill="auto"/>
            <w:noWrap/>
            <w:vAlign w:val="center"/>
            <w:hideMark/>
          </w:tcPr>
          <w:p w14:paraId="6E701C35"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418" w:type="dxa"/>
            <w:tcBorders>
              <w:top w:val="single" w:sz="4" w:space="0" w:color="auto"/>
              <w:left w:val="nil"/>
              <w:bottom w:val="nil"/>
              <w:right w:val="nil"/>
            </w:tcBorders>
            <w:shd w:val="clear" w:color="auto" w:fill="auto"/>
            <w:noWrap/>
            <w:vAlign w:val="center"/>
            <w:hideMark/>
          </w:tcPr>
          <w:p w14:paraId="5DF710B8"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124,452 </w:t>
            </w:r>
          </w:p>
        </w:tc>
        <w:tc>
          <w:tcPr>
            <w:tcW w:w="199" w:type="dxa"/>
            <w:tcBorders>
              <w:top w:val="single" w:sz="4" w:space="0" w:color="auto"/>
              <w:left w:val="nil"/>
              <w:bottom w:val="nil"/>
              <w:right w:val="nil"/>
            </w:tcBorders>
            <w:shd w:val="clear" w:color="auto" w:fill="auto"/>
            <w:noWrap/>
            <w:vAlign w:val="center"/>
            <w:hideMark/>
          </w:tcPr>
          <w:p w14:paraId="6A49393C"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361" w:type="dxa"/>
            <w:tcBorders>
              <w:top w:val="single" w:sz="4" w:space="0" w:color="auto"/>
              <w:left w:val="nil"/>
              <w:bottom w:val="nil"/>
              <w:right w:val="nil"/>
            </w:tcBorders>
            <w:shd w:val="clear" w:color="auto" w:fill="auto"/>
            <w:noWrap/>
            <w:vAlign w:val="center"/>
            <w:hideMark/>
          </w:tcPr>
          <w:p w14:paraId="16259D33"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109,670 </w:t>
            </w:r>
          </w:p>
        </w:tc>
        <w:tc>
          <w:tcPr>
            <w:tcW w:w="199" w:type="dxa"/>
            <w:tcBorders>
              <w:top w:val="single" w:sz="4" w:space="0" w:color="auto"/>
              <w:left w:val="nil"/>
              <w:bottom w:val="nil"/>
              <w:right w:val="nil"/>
            </w:tcBorders>
            <w:shd w:val="clear" w:color="auto" w:fill="auto"/>
            <w:noWrap/>
            <w:vAlign w:val="center"/>
            <w:hideMark/>
          </w:tcPr>
          <w:p w14:paraId="3C0C5E4E"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361" w:type="dxa"/>
            <w:tcBorders>
              <w:top w:val="single" w:sz="4" w:space="0" w:color="auto"/>
              <w:left w:val="nil"/>
              <w:bottom w:val="nil"/>
              <w:right w:val="nil"/>
            </w:tcBorders>
            <w:shd w:val="clear" w:color="auto" w:fill="auto"/>
            <w:noWrap/>
            <w:vAlign w:val="center"/>
            <w:hideMark/>
          </w:tcPr>
          <w:p w14:paraId="418AB9B1"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24,507 </w:t>
            </w:r>
          </w:p>
        </w:tc>
        <w:tc>
          <w:tcPr>
            <w:tcW w:w="199" w:type="dxa"/>
            <w:tcBorders>
              <w:top w:val="single" w:sz="4" w:space="0" w:color="auto"/>
              <w:left w:val="nil"/>
              <w:bottom w:val="nil"/>
              <w:right w:val="nil"/>
            </w:tcBorders>
            <w:shd w:val="clear" w:color="auto" w:fill="auto"/>
            <w:noWrap/>
            <w:vAlign w:val="center"/>
            <w:hideMark/>
          </w:tcPr>
          <w:p w14:paraId="02028F99"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361" w:type="dxa"/>
            <w:tcBorders>
              <w:top w:val="single" w:sz="4" w:space="0" w:color="auto"/>
              <w:left w:val="nil"/>
              <w:bottom w:val="nil"/>
              <w:right w:val="nil"/>
            </w:tcBorders>
            <w:shd w:val="clear" w:color="auto" w:fill="auto"/>
            <w:noWrap/>
            <w:vAlign w:val="center"/>
            <w:hideMark/>
          </w:tcPr>
          <w:p w14:paraId="374BA152"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309,111 </w:t>
            </w:r>
          </w:p>
        </w:tc>
        <w:tc>
          <w:tcPr>
            <w:tcW w:w="199" w:type="dxa"/>
            <w:tcBorders>
              <w:top w:val="single" w:sz="4" w:space="0" w:color="auto"/>
              <w:left w:val="nil"/>
              <w:bottom w:val="nil"/>
              <w:right w:val="nil"/>
            </w:tcBorders>
            <w:shd w:val="clear" w:color="auto" w:fill="auto"/>
            <w:noWrap/>
            <w:vAlign w:val="center"/>
            <w:hideMark/>
          </w:tcPr>
          <w:p w14:paraId="6B789E3B"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418" w:type="dxa"/>
            <w:tcBorders>
              <w:top w:val="single" w:sz="4" w:space="0" w:color="auto"/>
              <w:left w:val="nil"/>
              <w:bottom w:val="nil"/>
              <w:right w:val="nil"/>
            </w:tcBorders>
            <w:shd w:val="clear" w:color="auto" w:fill="auto"/>
            <w:noWrap/>
            <w:vAlign w:val="center"/>
            <w:hideMark/>
          </w:tcPr>
          <w:p w14:paraId="0D5B2D4E"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182,215 </w:t>
            </w:r>
          </w:p>
        </w:tc>
        <w:tc>
          <w:tcPr>
            <w:tcW w:w="199" w:type="dxa"/>
            <w:tcBorders>
              <w:top w:val="single" w:sz="4" w:space="0" w:color="auto"/>
              <w:left w:val="nil"/>
              <w:bottom w:val="nil"/>
              <w:right w:val="nil"/>
            </w:tcBorders>
            <w:shd w:val="clear" w:color="auto" w:fill="auto"/>
            <w:noWrap/>
            <w:vAlign w:val="center"/>
            <w:hideMark/>
          </w:tcPr>
          <w:p w14:paraId="7DE5C427"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361" w:type="dxa"/>
            <w:tcBorders>
              <w:top w:val="single" w:sz="4" w:space="0" w:color="auto"/>
              <w:left w:val="nil"/>
              <w:bottom w:val="nil"/>
              <w:right w:val="nil"/>
            </w:tcBorders>
            <w:shd w:val="clear" w:color="auto" w:fill="auto"/>
            <w:noWrap/>
            <w:vAlign w:val="center"/>
            <w:hideMark/>
          </w:tcPr>
          <w:p w14:paraId="72A2FC8F"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(188,373)</w:t>
            </w:r>
          </w:p>
        </w:tc>
        <w:tc>
          <w:tcPr>
            <w:tcW w:w="199" w:type="dxa"/>
            <w:tcBorders>
              <w:top w:val="single" w:sz="4" w:space="0" w:color="auto"/>
              <w:left w:val="nil"/>
              <w:bottom w:val="nil"/>
              <w:right w:val="nil"/>
            </w:tcBorders>
            <w:shd w:val="clear" w:color="auto" w:fill="auto"/>
            <w:noWrap/>
            <w:vAlign w:val="center"/>
            <w:hideMark/>
          </w:tcPr>
          <w:p w14:paraId="71BFE578"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361" w:type="dxa"/>
            <w:tcBorders>
              <w:top w:val="single" w:sz="4" w:space="0" w:color="auto"/>
              <w:left w:val="nil"/>
              <w:bottom w:val="nil"/>
              <w:right w:val="nil"/>
            </w:tcBorders>
            <w:shd w:val="clear" w:color="auto" w:fill="auto"/>
            <w:noWrap/>
            <w:vAlign w:val="center"/>
            <w:hideMark/>
          </w:tcPr>
          <w:p w14:paraId="69D31F9B"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586,694 </w:t>
            </w:r>
          </w:p>
        </w:tc>
      </w:tr>
      <w:tr w:rsidR="00BC5219" w:rsidRPr="008A2B8F" w14:paraId="5F8B43FE" w14:textId="77777777" w:rsidTr="00E83802">
        <w:trPr>
          <w:trHeight w:hRule="exact" w:val="142"/>
        </w:trPr>
        <w:tc>
          <w:tcPr>
            <w:tcW w:w="454" w:type="dxa"/>
            <w:tcBorders>
              <w:top w:val="nil"/>
              <w:left w:val="nil"/>
              <w:bottom w:val="nil"/>
              <w:right w:val="nil"/>
            </w:tcBorders>
            <w:shd w:val="clear" w:color="auto" w:fill="auto"/>
            <w:noWrap/>
            <w:vAlign w:val="center"/>
            <w:hideMark/>
          </w:tcPr>
          <w:p w14:paraId="6C836828" w14:textId="77777777" w:rsidR="00BC5219" w:rsidRPr="008A2B8F" w:rsidRDefault="00BC5219" w:rsidP="00E83802">
            <w:pPr>
              <w:jc w:val="right"/>
              <w:rPr>
                <w:rFonts w:ascii="Meta Pro" w:eastAsia="Times New Roman" w:hAnsi="Meta Pro"/>
                <w:b/>
                <w:bCs/>
                <w:sz w:val="16"/>
                <w:szCs w:val="16"/>
                <w:lang w:eastAsia="en-AU"/>
              </w:rPr>
            </w:pPr>
          </w:p>
        </w:tc>
        <w:tc>
          <w:tcPr>
            <w:tcW w:w="5160" w:type="dxa"/>
            <w:tcBorders>
              <w:top w:val="nil"/>
              <w:left w:val="nil"/>
              <w:bottom w:val="nil"/>
              <w:right w:val="nil"/>
            </w:tcBorders>
            <w:shd w:val="clear" w:color="auto" w:fill="auto"/>
            <w:noWrap/>
            <w:vAlign w:val="center"/>
            <w:hideMark/>
          </w:tcPr>
          <w:p w14:paraId="083FC1CB" w14:textId="77777777" w:rsidR="00BC5219" w:rsidRPr="008A2B8F" w:rsidRDefault="00BC5219" w:rsidP="00E83802">
            <w:pPr>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noWrap/>
            <w:vAlign w:val="center"/>
            <w:hideMark/>
          </w:tcPr>
          <w:p w14:paraId="10FA3495" w14:textId="77777777" w:rsidR="00BC5219" w:rsidRPr="008A2B8F" w:rsidRDefault="00BC5219" w:rsidP="00E83802">
            <w:pPr>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69BFF591" w14:textId="77777777" w:rsidR="00BC5219" w:rsidRPr="008A2B8F" w:rsidRDefault="00BC5219" w:rsidP="00E83802">
            <w:pPr>
              <w:jc w:val="right"/>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noWrap/>
            <w:vAlign w:val="center"/>
            <w:hideMark/>
          </w:tcPr>
          <w:p w14:paraId="043CB9C9"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28AFFC08" w14:textId="77777777" w:rsidR="00BC5219" w:rsidRPr="008A2B8F" w:rsidRDefault="00BC5219" w:rsidP="00E83802">
            <w:pPr>
              <w:jc w:val="right"/>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02649899"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683EE951" w14:textId="77777777" w:rsidR="00BC5219" w:rsidRPr="008A2B8F" w:rsidRDefault="00BC5219" w:rsidP="00E83802">
            <w:pPr>
              <w:jc w:val="right"/>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5089AA0F"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4C4DE5ED" w14:textId="77777777" w:rsidR="00BC5219" w:rsidRPr="008A2B8F" w:rsidRDefault="00BC5219" w:rsidP="00E83802">
            <w:pPr>
              <w:jc w:val="right"/>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637AA530"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73201872" w14:textId="77777777" w:rsidR="00BC5219" w:rsidRPr="008A2B8F" w:rsidRDefault="00BC5219" w:rsidP="00E83802">
            <w:pPr>
              <w:jc w:val="right"/>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noWrap/>
            <w:vAlign w:val="center"/>
            <w:hideMark/>
          </w:tcPr>
          <w:p w14:paraId="3156D0D7"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6A9692A8" w14:textId="77777777" w:rsidR="00BC5219" w:rsidRPr="008A2B8F" w:rsidRDefault="00BC5219" w:rsidP="00E83802">
            <w:pPr>
              <w:jc w:val="right"/>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2D852CF8"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691AFC2F" w14:textId="77777777" w:rsidR="00BC5219" w:rsidRPr="008A2B8F" w:rsidRDefault="00BC5219" w:rsidP="00E83802">
            <w:pPr>
              <w:jc w:val="right"/>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4B498BF6"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43484744" w14:textId="77777777" w:rsidTr="00E83802">
        <w:trPr>
          <w:trHeight w:val="198"/>
        </w:trPr>
        <w:tc>
          <w:tcPr>
            <w:tcW w:w="5160" w:type="dxa"/>
            <w:gridSpan w:val="2"/>
            <w:tcBorders>
              <w:top w:val="nil"/>
              <w:left w:val="nil"/>
              <w:bottom w:val="nil"/>
              <w:right w:val="nil"/>
            </w:tcBorders>
            <w:shd w:val="clear" w:color="auto" w:fill="auto"/>
            <w:noWrap/>
            <w:vAlign w:val="center"/>
            <w:hideMark/>
          </w:tcPr>
          <w:p w14:paraId="7CBC4920" w14:textId="77777777" w:rsidR="00BC5219" w:rsidRPr="008A2B8F" w:rsidRDefault="00BC5219" w:rsidP="00E83802">
            <w:pPr>
              <w:rPr>
                <w:rFonts w:ascii="Meta Pro" w:eastAsia="Times New Roman" w:hAnsi="Meta Pro"/>
                <w:b/>
                <w:bCs/>
                <w:sz w:val="16"/>
                <w:szCs w:val="16"/>
                <w:lang w:eastAsia="en-AU"/>
              </w:rPr>
            </w:pPr>
            <w:r w:rsidRPr="008A2B8F">
              <w:rPr>
                <w:rFonts w:ascii="Meta Pro" w:eastAsia="Times New Roman" w:hAnsi="Meta Pro"/>
                <w:b/>
                <w:bCs/>
                <w:sz w:val="16"/>
                <w:szCs w:val="16"/>
                <w:lang w:eastAsia="en-AU"/>
              </w:rPr>
              <w:t>Non-current assets</w:t>
            </w:r>
          </w:p>
        </w:tc>
        <w:tc>
          <w:tcPr>
            <w:tcW w:w="1418" w:type="dxa"/>
            <w:tcBorders>
              <w:top w:val="nil"/>
              <w:left w:val="nil"/>
              <w:bottom w:val="nil"/>
              <w:right w:val="nil"/>
            </w:tcBorders>
            <w:shd w:val="clear" w:color="auto" w:fill="auto"/>
            <w:noWrap/>
            <w:vAlign w:val="center"/>
            <w:hideMark/>
          </w:tcPr>
          <w:p w14:paraId="5E4E595E" w14:textId="77777777" w:rsidR="00BC5219" w:rsidRPr="008A2B8F" w:rsidRDefault="00BC5219" w:rsidP="00E83802">
            <w:pPr>
              <w:rPr>
                <w:rFonts w:ascii="Meta Pro" w:eastAsia="Times New Roman" w:hAnsi="Meta Pro"/>
                <w:b/>
                <w:bCs/>
                <w:sz w:val="16"/>
                <w:szCs w:val="16"/>
                <w:lang w:eastAsia="en-AU"/>
              </w:rPr>
            </w:pPr>
          </w:p>
        </w:tc>
        <w:tc>
          <w:tcPr>
            <w:tcW w:w="199" w:type="dxa"/>
            <w:tcBorders>
              <w:top w:val="nil"/>
              <w:left w:val="nil"/>
              <w:bottom w:val="nil"/>
              <w:right w:val="nil"/>
            </w:tcBorders>
            <w:shd w:val="clear" w:color="auto" w:fill="auto"/>
            <w:noWrap/>
            <w:vAlign w:val="center"/>
            <w:hideMark/>
          </w:tcPr>
          <w:p w14:paraId="7EC75804" w14:textId="77777777" w:rsidR="00BC5219" w:rsidRPr="008A2B8F" w:rsidRDefault="00BC5219" w:rsidP="00E83802">
            <w:pPr>
              <w:jc w:val="right"/>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noWrap/>
            <w:vAlign w:val="center"/>
            <w:hideMark/>
          </w:tcPr>
          <w:p w14:paraId="40888EBC"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51D890BF" w14:textId="77777777" w:rsidR="00BC5219" w:rsidRPr="008A2B8F" w:rsidRDefault="00BC5219" w:rsidP="00E83802">
            <w:pPr>
              <w:jc w:val="right"/>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7C35D00A"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377B1BF9" w14:textId="77777777" w:rsidR="00BC5219" w:rsidRPr="008A2B8F" w:rsidRDefault="00BC5219" w:rsidP="00E83802">
            <w:pPr>
              <w:jc w:val="right"/>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08ED018B"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0760DC0F" w14:textId="77777777" w:rsidR="00BC5219" w:rsidRPr="008A2B8F" w:rsidRDefault="00BC5219" w:rsidP="00E83802">
            <w:pPr>
              <w:jc w:val="right"/>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29E6E585"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19FFF064" w14:textId="77777777" w:rsidR="00BC5219" w:rsidRPr="008A2B8F" w:rsidRDefault="00BC5219" w:rsidP="00E83802">
            <w:pPr>
              <w:jc w:val="right"/>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noWrap/>
            <w:vAlign w:val="center"/>
            <w:hideMark/>
          </w:tcPr>
          <w:p w14:paraId="0AB5F456"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016B5014" w14:textId="77777777" w:rsidR="00BC5219" w:rsidRPr="008A2B8F" w:rsidRDefault="00BC5219" w:rsidP="00E83802">
            <w:pPr>
              <w:jc w:val="right"/>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0CEBB1A9"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490B622F" w14:textId="77777777" w:rsidR="00BC5219" w:rsidRPr="008A2B8F" w:rsidRDefault="00BC5219" w:rsidP="00E83802">
            <w:pPr>
              <w:jc w:val="right"/>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54C2767C"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5FADC3E8" w14:textId="77777777" w:rsidTr="00E83802">
        <w:trPr>
          <w:trHeight w:val="198"/>
        </w:trPr>
        <w:tc>
          <w:tcPr>
            <w:tcW w:w="454" w:type="dxa"/>
            <w:tcBorders>
              <w:top w:val="nil"/>
              <w:left w:val="nil"/>
              <w:bottom w:val="nil"/>
              <w:right w:val="nil"/>
            </w:tcBorders>
            <w:shd w:val="clear" w:color="auto" w:fill="auto"/>
            <w:noWrap/>
            <w:vAlign w:val="center"/>
            <w:hideMark/>
          </w:tcPr>
          <w:p w14:paraId="46E2DBD6" w14:textId="77777777" w:rsidR="00BC5219" w:rsidRPr="008A2B8F" w:rsidRDefault="00BC5219" w:rsidP="00E83802">
            <w:pPr>
              <w:jc w:val="right"/>
              <w:rPr>
                <w:rFonts w:ascii="Meta Pro" w:eastAsia="Times New Roman" w:hAnsi="Meta Pro" w:cs="Times New Roman"/>
                <w:sz w:val="20"/>
                <w:szCs w:val="20"/>
                <w:lang w:eastAsia="en-AU"/>
              </w:rPr>
            </w:pPr>
          </w:p>
        </w:tc>
        <w:tc>
          <w:tcPr>
            <w:tcW w:w="5160" w:type="dxa"/>
            <w:tcBorders>
              <w:top w:val="nil"/>
              <w:left w:val="nil"/>
              <w:bottom w:val="nil"/>
              <w:right w:val="nil"/>
            </w:tcBorders>
            <w:shd w:val="clear" w:color="auto" w:fill="auto"/>
            <w:noWrap/>
            <w:vAlign w:val="center"/>
            <w:hideMark/>
          </w:tcPr>
          <w:p w14:paraId="08187C4F"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Receivables</w:t>
            </w:r>
          </w:p>
        </w:tc>
        <w:tc>
          <w:tcPr>
            <w:tcW w:w="1418" w:type="dxa"/>
            <w:tcBorders>
              <w:top w:val="nil"/>
              <w:left w:val="nil"/>
              <w:bottom w:val="nil"/>
              <w:right w:val="nil"/>
            </w:tcBorders>
            <w:shd w:val="clear" w:color="auto" w:fill="auto"/>
            <w:noWrap/>
            <w:vAlign w:val="center"/>
            <w:hideMark/>
          </w:tcPr>
          <w:p w14:paraId="2E6594D4"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0A0B505A" w14:textId="77777777" w:rsidR="00BC5219" w:rsidRPr="008A2B8F"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auto" w:fill="auto"/>
            <w:noWrap/>
            <w:vAlign w:val="center"/>
            <w:hideMark/>
          </w:tcPr>
          <w:p w14:paraId="6F163D2C"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4335AED4"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7D80DFF1"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541C1417"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543B93CA"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0CA199A2"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2E8F88E3"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3,274 </w:t>
            </w:r>
          </w:p>
        </w:tc>
        <w:tc>
          <w:tcPr>
            <w:tcW w:w="199" w:type="dxa"/>
            <w:tcBorders>
              <w:top w:val="nil"/>
              <w:left w:val="nil"/>
              <w:bottom w:val="nil"/>
              <w:right w:val="nil"/>
            </w:tcBorders>
            <w:shd w:val="clear" w:color="auto" w:fill="auto"/>
            <w:noWrap/>
            <w:vAlign w:val="center"/>
            <w:hideMark/>
          </w:tcPr>
          <w:p w14:paraId="5383264F" w14:textId="77777777" w:rsidR="00BC5219" w:rsidRPr="008A2B8F"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auto" w:fill="auto"/>
            <w:noWrap/>
            <w:vAlign w:val="center"/>
            <w:hideMark/>
          </w:tcPr>
          <w:p w14:paraId="6961873A"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5D8DB6CD"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20AAC48B"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5242DBD1"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69F7BA2A"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3,274 </w:t>
            </w:r>
          </w:p>
        </w:tc>
      </w:tr>
      <w:tr w:rsidR="00BC5219" w:rsidRPr="008A2B8F" w14:paraId="30D098D5" w14:textId="77777777" w:rsidTr="00E83802">
        <w:trPr>
          <w:trHeight w:val="198"/>
        </w:trPr>
        <w:tc>
          <w:tcPr>
            <w:tcW w:w="454" w:type="dxa"/>
            <w:tcBorders>
              <w:top w:val="nil"/>
              <w:left w:val="nil"/>
              <w:bottom w:val="nil"/>
              <w:right w:val="nil"/>
            </w:tcBorders>
            <w:shd w:val="clear" w:color="auto" w:fill="auto"/>
            <w:noWrap/>
            <w:vAlign w:val="center"/>
            <w:hideMark/>
          </w:tcPr>
          <w:p w14:paraId="284195A4" w14:textId="77777777" w:rsidR="00BC5219" w:rsidRPr="008A2B8F" w:rsidRDefault="00BC5219" w:rsidP="00E83802">
            <w:pPr>
              <w:jc w:val="right"/>
              <w:rPr>
                <w:rFonts w:ascii="Meta Pro" w:eastAsia="Times New Roman" w:hAnsi="Meta Pro"/>
                <w:b/>
                <w:bCs/>
                <w:sz w:val="16"/>
                <w:szCs w:val="16"/>
                <w:lang w:eastAsia="en-AU"/>
              </w:rPr>
            </w:pPr>
          </w:p>
        </w:tc>
        <w:tc>
          <w:tcPr>
            <w:tcW w:w="5160" w:type="dxa"/>
            <w:tcBorders>
              <w:top w:val="nil"/>
              <w:left w:val="nil"/>
              <w:bottom w:val="nil"/>
              <w:right w:val="nil"/>
            </w:tcBorders>
            <w:shd w:val="clear" w:color="auto" w:fill="auto"/>
            <w:noWrap/>
            <w:vAlign w:val="center"/>
            <w:hideMark/>
          </w:tcPr>
          <w:p w14:paraId="77167FCE"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Prepayments</w:t>
            </w:r>
          </w:p>
        </w:tc>
        <w:tc>
          <w:tcPr>
            <w:tcW w:w="1418" w:type="dxa"/>
            <w:tcBorders>
              <w:top w:val="nil"/>
              <w:left w:val="nil"/>
              <w:bottom w:val="nil"/>
              <w:right w:val="nil"/>
            </w:tcBorders>
            <w:shd w:val="clear" w:color="auto" w:fill="auto"/>
            <w:noWrap/>
            <w:vAlign w:val="center"/>
            <w:hideMark/>
          </w:tcPr>
          <w:p w14:paraId="3531E9C3"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48 </w:t>
            </w:r>
          </w:p>
        </w:tc>
        <w:tc>
          <w:tcPr>
            <w:tcW w:w="199" w:type="dxa"/>
            <w:tcBorders>
              <w:top w:val="nil"/>
              <w:left w:val="nil"/>
              <w:bottom w:val="nil"/>
              <w:right w:val="nil"/>
            </w:tcBorders>
            <w:shd w:val="clear" w:color="auto" w:fill="auto"/>
            <w:noWrap/>
            <w:vAlign w:val="center"/>
            <w:hideMark/>
          </w:tcPr>
          <w:p w14:paraId="56E1B548" w14:textId="77777777" w:rsidR="00BC5219" w:rsidRPr="008A2B8F"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auto" w:fill="auto"/>
            <w:noWrap/>
            <w:vAlign w:val="center"/>
            <w:hideMark/>
          </w:tcPr>
          <w:p w14:paraId="2BF46406"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4,505 </w:t>
            </w:r>
          </w:p>
        </w:tc>
        <w:tc>
          <w:tcPr>
            <w:tcW w:w="199" w:type="dxa"/>
            <w:tcBorders>
              <w:top w:val="nil"/>
              <w:left w:val="nil"/>
              <w:bottom w:val="nil"/>
              <w:right w:val="nil"/>
            </w:tcBorders>
            <w:shd w:val="clear" w:color="auto" w:fill="auto"/>
            <w:noWrap/>
            <w:vAlign w:val="center"/>
            <w:hideMark/>
          </w:tcPr>
          <w:p w14:paraId="59ADFDFD"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02F5BB84"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258 </w:t>
            </w:r>
          </w:p>
        </w:tc>
        <w:tc>
          <w:tcPr>
            <w:tcW w:w="199" w:type="dxa"/>
            <w:tcBorders>
              <w:top w:val="nil"/>
              <w:left w:val="nil"/>
              <w:bottom w:val="nil"/>
              <w:right w:val="nil"/>
            </w:tcBorders>
            <w:shd w:val="clear" w:color="auto" w:fill="auto"/>
            <w:noWrap/>
            <w:vAlign w:val="center"/>
            <w:hideMark/>
          </w:tcPr>
          <w:p w14:paraId="282759F2"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08B26C17"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32 </w:t>
            </w:r>
          </w:p>
        </w:tc>
        <w:tc>
          <w:tcPr>
            <w:tcW w:w="199" w:type="dxa"/>
            <w:tcBorders>
              <w:top w:val="nil"/>
              <w:left w:val="nil"/>
              <w:bottom w:val="nil"/>
              <w:right w:val="nil"/>
            </w:tcBorders>
            <w:shd w:val="clear" w:color="auto" w:fill="auto"/>
            <w:noWrap/>
            <w:vAlign w:val="center"/>
            <w:hideMark/>
          </w:tcPr>
          <w:p w14:paraId="3FE96A4C"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789FCB6F"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139,584 </w:t>
            </w:r>
          </w:p>
        </w:tc>
        <w:tc>
          <w:tcPr>
            <w:tcW w:w="199" w:type="dxa"/>
            <w:tcBorders>
              <w:top w:val="nil"/>
              <w:left w:val="nil"/>
              <w:bottom w:val="nil"/>
              <w:right w:val="nil"/>
            </w:tcBorders>
            <w:shd w:val="clear" w:color="auto" w:fill="auto"/>
            <w:noWrap/>
            <w:vAlign w:val="center"/>
            <w:hideMark/>
          </w:tcPr>
          <w:p w14:paraId="254C5BC2" w14:textId="77777777" w:rsidR="00BC5219" w:rsidRPr="008A2B8F"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auto" w:fill="auto"/>
            <w:noWrap/>
            <w:vAlign w:val="center"/>
            <w:hideMark/>
          </w:tcPr>
          <w:p w14:paraId="7D68F3D2"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3E5EB108"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51BA4F8E"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738AD7A5"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307FC5B6"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144,427 </w:t>
            </w:r>
          </w:p>
        </w:tc>
      </w:tr>
      <w:tr w:rsidR="00BC5219" w:rsidRPr="008A2B8F" w14:paraId="39968AE9" w14:textId="77777777" w:rsidTr="00E83802">
        <w:trPr>
          <w:trHeight w:val="198"/>
        </w:trPr>
        <w:tc>
          <w:tcPr>
            <w:tcW w:w="454" w:type="dxa"/>
            <w:tcBorders>
              <w:top w:val="nil"/>
              <w:left w:val="nil"/>
              <w:bottom w:val="nil"/>
              <w:right w:val="nil"/>
            </w:tcBorders>
            <w:shd w:val="clear" w:color="auto" w:fill="auto"/>
            <w:noWrap/>
            <w:vAlign w:val="center"/>
            <w:hideMark/>
          </w:tcPr>
          <w:p w14:paraId="4D83E251" w14:textId="77777777" w:rsidR="00BC5219" w:rsidRPr="008A2B8F" w:rsidRDefault="00BC5219" w:rsidP="00E83802">
            <w:pPr>
              <w:jc w:val="right"/>
              <w:rPr>
                <w:rFonts w:ascii="Meta Pro" w:eastAsia="Times New Roman" w:hAnsi="Meta Pro"/>
                <w:b/>
                <w:bCs/>
                <w:sz w:val="16"/>
                <w:szCs w:val="16"/>
                <w:lang w:eastAsia="en-AU"/>
              </w:rPr>
            </w:pPr>
          </w:p>
        </w:tc>
        <w:tc>
          <w:tcPr>
            <w:tcW w:w="5160" w:type="dxa"/>
            <w:tcBorders>
              <w:top w:val="nil"/>
              <w:left w:val="nil"/>
              <w:bottom w:val="nil"/>
              <w:right w:val="nil"/>
            </w:tcBorders>
            <w:shd w:val="clear" w:color="auto" w:fill="auto"/>
            <w:noWrap/>
            <w:vAlign w:val="center"/>
            <w:hideMark/>
          </w:tcPr>
          <w:p w14:paraId="578E2D71"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Intangible assets</w:t>
            </w:r>
          </w:p>
        </w:tc>
        <w:tc>
          <w:tcPr>
            <w:tcW w:w="1418" w:type="dxa"/>
            <w:tcBorders>
              <w:top w:val="nil"/>
              <w:left w:val="nil"/>
              <w:bottom w:val="nil"/>
              <w:right w:val="nil"/>
            </w:tcBorders>
            <w:shd w:val="clear" w:color="auto" w:fill="auto"/>
            <w:noWrap/>
            <w:vAlign w:val="center"/>
            <w:hideMark/>
          </w:tcPr>
          <w:p w14:paraId="04723719"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15,703 </w:t>
            </w:r>
          </w:p>
        </w:tc>
        <w:tc>
          <w:tcPr>
            <w:tcW w:w="199" w:type="dxa"/>
            <w:tcBorders>
              <w:top w:val="nil"/>
              <w:left w:val="nil"/>
              <w:bottom w:val="nil"/>
              <w:right w:val="nil"/>
            </w:tcBorders>
            <w:shd w:val="clear" w:color="auto" w:fill="auto"/>
            <w:noWrap/>
            <w:vAlign w:val="center"/>
            <w:hideMark/>
          </w:tcPr>
          <w:p w14:paraId="2CB874E7" w14:textId="77777777" w:rsidR="00BC5219" w:rsidRPr="008A2B8F"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auto" w:fill="auto"/>
            <w:noWrap/>
            <w:vAlign w:val="center"/>
            <w:hideMark/>
          </w:tcPr>
          <w:p w14:paraId="3B698BF3"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4,507 </w:t>
            </w:r>
          </w:p>
        </w:tc>
        <w:tc>
          <w:tcPr>
            <w:tcW w:w="199" w:type="dxa"/>
            <w:tcBorders>
              <w:top w:val="nil"/>
              <w:left w:val="nil"/>
              <w:bottom w:val="nil"/>
              <w:right w:val="nil"/>
            </w:tcBorders>
            <w:shd w:val="clear" w:color="auto" w:fill="auto"/>
            <w:noWrap/>
            <w:vAlign w:val="center"/>
            <w:hideMark/>
          </w:tcPr>
          <w:p w14:paraId="5B2AAE6F"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0F72CB44"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48,478 </w:t>
            </w:r>
          </w:p>
        </w:tc>
        <w:tc>
          <w:tcPr>
            <w:tcW w:w="199" w:type="dxa"/>
            <w:tcBorders>
              <w:top w:val="nil"/>
              <w:left w:val="nil"/>
              <w:bottom w:val="nil"/>
              <w:right w:val="nil"/>
            </w:tcBorders>
            <w:shd w:val="clear" w:color="auto" w:fill="auto"/>
            <w:noWrap/>
            <w:vAlign w:val="center"/>
            <w:hideMark/>
          </w:tcPr>
          <w:p w14:paraId="41ECBB9B"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31E60339"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19,593 </w:t>
            </w:r>
          </w:p>
        </w:tc>
        <w:tc>
          <w:tcPr>
            <w:tcW w:w="199" w:type="dxa"/>
            <w:tcBorders>
              <w:top w:val="nil"/>
              <w:left w:val="nil"/>
              <w:bottom w:val="nil"/>
              <w:right w:val="nil"/>
            </w:tcBorders>
            <w:shd w:val="clear" w:color="auto" w:fill="auto"/>
            <w:noWrap/>
            <w:vAlign w:val="center"/>
            <w:hideMark/>
          </w:tcPr>
          <w:p w14:paraId="60167A58"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59607D99"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1,895 </w:t>
            </w:r>
          </w:p>
        </w:tc>
        <w:tc>
          <w:tcPr>
            <w:tcW w:w="199" w:type="dxa"/>
            <w:tcBorders>
              <w:top w:val="nil"/>
              <w:left w:val="nil"/>
              <w:bottom w:val="nil"/>
              <w:right w:val="nil"/>
            </w:tcBorders>
            <w:shd w:val="clear" w:color="auto" w:fill="auto"/>
            <w:noWrap/>
            <w:vAlign w:val="center"/>
            <w:hideMark/>
          </w:tcPr>
          <w:p w14:paraId="65BF4B8B" w14:textId="77777777" w:rsidR="00BC5219" w:rsidRPr="008A2B8F"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auto" w:fill="auto"/>
            <w:noWrap/>
            <w:vAlign w:val="center"/>
            <w:hideMark/>
          </w:tcPr>
          <w:p w14:paraId="76C20216"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0BD70A18"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53AAF72F"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60D9B651"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1B341F04"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90,176 </w:t>
            </w:r>
          </w:p>
        </w:tc>
      </w:tr>
      <w:tr w:rsidR="00BC5219" w:rsidRPr="008A2B8F" w14:paraId="2CA103EA" w14:textId="77777777" w:rsidTr="00E83802">
        <w:trPr>
          <w:trHeight w:val="198"/>
        </w:trPr>
        <w:tc>
          <w:tcPr>
            <w:tcW w:w="454" w:type="dxa"/>
            <w:tcBorders>
              <w:top w:val="nil"/>
              <w:left w:val="nil"/>
              <w:bottom w:val="nil"/>
              <w:right w:val="nil"/>
            </w:tcBorders>
            <w:shd w:val="clear" w:color="auto" w:fill="auto"/>
            <w:noWrap/>
            <w:vAlign w:val="center"/>
            <w:hideMark/>
          </w:tcPr>
          <w:p w14:paraId="5F5BD7CC" w14:textId="77777777" w:rsidR="00BC5219" w:rsidRPr="008A2B8F" w:rsidRDefault="00BC5219" w:rsidP="00E83802">
            <w:pPr>
              <w:jc w:val="right"/>
              <w:rPr>
                <w:rFonts w:ascii="Meta Pro" w:eastAsia="Times New Roman" w:hAnsi="Meta Pro"/>
                <w:b/>
                <w:bCs/>
                <w:sz w:val="16"/>
                <w:szCs w:val="16"/>
                <w:lang w:eastAsia="en-AU"/>
              </w:rPr>
            </w:pPr>
          </w:p>
        </w:tc>
        <w:tc>
          <w:tcPr>
            <w:tcW w:w="5160" w:type="dxa"/>
            <w:tcBorders>
              <w:top w:val="nil"/>
              <w:left w:val="nil"/>
              <w:bottom w:val="nil"/>
              <w:right w:val="nil"/>
            </w:tcBorders>
            <w:shd w:val="clear" w:color="auto" w:fill="auto"/>
            <w:noWrap/>
            <w:vAlign w:val="center"/>
            <w:hideMark/>
          </w:tcPr>
          <w:p w14:paraId="61728E11"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Property, plant and equipment</w:t>
            </w:r>
          </w:p>
        </w:tc>
        <w:tc>
          <w:tcPr>
            <w:tcW w:w="1418" w:type="dxa"/>
            <w:tcBorders>
              <w:top w:val="nil"/>
              <w:left w:val="nil"/>
              <w:bottom w:val="nil"/>
              <w:right w:val="nil"/>
            </w:tcBorders>
            <w:shd w:val="clear" w:color="auto" w:fill="auto"/>
            <w:noWrap/>
            <w:vAlign w:val="center"/>
            <w:hideMark/>
          </w:tcPr>
          <w:p w14:paraId="02C0FDAB"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21,309 </w:t>
            </w:r>
          </w:p>
        </w:tc>
        <w:tc>
          <w:tcPr>
            <w:tcW w:w="199" w:type="dxa"/>
            <w:tcBorders>
              <w:top w:val="nil"/>
              <w:left w:val="nil"/>
              <w:bottom w:val="nil"/>
              <w:right w:val="nil"/>
            </w:tcBorders>
            <w:shd w:val="clear" w:color="auto" w:fill="auto"/>
            <w:noWrap/>
            <w:vAlign w:val="center"/>
            <w:hideMark/>
          </w:tcPr>
          <w:p w14:paraId="40D03448" w14:textId="77777777" w:rsidR="00BC5219" w:rsidRPr="008A2B8F"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auto" w:fill="auto"/>
            <w:noWrap/>
            <w:vAlign w:val="center"/>
            <w:hideMark/>
          </w:tcPr>
          <w:p w14:paraId="0E72799D"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84,360,358 </w:t>
            </w:r>
          </w:p>
        </w:tc>
        <w:tc>
          <w:tcPr>
            <w:tcW w:w="199" w:type="dxa"/>
            <w:tcBorders>
              <w:top w:val="nil"/>
              <w:left w:val="nil"/>
              <w:bottom w:val="nil"/>
              <w:right w:val="nil"/>
            </w:tcBorders>
            <w:shd w:val="clear" w:color="auto" w:fill="auto"/>
            <w:noWrap/>
            <w:vAlign w:val="center"/>
            <w:hideMark/>
          </w:tcPr>
          <w:p w14:paraId="58B04324"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7D0CA460"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251,934 </w:t>
            </w:r>
          </w:p>
        </w:tc>
        <w:tc>
          <w:tcPr>
            <w:tcW w:w="199" w:type="dxa"/>
            <w:tcBorders>
              <w:top w:val="nil"/>
              <w:left w:val="nil"/>
              <w:bottom w:val="nil"/>
              <w:right w:val="nil"/>
            </w:tcBorders>
            <w:shd w:val="clear" w:color="auto" w:fill="auto"/>
            <w:noWrap/>
            <w:vAlign w:val="center"/>
            <w:hideMark/>
          </w:tcPr>
          <w:p w14:paraId="690AF115"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63CF965B"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106,374 </w:t>
            </w:r>
          </w:p>
        </w:tc>
        <w:tc>
          <w:tcPr>
            <w:tcW w:w="199" w:type="dxa"/>
            <w:tcBorders>
              <w:top w:val="nil"/>
              <w:left w:val="nil"/>
              <w:bottom w:val="nil"/>
              <w:right w:val="nil"/>
            </w:tcBorders>
            <w:shd w:val="clear" w:color="auto" w:fill="auto"/>
            <w:noWrap/>
            <w:vAlign w:val="center"/>
            <w:hideMark/>
          </w:tcPr>
          <w:p w14:paraId="2DC81832"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705508A8"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2,190,193 </w:t>
            </w:r>
          </w:p>
        </w:tc>
        <w:tc>
          <w:tcPr>
            <w:tcW w:w="199" w:type="dxa"/>
            <w:tcBorders>
              <w:top w:val="nil"/>
              <w:left w:val="nil"/>
              <w:bottom w:val="nil"/>
              <w:right w:val="nil"/>
            </w:tcBorders>
            <w:shd w:val="clear" w:color="auto" w:fill="auto"/>
            <w:noWrap/>
            <w:vAlign w:val="center"/>
            <w:hideMark/>
          </w:tcPr>
          <w:p w14:paraId="093A14B6" w14:textId="77777777" w:rsidR="00BC5219" w:rsidRPr="008A2B8F"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auto" w:fill="auto"/>
            <w:noWrap/>
            <w:vAlign w:val="center"/>
            <w:hideMark/>
          </w:tcPr>
          <w:p w14:paraId="14395161"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69,551 </w:t>
            </w:r>
          </w:p>
        </w:tc>
        <w:tc>
          <w:tcPr>
            <w:tcW w:w="199" w:type="dxa"/>
            <w:tcBorders>
              <w:top w:val="nil"/>
              <w:left w:val="nil"/>
              <w:bottom w:val="nil"/>
              <w:right w:val="nil"/>
            </w:tcBorders>
            <w:shd w:val="clear" w:color="auto" w:fill="auto"/>
            <w:noWrap/>
            <w:vAlign w:val="center"/>
            <w:hideMark/>
          </w:tcPr>
          <w:p w14:paraId="75F39FBF"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1E44545B"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3E64E52D"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3FB8B914"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86,999,719 </w:t>
            </w:r>
          </w:p>
        </w:tc>
      </w:tr>
      <w:tr w:rsidR="00BC5219" w:rsidRPr="008A2B8F" w14:paraId="57546A9F" w14:textId="77777777" w:rsidTr="00E83802">
        <w:trPr>
          <w:trHeight w:val="198"/>
        </w:trPr>
        <w:tc>
          <w:tcPr>
            <w:tcW w:w="454" w:type="dxa"/>
            <w:tcBorders>
              <w:top w:val="nil"/>
              <w:left w:val="nil"/>
              <w:bottom w:val="nil"/>
              <w:right w:val="nil"/>
            </w:tcBorders>
            <w:shd w:val="clear" w:color="auto" w:fill="auto"/>
            <w:noWrap/>
            <w:vAlign w:val="center"/>
            <w:hideMark/>
          </w:tcPr>
          <w:p w14:paraId="38200512" w14:textId="77777777" w:rsidR="00BC5219" w:rsidRPr="008A2B8F" w:rsidRDefault="00BC5219" w:rsidP="00E83802">
            <w:pPr>
              <w:jc w:val="right"/>
              <w:rPr>
                <w:rFonts w:ascii="Meta Pro" w:eastAsia="Times New Roman" w:hAnsi="Meta Pro"/>
                <w:b/>
                <w:bCs/>
                <w:sz w:val="16"/>
                <w:szCs w:val="16"/>
                <w:lang w:eastAsia="en-AU"/>
              </w:rPr>
            </w:pPr>
          </w:p>
        </w:tc>
        <w:tc>
          <w:tcPr>
            <w:tcW w:w="5160" w:type="dxa"/>
            <w:tcBorders>
              <w:top w:val="nil"/>
              <w:left w:val="nil"/>
              <w:bottom w:val="nil"/>
              <w:right w:val="nil"/>
            </w:tcBorders>
            <w:shd w:val="clear" w:color="auto" w:fill="auto"/>
            <w:noWrap/>
            <w:vAlign w:val="center"/>
            <w:hideMark/>
          </w:tcPr>
          <w:p w14:paraId="3F6F4DF1"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Service concession assets</w:t>
            </w:r>
          </w:p>
        </w:tc>
        <w:tc>
          <w:tcPr>
            <w:tcW w:w="1418" w:type="dxa"/>
            <w:tcBorders>
              <w:top w:val="nil"/>
              <w:left w:val="nil"/>
              <w:bottom w:val="nil"/>
              <w:right w:val="nil"/>
            </w:tcBorders>
            <w:shd w:val="clear" w:color="auto" w:fill="auto"/>
            <w:noWrap/>
            <w:vAlign w:val="center"/>
            <w:hideMark/>
          </w:tcPr>
          <w:p w14:paraId="2C0DFE8E"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2FEB458F" w14:textId="77777777" w:rsidR="00BC5219" w:rsidRPr="008A2B8F"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auto" w:fill="auto"/>
            <w:noWrap/>
            <w:vAlign w:val="center"/>
            <w:hideMark/>
          </w:tcPr>
          <w:p w14:paraId="6FD84CB9"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11,629,066 </w:t>
            </w:r>
          </w:p>
        </w:tc>
        <w:tc>
          <w:tcPr>
            <w:tcW w:w="199" w:type="dxa"/>
            <w:tcBorders>
              <w:top w:val="nil"/>
              <w:left w:val="nil"/>
              <w:bottom w:val="nil"/>
              <w:right w:val="nil"/>
            </w:tcBorders>
            <w:shd w:val="clear" w:color="auto" w:fill="auto"/>
            <w:noWrap/>
            <w:vAlign w:val="center"/>
            <w:hideMark/>
          </w:tcPr>
          <w:p w14:paraId="580443E0"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36ACCD28"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1E4736C6"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2D0D0919"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6822BC47"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179DD27A"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1,288,386 </w:t>
            </w:r>
          </w:p>
        </w:tc>
        <w:tc>
          <w:tcPr>
            <w:tcW w:w="199" w:type="dxa"/>
            <w:tcBorders>
              <w:top w:val="nil"/>
              <w:left w:val="nil"/>
              <w:bottom w:val="nil"/>
              <w:right w:val="nil"/>
            </w:tcBorders>
            <w:shd w:val="clear" w:color="auto" w:fill="auto"/>
            <w:noWrap/>
            <w:vAlign w:val="center"/>
            <w:hideMark/>
          </w:tcPr>
          <w:p w14:paraId="1CA04E44" w14:textId="77777777" w:rsidR="00BC5219" w:rsidRPr="008A2B8F"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auto" w:fill="auto"/>
            <w:noWrap/>
            <w:vAlign w:val="center"/>
            <w:hideMark/>
          </w:tcPr>
          <w:p w14:paraId="4CE7462B"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5F7BB3B0"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27A95F80"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27C16EF1"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42C9EB4B"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12,917,452 </w:t>
            </w:r>
          </w:p>
        </w:tc>
      </w:tr>
      <w:tr w:rsidR="00BC5219" w:rsidRPr="008A2B8F" w14:paraId="22F32846" w14:textId="77777777" w:rsidTr="00E83802">
        <w:trPr>
          <w:trHeight w:val="198"/>
        </w:trPr>
        <w:tc>
          <w:tcPr>
            <w:tcW w:w="454" w:type="dxa"/>
            <w:tcBorders>
              <w:top w:val="nil"/>
              <w:left w:val="nil"/>
              <w:bottom w:val="nil"/>
              <w:right w:val="nil"/>
            </w:tcBorders>
            <w:shd w:val="clear" w:color="auto" w:fill="auto"/>
            <w:noWrap/>
            <w:vAlign w:val="center"/>
            <w:hideMark/>
          </w:tcPr>
          <w:p w14:paraId="5C8B2F73" w14:textId="77777777" w:rsidR="00BC5219" w:rsidRPr="008A2B8F" w:rsidRDefault="00BC5219" w:rsidP="00E83802">
            <w:pPr>
              <w:jc w:val="right"/>
              <w:rPr>
                <w:rFonts w:ascii="Meta Pro" w:eastAsia="Times New Roman" w:hAnsi="Meta Pro"/>
                <w:b/>
                <w:bCs/>
                <w:sz w:val="16"/>
                <w:szCs w:val="16"/>
                <w:lang w:eastAsia="en-AU"/>
              </w:rPr>
            </w:pPr>
          </w:p>
        </w:tc>
        <w:tc>
          <w:tcPr>
            <w:tcW w:w="5160" w:type="dxa"/>
            <w:tcBorders>
              <w:top w:val="nil"/>
              <w:left w:val="nil"/>
              <w:bottom w:val="nil"/>
              <w:right w:val="nil"/>
            </w:tcBorders>
            <w:shd w:val="clear" w:color="auto" w:fill="auto"/>
            <w:noWrap/>
            <w:vAlign w:val="center"/>
            <w:hideMark/>
          </w:tcPr>
          <w:p w14:paraId="62A838E0"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Deferred tax assets</w:t>
            </w:r>
          </w:p>
        </w:tc>
        <w:tc>
          <w:tcPr>
            <w:tcW w:w="1418" w:type="dxa"/>
            <w:tcBorders>
              <w:top w:val="nil"/>
              <w:left w:val="nil"/>
              <w:bottom w:val="nil"/>
              <w:right w:val="nil"/>
            </w:tcBorders>
            <w:shd w:val="clear" w:color="auto" w:fill="auto"/>
            <w:noWrap/>
            <w:vAlign w:val="center"/>
            <w:hideMark/>
          </w:tcPr>
          <w:p w14:paraId="6A9ACB01"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4F6AD934" w14:textId="77777777" w:rsidR="00BC5219" w:rsidRPr="008A2B8F"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auto" w:fill="auto"/>
            <w:noWrap/>
            <w:vAlign w:val="center"/>
            <w:hideMark/>
          </w:tcPr>
          <w:p w14:paraId="511B72B0"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250B98C4"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48F04DFA"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45EC4131"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138DD8AF"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43BE69EC"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7AF24CFC"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3C805FF9" w14:textId="77777777" w:rsidR="00BC5219" w:rsidRPr="008A2B8F"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auto" w:fill="auto"/>
            <w:noWrap/>
            <w:vAlign w:val="center"/>
            <w:hideMark/>
          </w:tcPr>
          <w:p w14:paraId="23EEBA30"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3,296 </w:t>
            </w:r>
          </w:p>
        </w:tc>
        <w:tc>
          <w:tcPr>
            <w:tcW w:w="199" w:type="dxa"/>
            <w:tcBorders>
              <w:top w:val="nil"/>
              <w:left w:val="nil"/>
              <w:bottom w:val="nil"/>
              <w:right w:val="nil"/>
            </w:tcBorders>
            <w:shd w:val="clear" w:color="auto" w:fill="auto"/>
            <w:noWrap/>
            <w:vAlign w:val="center"/>
            <w:hideMark/>
          </w:tcPr>
          <w:p w14:paraId="1869780A"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212EDEBE"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1E23E0F6"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617A1136"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3,296 </w:t>
            </w:r>
          </w:p>
        </w:tc>
      </w:tr>
      <w:tr w:rsidR="00BC5219" w:rsidRPr="008A2B8F" w14:paraId="62ED6CAE" w14:textId="77777777" w:rsidTr="00E83802">
        <w:trPr>
          <w:trHeight w:val="198"/>
        </w:trPr>
        <w:tc>
          <w:tcPr>
            <w:tcW w:w="454" w:type="dxa"/>
            <w:tcBorders>
              <w:top w:val="nil"/>
              <w:left w:val="nil"/>
              <w:bottom w:val="nil"/>
              <w:right w:val="nil"/>
            </w:tcBorders>
            <w:shd w:val="clear" w:color="auto" w:fill="auto"/>
            <w:noWrap/>
            <w:vAlign w:val="center"/>
            <w:hideMark/>
          </w:tcPr>
          <w:p w14:paraId="655CCF3B" w14:textId="77777777" w:rsidR="00BC5219" w:rsidRPr="008A2B8F" w:rsidRDefault="00BC5219" w:rsidP="00E83802">
            <w:pPr>
              <w:jc w:val="right"/>
              <w:rPr>
                <w:rFonts w:ascii="Meta Pro" w:eastAsia="Times New Roman" w:hAnsi="Meta Pro"/>
                <w:b/>
                <w:bCs/>
                <w:sz w:val="16"/>
                <w:szCs w:val="16"/>
                <w:lang w:eastAsia="en-AU"/>
              </w:rPr>
            </w:pPr>
          </w:p>
        </w:tc>
        <w:tc>
          <w:tcPr>
            <w:tcW w:w="5160" w:type="dxa"/>
            <w:tcBorders>
              <w:top w:val="nil"/>
              <w:left w:val="nil"/>
              <w:bottom w:val="nil"/>
              <w:right w:val="nil"/>
            </w:tcBorders>
            <w:shd w:val="clear" w:color="auto" w:fill="auto"/>
            <w:noWrap/>
            <w:vAlign w:val="center"/>
            <w:hideMark/>
          </w:tcPr>
          <w:p w14:paraId="3487076A"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Right-of-use assets</w:t>
            </w:r>
          </w:p>
        </w:tc>
        <w:tc>
          <w:tcPr>
            <w:tcW w:w="1418" w:type="dxa"/>
            <w:tcBorders>
              <w:top w:val="nil"/>
              <w:left w:val="nil"/>
              <w:bottom w:val="nil"/>
              <w:right w:val="nil"/>
            </w:tcBorders>
            <w:shd w:val="clear" w:color="auto" w:fill="auto"/>
            <w:noWrap/>
            <w:vAlign w:val="center"/>
            <w:hideMark/>
          </w:tcPr>
          <w:p w14:paraId="3B344673"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5F7F748E" w14:textId="77777777" w:rsidR="00BC5219" w:rsidRPr="008A2B8F"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auto" w:fill="auto"/>
            <w:noWrap/>
            <w:vAlign w:val="center"/>
            <w:hideMark/>
          </w:tcPr>
          <w:p w14:paraId="37A75011"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2 </w:t>
            </w:r>
          </w:p>
        </w:tc>
        <w:tc>
          <w:tcPr>
            <w:tcW w:w="199" w:type="dxa"/>
            <w:tcBorders>
              <w:top w:val="nil"/>
              <w:left w:val="nil"/>
              <w:bottom w:val="nil"/>
              <w:right w:val="nil"/>
            </w:tcBorders>
            <w:shd w:val="clear" w:color="auto" w:fill="auto"/>
            <w:noWrap/>
            <w:vAlign w:val="center"/>
            <w:hideMark/>
          </w:tcPr>
          <w:p w14:paraId="28B765E8"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1ECD44EF"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43DA3B86"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262A4E16"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400263A1"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36B4F5D3"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57476D6D" w14:textId="77777777" w:rsidR="00BC5219" w:rsidRPr="008A2B8F"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auto" w:fill="auto"/>
            <w:noWrap/>
            <w:vAlign w:val="center"/>
            <w:hideMark/>
          </w:tcPr>
          <w:p w14:paraId="6A3DDD44"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625E5E68"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59589A6A"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3728BE28"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3113E2B8"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2 </w:t>
            </w:r>
          </w:p>
        </w:tc>
      </w:tr>
      <w:tr w:rsidR="00BC5219" w:rsidRPr="008A2B8F" w14:paraId="43B81C16" w14:textId="77777777" w:rsidTr="00E83802">
        <w:trPr>
          <w:trHeight w:val="198"/>
        </w:trPr>
        <w:tc>
          <w:tcPr>
            <w:tcW w:w="454" w:type="dxa"/>
            <w:tcBorders>
              <w:top w:val="nil"/>
              <w:left w:val="nil"/>
              <w:bottom w:val="single" w:sz="4" w:space="0" w:color="auto"/>
              <w:right w:val="nil"/>
            </w:tcBorders>
            <w:shd w:val="clear" w:color="auto" w:fill="auto"/>
            <w:noWrap/>
            <w:vAlign w:val="center"/>
            <w:hideMark/>
          </w:tcPr>
          <w:p w14:paraId="496F461F"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5160" w:type="dxa"/>
            <w:tcBorders>
              <w:top w:val="nil"/>
              <w:left w:val="nil"/>
              <w:bottom w:val="single" w:sz="4" w:space="0" w:color="auto"/>
              <w:right w:val="nil"/>
            </w:tcBorders>
            <w:shd w:val="clear" w:color="auto" w:fill="auto"/>
            <w:noWrap/>
            <w:vAlign w:val="center"/>
            <w:hideMark/>
          </w:tcPr>
          <w:p w14:paraId="4CE1F737"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Investment in subsidiary</w:t>
            </w:r>
          </w:p>
        </w:tc>
        <w:tc>
          <w:tcPr>
            <w:tcW w:w="1418" w:type="dxa"/>
            <w:tcBorders>
              <w:top w:val="nil"/>
              <w:left w:val="nil"/>
              <w:bottom w:val="single" w:sz="4" w:space="0" w:color="auto"/>
              <w:right w:val="nil"/>
            </w:tcBorders>
            <w:shd w:val="clear" w:color="auto" w:fill="auto"/>
            <w:noWrap/>
            <w:vAlign w:val="center"/>
            <w:hideMark/>
          </w:tcPr>
          <w:p w14:paraId="13D5DEA9"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0ECBBF88" w14:textId="77777777" w:rsidR="00BC5219" w:rsidRPr="008A2B8F" w:rsidRDefault="00BC5219" w:rsidP="00E83802">
            <w:pPr>
              <w:jc w:val="right"/>
              <w:rPr>
                <w:rFonts w:ascii="Meta Pro" w:eastAsia="Times New Roman" w:hAnsi="Meta Pro"/>
                <w:sz w:val="16"/>
                <w:szCs w:val="16"/>
                <w:lang w:eastAsia="en-AU"/>
              </w:rPr>
            </w:pPr>
          </w:p>
        </w:tc>
        <w:tc>
          <w:tcPr>
            <w:tcW w:w="1418" w:type="dxa"/>
            <w:tcBorders>
              <w:top w:val="nil"/>
              <w:left w:val="nil"/>
              <w:bottom w:val="single" w:sz="4" w:space="0" w:color="auto"/>
              <w:right w:val="nil"/>
            </w:tcBorders>
            <w:shd w:val="clear" w:color="auto" w:fill="auto"/>
            <w:noWrap/>
            <w:vAlign w:val="center"/>
            <w:hideMark/>
          </w:tcPr>
          <w:p w14:paraId="397F787B"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5,601 </w:t>
            </w:r>
          </w:p>
        </w:tc>
        <w:tc>
          <w:tcPr>
            <w:tcW w:w="199" w:type="dxa"/>
            <w:tcBorders>
              <w:top w:val="nil"/>
              <w:left w:val="nil"/>
              <w:bottom w:val="nil"/>
              <w:right w:val="nil"/>
            </w:tcBorders>
            <w:shd w:val="clear" w:color="auto" w:fill="auto"/>
            <w:noWrap/>
            <w:vAlign w:val="center"/>
            <w:hideMark/>
          </w:tcPr>
          <w:p w14:paraId="6A3DE9BD"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single" w:sz="4" w:space="0" w:color="auto"/>
              <w:right w:val="nil"/>
            </w:tcBorders>
            <w:shd w:val="clear" w:color="auto" w:fill="auto"/>
            <w:noWrap/>
            <w:vAlign w:val="center"/>
            <w:hideMark/>
          </w:tcPr>
          <w:p w14:paraId="643CD671"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0CFBA4A4"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single" w:sz="4" w:space="0" w:color="auto"/>
              <w:right w:val="nil"/>
            </w:tcBorders>
            <w:shd w:val="clear" w:color="auto" w:fill="auto"/>
            <w:noWrap/>
            <w:vAlign w:val="center"/>
            <w:hideMark/>
          </w:tcPr>
          <w:p w14:paraId="2CE7D729"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5536007B"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single" w:sz="4" w:space="0" w:color="auto"/>
              <w:right w:val="nil"/>
            </w:tcBorders>
            <w:shd w:val="clear" w:color="auto" w:fill="auto"/>
            <w:noWrap/>
            <w:vAlign w:val="center"/>
            <w:hideMark/>
          </w:tcPr>
          <w:p w14:paraId="13BD5E8E"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62E12854" w14:textId="77777777" w:rsidR="00BC5219" w:rsidRPr="008A2B8F" w:rsidRDefault="00BC5219" w:rsidP="00E83802">
            <w:pPr>
              <w:jc w:val="right"/>
              <w:rPr>
                <w:rFonts w:ascii="Meta Pro" w:eastAsia="Times New Roman" w:hAnsi="Meta Pro"/>
                <w:sz w:val="16"/>
                <w:szCs w:val="16"/>
                <w:lang w:eastAsia="en-AU"/>
              </w:rPr>
            </w:pPr>
          </w:p>
        </w:tc>
        <w:tc>
          <w:tcPr>
            <w:tcW w:w="1418" w:type="dxa"/>
            <w:tcBorders>
              <w:top w:val="nil"/>
              <w:left w:val="nil"/>
              <w:bottom w:val="single" w:sz="4" w:space="0" w:color="auto"/>
              <w:right w:val="nil"/>
            </w:tcBorders>
            <w:shd w:val="clear" w:color="auto" w:fill="auto"/>
            <w:noWrap/>
            <w:vAlign w:val="center"/>
            <w:hideMark/>
          </w:tcPr>
          <w:p w14:paraId="72D507F0"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719E71D4"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single" w:sz="4" w:space="0" w:color="auto"/>
              <w:right w:val="nil"/>
            </w:tcBorders>
            <w:shd w:val="clear" w:color="auto" w:fill="auto"/>
            <w:noWrap/>
            <w:vAlign w:val="center"/>
            <w:hideMark/>
          </w:tcPr>
          <w:p w14:paraId="6681C4BB"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1B65175F"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single" w:sz="4" w:space="0" w:color="auto"/>
              <w:right w:val="nil"/>
            </w:tcBorders>
            <w:shd w:val="clear" w:color="auto" w:fill="auto"/>
            <w:noWrap/>
            <w:vAlign w:val="center"/>
            <w:hideMark/>
          </w:tcPr>
          <w:p w14:paraId="103E5E66"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5,601 </w:t>
            </w:r>
          </w:p>
        </w:tc>
      </w:tr>
      <w:tr w:rsidR="00BC5219" w:rsidRPr="008A2B8F" w14:paraId="42A17A72" w14:textId="77777777" w:rsidTr="00E83802">
        <w:trPr>
          <w:trHeight w:val="198"/>
        </w:trPr>
        <w:tc>
          <w:tcPr>
            <w:tcW w:w="454" w:type="dxa"/>
            <w:tcBorders>
              <w:top w:val="nil"/>
              <w:left w:val="nil"/>
              <w:bottom w:val="nil"/>
              <w:right w:val="nil"/>
            </w:tcBorders>
            <w:shd w:val="clear" w:color="auto" w:fill="auto"/>
            <w:noWrap/>
            <w:vAlign w:val="center"/>
            <w:hideMark/>
          </w:tcPr>
          <w:p w14:paraId="091A5834" w14:textId="77777777" w:rsidR="00BC5219" w:rsidRPr="008A2B8F" w:rsidRDefault="00BC5219" w:rsidP="00E83802">
            <w:pPr>
              <w:jc w:val="right"/>
              <w:rPr>
                <w:rFonts w:ascii="Meta Pro" w:eastAsia="Times New Roman" w:hAnsi="Meta Pro"/>
                <w:b/>
                <w:bCs/>
                <w:sz w:val="16"/>
                <w:szCs w:val="16"/>
                <w:lang w:eastAsia="en-AU"/>
              </w:rPr>
            </w:pPr>
          </w:p>
        </w:tc>
        <w:tc>
          <w:tcPr>
            <w:tcW w:w="5160" w:type="dxa"/>
            <w:tcBorders>
              <w:top w:val="nil"/>
              <w:left w:val="nil"/>
              <w:bottom w:val="nil"/>
              <w:right w:val="nil"/>
            </w:tcBorders>
            <w:shd w:val="clear" w:color="auto" w:fill="auto"/>
            <w:noWrap/>
            <w:vAlign w:val="center"/>
            <w:hideMark/>
          </w:tcPr>
          <w:p w14:paraId="52B67F0F" w14:textId="77777777" w:rsidR="00BC5219" w:rsidRPr="008A2B8F" w:rsidRDefault="00BC5219" w:rsidP="00E83802">
            <w:pPr>
              <w:rPr>
                <w:rFonts w:ascii="Meta Pro" w:eastAsia="Times New Roman" w:hAnsi="Meta Pro"/>
                <w:b/>
                <w:bCs/>
                <w:sz w:val="16"/>
                <w:szCs w:val="16"/>
                <w:lang w:eastAsia="en-AU"/>
              </w:rPr>
            </w:pPr>
            <w:r w:rsidRPr="008A2B8F">
              <w:rPr>
                <w:rFonts w:ascii="Meta Pro" w:eastAsia="Times New Roman" w:hAnsi="Meta Pro"/>
                <w:b/>
                <w:bCs/>
                <w:sz w:val="16"/>
                <w:szCs w:val="16"/>
                <w:lang w:eastAsia="en-AU"/>
              </w:rPr>
              <w:t>Total non-current assets</w:t>
            </w:r>
          </w:p>
        </w:tc>
        <w:tc>
          <w:tcPr>
            <w:tcW w:w="1418" w:type="dxa"/>
            <w:tcBorders>
              <w:top w:val="nil"/>
              <w:left w:val="nil"/>
              <w:bottom w:val="nil"/>
              <w:right w:val="nil"/>
            </w:tcBorders>
            <w:shd w:val="clear" w:color="auto" w:fill="auto"/>
            <w:noWrap/>
            <w:vAlign w:val="center"/>
            <w:hideMark/>
          </w:tcPr>
          <w:p w14:paraId="3E3536D2"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37,060 </w:t>
            </w:r>
          </w:p>
        </w:tc>
        <w:tc>
          <w:tcPr>
            <w:tcW w:w="199" w:type="dxa"/>
            <w:tcBorders>
              <w:top w:val="single" w:sz="4" w:space="0" w:color="auto"/>
              <w:left w:val="nil"/>
              <w:bottom w:val="nil"/>
              <w:right w:val="nil"/>
            </w:tcBorders>
            <w:shd w:val="clear" w:color="auto" w:fill="auto"/>
            <w:noWrap/>
            <w:vAlign w:val="center"/>
            <w:hideMark/>
          </w:tcPr>
          <w:p w14:paraId="1A84DE00"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418" w:type="dxa"/>
            <w:tcBorders>
              <w:top w:val="nil"/>
              <w:left w:val="nil"/>
              <w:bottom w:val="nil"/>
              <w:right w:val="nil"/>
            </w:tcBorders>
            <w:shd w:val="clear" w:color="auto" w:fill="auto"/>
            <w:noWrap/>
            <w:vAlign w:val="center"/>
            <w:hideMark/>
          </w:tcPr>
          <w:p w14:paraId="764552F4"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96,004,039 </w:t>
            </w:r>
          </w:p>
        </w:tc>
        <w:tc>
          <w:tcPr>
            <w:tcW w:w="199" w:type="dxa"/>
            <w:tcBorders>
              <w:top w:val="single" w:sz="4" w:space="0" w:color="auto"/>
              <w:left w:val="nil"/>
              <w:bottom w:val="nil"/>
              <w:right w:val="nil"/>
            </w:tcBorders>
            <w:shd w:val="clear" w:color="auto" w:fill="auto"/>
            <w:noWrap/>
            <w:vAlign w:val="center"/>
            <w:hideMark/>
          </w:tcPr>
          <w:p w14:paraId="5C8C5A3E"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361" w:type="dxa"/>
            <w:tcBorders>
              <w:top w:val="nil"/>
              <w:left w:val="nil"/>
              <w:bottom w:val="nil"/>
              <w:right w:val="nil"/>
            </w:tcBorders>
            <w:shd w:val="clear" w:color="auto" w:fill="auto"/>
            <w:noWrap/>
            <w:vAlign w:val="center"/>
            <w:hideMark/>
          </w:tcPr>
          <w:p w14:paraId="0F6EE341"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300,670 </w:t>
            </w:r>
          </w:p>
        </w:tc>
        <w:tc>
          <w:tcPr>
            <w:tcW w:w="199" w:type="dxa"/>
            <w:tcBorders>
              <w:top w:val="single" w:sz="4" w:space="0" w:color="auto"/>
              <w:left w:val="nil"/>
              <w:bottom w:val="nil"/>
              <w:right w:val="nil"/>
            </w:tcBorders>
            <w:shd w:val="clear" w:color="auto" w:fill="auto"/>
            <w:noWrap/>
            <w:vAlign w:val="center"/>
            <w:hideMark/>
          </w:tcPr>
          <w:p w14:paraId="2C10E937"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361" w:type="dxa"/>
            <w:tcBorders>
              <w:top w:val="nil"/>
              <w:left w:val="nil"/>
              <w:bottom w:val="nil"/>
              <w:right w:val="nil"/>
            </w:tcBorders>
            <w:shd w:val="clear" w:color="auto" w:fill="auto"/>
            <w:noWrap/>
            <w:vAlign w:val="center"/>
            <w:hideMark/>
          </w:tcPr>
          <w:p w14:paraId="1FCFAA17"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125,999 </w:t>
            </w:r>
          </w:p>
        </w:tc>
        <w:tc>
          <w:tcPr>
            <w:tcW w:w="199" w:type="dxa"/>
            <w:tcBorders>
              <w:top w:val="single" w:sz="4" w:space="0" w:color="auto"/>
              <w:left w:val="nil"/>
              <w:bottom w:val="nil"/>
              <w:right w:val="nil"/>
            </w:tcBorders>
            <w:shd w:val="clear" w:color="auto" w:fill="auto"/>
            <w:noWrap/>
            <w:vAlign w:val="center"/>
            <w:hideMark/>
          </w:tcPr>
          <w:p w14:paraId="7CBCF64A"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361" w:type="dxa"/>
            <w:tcBorders>
              <w:top w:val="nil"/>
              <w:left w:val="nil"/>
              <w:bottom w:val="nil"/>
              <w:right w:val="nil"/>
            </w:tcBorders>
            <w:shd w:val="clear" w:color="auto" w:fill="auto"/>
            <w:noWrap/>
            <w:vAlign w:val="center"/>
            <w:hideMark/>
          </w:tcPr>
          <w:p w14:paraId="78416F16"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3,623,332 </w:t>
            </w:r>
          </w:p>
        </w:tc>
        <w:tc>
          <w:tcPr>
            <w:tcW w:w="199" w:type="dxa"/>
            <w:tcBorders>
              <w:top w:val="single" w:sz="4" w:space="0" w:color="auto"/>
              <w:left w:val="nil"/>
              <w:bottom w:val="nil"/>
              <w:right w:val="nil"/>
            </w:tcBorders>
            <w:shd w:val="clear" w:color="auto" w:fill="auto"/>
            <w:noWrap/>
            <w:vAlign w:val="center"/>
            <w:hideMark/>
          </w:tcPr>
          <w:p w14:paraId="014FA917"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418" w:type="dxa"/>
            <w:tcBorders>
              <w:top w:val="nil"/>
              <w:left w:val="nil"/>
              <w:bottom w:val="nil"/>
              <w:right w:val="nil"/>
            </w:tcBorders>
            <w:shd w:val="clear" w:color="auto" w:fill="auto"/>
            <w:noWrap/>
            <w:vAlign w:val="center"/>
            <w:hideMark/>
          </w:tcPr>
          <w:p w14:paraId="681681D6"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72,847 </w:t>
            </w:r>
          </w:p>
        </w:tc>
        <w:tc>
          <w:tcPr>
            <w:tcW w:w="199" w:type="dxa"/>
            <w:tcBorders>
              <w:top w:val="single" w:sz="4" w:space="0" w:color="auto"/>
              <w:left w:val="nil"/>
              <w:bottom w:val="nil"/>
              <w:right w:val="nil"/>
            </w:tcBorders>
            <w:shd w:val="clear" w:color="auto" w:fill="auto"/>
            <w:noWrap/>
            <w:vAlign w:val="center"/>
            <w:hideMark/>
          </w:tcPr>
          <w:p w14:paraId="427FEE92"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361" w:type="dxa"/>
            <w:tcBorders>
              <w:top w:val="nil"/>
              <w:left w:val="nil"/>
              <w:bottom w:val="nil"/>
              <w:right w:val="nil"/>
            </w:tcBorders>
            <w:shd w:val="clear" w:color="auto" w:fill="auto"/>
            <w:noWrap/>
            <w:vAlign w:val="center"/>
            <w:hideMark/>
          </w:tcPr>
          <w:p w14:paraId="40F037B2"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 </w:t>
            </w:r>
          </w:p>
        </w:tc>
        <w:tc>
          <w:tcPr>
            <w:tcW w:w="199" w:type="dxa"/>
            <w:tcBorders>
              <w:top w:val="single" w:sz="4" w:space="0" w:color="auto"/>
              <w:left w:val="nil"/>
              <w:bottom w:val="nil"/>
              <w:right w:val="nil"/>
            </w:tcBorders>
            <w:shd w:val="clear" w:color="auto" w:fill="auto"/>
            <w:noWrap/>
            <w:vAlign w:val="center"/>
            <w:hideMark/>
          </w:tcPr>
          <w:p w14:paraId="5A958DA4"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361" w:type="dxa"/>
            <w:tcBorders>
              <w:top w:val="nil"/>
              <w:left w:val="nil"/>
              <w:bottom w:val="nil"/>
              <w:right w:val="nil"/>
            </w:tcBorders>
            <w:shd w:val="clear" w:color="auto" w:fill="auto"/>
            <w:noWrap/>
            <w:vAlign w:val="center"/>
            <w:hideMark/>
          </w:tcPr>
          <w:p w14:paraId="3667AE96"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100,163,947 </w:t>
            </w:r>
          </w:p>
        </w:tc>
      </w:tr>
      <w:tr w:rsidR="00BC5219" w:rsidRPr="008A2B8F" w14:paraId="570E43AA" w14:textId="77777777" w:rsidTr="00E83802">
        <w:trPr>
          <w:trHeight w:hRule="exact" w:val="142"/>
        </w:trPr>
        <w:tc>
          <w:tcPr>
            <w:tcW w:w="454" w:type="dxa"/>
            <w:tcBorders>
              <w:top w:val="nil"/>
              <w:left w:val="nil"/>
              <w:bottom w:val="nil"/>
              <w:right w:val="nil"/>
            </w:tcBorders>
            <w:shd w:val="clear" w:color="auto" w:fill="auto"/>
            <w:noWrap/>
            <w:vAlign w:val="center"/>
            <w:hideMark/>
          </w:tcPr>
          <w:p w14:paraId="47E34BF8" w14:textId="77777777" w:rsidR="00BC5219" w:rsidRPr="008A2B8F" w:rsidRDefault="00BC5219" w:rsidP="00E83802">
            <w:pPr>
              <w:jc w:val="right"/>
              <w:rPr>
                <w:rFonts w:ascii="Meta Pro" w:eastAsia="Times New Roman" w:hAnsi="Meta Pro"/>
                <w:b/>
                <w:bCs/>
                <w:sz w:val="16"/>
                <w:szCs w:val="16"/>
                <w:lang w:eastAsia="en-AU"/>
              </w:rPr>
            </w:pPr>
          </w:p>
        </w:tc>
        <w:tc>
          <w:tcPr>
            <w:tcW w:w="5160" w:type="dxa"/>
            <w:tcBorders>
              <w:top w:val="nil"/>
              <w:left w:val="nil"/>
              <w:bottom w:val="nil"/>
              <w:right w:val="nil"/>
            </w:tcBorders>
            <w:shd w:val="clear" w:color="auto" w:fill="auto"/>
            <w:noWrap/>
            <w:vAlign w:val="center"/>
            <w:hideMark/>
          </w:tcPr>
          <w:p w14:paraId="75E639CA" w14:textId="77777777" w:rsidR="00BC5219" w:rsidRPr="008A2B8F" w:rsidRDefault="00BC5219" w:rsidP="00E83802">
            <w:pPr>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noWrap/>
            <w:vAlign w:val="center"/>
            <w:hideMark/>
          </w:tcPr>
          <w:p w14:paraId="1C43EC47" w14:textId="77777777" w:rsidR="00BC5219" w:rsidRPr="008A2B8F" w:rsidRDefault="00BC5219" w:rsidP="00E83802">
            <w:pPr>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74CC16DD" w14:textId="77777777" w:rsidR="00BC5219" w:rsidRPr="008A2B8F" w:rsidRDefault="00BC5219" w:rsidP="00E83802">
            <w:pPr>
              <w:jc w:val="right"/>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noWrap/>
            <w:vAlign w:val="center"/>
            <w:hideMark/>
          </w:tcPr>
          <w:p w14:paraId="54960988"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1AF879F4" w14:textId="77777777" w:rsidR="00BC5219" w:rsidRPr="008A2B8F" w:rsidRDefault="00BC5219" w:rsidP="00E83802">
            <w:pPr>
              <w:jc w:val="right"/>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496B4D6C"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34860286" w14:textId="77777777" w:rsidR="00BC5219" w:rsidRPr="008A2B8F" w:rsidRDefault="00BC5219" w:rsidP="00E83802">
            <w:pPr>
              <w:jc w:val="right"/>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141BA3CD"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0367B024" w14:textId="77777777" w:rsidR="00BC5219" w:rsidRPr="008A2B8F" w:rsidRDefault="00BC5219" w:rsidP="00E83802">
            <w:pPr>
              <w:jc w:val="right"/>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3BDCFF30"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2836B16D" w14:textId="77777777" w:rsidR="00BC5219" w:rsidRPr="008A2B8F" w:rsidRDefault="00BC5219" w:rsidP="00E83802">
            <w:pPr>
              <w:jc w:val="right"/>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noWrap/>
            <w:vAlign w:val="center"/>
            <w:hideMark/>
          </w:tcPr>
          <w:p w14:paraId="55416608"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48F42D07" w14:textId="77777777" w:rsidR="00BC5219" w:rsidRPr="008A2B8F" w:rsidRDefault="00BC5219" w:rsidP="00E83802">
            <w:pPr>
              <w:jc w:val="right"/>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5A704380"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1FDA7D2A" w14:textId="77777777" w:rsidR="00BC5219" w:rsidRPr="008A2B8F" w:rsidRDefault="00BC5219" w:rsidP="00E83802">
            <w:pPr>
              <w:jc w:val="right"/>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1C006ACF"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04714343" w14:textId="77777777" w:rsidTr="00E83802">
        <w:trPr>
          <w:trHeight w:val="198"/>
        </w:trPr>
        <w:tc>
          <w:tcPr>
            <w:tcW w:w="5160" w:type="dxa"/>
            <w:gridSpan w:val="2"/>
            <w:tcBorders>
              <w:top w:val="nil"/>
              <w:left w:val="nil"/>
              <w:bottom w:val="double" w:sz="6" w:space="0" w:color="auto"/>
              <w:right w:val="nil"/>
            </w:tcBorders>
            <w:shd w:val="clear" w:color="auto" w:fill="auto"/>
            <w:noWrap/>
            <w:vAlign w:val="center"/>
            <w:hideMark/>
          </w:tcPr>
          <w:p w14:paraId="5946C100" w14:textId="77777777" w:rsidR="00BC5219" w:rsidRPr="008A2B8F" w:rsidRDefault="00BC5219" w:rsidP="00E83802">
            <w:pPr>
              <w:rPr>
                <w:rFonts w:ascii="Meta Pro" w:eastAsia="Times New Roman" w:hAnsi="Meta Pro"/>
                <w:b/>
                <w:bCs/>
                <w:sz w:val="16"/>
                <w:szCs w:val="16"/>
                <w:lang w:eastAsia="en-AU"/>
              </w:rPr>
            </w:pPr>
            <w:r w:rsidRPr="008A2B8F">
              <w:rPr>
                <w:rFonts w:ascii="Meta Pro" w:eastAsia="Times New Roman" w:hAnsi="Meta Pro"/>
                <w:b/>
                <w:bCs/>
                <w:sz w:val="16"/>
                <w:szCs w:val="16"/>
                <w:lang w:eastAsia="en-AU"/>
              </w:rPr>
              <w:t>Total assets</w:t>
            </w:r>
          </w:p>
        </w:tc>
        <w:tc>
          <w:tcPr>
            <w:tcW w:w="1418" w:type="dxa"/>
            <w:tcBorders>
              <w:top w:val="nil"/>
              <w:left w:val="nil"/>
              <w:bottom w:val="double" w:sz="6" w:space="0" w:color="auto"/>
              <w:right w:val="nil"/>
            </w:tcBorders>
            <w:shd w:val="clear" w:color="auto" w:fill="auto"/>
            <w:noWrap/>
            <w:vAlign w:val="center"/>
            <w:hideMark/>
          </w:tcPr>
          <w:p w14:paraId="0A66FA97"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62,172 </w:t>
            </w:r>
          </w:p>
        </w:tc>
        <w:tc>
          <w:tcPr>
            <w:tcW w:w="199" w:type="dxa"/>
            <w:tcBorders>
              <w:top w:val="nil"/>
              <w:left w:val="nil"/>
              <w:bottom w:val="double" w:sz="6" w:space="0" w:color="auto"/>
              <w:right w:val="nil"/>
            </w:tcBorders>
            <w:shd w:val="clear" w:color="auto" w:fill="auto"/>
            <w:noWrap/>
            <w:vAlign w:val="center"/>
            <w:hideMark/>
          </w:tcPr>
          <w:p w14:paraId="2BA82150"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418" w:type="dxa"/>
            <w:tcBorders>
              <w:top w:val="nil"/>
              <w:left w:val="nil"/>
              <w:bottom w:val="double" w:sz="6" w:space="0" w:color="auto"/>
              <w:right w:val="nil"/>
            </w:tcBorders>
            <w:shd w:val="clear" w:color="auto" w:fill="auto"/>
            <w:noWrap/>
            <w:vAlign w:val="center"/>
            <w:hideMark/>
          </w:tcPr>
          <w:p w14:paraId="6C12C537"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96,128,491 </w:t>
            </w:r>
          </w:p>
        </w:tc>
        <w:tc>
          <w:tcPr>
            <w:tcW w:w="199" w:type="dxa"/>
            <w:tcBorders>
              <w:top w:val="nil"/>
              <w:left w:val="nil"/>
              <w:bottom w:val="double" w:sz="6" w:space="0" w:color="auto"/>
              <w:right w:val="nil"/>
            </w:tcBorders>
            <w:shd w:val="clear" w:color="auto" w:fill="auto"/>
            <w:noWrap/>
            <w:vAlign w:val="center"/>
            <w:hideMark/>
          </w:tcPr>
          <w:p w14:paraId="2724AFF1"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361" w:type="dxa"/>
            <w:tcBorders>
              <w:top w:val="nil"/>
              <w:left w:val="nil"/>
              <w:bottom w:val="double" w:sz="6" w:space="0" w:color="auto"/>
              <w:right w:val="nil"/>
            </w:tcBorders>
            <w:shd w:val="clear" w:color="auto" w:fill="auto"/>
            <w:noWrap/>
            <w:vAlign w:val="center"/>
            <w:hideMark/>
          </w:tcPr>
          <w:p w14:paraId="457E65D3"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410,340 </w:t>
            </w:r>
          </w:p>
        </w:tc>
        <w:tc>
          <w:tcPr>
            <w:tcW w:w="199" w:type="dxa"/>
            <w:tcBorders>
              <w:top w:val="nil"/>
              <w:left w:val="nil"/>
              <w:bottom w:val="double" w:sz="6" w:space="0" w:color="auto"/>
              <w:right w:val="nil"/>
            </w:tcBorders>
            <w:shd w:val="clear" w:color="auto" w:fill="auto"/>
            <w:noWrap/>
            <w:vAlign w:val="center"/>
            <w:hideMark/>
          </w:tcPr>
          <w:p w14:paraId="1D152F1D"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361" w:type="dxa"/>
            <w:tcBorders>
              <w:top w:val="nil"/>
              <w:left w:val="nil"/>
              <w:bottom w:val="double" w:sz="6" w:space="0" w:color="auto"/>
              <w:right w:val="nil"/>
            </w:tcBorders>
            <w:shd w:val="clear" w:color="auto" w:fill="auto"/>
            <w:noWrap/>
            <w:vAlign w:val="center"/>
            <w:hideMark/>
          </w:tcPr>
          <w:p w14:paraId="50BD2EBF"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150,506 </w:t>
            </w:r>
          </w:p>
        </w:tc>
        <w:tc>
          <w:tcPr>
            <w:tcW w:w="199" w:type="dxa"/>
            <w:tcBorders>
              <w:top w:val="nil"/>
              <w:left w:val="nil"/>
              <w:bottom w:val="double" w:sz="6" w:space="0" w:color="auto"/>
              <w:right w:val="nil"/>
            </w:tcBorders>
            <w:shd w:val="clear" w:color="auto" w:fill="auto"/>
            <w:noWrap/>
            <w:vAlign w:val="center"/>
            <w:hideMark/>
          </w:tcPr>
          <w:p w14:paraId="04B72C9B"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361" w:type="dxa"/>
            <w:tcBorders>
              <w:top w:val="nil"/>
              <w:left w:val="nil"/>
              <w:bottom w:val="double" w:sz="6" w:space="0" w:color="auto"/>
              <w:right w:val="nil"/>
            </w:tcBorders>
            <w:shd w:val="clear" w:color="auto" w:fill="auto"/>
            <w:noWrap/>
            <w:vAlign w:val="center"/>
            <w:hideMark/>
          </w:tcPr>
          <w:p w14:paraId="0236FA46"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3,932,443 </w:t>
            </w:r>
          </w:p>
        </w:tc>
        <w:tc>
          <w:tcPr>
            <w:tcW w:w="199" w:type="dxa"/>
            <w:tcBorders>
              <w:top w:val="nil"/>
              <w:left w:val="nil"/>
              <w:bottom w:val="double" w:sz="6" w:space="0" w:color="auto"/>
              <w:right w:val="nil"/>
            </w:tcBorders>
            <w:shd w:val="clear" w:color="auto" w:fill="auto"/>
            <w:noWrap/>
            <w:vAlign w:val="center"/>
            <w:hideMark/>
          </w:tcPr>
          <w:p w14:paraId="122BF93E"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418" w:type="dxa"/>
            <w:tcBorders>
              <w:top w:val="nil"/>
              <w:left w:val="nil"/>
              <w:bottom w:val="double" w:sz="6" w:space="0" w:color="auto"/>
              <w:right w:val="nil"/>
            </w:tcBorders>
            <w:shd w:val="clear" w:color="auto" w:fill="auto"/>
            <w:noWrap/>
            <w:vAlign w:val="center"/>
            <w:hideMark/>
          </w:tcPr>
          <w:p w14:paraId="3C0580A4"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255,062 </w:t>
            </w:r>
          </w:p>
        </w:tc>
        <w:tc>
          <w:tcPr>
            <w:tcW w:w="199" w:type="dxa"/>
            <w:tcBorders>
              <w:top w:val="nil"/>
              <w:left w:val="nil"/>
              <w:bottom w:val="double" w:sz="6" w:space="0" w:color="auto"/>
              <w:right w:val="nil"/>
            </w:tcBorders>
            <w:shd w:val="clear" w:color="auto" w:fill="auto"/>
            <w:noWrap/>
            <w:vAlign w:val="center"/>
            <w:hideMark/>
          </w:tcPr>
          <w:p w14:paraId="3A24D823"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361" w:type="dxa"/>
            <w:tcBorders>
              <w:top w:val="nil"/>
              <w:left w:val="nil"/>
              <w:bottom w:val="double" w:sz="6" w:space="0" w:color="auto"/>
              <w:right w:val="nil"/>
            </w:tcBorders>
            <w:shd w:val="clear" w:color="auto" w:fill="auto"/>
            <w:noWrap/>
            <w:vAlign w:val="center"/>
            <w:hideMark/>
          </w:tcPr>
          <w:p w14:paraId="32849846"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(188,373)</w:t>
            </w:r>
          </w:p>
        </w:tc>
        <w:tc>
          <w:tcPr>
            <w:tcW w:w="199" w:type="dxa"/>
            <w:tcBorders>
              <w:top w:val="nil"/>
              <w:left w:val="nil"/>
              <w:bottom w:val="double" w:sz="6" w:space="0" w:color="auto"/>
              <w:right w:val="nil"/>
            </w:tcBorders>
            <w:shd w:val="clear" w:color="auto" w:fill="auto"/>
            <w:noWrap/>
            <w:vAlign w:val="center"/>
            <w:hideMark/>
          </w:tcPr>
          <w:p w14:paraId="23D27BF0"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361" w:type="dxa"/>
            <w:tcBorders>
              <w:top w:val="nil"/>
              <w:left w:val="nil"/>
              <w:bottom w:val="double" w:sz="6" w:space="0" w:color="auto"/>
              <w:right w:val="nil"/>
            </w:tcBorders>
            <w:shd w:val="clear" w:color="auto" w:fill="auto"/>
            <w:noWrap/>
            <w:vAlign w:val="center"/>
            <w:hideMark/>
          </w:tcPr>
          <w:p w14:paraId="5CE97D1A"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100,750,641 </w:t>
            </w:r>
          </w:p>
        </w:tc>
      </w:tr>
      <w:tr w:rsidR="00BC5219" w:rsidRPr="008A2B8F" w14:paraId="1195DA3B" w14:textId="77777777" w:rsidTr="00E83802">
        <w:trPr>
          <w:trHeight w:hRule="exact" w:val="142"/>
        </w:trPr>
        <w:tc>
          <w:tcPr>
            <w:tcW w:w="454" w:type="dxa"/>
            <w:tcBorders>
              <w:top w:val="nil"/>
              <w:left w:val="nil"/>
              <w:bottom w:val="nil"/>
              <w:right w:val="nil"/>
            </w:tcBorders>
            <w:shd w:val="clear" w:color="auto" w:fill="auto"/>
            <w:noWrap/>
            <w:vAlign w:val="center"/>
            <w:hideMark/>
          </w:tcPr>
          <w:p w14:paraId="082E1BA3" w14:textId="77777777" w:rsidR="00BC5219" w:rsidRPr="008A2B8F" w:rsidRDefault="00BC5219" w:rsidP="00E83802">
            <w:pPr>
              <w:jc w:val="right"/>
              <w:rPr>
                <w:rFonts w:ascii="Meta Pro" w:eastAsia="Times New Roman" w:hAnsi="Meta Pro"/>
                <w:b/>
                <w:bCs/>
                <w:sz w:val="16"/>
                <w:szCs w:val="16"/>
                <w:lang w:eastAsia="en-AU"/>
              </w:rPr>
            </w:pPr>
          </w:p>
        </w:tc>
        <w:tc>
          <w:tcPr>
            <w:tcW w:w="5160" w:type="dxa"/>
            <w:tcBorders>
              <w:top w:val="nil"/>
              <w:left w:val="nil"/>
              <w:bottom w:val="nil"/>
              <w:right w:val="nil"/>
            </w:tcBorders>
            <w:shd w:val="clear" w:color="auto" w:fill="auto"/>
            <w:noWrap/>
            <w:vAlign w:val="center"/>
            <w:hideMark/>
          </w:tcPr>
          <w:p w14:paraId="6BE6FBD4" w14:textId="77777777" w:rsidR="00BC5219" w:rsidRPr="008A2B8F" w:rsidRDefault="00BC5219" w:rsidP="00E83802">
            <w:pPr>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noWrap/>
            <w:vAlign w:val="center"/>
            <w:hideMark/>
          </w:tcPr>
          <w:p w14:paraId="1757D606" w14:textId="77777777" w:rsidR="00BC5219" w:rsidRPr="008A2B8F" w:rsidRDefault="00BC5219" w:rsidP="00E83802">
            <w:pPr>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1FBA6E23" w14:textId="77777777" w:rsidR="00BC5219" w:rsidRPr="008A2B8F" w:rsidRDefault="00BC5219" w:rsidP="00E83802">
            <w:pPr>
              <w:jc w:val="right"/>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noWrap/>
            <w:vAlign w:val="center"/>
            <w:hideMark/>
          </w:tcPr>
          <w:p w14:paraId="4E1FF2E8"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3AB67EFB" w14:textId="77777777" w:rsidR="00BC5219" w:rsidRPr="008A2B8F" w:rsidRDefault="00BC5219" w:rsidP="00E83802">
            <w:pPr>
              <w:jc w:val="right"/>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06322EB7"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4E36D98D" w14:textId="77777777" w:rsidR="00BC5219" w:rsidRPr="008A2B8F" w:rsidRDefault="00BC5219" w:rsidP="00E83802">
            <w:pPr>
              <w:jc w:val="right"/>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2944E378"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52D745FD" w14:textId="77777777" w:rsidR="00BC5219" w:rsidRPr="008A2B8F" w:rsidRDefault="00BC5219" w:rsidP="00E83802">
            <w:pPr>
              <w:jc w:val="right"/>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27A4DB1F"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7A76F06D" w14:textId="77777777" w:rsidR="00BC5219" w:rsidRPr="008A2B8F" w:rsidRDefault="00BC5219" w:rsidP="00E83802">
            <w:pPr>
              <w:jc w:val="right"/>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noWrap/>
            <w:vAlign w:val="center"/>
            <w:hideMark/>
          </w:tcPr>
          <w:p w14:paraId="3FF28055"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553204BC" w14:textId="77777777" w:rsidR="00BC5219" w:rsidRPr="008A2B8F" w:rsidRDefault="00BC5219" w:rsidP="00E83802">
            <w:pPr>
              <w:jc w:val="right"/>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7AEC818D"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5E32F595" w14:textId="77777777" w:rsidR="00BC5219" w:rsidRPr="008A2B8F" w:rsidRDefault="00BC5219" w:rsidP="00E83802">
            <w:pPr>
              <w:jc w:val="right"/>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64043C9A"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565E3408" w14:textId="77777777" w:rsidTr="00E83802">
        <w:trPr>
          <w:trHeight w:val="198"/>
        </w:trPr>
        <w:tc>
          <w:tcPr>
            <w:tcW w:w="5160" w:type="dxa"/>
            <w:gridSpan w:val="2"/>
            <w:tcBorders>
              <w:top w:val="nil"/>
              <w:left w:val="nil"/>
              <w:bottom w:val="nil"/>
              <w:right w:val="nil"/>
            </w:tcBorders>
            <w:shd w:val="clear" w:color="auto" w:fill="auto"/>
            <w:noWrap/>
            <w:vAlign w:val="center"/>
            <w:hideMark/>
          </w:tcPr>
          <w:p w14:paraId="3CE1CDB2" w14:textId="77777777" w:rsidR="00BC5219" w:rsidRPr="008A2B8F" w:rsidRDefault="00BC5219" w:rsidP="00E83802">
            <w:pPr>
              <w:rPr>
                <w:rFonts w:ascii="Meta Pro" w:eastAsia="Times New Roman" w:hAnsi="Meta Pro"/>
                <w:b/>
                <w:bCs/>
                <w:sz w:val="16"/>
                <w:szCs w:val="16"/>
                <w:lang w:eastAsia="en-AU"/>
              </w:rPr>
            </w:pPr>
            <w:r w:rsidRPr="008A2B8F">
              <w:rPr>
                <w:rFonts w:ascii="Meta Pro" w:eastAsia="Times New Roman" w:hAnsi="Meta Pro"/>
                <w:b/>
                <w:bCs/>
                <w:sz w:val="16"/>
                <w:szCs w:val="16"/>
                <w:lang w:eastAsia="en-AU"/>
              </w:rPr>
              <w:t>Liabilities</w:t>
            </w:r>
          </w:p>
        </w:tc>
        <w:tc>
          <w:tcPr>
            <w:tcW w:w="1418" w:type="dxa"/>
            <w:tcBorders>
              <w:top w:val="nil"/>
              <w:left w:val="nil"/>
              <w:bottom w:val="nil"/>
              <w:right w:val="nil"/>
            </w:tcBorders>
            <w:shd w:val="clear" w:color="auto" w:fill="auto"/>
            <w:noWrap/>
            <w:vAlign w:val="center"/>
            <w:hideMark/>
          </w:tcPr>
          <w:p w14:paraId="3D9CEB59" w14:textId="77777777" w:rsidR="00BC5219" w:rsidRPr="008A2B8F" w:rsidRDefault="00BC5219" w:rsidP="00E83802">
            <w:pPr>
              <w:rPr>
                <w:rFonts w:ascii="Meta Pro" w:eastAsia="Times New Roman" w:hAnsi="Meta Pro"/>
                <w:b/>
                <w:bCs/>
                <w:sz w:val="16"/>
                <w:szCs w:val="16"/>
                <w:lang w:eastAsia="en-AU"/>
              </w:rPr>
            </w:pPr>
          </w:p>
        </w:tc>
        <w:tc>
          <w:tcPr>
            <w:tcW w:w="199" w:type="dxa"/>
            <w:tcBorders>
              <w:top w:val="nil"/>
              <w:left w:val="nil"/>
              <w:bottom w:val="nil"/>
              <w:right w:val="nil"/>
            </w:tcBorders>
            <w:shd w:val="clear" w:color="auto" w:fill="auto"/>
            <w:noWrap/>
            <w:vAlign w:val="center"/>
            <w:hideMark/>
          </w:tcPr>
          <w:p w14:paraId="47FD8C53" w14:textId="77777777" w:rsidR="00BC5219" w:rsidRPr="008A2B8F" w:rsidRDefault="00BC5219" w:rsidP="00E83802">
            <w:pPr>
              <w:jc w:val="right"/>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noWrap/>
            <w:vAlign w:val="center"/>
            <w:hideMark/>
          </w:tcPr>
          <w:p w14:paraId="64FD2192"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5DFDBA93" w14:textId="77777777" w:rsidR="00BC5219" w:rsidRPr="008A2B8F" w:rsidRDefault="00BC5219" w:rsidP="00E83802">
            <w:pPr>
              <w:jc w:val="right"/>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69EB7FC1"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0A90ED9A" w14:textId="77777777" w:rsidR="00BC5219" w:rsidRPr="008A2B8F" w:rsidRDefault="00BC5219" w:rsidP="00E83802">
            <w:pPr>
              <w:jc w:val="right"/>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74F7E24B"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64B13DAC" w14:textId="77777777" w:rsidR="00BC5219" w:rsidRPr="008A2B8F" w:rsidRDefault="00BC5219" w:rsidP="00E83802">
            <w:pPr>
              <w:jc w:val="right"/>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7E97D502"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21D3B2A7" w14:textId="77777777" w:rsidR="00BC5219" w:rsidRPr="008A2B8F" w:rsidRDefault="00BC5219" w:rsidP="00E83802">
            <w:pPr>
              <w:jc w:val="right"/>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noWrap/>
            <w:vAlign w:val="center"/>
            <w:hideMark/>
          </w:tcPr>
          <w:p w14:paraId="51796D22"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3A5CA198" w14:textId="77777777" w:rsidR="00BC5219" w:rsidRPr="008A2B8F" w:rsidRDefault="00BC5219" w:rsidP="00E83802">
            <w:pPr>
              <w:jc w:val="right"/>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0EB021CF"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160DB0A8" w14:textId="77777777" w:rsidR="00BC5219" w:rsidRPr="008A2B8F" w:rsidRDefault="00BC5219" w:rsidP="00E83802">
            <w:pPr>
              <w:jc w:val="right"/>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263EE830"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413DF79F" w14:textId="77777777" w:rsidTr="00E83802">
        <w:trPr>
          <w:trHeight w:val="198"/>
        </w:trPr>
        <w:tc>
          <w:tcPr>
            <w:tcW w:w="5160" w:type="dxa"/>
            <w:gridSpan w:val="2"/>
            <w:tcBorders>
              <w:top w:val="nil"/>
              <w:left w:val="nil"/>
              <w:bottom w:val="nil"/>
              <w:right w:val="nil"/>
            </w:tcBorders>
            <w:shd w:val="clear" w:color="auto" w:fill="auto"/>
            <w:noWrap/>
            <w:vAlign w:val="center"/>
            <w:hideMark/>
          </w:tcPr>
          <w:p w14:paraId="76FEF264" w14:textId="77777777" w:rsidR="00BC5219" w:rsidRPr="008A2B8F" w:rsidRDefault="00BC5219" w:rsidP="00E83802">
            <w:pPr>
              <w:rPr>
                <w:rFonts w:ascii="Meta Pro" w:eastAsia="Times New Roman" w:hAnsi="Meta Pro"/>
                <w:b/>
                <w:bCs/>
                <w:sz w:val="16"/>
                <w:szCs w:val="16"/>
                <w:lang w:eastAsia="en-AU"/>
              </w:rPr>
            </w:pPr>
            <w:r w:rsidRPr="008A2B8F">
              <w:rPr>
                <w:rFonts w:ascii="Meta Pro" w:eastAsia="Times New Roman" w:hAnsi="Meta Pro"/>
                <w:b/>
                <w:bCs/>
                <w:sz w:val="16"/>
                <w:szCs w:val="16"/>
                <w:lang w:eastAsia="en-AU"/>
              </w:rPr>
              <w:t>Current liabilities</w:t>
            </w:r>
          </w:p>
        </w:tc>
        <w:tc>
          <w:tcPr>
            <w:tcW w:w="1418" w:type="dxa"/>
            <w:tcBorders>
              <w:top w:val="nil"/>
              <w:left w:val="nil"/>
              <w:bottom w:val="nil"/>
              <w:right w:val="nil"/>
            </w:tcBorders>
            <w:shd w:val="clear" w:color="auto" w:fill="auto"/>
            <w:noWrap/>
            <w:vAlign w:val="center"/>
            <w:hideMark/>
          </w:tcPr>
          <w:p w14:paraId="2DA5DE37" w14:textId="77777777" w:rsidR="00BC5219" w:rsidRPr="008A2B8F" w:rsidRDefault="00BC5219" w:rsidP="00E83802">
            <w:pPr>
              <w:rPr>
                <w:rFonts w:ascii="Meta Pro" w:eastAsia="Times New Roman" w:hAnsi="Meta Pro"/>
                <w:b/>
                <w:bCs/>
                <w:sz w:val="16"/>
                <w:szCs w:val="16"/>
                <w:lang w:eastAsia="en-AU"/>
              </w:rPr>
            </w:pPr>
          </w:p>
        </w:tc>
        <w:tc>
          <w:tcPr>
            <w:tcW w:w="199" w:type="dxa"/>
            <w:tcBorders>
              <w:top w:val="nil"/>
              <w:left w:val="nil"/>
              <w:bottom w:val="nil"/>
              <w:right w:val="nil"/>
            </w:tcBorders>
            <w:shd w:val="clear" w:color="auto" w:fill="auto"/>
            <w:noWrap/>
            <w:vAlign w:val="center"/>
            <w:hideMark/>
          </w:tcPr>
          <w:p w14:paraId="4F4AAF6F" w14:textId="77777777" w:rsidR="00BC5219" w:rsidRPr="008A2B8F" w:rsidRDefault="00BC5219" w:rsidP="00E83802">
            <w:pPr>
              <w:jc w:val="right"/>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noWrap/>
            <w:vAlign w:val="center"/>
            <w:hideMark/>
          </w:tcPr>
          <w:p w14:paraId="7F390BCA"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4A8635C0" w14:textId="77777777" w:rsidR="00BC5219" w:rsidRPr="008A2B8F" w:rsidRDefault="00BC5219" w:rsidP="00E83802">
            <w:pPr>
              <w:jc w:val="right"/>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19C8D9D9"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495A1E2B" w14:textId="77777777" w:rsidR="00BC5219" w:rsidRPr="008A2B8F" w:rsidRDefault="00BC5219" w:rsidP="00E83802">
            <w:pPr>
              <w:jc w:val="right"/>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21442446"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4E30644D" w14:textId="77777777" w:rsidR="00BC5219" w:rsidRPr="008A2B8F" w:rsidRDefault="00BC5219" w:rsidP="00E83802">
            <w:pPr>
              <w:jc w:val="right"/>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3184B3C4"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4AF13F38" w14:textId="77777777" w:rsidR="00BC5219" w:rsidRPr="008A2B8F" w:rsidRDefault="00BC5219" w:rsidP="00E83802">
            <w:pPr>
              <w:jc w:val="right"/>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noWrap/>
            <w:vAlign w:val="center"/>
            <w:hideMark/>
          </w:tcPr>
          <w:p w14:paraId="24131918"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0BB667B7" w14:textId="77777777" w:rsidR="00BC5219" w:rsidRPr="008A2B8F" w:rsidRDefault="00BC5219" w:rsidP="00E83802">
            <w:pPr>
              <w:jc w:val="right"/>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6FB5A195"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2604C39F" w14:textId="77777777" w:rsidR="00BC5219" w:rsidRPr="008A2B8F" w:rsidRDefault="00BC5219" w:rsidP="00E83802">
            <w:pPr>
              <w:jc w:val="right"/>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1FD17338"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6418F5DF" w14:textId="77777777" w:rsidTr="00E83802">
        <w:trPr>
          <w:trHeight w:val="198"/>
        </w:trPr>
        <w:tc>
          <w:tcPr>
            <w:tcW w:w="454" w:type="dxa"/>
            <w:tcBorders>
              <w:top w:val="nil"/>
              <w:left w:val="nil"/>
              <w:bottom w:val="nil"/>
              <w:right w:val="nil"/>
            </w:tcBorders>
            <w:shd w:val="clear" w:color="auto" w:fill="auto"/>
            <w:noWrap/>
            <w:vAlign w:val="center"/>
            <w:hideMark/>
          </w:tcPr>
          <w:p w14:paraId="01516528" w14:textId="77777777" w:rsidR="00BC5219" w:rsidRPr="008A2B8F" w:rsidRDefault="00BC5219" w:rsidP="00E83802">
            <w:pPr>
              <w:jc w:val="right"/>
              <w:rPr>
                <w:rFonts w:ascii="Meta Pro" w:eastAsia="Times New Roman" w:hAnsi="Meta Pro" w:cs="Times New Roman"/>
                <w:sz w:val="20"/>
                <w:szCs w:val="20"/>
                <w:lang w:eastAsia="en-AU"/>
              </w:rPr>
            </w:pPr>
          </w:p>
        </w:tc>
        <w:tc>
          <w:tcPr>
            <w:tcW w:w="5160" w:type="dxa"/>
            <w:tcBorders>
              <w:top w:val="nil"/>
              <w:left w:val="nil"/>
              <w:bottom w:val="nil"/>
              <w:right w:val="nil"/>
            </w:tcBorders>
            <w:shd w:val="clear" w:color="auto" w:fill="auto"/>
            <w:noWrap/>
            <w:vAlign w:val="center"/>
            <w:hideMark/>
          </w:tcPr>
          <w:p w14:paraId="2AA27391"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Payables</w:t>
            </w:r>
          </w:p>
        </w:tc>
        <w:tc>
          <w:tcPr>
            <w:tcW w:w="1418" w:type="dxa"/>
            <w:tcBorders>
              <w:top w:val="nil"/>
              <w:left w:val="nil"/>
              <w:bottom w:val="nil"/>
              <w:right w:val="nil"/>
            </w:tcBorders>
            <w:shd w:val="clear" w:color="auto" w:fill="auto"/>
            <w:noWrap/>
            <w:vAlign w:val="center"/>
            <w:hideMark/>
          </w:tcPr>
          <w:p w14:paraId="353858D2"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7,427 </w:t>
            </w:r>
          </w:p>
        </w:tc>
        <w:tc>
          <w:tcPr>
            <w:tcW w:w="199" w:type="dxa"/>
            <w:tcBorders>
              <w:top w:val="nil"/>
              <w:left w:val="nil"/>
              <w:bottom w:val="nil"/>
              <w:right w:val="nil"/>
            </w:tcBorders>
            <w:shd w:val="clear" w:color="auto" w:fill="auto"/>
            <w:noWrap/>
            <w:vAlign w:val="center"/>
            <w:hideMark/>
          </w:tcPr>
          <w:p w14:paraId="4DB438C8" w14:textId="77777777" w:rsidR="00BC5219" w:rsidRPr="008A2B8F"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auto" w:fill="auto"/>
            <w:noWrap/>
            <w:vAlign w:val="center"/>
            <w:hideMark/>
          </w:tcPr>
          <w:p w14:paraId="15F3339A"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170,233 </w:t>
            </w:r>
          </w:p>
        </w:tc>
        <w:tc>
          <w:tcPr>
            <w:tcW w:w="199" w:type="dxa"/>
            <w:tcBorders>
              <w:top w:val="nil"/>
              <w:left w:val="nil"/>
              <w:bottom w:val="nil"/>
              <w:right w:val="nil"/>
            </w:tcBorders>
            <w:shd w:val="clear" w:color="auto" w:fill="auto"/>
            <w:noWrap/>
            <w:vAlign w:val="center"/>
            <w:hideMark/>
          </w:tcPr>
          <w:p w14:paraId="2E0F5C22"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1E4E5F3E"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39,416 </w:t>
            </w:r>
          </w:p>
        </w:tc>
        <w:tc>
          <w:tcPr>
            <w:tcW w:w="199" w:type="dxa"/>
            <w:tcBorders>
              <w:top w:val="nil"/>
              <w:left w:val="nil"/>
              <w:bottom w:val="nil"/>
              <w:right w:val="nil"/>
            </w:tcBorders>
            <w:shd w:val="clear" w:color="auto" w:fill="auto"/>
            <w:noWrap/>
            <w:vAlign w:val="center"/>
            <w:hideMark/>
          </w:tcPr>
          <w:p w14:paraId="3FA88DAA"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404F78D1"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30,457 </w:t>
            </w:r>
          </w:p>
        </w:tc>
        <w:tc>
          <w:tcPr>
            <w:tcW w:w="199" w:type="dxa"/>
            <w:tcBorders>
              <w:top w:val="nil"/>
              <w:left w:val="nil"/>
              <w:bottom w:val="nil"/>
              <w:right w:val="nil"/>
            </w:tcBorders>
            <w:shd w:val="clear" w:color="auto" w:fill="auto"/>
            <w:noWrap/>
            <w:vAlign w:val="center"/>
            <w:hideMark/>
          </w:tcPr>
          <w:p w14:paraId="43DABD65"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39A0B2DE"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556,330 </w:t>
            </w:r>
          </w:p>
        </w:tc>
        <w:tc>
          <w:tcPr>
            <w:tcW w:w="199" w:type="dxa"/>
            <w:tcBorders>
              <w:top w:val="nil"/>
              <w:left w:val="nil"/>
              <w:bottom w:val="nil"/>
              <w:right w:val="nil"/>
            </w:tcBorders>
            <w:shd w:val="clear" w:color="auto" w:fill="auto"/>
            <w:noWrap/>
            <w:vAlign w:val="center"/>
            <w:hideMark/>
          </w:tcPr>
          <w:p w14:paraId="64FACD0E" w14:textId="77777777" w:rsidR="00BC5219" w:rsidRPr="008A2B8F"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auto" w:fill="auto"/>
            <w:noWrap/>
            <w:vAlign w:val="center"/>
            <w:hideMark/>
          </w:tcPr>
          <w:p w14:paraId="04998D32"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48,747 </w:t>
            </w:r>
          </w:p>
        </w:tc>
        <w:tc>
          <w:tcPr>
            <w:tcW w:w="199" w:type="dxa"/>
            <w:tcBorders>
              <w:top w:val="nil"/>
              <w:left w:val="nil"/>
              <w:bottom w:val="nil"/>
              <w:right w:val="nil"/>
            </w:tcBorders>
            <w:shd w:val="clear" w:color="auto" w:fill="auto"/>
            <w:noWrap/>
            <w:vAlign w:val="center"/>
            <w:hideMark/>
          </w:tcPr>
          <w:p w14:paraId="11CA7B5A"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1FEAEA6A"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(169,373)</w:t>
            </w:r>
          </w:p>
        </w:tc>
        <w:tc>
          <w:tcPr>
            <w:tcW w:w="199" w:type="dxa"/>
            <w:tcBorders>
              <w:top w:val="nil"/>
              <w:left w:val="nil"/>
              <w:bottom w:val="nil"/>
              <w:right w:val="nil"/>
            </w:tcBorders>
            <w:shd w:val="clear" w:color="auto" w:fill="auto"/>
            <w:noWrap/>
            <w:vAlign w:val="center"/>
            <w:hideMark/>
          </w:tcPr>
          <w:p w14:paraId="122F9943"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47174E05"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683,237 </w:t>
            </w:r>
          </w:p>
        </w:tc>
      </w:tr>
      <w:tr w:rsidR="00BC5219" w:rsidRPr="008A2B8F" w14:paraId="0DA0E2B7" w14:textId="77777777" w:rsidTr="00E83802">
        <w:trPr>
          <w:trHeight w:val="198"/>
        </w:trPr>
        <w:tc>
          <w:tcPr>
            <w:tcW w:w="454" w:type="dxa"/>
            <w:tcBorders>
              <w:top w:val="nil"/>
              <w:left w:val="nil"/>
              <w:bottom w:val="nil"/>
              <w:right w:val="nil"/>
            </w:tcBorders>
            <w:shd w:val="clear" w:color="auto" w:fill="auto"/>
            <w:noWrap/>
            <w:vAlign w:val="center"/>
            <w:hideMark/>
          </w:tcPr>
          <w:p w14:paraId="2C9D66F8" w14:textId="77777777" w:rsidR="00BC5219" w:rsidRPr="008A2B8F" w:rsidRDefault="00BC5219" w:rsidP="00E83802">
            <w:pPr>
              <w:jc w:val="right"/>
              <w:rPr>
                <w:rFonts w:ascii="Meta Pro" w:eastAsia="Times New Roman" w:hAnsi="Meta Pro"/>
                <w:b/>
                <w:bCs/>
                <w:sz w:val="16"/>
                <w:szCs w:val="16"/>
                <w:lang w:eastAsia="en-AU"/>
              </w:rPr>
            </w:pPr>
          </w:p>
        </w:tc>
        <w:tc>
          <w:tcPr>
            <w:tcW w:w="5160" w:type="dxa"/>
            <w:tcBorders>
              <w:top w:val="nil"/>
              <w:left w:val="nil"/>
              <w:bottom w:val="nil"/>
              <w:right w:val="nil"/>
            </w:tcBorders>
            <w:shd w:val="clear" w:color="auto" w:fill="auto"/>
            <w:noWrap/>
            <w:vAlign w:val="center"/>
            <w:hideMark/>
          </w:tcPr>
          <w:p w14:paraId="2D8414B5"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Borrowings</w:t>
            </w:r>
          </w:p>
        </w:tc>
        <w:tc>
          <w:tcPr>
            <w:tcW w:w="1418" w:type="dxa"/>
            <w:tcBorders>
              <w:top w:val="nil"/>
              <w:left w:val="nil"/>
              <w:bottom w:val="nil"/>
              <w:right w:val="nil"/>
            </w:tcBorders>
            <w:shd w:val="clear" w:color="auto" w:fill="auto"/>
            <w:noWrap/>
            <w:vAlign w:val="center"/>
            <w:hideMark/>
          </w:tcPr>
          <w:p w14:paraId="3F1B2AB6"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1042627C" w14:textId="77777777" w:rsidR="00BC5219" w:rsidRPr="008A2B8F"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auto" w:fill="auto"/>
            <w:noWrap/>
            <w:vAlign w:val="center"/>
            <w:hideMark/>
          </w:tcPr>
          <w:p w14:paraId="5DC8E4C5"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10,229 </w:t>
            </w:r>
          </w:p>
        </w:tc>
        <w:tc>
          <w:tcPr>
            <w:tcW w:w="199" w:type="dxa"/>
            <w:tcBorders>
              <w:top w:val="nil"/>
              <w:left w:val="nil"/>
              <w:bottom w:val="nil"/>
              <w:right w:val="nil"/>
            </w:tcBorders>
            <w:shd w:val="clear" w:color="auto" w:fill="auto"/>
            <w:noWrap/>
            <w:vAlign w:val="center"/>
            <w:hideMark/>
          </w:tcPr>
          <w:p w14:paraId="7EFD3C78"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5405BECE"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7B75BE5F"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6F154509"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1E06544C"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73DC9BFB"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30,047 </w:t>
            </w:r>
          </w:p>
        </w:tc>
        <w:tc>
          <w:tcPr>
            <w:tcW w:w="199" w:type="dxa"/>
            <w:tcBorders>
              <w:top w:val="nil"/>
              <w:left w:val="nil"/>
              <w:bottom w:val="nil"/>
              <w:right w:val="nil"/>
            </w:tcBorders>
            <w:shd w:val="clear" w:color="auto" w:fill="auto"/>
            <w:noWrap/>
            <w:vAlign w:val="center"/>
            <w:hideMark/>
          </w:tcPr>
          <w:p w14:paraId="7158EB1C" w14:textId="77777777" w:rsidR="00BC5219" w:rsidRPr="008A2B8F"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auto" w:fill="auto"/>
            <w:noWrap/>
            <w:vAlign w:val="center"/>
            <w:hideMark/>
          </w:tcPr>
          <w:p w14:paraId="7B4085FB"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19,000 </w:t>
            </w:r>
          </w:p>
        </w:tc>
        <w:tc>
          <w:tcPr>
            <w:tcW w:w="199" w:type="dxa"/>
            <w:tcBorders>
              <w:top w:val="nil"/>
              <w:left w:val="nil"/>
              <w:bottom w:val="nil"/>
              <w:right w:val="nil"/>
            </w:tcBorders>
            <w:shd w:val="clear" w:color="auto" w:fill="auto"/>
            <w:noWrap/>
            <w:vAlign w:val="center"/>
            <w:hideMark/>
          </w:tcPr>
          <w:p w14:paraId="7560F547"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23AE91D1"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(19,000)</w:t>
            </w:r>
          </w:p>
        </w:tc>
        <w:tc>
          <w:tcPr>
            <w:tcW w:w="199" w:type="dxa"/>
            <w:tcBorders>
              <w:top w:val="nil"/>
              <w:left w:val="nil"/>
              <w:bottom w:val="nil"/>
              <w:right w:val="nil"/>
            </w:tcBorders>
            <w:shd w:val="clear" w:color="auto" w:fill="auto"/>
            <w:noWrap/>
            <w:vAlign w:val="center"/>
            <w:hideMark/>
          </w:tcPr>
          <w:p w14:paraId="7B1CBD7D"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189E57F4"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40,276 </w:t>
            </w:r>
          </w:p>
        </w:tc>
      </w:tr>
      <w:tr w:rsidR="00BC5219" w:rsidRPr="008A2B8F" w14:paraId="2183E569" w14:textId="77777777" w:rsidTr="00E83802">
        <w:trPr>
          <w:trHeight w:val="198"/>
        </w:trPr>
        <w:tc>
          <w:tcPr>
            <w:tcW w:w="454" w:type="dxa"/>
            <w:tcBorders>
              <w:top w:val="nil"/>
              <w:left w:val="nil"/>
              <w:bottom w:val="nil"/>
              <w:right w:val="nil"/>
            </w:tcBorders>
            <w:shd w:val="clear" w:color="auto" w:fill="auto"/>
            <w:noWrap/>
            <w:vAlign w:val="center"/>
            <w:hideMark/>
          </w:tcPr>
          <w:p w14:paraId="70264D5C" w14:textId="77777777" w:rsidR="00BC5219" w:rsidRPr="008A2B8F" w:rsidRDefault="00BC5219" w:rsidP="00E83802">
            <w:pPr>
              <w:jc w:val="right"/>
              <w:rPr>
                <w:rFonts w:ascii="Meta Pro" w:eastAsia="Times New Roman" w:hAnsi="Meta Pro"/>
                <w:b/>
                <w:bCs/>
                <w:sz w:val="16"/>
                <w:szCs w:val="16"/>
                <w:lang w:eastAsia="en-AU"/>
              </w:rPr>
            </w:pPr>
          </w:p>
        </w:tc>
        <w:tc>
          <w:tcPr>
            <w:tcW w:w="5160" w:type="dxa"/>
            <w:tcBorders>
              <w:top w:val="nil"/>
              <w:left w:val="nil"/>
              <w:bottom w:val="nil"/>
              <w:right w:val="nil"/>
            </w:tcBorders>
            <w:shd w:val="clear" w:color="auto" w:fill="auto"/>
            <w:noWrap/>
            <w:vAlign w:val="center"/>
            <w:hideMark/>
          </w:tcPr>
          <w:p w14:paraId="0872BC2F"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Provisions</w:t>
            </w:r>
          </w:p>
        </w:tc>
        <w:tc>
          <w:tcPr>
            <w:tcW w:w="1418" w:type="dxa"/>
            <w:tcBorders>
              <w:top w:val="nil"/>
              <w:left w:val="nil"/>
              <w:bottom w:val="nil"/>
              <w:right w:val="nil"/>
            </w:tcBorders>
            <w:shd w:val="clear" w:color="auto" w:fill="auto"/>
            <w:noWrap/>
            <w:vAlign w:val="center"/>
            <w:hideMark/>
          </w:tcPr>
          <w:p w14:paraId="34AA10FF"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7B5AC9C5" w14:textId="77777777" w:rsidR="00BC5219" w:rsidRPr="008A2B8F"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auto" w:fill="auto"/>
            <w:noWrap/>
            <w:vAlign w:val="center"/>
            <w:hideMark/>
          </w:tcPr>
          <w:p w14:paraId="64FB812D"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182,203 </w:t>
            </w:r>
          </w:p>
        </w:tc>
        <w:tc>
          <w:tcPr>
            <w:tcW w:w="199" w:type="dxa"/>
            <w:tcBorders>
              <w:top w:val="nil"/>
              <w:left w:val="nil"/>
              <w:bottom w:val="nil"/>
              <w:right w:val="nil"/>
            </w:tcBorders>
            <w:shd w:val="clear" w:color="auto" w:fill="auto"/>
            <w:noWrap/>
            <w:vAlign w:val="center"/>
            <w:hideMark/>
          </w:tcPr>
          <w:p w14:paraId="1F9789DF"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1390E06B"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37FE2963"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2C867D81"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3E897CBB"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3B82D49F"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46,515 </w:t>
            </w:r>
          </w:p>
        </w:tc>
        <w:tc>
          <w:tcPr>
            <w:tcW w:w="199" w:type="dxa"/>
            <w:tcBorders>
              <w:top w:val="nil"/>
              <w:left w:val="nil"/>
              <w:bottom w:val="nil"/>
              <w:right w:val="nil"/>
            </w:tcBorders>
            <w:shd w:val="clear" w:color="auto" w:fill="auto"/>
            <w:noWrap/>
            <w:vAlign w:val="center"/>
            <w:hideMark/>
          </w:tcPr>
          <w:p w14:paraId="2523A491" w14:textId="77777777" w:rsidR="00BC5219" w:rsidRPr="008A2B8F"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auto" w:fill="auto"/>
            <w:noWrap/>
            <w:vAlign w:val="center"/>
            <w:hideMark/>
          </w:tcPr>
          <w:p w14:paraId="636D091E"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6903B7CF"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4EAF8053"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3DDAE138"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10FEFEDC"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228,718 </w:t>
            </w:r>
          </w:p>
        </w:tc>
      </w:tr>
      <w:tr w:rsidR="00BC5219" w:rsidRPr="008A2B8F" w14:paraId="66D77119" w14:textId="77777777" w:rsidTr="00E83802">
        <w:trPr>
          <w:trHeight w:val="198"/>
        </w:trPr>
        <w:tc>
          <w:tcPr>
            <w:tcW w:w="454" w:type="dxa"/>
            <w:tcBorders>
              <w:top w:val="nil"/>
              <w:left w:val="nil"/>
              <w:bottom w:val="nil"/>
              <w:right w:val="nil"/>
            </w:tcBorders>
            <w:shd w:val="clear" w:color="auto" w:fill="auto"/>
            <w:noWrap/>
            <w:vAlign w:val="center"/>
            <w:hideMark/>
          </w:tcPr>
          <w:p w14:paraId="5C04BC6B" w14:textId="77777777" w:rsidR="00BC5219" w:rsidRPr="008A2B8F" w:rsidRDefault="00BC5219" w:rsidP="00E83802">
            <w:pPr>
              <w:jc w:val="right"/>
              <w:rPr>
                <w:rFonts w:ascii="Meta Pro" w:eastAsia="Times New Roman" w:hAnsi="Meta Pro"/>
                <w:b/>
                <w:bCs/>
                <w:sz w:val="16"/>
                <w:szCs w:val="16"/>
                <w:lang w:eastAsia="en-AU"/>
              </w:rPr>
            </w:pPr>
          </w:p>
        </w:tc>
        <w:tc>
          <w:tcPr>
            <w:tcW w:w="5160" w:type="dxa"/>
            <w:tcBorders>
              <w:top w:val="nil"/>
              <w:left w:val="nil"/>
              <w:bottom w:val="nil"/>
              <w:right w:val="nil"/>
            </w:tcBorders>
            <w:shd w:val="clear" w:color="auto" w:fill="auto"/>
            <w:noWrap/>
            <w:vAlign w:val="center"/>
            <w:hideMark/>
          </w:tcPr>
          <w:p w14:paraId="3CBD3574"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Accrued employee benefits</w:t>
            </w:r>
          </w:p>
        </w:tc>
        <w:tc>
          <w:tcPr>
            <w:tcW w:w="1418" w:type="dxa"/>
            <w:tcBorders>
              <w:top w:val="nil"/>
              <w:left w:val="nil"/>
              <w:bottom w:val="nil"/>
              <w:right w:val="nil"/>
            </w:tcBorders>
            <w:shd w:val="clear" w:color="auto" w:fill="auto"/>
            <w:noWrap/>
            <w:vAlign w:val="center"/>
            <w:hideMark/>
          </w:tcPr>
          <w:p w14:paraId="41B88226"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3,013 </w:t>
            </w:r>
          </w:p>
        </w:tc>
        <w:tc>
          <w:tcPr>
            <w:tcW w:w="199" w:type="dxa"/>
            <w:tcBorders>
              <w:top w:val="nil"/>
              <w:left w:val="nil"/>
              <w:bottom w:val="nil"/>
              <w:right w:val="nil"/>
            </w:tcBorders>
            <w:shd w:val="clear" w:color="auto" w:fill="auto"/>
            <w:noWrap/>
            <w:vAlign w:val="center"/>
            <w:hideMark/>
          </w:tcPr>
          <w:p w14:paraId="5E65D1EE" w14:textId="77777777" w:rsidR="00BC5219" w:rsidRPr="008A2B8F"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auto" w:fill="auto"/>
            <w:noWrap/>
            <w:vAlign w:val="center"/>
            <w:hideMark/>
          </w:tcPr>
          <w:p w14:paraId="03338768"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7,878 </w:t>
            </w:r>
          </w:p>
        </w:tc>
        <w:tc>
          <w:tcPr>
            <w:tcW w:w="199" w:type="dxa"/>
            <w:tcBorders>
              <w:top w:val="nil"/>
              <w:left w:val="nil"/>
              <w:bottom w:val="nil"/>
              <w:right w:val="nil"/>
            </w:tcBorders>
            <w:shd w:val="clear" w:color="auto" w:fill="auto"/>
            <w:noWrap/>
            <w:vAlign w:val="center"/>
            <w:hideMark/>
          </w:tcPr>
          <w:p w14:paraId="6ADE627E"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70756114"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3,497 </w:t>
            </w:r>
          </w:p>
        </w:tc>
        <w:tc>
          <w:tcPr>
            <w:tcW w:w="199" w:type="dxa"/>
            <w:tcBorders>
              <w:top w:val="nil"/>
              <w:left w:val="nil"/>
              <w:bottom w:val="nil"/>
              <w:right w:val="nil"/>
            </w:tcBorders>
            <w:shd w:val="clear" w:color="auto" w:fill="auto"/>
            <w:noWrap/>
            <w:vAlign w:val="center"/>
            <w:hideMark/>
          </w:tcPr>
          <w:p w14:paraId="621A1CFF"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1ED74FA9"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7,702 </w:t>
            </w:r>
          </w:p>
        </w:tc>
        <w:tc>
          <w:tcPr>
            <w:tcW w:w="199" w:type="dxa"/>
            <w:tcBorders>
              <w:top w:val="nil"/>
              <w:left w:val="nil"/>
              <w:bottom w:val="nil"/>
              <w:right w:val="nil"/>
            </w:tcBorders>
            <w:shd w:val="clear" w:color="auto" w:fill="auto"/>
            <w:noWrap/>
            <w:vAlign w:val="center"/>
            <w:hideMark/>
          </w:tcPr>
          <w:p w14:paraId="4517C4E2"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3BE8FEAC"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4,170 </w:t>
            </w:r>
          </w:p>
        </w:tc>
        <w:tc>
          <w:tcPr>
            <w:tcW w:w="199" w:type="dxa"/>
            <w:tcBorders>
              <w:top w:val="nil"/>
              <w:left w:val="nil"/>
              <w:bottom w:val="nil"/>
              <w:right w:val="nil"/>
            </w:tcBorders>
            <w:shd w:val="clear" w:color="auto" w:fill="auto"/>
            <w:noWrap/>
            <w:vAlign w:val="center"/>
            <w:hideMark/>
          </w:tcPr>
          <w:p w14:paraId="747EEDE3" w14:textId="77777777" w:rsidR="00BC5219" w:rsidRPr="008A2B8F"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auto" w:fill="auto"/>
            <w:noWrap/>
            <w:vAlign w:val="center"/>
            <w:hideMark/>
          </w:tcPr>
          <w:p w14:paraId="447922C3"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5,599 </w:t>
            </w:r>
          </w:p>
        </w:tc>
        <w:tc>
          <w:tcPr>
            <w:tcW w:w="199" w:type="dxa"/>
            <w:tcBorders>
              <w:top w:val="nil"/>
              <w:left w:val="nil"/>
              <w:bottom w:val="nil"/>
              <w:right w:val="nil"/>
            </w:tcBorders>
            <w:shd w:val="clear" w:color="auto" w:fill="auto"/>
            <w:noWrap/>
            <w:vAlign w:val="center"/>
            <w:hideMark/>
          </w:tcPr>
          <w:p w14:paraId="76377212"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48201792"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12351FC6"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1B109957"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31,859 </w:t>
            </w:r>
          </w:p>
        </w:tc>
      </w:tr>
      <w:tr w:rsidR="00BC5219" w:rsidRPr="008A2B8F" w14:paraId="34CFEE23" w14:textId="77777777" w:rsidTr="00E83802">
        <w:trPr>
          <w:trHeight w:val="198"/>
        </w:trPr>
        <w:tc>
          <w:tcPr>
            <w:tcW w:w="454" w:type="dxa"/>
            <w:tcBorders>
              <w:top w:val="nil"/>
              <w:left w:val="nil"/>
              <w:bottom w:val="nil"/>
              <w:right w:val="nil"/>
            </w:tcBorders>
            <w:shd w:val="clear" w:color="auto" w:fill="auto"/>
            <w:noWrap/>
            <w:vAlign w:val="center"/>
            <w:hideMark/>
          </w:tcPr>
          <w:p w14:paraId="721ACBC2" w14:textId="77777777" w:rsidR="00BC5219" w:rsidRPr="008A2B8F" w:rsidRDefault="00BC5219" w:rsidP="00E83802">
            <w:pPr>
              <w:jc w:val="right"/>
              <w:rPr>
                <w:rFonts w:ascii="Meta Pro" w:eastAsia="Times New Roman" w:hAnsi="Meta Pro"/>
                <w:b/>
                <w:bCs/>
                <w:sz w:val="16"/>
                <w:szCs w:val="16"/>
                <w:lang w:eastAsia="en-AU"/>
              </w:rPr>
            </w:pPr>
          </w:p>
        </w:tc>
        <w:tc>
          <w:tcPr>
            <w:tcW w:w="5160" w:type="dxa"/>
            <w:tcBorders>
              <w:top w:val="nil"/>
              <w:left w:val="nil"/>
              <w:bottom w:val="nil"/>
              <w:right w:val="nil"/>
            </w:tcBorders>
            <w:shd w:val="clear" w:color="auto" w:fill="auto"/>
            <w:noWrap/>
            <w:vAlign w:val="center"/>
            <w:hideMark/>
          </w:tcPr>
          <w:p w14:paraId="0907BF1A"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 xml:space="preserve">Unearned revenue – service concession arrangements </w:t>
            </w:r>
          </w:p>
        </w:tc>
        <w:tc>
          <w:tcPr>
            <w:tcW w:w="1418" w:type="dxa"/>
            <w:tcBorders>
              <w:top w:val="nil"/>
              <w:left w:val="nil"/>
              <w:bottom w:val="nil"/>
              <w:right w:val="nil"/>
            </w:tcBorders>
            <w:shd w:val="clear" w:color="auto" w:fill="auto"/>
            <w:noWrap/>
            <w:vAlign w:val="center"/>
            <w:hideMark/>
          </w:tcPr>
          <w:p w14:paraId="093AF209"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3563EF7A" w14:textId="77777777" w:rsidR="00BC5219" w:rsidRPr="008A2B8F"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auto" w:fill="auto"/>
            <w:noWrap/>
            <w:vAlign w:val="center"/>
            <w:hideMark/>
          </w:tcPr>
          <w:p w14:paraId="55E6FB9A"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223,020 </w:t>
            </w:r>
          </w:p>
        </w:tc>
        <w:tc>
          <w:tcPr>
            <w:tcW w:w="199" w:type="dxa"/>
            <w:tcBorders>
              <w:top w:val="nil"/>
              <w:left w:val="nil"/>
              <w:bottom w:val="nil"/>
              <w:right w:val="nil"/>
            </w:tcBorders>
            <w:shd w:val="clear" w:color="auto" w:fill="auto"/>
            <w:noWrap/>
            <w:vAlign w:val="center"/>
            <w:hideMark/>
          </w:tcPr>
          <w:p w14:paraId="194F2C72"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0D68E1AA"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0BA5FED8"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7A2E4DE7"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5D6F81EA"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19D7D689"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9,160 </w:t>
            </w:r>
          </w:p>
        </w:tc>
        <w:tc>
          <w:tcPr>
            <w:tcW w:w="199" w:type="dxa"/>
            <w:tcBorders>
              <w:top w:val="nil"/>
              <w:left w:val="nil"/>
              <w:bottom w:val="nil"/>
              <w:right w:val="nil"/>
            </w:tcBorders>
            <w:shd w:val="clear" w:color="auto" w:fill="auto"/>
            <w:noWrap/>
            <w:vAlign w:val="center"/>
            <w:hideMark/>
          </w:tcPr>
          <w:p w14:paraId="084E0829" w14:textId="77777777" w:rsidR="00BC5219" w:rsidRPr="008A2B8F"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auto" w:fill="auto"/>
            <w:noWrap/>
            <w:vAlign w:val="center"/>
            <w:hideMark/>
          </w:tcPr>
          <w:p w14:paraId="349BBDD3"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55CE1294"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5DABAA2E"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1DAC8E90"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7FE5FAB5"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232,180 </w:t>
            </w:r>
          </w:p>
        </w:tc>
      </w:tr>
      <w:tr w:rsidR="00BC5219" w:rsidRPr="008A2B8F" w14:paraId="54F9AC9C" w14:textId="77777777" w:rsidTr="00E83802">
        <w:trPr>
          <w:trHeight w:val="198"/>
        </w:trPr>
        <w:tc>
          <w:tcPr>
            <w:tcW w:w="454" w:type="dxa"/>
            <w:tcBorders>
              <w:top w:val="nil"/>
              <w:left w:val="nil"/>
              <w:bottom w:val="nil"/>
              <w:right w:val="nil"/>
            </w:tcBorders>
            <w:shd w:val="clear" w:color="auto" w:fill="auto"/>
            <w:noWrap/>
            <w:vAlign w:val="center"/>
            <w:hideMark/>
          </w:tcPr>
          <w:p w14:paraId="27EF7C46" w14:textId="77777777" w:rsidR="00BC5219" w:rsidRPr="008A2B8F" w:rsidRDefault="00BC5219" w:rsidP="00E83802">
            <w:pPr>
              <w:jc w:val="right"/>
              <w:rPr>
                <w:rFonts w:ascii="Meta Pro" w:eastAsia="Times New Roman" w:hAnsi="Meta Pro"/>
                <w:b/>
                <w:bCs/>
                <w:sz w:val="16"/>
                <w:szCs w:val="16"/>
                <w:lang w:eastAsia="en-AU"/>
              </w:rPr>
            </w:pPr>
          </w:p>
        </w:tc>
        <w:tc>
          <w:tcPr>
            <w:tcW w:w="5160" w:type="dxa"/>
            <w:tcBorders>
              <w:top w:val="nil"/>
              <w:left w:val="nil"/>
              <w:bottom w:val="nil"/>
              <w:right w:val="nil"/>
            </w:tcBorders>
            <w:shd w:val="clear" w:color="auto" w:fill="auto"/>
            <w:noWrap/>
            <w:vAlign w:val="center"/>
            <w:hideMark/>
          </w:tcPr>
          <w:p w14:paraId="297F4ED1"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Lease liabilities</w:t>
            </w:r>
          </w:p>
        </w:tc>
        <w:tc>
          <w:tcPr>
            <w:tcW w:w="1418" w:type="dxa"/>
            <w:tcBorders>
              <w:top w:val="nil"/>
              <w:left w:val="nil"/>
              <w:bottom w:val="nil"/>
              <w:right w:val="nil"/>
            </w:tcBorders>
            <w:shd w:val="clear" w:color="auto" w:fill="auto"/>
            <w:noWrap/>
            <w:vAlign w:val="center"/>
            <w:hideMark/>
          </w:tcPr>
          <w:p w14:paraId="13FF630C" w14:textId="77777777" w:rsidR="00BC5219" w:rsidRPr="008A2B8F" w:rsidRDefault="00BC5219" w:rsidP="00E83802">
            <w:pPr>
              <w:rPr>
                <w:rFonts w:ascii="Meta Pro" w:eastAsia="Times New Roman" w:hAnsi="Meta Pro"/>
                <w:sz w:val="16"/>
                <w:szCs w:val="16"/>
                <w:lang w:eastAsia="en-AU"/>
              </w:rPr>
            </w:pPr>
          </w:p>
        </w:tc>
        <w:tc>
          <w:tcPr>
            <w:tcW w:w="199" w:type="dxa"/>
            <w:tcBorders>
              <w:top w:val="nil"/>
              <w:left w:val="nil"/>
              <w:bottom w:val="nil"/>
              <w:right w:val="nil"/>
            </w:tcBorders>
            <w:shd w:val="clear" w:color="auto" w:fill="auto"/>
            <w:noWrap/>
            <w:vAlign w:val="center"/>
            <w:hideMark/>
          </w:tcPr>
          <w:p w14:paraId="478782E6" w14:textId="77777777" w:rsidR="00BC5219" w:rsidRPr="008A2B8F" w:rsidRDefault="00BC5219" w:rsidP="00E83802">
            <w:pPr>
              <w:jc w:val="right"/>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noWrap/>
            <w:vAlign w:val="center"/>
            <w:hideMark/>
          </w:tcPr>
          <w:p w14:paraId="34B58C98"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33DF714C" w14:textId="77777777" w:rsidR="00BC5219" w:rsidRPr="008A2B8F" w:rsidRDefault="00BC5219" w:rsidP="00E83802">
            <w:pPr>
              <w:jc w:val="right"/>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1E0A2E6D"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07A3DFD2" w14:textId="77777777" w:rsidR="00BC5219" w:rsidRPr="008A2B8F" w:rsidRDefault="00BC5219" w:rsidP="00E83802">
            <w:pPr>
              <w:jc w:val="right"/>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34CE350F"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65D65C02" w14:textId="77777777" w:rsidR="00BC5219" w:rsidRPr="008A2B8F" w:rsidRDefault="00BC5219" w:rsidP="00E83802">
            <w:pPr>
              <w:jc w:val="right"/>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6B94B794"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96 </w:t>
            </w:r>
          </w:p>
        </w:tc>
        <w:tc>
          <w:tcPr>
            <w:tcW w:w="199" w:type="dxa"/>
            <w:tcBorders>
              <w:top w:val="nil"/>
              <w:left w:val="nil"/>
              <w:bottom w:val="nil"/>
              <w:right w:val="nil"/>
            </w:tcBorders>
            <w:shd w:val="clear" w:color="auto" w:fill="auto"/>
            <w:noWrap/>
            <w:vAlign w:val="center"/>
            <w:hideMark/>
          </w:tcPr>
          <w:p w14:paraId="43539676" w14:textId="77777777" w:rsidR="00BC5219" w:rsidRPr="008A2B8F"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auto" w:fill="auto"/>
            <w:noWrap/>
            <w:vAlign w:val="center"/>
            <w:hideMark/>
          </w:tcPr>
          <w:p w14:paraId="78C003B5"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795B2498"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3897E683"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3672FCD8"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745AA85B"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96 </w:t>
            </w:r>
          </w:p>
        </w:tc>
      </w:tr>
      <w:tr w:rsidR="00BC5219" w:rsidRPr="008A2B8F" w14:paraId="3C1CCE4F" w14:textId="77777777" w:rsidTr="00E83802">
        <w:trPr>
          <w:trHeight w:val="198"/>
        </w:trPr>
        <w:tc>
          <w:tcPr>
            <w:tcW w:w="454" w:type="dxa"/>
            <w:tcBorders>
              <w:top w:val="nil"/>
              <w:left w:val="nil"/>
              <w:bottom w:val="single" w:sz="4" w:space="0" w:color="auto"/>
              <w:right w:val="nil"/>
            </w:tcBorders>
            <w:shd w:val="clear" w:color="auto" w:fill="auto"/>
            <w:noWrap/>
            <w:vAlign w:val="center"/>
            <w:hideMark/>
          </w:tcPr>
          <w:p w14:paraId="095FB8C3"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5160" w:type="dxa"/>
            <w:tcBorders>
              <w:top w:val="nil"/>
              <w:left w:val="nil"/>
              <w:bottom w:val="single" w:sz="4" w:space="0" w:color="auto"/>
              <w:right w:val="nil"/>
            </w:tcBorders>
            <w:shd w:val="clear" w:color="auto" w:fill="auto"/>
            <w:noWrap/>
            <w:vAlign w:val="center"/>
            <w:hideMark/>
          </w:tcPr>
          <w:p w14:paraId="383FCD62"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 xml:space="preserve">Other </w:t>
            </w:r>
          </w:p>
        </w:tc>
        <w:tc>
          <w:tcPr>
            <w:tcW w:w="1418" w:type="dxa"/>
            <w:tcBorders>
              <w:top w:val="nil"/>
              <w:left w:val="nil"/>
              <w:bottom w:val="single" w:sz="4" w:space="0" w:color="auto"/>
              <w:right w:val="nil"/>
            </w:tcBorders>
            <w:shd w:val="clear" w:color="auto" w:fill="auto"/>
            <w:noWrap/>
            <w:vAlign w:val="center"/>
            <w:hideMark/>
          </w:tcPr>
          <w:p w14:paraId="02B6F974"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51,344 </w:t>
            </w:r>
          </w:p>
        </w:tc>
        <w:tc>
          <w:tcPr>
            <w:tcW w:w="199" w:type="dxa"/>
            <w:tcBorders>
              <w:top w:val="nil"/>
              <w:left w:val="nil"/>
              <w:bottom w:val="nil"/>
              <w:right w:val="nil"/>
            </w:tcBorders>
            <w:shd w:val="clear" w:color="auto" w:fill="auto"/>
            <w:noWrap/>
            <w:vAlign w:val="center"/>
            <w:hideMark/>
          </w:tcPr>
          <w:p w14:paraId="408C8A3E" w14:textId="77777777" w:rsidR="00BC5219" w:rsidRPr="008A2B8F" w:rsidRDefault="00BC5219" w:rsidP="00E83802">
            <w:pPr>
              <w:jc w:val="right"/>
              <w:rPr>
                <w:rFonts w:ascii="Meta Pro" w:eastAsia="Times New Roman" w:hAnsi="Meta Pro"/>
                <w:sz w:val="16"/>
                <w:szCs w:val="16"/>
                <w:lang w:eastAsia="en-AU"/>
              </w:rPr>
            </w:pPr>
          </w:p>
        </w:tc>
        <w:tc>
          <w:tcPr>
            <w:tcW w:w="1418" w:type="dxa"/>
            <w:tcBorders>
              <w:top w:val="nil"/>
              <w:left w:val="nil"/>
              <w:bottom w:val="single" w:sz="4" w:space="0" w:color="auto"/>
              <w:right w:val="nil"/>
            </w:tcBorders>
            <w:shd w:val="clear" w:color="auto" w:fill="auto"/>
            <w:noWrap/>
            <w:vAlign w:val="center"/>
            <w:hideMark/>
          </w:tcPr>
          <w:p w14:paraId="6AA041B8"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86,377 </w:t>
            </w:r>
          </w:p>
        </w:tc>
        <w:tc>
          <w:tcPr>
            <w:tcW w:w="199" w:type="dxa"/>
            <w:tcBorders>
              <w:top w:val="nil"/>
              <w:left w:val="nil"/>
              <w:bottom w:val="nil"/>
              <w:right w:val="nil"/>
            </w:tcBorders>
            <w:shd w:val="clear" w:color="auto" w:fill="auto"/>
            <w:noWrap/>
            <w:vAlign w:val="center"/>
            <w:hideMark/>
          </w:tcPr>
          <w:p w14:paraId="21060E7B"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single" w:sz="4" w:space="0" w:color="auto"/>
              <w:right w:val="nil"/>
            </w:tcBorders>
            <w:shd w:val="clear" w:color="auto" w:fill="auto"/>
            <w:noWrap/>
            <w:vAlign w:val="center"/>
            <w:hideMark/>
          </w:tcPr>
          <w:p w14:paraId="006647F9"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1,227 </w:t>
            </w:r>
          </w:p>
        </w:tc>
        <w:tc>
          <w:tcPr>
            <w:tcW w:w="199" w:type="dxa"/>
            <w:tcBorders>
              <w:top w:val="nil"/>
              <w:left w:val="nil"/>
              <w:bottom w:val="nil"/>
              <w:right w:val="nil"/>
            </w:tcBorders>
            <w:shd w:val="clear" w:color="auto" w:fill="auto"/>
            <w:noWrap/>
            <w:vAlign w:val="center"/>
            <w:hideMark/>
          </w:tcPr>
          <w:p w14:paraId="6EE3D347"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single" w:sz="4" w:space="0" w:color="auto"/>
              <w:right w:val="nil"/>
            </w:tcBorders>
            <w:shd w:val="clear" w:color="auto" w:fill="auto"/>
            <w:noWrap/>
            <w:vAlign w:val="center"/>
            <w:hideMark/>
          </w:tcPr>
          <w:p w14:paraId="352D30FF"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21BD8593"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single" w:sz="4" w:space="0" w:color="auto"/>
              <w:right w:val="nil"/>
            </w:tcBorders>
            <w:shd w:val="clear" w:color="auto" w:fill="auto"/>
            <w:noWrap/>
            <w:vAlign w:val="center"/>
            <w:hideMark/>
          </w:tcPr>
          <w:p w14:paraId="7EBA1132"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95,246 </w:t>
            </w:r>
          </w:p>
        </w:tc>
        <w:tc>
          <w:tcPr>
            <w:tcW w:w="199" w:type="dxa"/>
            <w:tcBorders>
              <w:top w:val="nil"/>
              <w:left w:val="nil"/>
              <w:bottom w:val="nil"/>
              <w:right w:val="nil"/>
            </w:tcBorders>
            <w:shd w:val="clear" w:color="auto" w:fill="auto"/>
            <w:noWrap/>
            <w:vAlign w:val="center"/>
            <w:hideMark/>
          </w:tcPr>
          <w:p w14:paraId="43329F3A" w14:textId="77777777" w:rsidR="00BC5219" w:rsidRPr="008A2B8F" w:rsidRDefault="00BC5219" w:rsidP="00E83802">
            <w:pPr>
              <w:jc w:val="right"/>
              <w:rPr>
                <w:rFonts w:ascii="Meta Pro" w:eastAsia="Times New Roman" w:hAnsi="Meta Pro"/>
                <w:sz w:val="16"/>
                <w:szCs w:val="16"/>
                <w:lang w:eastAsia="en-AU"/>
              </w:rPr>
            </w:pPr>
          </w:p>
        </w:tc>
        <w:tc>
          <w:tcPr>
            <w:tcW w:w="1418" w:type="dxa"/>
            <w:tcBorders>
              <w:top w:val="nil"/>
              <w:left w:val="nil"/>
              <w:bottom w:val="single" w:sz="4" w:space="0" w:color="auto"/>
              <w:right w:val="nil"/>
            </w:tcBorders>
            <w:shd w:val="clear" w:color="auto" w:fill="auto"/>
            <w:noWrap/>
            <w:vAlign w:val="center"/>
            <w:hideMark/>
          </w:tcPr>
          <w:p w14:paraId="08135BDA"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69B75D42"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single" w:sz="4" w:space="0" w:color="auto"/>
              <w:right w:val="nil"/>
            </w:tcBorders>
            <w:shd w:val="clear" w:color="auto" w:fill="auto"/>
            <w:noWrap/>
            <w:vAlign w:val="center"/>
            <w:hideMark/>
          </w:tcPr>
          <w:p w14:paraId="3A81AD7B"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1BE90EDE"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56EC238D"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234,194 </w:t>
            </w:r>
          </w:p>
        </w:tc>
      </w:tr>
      <w:tr w:rsidR="00BC5219" w:rsidRPr="008A2B8F" w14:paraId="02B6C873" w14:textId="77777777" w:rsidTr="00E83802">
        <w:trPr>
          <w:trHeight w:val="198"/>
        </w:trPr>
        <w:tc>
          <w:tcPr>
            <w:tcW w:w="454" w:type="dxa"/>
            <w:tcBorders>
              <w:top w:val="nil"/>
              <w:left w:val="nil"/>
              <w:bottom w:val="nil"/>
              <w:right w:val="nil"/>
            </w:tcBorders>
            <w:shd w:val="clear" w:color="auto" w:fill="auto"/>
            <w:noWrap/>
            <w:vAlign w:val="center"/>
            <w:hideMark/>
          </w:tcPr>
          <w:p w14:paraId="382390BB" w14:textId="77777777" w:rsidR="00BC5219" w:rsidRPr="008A2B8F" w:rsidRDefault="00BC5219" w:rsidP="00E83802">
            <w:pPr>
              <w:jc w:val="right"/>
              <w:rPr>
                <w:rFonts w:ascii="Meta Pro" w:eastAsia="Times New Roman" w:hAnsi="Meta Pro"/>
                <w:b/>
                <w:bCs/>
                <w:sz w:val="16"/>
                <w:szCs w:val="16"/>
                <w:lang w:eastAsia="en-AU"/>
              </w:rPr>
            </w:pPr>
          </w:p>
        </w:tc>
        <w:tc>
          <w:tcPr>
            <w:tcW w:w="5160" w:type="dxa"/>
            <w:tcBorders>
              <w:top w:val="nil"/>
              <w:left w:val="nil"/>
              <w:bottom w:val="nil"/>
              <w:right w:val="nil"/>
            </w:tcBorders>
            <w:shd w:val="clear" w:color="auto" w:fill="auto"/>
            <w:noWrap/>
            <w:vAlign w:val="center"/>
            <w:hideMark/>
          </w:tcPr>
          <w:p w14:paraId="47741C37" w14:textId="77777777" w:rsidR="00BC5219" w:rsidRPr="008A2B8F" w:rsidRDefault="00BC5219" w:rsidP="00E83802">
            <w:pPr>
              <w:rPr>
                <w:rFonts w:ascii="Meta Pro" w:eastAsia="Times New Roman" w:hAnsi="Meta Pro"/>
                <w:b/>
                <w:bCs/>
                <w:sz w:val="16"/>
                <w:szCs w:val="16"/>
                <w:lang w:eastAsia="en-AU"/>
              </w:rPr>
            </w:pPr>
            <w:r w:rsidRPr="008A2B8F">
              <w:rPr>
                <w:rFonts w:ascii="Meta Pro" w:eastAsia="Times New Roman" w:hAnsi="Meta Pro"/>
                <w:b/>
                <w:bCs/>
                <w:sz w:val="16"/>
                <w:szCs w:val="16"/>
                <w:lang w:eastAsia="en-AU"/>
              </w:rPr>
              <w:t>Total current liabilities</w:t>
            </w:r>
          </w:p>
        </w:tc>
        <w:tc>
          <w:tcPr>
            <w:tcW w:w="1418" w:type="dxa"/>
            <w:tcBorders>
              <w:top w:val="nil"/>
              <w:left w:val="nil"/>
              <w:bottom w:val="nil"/>
              <w:right w:val="nil"/>
            </w:tcBorders>
            <w:shd w:val="clear" w:color="auto" w:fill="auto"/>
            <w:noWrap/>
            <w:vAlign w:val="center"/>
            <w:hideMark/>
          </w:tcPr>
          <w:p w14:paraId="4C6B525B"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61,784 </w:t>
            </w:r>
          </w:p>
        </w:tc>
        <w:tc>
          <w:tcPr>
            <w:tcW w:w="199" w:type="dxa"/>
            <w:tcBorders>
              <w:top w:val="single" w:sz="4" w:space="0" w:color="auto"/>
              <w:left w:val="nil"/>
              <w:bottom w:val="nil"/>
              <w:right w:val="nil"/>
            </w:tcBorders>
            <w:shd w:val="clear" w:color="auto" w:fill="auto"/>
            <w:noWrap/>
            <w:vAlign w:val="center"/>
            <w:hideMark/>
          </w:tcPr>
          <w:p w14:paraId="4C4347DF"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418" w:type="dxa"/>
            <w:tcBorders>
              <w:top w:val="nil"/>
              <w:left w:val="nil"/>
              <w:bottom w:val="nil"/>
              <w:right w:val="nil"/>
            </w:tcBorders>
            <w:shd w:val="clear" w:color="auto" w:fill="auto"/>
            <w:noWrap/>
            <w:vAlign w:val="center"/>
            <w:hideMark/>
          </w:tcPr>
          <w:p w14:paraId="4C29158B"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679,940 </w:t>
            </w:r>
          </w:p>
        </w:tc>
        <w:tc>
          <w:tcPr>
            <w:tcW w:w="199" w:type="dxa"/>
            <w:tcBorders>
              <w:top w:val="single" w:sz="4" w:space="0" w:color="auto"/>
              <w:left w:val="nil"/>
              <w:bottom w:val="nil"/>
              <w:right w:val="nil"/>
            </w:tcBorders>
            <w:shd w:val="clear" w:color="auto" w:fill="auto"/>
            <w:noWrap/>
            <w:vAlign w:val="center"/>
            <w:hideMark/>
          </w:tcPr>
          <w:p w14:paraId="5F2C6609"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361" w:type="dxa"/>
            <w:tcBorders>
              <w:top w:val="nil"/>
              <w:left w:val="nil"/>
              <w:bottom w:val="nil"/>
              <w:right w:val="nil"/>
            </w:tcBorders>
            <w:shd w:val="clear" w:color="auto" w:fill="auto"/>
            <w:noWrap/>
            <w:vAlign w:val="center"/>
            <w:hideMark/>
          </w:tcPr>
          <w:p w14:paraId="455360BA"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44,140 </w:t>
            </w:r>
          </w:p>
        </w:tc>
        <w:tc>
          <w:tcPr>
            <w:tcW w:w="199" w:type="dxa"/>
            <w:tcBorders>
              <w:top w:val="single" w:sz="4" w:space="0" w:color="auto"/>
              <w:left w:val="nil"/>
              <w:bottom w:val="nil"/>
              <w:right w:val="nil"/>
            </w:tcBorders>
            <w:shd w:val="clear" w:color="auto" w:fill="auto"/>
            <w:noWrap/>
            <w:vAlign w:val="center"/>
            <w:hideMark/>
          </w:tcPr>
          <w:p w14:paraId="2AB2AA45"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361" w:type="dxa"/>
            <w:tcBorders>
              <w:top w:val="nil"/>
              <w:left w:val="nil"/>
              <w:bottom w:val="nil"/>
              <w:right w:val="nil"/>
            </w:tcBorders>
            <w:shd w:val="clear" w:color="auto" w:fill="auto"/>
            <w:noWrap/>
            <w:vAlign w:val="center"/>
            <w:hideMark/>
          </w:tcPr>
          <w:p w14:paraId="233AE5B8"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38,159 </w:t>
            </w:r>
          </w:p>
        </w:tc>
        <w:tc>
          <w:tcPr>
            <w:tcW w:w="199" w:type="dxa"/>
            <w:tcBorders>
              <w:top w:val="single" w:sz="4" w:space="0" w:color="auto"/>
              <w:left w:val="nil"/>
              <w:bottom w:val="nil"/>
              <w:right w:val="nil"/>
            </w:tcBorders>
            <w:shd w:val="clear" w:color="auto" w:fill="auto"/>
            <w:noWrap/>
            <w:vAlign w:val="center"/>
            <w:hideMark/>
          </w:tcPr>
          <w:p w14:paraId="258B96B7"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361" w:type="dxa"/>
            <w:tcBorders>
              <w:top w:val="nil"/>
              <w:left w:val="nil"/>
              <w:bottom w:val="nil"/>
              <w:right w:val="nil"/>
            </w:tcBorders>
            <w:shd w:val="clear" w:color="auto" w:fill="auto"/>
            <w:noWrap/>
            <w:vAlign w:val="center"/>
            <w:hideMark/>
          </w:tcPr>
          <w:p w14:paraId="7721C045"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741,564 </w:t>
            </w:r>
          </w:p>
        </w:tc>
        <w:tc>
          <w:tcPr>
            <w:tcW w:w="199" w:type="dxa"/>
            <w:tcBorders>
              <w:top w:val="single" w:sz="4" w:space="0" w:color="auto"/>
              <w:left w:val="nil"/>
              <w:bottom w:val="nil"/>
              <w:right w:val="nil"/>
            </w:tcBorders>
            <w:shd w:val="clear" w:color="auto" w:fill="auto"/>
            <w:noWrap/>
            <w:vAlign w:val="center"/>
            <w:hideMark/>
          </w:tcPr>
          <w:p w14:paraId="64DA1671"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418" w:type="dxa"/>
            <w:tcBorders>
              <w:top w:val="nil"/>
              <w:left w:val="nil"/>
              <w:bottom w:val="nil"/>
              <w:right w:val="nil"/>
            </w:tcBorders>
            <w:shd w:val="clear" w:color="auto" w:fill="auto"/>
            <w:noWrap/>
            <w:vAlign w:val="center"/>
            <w:hideMark/>
          </w:tcPr>
          <w:p w14:paraId="1D9BE52A"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73,346 </w:t>
            </w:r>
          </w:p>
        </w:tc>
        <w:tc>
          <w:tcPr>
            <w:tcW w:w="199" w:type="dxa"/>
            <w:tcBorders>
              <w:top w:val="single" w:sz="4" w:space="0" w:color="auto"/>
              <w:left w:val="nil"/>
              <w:bottom w:val="nil"/>
              <w:right w:val="nil"/>
            </w:tcBorders>
            <w:shd w:val="clear" w:color="auto" w:fill="auto"/>
            <w:noWrap/>
            <w:vAlign w:val="center"/>
            <w:hideMark/>
          </w:tcPr>
          <w:p w14:paraId="00B33642"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361" w:type="dxa"/>
            <w:tcBorders>
              <w:top w:val="nil"/>
              <w:left w:val="nil"/>
              <w:bottom w:val="nil"/>
              <w:right w:val="nil"/>
            </w:tcBorders>
            <w:shd w:val="clear" w:color="auto" w:fill="auto"/>
            <w:noWrap/>
            <w:vAlign w:val="center"/>
            <w:hideMark/>
          </w:tcPr>
          <w:p w14:paraId="763525B7"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(188,373)</w:t>
            </w:r>
          </w:p>
        </w:tc>
        <w:tc>
          <w:tcPr>
            <w:tcW w:w="199" w:type="dxa"/>
            <w:tcBorders>
              <w:top w:val="single" w:sz="4" w:space="0" w:color="auto"/>
              <w:left w:val="nil"/>
              <w:bottom w:val="nil"/>
              <w:right w:val="nil"/>
            </w:tcBorders>
            <w:shd w:val="clear" w:color="auto" w:fill="auto"/>
            <w:noWrap/>
            <w:vAlign w:val="center"/>
            <w:hideMark/>
          </w:tcPr>
          <w:p w14:paraId="6FF4CFF8"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361" w:type="dxa"/>
            <w:tcBorders>
              <w:top w:val="single" w:sz="4" w:space="0" w:color="auto"/>
              <w:left w:val="nil"/>
              <w:bottom w:val="nil"/>
              <w:right w:val="nil"/>
            </w:tcBorders>
            <w:shd w:val="clear" w:color="auto" w:fill="auto"/>
            <w:noWrap/>
            <w:vAlign w:val="center"/>
            <w:hideMark/>
          </w:tcPr>
          <w:p w14:paraId="1DDB5774"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1,450,560 </w:t>
            </w:r>
          </w:p>
        </w:tc>
      </w:tr>
      <w:tr w:rsidR="00BC5219" w:rsidRPr="008A2B8F" w14:paraId="7FFCCB3A" w14:textId="77777777" w:rsidTr="00E83802">
        <w:trPr>
          <w:trHeight w:hRule="exact" w:val="142"/>
        </w:trPr>
        <w:tc>
          <w:tcPr>
            <w:tcW w:w="454" w:type="dxa"/>
            <w:tcBorders>
              <w:top w:val="nil"/>
              <w:left w:val="nil"/>
              <w:bottom w:val="nil"/>
              <w:right w:val="nil"/>
            </w:tcBorders>
            <w:shd w:val="clear" w:color="auto" w:fill="auto"/>
            <w:noWrap/>
            <w:vAlign w:val="center"/>
            <w:hideMark/>
          </w:tcPr>
          <w:p w14:paraId="393485F2" w14:textId="77777777" w:rsidR="00BC5219" w:rsidRPr="008A2B8F" w:rsidRDefault="00BC5219" w:rsidP="00E83802">
            <w:pPr>
              <w:jc w:val="right"/>
              <w:rPr>
                <w:rFonts w:ascii="Meta Pro" w:eastAsia="Times New Roman" w:hAnsi="Meta Pro"/>
                <w:b/>
                <w:bCs/>
                <w:sz w:val="16"/>
                <w:szCs w:val="16"/>
                <w:lang w:eastAsia="en-AU"/>
              </w:rPr>
            </w:pPr>
          </w:p>
        </w:tc>
        <w:tc>
          <w:tcPr>
            <w:tcW w:w="5160" w:type="dxa"/>
            <w:tcBorders>
              <w:top w:val="nil"/>
              <w:left w:val="nil"/>
              <w:bottom w:val="nil"/>
              <w:right w:val="nil"/>
            </w:tcBorders>
            <w:shd w:val="clear" w:color="auto" w:fill="auto"/>
            <w:noWrap/>
            <w:vAlign w:val="center"/>
            <w:hideMark/>
          </w:tcPr>
          <w:p w14:paraId="2F03682A" w14:textId="77777777" w:rsidR="00BC5219" w:rsidRPr="008A2B8F" w:rsidRDefault="00BC5219" w:rsidP="00E83802">
            <w:pPr>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noWrap/>
            <w:vAlign w:val="center"/>
            <w:hideMark/>
          </w:tcPr>
          <w:p w14:paraId="30BFD62C" w14:textId="77777777" w:rsidR="00BC5219" w:rsidRPr="008A2B8F" w:rsidRDefault="00BC5219" w:rsidP="00E83802">
            <w:pPr>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4A881154" w14:textId="77777777" w:rsidR="00BC5219" w:rsidRPr="008A2B8F" w:rsidRDefault="00BC5219" w:rsidP="00E83802">
            <w:pPr>
              <w:jc w:val="right"/>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noWrap/>
            <w:vAlign w:val="center"/>
            <w:hideMark/>
          </w:tcPr>
          <w:p w14:paraId="610D97F5"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618B870A" w14:textId="77777777" w:rsidR="00BC5219" w:rsidRPr="008A2B8F" w:rsidRDefault="00BC5219" w:rsidP="00E83802">
            <w:pPr>
              <w:jc w:val="right"/>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40C88032"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66EAD7C7" w14:textId="77777777" w:rsidR="00BC5219" w:rsidRPr="008A2B8F" w:rsidRDefault="00BC5219" w:rsidP="00E83802">
            <w:pPr>
              <w:jc w:val="right"/>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5A64D06C"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689CA4FC" w14:textId="77777777" w:rsidR="00BC5219" w:rsidRPr="008A2B8F" w:rsidRDefault="00BC5219" w:rsidP="00E83802">
            <w:pPr>
              <w:jc w:val="right"/>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5C724B03"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27B48869" w14:textId="77777777" w:rsidR="00BC5219" w:rsidRPr="008A2B8F" w:rsidRDefault="00BC5219" w:rsidP="00E83802">
            <w:pPr>
              <w:jc w:val="right"/>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noWrap/>
            <w:vAlign w:val="center"/>
            <w:hideMark/>
          </w:tcPr>
          <w:p w14:paraId="53E1E136"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1B89AFE2" w14:textId="77777777" w:rsidR="00BC5219" w:rsidRPr="008A2B8F" w:rsidRDefault="00BC5219" w:rsidP="00E83802">
            <w:pPr>
              <w:jc w:val="right"/>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0C2D2DB9"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3C3FC3A9" w14:textId="77777777" w:rsidR="00BC5219" w:rsidRPr="008A2B8F" w:rsidRDefault="00BC5219" w:rsidP="00E83802">
            <w:pPr>
              <w:jc w:val="right"/>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7541FFBC"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406623AF" w14:textId="77777777" w:rsidTr="00E83802">
        <w:trPr>
          <w:trHeight w:val="198"/>
        </w:trPr>
        <w:tc>
          <w:tcPr>
            <w:tcW w:w="5160" w:type="dxa"/>
            <w:gridSpan w:val="2"/>
            <w:tcBorders>
              <w:top w:val="nil"/>
              <w:left w:val="nil"/>
              <w:bottom w:val="nil"/>
              <w:right w:val="nil"/>
            </w:tcBorders>
            <w:shd w:val="clear" w:color="auto" w:fill="auto"/>
            <w:noWrap/>
            <w:vAlign w:val="center"/>
            <w:hideMark/>
          </w:tcPr>
          <w:p w14:paraId="200D5AB2" w14:textId="77777777" w:rsidR="00BC5219" w:rsidRPr="008A2B8F" w:rsidRDefault="00BC5219" w:rsidP="00E83802">
            <w:pPr>
              <w:rPr>
                <w:rFonts w:ascii="Meta Pro" w:eastAsia="Times New Roman" w:hAnsi="Meta Pro"/>
                <w:b/>
                <w:bCs/>
                <w:sz w:val="16"/>
                <w:szCs w:val="16"/>
                <w:lang w:eastAsia="en-AU"/>
              </w:rPr>
            </w:pPr>
            <w:r w:rsidRPr="008A2B8F">
              <w:rPr>
                <w:rFonts w:ascii="Meta Pro" w:eastAsia="Times New Roman" w:hAnsi="Meta Pro"/>
                <w:b/>
                <w:bCs/>
                <w:sz w:val="16"/>
                <w:szCs w:val="16"/>
                <w:lang w:eastAsia="en-AU"/>
              </w:rPr>
              <w:t>Non-current liabilities</w:t>
            </w:r>
          </w:p>
        </w:tc>
        <w:tc>
          <w:tcPr>
            <w:tcW w:w="1418" w:type="dxa"/>
            <w:tcBorders>
              <w:top w:val="nil"/>
              <w:left w:val="nil"/>
              <w:bottom w:val="nil"/>
              <w:right w:val="nil"/>
            </w:tcBorders>
            <w:shd w:val="clear" w:color="auto" w:fill="auto"/>
            <w:noWrap/>
            <w:vAlign w:val="center"/>
            <w:hideMark/>
          </w:tcPr>
          <w:p w14:paraId="3B5D246C" w14:textId="77777777" w:rsidR="00BC5219" w:rsidRPr="008A2B8F" w:rsidRDefault="00BC5219" w:rsidP="00E83802">
            <w:pPr>
              <w:rPr>
                <w:rFonts w:ascii="Meta Pro" w:eastAsia="Times New Roman" w:hAnsi="Meta Pro"/>
                <w:b/>
                <w:bCs/>
                <w:sz w:val="16"/>
                <w:szCs w:val="16"/>
                <w:lang w:eastAsia="en-AU"/>
              </w:rPr>
            </w:pPr>
          </w:p>
        </w:tc>
        <w:tc>
          <w:tcPr>
            <w:tcW w:w="199" w:type="dxa"/>
            <w:tcBorders>
              <w:top w:val="nil"/>
              <w:left w:val="nil"/>
              <w:bottom w:val="nil"/>
              <w:right w:val="nil"/>
            </w:tcBorders>
            <w:shd w:val="clear" w:color="auto" w:fill="auto"/>
            <w:noWrap/>
            <w:vAlign w:val="center"/>
            <w:hideMark/>
          </w:tcPr>
          <w:p w14:paraId="7F4B2131" w14:textId="77777777" w:rsidR="00BC5219" w:rsidRPr="008A2B8F" w:rsidRDefault="00BC5219" w:rsidP="00E83802">
            <w:pPr>
              <w:jc w:val="right"/>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noWrap/>
            <w:vAlign w:val="center"/>
            <w:hideMark/>
          </w:tcPr>
          <w:p w14:paraId="00454C77"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7D9327DA" w14:textId="77777777" w:rsidR="00BC5219" w:rsidRPr="008A2B8F" w:rsidRDefault="00BC5219" w:rsidP="00E83802">
            <w:pPr>
              <w:jc w:val="right"/>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116CC000"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140E6DC9" w14:textId="77777777" w:rsidR="00BC5219" w:rsidRPr="008A2B8F" w:rsidRDefault="00BC5219" w:rsidP="00E83802">
            <w:pPr>
              <w:jc w:val="right"/>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08966AD3"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0D8CD9FA" w14:textId="77777777" w:rsidR="00BC5219" w:rsidRPr="008A2B8F" w:rsidRDefault="00BC5219" w:rsidP="00E83802">
            <w:pPr>
              <w:jc w:val="right"/>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6F92FD92"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7516BB41" w14:textId="77777777" w:rsidR="00BC5219" w:rsidRPr="008A2B8F" w:rsidRDefault="00BC5219" w:rsidP="00E83802">
            <w:pPr>
              <w:jc w:val="right"/>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noWrap/>
            <w:vAlign w:val="center"/>
            <w:hideMark/>
          </w:tcPr>
          <w:p w14:paraId="041A9824"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0B4B435F" w14:textId="77777777" w:rsidR="00BC5219" w:rsidRPr="008A2B8F" w:rsidRDefault="00BC5219" w:rsidP="00E83802">
            <w:pPr>
              <w:jc w:val="right"/>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61644004"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5DF8D59C" w14:textId="77777777" w:rsidR="00BC5219" w:rsidRPr="008A2B8F" w:rsidRDefault="00BC5219" w:rsidP="00E83802">
            <w:pPr>
              <w:jc w:val="right"/>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2E279AB0"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30C4D3FA" w14:textId="77777777" w:rsidTr="00E83802">
        <w:trPr>
          <w:trHeight w:val="198"/>
        </w:trPr>
        <w:tc>
          <w:tcPr>
            <w:tcW w:w="454" w:type="dxa"/>
            <w:tcBorders>
              <w:top w:val="nil"/>
              <w:left w:val="nil"/>
              <w:bottom w:val="nil"/>
              <w:right w:val="nil"/>
            </w:tcBorders>
            <w:shd w:val="clear" w:color="auto" w:fill="auto"/>
            <w:noWrap/>
            <w:vAlign w:val="center"/>
            <w:hideMark/>
          </w:tcPr>
          <w:p w14:paraId="2973D0EF" w14:textId="77777777" w:rsidR="00BC5219" w:rsidRPr="008A2B8F" w:rsidRDefault="00BC5219" w:rsidP="00E83802">
            <w:pPr>
              <w:jc w:val="right"/>
              <w:rPr>
                <w:rFonts w:ascii="Meta Pro" w:eastAsia="Times New Roman" w:hAnsi="Meta Pro" w:cs="Times New Roman"/>
                <w:sz w:val="20"/>
                <w:szCs w:val="20"/>
                <w:lang w:eastAsia="en-AU"/>
              </w:rPr>
            </w:pPr>
          </w:p>
        </w:tc>
        <w:tc>
          <w:tcPr>
            <w:tcW w:w="5160" w:type="dxa"/>
            <w:tcBorders>
              <w:top w:val="nil"/>
              <w:left w:val="nil"/>
              <w:bottom w:val="nil"/>
              <w:right w:val="nil"/>
            </w:tcBorders>
            <w:shd w:val="clear" w:color="auto" w:fill="auto"/>
            <w:noWrap/>
            <w:vAlign w:val="center"/>
            <w:hideMark/>
          </w:tcPr>
          <w:p w14:paraId="5B232AED"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Borrowings</w:t>
            </w:r>
          </w:p>
        </w:tc>
        <w:tc>
          <w:tcPr>
            <w:tcW w:w="1418" w:type="dxa"/>
            <w:tcBorders>
              <w:top w:val="nil"/>
              <w:left w:val="nil"/>
              <w:bottom w:val="nil"/>
              <w:right w:val="nil"/>
            </w:tcBorders>
            <w:shd w:val="clear" w:color="auto" w:fill="auto"/>
            <w:noWrap/>
            <w:vAlign w:val="center"/>
            <w:hideMark/>
          </w:tcPr>
          <w:p w14:paraId="6F32B896"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07E04151" w14:textId="77777777" w:rsidR="00BC5219" w:rsidRPr="008A2B8F"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auto" w:fill="auto"/>
            <w:noWrap/>
            <w:vAlign w:val="center"/>
            <w:hideMark/>
          </w:tcPr>
          <w:p w14:paraId="4136666A"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394,694 </w:t>
            </w:r>
          </w:p>
        </w:tc>
        <w:tc>
          <w:tcPr>
            <w:tcW w:w="199" w:type="dxa"/>
            <w:tcBorders>
              <w:top w:val="nil"/>
              <w:left w:val="nil"/>
              <w:bottom w:val="nil"/>
              <w:right w:val="nil"/>
            </w:tcBorders>
            <w:shd w:val="clear" w:color="auto" w:fill="auto"/>
            <w:noWrap/>
            <w:vAlign w:val="center"/>
            <w:hideMark/>
          </w:tcPr>
          <w:p w14:paraId="5F03CDDE"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2FFDA3ED"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3086929D"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35B370DF"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3FFDDAB3"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08BBEE01"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857,261 </w:t>
            </w:r>
          </w:p>
        </w:tc>
        <w:tc>
          <w:tcPr>
            <w:tcW w:w="199" w:type="dxa"/>
            <w:tcBorders>
              <w:top w:val="nil"/>
              <w:left w:val="nil"/>
              <w:bottom w:val="nil"/>
              <w:right w:val="nil"/>
            </w:tcBorders>
            <w:shd w:val="clear" w:color="auto" w:fill="auto"/>
            <w:noWrap/>
            <w:vAlign w:val="center"/>
            <w:hideMark/>
          </w:tcPr>
          <w:p w14:paraId="2CA66233" w14:textId="77777777" w:rsidR="00BC5219" w:rsidRPr="008A2B8F"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auto" w:fill="auto"/>
            <w:noWrap/>
            <w:vAlign w:val="center"/>
            <w:hideMark/>
          </w:tcPr>
          <w:p w14:paraId="0611FD19"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7B274EE4"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2E0A847B"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64891BB4" w14:textId="77777777" w:rsidR="00BC5219" w:rsidRPr="008A2B8F" w:rsidRDefault="00BC5219" w:rsidP="00E83802">
            <w:pPr>
              <w:jc w:val="right"/>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7AF8AAFE"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1,251,955 </w:t>
            </w:r>
          </w:p>
        </w:tc>
      </w:tr>
      <w:tr w:rsidR="00BC5219" w:rsidRPr="008A2B8F" w14:paraId="31CF8D7E" w14:textId="77777777" w:rsidTr="00E83802">
        <w:trPr>
          <w:trHeight w:val="198"/>
        </w:trPr>
        <w:tc>
          <w:tcPr>
            <w:tcW w:w="454" w:type="dxa"/>
            <w:tcBorders>
              <w:top w:val="nil"/>
              <w:left w:val="nil"/>
              <w:bottom w:val="nil"/>
              <w:right w:val="nil"/>
            </w:tcBorders>
            <w:shd w:val="clear" w:color="auto" w:fill="auto"/>
            <w:noWrap/>
            <w:vAlign w:val="center"/>
            <w:hideMark/>
          </w:tcPr>
          <w:p w14:paraId="0A04E17C" w14:textId="77777777" w:rsidR="00BC5219" w:rsidRPr="008A2B8F" w:rsidRDefault="00BC5219" w:rsidP="00E83802">
            <w:pPr>
              <w:jc w:val="right"/>
              <w:rPr>
                <w:rFonts w:ascii="Meta Pro" w:eastAsia="Times New Roman" w:hAnsi="Meta Pro"/>
                <w:b/>
                <w:bCs/>
                <w:sz w:val="16"/>
                <w:szCs w:val="16"/>
                <w:lang w:eastAsia="en-AU"/>
              </w:rPr>
            </w:pPr>
          </w:p>
        </w:tc>
        <w:tc>
          <w:tcPr>
            <w:tcW w:w="5160" w:type="dxa"/>
            <w:tcBorders>
              <w:top w:val="nil"/>
              <w:left w:val="nil"/>
              <w:bottom w:val="nil"/>
              <w:right w:val="nil"/>
            </w:tcBorders>
            <w:shd w:val="clear" w:color="auto" w:fill="auto"/>
            <w:noWrap/>
            <w:vAlign w:val="center"/>
            <w:hideMark/>
          </w:tcPr>
          <w:p w14:paraId="784B0658"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Provisions</w:t>
            </w:r>
          </w:p>
        </w:tc>
        <w:tc>
          <w:tcPr>
            <w:tcW w:w="1418" w:type="dxa"/>
            <w:tcBorders>
              <w:top w:val="nil"/>
              <w:left w:val="nil"/>
              <w:bottom w:val="nil"/>
              <w:right w:val="nil"/>
            </w:tcBorders>
            <w:shd w:val="clear" w:color="auto" w:fill="auto"/>
            <w:noWrap/>
            <w:vAlign w:val="center"/>
            <w:hideMark/>
          </w:tcPr>
          <w:p w14:paraId="713F55ED"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25D05DF5" w14:textId="77777777" w:rsidR="00BC5219" w:rsidRPr="008A2B8F"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auto" w:fill="auto"/>
            <w:noWrap/>
            <w:vAlign w:val="center"/>
            <w:hideMark/>
          </w:tcPr>
          <w:p w14:paraId="45B15965"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122,271 </w:t>
            </w:r>
          </w:p>
        </w:tc>
        <w:tc>
          <w:tcPr>
            <w:tcW w:w="199" w:type="dxa"/>
            <w:tcBorders>
              <w:top w:val="nil"/>
              <w:left w:val="nil"/>
              <w:bottom w:val="nil"/>
              <w:right w:val="nil"/>
            </w:tcBorders>
            <w:shd w:val="clear" w:color="auto" w:fill="auto"/>
            <w:noWrap/>
            <w:vAlign w:val="center"/>
            <w:hideMark/>
          </w:tcPr>
          <w:p w14:paraId="3FBF45EB"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27EA1420"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5A12DB9A"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207F83D4"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56F13089"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7DDFCD69"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59,539 </w:t>
            </w:r>
          </w:p>
        </w:tc>
        <w:tc>
          <w:tcPr>
            <w:tcW w:w="199" w:type="dxa"/>
            <w:tcBorders>
              <w:top w:val="nil"/>
              <w:left w:val="nil"/>
              <w:bottom w:val="nil"/>
              <w:right w:val="nil"/>
            </w:tcBorders>
            <w:shd w:val="clear" w:color="auto" w:fill="auto"/>
            <w:noWrap/>
            <w:vAlign w:val="center"/>
            <w:hideMark/>
          </w:tcPr>
          <w:p w14:paraId="0DD82697" w14:textId="77777777" w:rsidR="00BC5219" w:rsidRPr="008A2B8F"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auto" w:fill="auto"/>
            <w:noWrap/>
            <w:vAlign w:val="center"/>
            <w:hideMark/>
          </w:tcPr>
          <w:p w14:paraId="384D22A2"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0236680A"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7C41EA2C"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07C19014"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27C0FDA6"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181,810 </w:t>
            </w:r>
          </w:p>
        </w:tc>
      </w:tr>
      <w:tr w:rsidR="00BC5219" w:rsidRPr="008A2B8F" w14:paraId="4CC27BBB" w14:textId="77777777" w:rsidTr="00E83802">
        <w:trPr>
          <w:trHeight w:val="198"/>
        </w:trPr>
        <w:tc>
          <w:tcPr>
            <w:tcW w:w="454" w:type="dxa"/>
            <w:tcBorders>
              <w:top w:val="nil"/>
              <w:left w:val="nil"/>
              <w:bottom w:val="nil"/>
              <w:right w:val="nil"/>
            </w:tcBorders>
            <w:shd w:val="clear" w:color="auto" w:fill="auto"/>
            <w:noWrap/>
            <w:vAlign w:val="center"/>
            <w:hideMark/>
          </w:tcPr>
          <w:p w14:paraId="0273D97E" w14:textId="77777777" w:rsidR="00BC5219" w:rsidRPr="008A2B8F" w:rsidRDefault="00BC5219" w:rsidP="00E83802">
            <w:pPr>
              <w:jc w:val="right"/>
              <w:rPr>
                <w:rFonts w:ascii="Meta Pro" w:eastAsia="Times New Roman" w:hAnsi="Meta Pro"/>
                <w:b/>
                <w:bCs/>
                <w:sz w:val="16"/>
                <w:szCs w:val="16"/>
                <w:lang w:eastAsia="en-AU"/>
              </w:rPr>
            </w:pPr>
          </w:p>
        </w:tc>
        <w:tc>
          <w:tcPr>
            <w:tcW w:w="5160" w:type="dxa"/>
            <w:tcBorders>
              <w:top w:val="nil"/>
              <w:left w:val="nil"/>
              <w:bottom w:val="nil"/>
              <w:right w:val="nil"/>
            </w:tcBorders>
            <w:shd w:val="clear" w:color="auto" w:fill="auto"/>
            <w:noWrap/>
            <w:vAlign w:val="center"/>
            <w:hideMark/>
          </w:tcPr>
          <w:p w14:paraId="316B6B86"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 xml:space="preserve">Unearned revenue – service concession arrangements </w:t>
            </w:r>
          </w:p>
        </w:tc>
        <w:tc>
          <w:tcPr>
            <w:tcW w:w="1418" w:type="dxa"/>
            <w:tcBorders>
              <w:top w:val="nil"/>
              <w:left w:val="nil"/>
              <w:bottom w:val="nil"/>
              <w:right w:val="nil"/>
            </w:tcBorders>
            <w:shd w:val="clear" w:color="auto" w:fill="auto"/>
            <w:noWrap/>
            <w:vAlign w:val="center"/>
            <w:hideMark/>
          </w:tcPr>
          <w:p w14:paraId="0108C8BB"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49095845" w14:textId="77777777" w:rsidR="00BC5219" w:rsidRPr="008A2B8F"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auto" w:fill="auto"/>
            <w:noWrap/>
            <w:vAlign w:val="center"/>
            <w:hideMark/>
          </w:tcPr>
          <w:p w14:paraId="068C1A99"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7,037,755 </w:t>
            </w:r>
          </w:p>
        </w:tc>
        <w:tc>
          <w:tcPr>
            <w:tcW w:w="199" w:type="dxa"/>
            <w:tcBorders>
              <w:top w:val="nil"/>
              <w:left w:val="nil"/>
              <w:bottom w:val="nil"/>
              <w:right w:val="nil"/>
            </w:tcBorders>
            <w:shd w:val="clear" w:color="auto" w:fill="auto"/>
            <w:noWrap/>
            <w:vAlign w:val="center"/>
            <w:hideMark/>
          </w:tcPr>
          <w:p w14:paraId="47E5221E"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3C5ABE21"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003CBAAE"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34D24BA6"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02AD001E"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41EA3479"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117,559 </w:t>
            </w:r>
          </w:p>
        </w:tc>
        <w:tc>
          <w:tcPr>
            <w:tcW w:w="199" w:type="dxa"/>
            <w:tcBorders>
              <w:top w:val="nil"/>
              <w:left w:val="nil"/>
              <w:bottom w:val="nil"/>
              <w:right w:val="nil"/>
            </w:tcBorders>
            <w:shd w:val="clear" w:color="auto" w:fill="auto"/>
            <w:noWrap/>
            <w:vAlign w:val="center"/>
            <w:hideMark/>
          </w:tcPr>
          <w:p w14:paraId="50EBDAED" w14:textId="77777777" w:rsidR="00BC5219" w:rsidRPr="008A2B8F" w:rsidRDefault="00BC5219" w:rsidP="00E83802">
            <w:pPr>
              <w:jc w:val="right"/>
              <w:rPr>
                <w:rFonts w:ascii="Meta Pro" w:eastAsia="Times New Roman" w:hAnsi="Meta Pro"/>
                <w:sz w:val="16"/>
                <w:szCs w:val="16"/>
                <w:lang w:eastAsia="en-AU"/>
              </w:rPr>
            </w:pPr>
          </w:p>
        </w:tc>
        <w:tc>
          <w:tcPr>
            <w:tcW w:w="1418" w:type="dxa"/>
            <w:tcBorders>
              <w:top w:val="nil"/>
              <w:left w:val="nil"/>
              <w:bottom w:val="nil"/>
              <w:right w:val="nil"/>
            </w:tcBorders>
            <w:shd w:val="clear" w:color="auto" w:fill="auto"/>
            <w:noWrap/>
            <w:vAlign w:val="center"/>
            <w:hideMark/>
          </w:tcPr>
          <w:p w14:paraId="033AA632"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7C067572"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1ED499D8"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5D1EAE96" w14:textId="77777777" w:rsidR="00BC5219" w:rsidRPr="008A2B8F" w:rsidRDefault="00BC5219" w:rsidP="00E83802">
            <w:pPr>
              <w:jc w:val="right"/>
              <w:rPr>
                <w:rFonts w:ascii="Meta Pro" w:eastAsia="Times New Roman" w:hAnsi="Meta Pro"/>
                <w:sz w:val="16"/>
                <w:szCs w:val="16"/>
                <w:lang w:eastAsia="en-AU"/>
              </w:rPr>
            </w:pPr>
          </w:p>
        </w:tc>
        <w:tc>
          <w:tcPr>
            <w:tcW w:w="1361" w:type="dxa"/>
            <w:tcBorders>
              <w:top w:val="nil"/>
              <w:left w:val="nil"/>
              <w:bottom w:val="nil"/>
              <w:right w:val="nil"/>
            </w:tcBorders>
            <w:shd w:val="clear" w:color="auto" w:fill="auto"/>
            <w:noWrap/>
            <w:vAlign w:val="center"/>
            <w:hideMark/>
          </w:tcPr>
          <w:p w14:paraId="7D1C9664"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7,155,314 </w:t>
            </w:r>
          </w:p>
        </w:tc>
      </w:tr>
      <w:tr w:rsidR="00BC5219" w:rsidRPr="008A2B8F" w14:paraId="2D9716E1" w14:textId="77777777" w:rsidTr="00E83802">
        <w:trPr>
          <w:trHeight w:val="198"/>
        </w:trPr>
        <w:tc>
          <w:tcPr>
            <w:tcW w:w="454" w:type="dxa"/>
            <w:tcBorders>
              <w:top w:val="nil"/>
              <w:left w:val="nil"/>
              <w:bottom w:val="single" w:sz="4" w:space="0" w:color="auto"/>
              <w:right w:val="nil"/>
            </w:tcBorders>
            <w:shd w:val="clear" w:color="auto" w:fill="auto"/>
            <w:noWrap/>
            <w:vAlign w:val="center"/>
            <w:hideMark/>
          </w:tcPr>
          <w:p w14:paraId="5C118315"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5160" w:type="dxa"/>
            <w:tcBorders>
              <w:top w:val="nil"/>
              <w:left w:val="nil"/>
              <w:bottom w:val="single" w:sz="4" w:space="0" w:color="auto"/>
              <w:right w:val="nil"/>
            </w:tcBorders>
            <w:shd w:val="clear" w:color="auto" w:fill="auto"/>
            <w:noWrap/>
            <w:vAlign w:val="center"/>
            <w:hideMark/>
          </w:tcPr>
          <w:p w14:paraId="26DEA7C7"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Lease liabilities</w:t>
            </w:r>
          </w:p>
        </w:tc>
        <w:tc>
          <w:tcPr>
            <w:tcW w:w="1418" w:type="dxa"/>
            <w:tcBorders>
              <w:top w:val="nil"/>
              <w:left w:val="nil"/>
              <w:bottom w:val="single" w:sz="4" w:space="0" w:color="auto"/>
              <w:right w:val="nil"/>
            </w:tcBorders>
            <w:shd w:val="clear" w:color="auto" w:fill="auto"/>
            <w:noWrap/>
            <w:vAlign w:val="center"/>
            <w:hideMark/>
          </w:tcPr>
          <w:p w14:paraId="46D74D64"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single" w:sz="4" w:space="0" w:color="auto"/>
              <w:right w:val="nil"/>
            </w:tcBorders>
            <w:shd w:val="clear" w:color="auto" w:fill="auto"/>
            <w:noWrap/>
            <w:vAlign w:val="center"/>
            <w:hideMark/>
          </w:tcPr>
          <w:p w14:paraId="4CC0D5D6"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1418" w:type="dxa"/>
            <w:tcBorders>
              <w:top w:val="nil"/>
              <w:left w:val="nil"/>
              <w:bottom w:val="single" w:sz="4" w:space="0" w:color="auto"/>
              <w:right w:val="nil"/>
            </w:tcBorders>
            <w:shd w:val="clear" w:color="auto" w:fill="auto"/>
            <w:noWrap/>
            <w:vAlign w:val="center"/>
            <w:hideMark/>
          </w:tcPr>
          <w:p w14:paraId="1CD84AC9"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single" w:sz="4" w:space="0" w:color="auto"/>
              <w:right w:val="nil"/>
            </w:tcBorders>
            <w:shd w:val="clear" w:color="auto" w:fill="auto"/>
            <w:noWrap/>
            <w:vAlign w:val="center"/>
            <w:hideMark/>
          </w:tcPr>
          <w:p w14:paraId="30B9C4E8"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1361" w:type="dxa"/>
            <w:tcBorders>
              <w:top w:val="nil"/>
              <w:left w:val="nil"/>
              <w:bottom w:val="single" w:sz="4" w:space="0" w:color="auto"/>
              <w:right w:val="nil"/>
            </w:tcBorders>
            <w:shd w:val="clear" w:color="auto" w:fill="auto"/>
            <w:noWrap/>
            <w:vAlign w:val="center"/>
            <w:hideMark/>
          </w:tcPr>
          <w:p w14:paraId="61C3C17C"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single" w:sz="4" w:space="0" w:color="auto"/>
              <w:right w:val="nil"/>
            </w:tcBorders>
            <w:shd w:val="clear" w:color="auto" w:fill="auto"/>
            <w:noWrap/>
            <w:vAlign w:val="center"/>
            <w:hideMark/>
          </w:tcPr>
          <w:p w14:paraId="2DE29DA5"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1361" w:type="dxa"/>
            <w:tcBorders>
              <w:top w:val="nil"/>
              <w:left w:val="nil"/>
              <w:bottom w:val="single" w:sz="4" w:space="0" w:color="auto"/>
              <w:right w:val="nil"/>
            </w:tcBorders>
            <w:shd w:val="clear" w:color="auto" w:fill="auto"/>
            <w:noWrap/>
            <w:vAlign w:val="center"/>
            <w:hideMark/>
          </w:tcPr>
          <w:p w14:paraId="69C6967C"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single" w:sz="4" w:space="0" w:color="auto"/>
              <w:right w:val="nil"/>
            </w:tcBorders>
            <w:shd w:val="clear" w:color="auto" w:fill="auto"/>
            <w:noWrap/>
            <w:vAlign w:val="center"/>
            <w:hideMark/>
          </w:tcPr>
          <w:p w14:paraId="02880132"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1361" w:type="dxa"/>
            <w:tcBorders>
              <w:top w:val="nil"/>
              <w:left w:val="nil"/>
              <w:bottom w:val="single" w:sz="4" w:space="0" w:color="auto"/>
              <w:right w:val="nil"/>
            </w:tcBorders>
            <w:shd w:val="clear" w:color="auto" w:fill="auto"/>
            <w:noWrap/>
            <w:vAlign w:val="center"/>
            <w:hideMark/>
          </w:tcPr>
          <w:p w14:paraId="36A28F17"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3,274 </w:t>
            </w:r>
          </w:p>
        </w:tc>
        <w:tc>
          <w:tcPr>
            <w:tcW w:w="199" w:type="dxa"/>
            <w:tcBorders>
              <w:top w:val="nil"/>
              <w:left w:val="nil"/>
              <w:bottom w:val="single" w:sz="4" w:space="0" w:color="auto"/>
              <w:right w:val="nil"/>
            </w:tcBorders>
            <w:shd w:val="clear" w:color="auto" w:fill="auto"/>
            <w:noWrap/>
            <w:vAlign w:val="center"/>
            <w:hideMark/>
          </w:tcPr>
          <w:p w14:paraId="15583A7B"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1418" w:type="dxa"/>
            <w:tcBorders>
              <w:top w:val="nil"/>
              <w:left w:val="nil"/>
              <w:bottom w:val="single" w:sz="4" w:space="0" w:color="auto"/>
              <w:right w:val="nil"/>
            </w:tcBorders>
            <w:shd w:val="clear" w:color="auto" w:fill="auto"/>
            <w:noWrap/>
            <w:vAlign w:val="center"/>
            <w:hideMark/>
          </w:tcPr>
          <w:p w14:paraId="74C831FC"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single" w:sz="4" w:space="0" w:color="auto"/>
              <w:right w:val="nil"/>
            </w:tcBorders>
            <w:shd w:val="clear" w:color="auto" w:fill="auto"/>
            <w:noWrap/>
            <w:vAlign w:val="center"/>
            <w:hideMark/>
          </w:tcPr>
          <w:p w14:paraId="3F327E51"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1361" w:type="dxa"/>
            <w:tcBorders>
              <w:top w:val="nil"/>
              <w:left w:val="nil"/>
              <w:bottom w:val="single" w:sz="4" w:space="0" w:color="auto"/>
              <w:right w:val="nil"/>
            </w:tcBorders>
            <w:shd w:val="clear" w:color="auto" w:fill="auto"/>
            <w:noWrap/>
            <w:vAlign w:val="center"/>
            <w:hideMark/>
          </w:tcPr>
          <w:p w14:paraId="0F24C750"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99" w:type="dxa"/>
            <w:tcBorders>
              <w:top w:val="nil"/>
              <w:left w:val="nil"/>
              <w:bottom w:val="single" w:sz="4" w:space="0" w:color="auto"/>
              <w:right w:val="nil"/>
            </w:tcBorders>
            <w:shd w:val="clear" w:color="auto" w:fill="auto"/>
            <w:noWrap/>
            <w:vAlign w:val="center"/>
            <w:hideMark/>
          </w:tcPr>
          <w:p w14:paraId="10FF1265"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1361" w:type="dxa"/>
            <w:tcBorders>
              <w:top w:val="nil"/>
              <w:left w:val="nil"/>
              <w:bottom w:val="single" w:sz="4" w:space="0" w:color="auto"/>
              <w:right w:val="nil"/>
            </w:tcBorders>
            <w:shd w:val="clear" w:color="auto" w:fill="auto"/>
            <w:noWrap/>
            <w:vAlign w:val="center"/>
            <w:hideMark/>
          </w:tcPr>
          <w:p w14:paraId="2471675D"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3,274 </w:t>
            </w:r>
          </w:p>
        </w:tc>
      </w:tr>
      <w:tr w:rsidR="00BC5219" w:rsidRPr="008A2B8F" w14:paraId="59A25548" w14:textId="77777777" w:rsidTr="00E83802">
        <w:trPr>
          <w:trHeight w:val="198"/>
        </w:trPr>
        <w:tc>
          <w:tcPr>
            <w:tcW w:w="454" w:type="dxa"/>
            <w:tcBorders>
              <w:top w:val="nil"/>
              <w:left w:val="nil"/>
              <w:bottom w:val="nil"/>
              <w:right w:val="nil"/>
            </w:tcBorders>
            <w:shd w:val="clear" w:color="auto" w:fill="auto"/>
            <w:noWrap/>
            <w:vAlign w:val="center"/>
            <w:hideMark/>
          </w:tcPr>
          <w:p w14:paraId="18558324" w14:textId="77777777" w:rsidR="00BC5219" w:rsidRPr="008A2B8F" w:rsidRDefault="00BC5219" w:rsidP="00E83802">
            <w:pPr>
              <w:jc w:val="right"/>
              <w:rPr>
                <w:rFonts w:ascii="Meta Pro" w:eastAsia="Times New Roman" w:hAnsi="Meta Pro"/>
                <w:b/>
                <w:bCs/>
                <w:sz w:val="16"/>
                <w:szCs w:val="16"/>
                <w:lang w:eastAsia="en-AU"/>
              </w:rPr>
            </w:pPr>
          </w:p>
        </w:tc>
        <w:tc>
          <w:tcPr>
            <w:tcW w:w="5160" w:type="dxa"/>
            <w:tcBorders>
              <w:top w:val="nil"/>
              <w:left w:val="nil"/>
              <w:bottom w:val="nil"/>
              <w:right w:val="nil"/>
            </w:tcBorders>
            <w:shd w:val="clear" w:color="auto" w:fill="auto"/>
            <w:noWrap/>
            <w:vAlign w:val="center"/>
            <w:hideMark/>
          </w:tcPr>
          <w:p w14:paraId="2394C7E8" w14:textId="77777777" w:rsidR="00BC5219" w:rsidRPr="008A2B8F" w:rsidRDefault="00BC5219" w:rsidP="00E83802">
            <w:pPr>
              <w:rPr>
                <w:rFonts w:ascii="Meta Pro" w:eastAsia="Times New Roman" w:hAnsi="Meta Pro"/>
                <w:b/>
                <w:bCs/>
                <w:sz w:val="16"/>
                <w:szCs w:val="16"/>
                <w:lang w:eastAsia="en-AU"/>
              </w:rPr>
            </w:pPr>
            <w:r w:rsidRPr="008A2B8F">
              <w:rPr>
                <w:rFonts w:ascii="Meta Pro" w:eastAsia="Times New Roman" w:hAnsi="Meta Pro"/>
                <w:b/>
                <w:bCs/>
                <w:sz w:val="16"/>
                <w:szCs w:val="16"/>
                <w:lang w:eastAsia="en-AU"/>
              </w:rPr>
              <w:t>Total non-current liabilities</w:t>
            </w:r>
          </w:p>
        </w:tc>
        <w:tc>
          <w:tcPr>
            <w:tcW w:w="1418" w:type="dxa"/>
            <w:tcBorders>
              <w:top w:val="nil"/>
              <w:left w:val="nil"/>
              <w:bottom w:val="nil"/>
              <w:right w:val="nil"/>
            </w:tcBorders>
            <w:shd w:val="clear" w:color="auto" w:fill="auto"/>
            <w:noWrap/>
            <w:vAlign w:val="center"/>
            <w:hideMark/>
          </w:tcPr>
          <w:p w14:paraId="1DC5E23B"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4B84A7D5" w14:textId="77777777" w:rsidR="00BC5219" w:rsidRPr="008A2B8F" w:rsidRDefault="00BC5219" w:rsidP="00E83802">
            <w:pPr>
              <w:jc w:val="right"/>
              <w:rPr>
                <w:rFonts w:ascii="Meta Pro" w:eastAsia="Times New Roman" w:hAnsi="Meta Pro"/>
                <w:b/>
                <w:bCs/>
                <w:sz w:val="16"/>
                <w:szCs w:val="16"/>
                <w:lang w:eastAsia="en-AU"/>
              </w:rPr>
            </w:pPr>
          </w:p>
        </w:tc>
        <w:tc>
          <w:tcPr>
            <w:tcW w:w="1418" w:type="dxa"/>
            <w:tcBorders>
              <w:top w:val="nil"/>
              <w:left w:val="nil"/>
              <w:bottom w:val="nil"/>
              <w:right w:val="nil"/>
            </w:tcBorders>
            <w:shd w:val="clear" w:color="auto" w:fill="auto"/>
            <w:noWrap/>
            <w:vAlign w:val="center"/>
            <w:hideMark/>
          </w:tcPr>
          <w:p w14:paraId="3B276B46"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7,554,720 </w:t>
            </w:r>
          </w:p>
        </w:tc>
        <w:tc>
          <w:tcPr>
            <w:tcW w:w="199" w:type="dxa"/>
            <w:tcBorders>
              <w:top w:val="nil"/>
              <w:left w:val="nil"/>
              <w:bottom w:val="nil"/>
              <w:right w:val="nil"/>
            </w:tcBorders>
            <w:shd w:val="clear" w:color="auto" w:fill="auto"/>
            <w:noWrap/>
            <w:vAlign w:val="center"/>
            <w:hideMark/>
          </w:tcPr>
          <w:p w14:paraId="724B2E8C" w14:textId="77777777" w:rsidR="00BC5219" w:rsidRPr="008A2B8F" w:rsidRDefault="00BC5219" w:rsidP="00E83802">
            <w:pPr>
              <w:jc w:val="right"/>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noWrap/>
            <w:vAlign w:val="center"/>
            <w:hideMark/>
          </w:tcPr>
          <w:p w14:paraId="4945B40F"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12197F64" w14:textId="77777777" w:rsidR="00BC5219" w:rsidRPr="008A2B8F" w:rsidRDefault="00BC5219" w:rsidP="00E83802">
            <w:pPr>
              <w:jc w:val="right"/>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noWrap/>
            <w:vAlign w:val="center"/>
            <w:hideMark/>
          </w:tcPr>
          <w:p w14:paraId="7738CDEE"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594122EA" w14:textId="77777777" w:rsidR="00BC5219" w:rsidRPr="008A2B8F" w:rsidRDefault="00BC5219" w:rsidP="00E83802">
            <w:pPr>
              <w:jc w:val="right"/>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noWrap/>
            <w:vAlign w:val="center"/>
            <w:hideMark/>
          </w:tcPr>
          <w:p w14:paraId="32E543CD"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1,037,633 </w:t>
            </w:r>
          </w:p>
        </w:tc>
        <w:tc>
          <w:tcPr>
            <w:tcW w:w="199" w:type="dxa"/>
            <w:tcBorders>
              <w:top w:val="nil"/>
              <w:left w:val="nil"/>
              <w:bottom w:val="nil"/>
              <w:right w:val="nil"/>
            </w:tcBorders>
            <w:shd w:val="clear" w:color="auto" w:fill="auto"/>
            <w:noWrap/>
            <w:vAlign w:val="center"/>
            <w:hideMark/>
          </w:tcPr>
          <w:p w14:paraId="2066CC51" w14:textId="77777777" w:rsidR="00BC5219" w:rsidRPr="008A2B8F" w:rsidRDefault="00BC5219" w:rsidP="00E83802">
            <w:pPr>
              <w:jc w:val="right"/>
              <w:rPr>
                <w:rFonts w:ascii="Meta Pro" w:eastAsia="Times New Roman" w:hAnsi="Meta Pro"/>
                <w:b/>
                <w:bCs/>
                <w:sz w:val="16"/>
                <w:szCs w:val="16"/>
                <w:lang w:eastAsia="en-AU"/>
              </w:rPr>
            </w:pPr>
          </w:p>
        </w:tc>
        <w:tc>
          <w:tcPr>
            <w:tcW w:w="1418" w:type="dxa"/>
            <w:tcBorders>
              <w:top w:val="nil"/>
              <w:left w:val="nil"/>
              <w:bottom w:val="nil"/>
              <w:right w:val="nil"/>
            </w:tcBorders>
            <w:shd w:val="clear" w:color="auto" w:fill="auto"/>
            <w:noWrap/>
            <w:vAlign w:val="center"/>
            <w:hideMark/>
          </w:tcPr>
          <w:p w14:paraId="22B905C9"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2F1FB900" w14:textId="77777777" w:rsidR="00BC5219" w:rsidRPr="008A2B8F" w:rsidRDefault="00BC5219" w:rsidP="00E83802">
            <w:pPr>
              <w:jc w:val="right"/>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noWrap/>
            <w:vAlign w:val="center"/>
            <w:hideMark/>
          </w:tcPr>
          <w:p w14:paraId="6F090BB1"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 </w:t>
            </w:r>
          </w:p>
        </w:tc>
        <w:tc>
          <w:tcPr>
            <w:tcW w:w="199" w:type="dxa"/>
            <w:tcBorders>
              <w:top w:val="nil"/>
              <w:left w:val="nil"/>
              <w:bottom w:val="nil"/>
              <w:right w:val="nil"/>
            </w:tcBorders>
            <w:shd w:val="clear" w:color="auto" w:fill="auto"/>
            <w:noWrap/>
            <w:vAlign w:val="center"/>
            <w:hideMark/>
          </w:tcPr>
          <w:p w14:paraId="49126535" w14:textId="77777777" w:rsidR="00BC5219" w:rsidRPr="008A2B8F" w:rsidRDefault="00BC5219" w:rsidP="00E83802">
            <w:pPr>
              <w:jc w:val="right"/>
              <w:rPr>
                <w:rFonts w:ascii="Meta Pro" w:eastAsia="Times New Roman" w:hAnsi="Meta Pro"/>
                <w:b/>
                <w:bCs/>
                <w:sz w:val="16"/>
                <w:szCs w:val="16"/>
                <w:lang w:eastAsia="en-AU"/>
              </w:rPr>
            </w:pPr>
          </w:p>
        </w:tc>
        <w:tc>
          <w:tcPr>
            <w:tcW w:w="1361" w:type="dxa"/>
            <w:tcBorders>
              <w:top w:val="nil"/>
              <w:left w:val="nil"/>
              <w:bottom w:val="nil"/>
              <w:right w:val="nil"/>
            </w:tcBorders>
            <w:shd w:val="clear" w:color="auto" w:fill="auto"/>
            <w:noWrap/>
            <w:vAlign w:val="center"/>
            <w:hideMark/>
          </w:tcPr>
          <w:p w14:paraId="61C18F46"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8,592,353 </w:t>
            </w:r>
          </w:p>
        </w:tc>
      </w:tr>
      <w:tr w:rsidR="00BC5219" w:rsidRPr="008A2B8F" w14:paraId="6F33084F" w14:textId="77777777" w:rsidTr="00E83802">
        <w:trPr>
          <w:trHeight w:hRule="exact" w:val="142"/>
        </w:trPr>
        <w:tc>
          <w:tcPr>
            <w:tcW w:w="454" w:type="dxa"/>
            <w:tcBorders>
              <w:top w:val="nil"/>
              <w:left w:val="nil"/>
              <w:bottom w:val="nil"/>
              <w:right w:val="nil"/>
            </w:tcBorders>
            <w:shd w:val="clear" w:color="auto" w:fill="auto"/>
            <w:noWrap/>
            <w:vAlign w:val="center"/>
            <w:hideMark/>
          </w:tcPr>
          <w:p w14:paraId="43AE97BA" w14:textId="77777777" w:rsidR="00BC5219" w:rsidRPr="008A2B8F" w:rsidRDefault="00BC5219" w:rsidP="00E83802">
            <w:pPr>
              <w:jc w:val="right"/>
              <w:rPr>
                <w:rFonts w:ascii="Meta Pro" w:eastAsia="Times New Roman" w:hAnsi="Meta Pro"/>
                <w:b/>
                <w:bCs/>
                <w:sz w:val="16"/>
                <w:szCs w:val="16"/>
                <w:lang w:eastAsia="en-AU"/>
              </w:rPr>
            </w:pPr>
          </w:p>
        </w:tc>
        <w:tc>
          <w:tcPr>
            <w:tcW w:w="5160" w:type="dxa"/>
            <w:tcBorders>
              <w:top w:val="nil"/>
              <w:left w:val="nil"/>
              <w:bottom w:val="nil"/>
              <w:right w:val="nil"/>
            </w:tcBorders>
            <w:shd w:val="clear" w:color="auto" w:fill="auto"/>
            <w:noWrap/>
            <w:vAlign w:val="center"/>
            <w:hideMark/>
          </w:tcPr>
          <w:p w14:paraId="1BFF9BFB" w14:textId="77777777" w:rsidR="00BC5219" w:rsidRPr="008A2B8F" w:rsidRDefault="00BC5219" w:rsidP="00E83802">
            <w:pPr>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noWrap/>
            <w:vAlign w:val="center"/>
            <w:hideMark/>
          </w:tcPr>
          <w:p w14:paraId="380FA4C1" w14:textId="77777777" w:rsidR="00BC5219" w:rsidRPr="008A2B8F" w:rsidRDefault="00BC5219" w:rsidP="00E83802">
            <w:pPr>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4B305F46" w14:textId="77777777" w:rsidR="00BC5219" w:rsidRPr="008A2B8F" w:rsidRDefault="00BC5219" w:rsidP="00E83802">
            <w:pPr>
              <w:jc w:val="right"/>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noWrap/>
            <w:vAlign w:val="center"/>
            <w:hideMark/>
          </w:tcPr>
          <w:p w14:paraId="19C3CE22"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07C7AFB1" w14:textId="77777777" w:rsidR="00BC5219" w:rsidRPr="008A2B8F" w:rsidRDefault="00BC5219" w:rsidP="00E83802">
            <w:pPr>
              <w:jc w:val="right"/>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12ABDBC4"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661AA619" w14:textId="77777777" w:rsidR="00BC5219" w:rsidRPr="008A2B8F" w:rsidRDefault="00BC5219" w:rsidP="00E83802">
            <w:pPr>
              <w:jc w:val="right"/>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2762FA41"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1B275C0B" w14:textId="77777777" w:rsidR="00BC5219" w:rsidRPr="008A2B8F" w:rsidRDefault="00BC5219" w:rsidP="00E83802">
            <w:pPr>
              <w:jc w:val="right"/>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5002CFF6"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16F0F287" w14:textId="77777777" w:rsidR="00BC5219" w:rsidRPr="008A2B8F" w:rsidRDefault="00BC5219" w:rsidP="00E83802">
            <w:pPr>
              <w:jc w:val="right"/>
              <w:rPr>
                <w:rFonts w:ascii="Meta Pro" w:eastAsia="Times New Roman" w:hAnsi="Meta Pro" w:cs="Times New Roman"/>
                <w:sz w:val="20"/>
                <w:szCs w:val="20"/>
                <w:lang w:eastAsia="en-AU"/>
              </w:rPr>
            </w:pPr>
          </w:p>
        </w:tc>
        <w:tc>
          <w:tcPr>
            <w:tcW w:w="1418" w:type="dxa"/>
            <w:tcBorders>
              <w:top w:val="nil"/>
              <w:left w:val="nil"/>
              <w:bottom w:val="nil"/>
              <w:right w:val="nil"/>
            </w:tcBorders>
            <w:shd w:val="clear" w:color="auto" w:fill="auto"/>
            <w:noWrap/>
            <w:vAlign w:val="center"/>
            <w:hideMark/>
          </w:tcPr>
          <w:p w14:paraId="3494D692"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4CF87B5A" w14:textId="77777777" w:rsidR="00BC5219" w:rsidRPr="008A2B8F" w:rsidRDefault="00BC5219" w:rsidP="00E83802">
            <w:pPr>
              <w:jc w:val="right"/>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73A0FD24" w14:textId="77777777" w:rsidR="00BC5219" w:rsidRPr="008A2B8F" w:rsidRDefault="00BC5219" w:rsidP="00E83802">
            <w:pPr>
              <w:jc w:val="right"/>
              <w:rPr>
                <w:rFonts w:ascii="Meta Pro" w:eastAsia="Times New Roman" w:hAnsi="Meta Pro" w:cs="Times New Roman"/>
                <w:sz w:val="20"/>
                <w:szCs w:val="20"/>
                <w:lang w:eastAsia="en-AU"/>
              </w:rPr>
            </w:pPr>
          </w:p>
        </w:tc>
        <w:tc>
          <w:tcPr>
            <w:tcW w:w="199" w:type="dxa"/>
            <w:tcBorders>
              <w:top w:val="nil"/>
              <w:left w:val="nil"/>
              <w:bottom w:val="nil"/>
              <w:right w:val="nil"/>
            </w:tcBorders>
            <w:shd w:val="clear" w:color="auto" w:fill="auto"/>
            <w:noWrap/>
            <w:vAlign w:val="center"/>
            <w:hideMark/>
          </w:tcPr>
          <w:p w14:paraId="021C38EE" w14:textId="77777777" w:rsidR="00BC5219" w:rsidRPr="008A2B8F" w:rsidRDefault="00BC5219" w:rsidP="00E83802">
            <w:pPr>
              <w:jc w:val="right"/>
              <w:rPr>
                <w:rFonts w:ascii="Meta Pro" w:eastAsia="Times New Roman" w:hAnsi="Meta Pro" w:cs="Times New Roman"/>
                <w:sz w:val="20"/>
                <w:szCs w:val="20"/>
                <w:lang w:eastAsia="en-AU"/>
              </w:rPr>
            </w:pPr>
          </w:p>
        </w:tc>
        <w:tc>
          <w:tcPr>
            <w:tcW w:w="1361" w:type="dxa"/>
            <w:tcBorders>
              <w:top w:val="nil"/>
              <w:left w:val="nil"/>
              <w:bottom w:val="nil"/>
              <w:right w:val="nil"/>
            </w:tcBorders>
            <w:shd w:val="clear" w:color="auto" w:fill="auto"/>
            <w:noWrap/>
            <w:vAlign w:val="center"/>
            <w:hideMark/>
          </w:tcPr>
          <w:p w14:paraId="0FC0B6D7"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0919A5E0" w14:textId="77777777" w:rsidTr="00E83802">
        <w:trPr>
          <w:trHeight w:val="198"/>
        </w:trPr>
        <w:tc>
          <w:tcPr>
            <w:tcW w:w="5160" w:type="dxa"/>
            <w:gridSpan w:val="2"/>
            <w:tcBorders>
              <w:top w:val="nil"/>
              <w:left w:val="nil"/>
              <w:bottom w:val="double" w:sz="6" w:space="0" w:color="auto"/>
              <w:right w:val="nil"/>
            </w:tcBorders>
            <w:shd w:val="clear" w:color="auto" w:fill="auto"/>
            <w:noWrap/>
            <w:vAlign w:val="center"/>
            <w:hideMark/>
          </w:tcPr>
          <w:p w14:paraId="13D2A401" w14:textId="77777777" w:rsidR="00BC5219" w:rsidRPr="008A2B8F" w:rsidRDefault="00BC5219" w:rsidP="00E83802">
            <w:pPr>
              <w:rPr>
                <w:rFonts w:ascii="Meta Pro" w:eastAsia="Times New Roman" w:hAnsi="Meta Pro"/>
                <w:b/>
                <w:bCs/>
                <w:sz w:val="16"/>
                <w:szCs w:val="16"/>
                <w:lang w:eastAsia="en-AU"/>
              </w:rPr>
            </w:pPr>
            <w:r w:rsidRPr="008A2B8F">
              <w:rPr>
                <w:rFonts w:ascii="Meta Pro" w:eastAsia="Times New Roman" w:hAnsi="Meta Pro"/>
                <w:b/>
                <w:bCs/>
                <w:sz w:val="16"/>
                <w:szCs w:val="16"/>
                <w:lang w:eastAsia="en-AU"/>
              </w:rPr>
              <w:t>Total liabilities</w:t>
            </w:r>
          </w:p>
        </w:tc>
        <w:tc>
          <w:tcPr>
            <w:tcW w:w="1418" w:type="dxa"/>
            <w:tcBorders>
              <w:top w:val="nil"/>
              <w:left w:val="nil"/>
              <w:bottom w:val="double" w:sz="6" w:space="0" w:color="auto"/>
              <w:right w:val="nil"/>
            </w:tcBorders>
            <w:shd w:val="clear" w:color="auto" w:fill="auto"/>
            <w:noWrap/>
            <w:vAlign w:val="center"/>
            <w:hideMark/>
          </w:tcPr>
          <w:p w14:paraId="12EA8405"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61,784 </w:t>
            </w:r>
          </w:p>
        </w:tc>
        <w:tc>
          <w:tcPr>
            <w:tcW w:w="199" w:type="dxa"/>
            <w:tcBorders>
              <w:top w:val="nil"/>
              <w:left w:val="nil"/>
              <w:bottom w:val="double" w:sz="6" w:space="0" w:color="auto"/>
              <w:right w:val="nil"/>
            </w:tcBorders>
            <w:shd w:val="clear" w:color="auto" w:fill="auto"/>
            <w:noWrap/>
            <w:vAlign w:val="center"/>
            <w:hideMark/>
          </w:tcPr>
          <w:p w14:paraId="49D77C7F"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418" w:type="dxa"/>
            <w:tcBorders>
              <w:top w:val="nil"/>
              <w:left w:val="nil"/>
              <w:bottom w:val="double" w:sz="6" w:space="0" w:color="auto"/>
              <w:right w:val="nil"/>
            </w:tcBorders>
            <w:shd w:val="clear" w:color="auto" w:fill="auto"/>
            <w:noWrap/>
            <w:vAlign w:val="center"/>
            <w:hideMark/>
          </w:tcPr>
          <w:p w14:paraId="6ACFF551"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8,234,660 </w:t>
            </w:r>
          </w:p>
        </w:tc>
        <w:tc>
          <w:tcPr>
            <w:tcW w:w="199" w:type="dxa"/>
            <w:tcBorders>
              <w:top w:val="nil"/>
              <w:left w:val="nil"/>
              <w:bottom w:val="double" w:sz="6" w:space="0" w:color="auto"/>
              <w:right w:val="nil"/>
            </w:tcBorders>
            <w:shd w:val="clear" w:color="auto" w:fill="auto"/>
            <w:noWrap/>
            <w:vAlign w:val="center"/>
            <w:hideMark/>
          </w:tcPr>
          <w:p w14:paraId="470314D1"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361" w:type="dxa"/>
            <w:tcBorders>
              <w:top w:val="nil"/>
              <w:left w:val="nil"/>
              <w:bottom w:val="double" w:sz="6" w:space="0" w:color="auto"/>
              <w:right w:val="nil"/>
            </w:tcBorders>
            <w:shd w:val="clear" w:color="auto" w:fill="auto"/>
            <w:noWrap/>
            <w:vAlign w:val="center"/>
            <w:hideMark/>
          </w:tcPr>
          <w:p w14:paraId="5C428172"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44,140 </w:t>
            </w:r>
          </w:p>
        </w:tc>
        <w:tc>
          <w:tcPr>
            <w:tcW w:w="199" w:type="dxa"/>
            <w:tcBorders>
              <w:top w:val="nil"/>
              <w:left w:val="nil"/>
              <w:bottom w:val="double" w:sz="6" w:space="0" w:color="auto"/>
              <w:right w:val="nil"/>
            </w:tcBorders>
            <w:shd w:val="clear" w:color="auto" w:fill="auto"/>
            <w:noWrap/>
            <w:vAlign w:val="center"/>
            <w:hideMark/>
          </w:tcPr>
          <w:p w14:paraId="7E6CE55A"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361" w:type="dxa"/>
            <w:tcBorders>
              <w:top w:val="nil"/>
              <w:left w:val="nil"/>
              <w:bottom w:val="double" w:sz="6" w:space="0" w:color="auto"/>
              <w:right w:val="nil"/>
            </w:tcBorders>
            <w:shd w:val="clear" w:color="auto" w:fill="auto"/>
            <w:noWrap/>
            <w:vAlign w:val="center"/>
            <w:hideMark/>
          </w:tcPr>
          <w:p w14:paraId="32A79FF6"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38,159 </w:t>
            </w:r>
          </w:p>
        </w:tc>
        <w:tc>
          <w:tcPr>
            <w:tcW w:w="199" w:type="dxa"/>
            <w:tcBorders>
              <w:top w:val="nil"/>
              <w:left w:val="nil"/>
              <w:bottom w:val="double" w:sz="6" w:space="0" w:color="auto"/>
              <w:right w:val="nil"/>
            </w:tcBorders>
            <w:shd w:val="clear" w:color="auto" w:fill="auto"/>
            <w:noWrap/>
            <w:vAlign w:val="center"/>
            <w:hideMark/>
          </w:tcPr>
          <w:p w14:paraId="63B07A5B"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361" w:type="dxa"/>
            <w:tcBorders>
              <w:top w:val="nil"/>
              <w:left w:val="nil"/>
              <w:bottom w:val="double" w:sz="6" w:space="0" w:color="auto"/>
              <w:right w:val="nil"/>
            </w:tcBorders>
            <w:shd w:val="clear" w:color="auto" w:fill="auto"/>
            <w:noWrap/>
            <w:vAlign w:val="center"/>
            <w:hideMark/>
          </w:tcPr>
          <w:p w14:paraId="0452D4AC"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1,779,197 </w:t>
            </w:r>
          </w:p>
        </w:tc>
        <w:tc>
          <w:tcPr>
            <w:tcW w:w="199" w:type="dxa"/>
            <w:tcBorders>
              <w:top w:val="nil"/>
              <w:left w:val="nil"/>
              <w:bottom w:val="double" w:sz="6" w:space="0" w:color="auto"/>
              <w:right w:val="nil"/>
            </w:tcBorders>
            <w:shd w:val="clear" w:color="auto" w:fill="auto"/>
            <w:noWrap/>
            <w:vAlign w:val="center"/>
            <w:hideMark/>
          </w:tcPr>
          <w:p w14:paraId="78B57544"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418" w:type="dxa"/>
            <w:tcBorders>
              <w:top w:val="nil"/>
              <w:left w:val="nil"/>
              <w:bottom w:val="double" w:sz="6" w:space="0" w:color="auto"/>
              <w:right w:val="nil"/>
            </w:tcBorders>
            <w:shd w:val="clear" w:color="auto" w:fill="auto"/>
            <w:noWrap/>
            <w:vAlign w:val="center"/>
            <w:hideMark/>
          </w:tcPr>
          <w:p w14:paraId="6460A70A"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73,346 </w:t>
            </w:r>
          </w:p>
        </w:tc>
        <w:tc>
          <w:tcPr>
            <w:tcW w:w="199" w:type="dxa"/>
            <w:tcBorders>
              <w:top w:val="nil"/>
              <w:left w:val="nil"/>
              <w:bottom w:val="double" w:sz="6" w:space="0" w:color="auto"/>
              <w:right w:val="nil"/>
            </w:tcBorders>
            <w:shd w:val="clear" w:color="auto" w:fill="auto"/>
            <w:noWrap/>
            <w:vAlign w:val="center"/>
            <w:hideMark/>
          </w:tcPr>
          <w:p w14:paraId="6AF515DA"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361" w:type="dxa"/>
            <w:tcBorders>
              <w:top w:val="nil"/>
              <w:left w:val="nil"/>
              <w:bottom w:val="double" w:sz="6" w:space="0" w:color="auto"/>
              <w:right w:val="nil"/>
            </w:tcBorders>
            <w:shd w:val="clear" w:color="auto" w:fill="auto"/>
            <w:noWrap/>
            <w:vAlign w:val="center"/>
            <w:hideMark/>
          </w:tcPr>
          <w:p w14:paraId="575449A0"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(188,373)</w:t>
            </w:r>
          </w:p>
        </w:tc>
        <w:tc>
          <w:tcPr>
            <w:tcW w:w="199" w:type="dxa"/>
            <w:tcBorders>
              <w:top w:val="nil"/>
              <w:left w:val="nil"/>
              <w:bottom w:val="double" w:sz="6" w:space="0" w:color="auto"/>
              <w:right w:val="nil"/>
            </w:tcBorders>
            <w:shd w:val="clear" w:color="auto" w:fill="auto"/>
            <w:noWrap/>
            <w:vAlign w:val="center"/>
            <w:hideMark/>
          </w:tcPr>
          <w:p w14:paraId="57995BA9"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361" w:type="dxa"/>
            <w:tcBorders>
              <w:top w:val="nil"/>
              <w:left w:val="nil"/>
              <w:bottom w:val="double" w:sz="6" w:space="0" w:color="auto"/>
              <w:right w:val="nil"/>
            </w:tcBorders>
            <w:shd w:val="clear" w:color="auto" w:fill="auto"/>
            <w:noWrap/>
            <w:vAlign w:val="center"/>
            <w:hideMark/>
          </w:tcPr>
          <w:p w14:paraId="315E48BF"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10,042,913 </w:t>
            </w:r>
          </w:p>
        </w:tc>
      </w:tr>
    </w:tbl>
    <w:p w14:paraId="37FD37BA" w14:textId="77777777" w:rsidR="00BC5219" w:rsidRPr="008A2B8F" w:rsidRDefault="00BC5219" w:rsidP="00BC5219">
      <w:pPr>
        <w:tabs>
          <w:tab w:val="left" w:pos="3433"/>
        </w:tabs>
        <w:rPr>
          <w:rFonts w:ascii="Meta Pro" w:hAnsi="Meta Pro"/>
          <w:lang w:eastAsia="en-AU"/>
        </w:rPr>
        <w:sectPr w:rsidR="00BC5219" w:rsidRPr="008A2B8F" w:rsidSect="00C43138">
          <w:headerReference w:type="default" r:id="rId89"/>
          <w:footerReference w:type="default" r:id="rId90"/>
          <w:pgSz w:w="16838" w:h="11906" w:orient="landscape"/>
          <w:pgMar w:top="0" w:right="1701" w:bottom="0" w:left="1134" w:header="283" w:footer="0" w:gutter="0"/>
          <w:pgNumType w:start="1"/>
          <w:cols w:space="708"/>
          <w:docGrid w:linePitch="360"/>
        </w:sectPr>
      </w:pPr>
    </w:p>
    <w:p w14:paraId="084F9AA3"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r w:rsidRPr="008A2B8F">
        <w:rPr>
          <w:rFonts w:ascii="Meta Pro" w:eastAsia="Times New Roman" w:hAnsi="Meta Pro"/>
          <w:i/>
          <w:iCs/>
          <w:color w:val="000000" w:themeColor="text1"/>
          <w:lang w:eastAsia="en-AU"/>
        </w:rPr>
        <w:lastRenderedPageBreak/>
        <w:t>Department of Transport and Main Roads</w:t>
      </w:r>
    </w:p>
    <w:p w14:paraId="70EC1E4D"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Statement of changes in equity</w:t>
      </w:r>
    </w:p>
    <w:p w14:paraId="2D536DEE"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for the year ended 30 June 2023</w:t>
      </w:r>
    </w:p>
    <w:p w14:paraId="74AD03F9" w14:textId="77777777" w:rsidR="00BC5219" w:rsidRDefault="00BC5219" w:rsidP="00BC5219">
      <w:pPr>
        <w:rPr>
          <w:rFonts w:asciiTheme="minorHAnsi" w:hAnsiTheme="minorHAnsi" w:cstheme="minorBidi"/>
        </w:rPr>
      </w:pPr>
    </w:p>
    <w:tbl>
      <w:tblPr>
        <w:tblW w:w="0" w:type="auto"/>
        <w:tblCellMar>
          <w:left w:w="0" w:type="dxa"/>
        </w:tblCellMar>
        <w:tblLook w:val="04A0" w:firstRow="1" w:lastRow="0" w:firstColumn="1" w:lastColumn="0" w:noHBand="0" w:noVBand="1"/>
      </w:tblPr>
      <w:tblGrid>
        <w:gridCol w:w="223"/>
        <w:gridCol w:w="5111"/>
        <w:gridCol w:w="575"/>
        <w:gridCol w:w="149"/>
        <w:gridCol w:w="1709"/>
        <w:gridCol w:w="224"/>
        <w:gridCol w:w="1709"/>
      </w:tblGrid>
      <w:tr w:rsidR="00BC5219" w:rsidRPr="009C55C2" w14:paraId="37C0C22F" w14:textId="77777777" w:rsidTr="00E83802">
        <w:trPr>
          <w:trHeight w:val="240"/>
        </w:trPr>
        <w:tc>
          <w:tcPr>
            <w:tcW w:w="215" w:type="dxa"/>
            <w:tcBorders>
              <w:top w:val="nil"/>
              <w:left w:val="nil"/>
              <w:bottom w:val="nil"/>
              <w:right w:val="nil"/>
            </w:tcBorders>
            <w:shd w:val="clear" w:color="auto" w:fill="auto"/>
            <w:noWrap/>
            <w:vAlign w:val="center"/>
            <w:hideMark/>
          </w:tcPr>
          <w:p w14:paraId="2C7E505C" w14:textId="77777777" w:rsidR="00BC5219" w:rsidRPr="009C55C2" w:rsidRDefault="00BC5219" w:rsidP="00E83802">
            <w:pPr>
              <w:rPr>
                <w:rFonts w:ascii="Times New Roman" w:eastAsia="Times New Roman" w:hAnsi="Times New Roman" w:cs="Times New Roman"/>
                <w:sz w:val="24"/>
                <w:szCs w:val="24"/>
                <w:lang w:eastAsia="en-AU"/>
              </w:rPr>
            </w:pPr>
          </w:p>
        </w:tc>
        <w:tc>
          <w:tcPr>
            <w:tcW w:w="5103" w:type="dxa"/>
            <w:tcBorders>
              <w:top w:val="nil"/>
              <w:left w:val="nil"/>
              <w:bottom w:val="nil"/>
              <w:right w:val="nil"/>
            </w:tcBorders>
            <w:shd w:val="clear" w:color="auto" w:fill="auto"/>
            <w:noWrap/>
            <w:vAlign w:val="center"/>
            <w:hideMark/>
          </w:tcPr>
          <w:p w14:paraId="04DD984A" w14:textId="77777777" w:rsidR="00BC5219" w:rsidRPr="009C55C2" w:rsidRDefault="00BC5219" w:rsidP="00E83802">
            <w:pPr>
              <w:rPr>
                <w:rFonts w:ascii="Times New Roman" w:eastAsia="Times New Roman" w:hAnsi="Times New Roman" w:cs="Times New Roman"/>
                <w:sz w:val="20"/>
                <w:szCs w:val="20"/>
                <w:lang w:eastAsia="en-AU"/>
              </w:rPr>
            </w:pPr>
          </w:p>
        </w:tc>
        <w:tc>
          <w:tcPr>
            <w:tcW w:w="567" w:type="dxa"/>
            <w:tcBorders>
              <w:top w:val="nil"/>
              <w:left w:val="nil"/>
              <w:bottom w:val="nil"/>
              <w:right w:val="nil"/>
            </w:tcBorders>
            <w:shd w:val="clear" w:color="auto" w:fill="auto"/>
            <w:noWrap/>
            <w:vAlign w:val="center"/>
            <w:hideMark/>
          </w:tcPr>
          <w:p w14:paraId="44281192" w14:textId="77777777" w:rsidR="00BC5219" w:rsidRPr="009C55C2" w:rsidRDefault="00BC5219" w:rsidP="00E83802">
            <w:pPr>
              <w:jc w:val="center"/>
              <w:rPr>
                <w:rFonts w:ascii="Meta Pro" w:eastAsia="Times New Roman" w:hAnsi="Meta Pro"/>
                <w:b/>
                <w:bCs/>
                <w:color w:val="000000"/>
                <w:lang w:eastAsia="en-AU"/>
              </w:rPr>
            </w:pPr>
            <w:r w:rsidRPr="009C55C2">
              <w:rPr>
                <w:rFonts w:ascii="Meta Pro" w:eastAsia="Times New Roman" w:hAnsi="Meta Pro"/>
                <w:b/>
                <w:bCs/>
                <w:color w:val="000000"/>
                <w:lang w:eastAsia="en-AU"/>
              </w:rPr>
              <w:t>Note</w:t>
            </w:r>
          </w:p>
        </w:tc>
        <w:tc>
          <w:tcPr>
            <w:tcW w:w="6" w:type="dxa"/>
            <w:tcBorders>
              <w:top w:val="nil"/>
              <w:left w:val="nil"/>
              <w:bottom w:val="nil"/>
              <w:right w:val="nil"/>
            </w:tcBorders>
            <w:shd w:val="clear" w:color="auto" w:fill="auto"/>
            <w:noWrap/>
            <w:vAlign w:val="center"/>
            <w:hideMark/>
          </w:tcPr>
          <w:p w14:paraId="5036DAD7" w14:textId="77777777" w:rsidR="00BC5219" w:rsidRPr="009C55C2" w:rsidRDefault="00BC5219" w:rsidP="00E83802">
            <w:pPr>
              <w:jc w:val="center"/>
              <w:rPr>
                <w:rFonts w:ascii="Meta Pro" w:eastAsia="Times New Roman" w:hAnsi="Meta Pro"/>
                <w:b/>
                <w:bCs/>
                <w:color w:val="000000"/>
                <w:lang w:eastAsia="en-AU"/>
              </w:rPr>
            </w:pPr>
          </w:p>
        </w:tc>
        <w:tc>
          <w:tcPr>
            <w:tcW w:w="1701" w:type="dxa"/>
            <w:tcBorders>
              <w:top w:val="nil"/>
              <w:left w:val="nil"/>
              <w:bottom w:val="nil"/>
              <w:right w:val="nil"/>
            </w:tcBorders>
            <w:shd w:val="clear" w:color="auto" w:fill="auto"/>
            <w:noWrap/>
            <w:vAlign w:val="center"/>
            <w:hideMark/>
          </w:tcPr>
          <w:p w14:paraId="63764AE9" w14:textId="77777777" w:rsidR="00BC5219" w:rsidRPr="009C55C2" w:rsidRDefault="00BC5219" w:rsidP="00E83802">
            <w:pPr>
              <w:jc w:val="center"/>
              <w:rPr>
                <w:rFonts w:ascii="Meta Pro" w:eastAsia="Times New Roman" w:hAnsi="Meta Pro"/>
                <w:b/>
                <w:bCs/>
                <w:lang w:eastAsia="en-AU"/>
              </w:rPr>
            </w:pPr>
            <w:r w:rsidRPr="009C55C2">
              <w:rPr>
                <w:rFonts w:ascii="Meta Pro" w:eastAsia="Times New Roman" w:hAnsi="Meta Pro"/>
                <w:b/>
                <w:bCs/>
                <w:lang w:eastAsia="en-AU"/>
              </w:rPr>
              <w:t>2023</w:t>
            </w:r>
          </w:p>
        </w:tc>
        <w:tc>
          <w:tcPr>
            <w:tcW w:w="216" w:type="dxa"/>
            <w:tcBorders>
              <w:top w:val="nil"/>
              <w:left w:val="nil"/>
              <w:bottom w:val="nil"/>
              <w:right w:val="nil"/>
            </w:tcBorders>
            <w:shd w:val="clear" w:color="auto" w:fill="auto"/>
            <w:noWrap/>
            <w:vAlign w:val="center"/>
            <w:hideMark/>
          </w:tcPr>
          <w:p w14:paraId="4C24C08F" w14:textId="77777777" w:rsidR="00BC5219" w:rsidRPr="009C55C2" w:rsidRDefault="00BC5219" w:rsidP="00E83802">
            <w:pPr>
              <w:jc w:val="center"/>
              <w:rPr>
                <w:rFonts w:ascii="Meta Pro" w:eastAsia="Times New Roman" w:hAnsi="Meta Pro"/>
                <w:b/>
                <w:bCs/>
                <w:lang w:eastAsia="en-AU"/>
              </w:rPr>
            </w:pPr>
          </w:p>
        </w:tc>
        <w:tc>
          <w:tcPr>
            <w:tcW w:w="1701" w:type="dxa"/>
            <w:tcBorders>
              <w:top w:val="nil"/>
              <w:left w:val="nil"/>
              <w:bottom w:val="nil"/>
              <w:right w:val="nil"/>
            </w:tcBorders>
            <w:shd w:val="clear" w:color="auto" w:fill="auto"/>
            <w:noWrap/>
            <w:vAlign w:val="center"/>
            <w:hideMark/>
          </w:tcPr>
          <w:p w14:paraId="38FC07B7" w14:textId="77777777" w:rsidR="00BC5219" w:rsidRPr="009C55C2" w:rsidRDefault="00BC5219" w:rsidP="00E83802">
            <w:pPr>
              <w:jc w:val="center"/>
              <w:rPr>
                <w:rFonts w:ascii="Meta Pro" w:eastAsia="Times New Roman" w:hAnsi="Meta Pro"/>
                <w:b/>
                <w:bCs/>
                <w:lang w:eastAsia="en-AU"/>
              </w:rPr>
            </w:pPr>
            <w:r w:rsidRPr="009C55C2">
              <w:rPr>
                <w:rFonts w:ascii="Meta Pro" w:eastAsia="Times New Roman" w:hAnsi="Meta Pro"/>
                <w:b/>
                <w:bCs/>
                <w:lang w:eastAsia="en-AU"/>
              </w:rPr>
              <w:t>2022</w:t>
            </w:r>
          </w:p>
        </w:tc>
      </w:tr>
      <w:tr w:rsidR="00BC5219" w:rsidRPr="009C55C2" w14:paraId="734134D2" w14:textId="77777777" w:rsidTr="00E83802">
        <w:trPr>
          <w:trHeight w:val="240"/>
        </w:trPr>
        <w:tc>
          <w:tcPr>
            <w:tcW w:w="215" w:type="dxa"/>
            <w:tcBorders>
              <w:top w:val="nil"/>
              <w:left w:val="nil"/>
              <w:bottom w:val="nil"/>
              <w:right w:val="nil"/>
            </w:tcBorders>
            <w:shd w:val="clear" w:color="auto" w:fill="auto"/>
            <w:noWrap/>
            <w:vAlign w:val="center"/>
            <w:hideMark/>
          </w:tcPr>
          <w:p w14:paraId="78E66295" w14:textId="77777777" w:rsidR="00BC5219" w:rsidRPr="009C55C2" w:rsidRDefault="00BC5219" w:rsidP="00E83802">
            <w:pPr>
              <w:jc w:val="center"/>
              <w:rPr>
                <w:rFonts w:ascii="Meta Pro" w:eastAsia="Times New Roman" w:hAnsi="Meta Pro"/>
                <w:b/>
                <w:bCs/>
                <w:lang w:eastAsia="en-AU"/>
              </w:rPr>
            </w:pPr>
          </w:p>
        </w:tc>
        <w:tc>
          <w:tcPr>
            <w:tcW w:w="5103" w:type="dxa"/>
            <w:tcBorders>
              <w:top w:val="nil"/>
              <w:left w:val="nil"/>
              <w:bottom w:val="nil"/>
              <w:right w:val="nil"/>
            </w:tcBorders>
            <w:shd w:val="clear" w:color="auto" w:fill="auto"/>
            <w:noWrap/>
            <w:vAlign w:val="center"/>
            <w:hideMark/>
          </w:tcPr>
          <w:p w14:paraId="3960E258" w14:textId="77777777" w:rsidR="00BC5219" w:rsidRPr="009C55C2" w:rsidRDefault="00BC5219" w:rsidP="00E83802">
            <w:pPr>
              <w:rPr>
                <w:rFonts w:ascii="Times New Roman" w:eastAsia="Times New Roman" w:hAnsi="Times New Roman" w:cs="Times New Roman"/>
                <w:sz w:val="20"/>
                <w:szCs w:val="20"/>
                <w:lang w:eastAsia="en-AU"/>
              </w:rPr>
            </w:pPr>
          </w:p>
        </w:tc>
        <w:tc>
          <w:tcPr>
            <w:tcW w:w="567" w:type="dxa"/>
            <w:tcBorders>
              <w:top w:val="nil"/>
              <w:left w:val="nil"/>
              <w:bottom w:val="nil"/>
              <w:right w:val="nil"/>
            </w:tcBorders>
            <w:shd w:val="clear" w:color="auto" w:fill="auto"/>
            <w:noWrap/>
            <w:vAlign w:val="center"/>
            <w:hideMark/>
          </w:tcPr>
          <w:p w14:paraId="54D81951" w14:textId="77777777" w:rsidR="00BC5219" w:rsidRPr="009C55C2" w:rsidRDefault="00BC5219" w:rsidP="00E83802">
            <w:pPr>
              <w:rPr>
                <w:rFonts w:ascii="Times New Roman" w:eastAsia="Times New Roman" w:hAnsi="Times New Roman" w:cs="Times New Roman"/>
                <w:sz w:val="20"/>
                <w:szCs w:val="20"/>
                <w:lang w:eastAsia="en-AU"/>
              </w:rPr>
            </w:pPr>
          </w:p>
        </w:tc>
        <w:tc>
          <w:tcPr>
            <w:tcW w:w="6" w:type="dxa"/>
            <w:tcBorders>
              <w:top w:val="nil"/>
              <w:left w:val="nil"/>
              <w:bottom w:val="nil"/>
              <w:right w:val="nil"/>
            </w:tcBorders>
            <w:shd w:val="clear" w:color="auto" w:fill="auto"/>
            <w:noWrap/>
            <w:vAlign w:val="center"/>
            <w:hideMark/>
          </w:tcPr>
          <w:p w14:paraId="01501FFB" w14:textId="77777777" w:rsidR="00BC5219" w:rsidRPr="009C55C2" w:rsidRDefault="00BC5219" w:rsidP="00E83802">
            <w:pPr>
              <w:jc w:val="center"/>
              <w:rPr>
                <w:rFonts w:ascii="Times New Roman" w:eastAsia="Times New Roman" w:hAnsi="Times New Roman" w:cs="Times New Roman"/>
                <w:sz w:val="20"/>
                <w:szCs w:val="20"/>
                <w:lang w:eastAsia="en-AU"/>
              </w:rPr>
            </w:pPr>
          </w:p>
        </w:tc>
        <w:tc>
          <w:tcPr>
            <w:tcW w:w="1701" w:type="dxa"/>
            <w:tcBorders>
              <w:top w:val="nil"/>
              <w:left w:val="nil"/>
              <w:bottom w:val="nil"/>
              <w:right w:val="nil"/>
            </w:tcBorders>
            <w:shd w:val="clear" w:color="auto" w:fill="auto"/>
            <w:noWrap/>
            <w:vAlign w:val="center"/>
            <w:hideMark/>
          </w:tcPr>
          <w:p w14:paraId="79E794B5" w14:textId="77777777" w:rsidR="00BC5219" w:rsidRPr="009C55C2" w:rsidRDefault="00BC5219" w:rsidP="00E83802">
            <w:pPr>
              <w:jc w:val="center"/>
              <w:rPr>
                <w:rFonts w:ascii="Meta Pro" w:eastAsia="Times New Roman" w:hAnsi="Meta Pro"/>
                <w:b/>
                <w:bCs/>
                <w:color w:val="000000"/>
                <w:lang w:eastAsia="en-AU"/>
              </w:rPr>
            </w:pPr>
            <w:r w:rsidRPr="009C55C2">
              <w:rPr>
                <w:rFonts w:ascii="Meta Pro" w:eastAsia="Times New Roman" w:hAnsi="Meta Pro"/>
                <w:b/>
                <w:bCs/>
                <w:color w:val="000000"/>
                <w:lang w:eastAsia="en-AU"/>
              </w:rPr>
              <w:t>$'000</w:t>
            </w:r>
          </w:p>
        </w:tc>
        <w:tc>
          <w:tcPr>
            <w:tcW w:w="216" w:type="dxa"/>
            <w:tcBorders>
              <w:top w:val="nil"/>
              <w:left w:val="nil"/>
              <w:bottom w:val="nil"/>
              <w:right w:val="nil"/>
            </w:tcBorders>
            <w:shd w:val="clear" w:color="auto" w:fill="auto"/>
            <w:noWrap/>
            <w:vAlign w:val="center"/>
            <w:hideMark/>
          </w:tcPr>
          <w:p w14:paraId="4440CA42" w14:textId="77777777" w:rsidR="00BC5219" w:rsidRPr="009C55C2" w:rsidRDefault="00BC5219" w:rsidP="00E83802">
            <w:pPr>
              <w:jc w:val="center"/>
              <w:rPr>
                <w:rFonts w:ascii="Meta Pro" w:eastAsia="Times New Roman" w:hAnsi="Meta Pro"/>
                <w:b/>
                <w:bCs/>
                <w:color w:val="000000"/>
                <w:lang w:eastAsia="en-AU"/>
              </w:rPr>
            </w:pPr>
          </w:p>
        </w:tc>
        <w:tc>
          <w:tcPr>
            <w:tcW w:w="1701" w:type="dxa"/>
            <w:tcBorders>
              <w:top w:val="nil"/>
              <w:left w:val="nil"/>
              <w:bottom w:val="nil"/>
              <w:right w:val="nil"/>
            </w:tcBorders>
            <w:shd w:val="clear" w:color="auto" w:fill="auto"/>
            <w:noWrap/>
            <w:vAlign w:val="center"/>
            <w:hideMark/>
          </w:tcPr>
          <w:p w14:paraId="049C1794" w14:textId="77777777" w:rsidR="00BC5219" w:rsidRPr="009C55C2" w:rsidRDefault="00BC5219" w:rsidP="00E83802">
            <w:pPr>
              <w:jc w:val="center"/>
              <w:rPr>
                <w:rFonts w:ascii="Meta Pro" w:eastAsia="Times New Roman" w:hAnsi="Meta Pro"/>
                <w:b/>
                <w:bCs/>
                <w:color w:val="000000"/>
                <w:lang w:eastAsia="en-AU"/>
              </w:rPr>
            </w:pPr>
            <w:r w:rsidRPr="009C55C2">
              <w:rPr>
                <w:rFonts w:ascii="Meta Pro" w:eastAsia="Times New Roman" w:hAnsi="Meta Pro"/>
                <w:b/>
                <w:bCs/>
                <w:color w:val="000000"/>
                <w:lang w:eastAsia="en-AU"/>
              </w:rPr>
              <w:t>$'000</w:t>
            </w:r>
          </w:p>
        </w:tc>
      </w:tr>
      <w:tr w:rsidR="00BC5219" w:rsidRPr="009C55C2" w14:paraId="264CED49" w14:textId="77777777" w:rsidTr="00E83802">
        <w:trPr>
          <w:trHeight w:val="240"/>
        </w:trPr>
        <w:tc>
          <w:tcPr>
            <w:tcW w:w="5103" w:type="dxa"/>
            <w:gridSpan w:val="2"/>
            <w:tcBorders>
              <w:top w:val="nil"/>
              <w:left w:val="nil"/>
              <w:bottom w:val="nil"/>
              <w:right w:val="nil"/>
            </w:tcBorders>
            <w:shd w:val="clear" w:color="auto" w:fill="auto"/>
            <w:noWrap/>
            <w:vAlign w:val="center"/>
            <w:hideMark/>
          </w:tcPr>
          <w:p w14:paraId="27945500" w14:textId="77777777" w:rsidR="00BC5219" w:rsidRPr="009C55C2" w:rsidRDefault="00BC5219" w:rsidP="00E83802">
            <w:pPr>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Contributed equity</w:t>
            </w:r>
          </w:p>
        </w:tc>
        <w:tc>
          <w:tcPr>
            <w:tcW w:w="567" w:type="dxa"/>
            <w:tcBorders>
              <w:top w:val="nil"/>
              <w:left w:val="nil"/>
              <w:bottom w:val="nil"/>
              <w:right w:val="nil"/>
            </w:tcBorders>
            <w:shd w:val="clear" w:color="auto" w:fill="auto"/>
            <w:noWrap/>
            <w:vAlign w:val="center"/>
            <w:hideMark/>
          </w:tcPr>
          <w:p w14:paraId="008DAC75" w14:textId="77777777" w:rsidR="00BC5219" w:rsidRPr="009C55C2" w:rsidRDefault="00BC5219" w:rsidP="00E83802">
            <w:pPr>
              <w:rPr>
                <w:rFonts w:ascii="Meta Pro" w:eastAsia="Times New Roman" w:hAnsi="Meta Pro"/>
                <w:b/>
                <w:bCs/>
                <w:color w:val="000000"/>
                <w:szCs w:val="18"/>
                <w:lang w:eastAsia="en-AU"/>
              </w:rPr>
            </w:pPr>
          </w:p>
        </w:tc>
        <w:tc>
          <w:tcPr>
            <w:tcW w:w="6" w:type="dxa"/>
            <w:tcBorders>
              <w:top w:val="nil"/>
              <w:left w:val="nil"/>
              <w:bottom w:val="nil"/>
              <w:right w:val="nil"/>
            </w:tcBorders>
            <w:shd w:val="clear" w:color="auto" w:fill="auto"/>
            <w:noWrap/>
            <w:vAlign w:val="center"/>
            <w:hideMark/>
          </w:tcPr>
          <w:p w14:paraId="561DB49B" w14:textId="77777777" w:rsidR="00BC5219" w:rsidRPr="009C55C2" w:rsidRDefault="00BC5219" w:rsidP="00E83802">
            <w:pPr>
              <w:jc w:val="center"/>
              <w:rPr>
                <w:rFonts w:ascii="Times New Roman" w:eastAsia="Times New Roman" w:hAnsi="Times New Roman" w:cs="Times New Roman"/>
                <w:sz w:val="20"/>
                <w:szCs w:val="20"/>
                <w:lang w:eastAsia="en-AU"/>
              </w:rPr>
            </w:pPr>
          </w:p>
        </w:tc>
        <w:tc>
          <w:tcPr>
            <w:tcW w:w="1701" w:type="dxa"/>
            <w:tcBorders>
              <w:top w:val="nil"/>
              <w:left w:val="nil"/>
              <w:bottom w:val="nil"/>
              <w:right w:val="nil"/>
            </w:tcBorders>
            <w:shd w:val="clear" w:color="auto" w:fill="auto"/>
            <w:noWrap/>
            <w:vAlign w:val="center"/>
            <w:hideMark/>
          </w:tcPr>
          <w:p w14:paraId="4CA68FAD" w14:textId="77777777" w:rsidR="00BC5219" w:rsidRPr="009C55C2" w:rsidRDefault="00BC5219" w:rsidP="00E83802">
            <w:pPr>
              <w:rPr>
                <w:rFonts w:ascii="Times New Roman" w:eastAsia="Times New Roman" w:hAnsi="Times New Roman"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2CE2BE55" w14:textId="77777777" w:rsidR="00BC5219" w:rsidRPr="009C55C2" w:rsidRDefault="00BC5219" w:rsidP="00E83802">
            <w:pPr>
              <w:rPr>
                <w:rFonts w:ascii="Times New Roman" w:eastAsia="Times New Roman" w:hAnsi="Times New Roman" w:cs="Times New Roman"/>
                <w:sz w:val="20"/>
                <w:szCs w:val="20"/>
                <w:lang w:eastAsia="en-AU"/>
              </w:rPr>
            </w:pPr>
          </w:p>
        </w:tc>
        <w:tc>
          <w:tcPr>
            <w:tcW w:w="1701" w:type="dxa"/>
            <w:tcBorders>
              <w:top w:val="nil"/>
              <w:left w:val="nil"/>
              <w:bottom w:val="nil"/>
              <w:right w:val="nil"/>
            </w:tcBorders>
            <w:shd w:val="clear" w:color="auto" w:fill="auto"/>
            <w:noWrap/>
            <w:vAlign w:val="center"/>
            <w:hideMark/>
          </w:tcPr>
          <w:p w14:paraId="11AC9E98" w14:textId="77777777" w:rsidR="00BC5219" w:rsidRPr="009C55C2" w:rsidRDefault="00BC5219" w:rsidP="00E83802">
            <w:pPr>
              <w:rPr>
                <w:rFonts w:ascii="Times New Roman" w:eastAsia="Times New Roman" w:hAnsi="Times New Roman" w:cs="Times New Roman"/>
                <w:sz w:val="20"/>
                <w:szCs w:val="20"/>
                <w:lang w:eastAsia="en-AU"/>
              </w:rPr>
            </w:pPr>
          </w:p>
        </w:tc>
      </w:tr>
      <w:tr w:rsidR="00BC5219" w:rsidRPr="009C55C2" w14:paraId="5B7FDC75" w14:textId="77777777" w:rsidTr="00E83802">
        <w:trPr>
          <w:trHeight w:val="240"/>
        </w:trPr>
        <w:tc>
          <w:tcPr>
            <w:tcW w:w="5103" w:type="dxa"/>
            <w:gridSpan w:val="2"/>
            <w:tcBorders>
              <w:top w:val="nil"/>
              <w:left w:val="nil"/>
              <w:bottom w:val="nil"/>
              <w:right w:val="nil"/>
            </w:tcBorders>
            <w:shd w:val="clear" w:color="auto" w:fill="auto"/>
            <w:noWrap/>
            <w:vAlign w:val="center"/>
            <w:hideMark/>
          </w:tcPr>
          <w:p w14:paraId="7037C89B"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Opening balance </w:t>
            </w:r>
          </w:p>
        </w:tc>
        <w:tc>
          <w:tcPr>
            <w:tcW w:w="567" w:type="dxa"/>
            <w:tcBorders>
              <w:top w:val="nil"/>
              <w:left w:val="nil"/>
              <w:bottom w:val="nil"/>
              <w:right w:val="nil"/>
            </w:tcBorders>
            <w:shd w:val="clear" w:color="auto" w:fill="auto"/>
            <w:noWrap/>
            <w:vAlign w:val="center"/>
            <w:hideMark/>
          </w:tcPr>
          <w:p w14:paraId="2717E044" w14:textId="77777777" w:rsidR="00BC5219" w:rsidRPr="009C55C2" w:rsidRDefault="00BC5219" w:rsidP="00E83802">
            <w:pPr>
              <w:rPr>
                <w:rFonts w:ascii="Meta Pro" w:eastAsia="Times New Roman" w:hAnsi="Meta Pro"/>
                <w:color w:val="000000"/>
                <w:szCs w:val="18"/>
                <w:lang w:eastAsia="en-AU"/>
              </w:rPr>
            </w:pPr>
          </w:p>
        </w:tc>
        <w:tc>
          <w:tcPr>
            <w:tcW w:w="6" w:type="dxa"/>
            <w:tcBorders>
              <w:top w:val="nil"/>
              <w:left w:val="nil"/>
              <w:bottom w:val="nil"/>
              <w:right w:val="nil"/>
            </w:tcBorders>
            <w:shd w:val="clear" w:color="auto" w:fill="auto"/>
            <w:noWrap/>
            <w:vAlign w:val="center"/>
            <w:hideMark/>
          </w:tcPr>
          <w:p w14:paraId="5A035137" w14:textId="77777777" w:rsidR="00BC5219" w:rsidRPr="009C55C2" w:rsidRDefault="00BC5219" w:rsidP="00E83802">
            <w:pPr>
              <w:jc w:val="center"/>
              <w:rPr>
                <w:rFonts w:ascii="Times New Roman" w:eastAsia="Times New Roman" w:hAnsi="Times New Roman" w:cs="Times New Roman"/>
                <w:sz w:val="20"/>
                <w:szCs w:val="20"/>
                <w:lang w:eastAsia="en-AU"/>
              </w:rPr>
            </w:pPr>
          </w:p>
        </w:tc>
        <w:tc>
          <w:tcPr>
            <w:tcW w:w="1701" w:type="dxa"/>
            <w:tcBorders>
              <w:top w:val="nil"/>
              <w:left w:val="nil"/>
              <w:bottom w:val="nil"/>
              <w:right w:val="nil"/>
            </w:tcBorders>
            <w:shd w:val="clear" w:color="000000" w:fill="C9E3B4"/>
            <w:noWrap/>
            <w:vAlign w:val="center"/>
            <w:hideMark/>
          </w:tcPr>
          <w:p w14:paraId="4C4F93E1"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66,098,620 </w:t>
            </w:r>
          </w:p>
        </w:tc>
        <w:tc>
          <w:tcPr>
            <w:tcW w:w="216" w:type="dxa"/>
            <w:tcBorders>
              <w:top w:val="nil"/>
              <w:left w:val="nil"/>
              <w:bottom w:val="nil"/>
              <w:right w:val="nil"/>
            </w:tcBorders>
            <w:shd w:val="clear" w:color="auto" w:fill="auto"/>
            <w:noWrap/>
            <w:vAlign w:val="center"/>
            <w:hideMark/>
          </w:tcPr>
          <w:p w14:paraId="23E903F8" w14:textId="77777777" w:rsidR="00BC5219" w:rsidRPr="009C55C2" w:rsidRDefault="00BC5219" w:rsidP="00E83802">
            <w:pPr>
              <w:jc w:val="right"/>
              <w:rPr>
                <w:rFonts w:ascii="Meta Pro" w:eastAsia="Times New Roman" w:hAnsi="Meta Pro"/>
                <w:color w:val="000000"/>
                <w:szCs w:val="18"/>
                <w:lang w:eastAsia="en-AU"/>
              </w:rPr>
            </w:pPr>
          </w:p>
        </w:tc>
        <w:tc>
          <w:tcPr>
            <w:tcW w:w="1701" w:type="dxa"/>
            <w:tcBorders>
              <w:top w:val="nil"/>
              <w:left w:val="nil"/>
              <w:bottom w:val="nil"/>
              <w:right w:val="nil"/>
            </w:tcBorders>
            <w:shd w:val="clear" w:color="auto" w:fill="auto"/>
            <w:noWrap/>
            <w:vAlign w:val="center"/>
            <w:hideMark/>
          </w:tcPr>
          <w:p w14:paraId="3D4A03C8"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63,271,312 </w:t>
            </w:r>
          </w:p>
        </w:tc>
      </w:tr>
      <w:tr w:rsidR="00BC5219" w:rsidRPr="009C55C2" w14:paraId="6654FD34" w14:textId="77777777" w:rsidTr="00E83802">
        <w:trPr>
          <w:trHeight w:val="240"/>
        </w:trPr>
        <w:tc>
          <w:tcPr>
            <w:tcW w:w="5103" w:type="dxa"/>
            <w:gridSpan w:val="2"/>
            <w:tcBorders>
              <w:top w:val="nil"/>
              <w:left w:val="nil"/>
              <w:bottom w:val="nil"/>
              <w:right w:val="nil"/>
            </w:tcBorders>
            <w:shd w:val="clear" w:color="auto" w:fill="auto"/>
            <w:noWrap/>
            <w:vAlign w:val="center"/>
            <w:hideMark/>
          </w:tcPr>
          <w:p w14:paraId="5339554F"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Transactions with owners as owners:</w:t>
            </w:r>
          </w:p>
        </w:tc>
        <w:tc>
          <w:tcPr>
            <w:tcW w:w="567" w:type="dxa"/>
            <w:tcBorders>
              <w:top w:val="nil"/>
              <w:left w:val="nil"/>
              <w:bottom w:val="nil"/>
              <w:right w:val="nil"/>
            </w:tcBorders>
            <w:shd w:val="clear" w:color="auto" w:fill="auto"/>
            <w:noWrap/>
            <w:vAlign w:val="center"/>
            <w:hideMark/>
          </w:tcPr>
          <w:p w14:paraId="598AAB9D" w14:textId="77777777" w:rsidR="00BC5219" w:rsidRPr="009C55C2" w:rsidRDefault="00BC5219" w:rsidP="00E83802">
            <w:pPr>
              <w:rPr>
                <w:rFonts w:ascii="Meta Pro" w:eastAsia="Times New Roman" w:hAnsi="Meta Pro"/>
                <w:color w:val="000000"/>
                <w:szCs w:val="18"/>
                <w:lang w:eastAsia="en-AU"/>
              </w:rPr>
            </w:pPr>
          </w:p>
        </w:tc>
        <w:tc>
          <w:tcPr>
            <w:tcW w:w="6" w:type="dxa"/>
            <w:tcBorders>
              <w:top w:val="nil"/>
              <w:left w:val="nil"/>
              <w:bottom w:val="nil"/>
              <w:right w:val="nil"/>
            </w:tcBorders>
            <w:shd w:val="clear" w:color="auto" w:fill="auto"/>
            <w:noWrap/>
            <w:vAlign w:val="center"/>
            <w:hideMark/>
          </w:tcPr>
          <w:p w14:paraId="37E67FCD" w14:textId="77777777" w:rsidR="00BC5219" w:rsidRPr="009C55C2" w:rsidRDefault="00BC5219" w:rsidP="00E83802">
            <w:pPr>
              <w:jc w:val="center"/>
              <w:rPr>
                <w:rFonts w:ascii="Times New Roman" w:eastAsia="Times New Roman" w:hAnsi="Times New Roman" w:cs="Times New Roman"/>
                <w:sz w:val="20"/>
                <w:szCs w:val="20"/>
                <w:lang w:eastAsia="en-AU"/>
              </w:rPr>
            </w:pPr>
          </w:p>
        </w:tc>
        <w:tc>
          <w:tcPr>
            <w:tcW w:w="1701" w:type="dxa"/>
            <w:tcBorders>
              <w:top w:val="nil"/>
              <w:left w:val="nil"/>
              <w:bottom w:val="nil"/>
              <w:right w:val="nil"/>
            </w:tcBorders>
            <w:shd w:val="clear" w:color="000000" w:fill="C9E3B4"/>
            <w:noWrap/>
            <w:vAlign w:val="center"/>
            <w:hideMark/>
          </w:tcPr>
          <w:p w14:paraId="20C1A62E"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4010E9DC" w14:textId="77777777" w:rsidR="00BC5219" w:rsidRPr="009C55C2" w:rsidRDefault="00BC5219" w:rsidP="00E83802">
            <w:pPr>
              <w:jc w:val="right"/>
              <w:rPr>
                <w:rFonts w:ascii="Meta Pro" w:eastAsia="Times New Roman" w:hAnsi="Meta Pro"/>
                <w:color w:val="000000"/>
                <w:szCs w:val="18"/>
                <w:lang w:eastAsia="en-AU"/>
              </w:rPr>
            </w:pPr>
          </w:p>
        </w:tc>
        <w:tc>
          <w:tcPr>
            <w:tcW w:w="1701" w:type="dxa"/>
            <w:tcBorders>
              <w:top w:val="nil"/>
              <w:left w:val="nil"/>
              <w:bottom w:val="nil"/>
              <w:right w:val="nil"/>
            </w:tcBorders>
            <w:shd w:val="clear" w:color="auto" w:fill="auto"/>
            <w:noWrap/>
            <w:vAlign w:val="center"/>
            <w:hideMark/>
          </w:tcPr>
          <w:p w14:paraId="63E86AC5" w14:textId="77777777" w:rsidR="00BC5219" w:rsidRPr="009C55C2" w:rsidRDefault="00BC5219" w:rsidP="00E83802">
            <w:pPr>
              <w:jc w:val="right"/>
              <w:rPr>
                <w:rFonts w:ascii="Times New Roman" w:eastAsia="Times New Roman" w:hAnsi="Times New Roman" w:cs="Times New Roman"/>
                <w:sz w:val="20"/>
                <w:szCs w:val="20"/>
                <w:lang w:eastAsia="en-AU"/>
              </w:rPr>
            </w:pPr>
          </w:p>
        </w:tc>
      </w:tr>
      <w:tr w:rsidR="00BC5219" w:rsidRPr="009C55C2" w14:paraId="2B654DE7" w14:textId="77777777" w:rsidTr="00E83802">
        <w:trPr>
          <w:trHeight w:val="240"/>
        </w:trPr>
        <w:tc>
          <w:tcPr>
            <w:tcW w:w="215" w:type="dxa"/>
            <w:tcBorders>
              <w:top w:val="nil"/>
              <w:left w:val="nil"/>
              <w:bottom w:val="nil"/>
              <w:right w:val="nil"/>
            </w:tcBorders>
            <w:shd w:val="clear" w:color="auto" w:fill="auto"/>
            <w:noWrap/>
            <w:vAlign w:val="center"/>
            <w:hideMark/>
          </w:tcPr>
          <w:p w14:paraId="65829479"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w:t>
            </w:r>
          </w:p>
        </w:tc>
        <w:tc>
          <w:tcPr>
            <w:tcW w:w="5103" w:type="dxa"/>
            <w:tcBorders>
              <w:top w:val="nil"/>
              <w:left w:val="nil"/>
              <w:bottom w:val="nil"/>
              <w:right w:val="nil"/>
            </w:tcBorders>
            <w:shd w:val="clear" w:color="auto" w:fill="auto"/>
            <w:noWrap/>
            <w:vAlign w:val="center"/>
            <w:hideMark/>
          </w:tcPr>
          <w:p w14:paraId="5D86C4F7"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Appropriated equity injections</w:t>
            </w:r>
          </w:p>
        </w:tc>
        <w:tc>
          <w:tcPr>
            <w:tcW w:w="567" w:type="dxa"/>
            <w:tcBorders>
              <w:top w:val="nil"/>
              <w:left w:val="nil"/>
              <w:bottom w:val="nil"/>
              <w:right w:val="nil"/>
            </w:tcBorders>
            <w:shd w:val="clear" w:color="auto" w:fill="auto"/>
            <w:noWrap/>
            <w:vAlign w:val="center"/>
            <w:hideMark/>
          </w:tcPr>
          <w:p w14:paraId="163F1DDC"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2</w:t>
            </w:r>
          </w:p>
        </w:tc>
        <w:tc>
          <w:tcPr>
            <w:tcW w:w="6" w:type="dxa"/>
            <w:tcBorders>
              <w:top w:val="nil"/>
              <w:left w:val="nil"/>
              <w:bottom w:val="nil"/>
              <w:right w:val="nil"/>
            </w:tcBorders>
            <w:shd w:val="clear" w:color="auto" w:fill="auto"/>
            <w:noWrap/>
            <w:vAlign w:val="center"/>
            <w:hideMark/>
          </w:tcPr>
          <w:p w14:paraId="0E694A81" w14:textId="77777777" w:rsidR="00BC5219" w:rsidRPr="009C55C2" w:rsidRDefault="00BC5219" w:rsidP="00E83802">
            <w:pPr>
              <w:jc w:val="center"/>
              <w:rPr>
                <w:rFonts w:ascii="Meta Pro" w:eastAsia="Times New Roman" w:hAnsi="Meta Pro"/>
                <w:color w:val="000000"/>
                <w:szCs w:val="18"/>
                <w:lang w:eastAsia="en-AU"/>
              </w:rPr>
            </w:pPr>
          </w:p>
        </w:tc>
        <w:tc>
          <w:tcPr>
            <w:tcW w:w="1701" w:type="dxa"/>
            <w:tcBorders>
              <w:top w:val="nil"/>
              <w:left w:val="nil"/>
              <w:bottom w:val="nil"/>
              <w:right w:val="nil"/>
            </w:tcBorders>
            <w:shd w:val="clear" w:color="000000" w:fill="C9E3B4"/>
            <w:noWrap/>
            <w:vAlign w:val="center"/>
            <w:hideMark/>
          </w:tcPr>
          <w:p w14:paraId="785BF893"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3,856,323 </w:t>
            </w:r>
          </w:p>
        </w:tc>
        <w:tc>
          <w:tcPr>
            <w:tcW w:w="216" w:type="dxa"/>
            <w:tcBorders>
              <w:top w:val="nil"/>
              <w:left w:val="nil"/>
              <w:bottom w:val="nil"/>
              <w:right w:val="nil"/>
            </w:tcBorders>
            <w:shd w:val="clear" w:color="auto" w:fill="auto"/>
            <w:noWrap/>
            <w:vAlign w:val="center"/>
            <w:hideMark/>
          </w:tcPr>
          <w:p w14:paraId="7B5C04B4" w14:textId="77777777" w:rsidR="00BC5219" w:rsidRPr="009C55C2" w:rsidRDefault="00BC5219" w:rsidP="00E83802">
            <w:pPr>
              <w:jc w:val="right"/>
              <w:rPr>
                <w:rFonts w:ascii="Meta Pro" w:eastAsia="Times New Roman" w:hAnsi="Meta Pro"/>
                <w:color w:val="000000"/>
                <w:szCs w:val="18"/>
                <w:lang w:eastAsia="en-AU"/>
              </w:rPr>
            </w:pPr>
          </w:p>
        </w:tc>
        <w:tc>
          <w:tcPr>
            <w:tcW w:w="1701" w:type="dxa"/>
            <w:tcBorders>
              <w:top w:val="nil"/>
              <w:left w:val="nil"/>
              <w:bottom w:val="nil"/>
              <w:right w:val="nil"/>
            </w:tcBorders>
            <w:shd w:val="clear" w:color="auto" w:fill="auto"/>
            <w:noWrap/>
            <w:vAlign w:val="center"/>
            <w:hideMark/>
          </w:tcPr>
          <w:p w14:paraId="142D5D69"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2,841,289 </w:t>
            </w:r>
          </w:p>
        </w:tc>
      </w:tr>
      <w:tr w:rsidR="00BC5219" w:rsidRPr="009C55C2" w14:paraId="745C4AC8" w14:textId="77777777" w:rsidTr="00E83802">
        <w:trPr>
          <w:trHeight w:val="240"/>
        </w:trPr>
        <w:tc>
          <w:tcPr>
            <w:tcW w:w="215" w:type="dxa"/>
            <w:tcBorders>
              <w:top w:val="nil"/>
              <w:left w:val="nil"/>
              <w:bottom w:val="nil"/>
              <w:right w:val="nil"/>
            </w:tcBorders>
            <w:shd w:val="clear" w:color="auto" w:fill="auto"/>
            <w:noWrap/>
            <w:vAlign w:val="center"/>
            <w:hideMark/>
          </w:tcPr>
          <w:p w14:paraId="686A58B4" w14:textId="77777777" w:rsidR="00BC5219" w:rsidRPr="009C55C2" w:rsidRDefault="00BC5219" w:rsidP="00E83802">
            <w:pPr>
              <w:jc w:val="right"/>
              <w:rPr>
                <w:rFonts w:ascii="Meta Pro" w:eastAsia="Times New Roman" w:hAnsi="Meta Pro"/>
                <w:color w:val="000000"/>
                <w:szCs w:val="18"/>
                <w:lang w:eastAsia="en-AU"/>
              </w:rPr>
            </w:pPr>
          </w:p>
        </w:tc>
        <w:tc>
          <w:tcPr>
            <w:tcW w:w="5103" w:type="dxa"/>
            <w:tcBorders>
              <w:top w:val="nil"/>
              <w:left w:val="nil"/>
              <w:bottom w:val="nil"/>
              <w:right w:val="nil"/>
            </w:tcBorders>
            <w:shd w:val="clear" w:color="auto" w:fill="auto"/>
            <w:noWrap/>
            <w:vAlign w:val="center"/>
            <w:hideMark/>
          </w:tcPr>
          <w:p w14:paraId="52D9DDA9"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Non-appropriated equity adjustments</w:t>
            </w:r>
          </w:p>
        </w:tc>
        <w:tc>
          <w:tcPr>
            <w:tcW w:w="567" w:type="dxa"/>
            <w:tcBorders>
              <w:top w:val="nil"/>
              <w:left w:val="nil"/>
              <w:bottom w:val="nil"/>
              <w:right w:val="nil"/>
            </w:tcBorders>
            <w:shd w:val="clear" w:color="auto" w:fill="auto"/>
            <w:noWrap/>
            <w:vAlign w:val="center"/>
            <w:hideMark/>
          </w:tcPr>
          <w:p w14:paraId="0B19884B" w14:textId="77777777" w:rsidR="00BC5219" w:rsidRPr="009C55C2" w:rsidRDefault="00BC5219" w:rsidP="00E83802">
            <w:pPr>
              <w:rPr>
                <w:rFonts w:ascii="Meta Pro" w:eastAsia="Times New Roman" w:hAnsi="Meta Pro"/>
                <w:color w:val="000000"/>
                <w:szCs w:val="18"/>
                <w:lang w:eastAsia="en-AU"/>
              </w:rPr>
            </w:pPr>
          </w:p>
        </w:tc>
        <w:tc>
          <w:tcPr>
            <w:tcW w:w="6" w:type="dxa"/>
            <w:tcBorders>
              <w:top w:val="nil"/>
              <w:left w:val="nil"/>
              <w:bottom w:val="nil"/>
              <w:right w:val="nil"/>
            </w:tcBorders>
            <w:shd w:val="clear" w:color="auto" w:fill="auto"/>
            <w:noWrap/>
            <w:vAlign w:val="center"/>
            <w:hideMark/>
          </w:tcPr>
          <w:p w14:paraId="6D8E6E4C" w14:textId="77777777" w:rsidR="00BC5219" w:rsidRPr="009C55C2" w:rsidRDefault="00BC5219" w:rsidP="00E83802">
            <w:pPr>
              <w:jc w:val="center"/>
              <w:rPr>
                <w:rFonts w:ascii="Times New Roman" w:eastAsia="Times New Roman" w:hAnsi="Times New Roman" w:cs="Times New Roman"/>
                <w:sz w:val="20"/>
                <w:szCs w:val="20"/>
                <w:lang w:eastAsia="en-AU"/>
              </w:rPr>
            </w:pPr>
          </w:p>
        </w:tc>
        <w:tc>
          <w:tcPr>
            <w:tcW w:w="1701" w:type="dxa"/>
            <w:tcBorders>
              <w:top w:val="nil"/>
              <w:left w:val="nil"/>
              <w:bottom w:val="nil"/>
              <w:right w:val="nil"/>
            </w:tcBorders>
            <w:shd w:val="clear" w:color="000000" w:fill="C9E3B4"/>
            <w:noWrap/>
            <w:vAlign w:val="center"/>
            <w:hideMark/>
          </w:tcPr>
          <w:p w14:paraId="0C2A5DA3"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54 </w:t>
            </w:r>
          </w:p>
        </w:tc>
        <w:tc>
          <w:tcPr>
            <w:tcW w:w="216" w:type="dxa"/>
            <w:tcBorders>
              <w:top w:val="nil"/>
              <w:left w:val="nil"/>
              <w:bottom w:val="nil"/>
              <w:right w:val="nil"/>
            </w:tcBorders>
            <w:shd w:val="clear" w:color="auto" w:fill="auto"/>
            <w:noWrap/>
            <w:vAlign w:val="center"/>
            <w:hideMark/>
          </w:tcPr>
          <w:p w14:paraId="5056EBCA" w14:textId="77777777" w:rsidR="00BC5219" w:rsidRPr="009C55C2" w:rsidRDefault="00BC5219" w:rsidP="00E83802">
            <w:pPr>
              <w:jc w:val="right"/>
              <w:rPr>
                <w:rFonts w:ascii="Meta Pro" w:eastAsia="Times New Roman" w:hAnsi="Meta Pro"/>
                <w:color w:val="000000"/>
                <w:szCs w:val="18"/>
                <w:lang w:eastAsia="en-AU"/>
              </w:rPr>
            </w:pPr>
          </w:p>
        </w:tc>
        <w:tc>
          <w:tcPr>
            <w:tcW w:w="1701" w:type="dxa"/>
            <w:tcBorders>
              <w:top w:val="nil"/>
              <w:left w:val="nil"/>
              <w:bottom w:val="nil"/>
              <w:right w:val="nil"/>
            </w:tcBorders>
            <w:shd w:val="clear" w:color="auto" w:fill="auto"/>
            <w:noWrap/>
            <w:vAlign w:val="center"/>
            <w:hideMark/>
          </w:tcPr>
          <w:p w14:paraId="31A0795A"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w:t>
            </w:r>
          </w:p>
        </w:tc>
      </w:tr>
      <w:tr w:rsidR="00BC5219" w:rsidRPr="009C55C2" w14:paraId="61D1E39B" w14:textId="77777777" w:rsidTr="00E83802">
        <w:trPr>
          <w:trHeight w:val="240"/>
        </w:trPr>
        <w:tc>
          <w:tcPr>
            <w:tcW w:w="215" w:type="dxa"/>
            <w:tcBorders>
              <w:top w:val="nil"/>
              <w:left w:val="nil"/>
              <w:bottom w:val="nil"/>
              <w:right w:val="nil"/>
            </w:tcBorders>
            <w:shd w:val="clear" w:color="auto" w:fill="auto"/>
            <w:noWrap/>
            <w:vAlign w:val="center"/>
            <w:hideMark/>
          </w:tcPr>
          <w:p w14:paraId="13ADD9BD" w14:textId="77777777" w:rsidR="00BC5219" w:rsidRPr="009C55C2" w:rsidRDefault="00BC5219" w:rsidP="00E83802">
            <w:pPr>
              <w:jc w:val="right"/>
              <w:rPr>
                <w:rFonts w:ascii="Meta Pro" w:eastAsia="Times New Roman" w:hAnsi="Meta Pro"/>
                <w:color w:val="000000"/>
                <w:szCs w:val="18"/>
                <w:lang w:eastAsia="en-AU"/>
              </w:rPr>
            </w:pPr>
          </w:p>
        </w:tc>
        <w:tc>
          <w:tcPr>
            <w:tcW w:w="5103" w:type="dxa"/>
            <w:tcBorders>
              <w:top w:val="nil"/>
              <w:left w:val="nil"/>
              <w:bottom w:val="nil"/>
              <w:right w:val="nil"/>
            </w:tcBorders>
            <w:shd w:val="clear" w:color="auto" w:fill="auto"/>
            <w:vAlign w:val="center"/>
            <w:hideMark/>
          </w:tcPr>
          <w:p w14:paraId="0F86DD89"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Net assets transferred to other Queensland Government entities</w:t>
            </w:r>
          </w:p>
        </w:tc>
        <w:tc>
          <w:tcPr>
            <w:tcW w:w="567" w:type="dxa"/>
            <w:tcBorders>
              <w:top w:val="nil"/>
              <w:left w:val="nil"/>
              <w:bottom w:val="nil"/>
              <w:right w:val="nil"/>
            </w:tcBorders>
            <w:shd w:val="clear" w:color="auto" w:fill="auto"/>
            <w:noWrap/>
            <w:vAlign w:val="center"/>
            <w:hideMark/>
          </w:tcPr>
          <w:p w14:paraId="43ED9B40" w14:textId="77777777" w:rsidR="00BC5219" w:rsidRPr="009C55C2" w:rsidRDefault="00BC5219" w:rsidP="00E83802">
            <w:pPr>
              <w:rPr>
                <w:rFonts w:ascii="Meta Pro" w:eastAsia="Times New Roman" w:hAnsi="Meta Pro"/>
                <w:color w:val="000000"/>
                <w:szCs w:val="18"/>
                <w:lang w:eastAsia="en-AU"/>
              </w:rPr>
            </w:pPr>
          </w:p>
        </w:tc>
        <w:tc>
          <w:tcPr>
            <w:tcW w:w="6" w:type="dxa"/>
            <w:tcBorders>
              <w:top w:val="nil"/>
              <w:left w:val="nil"/>
              <w:bottom w:val="nil"/>
              <w:right w:val="nil"/>
            </w:tcBorders>
            <w:shd w:val="clear" w:color="auto" w:fill="auto"/>
            <w:noWrap/>
            <w:vAlign w:val="center"/>
            <w:hideMark/>
          </w:tcPr>
          <w:p w14:paraId="0D69AEDC" w14:textId="77777777" w:rsidR="00BC5219" w:rsidRPr="009C55C2" w:rsidRDefault="00BC5219" w:rsidP="00E83802">
            <w:pPr>
              <w:jc w:val="center"/>
              <w:rPr>
                <w:rFonts w:ascii="Times New Roman" w:eastAsia="Times New Roman" w:hAnsi="Times New Roman" w:cs="Times New Roman"/>
                <w:sz w:val="20"/>
                <w:szCs w:val="20"/>
                <w:lang w:eastAsia="en-AU"/>
              </w:rPr>
            </w:pPr>
          </w:p>
        </w:tc>
        <w:tc>
          <w:tcPr>
            <w:tcW w:w="1701" w:type="dxa"/>
            <w:tcBorders>
              <w:top w:val="nil"/>
              <w:left w:val="nil"/>
              <w:bottom w:val="nil"/>
              <w:right w:val="nil"/>
            </w:tcBorders>
            <w:shd w:val="clear" w:color="000000" w:fill="C9E3B4"/>
            <w:noWrap/>
            <w:vAlign w:val="center"/>
            <w:hideMark/>
          </w:tcPr>
          <w:p w14:paraId="2A65E1C6"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(39,176)</w:t>
            </w:r>
          </w:p>
        </w:tc>
        <w:tc>
          <w:tcPr>
            <w:tcW w:w="216" w:type="dxa"/>
            <w:tcBorders>
              <w:top w:val="nil"/>
              <w:left w:val="nil"/>
              <w:bottom w:val="nil"/>
              <w:right w:val="nil"/>
            </w:tcBorders>
            <w:shd w:val="clear" w:color="auto" w:fill="auto"/>
            <w:noWrap/>
            <w:vAlign w:val="center"/>
            <w:hideMark/>
          </w:tcPr>
          <w:p w14:paraId="21933715" w14:textId="77777777" w:rsidR="00BC5219" w:rsidRPr="009C55C2" w:rsidRDefault="00BC5219" w:rsidP="00E83802">
            <w:pPr>
              <w:jc w:val="right"/>
              <w:rPr>
                <w:rFonts w:ascii="Meta Pro" w:eastAsia="Times New Roman" w:hAnsi="Meta Pro"/>
                <w:color w:val="000000"/>
                <w:szCs w:val="18"/>
                <w:lang w:eastAsia="en-AU"/>
              </w:rPr>
            </w:pPr>
          </w:p>
        </w:tc>
        <w:tc>
          <w:tcPr>
            <w:tcW w:w="1701" w:type="dxa"/>
            <w:tcBorders>
              <w:top w:val="nil"/>
              <w:left w:val="nil"/>
              <w:bottom w:val="nil"/>
              <w:right w:val="nil"/>
            </w:tcBorders>
            <w:shd w:val="clear" w:color="auto" w:fill="auto"/>
            <w:noWrap/>
            <w:vAlign w:val="center"/>
            <w:hideMark/>
          </w:tcPr>
          <w:p w14:paraId="27B4E56A"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(13,981)</w:t>
            </w:r>
          </w:p>
        </w:tc>
      </w:tr>
      <w:tr w:rsidR="00BC5219" w:rsidRPr="009C55C2" w14:paraId="0C5A1E6C" w14:textId="77777777" w:rsidTr="00E83802">
        <w:trPr>
          <w:trHeight w:val="240"/>
        </w:trPr>
        <w:tc>
          <w:tcPr>
            <w:tcW w:w="215" w:type="dxa"/>
            <w:tcBorders>
              <w:top w:val="nil"/>
              <w:left w:val="nil"/>
              <w:bottom w:val="single" w:sz="4" w:space="0" w:color="auto"/>
              <w:right w:val="nil"/>
            </w:tcBorders>
            <w:shd w:val="clear" w:color="auto" w:fill="auto"/>
            <w:noWrap/>
            <w:vAlign w:val="center"/>
            <w:hideMark/>
          </w:tcPr>
          <w:p w14:paraId="4C1591D1"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5103" w:type="dxa"/>
            <w:tcBorders>
              <w:top w:val="nil"/>
              <w:left w:val="nil"/>
              <w:bottom w:val="nil"/>
              <w:right w:val="nil"/>
            </w:tcBorders>
            <w:shd w:val="clear" w:color="auto" w:fill="auto"/>
            <w:noWrap/>
            <w:vAlign w:val="center"/>
            <w:hideMark/>
          </w:tcPr>
          <w:p w14:paraId="7287D6F7" w14:textId="77777777" w:rsidR="00BC5219" w:rsidRPr="009C55C2" w:rsidRDefault="00BC5219" w:rsidP="00E83802">
            <w:pPr>
              <w:rPr>
                <w:rFonts w:ascii="Meta Pro" w:eastAsia="Times New Roman" w:hAnsi="Meta Pro"/>
                <w:szCs w:val="18"/>
                <w:lang w:eastAsia="en-AU"/>
              </w:rPr>
            </w:pPr>
            <w:r w:rsidRPr="009C55C2">
              <w:rPr>
                <w:rFonts w:ascii="Meta Pro" w:eastAsia="Times New Roman" w:hAnsi="Meta Pro"/>
                <w:szCs w:val="18"/>
                <w:lang w:eastAsia="en-AU"/>
              </w:rPr>
              <w:t>Net assets received due to machinery-of-government change</w:t>
            </w:r>
          </w:p>
        </w:tc>
        <w:tc>
          <w:tcPr>
            <w:tcW w:w="567" w:type="dxa"/>
            <w:tcBorders>
              <w:top w:val="nil"/>
              <w:left w:val="nil"/>
              <w:bottom w:val="single" w:sz="4" w:space="0" w:color="auto"/>
              <w:right w:val="nil"/>
            </w:tcBorders>
            <w:shd w:val="clear" w:color="auto" w:fill="auto"/>
            <w:noWrap/>
            <w:vAlign w:val="center"/>
            <w:hideMark/>
          </w:tcPr>
          <w:p w14:paraId="604EABFA"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1</w:t>
            </w:r>
          </w:p>
        </w:tc>
        <w:tc>
          <w:tcPr>
            <w:tcW w:w="6" w:type="dxa"/>
            <w:tcBorders>
              <w:top w:val="nil"/>
              <w:left w:val="nil"/>
              <w:bottom w:val="single" w:sz="4" w:space="0" w:color="auto"/>
              <w:right w:val="nil"/>
            </w:tcBorders>
            <w:shd w:val="clear" w:color="auto" w:fill="auto"/>
            <w:vAlign w:val="center"/>
            <w:hideMark/>
          </w:tcPr>
          <w:p w14:paraId="4528858A"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1701" w:type="dxa"/>
            <w:tcBorders>
              <w:top w:val="nil"/>
              <w:left w:val="nil"/>
              <w:bottom w:val="single" w:sz="4" w:space="0" w:color="auto"/>
              <w:right w:val="nil"/>
            </w:tcBorders>
            <w:shd w:val="clear" w:color="000000" w:fill="C9E3B4"/>
            <w:noWrap/>
            <w:vAlign w:val="center"/>
            <w:hideMark/>
          </w:tcPr>
          <w:p w14:paraId="3E97D24E"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98,853 </w:t>
            </w:r>
          </w:p>
        </w:tc>
        <w:tc>
          <w:tcPr>
            <w:tcW w:w="216" w:type="dxa"/>
            <w:tcBorders>
              <w:top w:val="nil"/>
              <w:left w:val="nil"/>
              <w:bottom w:val="single" w:sz="4" w:space="0" w:color="auto"/>
              <w:right w:val="nil"/>
            </w:tcBorders>
            <w:shd w:val="clear" w:color="auto" w:fill="auto"/>
            <w:noWrap/>
            <w:vAlign w:val="center"/>
            <w:hideMark/>
          </w:tcPr>
          <w:p w14:paraId="616BC5A3"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1701" w:type="dxa"/>
            <w:tcBorders>
              <w:top w:val="nil"/>
              <w:left w:val="nil"/>
              <w:bottom w:val="single" w:sz="4" w:space="0" w:color="auto"/>
              <w:right w:val="nil"/>
            </w:tcBorders>
            <w:shd w:val="clear" w:color="auto" w:fill="auto"/>
            <w:noWrap/>
            <w:vAlign w:val="center"/>
            <w:hideMark/>
          </w:tcPr>
          <w:p w14:paraId="7E89ED1B"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w:t>
            </w:r>
          </w:p>
        </w:tc>
      </w:tr>
      <w:tr w:rsidR="00BC5219" w:rsidRPr="009C55C2" w14:paraId="42C0F53E" w14:textId="77777777" w:rsidTr="00E83802">
        <w:trPr>
          <w:trHeight w:val="240"/>
        </w:trPr>
        <w:tc>
          <w:tcPr>
            <w:tcW w:w="5103" w:type="dxa"/>
            <w:gridSpan w:val="2"/>
            <w:tcBorders>
              <w:top w:val="single" w:sz="4" w:space="0" w:color="auto"/>
              <w:left w:val="nil"/>
              <w:bottom w:val="nil"/>
              <w:right w:val="nil"/>
            </w:tcBorders>
            <w:shd w:val="clear" w:color="auto" w:fill="auto"/>
            <w:noWrap/>
            <w:vAlign w:val="center"/>
            <w:hideMark/>
          </w:tcPr>
          <w:p w14:paraId="784DC137" w14:textId="77777777" w:rsidR="00BC5219" w:rsidRPr="009C55C2" w:rsidRDefault="00BC5219" w:rsidP="00E83802">
            <w:pPr>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Closing balance</w:t>
            </w:r>
          </w:p>
        </w:tc>
        <w:tc>
          <w:tcPr>
            <w:tcW w:w="567" w:type="dxa"/>
            <w:tcBorders>
              <w:top w:val="nil"/>
              <w:left w:val="nil"/>
              <w:bottom w:val="nil"/>
              <w:right w:val="nil"/>
            </w:tcBorders>
            <w:shd w:val="clear" w:color="auto" w:fill="auto"/>
            <w:noWrap/>
            <w:vAlign w:val="center"/>
            <w:hideMark/>
          </w:tcPr>
          <w:p w14:paraId="59FA4CB8" w14:textId="77777777" w:rsidR="00BC5219" w:rsidRPr="009C55C2" w:rsidRDefault="00BC5219" w:rsidP="00E83802">
            <w:pPr>
              <w:rPr>
                <w:rFonts w:ascii="Meta Pro" w:eastAsia="Times New Roman" w:hAnsi="Meta Pro"/>
                <w:b/>
                <w:bCs/>
                <w:color w:val="000000"/>
                <w:szCs w:val="18"/>
                <w:lang w:eastAsia="en-AU"/>
              </w:rPr>
            </w:pPr>
          </w:p>
        </w:tc>
        <w:tc>
          <w:tcPr>
            <w:tcW w:w="6" w:type="dxa"/>
            <w:tcBorders>
              <w:top w:val="nil"/>
              <w:left w:val="nil"/>
              <w:bottom w:val="nil"/>
              <w:right w:val="nil"/>
            </w:tcBorders>
            <w:shd w:val="clear" w:color="auto" w:fill="auto"/>
            <w:noWrap/>
            <w:vAlign w:val="center"/>
            <w:hideMark/>
          </w:tcPr>
          <w:p w14:paraId="725E24DA" w14:textId="77777777" w:rsidR="00BC5219" w:rsidRPr="009C55C2" w:rsidRDefault="00BC5219" w:rsidP="00E83802">
            <w:pPr>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w:t>
            </w:r>
          </w:p>
        </w:tc>
        <w:tc>
          <w:tcPr>
            <w:tcW w:w="1701" w:type="dxa"/>
            <w:tcBorders>
              <w:top w:val="nil"/>
              <w:left w:val="nil"/>
              <w:bottom w:val="nil"/>
              <w:right w:val="nil"/>
            </w:tcBorders>
            <w:shd w:val="clear" w:color="000000" w:fill="C9E3B4"/>
            <w:noWrap/>
            <w:vAlign w:val="center"/>
            <w:hideMark/>
          </w:tcPr>
          <w:p w14:paraId="20B8C29F"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xml:space="preserve">          70,014,674 </w:t>
            </w:r>
          </w:p>
        </w:tc>
        <w:tc>
          <w:tcPr>
            <w:tcW w:w="216" w:type="dxa"/>
            <w:tcBorders>
              <w:top w:val="nil"/>
              <w:left w:val="nil"/>
              <w:bottom w:val="nil"/>
              <w:right w:val="nil"/>
            </w:tcBorders>
            <w:shd w:val="clear" w:color="auto" w:fill="auto"/>
            <w:noWrap/>
            <w:vAlign w:val="center"/>
            <w:hideMark/>
          </w:tcPr>
          <w:p w14:paraId="6B0F1850"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w:t>
            </w:r>
          </w:p>
        </w:tc>
        <w:tc>
          <w:tcPr>
            <w:tcW w:w="1701" w:type="dxa"/>
            <w:tcBorders>
              <w:top w:val="nil"/>
              <w:left w:val="nil"/>
              <w:bottom w:val="nil"/>
              <w:right w:val="nil"/>
            </w:tcBorders>
            <w:shd w:val="clear" w:color="auto" w:fill="auto"/>
            <w:noWrap/>
            <w:vAlign w:val="center"/>
            <w:hideMark/>
          </w:tcPr>
          <w:p w14:paraId="3D24AB00"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xml:space="preserve">              66,098,620 </w:t>
            </w:r>
          </w:p>
        </w:tc>
      </w:tr>
      <w:tr w:rsidR="00BC5219" w:rsidRPr="009C55C2" w14:paraId="7E1C97FD" w14:textId="77777777" w:rsidTr="00E83802">
        <w:trPr>
          <w:trHeight w:val="240"/>
        </w:trPr>
        <w:tc>
          <w:tcPr>
            <w:tcW w:w="215" w:type="dxa"/>
            <w:tcBorders>
              <w:top w:val="nil"/>
              <w:left w:val="nil"/>
              <w:bottom w:val="nil"/>
              <w:right w:val="nil"/>
            </w:tcBorders>
            <w:shd w:val="clear" w:color="auto" w:fill="auto"/>
            <w:noWrap/>
            <w:vAlign w:val="center"/>
            <w:hideMark/>
          </w:tcPr>
          <w:p w14:paraId="7F8D27FB" w14:textId="77777777" w:rsidR="00BC5219" w:rsidRPr="009C55C2" w:rsidRDefault="00BC5219" w:rsidP="00E83802">
            <w:pPr>
              <w:jc w:val="right"/>
              <w:rPr>
                <w:rFonts w:ascii="Meta Pro" w:eastAsia="Times New Roman" w:hAnsi="Meta Pro"/>
                <w:b/>
                <w:bCs/>
                <w:color w:val="000000"/>
                <w:szCs w:val="18"/>
                <w:lang w:eastAsia="en-AU"/>
              </w:rPr>
            </w:pPr>
          </w:p>
        </w:tc>
        <w:tc>
          <w:tcPr>
            <w:tcW w:w="5103" w:type="dxa"/>
            <w:tcBorders>
              <w:top w:val="nil"/>
              <w:left w:val="nil"/>
              <w:bottom w:val="nil"/>
              <w:right w:val="nil"/>
            </w:tcBorders>
            <w:shd w:val="clear" w:color="auto" w:fill="auto"/>
            <w:noWrap/>
            <w:vAlign w:val="center"/>
            <w:hideMark/>
          </w:tcPr>
          <w:p w14:paraId="6543CDEE" w14:textId="77777777" w:rsidR="00BC5219" w:rsidRPr="009C55C2" w:rsidRDefault="00BC5219" w:rsidP="00E83802">
            <w:pPr>
              <w:rPr>
                <w:rFonts w:ascii="Times New Roman" w:eastAsia="Times New Roman" w:hAnsi="Times New Roman" w:cs="Times New Roman"/>
                <w:sz w:val="20"/>
                <w:szCs w:val="20"/>
                <w:lang w:eastAsia="en-AU"/>
              </w:rPr>
            </w:pPr>
          </w:p>
        </w:tc>
        <w:tc>
          <w:tcPr>
            <w:tcW w:w="567" w:type="dxa"/>
            <w:tcBorders>
              <w:top w:val="nil"/>
              <w:left w:val="nil"/>
              <w:bottom w:val="nil"/>
              <w:right w:val="nil"/>
            </w:tcBorders>
            <w:shd w:val="clear" w:color="auto" w:fill="auto"/>
            <w:noWrap/>
            <w:vAlign w:val="center"/>
            <w:hideMark/>
          </w:tcPr>
          <w:p w14:paraId="75400623" w14:textId="77777777" w:rsidR="00BC5219" w:rsidRPr="009C55C2" w:rsidRDefault="00BC5219" w:rsidP="00E83802">
            <w:pPr>
              <w:rPr>
                <w:rFonts w:ascii="Times New Roman" w:eastAsia="Times New Roman" w:hAnsi="Times New Roman" w:cs="Times New Roman"/>
                <w:sz w:val="20"/>
                <w:szCs w:val="20"/>
                <w:lang w:eastAsia="en-AU"/>
              </w:rPr>
            </w:pPr>
          </w:p>
        </w:tc>
        <w:tc>
          <w:tcPr>
            <w:tcW w:w="6" w:type="dxa"/>
            <w:tcBorders>
              <w:top w:val="nil"/>
              <w:left w:val="nil"/>
              <w:bottom w:val="nil"/>
              <w:right w:val="nil"/>
            </w:tcBorders>
            <w:shd w:val="clear" w:color="auto" w:fill="auto"/>
            <w:noWrap/>
            <w:vAlign w:val="center"/>
            <w:hideMark/>
          </w:tcPr>
          <w:p w14:paraId="34387563" w14:textId="77777777" w:rsidR="00BC5219" w:rsidRPr="009C55C2" w:rsidRDefault="00BC5219" w:rsidP="00E83802">
            <w:pPr>
              <w:jc w:val="center"/>
              <w:rPr>
                <w:rFonts w:ascii="Times New Roman" w:eastAsia="Times New Roman" w:hAnsi="Times New Roman" w:cs="Times New Roman"/>
                <w:sz w:val="20"/>
                <w:szCs w:val="20"/>
                <w:lang w:eastAsia="en-AU"/>
              </w:rPr>
            </w:pPr>
          </w:p>
        </w:tc>
        <w:tc>
          <w:tcPr>
            <w:tcW w:w="1701" w:type="dxa"/>
            <w:tcBorders>
              <w:top w:val="nil"/>
              <w:left w:val="nil"/>
              <w:bottom w:val="nil"/>
              <w:right w:val="nil"/>
            </w:tcBorders>
            <w:shd w:val="clear" w:color="000000" w:fill="C9E3B4"/>
            <w:noWrap/>
            <w:vAlign w:val="center"/>
            <w:hideMark/>
          </w:tcPr>
          <w:p w14:paraId="74FC166D"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05F54E09" w14:textId="77777777" w:rsidR="00BC5219" w:rsidRPr="009C55C2" w:rsidRDefault="00BC5219" w:rsidP="00E83802">
            <w:pPr>
              <w:jc w:val="right"/>
              <w:rPr>
                <w:rFonts w:ascii="Meta Pro" w:eastAsia="Times New Roman" w:hAnsi="Meta Pro"/>
                <w:color w:val="000000"/>
                <w:szCs w:val="18"/>
                <w:lang w:eastAsia="en-AU"/>
              </w:rPr>
            </w:pPr>
          </w:p>
        </w:tc>
        <w:tc>
          <w:tcPr>
            <w:tcW w:w="1701" w:type="dxa"/>
            <w:tcBorders>
              <w:top w:val="nil"/>
              <w:left w:val="nil"/>
              <w:bottom w:val="nil"/>
              <w:right w:val="nil"/>
            </w:tcBorders>
            <w:shd w:val="clear" w:color="auto" w:fill="auto"/>
            <w:noWrap/>
            <w:vAlign w:val="center"/>
            <w:hideMark/>
          </w:tcPr>
          <w:p w14:paraId="2EBF5B41" w14:textId="77777777" w:rsidR="00BC5219" w:rsidRPr="009C55C2" w:rsidRDefault="00BC5219" w:rsidP="00E83802">
            <w:pPr>
              <w:jc w:val="right"/>
              <w:rPr>
                <w:rFonts w:ascii="Times New Roman" w:eastAsia="Times New Roman" w:hAnsi="Times New Roman" w:cs="Times New Roman"/>
                <w:sz w:val="20"/>
                <w:szCs w:val="20"/>
                <w:lang w:eastAsia="en-AU"/>
              </w:rPr>
            </w:pPr>
          </w:p>
        </w:tc>
      </w:tr>
      <w:tr w:rsidR="00BC5219" w:rsidRPr="009C55C2" w14:paraId="0942456A" w14:textId="77777777" w:rsidTr="00E83802">
        <w:trPr>
          <w:trHeight w:val="240"/>
        </w:trPr>
        <w:tc>
          <w:tcPr>
            <w:tcW w:w="5103" w:type="dxa"/>
            <w:gridSpan w:val="2"/>
            <w:tcBorders>
              <w:top w:val="nil"/>
              <w:left w:val="nil"/>
              <w:bottom w:val="nil"/>
              <w:right w:val="nil"/>
            </w:tcBorders>
            <w:shd w:val="clear" w:color="auto" w:fill="auto"/>
            <w:noWrap/>
            <w:vAlign w:val="center"/>
            <w:hideMark/>
          </w:tcPr>
          <w:p w14:paraId="29FFBAC6" w14:textId="77777777" w:rsidR="00BC5219" w:rsidRPr="009C55C2" w:rsidRDefault="00BC5219" w:rsidP="00E83802">
            <w:pPr>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Accumulated surplus/(deficit)</w:t>
            </w:r>
          </w:p>
        </w:tc>
        <w:tc>
          <w:tcPr>
            <w:tcW w:w="567" w:type="dxa"/>
            <w:tcBorders>
              <w:top w:val="nil"/>
              <w:left w:val="nil"/>
              <w:bottom w:val="nil"/>
              <w:right w:val="nil"/>
            </w:tcBorders>
            <w:shd w:val="clear" w:color="auto" w:fill="auto"/>
            <w:noWrap/>
            <w:vAlign w:val="center"/>
            <w:hideMark/>
          </w:tcPr>
          <w:p w14:paraId="52AD0D21" w14:textId="77777777" w:rsidR="00BC5219" w:rsidRPr="009C55C2" w:rsidRDefault="00BC5219" w:rsidP="00E83802">
            <w:pPr>
              <w:rPr>
                <w:rFonts w:ascii="Meta Pro" w:eastAsia="Times New Roman" w:hAnsi="Meta Pro"/>
                <w:b/>
                <w:bCs/>
                <w:color w:val="000000"/>
                <w:szCs w:val="18"/>
                <w:lang w:eastAsia="en-AU"/>
              </w:rPr>
            </w:pPr>
          </w:p>
        </w:tc>
        <w:tc>
          <w:tcPr>
            <w:tcW w:w="6" w:type="dxa"/>
            <w:tcBorders>
              <w:top w:val="nil"/>
              <w:left w:val="nil"/>
              <w:bottom w:val="nil"/>
              <w:right w:val="nil"/>
            </w:tcBorders>
            <w:shd w:val="clear" w:color="auto" w:fill="auto"/>
            <w:noWrap/>
            <w:vAlign w:val="center"/>
            <w:hideMark/>
          </w:tcPr>
          <w:p w14:paraId="53DD849A" w14:textId="77777777" w:rsidR="00BC5219" w:rsidRPr="009C55C2" w:rsidRDefault="00BC5219" w:rsidP="00E83802">
            <w:pPr>
              <w:jc w:val="center"/>
              <w:rPr>
                <w:rFonts w:ascii="Times New Roman" w:eastAsia="Times New Roman" w:hAnsi="Times New Roman" w:cs="Times New Roman"/>
                <w:sz w:val="20"/>
                <w:szCs w:val="20"/>
                <w:lang w:eastAsia="en-AU"/>
              </w:rPr>
            </w:pPr>
          </w:p>
        </w:tc>
        <w:tc>
          <w:tcPr>
            <w:tcW w:w="1701" w:type="dxa"/>
            <w:tcBorders>
              <w:top w:val="nil"/>
              <w:left w:val="nil"/>
              <w:bottom w:val="nil"/>
              <w:right w:val="nil"/>
            </w:tcBorders>
            <w:shd w:val="clear" w:color="000000" w:fill="C9E3B4"/>
            <w:noWrap/>
            <w:vAlign w:val="center"/>
            <w:hideMark/>
          </w:tcPr>
          <w:p w14:paraId="7434EB13"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2D2B1DA8" w14:textId="77777777" w:rsidR="00BC5219" w:rsidRPr="009C55C2" w:rsidRDefault="00BC5219" w:rsidP="00E83802">
            <w:pPr>
              <w:jc w:val="right"/>
              <w:rPr>
                <w:rFonts w:ascii="Meta Pro" w:eastAsia="Times New Roman" w:hAnsi="Meta Pro"/>
                <w:color w:val="000000"/>
                <w:szCs w:val="18"/>
                <w:lang w:eastAsia="en-AU"/>
              </w:rPr>
            </w:pPr>
          </w:p>
        </w:tc>
        <w:tc>
          <w:tcPr>
            <w:tcW w:w="1701" w:type="dxa"/>
            <w:tcBorders>
              <w:top w:val="nil"/>
              <w:left w:val="nil"/>
              <w:bottom w:val="nil"/>
              <w:right w:val="nil"/>
            </w:tcBorders>
            <w:shd w:val="clear" w:color="auto" w:fill="auto"/>
            <w:noWrap/>
            <w:vAlign w:val="center"/>
            <w:hideMark/>
          </w:tcPr>
          <w:p w14:paraId="6A1D8348" w14:textId="77777777" w:rsidR="00BC5219" w:rsidRPr="009C55C2" w:rsidRDefault="00BC5219" w:rsidP="00E83802">
            <w:pPr>
              <w:jc w:val="right"/>
              <w:rPr>
                <w:rFonts w:ascii="Times New Roman" w:eastAsia="Times New Roman" w:hAnsi="Times New Roman" w:cs="Times New Roman"/>
                <w:sz w:val="20"/>
                <w:szCs w:val="20"/>
                <w:lang w:eastAsia="en-AU"/>
              </w:rPr>
            </w:pPr>
          </w:p>
        </w:tc>
      </w:tr>
      <w:tr w:rsidR="00BC5219" w:rsidRPr="009C55C2" w14:paraId="249699A3" w14:textId="77777777" w:rsidTr="00E83802">
        <w:trPr>
          <w:trHeight w:val="240"/>
        </w:trPr>
        <w:tc>
          <w:tcPr>
            <w:tcW w:w="5103" w:type="dxa"/>
            <w:gridSpan w:val="2"/>
            <w:tcBorders>
              <w:top w:val="nil"/>
              <w:left w:val="nil"/>
              <w:bottom w:val="nil"/>
              <w:right w:val="nil"/>
            </w:tcBorders>
            <w:shd w:val="clear" w:color="auto" w:fill="auto"/>
            <w:noWrap/>
            <w:vAlign w:val="center"/>
            <w:hideMark/>
          </w:tcPr>
          <w:p w14:paraId="4E6DA855"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Opening balance </w:t>
            </w:r>
          </w:p>
        </w:tc>
        <w:tc>
          <w:tcPr>
            <w:tcW w:w="567" w:type="dxa"/>
            <w:tcBorders>
              <w:top w:val="nil"/>
              <w:left w:val="nil"/>
              <w:bottom w:val="nil"/>
              <w:right w:val="nil"/>
            </w:tcBorders>
            <w:shd w:val="clear" w:color="auto" w:fill="auto"/>
            <w:noWrap/>
            <w:vAlign w:val="center"/>
            <w:hideMark/>
          </w:tcPr>
          <w:p w14:paraId="5FDFA0E4" w14:textId="77777777" w:rsidR="00BC5219" w:rsidRPr="009C55C2" w:rsidRDefault="00BC5219" w:rsidP="00E83802">
            <w:pPr>
              <w:rPr>
                <w:rFonts w:ascii="Meta Pro" w:eastAsia="Times New Roman" w:hAnsi="Meta Pro"/>
                <w:color w:val="000000"/>
                <w:szCs w:val="18"/>
                <w:lang w:eastAsia="en-AU"/>
              </w:rPr>
            </w:pPr>
          </w:p>
        </w:tc>
        <w:tc>
          <w:tcPr>
            <w:tcW w:w="6" w:type="dxa"/>
            <w:tcBorders>
              <w:top w:val="nil"/>
              <w:left w:val="nil"/>
              <w:bottom w:val="nil"/>
              <w:right w:val="nil"/>
            </w:tcBorders>
            <w:shd w:val="clear" w:color="auto" w:fill="auto"/>
            <w:noWrap/>
            <w:vAlign w:val="center"/>
            <w:hideMark/>
          </w:tcPr>
          <w:p w14:paraId="212C26C4" w14:textId="77777777" w:rsidR="00BC5219" w:rsidRPr="009C55C2" w:rsidRDefault="00BC5219" w:rsidP="00E83802">
            <w:pPr>
              <w:jc w:val="center"/>
              <w:rPr>
                <w:rFonts w:ascii="Times New Roman" w:eastAsia="Times New Roman" w:hAnsi="Times New Roman" w:cs="Times New Roman"/>
                <w:sz w:val="20"/>
                <w:szCs w:val="20"/>
                <w:lang w:eastAsia="en-AU"/>
              </w:rPr>
            </w:pPr>
          </w:p>
        </w:tc>
        <w:tc>
          <w:tcPr>
            <w:tcW w:w="1701" w:type="dxa"/>
            <w:tcBorders>
              <w:top w:val="nil"/>
              <w:left w:val="nil"/>
              <w:bottom w:val="nil"/>
              <w:right w:val="nil"/>
            </w:tcBorders>
            <w:shd w:val="clear" w:color="000000" w:fill="C9E3B4"/>
            <w:noWrap/>
            <w:vAlign w:val="center"/>
            <w:hideMark/>
          </w:tcPr>
          <w:p w14:paraId="35D8022C"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3,677,607 </w:t>
            </w:r>
          </w:p>
        </w:tc>
        <w:tc>
          <w:tcPr>
            <w:tcW w:w="216" w:type="dxa"/>
            <w:tcBorders>
              <w:top w:val="nil"/>
              <w:left w:val="nil"/>
              <w:bottom w:val="nil"/>
              <w:right w:val="nil"/>
            </w:tcBorders>
            <w:shd w:val="clear" w:color="auto" w:fill="auto"/>
            <w:noWrap/>
            <w:vAlign w:val="center"/>
            <w:hideMark/>
          </w:tcPr>
          <w:p w14:paraId="3AD82B13" w14:textId="77777777" w:rsidR="00BC5219" w:rsidRPr="009C55C2" w:rsidRDefault="00BC5219" w:rsidP="00E83802">
            <w:pPr>
              <w:jc w:val="right"/>
              <w:rPr>
                <w:rFonts w:ascii="Meta Pro" w:eastAsia="Times New Roman" w:hAnsi="Meta Pro"/>
                <w:color w:val="000000"/>
                <w:szCs w:val="18"/>
                <w:lang w:eastAsia="en-AU"/>
              </w:rPr>
            </w:pPr>
          </w:p>
        </w:tc>
        <w:tc>
          <w:tcPr>
            <w:tcW w:w="1701" w:type="dxa"/>
            <w:tcBorders>
              <w:top w:val="nil"/>
              <w:left w:val="nil"/>
              <w:bottom w:val="nil"/>
              <w:right w:val="nil"/>
            </w:tcBorders>
            <w:shd w:val="clear" w:color="auto" w:fill="auto"/>
            <w:noWrap/>
            <w:vAlign w:val="center"/>
            <w:hideMark/>
          </w:tcPr>
          <w:p w14:paraId="11F9509F"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3,735,072 </w:t>
            </w:r>
          </w:p>
        </w:tc>
      </w:tr>
      <w:tr w:rsidR="00BC5219" w:rsidRPr="009C55C2" w14:paraId="186C05F4" w14:textId="77777777" w:rsidTr="00E83802">
        <w:trPr>
          <w:trHeight w:val="240"/>
        </w:trPr>
        <w:tc>
          <w:tcPr>
            <w:tcW w:w="5103" w:type="dxa"/>
            <w:gridSpan w:val="2"/>
            <w:tcBorders>
              <w:top w:val="nil"/>
              <w:left w:val="nil"/>
              <w:bottom w:val="nil"/>
              <w:right w:val="nil"/>
            </w:tcBorders>
            <w:shd w:val="clear" w:color="auto" w:fill="auto"/>
            <w:vAlign w:val="center"/>
            <w:hideMark/>
          </w:tcPr>
          <w:p w14:paraId="4090CCB2"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Derecognition of heritage and cultural asset class </w:t>
            </w:r>
          </w:p>
        </w:tc>
        <w:tc>
          <w:tcPr>
            <w:tcW w:w="567" w:type="dxa"/>
            <w:tcBorders>
              <w:top w:val="nil"/>
              <w:left w:val="nil"/>
              <w:bottom w:val="nil"/>
              <w:right w:val="nil"/>
            </w:tcBorders>
            <w:shd w:val="clear" w:color="auto" w:fill="auto"/>
            <w:noWrap/>
            <w:vAlign w:val="center"/>
            <w:hideMark/>
          </w:tcPr>
          <w:p w14:paraId="0E099146"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15</w:t>
            </w:r>
          </w:p>
        </w:tc>
        <w:tc>
          <w:tcPr>
            <w:tcW w:w="6" w:type="dxa"/>
            <w:tcBorders>
              <w:top w:val="nil"/>
              <w:left w:val="nil"/>
              <w:bottom w:val="nil"/>
              <w:right w:val="nil"/>
            </w:tcBorders>
            <w:shd w:val="clear" w:color="auto" w:fill="auto"/>
            <w:noWrap/>
            <w:vAlign w:val="center"/>
            <w:hideMark/>
          </w:tcPr>
          <w:p w14:paraId="2016DE48" w14:textId="77777777" w:rsidR="00BC5219" w:rsidRPr="009C55C2" w:rsidRDefault="00BC5219" w:rsidP="00E83802">
            <w:pPr>
              <w:jc w:val="center"/>
              <w:rPr>
                <w:rFonts w:ascii="Meta Pro" w:eastAsia="Times New Roman" w:hAnsi="Meta Pro"/>
                <w:color w:val="000000"/>
                <w:szCs w:val="18"/>
                <w:lang w:eastAsia="en-AU"/>
              </w:rPr>
            </w:pPr>
          </w:p>
        </w:tc>
        <w:tc>
          <w:tcPr>
            <w:tcW w:w="1701" w:type="dxa"/>
            <w:tcBorders>
              <w:top w:val="nil"/>
              <w:left w:val="nil"/>
              <w:bottom w:val="nil"/>
              <w:right w:val="nil"/>
            </w:tcBorders>
            <w:shd w:val="clear" w:color="000000" w:fill="C9E3B4"/>
            <w:noWrap/>
            <w:vAlign w:val="center"/>
            <w:hideMark/>
          </w:tcPr>
          <w:p w14:paraId="285A3E4F"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w:t>
            </w:r>
          </w:p>
        </w:tc>
        <w:tc>
          <w:tcPr>
            <w:tcW w:w="216" w:type="dxa"/>
            <w:tcBorders>
              <w:top w:val="nil"/>
              <w:left w:val="nil"/>
              <w:bottom w:val="nil"/>
              <w:right w:val="nil"/>
            </w:tcBorders>
            <w:shd w:val="clear" w:color="auto" w:fill="auto"/>
            <w:noWrap/>
            <w:vAlign w:val="center"/>
            <w:hideMark/>
          </w:tcPr>
          <w:p w14:paraId="2915217C" w14:textId="77777777" w:rsidR="00BC5219" w:rsidRPr="009C55C2" w:rsidRDefault="00BC5219" w:rsidP="00E83802">
            <w:pPr>
              <w:jc w:val="right"/>
              <w:rPr>
                <w:rFonts w:ascii="Meta Pro" w:eastAsia="Times New Roman" w:hAnsi="Meta Pro"/>
                <w:color w:val="000000"/>
                <w:szCs w:val="18"/>
                <w:lang w:eastAsia="en-AU"/>
              </w:rPr>
            </w:pPr>
          </w:p>
        </w:tc>
        <w:tc>
          <w:tcPr>
            <w:tcW w:w="1701" w:type="dxa"/>
            <w:tcBorders>
              <w:top w:val="nil"/>
              <w:left w:val="nil"/>
              <w:bottom w:val="nil"/>
              <w:right w:val="nil"/>
            </w:tcBorders>
            <w:shd w:val="clear" w:color="auto" w:fill="auto"/>
            <w:noWrap/>
            <w:vAlign w:val="center"/>
            <w:hideMark/>
          </w:tcPr>
          <w:p w14:paraId="2AB26226"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3,614 </w:t>
            </w:r>
          </w:p>
        </w:tc>
      </w:tr>
      <w:tr w:rsidR="00BC5219" w:rsidRPr="009C55C2" w14:paraId="678AA2B7" w14:textId="77777777" w:rsidTr="00E83802">
        <w:trPr>
          <w:trHeight w:val="240"/>
        </w:trPr>
        <w:tc>
          <w:tcPr>
            <w:tcW w:w="5103" w:type="dxa"/>
            <w:gridSpan w:val="2"/>
            <w:tcBorders>
              <w:top w:val="nil"/>
              <w:left w:val="nil"/>
              <w:bottom w:val="nil"/>
              <w:right w:val="nil"/>
            </w:tcBorders>
            <w:shd w:val="clear" w:color="auto" w:fill="auto"/>
            <w:noWrap/>
            <w:vAlign w:val="center"/>
            <w:hideMark/>
          </w:tcPr>
          <w:p w14:paraId="032D1352"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Operating result for the year</w:t>
            </w:r>
          </w:p>
        </w:tc>
        <w:tc>
          <w:tcPr>
            <w:tcW w:w="567" w:type="dxa"/>
            <w:tcBorders>
              <w:top w:val="nil"/>
              <w:left w:val="nil"/>
              <w:bottom w:val="single" w:sz="4" w:space="0" w:color="auto"/>
              <w:right w:val="nil"/>
            </w:tcBorders>
            <w:shd w:val="clear" w:color="auto" w:fill="auto"/>
            <w:noWrap/>
            <w:vAlign w:val="center"/>
            <w:hideMark/>
          </w:tcPr>
          <w:p w14:paraId="734AF4AC"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6" w:type="dxa"/>
            <w:tcBorders>
              <w:top w:val="nil"/>
              <w:left w:val="nil"/>
              <w:bottom w:val="nil"/>
              <w:right w:val="nil"/>
            </w:tcBorders>
            <w:shd w:val="clear" w:color="auto" w:fill="auto"/>
            <w:noWrap/>
            <w:vAlign w:val="center"/>
            <w:hideMark/>
          </w:tcPr>
          <w:p w14:paraId="1D995A0F" w14:textId="77777777" w:rsidR="00BC5219" w:rsidRPr="009C55C2" w:rsidRDefault="00BC5219" w:rsidP="00E83802">
            <w:pPr>
              <w:jc w:val="center"/>
              <w:rPr>
                <w:rFonts w:ascii="Meta Pro" w:eastAsia="Times New Roman" w:hAnsi="Meta Pro"/>
                <w:color w:val="000000"/>
                <w:szCs w:val="18"/>
                <w:lang w:eastAsia="en-AU"/>
              </w:rPr>
            </w:pPr>
          </w:p>
        </w:tc>
        <w:tc>
          <w:tcPr>
            <w:tcW w:w="1701" w:type="dxa"/>
            <w:tcBorders>
              <w:top w:val="nil"/>
              <w:left w:val="nil"/>
              <w:bottom w:val="nil"/>
              <w:right w:val="nil"/>
            </w:tcBorders>
            <w:shd w:val="clear" w:color="000000" w:fill="C9E3B4"/>
            <w:noWrap/>
            <w:vAlign w:val="center"/>
            <w:hideMark/>
          </w:tcPr>
          <w:p w14:paraId="1F20A753"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4,996 </w:t>
            </w:r>
          </w:p>
        </w:tc>
        <w:tc>
          <w:tcPr>
            <w:tcW w:w="216" w:type="dxa"/>
            <w:tcBorders>
              <w:top w:val="nil"/>
              <w:left w:val="nil"/>
              <w:bottom w:val="nil"/>
              <w:right w:val="nil"/>
            </w:tcBorders>
            <w:shd w:val="clear" w:color="auto" w:fill="auto"/>
            <w:noWrap/>
            <w:vAlign w:val="center"/>
            <w:hideMark/>
          </w:tcPr>
          <w:p w14:paraId="42BFE5A2" w14:textId="77777777" w:rsidR="00BC5219" w:rsidRPr="009C55C2" w:rsidRDefault="00BC5219" w:rsidP="00E83802">
            <w:pPr>
              <w:jc w:val="right"/>
              <w:rPr>
                <w:rFonts w:ascii="Meta Pro" w:eastAsia="Times New Roman" w:hAnsi="Meta Pro"/>
                <w:color w:val="000000"/>
                <w:szCs w:val="18"/>
                <w:lang w:eastAsia="en-AU"/>
              </w:rPr>
            </w:pPr>
          </w:p>
        </w:tc>
        <w:tc>
          <w:tcPr>
            <w:tcW w:w="1701" w:type="dxa"/>
            <w:tcBorders>
              <w:top w:val="nil"/>
              <w:left w:val="nil"/>
              <w:bottom w:val="nil"/>
              <w:right w:val="nil"/>
            </w:tcBorders>
            <w:shd w:val="clear" w:color="auto" w:fill="auto"/>
            <w:noWrap/>
            <w:vAlign w:val="center"/>
            <w:hideMark/>
          </w:tcPr>
          <w:p w14:paraId="56D94075"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(61,079)</w:t>
            </w:r>
          </w:p>
        </w:tc>
      </w:tr>
      <w:tr w:rsidR="00BC5219" w:rsidRPr="009C55C2" w14:paraId="5F035771" w14:textId="77777777" w:rsidTr="00E83802">
        <w:trPr>
          <w:trHeight w:val="240"/>
        </w:trPr>
        <w:tc>
          <w:tcPr>
            <w:tcW w:w="5103" w:type="dxa"/>
            <w:gridSpan w:val="2"/>
            <w:tcBorders>
              <w:top w:val="single" w:sz="4" w:space="0" w:color="auto"/>
              <w:left w:val="nil"/>
              <w:bottom w:val="nil"/>
              <w:right w:val="nil"/>
            </w:tcBorders>
            <w:shd w:val="clear" w:color="auto" w:fill="auto"/>
            <w:noWrap/>
            <w:vAlign w:val="center"/>
            <w:hideMark/>
          </w:tcPr>
          <w:p w14:paraId="4C913AFE" w14:textId="77777777" w:rsidR="00BC5219" w:rsidRPr="009C55C2" w:rsidRDefault="00BC5219" w:rsidP="00E83802">
            <w:pPr>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Closing balance</w:t>
            </w:r>
          </w:p>
        </w:tc>
        <w:tc>
          <w:tcPr>
            <w:tcW w:w="567" w:type="dxa"/>
            <w:tcBorders>
              <w:top w:val="single" w:sz="4" w:space="0" w:color="auto"/>
              <w:left w:val="nil"/>
              <w:bottom w:val="nil"/>
              <w:right w:val="nil"/>
            </w:tcBorders>
            <w:shd w:val="clear" w:color="auto" w:fill="auto"/>
            <w:noWrap/>
            <w:vAlign w:val="center"/>
            <w:hideMark/>
          </w:tcPr>
          <w:p w14:paraId="7A910D6B" w14:textId="77777777" w:rsidR="00BC5219" w:rsidRPr="009C55C2" w:rsidRDefault="00BC5219" w:rsidP="00E83802">
            <w:pPr>
              <w:jc w:val="center"/>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w:t>
            </w:r>
          </w:p>
        </w:tc>
        <w:tc>
          <w:tcPr>
            <w:tcW w:w="6" w:type="dxa"/>
            <w:tcBorders>
              <w:top w:val="single" w:sz="4" w:space="0" w:color="auto"/>
              <w:left w:val="nil"/>
              <w:bottom w:val="nil"/>
              <w:right w:val="nil"/>
            </w:tcBorders>
            <w:shd w:val="clear" w:color="auto" w:fill="auto"/>
            <w:noWrap/>
            <w:vAlign w:val="center"/>
            <w:hideMark/>
          </w:tcPr>
          <w:p w14:paraId="29BCB856" w14:textId="77777777" w:rsidR="00BC5219" w:rsidRPr="009C55C2" w:rsidRDefault="00BC5219" w:rsidP="00E83802">
            <w:pPr>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w:t>
            </w:r>
          </w:p>
        </w:tc>
        <w:tc>
          <w:tcPr>
            <w:tcW w:w="1701" w:type="dxa"/>
            <w:tcBorders>
              <w:top w:val="single" w:sz="4" w:space="0" w:color="auto"/>
              <w:left w:val="nil"/>
              <w:bottom w:val="nil"/>
              <w:right w:val="nil"/>
            </w:tcBorders>
            <w:shd w:val="clear" w:color="000000" w:fill="C9E3B4"/>
            <w:noWrap/>
            <w:vAlign w:val="center"/>
            <w:hideMark/>
          </w:tcPr>
          <w:p w14:paraId="47F87576"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xml:space="preserve">           3,682,603 </w:t>
            </w:r>
          </w:p>
        </w:tc>
        <w:tc>
          <w:tcPr>
            <w:tcW w:w="216" w:type="dxa"/>
            <w:tcBorders>
              <w:top w:val="single" w:sz="4" w:space="0" w:color="auto"/>
              <w:left w:val="nil"/>
              <w:bottom w:val="nil"/>
              <w:right w:val="nil"/>
            </w:tcBorders>
            <w:shd w:val="clear" w:color="auto" w:fill="auto"/>
            <w:noWrap/>
            <w:vAlign w:val="center"/>
            <w:hideMark/>
          </w:tcPr>
          <w:p w14:paraId="21BF0EE1"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w:t>
            </w:r>
          </w:p>
        </w:tc>
        <w:tc>
          <w:tcPr>
            <w:tcW w:w="1701" w:type="dxa"/>
            <w:tcBorders>
              <w:top w:val="single" w:sz="4" w:space="0" w:color="auto"/>
              <w:left w:val="nil"/>
              <w:bottom w:val="nil"/>
              <w:right w:val="nil"/>
            </w:tcBorders>
            <w:shd w:val="clear" w:color="auto" w:fill="auto"/>
            <w:noWrap/>
            <w:vAlign w:val="center"/>
            <w:hideMark/>
          </w:tcPr>
          <w:p w14:paraId="39AA8D81"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xml:space="preserve">                 3,677,607 </w:t>
            </w:r>
          </w:p>
        </w:tc>
      </w:tr>
      <w:tr w:rsidR="00BC5219" w:rsidRPr="009C55C2" w14:paraId="481CB2E7" w14:textId="77777777" w:rsidTr="00E83802">
        <w:trPr>
          <w:trHeight w:val="240"/>
        </w:trPr>
        <w:tc>
          <w:tcPr>
            <w:tcW w:w="215" w:type="dxa"/>
            <w:tcBorders>
              <w:top w:val="nil"/>
              <w:left w:val="nil"/>
              <w:bottom w:val="nil"/>
              <w:right w:val="nil"/>
            </w:tcBorders>
            <w:shd w:val="clear" w:color="auto" w:fill="auto"/>
            <w:noWrap/>
            <w:vAlign w:val="center"/>
            <w:hideMark/>
          </w:tcPr>
          <w:p w14:paraId="1E3E7221" w14:textId="77777777" w:rsidR="00BC5219" w:rsidRPr="009C55C2" w:rsidRDefault="00BC5219" w:rsidP="00E83802">
            <w:pPr>
              <w:jc w:val="right"/>
              <w:rPr>
                <w:rFonts w:ascii="Meta Pro" w:eastAsia="Times New Roman" w:hAnsi="Meta Pro"/>
                <w:b/>
                <w:bCs/>
                <w:color w:val="000000"/>
                <w:szCs w:val="18"/>
                <w:lang w:eastAsia="en-AU"/>
              </w:rPr>
            </w:pPr>
          </w:p>
        </w:tc>
        <w:tc>
          <w:tcPr>
            <w:tcW w:w="5103" w:type="dxa"/>
            <w:tcBorders>
              <w:top w:val="nil"/>
              <w:left w:val="nil"/>
              <w:bottom w:val="nil"/>
              <w:right w:val="nil"/>
            </w:tcBorders>
            <w:shd w:val="clear" w:color="auto" w:fill="auto"/>
            <w:noWrap/>
            <w:vAlign w:val="center"/>
            <w:hideMark/>
          </w:tcPr>
          <w:p w14:paraId="5CAD1AED" w14:textId="77777777" w:rsidR="00BC5219" w:rsidRPr="009C55C2" w:rsidRDefault="00BC5219" w:rsidP="00E83802">
            <w:pPr>
              <w:rPr>
                <w:rFonts w:ascii="Times New Roman" w:eastAsia="Times New Roman" w:hAnsi="Times New Roman" w:cs="Times New Roman"/>
                <w:sz w:val="20"/>
                <w:szCs w:val="20"/>
                <w:lang w:eastAsia="en-AU"/>
              </w:rPr>
            </w:pPr>
          </w:p>
        </w:tc>
        <w:tc>
          <w:tcPr>
            <w:tcW w:w="567" w:type="dxa"/>
            <w:tcBorders>
              <w:top w:val="nil"/>
              <w:left w:val="nil"/>
              <w:bottom w:val="nil"/>
              <w:right w:val="nil"/>
            </w:tcBorders>
            <w:shd w:val="clear" w:color="auto" w:fill="auto"/>
            <w:noWrap/>
            <w:vAlign w:val="center"/>
            <w:hideMark/>
          </w:tcPr>
          <w:p w14:paraId="77EEE61D" w14:textId="77777777" w:rsidR="00BC5219" w:rsidRPr="009C55C2" w:rsidRDefault="00BC5219" w:rsidP="00E83802">
            <w:pPr>
              <w:rPr>
                <w:rFonts w:ascii="Times New Roman" w:eastAsia="Times New Roman" w:hAnsi="Times New Roman" w:cs="Times New Roman"/>
                <w:sz w:val="20"/>
                <w:szCs w:val="20"/>
                <w:lang w:eastAsia="en-AU"/>
              </w:rPr>
            </w:pPr>
          </w:p>
        </w:tc>
        <w:tc>
          <w:tcPr>
            <w:tcW w:w="6" w:type="dxa"/>
            <w:tcBorders>
              <w:top w:val="nil"/>
              <w:left w:val="nil"/>
              <w:bottom w:val="nil"/>
              <w:right w:val="nil"/>
            </w:tcBorders>
            <w:shd w:val="clear" w:color="auto" w:fill="auto"/>
            <w:noWrap/>
            <w:vAlign w:val="center"/>
            <w:hideMark/>
          </w:tcPr>
          <w:p w14:paraId="22FED595" w14:textId="77777777" w:rsidR="00BC5219" w:rsidRPr="009C55C2" w:rsidRDefault="00BC5219" w:rsidP="00E83802">
            <w:pPr>
              <w:jc w:val="center"/>
              <w:rPr>
                <w:rFonts w:ascii="Times New Roman" w:eastAsia="Times New Roman" w:hAnsi="Times New Roman" w:cs="Times New Roman"/>
                <w:sz w:val="20"/>
                <w:szCs w:val="20"/>
                <w:lang w:eastAsia="en-AU"/>
              </w:rPr>
            </w:pPr>
          </w:p>
        </w:tc>
        <w:tc>
          <w:tcPr>
            <w:tcW w:w="1701" w:type="dxa"/>
            <w:tcBorders>
              <w:top w:val="nil"/>
              <w:left w:val="nil"/>
              <w:bottom w:val="nil"/>
              <w:right w:val="nil"/>
            </w:tcBorders>
            <w:shd w:val="clear" w:color="000000" w:fill="C9E3B4"/>
            <w:noWrap/>
            <w:vAlign w:val="center"/>
            <w:hideMark/>
          </w:tcPr>
          <w:p w14:paraId="25547019"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335D470D" w14:textId="77777777" w:rsidR="00BC5219" w:rsidRPr="009C55C2" w:rsidRDefault="00BC5219" w:rsidP="00E83802">
            <w:pPr>
              <w:jc w:val="right"/>
              <w:rPr>
                <w:rFonts w:ascii="Meta Pro" w:eastAsia="Times New Roman" w:hAnsi="Meta Pro"/>
                <w:color w:val="000000"/>
                <w:szCs w:val="18"/>
                <w:lang w:eastAsia="en-AU"/>
              </w:rPr>
            </w:pPr>
          </w:p>
        </w:tc>
        <w:tc>
          <w:tcPr>
            <w:tcW w:w="1701" w:type="dxa"/>
            <w:tcBorders>
              <w:top w:val="nil"/>
              <w:left w:val="nil"/>
              <w:bottom w:val="nil"/>
              <w:right w:val="nil"/>
            </w:tcBorders>
            <w:shd w:val="clear" w:color="auto" w:fill="auto"/>
            <w:noWrap/>
            <w:vAlign w:val="center"/>
            <w:hideMark/>
          </w:tcPr>
          <w:p w14:paraId="1C7B7AA4" w14:textId="77777777" w:rsidR="00BC5219" w:rsidRPr="009C55C2" w:rsidRDefault="00BC5219" w:rsidP="00E83802">
            <w:pPr>
              <w:jc w:val="right"/>
              <w:rPr>
                <w:rFonts w:ascii="Times New Roman" w:eastAsia="Times New Roman" w:hAnsi="Times New Roman" w:cs="Times New Roman"/>
                <w:sz w:val="20"/>
                <w:szCs w:val="20"/>
                <w:lang w:eastAsia="en-AU"/>
              </w:rPr>
            </w:pPr>
          </w:p>
        </w:tc>
      </w:tr>
      <w:tr w:rsidR="00BC5219" w:rsidRPr="009C55C2" w14:paraId="04A41807" w14:textId="77777777" w:rsidTr="00E83802">
        <w:trPr>
          <w:trHeight w:val="240"/>
        </w:trPr>
        <w:tc>
          <w:tcPr>
            <w:tcW w:w="5103" w:type="dxa"/>
            <w:gridSpan w:val="2"/>
            <w:tcBorders>
              <w:top w:val="nil"/>
              <w:left w:val="nil"/>
              <w:bottom w:val="nil"/>
              <w:right w:val="nil"/>
            </w:tcBorders>
            <w:shd w:val="clear" w:color="auto" w:fill="auto"/>
            <w:noWrap/>
            <w:vAlign w:val="center"/>
            <w:hideMark/>
          </w:tcPr>
          <w:p w14:paraId="10083325" w14:textId="77777777" w:rsidR="00BC5219" w:rsidRPr="009C55C2" w:rsidRDefault="00BC5219" w:rsidP="00E83802">
            <w:pPr>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Asset revaluation surplus</w:t>
            </w:r>
          </w:p>
        </w:tc>
        <w:tc>
          <w:tcPr>
            <w:tcW w:w="567" w:type="dxa"/>
            <w:tcBorders>
              <w:top w:val="nil"/>
              <w:left w:val="nil"/>
              <w:bottom w:val="nil"/>
              <w:right w:val="nil"/>
            </w:tcBorders>
            <w:shd w:val="clear" w:color="auto" w:fill="auto"/>
            <w:noWrap/>
            <w:vAlign w:val="center"/>
            <w:hideMark/>
          </w:tcPr>
          <w:p w14:paraId="259EC326" w14:textId="77777777" w:rsidR="00BC5219" w:rsidRPr="009C55C2" w:rsidRDefault="00BC5219" w:rsidP="00E83802">
            <w:pPr>
              <w:rPr>
                <w:rFonts w:ascii="Meta Pro" w:eastAsia="Times New Roman" w:hAnsi="Meta Pro"/>
                <w:b/>
                <w:bCs/>
                <w:color w:val="000000"/>
                <w:szCs w:val="18"/>
                <w:lang w:eastAsia="en-AU"/>
              </w:rPr>
            </w:pPr>
          </w:p>
        </w:tc>
        <w:tc>
          <w:tcPr>
            <w:tcW w:w="6" w:type="dxa"/>
            <w:tcBorders>
              <w:top w:val="nil"/>
              <w:left w:val="nil"/>
              <w:bottom w:val="nil"/>
              <w:right w:val="nil"/>
            </w:tcBorders>
            <w:shd w:val="clear" w:color="auto" w:fill="auto"/>
            <w:noWrap/>
            <w:vAlign w:val="center"/>
            <w:hideMark/>
          </w:tcPr>
          <w:p w14:paraId="56B13ED4" w14:textId="77777777" w:rsidR="00BC5219" w:rsidRPr="009C55C2" w:rsidRDefault="00BC5219" w:rsidP="00E83802">
            <w:pPr>
              <w:jc w:val="center"/>
              <w:rPr>
                <w:rFonts w:ascii="Times New Roman" w:eastAsia="Times New Roman" w:hAnsi="Times New Roman" w:cs="Times New Roman"/>
                <w:sz w:val="20"/>
                <w:szCs w:val="20"/>
                <w:lang w:eastAsia="en-AU"/>
              </w:rPr>
            </w:pPr>
          </w:p>
        </w:tc>
        <w:tc>
          <w:tcPr>
            <w:tcW w:w="1701" w:type="dxa"/>
            <w:tcBorders>
              <w:top w:val="nil"/>
              <w:left w:val="nil"/>
              <w:bottom w:val="nil"/>
              <w:right w:val="nil"/>
            </w:tcBorders>
            <w:shd w:val="clear" w:color="000000" w:fill="C9E3B4"/>
            <w:noWrap/>
            <w:vAlign w:val="center"/>
            <w:hideMark/>
          </w:tcPr>
          <w:p w14:paraId="68C4236E"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479019B0" w14:textId="77777777" w:rsidR="00BC5219" w:rsidRPr="009C55C2" w:rsidRDefault="00BC5219" w:rsidP="00E83802">
            <w:pPr>
              <w:jc w:val="right"/>
              <w:rPr>
                <w:rFonts w:ascii="Meta Pro" w:eastAsia="Times New Roman" w:hAnsi="Meta Pro"/>
                <w:color w:val="000000"/>
                <w:szCs w:val="18"/>
                <w:lang w:eastAsia="en-AU"/>
              </w:rPr>
            </w:pPr>
          </w:p>
        </w:tc>
        <w:tc>
          <w:tcPr>
            <w:tcW w:w="1701" w:type="dxa"/>
            <w:tcBorders>
              <w:top w:val="nil"/>
              <w:left w:val="nil"/>
              <w:bottom w:val="nil"/>
              <w:right w:val="nil"/>
            </w:tcBorders>
            <w:shd w:val="clear" w:color="auto" w:fill="auto"/>
            <w:noWrap/>
            <w:vAlign w:val="center"/>
            <w:hideMark/>
          </w:tcPr>
          <w:p w14:paraId="7E364FE6" w14:textId="77777777" w:rsidR="00BC5219" w:rsidRPr="009C55C2" w:rsidRDefault="00BC5219" w:rsidP="00E83802">
            <w:pPr>
              <w:jc w:val="right"/>
              <w:rPr>
                <w:rFonts w:ascii="Times New Roman" w:eastAsia="Times New Roman" w:hAnsi="Times New Roman" w:cs="Times New Roman"/>
                <w:sz w:val="20"/>
                <w:szCs w:val="20"/>
                <w:lang w:eastAsia="en-AU"/>
              </w:rPr>
            </w:pPr>
          </w:p>
        </w:tc>
      </w:tr>
      <w:tr w:rsidR="00BC5219" w:rsidRPr="009C55C2" w14:paraId="05624E93" w14:textId="77777777" w:rsidTr="00E83802">
        <w:trPr>
          <w:trHeight w:val="240"/>
        </w:trPr>
        <w:tc>
          <w:tcPr>
            <w:tcW w:w="5103" w:type="dxa"/>
            <w:gridSpan w:val="2"/>
            <w:tcBorders>
              <w:top w:val="nil"/>
              <w:left w:val="nil"/>
              <w:bottom w:val="nil"/>
              <w:right w:val="nil"/>
            </w:tcBorders>
            <w:shd w:val="clear" w:color="auto" w:fill="auto"/>
            <w:noWrap/>
            <w:vAlign w:val="center"/>
            <w:hideMark/>
          </w:tcPr>
          <w:p w14:paraId="263A868F"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Opening balance </w:t>
            </w:r>
          </w:p>
        </w:tc>
        <w:tc>
          <w:tcPr>
            <w:tcW w:w="567" w:type="dxa"/>
            <w:tcBorders>
              <w:top w:val="nil"/>
              <w:left w:val="nil"/>
              <w:bottom w:val="nil"/>
              <w:right w:val="nil"/>
            </w:tcBorders>
            <w:shd w:val="clear" w:color="auto" w:fill="auto"/>
            <w:noWrap/>
            <w:vAlign w:val="center"/>
            <w:hideMark/>
          </w:tcPr>
          <w:p w14:paraId="2E48D067" w14:textId="77777777" w:rsidR="00BC5219" w:rsidRPr="009C55C2" w:rsidRDefault="00BC5219" w:rsidP="00E83802">
            <w:pPr>
              <w:rPr>
                <w:rFonts w:ascii="Meta Pro" w:eastAsia="Times New Roman" w:hAnsi="Meta Pro"/>
                <w:color w:val="000000"/>
                <w:szCs w:val="18"/>
                <w:lang w:eastAsia="en-AU"/>
              </w:rPr>
            </w:pPr>
          </w:p>
        </w:tc>
        <w:tc>
          <w:tcPr>
            <w:tcW w:w="6" w:type="dxa"/>
            <w:tcBorders>
              <w:top w:val="nil"/>
              <w:left w:val="nil"/>
              <w:bottom w:val="nil"/>
              <w:right w:val="nil"/>
            </w:tcBorders>
            <w:shd w:val="clear" w:color="auto" w:fill="auto"/>
            <w:noWrap/>
            <w:vAlign w:val="center"/>
            <w:hideMark/>
          </w:tcPr>
          <w:p w14:paraId="3A6FB897" w14:textId="77777777" w:rsidR="00BC5219" w:rsidRPr="009C55C2" w:rsidRDefault="00BC5219" w:rsidP="00E83802">
            <w:pPr>
              <w:jc w:val="center"/>
              <w:rPr>
                <w:rFonts w:ascii="Times New Roman" w:eastAsia="Times New Roman" w:hAnsi="Times New Roman" w:cs="Times New Roman"/>
                <w:sz w:val="20"/>
                <w:szCs w:val="20"/>
                <w:lang w:eastAsia="en-AU"/>
              </w:rPr>
            </w:pPr>
          </w:p>
        </w:tc>
        <w:tc>
          <w:tcPr>
            <w:tcW w:w="1701" w:type="dxa"/>
            <w:tcBorders>
              <w:top w:val="nil"/>
              <w:left w:val="nil"/>
              <w:bottom w:val="nil"/>
              <w:right w:val="nil"/>
            </w:tcBorders>
            <w:shd w:val="clear" w:color="000000" w:fill="C9E3B4"/>
            <w:noWrap/>
            <w:vAlign w:val="center"/>
            <w:hideMark/>
          </w:tcPr>
          <w:p w14:paraId="6B094308"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20,931,501 </w:t>
            </w:r>
          </w:p>
        </w:tc>
        <w:tc>
          <w:tcPr>
            <w:tcW w:w="216" w:type="dxa"/>
            <w:tcBorders>
              <w:top w:val="nil"/>
              <w:left w:val="nil"/>
              <w:bottom w:val="nil"/>
              <w:right w:val="nil"/>
            </w:tcBorders>
            <w:shd w:val="clear" w:color="auto" w:fill="auto"/>
            <w:noWrap/>
            <w:vAlign w:val="center"/>
            <w:hideMark/>
          </w:tcPr>
          <w:p w14:paraId="5D5D835D" w14:textId="77777777" w:rsidR="00BC5219" w:rsidRPr="009C55C2" w:rsidRDefault="00BC5219" w:rsidP="00E83802">
            <w:pPr>
              <w:jc w:val="right"/>
              <w:rPr>
                <w:rFonts w:ascii="Meta Pro" w:eastAsia="Times New Roman" w:hAnsi="Meta Pro"/>
                <w:color w:val="000000"/>
                <w:szCs w:val="18"/>
                <w:lang w:eastAsia="en-AU"/>
              </w:rPr>
            </w:pPr>
          </w:p>
        </w:tc>
        <w:tc>
          <w:tcPr>
            <w:tcW w:w="1701" w:type="dxa"/>
            <w:tcBorders>
              <w:top w:val="nil"/>
              <w:left w:val="nil"/>
              <w:bottom w:val="nil"/>
              <w:right w:val="nil"/>
            </w:tcBorders>
            <w:shd w:val="clear" w:color="auto" w:fill="auto"/>
            <w:noWrap/>
            <w:vAlign w:val="center"/>
            <w:hideMark/>
          </w:tcPr>
          <w:p w14:paraId="6785718E"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10,177,214 </w:t>
            </w:r>
          </w:p>
        </w:tc>
      </w:tr>
      <w:tr w:rsidR="00BC5219" w:rsidRPr="009C55C2" w14:paraId="0C16675D" w14:textId="77777777" w:rsidTr="00E83802">
        <w:trPr>
          <w:trHeight w:val="240"/>
        </w:trPr>
        <w:tc>
          <w:tcPr>
            <w:tcW w:w="5103" w:type="dxa"/>
            <w:gridSpan w:val="2"/>
            <w:tcBorders>
              <w:top w:val="nil"/>
              <w:left w:val="nil"/>
              <w:bottom w:val="nil"/>
              <w:right w:val="nil"/>
            </w:tcBorders>
            <w:shd w:val="clear" w:color="auto" w:fill="auto"/>
            <w:vAlign w:val="center"/>
            <w:hideMark/>
          </w:tcPr>
          <w:p w14:paraId="276D05CA"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Derecognition of heritage and cultural asset class through</w:t>
            </w:r>
          </w:p>
        </w:tc>
        <w:tc>
          <w:tcPr>
            <w:tcW w:w="567" w:type="dxa"/>
            <w:tcBorders>
              <w:top w:val="nil"/>
              <w:left w:val="nil"/>
              <w:bottom w:val="nil"/>
              <w:right w:val="nil"/>
            </w:tcBorders>
            <w:shd w:val="clear" w:color="auto" w:fill="auto"/>
            <w:noWrap/>
            <w:vAlign w:val="center"/>
            <w:hideMark/>
          </w:tcPr>
          <w:p w14:paraId="1C83EC8E" w14:textId="77777777" w:rsidR="00BC5219" w:rsidRPr="009C55C2" w:rsidRDefault="00BC5219" w:rsidP="00E83802">
            <w:pPr>
              <w:rPr>
                <w:rFonts w:ascii="Meta Pro" w:eastAsia="Times New Roman" w:hAnsi="Meta Pro"/>
                <w:color w:val="000000"/>
                <w:szCs w:val="18"/>
                <w:lang w:eastAsia="en-AU"/>
              </w:rPr>
            </w:pPr>
          </w:p>
        </w:tc>
        <w:tc>
          <w:tcPr>
            <w:tcW w:w="6" w:type="dxa"/>
            <w:tcBorders>
              <w:top w:val="nil"/>
              <w:left w:val="nil"/>
              <w:bottom w:val="nil"/>
              <w:right w:val="nil"/>
            </w:tcBorders>
            <w:shd w:val="clear" w:color="auto" w:fill="auto"/>
            <w:noWrap/>
            <w:vAlign w:val="center"/>
            <w:hideMark/>
          </w:tcPr>
          <w:p w14:paraId="0C16B2B8" w14:textId="77777777" w:rsidR="00BC5219" w:rsidRPr="009C55C2" w:rsidRDefault="00BC5219" w:rsidP="00E83802">
            <w:pPr>
              <w:jc w:val="center"/>
              <w:rPr>
                <w:rFonts w:ascii="Times New Roman" w:eastAsia="Times New Roman" w:hAnsi="Times New Roman" w:cs="Times New Roman"/>
                <w:sz w:val="20"/>
                <w:szCs w:val="20"/>
                <w:lang w:eastAsia="en-AU"/>
              </w:rPr>
            </w:pPr>
          </w:p>
        </w:tc>
        <w:tc>
          <w:tcPr>
            <w:tcW w:w="1701" w:type="dxa"/>
            <w:tcBorders>
              <w:top w:val="nil"/>
              <w:left w:val="nil"/>
              <w:bottom w:val="nil"/>
              <w:right w:val="nil"/>
            </w:tcBorders>
            <w:shd w:val="clear" w:color="000000" w:fill="C9E3B4"/>
            <w:noWrap/>
            <w:vAlign w:val="center"/>
            <w:hideMark/>
          </w:tcPr>
          <w:p w14:paraId="5DD2F9FC"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01CD1AC8" w14:textId="77777777" w:rsidR="00BC5219" w:rsidRPr="009C55C2" w:rsidRDefault="00BC5219" w:rsidP="00E83802">
            <w:pPr>
              <w:jc w:val="right"/>
              <w:rPr>
                <w:rFonts w:ascii="Meta Pro" w:eastAsia="Times New Roman" w:hAnsi="Meta Pro"/>
                <w:color w:val="000000"/>
                <w:szCs w:val="18"/>
                <w:lang w:eastAsia="en-AU"/>
              </w:rPr>
            </w:pPr>
          </w:p>
        </w:tc>
        <w:tc>
          <w:tcPr>
            <w:tcW w:w="1701" w:type="dxa"/>
            <w:tcBorders>
              <w:top w:val="nil"/>
              <w:left w:val="nil"/>
              <w:bottom w:val="nil"/>
              <w:right w:val="nil"/>
            </w:tcBorders>
            <w:shd w:val="clear" w:color="auto" w:fill="auto"/>
            <w:noWrap/>
            <w:vAlign w:val="center"/>
            <w:hideMark/>
          </w:tcPr>
          <w:p w14:paraId="34892327" w14:textId="77777777" w:rsidR="00BC5219" w:rsidRPr="009C55C2" w:rsidRDefault="00BC5219" w:rsidP="00E83802">
            <w:pPr>
              <w:jc w:val="right"/>
              <w:rPr>
                <w:rFonts w:ascii="Times New Roman" w:eastAsia="Times New Roman" w:hAnsi="Times New Roman" w:cs="Times New Roman"/>
                <w:sz w:val="20"/>
                <w:szCs w:val="20"/>
                <w:lang w:eastAsia="en-AU"/>
              </w:rPr>
            </w:pPr>
          </w:p>
        </w:tc>
      </w:tr>
      <w:tr w:rsidR="00BC5219" w:rsidRPr="009C55C2" w14:paraId="3BB7FBAE" w14:textId="77777777" w:rsidTr="00E83802">
        <w:trPr>
          <w:trHeight w:val="240"/>
        </w:trPr>
        <w:tc>
          <w:tcPr>
            <w:tcW w:w="5103" w:type="dxa"/>
            <w:gridSpan w:val="2"/>
            <w:tcBorders>
              <w:top w:val="nil"/>
              <w:left w:val="nil"/>
              <w:bottom w:val="nil"/>
              <w:right w:val="nil"/>
            </w:tcBorders>
            <w:shd w:val="clear" w:color="auto" w:fill="auto"/>
            <w:noWrap/>
            <w:vAlign w:val="center"/>
            <w:hideMark/>
          </w:tcPr>
          <w:p w14:paraId="52881D3F"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accumulated surplus/(deficit)</w:t>
            </w:r>
          </w:p>
        </w:tc>
        <w:tc>
          <w:tcPr>
            <w:tcW w:w="567" w:type="dxa"/>
            <w:tcBorders>
              <w:top w:val="nil"/>
              <w:left w:val="nil"/>
              <w:bottom w:val="nil"/>
              <w:right w:val="nil"/>
            </w:tcBorders>
            <w:shd w:val="clear" w:color="auto" w:fill="auto"/>
            <w:noWrap/>
            <w:vAlign w:val="center"/>
            <w:hideMark/>
          </w:tcPr>
          <w:p w14:paraId="4AD6D825"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15</w:t>
            </w:r>
          </w:p>
        </w:tc>
        <w:tc>
          <w:tcPr>
            <w:tcW w:w="6" w:type="dxa"/>
            <w:tcBorders>
              <w:top w:val="nil"/>
              <w:left w:val="nil"/>
              <w:bottom w:val="nil"/>
              <w:right w:val="nil"/>
            </w:tcBorders>
            <w:shd w:val="clear" w:color="auto" w:fill="auto"/>
            <w:noWrap/>
            <w:vAlign w:val="center"/>
            <w:hideMark/>
          </w:tcPr>
          <w:p w14:paraId="2F2EF09D" w14:textId="77777777" w:rsidR="00BC5219" w:rsidRPr="009C55C2" w:rsidRDefault="00BC5219" w:rsidP="00E83802">
            <w:pPr>
              <w:jc w:val="center"/>
              <w:rPr>
                <w:rFonts w:ascii="Meta Pro" w:eastAsia="Times New Roman" w:hAnsi="Meta Pro"/>
                <w:color w:val="000000"/>
                <w:szCs w:val="18"/>
                <w:lang w:eastAsia="en-AU"/>
              </w:rPr>
            </w:pPr>
          </w:p>
        </w:tc>
        <w:tc>
          <w:tcPr>
            <w:tcW w:w="1701" w:type="dxa"/>
            <w:tcBorders>
              <w:top w:val="nil"/>
              <w:left w:val="nil"/>
              <w:bottom w:val="nil"/>
              <w:right w:val="nil"/>
            </w:tcBorders>
            <w:shd w:val="clear" w:color="000000" w:fill="C9E3B4"/>
            <w:noWrap/>
            <w:vAlign w:val="center"/>
            <w:hideMark/>
          </w:tcPr>
          <w:p w14:paraId="36D18377"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w:t>
            </w:r>
          </w:p>
        </w:tc>
        <w:tc>
          <w:tcPr>
            <w:tcW w:w="216" w:type="dxa"/>
            <w:tcBorders>
              <w:top w:val="nil"/>
              <w:left w:val="nil"/>
              <w:bottom w:val="nil"/>
              <w:right w:val="nil"/>
            </w:tcBorders>
            <w:shd w:val="clear" w:color="auto" w:fill="auto"/>
            <w:noWrap/>
            <w:vAlign w:val="center"/>
            <w:hideMark/>
          </w:tcPr>
          <w:p w14:paraId="1EAD2A33" w14:textId="77777777" w:rsidR="00BC5219" w:rsidRPr="009C55C2" w:rsidRDefault="00BC5219" w:rsidP="00E83802">
            <w:pPr>
              <w:jc w:val="right"/>
              <w:rPr>
                <w:rFonts w:ascii="Meta Pro" w:eastAsia="Times New Roman" w:hAnsi="Meta Pro"/>
                <w:color w:val="000000"/>
                <w:szCs w:val="18"/>
                <w:lang w:eastAsia="en-AU"/>
              </w:rPr>
            </w:pPr>
          </w:p>
        </w:tc>
        <w:tc>
          <w:tcPr>
            <w:tcW w:w="1701" w:type="dxa"/>
            <w:tcBorders>
              <w:top w:val="nil"/>
              <w:left w:val="nil"/>
              <w:bottom w:val="nil"/>
              <w:right w:val="nil"/>
            </w:tcBorders>
            <w:shd w:val="clear" w:color="auto" w:fill="auto"/>
            <w:noWrap/>
            <w:vAlign w:val="center"/>
            <w:hideMark/>
          </w:tcPr>
          <w:p w14:paraId="7438A251"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(3,614)</w:t>
            </w:r>
          </w:p>
        </w:tc>
      </w:tr>
      <w:tr w:rsidR="00BC5219" w:rsidRPr="009C55C2" w14:paraId="58D6AE8C" w14:textId="77777777" w:rsidTr="00E83802">
        <w:trPr>
          <w:trHeight w:val="240"/>
        </w:trPr>
        <w:tc>
          <w:tcPr>
            <w:tcW w:w="5103" w:type="dxa"/>
            <w:gridSpan w:val="2"/>
            <w:tcBorders>
              <w:top w:val="nil"/>
              <w:left w:val="nil"/>
              <w:bottom w:val="nil"/>
              <w:right w:val="nil"/>
            </w:tcBorders>
            <w:shd w:val="clear" w:color="auto" w:fill="auto"/>
            <w:noWrap/>
            <w:vAlign w:val="center"/>
            <w:hideMark/>
          </w:tcPr>
          <w:p w14:paraId="1C3F1E9A"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Rounding adjustment</w:t>
            </w:r>
          </w:p>
        </w:tc>
        <w:tc>
          <w:tcPr>
            <w:tcW w:w="567" w:type="dxa"/>
            <w:tcBorders>
              <w:top w:val="nil"/>
              <w:left w:val="nil"/>
              <w:bottom w:val="nil"/>
              <w:right w:val="nil"/>
            </w:tcBorders>
            <w:shd w:val="clear" w:color="auto" w:fill="auto"/>
            <w:noWrap/>
            <w:vAlign w:val="center"/>
            <w:hideMark/>
          </w:tcPr>
          <w:p w14:paraId="3C85ABFF" w14:textId="77777777" w:rsidR="00BC5219" w:rsidRPr="009C55C2" w:rsidRDefault="00BC5219" w:rsidP="00E83802">
            <w:pPr>
              <w:rPr>
                <w:rFonts w:ascii="Meta Pro" w:eastAsia="Times New Roman" w:hAnsi="Meta Pro"/>
                <w:color w:val="000000"/>
                <w:szCs w:val="18"/>
                <w:lang w:eastAsia="en-AU"/>
              </w:rPr>
            </w:pPr>
          </w:p>
        </w:tc>
        <w:tc>
          <w:tcPr>
            <w:tcW w:w="6" w:type="dxa"/>
            <w:tcBorders>
              <w:top w:val="nil"/>
              <w:left w:val="nil"/>
              <w:bottom w:val="nil"/>
              <w:right w:val="nil"/>
            </w:tcBorders>
            <w:shd w:val="clear" w:color="auto" w:fill="auto"/>
            <w:noWrap/>
            <w:vAlign w:val="center"/>
            <w:hideMark/>
          </w:tcPr>
          <w:p w14:paraId="6F243C5C" w14:textId="77777777" w:rsidR="00BC5219" w:rsidRPr="009C55C2" w:rsidRDefault="00BC5219" w:rsidP="00E83802">
            <w:pPr>
              <w:jc w:val="center"/>
              <w:rPr>
                <w:rFonts w:ascii="Times New Roman" w:eastAsia="Times New Roman" w:hAnsi="Times New Roman" w:cs="Times New Roman"/>
                <w:sz w:val="20"/>
                <w:szCs w:val="20"/>
                <w:lang w:eastAsia="en-AU"/>
              </w:rPr>
            </w:pPr>
          </w:p>
        </w:tc>
        <w:tc>
          <w:tcPr>
            <w:tcW w:w="1701" w:type="dxa"/>
            <w:tcBorders>
              <w:top w:val="nil"/>
              <w:left w:val="nil"/>
              <w:bottom w:val="nil"/>
              <w:right w:val="nil"/>
            </w:tcBorders>
            <w:shd w:val="clear" w:color="000000" w:fill="C9E3B4"/>
            <w:noWrap/>
            <w:vAlign w:val="center"/>
            <w:hideMark/>
          </w:tcPr>
          <w:p w14:paraId="5C2C96BF"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 </w:t>
            </w:r>
          </w:p>
        </w:tc>
        <w:tc>
          <w:tcPr>
            <w:tcW w:w="216" w:type="dxa"/>
            <w:tcBorders>
              <w:top w:val="nil"/>
              <w:left w:val="nil"/>
              <w:bottom w:val="nil"/>
              <w:right w:val="nil"/>
            </w:tcBorders>
            <w:shd w:val="clear" w:color="auto" w:fill="auto"/>
            <w:noWrap/>
            <w:vAlign w:val="center"/>
            <w:hideMark/>
          </w:tcPr>
          <w:p w14:paraId="35A00B02" w14:textId="77777777" w:rsidR="00BC5219" w:rsidRPr="009C55C2" w:rsidRDefault="00BC5219" w:rsidP="00E83802">
            <w:pPr>
              <w:jc w:val="right"/>
              <w:rPr>
                <w:rFonts w:ascii="Meta Pro" w:eastAsia="Times New Roman" w:hAnsi="Meta Pro"/>
                <w:color w:val="000000"/>
                <w:szCs w:val="18"/>
                <w:lang w:eastAsia="en-AU"/>
              </w:rPr>
            </w:pPr>
          </w:p>
        </w:tc>
        <w:tc>
          <w:tcPr>
            <w:tcW w:w="1701" w:type="dxa"/>
            <w:tcBorders>
              <w:top w:val="nil"/>
              <w:left w:val="nil"/>
              <w:bottom w:val="nil"/>
              <w:right w:val="nil"/>
            </w:tcBorders>
            <w:shd w:val="clear" w:color="auto" w:fill="auto"/>
            <w:noWrap/>
            <w:vAlign w:val="center"/>
            <w:hideMark/>
          </w:tcPr>
          <w:p w14:paraId="57D31B99"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1 </w:t>
            </w:r>
          </w:p>
        </w:tc>
      </w:tr>
      <w:tr w:rsidR="00BC5219" w:rsidRPr="009C55C2" w14:paraId="47AD5994" w14:textId="77777777" w:rsidTr="00E83802">
        <w:trPr>
          <w:trHeight w:val="240"/>
        </w:trPr>
        <w:tc>
          <w:tcPr>
            <w:tcW w:w="5103" w:type="dxa"/>
            <w:gridSpan w:val="2"/>
            <w:tcBorders>
              <w:top w:val="nil"/>
              <w:left w:val="nil"/>
              <w:bottom w:val="nil"/>
              <w:right w:val="nil"/>
            </w:tcBorders>
            <w:shd w:val="clear" w:color="auto" w:fill="auto"/>
            <w:noWrap/>
            <w:vAlign w:val="center"/>
            <w:hideMark/>
          </w:tcPr>
          <w:p w14:paraId="3EF31544"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Increase in asset revaluation surplus</w:t>
            </w:r>
          </w:p>
        </w:tc>
        <w:tc>
          <w:tcPr>
            <w:tcW w:w="567" w:type="dxa"/>
            <w:tcBorders>
              <w:top w:val="nil"/>
              <w:left w:val="nil"/>
              <w:bottom w:val="single" w:sz="4" w:space="0" w:color="auto"/>
              <w:right w:val="nil"/>
            </w:tcBorders>
            <w:shd w:val="clear" w:color="auto" w:fill="auto"/>
            <w:noWrap/>
            <w:vAlign w:val="center"/>
            <w:hideMark/>
          </w:tcPr>
          <w:p w14:paraId="0E839478"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15, 16</w:t>
            </w:r>
          </w:p>
        </w:tc>
        <w:tc>
          <w:tcPr>
            <w:tcW w:w="6" w:type="dxa"/>
            <w:tcBorders>
              <w:top w:val="nil"/>
              <w:left w:val="nil"/>
              <w:bottom w:val="nil"/>
              <w:right w:val="nil"/>
            </w:tcBorders>
            <w:shd w:val="clear" w:color="auto" w:fill="auto"/>
            <w:noWrap/>
            <w:vAlign w:val="center"/>
            <w:hideMark/>
          </w:tcPr>
          <w:p w14:paraId="68E36D00" w14:textId="77777777" w:rsidR="00BC5219" w:rsidRPr="009C55C2" w:rsidRDefault="00BC5219" w:rsidP="00E83802">
            <w:pPr>
              <w:jc w:val="center"/>
              <w:rPr>
                <w:rFonts w:ascii="Meta Pro" w:eastAsia="Times New Roman" w:hAnsi="Meta Pro"/>
                <w:color w:val="000000"/>
                <w:szCs w:val="18"/>
                <w:lang w:eastAsia="en-AU"/>
              </w:rPr>
            </w:pPr>
          </w:p>
        </w:tc>
        <w:tc>
          <w:tcPr>
            <w:tcW w:w="1701" w:type="dxa"/>
            <w:tcBorders>
              <w:top w:val="nil"/>
              <w:left w:val="nil"/>
              <w:bottom w:val="nil"/>
              <w:right w:val="nil"/>
            </w:tcBorders>
            <w:shd w:val="clear" w:color="000000" w:fill="C9E3B4"/>
            <w:noWrap/>
            <w:vAlign w:val="center"/>
            <w:hideMark/>
          </w:tcPr>
          <w:p w14:paraId="77D975AF"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15,103,128 </w:t>
            </w:r>
          </w:p>
        </w:tc>
        <w:tc>
          <w:tcPr>
            <w:tcW w:w="216" w:type="dxa"/>
            <w:tcBorders>
              <w:top w:val="nil"/>
              <w:left w:val="nil"/>
              <w:bottom w:val="nil"/>
              <w:right w:val="nil"/>
            </w:tcBorders>
            <w:shd w:val="clear" w:color="auto" w:fill="auto"/>
            <w:noWrap/>
            <w:vAlign w:val="center"/>
            <w:hideMark/>
          </w:tcPr>
          <w:p w14:paraId="6C84AEDC" w14:textId="77777777" w:rsidR="00BC5219" w:rsidRPr="009C55C2" w:rsidRDefault="00BC5219" w:rsidP="00E83802">
            <w:pPr>
              <w:jc w:val="right"/>
              <w:rPr>
                <w:rFonts w:ascii="Meta Pro" w:eastAsia="Times New Roman" w:hAnsi="Meta Pro"/>
                <w:color w:val="000000"/>
                <w:szCs w:val="18"/>
                <w:lang w:eastAsia="en-AU"/>
              </w:rPr>
            </w:pPr>
          </w:p>
        </w:tc>
        <w:tc>
          <w:tcPr>
            <w:tcW w:w="1701" w:type="dxa"/>
            <w:tcBorders>
              <w:top w:val="nil"/>
              <w:left w:val="nil"/>
              <w:bottom w:val="nil"/>
              <w:right w:val="nil"/>
            </w:tcBorders>
            <w:shd w:val="clear" w:color="auto" w:fill="auto"/>
            <w:noWrap/>
            <w:vAlign w:val="center"/>
            <w:hideMark/>
          </w:tcPr>
          <w:p w14:paraId="39352A87"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xml:space="preserve">10,757,900 </w:t>
            </w:r>
          </w:p>
        </w:tc>
      </w:tr>
      <w:tr w:rsidR="00BC5219" w:rsidRPr="009C55C2" w14:paraId="6A2C5D2D" w14:textId="77777777" w:rsidTr="00E83802">
        <w:trPr>
          <w:trHeight w:val="240"/>
        </w:trPr>
        <w:tc>
          <w:tcPr>
            <w:tcW w:w="5103" w:type="dxa"/>
            <w:gridSpan w:val="2"/>
            <w:tcBorders>
              <w:top w:val="single" w:sz="4" w:space="0" w:color="auto"/>
              <w:left w:val="nil"/>
              <w:bottom w:val="nil"/>
              <w:right w:val="nil"/>
            </w:tcBorders>
            <w:shd w:val="clear" w:color="auto" w:fill="auto"/>
            <w:noWrap/>
            <w:vAlign w:val="center"/>
            <w:hideMark/>
          </w:tcPr>
          <w:p w14:paraId="6052691E" w14:textId="77777777" w:rsidR="00BC5219" w:rsidRPr="009C55C2" w:rsidRDefault="00BC5219" w:rsidP="00E83802">
            <w:pPr>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Closing balance</w:t>
            </w:r>
          </w:p>
        </w:tc>
        <w:tc>
          <w:tcPr>
            <w:tcW w:w="567" w:type="dxa"/>
            <w:tcBorders>
              <w:top w:val="single" w:sz="4" w:space="0" w:color="auto"/>
              <w:left w:val="nil"/>
              <w:bottom w:val="nil"/>
              <w:right w:val="nil"/>
            </w:tcBorders>
            <w:shd w:val="clear" w:color="auto" w:fill="auto"/>
            <w:noWrap/>
            <w:vAlign w:val="center"/>
            <w:hideMark/>
          </w:tcPr>
          <w:p w14:paraId="54978262" w14:textId="77777777" w:rsidR="00BC5219" w:rsidRPr="009C55C2" w:rsidRDefault="00BC5219" w:rsidP="00E83802">
            <w:pPr>
              <w:jc w:val="center"/>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w:t>
            </w:r>
          </w:p>
        </w:tc>
        <w:tc>
          <w:tcPr>
            <w:tcW w:w="6" w:type="dxa"/>
            <w:tcBorders>
              <w:top w:val="single" w:sz="4" w:space="0" w:color="auto"/>
              <w:left w:val="nil"/>
              <w:bottom w:val="nil"/>
              <w:right w:val="nil"/>
            </w:tcBorders>
            <w:shd w:val="clear" w:color="auto" w:fill="auto"/>
            <w:noWrap/>
            <w:vAlign w:val="center"/>
            <w:hideMark/>
          </w:tcPr>
          <w:p w14:paraId="5371C550" w14:textId="77777777" w:rsidR="00BC5219" w:rsidRPr="009C55C2" w:rsidRDefault="00BC5219" w:rsidP="00E83802">
            <w:pPr>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w:t>
            </w:r>
          </w:p>
        </w:tc>
        <w:tc>
          <w:tcPr>
            <w:tcW w:w="1701" w:type="dxa"/>
            <w:tcBorders>
              <w:top w:val="single" w:sz="4" w:space="0" w:color="auto"/>
              <w:left w:val="nil"/>
              <w:bottom w:val="nil"/>
              <w:right w:val="nil"/>
            </w:tcBorders>
            <w:shd w:val="clear" w:color="000000" w:fill="C9E3B4"/>
            <w:noWrap/>
            <w:vAlign w:val="center"/>
            <w:hideMark/>
          </w:tcPr>
          <w:p w14:paraId="4EAB747D"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xml:space="preserve">         36,034,629 </w:t>
            </w:r>
          </w:p>
        </w:tc>
        <w:tc>
          <w:tcPr>
            <w:tcW w:w="216" w:type="dxa"/>
            <w:tcBorders>
              <w:top w:val="single" w:sz="4" w:space="0" w:color="auto"/>
              <w:left w:val="nil"/>
              <w:bottom w:val="nil"/>
              <w:right w:val="nil"/>
            </w:tcBorders>
            <w:shd w:val="clear" w:color="auto" w:fill="auto"/>
            <w:noWrap/>
            <w:vAlign w:val="center"/>
            <w:hideMark/>
          </w:tcPr>
          <w:p w14:paraId="22A0C4DD"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w:t>
            </w:r>
          </w:p>
        </w:tc>
        <w:tc>
          <w:tcPr>
            <w:tcW w:w="1701" w:type="dxa"/>
            <w:tcBorders>
              <w:top w:val="single" w:sz="4" w:space="0" w:color="auto"/>
              <w:left w:val="nil"/>
              <w:bottom w:val="nil"/>
              <w:right w:val="nil"/>
            </w:tcBorders>
            <w:shd w:val="clear" w:color="auto" w:fill="auto"/>
            <w:noWrap/>
            <w:vAlign w:val="center"/>
            <w:hideMark/>
          </w:tcPr>
          <w:p w14:paraId="0CAD29E1"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xml:space="preserve">               20,931,501 </w:t>
            </w:r>
          </w:p>
        </w:tc>
      </w:tr>
      <w:tr w:rsidR="00BC5219" w:rsidRPr="009C55C2" w14:paraId="1A7DEA0B" w14:textId="77777777" w:rsidTr="00E83802">
        <w:trPr>
          <w:trHeight w:val="240"/>
        </w:trPr>
        <w:tc>
          <w:tcPr>
            <w:tcW w:w="215" w:type="dxa"/>
            <w:tcBorders>
              <w:top w:val="nil"/>
              <w:left w:val="nil"/>
              <w:bottom w:val="single" w:sz="4" w:space="0" w:color="auto"/>
              <w:right w:val="nil"/>
            </w:tcBorders>
            <w:shd w:val="clear" w:color="auto" w:fill="auto"/>
            <w:noWrap/>
            <w:vAlign w:val="center"/>
            <w:hideMark/>
          </w:tcPr>
          <w:p w14:paraId="42FF6947"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5103" w:type="dxa"/>
            <w:tcBorders>
              <w:top w:val="nil"/>
              <w:left w:val="nil"/>
              <w:bottom w:val="single" w:sz="4" w:space="0" w:color="auto"/>
              <w:right w:val="nil"/>
            </w:tcBorders>
            <w:shd w:val="clear" w:color="auto" w:fill="auto"/>
            <w:noWrap/>
            <w:vAlign w:val="center"/>
            <w:hideMark/>
          </w:tcPr>
          <w:p w14:paraId="5B76B224"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567" w:type="dxa"/>
            <w:tcBorders>
              <w:top w:val="nil"/>
              <w:left w:val="nil"/>
              <w:bottom w:val="single" w:sz="4" w:space="0" w:color="auto"/>
              <w:right w:val="nil"/>
            </w:tcBorders>
            <w:shd w:val="clear" w:color="auto" w:fill="auto"/>
            <w:noWrap/>
            <w:vAlign w:val="center"/>
            <w:hideMark/>
          </w:tcPr>
          <w:p w14:paraId="739CF7C0"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6" w:type="dxa"/>
            <w:tcBorders>
              <w:top w:val="nil"/>
              <w:left w:val="nil"/>
              <w:bottom w:val="single" w:sz="4" w:space="0" w:color="auto"/>
              <w:right w:val="nil"/>
            </w:tcBorders>
            <w:shd w:val="clear" w:color="auto" w:fill="auto"/>
            <w:noWrap/>
            <w:vAlign w:val="center"/>
            <w:hideMark/>
          </w:tcPr>
          <w:p w14:paraId="67D9776F"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1701" w:type="dxa"/>
            <w:tcBorders>
              <w:top w:val="nil"/>
              <w:left w:val="nil"/>
              <w:bottom w:val="single" w:sz="4" w:space="0" w:color="auto"/>
              <w:right w:val="nil"/>
            </w:tcBorders>
            <w:shd w:val="clear" w:color="000000" w:fill="C9E3B4"/>
            <w:noWrap/>
            <w:vAlign w:val="center"/>
            <w:hideMark/>
          </w:tcPr>
          <w:p w14:paraId="1CC7D2BD"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216" w:type="dxa"/>
            <w:tcBorders>
              <w:top w:val="nil"/>
              <w:left w:val="nil"/>
              <w:bottom w:val="single" w:sz="4" w:space="0" w:color="auto"/>
              <w:right w:val="nil"/>
            </w:tcBorders>
            <w:shd w:val="clear" w:color="auto" w:fill="auto"/>
            <w:noWrap/>
            <w:vAlign w:val="center"/>
            <w:hideMark/>
          </w:tcPr>
          <w:p w14:paraId="38EC6857"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1701" w:type="dxa"/>
            <w:tcBorders>
              <w:top w:val="nil"/>
              <w:left w:val="nil"/>
              <w:bottom w:val="single" w:sz="4" w:space="0" w:color="auto"/>
              <w:right w:val="nil"/>
            </w:tcBorders>
            <w:shd w:val="clear" w:color="auto" w:fill="auto"/>
            <w:noWrap/>
            <w:vAlign w:val="center"/>
            <w:hideMark/>
          </w:tcPr>
          <w:p w14:paraId="606B969D" w14:textId="77777777" w:rsidR="00BC5219" w:rsidRPr="009C55C2" w:rsidRDefault="00BC5219" w:rsidP="00E83802">
            <w:pPr>
              <w:jc w:val="right"/>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r>
      <w:tr w:rsidR="00BC5219" w:rsidRPr="009C55C2" w14:paraId="6B6BEA0F" w14:textId="77777777" w:rsidTr="00E83802">
        <w:trPr>
          <w:trHeight w:val="240"/>
        </w:trPr>
        <w:tc>
          <w:tcPr>
            <w:tcW w:w="5103" w:type="dxa"/>
            <w:gridSpan w:val="2"/>
            <w:tcBorders>
              <w:top w:val="nil"/>
              <w:left w:val="nil"/>
              <w:bottom w:val="double" w:sz="6" w:space="0" w:color="auto"/>
              <w:right w:val="nil"/>
            </w:tcBorders>
            <w:shd w:val="clear" w:color="auto" w:fill="auto"/>
            <w:noWrap/>
            <w:vAlign w:val="center"/>
            <w:hideMark/>
          </w:tcPr>
          <w:p w14:paraId="6B8855C6" w14:textId="77777777" w:rsidR="00BC5219" w:rsidRPr="009C55C2" w:rsidRDefault="00BC5219" w:rsidP="00E83802">
            <w:pPr>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lastRenderedPageBreak/>
              <w:t>TOTAL EQUITY</w:t>
            </w:r>
          </w:p>
        </w:tc>
        <w:tc>
          <w:tcPr>
            <w:tcW w:w="567" w:type="dxa"/>
            <w:tcBorders>
              <w:top w:val="single" w:sz="4" w:space="0" w:color="auto"/>
              <w:left w:val="nil"/>
              <w:bottom w:val="double" w:sz="6" w:space="0" w:color="auto"/>
              <w:right w:val="nil"/>
            </w:tcBorders>
            <w:shd w:val="clear" w:color="auto" w:fill="auto"/>
            <w:noWrap/>
            <w:vAlign w:val="center"/>
            <w:hideMark/>
          </w:tcPr>
          <w:p w14:paraId="684F8C75" w14:textId="77777777" w:rsidR="00BC5219" w:rsidRPr="009C55C2" w:rsidRDefault="00BC5219" w:rsidP="00E83802">
            <w:pPr>
              <w:jc w:val="cente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6" w:type="dxa"/>
            <w:tcBorders>
              <w:top w:val="nil"/>
              <w:left w:val="nil"/>
              <w:bottom w:val="double" w:sz="6" w:space="0" w:color="auto"/>
              <w:right w:val="nil"/>
            </w:tcBorders>
            <w:shd w:val="clear" w:color="auto" w:fill="auto"/>
            <w:noWrap/>
            <w:vAlign w:val="center"/>
            <w:hideMark/>
          </w:tcPr>
          <w:p w14:paraId="4ECC4456" w14:textId="77777777" w:rsidR="00BC5219" w:rsidRPr="009C55C2" w:rsidRDefault="00BC5219" w:rsidP="00E83802">
            <w:pPr>
              <w:rPr>
                <w:rFonts w:ascii="Meta Pro" w:eastAsia="Times New Roman" w:hAnsi="Meta Pro"/>
                <w:color w:val="000000"/>
                <w:szCs w:val="18"/>
                <w:lang w:eastAsia="en-AU"/>
              </w:rPr>
            </w:pPr>
            <w:r w:rsidRPr="009C55C2">
              <w:rPr>
                <w:rFonts w:ascii="Meta Pro" w:eastAsia="Times New Roman" w:hAnsi="Meta Pro"/>
                <w:color w:val="000000"/>
                <w:szCs w:val="18"/>
                <w:lang w:eastAsia="en-AU"/>
              </w:rPr>
              <w:t> </w:t>
            </w:r>
          </w:p>
        </w:tc>
        <w:tc>
          <w:tcPr>
            <w:tcW w:w="1701" w:type="dxa"/>
            <w:tcBorders>
              <w:top w:val="nil"/>
              <w:left w:val="nil"/>
              <w:bottom w:val="double" w:sz="6" w:space="0" w:color="auto"/>
              <w:right w:val="nil"/>
            </w:tcBorders>
            <w:shd w:val="clear" w:color="000000" w:fill="C9E3B4"/>
            <w:noWrap/>
            <w:vAlign w:val="center"/>
            <w:hideMark/>
          </w:tcPr>
          <w:p w14:paraId="0D667D4C"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xml:space="preserve">        109,731,906 </w:t>
            </w:r>
          </w:p>
        </w:tc>
        <w:tc>
          <w:tcPr>
            <w:tcW w:w="216" w:type="dxa"/>
            <w:tcBorders>
              <w:top w:val="nil"/>
              <w:left w:val="nil"/>
              <w:bottom w:val="double" w:sz="6" w:space="0" w:color="auto"/>
              <w:right w:val="nil"/>
            </w:tcBorders>
            <w:shd w:val="clear" w:color="auto" w:fill="auto"/>
            <w:noWrap/>
            <w:vAlign w:val="center"/>
            <w:hideMark/>
          </w:tcPr>
          <w:p w14:paraId="2FE18F39"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w:t>
            </w:r>
          </w:p>
        </w:tc>
        <w:tc>
          <w:tcPr>
            <w:tcW w:w="1701" w:type="dxa"/>
            <w:tcBorders>
              <w:top w:val="nil"/>
              <w:left w:val="nil"/>
              <w:bottom w:val="double" w:sz="6" w:space="0" w:color="auto"/>
              <w:right w:val="nil"/>
            </w:tcBorders>
            <w:shd w:val="clear" w:color="auto" w:fill="auto"/>
            <w:noWrap/>
            <w:vAlign w:val="center"/>
            <w:hideMark/>
          </w:tcPr>
          <w:p w14:paraId="7B404389" w14:textId="77777777" w:rsidR="00BC5219" w:rsidRPr="009C55C2" w:rsidRDefault="00BC5219" w:rsidP="00E83802">
            <w:pPr>
              <w:jc w:val="right"/>
              <w:rPr>
                <w:rFonts w:ascii="Meta Pro" w:eastAsia="Times New Roman" w:hAnsi="Meta Pro"/>
                <w:b/>
                <w:bCs/>
                <w:color w:val="000000"/>
                <w:szCs w:val="18"/>
                <w:lang w:eastAsia="en-AU"/>
              </w:rPr>
            </w:pPr>
            <w:r w:rsidRPr="009C55C2">
              <w:rPr>
                <w:rFonts w:ascii="Meta Pro" w:eastAsia="Times New Roman" w:hAnsi="Meta Pro"/>
                <w:b/>
                <w:bCs/>
                <w:color w:val="000000"/>
                <w:szCs w:val="18"/>
                <w:lang w:eastAsia="en-AU"/>
              </w:rPr>
              <w:t xml:space="preserve">               90,707,728 </w:t>
            </w:r>
          </w:p>
        </w:tc>
      </w:tr>
    </w:tbl>
    <w:p w14:paraId="25FF3511" w14:textId="77777777" w:rsidR="00BC5219" w:rsidRPr="008A2B8F" w:rsidRDefault="00BC5219" w:rsidP="00BC5219">
      <w:pPr>
        <w:spacing w:before="120" w:after="120"/>
        <w:rPr>
          <w:rFonts w:ascii="Meta Pro" w:hAnsi="Meta Pro" w:cstheme="minorBidi"/>
        </w:rPr>
      </w:pPr>
      <w:r w:rsidRPr="008A2B8F">
        <w:rPr>
          <w:rFonts w:ascii="Meta Pro" w:eastAsia="Times New Roman" w:hAnsi="Meta Pro"/>
          <w:color w:val="000000"/>
          <w:szCs w:val="18"/>
          <w:lang w:eastAsia="en-AU"/>
        </w:rPr>
        <w:t>The closing balance of Asset revaluation surplus comprises:</w:t>
      </w:r>
    </w:p>
    <w:tbl>
      <w:tblPr>
        <w:tblW w:w="0" w:type="auto"/>
        <w:tblLayout w:type="fixed"/>
        <w:tblCellMar>
          <w:left w:w="0" w:type="dxa"/>
        </w:tblCellMar>
        <w:tblLook w:val="04A0" w:firstRow="1" w:lastRow="0" w:firstColumn="1" w:lastColumn="0" w:noHBand="0" w:noVBand="1"/>
      </w:tblPr>
      <w:tblGrid>
        <w:gridCol w:w="4933"/>
        <w:gridCol w:w="567"/>
        <w:gridCol w:w="576"/>
        <w:gridCol w:w="1701"/>
        <w:gridCol w:w="215"/>
        <w:gridCol w:w="1701"/>
      </w:tblGrid>
      <w:tr w:rsidR="00BC5219" w:rsidRPr="008A2B8F" w14:paraId="0BBAAE62" w14:textId="77777777" w:rsidTr="00E83802">
        <w:trPr>
          <w:trHeight w:val="23"/>
        </w:trPr>
        <w:tc>
          <w:tcPr>
            <w:tcW w:w="4933" w:type="dxa"/>
            <w:tcBorders>
              <w:top w:val="nil"/>
              <w:left w:val="nil"/>
              <w:bottom w:val="nil"/>
              <w:right w:val="nil"/>
            </w:tcBorders>
            <w:shd w:val="clear" w:color="auto" w:fill="auto"/>
            <w:noWrap/>
            <w:vAlign w:val="center"/>
            <w:hideMark/>
          </w:tcPr>
          <w:p w14:paraId="4AA38B24" w14:textId="77777777" w:rsidR="00BC5219" w:rsidRPr="008A2B8F" w:rsidRDefault="00BC5219" w:rsidP="00E83802">
            <w:pPr>
              <w:rPr>
                <w:rFonts w:ascii="Meta Pro" w:eastAsia="Times New Roman" w:hAnsi="Meta Pro"/>
                <w:color w:val="000000"/>
                <w:szCs w:val="18"/>
                <w:lang w:eastAsia="en-AU"/>
              </w:rPr>
            </w:pPr>
            <w:r w:rsidRPr="008A2B8F">
              <w:rPr>
                <w:rFonts w:ascii="Meta Pro" w:eastAsia="Times New Roman" w:hAnsi="Meta Pro"/>
                <w:color w:val="000000"/>
                <w:szCs w:val="18"/>
                <w:lang w:eastAsia="en-AU"/>
              </w:rPr>
              <w:t>Land</w:t>
            </w:r>
          </w:p>
        </w:tc>
        <w:tc>
          <w:tcPr>
            <w:tcW w:w="567" w:type="dxa"/>
            <w:tcBorders>
              <w:top w:val="nil"/>
              <w:left w:val="nil"/>
              <w:bottom w:val="nil"/>
              <w:right w:val="nil"/>
            </w:tcBorders>
            <w:shd w:val="clear" w:color="auto" w:fill="auto"/>
            <w:vAlign w:val="center"/>
            <w:hideMark/>
          </w:tcPr>
          <w:p w14:paraId="7F1DC63B" w14:textId="77777777" w:rsidR="00BC5219" w:rsidRPr="008A2B8F" w:rsidRDefault="00BC5219" w:rsidP="00E83802">
            <w:pPr>
              <w:rPr>
                <w:rFonts w:ascii="Meta Pro" w:eastAsia="Times New Roman" w:hAnsi="Meta Pro"/>
                <w:color w:val="000000"/>
                <w:szCs w:val="18"/>
                <w:lang w:eastAsia="en-AU"/>
              </w:rPr>
            </w:pPr>
          </w:p>
        </w:tc>
        <w:tc>
          <w:tcPr>
            <w:tcW w:w="576" w:type="dxa"/>
            <w:tcBorders>
              <w:top w:val="nil"/>
              <w:left w:val="nil"/>
              <w:bottom w:val="nil"/>
              <w:right w:val="nil"/>
            </w:tcBorders>
            <w:shd w:val="clear" w:color="auto" w:fill="auto"/>
            <w:noWrap/>
            <w:vAlign w:val="center"/>
            <w:hideMark/>
          </w:tcPr>
          <w:p w14:paraId="344AC3B0" w14:textId="77777777" w:rsidR="00BC5219" w:rsidRPr="008A2B8F" w:rsidRDefault="00BC5219" w:rsidP="00E83802">
            <w:pPr>
              <w:jc w:val="center"/>
              <w:rPr>
                <w:rFonts w:ascii="Meta Pro" w:eastAsia="Times New Roman" w:hAnsi="Meta Pro" w:cs="Times New Roman"/>
                <w:sz w:val="20"/>
                <w:szCs w:val="20"/>
                <w:lang w:eastAsia="en-AU"/>
              </w:rPr>
            </w:pPr>
          </w:p>
        </w:tc>
        <w:tc>
          <w:tcPr>
            <w:tcW w:w="1701" w:type="dxa"/>
            <w:tcBorders>
              <w:top w:val="nil"/>
              <w:left w:val="nil"/>
              <w:bottom w:val="nil"/>
              <w:right w:val="nil"/>
            </w:tcBorders>
            <w:shd w:val="clear" w:color="000000" w:fill="C9E3B4"/>
            <w:noWrap/>
            <w:vAlign w:val="center"/>
            <w:hideMark/>
          </w:tcPr>
          <w:p w14:paraId="33421353" w14:textId="77777777" w:rsidR="00BC5219" w:rsidRPr="008A2B8F" w:rsidRDefault="00BC5219" w:rsidP="00E83802">
            <w:pPr>
              <w:jc w:val="right"/>
              <w:rPr>
                <w:rFonts w:ascii="Meta Pro" w:eastAsia="Times New Roman" w:hAnsi="Meta Pro"/>
                <w:color w:val="000000"/>
                <w:szCs w:val="18"/>
                <w:lang w:eastAsia="en-AU"/>
              </w:rPr>
            </w:pPr>
            <w:r w:rsidRPr="008A2B8F">
              <w:rPr>
                <w:rFonts w:ascii="Meta Pro" w:eastAsia="Times New Roman" w:hAnsi="Meta Pro"/>
                <w:color w:val="000000"/>
                <w:szCs w:val="18"/>
                <w:lang w:eastAsia="en-AU"/>
              </w:rPr>
              <w:t xml:space="preserve">3,599,935 </w:t>
            </w:r>
          </w:p>
        </w:tc>
        <w:tc>
          <w:tcPr>
            <w:tcW w:w="215" w:type="dxa"/>
            <w:tcBorders>
              <w:top w:val="nil"/>
              <w:left w:val="nil"/>
              <w:bottom w:val="nil"/>
              <w:right w:val="nil"/>
            </w:tcBorders>
            <w:shd w:val="clear" w:color="auto" w:fill="auto"/>
            <w:noWrap/>
            <w:vAlign w:val="center"/>
            <w:hideMark/>
          </w:tcPr>
          <w:p w14:paraId="08EC2F92" w14:textId="77777777" w:rsidR="00BC5219" w:rsidRPr="008A2B8F" w:rsidRDefault="00BC5219" w:rsidP="00E83802">
            <w:pPr>
              <w:jc w:val="right"/>
              <w:rPr>
                <w:rFonts w:ascii="Meta Pro" w:eastAsia="Times New Roman" w:hAnsi="Meta Pro"/>
                <w:color w:val="000000"/>
                <w:szCs w:val="18"/>
                <w:lang w:eastAsia="en-AU"/>
              </w:rPr>
            </w:pPr>
          </w:p>
        </w:tc>
        <w:tc>
          <w:tcPr>
            <w:tcW w:w="1701" w:type="dxa"/>
            <w:tcBorders>
              <w:top w:val="nil"/>
              <w:left w:val="nil"/>
              <w:bottom w:val="nil"/>
              <w:right w:val="nil"/>
            </w:tcBorders>
            <w:shd w:val="clear" w:color="auto" w:fill="auto"/>
            <w:noWrap/>
            <w:vAlign w:val="center"/>
            <w:hideMark/>
          </w:tcPr>
          <w:p w14:paraId="67E9B466" w14:textId="77777777" w:rsidR="00BC5219" w:rsidRPr="008A2B8F" w:rsidRDefault="00BC5219" w:rsidP="00E83802">
            <w:pPr>
              <w:jc w:val="right"/>
              <w:rPr>
                <w:rFonts w:ascii="Meta Pro" w:eastAsia="Times New Roman" w:hAnsi="Meta Pro"/>
                <w:color w:val="000000"/>
                <w:szCs w:val="18"/>
                <w:lang w:eastAsia="en-AU"/>
              </w:rPr>
            </w:pPr>
            <w:r w:rsidRPr="008A2B8F">
              <w:rPr>
                <w:rFonts w:ascii="Meta Pro" w:eastAsia="Times New Roman" w:hAnsi="Meta Pro"/>
                <w:color w:val="000000"/>
                <w:szCs w:val="18"/>
                <w:lang w:eastAsia="en-AU"/>
              </w:rPr>
              <w:t xml:space="preserve">                 2,892,698 </w:t>
            </w:r>
          </w:p>
        </w:tc>
      </w:tr>
      <w:tr w:rsidR="00BC5219" w:rsidRPr="008A2B8F" w14:paraId="612FB772" w14:textId="77777777" w:rsidTr="00E83802">
        <w:trPr>
          <w:trHeight w:val="23"/>
        </w:trPr>
        <w:tc>
          <w:tcPr>
            <w:tcW w:w="4933" w:type="dxa"/>
            <w:tcBorders>
              <w:top w:val="nil"/>
              <w:left w:val="nil"/>
              <w:bottom w:val="nil"/>
              <w:right w:val="nil"/>
            </w:tcBorders>
            <w:shd w:val="clear" w:color="auto" w:fill="auto"/>
            <w:noWrap/>
            <w:vAlign w:val="center"/>
            <w:hideMark/>
          </w:tcPr>
          <w:p w14:paraId="13C0ACB6" w14:textId="77777777" w:rsidR="00BC5219" w:rsidRPr="008A2B8F" w:rsidRDefault="00BC5219" w:rsidP="00E83802">
            <w:pPr>
              <w:rPr>
                <w:rFonts w:ascii="Meta Pro" w:eastAsia="Times New Roman" w:hAnsi="Meta Pro"/>
                <w:color w:val="000000"/>
                <w:szCs w:val="18"/>
                <w:lang w:eastAsia="en-AU"/>
              </w:rPr>
            </w:pPr>
            <w:r w:rsidRPr="008A2B8F">
              <w:rPr>
                <w:rFonts w:ascii="Meta Pro" w:eastAsia="Times New Roman" w:hAnsi="Meta Pro"/>
                <w:color w:val="000000"/>
                <w:szCs w:val="18"/>
                <w:lang w:eastAsia="en-AU"/>
              </w:rPr>
              <w:t>Buildings</w:t>
            </w:r>
          </w:p>
        </w:tc>
        <w:tc>
          <w:tcPr>
            <w:tcW w:w="567" w:type="dxa"/>
            <w:tcBorders>
              <w:top w:val="nil"/>
              <w:left w:val="nil"/>
              <w:bottom w:val="nil"/>
              <w:right w:val="nil"/>
            </w:tcBorders>
            <w:shd w:val="clear" w:color="auto" w:fill="auto"/>
            <w:vAlign w:val="center"/>
            <w:hideMark/>
          </w:tcPr>
          <w:p w14:paraId="61AE840D" w14:textId="77777777" w:rsidR="00BC5219" w:rsidRPr="008A2B8F" w:rsidRDefault="00BC5219" w:rsidP="00E83802">
            <w:pPr>
              <w:rPr>
                <w:rFonts w:ascii="Meta Pro" w:eastAsia="Times New Roman" w:hAnsi="Meta Pro"/>
                <w:color w:val="000000"/>
                <w:szCs w:val="18"/>
                <w:lang w:eastAsia="en-AU"/>
              </w:rPr>
            </w:pPr>
          </w:p>
        </w:tc>
        <w:tc>
          <w:tcPr>
            <w:tcW w:w="576" w:type="dxa"/>
            <w:tcBorders>
              <w:top w:val="nil"/>
              <w:left w:val="nil"/>
              <w:bottom w:val="nil"/>
              <w:right w:val="nil"/>
            </w:tcBorders>
            <w:shd w:val="clear" w:color="auto" w:fill="auto"/>
            <w:noWrap/>
            <w:vAlign w:val="center"/>
            <w:hideMark/>
          </w:tcPr>
          <w:p w14:paraId="7F0CE0ED" w14:textId="77777777" w:rsidR="00BC5219" w:rsidRPr="008A2B8F" w:rsidRDefault="00BC5219" w:rsidP="00E83802">
            <w:pPr>
              <w:jc w:val="center"/>
              <w:rPr>
                <w:rFonts w:ascii="Meta Pro" w:eastAsia="Times New Roman" w:hAnsi="Meta Pro" w:cs="Times New Roman"/>
                <w:sz w:val="20"/>
                <w:szCs w:val="20"/>
                <w:lang w:eastAsia="en-AU"/>
              </w:rPr>
            </w:pPr>
          </w:p>
        </w:tc>
        <w:tc>
          <w:tcPr>
            <w:tcW w:w="1701" w:type="dxa"/>
            <w:tcBorders>
              <w:top w:val="nil"/>
              <w:left w:val="nil"/>
              <w:bottom w:val="nil"/>
              <w:right w:val="nil"/>
            </w:tcBorders>
            <w:shd w:val="clear" w:color="000000" w:fill="C9E3B4"/>
            <w:noWrap/>
            <w:vAlign w:val="center"/>
            <w:hideMark/>
          </w:tcPr>
          <w:p w14:paraId="2C1DEE1E" w14:textId="77777777" w:rsidR="00BC5219" w:rsidRPr="008A2B8F" w:rsidRDefault="00BC5219" w:rsidP="00E83802">
            <w:pPr>
              <w:jc w:val="right"/>
              <w:rPr>
                <w:rFonts w:ascii="Meta Pro" w:eastAsia="Times New Roman" w:hAnsi="Meta Pro"/>
                <w:color w:val="000000"/>
                <w:szCs w:val="18"/>
                <w:lang w:eastAsia="en-AU"/>
              </w:rPr>
            </w:pPr>
            <w:r w:rsidRPr="008A2B8F">
              <w:rPr>
                <w:rFonts w:ascii="Meta Pro" w:eastAsia="Times New Roman" w:hAnsi="Meta Pro"/>
                <w:color w:val="000000"/>
                <w:szCs w:val="18"/>
                <w:lang w:eastAsia="en-AU"/>
              </w:rPr>
              <w:t xml:space="preserve">249,193 </w:t>
            </w:r>
          </w:p>
        </w:tc>
        <w:tc>
          <w:tcPr>
            <w:tcW w:w="215" w:type="dxa"/>
            <w:tcBorders>
              <w:top w:val="nil"/>
              <w:left w:val="nil"/>
              <w:bottom w:val="nil"/>
              <w:right w:val="nil"/>
            </w:tcBorders>
            <w:shd w:val="clear" w:color="auto" w:fill="auto"/>
            <w:noWrap/>
            <w:vAlign w:val="center"/>
            <w:hideMark/>
          </w:tcPr>
          <w:p w14:paraId="1344BEDB" w14:textId="77777777" w:rsidR="00BC5219" w:rsidRPr="008A2B8F" w:rsidRDefault="00BC5219" w:rsidP="00E83802">
            <w:pPr>
              <w:jc w:val="right"/>
              <w:rPr>
                <w:rFonts w:ascii="Meta Pro" w:eastAsia="Times New Roman" w:hAnsi="Meta Pro"/>
                <w:color w:val="000000"/>
                <w:szCs w:val="18"/>
                <w:lang w:eastAsia="en-AU"/>
              </w:rPr>
            </w:pPr>
          </w:p>
        </w:tc>
        <w:tc>
          <w:tcPr>
            <w:tcW w:w="1701" w:type="dxa"/>
            <w:tcBorders>
              <w:top w:val="nil"/>
              <w:left w:val="nil"/>
              <w:bottom w:val="nil"/>
              <w:right w:val="nil"/>
            </w:tcBorders>
            <w:shd w:val="clear" w:color="auto" w:fill="auto"/>
            <w:noWrap/>
            <w:vAlign w:val="center"/>
            <w:hideMark/>
          </w:tcPr>
          <w:p w14:paraId="4F5A95C0" w14:textId="77777777" w:rsidR="00BC5219" w:rsidRPr="008A2B8F" w:rsidRDefault="00BC5219" w:rsidP="00E83802">
            <w:pPr>
              <w:jc w:val="right"/>
              <w:rPr>
                <w:rFonts w:ascii="Meta Pro" w:eastAsia="Times New Roman" w:hAnsi="Meta Pro"/>
                <w:color w:val="000000"/>
                <w:szCs w:val="18"/>
                <w:lang w:eastAsia="en-AU"/>
              </w:rPr>
            </w:pPr>
            <w:r w:rsidRPr="008A2B8F">
              <w:rPr>
                <w:rFonts w:ascii="Meta Pro" w:eastAsia="Times New Roman" w:hAnsi="Meta Pro"/>
                <w:color w:val="000000"/>
                <w:szCs w:val="18"/>
                <w:lang w:eastAsia="en-AU"/>
              </w:rPr>
              <w:t xml:space="preserve">                     166,025 </w:t>
            </w:r>
          </w:p>
        </w:tc>
      </w:tr>
      <w:tr w:rsidR="00BC5219" w:rsidRPr="008A2B8F" w14:paraId="4E3E51BF" w14:textId="77777777" w:rsidTr="00E83802">
        <w:trPr>
          <w:trHeight w:val="23"/>
        </w:trPr>
        <w:tc>
          <w:tcPr>
            <w:tcW w:w="4933" w:type="dxa"/>
            <w:tcBorders>
              <w:top w:val="nil"/>
              <w:left w:val="nil"/>
              <w:bottom w:val="nil"/>
              <w:right w:val="nil"/>
            </w:tcBorders>
            <w:shd w:val="clear" w:color="auto" w:fill="auto"/>
            <w:noWrap/>
            <w:vAlign w:val="center"/>
            <w:hideMark/>
          </w:tcPr>
          <w:p w14:paraId="7E9D824D" w14:textId="77777777" w:rsidR="00BC5219" w:rsidRPr="008A2B8F" w:rsidRDefault="00BC5219" w:rsidP="00E83802">
            <w:pPr>
              <w:rPr>
                <w:rFonts w:ascii="Meta Pro" w:eastAsia="Times New Roman" w:hAnsi="Meta Pro"/>
                <w:color w:val="000000"/>
                <w:szCs w:val="18"/>
                <w:lang w:eastAsia="en-AU"/>
              </w:rPr>
            </w:pPr>
            <w:r w:rsidRPr="008A2B8F">
              <w:rPr>
                <w:rFonts w:ascii="Meta Pro" w:eastAsia="Times New Roman" w:hAnsi="Meta Pro"/>
                <w:color w:val="000000"/>
                <w:szCs w:val="18"/>
                <w:lang w:eastAsia="en-AU"/>
              </w:rPr>
              <w:t>Major property, plant and equipment</w:t>
            </w:r>
          </w:p>
        </w:tc>
        <w:tc>
          <w:tcPr>
            <w:tcW w:w="567" w:type="dxa"/>
            <w:tcBorders>
              <w:top w:val="nil"/>
              <w:left w:val="nil"/>
              <w:bottom w:val="nil"/>
              <w:right w:val="nil"/>
            </w:tcBorders>
            <w:shd w:val="clear" w:color="auto" w:fill="auto"/>
            <w:vAlign w:val="center"/>
            <w:hideMark/>
          </w:tcPr>
          <w:p w14:paraId="7B9CC7C5" w14:textId="77777777" w:rsidR="00BC5219" w:rsidRPr="008A2B8F" w:rsidRDefault="00BC5219" w:rsidP="00E83802">
            <w:pPr>
              <w:rPr>
                <w:rFonts w:ascii="Meta Pro" w:eastAsia="Times New Roman" w:hAnsi="Meta Pro"/>
                <w:color w:val="000000"/>
                <w:szCs w:val="18"/>
                <w:lang w:eastAsia="en-AU"/>
              </w:rPr>
            </w:pPr>
          </w:p>
        </w:tc>
        <w:tc>
          <w:tcPr>
            <w:tcW w:w="576" w:type="dxa"/>
            <w:tcBorders>
              <w:top w:val="nil"/>
              <w:left w:val="nil"/>
              <w:bottom w:val="nil"/>
              <w:right w:val="nil"/>
            </w:tcBorders>
            <w:shd w:val="clear" w:color="auto" w:fill="auto"/>
            <w:vAlign w:val="center"/>
            <w:hideMark/>
          </w:tcPr>
          <w:p w14:paraId="48A8BDE3" w14:textId="77777777" w:rsidR="00BC5219" w:rsidRPr="008A2B8F" w:rsidRDefault="00BC5219" w:rsidP="00E83802">
            <w:pPr>
              <w:jc w:val="center"/>
              <w:rPr>
                <w:rFonts w:ascii="Meta Pro" w:eastAsia="Times New Roman" w:hAnsi="Meta Pro" w:cs="Times New Roman"/>
                <w:sz w:val="20"/>
                <w:szCs w:val="20"/>
                <w:lang w:eastAsia="en-AU"/>
              </w:rPr>
            </w:pPr>
          </w:p>
        </w:tc>
        <w:tc>
          <w:tcPr>
            <w:tcW w:w="1701" w:type="dxa"/>
            <w:tcBorders>
              <w:top w:val="nil"/>
              <w:left w:val="nil"/>
              <w:bottom w:val="nil"/>
              <w:right w:val="nil"/>
            </w:tcBorders>
            <w:shd w:val="clear" w:color="000000" w:fill="C9E3B4"/>
            <w:noWrap/>
            <w:vAlign w:val="center"/>
            <w:hideMark/>
          </w:tcPr>
          <w:p w14:paraId="0C8987E8" w14:textId="77777777" w:rsidR="00BC5219" w:rsidRPr="008A2B8F" w:rsidRDefault="00BC5219" w:rsidP="00E83802">
            <w:pPr>
              <w:jc w:val="right"/>
              <w:rPr>
                <w:rFonts w:ascii="Meta Pro" w:eastAsia="Times New Roman" w:hAnsi="Meta Pro"/>
                <w:color w:val="000000"/>
                <w:szCs w:val="18"/>
                <w:lang w:eastAsia="en-AU"/>
              </w:rPr>
            </w:pPr>
            <w:r w:rsidRPr="008A2B8F">
              <w:rPr>
                <w:rFonts w:ascii="Meta Pro" w:eastAsia="Times New Roman" w:hAnsi="Meta Pro"/>
                <w:color w:val="000000"/>
                <w:szCs w:val="18"/>
                <w:lang w:eastAsia="en-AU"/>
              </w:rPr>
              <w:t xml:space="preserve">150,662 </w:t>
            </w:r>
          </w:p>
        </w:tc>
        <w:tc>
          <w:tcPr>
            <w:tcW w:w="215" w:type="dxa"/>
            <w:tcBorders>
              <w:top w:val="nil"/>
              <w:left w:val="nil"/>
              <w:bottom w:val="nil"/>
              <w:right w:val="nil"/>
            </w:tcBorders>
            <w:shd w:val="clear" w:color="auto" w:fill="auto"/>
            <w:noWrap/>
            <w:vAlign w:val="center"/>
            <w:hideMark/>
          </w:tcPr>
          <w:p w14:paraId="132F8BFA" w14:textId="77777777" w:rsidR="00BC5219" w:rsidRPr="008A2B8F" w:rsidRDefault="00BC5219" w:rsidP="00E83802">
            <w:pPr>
              <w:jc w:val="right"/>
              <w:rPr>
                <w:rFonts w:ascii="Meta Pro" w:eastAsia="Times New Roman" w:hAnsi="Meta Pro"/>
                <w:color w:val="000000"/>
                <w:szCs w:val="18"/>
                <w:lang w:eastAsia="en-AU"/>
              </w:rPr>
            </w:pPr>
          </w:p>
        </w:tc>
        <w:tc>
          <w:tcPr>
            <w:tcW w:w="1701" w:type="dxa"/>
            <w:tcBorders>
              <w:top w:val="nil"/>
              <w:left w:val="nil"/>
              <w:bottom w:val="nil"/>
              <w:right w:val="nil"/>
            </w:tcBorders>
            <w:shd w:val="clear" w:color="auto" w:fill="auto"/>
            <w:noWrap/>
            <w:vAlign w:val="center"/>
            <w:hideMark/>
          </w:tcPr>
          <w:p w14:paraId="2219AE3E" w14:textId="77777777" w:rsidR="00BC5219" w:rsidRPr="008A2B8F" w:rsidRDefault="00BC5219" w:rsidP="00E83802">
            <w:pPr>
              <w:jc w:val="right"/>
              <w:rPr>
                <w:rFonts w:ascii="Meta Pro" w:eastAsia="Times New Roman" w:hAnsi="Meta Pro"/>
                <w:color w:val="000000"/>
                <w:szCs w:val="18"/>
                <w:lang w:eastAsia="en-AU"/>
              </w:rPr>
            </w:pPr>
            <w:r w:rsidRPr="008A2B8F">
              <w:rPr>
                <w:rFonts w:ascii="Meta Pro" w:eastAsia="Times New Roman" w:hAnsi="Meta Pro"/>
                <w:color w:val="000000"/>
                <w:szCs w:val="18"/>
                <w:lang w:eastAsia="en-AU"/>
              </w:rPr>
              <w:t xml:space="preserve">                      105,519 </w:t>
            </w:r>
          </w:p>
        </w:tc>
      </w:tr>
      <w:tr w:rsidR="00BC5219" w:rsidRPr="008A2B8F" w14:paraId="133506E3" w14:textId="77777777" w:rsidTr="00E83802">
        <w:trPr>
          <w:trHeight w:val="23"/>
        </w:trPr>
        <w:tc>
          <w:tcPr>
            <w:tcW w:w="4933" w:type="dxa"/>
            <w:tcBorders>
              <w:top w:val="nil"/>
              <w:left w:val="nil"/>
              <w:bottom w:val="nil"/>
              <w:right w:val="nil"/>
            </w:tcBorders>
            <w:shd w:val="clear" w:color="auto" w:fill="auto"/>
            <w:noWrap/>
            <w:vAlign w:val="center"/>
            <w:hideMark/>
          </w:tcPr>
          <w:p w14:paraId="47D2E254" w14:textId="77777777" w:rsidR="00BC5219" w:rsidRPr="008A2B8F" w:rsidRDefault="00BC5219" w:rsidP="00E83802">
            <w:pPr>
              <w:rPr>
                <w:rFonts w:ascii="Meta Pro" w:eastAsia="Times New Roman" w:hAnsi="Meta Pro"/>
                <w:color w:val="000000"/>
                <w:szCs w:val="18"/>
                <w:lang w:eastAsia="en-AU"/>
              </w:rPr>
            </w:pPr>
            <w:r w:rsidRPr="008A2B8F">
              <w:rPr>
                <w:rFonts w:ascii="Meta Pro" w:eastAsia="Times New Roman" w:hAnsi="Meta Pro"/>
                <w:color w:val="000000"/>
                <w:szCs w:val="18"/>
                <w:lang w:eastAsia="en-AU"/>
              </w:rPr>
              <w:t>Infrastructure</w:t>
            </w:r>
          </w:p>
        </w:tc>
        <w:tc>
          <w:tcPr>
            <w:tcW w:w="567" w:type="dxa"/>
            <w:tcBorders>
              <w:top w:val="nil"/>
              <w:left w:val="nil"/>
              <w:bottom w:val="nil"/>
              <w:right w:val="nil"/>
            </w:tcBorders>
            <w:shd w:val="clear" w:color="auto" w:fill="auto"/>
            <w:vAlign w:val="center"/>
            <w:hideMark/>
          </w:tcPr>
          <w:p w14:paraId="00419779" w14:textId="77777777" w:rsidR="00BC5219" w:rsidRPr="008A2B8F" w:rsidRDefault="00BC5219" w:rsidP="00E83802">
            <w:pPr>
              <w:rPr>
                <w:rFonts w:ascii="Meta Pro" w:eastAsia="Times New Roman" w:hAnsi="Meta Pro"/>
                <w:color w:val="000000"/>
                <w:szCs w:val="18"/>
                <w:lang w:eastAsia="en-AU"/>
              </w:rPr>
            </w:pPr>
          </w:p>
        </w:tc>
        <w:tc>
          <w:tcPr>
            <w:tcW w:w="576" w:type="dxa"/>
            <w:tcBorders>
              <w:top w:val="nil"/>
              <w:left w:val="nil"/>
              <w:bottom w:val="nil"/>
              <w:right w:val="nil"/>
            </w:tcBorders>
            <w:shd w:val="clear" w:color="auto" w:fill="auto"/>
            <w:vAlign w:val="center"/>
            <w:hideMark/>
          </w:tcPr>
          <w:p w14:paraId="6F5CA019" w14:textId="77777777" w:rsidR="00BC5219" w:rsidRPr="008A2B8F" w:rsidRDefault="00BC5219" w:rsidP="00E83802">
            <w:pPr>
              <w:jc w:val="center"/>
              <w:rPr>
                <w:rFonts w:ascii="Meta Pro" w:eastAsia="Times New Roman" w:hAnsi="Meta Pro" w:cs="Times New Roman"/>
                <w:sz w:val="20"/>
                <w:szCs w:val="20"/>
                <w:lang w:eastAsia="en-AU"/>
              </w:rPr>
            </w:pPr>
          </w:p>
        </w:tc>
        <w:tc>
          <w:tcPr>
            <w:tcW w:w="1701" w:type="dxa"/>
            <w:tcBorders>
              <w:top w:val="nil"/>
              <w:left w:val="nil"/>
              <w:bottom w:val="nil"/>
              <w:right w:val="nil"/>
            </w:tcBorders>
            <w:shd w:val="clear" w:color="000000" w:fill="C9E3B4"/>
            <w:noWrap/>
            <w:vAlign w:val="center"/>
            <w:hideMark/>
          </w:tcPr>
          <w:p w14:paraId="4F76C031" w14:textId="77777777" w:rsidR="00BC5219" w:rsidRPr="008A2B8F" w:rsidRDefault="00BC5219" w:rsidP="00E83802">
            <w:pPr>
              <w:jc w:val="right"/>
              <w:rPr>
                <w:rFonts w:ascii="Meta Pro" w:eastAsia="Times New Roman" w:hAnsi="Meta Pro"/>
                <w:color w:val="000000"/>
                <w:szCs w:val="18"/>
                <w:lang w:eastAsia="en-AU"/>
              </w:rPr>
            </w:pPr>
            <w:r w:rsidRPr="008A2B8F">
              <w:rPr>
                <w:rFonts w:ascii="Meta Pro" w:eastAsia="Times New Roman" w:hAnsi="Meta Pro"/>
                <w:color w:val="000000"/>
                <w:szCs w:val="18"/>
                <w:lang w:eastAsia="en-AU"/>
              </w:rPr>
              <w:t xml:space="preserve">29,185,206 </w:t>
            </w:r>
          </w:p>
        </w:tc>
        <w:tc>
          <w:tcPr>
            <w:tcW w:w="215" w:type="dxa"/>
            <w:tcBorders>
              <w:top w:val="nil"/>
              <w:left w:val="nil"/>
              <w:bottom w:val="nil"/>
              <w:right w:val="nil"/>
            </w:tcBorders>
            <w:shd w:val="clear" w:color="auto" w:fill="auto"/>
            <w:noWrap/>
            <w:vAlign w:val="center"/>
            <w:hideMark/>
          </w:tcPr>
          <w:p w14:paraId="19B7E940" w14:textId="77777777" w:rsidR="00BC5219" w:rsidRPr="008A2B8F" w:rsidRDefault="00BC5219" w:rsidP="00E83802">
            <w:pPr>
              <w:jc w:val="right"/>
              <w:rPr>
                <w:rFonts w:ascii="Meta Pro" w:eastAsia="Times New Roman" w:hAnsi="Meta Pro"/>
                <w:color w:val="000000"/>
                <w:szCs w:val="18"/>
                <w:lang w:eastAsia="en-AU"/>
              </w:rPr>
            </w:pPr>
          </w:p>
        </w:tc>
        <w:tc>
          <w:tcPr>
            <w:tcW w:w="1701" w:type="dxa"/>
            <w:tcBorders>
              <w:top w:val="nil"/>
              <w:left w:val="nil"/>
              <w:bottom w:val="nil"/>
              <w:right w:val="nil"/>
            </w:tcBorders>
            <w:shd w:val="clear" w:color="auto" w:fill="auto"/>
            <w:noWrap/>
            <w:vAlign w:val="center"/>
            <w:hideMark/>
          </w:tcPr>
          <w:p w14:paraId="3F7C00BC" w14:textId="77777777" w:rsidR="00BC5219" w:rsidRPr="008A2B8F" w:rsidRDefault="00BC5219" w:rsidP="00E83802">
            <w:pPr>
              <w:jc w:val="right"/>
              <w:rPr>
                <w:rFonts w:ascii="Meta Pro" w:eastAsia="Times New Roman" w:hAnsi="Meta Pro"/>
                <w:color w:val="000000"/>
                <w:szCs w:val="18"/>
                <w:lang w:eastAsia="en-AU"/>
              </w:rPr>
            </w:pPr>
            <w:r w:rsidRPr="008A2B8F">
              <w:rPr>
                <w:rFonts w:ascii="Meta Pro" w:eastAsia="Times New Roman" w:hAnsi="Meta Pro"/>
                <w:color w:val="000000"/>
                <w:szCs w:val="18"/>
                <w:lang w:eastAsia="en-AU"/>
              </w:rPr>
              <w:t xml:space="preserve">                 16,241,831 </w:t>
            </w:r>
          </w:p>
        </w:tc>
      </w:tr>
      <w:tr w:rsidR="00BC5219" w:rsidRPr="008A2B8F" w14:paraId="4878E7A8" w14:textId="77777777" w:rsidTr="00E83802">
        <w:trPr>
          <w:trHeight w:val="23"/>
        </w:trPr>
        <w:tc>
          <w:tcPr>
            <w:tcW w:w="4933" w:type="dxa"/>
            <w:tcBorders>
              <w:top w:val="nil"/>
              <w:left w:val="nil"/>
              <w:bottom w:val="nil"/>
              <w:right w:val="nil"/>
            </w:tcBorders>
            <w:shd w:val="clear" w:color="auto" w:fill="auto"/>
            <w:noWrap/>
            <w:vAlign w:val="center"/>
            <w:hideMark/>
          </w:tcPr>
          <w:p w14:paraId="7455FD17" w14:textId="77777777" w:rsidR="00BC5219" w:rsidRPr="008A2B8F" w:rsidRDefault="00BC5219" w:rsidP="00E83802">
            <w:pPr>
              <w:rPr>
                <w:rFonts w:ascii="Meta Pro" w:eastAsia="Times New Roman" w:hAnsi="Meta Pro"/>
                <w:color w:val="000000"/>
                <w:szCs w:val="18"/>
                <w:lang w:eastAsia="en-AU"/>
              </w:rPr>
            </w:pPr>
            <w:r w:rsidRPr="008A2B8F">
              <w:rPr>
                <w:rFonts w:ascii="Meta Pro" w:eastAsia="Times New Roman" w:hAnsi="Meta Pro"/>
                <w:color w:val="000000"/>
                <w:szCs w:val="18"/>
                <w:lang w:eastAsia="en-AU"/>
              </w:rPr>
              <w:t>Service concession assets</w:t>
            </w:r>
          </w:p>
        </w:tc>
        <w:tc>
          <w:tcPr>
            <w:tcW w:w="567" w:type="dxa"/>
            <w:tcBorders>
              <w:top w:val="nil"/>
              <w:left w:val="nil"/>
              <w:bottom w:val="single" w:sz="4" w:space="0" w:color="auto"/>
              <w:right w:val="nil"/>
            </w:tcBorders>
            <w:shd w:val="clear" w:color="auto" w:fill="auto"/>
            <w:vAlign w:val="center"/>
            <w:hideMark/>
          </w:tcPr>
          <w:p w14:paraId="21DB5843" w14:textId="77777777" w:rsidR="00BC5219" w:rsidRPr="008A2B8F" w:rsidRDefault="00BC5219" w:rsidP="00E83802">
            <w:pPr>
              <w:jc w:val="center"/>
              <w:rPr>
                <w:rFonts w:ascii="Meta Pro" w:eastAsia="Times New Roman" w:hAnsi="Meta Pro"/>
                <w:color w:val="000000"/>
                <w:szCs w:val="18"/>
                <w:lang w:eastAsia="en-AU"/>
              </w:rPr>
            </w:pPr>
            <w:r w:rsidRPr="008A2B8F">
              <w:rPr>
                <w:rFonts w:ascii="Meta Pro" w:eastAsia="Times New Roman" w:hAnsi="Meta Pro"/>
                <w:color w:val="000000"/>
                <w:szCs w:val="18"/>
                <w:lang w:eastAsia="en-AU"/>
              </w:rPr>
              <w:t> </w:t>
            </w:r>
          </w:p>
        </w:tc>
        <w:tc>
          <w:tcPr>
            <w:tcW w:w="576" w:type="dxa"/>
            <w:tcBorders>
              <w:top w:val="nil"/>
              <w:left w:val="nil"/>
              <w:bottom w:val="nil"/>
              <w:right w:val="nil"/>
            </w:tcBorders>
            <w:shd w:val="clear" w:color="auto" w:fill="auto"/>
            <w:vAlign w:val="center"/>
            <w:hideMark/>
          </w:tcPr>
          <w:p w14:paraId="76D5D462" w14:textId="77777777" w:rsidR="00BC5219" w:rsidRPr="008A2B8F" w:rsidRDefault="00BC5219" w:rsidP="00E83802">
            <w:pPr>
              <w:jc w:val="center"/>
              <w:rPr>
                <w:rFonts w:ascii="Meta Pro" w:eastAsia="Times New Roman" w:hAnsi="Meta Pro"/>
                <w:color w:val="000000"/>
                <w:szCs w:val="18"/>
                <w:lang w:eastAsia="en-AU"/>
              </w:rPr>
            </w:pPr>
          </w:p>
        </w:tc>
        <w:tc>
          <w:tcPr>
            <w:tcW w:w="1701" w:type="dxa"/>
            <w:tcBorders>
              <w:top w:val="nil"/>
              <w:left w:val="nil"/>
              <w:bottom w:val="nil"/>
              <w:right w:val="nil"/>
            </w:tcBorders>
            <w:shd w:val="clear" w:color="000000" w:fill="C9E3B4"/>
            <w:noWrap/>
            <w:vAlign w:val="center"/>
            <w:hideMark/>
          </w:tcPr>
          <w:p w14:paraId="0441AFD6" w14:textId="77777777" w:rsidR="00BC5219" w:rsidRPr="008A2B8F" w:rsidRDefault="00BC5219" w:rsidP="00E83802">
            <w:pPr>
              <w:jc w:val="right"/>
              <w:rPr>
                <w:rFonts w:ascii="Meta Pro" w:eastAsia="Times New Roman" w:hAnsi="Meta Pro"/>
                <w:color w:val="000000"/>
                <w:szCs w:val="18"/>
                <w:lang w:eastAsia="en-AU"/>
              </w:rPr>
            </w:pPr>
            <w:r w:rsidRPr="008A2B8F">
              <w:rPr>
                <w:rFonts w:ascii="Meta Pro" w:eastAsia="Times New Roman" w:hAnsi="Meta Pro"/>
                <w:color w:val="000000"/>
                <w:szCs w:val="18"/>
                <w:lang w:eastAsia="en-AU"/>
              </w:rPr>
              <w:t xml:space="preserve">2,849,633 </w:t>
            </w:r>
          </w:p>
        </w:tc>
        <w:tc>
          <w:tcPr>
            <w:tcW w:w="215" w:type="dxa"/>
            <w:tcBorders>
              <w:top w:val="nil"/>
              <w:left w:val="nil"/>
              <w:bottom w:val="nil"/>
              <w:right w:val="nil"/>
            </w:tcBorders>
            <w:shd w:val="clear" w:color="auto" w:fill="auto"/>
            <w:noWrap/>
            <w:vAlign w:val="center"/>
            <w:hideMark/>
          </w:tcPr>
          <w:p w14:paraId="67035E83" w14:textId="77777777" w:rsidR="00BC5219" w:rsidRPr="008A2B8F" w:rsidRDefault="00BC5219" w:rsidP="00E83802">
            <w:pPr>
              <w:jc w:val="right"/>
              <w:rPr>
                <w:rFonts w:ascii="Meta Pro" w:eastAsia="Times New Roman" w:hAnsi="Meta Pro"/>
                <w:color w:val="000000"/>
                <w:szCs w:val="18"/>
                <w:lang w:eastAsia="en-AU"/>
              </w:rPr>
            </w:pPr>
          </w:p>
        </w:tc>
        <w:tc>
          <w:tcPr>
            <w:tcW w:w="1701" w:type="dxa"/>
            <w:tcBorders>
              <w:top w:val="nil"/>
              <w:left w:val="nil"/>
              <w:bottom w:val="nil"/>
              <w:right w:val="nil"/>
            </w:tcBorders>
            <w:shd w:val="clear" w:color="auto" w:fill="auto"/>
            <w:noWrap/>
            <w:vAlign w:val="center"/>
            <w:hideMark/>
          </w:tcPr>
          <w:p w14:paraId="074DA328" w14:textId="77777777" w:rsidR="00BC5219" w:rsidRPr="008A2B8F" w:rsidRDefault="00BC5219" w:rsidP="00E83802">
            <w:pPr>
              <w:jc w:val="right"/>
              <w:rPr>
                <w:rFonts w:ascii="Meta Pro" w:eastAsia="Times New Roman" w:hAnsi="Meta Pro"/>
                <w:color w:val="000000"/>
                <w:szCs w:val="18"/>
                <w:lang w:eastAsia="en-AU"/>
              </w:rPr>
            </w:pPr>
            <w:r w:rsidRPr="008A2B8F">
              <w:rPr>
                <w:rFonts w:ascii="Meta Pro" w:eastAsia="Times New Roman" w:hAnsi="Meta Pro"/>
                <w:color w:val="000000"/>
                <w:szCs w:val="18"/>
                <w:lang w:eastAsia="en-AU"/>
              </w:rPr>
              <w:t xml:space="preserve">                  1,525,428 </w:t>
            </w:r>
          </w:p>
        </w:tc>
      </w:tr>
      <w:tr w:rsidR="00BC5219" w:rsidRPr="008A2B8F" w14:paraId="27A8BFF5" w14:textId="77777777" w:rsidTr="00E83802">
        <w:trPr>
          <w:trHeight w:val="23"/>
        </w:trPr>
        <w:tc>
          <w:tcPr>
            <w:tcW w:w="4933" w:type="dxa"/>
            <w:tcBorders>
              <w:top w:val="single" w:sz="4" w:space="0" w:color="auto"/>
              <w:left w:val="nil"/>
              <w:bottom w:val="single" w:sz="4" w:space="0" w:color="auto"/>
              <w:right w:val="nil"/>
            </w:tcBorders>
            <w:shd w:val="clear" w:color="auto" w:fill="auto"/>
            <w:noWrap/>
            <w:vAlign w:val="center"/>
            <w:hideMark/>
          </w:tcPr>
          <w:p w14:paraId="615C05B9" w14:textId="77777777" w:rsidR="00BC5219" w:rsidRPr="008A2B8F" w:rsidRDefault="00BC5219" w:rsidP="00E83802">
            <w:pPr>
              <w:rPr>
                <w:rFonts w:ascii="Meta Pro" w:eastAsia="Times New Roman" w:hAnsi="Meta Pro"/>
                <w:color w:val="000000"/>
                <w:szCs w:val="18"/>
                <w:lang w:eastAsia="en-AU"/>
              </w:rPr>
            </w:pPr>
            <w:r w:rsidRPr="008A2B8F">
              <w:rPr>
                <w:rFonts w:ascii="Meta Pro" w:eastAsia="Times New Roman" w:hAnsi="Meta Pro"/>
                <w:color w:val="000000"/>
                <w:szCs w:val="18"/>
                <w:lang w:eastAsia="en-AU"/>
              </w:rPr>
              <w:t>Closing balance</w:t>
            </w:r>
          </w:p>
        </w:tc>
        <w:tc>
          <w:tcPr>
            <w:tcW w:w="567" w:type="dxa"/>
            <w:tcBorders>
              <w:top w:val="single" w:sz="4" w:space="0" w:color="auto"/>
              <w:left w:val="nil"/>
              <w:bottom w:val="single" w:sz="4" w:space="0" w:color="auto"/>
              <w:right w:val="nil"/>
            </w:tcBorders>
            <w:shd w:val="clear" w:color="auto" w:fill="auto"/>
            <w:noWrap/>
            <w:vAlign w:val="center"/>
            <w:hideMark/>
          </w:tcPr>
          <w:p w14:paraId="2254876A" w14:textId="77777777" w:rsidR="00BC5219" w:rsidRPr="008A2B8F" w:rsidRDefault="00BC5219" w:rsidP="00E83802">
            <w:pPr>
              <w:jc w:val="center"/>
              <w:rPr>
                <w:rFonts w:ascii="Meta Pro" w:eastAsia="Times New Roman" w:hAnsi="Meta Pro"/>
                <w:color w:val="000000"/>
                <w:szCs w:val="18"/>
                <w:lang w:eastAsia="en-AU"/>
              </w:rPr>
            </w:pPr>
            <w:r w:rsidRPr="008A2B8F">
              <w:rPr>
                <w:rFonts w:ascii="Meta Pro" w:eastAsia="Times New Roman" w:hAnsi="Meta Pro"/>
                <w:color w:val="000000"/>
                <w:szCs w:val="18"/>
                <w:lang w:eastAsia="en-AU"/>
              </w:rPr>
              <w:t> </w:t>
            </w:r>
          </w:p>
        </w:tc>
        <w:tc>
          <w:tcPr>
            <w:tcW w:w="576" w:type="dxa"/>
            <w:tcBorders>
              <w:top w:val="single" w:sz="4" w:space="0" w:color="auto"/>
              <w:left w:val="nil"/>
              <w:bottom w:val="single" w:sz="4" w:space="0" w:color="auto"/>
              <w:right w:val="nil"/>
            </w:tcBorders>
            <w:shd w:val="clear" w:color="auto" w:fill="auto"/>
            <w:noWrap/>
            <w:vAlign w:val="center"/>
            <w:hideMark/>
          </w:tcPr>
          <w:p w14:paraId="1FDBB4FE" w14:textId="77777777" w:rsidR="00BC5219" w:rsidRPr="008A2B8F" w:rsidRDefault="00BC5219" w:rsidP="00E83802">
            <w:pPr>
              <w:rPr>
                <w:rFonts w:ascii="Meta Pro" w:eastAsia="Times New Roman" w:hAnsi="Meta Pro"/>
                <w:color w:val="000000"/>
                <w:szCs w:val="18"/>
                <w:lang w:eastAsia="en-AU"/>
              </w:rPr>
            </w:pPr>
            <w:r w:rsidRPr="008A2B8F">
              <w:rPr>
                <w:rFonts w:ascii="Meta Pro" w:eastAsia="Times New Roman" w:hAnsi="Meta Pro"/>
                <w:color w:val="000000"/>
                <w:szCs w:val="18"/>
                <w:lang w:eastAsia="en-AU"/>
              </w:rPr>
              <w:t> </w:t>
            </w:r>
          </w:p>
        </w:tc>
        <w:tc>
          <w:tcPr>
            <w:tcW w:w="1701" w:type="dxa"/>
            <w:tcBorders>
              <w:top w:val="single" w:sz="4" w:space="0" w:color="auto"/>
              <w:left w:val="nil"/>
              <w:bottom w:val="single" w:sz="4" w:space="0" w:color="auto"/>
              <w:right w:val="nil"/>
            </w:tcBorders>
            <w:shd w:val="clear" w:color="000000" w:fill="C9E3B4"/>
            <w:noWrap/>
            <w:vAlign w:val="center"/>
            <w:hideMark/>
          </w:tcPr>
          <w:p w14:paraId="4ABB32B0" w14:textId="77777777" w:rsidR="00BC5219" w:rsidRPr="008A2B8F" w:rsidRDefault="00BC5219" w:rsidP="00E83802">
            <w:pPr>
              <w:jc w:val="right"/>
              <w:rPr>
                <w:rFonts w:ascii="Meta Pro" w:eastAsia="Times New Roman" w:hAnsi="Meta Pro"/>
                <w:color w:val="000000"/>
                <w:szCs w:val="18"/>
                <w:lang w:eastAsia="en-AU"/>
              </w:rPr>
            </w:pPr>
            <w:r w:rsidRPr="008A2B8F">
              <w:rPr>
                <w:rFonts w:ascii="Meta Pro" w:eastAsia="Times New Roman" w:hAnsi="Meta Pro"/>
                <w:color w:val="000000"/>
                <w:szCs w:val="18"/>
                <w:lang w:eastAsia="en-AU"/>
              </w:rPr>
              <w:t xml:space="preserve">          36,034,629 </w:t>
            </w:r>
          </w:p>
        </w:tc>
        <w:tc>
          <w:tcPr>
            <w:tcW w:w="215" w:type="dxa"/>
            <w:tcBorders>
              <w:top w:val="single" w:sz="4" w:space="0" w:color="auto"/>
              <w:left w:val="nil"/>
              <w:bottom w:val="single" w:sz="4" w:space="0" w:color="auto"/>
              <w:right w:val="nil"/>
            </w:tcBorders>
            <w:shd w:val="clear" w:color="auto" w:fill="auto"/>
            <w:noWrap/>
            <w:vAlign w:val="center"/>
            <w:hideMark/>
          </w:tcPr>
          <w:p w14:paraId="0A946F8B" w14:textId="77777777" w:rsidR="00BC5219" w:rsidRPr="008A2B8F" w:rsidRDefault="00BC5219" w:rsidP="00E83802">
            <w:pPr>
              <w:jc w:val="right"/>
              <w:rPr>
                <w:rFonts w:ascii="Meta Pro" w:eastAsia="Times New Roman" w:hAnsi="Meta Pro"/>
                <w:color w:val="000000"/>
                <w:szCs w:val="18"/>
                <w:lang w:eastAsia="en-AU"/>
              </w:rPr>
            </w:pPr>
            <w:r w:rsidRPr="008A2B8F">
              <w:rPr>
                <w:rFonts w:ascii="Meta Pro" w:eastAsia="Times New Roman" w:hAnsi="Meta Pro"/>
                <w:color w:val="000000"/>
                <w:szCs w:val="18"/>
                <w:lang w:eastAsia="en-AU"/>
              </w:rPr>
              <w:t> </w:t>
            </w:r>
          </w:p>
        </w:tc>
        <w:tc>
          <w:tcPr>
            <w:tcW w:w="1701" w:type="dxa"/>
            <w:tcBorders>
              <w:top w:val="single" w:sz="4" w:space="0" w:color="auto"/>
              <w:left w:val="nil"/>
              <w:bottom w:val="single" w:sz="4" w:space="0" w:color="auto"/>
              <w:right w:val="nil"/>
            </w:tcBorders>
            <w:shd w:val="clear" w:color="auto" w:fill="auto"/>
            <w:noWrap/>
            <w:vAlign w:val="center"/>
            <w:hideMark/>
          </w:tcPr>
          <w:p w14:paraId="7B87E6A8" w14:textId="77777777" w:rsidR="00BC5219" w:rsidRPr="008A2B8F" w:rsidRDefault="00BC5219" w:rsidP="00E83802">
            <w:pPr>
              <w:jc w:val="right"/>
              <w:rPr>
                <w:rFonts w:ascii="Meta Pro" w:eastAsia="Times New Roman" w:hAnsi="Meta Pro"/>
                <w:color w:val="000000"/>
                <w:szCs w:val="18"/>
                <w:lang w:eastAsia="en-AU"/>
              </w:rPr>
            </w:pPr>
            <w:r w:rsidRPr="008A2B8F">
              <w:rPr>
                <w:rFonts w:ascii="Meta Pro" w:eastAsia="Times New Roman" w:hAnsi="Meta Pro"/>
                <w:color w:val="000000"/>
                <w:szCs w:val="18"/>
                <w:lang w:eastAsia="en-AU"/>
              </w:rPr>
              <w:t xml:space="preserve">                20,931,501 </w:t>
            </w:r>
          </w:p>
        </w:tc>
      </w:tr>
    </w:tbl>
    <w:p w14:paraId="0FD8D679" w14:textId="77777777" w:rsidR="00BC5219" w:rsidRPr="008A2B8F" w:rsidRDefault="00BC5219" w:rsidP="00BC5219">
      <w:pPr>
        <w:spacing w:before="120"/>
        <w:rPr>
          <w:rFonts w:ascii="Meta Pro" w:eastAsia="Times New Roman" w:hAnsi="Meta Pro"/>
          <w:i/>
          <w:iCs/>
          <w:color w:val="000000"/>
          <w:szCs w:val="18"/>
          <w:lang w:eastAsia="en-AU"/>
        </w:rPr>
      </w:pPr>
      <w:r w:rsidRPr="008A2B8F">
        <w:rPr>
          <w:rFonts w:ascii="Meta Pro" w:eastAsia="Times New Roman" w:hAnsi="Meta Pro"/>
          <w:i/>
          <w:iCs/>
          <w:color w:val="000000"/>
          <w:szCs w:val="18"/>
          <w:lang w:eastAsia="en-AU"/>
        </w:rPr>
        <w:t>The accompanying notes form part of these financial statements.</w:t>
      </w:r>
    </w:p>
    <w:p w14:paraId="0CA8A9D7" w14:textId="77777777" w:rsidR="00BC5219" w:rsidRPr="008A2B8F" w:rsidRDefault="00BC5219" w:rsidP="00BC5219">
      <w:pPr>
        <w:rPr>
          <w:rFonts w:ascii="Meta Pro" w:hAnsi="Meta Pro" w:cstheme="minorBidi"/>
        </w:rPr>
      </w:pPr>
    </w:p>
    <w:p w14:paraId="3D885454" w14:textId="77777777" w:rsidR="00BC5219" w:rsidRPr="008A2B8F" w:rsidRDefault="00BC5219" w:rsidP="00BC5219">
      <w:pPr>
        <w:pStyle w:val="ACPHeading"/>
      </w:pPr>
      <w:r w:rsidRPr="008A2B8F">
        <w:t>Accounting policy</w:t>
      </w:r>
    </w:p>
    <w:p w14:paraId="3217EF56" w14:textId="77777777" w:rsidR="00BC5219" w:rsidRPr="008A2B8F" w:rsidRDefault="00BC5219" w:rsidP="00BC5219">
      <w:pPr>
        <w:pStyle w:val="ACPPara"/>
      </w:pPr>
      <w:r w:rsidRPr="008A2B8F">
        <w:t xml:space="preserve">Non-reciprocal transfers of assets and liabilities between wholly-owned Queensland State Public Sector entities are adjusted to contributed equity. These adjustments are made in accordance with Interpretation 1038 </w:t>
      </w:r>
      <w:r w:rsidRPr="008A2B8F">
        <w:rPr>
          <w:i/>
          <w:iCs/>
        </w:rPr>
        <w:t>Contributions by Owners Made to Wholly-Owned Public Sector Entities</w:t>
      </w:r>
      <w:r w:rsidRPr="008A2B8F">
        <w:t>. Appropriations for equity adjustments are similarly designated.</w:t>
      </w:r>
    </w:p>
    <w:p w14:paraId="5B458165" w14:textId="77777777" w:rsidR="00BC5219" w:rsidRPr="008A2B8F" w:rsidRDefault="00BC5219" w:rsidP="00BC5219">
      <w:pPr>
        <w:rPr>
          <w:rFonts w:ascii="Meta Pro" w:eastAsia="Times New Roman" w:hAnsi="Meta Pro"/>
          <w:szCs w:val="18"/>
          <w:lang w:eastAsia="en-AU"/>
        </w:rPr>
        <w:sectPr w:rsidR="00BC5219" w:rsidRPr="008A2B8F" w:rsidSect="00F05CC9">
          <w:headerReference w:type="default" r:id="rId91"/>
          <w:footerReference w:type="default" r:id="rId92"/>
          <w:pgSz w:w="11906" w:h="16838"/>
          <w:pgMar w:top="1701" w:right="851" w:bottom="1134" w:left="851" w:header="454" w:footer="454" w:gutter="0"/>
          <w:pgNumType w:start="1"/>
          <w:cols w:space="708"/>
          <w:docGrid w:linePitch="360"/>
        </w:sectPr>
      </w:pPr>
    </w:p>
    <w:p w14:paraId="1481E0A7" w14:textId="77777777" w:rsidR="00BC5219" w:rsidRPr="008A2B8F" w:rsidRDefault="00BC5219" w:rsidP="00BC5219">
      <w:pPr>
        <w:spacing w:line="259" w:lineRule="auto"/>
        <w:rPr>
          <w:rFonts w:ascii="Meta Pro" w:eastAsia="Times New Roman" w:hAnsi="Meta Pro"/>
          <w:i/>
          <w:iCs/>
          <w:color w:val="000000" w:themeColor="text1"/>
          <w:lang w:eastAsia="en-AU"/>
        </w:rPr>
      </w:pPr>
      <w:r w:rsidRPr="008A2B8F">
        <w:rPr>
          <w:rFonts w:ascii="Meta Pro" w:eastAsia="Times New Roman" w:hAnsi="Meta Pro"/>
          <w:i/>
          <w:iCs/>
          <w:color w:val="000000" w:themeColor="text1"/>
          <w:lang w:eastAsia="en-AU"/>
        </w:rPr>
        <w:lastRenderedPageBreak/>
        <w:t>Department of Transport and Main Roads</w:t>
      </w:r>
    </w:p>
    <w:p w14:paraId="55941BCB"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Statement of cash flows</w:t>
      </w:r>
    </w:p>
    <w:p w14:paraId="2DFB0C45"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for the year ended 30 June 2023</w:t>
      </w:r>
    </w:p>
    <w:p w14:paraId="13127E86" w14:textId="77777777" w:rsidR="00BC5219" w:rsidRPr="004F1470" w:rsidRDefault="00BC5219" w:rsidP="00BC5219">
      <w:pPr>
        <w:rPr>
          <w:rFonts w:ascii="Meta Pro" w:hAnsi="Meta Pro" w:cstheme="minorBidi"/>
        </w:rPr>
      </w:pPr>
    </w:p>
    <w:tbl>
      <w:tblPr>
        <w:tblW w:w="0" w:type="auto"/>
        <w:tblCellMar>
          <w:left w:w="0" w:type="dxa"/>
        </w:tblCellMar>
        <w:tblLook w:val="04A0" w:firstRow="1" w:lastRow="0" w:firstColumn="1" w:lastColumn="0" w:noHBand="0" w:noVBand="1"/>
      </w:tblPr>
      <w:tblGrid>
        <w:gridCol w:w="224"/>
        <w:gridCol w:w="5848"/>
        <w:gridCol w:w="154"/>
        <w:gridCol w:w="292"/>
        <w:gridCol w:w="1522"/>
        <w:gridCol w:w="224"/>
        <w:gridCol w:w="1522"/>
      </w:tblGrid>
      <w:tr w:rsidR="00BC5219" w:rsidRPr="004F1470" w14:paraId="644DD753" w14:textId="77777777" w:rsidTr="00E83802">
        <w:trPr>
          <w:trHeight w:val="240"/>
        </w:trPr>
        <w:tc>
          <w:tcPr>
            <w:tcW w:w="216" w:type="dxa"/>
            <w:tcBorders>
              <w:top w:val="nil"/>
              <w:left w:val="nil"/>
              <w:bottom w:val="nil"/>
              <w:right w:val="nil"/>
            </w:tcBorders>
            <w:shd w:val="clear" w:color="auto" w:fill="auto"/>
            <w:noWrap/>
            <w:vAlign w:val="center"/>
            <w:hideMark/>
          </w:tcPr>
          <w:p w14:paraId="478C8AC9" w14:textId="77777777" w:rsidR="00BC5219" w:rsidRPr="004F1470" w:rsidRDefault="00BC5219" w:rsidP="00E83802">
            <w:pPr>
              <w:rPr>
                <w:rFonts w:ascii="Meta Pro" w:eastAsia="Times New Roman" w:hAnsi="Meta Pro" w:cs="Times New Roman"/>
                <w:sz w:val="24"/>
                <w:szCs w:val="24"/>
                <w:lang w:eastAsia="en-AU"/>
              </w:rPr>
            </w:pPr>
          </w:p>
        </w:tc>
        <w:tc>
          <w:tcPr>
            <w:tcW w:w="5840" w:type="dxa"/>
            <w:tcBorders>
              <w:top w:val="nil"/>
              <w:left w:val="nil"/>
              <w:bottom w:val="nil"/>
              <w:right w:val="nil"/>
            </w:tcBorders>
            <w:shd w:val="clear" w:color="auto" w:fill="auto"/>
            <w:noWrap/>
            <w:vAlign w:val="center"/>
            <w:hideMark/>
          </w:tcPr>
          <w:p w14:paraId="75B50C05" w14:textId="77777777" w:rsidR="00BC5219" w:rsidRPr="004F1470" w:rsidRDefault="00BC5219" w:rsidP="00E83802">
            <w:pPr>
              <w:rPr>
                <w:rFonts w:ascii="Meta Pro" w:eastAsia="Times New Roman" w:hAnsi="Meta Pro" w:cs="Times New Roman"/>
                <w:sz w:val="20"/>
                <w:szCs w:val="20"/>
                <w:lang w:eastAsia="en-AU"/>
              </w:rPr>
            </w:pPr>
          </w:p>
        </w:tc>
        <w:tc>
          <w:tcPr>
            <w:tcW w:w="28" w:type="dxa"/>
            <w:tcBorders>
              <w:top w:val="nil"/>
              <w:left w:val="nil"/>
              <w:bottom w:val="nil"/>
              <w:right w:val="nil"/>
            </w:tcBorders>
            <w:shd w:val="clear" w:color="auto" w:fill="auto"/>
            <w:noWrap/>
            <w:vAlign w:val="center"/>
            <w:hideMark/>
          </w:tcPr>
          <w:p w14:paraId="3D9B1533" w14:textId="77777777" w:rsidR="00BC5219" w:rsidRPr="004F1470" w:rsidRDefault="00BC5219" w:rsidP="00E83802">
            <w:pPr>
              <w:rPr>
                <w:rFonts w:ascii="Meta Pro" w:eastAsia="Times New Roman" w:hAnsi="Meta Pro" w:cs="Times New Roman"/>
                <w:sz w:val="20"/>
                <w:szCs w:val="20"/>
                <w:lang w:eastAsia="en-AU"/>
              </w:rPr>
            </w:pPr>
          </w:p>
        </w:tc>
        <w:tc>
          <w:tcPr>
            <w:tcW w:w="284" w:type="dxa"/>
            <w:tcBorders>
              <w:top w:val="nil"/>
              <w:left w:val="nil"/>
              <w:bottom w:val="nil"/>
              <w:right w:val="nil"/>
            </w:tcBorders>
            <w:shd w:val="clear" w:color="auto" w:fill="auto"/>
            <w:noWrap/>
            <w:vAlign w:val="center"/>
            <w:hideMark/>
          </w:tcPr>
          <w:p w14:paraId="01892943" w14:textId="77777777" w:rsidR="00BC5219" w:rsidRPr="004F1470"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auto" w:fill="auto"/>
            <w:noWrap/>
            <w:vAlign w:val="center"/>
            <w:hideMark/>
          </w:tcPr>
          <w:p w14:paraId="060099C1" w14:textId="77777777" w:rsidR="00BC5219" w:rsidRPr="004F1470" w:rsidRDefault="00BC5219" w:rsidP="00E83802">
            <w:pPr>
              <w:jc w:val="center"/>
              <w:rPr>
                <w:rFonts w:ascii="Meta Pro" w:eastAsia="Times New Roman" w:hAnsi="Meta Pro"/>
                <w:b/>
                <w:bCs/>
                <w:color w:val="000000"/>
                <w:lang w:eastAsia="en-AU"/>
              </w:rPr>
            </w:pPr>
            <w:r w:rsidRPr="004F1470">
              <w:rPr>
                <w:rFonts w:ascii="Meta Pro" w:eastAsia="Times New Roman" w:hAnsi="Meta Pro"/>
                <w:b/>
                <w:bCs/>
                <w:color w:val="000000"/>
                <w:lang w:eastAsia="en-AU"/>
              </w:rPr>
              <w:t>2023</w:t>
            </w:r>
          </w:p>
        </w:tc>
        <w:tc>
          <w:tcPr>
            <w:tcW w:w="216" w:type="dxa"/>
            <w:tcBorders>
              <w:top w:val="nil"/>
              <w:left w:val="nil"/>
              <w:bottom w:val="nil"/>
              <w:right w:val="nil"/>
            </w:tcBorders>
            <w:shd w:val="clear" w:color="auto" w:fill="auto"/>
            <w:noWrap/>
            <w:vAlign w:val="center"/>
            <w:hideMark/>
          </w:tcPr>
          <w:p w14:paraId="60172D3F" w14:textId="77777777" w:rsidR="00BC5219" w:rsidRPr="004F1470" w:rsidRDefault="00BC5219" w:rsidP="00E83802">
            <w:pPr>
              <w:jc w:val="center"/>
              <w:rPr>
                <w:rFonts w:ascii="Meta Pro" w:eastAsia="Times New Roman" w:hAnsi="Meta Pro"/>
                <w:b/>
                <w:bCs/>
                <w:color w:val="000000"/>
                <w:lang w:eastAsia="en-AU"/>
              </w:rPr>
            </w:pPr>
          </w:p>
        </w:tc>
        <w:tc>
          <w:tcPr>
            <w:tcW w:w="1514" w:type="dxa"/>
            <w:tcBorders>
              <w:top w:val="nil"/>
              <w:left w:val="nil"/>
              <w:bottom w:val="nil"/>
              <w:right w:val="nil"/>
            </w:tcBorders>
            <w:shd w:val="clear" w:color="auto" w:fill="auto"/>
            <w:noWrap/>
            <w:vAlign w:val="center"/>
            <w:hideMark/>
          </w:tcPr>
          <w:p w14:paraId="742FAEB2" w14:textId="77777777" w:rsidR="00BC5219" w:rsidRPr="004F1470" w:rsidRDefault="00BC5219" w:rsidP="00E83802">
            <w:pPr>
              <w:jc w:val="center"/>
              <w:rPr>
                <w:rFonts w:ascii="Meta Pro" w:eastAsia="Times New Roman" w:hAnsi="Meta Pro"/>
                <w:b/>
                <w:bCs/>
                <w:color w:val="000000"/>
                <w:lang w:eastAsia="en-AU"/>
              </w:rPr>
            </w:pPr>
            <w:r w:rsidRPr="004F1470">
              <w:rPr>
                <w:rFonts w:ascii="Meta Pro" w:eastAsia="Times New Roman" w:hAnsi="Meta Pro"/>
                <w:b/>
                <w:bCs/>
                <w:color w:val="000000"/>
                <w:lang w:eastAsia="en-AU"/>
              </w:rPr>
              <w:t>2022</w:t>
            </w:r>
          </w:p>
        </w:tc>
      </w:tr>
      <w:tr w:rsidR="00BC5219" w:rsidRPr="004F1470" w14:paraId="13AF1C45" w14:textId="77777777" w:rsidTr="00E83802">
        <w:trPr>
          <w:trHeight w:val="240"/>
        </w:trPr>
        <w:tc>
          <w:tcPr>
            <w:tcW w:w="216" w:type="dxa"/>
            <w:tcBorders>
              <w:top w:val="nil"/>
              <w:left w:val="nil"/>
              <w:bottom w:val="nil"/>
              <w:right w:val="nil"/>
            </w:tcBorders>
            <w:shd w:val="clear" w:color="auto" w:fill="auto"/>
            <w:noWrap/>
            <w:vAlign w:val="center"/>
            <w:hideMark/>
          </w:tcPr>
          <w:p w14:paraId="194A8450" w14:textId="77777777" w:rsidR="00BC5219" w:rsidRPr="004F1470" w:rsidRDefault="00BC5219" w:rsidP="00E83802">
            <w:pPr>
              <w:jc w:val="center"/>
              <w:rPr>
                <w:rFonts w:ascii="Meta Pro" w:eastAsia="Times New Roman" w:hAnsi="Meta Pro"/>
                <w:b/>
                <w:bCs/>
                <w:color w:val="000000"/>
                <w:lang w:eastAsia="en-AU"/>
              </w:rPr>
            </w:pPr>
          </w:p>
        </w:tc>
        <w:tc>
          <w:tcPr>
            <w:tcW w:w="5840" w:type="dxa"/>
            <w:tcBorders>
              <w:top w:val="nil"/>
              <w:left w:val="nil"/>
              <w:bottom w:val="nil"/>
              <w:right w:val="nil"/>
            </w:tcBorders>
            <w:shd w:val="clear" w:color="auto" w:fill="auto"/>
            <w:noWrap/>
            <w:vAlign w:val="center"/>
            <w:hideMark/>
          </w:tcPr>
          <w:p w14:paraId="5AC2BFE3" w14:textId="77777777" w:rsidR="00BC5219" w:rsidRPr="004F1470" w:rsidRDefault="00BC5219" w:rsidP="00E83802">
            <w:pPr>
              <w:rPr>
                <w:rFonts w:ascii="Meta Pro" w:eastAsia="Times New Roman" w:hAnsi="Meta Pro" w:cs="Times New Roman"/>
                <w:sz w:val="20"/>
                <w:szCs w:val="20"/>
                <w:lang w:eastAsia="en-AU"/>
              </w:rPr>
            </w:pPr>
          </w:p>
        </w:tc>
        <w:tc>
          <w:tcPr>
            <w:tcW w:w="28" w:type="dxa"/>
            <w:tcBorders>
              <w:top w:val="nil"/>
              <w:left w:val="nil"/>
              <w:bottom w:val="nil"/>
              <w:right w:val="nil"/>
            </w:tcBorders>
            <w:shd w:val="clear" w:color="auto" w:fill="auto"/>
            <w:noWrap/>
            <w:vAlign w:val="center"/>
            <w:hideMark/>
          </w:tcPr>
          <w:p w14:paraId="7C484499" w14:textId="77777777" w:rsidR="00BC5219" w:rsidRPr="004F1470" w:rsidRDefault="00BC5219" w:rsidP="00E83802">
            <w:pPr>
              <w:rPr>
                <w:rFonts w:ascii="Meta Pro" w:eastAsia="Times New Roman" w:hAnsi="Meta Pro" w:cs="Times New Roman"/>
                <w:sz w:val="20"/>
                <w:szCs w:val="20"/>
                <w:lang w:eastAsia="en-AU"/>
              </w:rPr>
            </w:pPr>
          </w:p>
        </w:tc>
        <w:tc>
          <w:tcPr>
            <w:tcW w:w="284" w:type="dxa"/>
            <w:tcBorders>
              <w:top w:val="nil"/>
              <w:left w:val="nil"/>
              <w:bottom w:val="nil"/>
              <w:right w:val="nil"/>
            </w:tcBorders>
            <w:shd w:val="clear" w:color="auto" w:fill="auto"/>
            <w:noWrap/>
            <w:vAlign w:val="center"/>
            <w:hideMark/>
          </w:tcPr>
          <w:p w14:paraId="7B7C9950" w14:textId="77777777" w:rsidR="00BC5219" w:rsidRPr="004F1470"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auto" w:fill="auto"/>
            <w:noWrap/>
            <w:vAlign w:val="center"/>
            <w:hideMark/>
          </w:tcPr>
          <w:p w14:paraId="76129C74" w14:textId="77777777" w:rsidR="00BC5219" w:rsidRPr="004F1470" w:rsidRDefault="00BC5219" w:rsidP="00E83802">
            <w:pPr>
              <w:jc w:val="center"/>
              <w:rPr>
                <w:rFonts w:ascii="Meta Pro" w:eastAsia="Times New Roman" w:hAnsi="Meta Pro"/>
                <w:b/>
                <w:bCs/>
                <w:color w:val="000000"/>
                <w:lang w:eastAsia="en-AU"/>
              </w:rPr>
            </w:pPr>
            <w:r w:rsidRPr="004F1470">
              <w:rPr>
                <w:rFonts w:ascii="Meta Pro" w:eastAsia="Times New Roman" w:hAnsi="Meta Pro"/>
                <w:b/>
                <w:bCs/>
                <w:color w:val="000000"/>
                <w:lang w:eastAsia="en-AU"/>
              </w:rPr>
              <w:t>$'000</w:t>
            </w:r>
          </w:p>
        </w:tc>
        <w:tc>
          <w:tcPr>
            <w:tcW w:w="216" w:type="dxa"/>
            <w:tcBorders>
              <w:top w:val="nil"/>
              <w:left w:val="nil"/>
              <w:bottom w:val="nil"/>
              <w:right w:val="nil"/>
            </w:tcBorders>
            <w:shd w:val="clear" w:color="auto" w:fill="auto"/>
            <w:noWrap/>
            <w:vAlign w:val="center"/>
            <w:hideMark/>
          </w:tcPr>
          <w:p w14:paraId="4308FADD" w14:textId="77777777" w:rsidR="00BC5219" w:rsidRPr="004F1470" w:rsidRDefault="00BC5219" w:rsidP="00E83802">
            <w:pPr>
              <w:jc w:val="center"/>
              <w:rPr>
                <w:rFonts w:ascii="Meta Pro" w:eastAsia="Times New Roman" w:hAnsi="Meta Pro"/>
                <w:b/>
                <w:bCs/>
                <w:color w:val="000000"/>
                <w:lang w:eastAsia="en-AU"/>
              </w:rPr>
            </w:pPr>
          </w:p>
        </w:tc>
        <w:tc>
          <w:tcPr>
            <w:tcW w:w="1514" w:type="dxa"/>
            <w:tcBorders>
              <w:top w:val="nil"/>
              <w:left w:val="nil"/>
              <w:bottom w:val="nil"/>
              <w:right w:val="nil"/>
            </w:tcBorders>
            <w:shd w:val="clear" w:color="auto" w:fill="auto"/>
            <w:noWrap/>
            <w:vAlign w:val="center"/>
            <w:hideMark/>
          </w:tcPr>
          <w:p w14:paraId="4A8CB957" w14:textId="77777777" w:rsidR="00BC5219" w:rsidRPr="004F1470" w:rsidRDefault="00BC5219" w:rsidP="00E83802">
            <w:pPr>
              <w:jc w:val="center"/>
              <w:rPr>
                <w:rFonts w:ascii="Meta Pro" w:eastAsia="Times New Roman" w:hAnsi="Meta Pro"/>
                <w:b/>
                <w:bCs/>
                <w:color w:val="000000"/>
                <w:lang w:eastAsia="en-AU"/>
              </w:rPr>
            </w:pPr>
            <w:r w:rsidRPr="004F1470">
              <w:rPr>
                <w:rFonts w:ascii="Meta Pro" w:eastAsia="Times New Roman" w:hAnsi="Meta Pro"/>
                <w:b/>
                <w:bCs/>
                <w:color w:val="000000"/>
                <w:lang w:eastAsia="en-AU"/>
              </w:rPr>
              <w:t>$'000</w:t>
            </w:r>
          </w:p>
        </w:tc>
      </w:tr>
      <w:tr w:rsidR="00BC5219" w:rsidRPr="004F1470" w14:paraId="7249DFC7" w14:textId="77777777" w:rsidTr="00E83802">
        <w:trPr>
          <w:trHeight w:val="240"/>
        </w:trPr>
        <w:tc>
          <w:tcPr>
            <w:tcW w:w="5840" w:type="dxa"/>
            <w:gridSpan w:val="2"/>
            <w:tcBorders>
              <w:top w:val="nil"/>
              <w:left w:val="nil"/>
              <w:bottom w:val="nil"/>
              <w:right w:val="nil"/>
            </w:tcBorders>
            <w:shd w:val="clear" w:color="auto" w:fill="auto"/>
            <w:noWrap/>
            <w:vAlign w:val="center"/>
            <w:hideMark/>
          </w:tcPr>
          <w:p w14:paraId="3FDC387E" w14:textId="77777777" w:rsidR="00BC5219" w:rsidRPr="004F1470" w:rsidRDefault="00BC5219" w:rsidP="00E83802">
            <w:pPr>
              <w:rPr>
                <w:rFonts w:ascii="Meta Pro" w:eastAsia="Times New Roman" w:hAnsi="Meta Pro"/>
                <w:b/>
                <w:bCs/>
                <w:color w:val="000000"/>
                <w:szCs w:val="18"/>
                <w:lang w:eastAsia="en-AU"/>
              </w:rPr>
            </w:pPr>
            <w:r w:rsidRPr="004F1470">
              <w:rPr>
                <w:rFonts w:ascii="Meta Pro" w:eastAsia="Times New Roman" w:hAnsi="Meta Pro"/>
                <w:b/>
                <w:bCs/>
                <w:color w:val="000000"/>
                <w:szCs w:val="18"/>
                <w:lang w:eastAsia="en-AU"/>
              </w:rPr>
              <w:t>Cash flows from operating activities</w:t>
            </w:r>
          </w:p>
        </w:tc>
        <w:tc>
          <w:tcPr>
            <w:tcW w:w="28" w:type="dxa"/>
            <w:tcBorders>
              <w:top w:val="nil"/>
              <w:left w:val="nil"/>
              <w:bottom w:val="nil"/>
              <w:right w:val="nil"/>
            </w:tcBorders>
            <w:shd w:val="clear" w:color="auto" w:fill="auto"/>
            <w:noWrap/>
            <w:vAlign w:val="center"/>
            <w:hideMark/>
          </w:tcPr>
          <w:p w14:paraId="7E7000CD" w14:textId="77777777" w:rsidR="00BC5219" w:rsidRPr="004F1470" w:rsidRDefault="00BC5219" w:rsidP="00E83802">
            <w:pPr>
              <w:rPr>
                <w:rFonts w:ascii="Meta Pro" w:eastAsia="Times New Roman" w:hAnsi="Meta Pro"/>
                <w:b/>
                <w:bCs/>
                <w:color w:val="000000"/>
                <w:szCs w:val="18"/>
                <w:lang w:eastAsia="en-AU"/>
              </w:rPr>
            </w:pPr>
          </w:p>
        </w:tc>
        <w:tc>
          <w:tcPr>
            <w:tcW w:w="284" w:type="dxa"/>
            <w:tcBorders>
              <w:top w:val="nil"/>
              <w:left w:val="nil"/>
              <w:bottom w:val="nil"/>
              <w:right w:val="nil"/>
            </w:tcBorders>
            <w:shd w:val="clear" w:color="auto" w:fill="auto"/>
            <w:noWrap/>
            <w:vAlign w:val="center"/>
            <w:hideMark/>
          </w:tcPr>
          <w:p w14:paraId="29DBC02B" w14:textId="77777777" w:rsidR="00BC5219" w:rsidRPr="004F1470"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auto" w:fill="auto"/>
            <w:noWrap/>
            <w:vAlign w:val="center"/>
            <w:hideMark/>
          </w:tcPr>
          <w:p w14:paraId="6E6809A9" w14:textId="77777777" w:rsidR="00BC5219" w:rsidRPr="004F1470" w:rsidRDefault="00BC5219" w:rsidP="00E83802">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284782A5" w14:textId="77777777" w:rsidR="00BC5219" w:rsidRPr="004F1470" w:rsidRDefault="00BC5219" w:rsidP="00E83802">
            <w:pP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auto" w:fill="auto"/>
            <w:noWrap/>
            <w:vAlign w:val="center"/>
            <w:hideMark/>
          </w:tcPr>
          <w:p w14:paraId="5A6BBD4B" w14:textId="77777777" w:rsidR="00BC5219" w:rsidRPr="004F1470" w:rsidRDefault="00BC5219" w:rsidP="00E83802">
            <w:pPr>
              <w:rPr>
                <w:rFonts w:ascii="Meta Pro" w:eastAsia="Times New Roman" w:hAnsi="Meta Pro" w:cs="Times New Roman"/>
                <w:sz w:val="20"/>
                <w:szCs w:val="20"/>
                <w:lang w:eastAsia="en-AU"/>
              </w:rPr>
            </w:pPr>
          </w:p>
        </w:tc>
      </w:tr>
      <w:tr w:rsidR="00BC5219" w:rsidRPr="004F1470" w14:paraId="3A05E72D" w14:textId="77777777" w:rsidTr="00E83802">
        <w:trPr>
          <w:trHeight w:val="240"/>
        </w:trPr>
        <w:tc>
          <w:tcPr>
            <w:tcW w:w="216" w:type="dxa"/>
            <w:tcBorders>
              <w:top w:val="nil"/>
              <w:left w:val="nil"/>
              <w:bottom w:val="nil"/>
              <w:right w:val="nil"/>
            </w:tcBorders>
            <w:shd w:val="clear" w:color="auto" w:fill="auto"/>
            <w:noWrap/>
            <w:vAlign w:val="center"/>
            <w:hideMark/>
          </w:tcPr>
          <w:p w14:paraId="171AC6F6" w14:textId="77777777" w:rsidR="00BC5219" w:rsidRPr="004F1470" w:rsidRDefault="00BC5219" w:rsidP="00E83802">
            <w:pPr>
              <w:rPr>
                <w:rFonts w:ascii="Meta Pro" w:eastAsia="Times New Roman" w:hAnsi="Meta Pro" w:cs="Times New Roman"/>
                <w:sz w:val="20"/>
                <w:szCs w:val="20"/>
                <w:lang w:eastAsia="en-AU"/>
              </w:rPr>
            </w:pPr>
          </w:p>
        </w:tc>
        <w:tc>
          <w:tcPr>
            <w:tcW w:w="5840" w:type="dxa"/>
            <w:tcBorders>
              <w:top w:val="nil"/>
              <w:left w:val="nil"/>
              <w:bottom w:val="nil"/>
              <w:right w:val="nil"/>
            </w:tcBorders>
            <w:shd w:val="clear" w:color="auto" w:fill="auto"/>
            <w:noWrap/>
            <w:vAlign w:val="center"/>
            <w:hideMark/>
          </w:tcPr>
          <w:p w14:paraId="794F93F8" w14:textId="77777777" w:rsidR="00BC5219" w:rsidRPr="004F1470" w:rsidRDefault="00BC5219" w:rsidP="00E83802">
            <w:pPr>
              <w:rPr>
                <w:rFonts w:ascii="Meta Pro" w:eastAsia="Times New Roman" w:hAnsi="Meta Pro"/>
                <w:i/>
                <w:iCs/>
                <w:color w:val="000000"/>
                <w:szCs w:val="18"/>
                <w:lang w:eastAsia="en-AU"/>
              </w:rPr>
            </w:pPr>
            <w:r w:rsidRPr="004F1470">
              <w:rPr>
                <w:rFonts w:ascii="Meta Pro" w:eastAsia="Times New Roman" w:hAnsi="Meta Pro"/>
                <w:i/>
                <w:iCs/>
                <w:color w:val="000000"/>
                <w:szCs w:val="18"/>
                <w:lang w:eastAsia="en-AU"/>
              </w:rPr>
              <w:t>Inflows:</w:t>
            </w:r>
          </w:p>
        </w:tc>
        <w:tc>
          <w:tcPr>
            <w:tcW w:w="28" w:type="dxa"/>
            <w:tcBorders>
              <w:top w:val="nil"/>
              <w:left w:val="nil"/>
              <w:bottom w:val="nil"/>
              <w:right w:val="nil"/>
            </w:tcBorders>
            <w:shd w:val="clear" w:color="auto" w:fill="auto"/>
            <w:noWrap/>
            <w:vAlign w:val="center"/>
            <w:hideMark/>
          </w:tcPr>
          <w:p w14:paraId="7CEC91AB" w14:textId="77777777" w:rsidR="00BC5219" w:rsidRPr="004F1470" w:rsidRDefault="00BC5219" w:rsidP="00E83802">
            <w:pPr>
              <w:rPr>
                <w:rFonts w:ascii="Meta Pro" w:eastAsia="Times New Roman" w:hAnsi="Meta Pro"/>
                <w:i/>
                <w:iCs/>
                <w:color w:val="000000"/>
                <w:szCs w:val="18"/>
                <w:lang w:eastAsia="en-AU"/>
              </w:rPr>
            </w:pPr>
          </w:p>
        </w:tc>
        <w:tc>
          <w:tcPr>
            <w:tcW w:w="284" w:type="dxa"/>
            <w:tcBorders>
              <w:top w:val="nil"/>
              <w:left w:val="nil"/>
              <w:bottom w:val="nil"/>
              <w:right w:val="nil"/>
            </w:tcBorders>
            <w:shd w:val="clear" w:color="auto" w:fill="auto"/>
            <w:noWrap/>
            <w:vAlign w:val="center"/>
            <w:hideMark/>
          </w:tcPr>
          <w:p w14:paraId="1A9D41A3" w14:textId="77777777" w:rsidR="00BC5219" w:rsidRPr="004F1470"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auto" w:fill="auto"/>
            <w:noWrap/>
            <w:vAlign w:val="center"/>
            <w:hideMark/>
          </w:tcPr>
          <w:p w14:paraId="1DEBCF14" w14:textId="77777777" w:rsidR="00BC5219" w:rsidRPr="004F1470" w:rsidRDefault="00BC5219" w:rsidP="00E83802">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7A73E2F7" w14:textId="77777777" w:rsidR="00BC5219" w:rsidRPr="004F1470" w:rsidRDefault="00BC5219" w:rsidP="00E83802">
            <w:pP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auto" w:fill="auto"/>
            <w:noWrap/>
            <w:vAlign w:val="center"/>
            <w:hideMark/>
          </w:tcPr>
          <w:p w14:paraId="4AD7207B" w14:textId="77777777" w:rsidR="00BC5219" w:rsidRPr="004F1470" w:rsidRDefault="00BC5219" w:rsidP="00E83802">
            <w:pPr>
              <w:rPr>
                <w:rFonts w:ascii="Meta Pro" w:eastAsia="Times New Roman" w:hAnsi="Meta Pro" w:cs="Times New Roman"/>
                <w:sz w:val="20"/>
                <w:szCs w:val="20"/>
                <w:lang w:eastAsia="en-AU"/>
              </w:rPr>
            </w:pPr>
          </w:p>
        </w:tc>
      </w:tr>
      <w:tr w:rsidR="00BC5219" w:rsidRPr="004F1470" w14:paraId="4200E856" w14:textId="77777777" w:rsidTr="00E83802">
        <w:trPr>
          <w:trHeight w:val="240"/>
        </w:trPr>
        <w:tc>
          <w:tcPr>
            <w:tcW w:w="216" w:type="dxa"/>
            <w:tcBorders>
              <w:top w:val="nil"/>
              <w:left w:val="nil"/>
              <w:bottom w:val="nil"/>
              <w:right w:val="nil"/>
            </w:tcBorders>
            <w:shd w:val="clear" w:color="auto" w:fill="auto"/>
            <w:noWrap/>
            <w:vAlign w:val="center"/>
            <w:hideMark/>
          </w:tcPr>
          <w:p w14:paraId="0F8270AF" w14:textId="77777777" w:rsidR="00BC5219" w:rsidRPr="004F1470" w:rsidRDefault="00BC5219" w:rsidP="00E83802">
            <w:pPr>
              <w:rPr>
                <w:rFonts w:ascii="Meta Pro" w:eastAsia="Times New Roman" w:hAnsi="Meta Pro" w:cs="Times New Roman"/>
                <w:sz w:val="20"/>
                <w:szCs w:val="20"/>
                <w:lang w:eastAsia="en-AU"/>
              </w:rPr>
            </w:pPr>
          </w:p>
        </w:tc>
        <w:tc>
          <w:tcPr>
            <w:tcW w:w="5840" w:type="dxa"/>
            <w:tcBorders>
              <w:top w:val="nil"/>
              <w:left w:val="nil"/>
              <w:bottom w:val="nil"/>
              <w:right w:val="nil"/>
            </w:tcBorders>
            <w:shd w:val="clear" w:color="auto" w:fill="auto"/>
            <w:noWrap/>
            <w:vAlign w:val="center"/>
            <w:hideMark/>
          </w:tcPr>
          <w:p w14:paraId="1A299A0E" w14:textId="77777777" w:rsidR="00BC5219" w:rsidRPr="004F1470" w:rsidRDefault="00BC5219" w:rsidP="00E83802">
            <w:pPr>
              <w:rPr>
                <w:rFonts w:ascii="Meta Pro" w:eastAsia="Times New Roman" w:hAnsi="Meta Pro"/>
                <w:color w:val="000000"/>
                <w:szCs w:val="18"/>
                <w:lang w:eastAsia="en-AU"/>
              </w:rPr>
            </w:pPr>
            <w:r w:rsidRPr="004F1470">
              <w:rPr>
                <w:rFonts w:ascii="Meta Pro" w:eastAsia="Times New Roman" w:hAnsi="Meta Pro"/>
                <w:color w:val="000000"/>
                <w:szCs w:val="18"/>
                <w:lang w:eastAsia="en-AU"/>
              </w:rPr>
              <w:t>Service appropriation receipts</w:t>
            </w:r>
          </w:p>
        </w:tc>
        <w:tc>
          <w:tcPr>
            <w:tcW w:w="28" w:type="dxa"/>
            <w:tcBorders>
              <w:top w:val="nil"/>
              <w:left w:val="nil"/>
              <w:bottom w:val="nil"/>
              <w:right w:val="nil"/>
            </w:tcBorders>
            <w:shd w:val="clear" w:color="auto" w:fill="auto"/>
            <w:noWrap/>
            <w:vAlign w:val="center"/>
            <w:hideMark/>
          </w:tcPr>
          <w:p w14:paraId="4907D291" w14:textId="77777777" w:rsidR="00BC5219" w:rsidRPr="004F1470" w:rsidRDefault="00BC5219" w:rsidP="00E83802">
            <w:pPr>
              <w:rPr>
                <w:rFonts w:ascii="Meta Pro" w:eastAsia="Times New Roman" w:hAnsi="Meta Pro"/>
                <w:color w:val="000000"/>
                <w:szCs w:val="18"/>
                <w:lang w:eastAsia="en-AU"/>
              </w:rPr>
            </w:pPr>
          </w:p>
        </w:tc>
        <w:tc>
          <w:tcPr>
            <w:tcW w:w="284" w:type="dxa"/>
            <w:tcBorders>
              <w:top w:val="nil"/>
              <w:left w:val="nil"/>
              <w:bottom w:val="nil"/>
              <w:right w:val="nil"/>
            </w:tcBorders>
            <w:shd w:val="clear" w:color="auto" w:fill="auto"/>
            <w:noWrap/>
            <w:vAlign w:val="center"/>
            <w:hideMark/>
          </w:tcPr>
          <w:p w14:paraId="4C25E974" w14:textId="77777777" w:rsidR="00BC5219" w:rsidRPr="004F1470"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6579ECBE"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 xml:space="preserve">6,361,615 </w:t>
            </w:r>
          </w:p>
        </w:tc>
        <w:tc>
          <w:tcPr>
            <w:tcW w:w="216" w:type="dxa"/>
            <w:tcBorders>
              <w:top w:val="nil"/>
              <w:left w:val="nil"/>
              <w:bottom w:val="nil"/>
              <w:right w:val="nil"/>
            </w:tcBorders>
            <w:shd w:val="clear" w:color="auto" w:fill="auto"/>
            <w:noWrap/>
            <w:vAlign w:val="center"/>
            <w:hideMark/>
          </w:tcPr>
          <w:p w14:paraId="117C1A8E" w14:textId="77777777" w:rsidR="00BC5219" w:rsidRPr="004F1470"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611371C8"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 xml:space="preserve">5,944,558 </w:t>
            </w:r>
          </w:p>
        </w:tc>
      </w:tr>
      <w:tr w:rsidR="00BC5219" w:rsidRPr="004F1470" w14:paraId="02E22FF1" w14:textId="77777777" w:rsidTr="00E83802">
        <w:trPr>
          <w:trHeight w:val="240"/>
        </w:trPr>
        <w:tc>
          <w:tcPr>
            <w:tcW w:w="216" w:type="dxa"/>
            <w:tcBorders>
              <w:top w:val="nil"/>
              <w:left w:val="nil"/>
              <w:bottom w:val="nil"/>
              <w:right w:val="nil"/>
            </w:tcBorders>
            <w:shd w:val="clear" w:color="auto" w:fill="auto"/>
            <w:noWrap/>
            <w:vAlign w:val="center"/>
            <w:hideMark/>
          </w:tcPr>
          <w:p w14:paraId="37DE0D8D" w14:textId="77777777" w:rsidR="00BC5219" w:rsidRPr="004F1470" w:rsidRDefault="00BC5219" w:rsidP="00E83802">
            <w:pPr>
              <w:jc w:val="right"/>
              <w:rPr>
                <w:rFonts w:ascii="Meta Pro" w:eastAsia="Times New Roman" w:hAnsi="Meta Pro"/>
                <w:color w:val="000000"/>
                <w:szCs w:val="18"/>
                <w:lang w:eastAsia="en-AU"/>
              </w:rPr>
            </w:pPr>
          </w:p>
        </w:tc>
        <w:tc>
          <w:tcPr>
            <w:tcW w:w="5840" w:type="dxa"/>
            <w:tcBorders>
              <w:top w:val="nil"/>
              <w:left w:val="nil"/>
              <w:bottom w:val="nil"/>
              <w:right w:val="nil"/>
            </w:tcBorders>
            <w:shd w:val="clear" w:color="auto" w:fill="auto"/>
            <w:noWrap/>
            <w:vAlign w:val="center"/>
            <w:hideMark/>
          </w:tcPr>
          <w:p w14:paraId="5CBA99AF" w14:textId="77777777" w:rsidR="00BC5219" w:rsidRPr="004F1470" w:rsidRDefault="00BC5219" w:rsidP="00E83802">
            <w:pPr>
              <w:rPr>
                <w:rFonts w:ascii="Meta Pro" w:eastAsia="Times New Roman" w:hAnsi="Meta Pro"/>
                <w:color w:val="000000"/>
                <w:szCs w:val="18"/>
                <w:lang w:eastAsia="en-AU"/>
              </w:rPr>
            </w:pPr>
            <w:r w:rsidRPr="004F1470">
              <w:rPr>
                <w:rFonts w:ascii="Meta Pro" w:eastAsia="Times New Roman" w:hAnsi="Meta Pro"/>
                <w:color w:val="000000"/>
                <w:szCs w:val="18"/>
                <w:lang w:eastAsia="en-AU"/>
              </w:rPr>
              <w:t>User charges and fees</w:t>
            </w:r>
          </w:p>
        </w:tc>
        <w:tc>
          <w:tcPr>
            <w:tcW w:w="28" w:type="dxa"/>
            <w:tcBorders>
              <w:top w:val="nil"/>
              <w:left w:val="nil"/>
              <w:bottom w:val="nil"/>
              <w:right w:val="nil"/>
            </w:tcBorders>
            <w:shd w:val="clear" w:color="auto" w:fill="auto"/>
            <w:noWrap/>
            <w:vAlign w:val="center"/>
            <w:hideMark/>
          </w:tcPr>
          <w:p w14:paraId="7DA6C901" w14:textId="77777777" w:rsidR="00BC5219" w:rsidRPr="004F1470" w:rsidRDefault="00BC5219" w:rsidP="00E83802">
            <w:pPr>
              <w:rPr>
                <w:rFonts w:ascii="Meta Pro" w:eastAsia="Times New Roman" w:hAnsi="Meta Pro"/>
                <w:color w:val="000000"/>
                <w:szCs w:val="18"/>
                <w:lang w:eastAsia="en-AU"/>
              </w:rPr>
            </w:pPr>
          </w:p>
        </w:tc>
        <w:tc>
          <w:tcPr>
            <w:tcW w:w="284" w:type="dxa"/>
            <w:tcBorders>
              <w:top w:val="nil"/>
              <w:left w:val="nil"/>
              <w:bottom w:val="nil"/>
              <w:right w:val="nil"/>
            </w:tcBorders>
            <w:shd w:val="clear" w:color="auto" w:fill="auto"/>
            <w:noWrap/>
            <w:vAlign w:val="center"/>
            <w:hideMark/>
          </w:tcPr>
          <w:p w14:paraId="027A23ED" w14:textId="77777777" w:rsidR="00BC5219" w:rsidRPr="004F1470"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22C0F89E"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 xml:space="preserve">824,841 </w:t>
            </w:r>
          </w:p>
        </w:tc>
        <w:tc>
          <w:tcPr>
            <w:tcW w:w="216" w:type="dxa"/>
            <w:tcBorders>
              <w:top w:val="nil"/>
              <w:left w:val="nil"/>
              <w:bottom w:val="nil"/>
              <w:right w:val="nil"/>
            </w:tcBorders>
            <w:shd w:val="clear" w:color="auto" w:fill="auto"/>
            <w:noWrap/>
            <w:vAlign w:val="center"/>
            <w:hideMark/>
          </w:tcPr>
          <w:p w14:paraId="600E7DBF" w14:textId="77777777" w:rsidR="00BC5219" w:rsidRPr="004F1470"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26FAE9A5"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 xml:space="preserve">670,648 </w:t>
            </w:r>
          </w:p>
        </w:tc>
      </w:tr>
      <w:tr w:rsidR="00BC5219" w:rsidRPr="004F1470" w14:paraId="2B918A57" w14:textId="77777777" w:rsidTr="00E83802">
        <w:trPr>
          <w:trHeight w:val="240"/>
        </w:trPr>
        <w:tc>
          <w:tcPr>
            <w:tcW w:w="216" w:type="dxa"/>
            <w:tcBorders>
              <w:top w:val="nil"/>
              <w:left w:val="nil"/>
              <w:bottom w:val="nil"/>
              <w:right w:val="nil"/>
            </w:tcBorders>
            <w:shd w:val="clear" w:color="auto" w:fill="auto"/>
            <w:noWrap/>
            <w:vAlign w:val="center"/>
            <w:hideMark/>
          </w:tcPr>
          <w:p w14:paraId="3A55F197" w14:textId="77777777" w:rsidR="00BC5219" w:rsidRPr="004F1470" w:rsidRDefault="00BC5219" w:rsidP="00E83802">
            <w:pPr>
              <w:jc w:val="right"/>
              <w:rPr>
                <w:rFonts w:ascii="Meta Pro" w:eastAsia="Times New Roman" w:hAnsi="Meta Pro"/>
                <w:color w:val="000000"/>
                <w:szCs w:val="18"/>
                <w:lang w:eastAsia="en-AU"/>
              </w:rPr>
            </w:pPr>
          </w:p>
        </w:tc>
        <w:tc>
          <w:tcPr>
            <w:tcW w:w="5840" w:type="dxa"/>
            <w:tcBorders>
              <w:top w:val="nil"/>
              <w:left w:val="nil"/>
              <w:bottom w:val="nil"/>
              <w:right w:val="nil"/>
            </w:tcBorders>
            <w:shd w:val="clear" w:color="auto" w:fill="auto"/>
            <w:noWrap/>
            <w:vAlign w:val="center"/>
            <w:hideMark/>
          </w:tcPr>
          <w:p w14:paraId="0E21FAD0" w14:textId="77777777" w:rsidR="00BC5219" w:rsidRPr="004F1470" w:rsidRDefault="00BC5219" w:rsidP="00E83802">
            <w:pPr>
              <w:rPr>
                <w:rFonts w:ascii="Meta Pro" w:eastAsia="Times New Roman" w:hAnsi="Meta Pro"/>
                <w:color w:val="000000"/>
                <w:szCs w:val="18"/>
                <w:lang w:eastAsia="en-AU"/>
              </w:rPr>
            </w:pPr>
            <w:r w:rsidRPr="004F1470">
              <w:rPr>
                <w:rFonts w:ascii="Meta Pro" w:eastAsia="Times New Roman" w:hAnsi="Meta Pro"/>
                <w:color w:val="000000"/>
                <w:szCs w:val="18"/>
                <w:lang w:eastAsia="en-AU"/>
              </w:rPr>
              <w:t xml:space="preserve">Grants and other contributions </w:t>
            </w:r>
          </w:p>
        </w:tc>
        <w:tc>
          <w:tcPr>
            <w:tcW w:w="28" w:type="dxa"/>
            <w:tcBorders>
              <w:top w:val="nil"/>
              <w:left w:val="nil"/>
              <w:bottom w:val="nil"/>
              <w:right w:val="nil"/>
            </w:tcBorders>
            <w:shd w:val="clear" w:color="auto" w:fill="auto"/>
            <w:noWrap/>
            <w:vAlign w:val="center"/>
            <w:hideMark/>
          </w:tcPr>
          <w:p w14:paraId="489FB695" w14:textId="77777777" w:rsidR="00BC5219" w:rsidRPr="004F1470" w:rsidRDefault="00BC5219" w:rsidP="00E83802">
            <w:pPr>
              <w:rPr>
                <w:rFonts w:ascii="Meta Pro" w:eastAsia="Times New Roman" w:hAnsi="Meta Pro"/>
                <w:color w:val="000000"/>
                <w:szCs w:val="18"/>
                <w:lang w:eastAsia="en-AU"/>
              </w:rPr>
            </w:pPr>
          </w:p>
        </w:tc>
        <w:tc>
          <w:tcPr>
            <w:tcW w:w="284" w:type="dxa"/>
            <w:tcBorders>
              <w:top w:val="nil"/>
              <w:left w:val="nil"/>
              <w:bottom w:val="nil"/>
              <w:right w:val="nil"/>
            </w:tcBorders>
            <w:shd w:val="clear" w:color="auto" w:fill="auto"/>
            <w:noWrap/>
            <w:vAlign w:val="center"/>
            <w:hideMark/>
          </w:tcPr>
          <w:p w14:paraId="322C54BC" w14:textId="77777777" w:rsidR="00BC5219" w:rsidRPr="004F1470"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69BB8BA2"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 xml:space="preserve">224,708 </w:t>
            </w:r>
          </w:p>
        </w:tc>
        <w:tc>
          <w:tcPr>
            <w:tcW w:w="216" w:type="dxa"/>
            <w:tcBorders>
              <w:top w:val="nil"/>
              <w:left w:val="nil"/>
              <w:bottom w:val="nil"/>
              <w:right w:val="nil"/>
            </w:tcBorders>
            <w:shd w:val="clear" w:color="auto" w:fill="auto"/>
            <w:noWrap/>
            <w:vAlign w:val="center"/>
            <w:hideMark/>
          </w:tcPr>
          <w:p w14:paraId="5AE8AFCD" w14:textId="77777777" w:rsidR="00BC5219" w:rsidRPr="004F1470"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2BAD1F2B"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 xml:space="preserve">145,177 </w:t>
            </w:r>
          </w:p>
        </w:tc>
      </w:tr>
      <w:tr w:rsidR="00BC5219" w:rsidRPr="004F1470" w14:paraId="281FF7A6" w14:textId="77777777" w:rsidTr="00E83802">
        <w:trPr>
          <w:trHeight w:val="240"/>
        </w:trPr>
        <w:tc>
          <w:tcPr>
            <w:tcW w:w="216" w:type="dxa"/>
            <w:tcBorders>
              <w:top w:val="nil"/>
              <w:left w:val="nil"/>
              <w:bottom w:val="nil"/>
              <w:right w:val="nil"/>
            </w:tcBorders>
            <w:shd w:val="clear" w:color="auto" w:fill="auto"/>
            <w:noWrap/>
            <w:vAlign w:val="center"/>
            <w:hideMark/>
          </w:tcPr>
          <w:p w14:paraId="0974FDA8" w14:textId="77777777" w:rsidR="00BC5219" w:rsidRPr="004F1470" w:rsidRDefault="00BC5219" w:rsidP="00E83802">
            <w:pPr>
              <w:jc w:val="right"/>
              <w:rPr>
                <w:rFonts w:ascii="Meta Pro" w:eastAsia="Times New Roman" w:hAnsi="Meta Pro"/>
                <w:color w:val="000000"/>
                <w:szCs w:val="18"/>
                <w:lang w:eastAsia="en-AU"/>
              </w:rPr>
            </w:pPr>
          </w:p>
        </w:tc>
        <w:tc>
          <w:tcPr>
            <w:tcW w:w="5840" w:type="dxa"/>
            <w:tcBorders>
              <w:top w:val="nil"/>
              <w:left w:val="nil"/>
              <w:bottom w:val="nil"/>
              <w:right w:val="nil"/>
            </w:tcBorders>
            <w:shd w:val="clear" w:color="auto" w:fill="auto"/>
            <w:noWrap/>
            <w:vAlign w:val="center"/>
            <w:hideMark/>
          </w:tcPr>
          <w:p w14:paraId="6833C589" w14:textId="77777777" w:rsidR="00BC5219" w:rsidRPr="004F1470" w:rsidRDefault="00BC5219" w:rsidP="00E83802">
            <w:pPr>
              <w:rPr>
                <w:rFonts w:ascii="Meta Pro" w:eastAsia="Times New Roman" w:hAnsi="Meta Pro"/>
                <w:color w:val="000000"/>
                <w:szCs w:val="18"/>
                <w:lang w:eastAsia="en-AU"/>
              </w:rPr>
            </w:pPr>
            <w:r w:rsidRPr="004F1470">
              <w:rPr>
                <w:rFonts w:ascii="Meta Pro" w:eastAsia="Times New Roman" w:hAnsi="Meta Pro"/>
                <w:color w:val="000000"/>
                <w:szCs w:val="18"/>
                <w:lang w:eastAsia="en-AU"/>
              </w:rPr>
              <w:t>GST input tax credits from ATO</w:t>
            </w:r>
          </w:p>
        </w:tc>
        <w:tc>
          <w:tcPr>
            <w:tcW w:w="28" w:type="dxa"/>
            <w:tcBorders>
              <w:top w:val="nil"/>
              <w:left w:val="nil"/>
              <w:bottom w:val="nil"/>
              <w:right w:val="nil"/>
            </w:tcBorders>
            <w:shd w:val="clear" w:color="auto" w:fill="auto"/>
            <w:noWrap/>
            <w:vAlign w:val="center"/>
            <w:hideMark/>
          </w:tcPr>
          <w:p w14:paraId="252DF8C1" w14:textId="77777777" w:rsidR="00BC5219" w:rsidRPr="004F1470" w:rsidRDefault="00BC5219" w:rsidP="00E83802">
            <w:pPr>
              <w:rPr>
                <w:rFonts w:ascii="Meta Pro" w:eastAsia="Times New Roman" w:hAnsi="Meta Pro"/>
                <w:color w:val="000000"/>
                <w:szCs w:val="18"/>
                <w:lang w:eastAsia="en-AU"/>
              </w:rPr>
            </w:pPr>
          </w:p>
        </w:tc>
        <w:tc>
          <w:tcPr>
            <w:tcW w:w="284" w:type="dxa"/>
            <w:tcBorders>
              <w:top w:val="nil"/>
              <w:left w:val="nil"/>
              <w:bottom w:val="nil"/>
              <w:right w:val="nil"/>
            </w:tcBorders>
            <w:shd w:val="clear" w:color="auto" w:fill="auto"/>
            <w:noWrap/>
            <w:vAlign w:val="center"/>
            <w:hideMark/>
          </w:tcPr>
          <w:p w14:paraId="6FACD1BD" w14:textId="77777777" w:rsidR="00BC5219" w:rsidRPr="004F1470"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53F72064"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 xml:space="preserve">1,025,155 </w:t>
            </w:r>
          </w:p>
        </w:tc>
        <w:tc>
          <w:tcPr>
            <w:tcW w:w="216" w:type="dxa"/>
            <w:tcBorders>
              <w:top w:val="nil"/>
              <w:left w:val="nil"/>
              <w:bottom w:val="nil"/>
              <w:right w:val="nil"/>
            </w:tcBorders>
            <w:shd w:val="clear" w:color="auto" w:fill="auto"/>
            <w:noWrap/>
            <w:vAlign w:val="center"/>
            <w:hideMark/>
          </w:tcPr>
          <w:p w14:paraId="4AA28959" w14:textId="77777777" w:rsidR="00BC5219" w:rsidRPr="004F1470"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587C002F"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 xml:space="preserve">853,228 </w:t>
            </w:r>
          </w:p>
        </w:tc>
      </w:tr>
      <w:tr w:rsidR="00BC5219" w:rsidRPr="004F1470" w14:paraId="1858AF53" w14:textId="77777777" w:rsidTr="00E83802">
        <w:trPr>
          <w:trHeight w:val="240"/>
        </w:trPr>
        <w:tc>
          <w:tcPr>
            <w:tcW w:w="216" w:type="dxa"/>
            <w:tcBorders>
              <w:top w:val="nil"/>
              <w:left w:val="nil"/>
              <w:bottom w:val="nil"/>
              <w:right w:val="nil"/>
            </w:tcBorders>
            <w:shd w:val="clear" w:color="auto" w:fill="auto"/>
            <w:noWrap/>
            <w:vAlign w:val="center"/>
            <w:hideMark/>
          </w:tcPr>
          <w:p w14:paraId="6D6C5659" w14:textId="77777777" w:rsidR="00BC5219" w:rsidRPr="004F1470" w:rsidRDefault="00BC5219" w:rsidP="00E83802">
            <w:pPr>
              <w:jc w:val="right"/>
              <w:rPr>
                <w:rFonts w:ascii="Meta Pro" w:eastAsia="Times New Roman" w:hAnsi="Meta Pro"/>
                <w:color w:val="000000"/>
                <w:szCs w:val="18"/>
                <w:lang w:eastAsia="en-AU"/>
              </w:rPr>
            </w:pPr>
          </w:p>
        </w:tc>
        <w:tc>
          <w:tcPr>
            <w:tcW w:w="5840" w:type="dxa"/>
            <w:tcBorders>
              <w:top w:val="nil"/>
              <w:left w:val="nil"/>
              <w:bottom w:val="nil"/>
              <w:right w:val="nil"/>
            </w:tcBorders>
            <w:shd w:val="clear" w:color="auto" w:fill="auto"/>
            <w:noWrap/>
            <w:vAlign w:val="center"/>
            <w:hideMark/>
          </w:tcPr>
          <w:p w14:paraId="70397343" w14:textId="77777777" w:rsidR="00BC5219" w:rsidRPr="004F1470" w:rsidRDefault="00BC5219" w:rsidP="00E83802">
            <w:pPr>
              <w:rPr>
                <w:rFonts w:ascii="Meta Pro" w:eastAsia="Times New Roman" w:hAnsi="Meta Pro"/>
                <w:color w:val="000000"/>
                <w:szCs w:val="18"/>
                <w:lang w:eastAsia="en-AU"/>
              </w:rPr>
            </w:pPr>
            <w:r w:rsidRPr="004F1470">
              <w:rPr>
                <w:rFonts w:ascii="Meta Pro" w:eastAsia="Times New Roman" w:hAnsi="Meta Pro"/>
                <w:color w:val="000000"/>
                <w:szCs w:val="18"/>
                <w:lang w:eastAsia="en-AU"/>
              </w:rPr>
              <w:t>GST collected from customers</w:t>
            </w:r>
          </w:p>
        </w:tc>
        <w:tc>
          <w:tcPr>
            <w:tcW w:w="28" w:type="dxa"/>
            <w:tcBorders>
              <w:top w:val="nil"/>
              <w:left w:val="nil"/>
              <w:bottom w:val="nil"/>
              <w:right w:val="nil"/>
            </w:tcBorders>
            <w:shd w:val="clear" w:color="auto" w:fill="auto"/>
            <w:noWrap/>
            <w:vAlign w:val="center"/>
            <w:hideMark/>
          </w:tcPr>
          <w:p w14:paraId="6707D6EF" w14:textId="77777777" w:rsidR="00BC5219" w:rsidRPr="004F1470" w:rsidRDefault="00BC5219" w:rsidP="00E83802">
            <w:pPr>
              <w:rPr>
                <w:rFonts w:ascii="Meta Pro" w:eastAsia="Times New Roman" w:hAnsi="Meta Pro"/>
                <w:color w:val="000000"/>
                <w:szCs w:val="18"/>
                <w:lang w:eastAsia="en-AU"/>
              </w:rPr>
            </w:pPr>
          </w:p>
        </w:tc>
        <w:tc>
          <w:tcPr>
            <w:tcW w:w="284" w:type="dxa"/>
            <w:tcBorders>
              <w:top w:val="nil"/>
              <w:left w:val="nil"/>
              <w:bottom w:val="nil"/>
              <w:right w:val="nil"/>
            </w:tcBorders>
            <w:shd w:val="clear" w:color="auto" w:fill="auto"/>
            <w:noWrap/>
            <w:vAlign w:val="center"/>
            <w:hideMark/>
          </w:tcPr>
          <w:p w14:paraId="32CD89EF" w14:textId="77777777" w:rsidR="00BC5219" w:rsidRPr="004F1470"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12315A03"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 xml:space="preserve">86,427 </w:t>
            </w:r>
          </w:p>
        </w:tc>
        <w:tc>
          <w:tcPr>
            <w:tcW w:w="216" w:type="dxa"/>
            <w:tcBorders>
              <w:top w:val="nil"/>
              <w:left w:val="nil"/>
              <w:bottom w:val="nil"/>
              <w:right w:val="nil"/>
            </w:tcBorders>
            <w:shd w:val="clear" w:color="auto" w:fill="auto"/>
            <w:noWrap/>
            <w:vAlign w:val="center"/>
            <w:hideMark/>
          </w:tcPr>
          <w:p w14:paraId="0A56E3CF" w14:textId="77777777" w:rsidR="00BC5219" w:rsidRPr="004F1470"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426E30F3"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 xml:space="preserve">67,297 </w:t>
            </w:r>
          </w:p>
        </w:tc>
      </w:tr>
      <w:tr w:rsidR="00BC5219" w:rsidRPr="004F1470" w14:paraId="1B919BE3" w14:textId="77777777" w:rsidTr="00E83802">
        <w:trPr>
          <w:trHeight w:val="240"/>
        </w:trPr>
        <w:tc>
          <w:tcPr>
            <w:tcW w:w="216" w:type="dxa"/>
            <w:tcBorders>
              <w:top w:val="nil"/>
              <w:left w:val="nil"/>
              <w:bottom w:val="nil"/>
              <w:right w:val="nil"/>
            </w:tcBorders>
            <w:shd w:val="clear" w:color="auto" w:fill="auto"/>
            <w:noWrap/>
            <w:vAlign w:val="center"/>
            <w:hideMark/>
          </w:tcPr>
          <w:p w14:paraId="1D4ABCD9" w14:textId="77777777" w:rsidR="00BC5219" w:rsidRPr="004F1470" w:rsidRDefault="00BC5219" w:rsidP="00E83802">
            <w:pPr>
              <w:jc w:val="right"/>
              <w:rPr>
                <w:rFonts w:ascii="Meta Pro" w:eastAsia="Times New Roman" w:hAnsi="Meta Pro"/>
                <w:color w:val="000000"/>
                <w:szCs w:val="18"/>
                <w:lang w:eastAsia="en-AU"/>
              </w:rPr>
            </w:pPr>
          </w:p>
        </w:tc>
        <w:tc>
          <w:tcPr>
            <w:tcW w:w="5840" w:type="dxa"/>
            <w:tcBorders>
              <w:top w:val="nil"/>
              <w:left w:val="nil"/>
              <w:bottom w:val="nil"/>
              <w:right w:val="nil"/>
            </w:tcBorders>
            <w:shd w:val="clear" w:color="auto" w:fill="auto"/>
            <w:noWrap/>
            <w:vAlign w:val="center"/>
            <w:hideMark/>
          </w:tcPr>
          <w:p w14:paraId="573BA56D" w14:textId="77777777" w:rsidR="00BC5219" w:rsidRPr="004F1470" w:rsidRDefault="00BC5219" w:rsidP="00E83802">
            <w:pPr>
              <w:rPr>
                <w:rFonts w:ascii="Meta Pro" w:eastAsia="Times New Roman" w:hAnsi="Meta Pro"/>
                <w:color w:val="000000"/>
                <w:szCs w:val="18"/>
                <w:lang w:eastAsia="en-AU"/>
              </w:rPr>
            </w:pPr>
            <w:r w:rsidRPr="004F1470">
              <w:rPr>
                <w:rFonts w:ascii="Meta Pro" w:eastAsia="Times New Roman" w:hAnsi="Meta Pro"/>
                <w:color w:val="000000"/>
                <w:szCs w:val="18"/>
                <w:lang w:eastAsia="en-AU"/>
              </w:rPr>
              <w:t xml:space="preserve">Other </w:t>
            </w:r>
          </w:p>
        </w:tc>
        <w:tc>
          <w:tcPr>
            <w:tcW w:w="28" w:type="dxa"/>
            <w:tcBorders>
              <w:top w:val="nil"/>
              <w:left w:val="nil"/>
              <w:bottom w:val="nil"/>
              <w:right w:val="nil"/>
            </w:tcBorders>
            <w:shd w:val="clear" w:color="auto" w:fill="auto"/>
            <w:noWrap/>
            <w:vAlign w:val="center"/>
            <w:hideMark/>
          </w:tcPr>
          <w:p w14:paraId="26462336" w14:textId="77777777" w:rsidR="00BC5219" w:rsidRPr="004F1470" w:rsidRDefault="00BC5219" w:rsidP="00E83802">
            <w:pPr>
              <w:rPr>
                <w:rFonts w:ascii="Meta Pro" w:eastAsia="Times New Roman" w:hAnsi="Meta Pro"/>
                <w:color w:val="000000"/>
                <w:szCs w:val="18"/>
                <w:lang w:eastAsia="en-AU"/>
              </w:rPr>
            </w:pPr>
          </w:p>
        </w:tc>
        <w:tc>
          <w:tcPr>
            <w:tcW w:w="284" w:type="dxa"/>
            <w:tcBorders>
              <w:top w:val="nil"/>
              <w:left w:val="nil"/>
              <w:bottom w:val="nil"/>
              <w:right w:val="nil"/>
            </w:tcBorders>
            <w:shd w:val="clear" w:color="auto" w:fill="auto"/>
            <w:noWrap/>
            <w:vAlign w:val="center"/>
            <w:hideMark/>
          </w:tcPr>
          <w:p w14:paraId="6BC19592" w14:textId="77777777" w:rsidR="00BC5219" w:rsidRPr="004F1470"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7C9402C3"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 xml:space="preserve">32,532 </w:t>
            </w:r>
          </w:p>
        </w:tc>
        <w:tc>
          <w:tcPr>
            <w:tcW w:w="216" w:type="dxa"/>
            <w:tcBorders>
              <w:top w:val="nil"/>
              <w:left w:val="nil"/>
              <w:bottom w:val="nil"/>
              <w:right w:val="nil"/>
            </w:tcBorders>
            <w:shd w:val="clear" w:color="auto" w:fill="auto"/>
            <w:noWrap/>
            <w:vAlign w:val="center"/>
            <w:hideMark/>
          </w:tcPr>
          <w:p w14:paraId="553AF570" w14:textId="77777777" w:rsidR="00BC5219" w:rsidRPr="004F1470"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51E6BA9B"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 xml:space="preserve">51,967 </w:t>
            </w:r>
          </w:p>
        </w:tc>
      </w:tr>
      <w:tr w:rsidR="00BC5219" w:rsidRPr="004F1470" w14:paraId="7C535817" w14:textId="77777777" w:rsidTr="00E83802">
        <w:trPr>
          <w:trHeight w:val="240"/>
        </w:trPr>
        <w:tc>
          <w:tcPr>
            <w:tcW w:w="216" w:type="dxa"/>
            <w:tcBorders>
              <w:top w:val="nil"/>
              <w:left w:val="nil"/>
              <w:bottom w:val="nil"/>
              <w:right w:val="nil"/>
            </w:tcBorders>
            <w:shd w:val="clear" w:color="auto" w:fill="auto"/>
            <w:noWrap/>
            <w:vAlign w:val="center"/>
            <w:hideMark/>
          </w:tcPr>
          <w:p w14:paraId="3C160332" w14:textId="77777777" w:rsidR="00BC5219" w:rsidRPr="004F1470" w:rsidRDefault="00BC5219" w:rsidP="00E83802">
            <w:pPr>
              <w:jc w:val="right"/>
              <w:rPr>
                <w:rFonts w:ascii="Meta Pro" w:eastAsia="Times New Roman" w:hAnsi="Meta Pro"/>
                <w:color w:val="000000"/>
                <w:szCs w:val="18"/>
                <w:lang w:eastAsia="en-AU"/>
              </w:rPr>
            </w:pPr>
          </w:p>
        </w:tc>
        <w:tc>
          <w:tcPr>
            <w:tcW w:w="5840" w:type="dxa"/>
            <w:tcBorders>
              <w:top w:val="nil"/>
              <w:left w:val="nil"/>
              <w:bottom w:val="nil"/>
              <w:right w:val="nil"/>
            </w:tcBorders>
            <w:shd w:val="clear" w:color="auto" w:fill="auto"/>
            <w:noWrap/>
            <w:vAlign w:val="center"/>
            <w:hideMark/>
          </w:tcPr>
          <w:p w14:paraId="338563B1" w14:textId="77777777" w:rsidR="00BC5219" w:rsidRPr="004F1470" w:rsidRDefault="00BC5219" w:rsidP="00E83802">
            <w:pPr>
              <w:rPr>
                <w:rFonts w:ascii="Meta Pro" w:eastAsia="Times New Roman" w:hAnsi="Meta Pro"/>
                <w:i/>
                <w:iCs/>
                <w:color w:val="000000"/>
                <w:szCs w:val="18"/>
                <w:lang w:eastAsia="en-AU"/>
              </w:rPr>
            </w:pPr>
            <w:r w:rsidRPr="004F1470">
              <w:rPr>
                <w:rFonts w:ascii="Meta Pro" w:eastAsia="Times New Roman" w:hAnsi="Meta Pro"/>
                <w:i/>
                <w:iCs/>
                <w:color w:val="000000"/>
                <w:szCs w:val="18"/>
                <w:lang w:eastAsia="en-AU"/>
              </w:rPr>
              <w:t>Outflows:</w:t>
            </w:r>
          </w:p>
        </w:tc>
        <w:tc>
          <w:tcPr>
            <w:tcW w:w="28" w:type="dxa"/>
            <w:tcBorders>
              <w:top w:val="nil"/>
              <w:left w:val="nil"/>
              <w:bottom w:val="nil"/>
              <w:right w:val="nil"/>
            </w:tcBorders>
            <w:shd w:val="clear" w:color="auto" w:fill="auto"/>
            <w:noWrap/>
            <w:vAlign w:val="center"/>
            <w:hideMark/>
          </w:tcPr>
          <w:p w14:paraId="1F4E3E91" w14:textId="77777777" w:rsidR="00BC5219" w:rsidRPr="004F1470" w:rsidRDefault="00BC5219" w:rsidP="00E83802">
            <w:pPr>
              <w:rPr>
                <w:rFonts w:ascii="Meta Pro" w:eastAsia="Times New Roman" w:hAnsi="Meta Pro"/>
                <w:i/>
                <w:iCs/>
                <w:color w:val="000000"/>
                <w:szCs w:val="18"/>
                <w:lang w:eastAsia="en-AU"/>
              </w:rPr>
            </w:pPr>
          </w:p>
        </w:tc>
        <w:tc>
          <w:tcPr>
            <w:tcW w:w="284" w:type="dxa"/>
            <w:tcBorders>
              <w:top w:val="nil"/>
              <w:left w:val="nil"/>
              <w:bottom w:val="nil"/>
              <w:right w:val="nil"/>
            </w:tcBorders>
            <w:shd w:val="clear" w:color="auto" w:fill="auto"/>
            <w:noWrap/>
            <w:vAlign w:val="center"/>
            <w:hideMark/>
          </w:tcPr>
          <w:p w14:paraId="17C2FC2C" w14:textId="77777777" w:rsidR="00BC5219" w:rsidRPr="004F1470"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2E50E001"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6FAE4CCB" w14:textId="77777777" w:rsidR="00BC5219" w:rsidRPr="004F1470"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0CC4FE10" w14:textId="77777777" w:rsidR="00BC5219" w:rsidRPr="004F1470" w:rsidRDefault="00BC5219" w:rsidP="00E83802">
            <w:pPr>
              <w:jc w:val="right"/>
              <w:rPr>
                <w:rFonts w:ascii="Meta Pro" w:eastAsia="Times New Roman" w:hAnsi="Meta Pro" w:cs="Times New Roman"/>
                <w:sz w:val="20"/>
                <w:szCs w:val="20"/>
                <w:lang w:eastAsia="en-AU"/>
              </w:rPr>
            </w:pPr>
          </w:p>
        </w:tc>
      </w:tr>
      <w:tr w:rsidR="00BC5219" w:rsidRPr="004F1470" w14:paraId="60ED75D4" w14:textId="77777777" w:rsidTr="00E83802">
        <w:trPr>
          <w:trHeight w:val="240"/>
        </w:trPr>
        <w:tc>
          <w:tcPr>
            <w:tcW w:w="216" w:type="dxa"/>
            <w:tcBorders>
              <w:top w:val="nil"/>
              <w:left w:val="nil"/>
              <w:bottom w:val="nil"/>
              <w:right w:val="nil"/>
            </w:tcBorders>
            <w:shd w:val="clear" w:color="auto" w:fill="auto"/>
            <w:noWrap/>
            <w:vAlign w:val="center"/>
            <w:hideMark/>
          </w:tcPr>
          <w:p w14:paraId="246777F9" w14:textId="77777777" w:rsidR="00BC5219" w:rsidRPr="004F1470" w:rsidRDefault="00BC5219" w:rsidP="00E83802">
            <w:pPr>
              <w:jc w:val="right"/>
              <w:rPr>
                <w:rFonts w:ascii="Meta Pro" w:eastAsia="Times New Roman" w:hAnsi="Meta Pro" w:cs="Times New Roman"/>
                <w:sz w:val="20"/>
                <w:szCs w:val="20"/>
                <w:lang w:eastAsia="en-AU"/>
              </w:rPr>
            </w:pPr>
          </w:p>
        </w:tc>
        <w:tc>
          <w:tcPr>
            <w:tcW w:w="5840" w:type="dxa"/>
            <w:tcBorders>
              <w:top w:val="nil"/>
              <w:left w:val="nil"/>
              <w:bottom w:val="nil"/>
              <w:right w:val="nil"/>
            </w:tcBorders>
            <w:shd w:val="clear" w:color="auto" w:fill="auto"/>
            <w:noWrap/>
            <w:vAlign w:val="center"/>
            <w:hideMark/>
          </w:tcPr>
          <w:p w14:paraId="30724A9F" w14:textId="77777777" w:rsidR="00BC5219" w:rsidRPr="004F1470" w:rsidRDefault="00BC5219" w:rsidP="00E83802">
            <w:pPr>
              <w:rPr>
                <w:rFonts w:ascii="Meta Pro" w:eastAsia="Times New Roman" w:hAnsi="Meta Pro"/>
                <w:color w:val="000000"/>
                <w:szCs w:val="18"/>
                <w:lang w:eastAsia="en-AU"/>
              </w:rPr>
            </w:pPr>
            <w:r w:rsidRPr="004F1470">
              <w:rPr>
                <w:rFonts w:ascii="Meta Pro" w:eastAsia="Times New Roman" w:hAnsi="Meta Pro"/>
                <w:color w:val="000000"/>
                <w:szCs w:val="18"/>
                <w:lang w:eastAsia="en-AU"/>
              </w:rPr>
              <w:t>Employee expenses</w:t>
            </w:r>
          </w:p>
        </w:tc>
        <w:tc>
          <w:tcPr>
            <w:tcW w:w="28" w:type="dxa"/>
            <w:tcBorders>
              <w:top w:val="nil"/>
              <w:left w:val="nil"/>
              <w:bottom w:val="nil"/>
              <w:right w:val="nil"/>
            </w:tcBorders>
            <w:shd w:val="clear" w:color="auto" w:fill="auto"/>
            <w:noWrap/>
            <w:vAlign w:val="center"/>
            <w:hideMark/>
          </w:tcPr>
          <w:p w14:paraId="2BA59453" w14:textId="77777777" w:rsidR="00BC5219" w:rsidRPr="004F1470" w:rsidRDefault="00BC5219" w:rsidP="00E83802">
            <w:pPr>
              <w:rPr>
                <w:rFonts w:ascii="Meta Pro" w:eastAsia="Times New Roman" w:hAnsi="Meta Pro"/>
                <w:color w:val="000000"/>
                <w:szCs w:val="18"/>
                <w:lang w:eastAsia="en-AU"/>
              </w:rPr>
            </w:pPr>
          </w:p>
        </w:tc>
        <w:tc>
          <w:tcPr>
            <w:tcW w:w="284" w:type="dxa"/>
            <w:tcBorders>
              <w:top w:val="nil"/>
              <w:left w:val="nil"/>
              <w:bottom w:val="nil"/>
              <w:right w:val="nil"/>
            </w:tcBorders>
            <w:shd w:val="clear" w:color="auto" w:fill="auto"/>
            <w:noWrap/>
            <w:vAlign w:val="center"/>
            <w:hideMark/>
          </w:tcPr>
          <w:p w14:paraId="0A37F079" w14:textId="77777777" w:rsidR="00BC5219" w:rsidRPr="004F1470"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1F110DE7"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(701,220)</w:t>
            </w:r>
          </w:p>
        </w:tc>
        <w:tc>
          <w:tcPr>
            <w:tcW w:w="216" w:type="dxa"/>
            <w:tcBorders>
              <w:top w:val="nil"/>
              <w:left w:val="nil"/>
              <w:bottom w:val="nil"/>
              <w:right w:val="nil"/>
            </w:tcBorders>
            <w:shd w:val="clear" w:color="auto" w:fill="auto"/>
            <w:noWrap/>
            <w:vAlign w:val="center"/>
            <w:hideMark/>
          </w:tcPr>
          <w:p w14:paraId="6C4F1661" w14:textId="77777777" w:rsidR="00BC5219" w:rsidRPr="004F1470"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311A81AC"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(653,361)</w:t>
            </w:r>
          </w:p>
        </w:tc>
      </w:tr>
      <w:tr w:rsidR="00BC5219" w:rsidRPr="004F1470" w14:paraId="5FB8B9B6" w14:textId="77777777" w:rsidTr="00E83802">
        <w:trPr>
          <w:trHeight w:val="240"/>
        </w:trPr>
        <w:tc>
          <w:tcPr>
            <w:tcW w:w="216" w:type="dxa"/>
            <w:tcBorders>
              <w:top w:val="nil"/>
              <w:left w:val="nil"/>
              <w:bottom w:val="nil"/>
              <w:right w:val="nil"/>
            </w:tcBorders>
            <w:shd w:val="clear" w:color="auto" w:fill="auto"/>
            <w:noWrap/>
            <w:vAlign w:val="center"/>
            <w:hideMark/>
          </w:tcPr>
          <w:p w14:paraId="10CE37C3" w14:textId="77777777" w:rsidR="00BC5219" w:rsidRPr="004F1470" w:rsidRDefault="00BC5219" w:rsidP="00E83802">
            <w:pPr>
              <w:jc w:val="right"/>
              <w:rPr>
                <w:rFonts w:ascii="Meta Pro" w:eastAsia="Times New Roman" w:hAnsi="Meta Pro"/>
                <w:color w:val="000000"/>
                <w:szCs w:val="18"/>
                <w:lang w:eastAsia="en-AU"/>
              </w:rPr>
            </w:pPr>
          </w:p>
        </w:tc>
        <w:tc>
          <w:tcPr>
            <w:tcW w:w="5840" w:type="dxa"/>
            <w:tcBorders>
              <w:top w:val="nil"/>
              <w:left w:val="nil"/>
              <w:bottom w:val="nil"/>
              <w:right w:val="nil"/>
            </w:tcBorders>
            <w:shd w:val="clear" w:color="auto" w:fill="auto"/>
            <w:noWrap/>
            <w:vAlign w:val="center"/>
            <w:hideMark/>
          </w:tcPr>
          <w:p w14:paraId="523DDCFA" w14:textId="77777777" w:rsidR="00BC5219" w:rsidRPr="004F1470" w:rsidRDefault="00BC5219" w:rsidP="00E83802">
            <w:pPr>
              <w:rPr>
                <w:rFonts w:ascii="Meta Pro" w:eastAsia="Times New Roman" w:hAnsi="Meta Pro"/>
                <w:color w:val="000000"/>
                <w:szCs w:val="18"/>
                <w:lang w:eastAsia="en-AU"/>
              </w:rPr>
            </w:pPr>
            <w:r w:rsidRPr="004F1470">
              <w:rPr>
                <w:rFonts w:ascii="Meta Pro" w:eastAsia="Times New Roman" w:hAnsi="Meta Pro"/>
                <w:color w:val="000000"/>
                <w:szCs w:val="18"/>
                <w:lang w:eastAsia="en-AU"/>
              </w:rPr>
              <w:t xml:space="preserve">Supplies and services </w:t>
            </w:r>
          </w:p>
        </w:tc>
        <w:tc>
          <w:tcPr>
            <w:tcW w:w="28" w:type="dxa"/>
            <w:tcBorders>
              <w:top w:val="nil"/>
              <w:left w:val="nil"/>
              <w:bottom w:val="nil"/>
              <w:right w:val="nil"/>
            </w:tcBorders>
            <w:shd w:val="clear" w:color="auto" w:fill="auto"/>
            <w:noWrap/>
            <w:vAlign w:val="center"/>
            <w:hideMark/>
          </w:tcPr>
          <w:p w14:paraId="2A5331F2" w14:textId="77777777" w:rsidR="00BC5219" w:rsidRPr="004F1470" w:rsidRDefault="00BC5219" w:rsidP="00E83802">
            <w:pPr>
              <w:rPr>
                <w:rFonts w:ascii="Meta Pro" w:eastAsia="Times New Roman" w:hAnsi="Meta Pro"/>
                <w:color w:val="000000"/>
                <w:szCs w:val="18"/>
                <w:lang w:eastAsia="en-AU"/>
              </w:rPr>
            </w:pPr>
          </w:p>
        </w:tc>
        <w:tc>
          <w:tcPr>
            <w:tcW w:w="284" w:type="dxa"/>
            <w:tcBorders>
              <w:top w:val="nil"/>
              <w:left w:val="nil"/>
              <w:bottom w:val="nil"/>
              <w:right w:val="nil"/>
            </w:tcBorders>
            <w:shd w:val="clear" w:color="auto" w:fill="auto"/>
            <w:noWrap/>
            <w:vAlign w:val="center"/>
            <w:hideMark/>
          </w:tcPr>
          <w:p w14:paraId="54AFE38F" w14:textId="77777777" w:rsidR="00BC5219" w:rsidRPr="004F1470"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7AB9CC32"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(4,357,085)</w:t>
            </w:r>
          </w:p>
        </w:tc>
        <w:tc>
          <w:tcPr>
            <w:tcW w:w="216" w:type="dxa"/>
            <w:tcBorders>
              <w:top w:val="nil"/>
              <w:left w:val="nil"/>
              <w:bottom w:val="nil"/>
              <w:right w:val="nil"/>
            </w:tcBorders>
            <w:shd w:val="clear" w:color="auto" w:fill="auto"/>
            <w:noWrap/>
            <w:vAlign w:val="center"/>
            <w:hideMark/>
          </w:tcPr>
          <w:p w14:paraId="44DBA5E8" w14:textId="77777777" w:rsidR="00BC5219" w:rsidRPr="004F1470"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397885FB"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(4,180,982)</w:t>
            </w:r>
          </w:p>
        </w:tc>
      </w:tr>
      <w:tr w:rsidR="00BC5219" w:rsidRPr="004F1470" w14:paraId="276D0455" w14:textId="77777777" w:rsidTr="00E83802">
        <w:trPr>
          <w:trHeight w:val="240"/>
        </w:trPr>
        <w:tc>
          <w:tcPr>
            <w:tcW w:w="216" w:type="dxa"/>
            <w:tcBorders>
              <w:top w:val="nil"/>
              <w:left w:val="nil"/>
              <w:bottom w:val="nil"/>
              <w:right w:val="nil"/>
            </w:tcBorders>
            <w:shd w:val="clear" w:color="auto" w:fill="auto"/>
            <w:noWrap/>
            <w:vAlign w:val="center"/>
            <w:hideMark/>
          </w:tcPr>
          <w:p w14:paraId="4CB9588D" w14:textId="77777777" w:rsidR="00BC5219" w:rsidRPr="004F1470" w:rsidRDefault="00BC5219" w:rsidP="00E83802">
            <w:pPr>
              <w:jc w:val="right"/>
              <w:rPr>
                <w:rFonts w:ascii="Meta Pro" w:eastAsia="Times New Roman" w:hAnsi="Meta Pro"/>
                <w:color w:val="000000"/>
                <w:szCs w:val="18"/>
                <w:lang w:eastAsia="en-AU"/>
              </w:rPr>
            </w:pPr>
          </w:p>
        </w:tc>
        <w:tc>
          <w:tcPr>
            <w:tcW w:w="5840" w:type="dxa"/>
            <w:tcBorders>
              <w:top w:val="nil"/>
              <w:left w:val="nil"/>
              <w:bottom w:val="nil"/>
              <w:right w:val="nil"/>
            </w:tcBorders>
            <w:shd w:val="clear" w:color="auto" w:fill="auto"/>
            <w:noWrap/>
            <w:vAlign w:val="center"/>
            <w:hideMark/>
          </w:tcPr>
          <w:p w14:paraId="7D870677" w14:textId="77777777" w:rsidR="00BC5219" w:rsidRPr="004F1470" w:rsidRDefault="00BC5219" w:rsidP="00E83802">
            <w:pPr>
              <w:rPr>
                <w:rFonts w:ascii="Meta Pro" w:eastAsia="Times New Roman" w:hAnsi="Meta Pro"/>
                <w:color w:val="000000"/>
                <w:szCs w:val="18"/>
                <w:lang w:eastAsia="en-AU"/>
              </w:rPr>
            </w:pPr>
            <w:r w:rsidRPr="004F1470">
              <w:rPr>
                <w:rFonts w:ascii="Meta Pro" w:eastAsia="Times New Roman" w:hAnsi="Meta Pro"/>
                <w:color w:val="000000"/>
                <w:szCs w:val="18"/>
                <w:lang w:eastAsia="en-AU"/>
              </w:rPr>
              <w:t>Grants and subsidies</w:t>
            </w:r>
          </w:p>
        </w:tc>
        <w:tc>
          <w:tcPr>
            <w:tcW w:w="28" w:type="dxa"/>
            <w:tcBorders>
              <w:top w:val="nil"/>
              <w:left w:val="nil"/>
              <w:bottom w:val="nil"/>
              <w:right w:val="nil"/>
            </w:tcBorders>
            <w:shd w:val="clear" w:color="auto" w:fill="auto"/>
            <w:noWrap/>
            <w:vAlign w:val="center"/>
            <w:hideMark/>
          </w:tcPr>
          <w:p w14:paraId="400FFCFD" w14:textId="77777777" w:rsidR="00BC5219" w:rsidRPr="004F1470" w:rsidRDefault="00BC5219" w:rsidP="00E83802">
            <w:pPr>
              <w:rPr>
                <w:rFonts w:ascii="Meta Pro" w:eastAsia="Times New Roman" w:hAnsi="Meta Pro"/>
                <w:color w:val="000000"/>
                <w:szCs w:val="18"/>
                <w:lang w:eastAsia="en-AU"/>
              </w:rPr>
            </w:pPr>
          </w:p>
        </w:tc>
        <w:tc>
          <w:tcPr>
            <w:tcW w:w="284" w:type="dxa"/>
            <w:tcBorders>
              <w:top w:val="nil"/>
              <w:left w:val="nil"/>
              <w:bottom w:val="nil"/>
              <w:right w:val="nil"/>
            </w:tcBorders>
            <w:shd w:val="clear" w:color="auto" w:fill="auto"/>
            <w:noWrap/>
            <w:vAlign w:val="center"/>
            <w:hideMark/>
          </w:tcPr>
          <w:p w14:paraId="40695631" w14:textId="77777777" w:rsidR="00BC5219" w:rsidRPr="004F1470"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241C7F4D"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(776,813)</w:t>
            </w:r>
          </w:p>
        </w:tc>
        <w:tc>
          <w:tcPr>
            <w:tcW w:w="216" w:type="dxa"/>
            <w:tcBorders>
              <w:top w:val="nil"/>
              <w:left w:val="nil"/>
              <w:bottom w:val="nil"/>
              <w:right w:val="nil"/>
            </w:tcBorders>
            <w:shd w:val="clear" w:color="auto" w:fill="auto"/>
            <w:noWrap/>
            <w:vAlign w:val="center"/>
            <w:hideMark/>
          </w:tcPr>
          <w:p w14:paraId="744C7D38" w14:textId="77777777" w:rsidR="00BC5219" w:rsidRPr="004F1470"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356CBBCA"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(702,273)</w:t>
            </w:r>
          </w:p>
        </w:tc>
      </w:tr>
      <w:tr w:rsidR="00BC5219" w:rsidRPr="004F1470" w14:paraId="082B7BA5" w14:textId="77777777" w:rsidTr="00E83802">
        <w:trPr>
          <w:trHeight w:val="240"/>
        </w:trPr>
        <w:tc>
          <w:tcPr>
            <w:tcW w:w="216" w:type="dxa"/>
            <w:tcBorders>
              <w:top w:val="nil"/>
              <w:left w:val="nil"/>
              <w:bottom w:val="nil"/>
              <w:right w:val="nil"/>
            </w:tcBorders>
            <w:shd w:val="clear" w:color="auto" w:fill="auto"/>
            <w:noWrap/>
            <w:vAlign w:val="center"/>
            <w:hideMark/>
          </w:tcPr>
          <w:p w14:paraId="1C4C0374" w14:textId="77777777" w:rsidR="00BC5219" w:rsidRPr="004F1470" w:rsidRDefault="00BC5219" w:rsidP="00E83802">
            <w:pPr>
              <w:jc w:val="right"/>
              <w:rPr>
                <w:rFonts w:ascii="Meta Pro" w:eastAsia="Times New Roman" w:hAnsi="Meta Pro"/>
                <w:color w:val="000000"/>
                <w:szCs w:val="18"/>
                <w:lang w:eastAsia="en-AU"/>
              </w:rPr>
            </w:pPr>
          </w:p>
        </w:tc>
        <w:tc>
          <w:tcPr>
            <w:tcW w:w="5840" w:type="dxa"/>
            <w:tcBorders>
              <w:top w:val="nil"/>
              <w:left w:val="nil"/>
              <w:bottom w:val="nil"/>
              <w:right w:val="nil"/>
            </w:tcBorders>
            <w:shd w:val="clear" w:color="auto" w:fill="auto"/>
            <w:noWrap/>
            <w:vAlign w:val="center"/>
            <w:hideMark/>
          </w:tcPr>
          <w:p w14:paraId="2B2D3310" w14:textId="77777777" w:rsidR="00BC5219" w:rsidRPr="004F1470" w:rsidRDefault="00BC5219" w:rsidP="00E83802">
            <w:pPr>
              <w:rPr>
                <w:rFonts w:ascii="Meta Pro" w:eastAsia="Times New Roman" w:hAnsi="Meta Pro"/>
                <w:color w:val="000000"/>
                <w:szCs w:val="18"/>
                <w:lang w:eastAsia="en-AU"/>
              </w:rPr>
            </w:pPr>
            <w:r w:rsidRPr="004F1470">
              <w:rPr>
                <w:rFonts w:ascii="Meta Pro" w:eastAsia="Times New Roman" w:hAnsi="Meta Pro"/>
                <w:color w:val="000000"/>
                <w:szCs w:val="18"/>
                <w:lang w:eastAsia="en-AU"/>
              </w:rPr>
              <w:t>Finance and borrowing costs</w:t>
            </w:r>
          </w:p>
        </w:tc>
        <w:tc>
          <w:tcPr>
            <w:tcW w:w="28" w:type="dxa"/>
            <w:tcBorders>
              <w:top w:val="nil"/>
              <w:left w:val="nil"/>
              <w:bottom w:val="nil"/>
              <w:right w:val="nil"/>
            </w:tcBorders>
            <w:shd w:val="clear" w:color="auto" w:fill="auto"/>
            <w:noWrap/>
            <w:vAlign w:val="center"/>
            <w:hideMark/>
          </w:tcPr>
          <w:p w14:paraId="000CAFF4" w14:textId="77777777" w:rsidR="00BC5219" w:rsidRPr="004F1470" w:rsidRDefault="00BC5219" w:rsidP="00E83802">
            <w:pPr>
              <w:rPr>
                <w:rFonts w:ascii="Meta Pro" w:eastAsia="Times New Roman" w:hAnsi="Meta Pro"/>
                <w:color w:val="000000"/>
                <w:szCs w:val="18"/>
                <w:lang w:eastAsia="en-AU"/>
              </w:rPr>
            </w:pPr>
          </w:p>
        </w:tc>
        <w:tc>
          <w:tcPr>
            <w:tcW w:w="284" w:type="dxa"/>
            <w:tcBorders>
              <w:top w:val="nil"/>
              <w:left w:val="nil"/>
              <w:bottom w:val="nil"/>
              <w:right w:val="nil"/>
            </w:tcBorders>
            <w:shd w:val="clear" w:color="auto" w:fill="auto"/>
            <w:noWrap/>
            <w:vAlign w:val="center"/>
            <w:hideMark/>
          </w:tcPr>
          <w:p w14:paraId="01C6CD88" w14:textId="77777777" w:rsidR="00BC5219" w:rsidRPr="004F1470"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42C77C20"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(92,208)</w:t>
            </w:r>
          </w:p>
        </w:tc>
        <w:tc>
          <w:tcPr>
            <w:tcW w:w="216" w:type="dxa"/>
            <w:tcBorders>
              <w:top w:val="nil"/>
              <w:left w:val="nil"/>
              <w:bottom w:val="nil"/>
              <w:right w:val="nil"/>
            </w:tcBorders>
            <w:shd w:val="clear" w:color="auto" w:fill="auto"/>
            <w:noWrap/>
            <w:vAlign w:val="center"/>
            <w:hideMark/>
          </w:tcPr>
          <w:p w14:paraId="79F1B513" w14:textId="77777777" w:rsidR="00BC5219" w:rsidRPr="004F1470"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48BCA5A5"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(76,487)</w:t>
            </w:r>
          </w:p>
        </w:tc>
      </w:tr>
      <w:tr w:rsidR="00BC5219" w:rsidRPr="004F1470" w14:paraId="0EB482E0" w14:textId="77777777" w:rsidTr="00E83802">
        <w:trPr>
          <w:trHeight w:val="240"/>
        </w:trPr>
        <w:tc>
          <w:tcPr>
            <w:tcW w:w="216" w:type="dxa"/>
            <w:tcBorders>
              <w:top w:val="nil"/>
              <w:left w:val="nil"/>
              <w:bottom w:val="nil"/>
              <w:right w:val="nil"/>
            </w:tcBorders>
            <w:shd w:val="clear" w:color="auto" w:fill="auto"/>
            <w:noWrap/>
            <w:vAlign w:val="center"/>
            <w:hideMark/>
          </w:tcPr>
          <w:p w14:paraId="07330E1C" w14:textId="77777777" w:rsidR="00BC5219" w:rsidRPr="004F1470" w:rsidRDefault="00BC5219" w:rsidP="00E83802">
            <w:pPr>
              <w:jc w:val="right"/>
              <w:rPr>
                <w:rFonts w:ascii="Meta Pro" w:eastAsia="Times New Roman" w:hAnsi="Meta Pro"/>
                <w:color w:val="000000"/>
                <w:szCs w:val="18"/>
                <w:lang w:eastAsia="en-AU"/>
              </w:rPr>
            </w:pPr>
          </w:p>
        </w:tc>
        <w:tc>
          <w:tcPr>
            <w:tcW w:w="5840" w:type="dxa"/>
            <w:tcBorders>
              <w:top w:val="nil"/>
              <w:left w:val="nil"/>
              <w:bottom w:val="nil"/>
              <w:right w:val="nil"/>
            </w:tcBorders>
            <w:shd w:val="clear" w:color="auto" w:fill="auto"/>
            <w:noWrap/>
            <w:vAlign w:val="center"/>
            <w:hideMark/>
          </w:tcPr>
          <w:p w14:paraId="4CB0FF3E" w14:textId="77777777" w:rsidR="00BC5219" w:rsidRPr="004F1470" w:rsidRDefault="00BC5219" w:rsidP="00E83802">
            <w:pPr>
              <w:rPr>
                <w:rFonts w:ascii="Meta Pro" w:eastAsia="Times New Roman" w:hAnsi="Meta Pro"/>
                <w:color w:val="000000"/>
                <w:szCs w:val="18"/>
                <w:lang w:eastAsia="en-AU"/>
              </w:rPr>
            </w:pPr>
            <w:r w:rsidRPr="004F1470">
              <w:rPr>
                <w:rFonts w:ascii="Meta Pro" w:eastAsia="Times New Roman" w:hAnsi="Meta Pro"/>
                <w:color w:val="000000"/>
                <w:szCs w:val="18"/>
                <w:lang w:eastAsia="en-AU"/>
              </w:rPr>
              <w:t>GST paid to suppliers</w:t>
            </w:r>
          </w:p>
        </w:tc>
        <w:tc>
          <w:tcPr>
            <w:tcW w:w="28" w:type="dxa"/>
            <w:tcBorders>
              <w:top w:val="nil"/>
              <w:left w:val="nil"/>
              <w:bottom w:val="nil"/>
              <w:right w:val="nil"/>
            </w:tcBorders>
            <w:shd w:val="clear" w:color="auto" w:fill="auto"/>
            <w:noWrap/>
            <w:vAlign w:val="center"/>
            <w:hideMark/>
          </w:tcPr>
          <w:p w14:paraId="3D3CDAC5" w14:textId="77777777" w:rsidR="00BC5219" w:rsidRPr="004F1470" w:rsidRDefault="00BC5219" w:rsidP="00E83802">
            <w:pPr>
              <w:rPr>
                <w:rFonts w:ascii="Meta Pro" w:eastAsia="Times New Roman" w:hAnsi="Meta Pro"/>
                <w:color w:val="000000"/>
                <w:szCs w:val="18"/>
                <w:lang w:eastAsia="en-AU"/>
              </w:rPr>
            </w:pPr>
          </w:p>
        </w:tc>
        <w:tc>
          <w:tcPr>
            <w:tcW w:w="284" w:type="dxa"/>
            <w:tcBorders>
              <w:top w:val="nil"/>
              <w:left w:val="nil"/>
              <w:bottom w:val="nil"/>
              <w:right w:val="nil"/>
            </w:tcBorders>
            <w:shd w:val="clear" w:color="auto" w:fill="auto"/>
            <w:noWrap/>
            <w:vAlign w:val="center"/>
            <w:hideMark/>
          </w:tcPr>
          <w:p w14:paraId="62A18AF6" w14:textId="77777777" w:rsidR="00BC5219" w:rsidRPr="004F1470"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6A5CDF93"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(1,037,371)</w:t>
            </w:r>
          </w:p>
        </w:tc>
        <w:tc>
          <w:tcPr>
            <w:tcW w:w="216" w:type="dxa"/>
            <w:tcBorders>
              <w:top w:val="nil"/>
              <w:left w:val="nil"/>
              <w:bottom w:val="nil"/>
              <w:right w:val="nil"/>
            </w:tcBorders>
            <w:shd w:val="clear" w:color="auto" w:fill="auto"/>
            <w:noWrap/>
            <w:vAlign w:val="center"/>
            <w:hideMark/>
          </w:tcPr>
          <w:p w14:paraId="07F9ECF0" w14:textId="77777777" w:rsidR="00BC5219" w:rsidRPr="004F1470"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1A036132"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(840,708)</w:t>
            </w:r>
          </w:p>
        </w:tc>
      </w:tr>
      <w:tr w:rsidR="00BC5219" w:rsidRPr="004F1470" w14:paraId="7329672E" w14:textId="77777777" w:rsidTr="00E83802">
        <w:trPr>
          <w:trHeight w:val="240"/>
        </w:trPr>
        <w:tc>
          <w:tcPr>
            <w:tcW w:w="216" w:type="dxa"/>
            <w:tcBorders>
              <w:top w:val="nil"/>
              <w:left w:val="nil"/>
              <w:bottom w:val="nil"/>
              <w:right w:val="nil"/>
            </w:tcBorders>
            <w:shd w:val="clear" w:color="auto" w:fill="auto"/>
            <w:noWrap/>
            <w:vAlign w:val="center"/>
            <w:hideMark/>
          </w:tcPr>
          <w:p w14:paraId="3E0D7855" w14:textId="77777777" w:rsidR="00BC5219" w:rsidRPr="004F1470" w:rsidRDefault="00BC5219" w:rsidP="00E83802">
            <w:pPr>
              <w:jc w:val="right"/>
              <w:rPr>
                <w:rFonts w:ascii="Meta Pro" w:eastAsia="Times New Roman" w:hAnsi="Meta Pro"/>
                <w:color w:val="000000"/>
                <w:szCs w:val="18"/>
                <w:lang w:eastAsia="en-AU"/>
              </w:rPr>
            </w:pPr>
          </w:p>
        </w:tc>
        <w:tc>
          <w:tcPr>
            <w:tcW w:w="5840" w:type="dxa"/>
            <w:tcBorders>
              <w:top w:val="nil"/>
              <w:left w:val="nil"/>
              <w:bottom w:val="nil"/>
              <w:right w:val="nil"/>
            </w:tcBorders>
            <w:shd w:val="clear" w:color="auto" w:fill="auto"/>
            <w:noWrap/>
            <w:vAlign w:val="center"/>
            <w:hideMark/>
          </w:tcPr>
          <w:p w14:paraId="25CE2E1F" w14:textId="77777777" w:rsidR="00BC5219" w:rsidRPr="004F1470" w:rsidRDefault="00BC5219" w:rsidP="00E83802">
            <w:pPr>
              <w:rPr>
                <w:rFonts w:ascii="Meta Pro" w:eastAsia="Times New Roman" w:hAnsi="Meta Pro"/>
                <w:color w:val="000000"/>
                <w:szCs w:val="18"/>
                <w:lang w:eastAsia="en-AU"/>
              </w:rPr>
            </w:pPr>
            <w:r w:rsidRPr="004F1470">
              <w:rPr>
                <w:rFonts w:ascii="Meta Pro" w:eastAsia="Times New Roman" w:hAnsi="Meta Pro"/>
                <w:color w:val="000000"/>
                <w:szCs w:val="18"/>
                <w:lang w:eastAsia="en-AU"/>
              </w:rPr>
              <w:t>GST remitted to ATO</w:t>
            </w:r>
          </w:p>
        </w:tc>
        <w:tc>
          <w:tcPr>
            <w:tcW w:w="28" w:type="dxa"/>
            <w:tcBorders>
              <w:top w:val="nil"/>
              <w:left w:val="nil"/>
              <w:bottom w:val="nil"/>
              <w:right w:val="nil"/>
            </w:tcBorders>
            <w:shd w:val="clear" w:color="auto" w:fill="auto"/>
            <w:noWrap/>
            <w:vAlign w:val="center"/>
            <w:hideMark/>
          </w:tcPr>
          <w:p w14:paraId="71CC1B8C" w14:textId="77777777" w:rsidR="00BC5219" w:rsidRPr="004F1470" w:rsidRDefault="00BC5219" w:rsidP="00E83802">
            <w:pPr>
              <w:rPr>
                <w:rFonts w:ascii="Meta Pro" w:eastAsia="Times New Roman" w:hAnsi="Meta Pro"/>
                <w:color w:val="000000"/>
                <w:szCs w:val="18"/>
                <w:lang w:eastAsia="en-AU"/>
              </w:rPr>
            </w:pPr>
          </w:p>
        </w:tc>
        <w:tc>
          <w:tcPr>
            <w:tcW w:w="284" w:type="dxa"/>
            <w:tcBorders>
              <w:top w:val="nil"/>
              <w:left w:val="nil"/>
              <w:bottom w:val="nil"/>
              <w:right w:val="nil"/>
            </w:tcBorders>
            <w:shd w:val="clear" w:color="auto" w:fill="auto"/>
            <w:noWrap/>
            <w:vAlign w:val="center"/>
            <w:hideMark/>
          </w:tcPr>
          <w:p w14:paraId="3E49C438" w14:textId="77777777" w:rsidR="00BC5219" w:rsidRPr="004F1470"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2EF963A6"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(84,310)</w:t>
            </w:r>
          </w:p>
        </w:tc>
        <w:tc>
          <w:tcPr>
            <w:tcW w:w="216" w:type="dxa"/>
            <w:tcBorders>
              <w:top w:val="nil"/>
              <w:left w:val="nil"/>
              <w:bottom w:val="nil"/>
              <w:right w:val="nil"/>
            </w:tcBorders>
            <w:shd w:val="clear" w:color="auto" w:fill="auto"/>
            <w:noWrap/>
            <w:vAlign w:val="center"/>
            <w:hideMark/>
          </w:tcPr>
          <w:p w14:paraId="30709FD6" w14:textId="77777777" w:rsidR="00BC5219" w:rsidRPr="004F1470"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6BB0A7FC"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(68,322)</w:t>
            </w:r>
          </w:p>
        </w:tc>
      </w:tr>
      <w:tr w:rsidR="00BC5219" w:rsidRPr="004F1470" w14:paraId="05DBBB78" w14:textId="77777777" w:rsidTr="00E83802">
        <w:trPr>
          <w:trHeight w:val="240"/>
        </w:trPr>
        <w:tc>
          <w:tcPr>
            <w:tcW w:w="216" w:type="dxa"/>
            <w:tcBorders>
              <w:top w:val="nil"/>
              <w:left w:val="nil"/>
              <w:bottom w:val="nil"/>
              <w:right w:val="nil"/>
            </w:tcBorders>
            <w:shd w:val="clear" w:color="auto" w:fill="auto"/>
            <w:noWrap/>
            <w:vAlign w:val="center"/>
            <w:hideMark/>
          </w:tcPr>
          <w:p w14:paraId="16683AA3" w14:textId="77777777" w:rsidR="00BC5219" w:rsidRPr="004F1470" w:rsidRDefault="00BC5219" w:rsidP="00E83802">
            <w:pPr>
              <w:jc w:val="right"/>
              <w:rPr>
                <w:rFonts w:ascii="Meta Pro" w:eastAsia="Times New Roman" w:hAnsi="Meta Pro"/>
                <w:color w:val="000000"/>
                <w:szCs w:val="18"/>
                <w:lang w:eastAsia="en-AU"/>
              </w:rPr>
            </w:pPr>
          </w:p>
        </w:tc>
        <w:tc>
          <w:tcPr>
            <w:tcW w:w="5840" w:type="dxa"/>
            <w:tcBorders>
              <w:top w:val="nil"/>
              <w:left w:val="nil"/>
              <w:bottom w:val="nil"/>
              <w:right w:val="nil"/>
            </w:tcBorders>
            <w:shd w:val="clear" w:color="auto" w:fill="auto"/>
            <w:noWrap/>
            <w:vAlign w:val="center"/>
            <w:hideMark/>
          </w:tcPr>
          <w:p w14:paraId="379E3A7C" w14:textId="77777777" w:rsidR="00BC5219" w:rsidRPr="004F1470" w:rsidRDefault="00BC5219" w:rsidP="00E83802">
            <w:pPr>
              <w:rPr>
                <w:rFonts w:ascii="Meta Pro" w:eastAsia="Times New Roman" w:hAnsi="Meta Pro"/>
                <w:color w:val="000000"/>
                <w:szCs w:val="18"/>
                <w:lang w:eastAsia="en-AU"/>
              </w:rPr>
            </w:pPr>
            <w:r w:rsidRPr="004F1470">
              <w:rPr>
                <w:rFonts w:ascii="Meta Pro" w:eastAsia="Times New Roman" w:hAnsi="Meta Pro"/>
                <w:color w:val="000000"/>
                <w:szCs w:val="18"/>
                <w:lang w:eastAsia="en-AU"/>
              </w:rPr>
              <w:t>Income tax equivalent paid</w:t>
            </w:r>
          </w:p>
        </w:tc>
        <w:tc>
          <w:tcPr>
            <w:tcW w:w="28" w:type="dxa"/>
            <w:tcBorders>
              <w:top w:val="nil"/>
              <w:left w:val="nil"/>
              <w:bottom w:val="nil"/>
              <w:right w:val="nil"/>
            </w:tcBorders>
            <w:shd w:val="clear" w:color="auto" w:fill="auto"/>
            <w:noWrap/>
            <w:vAlign w:val="center"/>
            <w:hideMark/>
          </w:tcPr>
          <w:p w14:paraId="4C367486" w14:textId="77777777" w:rsidR="00BC5219" w:rsidRPr="004F1470" w:rsidRDefault="00BC5219" w:rsidP="00E83802">
            <w:pPr>
              <w:rPr>
                <w:rFonts w:ascii="Meta Pro" w:eastAsia="Times New Roman" w:hAnsi="Meta Pro"/>
                <w:color w:val="000000"/>
                <w:szCs w:val="18"/>
                <w:lang w:eastAsia="en-AU"/>
              </w:rPr>
            </w:pPr>
          </w:p>
        </w:tc>
        <w:tc>
          <w:tcPr>
            <w:tcW w:w="284" w:type="dxa"/>
            <w:tcBorders>
              <w:top w:val="nil"/>
              <w:left w:val="nil"/>
              <w:bottom w:val="nil"/>
              <w:right w:val="nil"/>
            </w:tcBorders>
            <w:shd w:val="clear" w:color="auto" w:fill="auto"/>
            <w:noWrap/>
            <w:vAlign w:val="center"/>
            <w:hideMark/>
          </w:tcPr>
          <w:p w14:paraId="60210B79" w14:textId="77777777" w:rsidR="00BC5219" w:rsidRPr="004F1470"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6EC21624"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(8,937)</w:t>
            </w:r>
          </w:p>
        </w:tc>
        <w:tc>
          <w:tcPr>
            <w:tcW w:w="216" w:type="dxa"/>
            <w:tcBorders>
              <w:top w:val="nil"/>
              <w:left w:val="nil"/>
              <w:bottom w:val="nil"/>
              <w:right w:val="nil"/>
            </w:tcBorders>
            <w:shd w:val="clear" w:color="auto" w:fill="auto"/>
            <w:noWrap/>
            <w:vAlign w:val="center"/>
            <w:hideMark/>
          </w:tcPr>
          <w:p w14:paraId="26D86694" w14:textId="77777777" w:rsidR="00BC5219" w:rsidRPr="004F1470"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56E40D36"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(14,519)</w:t>
            </w:r>
          </w:p>
        </w:tc>
      </w:tr>
      <w:tr w:rsidR="00BC5219" w:rsidRPr="004F1470" w14:paraId="03A91486" w14:textId="77777777" w:rsidTr="00E83802">
        <w:trPr>
          <w:trHeight w:val="240"/>
        </w:trPr>
        <w:tc>
          <w:tcPr>
            <w:tcW w:w="216" w:type="dxa"/>
            <w:tcBorders>
              <w:top w:val="nil"/>
              <w:left w:val="nil"/>
              <w:bottom w:val="nil"/>
              <w:right w:val="nil"/>
            </w:tcBorders>
            <w:shd w:val="clear" w:color="auto" w:fill="auto"/>
            <w:noWrap/>
            <w:vAlign w:val="center"/>
            <w:hideMark/>
          </w:tcPr>
          <w:p w14:paraId="59B39ED1" w14:textId="77777777" w:rsidR="00BC5219" w:rsidRPr="004F1470" w:rsidRDefault="00BC5219" w:rsidP="00E83802">
            <w:pPr>
              <w:jc w:val="right"/>
              <w:rPr>
                <w:rFonts w:ascii="Meta Pro" w:eastAsia="Times New Roman" w:hAnsi="Meta Pro"/>
                <w:color w:val="000000"/>
                <w:szCs w:val="18"/>
                <w:lang w:eastAsia="en-AU"/>
              </w:rPr>
            </w:pPr>
          </w:p>
        </w:tc>
        <w:tc>
          <w:tcPr>
            <w:tcW w:w="5840" w:type="dxa"/>
            <w:tcBorders>
              <w:top w:val="nil"/>
              <w:left w:val="nil"/>
              <w:bottom w:val="nil"/>
              <w:right w:val="nil"/>
            </w:tcBorders>
            <w:shd w:val="clear" w:color="auto" w:fill="auto"/>
            <w:noWrap/>
            <w:vAlign w:val="center"/>
            <w:hideMark/>
          </w:tcPr>
          <w:p w14:paraId="5AE0A8EB" w14:textId="77777777" w:rsidR="00BC5219" w:rsidRPr="004F1470" w:rsidRDefault="00BC5219" w:rsidP="00E83802">
            <w:pPr>
              <w:rPr>
                <w:rFonts w:ascii="Meta Pro" w:eastAsia="Times New Roman" w:hAnsi="Meta Pro"/>
                <w:color w:val="000000"/>
                <w:szCs w:val="18"/>
                <w:lang w:eastAsia="en-AU"/>
              </w:rPr>
            </w:pPr>
            <w:r w:rsidRPr="004F1470">
              <w:rPr>
                <w:rFonts w:ascii="Meta Pro" w:eastAsia="Times New Roman" w:hAnsi="Meta Pro"/>
                <w:color w:val="000000"/>
                <w:szCs w:val="18"/>
                <w:lang w:eastAsia="en-AU"/>
              </w:rPr>
              <w:t xml:space="preserve">Other </w:t>
            </w:r>
          </w:p>
        </w:tc>
        <w:tc>
          <w:tcPr>
            <w:tcW w:w="28" w:type="dxa"/>
            <w:tcBorders>
              <w:top w:val="nil"/>
              <w:left w:val="nil"/>
              <w:bottom w:val="single" w:sz="4" w:space="0" w:color="auto"/>
              <w:right w:val="nil"/>
            </w:tcBorders>
            <w:shd w:val="clear" w:color="auto" w:fill="auto"/>
            <w:noWrap/>
            <w:vAlign w:val="center"/>
            <w:hideMark/>
          </w:tcPr>
          <w:p w14:paraId="77BD15E9" w14:textId="77777777" w:rsidR="00BC5219" w:rsidRPr="004F1470" w:rsidRDefault="00BC5219" w:rsidP="00E83802">
            <w:pPr>
              <w:jc w:val="center"/>
              <w:rPr>
                <w:rFonts w:ascii="Meta Pro" w:eastAsia="Times New Roman" w:hAnsi="Meta Pro"/>
                <w:color w:val="000000"/>
                <w:sz w:val="20"/>
                <w:szCs w:val="20"/>
                <w:lang w:eastAsia="en-AU"/>
              </w:rPr>
            </w:pPr>
            <w:r w:rsidRPr="004F1470">
              <w:rPr>
                <w:rFonts w:ascii="Meta Pro" w:eastAsia="Times New Roman" w:hAnsi="Meta Pro"/>
                <w:color w:val="000000"/>
                <w:sz w:val="20"/>
                <w:szCs w:val="20"/>
                <w:lang w:eastAsia="en-AU"/>
              </w:rPr>
              <w:t> </w:t>
            </w:r>
          </w:p>
        </w:tc>
        <w:tc>
          <w:tcPr>
            <w:tcW w:w="284" w:type="dxa"/>
            <w:tcBorders>
              <w:top w:val="nil"/>
              <w:left w:val="nil"/>
              <w:bottom w:val="nil"/>
              <w:right w:val="nil"/>
            </w:tcBorders>
            <w:shd w:val="clear" w:color="auto" w:fill="auto"/>
            <w:noWrap/>
            <w:vAlign w:val="center"/>
            <w:hideMark/>
          </w:tcPr>
          <w:p w14:paraId="2BFE83FB" w14:textId="77777777" w:rsidR="00BC5219" w:rsidRPr="004F1470" w:rsidRDefault="00BC5219" w:rsidP="00E83802">
            <w:pPr>
              <w:jc w:val="center"/>
              <w:rPr>
                <w:rFonts w:ascii="Meta Pro" w:eastAsia="Times New Roman" w:hAnsi="Meta Pro"/>
                <w:color w:val="000000"/>
                <w:sz w:val="20"/>
                <w:szCs w:val="20"/>
                <w:lang w:eastAsia="en-AU"/>
              </w:rPr>
            </w:pPr>
          </w:p>
        </w:tc>
        <w:tc>
          <w:tcPr>
            <w:tcW w:w="1514" w:type="dxa"/>
            <w:tcBorders>
              <w:top w:val="nil"/>
              <w:left w:val="nil"/>
              <w:bottom w:val="nil"/>
              <w:right w:val="nil"/>
            </w:tcBorders>
            <w:shd w:val="clear" w:color="000000" w:fill="C9E3B4"/>
            <w:noWrap/>
            <w:vAlign w:val="center"/>
            <w:hideMark/>
          </w:tcPr>
          <w:p w14:paraId="5E1A033B"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(17,165)</w:t>
            </w:r>
          </w:p>
        </w:tc>
        <w:tc>
          <w:tcPr>
            <w:tcW w:w="216" w:type="dxa"/>
            <w:tcBorders>
              <w:top w:val="nil"/>
              <w:left w:val="nil"/>
              <w:bottom w:val="nil"/>
              <w:right w:val="nil"/>
            </w:tcBorders>
            <w:shd w:val="clear" w:color="auto" w:fill="auto"/>
            <w:noWrap/>
            <w:vAlign w:val="center"/>
            <w:hideMark/>
          </w:tcPr>
          <w:p w14:paraId="26FAE07A" w14:textId="77777777" w:rsidR="00BC5219" w:rsidRPr="004F1470" w:rsidRDefault="00BC5219" w:rsidP="00E83802">
            <w:pPr>
              <w:jc w:val="right"/>
              <w:rPr>
                <w:rFonts w:ascii="Meta Pro" w:eastAsia="Times New Roman" w:hAnsi="Meta Pro"/>
                <w:color w:val="000000"/>
                <w:szCs w:val="18"/>
                <w:lang w:eastAsia="en-AU"/>
              </w:rPr>
            </w:pPr>
          </w:p>
        </w:tc>
        <w:tc>
          <w:tcPr>
            <w:tcW w:w="1514" w:type="dxa"/>
            <w:tcBorders>
              <w:top w:val="nil"/>
              <w:left w:val="nil"/>
              <w:bottom w:val="single" w:sz="4" w:space="0" w:color="auto"/>
              <w:right w:val="nil"/>
            </w:tcBorders>
            <w:shd w:val="clear" w:color="auto" w:fill="auto"/>
            <w:noWrap/>
            <w:vAlign w:val="center"/>
            <w:hideMark/>
          </w:tcPr>
          <w:p w14:paraId="01826D55"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(22,940)</w:t>
            </w:r>
          </w:p>
        </w:tc>
      </w:tr>
      <w:tr w:rsidR="00BC5219" w:rsidRPr="004F1470" w14:paraId="275E47A0" w14:textId="77777777" w:rsidTr="00E83802">
        <w:trPr>
          <w:trHeight w:val="240"/>
        </w:trPr>
        <w:tc>
          <w:tcPr>
            <w:tcW w:w="5840" w:type="dxa"/>
            <w:gridSpan w:val="2"/>
            <w:tcBorders>
              <w:top w:val="single" w:sz="4" w:space="0" w:color="auto"/>
              <w:left w:val="nil"/>
              <w:bottom w:val="nil"/>
              <w:right w:val="nil"/>
            </w:tcBorders>
            <w:shd w:val="clear" w:color="auto" w:fill="auto"/>
            <w:noWrap/>
            <w:vAlign w:val="center"/>
            <w:hideMark/>
          </w:tcPr>
          <w:p w14:paraId="08850677" w14:textId="77777777" w:rsidR="00BC5219" w:rsidRPr="004F1470" w:rsidRDefault="00BC5219" w:rsidP="00E83802">
            <w:pPr>
              <w:rPr>
                <w:rFonts w:ascii="Meta Pro" w:eastAsia="Times New Roman" w:hAnsi="Meta Pro"/>
                <w:b/>
                <w:bCs/>
                <w:color w:val="000000"/>
                <w:szCs w:val="18"/>
                <w:lang w:eastAsia="en-AU"/>
              </w:rPr>
            </w:pPr>
            <w:r w:rsidRPr="004F1470">
              <w:rPr>
                <w:rFonts w:ascii="Meta Pro" w:eastAsia="Times New Roman" w:hAnsi="Meta Pro"/>
                <w:b/>
                <w:bCs/>
                <w:color w:val="000000"/>
                <w:szCs w:val="18"/>
                <w:lang w:eastAsia="en-AU"/>
              </w:rPr>
              <w:t>Net cash provided by operating activities</w:t>
            </w:r>
          </w:p>
        </w:tc>
        <w:tc>
          <w:tcPr>
            <w:tcW w:w="28" w:type="dxa"/>
            <w:tcBorders>
              <w:top w:val="nil"/>
              <w:left w:val="nil"/>
              <w:bottom w:val="nil"/>
              <w:right w:val="nil"/>
            </w:tcBorders>
            <w:shd w:val="clear" w:color="auto" w:fill="auto"/>
            <w:noWrap/>
            <w:vAlign w:val="center"/>
            <w:hideMark/>
          </w:tcPr>
          <w:p w14:paraId="7255C187" w14:textId="77777777" w:rsidR="00BC5219" w:rsidRPr="004F1470" w:rsidRDefault="00BC5219" w:rsidP="00E83802">
            <w:pPr>
              <w:rPr>
                <w:rFonts w:ascii="Meta Pro" w:eastAsia="Times New Roman" w:hAnsi="Meta Pro"/>
                <w:b/>
                <w:bCs/>
                <w:color w:val="000000"/>
                <w:szCs w:val="18"/>
                <w:lang w:eastAsia="en-AU"/>
              </w:rPr>
            </w:pPr>
          </w:p>
        </w:tc>
        <w:tc>
          <w:tcPr>
            <w:tcW w:w="284" w:type="dxa"/>
            <w:tcBorders>
              <w:top w:val="single" w:sz="4" w:space="0" w:color="auto"/>
              <w:left w:val="nil"/>
              <w:bottom w:val="nil"/>
              <w:right w:val="nil"/>
            </w:tcBorders>
            <w:shd w:val="clear" w:color="auto" w:fill="auto"/>
            <w:noWrap/>
            <w:vAlign w:val="center"/>
            <w:hideMark/>
          </w:tcPr>
          <w:p w14:paraId="5EEE3EC0" w14:textId="77777777" w:rsidR="00BC5219" w:rsidRPr="004F1470" w:rsidRDefault="00BC5219" w:rsidP="00E83802">
            <w:pPr>
              <w:rPr>
                <w:rFonts w:ascii="Meta Pro" w:eastAsia="Times New Roman" w:hAnsi="Meta Pro"/>
                <w:b/>
                <w:bCs/>
                <w:color w:val="FF0000"/>
                <w:szCs w:val="18"/>
                <w:lang w:eastAsia="en-AU"/>
              </w:rPr>
            </w:pPr>
            <w:r w:rsidRPr="004F1470">
              <w:rPr>
                <w:rFonts w:ascii="Meta Pro" w:eastAsia="Times New Roman" w:hAnsi="Meta Pro"/>
                <w:b/>
                <w:bCs/>
                <w:color w:val="FF0000"/>
                <w:szCs w:val="18"/>
                <w:lang w:eastAsia="en-AU"/>
              </w:rPr>
              <w:t> </w:t>
            </w:r>
          </w:p>
        </w:tc>
        <w:tc>
          <w:tcPr>
            <w:tcW w:w="1514" w:type="dxa"/>
            <w:tcBorders>
              <w:top w:val="single" w:sz="4" w:space="0" w:color="auto"/>
              <w:left w:val="nil"/>
              <w:bottom w:val="nil"/>
              <w:right w:val="nil"/>
            </w:tcBorders>
            <w:shd w:val="clear" w:color="000000" w:fill="C9E3B4"/>
            <w:noWrap/>
            <w:vAlign w:val="center"/>
            <w:hideMark/>
          </w:tcPr>
          <w:p w14:paraId="74EA2E94" w14:textId="77777777" w:rsidR="00BC5219" w:rsidRPr="004F1470" w:rsidRDefault="00BC5219" w:rsidP="00E83802">
            <w:pPr>
              <w:jc w:val="right"/>
              <w:rPr>
                <w:rFonts w:ascii="Meta Pro" w:eastAsia="Times New Roman" w:hAnsi="Meta Pro"/>
                <w:b/>
                <w:bCs/>
                <w:color w:val="000000"/>
                <w:szCs w:val="18"/>
                <w:lang w:eastAsia="en-AU"/>
              </w:rPr>
            </w:pPr>
            <w:r w:rsidRPr="004F1470">
              <w:rPr>
                <w:rFonts w:ascii="Meta Pro" w:eastAsia="Times New Roman" w:hAnsi="Meta Pro"/>
                <w:b/>
                <w:bCs/>
                <w:color w:val="000000"/>
                <w:szCs w:val="18"/>
                <w:lang w:eastAsia="en-AU"/>
              </w:rPr>
              <w:t xml:space="preserve">1,480,169 </w:t>
            </w:r>
          </w:p>
        </w:tc>
        <w:tc>
          <w:tcPr>
            <w:tcW w:w="216" w:type="dxa"/>
            <w:tcBorders>
              <w:top w:val="single" w:sz="4" w:space="0" w:color="auto"/>
              <w:left w:val="nil"/>
              <w:bottom w:val="nil"/>
              <w:right w:val="nil"/>
            </w:tcBorders>
            <w:shd w:val="clear" w:color="auto" w:fill="auto"/>
            <w:noWrap/>
            <w:vAlign w:val="center"/>
            <w:hideMark/>
          </w:tcPr>
          <w:p w14:paraId="5709D402" w14:textId="77777777" w:rsidR="00BC5219" w:rsidRPr="004F1470" w:rsidRDefault="00BC5219" w:rsidP="00E83802">
            <w:pPr>
              <w:jc w:val="right"/>
              <w:rPr>
                <w:rFonts w:ascii="Meta Pro" w:eastAsia="Times New Roman" w:hAnsi="Meta Pro"/>
                <w:b/>
                <w:bCs/>
                <w:color w:val="000000"/>
                <w:szCs w:val="18"/>
                <w:lang w:eastAsia="en-AU"/>
              </w:rPr>
            </w:pPr>
            <w:r w:rsidRPr="004F1470">
              <w:rPr>
                <w:rFonts w:ascii="Meta Pro" w:eastAsia="Times New Roman" w:hAnsi="Meta Pro"/>
                <w:b/>
                <w:bCs/>
                <w:color w:val="000000"/>
                <w:szCs w:val="18"/>
                <w:lang w:eastAsia="en-AU"/>
              </w:rPr>
              <w:t> </w:t>
            </w:r>
          </w:p>
        </w:tc>
        <w:tc>
          <w:tcPr>
            <w:tcW w:w="1514" w:type="dxa"/>
            <w:tcBorders>
              <w:top w:val="nil"/>
              <w:left w:val="nil"/>
              <w:bottom w:val="nil"/>
              <w:right w:val="nil"/>
            </w:tcBorders>
            <w:shd w:val="clear" w:color="auto" w:fill="auto"/>
            <w:noWrap/>
            <w:vAlign w:val="center"/>
            <w:hideMark/>
          </w:tcPr>
          <w:p w14:paraId="2F172E77" w14:textId="77777777" w:rsidR="00BC5219" w:rsidRPr="004F1470" w:rsidRDefault="00BC5219" w:rsidP="00E83802">
            <w:pPr>
              <w:jc w:val="right"/>
              <w:rPr>
                <w:rFonts w:ascii="Meta Pro" w:eastAsia="Times New Roman" w:hAnsi="Meta Pro"/>
                <w:b/>
                <w:bCs/>
                <w:color w:val="000000"/>
                <w:szCs w:val="18"/>
                <w:lang w:eastAsia="en-AU"/>
              </w:rPr>
            </w:pPr>
            <w:r w:rsidRPr="004F1470">
              <w:rPr>
                <w:rFonts w:ascii="Meta Pro" w:eastAsia="Times New Roman" w:hAnsi="Meta Pro"/>
                <w:b/>
                <w:bCs/>
                <w:color w:val="000000"/>
                <w:szCs w:val="18"/>
                <w:lang w:eastAsia="en-AU"/>
              </w:rPr>
              <w:t xml:space="preserve">              1,173,283 </w:t>
            </w:r>
          </w:p>
        </w:tc>
      </w:tr>
      <w:tr w:rsidR="00BC5219" w:rsidRPr="004F1470" w14:paraId="3533C87F" w14:textId="77777777" w:rsidTr="00E83802">
        <w:trPr>
          <w:trHeight w:val="240"/>
        </w:trPr>
        <w:tc>
          <w:tcPr>
            <w:tcW w:w="216" w:type="dxa"/>
            <w:tcBorders>
              <w:top w:val="nil"/>
              <w:left w:val="nil"/>
              <w:bottom w:val="nil"/>
              <w:right w:val="nil"/>
            </w:tcBorders>
            <w:shd w:val="clear" w:color="auto" w:fill="auto"/>
            <w:noWrap/>
            <w:vAlign w:val="center"/>
            <w:hideMark/>
          </w:tcPr>
          <w:p w14:paraId="66EE8809" w14:textId="77777777" w:rsidR="00BC5219" w:rsidRPr="004F1470" w:rsidRDefault="00BC5219" w:rsidP="00E83802">
            <w:pPr>
              <w:jc w:val="right"/>
              <w:rPr>
                <w:rFonts w:ascii="Meta Pro" w:eastAsia="Times New Roman" w:hAnsi="Meta Pro"/>
                <w:b/>
                <w:bCs/>
                <w:color w:val="000000"/>
                <w:szCs w:val="18"/>
                <w:lang w:eastAsia="en-AU"/>
              </w:rPr>
            </w:pPr>
          </w:p>
        </w:tc>
        <w:tc>
          <w:tcPr>
            <w:tcW w:w="5840" w:type="dxa"/>
            <w:tcBorders>
              <w:top w:val="nil"/>
              <w:left w:val="nil"/>
              <w:bottom w:val="nil"/>
              <w:right w:val="nil"/>
            </w:tcBorders>
            <w:shd w:val="clear" w:color="auto" w:fill="auto"/>
            <w:noWrap/>
            <w:vAlign w:val="center"/>
            <w:hideMark/>
          </w:tcPr>
          <w:p w14:paraId="67E5A2F9" w14:textId="77777777" w:rsidR="00BC5219" w:rsidRPr="004F1470" w:rsidRDefault="00BC5219" w:rsidP="00E83802">
            <w:pPr>
              <w:rPr>
                <w:rFonts w:ascii="Meta Pro" w:eastAsia="Times New Roman" w:hAnsi="Meta Pro" w:cs="Times New Roman"/>
                <w:sz w:val="20"/>
                <w:szCs w:val="20"/>
                <w:lang w:eastAsia="en-AU"/>
              </w:rPr>
            </w:pPr>
          </w:p>
        </w:tc>
        <w:tc>
          <w:tcPr>
            <w:tcW w:w="28" w:type="dxa"/>
            <w:tcBorders>
              <w:top w:val="nil"/>
              <w:left w:val="nil"/>
              <w:bottom w:val="nil"/>
              <w:right w:val="nil"/>
            </w:tcBorders>
            <w:shd w:val="clear" w:color="auto" w:fill="auto"/>
            <w:noWrap/>
            <w:vAlign w:val="center"/>
            <w:hideMark/>
          </w:tcPr>
          <w:p w14:paraId="6FAA2543" w14:textId="77777777" w:rsidR="00BC5219" w:rsidRPr="004F1470" w:rsidRDefault="00BC5219" w:rsidP="00E83802">
            <w:pPr>
              <w:rPr>
                <w:rFonts w:ascii="Meta Pro" w:eastAsia="Times New Roman" w:hAnsi="Meta Pro" w:cs="Times New Roman"/>
                <w:sz w:val="20"/>
                <w:szCs w:val="20"/>
                <w:lang w:eastAsia="en-AU"/>
              </w:rPr>
            </w:pPr>
          </w:p>
        </w:tc>
        <w:tc>
          <w:tcPr>
            <w:tcW w:w="284" w:type="dxa"/>
            <w:tcBorders>
              <w:top w:val="nil"/>
              <w:left w:val="nil"/>
              <w:bottom w:val="nil"/>
              <w:right w:val="nil"/>
            </w:tcBorders>
            <w:shd w:val="clear" w:color="auto" w:fill="auto"/>
            <w:noWrap/>
            <w:vAlign w:val="center"/>
            <w:hideMark/>
          </w:tcPr>
          <w:p w14:paraId="6D647060" w14:textId="77777777" w:rsidR="00BC5219" w:rsidRPr="004F1470"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41380896"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1DAE4A1F" w14:textId="77777777" w:rsidR="00BC5219" w:rsidRPr="004F1470"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425E42C1" w14:textId="77777777" w:rsidR="00BC5219" w:rsidRPr="004F1470" w:rsidRDefault="00BC5219" w:rsidP="00E83802">
            <w:pPr>
              <w:jc w:val="right"/>
              <w:rPr>
                <w:rFonts w:ascii="Meta Pro" w:eastAsia="Times New Roman" w:hAnsi="Meta Pro" w:cs="Times New Roman"/>
                <w:sz w:val="20"/>
                <w:szCs w:val="20"/>
                <w:lang w:eastAsia="en-AU"/>
              </w:rPr>
            </w:pPr>
          </w:p>
        </w:tc>
      </w:tr>
      <w:tr w:rsidR="00BC5219" w:rsidRPr="004F1470" w14:paraId="18ACA38C" w14:textId="77777777" w:rsidTr="00E83802">
        <w:trPr>
          <w:trHeight w:val="240"/>
        </w:trPr>
        <w:tc>
          <w:tcPr>
            <w:tcW w:w="5840" w:type="dxa"/>
            <w:gridSpan w:val="2"/>
            <w:tcBorders>
              <w:top w:val="nil"/>
              <w:left w:val="nil"/>
              <w:bottom w:val="nil"/>
              <w:right w:val="nil"/>
            </w:tcBorders>
            <w:shd w:val="clear" w:color="auto" w:fill="auto"/>
            <w:noWrap/>
            <w:vAlign w:val="center"/>
            <w:hideMark/>
          </w:tcPr>
          <w:p w14:paraId="1E9F7692" w14:textId="77777777" w:rsidR="00BC5219" w:rsidRPr="004F1470" w:rsidRDefault="00BC5219" w:rsidP="00E83802">
            <w:pPr>
              <w:rPr>
                <w:rFonts w:ascii="Meta Pro" w:eastAsia="Times New Roman" w:hAnsi="Meta Pro"/>
                <w:b/>
                <w:bCs/>
                <w:color w:val="000000"/>
                <w:szCs w:val="18"/>
                <w:lang w:eastAsia="en-AU"/>
              </w:rPr>
            </w:pPr>
            <w:r w:rsidRPr="004F1470">
              <w:rPr>
                <w:rFonts w:ascii="Meta Pro" w:eastAsia="Times New Roman" w:hAnsi="Meta Pro"/>
                <w:b/>
                <w:bCs/>
                <w:color w:val="000000"/>
                <w:szCs w:val="18"/>
                <w:lang w:eastAsia="en-AU"/>
              </w:rPr>
              <w:t>Cash flows from investing activities</w:t>
            </w:r>
          </w:p>
        </w:tc>
        <w:tc>
          <w:tcPr>
            <w:tcW w:w="28" w:type="dxa"/>
            <w:tcBorders>
              <w:top w:val="nil"/>
              <w:left w:val="nil"/>
              <w:bottom w:val="nil"/>
              <w:right w:val="nil"/>
            </w:tcBorders>
            <w:shd w:val="clear" w:color="auto" w:fill="auto"/>
            <w:noWrap/>
            <w:vAlign w:val="center"/>
            <w:hideMark/>
          </w:tcPr>
          <w:p w14:paraId="66948EFC" w14:textId="77777777" w:rsidR="00BC5219" w:rsidRPr="004F1470" w:rsidRDefault="00BC5219" w:rsidP="00E83802">
            <w:pPr>
              <w:rPr>
                <w:rFonts w:ascii="Meta Pro" w:eastAsia="Times New Roman" w:hAnsi="Meta Pro"/>
                <w:b/>
                <w:bCs/>
                <w:color w:val="000000"/>
                <w:szCs w:val="18"/>
                <w:lang w:eastAsia="en-AU"/>
              </w:rPr>
            </w:pPr>
          </w:p>
        </w:tc>
        <w:tc>
          <w:tcPr>
            <w:tcW w:w="284" w:type="dxa"/>
            <w:tcBorders>
              <w:top w:val="nil"/>
              <w:left w:val="nil"/>
              <w:bottom w:val="nil"/>
              <w:right w:val="nil"/>
            </w:tcBorders>
            <w:shd w:val="clear" w:color="auto" w:fill="auto"/>
            <w:noWrap/>
            <w:vAlign w:val="center"/>
            <w:hideMark/>
          </w:tcPr>
          <w:p w14:paraId="6C3E527B" w14:textId="77777777" w:rsidR="00BC5219" w:rsidRPr="004F1470"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2DEF18F8"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489DA54E" w14:textId="77777777" w:rsidR="00BC5219" w:rsidRPr="004F1470"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62DB788D" w14:textId="77777777" w:rsidR="00BC5219" w:rsidRPr="004F1470" w:rsidRDefault="00BC5219" w:rsidP="00E83802">
            <w:pPr>
              <w:jc w:val="right"/>
              <w:rPr>
                <w:rFonts w:ascii="Meta Pro" w:eastAsia="Times New Roman" w:hAnsi="Meta Pro" w:cs="Times New Roman"/>
                <w:sz w:val="20"/>
                <w:szCs w:val="20"/>
                <w:lang w:eastAsia="en-AU"/>
              </w:rPr>
            </w:pPr>
          </w:p>
        </w:tc>
      </w:tr>
      <w:tr w:rsidR="00BC5219" w:rsidRPr="004F1470" w14:paraId="125A8D37" w14:textId="77777777" w:rsidTr="00E83802">
        <w:trPr>
          <w:trHeight w:val="240"/>
        </w:trPr>
        <w:tc>
          <w:tcPr>
            <w:tcW w:w="216" w:type="dxa"/>
            <w:tcBorders>
              <w:top w:val="nil"/>
              <w:left w:val="nil"/>
              <w:bottom w:val="nil"/>
              <w:right w:val="nil"/>
            </w:tcBorders>
            <w:shd w:val="clear" w:color="auto" w:fill="auto"/>
            <w:noWrap/>
            <w:vAlign w:val="center"/>
            <w:hideMark/>
          </w:tcPr>
          <w:p w14:paraId="320B0209" w14:textId="77777777" w:rsidR="00BC5219" w:rsidRPr="004F1470" w:rsidRDefault="00BC5219" w:rsidP="00E83802">
            <w:pPr>
              <w:jc w:val="right"/>
              <w:rPr>
                <w:rFonts w:ascii="Meta Pro" w:eastAsia="Times New Roman" w:hAnsi="Meta Pro" w:cs="Times New Roman"/>
                <w:sz w:val="20"/>
                <w:szCs w:val="20"/>
                <w:lang w:eastAsia="en-AU"/>
              </w:rPr>
            </w:pPr>
          </w:p>
        </w:tc>
        <w:tc>
          <w:tcPr>
            <w:tcW w:w="5840" w:type="dxa"/>
            <w:tcBorders>
              <w:top w:val="nil"/>
              <w:left w:val="nil"/>
              <w:bottom w:val="nil"/>
              <w:right w:val="nil"/>
            </w:tcBorders>
            <w:shd w:val="clear" w:color="auto" w:fill="auto"/>
            <w:noWrap/>
            <w:vAlign w:val="center"/>
            <w:hideMark/>
          </w:tcPr>
          <w:p w14:paraId="6B59D461" w14:textId="77777777" w:rsidR="00BC5219" w:rsidRPr="004F1470" w:rsidRDefault="00BC5219" w:rsidP="00E83802">
            <w:pPr>
              <w:rPr>
                <w:rFonts w:ascii="Meta Pro" w:eastAsia="Times New Roman" w:hAnsi="Meta Pro"/>
                <w:i/>
                <w:iCs/>
                <w:color w:val="000000"/>
                <w:szCs w:val="18"/>
                <w:lang w:eastAsia="en-AU"/>
              </w:rPr>
            </w:pPr>
            <w:r w:rsidRPr="004F1470">
              <w:rPr>
                <w:rFonts w:ascii="Meta Pro" w:eastAsia="Times New Roman" w:hAnsi="Meta Pro"/>
                <w:i/>
                <w:iCs/>
                <w:color w:val="000000"/>
                <w:szCs w:val="18"/>
                <w:lang w:eastAsia="en-AU"/>
              </w:rPr>
              <w:t>Inflows:</w:t>
            </w:r>
          </w:p>
        </w:tc>
        <w:tc>
          <w:tcPr>
            <w:tcW w:w="28" w:type="dxa"/>
            <w:tcBorders>
              <w:top w:val="nil"/>
              <w:left w:val="nil"/>
              <w:bottom w:val="nil"/>
              <w:right w:val="nil"/>
            </w:tcBorders>
            <w:shd w:val="clear" w:color="auto" w:fill="auto"/>
            <w:noWrap/>
            <w:vAlign w:val="center"/>
            <w:hideMark/>
          </w:tcPr>
          <w:p w14:paraId="70358785" w14:textId="77777777" w:rsidR="00BC5219" w:rsidRPr="004F1470" w:rsidRDefault="00BC5219" w:rsidP="00E83802">
            <w:pPr>
              <w:rPr>
                <w:rFonts w:ascii="Meta Pro" w:eastAsia="Times New Roman" w:hAnsi="Meta Pro"/>
                <w:i/>
                <w:iCs/>
                <w:color w:val="000000"/>
                <w:szCs w:val="18"/>
                <w:lang w:eastAsia="en-AU"/>
              </w:rPr>
            </w:pPr>
          </w:p>
        </w:tc>
        <w:tc>
          <w:tcPr>
            <w:tcW w:w="284" w:type="dxa"/>
            <w:tcBorders>
              <w:top w:val="nil"/>
              <w:left w:val="nil"/>
              <w:bottom w:val="nil"/>
              <w:right w:val="nil"/>
            </w:tcBorders>
            <w:shd w:val="clear" w:color="auto" w:fill="auto"/>
            <w:noWrap/>
            <w:vAlign w:val="center"/>
            <w:hideMark/>
          </w:tcPr>
          <w:p w14:paraId="509CE3F0" w14:textId="77777777" w:rsidR="00BC5219" w:rsidRPr="004F1470"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2DE15A4F"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395266A9" w14:textId="77777777" w:rsidR="00BC5219" w:rsidRPr="004F1470"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293932B2" w14:textId="77777777" w:rsidR="00BC5219" w:rsidRPr="004F1470" w:rsidRDefault="00BC5219" w:rsidP="00E83802">
            <w:pPr>
              <w:jc w:val="right"/>
              <w:rPr>
                <w:rFonts w:ascii="Meta Pro" w:eastAsia="Times New Roman" w:hAnsi="Meta Pro" w:cs="Times New Roman"/>
                <w:sz w:val="20"/>
                <w:szCs w:val="20"/>
                <w:lang w:eastAsia="en-AU"/>
              </w:rPr>
            </w:pPr>
          </w:p>
        </w:tc>
      </w:tr>
      <w:tr w:rsidR="00BC5219" w:rsidRPr="004F1470" w14:paraId="0F06FBEC" w14:textId="77777777" w:rsidTr="00E83802">
        <w:trPr>
          <w:trHeight w:val="240"/>
        </w:trPr>
        <w:tc>
          <w:tcPr>
            <w:tcW w:w="216" w:type="dxa"/>
            <w:tcBorders>
              <w:top w:val="nil"/>
              <w:left w:val="nil"/>
              <w:bottom w:val="nil"/>
              <w:right w:val="nil"/>
            </w:tcBorders>
            <w:shd w:val="clear" w:color="auto" w:fill="auto"/>
            <w:noWrap/>
            <w:vAlign w:val="center"/>
            <w:hideMark/>
          </w:tcPr>
          <w:p w14:paraId="36E83373" w14:textId="77777777" w:rsidR="00BC5219" w:rsidRPr="004F1470" w:rsidRDefault="00BC5219" w:rsidP="00E83802">
            <w:pPr>
              <w:jc w:val="right"/>
              <w:rPr>
                <w:rFonts w:ascii="Meta Pro" w:eastAsia="Times New Roman" w:hAnsi="Meta Pro" w:cs="Times New Roman"/>
                <w:sz w:val="20"/>
                <w:szCs w:val="20"/>
                <w:lang w:eastAsia="en-AU"/>
              </w:rPr>
            </w:pPr>
          </w:p>
        </w:tc>
        <w:tc>
          <w:tcPr>
            <w:tcW w:w="5840" w:type="dxa"/>
            <w:tcBorders>
              <w:top w:val="nil"/>
              <w:left w:val="nil"/>
              <w:bottom w:val="nil"/>
              <w:right w:val="nil"/>
            </w:tcBorders>
            <w:shd w:val="clear" w:color="auto" w:fill="auto"/>
            <w:noWrap/>
            <w:vAlign w:val="center"/>
            <w:hideMark/>
          </w:tcPr>
          <w:p w14:paraId="050A8CA9" w14:textId="77777777" w:rsidR="00BC5219" w:rsidRPr="004F1470" w:rsidRDefault="00BC5219" w:rsidP="00E83802">
            <w:pPr>
              <w:rPr>
                <w:rFonts w:ascii="Meta Pro" w:eastAsia="Times New Roman" w:hAnsi="Meta Pro"/>
                <w:color w:val="000000"/>
                <w:szCs w:val="18"/>
                <w:lang w:eastAsia="en-AU"/>
              </w:rPr>
            </w:pPr>
            <w:r w:rsidRPr="004F1470">
              <w:rPr>
                <w:rFonts w:ascii="Meta Pro" w:eastAsia="Times New Roman" w:hAnsi="Meta Pro"/>
                <w:color w:val="000000"/>
                <w:szCs w:val="18"/>
                <w:lang w:eastAsia="en-AU"/>
              </w:rPr>
              <w:t>Sales of property, plant and equipment</w:t>
            </w:r>
          </w:p>
        </w:tc>
        <w:tc>
          <w:tcPr>
            <w:tcW w:w="28" w:type="dxa"/>
            <w:tcBorders>
              <w:top w:val="nil"/>
              <w:left w:val="nil"/>
              <w:bottom w:val="nil"/>
              <w:right w:val="nil"/>
            </w:tcBorders>
            <w:shd w:val="clear" w:color="auto" w:fill="auto"/>
            <w:noWrap/>
            <w:vAlign w:val="center"/>
            <w:hideMark/>
          </w:tcPr>
          <w:p w14:paraId="00C2E69F" w14:textId="77777777" w:rsidR="00BC5219" w:rsidRPr="004F1470" w:rsidRDefault="00BC5219" w:rsidP="00E83802">
            <w:pPr>
              <w:rPr>
                <w:rFonts w:ascii="Meta Pro" w:eastAsia="Times New Roman" w:hAnsi="Meta Pro"/>
                <w:color w:val="000000"/>
                <w:szCs w:val="18"/>
                <w:lang w:eastAsia="en-AU"/>
              </w:rPr>
            </w:pPr>
          </w:p>
        </w:tc>
        <w:tc>
          <w:tcPr>
            <w:tcW w:w="284" w:type="dxa"/>
            <w:tcBorders>
              <w:top w:val="nil"/>
              <w:left w:val="nil"/>
              <w:bottom w:val="nil"/>
              <w:right w:val="nil"/>
            </w:tcBorders>
            <w:shd w:val="clear" w:color="auto" w:fill="auto"/>
            <w:noWrap/>
            <w:vAlign w:val="center"/>
            <w:hideMark/>
          </w:tcPr>
          <w:p w14:paraId="50161037" w14:textId="77777777" w:rsidR="00BC5219" w:rsidRPr="004F1470"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7978FF7F"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 xml:space="preserve">6,286 </w:t>
            </w:r>
          </w:p>
        </w:tc>
        <w:tc>
          <w:tcPr>
            <w:tcW w:w="216" w:type="dxa"/>
            <w:tcBorders>
              <w:top w:val="nil"/>
              <w:left w:val="nil"/>
              <w:bottom w:val="nil"/>
              <w:right w:val="nil"/>
            </w:tcBorders>
            <w:shd w:val="clear" w:color="auto" w:fill="auto"/>
            <w:noWrap/>
            <w:vAlign w:val="center"/>
            <w:hideMark/>
          </w:tcPr>
          <w:p w14:paraId="31EE978F" w14:textId="77777777" w:rsidR="00BC5219" w:rsidRPr="004F1470"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29391C7F"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 xml:space="preserve">                    18,878 </w:t>
            </w:r>
          </w:p>
        </w:tc>
      </w:tr>
      <w:tr w:rsidR="00BC5219" w:rsidRPr="004F1470" w14:paraId="07BB2974" w14:textId="77777777" w:rsidTr="00E83802">
        <w:trPr>
          <w:trHeight w:val="240"/>
        </w:trPr>
        <w:tc>
          <w:tcPr>
            <w:tcW w:w="216" w:type="dxa"/>
            <w:tcBorders>
              <w:top w:val="nil"/>
              <w:left w:val="nil"/>
              <w:bottom w:val="nil"/>
              <w:right w:val="nil"/>
            </w:tcBorders>
            <w:shd w:val="clear" w:color="auto" w:fill="auto"/>
            <w:noWrap/>
            <w:vAlign w:val="center"/>
            <w:hideMark/>
          </w:tcPr>
          <w:p w14:paraId="19FB40AA" w14:textId="77777777" w:rsidR="00BC5219" w:rsidRPr="004F1470" w:rsidRDefault="00BC5219" w:rsidP="00E83802">
            <w:pPr>
              <w:jc w:val="right"/>
              <w:rPr>
                <w:rFonts w:ascii="Meta Pro" w:eastAsia="Times New Roman" w:hAnsi="Meta Pro"/>
                <w:color w:val="000000"/>
                <w:szCs w:val="18"/>
                <w:lang w:eastAsia="en-AU"/>
              </w:rPr>
            </w:pPr>
          </w:p>
        </w:tc>
        <w:tc>
          <w:tcPr>
            <w:tcW w:w="5840" w:type="dxa"/>
            <w:tcBorders>
              <w:top w:val="nil"/>
              <w:left w:val="nil"/>
              <w:bottom w:val="nil"/>
              <w:right w:val="nil"/>
            </w:tcBorders>
            <w:shd w:val="clear" w:color="auto" w:fill="auto"/>
            <w:noWrap/>
            <w:vAlign w:val="center"/>
            <w:hideMark/>
          </w:tcPr>
          <w:p w14:paraId="56EC6883" w14:textId="77777777" w:rsidR="00BC5219" w:rsidRPr="004F1470" w:rsidRDefault="00BC5219" w:rsidP="00E83802">
            <w:pPr>
              <w:rPr>
                <w:rFonts w:ascii="Meta Pro" w:eastAsia="Times New Roman" w:hAnsi="Meta Pro"/>
                <w:i/>
                <w:iCs/>
                <w:color w:val="000000"/>
                <w:szCs w:val="18"/>
                <w:lang w:eastAsia="en-AU"/>
              </w:rPr>
            </w:pPr>
            <w:r w:rsidRPr="004F1470">
              <w:rPr>
                <w:rFonts w:ascii="Meta Pro" w:eastAsia="Times New Roman" w:hAnsi="Meta Pro"/>
                <w:i/>
                <w:iCs/>
                <w:color w:val="000000"/>
                <w:szCs w:val="18"/>
                <w:lang w:eastAsia="en-AU"/>
              </w:rPr>
              <w:t>Outflows:</w:t>
            </w:r>
          </w:p>
        </w:tc>
        <w:tc>
          <w:tcPr>
            <w:tcW w:w="28" w:type="dxa"/>
            <w:tcBorders>
              <w:top w:val="nil"/>
              <w:left w:val="nil"/>
              <w:bottom w:val="nil"/>
              <w:right w:val="nil"/>
            </w:tcBorders>
            <w:shd w:val="clear" w:color="auto" w:fill="auto"/>
            <w:noWrap/>
            <w:vAlign w:val="center"/>
            <w:hideMark/>
          </w:tcPr>
          <w:p w14:paraId="4672509E" w14:textId="77777777" w:rsidR="00BC5219" w:rsidRPr="004F1470" w:rsidRDefault="00BC5219" w:rsidP="00E83802">
            <w:pPr>
              <w:rPr>
                <w:rFonts w:ascii="Meta Pro" w:eastAsia="Times New Roman" w:hAnsi="Meta Pro"/>
                <w:i/>
                <w:iCs/>
                <w:color w:val="000000"/>
                <w:szCs w:val="18"/>
                <w:lang w:eastAsia="en-AU"/>
              </w:rPr>
            </w:pPr>
          </w:p>
        </w:tc>
        <w:tc>
          <w:tcPr>
            <w:tcW w:w="284" w:type="dxa"/>
            <w:tcBorders>
              <w:top w:val="nil"/>
              <w:left w:val="nil"/>
              <w:bottom w:val="nil"/>
              <w:right w:val="nil"/>
            </w:tcBorders>
            <w:shd w:val="clear" w:color="auto" w:fill="auto"/>
            <w:noWrap/>
            <w:vAlign w:val="center"/>
            <w:hideMark/>
          </w:tcPr>
          <w:p w14:paraId="2A8B8DE0" w14:textId="77777777" w:rsidR="00BC5219" w:rsidRPr="004F1470"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46CE80FF"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7B37A06F" w14:textId="77777777" w:rsidR="00BC5219" w:rsidRPr="004F1470"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2012AE73" w14:textId="77777777" w:rsidR="00BC5219" w:rsidRPr="004F1470" w:rsidRDefault="00BC5219" w:rsidP="00E83802">
            <w:pPr>
              <w:jc w:val="right"/>
              <w:rPr>
                <w:rFonts w:ascii="Meta Pro" w:eastAsia="Times New Roman" w:hAnsi="Meta Pro" w:cs="Times New Roman"/>
                <w:sz w:val="20"/>
                <w:szCs w:val="20"/>
                <w:lang w:eastAsia="en-AU"/>
              </w:rPr>
            </w:pPr>
          </w:p>
        </w:tc>
      </w:tr>
      <w:tr w:rsidR="00BC5219" w:rsidRPr="004F1470" w14:paraId="59174EFB" w14:textId="77777777" w:rsidTr="00E83802">
        <w:trPr>
          <w:trHeight w:val="240"/>
        </w:trPr>
        <w:tc>
          <w:tcPr>
            <w:tcW w:w="216" w:type="dxa"/>
            <w:tcBorders>
              <w:top w:val="nil"/>
              <w:left w:val="nil"/>
              <w:bottom w:val="nil"/>
              <w:right w:val="nil"/>
            </w:tcBorders>
            <w:shd w:val="clear" w:color="auto" w:fill="auto"/>
            <w:noWrap/>
            <w:vAlign w:val="center"/>
            <w:hideMark/>
          </w:tcPr>
          <w:p w14:paraId="3231F90B" w14:textId="77777777" w:rsidR="00BC5219" w:rsidRPr="004F1470" w:rsidRDefault="00BC5219" w:rsidP="00E83802">
            <w:pPr>
              <w:jc w:val="right"/>
              <w:rPr>
                <w:rFonts w:ascii="Meta Pro" w:eastAsia="Times New Roman" w:hAnsi="Meta Pro" w:cs="Times New Roman"/>
                <w:sz w:val="20"/>
                <w:szCs w:val="20"/>
                <w:lang w:eastAsia="en-AU"/>
              </w:rPr>
            </w:pPr>
          </w:p>
        </w:tc>
        <w:tc>
          <w:tcPr>
            <w:tcW w:w="5840" w:type="dxa"/>
            <w:tcBorders>
              <w:top w:val="nil"/>
              <w:left w:val="nil"/>
              <w:bottom w:val="nil"/>
              <w:right w:val="nil"/>
            </w:tcBorders>
            <w:shd w:val="clear" w:color="auto" w:fill="auto"/>
            <w:noWrap/>
            <w:vAlign w:val="center"/>
            <w:hideMark/>
          </w:tcPr>
          <w:p w14:paraId="422BF3C9" w14:textId="77777777" w:rsidR="00BC5219" w:rsidRPr="004F1470" w:rsidRDefault="00BC5219" w:rsidP="00E83802">
            <w:pPr>
              <w:rPr>
                <w:rFonts w:ascii="Meta Pro" w:eastAsia="Times New Roman" w:hAnsi="Meta Pro"/>
                <w:color w:val="000000"/>
                <w:szCs w:val="18"/>
                <w:lang w:eastAsia="en-AU"/>
              </w:rPr>
            </w:pPr>
            <w:r w:rsidRPr="004F1470">
              <w:rPr>
                <w:rFonts w:ascii="Meta Pro" w:eastAsia="Times New Roman" w:hAnsi="Meta Pro"/>
                <w:color w:val="000000"/>
                <w:szCs w:val="18"/>
                <w:lang w:eastAsia="en-AU"/>
              </w:rPr>
              <w:t>Payments for property, plant and equipment</w:t>
            </w:r>
          </w:p>
        </w:tc>
        <w:tc>
          <w:tcPr>
            <w:tcW w:w="28" w:type="dxa"/>
            <w:tcBorders>
              <w:top w:val="nil"/>
              <w:left w:val="nil"/>
              <w:bottom w:val="nil"/>
              <w:right w:val="nil"/>
            </w:tcBorders>
            <w:shd w:val="clear" w:color="auto" w:fill="auto"/>
            <w:noWrap/>
            <w:vAlign w:val="center"/>
            <w:hideMark/>
          </w:tcPr>
          <w:p w14:paraId="2B34493A" w14:textId="77777777" w:rsidR="00BC5219" w:rsidRPr="004F1470" w:rsidRDefault="00BC5219" w:rsidP="00E83802">
            <w:pPr>
              <w:rPr>
                <w:rFonts w:ascii="Meta Pro" w:eastAsia="Times New Roman" w:hAnsi="Meta Pro"/>
                <w:color w:val="000000"/>
                <w:szCs w:val="18"/>
                <w:lang w:eastAsia="en-AU"/>
              </w:rPr>
            </w:pPr>
          </w:p>
        </w:tc>
        <w:tc>
          <w:tcPr>
            <w:tcW w:w="284" w:type="dxa"/>
            <w:tcBorders>
              <w:top w:val="nil"/>
              <w:left w:val="nil"/>
              <w:bottom w:val="nil"/>
              <w:right w:val="nil"/>
            </w:tcBorders>
            <w:shd w:val="clear" w:color="auto" w:fill="auto"/>
            <w:noWrap/>
            <w:vAlign w:val="center"/>
            <w:hideMark/>
          </w:tcPr>
          <w:p w14:paraId="0FE9FC6E" w14:textId="77777777" w:rsidR="00BC5219" w:rsidRPr="004F1470"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1E85D0F2"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(4,753,026)</w:t>
            </w:r>
          </w:p>
        </w:tc>
        <w:tc>
          <w:tcPr>
            <w:tcW w:w="216" w:type="dxa"/>
            <w:tcBorders>
              <w:top w:val="nil"/>
              <w:left w:val="nil"/>
              <w:bottom w:val="nil"/>
              <w:right w:val="nil"/>
            </w:tcBorders>
            <w:shd w:val="clear" w:color="auto" w:fill="auto"/>
            <w:noWrap/>
            <w:vAlign w:val="center"/>
            <w:hideMark/>
          </w:tcPr>
          <w:p w14:paraId="0EAD843F" w14:textId="77777777" w:rsidR="00BC5219" w:rsidRPr="004F1470"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31B71E6F"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 xml:space="preserve">           (4,077,969)</w:t>
            </w:r>
          </w:p>
        </w:tc>
      </w:tr>
      <w:tr w:rsidR="00BC5219" w:rsidRPr="004F1470" w14:paraId="40F6B143" w14:textId="77777777" w:rsidTr="00E83802">
        <w:trPr>
          <w:trHeight w:val="240"/>
        </w:trPr>
        <w:tc>
          <w:tcPr>
            <w:tcW w:w="216" w:type="dxa"/>
            <w:tcBorders>
              <w:top w:val="nil"/>
              <w:left w:val="nil"/>
              <w:bottom w:val="nil"/>
              <w:right w:val="nil"/>
            </w:tcBorders>
            <w:shd w:val="clear" w:color="auto" w:fill="auto"/>
            <w:noWrap/>
            <w:vAlign w:val="center"/>
            <w:hideMark/>
          </w:tcPr>
          <w:p w14:paraId="6E3DD809" w14:textId="77777777" w:rsidR="00BC5219" w:rsidRPr="004F1470" w:rsidRDefault="00BC5219" w:rsidP="00E83802">
            <w:pPr>
              <w:jc w:val="right"/>
              <w:rPr>
                <w:rFonts w:ascii="Meta Pro" w:eastAsia="Times New Roman" w:hAnsi="Meta Pro"/>
                <w:color w:val="000000"/>
                <w:szCs w:val="18"/>
                <w:lang w:eastAsia="en-AU"/>
              </w:rPr>
            </w:pPr>
          </w:p>
        </w:tc>
        <w:tc>
          <w:tcPr>
            <w:tcW w:w="5840" w:type="dxa"/>
            <w:tcBorders>
              <w:top w:val="nil"/>
              <w:left w:val="nil"/>
              <w:bottom w:val="nil"/>
              <w:right w:val="nil"/>
            </w:tcBorders>
            <w:shd w:val="clear" w:color="auto" w:fill="auto"/>
            <w:noWrap/>
            <w:vAlign w:val="center"/>
            <w:hideMark/>
          </w:tcPr>
          <w:p w14:paraId="5595BDD7" w14:textId="77777777" w:rsidR="00BC5219" w:rsidRPr="004F1470" w:rsidRDefault="00BC5219" w:rsidP="00E83802">
            <w:pPr>
              <w:rPr>
                <w:rFonts w:ascii="Meta Pro" w:eastAsia="Times New Roman" w:hAnsi="Meta Pro"/>
                <w:color w:val="000000"/>
                <w:szCs w:val="18"/>
                <w:lang w:eastAsia="en-AU"/>
              </w:rPr>
            </w:pPr>
            <w:r w:rsidRPr="004F1470">
              <w:rPr>
                <w:rFonts w:ascii="Meta Pro" w:eastAsia="Times New Roman" w:hAnsi="Meta Pro"/>
                <w:color w:val="000000"/>
                <w:szCs w:val="18"/>
                <w:lang w:eastAsia="en-AU"/>
              </w:rPr>
              <w:t>Payments for intangibles</w:t>
            </w:r>
          </w:p>
        </w:tc>
        <w:tc>
          <w:tcPr>
            <w:tcW w:w="28" w:type="dxa"/>
            <w:tcBorders>
              <w:top w:val="nil"/>
              <w:left w:val="nil"/>
              <w:bottom w:val="nil"/>
              <w:right w:val="nil"/>
            </w:tcBorders>
            <w:shd w:val="clear" w:color="auto" w:fill="auto"/>
            <w:noWrap/>
            <w:vAlign w:val="center"/>
            <w:hideMark/>
          </w:tcPr>
          <w:p w14:paraId="6CA0C296" w14:textId="77777777" w:rsidR="00BC5219" w:rsidRPr="004F1470" w:rsidRDefault="00BC5219" w:rsidP="00E83802">
            <w:pPr>
              <w:rPr>
                <w:rFonts w:ascii="Meta Pro" w:eastAsia="Times New Roman" w:hAnsi="Meta Pro"/>
                <w:color w:val="000000"/>
                <w:szCs w:val="18"/>
                <w:lang w:eastAsia="en-AU"/>
              </w:rPr>
            </w:pPr>
          </w:p>
        </w:tc>
        <w:tc>
          <w:tcPr>
            <w:tcW w:w="284" w:type="dxa"/>
            <w:tcBorders>
              <w:top w:val="nil"/>
              <w:left w:val="nil"/>
              <w:bottom w:val="nil"/>
              <w:right w:val="nil"/>
            </w:tcBorders>
            <w:shd w:val="clear" w:color="auto" w:fill="auto"/>
            <w:noWrap/>
            <w:vAlign w:val="center"/>
            <w:hideMark/>
          </w:tcPr>
          <w:p w14:paraId="6E55DA64" w14:textId="77777777" w:rsidR="00BC5219" w:rsidRPr="004F1470"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6EA82FBA"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(22,756)</w:t>
            </w:r>
          </w:p>
        </w:tc>
        <w:tc>
          <w:tcPr>
            <w:tcW w:w="216" w:type="dxa"/>
            <w:tcBorders>
              <w:top w:val="nil"/>
              <w:left w:val="nil"/>
              <w:bottom w:val="nil"/>
              <w:right w:val="nil"/>
            </w:tcBorders>
            <w:shd w:val="clear" w:color="auto" w:fill="auto"/>
            <w:noWrap/>
            <w:vAlign w:val="center"/>
            <w:hideMark/>
          </w:tcPr>
          <w:p w14:paraId="453BE715" w14:textId="77777777" w:rsidR="00BC5219" w:rsidRPr="004F1470"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261CFBDA"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 xml:space="preserve">                  (17,912)</w:t>
            </w:r>
          </w:p>
        </w:tc>
      </w:tr>
      <w:tr w:rsidR="00BC5219" w:rsidRPr="004F1470" w14:paraId="19CD5F91" w14:textId="77777777" w:rsidTr="00E83802">
        <w:trPr>
          <w:trHeight w:val="240"/>
        </w:trPr>
        <w:tc>
          <w:tcPr>
            <w:tcW w:w="216" w:type="dxa"/>
            <w:tcBorders>
              <w:top w:val="nil"/>
              <w:left w:val="nil"/>
              <w:bottom w:val="nil"/>
              <w:right w:val="nil"/>
            </w:tcBorders>
            <w:shd w:val="clear" w:color="auto" w:fill="auto"/>
            <w:noWrap/>
            <w:vAlign w:val="center"/>
            <w:hideMark/>
          </w:tcPr>
          <w:p w14:paraId="52FB33BA" w14:textId="77777777" w:rsidR="00BC5219" w:rsidRPr="004F1470" w:rsidRDefault="00BC5219" w:rsidP="00E83802">
            <w:pPr>
              <w:jc w:val="right"/>
              <w:rPr>
                <w:rFonts w:ascii="Meta Pro" w:eastAsia="Times New Roman" w:hAnsi="Meta Pro"/>
                <w:color w:val="000000"/>
                <w:szCs w:val="18"/>
                <w:lang w:eastAsia="en-AU"/>
              </w:rPr>
            </w:pPr>
          </w:p>
        </w:tc>
        <w:tc>
          <w:tcPr>
            <w:tcW w:w="5840" w:type="dxa"/>
            <w:tcBorders>
              <w:top w:val="nil"/>
              <w:left w:val="nil"/>
              <w:bottom w:val="nil"/>
              <w:right w:val="nil"/>
            </w:tcBorders>
            <w:shd w:val="clear" w:color="auto" w:fill="auto"/>
            <w:noWrap/>
            <w:vAlign w:val="center"/>
            <w:hideMark/>
          </w:tcPr>
          <w:p w14:paraId="09FC3EFD" w14:textId="77777777" w:rsidR="00BC5219" w:rsidRPr="004F1470" w:rsidRDefault="00BC5219" w:rsidP="00E83802">
            <w:pPr>
              <w:rPr>
                <w:rFonts w:ascii="Meta Pro" w:eastAsia="Times New Roman" w:hAnsi="Meta Pro"/>
                <w:color w:val="000000"/>
                <w:szCs w:val="18"/>
                <w:lang w:eastAsia="en-AU"/>
              </w:rPr>
            </w:pPr>
            <w:r w:rsidRPr="004F1470">
              <w:rPr>
                <w:rFonts w:ascii="Meta Pro" w:eastAsia="Times New Roman" w:hAnsi="Meta Pro"/>
                <w:color w:val="000000"/>
                <w:szCs w:val="18"/>
                <w:lang w:eastAsia="en-AU"/>
              </w:rPr>
              <w:t>Payment for investment in subsidiary</w:t>
            </w:r>
          </w:p>
        </w:tc>
        <w:tc>
          <w:tcPr>
            <w:tcW w:w="28" w:type="dxa"/>
            <w:tcBorders>
              <w:top w:val="nil"/>
              <w:left w:val="nil"/>
              <w:bottom w:val="single" w:sz="4" w:space="0" w:color="auto"/>
              <w:right w:val="nil"/>
            </w:tcBorders>
            <w:shd w:val="clear" w:color="auto" w:fill="auto"/>
            <w:noWrap/>
            <w:vAlign w:val="center"/>
            <w:hideMark/>
          </w:tcPr>
          <w:p w14:paraId="2D093046" w14:textId="77777777" w:rsidR="00BC5219" w:rsidRPr="004F1470" w:rsidRDefault="00BC5219" w:rsidP="00E83802">
            <w:pPr>
              <w:jc w:val="center"/>
              <w:rPr>
                <w:rFonts w:ascii="Meta Pro" w:eastAsia="Times New Roman" w:hAnsi="Meta Pro"/>
                <w:color w:val="000000"/>
                <w:sz w:val="20"/>
                <w:szCs w:val="20"/>
                <w:lang w:eastAsia="en-AU"/>
              </w:rPr>
            </w:pPr>
            <w:r w:rsidRPr="004F1470">
              <w:rPr>
                <w:rFonts w:ascii="Meta Pro" w:eastAsia="Times New Roman" w:hAnsi="Meta Pro"/>
                <w:color w:val="000000"/>
                <w:sz w:val="20"/>
                <w:szCs w:val="20"/>
                <w:lang w:eastAsia="en-AU"/>
              </w:rPr>
              <w:t> </w:t>
            </w:r>
          </w:p>
        </w:tc>
        <w:tc>
          <w:tcPr>
            <w:tcW w:w="284" w:type="dxa"/>
            <w:tcBorders>
              <w:top w:val="nil"/>
              <w:left w:val="nil"/>
              <w:bottom w:val="nil"/>
              <w:right w:val="nil"/>
            </w:tcBorders>
            <w:shd w:val="clear" w:color="auto" w:fill="auto"/>
            <w:noWrap/>
            <w:vAlign w:val="center"/>
            <w:hideMark/>
          </w:tcPr>
          <w:p w14:paraId="548DC864" w14:textId="77777777" w:rsidR="00BC5219" w:rsidRPr="004F1470" w:rsidRDefault="00BC5219" w:rsidP="00E83802">
            <w:pPr>
              <w:jc w:val="center"/>
              <w:rPr>
                <w:rFonts w:ascii="Meta Pro" w:eastAsia="Times New Roman" w:hAnsi="Meta Pro"/>
                <w:color w:val="000000"/>
                <w:sz w:val="20"/>
                <w:szCs w:val="20"/>
                <w:lang w:eastAsia="en-AU"/>
              </w:rPr>
            </w:pPr>
          </w:p>
        </w:tc>
        <w:tc>
          <w:tcPr>
            <w:tcW w:w="1514" w:type="dxa"/>
            <w:tcBorders>
              <w:top w:val="nil"/>
              <w:left w:val="nil"/>
              <w:bottom w:val="nil"/>
              <w:right w:val="nil"/>
            </w:tcBorders>
            <w:shd w:val="clear" w:color="000000" w:fill="C9E3B4"/>
            <w:noWrap/>
            <w:vAlign w:val="center"/>
            <w:hideMark/>
          </w:tcPr>
          <w:p w14:paraId="5E4D91CC"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(10,000)</w:t>
            </w:r>
          </w:p>
        </w:tc>
        <w:tc>
          <w:tcPr>
            <w:tcW w:w="216" w:type="dxa"/>
            <w:tcBorders>
              <w:top w:val="nil"/>
              <w:left w:val="nil"/>
              <w:bottom w:val="nil"/>
              <w:right w:val="nil"/>
            </w:tcBorders>
            <w:shd w:val="clear" w:color="auto" w:fill="auto"/>
            <w:noWrap/>
            <w:vAlign w:val="center"/>
            <w:hideMark/>
          </w:tcPr>
          <w:p w14:paraId="60DF2768" w14:textId="77777777" w:rsidR="00BC5219" w:rsidRPr="004F1470"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6BF7BAFD" w14:textId="77777777" w:rsidR="00BC5219" w:rsidRPr="004F1470" w:rsidRDefault="00BC5219" w:rsidP="00E83802">
            <w:pPr>
              <w:jc w:val="right"/>
              <w:rPr>
                <w:rFonts w:ascii="Meta Pro" w:eastAsia="Times New Roman" w:hAnsi="Meta Pro"/>
                <w:szCs w:val="18"/>
                <w:lang w:eastAsia="en-AU"/>
              </w:rPr>
            </w:pPr>
            <w:r w:rsidRPr="004F1470">
              <w:rPr>
                <w:rFonts w:ascii="Meta Pro" w:eastAsia="Times New Roman" w:hAnsi="Meta Pro"/>
                <w:szCs w:val="18"/>
                <w:lang w:eastAsia="en-AU"/>
              </w:rPr>
              <w:t xml:space="preserve">- </w:t>
            </w:r>
          </w:p>
        </w:tc>
      </w:tr>
      <w:tr w:rsidR="00BC5219" w:rsidRPr="004F1470" w14:paraId="3E3BF5E9" w14:textId="77777777" w:rsidTr="00E83802">
        <w:trPr>
          <w:trHeight w:val="240"/>
        </w:trPr>
        <w:tc>
          <w:tcPr>
            <w:tcW w:w="5840" w:type="dxa"/>
            <w:gridSpan w:val="2"/>
            <w:tcBorders>
              <w:top w:val="single" w:sz="4" w:space="0" w:color="auto"/>
              <w:left w:val="nil"/>
              <w:bottom w:val="nil"/>
              <w:right w:val="nil"/>
            </w:tcBorders>
            <w:shd w:val="clear" w:color="auto" w:fill="auto"/>
            <w:noWrap/>
            <w:vAlign w:val="center"/>
            <w:hideMark/>
          </w:tcPr>
          <w:p w14:paraId="76D807A1" w14:textId="77777777" w:rsidR="00BC5219" w:rsidRPr="004F1470" w:rsidRDefault="00BC5219" w:rsidP="00E83802">
            <w:pPr>
              <w:rPr>
                <w:rFonts w:ascii="Meta Pro" w:eastAsia="Times New Roman" w:hAnsi="Meta Pro"/>
                <w:b/>
                <w:bCs/>
                <w:color w:val="000000"/>
                <w:szCs w:val="18"/>
                <w:lang w:eastAsia="en-AU"/>
              </w:rPr>
            </w:pPr>
            <w:r w:rsidRPr="004F1470">
              <w:rPr>
                <w:rFonts w:ascii="Meta Pro" w:eastAsia="Times New Roman" w:hAnsi="Meta Pro"/>
                <w:b/>
                <w:bCs/>
                <w:color w:val="000000"/>
                <w:szCs w:val="18"/>
                <w:lang w:eastAsia="en-AU"/>
              </w:rPr>
              <w:t>Net cash used in investing activities</w:t>
            </w:r>
          </w:p>
        </w:tc>
        <w:tc>
          <w:tcPr>
            <w:tcW w:w="28" w:type="dxa"/>
            <w:tcBorders>
              <w:top w:val="nil"/>
              <w:left w:val="nil"/>
              <w:bottom w:val="nil"/>
              <w:right w:val="nil"/>
            </w:tcBorders>
            <w:shd w:val="clear" w:color="auto" w:fill="auto"/>
            <w:noWrap/>
            <w:vAlign w:val="center"/>
            <w:hideMark/>
          </w:tcPr>
          <w:p w14:paraId="58A9900A" w14:textId="77777777" w:rsidR="00BC5219" w:rsidRPr="004F1470" w:rsidRDefault="00BC5219" w:rsidP="00E83802">
            <w:pPr>
              <w:rPr>
                <w:rFonts w:ascii="Meta Pro" w:eastAsia="Times New Roman" w:hAnsi="Meta Pro"/>
                <w:b/>
                <w:bCs/>
                <w:color w:val="000000"/>
                <w:szCs w:val="18"/>
                <w:lang w:eastAsia="en-AU"/>
              </w:rPr>
            </w:pPr>
          </w:p>
        </w:tc>
        <w:tc>
          <w:tcPr>
            <w:tcW w:w="284" w:type="dxa"/>
            <w:tcBorders>
              <w:top w:val="single" w:sz="4" w:space="0" w:color="auto"/>
              <w:left w:val="nil"/>
              <w:bottom w:val="nil"/>
              <w:right w:val="nil"/>
            </w:tcBorders>
            <w:shd w:val="clear" w:color="auto" w:fill="auto"/>
            <w:noWrap/>
            <w:vAlign w:val="center"/>
            <w:hideMark/>
          </w:tcPr>
          <w:p w14:paraId="7C07C6D7" w14:textId="77777777" w:rsidR="00BC5219" w:rsidRPr="004F1470" w:rsidRDefault="00BC5219" w:rsidP="00E83802">
            <w:pPr>
              <w:rPr>
                <w:rFonts w:ascii="Meta Pro" w:eastAsia="Times New Roman" w:hAnsi="Meta Pro"/>
                <w:b/>
                <w:bCs/>
                <w:color w:val="FF0000"/>
                <w:szCs w:val="18"/>
                <w:lang w:eastAsia="en-AU"/>
              </w:rPr>
            </w:pPr>
            <w:r w:rsidRPr="004F1470">
              <w:rPr>
                <w:rFonts w:ascii="Meta Pro" w:eastAsia="Times New Roman" w:hAnsi="Meta Pro"/>
                <w:b/>
                <w:bCs/>
                <w:color w:val="FF0000"/>
                <w:szCs w:val="18"/>
                <w:lang w:eastAsia="en-AU"/>
              </w:rPr>
              <w:t> </w:t>
            </w:r>
          </w:p>
        </w:tc>
        <w:tc>
          <w:tcPr>
            <w:tcW w:w="1514" w:type="dxa"/>
            <w:tcBorders>
              <w:top w:val="single" w:sz="4" w:space="0" w:color="auto"/>
              <w:left w:val="nil"/>
              <w:bottom w:val="nil"/>
              <w:right w:val="nil"/>
            </w:tcBorders>
            <w:shd w:val="clear" w:color="000000" w:fill="C9E3B4"/>
            <w:noWrap/>
            <w:vAlign w:val="center"/>
            <w:hideMark/>
          </w:tcPr>
          <w:p w14:paraId="516425EF" w14:textId="77777777" w:rsidR="00BC5219" w:rsidRPr="004F1470" w:rsidRDefault="00BC5219" w:rsidP="00E83802">
            <w:pPr>
              <w:jc w:val="right"/>
              <w:rPr>
                <w:rFonts w:ascii="Meta Pro" w:eastAsia="Times New Roman" w:hAnsi="Meta Pro"/>
                <w:b/>
                <w:bCs/>
                <w:color w:val="000000"/>
                <w:szCs w:val="18"/>
                <w:lang w:eastAsia="en-AU"/>
              </w:rPr>
            </w:pPr>
            <w:r w:rsidRPr="004F1470">
              <w:rPr>
                <w:rFonts w:ascii="Meta Pro" w:eastAsia="Times New Roman" w:hAnsi="Meta Pro"/>
                <w:b/>
                <w:bCs/>
                <w:color w:val="000000"/>
                <w:szCs w:val="18"/>
                <w:lang w:eastAsia="en-AU"/>
              </w:rPr>
              <w:t>(4,779,496)</w:t>
            </w:r>
          </w:p>
        </w:tc>
        <w:tc>
          <w:tcPr>
            <w:tcW w:w="216" w:type="dxa"/>
            <w:tcBorders>
              <w:top w:val="single" w:sz="4" w:space="0" w:color="auto"/>
              <w:left w:val="nil"/>
              <w:bottom w:val="nil"/>
              <w:right w:val="nil"/>
            </w:tcBorders>
            <w:shd w:val="clear" w:color="auto" w:fill="auto"/>
            <w:noWrap/>
            <w:vAlign w:val="center"/>
            <w:hideMark/>
          </w:tcPr>
          <w:p w14:paraId="0A10172C" w14:textId="77777777" w:rsidR="00BC5219" w:rsidRPr="004F1470" w:rsidRDefault="00BC5219" w:rsidP="00E83802">
            <w:pPr>
              <w:jc w:val="right"/>
              <w:rPr>
                <w:rFonts w:ascii="Meta Pro" w:eastAsia="Times New Roman" w:hAnsi="Meta Pro"/>
                <w:b/>
                <w:bCs/>
                <w:color w:val="000000"/>
                <w:szCs w:val="18"/>
                <w:lang w:eastAsia="en-AU"/>
              </w:rPr>
            </w:pPr>
            <w:r w:rsidRPr="004F1470">
              <w:rPr>
                <w:rFonts w:ascii="Meta Pro" w:eastAsia="Times New Roman" w:hAnsi="Meta Pro"/>
                <w:b/>
                <w:bCs/>
                <w:color w:val="000000"/>
                <w:szCs w:val="18"/>
                <w:lang w:eastAsia="en-AU"/>
              </w:rPr>
              <w:t> </w:t>
            </w:r>
          </w:p>
        </w:tc>
        <w:tc>
          <w:tcPr>
            <w:tcW w:w="1514" w:type="dxa"/>
            <w:tcBorders>
              <w:top w:val="single" w:sz="4" w:space="0" w:color="auto"/>
              <w:left w:val="nil"/>
              <w:bottom w:val="nil"/>
              <w:right w:val="nil"/>
            </w:tcBorders>
            <w:shd w:val="clear" w:color="auto" w:fill="auto"/>
            <w:noWrap/>
            <w:vAlign w:val="center"/>
            <w:hideMark/>
          </w:tcPr>
          <w:p w14:paraId="2655A231" w14:textId="77777777" w:rsidR="00BC5219" w:rsidRPr="004F1470" w:rsidRDefault="00BC5219" w:rsidP="00E83802">
            <w:pPr>
              <w:jc w:val="right"/>
              <w:rPr>
                <w:rFonts w:ascii="Meta Pro" w:eastAsia="Times New Roman" w:hAnsi="Meta Pro"/>
                <w:b/>
                <w:bCs/>
                <w:color w:val="000000"/>
                <w:szCs w:val="18"/>
                <w:lang w:eastAsia="en-AU"/>
              </w:rPr>
            </w:pPr>
            <w:r w:rsidRPr="004F1470">
              <w:rPr>
                <w:rFonts w:ascii="Meta Pro" w:eastAsia="Times New Roman" w:hAnsi="Meta Pro"/>
                <w:b/>
                <w:bCs/>
                <w:color w:val="000000"/>
                <w:szCs w:val="18"/>
                <w:lang w:eastAsia="en-AU"/>
              </w:rPr>
              <w:t xml:space="preserve">           (4,077,003)</w:t>
            </w:r>
          </w:p>
        </w:tc>
      </w:tr>
      <w:tr w:rsidR="00BC5219" w:rsidRPr="004F1470" w14:paraId="561AD05D" w14:textId="77777777" w:rsidTr="00E83802">
        <w:trPr>
          <w:trHeight w:val="240"/>
        </w:trPr>
        <w:tc>
          <w:tcPr>
            <w:tcW w:w="216" w:type="dxa"/>
            <w:tcBorders>
              <w:top w:val="nil"/>
              <w:left w:val="nil"/>
              <w:bottom w:val="nil"/>
              <w:right w:val="nil"/>
            </w:tcBorders>
            <w:shd w:val="clear" w:color="auto" w:fill="auto"/>
            <w:noWrap/>
            <w:vAlign w:val="center"/>
            <w:hideMark/>
          </w:tcPr>
          <w:p w14:paraId="1D55C9C2" w14:textId="77777777" w:rsidR="00BC5219" w:rsidRPr="004F1470" w:rsidRDefault="00BC5219" w:rsidP="00E83802">
            <w:pPr>
              <w:jc w:val="right"/>
              <w:rPr>
                <w:rFonts w:ascii="Meta Pro" w:eastAsia="Times New Roman" w:hAnsi="Meta Pro"/>
                <w:b/>
                <w:bCs/>
                <w:color w:val="000000"/>
                <w:szCs w:val="18"/>
                <w:lang w:eastAsia="en-AU"/>
              </w:rPr>
            </w:pPr>
          </w:p>
        </w:tc>
        <w:tc>
          <w:tcPr>
            <w:tcW w:w="5840" w:type="dxa"/>
            <w:tcBorders>
              <w:top w:val="nil"/>
              <w:left w:val="nil"/>
              <w:bottom w:val="nil"/>
              <w:right w:val="nil"/>
            </w:tcBorders>
            <w:shd w:val="clear" w:color="auto" w:fill="auto"/>
            <w:noWrap/>
            <w:vAlign w:val="center"/>
            <w:hideMark/>
          </w:tcPr>
          <w:p w14:paraId="7F29D058" w14:textId="77777777" w:rsidR="00BC5219" w:rsidRPr="004F1470" w:rsidRDefault="00BC5219" w:rsidP="00E83802">
            <w:pPr>
              <w:rPr>
                <w:rFonts w:ascii="Meta Pro" w:eastAsia="Times New Roman" w:hAnsi="Meta Pro" w:cs="Times New Roman"/>
                <w:sz w:val="20"/>
                <w:szCs w:val="20"/>
                <w:lang w:eastAsia="en-AU"/>
              </w:rPr>
            </w:pPr>
          </w:p>
        </w:tc>
        <w:tc>
          <w:tcPr>
            <w:tcW w:w="28" w:type="dxa"/>
            <w:tcBorders>
              <w:top w:val="nil"/>
              <w:left w:val="nil"/>
              <w:bottom w:val="nil"/>
              <w:right w:val="nil"/>
            </w:tcBorders>
            <w:shd w:val="clear" w:color="auto" w:fill="auto"/>
            <w:noWrap/>
            <w:vAlign w:val="center"/>
            <w:hideMark/>
          </w:tcPr>
          <w:p w14:paraId="022ABB01" w14:textId="77777777" w:rsidR="00BC5219" w:rsidRPr="004F1470" w:rsidRDefault="00BC5219" w:rsidP="00E83802">
            <w:pPr>
              <w:rPr>
                <w:rFonts w:ascii="Meta Pro" w:eastAsia="Times New Roman" w:hAnsi="Meta Pro" w:cs="Times New Roman"/>
                <w:sz w:val="20"/>
                <w:szCs w:val="20"/>
                <w:lang w:eastAsia="en-AU"/>
              </w:rPr>
            </w:pPr>
          </w:p>
        </w:tc>
        <w:tc>
          <w:tcPr>
            <w:tcW w:w="284" w:type="dxa"/>
            <w:tcBorders>
              <w:top w:val="nil"/>
              <w:left w:val="nil"/>
              <w:bottom w:val="nil"/>
              <w:right w:val="nil"/>
            </w:tcBorders>
            <w:shd w:val="clear" w:color="auto" w:fill="auto"/>
            <w:noWrap/>
            <w:vAlign w:val="center"/>
            <w:hideMark/>
          </w:tcPr>
          <w:p w14:paraId="3C54D2BB" w14:textId="77777777" w:rsidR="00BC5219" w:rsidRPr="004F1470"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1D2520B6"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3464A941" w14:textId="77777777" w:rsidR="00BC5219" w:rsidRPr="004F1470"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14BDF2DD" w14:textId="77777777" w:rsidR="00BC5219" w:rsidRPr="004F1470" w:rsidRDefault="00BC5219" w:rsidP="00E83802">
            <w:pPr>
              <w:jc w:val="right"/>
              <w:rPr>
                <w:rFonts w:ascii="Meta Pro" w:eastAsia="Times New Roman" w:hAnsi="Meta Pro" w:cs="Times New Roman"/>
                <w:sz w:val="20"/>
                <w:szCs w:val="20"/>
                <w:lang w:eastAsia="en-AU"/>
              </w:rPr>
            </w:pPr>
          </w:p>
        </w:tc>
      </w:tr>
      <w:tr w:rsidR="00BC5219" w:rsidRPr="004F1470" w14:paraId="686C6320" w14:textId="77777777" w:rsidTr="00E83802">
        <w:trPr>
          <w:trHeight w:val="240"/>
        </w:trPr>
        <w:tc>
          <w:tcPr>
            <w:tcW w:w="5840" w:type="dxa"/>
            <w:gridSpan w:val="2"/>
            <w:tcBorders>
              <w:top w:val="nil"/>
              <w:left w:val="nil"/>
              <w:bottom w:val="nil"/>
              <w:right w:val="nil"/>
            </w:tcBorders>
            <w:shd w:val="clear" w:color="auto" w:fill="auto"/>
            <w:noWrap/>
            <w:vAlign w:val="center"/>
            <w:hideMark/>
          </w:tcPr>
          <w:p w14:paraId="5DB875F2" w14:textId="77777777" w:rsidR="00BC5219" w:rsidRPr="004F1470" w:rsidRDefault="00BC5219" w:rsidP="00E83802">
            <w:pPr>
              <w:rPr>
                <w:rFonts w:ascii="Meta Pro" w:eastAsia="Times New Roman" w:hAnsi="Meta Pro"/>
                <w:b/>
                <w:bCs/>
                <w:color w:val="000000"/>
                <w:szCs w:val="18"/>
                <w:lang w:eastAsia="en-AU"/>
              </w:rPr>
            </w:pPr>
            <w:r w:rsidRPr="004F1470">
              <w:rPr>
                <w:rFonts w:ascii="Meta Pro" w:eastAsia="Times New Roman" w:hAnsi="Meta Pro"/>
                <w:b/>
                <w:bCs/>
                <w:color w:val="000000"/>
                <w:szCs w:val="18"/>
                <w:lang w:eastAsia="en-AU"/>
              </w:rPr>
              <w:t>Cash flows from financing activities</w:t>
            </w:r>
          </w:p>
        </w:tc>
        <w:tc>
          <w:tcPr>
            <w:tcW w:w="28" w:type="dxa"/>
            <w:tcBorders>
              <w:top w:val="nil"/>
              <w:left w:val="nil"/>
              <w:bottom w:val="nil"/>
              <w:right w:val="nil"/>
            </w:tcBorders>
            <w:shd w:val="clear" w:color="auto" w:fill="auto"/>
            <w:noWrap/>
            <w:vAlign w:val="center"/>
            <w:hideMark/>
          </w:tcPr>
          <w:p w14:paraId="0891AFEA" w14:textId="77777777" w:rsidR="00BC5219" w:rsidRPr="004F1470" w:rsidRDefault="00BC5219" w:rsidP="00E83802">
            <w:pPr>
              <w:rPr>
                <w:rFonts w:ascii="Meta Pro" w:eastAsia="Times New Roman" w:hAnsi="Meta Pro"/>
                <w:b/>
                <w:bCs/>
                <w:color w:val="000000"/>
                <w:szCs w:val="18"/>
                <w:lang w:eastAsia="en-AU"/>
              </w:rPr>
            </w:pPr>
          </w:p>
        </w:tc>
        <w:tc>
          <w:tcPr>
            <w:tcW w:w="284" w:type="dxa"/>
            <w:tcBorders>
              <w:top w:val="nil"/>
              <w:left w:val="nil"/>
              <w:bottom w:val="nil"/>
              <w:right w:val="nil"/>
            </w:tcBorders>
            <w:shd w:val="clear" w:color="auto" w:fill="auto"/>
            <w:noWrap/>
            <w:vAlign w:val="center"/>
            <w:hideMark/>
          </w:tcPr>
          <w:p w14:paraId="5816662B" w14:textId="77777777" w:rsidR="00BC5219" w:rsidRPr="004F1470"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6E5A685E"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1D62DBCE" w14:textId="77777777" w:rsidR="00BC5219" w:rsidRPr="004F1470"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749738D6" w14:textId="77777777" w:rsidR="00BC5219" w:rsidRPr="004F1470" w:rsidRDefault="00BC5219" w:rsidP="00E83802">
            <w:pPr>
              <w:jc w:val="right"/>
              <w:rPr>
                <w:rFonts w:ascii="Meta Pro" w:eastAsia="Times New Roman" w:hAnsi="Meta Pro" w:cs="Times New Roman"/>
                <w:sz w:val="20"/>
                <w:szCs w:val="20"/>
                <w:lang w:eastAsia="en-AU"/>
              </w:rPr>
            </w:pPr>
          </w:p>
        </w:tc>
      </w:tr>
      <w:tr w:rsidR="00BC5219" w:rsidRPr="004F1470" w14:paraId="145ABD64" w14:textId="77777777" w:rsidTr="00E83802">
        <w:trPr>
          <w:trHeight w:val="240"/>
        </w:trPr>
        <w:tc>
          <w:tcPr>
            <w:tcW w:w="216" w:type="dxa"/>
            <w:tcBorders>
              <w:top w:val="nil"/>
              <w:left w:val="nil"/>
              <w:bottom w:val="nil"/>
              <w:right w:val="nil"/>
            </w:tcBorders>
            <w:shd w:val="clear" w:color="auto" w:fill="auto"/>
            <w:noWrap/>
            <w:vAlign w:val="center"/>
            <w:hideMark/>
          </w:tcPr>
          <w:p w14:paraId="2123A65B" w14:textId="77777777" w:rsidR="00BC5219" w:rsidRPr="004F1470" w:rsidRDefault="00BC5219" w:rsidP="00E83802">
            <w:pPr>
              <w:jc w:val="right"/>
              <w:rPr>
                <w:rFonts w:ascii="Meta Pro" w:eastAsia="Times New Roman" w:hAnsi="Meta Pro" w:cs="Times New Roman"/>
                <w:sz w:val="20"/>
                <w:szCs w:val="20"/>
                <w:lang w:eastAsia="en-AU"/>
              </w:rPr>
            </w:pPr>
          </w:p>
        </w:tc>
        <w:tc>
          <w:tcPr>
            <w:tcW w:w="5840" w:type="dxa"/>
            <w:tcBorders>
              <w:top w:val="nil"/>
              <w:left w:val="nil"/>
              <w:bottom w:val="nil"/>
              <w:right w:val="nil"/>
            </w:tcBorders>
            <w:shd w:val="clear" w:color="auto" w:fill="auto"/>
            <w:noWrap/>
            <w:vAlign w:val="center"/>
            <w:hideMark/>
          </w:tcPr>
          <w:p w14:paraId="6FB1C1D4" w14:textId="77777777" w:rsidR="00BC5219" w:rsidRPr="004F1470" w:rsidRDefault="00BC5219" w:rsidP="00E83802">
            <w:pPr>
              <w:rPr>
                <w:rFonts w:ascii="Meta Pro" w:eastAsia="Times New Roman" w:hAnsi="Meta Pro"/>
                <w:i/>
                <w:iCs/>
                <w:color w:val="000000"/>
                <w:szCs w:val="18"/>
                <w:lang w:eastAsia="en-AU"/>
              </w:rPr>
            </w:pPr>
            <w:r w:rsidRPr="004F1470">
              <w:rPr>
                <w:rFonts w:ascii="Meta Pro" w:eastAsia="Times New Roman" w:hAnsi="Meta Pro"/>
                <w:i/>
                <w:iCs/>
                <w:color w:val="000000"/>
                <w:szCs w:val="18"/>
                <w:lang w:eastAsia="en-AU"/>
              </w:rPr>
              <w:t>Inflows:</w:t>
            </w:r>
          </w:p>
        </w:tc>
        <w:tc>
          <w:tcPr>
            <w:tcW w:w="28" w:type="dxa"/>
            <w:tcBorders>
              <w:top w:val="nil"/>
              <w:left w:val="nil"/>
              <w:bottom w:val="nil"/>
              <w:right w:val="nil"/>
            </w:tcBorders>
            <w:shd w:val="clear" w:color="auto" w:fill="auto"/>
            <w:noWrap/>
            <w:vAlign w:val="center"/>
            <w:hideMark/>
          </w:tcPr>
          <w:p w14:paraId="1165DAE1" w14:textId="77777777" w:rsidR="00BC5219" w:rsidRPr="004F1470" w:rsidRDefault="00BC5219" w:rsidP="00E83802">
            <w:pPr>
              <w:rPr>
                <w:rFonts w:ascii="Meta Pro" w:eastAsia="Times New Roman" w:hAnsi="Meta Pro"/>
                <w:i/>
                <w:iCs/>
                <w:color w:val="000000"/>
                <w:szCs w:val="18"/>
                <w:lang w:eastAsia="en-AU"/>
              </w:rPr>
            </w:pPr>
          </w:p>
        </w:tc>
        <w:tc>
          <w:tcPr>
            <w:tcW w:w="284" w:type="dxa"/>
            <w:tcBorders>
              <w:top w:val="nil"/>
              <w:left w:val="nil"/>
              <w:bottom w:val="nil"/>
              <w:right w:val="nil"/>
            </w:tcBorders>
            <w:shd w:val="clear" w:color="auto" w:fill="auto"/>
            <w:noWrap/>
            <w:vAlign w:val="center"/>
            <w:hideMark/>
          </w:tcPr>
          <w:p w14:paraId="0B8A9CC5" w14:textId="77777777" w:rsidR="00BC5219" w:rsidRPr="004F1470"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5FACD96D"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051E1CB8" w14:textId="77777777" w:rsidR="00BC5219" w:rsidRPr="004F1470"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6F406475" w14:textId="77777777" w:rsidR="00BC5219" w:rsidRPr="004F1470" w:rsidRDefault="00BC5219" w:rsidP="00E83802">
            <w:pPr>
              <w:jc w:val="right"/>
              <w:rPr>
                <w:rFonts w:ascii="Meta Pro" w:eastAsia="Times New Roman" w:hAnsi="Meta Pro" w:cs="Times New Roman"/>
                <w:sz w:val="20"/>
                <w:szCs w:val="20"/>
                <w:lang w:eastAsia="en-AU"/>
              </w:rPr>
            </w:pPr>
          </w:p>
        </w:tc>
      </w:tr>
      <w:tr w:rsidR="00BC5219" w:rsidRPr="004F1470" w14:paraId="0EB5BFB1" w14:textId="77777777" w:rsidTr="00E83802">
        <w:trPr>
          <w:trHeight w:val="240"/>
        </w:trPr>
        <w:tc>
          <w:tcPr>
            <w:tcW w:w="216" w:type="dxa"/>
            <w:tcBorders>
              <w:top w:val="nil"/>
              <w:left w:val="nil"/>
              <w:bottom w:val="nil"/>
              <w:right w:val="nil"/>
            </w:tcBorders>
            <w:shd w:val="clear" w:color="auto" w:fill="auto"/>
            <w:noWrap/>
            <w:vAlign w:val="center"/>
            <w:hideMark/>
          </w:tcPr>
          <w:p w14:paraId="7820538E" w14:textId="77777777" w:rsidR="00BC5219" w:rsidRPr="004F1470" w:rsidRDefault="00BC5219" w:rsidP="00E83802">
            <w:pPr>
              <w:jc w:val="right"/>
              <w:rPr>
                <w:rFonts w:ascii="Meta Pro" w:eastAsia="Times New Roman" w:hAnsi="Meta Pro" w:cs="Times New Roman"/>
                <w:sz w:val="20"/>
                <w:szCs w:val="20"/>
                <w:lang w:eastAsia="en-AU"/>
              </w:rPr>
            </w:pPr>
          </w:p>
        </w:tc>
        <w:tc>
          <w:tcPr>
            <w:tcW w:w="5840" w:type="dxa"/>
            <w:tcBorders>
              <w:top w:val="nil"/>
              <w:left w:val="nil"/>
              <w:bottom w:val="nil"/>
              <w:right w:val="nil"/>
            </w:tcBorders>
            <w:shd w:val="clear" w:color="auto" w:fill="auto"/>
            <w:noWrap/>
            <w:vAlign w:val="center"/>
            <w:hideMark/>
          </w:tcPr>
          <w:p w14:paraId="0B327190" w14:textId="77777777" w:rsidR="00BC5219" w:rsidRPr="004F1470" w:rsidRDefault="00BC5219" w:rsidP="00E83802">
            <w:pPr>
              <w:rPr>
                <w:rFonts w:ascii="Meta Pro" w:eastAsia="Times New Roman" w:hAnsi="Meta Pro"/>
                <w:color w:val="000000"/>
                <w:szCs w:val="18"/>
                <w:lang w:eastAsia="en-AU"/>
              </w:rPr>
            </w:pPr>
            <w:r w:rsidRPr="004F1470">
              <w:rPr>
                <w:rFonts w:ascii="Meta Pro" w:eastAsia="Times New Roman" w:hAnsi="Meta Pro"/>
                <w:color w:val="000000"/>
                <w:szCs w:val="18"/>
                <w:lang w:eastAsia="en-AU"/>
              </w:rPr>
              <w:t>Equity injections</w:t>
            </w:r>
          </w:p>
        </w:tc>
        <w:tc>
          <w:tcPr>
            <w:tcW w:w="28" w:type="dxa"/>
            <w:tcBorders>
              <w:top w:val="nil"/>
              <w:left w:val="nil"/>
              <w:bottom w:val="nil"/>
              <w:right w:val="nil"/>
            </w:tcBorders>
            <w:shd w:val="clear" w:color="auto" w:fill="auto"/>
            <w:noWrap/>
            <w:vAlign w:val="center"/>
            <w:hideMark/>
          </w:tcPr>
          <w:p w14:paraId="293B6845" w14:textId="77777777" w:rsidR="00BC5219" w:rsidRPr="004F1470" w:rsidRDefault="00BC5219" w:rsidP="00E83802">
            <w:pPr>
              <w:rPr>
                <w:rFonts w:ascii="Meta Pro" w:eastAsia="Times New Roman" w:hAnsi="Meta Pro"/>
                <w:color w:val="000000"/>
                <w:szCs w:val="18"/>
                <w:lang w:eastAsia="en-AU"/>
              </w:rPr>
            </w:pPr>
          </w:p>
        </w:tc>
        <w:tc>
          <w:tcPr>
            <w:tcW w:w="284" w:type="dxa"/>
            <w:tcBorders>
              <w:top w:val="nil"/>
              <w:left w:val="nil"/>
              <w:bottom w:val="nil"/>
              <w:right w:val="nil"/>
            </w:tcBorders>
            <w:shd w:val="clear" w:color="auto" w:fill="auto"/>
            <w:noWrap/>
            <w:vAlign w:val="center"/>
            <w:hideMark/>
          </w:tcPr>
          <w:p w14:paraId="671BF96E" w14:textId="77777777" w:rsidR="00BC5219" w:rsidRPr="004F1470"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373CCD0C"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 xml:space="preserve">5,098,665 </w:t>
            </w:r>
          </w:p>
        </w:tc>
        <w:tc>
          <w:tcPr>
            <w:tcW w:w="216" w:type="dxa"/>
            <w:tcBorders>
              <w:top w:val="nil"/>
              <w:left w:val="nil"/>
              <w:bottom w:val="nil"/>
              <w:right w:val="nil"/>
            </w:tcBorders>
            <w:shd w:val="clear" w:color="auto" w:fill="auto"/>
            <w:noWrap/>
            <w:vAlign w:val="center"/>
            <w:hideMark/>
          </w:tcPr>
          <w:p w14:paraId="32932844" w14:textId="77777777" w:rsidR="00BC5219" w:rsidRPr="004F1470"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527C898D"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 xml:space="preserve">             4,032,675 </w:t>
            </w:r>
          </w:p>
        </w:tc>
      </w:tr>
      <w:tr w:rsidR="00BC5219" w:rsidRPr="004F1470" w14:paraId="4425917F" w14:textId="77777777" w:rsidTr="00E83802">
        <w:trPr>
          <w:trHeight w:val="240"/>
        </w:trPr>
        <w:tc>
          <w:tcPr>
            <w:tcW w:w="216" w:type="dxa"/>
            <w:tcBorders>
              <w:top w:val="nil"/>
              <w:left w:val="nil"/>
              <w:bottom w:val="nil"/>
              <w:right w:val="nil"/>
            </w:tcBorders>
            <w:shd w:val="clear" w:color="auto" w:fill="auto"/>
            <w:noWrap/>
            <w:vAlign w:val="center"/>
            <w:hideMark/>
          </w:tcPr>
          <w:p w14:paraId="6D879821" w14:textId="77777777" w:rsidR="00BC5219" w:rsidRPr="004F1470" w:rsidRDefault="00BC5219" w:rsidP="00E83802">
            <w:pPr>
              <w:jc w:val="right"/>
              <w:rPr>
                <w:rFonts w:ascii="Meta Pro" w:eastAsia="Times New Roman" w:hAnsi="Meta Pro"/>
                <w:color w:val="000000"/>
                <w:szCs w:val="18"/>
                <w:lang w:eastAsia="en-AU"/>
              </w:rPr>
            </w:pPr>
          </w:p>
        </w:tc>
        <w:tc>
          <w:tcPr>
            <w:tcW w:w="5840" w:type="dxa"/>
            <w:tcBorders>
              <w:top w:val="nil"/>
              <w:left w:val="nil"/>
              <w:bottom w:val="nil"/>
              <w:right w:val="nil"/>
            </w:tcBorders>
            <w:shd w:val="clear" w:color="auto" w:fill="auto"/>
            <w:noWrap/>
            <w:vAlign w:val="center"/>
            <w:hideMark/>
          </w:tcPr>
          <w:p w14:paraId="05E417FD" w14:textId="77777777" w:rsidR="00BC5219" w:rsidRPr="004F1470" w:rsidRDefault="00BC5219" w:rsidP="00E83802">
            <w:pPr>
              <w:rPr>
                <w:rFonts w:ascii="Meta Pro" w:eastAsia="Times New Roman" w:hAnsi="Meta Pro"/>
                <w:i/>
                <w:iCs/>
                <w:color w:val="000000"/>
                <w:szCs w:val="18"/>
                <w:lang w:eastAsia="en-AU"/>
              </w:rPr>
            </w:pPr>
            <w:r w:rsidRPr="004F1470">
              <w:rPr>
                <w:rFonts w:ascii="Meta Pro" w:eastAsia="Times New Roman" w:hAnsi="Meta Pro"/>
                <w:i/>
                <w:iCs/>
                <w:color w:val="000000"/>
                <w:szCs w:val="18"/>
                <w:lang w:eastAsia="en-AU"/>
              </w:rPr>
              <w:t>Outflows:</w:t>
            </w:r>
          </w:p>
        </w:tc>
        <w:tc>
          <w:tcPr>
            <w:tcW w:w="28" w:type="dxa"/>
            <w:tcBorders>
              <w:top w:val="nil"/>
              <w:left w:val="nil"/>
              <w:bottom w:val="nil"/>
              <w:right w:val="nil"/>
            </w:tcBorders>
            <w:shd w:val="clear" w:color="auto" w:fill="auto"/>
            <w:noWrap/>
            <w:vAlign w:val="center"/>
            <w:hideMark/>
          </w:tcPr>
          <w:p w14:paraId="1A78EAE7" w14:textId="77777777" w:rsidR="00BC5219" w:rsidRPr="004F1470" w:rsidRDefault="00BC5219" w:rsidP="00E83802">
            <w:pPr>
              <w:rPr>
                <w:rFonts w:ascii="Meta Pro" w:eastAsia="Times New Roman" w:hAnsi="Meta Pro"/>
                <w:i/>
                <w:iCs/>
                <w:color w:val="000000"/>
                <w:szCs w:val="18"/>
                <w:lang w:eastAsia="en-AU"/>
              </w:rPr>
            </w:pPr>
          </w:p>
        </w:tc>
        <w:tc>
          <w:tcPr>
            <w:tcW w:w="284" w:type="dxa"/>
            <w:tcBorders>
              <w:top w:val="nil"/>
              <w:left w:val="nil"/>
              <w:bottom w:val="nil"/>
              <w:right w:val="nil"/>
            </w:tcBorders>
            <w:shd w:val="clear" w:color="auto" w:fill="auto"/>
            <w:noWrap/>
            <w:vAlign w:val="center"/>
            <w:hideMark/>
          </w:tcPr>
          <w:p w14:paraId="2BD856EB" w14:textId="77777777" w:rsidR="00BC5219" w:rsidRPr="004F1470"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258B3549"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68880909" w14:textId="77777777" w:rsidR="00BC5219" w:rsidRPr="004F1470"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45CF7E1A" w14:textId="77777777" w:rsidR="00BC5219" w:rsidRPr="004F1470" w:rsidRDefault="00BC5219" w:rsidP="00E83802">
            <w:pPr>
              <w:jc w:val="right"/>
              <w:rPr>
                <w:rFonts w:ascii="Meta Pro" w:eastAsia="Times New Roman" w:hAnsi="Meta Pro" w:cs="Times New Roman"/>
                <w:sz w:val="20"/>
                <w:szCs w:val="20"/>
                <w:lang w:eastAsia="en-AU"/>
              </w:rPr>
            </w:pPr>
          </w:p>
        </w:tc>
      </w:tr>
      <w:tr w:rsidR="00BC5219" w:rsidRPr="004F1470" w14:paraId="22A08062" w14:textId="77777777" w:rsidTr="00E83802">
        <w:trPr>
          <w:trHeight w:val="240"/>
        </w:trPr>
        <w:tc>
          <w:tcPr>
            <w:tcW w:w="216" w:type="dxa"/>
            <w:tcBorders>
              <w:top w:val="nil"/>
              <w:left w:val="nil"/>
              <w:bottom w:val="nil"/>
              <w:right w:val="nil"/>
            </w:tcBorders>
            <w:shd w:val="clear" w:color="auto" w:fill="auto"/>
            <w:noWrap/>
            <w:vAlign w:val="center"/>
            <w:hideMark/>
          </w:tcPr>
          <w:p w14:paraId="704B9E1C" w14:textId="77777777" w:rsidR="00BC5219" w:rsidRPr="004F1470" w:rsidRDefault="00BC5219" w:rsidP="00E83802">
            <w:pPr>
              <w:jc w:val="right"/>
              <w:rPr>
                <w:rFonts w:ascii="Meta Pro" w:eastAsia="Times New Roman" w:hAnsi="Meta Pro" w:cs="Times New Roman"/>
                <w:sz w:val="20"/>
                <w:szCs w:val="20"/>
                <w:lang w:eastAsia="en-AU"/>
              </w:rPr>
            </w:pPr>
          </w:p>
        </w:tc>
        <w:tc>
          <w:tcPr>
            <w:tcW w:w="5840" w:type="dxa"/>
            <w:tcBorders>
              <w:top w:val="nil"/>
              <w:left w:val="nil"/>
              <w:bottom w:val="nil"/>
              <w:right w:val="nil"/>
            </w:tcBorders>
            <w:shd w:val="clear" w:color="auto" w:fill="auto"/>
            <w:noWrap/>
            <w:vAlign w:val="center"/>
            <w:hideMark/>
          </w:tcPr>
          <w:p w14:paraId="1FFD845F" w14:textId="77777777" w:rsidR="00BC5219" w:rsidRPr="004F1470" w:rsidRDefault="00BC5219" w:rsidP="00E83802">
            <w:pPr>
              <w:rPr>
                <w:rFonts w:ascii="Meta Pro" w:eastAsia="Times New Roman" w:hAnsi="Meta Pro"/>
                <w:color w:val="000000"/>
                <w:szCs w:val="18"/>
                <w:lang w:eastAsia="en-AU"/>
              </w:rPr>
            </w:pPr>
            <w:r w:rsidRPr="004F1470">
              <w:rPr>
                <w:rFonts w:ascii="Meta Pro" w:eastAsia="Times New Roman" w:hAnsi="Meta Pro"/>
                <w:color w:val="000000"/>
                <w:szCs w:val="18"/>
                <w:lang w:eastAsia="en-AU"/>
              </w:rPr>
              <w:t xml:space="preserve">Equity withdrawals </w:t>
            </w:r>
          </w:p>
        </w:tc>
        <w:tc>
          <w:tcPr>
            <w:tcW w:w="28" w:type="dxa"/>
            <w:tcBorders>
              <w:top w:val="nil"/>
              <w:left w:val="nil"/>
              <w:bottom w:val="nil"/>
              <w:right w:val="nil"/>
            </w:tcBorders>
            <w:shd w:val="clear" w:color="auto" w:fill="auto"/>
            <w:noWrap/>
            <w:vAlign w:val="center"/>
            <w:hideMark/>
          </w:tcPr>
          <w:p w14:paraId="5BCBEF13" w14:textId="77777777" w:rsidR="00BC5219" w:rsidRPr="004F1470" w:rsidRDefault="00BC5219" w:rsidP="00E83802">
            <w:pPr>
              <w:rPr>
                <w:rFonts w:ascii="Meta Pro" w:eastAsia="Times New Roman" w:hAnsi="Meta Pro"/>
                <w:color w:val="000000"/>
                <w:szCs w:val="18"/>
                <w:lang w:eastAsia="en-AU"/>
              </w:rPr>
            </w:pPr>
          </w:p>
        </w:tc>
        <w:tc>
          <w:tcPr>
            <w:tcW w:w="284" w:type="dxa"/>
            <w:tcBorders>
              <w:top w:val="nil"/>
              <w:left w:val="nil"/>
              <w:bottom w:val="nil"/>
              <w:right w:val="nil"/>
            </w:tcBorders>
            <w:shd w:val="clear" w:color="auto" w:fill="auto"/>
            <w:noWrap/>
            <w:vAlign w:val="center"/>
            <w:hideMark/>
          </w:tcPr>
          <w:p w14:paraId="399F9F71" w14:textId="77777777" w:rsidR="00BC5219" w:rsidRPr="004F1470"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3BB48F56"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(1,238,140)</w:t>
            </w:r>
          </w:p>
        </w:tc>
        <w:tc>
          <w:tcPr>
            <w:tcW w:w="216" w:type="dxa"/>
            <w:tcBorders>
              <w:top w:val="nil"/>
              <w:left w:val="nil"/>
              <w:bottom w:val="nil"/>
              <w:right w:val="nil"/>
            </w:tcBorders>
            <w:shd w:val="clear" w:color="auto" w:fill="auto"/>
            <w:noWrap/>
            <w:vAlign w:val="center"/>
            <w:hideMark/>
          </w:tcPr>
          <w:p w14:paraId="18EBB58E" w14:textId="77777777" w:rsidR="00BC5219" w:rsidRPr="004F1470"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25A0BDDD"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 xml:space="preserve">            (1,191,386)</w:t>
            </w:r>
          </w:p>
        </w:tc>
      </w:tr>
      <w:tr w:rsidR="00BC5219" w:rsidRPr="004F1470" w14:paraId="7D73FA0C" w14:textId="77777777" w:rsidTr="00E83802">
        <w:trPr>
          <w:trHeight w:val="240"/>
        </w:trPr>
        <w:tc>
          <w:tcPr>
            <w:tcW w:w="216" w:type="dxa"/>
            <w:tcBorders>
              <w:top w:val="nil"/>
              <w:left w:val="nil"/>
              <w:bottom w:val="nil"/>
              <w:right w:val="nil"/>
            </w:tcBorders>
            <w:shd w:val="clear" w:color="auto" w:fill="auto"/>
            <w:noWrap/>
            <w:vAlign w:val="center"/>
            <w:hideMark/>
          </w:tcPr>
          <w:p w14:paraId="0269F2D1" w14:textId="77777777" w:rsidR="00BC5219" w:rsidRPr="004F1470" w:rsidRDefault="00BC5219" w:rsidP="00E83802">
            <w:pPr>
              <w:jc w:val="right"/>
              <w:rPr>
                <w:rFonts w:ascii="Meta Pro" w:eastAsia="Times New Roman" w:hAnsi="Meta Pro"/>
                <w:color w:val="000000"/>
                <w:szCs w:val="18"/>
                <w:lang w:eastAsia="en-AU"/>
              </w:rPr>
            </w:pPr>
          </w:p>
        </w:tc>
        <w:tc>
          <w:tcPr>
            <w:tcW w:w="5840" w:type="dxa"/>
            <w:tcBorders>
              <w:top w:val="nil"/>
              <w:left w:val="nil"/>
              <w:bottom w:val="nil"/>
              <w:right w:val="nil"/>
            </w:tcBorders>
            <w:shd w:val="clear" w:color="auto" w:fill="auto"/>
            <w:noWrap/>
            <w:vAlign w:val="center"/>
            <w:hideMark/>
          </w:tcPr>
          <w:p w14:paraId="3594ECC8" w14:textId="77777777" w:rsidR="00BC5219" w:rsidRPr="004F1470" w:rsidRDefault="00BC5219" w:rsidP="00E83802">
            <w:pPr>
              <w:rPr>
                <w:rFonts w:ascii="Meta Pro" w:eastAsia="Times New Roman" w:hAnsi="Meta Pro"/>
                <w:color w:val="000000"/>
                <w:szCs w:val="18"/>
                <w:lang w:eastAsia="en-AU"/>
              </w:rPr>
            </w:pPr>
            <w:r w:rsidRPr="004F1470">
              <w:rPr>
                <w:rFonts w:ascii="Meta Pro" w:eastAsia="Times New Roman" w:hAnsi="Meta Pro"/>
                <w:color w:val="000000"/>
                <w:szCs w:val="18"/>
                <w:lang w:eastAsia="en-AU"/>
              </w:rPr>
              <w:t>Borrowing redemptions</w:t>
            </w:r>
          </w:p>
        </w:tc>
        <w:tc>
          <w:tcPr>
            <w:tcW w:w="28" w:type="dxa"/>
            <w:tcBorders>
              <w:top w:val="nil"/>
              <w:left w:val="nil"/>
              <w:bottom w:val="nil"/>
              <w:right w:val="nil"/>
            </w:tcBorders>
            <w:shd w:val="clear" w:color="auto" w:fill="auto"/>
            <w:noWrap/>
            <w:vAlign w:val="center"/>
            <w:hideMark/>
          </w:tcPr>
          <w:p w14:paraId="2D4C789F" w14:textId="77777777" w:rsidR="00BC5219" w:rsidRPr="004F1470" w:rsidRDefault="00BC5219" w:rsidP="00E83802">
            <w:pPr>
              <w:rPr>
                <w:rFonts w:ascii="Meta Pro" w:eastAsia="Times New Roman" w:hAnsi="Meta Pro"/>
                <w:color w:val="000000"/>
                <w:szCs w:val="18"/>
                <w:lang w:eastAsia="en-AU"/>
              </w:rPr>
            </w:pPr>
          </w:p>
        </w:tc>
        <w:tc>
          <w:tcPr>
            <w:tcW w:w="284" w:type="dxa"/>
            <w:tcBorders>
              <w:top w:val="nil"/>
              <w:left w:val="nil"/>
              <w:bottom w:val="nil"/>
              <w:right w:val="nil"/>
            </w:tcBorders>
            <w:shd w:val="clear" w:color="auto" w:fill="auto"/>
            <w:noWrap/>
            <w:vAlign w:val="center"/>
            <w:hideMark/>
          </w:tcPr>
          <w:p w14:paraId="69BC2C93" w14:textId="77777777" w:rsidR="00BC5219" w:rsidRPr="004F1470"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7306E1CF"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(205,288)</w:t>
            </w:r>
          </w:p>
        </w:tc>
        <w:tc>
          <w:tcPr>
            <w:tcW w:w="216" w:type="dxa"/>
            <w:tcBorders>
              <w:top w:val="nil"/>
              <w:left w:val="nil"/>
              <w:bottom w:val="nil"/>
              <w:right w:val="nil"/>
            </w:tcBorders>
            <w:shd w:val="clear" w:color="auto" w:fill="auto"/>
            <w:noWrap/>
            <w:vAlign w:val="center"/>
            <w:hideMark/>
          </w:tcPr>
          <w:p w14:paraId="6A11BD4E" w14:textId="77777777" w:rsidR="00BC5219" w:rsidRPr="004F1470"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459843F5" w14:textId="77777777" w:rsidR="00BC5219" w:rsidRPr="004F1470" w:rsidRDefault="00BC5219" w:rsidP="00E83802">
            <w:pPr>
              <w:jc w:val="right"/>
              <w:rPr>
                <w:rFonts w:ascii="Meta Pro" w:eastAsia="Times New Roman" w:hAnsi="Meta Pro"/>
                <w:szCs w:val="18"/>
                <w:lang w:eastAsia="en-AU"/>
              </w:rPr>
            </w:pPr>
            <w:r w:rsidRPr="004F1470">
              <w:rPr>
                <w:rFonts w:ascii="Meta Pro" w:eastAsia="Times New Roman" w:hAnsi="Meta Pro"/>
                <w:szCs w:val="18"/>
                <w:lang w:eastAsia="en-AU"/>
              </w:rPr>
              <w:t>(36,264)</w:t>
            </w:r>
          </w:p>
        </w:tc>
      </w:tr>
      <w:tr w:rsidR="00BC5219" w:rsidRPr="004F1470" w14:paraId="7CE8B44B" w14:textId="77777777" w:rsidTr="00E83802">
        <w:trPr>
          <w:trHeight w:val="240"/>
        </w:trPr>
        <w:tc>
          <w:tcPr>
            <w:tcW w:w="216" w:type="dxa"/>
            <w:tcBorders>
              <w:top w:val="nil"/>
              <w:left w:val="nil"/>
              <w:bottom w:val="nil"/>
              <w:right w:val="nil"/>
            </w:tcBorders>
            <w:shd w:val="clear" w:color="auto" w:fill="auto"/>
            <w:noWrap/>
            <w:vAlign w:val="center"/>
            <w:hideMark/>
          </w:tcPr>
          <w:p w14:paraId="654C9BB6" w14:textId="77777777" w:rsidR="00BC5219" w:rsidRPr="004F1470" w:rsidRDefault="00BC5219" w:rsidP="00E83802">
            <w:pPr>
              <w:jc w:val="right"/>
              <w:rPr>
                <w:rFonts w:ascii="Meta Pro" w:eastAsia="Times New Roman" w:hAnsi="Meta Pro"/>
                <w:szCs w:val="18"/>
                <w:lang w:eastAsia="en-AU"/>
              </w:rPr>
            </w:pPr>
          </w:p>
        </w:tc>
        <w:tc>
          <w:tcPr>
            <w:tcW w:w="5840" w:type="dxa"/>
            <w:tcBorders>
              <w:top w:val="nil"/>
              <w:left w:val="nil"/>
              <w:bottom w:val="nil"/>
              <w:right w:val="nil"/>
            </w:tcBorders>
            <w:shd w:val="clear" w:color="auto" w:fill="auto"/>
            <w:noWrap/>
            <w:vAlign w:val="center"/>
            <w:hideMark/>
          </w:tcPr>
          <w:p w14:paraId="46FE90F9" w14:textId="77777777" w:rsidR="00BC5219" w:rsidRPr="004F1470" w:rsidRDefault="00BC5219" w:rsidP="00E83802">
            <w:pPr>
              <w:rPr>
                <w:rFonts w:ascii="Meta Pro" w:eastAsia="Times New Roman" w:hAnsi="Meta Pro"/>
                <w:color w:val="000000"/>
                <w:szCs w:val="18"/>
                <w:lang w:eastAsia="en-AU"/>
              </w:rPr>
            </w:pPr>
            <w:r w:rsidRPr="004F1470">
              <w:rPr>
                <w:rFonts w:ascii="Meta Pro" w:eastAsia="Times New Roman" w:hAnsi="Meta Pro"/>
                <w:color w:val="000000"/>
                <w:szCs w:val="18"/>
                <w:lang w:eastAsia="en-AU"/>
              </w:rPr>
              <w:t>Lease payments</w:t>
            </w:r>
          </w:p>
        </w:tc>
        <w:tc>
          <w:tcPr>
            <w:tcW w:w="28" w:type="dxa"/>
            <w:tcBorders>
              <w:top w:val="nil"/>
              <w:left w:val="nil"/>
              <w:bottom w:val="single" w:sz="4" w:space="0" w:color="auto"/>
              <w:right w:val="nil"/>
            </w:tcBorders>
            <w:shd w:val="clear" w:color="auto" w:fill="auto"/>
            <w:noWrap/>
            <w:vAlign w:val="center"/>
            <w:hideMark/>
          </w:tcPr>
          <w:p w14:paraId="2F0C83F7" w14:textId="77777777" w:rsidR="00BC5219" w:rsidRPr="004F1470" w:rsidRDefault="00BC5219" w:rsidP="00E83802">
            <w:pPr>
              <w:jc w:val="center"/>
              <w:rPr>
                <w:rFonts w:ascii="Meta Pro" w:eastAsia="Times New Roman" w:hAnsi="Meta Pro"/>
                <w:color w:val="000000"/>
                <w:sz w:val="20"/>
                <w:szCs w:val="20"/>
                <w:lang w:eastAsia="en-AU"/>
              </w:rPr>
            </w:pPr>
            <w:r w:rsidRPr="004F1470">
              <w:rPr>
                <w:rFonts w:ascii="Meta Pro" w:eastAsia="Times New Roman" w:hAnsi="Meta Pro"/>
                <w:color w:val="000000"/>
                <w:sz w:val="20"/>
                <w:szCs w:val="20"/>
                <w:lang w:eastAsia="en-AU"/>
              </w:rPr>
              <w:t> </w:t>
            </w:r>
          </w:p>
        </w:tc>
        <w:tc>
          <w:tcPr>
            <w:tcW w:w="284" w:type="dxa"/>
            <w:tcBorders>
              <w:top w:val="nil"/>
              <w:left w:val="nil"/>
              <w:bottom w:val="nil"/>
              <w:right w:val="nil"/>
            </w:tcBorders>
            <w:shd w:val="clear" w:color="auto" w:fill="auto"/>
            <w:noWrap/>
            <w:vAlign w:val="center"/>
            <w:hideMark/>
          </w:tcPr>
          <w:p w14:paraId="0E2F569A" w14:textId="77777777" w:rsidR="00BC5219" w:rsidRPr="004F1470" w:rsidRDefault="00BC5219" w:rsidP="00E83802">
            <w:pPr>
              <w:jc w:val="center"/>
              <w:rPr>
                <w:rFonts w:ascii="Meta Pro" w:eastAsia="Times New Roman" w:hAnsi="Meta Pro"/>
                <w:color w:val="000000"/>
                <w:sz w:val="20"/>
                <w:szCs w:val="20"/>
                <w:lang w:eastAsia="en-AU"/>
              </w:rPr>
            </w:pPr>
          </w:p>
        </w:tc>
        <w:tc>
          <w:tcPr>
            <w:tcW w:w="1514" w:type="dxa"/>
            <w:tcBorders>
              <w:top w:val="nil"/>
              <w:left w:val="nil"/>
              <w:bottom w:val="nil"/>
              <w:right w:val="nil"/>
            </w:tcBorders>
            <w:shd w:val="clear" w:color="000000" w:fill="C9E3B4"/>
            <w:noWrap/>
            <w:vAlign w:val="center"/>
            <w:hideMark/>
          </w:tcPr>
          <w:p w14:paraId="491A0A71"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(2,710)</w:t>
            </w:r>
          </w:p>
        </w:tc>
        <w:tc>
          <w:tcPr>
            <w:tcW w:w="216" w:type="dxa"/>
            <w:tcBorders>
              <w:top w:val="nil"/>
              <w:left w:val="nil"/>
              <w:bottom w:val="nil"/>
              <w:right w:val="nil"/>
            </w:tcBorders>
            <w:shd w:val="clear" w:color="auto" w:fill="auto"/>
            <w:noWrap/>
            <w:vAlign w:val="center"/>
            <w:hideMark/>
          </w:tcPr>
          <w:p w14:paraId="070F693F" w14:textId="77777777" w:rsidR="00BC5219" w:rsidRPr="004F1470"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75454158" w14:textId="77777777" w:rsidR="00BC5219" w:rsidRPr="004F1470" w:rsidRDefault="00BC5219" w:rsidP="00E83802">
            <w:pPr>
              <w:jc w:val="right"/>
              <w:rPr>
                <w:rFonts w:ascii="Meta Pro" w:eastAsia="Times New Roman" w:hAnsi="Meta Pro"/>
                <w:szCs w:val="18"/>
                <w:lang w:eastAsia="en-AU"/>
              </w:rPr>
            </w:pPr>
            <w:r w:rsidRPr="004F1470">
              <w:rPr>
                <w:rFonts w:ascii="Meta Pro" w:eastAsia="Times New Roman" w:hAnsi="Meta Pro"/>
                <w:szCs w:val="18"/>
                <w:lang w:eastAsia="en-AU"/>
              </w:rPr>
              <w:t>(223)</w:t>
            </w:r>
          </w:p>
        </w:tc>
      </w:tr>
      <w:tr w:rsidR="00BC5219" w:rsidRPr="004F1470" w14:paraId="6BC9A05D" w14:textId="77777777" w:rsidTr="00E83802">
        <w:trPr>
          <w:trHeight w:val="240"/>
        </w:trPr>
        <w:tc>
          <w:tcPr>
            <w:tcW w:w="5840" w:type="dxa"/>
            <w:gridSpan w:val="2"/>
            <w:tcBorders>
              <w:top w:val="single" w:sz="4" w:space="0" w:color="auto"/>
              <w:left w:val="nil"/>
              <w:bottom w:val="nil"/>
              <w:right w:val="nil"/>
            </w:tcBorders>
            <w:shd w:val="clear" w:color="auto" w:fill="auto"/>
            <w:noWrap/>
            <w:vAlign w:val="center"/>
            <w:hideMark/>
          </w:tcPr>
          <w:p w14:paraId="06598DAC" w14:textId="77777777" w:rsidR="00BC5219" w:rsidRPr="004F1470" w:rsidRDefault="00BC5219" w:rsidP="00E83802">
            <w:pPr>
              <w:rPr>
                <w:rFonts w:ascii="Meta Pro" w:eastAsia="Times New Roman" w:hAnsi="Meta Pro"/>
                <w:b/>
                <w:bCs/>
                <w:color w:val="000000"/>
                <w:szCs w:val="18"/>
                <w:lang w:eastAsia="en-AU"/>
              </w:rPr>
            </w:pPr>
            <w:r w:rsidRPr="004F1470">
              <w:rPr>
                <w:rFonts w:ascii="Meta Pro" w:eastAsia="Times New Roman" w:hAnsi="Meta Pro"/>
                <w:b/>
                <w:bCs/>
                <w:color w:val="000000"/>
                <w:szCs w:val="18"/>
                <w:lang w:eastAsia="en-AU"/>
              </w:rPr>
              <w:t>Net cash provided by financing activities</w:t>
            </w:r>
          </w:p>
        </w:tc>
        <w:tc>
          <w:tcPr>
            <w:tcW w:w="28" w:type="dxa"/>
            <w:tcBorders>
              <w:top w:val="nil"/>
              <w:left w:val="nil"/>
              <w:bottom w:val="nil"/>
              <w:right w:val="nil"/>
            </w:tcBorders>
            <w:shd w:val="clear" w:color="auto" w:fill="auto"/>
            <w:noWrap/>
            <w:vAlign w:val="center"/>
            <w:hideMark/>
          </w:tcPr>
          <w:p w14:paraId="349CACAB" w14:textId="77777777" w:rsidR="00BC5219" w:rsidRPr="004F1470" w:rsidRDefault="00BC5219" w:rsidP="00E83802">
            <w:pPr>
              <w:rPr>
                <w:rFonts w:ascii="Meta Pro" w:eastAsia="Times New Roman" w:hAnsi="Meta Pro"/>
                <w:b/>
                <w:bCs/>
                <w:color w:val="000000"/>
                <w:szCs w:val="18"/>
                <w:lang w:eastAsia="en-AU"/>
              </w:rPr>
            </w:pPr>
          </w:p>
        </w:tc>
        <w:tc>
          <w:tcPr>
            <w:tcW w:w="284" w:type="dxa"/>
            <w:tcBorders>
              <w:top w:val="single" w:sz="4" w:space="0" w:color="auto"/>
              <w:left w:val="nil"/>
              <w:bottom w:val="nil"/>
              <w:right w:val="nil"/>
            </w:tcBorders>
            <w:shd w:val="clear" w:color="auto" w:fill="auto"/>
            <w:noWrap/>
            <w:vAlign w:val="center"/>
            <w:hideMark/>
          </w:tcPr>
          <w:p w14:paraId="7998E3E6" w14:textId="77777777" w:rsidR="00BC5219" w:rsidRPr="004F1470" w:rsidRDefault="00BC5219" w:rsidP="00E83802">
            <w:pPr>
              <w:rPr>
                <w:rFonts w:ascii="Meta Pro" w:eastAsia="Times New Roman" w:hAnsi="Meta Pro"/>
                <w:b/>
                <w:bCs/>
                <w:color w:val="000000"/>
                <w:szCs w:val="18"/>
                <w:lang w:eastAsia="en-AU"/>
              </w:rPr>
            </w:pPr>
            <w:r w:rsidRPr="004F1470">
              <w:rPr>
                <w:rFonts w:ascii="Meta Pro" w:eastAsia="Times New Roman" w:hAnsi="Meta Pro"/>
                <w:b/>
                <w:bCs/>
                <w:color w:val="000000"/>
                <w:szCs w:val="18"/>
                <w:lang w:eastAsia="en-AU"/>
              </w:rPr>
              <w:t> </w:t>
            </w:r>
          </w:p>
        </w:tc>
        <w:tc>
          <w:tcPr>
            <w:tcW w:w="1514" w:type="dxa"/>
            <w:tcBorders>
              <w:top w:val="single" w:sz="4" w:space="0" w:color="auto"/>
              <w:left w:val="nil"/>
              <w:bottom w:val="nil"/>
              <w:right w:val="nil"/>
            </w:tcBorders>
            <w:shd w:val="clear" w:color="000000" w:fill="C9E3B4"/>
            <w:noWrap/>
            <w:vAlign w:val="center"/>
            <w:hideMark/>
          </w:tcPr>
          <w:p w14:paraId="796BEF34" w14:textId="77777777" w:rsidR="00BC5219" w:rsidRPr="004F1470" w:rsidRDefault="00BC5219" w:rsidP="00E83802">
            <w:pPr>
              <w:jc w:val="right"/>
              <w:rPr>
                <w:rFonts w:ascii="Meta Pro" w:eastAsia="Times New Roman" w:hAnsi="Meta Pro"/>
                <w:b/>
                <w:bCs/>
                <w:color w:val="000000"/>
                <w:szCs w:val="18"/>
                <w:lang w:eastAsia="en-AU"/>
              </w:rPr>
            </w:pPr>
            <w:r w:rsidRPr="004F1470">
              <w:rPr>
                <w:rFonts w:ascii="Meta Pro" w:eastAsia="Times New Roman" w:hAnsi="Meta Pro"/>
                <w:b/>
                <w:bCs/>
                <w:color w:val="000000"/>
                <w:szCs w:val="18"/>
                <w:lang w:eastAsia="en-AU"/>
              </w:rPr>
              <w:t xml:space="preserve">3,652,527 </w:t>
            </w:r>
          </w:p>
        </w:tc>
        <w:tc>
          <w:tcPr>
            <w:tcW w:w="216" w:type="dxa"/>
            <w:tcBorders>
              <w:top w:val="single" w:sz="4" w:space="0" w:color="auto"/>
              <w:left w:val="nil"/>
              <w:bottom w:val="nil"/>
              <w:right w:val="nil"/>
            </w:tcBorders>
            <w:shd w:val="clear" w:color="auto" w:fill="auto"/>
            <w:noWrap/>
            <w:vAlign w:val="center"/>
            <w:hideMark/>
          </w:tcPr>
          <w:p w14:paraId="3CC49973" w14:textId="77777777" w:rsidR="00BC5219" w:rsidRPr="004F1470" w:rsidRDefault="00BC5219" w:rsidP="00E83802">
            <w:pPr>
              <w:jc w:val="right"/>
              <w:rPr>
                <w:rFonts w:ascii="Meta Pro" w:eastAsia="Times New Roman" w:hAnsi="Meta Pro"/>
                <w:b/>
                <w:bCs/>
                <w:color w:val="000000"/>
                <w:szCs w:val="18"/>
                <w:lang w:eastAsia="en-AU"/>
              </w:rPr>
            </w:pPr>
            <w:r w:rsidRPr="004F1470">
              <w:rPr>
                <w:rFonts w:ascii="Meta Pro" w:eastAsia="Times New Roman" w:hAnsi="Meta Pro"/>
                <w:b/>
                <w:bCs/>
                <w:color w:val="000000"/>
                <w:szCs w:val="18"/>
                <w:lang w:eastAsia="en-AU"/>
              </w:rPr>
              <w:t> </w:t>
            </w:r>
          </w:p>
        </w:tc>
        <w:tc>
          <w:tcPr>
            <w:tcW w:w="1514" w:type="dxa"/>
            <w:tcBorders>
              <w:top w:val="single" w:sz="4" w:space="0" w:color="auto"/>
              <w:left w:val="nil"/>
              <w:bottom w:val="nil"/>
              <w:right w:val="nil"/>
            </w:tcBorders>
            <w:shd w:val="clear" w:color="auto" w:fill="auto"/>
            <w:noWrap/>
            <w:vAlign w:val="center"/>
            <w:hideMark/>
          </w:tcPr>
          <w:p w14:paraId="5D3F987B" w14:textId="77777777" w:rsidR="00BC5219" w:rsidRPr="004F1470" w:rsidRDefault="00BC5219" w:rsidP="00E83802">
            <w:pPr>
              <w:jc w:val="right"/>
              <w:rPr>
                <w:rFonts w:ascii="Meta Pro" w:eastAsia="Times New Roman" w:hAnsi="Meta Pro"/>
                <w:b/>
                <w:bCs/>
                <w:color w:val="000000"/>
                <w:szCs w:val="18"/>
                <w:lang w:eastAsia="en-AU"/>
              </w:rPr>
            </w:pPr>
            <w:r w:rsidRPr="004F1470">
              <w:rPr>
                <w:rFonts w:ascii="Meta Pro" w:eastAsia="Times New Roman" w:hAnsi="Meta Pro"/>
                <w:b/>
                <w:bCs/>
                <w:color w:val="000000"/>
                <w:szCs w:val="18"/>
                <w:lang w:eastAsia="en-AU"/>
              </w:rPr>
              <w:t xml:space="preserve">            2,804,802 </w:t>
            </w:r>
          </w:p>
        </w:tc>
      </w:tr>
      <w:tr w:rsidR="00BC5219" w:rsidRPr="004F1470" w14:paraId="1219E8EF" w14:textId="77777777" w:rsidTr="00E83802">
        <w:trPr>
          <w:trHeight w:val="240"/>
        </w:trPr>
        <w:tc>
          <w:tcPr>
            <w:tcW w:w="216" w:type="dxa"/>
            <w:tcBorders>
              <w:top w:val="nil"/>
              <w:left w:val="nil"/>
              <w:bottom w:val="nil"/>
              <w:right w:val="nil"/>
            </w:tcBorders>
            <w:shd w:val="clear" w:color="auto" w:fill="auto"/>
            <w:noWrap/>
            <w:vAlign w:val="center"/>
            <w:hideMark/>
          </w:tcPr>
          <w:p w14:paraId="311A0F64" w14:textId="77777777" w:rsidR="00BC5219" w:rsidRPr="004F1470" w:rsidRDefault="00BC5219" w:rsidP="00E83802">
            <w:pPr>
              <w:jc w:val="right"/>
              <w:rPr>
                <w:rFonts w:ascii="Meta Pro" w:eastAsia="Times New Roman" w:hAnsi="Meta Pro"/>
                <w:b/>
                <w:bCs/>
                <w:color w:val="000000"/>
                <w:szCs w:val="18"/>
                <w:lang w:eastAsia="en-AU"/>
              </w:rPr>
            </w:pPr>
          </w:p>
        </w:tc>
        <w:tc>
          <w:tcPr>
            <w:tcW w:w="5840" w:type="dxa"/>
            <w:tcBorders>
              <w:top w:val="nil"/>
              <w:left w:val="nil"/>
              <w:bottom w:val="nil"/>
              <w:right w:val="nil"/>
            </w:tcBorders>
            <w:shd w:val="clear" w:color="auto" w:fill="auto"/>
            <w:noWrap/>
            <w:vAlign w:val="center"/>
            <w:hideMark/>
          </w:tcPr>
          <w:p w14:paraId="4FCD2FB1" w14:textId="77777777" w:rsidR="00BC5219" w:rsidRPr="004F1470" w:rsidRDefault="00BC5219" w:rsidP="00E83802">
            <w:pPr>
              <w:rPr>
                <w:rFonts w:ascii="Meta Pro" w:eastAsia="Times New Roman" w:hAnsi="Meta Pro" w:cs="Times New Roman"/>
                <w:sz w:val="20"/>
                <w:szCs w:val="20"/>
                <w:lang w:eastAsia="en-AU"/>
              </w:rPr>
            </w:pPr>
          </w:p>
        </w:tc>
        <w:tc>
          <w:tcPr>
            <w:tcW w:w="28" w:type="dxa"/>
            <w:tcBorders>
              <w:top w:val="nil"/>
              <w:left w:val="nil"/>
              <w:bottom w:val="nil"/>
              <w:right w:val="nil"/>
            </w:tcBorders>
            <w:shd w:val="clear" w:color="auto" w:fill="auto"/>
            <w:noWrap/>
            <w:vAlign w:val="center"/>
            <w:hideMark/>
          </w:tcPr>
          <w:p w14:paraId="0DAB7444" w14:textId="77777777" w:rsidR="00BC5219" w:rsidRPr="004F1470" w:rsidRDefault="00BC5219" w:rsidP="00E83802">
            <w:pPr>
              <w:rPr>
                <w:rFonts w:ascii="Meta Pro" w:eastAsia="Times New Roman" w:hAnsi="Meta Pro" w:cs="Times New Roman"/>
                <w:sz w:val="20"/>
                <w:szCs w:val="20"/>
                <w:lang w:eastAsia="en-AU"/>
              </w:rPr>
            </w:pPr>
          </w:p>
        </w:tc>
        <w:tc>
          <w:tcPr>
            <w:tcW w:w="284" w:type="dxa"/>
            <w:tcBorders>
              <w:top w:val="nil"/>
              <w:left w:val="nil"/>
              <w:bottom w:val="nil"/>
              <w:right w:val="nil"/>
            </w:tcBorders>
            <w:shd w:val="clear" w:color="auto" w:fill="auto"/>
            <w:noWrap/>
            <w:vAlign w:val="center"/>
            <w:hideMark/>
          </w:tcPr>
          <w:p w14:paraId="05981BD0" w14:textId="77777777" w:rsidR="00BC5219" w:rsidRPr="004F1470"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376FBC80"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 </w:t>
            </w:r>
          </w:p>
        </w:tc>
        <w:tc>
          <w:tcPr>
            <w:tcW w:w="216" w:type="dxa"/>
            <w:tcBorders>
              <w:top w:val="nil"/>
              <w:left w:val="nil"/>
              <w:bottom w:val="nil"/>
              <w:right w:val="nil"/>
            </w:tcBorders>
            <w:shd w:val="clear" w:color="auto" w:fill="auto"/>
            <w:noWrap/>
            <w:vAlign w:val="center"/>
            <w:hideMark/>
          </w:tcPr>
          <w:p w14:paraId="549F4E58" w14:textId="77777777" w:rsidR="00BC5219" w:rsidRPr="004F1470"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7E8D699F" w14:textId="77777777" w:rsidR="00BC5219" w:rsidRPr="004F1470" w:rsidRDefault="00BC5219" w:rsidP="00E83802">
            <w:pPr>
              <w:jc w:val="right"/>
              <w:rPr>
                <w:rFonts w:ascii="Meta Pro" w:eastAsia="Times New Roman" w:hAnsi="Meta Pro" w:cs="Times New Roman"/>
                <w:sz w:val="20"/>
                <w:szCs w:val="20"/>
                <w:lang w:eastAsia="en-AU"/>
              </w:rPr>
            </w:pPr>
          </w:p>
        </w:tc>
      </w:tr>
      <w:tr w:rsidR="00BC5219" w:rsidRPr="004F1470" w14:paraId="254FF45C" w14:textId="77777777" w:rsidTr="00E83802">
        <w:trPr>
          <w:trHeight w:val="240"/>
        </w:trPr>
        <w:tc>
          <w:tcPr>
            <w:tcW w:w="216" w:type="dxa"/>
            <w:tcBorders>
              <w:top w:val="nil"/>
              <w:left w:val="nil"/>
              <w:bottom w:val="nil"/>
              <w:right w:val="nil"/>
            </w:tcBorders>
            <w:shd w:val="clear" w:color="auto" w:fill="auto"/>
            <w:noWrap/>
            <w:vAlign w:val="center"/>
            <w:hideMark/>
          </w:tcPr>
          <w:p w14:paraId="0709C928" w14:textId="77777777" w:rsidR="00BC5219" w:rsidRPr="004F1470" w:rsidRDefault="00BC5219" w:rsidP="00E83802">
            <w:pPr>
              <w:jc w:val="right"/>
              <w:rPr>
                <w:rFonts w:ascii="Meta Pro" w:eastAsia="Times New Roman" w:hAnsi="Meta Pro" w:cs="Times New Roman"/>
                <w:sz w:val="20"/>
                <w:szCs w:val="20"/>
                <w:lang w:eastAsia="en-AU"/>
              </w:rPr>
            </w:pPr>
          </w:p>
        </w:tc>
        <w:tc>
          <w:tcPr>
            <w:tcW w:w="5840" w:type="dxa"/>
            <w:tcBorders>
              <w:top w:val="nil"/>
              <w:left w:val="nil"/>
              <w:bottom w:val="nil"/>
              <w:right w:val="nil"/>
            </w:tcBorders>
            <w:shd w:val="clear" w:color="auto" w:fill="auto"/>
            <w:noWrap/>
            <w:vAlign w:val="center"/>
            <w:hideMark/>
          </w:tcPr>
          <w:p w14:paraId="1D76BD14" w14:textId="77777777" w:rsidR="00BC5219" w:rsidRPr="004F1470" w:rsidRDefault="00BC5219" w:rsidP="00E83802">
            <w:pPr>
              <w:rPr>
                <w:rFonts w:ascii="Meta Pro" w:eastAsia="Times New Roman" w:hAnsi="Meta Pro"/>
                <w:color w:val="000000"/>
                <w:szCs w:val="18"/>
                <w:lang w:eastAsia="en-AU"/>
              </w:rPr>
            </w:pPr>
            <w:r w:rsidRPr="004F1470">
              <w:rPr>
                <w:rFonts w:ascii="Meta Pro" w:eastAsia="Times New Roman" w:hAnsi="Meta Pro"/>
                <w:color w:val="000000"/>
                <w:szCs w:val="18"/>
                <w:lang w:eastAsia="en-AU"/>
              </w:rPr>
              <w:t xml:space="preserve">Net increase/(decrease) in cash </w:t>
            </w:r>
          </w:p>
        </w:tc>
        <w:tc>
          <w:tcPr>
            <w:tcW w:w="28" w:type="dxa"/>
            <w:tcBorders>
              <w:top w:val="nil"/>
              <w:left w:val="nil"/>
              <w:bottom w:val="nil"/>
              <w:right w:val="nil"/>
            </w:tcBorders>
            <w:shd w:val="clear" w:color="auto" w:fill="auto"/>
            <w:noWrap/>
            <w:vAlign w:val="center"/>
            <w:hideMark/>
          </w:tcPr>
          <w:p w14:paraId="6F406EEC" w14:textId="77777777" w:rsidR="00BC5219" w:rsidRPr="004F1470" w:rsidRDefault="00BC5219" w:rsidP="00E83802">
            <w:pPr>
              <w:rPr>
                <w:rFonts w:ascii="Meta Pro" w:eastAsia="Times New Roman" w:hAnsi="Meta Pro"/>
                <w:color w:val="000000"/>
                <w:szCs w:val="18"/>
                <w:lang w:eastAsia="en-AU"/>
              </w:rPr>
            </w:pPr>
          </w:p>
        </w:tc>
        <w:tc>
          <w:tcPr>
            <w:tcW w:w="284" w:type="dxa"/>
            <w:tcBorders>
              <w:top w:val="nil"/>
              <w:left w:val="nil"/>
              <w:bottom w:val="nil"/>
              <w:right w:val="nil"/>
            </w:tcBorders>
            <w:shd w:val="clear" w:color="auto" w:fill="auto"/>
            <w:noWrap/>
            <w:vAlign w:val="center"/>
            <w:hideMark/>
          </w:tcPr>
          <w:p w14:paraId="15EC3897" w14:textId="77777777" w:rsidR="00BC5219" w:rsidRPr="004F1470"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2243BF37"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 xml:space="preserve">353,200 </w:t>
            </w:r>
          </w:p>
        </w:tc>
        <w:tc>
          <w:tcPr>
            <w:tcW w:w="216" w:type="dxa"/>
            <w:tcBorders>
              <w:top w:val="nil"/>
              <w:left w:val="nil"/>
              <w:bottom w:val="nil"/>
              <w:right w:val="nil"/>
            </w:tcBorders>
            <w:shd w:val="clear" w:color="auto" w:fill="auto"/>
            <w:noWrap/>
            <w:vAlign w:val="center"/>
            <w:hideMark/>
          </w:tcPr>
          <w:p w14:paraId="1C0B69F7" w14:textId="77777777" w:rsidR="00BC5219" w:rsidRPr="004F1470"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7CECD90E"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 xml:space="preserve">                 (98,918)</w:t>
            </w:r>
          </w:p>
        </w:tc>
      </w:tr>
      <w:tr w:rsidR="00BC5219" w:rsidRPr="004F1470" w14:paraId="597CC6A9" w14:textId="77777777" w:rsidTr="00E83802">
        <w:trPr>
          <w:trHeight w:val="240"/>
        </w:trPr>
        <w:tc>
          <w:tcPr>
            <w:tcW w:w="216" w:type="dxa"/>
            <w:tcBorders>
              <w:top w:val="nil"/>
              <w:left w:val="nil"/>
              <w:bottom w:val="nil"/>
              <w:right w:val="nil"/>
            </w:tcBorders>
            <w:shd w:val="clear" w:color="auto" w:fill="auto"/>
            <w:noWrap/>
            <w:vAlign w:val="center"/>
            <w:hideMark/>
          </w:tcPr>
          <w:p w14:paraId="075E3415" w14:textId="77777777" w:rsidR="00BC5219" w:rsidRPr="004F1470" w:rsidRDefault="00BC5219" w:rsidP="00E83802">
            <w:pPr>
              <w:jc w:val="right"/>
              <w:rPr>
                <w:rFonts w:ascii="Meta Pro" w:eastAsia="Times New Roman" w:hAnsi="Meta Pro"/>
                <w:color w:val="000000"/>
                <w:szCs w:val="18"/>
                <w:lang w:eastAsia="en-AU"/>
              </w:rPr>
            </w:pPr>
          </w:p>
        </w:tc>
        <w:tc>
          <w:tcPr>
            <w:tcW w:w="5840" w:type="dxa"/>
            <w:tcBorders>
              <w:top w:val="nil"/>
              <w:left w:val="nil"/>
              <w:bottom w:val="nil"/>
              <w:right w:val="nil"/>
            </w:tcBorders>
            <w:shd w:val="clear" w:color="auto" w:fill="auto"/>
            <w:noWrap/>
            <w:vAlign w:val="center"/>
            <w:hideMark/>
          </w:tcPr>
          <w:p w14:paraId="4400C81F" w14:textId="77777777" w:rsidR="00BC5219" w:rsidRPr="004F1470" w:rsidRDefault="00BC5219" w:rsidP="00E83802">
            <w:pPr>
              <w:rPr>
                <w:rFonts w:ascii="Meta Pro" w:eastAsia="Times New Roman" w:hAnsi="Meta Pro"/>
                <w:color w:val="000000"/>
                <w:szCs w:val="18"/>
                <w:lang w:eastAsia="en-AU"/>
              </w:rPr>
            </w:pPr>
            <w:r w:rsidRPr="004F1470">
              <w:rPr>
                <w:rFonts w:ascii="Meta Pro" w:eastAsia="Times New Roman" w:hAnsi="Meta Pro"/>
                <w:color w:val="000000"/>
                <w:szCs w:val="18"/>
                <w:lang w:eastAsia="en-AU"/>
              </w:rPr>
              <w:t>Increase in cash due to machinery-of-government change (refer to Note 1)</w:t>
            </w:r>
          </w:p>
        </w:tc>
        <w:tc>
          <w:tcPr>
            <w:tcW w:w="28" w:type="dxa"/>
            <w:tcBorders>
              <w:top w:val="nil"/>
              <w:left w:val="nil"/>
              <w:bottom w:val="nil"/>
              <w:right w:val="nil"/>
            </w:tcBorders>
            <w:shd w:val="clear" w:color="auto" w:fill="auto"/>
            <w:noWrap/>
            <w:vAlign w:val="center"/>
            <w:hideMark/>
          </w:tcPr>
          <w:p w14:paraId="6D0A1378" w14:textId="77777777" w:rsidR="00BC5219" w:rsidRPr="004F1470" w:rsidRDefault="00BC5219" w:rsidP="00E83802">
            <w:pPr>
              <w:rPr>
                <w:rFonts w:ascii="Meta Pro" w:eastAsia="Times New Roman" w:hAnsi="Meta Pro"/>
                <w:color w:val="000000"/>
                <w:szCs w:val="18"/>
                <w:lang w:eastAsia="en-AU"/>
              </w:rPr>
            </w:pPr>
          </w:p>
        </w:tc>
        <w:tc>
          <w:tcPr>
            <w:tcW w:w="284" w:type="dxa"/>
            <w:tcBorders>
              <w:top w:val="nil"/>
              <w:left w:val="nil"/>
              <w:bottom w:val="nil"/>
              <w:right w:val="nil"/>
            </w:tcBorders>
            <w:shd w:val="clear" w:color="auto" w:fill="auto"/>
            <w:noWrap/>
            <w:vAlign w:val="center"/>
            <w:hideMark/>
          </w:tcPr>
          <w:p w14:paraId="3699C400" w14:textId="77777777" w:rsidR="00BC5219" w:rsidRPr="004F1470"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440112EF"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 xml:space="preserve">71,472 </w:t>
            </w:r>
          </w:p>
        </w:tc>
        <w:tc>
          <w:tcPr>
            <w:tcW w:w="216" w:type="dxa"/>
            <w:tcBorders>
              <w:top w:val="nil"/>
              <w:left w:val="nil"/>
              <w:bottom w:val="nil"/>
              <w:right w:val="nil"/>
            </w:tcBorders>
            <w:shd w:val="clear" w:color="auto" w:fill="auto"/>
            <w:noWrap/>
            <w:vAlign w:val="center"/>
            <w:hideMark/>
          </w:tcPr>
          <w:p w14:paraId="784039FB" w14:textId="77777777" w:rsidR="00BC5219" w:rsidRPr="004F1470"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52FD463F" w14:textId="77777777" w:rsidR="00BC5219" w:rsidRPr="004F1470" w:rsidRDefault="00BC5219" w:rsidP="00E83802">
            <w:pPr>
              <w:jc w:val="right"/>
              <w:rPr>
                <w:rFonts w:ascii="Meta Pro" w:eastAsia="Times New Roman" w:hAnsi="Meta Pro"/>
                <w:szCs w:val="18"/>
                <w:lang w:eastAsia="en-AU"/>
              </w:rPr>
            </w:pPr>
            <w:r w:rsidRPr="004F1470">
              <w:rPr>
                <w:rFonts w:ascii="Meta Pro" w:eastAsia="Times New Roman" w:hAnsi="Meta Pro"/>
                <w:szCs w:val="18"/>
                <w:lang w:eastAsia="en-AU"/>
              </w:rPr>
              <w:t xml:space="preserve">- </w:t>
            </w:r>
          </w:p>
        </w:tc>
      </w:tr>
      <w:tr w:rsidR="00BC5219" w:rsidRPr="004F1470" w14:paraId="6380D7CC" w14:textId="77777777" w:rsidTr="00E83802">
        <w:trPr>
          <w:trHeight w:val="240"/>
        </w:trPr>
        <w:tc>
          <w:tcPr>
            <w:tcW w:w="216" w:type="dxa"/>
            <w:tcBorders>
              <w:top w:val="nil"/>
              <w:left w:val="nil"/>
              <w:bottom w:val="nil"/>
              <w:right w:val="nil"/>
            </w:tcBorders>
            <w:shd w:val="clear" w:color="auto" w:fill="auto"/>
            <w:noWrap/>
            <w:vAlign w:val="center"/>
            <w:hideMark/>
          </w:tcPr>
          <w:p w14:paraId="22DE3131" w14:textId="77777777" w:rsidR="00BC5219" w:rsidRPr="004F1470" w:rsidRDefault="00BC5219" w:rsidP="00E83802">
            <w:pPr>
              <w:jc w:val="right"/>
              <w:rPr>
                <w:rFonts w:ascii="Meta Pro" w:eastAsia="Times New Roman" w:hAnsi="Meta Pro"/>
                <w:szCs w:val="18"/>
                <w:lang w:eastAsia="en-AU"/>
              </w:rPr>
            </w:pPr>
          </w:p>
        </w:tc>
        <w:tc>
          <w:tcPr>
            <w:tcW w:w="5840" w:type="dxa"/>
            <w:tcBorders>
              <w:top w:val="nil"/>
              <w:left w:val="nil"/>
              <w:bottom w:val="nil"/>
              <w:right w:val="nil"/>
            </w:tcBorders>
            <w:shd w:val="clear" w:color="auto" w:fill="auto"/>
            <w:noWrap/>
            <w:vAlign w:val="center"/>
            <w:hideMark/>
          </w:tcPr>
          <w:p w14:paraId="4111D894" w14:textId="77777777" w:rsidR="00BC5219" w:rsidRPr="004F1470" w:rsidRDefault="00BC5219" w:rsidP="00E83802">
            <w:pPr>
              <w:rPr>
                <w:rFonts w:ascii="Meta Pro" w:eastAsia="Times New Roman" w:hAnsi="Meta Pro"/>
                <w:color w:val="000000"/>
                <w:szCs w:val="18"/>
                <w:lang w:eastAsia="en-AU"/>
              </w:rPr>
            </w:pPr>
            <w:r w:rsidRPr="004F1470">
              <w:rPr>
                <w:rFonts w:ascii="Meta Pro" w:eastAsia="Times New Roman" w:hAnsi="Meta Pro"/>
                <w:color w:val="000000"/>
                <w:szCs w:val="18"/>
                <w:lang w:eastAsia="en-AU"/>
              </w:rPr>
              <w:t>Cash – opening balance</w:t>
            </w:r>
          </w:p>
        </w:tc>
        <w:tc>
          <w:tcPr>
            <w:tcW w:w="28" w:type="dxa"/>
            <w:tcBorders>
              <w:top w:val="nil"/>
              <w:left w:val="nil"/>
              <w:bottom w:val="single" w:sz="4" w:space="0" w:color="auto"/>
              <w:right w:val="nil"/>
            </w:tcBorders>
            <w:shd w:val="clear" w:color="auto" w:fill="auto"/>
            <w:noWrap/>
            <w:vAlign w:val="center"/>
            <w:hideMark/>
          </w:tcPr>
          <w:p w14:paraId="64AE6CF2" w14:textId="77777777" w:rsidR="00BC5219" w:rsidRPr="004F1470" w:rsidRDefault="00BC5219" w:rsidP="00E83802">
            <w:pPr>
              <w:jc w:val="center"/>
              <w:rPr>
                <w:rFonts w:ascii="Meta Pro" w:eastAsia="Times New Roman" w:hAnsi="Meta Pro"/>
                <w:color w:val="000000"/>
                <w:sz w:val="20"/>
                <w:szCs w:val="20"/>
                <w:lang w:eastAsia="en-AU"/>
              </w:rPr>
            </w:pPr>
            <w:r w:rsidRPr="004F1470">
              <w:rPr>
                <w:rFonts w:ascii="Meta Pro" w:eastAsia="Times New Roman" w:hAnsi="Meta Pro"/>
                <w:color w:val="000000"/>
                <w:sz w:val="20"/>
                <w:szCs w:val="20"/>
                <w:lang w:eastAsia="en-AU"/>
              </w:rPr>
              <w:t> </w:t>
            </w:r>
          </w:p>
        </w:tc>
        <w:tc>
          <w:tcPr>
            <w:tcW w:w="284" w:type="dxa"/>
            <w:tcBorders>
              <w:top w:val="nil"/>
              <w:left w:val="nil"/>
              <w:bottom w:val="nil"/>
              <w:right w:val="nil"/>
            </w:tcBorders>
            <w:shd w:val="clear" w:color="auto" w:fill="auto"/>
            <w:noWrap/>
            <w:vAlign w:val="center"/>
            <w:hideMark/>
          </w:tcPr>
          <w:p w14:paraId="12966F30" w14:textId="77777777" w:rsidR="00BC5219" w:rsidRPr="004F1470" w:rsidRDefault="00BC5219" w:rsidP="00E83802">
            <w:pPr>
              <w:jc w:val="center"/>
              <w:rPr>
                <w:rFonts w:ascii="Meta Pro" w:eastAsia="Times New Roman" w:hAnsi="Meta Pro"/>
                <w:color w:val="000000"/>
                <w:sz w:val="20"/>
                <w:szCs w:val="20"/>
                <w:lang w:eastAsia="en-AU"/>
              </w:rPr>
            </w:pPr>
          </w:p>
        </w:tc>
        <w:tc>
          <w:tcPr>
            <w:tcW w:w="1514" w:type="dxa"/>
            <w:tcBorders>
              <w:top w:val="nil"/>
              <w:left w:val="nil"/>
              <w:bottom w:val="nil"/>
              <w:right w:val="nil"/>
            </w:tcBorders>
            <w:shd w:val="clear" w:color="000000" w:fill="C9E3B4"/>
            <w:noWrap/>
            <w:vAlign w:val="center"/>
            <w:hideMark/>
          </w:tcPr>
          <w:p w14:paraId="30342DCD"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 xml:space="preserve">245,430 </w:t>
            </w:r>
          </w:p>
        </w:tc>
        <w:tc>
          <w:tcPr>
            <w:tcW w:w="216" w:type="dxa"/>
            <w:tcBorders>
              <w:top w:val="nil"/>
              <w:left w:val="nil"/>
              <w:bottom w:val="nil"/>
              <w:right w:val="nil"/>
            </w:tcBorders>
            <w:shd w:val="clear" w:color="auto" w:fill="auto"/>
            <w:noWrap/>
            <w:vAlign w:val="center"/>
            <w:hideMark/>
          </w:tcPr>
          <w:p w14:paraId="5CCDCF23" w14:textId="77777777" w:rsidR="00BC5219" w:rsidRPr="004F1470" w:rsidRDefault="00BC5219" w:rsidP="00E83802">
            <w:pPr>
              <w:jc w:val="right"/>
              <w:rPr>
                <w:rFonts w:ascii="Meta Pro" w:eastAsia="Times New Roman" w:hAnsi="Meta Pro"/>
                <w:color w:val="000000"/>
                <w:szCs w:val="18"/>
                <w:lang w:eastAsia="en-AU"/>
              </w:rPr>
            </w:pPr>
          </w:p>
        </w:tc>
        <w:tc>
          <w:tcPr>
            <w:tcW w:w="1514" w:type="dxa"/>
            <w:tcBorders>
              <w:top w:val="nil"/>
              <w:left w:val="nil"/>
              <w:bottom w:val="nil"/>
              <w:right w:val="nil"/>
            </w:tcBorders>
            <w:shd w:val="clear" w:color="auto" w:fill="auto"/>
            <w:noWrap/>
            <w:vAlign w:val="center"/>
            <w:hideMark/>
          </w:tcPr>
          <w:p w14:paraId="5E905E5C"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 xml:space="preserve">                 344,348 </w:t>
            </w:r>
          </w:p>
        </w:tc>
      </w:tr>
      <w:tr w:rsidR="00BC5219" w:rsidRPr="004F1470" w14:paraId="6E43D1DF" w14:textId="77777777" w:rsidTr="00E83802">
        <w:trPr>
          <w:trHeight w:val="240"/>
        </w:trPr>
        <w:tc>
          <w:tcPr>
            <w:tcW w:w="5840" w:type="dxa"/>
            <w:gridSpan w:val="2"/>
            <w:tcBorders>
              <w:top w:val="single" w:sz="4" w:space="0" w:color="auto"/>
              <w:left w:val="nil"/>
              <w:bottom w:val="double" w:sz="6" w:space="0" w:color="auto"/>
              <w:right w:val="nil"/>
            </w:tcBorders>
            <w:shd w:val="clear" w:color="auto" w:fill="auto"/>
            <w:noWrap/>
            <w:vAlign w:val="center"/>
            <w:hideMark/>
          </w:tcPr>
          <w:p w14:paraId="60E387EC" w14:textId="77777777" w:rsidR="00BC5219" w:rsidRPr="004F1470" w:rsidRDefault="00BC5219" w:rsidP="00E83802">
            <w:pPr>
              <w:rPr>
                <w:rFonts w:ascii="Meta Pro" w:eastAsia="Times New Roman" w:hAnsi="Meta Pro"/>
                <w:b/>
                <w:bCs/>
                <w:color w:val="000000"/>
                <w:szCs w:val="18"/>
                <w:lang w:eastAsia="en-AU"/>
              </w:rPr>
            </w:pPr>
            <w:r w:rsidRPr="004F1470">
              <w:rPr>
                <w:rFonts w:ascii="Meta Pro" w:eastAsia="Times New Roman" w:hAnsi="Meta Pro"/>
                <w:b/>
                <w:bCs/>
                <w:color w:val="000000"/>
                <w:szCs w:val="18"/>
                <w:lang w:eastAsia="en-AU"/>
              </w:rPr>
              <w:t>CASH – CLOSING BALANCE</w:t>
            </w:r>
          </w:p>
        </w:tc>
        <w:tc>
          <w:tcPr>
            <w:tcW w:w="28" w:type="dxa"/>
            <w:tcBorders>
              <w:top w:val="single" w:sz="4" w:space="0" w:color="auto"/>
              <w:left w:val="nil"/>
              <w:bottom w:val="double" w:sz="6" w:space="0" w:color="auto"/>
              <w:right w:val="nil"/>
            </w:tcBorders>
            <w:shd w:val="clear" w:color="auto" w:fill="auto"/>
            <w:noWrap/>
            <w:vAlign w:val="center"/>
            <w:hideMark/>
          </w:tcPr>
          <w:p w14:paraId="13E24845" w14:textId="77777777" w:rsidR="00BC5219" w:rsidRPr="004F1470" w:rsidRDefault="00BC5219" w:rsidP="00E83802">
            <w:pPr>
              <w:jc w:val="center"/>
              <w:rPr>
                <w:rFonts w:ascii="Meta Pro" w:eastAsia="Times New Roman" w:hAnsi="Meta Pro"/>
                <w:color w:val="000000"/>
                <w:szCs w:val="18"/>
                <w:lang w:eastAsia="en-AU"/>
              </w:rPr>
            </w:pPr>
            <w:r w:rsidRPr="004F1470">
              <w:rPr>
                <w:rFonts w:ascii="Meta Pro" w:eastAsia="Times New Roman" w:hAnsi="Meta Pro"/>
                <w:color w:val="000000"/>
                <w:szCs w:val="18"/>
                <w:lang w:eastAsia="en-AU"/>
              </w:rPr>
              <w:t> </w:t>
            </w:r>
          </w:p>
        </w:tc>
        <w:tc>
          <w:tcPr>
            <w:tcW w:w="284" w:type="dxa"/>
            <w:tcBorders>
              <w:top w:val="single" w:sz="4" w:space="0" w:color="auto"/>
              <w:left w:val="nil"/>
              <w:bottom w:val="double" w:sz="6" w:space="0" w:color="auto"/>
              <w:right w:val="nil"/>
            </w:tcBorders>
            <w:shd w:val="clear" w:color="auto" w:fill="auto"/>
            <w:noWrap/>
            <w:vAlign w:val="center"/>
            <w:hideMark/>
          </w:tcPr>
          <w:p w14:paraId="6AFB493E" w14:textId="77777777" w:rsidR="00BC5219" w:rsidRPr="004F1470" w:rsidRDefault="00BC5219" w:rsidP="00E83802">
            <w:pPr>
              <w:rPr>
                <w:rFonts w:ascii="Meta Pro" w:eastAsia="Times New Roman" w:hAnsi="Meta Pro"/>
                <w:color w:val="000000"/>
                <w:szCs w:val="18"/>
                <w:lang w:eastAsia="en-AU"/>
              </w:rPr>
            </w:pPr>
            <w:r w:rsidRPr="004F1470">
              <w:rPr>
                <w:rFonts w:ascii="Meta Pro" w:eastAsia="Times New Roman" w:hAnsi="Meta Pro"/>
                <w:color w:val="000000"/>
                <w:szCs w:val="18"/>
                <w:lang w:eastAsia="en-AU"/>
              </w:rPr>
              <w:t> </w:t>
            </w:r>
          </w:p>
        </w:tc>
        <w:tc>
          <w:tcPr>
            <w:tcW w:w="1514" w:type="dxa"/>
            <w:tcBorders>
              <w:top w:val="single" w:sz="4" w:space="0" w:color="auto"/>
              <w:left w:val="nil"/>
              <w:bottom w:val="double" w:sz="6" w:space="0" w:color="auto"/>
              <w:right w:val="nil"/>
            </w:tcBorders>
            <w:shd w:val="clear" w:color="000000" w:fill="C9E3B4"/>
            <w:noWrap/>
            <w:vAlign w:val="center"/>
            <w:hideMark/>
          </w:tcPr>
          <w:p w14:paraId="4535C8FB" w14:textId="77777777" w:rsidR="00BC5219" w:rsidRPr="004F1470" w:rsidRDefault="00BC5219" w:rsidP="00E83802">
            <w:pPr>
              <w:jc w:val="right"/>
              <w:rPr>
                <w:rFonts w:ascii="Meta Pro" w:eastAsia="Times New Roman" w:hAnsi="Meta Pro"/>
                <w:b/>
                <w:bCs/>
                <w:color w:val="000000"/>
                <w:szCs w:val="18"/>
                <w:lang w:eastAsia="en-AU"/>
              </w:rPr>
            </w:pPr>
            <w:r w:rsidRPr="004F1470">
              <w:rPr>
                <w:rFonts w:ascii="Meta Pro" w:eastAsia="Times New Roman" w:hAnsi="Meta Pro"/>
                <w:b/>
                <w:bCs/>
                <w:color w:val="000000"/>
                <w:szCs w:val="18"/>
                <w:lang w:eastAsia="en-AU"/>
              </w:rPr>
              <w:t xml:space="preserve">670,102 </w:t>
            </w:r>
          </w:p>
        </w:tc>
        <w:tc>
          <w:tcPr>
            <w:tcW w:w="216" w:type="dxa"/>
            <w:tcBorders>
              <w:top w:val="single" w:sz="4" w:space="0" w:color="auto"/>
              <w:left w:val="nil"/>
              <w:bottom w:val="double" w:sz="6" w:space="0" w:color="auto"/>
              <w:right w:val="nil"/>
            </w:tcBorders>
            <w:shd w:val="clear" w:color="auto" w:fill="auto"/>
            <w:noWrap/>
            <w:vAlign w:val="center"/>
            <w:hideMark/>
          </w:tcPr>
          <w:p w14:paraId="3B6C2FF5" w14:textId="77777777" w:rsidR="00BC5219" w:rsidRPr="004F1470" w:rsidRDefault="00BC5219" w:rsidP="00E83802">
            <w:pPr>
              <w:jc w:val="right"/>
              <w:rPr>
                <w:rFonts w:ascii="Meta Pro" w:eastAsia="Times New Roman" w:hAnsi="Meta Pro"/>
                <w:b/>
                <w:bCs/>
                <w:color w:val="000000"/>
                <w:szCs w:val="18"/>
                <w:lang w:eastAsia="en-AU"/>
              </w:rPr>
            </w:pPr>
            <w:r w:rsidRPr="004F1470">
              <w:rPr>
                <w:rFonts w:ascii="Meta Pro" w:eastAsia="Times New Roman" w:hAnsi="Meta Pro"/>
                <w:b/>
                <w:bCs/>
                <w:color w:val="000000"/>
                <w:szCs w:val="18"/>
                <w:lang w:eastAsia="en-AU"/>
              </w:rPr>
              <w:t> </w:t>
            </w:r>
          </w:p>
        </w:tc>
        <w:tc>
          <w:tcPr>
            <w:tcW w:w="1514" w:type="dxa"/>
            <w:tcBorders>
              <w:top w:val="single" w:sz="4" w:space="0" w:color="auto"/>
              <w:left w:val="nil"/>
              <w:bottom w:val="double" w:sz="6" w:space="0" w:color="auto"/>
              <w:right w:val="nil"/>
            </w:tcBorders>
            <w:shd w:val="clear" w:color="auto" w:fill="auto"/>
            <w:noWrap/>
            <w:vAlign w:val="center"/>
            <w:hideMark/>
          </w:tcPr>
          <w:p w14:paraId="40789DA0" w14:textId="77777777" w:rsidR="00BC5219" w:rsidRPr="004F1470" w:rsidRDefault="00BC5219" w:rsidP="00E83802">
            <w:pPr>
              <w:jc w:val="right"/>
              <w:rPr>
                <w:rFonts w:ascii="Meta Pro" w:eastAsia="Times New Roman" w:hAnsi="Meta Pro"/>
                <w:b/>
                <w:bCs/>
                <w:color w:val="000000"/>
                <w:szCs w:val="18"/>
                <w:lang w:eastAsia="en-AU"/>
              </w:rPr>
            </w:pPr>
            <w:r w:rsidRPr="004F1470">
              <w:rPr>
                <w:rFonts w:ascii="Meta Pro" w:eastAsia="Times New Roman" w:hAnsi="Meta Pro"/>
                <w:b/>
                <w:bCs/>
                <w:color w:val="000000"/>
                <w:szCs w:val="18"/>
                <w:lang w:eastAsia="en-AU"/>
              </w:rPr>
              <w:t xml:space="preserve">                 245,430 </w:t>
            </w:r>
          </w:p>
        </w:tc>
      </w:tr>
    </w:tbl>
    <w:p w14:paraId="3AD7548B" w14:textId="77777777" w:rsidR="00BC5219" w:rsidRPr="008A2B8F" w:rsidRDefault="00BC5219" w:rsidP="00BC5219">
      <w:pPr>
        <w:spacing w:before="120"/>
        <w:rPr>
          <w:rFonts w:ascii="Meta Pro" w:hAnsi="Meta Pro"/>
          <w:lang w:eastAsia="en-AU"/>
        </w:rPr>
      </w:pPr>
      <w:r w:rsidRPr="008A2B8F">
        <w:rPr>
          <w:rFonts w:ascii="Meta Pro" w:hAnsi="Meta Pro"/>
          <w:i/>
          <w:iCs/>
          <w:szCs w:val="18"/>
        </w:rPr>
        <w:t>The accompanying notes form part of these financial statements.</w:t>
      </w:r>
    </w:p>
    <w:p w14:paraId="71D32E23" w14:textId="77777777" w:rsidR="00BC5219" w:rsidRPr="008A2B8F" w:rsidRDefault="00BC5219" w:rsidP="00BC5219">
      <w:pPr>
        <w:tabs>
          <w:tab w:val="left" w:pos="972"/>
        </w:tabs>
        <w:rPr>
          <w:rFonts w:ascii="Meta Pro" w:hAnsi="Meta Pro"/>
          <w:szCs w:val="18"/>
        </w:rPr>
      </w:pPr>
    </w:p>
    <w:p w14:paraId="4D9DE628" w14:textId="77777777" w:rsidR="00BC5219" w:rsidRPr="008A2B8F" w:rsidRDefault="00BC5219" w:rsidP="00BC5219">
      <w:pPr>
        <w:pStyle w:val="ACPHeading"/>
      </w:pPr>
      <w:r w:rsidRPr="008A2B8F">
        <w:t>Cash disclosure</w:t>
      </w:r>
    </w:p>
    <w:p w14:paraId="3D9366AC" w14:textId="77777777" w:rsidR="00BC5219" w:rsidRPr="008A2B8F" w:rsidRDefault="00BC5219" w:rsidP="00BC5219">
      <w:pPr>
        <w:pStyle w:val="ACPPara"/>
      </w:pPr>
      <w:r w:rsidRPr="008A2B8F">
        <w:t>Cash represents all cash on hand, cash at bank and cheques receipted but not banked at 30 June.</w:t>
      </w:r>
    </w:p>
    <w:p w14:paraId="5AD69BAA" w14:textId="77777777" w:rsidR="00BC5219" w:rsidRPr="008A2B8F" w:rsidRDefault="00BC5219" w:rsidP="00BC5219">
      <w:pPr>
        <w:pStyle w:val="ACPPara"/>
      </w:pPr>
      <w:r w:rsidRPr="008A2B8F">
        <w:t>The department's bank accounts are grouped within the whole-of-government banking set-off arrangement with Queensland Treasury Corporation and do not earn interest. The department has an overdraft facility with the Commonwealth Bank of Australia with an approved limit of $215.450m (2022: $200m). There is no interest charged on this overdraft facility.</w:t>
      </w:r>
    </w:p>
    <w:p w14:paraId="761EB806" w14:textId="77777777" w:rsidR="00BC5219" w:rsidRPr="008A2B8F" w:rsidRDefault="00BC5219" w:rsidP="00BC5219">
      <w:pPr>
        <w:rPr>
          <w:rFonts w:ascii="Meta Pro" w:hAnsi="Meta Pro"/>
        </w:rPr>
        <w:sectPr w:rsidR="00BC5219" w:rsidRPr="008A2B8F" w:rsidSect="009E1DAB">
          <w:headerReference w:type="default" r:id="rId93"/>
          <w:footerReference w:type="default" r:id="rId94"/>
          <w:pgSz w:w="11906" w:h="16838"/>
          <w:pgMar w:top="1701" w:right="851" w:bottom="1134" w:left="851" w:header="454" w:footer="454" w:gutter="0"/>
          <w:pgNumType w:start="1"/>
          <w:cols w:space="708"/>
          <w:docGrid w:linePitch="360"/>
        </w:sectPr>
      </w:pPr>
    </w:p>
    <w:p w14:paraId="1386B445" w14:textId="77777777" w:rsidR="00BC5219" w:rsidRPr="008A2B8F" w:rsidRDefault="00BC5219" w:rsidP="00BC5219">
      <w:pPr>
        <w:spacing w:after="160" w:line="259" w:lineRule="auto"/>
        <w:rPr>
          <w:rFonts w:ascii="Meta Pro" w:hAnsi="Meta Pro"/>
        </w:rPr>
        <w:sectPr w:rsidR="00BC5219" w:rsidRPr="008A2B8F" w:rsidSect="00457B14">
          <w:type w:val="continuous"/>
          <w:pgSz w:w="11906" w:h="16838"/>
          <w:pgMar w:top="232" w:right="1134" w:bottom="1134" w:left="1134" w:header="454" w:footer="454" w:gutter="0"/>
          <w:pgNumType w:start="1"/>
          <w:cols w:space="708"/>
          <w:docGrid w:linePitch="360"/>
        </w:sectPr>
      </w:pPr>
    </w:p>
    <w:p w14:paraId="31BE78BC"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r w:rsidRPr="008A2B8F">
        <w:rPr>
          <w:rFonts w:ascii="Meta Pro" w:eastAsia="Times New Roman" w:hAnsi="Meta Pro"/>
          <w:i/>
          <w:iCs/>
          <w:color w:val="000000" w:themeColor="text1"/>
          <w:lang w:eastAsia="en-AU"/>
        </w:rPr>
        <w:lastRenderedPageBreak/>
        <w:t>Department of Transport and Main Roads</w:t>
      </w:r>
    </w:p>
    <w:p w14:paraId="732A8A94"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Notes to the Statement of cash flows</w:t>
      </w:r>
    </w:p>
    <w:p w14:paraId="42133824"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for the year ended 30 June 2023</w:t>
      </w:r>
    </w:p>
    <w:p w14:paraId="765D97F7" w14:textId="77777777" w:rsidR="00BC5219" w:rsidRDefault="00BC5219" w:rsidP="00BC5219">
      <w:pPr>
        <w:spacing w:line="120" w:lineRule="auto"/>
        <w:rPr>
          <w:rFonts w:asciiTheme="minorHAnsi" w:hAnsiTheme="minorHAnsi" w:cstheme="minorBidi"/>
        </w:rPr>
      </w:pPr>
    </w:p>
    <w:tbl>
      <w:tblPr>
        <w:tblW w:w="0" w:type="auto"/>
        <w:tblCellMar>
          <w:left w:w="0" w:type="dxa"/>
        </w:tblCellMar>
        <w:tblLook w:val="04A0" w:firstRow="1" w:lastRow="0" w:firstColumn="1" w:lastColumn="0" w:noHBand="0" w:noVBand="1"/>
      </w:tblPr>
      <w:tblGrid>
        <w:gridCol w:w="224"/>
        <w:gridCol w:w="4969"/>
        <w:gridCol w:w="704"/>
        <w:gridCol w:w="584"/>
        <w:gridCol w:w="1522"/>
        <w:gridCol w:w="224"/>
        <w:gridCol w:w="1522"/>
        <w:gridCol w:w="8"/>
      </w:tblGrid>
      <w:tr w:rsidR="00BC5219" w:rsidRPr="004F1470" w14:paraId="606ACA4B" w14:textId="77777777" w:rsidTr="00E83802">
        <w:trPr>
          <w:gridAfter w:val="1"/>
          <w:wAfter w:w="8" w:type="dxa"/>
          <w:trHeight w:val="240"/>
        </w:trPr>
        <w:tc>
          <w:tcPr>
            <w:tcW w:w="216" w:type="dxa"/>
            <w:tcBorders>
              <w:top w:val="nil"/>
              <w:left w:val="nil"/>
              <w:bottom w:val="nil"/>
              <w:right w:val="nil"/>
            </w:tcBorders>
            <w:shd w:val="clear" w:color="auto" w:fill="auto"/>
            <w:noWrap/>
            <w:vAlign w:val="center"/>
            <w:hideMark/>
          </w:tcPr>
          <w:p w14:paraId="7F9BC53B" w14:textId="77777777" w:rsidR="00BC5219" w:rsidRPr="004F1470" w:rsidRDefault="00BC5219" w:rsidP="00E83802">
            <w:pPr>
              <w:rPr>
                <w:rFonts w:ascii="Times New Roman" w:eastAsia="Times New Roman" w:hAnsi="Times New Roman" w:cs="Times New Roman"/>
                <w:sz w:val="24"/>
                <w:szCs w:val="24"/>
                <w:lang w:eastAsia="en-AU"/>
              </w:rPr>
            </w:pPr>
          </w:p>
        </w:tc>
        <w:tc>
          <w:tcPr>
            <w:tcW w:w="4961" w:type="dxa"/>
            <w:tcBorders>
              <w:top w:val="nil"/>
              <w:left w:val="nil"/>
              <w:bottom w:val="nil"/>
              <w:right w:val="nil"/>
            </w:tcBorders>
            <w:shd w:val="clear" w:color="auto" w:fill="auto"/>
            <w:noWrap/>
            <w:vAlign w:val="center"/>
            <w:hideMark/>
          </w:tcPr>
          <w:p w14:paraId="15EA54DC" w14:textId="77777777" w:rsidR="00BC5219" w:rsidRPr="004F1470" w:rsidRDefault="00BC5219" w:rsidP="00E83802">
            <w:pPr>
              <w:rPr>
                <w:rFonts w:ascii="Times New Roman" w:eastAsia="Times New Roman" w:hAnsi="Times New Roman" w:cs="Times New Roman"/>
                <w:sz w:val="20"/>
                <w:szCs w:val="20"/>
                <w:lang w:eastAsia="en-AU"/>
              </w:rPr>
            </w:pPr>
          </w:p>
        </w:tc>
        <w:tc>
          <w:tcPr>
            <w:tcW w:w="696" w:type="dxa"/>
            <w:tcBorders>
              <w:top w:val="nil"/>
              <w:left w:val="nil"/>
              <w:bottom w:val="nil"/>
              <w:right w:val="nil"/>
            </w:tcBorders>
            <w:shd w:val="clear" w:color="auto" w:fill="auto"/>
            <w:noWrap/>
            <w:vAlign w:val="center"/>
            <w:hideMark/>
          </w:tcPr>
          <w:p w14:paraId="59C6291A" w14:textId="77777777" w:rsidR="00BC5219" w:rsidRPr="004F1470" w:rsidRDefault="00BC5219" w:rsidP="00E83802">
            <w:pPr>
              <w:rPr>
                <w:rFonts w:ascii="Times New Roman" w:eastAsia="Times New Roman" w:hAnsi="Times New Roman" w:cs="Times New Roman"/>
                <w:sz w:val="20"/>
                <w:szCs w:val="20"/>
                <w:lang w:eastAsia="en-AU"/>
              </w:rPr>
            </w:pPr>
          </w:p>
        </w:tc>
        <w:tc>
          <w:tcPr>
            <w:tcW w:w="576" w:type="dxa"/>
            <w:tcBorders>
              <w:top w:val="nil"/>
              <w:left w:val="nil"/>
              <w:bottom w:val="nil"/>
              <w:right w:val="nil"/>
            </w:tcBorders>
            <w:shd w:val="clear" w:color="auto" w:fill="auto"/>
            <w:noWrap/>
            <w:vAlign w:val="center"/>
            <w:hideMark/>
          </w:tcPr>
          <w:p w14:paraId="2223B898" w14:textId="77777777" w:rsidR="00BC5219" w:rsidRPr="004F1470" w:rsidRDefault="00BC5219" w:rsidP="00E83802">
            <w:pPr>
              <w:jc w:val="center"/>
              <w:rPr>
                <w:rFonts w:ascii="Times New Roman" w:eastAsia="Times New Roman" w:hAnsi="Times New Roman" w:cs="Times New Roman"/>
                <w:sz w:val="20"/>
                <w:szCs w:val="20"/>
                <w:lang w:eastAsia="en-AU"/>
              </w:rPr>
            </w:pPr>
          </w:p>
        </w:tc>
        <w:tc>
          <w:tcPr>
            <w:tcW w:w="1514" w:type="dxa"/>
            <w:tcBorders>
              <w:top w:val="nil"/>
              <w:left w:val="nil"/>
              <w:bottom w:val="nil"/>
              <w:right w:val="nil"/>
            </w:tcBorders>
            <w:shd w:val="clear" w:color="auto" w:fill="auto"/>
            <w:noWrap/>
            <w:vAlign w:val="center"/>
            <w:hideMark/>
          </w:tcPr>
          <w:p w14:paraId="4F6D5325" w14:textId="77777777" w:rsidR="00BC5219" w:rsidRPr="004F1470" w:rsidRDefault="00BC5219" w:rsidP="00E83802">
            <w:pPr>
              <w:jc w:val="center"/>
              <w:rPr>
                <w:rFonts w:ascii="Meta Pro" w:eastAsia="Times New Roman" w:hAnsi="Meta Pro"/>
                <w:b/>
                <w:bCs/>
                <w:color w:val="000000"/>
                <w:sz w:val="20"/>
                <w:szCs w:val="20"/>
                <w:lang w:eastAsia="en-AU"/>
              </w:rPr>
            </w:pPr>
            <w:r w:rsidRPr="004F1470">
              <w:rPr>
                <w:rFonts w:ascii="Meta Pro" w:eastAsia="Times New Roman" w:hAnsi="Meta Pro"/>
                <w:b/>
                <w:bCs/>
                <w:color w:val="000000"/>
                <w:sz w:val="20"/>
                <w:szCs w:val="20"/>
                <w:lang w:eastAsia="en-AU"/>
              </w:rPr>
              <w:t>2023</w:t>
            </w:r>
          </w:p>
        </w:tc>
        <w:tc>
          <w:tcPr>
            <w:tcW w:w="216" w:type="dxa"/>
            <w:tcBorders>
              <w:top w:val="nil"/>
              <w:left w:val="nil"/>
              <w:bottom w:val="nil"/>
              <w:right w:val="nil"/>
            </w:tcBorders>
            <w:shd w:val="clear" w:color="auto" w:fill="auto"/>
            <w:noWrap/>
            <w:vAlign w:val="center"/>
            <w:hideMark/>
          </w:tcPr>
          <w:p w14:paraId="301B8790" w14:textId="77777777" w:rsidR="00BC5219" w:rsidRPr="004F1470" w:rsidRDefault="00BC5219" w:rsidP="00E83802">
            <w:pPr>
              <w:jc w:val="center"/>
              <w:rPr>
                <w:rFonts w:ascii="Meta Pro" w:eastAsia="Times New Roman" w:hAnsi="Meta Pro"/>
                <w:b/>
                <w:bCs/>
                <w:color w:val="000000"/>
                <w:sz w:val="20"/>
                <w:szCs w:val="20"/>
                <w:lang w:eastAsia="en-AU"/>
              </w:rPr>
            </w:pPr>
          </w:p>
        </w:tc>
        <w:tc>
          <w:tcPr>
            <w:tcW w:w="1514" w:type="dxa"/>
            <w:tcBorders>
              <w:top w:val="nil"/>
              <w:left w:val="nil"/>
              <w:bottom w:val="nil"/>
              <w:right w:val="nil"/>
            </w:tcBorders>
            <w:shd w:val="clear" w:color="auto" w:fill="auto"/>
            <w:noWrap/>
            <w:vAlign w:val="center"/>
            <w:hideMark/>
          </w:tcPr>
          <w:p w14:paraId="2B2C5FFA" w14:textId="77777777" w:rsidR="00BC5219" w:rsidRPr="004F1470" w:rsidRDefault="00BC5219" w:rsidP="00E83802">
            <w:pPr>
              <w:jc w:val="center"/>
              <w:rPr>
                <w:rFonts w:ascii="Meta Pro" w:eastAsia="Times New Roman" w:hAnsi="Meta Pro"/>
                <w:b/>
                <w:bCs/>
                <w:color w:val="000000"/>
                <w:sz w:val="20"/>
                <w:szCs w:val="20"/>
                <w:lang w:eastAsia="en-AU"/>
              </w:rPr>
            </w:pPr>
            <w:r w:rsidRPr="004F1470">
              <w:rPr>
                <w:rFonts w:ascii="Meta Pro" w:eastAsia="Times New Roman" w:hAnsi="Meta Pro"/>
                <w:b/>
                <w:bCs/>
                <w:color w:val="000000"/>
                <w:sz w:val="20"/>
                <w:szCs w:val="20"/>
                <w:lang w:eastAsia="en-AU"/>
              </w:rPr>
              <w:t>2022</w:t>
            </w:r>
          </w:p>
        </w:tc>
      </w:tr>
      <w:tr w:rsidR="00BC5219" w:rsidRPr="004F1470" w14:paraId="61D3A533" w14:textId="77777777" w:rsidTr="00E83802">
        <w:trPr>
          <w:gridAfter w:val="1"/>
          <w:wAfter w:w="8" w:type="dxa"/>
          <w:trHeight w:val="240"/>
        </w:trPr>
        <w:tc>
          <w:tcPr>
            <w:tcW w:w="216" w:type="dxa"/>
            <w:tcBorders>
              <w:top w:val="nil"/>
              <w:left w:val="nil"/>
              <w:bottom w:val="nil"/>
              <w:right w:val="nil"/>
            </w:tcBorders>
            <w:shd w:val="clear" w:color="auto" w:fill="auto"/>
            <w:noWrap/>
            <w:vAlign w:val="center"/>
            <w:hideMark/>
          </w:tcPr>
          <w:p w14:paraId="7BDF7C3B" w14:textId="77777777" w:rsidR="00BC5219" w:rsidRPr="004F1470" w:rsidRDefault="00BC5219" w:rsidP="00E83802">
            <w:pPr>
              <w:jc w:val="center"/>
              <w:rPr>
                <w:rFonts w:ascii="Meta Pro" w:eastAsia="Times New Roman" w:hAnsi="Meta Pro"/>
                <w:b/>
                <w:bCs/>
                <w:color w:val="000000"/>
                <w:sz w:val="20"/>
                <w:szCs w:val="20"/>
                <w:lang w:eastAsia="en-AU"/>
              </w:rPr>
            </w:pPr>
          </w:p>
        </w:tc>
        <w:tc>
          <w:tcPr>
            <w:tcW w:w="4961" w:type="dxa"/>
            <w:tcBorders>
              <w:top w:val="nil"/>
              <w:left w:val="nil"/>
              <w:bottom w:val="nil"/>
              <w:right w:val="nil"/>
            </w:tcBorders>
            <w:shd w:val="clear" w:color="auto" w:fill="auto"/>
            <w:noWrap/>
            <w:vAlign w:val="center"/>
            <w:hideMark/>
          </w:tcPr>
          <w:p w14:paraId="47ADCD3B" w14:textId="77777777" w:rsidR="00BC5219" w:rsidRPr="004F1470" w:rsidRDefault="00BC5219" w:rsidP="00E83802">
            <w:pPr>
              <w:rPr>
                <w:rFonts w:ascii="Times New Roman" w:eastAsia="Times New Roman" w:hAnsi="Times New Roman" w:cs="Times New Roman"/>
                <w:sz w:val="20"/>
                <w:szCs w:val="20"/>
                <w:lang w:eastAsia="en-AU"/>
              </w:rPr>
            </w:pPr>
          </w:p>
        </w:tc>
        <w:tc>
          <w:tcPr>
            <w:tcW w:w="696" w:type="dxa"/>
            <w:tcBorders>
              <w:top w:val="nil"/>
              <w:left w:val="nil"/>
              <w:bottom w:val="nil"/>
              <w:right w:val="nil"/>
            </w:tcBorders>
            <w:shd w:val="clear" w:color="auto" w:fill="auto"/>
            <w:noWrap/>
            <w:vAlign w:val="center"/>
            <w:hideMark/>
          </w:tcPr>
          <w:p w14:paraId="71A73C8D" w14:textId="77777777" w:rsidR="00BC5219" w:rsidRPr="004F1470" w:rsidRDefault="00BC5219" w:rsidP="00E83802">
            <w:pPr>
              <w:rPr>
                <w:rFonts w:ascii="Times New Roman" w:eastAsia="Times New Roman" w:hAnsi="Times New Roman" w:cs="Times New Roman"/>
                <w:sz w:val="20"/>
                <w:szCs w:val="20"/>
                <w:lang w:eastAsia="en-AU"/>
              </w:rPr>
            </w:pPr>
          </w:p>
        </w:tc>
        <w:tc>
          <w:tcPr>
            <w:tcW w:w="576" w:type="dxa"/>
            <w:tcBorders>
              <w:top w:val="nil"/>
              <w:left w:val="nil"/>
              <w:bottom w:val="nil"/>
              <w:right w:val="nil"/>
            </w:tcBorders>
            <w:shd w:val="clear" w:color="auto" w:fill="auto"/>
            <w:noWrap/>
            <w:vAlign w:val="center"/>
            <w:hideMark/>
          </w:tcPr>
          <w:p w14:paraId="37CAF18C" w14:textId="77777777" w:rsidR="00BC5219" w:rsidRPr="004F1470" w:rsidRDefault="00BC5219" w:rsidP="00E83802">
            <w:pPr>
              <w:jc w:val="center"/>
              <w:rPr>
                <w:rFonts w:ascii="Times New Roman" w:eastAsia="Times New Roman" w:hAnsi="Times New Roman" w:cs="Times New Roman"/>
                <w:sz w:val="20"/>
                <w:szCs w:val="20"/>
                <w:lang w:eastAsia="en-AU"/>
              </w:rPr>
            </w:pPr>
          </w:p>
        </w:tc>
        <w:tc>
          <w:tcPr>
            <w:tcW w:w="1514" w:type="dxa"/>
            <w:tcBorders>
              <w:top w:val="nil"/>
              <w:left w:val="nil"/>
              <w:bottom w:val="nil"/>
              <w:right w:val="nil"/>
            </w:tcBorders>
            <w:shd w:val="clear" w:color="auto" w:fill="auto"/>
            <w:noWrap/>
            <w:vAlign w:val="center"/>
            <w:hideMark/>
          </w:tcPr>
          <w:p w14:paraId="7FA1594E" w14:textId="77777777" w:rsidR="00BC5219" w:rsidRPr="004F1470" w:rsidRDefault="00BC5219" w:rsidP="00E83802">
            <w:pPr>
              <w:jc w:val="center"/>
              <w:rPr>
                <w:rFonts w:ascii="Meta Pro" w:eastAsia="Times New Roman" w:hAnsi="Meta Pro"/>
                <w:b/>
                <w:bCs/>
                <w:color w:val="000000"/>
                <w:sz w:val="20"/>
                <w:szCs w:val="20"/>
                <w:lang w:eastAsia="en-AU"/>
              </w:rPr>
            </w:pPr>
            <w:r w:rsidRPr="004F1470">
              <w:rPr>
                <w:rFonts w:ascii="Meta Pro" w:eastAsia="Times New Roman" w:hAnsi="Meta Pro"/>
                <w:b/>
                <w:bCs/>
                <w:color w:val="000000"/>
                <w:sz w:val="20"/>
                <w:szCs w:val="20"/>
                <w:lang w:eastAsia="en-AU"/>
              </w:rPr>
              <w:t>$'000</w:t>
            </w:r>
          </w:p>
        </w:tc>
        <w:tc>
          <w:tcPr>
            <w:tcW w:w="216" w:type="dxa"/>
            <w:tcBorders>
              <w:top w:val="nil"/>
              <w:left w:val="nil"/>
              <w:bottom w:val="nil"/>
              <w:right w:val="nil"/>
            </w:tcBorders>
            <w:shd w:val="clear" w:color="auto" w:fill="auto"/>
            <w:noWrap/>
            <w:vAlign w:val="center"/>
            <w:hideMark/>
          </w:tcPr>
          <w:p w14:paraId="6BEBF02E" w14:textId="77777777" w:rsidR="00BC5219" w:rsidRPr="004F1470" w:rsidRDefault="00BC5219" w:rsidP="00E83802">
            <w:pPr>
              <w:jc w:val="center"/>
              <w:rPr>
                <w:rFonts w:ascii="Meta Pro" w:eastAsia="Times New Roman" w:hAnsi="Meta Pro"/>
                <w:b/>
                <w:bCs/>
                <w:color w:val="000000"/>
                <w:sz w:val="20"/>
                <w:szCs w:val="20"/>
                <w:lang w:eastAsia="en-AU"/>
              </w:rPr>
            </w:pPr>
          </w:p>
        </w:tc>
        <w:tc>
          <w:tcPr>
            <w:tcW w:w="1514" w:type="dxa"/>
            <w:tcBorders>
              <w:top w:val="nil"/>
              <w:left w:val="nil"/>
              <w:bottom w:val="nil"/>
              <w:right w:val="nil"/>
            </w:tcBorders>
            <w:shd w:val="clear" w:color="auto" w:fill="auto"/>
            <w:noWrap/>
            <w:vAlign w:val="center"/>
            <w:hideMark/>
          </w:tcPr>
          <w:p w14:paraId="556A15D0" w14:textId="77777777" w:rsidR="00BC5219" w:rsidRPr="004F1470" w:rsidRDefault="00BC5219" w:rsidP="00E83802">
            <w:pPr>
              <w:jc w:val="center"/>
              <w:rPr>
                <w:rFonts w:ascii="Meta Pro" w:eastAsia="Times New Roman" w:hAnsi="Meta Pro"/>
                <w:b/>
                <w:bCs/>
                <w:color w:val="000000"/>
                <w:sz w:val="20"/>
                <w:szCs w:val="20"/>
                <w:lang w:eastAsia="en-AU"/>
              </w:rPr>
            </w:pPr>
            <w:r w:rsidRPr="004F1470">
              <w:rPr>
                <w:rFonts w:ascii="Meta Pro" w:eastAsia="Times New Roman" w:hAnsi="Meta Pro"/>
                <w:b/>
                <w:bCs/>
                <w:color w:val="000000"/>
                <w:sz w:val="20"/>
                <w:szCs w:val="20"/>
                <w:lang w:eastAsia="en-AU"/>
              </w:rPr>
              <w:t>$'000</w:t>
            </w:r>
          </w:p>
        </w:tc>
      </w:tr>
      <w:tr w:rsidR="00BC5219" w:rsidRPr="004F1470" w14:paraId="322BCE16" w14:textId="77777777" w:rsidTr="00E83802">
        <w:trPr>
          <w:trHeight w:val="240"/>
        </w:trPr>
        <w:tc>
          <w:tcPr>
            <w:tcW w:w="4961" w:type="dxa"/>
            <w:gridSpan w:val="2"/>
            <w:tcBorders>
              <w:top w:val="nil"/>
              <w:left w:val="nil"/>
              <w:bottom w:val="nil"/>
              <w:right w:val="nil"/>
            </w:tcBorders>
            <w:shd w:val="clear" w:color="auto" w:fill="auto"/>
            <w:noWrap/>
            <w:vAlign w:val="center"/>
            <w:hideMark/>
          </w:tcPr>
          <w:p w14:paraId="0F75912A" w14:textId="77777777" w:rsidR="00BC5219" w:rsidRPr="004F1470" w:rsidRDefault="00BC5219" w:rsidP="00E83802">
            <w:pPr>
              <w:rPr>
                <w:rFonts w:ascii="Meta Pro" w:eastAsia="Times New Roman" w:hAnsi="Meta Pro"/>
                <w:b/>
                <w:bCs/>
                <w:sz w:val="20"/>
                <w:szCs w:val="20"/>
                <w:lang w:eastAsia="en-AU"/>
              </w:rPr>
            </w:pPr>
            <w:r w:rsidRPr="004F1470">
              <w:rPr>
                <w:rFonts w:ascii="Meta Pro" w:eastAsia="Times New Roman" w:hAnsi="Meta Pro"/>
                <w:b/>
                <w:bCs/>
                <w:sz w:val="20"/>
                <w:szCs w:val="20"/>
                <w:lang w:eastAsia="en-AU"/>
              </w:rPr>
              <w:t>RECONCILIATION OF OPERATING RESULT TO</w:t>
            </w:r>
          </w:p>
        </w:tc>
        <w:tc>
          <w:tcPr>
            <w:tcW w:w="696" w:type="dxa"/>
            <w:tcBorders>
              <w:top w:val="nil"/>
              <w:left w:val="nil"/>
              <w:bottom w:val="nil"/>
              <w:right w:val="nil"/>
            </w:tcBorders>
            <w:shd w:val="clear" w:color="auto" w:fill="auto"/>
            <w:noWrap/>
            <w:vAlign w:val="center"/>
            <w:hideMark/>
          </w:tcPr>
          <w:p w14:paraId="2C4EA07F" w14:textId="77777777" w:rsidR="00BC5219" w:rsidRPr="004F1470" w:rsidRDefault="00BC5219" w:rsidP="00E83802">
            <w:pPr>
              <w:rPr>
                <w:rFonts w:ascii="Meta Pro" w:eastAsia="Times New Roman" w:hAnsi="Meta Pro"/>
                <w:b/>
                <w:bCs/>
                <w:sz w:val="20"/>
                <w:szCs w:val="20"/>
                <w:lang w:eastAsia="en-AU"/>
              </w:rPr>
            </w:pPr>
          </w:p>
        </w:tc>
        <w:tc>
          <w:tcPr>
            <w:tcW w:w="576" w:type="dxa"/>
            <w:tcBorders>
              <w:top w:val="nil"/>
              <w:left w:val="nil"/>
              <w:bottom w:val="nil"/>
              <w:right w:val="nil"/>
            </w:tcBorders>
            <w:shd w:val="clear" w:color="auto" w:fill="auto"/>
            <w:noWrap/>
            <w:vAlign w:val="center"/>
            <w:hideMark/>
          </w:tcPr>
          <w:p w14:paraId="5F6FF05E" w14:textId="77777777" w:rsidR="00BC5219" w:rsidRPr="004F1470" w:rsidRDefault="00BC5219" w:rsidP="00E83802">
            <w:pPr>
              <w:jc w:val="center"/>
              <w:rPr>
                <w:rFonts w:ascii="Times New Roman" w:eastAsia="Times New Roman" w:hAnsi="Times New Roman" w:cs="Times New Roman"/>
                <w:sz w:val="20"/>
                <w:szCs w:val="20"/>
                <w:lang w:eastAsia="en-AU"/>
              </w:rPr>
            </w:pPr>
          </w:p>
        </w:tc>
        <w:tc>
          <w:tcPr>
            <w:tcW w:w="1514" w:type="dxa"/>
            <w:tcBorders>
              <w:top w:val="nil"/>
              <w:left w:val="nil"/>
              <w:bottom w:val="nil"/>
              <w:right w:val="nil"/>
            </w:tcBorders>
            <w:shd w:val="clear" w:color="auto" w:fill="auto"/>
            <w:noWrap/>
            <w:vAlign w:val="center"/>
            <w:hideMark/>
          </w:tcPr>
          <w:p w14:paraId="646523E2" w14:textId="77777777" w:rsidR="00BC5219" w:rsidRPr="004F1470" w:rsidRDefault="00BC5219" w:rsidP="00E83802">
            <w:pPr>
              <w:rPr>
                <w:rFonts w:ascii="Times New Roman" w:eastAsia="Times New Roman" w:hAnsi="Times New Roman"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171E77DC" w14:textId="77777777" w:rsidR="00BC5219" w:rsidRPr="004F1470" w:rsidRDefault="00BC5219" w:rsidP="00E83802">
            <w:pPr>
              <w:jc w:val="center"/>
              <w:rPr>
                <w:rFonts w:ascii="Times New Roman" w:eastAsia="Times New Roman" w:hAnsi="Times New Roman" w:cs="Times New Roman"/>
                <w:sz w:val="20"/>
                <w:szCs w:val="20"/>
                <w:lang w:eastAsia="en-AU"/>
              </w:rPr>
            </w:pPr>
          </w:p>
        </w:tc>
        <w:tc>
          <w:tcPr>
            <w:tcW w:w="1514" w:type="dxa"/>
            <w:gridSpan w:val="2"/>
            <w:tcBorders>
              <w:top w:val="nil"/>
              <w:left w:val="nil"/>
              <w:bottom w:val="nil"/>
              <w:right w:val="nil"/>
            </w:tcBorders>
            <w:shd w:val="clear" w:color="auto" w:fill="auto"/>
            <w:noWrap/>
            <w:vAlign w:val="center"/>
            <w:hideMark/>
          </w:tcPr>
          <w:p w14:paraId="06E8F5D6" w14:textId="77777777" w:rsidR="00BC5219" w:rsidRPr="004F1470" w:rsidRDefault="00BC5219" w:rsidP="00E83802">
            <w:pPr>
              <w:jc w:val="center"/>
              <w:rPr>
                <w:rFonts w:ascii="Times New Roman" w:eastAsia="Times New Roman" w:hAnsi="Times New Roman" w:cs="Times New Roman"/>
                <w:sz w:val="20"/>
                <w:szCs w:val="20"/>
                <w:lang w:eastAsia="en-AU"/>
              </w:rPr>
            </w:pPr>
          </w:p>
        </w:tc>
      </w:tr>
      <w:tr w:rsidR="00BC5219" w:rsidRPr="004F1470" w14:paraId="5720A4ED" w14:textId="77777777" w:rsidTr="00E83802">
        <w:trPr>
          <w:trHeight w:val="240"/>
        </w:trPr>
        <w:tc>
          <w:tcPr>
            <w:tcW w:w="4961" w:type="dxa"/>
            <w:gridSpan w:val="2"/>
            <w:tcBorders>
              <w:top w:val="nil"/>
              <w:left w:val="nil"/>
              <w:bottom w:val="nil"/>
              <w:right w:val="nil"/>
            </w:tcBorders>
            <w:shd w:val="clear" w:color="auto" w:fill="auto"/>
            <w:noWrap/>
            <w:vAlign w:val="center"/>
            <w:hideMark/>
          </w:tcPr>
          <w:p w14:paraId="558DF66F" w14:textId="77777777" w:rsidR="00BC5219" w:rsidRPr="004F1470" w:rsidRDefault="00BC5219" w:rsidP="00E83802">
            <w:pPr>
              <w:rPr>
                <w:rFonts w:ascii="Meta Pro" w:eastAsia="Times New Roman" w:hAnsi="Meta Pro"/>
                <w:b/>
                <w:bCs/>
                <w:sz w:val="20"/>
                <w:szCs w:val="20"/>
                <w:lang w:eastAsia="en-AU"/>
              </w:rPr>
            </w:pPr>
            <w:r w:rsidRPr="004F1470">
              <w:rPr>
                <w:rFonts w:ascii="Meta Pro" w:eastAsia="Times New Roman" w:hAnsi="Meta Pro"/>
                <w:b/>
                <w:bCs/>
                <w:sz w:val="20"/>
                <w:szCs w:val="20"/>
                <w:lang w:eastAsia="en-AU"/>
              </w:rPr>
              <w:t>NET CASH PROVIDED BY OPERATING ACTIVITIES</w:t>
            </w:r>
          </w:p>
        </w:tc>
        <w:tc>
          <w:tcPr>
            <w:tcW w:w="696" w:type="dxa"/>
            <w:tcBorders>
              <w:top w:val="nil"/>
              <w:left w:val="nil"/>
              <w:bottom w:val="nil"/>
              <w:right w:val="nil"/>
            </w:tcBorders>
            <w:shd w:val="clear" w:color="auto" w:fill="auto"/>
            <w:noWrap/>
            <w:vAlign w:val="center"/>
            <w:hideMark/>
          </w:tcPr>
          <w:p w14:paraId="4233F55D" w14:textId="77777777" w:rsidR="00BC5219" w:rsidRPr="004F1470" w:rsidRDefault="00BC5219" w:rsidP="00E83802">
            <w:pPr>
              <w:rPr>
                <w:rFonts w:ascii="Meta Pro" w:eastAsia="Times New Roman" w:hAnsi="Meta Pro"/>
                <w:b/>
                <w:bCs/>
                <w:sz w:val="20"/>
                <w:szCs w:val="20"/>
                <w:lang w:eastAsia="en-AU"/>
              </w:rPr>
            </w:pPr>
          </w:p>
        </w:tc>
        <w:tc>
          <w:tcPr>
            <w:tcW w:w="576" w:type="dxa"/>
            <w:tcBorders>
              <w:top w:val="nil"/>
              <w:left w:val="nil"/>
              <w:bottom w:val="nil"/>
              <w:right w:val="nil"/>
            </w:tcBorders>
            <w:shd w:val="clear" w:color="auto" w:fill="auto"/>
            <w:noWrap/>
            <w:vAlign w:val="center"/>
            <w:hideMark/>
          </w:tcPr>
          <w:p w14:paraId="5E58BFFC" w14:textId="77777777" w:rsidR="00BC5219" w:rsidRPr="004F1470" w:rsidRDefault="00BC5219" w:rsidP="00E83802">
            <w:pPr>
              <w:jc w:val="center"/>
              <w:rPr>
                <w:rFonts w:ascii="Times New Roman" w:eastAsia="Times New Roman" w:hAnsi="Times New Roman" w:cs="Times New Roman"/>
                <w:sz w:val="20"/>
                <w:szCs w:val="20"/>
                <w:lang w:eastAsia="en-AU"/>
              </w:rPr>
            </w:pPr>
          </w:p>
        </w:tc>
        <w:tc>
          <w:tcPr>
            <w:tcW w:w="1514" w:type="dxa"/>
            <w:tcBorders>
              <w:top w:val="nil"/>
              <w:left w:val="nil"/>
              <w:bottom w:val="nil"/>
              <w:right w:val="nil"/>
            </w:tcBorders>
            <w:shd w:val="clear" w:color="auto" w:fill="auto"/>
            <w:noWrap/>
            <w:vAlign w:val="center"/>
            <w:hideMark/>
          </w:tcPr>
          <w:p w14:paraId="0DCA002A" w14:textId="77777777" w:rsidR="00BC5219" w:rsidRPr="004F1470" w:rsidRDefault="00BC5219" w:rsidP="00E83802">
            <w:pPr>
              <w:rPr>
                <w:rFonts w:ascii="Times New Roman" w:eastAsia="Times New Roman" w:hAnsi="Times New Roman"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19750807" w14:textId="77777777" w:rsidR="00BC5219" w:rsidRPr="004F1470" w:rsidRDefault="00BC5219" w:rsidP="00E83802">
            <w:pPr>
              <w:jc w:val="center"/>
              <w:rPr>
                <w:rFonts w:ascii="Times New Roman" w:eastAsia="Times New Roman" w:hAnsi="Times New Roman" w:cs="Times New Roman"/>
                <w:sz w:val="20"/>
                <w:szCs w:val="20"/>
                <w:lang w:eastAsia="en-AU"/>
              </w:rPr>
            </w:pPr>
          </w:p>
        </w:tc>
        <w:tc>
          <w:tcPr>
            <w:tcW w:w="1514" w:type="dxa"/>
            <w:gridSpan w:val="2"/>
            <w:tcBorders>
              <w:top w:val="nil"/>
              <w:left w:val="nil"/>
              <w:bottom w:val="nil"/>
              <w:right w:val="nil"/>
            </w:tcBorders>
            <w:shd w:val="clear" w:color="auto" w:fill="auto"/>
            <w:noWrap/>
            <w:vAlign w:val="center"/>
            <w:hideMark/>
          </w:tcPr>
          <w:p w14:paraId="39C1B3EF" w14:textId="77777777" w:rsidR="00BC5219" w:rsidRPr="004F1470" w:rsidRDefault="00BC5219" w:rsidP="00E83802">
            <w:pPr>
              <w:jc w:val="center"/>
              <w:rPr>
                <w:rFonts w:ascii="Times New Roman" w:eastAsia="Times New Roman" w:hAnsi="Times New Roman" w:cs="Times New Roman"/>
                <w:sz w:val="20"/>
                <w:szCs w:val="20"/>
                <w:lang w:eastAsia="en-AU"/>
              </w:rPr>
            </w:pPr>
          </w:p>
        </w:tc>
      </w:tr>
      <w:tr w:rsidR="00BC5219" w:rsidRPr="004F1470" w14:paraId="7BEB56B4" w14:textId="77777777" w:rsidTr="00E83802">
        <w:trPr>
          <w:gridAfter w:val="1"/>
          <w:wAfter w:w="8" w:type="dxa"/>
          <w:trHeight w:val="240"/>
        </w:trPr>
        <w:tc>
          <w:tcPr>
            <w:tcW w:w="216" w:type="dxa"/>
            <w:tcBorders>
              <w:top w:val="nil"/>
              <w:left w:val="nil"/>
              <w:bottom w:val="nil"/>
              <w:right w:val="nil"/>
            </w:tcBorders>
            <w:shd w:val="clear" w:color="auto" w:fill="auto"/>
            <w:noWrap/>
            <w:vAlign w:val="center"/>
            <w:hideMark/>
          </w:tcPr>
          <w:p w14:paraId="1A63EE6B" w14:textId="77777777" w:rsidR="00BC5219" w:rsidRPr="004F1470" w:rsidRDefault="00BC5219" w:rsidP="00E83802">
            <w:pPr>
              <w:jc w:val="center"/>
              <w:rPr>
                <w:rFonts w:ascii="Times New Roman" w:eastAsia="Times New Roman" w:hAnsi="Times New Roman" w:cs="Times New Roman"/>
                <w:sz w:val="20"/>
                <w:szCs w:val="20"/>
                <w:lang w:eastAsia="en-AU"/>
              </w:rPr>
            </w:pPr>
          </w:p>
        </w:tc>
        <w:tc>
          <w:tcPr>
            <w:tcW w:w="4961" w:type="dxa"/>
            <w:tcBorders>
              <w:top w:val="nil"/>
              <w:left w:val="nil"/>
              <w:bottom w:val="nil"/>
              <w:right w:val="nil"/>
            </w:tcBorders>
            <w:shd w:val="clear" w:color="auto" w:fill="auto"/>
            <w:noWrap/>
            <w:vAlign w:val="center"/>
            <w:hideMark/>
          </w:tcPr>
          <w:p w14:paraId="06BE3BF1" w14:textId="77777777" w:rsidR="00BC5219" w:rsidRPr="004F1470" w:rsidRDefault="00BC5219" w:rsidP="00E83802">
            <w:pPr>
              <w:rPr>
                <w:rFonts w:ascii="Times New Roman" w:eastAsia="Times New Roman" w:hAnsi="Times New Roman" w:cs="Times New Roman"/>
                <w:sz w:val="20"/>
                <w:szCs w:val="20"/>
                <w:lang w:eastAsia="en-AU"/>
              </w:rPr>
            </w:pPr>
          </w:p>
        </w:tc>
        <w:tc>
          <w:tcPr>
            <w:tcW w:w="696" w:type="dxa"/>
            <w:tcBorders>
              <w:top w:val="nil"/>
              <w:left w:val="nil"/>
              <w:bottom w:val="nil"/>
              <w:right w:val="nil"/>
            </w:tcBorders>
            <w:shd w:val="clear" w:color="auto" w:fill="auto"/>
            <w:noWrap/>
            <w:vAlign w:val="center"/>
            <w:hideMark/>
          </w:tcPr>
          <w:p w14:paraId="4B0E4173" w14:textId="77777777" w:rsidR="00BC5219" w:rsidRPr="004F1470" w:rsidRDefault="00BC5219" w:rsidP="00E83802">
            <w:pPr>
              <w:rPr>
                <w:rFonts w:ascii="Times New Roman" w:eastAsia="Times New Roman" w:hAnsi="Times New Roman" w:cs="Times New Roman"/>
                <w:sz w:val="20"/>
                <w:szCs w:val="20"/>
                <w:lang w:eastAsia="en-AU"/>
              </w:rPr>
            </w:pPr>
          </w:p>
        </w:tc>
        <w:tc>
          <w:tcPr>
            <w:tcW w:w="576" w:type="dxa"/>
            <w:tcBorders>
              <w:top w:val="nil"/>
              <w:left w:val="nil"/>
              <w:bottom w:val="nil"/>
              <w:right w:val="nil"/>
            </w:tcBorders>
            <w:shd w:val="clear" w:color="auto" w:fill="auto"/>
            <w:noWrap/>
            <w:vAlign w:val="center"/>
            <w:hideMark/>
          </w:tcPr>
          <w:p w14:paraId="7CF1BBC1" w14:textId="77777777" w:rsidR="00BC5219" w:rsidRPr="004F1470" w:rsidRDefault="00BC5219" w:rsidP="00E83802">
            <w:pPr>
              <w:jc w:val="center"/>
              <w:rPr>
                <w:rFonts w:ascii="Times New Roman" w:eastAsia="Times New Roman" w:hAnsi="Times New Roman" w:cs="Times New Roman"/>
                <w:sz w:val="20"/>
                <w:szCs w:val="20"/>
                <w:lang w:eastAsia="en-AU"/>
              </w:rPr>
            </w:pPr>
          </w:p>
        </w:tc>
        <w:tc>
          <w:tcPr>
            <w:tcW w:w="1514" w:type="dxa"/>
            <w:tcBorders>
              <w:top w:val="nil"/>
              <w:left w:val="nil"/>
              <w:bottom w:val="nil"/>
              <w:right w:val="nil"/>
            </w:tcBorders>
            <w:shd w:val="clear" w:color="auto" w:fill="auto"/>
            <w:noWrap/>
            <w:vAlign w:val="center"/>
            <w:hideMark/>
          </w:tcPr>
          <w:p w14:paraId="60BCD94A" w14:textId="77777777" w:rsidR="00BC5219" w:rsidRPr="004F1470" w:rsidRDefault="00BC5219" w:rsidP="00E83802">
            <w:pPr>
              <w:rPr>
                <w:rFonts w:ascii="Times New Roman" w:eastAsia="Times New Roman" w:hAnsi="Times New Roman"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47E8E797" w14:textId="77777777" w:rsidR="00BC5219" w:rsidRPr="004F1470" w:rsidRDefault="00BC5219" w:rsidP="00E83802">
            <w:pPr>
              <w:jc w:val="right"/>
              <w:rPr>
                <w:rFonts w:ascii="Times New Roman" w:eastAsia="Times New Roman" w:hAnsi="Times New Roman" w:cs="Times New Roman"/>
                <w:sz w:val="20"/>
                <w:szCs w:val="20"/>
                <w:lang w:eastAsia="en-AU"/>
              </w:rPr>
            </w:pPr>
          </w:p>
        </w:tc>
        <w:tc>
          <w:tcPr>
            <w:tcW w:w="1514" w:type="dxa"/>
            <w:tcBorders>
              <w:top w:val="nil"/>
              <w:left w:val="nil"/>
              <w:bottom w:val="nil"/>
              <w:right w:val="nil"/>
            </w:tcBorders>
            <w:shd w:val="clear" w:color="auto" w:fill="auto"/>
            <w:noWrap/>
            <w:vAlign w:val="center"/>
            <w:hideMark/>
          </w:tcPr>
          <w:p w14:paraId="4D09616C" w14:textId="77777777" w:rsidR="00BC5219" w:rsidRPr="004F1470" w:rsidRDefault="00BC5219" w:rsidP="00E83802">
            <w:pPr>
              <w:jc w:val="right"/>
              <w:rPr>
                <w:rFonts w:ascii="Times New Roman" w:eastAsia="Times New Roman" w:hAnsi="Times New Roman" w:cs="Times New Roman"/>
                <w:sz w:val="20"/>
                <w:szCs w:val="20"/>
                <w:lang w:eastAsia="en-AU"/>
              </w:rPr>
            </w:pPr>
          </w:p>
        </w:tc>
      </w:tr>
      <w:tr w:rsidR="00BC5219" w:rsidRPr="004F1470" w14:paraId="4AF4BEE5" w14:textId="77777777" w:rsidTr="00E83802">
        <w:trPr>
          <w:trHeight w:val="240"/>
        </w:trPr>
        <w:tc>
          <w:tcPr>
            <w:tcW w:w="4961" w:type="dxa"/>
            <w:gridSpan w:val="2"/>
            <w:tcBorders>
              <w:top w:val="nil"/>
              <w:left w:val="nil"/>
              <w:bottom w:val="nil"/>
              <w:right w:val="nil"/>
            </w:tcBorders>
            <w:shd w:val="clear" w:color="auto" w:fill="auto"/>
            <w:noWrap/>
            <w:vAlign w:val="center"/>
            <w:hideMark/>
          </w:tcPr>
          <w:p w14:paraId="0E6A3BDE" w14:textId="77777777" w:rsidR="00BC5219" w:rsidRPr="004F1470" w:rsidRDefault="00BC5219" w:rsidP="00E83802">
            <w:pPr>
              <w:rPr>
                <w:rFonts w:ascii="Meta Pro" w:eastAsia="Times New Roman" w:hAnsi="Meta Pro"/>
                <w:b/>
                <w:bCs/>
                <w:szCs w:val="18"/>
                <w:lang w:eastAsia="en-AU"/>
              </w:rPr>
            </w:pPr>
            <w:r w:rsidRPr="004F1470">
              <w:rPr>
                <w:rFonts w:ascii="Meta Pro" w:eastAsia="Times New Roman" w:hAnsi="Meta Pro"/>
                <w:b/>
                <w:bCs/>
                <w:szCs w:val="18"/>
                <w:lang w:eastAsia="en-AU"/>
              </w:rPr>
              <w:t>OPERATING RESULT</w:t>
            </w:r>
          </w:p>
        </w:tc>
        <w:tc>
          <w:tcPr>
            <w:tcW w:w="696" w:type="dxa"/>
            <w:tcBorders>
              <w:top w:val="nil"/>
              <w:left w:val="nil"/>
              <w:bottom w:val="nil"/>
              <w:right w:val="nil"/>
            </w:tcBorders>
            <w:shd w:val="clear" w:color="auto" w:fill="auto"/>
            <w:noWrap/>
            <w:vAlign w:val="center"/>
            <w:hideMark/>
          </w:tcPr>
          <w:p w14:paraId="1C876C86" w14:textId="77777777" w:rsidR="00BC5219" w:rsidRPr="004F1470" w:rsidRDefault="00BC5219" w:rsidP="00E83802">
            <w:pPr>
              <w:rPr>
                <w:rFonts w:ascii="Meta Pro" w:eastAsia="Times New Roman" w:hAnsi="Meta Pro"/>
                <w:b/>
                <w:bCs/>
                <w:szCs w:val="18"/>
                <w:lang w:eastAsia="en-AU"/>
              </w:rPr>
            </w:pPr>
          </w:p>
        </w:tc>
        <w:tc>
          <w:tcPr>
            <w:tcW w:w="576" w:type="dxa"/>
            <w:tcBorders>
              <w:top w:val="nil"/>
              <w:left w:val="nil"/>
              <w:bottom w:val="nil"/>
              <w:right w:val="nil"/>
            </w:tcBorders>
            <w:shd w:val="clear" w:color="auto" w:fill="auto"/>
            <w:noWrap/>
            <w:vAlign w:val="center"/>
            <w:hideMark/>
          </w:tcPr>
          <w:p w14:paraId="125AFEFD" w14:textId="77777777" w:rsidR="00BC5219" w:rsidRPr="004F1470" w:rsidRDefault="00BC5219" w:rsidP="00E83802">
            <w:pPr>
              <w:jc w:val="center"/>
              <w:rPr>
                <w:rFonts w:ascii="Times New Roman" w:eastAsia="Times New Roman" w:hAnsi="Times New Roman"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47F4ED20" w14:textId="77777777" w:rsidR="00BC5219" w:rsidRPr="004F1470" w:rsidRDefault="00BC5219" w:rsidP="00E83802">
            <w:pPr>
              <w:jc w:val="right"/>
              <w:rPr>
                <w:rFonts w:ascii="Meta Pro" w:eastAsia="Times New Roman" w:hAnsi="Meta Pro"/>
                <w:szCs w:val="18"/>
                <w:lang w:eastAsia="en-AU"/>
              </w:rPr>
            </w:pPr>
            <w:r w:rsidRPr="004F1470">
              <w:rPr>
                <w:rFonts w:ascii="Meta Pro" w:eastAsia="Times New Roman" w:hAnsi="Meta Pro"/>
                <w:szCs w:val="18"/>
                <w:lang w:eastAsia="en-AU"/>
              </w:rPr>
              <w:t xml:space="preserve">4,996 </w:t>
            </w:r>
          </w:p>
        </w:tc>
        <w:tc>
          <w:tcPr>
            <w:tcW w:w="216" w:type="dxa"/>
            <w:tcBorders>
              <w:top w:val="nil"/>
              <w:left w:val="nil"/>
              <w:bottom w:val="nil"/>
              <w:right w:val="nil"/>
            </w:tcBorders>
            <w:shd w:val="clear" w:color="auto" w:fill="auto"/>
            <w:noWrap/>
            <w:vAlign w:val="center"/>
            <w:hideMark/>
          </w:tcPr>
          <w:p w14:paraId="1A39CDD4" w14:textId="77777777" w:rsidR="00BC5219" w:rsidRPr="004F1470" w:rsidRDefault="00BC5219" w:rsidP="00E83802">
            <w:pPr>
              <w:jc w:val="right"/>
              <w:rPr>
                <w:rFonts w:ascii="Meta Pro" w:eastAsia="Times New Roman" w:hAnsi="Meta Pro"/>
                <w:szCs w:val="18"/>
                <w:lang w:eastAsia="en-AU"/>
              </w:rPr>
            </w:pPr>
          </w:p>
        </w:tc>
        <w:tc>
          <w:tcPr>
            <w:tcW w:w="1514" w:type="dxa"/>
            <w:gridSpan w:val="2"/>
            <w:tcBorders>
              <w:top w:val="nil"/>
              <w:left w:val="nil"/>
              <w:bottom w:val="nil"/>
              <w:right w:val="nil"/>
            </w:tcBorders>
            <w:shd w:val="clear" w:color="auto" w:fill="auto"/>
            <w:noWrap/>
            <w:vAlign w:val="center"/>
            <w:hideMark/>
          </w:tcPr>
          <w:p w14:paraId="3699F264"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(61,079)</w:t>
            </w:r>
          </w:p>
        </w:tc>
      </w:tr>
      <w:tr w:rsidR="00BC5219" w:rsidRPr="004F1470" w14:paraId="682A0ECB" w14:textId="77777777" w:rsidTr="00E83802">
        <w:trPr>
          <w:gridAfter w:val="1"/>
          <w:wAfter w:w="8" w:type="dxa"/>
          <w:trHeight w:val="240"/>
        </w:trPr>
        <w:tc>
          <w:tcPr>
            <w:tcW w:w="216" w:type="dxa"/>
            <w:tcBorders>
              <w:top w:val="nil"/>
              <w:left w:val="nil"/>
              <w:bottom w:val="nil"/>
              <w:right w:val="nil"/>
            </w:tcBorders>
            <w:shd w:val="clear" w:color="auto" w:fill="auto"/>
            <w:noWrap/>
            <w:vAlign w:val="center"/>
            <w:hideMark/>
          </w:tcPr>
          <w:p w14:paraId="2A4C257E" w14:textId="77777777" w:rsidR="00BC5219" w:rsidRPr="004F1470" w:rsidRDefault="00BC5219" w:rsidP="00E83802">
            <w:pPr>
              <w:jc w:val="right"/>
              <w:rPr>
                <w:rFonts w:ascii="Meta Pro" w:eastAsia="Times New Roman" w:hAnsi="Meta Pro"/>
                <w:color w:val="000000"/>
                <w:szCs w:val="18"/>
                <w:lang w:eastAsia="en-AU"/>
              </w:rPr>
            </w:pPr>
          </w:p>
        </w:tc>
        <w:tc>
          <w:tcPr>
            <w:tcW w:w="4961" w:type="dxa"/>
            <w:tcBorders>
              <w:top w:val="nil"/>
              <w:left w:val="nil"/>
              <w:bottom w:val="nil"/>
              <w:right w:val="nil"/>
            </w:tcBorders>
            <w:shd w:val="clear" w:color="auto" w:fill="auto"/>
            <w:noWrap/>
            <w:vAlign w:val="center"/>
            <w:hideMark/>
          </w:tcPr>
          <w:p w14:paraId="4647257F" w14:textId="77777777" w:rsidR="00BC5219" w:rsidRPr="004F1470" w:rsidRDefault="00BC5219" w:rsidP="00E83802">
            <w:pPr>
              <w:rPr>
                <w:rFonts w:ascii="Times New Roman" w:eastAsia="Times New Roman" w:hAnsi="Times New Roman" w:cs="Times New Roman"/>
                <w:sz w:val="20"/>
                <w:szCs w:val="20"/>
                <w:lang w:eastAsia="en-AU"/>
              </w:rPr>
            </w:pPr>
          </w:p>
        </w:tc>
        <w:tc>
          <w:tcPr>
            <w:tcW w:w="696" w:type="dxa"/>
            <w:tcBorders>
              <w:top w:val="nil"/>
              <w:left w:val="nil"/>
              <w:bottom w:val="nil"/>
              <w:right w:val="nil"/>
            </w:tcBorders>
            <w:shd w:val="clear" w:color="auto" w:fill="auto"/>
            <w:noWrap/>
            <w:vAlign w:val="center"/>
            <w:hideMark/>
          </w:tcPr>
          <w:p w14:paraId="327640FE" w14:textId="77777777" w:rsidR="00BC5219" w:rsidRPr="004F1470" w:rsidRDefault="00BC5219" w:rsidP="00E83802">
            <w:pPr>
              <w:rPr>
                <w:rFonts w:ascii="Times New Roman" w:eastAsia="Times New Roman" w:hAnsi="Times New Roman" w:cs="Times New Roman"/>
                <w:sz w:val="20"/>
                <w:szCs w:val="20"/>
                <w:lang w:eastAsia="en-AU"/>
              </w:rPr>
            </w:pPr>
          </w:p>
        </w:tc>
        <w:tc>
          <w:tcPr>
            <w:tcW w:w="576" w:type="dxa"/>
            <w:tcBorders>
              <w:top w:val="nil"/>
              <w:left w:val="nil"/>
              <w:bottom w:val="nil"/>
              <w:right w:val="nil"/>
            </w:tcBorders>
            <w:shd w:val="clear" w:color="auto" w:fill="auto"/>
            <w:noWrap/>
            <w:vAlign w:val="center"/>
            <w:hideMark/>
          </w:tcPr>
          <w:p w14:paraId="7DA83187" w14:textId="77777777" w:rsidR="00BC5219" w:rsidRPr="004F1470" w:rsidRDefault="00BC5219" w:rsidP="00E83802">
            <w:pPr>
              <w:jc w:val="center"/>
              <w:rPr>
                <w:rFonts w:ascii="Times New Roman" w:eastAsia="Times New Roman" w:hAnsi="Times New Roman"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3880FF68" w14:textId="77777777" w:rsidR="00BC5219" w:rsidRPr="004F1470" w:rsidRDefault="00BC5219" w:rsidP="00E83802">
            <w:pPr>
              <w:jc w:val="right"/>
              <w:rPr>
                <w:rFonts w:ascii="Meta Pro" w:eastAsia="Times New Roman" w:hAnsi="Meta Pro"/>
                <w:szCs w:val="18"/>
                <w:lang w:eastAsia="en-AU"/>
              </w:rPr>
            </w:pPr>
            <w:r w:rsidRPr="004F1470">
              <w:rPr>
                <w:rFonts w:ascii="Meta Pro" w:eastAsia="Times New Roman" w:hAnsi="Meta Pro"/>
                <w:szCs w:val="18"/>
                <w:lang w:eastAsia="en-AU"/>
              </w:rPr>
              <w:t> </w:t>
            </w:r>
          </w:p>
        </w:tc>
        <w:tc>
          <w:tcPr>
            <w:tcW w:w="216" w:type="dxa"/>
            <w:tcBorders>
              <w:top w:val="nil"/>
              <w:left w:val="nil"/>
              <w:bottom w:val="nil"/>
              <w:right w:val="nil"/>
            </w:tcBorders>
            <w:shd w:val="clear" w:color="auto" w:fill="auto"/>
            <w:noWrap/>
            <w:vAlign w:val="center"/>
            <w:hideMark/>
          </w:tcPr>
          <w:p w14:paraId="47D2F9E5" w14:textId="77777777" w:rsidR="00BC5219" w:rsidRPr="004F1470" w:rsidRDefault="00BC5219" w:rsidP="00E83802">
            <w:pPr>
              <w:jc w:val="right"/>
              <w:rPr>
                <w:rFonts w:ascii="Meta Pro" w:eastAsia="Times New Roman" w:hAnsi="Meta Pro"/>
                <w:szCs w:val="18"/>
                <w:lang w:eastAsia="en-AU"/>
              </w:rPr>
            </w:pPr>
          </w:p>
        </w:tc>
        <w:tc>
          <w:tcPr>
            <w:tcW w:w="1514" w:type="dxa"/>
            <w:tcBorders>
              <w:top w:val="nil"/>
              <w:left w:val="nil"/>
              <w:bottom w:val="nil"/>
              <w:right w:val="nil"/>
            </w:tcBorders>
            <w:shd w:val="clear" w:color="auto" w:fill="auto"/>
            <w:noWrap/>
            <w:vAlign w:val="center"/>
            <w:hideMark/>
          </w:tcPr>
          <w:p w14:paraId="03C99A1D" w14:textId="77777777" w:rsidR="00BC5219" w:rsidRPr="004F1470" w:rsidRDefault="00BC5219" w:rsidP="00E83802">
            <w:pPr>
              <w:rPr>
                <w:rFonts w:ascii="Times New Roman" w:eastAsia="Times New Roman" w:hAnsi="Times New Roman" w:cs="Times New Roman"/>
                <w:sz w:val="20"/>
                <w:szCs w:val="20"/>
                <w:lang w:eastAsia="en-AU"/>
              </w:rPr>
            </w:pPr>
          </w:p>
        </w:tc>
      </w:tr>
      <w:tr w:rsidR="00BC5219" w:rsidRPr="004F1470" w14:paraId="04FC3F6E" w14:textId="77777777" w:rsidTr="00E83802">
        <w:trPr>
          <w:trHeight w:val="240"/>
        </w:trPr>
        <w:tc>
          <w:tcPr>
            <w:tcW w:w="4961" w:type="dxa"/>
            <w:gridSpan w:val="2"/>
            <w:tcBorders>
              <w:top w:val="nil"/>
              <w:left w:val="nil"/>
              <w:bottom w:val="nil"/>
              <w:right w:val="nil"/>
            </w:tcBorders>
            <w:shd w:val="clear" w:color="auto" w:fill="auto"/>
            <w:noWrap/>
            <w:vAlign w:val="center"/>
            <w:hideMark/>
          </w:tcPr>
          <w:p w14:paraId="30866DCB" w14:textId="77777777" w:rsidR="00BC5219" w:rsidRPr="004F1470" w:rsidRDefault="00BC5219" w:rsidP="00E83802">
            <w:pPr>
              <w:rPr>
                <w:rFonts w:ascii="Meta Pro" w:eastAsia="Times New Roman" w:hAnsi="Meta Pro"/>
                <w:b/>
                <w:bCs/>
                <w:szCs w:val="18"/>
                <w:lang w:eastAsia="en-AU"/>
              </w:rPr>
            </w:pPr>
            <w:r w:rsidRPr="004F1470">
              <w:rPr>
                <w:rFonts w:ascii="Meta Pro" w:eastAsia="Times New Roman" w:hAnsi="Meta Pro"/>
                <w:b/>
                <w:bCs/>
                <w:szCs w:val="18"/>
                <w:lang w:eastAsia="en-AU"/>
              </w:rPr>
              <w:t>Non-cash items included in operating result</w:t>
            </w:r>
          </w:p>
        </w:tc>
        <w:tc>
          <w:tcPr>
            <w:tcW w:w="696" w:type="dxa"/>
            <w:tcBorders>
              <w:top w:val="nil"/>
              <w:left w:val="nil"/>
              <w:bottom w:val="nil"/>
              <w:right w:val="nil"/>
            </w:tcBorders>
            <w:shd w:val="clear" w:color="auto" w:fill="auto"/>
            <w:noWrap/>
            <w:vAlign w:val="center"/>
            <w:hideMark/>
          </w:tcPr>
          <w:p w14:paraId="302EDBBD" w14:textId="77777777" w:rsidR="00BC5219" w:rsidRPr="004F1470" w:rsidRDefault="00BC5219" w:rsidP="00E83802">
            <w:pPr>
              <w:rPr>
                <w:rFonts w:ascii="Meta Pro" w:eastAsia="Times New Roman" w:hAnsi="Meta Pro"/>
                <w:b/>
                <w:bCs/>
                <w:szCs w:val="18"/>
                <w:lang w:eastAsia="en-AU"/>
              </w:rPr>
            </w:pPr>
          </w:p>
        </w:tc>
        <w:tc>
          <w:tcPr>
            <w:tcW w:w="576" w:type="dxa"/>
            <w:tcBorders>
              <w:top w:val="nil"/>
              <w:left w:val="nil"/>
              <w:bottom w:val="nil"/>
              <w:right w:val="nil"/>
            </w:tcBorders>
            <w:shd w:val="clear" w:color="auto" w:fill="auto"/>
            <w:noWrap/>
            <w:vAlign w:val="center"/>
            <w:hideMark/>
          </w:tcPr>
          <w:p w14:paraId="10B0B715" w14:textId="77777777" w:rsidR="00BC5219" w:rsidRPr="004F1470" w:rsidRDefault="00BC5219" w:rsidP="00E83802">
            <w:pPr>
              <w:jc w:val="center"/>
              <w:rPr>
                <w:rFonts w:ascii="Times New Roman" w:eastAsia="Times New Roman" w:hAnsi="Times New Roman"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666C56CD" w14:textId="77777777" w:rsidR="00BC5219" w:rsidRPr="004F1470" w:rsidRDefault="00BC5219" w:rsidP="00E83802">
            <w:pPr>
              <w:jc w:val="right"/>
              <w:rPr>
                <w:rFonts w:ascii="Meta Pro" w:eastAsia="Times New Roman" w:hAnsi="Meta Pro"/>
                <w:szCs w:val="18"/>
                <w:lang w:eastAsia="en-AU"/>
              </w:rPr>
            </w:pPr>
            <w:r w:rsidRPr="004F1470">
              <w:rPr>
                <w:rFonts w:ascii="Meta Pro" w:eastAsia="Times New Roman" w:hAnsi="Meta Pro"/>
                <w:szCs w:val="18"/>
                <w:lang w:eastAsia="en-AU"/>
              </w:rPr>
              <w:t> </w:t>
            </w:r>
          </w:p>
        </w:tc>
        <w:tc>
          <w:tcPr>
            <w:tcW w:w="216" w:type="dxa"/>
            <w:tcBorders>
              <w:top w:val="nil"/>
              <w:left w:val="nil"/>
              <w:bottom w:val="nil"/>
              <w:right w:val="nil"/>
            </w:tcBorders>
            <w:shd w:val="clear" w:color="auto" w:fill="auto"/>
            <w:noWrap/>
            <w:vAlign w:val="center"/>
            <w:hideMark/>
          </w:tcPr>
          <w:p w14:paraId="654ADCD3" w14:textId="77777777" w:rsidR="00BC5219" w:rsidRPr="004F1470" w:rsidRDefault="00BC5219" w:rsidP="00E83802">
            <w:pPr>
              <w:jc w:val="right"/>
              <w:rPr>
                <w:rFonts w:ascii="Meta Pro" w:eastAsia="Times New Roman" w:hAnsi="Meta Pro"/>
                <w:szCs w:val="18"/>
                <w:lang w:eastAsia="en-AU"/>
              </w:rPr>
            </w:pPr>
          </w:p>
        </w:tc>
        <w:tc>
          <w:tcPr>
            <w:tcW w:w="1514" w:type="dxa"/>
            <w:gridSpan w:val="2"/>
            <w:tcBorders>
              <w:top w:val="nil"/>
              <w:left w:val="nil"/>
              <w:bottom w:val="nil"/>
              <w:right w:val="nil"/>
            </w:tcBorders>
            <w:shd w:val="clear" w:color="auto" w:fill="auto"/>
            <w:noWrap/>
            <w:vAlign w:val="center"/>
            <w:hideMark/>
          </w:tcPr>
          <w:p w14:paraId="04066924" w14:textId="77777777" w:rsidR="00BC5219" w:rsidRPr="004F1470" w:rsidRDefault="00BC5219" w:rsidP="00E83802">
            <w:pPr>
              <w:jc w:val="right"/>
              <w:rPr>
                <w:rFonts w:ascii="Times New Roman" w:eastAsia="Times New Roman" w:hAnsi="Times New Roman" w:cs="Times New Roman"/>
                <w:sz w:val="20"/>
                <w:szCs w:val="20"/>
                <w:lang w:eastAsia="en-AU"/>
              </w:rPr>
            </w:pPr>
          </w:p>
        </w:tc>
      </w:tr>
      <w:tr w:rsidR="00BC5219" w:rsidRPr="004F1470" w14:paraId="76743F55" w14:textId="77777777" w:rsidTr="00E83802">
        <w:trPr>
          <w:trHeight w:val="240"/>
        </w:trPr>
        <w:tc>
          <w:tcPr>
            <w:tcW w:w="4961" w:type="dxa"/>
            <w:gridSpan w:val="2"/>
            <w:tcBorders>
              <w:top w:val="nil"/>
              <w:left w:val="nil"/>
              <w:bottom w:val="nil"/>
              <w:right w:val="nil"/>
            </w:tcBorders>
            <w:shd w:val="clear" w:color="auto" w:fill="auto"/>
            <w:noWrap/>
            <w:vAlign w:val="center"/>
            <w:hideMark/>
          </w:tcPr>
          <w:p w14:paraId="5C1A1F06" w14:textId="77777777" w:rsidR="00BC5219" w:rsidRPr="004F1470" w:rsidRDefault="00BC5219" w:rsidP="00E83802">
            <w:pPr>
              <w:rPr>
                <w:rFonts w:ascii="Meta Pro" w:eastAsia="Times New Roman" w:hAnsi="Meta Pro"/>
                <w:szCs w:val="18"/>
                <w:lang w:eastAsia="en-AU"/>
              </w:rPr>
            </w:pPr>
            <w:r w:rsidRPr="004F1470">
              <w:rPr>
                <w:rFonts w:ascii="Meta Pro" w:eastAsia="Times New Roman" w:hAnsi="Meta Pro"/>
                <w:szCs w:val="18"/>
                <w:lang w:eastAsia="en-AU"/>
              </w:rPr>
              <w:t>Goods, services and assets received at below fair value</w:t>
            </w:r>
          </w:p>
        </w:tc>
        <w:tc>
          <w:tcPr>
            <w:tcW w:w="696" w:type="dxa"/>
            <w:tcBorders>
              <w:top w:val="nil"/>
              <w:left w:val="nil"/>
              <w:bottom w:val="nil"/>
              <w:right w:val="nil"/>
            </w:tcBorders>
            <w:shd w:val="clear" w:color="auto" w:fill="auto"/>
            <w:noWrap/>
            <w:vAlign w:val="center"/>
            <w:hideMark/>
          </w:tcPr>
          <w:p w14:paraId="71250EA1" w14:textId="77777777" w:rsidR="00BC5219" w:rsidRPr="004F1470" w:rsidRDefault="00BC5219" w:rsidP="00E83802">
            <w:pPr>
              <w:rPr>
                <w:rFonts w:ascii="Meta Pro" w:eastAsia="Times New Roman" w:hAnsi="Meta Pro"/>
                <w:szCs w:val="18"/>
                <w:lang w:eastAsia="en-AU"/>
              </w:rPr>
            </w:pPr>
          </w:p>
        </w:tc>
        <w:tc>
          <w:tcPr>
            <w:tcW w:w="576" w:type="dxa"/>
            <w:tcBorders>
              <w:top w:val="nil"/>
              <w:left w:val="nil"/>
              <w:bottom w:val="nil"/>
              <w:right w:val="nil"/>
            </w:tcBorders>
            <w:shd w:val="clear" w:color="auto" w:fill="auto"/>
            <w:noWrap/>
            <w:vAlign w:val="center"/>
            <w:hideMark/>
          </w:tcPr>
          <w:p w14:paraId="35AF3472" w14:textId="77777777" w:rsidR="00BC5219" w:rsidRPr="004F1470" w:rsidRDefault="00BC5219" w:rsidP="00E83802">
            <w:pPr>
              <w:jc w:val="center"/>
              <w:rPr>
                <w:rFonts w:ascii="Times New Roman" w:eastAsia="Times New Roman" w:hAnsi="Times New Roman"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1D7BB9EE" w14:textId="77777777" w:rsidR="00BC5219" w:rsidRPr="004F1470" w:rsidRDefault="00BC5219" w:rsidP="00E83802">
            <w:pPr>
              <w:jc w:val="right"/>
              <w:rPr>
                <w:rFonts w:ascii="Meta Pro" w:eastAsia="Times New Roman" w:hAnsi="Meta Pro"/>
                <w:szCs w:val="18"/>
                <w:lang w:eastAsia="en-AU"/>
              </w:rPr>
            </w:pPr>
            <w:r w:rsidRPr="004F1470">
              <w:rPr>
                <w:rFonts w:ascii="Meta Pro" w:eastAsia="Times New Roman" w:hAnsi="Meta Pro"/>
                <w:szCs w:val="18"/>
                <w:lang w:eastAsia="en-AU"/>
              </w:rPr>
              <w:t>(51,830)</w:t>
            </w:r>
          </w:p>
        </w:tc>
        <w:tc>
          <w:tcPr>
            <w:tcW w:w="216" w:type="dxa"/>
            <w:tcBorders>
              <w:top w:val="nil"/>
              <w:left w:val="nil"/>
              <w:bottom w:val="nil"/>
              <w:right w:val="nil"/>
            </w:tcBorders>
            <w:shd w:val="clear" w:color="auto" w:fill="auto"/>
            <w:noWrap/>
            <w:vAlign w:val="center"/>
            <w:hideMark/>
          </w:tcPr>
          <w:p w14:paraId="2E98A200" w14:textId="77777777" w:rsidR="00BC5219" w:rsidRPr="004F1470" w:rsidRDefault="00BC5219" w:rsidP="00E83802">
            <w:pPr>
              <w:jc w:val="right"/>
              <w:rPr>
                <w:rFonts w:ascii="Meta Pro" w:eastAsia="Times New Roman" w:hAnsi="Meta Pro"/>
                <w:szCs w:val="18"/>
                <w:lang w:eastAsia="en-AU"/>
              </w:rPr>
            </w:pPr>
          </w:p>
        </w:tc>
        <w:tc>
          <w:tcPr>
            <w:tcW w:w="1514" w:type="dxa"/>
            <w:gridSpan w:val="2"/>
            <w:tcBorders>
              <w:top w:val="nil"/>
              <w:left w:val="nil"/>
              <w:bottom w:val="nil"/>
              <w:right w:val="nil"/>
            </w:tcBorders>
            <w:shd w:val="clear" w:color="auto" w:fill="auto"/>
            <w:noWrap/>
            <w:vAlign w:val="center"/>
            <w:hideMark/>
          </w:tcPr>
          <w:p w14:paraId="308B98DE"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(71,576)</w:t>
            </w:r>
          </w:p>
        </w:tc>
      </w:tr>
      <w:tr w:rsidR="00BC5219" w:rsidRPr="004F1470" w14:paraId="6A266253" w14:textId="77777777" w:rsidTr="00E83802">
        <w:trPr>
          <w:trHeight w:val="240"/>
        </w:trPr>
        <w:tc>
          <w:tcPr>
            <w:tcW w:w="4961" w:type="dxa"/>
            <w:gridSpan w:val="2"/>
            <w:tcBorders>
              <w:top w:val="nil"/>
              <w:left w:val="nil"/>
              <w:bottom w:val="nil"/>
              <w:right w:val="nil"/>
            </w:tcBorders>
            <w:shd w:val="clear" w:color="auto" w:fill="auto"/>
            <w:noWrap/>
            <w:vAlign w:val="center"/>
            <w:hideMark/>
          </w:tcPr>
          <w:p w14:paraId="64AE930B" w14:textId="77777777" w:rsidR="00BC5219" w:rsidRPr="004F1470" w:rsidRDefault="00BC5219" w:rsidP="00E83802">
            <w:pPr>
              <w:rPr>
                <w:rFonts w:ascii="Meta Pro" w:eastAsia="Times New Roman" w:hAnsi="Meta Pro"/>
                <w:szCs w:val="18"/>
                <w:lang w:eastAsia="en-AU"/>
              </w:rPr>
            </w:pPr>
            <w:r w:rsidRPr="004F1470">
              <w:rPr>
                <w:rFonts w:ascii="Meta Pro" w:eastAsia="Times New Roman" w:hAnsi="Meta Pro"/>
                <w:szCs w:val="18"/>
                <w:lang w:eastAsia="en-AU"/>
              </w:rPr>
              <w:t>Gains on disposal of assets</w:t>
            </w:r>
          </w:p>
        </w:tc>
        <w:tc>
          <w:tcPr>
            <w:tcW w:w="696" w:type="dxa"/>
            <w:tcBorders>
              <w:top w:val="nil"/>
              <w:left w:val="nil"/>
              <w:bottom w:val="nil"/>
              <w:right w:val="nil"/>
            </w:tcBorders>
            <w:shd w:val="clear" w:color="auto" w:fill="auto"/>
            <w:noWrap/>
            <w:vAlign w:val="center"/>
            <w:hideMark/>
          </w:tcPr>
          <w:p w14:paraId="184BEDE2" w14:textId="77777777" w:rsidR="00BC5219" w:rsidRPr="004F1470" w:rsidRDefault="00BC5219" w:rsidP="00E83802">
            <w:pPr>
              <w:rPr>
                <w:rFonts w:ascii="Meta Pro" w:eastAsia="Times New Roman" w:hAnsi="Meta Pro"/>
                <w:szCs w:val="18"/>
                <w:lang w:eastAsia="en-AU"/>
              </w:rPr>
            </w:pPr>
          </w:p>
        </w:tc>
        <w:tc>
          <w:tcPr>
            <w:tcW w:w="576" w:type="dxa"/>
            <w:tcBorders>
              <w:top w:val="nil"/>
              <w:left w:val="nil"/>
              <w:bottom w:val="nil"/>
              <w:right w:val="nil"/>
            </w:tcBorders>
            <w:shd w:val="clear" w:color="auto" w:fill="auto"/>
            <w:noWrap/>
            <w:vAlign w:val="center"/>
            <w:hideMark/>
          </w:tcPr>
          <w:p w14:paraId="33F1A542" w14:textId="77777777" w:rsidR="00BC5219" w:rsidRPr="004F1470" w:rsidRDefault="00BC5219" w:rsidP="00E83802">
            <w:pPr>
              <w:jc w:val="center"/>
              <w:rPr>
                <w:rFonts w:ascii="Times New Roman" w:eastAsia="Times New Roman" w:hAnsi="Times New Roman"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585DAA9E" w14:textId="77777777" w:rsidR="00BC5219" w:rsidRPr="004F1470" w:rsidRDefault="00BC5219" w:rsidP="00E83802">
            <w:pPr>
              <w:jc w:val="right"/>
              <w:rPr>
                <w:rFonts w:ascii="Meta Pro" w:eastAsia="Times New Roman" w:hAnsi="Meta Pro"/>
                <w:szCs w:val="18"/>
                <w:lang w:eastAsia="en-AU"/>
              </w:rPr>
            </w:pPr>
            <w:r w:rsidRPr="004F1470">
              <w:rPr>
                <w:rFonts w:ascii="Meta Pro" w:eastAsia="Times New Roman" w:hAnsi="Meta Pro"/>
                <w:szCs w:val="18"/>
                <w:lang w:eastAsia="en-AU"/>
              </w:rPr>
              <w:t>(2,642)</w:t>
            </w:r>
          </w:p>
        </w:tc>
        <w:tc>
          <w:tcPr>
            <w:tcW w:w="216" w:type="dxa"/>
            <w:tcBorders>
              <w:top w:val="nil"/>
              <w:left w:val="nil"/>
              <w:bottom w:val="nil"/>
              <w:right w:val="nil"/>
            </w:tcBorders>
            <w:shd w:val="clear" w:color="auto" w:fill="auto"/>
            <w:noWrap/>
            <w:vAlign w:val="center"/>
            <w:hideMark/>
          </w:tcPr>
          <w:p w14:paraId="1C6760D8" w14:textId="77777777" w:rsidR="00BC5219" w:rsidRPr="004F1470" w:rsidRDefault="00BC5219" w:rsidP="00E83802">
            <w:pPr>
              <w:jc w:val="right"/>
              <w:rPr>
                <w:rFonts w:ascii="Meta Pro" w:eastAsia="Times New Roman" w:hAnsi="Meta Pro"/>
                <w:szCs w:val="18"/>
                <w:lang w:eastAsia="en-AU"/>
              </w:rPr>
            </w:pPr>
          </w:p>
        </w:tc>
        <w:tc>
          <w:tcPr>
            <w:tcW w:w="1514" w:type="dxa"/>
            <w:gridSpan w:val="2"/>
            <w:tcBorders>
              <w:top w:val="nil"/>
              <w:left w:val="nil"/>
              <w:bottom w:val="nil"/>
              <w:right w:val="nil"/>
            </w:tcBorders>
            <w:shd w:val="clear" w:color="auto" w:fill="auto"/>
            <w:noWrap/>
            <w:vAlign w:val="center"/>
            <w:hideMark/>
          </w:tcPr>
          <w:p w14:paraId="44FAF218"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(3,127)</w:t>
            </w:r>
          </w:p>
        </w:tc>
      </w:tr>
      <w:tr w:rsidR="00BC5219" w:rsidRPr="004F1470" w14:paraId="27DFC916" w14:textId="77777777" w:rsidTr="00E83802">
        <w:trPr>
          <w:trHeight w:val="240"/>
        </w:trPr>
        <w:tc>
          <w:tcPr>
            <w:tcW w:w="4961" w:type="dxa"/>
            <w:gridSpan w:val="2"/>
            <w:tcBorders>
              <w:top w:val="nil"/>
              <w:left w:val="nil"/>
              <w:bottom w:val="nil"/>
              <w:right w:val="nil"/>
            </w:tcBorders>
            <w:shd w:val="clear" w:color="auto" w:fill="auto"/>
            <w:noWrap/>
            <w:vAlign w:val="center"/>
            <w:hideMark/>
          </w:tcPr>
          <w:p w14:paraId="5D9701A9" w14:textId="77777777" w:rsidR="00BC5219" w:rsidRPr="004F1470" w:rsidRDefault="00BC5219" w:rsidP="00E83802">
            <w:pPr>
              <w:rPr>
                <w:rFonts w:ascii="Meta Pro" w:eastAsia="Times New Roman" w:hAnsi="Meta Pro"/>
                <w:szCs w:val="18"/>
                <w:lang w:eastAsia="en-AU"/>
              </w:rPr>
            </w:pPr>
            <w:r w:rsidRPr="004F1470">
              <w:rPr>
                <w:rFonts w:ascii="Meta Pro" w:eastAsia="Times New Roman" w:hAnsi="Meta Pro"/>
                <w:szCs w:val="18"/>
                <w:lang w:eastAsia="en-AU"/>
              </w:rPr>
              <w:t>Service concession arrangements revenue</w:t>
            </w:r>
          </w:p>
        </w:tc>
        <w:tc>
          <w:tcPr>
            <w:tcW w:w="696" w:type="dxa"/>
            <w:tcBorders>
              <w:top w:val="nil"/>
              <w:left w:val="nil"/>
              <w:bottom w:val="nil"/>
              <w:right w:val="nil"/>
            </w:tcBorders>
            <w:shd w:val="clear" w:color="auto" w:fill="auto"/>
            <w:noWrap/>
            <w:vAlign w:val="center"/>
            <w:hideMark/>
          </w:tcPr>
          <w:p w14:paraId="0527A5BC" w14:textId="77777777" w:rsidR="00BC5219" w:rsidRPr="004F1470" w:rsidRDefault="00BC5219" w:rsidP="00E83802">
            <w:pPr>
              <w:rPr>
                <w:rFonts w:ascii="Meta Pro" w:eastAsia="Times New Roman" w:hAnsi="Meta Pro"/>
                <w:szCs w:val="18"/>
                <w:lang w:eastAsia="en-AU"/>
              </w:rPr>
            </w:pPr>
          </w:p>
        </w:tc>
        <w:tc>
          <w:tcPr>
            <w:tcW w:w="576" w:type="dxa"/>
            <w:tcBorders>
              <w:top w:val="nil"/>
              <w:left w:val="nil"/>
              <w:bottom w:val="nil"/>
              <w:right w:val="nil"/>
            </w:tcBorders>
            <w:shd w:val="clear" w:color="auto" w:fill="auto"/>
            <w:noWrap/>
            <w:vAlign w:val="center"/>
            <w:hideMark/>
          </w:tcPr>
          <w:p w14:paraId="5D0DE201" w14:textId="77777777" w:rsidR="00BC5219" w:rsidRPr="004F1470" w:rsidRDefault="00BC5219" w:rsidP="00E83802">
            <w:pPr>
              <w:jc w:val="center"/>
              <w:rPr>
                <w:rFonts w:ascii="Times New Roman" w:eastAsia="Times New Roman" w:hAnsi="Times New Roman"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78A42FDA" w14:textId="77777777" w:rsidR="00BC5219" w:rsidRPr="004F1470" w:rsidRDefault="00BC5219" w:rsidP="00E83802">
            <w:pPr>
              <w:jc w:val="right"/>
              <w:rPr>
                <w:rFonts w:ascii="Meta Pro" w:eastAsia="Times New Roman" w:hAnsi="Meta Pro"/>
                <w:szCs w:val="18"/>
                <w:lang w:eastAsia="en-AU"/>
              </w:rPr>
            </w:pPr>
            <w:r w:rsidRPr="004F1470">
              <w:rPr>
                <w:rFonts w:ascii="Meta Pro" w:eastAsia="Times New Roman" w:hAnsi="Meta Pro"/>
                <w:szCs w:val="18"/>
                <w:lang w:eastAsia="en-AU"/>
              </w:rPr>
              <w:t>(232,180)</w:t>
            </w:r>
          </w:p>
        </w:tc>
        <w:tc>
          <w:tcPr>
            <w:tcW w:w="216" w:type="dxa"/>
            <w:tcBorders>
              <w:top w:val="nil"/>
              <w:left w:val="nil"/>
              <w:bottom w:val="nil"/>
              <w:right w:val="nil"/>
            </w:tcBorders>
            <w:shd w:val="clear" w:color="auto" w:fill="auto"/>
            <w:noWrap/>
            <w:vAlign w:val="center"/>
            <w:hideMark/>
          </w:tcPr>
          <w:p w14:paraId="4DCCC930" w14:textId="77777777" w:rsidR="00BC5219" w:rsidRPr="004F1470" w:rsidRDefault="00BC5219" w:rsidP="00E83802">
            <w:pPr>
              <w:jc w:val="right"/>
              <w:rPr>
                <w:rFonts w:ascii="Meta Pro" w:eastAsia="Times New Roman" w:hAnsi="Meta Pro"/>
                <w:szCs w:val="18"/>
                <w:lang w:eastAsia="en-AU"/>
              </w:rPr>
            </w:pPr>
          </w:p>
        </w:tc>
        <w:tc>
          <w:tcPr>
            <w:tcW w:w="1514" w:type="dxa"/>
            <w:gridSpan w:val="2"/>
            <w:tcBorders>
              <w:top w:val="nil"/>
              <w:left w:val="nil"/>
              <w:bottom w:val="nil"/>
              <w:right w:val="nil"/>
            </w:tcBorders>
            <w:shd w:val="clear" w:color="auto" w:fill="auto"/>
            <w:noWrap/>
            <w:vAlign w:val="center"/>
            <w:hideMark/>
          </w:tcPr>
          <w:p w14:paraId="444F0E2E"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(232,180)</w:t>
            </w:r>
          </w:p>
        </w:tc>
      </w:tr>
      <w:tr w:rsidR="00BC5219" w:rsidRPr="004F1470" w14:paraId="3105C6BD" w14:textId="77777777" w:rsidTr="00E83802">
        <w:trPr>
          <w:trHeight w:val="240"/>
        </w:trPr>
        <w:tc>
          <w:tcPr>
            <w:tcW w:w="4961" w:type="dxa"/>
            <w:gridSpan w:val="2"/>
            <w:tcBorders>
              <w:top w:val="nil"/>
              <w:left w:val="nil"/>
              <w:bottom w:val="nil"/>
              <w:right w:val="nil"/>
            </w:tcBorders>
            <w:shd w:val="clear" w:color="auto" w:fill="auto"/>
            <w:noWrap/>
            <w:vAlign w:val="center"/>
            <w:hideMark/>
          </w:tcPr>
          <w:p w14:paraId="4F322AAE" w14:textId="77777777" w:rsidR="00BC5219" w:rsidRPr="004F1470" w:rsidRDefault="00BC5219" w:rsidP="00E83802">
            <w:pPr>
              <w:rPr>
                <w:rFonts w:ascii="Meta Pro" w:eastAsia="Times New Roman" w:hAnsi="Meta Pro"/>
                <w:szCs w:val="18"/>
                <w:lang w:eastAsia="en-AU"/>
              </w:rPr>
            </w:pPr>
            <w:r w:rsidRPr="004F1470">
              <w:rPr>
                <w:rFonts w:ascii="Meta Pro" w:eastAsia="Times New Roman" w:hAnsi="Meta Pro"/>
                <w:szCs w:val="18"/>
                <w:lang w:eastAsia="en-AU"/>
              </w:rPr>
              <w:t>Assets provided at below fair value</w:t>
            </w:r>
          </w:p>
        </w:tc>
        <w:tc>
          <w:tcPr>
            <w:tcW w:w="696" w:type="dxa"/>
            <w:tcBorders>
              <w:top w:val="nil"/>
              <w:left w:val="nil"/>
              <w:bottom w:val="nil"/>
              <w:right w:val="nil"/>
            </w:tcBorders>
            <w:shd w:val="clear" w:color="auto" w:fill="auto"/>
            <w:noWrap/>
            <w:vAlign w:val="center"/>
            <w:hideMark/>
          </w:tcPr>
          <w:p w14:paraId="529C3F4F" w14:textId="77777777" w:rsidR="00BC5219" w:rsidRPr="004F1470" w:rsidRDefault="00BC5219" w:rsidP="00E83802">
            <w:pPr>
              <w:rPr>
                <w:rFonts w:ascii="Meta Pro" w:eastAsia="Times New Roman" w:hAnsi="Meta Pro"/>
                <w:szCs w:val="18"/>
                <w:lang w:eastAsia="en-AU"/>
              </w:rPr>
            </w:pPr>
          </w:p>
        </w:tc>
        <w:tc>
          <w:tcPr>
            <w:tcW w:w="576" w:type="dxa"/>
            <w:tcBorders>
              <w:top w:val="nil"/>
              <w:left w:val="nil"/>
              <w:bottom w:val="nil"/>
              <w:right w:val="nil"/>
            </w:tcBorders>
            <w:shd w:val="clear" w:color="auto" w:fill="auto"/>
            <w:noWrap/>
            <w:vAlign w:val="center"/>
            <w:hideMark/>
          </w:tcPr>
          <w:p w14:paraId="4F359B55" w14:textId="77777777" w:rsidR="00BC5219" w:rsidRPr="004F1470" w:rsidRDefault="00BC5219" w:rsidP="00E83802">
            <w:pPr>
              <w:jc w:val="center"/>
              <w:rPr>
                <w:rFonts w:ascii="Times New Roman" w:eastAsia="Times New Roman" w:hAnsi="Times New Roman"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5694D95B" w14:textId="77777777" w:rsidR="00BC5219" w:rsidRPr="004F1470" w:rsidRDefault="00BC5219" w:rsidP="00E83802">
            <w:pPr>
              <w:jc w:val="right"/>
              <w:rPr>
                <w:rFonts w:ascii="Meta Pro" w:eastAsia="Times New Roman" w:hAnsi="Meta Pro"/>
                <w:szCs w:val="18"/>
                <w:lang w:eastAsia="en-AU"/>
              </w:rPr>
            </w:pPr>
            <w:r w:rsidRPr="004F1470">
              <w:rPr>
                <w:rFonts w:ascii="Meta Pro" w:eastAsia="Times New Roman" w:hAnsi="Meta Pro"/>
                <w:szCs w:val="18"/>
                <w:lang w:eastAsia="en-AU"/>
              </w:rPr>
              <w:t xml:space="preserve">7,289 </w:t>
            </w:r>
          </w:p>
        </w:tc>
        <w:tc>
          <w:tcPr>
            <w:tcW w:w="216" w:type="dxa"/>
            <w:tcBorders>
              <w:top w:val="nil"/>
              <w:left w:val="nil"/>
              <w:bottom w:val="nil"/>
              <w:right w:val="nil"/>
            </w:tcBorders>
            <w:shd w:val="clear" w:color="auto" w:fill="auto"/>
            <w:noWrap/>
            <w:vAlign w:val="center"/>
            <w:hideMark/>
          </w:tcPr>
          <w:p w14:paraId="27634ADB" w14:textId="77777777" w:rsidR="00BC5219" w:rsidRPr="004F1470" w:rsidRDefault="00BC5219" w:rsidP="00E83802">
            <w:pPr>
              <w:jc w:val="right"/>
              <w:rPr>
                <w:rFonts w:ascii="Meta Pro" w:eastAsia="Times New Roman" w:hAnsi="Meta Pro"/>
                <w:szCs w:val="18"/>
                <w:lang w:eastAsia="en-AU"/>
              </w:rPr>
            </w:pPr>
          </w:p>
        </w:tc>
        <w:tc>
          <w:tcPr>
            <w:tcW w:w="1514" w:type="dxa"/>
            <w:gridSpan w:val="2"/>
            <w:tcBorders>
              <w:top w:val="nil"/>
              <w:left w:val="nil"/>
              <w:bottom w:val="nil"/>
              <w:right w:val="nil"/>
            </w:tcBorders>
            <w:shd w:val="clear" w:color="auto" w:fill="auto"/>
            <w:noWrap/>
            <w:vAlign w:val="center"/>
            <w:hideMark/>
          </w:tcPr>
          <w:p w14:paraId="273B8263"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 xml:space="preserve">64,742 </w:t>
            </w:r>
          </w:p>
        </w:tc>
      </w:tr>
      <w:tr w:rsidR="00BC5219" w:rsidRPr="004F1470" w14:paraId="5EEACD5E" w14:textId="77777777" w:rsidTr="00E83802">
        <w:trPr>
          <w:trHeight w:val="240"/>
        </w:trPr>
        <w:tc>
          <w:tcPr>
            <w:tcW w:w="4961" w:type="dxa"/>
            <w:gridSpan w:val="2"/>
            <w:tcBorders>
              <w:top w:val="nil"/>
              <w:left w:val="nil"/>
              <w:bottom w:val="nil"/>
              <w:right w:val="nil"/>
            </w:tcBorders>
            <w:shd w:val="clear" w:color="auto" w:fill="auto"/>
            <w:noWrap/>
            <w:vAlign w:val="center"/>
            <w:hideMark/>
          </w:tcPr>
          <w:p w14:paraId="45A61208" w14:textId="77777777" w:rsidR="00BC5219" w:rsidRPr="004F1470" w:rsidRDefault="00BC5219" w:rsidP="00E83802">
            <w:pPr>
              <w:rPr>
                <w:rFonts w:ascii="Meta Pro" w:eastAsia="Times New Roman" w:hAnsi="Meta Pro"/>
                <w:szCs w:val="18"/>
                <w:lang w:eastAsia="en-AU"/>
              </w:rPr>
            </w:pPr>
            <w:r w:rsidRPr="004F1470">
              <w:rPr>
                <w:rFonts w:ascii="Meta Pro" w:eastAsia="Times New Roman" w:hAnsi="Meta Pro"/>
                <w:szCs w:val="18"/>
                <w:lang w:eastAsia="en-AU"/>
              </w:rPr>
              <w:t xml:space="preserve">Depreciation and amortisation </w:t>
            </w:r>
          </w:p>
        </w:tc>
        <w:tc>
          <w:tcPr>
            <w:tcW w:w="696" w:type="dxa"/>
            <w:tcBorders>
              <w:top w:val="nil"/>
              <w:left w:val="nil"/>
              <w:bottom w:val="nil"/>
              <w:right w:val="nil"/>
            </w:tcBorders>
            <w:shd w:val="clear" w:color="auto" w:fill="auto"/>
            <w:noWrap/>
            <w:vAlign w:val="center"/>
            <w:hideMark/>
          </w:tcPr>
          <w:p w14:paraId="0F0EA0CA" w14:textId="77777777" w:rsidR="00BC5219" w:rsidRPr="004F1470" w:rsidRDefault="00BC5219" w:rsidP="00E83802">
            <w:pPr>
              <w:rPr>
                <w:rFonts w:ascii="Meta Pro" w:eastAsia="Times New Roman" w:hAnsi="Meta Pro"/>
                <w:szCs w:val="18"/>
                <w:lang w:eastAsia="en-AU"/>
              </w:rPr>
            </w:pPr>
          </w:p>
        </w:tc>
        <w:tc>
          <w:tcPr>
            <w:tcW w:w="576" w:type="dxa"/>
            <w:tcBorders>
              <w:top w:val="nil"/>
              <w:left w:val="nil"/>
              <w:bottom w:val="nil"/>
              <w:right w:val="nil"/>
            </w:tcBorders>
            <w:shd w:val="clear" w:color="auto" w:fill="auto"/>
            <w:noWrap/>
            <w:vAlign w:val="center"/>
            <w:hideMark/>
          </w:tcPr>
          <w:p w14:paraId="3F3B1DBB" w14:textId="77777777" w:rsidR="00BC5219" w:rsidRPr="004F1470" w:rsidRDefault="00BC5219" w:rsidP="00E83802">
            <w:pPr>
              <w:jc w:val="center"/>
              <w:rPr>
                <w:rFonts w:ascii="Times New Roman" w:eastAsia="Times New Roman" w:hAnsi="Times New Roman"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59F05930" w14:textId="77777777" w:rsidR="00BC5219" w:rsidRPr="004F1470" w:rsidRDefault="00BC5219" w:rsidP="00E83802">
            <w:pPr>
              <w:jc w:val="right"/>
              <w:rPr>
                <w:rFonts w:ascii="Meta Pro" w:eastAsia="Times New Roman" w:hAnsi="Meta Pro"/>
                <w:szCs w:val="18"/>
                <w:lang w:eastAsia="en-AU"/>
              </w:rPr>
            </w:pPr>
            <w:r w:rsidRPr="004F1470">
              <w:rPr>
                <w:rFonts w:ascii="Meta Pro" w:eastAsia="Times New Roman" w:hAnsi="Meta Pro"/>
                <w:szCs w:val="18"/>
                <w:lang w:eastAsia="en-AU"/>
              </w:rPr>
              <w:t xml:space="preserve">1,506,324 </w:t>
            </w:r>
          </w:p>
        </w:tc>
        <w:tc>
          <w:tcPr>
            <w:tcW w:w="216" w:type="dxa"/>
            <w:tcBorders>
              <w:top w:val="nil"/>
              <w:left w:val="nil"/>
              <w:bottom w:val="nil"/>
              <w:right w:val="nil"/>
            </w:tcBorders>
            <w:shd w:val="clear" w:color="auto" w:fill="auto"/>
            <w:noWrap/>
            <w:vAlign w:val="center"/>
            <w:hideMark/>
          </w:tcPr>
          <w:p w14:paraId="749A6080" w14:textId="77777777" w:rsidR="00BC5219" w:rsidRPr="004F1470" w:rsidRDefault="00BC5219" w:rsidP="00E83802">
            <w:pPr>
              <w:jc w:val="right"/>
              <w:rPr>
                <w:rFonts w:ascii="Meta Pro" w:eastAsia="Times New Roman" w:hAnsi="Meta Pro"/>
                <w:szCs w:val="18"/>
                <w:lang w:eastAsia="en-AU"/>
              </w:rPr>
            </w:pPr>
          </w:p>
        </w:tc>
        <w:tc>
          <w:tcPr>
            <w:tcW w:w="1514" w:type="dxa"/>
            <w:gridSpan w:val="2"/>
            <w:tcBorders>
              <w:top w:val="nil"/>
              <w:left w:val="nil"/>
              <w:bottom w:val="nil"/>
              <w:right w:val="nil"/>
            </w:tcBorders>
            <w:shd w:val="clear" w:color="auto" w:fill="auto"/>
            <w:noWrap/>
            <w:vAlign w:val="center"/>
            <w:hideMark/>
          </w:tcPr>
          <w:p w14:paraId="6174F513"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 xml:space="preserve">1,355,679 </w:t>
            </w:r>
          </w:p>
        </w:tc>
      </w:tr>
      <w:tr w:rsidR="00BC5219" w:rsidRPr="004F1470" w14:paraId="2EACE15C" w14:textId="77777777" w:rsidTr="00E83802">
        <w:trPr>
          <w:trHeight w:val="240"/>
        </w:trPr>
        <w:tc>
          <w:tcPr>
            <w:tcW w:w="4961" w:type="dxa"/>
            <w:gridSpan w:val="2"/>
            <w:tcBorders>
              <w:top w:val="nil"/>
              <w:left w:val="nil"/>
              <w:bottom w:val="nil"/>
              <w:right w:val="nil"/>
            </w:tcBorders>
            <w:shd w:val="clear" w:color="auto" w:fill="auto"/>
            <w:noWrap/>
            <w:vAlign w:val="center"/>
            <w:hideMark/>
          </w:tcPr>
          <w:p w14:paraId="70D56577" w14:textId="77777777" w:rsidR="00BC5219" w:rsidRPr="004F1470" w:rsidRDefault="00BC5219" w:rsidP="00E83802">
            <w:pPr>
              <w:rPr>
                <w:rFonts w:ascii="Meta Pro" w:eastAsia="Times New Roman" w:hAnsi="Meta Pro"/>
                <w:szCs w:val="18"/>
                <w:lang w:eastAsia="en-AU"/>
              </w:rPr>
            </w:pPr>
            <w:r w:rsidRPr="004F1470">
              <w:rPr>
                <w:rFonts w:ascii="Meta Pro" w:eastAsia="Times New Roman" w:hAnsi="Meta Pro"/>
                <w:szCs w:val="18"/>
                <w:lang w:eastAsia="en-AU"/>
              </w:rPr>
              <w:t>Loss on disposed assets</w:t>
            </w:r>
          </w:p>
        </w:tc>
        <w:tc>
          <w:tcPr>
            <w:tcW w:w="696" w:type="dxa"/>
            <w:tcBorders>
              <w:top w:val="nil"/>
              <w:left w:val="nil"/>
              <w:bottom w:val="nil"/>
              <w:right w:val="nil"/>
            </w:tcBorders>
            <w:shd w:val="clear" w:color="auto" w:fill="auto"/>
            <w:noWrap/>
            <w:vAlign w:val="center"/>
            <w:hideMark/>
          </w:tcPr>
          <w:p w14:paraId="45A269A9" w14:textId="77777777" w:rsidR="00BC5219" w:rsidRPr="004F1470" w:rsidRDefault="00BC5219" w:rsidP="00E83802">
            <w:pPr>
              <w:rPr>
                <w:rFonts w:ascii="Meta Pro" w:eastAsia="Times New Roman" w:hAnsi="Meta Pro"/>
                <w:szCs w:val="18"/>
                <w:lang w:eastAsia="en-AU"/>
              </w:rPr>
            </w:pPr>
          </w:p>
        </w:tc>
        <w:tc>
          <w:tcPr>
            <w:tcW w:w="576" w:type="dxa"/>
            <w:tcBorders>
              <w:top w:val="nil"/>
              <w:left w:val="nil"/>
              <w:bottom w:val="nil"/>
              <w:right w:val="nil"/>
            </w:tcBorders>
            <w:shd w:val="clear" w:color="auto" w:fill="auto"/>
            <w:noWrap/>
            <w:vAlign w:val="center"/>
            <w:hideMark/>
          </w:tcPr>
          <w:p w14:paraId="02BC53BC" w14:textId="77777777" w:rsidR="00BC5219" w:rsidRPr="004F1470" w:rsidRDefault="00BC5219" w:rsidP="00E83802">
            <w:pPr>
              <w:jc w:val="center"/>
              <w:rPr>
                <w:rFonts w:ascii="Times New Roman" w:eastAsia="Times New Roman" w:hAnsi="Times New Roman"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0DE516E3" w14:textId="77777777" w:rsidR="00BC5219" w:rsidRPr="004F1470" w:rsidRDefault="00BC5219" w:rsidP="00E83802">
            <w:pPr>
              <w:jc w:val="right"/>
              <w:rPr>
                <w:rFonts w:ascii="Meta Pro" w:eastAsia="Times New Roman" w:hAnsi="Meta Pro"/>
                <w:szCs w:val="18"/>
                <w:lang w:eastAsia="en-AU"/>
              </w:rPr>
            </w:pPr>
            <w:r w:rsidRPr="004F1470">
              <w:rPr>
                <w:rFonts w:ascii="Meta Pro" w:eastAsia="Times New Roman" w:hAnsi="Meta Pro"/>
                <w:szCs w:val="18"/>
                <w:lang w:eastAsia="en-AU"/>
              </w:rPr>
              <w:t xml:space="preserve">15,618 </w:t>
            </w:r>
          </w:p>
        </w:tc>
        <w:tc>
          <w:tcPr>
            <w:tcW w:w="216" w:type="dxa"/>
            <w:tcBorders>
              <w:top w:val="nil"/>
              <w:left w:val="nil"/>
              <w:bottom w:val="nil"/>
              <w:right w:val="nil"/>
            </w:tcBorders>
            <w:shd w:val="clear" w:color="auto" w:fill="auto"/>
            <w:noWrap/>
            <w:vAlign w:val="center"/>
            <w:hideMark/>
          </w:tcPr>
          <w:p w14:paraId="28ABAFCD" w14:textId="77777777" w:rsidR="00BC5219" w:rsidRPr="004F1470" w:rsidRDefault="00BC5219" w:rsidP="00E83802">
            <w:pPr>
              <w:jc w:val="right"/>
              <w:rPr>
                <w:rFonts w:ascii="Meta Pro" w:eastAsia="Times New Roman" w:hAnsi="Meta Pro"/>
                <w:szCs w:val="18"/>
                <w:lang w:eastAsia="en-AU"/>
              </w:rPr>
            </w:pPr>
          </w:p>
        </w:tc>
        <w:tc>
          <w:tcPr>
            <w:tcW w:w="1514" w:type="dxa"/>
            <w:gridSpan w:val="2"/>
            <w:tcBorders>
              <w:top w:val="nil"/>
              <w:left w:val="nil"/>
              <w:bottom w:val="nil"/>
              <w:right w:val="nil"/>
            </w:tcBorders>
            <w:shd w:val="clear" w:color="auto" w:fill="auto"/>
            <w:noWrap/>
            <w:vAlign w:val="center"/>
            <w:hideMark/>
          </w:tcPr>
          <w:p w14:paraId="5D8411D4"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 xml:space="preserve">5,191 </w:t>
            </w:r>
          </w:p>
        </w:tc>
      </w:tr>
      <w:tr w:rsidR="00BC5219" w:rsidRPr="004F1470" w14:paraId="49006122" w14:textId="77777777" w:rsidTr="00E83802">
        <w:trPr>
          <w:gridAfter w:val="1"/>
          <w:wAfter w:w="8" w:type="dxa"/>
          <w:trHeight w:val="240"/>
        </w:trPr>
        <w:tc>
          <w:tcPr>
            <w:tcW w:w="216" w:type="dxa"/>
            <w:tcBorders>
              <w:top w:val="nil"/>
              <w:left w:val="nil"/>
              <w:bottom w:val="nil"/>
              <w:right w:val="nil"/>
            </w:tcBorders>
            <w:shd w:val="clear" w:color="auto" w:fill="auto"/>
            <w:noWrap/>
            <w:vAlign w:val="center"/>
            <w:hideMark/>
          </w:tcPr>
          <w:p w14:paraId="394E5D1D" w14:textId="77777777" w:rsidR="00BC5219" w:rsidRPr="004F1470" w:rsidRDefault="00BC5219" w:rsidP="00E83802">
            <w:pPr>
              <w:jc w:val="right"/>
              <w:rPr>
                <w:rFonts w:ascii="Meta Pro" w:eastAsia="Times New Roman" w:hAnsi="Meta Pro"/>
                <w:color w:val="000000"/>
                <w:szCs w:val="18"/>
                <w:lang w:eastAsia="en-AU"/>
              </w:rPr>
            </w:pPr>
          </w:p>
        </w:tc>
        <w:tc>
          <w:tcPr>
            <w:tcW w:w="4961" w:type="dxa"/>
            <w:tcBorders>
              <w:top w:val="nil"/>
              <w:left w:val="nil"/>
              <w:bottom w:val="nil"/>
              <w:right w:val="nil"/>
            </w:tcBorders>
            <w:shd w:val="clear" w:color="auto" w:fill="auto"/>
            <w:noWrap/>
            <w:vAlign w:val="center"/>
            <w:hideMark/>
          </w:tcPr>
          <w:p w14:paraId="0E570172" w14:textId="77777777" w:rsidR="00BC5219" w:rsidRPr="004F1470" w:rsidRDefault="00BC5219" w:rsidP="00E83802">
            <w:pPr>
              <w:rPr>
                <w:rFonts w:ascii="Times New Roman" w:eastAsia="Times New Roman" w:hAnsi="Times New Roman" w:cs="Times New Roman"/>
                <w:sz w:val="20"/>
                <w:szCs w:val="20"/>
                <w:lang w:eastAsia="en-AU"/>
              </w:rPr>
            </w:pPr>
          </w:p>
        </w:tc>
        <w:tc>
          <w:tcPr>
            <w:tcW w:w="696" w:type="dxa"/>
            <w:tcBorders>
              <w:top w:val="nil"/>
              <w:left w:val="nil"/>
              <w:bottom w:val="nil"/>
              <w:right w:val="nil"/>
            </w:tcBorders>
            <w:shd w:val="clear" w:color="auto" w:fill="auto"/>
            <w:noWrap/>
            <w:vAlign w:val="center"/>
            <w:hideMark/>
          </w:tcPr>
          <w:p w14:paraId="3ADF3912" w14:textId="77777777" w:rsidR="00BC5219" w:rsidRPr="004F1470" w:rsidRDefault="00BC5219" w:rsidP="00E83802">
            <w:pPr>
              <w:rPr>
                <w:rFonts w:ascii="Times New Roman" w:eastAsia="Times New Roman" w:hAnsi="Times New Roman" w:cs="Times New Roman"/>
                <w:sz w:val="20"/>
                <w:szCs w:val="20"/>
                <w:lang w:eastAsia="en-AU"/>
              </w:rPr>
            </w:pPr>
          </w:p>
        </w:tc>
        <w:tc>
          <w:tcPr>
            <w:tcW w:w="576" w:type="dxa"/>
            <w:tcBorders>
              <w:top w:val="nil"/>
              <w:left w:val="nil"/>
              <w:bottom w:val="nil"/>
              <w:right w:val="nil"/>
            </w:tcBorders>
            <w:shd w:val="clear" w:color="auto" w:fill="auto"/>
            <w:noWrap/>
            <w:vAlign w:val="center"/>
            <w:hideMark/>
          </w:tcPr>
          <w:p w14:paraId="209D4C65" w14:textId="77777777" w:rsidR="00BC5219" w:rsidRPr="004F1470" w:rsidRDefault="00BC5219" w:rsidP="00E83802">
            <w:pPr>
              <w:jc w:val="center"/>
              <w:rPr>
                <w:rFonts w:ascii="Times New Roman" w:eastAsia="Times New Roman" w:hAnsi="Times New Roman"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4D8884E6" w14:textId="77777777" w:rsidR="00BC5219" w:rsidRPr="004F1470" w:rsidRDefault="00BC5219" w:rsidP="00E83802">
            <w:pPr>
              <w:jc w:val="right"/>
              <w:rPr>
                <w:rFonts w:ascii="Meta Pro" w:eastAsia="Times New Roman" w:hAnsi="Meta Pro"/>
                <w:szCs w:val="18"/>
                <w:lang w:eastAsia="en-AU"/>
              </w:rPr>
            </w:pPr>
            <w:r w:rsidRPr="004F1470">
              <w:rPr>
                <w:rFonts w:ascii="Meta Pro" w:eastAsia="Times New Roman" w:hAnsi="Meta Pro"/>
                <w:szCs w:val="18"/>
                <w:lang w:eastAsia="en-AU"/>
              </w:rPr>
              <w:t> </w:t>
            </w:r>
          </w:p>
        </w:tc>
        <w:tc>
          <w:tcPr>
            <w:tcW w:w="216" w:type="dxa"/>
            <w:tcBorders>
              <w:top w:val="nil"/>
              <w:left w:val="nil"/>
              <w:bottom w:val="nil"/>
              <w:right w:val="nil"/>
            </w:tcBorders>
            <w:shd w:val="clear" w:color="auto" w:fill="auto"/>
            <w:noWrap/>
            <w:vAlign w:val="center"/>
            <w:hideMark/>
          </w:tcPr>
          <w:p w14:paraId="095F4CF7" w14:textId="77777777" w:rsidR="00BC5219" w:rsidRPr="004F1470" w:rsidRDefault="00BC5219" w:rsidP="00E83802">
            <w:pPr>
              <w:jc w:val="right"/>
              <w:rPr>
                <w:rFonts w:ascii="Meta Pro" w:eastAsia="Times New Roman" w:hAnsi="Meta Pro"/>
                <w:szCs w:val="18"/>
                <w:lang w:eastAsia="en-AU"/>
              </w:rPr>
            </w:pPr>
          </w:p>
        </w:tc>
        <w:tc>
          <w:tcPr>
            <w:tcW w:w="1514" w:type="dxa"/>
            <w:tcBorders>
              <w:top w:val="nil"/>
              <w:left w:val="nil"/>
              <w:bottom w:val="nil"/>
              <w:right w:val="nil"/>
            </w:tcBorders>
            <w:shd w:val="clear" w:color="auto" w:fill="auto"/>
            <w:noWrap/>
            <w:vAlign w:val="center"/>
            <w:hideMark/>
          </w:tcPr>
          <w:p w14:paraId="2818584E" w14:textId="77777777" w:rsidR="00BC5219" w:rsidRPr="004F1470" w:rsidRDefault="00BC5219" w:rsidP="00E83802">
            <w:pPr>
              <w:rPr>
                <w:rFonts w:ascii="Times New Roman" w:eastAsia="Times New Roman" w:hAnsi="Times New Roman" w:cs="Times New Roman"/>
                <w:sz w:val="20"/>
                <w:szCs w:val="20"/>
                <w:lang w:eastAsia="en-AU"/>
              </w:rPr>
            </w:pPr>
          </w:p>
        </w:tc>
      </w:tr>
      <w:tr w:rsidR="00BC5219" w:rsidRPr="004F1470" w14:paraId="7CA5DB02" w14:textId="77777777" w:rsidTr="00E83802">
        <w:trPr>
          <w:trHeight w:val="240"/>
        </w:trPr>
        <w:tc>
          <w:tcPr>
            <w:tcW w:w="4961" w:type="dxa"/>
            <w:gridSpan w:val="2"/>
            <w:tcBorders>
              <w:top w:val="nil"/>
              <w:left w:val="nil"/>
              <w:bottom w:val="nil"/>
              <w:right w:val="nil"/>
            </w:tcBorders>
            <w:shd w:val="clear" w:color="auto" w:fill="auto"/>
            <w:noWrap/>
            <w:vAlign w:val="center"/>
            <w:hideMark/>
          </w:tcPr>
          <w:p w14:paraId="2E9B230E" w14:textId="77777777" w:rsidR="00BC5219" w:rsidRPr="004F1470" w:rsidRDefault="00BC5219" w:rsidP="00E83802">
            <w:pPr>
              <w:rPr>
                <w:rFonts w:ascii="Meta Pro" w:eastAsia="Times New Roman" w:hAnsi="Meta Pro"/>
                <w:b/>
                <w:bCs/>
                <w:szCs w:val="18"/>
                <w:lang w:eastAsia="en-AU"/>
              </w:rPr>
            </w:pPr>
            <w:r w:rsidRPr="004F1470">
              <w:rPr>
                <w:rFonts w:ascii="Meta Pro" w:eastAsia="Times New Roman" w:hAnsi="Meta Pro"/>
                <w:b/>
                <w:bCs/>
                <w:szCs w:val="18"/>
                <w:lang w:eastAsia="en-AU"/>
              </w:rPr>
              <w:t>Change in assets and liabilities:</w:t>
            </w:r>
          </w:p>
        </w:tc>
        <w:tc>
          <w:tcPr>
            <w:tcW w:w="696" w:type="dxa"/>
            <w:tcBorders>
              <w:top w:val="nil"/>
              <w:left w:val="nil"/>
              <w:bottom w:val="nil"/>
              <w:right w:val="nil"/>
            </w:tcBorders>
            <w:shd w:val="clear" w:color="auto" w:fill="auto"/>
            <w:noWrap/>
            <w:vAlign w:val="center"/>
            <w:hideMark/>
          </w:tcPr>
          <w:p w14:paraId="109C916D" w14:textId="77777777" w:rsidR="00BC5219" w:rsidRPr="004F1470" w:rsidRDefault="00BC5219" w:rsidP="00E83802">
            <w:pPr>
              <w:rPr>
                <w:rFonts w:ascii="Meta Pro" w:eastAsia="Times New Roman" w:hAnsi="Meta Pro"/>
                <w:b/>
                <w:bCs/>
                <w:szCs w:val="18"/>
                <w:lang w:eastAsia="en-AU"/>
              </w:rPr>
            </w:pPr>
          </w:p>
        </w:tc>
        <w:tc>
          <w:tcPr>
            <w:tcW w:w="576" w:type="dxa"/>
            <w:tcBorders>
              <w:top w:val="nil"/>
              <w:left w:val="nil"/>
              <w:bottom w:val="nil"/>
              <w:right w:val="nil"/>
            </w:tcBorders>
            <w:shd w:val="clear" w:color="auto" w:fill="auto"/>
            <w:noWrap/>
            <w:vAlign w:val="center"/>
            <w:hideMark/>
          </w:tcPr>
          <w:p w14:paraId="6183C50F" w14:textId="77777777" w:rsidR="00BC5219" w:rsidRPr="004F1470" w:rsidRDefault="00BC5219" w:rsidP="00E83802">
            <w:pPr>
              <w:jc w:val="center"/>
              <w:rPr>
                <w:rFonts w:ascii="Times New Roman" w:eastAsia="Times New Roman" w:hAnsi="Times New Roman"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172BAEB6" w14:textId="77777777" w:rsidR="00BC5219" w:rsidRPr="004F1470" w:rsidRDefault="00BC5219" w:rsidP="00E83802">
            <w:pPr>
              <w:jc w:val="right"/>
              <w:rPr>
                <w:rFonts w:ascii="Meta Pro" w:eastAsia="Times New Roman" w:hAnsi="Meta Pro"/>
                <w:szCs w:val="18"/>
                <w:lang w:eastAsia="en-AU"/>
              </w:rPr>
            </w:pPr>
            <w:r w:rsidRPr="004F1470">
              <w:rPr>
                <w:rFonts w:ascii="Meta Pro" w:eastAsia="Times New Roman" w:hAnsi="Meta Pro"/>
                <w:szCs w:val="18"/>
                <w:lang w:eastAsia="en-AU"/>
              </w:rPr>
              <w:t> </w:t>
            </w:r>
          </w:p>
        </w:tc>
        <w:tc>
          <w:tcPr>
            <w:tcW w:w="216" w:type="dxa"/>
            <w:tcBorders>
              <w:top w:val="nil"/>
              <w:left w:val="nil"/>
              <w:bottom w:val="nil"/>
              <w:right w:val="nil"/>
            </w:tcBorders>
            <w:shd w:val="clear" w:color="auto" w:fill="auto"/>
            <w:noWrap/>
            <w:vAlign w:val="center"/>
            <w:hideMark/>
          </w:tcPr>
          <w:p w14:paraId="01DA42EE" w14:textId="77777777" w:rsidR="00BC5219" w:rsidRPr="004F1470" w:rsidRDefault="00BC5219" w:rsidP="00E83802">
            <w:pPr>
              <w:jc w:val="right"/>
              <w:rPr>
                <w:rFonts w:ascii="Meta Pro" w:eastAsia="Times New Roman" w:hAnsi="Meta Pro"/>
                <w:szCs w:val="18"/>
                <w:lang w:eastAsia="en-AU"/>
              </w:rPr>
            </w:pPr>
          </w:p>
        </w:tc>
        <w:tc>
          <w:tcPr>
            <w:tcW w:w="1514" w:type="dxa"/>
            <w:gridSpan w:val="2"/>
            <w:tcBorders>
              <w:top w:val="nil"/>
              <w:left w:val="nil"/>
              <w:bottom w:val="nil"/>
              <w:right w:val="nil"/>
            </w:tcBorders>
            <w:shd w:val="clear" w:color="auto" w:fill="auto"/>
            <w:noWrap/>
            <w:vAlign w:val="center"/>
            <w:hideMark/>
          </w:tcPr>
          <w:p w14:paraId="2D464A87" w14:textId="77777777" w:rsidR="00BC5219" w:rsidRPr="004F1470" w:rsidRDefault="00BC5219" w:rsidP="00E83802">
            <w:pPr>
              <w:rPr>
                <w:rFonts w:ascii="Times New Roman" w:eastAsia="Times New Roman" w:hAnsi="Times New Roman" w:cs="Times New Roman"/>
                <w:sz w:val="20"/>
                <w:szCs w:val="20"/>
                <w:lang w:eastAsia="en-AU"/>
              </w:rPr>
            </w:pPr>
          </w:p>
        </w:tc>
      </w:tr>
      <w:tr w:rsidR="00BC5219" w:rsidRPr="004F1470" w14:paraId="0E4F98E9" w14:textId="77777777" w:rsidTr="00E83802">
        <w:trPr>
          <w:trHeight w:val="240"/>
        </w:trPr>
        <w:tc>
          <w:tcPr>
            <w:tcW w:w="4961" w:type="dxa"/>
            <w:gridSpan w:val="2"/>
            <w:tcBorders>
              <w:top w:val="nil"/>
              <w:left w:val="nil"/>
              <w:bottom w:val="nil"/>
              <w:right w:val="nil"/>
            </w:tcBorders>
            <w:shd w:val="clear" w:color="auto" w:fill="auto"/>
            <w:noWrap/>
            <w:vAlign w:val="center"/>
            <w:hideMark/>
          </w:tcPr>
          <w:p w14:paraId="01CFD4E4" w14:textId="77777777" w:rsidR="00BC5219" w:rsidRPr="004F1470" w:rsidRDefault="00BC5219" w:rsidP="00E83802">
            <w:pPr>
              <w:rPr>
                <w:rFonts w:ascii="Meta Pro" w:eastAsia="Times New Roman" w:hAnsi="Meta Pro"/>
                <w:szCs w:val="18"/>
                <w:lang w:eastAsia="en-AU"/>
              </w:rPr>
            </w:pPr>
            <w:r w:rsidRPr="004F1470">
              <w:rPr>
                <w:rFonts w:ascii="Meta Pro" w:eastAsia="Times New Roman" w:hAnsi="Meta Pro"/>
                <w:szCs w:val="18"/>
                <w:lang w:eastAsia="en-AU"/>
              </w:rPr>
              <w:t>(Increase)/decrease in receivables</w:t>
            </w:r>
          </w:p>
        </w:tc>
        <w:tc>
          <w:tcPr>
            <w:tcW w:w="696" w:type="dxa"/>
            <w:tcBorders>
              <w:top w:val="nil"/>
              <w:left w:val="nil"/>
              <w:bottom w:val="nil"/>
              <w:right w:val="nil"/>
            </w:tcBorders>
            <w:shd w:val="clear" w:color="auto" w:fill="auto"/>
            <w:noWrap/>
            <w:vAlign w:val="center"/>
            <w:hideMark/>
          </w:tcPr>
          <w:p w14:paraId="1D26D75E" w14:textId="77777777" w:rsidR="00BC5219" w:rsidRPr="004F1470" w:rsidRDefault="00BC5219" w:rsidP="00E83802">
            <w:pPr>
              <w:rPr>
                <w:rFonts w:ascii="Meta Pro" w:eastAsia="Times New Roman" w:hAnsi="Meta Pro"/>
                <w:szCs w:val="18"/>
                <w:lang w:eastAsia="en-AU"/>
              </w:rPr>
            </w:pPr>
          </w:p>
        </w:tc>
        <w:tc>
          <w:tcPr>
            <w:tcW w:w="576" w:type="dxa"/>
            <w:tcBorders>
              <w:top w:val="nil"/>
              <w:left w:val="nil"/>
              <w:bottom w:val="nil"/>
              <w:right w:val="nil"/>
            </w:tcBorders>
            <w:shd w:val="clear" w:color="auto" w:fill="auto"/>
            <w:noWrap/>
            <w:vAlign w:val="center"/>
            <w:hideMark/>
          </w:tcPr>
          <w:p w14:paraId="7620EEE4" w14:textId="77777777" w:rsidR="00BC5219" w:rsidRPr="004F1470" w:rsidRDefault="00BC5219" w:rsidP="00E83802">
            <w:pPr>
              <w:jc w:val="center"/>
              <w:rPr>
                <w:rFonts w:ascii="Times New Roman" w:eastAsia="Times New Roman" w:hAnsi="Times New Roman"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68798514" w14:textId="77777777" w:rsidR="00BC5219" w:rsidRPr="004F1470" w:rsidRDefault="00BC5219" w:rsidP="00E83802">
            <w:pPr>
              <w:jc w:val="right"/>
              <w:rPr>
                <w:rFonts w:ascii="Meta Pro" w:eastAsia="Times New Roman" w:hAnsi="Meta Pro"/>
                <w:szCs w:val="18"/>
                <w:lang w:eastAsia="en-AU"/>
              </w:rPr>
            </w:pPr>
            <w:r w:rsidRPr="004F1470">
              <w:rPr>
                <w:rFonts w:ascii="Meta Pro" w:eastAsia="Times New Roman" w:hAnsi="Meta Pro"/>
                <w:szCs w:val="18"/>
                <w:lang w:eastAsia="en-AU"/>
              </w:rPr>
              <w:t xml:space="preserve">27,696 </w:t>
            </w:r>
          </w:p>
        </w:tc>
        <w:tc>
          <w:tcPr>
            <w:tcW w:w="216" w:type="dxa"/>
            <w:tcBorders>
              <w:top w:val="nil"/>
              <w:left w:val="nil"/>
              <w:bottom w:val="nil"/>
              <w:right w:val="nil"/>
            </w:tcBorders>
            <w:shd w:val="clear" w:color="auto" w:fill="auto"/>
            <w:noWrap/>
            <w:vAlign w:val="center"/>
            <w:hideMark/>
          </w:tcPr>
          <w:p w14:paraId="18F351F8" w14:textId="77777777" w:rsidR="00BC5219" w:rsidRPr="004F1470" w:rsidRDefault="00BC5219" w:rsidP="00E83802">
            <w:pPr>
              <w:jc w:val="right"/>
              <w:rPr>
                <w:rFonts w:ascii="Meta Pro" w:eastAsia="Times New Roman" w:hAnsi="Meta Pro"/>
                <w:szCs w:val="18"/>
                <w:lang w:eastAsia="en-AU"/>
              </w:rPr>
            </w:pPr>
          </w:p>
        </w:tc>
        <w:tc>
          <w:tcPr>
            <w:tcW w:w="1514" w:type="dxa"/>
            <w:gridSpan w:val="2"/>
            <w:tcBorders>
              <w:top w:val="nil"/>
              <w:left w:val="nil"/>
              <w:bottom w:val="nil"/>
              <w:right w:val="nil"/>
            </w:tcBorders>
            <w:shd w:val="clear" w:color="auto" w:fill="auto"/>
            <w:noWrap/>
            <w:vAlign w:val="center"/>
            <w:hideMark/>
          </w:tcPr>
          <w:p w14:paraId="499C5AAE"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(3,918)</w:t>
            </w:r>
          </w:p>
        </w:tc>
      </w:tr>
      <w:tr w:rsidR="00BC5219" w:rsidRPr="004F1470" w14:paraId="1DE6E314" w14:textId="77777777" w:rsidTr="00E83802">
        <w:trPr>
          <w:trHeight w:val="240"/>
        </w:trPr>
        <w:tc>
          <w:tcPr>
            <w:tcW w:w="4961" w:type="dxa"/>
            <w:gridSpan w:val="2"/>
            <w:tcBorders>
              <w:top w:val="nil"/>
              <w:left w:val="nil"/>
              <w:bottom w:val="nil"/>
              <w:right w:val="nil"/>
            </w:tcBorders>
            <w:shd w:val="clear" w:color="auto" w:fill="auto"/>
            <w:noWrap/>
            <w:vAlign w:val="center"/>
            <w:hideMark/>
          </w:tcPr>
          <w:p w14:paraId="1EA9D200" w14:textId="77777777" w:rsidR="00BC5219" w:rsidRPr="004F1470" w:rsidRDefault="00BC5219" w:rsidP="00E83802">
            <w:pPr>
              <w:rPr>
                <w:rFonts w:ascii="Meta Pro" w:eastAsia="Times New Roman" w:hAnsi="Meta Pro"/>
                <w:szCs w:val="18"/>
                <w:lang w:eastAsia="en-AU"/>
              </w:rPr>
            </w:pPr>
            <w:r w:rsidRPr="004F1470">
              <w:rPr>
                <w:rFonts w:ascii="Meta Pro" w:eastAsia="Times New Roman" w:hAnsi="Meta Pro"/>
                <w:szCs w:val="18"/>
                <w:lang w:eastAsia="en-AU"/>
              </w:rPr>
              <w:t>(Increase)/decrease in inventories</w:t>
            </w:r>
          </w:p>
        </w:tc>
        <w:tc>
          <w:tcPr>
            <w:tcW w:w="696" w:type="dxa"/>
            <w:tcBorders>
              <w:top w:val="nil"/>
              <w:left w:val="nil"/>
              <w:bottom w:val="nil"/>
              <w:right w:val="nil"/>
            </w:tcBorders>
            <w:shd w:val="clear" w:color="auto" w:fill="auto"/>
            <w:noWrap/>
            <w:vAlign w:val="center"/>
            <w:hideMark/>
          </w:tcPr>
          <w:p w14:paraId="73EA1C0B" w14:textId="77777777" w:rsidR="00BC5219" w:rsidRPr="004F1470" w:rsidRDefault="00BC5219" w:rsidP="00E83802">
            <w:pPr>
              <w:rPr>
                <w:rFonts w:ascii="Meta Pro" w:eastAsia="Times New Roman" w:hAnsi="Meta Pro"/>
                <w:szCs w:val="18"/>
                <w:lang w:eastAsia="en-AU"/>
              </w:rPr>
            </w:pPr>
          </w:p>
        </w:tc>
        <w:tc>
          <w:tcPr>
            <w:tcW w:w="576" w:type="dxa"/>
            <w:tcBorders>
              <w:top w:val="nil"/>
              <w:left w:val="nil"/>
              <w:bottom w:val="nil"/>
              <w:right w:val="nil"/>
            </w:tcBorders>
            <w:shd w:val="clear" w:color="auto" w:fill="auto"/>
            <w:noWrap/>
            <w:vAlign w:val="center"/>
            <w:hideMark/>
          </w:tcPr>
          <w:p w14:paraId="7742CE39" w14:textId="77777777" w:rsidR="00BC5219" w:rsidRPr="004F1470" w:rsidRDefault="00BC5219" w:rsidP="00E83802">
            <w:pPr>
              <w:jc w:val="center"/>
              <w:rPr>
                <w:rFonts w:ascii="Times New Roman" w:eastAsia="Times New Roman" w:hAnsi="Times New Roman"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58EE6734" w14:textId="77777777" w:rsidR="00BC5219" w:rsidRPr="004F1470" w:rsidRDefault="00BC5219" w:rsidP="00E83802">
            <w:pPr>
              <w:jc w:val="right"/>
              <w:rPr>
                <w:rFonts w:ascii="Meta Pro" w:eastAsia="Times New Roman" w:hAnsi="Meta Pro"/>
                <w:szCs w:val="18"/>
                <w:lang w:eastAsia="en-AU"/>
              </w:rPr>
            </w:pPr>
            <w:r w:rsidRPr="004F1470">
              <w:rPr>
                <w:rFonts w:ascii="Meta Pro" w:eastAsia="Times New Roman" w:hAnsi="Meta Pro"/>
                <w:szCs w:val="18"/>
                <w:lang w:eastAsia="en-AU"/>
              </w:rPr>
              <w:t>(3,780)</w:t>
            </w:r>
          </w:p>
        </w:tc>
        <w:tc>
          <w:tcPr>
            <w:tcW w:w="216" w:type="dxa"/>
            <w:tcBorders>
              <w:top w:val="nil"/>
              <w:left w:val="nil"/>
              <w:bottom w:val="nil"/>
              <w:right w:val="nil"/>
            </w:tcBorders>
            <w:shd w:val="clear" w:color="auto" w:fill="auto"/>
            <w:noWrap/>
            <w:vAlign w:val="center"/>
            <w:hideMark/>
          </w:tcPr>
          <w:p w14:paraId="4CFA1187" w14:textId="77777777" w:rsidR="00BC5219" w:rsidRPr="004F1470" w:rsidRDefault="00BC5219" w:rsidP="00E83802">
            <w:pPr>
              <w:jc w:val="right"/>
              <w:rPr>
                <w:rFonts w:ascii="Meta Pro" w:eastAsia="Times New Roman" w:hAnsi="Meta Pro"/>
                <w:szCs w:val="18"/>
                <w:lang w:eastAsia="en-AU"/>
              </w:rPr>
            </w:pPr>
          </w:p>
        </w:tc>
        <w:tc>
          <w:tcPr>
            <w:tcW w:w="1514" w:type="dxa"/>
            <w:gridSpan w:val="2"/>
            <w:tcBorders>
              <w:top w:val="nil"/>
              <w:left w:val="nil"/>
              <w:bottom w:val="nil"/>
              <w:right w:val="nil"/>
            </w:tcBorders>
            <w:shd w:val="clear" w:color="auto" w:fill="auto"/>
            <w:noWrap/>
            <w:vAlign w:val="center"/>
            <w:hideMark/>
          </w:tcPr>
          <w:p w14:paraId="307F4781"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(1,926)</w:t>
            </w:r>
          </w:p>
        </w:tc>
      </w:tr>
      <w:tr w:rsidR="00BC5219" w:rsidRPr="004F1470" w14:paraId="36733665" w14:textId="77777777" w:rsidTr="00E83802">
        <w:trPr>
          <w:trHeight w:val="240"/>
        </w:trPr>
        <w:tc>
          <w:tcPr>
            <w:tcW w:w="4961" w:type="dxa"/>
            <w:gridSpan w:val="2"/>
            <w:tcBorders>
              <w:top w:val="nil"/>
              <w:left w:val="nil"/>
              <w:bottom w:val="nil"/>
              <w:right w:val="nil"/>
            </w:tcBorders>
            <w:shd w:val="clear" w:color="auto" w:fill="auto"/>
            <w:noWrap/>
            <w:vAlign w:val="center"/>
            <w:hideMark/>
          </w:tcPr>
          <w:p w14:paraId="3DA2271F" w14:textId="77777777" w:rsidR="00BC5219" w:rsidRPr="004F1470" w:rsidRDefault="00BC5219" w:rsidP="00E83802">
            <w:pPr>
              <w:rPr>
                <w:rFonts w:ascii="Meta Pro" w:eastAsia="Times New Roman" w:hAnsi="Meta Pro"/>
                <w:szCs w:val="18"/>
                <w:lang w:eastAsia="en-AU"/>
              </w:rPr>
            </w:pPr>
            <w:r w:rsidRPr="004F1470">
              <w:rPr>
                <w:rFonts w:ascii="Meta Pro" w:eastAsia="Times New Roman" w:hAnsi="Meta Pro"/>
                <w:szCs w:val="18"/>
                <w:lang w:eastAsia="en-AU"/>
              </w:rPr>
              <w:t>(Increase)/decrease in prepayments</w:t>
            </w:r>
          </w:p>
        </w:tc>
        <w:tc>
          <w:tcPr>
            <w:tcW w:w="696" w:type="dxa"/>
            <w:tcBorders>
              <w:top w:val="nil"/>
              <w:left w:val="nil"/>
              <w:bottom w:val="nil"/>
              <w:right w:val="nil"/>
            </w:tcBorders>
            <w:shd w:val="clear" w:color="auto" w:fill="auto"/>
            <w:noWrap/>
            <w:vAlign w:val="center"/>
            <w:hideMark/>
          </w:tcPr>
          <w:p w14:paraId="10C3943A" w14:textId="77777777" w:rsidR="00BC5219" w:rsidRPr="004F1470" w:rsidRDefault="00BC5219" w:rsidP="00E83802">
            <w:pPr>
              <w:rPr>
                <w:rFonts w:ascii="Meta Pro" w:eastAsia="Times New Roman" w:hAnsi="Meta Pro"/>
                <w:szCs w:val="18"/>
                <w:lang w:eastAsia="en-AU"/>
              </w:rPr>
            </w:pPr>
          </w:p>
        </w:tc>
        <w:tc>
          <w:tcPr>
            <w:tcW w:w="576" w:type="dxa"/>
            <w:tcBorders>
              <w:top w:val="nil"/>
              <w:left w:val="nil"/>
              <w:bottom w:val="nil"/>
              <w:right w:val="nil"/>
            </w:tcBorders>
            <w:shd w:val="clear" w:color="auto" w:fill="auto"/>
            <w:noWrap/>
            <w:vAlign w:val="center"/>
            <w:hideMark/>
          </w:tcPr>
          <w:p w14:paraId="3A1A1EE2" w14:textId="77777777" w:rsidR="00BC5219" w:rsidRPr="004F1470" w:rsidRDefault="00BC5219" w:rsidP="00E83802">
            <w:pPr>
              <w:jc w:val="center"/>
              <w:rPr>
                <w:rFonts w:ascii="Times New Roman" w:eastAsia="Times New Roman" w:hAnsi="Times New Roman"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171F8538" w14:textId="77777777" w:rsidR="00BC5219" w:rsidRPr="004F1470" w:rsidRDefault="00BC5219" w:rsidP="00E83802">
            <w:pPr>
              <w:jc w:val="right"/>
              <w:rPr>
                <w:rFonts w:ascii="Meta Pro" w:eastAsia="Times New Roman" w:hAnsi="Meta Pro"/>
                <w:szCs w:val="18"/>
                <w:lang w:eastAsia="en-AU"/>
              </w:rPr>
            </w:pPr>
            <w:r w:rsidRPr="004F1470">
              <w:rPr>
                <w:rFonts w:ascii="Meta Pro" w:eastAsia="Times New Roman" w:hAnsi="Meta Pro"/>
                <w:szCs w:val="18"/>
                <w:lang w:eastAsia="en-AU"/>
              </w:rPr>
              <w:t xml:space="preserve">59,649 </w:t>
            </w:r>
          </w:p>
        </w:tc>
        <w:tc>
          <w:tcPr>
            <w:tcW w:w="216" w:type="dxa"/>
            <w:tcBorders>
              <w:top w:val="nil"/>
              <w:left w:val="nil"/>
              <w:bottom w:val="nil"/>
              <w:right w:val="nil"/>
            </w:tcBorders>
            <w:shd w:val="clear" w:color="auto" w:fill="auto"/>
            <w:noWrap/>
            <w:vAlign w:val="center"/>
            <w:hideMark/>
          </w:tcPr>
          <w:p w14:paraId="2F4662E7" w14:textId="77777777" w:rsidR="00BC5219" w:rsidRPr="004F1470" w:rsidRDefault="00BC5219" w:rsidP="00E83802">
            <w:pPr>
              <w:jc w:val="right"/>
              <w:rPr>
                <w:rFonts w:ascii="Meta Pro" w:eastAsia="Times New Roman" w:hAnsi="Meta Pro"/>
                <w:szCs w:val="18"/>
                <w:lang w:eastAsia="en-AU"/>
              </w:rPr>
            </w:pPr>
          </w:p>
        </w:tc>
        <w:tc>
          <w:tcPr>
            <w:tcW w:w="1514" w:type="dxa"/>
            <w:gridSpan w:val="2"/>
            <w:tcBorders>
              <w:top w:val="nil"/>
              <w:left w:val="nil"/>
              <w:bottom w:val="nil"/>
              <w:right w:val="nil"/>
            </w:tcBorders>
            <w:shd w:val="clear" w:color="auto" w:fill="auto"/>
            <w:noWrap/>
            <w:vAlign w:val="center"/>
            <w:hideMark/>
          </w:tcPr>
          <w:p w14:paraId="3A4CFC2E"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 xml:space="preserve">73,092 </w:t>
            </w:r>
          </w:p>
        </w:tc>
      </w:tr>
      <w:tr w:rsidR="00BC5219" w:rsidRPr="004F1470" w14:paraId="616E19A8" w14:textId="77777777" w:rsidTr="00E83802">
        <w:trPr>
          <w:trHeight w:val="240"/>
        </w:trPr>
        <w:tc>
          <w:tcPr>
            <w:tcW w:w="4961" w:type="dxa"/>
            <w:gridSpan w:val="2"/>
            <w:tcBorders>
              <w:top w:val="nil"/>
              <w:left w:val="nil"/>
              <w:bottom w:val="nil"/>
              <w:right w:val="nil"/>
            </w:tcBorders>
            <w:shd w:val="clear" w:color="auto" w:fill="auto"/>
            <w:noWrap/>
            <w:vAlign w:val="center"/>
            <w:hideMark/>
          </w:tcPr>
          <w:p w14:paraId="7CFA97AE" w14:textId="77777777" w:rsidR="00BC5219" w:rsidRPr="004F1470" w:rsidRDefault="00BC5219" w:rsidP="00E83802">
            <w:pPr>
              <w:rPr>
                <w:rFonts w:ascii="Meta Pro" w:eastAsia="Times New Roman" w:hAnsi="Meta Pro"/>
                <w:szCs w:val="18"/>
                <w:lang w:eastAsia="en-AU"/>
              </w:rPr>
            </w:pPr>
            <w:r w:rsidRPr="004F1470">
              <w:rPr>
                <w:rFonts w:ascii="Meta Pro" w:eastAsia="Times New Roman" w:hAnsi="Meta Pro"/>
                <w:szCs w:val="18"/>
                <w:lang w:eastAsia="en-AU"/>
              </w:rPr>
              <w:t>(Increase)/decrease in deferred tax assets</w:t>
            </w:r>
          </w:p>
        </w:tc>
        <w:tc>
          <w:tcPr>
            <w:tcW w:w="696" w:type="dxa"/>
            <w:tcBorders>
              <w:top w:val="nil"/>
              <w:left w:val="nil"/>
              <w:bottom w:val="nil"/>
              <w:right w:val="nil"/>
            </w:tcBorders>
            <w:shd w:val="clear" w:color="auto" w:fill="auto"/>
            <w:noWrap/>
            <w:vAlign w:val="center"/>
            <w:hideMark/>
          </w:tcPr>
          <w:p w14:paraId="3499E9FE" w14:textId="77777777" w:rsidR="00BC5219" w:rsidRPr="004F1470" w:rsidRDefault="00BC5219" w:rsidP="00E83802">
            <w:pPr>
              <w:rPr>
                <w:rFonts w:ascii="Meta Pro" w:eastAsia="Times New Roman" w:hAnsi="Meta Pro"/>
                <w:szCs w:val="18"/>
                <w:lang w:eastAsia="en-AU"/>
              </w:rPr>
            </w:pPr>
          </w:p>
        </w:tc>
        <w:tc>
          <w:tcPr>
            <w:tcW w:w="576" w:type="dxa"/>
            <w:tcBorders>
              <w:top w:val="nil"/>
              <w:left w:val="nil"/>
              <w:bottom w:val="nil"/>
              <w:right w:val="nil"/>
            </w:tcBorders>
            <w:shd w:val="clear" w:color="auto" w:fill="auto"/>
            <w:noWrap/>
            <w:vAlign w:val="center"/>
            <w:hideMark/>
          </w:tcPr>
          <w:p w14:paraId="0FB291D0" w14:textId="77777777" w:rsidR="00BC5219" w:rsidRPr="004F1470" w:rsidRDefault="00BC5219" w:rsidP="00E83802">
            <w:pPr>
              <w:jc w:val="center"/>
              <w:rPr>
                <w:rFonts w:ascii="Times New Roman" w:eastAsia="Times New Roman" w:hAnsi="Times New Roman"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5090988D" w14:textId="77777777" w:rsidR="00BC5219" w:rsidRPr="004F1470" w:rsidRDefault="00BC5219" w:rsidP="00E83802">
            <w:pPr>
              <w:jc w:val="right"/>
              <w:rPr>
                <w:rFonts w:ascii="Meta Pro" w:eastAsia="Times New Roman" w:hAnsi="Meta Pro"/>
                <w:szCs w:val="18"/>
                <w:lang w:eastAsia="en-AU"/>
              </w:rPr>
            </w:pPr>
            <w:r w:rsidRPr="004F1470">
              <w:rPr>
                <w:rFonts w:ascii="Meta Pro" w:eastAsia="Times New Roman" w:hAnsi="Meta Pro"/>
                <w:szCs w:val="18"/>
                <w:lang w:eastAsia="en-AU"/>
              </w:rPr>
              <w:t xml:space="preserve">295 </w:t>
            </w:r>
          </w:p>
        </w:tc>
        <w:tc>
          <w:tcPr>
            <w:tcW w:w="216" w:type="dxa"/>
            <w:tcBorders>
              <w:top w:val="nil"/>
              <w:left w:val="nil"/>
              <w:bottom w:val="nil"/>
              <w:right w:val="nil"/>
            </w:tcBorders>
            <w:shd w:val="clear" w:color="auto" w:fill="auto"/>
            <w:noWrap/>
            <w:vAlign w:val="center"/>
            <w:hideMark/>
          </w:tcPr>
          <w:p w14:paraId="563937B5" w14:textId="77777777" w:rsidR="00BC5219" w:rsidRPr="004F1470" w:rsidRDefault="00BC5219" w:rsidP="00E83802">
            <w:pPr>
              <w:jc w:val="right"/>
              <w:rPr>
                <w:rFonts w:ascii="Meta Pro" w:eastAsia="Times New Roman" w:hAnsi="Meta Pro"/>
                <w:szCs w:val="18"/>
                <w:lang w:eastAsia="en-AU"/>
              </w:rPr>
            </w:pPr>
          </w:p>
        </w:tc>
        <w:tc>
          <w:tcPr>
            <w:tcW w:w="1514" w:type="dxa"/>
            <w:gridSpan w:val="2"/>
            <w:tcBorders>
              <w:top w:val="nil"/>
              <w:left w:val="nil"/>
              <w:bottom w:val="nil"/>
              <w:right w:val="nil"/>
            </w:tcBorders>
            <w:shd w:val="clear" w:color="auto" w:fill="auto"/>
            <w:noWrap/>
            <w:vAlign w:val="center"/>
            <w:hideMark/>
          </w:tcPr>
          <w:p w14:paraId="6C1AF677"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 xml:space="preserve">556 </w:t>
            </w:r>
          </w:p>
        </w:tc>
      </w:tr>
      <w:tr w:rsidR="00BC5219" w:rsidRPr="004F1470" w14:paraId="765E091D" w14:textId="77777777" w:rsidTr="00E83802">
        <w:trPr>
          <w:trHeight w:val="240"/>
        </w:trPr>
        <w:tc>
          <w:tcPr>
            <w:tcW w:w="4961" w:type="dxa"/>
            <w:gridSpan w:val="2"/>
            <w:tcBorders>
              <w:top w:val="nil"/>
              <w:left w:val="nil"/>
              <w:bottom w:val="nil"/>
              <w:right w:val="nil"/>
            </w:tcBorders>
            <w:shd w:val="clear" w:color="auto" w:fill="auto"/>
            <w:noWrap/>
            <w:vAlign w:val="center"/>
            <w:hideMark/>
          </w:tcPr>
          <w:p w14:paraId="57DB278F" w14:textId="77777777" w:rsidR="00BC5219" w:rsidRPr="004F1470" w:rsidRDefault="00BC5219" w:rsidP="00E83802">
            <w:pPr>
              <w:rPr>
                <w:rFonts w:ascii="Meta Pro" w:eastAsia="Times New Roman" w:hAnsi="Meta Pro"/>
                <w:szCs w:val="18"/>
                <w:lang w:eastAsia="en-AU"/>
              </w:rPr>
            </w:pPr>
            <w:r w:rsidRPr="004F1470">
              <w:rPr>
                <w:rFonts w:ascii="Meta Pro" w:eastAsia="Times New Roman" w:hAnsi="Meta Pro"/>
                <w:szCs w:val="18"/>
                <w:lang w:eastAsia="en-AU"/>
              </w:rPr>
              <w:t>Increase/(decrease) in payables</w:t>
            </w:r>
          </w:p>
        </w:tc>
        <w:tc>
          <w:tcPr>
            <w:tcW w:w="696" w:type="dxa"/>
            <w:tcBorders>
              <w:top w:val="nil"/>
              <w:left w:val="nil"/>
              <w:bottom w:val="nil"/>
              <w:right w:val="nil"/>
            </w:tcBorders>
            <w:shd w:val="clear" w:color="auto" w:fill="auto"/>
            <w:noWrap/>
            <w:vAlign w:val="center"/>
            <w:hideMark/>
          </w:tcPr>
          <w:p w14:paraId="0D897783" w14:textId="77777777" w:rsidR="00BC5219" w:rsidRPr="004F1470" w:rsidRDefault="00BC5219" w:rsidP="00E83802">
            <w:pPr>
              <w:rPr>
                <w:rFonts w:ascii="Meta Pro" w:eastAsia="Times New Roman" w:hAnsi="Meta Pro"/>
                <w:szCs w:val="18"/>
                <w:lang w:eastAsia="en-AU"/>
              </w:rPr>
            </w:pPr>
          </w:p>
        </w:tc>
        <w:tc>
          <w:tcPr>
            <w:tcW w:w="576" w:type="dxa"/>
            <w:tcBorders>
              <w:top w:val="nil"/>
              <w:left w:val="nil"/>
              <w:bottom w:val="nil"/>
              <w:right w:val="nil"/>
            </w:tcBorders>
            <w:shd w:val="clear" w:color="auto" w:fill="auto"/>
            <w:noWrap/>
            <w:vAlign w:val="center"/>
            <w:hideMark/>
          </w:tcPr>
          <w:p w14:paraId="6DBA98E8" w14:textId="77777777" w:rsidR="00BC5219" w:rsidRPr="004F1470" w:rsidRDefault="00BC5219" w:rsidP="00E83802">
            <w:pPr>
              <w:jc w:val="center"/>
              <w:rPr>
                <w:rFonts w:ascii="Times New Roman" w:eastAsia="Times New Roman" w:hAnsi="Times New Roman"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2A88DE97" w14:textId="77777777" w:rsidR="00BC5219" w:rsidRPr="004F1470" w:rsidRDefault="00BC5219" w:rsidP="00E83802">
            <w:pPr>
              <w:jc w:val="right"/>
              <w:rPr>
                <w:rFonts w:ascii="Meta Pro" w:eastAsia="Times New Roman" w:hAnsi="Meta Pro"/>
                <w:szCs w:val="18"/>
                <w:lang w:eastAsia="en-AU"/>
              </w:rPr>
            </w:pPr>
            <w:r w:rsidRPr="004F1470">
              <w:rPr>
                <w:rFonts w:ascii="Meta Pro" w:eastAsia="Times New Roman" w:hAnsi="Meta Pro"/>
                <w:szCs w:val="18"/>
                <w:lang w:eastAsia="en-AU"/>
              </w:rPr>
              <w:t xml:space="preserve">138,605 </w:t>
            </w:r>
          </w:p>
        </w:tc>
        <w:tc>
          <w:tcPr>
            <w:tcW w:w="216" w:type="dxa"/>
            <w:tcBorders>
              <w:top w:val="nil"/>
              <w:left w:val="nil"/>
              <w:bottom w:val="nil"/>
              <w:right w:val="nil"/>
            </w:tcBorders>
            <w:shd w:val="clear" w:color="auto" w:fill="auto"/>
            <w:noWrap/>
            <w:vAlign w:val="center"/>
            <w:hideMark/>
          </w:tcPr>
          <w:p w14:paraId="5FD00651" w14:textId="77777777" w:rsidR="00BC5219" w:rsidRPr="004F1470" w:rsidRDefault="00BC5219" w:rsidP="00E83802">
            <w:pPr>
              <w:jc w:val="right"/>
              <w:rPr>
                <w:rFonts w:ascii="Meta Pro" w:eastAsia="Times New Roman" w:hAnsi="Meta Pro"/>
                <w:szCs w:val="18"/>
                <w:lang w:eastAsia="en-AU"/>
              </w:rPr>
            </w:pPr>
          </w:p>
        </w:tc>
        <w:tc>
          <w:tcPr>
            <w:tcW w:w="1514" w:type="dxa"/>
            <w:gridSpan w:val="2"/>
            <w:tcBorders>
              <w:top w:val="nil"/>
              <w:left w:val="nil"/>
              <w:bottom w:val="nil"/>
              <w:right w:val="nil"/>
            </w:tcBorders>
            <w:shd w:val="clear" w:color="auto" w:fill="auto"/>
            <w:noWrap/>
            <w:vAlign w:val="center"/>
            <w:hideMark/>
          </w:tcPr>
          <w:p w14:paraId="4A8F4BDC"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(11,682)</w:t>
            </w:r>
          </w:p>
        </w:tc>
      </w:tr>
      <w:tr w:rsidR="00BC5219" w:rsidRPr="004F1470" w14:paraId="4B14D43F" w14:textId="77777777" w:rsidTr="00E83802">
        <w:trPr>
          <w:trHeight w:val="240"/>
        </w:trPr>
        <w:tc>
          <w:tcPr>
            <w:tcW w:w="4961" w:type="dxa"/>
            <w:gridSpan w:val="2"/>
            <w:tcBorders>
              <w:top w:val="nil"/>
              <w:left w:val="nil"/>
              <w:bottom w:val="nil"/>
              <w:right w:val="nil"/>
            </w:tcBorders>
            <w:shd w:val="clear" w:color="auto" w:fill="auto"/>
            <w:noWrap/>
            <w:vAlign w:val="center"/>
            <w:hideMark/>
          </w:tcPr>
          <w:p w14:paraId="1090A7B5" w14:textId="77777777" w:rsidR="00BC5219" w:rsidRPr="004F1470" w:rsidRDefault="00BC5219" w:rsidP="00E83802">
            <w:pPr>
              <w:rPr>
                <w:rFonts w:ascii="Meta Pro" w:eastAsia="Times New Roman" w:hAnsi="Meta Pro"/>
                <w:szCs w:val="18"/>
                <w:lang w:eastAsia="en-AU"/>
              </w:rPr>
            </w:pPr>
            <w:r w:rsidRPr="004F1470">
              <w:rPr>
                <w:rFonts w:ascii="Meta Pro" w:eastAsia="Times New Roman" w:hAnsi="Meta Pro"/>
                <w:szCs w:val="18"/>
                <w:lang w:eastAsia="en-AU"/>
              </w:rPr>
              <w:t xml:space="preserve">Increase/(decrease) in accrued employee benefits </w:t>
            </w:r>
          </w:p>
        </w:tc>
        <w:tc>
          <w:tcPr>
            <w:tcW w:w="696" w:type="dxa"/>
            <w:tcBorders>
              <w:top w:val="nil"/>
              <w:left w:val="nil"/>
              <w:bottom w:val="nil"/>
              <w:right w:val="nil"/>
            </w:tcBorders>
            <w:shd w:val="clear" w:color="auto" w:fill="auto"/>
            <w:noWrap/>
            <w:vAlign w:val="center"/>
            <w:hideMark/>
          </w:tcPr>
          <w:p w14:paraId="187E7C22" w14:textId="77777777" w:rsidR="00BC5219" w:rsidRPr="004F1470" w:rsidRDefault="00BC5219" w:rsidP="00E83802">
            <w:pPr>
              <w:rPr>
                <w:rFonts w:ascii="Meta Pro" w:eastAsia="Times New Roman" w:hAnsi="Meta Pro"/>
                <w:szCs w:val="18"/>
                <w:lang w:eastAsia="en-AU"/>
              </w:rPr>
            </w:pPr>
          </w:p>
        </w:tc>
        <w:tc>
          <w:tcPr>
            <w:tcW w:w="576" w:type="dxa"/>
            <w:tcBorders>
              <w:top w:val="nil"/>
              <w:left w:val="nil"/>
              <w:bottom w:val="nil"/>
              <w:right w:val="nil"/>
            </w:tcBorders>
            <w:shd w:val="clear" w:color="auto" w:fill="auto"/>
            <w:noWrap/>
            <w:vAlign w:val="center"/>
            <w:hideMark/>
          </w:tcPr>
          <w:p w14:paraId="476CF2BA" w14:textId="77777777" w:rsidR="00BC5219" w:rsidRPr="004F1470" w:rsidRDefault="00BC5219" w:rsidP="00E83802">
            <w:pPr>
              <w:jc w:val="center"/>
              <w:rPr>
                <w:rFonts w:ascii="Times New Roman" w:eastAsia="Times New Roman" w:hAnsi="Times New Roman"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39A8A343" w14:textId="77777777" w:rsidR="00BC5219" w:rsidRPr="004F1470" w:rsidRDefault="00BC5219" w:rsidP="00E83802">
            <w:pPr>
              <w:jc w:val="right"/>
              <w:rPr>
                <w:rFonts w:ascii="Meta Pro" w:eastAsia="Times New Roman" w:hAnsi="Meta Pro"/>
                <w:szCs w:val="18"/>
                <w:lang w:eastAsia="en-AU"/>
              </w:rPr>
            </w:pPr>
            <w:r w:rsidRPr="004F1470">
              <w:rPr>
                <w:rFonts w:ascii="Meta Pro" w:eastAsia="Times New Roman" w:hAnsi="Meta Pro"/>
                <w:szCs w:val="18"/>
                <w:lang w:eastAsia="en-AU"/>
              </w:rPr>
              <w:t xml:space="preserve">4,413 </w:t>
            </w:r>
          </w:p>
        </w:tc>
        <w:tc>
          <w:tcPr>
            <w:tcW w:w="216" w:type="dxa"/>
            <w:tcBorders>
              <w:top w:val="nil"/>
              <w:left w:val="nil"/>
              <w:bottom w:val="nil"/>
              <w:right w:val="nil"/>
            </w:tcBorders>
            <w:shd w:val="clear" w:color="auto" w:fill="auto"/>
            <w:noWrap/>
            <w:vAlign w:val="center"/>
            <w:hideMark/>
          </w:tcPr>
          <w:p w14:paraId="158C0514" w14:textId="77777777" w:rsidR="00BC5219" w:rsidRPr="004F1470" w:rsidRDefault="00BC5219" w:rsidP="00E83802">
            <w:pPr>
              <w:jc w:val="right"/>
              <w:rPr>
                <w:rFonts w:ascii="Meta Pro" w:eastAsia="Times New Roman" w:hAnsi="Meta Pro"/>
                <w:szCs w:val="18"/>
                <w:lang w:eastAsia="en-AU"/>
              </w:rPr>
            </w:pPr>
          </w:p>
        </w:tc>
        <w:tc>
          <w:tcPr>
            <w:tcW w:w="1514" w:type="dxa"/>
            <w:gridSpan w:val="2"/>
            <w:tcBorders>
              <w:top w:val="nil"/>
              <w:left w:val="nil"/>
              <w:bottom w:val="nil"/>
              <w:right w:val="nil"/>
            </w:tcBorders>
            <w:shd w:val="clear" w:color="auto" w:fill="auto"/>
            <w:noWrap/>
            <w:vAlign w:val="center"/>
            <w:hideMark/>
          </w:tcPr>
          <w:p w14:paraId="37AB8B89"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 xml:space="preserve">628 </w:t>
            </w:r>
          </w:p>
        </w:tc>
      </w:tr>
      <w:tr w:rsidR="00BC5219" w:rsidRPr="004F1470" w14:paraId="39691DAC" w14:textId="77777777" w:rsidTr="00E83802">
        <w:trPr>
          <w:trHeight w:val="240"/>
        </w:trPr>
        <w:tc>
          <w:tcPr>
            <w:tcW w:w="4961" w:type="dxa"/>
            <w:gridSpan w:val="2"/>
            <w:tcBorders>
              <w:top w:val="nil"/>
              <w:left w:val="nil"/>
              <w:bottom w:val="nil"/>
              <w:right w:val="nil"/>
            </w:tcBorders>
            <w:shd w:val="clear" w:color="auto" w:fill="auto"/>
            <w:noWrap/>
            <w:vAlign w:val="center"/>
            <w:hideMark/>
          </w:tcPr>
          <w:p w14:paraId="791F47AE" w14:textId="77777777" w:rsidR="00BC5219" w:rsidRPr="004F1470" w:rsidRDefault="00BC5219" w:rsidP="00E83802">
            <w:pPr>
              <w:rPr>
                <w:rFonts w:ascii="Meta Pro" w:eastAsia="Times New Roman" w:hAnsi="Meta Pro"/>
                <w:szCs w:val="18"/>
                <w:lang w:eastAsia="en-AU"/>
              </w:rPr>
            </w:pPr>
            <w:r w:rsidRPr="004F1470">
              <w:rPr>
                <w:rFonts w:ascii="Meta Pro" w:eastAsia="Times New Roman" w:hAnsi="Meta Pro"/>
                <w:szCs w:val="18"/>
                <w:lang w:eastAsia="en-AU"/>
              </w:rPr>
              <w:t>Increase/(decrease) in other liabilities</w:t>
            </w:r>
          </w:p>
        </w:tc>
        <w:tc>
          <w:tcPr>
            <w:tcW w:w="696" w:type="dxa"/>
            <w:tcBorders>
              <w:top w:val="nil"/>
              <w:left w:val="nil"/>
              <w:bottom w:val="single" w:sz="4" w:space="0" w:color="auto"/>
              <w:right w:val="nil"/>
            </w:tcBorders>
            <w:shd w:val="clear" w:color="auto" w:fill="auto"/>
            <w:noWrap/>
            <w:vAlign w:val="center"/>
            <w:hideMark/>
          </w:tcPr>
          <w:p w14:paraId="400DD366" w14:textId="77777777" w:rsidR="00BC5219" w:rsidRPr="004F1470" w:rsidRDefault="00BC5219" w:rsidP="00E83802">
            <w:pPr>
              <w:jc w:val="center"/>
              <w:rPr>
                <w:rFonts w:ascii="Meta Pro" w:eastAsia="Times New Roman" w:hAnsi="Meta Pro"/>
                <w:color w:val="000000"/>
                <w:szCs w:val="18"/>
                <w:lang w:eastAsia="en-AU"/>
              </w:rPr>
            </w:pPr>
            <w:r w:rsidRPr="004F1470">
              <w:rPr>
                <w:rFonts w:ascii="Meta Pro" w:eastAsia="Times New Roman" w:hAnsi="Meta Pro"/>
                <w:color w:val="000000"/>
                <w:szCs w:val="18"/>
                <w:lang w:eastAsia="en-AU"/>
              </w:rPr>
              <w:t> </w:t>
            </w:r>
          </w:p>
        </w:tc>
        <w:tc>
          <w:tcPr>
            <w:tcW w:w="576" w:type="dxa"/>
            <w:tcBorders>
              <w:top w:val="nil"/>
              <w:left w:val="nil"/>
              <w:bottom w:val="nil"/>
              <w:right w:val="nil"/>
            </w:tcBorders>
            <w:shd w:val="clear" w:color="auto" w:fill="auto"/>
            <w:noWrap/>
            <w:vAlign w:val="center"/>
            <w:hideMark/>
          </w:tcPr>
          <w:p w14:paraId="6D73CD30" w14:textId="77777777" w:rsidR="00BC5219" w:rsidRPr="004F1470" w:rsidRDefault="00BC5219" w:rsidP="00E83802">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0E93A22D" w14:textId="77777777" w:rsidR="00BC5219" w:rsidRPr="004F1470" w:rsidRDefault="00BC5219" w:rsidP="00E83802">
            <w:pPr>
              <w:jc w:val="right"/>
              <w:rPr>
                <w:rFonts w:ascii="Meta Pro" w:eastAsia="Times New Roman" w:hAnsi="Meta Pro"/>
                <w:szCs w:val="18"/>
                <w:lang w:eastAsia="en-AU"/>
              </w:rPr>
            </w:pPr>
            <w:r w:rsidRPr="004F1470">
              <w:rPr>
                <w:rFonts w:ascii="Meta Pro" w:eastAsia="Times New Roman" w:hAnsi="Meta Pro"/>
                <w:szCs w:val="18"/>
                <w:lang w:eastAsia="en-AU"/>
              </w:rPr>
              <w:t xml:space="preserve">5,716 </w:t>
            </w:r>
          </w:p>
        </w:tc>
        <w:tc>
          <w:tcPr>
            <w:tcW w:w="216" w:type="dxa"/>
            <w:tcBorders>
              <w:top w:val="nil"/>
              <w:left w:val="nil"/>
              <w:bottom w:val="nil"/>
              <w:right w:val="nil"/>
            </w:tcBorders>
            <w:shd w:val="clear" w:color="auto" w:fill="auto"/>
            <w:noWrap/>
            <w:vAlign w:val="center"/>
            <w:hideMark/>
          </w:tcPr>
          <w:p w14:paraId="50C15603" w14:textId="77777777" w:rsidR="00BC5219" w:rsidRPr="004F1470" w:rsidRDefault="00BC5219" w:rsidP="00E83802">
            <w:pPr>
              <w:jc w:val="right"/>
              <w:rPr>
                <w:rFonts w:ascii="Meta Pro" w:eastAsia="Times New Roman" w:hAnsi="Meta Pro"/>
                <w:szCs w:val="18"/>
                <w:lang w:eastAsia="en-AU"/>
              </w:rPr>
            </w:pPr>
          </w:p>
        </w:tc>
        <w:tc>
          <w:tcPr>
            <w:tcW w:w="1514" w:type="dxa"/>
            <w:gridSpan w:val="2"/>
            <w:tcBorders>
              <w:top w:val="nil"/>
              <w:left w:val="nil"/>
              <w:bottom w:val="nil"/>
              <w:right w:val="nil"/>
            </w:tcBorders>
            <w:shd w:val="clear" w:color="auto" w:fill="auto"/>
            <w:noWrap/>
            <w:vAlign w:val="center"/>
            <w:hideMark/>
          </w:tcPr>
          <w:p w14:paraId="240D9DBD" w14:textId="77777777" w:rsidR="00BC5219" w:rsidRPr="004F1470" w:rsidRDefault="00BC5219" w:rsidP="00E83802">
            <w:pPr>
              <w:jc w:val="right"/>
              <w:rPr>
                <w:rFonts w:ascii="Meta Pro" w:eastAsia="Times New Roman" w:hAnsi="Meta Pro"/>
                <w:color w:val="000000"/>
                <w:szCs w:val="18"/>
                <w:lang w:eastAsia="en-AU"/>
              </w:rPr>
            </w:pPr>
            <w:r w:rsidRPr="004F1470">
              <w:rPr>
                <w:rFonts w:ascii="Meta Pro" w:eastAsia="Times New Roman" w:hAnsi="Meta Pro"/>
                <w:color w:val="000000"/>
                <w:szCs w:val="18"/>
                <w:lang w:eastAsia="en-AU"/>
              </w:rPr>
              <w:t xml:space="preserve">58,883 </w:t>
            </w:r>
          </w:p>
        </w:tc>
      </w:tr>
      <w:tr w:rsidR="00BC5219" w:rsidRPr="004F1470" w14:paraId="099B435D" w14:textId="77777777" w:rsidTr="00E83802">
        <w:trPr>
          <w:trHeight w:val="240"/>
        </w:trPr>
        <w:tc>
          <w:tcPr>
            <w:tcW w:w="4961" w:type="dxa"/>
            <w:gridSpan w:val="2"/>
            <w:tcBorders>
              <w:top w:val="single" w:sz="4" w:space="0" w:color="auto"/>
              <w:left w:val="nil"/>
              <w:bottom w:val="double" w:sz="6" w:space="0" w:color="auto"/>
              <w:right w:val="nil"/>
            </w:tcBorders>
            <w:shd w:val="clear" w:color="auto" w:fill="auto"/>
            <w:noWrap/>
            <w:vAlign w:val="center"/>
            <w:hideMark/>
          </w:tcPr>
          <w:p w14:paraId="10A42A4D" w14:textId="77777777" w:rsidR="00BC5219" w:rsidRPr="004F1470" w:rsidRDefault="00BC5219" w:rsidP="00E83802">
            <w:pPr>
              <w:rPr>
                <w:rFonts w:ascii="Meta Pro" w:eastAsia="Times New Roman" w:hAnsi="Meta Pro"/>
                <w:b/>
                <w:bCs/>
                <w:szCs w:val="18"/>
                <w:lang w:eastAsia="en-AU"/>
              </w:rPr>
            </w:pPr>
            <w:r w:rsidRPr="004F1470">
              <w:rPr>
                <w:rFonts w:ascii="Meta Pro" w:eastAsia="Times New Roman" w:hAnsi="Meta Pro"/>
                <w:b/>
                <w:bCs/>
                <w:szCs w:val="18"/>
                <w:lang w:eastAsia="en-AU"/>
              </w:rPr>
              <w:t>Net cash provided by operating activities</w:t>
            </w:r>
          </w:p>
        </w:tc>
        <w:tc>
          <w:tcPr>
            <w:tcW w:w="696" w:type="dxa"/>
            <w:tcBorders>
              <w:top w:val="single" w:sz="4" w:space="0" w:color="auto"/>
              <w:left w:val="nil"/>
              <w:bottom w:val="double" w:sz="6" w:space="0" w:color="auto"/>
              <w:right w:val="nil"/>
            </w:tcBorders>
            <w:shd w:val="clear" w:color="auto" w:fill="auto"/>
            <w:noWrap/>
            <w:vAlign w:val="center"/>
            <w:hideMark/>
          </w:tcPr>
          <w:p w14:paraId="04F78526" w14:textId="77777777" w:rsidR="00BC5219" w:rsidRPr="004F1470" w:rsidRDefault="00BC5219" w:rsidP="00E83802">
            <w:pPr>
              <w:jc w:val="center"/>
              <w:rPr>
                <w:rFonts w:ascii="Meta Pro" w:eastAsia="Times New Roman" w:hAnsi="Meta Pro"/>
                <w:color w:val="000000"/>
                <w:szCs w:val="18"/>
                <w:lang w:eastAsia="en-AU"/>
              </w:rPr>
            </w:pPr>
            <w:r w:rsidRPr="004F1470">
              <w:rPr>
                <w:rFonts w:ascii="Meta Pro" w:eastAsia="Times New Roman" w:hAnsi="Meta Pro"/>
                <w:color w:val="000000"/>
                <w:szCs w:val="18"/>
                <w:lang w:eastAsia="en-AU"/>
              </w:rPr>
              <w:t> </w:t>
            </w:r>
          </w:p>
        </w:tc>
        <w:tc>
          <w:tcPr>
            <w:tcW w:w="576" w:type="dxa"/>
            <w:tcBorders>
              <w:top w:val="single" w:sz="4" w:space="0" w:color="auto"/>
              <w:left w:val="nil"/>
              <w:bottom w:val="double" w:sz="6" w:space="0" w:color="auto"/>
              <w:right w:val="nil"/>
            </w:tcBorders>
            <w:shd w:val="clear" w:color="auto" w:fill="auto"/>
            <w:noWrap/>
            <w:vAlign w:val="center"/>
            <w:hideMark/>
          </w:tcPr>
          <w:p w14:paraId="26BBA69F" w14:textId="77777777" w:rsidR="00BC5219" w:rsidRPr="004F1470" w:rsidRDefault="00BC5219" w:rsidP="00E83802">
            <w:pPr>
              <w:rPr>
                <w:rFonts w:ascii="Meta Pro" w:eastAsia="Times New Roman" w:hAnsi="Meta Pro"/>
                <w:szCs w:val="18"/>
                <w:lang w:eastAsia="en-AU"/>
              </w:rPr>
            </w:pPr>
            <w:r w:rsidRPr="004F1470">
              <w:rPr>
                <w:rFonts w:ascii="Meta Pro" w:eastAsia="Times New Roman" w:hAnsi="Meta Pro"/>
                <w:szCs w:val="18"/>
                <w:lang w:eastAsia="en-AU"/>
              </w:rPr>
              <w:t> </w:t>
            </w:r>
          </w:p>
        </w:tc>
        <w:tc>
          <w:tcPr>
            <w:tcW w:w="1514" w:type="dxa"/>
            <w:tcBorders>
              <w:top w:val="single" w:sz="4" w:space="0" w:color="auto"/>
              <w:left w:val="nil"/>
              <w:bottom w:val="double" w:sz="6" w:space="0" w:color="auto"/>
              <w:right w:val="nil"/>
            </w:tcBorders>
            <w:shd w:val="clear" w:color="000000" w:fill="C9E3B4"/>
            <w:noWrap/>
            <w:vAlign w:val="center"/>
            <w:hideMark/>
          </w:tcPr>
          <w:p w14:paraId="07F3F4DC" w14:textId="77777777" w:rsidR="00BC5219" w:rsidRPr="004F1470" w:rsidRDefault="00BC5219" w:rsidP="00E83802">
            <w:pPr>
              <w:jc w:val="right"/>
              <w:rPr>
                <w:rFonts w:ascii="Meta Pro" w:eastAsia="Times New Roman" w:hAnsi="Meta Pro"/>
                <w:b/>
                <w:bCs/>
                <w:szCs w:val="18"/>
                <w:lang w:eastAsia="en-AU"/>
              </w:rPr>
            </w:pPr>
            <w:r w:rsidRPr="004F1470">
              <w:rPr>
                <w:rFonts w:ascii="Meta Pro" w:eastAsia="Times New Roman" w:hAnsi="Meta Pro"/>
                <w:b/>
                <w:bCs/>
                <w:szCs w:val="18"/>
                <w:lang w:eastAsia="en-AU"/>
              </w:rPr>
              <w:t xml:space="preserve">1,480,169 </w:t>
            </w:r>
          </w:p>
        </w:tc>
        <w:tc>
          <w:tcPr>
            <w:tcW w:w="216" w:type="dxa"/>
            <w:tcBorders>
              <w:top w:val="single" w:sz="4" w:space="0" w:color="auto"/>
              <w:left w:val="nil"/>
              <w:bottom w:val="double" w:sz="6" w:space="0" w:color="auto"/>
              <w:right w:val="nil"/>
            </w:tcBorders>
            <w:shd w:val="clear" w:color="auto" w:fill="auto"/>
            <w:noWrap/>
            <w:vAlign w:val="center"/>
            <w:hideMark/>
          </w:tcPr>
          <w:p w14:paraId="35056042" w14:textId="77777777" w:rsidR="00BC5219" w:rsidRPr="004F1470" w:rsidRDefault="00BC5219" w:rsidP="00E83802">
            <w:pPr>
              <w:rPr>
                <w:rFonts w:ascii="Meta Pro" w:eastAsia="Times New Roman" w:hAnsi="Meta Pro"/>
                <w:b/>
                <w:bCs/>
                <w:szCs w:val="18"/>
                <w:lang w:eastAsia="en-AU"/>
              </w:rPr>
            </w:pPr>
            <w:r w:rsidRPr="004F1470">
              <w:rPr>
                <w:rFonts w:ascii="Meta Pro" w:eastAsia="Times New Roman" w:hAnsi="Meta Pro"/>
                <w:b/>
                <w:bCs/>
                <w:szCs w:val="18"/>
                <w:lang w:eastAsia="en-AU"/>
              </w:rPr>
              <w:t> </w:t>
            </w:r>
          </w:p>
        </w:tc>
        <w:tc>
          <w:tcPr>
            <w:tcW w:w="1514" w:type="dxa"/>
            <w:gridSpan w:val="2"/>
            <w:tcBorders>
              <w:top w:val="single" w:sz="4" w:space="0" w:color="auto"/>
              <w:left w:val="nil"/>
              <w:bottom w:val="double" w:sz="6" w:space="0" w:color="auto"/>
              <w:right w:val="nil"/>
            </w:tcBorders>
            <w:shd w:val="clear" w:color="auto" w:fill="auto"/>
            <w:noWrap/>
            <w:vAlign w:val="center"/>
            <w:hideMark/>
          </w:tcPr>
          <w:p w14:paraId="2A4A90A1" w14:textId="77777777" w:rsidR="00BC5219" w:rsidRPr="004F1470" w:rsidRDefault="00BC5219" w:rsidP="00E83802">
            <w:pPr>
              <w:jc w:val="right"/>
              <w:rPr>
                <w:rFonts w:ascii="Meta Pro" w:eastAsia="Times New Roman" w:hAnsi="Meta Pro"/>
                <w:b/>
                <w:bCs/>
                <w:color w:val="000000"/>
                <w:szCs w:val="18"/>
                <w:lang w:eastAsia="en-AU"/>
              </w:rPr>
            </w:pPr>
            <w:r w:rsidRPr="004F1470">
              <w:rPr>
                <w:rFonts w:ascii="Meta Pro" w:eastAsia="Times New Roman" w:hAnsi="Meta Pro"/>
                <w:b/>
                <w:bCs/>
                <w:color w:val="000000"/>
                <w:szCs w:val="18"/>
                <w:lang w:eastAsia="en-AU"/>
              </w:rPr>
              <w:t xml:space="preserve">1,173,283 </w:t>
            </w:r>
          </w:p>
        </w:tc>
      </w:tr>
    </w:tbl>
    <w:p w14:paraId="2473F637" w14:textId="77777777" w:rsidR="00BC5219" w:rsidRDefault="00BC5219" w:rsidP="00BC5219">
      <w:pPr>
        <w:spacing w:line="120" w:lineRule="auto"/>
      </w:pPr>
    </w:p>
    <w:p w14:paraId="0FB97500" w14:textId="77777777" w:rsidR="00BC5219" w:rsidRDefault="00BC5219" w:rsidP="00BC5219">
      <w:pPr>
        <w:rPr>
          <w:rFonts w:asciiTheme="minorHAnsi" w:hAnsiTheme="minorHAnsi" w:cstheme="minorBidi"/>
        </w:rPr>
      </w:pPr>
    </w:p>
    <w:tbl>
      <w:tblPr>
        <w:tblW w:w="0" w:type="auto"/>
        <w:tblCellMar>
          <w:left w:w="0" w:type="dxa"/>
        </w:tblCellMar>
        <w:tblLook w:val="04A0" w:firstRow="1" w:lastRow="0" w:firstColumn="1" w:lastColumn="0" w:noHBand="0" w:noVBand="1"/>
      </w:tblPr>
      <w:tblGrid>
        <w:gridCol w:w="223"/>
        <w:gridCol w:w="5224"/>
        <w:gridCol w:w="405"/>
        <w:gridCol w:w="405"/>
        <w:gridCol w:w="223"/>
        <w:gridCol w:w="1522"/>
        <w:gridCol w:w="224"/>
        <w:gridCol w:w="1522"/>
      </w:tblGrid>
      <w:tr w:rsidR="00BC5219" w:rsidRPr="001A553E" w14:paraId="28DFE80E" w14:textId="77777777" w:rsidTr="00E83802">
        <w:trPr>
          <w:trHeight w:val="198"/>
        </w:trPr>
        <w:tc>
          <w:tcPr>
            <w:tcW w:w="397" w:type="dxa"/>
            <w:gridSpan w:val="4"/>
            <w:tcBorders>
              <w:top w:val="nil"/>
              <w:left w:val="nil"/>
              <w:bottom w:val="nil"/>
              <w:right w:val="nil"/>
            </w:tcBorders>
            <w:shd w:val="clear" w:color="auto" w:fill="auto"/>
            <w:noWrap/>
            <w:vAlign w:val="center"/>
            <w:hideMark/>
          </w:tcPr>
          <w:p w14:paraId="58CA2C62" w14:textId="77777777" w:rsidR="00BC5219" w:rsidRPr="001A553E" w:rsidRDefault="00BC5219" w:rsidP="00E83802">
            <w:pPr>
              <w:rPr>
                <w:rFonts w:ascii="Meta Pro" w:eastAsia="Times New Roman" w:hAnsi="Meta Pro"/>
                <w:b/>
                <w:bCs/>
                <w:sz w:val="20"/>
                <w:szCs w:val="20"/>
                <w:lang w:eastAsia="en-AU"/>
              </w:rPr>
            </w:pPr>
            <w:r w:rsidRPr="001A553E">
              <w:rPr>
                <w:rFonts w:ascii="Meta Pro" w:eastAsia="Times New Roman" w:hAnsi="Meta Pro"/>
                <w:b/>
                <w:bCs/>
                <w:sz w:val="20"/>
                <w:szCs w:val="20"/>
                <w:lang w:eastAsia="en-AU"/>
              </w:rPr>
              <w:lastRenderedPageBreak/>
              <w:t>CHANGES IN LIABILITIES ARISING FROM FINANCING ACTIVITIES</w:t>
            </w:r>
          </w:p>
        </w:tc>
        <w:tc>
          <w:tcPr>
            <w:tcW w:w="215" w:type="dxa"/>
            <w:tcBorders>
              <w:top w:val="nil"/>
              <w:left w:val="nil"/>
              <w:bottom w:val="nil"/>
              <w:right w:val="nil"/>
            </w:tcBorders>
            <w:shd w:val="clear" w:color="auto" w:fill="auto"/>
            <w:noWrap/>
            <w:vAlign w:val="center"/>
            <w:hideMark/>
          </w:tcPr>
          <w:p w14:paraId="5F158BF5" w14:textId="77777777" w:rsidR="00BC5219" w:rsidRPr="001A553E" w:rsidRDefault="00BC5219" w:rsidP="00E83802">
            <w:pPr>
              <w:rPr>
                <w:rFonts w:ascii="Meta Pro" w:eastAsia="Times New Roman" w:hAnsi="Meta Pro"/>
                <w:b/>
                <w:bCs/>
                <w:sz w:val="20"/>
                <w:szCs w:val="20"/>
                <w:lang w:eastAsia="en-AU"/>
              </w:rPr>
            </w:pPr>
          </w:p>
        </w:tc>
        <w:tc>
          <w:tcPr>
            <w:tcW w:w="1514" w:type="dxa"/>
            <w:tcBorders>
              <w:top w:val="nil"/>
              <w:left w:val="nil"/>
              <w:bottom w:val="nil"/>
              <w:right w:val="nil"/>
            </w:tcBorders>
            <w:shd w:val="clear" w:color="auto" w:fill="auto"/>
            <w:vAlign w:val="center"/>
            <w:hideMark/>
          </w:tcPr>
          <w:p w14:paraId="58A72678" w14:textId="77777777" w:rsidR="00BC5219" w:rsidRPr="001A553E" w:rsidRDefault="00BC5219" w:rsidP="00E83802">
            <w:pPr>
              <w:rPr>
                <w:rFonts w:ascii="Times New Roman" w:eastAsia="Times New Roman" w:hAnsi="Times New Roman"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1F7BBC16" w14:textId="77777777" w:rsidR="00BC5219" w:rsidRPr="001A553E" w:rsidRDefault="00BC5219" w:rsidP="00E83802">
            <w:pPr>
              <w:rPr>
                <w:rFonts w:ascii="Times New Roman" w:eastAsia="Times New Roman" w:hAnsi="Times New Roman" w:cs="Times New Roman"/>
                <w:sz w:val="20"/>
                <w:szCs w:val="20"/>
                <w:lang w:eastAsia="en-AU"/>
              </w:rPr>
            </w:pPr>
          </w:p>
        </w:tc>
        <w:tc>
          <w:tcPr>
            <w:tcW w:w="1514" w:type="dxa"/>
            <w:tcBorders>
              <w:top w:val="nil"/>
              <w:left w:val="nil"/>
              <w:bottom w:val="nil"/>
              <w:right w:val="nil"/>
            </w:tcBorders>
            <w:shd w:val="clear" w:color="auto" w:fill="auto"/>
            <w:vAlign w:val="center"/>
            <w:hideMark/>
          </w:tcPr>
          <w:p w14:paraId="68EB6072" w14:textId="77777777" w:rsidR="00BC5219" w:rsidRPr="001A553E" w:rsidRDefault="00BC5219" w:rsidP="00E83802">
            <w:pPr>
              <w:rPr>
                <w:rFonts w:ascii="Meta Pro" w:eastAsia="Times New Roman" w:hAnsi="Meta Pro"/>
                <w:b/>
                <w:bCs/>
                <w:sz w:val="20"/>
                <w:szCs w:val="20"/>
                <w:lang w:eastAsia="en-AU"/>
              </w:rPr>
            </w:pPr>
          </w:p>
        </w:tc>
      </w:tr>
      <w:tr w:rsidR="00BC5219" w:rsidRPr="001A553E" w14:paraId="5C05D249" w14:textId="77777777" w:rsidTr="00E83802">
        <w:trPr>
          <w:trHeight w:val="198"/>
        </w:trPr>
        <w:tc>
          <w:tcPr>
            <w:tcW w:w="5216" w:type="dxa"/>
            <w:gridSpan w:val="2"/>
            <w:tcBorders>
              <w:top w:val="nil"/>
              <w:left w:val="nil"/>
              <w:bottom w:val="nil"/>
              <w:right w:val="nil"/>
            </w:tcBorders>
            <w:shd w:val="clear" w:color="auto" w:fill="auto"/>
            <w:noWrap/>
            <w:vAlign w:val="center"/>
            <w:hideMark/>
          </w:tcPr>
          <w:p w14:paraId="30D6377B" w14:textId="77777777" w:rsidR="00BC5219" w:rsidRPr="001A553E" w:rsidRDefault="00BC5219" w:rsidP="00E83802">
            <w:pPr>
              <w:rPr>
                <w:rFonts w:ascii="Meta Pro" w:eastAsia="Times New Roman" w:hAnsi="Meta Pro"/>
                <w:b/>
                <w:bCs/>
                <w:sz w:val="20"/>
                <w:szCs w:val="20"/>
                <w:lang w:eastAsia="en-AU"/>
              </w:rPr>
            </w:pPr>
            <w:r w:rsidRPr="001A553E">
              <w:rPr>
                <w:rFonts w:ascii="Meta Pro" w:eastAsia="Times New Roman" w:hAnsi="Meta Pro"/>
                <w:b/>
                <w:bCs/>
                <w:sz w:val="20"/>
                <w:szCs w:val="20"/>
                <w:lang w:eastAsia="en-AU"/>
              </w:rPr>
              <w:t>LEASE LIABILITIES – Note 17</w:t>
            </w:r>
          </w:p>
        </w:tc>
        <w:tc>
          <w:tcPr>
            <w:tcW w:w="397" w:type="dxa"/>
            <w:gridSpan w:val="2"/>
            <w:tcBorders>
              <w:top w:val="nil"/>
              <w:left w:val="nil"/>
              <w:bottom w:val="nil"/>
              <w:right w:val="nil"/>
            </w:tcBorders>
            <w:shd w:val="clear" w:color="auto" w:fill="auto"/>
            <w:noWrap/>
            <w:vAlign w:val="center"/>
            <w:hideMark/>
          </w:tcPr>
          <w:p w14:paraId="251B2DB8" w14:textId="77777777" w:rsidR="00BC5219" w:rsidRPr="001A553E" w:rsidRDefault="00BC5219" w:rsidP="00E83802">
            <w:pPr>
              <w:rPr>
                <w:rFonts w:ascii="Meta Pro" w:eastAsia="Times New Roman" w:hAnsi="Meta Pro"/>
                <w:b/>
                <w:bCs/>
                <w:sz w:val="20"/>
                <w:szCs w:val="20"/>
                <w:lang w:eastAsia="en-AU"/>
              </w:rPr>
            </w:pPr>
          </w:p>
        </w:tc>
        <w:tc>
          <w:tcPr>
            <w:tcW w:w="215" w:type="dxa"/>
            <w:tcBorders>
              <w:top w:val="nil"/>
              <w:left w:val="nil"/>
              <w:bottom w:val="nil"/>
              <w:right w:val="nil"/>
            </w:tcBorders>
            <w:shd w:val="clear" w:color="auto" w:fill="auto"/>
            <w:noWrap/>
            <w:vAlign w:val="center"/>
            <w:hideMark/>
          </w:tcPr>
          <w:p w14:paraId="1EB5C2FD" w14:textId="77777777" w:rsidR="00BC5219" w:rsidRPr="001A553E" w:rsidRDefault="00BC5219" w:rsidP="00E83802">
            <w:pPr>
              <w:jc w:val="center"/>
              <w:rPr>
                <w:rFonts w:ascii="Times New Roman" w:eastAsia="Times New Roman" w:hAnsi="Times New Roman" w:cs="Times New Roman"/>
                <w:sz w:val="20"/>
                <w:szCs w:val="20"/>
                <w:lang w:eastAsia="en-AU"/>
              </w:rPr>
            </w:pPr>
          </w:p>
        </w:tc>
        <w:tc>
          <w:tcPr>
            <w:tcW w:w="1514" w:type="dxa"/>
            <w:tcBorders>
              <w:top w:val="nil"/>
              <w:left w:val="nil"/>
              <w:bottom w:val="nil"/>
              <w:right w:val="nil"/>
            </w:tcBorders>
            <w:shd w:val="clear" w:color="auto" w:fill="auto"/>
            <w:vAlign w:val="center"/>
            <w:hideMark/>
          </w:tcPr>
          <w:p w14:paraId="3E0620E7" w14:textId="77777777" w:rsidR="00BC5219" w:rsidRPr="001A553E" w:rsidRDefault="00BC5219" w:rsidP="00E83802">
            <w:pPr>
              <w:rPr>
                <w:rFonts w:ascii="Times New Roman" w:eastAsia="Times New Roman" w:hAnsi="Times New Roman"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0C291237" w14:textId="77777777" w:rsidR="00BC5219" w:rsidRPr="001A553E" w:rsidRDefault="00BC5219" w:rsidP="00E83802">
            <w:pPr>
              <w:jc w:val="center"/>
              <w:rPr>
                <w:rFonts w:ascii="Times New Roman" w:eastAsia="Times New Roman" w:hAnsi="Times New Roman" w:cs="Times New Roman"/>
                <w:sz w:val="20"/>
                <w:szCs w:val="20"/>
                <w:lang w:eastAsia="en-AU"/>
              </w:rPr>
            </w:pPr>
          </w:p>
        </w:tc>
        <w:tc>
          <w:tcPr>
            <w:tcW w:w="1514" w:type="dxa"/>
            <w:tcBorders>
              <w:top w:val="nil"/>
              <w:left w:val="nil"/>
              <w:bottom w:val="nil"/>
              <w:right w:val="nil"/>
            </w:tcBorders>
            <w:shd w:val="clear" w:color="auto" w:fill="auto"/>
            <w:vAlign w:val="center"/>
            <w:hideMark/>
          </w:tcPr>
          <w:p w14:paraId="1EAC88B9" w14:textId="77777777" w:rsidR="00BC5219" w:rsidRPr="001A553E" w:rsidRDefault="00BC5219" w:rsidP="00E83802">
            <w:pPr>
              <w:rPr>
                <w:rFonts w:ascii="Times New Roman" w:eastAsia="Times New Roman" w:hAnsi="Times New Roman" w:cs="Times New Roman"/>
                <w:sz w:val="20"/>
                <w:szCs w:val="20"/>
                <w:lang w:eastAsia="en-AU"/>
              </w:rPr>
            </w:pPr>
          </w:p>
        </w:tc>
      </w:tr>
      <w:tr w:rsidR="00BC5219" w:rsidRPr="001A553E" w14:paraId="4F6374F4" w14:textId="77777777" w:rsidTr="00E83802">
        <w:trPr>
          <w:trHeight w:val="198"/>
        </w:trPr>
        <w:tc>
          <w:tcPr>
            <w:tcW w:w="215" w:type="dxa"/>
            <w:tcBorders>
              <w:top w:val="nil"/>
              <w:left w:val="nil"/>
              <w:bottom w:val="nil"/>
              <w:right w:val="nil"/>
            </w:tcBorders>
            <w:shd w:val="clear" w:color="auto" w:fill="auto"/>
            <w:noWrap/>
            <w:vAlign w:val="center"/>
            <w:hideMark/>
          </w:tcPr>
          <w:p w14:paraId="66611362" w14:textId="77777777" w:rsidR="00BC5219" w:rsidRPr="001A553E" w:rsidRDefault="00BC5219" w:rsidP="00E83802">
            <w:pPr>
              <w:jc w:val="center"/>
              <w:rPr>
                <w:rFonts w:ascii="Times New Roman" w:eastAsia="Times New Roman" w:hAnsi="Times New Roman" w:cs="Times New Roman"/>
                <w:sz w:val="20"/>
                <w:szCs w:val="20"/>
                <w:lang w:eastAsia="en-AU"/>
              </w:rPr>
            </w:pPr>
          </w:p>
        </w:tc>
        <w:tc>
          <w:tcPr>
            <w:tcW w:w="5216" w:type="dxa"/>
            <w:tcBorders>
              <w:top w:val="nil"/>
              <w:left w:val="nil"/>
              <w:bottom w:val="nil"/>
              <w:right w:val="nil"/>
            </w:tcBorders>
            <w:shd w:val="clear" w:color="auto" w:fill="auto"/>
            <w:noWrap/>
            <w:vAlign w:val="center"/>
            <w:hideMark/>
          </w:tcPr>
          <w:p w14:paraId="353180C7" w14:textId="77777777" w:rsidR="00BC5219" w:rsidRPr="001A553E" w:rsidRDefault="00BC5219" w:rsidP="00E83802">
            <w:pPr>
              <w:rPr>
                <w:rFonts w:ascii="Times New Roman" w:eastAsia="Times New Roman" w:hAnsi="Times New Roman" w:cs="Times New Roman"/>
                <w:sz w:val="20"/>
                <w:szCs w:val="20"/>
                <w:lang w:eastAsia="en-AU"/>
              </w:rPr>
            </w:pPr>
          </w:p>
        </w:tc>
        <w:tc>
          <w:tcPr>
            <w:tcW w:w="397" w:type="dxa"/>
            <w:gridSpan w:val="2"/>
            <w:tcBorders>
              <w:top w:val="nil"/>
              <w:left w:val="nil"/>
              <w:bottom w:val="nil"/>
              <w:right w:val="nil"/>
            </w:tcBorders>
            <w:shd w:val="clear" w:color="auto" w:fill="auto"/>
            <w:noWrap/>
            <w:vAlign w:val="center"/>
            <w:hideMark/>
          </w:tcPr>
          <w:p w14:paraId="47261488" w14:textId="77777777" w:rsidR="00BC5219" w:rsidRPr="001A553E" w:rsidRDefault="00BC5219" w:rsidP="00E83802">
            <w:pPr>
              <w:rPr>
                <w:rFonts w:ascii="Times New Roman" w:eastAsia="Times New Roman" w:hAnsi="Times New Roman"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1AEE6EC3" w14:textId="77777777" w:rsidR="00BC5219" w:rsidRPr="001A553E" w:rsidRDefault="00BC5219" w:rsidP="00E83802">
            <w:pPr>
              <w:jc w:val="center"/>
              <w:rPr>
                <w:rFonts w:ascii="Times New Roman" w:eastAsia="Times New Roman" w:hAnsi="Times New Roman" w:cs="Times New Roman"/>
                <w:sz w:val="20"/>
                <w:szCs w:val="20"/>
                <w:lang w:eastAsia="en-AU"/>
              </w:rPr>
            </w:pPr>
          </w:p>
        </w:tc>
        <w:tc>
          <w:tcPr>
            <w:tcW w:w="1514" w:type="dxa"/>
            <w:tcBorders>
              <w:top w:val="nil"/>
              <w:left w:val="nil"/>
              <w:bottom w:val="nil"/>
              <w:right w:val="nil"/>
            </w:tcBorders>
            <w:shd w:val="clear" w:color="auto" w:fill="auto"/>
            <w:vAlign w:val="center"/>
            <w:hideMark/>
          </w:tcPr>
          <w:p w14:paraId="481C0203" w14:textId="77777777" w:rsidR="00BC5219" w:rsidRPr="001A553E" w:rsidRDefault="00BC5219" w:rsidP="00E83802">
            <w:pPr>
              <w:rPr>
                <w:rFonts w:ascii="Times New Roman" w:eastAsia="Times New Roman" w:hAnsi="Times New Roman"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7585F864" w14:textId="77777777" w:rsidR="00BC5219" w:rsidRPr="001A553E" w:rsidRDefault="00BC5219" w:rsidP="00E83802">
            <w:pPr>
              <w:jc w:val="center"/>
              <w:rPr>
                <w:rFonts w:ascii="Times New Roman" w:eastAsia="Times New Roman" w:hAnsi="Times New Roman" w:cs="Times New Roman"/>
                <w:sz w:val="20"/>
                <w:szCs w:val="20"/>
                <w:lang w:eastAsia="en-AU"/>
              </w:rPr>
            </w:pPr>
          </w:p>
        </w:tc>
        <w:tc>
          <w:tcPr>
            <w:tcW w:w="1514" w:type="dxa"/>
            <w:tcBorders>
              <w:top w:val="nil"/>
              <w:left w:val="nil"/>
              <w:bottom w:val="nil"/>
              <w:right w:val="nil"/>
            </w:tcBorders>
            <w:shd w:val="clear" w:color="auto" w:fill="auto"/>
            <w:vAlign w:val="center"/>
            <w:hideMark/>
          </w:tcPr>
          <w:p w14:paraId="2F970339" w14:textId="77777777" w:rsidR="00BC5219" w:rsidRPr="001A553E" w:rsidRDefault="00BC5219" w:rsidP="00E83802">
            <w:pPr>
              <w:rPr>
                <w:rFonts w:ascii="Times New Roman" w:eastAsia="Times New Roman" w:hAnsi="Times New Roman" w:cs="Times New Roman"/>
                <w:sz w:val="20"/>
                <w:szCs w:val="20"/>
                <w:lang w:eastAsia="en-AU"/>
              </w:rPr>
            </w:pPr>
          </w:p>
        </w:tc>
      </w:tr>
      <w:tr w:rsidR="00BC5219" w:rsidRPr="001A553E" w14:paraId="74D612A7" w14:textId="77777777" w:rsidTr="00E83802">
        <w:trPr>
          <w:trHeight w:val="198"/>
        </w:trPr>
        <w:tc>
          <w:tcPr>
            <w:tcW w:w="5216" w:type="dxa"/>
            <w:gridSpan w:val="2"/>
            <w:tcBorders>
              <w:top w:val="nil"/>
              <w:left w:val="nil"/>
              <w:bottom w:val="nil"/>
              <w:right w:val="nil"/>
            </w:tcBorders>
            <w:shd w:val="clear" w:color="auto" w:fill="auto"/>
            <w:vAlign w:val="center"/>
            <w:hideMark/>
          </w:tcPr>
          <w:p w14:paraId="358A86EA" w14:textId="77777777" w:rsidR="00BC5219" w:rsidRPr="001A553E" w:rsidRDefault="00BC5219" w:rsidP="00E83802">
            <w:pPr>
              <w:rPr>
                <w:rFonts w:ascii="Meta Pro" w:eastAsia="Times New Roman" w:hAnsi="Meta Pro"/>
                <w:szCs w:val="18"/>
                <w:lang w:eastAsia="en-AU"/>
              </w:rPr>
            </w:pPr>
            <w:r w:rsidRPr="001A553E">
              <w:rPr>
                <w:rFonts w:ascii="Meta Pro" w:eastAsia="Times New Roman" w:hAnsi="Meta Pro"/>
                <w:szCs w:val="18"/>
                <w:lang w:eastAsia="en-AU"/>
              </w:rPr>
              <w:t xml:space="preserve">Opening balance </w:t>
            </w:r>
          </w:p>
        </w:tc>
        <w:tc>
          <w:tcPr>
            <w:tcW w:w="397" w:type="dxa"/>
            <w:gridSpan w:val="2"/>
            <w:tcBorders>
              <w:top w:val="nil"/>
              <w:left w:val="nil"/>
              <w:bottom w:val="nil"/>
              <w:right w:val="nil"/>
            </w:tcBorders>
            <w:shd w:val="clear" w:color="auto" w:fill="auto"/>
            <w:noWrap/>
            <w:vAlign w:val="center"/>
            <w:hideMark/>
          </w:tcPr>
          <w:p w14:paraId="1E66836B" w14:textId="77777777" w:rsidR="00BC5219" w:rsidRPr="001A553E" w:rsidRDefault="00BC5219" w:rsidP="00E83802">
            <w:pPr>
              <w:rPr>
                <w:rFonts w:ascii="Meta Pro" w:eastAsia="Times New Roman" w:hAnsi="Meta Pro"/>
                <w:szCs w:val="18"/>
                <w:lang w:eastAsia="en-AU"/>
              </w:rPr>
            </w:pPr>
          </w:p>
        </w:tc>
        <w:tc>
          <w:tcPr>
            <w:tcW w:w="215" w:type="dxa"/>
            <w:tcBorders>
              <w:top w:val="nil"/>
              <w:left w:val="nil"/>
              <w:bottom w:val="nil"/>
              <w:right w:val="nil"/>
            </w:tcBorders>
            <w:shd w:val="clear" w:color="auto" w:fill="auto"/>
            <w:noWrap/>
            <w:vAlign w:val="center"/>
            <w:hideMark/>
          </w:tcPr>
          <w:p w14:paraId="5DCC737D" w14:textId="77777777" w:rsidR="00BC5219" w:rsidRPr="001A553E" w:rsidRDefault="00BC5219" w:rsidP="00E83802">
            <w:pPr>
              <w:jc w:val="center"/>
              <w:rPr>
                <w:rFonts w:ascii="Times New Roman" w:eastAsia="Times New Roman" w:hAnsi="Times New Roman"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07777787" w14:textId="77777777" w:rsidR="00BC5219" w:rsidRPr="001A553E" w:rsidRDefault="00BC5219" w:rsidP="00E83802">
            <w:pPr>
              <w:jc w:val="right"/>
              <w:rPr>
                <w:rFonts w:ascii="Meta Pro" w:eastAsia="Times New Roman" w:hAnsi="Meta Pro"/>
                <w:szCs w:val="18"/>
                <w:lang w:eastAsia="en-AU"/>
              </w:rPr>
            </w:pPr>
            <w:r w:rsidRPr="001A553E">
              <w:rPr>
                <w:rFonts w:ascii="Meta Pro" w:eastAsia="Times New Roman" w:hAnsi="Meta Pro"/>
                <w:szCs w:val="18"/>
                <w:lang w:eastAsia="en-AU"/>
              </w:rPr>
              <w:t xml:space="preserve">3,370 </w:t>
            </w:r>
          </w:p>
        </w:tc>
        <w:tc>
          <w:tcPr>
            <w:tcW w:w="216" w:type="dxa"/>
            <w:tcBorders>
              <w:top w:val="nil"/>
              <w:left w:val="nil"/>
              <w:bottom w:val="nil"/>
              <w:right w:val="nil"/>
            </w:tcBorders>
            <w:shd w:val="clear" w:color="auto" w:fill="auto"/>
            <w:noWrap/>
            <w:vAlign w:val="center"/>
            <w:hideMark/>
          </w:tcPr>
          <w:p w14:paraId="0D3125DA" w14:textId="77777777" w:rsidR="00BC5219" w:rsidRPr="001A553E" w:rsidRDefault="00BC5219" w:rsidP="00E83802">
            <w:pPr>
              <w:jc w:val="right"/>
              <w:rPr>
                <w:rFonts w:ascii="Meta Pro" w:eastAsia="Times New Roman" w:hAnsi="Meta Pro"/>
                <w:szCs w:val="18"/>
                <w:lang w:eastAsia="en-AU"/>
              </w:rPr>
            </w:pPr>
          </w:p>
        </w:tc>
        <w:tc>
          <w:tcPr>
            <w:tcW w:w="1514" w:type="dxa"/>
            <w:tcBorders>
              <w:top w:val="nil"/>
              <w:left w:val="nil"/>
              <w:bottom w:val="nil"/>
              <w:right w:val="nil"/>
            </w:tcBorders>
            <w:shd w:val="clear" w:color="auto" w:fill="auto"/>
            <w:noWrap/>
            <w:vAlign w:val="center"/>
            <w:hideMark/>
          </w:tcPr>
          <w:p w14:paraId="3185CB54" w14:textId="77777777" w:rsidR="00BC5219" w:rsidRPr="001A553E" w:rsidRDefault="00BC5219" w:rsidP="00E83802">
            <w:pPr>
              <w:jc w:val="right"/>
              <w:rPr>
                <w:rFonts w:ascii="Meta Pro" w:eastAsia="Times New Roman" w:hAnsi="Meta Pro"/>
                <w:szCs w:val="18"/>
                <w:lang w:eastAsia="en-AU"/>
              </w:rPr>
            </w:pPr>
            <w:r w:rsidRPr="001A553E">
              <w:rPr>
                <w:rFonts w:ascii="Meta Pro" w:eastAsia="Times New Roman" w:hAnsi="Meta Pro"/>
                <w:szCs w:val="18"/>
                <w:lang w:eastAsia="en-AU"/>
              </w:rPr>
              <w:t xml:space="preserve">3,467 </w:t>
            </w:r>
          </w:p>
        </w:tc>
      </w:tr>
      <w:tr w:rsidR="00BC5219" w:rsidRPr="001A553E" w14:paraId="246F483E" w14:textId="77777777" w:rsidTr="00E83802">
        <w:trPr>
          <w:trHeight w:val="198"/>
        </w:trPr>
        <w:tc>
          <w:tcPr>
            <w:tcW w:w="215" w:type="dxa"/>
            <w:tcBorders>
              <w:top w:val="nil"/>
              <w:left w:val="nil"/>
              <w:bottom w:val="nil"/>
              <w:right w:val="nil"/>
            </w:tcBorders>
            <w:shd w:val="clear" w:color="auto" w:fill="auto"/>
            <w:vAlign w:val="center"/>
            <w:hideMark/>
          </w:tcPr>
          <w:p w14:paraId="53969943" w14:textId="77777777" w:rsidR="00BC5219" w:rsidRPr="001A553E" w:rsidRDefault="00BC5219" w:rsidP="00E83802">
            <w:pPr>
              <w:jc w:val="right"/>
              <w:rPr>
                <w:rFonts w:ascii="Meta Pro" w:eastAsia="Times New Roman" w:hAnsi="Meta Pro"/>
                <w:szCs w:val="18"/>
                <w:lang w:eastAsia="en-AU"/>
              </w:rPr>
            </w:pPr>
          </w:p>
        </w:tc>
        <w:tc>
          <w:tcPr>
            <w:tcW w:w="5216" w:type="dxa"/>
            <w:tcBorders>
              <w:top w:val="nil"/>
              <w:left w:val="nil"/>
              <w:bottom w:val="nil"/>
              <w:right w:val="nil"/>
            </w:tcBorders>
            <w:shd w:val="clear" w:color="auto" w:fill="auto"/>
            <w:vAlign w:val="center"/>
            <w:hideMark/>
          </w:tcPr>
          <w:p w14:paraId="53827E46" w14:textId="77777777" w:rsidR="00BC5219" w:rsidRPr="001A553E" w:rsidRDefault="00BC5219" w:rsidP="00E83802">
            <w:pPr>
              <w:rPr>
                <w:rFonts w:ascii="Times New Roman" w:eastAsia="Times New Roman" w:hAnsi="Times New Roman" w:cs="Times New Roman"/>
                <w:sz w:val="20"/>
                <w:szCs w:val="20"/>
                <w:lang w:eastAsia="en-AU"/>
              </w:rPr>
            </w:pPr>
          </w:p>
        </w:tc>
        <w:tc>
          <w:tcPr>
            <w:tcW w:w="397" w:type="dxa"/>
            <w:gridSpan w:val="2"/>
            <w:tcBorders>
              <w:top w:val="nil"/>
              <w:left w:val="nil"/>
              <w:bottom w:val="nil"/>
              <w:right w:val="nil"/>
            </w:tcBorders>
            <w:shd w:val="clear" w:color="auto" w:fill="auto"/>
            <w:vAlign w:val="center"/>
            <w:hideMark/>
          </w:tcPr>
          <w:p w14:paraId="50332297" w14:textId="77777777" w:rsidR="00BC5219" w:rsidRPr="001A553E" w:rsidRDefault="00BC5219" w:rsidP="00E83802">
            <w:pPr>
              <w:rPr>
                <w:rFonts w:ascii="Times New Roman" w:eastAsia="Times New Roman" w:hAnsi="Times New Roman" w:cs="Times New Roman"/>
                <w:sz w:val="20"/>
                <w:szCs w:val="20"/>
                <w:lang w:eastAsia="en-AU"/>
              </w:rPr>
            </w:pPr>
          </w:p>
        </w:tc>
        <w:tc>
          <w:tcPr>
            <w:tcW w:w="215" w:type="dxa"/>
            <w:tcBorders>
              <w:top w:val="nil"/>
              <w:left w:val="nil"/>
              <w:bottom w:val="nil"/>
              <w:right w:val="nil"/>
            </w:tcBorders>
            <w:shd w:val="clear" w:color="auto" w:fill="auto"/>
            <w:vAlign w:val="center"/>
            <w:hideMark/>
          </w:tcPr>
          <w:p w14:paraId="54C2C88E" w14:textId="77777777" w:rsidR="00BC5219" w:rsidRPr="001A553E" w:rsidRDefault="00BC5219" w:rsidP="00E83802">
            <w:pPr>
              <w:jc w:val="center"/>
              <w:rPr>
                <w:rFonts w:ascii="Times New Roman" w:eastAsia="Times New Roman" w:hAnsi="Times New Roman"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4F94D749" w14:textId="77777777" w:rsidR="00BC5219" w:rsidRPr="001A553E" w:rsidRDefault="00BC5219" w:rsidP="00E83802">
            <w:pPr>
              <w:jc w:val="right"/>
              <w:rPr>
                <w:rFonts w:ascii="Meta Pro" w:eastAsia="Times New Roman" w:hAnsi="Meta Pro"/>
                <w:szCs w:val="18"/>
                <w:lang w:eastAsia="en-AU"/>
              </w:rPr>
            </w:pPr>
            <w:r w:rsidRPr="001A553E">
              <w:rPr>
                <w:rFonts w:ascii="Meta Pro" w:eastAsia="Times New Roman" w:hAnsi="Meta Pro"/>
                <w:szCs w:val="18"/>
                <w:lang w:eastAsia="en-AU"/>
              </w:rPr>
              <w:t> </w:t>
            </w:r>
          </w:p>
        </w:tc>
        <w:tc>
          <w:tcPr>
            <w:tcW w:w="216" w:type="dxa"/>
            <w:tcBorders>
              <w:top w:val="nil"/>
              <w:left w:val="nil"/>
              <w:bottom w:val="nil"/>
              <w:right w:val="nil"/>
            </w:tcBorders>
            <w:shd w:val="clear" w:color="auto" w:fill="auto"/>
            <w:noWrap/>
            <w:vAlign w:val="center"/>
            <w:hideMark/>
          </w:tcPr>
          <w:p w14:paraId="1C13F459" w14:textId="77777777" w:rsidR="00BC5219" w:rsidRPr="001A553E" w:rsidRDefault="00BC5219" w:rsidP="00E83802">
            <w:pPr>
              <w:jc w:val="right"/>
              <w:rPr>
                <w:rFonts w:ascii="Meta Pro" w:eastAsia="Times New Roman" w:hAnsi="Meta Pro"/>
                <w:szCs w:val="18"/>
                <w:lang w:eastAsia="en-AU"/>
              </w:rPr>
            </w:pPr>
          </w:p>
        </w:tc>
        <w:tc>
          <w:tcPr>
            <w:tcW w:w="1514" w:type="dxa"/>
            <w:tcBorders>
              <w:top w:val="nil"/>
              <w:left w:val="nil"/>
              <w:bottom w:val="nil"/>
              <w:right w:val="nil"/>
            </w:tcBorders>
            <w:shd w:val="clear" w:color="auto" w:fill="auto"/>
            <w:noWrap/>
            <w:vAlign w:val="center"/>
            <w:hideMark/>
          </w:tcPr>
          <w:p w14:paraId="4491B23B" w14:textId="77777777" w:rsidR="00BC5219" w:rsidRPr="001A553E" w:rsidRDefault="00BC5219" w:rsidP="00E83802">
            <w:pPr>
              <w:rPr>
                <w:rFonts w:ascii="Times New Roman" w:eastAsia="Times New Roman" w:hAnsi="Times New Roman" w:cs="Times New Roman"/>
                <w:sz w:val="20"/>
                <w:szCs w:val="20"/>
                <w:lang w:eastAsia="en-AU"/>
              </w:rPr>
            </w:pPr>
          </w:p>
        </w:tc>
      </w:tr>
      <w:tr w:rsidR="00BC5219" w:rsidRPr="001A553E" w14:paraId="13AFB1AF" w14:textId="77777777" w:rsidTr="00E83802">
        <w:trPr>
          <w:trHeight w:val="198"/>
        </w:trPr>
        <w:tc>
          <w:tcPr>
            <w:tcW w:w="5216" w:type="dxa"/>
            <w:gridSpan w:val="2"/>
            <w:tcBorders>
              <w:top w:val="nil"/>
              <w:left w:val="nil"/>
              <w:bottom w:val="nil"/>
              <w:right w:val="nil"/>
            </w:tcBorders>
            <w:shd w:val="clear" w:color="auto" w:fill="auto"/>
            <w:noWrap/>
            <w:vAlign w:val="center"/>
            <w:hideMark/>
          </w:tcPr>
          <w:p w14:paraId="5C333EF3" w14:textId="77777777" w:rsidR="00BC5219" w:rsidRPr="001A553E" w:rsidRDefault="00BC5219" w:rsidP="00E83802">
            <w:pPr>
              <w:rPr>
                <w:rFonts w:ascii="Meta Pro" w:eastAsia="Times New Roman" w:hAnsi="Meta Pro"/>
                <w:szCs w:val="18"/>
                <w:lang w:eastAsia="en-AU"/>
              </w:rPr>
            </w:pPr>
            <w:r w:rsidRPr="001A553E">
              <w:rPr>
                <w:rFonts w:ascii="Meta Pro" w:eastAsia="Times New Roman" w:hAnsi="Meta Pro"/>
                <w:szCs w:val="18"/>
                <w:lang w:eastAsia="en-AU"/>
              </w:rPr>
              <w:t>New leases</w:t>
            </w:r>
          </w:p>
        </w:tc>
        <w:tc>
          <w:tcPr>
            <w:tcW w:w="397" w:type="dxa"/>
            <w:gridSpan w:val="2"/>
            <w:tcBorders>
              <w:top w:val="nil"/>
              <w:left w:val="nil"/>
              <w:bottom w:val="nil"/>
              <w:right w:val="nil"/>
            </w:tcBorders>
            <w:shd w:val="clear" w:color="auto" w:fill="auto"/>
            <w:noWrap/>
            <w:vAlign w:val="center"/>
            <w:hideMark/>
          </w:tcPr>
          <w:p w14:paraId="3502D49B" w14:textId="77777777" w:rsidR="00BC5219" w:rsidRPr="001A553E" w:rsidRDefault="00BC5219" w:rsidP="00E83802">
            <w:pPr>
              <w:rPr>
                <w:rFonts w:ascii="Meta Pro" w:eastAsia="Times New Roman" w:hAnsi="Meta Pro"/>
                <w:szCs w:val="18"/>
                <w:lang w:eastAsia="en-AU"/>
              </w:rPr>
            </w:pPr>
          </w:p>
        </w:tc>
        <w:tc>
          <w:tcPr>
            <w:tcW w:w="215" w:type="dxa"/>
            <w:tcBorders>
              <w:top w:val="nil"/>
              <w:left w:val="nil"/>
              <w:bottom w:val="nil"/>
              <w:right w:val="nil"/>
            </w:tcBorders>
            <w:shd w:val="clear" w:color="auto" w:fill="auto"/>
            <w:noWrap/>
            <w:vAlign w:val="center"/>
            <w:hideMark/>
          </w:tcPr>
          <w:p w14:paraId="48A32077" w14:textId="77777777" w:rsidR="00BC5219" w:rsidRPr="001A553E" w:rsidRDefault="00BC5219" w:rsidP="00E83802">
            <w:pPr>
              <w:jc w:val="center"/>
              <w:rPr>
                <w:rFonts w:ascii="Times New Roman" w:eastAsia="Times New Roman" w:hAnsi="Times New Roman"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35214D1F" w14:textId="77777777" w:rsidR="00BC5219" w:rsidRPr="001A553E" w:rsidRDefault="00BC5219" w:rsidP="00E83802">
            <w:pPr>
              <w:jc w:val="right"/>
              <w:rPr>
                <w:rFonts w:ascii="Meta Pro" w:eastAsia="Times New Roman" w:hAnsi="Meta Pro"/>
                <w:szCs w:val="18"/>
                <w:lang w:eastAsia="en-AU"/>
              </w:rPr>
            </w:pPr>
            <w:r w:rsidRPr="001A553E">
              <w:rPr>
                <w:rFonts w:ascii="Meta Pro" w:eastAsia="Times New Roman" w:hAnsi="Meta Pro"/>
                <w:szCs w:val="18"/>
                <w:lang w:eastAsia="en-AU"/>
              </w:rPr>
              <w:t xml:space="preserve">502 </w:t>
            </w:r>
          </w:p>
        </w:tc>
        <w:tc>
          <w:tcPr>
            <w:tcW w:w="216" w:type="dxa"/>
            <w:tcBorders>
              <w:top w:val="nil"/>
              <w:left w:val="nil"/>
              <w:bottom w:val="nil"/>
              <w:right w:val="nil"/>
            </w:tcBorders>
            <w:shd w:val="clear" w:color="auto" w:fill="auto"/>
            <w:noWrap/>
            <w:vAlign w:val="center"/>
            <w:hideMark/>
          </w:tcPr>
          <w:p w14:paraId="59987A92" w14:textId="77777777" w:rsidR="00BC5219" w:rsidRPr="001A553E" w:rsidRDefault="00BC5219" w:rsidP="00E83802">
            <w:pPr>
              <w:jc w:val="right"/>
              <w:rPr>
                <w:rFonts w:ascii="Meta Pro" w:eastAsia="Times New Roman" w:hAnsi="Meta Pro"/>
                <w:szCs w:val="18"/>
                <w:lang w:eastAsia="en-AU"/>
              </w:rPr>
            </w:pPr>
          </w:p>
        </w:tc>
        <w:tc>
          <w:tcPr>
            <w:tcW w:w="1514" w:type="dxa"/>
            <w:tcBorders>
              <w:top w:val="nil"/>
              <w:left w:val="nil"/>
              <w:bottom w:val="nil"/>
              <w:right w:val="nil"/>
            </w:tcBorders>
            <w:shd w:val="clear" w:color="auto" w:fill="auto"/>
            <w:noWrap/>
            <w:vAlign w:val="center"/>
            <w:hideMark/>
          </w:tcPr>
          <w:p w14:paraId="49A32AD9" w14:textId="77777777" w:rsidR="00BC5219" w:rsidRPr="001A553E" w:rsidRDefault="00BC5219" w:rsidP="00E83802">
            <w:pPr>
              <w:jc w:val="right"/>
              <w:rPr>
                <w:rFonts w:ascii="Meta Pro" w:eastAsia="Times New Roman" w:hAnsi="Meta Pro"/>
                <w:szCs w:val="18"/>
                <w:lang w:eastAsia="en-AU"/>
              </w:rPr>
            </w:pPr>
            <w:r w:rsidRPr="001A553E">
              <w:rPr>
                <w:rFonts w:ascii="Meta Pro" w:eastAsia="Times New Roman" w:hAnsi="Meta Pro"/>
                <w:szCs w:val="18"/>
                <w:lang w:eastAsia="en-AU"/>
              </w:rPr>
              <w:t xml:space="preserve">231 </w:t>
            </w:r>
          </w:p>
        </w:tc>
      </w:tr>
      <w:tr w:rsidR="00BC5219" w:rsidRPr="001A553E" w14:paraId="4FDC8C12" w14:textId="77777777" w:rsidTr="00E83802">
        <w:trPr>
          <w:trHeight w:val="198"/>
        </w:trPr>
        <w:tc>
          <w:tcPr>
            <w:tcW w:w="5216" w:type="dxa"/>
            <w:gridSpan w:val="2"/>
            <w:tcBorders>
              <w:top w:val="nil"/>
              <w:left w:val="nil"/>
              <w:bottom w:val="nil"/>
              <w:right w:val="nil"/>
            </w:tcBorders>
            <w:shd w:val="clear" w:color="auto" w:fill="auto"/>
            <w:noWrap/>
            <w:vAlign w:val="center"/>
            <w:hideMark/>
          </w:tcPr>
          <w:p w14:paraId="56403ACC" w14:textId="77777777" w:rsidR="00BC5219" w:rsidRPr="001A553E" w:rsidRDefault="00BC5219" w:rsidP="00E83802">
            <w:pPr>
              <w:rPr>
                <w:rFonts w:ascii="Meta Pro" w:eastAsia="Times New Roman" w:hAnsi="Meta Pro"/>
                <w:szCs w:val="18"/>
                <w:lang w:eastAsia="en-AU"/>
              </w:rPr>
            </w:pPr>
            <w:r w:rsidRPr="001A553E">
              <w:rPr>
                <w:rFonts w:ascii="Meta Pro" w:eastAsia="Times New Roman" w:hAnsi="Meta Pro"/>
                <w:szCs w:val="18"/>
                <w:lang w:eastAsia="en-AU"/>
              </w:rPr>
              <w:t>Cost escalation</w:t>
            </w:r>
          </w:p>
        </w:tc>
        <w:tc>
          <w:tcPr>
            <w:tcW w:w="397" w:type="dxa"/>
            <w:tcBorders>
              <w:top w:val="nil"/>
              <w:left w:val="nil"/>
              <w:bottom w:val="nil"/>
              <w:right w:val="nil"/>
            </w:tcBorders>
            <w:shd w:val="clear" w:color="auto" w:fill="auto"/>
            <w:noWrap/>
            <w:vAlign w:val="center"/>
            <w:hideMark/>
          </w:tcPr>
          <w:p w14:paraId="791C9519" w14:textId="77777777" w:rsidR="00BC5219" w:rsidRPr="001A553E" w:rsidRDefault="00BC5219" w:rsidP="00E83802">
            <w:pPr>
              <w:rPr>
                <w:rFonts w:ascii="Meta Pro" w:eastAsia="Times New Roman" w:hAnsi="Meta Pro"/>
                <w:szCs w:val="18"/>
                <w:lang w:eastAsia="en-AU"/>
              </w:rPr>
            </w:pPr>
          </w:p>
        </w:tc>
        <w:tc>
          <w:tcPr>
            <w:tcW w:w="397" w:type="dxa"/>
            <w:tcBorders>
              <w:top w:val="nil"/>
              <w:left w:val="nil"/>
              <w:bottom w:val="nil"/>
              <w:right w:val="nil"/>
            </w:tcBorders>
            <w:shd w:val="clear" w:color="auto" w:fill="auto"/>
            <w:noWrap/>
            <w:vAlign w:val="center"/>
            <w:hideMark/>
          </w:tcPr>
          <w:p w14:paraId="5890DCFC" w14:textId="77777777" w:rsidR="00BC5219" w:rsidRPr="001A553E" w:rsidRDefault="00BC5219" w:rsidP="00E83802">
            <w:pPr>
              <w:jc w:val="center"/>
              <w:rPr>
                <w:rFonts w:ascii="Times New Roman" w:eastAsia="Times New Roman" w:hAnsi="Times New Roman"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487AA7F5" w14:textId="77777777" w:rsidR="00BC5219" w:rsidRPr="001A553E" w:rsidRDefault="00BC5219" w:rsidP="00E83802">
            <w:pPr>
              <w:jc w:val="center"/>
              <w:rPr>
                <w:rFonts w:ascii="Times New Roman" w:eastAsia="Times New Roman" w:hAnsi="Times New Roman"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248A37E0" w14:textId="77777777" w:rsidR="00BC5219" w:rsidRPr="001A553E" w:rsidRDefault="00BC5219" w:rsidP="00E83802">
            <w:pPr>
              <w:jc w:val="right"/>
              <w:rPr>
                <w:rFonts w:ascii="Meta Pro" w:eastAsia="Times New Roman" w:hAnsi="Meta Pro"/>
                <w:szCs w:val="18"/>
                <w:lang w:eastAsia="en-AU"/>
              </w:rPr>
            </w:pPr>
            <w:r w:rsidRPr="001A553E">
              <w:rPr>
                <w:rFonts w:ascii="Meta Pro" w:eastAsia="Times New Roman" w:hAnsi="Meta Pro"/>
                <w:szCs w:val="18"/>
                <w:lang w:eastAsia="en-AU"/>
              </w:rPr>
              <w:t xml:space="preserve">350 </w:t>
            </w:r>
          </w:p>
        </w:tc>
        <w:tc>
          <w:tcPr>
            <w:tcW w:w="216" w:type="dxa"/>
            <w:tcBorders>
              <w:top w:val="nil"/>
              <w:left w:val="nil"/>
              <w:bottom w:val="nil"/>
              <w:right w:val="nil"/>
            </w:tcBorders>
            <w:shd w:val="clear" w:color="auto" w:fill="auto"/>
            <w:noWrap/>
            <w:vAlign w:val="center"/>
            <w:hideMark/>
          </w:tcPr>
          <w:p w14:paraId="658E45FE" w14:textId="77777777" w:rsidR="00BC5219" w:rsidRPr="001A553E" w:rsidRDefault="00BC5219" w:rsidP="00E83802">
            <w:pPr>
              <w:jc w:val="right"/>
              <w:rPr>
                <w:rFonts w:ascii="Meta Pro" w:eastAsia="Times New Roman" w:hAnsi="Meta Pro"/>
                <w:szCs w:val="18"/>
                <w:lang w:eastAsia="en-AU"/>
              </w:rPr>
            </w:pPr>
          </w:p>
        </w:tc>
        <w:tc>
          <w:tcPr>
            <w:tcW w:w="1514" w:type="dxa"/>
            <w:tcBorders>
              <w:top w:val="nil"/>
              <w:left w:val="nil"/>
              <w:bottom w:val="nil"/>
              <w:right w:val="nil"/>
            </w:tcBorders>
            <w:shd w:val="clear" w:color="auto" w:fill="auto"/>
            <w:noWrap/>
            <w:vAlign w:val="center"/>
            <w:hideMark/>
          </w:tcPr>
          <w:p w14:paraId="1E201544" w14:textId="77777777" w:rsidR="00BC5219" w:rsidRPr="001A553E" w:rsidRDefault="00BC5219" w:rsidP="00E83802">
            <w:pPr>
              <w:jc w:val="right"/>
              <w:rPr>
                <w:rFonts w:ascii="Meta Pro" w:eastAsia="Times New Roman" w:hAnsi="Meta Pro"/>
                <w:szCs w:val="18"/>
                <w:lang w:eastAsia="en-AU"/>
              </w:rPr>
            </w:pPr>
            <w:r w:rsidRPr="001A553E">
              <w:rPr>
                <w:rFonts w:ascii="Meta Pro" w:eastAsia="Times New Roman" w:hAnsi="Meta Pro"/>
                <w:szCs w:val="18"/>
                <w:lang w:eastAsia="en-AU"/>
              </w:rPr>
              <w:t>-</w:t>
            </w:r>
          </w:p>
        </w:tc>
      </w:tr>
      <w:tr w:rsidR="00BC5219" w:rsidRPr="001A553E" w14:paraId="62C830EB" w14:textId="77777777" w:rsidTr="00E83802">
        <w:trPr>
          <w:trHeight w:val="198"/>
        </w:trPr>
        <w:tc>
          <w:tcPr>
            <w:tcW w:w="5216" w:type="dxa"/>
            <w:gridSpan w:val="2"/>
            <w:tcBorders>
              <w:top w:val="nil"/>
              <w:left w:val="nil"/>
              <w:bottom w:val="nil"/>
              <w:right w:val="nil"/>
            </w:tcBorders>
            <w:shd w:val="clear" w:color="auto" w:fill="auto"/>
            <w:noWrap/>
            <w:vAlign w:val="center"/>
            <w:hideMark/>
          </w:tcPr>
          <w:p w14:paraId="5AF67B7C" w14:textId="77777777" w:rsidR="00BC5219" w:rsidRPr="001A553E" w:rsidRDefault="00BC5219" w:rsidP="00E83802">
            <w:pPr>
              <w:rPr>
                <w:rFonts w:ascii="Meta Pro" w:eastAsia="Times New Roman" w:hAnsi="Meta Pro"/>
                <w:szCs w:val="18"/>
                <w:lang w:eastAsia="en-AU"/>
              </w:rPr>
            </w:pPr>
            <w:r w:rsidRPr="001A553E">
              <w:rPr>
                <w:rFonts w:ascii="Meta Pro" w:eastAsia="Times New Roman" w:hAnsi="Meta Pro"/>
                <w:szCs w:val="18"/>
                <w:lang w:eastAsia="en-AU"/>
              </w:rPr>
              <w:t>Accrued repayments</w:t>
            </w:r>
          </w:p>
        </w:tc>
        <w:tc>
          <w:tcPr>
            <w:tcW w:w="397" w:type="dxa"/>
            <w:gridSpan w:val="2"/>
            <w:tcBorders>
              <w:top w:val="nil"/>
              <w:left w:val="nil"/>
              <w:bottom w:val="nil"/>
              <w:right w:val="nil"/>
            </w:tcBorders>
            <w:shd w:val="clear" w:color="auto" w:fill="auto"/>
            <w:noWrap/>
            <w:vAlign w:val="center"/>
            <w:hideMark/>
          </w:tcPr>
          <w:p w14:paraId="3CEC21EF" w14:textId="77777777" w:rsidR="00BC5219" w:rsidRPr="001A553E" w:rsidRDefault="00BC5219" w:rsidP="00E83802">
            <w:pPr>
              <w:rPr>
                <w:rFonts w:ascii="Meta Pro" w:eastAsia="Times New Roman" w:hAnsi="Meta Pro"/>
                <w:szCs w:val="18"/>
                <w:lang w:eastAsia="en-AU"/>
              </w:rPr>
            </w:pPr>
          </w:p>
        </w:tc>
        <w:tc>
          <w:tcPr>
            <w:tcW w:w="215" w:type="dxa"/>
            <w:tcBorders>
              <w:top w:val="nil"/>
              <w:left w:val="nil"/>
              <w:bottom w:val="nil"/>
              <w:right w:val="nil"/>
            </w:tcBorders>
            <w:shd w:val="clear" w:color="auto" w:fill="auto"/>
            <w:noWrap/>
            <w:vAlign w:val="center"/>
            <w:hideMark/>
          </w:tcPr>
          <w:p w14:paraId="49DE9827" w14:textId="77777777" w:rsidR="00BC5219" w:rsidRPr="001A553E" w:rsidRDefault="00BC5219" w:rsidP="00E83802">
            <w:pPr>
              <w:jc w:val="center"/>
              <w:rPr>
                <w:rFonts w:ascii="Times New Roman" w:eastAsia="Times New Roman" w:hAnsi="Times New Roman"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7B7FF132" w14:textId="77777777" w:rsidR="00BC5219" w:rsidRPr="001A553E" w:rsidRDefault="00BC5219" w:rsidP="00E83802">
            <w:pPr>
              <w:jc w:val="right"/>
              <w:rPr>
                <w:rFonts w:ascii="Meta Pro" w:eastAsia="Times New Roman" w:hAnsi="Meta Pro"/>
                <w:szCs w:val="18"/>
                <w:lang w:eastAsia="en-AU"/>
              </w:rPr>
            </w:pPr>
            <w:r w:rsidRPr="001A553E">
              <w:rPr>
                <w:rFonts w:ascii="Meta Pro" w:eastAsia="Times New Roman" w:hAnsi="Meta Pro"/>
                <w:szCs w:val="18"/>
                <w:lang w:eastAsia="en-AU"/>
              </w:rPr>
              <w:t xml:space="preserve">92 </w:t>
            </w:r>
          </w:p>
        </w:tc>
        <w:tc>
          <w:tcPr>
            <w:tcW w:w="216" w:type="dxa"/>
            <w:tcBorders>
              <w:top w:val="nil"/>
              <w:left w:val="nil"/>
              <w:bottom w:val="nil"/>
              <w:right w:val="nil"/>
            </w:tcBorders>
            <w:shd w:val="clear" w:color="auto" w:fill="auto"/>
            <w:noWrap/>
            <w:vAlign w:val="center"/>
            <w:hideMark/>
          </w:tcPr>
          <w:p w14:paraId="765513FB" w14:textId="77777777" w:rsidR="00BC5219" w:rsidRPr="001A553E" w:rsidRDefault="00BC5219" w:rsidP="00E83802">
            <w:pPr>
              <w:jc w:val="right"/>
              <w:rPr>
                <w:rFonts w:ascii="Meta Pro" w:eastAsia="Times New Roman" w:hAnsi="Meta Pro"/>
                <w:szCs w:val="18"/>
                <w:lang w:eastAsia="en-AU"/>
              </w:rPr>
            </w:pPr>
          </w:p>
        </w:tc>
        <w:tc>
          <w:tcPr>
            <w:tcW w:w="1514" w:type="dxa"/>
            <w:tcBorders>
              <w:top w:val="nil"/>
              <w:left w:val="nil"/>
              <w:bottom w:val="nil"/>
              <w:right w:val="nil"/>
            </w:tcBorders>
            <w:shd w:val="clear" w:color="auto" w:fill="auto"/>
            <w:noWrap/>
            <w:vAlign w:val="center"/>
            <w:hideMark/>
          </w:tcPr>
          <w:p w14:paraId="38EC7819" w14:textId="77777777" w:rsidR="00BC5219" w:rsidRPr="001A553E" w:rsidRDefault="00BC5219" w:rsidP="00E83802">
            <w:pPr>
              <w:jc w:val="right"/>
              <w:rPr>
                <w:rFonts w:ascii="Meta Pro" w:eastAsia="Times New Roman" w:hAnsi="Meta Pro"/>
                <w:szCs w:val="18"/>
                <w:lang w:eastAsia="en-AU"/>
              </w:rPr>
            </w:pPr>
            <w:r w:rsidRPr="001A553E">
              <w:rPr>
                <w:rFonts w:ascii="Meta Pro" w:eastAsia="Times New Roman" w:hAnsi="Meta Pro"/>
                <w:szCs w:val="18"/>
                <w:lang w:eastAsia="en-AU"/>
              </w:rPr>
              <w:t>(105)</w:t>
            </w:r>
          </w:p>
        </w:tc>
      </w:tr>
      <w:tr w:rsidR="00BC5219" w:rsidRPr="001A553E" w14:paraId="7D7504C3" w14:textId="77777777" w:rsidTr="00E83802">
        <w:trPr>
          <w:trHeight w:val="198"/>
        </w:trPr>
        <w:tc>
          <w:tcPr>
            <w:tcW w:w="5216" w:type="dxa"/>
            <w:gridSpan w:val="2"/>
            <w:tcBorders>
              <w:top w:val="nil"/>
              <w:left w:val="nil"/>
              <w:bottom w:val="nil"/>
              <w:right w:val="nil"/>
            </w:tcBorders>
            <w:shd w:val="clear" w:color="auto" w:fill="auto"/>
            <w:noWrap/>
            <w:vAlign w:val="center"/>
            <w:hideMark/>
          </w:tcPr>
          <w:p w14:paraId="35099F68" w14:textId="77777777" w:rsidR="00BC5219" w:rsidRPr="001A553E" w:rsidRDefault="00BC5219" w:rsidP="00E83802">
            <w:pPr>
              <w:rPr>
                <w:rFonts w:ascii="Meta Pro" w:eastAsia="Times New Roman" w:hAnsi="Meta Pro"/>
                <w:szCs w:val="18"/>
                <w:lang w:eastAsia="en-AU"/>
              </w:rPr>
            </w:pPr>
            <w:r w:rsidRPr="001A553E">
              <w:rPr>
                <w:rFonts w:ascii="Meta Pro" w:eastAsia="Times New Roman" w:hAnsi="Meta Pro"/>
                <w:szCs w:val="18"/>
                <w:lang w:eastAsia="en-AU"/>
              </w:rPr>
              <w:t>Net transfers from machinery-of-government change (refer to Note 1)</w:t>
            </w:r>
          </w:p>
        </w:tc>
        <w:tc>
          <w:tcPr>
            <w:tcW w:w="397" w:type="dxa"/>
            <w:gridSpan w:val="2"/>
            <w:tcBorders>
              <w:top w:val="nil"/>
              <w:left w:val="nil"/>
              <w:bottom w:val="single" w:sz="4" w:space="0" w:color="auto"/>
              <w:right w:val="nil"/>
            </w:tcBorders>
            <w:shd w:val="clear" w:color="auto" w:fill="auto"/>
            <w:noWrap/>
            <w:vAlign w:val="center"/>
            <w:hideMark/>
          </w:tcPr>
          <w:p w14:paraId="4D35322C" w14:textId="77777777" w:rsidR="00BC5219" w:rsidRPr="001A553E" w:rsidRDefault="00BC5219" w:rsidP="00E83802">
            <w:pPr>
              <w:jc w:val="center"/>
              <w:rPr>
                <w:rFonts w:ascii="Meta Pro" w:eastAsia="Times New Roman" w:hAnsi="Meta Pro"/>
                <w:color w:val="000000"/>
                <w:szCs w:val="18"/>
                <w:lang w:eastAsia="en-AU"/>
              </w:rPr>
            </w:pPr>
            <w:r w:rsidRPr="001A553E">
              <w:rPr>
                <w:rFonts w:ascii="Meta Pro" w:eastAsia="Times New Roman" w:hAnsi="Meta Pro"/>
                <w:color w:val="000000"/>
                <w:szCs w:val="18"/>
                <w:lang w:eastAsia="en-AU"/>
              </w:rPr>
              <w:t> </w:t>
            </w:r>
          </w:p>
        </w:tc>
        <w:tc>
          <w:tcPr>
            <w:tcW w:w="215" w:type="dxa"/>
            <w:tcBorders>
              <w:top w:val="nil"/>
              <w:left w:val="nil"/>
              <w:bottom w:val="nil"/>
              <w:right w:val="nil"/>
            </w:tcBorders>
            <w:shd w:val="clear" w:color="auto" w:fill="auto"/>
            <w:noWrap/>
            <w:vAlign w:val="center"/>
            <w:hideMark/>
          </w:tcPr>
          <w:p w14:paraId="0CD29037" w14:textId="77777777" w:rsidR="00BC5219" w:rsidRPr="001A553E" w:rsidRDefault="00BC5219" w:rsidP="00E83802">
            <w:pPr>
              <w:jc w:val="center"/>
              <w:rPr>
                <w:rFonts w:ascii="Meta Pro" w:eastAsia="Times New Roman" w:hAnsi="Meta Pro"/>
                <w:color w:val="000000"/>
                <w:szCs w:val="18"/>
                <w:lang w:eastAsia="en-AU"/>
              </w:rPr>
            </w:pPr>
          </w:p>
        </w:tc>
        <w:tc>
          <w:tcPr>
            <w:tcW w:w="1514" w:type="dxa"/>
            <w:tcBorders>
              <w:top w:val="nil"/>
              <w:left w:val="nil"/>
              <w:bottom w:val="single" w:sz="4" w:space="0" w:color="auto"/>
              <w:right w:val="nil"/>
            </w:tcBorders>
            <w:shd w:val="clear" w:color="000000" w:fill="C9E3B4"/>
            <w:noWrap/>
            <w:vAlign w:val="center"/>
            <w:hideMark/>
          </w:tcPr>
          <w:p w14:paraId="04F33360" w14:textId="77777777" w:rsidR="00BC5219" w:rsidRPr="001A553E" w:rsidRDefault="00BC5219" w:rsidP="00E83802">
            <w:pPr>
              <w:jc w:val="right"/>
              <w:rPr>
                <w:rFonts w:ascii="Meta Pro" w:eastAsia="Times New Roman" w:hAnsi="Meta Pro"/>
                <w:szCs w:val="18"/>
                <w:lang w:eastAsia="en-AU"/>
              </w:rPr>
            </w:pPr>
            <w:r w:rsidRPr="001A553E">
              <w:rPr>
                <w:rFonts w:ascii="Meta Pro" w:eastAsia="Times New Roman" w:hAnsi="Meta Pro"/>
                <w:szCs w:val="18"/>
                <w:lang w:eastAsia="en-AU"/>
              </w:rPr>
              <w:t xml:space="preserve">109,138 </w:t>
            </w:r>
          </w:p>
        </w:tc>
        <w:tc>
          <w:tcPr>
            <w:tcW w:w="216" w:type="dxa"/>
            <w:tcBorders>
              <w:top w:val="nil"/>
              <w:left w:val="nil"/>
              <w:bottom w:val="single" w:sz="4" w:space="0" w:color="auto"/>
              <w:right w:val="nil"/>
            </w:tcBorders>
            <w:shd w:val="clear" w:color="auto" w:fill="auto"/>
            <w:noWrap/>
            <w:vAlign w:val="center"/>
            <w:hideMark/>
          </w:tcPr>
          <w:p w14:paraId="01068F7E" w14:textId="77777777" w:rsidR="00BC5219" w:rsidRPr="001A553E" w:rsidRDefault="00BC5219" w:rsidP="00E83802">
            <w:pPr>
              <w:rPr>
                <w:rFonts w:ascii="Meta Pro" w:eastAsia="Times New Roman" w:hAnsi="Meta Pro"/>
                <w:color w:val="000000"/>
                <w:sz w:val="20"/>
                <w:szCs w:val="20"/>
                <w:lang w:eastAsia="en-AU"/>
              </w:rPr>
            </w:pPr>
            <w:r w:rsidRPr="001A553E">
              <w:rPr>
                <w:rFonts w:ascii="Meta Pro" w:eastAsia="Times New Roman" w:hAnsi="Meta Pro"/>
                <w:color w:val="000000"/>
                <w:sz w:val="20"/>
                <w:szCs w:val="20"/>
                <w:lang w:eastAsia="en-AU"/>
              </w:rPr>
              <w:t> </w:t>
            </w:r>
          </w:p>
        </w:tc>
        <w:tc>
          <w:tcPr>
            <w:tcW w:w="1514" w:type="dxa"/>
            <w:tcBorders>
              <w:top w:val="nil"/>
              <w:left w:val="nil"/>
              <w:bottom w:val="single" w:sz="4" w:space="0" w:color="auto"/>
              <w:right w:val="nil"/>
            </w:tcBorders>
            <w:shd w:val="clear" w:color="auto" w:fill="auto"/>
            <w:noWrap/>
            <w:vAlign w:val="center"/>
            <w:hideMark/>
          </w:tcPr>
          <w:p w14:paraId="73BB8F4A" w14:textId="77777777" w:rsidR="00BC5219" w:rsidRPr="001A553E" w:rsidRDefault="00BC5219" w:rsidP="00E83802">
            <w:pPr>
              <w:jc w:val="right"/>
              <w:rPr>
                <w:rFonts w:ascii="Meta Pro" w:eastAsia="Times New Roman" w:hAnsi="Meta Pro"/>
                <w:szCs w:val="18"/>
                <w:lang w:eastAsia="en-AU"/>
              </w:rPr>
            </w:pPr>
            <w:r w:rsidRPr="001A553E">
              <w:rPr>
                <w:rFonts w:ascii="Meta Pro" w:eastAsia="Times New Roman" w:hAnsi="Meta Pro"/>
                <w:szCs w:val="18"/>
                <w:lang w:eastAsia="en-AU"/>
              </w:rPr>
              <w:t xml:space="preserve">- </w:t>
            </w:r>
          </w:p>
        </w:tc>
      </w:tr>
      <w:tr w:rsidR="00BC5219" w:rsidRPr="001A553E" w14:paraId="43761A41" w14:textId="77777777" w:rsidTr="00E83802">
        <w:trPr>
          <w:trHeight w:val="198"/>
        </w:trPr>
        <w:tc>
          <w:tcPr>
            <w:tcW w:w="5216" w:type="dxa"/>
            <w:gridSpan w:val="2"/>
            <w:tcBorders>
              <w:top w:val="single" w:sz="4" w:space="0" w:color="auto"/>
              <w:left w:val="nil"/>
              <w:bottom w:val="nil"/>
              <w:right w:val="nil"/>
            </w:tcBorders>
            <w:shd w:val="clear" w:color="auto" w:fill="auto"/>
            <w:noWrap/>
            <w:vAlign w:val="center"/>
            <w:hideMark/>
          </w:tcPr>
          <w:p w14:paraId="0D44B463" w14:textId="77777777" w:rsidR="00BC5219" w:rsidRPr="001A553E" w:rsidRDefault="00BC5219" w:rsidP="00E83802">
            <w:pPr>
              <w:rPr>
                <w:rFonts w:ascii="Meta Pro" w:eastAsia="Times New Roman" w:hAnsi="Meta Pro"/>
                <w:szCs w:val="18"/>
                <w:lang w:eastAsia="en-AU"/>
              </w:rPr>
            </w:pPr>
            <w:r w:rsidRPr="001A553E">
              <w:rPr>
                <w:rFonts w:ascii="Meta Pro" w:eastAsia="Times New Roman" w:hAnsi="Meta Pro"/>
                <w:szCs w:val="18"/>
                <w:lang w:eastAsia="en-AU"/>
              </w:rPr>
              <w:t>Non-cash changes</w:t>
            </w:r>
          </w:p>
        </w:tc>
        <w:tc>
          <w:tcPr>
            <w:tcW w:w="397" w:type="dxa"/>
            <w:gridSpan w:val="2"/>
            <w:tcBorders>
              <w:top w:val="single" w:sz="4" w:space="0" w:color="auto"/>
              <w:left w:val="nil"/>
              <w:bottom w:val="nil"/>
              <w:right w:val="nil"/>
            </w:tcBorders>
            <w:shd w:val="clear" w:color="auto" w:fill="auto"/>
            <w:noWrap/>
            <w:vAlign w:val="center"/>
            <w:hideMark/>
          </w:tcPr>
          <w:p w14:paraId="1FC90412" w14:textId="77777777" w:rsidR="00BC5219" w:rsidRPr="001A553E" w:rsidRDefault="00BC5219" w:rsidP="00E83802">
            <w:pPr>
              <w:jc w:val="center"/>
              <w:rPr>
                <w:rFonts w:ascii="Meta Pro" w:eastAsia="Times New Roman" w:hAnsi="Meta Pro"/>
                <w:color w:val="000000"/>
                <w:szCs w:val="18"/>
                <w:lang w:eastAsia="en-AU"/>
              </w:rPr>
            </w:pPr>
            <w:r w:rsidRPr="001A553E">
              <w:rPr>
                <w:rFonts w:ascii="Meta Pro" w:eastAsia="Times New Roman" w:hAnsi="Meta Pro"/>
                <w:color w:val="000000"/>
                <w:szCs w:val="18"/>
                <w:lang w:eastAsia="en-AU"/>
              </w:rPr>
              <w:t> </w:t>
            </w:r>
          </w:p>
        </w:tc>
        <w:tc>
          <w:tcPr>
            <w:tcW w:w="215" w:type="dxa"/>
            <w:tcBorders>
              <w:top w:val="single" w:sz="4" w:space="0" w:color="auto"/>
              <w:left w:val="nil"/>
              <w:bottom w:val="nil"/>
              <w:right w:val="nil"/>
            </w:tcBorders>
            <w:shd w:val="clear" w:color="auto" w:fill="auto"/>
            <w:noWrap/>
            <w:vAlign w:val="center"/>
            <w:hideMark/>
          </w:tcPr>
          <w:p w14:paraId="7DADF2AA" w14:textId="77777777" w:rsidR="00BC5219" w:rsidRPr="001A553E" w:rsidRDefault="00BC5219" w:rsidP="00E83802">
            <w:pPr>
              <w:rPr>
                <w:rFonts w:ascii="Meta Pro" w:eastAsia="Times New Roman" w:hAnsi="Meta Pro"/>
                <w:color w:val="000000"/>
                <w:szCs w:val="18"/>
                <w:lang w:eastAsia="en-AU"/>
              </w:rPr>
            </w:pPr>
            <w:r w:rsidRPr="001A553E">
              <w:rPr>
                <w:rFonts w:ascii="Meta Pro" w:eastAsia="Times New Roman" w:hAnsi="Meta Pro"/>
                <w:color w:val="000000"/>
                <w:szCs w:val="18"/>
                <w:lang w:eastAsia="en-AU"/>
              </w:rPr>
              <w:t> </w:t>
            </w:r>
          </w:p>
        </w:tc>
        <w:tc>
          <w:tcPr>
            <w:tcW w:w="1514" w:type="dxa"/>
            <w:tcBorders>
              <w:top w:val="nil"/>
              <w:left w:val="nil"/>
              <w:bottom w:val="nil"/>
              <w:right w:val="nil"/>
            </w:tcBorders>
            <w:shd w:val="clear" w:color="000000" w:fill="C9E3B4"/>
            <w:noWrap/>
            <w:vAlign w:val="center"/>
            <w:hideMark/>
          </w:tcPr>
          <w:p w14:paraId="15435294" w14:textId="77777777" w:rsidR="00BC5219" w:rsidRPr="001A553E" w:rsidRDefault="00BC5219" w:rsidP="00E83802">
            <w:pPr>
              <w:jc w:val="right"/>
              <w:rPr>
                <w:rFonts w:ascii="Meta Pro" w:eastAsia="Times New Roman" w:hAnsi="Meta Pro"/>
                <w:szCs w:val="18"/>
                <w:lang w:eastAsia="en-AU"/>
              </w:rPr>
            </w:pPr>
            <w:r w:rsidRPr="001A553E">
              <w:rPr>
                <w:rFonts w:ascii="Meta Pro" w:eastAsia="Times New Roman" w:hAnsi="Meta Pro"/>
                <w:szCs w:val="18"/>
                <w:lang w:eastAsia="en-AU"/>
              </w:rPr>
              <w:t xml:space="preserve">110,082 </w:t>
            </w:r>
          </w:p>
        </w:tc>
        <w:tc>
          <w:tcPr>
            <w:tcW w:w="216" w:type="dxa"/>
            <w:tcBorders>
              <w:top w:val="nil"/>
              <w:left w:val="nil"/>
              <w:bottom w:val="nil"/>
              <w:right w:val="nil"/>
            </w:tcBorders>
            <w:shd w:val="clear" w:color="auto" w:fill="auto"/>
            <w:noWrap/>
            <w:vAlign w:val="center"/>
            <w:hideMark/>
          </w:tcPr>
          <w:p w14:paraId="52C3C41E" w14:textId="77777777" w:rsidR="00BC5219" w:rsidRPr="001A553E" w:rsidRDefault="00BC5219" w:rsidP="00E83802">
            <w:pPr>
              <w:jc w:val="right"/>
              <w:rPr>
                <w:rFonts w:ascii="Meta Pro" w:eastAsia="Times New Roman" w:hAnsi="Meta Pro"/>
                <w:szCs w:val="18"/>
                <w:lang w:eastAsia="en-AU"/>
              </w:rPr>
            </w:pPr>
          </w:p>
        </w:tc>
        <w:tc>
          <w:tcPr>
            <w:tcW w:w="1514" w:type="dxa"/>
            <w:tcBorders>
              <w:top w:val="nil"/>
              <w:left w:val="nil"/>
              <w:bottom w:val="nil"/>
              <w:right w:val="nil"/>
            </w:tcBorders>
            <w:shd w:val="clear" w:color="auto" w:fill="auto"/>
            <w:noWrap/>
            <w:vAlign w:val="center"/>
            <w:hideMark/>
          </w:tcPr>
          <w:p w14:paraId="3B479042" w14:textId="77777777" w:rsidR="00BC5219" w:rsidRPr="001A553E" w:rsidRDefault="00BC5219" w:rsidP="00E83802">
            <w:pPr>
              <w:jc w:val="right"/>
              <w:rPr>
                <w:rFonts w:ascii="Meta Pro" w:eastAsia="Times New Roman" w:hAnsi="Meta Pro"/>
                <w:szCs w:val="18"/>
                <w:lang w:eastAsia="en-AU"/>
              </w:rPr>
            </w:pPr>
            <w:r w:rsidRPr="001A553E">
              <w:rPr>
                <w:rFonts w:ascii="Meta Pro" w:eastAsia="Times New Roman" w:hAnsi="Meta Pro"/>
                <w:szCs w:val="18"/>
                <w:lang w:eastAsia="en-AU"/>
              </w:rPr>
              <w:t xml:space="preserve">126 </w:t>
            </w:r>
          </w:p>
        </w:tc>
      </w:tr>
      <w:tr w:rsidR="00BC5219" w:rsidRPr="001A553E" w14:paraId="5FDAAF2D" w14:textId="77777777" w:rsidTr="00E83802">
        <w:trPr>
          <w:trHeight w:val="198"/>
        </w:trPr>
        <w:tc>
          <w:tcPr>
            <w:tcW w:w="215" w:type="dxa"/>
            <w:tcBorders>
              <w:top w:val="nil"/>
              <w:left w:val="nil"/>
              <w:bottom w:val="nil"/>
              <w:right w:val="nil"/>
            </w:tcBorders>
            <w:shd w:val="clear" w:color="auto" w:fill="auto"/>
            <w:noWrap/>
            <w:vAlign w:val="center"/>
            <w:hideMark/>
          </w:tcPr>
          <w:p w14:paraId="24DA0722" w14:textId="77777777" w:rsidR="00BC5219" w:rsidRPr="001A553E" w:rsidRDefault="00BC5219" w:rsidP="00E83802">
            <w:pPr>
              <w:jc w:val="right"/>
              <w:rPr>
                <w:rFonts w:ascii="Meta Pro" w:eastAsia="Times New Roman" w:hAnsi="Meta Pro"/>
                <w:szCs w:val="18"/>
                <w:lang w:eastAsia="en-AU"/>
              </w:rPr>
            </w:pPr>
          </w:p>
        </w:tc>
        <w:tc>
          <w:tcPr>
            <w:tcW w:w="5216" w:type="dxa"/>
            <w:tcBorders>
              <w:top w:val="nil"/>
              <w:left w:val="nil"/>
              <w:bottom w:val="nil"/>
              <w:right w:val="nil"/>
            </w:tcBorders>
            <w:shd w:val="clear" w:color="auto" w:fill="auto"/>
            <w:noWrap/>
            <w:vAlign w:val="center"/>
            <w:hideMark/>
          </w:tcPr>
          <w:p w14:paraId="5B505CD2" w14:textId="77777777" w:rsidR="00BC5219" w:rsidRPr="001A553E" w:rsidRDefault="00BC5219" w:rsidP="00E83802">
            <w:pPr>
              <w:rPr>
                <w:rFonts w:ascii="Times New Roman" w:eastAsia="Times New Roman" w:hAnsi="Times New Roman" w:cs="Times New Roman"/>
                <w:sz w:val="20"/>
                <w:szCs w:val="20"/>
                <w:lang w:eastAsia="en-AU"/>
              </w:rPr>
            </w:pPr>
          </w:p>
        </w:tc>
        <w:tc>
          <w:tcPr>
            <w:tcW w:w="397" w:type="dxa"/>
            <w:gridSpan w:val="2"/>
            <w:tcBorders>
              <w:top w:val="nil"/>
              <w:left w:val="nil"/>
              <w:bottom w:val="nil"/>
              <w:right w:val="nil"/>
            </w:tcBorders>
            <w:shd w:val="clear" w:color="auto" w:fill="auto"/>
            <w:noWrap/>
            <w:vAlign w:val="center"/>
            <w:hideMark/>
          </w:tcPr>
          <w:p w14:paraId="3505CA58" w14:textId="77777777" w:rsidR="00BC5219" w:rsidRPr="001A553E" w:rsidRDefault="00BC5219" w:rsidP="00E83802">
            <w:pPr>
              <w:rPr>
                <w:rFonts w:ascii="Times New Roman" w:eastAsia="Times New Roman" w:hAnsi="Times New Roman"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3A305495" w14:textId="77777777" w:rsidR="00BC5219" w:rsidRPr="001A553E" w:rsidRDefault="00BC5219" w:rsidP="00E83802">
            <w:pPr>
              <w:jc w:val="center"/>
              <w:rPr>
                <w:rFonts w:ascii="Times New Roman" w:eastAsia="Times New Roman" w:hAnsi="Times New Roman"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6B299DF6" w14:textId="77777777" w:rsidR="00BC5219" w:rsidRPr="001A553E" w:rsidRDefault="00BC5219" w:rsidP="00E83802">
            <w:pPr>
              <w:jc w:val="right"/>
              <w:rPr>
                <w:rFonts w:ascii="Meta Pro" w:eastAsia="Times New Roman" w:hAnsi="Meta Pro"/>
                <w:szCs w:val="18"/>
                <w:lang w:eastAsia="en-AU"/>
              </w:rPr>
            </w:pPr>
            <w:r w:rsidRPr="001A553E">
              <w:rPr>
                <w:rFonts w:ascii="Meta Pro" w:eastAsia="Times New Roman" w:hAnsi="Meta Pro"/>
                <w:szCs w:val="18"/>
                <w:lang w:eastAsia="en-AU"/>
              </w:rPr>
              <w:t> </w:t>
            </w:r>
          </w:p>
        </w:tc>
        <w:tc>
          <w:tcPr>
            <w:tcW w:w="216" w:type="dxa"/>
            <w:tcBorders>
              <w:top w:val="nil"/>
              <w:left w:val="nil"/>
              <w:bottom w:val="nil"/>
              <w:right w:val="nil"/>
            </w:tcBorders>
            <w:shd w:val="clear" w:color="auto" w:fill="auto"/>
            <w:noWrap/>
            <w:vAlign w:val="center"/>
            <w:hideMark/>
          </w:tcPr>
          <w:p w14:paraId="369DCB4C" w14:textId="77777777" w:rsidR="00BC5219" w:rsidRPr="001A553E" w:rsidRDefault="00BC5219" w:rsidP="00E83802">
            <w:pPr>
              <w:jc w:val="right"/>
              <w:rPr>
                <w:rFonts w:ascii="Meta Pro" w:eastAsia="Times New Roman" w:hAnsi="Meta Pro"/>
                <w:szCs w:val="18"/>
                <w:lang w:eastAsia="en-AU"/>
              </w:rPr>
            </w:pPr>
          </w:p>
        </w:tc>
        <w:tc>
          <w:tcPr>
            <w:tcW w:w="1514" w:type="dxa"/>
            <w:tcBorders>
              <w:top w:val="nil"/>
              <w:left w:val="nil"/>
              <w:bottom w:val="nil"/>
              <w:right w:val="nil"/>
            </w:tcBorders>
            <w:shd w:val="clear" w:color="auto" w:fill="auto"/>
            <w:noWrap/>
            <w:vAlign w:val="center"/>
            <w:hideMark/>
          </w:tcPr>
          <w:p w14:paraId="5E8CEFDC" w14:textId="77777777" w:rsidR="00BC5219" w:rsidRPr="001A553E" w:rsidRDefault="00BC5219" w:rsidP="00E83802">
            <w:pPr>
              <w:rPr>
                <w:rFonts w:ascii="Times New Roman" w:eastAsia="Times New Roman" w:hAnsi="Times New Roman" w:cs="Times New Roman"/>
                <w:sz w:val="20"/>
                <w:szCs w:val="20"/>
                <w:lang w:eastAsia="en-AU"/>
              </w:rPr>
            </w:pPr>
          </w:p>
        </w:tc>
      </w:tr>
      <w:tr w:rsidR="00BC5219" w:rsidRPr="001A553E" w14:paraId="0DBAC2B7" w14:textId="77777777" w:rsidTr="00E83802">
        <w:trPr>
          <w:trHeight w:val="198"/>
        </w:trPr>
        <w:tc>
          <w:tcPr>
            <w:tcW w:w="5216" w:type="dxa"/>
            <w:gridSpan w:val="2"/>
            <w:tcBorders>
              <w:top w:val="nil"/>
              <w:left w:val="nil"/>
              <w:bottom w:val="nil"/>
              <w:right w:val="nil"/>
            </w:tcBorders>
            <w:shd w:val="clear" w:color="auto" w:fill="auto"/>
            <w:noWrap/>
            <w:vAlign w:val="center"/>
            <w:hideMark/>
          </w:tcPr>
          <w:p w14:paraId="637F2C89" w14:textId="77777777" w:rsidR="00BC5219" w:rsidRPr="001A553E" w:rsidRDefault="00BC5219" w:rsidP="00E83802">
            <w:pPr>
              <w:rPr>
                <w:rFonts w:ascii="Meta Pro" w:eastAsia="Times New Roman" w:hAnsi="Meta Pro"/>
                <w:szCs w:val="18"/>
                <w:lang w:eastAsia="en-AU"/>
              </w:rPr>
            </w:pPr>
            <w:r w:rsidRPr="001A553E">
              <w:rPr>
                <w:rFonts w:ascii="Meta Pro" w:eastAsia="Times New Roman" w:hAnsi="Meta Pro"/>
                <w:szCs w:val="18"/>
                <w:lang w:eastAsia="en-AU"/>
              </w:rPr>
              <w:t>Cash repayments</w:t>
            </w:r>
          </w:p>
        </w:tc>
        <w:tc>
          <w:tcPr>
            <w:tcW w:w="397" w:type="dxa"/>
            <w:gridSpan w:val="2"/>
            <w:tcBorders>
              <w:top w:val="nil"/>
              <w:left w:val="nil"/>
              <w:bottom w:val="single" w:sz="4" w:space="0" w:color="auto"/>
              <w:right w:val="nil"/>
            </w:tcBorders>
            <w:shd w:val="clear" w:color="auto" w:fill="auto"/>
            <w:noWrap/>
            <w:vAlign w:val="center"/>
            <w:hideMark/>
          </w:tcPr>
          <w:p w14:paraId="20DC5FC9" w14:textId="77777777" w:rsidR="00BC5219" w:rsidRPr="001A553E" w:rsidRDefault="00BC5219" w:rsidP="00E83802">
            <w:pPr>
              <w:jc w:val="center"/>
              <w:rPr>
                <w:rFonts w:ascii="Meta Pro" w:eastAsia="Times New Roman" w:hAnsi="Meta Pro"/>
                <w:color w:val="000000"/>
                <w:szCs w:val="18"/>
                <w:lang w:eastAsia="en-AU"/>
              </w:rPr>
            </w:pPr>
            <w:r w:rsidRPr="001A553E">
              <w:rPr>
                <w:rFonts w:ascii="Meta Pro" w:eastAsia="Times New Roman" w:hAnsi="Meta Pro"/>
                <w:color w:val="000000"/>
                <w:szCs w:val="18"/>
                <w:lang w:eastAsia="en-AU"/>
              </w:rPr>
              <w:t> </w:t>
            </w:r>
          </w:p>
        </w:tc>
        <w:tc>
          <w:tcPr>
            <w:tcW w:w="215" w:type="dxa"/>
            <w:tcBorders>
              <w:top w:val="nil"/>
              <w:left w:val="nil"/>
              <w:bottom w:val="nil"/>
              <w:right w:val="nil"/>
            </w:tcBorders>
            <w:shd w:val="clear" w:color="auto" w:fill="auto"/>
            <w:noWrap/>
            <w:vAlign w:val="center"/>
            <w:hideMark/>
          </w:tcPr>
          <w:p w14:paraId="41535798" w14:textId="77777777" w:rsidR="00BC5219" w:rsidRPr="001A553E" w:rsidRDefault="00BC5219" w:rsidP="00E83802">
            <w:pPr>
              <w:jc w:val="center"/>
              <w:rPr>
                <w:rFonts w:ascii="Meta Pro" w:eastAsia="Times New Roman" w:hAnsi="Meta Pro"/>
                <w:color w:val="000000"/>
                <w:szCs w:val="18"/>
                <w:lang w:eastAsia="en-AU"/>
              </w:rPr>
            </w:pPr>
          </w:p>
        </w:tc>
        <w:tc>
          <w:tcPr>
            <w:tcW w:w="1514" w:type="dxa"/>
            <w:tcBorders>
              <w:top w:val="nil"/>
              <w:left w:val="nil"/>
              <w:bottom w:val="nil"/>
              <w:right w:val="nil"/>
            </w:tcBorders>
            <w:shd w:val="clear" w:color="000000" w:fill="C9E3B4"/>
            <w:noWrap/>
            <w:vAlign w:val="center"/>
            <w:hideMark/>
          </w:tcPr>
          <w:p w14:paraId="35543730" w14:textId="77777777" w:rsidR="00BC5219" w:rsidRPr="001A553E" w:rsidRDefault="00BC5219" w:rsidP="00E83802">
            <w:pPr>
              <w:jc w:val="right"/>
              <w:rPr>
                <w:rFonts w:ascii="Meta Pro" w:eastAsia="Times New Roman" w:hAnsi="Meta Pro"/>
                <w:szCs w:val="18"/>
                <w:lang w:eastAsia="en-AU"/>
              </w:rPr>
            </w:pPr>
            <w:r w:rsidRPr="001A553E">
              <w:rPr>
                <w:rFonts w:ascii="Meta Pro" w:eastAsia="Times New Roman" w:hAnsi="Meta Pro"/>
                <w:szCs w:val="18"/>
                <w:lang w:eastAsia="en-AU"/>
              </w:rPr>
              <w:t>(2,710)</w:t>
            </w:r>
          </w:p>
        </w:tc>
        <w:tc>
          <w:tcPr>
            <w:tcW w:w="216" w:type="dxa"/>
            <w:tcBorders>
              <w:top w:val="nil"/>
              <w:left w:val="nil"/>
              <w:bottom w:val="nil"/>
              <w:right w:val="nil"/>
            </w:tcBorders>
            <w:shd w:val="clear" w:color="auto" w:fill="auto"/>
            <w:noWrap/>
            <w:vAlign w:val="center"/>
            <w:hideMark/>
          </w:tcPr>
          <w:p w14:paraId="7AD60586" w14:textId="77777777" w:rsidR="00BC5219" w:rsidRPr="001A553E" w:rsidRDefault="00BC5219" w:rsidP="00E83802">
            <w:pPr>
              <w:jc w:val="right"/>
              <w:rPr>
                <w:rFonts w:ascii="Meta Pro" w:eastAsia="Times New Roman" w:hAnsi="Meta Pro"/>
                <w:szCs w:val="18"/>
                <w:lang w:eastAsia="en-AU"/>
              </w:rPr>
            </w:pPr>
          </w:p>
        </w:tc>
        <w:tc>
          <w:tcPr>
            <w:tcW w:w="1514" w:type="dxa"/>
            <w:tcBorders>
              <w:top w:val="nil"/>
              <w:left w:val="nil"/>
              <w:bottom w:val="nil"/>
              <w:right w:val="nil"/>
            </w:tcBorders>
            <w:shd w:val="clear" w:color="auto" w:fill="auto"/>
            <w:noWrap/>
            <w:vAlign w:val="center"/>
            <w:hideMark/>
          </w:tcPr>
          <w:p w14:paraId="7F9EE4C1" w14:textId="77777777" w:rsidR="00BC5219" w:rsidRPr="001A553E" w:rsidRDefault="00BC5219" w:rsidP="00E83802">
            <w:pPr>
              <w:jc w:val="right"/>
              <w:rPr>
                <w:rFonts w:ascii="Meta Pro" w:eastAsia="Times New Roman" w:hAnsi="Meta Pro"/>
                <w:szCs w:val="18"/>
                <w:lang w:eastAsia="en-AU"/>
              </w:rPr>
            </w:pPr>
            <w:r w:rsidRPr="001A553E">
              <w:rPr>
                <w:rFonts w:ascii="Meta Pro" w:eastAsia="Times New Roman" w:hAnsi="Meta Pro"/>
                <w:szCs w:val="18"/>
                <w:lang w:eastAsia="en-AU"/>
              </w:rPr>
              <w:t>(223)</w:t>
            </w:r>
          </w:p>
        </w:tc>
      </w:tr>
      <w:tr w:rsidR="00BC5219" w:rsidRPr="001A553E" w14:paraId="1A2550BF" w14:textId="77777777" w:rsidTr="00E83802">
        <w:trPr>
          <w:trHeight w:val="198"/>
        </w:trPr>
        <w:tc>
          <w:tcPr>
            <w:tcW w:w="5216" w:type="dxa"/>
            <w:gridSpan w:val="2"/>
            <w:tcBorders>
              <w:top w:val="single" w:sz="4" w:space="0" w:color="auto"/>
              <w:left w:val="nil"/>
              <w:bottom w:val="double" w:sz="6" w:space="0" w:color="auto"/>
              <w:right w:val="nil"/>
            </w:tcBorders>
            <w:shd w:val="clear" w:color="auto" w:fill="auto"/>
            <w:noWrap/>
            <w:vAlign w:val="center"/>
            <w:hideMark/>
          </w:tcPr>
          <w:p w14:paraId="50CCB109" w14:textId="77777777" w:rsidR="00BC5219" w:rsidRPr="001A553E" w:rsidRDefault="00BC5219" w:rsidP="00E83802">
            <w:pPr>
              <w:rPr>
                <w:rFonts w:ascii="Meta Pro" w:eastAsia="Times New Roman" w:hAnsi="Meta Pro"/>
                <w:b/>
                <w:bCs/>
                <w:szCs w:val="18"/>
                <w:lang w:eastAsia="en-AU"/>
              </w:rPr>
            </w:pPr>
            <w:r w:rsidRPr="001A553E">
              <w:rPr>
                <w:rFonts w:ascii="Meta Pro" w:eastAsia="Times New Roman" w:hAnsi="Meta Pro"/>
                <w:b/>
                <w:bCs/>
                <w:szCs w:val="18"/>
                <w:lang w:eastAsia="en-AU"/>
              </w:rPr>
              <w:t>Closing balance</w:t>
            </w:r>
          </w:p>
        </w:tc>
        <w:tc>
          <w:tcPr>
            <w:tcW w:w="397" w:type="dxa"/>
            <w:gridSpan w:val="2"/>
            <w:tcBorders>
              <w:top w:val="single" w:sz="4" w:space="0" w:color="auto"/>
              <w:left w:val="nil"/>
              <w:bottom w:val="double" w:sz="6" w:space="0" w:color="auto"/>
              <w:right w:val="nil"/>
            </w:tcBorders>
            <w:shd w:val="clear" w:color="auto" w:fill="auto"/>
            <w:noWrap/>
            <w:vAlign w:val="center"/>
            <w:hideMark/>
          </w:tcPr>
          <w:p w14:paraId="57B075D8" w14:textId="77777777" w:rsidR="00BC5219" w:rsidRPr="001A553E" w:rsidRDefault="00BC5219" w:rsidP="00E83802">
            <w:pPr>
              <w:jc w:val="center"/>
              <w:rPr>
                <w:rFonts w:ascii="Meta Pro" w:eastAsia="Times New Roman" w:hAnsi="Meta Pro"/>
                <w:color w:val="000000"/>
                <w:szCs w:val="18"/>
                <w:lang w:eastAsia="en-AU"/>
              </w:rPr>
            </w:pPr>
            <w:r w:rsidRPr="001A553E">
              <w:rPr>
                <w:rFonts w:ascii="Meta Pro" w:eastAsia="Times New Roman" w:hAnsi="Meta Pro"/>
                <w:color w:val="000000"/>
                <w:szCs w:val="18"/>
                <w:lang w:eastAsia="en-AU"/>
              </w:rPr>
              <w:t> </w:t>
            </w:r>
          </w:p>
        </w:tc>
        <w:tc>
          <w:tcPr>
            <w:tcW w:w="215" w:type="dxa"/>
            <w:tcBorders>
              <w:top w:val="single" w:sz="4" w:space="0" w:color="auto"/>
              <w:left w:val="nil"/>
              <w:bottom w:val="double" w:sz="6" w:space="0" w:color="auto"/>
              <w:right w:val="nil"/>
            </w:tcBorders>
            <w:shd w:val="clear" w:color="auto" w:fill="auto"/>
            <w:noWrap/>
            <w:vAlign w:val="center"/>
            <w:hideMark/>
          </w:tcPr>
          <w:p w14:paraId="27A5B590" w14:textId="77777777" w:rsidR="00BC5219" w:rsidRPr="001A553E" w:rsidRDefault="00BC5219" w:rsidP="00E83802">
            <w:pPr>
              <w:rPr>
                <w:rFonts w:ascii="Meta Pro" w:eastAsia="Times New Roman" w:hAnsi="Meta Pro"/>
                <w:b/>
                <w:bCs/>
                <w:szCs w:val="18"/>
                <w:lang w:eastAsia="en-AU"/>
              </w:rPr>
            </w:pPr>
            <w:r w:rsidRPr="001A553E">
              <w:rPr>
                <w:rFonts w:ascii="Meta Pro" w:eastAsia="Times New Roman" w:hAnsi="Meta Pro"/>
                <w:b/>
                <w:bCs/>
                <w:szCs w:val="18"/>
                <w:lang w:eastAsia="en-AU"/>
              </w:rPr>
              <w:t> </w:t>
            </w:r>
          </w:p>
        </w:tc>
        <w:tc>
          <w:tcPr>
            <w:tcW w:w="1514" w:type="dxa"/>
            <w:tcBorders>
              <w:top w:val="single" w:sz="4" w:space="0" w:color="auto"/>
              <w:left w:val="nil"/>
              <w:bottom w:val="double" w:sz="6" w:space="0" w:color="auto"/>
              <w:right w:val="nil"/>
            </w:tcBorders>
            <w:shd w:val="clear" w:color="000000" w:fill="C9E3B4"/>
            <w:noWrap/>
            <w:vAlign w:val="center"/>
            <w:hideMark/>
          </w:tcPr>
          <w:p w14:paraId="1B3323D7" w14:textId="77777777" w:rsidR="00BC5219" w:rsidRPr="001A553E" w:rsidRDefault="00BC5219" w:rsidP="00E83802">
            <w:pPr>
              <w:jc w:val="right"/>
              <w:rPr>
                <w:rFonts w:ascii="Meta Pro" w:eastAsia="Times New Roman" w:hAnsi="Meta Pro"/>
                <w:b/>
                <w:bCs/>
                <w:szCs w:val="18"/>
                <w:lang w:eastAsia="en-AU"/>
              </w:rPr>
            </w:pPr>
            <w:r w:rsidRPr="001A553E">
              <w:rPr>
                <w:rFonts w:ascii="Meta Pro" w:eastAsia="Times New Roman" w:hAnsi="Meta Pro"/>
                <w:b/>
                <w:bCs/>
                <w:szCs w:val="18"/>
                <w:lang w:eastAsia="en-AU"/>
              </w:rPr>
              <w:t xml:space="preserve">110,742 </w:t>
            </w:r>
          </w:p>
        </w:tc>
        <w:tc>
          <w:tcPr>
            <w:tcW w:w="216" w:type="dxa"/>
            <w:tcBorders>
              <w:top w:val="single" w:sz="4" w:space="0" w:color="auto"/>
              <w:left w:val="nil"/>
              <w:bottom w:val="double" w:sz="6" w:space="0" w:color="auto"/>
              <w:right w:val="nil"/>
            </w:tcBorders>
            <w:shd w:val="clear" w:color="auto" w:fill="auto"/>
            <w:noWrap/>
            <w:vAlign w:val="center"/>
            <w:hideMark/>
          </w:tcPr>
          <w:p w14:paraId="13F2B05F" w14:textId="77777777" w:rsidR="00BC5219" w:rsidRPr="001A553E" w:rsidRDefault="00BC5219" w:rsidP="00E83802">
            <w:pPr>
              <w:rPr>
                <w:rFonts w:ascii="Meta Pro" w:eastAsia="Times New Roman" w:hAnsi="Meta Pro"/>
                <w:color w:val="000000"/>
                <w:sz w:val="20"/>
                <w:szCs w:val="20"/>
                <w:lang w:eastAsia="en-AU"/>
              </w:rPr>
            </w:pPr>
            <w:r w:rsidRPr="001A553E">
              <w:rPr>
                <w:rFonts w:ascii="Meta Pro" w:eastAsia="Times New Roman" w:hAnsi="Meta Pro"/>
                <w:color w:val="000000"/>
                <w:sz w:val="20"/>
                <w:szCs w:val="20"/>
                <w:lang w:eastAsia="en-AU"/>
              </w:rPr>
              <w:t> </w:t>
            </w:r>
          </w:p>
        </w:tc>
        <w:tc>
          <w:tcPr>
            <w:tcW w:w="1514" w:type="dxa"/>
            <w:tcBorders>
              <w:top w:val="single" w:sz="4" w:space="0" w:color="auto"/>
              <w:left w:val="nil"/>
              <w:bottom w:val="double" w:sz="6" w:space="0" w:color="auto"/>
              <w:right w:val="nil"/>
            </w:tcBorders>
            <w:shd w:val="clear" w:color="auto" w:fill="auto"/>
            <w:noWrap/>
            <w:vAlign w:val="center"/>
            <w:hideMark/>
          </w:tcPr>
          <w:p w14:paraId="6064E801" w14:textId="77777777" w:rsidR="00BC5219" w:rsidRPr="001A553E" w:rsidRDefault="00BC5219" w:rsidP="00E83802">
            <w:pPr>
              <w:jc w:val="right"/>
              <w:rPr>
                <w:rFonts w:ascii="Meta Pro" w:eastAsia="Times New Roman" w:hAnsi="Meta Pro"/>
                <w:b/>
                <w:bCs/>
                <w:szCs w:val="18"/>
                <w:lang w:eastAsia="en-AU"/>
              </w:rPr>
            </w:pPr>
            <w:r w:rsidRPr="001A553E">
              <w:rPr>
                <w:rFonts w:ascii="Meta Pro" w:eastAsia="Times New Roman" w:hAnsi="Meta Pro"/>
                <w:b/>
                <w:bCs/>
                <w:szCs w:val="18"/>
                <w:lang w:eastAsia="en-AU"/>
              </w:rPr>
              <w:t xml:space="preserve">3,370 </w:t>
            </w:r>
          </w:p>
        </w:tc>
      </w:tr>
    </w:tbl>
    <w:p w14:paraId="249775D2" w14:textId="77777777" w:rsidR="00BC5219" w:rsidRPr="008A2B8F" w:rsidRDefault="00BC5219" w:rsidP="00BC5219">
      <w:pPr>
        <w:rPr>
          <w:rFonts w:ascii="Meta Pro" w:hAnsi="Meta Pro" w:cstheme="minorBidi"/>
        </w:rPr>
      </w:pPr>
    </w:p>
    <w:tbl>
      <w:tblPr>
        <w:tblW w:w="0" w:type="auto"/>
        <w:tblCellMar>
          <w:left w:w="0" w:type="dxa"/>
        </w:tblCellMar>
        <w:tblLook w:val="04A0" w:firstRow="1" w:lastRow="0" w:firstColumn="1" w:lastColumn="0" w:noHBand="0" w:noVBand="1"/>
      </w:tblPr>
      <w:tblGrid>
        <w:gridCol w:w="223"/>
        <w:gridCol w:w="4998"/>
        <w:gridCol w:w="1029"/>
        <w:gridCol w:w="223"/>
        <w:gridCol w:w="1522"/>
        <w:gridCol w:w="224"/>
        <w:gridCol w:w="1522"/>
      </w:tblGrid>
      <w:tr w:rsidR="00BC5219" w:rsidRPr="008A2B8F" w14:paraId="13DE41F4" w14:textId="77777777" w:rsidTr="00E83802">
        <w:trPr>
          <w:trHeight w:val="198"/>
        </w:trPr>
        <w:tc>
          <w:tcPr>
            <w:tcW w:w="4990" w:type="dxa"/>
            <w:gridSpan w:val="2"/>
            <w:tcBorders>
              <w:top w:val="nil"/>
              <w:left w:val="nil"/>
              <w:bottom w:val="nil"/>
              <w:right w:val="nil"/>
            </w:tcBorders>
            <w:shd w:val="clear" w:color="auto" w:fill="auto"/>
            <w:noWrap/>
            <w:vAlign w:val="center"/>
            <w:hideMark/>
          </w:tcPr>
          <w:p w14:paraId="618FC93C" w14:textId="77777777" w:rsidR="00BC5219" w:rsidRPr="008A2B8F" w:rsidRDefault="00BC5219" w:rsidP="00E83802">
            <w:pPr>
              <w:rPr>
                <w:rFonts w:ascii="Meta Pro" w:eastAsia="Times New Roman" w:hAnsi="Meta Pro"/>
                <w:b/>
                <w:bCs/>
                <w:sz w:val="20"/>
                <w:szCs w:val="20"/>
                <w:lang w:eastAsia="en-AU"/>
              </w:rPr>
            </w:pPr>
            <w:r w:rsidRPr="008A2B8F">
              <w:rPr>
                <w:rFonts w:ascii="Meta Pro" w:eastAsia="Times New Roman" w:hAnsi="Meta Pro"/>
                <w:b/>
                <w:bCs/>
                <w:sz w:val="20"/>
                <w:szCs w:val="20"/>
                <w:lang w:eastAsia="en-AU"/>
              </w:rPr>
              <w:t>BORROWINGS – Note 19</w:t>
            </w:r>
          </w:p>
        </w:tc>
        <w:tc>
          <w:tcPr>
            <w:tcW w:w="1021" w:type="dxa"/>
            <w:tcBorders>
              <w:top w:val="nil"/>
              <w:left w:val="nil"/>
              <w:bottom w:val="nil"/>
              <w:right w:val="nil"/>
            </w:tcBorders>
            <w:shd w:val="clear" w:color="auto" w:fill="auto"/>
            <w:noWrap/>
            <w:vAlign w:val="center"/>
            <w:hideMark/>
          </w:tcPr>
          <w:p w14:paraId="6427FBBB" w14:textId="77777777" w:rsidR="00BC5219" w:rsidRPr="008A2B8F" w:rsidRDefault="00BC5219" w:rsidP="00E83802">
            <w:pPr>
              <w:rPr>
                <w:rFonts w:ascii="Meta Pro" w:eastAsia="Times New Roman" w:hAnsi="Meta Pro"/>
                <w:b/>
                <w:bCs/>
                <w:sz w:val="20"/>
                <w:szCs w:val="20"/>
                <w:lang w:eastAsia="en-AU"/>
              </w:rPr>
            </w:pPr>
          </w:p>
        </w:tc>
        <w:tc>
          <w:tcPr>
            <w:tcW w:w="215" w:type="dxa"/>
            <w:tcBorders>
              <w:top w:val="nil"/>
              <w:left w:val="nil"/>
              <w:bottom w:val="nil"/>
              <w:right w:val="nil"/>
            </w:tcBorders>
            <w:shd w:val="clear" w:color="auto" w:fill="auto"/>
            <w:noWrap/>
            <w:vAlign w:val="center"/>
            <w:hideMark/>
          </w:tcPr>
          <w:p w14:paraId="6CF11537" w14:textId="77777777" w:rsidR="00BC5219" w:rsidRPr="008A2B8F"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auto" w:fill="auto"/>
            <w:noWrap/>
            <w:vAlign w:val="center"/>
            <w:hideMark/>
          </w:tcPr>
          <w:p w14:paraId="77C7C87A" w14:textId="77777777" w:rsidR="00BC5219" w:rsidRPr="008A2B8F" w:rsidRDefault="00BC5219" w:rsidP="00E83802">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4662E6EF" w14:textId="77777777" w:rsidR="00BC5219" w:rsidRPr="008A2B8F" w:rsidRDefault="00BC5219" w:rsidP="00E83802">
            <w:pP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auto" w:fill="auto"/>
            <w:noWrap/>
            <w:vAlign w:val="center"/>
            <w:hideMark/>
          </w:tcPr>
          <w:p w14:paraId="5B4226FB" w14:textId="77777777" w:rsidR="00BC5219" w:rsidRPr="008A2B8F" w:rsidRDefault="00BC5219" w:rsidP="00E83802">
            <w:pPr>
              <w:rPr>
                <w:rFonts w:ascii="Meta Pro" w:eastAsia="Times New Roman" w:hAnsi="Meta Pro" w:cs="Times New Roman"/>
                <w:sz w:val="20"/>
                <w:szCs w:val="20"/>
                <w:lang w:eastAsia="en-AU"/>
              </w:rPr>
            </w:pPr>
          </w:p>
        </w:tc>
      </w:tr>
      <w:tr w:rsidR="00BC5219" w:rsidRPr="008A2B8F" w14:paraId="4FE746DB" w14:textId="77777777" w:rsidTr="00E83802">
        <w:trPr>
          <w:trHeight w:val="198"/>
        </w:trPr>
        <w:tc>
          <w:tcPr>
            <w:tcW w:w="215" w:type="dxa"/>
            <w:tcBorders>
              <w:top w:val="nil"/>
              <w:left w:val="nil"/>
              <w:bottom w:val="nil"/>
              <w:right w:val="nil"/>
            </w:tcBorders>
            <w:shd w:val="clear" w:color="auto" w:fill="auto"/>
            <w:noWrap/>
            <w:vAlign w:val="center"/>
            <w:hideMark/>
          </w:tcPr>
          <w:p w14:paraId="5094EE27" w14:textId="77777777" w:rsidR="00BC5219" w:rsidRPr="008A2B8F" w:rsidRDefault="00BC5219" w:rsidP="00E83802">
            <w:pPr>
              <w:rPr>
                <w:rFonts w:ascii="Meta Pro" w:eastAsia="Times New Roman" w:hAnsi="Meta Pro" w:cs="Times New Roman"/>
                <w:sz w:val="20"/>
                <w:szCs w:val="20"/>
                <w:lang w:eastAsia="en-AU"/>
              </w:rPr>
            </w:pPr>
          </w:p>
        </w:tc>
        <w:tc>
          <w:tcPr>
            <w:tcW w:w="4990" w:type="dxa"/>
            <w:tcBorders>
              <w:top w:val="nil"/>
              <w:left w:val="nil"/>
              <w:bottom w:val="nil"/>
              <w:right w:val="nil"/>
            </w:tcBorders>
            <w:shd w:val="clear" w:color="auto" w:fill="auto"/>
            <w:noWrap/>
            <w:vAlign w:val="center"/>
            <w:hideMark/>
          </w:tcPr>
          <w:p w14:paraId="7C813710" w14:textId="77777777" w:rsidR="00BC5219" w:rsidRPr="008A2B8F" w:rsidRDefault="00BC5219" w:rsidP="00E83802">
            <w:pPr>
              <w:rPr>
                <w:rFonts w:ascii="Meta Pro" w:eastAsia="Times New Roman" w:hAnsi="Meta Pro" w:cs="Times New Roman"/>
                <w:sz w:val="20"/>
                <w:szCs w:val="20"/>
                <w:lang w:eastAsia="en-AU"/>
              </w:rPr>
            </w:pPr>
          </w:p>
        </w:tc>
        <w:tc>
          <w:tcPr>
            <w:tcW w:w="1021" w:type="dxa"/>
            <w:tcBorders>
              <w:top w:val="nil"/>
              <w:left w:val="nil"/>
              <w:bottom w:val="nil"/>
              <w:right w:val="nil"/>
            </w:tcBorders>
            <w:shd w:val="clear" w:color="auto" w:fill="auto"/>
            <w:noWrap/>
            <w:vAlign w:val="center"/>
            <w:hideMark/>
          </w:tcPr>
          <w:p w14:paraId="042A6C68" w14:textId="77777777" w:rsidR="00BC5219" w:rsidRPr="008A2B8F" w:rsidRDefault="00BC5219" w:rsidP="00E83802">
            <w:pPr>
              <w:rPr>
                <w:rFonts w:ascii="Meta Pro" w:eastAsia="Times New Roman" w:hAnsi="Meta Pro"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6A8D948A" w14:textId="77777777" w:rsidR="00BC5219" w:rsidRPr="008A2B8F"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auto" w:fill="auto"/>
            <w:noWrap/>
            <w:vAlign w:val="center"/>
            <w:hideMark/>
          </w:tcPr>
          <w:p w14:paraId="54886C44" w14:textId="77777777" w:rsidR="00BC5219" w:rsidRPr="008A2B8F" w:rsidRDefault="00BC5219" w:rsidP="00E83802">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10AE4965" w14:textId="77777777" w:rsidR="00BC5219" w:rsidRPr="008A2B8F" w:rsidRDefault="00BC5219" w:rsidP="00E83802">
            <w:pP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auto" w:fill="auto"/>
            <w:noWrap/>
            <w:vAlign w:val="center"/>
            <w:hideMark/>
          </w:tcPr>
          <w:p w14:paraId="09424F42" w14:textId="77777777" w:rsidR="00BC5219" w:rsidRPr="008A2B8F" w:rsidRDefault="00BC5219" w:rsidP="00E83802">
            <w:pPr>
              <w:rPr>
                <w:rFonts w:ascii="Meta Pro" w:eastAsia="Times New Roman" w:hAnsi="Meta Pro" w:cs="Times New Roman"/>
                <w:sz w:val="20"/>
                <w:szCs w:val="20"/>
                <w:lang w:eastAsia="en-AU"/>
              </w:rPr>
            </w:pPr>
          </w:p>
        </w:tc>
      </w:tr>
      <w:tr w:rsidR="00BC5219" w:rsidRPr="008A2B8F" w14:paraId="0CDFD030" w14:textId="77777777" w:rsidTr="00E83802">
        <w:trPr>
          <w:trHeight w:val="198"/>
        </w:trPr>
        <w:tc>
          <w:tcPr>
            <w:tcW w:w="4990" w:type="dxa"/>
            <w:gridSpan w:val="2"/>
            <w:tcBorders>
              <w:top w:val="nil"/>
              <w:left w:val="nil"/>
              <w:bottom w:val="nil"/>
              <w:right w:val="nil"/>
            </w:tcBorders>
            <w:shd w:val="clear" w:color="auto" w:fill="auto"/>
            <w:vAlign w:val="center"/>
            <w:hideMark/>
          </w:tcPr>
          <w:p w14:paraId="76961C04"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xml:space="preserve">Opening balance </w:t>
            </w:r>
          </w:p>
        </w:tc>
        <w:tc>
          <w:tcPr>
            <w:tcW w:w="1021" w:type="dxa"/>
            <w:tcBorders>
              <w:top w:val="nil"/>
              <w:left w:val="nil"/>
              <w:bottom w:val="nil"/>
              <w:right w:val="nil"/>
            </w:tcBorders>
            <w:shd w:val="clear" w:color="auto" w:fill="auto"/>
            <w:noWrap/>
            <w:vAlign w:val="center"/>
            <w:hideMark/>
          </w:tcPr>
          <w:p w14:paraId="77BDCB32" w14:textId="77777777" w:rsidR="00BC5219" w:rsidRPr="008A2B8F" w:rsidRDefault="00BC5219" w:rsidP="00E83802">
            <w:pPr>
              <w:rPr>
                <w:rFonts w:ascii="Meta Pro" w:eastAsia="Times New Roman" w:hAnsi="Meta Pro"/>
                <w:szCs w:val="18"/>
                <w:lang w:eastAsia="en-AU"/>
              </w:rPr>
            </w:pPr>
          </w:p>
        </w:tc>
        <w:tc>
          <w:tcPr>
            <w:tcW w:w="215" w:type="dxa"/>
            <w:tcBorders>
              <w:top w:val="nil"/>
              <w:left w:val="nil"/>
              <w:bottom w:val="nil"/>
              <w:right w:val="nil"/>
            </w:tcBorders>
            <w:shd w:val="clear" w:color="auto" w:fill="auto"/>
            <w:noWrap/>
            <w:vAlign w:val="center"/>
            <w:hideMark/>
          </w:tcPr>
          <w:p w14:paraId="47294635" w14:textId="77777777" w:rsidR="00BC5219" w:rsidRPr="008A2B8F"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157741A3"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1,292,231 </w:t>
            </w:r>
          </w:p>
        </w:tc>
        <w:tc>
          <w:tcPr>
            <w:tcW w:w="216" w:type="dxa"/>
            <w:tcBorders>
              <w:top w:val="nil"/>
              <w:left w:val="nil"/>
              <w:bottom w:val="nil"/>
              <w:right w:val="nil"/>
            </w:tcBorders>
            <w:shd w:val="clear" w:color="auto" w:fill="auto"/>
            <w:noWrap/>
            <w:vAlign w:val="center"/>
            <w:hideMark/>
          </w:tcPr>
          <w:p w14:paraId="1B1DD0A6" w14:textId="77777777" w:rsidR="00BC5219" w:rsidRPr="008A2B8F" w:rsidRDefault="00BC5219" w:rsidP="00E83802">
            <w:pPr>
              <w:jc w:val="right"/>
              <w:rPr>
                <w:rFonts w:ascii="Meta Pro" w:eastAsia="Times New Roman" w:hAnsi="Meta Pro"/>
                <w:szCs w:val="18"/>
                <w:lang w:eastAsia="en-AU"/>
              </w:rPr>
            </w:pPr>
          </w:p>
        </w:tc>
        <w:tc>
          <w:tcPr>
            <w:tcW w:w="1514" w:type="dxa"/>
            <w:tcBorders>
              <w:top w:val="nil"/>
              <w:left w:val="nil"/>
              <w:bottom w:val="nil"/>
              <w:right w:val="nil"/>
            </w:tcBorders>
            <w:shd w:val="clear" w:color="auto" w:fill="auto"/>
            <w:noWrap/>
            <w:vAlign w:val="center"/>
            <w:hideMark/>
          </w:tcPr>
          <w:p w14:paraId="61DA4040"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1,252,383 </w:t>
            </w:r>
          </w:p>
        </w:tc>
      </w:tr>
      <w:tr w:rsidR="00BC5219" w:rsidRPr="008A2B8F" w14:paraId="201E782F" w14:textId="77777777" w:rsidTr="00E83802">
        <w:trPr>
          <w:trHeight w:val="198"/>
        </w:trPr>
        <w:tc>
          <w:tcPr>
            <w:tcW w:w="215" w:type="dxa"/>
            <w:tcBorders>
              <w:top w:val="nil"/>
              <w:left w:val="nil"/>
              <w:bottom w:val="nil"/>
              <w:right w:val="nil"/>
            </w:tcBorders>
            <w:shd w:val="clear" w:color="auto" w:fill="auto"/>
            <w:vAlign w:val="center"/>
            <w:hideMark/>
          </w:tcPr>
          <w:p w14:paraId="01427B5C" w14:textId="77777777" w:rsidR="00BC5219" w:rsidRPr="008A2B8F" w:rsidRDefault="00BC5219" w:rsidP="00E83802">
            <w:pPr>
              <w:jc w:val="right"/>
              <w:rPr>
                <w:rFonts w:ascii="Meta Pro" w:eastAsia="Times New Roman" w:hAnsi="Meta Pro"/>
                <w:szCs w:val="18"/>
                <w:lang w:eastAsia="en-AU"/>
              </w:rPr>
            </w:pPr>
          </w:p>
        </w:tc>
        <w:tc>
          <w:tcPr>
            <w:tcW w:w="4990" w:type="dxa"/>
            <w:tcBorders>
              <w:top w:val="nil"/>
              <w:left w:val="nil"/>
              <w:bottom w:val="nil"/>
              <w:right w:val="nil"/>
            </w:tcBorders>
            <w:shd w:val="clear" w:color="auto" w:fill="auto"/>
            <w:vAlign w:val="center"/>
            <w:hideMark/>
          </w:tcPr>
          <w:p w14:paraId="6E833B8E" w14:textId="77777777" w:rsidR="00BC5219" w:rsidRPr="008A2B8F" w:rsidRDefault="00BC5219" w:rsidP="00E83802">
            <w:pPr>
              <w:rPr>
                <w:rFonts w:ascii="Meta Pro" w:eastAsia="Times New Roman" w:hAnsi="Meta Pro" w:cs="Times New Roman"/>
                <w:sz w:val="20"/>
                <w:szCs w:val="20"/>
                <w:lang w:eastAsia="en-AU"/>
              </w:rPr>
            </w:pPr>
          </w:p>
        </w:tc>
        <w:tc>
          <w:tcPr>
            <w:tcW w:w="1021" w:type="dxa"/>
            <w:tcBorders>
              <w:top w:val="nil"/>
              <w:left w:val="nil"/>
              <w:bottom w:val="nil"/>
              <w:right w:val="nil"/>
            </w:tcBorders>
            <w:shd w:val="clear" w:color="auto" w:fill="auto"/>
            <w:noWrap/>
            <w:vAlign w:val="center"/>
            <w:hideMark/>
          </w:tcPr>
          <w:p w14:paraId="3B90AD33" w14:textId="77777777" w:rsidR="00BC5219" w:rsidRPr="008A2B8F" w:rsidRDefault="00BC5219" w:rsidP="00E83802">
            <w:pPr>
              <w:rPr>
                <w:rFonts w:ascii="Meta Pro" w:eastAsia="Times New Roman" w:hAnsi="Meta Pro"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38515139" w14:textId="77777777" w:rsidR="00BC5219" w:rsidRPr="008A2B8F"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22A5CD6D"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w:t>
            </w:r>
          </w:p>
        </w:tc>
        <w:tc>
          <w:tcPr>
            <w:tcW w:w="216" w:type="dxa"/>
            <w:tcBorders>
              <w:top w:val="nil"/>
              <w:left w:val="nil"/>
              <w:bottom w:val="nil"/>
              <w:right w:val="nil"/>
            </w:tcBorders>
            <w:shd w:val="clear" w:color="auto" w:fill="auto"/>
            <w:noWrap/>
            <w:vAlign w:val="center"/>
            <w:hideMark/>
          </w:tcPr>
          <w:p w14:paraId="4DC6A0A5" w14:textId="77777777" w:rsidR="00BC5219" w:rsidRPr="008A2B8F" w:rsidRDefault="00BC5219" w:rsidP="00E83802">
            <w:pPr>
              <w:jc w:val="right"/>
              <w:rPr>
                <w:rFonts w:ascii="Meta Pro" w:eastAsia="Times New Roman" w:hAnsi="Meta Pro"/>
                <w:szCs w:val="18"/>
                <w:lang w:eastAsia="en-AU"/>
              </w:rPr>
            </w:pPr>
          </w:p>
        </w:tc>
        <w:tc>
          <w:tcPr>
            <w:tcW w:w="1514" w:type="dxa"/>
            <w:tcBorders>
              <w:top w:val="nil"/>
              <w:left w:val="nil"/>
              <w:bottom w:val="nil"/>
              <w:right w:val="nil"/>
            </w:tcBorders>
            <w:shd w:val="clear" w:color="auto" w:fill="auto"/>
            <w:noWrap/>
            <w:vAlign w:val="center"/>
            <w:hideMark/>
          </w:tcPr>
          <w:p w14:paraId="580DAFCF" w14:textId="77777777" w:rsidR="00BC5219" w:rsidRPr="008A2B8F" w:rsidRDefault="00BC5219" w:rsidP="00E83802">
            <w:pPr>
              <w:rPr>
                <w:rFonts w:ascii="Meta Pro" w:eastAsia="Times New Roman" w:hAnsi="Meta Pro" w:cs="Times New Roman"/>
                <w:sz w:val="20"/>
                <w:szCs w:val="20"/>
                <w:lang w:eastAsia="en-AU"/>
              </w:rPr>
            </w:pPr>
          </w:p>
        </w:tc>
      </w:tr>
      <w:tr w:rsidR="00BC5219" w:rsidRPr="008A2B8F" w14:paraId="0BA601ED" w14:textId="77777777" w:rsidTr="00E83802">
        <w:trPr>
          <w:trHeight w:val="198"/>
        </w:trPr>
        <w:tc>
          <w:tcPr>
            <w:tcW w:w="4990" w:type="dxa"/>
            <w:gridSpan w:val="2"/>
            <w:tcBorders>
              <w:top w:val="nil"/>
              <w:left w:val="nil"/>
              <w:bottom w:val="nil"/>
              <w:right w:val="nil"/>
            </w:tcBorders>
            <w:shd w:val="clear" w:color="auto" w:fill="auto"/>
            <w:noWrap/>
            <w:vAlign w:val="center"/>
            <w:hideMark/>
          </w:tcPr>
          <w:p w14:paraId="4BF570B3"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xml:space="preserve">New borrowings – service concession arrangements </w:t>
            </w:r>
          </w:p>
        </w:tc>
        <w:tc>
          <w:tcPr>
            <w:tcW w:w="1021" w:type="dxa"/>
            <w:tcBorders>
              <w:top w:val="nil"/>
              <w:left w:val="nil"/>
              <w:bottom w:val="nil"/>
              <w:right w:val="nil"/>
            </w:tcBorders>
            <w:shd w:val="clear" w:color="auto" w:fill="auto"/>
            <w:noWrap/>
            <w:vAlign w:val="center"/>
            <w:hideMark/>
          </w:tcPr>
          <w:p w14:paraId="21F163C3" w14:textId="77777777" w:rsidR="00BC5219" w:rsidRPr="008A2B8F" w:rsidRDefault="00BC5219" w:rsidP="00E83802">
            <w:pPr>
              <w:rPr>
                <w:rFonts w:ascii="Meta Pro" w:eastAsia="Times New Roman" w:hAnsi="Meta Pro"/>
                <w:szCs w:val="18"/>
                <w:lang w:eastAsia="en-AU"/>
              </w:rPr>
            </w:pPr>
          </w:p>
        </w:tc>
        <w:tc>
          <w:tcPr>
            <w:tcW w:w="215" w:type="dxa"/>
            <w:tcBorders>
              <w:top w:val="nil"/>
              <w:left w:val="nil"/>
              <w:bottom w:val="nil"/>
              <w:right w:val="nil"/>
            </w:tcBorders>
            <w:shd w:val="clear" w:color="auto" w:fill="auto"/>
            <w:noWrap/>
            <w:vAlign w:val="center"/>
            <w:hideMark/>
          </w:tcPr>
          <w:p w14:paraId="448CF66C" w14:textId="77777777" w:rsidR="00BC5219" w:rsidRPr="008A2B8F"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6ED66B1E"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91,288 </w:t>
            </w:r>
          </w:p>
        </w:tc>
        <w:tc>
          <w:tcPr>
            <w:tcW w:w="216" w:type="dxa"/>
            <w:tcBorders>
              <w:top w:val="nil"/>
              <w:left w:val="nil"/>
              <w:bottom w:val="nil"/>
              <w:right w:val="nil"/>
            </w:tcBorders>
            <w:shd w:val="clear" w:color="auto" w:fill="auto"/>
            <w:noWrap/>
            <w:vAlign w:val="center"/>
            <w:hideMark/>
          </w:tcPr>
          <w:p w14:paraId="32D84E97" w14:textId="77777777" w:rsidR="00BC5219" w:rsidRPr="008A2B8F" w:rsidRDefault="00BC5219" w:rsidP="00E83802">
            <w:pPr>
              <w:jc w:val="right"/>
              <w:rPr>
                <w:rFonts w:ascii="Meta Pro" w:eastAsia="Times New Roman" w:hAnsi="Meta Pro"/>
                <w:szCs w:val="18"/>
                <w:lang w:eastAsia="en-AU"/>
              </w:rPr>
            </w:pPr>
          </w:p>
        </w:tc>
        <w:tc>
          <w:tcPr>
            <w:tcW w:w="1514" w:type="dxa"/>
            <w:tcBorders>
              <w:top w:val="nil"/>
              <w:left w:val="nil"/>
              <w:bottom w:val="nil"/>
              <w:right w:val="nil"/>
            </w:tcBorders>
            <w:shd w:val="clear" w:color="auto" w:fill="auto"/>
            <w:noWrap/>
            <w:vAlign w:val="center"/>
            <w:hideMark/>
          </w:tcPr>
          <w:p w14:paraId="2F4BD7E4"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75,593 </w:t>
            </w:r>
          </w:p>
        </w:tc>
      </w:tr>
      <w:tr w:rsidR="00BC5219" w:rsidRPr="008A2B8F" w14:paraId="638760F6" w14:textId="77777777" w:rsidTr="00E83802">
        <w:trPr>
          <w:trHeight w:val="198"/>
        </w:trPr>
        <w:tc>
          <w:tcPr>
            <w:tcW w:w="4990" w:type="dxa"/>
            <w:gridSpan w:val="2"/>
            <w:tcBorders>
              <w:top w:val="nil"/>
              <w:left w:val="nil"/>
              <w:bottom w:val="nil"/>
              <w:right w:val="nil"/>
            </w:tcBorders>
            <w:shd w:val="clear" w:color="auto" w:fill="auto"/>
            <w:noWrap/>
            <w:vAlign w:val="center"/>
            <w:hideMark/>
          </w:tcPr>
          <w:p w14:paraId="7AA48822"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Accrued repayments</w:t>
            </w:r>
          </w:p>
        </w:tc>
        <w:tc>
          <w:tcPr>
            <w:tcW w:w="1021" w:type="dxa"/>
            <w:tcBorders>
              <w:top w:val="nil"/>
              <w:left w:val="nil"/>
              <w:bottom w:val="nil"/>
              <w:right w:val="nil"/>
            </w:tcBorders>
            <w:shd w:val="clear" w:color="auto" w:fill="auto"/>
            <w:noWrap/>
            <w:vAlign w:val="center"/>
            <w:hideMark/>
          </w:tcPr>
          <w:p w14:paraId="1507728C" w14:textId="77777777" w:rsidR="00BC5219" w:rsidRPr="008A2B8F" w:rsidRDefault="00BC5219" w:rsidP="00E83802">
            <w:pPr>
              <w:rPr>
                <w:rFonts w:ascii="Meta Pro" w:eastAsia="Times New Roman" w:hAnsi="Meta Pro"/>
                <w:szCs w:val="18"/>
                <w:lang w:eastAsia="en-AU"/>
              </w:rPr>
            </w:pPr>
          </w:p>
        </w:tc>
        <w:tc>
          <w:tcPr>
            <w:tcW w:w="215" w:type="dxa"/>
            <w:tcBorders>
              <w:top w:val="nil"/>
              <w:left w:val="nil"/>
              <w:bottom w:val="nil"/>
              <w:right w:val="nil"/>
            </w:tcBorders>
            <w:shd w:val="clear" w:color="auto" w:fill="auto"/>
            <w:noWrap/>
            <w:vAlign w:val="center"/>
            <w:hideMark/>
          </w:tcPr>
          <w:p w14:paraId="59C21171" w14:textId="77777777" w:rsidR="00BC5219" w:rsidRPr="008A2B8F"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0523F8D1"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(274)</w:t>
            </w:r>
          </w:p>
        </w:tc>
        <w:tc>
          <w:tcPr>
            <w:tcW w:w="216" w:type="dxa"/>
            <w:tcBorders>
              <w:top w:val="nil"/>
              <w:left w:val="nil"/>
              <w:bottom w:val="nil"/>
              <w:right w:val="nil"/>
            </w:tcBorders>
            <w:shd w:val="clear" w:color="auto" w:fill="auto"/>
            <w:noWrap/>
            <w:vAlign w:val="center"/>
            <w:hideMark/>
          </w:tcPr>
          <w:p w14:paraId="500D1875" w14:textId="77777777" w:rsidR="00BC5219" w:rsidRPr="008A2B8F" w:rsidRDefault="00BC5219" w:rsidP="00E83802">
            <w:pPr>
              <w:jc w:val="right"/>
              <w:rPr>
                <w:rFonts w:ascii="Meta Pro" w:eastAsia="Times New Roman" w:hAnsi="Meta Pro"/>
                <w:szCs w:val="18"/>
                <w:lang w:eastAsia="en-AU"/>
              </w:rPr>
            </w:pPr>
          </w:p>
        </w:tc>
        <w:tc>
          <w:tcPr>
            <w:tcW w:w="1514" w:type="dxa"/>
            <w:tcBorders>
              <w:top w:val="nil"/>
              <w:left w:val="nil"/>
              <w:bottom w:val="nil"/>
              <w:right w:val="nil"/>
            </w:tcBorders>
            <w:shd w:val="clear" w:color="auto" w:fill="auto"/>
            <w:noWrap/>
            <w:vAlign w:val="center"/>
            <w:hideMark/>
          </w:tcPr>
          <w:p w14:paraId="217012A1"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(255)</w:t>
            </w:r>
          </w:p>
        </w:tc>
      </w:tr>
      <w:tr w:rsidR="00BC5219" w:rsidRPr="008A2B8F" w14:paraId="0EFD2098" w14:textId="77777777" w:rsidTr="00E83802">
        <w:trPr>
          <w:trHeight w:val="198"/>
        </w:trPr>
        <w:tc>
          <w:tcPr>
            <w:tcW w:w="4990" w:type="dxa"/>
            <w:gridSpan w:val="2"/>
            <w:tcBorders>
              <w:top w:val="nil"/>
              <w:left w:val="nil"/>
              <w:bottom w:val="single" w:sz="4" w:space="0" w:color="auto"/>
              <w:right w:val="nil"/>
            </w:tcBorders>
            <w:shd w:val="clear" w:color="auto" w:fill="auto"/>
            <w:noWrap/>
            <w:vAlign w:val="center"/>
            <w:hideMark/>
          </w:tcPr>
          <w:p w14:paraId="5B9F993A"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Remeasurement of liability</w:t>
            </w:r>
          </w:p>
        </w:tc>
        <w:tc>
          <w:tcPr>
            <w:tcW w:w="1021" w:type="dxa"/>
            <w:tcBorders>
              <w:top w:val="nil"/>
              <w:left w:val="nil"/>
              <w:bottom w:val="single" w:sz="4" w:space="0" w:color="auto"/>
              <w:right w:val="nil"/>
            </w:tcBorders>
            <w:shd w:val="clear" w:color="auto" w:fill="auto"/>
            <w:noWrap/>
            <w:vAlign w:val="center"/>
            <w:hideMark/>
          </w:tcPr>
          <w:p w14:paraId="14C63A70" w14:textId="77777777" w:rsidR="00BC5219" w:rsidRPr="008A2B8F" w:rsidRDefault="00BC5219" w:rsidP="00E83802">
            <w:pPr>
              <w:jc w:val="center"/>
              <w:rPr>
                <w:rFonts w:ascii="Meta Pro" w:eastAsia="Times New Roman" w:hAnsi="Meta Pro"/>
                <w:color w:val="000000"/>
                <w:sz w:val="20"/>
                <w:szCs w:val="20"/>
                <w:lang w:eastAsia="en-AU"/>
              </w:rPr>
            </w:pPr>
            <w:r w:rsidRPr="008A2B8F">
              <w:rPr>
                <w:rFonts w:ascii="Meta Pro" w:eastAsia="Times New Roman" w:hAnsi="Meta Pro"/>
                <w:color w:val="000000"/>
                <w:sz w:val="20"/>
                <w:szCs w:val="20"/>
                <w:lang w:eastAsia="en-AU"/>
              </w:rPr>
              <w:t> </w:t>
            </w:r>
          </w:p>
        </w:tc>
        <w:tc>
          <w:tcPr>
            <w:tcW w:w="215" w:type="dxa"/>
            <w:tcBorders>
              <w:top w:val="nil"/>
              <w:left w:val="nil"/>
              <w:bottom w:val="single" w:sz="4" w:space="0" w:color="auto"/>
              <w:right w:val="nil"/>
            </w:tcBorders>
            <w:shd w:val="clear" w:color="auto" w:fill="auto"/>
            <w:noWrap/>
            <w:vAlign w:val="center"/>
            <w:hideMark/>
          </w:tcPr>
          <w:p w14:paraId="13BC918A" w14:textId="77777777" w:rsidR="00BC5219" w:rsidRPr="008A2B8F" w:rsidRDefault="00BC5219" w:rsidP="00E83802">
            <w:pPr>
              <w:rPr>
                <w:rFonts w:ascii="Meta Pro" w:eastAsia="Times New Roman" w:hAnsi="Meta Pro"/>
                <w:color w:val="000000"/>
                <w:sz w:val="20"/>
                <w:szCs w:val="20"/>
                <w:lang w:eastAsia="en-AU"/>
              </w:rPr>
            </w:pPr>
            <w:r w:rsidRPr="008A2B8F">
              <w:rPr>
                <w:rFonts w:ascii="Meta Pro" w:eastAsia="Times New Roman" w:hAnsi="Meta Pro"/>
                <w:color w:val="000000"/>
                <w:sz w:val="20"/>
                <w:szCs w:val="20"/>
                <w:lang w:eastAsia="en-AU"/>
              </w:rPr>
              <w:t> </w:t>
            </w:r>
          </w:p>
        </w:tc>
        <w:tc>
          <w:tcPr>
            <w:tcW w:w="1514" w:type="dxa"/>
            <w:tcBorders>
              <w:top w:val="nil"/>
              <w:left w:val="nil"/>
              <w:bottom w:val="single" w:sz="4" w:space="0" w:color="auto"/>
              <w:right w:val="nil"/>
            </w:tcBorders>
            <w:shd w:val="clear" w:color="000000" w:fill="C9E3B4"/>
            <w:noWrap/>
            <w:vAlign w:val="center"/>
            <w:hideMark/>
          </w:tcPr>
          <w:p w14:paraId="44280D1C"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3,490 </w:t>
            </w:r>
          </w:p>
        </w:tc>
        <w:tc>
          <w:tcPr>
            <w:tcW w:w="216" w:type="dxa"/>
            <w:tcBorders>
              <w:top w:val="nil"/>
              <w:left w:val="nil"/>
              <w:bottom w:val="single" w:sz="4" w:space="0" w:color="auto"/>
              <w:right w:val="nil"/>
            </w:tcBorders>
            <w:shd w:val="clear" w:color="auto" w:fill="auto"/>
            <w:noWrap/>
            <w:vAlign w:val="center"/>
            <w:hideMark/>
          </w:tcPr>
          <w:p w14:paraId="4F8BCAEE" w14:textId="77777777" w:rsidR="00BC5219" w:rsidRPr="008A2B8F" w:rsidRDefault="00BC5219" w:rsidP="00E83802">
            <w:pPr>
              <w:rPr>
                <w:rFonts w:ascii="Meta Pro" w:eastAsia="Times New Roman" w:hAnsi="Meta Pro"/>
                <w:color w:val="000000"/>
                <w:sz w:val="20"/>
                <w:szCs w:val="20"/>
                <w:lang w:eastAsia="en-AU"/>
              </w:rPr>
            </w:pPr>
            <w:r w:rsidRPr="008A2B8F">
              <w:rPr>
                <w:rFonts w:ascii="Meta Pro" w:eastAsia="Times New Roman" w:hAnsi="Meta Pro"/>
                <w:color w:val="000000"/>
                <w:sz w:val="20"/>
                <w:szCs w:val="20"/>
                <w:lang w:eastAsia="en-AU"/>
              </w:rPr>
              <w:t> </w:t>
            </w:r>
          </w:p>
        </w:tc>
        <w:tc>
          <w:tcPr>
            <w:tcW w:w="1514" w:type="dxa"/>
            <w:tcBorders>
              <w:top w:val="nil"/>
              <w:left w:val="nil"/>
              <w:bottom w:val="single" w:sz="4" w:space="0" w:color="auto"/>
              <w:right w:val="nil"/>
            </w:tcBorders>
            <w:shd w:val="clear" w:color="auto" w:fill="auto"/>
            <w:noWrap/>
            <w:vAlign w:val="center"/>
            <w:hideMark/>
          </w:tcPr>
          <w:p w14:paraId="40F4EB8C"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774 </w:t>
            </w:r>
          </w:p>
        </w:tc>
      </w:tr>
      <w:tr w:rsidR="00BC5219" w:rsidRPr="008A2B8F" w14:paraId="778C68B2" w14:textId="77777777" w:rsidTr="00E83802">
        <w:trPr>
          <w:trHeight w:val="198"/>
        </w:trPr>
        <w:tc>
          <w:tcPr>
            <w:tcW w:w="4990" w:type="dxa"/>
            <w:gridSpan w:val="2"/>
            <w:tcBorders>
              <w:top w:val="nil"/>
              <w:left w:val="nil"/>
              <w:bottom w:val="nil"/>
              <w:right w:val="nil"/>
            </w:tcBorders>
            <w:shd w:val="clear" w:color="auto" w:fill="auto"/>
            <w:noWrap/>
            <w:vAlign w:val="center"/>
            <w:hideMark/>
          </w:tcPr>
          <w:p w14:paraId="1FD82CAE"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Non-cash changes</w:t>
            </w:r>
          </w:p>
        </w:tc>
        <w:tc>
          <w:tcPr>
            <w:tcW w:w="1021" w:type="dxa"/>
            <w:tcBorders>
              <w:top w:val="nil"/>
              <w:left w:val="nil"/>
              <w:bottom w:val="nil"/>
              <w:right w:val="nil"/>
            </w:tcBorders>
            <w:shd w:val="clear" w:color="auto" w:fill="auto"/>
            <w:noWrap/>
            <w:vAlign w:val="center"/>
            <w:hideMark/>
          </w:tcPr>
          <w:p w14:paraId="4336D14C" w14:textId="77777777" w:rsidR="00BC5219" w:rsidRPr="008A2B8F" w:rsidRDefault="00BC5219" w:rsidP="00E83802">
            <w:pPr>
              <w:rPr>
                <w:rFonts w:ascii="Meta Pro" w:eastAsia="Times New Roman" w:hAnsi="Meta Pro"/>
                <w:szCs w:val="18"/>
                <w:lang w:eastAsia="en-AU"/>
              </w:rPr>
            </w:pPr>
          </w:p>
        </w:tc>
        <w:tc>
          <w:tcPr>
            <w:tcW w:w="215" w:type="dxa"/>
            <w:tcBorders>
              <w:top w:val="nil"/>
              <w:left w:val="nil"/>
              <w:bottom w:val="nil"/>
              <w:right w:val="nil"/>
            </w:tcBorders>
            <w:shd w:val="clear" w:color="auto" w:fill="auto"/>
            <w:noWrap/>
            <w:vAlign w:val="center"/>
            <w:hideMark/>
          </w:tcPr>
          <w:p w14:paraId="29083264" w14:textId="77777777" w:rsidR="00BC5219" w:rsidRPr="008A2B8F"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3A8201BE"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94,504 </w:t>
            </w:r>
          </w:p>
        </w:tc>
        <w:tc>
          <w:tcPr>
            <w:tcW w:w="216" w:type="dxa"/>
            <w:tcBorders>
              <w:top w:val="nil"/>
              <w:left w:val="nil"/>
              <w:bottom w:val="nil"/>
              <w:right w:val="nil"/>
            </w:tcBorders>
            <w:shd w:val="clear" w:color="auto" w:fill="auto"/>
            <w:noWrap/>
            <w:vAlign w:val="center"/>
            <w:hideMark/>
          </w:tcPr>
          <w:p w14:paraId="2889A094" w14:textId="77777777" w:rsidR="00BC5219" w:rsidRPr="008A2B8F" w:rsidRDefault="00BC5219" w:rsidP="00E83802">
            <w:pPr>
              <w:jc w:val="right"/>
              <w:rPr>
                <w:rFonts w:ascii="Meta Pro" w:eastAsia="Times New Roman" w:hAnsi="Meta Pro"/>
                <w:szCs w:val="18"/>
                <w:lang w:eastAsia="en-AU"/>
              </w:rPr>
            </w:pPr>
          </w:p>
        </w:tc>
        <w:tc>
          <w:tcPr>
            <w:tcW w:w="1514" w:type="dxa"/>
            <w:tcBorders>
              <w:top w:val="nil"/>
              <w:left w:val="nil"/>
              <w:bottom w:val="nil"/>
              <w:right w:val="nil"/>
            </w:tcBorders>
            <w:shd w:val="clear" w:color="auto" w:fill="auto"/>
            <w:noWrap/>
            <w:vAlign w:val="center"/>
            <w:hideMark/>
          </w:tcPr>
          <w:p w14:paraId="42E21D57"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76,112 </w:t>
            </w:r>
          </w:p>
        </w:tc>
      </w:tr>
      <w:tr w:rsidR="00BC5219" w:rsidRPr="008A2B8F" w14:paraId="68E6453E" w14:textId="77777777" w:rsidTr="00E83802">
        <w:trPr>
          <w:trHeight w:val="198"/>
        </w:trPr>
        <w:tc>
          <w:tcPr>
            <w:tcW w:w="215" w:type="dxa"/>
            <w:tcBorders>
              <w:top w:val="nil"/>
              <w:left w:val="nil"/>
              <w:bottom w:val="nil"/>
              <w:right w:val="nil"/>
            </w:tcBorders>
            <w:shd w:val="clear" w:color="auto" w:fill="auto"/>
            <w:noWrap/>
            <w:vAlign w:val="center"/>
            <w:hideMark/>
          </w:tcPr>
          <w:p w14:paraId="6099698D" w14:textId="77777777" w:rsidR="00BC5219" w:rsidRPr="008A2B8F" w:rsidRDefault="00BC5219" w:rsidP="00E83802">
            <w:pPr>
              <w:jc w:val="right"/>
              <w:rPr>
                <w:rFonts w:ascii="Meta Pro" w:eastAsia="Times New Roman" w:hAnsi="Meta Pro"/>
                <w:szCs w:val="18"/>
                <w:lang w:eastAsia="en-AU"/>
              </w:rPr>
            </w:pPr>
          </w:p>
        </w:tc>
        <w:tc>
          <w:tcPr>
            <w:tcW w:w="4990" w:type="dxa"/>
            <w:tcBorders>
              <w:top w:val="nil"/>
              <w:left w:val="nil"/>
              <w:bottom w:val="nil"/>
              <w:right w:val="nil"/>
            </w:tcBorders>
            <w:shd w:val="clear" w:color="auto" w:fill="auto"/>
            <w:noWrap/>
            <w:vAlign w:val="center"/>
            <w:hideMark/>
          </w:tcPr>
          <w:p w14:paraId="78732DD8" w14:textId="77777777" w:rsidR="00BC5219" w:rsidRPr="008A2B8F" w:rsidRDefault="00BC5219" w:rsidP="00E83802">
            <w:pPr>
              <w:rPr>
                <w:rFonts w:ascii="Meta Pro" w:eastAsia="Times New Roman" w:hAnsi="Meta Pro" w:cs="Times New Roman"/>
                <w:sz w:val="20"/>
                <w:szCs w:val="20"/>
                <w:lang w:eastAsia="en-AU"/>
              </w:rPr>
            </w:pPr>
          </w:p>
        </w:tc>
        <w:tc>
          <w:tcPr>
            <w:tcW w:w="1021" w:type="dxa"/>
            <w:tcBorders>
              <w:top w:val="nil"/>
              <w:left w:val="nil"/>
              <w:bottom w:val="nil"/>
              <w:right w:val="nil"/>
            </w:tcBorders>
            <w:shd w:val="clear" w:color="auto" w:fill="auto"/>
            <w:noWrap/>
            <w:vAlign w:val="center"/>
            <w:hideMark/>
          </w:tcPr>
          <w:p w14:paraId="75B2BFAF" w14:textId="77777777" w:rsidR="00BC5219" w:rsidRPr="008A2B8F" w:rsidRDefault="00BC5219" w:rsidP="00E83802">
            <w:pPr>
              <w:rPr>
                <w:rFonts w:ascii="Meta Pro" w:eastAsia="Times New Roman" w:hAnsi="Meta Pro"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6570A577" w14:textId="77777777" w:rsidR="00BC5219" w:rsidRPr="008A2B8F"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2D88C10A"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w:t>
            </w:r>
          </w:p>
        </w:tc>
        <w:tc>
          <w:tcPr>
            <w:tcW w:w="216" w:type="dxa"/>
            <w:tcBorders>
              <w:top w:val="nil"/>
              <w:left w:val="nil"/>
              <w:bottom w:val="nil"/>
              <w:right w:val="nil"/>
            </w:tcBorders>
            <w:shd w:val="clear" w:color="auto" w:fill="auto"/>
            <w:noWrap/>
            <w:vAlign w:val="center"/>
            <w:hideMark/>
          </w:tcPr>
          <w:p w14:paraId="72626B4E" w14:textId="77777777" w:rsidR="00BC5219" w:rsidRPr="008A2B8F" w:rsidRDefault="00BC5219" w:rsidP="00E83802">
            <w:pPr>
              <w:jc w:val="right"/>
              <w:rPr>
                <w:rFonts w:ascii="Meta Pro" w:eastAsia="Times New Roman" w:hAnsi="Meta Pro"/>
                <w:szCs w:val="18"/>
                <w:lang w:eastAsia="en-AU"/>
              </w:rPr>
            </w:pPr>
          </w:p>
        </w:tc>
        <w:tc>
          <w:tcPr>
            <w:tcW w:w="1514" w:type="dxa"/>
            <w:tcBorders>
              <w:top w:val="nil"/>
              <w:left w:val="nil"/>
              <w:bottom w:val="nil"/>
              <w:right w:val="nil"/>
            </w:tcBorders>
            <w:shd w:val="clear" w:color="auto" w:fill="auto"/>
            <w:noWrap/>
            <w:vAlign w:val="center"/>
            <w:hideMark/>
          </w:tcPr>
          <w:p w14:paraId="44BB84E6" w14:textId="77777777" w:rsidR="00BC5219" w:rsidRPr="008A2B8F" w:rsidRDefault="00BC5219" w:rsidP="00E83802">
            <w:pPr>
              <w:rPr>
                <w:rFonts w:ascii="Meta Pro" w:eastAsia="Times New Roman" w:hAnsi="Meta Pro" w:cs="Times New Roman"/>
                <w:sz w:val="20"/>
                <w:szCs w:val="20"/>
                <w:lang w:eastAsia="en-AU"/>
              </w:rPr>
            </w:pPr>
          </w:p>
        </w:tc>
      </w:tr>
      <w:tr w:rsidR="00BC5219" w:rsidRPr="008A2B8F" w14:paraId="4D9EAFD8" w14:textId="77777777" w:rsidTr="00E83802">
        <w:trPr>
          <w:trHeight w:val="198"/>
        </w:trPr>
        <w:tc>
          <w:tcPr>
            <w:tcW w:w="4990" w:type="dxa"/>
            <w:gridSpan w:val="2"/>
            <w:tcBorders>
              <w:top w:val="nil"/>
              <w:left w:val="nil"/>
              <w:bottom w:val="nil"/>
              <w:right w:val="nil"/>
            </w:tcBorders>
            <w:shd w:val="clear" w:color="auto" w:fill="auto"/>
            <w:noWrap/>
            <w:vAlign w:val="center"/>
            <w:hideMark/>
          </w:tcPr>
          <w:p w14:paraId="64FB459F"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Cash repayments</w:t>
            </w:r>
          </w:p>
        </w:tc>
        <w:tc>
          <w:tcPr>
            <w:tcW w:w="1021" w:type="dxa"/>
            <w:tcBorders>
              <w:top w:val="nil"/>
              <w:left w:val="nil"/>
              <w:bottom w:val="nil"/>
              <w:right w:val="nil"/>
            </w:tcBorders>
            <w:shd w:val="clear" w:color="auto" w:fill="auto"/>
            <w:noWrap/>
            <w:vAlign w:val="center"/>
            <w:hideMark/>
          </w:tcPr>
          <w:p w14:paraId="16AAC665" w14:textId="77777777" w:rsidR="00BC5219" w:rsidRPr="008A2B8F" w:rsidRDefault="00BC5219" w:rsidP="00E83802">
            <w:pPr>
              <w:rPr>
                <w:rFonts w:ascii="Meta Pro" w:eastAsia="Times New Roman" w:hAnsi="Meta Pro"/>
                <w:szCs w:val="18"/>
                <w:lang w:eastAsia="en-AU"/>
              </w:rPr>
            </w:pPr>
          </w:p>
        </w:tc>
        <w:tc>
          <w:tcPr>
            <w:tcW w:w="215" w:type="dxa"/>
            <w:tcBorders>
              <w:top w:val="nil"/>
              <w:left w:val="nil"/>
              <w:bottom w:val="nil"/>
              <w:right w:val="nil"/>
            </w:tcBorders>
            <w:shd w:val="clear" w:color="auto" w:fill="auto"/>
            <w:noWrap/>
            <w:vAlign w:val="center"/>
            <w:hideMark/>
          </w:tcPr>
          <w:p w14:paraId="3089DE2B" w14:textId="77777777" w:rsidR="00BC5219" w:rsidRPr="008A2B8F" w:rsidRDefault="00BC5219" w:rsidP="00E83802">
            <w:pPr>
              <w:jc w:val="center"/>
              <w:rPr>
                <w:rFonts w:ascii="Meta Pro" w:eastAsia="Times New Roman" w:hAnsi="Meta Pro" w:cs="Times New Roman"/>
                <w:sz w:val="20"/>
                <w:szCs w:val="20"/>
                <w:lang w:eastAsia="en-AU"/>
              </w:rPr>
            </w:pPr>
          </w:p>
        </w:tc>
        <w:tc>
          <w:tcPr>
            <w:tcW w:w="1514" w:type="dxa"/>
            <w:tcBorders>
              <w:top w:val="nil"/>
              <w:left w:val="nil"/>
              <w:bottom w:val="nil"/>
              <w:right w:val="nil"/>
            </w:tcBorders>
            <w:shd w:val="clear" w:color="000000" w:fill="C9E3B4"/>
            <w:noWrap/>
            <w:vAlign w:val="center"/>
            <w:hideMark/>
          </w:tcPr>
          <w:p w14:paraId="341CEA6B"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(205,288)</w:t>
            </w:r>
          </w:p>
        </w:tc>
        <w:tc>
          <w:tcPr>
            <w:tcW w:w="216" w:type="dxa"/>
            <w:tcBorders>
              <w:top w:val="nil"/>
              <w:left w:val="nil"/>
              <w:bottom w:val="nil"/>
              <w:right w:val="nil"/>
            </w:tcBorders>
            <w:shd w:val="clear" w:color="auto" w:fill="auto"/>
            <w:noWrap/>
            <w:vAlign w:val="center"/>
            <w:hideMark/>
          </w:tcPr>
          <w:p w14:paraId="5459D9B2" w14:textId="77777777" w:rsidR="00BC5219" w:rsidRPr="008A2B8F" w:rsidRDefault="00BC5219" w:rsidP="00E83802">
            <w:pPr>
              <w:jc w:val="right"/>
              <w:rPr>
                <w:rFonts w:ascii="Meta Pro" w:eastAsia="Times New Roman" w:hAnsi="Meta Pro"/>
                <w:szCs w:val="18"/>
                <w:lang w:eastAsia="en-AU"/>
              </w:rPr>
            </w:pPr>
          </w:p>
        </w:tc>
        <w:tc>
          <w:tcPr>
            <w:tcW w:w="1514" w:type="dxa"/>
            <w:tcBorders>
              <w:top w:val="nil"/>
              <w:left w:val="nil"/>
              <w:bottom w:val="nil"/>
              <w:right w:val="nil"/>
            </w:tcBorders>
            <w:shd w:val="clear" w:color="auto" w:fill="auto"/>
            <w:noWrap/>
            <w:vAlign w:val="center"/>
            <w:hideMark/>
          </w:tcPr>
          <w:p w14:paraId="16015ECE"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(36,264)</w:t>
            </w:r>
          </w:p>
        </w:tc>
      </w:tr>
      <w:tr w:rsidR="00BC5219" w:rsidRPr="008A2B8F" w14:paraId="08EAA7A9" w14:textId="77777777" w:rsidTr="00E83802">
        <w:trPr>
          <w:trHeight w:val="198"/>
        </w:trPr>
        <w:tc>
          <w:tcPr>
            <w:tcW w:w="4990" w:type="dxa"/>
            <w:gridSpan w:val="2"/>
            <w:tcBorders>
              <w:top w:val="single" w:sz="4" w:space="0" w:color="auto"/>
              <w:left w:val="nil"/>
              <w:bottom w:val="double" w:sz="6" w:space="0" w:color="auto"/>
              <w:right w:val="nil"/>
            </w:tcBorders>
            <w:shd w:val="clear" w:color="auto" w:fill="auto"/>
            <w:noWrap/>
            <w:vAlign w:val="center"/>
            <w:hideMark/>
          </w:tcPr>
          <w:p w14:paraId="5BCCD559"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Closing balance</w:t>
            </w:r>
          </w:p>
        </w:tc>
        <w:tc>
          <w:tcPr>
            <w:tcW w:w="1021" w:type="dxa"/>
            <w:tcBorders>
              <w:top w:val="single" w:sz="4" w:space="0" w:color="auto"/>
              <w:left w:val="nil"/>
              <w:bottom w:val="double" w:sz="6" w:space="0" w:color="auto"/>
              <w:right w:val="nil"/>
            </w:tcBorders>
            <w:shd w:val="clear" w:color="auto" w:fill="auto"/>
            <w:noWrap/>
            <w:vAlign w:val="center"/>
            <w:hideMark/>
          </w:tcPr>
          <w:p w14:paraId="5C21960A" w14:textId="77777777" w:rsidR="00BC5219" w:rsidRPr="008A2B8F" w:rsidRDefault="00BC5219" w:rsidP="00E83802">
            <w:pPr>
              <w:jc w:val="center"/>
              <w:rPr>
                <w:rFonts w:ascii="Meta Pro" w:eastAsia="Times New Roman" w:hAnsi="Meta Pro"/>
                <w:b/>
                <w:bCs/>
                <w:color w:val="000000"/>
                <w:sz w:val="20"/>
                <w:szCs w:val="20"/>
                <w:lang w:eastAsia="en-AU"/>
              </w:rPr>
            </w:pPr>
            <w:r w:rsidRPr="008A2B8F">
              <w:rPr>
                <w:rFonts w:ascii="Meta Pro" w:eastAsia="Times New Roman" w:hAnsi="Meta Pro"/>
                <w:b/>
                <w:bCs/>
                <w:color w:val="000000"/>
                <w:sz w:val="20"/>
                <w:szCs w:val="20"/>
                <w:lang w:eastAsia="en-AU"/>
              </w:rPr>
              <w:t> </w:t>
            </w:r>
          </w:p>
        </w:tc>
        <w:tc>
          <w:tcPr>
            <w:tcW w:w="215" w:type="dxa"/>
            <w:tcBorders>
              <w:top w:val="single" w:sz="4" w:space="0" w:color="auto"/>
              <w:left w:val="nil"/>
              <w:bottom w:val="double" w:sz="6" w:space="0" w:color="auto"/>
              <w:right w:val="nil"/>
            </w:tcBorders>
            <w:shd w:val="clear" w:color="auto" w:fill="auto"/>
            <w:noWrap/>
            <w:vAlign w:val="center"/>
            <w:hideMark/>
          </w:tcPr>
          <w:p w14:paraId="0F85EE41" w14:textId="77777777" w:rsidR="00BC5219" w:rsidRPr="008A2B8F" w:rsidRDefault="00BC5219" w:rsidP="00E83802">
            <w:pPr>
              <w:rPr>
                <w:rFonts w:ascii="Meta Pro" w:eastAsia="Times New Roman" w:hAnsi="Meta Pro"/>
                <w:b/>
                <w:bCs/>
                <w:color w:val="000000"/>
                <w:sz w:val="20"/>
                <w:szCs w:val="20"/>
                <w:lang w:eastAsia="en-AU"/>
              </w:rPr>
            </w:pPr>
            <w:r w:rsidRPr="008A2B8F">
              <w:rPr>
                <w:rFonts w:ascii="Meta Pro" w:eastAsia="Times New Roman" w:hAnsi="Meta Pro"/>
                <w:b/>
                <w:bCs/>
                <w:color w:val="000000"/>
                <w:sz w:val="20"/>
                <w:szCs w:val="20"/>
                <w:lang w:eastAsia="en-AU"/>
              </w:rPr>
              <w:t> </w:t>
            </w:r>
          </w:p>
        </w:tc>
        <w:tc>
          <w:tcPr>
            <w:tcW w:w="1514" w:type="dxa"/>
            <w:tcBorders>
              <w:top w:val="single" w:sz="4" w:space="0" w:color="auto"/>
              <w:left w:val="nil"/>
              <w:bottom w:val="double" w:sz="6" w:space="0" w:color="auto"/>
              <w:right w:val="nil"/>
            </w:tcBorders>
            <w:shd w:val="clear" w:color="000000" w:fill="C9E3B4"/>
            <w:noWrap/>
            <w:vAlign w:val="center"/>
            <w:hideMark/>
          </w:tcPr>
          <w:p w14:paraId="2011E751"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1,181,447 </w:t>
            </w:r>
          </w:p>
        </w:tc>
        <w:tc>
          <w:tcPr>
            <w:tcW w:w="216" w:type="dxa"/>
            <w:tcBorders>
              <w:top w:val="single" w:sz="4" w:space="0" w:color="auto"/>
              <w:left w:val="nil"/>
              <w:bottom w:val="double" w:sz="6" w:space="0" w:color="auto"/>
              <w:right w:val="nil"/>
            </w:tcBorders>
            <w:shd w:val="clear" w:color="auto" w:fill="auto"/>
            <w:noWrap/>
            <w:vAlign w:val="center"/>
            <w:hideMark/>
          </w:tcPr>
          <w:p w14:paraId="69E3CEA3" w14:textId="77777777" w:rsidR="00BC5219" w:rsidRPr="008A2B8F" w:rsidRDefault="00BC5219" w:rsidP="00E83802">
            <w:pPr>
              <w:rPr>
                <w:rFonts w:ascii="Meta Pro" w:eastAsia="Times New Roman" w:hAnsi="Meta Pro"/>
                <w:b/>
                <w:bCs/>
                <w:color w:val="000000"/>
                <w:sz w:val="20"/>
                <w:szCs w:val="20"/>
                <w:lang w:eastAsia="en-AU"/>
              </w:rPr>
            </w:pPr>
            <w:r w:rsidRPr="008A2B8F">
              <w:rPr>
                <w:rFonts w:ascii="Meta Pro" w:eastAsia="Times New Roman" w:hAnsi="Meta Pro"/>
                <w:b/>
                <w:bCs/>
                <w:color w:val="000000"/>
                <w:sz w:val="20"/>
                <w:szCs w:val="20"/>
                <w:lang w:eastAsia="en-AU"/>
              </w:rPr>
              <w:t> </w:t>
            </w:r>
          </w:p>
        </w:tc>
        <w:tc>
          <w:tcPr>
            <w:tcW w:w="1514" w:type="dxa"/>
            <w:tcBorders>
              <w:top w:val="single" w:sz="4" w:space="0" w:color="auto"/>
              <w:left w:val="nil"/>
              <w:bottom w:val="double" w:sz="6" w:space="0" w:color="auto"/>
              <w:right w:val="nil"/>
            </w:tcBorders>
            <w:shd w:val="clear" w:color="auto" w:fill="auto"/>
            <w:noWrap/>
            <w:vAlign w:val="center"/>
            <w:hideMark/>
          </w:tcPr>
          <w:p w14:paraId="637B369A"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1,292,231 </w:t>
            </w:r>
          </w:p>
        </w:tc>
      </w:tr>
    </w:tbl>
    <w:p w14:paraId="2D2EBF95" w14:textId="77777777" w:rsidR="00BC5219" w:rsidRPr="008A2B8F" w:rsidRDefault="00BC5219" w:rsidP="00BC5219">
      <w:pPr>
        <w:rPr>
          <w:rFonts w:ascii="Meta Pro" w:hAnsi="Meta Pro" w:cstheme="minorBidi"/>
        </w:rPr>
      </w:pPr>
    </w:p>
    <w:p w14:paraId="75789204" w14:textId="77777777" w:rsidR="00BC5219" w:rsidRDefault="00BC5219" w:rsidP="00BC5219">
      <w:pPr>
        <w:spacing w:line="259" w:lineRule="auto"/>
        <w:rPr>
          <w:rFonts w:ascii="Meta Pro" w:hAnsi="Meta Pro"/>
          <w:lang w:eastAsia="en-AU"/>
        </w:rPr>
      </w:pPr>
    </w:p>
    <w:p w14:paraId="2D8689F5" w14:textId="77777777" w:rsidR="00BC5219" w:rsidRPr="008A2B8F" w:rsidRDefault="00BC5219" w:rsidP="00BC5219">
      <w:pPr>
        <w:spacing w:line="259" w:lineRule="auto"/>
        <w:rPr>
          <w:rFonts w:ascii="Meta Pro" w:eastAsia="Times New Roman" w:hAnsi="Meta Pro"/>
          <w:i/>
          <w:iCs/>
          <w:color w:val="000000" w:themeColor="text1"/>
          <w:lang w:eastAsia="en-AU"/>
        </w:rPr>
      </w:pPr>
      <w:r w:rsidRPr="008A2B8F">
        <w:rPr>
          <w:rFonts w:ascii="Meta Pro" w:eastAsia="Times New Roman" w:hAnsi="Meta Pro"/>
          <w:i/>
          <w:iCs/>
          <w:color w:val="000000" w:themeColor="text1"/>
          <w:lang w:eastAsia="en-AU"/>
        </w:rPr>
        <w:t>Department of Transport and Main Roads</w:t>
      </w:r>
    </w:p>
    <w:p w14:paraId="1D674210"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Notes to the financial statements 2022–23</w:t>
      </w:r>
    </w:p>
    <w:p w14:paraId="1D5E3349" w14:textId="77777777" w:rsidR="00BC5219" w:rsidRPr="008A2B8F" w:rsidRDefault="00BC5219" w:rsidP="00BC5219">
      <w:pPr>
        <w:spacing w:line="259" w:lineRule="auto"/>
        <w:rPr>
          <w:rFonts w:ascii="Meta Pro" w:hAnsi="Meta Pro"/>
          <w:b/>
          <w:bCs/>
          <w:lang w:eastAsia="en-AU"/>
        </w:rPr>
      </w:pPr>
      <w:r w:rsidRPr="008A2B8F">
        <w:rPr>
          <w:rFonts w:ascii="Meta Pro" w:hAnsi="Meta Pro"/>
          <w:b/>
          <w:bCs/>
          <w:lang w:eastAsia="en-AU"/>
        </w:rPr>
        <w:lastRenderedPageBreak/>
        <w:t>1</w:t>
      </w:r>
      <w:r w:rsidRPr="008A2B8F">
        <w:rPr>
          <w:rFonts w:ascii="Meta Pro" w:hAnsi="Meta Pro"/>
          <w:b/>
          <w:bCs/>
          <w:lang w:eastAsia="en-AU"/>
        </w:rPr>
        <w:tab/>
        <w:t>ACCOUNTING POLICIES AND BASIS FOR FINANCIAL STATEMENTS PREPARATION</w:t>
      </w:r>
    </w:p>
    <w:p w14:paraId="41E23855" w14:textId="77777777" w:rsidR="00BC5219" w:rsidRPr="008A2B8F" w:rsidRDefault="00BC5219" w:rsidP="00BC5219">
      <w:pPr>
        <w:spacing w:before="100"/>
        <w:rPr>
          <w:rFonts w:ascii="Meta Pro" w:eastAsia="Times New Roman" w:hAnsi="Meta Pro"/>
          <w:szCs w:val="18"/>
          <w:lang w:eastAsia="en-AU"/>
        </w:rPr>
      </w:pPr>
      <w:r w:rsidRPr="008A2B8F">
        <w:rPr>
          <w:rFonts w:ascii="Meta Pro" w:eastAsia="Times New Roman" w:hAnsi="Meta Pro"/>
          <w:szCs w:val="18"/>
          <w:lang w:eastAsia="en-AU"/>
        </w:rPr>
        <w:t>Refer to individual notes for specific accounting policies.</w:t>
      </w:r>
    </w:p>
    <w:p w14:paraId="1E97F34A" w14:textId="77777777" w:rsidR="00BC5219" w:rsidRPr="008A2B8F" w:rsidRDefault="00BC5219" w:rsidP="00BC5219">
      <w:pPr>
        <w:rPr>
          <w:rFonts w:ascii="Meta Pro" w:eastAsia="Times New Roman" w:hAnsi="Meta Pro"/>
          <w:szCs w:val="18"/>
          <w:lang w:eastAsia="en-AU"/>
        </w:rPr>
      </w:pPr>
    </w:p>
    <w:p w14:paraId="465D32A0" w14:textId="77777777" w:rsidR="00BC5219" w:rsidRPr="008A2B8F" w:rsidRDefault="00BC5219" w:rsidP="00BC5219">
      <w:pPr>
        <w:rPr>
          <w:rFonts w:ascii="Meta Pro" w:eastAsia="Times New Roman" w:hAnsi="Meta Pro"/>
          <w:b/>
          <w:bCs/>
          <w:szCs w:val="18"/>
          <w:lang w:eastAsia="en-AU"/>
        </w:rPr>
      </w:pPr>
      <w:r w:rsidRPr="008A2B8F">
        <w:rPr>
          <w:rFonts w:ascii="Meta Pro" w:eastAsia="Times New Roman" w:hAnsi="Meta Pro"/>
          <w:b/>
          <w:bCs/>
          <w:szCs w:val="18"/>
          <w:lang w:eastAsia="en-AU"/>
        </w:rPr>
        <w:t>STATEMENT OF COMPLIANCE</w:t>
      </w:r>
    </w:p>
    <w:p w14:paraId="006C0EAD" w14:textId="77777777" w:rsidR="00BC5219" w:rsidRPr="008A2B8F" w:rsidRDefault="00BC5219" w:rsidP="00BC5219">
      <w:pPr>
        <w:spacing w:before="120"/>
        <w:rPr>
          <w:rFonts w:ascii="Meta Pro" w:eastAsia="Times New Roman" w:hAnsi="Meta Pro"/>
          <w:szCs w:val="18"/>
          <w:lang w:eastAsia="en-AU"/>
        </w:rPr>
      </w:pPr>
      <w:r w:rsidRPr="008A2B8F">
        <w:rPr>
          <w:rFonts w:ascii="Meta Pro" w:eastAsia="Times New Roman" w:hAnsi="Meta Pro"/>
          <w:szCs w:val="18"/>
          <w:lang w:eastAsia="en-AU"/>
        </w:rPr>
        <w:t xml:space="preserve">The department has prepared these financial statements in compliance with section 38 of the </w:t>
      </w:r>
      <w:r w:rsidRPr="008A2B8F">
        <w:rPr>
          <w:rFonts w:ascii="Meta Pro" w:eastAsia="Times New Roman" w:hAnsi="Meta Pro"/>
          <w:i/>
          <w:iCs/>
          <w:szCs w:val="18"/>
          <w:lang w:eastAsia="en-AU"/>
        </w:rPr>
        <w:t>Financial and Performance Management Standard 2019</w:t>
      </w:r>
      <w:r w:rsidRPr="008A2B8F">
        <w:rPr>
          <w:rFonts w:ascii="Meta Pro" w:eastAsia="Times New Roman" w:hAnsi="Meta Pro"/>
          <w:szCs w:val="18"/>
          <w:lang w:eastAsia="en-AU"/>
        </w:rPr>
        <w:t>.</w:t>
      </w:r>
      <w:r w:rsidRPr="008A2B8F">
        <w:rPr>
          <w:rFonts w:ascii="Meta Pro" w:eastAsia="Times New Roman" w:hAnsi="Meta Pro"/>
          <w:szCs w:val="18"/>
          <w:lang w:eastAsia="en-AU"/>
        </w:rPr>
        <w:tab/>
      </w:r>
      <w:r w:rsidRPr="008A2B8F">
        <w:rPr>
          <w:rFonts w:ascii="Meta Pro" w:eastAsia="Times New Roman" w:hAnsi="Meta Pro"/>
          <w:szCs w:val="18"/>
          <w:lang w:eastAsia="en-AU"/>
        </w:rPr>
        <w:tab/>
      </w:r>
    </w:p>
    <w:p w14:paraId="4C7BC190" w14:textId="77777777" w:rsidR="00BC5219" w:rsidRPr="008A2B8F" w:rsidRDefault="00BC5219" w:rsidP="00BC5219">
      <w:pPr>
        <w:spacing w:before="120"/>
        <w:rPr>
          <w:rFonts w:ascii="Meta Pro" w:eastAsia="Times New Roman" w:hAnsi="Meta Pro"/>
          <w:szCs w:val="18"/>
          <w:lang w:eastAsia="en-AU"/>
        </w:rPr>
      </w:pPr>
      <w:r w:rsidRPr="008A2B8F">
        <w:rPr>
          <w:rFonts w:ascii="Meta Pro" w:eastAsia="Times New Roman" w:hAnsi="Meta Pro"/>
          <w:szCs w:val="18"/>
          <w:lang w:eastAsia="en-AU"/>
        </w:rPr>
        <w:t>These financial statements are general purpose financial statements and have been prepared on an accrual basis in accordance with Australian Accounting Standards and Interpretations and requirements applicable to not-for-profit entities. Except where stated, historical cost is used as the measurement basis in the financial statements.</w:t>
      </w:r>
      <w:r w:rsidRPr="008A2B8F">
        <w:rPr>
          <w:rFonts w:ascii="Meta Pro" w:eastAsia="Times New Roman" w:hAnsi="Meta Pro"/>
          <w:szCs w:val="18"/>
          <w:lang w:eastAsia="en-AU"/>
        </w:rPr>
        <w:tab/>
      </w:r>
      <w:r w:rsidRPr="008A2B8F">
        <w:rPr>
          <w:rFonts w:ascii="Meta Pro" w:eastAsia="Times New Roman" w:hAnsi="Meta Pro"/>
          <w:szCs w:val="18"/>
          <w:lang w:eastAsia="en-AU"/>
        </w:rPr>
        <w:tab/>
      </w:r>
      <w:r w:rsidRPr="008A2B8F">
        <w:rPr>
          <w:rFonts w:ascii="Meta Pro" w:eastAsia="Times New Roman" w:hAnsi="Meta Pro"/>
          <w:szCs w:val="18"/>
          <w:lang w:eastAsia="en-AU"/>
        </w:rPr>
        <w:tab/>
      </w:r>
    </w:p>
    <w:p w14:paraId="42BD8C6D" w14:textId="77777777" w:rsidR="00BC5219" w:rsidRPr="008A2B8F" w:rsidRDefault="00BC5219" w:rsidP="00BC5219">
      <w:pPr>
        <w:spacing w:before="120"/>
        <w:rPr>
          <w:rFonts w:ascii="Meta Pro" w:eastAsia="Times New Roman" w:hAnsi="Meta Pro"/>
          <w:szCs w:val="18"/>
          <w:lang w:eastAsia="en-AU"/>
        </w:rPr>
      </w:pPr>
      <w:r w:rsidRPr="008A2B8F">
        <w:rPr>
          <w:rFonts w:ascii="Meta Pro" w:eastAsia="Times New Roman" w:hAnsi="Meta Pro"/>
          <w:szCs w:val="18"/>
          <w:lang w:eastAsia="en-AU"/>
        </w:rPr>
        <w:t>The financial statements are authorised for issue by the Director-General and Chief Finance Officer at the date of signing of the management certificate.</w:t>
      </w:r>
      <w:r w:rsidRPr="008A2B8F">
        <w:rPr>
          <w:rFonts w:ascii="Meta Pro" w:eastAsia="Times New Roman" w:hAnsi="Meta Pro"/>
          <w:szCs w:val="18"/>
          <w:lang w:eastAsia="en-AU"/>
        </w:rPr>
        <w:tab/>
      </w:r>
    </w:p>
    <w:p w14:paraId="7CC1121A" w14:textId="77777777" w:rsidR="00BC5219" w:rsidRPr="008A2B8F" w:rsidRDefault="00BC5219" w:rsidP="00BC5219">
      <w:pPr>
        <w:rPr>
          <w:rFonts w:ascii="Meta Pro" w:eastAsia="Times New Roman" w:hAnsi="Meta Pro"/>
          <w:szCs w:val="18"/>
          <w:lang w:eastAsia="en-AU"/>
        </w:rPr>
      </w:pPr>
    </w:p>
    <w:p w14:paraId="15E06DDA" w14:textId="77777777" w:rsidR="00BC5219" w:rsidRPr="008A2B8F" w:rsidRDefault="00BC5219" w:rsidP="00BC5219">
      <w:pPr>
        <w:rPr>
          <w:rFonts w:ascii="Meta Pro" w:eastAsia="Times New Roman" w:hAnsi="Meta Pro"/>
          <w:b/>
          <w:bCs/>
          <w:szCs w:val="18"/>
          <w:lang w:eastAsia="en-AU"/>
        </w:rPr>
      </w:pPr>
      <w:r w:rsidRPr="008A2B8F">
        <w:rPr>
          <w:rFonts w:ascii="Meta Pro" w:eastAsia="Times New Roman" w:hAnsi="Meta Pro"/>
          <w:b/>
          <w:bCs/>
          <w:szCs w:val="18"/>
          <w:lang w:eastAsia="en-AU"/>
        </w:rPr>
        <w:t>THE REPORTING ENTITY</w:t>
      </w:r>
    </w:p>
    <w:p w14:paraId="5DE30827" w14:textId="77777777" w:rsidR="00BC5219" w:rsidRPr="008A2B8F" w:rsidRDefault="00BC5219" w:rsidP="00BC5219">
      <w:pPr>
        <w:spacing w:before="120"/>
        <w:rPr>
          <w:rFonts w:ascii="Meta Pro" w:eastAsia="Times New Roman" w:hAnsi="Meta Pro"/>
          <w:szCs w:val="18"/>
          <w:lang w:eastAsia="en-AU"/>
        </w:rPr>
      </w:pPr>
      <w:r w:rsidRPr="008A2B8F">
        <w:rPr>
          <w:rFonts w:ascii="Meta Pro" w:eastAsia="Times New Roman" w:hAnsi="Meta Pro"/>
          <w:szCs w:val="18"/>
          <w:lang w:eastAsia="en-AU"/>
        </w:rPr>
        <w:t xml:space="preserve">The Department of Transport and Main Roads is a Queensland Government department established under the </w:t>
      </w:r>
      <w:r w:rsidRPr="008A2B8F">
        <w:rPr>
          <w:rFonts w:ascii="Meta Pro" w:eastAsia="Times New Roman" w:hAnsi="Meta Pro"/>
          <w:i/>
          <w:iCs/>
          <w:szCs w:val="18"/>
          <w:lang w:eastAsia="en-AU"/>
        </w:rPr>
        <w:t>Public Sector Act 2022</w:t>
      </w:r>
      <w:r w:rsidRPr="008A2B8F">
        <w:rPr>
          <w:rFonts w:ascii="Meta Pro" w:eastAsia="Times New Roman" w:hAnsi="Meta Pro"/>
          <w:szCs w:val="18"/>
          <w:lang w:eastAsia="en-AU"/>
        </w:rPr>
        <w:t>. The department is controlled by the State of Queensland which is the ultimate parent. The principal address of the department is:</w:t>
      </w:r>
    </w:p>
    <w:p w14:paraId="69BCB6B4" w14:textId="77777777" w:rsidR="00BC5219" w:rsidRPr="008A2B8F" w:rsidRDefault="00BC5219" w:rsidP="00BC5219">
      <w:pPr>
        <w:spacing w:before="120"/>
        <w:rPr>
          <w:rFonts w:ascii="Meta Pro" w:eastAsia="Times New Roman" w:hAnsi="Meta Pro"/>
          <w:szCs w:val="18"/>
          <w:lang w:eastAsia="en-AU"/>
        </w:rPr>
      </w:pPr>
      <w:r w:rsidRPr="008A2B8F">
        <w:rPr>
          <w:rFonts w:ascii="Meta Pro" w:eastAsia="Times New Roman" w:hAnsi="Meta Pro"/>
          <w:szCs w:val="18"/>
          <w:lang w:eastAsia="en-AU"/>
        </w:rPr>
        <w:t>61 Mary Street</w:t>
      </w:r>
    </w:p>
    <w:p w14:paraId="07B9FEDF" w14:textId="77777777" w:rsidR="00BC5219" w:rsidRPr="008A2B8F" w:rsidRDefault="00BC5219" w:rsidP="00BC5219">
      <w:pPr>
        <w:rPr>
          <w:rFonts w:ascii="Meta Pro" w:eastAsia="Times New Roman" w:hAnsi="Meta Pro"/>
          <w:szCs w:val="18"/>
          <w:lang w:eastAsia="en-AU"/>
        </w:rPr>
      </w:pPr>
      <w:r w:rsidRPr="008A2B8F">
        <w:rPr>
          <w:rFonts w:ascii="Meta Pro" w:eastAsia="Times New Roman" w:hAnsi="Meta Pro"/>
          <w:szCs w:val="18"/>
          <w:lang w:eastAsia="en-AU"/>
        </w:rPr>
        <w:t>Brisbane, Queensland 4000</w:t>
      </w:r>
    </w:p>
    <w:p w14:paraId="05735E92" w14:textId="77777777" w:rsidR="00BC5219" w:rsidRPr="008A2B8F" w:rsidRDefault="00BC5219" w:rsidP="00BC5219">
      <w:pPr>
        <w:spacing w:before="120"/>
        <w:rPr>
          <w:rFonts w:ascii="Meta Pro" w:eastAsia="Times New Roman" w:hAnsi="Meta Pro"/>
          <w:szCs w:val="18"/>
          <w:lang w:eastAsia="en-AU"/>
        </w:rPr>
      </w:pPr>
      <w:r w:rsidRPr="008A2B8F">
        <w:rPr>
          <w:rFonts w:ascii="Meta Pro" w:eastAsia="Times New Roman" w:hAnsi="Meta Pro"/>
          <w:szCs w:val="18"/>
          <w:lang w:eastAsia="en-AU"/>
        </w:rPr>
        <w:t>The objectives of the department are:</w:t>
      </w:r>
    </w:p>
    <w:p w14:paraId="35FFCB4D" w14:textId="77777777" w:rsidR="00BC5219" w:rsidRPr="008A2B8F" w:rsidRDefault="00BC5219" w:rsidP="00BC5219">
      <w:pPr>
        <w:rPr>
          <w:rFonts w:ascii="Meta Pro" w:eastAsia="Times New Roman" w:hAnsi="Meta Pro"/>
          <w:szCs w:val="18"/>
          <w:lang w:eastAsia="en-AU"/>
        </w:rPr>
      </w:pPr>
      <w:r w:rsidRPr="008A2B8F">
        <w:rPr>
          <w:rFonts w:ascii="Meta Pro" w:eastAsia="Times New Roman" w:hAnsi="Meta Pro"/>
          <w:szCs w:val="18"/>
          <w:lang w:eastAsia="en-AU"/>
        </w:rPr>
        <w:t>•  Accessible – Deliver a transport system that is accessible and inclusive for our customers</w:t>
      </w:r>
    </w:p>
    <w:p w14:paraId="31270EA8" w14:textId="77777777" w:rsidR="00BC5219" w:rsidRPr="008A2B8F" w:rsidRDefault="00BC5219" w:rsidP="00BC5219">
      <w:pPr>
        <w:rPr>
          <w:rFonts w:ascii="Meta Pro" w:eastAsia="Times New Roman" w:hAnsi="Meta Pro"/>
          <w:szCs w:val="18"/>
          <w:lang w:eastAsia="en-AU"/>
        </w:rPr>
      </w:pPr>
      <w:r w:rsidRPr="008A2B8F">
        <w:rPr>
          <w:rFonts w:ascii="Meta Pro" w:eastAsia="Times New Roman" w:hAnsi="Meta Pro"/>
          <w:szCs w:val="18"/>
          <w:lang w:eastAsia="en-AU"/>
        </w:rPr>
        <w:t>•  Safe – Provide a safe and secure transport system and Department of Transport and Main Roads workplaces</w:t>
      </w:r>
    </w:p>
    <w:p w14:paraId="426A1A06" w14:textId="77777777" w:rsidR="00BC5219" w:rsidRPr="008A2B8F" w:rsidRDefault="00BC5219" w:rsidP="00BC5219">
      <w:pPr>
        <w:rPr>
          <w:rFonts w:ascii="Meta Pro" w:eastAsia="Times New Roman" w:hAnsi="Meta Pro"/>
          <w:szCs w:val="18"/>
          <w:lang w:eastAsia="en-AU"/>
        </w:rPr>
      </w:pPr>
      <w:r w:rsidRPr="008A2B8F">
        <w:rPr>
          <w:rFonts w:ascii="Meta Pro" w:eastAsia="Times New Roman" w:hAnsi="Meta Pro"/>
          <w:szCs w:val="18"/>
          <w:lang w:eastAsia="en-AU"/>
        </w:rPr>
        <w:t>•  Responsive – Actively manage a transport system that is responsive to evolving customer expectations and business</w:t>
      </w:r>
    </w:p>
    <w:p w14:paraId="7B752D98" w14:textId="77777777" w:rsidR="00BC5219" w:rsidRPr="008A2B8F" w:rsidRDefault="00BC5219" w:rsidP="00BC5219">
      <w:pPr>
        <w:rPr>
          <w:rFonts w:ascii="Meta Pro" w:eastAsia="Times New Roman" w:hAnsi="Meta Pro"/>
          <w:szCs w:val="18"/>
          <w:lang w:eastAsia="en-AU"/>
        </w:rPr>
      </w:pPr>
      <w:r w:rsidRPr="008A2B8F">
        <w:rPr>
          <w:rFonts w:ascii="Meta Pro" w:eastAsia="Times New Roman" w:hAnsi="Meta Pro"/>
          <w:szCs w:val="18"/>
          <w:lang w:eastAsia="en-AU"/>
        </w:rPr>
        <w:t xml:space="preserve">    disruptions</w:t>
      </w:r>
    </w:p>
    <w:p w14:paraId="5963231E" w14:textId="77777777" w:rsidR="00BC5219" w:rsidRPr="008A2B8F" w:rsidRDefault="00BC5219" w:rsidP="00BC5219">
      <w:pPr>
        <w:rPr>
          <w:rFonts w:ascii="Meta Pro" w:eastAsia="Times New Roman" w:hAnsi="Meta Pro"/>
          <w:szCs w:val="18"/>
          <w:lang w:eastAsia="en-AU"/>
        </w:rPr>
      </w:pPr>
      <w:r w:rsidRPr="008A2B8F">
        <w:rPr>
          <w:rFonts w:ascii="Meta Pro" w:eastAsia="Times New Roman" w:hAnsi="Meta Pro"/>
          <w:szCs w:val="18"/>
          <w:lang w:eastAsia="en-AU"/>
        </w:rPr>
        <w:t>•  Efficient – Deliver an efficient and reliable system to advance the movement of people and goods and optimise our</w:t>
      </w:r>
    </w:p>
    <w:p w14:paraId="4B471C53" w14:textId="77777777" w:rsidR="00BC5219" w:rsidRPr="008A2B8F" w:rsidRDefault="00BC5219" w:rsidP="00BC5219">
      <w:pPr>
        <w:rPr>
          <w:rFonts w:ascii="Meta Pro" w:eastAsia="Times New Roman" w:hAnsi="Meta Pro"/>
          <w:szCs w:val="18"/>
          <w:lang w:eastAsia="en-AU"/>
        </w:rPr>
      </w:pPr>
      <w:r w:rsidRPr="008A2B8F">
        <w:rPr>
          <w:rFonts w:ascii="Meta Pro" w:eastAsia="Times New Roman" w:hAnsi="Meta Pro"/>
          <w:szCs w:val="18"/>
          <w:lang w:eastAsia="en-AU"/>
        </w:rPr>
        <w:t xml:space="preserve">    resources</w:t>
      </w:r>
    </w:p>
    <w:p w14:paraId="0216819C" w14:textId="77777777" w:rsidR="00BC5219" w:rsidRPr="008A2B8F" w:rsidRDefault="00BC5219" w:rsidP="00BC5219">
      <w:pPr>
        <w:rPr>
          <w:rFonts w:ascii="Meta Pro" w:eastAsia="Times New Roman" w:hAnsi="Meta Pro"/>
          <w:szCs w:val="18"/>
          <w:lang w:eastAsia="en-AU"/>
        </w:rPr>
      </w:pPr>
      <w:r w:rsidRPr="008A2B8F">
        <w:rPr>
          <w:rFonts w:ascii="Meta Pro" w:eastAsia="Times New Roman" w:hAnsi="Meta Pro"/>
          <w:szCs w:val="18"/>
          <w:lang w:eastAsia="en-AU"/>
        </w:rPr>
        <w:t>•  Sustainable – Create an environmentally, economically and socially sustainable transport system that supports liveable</w:t>
      </w:r>
    </w:p>
    <w:p w14:paraId="3476EEE7" w14:textId="77777777" w:rsidR="00BC5219" w:rsidRPr="008A2B8F" w:rsidRDefault="00BC5219" w:rsidP="00BC5219">
      <w:pPr>
        <w:rPr>
          <w:rFonts w:ascii="Meta Pro" w:eastAsia="Times New Roman" w:hAnsi="Meta Pro"/>
          <w:szCs w:val="18"/>
          <w:lang w:eastAsia="en-AU"/>
        </w:rPr>
      </w:pPr>
      <w:r w:rsidRPr="008A2B8F">
        <w:rPr>
          <w:rFonts w:ascii="Meta Pro" w:eastAsia="Times New Roman" w:hAnsi="Meta Pro"/>
          <w:szCs w:val="18"/>
          <w:lang w:eastAsia="en-AU"/>
        </w:rPr>
        <w:t xml:space="preserve">    and prosperous communities</w:t>
      </w:r>
    </w:p>
    <w:p w14:paraId="51B7D45C" w14:textId="77777777" w:rsidR="00BC5219" w:rsidRPr="008A2B8F" w:rsidRDefault="00BC5219" w:rsidP="00BC5219">
      <w:pPr>
        <w:rPr>
          <w:rFonts w:ascii="Meta Pro" w:eastAsia="Times New Roman" w:hAnsi="Meta Pro"/>
          <w:szCs w:val="18"/>
          <w:lang w:eastAsia="en-AU"/>
        </w:rPr>
      </w:pPr>
      <w:r w:rsidRPr="008A2B8F">
        <w:rPr>
          <w:rFonts w:ascii="Meta Pro" w:eastAsia="Times New Roman" w:hAnsi="Meta Pro"/>
          <w:szCs w:val="18"/>
          <w:lang w:eastAsia="en-AU"/>
        </w:rPr>
        <w:t xml:space="preserve">•  Digital – Support a thriving digital economy where Queenslanders, their businesses and communities can transact successfully </w:t>
      </w:r>
    </w:p>
    <w:p w14:paraId="145A9FFF" w14:textId="77777777" w:rsidR="00BC5219" w:rsidRPr="008A2B8F" w:rsidRDefault="00BC5219" w:rsidP="00BC5219">
      <w:pPr>
        <w:rPr>
          <w:rFonts w:ascii="Meta Pro" w:eastAsia="Times New Roman" w:hAnsi="Meta Pro"/>
          <w:szCs w:val="18"/>
          <w:lang w:eastAsia="en-AU"/>
        </w:rPr>
      </w:pPr>
      <w:r w:rsidRPr="008A2B8F">
        <w:rPr>
          <w:rFonts w:ascii="Meta Pro" w:eastAsia="Times New Roman" w:hAnsi="Meta Pro"/>
          <w:szCs w:val="18"/>
          <w:lang w:eastAsia="en-AU"/>
        </w:rPr>
        <w:t xml:space="preserve">     with government and each other.</w:t>
      </w:r>
    </w:p>
    <w:p w14:paraId="73B8B38E" w14:textId="77777777" w:rsidR="00BC5219" w:rsidRPr="008A2B8F" w:rsidRDefault="00BC5219" w:rsidP="00BC5219">
      <w:pPr>
        <w:spacing w:before="120"/>
        <w:rPr>
          <w:rFonts w:ascii="Meta Pro" w:eastAsia="Times New Roman" w:hAnsi="Meta Pro"/>
          <w:szCs w:val="18"/>
          <w:lang w:eastAsia="en-AU"/>
        </w:rPr>
      </w:pPr>
      <w:r w:rsidRPr="008A2B8F">
        <w:rPr>
          <w:rFonts w:ascii="Meta Pro" w:eastAsia="Times New Roman" w:hAnsi="Meta Pro"/>
          <w:szCs w:val="18"/>
          <w:lang w:eastAsia="en-AU"/>
        </w:rPr>
        <w:t>The financial statements include the value of all income, expenses, assets, liabilities and equity of the Department of Transport and Main Roads.</w:t>
      </w:r>
    </w:p>
    <w:p w14:paraId="0FCD3817" w14:textId="77777777" w:rsidR="00BC5219" w:rsidRPr="008A2B8F" w:rsidRDefault="00BC5219" w:rsidP="00BC5219">
      <w:pPr>
        <w:spacing w:before="120"/>
        <w:rPr>
          <w:rFonts w:ascii="Meta Pro" w:eastAsia="Times New Roman" w:hAnsi="Meta Pro"/>
          <w:szCs w:val="18"/>
          <w:lang w:eastAsia="en-AU"/>
        </w:rPr>
      </w:pPr>
      <w:r w:rsidRPr="008A2B8F">
        <w:rPr>
          <w:rFonts w:ascii="Meta Pro" w:eastAsia="Times New Roman" w:hAnsi="Meta Pro"/>
          <w:szCs w:val="18"/>
          <w:lang w:eastAsia="en-AU"/>
        </w:rPr>
        <w:t xml:space="preserve">The department has elected not to consolidate its investment in the controlled entity Transmax Pty Ltd in accordance with AASB 127 </w:t>
      </w:r>
      <w:r w:rsidRPr="008A2B8F">
        <w:rPr>
          <w:rFonts w:ascii="Meta Pro" w:eastAsia="Times New Roman" w:hAnsi="Meta Pro"/>
          <w:i/>
          <w:iCs/>
          <w:szCs w:val="18"/>
          <w:lang w:eastAsia="en-AU"/>
        </w:rPr>
        <w:t>Separate Financial Statements</w:t>
      </w:r>
      <w:r w:rsidRPr="008A2B8F">
        <w:rPr>
          <w:rFonts w:ascii="Meta Pro" w:eastAsia="Times New Roman" w:hAnsi="Meta Pro"/>
          <w:szCs w:val="18"/>
          <w:lang w:eastAsia="en-AU"/>
        </w:rPr>
        <w:t>. Refer to Note 26.</w:t>
      </w:r>
    </w:p>
    <w:p w14:paraId="4EED743D" w14:textId="77777777" w:rsidR="00BC5219" w:rsidRPr="008A2B8F" w:rsidRDefault="00BC5219" w:rsidP="00BC5219">
      <w:pPr>
        <w:rPr>
          <w:rFonts w:ascii="Meta Pro" w:eastAsia="Times New Roman" w:hAnsi="Meta Pro"/>
          <w:szCs w:val="18"/>
          <w:lang w:eastAsia="en-AU"/>
        </w:rPr>
      </w:pPr>
    </w:p>
    <w:p w14:paraId="0691369C" w14:textId="77777777" w:rsidR="00BC5219" w:rsidRPr="008A2B8F" w:rsidRDefault="00BC5219" w:rsidP="00BC5219">
      <w:pPr>
        <w:rPr>
          <w:rFonts w:ascii="Meta Pro" w:eastAsia="Times New Roman" w:hAnsi="Meta Pro"/>
          <w:b/>
          <w:bCs/>
          <w:szCs w:val="18"/>
          <w:lang w:eastAsia="en-AU"/>
        </w:rPr>
      </w:pPr>
      <w:r w:rsidRPr="008A2B8F">
        <w:rPr>
          <w:rFonts w:ascii="Meta Pro" w:eastAsia="Times New Roman" w:hAnsi="Meta Pro"/>
          <w:b/>
          <w:bCs/>
          <w:szCs w:val="18"/>
          <w:lang w:eastAsia="en-AU"/>
        </w:rPr>
        <w:t>DEPARTMENTAL SERVICES AND PRINCIPAL ACTIVITIES</w:t>
      </w:r>
    </w:p>
    <w:p w14:paraId="0BE8A81C" w14:textId="77777777" w:rsidR="00BC5219" w:rsidRPr="008A2B8F" w:rsidRDefault="00BC5219" w:rsidP="00BC5219">
      <w:pPr>
        <w:spacing w:before="120"/>
        <w:rPr>
          <w:rFonts w:ascii="Meta Pro" w:eastAsia="Times New Roman" w:hAnsi="Meta Pro"/>
          <w:szCs w:val="18"/>
          <w:lang w:eastAsia="en-AU"/>
        </w:rPr>
      </w:pPr>
      <w:r w:rsidRPr="008A2B8F">
        <w:rPr>
          <w:rFonts w:ascii="Meta Pro" w:eastAsia="Times New Roman" w:hAnsi="Meta Pro"/>
          <w:szCs w:val="18"/>
          <w:lang w:eastAsia="en-AU"/>
        </w:rPr>
        <w:t>The identity and purpose of the services and principal activities undertaken by the Department of Transport and Main Roads during the reporting period are as follows:</w:t>
      </w:r>
    </w:p>
    <w:p w14:paraId="7785FECE" w14:textId="77777777" w:rsidR="00BC5219" w:rsidRPr="008A2B8F" w:rsidRDefault="00BC5219" w:rsidP="00BC5219">
      <w:pPr>
        <w:spacing w:before="120"/>
        <w:rPr>
          <w:rFonts w:ascii="Meta Pro" w:eastAsia="Times New Roman" w:hAnsi="Meta Pro"/>
          <w:b/>
          <w:bCs/>
          <w:szCs w:val="18"/>
          <w:lang w:eastAsia="en-AU"/>
        </w:rPr>
      </w:pPr>
      <w:r w:rsidRPr="008A2B8F">
        <w:rPr>
          <w:rFonts w:ascii="Meta Pro" w:eastAsia="Times New Roman" w:hAnsi="Meta Pro"/>
          <w:b/>
          <w:bCs/>
          <w:szCs w:val="18"/>
          <w:lang w:eastAsia="en-AU"/>
        </w:rPr>
        <w:t>Transport system investment planning and programming</w:t>
      </w:r>
    </w:p>
    <w:p w14:paraId="6A8D0D5C" w14:textId="77777777" w:rsidR="00BC5219" w:rsidRPr="008A2B8F" w:rsidRDefault="00BC5219" w:rsidP="00BC5219">
      <w:pPr>
        <w:spacing w:before="120"/>
        <w:rPr>
          <w:rFonts w:ascii="Meta Pro" w:eastAsia="Times New Roman" w:hAnsi="Meta Pro"/>
          <w:szCs w:val="18"/>
          <w:lang w:eastAsia="en-AU"/>
        </w:rPr>
      </w:pPr>
      <w:r w:rsidRPr="008A2B8F">
        <w:rPr>
          <w:rFonts w:ascii="Meta Pro" w:eastAsia="Times New Roman" w:hAnsi="Meta Pro"/>
          <w:szCs w:val="18"/>
          <w:lang w:eastAsia="en-AU"/>
        </w:rPr>
        <w:lastRenderedPageBreak/>
        <w:t xml:space="preserve">The objective of this service area is to develop and prioritise transport policy and investment to support economic and regional development and meet Queensland's long term transport needs. </w:t>
      </w:r>
    </w:p>
    <w:p w14:paraId="40466B3F" w14:textId="77777777" w:rsidR="00BC5219" w:rsidRPr="008A2B8F" w:rsidRDefault="00BC5219" w:rsidP="00BC5219">
      <w:pPr>
        <w:spacing w:before="120"/>
        <w:rPr>
          <w:rFonts w:ascii="Meta Pro" w:eastAsia="Times New Roman" w:hAnsi="Meta Pro"/>
          <w:b/>
          <w:bCs/>
          <w:szCs w:val="18"/>
          <w:lang w:eastAsia="en-AU"/>
        </w:rPr>
      </w:pPr>
      <w:r w:rsidRPr="008A2B8F">
        <w:rPr>
          <w:rFonts w:ascii="Meta Pro" w:eastAsia="Times New Roman" w:hAnsi="Meta Pro"/>
          <w:b/>
          <w:bCs/>
          <w:szCs w:val="18"/>
          <w:lang w:eastAsia="en-AU"/>
        </w:rPr>
        <w:t>Transport infrastructure management and delivery</w:t>
      </w:r>
    </w:p>
    <w:p w14:paraId="688D2E25" w14:textId="77777777" w:rsidR="00BC5219" w:rsidRPr="008A2B8F" w:rsidRDefault="00BC5219" w:rsidP="00BC5219">
      <w:pPr>
        <w:spacing w:before="120"/>
        <w:rPr>
          <w:rFonts w:ascii="Meta Pro" w:eastAsia="Times New Roman" w:hAnsi="Meta Pro"/>
          <w:szCs w:val="18"/>
          <w:lang w:eastAsia="en-AU"/>
        </w:rPr>
      </w:pPr>
      <w:r w:rsidRPr="008A2B8F">
        <w:rPr>
          <w:rFonts w:ascii="Meta Pro" w:eastAsia="Times New Roman" w:hAnsi="Meta Pro"/>
          <w:szCs w:val="18"/>
          <w:lang w:eastAsia="en-AU"/>
        </w:rPr>
        <w:t>The objective of this service area is to maintain and operate an integrated transport network accessible to all.</w:t>
      </w:r>
    </w:p>
    <w:p w14:paraId="0B302E9E" w14:textId="77777777" w:rsidR="00BC5219" w:rsidRPr="008A2B8F" w:rsidRDefault="00BC5219" w:rsidP="00BC5219">
      <w:pPr>
        <w:spacing w:before="120"/>
        <w:rPr>
          <w:rFonts w:ascii="Meta Pro" w:eastAsia="Times New Roman" w:hAnsi="Meta Pro"/>
          <w:b/>
          <w:bCs/>
          <w:szCs w:val="18"/>
          <w:lang w:eastAsia="en-AU"/>
        </w:rPr>
      </w:pPr>
      <w:r w:rsidRPr="008A2B8F">
        <w:rPr>
          <w:rFonts w:ascii="Meta Pro" w:eastAsia="Times New Roman" w:hAnsi="Meta Pro"/>
          <w:b/>
          <w:bCs/>
          <w:szCs w:val="18"/>
          <w:lang w:eastAsia="en-AU"/>
        </w:rPr>
        <w:t xml:space="preserve">Transport safety and regulation </w:t>
      </w:r>
    </w:p>
    <w:p w14:paraId="52790976" w14:textId="77777777" w:rsidR="00BC5219" w:rsidRPr="008A2B8F" w:rsidRDefault="00BC5219" w:rsidP="00BC5219">
      <w:pPr>
        <w:spacing w:before="120"/>
        <w:rPr>
          <w:rFonts w:ascii="Meta Pro" w:eastAsia="Times New Roman" w:hAnsi="Meta Pro"/>
          <w:szCs w:val="18"/>
          <w:lang w:eastAsia="en-AU"/>
        </w:rPr>
      </w:pPr>
      <w:r w:rsidRPr="008A2B8F">
        <w:rPr>
          <w:rFonts w:ascii="Meta Pro" w:eastAsia="Times New Roman" w:hAnsi="Meta Pro"/>
          <w:szCs w:val="18"/>
          <w:lang w:eastAsia="en-AU"/>
        </w:rPr>
        <w:t>The objective of this service area is to enhance the safety of the transport system through quality regulation, road and maritime safety programs.</w:t>
      </w:r>
    </w:p>
    <w:p w14:paraId="086CD833" w14:textId="77777777" w:rsidR="00BC5219" w:rsidRPr="008A2B8F" w:rsidRDefault="00BC5219" w:rsidP="00BC5219">
      <w:pPr>
        <w:spacing w:before="120"/>
        <w:rPr>
          <w:rFonts w:ascii="Meta Pro" w:eastAsia="Times New Roman" w:hAnsi="Meta Pro"/>
          <w:szCs w:val="18"/>
          <w:lang w:eastAsia="en-AU"/>
        </w:rPr>
      </w:pPr>
    </w:p>
    <w:p w14:paraId="52AED852" w14:textId="77777777" w:rsidR="00BC5219" w:rsidRDefault="00BC5219" w:rsidP="00BC5219">
      <w:pPr>
        <w:pBdr>
          <w:bottom w:val="single" w:sz="4" w:space="1" w:color="auto"/>
        </w:pBdr>
        <w:rPr>
          <w:rFonts w:ascii="Meta Pro" w:eastAsia="Times New Roman" w:hAnsi="Meta Pro"/>
          <w:i/>
          <w:iCs/>
          <w:color w:val="000000" w:themeColor="text1"/>
          <w:lang w:eastAsia="en-AU"/>
        </w:rPr>
      </w:pPr>
    </w:p>
    <w:p w14:paraId="18AD99AF"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r w:rsidRPr="008A2B8F">
        <w:rPr>
          <w:rFonts w:ascii="Meta Pro" w:eastAsia="Times New Roman" w:hAnsi="Meta Pro"/>
          <w:i/>
          <w:iCs/>
          <w:color w:val="000000" w:themeColor="text1"/>
          <w:lang w:eastAsia="en-AU"/>
        </w:rPr>
        <w:t>Department of Transport and Main Roads</w:t>
      </w:r>
    </w:p>
    <w:p w14:paraId="56ED8486"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Notes to the financial statements 2022–23 (continued)</w:t>
      </w:r>
    </w:p>
    <w:p w14:paraId="7101DA20" w14:textId="77777777" w:rsidR="00BC5219" w:rsidRPr="008A2B8F" w:rsidRDefault="00BC5219" w:rsidP="00BC5219">
      <w:pPr>
        <w:spacing w:line="259" w:lineRule="auto"/>
        <w:rPr>
          <w:rFonts w:ascii="Meta Pro" w:hAnsi="Meta Pro"/>
          <w:b/>
          <w:bCs/>
          <w:lang w:eastAsia="en-AU"/>
        </w:rPr>
      </w:pPr>
      <w:r w:rsidRPr="008A2B8F">
        <w:rPr>
          <w:rFonts w:ascii="Meta Pro" w:hAnsi="Meta Pro"/>
          <w:b/>
          <w:bCs/>
          <w:lang w:eastAsia="en-AU"/>
        </w:rPr>
        <w:t>1</w:t>
      </w:r>
      <w:r w:rsidRPr="008A2B8F">
        <w:rPr>
          <w:rFonts w:ascii="Meta Pro" w:hAnsi="Meta Pro"/>
          <w:b/>
          <w:bCs/>
          <w:lang w:eastAsia="en-AU"/>
        </w:rPr>
        <w:tab/>
        <w:t>ACCOUNTING POLICIES AND BASIS FOR FINANCIAL STATEMENTS PREPARATION (continued)</w:t>
      </w:r>
    </w:p>
    <w:p w14:paraId="6F19E878" w14:textId="77777777" w:rsidR="00BC5219" w:rsidRPr="008A2B8F" w:rsidRDefault="00BC5219" w:rsidP="00BC5219">
      <w:pPr>
        <w:spacing w:before="120"/>
        <w:rPr>
          <w:rFonts w:ascii="Meta Pro" w:eastAsia="Times New Roman" w:hAnsi="Meta Pro"/>
          <w:b/>
          <w:bCs/>
          <w:szCs w:val="18"/>
          <w:lang w:eastAsia="en-AU"/>
        </w:rPr>
      </w:pPr>
      <w:r w:rsidRPr="008A2B8F">
        <w:rPr>
          <w:rFonts w:ascii="Meta Pro" w:eastAsia="Times New Roman" w:hAnsi="Meta Pro"/>
          <w:b/>
          <w:bCs/>
          <w:szCs w:val="18"/>
          <w:lang w:eastAsia="en-AU"/>
        </w:rPr>
        <w:t>DEPARTMENTAL SERVICES AND PRINCIPAL ACTIVITIES (continued)</w:t>
      </w:r>
    </w:p>
    <w:p w14:paraId="4FF844B2" w14:textId="77777777" w:rsidR="00BC5219" w:rsidRPr="008A2B8F" w:rsidRDefault="00BC5219" w:rsidP="00BC5219">
      <w:pPr>
        <w:spacing w:before="120"/>
        <w:rPr>
          <w:rFonts w:ascii="Meta Pro" w:eastAsia="Times New Roman" w:hAnsi="Meta Pro"/>
          <w:b/>
          <w:bCs/>
          <w:szCs w:val="18"/>
          <w:lang w:eastAsia="en-AU"/>
        </w:rPr>
      </w:pPr>
      <w:r w:rsidRPr="008A2B8F">
        <w:rPr>
          <w:rFonts w:ascii="Meta Pro" w:eastAsia="Times New Roman" w:hAnsi="Meta Pro"/>
          <w:b/>
          <w:bCs/>
          <w:szCs w:val="18"/>
          <w:lang w:eastAsia="en-AU"/>
        </w:rPr>
        <w:t>Customer experience</w:t>
      </w:r>
    </w:p>
    <w:p w14:paraId="0270394F" w14:textId="77777777" w:rsidR="00BC5219" w:rsidRPr="008A2B8F" w:rsidRDefault="00BC5219" w:rsidP="00BC5219">
      <w:pPr>
        <w:spacing w:before="120"/>
        <w:rPr>
          <w:rFonts w:ascii="Meta Pro" w:eastAsia="Times New Roman" w:hAnsi="Meta Pro"/>
          <w:szCs w:val="18"/>
          <w:lang w:eastAsia="en-AU"/>
        </w:rPr>
      </w:pPr>
      <w:r w:rsidRPr="008A2B8F">
        <w:rPr>
          <w:rFonts w:ascii="Meta Pro" w:eastAsia="Times New Roman" w:hAnsi="Meta Pro"/>
          <w:szCs w:val="18"/>
          <w:lang w:eastAsia="en-AU"/>
        </w:rPr>
        <w:t>The objective of this service area is to understand evolving customer needs and expectations, to improve customer experiences and reduce complaints.</w:t>
      </w:r>
    </w:p>
    <w:p w14:paraId="26533A9B" w14:textId="77777777" w:rsidR="00BC5219" w:rsidRPr="008A2B8F" w:rsidRDefault="00BC5219" w:rsidP="00BC5219">
      <w:pPr>
        <w:spacing w:before="120"/>
        <w:rPr>
          <w:rFonts w:ascii="Meta Pro" w:eastAsia="Times New Roman" w:hAnsi="Meta Pro"/>
          <w:b/>
          <w:bCs/>
          <w:szCs w:val="18"/>
          <w:lang w:eastAsia="en-AU"/>
        </w:rPr>
      </w:pPr>
      <w:r w:rsidRPr="008A2B8F">
        <w:rPr>
          <w:rFonts w:ascii="Meta Pro" w:eastAsia="Times New Roman" w:hAnsi="Meta Pro"/>
          <w:b/>
          <w:bCs/>
          <w:szCs w:val="18"/>
          <w:lang w:eastAsia="en-AU"/>
        </w:rPr>
        <w:t>Passenger transport services</w:t>
      </w:r>
    </w:p>
    <w:p w14:paraId="61FC1AE9" w14:textId="77777777" w:rsidR="00BC5219" w:rsidRPr="008A2B8F" w:rsidRDefault="00BC5219" w:rsidP="00BC5219">
      <w:pPr>
        <w:spacing w:before="120"/>
        <w:rPr>
          <w:rFonts w:ascii="Meta Pro" w:eastAsia="Times New Roman" w:hAnsi="Meta Pro"/>
          <w:szCs w:val="18"/>
          <w:lang w:eastAsia="en-AU"/>
        </w:rPr>
      </w:pPr>
      <w:r w:rsidRPr="008A2B8F">
        <w:rPr>
          <w:rFonts w:ascii="Meta Pro" w:eastAsia="Times New Roman" w:hAnsi="Meta Pro"/>
          <w:szCs w:val="18"/>
          <w:lang w:eastAsia="en-AU"/>
        </w:rPr>
        <w:t>The objective of this service area is to connect Queensland through reliable and accessible passenger transport services.</w:t>
      </w:r>
    </w:p>
    <w:p w14:paraId="1FA13BE1" w14:textId="77777777" w:rsidR="00BC5219" w:rsidRPr="008A2B8F" w:rsidRDefault="00BC5219" w:rsidP="00BC5219">
      <w:pPr>
        <w:spacing w:before="120"/>
        <w:rPr>
          <w:rFonts w:ascii="Meta Pro" w:eastAsia="Times New Roman" w:hAnsi="Meta Pro"/>
          <w:b/>
          <w:bCs/>
          <w:szCs w:val="18"/>
          <w:lang w:eastAsia="en-AU"/>
        </w:rPr>
      </w:pPr>
      <w:r w:rsidRPr="008A2B8F">
        <w:rPr>
          <w:rFonts w:ascii="Meta Pro" w:eastAsia="Times New Roman" w:hAnsi="Meta Pro"/>
          <w:b/>
          <w:bCs/>
          <w:szCs w:val="18"/>
          <w:lang w:eastAsia="en-AU"/>
        </w:rPr>
        <w:t>Transport infrastructure construction and maintenance (RoadTek)</w:t>
      </w:r>
    </w:p>
    <w:p w14:paraId="0782FB69" w14:textId="77777777" w:rsidR="00BC5219" w:rsidRPr="008A2B8F" w:rsidRDefault="00BC5219" w:rsidP="00BC5219">
      <w:pPr>
        <w:spacing w:before="120"/>
        <w:rPr>
          <w:rFonts w:ascii="Meta Pro" w:eastAsia="Times New Roman" w:hAnsi="Meta Pro"/>
          <w:szCs w:val="18"/>
          <w:lang w:eastAsia="en-AU"/>
        </w:rPr>
      </w:pPr>
      <w:r w:rsidRPr="008A2B8F">
        <w:rPr>
          <w:rFonts w:ascii="Meta Pro" w:eastAsia="Times New Roman" w:hAnsi="Meta Pro"/>
          <w:szCs w:val="18"/>
          <w:lang w:eastAsia="en-AU"/>
        </w:rPr>
        <w:t>RoadTek provides transport infrastructure solutions, including construction and maintenance services, to enable the department to deliver on Queensland Government priorities, with a focus on best value outcomes for our customers, stakeholders and the community.</w:t>
      </w:r>
    </w:p>
    <w:p w14:paraId="46F3A85C" w14:textId="77777777" w:rsidR="00BC5219" w:rsidRPr="008A2B8F" w:rsidRDefault="00BC5219" w:rsidP="00BC5219">
      <w:pPr>
        <w:spacing w:before="120"/>
        <w:rPr>
          <w:rFonts w:ascii="Meta Pro" w:eastAsia="Times New Roman" w:hAnsi="Meta Pro"/>
          <w:b/>
          <w:bCs/>
          <w:szCs w:val="18"/>
          <w:lang w:eastAsia="en-AU"/>
        </w:rPr>
      </w:pPr>
      <w:r w:rsidRPr="008A2B8F">
        <w:rPr>
          <w:rFonts w:ascii="Meta Pro" w:eastAsia="Times New Roman" w:hAnsi="Meta Pro"/>
          <w:b/>
          <w:bCs/>
          <w:szCs w:val="18"/>
          <w:lang w:eastAsia="en-AU"/>
        </w:rPr>
        <w:t>Customer and digital services</w:t>
      </w:r>
    </w:p>
    <w:p w14:paraId="0C8EBAA0" w14:textId="77777777" w:rsidR="00BC5219" w:rsidRPr="008A2B8F" w:rsidRDefault="00BC5219" w:rsidP="00BC5219">
      <w:pPr>
        <w:spacing w:before="120"/>
        <w:rPr>
          <w:rFonts w:ascii="Meta Pro" w:eastAsia="Times New Roman" w:hAnsi="Meta Pro"/>
          <w:b/>
          <w:bCs/>
          <w:color w:val="FF0000"/>
          <w:szCs w:val="18"/>
          <w:lang w:eastAsia="en-AU"/>
        </w:rPr>
      </w:pPr>
      <w:r w:rsidRPr="008A2B8F">
        <w:rPr>
          <w:rFonts w:ascii="Meta Pro" w:eastAsia="Times New Roman" w:hAnsi="Meta Pro"/>
          <w:szCs w:val="18"/>
          <w:lang w:eastAsia="en-AU"/>
        </w:rPr>
        <w:t>The objective of this service area is to put Queenslanders and their businesses at the heart of government service delivery and oversees investments to enable successful delivery of a digitally enabled economy.</w:t>
      </w:r>
    </w:p>
    <w:p w14:paraId="5A9A4080" w14:textId="77777777" w:rsidR="00BC5219" w:rsidRPr="008A2B8F" w:rsidRDefault="00BC5219" w:rsidP="00BC5219">
      <w:pPr>
        <w:spacing w:before="120"/>
        <w:rPr>
          <w:rFonts w:ascii="Meta Pro" w:eastAsia="Times New Roman" w:hAnsi="Meta Pro"/>
          <w:szCs w:val="18"/>
          <w:lang w:eastAsia="en-AU"/>
        </w:rPr>
      </w:pPr>
      <w:r w:rsidRPr="008A2B8F">
        <w:rPr>
          <w:rFonts w:ascii="Meta Pro" w:eastAsia="Times New Roman" w:hAnsi="Meta Pro"/>
          <w:b/>
          <w:bCs/>
          <w:szCs w:val="18"/>
          <w:lang w:eastAsia="en-AU"/>
        </w:rPr>
        <w:t>Centre for Information Technology and Communications (CITEC)</w:t>
      </w:r>
    </w:p>
    <w:p w14:paraId="6AA94710" w14:textId="77777777" w:rsidR="00BC5219" w:rsidRPr="008A2B8F" w:rsidRDefault="00BC5219" w:rsidP="00BC5219">
      <w:pPr>
        <w:spacing w:before="120"/>
        <w:rPr>
          <w:rFonts w:ascii="Meta Pro" w:eastAsia="Times New Roman" w:hAnsi="Meta Pro"/>
          <w:b/>
          <w:bCs/>
          <w:szCs w:val="18"/>
          <w:lang w:eastAsia="en-AU"/>
        </w:rPr>
      </w:pPr>
      <w:r w:rsidRPr="008A2B8F">
        <w:rPr>
          <w:rFonts w:ascii="Meta Pro" w:eastAsia="Times New Roman" w:hAnsi="Meta Pro"/>
          <w:szCs w:val="18"/>
          <w:lang w:eastAsia="en-AU"/>
        </w:rPr>
        <w:t>CITEC provides high quality, cost effective, whole-of-government information and technology solutions that support the delivery of quality frontline services to Queensland communities and businesses.</w:t>
      </w:r>
    </w:p>
    <w:p w14:paraId="7B182579" w14:textId="77777777" w:rsidR="00BC5219" w:rsidRPr="008A2B8F" w:rsidRDefault="00BC5219" w:rsidP="00BC5219">
      <w:pPr>
        <w:spacing w:before="120"/>
        <w:rPr>
          <w:rFonts w:ascii="Meta Pro" w:eastAsia="Times New Roman" w:hAnsi="Meta Pro"/>
          <w:b/>
          <w:bCs/>
          <w:szCs w:val="18"/>
          <w:lang w:eastAsia="en-AU"/>
        </w:rPr>
      </w:pPr>
      <w:r w:rsidRPr="008A2B8F">
        <w:rPr>
          <w:rFonts w:ascii="Meta Pro" w:eastAsia="Times New Roman" w:hAnsi="Meta Pro"/>
          <w:b/>
          <w:bCs/>
          <w:szCs w:val="18"/>
          <w:lang w:eastAsia="en-AU"/>
        </w:rPr>
        <w:t>Queensland Shared Services</w:t>
      </w:r>
    </w:p>
    <w:p w14:paraId="68628C0A" w14:textId="77777777" w:rsidR="00BC5219" w:rsidRPr="008A2B8F" w:rsidRDefault="00BC5219" w:rsidP="00BC5219">
      <w:pPr>
        <w:spacing w:before="120"/>
        <w:rPr>
          <w:rFonts w:ascii="Meta Pro" w:eastAsia="Times New Roman" w:hAnsi="Meta Pro"/>
          <w:b/>
          <w:bCs/>
          <w:color w:val="FF0000"/>
          <w:szCs w:val="18"/>
          <w:lang w:eastAsia="en-AU"/>
        </w:rPr>
      </w:pPr>
      <w:r w:rsidRPr="008A2B8F">
        <w:rPr>
          <w:rFonts w:ascii="Meta Pro" w:eastAsia="Times New Roman" w:hAnsi="Meta Pro"/>
          <w:szCs w:val="18"/>
          <w:lang w:eastAsia="en-AU"/>
        </w:rPr>
        <w:t xml:space="preserve">The objective of this service area is to provide easy and effective corporate services and supporting technologies that enable agencies to deliver high quality services to Queenslanders.  </w:t>
      </w:r>
    </w:p>
    <w:p w14:paraId="27A349DB" w14:textId="77777777" w:rsidR="00BC5219" w:rsidRPr="008A2B8F" w:rsidRDefault="00BC5219" w:rsidP="00BC5219">
      <w:pPr>
        <w:spacing w:before="120"/>
        <w:rPr>
          <w:rFonts w:ascii="Meta Pro" w:eastAsia="Times New Roman" w:hAnsi="Meta Pro"/>
          <w:b/>
          <w:bCs/>
          <w:szCs w:val="18"/>
          <w:lang w:eastAsia="en-AU"/>
        </w:rPr>
      </w:pPr>
      <w:r w:rsidRPr="008A2B8F">
        <w:rPr>
          <w:rFonts w:ascii="Meta Pro" w:eastAsia="Times New Roman" w:hAnsi="Meta Pro"/>
          <w:b/>
          <w:bCs/>
          <w:szCs w:val="18"/>
          <w:lang w:eastAsia="en-AU"/>
        </w:rPr>
        <w:t>Corporate Administration Agency</w:t>
      </w:r>
    </w:p>
    <w:p w14:paraId="3E551174" w14:textId="77777777" w:rsidR="00BC5219" w:rsidRPr="008A2B8F" w:rsidRDefault="00BC5219" w:rsidP="00BC5219">
      <w:pPr>
        <w:spacing w:before="120"/>
        <w:rPr>
          <w:rFonts w:ascii="Meta Pro" w:eastAsia="Times New Roman" w:hAnsi="Meta Pro"/>
          <w:b/>
          <w:bCs/>
          <w:szCs w:val="18"/>
          <w:lang w:eastAsia="en-AU"/>
        </w:rPr>
      </w:pPr>
      <w:r w:rsidRPr="008A2B8F">
        <w:rPr>
          <w:rFonts w:ascii="Meta Pro" w:eastAsia="Times New Roman" w:hAnsi="Meta Pro"/>
          <w:szCs w:val="18"/>
          <w:lang w:eastAsia="en-AU"/>
        </w:rPr>
        <w:t>The objective of this service area is to provide value-for-money corporate services to customers.</w:t>
      </w:r>
    </w:p>
    <w:p w14:paraId="608B6023" w14:textId="77777777" w:rsidR="00BC5219" w:rsidRPr="008A2B8F" w:rsidRDefault="00BC5219" w:rsidP="00BC5219">
      <w:pPr>
        <w:spacing w:before="120"/>
        <w:rPr>
          <w:rFonts w:ascii="Meta Pro" w:eastAsia="Times New Roman" w:hAnsi="Meta Pro"/>
          <w:b/>
          <w:bCs/>
          <w:szCs w:val="18"/>
          <w:lang w:eastAsia="en-AU"/>
        </w:rPr>
      </w:pPr>
      <w:r w:rsidRPr="008A2B8F">
        <w:rPr>
          <w:rFonts w:ascii="Meta Pro" w:eastAsia="Times New Roman" w:hAnsi="Meta Pro"/>
          <w:b/>
          <w:bCs/>
          <w:szCs w:val="18"/>
          <w:lang w:eastAsia="en-AU"/>
        </w:rPr>
        <w:t>AGENCY ARRANGEMENTS</w:t>
      </w:r>
    </w:p>
    <w:p w14:paraId="5DF4061D" w14:textId="77777777" w:rsidR="00BC5219" w:rsidRPr="008A2B8F" w:rsidRDefault="00BC5219" w:rsidP="00BC5219">
      <w:pPr>
        <w:spacing w:before="120"/>
        <w:rPr>
          <w:rFonts w:ascii="Meta Pro" w:eastAsia="Times New Roman" w:hAnsi="Meta Pro"/>
          <w:szCs w:val="18"/>
          <w:lang w:eastAsia="en-AU"/>
        </w:rPr>
      </w:pPr>
      <w:r w:rsidRPr="008A2B8F">
        <w:rPr>
          <w:rFonts w:ascii="Meta Pro" w:eastAsia="Times New Roman" w:hAnsi="Meta Pro"/>
          <w:szCs w:val="18"/>
          <w:lang w:eastAsia="en-AU"/>
        </w:rPr>
        <w:t>The department performs certain transactions in an agent capacity, and the receipts of such funds are not considered to be revenue for the department, nor are payments of these amounts considered to be expenses of the department. These transactions are not recognised in the financial statements but are disclosed in these notes for the information of users. Significant agency transactions are disclosed in Note 28.</w:t>
      </w:r>
    </w:p>
    <w:p w14:paraId="759B79D9" w14:textId="77777777" w:rsidR="00BC5219" w:rsidRPr="008A2B8F" w:rsidRDefault="00BC5219" w:rsidP="00BC5219">
      <w:pPr>
        <w:rPr>
          <w:rFonts w:ascii="Meta Pro" w:eastAsia="Times New Roman" w:hAnsi="Meta Pro"/>
          <w:szCs w:val="18"/>
          <w:lang w:eastAsia="en-AU"/>
        </w:rPr>
      </w:pPr>
    </w:p>
    <w:p w14:paraId="689E6893" w14:textId="77777777" w:rsidR="00BC5219" w:rsidRPr="008A2B8F" w:rsidRDefault="00BC5219" w:rsidP="00BC5219">
      <w:pPr>
        <w:rPr>
          <w:rFonts w:ascii="Meta Pro" w:eastAsia="Times New Roman" w:hAnsi="Meta Pro"/>
          <w:b/>
          <w:bCs/>
          <w:szCs w:val="18"/>
          <w:lang w:eastAsia="en-AU"/>
        </w:rPr>
      </w:pPr>
      <w:r w:rsidRPr="008A2B8F">
        <w:rPr>
          <w:rFonts w:ascii="Meta Pro" w:eastAsia="Times New Roman" w:hAnsi="Meta Pro"/>
          <w:b/>
          <w:bCs/>
          <w:szCs w:val="18"/>
          <w:lang w:eastAsia="en-AU"/>
        </w:rPr>
        <w:t>ACCOUNTING ESTIMATES AND JUDGEMENTS</w:t>
      </w:r>
    </w:p>
    <w:p w14:paraId="201EBB3A" w14:textId="77777777" w:rsidR="00BC5219" w:rsidRPr="008A2B8F" w:rsidRDefault="00BC5219" w:rsidP="00BC5219">
      <w:pPr>
        <w:spacing w:before="120"/>
        <w:rPr>
          <w:rFonts w:ascii="Meta Pro" w:eastAsia="Times New Roman" w:hAnsi="Meta Pro"/>
          <w:b/>
          <w:bCs/>
          <w:szCs w:val="18"/>
          <w:lang w:eastAsia="en-AU"/>
        </w:rPr>
      </w:pPr>
      <w:r w:rsidRPr="008A2B8F">
        <w:rPr>
          <w:rFonts w:ascii="Meta Pro" w:eastAsia="Times New Roman" w:hAnsi="Meta Pro"/>
          <w:szCs w:val="18"/>
          <w:lang w:eastAsia="en-AU"/>
        </w:rPr>
        <w:t>The preparation of financial statements necessarily requires the determination and use of certain critical accounting estimates, assumptions, and management judgements that have potential to cause a material adjustment to the carrying amounts of assets and liabilities within the next reporting period. Such estimates, judgements and underlying assumptions are reviewed on an ongoing basis. Revisions to accounting estimates are recognised in the period in which the estimate is revised and in future periods as relevant.</w:t>
      </w:r>
    </w:p>
    <w:p w14:paraId="56016228" w14:textId="77777777" w:rsidR="00BC5219" w:rsidRPr="008A2B8F" w:rsidRDefault="00BC5219" w:rsidP="00BC5219">
      <w:pPr>
        <w:spacing w:before="120"/>
        <w:rPr>
          <w:rFonts w:ascii="Meta Pro" w:eastAsia="Times New Roman" w:hAnsi="Meta Pro"/>
          <w:szCs w:val="18"/>
          <w:lang w:eastAsia="en-AU"/>
        </w:rPr>
      </w:pPr>
      <w:r w:rsidRPr="008A2B8F">
        <w:rPr>
          <w:rFonts w:ascii="Meta Pro" w:eastAsia="Times New Roman" w:hAnsi="Meta Pro"/>
          <w:szCs w:val="18"/>
          <w:lang w:eastAsia="en-AU"/>
        </w:rPr>
        <w:lastRenderedPageBreak/>
        <w:t>Estimates and assumptions that have a potential significant effect are outlined in the following financial statement notes:</w:t>
      </w:r>
    </w:p>
    <w:p w14:paraId="0E1F7A51" w14:textId="77777777" w:rsidR="00BC5219" w:rsidRPr="008A2B8F" w:rsidRDefault="00BC5219" w:rsidP="00BC5219">
      <w:pPr>
        <w:rPr>
          <w:rFonts w:ascii="Meta Pro" w:eastAsia="Times New Roman" w:hAnsi="Meta Pro"/>
          <w:szCs w:val="18"/>
          <w:lang w:eastAsia="en-AU"/>
        </w:rPr>
      </w:pPr>
      <w:r w:rsidRPr="008A2B8F">
        <w:rPr>
          <w:rFonts w:ascii="Meta Pro" w:eastAsia="Times New Roman" w:hAnsi="Meta Pro"/>
          <w:szCs w:val="18"/>
          <w:lang w:eastAsia="en-AU"/>
        </w:rPr>
        <w:t>•  Note 12 Receivables</w:t>
      </w:r>
    </w:p>
    <w:p w14:paraId="68A42A79" w14:textId="77777777" w:rsidR="00BC5219" w:rsidRPr="008A2B8F" w:rsidRDefault="00BC5219" w:rsidP="00BC5219">
      <w:pPr>
        <w:rPr>
          <w:rFonts w:ascii="Meta Pro" w:eastAsia="Times New Roman" w:hAnsi="Meta Pro"/>
          <w:szCs w:val="18"/>
          <w:lang w:eastAsia="en-AU"/>
        </w:rPr>
      </w:pPr>
      <w:r w:rsidRPr="008A2B8F">
        <w:rPr>
          <w:rFonts w:ascii="Meta Pro" w:eastAsia="Times New Roman" w:hAnsi="Meta Pro"/>
          <w:szCs w:val="18"/>
          <w:lang w:eastAsia="en-AU"/>
        </w:rPr>
        <w:t>•  Note 14 Intangible assets</w:t>
      </w:r>
    </w:p>
    <w:p w14:paraId="7CFE54DF" w14:textId="77777777" w:rsidR="00BC5219" w:rsidRPr="008A2B8F" w:rsidRDefault="00BC5219" w:rsidP="00BC5219">
      <w:pPr>
        <w:rPr>
          <w:rFonts w:ascii="Meta Pro" w:eastAsia="Times New Roman" w:hAnsi="Meta Pro"/>
          <w:szCs w:val="18"/>
          <w:lang w:eastAsia="en-AU"/>
        </w:rPr>
      </w:pPr>
      <w:r w:rsidRPr="008A2B8F">
        <w:rPr>
          <w:rFonts w:ascii="Meta Pro" w:eastAsia="Times New Roman" w:hAnsi="Meta Pro"/>
          <w:szCs w:val="18"/>
          <w:lang w:eastAsia="en-AU"/>
        </w:rPr>
        <w:t>•  Note 15 Property, plant and equipment</w:t>
      </w:r>
    </w:p>
    <w:p w14:paraId="440AE4F3" w14:textId="77777777" w:rsidR="00BC5219" w:rsidRPr="008A2B8F" w:rsidRDefault="00BC5219" w:rsidP="00BC5219">
      <w:pPr>
        <w:rPr>
          <w:rFonts w:ascii="Meta Pro" w:eastAsia="Times New Roman" w:hAnsi="Meta Pro"/>
          <w:szCs w:val="18"/>
          <w:lang w:eastAsia="en-AU"/>
        </w:rPr>
      </w:pPr>
      <w:r w:rsidRPr="008A2B8F">
        <w:rPr>
          <w:rFonts w:ascii="Meta Pro" w:eastAsia="Times New Roman" w:hAnsi="Meta Pro"/>
          <w:szCs w:val="18"/>
          <w:lang w:eastAsia="en-AU"/>
        </w:rPr>
        <w:t>•  Note 16 Public private partnerships</w:t>
      </w:r>
    </w:p>
    <w:p w14:paraId="70FE1484" w14:textId="77777777" w:rsidR="00BC5219" w:rsidRPr="008A2B8F" w:rsidRDefault="00BC5219" w:rsidP="00BC5219">
      <w:pPr>
        <w:rPr>
          <w:rFonts w:ascii="Meta Pro" w:eastAsia="Times New Roman" w:hAnsi="Meta Pro"/>
          <w:szCs w:val="18"/>
          <w:lang w:eastAsia="en-AU"/>
        </w:rPr>
      </w:pPr>
      <w:r w:rsidRPr="008A2B8F">
        <w:rPr>
          <w:rFonts w:ascii="Meta Pro" w:eastAsia="Times New Roman" w:hAnsi="Meta Pro"/>
          <w:szCs w:val="18"/>
          <w:lang w:eastAsia="en-AU"/>
        </w:rPr>
        <w:t>•  Note 20 Provisions.</w:t>
      </w:r>
    </w:p>
    <w:p w14:paraId="5E660EC7" w14:textId="77777777" w:rsidR="00BC5219" w:rsidRPr="008A2B8F" w:rsidRDefault="00BC5219" w:rsidP="00BC5219">
      <w:pPr>
        <w:rPr>
          <w:rFonts w:ascii="Meta Pro" w:eastAsia="Times New Roman" w:hAnsi="Meta Pro"/>
          <w:szCs w:val="18"/>
          <w:lang w:eastAsia="en-AU"/>
        </w:rPr>
      </w:pPr>
    </w:p>
    <w:p w14:paraId="0C51C7D4" w14:textId="77777777" w:rsidR="00BC5219" w:rsidRPr="008A2B8F" w:rsidRDefault="00BC5219" w:rsidP="00BC5219">
      <w:pPr>
        <w:rPr>
          <w:rFonts w:ascii="Meta Pro" w:eastAsia="Times New Roman" w:hAnsi="Meta Pro"/>
          <w:szCs w:val="18"/>
          <w:lang w:eastAsia="en-AU"/>
        </w:rPr>
      </w:pPr>
      <w:r w:rsidRPr="008A2B8F">
        <w:rPr>
          <w:rFonts w:ascii="Meta Pro" w:eastAsia="Times New Roman" w:hAnsi="Meta Pro"/>
          <w:b/>
          <w:bCs/>
          <w:szCs w:val="18"/>
          <w:lang w:eastAsia="en-AU"/>
        </w:rPr>
        <w:t>CURRENCY, ROUNDING AND COMPARATIVES</w:t>
      </w:r>
    </w:p>
    <w:p w14:paraId="386BDA32" w14:textId="77777777" w:rsidR="00BC5219" w:rsidRPr="008A2B8F" w:rsidRDefault="00BC5219" w:rsidP="00BC5219">
      <w:pPr>
        <w:spacing w:before="120"/>
        <w:rPr>
          <w:rFonts w:ascii="Meta Pro" w:eastAsia="Times New Roman" w:hAnsi="Meta Pro"/>
          <w:b/>
          <w:bCs/>
          <w:szCs w:val="18"/>
          <w:lang w:eastAsia="en-AU"/>
        </w:rPr>
      </w:pPr>
      <w:r w:rsidRPr="008A2B8F">
        <w:rPr>
          <w:rFonts w:ascii="Meta Pro" w:eastAsia="Times New Roman" w:hAnsi="Meta Pro"/>
          <w:szCs w:val="18"/>
          <w:lang w:eastAsia="en-AU"/>
        </w:rPr>
        <w:t>Amounts included in the financial statements are in Australian dollars and have been rounded to the nearest $1000, or where that amount is $500 or less, to zero, unless disclosure of the full amount is specifically required.</w:t>
      </w:r>
    </w:p>
    <w:p w14:paraId="1C9E8343" w14:textId="77777777" w:rsidR="00BC5219" w:rsidRPr="008A2B8F" w:rsidRDefault="00BC5219" w:rsidP="00BC5219">
      <w:pPr>
        <w:spacing w:before="120"/>
        <w:rPr>
          <w:rFonts w:ascii="Meta Pro" w:eastAsia="Times New Roman" w:hAnsi="Meta Pro"/>
          <w:szCs w:val="18"/>
          <w:lang w:eastAsia="en-AU"/>
        </w:rPr>
      </w:pPr>
      <w:r w:rsidRPr="008A2B8F">
        <w:rPr>
          <w:rFonts w:ascii="Meta Pro" w:eastAsia="Times New Roman" w:hAnsi="Meta Pro"/>
          <w:szCs w:val="18"/>
          <w:lang w:eastAsia="en-AU"/>
        </w:rPr>
        <w:t>Comparative information is restated where necessary to be consistent with disclosures in the current reporting period.</w:t>
      </w:r>
    </w:p>
    <w:p w14:paraId="081E65AE"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r w:rsidRPr="008A2B8F">
        <w:rPr>
          <w:rFonts w:ascii="Meta Pro" w:eastAsia="Times New Roman" w:hAnsi="Meta Pro"/>
          <w:i/>
          <w:iCs/>
          <w:color w:val="000000" w:themeColor="text1"/>
          <w:lang w:eastAsia="en-AU"/>
        </w:rPr>
        <w:t>Department of Transport and Main Roads</w:t>
      </w:r>
    </w:p>
    <w:p w14:paraId="112F6A81"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Notes to the financial statements 2022–23 (continued)</w:t>
      </w:r>
    </w:p>
    <w:p w14:paraId="6315835E" w14:textId="77777777" w:rsidR="00BC5219" w:rsidRPr="008A2B8F" w:rsidRDefault="00BC5219" w:rsidP="00BC5219">
      <w:pPr>
        <w:spacing w:line="259" w:lineRule="auto"/>
        <w:rPr>
          <w:rFonts w:ascii="Meta Pro" w:hAnsi="Meta Pro"/>
          <w:b/>
          <w:bCs/>
          <w:lang w:eastAsia="en-AU"/>
        </w:rPr>
      </w:pPr>
      <w:r w:rsidRPr="008A2B8F">
        <w:rPr>
          <w:rFonts w:ascii="Meta Pro" w:hAnsi="Meta Pro"/>
          <w:b/>
          <w:bCs/>
          <w:lang w:eastAsia="en-AU"/>
        </w:rPr>
        <w:t>1</w:t>
      </w:r>
      <w:r w:rsidRPr="008A2B8F">
        <w:rPr>
          <w:rFonts w:ascii="Meta Pro" w:hAnsi="Meta Pro"/>
          <w:b/>
          <w:bCs/>
          <w:lang w:eastAsia="en-AU"/>
        </w:rPr>
        <w:tab/>
        <w:t>ACCOUNTING POLICIES AND BASIS FOR FINANCIAL STATEMENTS PREPARATION (continued)</w:t>
      </w:r>
    </w:p>
    <w:p w14:paraId="4B5DA94E" w14:textId="77777777" w:rsidR="00BC5219" w:rsidRPr="008A2B8F" w:rsidRDefault="00BC5219" w:rsidP="00BC5219">
      <w:pPr>
        <w:spacing w:before="120"/>
        <w:rPr>
          <w:rFonts w:ascii="Meta Pro" w:eastAsia="Times New Roman" w:hAnsi="Meta Pro"/>
          <w:b/>
          <w:bCs/>
          <w:szCs w:val="18"/>
          <w:lang w:eastAsia="en-AU"/>
        </w:rPr>
      </w:pPr>
      <w:r w:rsidRPr="008A2B8F">
        <w:rPr>
          <w:rFonts w:ascii="Meta Pro" w:eastAsia="Times New Roman" w:hAnsi="Meta Pro"/>
          <w:b/>
          <w:bCs/>
          <w:szCs w:val="18"/>
          <w:lang w:eastAsia="en-AU"/>
        </w:rPr>
        <w:t>CLIMATE RISK DISCLOSURE</w:t>
      </w:r>
    </w:p>
    <w:p w14:paraId="6334EE59" w14:textId="77777777" w:rsidR="00BC5219" w:rsidRPr="008A2B8F" w:rsidRDefault="00BC5219" w:rsidP="00BC5219">
      <w:pPr>
        <w:spacing w:before="120"/>
        <w:rPr>
          <w:rFonts w:ascii="Meta Pro" w:eastAsia="Times New Roman" w:hAnsi="Meta Pro"/>
          <w:szCs w:val="18"/>
          <w:lang w:eastAsia="en-AU"/>
        </w:rPr>
      </w:pPr>
      <w:r w:rsidRPr="008A2B8F">
        <w:rPr>
          <w:rFonts w:ascii="Meta Pro" w:eastAsia="Times New Roman" w:hAnsi="Meta Pro"/>
          <w:szCs w:val="18"/>
          <w:lang w:eastAsia="en-AU"/>
        </w:rPr>
        <w:t xml:space="preserve">The State of Queensland, as the ultimate parent of the Department of Transport and Main Roads, has published a wide range of information and resources on climate change risks, strategies and actions including the following whole-of-government publications: </w:t>
      </w:r>
    </w:p>
    <w:p w14:paraId="00A8C472" w14:textId="77777777" w:rsidR="00BC5219" w:rsidRPr="008A2B8F" w:rsidRDefault="00BC5219" w:rsidP="00BC5219">
      <w:pPr>
        <w:rPr>
          <w:rFonts w:ascii="Meta Pro" w:eastAsia="Times New Roman" w:hAnsi="Meta Pro"/>
          <w:szCs w:val="18"/>
          <w:lang w:eastAsia="en-AU"/>
        </w:rPr>
      </w:pPr>
      <w:r w:rsidRPr="008A2B8F">
        <w:rPr>
          <w:rFonts w:ascii="Meta Pro" w:eastAsia="Times New Roman" w:hAnsi="Meta Pro"/>
          <w:szCs w:val="18"/>
          <w:lang w:eastAsia="en-AU"/>
        </w:rPr>
        <w:t>•  Climate Action Plan 2020–30</w:t>
      </w:r>
    </w:p>
    <w:p w14:paraId="65850368" w14:textId="77777777" w:rsidR="00BC5219" w:rsidRPr="008A2B8F" w:rsidRDefault="00BC5219" w:rsidP="00BC5219">
      <w:pPr>
        <w:rPr>
          <w:rFonts w:ascii="Meta Pro" w:eastAsia="Times New Roman" w:hAnsi="Meta Pro"/>
          <w:szCs w:val="18"/>
          <w:lang w:eastAsia="en-AU"/>
        </w:rPr>
      </w:pPr>
      <w:r w:rsidRPr="008A2B8F">
        <w:rPr>
          <w:rFonts w:ascii="Meta Pro" w:eastAsia="Times New Roman" w:hAnsi="Meta Pro"/>
          <w:szCs w:val="18"/>
          <w:lang w:eastAsia="en-AU"/>
        </w:rPr>
        <w:t>•  Climate Adaptation Strategy</w:t>
      </w:r>
    </w:p>
    <w:p w14:paraId="3AE09D40" w14:textId="77777777" w:rsidR="00BC5219" w:rsidRPr="008A2B8F" w:rsidRDefault="00BC5219" w:rsidP="00BC5219">
      <w:pPr>
        <w:rPr>
          <w:rFonts w:ascii="Meta Pro" w:eastAsia="Times New Roman" w:hAnsi="Meta Pro"/>
          <w:szCs w:val="18"/>
          <w:lang w:eastAsia="en-AU"/>
        </w:rPr>
      </w:pPr>
      <w:r w:rsidRPr="008A2B8F">
        <w:rPr>
          <w:rFonts w:ascii="Meta Pro" w:eastAsia="Times New Roman" w:hAnsi="Meta Pro"/>
          <w:szCs w:val="18"/>
          <w:lang w:eastAsia="en-AU"/>
        </w:rPr>
        <w:t>•  Queensland Energy and Jobs Plan</w:t>
      </w:r>
    </w:p>
    <w:p w14:paraId="55FD77D7" w14:textId="77777777" w:rsidR="00BC5219" w:rsidRPr="008A2B8F" w:rsidRDefault="00BC5219" w:rsidP="00BC5219">
      <w:pPr>
        <w:rPr>
          <w:rFonts w:ascii="Meta Pro" w:eastAsia="Times New Roman" w:hAnsi="Meta Pro"/>
          <w:szCs w:val="18"/>
          <w:lang w:eastAsia="en-AU"/>
        </w:rPr>
      </w:pPr>
      <w:r w:rsidRPr="008A2B8F">
        <w:rPr>
          <w:rFonts w:ascii="Meta Pro" w:eastAsia="Times New Roman" w:hAnsi="Meta Pro"/>
          <w:szCs w:val="18"/>
          <w:lang w:eastAsia="en-AU"/>
        </w:rPr>
        <w:t>•  Queensland Sustainability Report.</w:t>
      </w:r>
    </w:p>
    <w:p w14:paraId="77EB59E7" w14:textId="77777777" w:rsidR="00BC5219" w:rsidRPr="008A2B8F" w:rsidRDefault="00BC5219" w:rsidP="00BC5219">
      <w:pPr>
        <w:spacing w:before="120"/>
        <w:rPr>
          <w:rFonts w:ascii="Meta Pro" w:eastAsia="Times New Roman" w:hAnsi="Meta Pro"/>
          <w:szCs w:val="18"/>
          <w:lang w:eastAsia="en-AU"/>
        </w:rPr>
      </w:pPr>
      <w:r w:rsidRPr="008A2B8F">
        <w:rPr>
          <w:rFonts w:ascii="Meta Pro" w:eastAsia="Times New Roman" w:hAnsi="Meta Pro"/>
          <w:szCs w:val="18"/>
          <w:lang w:eastAsia="en-AU"/>
        </w:rPr>
        <w:t>The department continues to monitor the emergence of material climate-related risks that may impact the financial statements, including those arising under the Queensland Government Climate Action Plan 2020–2030, other Government publications and directives.</w:t>
      </w:r>
    </w:p>
    <w:p w14:paraId="1AE4FB37" w14:textId="77777777" w:rsidR="00BC5219" w:rsidRPr="008A2B8F" w:rsidRDefault="00BC5219" w:rsidP="00BC5219">
      <w:pPr>
        <w:spacing w:before="120"/>
        <w:rPr>
          <w:rFonts w:ascii="Meta Pro" w:eastAsia="Times New Roman" w:hAnsi="Meta Pro"/>
          <w:szCs w:val="18"/>
          <w:lang w:eastAsia="en-AU"/>
        </w:rPr>
      </w:pPr>
      <w:r w:rsidRPr="008A2B8F">
        <w:rPr>
          <w:rFonts w:ascii="Meta Pro" w:eastAsia="Times New Roman" w:hAnsi="Meta Pro"/>
          <w:szCs w:val="18"/>
          <w:lang w:eastAsia="en-AU"/>
        </w:rPr>
        <w:t>The department considers specific financial impacts relating to climate related risks by identifying and monitoring material accounting judgements and estimates used in preparing the financial report. This includes the potential for changes in asset useful lives, changes in the fair value of assets, provisions or contingent liabilities and changes in expenses and revenue.</w:t>
      </w:r>
    </w:p>
    <w:p w14:paraId="5D86300A" w14:textId="77777777" w:rsidR="00BC5219" w:rsidRPr="008A2B8F" w:rsidRDefault="00BC5219" w:rsidP="00BC5219">
      <w:pPr>
        <w:spacing w:before="120"/>
        <w:rPr>
          <w:rFonts w:ascii="Meta Pro" w:eastAsia="Times New Roman" w:hAnsi="Meta Pro"/>
          <w:szCs w:val="18"/>
          <w:lang w:eastAsia="en-AU"/>
        </w:rPr>
      </w:pPr>
      <w:r w:rsidRPr="008A2B8F">
        <w:rPr>
          <w:rFonts w:ascii="Meta Pro" w:eastAsia="Times New Roman" w:hAnsi="Meta Pro"/>
          <w:szCs w:val="18"/>
          <w:lang w:eastAsia="en-AU"/>
        </w:rPr>
        <w:t>The department has not identified any material climate related risks relevant to the financial statements at the reporting date, and no climate risk related adjustments have been recognised against the carrying value of recorded assets or other balances in the financial statements.</w:t>
      </w:r>
    </w:p>
    <w:p w14:paraId="7FEDDF46" w14:textId="77777777" w:rsidR="00BC5219" w:rsidRPr="008A2B8F" w:rsidRDefault="00BC5219" w:rsidP="00BC5219">
      <w:pPr>
        <w:spacing w:before="120"/>
        <w:rPr>
          <w:rFonts w:ascii="Meta Pro" w:eastAsia="Times New Roman" w:hAnsi="Meta Pro"/>
          <w:b/>
          <w:bCs/>
          <w:szCs w:val="18"/>
          <w:lang w:eastAsia="en-AU"/>
        </w:rPr>
      </w:pPr>
      <w:r w:rsidRPr="008A2B8F">
        <w:rPr>
          <w:rFonts w:ascii="Meta Pro" w:eastAsia="Times New Roman" w:hAnsi="Meta Pro"/>
          <w:b/>
          <w:bCs/>
          <w:szCs w:val="18"/>
          <w:lang w:eastAsia="en-AU"/>
        </w:rPr>
        <w:t>NEW AND REVISED ACCOUNTING STANDARDS</w:t>
      </w:r>
    </w:p>
    <w:p w14:paraId="639B72FE" w14:textId="77777777" w:rsidR="00BC5219" w:rsidRPr="008A2B8F" w:rsidRDefault="00BC5219" w:rsidP="00BC5219">
      <w:pPr>
        <w:spacing w:before="120"/>
        <w:rPr>
          <w:rFonts w:ascii="Meta Pro" w:eastAsia="Times New Roman" w:hAnsi="Meta Pro"/>
          <w:szCs w:val="18"/>
          <w:lang w:eastAsia="en-AU"/>
        </w:rPr>
      </w:pPr>
      <w:r w:rsidRPr="008A2B8F">
        <w:rPr>
          <w:rFonts w:ascii="Meta Pro" w:eastAsia="Times New Roman" w:hAnsi="Meta Pro"/>
          <w:szCs w:val="18"/>
          <w:lang w:eastAsia="en-AU"/>
        </w:rPr>
        <w:t xml:space="preserve">Australian Accounting Standards and Interpretations that have been issued or amended, but are not yet effective, have not been adopted by the department in accordance with Queensland Treasury policy. </w:t>
      </w:r>
    </w:p>
    <w:p w14:paraId="5D977022" w14:textId="77777777" w:rsidR="00BC5219" w:rsidRPr="008A2B8F" w:rsidRDefault="00BC5219" w:rsidP="00BC5219">
      <w:pPr>
        <w:rPr>
          <w:rFonts w:ascii="Meta Pro" w:eastAsia="Times New Roman" w:hAnsi="Meta Pro"/>
          <w:szCs w:val="18"/>
          <w:lang w:eastAsia="en-AU"/>
        </w:rPr>
      </w:pPr>
    </w:p>
    <w:p w14:paraId="15B5BDD8" w14:textId="77777777" w:rsidR="00BC5219" w:rsidRPr="008A2B8F" w:rsidRDefault="00BC5219" w:rsidP="00BC5219">
      <w:pPr>
        <w:rPr>
          <w:rFonts w:ascii="Meta Pro" w:eastAsia="Times New Roman" w:hAnsi="Meta Pro"/>
          <w:b/>
          <w:bCs/>
          <w:szCs w:val="18"/>
          <w:lang w:eastAsia="en-AU"/>
        </w:rPr>
      </w:pPr>
      <w:r w:rsidRPr="008A2B8F">
        <w:rPr>
          <w:rFonts w:ascii="Meta Pro" w:eastAsia="Times New Roman" w:hAnsi="Meta Pro"/>
          <w:b/>
          <w:bCs/>
          <w:szCs w:val="18"/>
          <w:lang w:eastAsia="en-AU"/>
        </w:rPr>
        <w:t>MACHINERY-OF-GOVERNMENT CHANGES</w:t>
      </w:r>
    </w:p>
    <w:p w14:paraId="7840B3C0" w14:textId="77777777" w:rsidR="00BC5219" w:rsidRPr="008A2B8F" w:rsidRDefault="00BC5219" w:rsidP="00BC5219">
      <w:pPr>
        <w:spacing w:before="120"/>
        <w:rPr>
          <w:rFonts w:ascii="Meta Pro" w:eastAsia="Times New Roman" w:hAnsi="Meta Pro"/>
          <w:b/>
          <w:bCs/>
          <w:szCs w:val="18"/>
          <w:lang w:eastAsia="en-AU"/>
        </w:rPr>
      </w:pPr>
      <w:r w:rsidRPr="008A2B8F">
        <w:rPr>
          <w:rFonts w:ascii="Meta Pro" w:eastAsia="Times New Roman" w:hAnsi="Meta Pro"/>
          <w:b/>
          <w:bCs/>
          <w:szCs w:val="18"/>
          <w:lang w:eastAsia="en-AU"/>
        </w:rPr>
        <w:t>Fines and penalty debt administration – Stage 2</w:t>
      </w:r>
    </w:p>
    <w:p w14:paraId="653CB400" w14:textId="77777777" w:rsidR="00BC5219" w:rsidRPr="008A2B8F" w:rsidRDefault="00BC5219" w:rsidP="00BC5219">
      <w:pPr>
        <w:spacing w:before="120"/>
        <w:rPr>
          <w:rFonts w:ascii="Meta Pro" w:eastAsia="Times New Roman" w:hAnsi="Meta Pro"/>
          <w:szCs w:val="18"/>
          <w:lang w:eastAsia="en-AU"/>
        </w:rPr>
      </w:pPr>
      <w:r w:rsidRPr="008A2B8F">
        <w:rPr>
          <w:rFonts w:ascii="Meta Pro" w:eastAsia="Times New Roman" w:hAnsi="Meta Pro"/>
          <w:szCs w:val="18"/>
          <w:lang w:eastAsia="en-AU"/>
        </w:rPr>
        <w:t>As a result of the Public Service Departmental Arrangements Notice (No.1) 2022, mobile phone and seatbelt offences and related penalty debt administration functions of the department were transferred to the Queensland Revenue Office within Queensland Treasury, effective from 1 December 2022. There were no assets or liabilities transferred as part of the arrangement, however 29 employees were transferred from the department to the Queensland Revenue Office.</w:t>
      </w:r>
    </w:p>
    <w:p w14:paraId="64D24987" w14:textId="77777777" w:rsidR="00BC5219" w:rsidRPr="008A2B8F" w:rsidRDefault="00BC5219" w:rsidP="00BC5219">
      <w:pPr>
        <w:spacing w:before="120"/>
        <w:rPr>
          <w:rFonts w:ascii="Meta Pro" w:eastAsia="Times New Roman" w:hAnsi="Meta Pro"/>
          <w:b/>
          <w:bCs/>
          <w:szCs w:val="18"/>
          <w:lang w:eastAsia="en-AU"/>
        </w:rPr>
      </w:pPr>
      <w:r w:rsidRPr="008A2B8F">
        <w:rPr>
          <w:rFonts w:ascii="Meta Pro" w:eastAsia="Times New Roman" w:hAnsi="Meta Pro"/>
          <w:b/>
          <w:bCs/>
          <w:szCs w:val="18"/>
          <w:lang w:eastAsia="en-AU"/>
        </w:rPr>
        <w:lastRenderedPageBreak/>
        <w:t xml:space="preserve">Queensland Government Customer and Digital Group </w:t>
      </w:r>
    </w:p>
    <w:p w14:paraId="725B9E9A" w14:textId="77777777" w:rsidR="00BC5219" w:rsidRPr="008A2B8F" w:rsidRDefault="00BC5219" w:rsidP="00BC5219">
      <w:pPr>
        <w:spacing w:before="120"/>
        <w:rPr>
          <w:rFonts w:ascii="Meta Pro" w:eastAsia="Times New Roman" w:hAnsi="Meta Pro"/>
          <w:b/>
          <w:bCs/>
          <w:color w:val="FF0000"/>
          <w:szCs w:val="18"/>
          <w:lang w:eastAsia="en-AU"/>
        </w:rPr>
      </w:pPr>
      <w:r w:rsidRPr="008A2B8F">
        <w:rPr>
          <w:rFonts w:ascii="Meta Pro" w:eastAsia="Times New Roman" w:hAnsi="Meta Pro"/>
          <w:szCs w:val="18"/>
          <w:lang w:eastAsia="en-AU"/>
        </w:rPr>
        <w:t xml:space="preserve">Public Service Departmental Arrangements Notice (No.2) 2023 dated 18 May 2023 transferred the functions of the Queensland Government Chief Customer and Digital Officer (QGCCDO) within the former Department of Communities, Housing and Digital Economy (DCHDE) to the Department of Transport and Main Roads. </w:t>
      </w:r>
    </w:p>
    <w:p w14:paraId="3FE05CA0" w14:textId="77777777" w:rsidR="00BC5219" w:rsidRPr="008A2B8F" w:rsidRDefault="00BC5219" w:rsidP="00BC5219">
      <w:pPr>
        <w:pStyle w:val="Default"/>
        <w:rPr>
          <w:rFonts w:ascii="Meta Pro" w:hAnsi="Meta Pro"/>
          <w:sz w:val="18"/>
          <w:szCs w:val="18"/>
        </w:rPr>
      </w:pPr>
    </w:p>
    <w:p w14:paraId="1D4E4882" w14:textId="77777777" w:rsidR="00BC5219" w:rsidRPr="008A2B8F" w:rsidRDefault="00BC5219" w:rsidP="00BC5219">
      <w:pPr>
        <w:pStyle w:val="Default"/>
        <w:rPr>
          <w:rFonts w:ascii="Meta Pro" w:eastAsia="Times New Roman" w:hAnsi="Meta Pro"/>
          <w:sz w:val="18"/>
          <w:szCs w:val="18"/>
          <w:lang w:eastAsia="en-AU"/>
        </w:rPr>
      </w:pPr>
      <w:r w:rsidRPr="008A2B8F">
        <w:rPr>
          <w:rFonts w:ascii="Meta Pro" w:eastAsia="Times New Roman" w:hAnsi="Meta Pro"/>
          <w:color w:val="auto"/>
          <w:sz w:val="18"/>
          <w:szCs w:val="18"/>
          <w:lang w:eastAsia="en-AU"/>
        </w:rPr>
        <w:t xml:space="preserve">Pursuant to section 80 of the </w:t>
      </w:r>
      <w:r w:rsidRPr="008A2B8F">
        <w:rPr>
          <w:rFonts w:ascii="Meta Pro" w:eastAsia="Times New Roman" w:hAnsi="Meta Pro"/>
          <w:i/>
          <w:iCs/>
          <w:color w:val="auto"/>
          <w:sz w:val="18"/>
          <w:szCs w:val="18"/>
          <w:lang w:eastAsia="en-AU"/>
        </w:rPr>
        <w:t>Financial Accountability Act 2009</w:t>
      </w:r>
      <w:r w:rsidRPr="008A2B8F">
        <w:rPr>
          <w:rFonts w:ascii="Meta Pro" w:eastAsia="Times New Roman" w:hAnsi="Meta Pro"/>
          <w:color w:val="auto"/>
          <w:sz w:val="18"/>
          <w:szCs w:val="18"/>
          <w:lang w:eastAsia="en-AU"/>
        </w:rPr>
        <w:t xml:space="preserve">, for financial reporting purposes the effective date of the transfer was 1 June 2023. </w:t>
      </w:r>
    </w:p>
    <w:p w14:paraId="5F4069A8" w14:textId="77777777" w:rsidR="00BC5219" w:rsidRPr="008A2B8F" w:rsidRDefault="00BC5219" w:rsidP="00BC5219">
      <w:pPr>
        <w:spacing w:before="120"/>
        <w:rPr>
          <w:rFonts w:ascii="Meta Pro" w:eastAsia="Times New Roman" w:hAnsi="Meta Pro"/>
          <w:szCs w:val="18"/>
          <w:lang w:eastAsia="en-AU"/>
        </w:rPr>
      </w:pPr>
      <w:r w:rsidRPr="008A2B8F">
        <w:rPr>
          <w:rFonts w:ascii="Meta Pro" w:eastAsia="Times New Roman" w:hAnsi="Meta Pro"/>
          <w:szCs w:val="18"/>
          <w:lang w:eastAsia="en-AU"/>
        </w:rPr>
        <w:t xml:space="preserve">The functions of Queensland Government Customer and Digital Group include: </w:t>
      </w:r>
    </w:p>
    <w:p w14:paraId="45224858" w14:textId="77777777" w:rsidR="00BC5219" w:rsidRPr="008A2B8F" w:rsidRDefault="00BC5219" w:rsidP="00BC5219">
      <w:pPr>
        <w:rPr>
          <w:rFonts w:ascii="Meta Pro" w:eastAsia="Times New Roman" w:hAnsi="Meta Pro"/>
          <w:szCs w:val="18"/>
          <w:lang w:eastAsia="en-AU"/>
        </w:rPr>
      </w:pPr>
      <w:r w:rsidRPr="008A2B8F">
        <w:rPr>
          <w:rFonts w:ascii="Meta Pro" w:eastAsia="Times New Roman" w:hAnsi="Meta Pro"/>
          <w:szCs w:val="18"/>
          <w:lang w:eastAsia="en-AU"/>
        </w:rPr>
        <w:t>•  Administration of Crown Copyright and Intellectual Property</w:t>
      </w:r>
    </w:p>
    <w:p w14:paraId="4F3E2A8A" w14:textId="77777777" w:rsidR="00BC5219" w:rsidRPr="008A2B8F" w:rsidRDefault="00BC5219" w:rsidP="00BC5219">
      <w:pPr>
        <w:rPr>
          <w:rFonts w:ascii="Meta Pro" w:eastAsia="Times New Roman" w:hAnsi="Meta Pro"/>
          <w:szCs w:val="18"/>
          <w:lang w:eastAsia="en-AU"/>
        </w:rPr>
      </w:pPr>
      <w:r w:rsidRPr="008A2B8F">
        <w:rPr>
          <w:rFonts w:ascii="Meta Pro" w:eastAsia="Times New Roman" w:hAnsi="Meta Pro"/>
          <w:szCs w:val="18"/>
          <w:lang w:eastAsia="en-AU"/>
        </w:rPr>
        <w:t>•  Cyber Security Operations and Management and Policy</w:t>
      </w:r>
    </w:p>
    <w:p w14:paraId="1EF2D06B" w14:textId="77777777" w:rsidR="00BC5219" w:rsidRPr="008A2B8F" w:rsidRDefault="00BC5219" w:rsidP="00BC5219">
      <w:pPr>
        <w:rPr>
          <w:rFonts w:ascii="Meta Pro" w:eastAsia="Times New Roman" w:hAnsi="Meta Pro"/>
          <w:szCs w:val="18"/>
          <w:lang w:eastAsia="en-AU"/>
        </w:rPr>
      </w:pPr>
      <w:r w:rsidRPr="008A2B8F">
        <w:rPr>
          <w:rFonts w:ascii="Meta Pro" w:eastAsia="Times New Roman" w:hAnsi="Meta Pro"/>
          <w:szCs w:val="18"/>
          <w:lang w:eastAsia="en-AU"/>
        </w:rPr>
        <w:t>•  Digital Economy</w:t>
      </w:r>
    </w:p>
    <w:p w14:paraId="64325C01" w14:textId="77777777" w:rsidR="00BC5219" w:rsidRPr="008A2B8F" w:rsidRDefault="00BC5219" w:rsidP="00BC5219">
      <w:pPr>
        <w:rPr>
          <w:rFonts w:ascii="Meta Pro" w:eastAsia="Times New Roman" w:hAnsi="Meta Pro"/>
          <w:szCs w:val="18"/>
          <w:lang w:eastAsia="en-AU"/>
        </w:rPr>
      </w:pPr>
      <w:r w:rsidRPr="008A2B8F">
        <w:rPr>
          <w:rFonts w:ascii="Meta Pro" w:eastAsia="Times New Roman" w:hAnsi="Meta Pro"/>
          <w:szCs w:val="18"/>
          <w:lang w:eastAsia="en-AU"/>
        </w:rPr>
        <w:t>•  Digital Transformation</w:t>
      </w:r>
    </w:p>
    <w:p w14:paraId="7B0088F9" w14:textId="77777777" w:rsidR="00BC5219" w:rsidRPr="008A2B8F" w:rsidRDefault="00BC5219" w:rsidP="00BC5219">
      <w:pPr>
        <w:rPr>
          <w:rFonts w:ascii="Meta Pro" w:eastAsia="Times New Roman" w:hAnsi="Meta Pro"/>
          <w:szCs w:val="18"/>
          <w:lang w:eastAsia="en-AU"/>
        </w:rPr>
      </w:pPr>
      <w:r w:rsidRPr="008A2B8F">
        <w:rPr>
          <w:rFonts w:ascii="Meta Pro" w:eastAsia="Times New Roman" w:hAnsi="Meta Pro"/>
          <w:szCs w:val="18"/>
          <w:lang w:eastAsia="en-AU"/>
        </w:rPr>
        <w:t>•  Facilitation of access to Government Owned Optical Fibre Networks</w:t>
      </w:r>
    </w:p>
    <w:p w14:paraId="5E93A6E6" w14:textId="77777777" w:rsidR="00BC5219" w:rsidRPr="008A2B8F" w:rsidRDefault="00BC5219" w:rsidP="00BC5219">
      <w:pPr>
        <w:rPr>
          <w:rFonts w:ascii="Meta Pro" w:eastAsia="Times New Roman" w:hAnsi="Meta Pro"/>
          <w:szCs w:val="18"/>
          <w:lang w:eastAsia="en-AU"/>
        </w:rPr>
      </w:pPr>
      <w:r w:rsidRPr="008A2B8F">
        <w:rPr>
          <w:rFonts w:ascii="Meta Pro" w:eastAsia="Times New Roman" w:hAnsi="Meta Pro"/>
          <w:szCs w:val="18"/>
          <w:lang w:eastAsia="en-AU"/>
        </w:rPr>
        <w:t>•  Government Information and Communication Technology Policy and Planning</w:t>
      </w:r>
    </w:p>
    <w:p w14:paraId="6176BBDD" w14:textId="77777777" w:rsidR="00BC5219" w:rsidRPr="008A2B8F" w:rsidRDefault="00BC5219" w:rsidP="00BC5219">
      <w:pPr>
        <w:rPr>
          <w:rFonts w:ascii="Meta Pro" w:eastAsia="Times New Roman" w:hAnsi="Meta Pro"/>
          <w:szCs w:val="18"/>
          <w:lang w:eastAsia="en-AU"/>
        </w:rPr>
      </w:pPr>
      <w:r w:rsidRPr="008A2B8F">
        <w:rPr>
          <w:rFonts w:ascii="Meta Pro" w:eastAsia="Times New Roman" w:hAnsi="Meta Pro"/>
          <w:szCs w:val="18"/>
          <w:lang w:eastAsia="en-AU"/>
        </w:rPr>
        <w:t>•  Government Wireless Network Contract Directorate</w:t>
      </w:r>
    </w:p>
    <w:p w14:paraId="23120639" w14:textId="77777777" w:rsidR="00BC5219" w:rsidRPr="008A2B8F" w:rsidRDefault="00BC5219" w:rsidP="00BC5219">
      <w:pPr>
        <w:rPr>
          <w:rFonts w:ascii="Meta Pro" w:eastAsia="Times New Roman" w:hAnsi="Meta Pro"/>
          <w:szCs w:val="18"/>
          <w:lang w:eastAsia="en-AU"/>
        </w:rPr>
      </w:pPr>
      <w:r w:rsidRPr="008A2B8F">
        <w:rPr>
          <w:rFonts w:ascii="Meta Pro" w:eastAsia="Times New Roman" w:hAnsi="Meta Pro"/>
          <w:szCs w:val="18"/>
          <w:lang w:eastAsia="en-AU"/>
        </w:rPr>
        <w:t>•  Open Data</w:t>
      </w:r>
    </w:p>
    <w:p w14:paraId="058572A1" w14:textId="77777777" w:rsidR="00BC5219" w:rsidRPr="008A2B8F" w:rsidRDefault="00BC5219" w:rsidP="00BC5219">
      <w:pPr>
        <w:rPr>
          <w:rFonts w:ascii="Meta Pro" w:eastAsia="Times New Roman" w:hAnsi="Meta Pro"/>
          <w:szCs w:val="18"/>
          <w:lang w:eastAsia="en-AU"/>
        </w:rPr>
      </w:pPr>
      <w:r w:rsidRPr="008A2B8F">
        <w:rPr>
          <w:rFonts w:ascii="Meta Pro" w:eastAsia="Times New Roman" w:hAnsi="Meta Pro"/>
          <w:szCs w:val="18"/>
          <w:lang w:eastAsia="en-AU"/>
        </w:rPr>
        <w:t>•  Strategic Digital Projects</w:t>
      </w:r>
    </w:p>
    <w:p w14:paraId="6B8B4D9F" w14:textId="77777777" w:rsidR="00BC5219" w:rsidRPr="008A2B8F" w:rsidRDefault="00BC5219" w:rsidP="00BC5219">
      <w:pPr>
        <w:rPr>
          <w:rFonts w:ascii="Meta Pro" w:eastAsia="Times New Roman" w:hAnsi="Meta Pro"/>
          <w:szCs w:val="18"/>
          <w:lang w:eastAsia="en-AU"/>
        </w:rPr>
      </w:pPr>
      <w:r w:rsidRPr="008A2B8F">
        <w:rPr>
          <w:rFonts w:ascii="Meta Pro" w:eastAsia="Times New Roman" w:hAnsi="Meta Pro"/>
          <w:szCs w:val="18"/>
          <w:lang w:eastAsia="en-AU"/>
        </w:rPr>
        <w:t>•  Strategic Information and Communications Technology</w:t>
      </w:r>
    </w:p>
    <w:p w14:paraId="5A2DC35F" w14:textId="77777777" w:rsidR="00BC5219" w:rsidRPr="008A2B8F" w:rsidRDefault="00BC5219" w:rsidP="00BC5219">
      <w:pPr>
        <w:rPr>
          <w:rFonts w:ascii="Meta Pro" w:eastAsia="Times New Roman" w:hAnsi="Meta Pro"/>
          <w:szCs w:val="18"/>
          <w:lang w:eastAsia="en-AU"/>
        </w:rPr>
      </w:pPr>
      <w:r w:rsidRPr="008A2B8F">
        <w:rPr>
          <w:rFonts w:ascii="Meta Pro" w:eastAsia="Times New Roman" w:hAnsi="Meta Pro"/>
          <w:szCs w:val="18"/>
          <w:lang w:eastAsia="en-AU"/>
        </w:rPr>
        <w:t>•  Strategic Sourcing.</w:t>
      </w:r>
    </w:p>
    <w:p w14:paraId="28AD0208" w14:textId="77777777" w:rsidR="00BC5219" w:rsidRPr="008A2B8F" w:rsidRDefault="00BC5219" w:rsidP="00BC5219">
      <w:pPr>
        <w:rPr>
          <w:rFonts w:ascii="Meta Pro" w:eastAsia="Times New Roman" w:hAnsi="Meta Pro"/>
          <w:szCs w:val="18"/>
          <w:lang w:eastAsia="en-AU"/>
        </w:rPr>
      </w:pPr>
    </w:p>
    <w:p w14:paraId="1033C3AD" w14:textId="77777777" w:rsidR="00BC5219" w:rsidRPr="008A2B8F" w:rsidRDefault="00BC5219" w:rsidP="00BC5219">
      <w:pPr>
        <w:rPr>
          <w:rFonts w:ascii="Meta Pro" w:eastAsia="Times New Roman" w:hAnsi="Meta Pro"/>
          <w:szCs w:val="18"/>
          <w:lang w:eastAsia="en-AU"/>
        </w:rPr>
      </w:pPr>
    </w:p>
    <w:p w14:paraId="2CE6845D" w14:textId="77777777" w:rsidR="00BC5219" w:rsidRPr="008A2B8F" w:rsidRDefault="00BC5219" w:rsidP="00BC5219">
      <w:pPr>
        <w:rPr>
          <w:rFonts w:ascii="Meta Pro" w:eastAsia="Times New Roman" w:hAnsi="Meta Pro"/>
          <w:szCs w:val="18"/>
          <w:lang w:eastAsia="en-AU"/>
        </w:rPr>
      </w:pPr>
    </w:p>
    <w:p w14:paraId="2270A653"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r w:rsidRPr="008A2B8F">
        <w:rPr>
          <w:rFonts w:ascii="Meta Pro" w:eastAsia="Times New Roman" w:hAnsi="Meta Pro"/>
          <w:i/>
          <w:iCs/>
          <w:color w:val="000000" w:themeColor="text1"/>
          <w:lang w:eastAsia="en-AU"/>
        </w:rPr>
        <w:t>Department of Transport and Main Roads</w:t>
      </w:r>
    </w:p>
    <w:p w14:paraId="56A97D04"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Notes to the financial statements 2022–23 (continued)</w:t>
      </w:r>
    </w:p>
    <w:p w14:paraId="3F2DEB81" w14:textId="77777777" w:rsidR="00BC5219" w:rsidRPr="008A2B8F" w:rsidRDefault="00BC5219" w:rsidP="00BC5219">
      <w:pPr>
        <w:spacing w:line="259" w:lineRule="auto"/>
        <w:rPr>
          <w:rFonts w:ascii="Meta Pro" w:hAnsi="Meta Pro"/>
          <w:b/>
          <w:bCs/>
          <w:lang w:eastAsia="en-AU"/>
        </w:rPr>
      </w:pPr>
      <w:r w:rsidRPr="008A2B8F">
        <w:rPr>
          <w:rFonts w:ascii="Meta Pro" w:hAnsi="Meta Pro"/>
          <w:b/>
          <w:bCs/>
          <w:lang w:eastAsia="en-AU"/>
        </w:rPr>
        <w:t>1</w:t>
      </w:r>
      <w:r w:rsidRPr="008A2B8F">
        <w:rPr>
          <w:rFonts w:ascii="Meta Pro" w:hAnsi="Meta Pro"/>
          <w:b/>
          <w:bCs/>
          <w:lang w:eastAsia="en-AU"/>
        </w:rPr>
        <w:tab/>
        <w:t>ACCOUNTING POLICIES AND BASIS FOR FINANCIAL STATEMENTS PREPARATION (continued)</w:t>
      </w:r>
    </w:p>
    <w:p w14:paraId="5FB080AA" w14:textId="77777777" w:rsidR="00BC5219" w:rsidRPr="008A2B8F" w:rsidRDefault="00BC5219" w:rsidP="00BC5219">
      <w:pPr>
        <w:spacing w:before="120"/>
        <w:rPr>
          <w:rFonts w:ascii="Meta Pro" w:eastAsia="Times New Roman" w:hAnsi="Meta Pro"/>
          <w:b/>
          <w:bCs/>
          <w:szCs w:val="18"/>
          <w:lang w:eastAsia="en-AU"/>
        </w:rPr>
      </w:pPr>
      <w:r w:rsidRPr="008A2B8F">
        <w:rPr>
          <w:rFonts w:ascii="Meta Pro" w:eastAsia="Times New Roman" w:hAnsi="Meta Pro"/>
          <w:b/>
          <w:bCs/>
          <w:szCs w:val="18"/>
          <w:lang w:eastAsia="en-AU"/>
        </w:rPr>
        <w:t>MACHINERY-OF-GOVERNMENT CHANGES (continued)</w:t>
      </w:r>
    </w:p>
    <w:p w14:paraId="1144DA91" w14:textId="77777777" w:rsidR="00BC5219" w:rsidRPr="008A2B8F" w:rsidRDefault="00BC5219" w:rsidP="00BC5219">
      <w:pPr>
        <w:spacing w:before="120"/>
        <w:rPr>
          <w:rFonts w:ascii="Meta Pro" w:eastAsia="Times New Roman" w:hAnsi="Meta Pro"/>
          <w:b/>
          <w:bCs/>
          <w:szCs w:val="18"/>
          <w:lang w:eastAsia="en-AU"/>
        </w:rPr>
      </w:pPr>
      <w:r w:rsidRPr="008A2B8F">
        <w:rPr>
          <w:rFonts w:ascii="Meta Pro" w:eastAsia="Times New Roman" w:hAnsi="Meta Pro"/>
          <w:b/>
          <w:bCs/>
          <w:szCs w:val="18"/>
          <w:lang w:eastAsia="en-AU"/>
        </w:rPr>
        <w:t>Queensland Government Customer and Digital Group (continued)</w:t>
      </w:r>
    </w:p>
    <w:p w14:paraId="1981BA3B" w14:textId="77777777" w:rsidR="00BC5219" w:rsidRPr="008A2B8F" w:rsidRDefault="00BC5219" w:rsidP="00BC5219">
      <w:pPr>
        <w:spacing w:before="120"/>
        <w:rPr>
          <w:rFonts w:ascii="Meta Pro" w:eastAsia="Times New Roman" w:hAnsi="Meta Pro"/>
          <w:szCs w:val="18"/>
          <w:lang w:eastAsia="en-AU"/>
        </w:rPr>
      </w:pPr>
      <w:r w:rsidRPr="008A2B8F">
        <w:rPr>
          <w:rFonts w:ascii="Meta Pro" w:eastAsia="Times New Roman" w:hAnsi="Meta Pro"/>
          <w:szCs w:val="18"/>
          <w:lang w:eastAsia="en-AU"/>
        </w:rPr>
        <w:t>In addition, the Queensland Government Customer and Digital Group includes the below entities:</w:t>
      </w:r>
    </w:p>
    <w:p w14:paraId="20D21CD6" w14:textId="77777777" w:rsidR="00BC5219" w:rsidRPr="008A2B8F" w:rsidRDefault="00BC5219" w:rsidP="00BC5219">
      <w:pPr>
        <w:rPr>
          <w:rFonts w:ascii="Meta Pro" w:eastAsia="Times New Roman" w:hAnsi="Meta Pro"/>
          <w:szCs w:val="18"/>
          <w:lang w:eastAsia="en-AU"/>
        </w:rPr>
      </w:pPr>
      <w:r w:rsidRPr="008A2B8F">
        <w:rPr>
          <w:rFonts w:ascii="Meta Pro" w:eastAsia="Times New Roman" w:hAnsi="Meta Pro"/>
          <w:szCs w:val="18"/>
          <w:lang w:eastAsia="en-AU"/>
        </w:rPr>
        <w:t>•  Centre for Information Technology and Communications (CITEC)</w:t>
      </w:r>
    </w:p>
    <w:p w14:paraId="37A90872" w14:textId="77777777" w:rsidR="00BC5219" w:rsidRPr="008A2B8F" w:rsidRDefault="00BC5219" w:rsidP="00BC5219">
      <w:pPr>
        <w:rPr>
          <w:rFonts w:ascii="Meta Pro" w:eastAsia="Times New Roman" w:hAnsi="Meta Pro"/>
          <w:szCs w:val="18"/>
          <w:lang w:eastAsia="en-AU"/>
        </w:rPr>
      </w:pPr>
      <w:r w:rsidRPr="008A2B8F">
        <w:rPr>
          <w:rFonts w:ascii="Meta Pro" w:eastAsia="Times New Roman" w:hAnsi="Meta Pro"/>
          <w:szCs w:val="18"/>
          <w:lang w:eastAsia="en-AU"/>
        </w:rPr>
        <w:t>•  Queensland Shared Services (QSS)</w:t>
      </w:r>
    </w:p>
    <w:p w14:paraId="6AB5DAEC" w14:textId="77777777" w:rsidR="00BC5219" w:rsidRPr="008A2B8F" w:rsidRDefault="00BC5219" w:rsidP="00BC5219">
      <w:pPr>
        <w:pStyle w:val="ListParagraph"/>
        <w:numPr>
          <w:ilvl w:val="0"/>
          <w:numId w:val="5"/>
        </w:numPr>
        <w:spacing w:before="0"/>
        <w:ind w:left="142" w:hanging="142"/>
        <w:rPr>
          <w:rFonts w:ascii="Meta Pro" w:eastAsia="Times New Roman" w:hAnsi="Meta Pro"/>
          <w:szCs w:val="18"/>
          <w:lang w:eastAsia="en-AU"/>
        </w:rPr>
      </w:pPr>
      <w:r w:rsidRPr="008A2B8F">
        <w:rPr>
          <w:rFonts w:ascii="Meta Pro" w:eastAsia="Times New Roman" w:hAnsi="Meta Pro"/>
          <w:szCs w:val="18"/>
          <w:lang w:eastAsia="en-AU"/>
        </w:rPr>
        <w:t xml:space="preserve"> Corporate Administration Agency (CAA)</w:t>
      </w:r>
    </w:p>
    <w:p w14:paraId="5D9C83F2" w14:textId="77777777" w:rsidR="00BC5219" w:rsidRPr="008A2B8F" w:rsidRDefault="00BC5219" w:rsidP="00BC5219">
      <w:pPr>
        <w:spacing w:before="120"/>
        <w:rPr>
          <w:rFonts w:ascii="Meta Pro" w:eastAsia="Times New Roman" w:hAnsi="Meta Pro"/>
          <w:szCs w:val="18"/>
          <w:lang w:eastAsia="en-AU"/>
        </w:rPr>
      </w:pPr>
      <w:r w:rsidRPr="008A2B8F">
        <w:rPr>
          <w:rFonts w:ascii="Meta Pro" w:eastAsia="Times New Roman" w:hAnsi="Meta Pro"/>
          <w:szCs w:val="18"/>
          <w:lang w:eastAsia="en-AU"/>
        </w:rPr>
        <w:t>As a result of this change assets to the value of $247.84</w:t>
      </w:r>
      <w:r>
        <w:rPr>
          <w:rFonts w:ascii="Meta Pro" w:eastAsia="Times New Roman" w:hAnsi="Meta Pro"/>
          <w:szCs w:val="18"/>
          <w:lang w:eastAsia="en-AU"/>
        </w:rPr>
        <w:t>1</w:t>
      </w:r>
      <w:r w:rsidRPr="008A2B8F">
        <w:rPr>
          <w:rFonts w:ascii="Meta Pro" w:eastAsia="Times New Roman" w:hAnsi="Meta Pro"/>
          <w:szCs w:val="18"/>
          <w:lang w:eastAsia="en-AU"/>
        </w:rPr>
        <w:t>m and liabilities with a value of $148.988m were transferred to the Department of Transport and Main Roads. Also transferred to the department were 1881 employees, representing 1769 full-time equivalent employees.</w:t>
      </w:r>
    </w:p>
    <w:p w14:paraId="587ED08D" w14:textId="77777777" w:rsidR="00BC5219" w:rsidRPr="008A2B8F" w:rsidRDefault="00BC5219" w:rsidP="00BC5219">
      <w:pPr>
        <w:spacing w:before="120"/>
        <w:rPr>
          <w:rFonts w:ascii="Meta Pro" w:hAnsi="Meta Pro"/>
          <w:szCs w:val="18"/>
        </w:rPr>
      </w:pPr>
      <w:r w:rsidRPr="008A2B8F">
        <w:rPr>
          <w:rFonts w:ascii="Meta Pro" w:eastAsia="Times New Roman" w:hAnsi="Meta Pro"/>
          <w:szCs w:val="18"/>
          <w:lang w:eastAsia="en-AU"/>
        </w:rPr>
        <w:t>Revenue and expenses attributable to the above functions that are reported in the Statement of comprehensive income relate to the period 1 June 2023 to 30 June 2023 only, with no comparative information required to be disclosed.</w:t>
      </w:r>
    </w:p>
    <w:p w14:paraId="141391CF" w14:textId="77777777" w:rsidR="00BC5219" w:rsidRPr="008A2B8F" w:rsidRDefault="00BC5219" w:rsidP="00BC5219">
      <w:pPr>
        <w:spacing w:before="120"/>
        <w:rPr>
          <w:rFonts w:ascii="Meta Pro" w:eastAsia="Times New Roman" w:hAnsi="Meta Pro"/>
          <w:szCs w:val="18"/>
          <w:lang w:eastAsia="en-AU"/>
        </w:rPr>
      </w:pPr>
      <w:r w:rsidRPr="008A2B8F">
        <w:rPr>
          <w:rFonts w:ascii="Meta Pro" w:eastAsia="Times New Roman" w:hAnsi="Meta Pro"/>
          <w:szCs w:val="18"/>
          <w:lang w:eastAsia="en-AU"/>
        </w:rPr>
        <w:t xml:space="preserve">The increase in net assets of $98.853m has been accounted for as an increase in contributed equity as disclosed in the Statement of changes in equity. </w:t>
      </w:r>
    </w:p>
    <w:p w14:paraId="4DCD6AD8" w14:textId="77777777" w:rsidR="00BC5219" w:rsidRPr="008A2B8F" w:rsidRDefault="00BC5219" w:rsidP="00BC5219">
      <w:pPr>
        <w:spacing w:before="120"/>
        <w:rPr>
          <w:rFonts w:ascii="Meta Pro" w:eastAsia="Times New Roman" w:hAnsi="Meta Pro"/>
          <w:szCs w:val="18"/>
          <w:lang w:eastAsia="en-AU"/>
        </w:rPr>
      </w:pPr>
      <w:r w:rsidRPr="008A2B8F">
        <w:rPr>
          <w:rFonts w:ascii="Meta Pro" w:eastAsia="Times New Roman" w:hAnsi="Meta Pro"/>
          <w:szCs w:val="18"/>
          <w:lang w:eastAsia="en-AU"/>
        </w:rPr>
        <w:lastRenderedPageBreak/>
        <w:t>Budgeted controlled appropriation revenue of $32.648m was reallocated from the former Department of Communities, Housing and Digital Economy to the department as part of the machinery-of-government change.</w:t>
      </w:r>
    </w:p>
    <w:p w14:paraId="5C88C698" w14:textId="77777777" w:rsidR="00BC5219" w:rsidRPr="008A2B8F" w:rsidRDefault="00BC5219" w:rsidP="00BC5219">
      <w:pPr>
        <w:spacing w:before="120"/>
        <w:rPr>
          <w:rFonts w:ascii="Meta Pro" w:eastAsia="Times New Roman" w:hAnsi="Meta Pro"/>
          <w:szCs w:val="18"/>
          <w:lang w:eastAsia="en-AU"/>
        </w:rPr>
      </w:pPr>
      <w:r w:rsidRPr="008A2B8F">
        <w:rPr>
          <w:rFonts w:ascii="Meta Pro" w:eastAsia="Times New Roman" w:hAnsi="Meta Pro"/>
          <w:szCs w:val="18"/>
          <w:lang w:eastAsia="en-AU"/>
        </w:rPr>
        <w:t>A summary of assets and liabilities transferred as a result of this change follows:</w:t>
      </w:r>
    </w:p>
    <w:p w14:paraId="0637A52A" w14:textId="77777777" w:rsidR="00BC5219" w:rsidRPr="008A2B8F" w:rsidRDefault="00BC5219" w:rsidP="00BC5219">
      <w:pPr>
        <w:rPr>
          <w:rFonts w:ascii="Meta Pro" w:hAnsi="Meta Pro" w:cstheme="minorBidi"/>
        </w:rPr>
      </w:pPr>
    </w:p>
    <w:tbl>
      <w:tblPr>
        <w:tblW w:w="0" w:type="auto"/>
        <w:tblCellMar>
          <w:left w:w="0" w:type="dxa"/>
        </w:tblCellMar>
        <w:tblLook w:val="04A0" w:firstRow="1" w:lastRow="0" w:firstColumn="1" w:lastColumn="0" w:noHBand="0" w:noVBand="1"/>
      </w:tblPr>
      <w:tblGrid>
        <w:gridCol w:w="124"/>
        <w:gridCol w:w="2990"/>
        <w:gridCol w:w="1416"/>
        <w:gridCol w:w="1416"/>
        <w:gridCol w:w="1416"/>
        <w:gridCol w:w="1416"/>
        <w:gridCol w:w="1416"/>
      </w:tblGrid>
      <w:tr w:rsidR="00BC5219" w:rsidRPr="008A2B8F" w14:paraId="5666F865" w14:textId="77777777" w:rsidTr="00E83802">
        <w:trPr>
          <w:trHeight w:val="198"/>
        </w:trPr>
        <w:tc>
          <w:tcPr>
            <w:tcW w:w="19845"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FC7FDF9"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Transfer in from former Department of Communities, Housing and Digital Economy (Controlled)</w:t>
            </w:r>
          </w:p>
        </w:tc>
      </w:tr>
      <w:tr w:rsidR="00BC5219" w:rsidRPr="008A2B8F" w14:paraId="0CCEB3C2" w14:textId="77777777" w:rsidTr="00E83802">
        <w:trPr>
          <w:trHeight w:val="198"/>
        </w:trPr>
        <w:tc>
          <w:tcPr>
            <w:tcW w:w="19845" w:type="dxa"/>
            <w:gridSpan w:val="2"/>
            <w:vMerge w:val="restart"/>
            <w:tcBorders>
              <w:top w:val="single" w:sz="4" w:space="0" w:color="auto"/>
              <w:left w:val="single" w:sz="4" w:space="0" w:color="auto"/>
              <w:bottom w:val="single" w:sz="4" w:space="0" w:color="000000"/>
              <w:right w:val="nil"/>
            </w:tcBorders>
            <w:shd w:val="clear" w:color="auto" w:fill="auto"/>
            <w:vAlign w:val="center"/>
            <w:hideMark/>
          </w:tcPr>
          <w:p w14:paraId="47542AB6"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Category</w:t>
            </w:r>
          </w:p>
        </w:tc>
        <w:tc>
          <w:tcPr>
            <w:tcW w:w="9072" w:type="dxa"/>
            <w:tcBorders>
              <w:top w:val="nil"/>
              <w:left w:val="single" w:sz="4" w:space="0" w:color="auto"/>
              <w:bottom w:val="nil"/>
              <w:right w:val="single" w:sz="4" w:space="0" w:color="auto"/>
            </w:tcBorders>
            <w:shd w:val="clear" w:color="auto" w:fill="auto"/>
            <w:hideMark/>
          </w:tcPr>
          <w:p w14:paraId="02F750CD"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Customer and Digital Group</w:t>
            </w:r>
          </w:p>
        </w:tc>
        <w:tc>
          <w:tcPr>
            <w:tcW w:w="9072" w:type="dxa"/>
            <w:tcBorders>
              <w:top w:val="nil"/>
              <w:left w:val="nil"/>
              <w:bottom w:val="nil"/>
              <w:right w:val="single" w:sz="4" w:space="0" w:color="auto"/>
            </w:tcBorders>
            <w:shd w:val="clear" w:color="auto" w:fill="auto"/>
            <w:hideMark/>
          </w:tcPr>
          <w:p w14:paraId="64E3834A"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CITEC</w:t>
            </w:r>
          </w:p>
        </w:tc>
        <w:tc>
          <w:tcPr>
            <w:tcW w:w="9072" w:type="dxa"/>
            <w:tcBorders>
              <w:top w:val="nil"/>
              <w:left w:val="nil"/>
              <w:bottom w:val="nil"/>
              <w:right w:val="single" w:sz="4" w:space="0" w:color="auto"/>
            </w:tcBorders>
            <w:shd w:val="clear" w:color="auto" w:fill="auto"/>
            <w:hideMark/>
          </w:tcPr>
          <w:p w14:paraId="07309E48"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QSS</w:t>
            </w:r>
          </w:p>
        </w:tc>
        <w:tc>
          <w:tcPr>
            <w:tcW w:w="9072" w:type="dxa"/>
            <w:tcBorders>
              <w:top w:val="nil"/>
              <w:left w:val="nil"/>
              <w:bottom w:val="nil"/>
              <w:right w:val="single" w:sz="4" w:space="0" w:color="auto"/>
            </w:tcBorders>
            <w:shd w:val="clear" w:color="auto" w:fill="auto"/>
            <w:hideMark/>
          </w:tcPr>
          <w:p w14:paraId="6F34E5F4"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CAA</w:t>
            </w:r>
          </w:p>
        </w:tc>
        <w:tc>
          <w:tcPr>
            <w:tcW w:w="9072" w:type="dxa"/>
            <w:tcBorders>
              <w:top w:val="nil"/>
              <w:left w:val="nil"/>
              <w:bottom w:val="nil"/>
              <w:right w:val="single" w:sz="4" w:space="0" w:color="auto"/>
            </w:tcBorders>
            <w:shd w:val="clear" w:color="auto" w:fill="auto"/>
            <w:hideMark/>
          </w:tcPr>
          <w:p w14:paraId="5B66AB83"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Total</w:t>
            </w:r>
          </w:p>
        </w:tc>
      </w:tr>
      <w:tr w:rsidR="00BC5219" w:rsidRPr="008A2B8F" w14:paraId="1EDDF1CF" w14:textId="77777777" w:rsidTr="00E83802">
        <w:trPr>
          <w:trHeight w:val="198"/>
        </w:trPr>
        <w:tc>
          <w:tcPr>
            <w:tcW w:w="19845" w:type="dxa"/>
            <w:gridSpan w:val="2"/>
            <w:vMerge/>
            <w:tcBorders>
              <w:top w:val="single" w:sz="4" w:space="0" w:color="auto"/>
              <w:left w:val="single" w:sz="4" w:space="0" w:color="auto"/>
              <w:bottom w:val="single" w:sz="4" w:space="0" w:color="000000"/>
              <w:right w:val="nil"/>
            </w:tcBorders>
            <w:vAlign w:val="center"/>
            <w:hideMark/>
          </w:tcPr>
          <w:p w14:paraId="70D2D3EB" w14:textId="77777777" w:rsidR="00BC5219" w:rsidRPr="008A2B8F" w:rsidRDefault="00BC5219" w:rsidP="00E83802">
            <w:pPr>
              <w:rPr>
                <w:rFonts w:ascii="Meta Pro" w:eastAsia="Times New Roman" w:hAnsi="Meta Pro"/>
                <w:b/>
                <w:bCs/>
                <w:szCs w:val="18"/>
                <w:lang w:eastAsia="en-AU"/>
              </w:rPr>
            </w:pPr>
          </w:p>
        </w:tc>
        <w:tc>
          <w:tcPr>
            <w:tcW w:w="9072" w:type="dxa"/>
            <w:tcBorders>
              <w:top w:val="nil"/>
              <w:left w:val="single" w:sz="4" w:space="0" w:color="auto"/>
              <w:bottom w:val="single" w:sz="4" w:space="0" w:color="auto"/>
              <w:right w:val="single" w:sz="4" w:space="0" w:color="auto"/>
            </w:tcBorders>
            <w:shd w:val="clear" w:color="auto" w:fill="auto"/>
            <w:vAlign w:val="center"/>
            <w:hideMark/>
          </w:tcPr>
          <w:p w14:paraId="6318D249"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$'000</w:t>
            </w:r>
          </w:p>
        </w:tc>
        <w:tc>
          <w:tcPr>
            <w:tcW w:w="9072" w:type="dxa"/>
            <w:tcBorders>
              <w:top w:val="nil"/>
              <w:left w:val="nil"/>
              <w:bottom w:val="single" w:sz="4" w:space="0" w:color="auto"/>
              <w:right w:val="single" w:sz="4" w:space="0" w:color="auto"/>
            </w:tcBorders>
            <w:shd w:val="clear" w:color="auto" w:fill="auto"/>
            <w:vAlign w:val="center"/>
            <w:hideMark/>
          </w:tcPr>
          <w:p w14:paraId="4A48145C"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$'000</w:t>
            </w:r>
          </w:p>
        </w:tc>
        <w:tc>
          <w:tcPr>
            <w:tcW w:w="9072" w:type="dxa"/>
            <w:tcBorders>
              <w:top w:val="nil"/>
              <w:left w:val="nil"/>
              <w:bottom w:val="single" w:sz="4" w:space="0" w:color="auto"/>
              <w:right w:val="single" w:sz="4" w:space="0" w:color="auto"/>
            </w:tcBorders>
            <w:shd w:val="clear" w:color="auto" w:fill="auto"/>
            <w:vAlign w:val="center"/>
            <w:hideMark/>
          </w:tcPr>
          <w:p w14:paraId="4A41DF18"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$'000</w:t>
            </w:r>
          </w:p>
        </w:tc>
        <w:tc>
          <w:tcPr>
            <w:tcW w:w="9072" w:type="dxa"/>
            <w:tcBorders>
              <w:top w:val="nil"/>
              <w:left w:val="nil"/>
              <w:bottom w:val="single" w:sz="4" w:space="0" w:color="auto"/>
              <w:right w:val="single" w:sz="4" w:space="0" w:color="auto"/>
            </w:tcBorders>
            <w:shd w:val="clear" w:color="auto" w:fill="auto"/>
            <w:vAlign w:val="center"/>
            <w:hideMark/>
          </w:tcPr>
          <w:p w14:paraId="5C18751B"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$'000</w:t>
            </w:r>
          </w:p>
        </w:tc>
        <w:tc>
          <w:tcPr>
            <w:tcW w:w="9072" w:type="dxa"/>
            <w:tcBorders>
              <w:top w:val="nil"/>
              <w:left w:val="nil"/>
              <w:bottom w:val="single" w:sz="4" w:space="0" w:color="auto"/>
              <w:right w:val="single" w:sz="4" w:space="0" w:color="auto"/>
            </w:tcBorders>
            <w:shd w:val="clear" w:color="auto" w:fill="auto"/>
            <w:vAlign w:val="center"/>
            <w:hideMark/>
          </w:tcPr>
          <w:p w14:paraId="31518166"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$'000</w:t>
            </w:r>
          </w:p>
        </w:tc>
      </w:tr>
      <w:tr w:rsidR="00BC5219" w:rsidRPr="008A2B8F" w14:paraId="641AD8A5" w14:textId="77777777" w:rsidTr="00E83802">
        <w:trPr>
          <w:trHeight w:val="198"/>
        </w:trPr>
        <w:tc>
          <w:tcPr>
            <w:tcW w:w="19845"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43925E2D"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 xml:space="preserve"> Controlled</w:t>
            </w:r>
          </w:p>
        </w:tc>
        <w:tc>
          <w:tcPr>
            <w:tcW w:w="9072" w:type="dxa"/>
            <w:tcBorders>
              <w:top w:val="nil"/>
              <w:left w:val="nil"/>
              <w:bottom w:val="nil"/>
              <w:right w:val="single" w:sz="4" w:space="0" w:color="auto"/>
            </w:tcBorders>
            <w:shd w:val="clear" w:color="auto" w:fill="auto"/>
            <w:noWrap/>
            <w:vAlign w:val="bottom"/>
            <w:hideMark/>
          </w:tcPr>
          <w:p w14:paraId="6133C53A"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9072" w:type="dxa"/>
            <w:tcBorders>
              <w:top w:val="nil"/>
              <w:left w:val="nil"/>
              <w:bottom w:val="nil"/>
              <w:right w:val="single" w:sz="4" w:space="0" w:color="auto"/>
            </w:tcBorders>
            <w:shd w:val="clear" w:color="auto" w:fill="auto"/>
            <w:noWrap/>
            <w:vAlign w:val="bottom"/>
            <w:hideMark/>
          </w:tcPr>
          <w:p w14:paraId="1A223CF5"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9072" w:type="dxa"/>
            <w:tcBorders>
              <w:top w:val="nil"/>
              <w:left w:val="nil"/>
              <w:bottom w:val="nil"/>
              <w:right w:val="single" w:sz="4" w:space="0" w:color="auto"/>
            </w:tcBorders>
            <w:shd w:val="clear" w:color="auto" w:fill="auto"/>
            <w:noWrap/>
            <w:vAlign w:val="bottom"/>
            <w:hideMark/>
          </w:tcPr>
          <w:p w14:paraId="2E893249"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9072" w:type="dxa"/>
            <w:tcBorders>
              <w:top w:val="nil"/>
              <w:left w:val="nil"/>
              <w:bottom w:val="nil"/>
              <w:right w:val="single" w:sz="4" w:space="0" w:color="auto"/>
            </w:tcBorders>
            <w:shd w:val="clear" w:color="auto" w:fill="auto"/>
            <w:noWrap/>
            <w:vAlign w:val="bottom"/>
            <w:hideMark/>
          </w:tcPr>
          <w:p w14:paraId="605AE599"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9072" w:type="dxa"/>
            <w:tcBorders>
              <w:top w:val="nil"/>
              <w:left w:val="nil"/>
              <w:bottom w:val="nil"/>
              <w:right w:val="single" w:sz="4" w:space="0" w:color="auto"/>
            </w:tcBorders>
            <w:shd w:val="clear" w:color="auto" w:fill="auto"/>
            <w:noWrap/>
            <w:vAlign w:val="bottom"/>
            <w:hideMark/>
          </w:tcPr>
          <w:p w14:paraId="1A26F893"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r>
      <w:tr w:rsidR="00BC5219" w:rsidRPr="008A2B8F" w14:paraId="71AF9AAD" w14:textId="77777777" w:rsidTr="00E83802">
        <w:trPr>
          <w:trHeight w:val="198"/>
        </w:trPr>
        <w:tc>
          <w:tcPr>
            <w:tcW w:w="19845" w:type="dxa"/>
            <w:gridSpan w:val="2"/>
            <w:tcBorders>
              <w:top w:val="nil"/>
              <w:left w:val="single" w:sz="4" w:space="0" w:color="auto"/>
              <w:bottom w:val="nil"/>
              <w:right w:val="single" w:sz="4" w:space="0" w:color="000000"/>
            </w:tcBorders>
            <w:shd w:val="clear" w:color="auto" w:fill="auto"/>
            <w:noWrap/>
            <w:vAlign w:val="bottom"/>
            <w:hideMark/>
          </w:tcPr>
          <w:p w14:paraId="74F62973"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 xml:space="preserve"> Assets</w:t>
            </w:r>
          </w:p>
        </w:tc>
        <w:tc>
          <w:tcPr>
            <w:tcW w:w="9072" w:type="dxa"/>
            <w:tcBorders>
              <w:top w:val="nil"/>
              <w:left w:val="nil"/>
              <w:bottom w:val="nil"/>
              <w:right w:val="single" w:sz="4" w:space="0" w:color="auto"/>
            </w:tcBorders>
            <w:shd w:val="clear" w:color="auto" w:fill="auto"/>
            <w:noWrap/>
            <w:vAlign w:val="bottom"/>
            <w:hideMark/>
          </w:tcPr>
          <w:p w14:paraId="22A1161E"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9072" w:type="dxa"/>
            <w:tcBorders>
              <w:top w:val="nil"/>
              <w:left w:val="nil"/>
              <w:bottom w:val="nil"/>
              <w:right w:val="single" w:sz="4" w:space="0" w:color="auto"/>
            </w:tcBorders>
            <w:shd w:val="clear" w:color="auto" w:fill="auto"/>
            <w:noWrap/>
            <w:vAlign w:val="bottom"/>
            <w:hideMark/>
          </w:tcPr>
          <w:p w14:paraId="18DA41C3"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9072" w:type="dxa"/>
            <w:tcBorders>
              <w:top w:val="nil"/>
              <w:left w:val="nil"/>
              <w:bottom w:val="nil"/>
              <w:right w:val="single" w:sz="4" w:space="0" w:color="auto"/>
            </w:tcBorders>
            <w:shd w:val="clear" w:color="auto" w:fill="auto"/>
            <w:noWrap/>
            <w:vAlign w:val="bottom"/>
            <w:hideMark/>
          </w:tcPr>
          <w:p w14:paraId="0819868C"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9072" w:type="dxa"/>
            <w:tcBorders>
              <w:top w:val="nil"/>
              <w:left w:val="nil"/>
              <w:bottom w:val="nil"/>
              <w:right w:val="single" w:sz="4" w:space="0" w:color="auto"/>
            </w:tcBorders>
            <w:shd w:val="clear" w:color="auto" w:fill="auto"/>
            <w:noWrap/>
            <w:vAlign w:val="bottom"/>
            <w:hideMark/>
          </w:tcPr>
          <w:p w14:paraId="564B5EE2"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9072" w:type="dxa"/>
            <w:tcBorders>
              <w:top w:val="nil"/>
              <w:left w:val="nil"/>
              <w:bottom w:val="nil"/>
              <w:right w:val="single" w:sz="4" w:space="0" w:color="auto"/>
            </w:tcBorders>
            <w:shd w:val="clear" w:color="auto" w:fill="auto"/>
            <w:noWrap/>
            <w:vAlign w:val="bottom"/>
            <w:hideMark/>
          </w:tcPr>
          <w:p w14:paraId="2483DC85"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r>
      <w:tr w:rsidR="00BC5219" w:rsidRPr="008A2B8F" w14:paraId="0AA3618A" w14:textId="77777777" w:rsidTr="00E83802">
        <w:trPr>
          <w:trHeight w:val="198"/>
        </w:trPr>
        <w:tc>
          <w:tcPr>
            <w:tcW w:w="215" w:type="dxa"/>
            <w:tcBorders>
              <w:top w:val="nil"/>
              <w:left w:val="single" w:sz="4" w:space="0" w:color="auto"/>
              <w:bottom w:val="nil"/>
              <w:right w:val="nil"/>
            </w:tcBorders>
            <w:shd w:val="clear" w:color="auto" w:fill="auto"/>
            <w:noWrap/>
            <w:vAlign w:val="bottom"/>
            <w:hideMark/>
          </w:tcPr>
          <w:p w14:paraId="78CDE02C"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19845" w:type="dxa"/>
            <w:tcBorders>
              <w:top w:val="nil"/>
              <w:left w:val="nil"/>
              <w:bottom w:val="nil"/>
              <w:right w:val="single" w:sz="4" w:space="0" w:color="auto"/>
            </w:tcBorders>
            <w:shd w:val="clear" w:color="auto" w:fill="auto"/>
            <w:noWrap/>
            <w:vAlign w:val="bottom"/>
            <w:hideMark/>
          </w:tcPr>
          <w:p w14:paraId="0D1DE59C"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Cash</w:t>
            </w:r>
          </w:p>
        </w:tc>
        <w:tc>
          <w:tcPr>
            <w:tcW w:w="9072" w:type="dxa"/>
            <w:tcBorders>
              <w:top w:val="nil"/>
              <w:left w:val="nil"/>
              <w:bottom w:val="nil"/>
              <w:right w:val="single" w:sz="4" w:space="0" w:color="auto"/>
            </w:tcBorders>
            <w:shd w:val="clear" w:color="auto" w:fill="auto"/>
            <w:noWrap/>
            <w:vAlign w:val="center"/>
            <w:hideMark/>
          </w:tcPr>
          <w:p w14:paraId="4EFE3B42"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15,840 </w:t>
            </w:r>
          </w:p>
        </w:tc>
        <w:tc>
          <w:tcPr>
            <w:tcW w:w="9072" w:type="dxa"/>
            <w:tcBorders>
              <w:top w:val="nil"/>
              <w:left w:val="nil"/>
              <w:bottom w:val="nil"/>
              <w:right w:val="single" w:sz="4" w:space="0" w:color="auto"/>
            </w:tcBorders>
            <w:shd w:val="clear" w:color="auto" w:fill="auto"/>
            <w:noWrap/>
            <w:vAlign w:val="center"/>
            <w:hideMark/>
          </w:tcPr>
          <w:p w14:paraId="0A34258D"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10,191 </w:t>
            </w:r>
          </w:p>
        </w:tc>
        <w:tc>
          <w:tcPr>
            <w:tcW w:w="9072" w:type="dxa"/>
            <w:tcBorders>
              <w:top w:val="nil"/>
              <w:left w:val="nil"/>
              <w:bottom w:val="nil"/>
              <w:right w:val="single" w:sz="4" w:space="0" w:color="auto"/>
            </w:tcBorders>
            <w:shd w:val="clear" w:color="auto" w:fill="auto"/>
            <w:noWrap/>
            <w:vAlign w:val="center"/>
            <w:hideMark/>
          </w:tcPr>
          <w:p w14:paraId="0D914C25"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41,878 </w:t>
            </w:r>
          </w:p>
        </w:tc>
        <w:tc>
          <w:tcPr>
            <w:tcW w:w="9072" w:type="dxa"/>
            <w:tcBorders>
              <w:top w:val="nil"/>
              <w:left w:val="nil"/>
              <w:bottom w:val="nil"/>
              <w:right w:val="single" w:sz="4" w:space="0" w:color="auto"/>
            </w:tcBorders>
            <w:shd w:val="clear" w:color="auto" w:fill="auto"/>
            <w:noWrap/>
            <w:vAlign w:val="center"/>
            <w:hideMark/>
          </w:tcPr>
          <w:p w14:paraId="1A22EA94"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3,563 </w:t>
            </w:r>
          </w:p>
        </w:tc>
        <w:tc>
          <w:tcPr>
            <w:tcW w:w="9072" w:type="dxa"/>
            <w:tcBorders>
              <w:top w:val="nil"/>
              <w:left w:val="nil"/>
              <w:bottom w:val="nil"/>
              <w:right w:val="single" w:sz="4" w:space="0" w:color="auto"/>
            </w:tcBorders>
            <w:shd w:val="clear" w:color="auto" w:fill="auto"/>
            <w:noWrap/>
            <w:vAlign w:val="center"/>
            <w:hideMark/>
          </w:tcPr>
          <w:p w14:paraId="488E0003"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71,472 </w:t>
            </w:r>
          </w:p>
        </w:tc>
      </w:tr>
      <w:tr w:rsidR="00BC5219" w:rsidRPr="008A2B8F" w14:paraId="242FD082" w14:textId="77777777" w:rsidTr="00E83802">
        <w:trPr>
          <w:trHeight w:val="198"/>
        </w:trPr>
        <w:tc>
          <w:tcPr>
            <w:tcW w:w="215" w:type="dxa"/>
            <w:tcBorders>
              <w:top w:val="nil"/>
              <w:left w:val="single" w:sz="4" w:space="0" w:color="auto"/>
              <w:bottom w:val="nil"/>
              <w:right w:val="nil"/>
            </w:tcBorders>
            <w:shd w:val="clear" w:color="auto" w:fill="auto"/>
            <w:noWrap/>
            <w:vAlign w:val="bottom"/>
            <w:hideMark/>
          </w:tcPr>
          <w:p w14:paraId="38E19492"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19845" w:type="dxa"/>
            <w:tcBorders>
              <w:top w:val="nil"/>
              <w:left w:val="nil"/>
              <w:bottom w:val="nil"/>
              <w:right w:val="single" w:sz="4" w:space="0" w:color="auto"/>
            </w:tcBorders>
            <w:shd w:val="clear" w:color="auto" w:fill="auto"/>
            <w:noWrap/>
            <w:vAlign w:val="bottom"/>
            <w:hideMark/>
          </w:tcPr>
          <w:p w14:paraId="410D69AC"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Receivables</w:t>
            </w:r>
          </w:p>
        </w:tc>
        <w:tc>
          <w:tcPr>
            <w:tcW w:w="9072" w:type="dxa"/>
            <w:tcBorders>
              <w:top w:val="nil"/>
              <w:left w:val="nil"/>
              <w:bottom w:val="nil"/>
              <w:right w:val="single" w:sz="4" w:space="0" w:color="auto"/>
            </w:tcBorders>
            <w:shd w:val="clear" w:color="auto" w:fill="auto"/>
            <w:noWrap/>
            <w:vAlign w:val="center"/>
            <w:hideMark/>
          </w:tcPr>
          <w:p w14:paraId="3A9BD403"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13,118 </w:t>
            </w:r>
          </w:p>
        </w:tc>
        <w:tc>
          <w:tcPr>
            <w:tcW w:w="9072" w:type="dxa"/>
            <w:tcBorders>
              <w:top w:val="nil"/>
              <w:left w:val="nil"/>
              <w:bottom w:val="nil"/>
              <w:right w:val="single" w:sz="4" w:space="0" w:color="auto"/>
            </w:tcBorders>
            <w:shd w:val="clear" w:color="auto" w:fill="auto"/>
            <w:noWrap/>
            <w:vAlign w:val="center"/>
            <w:hideMark/>
          </w:tcPr>
          <w:p w14:paraId="0721397B"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16,158 </w:t>
            </w:r>
          </w:p>
        </w:tc>
        <w:tc>
          <w:tcPr>
            <w:tcW w:w="9072" w:type="dxa"/>
            <w:tcBorders>
              <w:top w:val="nil"/>
              <w:left w:val="nil"/>
              <w:bottom w:val="nil"/>
              <w:right w:val="single" w:sz="4" w:space="0" w:color="auto"/>
            </w:tcBorders>
            <w:shd w:val="clear" w:color="auto" w:fill="auto"/>
            <w:noWrap/>
            <w:vAlign w:val="center"/>
            <w:hideMark/>
          </w:tcPr>
          <w:p w14:paraId="20A6D49D"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14,097 </w:t>
            </w:r>
          </w:p>
        </w:tc>
        <w:tc>
          <w:tcPr>
            <w:tcW w:w="9072" w:type="dxa"/>
            <w:tcBorders>
              <w:top w:val="nil"/>
              <w:left w:val="nil"/>
              <w:bottom w:val="nil"/>
              <w:right w:val="single" w:sz="4" w:space="0" w:color="auto"/>
            </w:tcBorders>
            <w:shd w:val="clear" w:color="auto" w:fill="auto"/>
            <w:noWrap/>
            <w:vAlign w:val="center"/>
            <w:hideMark/>
          </w:tcPr>
          <w:p w14:paraId="3B3755F7"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738 </w:t>
            </w:r>
          </w:p>
        </w:tc>
        <w:tc>
          <w:tcPr>
            <w:tcW w:w="9072" w:type="dxa"/>
            <w:tcBorders>
              <w:top w:val="nil"/>
              <w:left w:val="nil"/>
              <w:bottom w:val="nil"/>
              <w:right w:val="single" w:sz="4" w:space="0" w:color="auto"/>
            </w:tcBorders>
            <w:shd w:val="clear" w:color="auto" w:fill="auto"/>
            <w:noWrap/>
            <w:vAlign w:val="center"/>
            <w:hideMark/>
          </w:tcPr>
          <w:p w14:paraId="54E9B0C8"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44,111 </w:t>
            </w:r>
          </w:p>
        </w:tc>
      </w:tr>
      <w:tr w:rsidR="00BC5219" w:rsidRPr="008A2B8F" w14:paraId="47321A7D" w14:textId="77777777" w:rsidTr="00E83802">
        <w:trPr>
          <w:trHeight w:val="198"/>
        </w:trPr>
        <w:tc>
          <w:tcPr>
            <w:tcW w:w="215" w:type="dxa"/>
            <w:tcBorders>
              <w:top w:val="nil"/>
              <w:left w:val="single" w:sz="4" w:space="0" w:color="auto"/>
              <w:bottom w:val="nil"/>
              <w:right w:val="nil"/>
            </w:tcBorders>
            <w:shd w:val="clear" w:color="auto" w:fill="auto"/>
            <w:noWrap/>
            <w:vAlign w:val="bottom"/>
            <w:hideMark/>
          </w:tcPr>
          <w:p w14:paraId="595EDBA0"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19845" w:type="dxa"/>
            <w:tcBorders>
              <w:top w:val="nil"/>
              <w:left w:val="nil"/>
              <w:bottom w:val="nil"/>
              <w:right w:val="single" w:sz="4" w:space="0" w:color="auto"/>
            </w:tcBorders>
            <w:shd w:val="clear" w:color="auto" w:fill="auto"/>
            <w:noWrap/>
            <w:vAlign w:val="bottom"/>
            <w:hideMark/>
          </w:tcPr>
          <w:p w14:paraId="271C5F25"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Prepayments</w:t>
            </w:r>
          </w:p>
        </w:tc>
        <w:tc>
          <w:tcPr>
            <w:tcW w:w="9072" w:type="dxa"/>
            <w:tcBorders>
              <w:top w:val="nil"/>
              <w:left w:val="nil"/>
              <w:bottom w:val="nil"/>
              <w:right w:val="single" w:sz="4" w:space="0" w:color="auto"/>
            </w:tcBorders>
            <w:shd w:val="clear" w:color="auto" w:fill="auto"/>
            <w:noWrap/>
            <w:vAlign w:val="center"/>
            <w:hideMark/>
          </w:tcPr>
          <w:p w14:paraId="067AD600"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6,110 </w:t>
            </w:r>
          </w:p>
        </w:tc>
        <w:tc>
          <w:tcPr>
            <w:tcW w:w="9072" w:type="dxa"/>
            <w:tcBorders>
              <w:top w:val="nil"/>
              <w:left w:val="nil"/>
              <w:bottom w:val="nil"/>
              <w:right w:val="single" w:sz="4" w:space="0" w:color="auto"/>
            </w:tcBorders>
            <w:shd w:val="clear" w:color="auto" w:fill="auto"/>
            <w:noWrap/>
            <w:vAlign w:val="center"/>
            <w:hideMark/>
          </w:tcPr>
          <w:p w14:paraId="31708363"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6,327 </w:t>
            </w:r>
          </w:p>
        </w:tc>
        <w:tc>
          <w:tcPr>
            <w:tcW w:w="9072" w:type="dxa"/>
            <w:tcBorders>
              <w:top w:val="nil"/>
              <w:left w:val="nil"/>
              <w:bottom w:val="nil"/>
              <w:right w:val="single" w:sz="4" w:space="0" w:color="auto"/>
            </w:tcBorders>
            <w:shd w:val="clear" w:color="auto" w:fill="auto"/>
            <w:noWrap/>
            <w:vAlign w:val="center"/>
            <w:hideMark/>
          </w:tcPr>
          <w:p w14:paraId="446D2815"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1,912 </w:t>
            </w:r>
          </w:p>
        </w:tc>
        <w:tc>
          <w:tcPr>
            <w:tcW w:w="9072" w:type="dxa"/>
            <w:tcBorders>
              <w:top w:val="nil"/>
              <w:left w:val="nil"/>
              <w:bottom w:val="nil"/>
              <w:right w:val="single" w:sz="4" w:space="0" w:color="auto"/>
            </w:tcBorders>
            <w:shd w:val="clear" w:color="auto" w:fill="auto"/>
            <w:noWrap/>
            <w:vAlign w:val="center"/>
            <w:hideMark/>
          </w:tcPr>
          <w:p w14:paraId="2AA79388"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717 </w:t>
            </w:r>
          </w:p>
        </w:tc>
        <w:tc>
          <w:tcPr>
            <w:tcW w:w="9072" w:type="dxa"/>
            <w:tcBorders>
              <w:top w:val="nil"/>
              <w:left w:val="nil"/>
              <w:bottom w:val="nil"/>
              <w:right w:val="single" w:sz="4" w:space="0" w:color="auto"/>
            </w:tcBorders>
            <w:shd w:val="clear" w:color="auto" w:fill="auto"/>
            <w:noWrap/>
            <w:vAlign w:val="center"/>
            <w:hideMark/>
          </w:tcPr>
          <w:p w14:paraId="79D3A371"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15,066 </w:t>
            </w:r>
          </w:p>
        </w:tc>
      </w:tr>
      <w:tr w:rsidR="00BC5219" w:rsidRPr="008A2B8F" w14:paraId="5C3BEE42" w14:textId="77777777" w:rsidTr="00E83802">
        <w:trPr>
          <w:trHeight w:val="198"/>
        </w:trPr>
        <w:tc>
          <w:tcPr>
            <w:tcW w:w="215" w:type="dxa"/>
            <w:tcBorders>
              <w:top w:val="nil"/>
              <w:left w:val="single" w:sz="4" w:space="0" w:color="auto"/>
              <w:bottom w:val="nil"/>
              <w:right w:val="nil"/>
            </w:tcBorders>
            <w:shd w:val="clear" w:color="auto" w:fill="auto"/>
            <w:noWrap/>
            <w:vAlign w:val="bottom"/>
            <w:hideMark/>
          </w:tcPr>
          <w:p w14:paraId="682F11BD"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19845" w:type="dxa"/>
            <w:tcBorders>
              <w:top w:val="nil"/>
              <w:left w:val="nil"/>
              <w:bottom w:val="nil"/>
              <w:right w:val="single" w:sz="4" w:space="0" w:color="auto"/>
            </w:tcBorders>
            <w:shd w:val="clear" w:color="auto" w:fill="auto"/>
            <w:noWrap/>
            <w:vAlign w:val="bottom"/>
            <w:hideMark/>
          </w:tcPr>
          <w:p w14:paraId="70C861D0"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Intangible assets</w:t>
            </w:r>
          </w:p>
        </w:tc>
        <w:tc>
          <w:tcPr>
            <w:tcW w:w="9072" w:type="dxa"/>
            <w:tcBorders>
              <w:top w:val="nil"/>
              <w:left w:val="nil"/>
              <w:bottom w:val="nil"/>
              <w:right w:val="single" w:sz="4" w:space="0" w:color="auto"/>
            </w:tcBorders>
            <w:shd w:val="clear" w:color="auto" w:fill="auto"/>
            <w:noWrap/>
            <w:vAlign w:val="center"/>
            <w:hideMark/>
          </w:tcPr>
          <w:p w14:paraId="525D66D1"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1,846 </w:t>
            </w:r>
          </w:p>
        </w:tc>
        <w:tc>
          <w:tcPr>
            <w:tcW w:w="9072" w:type="dxa"/>
            <w:tcBorders>
              <w:top w:val="nil"/>
              <w:left w:val="nil"/>
              <w:bottom w:val="nil"/>
              <w:right w:val="single" w:sz="4" w:space="0" w:color="auto"/>
            </w:tcBorders>
            <w:shd w:val="clear" w:color="auto" w:fill="auto"/>
            <w:noWrap/>
            <w:vAlign w:val="center"/>
            <w:hideMark/>
          </w:tcPr>
          <w:p w14:paraId="643E3C4F"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1,360 </w:t>
            </w:r>
          </w:p>
        </w:tc>
        <w:tc>
          <w:tcPr>
            <w:tcW w:w="9072" w:type="dxa"/>
            <w:tcBorders>
              <w:top w:val="nil"/>
              <w:left w:val="nil"/>
              <w:bottom w:val="nil"/>
              <w:right w:val="single" w:sz="4" w:space="0" w:color="auto"/>
            </w:tcBorders>
            <w:shd w:val="clear" w:color="auto" w:fill="auto"/>
            <w:noWrap/>
            <w:vAlign w:val="center"/>
            <w:hideMark/>
          </w:tcPr>
          <w:p w14:paraId="429CA17A"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5,213 </w:t>
            </w:r>
          </w:p>
        </w:tc>
        <w:tc>
          <w:tcPr>
            <w:tcW w:w="9072" w:type="dxa"/>
            <w:tcBorders>
              <w:top w:val="nil"/>
              <w:left w:val="nil"/>
              <w:bottom w:val="nil"/>
              <w:right w:val="single" w:sz="4" w:space="0" w:color="auto"/>
            </w:tcBorders>
            <w:shd w:val="clear" w:color="auto" w:fill="auto"/>
            <w:noWrap/>
            <w:vAlign w:val="center"/>
            <w:hideMark/>
          </w:tcPr>
          <w:p w14:paraId="0DEBAC0D"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9072" w:type="dxa"/>
            <w:tcBorders>
              <w:top w:val="nil"/>
              <w:left w:val="nil"/>
              <w:bottom w:val="nil"/>
              <w:right w:val="single" w:sz="4" w:space="0" w:color="auto"/>
            </w:tcBorders>
            <w:shd w:val="clear" w:color="auto" w:fill="auto"/>
            <w:noWrap/>
            <w:vAlign w:val="center"/>
            <w:hideMark/>
          </w:tcPr>
          <w:p w14:paraId="25342353"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8,419 </w:t>
            </w:r>
          </w:p>
        </w:tc>
      </w:tr>
      <w:tr w:rsidR="00BC5219" w:rsidRPr="008A2B8F" w14:paraId="531590FD" w14:textId="77777777" w:rsidTr="00E83802">
        <w:trPr>
          <w:trHeight w:val="198"/>
        </w:trPr>
        <w:tc>
          <w:tcPr>
            <w:tcW w:w="215" w:type="dxa"/>
            <w:tcBorders>
              <w:top w:val="nil"/>
              <w:left w:val="single" w:sz="4" w:space="0" w:color="auto"/>
              <w:bottom w:val="nil"/>
              <w:right w:val="nil"/>
            </w:tcBorders>
            <w:shd w:val="clear" w:color="auto" w:fill="auto"/>
            <w:noWrap/>
            <w:vAlign w:val="bottom"/>
            <w:hideMark/>
          </w:tcPr>
          <w:p w14:paraId="02304248"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19845" w:type="dxa"/>
            <w:tcBorders>
              <w:top w:val="nil"/>
              <w:left w:val="nil"/>
              <w:bottom w:val="nil"/>
              <w:right w:val="single" w:sz="4" w:space="0" w:color="auto"/>
            </w:tcBorders>
            <w:shd w:val="clear" w:color="auto" w:fill="auto"/>
            <w:noWrap/>
            <w:vAlign w:val="bottom"/>
            <w:hideMark/>
          </w:tcPr>
          <w:p w14:paraId="106B71A4"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Property, plant and equipment</w:t>
            </w:r>
          </w:p>
        </w:tc>
        <w:tc>
          <w:tcPr>
            <w:tcW w:w="9072" w:type="dxa"/>
            <w:tcBorders>
              <w:top w:val="nil"/>
              <w:left w:val="nil"/>
              <w:bottom w:val="nil"/>
              <w:right w:val="single" w:sz="4" w:space="0" w:color="auto"/>
            </w:tcBorders>
            <w:shd w:val="clear" w:color="auto" w:fill="auto"/>
            <w:noWrap/>
            <w:vAlign w:val="center"/>
            <w:hideMark/>
          </w:tcPr>
          <w:p w14:paraId="04F35DE0"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909 </w:t>
            </w:r>
          </w:p>
        </w:tc>
        <w:tc>
          <w:tcPr>
            <w:tcW w:w="9072" w:type="dxa"/>
            <w:tcBorders>
              <w:top w:val="nil"/>
              <w:left w:val="nil"/>
              <w:bottom w:val="nil"/>
              <w:right w:val="single" w:sz="4" w:space="0" w:color="auto"/>
            </w:tcBorders>
            <w:shd w:val="clear" w:color="auto" w:fill="auto"/>
            <w:noWrap/>
            <w:vAlign w:val="center"/>
            <w:hideMark/>
          </w:tcPr>
          <w:p w14:paraId="076514D3"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7,016 </w:t>
            </w:r>
          </w:p>
        </w:tc>
        <w:tc>
          <w:tcPr>
            <w:tcW w:w="9072" w:type="dxa"/>
            <w:tcBorders>
              <w:top w:val="nil"/>
              <w:left w:val="nil"/>
              <w:bottom w:val="nil"/>
              <w:right w:val="single" w:sz="4" w:space="0" w:color="auto"/>
            </w:tcBorders>
            <w:shd w:val="clear" w:color="auto" w:fill="auto"/>
            <w:noWrap/>
            <w:vAlign w:val="center"/>
            <w:hideMark/>
          </w:tcPr>
          <w:p w14:paraId="4BDC89D7"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177 </w:t>
            </w:r>
          </w:p>
        </w:tc>
        <w:tc>
          <w:tcPr>
            <w:tcW w:w="9072" w:type="dxa"/>
            <w:tcBorders>
              <w:top w:val="nil"/>
              <w:left w:val="nil"/>
              <w:bottom w:val="nil"/>
              <w:right w:val="single" w:sz="4" w:space="0" w:color="auto"/>
            </w:tcBorders>
            <w:shd w:val="clear" w:color="auto" w:fill="auto"/>
            <w:noWrap/>
            <w:vAlign w:val="center"/>
            <w:hideMark/>
          </w:tcPr>
          <w:p w14:paraId="66A0D6DE"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9072" w:type="dxa"/>
            <w:tcBorders>
              <w:top w:val="nil"/>
              <w:left w:val="nil"/>
              <w:bottom w:val="nil"/>
              <w:right w:val="single" w:sz="4" w:space="0" w:color="auto"/>
            </w:tcBorders>
            <w:shd w:val="clear" w:color="auto" w:fill="auto"/>
            <w:noWrap/>
            <w:vAlign w:val="center"/>
            <w:hideMark/>
          </w:tcPr>
          <w:p w14:paraId="435FF3B7"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8,102 </w:t>
            </w:r>
          </w:p>
        </w:tc>
      </w:tr>
      <w:tr w:rsidR="00BC5219" w:rsidRPr="008A2B8F" w14:paraId="27EC56E7" w14:textId="77777777" w:rsidTr="00E83802">
        <w:trPr>
          <w:trHeight w:val="198"/>
        </w:trPr>
        <w:tc>
          <w:tcPr>
            <w:tcW w:w="215" w:type="dxa"/>
            <w:tcBorders>
              <w:top w:val="nil"/>
              <w:left w:val="single" w:sz="4" w:space="0" w:color="auto"/>
              <w:bottom w:val="single" w:sz="4" w:space="0" w:color="auto"/>
              <w:right w:val="nil"/>
            </w:tcBorders>
            <w:shd w:val="clear" w:color="auto" w:fill="auto"/>
            <w:noWrap/>
            <w:vAlign w:val="bottom"/>
            <w:hideMark/>
          </w:tcPr>
          <w:p w14:paraId="7D682E1F"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19845" w:type="dxa"/>
            <w:tcBorders>
              <w:top w:val="nil"/>
              <w:left w:val="nil"/>
              <w:bottom w:val="single" w:sz="4" w:space="0" w:color="auto"/>
              <w:right w:val="single" w:sz="4" w:space="0" w:color="auto"/>
            </w:tcBorders>
            <w:shd w:val="clear" w:color="auto" w:fill="auto"/>
            <w:noWrap/>
            <w:vAlign w:val="bottom"/>
            <w:hideMark/>
          </w:tcPr>
          <w:p w14:paraId="20BE50E7"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Right-of-use assets</w:t>
            </w:r>
          </w:p>
        </w:tc>
        <w:tc>
          <w:tcPr>
            <w:tcW w:w="9072" w:type="dxa"/>
            <w:tcBorders>
              <w:top w:val="nil"/>
              <w:left w:val="nil"/>
              <w:bottom w:val="single" w:sz="4" w:space="0" w:color="auto"/>
              <w:right w:val="single" w:sz="4" w:space="0" w:color="auto"/>
            </w:tcBorders>
            <w:shd w:val="clear" w:color="auto" w:fill="auto"/>
            <w:noWrap/>
            <w:vAlign w:val="center"/>
            <w:hideMark/>
          </w:tcPr>
          <w:p w14:paraId="4032684A"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88,905 </w:t>
            </w:r>
          </w:p>
        </w:tc>
        <w:tc>
          <w:tcPr>
            <w:tcW w:w="9072" w:type="dxa"/>
            <w:tcBorders>
              <w:top w:val="nil"/>
              <w:left w:val="nil"/>
              <w:bottom w:val="single" w:sz="4" w:space="0" w:color="auto"/>
              <w:right w:val="single" w:sz="4" w:space="0" w:color="auto"/>
            </w:tcBorders>
            <w:shd w:val="clear" w:color="auto" w:fill="auto"/>
            <w:noWrap/>
            <w:vAlign w:val="center"/>
            <w:hideMark/>
          </w:tcPr>
          <w:p w14:paraId="68D7A577"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11,762 </w:t>
            </w:r>
          </w:p>
        </w:tc>
        <w:tc>
          <w:tcPr>
            <w:tcW w:w="9072" w:type="dxa"/>
            <w:tcBorders>
              <w:top w:val="nil"/>
              <w:left w:val="nil"/>
              <w:bottom w:val="single" w:sz="4" w:space="0" w:color="auto"/>
              <w:right w:val="single" w:sz="4" w:space="0" w:color="auto"/>
            </w:tcBorders>
            <w:shd w:val="clear" w:color="auto" w:fill="auto"/>
            <w:noWrap/>
            <w:vAlign w:val="center"/>
            <w:hideMark/>
          </w:tcPr>
          <w:p w14:paraId="33F3A41E"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4 </w:t>
            </w:r>
          </w:p>
        </w:tc>
        <w:tc>
          <w:tcPr>
            <w:tcW w:w="9072" w:type="dxa"/>
            <w:tcBorders>
              <w:top w:val="nil"/>
              <w:left w:val="nil"/>
              <w:bottom w:val="single" w:sz="4" w:space="0" w:color="auto"/>
              <w:right w:val="single" w:sz="4" w:space="0" w:color="auto"/>
            </w:tcBorders>
            <w:shd w:val="clear" w:color="auto" w:fill="auto"/>
            <w:noWrap/>
            <w:vAlign w:val="center"/>
            <w:hideMark/>
          </w:tcPr>
          <w:p w14:paraId="24EBDD3B"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9072" w:type="dxa"/>
            <w:tcBorders>
              <w:top w:val="nil"/>
              <w:left w:val="nil"/>
              <w:bottom w:val="single" w:sz="4" w:space="0" w:color="auto"/>
              <w:right w:val="single" w:sz="4" w:space="0" w:color="auto"/>
            </w:tcBorders>
            <w:shd w:val="clear" w:color="auto" w:fill="auto"/>
            <w:noWrap/>
            <w:vAlign w:val="center"/>
            <w:hideMark/>
          </w:tcPr>
          <w:p w14:paraId="0792DB1B"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100,671 </w:t>
            </w:r>
          </w:p>
        </w:tc>
      </w:tr>
      <w:tr w:rsidR="00BC5219" w:rsidRPr="008A2B8F" w14:paraId="60560155" w14:textId="77777777" w:rsidTr="00E83802">
        <w:trPr>
          <w:trHeight w:val="198"/>
        </w:trPr>
        <w:tc>
          <w:tcPr>
            <w:tcW w:w="215" w:type="dxa"/>
            <w:tcBorders>
              <w:top w:val="nil"/>
              <w:left w:val="single" w:sz="4" w:space="0" w:color="auto"/>
              <w:bottom w:val="nil"/>
              <w:right w:val="nil"/>
            </w:tcBorders>
            <w:shd w:val="clear" w:color="auto" w:fill="auto"/>
            <w:noWrap/>
            <w:vAlign w:val="bottom"/>
            <w:hideMark/>
          </w:tcPr>
          <w:p w14:paraId="30CEA952"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19845" w:type="dxa"/>
            <w:tcBorders>
              <w:top w:val="nil"/>
              <w:left w:val="nil"/>
              <w:bottom w:val="nil"/>
              <w:right w:val="single" w:sz="4" w:space="0" w:color="auto"/>
            </w:tcBorders>
            <w:shd w:val="clear" w:color="auto" w:fill="auto"/>
            <w:noWrap/>
            <w:vAlign w:val="bottom"/>
            <w:hideMark/>
          </w:tcPr>
          <w:p w14:paraId="03427A9F"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Total assets</w:t>
            </w:r>
          </w:p>
        </w:tc>
        <w:tc>
          <w:tcPr>
            <w:tcW w:w="9072" w:type="dxa"/>
            <w:tcBorders>
              <w:top w:val="nil"/>
              <w:left w:val="nil"/>
              <w:bottom w:val="nil"/>
              <w:right w:val="single" w:sz="4" w:space="0" w:color="auto"/>
            </w:tcBorders>
            <w:shd w:val="clear" w:color="auto" w:fill="auto"/>
            <w:noWrap/>
            <w:vAlign w:val="center"/>
            <w:hideMark/>
          </w:tcPr>
          <w:p w14:paraId="2866D259"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126,728 </w:t>
            </w:r>
          </w:p>
        </w:tc>
        <w:tc>
          <w:tcPr>
            <w:tcW w:w="9072" w:type="dxa"/>
            <w:tcBorders>
              <w:top w:val="nil"/>
              <w:left w:val="nil"/>
              <w:bottom w:val="nil"/>
              <w:right w:val="single" w:sz="4" w:space="0" w:color="auto"/>
            </w:tcBorders>
            <w:shd w:val="clear" w:color="auto" w:fill="auto"/>
            <w:noWrap/>
            <w:vAlign w:val="center"/>
            <w:hideMark/>
          </w:tcPr>
          <w:p w14:paraId="0BA056BC"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52,814 </w:t>
            </w:r>
          </w:p>
        </w:tc>
        <w:tc>
          <w:tcPr>
            <w:tcW w:w="9072" w:type="dxa"/>
            <w:tcBorders>
              <w:top w:val="nil"/>
              <w:left w:val="nil"/>
              <w:bottom w:val="nil"/>
              <w:right w:val="single" w:sz="4" w:space="0" w:color="auto"/>
            </w:tcBorders>
            <w:shd w:val="clear" w:color="auto" w:fill="auto"/>
            <w:noWrap/>
            <w:vAlign w:val="center"/>
            <w:hideMark/>
          </w:tcPr>
          <w:p w14:paraId="212C2FD5"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63,281 </w:t>
            </w:r>
          </w:p>
        </w:tc>
        <w:tc>
          <w:tcPr>
            <w:tcW w:w="9072" w:type="dxa"/>
            <w:tcBorders>
              <w:top w:val="nil"/>
              <w:left w:val="nil"/>
              <w:bottom w:val="nil"/>
              <w:right w:val="single" w:sz="4" w:space="0" w:color="auto"/>
            </w:tcBorders>
            <w:shd w:val="clear" w:color="auto" w:fill="auto"/>
            <w:noWrap/>
            <w:vAlign w:val="center"/>
            <w:hideMark/>
          </w:tcPr>
          <w:p w14:paraId="3733C76F"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5,018 </w:t>
            </w:r>
          </w:p>
        </w:tc>
        <w:tc>
          <w:tcPr>
            <w:tcW w:w="9072" w:type="dxa"/>
            <w:tcBorders>
              <w:top w:val="nil"/>
              <w:left w:val="nil"/>
              <w:bottom w:val="nil"/>
              <w:right w:val="single" w:sz="4" w:space="0" w:color="auto"/>
            </w:tcBorders>
            <w:shd w:val="clear" w:color="auto" w:fill="auto"/>
            <w:noWrap/>
            <w:vAlign w:val="center"/>
            <w:hideMark/>
          </w:tcPr>
          <w:p w14:paraId="5876CAFC"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247,841 </w:t>
            </w:r>
          </w:p>
        </w:tc>
      </w:tr>
      <w:tr w:rsidR="00BC5219" w:rsidRPr="008A2B8F" w14:paraId="5376406E" w14:textId="77777777" w:rsidTr="00E83802">
        <w:trPr>
          <w:trHeight w:val="198"/>
        </w:trPr>
        <w:tc>
          <w:tcPr>
            <w:tcW w:w="215" w:type="dxa"/>
            <w:tcBorders>
              <w:top w:val="nil"/>
              <w:left w:val="single" w:sz="4" w:space="0" w:color="auto"/>
              <w:bottom w:val="nil"/>
              <w:right w:val="nil"/>
            </w:tcBorders>
            <w:shd w:val="clear" w:color="auto" w:fill="auto"/>
            <w:noWrap/>
            <w:vAlign w:val="bottom"/>
            <w:hideMark/>
          </w:tcPr>
          <w:p w14:paraId="5E7E0746"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19845" w:type="dxa"/>
            <w:tcBorders>
              <w:top w:val="nil"/>
              <w:left w:val="nil"/>
              <w:bottom w:val="nil"/>
              <w:right w:val="single" w:sz="4" w:space="0" w:color="auto"/>
            </w:tcBorders>
            <w:shd w:val="clear" w:color="auto" w:fill="auto"/>
            <w:noWrap/>
            <w:vAlign w:val="bottom"/>
            <w:hideMark/>
          </w:tcPr>
          <w:p w14:paraId="23E9E9C3"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9072" w:type="dxa"/>
            <w:tcBorders>
              <w:top w:val="nil"/>
              <w:left w:val="nil"/>
              <w:bottom w:val="nil"/>
              <w:right w:val="single" w:sz="4" w:space="0" w:color="auto"/>
            </w:tcBorders>
            <w:shd w:val="clear" w:color="auto" w:fill="auto"/>
            <w:noWrap/>
            <w:vAlign w:val="bottom"/>
            <w:hideMark/>
          </w:tcPr>
          <w:p w14:paraId="5FB9B5CE"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9072" w:type="dxa"/>
            <w:tcBorders>
              <w:top w:val="nil"/>
              <w:left w:val="nil"/>
              <w:bottom w:val="nil"/>
              <w:right w:val="single" w:sz="4" w:space="0" w:color="auto"/>
            </w:tcBorders>
            <w:shd w:val="clear" w:color="auto" w:fill="auto"/>
            <w:noWrap/>
            <w:vAlign w:val="bottom"/>
            <w:hideMark/>
          </w:tcPr>
          <w:p w14:paraId="7280831D"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9072" w:type="dxa"/>
            <w:tcBorders>
              <w:top w:val="nil"/>
              <w:left w:val="nil"/>
              <w:bottom w:val="nil"/>
              <w:right w:val="single" w:sz="4" w:space="0" w:color="auto"/>
            </w:tcBorders>
            <w:shd w:val="clear" w:color="auto" w:fill="auto"/>
            <w:noWrap/>
            <w:vAlign w:val="bottom"/>
            <w:hideMark/>
          </w:tcPr>
          <w:p w14:paraId="4732E339"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9072" w:type="dxa"/>
            <w:tcBorders>
              <w:top w:val="nil"/>
              <w:left w:val="nil"/>
              <w:bottom w:val="nil"/>
              <w:right w:val="single" w:sz="4" w:space="0" w:color="auto"/>
            </w:tcBorders>
            <w:shd w:val="clear" w:color="auto" w:fill="auto"/>
            <w:noWrap/>
            <w:vAlign w:val="bottom"/>
            <w:hideMark/>
          </w:tcPr>
          <w:p w14:paraId="0643ECEF"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9072" w:type="dxa"/>
            <w:tcBorders>
              <w:top w:val="nil"/>
              <w:left w:val="nil"/>
              <w:bottom w:val="nil"/>
              <w:right w:val="single" w:sz="4" w:space="0" w:color="auto"/>
            </w:tcBorders>
            <w:shd w:val="clear" w:color="auto" w:fill="auto"/>
            <w:noWrap/>
            <w:vAlign w:val="bottom"/>
            <w:hideMark/>
          </w:tcPr>
          <w:p w14:paraId="76E53D86"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 </w:t>
            </w:r>
          </w:p>
        </w:tc>
      </w:tr>
      <w:tr w:rsidR="00BC5219" w:rsidRPr="008A2B8F" w14:paraId="45E5B67C" w14:textId="77777777" w:rsidTr="00E83802">
        <w:trPr>
          <w:trHeight w:val="198"/>
        </w:trPr>
        <w:tc>
          <w:tcPr>
            <w:tcW w:w="19845" w:type="dxa"/>
            <w:gridSpan w:val="2"/>
            <w:tcBorders>
              <w:top w:val="nil"/>
              <w:left w:val="single" w:sz="4" w:space="0" w:color="auto"/>
              <w:bottom w:val="nil"/>
              <w:right w:val="single" w:sz="4" w:space="0" w:color="000000"/>
            </w:tcBorders>
            <w:shd w:val="clear" w:color="auto" w:fill="auto"/>
            <w:noWrap/>
            <w:vAlign w:val="bottom"/>
            <w:hideMark/>
          </w:tcPr>
          <w:p w14:paraId="7A929473"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 xml:space="preserve"> Liabilities</w:t>
            </w:r>
          </w:p>
        </w:tc>
        <w:tc>
          <w:tcPr>
            <w:tcW w:w="9072" w:type="dxa"/>
            <w:tcBorders>
              <w:top w:val="nil"/>
              <w:left w:val="nil"/>
              <w:bottom w:val="nil"/>
              <w:right w:val="single" w:sz="4" w:space="0" w:color="auto"/>
            </w:tcBorders>
            <w:shd w:val="clear" w:color="auto" w:fill="auto"/>
            <w:noWrap/>
            <w:vAlign w:val="bottom"/>
            <w:hideMark/>
          </w:tcPr>
          <w:p w14:paraId="6455ED78"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9072" w:type="dxa"/>
            <w:tcBorders>
              <w:top w:val="nil"/>
              <w:left w:val="nil"/>
              <w:bottom w:val="nil"/>
              <w:right w:val="single" w:sz="4" w:space="0" w:color="auto"/>
            </w:tcBorders>
            <w:shd w:val="clear" w:color="auto" w:fill="auto"/>
            <w:noWrap/>
            <w:vAlign w:val="bottom"/>
            <w:hideMark/>
          </w:tcPr>
          <w:p w14:paraId="4F8411CC"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9072" w:type="dxa"/>
            <w:tcBorders>
              <w:top w:val="nil"/>
              <w:left w:val="nil"/>
              <w:bottom w:val="nil"/>
              <w:right w:val="single" w:sz="4" w:space="0" w:color="auto"/>
            </w:tcBorders>
            <w:shd w:val="clear" w:color="auto" w:fill="auto"/>
            <w:noWrap/>
            <w:vAlign w:val="bottom"/>
            <w:hideMark/>
          </w:tcPr>
          <w:p w14:paraId="18ABACF5"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9072" w:type="dxa"/>
            <w:tcBorders>
              <w:top w:val="nil"/>
              <w:left w:val="nil"/>
              <w:bottom w:val="nil"/>
              <w:right w:val="single" w:sz="4" w:space="0" w:color="auto"/>
            </w:tcBorders>
            <w:shd w:val="clear" w:color="auto" w:fill="auto"/>
            <w:noWrap/>
            <w:vAlign w:val="bottom"/>
            <w:hideMark/>
          </w:tcPr>
          <w:p w14:paraId="0D16F16C"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9072" w:type="dxa"/>
            <w:tcBorders>
              <w:top w:val="nil"/>
              <w:left w:val="nil"/>
              <w:bottom w:val="nil"/>
              <w:right w:val="single" w:sz="4" w:space="0" w:color="auto"/>
            </w:tcBorders>
            <w:shd w:val="clear" w:color="auto" w:fill="auto"/>
            <w:noWrap/>
            <w:vAlign w:val="bottom"/>
            <w:hideMark/>
          </w:tcPr>
          <w:p w14:paraId="44387B79"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 </w:t>
            </w:r>
          </w:p>
        </w:tc>
      </w:tr>
      <w:tr w:rsidR="00BC5219" w:rsidRPr="008A2B8F" w14:paraId="1FDE1FAF" w14:textId="77777777" w:rsidTr="00E83802">
        <w:trPr>
          <w:trHeight w:val="198"/>
        </w:trPr>
        <w:tc>
          <w:tcPr>
            <w:tcW w:w="215" w:type="dxa"/>
            <w:tcBorders>
              <w:top w:val="nil"/>
              <w:left w:val="single" w:sz="4" w:space="0" w:color="auto"/>
              <w:bottom w:val="nil"/>
              <w:right w:val="nil"/>
            </w:tcBorders>
            <w:shd w:val="clear" w:color="auto" w:fill="auto"/>
            <w:noWrap/>
            <w:vAlign w:val="bottom"/>
            <w:hideMark/>
          </w:tcPr>
          <w:p w14:paraId="1896919C"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19845" w:type="dxa"/>
            <w:tcBorders>
              <w:top w:val="nil"/>
              <w:left w:val="nil"/>
              <w:bottom w:val="nil"/>
              <w:right w:val="single" w:sz="4" w:space="0" w:color="auto"/>
            </w:tcBorders>
            <w:shd w:val="clear" w:color="auto" w:fill="auto"/>
            <w:noWrap/>
            <w:vAlign w:val="bottom"/>
            <w:hideMark/>
          </w:tcPr>
          <w:p w14:paraId="635CC9FD"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Payables</w:t>
            </w:r>
          </w:p>
        </w:tc>
        <w:tc>
          <w:tcPr>
            <w:tcW w:w="9072" w:type="dxa"/>
            <w:tcBorders>
              <w:top w:val="nil"/>
              <w:left w:val="nil"/>
              <w:bottom w:val="nil"/>
              <w:right w:val="single" w:sz="4" w:space="0" w:color="auto"/>
            </w:tcBorders>
            <w:shd w:val="clear" w:color="auto" w:fill="auto"/>
            <w:noWrap/>
            <w:vAlign w:val="center"/>
            <w:hideMark/>
          </w:tcPr>
          <w:p w14:paraId="79BDD136"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21,580 </w:t>
            </w:r>
          </w:p>
        </w:tc>
        <w:tc>
          <w:tcPr>
            <w:tcW w:w="9072" w:type="dxa"/>
            <w:tcBorders>
              <w:top w:val="nil"/>
              <w:left w:val="nil"/>
              <w:bottom w:val="nil"/>
              <w:right w:val="single" w:sz="4" w:space="0" w:color="auto"/>
            </w:tcBorders>
            <w:shd w:val="clear" w:color="auto" w:fill="auto"/>
            <w:noWrap/>
            <w:vAlign w:val="center"/>
            <w:hideMark/>
          </w:tcPr>
          <w:p w14:paraId="021010D0"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7,445 </w:t>
            </w:r>
          </w:p>
        </w:tc>
        <w:tc>
          <w:tcPr>
            <w:tcW w:w="9072" w:type="dxa"/>
            <w:tcBorders>
              <w:top w:val="nil"/>
              <w:left w:val="nil"/>
              <w:bottom w:val="nil"/>
              <w:right w:val="single" w:sz="4" w:space="0" w:color="auto"/>
            </w:tcBorders>
            <w:shd w:val="clear" w:color="auto" w:fill="auto"/>
            <w:noWrap/>
            <w:vAlign w:val="center"/>
            <w:hideMark/>
          </w:tcPr>
          <w:p w14:paraId="3D61A958"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2,801 </w:t>
            </w:r>
          </w:p>
        </w:tc>
        <w:tc>
          <w:tcPr>
            <w:tcW w:w="9072" w:type="dxa"/>
            <w:tcBorders>
              <w:top w:val="nil"/>
              <w:left w:val="nil"/>
              <w:bottom w:val="nil"/>
              <w:right w:val="single" w:sz="4" w:space="0" w:color="auto"/>
            </w:tcBorders>
            <w:shd w:val="clear" w:color="auto" w:fill="auto"/>
            <w:noWrap/>
            <w:vAlign w:val="center"/>
            <w:hideMark/>
          </w:tcPr>
          <w:p w14:paraId="66AA6E22"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133 </w:t>
            </w:r>
          </w:p>
        </w:tc>
        <w:tc>
          <w:tcPr>
            <w:tcW w:w="9072" w:type="dxa"/>
            <w:tcBorders>
              <w:top w:val="nil"/>
              <w:left w:val="nil"/>
              <w:bottom w:val="nil"/>
              <w:right w:val="single" w:sz="4" w:space="0" w:color="auto"/>
            </w:tcBorders>
            <w:shd w:val="clear" w:color="auto" w:fill="auto"/>
            <w:noWrap/>
            <w:vAlign w:val="center"/>
            <w:hideMark/>
          </w:tcPr>
          <w:p w14:paraId="3350050A"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31,959 </w:t>
            </w:r>
          </w:p>
        </w:tc>
      </w:tr>
      <w:tr w:rsidR="00BC5219" w:rsidRPr="008A2B8F" w14:paraId="23694FA3" w14:textId="77777777" w:rsidTr="00E83802">
        <w:trPr>
          <w:trHeight w:val="198"/>
        </w:trPr>
        <w:tc>
          <w:tcPr>
            <w:tcW w:w="215" w:type="dxa"/>
            <w:tcBorders>
              <w:top w:val="nil"/>
              <w:left w:val="single" w:sz="4" w:space="0" w:color="auto"/>
              <w:bottom w:val="nil"/>
              <w:right w:val="nil"/>
            </w:tcBorders>
            <w:shd w:val="clear" w:color="auto" w:fill="auto"/>
            <w:noWrap/>
            <w:vAlign w:val="bottom"/>
            <w:hideMark/>
          </w:tcPr>
          <w:p w14:paraId="27724841"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19845" w:type="dxa"/>
            <w:tcBorders>
              <w:top w:val="nil"/>
              <w:left w:val="nil"/>
              <w:bottom w:val="nil"/>
              <w:right w:val="single" w:sz="4" w:space="0" w:color="auto"/>
            </w:tcBorders>
            <w:shd w:val="clear" w:color="auto" w:fill="auto"/>
            <w:noWrap/>
            <w:vAlign w:val="bottom"/>
            <w:hideMark/>
          </w:tcPr>
          <w:p w14:paraId="664AAA9F"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Lease liabilities</w:t>
            </w:r>
          </w:p>
        </w:tc>
        <w:tc>
          <w:tcPr>
            <w:tcW w:w="9072" w:type="dxa"/>
            <w:tcBorders>
              <w:top w:val="nil"/>
              <w:left w:val="nil"/>
              <w:bottom w:val="nil"/>
              <w:right w:val="single" w:sz="4" w:space="0" w:color="auto"/>
            </w:tcBorders>
            <w:shd w:val="clear" w:color="auto" w:fill="auto"/>
            <w:noWrap/>
            <w:vAlign w:val="center"/>
            <w:hideMark/>
          </w:tcPr>
          <w:p w14:paraId="59807AC4"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97,654 </w:t>
            </w:r>
          </w:p>
        </w:tc>
        <w:tc>
          <w:tcPr>
            <w:tcW w:w="9072" w:type="dxa"/>
            <w:tcBorders>
              <w:top w:val="nil"/>
              <w:left w:val="nil"/>
              <w:bottom w:val="nil"/>
              <w:right w:val="single" w:sz="4" w:space="0" w:color="auto"/>
            </w:tcBorders>
            <w:shd w:val="clear" w:color="auto" w:fill="auto"/>
            <w:noWrap/>
            <w:vAlign w:val="center"/>
            <w:hideMark/>
          </w:tcPr>
          <w:p w14:paraId="30F28559"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11,480 </w:t>
            </w:r>
          </w:p>
        </w:tc>
        <w:tc>
          <w:tcPr>
            <w:tcW w:w="9072" w:type="dxa"/>
            <w:tcBorders>
              <w:top w:val="nil"/>
              <w:left w:val="nil"/>
              <w:bottom w:val="nil"/>
              <w:right w:val="single" w:sz="4" w:space="0" w:color="auto"/>
            </w:tcBorders>
            <w:shd w:val="clear" w:color="auto" w:fill="auto"/>
            <w:noWrap/>
            <w:vAlign w:val="center"/>
            <w:hideMark/>
          </w:tcPr>
          <w:p w14:paraId="62F2807F"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4 </w:t>
            </w:r>
          </w:p>
        </w:tc>
        <w:tc>
          <w:tcPr>
            <w:tcW w:w="9072" w:type="dxa"/>
            <w:tcBorders>
              <w:top w:val="nil"/>
              <w:left w:val="nil"/>
              <w:bottom w:val="nil"/>
              <w:right w:val="single" w:sz="4" w:space="0" w:color="auto"/>
            </w:tcBorders>
            <w:shd w:val="clear" w:color="auto" w:fill="auto"/>
            <w:noWrap/>
            <w:vAlign w:val="center"/>
            <w:hideMark/>
          </w:tcPr>
          <w:p w14:paraId="0C3867D3"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9072" w:type="dxa"/>
            <w:tcBorders>
              <w:top w:val="nil"/>
              <w:left w:val="nil"/>
              <w:bottom w:val="nil"/>
              <w:right w:val="single" w:sz="4" w:space="0" w:color="auto"/>
            </w:tcBorders>
            <w:shd w:val="clear" w:color="auto" w:fill="auto"/>
            <w:noWrap/>
            <w:vAlign w:val="center"/>
            <w:hideMark/>
          </w:tcPr>
          <w:p w14:paraId="6AF3BB67"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109,138 </w:t>
            </w:r>
          </w:p>
        </w:tc>
      </w:tr>
      <w:tr w:rsidR="00BC5219" w:rsidRPr="008A2B8F" w14:paraId="0A896B26" w14:textId="77777777" w:rsidTr="00E83802">
        <w:trPr>
          <w:trHeight w:val="198"/>
        </w:trPr>
        <w:tc>
          <w:tcPr>
            <w:tcW w:w="215" w:type="dxa"/>
            <w:tcBorders>
              <w:top w:val="nil"/>
              <w:left w:val="single" w:sz="4" w:space="0" w:color="auto"/>
              <w:bottom w:val="nil"/>
              <w:right w:val="nil"/>
            </w:tcBorders>
            <w:shd w:val="clear" w:color="auto" w:fill="auto"/>
            <w:noWrap/>
            <w:vAlign w:val="bottom"/>
            <w:hideMark/>
          </w:tcPr>
          <w:p w14:paraId="1A20E560"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19845" w:type="dxa"/>
            <w:tcBorders>
              <w:top w:val="nil"/>
              <w:left w:val="nil"/>
              <w:bottom w:val="nil"/>
              <w:right w:val="single" w:sz="4" w:space="0" w:color="auto"/>
            </w:tcBorders>
            <w:shd w:val="clear" w:color="auto" w:fill="auto"/>
            <w:noWrap/>
            <w:vAlign w:val="bottom"/>
            <w:hideMark/>
          </w:tcPr>
          <w:p w14:paraId="7B0C6073"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Accrued employee benefits</w:t>
            </w:r>
          </w:p>
        </w:tc>
        <w:tc>
          <w:tcPr>
            <w:tcW w:w="9072" w:type="dxa"/>
            <w:tcBorders>
              <w:top w:val="nil"/>
              <w:left w:val="nil"/>
              <w:bottom w:val="nil"/>
              <w:right w:val="single" w:sz="4" w:space="0" w:color="auto"/>
            </w:tcBorders>
            <w:shd w:val="clear" w:color="auto" w:fill="auto"/>
            <w:noWrap/>
            <w:vAlign w:val="center"/>
            <w:hideMark/>
          </w:tcPr>
          <w:p w14:paraId="24DD0E0C"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1,488 </w:t>
            </w:r>
          </w:p>
        </w:tc>
        <w:tc>
          <w:tcPr>
            <w:tcW w:w="9072" w:type="dxa"/>
            <w:tcBorders>
              <w:top w:val="nil"/>
              <w:left w:val="nil"/>
              <w:bottom w:val="nil"/>
              <w:right w:val="single" w:sz="4" w:space="0" w:color="auto"/>
            </w:tcBorders>
            <w:shd w:val="clear" w:color="auto" w:fill="auto"/>
            <w:noWrap/>
            <w:vAlign w:val="center"/>
            <w:hideMark/>
          </w:tcPr>
          <w:p w14:paraId="4F7095FC"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815 </w:t>
            </w:r>
          </w:p>
        </w:tc>
        <w:tc>
          <w:tcPr>
            <w:tcW w:w="9072" w:type="dxa"/>
            <w:tcBorders>
              <w:top w:val="nil"/>
              <w:left w:val="nil"/>
              <w:bottom w:val="nil"/>
              <w:right w:val="single" w:sz="4" w:space="0" w:color="auto"/>
            </w:tcBorders>
            <w:shd w:val="clear" w:color="auto" w:fill="auto"/>
            <w:noWrap/>
            <w:vAlign w:val="center"/>
            <w:hideMark/>
          </w:tcPr>
          <w:p w14:paraId="2D36C428"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1,419 </w:t>
            </w:r>
          </w:p>
        </w:tc>
        <w:tc>
          <w:tcPr>
            <w:tcW w:w="9072" w:type="dxa"/>
            <w:tcBorders>
              <w:top w:val="nil"/>
              <w:left w:val="nil"/>
              <w:bottom w:val="nil"/>
              <w:right w:val="single" w:sz="4" w:space="0" w:color="auto"/>
            </w:tcBorders>
            <w:shd w:val="clear" w:color="auto" w:fill="auto"/>
            <w:noWrap/>
            <w:vAlign w:val="center"/>
            <w:hideMark/>
          </w:tcPr>
          <w:p w14:paraId="291003AE"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388 </w:t>
            </w:r>
          </w:p>
        </w:tc>
        <w:tc>
          <w:tcPr>
            <w:tcW w:w="9072" w:type="dxa"/>
            <w:tcBorders>
              <w:top w:val="nil"/>
              <w:left w:val="nil"/>
              <w:bottom w:val="nil"/>
              <w:right w:val="single" w:sz="4" w:space="0" w:color="auto"/>
            </w:tcBorders>
            <w:shd w:val="clear" w:color="auto" w:fill="auto"/>
            <w:noWrap/>
            <w:vAlign w:val="center"/>
            <w:hideMark/>
          </w:tcPr>
          <w:p w14:paraId="6669F92F"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4,110 </w:t>
            </w:r>
          </w:p>
        </w:tc>
      </w:tr>
      <w:tr w:rsidR="00BC5219" w:rsidRPr="008A2B8F" w14:paraId="6E1A3616" w14:textId="77777777" w:rsidTr="00E83802">
        <w:trPr>
          <w:trHeight w:val="198"/>
        </w:trPr>
        <w:tc>
          <w:tcPr>
            <w:tcW w:w="215" w:type="dxa"/>
            <w:tcBorders>
              <w:top w:val="nil"/>
              <w:left w:val="single" w:sz="4" w:space="0" w:color="auto"/>
              <w:bottom w:val="single" w:sz="4" w:space="0" w:color="auto"/>
              <w:right w:val="nil"/>
            </w:tcBorders>
            <w:shd w:val="clear" w:color="auto" w:fill="auto"/>
            <w:noWrap/>
            <w:vAlign w:val="bottom"/>
            <w:hideMark/>
          </w:tcPr>
          <w:p w14:paraId="54E059EF"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19845" w:type="dxa"/>
            <w:tcBorders>
              <w:top w:val="nil"/>
              <w:left w:val="nil"/>
              <w:bottom w:val="single" w:sz="4" w:space="0" w:color="auto"/>
              <w:right w:val="single" w:sz="4" w:space="0" w:color="auto"/>
            </w:tcBorders>
            <w:shd w:val="clear" w:color="auto" w:fill="auto"/>
            <w:noWrap/>
            <w:vAlign w:val="bottom"/>
            <w:hideMark/>
          </w:tcPr>
          <w:p w14:paraId="3DE70A74"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Other</w:t>
            </w:r>
          </w:p>
        </w:tc>
        <w:tc>
          <w:tcPr>
            <w:tcW w:w="9072" w:type="dxa"/>
            <w:tcBorders>
              <w:top w:val="nil"/>
              <w:left w:val="nil"/>
              <w:bottom w:val="single" w:sz="4" w:space="0" w:color="auto"/>
              <w:right w:val="single" w:sz="4" w:space="0" w:color="auto"/>
            </w:tcBorders>
            <w:shd w:val="clear" w:color="auto" w:fill="auto"/>
            <w:noWrap/>
            <w:vAlign w:val="center"/>
            <w:hideMark/>
          </w:tcPr>
          <w:p w14:paraId="6388DBCE"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1,782 </w:t>
            </w:r>
          </w:p>
        </w:tc>
        <w:tc>
          <w:tcPr>
            <w:tcW w:w="9072" w:type="dxa"/>
            <w:tcBorders>
              <w:top w:val="nil"/>
              <w:left w:val="nil"/>
              <w:bottom w:val="single" w:sz="4" w:space="0" w:color="auto"/>
              <w:right w:val="single" w:sz="4" w:space="0" w:color="auto"/>
            </w:tcBorders>
            <w:shd w:val="clear" w:color="auto" w:fill="auto"/>
            <w:noWrap/>
            <w:vAlign w:val="center"/>
            <w:hideMark/>
          </w:tcPr>
          <w:p w14:paraId="14655B9C"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1,714 </w:t>
            </w:r>
          </w:p>
        </w:tc>
        <w:tc>
          <w:tcPr>
            <w:tcW w:w="9072" w:type="dxa"/>
            <w:tcBorders>
              <w:top w:val="nil"/>
              <w:left w:val="nil"/>
              <w:bottom w:val="single" w:sz="4" w:space="0" w:color="auto"/>
              <w:right w:val="single" w:sz="4" w:space="0" w:color="auto"/>
            </w:tcBorders>
            <w:shd w:val="clear" w:color="auto" w:fill="auto"/>
            <w:noWrap/>
            <w:vAlign w:val="center"/>
            <w:hideMark/>
          </w:tcPr>
          <w:p w14:paraId="0F78271F"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196 </w:t>
            </w:r>
          </w:p>
        </w:tc>
        <w:tc>
          <w:tcPr>
            <w:tcW w:w="9072" w:type="dxa"/>
            <w:tcBorders>
              <w:top w:val="nil"/>
              <w:left w:val="nil"/>
              <w:bottom w:val="single" w:sz="4" w:space="0" w:color="auto"/>
              <w:right w:val="single" w:sz="4" w:space="0" w:color="auto"/>
            </w:tcBorders>
            <w:shd w:val="clear" w:color="auto" w:fill="auto"/>
            <w:noWrap/>
            <w:vAlign w:val="center"/>
            <w:hideMark/>
          </w:tcPr>
          <w:p w14:paraId="0F8193A0"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89 </w:t>
            </w:r>
          </w:p>
        </w:tc>
        <w:tc>
          <w:tcPr>
            <w:tcW w:w="9072" w:type="dxa"/>
            <w:tcBorders>
              <w:top w:val="nil"/>
              <w:left w:val="nil"/>
              <w:bottom w:val="single" w:sz="4" w:space="0" w:color="auto"/>
              <w:right w:val="single" w:sz="4" w:space="0" w:color="auto"/>
            </w:tcBorders>
            <w:shd w:val="clear" w:color="auto" w:fill="auto"/>
            <w:noWrap/>
            <w:vAlign w:val="center"/>
            <w:hideMark/>
          </w:tcPr>
          <w:p w14:paraId="79091FE9"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3,781 </w:t>
            </w:r>
          </w:p>
        </w:tc>
      </w:tr>
      <w:tr w:rsidR="00BC5219" w:rsidRPr="008A2B8F" w14:paraId="07B7F704" w14:textId="77777777" w:rsidTr="00E83802">
        <w:trPr>
          <w:trHeight w:val="198"/>
        </w:trPr>
        <w:tc>
          <w:tcPr>
            <w:tcW w:w="215" w:type="dxa"/>
            <w:tcBorders>
              <w:top w:val="nil"/>
              <w:left w:val="single" w:sz="4" w:space="0" w:color="auto"/>
              <w:bottom w:val="nil"/>
              <w:right w:val="nil"/>
            </w:tcBorders>
            <w:shd w:val="clear" w:color="auto" w:fill="auto"/>
            <w:noWrap/>
            <w:vAlign w:val="bottom"/>
            <w:hideMark/>
          </w:tcPr>
          <w:p w14:paraId="7E99E159"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19845" w:type="dxa"/>
            <w:tcBorders>
              <w:top w:val="nil"/>
              <w:left w:val="nil"/>
              <w:bottom w:val="nil"/>
              <w:right w:val="single" w:sz="4" w:space="0" w:color="auto"/>
            </w:tcBorders>
            <w:shd w:val="clear" w:color="auto" w:fill="auto"/>
            <w:noWrap/>
            <w:vAlign w:val="bottom"/>
            <w:hideMark/>
          </w:tcPr>
          <w:p w14:paraId="7067212B"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Total liabilities</w:t>
            </w:r>
          </w:p>
        </w:tc>
        <w:tc>
          <w:tcPr>
            <w:tcW w:w="9072" w:type="dxa"/>
            <w:tcBorders>
              <w:top w:val="nil"/>
              <w:left w:val="nil"/>
              <w:bottom w:val="nil"/>
              <w:right w:val="single" w:sz="4" w:space="0" w:color="auto"/>
            </w:tcBorders>
            <w:shd w:val="clear" w:color="auto" w:fill="auto"/>
            <w:noWrap/>
            <w:vAlign w:val="center"/>
            <w:hideMark/>
          </w:tcPr>
          <w:p w14:paraId="3F7068FB"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122,504 </w:t>
            </w:r>
          </w:p>
        </w:tc>
        <w:tc>
          <w:tcPr>
            <w:tcW w:w="9072" w:type="dxa"/>
            <w:tcBorders>
              <w:top w:val="nil"/>
              <w:left w:val="nil"/>
              <w:bottom w:val="nil"/>
              <w:right w:val="single" w:sz="4" w:space="0" w:color="auto"/>
            </w:tcBorders>
            <w:shd w:val="clear" w:color="auto" w:fill="auto"/>
            <w:noWrap/>
            <w:vAlign w:val="center"/>
            <w:hideMark/>
          </w:tcPr>
          <w:p w14:paraId="5678307C"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21,454 </w:t>
            </w:r>
          </w:p>
        </w:tc>
        <w:tc>
          <w:tcPr>
            <w:tcW w:w="9072" w:type="dxa"/>
            <w:tcBorders>
              <w:top w:val="nil"/>
              <w:left w:val="nil"/>
              <w:bottom w:val="nil"/>
              <w:right w:val="single" w:sz="4" w:space="0" w:color="auto"/>
            </w:tcBorders>
            <w:shd w:val="clear" w:color="auto" w:fill="auto"/>
            <w:noWrap/>
            <w:vAlign w:val="center"/>
            <w:hideMark/>
          </w:tcPr>
          <w:p w14:paraId="5BE8F3F0"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4,420 </w:t>
            </w:r>
          </w:p>
        </w:tc>
        <w:tc>
          <w:tcPr>
            <w:tcW w:w="9072" w:type="dxa"/>
            <w:tcBorders>
              <w:top w:val="nil"/>
              <w:left w:val="nil"/>
              <w:bottom w:val="nil"/>
              <w:right w:val="single" w:sz="4" w:space="0" w:color="auto"/>
            </w:tcBorders>
            <w:shd w:val="clear" w:color="auto" w:fill="auto"/>
            <w:noWrap/>
            <w:vAlign w:val="center"/>
            <w:hideMark/>
          </w:tcPr>
          <w:p w14:paraId="12E337CD"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610 </w:t>
            </w:r>
          </w:p>
        </w:tc>
        <w:tc>
          <w:tcPr>
            <w:tcW w:w="9072" w:type="dxa"/>
            <w:tcBorders>
              <w:top w:val="nil"/>
              <w:left w:val="nil"/>
              <w:bottom w:val="nil"/>
              <w:right w:val="single" w:sz="4" w:space="0" w:color="auto"/>
            </w:tcBorders>
            <w:shd w:val="clear" w:color="auto" w:fill="auto"/>
            <w:noWrap/>
            <w:vAlign w:val="center"/>
            <w:hideMark/>
          </w:tcPr>
          <w:p w14:paraId="31E05F62"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148,988 </w:t>
            </w:r>
          </w:p>
        </w:tc>
      </w:tr>
      <w:tr w:rsidR="00BC5219" w:rsidRPr="008A2B8F" w14:paraId="5DCD1541" w14:textId="77777777" w:rsidTr="00E83802">
        <w:trPr>
          <w:trHeight w:val="198"/>
        </w:trPr>
        <w:tc>
          <w:tcPr>
            <w:tcW w:w="215" w:type="dxa"/>
            <w:tcBorders>
              <w:top w:val="nil"/>
              <w:left w:val="single" w:sz="4" w:space="0" w:color="auto"/>
              <w:bottom w:val="nil"/>
              <w:right w:val="nil"/>
            </w:tcBorders>
            <w:shd w:val="clear" w:color="auto" w:fill="auto"/>
            <w:noWrap/>
            <w:vAlign w:val="bottom"/>
            <w:hideMark/>
          </w:tcPr>
          <w:p w14:paraId="378C01B6"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19845" w:type="dxa"/>
            <w:tcBorders>
              <w:top w:val="nil"/>
              <w:left w:val="nil"/>
              <w:bottom w:val="nil"/>
              <w:right w:val="single" w:sz="4" w:space="0" w:color="auto"/>
            </w:tcBorders>
            <w:shd w:val="clear" w:color="auto" w:fill="auto"/>
            <w:noWrap/>
            <w:vAlign w:val="bottom"/>
            <w:hideMark/>
          </w:tcPr>
          <w:p w14:paraId="112A71DF"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 </w:t>
            </w:r>
          </w:p>
        </w:tc>
        <w:tc>
          <w:tcPr>
            <w:tcW w:w="9072" w:type="dxa"/>
            <w:tcBorders>
              <w:top w:val="nil"/>
              <w:left w:val="nil"/>
              <w:bottom w:val="nil"/>
              <w:right w:val="nil"/>
            </w:tcBorders>
            <w:shd w:val="clear" w:color="auto" w:fill="auto"/>
            <w:noWrap/>
            <w:vAlign w:val="bottom"/>
            <w:hideMark/>
          </w:tcPr>
          <w:p w14:paraId="245F27D1"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 </w:t>
            </w:r>
          </w:p>
        </w:tc>
        <w:tc>
          <w:tcPr>
            <w:tcW w:w="9072" w:type="dxa"/>
            <w:tcBorders>
              <w:top w:val="nil"/>
              <w:left w:val="single" w:sz="4" w:space="0" w:color="auto"/>
              <w:bottom w:val="nil"/>
              <w:right w:val="nil"/>
            </w:tcBorders>
            <w:shd w:val="clear" w:color="auto" w:fill="auto"/>
            <w:noWrap/>
            <w:vAlign w:val="bottom"/>
            <w:hideMark/>
          </w:tcPr>
          <w:p w14:paraId="7187526B"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 </w:t>
            </w:r>
          </w:p>
        </w:tc>
        <w:tc>
          <w:tcPr>
            <w:tcW w:w="9072" w:type="dxa"/>
            <w:tcBorders>
              <w:top w:val="nil"/>
              <w:left w:val="single" w:sz="4" w:space="0" w:color="auto"/>
              <w:bottom w:val="nil"/>
              <w:right w:val="nil"/>
            </w:tcBorders>
            <w:shd w:val="clear" w:color="auto" w:fill="auto"/>
            <w:noWrap/>
            <w:vAlign w:val="bottom"/>
            <w:hideMark/>
          </w:tcPr>
          <w:p w14:paraId="6F71B660"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 </w:t>
            </w:r>
          </w:p>
        </w:tc>
        <w:tc>
          <w:tcPr>
            <w:tcW w:w="9072" w:type="dxa"/>
            <w:tcBorders>
              <w:top w:val="nil"/>
              <w:left w:val="single" w:sz="4" w:space="0" w:color="auto"/>
              <w:bottom w:val="nil"/>
              <w:right w:val="nil"/>
            </w:tcBorders>
            <w:shd w:val="clear" w:color="auto" w:fill="auto"/>
            <w:noWrap/>
            <w:vAlign w:val="bottom"/>
            <w:hideMark/>
          </w:tcPr>
          <w:p w14:paraId="786E631A"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 </w:t>
            </w:r>
          </w:p>
        </w:tc>
        <w:tc>
          <w:tcPr>
            <w:tcW w:w="9072" w:type="dxa"/>
            <w:tcBorders>
              <w:top w:val="nil"/>
              <w:left w:val="single" w:sz="4" w:space="0" w:color="auto"/>
              <w:bottom w:val="nil"/>
              <w:right w:val="single" w:sz="4" w:space="0" w:color="auto"/>
            </w:tcBorders>
            <w:shd w:val="clear" w:color="auto" w:fill="auto"/>
            <w:noWrap/>
            <w:vAlign w:val="bottom"/>
            <w:hideMark/>
          </w:tcPr>
          <w:p w14:paraId="3DDCE1BE"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 </w:t>
            </w:r>
          </w:p>
        </w:tc>
      </w:tr>
      <w:tr w:rsidR="00BC5219" w:rsidRPr="008A2B8F" w14:paraId="1259D7DC" w14:textId="77777777" w:rsidTr="00E83802">
        <w:trPr>
          <w:trHeight w:val="198"/>
        </w:trPr>
        <w:tc>
          <w:tcPr>
            <w:tcW w:w="215" w:type="dxa"/>
            <w:tcBorders>
              <w:top w:val="nil"/>
              <w:left w:val="single" w:sz="4" w:space="0" w:color="auto"/>
              <w:bottom w:val="double" w:sz="6" w:space="0" w:color="auto"/>
              <w:right w:val="nil"/>
            </w:tcBorders>
            <w:shd w:val="clear" w:color="auto" w:fill="auto"/>
            <w:noWrap/>
            <w:vAlign w:val="bottom"/>
            <w:hideMark/>
          </w:tcPr>
          <w:p w14:paraId="1FB559A6"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19845" w:type="dxa"/>
            <w:tcBorders>
              <w:top w:val="nil"/>
              <w:left w:val="nil"/>
              <w:bottom w:val="double" w:sz="6" w:space="0" w:color="auto"/>
              <w:right w:val="single" w:sz="4" w:space="0" w:color="auto"/>
            </w:tcBorders>
            <w:shd w:val="clear" w:color="auto" w:fill="auto"/>
            <w:noWrap/>
            <w:vAlign w:val="bottom"/>
            <w:hideMark/>
          </w:tcPr>
          <w:p w14:paraId="0B3CF286"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 xml:space="preserve">Net assets </w:t>
            </w:r>
          </w:p>
        </w:tc>
        <w:tc>
          <w:tcPr>
            <w:tcW w:w="9072" w:type="dxa"/>
            <w:tcBorders>
              <w:top w:val="nil"/>
              <w:left w:val="single" w:sz="4" w:space="0" w:color="auto"/>
              <w:bottom w:val="double" w:sz="6" w:space="0" w:color="auto"/>
              <w:right w:val="single" w:sz="4" w:space="0" w:color="auto"/>
            </w:tcBorders>
            <w:shd w:val="clear" w:color="auto" w:fill="auto"/>
            <w:noWrap/>
            <w:vAlign w:val="center"/>
            <w:hideMark/>
          </w:tcPr>
          <w:p w14:paraId="3C30C184"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4,224 </w:t>
            </w:r>
          </w:p>
        </w:tc>
        <w:tc>
          <w:tcPr>
            <w:tcW w:w="9072" w:type="dxa"/>
            <w:tcBorders>
              <w:top w:val="nil"/>
              <w:left w:val="nil"/>
              <w:bottom w:val="double" w:sz="6" w:space="0" w:color="auto"/>
              <w:right w:val="single" w:sz="4" w:space="0" w:color="auto"/>
            </w:tcBorders>
            <w:shd w:val="clear" w:color="auto" w:fill="auto"/>
            <w:noWrap/>
            <w:vAlign w:val="center"/>
            <w:hideMark/>
          </w:tcPr>
          <w:p w14:paraId="357CBFB1"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31,360 </w:t>
            </w:r>
          </w:p>
        </w:tc>
        <w:tc>
          <w:tcPr>
            <w:tcW w:w="9072" w:type="dxa"/>
            <w:tcBorders>
              <w:top w:val="nil"/>
              <w:left w:val="nil"/>
              <w:bottom w:val="double" w:sz="6" w:space="0" w:color="auto"/>
              <w:right w:val="single" w:sz="4" w:space="0" w:color="auto"/>
            </w:tcBorders>
            <w:shd w:val="clear" w:color="auto" w:fill="auto"/>
            <w:noWrap/>
            <w:vAlign w:val="center"/>
            <w:hideMark/>
          </w:tcPr>
          <w:p w14:paraId="0DD2C1DF"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58,861 </w:t>
            </w:r>
          </w:p>
        </w:tc>
        <w:tc>
          <w:tcPr>
            <w:tcW w:w="9072" w:type="dxa"/>
            <w:tcBorders>
              <w:top w:val="nil"/>
              <w:left w:val="nil"/>
              <w:bottom w:val="double" w:sz="6" w:space="0" w:color="auto"/>
              <w:right w:val="single" w:sz="4" w:space="0" w:color="auto"/>
            </w:tcBorders>
            <w:shd w:val="clear" w:color="auto" w:fill="auto"/>
            <w:noWrap/>
            <w:vAlign w:val="center"/>
            <w:hideMark/>
          </w:tcPr>
          <w:p w14:paraId="69642FF2"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4,408 </w:t>
            </w:r>
          </w:p>
        </w:tc>
        <w:tc>
          <w:tcPr>
            <w:tcW w:w="9072" w:type="dxa"/>
            <w:tcBorders>
              <w:top w:val="nil"/>
              <w:left w:val="nil"/>
              <w:bottom w:val="double" w:sz="6" w:space="0" w:color="auto"/>
              <w:right w:val="single" w:sz="4" w:space="0" w:color="auto"/>
            </w:tcBorders>
            <w:shd w:val="clear" w:color="auto" w:fill="auto"/>
            <w:noWrap/>
            <w:vAlign w:val="center"/>
            <w:hideMark/>
          </w:tcPr>
          <w:p w14:paraId="43905000"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98,853 </w:t>
            </w:r>
          </w:p>
        </w:tc>
      </w:tr>
    </w:tbl>
    <w:p w14:paraId="1BBACDD1" w14:textId="77777777" w:rsidR="00BC5219" w:rsidRPr="008A2B8F" w:rsidRDefault="00BC5219" w:rsidP="00BC5219">
      <w:pPr>
        <w:spacing w:before="120"/>
        <w:rPr>
          <w:rFonts w:ascii="Meta Pro" w:hAnsi="Meta Pro" w:cstheme="minorBidi"/>
        </w:rPr>
      </w:pPr>
    </w:p>
    <w:p w14:paraId="68769BEC" w14:textId="77777777" w:rsidR="00BC5219" w:rsidRPr="008A2B8F" w:rsidRDefault="00BC5219" w:rsidP="00BC5219">
      <w:pPr>
        <w:spacing w:before="120"/>
        <w:rPr>
          <w:rFonts w:ascii="Meta Pro" w:hAnsi="Meta Pro" w:cstheme="minorBidi"/>
        </w:rPr>
      </w:pPr>
    </w:p>
    <w:p w14:paraId="29489423" w14:textId="77777777" w:rsidR="00BC5219" w:rsidRPr="008A2B8F" w:rsidRDefault="00BC5219" w:rsidP="00BC5219">
      <w:pPr>
        <w:spacing w:before="120"/>
        <w:rPr>
          <w:rFonts w:ascii="Meta Pro" w:hAnsi="Meta Pro"/>
          <w:lang w:eastAsia="en-AU"/>
        </w:rPr>
      </w:pPr>
    </w:p>
    <w:p w14:paraId="6067CFAA" w14:textId="77777777" w:rsidR="00BC5219" w:rsidRPr="008A2B8F" w:rsidRDefault="00BC5219" w:rsidP="00BC5219">
      <w:pPr>
        <w:spacing w:before="120"/>
        <w:rPr>
          <w:rFonts w:ascii="Meta Pro" w:hAnsi="Meta Pro"/>
          <w:lang w:eastAsia="en-AU"/>
        </w:rPr>
      </w:pPr>
    </w:p>
    <w:p w14:paraId="09969B81" w14:textId="77777777" w:rsidR="00BC5219" w:rsidRPr="008A2B8F" w:rsidRDefault="00BC5219" w:rsidP="00BC5219">
      <w:pPr>
        <w:spacing w:before="120"/>
        <w:rPr>
          <w:rFonts w:ascii="Meta Pro" w:hAnsi="Meta Pro"/>
          <w:lang w:eastAsia="en-AU"/>
        </w:rPr>
      </w:pPr>
    </w:p>
    <w:p w14:paraId="71D8692B" w14:textId="77777777" w:rsidR="00BC5219" w:rsidRPr="008A2B8F" w:rsidRDefault="00BC5219" w:rsidP="00BC5219">
      <w:pPr>
        <w:spacing w:before="120"/>
        <w:rPr>
          <w:rFonts w:ascii="Meta Pro" w:hAnsi="Meta Pro"/>
          <w:lang w:eastAsia="en-AU"/>
        </w:rPr>
      </w:pPr>
    </w:p>
    <w:p w14:paraId="16479780"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p>
    <w:p w14:paraId="538BCD29"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r w:rsidRPr="008A2B8F">
        <w:rPr>
          <w:rFonts w:ascii="Meta Pro" w:eastAsia="Times New Roman" w:hAnsi="Meta Pro"/>
          <w:i/>
          <w:iCs/>
          <w:color w:val="000000" w:themeColor="text1"/>
          <w:lang w:eastAsia="en-AU"/>
        </w:rPr>
        <w:lastRenderedPageBreak/>
        <w:t>Department of Transport and Main Roads</w:t>
      </w:r>
    </w:p>
    <w:p w14:paraId="354A788F"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Notes to the financial statements 2022–23 (continued)</w:t>
      </w:r>
    </w:p>
    <w:p w14:paraId="04FFD78D" w14:textId="77777777" w:rsidR="00BC5219" w:rsidRPr="008A2B8F" w:rsidRDefault="00BC5219" w:rsidP="00BC5219">
      <w:pPr>
        <w:spacing w:before="120" w:line="259" w:lineRule="auto"/>
        <w:rPr>
          <w:rFonts w:ascii="Meta Pro" w:hAnsi="Meta Pro"/>
          <w:b/>
          <w:bCs/>
          <w:lang w:eastAsia="en-AU"/>
        </w:rPr>
      </w:pPr>
      <w:r w:rsidRPr="008A2B8F">
        <w:rPr>
          <w:rFonts w:ascii="Meta Pro" w:hAnsi="Meta Pro"/>
          <w:b/>
          <w:bCs/>
          <w:lang w:eastAsia="en-AU"/>
        </w:rPr>
        <w:t>1</w:t>
      </w:r>
      <w:r w:rsidRPr="008A2B8F">
        <w:rPr>
          <w:rFonts w:ascii="Meta Pro" w:hAnsi="Meta Pro"/>
          <w:b/>
          <w:bCs/>
          <w:lang w:eastAsia="en-AU"/>
        </w:rPr>
        <w:tab/>
        <w:t>ACCOUNTING POLICIES AND BASIS FOR FINANCIAL STATEMENTS PREPARATION (continued)</w:t>
      </w:r>
    </w:p>
    <w:p w14:paraId="65FCE847" w14:textId="77777777" w:rsidR="00BC5219" w:rsidRPr="008A2B8F" w:rsidRDefault="00BC5219" w:rsidP="00BC5219">
      <w:pPr>
        <w:spacing w:before="60" w:after="60"/>
        <w:rPr>
          <w:rFonts w:ascii="Meta Pro" w:eastAsia="Times New Roman" w:hAnsi="Meta Pro"/>
          <w:b/>
          <w:bCs/>
          <w:szCs w:val="18"/>
          <w:lang w:eastAsia="en-AU"/>
        </w:rPr>
      </w:pPr>
      <w:r w:rsidRPr="008A2B8F">
        <w:rPr>
          <w:rFonts w:ascii="Meta Pro" w:eastAsia="Times New Roman" w:hAnsi="Meta Pro"/>
          <w:b/>
          <w:bCs/>
          <w:szCs w:val="18"/>
          <w:lang w:eastAsia="en-AU"/>
        </w:rPr>
        <w:t>MACHINERY-OF-GOVERNMENT CHANGES (continued)</w:t>
      </w:r>
    </w:p>
    <w:p w14:paraId="3267E481" w14:textId="77777777" w:rsidR="00BC5219" w:rsidRPr="008A2B8F" w:rsidRDefault="00BC5219" w:rsidP="00BC5219">
      <w:pPr>
        <w:spacing w:after="60"/>
        <w:rPr>
          <w:rFonts w:ascii="Meta Pro" w:eastAsia="Times New Roman" w:hAnsi="Meta Pro"/>
          <w:b/>
          <w:bCs/>
          <w:szCs w:val="18"/>
          <w:lang w:eastAsia="en-AU"/>
        </w:rPr>
      </w:pPr>
      <w:r w:rsidRPr="008A2B8F">
        <w:rPr>
          <w:rFonts w:ascii="Meta Pro" w:eastAsia="Times New Roman" w:hAnsi="Meta Pro"/>
          <w:b/>
          <w:bCs/>
          <w:szCs w:val="18"/>
          <w:lang w:eastAsia="en-AU"/>
        </w:rPr>
        <w:t>Queensland Government Customer and Digital Group (continued)</w:t>
      </w:r>
    </w:p>
    <w:p w14:paraId="56B5F43D" w14:textId="77777777" w:rsidR="00BC5219" w:rsidRPr="008A2B8F" w:rsidRDefault="00BC5219" w:rsidP="00BC5219">
      <w:pPr>
        <w:spacing w:line="17" w:lineRule="auto"/>
        <w:rPr>
          <w:rFonts w:ascii="Meta Pro" w:eastAsia="Times New Roman" w:hAnsi="Meta Pro"/>
          <w:b/>
          <w:bCs/>
          <w:szCs w:val="18"/>
          <w:lang w:eastAsia="en-AU"/>
        </w:rPr>
      </w:pPr>
    </w:p>
    <w:p w14:paraId="1D67BE06" w14:textId="77777777" w:rsidR="00BC5219" w:rsidRPr="008A2B8F" w:rsidRDefault="00BC5219" w:rsidP="00BC5219">
      <w:pPr>
        <w:spacing w:line="17" w:lineRule="auto"/>
        <w:rPr>
          <w:rFonts w:ascii="Meta Pro" w:hAnsi="Meta Pro" w:cstheme="minorBidi"/>
        </w:rPr>
      </w:pPr>
    </w:p>
    <w:tbl>
      <w:tblPr>
        <w:tblW w:w="0" w:type="auto"/>
        <w:tblCellMar>
          <w:left w:w="0" w:type="dxa"/>
        </w:tblCellMar>
        <w:tblLook w:val="04A0" w:firstRow="1" w:lastRow="0" w:firstColumn="1" w:lastColumn="0" w:noHBand="0" w:noVBand="1"/>
      </w:tblPr>
      <w:tblGrid>
        <w:gridCol w:w="150"/>
        <w:gridCol w:w="2838"/>
        <w:gridCol w:w="1693"/>
      </w:tblGrid>
      <w:tr w:rsidR="00BC5219" w:rsidRPr="008A2B8F" w14:paraId="67AB71FB" w14:textId="77777777" w:rsidTr="00E83802">
        <w:trPr>
          <w:trHeight w:val="198"/>
        </w:trPr>
        <w:tc>
          <w:tcPr>
            <w:tcW w:w="4673"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2FF1BB4E"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Transfer in from former Department of Communities, Housing and Digital Economy (Administered)</w:t>
            </w:r>
          </w:p>
        </w:tc>
      </w:tr>
      <w:tr w:rsidR="00BC5219" w:rsidRPr="008A2B8F" w14:paraId="12AAAE04" w14:textId="77777777" w:rsidTr="00E83802">
        <w:trPr>
          <w:trHeight w:val="198"/>
        </w:trPr>
        <w:tc>
          <w:tcPr>
            <w:tcW w:w="2980" w:type="dxa"/>
            <w:gridSpan w:val="2"/>
            <w:vMerge w:val="restart"/>
            <w:tcBorders>
              <w:top w:val="single" w:sz="4" w:space="0" w:color="auto"/>
              <w:left w:val="single" w:sz="4" w:space="0" w:color="auto"/>
              <w:bottom w:val="single" w:sz="4" w:space="0" w:color="000000"/>
              <w:right w:val="nil"/>
            </w:tcBorders>
            <w:shd w:val="clear" w:color="auto" w:fill="auto"/>
            <w:vAlign w:val="center"/>
            <w:hideMark/>
          </w:tcPr>
          <w:p w14:paraId="37409170"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Category</w:t>
            </w:r>
          </w:p>
        </w:tc>
        <w:tc>
          <w:tcPr>
            <w:tcW w:w="1693" w:type="dxa"/>
            <w:tcBorders>
              <w:top w:val="single" w:sz="4" w:space="0" w:color="auto"/>
              <w:left w:val="single" w:sz="4" w:space="0" w:color="auto"/>
              <w:bottom w:val="nil"/>
              <w:right w:val="single" w:sz="4" w:space="0" w:color="auto"/>
            </w:tcBorders>
            <w:shd w:val="clear" w:color="auto" w:fill="auto"/>
            <w:hideMark/>
          </w:tcPr>
          <w:p w14:paraId="431834B4"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Customer and Digital Group</w:t>
            </w:r>
          </w:p>
        </w:tc>
      </w:tr>
      <w:tr w:rsidR="00BC5219" w:rsidRPr="008A2B8F" w14:paraId="469F5ED0" w14:textId="77777777" w:rsidTr="00E83802">
        <w:trPr>
          <w:trHeight w:val="198"/>
        </w:trPr>
        <w:tc>
          <w:tcPr>
            <w:tcW w:w="2980" w:type="dxa"/>
            <w:gridSpan w:val="2"/>
            <w:vMerge/>
            <w:tcBorders>
              <w:top w:val="single" w:sz="4" w:space="0" w:color="auto"/>
              <w:left w:val="single" w:sz="4" w:space="0" w:color="auto"/>
              <w:bottom w:val="single" w:sz="4" w:space="0" w:color="000000"/>
              <w:right w:val="nil"/>
            </w:tcBorders>
            <w:vAlign w:val="center"/>
            <w:hideMark/>
          </w:tcPr>
          <w:p w14:paraId="38E29403" w14:textId="77777777" w:rsidR="00BC5219" w:rsidRPr="008A2B8F" w:rsidRDefault="00BC5219" w:rsidP="00E83802">
            <w:pPr>
              <w:rPr>
                <w:rFonts w:ascii="Meta Pro" w:eastAsia="Times New Roman" w:hAnsi="Meta Pro"/>
                <w:b/>
                <w:bCs/>
                <w:szCs w:val="18"/>
                <w:lang w:eastAsia="en-AU"/>
              </w:rPr>
            </w:pPr>
          </w:p>
        </w:tc>
        <w:tc>
          <w:tcPr>
            <w:tcW w:w="1693" w:type="dxa"/>
            <w:tcBorders>
              <w:top w:val="nil"/>
              <w:left w:val="single" w:sz="4" w:space="0" w:color="auto"/>
              <w:bottom w:val="single" w:sz="4" w:space="0" w:color="auto"/>
              <w:right w:val="single" w:sz="4" w:space="0" w:color="auto"/>
            </w:tcBorders>
            <w:shd w:val="clear" w:color="auto" w:fill="auto"/>
            <w:vAlign w:val="center"/>
            <w:hideMark/>
          </w:tcPr>
          <w:p w14:paraId="675518A5"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$'000</w:t>
            </w:r>
          </w:p>
        </w:tc>
      </w:tr>
      <w:tr w:rsidR="00BC5219" w:rsidRPr="008A2B8F" w14:paraId="460D8A15" w14:textId="77777777" w:rsidTr="00E83802">
        <w:trPr>
          <w:trHeight w:val="198"/>
        </w:trPr>
        <w:tc>
          <w:tcPr>
            <w:tcW w:w="2980" w:type="dxa"/>
            <w:gridSpan w:val="2"/>
            <w:tcBorders>
              <w:top w:val="single" w:sz="4" w:space="0" w:color="auto"/>
              <w:left w:val="single" w:sz="4" w:space="0" w:color="auto"/>
              <w:bottom w:val="nil"/>
              <w:right w:val="nil"/>
            </w:tcBorders>
            <w:shd w:val="clear" w:color="auto" w:fill="auto"/>
            <w:noWrap/>
            <w:vAlign w:val="bottom"/>
            <w:hideMark/>
          </w:tcPr>
          <w:p w14:paraId="6B05287A"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 xml:space="preserve"> Administered</w:t>
            </w:r>
          </w:p>
        </w:tc>
        <w:tc>
          <w:tcPr>
            <w:tcW w:w="1693" w:type="dxa"/>
            <w:tcBorders>
              <w:top w:val="nil"/>
              <w:left w:val="single" w:sz="4" w:space="0" w:color="auto"/>
              <w:bottom w:val="nil"/>
              <w:right w:val="single" w:sz="4" w:space="0" w:color="auto"/>
            </w:tcBorders>
            <w:shd w:val="clear" w:color="auto" w:fill="auto"/>
            <w:noWrap/>
            <w:vAlign w:val="bottom"/>
            <w:hideMark/>
          </w:tcPr>
          <w:p w14:paraId="3FEEC522"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r>
      <w:tr w:rsidR="00BC5219" w:rsidRPr="008A2B8F" w14:paraId="5FBEE636" w14:textId="77777777" w:rsidTr="00E83802">
        <w:trPr>
          <w:trHeight w:val="198"/>
        </w:trPr>
        <w:tc>
          <w:tcPr>
            <w:tcW w:w="2980" w:type="dxa"/>
            <w:gridSpan w:val="2"/>
            <w:tcBorders>
              <w:top w:val="nil"/>
              <w:left w:val="single" w:sz="4" w:space="0" w:color="auto"/>
              <w:bottom w:val="nil"/>
              <w:right w:val="nil"/>
            </w:tcBorders>
            <w:shd w:val="clear" w:color="auto" w:fill="auto"/>
            <w:noWrap/>
            <w:vAlign w:val="bottom"/>
            <w:hideMark/>
          </w:tcPr>
          <w:p w14:paraId="10773494"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 xml:space="preserve"> Assets</w:t>
            </w:r>
          </w:p>
        </w:tc>
        <w:tc>
          <w:tcPr>
            <w:tcW w:w="1693" w:type="dxa"/>
            <w:tcBorders>
              <w:top w:val="nil"/>
              <w:left w:val="single" w:sz="4" w:space="0" w:color="auto"/>
              <w:bottom w:val="nil"/>
              <w:right w:val="single" w:sz="4" w:space="0" w:color="auto"/>
            </w:tcBorders>
            <w:shd w:val="clear" w:color="auto" w:fill="auto"/>
            <w:noWrap/>
            <w:vAlign w:val="bottom"/>
            <w:hideMark/>
          </w:tcPr>
          <w:p w14:paraId="4828C94A"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r>
      <w:tr w:rsidR="00BC5219" w:rsidRPr="008A2B8F" w14:paraId="2FAA345A" w14:textId="77777777" w:rsidTr="00E83802">
        <w:trPr>
          <w:trHeight w:val="198"/>
        </w:trPr>
        <w:tc>
          <w:tcPr>
            <w:tcW w:w="150" w:type="dxa"/>
            <w:tcBorders>
              <w:top w:val="nil"/>
              <w:left w:val="single" w:sz="4" w:space="0" w:color="auto"/>
              <w:bottom w:val="nil"/>
              <w:right w:val="nil"/>
            </w:tcBorders>
            <w:shd w:val="clear" w:color="auto" w:fill="auto"/>
            <w:noWrap/>
            <w:vAlign w:val="bottom"/>
            <w:hideMark/>
          </w:tcPr>
          <w:p w14:paraId="399286A6"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2830" w:type="dxa"/>
            <w:tcBorders>
              <w:top w:val="nil"/>
              <w:left w:val="nil"/>
              <w:bottom w:val="nil"/>
              <w:right w:val="nil"/>
            </w:tcBorders>
            <w:shd w:val="clear" w:color="auto" w:fill="auto"/>
            <w:noWrap/>
            <w:vAlign w:val="bottom"/>
            <w:hideMark/>
          </w:tcPr>
          <w:p w14:paraId="454470C3"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Cash</w:t>
            </w:r>
          </w:p>
        </w:tc>
        <w:tc>
          <w:tcPr>
            <w:tcW w:w="1693" w:type="dxa"/>
            <w:tcBorders>
              <w:top w:val="nil"/>
              <w:left w:val="single" w:sz="4" w:space="0" w:color="auto"/>
              <w:bottom w:val="single" w:sz="4" w:space="0" w:color="auto"/>
              <w:right w:val="single" w:sz="4" w:space="0" w:color="auto"/>
            </w:tcBorders>
            <w:shd w:val="clear" w:color="auto" w:fill="auto"/>
            <w:noWrap/>
            <w:vAlign w:val="center"/>
            <w:hideMark/>
          </w:tcPr>
          <w:p w14:paraId="6DA6B63D"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1,520 </w:t>
            </w:r>
          </w:p>
        </w:tc>
      </w:tr>
      <w:tr w:rsidR="00BC5219" w:rsidRPr="008A2B8F" w14:paraId="65AA959F" w14:textId="77777777" w:rsidTr="00E83802">
        <w:trPr>
          <w:trHeight w:val="198"/>
        </w:trPr>
        <w:tc>
          <w:tcPr>
            <w:tcW w:w="150" w:type="dxa"/>
            <w:tcBorders>
              <w:top w:val="single" w:sz="4" w:space="0" w:color="auto"/>
              <w:left w:val="single" w:sz="4" w:space="0" w:color="auto"/>
              <w:bottom w:val="nil"/>
              <w:right w:val="nil"/>
            </w:tcBorders>
            <w:shd w:val="clear" w:color="auto" w:fill="auto"/>
            <w:noWrap/>
            <w:vAlign w:val="bottom"/>
            <w:hideMark/>
          </w:tcPr>
          <w:p w14:paraId="2FA733A4"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2830" w:type="dxa"/>
            <w:tcBorders>
              <w:top w:val="single" w:sz="4" w:space="0" w:color="auto"/>
              <w:left w:val="nil"/>
              <w:bottom w:val="nil"/>
              <w:right w:val="nil"/>
            </w:tcBorders>
            <w:shd w:val="clear" w:color="auto" w:fill="auto"/>
            <w:noWrap/>
            <w:vAlign w:val="bottom"/>
            <w:hideMark/>
          </w:tcPr>
          <w:p w14:paraId="3C74F757"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Total assets</w:t>
            </w:r>
          </w:p>
        </w:tc>
        <w:tc>
          <w:tcPr>
            <w:tcW w:w="1693" w:type="dxa"/>
            <w:tcBorders>
              <w:top w:val="nil"/>
              <w:left w:val="single" w:sz="4" w:space="0" w:color="auto"/>
              <w:bottom w:val="nil"/>
              <w:right w:val="single" w:sz="4" w:space="0" w:color="auto"/>
            </w:tcBorders>
            <w:shd w:val="clear" w:color="auto" w:fill="auto"/>
            <w:noWrap/>
            <w:vAlign w:val="center"/>
            <w:hideMark/>
          </w:tcPr>
          <w:p w14:paraId="6E41997F"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1,520 </w:t>
            </w:r>
          </w:p>
        </w:tc>
      </w:tr>
      <w:tr w:rsidR="00BC5219" w:rsidRPr="008A2B8F" w14:paraId="19961CB9" w14:textId="77777777" w:rsidTr="00E83802">
        <w:trPr>
          <w:trHeight w:hRule="exact" w:val="113"/>
        </w:trPr>
        <w:tc>
          <w:tcPr>
            <w:tcW w:w="150" w:type="dxa"/>
            <w:tcBorders>
              <w:top w:val="nil"/>
              <w:left w:val="single" w:sz="4" w:space="0" w:color="auto"/>
              <w:bottom w:val="nil"/>
              <w:right w:val="nil"/>
            </w:tcBorders>
            <w:shd w:val="clear" w:color="auto" w:fill="auto"/>
            <w:noWrap/>
            <w:vAlign w:val="bottom"/>
            <w:hideMark/>
          </w:tcPr>
          <w:p w14:paraId="5C3AD199"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2830" w:type="dxa"/>
            <w:tcBorders>
              <w:top w:val="nil"/>
              <w:left w:val="nil"/>
              <w:bottom w:val="nil"/>
              <w:right w:val="nil"/>
            </w:tcBorders>
            <w:shd w:val="clear" w:color="auto" w:fill="auto"/>
            <w:noWrap/>
            <w:vAlign w:val="bottom"/>
            <w:hideMark/>
          </w:tcPr>
          <w:p w14:paraId="5787B671" w14:textId="77777777" w:rsidR="00BC5219" w:rsidRPr="008A2B8F" w:rsidRDefault="00BC5219" w:rsidP="00E83802">
            <w:pPr>
              <w:rPr>
                <w:rFonts w:ascii="Meta Pro" w:eastAsia="Times New Roman" w:hAnsi="Meta Pro"/>
                <w:szCs w:val="18"/>
                <w:lang w:eastAsia="en-AU"/>
              </w:rPr>
            </w:pPr>
          </w:p>
        </w:tc>
        <w:tc>
          <w:tcPr>
            <w:tcW w:w="1693" w:type="dxa"/>
            <w:tcBorders>
              <w:top w:val="nil"/>
              <w:left w:val="single" w:sz="4" w:space="0" w:color="auto"/>
              <w:bottom w:val="nil"/>
              <w:right w:val="single" w:sz="4" w:space="0" w:color="auto"/>
            </w:tcBorders>
            <w:shd w:val="clear" w:color="auto" w:fill="auto"/>
            <w:noWrap/>
            <w:vAlign w:val="bottom"/>
            <w:hideMark/>
          </w:tcPr>
          <w:p w14:paraId="0C6F016B"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r>
      <w:tr w:rsidR="00BC5219" w:rsidRPr="008A2B8F" w14:paraId="3EAE5B77" w14:textId="77777777" w:rsidTr="00E83802">
        <w:trPr>
          <w:trHeight w:val="198"/>
        </w:trPr>
        <w:tc>
          <w:tcPr>
            <w:tcW w:w="2980" w:type="dxa"/>
            <w:gridSpan w:val="2"/>
            <w:tcBorders>
              <w:top w:val="nil"/>
              <w:left w:val="single" w:sz="4" w:space="0" w:color="auto"/>
              <w:bottom w:val="nil"/>
              <w:right w:val="nil"/>
            </w:tcBorders>
            <w:shd w:val="clear" w:color="auto" w:fill="auto"/>
            <w:noWrap/>
            <w:vAlign w:val="bottom"/>
            <w:hideMark/>
          </w:tcPr>
          <w:p w14:paraId="2ED89730"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 xml:space="preserve"> Liabilities</w:t>
            </w:r>
          </w:p>
        </w:tc>
        <w:tc>
          <w:tcPr>
            <w:tcW w:w="1693" w:type="dxa"/>
            <w:tcBorders>
              <w:top w:val="nil"/>
              <w:left w:val="single" w:sz="4" w:space="0" w:color="auto"/>
              <w:bottom w:val="nil"/>
              <w:right w:val="single" w:sz="4" w:space="0" w:color="auto"/>
            </w:tcBorders>
            <w:shd w:val="clear" w:color="auto" w:fill="auto"/>
            <w:noWrap/>
            <w:vAlign w:val="bottom"/>
            <w:hideMark/>
          </w:tcPr>
          <w:p w14:paraId="462CC5D5"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r>
      <w:tr w:rsidR="00BC5219" w:rsidRPr="008A2B8F" w14:paraId="64541E3F" w14:textId="77777777" w:rsidTr="00E83802">
        <w:trPr>
          <w:trHeight w:val="198"/>
        </w:trPr>
        <w:tc>
          <w:tcPr>
            <w:tcW w:w="150" w:type="dxa"/>
            <w:tcBorders>
              <w:top w:val="nil"/>
              <w:left w:val="single" w:sz="4" w:space="0" w:color="auto"/>
              <w:bottom w:val="nil"/>
              <w:right w:val="nil"/>
            </w:tcBorders>
            <w:shd w:val="clear" w:color="auto" w:fill="auto"/>
            <w:noWrap/>
            <w:vAlign w:val="bottom"/>
            <w:hideMark/>
          </w:tcPr>
          <w:p w14:paraId="41F7AAF7"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2830" w:type="dxa"/>
            <w:tcBorders>
              <w:top w:val="nil"/>
              <w:left w:val="nil"/>
              <w:bottom w:val="nil"/>
              <w:right w:val="nil"/>
            </w:tcBorders>
            <w:shd w:val="clear" w:color="auto" w:fill="auto"/>
            <w:noWrap/>
            <w:vAlign w:val="bottom"/>
            <w:hideMark/>
          </w:tcPr>
          <w:p w14:paraId="55668B30"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Payables</w:t>
            </w:r>
          </w:p>
        </w:tc>
        <w:tc>
          <w:tcPr>
            <w:tcW w:w="1693" w:type="dxa"/>
            <w:tcBorders>
              <w:top w:val="nil"/>
              <w:left w:val="single" w:sz="4" w:space="0" w:color="auto"/>
              <w:bottom w:val="single" w:sz="4" w:space="0" w:color="auto"/>
              <w:right w:val="single" w:sz="4" w:space="0" w:color="auto"/>
            </w:tcBorders>
            <w:shd w:val="clear" w:color="auto" w:fill="auto"/>
            <w:noWrap/>
            <w:vAlign w:val="center"/>
            <w:hideMark/>
          </w:tcPr>
          <w:p w14:paraId="59F698E3"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763 </w:t>
            </w:r>
          </w:p>
        </w:tc>
      </w:tr>
      <w:tr w:rsidR="00BC5219" w:rsidRPr="008A2B8F" w14:paraId="5D4D137D" w14:textId="77777777" w:rsidTr="00E83802">
        <w:trPr>
          <w:trHeight w:val="198"/>
        </w:trPr>
        <w:tc>
          <w:tcPr>
            <w:tcW w:w="150" w:type="dxa"/>
            <w:tcBorders>
              <w:top w:val="single" w:sz="4" w:space="0" w:color="auto"/>
              <w:left w:val="single" w:sz="4" w:space="0" w:color="auto"/>
              <w:bottom w:val="nil"/>
              <w:right w:val="nil"/>
            </w:tcBorders>
            <w:shd w:val="clear" w:color="auto" w:fill="auto"/>
            <w:noWrap/>
            <w:vAlign w:val="bottom"/>
            <w:hideMark/>
          </w:tcPr>
          <w:p w14:paraId="0A19324E"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2830" w:type="dxa"/>
            <w:tcBorders>
              <w:top w:val="single" w:sz="4" w:space="0" w:color="auto"/>
              <w:left w:val="nil"/>
              <w:bottom w:val="nil"/>
              <w:right w:val="single" w:sz="4" w:space="0" w:color="auto"/>
            </w:tcBorders>
            <w:shd w:val="clear" w:color="auto" w:fill="auto"/>
            <w:noWrap/>
            <w:vAlign w:val="bottom"/>
            <w:hideMark/>
          </w:tcPr>
          <w:p w14:paraId="03AB7E88"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Total liabilities</w:t>
            </w:r>
          </w:p>
        </w:tc>
        <w:tc>
          <w:tcPr>
            <w:tcW w:w="1693" w:type="dxa"/>
            <w:tcBorders>
              <w:top w:val="nil"/>
              <w:left w:val="nil"/>
              <w:bottom w:val="nil"/>
              <w:right w:val="single" w:sz="4" w:space="0" w:color="auto"/>
            </w:tcBorders>
            <w:shd w:val="clear" w:color="auto" w:fill="auto"/>
            <w:noWrap/>
            <w:vAlign w:val="center"/>
            <w:hideMark/>
          </w:tcPr>
          <w:p w14:paraId="6521D09D"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763 </w:t>
            </w:r>
          </w:p>
        </w:tc>
      </w:tr>
      <w:tr w:rsidR="00BC5219" w:rsidRPr="008A2B8F" w14:paraId="4356A1FF" w14:textId="77777777" w:rsidTr="00E83802">
        <w:trPr>
          <w:trHeight w:hRule="exact" w:val="113"/>
        </w:trPr>
        <w:tc>
          <w:tcPr>
            <w:tcW w:w="150" w:type="dxa"/>
            <w:tcBorders>
              <w:top w:val="nil"/>
              <w:left w:val="single" w:sz="4" w:space="0" w:color="auto"/>
              <w:bottom w:val="nil"/>
              <w:right w:val="nil"/>
            </w:tcBorders>
            <w:shd w:val="clear" w:color="auto" w:fill="auto"/>
            <w:noWrap/>
            <w:vAlign w:val="bottom"/>
            <w:hideMark/>
          </w:tcPr>
          <w:p w14:paraId="70F1974C"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2830" w:type="dxa"/>
            <w:tcBorders>
              <w:top w:val="nil"/>
              <w:left w:val="nil"/>
              <w:bottom w:val="nil"/>
              <w:right w:val="single" w:sz="4" w:space="0" w:color="auto"/>
            </w:tcBorders>
            <w:shd w:val="clear" w:color="auto" w:fill="auto"/>
            <w:noWrap/>
            <w:vAlign w:val="bottom"/>
            <w:hideMark/>
          </w:tcPr>
          <w:p w14:paraId="7F46263B"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 </w:t>
            </w:r>
          </w:p>
        </w:tc>
        <w:tc>
          <w:tcPr>
            <w:tcW w:w="1693" w:type="dxa"/>
            <w:tcBorders>
              <w:top w:val="nil"/>
              <w:left w:val="nil"/>
              <w:bottom w:val="nil"/>
              <w:right w:val="single" w:sz="4" w:space="0" w:color="auto"/>
            </w:tcBorders>
            <w:shd w:val="clear" w:color="auto" w:fill="auto"/>
            <w:noWrap/>
            <w:vAlign w:val="bottom"/>
            <w:hideMark/>
          </w:tcPr>
          <w:p w14:paraId="4135ADBA"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 </w:t>
            </w:r>
          </w:p>
        </w:tc>
      </w:tr>
      <w:tr w:rsidR="00BC5219" w:rsidRPr="008A2B8F" w14:paraId="2B3BF20C" w14:textId="77777777" w:rsidTr="00E83802">
        <w:trPr>
          <w:trHeight w:val="198"/>
        </w:trPr>
        <w:tc>
          <w:tcPr>
            <w:tcW w:w="150" w:type="dxa"/>
            <w:tcBorders>
              <w:top w:val="nil"/>
              <w:left w:val="single" w:sz="4" w:space="0" w:color="auto"/>
              <w:bottom w:val="double" w:sz="6" w:space="0" w:color="auto"/>
              <w:right w:val="nil"/>
            </w:tcBorders>
            <w:shd w:val="clear" w:color="auto" w:fill="auto"/>
            <w:noWrap/>
            <w:vAlign w:val="bottom"/>
            <w:hideMark/>
          </w:tcPr>
          <w:p w14:paraId="6D917CEA"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 </w:t>
            </w:r>
          </w:p>
        </w:tc>
        <w:tc>
          <w:tcPr>
            <w:tcW w:w="2830" w:type="dxa"/>
            <w:tcBorders>
              <w:top w:val="nil"/>
              <w:left w:val="nil"/>
              <w:bottom w:val="double" w:sz="6" w:space="0" w:color="auto"/>
              <w:right w:val="single" w:sz="4" w:space="0" w:color="auto"/>
            </w:tcBorders>
            <w:shd w:val="clear" w:color="auto" w:fill="auto"/>
            <w:noWrap/>
            <w:vAlign w:val="bottom"/>
            <w:hideMark/>
          </w:tcPr>
          <w:p w14:paraId="01720F94"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 xml:space="preserve">Net assets </w:t>
            </w:r>
          </w:p>
        </w:tc>
        <w:tc>
          <w:tcPr>
            <w:tcW w:w="1693" w:type="dxa"/>
            <w:tcBorders>
              <w:top w:val="nil"/>
              <w:left w:val="single" w:sz="4" w:space="0" w:color="auto"/>
              <w:bottom w:val="double" w:sz="6" w:space="0" w:color="auto"/>
              <w:right w:val="single" w:sz="4" w:space="0" w:color="auto"/>
            </w:tcBorders>
            <w:shd w:val="clear" w:color="auto" w:fill="auto"/>
            <w:noWrap/>
            <w:vAlign w:val="center"/>
            <w:hideMark/>
          </w:tcPr>
          <w:p w14:paraId="0FCC49E8"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757 </w:t>
            </w:r>
          </w:p>
        </w:tc>
      </w:tr>
    </w:tbl>
    <w:p w14:paraId="35C16E25" w14:textId="77777777" w:rsidR="00BC5219" w:rsidRPr="008A2B8F" w:rsidRDefault="00BC5219" w:rsidP="00BC5219">
      <w:pPr>
        <w:spacing w:line="17" w:lineRule="auto"/>
        <w:rPr>
          <w:rFonts w:ascii="Meta Pro" w:hAnsi="Meta Pro" w:cstheme="minorBidi"/>
        </w:rPr>
      </w:pPr>
    </w:p>
    <w:p w14:paraId="58AB50FA" w14:textId="77777777" w:rsidR="00BC5219" w:rsidRPr="009B463B" w:rsidRDefault="00BC5219" w:rsidP="00BC5219">
      <w:pPr>
        <w:spacing w:line="17" w:lineRule="auto"/>
        <w:rPr>
          <w:rFonts w:ascii="Meta Pro" w:hAnsi="Meta Pro" w:cstheme="minorBidi"/>
        </w:rPr>
      </w:pPr>
    </w:p>
    <w:tbl>
      <w:tblPr>
        <w:tblW w:w="0" w:type="auto"/>
        <w:tblCellMar>
          <w:left w:w="0" w:type="dxa"/>
        </w:tblCellMar>
        <w:tblLook w:val="04A0" w:firstRow="1" w:lastRow="0" w:firstColumn="1" w:lastColumn="0" w:noHBand="0" w:noVBand="1"/>
      </w:tblPr>
      <w:tblGrid>
        <w:gridCol w:w="7322"/>
        <w:gridCol w:w="1164"/>
        <w:gridCol w:w="224"/>
        <w:gridCol w:w="1164"/>
      </w:tblGrid>
      <w:tr w:rsidR="00BC5219" w:rsidRPr="009B463B" w14:paraId="37BAFB57" w14:textId="77777777" w:rsidTr="00E83802">
        <w:trPr>
          <w:trHeight w:val="240"/>
        </w:trPr>
        <w:tc>
          <w:tcPr>
            <w:tcW w:w="7314" w:type="dxa"/>
            <w:tcBorders>
              <w:top w:val="nil"/>
              <w:left w:val="nil"/>
              <w:bottom w:val="nil"/>
              <w:right w:val="nil"/>
            </w:tcBorders>
            <w:shd w:val="clear" w:color="auto" w:fill="auto"/>
            <w:noWrap/>
            <w:vAlign w:val="center"/>
            <w:hideMark/>
          </w:tcPr>
          <w:p w14:paraId="3F4E6C93" w14:textId="77777777" w:rsidR="00BC5219" w:rsidRPr="009B463B" w:rsidRDefault="00BC5219" w:rsidP="00E83802">
            <w:pPr>
              <w:rPr>
                <w:rFonts w:ascii="Meta Pro" w:eastAsia="Times New Roman" w:hAnsi="Meta Pro" w:cs="Times New Roman"/>
                <w:sz w:val="24"/>
                <w:szCs w:val="24"/>
                <w:lang w:eastAsia="en-AU"/>
              </w:rPr>
            </w:pPr>
          </w:p>
        </w:tc>
        <w:tc>
          <w:tcPr>
            <w:tcW w:w="1156" w:type="dxa"/>
            <w:tcBorders>
              <w:top w:val="nil"/>
              <w:left w:val="nil"/>
              <w:bottom w:val="nil"/>
              <w:right w:val="nil"/>
            </w:tcBorders>
            <w:shd w:val="clear" w:color="auto" w:fill="auto"/>
            <w:noWrap/>
            <w:vAlign w:val="center"/>
            <w:hideMark/>
          </w:tcPr>
          <w:p w14:paraId="3EA81081" w14:textId="77777777" w:rsidR="00BC5219" w:rsidRPr="009B463B" w:rsidRDefault="00BC5219" w:rsidP="00E83802">
            <w:pPr>
              <w:jc w:val="center"/>
              <w:rPr>
                <w:rFonts w:ascii="Meta Pro" w:eastAsia="Times New Roman" w:hAnsi="Meta Pro"/>
                <w:b/>
                <w:bCs/>
                <w:color w:val="000000"/>
                <w:lang w:eastAsia="en-AU"/>
              </w:rPr>
            </w:pPr>
            <w:bookmarkStart w:id="44" w:name="RANGE!B4"/>
            <w:r w:rsidRPr="009B463B">
              <w:rPr>
                <w:rFonts w:ascii="Meta Pro" w:eastAsia="Times New Roman" w:hAnsi="Meta Pro"/>
                <w:b/>
                <w:bCs/>
                <w:color w:val="000000"/>
                <w:lang w:eastAsia="en-AU"/>
              </w:rPr>
              <w:t>2023</w:t>
            </w:r>
            <w:bookmarkEnd w:id="44"/>
          </w:p>
        </w:tc>
        <w:tc>
          <w:tcPr>
            <w:tcW w:w="216" w:type="dxa"/>
            <w:tcBorders>
              <w:top w:val="nil"/>
              <w:left w:val="nil"/>
              <w:bottom w:val="nil"/>
              <w:right w:val="nil"/>
            </w:tcBorders>
            <w:shd w:val="clear" w:color="auto" w:fill="auto"/>
            <w:noWrap/>
            <w:vAlign w:val="center"/>
            <w:hideMark/>
          </w:tcPr>
          <w:p w14:paraId="508DFB2E" w14:textId="77777777" w:rsidR="00BC5219" w:rsidRPr="009B463B" w:rsidRDefault="00BC5219" w:rsidP="00E83802">
            <w:pPr>
              <w:jc w:val="center"/>
              <w:rPr>
                <w:rFonts w:ascii="Meta Pro" w:eastAsia="Times New Roman" w:hAnsi="Meta Pro"/>
                <w:b/>
                <w:bCs/>
                <w:color w:val="000000"/>
                <w:lang w:eastAsia="en-AU"/>
              </w:rPr>
            </w:pPr>
          </w:p>
        </w:tc>
        <w:tc>
          <w:tcPr>
            <w:tcW w:w="1156" w:type="dxa"/>
            <w:tcBorders>
              <w:top w:val="nil"/>
              <w:left w:val="nil"/>
              <w:bottom w:val="nil"/>
              <w:right w:val="nil"/>
            </w:tcBorders>
            <w:shd w:val="clear" w:color="auto" w:fill="auto"/>
            <w:noWrap/>
            <w:vAlign w:val="center"/>
            <w:hideMark/>
          </w:tcPr>
          <w:p w14:paraId="71E9F723" w14:textId="77777777" w:rsidR="00BC5219" w:rsidRPr="009B463B" w:rsidRDefault="00BC5219" w:rsidP="00E83802">
            <w:pPr>
              <w:jc w:val="center"/>
              <w:rPr>
                <w:rFonts w:ascii="Meta Pro" w:eastAsia="Times New Roman" w:hAnsi="Meta Pro"/>
                <w:b/>
                <w:bCs/>
                <w:lang w:eastAsia="en-AU"/>
              </w:rPr>
            </w:pPr>
            <w:bookmarkStart w:id="45" w:name="RANGE!D4"/>
            <w:r w:rsidRPr="009B463B">
              <w:rPr>
                <w:rFonts w:ascii="Meta Pro" w:eastAsia="Times New Roman" w:hAnsi="Meta Pro"/>
                <w:b/>
                <w:bCs/>
                <w:lang w:eastAsia="en-AU"/>
              </w:rPr>
              <w:t>2022</w:t>
            </w:r>
            <w:bookmarkEnd w:id="45"/>
          </w:p>
        </w:tc>
      </w:tr>
      <w:tr w:rsidR="00BC5219" w:rsidRPr="009B463B" w14:paraId="3A908D86" w14:textId="77777777" w:rsidTr="00E83802">
        <w:trPr>
          <w:trHeight w:val="240"/>
        </w:trPr>
        <w:tc>
          <w:tcPr>
            <w:tcW w:w="7314" w:type="dxa"/>
            <w:tcBorders>
              <w:top w:val="nil"/>
              <w:left w:val="nil"/>
              <w:bottom w:val="nil"/>
              <w:right w:val="nil"/>
            </w:tcBorders>
            <w:shd w:val="clear" w:color="auto" w:fill="auto"/>
            <w:noWrap/>
            <w:vAlign w:val="center"/>
            <w:hideMark/>
          </w:tcPr>
          <w:p w14:paraId="1B491BBD" w14:textId="77777777" w:rsidR="00BC5219" w:rsidRPr="009B463B" w:rsidRDefault="00BC5219" w:rsidP="00E83802">
            <w:pPr>
              <w:jc w:val="center"/>
              <w:rPr>
                <w:rFonts w:ascii="Meta Pro" w:eastAsia="Times New Roman" w:hAnsi="Meta Pro"/>
                <w:b/>
                <w:bCs/>
                <w:lang w:eastAsia="en-AU"/>
              </w:rPr>
            </w:pPr>
          </w:p>
        </w:tc>
        <w:tc>
          <w:tcPr>
            <w:tcW w:w="1156" w:type="dxa"/>
            <w:tcBorders>
              <w:top w:val="nil"/>
              <w:left w:val="nil"/>
              <w:bottom w:val="nil"/>
              <w:right w:val="nil"/>
            </w:tcBorders>
            <w:shd w:val="clear" w:color="auto" w:fill="auto"/>
            <w:noWrap/>
            <w:vAlign w:val="center"/>
            <w:hideMark/>
          </w:tcPr>
          <w:p w14:paraId="5EB9E10C" w14:textId="77777777" w:rsidR="00BC5219" w:rsidRPr="009B463B" w:rsidRDefault="00BC5219" w:rsidP="00E83802">
            <w:pPr>
              <w:jc w:val="center"/>
              <w:rPr>
                <w:rFonts w:ascii="Meta Pro" w:eastAsia="Times New Roman" w:hAnsi="Meta Pro"/>
                <w:b/>
                <w:bCs/>
                <w:lang w:eastAsia="en-AU"/>
              </w:rPr>
            </w:pPr>
            <w:r w:rsidRPr="009B463B">
              <w:rPr>
                <w:rFonts w:ascii="Meta Pro" w:eastAsia="Times New Roman" w:hAnsi="Meta Pro"/>
                <w:b/>
                <w:bCs/>
                <w:lang w:eastAsia="en-AU"/>
              </w:rPr>
              <w:t>$'000</w:t>
            </w:r>
          </w:p>
        </w:tc>
        <w:tc>
          <w:tcPr>
            <w:tcW w:w="216" w:type="dxa"/>
            <w:tcBorders>
              <w:top w:val="nil"/>
              <w:left w:val="nil"/>
              <w:bottom w:val="nil"/>
              <w:right w:val="nil"/>
            </w:tcBorders>
            <w:shd w:val="clear" w:color="auto" w:fill="auto"/>
            <w:noWrap/>
            <w:vAlign w:val="center"/>
            <w:hideMark/>
          </w:tcPr>
          <w:p w14:paraId="1BFB7CD4" w14:textId="77777777" w:rsidR="00BC5219" w:rsidRPr="009B463B" w:rsidRDefault="00BC5219" w:rsidP="00E83802">
            <w:pPr>
              <w:jc w:val="center"/>
              <w:rPr>
                <w:rFonts w:ascii="Meta Pro" w:eastAsia="Times New Roman" w:hAnsi="Meta Pro"/>
                <w:b/>
                <w:bCs/>
                <w:lang w:eastAsia="en-AU"/>
              </w:rPr>
            </w:pPr>
          </w:p>
        </w:tc>
        <w:tc>
          <w:tcPr>
            <w:tcW w:w="1156" w:type="dxa"/>
            <w:tcBorders>
              <w:top w:val="nil"/>
              <w:left w:val="nil"/>
              <w:bottom w:val="nil"/>
              <w:right w:val="nil"/>
            </w:tcBorders>
            <w:shd w:val="clear" w:color="auto" w:fill="auto"/>
            <w:noWrap/>
            <w:vAlign w:val="center"/>
            <w:hideMark/>
          </w:tcPr>
          <w:p w14:paraId="19F080F9" w14:textId="77777777" w:rsidR="00BC5219" w:rsidRPr="009B463B" w:rsidRDefault="00BC5219" w:rsidP="00E83802">
            <w:pPr>
              <w:jc w:val="center"/>
              <w:rPr>
                <w:rFonts w:ascii="Meta Pro" w:eastAsia="Times New Roman" w:hAnsi="Meta Pro"/>
                <w:b/>
                <w:bCs/>
                <w:lang w:eastAsia="en-AU"/>
              </w:rPr>
            </w:pPr>
            <w:r w:rsidRPr="009B463B">
              <w:rPr>
                <w:rFonts w:ascii="Meta Pro" w:eastAsia="Times New Roman" w:hAnsi="Meta Pro"/>
                <w:b/>
                <w:bCs/>
                <w:lang w:eastAsia="en-AU"/>
              </w:rPr>
              <w:t>$'000</w:t>
            </w:r>
          </w:p>
        </w:tc>
      </w:tr>
      <w:tr w:rsidR="00BC5219" w:rsidRPr="009B463B" w14:paraId="449D115E" w14:textId="77777777" w:rsidTr="00E83802">
        <w:trPr>
          <w:trHeight w:val="240"/>
        </w:trPr>
        <w:tc>
          <w:tcPr>
            <w:tcW w:w="7314" w:type="dxa"/>
            <w:tcBorders>
              <w:top w:val="nil"/>
              <w:left w:val="nil"/>
              <w:bottom w:val="nil"/>
              <w:right w:val="nil"/>
            </w:tcBorders>
            <w:shd w:val="clear" w:color="auto" w:fill="auto"/>
            <w:noWrap/>
            <w:vAlign w:val="center"/>
            <w:hideMark/>
          </w:tcPr>
          <w:p w14:paraId="569228F1" w14:textId="77777777" w:rsidR="00BC5219" w:rsidRPr="009B463B" w:rsidRDefault="00BC5219" w:rsidP="00E83802">
            <w:pPr>
              <w:rPr>
                <w:rFonts w:ascii="Meta Pro" w:eastAsia="Times New Roman" w:hAnsi="Meta Pro"/>
                <w:b/>
                <w:bCs/>
                <w:lang w:eastAsia="en-AU"/>
              </w:rPr>
            </w:pPr>
            <w:r w:rsidRPr="009B463B">
              <w:rPr>
                <w:rFonts w:ascii="Meta Pro" w:eastAsia="Times New Roman" w:hAnsi="Meta Pro"/>
                <w:b/>
                <w:bCs/>
                <w:lang w:eastAsia="en-AU"/>
              </w:rPr>
              <w:t>2     APPROPRIATIONS</w:t>
            </w:r>
          </w:p>
        </w:tc>
        <w:tc>
          <w:tcPr>
            <w:tcW w:w="1156" w:type="dxa"/>
            <w:tcBorders>
              <w:top w:val="nil"/>
              <w:left w:val="nil"/>
              <w:bottom w:val="nil"/>
              <w:right w:val="nil"/>
            </w:tcBorders>
            <w:shd w:val="clear" w:color="auto" w:fill="auto"/>
            <w:noWrap/>
            <w:vAlign w:val="center"/>
            <w:hideMark/>
          </w:tcPr>
          <w:p w14:paraId="40398888" w14:textId="77777777" w:rsidR="00BC5219" w:rsidRPr="009B463B" w:rsidRDefault="00BC5219" w:rsidP="00E83802">
            <w:pPr>
              <w:rPr>
                <w:rFonts w:ascii="Meta Pro" w:eastAsia="Times New Roman" w:hAnsi="Meta Pro"/>
                <w:b/>
                <w:bCs/>
                <w:lang w:eastAsia="en-AU"/>
              </w:rPr>
            </w:pPr>
          </w:p>
        </w:tc>
        <w:tc>
          <w:tcPr>
            <w:tcW w:w="216" w:type="dxa"/>
            <w:tcBorders>
              <w:top w:val="nil"/>
              <w:left w:val="nil"/>
              <w:bottom w:val="nil"/>
              <w:right w:val="nil"/>
            </w:tcBorders>
            <w:shd w:val="clear" w:color="auto" w:fill="auto"/>
            <w:noWrap/>
            <w:vAlign w:val="center"/>
            <w:hideMark/>
          </w:tcPr>
          <w:p w14:paraId="7A37A138" w14:textId="77777777" w:rsidR="00BC5219" w:rsidRPr="009B463B"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4330DD0D" w14:textId="77777777" w:rsidR="00BC5219" w:rsidRPr="009B463B" w:rsidRDefault="00BC5219" w:rsidP="00E83802">
            <w:pPr>
              <w:jc w:val="right"/>
              <w:rPr>
                <w:rFonts w:ascii="Meta Pro" w:eastAsia="Times New Roman" w:hAnsi="Meta Pro" w:cs="Times New Roman"/>
                <w:sz w:val="20"/>
                <w:szCs w:val="20"/>
                <w:lang w:eastAsia="en-AU"/>
              </w:rPr>
            </w:pPr>
          </w:p>
        </w:tc>
      </w:tr>
      <w:tr w:rsidR="00BC5219" w:rsidRPr="009B463B" w14:paraId="2020088F" w14:textId="77777777" w:rsidTr="00E83802">
        <w:trPr>
          <w:trHeight w:val="90"/>
        </w:trPr>
        <w:tc>
          <w:tcPr>
            <w:tcW w:w="7314" w:type="dxa"/>
            <w:tcBorders>
              <w:top w:val="nil"/>
              <w:left w:val="nil"/>
              <w:bottom w:val="nil"/>
              <w:right w:val="nil"/>
            </w:tcBorders>
            <w:shd w:val="clear" w:color="auto" w:fill="auto"/>
            <w:noWrap/>
            <w:vAlign w:val="center"/>
            <w:hideMark/>
          </w:tcPr>
          <w:p w14:paraId="58B00E3A" w14:textId="77777777" w:rsidR="00BC5219" w:rsidRPr="009B463B"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751EA10E" w14:textId="77777777" w:rsidR="00BC5219" w:rsidRPr="009B463B" w:rsidRDefault="00BC5219" w:rsidP="00E83802">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33159C0F" w14:textId="77777777" w:rsidR="00BC5219" w:rsidRPr="009B463B" w:rsidRDefault="00BC5219" w:rsidP="00E83802">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5F10BC98" w14:textId="77777777" w:rsidR="00BC5219" w:rsidRPr="009B463B" w:rsidRDefault="00BC5219" w:rsidP="00E83802">
            <w:pPr>
              <w:rPr>
                <w:rFonts w:ascii="Meta Pro" w:eastAsia="Times New Roman" w:hAnsi="Meta Pro" w:cs="Times New Roman"/>
                <w:sz w:val="20"/>
                <w:szCs w:val="20"/>
                <w:lang w:eastAsia="en-AU"/>
              </w:rPr>
            </w:pPr>
          </w:p>
        </w:tc>
      </w:tr>
      <w:tr w:rsidR="00BC5219" w:rsidRPr="009B463B" w14:paraId="46CD5A8E" w14:textId="77777777" w:rsidTr="00E83802">
        <w:trPr>
          <w:trHeight w:val="240"/>
        </w:trPr>
        <w:tc>
          <w:tcPr>
            <w:tcW w:w="7314" w:type="dxa"/>
            <w:tcBorders>
              <w:top w:val="nil"/>
              <w:left w:val="nil"/>
              <w:bottom w:val="nil"/>
              <w:right w:val="nil"/>
            </w:tcBorders>
            <w:shd w:val="clear" w:color="auto" w:fill="auto"/>
            <w:noWrap/>
            <w:vAlign w:val="center"/>
            <w:hideMark/>
          </w:tcPr>
          <w:p w14:paraId="07F51AAA" w14:textId="77777777" w:rsidR="00BC5219" w:rsidRPr="009B463B" w:rsidRDefault="00BC5219" w:rsidP="00E83802">
            <w:pPr>
              <w:rPr>
                <w:rFonts w:ascii="Meta Pro" w:eastAsia="Times New Roman" w:hAnsi="Meta Pro"/>
                <w:b/>
                <w:bCs/>
                <w:szCs w:val="18"/>
                <w:lang w:eastAsia="en-AU"/>
              </w:rPr>
            </w:pPr>
            <w:r w:rsidRPr="009B463B">
              <w:rPr>
                <w:rFonts w:ascii="Meta Pro" w:eastAsia="Times New Roman" w:hAnsi="Meta Pro"/>
                <w:b/>
                <w:bCs/>
                <w:szCs w:val="18"/>
                <w:lang w:eastAsia="en-AU"/>
              </w:rPr>
              <w:t>Reconciliation of payments from Consolidated Fund to appropriated revenue</w:t>
            </w:r>
          </w:p>
        </w:tc>
        <w:tc>
          <w:tcPr>
            <w:tcW w:w="1156" w:type="dxa"/>
            <w:tcBorders>
              <w:top w:val="nil"/>
              <w:left w:val="nil"/>
              <w:bottom w:val="nil"/>
              <w:right w:val="nil"/>
            </w:tcBorders>
            <w:shd w:val="clear" w:color="auto" w:fill="auto"/>
            <w:noWrap/>
            <w:vAlign w:val="center"/>
            <w:hideMark/>
          </w:tcPr>
          <w:p w14:paraId="610C8E86" w14:textId="77777777" w:rsidR="00BC5219" w:rsidRPr="009B463B" w:rsidRDefault="00BC5219" w:rsidP="00E83802">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39C48F4F" w14:textId="77777777" w:rsidR="00BC5219" w:rsidRPr="009B463B"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44BAA15E" w14:textId="77777777" w:rsidR="00BC5219" w:rsidRPr="009B463B" w:rsidRDefault="00BC5219" w:rsidP="00E83802">
            <w:pPr>
              <w:jc w:val="right"/>
              <w:rPr>
                <w:rFonts w:ascii="Meta Pro" w:eastAsia="Times New Roman" w:hAnsi="Meta Pro" w:cs="Times New Roman"/>
                <w:sz w:val="20"/>
                <w:szCs w:val="20"/>
                <w:lang w:eastAsia="en-AU"/>
              </w:rPr>
            </w:pPr>
          </w:p>
        </w:tc>
      </w:tr>
      <w:tr w:rsidR="00BC5219" w:rsidRPr="009B463B" w14:paraId="04455C3F" w14:textId="77777777" w:rsidTr="00E83802">
        <w:trPr>
          <w:trHeight w:val="240"/>
        </w:trPr>
        <w:tc>
          <w:tcPr>
            <w:tcW w:w="7314" w:type="dxa"/>
            <w:tcBorders>
              <w:top w:val="nil"/>
              <w:left w:val="nil"/>
              <w:bottom w:val="nil"/>
              <w:right w:val="nil"/>
            </w:tcBorders>
            <w:shd w:val="clear" w:color="auto" w:fill="auto"/>
            <w:noWrap/>
            <w:vAlign w:val="center"/>
            <w:hideMark/>
          </w:tcPr>
          <w:p w14:paraId="4F17D765" w14:textId="77777777" w:rsidR="00BC5219" w:rsidRPr="009B463B" w:rsidRDefault="00BC5219" w:rsidP="00E83802">
            <w:pPr>
              <w:rPr>
                <w:rFonts w:ascii="Meta Pro" w:eastAsia="Times New Roman" w:hAnsi="Meta Pro"/>
                <w:b/>
                <w:bCs/>
                <w:szCs w:val="18"/>
                <w:lang w:eastAsia="en-AU"/>
              </w:rPr>
            </w:pPr>
            <w:r w:rsidRPr="009B463B">
              <w:rPr>
                <w:rFonts w:ascii="Meta Pro" w:eastAsia="Times New Roman" w:hAnsi="Meta Pro"/>
                <w:b/>
                <w:bCs/>
                <w:szCs w:val="18"/>
                <w:lang w:eastAsia="en-AU"/>
              </w:rPr>
              <w:t>recognised in operating result</w:t>
            </w:r>
          </w:p>
        </w:tc>
        <w:tc>
          <w:tcPr>
            <w:tcW w:w="1156" w:type="dxa"/>
            <w:tcBorders>
              <w:top w:val="nil"/>
              <w:left w:val="nil"/>
              <w:bottom w:val="nil"/>
              <w:right w:val="nil"/>
            </w:tcBorders>
            <w:shd w:val="clear" w:color="auto" w:fill="auto"/>
            <w:vAlign w:val="center"/>
            <w:hideMark/>
          </w:tcPr>
          <w:p w14:paraId="60AF276A" w14:textId="77777777" w:rsidR="00BC5219" w:rsidRPr="009B463B" w:rsidRDefault="00BC5219" w:rsidP="00E83802">
            <w:pPr>
              <w:rPr>
                <w:rFonts w:ascii="Meta Pro" w:eastAsia="Times New Roman" w:hAnsi="Meta Pro"/>
                <w:b/>
                <w:bCs/>
                <w:szCs w:val="18"/>
                <w:lang w:eastAsia="en-AU"/>
              </w:rPr>
            </w:pPr>
          </w:p>
        </w:tc>
        <w:tc>
          <w:tcPr>
            <w:tcW w:w="216" w:type="dxa"/>
            <w:tcBorders>
              <w:top w:val="nil"/>
              <w:left w:val="nil"/>
              <w:bottom w:val="nil"/>
              <w:right w:val="nil"/>
            </w:tcBorders>
            <w:shd w:val="clear" w:color="auto" w:fill="auto"/>
            <w:vAlign w:val="center"/>
            <w:hideMark/>
          </w:tcPr>
          <w:p w14:paraId="3A87F2A9" w14:textId="77777777" w:rsidR="00BC5219" w:rsidRPr="009B463B"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vAlign w:val="center"/>
            <w:hideMark/>
          </w:tcPr>
          <w:p w14:paraId="0C751F7B" w14:textId="77777777" w:rsidR="00BC5219" w:rsidRPr="009B463B" w:rsidRDefault="00BC5219" w:rsidP="00E83802">
            <w:pPr>
              <w:jc w:val="right"/>
              <w:rPr>
                <w:rFonts w:ascii="Meta Pro" w:eastAsia="Times New Roman" w:hAnsi="Meta Pro" w:cs="Times New Roman"/>
                <w:sz w:val="20"/>
                <w:szCs w:val="20"/>
                <w:lang w:eastAsia="en-AU"/>
              </w:rPr>
            </w:pPr>
          </w:p>
        </w:tc>
      </w:tr>
      <w:tr w:rsidR="00BC5219" w:rsidRPr="009B463B" w14:paraId="27C951C0" w14:textId="77777777" w:rsidTr="00E83802">
        <w:trPr>
          <w:trHeight w:val="240"/>
        </w:trPr>
        <w:tc>
          <w:tcPr>
            <w:tcW w:w="7314" w:type="dxa"/>
            <w:tcBorders>
              <w:top w:val="nil"/>
              <w:left w:val="nil"/>
              <w:bottom w:val="nil"/>
              <w:right w:val="nil"/>
            </w:tcBorders>
            <w:shd w:val="clear" w:color="auto" w:fill="auto"/>
            <w:noWrap/>
            <w:vAlign w:val="center"/>
            <w:hideMark/>
          </w:tcPr>
          <w:p w14:paraId="73F096F4" w14:textId="77777777" w:rsidR="00BC5219" w:rsidRPr="009B463B" w:rsidRDefault="00BC5219" w:rsidP="00E83802">
            <w:pPr>
              <w:rPr>
                <w:rFonts w:ascii="Meta Pro" w:eastAsia="Times New Roman" w:hAnsi="Meta Pro"/>
                <w:szCs w:val="18"/>
                <w:lang w:eastAsia="en-AU"/>
              </w:rPr>
            </w:pPr>
            <w:r w:rsidRPr="009B463B">
              <w:rPr>
                <w:rFonts w:ascii="Meta Pro" w:eastAsia="Times New Roman" w:hAnsi="Meta Pro"/>
                <w:szCs w:val="18"/>
                <w:lang w:eastAsia="en-AU"/>
              </w:rPr>
              <w:t>Original budgeted appropriation revenue</w:t>
            </w:r>
          </w:p>
        </w:tc>
        <w:tc>
          <w:tcPr>
            <w:tcW w:w="1156" w:type="dxa"/>
            <w:tcBorders>
              <w:top w:val="nil"/>
              <w:left w:val="nil"/>
              <w:bottom w:val="nil"/>
              <w:right w:val="nil"/>
            </w:tcBorders>
            <w:shd w:val="clear" w:color="000000" w:fill="C9E3B4"/>
            <w:noWrap/>
            <w:vAlign w:val="center"/>
            <w:hideMark/>
          </w:tcPr>
          <w:p w14:paraId="6FDC0613" w14:textId="77777777" w:rsidR="00BC5219" w:rsidRPr="009B463B" w:rsidRDefault="00BC5219" w:rsidP="00E83802">
            <w:pPr>
              <w:jc w:val="right"/>
              <w:rPr>
                <w:rFonts w:ascii="Meta Pro" w:eastAsia="Times New Roman" w:hAnsi="Meta Pro"/>
                <w:szCs w:val="18"/>
                <w:lang w:eastAsia="en-AU"/>
              </w:rPr>
            </w:pPr>
            <w:r w:rsidRPr="009B463B">
              <w:rPr>
                <w:rFonts w:ascii="Meta Pro" w:eastAsia="Times New Roman" w:hAnsi="Meta Pro"/>
                <w:szCs w:val="18"/>
                <w:lang w:eastAsia="en-AU"/>
              </w:rPr>
              <w:t xml:space="preserve">6,232,769 </w:t>
            </w:r>
          </w:p>
        </w:tc>
        <w:tc>
          <w:tcPr>
            <w:tcW w:w="216" w:type="dxa"/>
            <w:tcBorders>
              <w:top w:val="nil"/>
              <w:left w:val="nil"/>
              <w:bottom w:val="nil"/>
              <w:right w:val="nil"/>
            </w:tcBorders>
            <w:shd w:val="clear" w:color="auto" w:fill="auto"/>
            <w:noWrap/>
            <w:vAlign w:val="center"/>
            <w:hideMark/>
          </w:tcPr>
          <w:p w14:paraId="66E1F56B" w14:textId="77777777" w:rsidR="00BC5219" w:rsidRPr="009B463B"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05910715" w14:textId="77777777" w:rsidR="00BC5219" w:rsidRPr="009B463B" w:rsidRDefault="00BC5219" w:rsidP="00E83802">
            <w:pPr>
              <w:jc w:val="right"/>
              <w:rPr>
                <w:rFonts w:ascii="Meta Pro" w:eastAsia="Times New Roman" w:hAnsi="Meta Pro"/>
                <w:szCs w:val="18"/>
                <w:lang w:eastAsia="en-AU"/>
              </w:rPr>
            </w:pPr>
            <w:r w:rsidRPr="009B463B">
              <w:rPr>
                <w:rFonts w:ascii="Meta Pro" w:eastAsia="Times New Roman" w:hAnsi="Meta Pro"/>
                <w:szCs w:val="18"/>
                <w:lang w:eastAsia="en-AU"/>
              </w:rPr>
              <w:t xml:space="preserve">5,947,975 </w:t>
            </w:r>
          </w:p>
        </w:tc>
      </w:tr>
      <w:tr w:rsidR="00BC5219" w:rsidRPr="009B463B" w14:paraId="33D04DCB" w14:textId="77777777" w:rsidTr="00E83802">
        <w:trPr>
          <w:trHeight w:val="240"/>
        </w:trPr>
        <w:tc>
          <w:tcPr>
            <w:tcW w:w="7314" w:type="dxa"/>
            <w:tcBorders>
              <w:top w:val="nil"/>
              <w:left w:val="nil"/>
              <w:bottom w:val="nil"/>
              <w:right w:val="nil"/>
            </w:tcBorders>
            <w:shd w:val="clear" w:color="auto" w:fill="auto"/>
            <w:noWrap/>
            <w:vAlign w:val="center"/>
            <w:hideMark/>
          </w:tcPr>
          <w:p w14:paraId="7151F12A" w14:textId="77777777" w:rsidR="00BC5219" w:rsidRPr="009B463B" w:rsidRDefault="00BC5219" w:rsidP="00E83802">
            <w:pPr>
              <w:rPr>
                <w:rFonts w:ascii="Meta Pro" w:eastAsia="Times New Roman" w:hAnsi="Meta Pro"/>
                <w:szCs w:val="18"/>
                <w:lang w:eastAsia="en-AU"/>
              </w:rPr>
            </w:pPr>
            <w:r w:rsidRPr="009B463B">
              <w:rPr>
                <w:rFonts w:ascii="Meta Pro" w:eastAsia="Times New Roman" w:hAnsi="Meta Pro"/>
                <w:szCs w:val="18"/>
                <w:lang w:eastAsia="en-AU"/>
              </w:rPr>
              <w:t>Transfers to other departments</w:t>
            </w:r>
          </w:p>
        </w:tc>
        <w:tc>
          <w:tcPr>
            <w:tcW w:w="1156" w:type="dxa"/>
            <w:tcBorders>
              <w:top w:val="nil"/>
              <w:left w:val="nil"/>
              <w:bottom w:val="nil"/>
              <w:right w:val="nil"/>
            </w:tcBorders>
            <w:shd w:val="clear" w:color="000000" w:fill="C9E3B4"/>
            <w:noWrap/>
            <w:vAlign w:val="center"/>
            <w:hideMark/>
          </w:tcPr>
          <w:p w14:paraId="6F9DBDDC" w14:textId="77777777" w:rsidR="00BC5219" w:rsidRPr="009B463B" w:rsidRDefault="00BC5219" w:rsidP="00E83802">
            <w:pPr>
              <w:jc w:val="right"/>
              <w:rPr>
                <w:rFonts w:ascii="Meta Pro" w:eastAsia="Times New Roman" w:hAnsi="Meta Pro"/>
                <w:szCs w:val="18"/>
                <w:lang w:eastAsia="en-AU"/>
              </w:rPr>
            </w:pPr>
            <w:r w:rsidRPr="009B463B">
              <w:rPr>
                <w:rFonts w:ascii="Meta Pro" w:eastAsia="Times New Roman" w:hAnsi="Meta Pro"/>
                <w:szCs w:val="18"/>
                <w:lang w:eastAsia="en-AU"/>
              </w:rPr>
              <w:t>(4,267)</w:t>
            </w:r>
          </w:p>
        </w:tc>
        <w:tc>
          <w:tcPr>
            <w:tcW w:w="216" w:type="dxa"/>
            <w:tcBorders>
              <w:top w:val="nil"/>
              <w:left w:val="nil"/>
              <w:bottom w:val="nil"/>
              <w:right w:val="nil"/>
            </w:tcBorders>
            <w:shd w:val="clear" w:color="auto" w:fill="auto"/>
            <w:noWrap/>
            <w:vAlign w:val="center"/>
            <w:hideMark/>
          </w:tcPr>
          <w:p w14:paraId="11898674" w14:textId="77777777" w:rsidR="00BC5219" w:rsidRPr="009B463B"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63F7C869" w14:textId="77777777" w:rsidR="00BC5219" w:rsidRPr="009B463B" w:rsidRDefault="00BC5219" w:rsidP="00E83802">
            <w:pPr>
              <w:jc w:val="right"/>
              <w:rPr>
                <w:rFonts w:ascii="Meta Pro" w:eastAsia="Times New Roman" w:hAnsi="Meta Pro"/>
                <w:szCs w:val="18"/>
                <w:lang w:eastAsia="en-AU"/>
              </w:rPr>
            </w:pPr>
            <w:r w:rsidRPr="009B463B">
              <w:rPr>
                <w:rFonts w:ascii="Meta Pro" w:eastAsia="Times New Roman" w:hAnsi="Meta Pro"/>
                <w:szCs w:val="18"/>
                <w:lang w:eastAsia="en-AU"/>
              </w:rPr>
              <w:t>(1,322)</w:t>
            </w:r>
          </w:p>
        </w:tc>
      </w:tr>
      <w:tr w:rsidR="00BC5219" w:rsidRPr="009B463B" w14:paraId="0C3B8C90" w14:textId="77777777" w:rsidTr="00E83802">
        <w:trPr>
          <w:trHeight w:val="240"/>
        </w:trPr>
        <w:tc>
          <w:tcPr>
            <w:tcW w:w="7314" w:type="dxa"/>
            <w:tcBorders>
              <w:top w:val="nil"/>
              <w:left w:val="nil"/>
              <w:bottom w:val="nil"/>
              <w:right w:val="nil"/>
            </w:tcBorders>
            <w:shd w:val="clear" w:color="auto" w:fill="auto"/>
            <w:noWrap/>
            <w:vAlign w:val="center"/>
            <w:hideMark/>
          </w:tcPr>
          <w:p w14:paraId="594542EE" w14:textId="77777777" w:rsidR="00BC5219" w:rsidRPr="009B463B" w:rsidRDefault="00BC5219" w:rsidP="00E83802">
            <w:pPr>
              <w:rPr>
                <w:rFonts w:ascii="Meta Pro" w:eastAsia="Times New Roman" w:hAnsi="Meta Pro"/>
                <w:szCs w:val="18"/>
                <w:lang w:eastAsia="en-AU"/>
              </w:rPr>
            </w:pPr>
            <w:r w:rsidRPr="009B463B">
              <w:rPr>
                <w:rFonts w:ascii="Meta Pro" w:eastAsia="Times New Roman" w:hAnsi="Meta Pro"/>
                <w:szCs w:val="18"/>
                <w:lang w:eastAsia="en-AU"/>
              </w:rPr>
              <w:t>Transfers (to)/from other headings</w:t>
            </w:r>
          </w:p>
        </w:tc>
        <w:tc>
          <w:tcPr>
            <w:tcW w:w="1156" w:type="dxa"/>
            <w:tcBorders>
              <w:top w:val="nil"/>
              <w:left w:val="nil"/>
              <w:bottom w:val="single" w:sz="4" w:space="0" w:color="auto"/>
              <w:right w:val="nil"/>
            </w:tcBorders>
            <w:shd w:val="clear" w:color="000000" w:fill="C9E3B4"/>
            <w:noWrap/>
            <w:vAlign w:val="center"/>
            <w:hideMark/>
          </w:tcPr>
          <w:p w14:paraId="51258AAA" w14:textId="77777777" w:rsidR="00BC5219" w:rsidRPr="009B463B" w:rsidRDefault="00BC5219" w:rsidP="00E83802">
            <w:pPr>
              <w:jc w:val="right"/>
              <w:rPr>
                <w:rFonts w:ascii="Meta Pro" w:eastAsia="Times New Roman" w:hAnsi="Meta Pro"/>
                <w:szCs w:val="18"/>
                <w:lang w:eastAsia="en-AU"/>
              </w:rPr>
            </w:pPr>
            <w:r w:rsidRPr="009B463B">
              <w:rPr>
                <w:rFonts w:ascii="Meta Pro" w:eastAsia="Times New Roman" w:hAnsi="Meta Pro"/>
                <w:szCs w:val="18"/>
                <w:lang w:eastAsia="en-AU"/>
              </w:rPr>
              <w:t xml:space="preserve">133,113 </w:t>
            </w:r>
          </w:p>
        </w:tc>
        <w:tc>
          <w:tcPr>
            <w:tcW w:w="216" w:type="dxa"/>
            <w:tcBorders>
              <w:top w:val="nil"/>
              <w:left w:val="nil"/>
              <w:bottom w:val="nil"/>
              <w:right w:val="nil"/>
            </w:tcBorders>
            <w:shd w:val="clear" w:color="auto" w:fill="auto"/>
            <w:noWrap/>
            <w:vAlign w:val="center"/>
            <w:hideMark/>
          </w:tcPr>
          <w:p w14:paraId="28456C4F" w14:textId="77777777" w:rsidR="00BC5219" w:rsidRPr="009B463B"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0A58D04B" w14:textId="77777777" w:rsidR="00BC5219" w:rsidRPr="009B463B" w:rsidRDefault="00BC5219" w:rsidP="00E83802">
            <w:pPr>
              <w:jc w:val="right"/>
              <w:rPr>
                <w:rFonts w:ascii="Meta Pro" w:eastAsia="Times New Roman" w:hAnsi="Meta Pro"/>
                <w:szCs w:val="18"/>
                <w:lang w:eastAsia="en-AU"/>
              </w:rPr>
            </w:pPr>
            <w:r w:rsidRPr="009B463B">
              <w:rPr>
                <w:rFonts w:ascii="Meta Pro" w:eastAsia="Times New Roman" w:hAnsi="Meta Pro"/>
                <w:szCs w:val="18"/>
                <w:lang w:eastAsia="en-AU"/>
              </w:rPr>
              <w:t>(2,095)</w:t>
            </w:r>
          </w:p>
        </w:tc>
      </w:tr>
      <w:tr w:rsidR="00BC5219" w:rsidRPr="009B463B" w14:paraId="08D5477F" w14:textId="77777777" w:rsidTr="00E83802">
        <w:trPr>
          <w:trHeight w:val="240"/>
        </w:trPr>
        <w:tc>
          <w:tcPr>
            <w:tcW w:w="7314" w:type="dxa"/>
            <w:tcBorders>
              <w:top w:val="single" w:sz="4" w:space="0" w:color="auto"/>
              <w:left w:val="nil"/>
              <w:bottom w:val="nil"/>
              <w:right w:val="nil"/>
            </w:tcBorders>
            <w:shd w:val="clear" w:color="auto" w:fill="auto"/>
            <w:noWrap/>
            <w:vAlign w:val="center"/>
            <w:hideMark/>
          </w:tcPr>
          <w:p w14:paraId="638C3672" w14:textId="77777777" w:rsidR="00BC5219" w:rsidRPr="009B463B" w:rsidRDefault="00BC5219" w:rsidP="00E83802">
            <w:pPr>
              <w:rPr>
                <w:rFonts w:ascii="Meta Pro" w:eastAsia="Times New Roman" w:hAnsi="Meta Pro"/>
                <w:szCs w:val="18"/>
                <w:lang w:eastAsia="en-AU"/>
              </w:rPr>
            </w:pPr>
            <w:r w:rsidRPr="009B463B">
              <w:rPr>
                <w:rFonts w:ascii="Meta Pro" w:eastAsia="Times New Roman" w:hAnsi="Meta Pro"/>
                <w:szCs w:val="18"/>
                <w:lang w:eastAsia="en-AU"/>
              </w:rPr>
              <w:t xml:space="preserve">Total appropriation received </w:t>
            </w:r>
          </w:p>
        </w:tc>
        <w:tc>
          <w:tcPr>
            <w:tcW w:w="1156" w:type="dxa"/>
            <w:tcBorders>
              <w:top w:val="nil"/>
              <w:left w:val="nil"/>
              <w:bottom w:val="nil"/>
              <w:right w:val="nil"/>
            </w:tcBorders>
            <w:shd w:val="clear" w:color="000000" w:fill="C9E3B4"/>
            <w:noWrap/>
            <w:vAlign w:val="center"/>
            <w:hideMark/>
          </w:tcPr>
          <w:p w14:paraId="15118DDB" w14:textId="77777777" w:rsidR="00BC5219" w:rsidRPr="009B463B" w:rsidRDefault="00BC5219" w:rsidP="00E83802">
            <w:pPr>
              <w:jc w:val="right"/>
              <w:rPr>
                <w:rFonts w:ascii="Meta Pro" w:eastAsia="Times New Roman" w:hAnsi="Meta Pro"/>
                <w:szCs w:val="18"/>
                <w:lang w:eastAsia="en-AU"/>
              </w:rPr>
            </w:pPr>
            <w:r w:rsidRPr="009B463B">
              <w:rPr>
                <w:rFonts w:ascii="Meta Pro" w:eastAsia="Times New Roman" w:hAnsi="Meta Pro"/>
                <w:szCs w:val="18"/>
                <w:lang w:eastAsia="en-AU"/>
              </w:rPr>
              <w:t xml:space="preserve">6,361,615 </w:t>
            </w:r>
          </w:p>
        </w:tc>
        <w:tc>
          <w:tcPr>
            <w:tcW w:w="216" w:type="dxa"/>
            <w:tcBorders>
              <w:top w:val="single" w:sz="4" w:space="0" w:color="auto"/>
              <w:left w:val="nil"/>
              <w:bottom w:val="nil"/>
              <w:right w:val="nil"/>
            </w:tcBorders>
            <w:shd w:val="clear" w:color="auto" w:fill="auto"/>
            <w:noWrap/>
            <w:vAlign w:val="center"/>
            <w:hideMark/>
          </w:tcPr>
          <w:p w14:paraId="5D7BC740" w14:textId="77777777" w:rsidR="00BC5219" w:rsidRPr="009B463B" w:rsidRDefault="00BC5219" w:rsidP="00E83802">
            <w:pPr>
              <w:jc w:val="right"/>
              <w:rPr>
                <w:rFonts w:ascii="Meta Pro" w:eastAsia="Times New Roman" w:hAnsi="Meta Pro"/>
                <w:szCs w:val="18"/>
                <w:lang w:eastAsia="en-AU"/>
              </w:rPr>
            </w:pPr>
            <w:r w:rsidRPr="009B463B">
              <w:rPr>
                <w:rFonts w:ascii="Meta Pro" w:eastAsia="Times New Roman" w:hAnsi="Meta Pro"/>
                <w:szCs w:val="18"/>
                <w:lang w:eastAsia="en-AU"/>
              </w:rPr>
              <w:t> </w:t>
            </w:r>
          </w:p>
        </w:tc>
        <w:tc>
          <w:tcPr>
            <w:tcW w:w="1156" w:type="dxa"/>
            <w:tcBorders>
              <w:top w:val="single" w:sz="4" w:space="0" w:color="auto"/>
              <w:left w:val="nil"/>
              <w:bottom w:val="nil"/>
              <w:right w:val="nil"/>
            </w:tcBorders>
            <w:shd w:val="clear" w:color="auto" w:fill="auto"/>
            <w:noWrap/>
            <w:vAlign w:val="center"/>
            <w:hideMark/>
          </w:tcPr>
          <w:p w14:paraId="7097C108" w14:textId="77777777" w:rsidR="00BC5219" w:rsidRPr="009B463B" w:rsidRDefault="00BC5219" w:rsidP="00E83802">
            <w:pPr>
              <w:jc w:val="right"/>
              <w:rPr>
                <w:rFonts w:ascii="Meta Pro" w:eastAsia="Times New Roman" w:hAnsi="Meta Pro"/>
                <w:szCs w:val="18"/>
                <w:lang w:eastAsia="en-AU"/>
              </w:rPr>
            </w:pPr>
            <w:r w:rsidRPr="009B463B">
              <w:rPr>
                <w:rFonts w:ascii="Meta Pro" w:eastAsia="Times New Roman" w:hAnsi="Meta Pro"/>
                <w:szCs w:val="18"/>
                <w:lang w:eastAsia="en-AU"/>
              </w:rPr>
              <w:t xml:space="preserve">5,944,558 </w:t>
            </w:r>
          </w:p>
        </w:tc>
      </w:tr>
      <w:tr w:rsidR="00BC5219" w:rsidRPr="009B463B" w14:paraId="17507478" w14:textId="77777777" w:rsidTr="00E83802">
        <w:trPr>
          <w:trHeight w:val="240"/>
        </w:trPr>
        <w:tc>
          <w:tcPr>
            <w:tcW w:w="7314" w:type="dxa"/>
            <w:tcBorders>
              <w:top w:val="nil"/>
              <w:left w:val="nil"/>
              <w:bottom w:val="nil"/>
              <w:right w:val="nil"/>
            </w:tcBorders>
            <w:shd w:val="clear" w:color="auto" w:fill="auto"/>
            <w:noWrap/>
            <w:vAlign w:val="center"/>
            <w:hideMark/>
          </w:tcPr>
          <w:p w14:paraId="792482B7" w14:textId="77777777" w:rsidR="00BC5219" w:rsidRPr="009B463B" w:rsidRDefault="00BC5219" w:rsidP="00E83802">
            <w:pPr>
              <w:rPr>
                <w:rFonts w:ascii="Meta Pro" w:eastAsia="Times New Roman" w:hAnsi="Meta Pro"/>
                <w:szCs w:val="18"/>
                <w:lang w:eastAsia="en-AU"/>
              </w:rPr>
            </w:pPr>
            <w:r w:rsidRPr="009B463B">
              <w:rPr>
                <w:rFonts w:ascii="Meta Pro" w:eastAsia="Times New Roman" w:hAnsi="Meta Pro"/>
                <w:szCs w:val="18"/>
                <w:lang w:eastAsia="en-AU"/>
              </w:rPr>
              <w:t>Less: Opening balance of appropriation revenue receivable</w:t>
            </w:r>
          </w:p>
        </w:tc>
        <w:tc>
          <w:tcPr>
            <w:tcW w:w="1156" w:type="dxa"/>
            <w:tcBorders>
              <w:top w:val="nil"/>
              <w:left w:val="nil"/>
              <w:bottom w:val="nil"/>
              <w:right w:val="nil"/>
            </w:tcBorders>
            <w:shd w:val="clear" w:color="000000" w:fill="C9E3B4"/>
            <w:noWrap/>
            <w:vAlign w:val="center"/>
            <w:hideMark/>
          </w:tcPr>
          <w:p w14:paraId="08B78D70" w14:textId="77777777" w:rsidR="00BC5219" w:rsidRPr="009B463B" w:rsidRDefault="00BC5219" w:rsidP="00E83802">
            <w:pPr>
              <w:jc w:val="right"/>
              <w:rPr>
                <w:rFonts w:ascii="Meta Pro" w:eastAsia="Times New Roman" w:hAnsi="Meta Pro"/>
                <w:szCs w:val="18"/>
                <w:lang w:eastAsia="en-AU"/>
              </w:rPr>
            </w:pPr>
            <w:r w:rsidRPr="009B463B">
              <w:rPr>
                <w:rFonts w:ascii="Meta Pro" w:eastAsia="Times New Roman" w:hAnsi="Meta Pro"/>
                <w:szCs w:val="18"/>
                <w:lang w:eastAsia="en-AU"/>
              </w:rPr>
              <w:t>(1,993)</w:t>
            </w:r>
          </w:p>
        </w:tc>
        <w:tc>
          <w:tcPr>
            <w:tcW w:w="216" w:type="dxa"/>
            <w:tcBorders>
              <w:top w:val="nil"/>
              <w:left w:val="nil"/>
              <w:bottom w:val="nil"/>
              <w:right w:val="nil"/>
            </w:tcBorders>
            <w:shd w:val="clear" w:color="auto" w:fill="auto"/>
            <w:noWrap/>
            <w:vAlign w:val="center"/>
            <w:hideMark/>
          </w:tcPr>
          <w:p w14:paraId="04B9A4FC" w14:textId="77777777" w:rsidR="00BC5219" w:rsidRPr="009B463B"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60FAF9DD" w14:textId="77777777" w:rsidR="00BC5219" w:rsidRPr="009B463B" w:rsidRDefault="00BC5219" w:rsidP="00E83802">
            <w:pPr>
              <w:jc w:val="right"/>
              <w:rPr>
                <w:rFonts w:ascii="Meta Pro" w:eastAsia="Times New Roman" w:hAnsi="Meta Pro"/>
                <w:szCs w:val="18"/>
                <w:lang w:eastAsia="en-AU"/>
              </w:rPr>
            </w:pPr>
            <w:r w:rsidRPr="009B463B">
              <w:rPr>
                <w:rFonts w:ascii="Meta Pro" w:eastAsia="Times New Roman" w:hAnsi="Meta Pro"/>
                <w:szCs w:val="18"/>
                <w:lang w:eastAsia="en-AU"/>
              </w:rPr>
              <w:t>(19,010)</w:t>
            </w:r>
          </w:p>
        </w:tc>
      </w:tr>
      <w:tr w:rsidR="00BC5219" w:rsidRPr="009B463B" w14:paraId="05DA1877" w14:textId="77777777" w:rsidTr="00E83802">
        <w:trPr>
          <w:trHeight w:val="240"/>
        </w:trPr>
        <w:tc>
          <w:tcPr>
            <w:tcW w:w="7314" w:type="dxa"/>
            <w:tcBorders>
              <w:top w:val="nil"/>
              <w:left w:val="nil"/>
              <w:bottom w:val="nil"/>
              <w:right w:val="nil"/>
            </w:tcBorders>
            <w:shd w:val="clear" w:color="auto" w:fill="auto"/>
            <w:noWrap/>
            <w:vAlign w:val="center"/>
            <w:hideMark/>
          </w:tcPr>
          <w:p w14:paraId="0490E9A0" w14:textId="77777777" w:rsidR="00BC5219" w:rsidRPr="009B463B" w:rsidRDefault="00BC5219" w:rsidP="00E83802">
            <w:pPr>
              <w:rPr>
                <w:rFonts w:ascii="Meta Pro" w:eastAsia="Times New Roman" w:hAnsi="Meta Pro"/>
                <w:szCs w:val="18"/>
                <w:lang w:eastAsia="en-AU"/>
              </w:rPr>
            </w:pPr>
            <w:r w:rsidRPr="009B463B">
              <w:rPr>
                <w:rFonts w:ascii="Meta Pro" w:eastAsia="Times New Roman" w:hAnsi="Meta Pro"/>
                <w:szCs w:val="18"/>
                <w:lang w:eastAsia="en-AU"/>
              </w:rPr>
              <w:lastRenderedPageBreak/>
              <w:t>Plus: Closing balance of appropriation revenue receivable</w:t>
            </w:r>
          </w:p>
        </w:tc>
        <w:tc>
          <w:tcPr>
            <w:tcW w:w="1156" w:type="dxa"/>
            <w:tcBorders>
              <w:top w:val="nil"/>
              <w:left w:val="nil"/>
              <w:bottom w:val="nil"/>
              <w:right w:val="nil"/>
            </w:tcBorders>
            <w:shd w:val="clear" w:color="000000" w:fill="C9E3B4"/>
            <w:noWrap/>
            <w:vAlign w:val="center"/>
            <w:hideMark/>
          </w:tcPr>
          <w:p w14:paraId="465F6449" w14:textId="77777777" w:rsidR="00BC5219" w:rsidRPr="009B463B" w:rsidRDefault="00BC5219" w:rsidP="00E83802">
            <w:pPr>
              <w:jc w:val="right"/>
              <w:rPr>
                <w:rFonts w:ascii="Meta Pro" w:eastAsia="Times New Roman" w:hAnsi="Meta Pro"/>
                <w:szCs w:val="18"/>
                <w:lang w:eastAsia="en-AU"/>
              </w:rPr>
            </w:pPr>
            <w:r w:rsidRPr="009B463B">
              <w:rPr>
                <w:rFonts w:ascii="Meta Pro" w:eastAsia="Times New Roman" w:hAnsi="Meta Pro"/>
                <w:szCs w:val="18"/>
                <w:lang w:eastAsia="en-AU"/>
              </w:rPr>
              <w:t xml:space="preserve">7,483 </w:t>
            </w:r>
          </w:p>
        </w:tc>
        <w:tc>
          <w:tcPr>
            <w:tcW w:w="216" w:type="dxa"/>
            <w:tcBorders>
              <w:top w:val="nil"/>
              <w:left w:val="nil"/>
              <w:bottom w:val="nil"/>
              <w:right w:val="nil"/>
            </w:tcBorders>
            <w:shd w:val="clear" w:color="auto" w:fill="auto"/>
            <w:noWrap/>
            <w:vAlign w:val="center"/>
            <w:hideMark/>
          </w:tcPr>
          <w:p w14:paraId="54971118" w14:textId="77777777" w:rsidR="00BC5219" w:rsidRPr="009B463B"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4277B7FC" w14:textId="77777777" w:rsidR="00BC5219" w:rsidRPr="009B463B" w:rsidRDefault="00BC5219" w:rsidP="00E83802">
            <w:pPr>
              <w:jc w:val="right"/>
              <w:rPr>
                <w:rFonts w:ascii="Meta Pro" w:eastAsia="Times New Roman" w:hAnsi="Meta Pro"/>
                <w:szCs w:val="18"/>
                <w:lang w:eastAsia="en-AU"/>
              </w:rPr>
            </w:pPr>
            <w:r w:rsidRPr="009B463B">
              <w:rPr>
                <w:rFonts w:ascii="Meta Pro" w:eastAsia="Times New Roman" w:hAnsi="Meta Pro"/>
                <w:szCs w:val="18"/>
                <w:lang w:eastAsia="en-AU"/>
              </w:rPr>
              <w:t xml:space="preserve">1,993 </w:t>
            </w:r>
          </w:p>
        </w:tc>
      </w:tr>
      <w:tr w:rsidR="00BC5219" w:rsidRPr="009B463B" w14:paraId="70DD8B10" w14:textId="77777777" w:rsidTr="00E83802">
        <w:trPr>
          <w:trHeight w:val="240"/>
        </w:trPr>
        <w:tc>
          <w:tcPr>
            <w:tcW w:w="7314" w:type="dxa"/>
            <w:tcBorders>
              <w:top w:val="nil"/>
              <w:left w:val="nil"/>
              <w:bottom w:val="nil"/>
              <w:right w:val="nil"/>
            </w:tcBorders>
            <w:shd w:val="clear" w:color="auto" w:fill="auto"/>
            <w:noWrap/>
            <w:vAlign w:val="center"/>
            <w:hideMark/>
          </w:tcPr>
          <w:p w14:paraId="1AE93F83" w14:textId="77777777" w:rsidR="00BC5219" w:rsidRPr="009B463B" w:rsidRDefault="00BC5219" w:rsidP="00E83802">
            <w:pPr>
              <w:rPr>
                <w:rFonts w:ascii="Meta Pro" w:eastAsia="Times New Roman" w:hAnsi="Meta Pro"/>
                <w:szCs w:val="18"/>
                <w:lang w:eastAsia="en-AU"/>
              </w:rPr>
            </w:pPr>
            <w:r w:rsidRPr="009B463B">
              <w:rPr>
                <w:rFonts w:ascii="Meta Pro" w:eastAsia="Times New Roman" w:hAnsi="Meta Pro"/>
                <w:szCs w:val="18"/>
                <w:lang w:eastAsia="en-AU"/>
              </w:rPr>
              <w:t>Plus: Transfer of deferred appropriation payable due to machinery-of-government change *</w:t>
            </w:r>
          </w:p>
        </w:tc>
        <w:tc>
          <w:tcPr>
            <w:tcW w:w="1156" w:type="dxa"/>
            <w:tcBorders>
              <w:top w:val="nil"/>
              <w:left w:val="nil"/>
              <w:bottom w:val="nil"/>
              <w:right w:val="nil"/>
            </w:tcBorders>
            <w:shd w:val="clear" w:color="000000" w:fill="C9E3B4"/>
            <w:noWrap/>
            <w:vAlign w:val="center"/>
            <w:hideMark/>
          </w:tcPr>
          <w:p w14:paraId="01363380" w14:textId="77777777" w:rsidR="00BC5219" w:rsidRPr="009B463B" w:rsidRDefault="00BC5219" w:rsidP="00E83802">
            <w:pPr>
              <w:jc w:val="right"/>
              <w:rPr>
                <w:rFonts w:ascii="Meta Pro" w:eastAsia="Times New Roman" w:hAnsi="Meta Pro"/>
                <w:szCs w:val="18"/>
                <w:lang w:eastAsia="en-AU"/>
              </w:rPr>
            </w:pPr>
            <w:r w:rsidRPr="009B463B">
              <w:rPr>
                <w:rFonts w:ascii="Meta Pro" w:eastAsia="Times New Roman" w:hAnsi="Meta Pro"/>
                <w:szCs w:val="18"/>
                <w:lang w:eastAsia="en-AU"/>
              </w:rPr>
              <w:t xml:space="preserve">6,229 </w:t>
            </w:r>
          </w:p>
        </w:tc>
        <w:tc>
          <w:tcPr>
            <w:tcW w:w="216" w:type="dxa"/>
            <w:tcBorders>
              <w:top w:val="nil"/>
              <w:left w:val="nil"/>
              <w:bottom w:val="nil"/>
              <w:right w:val="nil"/>
            </w:tcBorders>
            <w:shd w:val="clear" w:color="auto" w:fill="auto"/>
            <w:noWrap/>
            <w:vAlign w:val="center"/>
            <w:hideMark/>
          </w:tcPr>
          <w:p w14:paraId="17625DBD" w14:textId="77777777" w:rsidR="00BC5219" w:rsidRPr="009B463B"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33B2E3E5" w14:textId="77777777" w:rsidR="00BC5219" w:rsidRPr="009B463B" w:rsidRDefault="00BC5219" w:rsidP="00E83802">
            <w:pPr>
              <w:jc w:val="right"/>
              <w:rPr>
                <w:rFonts w:ascii="Meta Pro" w:eastAsia="Times New Roman" w:hAnsi="Meta Pro"/>
                <w:szCs w:val="18"/>
                <w:lang w:eastAsia="en-AU"/>
              </w:rPr>
            </w:pPr>
            <w:r w:rsidRPr="009B463B">
              <w:rPr>
                <w:rFonts w:ascii="Meta Pro" w:eastAsia="Times New Roman" w:hAnsi="Meta Pro"/>
                <w:szCs w:val="18"/>
                <w:lang w:eastAsia="en-AU"/>
              </w:rPr>
              <w:t xml:space="preserve">- </w:t>
            </w:r>
          </w:p>
        </w:tc>
      </w:tr>
      <w:tr w:rsidR="00BC5219" w:rsidRPr="009B463B" w14:paraId="48764DBA" w14:textId="77777777" w:rsidTr="00E83802">
        <w:trPr>
          <w:trHeight w:val="240"/>
        </w:trPr>
        <w:tc>
          <w:tcPr>
            <w:tcW w:w="7314" w:type="dxa"/>
            <w:tcBorders>
              <w:top w:val="nil"/>
              <w:left w:val="nil"/>
              <w:bottom w:val="single" w:sz="4" w:space="0" w:color="auto"/>
              <w:right w:val="nil"/>
            </w:tcBorders>
            <w:shd w:val="clear" w:color="auto" w:fill="auto"/>
            <w:noWrap/>
            <w:vAlign w:val="center"/>
            <w:hideMark/>
          </w:tcPr>
          <w:p w14:paraId="7E2CD637" w14:textId="77777777" w:rsidR="00BC5219" w:rsidRPr="009B463B" w:rsidRDefault="00BC5219" w:rsidP="00E83802">
            <w:pPr>
              <w:rPr>
                <w:rFonts w:ascii="Meta Pro" w:eastAsia="Times New Roman" w:hAnsi="Meta Pro"/>
                <w:szCs w:val="18"/>
                <w:lang w:eastAsia="en-AU"/>
              </w:rPr>
            </w:pPr>
            <w:r w:rsidRPr="009B463B">
              <w:rPr>
                <w:rFonts w:ascii="Meta Pro" w:eastAsia="Times New Roman" w:hAnsi="Meta Pro"/>
                <w:szCs w:val="18"/>
                <w:lang w:eastAsia="en-AU"/>
              </w:rPr>
              <w:t>Less: Closing balance of deferred appropriation payable to Consolidated Fund</w:t>
            </w:r>
          </w:p>
        </w:tc>
        <w:tc>
          <w:tcPr>
            <w:tcW w:w="1156" w:type="dxa"/>
            <w:tcBorders>
              <w:top w:val="nil"/>
              <w:left w:val="nil"/>
              <w:bottom w:val="single" w:sz="4" w:space="0" w:color="auto"/>
              <w:right w:val="nil"/>
            </w:tcBorders>
            <w:shd w:val="clear" w:color="000000" w:fill="C9E3B4"/>
            <w:noWrap/>
            <w:vAlign w:val="center"/>
            <w:hideMark/>
          </w:tcPr>
          <w:p w14:paraId="1922E5B5" w14:textId="77777777" w:rsidR="00BC5219" w:rsidRPr="009B463B" w:rsidRDefault="00BC5219" w:rsidP="00E83802">
            <w:pPr>
              <w:jc w:val="right"/>
              <w:rPr>
                <w:rFonts w:ascii="Meta Pro" w:eastAsia="Times New Roman" w:hAnsi="Meta Pro"/>
                <w:szCs w:val="18"/>
                <w:lang w:eastAsia="en-AU"/>
              </w:rPr>
            </w:pPr>
            <w:r w:rsidRPr="009B463B">
              <w:rPr>
                <w:rFonts w:ascii="Meta Pro" w:eastAsia="Times New Roman" w:hAnsi="Meta Pro"/>
                <w:szCs w:val="18"/>
                <w:lang w:eastAsia="en-AU"/>
              </w:rPr>
              <w:t>(1,720)</w:t>
            </w:r>
          </w:p>
        </w:tc>
        <w:tc>
          <w:tcPr>
            <w:tcW w:w="216" w:type="dxa"/>
            <w:tcBorders>
              <w:top w:val="nil"/>
              <w:left w:val="nil"/>
              <w:bottom w:val="single" w:sz="4" w:space="0" w:color="auto"/>
              <w:right w:val="nil"/>
            </w:tcBorders>
            <w:shd w:val="clear" w:color="auto" w:fill="auto"/>
            <w:noWrap/>
            <w:vAlign w:val="center"/>
            <w:hideMark/>
          </w:tcPr>
          <w:p w14:paraId="6AD30F9E" w14:textId="77777777" w:rsidR="00BC5219" w:rsidRPr="009B463B" w:rsidRDefault="00BC5219" w:rsidP="00E83802">
            <w:pPr>
              <w:jc w:val="right"/>
              <w:rPr>
                <w:rFonts w:ascii="Meta Pro" w:eastAsia="Times New Roman" w:hAnsi="Meta Pro"/>
                <w:szCs w:val="18"/>
                <w:lang w:eastAsia="en-AU"/>
              </w:rPr>
            </w:pPr>
            <w:r w:rsidRPr="009B463B">
              <w:rPr>
                <w:rFonts w:ascii="Meta Pro" w:eastAsia="Times New Roman" w:hAnsi="Meta Pro"/>
                <w:szCs w:val="18"/>
                <w:lang w:eastAsia="en-AU"/>
              </w:rPr>
              <w:t> </w:t>
            </w:r>
          </w:p>
        </w:tc>
        <w:tc>
          <w:tcPr>
            <w:tcW w:w="1156" w:type="dxa"/>
            <w:tcBorders>
              <w:top w:val="nil"/>
              <w:left w:val="nil"/>
              <w:bottom w:val="single" w:sz="4" w:space="0" w:color="auto"/>
              <w:right w:val="nil"/>
            </w:tcBorders>
            <w:shd w:val="clear" w:color="auto" w:fill="auto"/>
            <w:noWrap/>
            <w:vAlign w:val="center"/>
            <w:hideMark/>
          </w:tcPr>
          <w:p w14:paraId="3E0B0973" w14:textId="77777777" w:rsidR="00BC5219" w:rsidRPr="009B463B" w:rsidRDefault="00BC5219" w:rsidP="00E83802">
            <w:pPr>
              <w:jc w:val="right"/>
              <w:rPr>
                <w:rFonts w:ascii="Meta Pro" w:eastAsia="Times New Roman" w:hAnsi="Meta Pro"/>
                <w:szCs w:val="18"/>
                <w:lang w:eastAsia="en-AU"/>
              </w:rPr>
            </w:pPr>
            <w:r w:rsidRPr="009B463B">
              <w:rPr>
                <w:rFonts w:ascii="Meta Pro" w:eastAsia="Times New Roman" w:hAnsi="Meta Pro"/>
                <w:szCs w:val="18"/>
                <w:lang w:eastAsia="en-AU"/>
              </w:rPr>
              <w:t xml:space="preserve">- </w:t>
            </w:r>
          </w:p>
        </w:tc>
      </w:tr>
      <w:tr w:rsidR="00BC5219" w:rsidRPr="009B463B" w14:paraId="5C6F5742" w14:textId="77777777" w:rsidTr="00E83802">
        <w:trPr>
          <w:trHeight w:val="240"/>
        </w:trPr>
        <w:tc>
          <w:tcPr>
            <w:tcW w:w="7314" w:type="dxa"/>
            <w:tcBorders>
              <w:top w:val="nil"/>
              <w:left w:val="nil"/>
              <w:bottom w:val="single" w:sz="4" w:space="0" w:color="auto"/>
              <w:right w:val="nil"/>
            </w:tcBorders>
            <w:shd w:val="clear" w:color="auto" w:fill="auto"/>
            <w:noWrap/>
            <w:vAlign w:val="center"/>
            <w:hideMark/>
          </w:tcPr>
          <w:p w14:paraId="7D90C750" w14:textId="77777777" w:rsidR="00BC5219" w:rsidRPr="009B463B" w:rsidRDefault="00BC5219" w:rsidP="00E83802">
            <w:pPr>
              <w:rPr>
                <w:rFonts w:ascii="Meta Pro" w:eastAsia="Times New Roman" w:hAnsi="Meta Pro"/>
                <w:szCs w:val="18"/>
                <w:lang w:eastAsia="en-AU"/>
              </w:rPr>
            </w:pPr>
            <w:r w:rsidRPr="009B463B">
              <w:rPr>
                <w:rFonts w:ascii="Meta Pro" w:eastAsia="Times New Roman" w:hAnsi="Meta Pro"/>
                <w:szCs w:val="18"/>
                <w:lang w:eastAsia="en-AU"/>
              </w:rPr>
              <w:t>Net appropriation revenue</w:t>
            </w:r>
          </w:p>
        </w:tc>
        <w:tc>
          <w:tcPr>
            <w:tcW w:w="1156" w:type="dxa"/>
            <w:tcBorders>
              <w:top w:val="nil"/>
              <w:left w:val="nil"/>
              <w:bottom w:val="single" w:sz="4" w:space="0" w:color="auto"/>
              <w:right w:val="nil"/>
            </w:tcBorders>
            <w:shd w:val="clear" w:color="000000" w:fill="C9E3B4"/>
            <w:noWrap/>
            <w:vAlign w:val="center"/>
            <w:hideMark/>
          </w:tcPr>
          <w:p w14:paraId="363B33BC" w14:textId="77777777" w:rsidR="00BC5219" w:rsidRPr="009B463B" w:rsidRDefault="00BC5219" w:rsidP="00E83802">
            <w:pPr>
              <w:jc w:val="right"/>
              <w:rPr>
                <w:rFonts w:ascii="Meta Pro" w:eastAsia="Times New Roman" w:hAnsi="Meta Pro"/>
                <w:szCs w:val="18"/>
                <w:lang w:eastAsia="en-AU"/>
              </w:rPr>
            </w:pPr>
            <w:r w:rsidRPr="009B463B">
              <w:rPr>
                <w:rFonts w:ascii="Meta Pro" w:eastAsia="Times New Roman" w:hAnsi="Meta Pro"/>
                <w:szCs w:val="18"/>
                <w:lang w:eastAsia="en-AU"/>
              </w:rPr>
              <w:t xml:space="preserve">6,371,614 </w:t>
            </w:r>
          </w:p>
        </w:tc>
        <w:tc>
          <w:tcPr>
            <w:tcW w:w="216" w:type="dxa"/>
            <w:tcBorders>
              <w:top w:val="nil"/>
              <w:left w:val="nil"/>
              <w:bottom w:val="single" w:sz="4" w:space="0" w:color="auto"/>
              <w:right w:val="nil"/>
            </w:tcBorders>
            <w:shd w:val="clear" w:color="auto" w:fill="auto"/>
            <w:noWrap/>
            <w:vAlign w:val="center"/>
            <w:hideMark/>
          </w:tcPr>
          <w:p w14:paraId="183C8DE3" w14:textId="77777777" w:rsidR="00BC5219" w:rsidRPr="009B463B" w:rsidRDefault="00BC5219" w:rsidP="00E83802">
            <w:pPr>
              <w:jc w:val="right"/>
              <w:rPr>
                <w:rFonts w:ascii="Meta Pro" w:eastAsia="Times New Roman" w:hAnsi="Meta Pro"/>
                <w:szCs w:val="18"/>
                <w:lang w:eastAsia="en-AU"/>
              </w:rPr>
            </w:pPr>
            <w:r w:rsidRPr="009B463B">
              <w:rPr>
                <w:rFonts w:ascii="Meta Pro" w:eastAsia="Times New Roman" w:hAnsi="Meta Pro"/>
                <w:szCs w:val="18"/>
                <w:lang w:eastAsia="en-AU"/>
              </w:rPr>
              <w:t> </w:t>
            </w:r>
          </w:p>
        </w:tc>
        <w:tc>
          <w:tcPr>
            <w:tcW w:w="1156" w:type="dxa"/>
            <w:tcBorders>
              <w:top w:val="nil"/>
              <w:left w:val="nil"/>
              <w:bottom w:val="single" w:sz="4" w:space="0" w:color="auto"/>
              <w:right w:val="nil"/>
            </w:tcBorders>
            <w:shd w:val="clear" w:color="auto" w:fill="auto"/>
            <w:noWrap/>
            <w:vAlign w:val="center"/>
            <w:hideMark/>
          </w:tcPr>
          <w:p w14:paraId="661C0817" w14:textId="77777777" w:rsidR="00BC5219" w:rsidRPr="009B463B" w:rsidRDefault="00BC5219" w:rsidP="00E83802">
            <w:pPr>
              <w:jc w:val="right"/>
              <w:rPr>
                <w:rFonts w:ascii="Meta Pro" w:eastAsia="Times New Roman" w:hAnsi="Meta Pro"/>
                <w:szCs w:val="18"/>
                <w:lang w:eastAsia="en-AU"/>
              </w:rPr>
            </w:pPr>
            <w:r w:rsidRPr="009B463B">
              <w:rPr>
                <w:rFonts w:ascii="Meta Pro" w:eastAsia="Times New Roman" w:hAnsi="Meta Pro"/>
                <w:szCs w:val="18"/>
                <w:lang w:eastAsia="en-AU"/>
              </w:rPr>
              <w:t xml:space="preserve">5,927,541 </w:t>
            </w:r>
          </w:p>
        </w:tc>
      </w:tr>
      <w:tr w:rsidR="00BC5219" w:rsidRPr="009B463B" w14:paraId="21924F83" w14:textId="77777777" w:rsidTr="00E83802">
        <w:trPr>
          <w:trHeight w:val="240"/>
        </w:trPr>
        <w:tc>
          <w:tcPr>
            <w:tcW w:w="7314" w:type="dxa"/>
            <w:tcBorders>
              <w:top w:val="single" w:sz="4" w:space="0" w:color="auto"/>
              <w:left w:val="nil"/>
              <w:bottom w:val="double" w:sz="6" w:space="0" w:color="auto"/>
              <w:right w:val="nil"/>
            </w:tcBorders>
            <w:shd w:val="clear" w:color="auto" w:fill="auto"/>
            <w:noWrap/>
            <w:vAlign w:val="center"/>
            <w:hideMark/>
          </w:tcPr>
          <w:p w14:paraId="36737750" w14:textId="77777777" w:rsidR="00BC5219" w:rsidRPr="009B463B" w:rsidRDefault="00BC5219" w:rsidP="00E83802">
            <w:pPr>
              <w:rPr>
                <w:rFonts w:ascii="Meta Pro" w:eastAsia="Times New Roman" w:hAnsi="Meta Pro"/>
                <w:b/>
                <w:bCs/>
                <w:szCs w:val="18"/>
                <w:lang w:eastAsia="en-AU"/>
              </w:rPr>
            </w:pPr>
            <w:r w:rsidRPr="009B463B">
              <w:rPr>
                <w:rFonts w:ascii="Meta Pro" w:eastAsia="Times New Roman" w:hAnsi="Meta Pro"/>
                <w:b/>
                <w:bCs/>
                <w:szCs w:val="18"/>
                <w:lang w:eastAsia="en-AU"/>
              </w:rPr>
              <w:t>Appropriation revenue recognised in Statement of comprehensive income</w:t>
            </w:r>
          </w:p>
        </w:tc>
        <w:tc>
          <w:tcPr>
            <w:tcW w:w="1156" w:type="dxa"/>
            <w:tcBorders>
              <w:top w:val="nil"/>
              <w:left w:val="nil"/>
              <w:bottom w:val="double" w:sz="6" w:space="0" w:color="auto"/>
              <w:right w:val="nil"/>
            </w:tcBorders>
            <w:shd w:val="clear" w:color="000000" w:fill="C9E3B4"/>
            <w:noWrap/>
            <w:vAlign w:val="center"/>
            <w:hideMark/>
          </w:tcPr>
          <w:p w14:paraId="06B506F7" w14:textId="77777777" w:rsidR="00BC5219" w:rsidRPr="009B463B" w:rsidRDefault="00BC5219" w:rsidP="00E83802">
            <w:pPr>
              <w:jc w:val="right"/>
              <w:rPr>
                <w:rFonts w:ascii="Meta Pro" w:eastAsia="Times New Roman" w:hAnsi="Meta Pro"/>
                <w:b/>
                <w:bCs/>
                <w:szCs w:val="18"/>
                <w:lang w:eastAsia="en-AU"/>
              </w:rPr>
            </w:pPr>
            <w:r w:rsidRPr="009B463B">
              <w:rPr>
                <w:rFonts w:ascii="Meta Pro" w:eastAsia="Times New Roman" w:hAnsi="Meta Pro"/>
                <w:b/>
                <w:bCs/>
                <w:szCs w:val="18"/>
                <w:lang w:eastAsia="en-AU"/>
              </w:rPr>
              <w:t xml:space="preserve">6,371,614 </w:t>
            </w:r>
          </w:p>
        </w:tc>
        <w:tc>
          <w:tcPr>
            <w:tcW w:w="216" w:type="dxa"/>
            <w:tcBorders>
              <w:top w:val="single" w:sz="4" w:space="0" w:color="auto"/>
              <w:left w:val="nil"/>
              <w:bottom w:val="double" w:sz="6" w:space="0" w:color="auto"/>
              <w:right w:val="nil"/>
            </w:tcBorders>
            <w:shd w:val="clear" w:color="auto" w:fill="auto"/>
            <w:noWrap/>
            <w:vAlign w:val="center"/>
            <w:hideMark/>
          </w:tcPr>
          <w:p w14:paraId="69D8EF78" w14:textId="77777777" w:rsidR="00BC5219" w:rsidRPr="009B463B" w:rsidRDefault="00BC5219" w:rsidP="00E83802">
            <w:pPr>
              <w:jc w:val="right"/>
              <w:rPr>
                <w:rFonts w:ascii="Meta Pro" w:eastAsia="Times New Roman" w:hAnsi="Meta Pro"/>
                <w:b/>
                <w:bCs/>
                <w:szCs w:val="18"/>
                <w:lang w:eastAsia="en-AU"/>
              </w:rPr>
            </w:pPr>
            <w:r w:rsidRPr="009B463B">
              <w:rPr>
                <w:rFonts w:ascii="Meta Pro" w:eastAsia="Times New Roman" w:hAnsi="Meta Pro"/>
                <w:b/>
                <w:bCs/>
                <w:szCs w:val="18"/>
                <w:lang w:eastAsia="en-AU"/>
              </w:rPr>
              <w:t> </w:t>
            </w:r>
          </w:p>
        </w:tc>
        <w:tc>
          <w:tcPr>
            <w:tcW w:w="1156" w:type="dxa"/>
            <w:tcBorders>
              <w:top w:val="nil"/>
              <w:left w:val="nil"/>
              <w:bottom w:val="double" w:sz="6" w:space="0" w:color="auto"/>
              <w:right w:val="nil"/>
            </w:tcBorders>
            <w:shd w:val="clear" w:color="auto" w:fill="auto"/>
            <w:noWrap/>
            <w:vAlign w:val="center"/>
            <w:hideMark/>
          </w:tcPr>
          <w:p w14:paraId="4267C235" w14:textId="77777777" w:rsidR="00BC5219" w:rsidRPr="009B463B" w:rsidRDefault="00BC5219" w:rsidP="00E83802">
            <w:pPr>
              <w:jc w:val="right"/>
              <w:rPr>
                <w:rFonts w:ascii="Meta Pro" w:eastAsia="Times New Roman" w:hAnsi="Meta Pro"/>
                <w:b/>
                <w:bCs/>
                <w:szCs w:val="18"/>
                <w:lang w:eastAsia="en-AU"/>
              </w:rPr>
            </w:pPr>
            <w:r w:rsidRPr="009B463B">
              <w:rPr>
                <w:rFonts w:ascii="Meta Pro" w:eastAsia="Times New Roman" w:hAnsi="Meta Pro"/>
                <w:b/>
                <w:bCs/>
                <w:szCs w:val="18"/>
                <w:lang w:eastAsia="en-AU"/>
              </w:rPr>
              <w:t xml:space="preserve">5,927,541 </w:t>
            </w:r>
          </w:p>
        </w:tc>
      </w:tr>
    </w:tbl>
    <w:p w14:paraId="0501096B" w14:textId="77777777" w:rsidR="00BC5219" w:rsidRDefault="00BC5219" w:rsidP="00BC5219">
      <w:pPr>
        <w:spacing w:before="60"/>
        <w:rPr>
          <w:rFonts w:asciiTheme="minorHAnsi" w:hAnsiTheme="minorHAnsi" w:cstheme="minorBidi"/>
        </w:rPr>
      </w:pPr>
    </w:p>
    <w:tbl>
      <w:tblPr>
        <w:tblW w:w="0" w:type="auto"/>
        <w:tblCellMar>
          <w:left w:w="0" w:type="dxa"/>
        </w:tblCellMar>
        <w:tblLook w:val="04A0" w:firstRow="1" w:lastRow="0" w:firstColumn="1" w:lastColumn="0" w:noHBand="0" w:noVBand="1"/>
      </w:tblPr>
      <w:tblGrid>
        <w:gridCol w:w="7322"/>
        <w:gridCol w:w="1164"/>
        <w:gridCol w:w="224"/>
        <w:gridCol w:w="1164"/>
      </w:tblGrid>
      <w:tr w:rsidR="00BC5219" w:rsidRPr="00165BA4" w14:paraId="24FB9D23" w14:textId="77777777" w:rsidTr="00E83802">
        <w:trPr>
          <w:trHeight w:val="240"/>
        </w:trPr>
        <w:tc>
          <w:tcPr>
            <w:tcW w:w="7314" w:type="dxa"/>
            <w:tcBorders>
              <w:top w:val="nil"/>
              <w:left w:val="nil"/>
              <w:bottom w:val="nil"/>
              <w:right w:val="nil"/>
            </w:tcBorders>
            <w:shd w:val="clear" w:color="auto" w:fill="auto"/>
            <w:noWrap/>
            <w:vAlign w:val="center"/>
            <w:hideMark/>
          </w:tcPr>
          <w:p w14:paraId="13D30386" w14:textId="77777777" w:rsidR="00BC5219" w:rsidRPr="00165BA4" w:rsidRDefault="00BC5219" w:rsidP="00E83802">
            <w:pPr>
              <w:rPr>
                <w:rFonts w:ascii="Meta Pro" w:eastAsia="Times New Roman" w:hAnsi="Meta Pro"/>
                <w:b/>
                <w:bCs/>
                <w:szCs w:val="18"/>
                <w:lang w:eastAsia="en-AU"/>
              </w:rPr>
            </w:pPr>
            <w:r w:rsidRPr="00165BA4">
              <w:rPr>
                <w:rFonts w:ascii="Meta Pro" w:eastAsia="Times New Roman" w:hAnsi="Meta Pro"/>
                <w:b/>
                <w:bCs/>
                <w:szCs w:val="18"/>
                <w:lang w:eastAsia="en-AU"/>
              </w:rPr>
              <w:t>Reconciliation of payments from Consolidated Fund to equity adjustment</w:t>
            </w:r>
          </w:p>
        </w:tc>
        <w:tc>
          <w:tcPr>
            <w:tcW w:w="1156" w:type="dxa"/>
            <w:tcBorders>
              <w:top w:val="nil"/>
              <w:left w:val="nil"/>
              <w:bottom w:val="nil"/>
              <w:right w:val="nil"/>
            </w:tcBorders>
            <w:shd w:val="clear" w:color="auto" w:fill="auto"/>
            <w:noWrap/>
            <w:vAlign w:val="center"/>
            <w:hideMark/>
          </w:tcPr>
          <w:p w14:paraId="213AE141" w14:textId="77777777" w:rsidR="00BC5219" w:rsidRPr="00165BA4" w:rsidRDefault="00BC5219" w:rsidP="00E83802">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6AE04F94" w14:textId="77777777" w:rsidR="00BC5219" w:rsidRPr="00165BA4"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3A59E038" w14:textId="77777777" w:rsidR="00BC5219" w:rsidRPr="00165BA4" w:rsidRDefault="00BC5219" w:rsidP="00E83802">
            <w:pPr>
              <w:jc w:val="right"/>
              <w:rPr>
                <w:rFonts w:ascii="Times New Roman" w:eastAsia="Times New Roman" w:hAnsi="Times New Roman" w:cs="Times New Roman"/>
                <w:sz w:val="20"/>
                <w:szCs w:val="20"/>
                <w:lang w:eastAsia="en-AU"/>
              </w:rPr>
            </w:pPr>
          </w:p>
        </w:tc>
      </w:tr>
      <w:tr w:rsidR="00BC5219" w:rsidRPr="00165BA4" w14:paraId="5FD241D3" w14:textId="77777777" w:rsidTr="00E83802">
        <w:trPr>
          <w:trHeight w:val="240"/>
        </w:trPr>
        <w:tc>
          <w:tcPr>
            <w:tcW w:w="7314" w:type="dxa"/>
            <w:tcBorders>
              <w:top w:val="nil"/>
              <w:left w:val="nil"/>
              <w:bottom w:val="nil"/>
              <w:right w:val="nil"/>
            </w:tcBorders>
            <w:shd w:val="clear" w:color="auto" w:fill="auto"/>
            <w:noWrap/>
            <w:vAlign w:val="center"/>
            <w:hideMark/>
          </w:tcPr>
          <w:p w14:paraId="63C8048E" w14:textId="77777777" w:rsidR="00BC5219" w:rsidRPr="00165BA4" w:rsidRDefault="00BC5219" w:rsidP="00E83802">
            <w:pPr>
              <w:rPr>
                <w:rFonts w:ascii="Meta Pro" w:eastAsia="Times New Roman" w:hAnsi="Meta Pro"/>
                <w:b/>
                <w:bCs/>
                <w:szCs w:val="18"/>
                <w:lang w:eastAsia="en-AU"/>
              </w:rPr>
            </w:pPr>
            <w:r w:rsidRPr="00165BA4">
              <w:rPr>
                <w:rFonts w:ascii="Meta Pro" w:eastAsia="Times New Roman" w:hAnsi="Meta Pro"/>
                <w:b/>
                <w:bCs/>
                <w:szCs w:val="18"/>
                <w:lang w:eastAsia="en-AU"/>
              </w:rPr>
              <w:t>recognised in contributed equity</w:t>
            </w:r>
          </w:p>
        </w:tc>
        <w:tc>
          <w:tcPr>
            <w:tcW w:w="1156" w:type="dxa"/>
            <w:tcBorders>
              <w:top w:val="nil"/>
              <w:left w:val="nil"/>
              <w:bottom w:val="nil"/>
              <w:right w:val="nil"/>
            </w:tcBorders>
            <w:shd w:val="clear" w:color="auto" w:fill="auto"/>
            <w:noWrap/>
            <w:vAlign w:val="center"/>
            <w:hideMark/>
          </w:tcPr>
          <w:p w14:paraId="0B63A84F" w14:textId="77777777" w:rsidR="00BC5219" w:rsidRPr="00165BA4" w:rsidRDefault="00BC5219" w:rsidP="00E83802">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093CA7AF" w14:textId="77777777" w:rsidR="00BC5219" w:rsidRPr="00165BA4"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76F994E6" w14:textId="77777777" w:rsidR="00BC5219" w:rsidRPr="00165BA4" w:rsidRDefault="00BC5219" w:rsidP="00E83802">
            <w:pPr>
              <w:jc w:val="right"/>
              <w:rPr>
                <w:rFonts w:ascii="Times New Roman" w:eastAsia="Times New Roman" w:hAnsi="Times New Roman" w:cs="Times New Roman"/>
                <w:sz w:val="20"/>
                <w:szCs w:val="20"/>
                <w:lang w:eastAsia="en-AU"/>
              </w:rPr>
            </w:pPr>
          </w:p>
        </w:tc>
      </w:tr>
      <w:tr w:rsidR="00BC5219" w:rsidRPr="00165BA4" w14:paraId="3F16EB07" w14:textId="77777777" w:rsidTr="00E83802">
        <w:trPr>
          <w:trHeight w:val="240"/>
        </w:trPr>
        <w:tc>
          <w:tcPr>
            <w:tcW w:w="7314" w:type="dxa"/>
            <w:tcBorders>
              <w:top w:val="nil"/>
              <w:left w:val="nil"/>
              <w:bottom w:val="nil"/>
              <w:right w:val="nil"/>
            </w:tcBorders>
            <w:shd w:val="clear" w:color="auto" w:fill="auto"/>
            <w:noWrap/>
            <w:vAlign w:val="center"/>
            <w:hideMark/>
          </w:tcPr>
          <w:p w14:paraId="203428AD" w14:textId="77777777" w:rsidR="00BC5219" w:rsidRPr="00165BA4" w:rsidRDefault="00BC5219" w:rsidP="00E83802">
            <w:pPr>
              <w:rPr>
                <w:rFonts w:ascii="Meta Pro" w:eastAsia="Times New Roman" w:hAnsi="Meta Pro"/>
                <w:szCs w:val="18"/>
                <w:lang w:eastAsia="en-AU"/>
              </w:rPr>
            </w:pPr>
            <w:r w:rsidRPr="00165BA4">
              <w:rPr>
                <w:rFonts w:ascii="Meta Pro" w:eastAsia="Times New Roman" w:hAnsi="Meta Pro"/>
                <w:szCs w:val="18"/>
                <w:lang w:eastAsia="en-AU"/>
              </w:rPr>
              <w:t>Original budgeted equity adjustment appropriation</w:t>
            </w:r>
          </w:p>
        </w:tc>
        <w:tc>
          <w:tcPr>
            <w:tcW w:w="1156" w:type="dxa"/>
            <w:tcBorders>
              <w:top w:val="nil"/>
              <w:left w:val="nil"/>
              <w:bottom w:val="nil"/>
              <w:right w:val="nil"/>
            </w:tcBorders>
            <w:shd w:val="clear" w:color="000000" w:fill="C9E3B4"/>
            <w:noWrap/>
            <w:vAlign w:val="center"/>
            <w:hideMark/>
          </w:tcPr>
          <w:p w14:paraId="0C093357" w14:textId="77777777" w:rsidR="00BC5219" w:rsidRPr="00165BA4" w:rsidRDefault="00BC5219" w:rsidP="00E83802">
            <w:pPr>
              <w:jc w:val="right"/>
              <w:rPr>
                <w:rFonts w:ascii="Meta Pro" w:eastAsia="Times New Roman" w:hAnsi="Meta Pro"/>
                <w:szCs w:val="18"/>
                <w:lang w:eastAsia="en-AU"/>
              </w:rPr>
            </w:pPr>
            <w:r w:rsidRPr="00165BA4">
              <w:rPr>
                <w:rFonts w:ascii="Meta Pro" w:eastAsia="Times New Roman" w:hAnsi="Meta Pro"/>
                <w:szCs w:val="18"/>
                <w:lang w:eastAsia="en-AU"/>
              </w:rPr>
              <w:t xml:space="preserve">3,081,243 </w:t>
            </w:r>
          </w:p>
        </w:tc>
        <w:tc>
          <w:tcPr>
            <w:tcW w:w="216" w:type="dxa"/>
            <w:tcBorders>
              <w:top w:val="nil"/>
              <w:left w:val="nil"/>
              <w:bottom w:val="nil"/>
              <w:right w:val="nil"/>
            </w:tcBorders>
            <w:shd w:val="clear" w:color="auto" w:fill="auto"/>
            <w:noWrap/>
            <w:vAlign w:val="center"/>
            <w:hideMark/>
          </w:tcPr>
          <w:p w14:paraId="580356D0" w14:textId="77777777" w:rsidR="00BC5219" w:rsidRPr="00165BA4"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13264AF9" w14:textId="77777777" w:rsidR="00BC5219" w:rsidRPr="00165BA4" w:rsidRDefault="00BC5219" w:rsidP="00E83802">
            <w:pPr>
              <w:jc w:val="right"/>
              <w:rPr>
                <w:rFonts w:ascii="Meta Pro" w:eastAsia="Times New Roman" w:hAnsi="Meta Pro"/>
                <w:szCs w:val="18"/>
                <w:lang w:eastAsia="en-AU"/>
              </w:rPr>
            </w:pPr>
            <w:r w:rsidRPr="00165BA4">
              <w:rPr>
                <w:rFonts w:ascii="Meta Pro" w:eastAsia="Times New Roman" w:hAnsi="Meta Pro"/>
                <w:szCs w:val="18"/>
                <w:lang w:eastAsia="en-AU"/>
              </w:rPr>
              <w:t xml:space="preserve">2,419,324 </w:t>
            </w:r>
          </w:p>
        </w:tc>
      </w:tr>
      <w:tr w:rsidR="00BC5219" w:rsidRPr="00165BA4" w14:paraId="374C86CC" w14:textId="77777777" w:rsidTr="00E83802">
        <w:trPr>
          <w:trHeight w:val="240"/>
        </w:trPr>
        <w:tc>
          <w:tcPr>
            <w:tcW w:w="7314" w:type="dxa"/>
            <w:tcBorders>
              <w:top w:val="nil"/>
              <w:left w:val="nil"/>
              <w:bottom w:val="nil"/>
              <w:right w:val="nil"/>
            </w:tcBorders>
            <w:shd w:val="clear" w:color="auto" w:fill="auto"/>
            <w:noWrap/>
            <w:vAlign w:val="center"/>
            <w:hideMark/>
          </w:tcPr>
          <w:p w14:paraId="6D434AB3" w14:textId="77777777" w:rsidR="00BC5219" w:rsidRPr="00165BA4" w:rsidRDefault="00BC5219" w:rsidP="00E83802">
            <w:pPr>
              <w:rPr>
                <w:rFonts w:ascii="Meta Pro" w:eastAsia="Times New Roman" w:hAnsi="Meta Pro"/>
                <w:szCs w:val="18"/>
                <w:lang w:eastAsia="en-AU"/>
              </w:rPr>
            </w:pPr>
            <w:r w:rsidRPr="00165BA4">
              <w:rPr>
                <w:rFonts w:ascii="Meta Pro" w:eastAsia="Times New Roman" w:hAnsi="Meta Pro"/>
                <w:szCs w:val="18"/>
                <w:lang w:eastAsia="en-AU"/>
              </w:rPr>
              <w:t>Transfers from other headings</w:t>
            </w:r>
          </w:p>
        </w:tc>
        <w:tc>
          <w:tcPr>
            <w:tcW w:w="1156" w:type="dxa"/>
            <w:tcBorders>
              <w:top w:val="nil"/>
              <w:left w:val="nil"/>
              <w:bottom w:val="nil"/>
              <w:right w:val="nil"/>
            </w:tcBorders>
            <w:shd w:val="clear" w:color="000000" w:fill="C9E3B4"/>
            <w:noWrap/>
            <w:vAlign w:val="center"/>
            <w:hideMark/>
          </w:tcPr>
          <w:p w14:paraId="4995A917" w14:textId="77777777" w:rsidR="00BC5219" w:rsidRPr="00165BA4" w:rsidRDefault="00BC5219" w:rsidP="00E83802">
            <w:pPr>
              <w:jc w:val="right"/>
              <w:rPr>
                <w:rFonts w:ascii="Meta Pro" w:eastAsia="Times New Roman" w:hAnsi="Meta Pro"/>
                <w:szCs w:val="18"/>
                <w:lang w:eastAsia="en-AU"/>
              </w:rPr>
            </w:pPr>
            <w:r w:rsidRPr="00165BA4">
              <w:rPr>
                <w:rFonts w:ascii="Meta Pro" w:eastAsia="Times New Roman" w:hAnsi="Meta Pro"/>
                <w:szCs w:val="18"/>
                <w:lang w:eastAsia="en-AU"/>
              </w:rPr>
              <w:t xml:space="preserve">212,731 </w:t>
            </w:r>
          </w:p>
        </w:tc>
        <w:tc>
          <w:tcPr>
            <w:tcW w:w="216" w:type="dxa"/>
            <w:tcBorders>
              <w:top w:val="nil"/>
              <w:left w:val="nil"/>
              <w:bottom w:val="nil"/>
              <w:right w:val="nil"/>
            </w:tcBorders>
            <w:shd w:val="clear" w:color="auto" w:fill="auto"/>
            <w:noWrap/>
            <w:vAlign w:val="center"/>
            <w:hideMark/>
          </w:tcPr>
          <w:p w14:paraId="0D84BF22" w14:textId="77777777" w:rsidR="00BC5219" w:rsidRPr="00165BA4"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38A544C8" w14:textId="77777777" w:rsidR="00BC5219" w:rsidRPr="00165BA4" w:rsidRDefault="00BC5219" w:rsidP="00E83802">
            <w:pPr>
              <w:jc w:val="right"/>
              <w:rPr>
                <w:rFonts w:ascii="Meta Pro" w:eastAsia="Times New Roman" w:hAnsi="Meta Pro"/>
                <w:szCs w:val="18"/>
                <w:lang w:eastAsia="en-AU"/>
              </w:rPr>
            </w:pPr>
            <w:r w:rsidRPr="00165BA4">
              <w:rPr>
                <w:rFonts w:ascii="Meta Pro" w:eastAsia="Times New Roman" w:hAnsi="Meta Pro"/>
                <w:szCs w:val="18"/>
                <w:lang w:eastAsia="en-AU"/>
              </w:rPr>
              <w:t xml:space="preserve">91,639 </w:t>
            </w:r>
          </w:p>
        </w:tc>
      </w:tr>
      <w:tr w:rsidR="00BC5219" w:rsidRPr="00165BA4" w14:paraId="0CE4C835" w14:textId="77777777" w:rsidTr="00E83802">
        <w:trPr>
          <w:trHeight w:val="240"/>
        </w:trPr>
        <w:tc>
          <w:tcPr>
            <w:tcW w:w="7314" w:type="dxa"/>
            <w:tcBorders>
              <w:top w:val="nil"/>
              <w:left w:val="nil"/>
              <w:bottom w:val="nil"/>
              <w:right w:val="nil"/>
            </w:tcBorders>
            <w:shd w:val="clear" w:color="auto" w:fill="auto"/>
            <w:noWrap/>
            <w:vAlign w:val="center"/>
            <w:hideMark/>
          </w:tcPr>
          <w:p w14:paraId="0DDC074B" w14:textId="77777777" w:rsidR="00BC5219" w:rsidRPr="00165BA4" w:rsidRDefault="00BC5219" w:rsidP="00E83802">
            <w:pPr>
              <w:rPr>
                <w:rFonts w:ascii="Meta Pro" w:eastAsia="Times New Roman" w:hAnsi="Meta Pro"/>
                <w:szCs w:val="18"/>
                <w:lang w:eastAsia="en-AU"/>
              </w:rPr>
            </w:pPr>
            <w:r w:rsidRPr="00165BA4">
              <w:rPr>
                <w:rFonts w:ascii="Meta Pro" w:eastAsia="Times New Roman" w:hAnsi="Meta Pro"/>
                <w:szCs w:val="18"/>
                <w:lang w:eastAsia="en-AU"/>
              </w:rPr>
              <w:t>Unforeseen expenditure **</w:t>
            </w:r>
          </w:p>
        </w:tc>
        <w:tc>
          <w:tcPr>
            <w:tcW w:w="1156" w:type="dxa"/>
            <w:tcBorders>
              <w:top w:val="nil"/>
              <w:left w:val="nil"/>
              <w:bottom w:val="nil"/>
              <w:right w:val="nil"/>
            </w:tcBorders>
            <w:shd w:val="clear" w:color="000000" w:fill="C9E3B4"/>
            <w:noWrap/>
            <w:vAlign w:val="center"/>
            <w:hideMark/>
          </w:tcPr>
          <w:p w14:paraId="4D109127" w14:textId="77777777" w:rsidR="00BC5219" w:rsidRPr="00165BA4" w:rsidRDefault="00BC5219" w:rsidP="00E83802">
            <w:pPr>
              <w:jc w:val="right"/>
              <w:rPr>
                <w:rFonts w:ascii="Meta Pro" w:eastAsia="Times New Roman" w:hAnsi="Meta Pro"/>
                <w:szCs w:val="18"/>
                <w:lang w:eastAsia="en-AU"/>
              </w:rPr>
            </w:pPr>
            <w:r w:rsidRPr="00165BA4">
              <w:rPr>
                <w:rFonts w:ascii="Meta Pro" w:eastAsia="Times New Roman" w:hAnsi="Meta Pro"/>
                <w:szCs w:val="18"/>
                <w:lang w:eastAsia="en-AU"/>
              </w:rPr>
              <w:t xml:space="preserve">566,551 </w:t>
            </w:r>
          </w:p>
        </w:tc>
        <w:tc>
          <w:tcPr>
            <w:tcW w:w="216" w:type="dxa"/>
            <w:tcBorders>
              <w:top w:val="nil"/>
              <w:left w:val="nil"/>
              <w:bottom w:val="nil"/>
              <w:right w:val="nil"/>
            </w:tcBorders>
            <w:shd w:val="clear" w:color="auto" w:fill="auto"/>
            <w:noWrap/>
            <w:vAlign w:val="center"/>
            <w:hideMark/>
          </w:tcPr>
          <w:p w14:paraId="0F9D54E5" w14:textId="77777777" w:rsidR="00BC5219" w:rsidRPr="00165BA4"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21CE92DC" w14:textId="77777777" w:rsidR="00BC5219" w:rsidRPr="00165BA4" w:rsidRDefault="00BC5219" w:rsidP="00E83802">
            <w:pPr>
              <w:jc w:val="right"/>
              <w:rPr>
                <w:rFonts w:ascii="Meta Pro" w:eastAsia="Times New Roman" w:hAnsi="Meta Pro"/>
                <w:szCs w:val="18"/>
                <w:lang w:eastAsia="en-AU"/>
              </w:rPr>
            </w:pPr>
            <w:r w:rsidRPr="00165BA4">
              <w:rPr>
                <w:rFonts w:ascii="Meta Pro" w:eastAsia="Times New Roman" w:hAnsi="Meta Pro"/>
                <w:szCs w:val="18"/>
                <w:lang w:eastAsia="en-AU"/>
              </w:rPr>
              <w:t xml:space="preserve">330,326 </w:t>
            </w:r>
          </w:p>
        </w:tc>
      </w:tr>
      <w:tr w:rsidR="00BC5219" w:rsidRPr="00165BA4" w14:paraId="6FE665F3" w14:textId="77777777" w:rsidTr="00E83802">
        <w:trPr>
          <w:trHeight w:val="240"/>
        </w:trPr>
        <w:tc>
          <w:tcPr>
            <w:tcW w:w="7314" w:type="dxa"/>
            <w:tcBorders>
              <w:top w:val="single" w:sz="4" w:space="0" w:color="auto"/>
              <w:left w:val="nil"/>
              <w:bottom w:val="nil"/>
              <w:right w:val="nil"/>
            </w:tcBorders>
            <w:shd w:val="clear" w:color="auto" w:fill="auto"/>
            <w:noWrap/>
            <w:vAlign w:val="center"/>
            <w:hideMark/>
          </w:tcPr>
          <w:p w14:paraId="3FE15B44" w14:textId="77777777" w:rsidR="00BC5219" w:rsidRPr="00165BA4" w:rsidRDefault="00BC5219" w:rsidP="00E83802">
            <w:pPr>
              <w:rPr>
                <w:rFonts w:ascii="Meta Pro" w:eastAsia="Times New Roman" w:hAnsi="Meta Pro"/>
                <w:szCs w:val="18"/>
                <w:lang w:eastAsia="en-AU"/>
              </w:rPr>
            </w:pPr>
            <w:r w:rsidRPr="00165BA4">
              <w:rPr>
                <w:rFonts w:ascii="Meta Pro" w:eastAsia="Times New Roman" w:hAnsi="Meta Pro"/>
                <w:szCs w:val="18"/>
                <w:lang w:eastAsia="en-AU"/>
              </w:rPr>
              <w:t xml:space="preserve">Equity adjustment receipts </w:t>
            </w:r>
          </w:p>
        </w:tc>
        <w:tc>
          <w:tcPr>
            <w:tcW w:w="1156" w:type="dxa"/>
            <w:tcBorders>
              <w:top w:val="single" w:sz="4" w:space="0" w:color="auto"/>
              <w:left w:val="nil"/>
              <w:bottom w:val="nil"/>
              <w:right w:val="nil"/>
            </w:tcBorders>
            <w:shd w:val="clear" w:color="000000" w:fill="C9E3B4"/>
            <w:noWrap/>
            <w:vAlign w:val="center"/>
            <w:hideMark/>
          </w:tcPr>
          <w:p w14:paraId="43771A84" w14:textId="77777777" w:rsidR="00BC5219" w:rsidRPr="00165BA4" w:rsidRDefault="00BC5219" w:rsidP="00E83802">
            <w:pPr>
              <w:jc w:val="right"/>
              <w:rPr>
                <w:rFonts w:ascii="Meta Pro" w:eastAsia="Times New Roman" w:hAnsi="Meta Pro"/>
                <w:szCs w:val="18"/>
                <w:lang w:eastAsia="en-AU"/>
              </w:rPr>
            </w:pPr>
            <w:r w:rsidRPr="00165BA4">
              <w:rPr>
                <w:rFonts w:ascii="Meta Pro" w:eastAsia="Times New Roman" w:hAnsi="Meta Pro"/>
                <w:szCs w:val="18"/>
                <w:lang w:eastAsia="en-AU"/>
              </w:rPr>
              <w:t xml:space="preserve">3,860,525 </w:t>
            </w:r>
          </w:p>
        </w:tc>
        <w:tc>
          <w:tcPr>
            <w:tcW w:w="216" w:type="dxa"/>
            <w:tcBorders>
              <w:top w:val="single" w:sz="4" w:space="0" w:color="auto"/>
              <w:left w:val="nil"/>
              <w:bottom w:val="nil"/>
              <w:right w:val="nil"/>
            </w:tcBorders>
            <w:shd w:val="clear" w:color="auto" w:fill="auto"/>
            <w:noWrap/>
            <w:vAlign w:val="center"/>
            <w:hideMark/>
          </w:tcPr>
          <w:p w14:paraId="4B41197D" w14:textId="77777777" w:rsidR="00BC5219" w:rsidRPr="00165BA4" w:rsidRDefault="00BC5219" w:rsidP="00E83802">
            <w:pPr>
              <w:jc w:val="right"/>
              <w:rPr>
                <w:rFonts w:ascii="Meta Pro" w:eastAsia="Times New Roman" w:hAnsi="Meta Pro"/>
                <w:szCs w:val="18"/>
                <w:lang w:eastAsia="en-AU"/>
              </w:rPr>
            </w:pPr>
            <w:r w:rsidRPr="00165BA4">
              <w:rPr>
                <w:rFonts w:ascii="Meta Pro" w:eastAsia="Times New Roman" w:hAnsi="Meta Pro"/>
                <w:szCs w:val="18"/>
                <w:lang w:eastAsia="en-AU"/>
              </w:rPr>
              <w:t> </w:t>
            </w:r>
          </w:p>
        </w:tc>
        <w:tc>
          <w:tcPr>
            <w:tcW w:w="1156" w:type="dxa"/>
            <w:tcBorders>
              <w:top w:val="single" w:sz="4" w:space="0" w:color="auto"/>
              <w:left w:val="nil"/>
              <w:bottom w:val="nil"/>
              <w:right w:val="nil"/>
            </w:tcBorders>
            <w:shd w:val="clear" w:color="auto" w:fill="auto"/>
            <w:noWrap/>
            <w:vAlign w:val="center"/>
            <w:hideMark/>
          </w:tcPr>
          <w:p w14:paraId="1B7B9A97" w14:textId="77777777" w:rsidR="00BC5219" w:rsidRPr="00165BA4" w:rsidRDefault="00BC5219" w:rsidP="00E83802">
            <w:pPr>
              <w:jc w:val="right"/>
              <w:rPr>
                <w:rFonts w:ascii="Meta Pro" w:eastAsia="Times New Roman" w:hAnsi="Meta Pro"/>
                <w:szCs w:val="18"/>
                <w:lang w:eastAsia="en-AU"/>
              </w:rPr>
            </w:pPr>
            <w:r w:rsidRPr="00165BA4">
              <w:rPr>
                <w:rFonts w:ascii="Meta Pro" w:eastAsia="Times New Roman" w:hAnsi="Meta Pro"/>
                <w:szCs w:val="18"/>
                <w:lang w:eastAsia="en-AU"/>
              </w:rPr>
              <w:t xml:space="preserve">2,841,289 </w:t>
            </w:r>
          </w:p>
        </w:tc>
      </w:tr>
      <w:tr w:rsidR="00BC5219" w:rsidRPr="00165BA4" w14:paraId="3AD0321B" w14:textId="77777777" w:rsidTr="00E83802">
        <w:trPr>
          <w:trHeight w:val="240"/>
        </w:trPr>
        <w:tc>
          <w:tcPr>
            <w:tcW w:w="7314" w:type="dxa"/>
            <w:tcBorders>
              <w:top w:val="nil"/>
              <w:left w:val="nil"/>
              <w:bottom w:val="nil"/>
              <w:right w:val="nil"/>
            </w:tcBorders>
            <w:shd w:val="clear" w:color="auto" w:fill="auto"/>
            <w:noWrap/>
            <w:vAlign w:val="center"/>
            <w:hideMark/>
          </w:tcPr>
          <w:p w14:paraId="74E205F9" w14:textId="77777777" w:rsidR="00BC5219" w:rsidRPr="00165BA4" w:rsidRDefault="00BC5219" w:rsidP="00E83802">
            <w:pPr>
              <w:rPr>
                <w:rFonts w:ascii="Meta Pro" w:eastAsia="Times New Roman" w:hAnsi="Meta Pro"/>
                <w:szCs w:val="18"/>
                <w:lang w:eastAsia="en-AU"/>
              </w:rPr>
            </w:pPr>
            <w:r w:rsidRPr="00165BA4">
              <w:rPr>
                <w:rFonts w:ascii="Meta Pro" w:eastAsia="Times New Roman" w:hAnsi="Meta Pro"/>
                <w:szCs w:val="18"/>
                <w:lang w:eastAsia="en-AU"/>
              </w:rPr>
              <w:t>Plus: Closing balance of equity adjustment receivable</w:t>
            </w:r>
          </w:p>
        </w:tc>
        <w:tc>
          <w:tcPr>
            <w:tcW w:w="1156" w:type="dxa"/>
            <w:tcBorders>
              <w:top w:val="nil"/>
              <w:left w:val="nil"/>
              <w:bottom w:val="nil"/>
              <w:right w:val="nil"/>
            </w:tcBorders>
            <w:shd w:val="clear" w:color="000000" w:fill="C9E3B4"/>
            <w:noWrap/>
            <w:vAlign w:val="center"/>
            <w:hideMark/>
          </w:tcPr>
          <w:p w14:paraId="1E0C1479" w14:textId="77777777" w:rsidR="00BC5219" w:rsidRPr="00165BA4" w:rsidRDefault="00BC5219" w:rsidP="00E83802">
            <w:pPr>
              <w:jc w:val="right"/>
              <w:rPr>
                <w:rFonts w:ascii="Meta Pro" w:eastAsia="Times New Roman" w:hAnsi="Meta Pro"/>
                <w:szCs w:val="18"/>
                <w:lang w:eastAsia="en-AU"/>
              </w:rPr>
            </w:pPr>
            <w:r w:rsidRPr="00165BA4">
              <w:rPr>
                <w:rFonts w:ascii="Meta Pro" w:eastAsia="Times New Roman" w:hAnsi="Meta Pro"/>
                <w:szCs w:val="18"/>
                <w:lang w:eastAsia="en-AU"/>
              </w:rPr>
              <w:t xml:space="preserve">2,032 </w:t>
            </w:r>
          </w:p>
        </w:tc>
        <w:tc>
          <w:tcPr>
            <w:tcW w:w="216" w:type="dxa"/>
            <w:tcBorders>
              <w:top w:val="nil"/>
              <w:left w:val="nil"/>
              <w:bottom w:val="nil"/>
              <w:right w:val="nil"/>
            </w:tcBorders>
            <w:shd w:val="clear" w:color="auto" w:fill="auto"/>
            <w:noWrap/>
            <w:vAlign w:val="center"/>
            <w:hideMark/>
          </w:tcPr>
          <w:p w14:paraId="507A38E7" w14:textId="77777777" w:rsidR="00BC5219" w:rsidRPr="00165BA4"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7BE5D2AD" w14:textId="77777777" w:rsidR="00BC5219" w:rsidRPr="00165BA4" w:rsidRDefault="00BC5219" w:rsidP="00E83802">
            <w:pPr>
              <w:jc w:val="right"/>
              <w:rPr>
                <w:rFonts w:ascii="Meta Pro" w:eastAsia="Times New Roman" w:hAnsi="Meta Pro"/>
                <w:szCs w:val="18"/>
                <w:lang w:eastAsia="en-AU"/>
              </w:rPr>
            </w:pPr>
            <w:r w:rsidRPr="00165BA4">
              <w:rPr>
                <w:rFonts w:ascii="Meta Pro" w:eastAsia="Times New Roman" w:hAnsi="Meta Pro"/>
                <w:szCs w:val="18"/>
                <w:lang w:eastAsia="en-AU"/>
              </w:rPr>
              <w:t xml:space="preserve">- </w:t>
            </w:r>
          </w:p>
        </w:tc>
      </w:tr>
      <w:tr w:rsidR="00BC5219" w:rsidRPr="00165BA4" w14:paraId="4CA60F95" w14:textId="77777777" w:rsidTr="00E83802">
        <w:trPr>
          <w:trHeight w:val="240"/>
        </w:trPr>
        <w:tc>
          <w:tcPr>
            <w:tcW w:w="7314" w:type="dxa"/>
            <w:tcBorders>
              <w:top w:val="nil"/>
              <w:left w:val="nil"/>
              <w:bottom w:val="nil"/>
              <w:right w:val="nil"/>
            </w:tcBorders>
            <w:shd w:val="clear" w:color="auto" w:fill="auto"/>
            <w:noWrap/>
            <w:vAlign w:val="center"/>
            <w:hideMark/>
          </w:tcPr>
          <w:p w14:paraId="601F0801" w14:textId="77777777" w:rsidR="00BC5219" w:rsidRPr="00165BA4" w:rsidRDefault="00BC5219" w:rsidP="00E83802">
            <w:pPr>
              <w:rPr>
                <w:rFonts w:ascii="Meta Pro" w:eastAsia="Times New Roman" w:hAnsi="Meta Pro"/>
                <w:szCs w:val="18"/>
                <w:lang w:eastAsia="en-AU"/>
              </w:rPr>
            </w:pPr>
            <w:r w:rsidRPr="00165BA4">
              <w:rPr>
                <w:rFonts w:ascii="Meta Pro" w:eastAsia="Times New Roman" w:hAnsi="Meta Pro"/>
                <w:szCs w:val="18"/>
                <w:lang w:eastAsia="en-AU"/>
              </w:rPr>
              <w:t>Plus: Transfer of equity adjustment payable due to machinery-of-government change *</w:t>
            </w:r>
          </w:p>
        </w:tc>
        <w:tc>
          <w:tcPr>
            <w:tcW w:w="1156" w:type="dxa"/>
            <w:tcBorders>
              <w:top w:val="nil"/>
              <w:left w:val="nil"/>
              <w:bottom w:val="nil"/>
              <w:right w:val="nil"/>
            </w:tcBorders>
            <w:shd w:val="clear" w:color="000000" w:fill="C9E3B4"/>
            <w:noWrap/>
            <w:vAlign w:val="center"/>
            <w:hideMark/>
          </w:tcPr>
          <w:p w14:paraId="2182F22C" w14:textId="77777777" w:rsidR="00BC5219" w:rsidRPr="00165BA4" w:rsidRDefault="00BC5219" w:rsidP="00E83802">
            <w:pPr>
              <w:jc w:val="right"/>
              <w:rPr>
                <w:rFonts w:ascii="Meta Pro" w:eastAsia="Times New Roman" w:hAnsi="Meta Pro"/>
                <w:szCs w:val="18"/>
                <w:lang w:eastAsia="en-AU"/>
              </w:rPr>
            </w:pPr>
            <w:r w:rsidRPr="00165BA4">
              <w:rPr>
                <w:rFonts w:ascii="Meta Pro" w:eastAsia="Times New Roman" w:hAnsi="Meta Pro"/>
                <w:szCs w:val="18"/>
                <w:lang w:eastAsia="en-AU"/>
              </w:rPr>
              <w:t xml:space="preserve">289 </w:t>
            </w:r>
          </w:p>
        </w:tc>
        <w:tc>
          <w:tcPr>
            <w:tcW w:w="216" w:type="dxa"/>
            <w:tcBorders>
              <w:top w:val="nil"/>
              <w:left w:val="nil"/>
              <w:bottom w:val="nil"/>
              <w:right w:val="nil"/>
            </w:tcBorders>
            <w:shd w:val="clear" w:color="auto" w:fill="auto"/>
            <w:noWrap/>
            <w:vAlign w:val="center"/>
            <w:hideMark/>
          </w:tcPr>
          <w:p w14:paraId="3791335D" w14:textId="77777777" w:rsidR="00BC5219" w:rsidRPr="00165BA4"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586C4529" w14:textId="77777777" w:rsidR="00BC5219" w:rsidRPr="00165BA4" w:rsidRDefault="00BC5219" w:rsidP="00E83802">
            <w:pPr>
              <w:jc w:val="right"/>
              <w:rPr>
                <w:rFonts w:ascii="Meta Pro" w:eastAsia="Times New Roman" w:hAnsi="Meta Pro"/>
                <w:szCs w:val="18"/>
                <w:lang w:eastAsia="en-AU"/>
              </w:rPr>
            </w:pPr>
            <w:r w:rsidRPr="00165BA4">
              <w:rPr>
                <w:rFonts w:ascii="Meta Pro" w:eastAsia="Times New Roman" w:hAnsi="Meta Pro"/>
                <w:szCs w:val="18"/>
                <w:lang w:eastAsia="en-AU"/>
              </w:rPr>
              <w:t xml:space="preserve">- </w:t>
            </w:r>
          </w:p>
        </w:tc>
      </w:tr>
      <w:tr w:rsidR="00BC5219" w:rsidRPr="00165BA4" w14:paraId="23A2103E" w14:textId="77777777" w:rsidTr="00E83802">
        <w:trPr>
          <w:trHeight w:val="240"/>
        </w:trPr>
        <w:tc>
          <w:tcPr>
            <w:tcW w:w="7314" w:type="dxa"/>
            <w:tcBorders>
              <w:top w:val="nil"/>
              <w:left w:val="nil"/>
              <w:bottom w:val="nil"/>
              <w:right w:val="nil"/>
            </w:tcBorders>
            <w:shd w:val="clear" w:color="auto" w:fill="auto"/>
            <w:noWrap/>
            <w:vAlign w:val="center"/>
            <w:hideMark/>
          </w:tcPr>
          <w:p w14:paraId="19B0B13B" w14:textId="77777777" w:rsidR="00BC5219" w:rsidRPr="00165BA4" w:rsidRDefault="00BC5219" w:rsidP="00E83802">
            <w:pPr>
              <w:rPr>
                <w:rFonts w:ascii="Meta Pro" w:eastAsia="Times New Roman" w:hAnsi="Meta Pro"/>
                <w:szCs w:val="18"/>
                <w:lang w:eastAsia="en-AU"/>
              </w:rPr>
            </w:pPr>
            <w:r w:rsidRPr="00165BA4">
              <w:rPr>
                <w:rFonts w:ascii="Meta Pro" w:eastAsia="Times New Roman" w:hAnsi="Meta Pro"/>
                <w:szCs w:val="18"/>
                <w:lang w:eastAsia="en-AU"/>
              </w:rPr>
              <w:t>Less: Closing balance of equity adjustment payable</w:t>
            </w:r>
          </w:p>
        </w:tc>
        <w:tc>
          <w:tcPr>
            <w:tcW w:w="1156" w:type="dxa"/>
            <w:tcBorders>
              <w:top w:val="nil"/>
              <w:left w:val="nil"/>
              <w:bottom w:val="nil"/>
              <w:right w:val="nil"/>
            </w:tcBorders>
            <w:shd w:val="clear" w:color="000000" w:fill="C9E3B4"/>
            <w:noWrap/>
            <w:vAlign w:val="center"/>
            <w:hideMark/>
          </w:tcPr>
          <w:p w14:paraId="2A8BDFB4" w14:textId="77777777" w:rsidR="00BC5219" w:rsidRPr="00165BA4" w:rsidRDefault="00BC5219" w:rsidP="00E83802">
            <w:pPr>
              <w:jc w:val="right"/>
              <w:rPr>
                <w:rFonts w:ascii="Meta Pro" w:eastAsia="Times New Roman" w:hAnsi="Meta Pro"/>
                <w:szCs w:val="18"/>
                <w:lang w:eastAsia="en-AU"/>
              </w:rPr>
            </w:pPr>
            <w:r w:rsidRPr="00165BA4">
              <w:rPr>
                <w:rFonts w:ascii="Meta Pro" w:eastAsia="Times New Roman" w:hAnsi="Meta Pro"/>
                <w:szCs w:val="18"/>
                <w:lang w:eastAsia="en-AU"/>
              </w:rPr>
              <w:t>(6,523)</w:t>
            </w:r>
          </w:p>
        </w:tc>
        <w:tc>
          <w:tcPr>
            <w:tcW w:w="216" w:type="dxa"/>
            <w:tcBorders>
              <w:top w:val="nil"/>
              <w:left w:val="nil"/>
              <w:bottom w:val="nil"/>
              <w:right w:val="nil"/>
            </w:tcBorders>
            <w:shd w:val="clear" w:color="auto" w:fill="auto"/>
            <w:noWrap/>
            <w:vAlign w:val="center"/>
            <w:hideMark/>
          </w:tcPr>
          <w:p w14:paraId="5311C9DE" w14:textId="77777777" w:rsidR="00BC5219" w:rsidRPr="00165BA4"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6C7A1C71" w14:textId="77777777" w:rsidR="00BC5219" w:rsidRPr="00165BA4" w:rsidRDefault="00BC5219" w:rsidP="00E83802">
            <w:pPr>
              <w:jc w:val="right"/>
              <w:rPr>
                <w:rFonts w:ascii="Meta Pro" w:eastAsia="Times New Roman" w:hAnsi="Meta Pro"/>
                <w:szCs w:val="18"/>
                <w:lang w:eastAsia="en-AU"/>
              </w:rPr>
            </w:pPr>
            <w:r w:rsidRPr="00165BA4">
              <w:rPr>
                <w:rFonts w:ascii="Meta Pro" w:eastAsia="Times New Roman" w:hAnsi="Meta Pro"/>
                <w:szCs w:val="18"/>
                <w:lang w:eastAsia="en-AU"/>
              </w:rPr>
              <w:t xml:space="preserve">- </w:t>
            </w:r>
          </w:p>
        </w:tc>
      </w:tr>
      <w:tr w:rsidR="00BC5219" w:rsidRPr="00165BA4" w14:paraId="5AE880EF" w14:textId="77777777" w:rsidTr="00E83802">
        <w:trPr>
          <w:trHeight w:val="240"/>
        </w:trPr>
        <w:tc>
          <w:tcPr>
            <w:tcW w:w="7314" w:type="dxa"/>
            <w:tcBorders>
              <w:top w:val="single" w:sz="4" w:space="0" w:color="auto"/>
              <w:left w:val="nil"/>
              <w:bottom w:val="double" w:sz="6" w:space="0" w:color="auto"/>
              <w:right w:val="nil"/>
            </w:tcBorders>
            <w:shd w:val="clear" w:color="auto" w:fill="auto"/>
            <w:noWrap/>
            <w:vAlign w:val="center"/>
            <w:hideMark/>
          </w:tcPr>
          <w:p w14:paraId="1B55D14C" w14:textId="77777777" w:rsidR="00BC5219" w:rsidRPr="00165BA4" w:rsidRDefault="00BC5219" w:rsidP="00E83802">
            <w:pPr>
              <w:rPr>
                <w:rFonts w:ascii="Meta Pro" w:eastAsia="Times New Roman" w:hAnsi="Meta Pro"/>
                <w:b/>
                <w:bCs/>
                <w:szCs w:val="18"/>
                <w:lang w:eastAsia="en-AU"/>
              </w:rPr>
            </w:pPr>
            <w:r w:rsidRPr="00165BA4">
              <w:rPr>
                <w:rFonts w:ascii="Meta Pro" w:eastAsia="Times New Roman" w:hAnsi="Meta Pro"/>
                <w:b/>
                <w:bCs/>
                <w:szCs w:val="18"/>
                <w:lang w:eastAsia="en-AU"/>
              </w:rPr>
              <w:t>Equity adjustment recognised in contributed equity</w:t>
            </w:r>
          </w:p>
        </w:tc>
        <w:tc>
          <w:tcPr>
            <w:tcW w:w="1156" w:type="dxa"/>
            <w:tcBorders>
              <w:top w:val="single" w:sz="4" w:space="0" w:color="auto"/>
              <w:left w:val="nil"/>
              <w:bottom w:val="double" w:sz="6" w:space="0" w:color="auto"/>
              <w:right w:val="nil"/>
            </w:tcBorders>
            <w:shd w:val="clear" w:color="000000" w:fill="C9E3B4"/>
            <w:noWrap/>
            <w:vAlign w:val="center"/>
            <w:hideMark/>
          </w:tcPr>
          <w:p w14:paraId="464B21FB" w14:textId="77777777" w:rsidR="00BC5219" w:rsidRPr="00165BA4" w:rsidRDefault="00BC5219" w:rsidP="00E83802">
            <w:pPr>
              <w:jc w:val="right"/>
              <w:rPr>
                <w:rFonts w:ascii="Meta Pro" w:eastAsia="Times New Roman" w:hAnsi="Meta Pro"/>
                <w:b/>
                <w:bCs/>
                <w:szCs w:val="18"/>
                <w:lang w:eastAsia="en-AU"/>
              </w:rPr>
            </w:pPr>
            <w:r w:rsidRPr="00165BA4">
              <w:rPr>
                <w:rFonts w:ascii="Meta Pro" w:eastAsia="Times New Roman" w:hAnsi="Meta Pro"/>
                <w:b/>
                <w:bCs/>
                <w:szCs w:val="18"/>
                <w:lang w:eastAsia="en-AU"/>
              </w:rPr>
              <w:t xml:space="preserve">3,856,323 </w:t>
            </w:r>
          </w:p>
        </w:tc>
        <w:tc>
          <w:tcPr>
            <w:tcW w:w="216" w:type="dxa"/>
            <w:tcBorders>
              <w:top w:val="single" w:sz="4" w:space="0" w:color="auto"/>
              <w:left w:val="nil"/>
              <w:bottom w:val="double" w:sz="6" w:space="0" w:color="auto"/>
              <w:right w:val="nil"/>
            </w:tcBorders>
            <w:shd w:val="clear" w:color="auto" w:fill="auto"/>
            <w:noWrap/>
            <w:vAlign w:val="center"/>
            <w:hideMark/>
          </w:tcPr>
          <w:p w14:paraId="4B637E10" w14:textId="77777777" w:rsidR="00BC5219" w:rsidRPr="00165BA4" w:rsidRDefault="00BC5219" w:rsidP="00E83802">
            <w:pPr>
              <w:jc w:val="right"/>
              <w:rPr>
                <w:rFonts w:ascii="Meta Pro" w:eastAsia="Times New Roman" w:hAnsi="Meta Pro"/>
                <w:b/>
                <w:bCs/>
                <w:szCs w:val="18"/>
                <w:lang w:eastAsia="en-AU"/>
              </w:rPr>
            </w:pPr>
            <w:r w:rsidRPr="00165BA4">
              <w:rPr>
                <w:rFonts w:ascii="Meta Pro" w:eastAsia="Times New Roman" w:hAnsi="Meta Pro"/>
                <w:b/>
                <w:bCs/>
                <w:szCs w:val="18"/>
                <w:lang w:eastAsia="en-AU"/>
              </w:rPr>
              <w:t> </w:t>
            </w:r>
          </w:p>
        </w:tc>
        <w:tc>
          <w:tcPr>
            <w:tcW w:w="1156" w:type="dxa"/>
            <w:tcBorders>
              <w:top w:val="single" w:sz="4" w:space="0" w:color="auto"/>
              <w:left w:val="nil"/>
              <w:bottom w:val="double" w:sz="6" w:space="0" w:color="auto"/>
              <w:right w:val="nil"/>
            </w:tcBorders>
            <w:shd w:val="clear" w:color="auto" w:fill="auto"/>
            <w:noWrap/>
            <w:vAlign w:val="center"/>
            <w:hideMark/>
          </w:tcPr>
          <w:p w14:paraId="42E80A86" w14:textId="77777777" w:rsidR="00BC5219" w:rsidRPr="00165BA4" w:rsidRDefault="00BC5219" w:rsidP="00E83802">
            <w:pPr>
              <w:jc w:val="right"/>
              <w:rPr>
                <w:rFonts w:ascii="Meta Pro" w:eastAsia="Times New Roman" w:hAnsi="Meta Pro"/>
                <w:b/>
                <w:bCs/>
                <w:szCs w:val="18"/>
                <w:lang w:eastAsia="en-AU"/>
              </w:rPr>
            </w:pPr>
            <w:r w:rsidRPr="00165BA4">
              <w:rPr>
                <w:rFonts w:ascii="Meta Pro" w:eastAsia="Times New Roman" w:hAnsi="Meta Pro"/>
                <w:b/>
                <w:bCs/>
                <w:szCs w:val="18"/>
                <w:lang w:eastAsia="en-AU"/>
              </w:rPr>
              <w:t xml:space="preserve">2,841,289 </w:t>
            </w:r>
          </w:p>
        </w:tc>
      </w:tr>
    </w:tbl>
    <w:p w14:paraId="24A72AE4" w14:textId="77777777" w:rsidR="00BC5219" w:rsidRPr="008A2B8F" w:rsidRDefault="00BC5219" w:rsidP="00BC5219">
      <w:pPr>
        <w:spacing w:before="60"/>
        <w:rPr>
          <w:rFonts w:ascii="Meta Pro" w:hAnsi="Meta Pro"/>
          <w:sz w:val="16"/>
          <w:szCs w:val="16"/>
        </w:rPr>
      </w:pPr>
      <w:r w:rsidRPr="008A2B8F">
        <w:rPr>
          <w:rFonts w:ascii="Meta Pro" w:hAnsi="Meta Pro"/>
          <w:sz w:val="16"/>
          <w:szCs w:val="16"/>
        </w:rPr>
        <w:t>* Refer to Note 1 for details of machinery-of-government change.</w:t>
      </w:r>
    </w:p>
    <w:p w14:paraId="3C252D0B" w14:textId="77777777" w:rsidR="00BC5219" w:rsidRPr="008A2B8F" w:rsidRDefault="00BC5219" w:rsidP="00BC5219">
      <w:pPr>
        <w:spacing w:before="60" w:after="120"/>
        <w:rPr>
          <w:rFonts w:ascii="Meta Pro" w:hAnsi="Meta Pro"/>
          <w:sz w:val="16"/>
          <w:szCs w:val="16"/>
        </w:rPr>
      </w:pPr>
      <w:r w:rsidRPr="008A2B8F">
        <w:rPr>
          <w:rFonts w:ascii="Meta Pro" w:hAnsi="Meta Pro"/>
          <w:sz w:val="16"/>
          <w:szCs w:val="16"/>
        </w:rPr>
        <w:t>** Unforeseen expenditure in 2023 is primarily due to accelerated expenditure on various capital programs.</w:t>
      </w:r>
    </w:p>
    <w:p w14:paraId="793DCC05" w14:textId="77777777" w:rsidR="00BC5219" w:rsidRPr="008A2B8F" w:rsidRDefault="00BC5219" w:rsidP="00BC5219">
      <w:pPr>
        <w:pStyle w:val="ACPHeading"/>
        <w:spacing w:after="60"/>
      </w:pPr>
      <w:r w:rsidRPr="008A2B8F">
        <w:t>Accounting policy</w:t>
      </w:r>
    </w:p>
    <w:p w14:paraId="52C8D187" w14:textId="77777777" w:rsidR="00BC5219" w:rsidRPr="008A2B8F" w:rsidRDefault="00BC5219" w:rsidP="00BC5219">
      <w:pPr>
        <w:pStyle w:val="ACPPara"/>
        <w:rPr>
          <w:i/>
          <w:iCs/>
        </w:rPr>
      </w:pPr>
      <w:r w:rsidRPr="008A2B8F">
        <w:t xml:space="preserve">Appropriations provided under the </w:t>
      </w:r>
      <w:r w:rsidRPr="008A2B8F">
        <w:rPr>
          <w:i/>
          <w:iCs/>
        </w:rPr>
        <w:t>Appropriation Act 2022</w:t>
      </w:r>
      <w:r w:rsidRPr="008A2B8F">
        <w:t xml:space="preserve"> are recognised as revenue when received. Where the department has an obligation to return unspent or unapplied appropriation receipts to the Consolidated Fund at year end, a deferred appropriation liability to the Consolidated Fund is recognised with a corresponding reduction to appropriation revenue, reflecting the net appropriation revenue position with the Consolidated Fund for the reporting period. Capital appropriations are recognised as adjustments to equity.</w:t>
      </w:r>
    </w:p>
    <w:p w14:paraId="7D1B0FAA"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r w:rsidRPr="008A2B8F">
        <w:rPr>
          <w:rFonts w:ascii="Meta Pro" w:eastAsia="Times New Roman" w:hAnsi="Meta Pro"/>
          <w:i/>
          <w:iCs/>
          <w:color w:val="000000" w:themeColor="text1"/>
          <w:lang w:eastAsia="en-AU"/>
        </w:rPr>
        <w:t>Department of Transport and Main Roads</w:t>
      </w:r>
    </w:p>
    <w:p w14:paraId="1234F4FB"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Notes to the financial statements 2022–23 (continued)</w:t>
      </w:r>
    </w:p>
    <w:p w14:paraId="14A6FD5B" w14:textId="77777777" w:rsidR="00BC5219" w:rsidRPr="008A2B8F" w:rsidRDefault="00BC5219" w:rsidP="00BC5219">
      <w:pPr>
        <w:rPr>
          <w:rFonts w:ascii="Meta Pro" w:hAnsi="Meta Pro" w:cstheme="minorBidi"/>
        </w:rPr>
      </w:pPr>
    </w:p>
    <w:tbl>
      <w:tblPr>
        <w:tblW w:w="9664" w:type="dxa"/>
        <w:tblLook w:val="04A0" w:firstRow="1" w:lastRow="0" w:firstColumn="1" w:lastColumn="0" w:noHBand="0" w:noVBand="1"/>
      </w:tblPr>
      <w:tblGrid>
        <w:gridCol w:w="7136"/>
        <w:gridCol w:w="1156"/>
        <w:gridCol w:w="257"/>
        <w:gridCol w:w="1156"/>
      </w:tblGrid>
      <w:tr w:rsidR="00BC5219" w:rsidRPr="008A2B8F" w14:paraId="19CCE29D" w14:textId="77777777" w:rsidTr="00E83802">
        <w:trPr>
          <w:trHeight w:val="240"/>
        </w:trPr>
        <w:tc>
          <w:tcPr>
            <w:tcW w:w="7136" w:type="dxa"/>
            <w:tcBorders>
              <w:top w:val="nil"/>
              <w:left w:val="nil"/>
              <w:bottom w:val="nil"/>
              <w:right w:val="nil"/>
            </w:tcBorders>
            <w:shd w:val="clear" w:color="auto" w:fill="auto"/>
            <w:noWrap/>
            <w:vAlign w:val="center"/>
            <w:hideMark/>
          </w:tcPr>
          <w:p w14:paraId="65523A10" w14:textId="77777777" w:rsidR="00BC5219" w:rsidRPr="008A2B8F" w:rsidRDefault="00BC5219" w:rsidP="00E83802">
            <w:pPr>
              <w:rPr>
                <w:rFonts w:ascii="Meta Pro" w:eastAsia="Times New Roman" w:hAnsi="Meta Pro" w:cs="Times New Roman"/>
                <w:sz w:val="24"/>
                <w:szCs w:val="24"/>
                <w:lang w:eastAsia="en-AU"/>
              </w:rPr>
            </w:pPr>
          </w:p>
        </w:tc>
        <w:tc>
          <w:tcPr>
            <w:tcW w:w="1156" w:type="dxa"/>
            <w:tcBorders>
              <w:top w:val="nil"/>
              <w:left w:val="nil"/>
              <w:bottom w:val="nil"/>
              <w:right w:val="nil"/>
            </w:tcBorders>
            <w:shd w:val="clear" w:color="auto" w:fill="auto"/>
            <w:noWrap/>
            <w:vAlign w:val="center"/>
            <w:hideMark/>
          </w:tcPr>
          <w:p w14:paraId="1E8A65E2" w14:textId="77777777" w:rsidR="00BC5219" w:rsidRPr="008A2B8F" w:rsidRDefault="00BC5219" w:rsidP="00E83802">
            <w:pPr>
              <w:jc w:val="center"/>
              <w:rPr>
                <w:rFonts w:ascii="Meta Pro" w:eastAsia="Times New Roman" w:hAnsi="Meta Pro"/>
                <w:b/>
                <w:bCs/>
                <w:color w:val="000000"/>
                <w:lang w:eastAsia="en-AU"/>
              </w:rPr>
            </w:pPr>
            <w:r w:rsidRPr="008A2B8F">
              <w:rPr>
                <w:rFonts w:ascii="Meta Pro" w:eastAsia="Times New Roman" w:hAnsi="Meta Pro"/>
                <w:b/>
                <w:bCs/>
                <w:color w:val="000000"/>
                <w:lang w:eastAsia="en-AU"/>
              </w:rPr>
              <w:t>2023</w:t>
            </w:r>
          </w:p>
        </w:tc>
        <w:tc>
          <w:tcPr>
            <w:tcW w:w="216" w:type="dxa"/>
            <w:tcBorders>
              <w:top w:val="nil"/>
              <w:left w:val="nil"/>
              <w:bottom w:val="nil"/>
              <w:right w:val="nil"/>
            </w:tcBorders>
            <w:shd w:val="clear" w:color="auto" w:fill="auto"/>
            <w:noWrap/>
            <w:vAlign w:val="center"/>
            <w:hideMark/>
          </w:tcPr>
          <w:p w14:paraId="3E73626C" w14:textId="77777777" w:rsidR="00BC5219" w:rsidRPr="008A2B8F" w:rsidRDefault="00BC5219" w:rsidP="00E83802">
            <w:pPr>
              <w:jc w:val="center"/>
              <w:rPr>
                <w:rFonts w:ascii="Meta Pro" w:eastAsia="Times New Roman" w:hAnsi="Meta Pro"/>
                <w:b/>
                <w:bCs/>
                <w:color w:val="000000"/>
                <w:lang w:eastAsia="en-AU"/>
              </w:rPr>
            </w:pPr>
          </w:p>
        </w:tc>
        <w:tc>
          <w:tcPr>
            <w:tcW w:w="1156" w:type="dxa"/>
            <w:tcBorders>
              <w:top w:val="nil"/>
              <w:left w:val="nil"/>
              <w:bottom w:val="nil"/>
              <w:right w:val="nil"/>
            </w:tcBorders>
            <w:shd w:val="clear" w:color="auto" w:fill="auto"/>
            <w:noWrap/>
            <w:vAlign w:val="center"/>
            <w:hideMark/>
          </w:tcPr>
          <w:p w14:paraId="6B93A279" w14:textId="77777777" w:rsidR="00BC5219" w:rsidRPr="008A2B8F" w:rsidRDefault="00BC5219" w:rsidP="00E83802">
            <w:pPr>
              <w:jc w:val="center"/>
              <w:rPr>
                <w:rFonts w:ascii="Meta Pro" w:eastAsia="Times New Roman" w:hAnsi="Meta Pro"/>
                <w:b/>
                <w:bCs/>
                <w:lang w:eastAsia="en-AU"/>
              </w:rPr>
            </w:pPr>
            <w:r w:rsidRPr="008A2B8F">
              <w:rPr>
                <w:rFonts w:ascii="Meta Pro" w:eastAsia="Times New Roman" w:hAnsi="Meta Pro"/>
                <w:b/>
                <w:bCs/>
                <w:lang w:eastAsia="en-AU"/>
              </w:rPr>
              <w:t>2022</w:t>
            </w:r>
          </w:p>
        </w:tc>
      </w:tr>
      <w:tr w:rsidR="00BC5219" w:rsidRPr="008A2B8F" w14:paraId="333AF27A" w14:textId="77777777" w:rsidTr="00E83802">
        <w:trPr>
          <w:trHeight w:val="240"/>
        </w:trPr>
        <w:tc>
          <w:tcPr>
            <w:tcW w:w="7136" w:type="dxa"/>
            <w:tcBorders>
              <w:top w:val="nil"/>
              <w:left w:val="nil"/>
              <w:bottom w:val="nil"/>
              <w:right w:val="nil"/>
            </w:tcBorders>
            <w:shd w:val="clear" w:color="auto" w:fill="auto"/>
            <w:noWrap/>
            <w:vAlign w:val="center"/>
            <w:hideMark/>
          </w:tcPr>
          <w:p w14:paraId="641E4ED1" w14:textId="77777777" w:rsidR="00BC5219" w:rsidRPr="008A2B8F" w:rsidRDefault="00BC5219" w:rsidP="00E83802">
            <w:pPr>
              <w:jc w:val="center"/>
              <w:rPr>
                <w:rFonts w:ascii="Meta Pro" w:eastAsia="Times New Roman" w:hAnsi="Meta Pro"/>
                <w:b/>
                <w:bCs/>
                <w:lang w:eastAsia="en-AU"/>
              </w:rPr>
            </w:pPr>
          </w:p>
        </w:tc>
        <w:tc>
          <w:tcPr>
            <w:tcW w:w="1156" w:type="dxa"/>
            <w:tcBorders>
              <w:top w:val="nil"/>
              <w:left w:val="nil"/>
              <w:bottom w:val="nil"/>
              <w:right w:val="nil"/>
            </w:tcBorders>
            <w:shd w:val="clear" w:color="auto" w:fill="auto"/>
            <w:noWrap/>
            <w:vAlign w:val="center"/>
            <w:hideMark/>
          </w:tcPr>
          <w:p w14:paraId="79C28116" w14:textId="77777777" w:rsidR="00BC5219" w:rsidRPr="008A2B8F" w:rsidRDefault="00BC5219" w:rsidP="00E83802">
            <w:pPr>
              <w:jc w:val="center"/>
              <w:rPr>
                <w:rFonts w:ascii="Meta Pro" w:eastAsia="Times New Roman" w:hAnsi="Meta Pro"/>
                <w:b/>
                <w:bCs/>
                <w:lang w:eastAsia="en-AU"/>
              </w:rPr>
            </w:pPr>
            <w:r w:rsidRPr="008A2B8F">
              <w:rPr>
                <w:rFonts w:ascii="Meta Pro" w:eastAsia="Times New Roman" w:hAnsi="Meta Pro"/>
                <w:b/>
                <w:bCs/>
                <w:lang w:eastAsia="en-AU"/>
              </w:rPr>
              <w:t>$'000</w:t>
            </w:r>
          </w:p>
        </w:tc>
        <w:tc>
          <w:tcPr>
            <w:tcW w:w="216" w:type="dxa"/>
            <w:tcBorders>
              <w:top w:val="nil"/>
              <w:left w:val="nil"/>
              <w:bottom w:val="nil"/>
              <w:right w:val="nil"/>
            </w:tcBorders>
            <w:shd w:val="clear" w:color="auto" w:fill="auto"/>
            <w:noWrap/>
            <w:vAlign w:val="center"/>
            <w:hideMark/>
          </w:tcPr>
          <w:p w14:paraId="35DF2F0A" w14:textId="77777777" w:rsidR="00BC5219" w:rsidRPr="008A2B8F" w:rsidRDefault="00BC5219" w:rsidP="00E83802">
            <w:pPr>
              <w:jc w:val="center"/>
              <w:rPr>
                <w:rFonts w:ascii="Meta Pro" w:eastAsia="Times New Roman" w:hAnsi="Meta Pro"/>
                <w:b/>
                <w:bCs/>
                <w:lang w:eastAsia="en-AU"/>
              </w:rPr>
            </w:pPr>
          </w:p>
        </w:tc>
        <w:tc>
          <w:tcPr>
            <w:tcW w:w="1156" w:type="dxa"/>
            <w:tcBorders>
              <w:top w:val="nil"/>
              <w:left w:val="nil"/>
              <w:bottom w:val="nil"/>
              <w:right w:val="nil"/>
            </w:tcBorders>
            <w:shd w:val="clear" w:color="auto" w:fill="auto"/>
            <w:noWrap/>
            <w:vAlign w:val="center"/>
            <w:hideMark/>
          </w:tcPr>
          <w:p w14:paraId="4E1C6AD3" w14:textId="77777777" w:rsidR="00BC5219" w:rsidRPr="008A2B8F" w:rsidRDefault="00BC5219" w:rsidP="00E83802">
            <w:pPr>
              <w:jc w:val="center"/>
              <w:rPr>
                <w:rFonts w:ascii="Meta Pro" w:eastAsia="Times New Roman" w:hAnsi="Meta Pro"/>
                <w:b/>
                <w:bCs/>
                <w:lang w:eastAsia="en-AU"/>
              </w:rPr>
            </w:pPr>
            <w:r w:rsidRPr="008A2B8F">
              <w:rPr>
                <w:rFonts w:ascii="Meta Pro" w:eastAsia="Times New Roman" w:hAnsi="Meta Pro"/>
                <w:b/>
                <w:bCs/>
                <w:lang w:eastAsia="en-AU"/>
              </w:rPr>
              <w:t>$'000</w:t>
            </w:r>
          </w:p>
        </w:tc>
      </w:tr>
      <w:tr w:rsidR="00BC5219" w:rsidRPr="008A2B8F" w14:paraId="745D4071" w14:textId="77777777" w:rsidTr="00E83802">
        <w:trPr>
          <w:trHeight w:val="240"/>
        </w:trPr>
        <w:tc>
          <w:tcPr>
            <w:tcW w:w="7136" w:type="dxa"/>
            <w:tcBorders>
              <w:top w:val="nil"/>
              <w:left w:val="nil"/>
              <w:bottom w:val="nil"/>
              <w:right w:val="nil"/>
            </w:tcBorders>
            <w:shd w:val="clear" w:color="auto" w:fill="auto"/>
            <w:noWrap/>
            <w:vAlign w:val="center"/>
            <w:hideMark/>
          </w:tcPr>
          <w:p w14:paraId="7774F348" w14:textId="77777777" w:rsidR="00BC5219" w:rsidRPr="008A2B8F" w:rsidRDefault="00BC5219" w:rsidP="00E83802">
            <w:pPr>
              <w:rPr>
                <w:rFonts w:ascii="Meta Pro" w:eastAsia="Times New Roman" w:hAnsi="Meta Pro"/>
                <w:b/>
                <w:bCs/>
                <w:lang w:eastAsia="en-AU"/>
              </w:rPr>
            </w:pPr>
            <w:r w:rsidRPr="008A2B8F">
              <w:rPr>
                <w:rFonts w:ascii="Meta Pro" w:eastAsia="Times New Roman" w:hAnsi="Meta Pro"/>
                <w:b/>
                <w:bCs/>
                <w:lang w:eastAsia="en-AU"/>
              </w:rPr>
              <w:t>3     USER CHARGES AND FEES</w:t>
            </w:r>
          </w:p>
        </w:tc>
        <w:tc>
          <w:tcPr>
            <w:tcW w:w="1156" w:type="dxa"/>
            <w:tcBorders>
              <w:top w:val="nil"/>
              <w:left w:val="nil"/>
              <w:bottom w:val="nil"/>
              <w:right w:val="nil"/>
            </w:tcBorders>
            <w:shd w:val="clear" w:color="auto" w:fill="auto"/>
            <w:noWrap/>
            <w:vAlign w:val="center"/>
            <w:hideMark/>
          </w:tcPr>
          <w:p w14:paraId="5CA5FD80" w14:textId="77777777" w:rsidR="00BC5219" w:rsidRPr="008A2B8F" w:rsidRDefault="00BC5219" w:rsidP="00E83802">
            <w:pPr>
              <w:rPr>
                <w:rFonts w:ascii="Meta Pro" w:eastAsia="Times New Roman" w:hAnsi="Meta Pro"/>
                <w:b/>
                <w:bCs/>
                <w:lang w:eastAsia="en-AU"/>
              </w:rPr>
            </w:pPr>
          </w:p>
        </w:tc>
        <w:tc>
          <w:tcPr>
            <w:tcW w:w="216" w:type="dxa"/>
            <w:tcBorders>
              <w:top w:val="nil"/>
              <w:left w:val="nil"/>
              <w:bottom w:val="nil"/>
              <w:right w:val="nil"/>
            </w:tcBorders>
            <w:shd w:val="clear" w:color="auto" w:fill="auto"/>
            <w:noWrap/>
            <w:vAlign w:val="center"/>
            <w:hideMark/>
          </w:tcPr>
          <w:p w14:paraId="66FB0A83" w14:textId="77777777" w:rsidR="00BC5219" w:rsidRPr="008A2B8F"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47CF3CD3"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5C12C8B4" w14:textId="77777777" w:rsidTr="00E83802">
        <w:trPr>
          <w:trHeight w:val="90"/>
        </w:trPr>
        <w:tc>
          <w:tcPr>
            <w:tcW w:w="7136" w:type="dxa"/>
            <w:tcBorders>
              <w:top w:val="nil"/>
              <w:left w:val="nil"/>
              <w:bottom w:val="nil"/>
              <w:right w:val="nil"/>
            </w:tcBorders>
            <w:shd w:val="clear" w:color="auto" w:fill="auto"/>
            <w:noWrap/>
            <w:vAlign w:val="center"/>
            <w:hideMark/>
          </w:tcPr>
          <w:p w14:paraId="387E2E6E" w14:textId="77777777" w:rsidR="00BC5219" w:rsidRPr="008A2B8F"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5BC803B5" w14:textId="77777777" w:rsidR="00BC5219" w:rsidRPr="008A2B8F" w:rsidRDefault="00BC5219" w:rsidP="00E83802">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2343171D" w14:textId="77777777" w:rsidR="00BC5219" w:rsidRPr="008A2B8F"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5FDA7DA3"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16E33630" w14:textId="77777777" w:rsidTr="00E83802">
        <w:trPr>
          <w:trHeight w:val="240"/>
        </w:trPr>
        <w:tc>
          <w:tcPr>
            <w:tcW w:w="7136" w:type="dxa"/>
            <w:tcBorders>
              <w:top w:val="nil"/>
              <w:left w:val="nil"/>
              <w:bottom w:val="nil"/>
              <w:right w:val="nil"/>
            </w:tcBorders>
            <w:shd w:val="clear" w:color="auto" w:fill="auto"/>
            <w:noWrap/>
            <w:vAlign w:val="center"/>
            <w:hideMark/>
          </w:tcPr>
          <w:p w14:paraId="57AA9035"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Compulsory third party administration fees</w:t>
            </w:r>
          </w:p>
        </w:tc>
        <w:tc>
          <w:tcPr>
            <w:tcW w:w="1156" w:type="dxa"/>
            <w:tcBorders>
              <w:top w:val="nil"/>
              <w:left w:val="nil"/>
              <w:bottom w:val="nil"/>
              <w:right w:val="nil"/>
            </w:tcBorders>
            <w:shd w:val="clear" w:color="000000" w:fill="C9E3B4"/>
            <w:noWrap/>
            <w:vAlign w:val="center"/>
            <w:hideMark/>
          </w:tcPr>
          <w:p w14:paraId="456B33E5"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38,920 </w:t>
            </w:r>
          </w:p>
        </w:tc>
        <w:tc>
          <w:tcPr>
            <w:tcW w:w="216" w:type="dxa"/>
            <w:tcBorders>
              <w:top w:val="nil"/>
              <w:left w:val="nil"/>
              <w:bottom w:val="nil"/>
              <w:right w:val="nil"/>
            </w:tcBorders>
            <w:shd w:val="clear" w:color="auto" w:fill="auto"/>
            <w:noWrap/>
            <w:vAlign w:val="center"/>
            <w:hideMark/>
          </w:tcPr>
          <w:p w14:paraId="3CB2AE96"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2DE07487"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39,628 </w:t>
            </w:r>
          </w:p>
        </w:tc>
      </w:tr>
      <w:tr w:rsidR="00BC5219" w:rsidRPr="008A2B8F" w14:paraId="48B82D99" w14:textId="77777777" w:rsidTr="00E83802">
        <w:trPr>
          <w:trHeight w:val="240"/>
        </w:trPr>
        <w:tc>
          <w:tcPr>
            <w:tcW w:w="7136" w:type="dxa"/>
            <w:tcBorders>
              <w:top w:val="nil"/>
              <w:left w:val="nil"/>
              <w:bottom w:val="nil"/>
              <w:right w:val="nil"/>
            </w:tcBorders>
            <w:shd w:val="clear" w:color="auto" w:fill="auto"/>
            <w:noWrap/>
            <w:vAlign w:val="center"/>
            <w:hideMark/>
          </w:tcPr>
          <w:p w14:paraId="25A28C6E"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Fare revenue *</w:t>
            </w:r>
          </w:p>
        </w:tc>
        <w:tc>
          <w:tcPr>
            <w:tcW w:w="1156" w:type="dxa"/>
            <w:tcBorders>
              <w:top w:val="nil"/>
              <w:left w:val="nil"/>
              <w:bottom w:val="nil"/>
              <w:right w:val="nil"/>
            </w:tcBorders>
            <w:shd w:val="clear" w:color="000000" w:fill="C9E3B4"/>
            <w:noWrap/>
            <w:vAlign w:val="center"/>
            <w:hideMark/>
          </w:tcPr>
          <w:p w14:paraId="67F22C41"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294,667 </w:t>
            </w:r>
          </w:p>
        </w:tc>
        <w:tc>
          <w:tcPr>
            <w:tcW w:w="216" w:type="dxa"/>
            <w:tcBorders>
              <w:top w:val="nil"/>
              <w:left w:val="nil"/>
              <w:bottom w:val="nil"/>
              <w:right w:val="nil"/>
            </w:tcBorders>
            <w:shd w:val="clear" w:color="auto" w:fill="auto"/>
            <w:noWrap/>
            <w:vAlign w:val="center"/>
            <w:hideMark/>
          </w:tcPr>
          <w:p w14:paraId="5098A0B7"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0A5A63ED"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202,654 </w:t>
            </w:r>
          </w:p>
        </w:tc>
      </w:tr>
      <w:tr w:rsidR="00BC5219" w:rsidRPr="008A2B8F" w14:paraId="3FCE812F" w14:textId="77777777" w:rsidTr="00E83802">
        <w:trPr>
          <w:trHeight w:val="240"/>
        </w:trPr>
        <w:tc>
          <w:tcPr>
            <w:tcW w:w="7136" w:type="dxa"/>
            <w:tcBorders>
              <w:top w:val="nil"/>
              <w:left w:val="nil"/>
              <w:bottom w:val="nil"/>
              <w:right w:val="nil"/>
            </w:tcBorders>
            <w:shd w:val="clear" w:color="auto" w:fill="auto"/>
            <w:noWrap/>
            <w:vAlign w:val="center"/>
            <w:hideMark/>
          </w:tcPr>
          <w:p w14:paraId="5CBA30C1"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Information, communication and technology services **</w:t>
            </w:r>
          </w:p>
        </w:tc>
        <w:tc>
          <w:tcPr>
            <w:tcW w:w="1156" w:type="dxa"/>
            <w:tcBorders>
              <w:top w:val="nil"/>
              <w:left w:val="nil"/>
              <w:bottom w:val="nil"/>
              <w:right w:val="nil"/>
            </w:tcBorders>
            <w:shd w:val="clear" w:color="000000" w:fill="C9E3B4"/>
            <w:noWrap/>
            <w:vAlign w:val="center"/>
            <w:hideMark/>
          </w:tcPr>
          <w:p w14:paraId="6DED44B6"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18,474 </w:t>
            </w:r>
          </w:p>
        </w:tc>
        <w:tc>
          <w:tcPr>
            <w:tcW w:w="216" w:type="dxa"/>
            <w:tcBorders>
              <w:top w:val="nil"/>
              <w:left w:val="nil"/>
              <w:bottom w:val="nil"/>
              <w:right w:val="nil"/>
            </w:tcBorders>
            <w:shd w:val="clear" w:color="auto" w:fill="auto"/>
            <w:noWrap/>
            <w:vAlign w:val="center"/>
            <w:hideMark/>
          </w:tcPr>
          <w:p w14:paraId="4271E9D6"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272489FD"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r>
      <w:tr w:rsidR="00BC5219" w:rsidRPr="008A2B8F" w14:paraId="3E252934" w14:textId="77777777" w:rsidTr="00E83802">
        <w:trPr>
          <w:trHeight w:val="240"/>
        </w:trPr>
        <w:tc>
          <w:tcPr>
            <w:tcW w:w="7136" w:type="dxa"/>
            <w:tcBorders>
              <w:top w:val="nil"/>
              <w:left w:val="nil"/>
              <w:bottom w:val="nil"/>
              <w:right w:val="nil"/>
            </w:tcBorders>
            <w:shd w:val="clear" w:color="auto" w:fill="auto"/>
            <w:noWrap/>
            <w:vAlign w:val="center"/>
            <w:hideMark/>
          </w:tcPr>
          <w:p w14:paraId="703EAC7B"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lastRenderedPageBreak/>
              <w:t xml:space="preserve">Merchant fees collected </w:t>
            </w:r>
          </w:p>
        </w:tc>
        <w:tc>
          <w:tcPr>
            <w:tcW w:w="1156" w:type="dxa"/>
            <w:tcBorders>
              <w:top w:val="nil"/>
              <w:left w:val="nil"/>
              <w:bottom w:val="nil"/>
              <w:right w:val="nil"/>
            </w:tcBorders>
            <w:shd w:val="clear" w:color="000000" w:fill="C9E3B4"/>
            <w:noWrap/>
            <w:vAlign w:val="center"/>
            <w:hideMark/>
          </w:tcPr>
          <w:p w14:paraId="2F6BE4AB"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12,562 </w:t>
            </w:r>
          </w:p>
        </w:tc>
        <w:tc>
          <w:tcPr>
            <w:tcW w:w="216" w:type="dxa"/>
            <w:tcBorders>
              <w:top w:val="nil"/>
              <w:left w:val="nil"/>
              <w:bottom w:val="nil"/>
              <w:right w:val="nil"/>
            </w:tcBorders>
            <w:shd w:val="clear" w:color="auto" w:fill="auto"/>
            <w:noWrap/>
            <w:vAlign w:val="center"/>
            <w:hideMark/>
          </w:tcPr>
          <w:p w14:paraId="593042DF"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2B823B2E"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10,431 </w:t>
            </w:r>
          </w:p>
        </w:tc>
      </w:tr>
      <w:tr w:rsidR="00BC5219" w:rsidRPr="008A2B8F" w14:paraId="0EE583F9" w14:textId="77777777" w:rsidTr="00E83802">
        <w:trPr>
          <w:trHeight w:val="240"/>
        </w:trPr>
        <w:tc>
          <w:tcPr>
            <w:tcW w:w="7136" w:type="dxa"/>
            <w:tcBorders>
              <w:top w:val="nil"/>
              <w:left w:val="nil"/>
              <w:bottom w:val="nil"/>
              <w:right w:val="nil"/>
            </w:tcBorders>
            <w:shd w:val="clear" w:color="auto" w:fill="auto"/>
            <w:noWrap/>
            <w:vAlign w:val="center"/>
            <w:hideMark/>
          </w:tcPr>
          <w:p w14:paraId="32AA9366"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National Heavy Vehicle Regulator</w:t>
            </w:r>
          </w:p>
        </w:tc>
        <w:tc>
          <w:tcPr>
            <w:tcW w:w="1156" w:type="dxa"/>
            <w:tcBorders>
              <w:top w:val="nil"/>
              <w:left w:val="nil"/>
              <w:bottom w:val="nil"/>
              <w:right w:val="nil"/>
            </w:tcBorders>
            <w:shd w:val="clear" w:color="000000" w:fill="C9E3B4"/>
            <w:noWrap/>
            <w:vAlign w:val="center"/>
            <w:hideMark/>
          </w:tcPr>
          <w:p w14:paraId="54E56BEC"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19,995 </w:t>
            </w:r>
          </w:p>
        </w:tc>
        <w:tc>
          <w:tcPr>
            <w:tcW w:w="216" w:type="dxa"/>
            <w:tcBorders>
              <w:top w:val="nil"/>
              <w:left w:val="nil"/>
              <w:bottom w:val="nil"/>
              <w:right w:val="nil"/>
            </w:tcBorders>
            <w:shd w:val="clear" w:color="auto" w:fill="auto"/>
            <w:noWrap/>
            <w:vAlign w:val="center"/>
            <w:hideMark/>
          </w:tcPr>
          <w:p w14:paraId="006A1B99"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01B16E6A"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15,462 </w:t>
            </w:r>
          </w:p>
        </w:tc>
      </w:tr>
      <w:tr w:rsidR="00BC5219" w:rsidRPr="008A2B8F" w14:paraId="1E212B45" w14:textId="77777777" w:rsidTr="00E83802">
        <w:trPr>
          <w:trHeight w:val="240"/>
        </w:trPr>
        <w:tc>
          <w:tcPr>
            <w:tcW w:w="7136" w:type="dxa"/>
            <w:tcBorders>
              <w:top w:val="nil"/>
              <w:left w:val="nil"/>
              <w:bottom w:val="nil"/>
              <w:right w:val="nil"/>
            </w:tcBorders>
            <w:shd w:val="clear" w:color="auto" w:fill="auto"/>
            <w:noWrap/>
            <w:vAlign w:val="center"/>
            <w:hideMark/>
          </w:tcPr>
          <w:p w14:paraId="16048D8F"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Other services rendered</w:t>
            </w:r>
          </w:p>
        </w:tc>
        <w:tc>
          <w:tcPr>
            <w:tcW w:w="1156" w:type="dxa"/>
            <w:tcBorders>
              <w:top w:val="nil"/>
              <w:left w:val="nil"/>
              <w:bottom w:val="nil"/>
              <w:right w:val="nil"/>
            </w:tcBorders>
            <w:shd w:val="clear" w:color="000000" w:fill="C9E3B4"/>
            <w:noWrap/>
            <w:vAlign w:val="center"/>
            <w:hideMark/>
          </w:tcPr>
          <w:p w14:paraId="47B76494"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33,458 </w:t>
            </w:r>
          </w:p>
        </w:tc>
        <w:tc>
          <w:tcPr>
            <w:tcW w:w="216" w:type="dxa"/>
            <w:tcBorders>
              <w:top w:val="nil"/>
              <w:left w:val="nil"/>
              <w:bottom w:val="nil"/>
              <w:right w:val="nil"/>
            </w:tcBorders>
            <w:shd w:val="clear" w:color="auto" w:fill="auto"/>
            <w:noWrap/>
            <w:vAlign w:val="center"/>
            <w:hideMark/>
          </w:tcPr>
          <w:p w14:paraId="619A57BE"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7925119A"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26,474 </w:t>
            </w:r>
          </w:p>
        </w:tc>
      </w:tr>
      <w:tr w:rsidR="00BC5219" w:rsidRPr="008A2B8F" w14:paraId="6A5A87A7" w14:textId="77777777" w:rsidTr="00E83802">
        <w:trPr>
          <w:trHeight w:val="240"/>
        </w:trPr>
        <w:tc>
          <w:tcPr>
            <w:tcW w:w="7136" w:type="dxa"/>
            <w:tcBorders>
              <w:top w:val="nil"/>
              <w:left w:val="nil"/>
              <w:bottom w:val="nil"/>
              <w:right w:val="nil"/>
            </w:tcBorders>
            <w:shd w:val="clear" w:color="auto" w:fill="auto"/>
            <w:noWrap/>
            <w:vAlign w:val="center"/>
            <w:hideMark/>
          </w:tcPr>
          <w:p w14:paraId="7985C650"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Personalised plates sales</w:t>
            </w:r>
          </w:p>
        </w:tc>
        <w:tc>
          <w:tcPr>
            <w:tcW w:w="1156" w:type="dxa"/>
            <w:tcBorders>
              <w:top w:val="nil"/>
              <w:left w:val="nil"/>
              <w:bottom w:val="nil"/>
              <w:right w:val="nil"/>
            </w:tcBorders>
            <w:shd w:val="clear" w:color="000000" w:fill="C9E3B4"/>
            <w:noWrap/>
            <w:vAlign w:val="center"/>
            <w:hideMark/>
          </w:tcPr>
          <w:p w14:paraId="1C15D982"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81,599 </w:t>
            </w:r>
          </w:p>
        </w:tc>
        <w:tc>
          <w:tcPr>
            <w:tcW w:w="216" w:type="dxa"/>
            <w:tcBorders>
              <w:top w:val="nil"/>
              <w:left w:val="nil"/>
              <w:bottom w:val="nil"/>
              <w:right w:val="nil"/>
            </w:tcBorders>
            <w:shd w:val="clear" w:color="auto" w:fill="auto"/>
            <w:noWrap/>
            <w:vAlign w:val="center"/>
            <w:hideMark/>
          </w:tcPr>
          <w:p w14:paraId="0D46202E"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564D30EB"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88,182 </w:t>
            </w:r>
          </w:p>
        </w:tc>
      </w:tr>
      <w:tr w:rsidR="00BC5219" w:rsidRPr="008A2B8F" w14:paraId="2517B5F4" w14:textId="77777777" w:rsidTr="00E83802">
        <w:trPr>
          <w:trHeight w:val="240"/>
        </w:trPr>
        <w:tc>
          <w:tcPr>
            <w:tcW w:w="7136" w:type="dxa"/>
            <w:tcBorders>
              <w:top w:val="nil"/>
              <w:left w:val="nil"/>
              <w:bottom w:val="nil"/>
              <w:right w:val="nil"/>
            </w:tcBorders>
            <w:shd w:val="clear" w:color="auto" w:fill="auto"/>
            <w:noWrap/>
            <w:vAlign w:val="center"/>
            <w:hideMark/>
          </w:tcPr>
          <w:p w14:paraId="2E12FB2B"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Pilotage</w:t>
            </w:r>
          </w:p>
        </w:tc>
        <w:tc>
          <w:tcPr>
            <w:tcW w:w="1156" w:type="dxa"/>
            <w:tcBorders>
              <w:top w:val="nil"/>
              <w:left w:val="nil"/>
              <w:bottom w:val="nil"/>
              <w:right w:val="nil"/>
            </w:tcBorders>
            <w:shd w:val="clear" w:color="000000" w:fill="C9E3B4"/>
            <w:noWrap/>
            <w:vAlign w:val="center"/>
            <w:hideMark/>
          </w:tcPr>
          <w:p w14:paraId="293A70DF"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105,934 </w:t>
            </w:r>
          </w:p>
        </w:tc>
        <w:tc>
          <w:tcPr>
            <w:tcW w:w="216" w:type="dxa"/>
            <w:tcBorders>
              <w:top w:val="nil"/>
              <w:left w:val="nil"/>
              <w:bottom w:val="nil"/>
              <w:right w:val="nil"/>
            </w:tcBorders>
            <w:shd w:val="clear" w:color="auto" w:fill="auto"/>
            <w:noWrap/>
            <w:vAlign w:val="center"/>
            <w:hideMark/>
          </w:tcPr>
          <w:p w14:paraId="4208E318"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69FCDF84"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96,927 </w:t>
            </w:r>
          </w:p>
        </w:tc>
      </w:tr>
      <w:tr w:rsidR="00BC5219" w:rsidRPr="008A2B8F" w14:paraId="61BB5262" w14:textId="77777777" w:rsidTr="00E83802">
        <w:trPr>
          <w:trHeight w:val="240"/>
        </w:trPr>
        <w:tc>
          <w:tcPr>
            <w:tcW w:w="7136" w:type="dxa"/>
            <w:tcBorders>
              <w:top w:val="nil"/>
              <w:left w:val="nil"/>
              <w:bottom w:val="nil"/>
              <w:right w:val="nil"/>
            </w:tcBorders>
            <w:shd w:val="clear" w:color="auto" w:fill="auto"/>
            <w:noWrap/>
            <w:vAlign w:val="center"/>
            <w:hideMark/>
          </w:tcPr>
          <w:p w14:paraId="19AC13CE"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Property rental</w:t>
            </w:r>
          </w:p>
        </w:tc>
        <w:tc>
          <w:tcPr>
            <w:tcW w:w="1156" w:type="dxa"/>
            <w:tcBorders>
              <w:top w:val="nil"/>
              <w:left w:val="nil"/>
              <w:bottom w:val="nil"/>
              <w:right w:val="nil"/>
            </w:tcBorders>
            <w:shd w:val="clear" w:color="000000" w:fill="C9E3B4"/>
            <w:noWrap/>
            <w:vAlign w:val="center"/>
            <w:hideMark/>
          </w:tcPr>
          <w:p w14:paraId="79808838"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38,677 </w:t>
            </w:r>
          </w:p>
        </w:tc>
        <w:tc>
          <w:tcPr>
            <w:tcW w:w="216" w:type="dxa"/>
            <w:tcBorders>
              <w:top w:val="nil"/>
              <w:left w:val="nil"/>
              <w:bottom w:val="nil"/>
              <w:right w:val="nil"/>
            </w:tcBorders>
            <w:shd w:val="clear" w:color="auto" w:fill="auto"/>
            <w:noWrap/>
            <w:vAlign w:val="center"/>
            <w:hideMark/>
          </w:tcPr>
          <w:p w14:paraId="52F6C9FF"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60B02D00"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36,420 </w:t>
            </w:r>
          </w:p>
        </w:tc>
      </w:tr>
      <w:tr w:rsidR="00BC5219" w:rsidRPr="008A2B8F" w14:paraId="064DF1AA" w14:textId="77777777" w:rsidTr="00E83802">
        <w:trPr>
          <w:trHeight w:val="240"/>
        </w:trPr>
        <w:tc>
          <w:tcPr>
            <w:tcW w:w="7136" w:type="dxa"/>
            <w:tcBorders>
              <w:top w:val="nil"/>
              <w:left w:val="nil"/>
              <w:bottom w:val="nil"/>
              <w:right w:val="nil"/>
            </w:tcBorders>
            <w:shd w:val="clear" w:color="auto" w:fill="auto"/>
            <w:noWrap/>
            <w:vAlign w:val="center"/>
            <w:hideMark/>
          </w:tcPr>
          <w:p w14:paraId="6A545D54"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Recoverable works ***</w:t>
            </w:r>
          </w:p>
        </w:tc>
        <w:tc>
          <w:tcPr>
            <w:tcW w:w="1156" w:type="dxa"/>
            <w:tcBorders>
              <w:top w:val="nil"/>
              <w:left w:val="nil"/>
              <w:bottom w:val="nil"/>
              <w:right w:val="nil"/>
            </w:tcBorders>
            <w:shd w:val="clear" w:color="000000" w:fill="C9E3B4"/>
            <w:noWrap/>
            <w:vAlign w:val="center"/>
            <w:hideMark/>
          </w:tcPr>
          <w:p w14:paraId="418D56A7"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26,913 </w:t>
            </w:r>
          </w:p>
        </w:tc>
        <w:tc>
          <w:tcPr>
            <w:tcW w:w="216" w:type="dxa"/>
            <w:tcBorders>
              <w:top w:val="nil"/>
              <w:left w:val="nil"/>
              <w:bottom w:val="nil"/>
              <w:right w:val="nil"/>
            </w:tcBorders>
            <w:shd w:val="clear" w:color="auto" w:fill="auto"/>
            <w:noWrap/>
            <w:vAlign w:val="center"/>
            <w:hideMark/>
          </w:tcPr>
          <w:p w14:paraId="66421729"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107F7F93"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98,072 </w:t>
            </w:r>
          </w:p>
        </w:tc>
      </w:tr>
      <w:tr w:rsidR="00BC5219" w:rsidRPr="008A2B8F" w14:paraId="6A0FE35D" w14:textId="77777777" w:rsidTr="00E83802">
        <w:trPr>
          <w:trHeight w:val="240"/>
        </w:trPr>
        <w:tc>
          <w:tcPr>
            <w:tcW w:w="7136" w:type="dxa"/>
            <w:tcBorders>
              <w:top w:val="nil"/>
              <w:left w:val="nil"/>
              <w:bottom w:val="nil"/>
              <w:right w:val="nil"/>
            </w:tcBorders>
            <w:shd w:val="clear" w:color="auto" w:fill="auto"/>
            <w:noWrap/>
            <w:vAlign w:val="center"/>
            <w:hideMark/>
          </w:tcPr>
          <w:p w14:paraId="773CB044"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Registration fee surcharge</w:t>
            </w:r>
          </w:p>
        </w:tc>
        <w:tc>
          <w:tcPr>
            <w:tcW w:w="1156" w:type="dxa"/>
            <w:tcBorders>
              <w:top w:val="nil"/>
              <w:left w:val="nil"/>
              <w:bottom w:val="nil"/>
              <w:right w:val="nil"/>
            </w:tcBorders>
            <w:shd w:val="clear" w:color="000000" w:fill="C9E3B4"/>
            <w:noWrap/>
            <w:vAlign w:val="center"/>
            <w:hideMark/>
          </w:tcPr>
          <w:p w14:paraId="6E4312AB"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23,266 </w:t>
            </w:r>
          </w:p>
        </w:tc>
        <w:tc>
          <w:tcPr>
            <w:tcW w:w="216" w:type="dxa"/>
            <w:tcBorders>
              <w:top w:val="nil"/>
              <w:left w:val="nil"/>
              <w:bottom w:val="nil"/>
              <w:right w:val="nil"/>
            </w:tcBorders>
            <w:shd w:val="clear" w:color="auto" w:fill="auto"/>
            <w:noWrap/>
            <w:vAlign w:val="center"/>
            <w:hideMark/>
          </w:tcPr>
          <w:p w14:paraId="1E300E9A"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34ACF3C0"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19,452 </w:t>
            </w:r>
          </w:p>
        </w:tc>
      </w:tr>
      <w:tr w:rsidR="00BC5219" w:rsidRPr="008A2B8F" w14:paraId="006CE99B" w14:textId="77777777" w:rsidTr="00E83802">
        <w:trPr>
          <w:trHeight w:val="240"/>
        </w:trPr>
        <w:tc>
          <w:tcPr>
            <w:tcW w:w="7136" w:type="dxa"/>
            <w:tcBorders>
              <w:top w:val="nil"/>
              <w:left w:val="nil"/>
              <w:bottom w:val="nil"/>
              <w:right w:val="nil"/>
            </w:tcBorders>
            <w:shd w:val="clear" w:color="auto" w:fill="auto"/>
            <w:noWrap/>
            <w:vAlign w:val="center"/>
            <w:hideMark/>
          </w:tcPr>
          <w:p w14:paraId="7E926616"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Services provided by shared service providers **</w:t>
            </w:r>
          </w:p>
        </w:tc>
        <w:tc>
          <w:tcPr>
            <w:tcW w:w="1156" w:type="dxa"/>
            <w:tcBorders>
              <w:top w:val="nil"/>
              <w:left w:val="nil"/>
              <w:bottom w:val="nil"/>
              <w:right w:val="nil"/>
            </w:tcBorders>
            <w:shd w:val="clear" w:color="000000" w:fill="C9E3B4"/>
            <w:noWrap/>
            <w:vAlign w:val="center"/>
            <w:hideMark/>
          </w:tcPr>
          <w:p w14:paraId="51634B22"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13,699 </w:t>
            </w:r>
          </w:p>
        </w:tc>
        <w:tc>
          <w:tcPr>
            <w:tcW w:w="216" w:type="dxa"/>
            <w:tcBorders>
              <w:top w:val="nil"/>
              <w:left w:val="nil"/>
              <w:bottom w:val="nil"/>
              <w:right w:val="nil"/>
            </w:tcBorders>
            <w:shd w:val="clear" w:color="auto" w:fill="auto"/>
            <w:noWrap/>
            <w:vAlign w:val="center"/>
            <w:hideMark/>
          </w:tcPr>
          <w:p w14:paraId="69463BFA"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4677E3DA"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r>
      <w:tr w:rsidR="00BC5219" w:rsidRPr="008A2B8F" w14:paraId="14D3B768" w14:textId="77777777" w:rsidTr="00E83802">
        <w:trPr>
          <w:trHeight w:val="240"/>
        </w:trPr>
        <w:tc>
          <w:tcPr>
            <w:tcW w:w="7136" w:type="dxa"/>
            <w:tcBorders>
              <w:top w:val="nil"/>
              <w:left w:val="nil"/>
              <w:bottom w:val="nil"/>
              <w:right w:val="nil"/>
            </w:tcBorders>
            <w:shd w:val="clear" w:color="auto" w:fill="auto"/>
            <w:noWrap/>
            <w:vAlign w:val="center"/>
            <w:hideMark/>
          </w:tcPr>
          <w:p w14:paraId="6D4A96C1"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Toll revenue</w:t>
            </w:r>
          </w:p>
        </w:tc>
        <w:tc>
          <w:tcPr>
            <w:tcW w:w="1156" w:type="dxa"/>
            <w:tcBorders>
              <w:top w:val="nil"/>
              <w:left w:val="nil"/>
              <w:bottom w:val="nil"/>
              <w:right w:val="nil"/>
            </w:tcBorders>
            <w:shd w:val="clear" w:color="000000" w:fill="C9E3B4"/>
            <w:noWrap/>
            <w:vAlign w:val="center"/>
            <w:hideMark/>
          </w:tcPr>
          <w:p w14:paraId="618653D6"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19,958 </w:t>
            </w:r>
          </w:p>
        </w:tc>
        <w:tc>
          <w:tcPr>
            <w:tcW w:w="216" w:type="dxa"/>
            <w:tcBorders>
              <w:top w:val="nil"/>
              <w:left w:val="nil"/>
              <w:bottom w:val="nil"/>
              <w:right w:val="nil"/>
            </w:tcBorders>
            <w:shd w:val="clear" w:color="auto" w:fill="auto"/>
            <w:noWrap/>
            <w:vAlign w:val="center"/>
            <w:hideMark/>
          </w:tcPr>
          <w:p w14:paraId="794B2982"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5384483A"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19,727 </w:t>
            </w:r>
          </w:p>
        </w:tc>
      </w:tr>
      <w:tr w:rsidR="00BC5219" w:rsidRPr="008A2B8F" w14:paraId="58116119" w14:textId="77777777" w:rsidTr="00E83802">
        <w:trPr>
          <w:trHeight w:val="240"/>
        </w:trPr>
        <w:tc>
          <w:tcPr>
            <w:tcW w:w="7136" w:type="dxa"/>
            <w:tcBorders>
              <w:top w:val="nil"/>
              <w:left w:val="nil"/>
              <w:bottom w:val="nil"/>
              <w:right w:val="nil"/>
            </w:tcBorders>
            <w:shd w:val="clear" w:color="auto" w:fill="auto"/>
            <w:noWrap/>
            <w:vAlign w:val="center"/>
            <w:hideMark/>
          </w:tcPr>
          <w:p w14:paraId="192FDE8F"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Other</w:t>
            </w:r>
          </w:p>
        </w:tc>
        <w:tc>
          <w:tcPr>
            <w:tcW w:w="1156" w:type="dxa"/>
            <w:tcBorders>
              <w:top w:val="nil"/>
              <w:left w:val="nil"/>
              <w:bottom w:val="nil"/>
              <w:right w:val="nil"/>
            </w:tcBorders>
            <w:shd w:val="clear" w:color="000000" w:fill="C9E3B4"/>
            <w:noWrap/>
            <w:vAlign w:val="center"/>
            <w:hideMark/>
          </w:tcPr>
          <w:p w14:paraId="5C79DC41"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50,721 </w:t>
            </w:r>
          </w:p>
        </w:tc>
        <w:tc>
          <w:tcPr>
            <w:tcW w:w="216" w:type="dxa"/>
            <w:tcBorders>
              <w:top w:val="nil"/>
              <w:left w:val="nil"/>
              <w:bottom w:val="nil"/>
              <w:right w:val="nil"/>
            </w:tcBorders>
            <w:shd w:val="clear" w:color="auto" w:fill="auto"/>
            <w:noWrap/>
            <w:vAlign w:val="center"/>
            <w:hideMark/>
          </w:tcPr>
          <w:p w14:paraId="4A038E51"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05779810"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49,852 </w:t>
            </w:r>
          </w:p>
        </w:tc>
      </w:tr>
      <w:tr w:rsidR="00BC5219" w:rsidRPr="008A2B8F" w14:paraId="53ABB3C5" w14:textId="77777777" w:rsidTr="00E83802">
        <w:trPr>
          <w:trHeight w:val="240"/>
        </w:trPr>
        <w:tc>
          <w:tcPr>
            <w:tcW w:w="7136" w:type="dxa"/>
            <w:tcBorders>
              <w:top w:val="single" w:sz="4" w:space="0" w:color="auto"/>
              <w:left w:val="nil"/>
              <w:bottom w:val="double" w:sz="6" w:space="0" w:color="auto"/>
              <w:right w:val="nil"/>
            </w:tcBorders>
            <w:shd w:val="clear" w:color="auto" w:fill="auto"/>
            <w:noWrap/>
            <w:vAlign w:val="center"/>
            <w:hideMark/>
          </w:tcPr>
          <w:p w14:paraId="2DC6DA45"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Total</w:t>
            </w:r>
          </w:p>
        </w:tc>
        <w:tc>
          <w:tcPr>
            <w:tcW w:w="1156" w:type="dxa"/>
            <w:tcBorders>
              <w:top w:val="single" w:sz="4" w:space="0" w:color="auto"/>
              <w:left w:val="nil"/>
              <w:bottom w:val="double" w:sz="6" w:space="0" w:color="auto"/>
              <w:right w:val="nil"/>
            </w:tcBorders>
            <w:shd w:val="clear" w:color="000000" w:fill="C9E3B4"/>
            <w:noWrap/>
            <w:vAlign w:val="center"/>
            <w:hideMark/>
          </w:tcPr>
          <w:p w14:paraId="40B048E8"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778,843 </w:t>
            </w:r>
          </w:p>
        </w:tc>
        <w:tc>
          <w:tcPr>
            <w:tcW w:w="216" w:type="dxa"/>
            <w:tcBorders>
              <w:top w:val="single" w:sz="4" w:space="0" w:color="auto"/>
              <w:left w:val="nil"/>
              <w:bottom w:val="double" w:sz="6" w:space="0" w:color="auto"/>
              <w:right w:val="nil"/>
            </w:tcBorders>
            <w:shd w:val="clear" w:color="auto" w:fill="auto"/>
            <w:noWrap/>
            <w:vAlign w:val="center"/>
            <w:hideMark/>
          </w:tcPr>
          <w:p w14:paraId="45E9BCD4"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w:t>
            </w:r>
          </w:p>
        </w:tc>
        <w:tc>
          <w:tcPr>
            <w:tcW w:w="1156" w:type="dxa"/>
            <w:tcBorders>
              <w:top w:val="single" w:sz="4" w:space="0" w:color="auto"/>
              <w:left w:val="nil"/>
              <w:bottom w:val="double" w:sz="6" w:space="0" w:color="auto"/>
              <w:right w:val="nil"/>
            </w:tcBorders>
            <w:shd w:val="clear" w:color="auto" w:fill="auto"/>
            <w:noWrap/>
            <w:vAlign w:val="center"/>
            <w:hideMark/>
          </w:tcPr>
          <w:p w14:paraId="32FDF4F9"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703,281 </w:t>
            </w:r>
          </w:p>
        </w:tc>
      </w:tr>
    </w:tbl>
    <w:p w14:paraId="7D1C790F" w14:textId="77777777" w:rsidR="00BC5219" w:rsidRPr="008A2B8F" w:rsidRDefault="00BC5219" w:rsidP="00BC5219">
      <w:pPr>
        <w:spacing w:before="120"/>
        <w:rPr>
          <w:rFonts w:ascii="Meta Pro" w:hAnsi="Meta Pro"/>
          <w:sz w:val="16"/>
          <w:szCs w:val="16"/>
        </w:rPr>
      </w:pPr>
      <w:r w:rsidRPr="008A2B8F">
        <w:rPr>
          <w:rFonts w:ascii="Meta Pro" w:hAnsi="Meta Pro"/>
          <w:sz w:val="16"/>
          <w:szCs w:val="16"/>
        </w:rPr>
        <w:t>* Fare revenue increase across passenger transport services is mainly due to the lifting of COVID-19 restrictions.</w:t>
      </w:r>
    </w:p>
    <w:p w14:paraId="485D3540" w14:textId="77777777" w:rsidR="00BC5219" w:rsidRPr="008A2B8F" w:rsidRDefault="00BC5219" w:rsidP="00BC5219">
      <w:pPr>
        <w:spacing w:before="60"/>
        <w:rPr>
          <w:rFonts w:ascii="Meta Pro" w:hAnsi="Meta Pro"/>
          <w:sz w:val="16"/>
          <w:szCs w:val="16"/>
        </w:rPr>
      </w:pPr>
      <w:r w:rsidRPr="008A2B8F">
        <w:rPr>
          <w:rFonts w:ascii="Meta Pro" w:hAnsi="Meta Pro"/>
          <w:sz w:val="16"/>
          <w:szCs w:val="16"/>
        </w:rPr>
        <w:t>** Relates to services provided by entities transferred due to the machinery-of-government change. Refer to Note 1.</w:t>
      </w:r>
    </w:p>
    <w:p w14:paraId="3AD0BB61" w14:textId="77777777" w:rsidR="00BC5219" w:rsidRPr="008A2B8F" w:rsidRDefault="00BC5219" w:rsidP="00BC5219">
      <w:pPr>
        <w:spacing w:before="60"/>
        <w:rPr>
          <w:rFonts w:ascii="Meta Pro" w:hAnsi="Meta Pro"/>
          <w:sz w:val="16"/>
          <w:szCs w:val="16"/>
        </w:rPr>
      </w:pPr>
      <w:r w:rsidRPr="008A2B8F">
        <w:rPr>
          <w:rFonts w:ascii="Meta Pro" w:hAnsi="Meta Pro"/>
          <w:sz w:val="16"/>
          <w:szCs w:val="16"/>
        </w:rPr>
        <w:t xml:space="preserve">*** Recoverable works includes works completed for Queensland Rail relating to park and ride infrastructure of $5.873m in 2023 (2022: $66.907m) </w:t>
      </w:r>
    </w:p>
    <w:p w14:paraId="74B15DFD" w14:textId="77777777" w:rsidR="00BC5219" w:rsidRPr="008A2B8F" w:rsidRDefault="00BC5219" w:rsidP="00BC5219">
      <w:pPr>
        <w:rPr>
          <w:rFonts w:ascii="Meta Pro" w:hAnsi="Meta Pro"/>
          <w:sz w:val="16"/>
          <w:szCs w:val="16"/>
        </w:rPr>
      </w:pPr>
      <w:r w:rsidRPr="008A2B8F">
        <w:rPr>
          <w:rFonts w:ascii="Meta Pro" w:hAnsi="Meta Pro"/>
          <w:sz w:val="16"/>
          <w:szCs w:val="16"/>
        </w:rPr>
        <w:t xml:space="preserve">       and the City of Gold Coast for local infrastructure improvements of $0.651m in 2023 (2022: $16.923m).</w:t>
      </w:r>
    </w:p>
    <w:p w14:paraId="536FA660" w14:textId="77777777" w:rsidR="00BC5219" w:rsidRPr="008A2B8F" w:rsidRDefault="00BC5219" w:rsidP="00BC5219">
      <w:pPr>
        <w:rPr>
          <w:rFonts w:ascii="Meta Pro" w:hAnsi="Meta Pro"/>
          <w:sz w:val="16"/>
          <w:szCs w:val="16"/>
        </w:rPr>
      </w:pPr>
    </w:p>
    <w:p w14:paraId="7D4E8744" w14:textId="77777777" w:rsidR="00BC5219" w:rsidRPr="008A2B8F" w:rsidRDefault="00BC5219" w:rsidP="00BC5219">
      <w:pPr>
        <w:pStyle w:val="ACPHeading"/>
      </w:pPr>
      <w:r w:rsidRPr="008A2B8F">
        <w:t>Accounting policy</w:t>
      </w:r>
    </w:p>
    <w:p w14:paraId="48A8261A" w14:textId="77777777" w:rsidR="00BC5219" w:rsidRPr="008A2B8F" w:rsidRDefault="00BC5219" w:rsidP="00BC5219">
      <w:pPr>
        <w:pStyle w:val="ACPPara"/>
      </w:pPr>
      <w:r w:rsidRPr="008A2B8F">
        <w:t>User charges and fees are recognised as performance obligations are met and as goods or services are provided to the customer.</w:t>
      </w:r>
    </w:p>
    <w:p w14:paraId="75CA8A95" w14:textId="77777777" w:rsidR="00BC5219" w:rsidRPr="008A2B8F" w:rsidRDefault="00BC5219" w:rsidP="00BC5219">
      <w:pPr>
        <w:spacing w:before="60"/>
        <w:rPr>
          <w:rFonts w:ascii="Meta Pro" w:hAnsi="Meta Pro" w:cstheme="minorBidi"/>
        </w:rPr>
      </w:pPr>
    </w:p>
    <w:tbl>
      <w:tblPr>
        <w:tblW w:w="0" w:type="auto"/>
        <w:tblCellMar>
          <w:left w:w="0" w:type="dxa"/>
        </w:tblCellMar>
        <w:tblLook w:val="04A0" w:firstRow="1" w:lastRow="0" w:firstColumn="1" w:lastColumn="0" w:noHBand="0" w:noVBand="1"/>
      </w:tblPr>
      <w:tblGrid>
        <w:gridCol w:w="7125"/>
        <w:gridCol w:w="1161"/>
        <w:gridCol w:w="223"/>
        <w:gridCol w:w="1161"/>
      </w:tblGrid>
      <w:tr w:rsidR="00BC5219" w:rsidRPr="008A2B8F" w14:paraId="00BDFF41" w14:textId="77777777" w:rsidTr="00E83802">
        <w:trPr>
          <w:trHeight w:val="240"/>
        </w:trPr>
        <w:tc>
          <w:tcPr>
            <w:tcW w:w="7117" w:type="dxa"/>
            <w:tcBorders>
              <w:top w:val="nil"/>
              <w:left w:val="nil"/>
              <w:bottom w:val="nil"/>
              <w:right w:val="nil"/>
            </w:tcBorders>
            <w:shd w:val="clear" w:color="auto" w:fill="auto"/>
            <w:noWrap/>
            <w:vAlign w:val="center"/>
            <w:hideMark/>
          </w:tcPr>
          <w:p w14:paraId="76337FD8" w14:textId="77777777" w:rsidR="00BC5219" w:rsidRPr="008A2B8F" w:rsidRDefault="00BC5219" w:rsidP="00E83802">
            <w:pPr>
              <w:rPr>
                <w:rFonts w:ascii="Meta Pro" w:eastAsia="Times New Roman" w:hAnsi="Meta Pro"/>
                <w:b/>
                <w:bCs/>
                <w:lang w:eastAsia="en-AU"/>
              </w:rPr>
            </w:pPr>
            <w:r w:rsidRPr="008A2B8F">
              <w:rPr>
                <w:rFonts w:ascii="Meta Pro" w:eastAsia="Times New Roman" w:hAnsi="Meta Pro"/>
                <w:b/>
                <w:bCs/>
                <w:lang w:eastAsia="en-AU"/>
              </w:rPr>
              <w:t>4     GRANTS AND OTHER CONTRIBUTIONS</w:t>
            </w:r>
          </w:p>
        </w:tc>
        <w:tc>
          <w:tcPr>
            <w:tcW w:w="1153" w:type="dxa"/>
            <w:tcBorders>
              <w:top w:val="nil"/>
              <w:left w:val="nil"/>
              <w:bottom w:val="nil"/>
              <w:right w:val="nil"/>
            </w:tcBorders>
            <w:shd w:val="clear" w:color="auto" w:fill="auto"/>
            <w:noWrap/>
            <w:vAlign w:val="center"/>
            <w:hideMark/>
          </w:tcPr>
          <w:p w14:paraId="30BC7C47" w14:textId="77777777" w:rsidR="00BC5219" w:rsidRPr="008A2B8F" w:rsidRDefault="00BC5219" w:rsidP="00E83802">
            <w:pPr>
              <w:rPr>
                <w:rFonts w:ascii="Meta Pro" w:eastAsia="Times New Roman" w:hAnsi="Meta Pro"/>
                <w:b/>
                <w:bCs/>
                <w:lang w:eastAsia="en-AU"/>
              </w:rPr>
            </w:pPr>
          </w:p>
        </w:tc>
        <w:tc>
          <w:tcPr>
            <w:tcW w:w="215" w:type="dxa"/>
            <w:tcBorders>
              <w:top w:val="nil"/>
              <w:left w:val="nil"/>
              <w:bottom w:val="nil"/>
              <w:right w:val="nil"/>
            </w:tcBorders>
            <w:shd w:val="clear" w:color="auto" w:fill="auto"/>
            <w:noWrap/>
            <w:vAlign w:val="center"/>
            <w:hideMark/>
          </w:tcPr>
          <w:p w14:paraId="49F87E8B" w14:textId="77777777" w:rsidR="00BC5219" w:rsidRPr="008A2B8F" w:rsidRDefault="00BC5219" w:rsidP="00E83802">
            <w:pPr>
              <w:jc w:val="right"/>
              <w:rPr>
                <w:rFonts w:ascii="Meta Pro" w:eastAsia="Times New Roman" w:hAnsi="Meta Pro" w:cs="Times New Roman"/>
                <w:sz w:val="20"/>
                <w:szCs w:val="20"/>
                <w:lang w:eastAsia="en-AU"/>
              </w:rPr>
            </w:pPr>
          </w:p>
        </w:tc>
        <w:tc>
          <w:tcPr>
            <w:tcW w:w="1153" w:type="dxa"/>
            <w:tcBorders>
              <w:top w:val="nil"/>
              <w:left w:val="nil"/>
              <w:bottom w:val="nil"/>
              <w:right w:val="nil"/>
            </w:tcBorders>
            <w:shd w:val="clear" w:color="auto" w:fill="auto"/>
            <w:noWrap/>
            <w:vAlign w:val="center"/>
            <w:hideMark/>
          </w:tcPr>
          <w:p w14:paraId="5D1B70AA"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1AF38B5C" w14:textId="77777777" w:rsidTr="00E83802">
        <w:trPr>
          <w:trHeight w:val="90"/>
        </w:trPr>
        <w:tc>
          <w:tcPr>
            <w:tcW w:w="7117" w:type="dxa"/>
            <w:tcBorders>
              <w:top w:val="nil"/>
              <w:left w:val="nil"/>
              <w:bottom w:val="nil"/>
              <w:right w:val="nil"/>
            </w:tcBorders>
            <w:shd w:val="clear" w:color="auto" w:fill="auto"/>
            <w:noWrap/>
            <w:vAlign w:val="center"/>
            <w:hideMark/>
          </w:tcPr>
          <w:p w14:paraId="13F61DC2" w14:textId="77777777" w:rsidR="00BC5219" w:rsidRPr="008A2B8F" w:rsidRDefault="00BC5219" w:rsidP="00E83802">
            <w:pPr>
              <w:jc w:val="right"/>
              <w:rPr>
                <w:rFonts w:ascii="Meta Pro" w:eastAsia="Times New Roman" w:hAnsi="Meta Pro" w:cs="Times New Roman"/>
                <w:sz w:val="20"/>
                <w:szCs w:val="20"/>
                <w:lang w:eastAsia="en-AU"/>
              </w:rPr>
            </w:pPr>
          </w:p>
        </w:tc>
        <w:tc>
          <w:tcPr>
            <w:tcW w:w="1153" w:type="dxa"/>
            <w:tcBorders>
              <w:top w:val="nil"/>
              <w:left w:val="nil"/>
              <w:bottom w:val="nil"/>
              <w:right w:val="nil"/>
            </w:tcBorders>
            <w:shd w:val="clear" w:color="auto" w:fill="auto"/>
            <w:noWrap/>
            <w:vAlign w:val="center"/>
            <w:hideMark/>
          </w:tcPr>
          <w:p w14:paraId="63E05758" w14:textId="77777777" w:rsidR="00BC5219" w:rsidRPr="008A2B8F" w:rsidRDefault="00BC5219" w:rsidP="00E83802">
            <w:pPr>
              <w:rPr>
                <w:rFonts w:ascii="Meta Pro" w:eastAsia="Times New Roman" w:hAnsi="Meta Pro"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3083B555" w14:textId="77777777" w:rsidR="00BC5219" w:rsidRPr="008A2B8F" w:rsidRDefault="00BC5219" w:rsidP="00E83802">
            <w:pPr>
              <w:jc w:val="right"/>
              <w:rPr>
                <w:rFonts w:ascii="Meta Pro" w:eastAsia="Times New Roman" w:hAnsi="Meta Pro" w:cs="Times New Roman"/>
                <w:sz w:val="20"/>
                <w:szCs w:val="20"/>
                <w:lang w:eastAsia="en-AU"/>
              </w:rPr>
            </w:pPr>
          </w:p>
        </w:tc>
        <w:tc>
          <w:tcPr>
            <w:tcW w:w="1153" w:type="dxa"/>
            <w:tcBorders>
              <w:top w:val="nil"/>
              <w:left w:val="nil"/>
              <w:bottom w:val="nil"/>
              <w:right w:val="nil"/>
            </w:tcBorders>
            <w:shd w:val="clear" w:color="auto" w:fill="auto"/>
            <w:noWrap/>
            <w:vAlign w:val="center"/>
            <w:hideMark/>
          </w:tcPr>
          <w:p w14:paraId="47D03E51"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2C8EA4DB" w14:textId="77777777" w:rsidTr="00E83802">
        <w:trPr>
          <w:trHeight w:val="240"/>
        </w:trPr>
        <w:tc>
          <w:tcPr>
            <w:tcW w:w="7117" w:type="dxa"/>
            <w:tcBorders>
              <w:top w:val="nil"/>
              <w:left w:val="nil"/>
              <w:bottom w:val="nil"/>
              <w:right w:val="nil"/>
            </w:tcBorders>
            <w:shd w:val="clear" w:color="auto" w:fill="auto"/>
            <w:noWrap/>
            <w:vAlign w:val="center"/>
            <w:hideMark/>
          </w:tcPr>
          <w:p w14:paraId="0C360B69"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Goods, services and assets received at below fair value *</w:t>
            </w:r>
          </w:p>
        </w:tc>
        <w:tc>
          <w:tcPr>
            <w:tcW w:w="1153" w:type="dxa"/>
            <w:tcBorders>
              <w:top w:val="nil"/>
              <w:left w:val="nil"/>
              <w:bottom w:val="nil"/>
              <w:right w:val="nil"/>
            </w:tcBorders>
            <w:shd w:val="clear" w:color="000000" w:fill="C9E3B4"/>
            <w:noWrap/>
            <w:vAlign w:val="center"/>
            <w:hideMark/>
          </w:tcPr>
          <w:p w14:paraId="10607D76"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51,830 </w:t>
            </w:r>
          </w:p>
        </w:tc>
        <w:tc>
          <w:tcPr>
            <w:tcW w:w="215" w:type="dxa"/>
            <w:tcBorders>
              <w:top w:val="nil"/>
              <w:left w:val="nil"/>
              <w:bottom w:val="nil"/>
              <w:right w:val="nil"/>
            </w:tcBorders>
            <w:shd w:val="clear" w:color="auto" w:fill="auto"/>
            <w:noWrap/>
            <w:vAlign w:val="center"/>
            <w:hideMark/>
          </w:tcPr>
          <w:p w14:paraId="60B9C1D3" w14:textId="77777777" w:rsidR="00BC5219" w:rsidRPr="008A2B8F" w:rsidRDefault="00BC5219" w:rsidP="00E83802">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514DB110"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71,576 </w:t>
            </w:r>
          </w:p>
        </w:tc>
      </w:tr>
      <w:tr w:rsidR="00BC5219" w:rsidRPr="008A2B8F" w14:paraId="26273A8B" w14:textId="77777777" w:rsidTr="00E83802">
        <w:trPr>
          <w:trHeight w:val="240"/>
        </w:trPr>
        <w:tc>
          <w:tcPr>
            <w:tcW w:w="7117" w:type="dxa"/>
            <w:tcBorders>
              <w:top w:val="nil"/>
              <w:left w:val="nil"/>
              <w:bottom w:val="nil"/>
              <w:right w:val="nil"/>
            </w:tcBorders>
            <w:shd w:val="clear" w:color="auto" w:fill="auto"/>
            <w:noWrap/>
            <w:vAlign w:val="center"/>
            <w:hideMark/>
          </w:tcPr>
          <w:p w14:paraId="77572A91"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Grants from City of Gold Coast **</w:t>
            </w:r>
          </w:p>
        </w:tc>
        <w:tc>
          <w:tcPr>
            <w:tcW w:w="1153" w:type="dxa"/>
            <w:tcBorders>
              <w:top w:val="nil"/>
              <w:left w:val="nil"/>
              <w:bottom w:val="nil"/>
              <w:right w:val="nil"/>
            </w:tcBorders>
            <w:shd w:val="clear" w:color="000000" w:fill="C9E3B4"/>
            <w:noWrap/>
            <w:vAlign w:val="center"/>
            <w:hideMark/>
          </w:tcPr>
          <w:p w14:paraId="6608E1AD"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10,230 </w:t>
            </w:r>
          </w:p>
        </w:tc>
        <w:tc>
          <w:tcPr>
            <w:tcW w:w="215" w:type="dxa"/>
            <w:tcBorders>
              <w:top w:val="nil"/>
              <w:left w:val="nil"/>
              <w:bottom w:val="nil"/>
              <w:right w:val="nil"/>
            </w:tcBorders>
            <w:shd w:val="clear" w:color="auto" w:fill="auto"/>
            <w:noWrap/>
            <w:vAlign w:val="center"/>
            <w:hideMark/>
          </w:tcPr>
          <w:p w14:paraId="7DC6A45A" w14:textId="77777777" w:rsidR="00BC5219" w:rsidRPr="008A2B8F" w:rsidRDefault="00BC5219" w:rsidP="00E83802">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489C1039"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17,000 </w:t>
            </w:r>
          </w:p>
        </w:tc>
      </w:tr>
      <w:tr w:rsidR="00BC5219" w:rsidRPr="008A2B8F" w14:paraId="5D5B5321" w14:textId="77777777" w:rsidTr="00E83802">
        <w:trPr>
          <w:trHeight w:val="240"/>
        </w:trPr>
        <w:tc>
          <w:tcPr>
            <w:tcW w:w="7117" w:type="dxa"/>
            <w:tcBorders>
              <w:top w:val="nil"/>
              <w:left w:val="nil"/>
              <w:bottom w:val="nil"/>
              <w:right w:val="nil"/>
            </w:tcBorders>
            <w:shd w:val="clear" w:color="auto" w:fill="auto"/>
            <w:noWrap/>
            <w:vAlign w:val="center"/>
            <w:hideMark/>
          </w:tcPr>
          <w:p w14:paraId="49FDA62F"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xml:space="preserve">Grants from Queensland Health </w:t>
            </w:r>
          </w:p>
        </w:tc>
        <w:tc>
          <w:tcPr>
            <w:tcW w:w="1153" w:type="dxa"/>
            <w:tcBorders>
              <w:top w:val="nil"/>
              <w:left w:val="nil"/>
              <w:bottom w:val="nil"/>
              <w:right w:val="nil"/>
            </w:tcBorders>
            <w:shd w:val="clear" w:color="000000" w:fill="C9E3B4"/>
            <w:noWrap/>
            <w:vAlign w:val="center"/>
            <w:hideMark/>
          </w:tcPr>
          <w:p w14:paraId="22DD420D"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6,688 </w:t>
            </w:r>
          </w:p>
        </w:tc>
        <w:tc>
          <w:tcPr>
            <w:tcW w:w="215" w:type="dxa"/>
            <w:tcBorders>
              <w:top w:val="nil"/>
              <w:left w:val="nil"/>
              <w:bottom w:val="nil"/>
              <w:right w:val="nil"/>
            </w:tcBorders>
            <w:shd w:val="clear" w:color="auto" w:fill="auto"/>
            <w:noWrap/>
            <w:vAlign w:val="center"/>
            <w:hideMark/>
          </w:tcPr>
          <w:p w14:paraId="1D3BB28F" w14:textId="77777777" w:rsidR="00BC5219" w:rsidRPr="008A2B8F" w:rsidRDefault="00BC5219" w:rsidP="00E83802">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163DD684"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8,726 </w:t>
            </w:r>
          </w:p>
        </w:tc>
      </w:tr>
      <w:tr w:rsidR="00BC5219" w:rsidRPr="008A2B8F" w14:paraId="40C48CC0" w14:textId="77777777" w:rsidTr="00E83802">
        <w:trPr>
          <w:trHeight w:val="240"/>
        </w:trPr>
        <w:tc>
          <w:tcPr>
            <w:tcW w:w="7117" w:type="dxa"/>
            <w:tcBorders>
              <w:top w:val="nil"/>
              <w:left w:val="nil"/>
              <w:bottom w:val="nil"/>
              <w:right w:val="nil"/>
            </w:tcBorders>
            <w:shd w:val="clear" w:color="auto" w:fill="auto"/>
            <w:noWrap/>
            <w:vAlign w:val="center"/>
            <w:hideMark/>
          </w:tcPr>
          <w:p w14:paraId="1390F647"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Grants from Queensland Reconstruction Authority ***</w:t>
            </w:r>
          </w:p>
        </w:tc>
        <w:tc>
          <w:tcPr>
            <w:tcW w:w="1153" w:type="dxa"/>
            <w:tcBorders>
              <w:top w:val="nil"/>
              <w:left w:val="nil"/>
              <w:bottom w:val="nil"/>
              <w:right w:val="nil"/>
            </w:tcBorders>
            <w:shd w:val="clear" w:color="000000" w:fill="C9E3B4"/>
            <w:noWrap/>
            <w:vAlign w:val="center"/>
            <w:hideMark/>
          </w:tcPr>
          <w:p w14:paraId="3B44BABD"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152,462 </w:t>
            </w:r>
          </w:p>
        </w:tc>
        <w:tc>
          <w:tcPr>
            <w:tcW w:w="215" w:type="dxa"/>
            <w:tcBorders>
              <w:top w:val="nil"/>
              <w:left w:val="nil"/>
              <w:bottom w:val="nil"/>
              <w:right w:val="nil"/>
            </w:tcBorders>
            <w:shd w:val="clear" w:color="auto" w:fill="auto"/>
            <w:noWrap/>
            <w:vAlign w:val="center"/>
            <w:hideMark/>
          </w:tcPr>
          <w:p w14:paraId="56BCC04C" w14:textId="77777777" w:rsidR="00BC5219" w:rsidRPr="008A2B8F" w:rsidRDefault="00BC5219" w:rsidP="00E83802">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222A0312"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71,270 </w:t>
            </w:r>
          </w:p>
        </w:tc>
      </w:tr>
      <w:tr w:rsidR="00BC5219" w:rsidRPr="008A2B8F" w14:paraId="7FAD840F" w14:textId="77777777" w:rsidTr="00E83802">
        <w:trPr>
          <w:trHeight w:val="240"/>
        </w:trPr>
        <w:tc>
          <w:tcPr>
            <w:tcW w:w="7117" w:type="dxa"/>
            <w:tcBorders>
              <w:top w:val="nil"/>
              <w:left w:val="nil"/>
              <w:bottom w:val="nil"/>
              <w:right w:val="nil"/>
            </w:tcBorders>
            <w:shd w:val="clear" w:color="auto" w:fill="auto"/>
            <w:noWrap/>
            <w:vAlign w:val="center"/>
            <w:hideMark/>
          </w:tcPr>
          <w:p w14:paraId="4F5878F7"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Subsidies from Department of Education for students with disabilities</w:t>
            </w:r>
          </w:p>
        </w:tc>
        <w:tc>
          <w:tcPr>
            <w:tcW w:w="1153" w:type="dxa"/>
            <w:tcBorders>
              <w:top w:val="nil"/>
              <w:left w:val="nil"/>
              <w:bottom w:val="nil"/>
              <w:right w:val="nil"/>
            </w:tcBorders>
            <w:shd w:val="clear" w:color="000000" w:fill="C9E3B4"/>
            <w:noWrap/>
            <w:vAlign w:val="center"/>
            <w:hideMark/>
          </w:tcPr>
          <w:p w14:paraId="1025860F"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49,640 </w:t>
            </w:r>
          </w:p>
        </w:tc>
        <w:tc>
          <w:tcPr>
            <w:tcW w:w="215" w:type="dxa"/>
            <w:tcBorders>
              <w:top w:val="nil"/>
              <w:left w:val="nil"/>
              <w:bottom w:val="nil"/>
              <w:right w:val="nil"/>
            </w:tcBorders>
            <w:shd w:val="clear" w:color="auto" w:fill="auto"/>
            <w:noWrap/>
            <w:vAlign w:val="center"/>
            <w:hideMark/>
          </w:tcPr>
          <w:p w14:paraId="0A949743" w14:textId="77777777" w:rsidR="00BC5219" w:rsidRPr="008A2B8F" w:rsidRDefault="00BC5219" w:rsidP="00E83802">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017BA675"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43,137 </w:t>
            </w:r>
          </w:p>
        </w:tc>
      </w:tr>
      <w:tr w:rsidR="00BC5219" w:rsidRPr="008A2B8F" w14:paraId="2D98F032" w14:textId="77777777" w:rsidTr="00E83802">
        <w:trPr>
          <w:trHeight w:val="240"/>
        </w:trPr>
        <w:tc>
          <w:tcPr>
            <w:tcW w:w="7117" w:type="dxa"/>
            <w:tcBorders>
              <w:top w:val="nil"/>
              <w:left w:val="nil"/>
              <w:bottom w:val="nil"/>
              <w:right w:val="nil"/>
            </w:tcBorders>
            <w:shd w:val="clear" w:color="auto" w:fill="auto"/>
            <w:noWrap/>
            <w:vAlign w:val="center"/>
            <w:hideMark/>
          </w:tcPr>
          <w:p w14:paraId="3EB01E13"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Other</w:t>
            </w:r>
          </w:p>
        </w:tc>
        <w:tc>
          <w:tcPr>
            <w:tcW w:w="1153" w:type="dxa"/>
            <w:tcBorders>
              <w:top w:val="nil"/>
              <w:left w:val="nil"/>
              <w:bottom w:val="single" w:sz="4" w:space="0" w:color="auto"/>
              <w:right w:val="nil"/>
            </w:tcBorders>
            <w:shd w:val="clear" w:color="000000" w:fill="C9E3B4"/>
            <w:noWrap/>
            <w:vAlign w:val="center"/>
            <w:hideMark/>
          </w:tcPr>
          <w:p w14:paraId="057E9034"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5,238 </w:t>
            </w:r>
          </w:p>
        </w:tc>
        <w:tc>
          <w:tcPr>
            <w:tcW w:w="215" w:type="dxa"/>
            <w:tcBorders>
              <w:top w:val="nil"/>
              <w:left w:val="nil"/>
              <w:bottom w:val="nil"/>
              <w:right w:val="nil"/>
            </w:tcBorders>
            <w:shd w:val="clear" w:color="auto" w:fill="auto"/>
            <w:noWrap/>
            <w:vAlign w:val="center"/>
            <w:hideMark/>
          </w:tcPr>
          <w:p w14:paraId="636ED170" w14:textId="77777777" w:rsidR="00BC5219" w:rsidRPr="008A2B8F" w:rsidRDefault="00BC5219" w:rsidP="00E83802">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2D659885"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5,044 </w:t>
            </w:r>
          </w:p>
        </w:tc>
      </w:tr>
      <w:tr w:rsidR="00BC5219" w:rsidRPr="008A2B8F" w14:paraId="7638CEF6" w14:textId="77777777" w:rsidTr="00E83802">
        <w:trPr>
          <w:trHeight w:val="240"/>
        </w:trPr>
        <w:tc>
          <w:tcPr>
            <w:tcW w:w="7117" w:type="dxa"/>
            <w:tcBorders>
              <w:top w:val="single" w:sz="4" w:space="0" w:color="auto"/>
              <w:left w:val="nil"/>
              <w:bottom w:val="double" w:sz="6" w:space="0" w:color="auto"/>
              <w:right w:val="nil"/>
            </w:tcBorders>
            <w:shd w:val="clear" w:color="auto" w:fill="auto"/>
            <w:noWrap/>
            <w:vAlign w:val="center"/>
            <w:hideMark/>
          </w:tcPr>
          <w:p w14:paraId="5F438BBF"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Total</w:t>
            </w:r>
          </w:p>
        </w:tc>
        <w:tc>
          <w:tcPr>
            <w:tcW w:w="1153" w:type="dxa"/>
            <w:tcBorders>
              <w:top w:val="nil"/>
              <w:left w:val="nil"/>
              <w:bottom w:val="double" w:sz="6" w:space="0" w:color="auto"/>
              <w:right w:val="nil"/>
            </w:tcBorders>
            <w:shd w:val="clear" w:color="000000" w:fill="C9E3B4"/>
            <w:noWrap/>
            <w:vAlign w:val="center"/>
            <w:hideMark/>
          </w:tcPr>
          <w:p w14:paraId="3D551992"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276,088 </w:t>
            </w:r>
          </w:p>
        </w:tc>
        <w:tc>
          <w:tcPr>
            <w:tcW w:w="215" w:type="dxa"/>
            <w:tcBorders>
              <w:top w:val="single" w:sz="4" w:space="0" w:color="auto"/>
              <w:left w:val="nil"/>
              <w:bottom w:val="double" w:sz="6" w:space="0" w:color="auto"/>
              <w:right w:val="nil"/>
            </w:tcBorders>
            <w:shd w:val="clear" w:color="auto" w:fill="auto"/>
            <w:noWrap/>
            <w:vAlign w:val="center"/>
            <w:hideMark/>
          </w:tcPr>
          <w:p w14:paraId="04C2C132"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w:t>
            </w:r>
          </w:p>
        </w:tc>
        <w:tc>
          <w:tcPr>
            <w:tcW w:w="1153" w:type="dxa"/>
            <w:tcBorders>
              <w:top w:val="single" w:sz="4" w:space="0" w:color="auto"/>
              <w:left w:val="nil"/>
              <w:bottom w:val="double" w:sz="6" w:space="0" w:color="auto"/>
              <w:right w:val="nil"/>
            </w:tcBorders>
            <w:shd w:val="clear" w:color="auto" w:fill="auto"/>
            <w:noWrap/>
            <w:vAlign w:val="center"/>
            <w:hideMark/>
          </w:tcPr>
          <w:p w14:paraId="3E7A55C2"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216,753 </w:t>
            </w:r>
          </w:p>
        </w:tc>
      </w:tr>
    </w:tbl>
    <w:p w14:paraId="7C68AB40" w14:textId="77777777" w:rsidR="00BC5219" w:rsidRPr="008A2B8F" w:rsidRDefault="00BC5219" w:rsidP="00BC5219">
      <w:pPr>
        <w:spacing w:before="120"/>
        <w:rPr>
          <w:rFonts w:ascii="Meta Pro" w:hAnsi="Meta Pro"/>
          <w:sz w:val="16"/>
          <w:szCs w:val="16"/>
        </w:rPr>
      </w:pPr>
      <w:r w:rsidRPr="008A2B8F">
        <w:rPr>
          <w:rFonts w:ascii="Meta Pro" w:hAnsi="Meta Pro"/>
          <w:sz w:val="16"/>
          <w:szCs w:val="16"/>
        </w:rPr>
        <w:t>* Includes infrastructure assets received from local governments of $51.560m in 2023 (2022: $54.840m).</w:t>
      </w:r>
    </w:p>
    <w:p w14:paraId="567EA811" w14:textId="77777777" w:rsidR="00BC5219" w:rsidRPr="008A2B8F" w:rsidRDefault="00BC5219" w:rsidP="00BC5219">
      <w:pPr>
        <w:spacing w:before="60" w:after="60"/>
        <w:rPr>
          <w:rFonts w:ascii="Meta Pro" w:hAnsi="Meta Pro"/>
          <w:sz w:val="16"/>
          <w:szCs w:val="16"/>
        </w:rPr>
      </w:pPr>
      <w:r w:rsidRPr="008A2B8F">
        <w:rPr>
          <w:rFonts w:ascii="Meta Pro" w:hAnsi="Meta Pro"/>
          <w:sz w:val="16"/>
          <w:szCs w:val="16"/>
        </w:rPr>
        <w:t>** Grants related to the Gold Coast Light Rail system Stage 3.</w:t>
      </w:r>
    </w:p>
    <w:p w14:paraId="54026AB8" w14:textId="77777777" w:rsidR="00BC5219" w:rsidRPr="008A2B8F" w:rsidRDefault="00BC5219" w:rsidP="00BC5219">
      <w:pPr>
        <w:spacing w:before="60"/>
        <w:rPr>
          <w:rFonts w:ascii="Meta Pro" w:hAnsi="Meta Pro"/>
          <w:sz w:val="16"/>
          <w:szCs w:val="16"/>
        </w:rPr>
      </w:pPr>
      <w:r w:rsidRPr="008A2B8F">
        <w:rPr>
          <w:rFonts w:ascii="Meta Pro" w:hAnsi="Meta Pro"/>
          <w:sz w:val="16"/>
          <w:szCs w:val="16"/>
        </w:rPr>
        <w:t>*** Grants received for the rebuilding of transport infrastructure following natural disasters under the Disaster Recovery Funding Arrangements.</w:t>
      </w:r>
    </w:p>
    <w:p w14:paraId="7BC4E6D0" w14:textId="77777777" w:rsidR="00BC5219" w:rsidRPr="008A2B8F" w:rsidRDefault="00BC5219" w:rsidP="00BC5219">
      <w:pPr>
        <w:rPr>
          <w:rFonts w:ascii="Meta Pro" w:hAnsi="Meta Pro"/>
          <w:sz w:val="16"/>
          <w:szCs w:val="16"/>
        </w:rPr>
      </w:pPr>
    </w:p>
    <w:p w14:paraId="4BD7AED3" w14:textId="77777777" w:rsidR="00BC5219" w:rsidRPr="008A2B8F" w:rsidRDefault="00BC5219" w:rsidP="00BC5219">
      <w:pPr>
        <w:pStyle w:val="ACPHeading"/>
      </w:pPr>
      <w:r w:rsidRPr="008A2B8F">
        <w:t xml:space="preserve">Accounting policy </w:t>
      </w:r>
    </w:p>
    <w:p w14:paraId="2C5AB8D5" w14:textId="77777777" w:rsidR="00BC5219" w:rsidRPr="008A2B8F" w:rsidRDefault="00BC5219" w:rsidP="00BC5219">
      <w:pPr>
        <w:pStyle w:val="ACPPara"/>
      </w:pPr>
      <w:r w:rsidRPr="008A2B8F">
        <w:lastRenderedPageBreak/>
        <w:t xml:space="preserve">Grants, contributions and donations are non-reciprocal transactions where the department does not directly give approximately equal value to the grantor. </w:t>
      </w:r>
    </w:p>
    <w:p w14:paraId="2F71979A" w14:textId="77777777" w:rsidR="00BC5219" w:rsidRPr="008A2B8F" w:rsidRDefault="00BC5219" w:rsidP="00BC5219">
      <w:pPr>
        <w:pStyle w:val="ACPPara"/>
      </w:pPr>
      <w:r w:rsidRPr="008A2B8F">
        <w:t xml:space="preserve">Where the grant agreement is enforceable and contains sufficiently specific performance obligations for the department to transfer goods or services to a third-party on the grantor’s behalf, the transaction is accounted for under AASB 15 </w:t>
      </w:r>
      <w:r w:rsidRPr="008A2B8F">
        <w:rPr>
          <w:i/>
          <w:iCs/>
        </w:rPr>
        <w:t>Revenue from Contracts with Customers</w:t>
      </w:r>
      <w:r w:rsidRPr="008A2B8F">
        <w:t>. In this case revenue is initially deferred as a contract liability and recognised as or when the performance obligations are satisfied.</w:t>
      </w:r>
    </w:p>
    <w:p w14:paraId="33D1A8B7" w14:textId="77777777" w:rsidR="00BC5219" w:rsidRPr="008A2B8F" w:rsidRDefault="00BC5219" w:rsidP="00BC5219">
      <w:pPr>
        <w:pStyle w:val="ACPPara"/>
      </w:pPr>
      <w:r w:rsidRPr="008A2B8F">
        <w:t xml:space="preserve">Otherwise, the grant is accounted for under AASB 1058 </w:t>
      </w:r>
      <w:r w:rsidRPr="008A2B8F">
        <w:rPr>
          <w:i/>
          <w:iCs/>
        </w:rPr>
        <w:t>Income of Not-for-Profit Entities</w:t>
      </w:r>
      <w:r w:rsidRPr="008A2B8F">
        <w:t>, whereby revenue is recognised upon receipt of the grant funding, except for special purpose capital grants received to construct non-financial assets controlled by the department. Special purpose capital grants are recognised as unearned revenue when received, and subsequently recognised progressively as revenue as the department satisfies its obligations under the grant through construction of the asset.</w:t>
      </w:r>
    </w:p>
    <w:p w14:paraId="0D42500C"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r w:rsidRPr="008A2B8F">
        <w:rPr>
          <w:rFonts w:ascii="Meta Pro" w:eastAsia="Times New Roman" w:hAnsi="Meta Pro"/>
          <w:i/>
          <w:iCs/>
          <w:color w:val="000000" w:themeColor="text1"/>
          <w:lang w:eastAsia="en-AU"/>
        </w:rPr>
        <w:t>Department of Transport and Main Roads</w:t>
      </w:r>
    </w:p>
    <w:p w14:paraId="44058E7D"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Notes to the financial statements 2022–23 (continued)</w:t>
      </w:r>
    </w:p>
    <w:p w14:paraId="243818BE" w14:textId="77777777" w:rsidR="00BC5219" w:rsidRPr="008A2B8F" w:rsidRDefault="00BC5219" w:rsidP="00BC5219">
      <w:pPr>
        <w:rPr>
          <w:rFonts w:ascii="Meta Pro" w:eastAsia="Times New Roman" w:hAnsi="Meta Pro"/>
          <w:b/>
          <w:bCs/>
          <w:szCs w:val="18"/>
          <w:lang w:eastAsia="en-AU"/>
        </w:rPr>
      </w:pPr>
    </w:p>
    <w:p w14:paraId="171A07DE" w14:textId="77777777" w:rsidR="00BC5219" w:rsidRPr="008A2B8F" w:rsidRDefault="00BC5219" w:rsidP="00BC5219">
      <w:pPr>
        <w:spacing w:line="168" w:lineRule="auto"/>
        <w:rPr>
          <w:rFonts w:ascii="Meta Pro" w:hAnsi="Meta Pro"/>
          <w:sz w:val="24"/>
          <w:szCs w:val="24"/>
        </w:rPr>
      </w:pPr>
      <w:r w:rsidRPr="008A2B8F">
        <w:rPr>
          <w:rFonts w:ascii="Meta Pro" w:eastAsia="Times New Roman" w:hAnsi="Meta Pro"/>
          <w:b/>
          <w:bCs/>
          <w:lang w:eastAsia="en-AU"/>
        </w:rPr>
        <w:t>4     GRANTS AND OTHER CONTRIBUTIONS (continued)</w:t>
      </w:r>
    </w:p>
    <w:p w14:paraId="5CAC9721" w14:textId="77777777" w:rsidR="00BC5219" w:rsidRPr="008A2B8F" w:rsidRDefault="00BC5219" w:rsidP="00BC5219">
      <w:pPr>
        <w:spacing w:line="168" w:lineRule="auto"/>
        <w:rPr>
          <w:rFonts w:ascii="Meta Pro" w:hAnsi="Meta Pro"/>
          <w:sz w:val="24"/>
          <w:szCs w:val="24"/>
        </w:rPr>
      </w:pPr>
    </w:p>
    <w:p w14:paraId="642EB1C4" w14:textId="77777777" w:rsidR="00BC5219" w:rsidRPr="008A2B8F" w:rsidRDefault="00BC5219" w:rsidP="00BC5219">
      <w:pPr>
        <w:pStyle w:val="ACPHeading"/>
      </w:pPr>
      <w:r w:rsidRPr="008A2B8F">
        <w:t>Accounting policy (continued)</w:t>
      </w:r>
    </w:p>
    <w:p w14:paraId="6E6691CE" w14:textId="77777777" w:rsidR="00BC5219" w:rsidRPr="008A2B8F" w:rsidRDefault="00BC5219" w:rsidP="00BC5219">
      <w:pPr>
        <w:pStyle w:val="ACPPara"/>
      </w:pPr>
      <w:r w:rsidRPr="008A2B8F">
        <w:t>Contributions of services are recognised only if the services would have been purchased if they had not been donated and their fair value can be measured reliably. Where this is the case, the amount representing the fair value is recognised as revenue with a corresponding expense for the same amount.</w:t>
      </w:r>
    </w:p>
    <w:p w14:paraId="6FF4715C" w14:textId="77777777" w:rsidR="00BC5219" w:rsidRPr="008A2B8F" w:rsidRDefault="00BC5219" w:rsidP="00BC5219">
      <w:pPr>
        <w:pStyle w:val="ACPPara"/>
      </w:pPr>
      <w:r w:rsidRPr="008A2B8F">
        <w:t>Contributed physical assets are recognised at their fair value.</w:t>
      </w:r>
    </w:p>
    <w:p w14:paraId="0FADDB6C" w14:textId="77777777" w:rsidR="00BC5219" w:rsidRPr="008A2B8F" w:rsidRDefault="00BC5219" w:rsidP="00BC5219">
      <w:pPr>
        <w:spacing w:line="168" w:lineRule="auto"/>
        <w:rPr>
          <w:rFonts w:ascii="Meta Pro" w:hAnsi="Meta Pro" w:cstheme="minorBidi"/>
        </w:rPr>
      </w:pPr>
    </w:p>
    <w:tbl>
      <w:tblPr>
        <w:tblW w:w="0" w:type="auto"/>
        <w:tblCellMar>
          <w:left w:w="0" w:type="dxa"/>
        </w:tblCellMar>
        <w:tblLook w:val="04A0" w:firstRow="1" w:lastRow="0" w:firstColumn="1" w:lastColumn="0" w:noHBand="0" w:noVBand="1"/>
      </w:tblPr>
      <w:tblGrid>
        <w:gridCol w:w="7125"/>
        <w:gridCol w:w="1161"/>
        <w:gridCol w:w="223"/>
        <w:gridCol w:w="1161"/>
      </w:tblGrid>
      <w:tr w:rsidR="00BC5219" w:rsidRPr="008A2B8F" w14:paraId="2BDAB883" w14:textId="77777777" w:rsidTr="00E83802">
        <w:trPr>
          <w:trHeight w:val="240"/>
        </w:trPr>
        <w:tc>
          <w:tcPr>
            <w:tcW w:w="7117" w:type="dxa"/>
            <w:tcBorders>
              <w:top w:val="nil"/>
              <w:left w:val="nil"/>
              <w:bottom w:val="nil"/>
              <w:right w:val="nil"/>
            </w:tcBorders>
            <w:shd w:val="clear" w:color="auto" w:fill="auto"/>
            <w:noWrap/>
            <w:vAlign w:val="center"/>
            <w:hideMark/>
          </w:tcPr>
          <w:p w14:paraId="1BC78199" w14:textId="77777777" w:rsidR="00BC5219" w:rsidRPr="008A2B8F" w:rsidRDefault="00BC5219" w:rsidP="00E83802">
            <w:pPr>
              <w:rPr>
                <w:rFonts w:ascii="Meta Pro" w:eastAsia="Times New Roman" w:hAnsi="Meta Pro" w:cs="Times New Roman"/>
                <w:sz w:val="24"/>
                <w:szCs w:val="24"/>
                <w:lang w:eastAsia="en-AU"/>
              </w:rPr>
            </w:pPr>
          </w:p>
        </w:tc>
        <w:tc>
          <w:tcPr>
            <w:tcW w:w="1153" w:type="dxa"/>
            <w:tcBorders>
              <w:top w:val="nil"/>
              <w:left w:val="nil"/>
              <w:bottom w:val="nil"/>
              <w:right w:val="nil"/>
            </w:tcBorders>
            <w:shd w:val="clear" w:color="auto" w:fill="auto"/>
            <w:noWrap/>
            <w:vAlign w:val="center"/>
            <w:hideMark/>
          </w:tcPr>
          <w:p w14:paraId="4FC3895F" w14:textId="77777777" w:rsidR="00BC5219" w:rsidRPr="008A2B8F" w:rsidRDefault="00BC5219" w:rsidP="00E83802">
            <w:pPr>
              <w:jc w:val="center"/>
              <w:rPr>
                <w:rFonts w:ascii="Meta Pro" w:eastAsia="Times New Roman" w:hAnsi="Meta Pro"/>
                <w:b/>
                <w:bCs/>
                <w:color w:val="000000"/>
                <w:lang w:eastAsia="en-AU"/>
              </w:rPr>
            </w:pPr>
            <w:r w:rsidRPr="008A2B8F">
              <w:rPr>
                <w:rFonts w:ascii="Meta Pro" w:eastAsia="Times New Roman" w:hAnsi="Meta Pro"/>
                <w:b/>
                <w:bCs/>
                <w:color w:val="000000"/>
                <w:lang w:eastAsia="en-AU"/>
              </w:rPr>
              <w:t>2023</w:t>
            </w:r>
          </w:p>
        </w:tc>
        <w:tc>
          <w:tcPr>
            <w:tcW w:w="215" w:type="dxa"/>
            <w:tcBorders>
              <w:top w:val="nil"/>
              <w:left w:val="nil"/>
              <w:bottom w:val="nil"/>
              <w:right w:val="nil"/>
            </w:tcBorders>
            <w:shd w:val="clear" w:color="auto" w:fill="auto"/>
            <w:noWrap/>
            <w:vAlign w:val="center"/>
            <w:hideMark/>
          </w:tcPr>
          <w:p w14:paraId="1B79E398" w14:textId="77777777" w:rsidR="00BC5219" w:rsidRPr="008A2B8F" w:rsidRDefault="00BC5219" w:rsidP="00E83802">
            <w:pPr>
              <w:jc w:val="center"/>
              <w:rPr>
                <w:rFonts w:ascii="Meta Pro" w:eastAsia="Times New Roman" w:hAnsi="Meta Pro"/>
                <w:b/>
                <w:bCs/>
                <w:color w:val="000000"/>
                <w:lang w:eastAsia="en-AU"/>
              </w:rPr>
            </w:pPr>
          </w:p>
        </w:tc>
        <w:tc>
          <w:tcPr>
            <w:tcW w:w="1153" w:type="dxa"/>
            <w:tcBorders>
              <w:top w:val="nil"/>
              <w:left w:val="nil"/>
              <w:bottom w:val="nil"/>
              <w:right w:val="nil"/>
            </w:tcBorders>
            <w:shd w:val="clear" w:color="auto" w:fill="auto"/>
            <w:noWrap/>
            <w:vAlign w:val="center"/>
            <w:hideMark/>
          </w:tcPr>
          <w:p w14:paraId="2E1D0F25" w14:textId="77777777" w:rsidR="00BC5219" w:rsidRPr="008A2B8F" w:rsidRDefault="00BC5219" w:rsidP="00E83802">
            <w:pPr>
              <w:jc w:val="center"/>
              <w:rPr>
                <w:rFonts w:ascii="Meta Pro" w:eastAsia="Times New Roman" w:hAnsi="Meta Pro"/>
                <w:b/>
                <w:bCs/>
                <w:lang w:eastAsia="en-AU"/>
              </w:rPr>
            </w:pPr>
            <w:r w:rsidRPr="008A2B8F">
              <w:rPr>
                <w:rFonts w:ascii="Meta Pro" w:eastAsia="Times New Roman" w:hAnsi="Meta Pro"/>
                <w:b/>
                <w:bCs/>
                <w:lang w:eastAsia="en-AU"/>
              </w:rPr>
              <w:t>2022</w:t>
            </w:r>
          </w:p>
        </w:tc>
      </w:tr>
      <w:tr w:rsidR="00BC5219" w:rsidRPr="008A2B8F" w14:paraId="0F16EB6B" w14:textId="77777777" w:rsidTr="00E83802">
        <w:trPr>
          <w:trHeight w:val="240"/>
        </w:trPr>
        <w:tc>
          <w:tcPr>
            <w:tcW w:w="7117" w:type="dxa"/>
            <w:tcBorders>
              <w:top w:val="nil"/>
              <w:left w:val="nil"/>
              <w:bottom w:val="nil"/>
              <w:right w:val="nil"/>
            </w:tcBorders>
            <w:shd w:val="clear" w:color="auto" w:fill="auto"/>
            <w:noWrap/>
            <w:vAlign w:val="center"/>
            <w:hideMark/>
          </w:tcPr>
          <w:p w14:paraId="00E54AAB" w14:textId="77777777" w:rsidR="00BC5219" w:rsidRPr="008A2B8F" w:rsidRDefault="00BC5219" w:rsidP="00E83802">
            <w:pPr>
              <w:jc w:val="center"/>
              <w:rPr>
                <w:rFonts w:ascii="Meta Pro" w:eastAsia="Times New Roman" w:hAnsi="Meta Pro"/>
                <w:b/>
                <w:bCs/>
                <w:lang w:eastAsia="en-AU"/>
              </w:rPr>
            </w:pPr>
          </w:p>
        </w:tc>
        <w:tc>
          <w:tcPr>
            <w:tcW w:w="1153" w:type="dxa"/>
            <w:tcBorders>
              <w:top w:val="nil"/>
              <w:left w:val="nil"/>
              <w:bottom w:val="nil"/>
              <w:right w:val="nil"/>
            </w:tcBorders>
            <w:shd w:val="clear" w:color="auto" w:fill="auto"/>
            <w:noWrap/>
            <w:vAlign w:val="center"/>
            <w:hideMark/>
          </w:tcPr>
          <w:p w14:paraId="776E23C3" w14:textId="77777777" w:rsidR="00BC5219" w:rsidRPr="008A2B8F" w:rsidRDefault="00BC5219" w:rsidP="00E83802">
            <w:pPr>
              <w:jc w:val="center"/>
              <w:rPr>
                <w:rFonts w:ascii="Meta Pro" w:eastAsia="Times New Roman" w:hAnsi="Meta Pro"/>
                <w:b/>
                <w:bCs/>
                <w:lang w:eastAsia="en-AU"/>
              </w:rPr>
            </w:pPr>
            <w:r w:rsidRPr="008A2B8F">
              <w:rPr>
                <w:rFonts w:ascii="Meta Pro" w:eastAsia="Times New Roman" w:hAnsi="Meta Pro"/>
                <w:b/>
                <w:bCs/>
                <w:lang w:eastAsia="en-AU"/>
              </w:rPr>
              <w:t>$'000</w:t>
            </w:r>
          </w:p>
        </w:tc>
        <w:tc>
          <w:tcPr>
            <w:tcW w:w="215" w:type="dxa"/>
            <w:tcBorders>
              <w:top w:val="nil"/>
              <w:left w:val="nil"/>
              <w:bottom w:val="nil"/>
              <w:right w:val="nil"/>
            </w:tcBorders>
            <w:shd w:val="clear" w:color="auto" w:fill="auto"/>
            <w:noWrap/>
            <w:vAlign w:val="center"/>
            <w:hideMark/>
          </w:tcPr>
          <w:p w14:paraId="575EDF09" w14:textId="77777777" w:rsidR="00BC5219" w:rsidRPr="008A2B8F" w:rsidRDefault="00BC5219" w:rsidP="00E83802">
            <w:pPr>
              <w:jc w:val="center"/>
              <w:rPr>
                <w:rFonts w:ascii="Meta Pro" w:eastAsia="Times New Roman" w:hAnsi="Meta Pro"/>
                <w:b/>
                <w:bCs/>
                <w:lang w:eastAsia="en-AU"/>
              </w:rPr>
            </w:pPr>
          </w:p>
        </w:tc>
        <w:tc>
          <w:tcPr>
            <w:tcW w:w="1153" w:type="dxa"/>
            <w:tcBorders>
              <w:top w:val="nil"/>
              <w:left w:val="nil"/>
              <w:bottom w:val="nil"/>
              <w:right w:val="nil"/>
            </w:tcBorders>
            <w:shd w:val="clear" w:color="auto" w:fill="auto"/>
            <w:noWrap/>
            <w:vAlign w:val="center"/>
            <w:hideMark/>
          </w:tcPr>
          <w:p w14:paraId="6D9F3090" w14:textId="77777777" w:rsidR="00BC5219" w:rsidRPr="008A2B8F" w:rsidRDefault="00BC5219" w:rsidP="00E83802">
            <w:pPr>
              <w:jc w:val="center"/>
              <w:rPr>
                <w:rFonts w:ascii="Meta Pro" w:eastAsia="Times New Roman" w:hAnsi="Meta Pro"/>
                <w:b/>
                <w:bCs/>
                <w:lang w:eastAsia="en-AU"/>
              </w:rPr>
            </w:pPr>
            <w:r w:rsidRPr="008A2B8F">
              <w:rPr>
                <w:rFonts w:ascii="Meta Pro" w:eastAsia="Times New Roman" w:hAnsi="Meta Pro"/>
                <w:b/>
                <w:bCs/>
                <w:lang w:eastAsia="en-AU"/>
              </w:rPr>
              <w:t>$'000</w:t>
            </w:r>
          </w:p>
        </w:tc>
      </w:tr>
      <w:tr w:rsidR="00BC5219" w:rsidRPr="008A2B8F" w14:paraId="716F5954" w14:textId="77777777" w:rsidTr="00E83802">
        <w:trPr>
          <w:trHeight w:val="240"/>
        </w:trPr>
        <w:tc>
          <w:tcPr>
            <w:tcW w:w="7117" w:type="dxa"/>
            <w:tcBorders>
              <w:top w:val="nil"/>
              <w:left w:val="nil"/>
              <w:bottom w:val="nil"/>
              <w:right w:val="nil"/>
            </w:tcBorders>
            <w:shd w:val="clear" w:color="auto" w:fill="auto"/>
            <w:noWrap/>
            <w:vAlign w:val="center"/>
            <w:hideMark/>
          </w:tcPr>
          <w:p w14:paraId="7D5218F2" w14:textId="77777777" w:rsidR="00BC5219" w:rsidRPr="008A2B8F" w:rsidRDefault="00BC5219" w:rsidP="00E83802">
            <w:pPr>
              <w:rPr>
                <w:rFonts w:ascii="Meta Pro" w:eastAsia="Times New Roman" w:hAnsi="Meta Pro"/>
                <w:b/>
                <w:bCs/>
                <w:lang w:eastAsia="en-AU"/>
              </w:rPr>
            </w:pPr>
            <w:r w:rsidRPr="008A2B8F">
              <w:rPr>
                <w:rFonts w:ascii="Meta Pro" w:eastAsia="Times New Roman" w:hAnsi="Meta Pro"/>
                <w:b/>
                <w:bCs/>
                <w:lang w:eastAsia="en-AU"/>
              </w:rPr>
              <w:t>5     EMPLOYEE EXPENSES</w:t>
            </w:r>
          </w:p>
        </w:tc>
        <w:tc>
          <w:tcPr>
            <w:tcW w:w="1153" w:type="dxa"/>
            <w:tcBorders>
              <w:top w:val="nil"/>
              <w:left w:val="nil"/>
              <w:bottom w:val="nil"/>
              <w:right w:val="nil"/>
            </w:tcBorders>
            <w:shd w:val="clear" w:color="auto" w:fill="auto"/>
            <w:noWrap/>
            <w:vAlign w:val="center"/>
            <w:hideMark/>
          </w:tcPr>
          <w:p w14:paraId="5193FB24" w14:textId="77777777" w:rsidR="00BC5219" w:rsidRPr="008A2B8F" w:rsidRDefault="00BC5219" w:rsidP="00E83802">
            <w:pPr>
              <w:rPr>
                <w:rFonts w:ascii="Meta Pro" w:eastAsia="Times New Roman" w:hAnsi="Meta Pro"/>
                <w:b/>
                <w:bCs/>
                <w:lang w:eastAsia="en-AU"/>
              </w:rPr>
            </w:pPr>
          </w:p>
        </w:tc>
        <w:tc>
          <w:tcPr>
            <w:tcW w:w="215" w:type="dxa"/>
            <w:tcBorders>
              <w:top w:val="nil"/>
              <w:left w:val="nil"/>
              <w:bottom w:val="nil"/>
              <w:right w:val="nil"/>
            </w:tcBorders>
            <w:shd w:val="clear" w:color="auto" w:fill="auto"/>
            <w:noWrap/>
            <w:vAlign w:val="center"/>
            <w:hideMark/>
          </w:tcPr>
          <w:p w14:paraId="35167E67" w14:textId="77777777" w:rsidR="00BC5219" w:rsidRPr="008A2B8F" w:rsidRDefault="00BC5219" w:rsidP="00E83802">
            <w:pPr>
              <w:jc w:val="right"/>
              <w:rPr>
                <w:rFonts w:ascii="Meta Pro" w:eastAsia="Times New Roman" w:hAnsi="Meta Pro" w:cs="Times New Roman"/>
                <w:sz w:val="20"/>
                <w:szCs w:val="20"/>
                <w:lang w:eastAsia="en-AU"/>
              </w:rPr>
            </w:pPr>
          </w:p>
        </w:tc>
        <w:tc>
          <w:tcPr>
            <w:tcW w:w="1153" w:type="dxa"/>
            <w:tcBorders>
              <w:top w:val="nil"/>
              <w:left w:val="nil"/>
              <w:bottom w:val="nil"/>
              <w:right w:val="nil"/>
            </w:tcBorders>
            <w:shd w:val="clear" w:color="auto" w:fill="auto"/>
            <w:noWrap/>
            <w:vAlign w:val="center"/>
            <w:hideMark/>
          </w:tcPr>
          <w:p w14:paraId="3AFC0598"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3AB11182" w14:textId="77777777" w:rsidTr="00E83802">
        <w:trPr>
          <w:trHeight w:val="90"/>
        </w:trPr>
        <w:tc>
          <w:tcPr>
            <w:tcW w:w="7117" w:type="dxa"/>
            <w:tcBorders>
              <w:top w:val="nil"/>
              <w:left w:val="nil"/>
              <w:bottom w:val="nil"/>
              <w:right w:val="nil"/>
            </w:tcBorders>
            <w:shd w:val="clear" w:color="auto" w:fill="auto"/>
            <w:noWrap/>
            <w:vAlign w:val="center"/>
            <w:hideMark/>
          </w:tcPr>
          <w:p w14:paraId="57C2E5CC" w14:textId="77777777" w:rsidR="00BC5219" w:rsidRPr="008A2B8F" w:rsidRDefault="00BC5219" w:rsidP="00E83802">
            <w:pPr>
              <w:jc w:val="right"/>
              <w:rPr>
                <w:rFonts w:ascii="Meta Pro" w:eastAsia="Times New Roman" w:hAnsi="Meta Pro" w:cs="Times New Roman"/>
                <w:sz w:val="20"/>
                <w:szCs w:val="20"/>
                <w:lang w:eastAsia="en-AU"/>
              </w:rPr>
            </w:pPr>
          </w:p>
        </w:tc>
        <w:tc>
          <w:tcPr>
            <w:tcW w:w="1153" w:type="dxa"/>
            <w:tcBorders>
              <w:top w:val="nil"/>
              <w:left w:val="nil"/>
              <w:bottom w:val="nil"/>
              <w:right w:val="nil"/>
            </w:tcBorders>
            <w:shd w:val="clear" w:color="auto" w:fill="auto"/>
            <w:noWrap/>
            <w:vAlign w:val="center"/>
            <w:hideMark/>
          </w:tcPr>
          <w:p w14:paraId="6AF6ADBB" w14:textId="77777777" w:rsidR="00BC5219" w:rsidRPr="008A2B8F" w:rsidRDefault="00BC5219" w:rsidP="00E83802">
            <w:pPr>
              <w:rPr>
                <w:rFonts w:ascii="Meta Pro" w:eastAsia="Times New Roman" w:hAnsi="Meta Pro"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1473CAFC" w14:textId="77777777" w:rsidR="00BC5219" w:rsidRPr="008A2B8F" w:rsidRDefault="00BC5219" w:rsidP="00E83802">
            <w:pPr>
              <w:jc w:val="right"/>
              <w:rPr>
                <w:rFonts w:ascii="Meta Pro" w:eastAsia="Times New Roman" w:hAnsi="Meta Pro" w:cs="Times New Roman"/>
                <w:sz w:val="20"/>
                <w:szCs w:val="20"/>
                <w:lang w:eastAsia="en-AU"/>
              </w:rPr>
            </w:pPr>
          </w:p>
        </w:tc>
        <w:tc>
          <w:tcPr>
            <w:tcW w:w="1153" w:type="dxa"/>
            <w:tcBorders>
              <w:top w:val="nil"/>
              <w:left w:val="nil"/>
              <w:bottom w:val="nil"/>
              <w:right w:val="nil"/>
            </w:tcBorders>
            <w:shd w:val="clear" w:color="auto" w:fill="auto"/>
            <w:noWrap/>
            <w:vAlign w:val="center"/>
            <w:hideMark/>
          </w:tcPr>
          <w:p w14:paraId="393ED653"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0C7E146D" w14:textId="77777777" w:rsidTr="00E83802">
        <w:trPr>
          <w:trHeight w:val="240"/>
        </w:trPr>
        <w:tc>
          <w:tcPr>
            <w:tcW w:w="7117" w:type="dxa"/>
            <w:tcBorders>
              <w:top w:val="nil"/>
              <w:left w:val="nil"/>
              <w:bottom w:val="nil"/>
              <w:right w:val="nil"/>
            </w:tcBorders>
            <w:shd w:val="clear" w:color="auto" w:fill="auto"/>
            <w:noWrap/>
            <w:vAlign w:val="center"/>
            <w:hideMark/>
          </w:tcPr>
          <w:p w14:paraId="35F97C86"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Employee benefits</w:t>
            </w:r>
          </w:p>
        </w:tc>
        <w:tc>
          <w:tcPr>
            <w:tcW w:w="1153" w:type="dxa"/>
            <w:tcBorders>
              <w:top w:val="nil"/>
              <w:left w:val="nil"/>
              <w:bottom w:val="nil"/>
              <w:right w:val="nil"/>
            </w:tcBorders>
            <w:shd w:val="clear" w:color="auto" w:fill="auto"/>
            <w:noWrap/>
            <w:vAlign w:val="center"/>
            <w:hideMark/>
          </w:tcPr>
          <w:p w14:paraId="3F2AE16B" w14:textId="77777777" w:rsidR="00BC5219" w:rsidRPr="008A2B8F" w:rsidRDefault="00BC5219" w:rsidP="00E83802">
            <w:pPr>
              <w:rPr>
                <w:rFonts w:ascii="Meta Pro" w:eastAsia="Times New Roman" w:hAnsi="Meta Pro"/>
                <w:b/>
                <w:bCs/>
                <w:szCs w:val="18"/>
                <w:lang w:eastAsia="en-AU"/>
              </w:rPr>
            </w:pPr>
          </w:p>
        </w:tc>
        <w:tc>
          <w:tcPr>
            <w:tcW w:w="215" w:type="dxa"/>
            <w:tcBorders>
              <w:top w:val="nil"/>
              <w:left w:val="nil"/>
              <w:bottom w:val="nil"/>
              <w:right w:val="nil"/>
            </w:tcBorders>
            <w:shd w:val="clear" w:color="auto" w:fill="auto"/>
            <w:noWrap/>
            <w:vAlign w:val="center"/>
            <w:hideMark/>
          </w:tcPr>
          <w:p w14:paraId="6B169D4F" w14:textId="77777777" w:rsidR="00BC5219" w:rsidRPr="008A2B8F" w:rsidRDefault="00BC5219" w:rsidP="00E83802">
            <w:pPr>
              <w:jc w:val="right"/>
              <w:rPr>
                <w:rFonts w:ascii="Meta Pro" w:eastAsia="Times New Roman" w:hAnsi="Meta Pro" w:cs="Times New Roman"/>
                <w:sz w:val="20"/>
                <w:szCs w:val="20"/>
                <w:lang w:eastAsia="en-AU"/>
              </w:rPr>
            </w:pPr>
          </w:p>
        </w:tc>
        <w:tc>
          <w:tcPr>
            <w:tcW w:w="1153" w:type="dxa"/>
            <w:tcBorders>
              <w:top w:val="nil"/>
              <w:left w:val="nil"/>
              <w:bottom w:val="nil"/>
              <w:right w:val="nil"/>
            </w:tcBorders>
            <w:shd w:val="clear" w:color="auto" w:fill="auto"/>
            <w:noWrap/>
            <w:vAlign w:val="center"/>
            <w:hideMark/>
          </w:tcPr>
          <w:p w14:paraId="5D9DDEED"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4DEB599C" w14:textId="77777777" w:rsidTr="00E83802">
        <w:trPr>
          <w:trHeight w:val="240"/>
        </w:trPr>
        <w:tc>
          <w:tcPr>
            <w:tcW w:w="7117" w:type="dxa"/>
            <w:tcBorders>
              <w:top w:val="nil"/>
              <w:left w:val="nil"/>
              <w:bottom w:val="nil"/>
              <w:right w:val="nil"/>
            </w:tcBorders>
            <w:shd w:val="clear" w:color="auto" w:fill="auto"/>
            <w:noWrap/>
            <w:vAlign w:val="center"/>
            <w:hideMark/>
          </w:tcPr>
          <w:p w14:paraId="5BE24368"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Annual leave levy</w:t>
            </w:r>
          </w:p>
        </w:tc>
        <w:tc>
          <w:tcPr>
            <w:tcW w:w="1153" w:type="dxa"/>
            <w:tcBorders>
              <w:top w:val="nil"/>
              <w:left w:val="nil"/>
              <w:bottom w:val="nil"/>
              <w:right w:val="nil"/>
            </w:tcBorders>
            <w:shd w:val="clear" w:color="000000" w:fill="C9E3B4"/>
            <w:noWrap/>
            <w:vAlign w:val="center"/>
            <w:hideMark/>
          </w:tcPr>
          <w:p w14:paraId="1240D443"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52,718 </w:t>
            </w:r>
          </w:p>
        </w:tc>
        <w:tc>
          <w:tcPr>
            <w:tcW w:w="215" w:type="dxa"/>
            <w:tcBorders>
              <w:top w:val="nil"/>
              <w:left w:val="nil"/>
              <w:bottom w:val="nil"/>
              <w:right w:val="nil"/>
            </w:tcBorders>
            <w:shd w:val="clear" w:color="auto" w:fill="auto"/>
            <w:noWrap/>
            <w:vAlign w:val="center"/>
            <w:hideMark/>
          </w:tcPr>
          <w:p w14:paraId="5C1BBBE5" w14:textId="77777777" w:rsidR="00BC5219" w:rsidRPr="008A2B8F" w:rsidRDefault="00BC5219" w:rsidP="00E83802">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2F042AD1"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47,365 </w:t>
            </w:r>
          </w:p>
        </w:tc>
      </w:tr>
      <w:tr w:rsidR="00BC5219" w:rsidRPr="008A2B8F" w14:paraId="30B035C7" w14:textId="77777777" w:rsidTr="00E83802">
        <w:trPr>
          <w:trHeight w:val="240"/>
        </w:trPr>
        <w:tc>
          <w:tcPr>
            <w:tcW w:w="7117" w:type="dxa"/>
            <w:tcBorders>
              <w:top w:val="nil"/>
              <w:left w:val="nil"/>
              <w:bottom w:val="nil"/>
              <w:right w:val="nil"/>
            </w:tcBorders>
            <w:shd w:val="clear" w:color="auto" w:fill="auto"/>
            <w:noWrap/>
            <w:vAlign w:val="center"/>
            <w:hideMark/>
          </w:tcPr>
          <w:p w14:paraId="58D98CAA"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Employer superannuation contributions</w:t>
            </w:r>
          </w:p>
        </w:tc>
        <w:tc>
          <w:tcPr>
            <w:tcW w:w="1153" w:type="dxa"/>
            <w:tcBorders>
              <w:top w:val="nil"/>
              <w:left w:val="nil"/>
              <w:bottom w:val="nil"/>
              <w:right w:val="nil"/>
            </w:tcBorders>
            <w:shd w:val="clear" w:color="000000" w:fill="C9E3B4"/>
            <w:noWrap/>
            <w:vAlign w:val="center"/>
            <w:hideMark/>
          </w:tcPr>
          <w:p w14:paraId="2CF62B2D"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70,054 </w:t>
            </w:r>
          </w:p>
        </w:tc>
        <w:tc>
          <w:tcPr>
            <w:tcW w:w="215" w:type="dxa"/>
            <w:tcBorders>
              <w:top w:val="nil"/>
              <w:left w:val="nil"/>
              <w:bottom w:val="nil"/>
              <w:right w:val="nil"/>
            </w:tcBorders>
            <w:shd w:val="clear" w:color="auto" w:fill="auto"/>
            <w:noWrap/>
            <w:vAlign w:val="center"/>
            <w:hideMark/>
          </w:tcPr>
          <w:p w14:paraId="7AE339E1" w14:textId="77777777" w:rsidR="00BC5219" w:rsidRPr="008A2B8F" w:rsidRDefault="00BC5219" w:rsidP="00E83802">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7A307973"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62,555 </w:t>
            </w:r>
          </w:p>
        </w:tc>
      </w:tr>
      <w:tr w:rsidR="00BC5219" w:rsidRPr="008A2B8F" w14:paraId="56CA068A" w14:textId="77777777" w:rsidTr="00E83802">
        <w:trPr>
          <w:trHeight w:val="240"/>
        </w:trPr>
        <w:tc>
          <w:tcPr>
            <w:tcW w:w="7117" w:type="dxa"/>
            <w:tcBorders>
              <w:top w:val="nil"/>
              <w:left w:val="nil"/>
              <w:bottom w:val="nil"/>
              <w:right w:val="nil"/>
            </w:tcBorders>
            <w:shd w:val="clear" w:color="auto" w:fill="auto"/>
            <w:noWrap/>
            <w:vAlign w:val="center"/>
            <w:hideMark/>
          </w:tcPr>
          <w:p w14:paraId="730BD6A7"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Long service leave levy</w:t>
            </w:r>
          </w:p>
        </w:tc>
        <w:tc>
          <w:tcPr>
            <w:tcW w:w="1153" w:type="dxa"/>
            <w:tcBorders>
              <w:top w:val="nil"/>
              <w:left w:val="nil"/>
              <w:bottom w:val="nil"/>
              <w:right w:val="nil"/>
            </w:tcBorders>
            <w:shd w:val="clear" w:color="000000" w:fill="C9E3B4"/>
            <w:noWrap/>
            <w:vAlign w:val="center"/>
            <w:hideMark/>
          </w:tcPr>
          <w:p w14:paraId="2836A9D3"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15,726 </w:t>
            </w:r>
          </w:p>
        </w:tc>
        <w:tc>
          <w:tcPr>
            <w:tcW w:w="215" w:type="dxa"/>
            <w:tcBorders>
              <w:top w:val="nil"/>
              <w:left w:val="nil"/>
              <w:bottom w:val="nil"/>
              <w:right w:val="nil"/>
            </w:tcBorders>
            <w:shd w:val="clear" w:color="auto" w:fill="auto"/>
            <w:noWrap/>
            <w:vAlign w:val="center"/>
            <w:hideMark/>
          </w:tcPr>
          <w:p w14:paraId="541DBF85" w14:textId="77777777" w:rsidR="00BC5219" w:rsidRPr="008A2B8F" w:rsidRDefault="00BC5219" w:rsidP="00E83802">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1449302E"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13,613 </w:t>
            </w:r>
          </w:p>
        </w:tc>
      </w:tr>
      <w:tr w:rsidR="00BC5219" w:rsidRPr="008A2B8F" w14:paraId="1C3F0981" w14:textId="77777777" w:rsidTr="00E83802">
        <w:trPr>
          <w:trHeight w:val="240"/>
        </w:trPr>
        <w:tc>
          <w:tcPr>
            <w:tcW w:w="7117" w:type="dxa"/>
            <w:tcBorders>
              <w:top w:val="nil"/>
              <w:left w:val="nil"/>
              <w:bottom w:val="nil"/>
              <w:right w:val="nil"/>
            </w:tcBorders>
            <w:shd w:val="clear" w:color="auto" w:fill="auto"/>
            <w:noWrap/>
            <w:vAlign w:val="center"/>
            <w:hideMark/>
          </w:tcPr>
          <w:p w14:paraId="1F69ADF5"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Wages and salaries</w:t>
            </w:r>
          </w:p>
        </w:tc>
        <w:tc>
          <w:tcPr>
            <w:tcW w:w="1153" w:type="dxa"/>
            <w:tcBorders>
              <w:top w:val="nil"/>
              <w:left w:val="nil"/>
              <w:bottom w:val="nil"/>
              <w:right w:val="nil"/>
            </w:tcBorders>
            <w:shd w:val="clear" w:color="000000" w:fill="C9E3B4"/>
            <w:noWrap/>
            <w:vAlign w:val="center"/>
            <w:hideMark/>
          </w:tcPr>
          <w:p w14:paraId="344350F8"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548,064 </w:t>
            </w:r>
          </w:p>
        </w:tc>
        <w:tc>
          <w:tcPr>
            <w:tcW w:w="215" w:type="dxa"/>
            <w:tcBorders>
              <w:top w:val="nil"/>
              <w:left w:val="nil"/>
              <w:bottom w:val="nil"/>
              <w:right w:val="nil"/>
            </w:tcBorders>
            <w:shd w:val="clear" w:color="auto" w:fill="auto"/>
            <w:noWrap/>
            <w:vAlign w:val="center"/>
            <w:hideMark/>
          </w:tcPr>
          <w:p w14:paraId="15860014" w14:textId="77777777" w:rsidR="00BC5219" w:rsidRPr="008A2B8F" w:rsidRDefault="00BC5219" w:rsidP="00E83802">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50BDCBC4"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506,510 </w:t>
            </w:r>
          </w:p>
        </w:tc>
      </w:tr>
      <w:tr w:rsidR="00BC5219" w:rsidRPr="008A2B8F" w14:paraId="095C9065" w14:textId="77777777" w:rsidTr="00E83802">
        <w:trPr>
          <w:trHeight w:val="240"/>
        </w:trPr>
        <w:tc>
          <w:tcPr>
            <w:tcW w:w="7117" w:type="dxa"/>
            <w:tcBorders>
              <w:top w:val="nil"/>
              <w:left w:val="nil"/>
              <w:bottom w:val="nil"/>
              <w:right w:val="nil"/>
            </w:tcBorders>
            <w:shd w:val="clear" w:color="auto" w:fill="auto"/>
            <w:noWrap/>
            <w:vAlign w:val="center"/>
            <w:hideMark/>
          </w:tcPr>
          <w:p w14:paraId="395C5189"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Other employee benefits</w:t>
            </w:r>
          </w:p>
        </w:tc>
        <w:tc>
          <w:tcPr>
            <w:tcW w:w="1153" w:type="dxa"/>
            <w:tcBorders>
              <w:top w:val="nil"/>
              <w:left w:val="nil"/>
              <w:bottom w:val="nil"/>
              <w:right w:val="nil"/>
            </w:tcBorders>
            <w:shd w:val="clear" w:color="000000" w:fill="C9E3B4"/>
            <w:noWrap/>
            <w:vAlign w:val="center"/>
            <w:hideMark/>
          </w:tcPr>
          <w:p w14:paraId="25B0CD09"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5,297 </w:t>
            </w:r>
          </w:p>
        </w:tc>
        <w:tc>
          <w:tcPr>
            <w:tcW w:w="215" w:type="dxa"/>
            <w:tcBorders>
              <w:top w:val="nil"/>
              <w:left w:val="nil"/>
              <w:bottom w:val="nil"/>
              <w:right w:val="nil"/>
            </w:tcBorders>
            <w:shd w:val="clear" w:color="auto" w:fill="auto"/>
            <w:noWrap/>
            <w:vAlign w:val="center"/>
            <w:hideMark/>
          </w:tcPr>
          <w:p w14:paraId="0AB6AB10" w14:textId="77777777" w:rsidR="00BC5219" w:rsidRPr="008A2B8F" w:rsidRDefault="00BC5219" w:rsidP="00E83802">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1CCD41A8"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4,393 </w:t>
            </w:r>
          </w:p>
        </w:tc>
      </w:tr>
      <w:tr w:rsidR="00BC5219" w:rsidRPr="008A2B8F" w14:paraId="092D7AC8" w14:textId="77777777" w:rsidTr="00E83802">
        <w:trPr>
          <w:trHeight w:val="240"/>
        </w:trPr>
        <w:tc>
          <w:tcPr>
            <w:tcW w:w="7117" w:type="dxa"/>
            <w:tcBorders>
              <w:top w:val="nil"/>
              <w:left w:val="nil"/>
              <w:bottom w:val="nil"/>
              <w:right w:val="nil"/>
            </w:tcBorders>
            <w:shd w:val="clear" w:color="auto" w:fill="auto"/>
            <w:noWrap/>
            <w:vAlign w:val="center"/>
            <w:hideMark/>
          </w:tcPr>
          <w:p w14:paraId="3F1C154F" w14:textId="77777777" w:rsidR="00BC5219" w:rsidRPr="008A2B8F" w:rsidRDefault="00BC5219" w:rsidP="00E83802">
            <w:pPr>
              <w:jc w:val="right"/>
              <w:rPr>
                <w:rFonts w:ascii="Meta Pro" w:eastAsia="Times New Roman" w:hAnsi="Meta Pro"/>
                <w:szCs w:val="18"/>
                <w:lang w:eastAsia="en-AU"/>
              </w:rPr>
            </w:pPr>
          </w:p>
        </w:tc>
        <w:tc>
          <w:tcPr>
            <w:tcW w:w="1153" w:type="dxa"/>
            <w:tcBorders>
              <w:top w:val="nil"/>
              <w:left w:val="nil"/>
              <w:bottom w:val="nil"/>
              <w:right w:val="nil"/>
            </w:tcBorders>
            <w:shd w:val="clear" w:color="000000" w:fill="C9E3B4"/>
            <w:noWrap/>
            <w:vAlign w:val="center"/>
            <w:hideMark/>
          </w:tcPr>
          <w:p w14:paraId="336A4E64"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w:t>
            </w:r>
          </w:p>
        </w:tc>
        <w:tc>
          <w:tcPr>
            <w:tcW w:w="215" w:type="dxa"/>
            <w:tcBorders>
              <w:top w:val="nil"/>
              <w:left w:val="nil"/>
              <w:bottom w:val="nil"/>
              <w:right w:val="nil"/>
            </w:tcBorders>
            <w:shd w:val="clear" w:color="auto" w:fill="auto"/>
            <w:noWrap/>
            <w:vAlign w:val="center"/>
            <w:hideMark/>
          </w:tcPr>
          <w:p w14:paraId="104E323D" w14:textId="77777777" w:rsidR="00BC5219" w:rsidRPr="008A2B8F" w:rsidRDefault="00BC5219" w:rsidP="00E83802">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22EA14D2"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0870C8B5" w14:textId="77777777" w:rsidTr="00E83802">
        <w:trPr>
          <w:trHeight w:val="240"/>
        </w:trPr>
        <w:tc>
          <w:tcPr>
            <w:tcW w:w="7117" w:type="dxa"/>
            <w:tcBorders>
              <w:top w:val="nil"/>
              <w:left w:val="nil"/>
              <w:bottom w:val="nil"/>
              <w:right w:val="nil"/>
            </w:tcBorders>
            <w:shd w:val="clear" w:color="auto" w:fill="auto"/>
            <w:noWrap/>
            <w:vAlign w:val="center"/>
            <w:hideMark/>
          </w:tcPr>
          <w:p w14:paraId="30CC10DE"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Employee related expenses</w:t>
            </w:r>
          </w:p>
        </w:tc>
        <w:tc>
          <w:tcPr>
            <w:tcW w:w="1153" w:type="dxa"/>
            <w:tcBorders>
              <w:top w:val="nil"/>
              <w:left w:val="nil"/>
              <w:bottom w:val="nil"/>
              <w:right w:val="nil"/>
            </w:tcBorders>
            <w:shd w:val="clear" w:color="000000" w:fill="C9E3B4"/>
            <w:noWrap/>
            <w:vAlign w:val="center"/>
            <w:hideMark/>
          </w:tcPr>
          <w:p w14:paraId="1FAFCFB2"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215" w:type="dxa"/>
            <w:tcBorders>
              <w:top w:val="nil"/>
              <w:left w:val="nil"/>
              <w:bottom w:val="nil"/>
              <w:right w:val="nil"/>
            </w:tcBorders>
            <w:shd w:val="clear" w:color="auto" w:fill="auto"/>
            <w:noWrap/>
            <w:vAlign w:val="center"/>
            <w:hideMark/>
          </w:tcPr>
          <w:p w14:paraId="36BF983C" w14:textId="77777777" w:rsidR="00BC5219" w:rsidRPr="008A2B8F" w:rsidRDefault="00BC5219" w:rsidP="00E83802">
            <w:pPr>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6F4014F4"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42DA2FE0" w14:textId="77777777" w:rsidTr="00E83802">
        <w:trPr>
          <w:trHeight w:val="240"/>
        </w:trPr>
        <w:tc>
          <w:tcPr>
            <w:tcW w:w="7117" w:type="dxa"/>
            <w:tcBorders>
              <w:top w:val="nil"/>
              <w:left w:val="nil"/>
              <w:bottom w:val="nil"/>
              <w:right w:val="nil"/>
            </w:tcBorders>
            <w:shd w:val="clear" w:color="auto" w:fill="auto"/>
            <w:noWrap/>
            <w:vAlign w:val="center"/>
            <w:hideMark/>
          </w:tcPr>
          <w:p w14:paraId="69D0892A"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Workers' compensation premium</w:t>
            </w:r>
          </w:p>
        </w:tc>
        <w:tc>
          <w:tcPr>
            <w:tcW w:w="1153" w:type="dxa"/>
            <w:tcBorders>
              <w:top w:val="nil"/>
              <w:left w:val="nil"/>
              <w:bottom w:val="nil"/>
              <w:right w:val="nil"/>
            </w:tcBorders>
            <w:shd w:val="clear" w:color="000000" w:fill="C9E3B4"/>
            <w:noWrap/>
            <w:vAlign w:val="center"/>
            <w:hideMark/>
          </w:tcPr>
          <w:p w14:paraId="002B000E"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3,275 </w:t>
            </w:r>
          </w:p>
        </w:tc>
        <w:tc>
          <w:tcPr>
            <w:tcW w:w="215" w:type="dxa"/>
            <w:tcBorders>
              <w:top w:val="nil"/>
              <w:left w:val="nil"/>
              <w:bottom w:val="nil"/>
              <w:right w:val="nil"/>
            </w:tcBorders>
            <w:shd w:val="clear" w:color="auto" w:fill="auto"/>
            <w:noWrap/>
            <w:vAlign w:val="center"/>
            <w:hideMark/>
          </w:tcPr>
          <w:p w14:paraId="0CADCCDD" w14:textId="77777777" w:rsidR="00BC5219" w:rsidRPr="008A2B8F" w:rsidRDefault="00BC5219" w:rsidP="00E83802">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02990179"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3,029 </w:t>
            </w:r>
          </w:p>
        </w:tc>
      </w:tr>
      <w:tr w:rsidR="00BC5219" w:rsidRPr="008A2B8F" w14:paraId="73244DDC" w14:textId="77777777" w:rsidTr="00E83802">
        <w:trPr>
          <w:trHeight w:val="240"/>
        </w:trPr>
        <w:tc>
          <w:tcPr>
            <w:tcW w:w="7117" w:type="dxa"/>
            <w:tcBorders>
              <w:top w:val="nil"/>
              <w:left w:val="nil"/>
              <w:bottom w:val="nil"/>
              <w:right w:val="nil"/>
            </w:tcBorders>
            <w:shd w:val="clear" w:color="auto" w:fill="auto"/>
            <w:noWrap/>
            <w:vAlign w:val="center"/>
            <w:hideMark/>
          </w:tcPr>
          <w:p w14:paraId="476B8669"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Other employee related expenses</w:t>
            </w:r>
          </w:p>
        </w:tc>
        <w:tc>
          <w:tcPr>
            <w:tcW w:w="1153" w:type="dxa"/>
            <w:tcBorders>
              <w:top w:val="nil"/>
              <w:left w:val="nil"/>
              <w:bottom w:val="nil"/>
              <w:right w:val="nil"/>
            </w:tcBorders>
            <w:shd w:val="clear" w:color="000000" w:fill="C9E3B4"/>
            <w:noWrap/>
            <w:vAlign w:val="center"/>
            <w:hideMark/>
          </w:tcPr>
          <w:p w14:paraId="03105286"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14,613 </w:t>
            </w:r>
          </w:p>
        </w:tc>
        <w:tc>
          <w:tcPr>
            <w:tcW w:w="215" w:type="dxa"/>
            <w:tcBorders>
              <w:top w:val="nil"/>
              <w:left w:val="nil"/>
              <w:bottom w:val="nil"/>
              <w:right w:val="nil"/>
            </w:tcBorders>
            <w:shd w:val="clear" w:color="auto" w:fill="auto"/>
            <w:noWrap/>
            <w:vAlign w:val="center"/>
            <w:hideMark/>
          </w:tcPr>
          <w:p w14:paraId="243A9322" w14:textId="77777777" w:rsidR="00BC5219" w:rsidRPr="008A2B8F" w:rsidRDefault="00BC5219" w:rsidP="00E83802">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762B3885"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12,861 </w:t>
            </w:r>
          </w:p>
        </w:tc>
      </w:tr>
      <w:tr w:rsidR="00BC5219" w:rsidRPr="008A2B8F" w14:paraId="0E33AE9D" w14:textId="77777777" w:rsidTr="00E83802">
        <w:trPr>
          <w:trHeight w:val="240"/>
        </w:trPr>
        <w:tc>
          <w:tcPr>
            <w:tcW w:w="7117" w:type="dxa"/>
            <w:tcBorders>
              <w:top w:val="single" w:sz="4" w:space="0" w:color="auto"/>
              <w:left w:val="nil"/>
              <w:bottom w:val="double" w:sz="6" w:space="0" w:color="auto"/>
              <w:right w:val="nil"/>
            </w:tcBorders>
            <w:shd w:val="clear" w:color="auto" w:fill="auto"/>
            <w:noWrap/>
            <w:vAlign w:val="center"/>
            <w:hideMark/>
          </w:tcPr>
          <w:p w14:paraId="52CBE163"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Total</w:t>
            </w:r>
          </w:p>
        </w:tc>
        <w:tc>
          <w:tcPr>
            <w:tcW w:w="1153" w:type="dxa"/>
            <w:tcBorders>
              <w:top w:val="single" w:sz="4" w:space="0" w:color="auto"/>
              <w:left w:val="nil"/>
              <w:bottom w:val="double" w:sz="6" w:space="0" w:color="auto"/>
              <w:right w:val="nil"/>
            </w:tcBorders>
            <w:shd w:val="clear" w:color="000000" w:fill="C9E3B4"/>
            <w:noWrap/>
            <w:vAlign w:val="center"/>
            <w:hideMark/>
          </w:tcPr>
          <w:p w14:paraId="72928587"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709,747 </w:t>
            </w:r>
          </w:p>
        </w:tc>
        <w:tc>
          <w:tcPr>
            <w:tcW w:w="215" w:type="dxa"/>
            <w:tcBorders>
              <w:top w:val="single" w:sz="4" w:space="0" w:color="auto"/>
              <w:left w:val="nil"/>
              <w:bottom w:val="double" w:sz="6" w:space="0" w:color="auto"/>
              <w:right w:val="nil"/>
            </w:tcBorders>
            <w:shd w:val="clear" w:color="auto" w:fill="auto"/>
            <w:noWrap/>
            <w:vAlign w:val="center"/>
            <w:hideMark/>
          </w:tcPr>
          <w:p w14:paraId="7A1981D4"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w:t>
            </w:r>
          </w:p>
        </w:tc>
        <w:tc>
          <w:tcPr>
            <w:tcW w:w="1153" w:type="dxa"/>
            <w:tcBorders>
              <w:top w:val="single" w:sz="4" w:space="0" w:color="auto"/>
              <w:left w:val="nil"/>
              <w:bottom w:val="double" w:sz="6" w:space="0" w:color="auto"/>
              <w:right w:val="nil"/>
            </w:tcBorders>
            <w:shd w:val="clear" w:color="auto" w:fill="auto"/>
            <w:noWrap/>
            <w:vAlign w:val="center"/>
            <w:hideMark/>
          </w:tcPr>
          <w:p w14:paraId="3F969089"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650,326 </w:t>
            </w:r>
          </w:p>
        </w:tc>
      </w:tr>
      <w:tr w:rsidR="00BC5219" w:rsidRPr="008A2B8F" w14:paraId="6BFCC7EE" w14:textId="77777777" w:rsidTr="00E83802">
        <w:trPr>
          <w:trHeight w:val="90"/>
        </w:trPr>
        <w:tc>
          <w:tcPr>
            <w:tcW w:w="7117" w:type="dxa"/>
            <w:tcBorders>
              <w:top w:val="nil"/>
              <w:left w:val="nil"/>
              <w:bottom w:val="nil"/>
              <w:right w:val="nil"/>
            </w:tcBorders>
            <w:shd w:val="clear" w:color="auto" w:fill="auto"/>
            <w:noWrap/>
            <w:vAlign w:val="center"/>
            <w:hideMark/>
          </w:tcPr>
          <w:p w14:paraId="6FBE8484" w14:textId="77777777" w:rsidR="00BC5219" w:rsidRPr="008A2B8F" w:rsidRDefault="00BC5219" w:rsidP="00E83802">
            <w:pPr>
              <w:jc w:val="right"/>
              <w:rPr>
                <w:rFonts w:ascii="Meta Pro" w:eastAsia="Times New Roman" w:hAnsi="Meta Pro"/>
                <w:b/>
                <w:bCs/>
                <w:szCs w:val="18"/>
                <w:lang w:eastAsia="en-AU"/>
              </w:rPr>
            </w:pPr>
          </w:p>
        </w:tc>
        <w:tc>
          <w:tcPr>
            <w:tcW w:w="1153" w:type="dxa"/>
            <w:tcBorders>
              <w:top w:val="nil"/>
              <w:left w:val="nil"/>
              <w:bottom w:val="nil"/>
              <w:right w:val="nil"/>
            </w:tcBorders>
            <w:shd w:val="clear" w:color="auto" w:fill="auto"/>
            <w:noWrap/>
            <w:vAlign w:val="center"/>
            <w:hideMark/>
          </w:tcPr>
          <w:p w14:paraId="7AEEA0BA" w14:textId="77777777" w:rsidR="00BC5219" w:rsidRPr="008A2B8F" w:rsidRDefault="00BC5219" w:rsidP="00E83802">
            <w:pPr>
              <w:rPr>
                <w:rFonts w:ascii="Meta Pro" w:eastAsia="Times New Roman" w:hAnsi="Meta Pro"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2F990B9D" w14:textId="77777777" w:rsidR="00BC5219" w:rsidRPr="008A2B8F" w:rsidRDefault="00BC5219" w:rsidP="00E83802">
            <w:pPr>
              <w:rPr>
                <w:rFonts w:ascii="Meta Pro" w:eastAsia="Times New Roman" w:hAnsi="Meta Pro" w:cs="Times New Roman"/>
                <w:sz w:val="20"/>
                <w:szCs w:val="20"/>
                <w:lang w:eastAsia="en-AU"/>
              </w:rPr>
            </w:pPr>
          </w:p>
        </w:tc>
        <w:tc>
          <w:tcPr>
            <w:tcW w:w="1153" w:type="dxa"/>
            <w:tcBorders>
              <w:top w:val="nil"/>
              <w:left w:val="nil"/>
              <w:bottom w:val="nil"/>
              <w:right w:val="nil"/>
            </w:tcBorders>
            <w:shd w:val="clear" w:color="auto" w:fill="auto"/>
            <w:noWrap/>
            <w:vAlign w:val="center"/>
            <w:hideMark/>
          </w:tcPr>
          <w:p w14:paraId="1D5F4C3F" w14:textId="77777777" w:rsidR="00BC5219" w:rsidRPr="008A2B8F" w:rsidRDefault="00BC5219" w:rsidP="00E83802">
            <w:pPr>
              <w:rPr>
                <w:rFonts w:ascii="Meta Pro" w:eastAsia="Times New Roman" w:hAnsi="Meta Pro" w:cs="Times New Roman"/>
                <w:sz w:val="20"/>
                <w:szCs w:val="20"/>
                <w:lang w:eastAsia="en-AU"/>
              </w:rPr>
            </w:pPr>
          </w:p>
        </w:tc>
      </w:tr>
      <w:tr w:rsidR="00BC5219" w:rsidRPr="008A2B8F" w14:paraId="117705EE" w14:textId="77777777" w:rsidTr="00E83802">
        <w:trPr>
          <w:trHeight w:val="552"/>
        </w:trPr>
        <w:tc>
          <w:tcPr>
            <w:tcW w:w="9638" w:type="dxa"/>
            <w:gridSpan w:val="4"/>
            <w:tcBorders>
              <w:top w:val="nil"/>
              <w:left w:val="nil"/>
              <w:bottom w:val="nil"/>
              <w:right w:val="nil"/>
            </w:tcBorders>
            <w:shd w:val="clear" w:color="auto" w:fill="auto"/>
            <w:hideMark/>
          </w:tcPr>
          <w:p w14:paraId="5B8ED465"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The department's total employee expenditure was $953.868m in 2023 (2022: $897.836m). Of this $244.121m (2022: $247.510m) was capitalised to construction work in progress leaving $709.747m (2022: $650.326m) reported as employee expenses.</w:t>
            </w:r>
          </w:p>
        </w:tc>
      </w:tr>
      <w:tr w:rsidR="00BC5219" w:rsidRPr="008A2B8F" w14:paraId="2E1E242D" w14:textId="77777777" w:rsidTr="00E83802">
        <w:trPr>
          <w:trHeight w:val="90"/>
        </w:trPr>
        <w:tc>
          <w:tcPr>
            <w:tcW w:w="7117" w:type="dxa"/>
            <w:tcBorders>
              <w:top w:val="nil"/>
              <w:left w:val="nil"/>
              <w:bottom w:val="nil"/>
              <w:right w:val="nil"/>
            </w:tcBorders>
            <w:shd w:val="clear" w:color="auto" w:fill="auto"/>
            <w:noWrap/>
            <w:vAlign w:val="center"/>
            <w:hideMark/>
          </w:tcPr>
          <w:p w14:paraId="1E2B29C5" w14:textId="77777777" w:rsidR="00BC5219" w:rsidRPr="008A2B8F" w:rsidRDefault="00BC5219" w:rsidP="00E83802">
            <w:pPr>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78EE27C8" w14:textId="77777777" w:rsidR="00BC5219" w:rsidRPr="008A2B8F" w:rsidRDefault="00BC5219" w:rsidP="00E83802">
            <w:pPr>
              <w:rPr>
                <w:rFonts w:ascii="Meta Pro" w:eastAsia="Times New Roman" w:hAnsi="Meta Pro"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63790CDB" w14:textId="77777777" w:rsidR="00BC5219" w:rsidRPr="008A2B8F" w:rsidRDefault="00BC5219" w:rsidP="00E83802">
            <w:pPr>
              <w:rPr>
                <w:rFonts w:ascii="Meta Pro" w:eastAsia="Times New Roman" w:hAnsi="Meta Pro" w:cs="Times New Roman"/>
                <w:sz w:val="20"/>
                <w:szCs w:val="20"/>
                <w:lang w:eastAsia="en-AU"/>
              </w:rPr>
            </w:pPr>
          </w:p>
        </w:tc>
        <w:tc>
          <w:tcPr>
            <w:tcW w:w="1153" w:type="dxa"/>
            <w:tcBorders>
              <w:top w:val="nil"/>
              <w:left w:val="nil"/>
              <w:bottom w:val="nil"/>
              <w:right w:val="nil"/>
            </w:tcBorders>
            <w:shd w:val="clear" w:color="auto" w:fill="auto"/>
            <w:noWrap/>
            <w:vAlign w:val="center"/>
            <w:hideMark/>
          </w:tcPr>
          <w:p w14:paraId="35EF084C" w14:textId="77777777" w:rsidR="00BC5219" w:rsidRPr="008A2B8F" w:rsidRDefault="00BC5219" w:rsidP="00E83802">
            <w:pPr>
              <w:rPr>
                <w:rFonts w:ascii="Meta Pro" w:eastAsia="Times New Roman" w:hAnsi="Meta Pro" w:cs="Times New Roman"/>
                <w:sz w:val="20"/>
                <w:szCs w:val="20"/>
                <w:lang w:eastAsia="en-AU"/>
              </w:rPr>
            </w:pPr>
          </w:p>
        </w:tc>
      </w:tr>
      <w:tr w:rsidR="00BC5219" w:rsidRPr="008A2B8F" w14:paraId="0B24A310" w14:textId="77777777" w:rsidTr="00E83802">
        <w:trPr>
          <w:trHeight w:val="270"/>
        </w:trPr>
        <w:tc>
          <w:tcPr>
            <w:tcW w:w="7117" w:type="dxa"/>
            <w:tcBorders>
              <w:top w:val="nil"/>
              <w:left w:val="nil"/>
              <w:bottom w:val="nil"/>
              <w:right w:val="nil"/>
            </w:tcBorders>
            <w:shd w:val="clear" w:color="auto" w:fill="auto"/>
            <w:noWrap/>
            <w:vAlign w:val="center"/>
            <w:hideMark/>
          </w:tcPr>
          <w:p w14:paraId="555EA0A6"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Number of full-time equivalent employees</w:t>
            </w:r>
          </w:p>
        </w:tc>
        <w:tc>
          <w:tcPr>
            <w:tcW w:w="1153" w:type="dxa"/>
            <w:tcBorders>
              <w:top w:val="nil"/>
              <w:left w:val="nil"/>
              <w:bottom w:val="nil"/>
              <w:right w:val="nil"/>
            </w:tcBorders>
            <w:shd w:val="clear" w:color="000000" w:fill="C9E3B4"/>
            <w:noWrap/>
            <w:vAlign w:val="center"/>
            <w:hideMark/>
          </w:tcPr>
          <w:p w14:paraId="2A45D307"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9,354 </w:t>
            </w:r>
          </w:p>
        </w:tc>
        <w:tc>
          <w:tcPr>
            <w:tcW w:w="215" w:type="dxa"/>
            <w:tcBorders>
              <w:top w:val="nil"/>
              <w:left w:val="nil"/>
              <w:bottom w:val="nil"/>
              <w:right w:val="nil"/>
            </w:tcBorders>
            <w:shd w:val="clear" w:color="auto" w:fill="auto"/>
            <w:noWrap/>
            <w:vAlign w:val="center"/>
            <w:hideMark/>
          </w:tcPr>
          <w:p w14:paraId="53BD7B66" w14:textId="77777777" w:rsidR="00BC5219" w:rsidRPr="008A2B8F" w:rsidRDefault="00BC5219" w:rsidP="00E83802">
            <w:pPr>
              <w:jc w:val="right"/>
              <w:rPr>
                <w:rFonts w:ascii="Meta Pro" w:eastAsia="Times New Roman" w:hAnsi="Meta Pro"/>
                <w:b/>
                <w:bCs/>
                <w:szCs w:val="18"/>
                <w:lang w:eastAsia="en-AU"/>
              </w:rPr>
            </w:pPr>
          </w:p>
        </w:tc>
        <w:tc>
          <w:tcPr>
            <w:tcW w:w="1153" w:type="dxa"/>
            <w:tcBorders>
              <w:top w:val="nil"/>
              <w:left w:val="nil"/>
              <w:bottom w:val="nil"/>
              <w:right w:val="nil"/>
            </w:tcBorders>
            <w:shd w:val="clear" w:color="auto" w:fill="auto"/>
            <w:noWrap/>
            <w:vAlign w:val="center"/>
            <w:hideMark/>
          </w:tcPr>
          <w:p w14:paraId="2733D950"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7,405 </w:t>
            </w:r>
          </w:p>
        </w:tc>
      </w:tr>
    </w:tbl>
    <w:p w14:paraId="17905DDA" w14:textId="77777777" w:rsidR="00BC5219" w:rsidRPr="008A2B8F" w:rsidRDefault="00BC5219" w:rsidP="00BC5219">
      <w:pPr>
        <w:spacing w:before="60"/>
        <w:rPr>
          <w:rFonts w:ascii="Meta Pro" w:hAnsi="Meta Pro"/>
          <w:sz w:val="16"/>
          <w:szCs w:val="16"/>
          <w:lang w:eastAsia="en-AU"/>
        </w:rPr>
      </w:pPr>
      <w:r w:rsidRPr="008A2B8F">
        <w:rPr>
          <w:rFonts w:ascii="Meta Pro" w:hAnsi="Meta Pro"/>
          <w:sz w:val="16"/>
          <w:szCs w:val="16"/>
          <w:lang w:eastAsia="en-AU"/>
        </w:rPr>
        <w:t>* In 2023 a total of 1769 full-time equivalent employees were transferred into the department as a result of the 18 May 2023 machinery-of</w:t>
      </w:r>
      <w:r>
        <w:rPr>
          <w:rFonts w:ascii="Meta Pro" w:hAnsi="Meta Pro"/>
          <w:sz w:val="16"/>
          <w:szCs w:val="16"/>
          <w:lang w:eastAsia="en-AU"/>
        </w:rPr>
        <w:t>-</w:t>
      </w:r>
    </w:p>
    <w:p w14:paraId="186D4126" w14:textId="77777777" w:rsidR="00BC5219" w:rsidRPr="008A2B8F" w:rsidRDefault="00BC5219" w:rsidP="00BC5219">
      <w:pPr>
        <w:rPr>
          <w:rFonts w:ascii="Meta Pro" w:hAnsi="Meta Pro"/>
          <w:sz w:val="16"/>
          <w:szCs w:val="16"/>
          <w:lang w:eastAsia="en-AU"/>
        </w:rPr>
      </w:pPr>
      <w:r w:rsidRPr="008A2B8F">
        <w:rPr>
          <w:rFonts w:ascii="Meta Pro" w:hAnsi="Meta Pro"/>
          <w:sz w:val="16"/>
          <w:szCs w:val="16"/>
          <w:lang w:eastAsia="en-AU"/>
        </w:rPr>
        <w:t xml:space="preserve">   government change.  Refer to Note 1.</w:t>
      </w:r>
    </w:p>
    <w:p w14:paraId="32691730" w14:textId="77777777" w:rsidR="00BC5219" w:rsidRPr="008A2B8F" w:rsidRDefault="00BC5219" w:rsidP="00BC5219">
      <w:pPr>
        <w:spacing w:before="60"/>
        <w:rPr>
          <w:rFonts w:ascii="Meta Pro" w:eastAsia="Times New Roman" w:hAnsi="Meta Pro"/>
          <w:szCs w:val="18"/>
          <w:lang w:eastAsia="en-AU"/>
        </w:rPr>
      </w:pPr>
      <w:r w:rsidRPr="008A2B8F">
        <w:rPr>
          <w:rFonts w:ascii="Meta Pro" w:eastAsia="Times New Roman" w:hAnsi="Meta Pro"/>
          <w:szCs w:val="18"/>
          <w:lang w:eastAsia="en-AU"/>
        </w:rPr>
        <w:t>Refer to Note 21 for the policies related to employee entitlements.</w:t>
      </w:r>
    </w:p>
    <w:p w14:paraId="04AB51C0" w14:textId="77777777" w:rsidR="00BC5219" w:rsidRPr="008A2B8F" w:rsidRDefault="00BC5219" w:rsidP="00BC5219">
      <w:pPr>
        <w:rPr>
          <w:rFonts w:ascii="Meta Pro" w:hAnsi="Meta Pro"/>
          <w:sz w:val="16"/>
          <w:szCs w:val="16"/>
          <w:lang w:eastAsia="en-AU"/>
        </w:rPr>
      </w:pPr>
    </w:p>
    <w:p w14:paraId="3B6BE6E7" w14:textId="77777777" w:rsidR="00BC5219" w:rsidRPr="008A2B8F" w:rsidRDefault="00BC5219" w:rsidP="00BC5219">
      <w:pPr>
        <w:rPr>
          <w:rFonts w:ascii="Meta Pro" w:hAnsi="Meta Pro"/>
          <w:sz w:val="16"/>
          <w:szCs w:val="16"/>
          <w:lang w:eastAsia="en-AU"/>
        </w:rPr>
      </w:pPr>
    </w:p>
    <w:p w14:paraId="3585EF94" w14:textId="77777777" w:rsidR="00BC5219" w:rsidRPr="008A2B8F" w:rsidRDefault="00BC5219" w:rsidP="00BC5219">
      <w:pPr>
        <w:spacing w:after="60" w:line="259" w:lineRule="auto"/>
        <w:rPr>
          <w:rFonts w:ascii="Meta Pro" w:hAnsi="Meta Pro"/>
          <w:b/>
          <w:bCs/>
          <w:lang w:eastAsia="en-AU"/>
        </w:rPr>
      </w:pPr>
      <w:r w:rsidRPr="008A2B8F">
        <w:rPr>
          <w:rFonts w:ascii="Meta Pro" w:hAnsi="Meta Pro"/>
          <w:b/>
          <w:bCs/>
          <w:lang w:eastAsia="en-AU"/>
        </w:rPr>
        <w:t>6       KEY MANAGEMENT PERSONNEL AND REMUNERATION EXPENSES</w:t>
      </w:r>
    </w:p>
    <w:p w14:paraId="6E44DB6D" w14:textId="77777777" w:rsidR="00BC5219" w:rsidRPr="008A2B8F" w:rsidRDefault="00BC5219" w:rsidP="00BC5219">
      <w:pPr>
        <w:spacing w:after="60" w:line="259" w:lineRule="auto"/>
        <w:rPr>
          <w:rFonts w:ascii="Meta Pro" w:hAnsi="Meta Pro"/>
          <w:b/>
          <w:bCs/>
          <w:lang w:eastAsia="en-AU"/>
        </w:rPr>
      </w:pPr>
      <w:r w:rsidRPr="008A2B8F">
        <w:rPr>
          <w:rFonts w:ascii="Meta Pro" w:eastAsia="Times New Roman" w:hAnsi="Meta Pro"/>
          <w:b/>
          <w:bCs/>
          <w:szCs w:val="18"/>
          <w:lang w:eastAsia="en-AU"/>
        </w:rPr>
        <w:t>Key management personnel</w:t>
      </w:r>
    </w:p>
    <w:p w14:paraId="62A2DC8E" w14:textId="77777777" w:rsidR="00BC5219" w:rsidRPr="008A2B8F" w:rsidRDefault="00BC5219" w:rsidP="00BC5219">
      <w:pPr>
        <w:spacing w:after="60"/>
        <w:rPr>
          <w:rFonts w:ascii="Meta Pro" w:eastAsia="Times New Roman" w:hAnsi="Meta Pro"/>
          <w:szCs w:val="18"/>
          <w:lang w:eastAsia="en-AU"/>
        </w:rPr>
      </w:pPr>
      <w:r w:rsidRPr="008A2B8F">
        <w:rPr>
          <w:rFonts w:ascii="Meta Pro" w:eastAsia="Times New Roman" w:hAnsi="Meta Pro"/>
          <w:szCs w:val="18"/>
          <w:lang w:eastAsia="en-AU"/>
        </w:rPr>
        <w:t xml:space="preserve">The department’s responsible Minister, the Minister for Transport and Main Roads, is identified as part of the department’s key management personnel, consistent with guidance included in AASB 124 </w:t>
      </w:r>
      <w:r w:rsidRPr="008A2B8F">
        <w:rPr>
          <w:rFonts w:ascii="Meta Pro" w:eastAsia="Times New Roman" w:hAnsi="Meta Pro"/>
          <w:i/>
          <w:iCs/>
          <w:szCs w:val="18"/>
          <w:lang w:eastAsia="en-AU"/>
        </w:rPr>
        <w:t>Related Party Disclosures</w:t>
      </w:r>
      <w:r w:rsidRPr="008A2B8F">
        <w:rPr>
          <w:rFonts w:ascii="Meta Pro" w:eastAsia="Times New Roman" w:hAnsi="Meta Pro"/>
          <w:szCs w:val="18"/>
          <w:lang w:eastAsia="en-AU"/>
        </w:rPr>
        <w:t>.</w:t>
      </w:r>
    </w:p>
    <w:p w14:paraId="1CF42C73" w14:textId="77777777" w:rsidR="00BC5219" w:rsidRPr="008A2B8F" w:rsidRDefault="00BC5219" w:rsidP="00BC5219">
      <w:pPr>
        <w:rPr>
          <w:rFonts w:ascii="Meta Pro" w:eastAsia="Times New Roman" w:hAnsi="Meta Pro"/>
          <w:szCs w:val="18"/>
          <w:lang w:eastAsia="en-AU"/>
        </w:rPr>
      </w:pPr>
      <w:r w:rsidRPr="008A2B8F">
        <w:rPr>
          <w:rFonts w:ascii="Meta Pro" w:eastAsia="Times New Roman" w:hAnsi="Meta Pro"/>
          <w:szCs w:val="18"/>
          <w:lang w:eastAsia="en-AU"/>
        </w:rPr>
        <w:t>The following details for non-Ministerial key management personnel include those positions that form the department's Executive Leadership Team (ELT) that had authority and responsibility for planning, directing and controlling the activities of the department during the financial year. Further information on these positions can be found in the Annual Report under the section titled Our Organisation.</w:t>
      </w:r>
    </w:p>
    <w:p w14:paraId="5E59EABA" w14:textId="77777777" w:rsidR="00BC5219" w:rsidRPr="008A2B8F" w:rsidRDefault="00BC5219" w:rsidP="00BC5219">
      <w:pPr>
        <w:spacing w:line="17" w:lineRule="auto"/>
        <w:rPr>
          <w:rFonts w:ascii="Meta Pro" w:eastAsia="Times New Roman" w:hAnsi="Meta Pro"/>
          <w:szCs w:val="18"/>
          <w:lang w:eastAsia="en-AU"/>
        </w:rPr>
      </w:pPr>
    </w:p>
    <w:p w14:paraId="3A8ECF31" w14:textId="77777777" w:rsidR="00BC5219" w:rsidRPr="008A2B8F" w:rsidRDefault="00BC5219" w:rsidP="00BC5219">
      <w:pPr>
        <w:spacing w:before="120" w:after="60" w:line="276" w:lineRule="auto"/>
        <w:rPr>
          <w:rFonts w:ascii="Meta Pro" w:eastAsia="Times New Roman" w:hAnsi="Meta Pro"/>
          <w:b/>
          <w:bCs/>
          <w:szCs w:val="18"/>
          <w:lang w:eastAsia="en-AU"/>
        </w:rPr>
      </w:pPr>
      <w:r w:rsidRPr="008A2B8F">
        <w:rPr>
          <w:rFonts w:ascii="Meta Pro" w:eastAsia="Times New Roman" w:hAnsi="Meta Pro"/>
          <w:b/>
          <w:bCs/>
          <w:szCs w:val="18"/>
          <w:lang w:eastAsia="en-AU"/>
        </w:rPr>
        <w:t xml:space="preserve">Remuneration expenses </w:t>
      </w:r>
    </w:p>
    <w:p w14:paraId="13AF5AAD" w14:textId="77777777" w:rsidR="00BC5219" w:rsidRPr="008A2B8F" w:rsidRDefault="00BC5219" w:rsidP="00BC5219">
      <w:pPr>
        <w:spacing w:after="60"/>
        <w:rPr>
          <w:rFonts w:ascii="Meta Pro" w:eastAsia="Times New Roman" w:hAnsi="Meta Pro"/>
          <w:szCs w:val="18"/>
          <w:lang w:eastAsia="en-AU"/>
        </w:rPr>
      </w:pPr>
      <w:r w:rsidRPr="008A2B8F">
        <w:rPr>
          <w:rFonts w:ascii="Meta Pro" w:eastAsia="Times New Roman" w:hAnsi="Meta Pro"/>
          <w:szCs w:val="18"/>
          <w:lang w:eastAsia="en-AU"/>
        </w:rPr>
        <w:t xml:space="preserve">Ministerial remuneration entitlements are outlined in the Legislative Assembly of Queensland’s Members’ Remuneration Handbook. The department does not bear any cost of remuneration for the Minister. The majority of Ministerial entitlements are paid by the Legislative Assembly, with the remaining entitlements being provided by Ministerial Services Branch within the Department of the Premier and Cabinet. </w:t>
      </w:r>
    </w:p>
    <w:p w14:paraId="49366A73" w14:textId="77777777" w:rsidR="00BC5219" w:rsidRPr="008A2B8F" w:rsidRDefault="00BC5219" w:rsidP="00BC5219">
      <w:pPr>
        <w:spacing w:after="60"/>
        <w:rPr>
          <w:rFonts w:ascii="Meta Pro" w:eastAsia="Times New Roman" w:hAnsi="Meta Pro"/>
          <w:szCs w:val="18"/>
          <w:lang w:eastAsia="en-AU"/>
        </w:rPr>
      </w:pPr>
      <w:r w:rsidRPr="008A2B8F">
        <w:rPr>
          <w:rFonts w:ascii="Meta Pro" w:eastAsia="Times New Roman" w:hAnsi="Meta Pro"/>
          <w:szCs w:val="18"/>
          <w:lang w:eastAsia="en-AU"/>
        </w:rPr>
        <w:t xml:space="preserve">As all Ministers are reported as key management personnel of the Queensland Government, aggregate remuneration expenses for all Ministers is disclosed in the Queensland General Government and Whole of Government Consolidated Financial Statements, which are published as part of Queensland Treasury’s Report on State Finances. </w:t>
      </w:r>
    </w:p>
    <w:p w14:paraId="479EA22E"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p>
    <w:p w14:paraId="2BC0A7D6"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p>
    <w:p w14:paraId="18F39084"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r w:rsidRPr="008A2B8F">
        <w:rPr>
          <w:rFonts w:ascii="Meta Pro" w:eastAsia="Times New Roman" w:hAnsi="Meta Pro"/>
          <w:i/>
          <w:iCs/>
          <w:color w:val="000000" w:themeColor="text1"/>
          <w:lang w:eastAsia="en-AU"/>
        </w:rPr>
        <w:t>Department of Transport and Main Roads</w:t>
      </w:r>
    </w:p>
    <w:p w14:paraId="52FBCE46"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Notes to the financial statements 2022–23 (continued)</w:t>
      </w:r>
    </w:p>
    <w:p w14:paraId="212547B8" w14:textId="77777777" w:rsidR="00BC5219" w:rsidRPr="008A2B8F" w:rsidRDefault="00BC5219" w:rsidP="00BC5219">
      <w:pPr>
        <w:rPr>
          <w:rFonts w:ascii="Meta Pro" w:eastAsia="Times New Roman" w:hAnsi="Meta Pro"/>
          <w:szCs w:val="18"/>
          <w:lang w:eastAsia="en-AU"/>
        </w:rPr>
      </w:pPr>
    </w:p>
    <w:p w14:paraId="2E3D3416" w14:textId="77777777" w:rsidR="00BC5219" w:rsidRPr="008A2B8F" w:rsidRDefault="00BC5219" w:rsidP="00BC5219">
      <w:pPr>
        <w:spacing w:after="60" w:line="168" w:lineRule="auto"/>
        <w:rPr>
          <w:rFonts w:ascii="Meta Pro" w:hAnsi="Meta Pro"/>
          <w:sz w:val="24"/>
          <w:szCs w:val="24"/>
        </w:rPr>
      </w:pPr>
      <w:r w:rsidRPr="008A2B8F">
        <w:rPr>
          <w:rFonts w:ascii="Meta Pro" w:hAnsi="Meta Pro"/>
          <w:b/>
          <w:bCs/>
          <w:lang w:eastAsia="en-AU"/>
        </w:rPr>
        <w:t xml:space="preserve">6       KEY MANAGEMENT PERSONNEL AND REMUNERATION EXPENSES </w:t>
      </w:r>
      <w:r w:rsidRPr="008A2B8F">
        <w:rPr>
          <w:rFonts w:ascii="Meta Pro" w:eastAsia="Times New Roman" w:hAnsi="Meta Pro"/>
          <w:b/>
          <w:bCs/>
          <w:lang w:eastAsia="en-AU"/>
        </w:rPr>
        <w:t>(continued)</w:t>
      </w:r>
    </w:p>
    <w:p w14:paraId="7D040C73" w14:textId="77777777" w:rsidR="00BC5219" w:rsidRPr="008A2B8F" w:rsidRDefault="00BC5219" w:rsidP="00BC5219">
      <w:pPr>
        <w:spacing w:before="120" w:after="60" w:line="276" w:lineRule="auto"/>
        <w:rPr>
          <w:rFonts w:ascii="Meta Pro" w:eastAsia="Times New Roman" w:hAnsi="Meta Pro"/>
          <w:b/>
          <w:bCs/>
          <w:szCs w:val="18"/>
          <w:lang w:eastAsia="en-AU"/>
        </w:rPr>
      </w:pPr>
      <w:r w:rsidRPr="008A2B8F">
        <w:rPr>
          <w:rFonts w:ascii="Meta Pro" w:eastAsia="Times New Roman" w:hAnsi="Meta Pro"/>
          <w:b/>
          <w:bCs/>
          <w:szCs w:val="18"/>
          <w:lang w:eastAsia="en-AU"/>
        </w:rPr>
        <w:t>Remuneration expenses (continued)</w:t>
      </w:r>
    </w:p>
    <w:p w14:paraId="1F5E9D87" w14:textId="77777777" w:rsidR="00BC5219" w:rsidRPr="008A2B8F" w:rsidRDefault="00BC5219" w:rsidP="00BC5219">
      <w:pPr>
        <w:spacing w:before="120" w:after="60"/>
        <w:rPr>
          <w:rFonts w:ascii="Meta Pro" w:eastAsia="Times New Roman" w:hAnsi="Meta Pro"/>
          <w:szCs w:val="18"/>
          <w:lang w:eastAsia="en-AU"/>
        </w:rPr>
      </w:pPr>
      <w:r w:rsidRPr="008A2B8F">
        <w:rPr>
          <w:rFonts w:ascii="Meta Pro" w:eastAsia="Times New Roman" w:hAnsi="Meta Pro"/>
          <w:szCs w:val="18"/>
          <w:lang w:eastAsia="en-AU"/>
        </w:rPr>
        <w:t xml:space="preserve">Remuneration policy for the department's key management personnel is set by the Queensland Public Service Commission as provided for under the </w:t>
      </w:r>
      <w:r w:rsidRPr="008A2B8F">
        <w:rPr>
          <w:rFonts w:ascii="Meta Pro" w:eastAsia="Times New Roman" w:hAnsi="Meta Pro"/>
          <w:i/>
          <w:iCs/>
          <w:szCs w:val="18"/>
          <w:lang w:eastAsia="en-AU"/>
        </w:rPr>
        <w:t>Public Sector Act 2022</w:t>
      </w:r>
      <w:r w:rsidRPr="008A2B8F">
        <w:rPr>
          <w:rFonts w:ascii="Meta Pro" w:eastAsia="Times New Roman" w:hAnsi="Meta Pro"/>
          <w:szCs w:val="18"/>
          <w:lang w:eastAsia="en-AU"/>
        </w:rPr>
        <w:t>.</w:t>
      </w:r>
    </w:p>
    <w:p w14:paraId="0BCE005D" w14:textId="77777777" w:rsidR="00BC5219" w:rsidRPr="008A2B8F" w:rsidRDefault="00BC5219" w:rsidP="00BC5219">
      <w:pPr>
        <w:spacing w:after="60"/>
        <w:rPr>
          <w:rFonts w:ascii="Meta Pro" w:eastAsia="Times New Roman" w:hAnsi="Meta Pro"/>
          <w:szCs w:val="18"/>
          <w:lang w:eastAsia="en-AU"/>
        </w:rPr>
      </w:pPr>
      <w:r w:rsidRPr="008A2B8F">
        <w:rPr>
          <w:rFonts w:ascii="Meta Pro" w:eastAsia="Times New Roman" w:hAnsi="Meta Pro"/>
          <w:szCs w:val="18"/>
          <w:lang w:eastAsia="en-AU"/>
        </w:rPr>
        <w:t>The remuneration and other terms of employment for the key management personnel are specified in employment contracts. The contracts may provide for other benefits including a motor vehicle allowance, however they do not provide for the provision of performance payments.</w:t>
      </w:r>
    </w:p>
    <w:p w14:paraId="78F0ABBA" w14:textId="77777777" w:rsidR="00BC5219" w:rsidRPr="008A2B8F" w:rsidRDefault="00BC5219" w:rsidP="00BC5219">
      <w:pPr>
        <w:spacing w:after="60"/>
        <w:rPr>
          <w:rFonts w:ascii="Meta Pro" w:eastAsia="Times New Roman" w:hAnsi="Meta Pro"/>
          <w:szCs w:val="18"/>
          <w:lang w:eastAsia="en-AU"/>
        </w:rPr>
      </w:pPr>
      <w:r w:rsidRPr="008A2B8F">
        <w:rPr>
          <w:rFonts w:ascii="Meta Pro" w:eastAsia="Times New Roman" w:hAnsi="Meta Pro"/>
          <w:szCs w:val="18"/>
          <w:lang w:eastAsia="en-AU"/>
        </w:rPr>
        <w:lastRenderedPageBreak/>
        <w:t>The following disclosures focus on the expenses incurred by the department for non-Ministerial personnel during the reporting period attributable to the key management positions.</w:t>
      </w:r>
    </w:p>
    <w:p w14:paraId="43F8E466" w14:textId="77777777" w:rsidR="00BC5219" w:rsidRPr="008A2B8F" w:rsidRDefault="00BC5219" w:rsidP="00BC5219">
      <w:pPr>
        <w:spacing w:line="276" w:lineRule="auto"/>
        <w:rPr>
          <w:rFonts w:ascii="Meta Pro" w:eastAsia="Times New Roman" w:hAnsi="Meta Pro"/>
          <w:szCs w:val="18"/>
          <w:lang w:eastAsia="en-AU"/>
        </w:rPr>
      </w:pPr>
      <w:r w:rsidRPr="008A2B8F">
        <w:rPr>
          <w:rFonts w:ascii="Meta Pro" w:eastAsia="Times New Roman" w:hAnsi="Meta Pro"/>
          <w:szCs w:val="18"/>
          <w:lang w:eastAsia="en-AU"/>
        </w:rPr>
        <w:t>Remuneration expenses for key management personnel comprise the following components:</w:t>
      </w:r>
    </w:p>
    <w:p w14:paraId="3E5EF133" w14:textId="77777777" w:rsidR="00BC5219" w:rsidRPr="008A2B8F" w:rsidRDefault="00BC5219" w:rsidP="00BC5219">
      <w:pPr>
        <w:spacing w:line="276" w:lineRule="auto"/>
        <w:rPr>
          <w:rFonts w:ascii="Meta Pro" w:eastAsia="Times New Roman" w:hAnsi="Meta Pro"/>
          <w:szCs w:val="18"/>
          <w:lang w:eastAsia="en-AU"/>
        </w:rPr>
      </w:pPr>
      <w:r w:rsidRPr="008A2B8F">
        <w:rPr>
          <w:rFonts w:ascii="Meta Pro" w:eastAsia="Times New Roman" w:hAnsi="Meta Pro"/>
          <w:szCs w:val="18"/>
          <w:lang w:eastAsia="en-AU"/>
        </w:rPr>
        <w:t>•  Short term employee expenses including:</w:t>
      </w:r>
    </w:p>
    <w:p w14:paraId="5B580AB1" w14:textId="77777777" w:rsidR="00BC5219" w:rsidRPr="008A2B8F" w:rsidRDefault="00BC5219" w:rsidP="00BC5219">
      <w:pPr>
        <w:spacing w:line="276" w:lineRule="auto"/>
        <w:ind w:left="148" w:hanging="6"/>
        <w:rPr>
          <w:rFonts w:ascii="Meta Pro" w:eastAsia="Times New Roman" w:hAnsi="Meta Pro"/>
          <w:szCs w:val="18"/>
          <w:lang w:eastAsia="en-AU"/>
        </w:rPr>
      </w:pPr>
      <w:r w:rsidRPr="008A2B8F">
        <w:rPr>
          <w:rFonts w:ascii="Meta Pro" w:eastAsia="Times New Roman" w:hAnsi="Meta Pro"/>
          <w:szCs w:val="18"/>
          <w:lang w:eastAsia="en-AU"/>
        </w:rPr>
        <w:t xml:space="preserve">-  salaries, allowances and leave entitlements earned and expensed for the entire year or for that part of the year </w:t>
      </w:r>
      <w:r w:rsidRPr="008A2B8F">
        <w:rPr>
          <w:rFonts w:ascii="Meta Pro" w:eastAsia="Times New Roman" w:hAnsi="Meta Pro"/>
          <w:szCs w:val="18"/>
          <w:lang w:eastAsia="en-AU"/>
        </w:rPr>
        <w:br/>
        <w:t xml:space="preserve">   during which the employee occupied the specified position</w:t>
      </w:r>
    </w:p>
    <w:p w14:paraId="5B9F07FC" w14:textId="77777777" w:rsidR="00BC5219" w:rsidRPr="008A2B8F" w:rsidRDefault="00BC5219" w:rsidP="00BC5219">
      <w:pPr>
        <w:spacing w:line="276" w:lineRule="auto"/>
        <w:ind w:left="148" w:hanging="6"/>
        <w:rPr>
          <w:rFonts w:ascii="Meta Pro" w:eastAsia="Times New Roman" w:hAnsi="Meta Pro"/>
          <w:szCs w:val="18"/>
          <w:lang w:eastAsia="en-AU"/>
        </w:rPr>
      </w:pPr>
      <w:r w:rsidRPr="008A2B8F">
        <w:rPr>
          <w:rFonts w:ascii="Meta Pro" w:eastAsia="Times New Roman" w:hAnsi="Meta Pro"/>
          <w:szCs w:val="18"/>
          <w:lang w:eastAsia="en-AU"/>
        </w:rPr>
        <w:t>-  non-monetary benefits and any applicable fringe benefits tax.</w:t>
      </w:r>
    </w:p>
    <w:p w14:paraId="7F0226A9" w14:textId="77777777" w:rsidR="00BC5219" w:rsidRPr="008A2B8F" w:rsidRDefault="00BC5219" w:rsidP="00BC5219">
      <w:pPr>
        <w:spacing w:line="276" w:lineRule="auto"/>
        <w:rPr>
          <w:rFonts w:ascii="Meta Pro" w:eastAsia="Times New Roman" w:hAnsi="Meta Pro"/>
          <w:szCs w:val="18"/>
          <w:lang w:eastAsia="en-AU"/>
        </w:rPr>
      </w:pPr>
      <w:r w:rsidRPr="008A2B8F">
        <w:rPr>
          <w:rFonts w:ascii="Meta Pro" w:eastAsia="Times New Roman" w:hAnsi="Meta Pro"/>
          <w:szCs w:val="18"/>
          <w:lang w:eastAsia="en-AU"/>
        </w:rPr>
        <w:t>•  Long term and post employment expenses including:</w:t>
      </w:r>
    </w:p>
    <w:p w14:paraId="1092129D" w14:textId="77777777" w:rsidR="00BC5219" w:rsidRPr="008A2B8F" w:rsidRDefault="00BC5219" w:rsidP="00BC5219">
      <w:pPr>
        <w:spacing w:line="276" w:lineRule="auto"/>
        <w:ind w:left="148" w:hanging="6"/>
        <w:rPr>
          <w:rFonts w:ascii="Meta Pro" w:eastAsia="Times New Roman" w:hAnsi="Meta Pro"/>
          <w:szCs w:val="18"/>
          <w:lang w:eastAsia="en-AU"/>
        </w:rPr>
      </w:pPr>
      <w:r w:rsidRPr="008A2B8F">
        <w:rPr>
          <w:rFonts w:ascii="Meta Pro" w:eastAsia="Times New Roman" w:hAnsi="Meta Pro"/>
          <w:szCs w:val="18"/>
          <w:lang w:eastAsia="en-AU"/>
        </w:rPr>
        <w:t>-  amounts expensed in respect of long service leave entitlements earned</w:t>
      </w:r>
    </w:p>
    <w:p w14:paraId="4EE0D632" w14:textId="77777777" w:rsidR="00BC5219" w:rsidRPr="008A2B8F" w:rsidRDefault="00BC5219" w:rsidP="00BC5219">
      <w:pPr>
        <w:spacing w:line="276" w:lineRule="auto"/>
        <w:ind w:left="148" w:hanging="6"/>
        <w:rPr>
          <w:rFonts w:ascii="Meta Pro" w:eastAsia="Times New Roman" w:hAnsi="Meta Pro"/>
          <w:szCs w:val="18"/>
          <w:lang w:eastAsia="en-AU"/>
        </w:rPr>
      </w:pPr>
      <w:r w:rsidRPr="008A2B8F">
        <w:rPr>
          <w:rFonts w:ascii="Meta Pro" w:eastAsia="Times New Roman" w:hAnsi="Meta Pro"/>
          <w:szCs w:val="18"/>
          <w:lang w:eastAsia="en-AU"/>
        </w:rPr>
        <w:t>-  amounts expensed in respect of employer superannuation obligations.</w:t>
      </w:r>
    </w:p>
    <w:p w14:paraId="228608BE" w14:textId="77777777" w:rsidR="00BC5219" w:rsidRPr="008A2B8F" w:rsidRDefault="00BC5219" w:rsidP="00BC5219">
      <w:pPr>
        <w:spacing w:after="60" w:line="276" w:lineRule="auto"/>
        <w:ind w:left="227" w:hanging="227"/>
        <w:rPr>
          <w:rFonts w:ascii="Meta Pro" w:eastAsia="Times New Roman" w:hAnsi="Meta Pro"/>
          <w:szCs w:val="18"/>
          <w:lang w:eastAsia="en-AU"/>
        </w:rPr>
      </w:pPr>
      <w:r w:rsidRPr="008A2B8F">
        <w:rPr>
          <w:rFonts w:ascii="Meta Pro" w:eastAsia="Times New Roman" w:hAnsi="Meta Pro"/>
          <w:szCs w:val="18"/>
          <w:lang w:eastAsia="en-AU"/>
        </w:rPr>
        <w:t>•  Termination benefits include payments in lieu of notice on termination and other lump sum separation entitlements payable on termination of employment.</w:t>
      </w:r>
    </w:p>
    <w:p w14:paraId="0B0A2CEE" w14:textId="77777777" w:rsidR="00BC5219" w:rsidRPr="008A2B8F" w:rsidRDefault="00BC5219" w:rsidP="00BC5219">
      <w:pPr>
        <w:spacing w:after="60"/>
        <w:rPr>
          <w:rFonts w:ascii="Meta Pro" w:eastAsia="Times New Roman" w:hAnsi="Meta Pro"/>
          <w:szCs w:val="18"/>
          <w:lang w:eastAsia="en-AU"/>
        </w:rPr>
        <w:sectPr w:rsidR="00BC5219" w:rsidRPr="008A2B8F" w:rsidSect="0091394C">
          <w:headerReference w:type="default" r:id="rId95"/>
          <w:footerReference w:type="default" r:id="rId96"/>
          <w:pgSz w:w="11906" w:h="16838"/>
          <w:pgMar w:top="1701" w:right="851" w:bottom="1134" w:left="851" w:header="454" w:footer="284" w:gutter="0"/>
          <w:pgNumType w:start="11"/>
          <w:cols w:space="708"/>
          <w:docGrid w:linePitch="360"/>
        </w:sectPr>
      </w:pPr>
    </w:p>
    <w:p w14:paraId="206A5A04" w14:textId="77777777" w:rsidR="00BC5219" w:rsidRPr="008A2B8F" w:rsidRDefault="00BC5219" w:rsidP="00BC5219">
      <w:pPr>
        <w:spacing w:before="60" w:after="60"/>
        <w:rPr>
          <w:rFonts w:ascii="Meta Pro" w:hAnsi="Meta Pro" w:cstheme="minorBidi"/>
        </w:rPr>
      </w:pPr>
      <w:r w:rsidRPr="008A2B8F">
        <w:rPr>
          <w:rFonts w:ascii="Meta Pro" w:eastAsia="Times New Roman" w:hAnsi="Meta Pro"/>
          <w:b/>
          <w:bCs/>
          <w:szCs w:val="18"/>
          <w:lang w:eastAsia="en-AU"/>
        </w:rPr>
        <w:t xml:space="preserve">1 July 2022 – 30 June 2023  </w:t>
      </w:r>
    </w:p>
    <w:tbl>
      <w:tblPr>
        <w:tblW w:w="0" w:type="auto"/>
        <w:tblCellMar>
          <w:left w:w="28" w:type="dxa"/>
        </w:tblCellMar>
        <w:tblLook w:val="04A0" w:firstRow="1" w:lastRow="0" w:firstColumn="1" w:lastColumn="0" w:noHBand="0" w:noVBand="1"/>
      </w:tblPr>
      <w:tblGrid>
        <w:gridCol w:w="5046"/>
        <w:gridCol w:w="1191"/>
        <w:gridCol w:w="1191"/>
        <w:gridCol w:w="1191"/>
        <w:gridCol w:w="1191"/>
      </w:tblGrid>
      <w:tr w:rsidR="00BC5219" w:rsidRPr="008A2B8F" w14:paraId="340D90D7" w14:textId="77777777" w:rsidTr="00E83802">
        <w:trPr>
          <w:trHeight w:val="198"/>
        </w:trPr>
        <w:tc>
          <w:tcPr>
            <w:tcW w:w="5046" w:type="dxa"/>
            <w:tcBorders>
              <w:top w:val="single" w:sz="4" w:space="0" w:color="auto"/>
              <w:left w:val="single" w:sz="4" w:space="0" w:color="auto"/>
              <w:bottom w:val="nil"/>
              <w:right w:val="single" w:sz="4" w:space="0" w:color="auto"/>
            </w:tcBorders>
            <w:shd w:val="clear" w:color="auto" w:fill="auto"/>
            <w:vAlign w:val="center"/>
            <w:hideMark/>
          </w:tcPr>
          <w:p w14:paraId="2B0BFDBB"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Position</w:t>
            </w:r>
          </w:p>
        </w:tc>
        <w:tc>
          <w:tcPr>
            <w:tcW w:w="1191" w:type="dxa"/>
            <w:tcBorders>
              <w:top w:val="single" w:sz="4" w:space="0" w:color="auto"/>
              <w:left w:val="nil"/>
              <w:bottom w:val="nil"/>
              <w:right w:val="single" w:sz="4" w:space="0" w:color="auto"/>
            </w:tcBorders>
            <w:shd w:val="clear" w:color="auto" w:fill="auto"/>
            <w:hideMark/>
          </w:tcPr>
          <w:p w14:paraId="0611C435"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Short term employee expenses</w:t>
            </w:r>
          </w:p>
        </w:tc>
        <w:tc>
          <w:tcPr>
            <w:tcW w:w="1191" w:type="dxa"/>
            <w:tcBorders>
              <w:top w:val="single" w:sz="4" w:space="0" w:color="auto"/>
              <w:left w:val="nil"/>
              <w:bottom w:val="nil"/>
              <w:right w:val="single" w:sz="4" w:space="0" w:color="auto"/>
            </w:tcBorders>
            <w:shd w:val="clear" w:color="auto" w:fill="auto"/>
            <w:hideMark/>
          </w:tcPr>
          <w:p w14:paraId="72A0CD7D"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Long term and post employment expenses</w:t>
            </w:r>
          </w:p>
        </w:tc>
        <w:tc>
          <w:tcPr>
            <w:tcW w:w="1191" w:type="dxa"/>
            <w:tcBorders>
              <w:top w:val="single" w:sz="4" w:space="0" w:color="auto"/>
              <w:left w:val="nil"/>
              <w:bottom w:val="nil"/>
              <w:right w:val="single" w:sz="4" w:space="0" w:color="auto"/>
            </w:tcBorders>
            <w:shd w:val="clear" w:color="auto" w:fill="auto"/>
            <w:hideMark/>
          </w:tcPr>
          <w:p w14:paraId="1DF82302"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Termination benefits</w:t>
            </w:r>
          </w:p>
        </w:tc>
        <w:tc>
          <w:tcPr>
            <w:tcW w:w="1191" w:type="dxa"/>
            <w:tcBorders>
              <w:top w:val="single" w:sz="4" w:space="0" w:color="auto"/>
              <w:left w:val="nil"/>
              <w:bottom w:val="nil"/>
              <w:right w:val="single" w:sz="4" w:space="0" w:color="auto"/>
            </w:tcBorders>
            <w:shd w:val="clear" w:color="auto" w:fill="auto"/>
            <w:hideMark/>
          </w:tcPr>
          <w:p w14:paraId="5363BB19"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 xml:space="preserve">Total </w:t>
            </w:r>
          </w:p>
        </w:tc>
      </w:tr>
      <w:tr w:rsidR="00BC5219" w:rsidRPr="008A2B8F" w14:paraId="121CCA91" w14:textId="77777777" w:rsidTr="00E83802">
        <w:trPr>
          <w:trHeight w:val="198"/>
        </w:trPr>
        <w:tc>
          <w:tcPr>
            <w:tcW w:w="5046" w:type="dxa"/>
            <w:tcBorders>
              <w:top w:val="nil"/>
              <w:left w:val="single" w:sz="4" w:space="0" w:color="auto"/>
              <w:bottom w:val="single" w:sz="4" w:space="0" w:color="auto"/>
              <w:right w:val="single" w:sz="4" w:space="0" w:color="auto"/>
            </w:tcBorders>
            <w:shd w:val="clear" w:color="auto" w:fill="auto"/>
            <w:vAlign w:val="center"/>
            <w:hideMark/>
          </w:tcPr>
          <w:p w14:paraId="077A4B05"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 </w:t>
            </w:r>
          </w:p>
        </w:tc>
        <w:tc>
          <w:tcPr>
            <w:tcW w:w="1191" w:type="dxa"/>
            <w:tcBorders>
              <w:top w:val="nil"/>
              <w:left w:val="nil"/>
              <w:bottom w:val="single" w:sz="4" w:space="0" w:color="auto"/>
              <w:right w:val="single" w:sz="4" w:space="0" w:color="auto"/>
            </w:tcBorders>
            <w:shd w:val="clear" w:color="auto" w:fill="auto"/>
            <w:vAlign w:val="center"/>
            <w:hideMark/>
          </w:tcPr>
          <w:p w14:paraId="799CBA28"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$'000</w:t>
            </w:r>
          </w:p>
        </w:tc>
        <w:tc>
          <w:tcPr>
            <w:tcW w:w="1191" w:type="dxa"/>
            <w:tcBorders>
              <w:top w:val="nil"/>
              <w:left w:val="nil"/>
              <w:bottom w:val="single" w:sz="4" w:space="0" w:color="auto"/>
              <w:right w:val="single" w:sz="4" w:space="0" w:color="auto"/>
            </w:tcBorders>
            <w:shd w:val="clear" w:color="auto" w:fill="auto"/>
            <w:vAlign w:val="center"/>
            <w:hideMark/>
          </w:tcPr>
          <w:p w14:paraId="0C9E8B58"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$'000</w:t>
            </w:r>
          </w:p>
        </w:tc>
        <w:tc>
          <w:tcPr>
            <w:tcW w:w="1191" w:type="dxa"/>
            <w:tcBorders>
              <w:top w:val="nil"/>
              <w:left w:val="nil"/>
              <w:bottom w:val="single" w:sz="4" w:space="0" w:color="auto"/>
              <w:right w:val="single" w:sz="4" w:space="0" w:color="auto"/>
            </w:tcBorders>
            <w:shd w:val="clear" w:color="auto" w:fill="auto"/>
            <w:vAlign w:val="center"/>
            <w:hideMark/>
          </w:tcPr>
          <w:p w14:paraId="3954575B"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$'000</w:t>
            </w:r>
          </w:p>
        </w:tc>
        <w:tc>
          <w:tcPr>
            <w:tcW w:w="1191" w:type="dxa"/>
            <w:tcBorders>
              <w:top w:val="nil"/>
              <w:left w:val="nil"/>
              <w:bottom w:val="single" w:sz="4" w:space="0" w:color="auto"/>
              <w:right w:val="single" w:sz="4" w:space="0" w:color="auto"/>
            </w:tcBorders>
            <w:shd w:val="clear" w:color="auto" w:fill="auto"/>
            <w:vAlign w:val="center"/>
            <w:hideMark/>
          </w:tcPr>
          <w:p w14:paraId="73A81439"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$'000</w:t>
            </w:r>
          </w:p>
        </w:tc>
      </w:tr>
      <w:tr w:rsidR="00BC5219" w:rsidRPr="008A2B8F" w14:paraId="698046F2" w14:textId="77777777" w:rsidTr="00E83802">
        <w:trPr>
          <w:trHeight w:val="198"/>
        </w:trPr>
        <w:tc>
          <w:tcPr>
            <w:tcW w:w="5046" w:type="dxa"/>
            <w:tcBorders>
              <w:top w:val="nil"/>
              <w:left w:val="single" w:sz="4" w:space="0" w:color="auto"/>
              <w:bottom w:val="single" w:sz="4" w:space="0" w:color="auto"/>
              <w:right w:val="single" w:sz="4" w:space="0" w:color="auto"/>
            </w:tcBorders>
            <w:shd w:val="clear" w:color="000000" w:fill="C9E3B4"/>
            <w:hideMark/>
          </w:tcPr>
          <w:p w14:paraId="7593D9E4"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Director-General</w:t>
            </w:r>
            <w:r w:rsidRPr="008A2B8F">
              <w:rPr>
                <w:rFonts w:ascii="Meta Pro" w:eastAsia="Times New Roman" w:hAnsi="Meta Pro"/>
                <w:szCs w:val="18"/>
                <w:lang w:eastAsia="en-AU"/>
              </w:rPr>
              <w:br/>
              <w:t>(Exited 03.06.2023)</w:t>
            </w:r>
          </w:p>
        </w:tc>
        <w:tc>
          <w:tcPr>
            <w:tcW w:w="1191" w:type="dxa"/>
            <w:tcBorders>
              <w:top w:val="nil"/>
              <w:left w:val="nil"/>
              <w:bottom w:val="single" w:sz="4" w:space="0" w:color="auto"/>
              <w:right w:val="single" w:sz="4" w:space="0" w:color="auto"/>
            </w:tcBorders>
            <w:shd w:val="clear" w:color="000000" w:fill="C9E3B4"/>
            <w:vAlign w:val="center"/>
            <w:hideMark/>
          </w:tcPr>
          <w:p w14:paraId="441AE907"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506 </w:t>
            </w:r>
          </w:p>
        </w:tc>
        <w:tc>
          <w:tcPr>
            <w:tcW w:w="1191" w:type="dxa"/>
            <w:tcBorders>
              <w:top w:val="nil"/>
              <w:left w:val="nil"/>
              <w:bottom w:val="single" w:sz="4" w:space="0" w:color="auto"/>
              <w:right w:val="single" w:sz="4" w:space="0" w:color="auto"/>
            </w:tcBorders>
            <w:shd w:val="clear" w:color="000000" w:fill="C9E3B4"/>
            <w:vAlign w:val="center"/>
            <w:hideMark/>
          </w:tcPr>
          <w:p w14:paraId="576A8C48"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76 </w:t>
            </w:r>
          </w:p>
        </w:tc>
        <w:tc>
          <w:tcPr>
            <w:tcW w:w="1191" w:type="dxa"/>
            <w:tcBorders>
              <w:top w:val="nil"/>
              <w:left w:val="nil"/>
              <w:bottom w:val="single" w:sz="4" w:space="0" w:color="auto"/>
              <w:right w:val="single" w:sz="4" w:space="0" w:color="auto"/>
            </w:tcBorders>
            <w:shd w:val="clear" w:color="000000" w:fill="C9E3B4"/>
            <w:vAlign w:val="center"/>
            <w:hideMark/>
          </w:tcPr>
          <w:p w14:paraId="2D947EB9"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191" w:type="dxa"/>
            <w:tcBorders>
              <w:top w:val="nil"/>
              <w:left w:val="nil"/>
              <w:bottom w:val="single" w:sz="4" w:space="0" w:color="auto"/>
              <w:right w:val="single" w:sz="4" w:space="0" w:color="auto"/>
            </w:tcBorders>
            <w:shd w:val="clear" w:color="000000" w:fill="C9E3B4"/>
            <w:noWrap/>
            <w:vAlign w:val="center"/>
            <w:hideMark/>
          </w:tcPr>
          <w:p w14:paraId="34CE4D82"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582 </w:t>
            </w:r>
          </w:p>
        </w:tc>
      </w:tr>
      <w:tr w:rsidR="00BC5219" w:rsidRPr="008A2B8F" w14:paraId="2D82C9A4" w14:textId="77777777" w:rsidTr="00E83802">
        <w:trPr>
          <w:trHeight w:val="198"/>
        </w:trPr>
        <w:tc>
          <w:tcPr>
            <w:tcW w:w="5046" w:type="dxa"/>
            <w:tcBorders>
              <w:top w:val="nil"/>
              <w:left w:val="single" w:sz="4" w:space="0" w:color="auto"/>
              <w:bottom w:val="single" w:sz="4" w:space="0" w:color="auto"/>
              <w:right w:val="single" w:sz="4" w:space="0" w:color="auto"/>
            </w:tcBorders>
            <w:shd w:val="clear" w:color="000000" w:fill="C9E3B4"/>
            <w:hideMark/>
          </w:tcPr>
          <w:p w14:paraId="792EA021"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Acting Director-General</w:t>
            </w:r>
            <w:r w:rsidRPr="008A2B8F">
              <w:rPr>
                <w:rFonts w:ascii="Meta Pro" w:eastAsia="Times New Roman" w:hAnsi="Meta Pro"/>
                <w:szCs w:val="18"/>
                <w:lang w:eastAsia="en-AU"/>
              </w:rPr>
              <w:br/>
              <w:t>(04.06.2023–30.06.2023)</w:t>
            </w:r>
          </w:p>
        </w:tc>
        <w:tc>
          <w:tcPr>
            <w:tcW w:w="1191" w:type="dxa"/>
            <w:tcBorders>
              <w:top w:val="nil"/>
              <w:left w:val="nil"/>
              <w:bottom w:val="single" w:sz="4" w:space="0" w:color="auto"/>
              <w:right w:val="single" w:sz="4" w:space="0" w:color="auto"/>
            </w:tcBorders>
            <w:shd w:val="clear" w:color="000000" w:fill="C9E3B4"/>
            <w:vAlign w:val="center"/>
            <w:hideMark/>
          </w:tcPr>
          <w:p w14:paraId="0CC2199D"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45 </w:t>
            </w:r>
          </w:p>
        </w:tc>
        <w:tc>
          <w:tcPr>
            <w:tcW w:w="1191" w:type="dxa"/>
            <w:tcBorders>
              <w:top w:val="nil"/>
              <w:left w:val="nil"/>
              <w:bottom w:val="single" w:sz="4" w:space="0" w:color="auto"/>
              <w:right w:val="single" w:sz="4" w:space="0" w:color="auto"/>
            </w:tcBorders>
            <w:shd w:val="clear" w:color="000000" w:fill="C9E3B4"/>
            <w:vAlign w:val="center"/>
            <w:hideMark/>
          </w:tcPr>
          <w:p w14:paraId="0D5D46D3"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6 </w:t>
            </w:r>
          </w:p>
        </w:tc>
        <w:tc>
          <w:tcPr>
            <w:tcW w:w="1191" w:type="dxa"/>
            <w:tcBorders>
              <w:top w:val="nil"/>
              <w:left w:val="nil"/>
              <w:bottom w:val="single" w:sz="4" w:space="0" w:color="auto"/>
              <w:right w:val="single" w:sz="4" w:space="0" w:color="auto"/>
            </w:tcBorders>
            <w:shd w:val="clear" w:color="000000" w:fill="C9E3B4"/>
            <w:vAlign w:val="center"/>
            <w:hideMark/>
          </w:tcPr>
          <w:p w14:paraId="4E72B543"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191" w:type="dxa"/>
            <w:tcBorders>
              <w:top w:val="nil"/>
              <w:left w:val="nil"/>
              <w:bottom w:val="single" w:sz="4" w:space="0" w:color="auto"/>
              <w:right w:val="single" w:sz="4" w:space="0" w:color="auto"/>
            </w:tcBorders>
            <w:shd w:val="clear" w:color="000000" w:fill="C9E3B4"/>
            <w:noWrap/>
            <w:vAlign w:val="center"/>
            <w:hideMark/>
          </w:tcPr>
          <w:p w14:paraId="21A0B66A"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51 </w:t>
            </w:r>
          </w:p>
        </w:tc>
      </w:tr>
      <w:tr w:rsidR="00BC5219" w:rsidRPr="008A2B8F" w14:paraId="142C4892" w14:textId="77777777" w:rsidTr="00E83802">
        <w:trPr>
          <w:trHeight w:val="198"/>
        </w:trPr>
        <w:tc>
          <w:tcPr>
            <w:tcW w:w="5046" w:type="dxa"/>
            <w:tcBorders>
              <w:top w:val="nil"/>
              <w:left w:val="single" w:sz="4" w:space="0" w:color="auto"/>
              <w:bottom w:val="single" w:sz="4" w:space="0" w:color="auto"/>
              <w:right w:val="single" w:sz="4" w:space="0" w:color="auto"/>
            </w:tcBorders>
            <w:shd w:val="clear" w:color="000000" w:fill="C9E3B4"/>
            <w:hideMark/>
          </w:tcPr>
          <w:p w14:paraId="0D7E56D9"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xml:space="preserve">Deputy Director-General </w:t>
            </w:r>
            <w:r w:rsidRPr="008A2B8F">
              <w:rPr>
                <w:rFonts w:ascii="Meta Pro" w:eastAsia="Times New Roman" w:hAnsi="Meta Pro"/>
                <w:szCs w:val="18"/>
                <w:lang w:eastAsia="en-AU"/>
              </w:rPr>
              <w:br/>
              <w:t>(Customer Services, Safety and Regulation)</w:t>
            </w:r>
            <w:r w:rsidRPr="008A2B8F">
              <w:rPr>
                <w:rFonts w:ascii="Meta Pro" w:eastAsia="Times New Roman" w:hAnsi="Meta Pro"/>
                <w:szCs w:val="18"/>
                <w:lang w:eastAsia="en-AU"/>
              </w:rPr>
              <w:br/>
              <w:t>(Acting 01.07.2022–28.10.2022)</w:t>
            </w:r>
            <w:r w:rsidRPr="008A2B8F">
              <w:rPr>
                <w:rFonts w:ascii="Meta Pro" w:eastAsia="Times New Roman" w:hAnsi="Meta Pro"/>
                <w:szCs w:val="18"/>
                <w:lang w:eastAsia="en-AU"/>
              </w:rPr>
              <w:br/>
              <w:t>(Appointed 31.10.2022)</w:t>
            </w:r>
          </w:p>
        </w:tc>
        <w:tc>
          <w:tcPr>
            <w:tcW w:w="1191" w:type="dxa"/>
            <w:tcBorders>
              <w:top w:val="nil"/>
              <w:left w:val="nil"/>
              <w:bottom w:val="single" w:sz="4" w:space="0" w:color="auto"/>
              <w:right w:val="single" w:sz="4" w:space="0" w:color="auto"/>
            </w:tcBorders>
            <w:shd w:val="clear" w:color="000000" w:fill="C9E3B4"/>
            <w:vAlign w:val="center"/>
            <w:hideMark/>
          </w:tcPr>
          <w:p w14:paraId="42D67423"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282 </w:t>
            </w:r>
          </w:p>
        </w:tc>
        <w:tc>
          <w:tcPr>
            <w:tcW w:w="1191" w:type="dxa"/>
            <w:tcBorders>
              <w:top w:val="nil"/>
              <w:left w:val="nil"/>
              <w:bottom w:val="single" w:sz="4" w:space="0" w:color="auto"/>
              <w:right w:val="single" w:sz="4" w:space="0" w:color="auto"/>
            </w:tcBorders>
            <w:shd w:val="clear" w:color="000000" w:fill="C9E3B4"/>
            <w:vAlign w:val="center"/>
            <w:hideMark/>
          </w:tcPr>
          <w:p w14:paraId="38322A1F"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39 </w:t>
            </w:r>
          </w:p>
        </w:tc>
        <w:tc>
          <w:tcPr>
            <w:tcW w:w="1191" w:type="dxa"/>
            <w:tcBorders>
              <w:top w:val="nil"/>
              <w:left w:val="nil"/>
              <w:bottom w:val="single" w:sz="4" w:space="0" w:color="auto"/>
              <w:right w:val="single" w:sz="4" w:space="0" w:color="auto"/>
            </w:tcBorders>
            <w:shd w:val="clear" w:color="000000" w:fill="C9E3B4"/>
            <w:vAlign w:val="center"/>
            <w:hideMark/>
          </w:tcPr>
          <w:p w14:paraId="7786C512"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191" w:type="dxa"/>
            <w:tcBorders>
              <w:top w:val="nil"/>
              <w:left w:val="nil"/>
              <w:bottom w:val="single" w:sz="4" w:space="0" w:color="auto"/>
              <w:right w:val="single" w:sz="4" w:space="0" w:color="auto"/>
            </w:tcBorders>
            <w:shd w:val="clear" w:color="000000" w:fill="C9E3B4"/>
            <w:noWrap/>
            <w:vAlign w:val="center"/>
            <w:hideMark/>
          </w:tcPr>
          <w:p w14:paraId="08432D44"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321 </w:t>
            </w:r>
          </w:p>
        </w:tc>
      </w:tr>
      <w:tr w:rsidR="00BC5219" w:rsidRPr="008A2B8F" w14:paraId="598375A6" w14:textId="77777777" w:rsidTr="00E83802">
        <w:trPr>
          <w:trHeight w:val="198"/>
        </w:trPr>
        <w:tc>
          <w:tcPr>
            <w:tcW w:w="5046" w:type="dxa"/>
            <w:tcBorders>
              <w:top w:val="nil"/>
              <w:left w:val="single" w:sz="4" w:space="0" w:color="auto"/>
              <w:bottom w:val="single" w:sz="4" w:space="0" w:color="auto"/>
              <w:right w:val="single" w:sz="4" w:space="0" w:color="auto"/>
            </w:tcBorders>
            <w:shd w:val="clear" w:color="000000" w:fill="C9E3B4"/>
            <w:hideMark/>
          </w:tcPr>
          <w:p w14:paraId="01E8CBBB"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xml:space="preserve">Acting Deputy Director-General </w:t>
            </w:r>
            <w:r w:rsidRPr="008A2B8F">
              <w:rPr>
                <w:rFonts w:ascii="Meta Pro" w:eastAsia="Times New Roman" w:hAnsi="Meta Pro"/>
                <w:szCs w:val="18"/>
                <w:lang w:eastAsia="en-AU"/>
              </w:rPr>
              <w:br/>
              <w:t>(Infrastructure Management and Delivery)</w:t>
            </w:r>
            <w:r w:rsidRPr="008A2B8F">
              <w:rPr>
                <w:rFonts w:ascii="Meta Pro" w:eastAsia="Times New Roman" w:hAnsi="Meta Pro"/>
                <w:szCs w:val="18"/>
                <w:lang w:eastAsia="en-AU"/>
              </w:rPr>
              <w:br/>
              <w:t>(01.07.2022–01.11.2022)</w:t>
            </w:r>
            <w:r w:rsidRPr="008A2B8F">
              <w:rPr>
                <w:rFonts w:ascii="Meta Pro" w:eastAsia="Times New Roman" w:hAnsi="Meta Pro"/>
                <w:szCs w:val="18"/>
                <w:lang w:eastAsia="en-AU"/>
              </w:rPr>
              <w:br/>
              <w:t xml:space="preserve">(19.11.2022–26.11.2022) </w:t>
            </w:r>
            <w:r w:rsidRPr="008A2B8F">
              <w:rPr>
                <w:rFonts w:ascii="Meta Pro" w:eastAsia="Times New Roman" w:hAnsi="Meta Pro"/>
                <w:szCs w:val="18"/>
                <w:lang w:eastAsia="en-AU"/>
              </w:rPr>
              <w:br/>
              <w:t>(12.12.2022–28.12.2022)</w:t>
            </w:r>
          </w:p>
        </w:tc>
        <w:tc>
          <w:tcPr>
            <w:tcW w:w="1191" w:type="dxa"/>
            <w:tcBorders>
              <w:top w:val="nil"/>
              <w:left w:val="nil"/>
              <w:bottom w:val="single" w:sz="4" w:space="0" w:color="auto"/>
              <w:right w:val="single" w:sz="4" w:space="0" w:color="auto"/>
            </w:tcBorders>
            <w:shd w:val="clear" w:color="000000" w:fill="C9E3B4"/>
            <w:vAlign w:val="center"/>
            <w:hideMark/>
          </w:tcPr>
          <w:p w14:paraId="5ADC6B5F"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111 </w:t>
            </w:r>
          </w:p>
        </w:tc>
        <w:tc>
          <w:tcPr>
            <w:tcW w:w="1191" w:type="dxa"/>
            <w:tcBorders>
              <w:top w:val="nil"/>
              <w:left w:val="nil"/>
              <w:bottom w:val="single" w:sz="4" w:space="0" w:color="auto"/>
              <w:right w:val="single" w:sz="4" w:space="0" w:color="auto"/>
            </w:tcBorders>
            <w:shd w:val="clear" w:color="000000" w:fill="C9E3B4"/>
            <w:vAlign w:val="center"/>
            <w:hideMark/>
          </w:tcPr>
          <w:p w14:paraId="550FFC52"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15 </w:t>
            </w:r>
          </w:p>
        </w:tc>
        <w:tc>
          <w:tcPr>
            <w:tcW w:w="1191" w:type="dxa"/>
            <w:tcBorders>
              <w:top w:val="nil"/>
              <w:left w:val="nil"/>
              <w:bottom w:val="single" w:sz="4" w:space="0" w:color="auto"/>
              <w:right w:val="single" w:sz="4" w:space="0" w:color="auto"/>
            </w:tcBorders>
            <w:shd w:val="clear" w:color="000000" w:fill="C9E3B4"/>
            <w:vAlign w:val="center"/>
            <w:hideMark/>
          </w:tcPr>
          <w:p w14:paraId="614FBA57"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191" w:type="dxa"/>
            <w:tcBorders>
              <w:top w:val="nil"/>
              <w:left w:val="nil"/>
              <w:bottom w:val="single" w:sz="4" w:space="0" w:color="auto"/>
              <w:right w:val="single" w:sz="4" w:space="0" w:color="auto"/>
            </w:tcBorders>
            <w:shd w:val="clear" w:color="000000" w:fill="C9E3B4"/>
            <w:noWrap/>
            <w:vAlign w:val="center"/>
            <w:hideMark/>
          </w:tcPr>
          <w:p w14:paraId="4AAC92AB"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126 </w:t>
            </w:r>
          </w:p>
        </w:tc>
      </w:tr>
      <w:tr w:rsidR="00BC5219" w:rsidRPr="008A2B8F" w14:paraId="07356DC6" w14:textId="77777777" w:rsidTr="00E83802">
        <w:trPr>
          <w:trHeight w:val="198"/>
        </w:trPr>
        <w:tc>
          <w:tcPr>
            <w:tcW w:w="5046" w:type="dxa"/>
            <w:tcBorders>
              <w:top w:val="nil"/>
              <w:left w:val="single" w:sz="4" w:space="0" w:color="auto"/>
              <w:bottom w:val="single" w:sz="4" w:space="0" w:color="auto"/>
              <w:right w:val="single" w:sz="4" w:space="0" w:color="auto"/>
            </w:tcBorders>
            <w:shd w:val="clear" w:color="000000" w:fill="C9E3B4"/>
            <w:hideMark/>
          </w:tcPr>
          <w:p w14:paraId="23453EBE"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xml:space="preserve">Deputy Director-General </w:t>
            </w:r>
            <w:r w:rsidRPr="008A2B8F">
              <w:rPr>
                <w:rFonts w:ascii="Meta Pro" w:eastAsia="Times New Roman" w:hAnsi="Meta Pro"/>
                <w:szCs w:val="18"/>
                <w:lang w:eastAsia="en-AU"/>
              </w:rPr>
              <w:br/>
              <w:t>(Infrastructure Management and Delivery)</w:t>
            </w:r>
            <w:r w:rsidRPr="008A2B8F">
              <w:rPr>
                <w:rFonts w:ascii="Meta Pro" w:eastAsia="Times New Roman" w:hAnsi="Meta Pro"/>
                <w:szCs w:val="18"/>
                <w:lang w:eastAsia="en-AU"/>
              </w:rPr>
              <w:br/>
              <w:t>(Appointed 31.10.2022)</w:t>
            </w:r>
          </w:p>
        </w:tc>
        <w:tc>
          <w:tcPr>
            <w:tcW w:w="1191" w:type="dxa"/>
            <w:tcBorders>
              <w:top w:val="nil"/>
              <w:left w:val="nil"/>
              <w:bottom w:val="single" w:sz="4" w:space="0" w:color="auto"/>
              <w:right w:val="single" w:sz="4" w:space="0" w:color="auto"/>
            </w:tcBorders>
            <w:shd w:val="clear" w:color="000000" w:fill="C9E3B4"/>
            <w:vAlign w:val="center"/>
            <w:hideMark/>
          </w:tcPr>
          <w:p w14:paraId="3284C5E8"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205 </w:t>
            </w:r>
          </w:p>
        </w:tc>
        <w:tc>
          <w:tcPr>
            <w:tcW w:w="1191" w:type="dxa"/>
            <w:tcBorders>
              <w:top w:val="nil"/>
              <w:left w:val="nil"/>
              <w:bottom w:val="single" w:sz="4" w:space="0" w:color="auto"/>
              <w:right w:val="single" w:sz="4" w:space="0" w:color="auto"/>
            </w:tcBorders>
            <w:shd w:val="clear" w:color="000000" w:fill="C9E3B4"/>
            <w:vAlign w:val="center"/>
            <w:hideMark/>
          </w:tcPr>
          <w:p w14:paraId="2AA928AE"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27 </w:t>
            </w:r>
          </w:p>
        </w:tc>
        <w:tc>
          <w:tcPr>
            <w:tcW w:w="1191" w:type="dxa"/>
            <w:tcBorders>
              <w:top w:val="nil"/>
              <w:left w:val="nil"/>
              <w:bottom w:val="single" w:sz="4" w:space="0" w:color="auto"/>
              <w:right w:val="single" w:sz="4" w:space="0" w:color="auto"/>
            </w:tcBorders>
            <w:shd w:val="clear" w:color="000000" w:fill="C9E3B4"/>
            <w:vAlign w:val="center"/>
            <w:hideMark/>
          </w:tcPr>
          <w:p w14:paraId="368A550E"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191" w:type="dxa"/>
            <w:tcBorders>
              <w:top w:val="nil"/>
              <w:left w:val="nil"/>
              <w:bottom w:val="single" w:sz="4" w:space="0" w:color="auto"/>
              <w:right w:val="single" w:sz="4" w:space="0" w:color="auto"/>
            </w:tcBorders>
            <w:shd w:val="clear" w:color="000000" w:fill="C9E3B4"/>
            <w:noWrap/>
            <w:vAlign w:val="center"/>
            <w:hideMark/>
          </w:tcPr>
          <w:p w14:paraId="73EDDC9D"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232 </w:t>
            </w:r>
          </w:p>
        </w:tc>
      </w:tr>
      <w:tr w:rsidR="00BC5219" w:rsidRPr="008A2B8F" w14:paraId="403F93BE" w14:textId="77777777" w:rsidTr="00E83802">
        <w:trPr>
          <w:trHeight w:val="198"/>
        </w:trPr>
        <w:tc>
          <w:tcPr>
            <w:tcW w:w="5046" w:type="dxa"/>
            <w:tcBorders>
              <w:top w:val="nil"/>
              <w:left w:val="single" w:sz="4" w:space="0" w:color="auto"/>
              <w:bottom w:val="single" w:sz="4" w:space="0" w:color="auto"/>
              <w:right w:val="single" w:sz="4" w:space="0" w:color="auto"/>
            </w:tcBorders>
            <w:shd w:val="clear" w:color="000000" w:fill="C9E3B4"/>
            <w:hideMark/>
          </w:tcPr>
          <w:p w14:paraId="27C0E66D"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xml:space="preserve">Deputy Director-General </w:t>
            </w:r>
            <w:r w:rsidRPr="008A2B8F">
              <w:rPr>
                <w:rFonts w:ascii="Meta Pro" w:eastAsia="Times New Roman" w:hAnsi="Meta Pro"/>
                <w:szCs w:val="18"/>
                <w:lang w:eastAsia="en-AU"/>
              </w:rPr>
              <w:br/>
              <w:t>(Policy, Planning and Investment)</w:t>
            </w:r>
            <w:r w:rsidRPr="008A2B8F">
              <w:rPr>
                <w:rFonts w:ascii="Meta Pro" w:eastAsia="Times New Roman" w:hAnsi="Meta Pro"/>
                <w:szCs w:val="18"/>
                <w:lang w:eastAsia="en-AU"/>
              </w:rPr>
              <w:br/>
              <w:t>(01.07.2022–01.11.2022)</w:t>
            </w:r>
          </w:p>
        </w:tc>
        <w:tc>
          <w:tcPr>
            <w:tcW w:w="1191" w:type="dxa"/>
            <w:tcBorders>
              <w:top w:val="nil"/>
              <w:left w:val="nil"/>
              <w:bottom w:val="single" w:sz="4" w:space="0" w:color="auto"/>
              <w:right w:val="single" w:sz="4" w:space="0" w:color="auto"/>
            </w:tcBorders>
            <w:shd w:val="clear" w:color="000000" w:fill="C9E3B4"/>
            <w:vAlign w:val="center"/>
            <w:hideMark/>
          </w:tcPr>
          <w:p w14:paraId="2E549E7E"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110 </w:t>
            </w:r>
          </w:p>
        </w:tc>
        <w:tc>
          <w:tcPr>
            <w:tcW w:w="1191" w:type="dxa"/>
            <w:tcBorders>
              <w:top w:val="nil"/>
              <w:left w:val="nil"/>
              <w:bottom w:val="single" w:sz="4" w:space="0" w:color="auto"/>
              <w:right w:val="single" w:sz="4" w:space="0" w:color="auto"/>
            </w:tcBorders>
            <w:shd w:val="clear" w:color="000000" w:fill="C9E3B4"/>
            <w:vAlign w:val="center"/>
            <w:hideMark/>
          </w:tcPr>
          <w:p w14:paraId="7F5118C4"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14 </w:t>
            </w:r>
          </w:p>
        </w:tc>
        <w:tc>
          <w:tcPr>
            <w:tcW w:w="1191" w:type="dxa"/>
            <w:tcBorders>
              <w:top w:val="nil"/>
              <w:left w:val="nil"/>
              <w:bottom w:val="single" w:sz="4" w:space="0" w:color="auto"/>
              <w:right w:val="single" w:sz="4" w:space="0" w:color="auto"/>
            </w:tcBorders>
            <w:shd w:val="clear" w:color="000000" w:fill="C9E3B4"/>
            <w:vAlign w:val="center"/>
            <w:hideMark/>
          </w:tcPr>
          <w:p w14:paraId="653024F7"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191" w:type="dxa"/>
            <w:tcBorders>
              <w:top w:val="nil"/>
              <w:left w:val="nil"/>
              <w:bottom w:val="single" w:sz="4" w:space="0" w:color="auto"/>
              <w:right w:val="single" w:sz="4" w:space="0" w:color="auto"/>
            </w:tcBorders>
            <w:shd w:val="clear" w:color="000000" w:fill="C9E3B4"/>
            <w:noWrap/>
            <w:vAlign w:val="center"/>
            <w:hideMark/>
          </w:tcPr>
          <w:p w14:paraId="03070B0D"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124 </w:t>
            </w:r>
          </w:p>
        </w:tc>
      </w:tr>
      <w:tr w:rsidR="00BC5219" w:rsidRPr="008A2B8F" w14:paraId="0CC1FC86" w14:textId="77777777" w:rsidTr="00E83802">
        <w:trPr>
          <w:trHeight w:val="198"/>
        </w:trPr>
        <w:tc>
          <w:tcPr>
            <w:tcW w:w="5046" w:type="dxa"/>
            <w:tcBorders>
              <w:top w:val="nil"/>
              <w:left w:val="single" w:sz="4" w:space="0" w:color="auto"/>
              <w:bottom w:val="single" w:sz="4" w:space="0" w:color="auto"/>
              <w:right w:val="single" w:sz="4" w:space="0" w:color="auto"/>
            </w:tcBorders>
            <w:shd w:val="clear" w:color="000000" w:fill="C9E3B4"/>
            <w:hideMark/>
          </w:tcPr>
          <w:p w14:paraId="6213A555"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xml:space="preserve">Deputy Director-General </w:t>
            </w:r>
            <w:r w:rsidRPr="008A2B8F">
              <w:rPr>
                <w:rFonts w:ascii="Meta Pro" w:eastAsia="Times New Roman" w:hAnsi="Meta Pro"/>
                <w:szCs w:val="18"/>
                <w:lang w:eastAsia="en-AU"/>
              </w:rPr>
              <w:br/>
              <w:t>(Policy, Planning and Investment)</w:t>
            </w:r>
            <w:r w:rsidRPr="008A2B8F">
              <w:rPr>
                <w:rFonts w:ascii="Meta Pro" w:eastAsia="Times New Roman" w:hAnsi="Meta Pro"/>
                <w:szCs w:val="18"/>
                <w:lang w:eastAsia="en-AU"/>
              </w:rPr>
              <w:br/>
              <w:t>(Acting 02.11.2022–15.03.2023)</w:t>
            </w:r>
            <w:r w:rsidRPr="008A2B8F">
              <w:rPr>
                <w:rFonts w:ascii="Meta Pro" w:eastAsia="Times New Roman" w:hAnsi="Meta Pro"/>
                <w:szCs w:val="18"/>
                <w:lang w:eastAsia="en-AU"/>
              </w:rPr>
              <w:br/>
              <w:t>(Appointed 16.03.2023)</w:t>
            </w:r>
          </w:p>
        </w:tc>
        <w:tc>
          <w:tcPr>
            <w:tcW w:w="1191" w:type="dxa"/>
            <w:tcBorders>
              <w:top w:val="nil"/>
              <w:left w:val="nil"/>
              <w:bottom w:val="single" w:sz="4" w:space="0" w:color="auto"/>
              <w:right w:val="single" w:sz="4" w:space="0" w:color="auto"/>
            </w:tcBorders>
            <w:shd w:val="clear" w:color="000000" w:fill="C9E3B4"/>
            <w:vAlign w:val="center"/>
            <w:hideMark/>
          </w:tcPr>
          <w:p w14:paraId="26BA9F66"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184 </w:t>
            </w:r>
          </w:p>
        </w:tc>
        <w:tc>
          <w:tcPr>
            <w:tcW w:w="1191" w:type="dxa"/>
            <w:tcBorders>
              <w:top w:val="nil"/>
              <w:left w:val="nil"/>
              <w:bottom w:val="single" w:sz="4" w:space="0" w:color="auto"/>
              <w:right w:val="single" w:sz="4" w:space="0" w:color="auto"/>
            </w:tcBorders>
            <w:shd w:val="clear" w:color="000000" w:fill="C9E3B4"/>
            <w:vAlign w:val="center"/>
            <w:hideMark/>
          </w:tcPr>
          <w:p w14:paraId="6081C6A6"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24 </w:t>
            </w:r>
          </w:p>
        </w:tc>
        <w:tc>
          <w:tcPr>
            <w:tcW w:w="1191" w:type="dxa"/>
            <w:tcBorders>
              <w:top w:val="nil"/>
              <w:left w:val="nil"/>
              <w:bottom w:val="single" w:sz="4" w:space="0" w:color="auto"/>
              <w:right w:val="single" w:sz="4" w:space="0" w:color="auto"/>
            </w:tcBorders>
            <w:shd w:val="clear" w:color="000000" w:fill="C9E3B4"/>
            <w:vAlign w:val="center"/>
            <w:hideMark/>
          </w:tcPr>
          <w:p w14:paraId="6DAEA9CA"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191" w:type="dxa"/>
            <w:tcBorders>
              <w:top w:val="nil"/>
              <w:left w:val="nil"/>
              <w:bottom w:val="single" w:sz="4" w:space="0" w:color="auto"/>
              <w:right w:val="single" w:sz="4" w:space="0" w:color="auto"/>
            </w:tcBorders>
            <w:shd w:val="clear" w:color="000000" w:fill="C9E3B4"/>
            <w:noWrap/>
            <w:vAlign w:val="center"/>
            <w:hideMark/>
          </w:tcPr>
          <w:p w14:paraId="60B4A244"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208 </w:t>
            </w:r>
          </w:p>
        </w:tc>
      </w:tr>
    </w:tbl>
    <w:p w14:paraId="090150CA" w14:textId="77777777" w:rsidR="00BC5219" w:rsidRPr="008A2B8F" w:rsidRDefault="00BC5219" w:rsidP="00BC5219">
      <w:pPr>
        <w:spacing w:before="60"/>
        <w:rPr>
          <w:rFonts w:ascii="Meta Pro" w:hAnsi="Meta Pro"/>
        </w:rPr>
      </w:pPr>
    </w:p>
    <w:p w14:paraId="1284FA07" w14:textId="77777777" w:rsidR="00BC5219" w:rsidRPr="008A2B8F" w:rsidRDefault="00BC5219" w:rsidP="00BC5219">
      <w:pPr>
        <w:spacing w:after="160" w:line="259" w:lineRule="auto"/>
        <w:rPr>
          <w:rFonts w:ascii="Meta Pro" w:hAnsi="Meta Pro"/>
        </w:rPr>
      </w:pPr>
      <w:r w:rsidRPr="008A2B8F">
        <w:rPr>
          <w:rFonts w:ascii="Meta Pro" w:hAnsi="Meta Pro"/>
        </w:rPr>
        <w:lastRenderedPageBreak/>
        <w:br w:type="page"/>
      </w:r>
    </w:p>
    <w:p w14:paraId="12788B34" w14:textId="77777777" w:rsidR="00BC5219" w:rsidRPr="008A2B8F" w:rsidRDefault="00BC5219" w:rsidP="00BC5219">
      <w:pPr>
        <w:spacing w:before="60"/>
        <w:rPr>
          <w:rFonts w:ascii="Meta Pro" w:eastAsia="Times New Roman" w:hAnsi="Meta Pro"/>
          <w:i/>
          <w:iCs/>
          <w:color w:val="000000" w:themeColor="text1"/>
          <w:lang w:eastAsia="en-AU"/>
        </w:rPr>
      </w:pPr>
      <w:r w:rsidRPr="008A2B8F">
        <w:rPr>
          <w:rFonts w:ascii="Meta Pro" w:eastAsia="Times New Roman" w:hAnsi="Meta Pro"/>
          <w:i/>
          <w:iCs/>
          <w:color w:val="000000" w:themeColor="text1"/>
          <w:lang w:eastAsia="en-AU"/>
        </w:rPr>
        <w:lastRenderedPageBreak/>
        <w:t>Department of Transport and Main Roads</w:t>
      </w:r>
    </w:p>
    <w:p w14:paraId="35810742"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Notes to the financial statements 2022–23 (continued)</w:t>
      </w:r>
    </w:p>
    <w:p w14:paraId="32003FC0" w14:textId="77777777" w:rsidR="00BC5219" w:rsidRPr="008A2B8F" w:rsidRDefault="00BC5219" w:rsidP="00BC5219">
      <w:pPr>
        <w:spacing w:line="259" w:lineRule="auto"/>
        <w:rPr>
          <w:rFonts w:ascii="Meta Pro" w:hAnsi="Meta Pro"/>
          <w:b/>
          <w:bCs/>
          <w:lang w:eastAsia="en-AU"/>
        </w:rPr>
      </w:pPr>
    </w:p>
    <w:p w14:paraId="4E9A7B3F" w14:textId="77777777" w:rsidR="00BC5219" w:rsidRPr="008A2B8F" w:rsidRDefault="00BC5219" w:rsidP="00BC5219">
      <w:pPr>
        <w:spacing w:after="60" w:line="259" w:lineRule="auto"/>
        <w:rPr>
          <w:rFonts w:ascii="Meta Pro" w:hAnsi="Meta Pro"/>
          <w:b/>
          <w:bCs/>
          <w:lang w:eastAsia="en-AU"/>
        </w:rPr>
      </w:pPr>
      <w:r w:rsidRPr="008A2B8F">
        <w:rPr>
          <w:rFonts w:ascii="Meta Pro" w:hAnsi="Meta Pro"/>
          <w:b/>
          <w:bCs/>
          <w:lang w:eastAsia="en-AU"/>
        </w:rPr>
        <w:t>6</w:t>
      </w:r>
      <w:r w:rsidRPr="008A2B8F">
        <w:rPr>
          <w:rFonts w:ascii="Meta Pro" w:hAnsi="Meta Pro"/>
          <w:b/>
          <w:bCs/>
          <w:lang w:eastAsia="en-AU"/>
        </w:rPr>
        <w:tab/>
        <w:t>KEY MANAGEMENT PERSONNEL AND REMUNERATION EXPENSES (continued)</w:t>
      </w:r>
    </w:p>
    <w:p w14:paraId="1776F934" w14:textId="77777777" w:rsidR="00BC5219" w:rsidRPr="008A2B8F" w:rsidRDefault="00BC5219" w:rsidP="00BC5219">
      <w:pPr>
        <w:spacing w:after="60" w:line="276" w:lineRule="auto"/>
        <w:rPr>
          <w:rFonts w:ascii="Meta Pro" w:eastAsia="Times New Roman" w:hAnsi="Meta Pro"/>
          <w:b/>
          <w:bCs/>
          <w:szCs w:val="18"/>
          <w:lang w:eastAsia="en-AU"/>
        </w:rPr>
      </w:pPr>
      <w:r w:rsidRPr="008A2B8F">
        <w:rPr>
          <w:rFonts w:ascii="Meta Pro" w:eastAsia="Times New Roman" w:hAnsi="Meta Pro"/>
          <w:b/>
          <w:bCs/>
          <w:szCs w:val="18"/>
          <w:lang w:eastAsia="en-AU"/>
        </w:rPr>
        <w:t>Remuneration expenses (continued)</w:t>
      </w:r>
    </w:p>
    <w:p w14:paraId="4A430726" w14:textId="77777777" w:rsidR="00BC5219" w:rsidRPr="008A2B8F" w:rsidRDefault="00BC5219" w:rsidP="00BC5219">
      <w:pPr>
        <w:spacing w:before="60" w:after="60" w:line="276" w:lineRule="auto"/>
        <w:rPr>
          <w:rFonts w:ascii="Meta Pro" w:hAnsi="Meta Pro" w:cstheme="minorBidi"/>
        </w:rPr>
      </w:pPr>
      <w:r w:rsidRPr="008A2B8F">
        <w:rPr>
          <w:rFonts w:ascii="Meta Pro" w:eastAsia="Times New Roman" w:hAnsi="Meta Pro"/>
          <w:b/>
          <w:bCs/>
          <w:szCs w:val="18"/>
          <w:lang w:eastAsia="en-AU"/>
        </w:rPr>
        <w:t>1 July 2022 – 30 June 2023 (continued)</w:t>
      </w:r>
    </w:p>
    <w:tbl>
      <w:tblPr>
        <w:tblW w:w="0" w:type="auto"/>
        <w:tblCellMar>
          <w:left w:w="28" w:type="dxa"/>
        </w:tblCellMar>
        <w:tblLook w:val="04A0" w:firstRow="1" w:lastRow="0" w:firstColumn="1" w:lastColumn="0" w:noHBand="0" w:noVBand="1"/>
      </w:tblPr>
      <w:tblGrid>
        <w:gridCol w:w="5046"/>
        <w:gridCol w:w="1191"/>
        <w:gridCol w:w="1191"/>
        <w:gridCol w:w="1191"/>
        <w:gridCol w:w="1191"/>
      </w:tblGrid>
      <w:tr w:rsidR="00BC5219" w:rsidRPr="008A2B8F" w14:paraId="17583526" w14:textId="77777777" w:rsidTr="00E83802">
        <w:trPr>
          <w:trHeight w:val="198"/>
        </w:trPr>
        <w:tc>
          <w:tcPr>
            <w:tcW w:w="5046" w:type="dxa"/>
            <w:tcBorders>
              <w:top w:val="single" w:sz="4" w:space="0" w:color="auto"/>
              <w:left w:val="single" w:sz="4" w:space="0" w:color="auto"/>
              <w:bottom w:val="nil"/>
              <w:right w:val="single" w:sz="4" w:space="0" w:color="auto"/>
            </w:tcBorders>
            <w:shd w:val="clear" w:color="auto" w:fill="auto"/>
            <w:vAlign w:val="center"/>
            <w:hideMark/>
          </w:tcPr>
          <w:p w14:paraId="08760CAF"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Position</w:t>
            </w:r>
          </w:p>
        </w:tc>
        <w:tc>
          <w:tcPr>
            <w:tcW w:w="1191" w:type="dxa"/>
            <w:tcBorders>
              <w:top w:val="single" w:sz="4" w:space="0" w:color="auto"/>
              <w:left w:val="nil"/>
              <w:bottom w:val="nil"/>
              <w:right w:val="single" w:sz="4" w:space="0" w:color="auto"/>
            </w:tcBorders>
            <w:shd w:val="clear" w:color="auto" w:fill="auto"/>
            <w:hideMark/>
          </w:tcPr>
          <w:p w14:paraId="33D13AD1"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Short term employee expenses</w:t>
            </w:r>
          </w:p>
        </w:tc>
        <w:tc>
          <w:tcPr>
            <w:tcW w:w="1191" w:type="dxa"/>
            <w:tcBorders>
              <w:top w:val="single" w:sz="4" w:space="0" w:color="auto"/>
              <w:left w:val="nil"/>
              <w:bottom w:val="nil"/>
              <w:right w:val="single" w:sz="4" w:space="0" w:color="auto"/>
            </w:tcBorders>
            <w:shd w:val="clear" w:color="auto" w:fill="auto"/>
            <w:hideMark/>
          </w:tcPr>
          <w:p w14:paraId="7CCA21F7"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Long term and post employment expenses</w:t>
            </w:r>
          </w:p>
        </w:tc>
        <w:tc>
          <w:tcPr>
            <w:tcW w:w="1191" w:type="dxa"/>
            <w:tcBorders>
              <w:top w:val="single" w:sz="4" w:space="0" w:color="auto"/>
              <w:left w:val="nil"/>
              <w:bottom w:val="nil"/>
              <w:right w:val="single" w:sz="4" w:space="0" w:color="auto"/>
            </w:tcBorders>
            <w:shd w:val="clear" w:color="auto" w:fill="auto"/>
            <w:hideMark/>
          </w:tcPr>
          <w:p w14:paraId="7185E9DA"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Termination benefits</w:t>
            </w:r>
          </w:p>
        </w:tc>
        <w:tc>
          <w:tcPr>
            <w:tcW w:w="1191" w:type="dxa"/>
            <w:tcBorders>
              <w:top w:val="single" w:sz="4" w:space="0" w:color="auto"/>
              <w:left w:val="nil"/>
              <w:bottom w:val="nil"/>
              <w:right w:val="single" w:sz="4" w:space="0" w:color="auto"/>
            </w:tcBorders>
            <w:shd w:val="clear" w:color="auto" w:fill="auto"/>
            <w:hideMark/>
          </w:tcPr>
          <w:p w14:paraId="39694A67"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Total</w:t>
            </w:r>
          </w:p>
        </w:tc>
      </w:tr>
      <w:tr w:rsidR="00BC5219" w:rsidRPr="008A2B8F" w14:paraId="1E91F615" w14:textId="77777777" w:rsidTr="00E83802">
        <w:trPr>
          <w:trHeight w:val="198"/>
        </w:trPr>
        <w:tc>
          <w:tcPr>
            <w:tcW w:w="5046" w:type="dxa"/>
            <w:tcBorders>
              <w:top w:val="nil"/>
              <w:left w:val="single" w:sz="4" w:space="0" w:color="auto"/>
              <w:bottom w:val="single" w:sz="4" w:space="0" w:color="auto"/>
              <w:right w:val="single" w:sz="4" w:space="0" w:color="auto"/>
            </w:tcBorders>
            <w:shd w:val="clear" w:color="auto" w:fill="auto"/>
            <w:vAlign w:val="bottom"/>
            <w:hideMark/>
          </w:tcPr>
          <w:p w14:paraId="2DFBC394"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 </w:t>
            </w:r>
          </w:p>
        </w:tc>
        <w:tc>
          <w:tcPr>
            <w:tcW w:w="1191" w:type="dxa"/>
            <w:tcBorders>
              <w:top w:val="nil"/>
              <w:left w:val="nil"/>
              <w:bottom w:val="single" w:sz="4" w:space="0" w:color="auto"/>
              <w:right w:val="single" w:sz="4" w:space="0" w:color="auto"/>
            </w:tcBorders>
            <w:shd w:val="clear" w:color="auto" w:fill="auto"/>
            <w:vAlign w:val="bottom"/>
            <w:hideMark/>
          </w:tcPr>
          <w:p w14:paraId="2E8AD743"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$'000</w:t>
            </w:r>
          </w:p>
        </w:tc>
        <w:tc>
          <w:tcPr>
            <w:tcW w:w="1191" w:type="dxa"/>
            <w:tcBorders>
              <w:top w:val="nil"/>
              <w:left w:val="nil"/>
              <w:bottom w:val="single" w:sz="4" w:space="0" w:color="auto"/>
              <w:right w:val="single" w:sz="4" w:space="0" w:color="auto"/>
            </w:tcBorders>
            <w:shd w:val="clear" w:color="auto" w:fill="auto"/>
            <w:vAlign w:val="bottom"/>
            <w:hideMark/>
          </w:tcPr>
          <w:p w14:paraId="1F70FEA8"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$'000</w:t>
            </w:r>
          </w:p>
        </w:tc>
        <w:tc>
          <w:tcPr>
            <w:tcW w:w="1191" w:type="dxa"/>
            <w:tcBorders>
              <w:top w:val="nil"/>
              <w:left w:val="nil"/>
              <w:bottom w:val="single" w:sz="4" w:space="0" w:color="auto"/>
              <w:right w:val="single" w:sz="4" w:space="0" w:color="auto"/>
            </w:tcBorders>
            <w:shd w:val="clear" w:color="auto" w:fill="auto"/>
            <w:vAlign w:val="bottom"/>
            <w:hideMark/>
          </w:tcPr>
          <w:p w14:paraId="4CE63A4A"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$'000</w:t>
            </w:r>
          </w:p>
        </w:tc>
        <w:tc>
          <w:tcPr>
            <w:tcW w:w="1191" w:type="dxa"/>
            <w:tcBorders>
              <w:top w:val="nil"/>
              <w:left w:val="nil"/>
              <w:bottom w:val="single" w:sz="4" w:space="0" w:color="auto"/>
              <w:right w:val="single" w:sz="4" w:space="0" w:color="auto"/>
            </w:tcBorders>
            <w:shd w:val="clear" w:color="auto" w:fill="auto"/>
            <w:vAlign w:val="bottom"/>
            <w:hideMark/>
          </w:tcPr>
          <w:p w14:paraId="3756F8C2"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$'000</w:t>
            </w:r>
          </w:p>
        </w:tc>
      </w:tr>
      <w:tr w:rsidR="00BC5219" w:rsidRPr="008A2B8F" w14:paraId="3C45A6CF" w14:textId="77777777" w:rsidTr="00E83802">
        <w:trPr>
          <w:trHeight w:val="198"/>
        </w:trPr>
        <w:tc>
          <w:tcPr>
            <w:tcW w:w="5046" w:type="dxa"/>
            <w:tcBorders>
              <w:top w:val="nil"/>
              <w:left w:val="single" w:sz="4" w:space="0" w:color="auto"/>
              <w:bottom w:val="single" w:sz="4" w:space="0" w:color="auto"/>
              <w:right w:val="single" w:sz="4" w:space="0" w:color="auto"/>
            </w:tcBorders>
            <w:shd w:val="clear" w:color="000000" w:fill="C9E3B4"/>
            <w:hideMark/>
          </w:tcPr>
          <w:p w14:paraId="609A41AB"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xml:space="preserve">Deputy Director-General </w:t>
            </w:r>
            <w:r w:rsidRPr="008A2B8F">
              <w:rPr>
                <w:rFonts w:ascii="Meta Pro" w:eastAsia="Times New Roman" w:hAnsi="Meta Pro"/>
                <w:szCs w:val="18"/>
                <w:lang w:eastAsia="en-AU"/>
              </w:rPr>
              <w:br/>
              <w:t>(Translink)</w:t>
            </w:r>
          </w:p>
        </w:tc>
        <w:tc>
          <w:tcPr>
            <w:tcW w:w="1191" w:type="dxa"/>
            <w:tcBorders>
              <w:top w:val="nil"/>
              <w:left w:val="nil"/>
              <w:bottom w:val="single" w:sz="4" w:space="0" w:color="auto"/>
              <w:right w:val="single" w:sz="4" w:space="0" w:color="auto"/>
            </w:tcBorders>
            <w:shd w:val="clear" w:color="000000" w:fill="C9E3B4"/>
            <w:vAlign w:val="center"/>
            <w:hideMark/>
          </w:tcPr>
          <w:p w14:paraId="18D62640"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289 </w:t>
            </w:r>
          </w:p>
        </w:tc>
        <w:tc>
          <w:tcPr>
            <w:tcW w:w="1191" w:type="dxa"/>
            <w:tcBorders>
              <w:top w:val="nil"/>
              <w:left w:val="nil"/>
              <w:bottom w:val="single" w:sz="4" w:space="0" w:color="auto"/>
              <w:right w:val="single" w:sz="4" w:space="0" w:color="auto"/>
            </w:tcBorders>
            <w:shd w:val="clear" w:color="000000" w:fill="C9E3B4"/>
            <w:vAlign w:val="center"/>
            <w:hideMark/>
          </w:tcPr>
          <w:p w14:paraId="6A8612A7"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39 </w:t>
            </w:r>
          </w:p>
        </w:tc>
        <w:tc>
          <w:tcPr>
            <w:tcW w:w="1191" w:type="dxa"/>
            <w:tcBorders>
              <w:top w:val="nil"/>
              <w:left w:val="nil"/>
              <w:bottom w:val="single" w:sz="4" w:space="0" w:color="auto"/>
              <w:right w:val="single" w:sz="4" w:space="0" w:color="auto"/>
            </w:tcBorders>
            <w:shd w:val="clear" w:color="000000" w:fill="C9E3B4"/>
            <w:vAlign w:val="center"/>
            <w:hideMark/>
          </w:tcPr>
          <w:p w14:paraId="348693B8"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191" w:type="dxa"/>
            <w:tcBorders>
              <w:top w:val="nil"/>
              <w:left w:val="nil"/>
              <w:bottom w:val="single" w:sz="4" w:space="0" w:color="auto"/>
              <w:right w:val="single" w:sz="4" w:space="0" w:color="auto"/>
            </w:tcBorders>
            <w:shd w:val="clear" w:color="000000" w:fill="C9E3B4"/>
            <w:noWrap/>
            <w:vAlign w:val="center"/>
            <w:hideMark/>
          </w:tcPr>
          <w:p w14:paraId="29DDC7C5"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328 </w:t>
            </w:r>
          </w:p>
        </w:tc>
      </w:tr>
      <w:tr w:rsidR="00BC5219" w:rsidRPr="008A2B8F" w14:paraId="7D3924FC" w14:textId="77777777" w:rsidTr="00E83802">
        <w:trPr>
          <w:trHeight w:val="198"/>
        </w:trPr>
        <w:tc>
          <w:tcPr>
            <w:tcW w:w="5046" w:type="dxa"/>
            <w:tcBorders>
              <w:top w:val="nil"/>
              <w:left w:val="single" w:sz="4" w:space="0" w:color="auto"/>
              <w:bottom w:val="single" w:sz="4" w:space="0" w:color="auto"/>
              <w:right w:val="single" w:sz="4" w:space="0" w:color="auto"/>
            </w:tcBorders>
            <w:shd w:val="clear" w:color="000000" w:fill="C9E3B4"/>
            <w:hideMark/>
          </w:tcPr>
          <w:p w14:paraId="571D2FA9"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xml:space="preserve">Deputy Director-General </w:t>
            </w:r>
            <w:r w:rsidRPr="008A2B8F">
              <w:rPr>
                <w:rFonts w:ascii="Meta Pro" w:eastAsia="Times New Roman" w:hAnsi="Meta Pro"/>
                <w:szCs w:val="18"/>
                <w:lang w:eastAsia="en-AU"/>
              </w:rPr>
              <w:br/>
              <w:t>(Corporate)</w:t>
            </w:r>
          </w:p>
        </w:tc>
        <w:tc>
          <w:tcPr>
            <w:tcW w:w="1191" w:type="dxa"/>
            <w:tcBorders>
              <w:top w:val="nil"/>
              <w:left w:val="nil"/>
              <w:bottom w:val="single" w:sz="4" w:space="0" w:color="auto"/>
              <w:right w:val="single" w:sz="4" w:space="0" w:color="auto"/>
            </w:tcBorders>
            <w:shd w:val="clear" w:color="000000" w:fill="C9E3B4"/>
            <w:vAlign w:val="center"/>
            <w:hideMark/>
          </w:tcPr>
          <w:p w14:paraId="15BA45C8"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270 </w:t>
            </w:r>
          </w:p>
        </w:tc>
        <w:tc>
          <w:tcPr>
            <w:tcW w:w="1191" w:type="dxa"/>
            <w:tcBorders>
              <w:top w:val="nil"/>
              <w:left w:val="nil"/>
              <w:bottom w:val="single" w:sz="4" w:space="0" w:color="auto"/>
              <w:right w:val="single" w:sz="4" w:space="0" w:color="auto"/>
            </w:tcBorders>
            <w:shd w:val="clear" w:color="000000" w:fill="C9E3B4"/>
            <w:vAlign w:val="center"/>
            <w:hideMark/>
          </w:tcPr>
          <w:p w14:paraId="2613C5E7"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36 </w:t>
            </w:r>
          </w:p>
        </w:tc>
        <w:tc>
          <w:tcPr>
            <w:tcW w:w="1191" w:type="dxa"/>
            <w:tcBorders>
              <w:top w:val="nil"/>
              <w:left w:val="nil"/>
              <w:bottom w:val="single" w:sz="4" w:space="0" w:color="auto"/>
              <w:right w:val="single" w:sz="4" w:space="0" w:color="auto"/>
            </w:tcBorders>
            <w:shd w:val="clear" w:color="000000" w:fill="C9E3B4"/>
            <w:vAlign w:val="center"/>
            <w:hideMark/>
          </w:tcPr>
          <w:p w14:paraId="5F9BE3E4"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191" w:type="dxa"/>
            <w:tcBorders>
              <w:top w:val="nil"/>
              <w:left w:val="nil"/>
              <w:bottom w:val="single" w:sz="4" w:space="0" w:color="auto"/>
              <w:right w:val="single" w:sz="4" w:space="0" w:color="auto"/>
            </w:tcBorders>
            <w:shd w:val="clear" w:color="000000" w:fill="C9E3B4"/>
            <w:noWrap/>
            <w:vAlign w:val="center"/>
            <w:hideMark/>
          </w:tcPr>
          <w:p w14:paraId="7A828BC6"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306 </w:t>
            </w:r>
          </w:p>
        </w:tc>
      </w:tr>
      <w:tr w:rsidR="00BC5219" w:rsidRPr="008A2B8F" w14:paraId="3C824C0C" w14:textId="77777777" w:rsidTr="00E83802">
        <w:trPr>
          <w:trHeight w:val="198"/>
        </w:trPr>
        <w:tc>
          <w:tcPr>
            <w:tcW w:w="5046" w:type="dxa"/>
            <w:tcBorders>
              <w:top w:val="nil"/>
              <w:left w:val="single" w:sz="4" w:space="0" w:color="auto"/>
              <w:bottom w:val="single" w:sz="4" w:space="0" w:color="auto"/>
              <w:right w:val="single" w:sz="4" w:space="0" w:color="auto"/>
            </w:tcBorders>
            <w:shd w:val="clear" w:color="000000" w:fill="C9E3B4"/>
            <w:hideMark/>
          </w:tcPr>
          <w:p w14:paraId="144CD3B5"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Chief Operations Officer</w:t>
            </w:r>
          </w:p>
        </w:tc>
        <w:tc>
          <w:tcPr>
            <w:tcW w:w="1191" w:type="dxa"/>
            <w:tcBorders>
              <w:top w:val="nil"/>
              <w:left w:val="nil"/>
              <w:bottom w:val="single" w:sz="4" w:space="0" w:color="auto"/>
              <w:right w:val="single" w:sz="4" w:space="0" w:color="auto"/>
            </w:tcBorders>
            <w:shd w:val="clear" w:color="000000" w:fill="C9E3B4"/>
            <w:vAlign w:val="center"/>
            <w:hideMark/>
          </w:tcPr>
          <w:p w14:paraId="6262797B"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252 </w:t>
            </w:r>
          </w:p>
        </w:tc>
        <w:tc>
          <w:tcPr>
            <w:tcW w:w="1191" w:type="dxa"/>
            <w:tcBorders>
              <w:top w:val="nil"/>
              <w:left w:val="nil"/>
              <w:bottom w:val="single" w:sz="4" w:space="0" w:color="auto"/>
              <w:right w:val="single" w:sz="4" w:space="0" w:color="auto"/>
            </w:tcBorders>
            <w:shd w:val="clear" w:color="000000" w:fill="C9E3B4"/>
            <w:vAlign w:val="center"/>
            <w:hideMark/>
          </w:tcPr>
          <w:p w14:paraId="76DB3C65"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33 </w:t>
            </w:r>
          </w:p>
        </w:tc>
        <w:tc>
          <w:tcPr>
            <w:tcW w:w="1191" w:type="dxa"/>
            <w:tcBorders>
              <w:top w:val="nil"/>
              <w:left w:val="nil"/>
              <w:bottom w:val="single" w:sz="4" w:space="0" w:color="auto"/>
              <w:right w:val="single" w:sz="4" w:space="0" w:color="auto"/>
            </w:tcBorders>
            <w:shd w:val="clear" w:color="000000" w:fill="C9E3B4"/>
            <w:vAlign w:val="center"/>
            <w:hideMark/>
          </w:tcPr>
          <w:p w14:paraId="53A8F14A"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191" w:type="dxa"/>
            <w:tcBorders>
              <w:top w:val="nil"/>
              <w:left w:val="nil"/>
              <w:bottom w:val="single" w:sz="4" w:space="0" w:color="auto"/>
              <w:right w:val="single" w:sz="4" w:space="0" w:color="auto"/>
            </w:tcBorders>
            <w:shd w:val="clear" w:color="000000" w:fill="C9E3B4"/>
            <w:noWrap/>
            <w:vAlign w:val="center"/>
            <w:hideMark/>
          </w:tcPr>
          <w:p w14:paraId="133D94CE"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285 </w:t>
            </w:r>
          </w:p>
        </w:tc>
      </w:tr>
      <w:tr w:rsidR="00BC5219" w:rsidRPr="008A2B8F" w14:paraId="342960A4" w14:textId="77777777" w:rsidTr="00E83802">
        <w:trPr>
          <w:trHeight w:val="198"/>
        </w:trPr>
        <w:tc>
          <w:tcPr>
            <w:tcW w:w="5046" w:type="dxa"/>
            <w:tcBorders>
              <w:top w:val="nil"/>
              <w:left w:val="single" w:sz="4" w:space="0" w:color="auto"/>
              <w:bottom w:val="single" w:sz="4" w:space="0" w:color="auto"/>
              <w:right w:val="single" w:sz="4" w:space="0" w:color="auto"/>
            </w:tcBorders>
            <w:shd w:val="clear" w:color="000000" w:fill="C9E3B4"/>
            <w:hideMark/>
          </w:tcPr>
          <w:p w14:paraId="6DAC3E73"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xml:space="preserve">Chief Finance Officer </w:t>
            </w:r>
            <w:r w:rsidRPr="008A2B8F">
              <w:rPr>
                <w:rFonts w:ascii="Meta Pro" w:eastAsia="Times New Roman" w:hAnsi="Meta Pro"/>
                <w:szCs w:val="18"/>
                <w:lang w:eastAsia="en-AU"/>
              </w:rPr>
              <w:br/>
              <w:t>(Joined ELT 19.10.2022)</w:t>
            </w:r>
          </w:p>
        </w:tc>
        <w:tc>
          <w:tcPr>
            <w:tcW w:w="1191" w:type="dxa"/>
            <w:tcBorders>
              <w:top w:val="nil"/>
              <w:left w:val="nil"/>
              <w:bottom w:val="single" w:sz="4" w:space="0" w:color="auto"/>
              <w:right w:val="single" w:sz="4" w:space="0" w:color="auto"/>
            </w:tcBorders>
            <w:shd w:val="clear" w:color="000000" w:fill="C9E3B4"/>
            <w:vAlign w:val="center"/>
            <w:hideMark/>
          </w:tcPr>
          <w:p w14:paraId="03E4B6AB"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188 </w:t>
            </w:r>
          </w:p>
        </w:tc>
        <w:tc>
          <w:tcPr>
            <w:tcW w:w="1191" w:type="dxa"/>
            <w:tcBorders>
              <w:top w:val="nil"/>
              <w:left w:val="nil"/>
              <w:bottom w:val="single" w:sz="4" w:space="0" w:color="auto"/>
              <w:right w:val="single" w:sz="4" w:space="0" w:color="auto"/>
            </w:tcBorders>
            <w:shd w:val="clear" w:color="000000" w:fill="C9E3B4"/>
            <w:vAlign w:val="center"/>
            <w:hideMark/>
          </w:tcPr>
          <w:p w14:paraId="78407F61"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26 </w:t>
            </w:r>
          </w:p>
        </w:tc>
        <w:tc>
          <w:tcPr>
            <w:tcW w:w="1191" w:type="dxa"/>
            <w:tcBorders>
              <w:top w:val="nil"/>
              <w:left w:val="nil"/>
              <w:bottom w:val="single" w:sz="4" w:space="0" w:color="auto"/>
              <w:right w:val="single" w:sz="4" w:space="0" w:color="auto"/>
            </w:tcBorders>
            <w:shd w:val="clear" w:color="000000" w:fill="C9E3B4"/>
            <w:vAlign w:val="center"/>
            <w:hideMark/>
          </w:tcPr>
          <w:p w14:paraId="5D63B475"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191" w:type="dxa"/>
            <w:tcBorders>
              <w:top w:val="nil"/>
              <w:left w:val="nil"/>
              <w:bottom w:val="single" w:sz="4" w:space="0" w:color="auto"/>
              <w:right w:val="single" w:sz="4" w:space="0" w:color="auto"/>
            </w:tcBorders>
            <w:shd w:val="clear" w:color="000000" w:fill="C9E3B4"/>
            <w:noWrap/>
            <w:vAlign w:val="center"/>
            <w:hideMark/>
          </w:tcPr>
          <w:p w14:paraId="550ECF09"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214 </w:t>
            </w:r>
          </w:p>
        </w:tc>
      </w:tr>
      <w:tr w:rsidR="00BC5219" w:rsidRPr="008A2B8F" w14:paraId="2A75F5C8" w14:textId="77777777" w:rsidTr="00E83802">
        <w:trPr>
          <w:trHeight w:val="198"/>
        </w:trPr>
        <w:tc>
          <w:tcPr>
            <w:tcW w:w="5046" w:type="dxa"/>
            <w:tcBorders>
              <w:top w:val="nil"/>
              <w:left w:val="single" w:sz="4" w:space="0" w:color="auto"/>
              <w:bottom w:val="single" w:sz="4" w:space="0" w:color="auto"/>
              <w:right w:val="single" w:sz="4" w:space="0" w:color="auto"/>
            </w:tcBorders>
            <w:shd w:val="clear" w:color="000000" w:fill="C9E3B4"/>
            <w:hideMark/>
          </w:tcPr>
          <w:p w14:paraId="326D3B49"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Chief Customer and Digital Officer *</w:t>
            </w:r>
          </w:p>
        </w:tc>
        <w:tc>
          <w:tcPr>
            <w:tcW w:w="1191" w:type="dxa"/>
            <w:tcBorders>
              <w:top w:val="nil"/>
              <w:left w:val="nil"/>
              <w:bottom w:val="single" w:sz="4" w:space="0" w:color="auto"/>
              <w:right w:val="single" w:sz="4" w:space="0" w:color="auto"/>
            </w:tcBorders>
            <w:shd w:val="clear" w:color="000000" w:fill="C9E3B4"/>
            <w:vAlign w:val="center"/>
            <w:hideMark/>
          </w:tcPr>
          <w:p w14:paraId="238832D8"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30 </w:t>
            </w:r>
          </w:p>
        </w:tc>
        <w:tc>
          <w:tcPr>
            <w:tcW w:w="1191" w:type="dxa"/>
            <w:tcBorders>
              <w:top w:val="nil"/>
              <w:left w:val="nil"/>
              <w:bottom w:val="single" w:sz="4" w:space="0" w:color="auto"/>
              <w:right w:val="single" w:sz="4" w:space="0" w:color="auto"/>
            </w:tcBorders>
            <w:shd w:val="clear" w:color="000000" w:fill="C9E3B4"/>
            <w:vAlign w:val="center"/>
            <w:hideMark/>
          </w:tcPr>
          <w:p w14:paraId="3B133B58"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4 </w:t>
            </w:r>
          </w:p>
        </w:tc>
        <w:tc>
          <w:tcPr>
            <w:tcW w:w="1191" w:type="dxa"/>
            <w:tcBorders>
              <w:top w:val="nil"/>
              <w:left w:val="nil"/>
              <w:bottom w:val="single" w:sz="4" w:space="0" w:color="auto"/>
              <w:right w:val="single" w:sz="4" w:space="0" w:color="auto"/>
            </w:tcBorders>
            <w:shd w:val="clear" w:color="000000" w:fill="C9E3B4"/>
            <w:vAlign w:val="center"/>
            <w:hideMark/>
          </w:tcPr>
          <w:p w14:paraId="6BD8859E"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191" w:type="dxa"/>
            <w:tcBorders>
              <w:top w:val="nil"/>
              <w:left w:val="nil"/>
              <w:bottom w:val="single" w:sz="4" w:space="0" w:color="auto"/>
              <w:right w:val="single" w:sz="4" w:space="0" w:color="auto"/>
            </w:tcBorders>
            <w:shd w:val="clear" w:color="000000" w:fill="C9E3B4"/>
            <w:noWrap/>
            <w:vAlign w:val="center"/>
            <w:hideMark/>
          </w:tcPr>
          <w:p w14:paraId="6C8AF8C1"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34 </w:t>
            </w:r>
          </w:p>
        </w:tc>
      </w:tr>
    </w:tbl>
    <w:p w14:paraId="0A62C244" w14:textId="77777777" w:rsidR="00BC5219" w:rsidRPr="008A2B8F" w:rsidRDefault="00BC5219" w:rsidP="00BC5219">
      <w:pPr>
        <w:spacing w:before="120" w:line="276" w:lineRule="auto"/>
        <w:rPr>
          <w:rFonts w:ascii="Meta Pro" w:hAnsi="Meta Pro"/>
          <w:sz w:val="16"/>
          <w:szCs w:val="16"/>
        </w:rPr>
      </w:pPr>
      <w:r w:rsidRPr="008A2B8F">
        <w:rPr>
          <w:rFonts w:ascii="Meta Pro" w:hAnsi="Meta Pro"/>
          <w:sz w:val="16"/>
          <w:szCs w:val="16"/>
        </w:rPr>
        <w:t xml:space="preserve">* Joined ELT following the 18 May 2023 machinery-of-government change. Remuneration expenses that are reported relate to the period 1 June </w:t>
      </w:r>
    </w:p>
    <w:p w14:paraId="09C35E8F" w14:textId="77777777" w:rsidR="00BC5219" w:rsidRPr="008A2B8F" w:rsidRDefault="00BC5219" w:rsidP="00BC5219">
      <w:pPr>
        <w:spacing w:line="276" w:lineRule="auto"/>
        <w:rPr>
          <w:rFonts w:ascii="Meta Pro" w:hAnsi="Meta Pro"/>
          <w:sz w:val="16"/>
          <w:szCs w:val="16"/>
        </w:rPr>
      </w:pPr>
      <w:r w:rsidRPr="008A2B8F">
        <w:rPr>
          <w:rFonts w:ascii="Meta Pro" w:hAnsi="Meta Pro"/>
          <w:sz w:val="16"/>
          <w:szCs w:val="16"/>
        </w:rPr>
        <w:t xml:space="preserve">   2023 to 30 June 2023. Refer to Note 1.</w:t>
      </w:r>
    </w:p>
    <w:p w14:paraId="270F3BBD" w14:textId="77777777" w:rsidR="00BC5219" w:rsidRPr="008A2B8F" w:rsidRDefault="00BC5219" w:rsidP="00BC5219">
      <w:pPr>
        <w:spacing w:line="276" w:lineRule="auto"/>
        <w:rPr>
          <w:rFonts w:ascii="Meta Pro" w:eastAsia="Times New Roman" w:hAnsi="Meta Pro"/>
          <w:b/>
          <w:bCs/>
          <w:szCs w:val="18"/>
          <w:lang w:eastAsia="en-AU"/>
        </w:rPr>
      </w:pPr>
    </w:p>
    <w:p w14:paraId="0E738673" w14:textId="77777777" w:rsidR="00BC5219" w:rsidRPr="008A2B8F" w:rsidRDefault="00BC5219" w:rsidP="00BC5219">
      <w:pPr>
        <w:spacing w:after="60"/>
        <w:rPr>
          <w:rFonts w:ascii="Meta Pro" w:hAnsi="Meta Pro" w:cstheme="minorBidi"/>
        </w:rPr>
      </w:pPr>
      <w:r w:rsidRPr="008A2B8F">
        <w:rPr>
          <w:rFonts w:ascii="Meta Pro" w:hAnsi="Meta Pro"/>
          <w:sz w:val="16"/>
          <w:szCs w:val="16"/>
        </w:rPr>
        <w:t xml:space="preserve"> </w:t>
      </w:r>
      <w:bookmarkStart w:id="46" w:name="_Hlk55481906"/>
      <w:r w:rsidRPr="008A2B8F">
        <w:rPr>
          <w:rFonts w:ascii="Meta Pro" w:eastAsia="Times New Roman" w:hAnsi="Meta Pro"/>
          <w:b/>
          <w:bCs/>
          <w:szCs w:val="18"/>
          <w:lang w:eastAsia="en-AU"/>
        </w:rPr>
        <w:t>1 July 2021 – 30 June 2022</w:t>
      </w:r>
    </w:p>
    <w:tbl>
      <w:tblPr>
        <w:tblW w:w="0" w:type="auto"/>
        <w:tblLayout w:type="fixed"/>
        <w:tblCellMar>
          <w:left w:w="28" w:type="dxa"/>
        </w:tblCellMar>
        <w:tblLook w:val="04A0" w:firstRow="1" w:lastRow="0" w:firstColumn="1" w:lastColumn="0" w:noHBand="0" w:noVBand="1"/>
      </w:tblPr>
      <w:tblGrid>
        <w:gridCol w:w="5046"/>
        <w:gridCol w:w="1191"/>
        <w:gridCol w:w="1191"/>
        <w:gridCol w:w="1191"/>
        <w:gridCol w:w="1191"/>
      </w:tblGrid>
      <w:tr w:rsidR="00BC5219" w:rsidRPr="008A2B8F" w14:paraId="4EF8A212" w14:textId="77777777" w:rsidTr="00E83802">
        <w:trPr>
          <w:trHeight w:val="198"/>
        </w:trPr>
        <w:tc>
          <w:tcPr>
            <w:tcW w:w="5046" w:type="dxa"/>
            <w:tcBorders>
              <w:top w:val="single" w:sz="4" w:space="0" w:color="auto"/>
              <w:left w:val="single" w:sz="4" w:space="0" w:color="auto"/>
              <w:bottom w:val="nil"/>
              <w:right w:val="single" w:sz="4" w:space="0" w:color="auto"/>
            </w:tcBorders>
            <w:shd w:val="clear" w:color="auto" w:fill="auto"/>
            <w:vAlign w:val="center"/>
            <w:hideMark/>
          </w:tcPr>
          <w:p w14:paraId="00F99384"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Position</w:t>
            </w:r>
          </w:p>
        </w:tc>
        <w:tc>
          <w:tcPr>
            <w:tcW w:w="1191" w:type="dxa"/>
            <w:tcBorders>
              <w:top w:val="single" w:sz="4" w:space="0" w:color="auto"/>
              <w:left w:val="nil"/>
              <w:bottom w:val="nil"/>
              <w:right w:val="single" w:sz="4" w:space="0" w:color="auto"/>
            </w:tcBorders>
            <w:shd w:val="clear" w:color="auto" w:fill="auto"/>
            <w:hideMark/>
          </w:tcPr>
          <w:p w14:paraId="019CE91A"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Short term employee expenses</w:t>
            </w:r>
          </w:p>
        </w:tc>
        <w:tc>
          <w:tcPr>
            <w:tcW w:w="1191" w:type="dxa"/>
            <w:tcBorders>
              <w:top w:val="single" w:sz="4" w:space="0" w:color="auto"/>
              <w:left w:val="nil"/>
              <w:bottom w:val="nil"/>
              <w:right w:val="single" w:sz="4" w:space="0" w:color="auto"/>
            </w:tcBorders>
            <w:shd w:val="clear" w:color="auto" w:fill="auto"/>
            <w:hideMark/>
          </w:tcPr>
          <w:p w14:paraId="7BA73C1F"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Long term and post employment expenses</w:t>
            </w:r>
          </w:p>
        </w:tc>
        <w:tc>
          <w:tcPr>
            <w:tcW w:w="1191" w:type="dxa"/>
            <w:tcBorders>
              <w:top w:val="single" w:sz="4" w:space="0" w:color="auto"/>
              <w:left w:val="nil"/>
              <w:bottom w:val="nil"/>
              <w:right w:val="single" w:sz="4" w:space="0" w:color="auto"/>
            </w:tcBorders>
            <w:shd w:val="clear" w:color="auto" w:fill="auto"/>
            <w:hideMark/>
          </w:tcPr>
          <w:p w14:paraId="59BA6702"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Termination benefits</w:t>
            </w:r>
          </w:p>
        </w:tc>
        <w:tc>
          <w:tcPr>
            <w:tcW w:w="1191" w:type="dxa"/>
            <w:tcBorders>
              <w:top w:val="single" w:sz="4" w:space="0" w:color="auto"/>
              <w:left w:val="nil"/>
              <w:bottom w:val="nil"/>
              <w:right w:val="single" w:sz="4" w:space="0" w:color="auto"/>
            </w:tcBorders>
            <w:shd w:val="clear" w:color="auto" w:fill="auto"/>
            <w:hideMark/>
          </w:tcPr>
          <w:p w14:paraId="5F0E9F0D"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 xml:space="preserve">Total </w:t>
            </w:r>
          </w:p>
        </w:tc>
      </w:tr>
      <w:tr w:rsidR="00BC5219" w:rsidRPr="008A2B8F" w14:paraId="6D937375" w14:textId="77777777" w:rsidTr="00E83802">
        <w:trPr>
          <w:trHeight w:val="198"/>
        </w:trPr>
        <w:tc>
          <w:tcPr>
            <w:tcW w:w="5046" w:type="dxa"/>
            <w:tcBorders>
              <w:top w:val="nil"/>
              <w:left w:val="single" w:sz="4" w:space="0" w:color="auto"/>
              <w:bottom w:val="single" w:sz="4" w:space="0" w:color="auto"/>
              <w:right w:val="single" w:sz="4" w:space="0" w:color="auto"/>
            </w:tcBorders>
            <w:shd w:val="clear" w:color="auto" w:fill="auto"/>
            <w:vAlign w:val="bottom"/>
            <w:hideMark/>
          </w:tcPr>
          <w:p w14:paraId="336E590B"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 </w:t>
            </w:r>
          </w:p>
        </w:tc>
        <w:tc>
          <w:tcPr>
            <w:tcW w:w="1191" w:type="dxa"/>
            <w:tcBorders>
              <w:top w:val="nil"/>
              <w:left w:val="nil"/>
              <w:bottom w:val="single" w:sz="4" w:space="0" w:color="auto"/>
              <w:right w:val="single" w:sz="4" w:space="0" w:color="auto"/>
            </w:tcBorders>
            <w:shd w:val="clear" w:color="auto" w:fill="auto"/>
            <w:vAlign w:val="bottom"/>
            <w:hideMark/>
          </w:tcPr>
          <w:p w14:paraId="2B5ABFEF"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$'000</w:t>
            </w:r>
          </w:p>
        </w:tc>
        <w:tc>
          <w:tcPr>
            <w:tcW w:w="1191" w:type="dxa"/>
            <w:tcBorders>
              <w:top w:val="nil"/>
              <w:left w:val="nil"/>
              <w:bottom w:val="single" w:sz="4" w:space="0" w:color="auto"/>
              <w:right w:val="single" w:sz="4" w:space="0" w:color="auto"/>
            </w:tcBorders>
            <w:shd w:val="clear" w:color="auto" w:fill="auto"/>
            <w:vAlign w:val="bottom"/>
            <w:hideMark/>
          </w:tcPr>
          <w:p w14:paraId="5381EB7F"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$'000</w:t>
            </w:r>
          </w:p>
        </w:tc>
        <w:tc>
          <w:tcPr>
            <w:tcW w:w="1191" w:type="dxa"/>
            <w:tcBorders>
              <w:top w:val="nil"/>
              <w:left w:val="nil"/>
              <w:bottom w:val="single" w:sz="4" w:space="0" w:color="auto"/>
              <w:right w:val="single" w:sz="4" w:space="0" w:color="auto"/>
            </w:tcBorders>
            <w:shd w:val="clear" w:color="auto" w:fill="auto"/>
            <w:vAlign w:val="bottom"/>
            <w:hideMark/>
          </w:tcPr>
          <w:p w14:paraId="3A343F67"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$'000</w:t>
            </w:r>
          </w:p>
        </w:tc>
        <w:tc>
          <w:tcPr>
            <w:tcW w:w="1191" w:type="dxa"/>
            <w:tcBorders>
              <w:top w:val="nil"/>
              <w:left w:val="nil"/>
              <w:bottom w:val="single" w:sz="4" w:space="0" w:color="auto"/>
              <w:right w:val="single" w:sz="4" w:space="0" w:color="auto"/>
            </w:tcBorders>
            <w:shd w:val="clear" w:color="auto" w:fill="auto"/>
            <w:vAlign w:val="bottom"/>
            <w:hideMark/>
          </w:tcPr>
          <w:p w14:paraId="01712B36"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$'000</w:t>
            </w:r>
          </w:p>
        </w:tc>
      </w:tr>
      <w:tr w:rsidR="00BC5219" w:rsidRPr="008A2B8F" w14:paraId="00681E3F" w14:textId="77777777" w:rsidTr="00E83802">
        <w:trPr>
          <w:trHeight w:val="198"/>
        </w:trPr>
        <w:tc>
          <w:tcPr>
            <w:tcW w:w="5046" w:type="dxa"/>
            <w:tcBorders>
              <w:top w:val="nil"/>
              <w:left w:val="single" w:sz="4" w:space="0" w:color="auto"/>
              <w:bottom w:val="single" w:sz="4" w:space="0" w:color="auto"/>
              <w:right w:val="single" w:sz="4" w:space="0" w:color="auto"/>
            </w:tcBorders>
            <w:shd w:val="clear" w:color="auto" w:fill="auto"/>
            <w:hideMark/>
          </w:tcPr>
          <w:p w14:paraId="4CC13C3A"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Director-General</w:t>
            </w:r>
          </w:p>
        </w:tc>
        <w:tc>
          <w:tcPr>
            <w:tcW w:w="1191" w:type="dxa"/>
            <w:tcBorders>
              <w:top w:val="nil"/>
              <w:left w:val="nil"/>
              <w:bottom w:val="single" w:sz="4" w:space="0" w:color="auto"/>
              <w:right w:val="single" w:sz="4" w:space="0" w:color="auto"/>
            </w:tcBorders>
            <w:shd w:val="clear" w:color="auto" w:fill="auto"/>
            <w:vAlign w:val="center"/>
            <w:hideMark/>
          </w:tcPr>
          <w:p w14:paraId="2C3051AA"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553 </w:t>
            </w:r>
          </w:p>
        </w:tc>
        <w:tc>
          <w:tcPr>
            <w:tcW w:w="1191" w:type="dxa"/>
            <w:tcBorders>
              <w:top w:val="nil"/>
              <w:left w:val="nil"/>
              <w:bottom w:val="single" w:sz="4" w:space="0" w:color="auto"/>
              <w:right w:val="single" w:sz="4" w:space="0" w:color="auto"/>
            </w:tcBorders>
            <w:shd w:val="clear" w:color="auto" w:fill="auto"/>
            <w:vAlign w:val="center"/>
            <w:hideMark/>
          </w:tcPr>
          <w:p w14:paraId="54B9C35E"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79 </w:t>
            </w:r>
          </w:p>
        </w:tc>
        <w:tc>
          <w:tcPr>
            <w:tcW w:w="1191" w:type="dxa"/>
            <w:tcBorders>
              <w:top w:val="nil"/>
              <w:left w:val="nil"/>
              <w:bottom w:val="single" w:sz="4" w:space="0" w:color="auto"/>
              <w:right w:val="single" w:sz="4" w:space="0" w:color="auto"/>
            </w:tcBorders>
            <w:shd w:val="clear" w:color="auto" w:fill="auto"/>
            <w:vAlign w:val="center"/>
            <w:hideMark/>
          </w:tcPr>
          <w:p w14:paraId="7588DA77"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191" w:type="dxa"/>
            <w:tcBorders>
              <w:top w:val="nil"/>
              <w:left w:val="nil"/>
              <w:bottom w:val="single" w:sz="4" w:space="0" w:color="auto"/>
              <w:right w:val="single" w:sz="4" w:space="0" w:color="auto"/>
            </w:tcBorders>
            <w:shd w:val="clear" w:color="auto" w:fill="auto"/>
            <w:vAlign w:val="center"/>
            <w:hideMark/>
          </w:tcPr>
          <w:p w14:paraId="1E3207F6"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632 </w:t>
            </w:r>
          </w:p>
        </w:tc>
      </w:tr>
      <w:tr w:rsidR="00BC5219" w:rsidRPr="008A2B8F" w14:paraId="3FA96C37" w14:textId="77777777" w:rsidTr="00E83802">
        <w:trPr>
          <w:trHeight w:val="198"/>
        </w:trPr>
        <w:tc>
          <w:tcPr>
            <w:tcW w:w="5046" w:type="dxa"/>
            <w:tcBorders>
              <w:top w:val="nil"/>
              <w:left w:val="single" w:sz="4" w:space="0" w:color="auto"/>
              <w:bottom w:val="single" w:sz="4" w:space="0" w:color="auto"/>
              <w:right w:val="single" w:sz="4" w:space="0" w:color="auto"/>
            </w:tcBorders>
            <w:shd w:val="clear" w:color="auto" w:fill="auto"/>
            <w:hideMark/>
          </w:tcPr>
          <w:p w14:paraId="355CFB01"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xml:space="preserve">Deputy Director-General </w:t>
            </w:r>
            <w:r w:rsidRPr="008A2B8F">
              <w:rPr>
                <w:rFonts w:ascii="Meta Pro" w:eastAsia="Times New Roman" w:hAnsi="Meta Pro"/>
                <w:szCs w:val="18"/>
                <w:lang w:eastAsia="en-AU"/>
              </w:rPr>
              <w:br/>
              <w:t>(Customer Services, Safety and Regulation)</w:t>
            </w:r>
            <w:r w:rsidRPr="008A2B8F">
              <w:rPr>
                <w:rFonts w:ascii="Meta Pro" w:eastAsia="Times New Roman" w:hAnsi="Meta Pro"/>
                <w:szCs w:val="18"/>
                <w:lang w:eastAsia="en-AU"/>
              </w:rPr>
              <w:br/>
              <w:t>(Exited 17.09.2021)</w:t>
            </w:r>
          </w:p>
        </w:tc>
        <w:tc>
          <w:tcPr>
            <w:tcW w:w="1191" w:type="dxa"/>
            <w:tcBorders>
              <w:top w:val="nil"/>
              <w:left w:val="nil"/>
              <w:bottom w:val="single" w:sz="4" w:space="0" w:color="auto"/>
              <w:right w:val="single" w:sz="4" w:space="0" w:color="auto"/>
            </w:tcBorders>
            <w:shd w:val="clear" w:color="auto" w:fill="auto"/>
            <w:vAlign w:val="center"/>
            <w:hideMark/>
          </w:tcPr>
          <w:p w14:paraId="4B161DF8"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59 </w:t>
            </w:r>
          </w:p>
        </w:tc>
        <w:tc>
          <w:tcPr>
            <w:tcW w:w="1191" w:type="dxa"/>
            <w:tcBorders>
              <w:top w:val="nil"/>
              <w:left w:val="nil"/>
              <w:bottom w:val="single" w:sz="4" w:space="0" w:color="auto"/>
              <w:right w:val="single" w:sz="4" w:space="0" w:color="auto"/>
            </w:tcBorders>
            <w:shd w:val="clear" w:color="auto" w:fill="auto"/>
            <w:vAlign w:val="center"/>
            <w:hideMark/>
          </w:tcPr>
          <w:p w14:paraId="2A889BB2"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8 </w:t>
            </w:r>
          </w:p>
        </w:tc>
        <w:tc>
          <w:tcPr>
            <w:tcW w:w="1191" w:type="dxa"/>
            <w:tcBorders>
              <w:top w:val="nil"/>
              <w:left w:val="nil"/>
              <w:bottom w:val="single" w:sz="4" w:space="0" w:color="auto"/>
              <w:right w:val="single" w:sz="4" w:space="0" w:color="auto"/>
            </w:tcBorders>
            <w:shd w:val="clear" w:color="auto" w:fill="auto"/>
            <w:vAlign w:val="center"/>
            <w:hideMark/>
          </w:tcPr>
          <w:p w14:paraId="55C9C505"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191" w:type="dxa"/>
            <w:tcBorders>
              <w:top w:val="nil"/>
              <w:left w:val="nil"/>
              <w:bottom w:val="single" w:sz="4" w:space="0" w:color="auto"/>
              <w:right w:val="single" w:sz="4" w:space="0" w:color="auto"/>
            </w:tcBorders>
            <w:shd w:val="clear" w:color="auto" w:fill="auto"/>
            <w:vAlign w:val="center"/>
            <w:hideMark/>
          </w:tcPr>
          <w:p w14:paraId="389823FD"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67 </w:t>
            </w:r>
          </w:p>
        </w:tc>
      </w:tr>
      <w:tr w:rsidR="00BC5219" w:rsidRPr="008A2B8F" w14:paraId="17226709" w14:textId="77777777" w:rsidTr="00E83802">
        <w:trPr>
          <w:trHeight w:val="198"/>
        </w:trPr>
        <w:tc>
          <w:tcPr>
            <w:tcW w:w="5046" w:type="dxa"/>
            <w:tcBorders>
              <w:top w:val="nil"/>
              <w:left w:val="single" w:sz="4" w:space="0" w:color="auto"/>
              <w:bottom w:val="single" w:sz="4" w:space="0" w:color="auto"/>
              <w:right w:val="single" w:sz="4" w:space="0" w:color="auto"/>
            </w:tcBorders>
            <w:shd w:val="clear" w:color="auto" w:fill="auto"/>
            <w:hideMark/>
          </w:tcPr>
          <w:p w14:paraId="61A94282"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xml:space="preserve">Acting Deputy Director-General </w:t>
            </w:r>
            <w:r w:rsidRPr="008A2B8F">
              <w:rPr>
                <w:rFonts w:ascii="Meta Pro" w:eastAsia="Times New Roman" w:hAnsi="Meta Pro"/>
                <w:szCs w:val="18"/>
                <w:lang w:eastAsia="en-AU"/>
              </w:rPr>
              <w:br/>
              <w:t>(Customer Services, Safety and Regulation)</w:t>
            </w:r>
            <w:r w:rsidRPr="008A2B8F">
              <w:rPr>
                <w:rFonts w:ascii="Meta Pro" w:eastAsia="Times New Roman" w:hAnsi="Meta Pro"/>
                <w:szCs w:val="18"/>
                <w:lang w:eastAsia="en-AU"/>
              </w:rPr>
              <w:br/>
              <w:t>(20.09.2021–30.06.2022)</w:t>
            </w:r>
          </w:p>
        </w:tc>
        <w:tc>
          <w:tcPr>
            <w:tcW w:w="1191" w:type="dxa"/>
            <w:tcBorders>
              <w:top w:val="nil"/>
              <w:left w:val="nil"/>
              <w:bottom w:val="single" w:sz="4" w:space="0" w:color="auto"/>
              <w:right w:val="single" w:sz="4" w:space="0" w:color="auto"/>
            </w:tcBorders>
            <w:shd w:val="clear" w:color="auto" w:fill="auto"/>
            <w:vAlign w:val="center"/>
            <w:hideMark/>
          </w:tcPr>
          <w:p w14:paraId="35696ED6"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212 </w:t>
            </w:r>
          </w:p>
        </w:tc>
        <w:tc>
          <w:tcPr>
            <w:tcW w:w="1191" w:type="dxa"/>
            <w:tcBorders>
              <w:top w:val="nil"/>
              <w:left w:val="nil"/>
              <w:bottom w:val="single" w:sz="4" w:space="0" w:color="auto"/>
              <w:right w:val="single" w:sz="4" w:space="0" w:color="auto"/>
            </w:tcBorders>
            <w:shd w:val="clear" w:color="auto" w:fill="auto"/>
            <w:vAlign w:val="center"/>
            <w:hideMark/>
          </w:tcPr>
          <w:p w14:paraId="28CDDA04"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31 </w:t>
            </w:r>
          </w:p>
        </w:tc>
        <w:tc>
          <w:tcPr>
            <w:tcW w:w="1191" w:type="dxa"/>
            <w:tcBorders>
              <w:top w:val="nil"/>
              <w:left w:val="nil"/>
              <w:bottom w:val="single" w:sz="4" w:space="0" w:color="auto"/>
              <w:right w:val="single" w:sz="4" w:space="0" w:color="auto"/>
            </w:tcBorders>
            <w:shd w:val="clear" w:color="auto" w:fill="auto"/>
            <w:vAlign w:val="center"/>
            <w:hideMark/>
          </w:tcPr>
          <w:p w14:paraId="7C318FDC"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191" w:type="dxa"/>
            <w:tcBorders>
              <w:top w:val="nil"/>
              <w:left w:val="nil"/>
              <w:bottom w:val="single" w:sz="4" w:space="0" w:color="auto"/>
              <w:right w:val="single" w:sz="4" w:space="0" w:color="auto"/>
            </w:tcBorders>
            <w:shd w:val="clear" w:color="auto" w:fill="auto"/>
            <w:vAlign w:val="center"/>
            <w:hideMark/>
          </w:tcPr>
          <w:p w14:paraId="1468E4E8"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243 </w:t>
            </w:r>
          </w:p>
        </w:tc>
      </w:tr>
      <w:tr w:rsidR="00BC5219" w:rsidRPr="008A2B8F" w14:paraId="4105466A" w14:textId="77777777" w:rsidTr="00E83802">
        <w:trPr>
          <w:trHeight w:val="198"/>
        </w:trPr>
        <w:tc>
          <w:tcPr>
            <w:tcW w:w="5046" w:type="dxa"/>
            <w:tcBorders>
              <w:top w:val="nil"/>
              <w:left w:val="single" w:sz="4" w:space="0" w:color="auto"/>
              <w:bottom w:val="single" w:sz="4" w:space="0" w:color="auto"/>
              <w:right w:val="single" w:sz="4" w:space="0" w:color="auto"/>
            </w:tcBorders>
            <w:shd w:val="clear" w:color="auto" w:fill="auto"/>
            <w:hideMark/>
          </w:tcPr>
          <w:p w14:paraId="1DD77414"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xml:space="preserve">Deputy Director-General </w:t>
            </w:r>
            <w:r w:rsidRPr="008A2B8F">
              <w:rPr>
                <w:rFonts w:ascii="Meta Pro" w:eastAsia="Times New Roman" w:hAnsi="Meta Pro"/>
                <w:szCs w:val="18"/>
                <w:lang w:eastAsia="en-AU"/>
              </w:rPr>
              <w:br/>
              <w:t>(Infrastructure Management and Delivery)</w:t>
            </w:r>
          </w:p>
        </w:tc>
        <w:tc>
          <w:tcPr>
            <w:tcW w:w="1191" w:type="dxa"/>
            <w:tcBorders>
              <w:top w:val="nil"/>
              <w:left w:val="nil"/>
              <w:bottom w:val="single" w:sz="4" w:space="0" w:color="auto"/>
              <w:right w:val="single" w:sz="4" w:space="0" w:color="auto"/>
            </w:tcBorders>
            <w:shd w:val="clear" w:color="auto" w:fill="auto"/>
            <w:vAlign w:val="center"/>
            <w:hideMark/>
          </w:tcPr>
          <w:p w14:paraId="6D8CD265"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299 </w:t>
            </w:r>
          </w:p>
        </w:tc>
        <w:tc>
          <w:tcPr>
            <w:tcW w:w="1191" w:type="dxa"/>
            <w:tcBorders>
              <w:top w:val="nil"/>
              <w:left w:val="nil"/>
              <w:bottom w:val="single" w:sz="4" w:space="0" w:color="auto"/>
              <w:right w:val="single" w:sz="4" w:space="0" w:color="auto"/>
            </w:tcBorders>
            <w:shd w:val="clear" w:color="auto" w:fill="auto"/>
            <w:vAlign w:val="center"/>
            <w:hideMark/>
          </w:tcPr>
          <w:p w14:paraId="4E705032"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38 </w:t>
            </w:r>
          </w:p>
        </w:tc>
        <w:tc>
          <w:tcPr>
            <w:tcW w:w="1191" w:type="dxa"/>
            <w:tcBorders>
              <w:top w:val="nil"/>
              <w:left w:val="nil"/>
              <w:bottom w:val="single" w:sz="4" w:space="0" w:color="auto"/>
              <w:right w:val="single" w:sz="4" w:space="0" w:color="auto"/>
            </w:tcBorders>
            <w:shd w:val="clear" w:color="auto" w:fill="auto"/>
            <w:vAlign w:val="center"/>
            <w:hideMark/>
          </w:tcPr>
          <w:p w14:paraId="45C17065"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191" w:type="dxa"/>
            <w:tcBorders>
              <w:top w:val="nil"/>
              <w:left w:val="nil"/>
              <w:bottom w:val="single" w:sz="4" w:space="0" w:color="auto"/>
              <w:right w:val="single" w:sz="4" w:space="0" w:color="auto"/>
            </w:tcBorders>
            <w:shd w:val="clear" w:color="auto" w:fill="auto"/>
            <w:vAlign w:val="center"/>
            <w:hideMark/>
          </w:tcPr>
          <w:p w14:paraId="2901B18D"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337 </w:t>
            </w:r>
          </w:p>
        </w:tc>
      </w:tr>
      <w:tr w:rsidR="00BC5219" w:rsidRPr="008A2B8F" w14:paraId="2ADC8AD8" w14:textId="77777777" w:rsidTr="00E83802">
        <w:trPr>
          <w:trHeight w:val="198"/>
        </w:trPr>
        <w:tc>
          <w:tcPr>
            <w:tcW w:w="5046" w:type="dxa"/>
            <w:tcBorders>
              <w:top w:val="nil"/>
              <w:left w:val="single" w:sz="4" w:space="0" w:color="auto"/>
              <w:bottom w:val="single" w:sz="4" w:space="0" w:color="auto"/>
              <w:right w:val="single" w:sz="4" w:space="0" w:color="auto"/>
            </w:tcBorders>
            <w:shd w:val="clear" w:color="auto" w:fill="auto"/>
            <w:hideMark/>
          </w:tcPr>
          <w:p w14:paraId="026B2255"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lastRenderedPageBreak/>
              <w:t xml:space="preserve">Deputy Director-General </w:t>
            </w:r>
            <w:r w:rsidRPr="008A2B8F">
              <w:rPr>
                <w:rFonts w:ascii="Meta Pro" w:eastAsia="Times New Roman" w:hAnsi="Meta Pro"/>
                <w:szCs w:val="18"/>
                <w:lang w:eastAsia="en-AU"/>
              </w:rPr>
              <w:br/>
              <w:t>(Policy, Planning and Investment)</w:t>
            </w:r>
          </w:p>
        </w:tc>
        <w:tc>
          <w:tcPr>
            <w:tcW w:w="1191" w:type="dxa"/>
            <w:tcBorders>
              <w:top w:val="nil"/>
              <w:left w:val="nil"/>
              <w:bottom w:val="single" w:sz="4" w:space="0" w:color="auto"/>
              <w:right w:val="single" w:sz="4" w:space="0" w:color="auto"/>
            </w:tcBorders>
            <w:shd w:val="clear" w:color="auto" w:fill="auto"/>
            <w:vAlign w:val="center"/>
            <w:hideMark/>
          </w:tcPr>
          <w:p w14:paraId="6310D7D7"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295 </w:t>
            </w:r>
          </w:p>
        </w:tc>
        <w:tc>
          <w:tcPr>
            <w:tcW w:w="1191" w:type="dxa"/>
            <w:tcBorders>
              <w:top w:val="nil"/>
              <w:left w:val="nil"/>
              <w:bottom w:val="single" w:sz="4" w:space="0" w:color="auto"/>
              <w:right w:val="single" w:sz="4" w:space="0" w:color="auto"/>
            </w:tcBorders>
            <w:shd w:val="clear" w:color="auto" w:fill="auto"/>
            <w:vAlign w:val="center"/>
            <w:hideMark/>
          </w:tcPr>
          <w:p w14:paraId="18353F75"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38 </w:t>
            </w:r>
          </w:p>
        </w:tc>
        <w:tc>
          <w:tcPr>
            <w:tcW w:w="1191" w:type="dxa"/>
            <w:tcBorders>
              <w:top w:val="nil"/>
              <w:left w:val="nil"/>
              <w:bottom w:val="single" w:sz="4" w:space="0" w:color="auto"/>
              <w:right w:val="single" w:sz="4" w:space="0" w:color="auto"/>
            </w:tcBorders>
            <w:shd w:val="clear" w:color="auto" w:fill="auto"/>
            <w:vAlign w:val="center"/>
            <w:hideMark/>
          </w:tcPr>
          <w:p w14:paraId="4DD028A5"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191" w:type="dxa"/>
            <w:tcBorders>
              <w:top w:val="nil"/>
              <w:left w:val="nil"/>
              <w:bottom w:val="single" w:sz="4" w:space="0" w:color="auto"/>
              <w:right w:val="single" w:sz="4" w:space="0" w:color="auto"/>
            </w:tcBorders>
            <w:shd w:val="clear" w:color="auto" w:fill="auto"/>
            <w:vAlign w:val="center"/>
            <w:hideMark/>
          </w:tcPr>
          <w:p w14:paraId="45B4242C"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333 </w:t>
            </w:r>
          </w:p>
        </w:tc>
      </w:tr>
      <w:tr w:rsidR="00BC5219" w:rsidRPr="008A2B8F" w14:paraId="6924EB32" w14:textId="77777777" w:rsidTr="00E83802">
        <w:trPr>
          <w:trHeight w:val="198"/>
        </w:trPr>
        <w:tc>
          <w:tcPr>
            <w:tcW w:w="5046" w:type="dxa"/>
            <w:tcBorders>
              <w:top w:val="nil"/>
              <w:left w:val="single" w:sz="4" w:space="0" w:color="auto"/>
              <w:bottom w:val="single" w:sz="4" w:space="0" w:color="auto"/>
              <w:right w:val="single" w:sz="4" w:space="0" w:color="auto"/>
            </w:tcBorders>
            <w:shd w:val="clear" w:color="auto" w:fill="auto"/>
            <w:hideMark/>
          </w:tcPr>
          <w:p w14:paraId="69C758A8"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Deputy Director-General *</w:t>
            </w:r>
            <w:r w:rsidRPr="008A2B8F">
              <w:rPr>
                <w:rFonts w:ascii="Meta Pro" w:eastAsia="Times New Roman" w:hAnsi="Meta Pro"/>
                <w:szCs w:val="18"/>
                <w:lang w:eastAsia="en-AU"/>
              </w:rPr>
              <w:br/>
              <w:t>(Translink)</w:t>
            </w:r>
            <w:r w:rsidRPr="008A2B8F">
              <w:rPr>
                <w:rFonts w:ascii="Meta Pro" w:eastAsia="Times New Roman" w:hAnsi="Meta Pro"/>
                <w:szCs w:val="18"/>
                <w:lang w:eastAsia="en-AU"/>
              </w:rPr>
              <w:br/>
              <w:t>(Appointed December 2021)</w:t>
            </w:r>
          </w:p>
        </w:tc>
        <w:tc>
          <w:tcPr>
            <w:tcW w:w="1191" w:type="dxa"/>
            <w:tcBorders>
              <w:top w:val="nil"/>
              <w:left w:val="nil"/>
              <w:bottom w:val="single" w:sz="4" w:space="0" w:color="auto"/>
              <w:right w:val="single" w:sz="4" w:space="0" w:color="auto"/>
            </w:tcBorders>
            <w:shd w:val="clear" w:color="auto" w:fill="auto"/>
            <w:vAlign w:val="center"/>
            <w:hideMark/>
          </w:tcPr>
          <w:p w14:paraId="1FA11D38"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305 </w:t>
            </w:r>
          </w:p>
        </w:tc>
        <w:tc>
          <w:tcPr>
            <w:tcW w:w="1191" w:type="dxa"/>
            <w:tcBorders>
              <w:top w:val="nil"/>
              <w:left w:val="nil"/>
              <w:bottom w:val="single" w:sz="4" w:space="0" w:color="auto"/>
              <w:right w:val="single" w:sz="4" w:space="0" w:color="auto"/>
            </w:tcBorders>
            <w:shd w:val="clear" w:color="auto" w:fill="auto"/>
            <w:vAlign w:val="center"/>
            <w:hideMark/>
          </w:tcPr>
          <w:p w14:paraId="02EAAE50"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20 </w:t>
            </w:r>
          </w:p>
        </w:tc>
        <w:tc>
          <w:tcPr>
            <w:tcW w:w="1191" w:type="dxa"/>
            <w:tcBorders>
              <w:top w:val="nil"/>
              <w:left w:val="nil"/>
              <w:bottom w:val="single" w:sz="4" w:space="0" w:color="auto"/>
              <w:right w:val="single" w:sz="4" w:space="0" w:color="auto"/>
            </w:tcBorders>
            <w:shd w:val="clear" w:color="auto" w:fill="auto"/>
            <w:vAlign w:val="center"/>
            <w:hideMark/>
          </w:tcPr>
          <w:p w14:paraId="002DD2B0"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191" w:type="dxa"/>
            <w:tcBorders>
              <w:top w:val="nil"/>
              <w:left w:val="nil"/>
              <w:bottom w:val="single" w:sz="4" w:space="0" w:color="auto"/>
              <w:right w:val="single" w:sz="4" w:space="0" w:color="auto"/>
            </w:tcBorders>
            <w:shd w:val="clear" w:color="auto" w:fill="auto"/>
            <w:vAlign w:val="center"/>
            <w:hideMark/>
          </w:tcPr>
          <w:p w14:paraId="78F85013"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325 </w:t>
            </w:r>
          </w:p>
        </w:tc>
      </w:tr>
      <w:tr w:rsidR="00BC5219" w:rsidRPr="008A2B8F" w14:paraId="68B7BF39" w14:textId="77777777" w:rsidTr="00E83802">
        <w:trPr>
          <w:trHeight w:val="198"/>
        </w:trPr>
        <w:tc>
          <w:tcPr>
            <w:tcW w:w="5046" w:type="dxa"/>
            <w:tcBorders>
              <w:top w:val="nil"/>
              <w:left w:val="single" w:sz="4" w:space="0" w:color="auto"/>
              <w:bottom w:val="single" w:sz="4" w:space="0" w:color="auto"/>
              <w:right w:val="single" w:sz="4" w:space="0" w:color="auto"/>
            </w:tcBorders>
            <w:shd w:val="clear" w:color="auto" w:fill="auto"/>
            <w:hideMark/>
          </w:tcPr>
          <w:p w14:paraId="485FC863"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xml:space="preserve">Deputy Director-General </w:t>
            </w:r>
            <w:r w:rsidRPr="008A2B8F">
              <w:rPr>
                <w:rFonts w:ascii="Meta Pro" w:eastAsia="Times New Roman" w:hAnsi="Meta Pro"/>
                <w:szCs w:val="18"/>
                <w:lang w:eastAsia="en-AU"/>
              </w:rPr>
              <w:br/>
              <w:t>(Corporate)</w:t>
            </w:r>
          </w:p>
        </w:tc>
        <w:tc>
          <w:tcPr>
            <w:tcW w:w="1191" w:type="dxa"/>
            <w:tcBorders>
              <w:top w:val="nil"/>
              <w:left w:val="nil"/>
              <w:bottom w:val="single" w:sz="4" w:space="0" w:color="auto"/>
              <w:right w:val="single" w:sz="4" w:space="0" w:color="auto"/>
            </w:tcBorders>
            <w:shd w:val="clear" w:color="auto" w:fill="auto"/>
            <w:vAlign w:val="center"/>
            <w:hideMark/>
          </w:tcPr>
          <w:p w14:paraId="1D975509"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259 </w:t>
            </w:r>
          </w:p>
        </w:tc>
        <w:tc>
          <w:tcPr>
            <w:tcW w:w="1191" w:type="dxa"/>
            <w:tcBorders>
              <w:top w:val="nil"/>
              <w:left w:val="nil"/>
              <w:bottom w:val="single" w:sz="4" w:space="0" w:color="auto"/>
              <w:right w:val="single" w:sz="4" w:space="0" w:color="auto"/>
            </w:tcBorders>
            <w:shd w:val="clear" w:color="auto" w:fill="auto"/>
            <w:vAlign w:val="center"/>
            <w:hideMark/>
          </w:tcPr>
          <w:p w14:paraId="51A5F04B"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34 </w:t>
            </w:r>
          </w:p>
        </w:tc>
        <w:tc>
          <w:tcPr>
            <w:tcW w:w="1191" w:type="dxa"/>
            <w:tcBorders>
              <w:top w:val="nil"/>
              <w:left w:val="nil"/>
              <w:bottom w:val="single" w:sz="4" w:space="0" w:color="auto"/>
              <w:right w:val="single" w:sz="4" w:space="0" w:color="auto"/>
            </w:tcBorders>
            <w:shd w:val="clear" w:color="auto" w:fill="auto"/>
            <w:vAlign w:val="center"/>
            <w:hideMark/>
          </w:tcPr>
          <w:p w14:paraId="660045A9"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191" w:type="dxa"/>
            <w:tcBorders>
              <w:top w:val="nil"/>
              <w:left w:val="nil"/>
              <w:bottom w:val="single" w:sz="4" w:space="0" w:color="auto"/>
              <w:right w:val="single" w:sz="4" w:space="0" w:color="auto"/>
            </w:tcBorders>
            <w:shd w:val="clear" w:color="auto" w:fill="auto"/>
            <w:vAlign w:val="center"/>
            <w:hideMark/>
          </w:tcPr>
          <w:p w14:paraId="337D4B1F"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293 </w:t>
            </w:r>
          </w:p>
        </w:tc>
      </w:tr>
      <w:tr w:rsidR="00BC5219" w:rsidRPr="008A2B8F" w14:paraId="6565176C" w14:textId="77777777" w:rsidTr="00E83802">
        <w:trPr>
          <w:trHeight w:val="198"/>
        </w:trPr>
        <w:tc>
          <w:tcPr>
            <w:tcW w:w="5046" w:type="dxa"/>
            <w:tcBorders>
              <w:top w:val="nil"/>
              <w:left w:val="single" w:sz="4" w:space="0" w:color="auto"/>
              <w:bottom w:val="single" w:sz="4" w:space="0" w:color="auto"/>
              <w:right w:val="single" w:sz="4" w:space="0" w:color="auto"/>
            </w:tcBorders>
            <w:shd w:val="clear" w:color="auto" w:fill="auto"/>
            <w:hideMark/>
          </w:tcPr>
          <w:p w14:paraId="6C2FDB2D"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Chief Operations Officer</w:t>
            </w:r>
          </w:p>
        </w:tc>
        <w:tc>
          <w:tcPr>
            <w:tcW w:w="1191" w:type="dxa"/>
            <w:tcBorders>
              <w:top w:val="nil"/>
              <w:left w:val="nil"/>
              <w:bottom w:val="single" w:sz="4" w:space="0" w:color="auto"/>
              <w:right w:val="single" w:sz="4" w:space="0" w:color="auto"/>
            </w:tcBorders>
            <w:shd w:val="clear" w:color="auto" w:fill="auto"/>
            <w:vAlign w:val="center"/>
            <w:hideMark/>
          </w:tcPr>
          <w:p w14:paraId="02F835A7"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242 </w:t>
            </w:r>
          </w:p>
        </w:tc>
        <w:tc>
          <w:tcPr>
            <w:tcW w:w="1191" w:type="dxa"/>
            <w:tcBorders>
              <w:top w:val="nil"/>
              <w:left w:val="nil"/>
              <w:bottom w:val="single" w:sz="4" w:space="0" w:color="auto"/>
              <w:right w:val="single" w:sz="4" w:space="0" w:color="auto"/>
            </w:tcBorders>
            <w:shd w:val="clear" w:color="auto" w:fill="auto"/>
            <w:vAlign w:val="center"/>
            <w:hideMark/>
          </w:tcPr>
          <w:p w14:paraId="072EF527"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31 </w:t>
            </w:r>
          </w:p>
        </w:tc>
        <w:tc>
          <w:tcPr>
            <w:tcW w:w="1191" w:type="dxa"/>
            <w:tcBorders>
              <w:top w:val="nil"/>
              <w:left w:val="nil"/>
              <w:bottom w:val="single" w:sz="4" w:space="0" w:color="auto"/>
              <w:right w:val="single" w:sz="4" w:space="0" w:color="auto"/>
            </w:tcBorders>
            <w:shd w:val="clear" w:color="auto" w:fill="auto"/>
            <w:vAlign w:val="center"/>
            <w:hideMark/>
          </w:tcPr>
          <w:p w14:paraId="2F7F9677"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191" w:type="dxa"/>
            <w:tcBorders>
              <w:top w:val="nil"/>
              <w:left w:val="nil"/>
              <w:bottom w:val="single" w:sz="4" w:space="0" w:color="auto"/>
              <w:right w:val="single" w:sz="4" w:space="0" w:color="auto"/>
            </w:tcBorders>
            <w:shd w:val="clear" w:color="auto" w:fill="auto"/>
            <w:vAlign w:val="center"/>
            <w:hideMark/>
          </w:tcPr>
          <w:p w14:paraId="4CBC0DAA"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273 </w:t>
            </w:r>
          </w:p>
        </w:tc>
      </w:tr>
    </w:tbl>
    <w:p w14:paraId="72407887" w14:textId="77777777" w:rsidR="00BC5219" w:rsidRPr="008A2B8F" w:rsidRDefault="00BC5219" w:rsidP="00BC5219">
      <w:pPr>
        <w:spacing w:before="120" w:line="259" w:lineRule="auto"/>
        <w:rPr>
          <w:rFonts w:ascii="Meta Pro" w:hAnsi="Meta Pro"/>
          <w:sz w:val="16"/>
          <w:szCs w:val="16"/>
        </w:rPr>
      </w:pPr>
      <w:r w:rsidRPr="008A2B8F">
        <w:rPr>
          <w:rFonts w:ascii="Meta Pro" w:eastAsia="Times New Roman" w:hAnsi="Meta Pro"/>
          <w:szCs w:val="18"/>
          <w:lang w:eastAsia="en-AU"/>
        </w:rPr>
        <w:t>*</w:t>
      </w:r>
      <w:r w:rsidRPr="008A2B8F">
        <w:rPr>
          <w:rFonts w:ascii="Meta Pro" w:hAnsi="Meta Pro"/>
          <w:sz w:val="16"/>
          <w:szCs w:val="16"/>
        </w:rPr>
        <w:t xml:space="preserve"> Includes $151,071 as the key management personnel officer was employed as a contractor for the period 1 July 2021 to 10 December 2021.</w:t>
      </w:r>
    </w:p>
    <w:p w14:paraId="2E5CBB45" w14:textId="77777777" w:rsidR="00BC5219" w:rsidRPr="008A2B8F" w:rsidRDefault="00BC5219" w:rsidP="00BC5219">
      <w:pPr>
        <w:spacing w:line="259" w:lineRule="auto"/>
        <w:rPr>
          <w:rFonts w:ascii="Meta Pro" w:hAnsi="Meta Pro"/>
          <w:sz w:val="16"/>
          <w:szCs w:val="16"/>
        </w:rPr>
      </w:pPr>
      <w:r w:rsidRPr="008A2B8F">
        <w:rPr>
          <w:rFonts w:ascii="Meta Pro" w:hAnsi="Meta Pro"/>
          <w:sz w:val="16"/>
          <w:szCs w:val="16"/>
        </w:rPr>
        <w:t xml:space="preserve">   The recruitment followed standard departmental policies and conditions for the procurement of such services.</w:t>
      </w:r>
    </w:p>
    <w:p w14:paraId="36891305" w14:textId="77777777" w:rsidR="00BC5219" w:rsidRPr="008A2B8F" w:rsidRDefault="00BC5219" w:rsidP="00BC5219">
      <w:pPr>
        <w:spacing w:line="259" w:lineRule="auto"/>
        <w:rPr>
          <w:rFonts w:ascii="Meta Pro" w:eastAsia="Times New Roman" w:hAnsi="Meta Pro"/>
          <w:b/>
          <w:bCs/>
          <w:szCs w:val="18"/>
          <w:lang w:eastAsia="en-AU"/>
        </w:rPr>
      </w:pPr>
    </w:p>
    <w:p w14:paraId="43AB6F32" w14:textId="77777777" w:rsidR="00BC5219" w:rsidRPr="008A2B8F" w:rsidRDefault="00BC5219" w:rsidP="00BC5219">
      <w:pPr>
        <w:spacing w:line="259" w:lineRule="auto"/>
        <w:rPr>
          <w:rFonts w:ascii="Meta Pro" w:eastAsia="Times New Roman" w:hAnsi="Meta Pro"/>
          <w:b/>
          <w:bCs/>
          <w:szCs w:val="18"/>
          <w:lang w:eastAsia="en-AU"/>
        </w:rPr>
      </w:pPr>
      <w:r w:rsidRPr="008A2B8F">
        <w:rPr>
          <w:rFonts w:ascii="Meta Pro" w:eastAsia="Times New Roman" w:hAnsi="Meta Pro"/>
          <w:b/>
          <w:bCs/>
          <w:szCs w:val="18"/>
          <w:lang w:eastAsia="en-AU"/>
        </w:rPr>
        <w:t>Performance payments</w:t>
      </w:r>
    </w:p>
    <w:p w14:paraId="22D5BCD7" w14:textId="77777777" w:rsidR="00BC5219" w:rsidRPr="008A2B8F" w:rsidRDefault="00BC5219" w:rsidP="00BC5219">
      <w:pPr>
        <w:rPr>
          <w:rFonts w:ascii="Meta Pro" w:eastAsia="Times New Roman" w:hAnsi="Meta Pro"/>
          <w:szCs w:val="18"/>
          <w:lang w:eastAsia="en-AU"/>
        </w:rPr>
      </w:pPr>
      <w:r w:rsidRPr="008A2B8F">
        <w:rPr>
          <w:rFonts w:ascii="Meta Pro" w:eastAsia="Times New Roman" w:hAnsi="Meta Pro"/>
          <w:szCs w:val="18"/>
          <w:lang w:eastAsia="en-AU"/>
        </w:rPr>
        <w:t>None of the non-Ministerial key management personnel remuneration packages provide for performance or bonus payments.</w:t>
      </w:r>
    </w:p>
    <w:p w14:paraId="7CBA3841" w14:textId="77777777" w:rsidR="00BC5219" w:rsidRPr="008A2B8F" w:rsidRDefault="00BC5219" w:rsidP="00BC5219">
      <w:pPr>
        <w:rPr>
          <w:rFonts w:ascii="Meta Pro" w:eastAsia="Times New Roman" w:hAnsi="Meta Pro"/>
          <w:szCs w:val="18"/>
          <w:lang w:eastAsia="en-AU"/>
        </w:rPr>
      </w:pPr>
    </w:p>
    <w:p w14:paraId="0F0CFFA4" w14:textId="77777777" w:rsidR="00BC5219" w:rsidRPr="008A2B8F" w:rsidRDefault="00BC5219" w:rsidP="00BC5219">
      <w:pPr>
        <w:rPr>
          <w:rFonts w:ascii="Meta Pro" w:eastAsia="Times New Roman" w:hAnsi="Meta Pro"/>
          <w:b/>
          <w:bCs/>
          <w:szCs w:val="18"/>
          <w:lang w:eastAsia="en-AU"/>
        </w:rPr>
      </w:pPr>
      <w:r w:rsidRPr="008A2B8F">
        <w:rPr>
          <w:rFonts w:ascii="Meta Pro" w:eastAsia="Times New Roman" w:hAnsi="Meta Pro"/>
          <w:b/>
          <w:bCs/>
          <w:szCs w:val="18"/>
          <w:lang w:eastAsia="en-AU"/>
        </w:rPr>
        <w:t>Transactions with related parties of key management personnel</w:t>
      </w:r>
    </w:p>
    <w:p w14:paraId="00B7EAF5" w14:textId="77777777" w:rsidR="00BC5219" w:rsidRPr="008A2B8F" w:rsidRDefault="00BC5219" w:rsidP="00BC5219">
      <w:pPr>
        <w:rPr>
          <w:rFonts w:ascii="Meta Pro" w:hAnsi="Meta Pro" w:cstheme="minorBidi"/>
        </w:rPr>
      </w:pPr>
      <w:r w:rsidRPr="008A2B8F">
        <w:rPr>
          <w:rFonts w:ascii="Meta Pro" w:eastAsia="Times New Roman" w:hAnsi="Meta Pro"/>
          <w:szCs w:val="18"/>
          <w:lang w:eastAsia="en-AU"/>
        </w:rPr>
        <w:t>There are no material related party transactions for non-Ministerial key management personnel during the period, other than domestic transactions that form part of the usual course of business, which are not required to be reported as related party disclosures.</w:t>
      </w:r>
    </w:p>
    <w:p w14:paraId="2ABD6B35" w14:textId="77777777" w:rsidR="00BC5219" w:rsidRPr="008A2B8F" w:rsidRDefault="00BC5219" w:rsidP="00BC5219">
      <w:pPr>
        <w:spacing w:line="259" w:lineRule="auto"/>
        <w:rPr>
          <w:rFonts w:ascii="Meta Pro" w:hAnsi="Meta Pro"/>
          <w:sz w:val="16"/>
          <w:szCs w:val="16"/>
        </w:rPr>
        <w:sectPr w:rsidR="00BC5219" w:rsidRPr="008A2B8F" w:rsidSect="008F192F">
          <w:headerReference w:type="default" r:id="rId97"/>
          <w:footerReference w:type="default" r:id="rId98"/>
          <w:type w:val="continuous"/>
          <w:pgSz w:w="11906" w:h="16838"/>
          <w:pgMar w:top="1701" w:right="851" w:bottom="1134" w:left="851" w:header="454" w:footer="284" w:gutter="0"/>
          <w:pgNumType w:start="11"/>
          <w:cols w:space="708"/>
          <w:docGrid w:linePitch="360"/>
        </w:sectPr>
      </w:pPr>
    </w:p>
    <w:p w14:paraId="3FC69E8E"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r w:rsidRPr="008A2B8F">
        <w:rPr>
          <w:rFonts w:ascii="Meta Pro" w:eastAsia="Times New Roman" w:hAnsi="Meta Pro"/>
          <w:i/>
          <w:iCs/>
          <w:color w:val="000000" w:themeColor="text1"/>
          <w:lang w:eastAsia="en-AU"/>
        </w:rPr>
        <w:lastRenderedPageBreak/>
        <w:t>Department of Transport and Main Roads</w:t>
      </w:r>
    </w:p>
    <w:p w14:paraId="41BD8BCF"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Notes to the financial statements 2022–23 (continued)</w:t>
      </w:r>
    </w:p>
    <w:bookmarkEnd w:id="46"/>
    <w:p w14:paraId="1FA95AAB" w14:textId="77777777" w:rsidR="00BC5219" w:rsidRPr="00BA1D33" w:rsidRDefault="00BC5219" w:rsidP="00BC5219">
      <w:pPr>
        <w:spacing w:line="259" w:lineRule="auto"/>
        <w:rPr>
          <w:rFonts w:ascii="Meta Pro" w:hAnsi="Meta Pro" w:cstheme="minorBidi"/>
        </w:rPr>
      </w:pPr>
    </w:p>
    <w:tbl>
      <w:tblPr>
        <w:tblW w:w="0" w:type="auto"/>
        <w:tblCellMar>
          <w:left w:w="0" w:type="dxa"/>
        </w:tblCellMar>
        <w:tblLook w:val="04A0" w:firstRow="1" w:lastRow="0" w:firstColumn="1" w:lastColumn="0" w:noHBand="0" w:noVBand="1"/>
      </w:tblPr>
      <w:tblGrid>
        <w:gridCol w:w="7125"/>
        <w:gridCol w:w="1161"/>
        <w:gridCol w:w="223"/>
        <w:gridCol w:w="1161"/>
      </w:tblGrid>
      <w:tr w:rsidR="00BC5219" w:rsidRPr="00BA1D33" w14:paraId="49099979" w14:textId="77777777" w:rsidTr="00E83802">
        <w:trPr>
          <w:trHeight w:val="240"/>
        </w:trPr>
        <w:tc>
          <w:tcPr>
            <w:tcW w:w="7117" w:type="dxa"/>
            <w:tcBorders>
              <w:top w:val="nil"/>
              <w:left w:val="nil"/>
              <w:bottom w:val="nil"/>
              <w:right w:val="nil"/>
            </w:tcBorders>
            <w:shd w:val="clear" w:color="auto" w:fill="auto"/>
            <w:noWrap/>
            <w:vAlign w:val="center"/>
            <w:hideMark/>
          </w:tcPr>
          <w:p w14:paraId="3F081D20" w14:textId="77777777" w:rsidR="00BC5219" w:rsidRPr="00BA1D33" w:rsidRDefault="00BC5219" w:rsidP="00E83802">
            <w:pPr>
              <w:rPr>
                <w:rFonts w:ascii="Meta Pro" w:eastAsia="Times New Roman" w:hAnsi="Meta Pro" w:cs="Times New Roman"/>
                <w:sz w:val="24"/>
                <w:szCs w:val="24"/>
                <w:lang w:eastAsia="en-AU"/>
              </w:rPr>
            </w:pPr>
          </w:p>
        </w:tc>
        <w:tc>
          <w:tcPr>
            <w:tcW w:w="1153" w:type="dxa"/>
            <w:tcBorders>
              <w:top w:val="nil"/>
              <w:left w:val="nil"/>
              <w:bottom w:val="nil"/>
              <w:right w:val="nil"/>
            </w:tcBorders>
            <w:shd w:val="clear" w:color="auto" w:fill="auto"/>
            <w:noWrap/>
            <w:vAlign w:val="center"/>
            <w:hideMark/>
          </w:tcPr>
          <w:p w14:paraId="355227A6" w14:textId="77777777" w:rsidR="00BC5219" w:rsidRPr="00BA1D33" w:rsidRDefault="00BC5219" w:rsidP="00E83802">
            <w:pPr>
              <w:jc w:val="center"/>
              <w:rPr>
                <w:rFonts w:ascii="Meta Pro" w:eastAsia="Times New Roman" w:hAnsi="Meta Pro"/>
                <w:b/>
                <w:bCs/>
                <w:color w:val="000000"/>
                <w:lang w:eastAsia="en-AU"/>
              </w:rPr>
            </w:pPr>
            <w:r w:rsidRPr="00BA1D33">
              <w:rPr>
                <w:rFonts w:ascii="Meta Pro" w:eastAsia="Times New Roman" w:hAnsi="Meta Pro"/>
                <w:b/>
                <w:bCs/>
                <w:color w:val="000000"/>
                <w:lang w:eastAsia="en-AU"/>
              </w:rPr>
              <w:t>2023</w:t>
            </w:r>
          </w:p>
        </w:tc>
        <w:tc>
          <w:tcPr>
            <w:tcW w:w="215" w:type="dxa"/>
            <w:tcBorders>
              <w:top w:val="nil"/>
              <w:left w:val="nil"/>
              <w:bottom w:val="nil"/>
              <w:right w:val="nil"/>
            </w:tcBorders>
            <w:shd w:val="clear" w:color="auto" w:fill="auto"/>
            <w:noWrap/>
            <w:vAlign w:val="center"/>
            <w:hideMark/>
          </w:tcPr>
          <w:p w14:paraId="2BC7C8AC" w14:textId="77777777" w:rsidR="00BC5219" w:rsidRPr="00BA1D33" w:rsidRDefault="00BC5219" w:rsidP="00E83802">
            <w:pPr>
              <w:jc w:val="center"/>
              <w:rPr>
                <w:rFonts w:ascii="Meta Pro" w:eastAsia="Times New Roman" w:hAnsi="Meta Pro"/>
                <w:b/>
                <w:bCs/>
                <w:color w:val="000000"/>
                <w:lang w:eastAsia="en-AU"/>
              </w:rPr>
            </w:pPr>
          </w:p>
        </w:tc>
        <w:tc>
          <w:tcPr>
            <w:tcW w:w="1153" w:type="dxa"/>
            <w:tcBorders>
              <w:top w:val="nil"/>
              <w:left w:val="nil"/>
              <w:bottom w:val="nil"/>
              <w:right w:val="nil"/>
            </w:tcBorders>
            <w:shd w:val="clear" w:color="auto" w:fill="auto"/>
            <w:noWrap/>
            <w:vAlign w:val="center"/>
            <w:hideMark/>
          </w:tcPr>
          <w:p w14:paraId="2A6A3F42" w14:textId="77777777" w:rsidR="00BC5219" w:rsidRPr="00BA1D33" w:rsidRDefault="00BC5219" w:rsidP="00E83802">
            <w:pPr>
              <w:jc w:val="center"/>
              <w:rPr>
                <w:rFonts w:ascii="Meta Pro" w:eastAsia="Times New Roman" w:hAnsi="Meta Pro"/>
                <w:b/>
                <w:bCs/>
                <w:lang w:eastAsia="en-AU"/>
              </w:rPr>
            </w:pPr>
            <w:r w:rsidRPr="00BA1D33">
              <w:rPr>
                <w:rFonts w:ascii="Meta Pro" w:eastAsia="Times New Roman" w:hAnsi="Meta Pro"/>
                <w:b/>
                <w:bCs/>
                <w:lang w:eastAsia="en-AU"/>
              </w:rPr>
              <w:t>2022</w:t>
            </w:r>
          </w:p>
        </w:tc>
      </w:tr>
      <w:tr w:rsidR="00BC5219" w:rsidRPr="00BA1D33" w14:paraId="3547B5AA" w14:textId="77777777" w:rsidTr="00E83802">
        <w:trPr>
          <w:trHeight w:val="240"/>
        </w:trPr>
        <w:tc>
          <w:tcPr>
            <w:tcW w:w="7117" w:type="dxa"/>
            <w:tcBorders>
              <w:top w:val="nil"/>
              <w:left w:val="nil"/>
              <w:bottom w:val="nil"/>
              <w:right w:val="nil"/>
            </w:tcBorders>
            <w:shd w:val="clear" w:color="auto" w:fill="auto"/>
            <w:noWrap/>
            <w:vAlign w:val="center"/>
            <w:hideMark/>
          </w:tcPr>
          <w:p w14:paraId="10519046" w14:textId="77777777" w:rsidR="00BC5219" w:rsidRPr="00BA1D33" w:rsidRDefault="00BC5219" w:rsidP="00E83802">
            <w:pPr>
              <w:jc w:val="center"/>
              <w:rPr>
                <w:rFonts w:ascii="Meta Pro" w:eastAsia="Times New Roman" w:hAnsi="Meta Pro"/>
                <w:b/>
                <w:bCs/>
                <w:lang w:eastAsia="en-AU"/>
              </w:rPr>
            </w:pPr>
          </w:p>
        </w:tc>
        <w:tc>
          <w:tcPr>
            <w:tcW w:w="1153" w:type="dxa"/>
            <w:tcBorders>
              <w:top w:val="nil"/>
              <w:left w:val="nil"/>
              <w:bottom w:val="nil"/>
              <w:right w:val="nil"/>
            </w:tcBorders>
            <w:shd w:val="clear" w:color="auto" w:fill="auto"/>
            <w:noWrap/>
            <w:vAlign w:val="center"/>
            <w:hideMark/>
          </w:tcPr>
          <w:p w14:paraId="241894B0" w14:textId="77777777" w:rsidR="00BC5219" w:rsidRPr="00BA1D33" w:rsidRDefault="00BC5219" w:rsidP="00E83802">
            <w:pPr>
              <w:jc w:val="center"/>
              <w:rPr>
                <w:rFonts w:ascii="Meta Pro" w:eastAsia="Times New Roman" w:hAnsi="Meta Pro"/>
                <w:b/>
                <w:bCs/>
                <w:lang w:eastAsia="en-AU"/>
              </w:rPr>
            </w:pPr>
            <w:r w:rsidRPr="00BA1D33">
              <w:rPr>
                <w:rFonts w:ascii="Meta Pro" w:eastAsia="Times New Roman" w:hAnsi="Meta Pro"/>
                <w:b/>
                <w:bCs/>
                <w:lang w:eastAsia="en-AU"/>
              </w:rPr>
              <w:t>$'000</w:t>
            </w:r>
          </w:p>
        </w:tc>
        <w:tc>
          <w:tcPr>
            <w:tcW w:w="215" w:type="dxa"/>
            <w:tcBorders>
              <w:top w:val="nil"/>
              <w:left w:val="nil"/>
              <w:bottom w:val="nil"/>
              <w:right w:val="nil"/>
            </w:tcBorders>
            <w:shd w:val="clear" w:color="auto" w:fill="auto"/>
            <w:noWrap/>
            <w:vAlign w:val="center"/>
            <w:hideMark/>
          </w:tcPr>
          <w:p w14:paraId="5E0CF3CF" w14:textId="77777777" w:rsidR="00BC5219" w:rsidRPr="00BA1D33" w:rsidRDefault="00BC5219" w:rsidP="00E83802">
            <w:pPr>
              <w:jc w:val="center"/>
              <w:rPr>
                <w:rFonts w:ascii="Meta Pro" w:eastAsia="Times New Roman" w:hAnsi="Meta Pro"/>
                <w:b/>
                <w:bCs/>
                <w:lang w:eastAsia="en-AU"/>
              </w:rPr>
            </w:pPr>
          </w:p>
        </w:tc>
        <w:tc>
          <w:tcPr>
            <w:tcW w:w="1153" w:type="dxa"/>
            <w:tcBorders>
              <w:top w:val="nil"/>
              <w:left w:val="nil"/>
              <w:bottom w:val="nil"/>
              <w:right w:val="nil"/>
            </w:tcBorders>
            <w:shd w:val="clear" w:color="auto" w:fill="auto"/>
            <w:noWrap/>
            <w:vAlign w:val="center"/>
            <w:hideMark/>
          </w:tcPr>
          <w:p w14:paraId="31F23E2B" w14:textId="77777777" w:rsidR="00BC5219" w:rsidRPr="00BA1D33" w:rsidRDefault="00BC5219" w:rsidP="00E83802">
            <w:pPr>
              <w:jc w:val="center"/>
              <w:rPr>
                <w:rFonts w:ascii="Meta Pro" w:eastAsia="Times New Roman" w:hAnsi="Meta Pro"/>
                <w:b/>
                <w:bCs/>
                <w:lang w:eastAsia="en-AU"/>
              </w:rPr>
            </w:pPr>
            <w:r w:rsidRPr="00BA1D33">
              <w:rPr>
                <w:rFonts w:ascii="Meta Pro" w:eastAsia="Times New Roman" w:hAnsi="Meta Pro"/>
                <w:b/>
                <w:bCs/>
                <w:lang w:eastAsia="en-AU"/>
              </w:rPr>
              <w:t>$'000</w:t>
            </w:r>
          </w:p>
        </w:tc>
      </w:tr>
      <w:tr w:rsidR="00BC5219" w:rsidRPr="00BA1D33" w14:paraId="56AF70D4" w14:textId="77777777" w:rsidTr="00E83802">
        <w:trPr>
          <w:trHeight w:val="240"/>
        </w:trPr>
        <w:tc>
          <w:tcPr>
            <w:tcW w:w="7117" w:type="dxa"/>
            <w:tcBorders>
              <w:top w:val="nil"/>
              <w:left w:val="nil"/>
              <w:bottom w:val="nil"/>
              <w:right w:val="nil"/>
            </w:tcBorders>
            <w:shd w:val="clear" w:color="auto" w:fill="auto"/>
            <w:noWrap/>
            <w:vAlign w:val="center"/>
            <w:hideMark/>
          </w:tcPr>
          <w:p w14:paraId="1B10FD86" w14:textId="77777777" w:rsidR="00BC5219" w:rsidRPr="00BA1D33" w:rsidRDefault="00BC5219" w:rsidP="00E83802">
            <w:pPr>
              <w:rPr>
                <w:rFonts w:ascii="Meta Pro" w:eastAsia="Times New Roman" w:hAnsi="Meta Pro"/>
                <w:b/>
                <w:bCs/>
                <w:lang w:eastAsia="en-AU"/>
              </w:rPr>
            </w:pPr>
            <w:r w:rsidRPr="00BA1D33">
              <w:rPr>
                <w:rFonts w:ascii="Meta Pro" w:eastAsia="Times New Roman" w:hAnsi="Meta Pro"/>
                <w:b/>
                <w:bCs/>
                <w:lang w:eastAsia="en-AU"/>
              </w:rPr>
              <w:t>7     SUPPLIES AND SERVICES</w:t>
            </w:r>
          </w:p>
        </w:tc>
        <w:tc>
          <w:tcPr>
            <w:tcW w:w="1153" w:type="dxa"/>
            <w:tcBorders>
              <w:top w:val="nil"/>
              <w:left w:val="nil"/>
              <w:bottom w:val="nil"/>
              <w:right w:val="nil"/>
            </w:tcBorders>
            <w:shd w:val="clear" w:color="auto" w:fill="auto"/>
            <w:noWrap/>
            <w:vAlign w:val="center"/>
            <w:hideMark/>
          </w:tcPr>
          <w:p w14:paraId="75DAAB15" w14:textId="77777777" w:rsidR="00BC5219" w:rsidRPr="00BA1D33" w:rsidRDefault="00BC5219" w:rsidP="00E83802">
            <w:pPr>
              <w:rPr>
                <w:rFonts w:ascii="Meta Pro" w:eastAsia="Times New Roman" w:hAnsi="Meta Pro"/>
                <w:b/>
                <w:bCs/>
                <w:lang w:eastAsia="en-AU"/>
              </w:rPr>
            </w:pPr>
          </w:p>
        </w:tc>
        <w:tc>
          <w:tcPr>
            <w:tcW w:w="215" w:type="dxa"/>
            <w:tcBorders>
              <w:top w:val="nil"/>
              <w:left w:val="nil"/>
              <w:bottom w:val="nil"/>
              <w:right w:val="nil"/>
            </w:tcBorders>
            <w:shd w:val="clear" w:color="auto" w:fill="auto"/>
            <w:noWrap/>
            <w:vAlign w:val="center"/>
            <w:hideMark/>
          </w:tcPr>
          <w:p w14:paraId="60E247AD" w14:textId="77777777" w:rsidR="00BC5219" w:rsidRPr="00BA1D33" w:rsidRDefault="00BC5219" w:rsidP="00E83802">
            <w:pPr>
              <w:rPr>
                <w:rFonts w:ascii="Meta Pro" w:eastAsia="Times New Roman" w:hAnsi="Meta Pro" w:cs="Times New Roman"/>
                <w:sz w:val="20"/>
                <w:szCs w:val="20"/>
                <w:lang w:eastAsia="en-AU"/>
              </w:rPr>
            </w:pPr>
          </w:p>
        </w:tc>
        <w:tc>
          <w:tcPr>
            <w:tcW w:w="1153" w:type="dxa"/>
            <w:tcBorders>
              <w:top w:val="nil"/>
              <w:left w:val="nil"/>
              <w:bottom w:val="nil"/>
              <w:right w:val="nil"/>
            </w:tcBorders>
            <w:shd w:val="clear" w:color="auto" w:fill="auto"/>
            <w:noWrap/>
            <w:vAlign w:val="center"/>
            <w:hideMark/>
          </w:tcPr>
          <w:p w14:paraId="63E4AC36" w14:textId="77777777" w:rsidR="00BC5219" w:rsidRPr="00BA1D33" w:rsidRDefault="00BC5219" w:rsidP="00E83802">
            <w:pPr>
              <w:rPr>
                <w:rFonts w:ascii="Meta Pro" w:eastAsia="Times New Roman" w:hAnsi="Meta Pro" w:cs="Times New Roman"/>
                <w:sz w:val="20"/>
                <w:szCs w:val="20"/>
                <w:lang w:eastAsia="en-AU"/>
              </w:rPr>
            </w:pPr>
          </w:p>
        </w:tc>
      </w:tr>
      <w:tr w:rsidR="00BC5219" w:rsidRPr="00BA1D33" w14:paraId="46A5F91C" w14:textId="77777777" w:rsidTr="00E83802">
        <w:trPr>
          <w:trHeight w:val="90"/>
        </w:trPr>
        <w:tc>
          <w:tcPr>
            <w:tcW w:w="7117" w:type="dxa"/>
            <w:tcBorders>
              <w:top w:val="nil"/>
              <w:left w:val="nil"/>
              <w:bottom w:val="nil"/>
              <w:right w:val="nil"/>
            </w:tcBorders>
            <w:shd w:val="clear" w:color="auto" w:fill="auto"/>
            <w:noWrap/>
            <w:vAlign w:val="center"/>
            <w:hideMark/>
          </w:tcPr>
          <w:p w14:paraId="23884D5C" w14:textId="77777777" w:rsidR="00BC5219" w:rsidRPr="00BA1D33" w:rsidRDefault="00BC5219" w:rsidP="00E83802">
            <w:pPr>
              <w:rPr>
                <w:rFonts w:ascii="Meta Pro" w:eastAsia="Times New Roman" w:hAnsi="Meta Pro" w:cs="Times New Roman"/>
                <w:sz w:val="20"/>
                <w:szCs w:val="20"/>
                <w:lang w:eastAsia="en-AU"/>
              </w:rPr>
            </w:pPr>
          </w:p>
        </w:tc>
        <w:tc>
          <w:tcPr>
            <w:tcW w:w="1153" w:type="dxa"/>
            <w:tcBorders>
              <w:top w:val="nil"/>
              <w:left w:val="nil"/>
              <w:bottom w:val="nil"/>
              <w:right w:val="nil"/>
            </w:tcBorders>
            <w:shd w:val="clear" w:color="auto" w:fill="auto"/>
            <w:noWrap/>
            <w:vAlign w:val="center"/>
            <w:hideMark/>
          </w:tcPr>
          <w:p w14:paraId="3F0C7BD1" w14:textId="77777777" w:rsidR="00BC5219" w:rsidRPr="00BA1D33" w:rsidRDefault="00BC5219" w:rsidP="00E83802">
            <w:pPr>
              <w:rPr>
                <w:rFonts w:ascii="Meta Pro" w:eastAsia="Times New Roman" w:hAnsi="Meta Pro"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5CF6E002" w14:textId="77777777" w:rsidR="00BC5219" w:rsidRPr="00BA1D33" w:rsidRDefault="00BC5219" w:rsidP="00E83802">
            <w:pPr>
              <w:rPr>
                <w:rFonts w:ascii="Meta Pro" w:eastAsia="Times New Roman" w:hAnsi="Meta Pro" w:cs="Times New Roman"/>
                <w:sz w:val="20"/>
                <w:szCs w:val="20"/>
                <w:lang w:eastAsia="en-AU"/>
              </w:rPr>
            </w:pPr>
          </w:p>
        </w:tc>
        <w:tc>
          <w:tcPr>
            <w:tcW w:w="1153" w:type="dxa"/>
            <w:tcBorders>
              <w:top w:val="nil"/>
              <w:left w:val="nil"/>
              <w:bottom w:val="nil"/>
              <w:right w:val="nil"/>
            </w:tcBorders>
            <w:shd w:val="clear" w:color="auto" w:fill="auto"/>
            <w:noWrap/>
            <w:vAlign w:val="center"/>
            <w:hideMark/>
          </w:tcPr>
          <w:p w14:paraId="05FC99D3" w14:textId="77777777" w:rsidR="00BC5219" w:rsidRPr="00BA1D33" w:rsidRDefault="00BC5219" w:rsidP="00E83802">
            <w:pPr>
              <w:rPr>
                <w:rFonts w:ascii="Meta Pro" w:eastAsia="Times New Roman" w:hAnsi="Meta Pro" w:cs="Times New Roman"/>
                <w:sz w:val="20"/>
                <w:szCs w:val="20"/>
                <w:lang w:eastAsia="en-AU"/>
              </w:rPr>
            </w:pPr>
          </w:p>
        </w:tc>
      </w:tr>
      <w:tr w:rsidR="00BC5219" w:rsidRPr="00BA1D33" w14:paraId="73FBE42C" w14:textId="77777777" w:rsidTr="00E83802">
        <w:trPr>
          <w:trHeight w:val="240"/>
        </w:trPr>
        <w:tc>
          <w:tcPr>
            <w:tcW w:w="7117" w:type="dxa"/>
            <w:tcBorders>
              <w:top w:val="nil"/>
              <w:left w:val="nil"/>
              <w:bottom w:val="nil"/>
              <w:right w:val="nil"/>
            </w:tcBorders>
            <w:shd w:val="clear" w:color="auto" w:fill="auto"/>
            <w:noWrap/>
            <w:vAlign w:val="center"/>
            <w:hideMark/>
          </w:tcPr>
          <w:p w14:paraId="68528F9F" w14:textId="77777777" w:rsidR="00BC5219" w:rsidRPr="00BA1D33" w:rsidRDefault="00BC5219" w:rsidP="00E83802">
            <w:pPr>
              <w:rPr>
                <w:rFonts w:ascii="Meta Pro" w:eastAsia="Times New Roman" w:hAnsi="Meta Pro"/>
                <w:szCs w:val="18"/>
                <w:lang w:eastAsia="en-AU"/>
              </w:rPr>
            </w:pPr>
            <w:r w:rsidRPr="00BA1D33">
              <w:rPr>
                <w:rFonts w:ascii="Meta Pro" w:eastAsia="Times New Roman" w:hAnsi="Meta Pro"/>
                <w:szCs w:val="18"/>
                <w:lang w:eastAsia="en-AU"/>
              </w:rPr>
              <w:t>Administration</w:t>
            </w:r>
          </w:p>
        </w:tc>
        <w:tc>
          <w:tcPr>
            <w:tcW w:w="1153" w:type="dxa"/>
            <w:tcBorders>
              <w:top w:val="nil"/>
              <w:left w:val="nil"/>
              <w:bottom w:val="nil"/>
              <w:right w:val="nil"/>
            </w:tcBorders>
            <w:shd w:val="clear" w:color="000000" w:fill="C9E3B4"/>
            <w:noWrap/>
            <w:vAlign w:val="center"/>
            <w:hideMark/>
          </w:tcPr>
          <w:p w14:paraId="425CA88B"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69,317 </w:t>
            </w:r>
          </w:p>
        </w:tc>
        <w:tc>
          <w:tcPr>
            <w:tcW w:w="215" w:type="dxa"/>
            <w:tcBorders>
              <w:top w:val="nil"/>
              <w:left w:val="nil"/>
              <w:bottom w:val="nil"/>
              <w:right w:val="nil"/>
            </w:tcBorders>
            <w:shd w:val="clear" w:color="auto" w:fill="auto"/>
            <w:noWrap/>
            <w:vAlign w:val="center"/>
            <w:hideMark/>
          </w:tcPr>
          <w:p w14:paraId="77BAB7E8" w14:textId="77777777" w:rsidR="00BC5219" w:rsidRPr="00BA1D33" w:rsidRDefault="00BC5219" w:rsidP="00E83802">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512E3033"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65,749 </w:t>
            </w:r>
          </w:p>
        </w:tc>
      </w:tr>
      <w:tr w:rsidR="00BC5219" w:rsidRPr="00BA1D33" w14:paraId="32D37EE6" w14:textId="77777777" w:rsidTr="00E83802">
        <w:trPr>
          <w:trHeight w:val="240"/>
        </w:trPr>
        <w:tc>
          <w:tcPr>
            <w:tcW w:w="7117" w:type="dxa"/>
            <w:tcBorders>
              <w:top w:val="nil"/>
              <w:left w:val="nil"/>
              <w:bottom w:val="nil"/>
              <w:right w:val="nil"/>
            </w:tcBorders>
            <w:shd w:val="clear" w:color="auto" w:fill="auto"/>
            <w:noWrap/>
            <w:vAlign w:val="center"/>
            <w:hideMark/>
          </w:tcPr>
          <w:p w14:paraId="216D6F69" w14:textId="77777777" w:rsidR="00BC5219" w:rsidRPr="00BA1D33" w:rsidRDefault="00BC5219" w:rsidP="00E83802">
            <w:pPr>
              <w:rPr>
                <w:rFonts w:ascii="Meta Pro" w:eastAsia="Times New Roman" w:hAnsi="Meta Pro"/>
                <w:szCs w:val="18"/>
                <w:lang w:eastAsia="en-AU"/>
              </w:rPr>
            </w:pPr>
            <w:r w:rsidRPr="00BA1D33">
              <w:rPr>
                <w:rFonts w:ascii="Meta Pro" w:eastAsia="Times New Roman" w:hAnsi="Meta Pro"/>
                <w:szCs w:val="18"/>
                <w:lang w:eastAsia="en-AU"/>
              </w:rPr>
              <w:t>Contractors – including service contracts:</w:t>
            </w:r>
          </w:p>
        </w:tc>
        <w:tc>
          <w:tcPr>
            <w:tcW w:w="1153" w:type="dxa"/>
            <w:tcBorders>
              <w:top w:val="nil"/>
              <w:left w:val="nil"/>
              <w:bottom w:val="nil"/>
              <w:right w:val="nil"/>
            </w:tcBorders>
            <w:shd w:val="clear" w:color="000000" w:fill="C9E3B4"/>
            <w:noWrap/>
            <w:vAlign w:val="center"/>
            <w:hideMark/>
          </w:tcPr>
          <w:p w14:paraId="7E57D9B2" w14:textId="77777777" w:rsidR="00BC5219" w:rsidRPr="00BA1D33" w:rsidRDefault="00BC5219" w:rsidP="00E83802">
            <w:pPr>
              <w:rPr>
                <w:rFonts w:ascii="Meta Pro" w:eastAsia="Times New Roman" w:hAnsi="Meta Pro"/>
                <w:szCs w:val="18"/>
                <w:lang w:eastAsia="en-AU"/>
              </w:rPr>
            </w:pPr>
            <w:r w:rsidRPr="00BA1D33">
              <w:rPr>
                <w:rFonts w:ascii="Meta Pro" w:eastAsia="Times New Roman" w:hAnsi="Meta Pro"/>
                <w:szCs w:val="18"/>
                <w:lang w:eastAsia="en-AU"/>
              </w:rPr>
              <w:t> </w:t>
            </w:r>
          </w:p>
        </w:tc>
        <w:tc>
          <w:tcPr>
            <w:tcW w:w="215" w:type="dxa"/>
            <w:tcBorders>
              <w:top w:val="nil"/>
              <w:left w:val="nil"/>
              <w:bottom w:val="nil"/>
              <w:right w:val="nil"/>
            </w:tcBorders>
            <w:shd w:val="clear" w:color="auto" w:fill="auto"/>
            <w:noWrap/>
            <w:vAlign w:val="center"/>
            <w:hideMark/>
          </w:tcPr>
          <w:p w14:paraId="0B47779B" w14:textId="77777777" w:rsidR="00BC5219" w:rsidRPr="00BA1D33" w:rsidRDefault="00BC5219" w:rsidP="00E83802">
            <w:pPr>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4FC42530" w14:textId="77777777" w:rsidR="00BC5219" w:rsidRPr="00BA1D33" w:rsidRDefault="00BC5219" w:rsidP="00E83802">
            <w:pPr>
              <w:rPr>
                <w:rFonts w:ascii="Meta Pro" w:eastAsia="Times New Roman" w:hAnsi="Meta Pro" w:cs="Times New Roman"/>
                <w:sz w:val="20"/>
                <w:szCs w:val="20"/>
                <w:lang w:eastAsia="en-AU"/>
              </w:rPr>
            </w:pPr>
          </w:p>
        </w:tc>
      </w:tr>
      <w:tr w:rsidR="00BC5219" w:rsidRPr="00BA1D33" w14:paraId="1FA74C76" w14:textId="77777777" w:rsidTr="00E83802">
        <w:trPr>
          <w:trHeight w:val="240"/>
        </w:trPr>
        <w:tc>
          <w:tcPr>
            <w:tcW w:w="7117" w:type="dxa"/>
            <w:tcBorders>
              <w:top w:val="nil"/>
              <w:left w:val="nil"/>
              <w:bottom w:val="nil"/>
              <w:right w:val="nil"/>
            </w:tcBorders>
            <w:shd w:val="clear" w:color="auto" w:fill="auto"/>
            <w:noWrap/>
            <w:vAlign w:val="center"/>
            <w:hideMark/>
          </w:tcPr>
          <w:p w14:paraId="76B81CEF" w14:textId="77777777" w:rsidR="00BC5219" w:rsidRPr="00BA1D33" w:rsidRDefault="00BC5219" w:rsidP="00E83802">
            <w:pPr>
              <w:rPr>
                <w:rFonts w:ascii="Meta Pro" w:eastAsia="Times New Roman" w:hAnsi="Meta Pro"/>
                <w:szCs w:val="18"/>
                <w:lang w:eastAsia="en-AU"/>
              </w:rPr>
            </w:pPr>
            <w:r w:rsidRPr="00BA1D33">
              <w:rPr>
                <w:rFonts w:ascii="Meta Pro" w:eastAsia="Times New Roman" w:hAnsi="Meta Pro"/>
                <w:szCs w:val="18"/>
                <w:lang w:eastAsia="en-AU"/>
              </w:rPr>
              <w:t xml:space="preserve">     Administrative and professional </w:t>
            </w:r>
          </w:p>
        </w:tc>
        <w:tc>
          <w:tcPr>
            <w:tcW w:w="1153" w:type="dxa"/>
            <w:tcBorders>
              <w:top w:val="nil"/>
              <w:left w:val="nil"/>
              <w:bottom w:val="nil"/>
              <w:right w:val="nil"/>
            </w:tcBorders>
            <w:shd w:val="clear" w:color="000000" w:fill="C9E3B4"/>
            <w:noWrap/>
            <w:vAlign w:val="center"/>
            <w:hideMark/>
          </w:tcPr>
          <w:p w14:paraId="103B05CC"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75,406 </w:t>
            </w:r>
          </w:p>
        </w:tc>
        <w:tc>
          <w:tcPr>
            <w:tcW w:w="215" w:type="dxa"/>
            <w:tcBorders>
              <w:top w:val="nil"/>
              <w:left w:val="nil"/>
              <w:bottom w:val="nil"/>
              <w:right w:val="nil"/>
            </w:tcBorders>
            <w:shd w:val="clear" w:color="auto" w:fill="auto"/>
            <w:noWrap/>
            <w:vAlign w:val="center"/>
            <w:hideMark/>
          </w:tcPr>
          <w:p w14:paraId="435A1815" w14:textId="77777777" w:rsidR="00BC5219" w:rsidRPr="00BA1D33" w:rsidRDefault="00BC5219" w:rsidP="00E83802">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725AC793"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59,956 </w:t>
            </w:r>
          </w:p>
        </w:tc>
      </w:tr>
      <w:tr w:rsidR="00BC5219" w:rsidRPr="00BA1D33" w14:paraId="6226AB8A" w14:textId="77777777" w:rsidTr="00E83802">
        <w:trPr>
          <w:trHeight w:val="240"/>
        </w:trPr>
        <w:tc>
          <w:tcPr>
            <w:tcW w:w="7117" w:type="dxa"/>
            <w:tcBorders>
              <w:top w:val="nil"/>
              <w:left w:val="nil"/>
              <w:bottom w:val="nil"/>
              <w:right w:val="nil"/>
            </w:tcBorders>
            <w:shd w:val="clear" w:color="auto" w:fill="auto"/>
            <w:noWrap/>
            <w:vAlign w:val="center"/>
            <w:hideMark/>
          </w:tcPr>
          <w:p w14:paraId="702D20A8" w14:textId="77777777" w:rsidR="00BC5219" w:rsidRPr="00BA1D33" w:rsidRDefault="00BC5219" w:rsidP="00E83802">
            <w:pPr>
              <w:rPr>
                <w:rFonts w:ascii="Meta Pro" w:eastAsia="Times New Roman" w:hAnsi="Meta Pro"/>
                <w:szCs w:val="18"/>
                <w:lang w:eastAsia="en-AU"/>
              </w:rPr>
            </w:pPr>
            <w:r w:rsidRPr="00BA1D33">
              <w:rPr>
                <w:rFonts w:ascii="Meta Pro" w:eastAsia="Times New Roman" w:hAnsi="Meta Pro"/>
                <w:szCs w:val="18"/>
                <w:lang w:eastAsia="en-AU"/>
              </w:rPr>
              <w:t xml:space="preserve">     Information technology</w:t>
            </w:r>
          </w:p>
        </w:tc>
        <w:tc>
          <w:tcPr>
            <w:tcW w:w="1153" w:type="dxa"/>
            <w:tcBorders>
              <w:top w:val="nil"/>
              <w:left w:val="nil"/>
              <w:bottom w:val="nil"/>
              <w:right w:val="nil"/>
            </w:tcBorders>
            <w:shd w:val="clear" w:color="000000" w:fill="C9E3B4"/>
            <w:noWrap/>
            <w:vAlign w:val="center"/>
            <w:hideMark/>
          </w:tcPr>
          <w:p w14:paraId="0E4ACC6A"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121,929 </w:t>
            </w:r>
          </w:p>
        </w:tc>
        <w:tc>
          <w:tcPr>
            <w:tcW w:w="215" w:type="dxa"/>
            <w:tcBorders>
              <w:top w:val="nil"/>
              <w:left w:val="nil"/>
              <w:bottom w:val="nil"/>
              <w:right w:val="nil"/>
            </w:tcBorders>
            <w:shd w:val="clear" w:color="auto" w:fill="auto"/>
            <w:noWrap/>
            <w:vAlign w:val="center"/>
            <w:hideMark/>
          </w:tcPr>
          <w:p w14:paraId="6690A9E4" w14:textId="77777777" w:rsidR="00BC5219" w:rsidRPr="00BA1D33" w:rsidRDefault="00BC5219" w:rsidP="00E83802">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56D2702F"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78,320 </w:t>
            </w:r>
          </w:p>
        </w:tc>
      </w:tr>
      <w:tr w:rsidR="00BC5219" w:rsidRPr="00BA1D33" w14:paraId="1BD7D3A5" w14:textId="77777777" w:rsidTr="00E83802">
        <w:trPr>
          <w:trHeight w:val="240"/>
        </w:trPr>
        <w:tc>
          <w:tcPr>
            <w:tcW w:w="7117" w:type="dxa"/>
            <w:tcBorders>
              <w:top w:val="nil"/>
              <w:left w:val="nil"/>
              <w:bottom w:val="nil"/>
              <w:right w:val="nil"/>
            </w:tcBorders>
            <w:shd w:val="clear" w:color="auto" w:fill="auto"/>
            <w:noWrap/>
            <w:vAlign w:val="center"/>
            <w:hideMark/>
          </w:tcPr>
          <w:p w14:paraId="008FBFA1" w14:textId="77777777" w:rsidR="00BC5219" w:rsidRPr="00BA1D33" w:rsidRDefault="00BC5219" w:rsidP="00E83802">
            <w:pPr>
              <w:rPr>
                <w:rFonts w:ascii="Meta Pro" w:eastAsia="Times New Roman" w:hAnsi="Meta Pro"/>
                <w:szCs w:val="18"/>
                <w:lang w:eastAsia="en-AU"/>
              </w:rPr>
            </w:pPr>
            <w:r w:rsidRPr="00BA1D33">
              <w:rPr>
                <w:rFonts w:ascii="Meta Pro" w:eastAsia="Times New Roman" w:hAnsi="Meta Pro"/>
                <w:szCs w:val="18"/>
                <w:lang w:eastAsia="en-AU"/>
              </w:rPr>
              <w:t xml:space="preserve">     Queensland Transport and Roads Investment Program (QTRIP)</w:t>
            </w:r>
          </w:p>
        </w:tc>
        <w:tc>
          <w:tcPr>
            <w:tcW w:w="1153" w:type="dxa"/>
            <w:tcBorders>
              <w:top w:val="nil"/>
              <w:left w:val="nil"/>
              <w:bottom w:val="nil"/>
              <w:right w:val="nil"/>
            </w:tcBorders>
            <w:shd w:val="clear" w:color="000000" w:fill="C9E3B4"/>
            <w:noWrap/>
            <w:vAlign w:val="center"/>
            <w:hideMark/>
          </w:tcPr>
          <w:p w14:paraId="25B72595"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500,632 </w:t>
            </w:r>
          </w:p>
        </w:tc>
        <w:tc>
          <w:tcPr>
            <w:tcW w:w="215" w:type="dxa"/>
            <w:tcBorders>
              <w:top w:val="nil"/>
              <w:left w:val="nil"/>
              <w:bottom w:val="nil"/>
              <w:right w:val="nil"/>
            </w:tcBorders>
            <w:shd w:val="clear" w:color="auto" w:fill="auto"/>
            <w:noWrap/>
            <w:vAlign w:val="center"/>
            <w:hideMark/>
          </w:tcPr>
          <w:p w14:paraId="7E299167" w14:textId="77777777" w:rsidR="00BC5219" w:rsidRPr="00BA1D33" w:rsidRDefault="00BC5219" w:rsidP="00E83802">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1BBC24AD"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483,024 </w:t>
            </w:r>
          </w:p>
        </w:tc>
      </w:tr>
      <w:tr w:rsidR="00BC5219" w:rsidRPr="00BA1D33" w14:paraId="66DE18BC" w14:textId="77777777" w:rsidTr="00E83802">
        <w:trPr>
          <w:trHeight w:val="240"/>
        </w:trPr>
        <w:tc>
          <w:tcPr>
            <w:tcW w:w="7117" w:type="dxa"/>
            <w:tcBorders>
              <w:top w:val="nil"/>
              <w:left w:val="nil"/>
              <w:bottom w:val="nil"/>
              <w:right w:val="nil"/>
            </w:tcBorders>
            <w:shd w:val="clear" w:color="auto" w:fill="auto"/>
            <w:noWrap/>
            <w:vAlign w:val="center"/>
            <w:hideMark/>
          </w:tcPr>
          <w:p w14:paraId="41DF2FC4" w14:textId="77777777" w:rsidR="00BC5219" w:rsidRPr="00BA1D33" w:rsidRDefault="00BC5219" w:rsidP="00E83802">
            <w:pPr>
              <w:rPr>
                <w:rFonts w:ascii="Meta Pro" w:eastAsia="Times New Roman" w:hAnsi="Meta Pro"/>
                <w:szCs w:val="18"/>
                <w:lang w:eastAsia="en-AU"/>
              </w:rPr>
            </w:pPr>
            <w:r w:rsidRPr="00BA1D33">
              <w:rPr>
                <w:rFonts w:ascii="Meta Pro" w:eastAsia="Times New Roman" w:hAnsi="Meta Pro"/>
                <w:szCs w:val="18"/>
                <w:lang w:eastAsia="en-AU"/>
              </w:rPr>
              <w:t xml:space="preserve">     Repairs and maintenance</w:t>
            </w:r>
          </w:p>
        </w:tc>
        <w:tc>
          <w:tcPr>
            <w:tcW w:w="1153" w:type="dxa"/>
            <w:tcBorders>
              <w:top w:val="nil"/>
              <w:left w:val="nil"/>
              <w:bottom w:val="nil"/>
              <w:right w:val="nil"/>
            </w:tcBorders>
            <w:shd w:val="clear" w:color="000000" w:fill="C9E3B4"/>
            <w:noWrap/>
            <w:vAlign w:val="center"/>
            <w:hideMark/>
          </w:tcPr>
          <w:p w14:paraId="2A384F57"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78,747 </w:t>
            </w:r>
          </w:p>
        </w:tc>
        <w:tc>
          <w:tcPr>
            <w:tcW w:w="215" w:type="dxa"/>
            <w:tcBorders>
              <w:top w:val="nil"/>
              <w:left w:val="nil"/>
              <w:bottom w:val="nil"/>
              <w:right w:val="nil"/>
            </w:tcBorders>
            <w:shd w:val="clear" w:color="auto" w:fill="auto"/>
            <w:noWrap/>
            <w:vAlign w:val="center"/>
            <w:hideMark/>
          </w:tcPr>
          <w:p w14:paraId="4D488DFA" w14:textId="77777777" w:rsidR="00BC5219" w:rsidRPr="00BA1D33" w:rsidRDefault="00BC5219" w:rsidP="00E83802">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737B93B2"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86,948 </w:t>
            </w:r>
          </w:p>
        </w:tc>
      </w:tr>
      <w:tr w:rsidR="00BC5219" w:rsidRPr="00BA1D33" w14:paraId="4CF33261" w14:textId="77777777" w:rsidTr="00E83802">
        <w:trPr>
          <w:trHeight w:val="240"/>
        </w:trPr>
        <w:tc>
          <w:tcPr>
            <w:tcW w:w="7117" w:type="dxa"/>
            <w:tcBorders>
              <w:top w:val="nil"/>
              <w:left w:val="nil"/>
              <w:bottom w:val="nil"/>
              <w:right w:val="nil"/>
            </w:tcBorders>
            <w:shd w:val="clear" w:color="auto" w:fill="auto"/>
            <w:noWrap/>
            <w:vAlign w:val="center"/>
            <w:hideMark/>
          </w:tcPr>
          <w:p w14:paraId="7167D4E9" w14:textId="77777777" w:rsidR="00BC5219" w:rsidRPr="00BA1D33" w:rsidRDefault="00BC5219" w:rsidP="00E83802">
            <w:pPr>
              <w:rPr>
                <w:rFonts w:ascii="Meta Pro" w:eastAsia="Times New Roman" w:hAnsi="Meta Pro"/>
                <w:szCs w:val="18"/>
                <w:lang w:eastAsia="en-AU"/>
              </w:rPr>
            </w:pPr>
            <w:r w:rsidRPr="00BA1D33">
              <w:rPr>
                <w:rFonts w:ascii="Meta Pro" w:eastAsia="Times New Roman" w:hAnsi="Meta Pro"/>
                <w:szCs w:val="18"/>
                <w:lang w:eastAsia="en-AU"/>
              </w:rPr>
              <w:t xml:space="preserve">     Transport services – Queensland Rail *</w:t>
            </w:r>
          </w:p>
        </w:tc>
        <w:tc>
          <w:tcPr>
            <w:tcW w:w="1153" w:type="dxa"/>
            <w:tcBorders>
              <w:top w:val="nil"/>
              <w:left w:val="nil"/>
              <w:bottom w:val="nil"/>
              <w:right w:val="nil"/>
            </w:tcBorders>
            <w:shd w:val="clear" w:color="000000" w:fill="C9E3B4"/>
            <w:noWrap/>
            <w:vAlign w:val="center"/>
            <w:hideMark/>
          </w:tcPr>
          <w:p w14:paraId="375FEF13"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2,087,635 </w:t>
            </w:r>
          </w:p>
        </w:tc>
        <w:tc>
          <w:tcPr>
            <w:tcW w:w="215" w:type="dxa"/>
            <w:tcBorders>
              <w:top w:val="nil"/>
              <w:left w:val="nil"/>
              <w:bottom w:val="nil"/>
              <w:right w:val="nil"/>
            </w:tcBorders>
            <w:shd w:val="clear" w:color="auto" w:fill="auto"/>
            <w:noWrap/>
            <w:vAlign w:val="center"/>
            <w:hideMark/>
          </w:tcPr>
          <w:p w14:paraId="76636C43" w14:textId="77777777" w:rsidR="00BC5219" w:rsidRPr="00BA1D33" w:rsidRDefault="00BC5219" w:rsidP="00E83802">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5F3D47AA"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1,998,842 </w:t>
            </w:r>
          </w:p>
        </w:tc>
      </w:tr>
      <w:tr w:rsidR="00BC5219" w:rsidRPr="00BA1D33" w14:paraId="735AA3F2" w14:textId="77777777" w:rsidTr="00E83802">
        <w:trPr>
          <w:trHeight w:val="240"/>
        </w:trPr>
        <w:tc>
          <w:tcPr>
            <w:tcW w:w="7117" w:type="dxa"/>
            <w:tcBorders>
              <w:top w:val="nil"/>
              <w:left w:val="nil"/>
              <w:bottom w:val="nil"/>
              <w:right w:val="nil"/>
            </w:tcBorders>
            <w:shd w:val="clear" w:color="auto" w:fill="auto"/>
            <w:noWrap/>
            <w:vAlign w:val="center"/>
            <w:hideMark/>
          </w:tcPr>
          <w:p w14:paraId="28E0831D" w14:textId="77777777" w:rsidR="00BC5219" w:rsidRPr="00BA1D33" w:rsidRDefault="00BC5219" w:rsidP="00E83802">
            <w:pPr>
              <w:rPr>
                <w:rFonts w:ascii="Meta Pro" w:eastAsia="Times New Roman" w:hAnsi="Meta Pro"/>
                <w:szCs w:val="18"/>
                <w:lang w:eastAsia="en-AU"/>
              </w:rPr>
            </w:pPr>
            <w:r w:rsidRPr="00BA1D33">
              <w:rPr>
                <w:rFonts w:ascii="Meta Pro" w:eastAsia="Times New Roman" w:hAnsi="Meta Pro"/>
                <w:szCs w:val="18"/>
                <w:lang w:eastAsia="en-AU"/>
              </w:rPr>
              <w:t xml:space="preserve">     Transport services – other</w:t>
            </w:r>
          </w:p>
        </w:tc>
        <w:tc>
          <w:tcPr>
            <w:tcW w:w="1153" w:type="dxa"/>
            <w:tcBorders>
              <w:top w:val="nil"/>
              <w:left w:val="nil"/>
              <w:bottom w:val="nil"/>
              <w:right w:val="nil"/>
            </w:tcBorders>
            <w:shd w:val="clear" w:color="000000" w:fill="C9E3B4"/>
            <w:noWrap/>
            <w:vAlign w:val="center"/>
            <w:hideMark/>
          </w:tcPr>
          <w:p w14:paraId="4812BB23"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1,157,923 </w:t>
            </w:r>
          </w:p>
        </w:tc>
        <w:tc>
          <w:tcPr>
            <w:tcW w:w="215" w:type="dxa"/>
            <w:tcBorders>
              <w:top w:val="nil"/>
              <w:left w:val="nil"/>
              <w:bottom w:val="nil"/>
              <w:right w:val="nil"/>
            </w:tcBorders>
            <w:shd w:val="clear" w:color="auto" w:fill="auto"/>
            <w:noWrap/>
            <w:vAlign w:val="center"/>
            <w:hideMark/>
          </w:tcPr>
          <w:p w14:paraId="11A2121F" w14:textId="77777777" w:rsidR="00BC5219" w:rsidRPr="00BA1D33" w:rsidRDefault="00BC5219" w:rsidP="00E83802">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119DF207"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1,086,346 </w:t>
            </w:r>
          </w:p>
        </w:tc>
      </w:tr>
      <w:tr w:rsidR="00BC5219" w:rsidRPr="00BA1D33" w14:paraId="1AC4964F" w14:textId="77777777" w:rsidTr="00E83802">
        <w:trPr>
          <w:trHeight w:val="240"/>
        </w:trPr>
        <w:tc>
          <w:tcPr>
            <w:tcW w:w="7117" w:type="dxa"/>
            <w:tcBorders>
              <w:top w:val="nil"/>
              <w:left w:val="nil"/>
              <w:bottom w:val="nil"/>
              <w:right w:val="nil"/>
            </w:tcBorders>
            <w:shd w:val="clear" w:color="auto" w:fill="auto"/>
            <w:noWrap/>
            <w:vAlign w:val="center"/>
            <w:hideMark/>
          </w:tcPr>
          <w:p w14:paraId="77507DF6" w14:textId="77777777" w:rsidR="00BC5219" w:rsidRPr="00BA1D33" w:rsidRDefault="00BC5219" w:rsidP="00E83802">
            <w:pPr>
              <w:rPr>
                <w:rFonts w:ascii="Meta Pro" w:eastAsia="Times New Roman" w:hAnsi="Meta Pro"/>
                <w:szCs w:val="18"/>
                <w:lang w:eastAsia="en-AU"/>
              </w:rPr>
            </w:pPr>
            <w:r w:rsidRPr="00BA1D33">
              <w:rPr>
                <w:rFonts w:ascii="Meta Pro" w:eastAsia="Times New Roman" w:hAnsi="Meta Pro"/>
                <w:szCs w:val="18"/>
                <w:lang w:eastAsia="en-AU"/>
              </w:rPr>
              <w:t xml:space="preserve">     Other</w:t>
            </w:r>
          </w:p>
        </w:tc>
        <w:tc>
          <w:tcPr>
            <w:tcW w:w="1153" w:type="dxa"/>
            <w:tcBorders>
              <w:top w:val="nil"/>
              <w:left w:val="nil"/>
              <w:bottom w:val="nil"/>
              <w:right w:val="nil"/>
            </w:tcBorders>
            <w:shd w:val="clear" w:color="000000" w:fill="C9E3B4"/>
            <w:noWrap/>
            <w:vAlign w:val="center"/>
            <w:hideMark/>
          </w:tcPr>
          <w:p w14:paraId="65FD3ABB"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41,010 </w:t>
            </w:r>
          </w:p>
        </w:tc>
        <w:tc>
          <w:tcPr>
            <w:tcW w:w="215" w:type="dxa"/>
            <w:tcBorders>
              <w:top w:val="nil"/>
              <w:left w:val="nil"/>
              <w:bottom w:val="nil"/>
              <w:right w:val="nil"/>
            </w:tcBorders>
            <w:shd w:val="clear" w:color="auto" w:fill="auto"/>
            <w:noWrap/>
            <w:vAlign w:val="center"/>
            <w:hideMark/>
          </w:tcPr>
          <w:p w14:paraId="3EC2F538" w14:textId="77777777" w:rsidR="00BC5219" w:rsidRPr="00BA1D33" w:rsidRDefault="00BC5219" w:rsidP="00E83802">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584644A7"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40,270 </w:t>
            </w:r>
          </w:p>
        </w:tc>
      </w:tr>
      <w:tr w:rsidR="00BC5219" w:rsidRPr="00BA1D33" w14:paraId="41CDA768" w14:textId="77777777" w:rsidTr="00E83802">
        <w:trPr>
          <w:trHeight w:val="240"/>
        </w:trPr>
        <w:tc>
          <w:tcPr>
            <w:tcW w:w="7117" w:type="dxa"/>
            <w:tcBorders>
              <w:top w:val="nil"/>
              <w:left w:val="nil"/>
              <w:bottom w:val="nil"/>
              <w:right w:val="nil"/>
            </w:tcBorders>
            <w:shd w:val="clear" w:color="auto" w:fill="auto"/>
            <w:noWrap/>
            <w:vAlign w:val="center"/>
            <w:hideMark/>
          </w:tcPr>
          <w:p w14:paraId="02C70DCC" w14:textId="77777777" w:rsidR="00BC5219" w:rsidRPr="00BA1D33" w:rsidRDefault="00BC5219" w:rsidP="00E83802">
            <w:pPr>
              <w:rPr>
                <w:rFonts w:ascii="Meta Pro" w:eastAsia="Times New Roman" w:hAnsi="Meta Pro"/>
                <w:szCs w:val="18"/>
                <w:lang w:eastAsia="en-AU"/>
              </w:rPr>
            </w:pPr>
            <w:r w:rsidRPr="00BA1D33">
              <w:rPr>
                <w:rFonts w:ascii="Meta Pro" w:eastAsia="Times New Roman" w:hAnsi="Meta Pro"/>
                <w:szCs w:val="18"/>
                <w:lang w:eastAsia="en-AU"/>
              </w:rPr>
              <w:t>Information, communication and technology service charges</w:t>
            </w:r>
          </w:p>
        </w:tc>
        <w:tc>
          <w:tcPr>
            <w:tcW w:w="1153" w:type="dxa"/>
            <w:tcBorders>
              <w:top w:val="nil"/>
              <w:left w:val="nil"/>
              <w:bottom w:val="nil"/>
              <w:right w:val="nil"/>
            </w:tcBorders>
            <w:shd w:val="clear" w:color="000000" w:fill="C9E3B4"/>
            <w:noWrap/>
            <w:vAlign w:val="center"/>
            <w:hideMark/>
          </w:tcPr>
          <w:p w14:paraId="29690E52"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68,293 </w:t>
            </w:r>
          </w:p>
        </w:tc>
        <w:tc>
          <w:tcPr>
            <w:tcW w:w="215" w:type="dxa"/>
            <w:tcBorders>
              <w:top w:val="nil"/>
              <w:left w:val="nil"/>
              <w:bottom w:val="nil"/>
              <w:right w:val="nil"/>
            </w:tcBorders>
            <w:shd w:val="clear" w:color="auto" w:fill="auto"/>
            <w:noWrap/>
            <w:vAlign w:val="center"/>
            <w:hideMark/>
          </w:tcPr>
          <w:p w14:paraId="3E573702" w14:textId="77777777" w:rsidR="00BC5219" w:rsidRPr="00BA1D33" w:rsidRDefault="00BC5219" w:rsidP="00E83802">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32E622B1"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55,304 </w:t>
            </w:r>
          </w:p>
        </w:tc>
      </w:tr>
      <w:tr w:rsidR="00BC5219" w:rsidRPr="00BA1D33" w14:paraId="521E61B9" w14:textId="77777777" w:rsidTr="00E83802">
        <w:trPr>
          <w:trHeight w:val="240"/>
        </w:trPr>
        <w:tc>
          <w:tcPr>
            <w:tcW w:w="7117" w:type="dxa"/>
            <w:tcBorders>
              <w:top w:val="nil"/>
              <w:left w:val="nil"/>
              <w:bottom w:val="nil"/>
              <w:right w:val="nil"/>
            </w:tcBorders>
            <w:shd w:val="clear" w:color="auto" w:fill="auto"/>
            <w:noWrap/>
            <w:vAlign w:val="center"/>
            <w:hideMark/>
          </w:tcPr>
          <w:p w14:paraId="099C2916" w14:textId="77777777" w:rsidR="00BC5219" w:rsidRPr="00BA1D33" w:rsidRDefault="00BC5219" w:rsidP="00E83802">
            <w:pPr>
              <w:rPr>
                <w:rFonts w:ascii="Meta Pro" w:eastAsia="Times New Roman" w:hAnsi="Meta Pro"/>
                <w:szCs w:val="18"/>
                <w:lang w:eastAsia="en-AU"/>
              </w:rPr>
            </w:pPr>
            <w:r w:rsidRPr="00BA1D33">
              <w:rPr>
                <w:rFonts w:ascii="Meta Pro" w:eastAsia="Times New Roman" w:hAnsi="Meta Pro"/>
                <w:szCs w:val="18"/>
                <w:lang w:eastAsia="en-AU"/>
              </w:rPr>
              <w:t>Motor vehicles – Qfleet</w:t>
            </w:r>
          </w:p>
        </w:tc>
        <w:tc>
          <w:tcPr>
            <w:tcW w:w="1153" w:type="dxa"/>
            <w:tcBorders>
              <w:top w:val="nil"/>
              <w:left w:val="nil"/>
              <w:bottom w:val="nil"/>
              <w:right w:val="nil"/>
            </w:tcBorders>
            <w:shd w:val="clear" w:color="000000" w:fill="C9E3B4"/>
            <w:noWrap/>
            <w:vAlign w:val="center"/>
            <w:hideMark/>
          </w:tcPr>
          <w:p w14:paraId="46E0DE79"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10,801 </w:t>
            </w:r>
          </w:p>
        </w:tc>
        <w:tc>
          <w:tcPr>
            <w:tcW w:w="215" w:type="dxa"/>
            <w:tcBorders>
              <w:top w:val="nil"/>
              <w:left w:val="nil"/>
              <w:bottom w:val="nil"/>
              <w:right w:val="nil"/>
            </w:tcBorders>
            <w:shd w:val="clear" w:color="auto" w:fill="auto"/>
            <w:noWrap/>
            <w:vAlign w:val="center"/>
            <w:hideMark/>
          </w:tcPr>
          <w:p w14:paraId="3BC3AB9D" w14:textId="77777777" w:rsidR="00BC5219" w:rsidRPr="00BA1D33" w:rsidRDefault="00BC5219" w:rsidP="00E83802">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5C9B6FD7"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10,265 </w:t>
            </w:r>
          </w:p>
        </w:tc>
      </w:tr>
      <w:tr w:rsidR="00BC5219" w:rsidRPr="00BA1D33" w14:paraId="777CB7D8" w14:textId="77777777" w:rsidTr="00E83802">
        <w:trPr>
          <w:trHeight w:val="240"/>
        </w:trPr>
        <w:tc>
          <w:tcPr>
            <w:tcW w:w="7117" w:type="dxa"/>
            <w:tcBorders>
              <w:top w:val="nil"/>
              <w:left w:val="nil"/>
              <w:bottom w:val="nil"/>
              <w:right w:val="nil"/>
            </w:tcBorders>
            <w:shd w:val="clear" w:color="auto" w:fill="auto"/>
            <w:noWrap/>
            <w:vAlign w:val="center"/>
            <w:hideMark/>
          </w:tcPr>
          <w:p w14:paraId="7297CF25" w14:textId="77777777" w:rsidR="00BC5219" w:rsidRPr="00BA1D33" w:rsidRDefault="00BC5219" w:rsidP="00E83802">
            <w:pPr>
              <w:rPr>
                <w:rFonts w:ascii="Meta Pro" w:eastAsia="Times New Roman" w:hAnsi="Meta Pro"/>
                <w:szCs w:val="18"/>
                <w:lang w:eastAsia="en-AU"/>
              </w:rPr>
            </w:pPr>
            <w:r w:rsidRPr="00BA1D33">
              <w:rPr>
                <w:rFonts w:ascii="Meta Pro" w:eastAsia="Times New Roman" w:hAnsi="Meta Pro"/>
                <w:szCs w:val="18"/>
                <w:lang w:eastAsia="en-AU"/>
              </w:rPr>
              <w:t>Office accommodation</w:t>
            </w:r>
          </w:p>
        </w:tc>
        <w:tc>
          <w:tcPr>
            <w:tcW w:w="1153" w:type="dxa"/>
            <w:tcBorders>
              <w:top w:val="nil"/>
              <w:left w:val="nil"/>
              <w:bottom w:val="nil"/>
              <w:right w:val="nil"/>
            </w:tcBorders>
            <w:shd w:val="clear" w:color="000000" w:fill="C9E3B4"/>
            <w:noWrap/>
            <w:vAlign w:val="center"/>
            <w:hideMark/>
          </w:tcPr>
          <w:p w14:paraId="44F2AF95"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56,219 </w:t>
            </w:r>
          </w:p>
        </w:tc>
        <w:tc>
          <w:tcPr>
            <w:tcW w:w="215" w:type="dxa"/>
            <w:tcBorders>
              <w:top w:val="nil"/>
              <w:left w:val="nil"/>
              <w:bottom w:val="nil"/>
              <w:right w:val="nil"/>
            </w:tcBorders>
            <w:shd w:val="clear" w:color="auto" w:fill="auto"/>
            <w:noWrap/>
            <w:vAlign w:val="center"/>
            <w:hideMark/>
          </w:tcPr>
          <w:p w14:paraId="2D46CBC2" w14:textId="77777777" w:rsidR="00BC5219" w:rsidRPr="00BA1D33" w:rsidRDefault="00BC5219" w:rsidP="00E83802">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1003A925"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53,984 </w:t>
            </w:r>
          </w:p>
        </w:tc>
      </w:tr>
      <w:tr w:rsidR="00BC5219" w:rsidRPr="00BA1D33" w14:paraId="531BCEAD" w14:textId="77777777" w:rsidTr="00E83802">
        <w:trPr>
          <w:trHeight w:val="240"/>
        </w:trPr>
        <w:tc>
          <w:tcPr>
            <w:tcW w:w="7117" w:type="dxa"/>
            <w:tcBorders>
              <w:top w:val="nil"/>
              <w:left w:val="nil"/>
              <w:bottom w:val="nil"/>
              <w:right w:val="nil"/>
            </w:tcBorders>
            <w:shd w:val="clear" w:color="auto" w:fill="auto"/>
            <w:noWrap/>
            <w:vAlign w:val="center"/>
            <w:hideMark/>
          </w:tcPr>
          <w:p w14:paraId="06A5DDA5" w14:textId="77777777" w:rsidR="00BC5219" w:rsidRPr="00BA1D33" w:rsidRDefault="00BC5219" w:rsidP="00E83802">
            <w:pPr>
              <w:rPr>
                <w:rFonts w:ascii="Meta Pro" w:eastAsia="Times New Roman" w:hAnsi="Meta Pro"/>
                <w:szCs w:val="18"/>
                <w:lang w:eastAsia="en-AU"/>
              </w:rPr>
            </w:pPr>
            <w:r w:rsidRPr="00BA1D33">
              <w:rPr>
                <w:rFonts w:ascii="Meta Pro" w:eastAsia="Times New Roman" w:hAnsi="Meta Pro"/>
                <w:szCs w:val="18"/>
                <w:lang w:eastAsia="en-AU"/>
              </w:rPr>
              <w:t>Payments to other government agencies **</w:t>
            </w:r>
          </w:p>
        </w:tc>
        <w:tc>
          <w:tcPr>
            <w:tcW w:w="1153" w:type="dxa"/>
            <w:tcBorders>
              <w:top w:val="nil"/>
              <w:left w:val="nil"/>
              <w:bottom w:val="nil"/>
              <w:right w:val="nil"/>
            </w:tcBorders>
            <w:shd w:val="clear" w:color="000000" w:fill="C9E3B4"/>
            <w:noWrap/>
            <w:vAlign w:val="center"/>
            <w:hideMark/>
          </w:tcPr>
          <w:p w14:paraId="2434C64E"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57,888 </w:t>
            </w:r>
          </w:p>
        </w:tc>
        <w:tc>
          <w:tcPr>
            <w:tcW w:w="215" w:type="dxa"/>
            <w:tcBorders>
              <w:top w:val="nil"/>
              <w:left w:val="nil"/>
              <w:bottom w:val="nil"/>
              <w:right w:val="nil"/>
            </w:tcBorders>
            <w:shd w:val="clear" w:color="auto" w:fill="auto"/>
            <w:noWrap/>
            <w:vAlign w:val="center"/>
            <w:hideMark/>
          </w:tcPr>
          <w:p w14:paraId="17A85D21" w14:textId="77777777" w:rsidR="00BC5219" w:rsidRPr="00BA1D33" w:rsidRDefault="00BC5219" w:rsidP="00E83802">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310976B5"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50,641 </w:t>
            </w:r>
          </w:p>
        </w:tc>
      </w:tr>
      <w:tr w:rsidR="00BC5219" w:rsidRPr="00BA1D33" w14:paraId="16C9E6CA" w14:textId="77777777" w:rsidTr="00E83802">
        <w:trPr>
          <w:trHeight w:val="240"/>
        </w:trPr>
        <w:tc>
          <w:tcPr>
            <w:tcW w:w="7117" w:type="dxa"/>
            <w:tcBorders>
              <w:top w:val="nil"/>
              <w:left w:val="nil"/>
              <w:bottom w:val="nil"/>
              <w:right w:val="nil"/>
            </w:tcBorders>
            <w:shd w:val="clear" w:color="auto" w:fill="auto"/>
            <w:noWrap/>
            <w:vAlign w:val="center"/>
            <w:hideMark/>
          </w:tcPr>
          <w:p w14:paraId="6CD4A347" w14:textId="77777777" w:rsidR="00BC5219" w:rsidRPr="00BA1D33" w:rsidRDefault="00BC5219" w:rsidP="00E83802">
            <w:pPr>
              <w:rPr>
                <w:rFonts w:ascii="Meta Pro" w:eastAsia="Times New Roman" w:hAnsi="Meta Pro"/>
                <w:szCs w:val="18"/>
                <w:lang w:eastAsia="en-AU"/>
              </w:rPr>
            </w:pPr>
            <w:r w:rsidRPr="00BA1D33">
              <w:rPr>
                <w:rFonts w:ascii="Meta Pro" w:eastAsia="Times New Roman" w:hAnsi="Meta Pro"/>
                <w:szCs w:val="18"/>
                <w:lang w:eastAsia="en-AU"/>
              </w:rPr>
              <w:t>Raw materials</w:t>
            </w:r>
          </w:p>
        </w:tc>
        <w:tc>
          <w:tcPr>
            <w:tcW w:w="1153" w:type="dxa"/>
            <w:tcBorders>
              <w:top w:val="nil"/>
              <w:left w:val="nil"/>
              <w:bottom w:val="nil"/>
              <w:right w:val="nil"/>
            </w:tcBorders>
            <w:shd w:val="clear" w:color="000000" w:fill="C9E3B4"/>
            <w:noWrap/>
            <w:vAlign w:val="center"/>
            <w:hideMark/>
          </w:tcPr>
          <w:p w14:paraId="3488D23B"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41,621 </w:t>
            </w:r>
          </w:p>
        </w:tc>
        <w:tc>
          <w:tcPr>
            <w:tcW w:w="215" w:type="dxa"/>
            <w:tcBorders>
              <w:top w:val="nil"/>
              <w:left w:val="nil"/>
              <w:bottom w:val="nil"/>
              <w:right w:val="nil"/>
            </w:tcBorders>
            <w:shd w:val="clear" w:color="auto" w:fill="auto"/>
            <w:noWrap/>
            <w:vAlign w:val="center"/>
            <w:hideMark/>
          </w:tcPr>
          <w:p w14:paraId="7FF5E996" w14:textId="77777777" w:rsidR="00BC5219" w:rsidRPr="00BA1D33" w:rsidRDefault="00BC5219" w:rsidP="00E83802">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180F1CA0"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44,395 </w:t>
            </w:r>
          </w:p>
        </w:tc>
      </w:tr>
      <w:tr w:rsidR="00BC5219" w:rsidRPr="00BA1D33" w14:paraId="7901801B" w14:textId="77777777" w:rsidTr="00E83802">
        <w:trPr>
          <w:trHeight w:val="240"/>
        </w:trPr>
        <w:tc>
          <w:tcPr>
            <w:tcW w:w="7117" w:type="dxa"/>
            <w:tcBorders>
              <w:top w:val="nil"/>
              <w:left w:val="nil"/>
              <w:bottom w:val="nil"/>
              <w:right w:val="nil"/>
            </w:tcBorders>
            <w:shd w:val="clear" w:color="auto" w:fill="auto"/>
            <w:noWrap/>
            <w:vAlign w:val="center"/>
            <w:hideMark/>
          </w:tcPr>
          <w:p w14:paraId="5AA7A3DB" w14:textId="77777777" w:rsidR="00BC5219" w:rsidRPr="00BA1D33" w:rsidRDefault="00BC5219" w:rsidP="00E83802">
            <w:pPr>
              <w:rPr>
                <w:rFonts w:ascii="Meta Pro" w:eastAsia="Times New Roman" w:hAnsi="Meta Pro"/>
                <w:szCs w:val="18"/>
                <w:lang w:eastAsia="en-AU"/>
              </w:rPr>
            </w:pPr>
            <w:r w:rsidRPr="00BA1D33">
              <w:rPr>
                <w:rFonts w:ascii="Meta Pro" w:eastAsia="Times New Roman" w:hAnsi="Meta Pro"/>
                <w:szCs w:val="18"/>
                <w:lang w:eastAsia="en-AU"/>
              </w:rPr>
              <w:t xml:space="preserve">Utilities </w:t>
            </w:r>
          </w:p>
        </w:tc>
        <w:tc>
          <w:tcPr>
            <w:tcW w:w="1153" w:type="dxa"/>
            <w:tcBorders>
              <w:top w:val="nil"/>
              <w:left w:val="nil"/>
              <w:bottom w:val="nil"/>
              <w:right w:val="nil"/>
            </w:tcBorders>
            <w:shd w:val="clear" w:color="000000" w:fill="C9E3B4"/>
            <w:noWrap/>
            <w:vAlign w:val="center"/>
            <w:hideMark/>
          </w:tcPr>
          <w:p w14:paraId="6C45E58B"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61,592 </w:t>
            </w:r>
          </w:p>
        </w:tc>
        <w:tc>
          <w:tcPr>
            <w:tcW w:w="215" w:type="dxa"/>
            <w:tcBorders>
              <w:top w:val="nil"/>
              <w:left w:val="nil"/>
              <w:bottom w:val="nil"/>
              <w:right w:val="nil"/>
            </w:tcBorders>
            <w:shd w:val="clear" w:color="auto" w:fill="auto"/>
            <w:noWrap/>
            <w:vAlign w:val="center"/>
            <w:hideMark/>
          </w:tcPr>
          <w:p w14:paraId="5083EF4B" w14:textId="77777777" w:rsidR="00BC5219" w:rsidRPr="00BA1D33" w:rsidRDefault="00BC5219" w:rsidP="00E83802">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707FFC5D"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54,808 </w:t>
            </w:r>
          </w:p>
        </w:tc>
      </w:tr>
      <w:tr w:rsidR="00BC5219" w:rsidRPr="00BA1D33" w14:paraId="1C45E91A" w14:textId="77777777" w:rsidTr="00E83802">
        <w:trPr>
          <w:trHeight w:val="240"/>
        </w:trPr>
        <w:tc>
          <w:tcPr>
            <w:tcW w:w="7117" w:type="dxa"/>
            <w:tcBorders>
              <w:top w:val="nil"/>
              <w:left w:val="nil"/>
              <w:bottom w:val="nil"/>
              <w:right w:val="nil"/>
            </w:tcBorders>
            <w:shd w:val="clear" w:color="auto" w:fill="auto"/>
            <w:noWrap/>
            <w:vAlign w:val="center"/>
            <w:hideMark/>
          </w:tcPr>
          <w:p w14:paraId="499C839E" w14:textId="77777777" w:rsidR="00BC5219" w:rsidRPr="00BA1D33" w:rsidRDefault="00BC5219" w:rsidP="00E83802">
            <w:pPr>
              <w:rPr>
                <w:rFonts w:ascii="Meta Pro" w:eastAsia="Times New Roman" w:hAnsi="Meta Pro"/>
                <w:szCs w:val="18"/>
                <w:lang w:eastAsia="en-AU"/>
              </w:rPr>
            </w:pPr>
            <w:r w:rsidRPr="00BA1D33">
              <w:rPr>
                <w:rFonts w:ascii="Meta Pro" w:eastAsia="Times New Roman" w:hAnsi="Meta Pro"/>
                <w:szCs w:val="18"/>
                <w:lang w:eastAsia="en-AU"/>
              </w:rPr>
              <w:t>Other</w:t>
            </w:r>
          </w:p>
        </w:tc>
        <w:tc>
          <w:tcPr>
            <w:tcW w:w="1153" w:type="dxa"/>
            <w:tcBorders>
              <w:top w:val="nil"/>
              <w:left w:val="nil"/>
              <w:bottom w:val="nil"/>
              <w:right w:val="nil"/>
            </w:tcBorders>
            <w:shd w:val="clear" w:color="000000" w:fill="C9E3B4"/>
            <w:noWrap/>
            <w:vAlign w:val="center"/>
            <w:hideMark/>
          </w:tcPr>
          <w:p w14:paraId="14722F53"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107,129 </w:t>
            </w:r>
          </w:p>
        </w:tc>
        <w:tc>
          <w:tcPr>
            <w:tcW w:w="215" w:type="dxa"/>
            <w:tcBorders>
              <w:top w:val="nil"/>
              <w:left w:val="nil"/>
              <w:bottom w:val="nil"/>
              <w:right w:val="nil"/>
            </w:tcBorders>
            <w:shd w:val="clear" w:color="auto" w:fill="auto"/>
            <w:noWrap/>
            <w:vAlign w:val="center"/>
            <w:hideMark/>
          </w:tcPr>
          <w:p w14:paraId="7B8E3E58" w14:textId="77777777" w:rsidR="00BC5219" w:rsidRPr="00BA1D33" w:rsidRDefault="00BC5219" w:rsidP="00E83802">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1AFAA2D8"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81,650 </w:t>
            </w:r>
          </w:p>
        </w:tc>
      </w:tr>
      <w:tr w:rsidR="00BC5219" w:rsidRPr="00BA1D33" w14:paraId="74AB2D99" w14:textId="77777777" w:rsidTr="00E83802">
        <w:trPr>
          <w:trHeight w:val="240"/>
        </w:trPr>
        <w:tc>
          <w:tcPr>
            <w:tcW w:w="7117" w:type="dxa"/>
            <w:tcBorders>
              <w:top w:val="single" w:sz="4" w:space="0" w:color="auto"/>
              <w:left w:val="nil"/>
              <w:bottom w:val="double" w:sz="6" w:space="0" w:color="auto"/>
              <w:right w:val="nil"/>
            </w:tcBorders>
            <w:shd w:val="clear" w:color="auto" w:fill="auto"/>
            <w:noWrap/>
            <w:vAlign w:val="center"/>
            <w:hideMark/>
          </w:tcPr>
          <w:p w14:paraId="410C3980" w14:textId="77777777" w:rsidR="00BC5219" w:rsidRPr="00BA1D33" w:rsidRDefault="00BC5219" w:rsidP="00E83802">
            <w:pPr>
              <w:rPr>
                <w:rFonts w:ascii="Meta Pro" w:eastAsia="Times New Roman" w:hAnsi="Meta Pro"/>
                <w:b/>
                <w:bCs/>
                <w:szCs w:val="18"/>
                <w:lang w:eastAsia="en-AU"/>
              </w:rPr>
            </w:pPr>
            <w:r w:rsidRPr="00BA1D33">
              <w:rPr>
                <w:rFonts w:ascii="Meta Pro" w:eastAsia="Times New Roman" w:hAnsi="Meta Pro"/>
                <w:b/>
                <w:bCs/>
                <w:szCs w:val="18"/>
                <w:lang w:eastAsia="en-AU"/>
              </w:rPr>
              <w:t>Total</w:t>
            </w:r>
          </w:p>
        </w:tc>
        <w:tc>
          <w:tcPr>
            <w:tcW w:w="1153" w:type="dxa"/>
            <w:tcBorders>
              <w:top w:val="single" w:sz="4" w:space="0" w:color="auto"/>
              <w:left w:val="nil"/>
              <w:bottom w:val="double" w:sz="6" w:space="0" w:color="auto"/>
              <w:right w:val="nil"/>
            </w:tcBorders>
            <w:shd w:val="clear" w:color="000000" w:fill="C9E3B4"/>
            <w:noWrap/>
            <w:vAlign w:val="center"/>
            <w:hideMark/>
          </w:tcPr>
          <w:p w14:paraId="0D06C00A" w14:textId="77777777" w:rsidR="00BC5219" w:rsidRPr="00BA1D33" w:rsidRDefault="00BC5219" w:rsidP="00E83802">
            <w:pPr>
              <w:jc w:val="right"/>
              <w:rPr>
                <w:rFonts w:ascii="Meta Pro" w:eastAsia="Times New Roman" w:hAnsi="Meta Pro"/>
                <w:b/>
                <w:bCs/>
                <w:szCs w:val="18"/>
                <w:lang w:eastAsia="en-AU"/>
              </w:rPr>
            </w:pPr>
            <w:r w:rsidRPr="00BA1D33">
              <w:rPr>
                <w:rFonts w:ascii="Meta Pro" w:eastAsia="Times New Roman" w:hAnsi="Meta Pro"/>
                <w:b/>
                <w:bCs/>
                <w:szCs w:val="18"/>
                <w:lang w:eastAsia="en-AU"/>
              </w:rPr>
              <w:t xml:space="preserve">4,536,142 </w:t>
            </w:r>
          </w:p>
        </w:tc>
        <w:tc>
          <w:tcPr>
            <w:tcW w:w="215" w:type="dxa"/>
            <w:tcBorders>
              <w:top w:val="single" w:sz="4" w:space="0" w:color="auto"/>
              <w:left w:val="nil"/>
              <w:bottom w:val="double" w:sz="6" w:space="0" w:color="auto"/>
              <w:right w:val="nil"/>
            </w:tcBorders>
            <w:shd w:val="clear" w:color="auto" w:fill="auto"/>
            <w:noWrap/>
            <w:vAlign w:val="center"/>
            <w:hideMark/>
          </w:tcPr>
          <w:p w14:paraId="5701FF9F" w14:textId="77777777" w:rsidR="00BC5219" w:rsidRPr="00BA1D33" w:rsidRDefault="00BC5219" w:rsidP="00E83802">
            <w:pPr>
              <w:rPr>
                <w:rFonts w:ascii="Meta Pro" w:eastAsia="Times New Roman" w:hAnsi="Meta Pro"/>
                <w:b/>
                <w:bCs/>
                <w:szCs w:val="18"/>
                <w:lang w:eastAsia="en-AU"/>
              </w:rPr>
            </w:pPr>
            <w:r w:rsidRPr="00BA1D33">
              <w:rPr>
                <w:rFonts w:ascii="Meta Pro" w:eastAsia="Times New Roman" w:hAnsi="Meta Pro"/>
                <w:b/>
                <w:bCs/>
                <w:szCs w:val="18"/>
                <w:lang w:eastAsia="en-AU"/>
              </w:rPr>
              <w:t> </w:t>
            </w:r>
          </w:p>
        </w:tc>
        <w:tc>
          <w:tcPr>
            <w:tcW w:w="1153" w:type="dxa"/>
            <w:tcBorders>
              <w:top w:val="single" w:sz="4" w:space="0" w:color="auto"/>
              <w:left w:val="nil"/>
              <w:bottom w:val="double" w:sz="6" w:space="0" w:color="auto"/>
              <w:right w:val="nil"/>
            </w:tcBorders>
            <w:shd w:val="clear" w:color="auto" w:fill="auto"/>
            <w:noWrap/>
            <w:vAlign w:val="center"/>
            <w:hideMark/>
          </w:tcPr>
          <w:p w14:paraId="02B85540" w14:textId="77777777" w:rsidR="00BC5219" w:rsidRPr="00BA1D33" w:rsidRDefault="00BC5219" w:rsidP="00E83802">
            <w:pPr>
              <w:jc w:val="right"/>
              <w:rPr>
                <w:rFonts w:ascii="Meta Pro" w:eastAsia="Times New Roman" w:hAnsi="Meta Pro"/>
                <w:b/>
                <w:bCs/>
                <w:szCs w:val="18"/>
                <w:lang w:eastAsia="en-AU"/>
              </w:rPr>
            </w:pPr>
            <w:r w:rsidRPr="00BA1D33">
              <w:rPr>
                <w:rFonts w:ascii="Meta Pro" w:eastAsia="Times New Roman" w:hAnsi="Meta Pro"/>
                <w:b/>
                <w:bCs/>
                <w:szCs w:val="18"/>
                <w:lang w:eastAsia="en-AU"/>
              </w:rPr>
              <w:t xml:space="preserve">4,250,502 </w:t>
            </w:r>
          </w:p>
        </w:tc>
      </w:tr>
    </w:tbl>
    <w:p w14:paraId="66012D02" w14:textId="77777777" w:rsidR="00BC5219" w:rsidRPr="008A2B8F" w:rsidRDefault="00BC5219" w:rsidP="00BC5219">
      <w:pPr>
        <w:spacing w:before="120"/>
        <w:rPr>
          <w:rFonts w:ascii="Meta Pro" w:eastAsia="Times New Roman" w:hAnsi="Meta Pro"/>
          <w:sz w:val="16"/>
          <w:szCs w:val="16"/>
          <w:lang w:eastAsia="en-AU"/>
        </w:rPr>
      </w:pPr>
      <w:r w:rsidRPr="008A2B8F">
        <w:rPr>
          <w:rFonts w:ascii="Meta Pro" w:eastAsia="Times New Roman" w:hAnsi="Meta Pro"/>
          <w:sz w:val="16"/>
          <w:szCs w:val="16"/>
          <w:lang w:eastAsia="en-AU"/>
        </w:rPr>
        <w:t>* The department has a contract with Queensland Rail to provide rail passenger services in suburban and regional Queensland, and to</w:t>
      </w:r>
    </w:p>
    <w:p w14:paraId="5628A22E" w14:textId="77777777" w:rsidR="00BC5219" w:rsidRPr="008A2B8F" w:rsidRDefault="00BC5219" w:rsidP="00BC5219">
      <w:pPr>
        <w:spacing w:after="120"/>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ensure the Queensland Rail network can support safe and reliable passenger and freight services.</w:t>
      </w:r>
    </w:p>
    <w:p w14:paraId="6FE2B399" w14:textId="77777777" w:rsidR="00BC5219" w:rsidRPr="008A2B8F" w:rsidRDefault="00BC5219" w:rsidP="00BC5219">
      <w:pPr>
        <w:spacing w:before="60"/>
        <w:ind w:left="227" w:hanging="227"/>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Payments to other government agencies represent payments made mainly prior to the 18 May 2023 machinery-of-government change and </w:t>
      </w:r>
    </w:p>
    <w:p w14:paraId="6710DC35" w14:textId="77777777" w:rsidR="00BC5219" w:rsidRPr="008A2B8F" w:rsidRDefault="00BC5219" w:rsidP="00BC5219">
      <w:pPr>
        <w:ind w:left="227" w:hanging="227"/>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includes Queensland Shared Services of $21.654m in 2023 (2022: $20.802m), the Queensland Government's primary information services</w:t>
      </w:r>
    </w:p>
    <w:p w14:paraId="0CDCBF30" w14:textId="77777777" w:rsidR="00BC5219" w:rsidRPr="008A2B8F" w:rsidRDefault="00BC5219" w:rsidP="00BC5219">
      <w:pPr>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provider CITEC of $24.941m in 2023 (2022: $24.952m), and other government entities of $6.583m in 2023 (2022: $4.887m).</w:t>
      </w:r>
    </w:p>
    <w:p w14:paraId="0B9F576D" w14:textId="77777777" w:rsidR="00BC5219" w:rsidRPr="008A2B8F" w:rsidRDefault="00BC5219" w:rsidP="00BC5219">
      <w:pPr>
        <w:spacing w:before="120"/>
        <w:rPr>
          <w:rFonts w:ascii="Meta Pro" w:eastAsia="Times New Roman" w:hAnsi="Meta Pro"/>
          <w:color w:val="000000"/>
          <w:szCs w:val="18"/>
          <w:lang w:eastAsia="en-AU"/>
        </w:rPr>
      </w:pPr>
      <w:r w:rsidRPr="00C87E8D">
        <w:rPr>
          <w:rFonts w:ascii="Meta Pro" w:eastAsia="Times New Roman" w:hAnsi="Meta Pro"/>
          <w:color w:val="000000"/>
          <w:szCs w:val="18"/>
          <w:lang w:eastAsia="en-AU"/>
        </w:rPr>
        <w:t>The department's total supplies and services expenditure was $9,</w:t>
      </w:r>
      <w:r>
        <w:rPr>
          <w:rFonts w:ascii="Meta Pro" w:eastAsia="Times New Roman" w:hAnsi="Meta Pro"/>
          <w:color w:val="000000"/>
          <w:szCs w:val="18"/>
          <w:lang w:eastAsia="en-AU"/>
        </w:rPr>
        <w:t>256</w:t>
      </w:r>
      <w:r w:rsidRPr="00C87E8D">
        <w:rPr>
          <w:rFonts w:ascii="Meta Pro" w:eastAsia="Times New Roman" w:hAnsi="Meta Pro"/>
          <w:color w:val="000000"/>
          <w:szCs w:val="18"/>
          <w:lang w:eastAsia="en-AU"/>
        </w:rPr>
        <w:t>m in 2023 (2022: $7,994m). Of this $4,</w:t>
      </w:r>
      <w:r>
        <w:rPr>
          <w:rFonts w:ascii="Meta Pro" w:eastAsia="Times New Roman" w:hAnsi="Meta Pro"/>
          <w:color w:val="000000"/>
          <w:szCs w:val="18"/>
          <w:lang w:eastAsia="en-AU"/>
        </w:rPr>
        <w:t>720</w:t>
      </w:r>
      <w:r w:rsidRPr="00C87E8D">
        <w:rPr>
          <w:rFonts w:ascii="Meta Pro" w:eastAsia="Times New Roman" w:hAnsi="Meta Pro"/>
          <w:color w:val="000000"/>
          <w:szCs w:val="18"/>
          <w:lang w:eastAsia="en-AU"/>
        </w:rPr>
        <w:t>m (2022: $3,743m) was capitalised to construction work in progress leaving $4,536m (2022: $4,251m) reported as supplies and services.</w:t>
      </w:r>
    </w:p>
    <w:p w14:paraId="7AE9B2E8" w14:textId="77777777" w:rsidR="00BC5219" w:rsidRPr="008A2B8F" w:rsidRDefault="00BC5219" w:rsidP="00BC5219">
      <w:pPr>
        <w:rPr>
          <w:rFonts w:ascii="Meta Pro" w:eastAsia="Times New Roman" w:hAnsi="Meta Pro"/>
          <w:color w:val="000000"/>
          <w:szCs w:val="18"/>
          <w:lang w:eastAsia="en-AU"/>
        </w:rPr>
      </w:pPr>
    </w:p>
    <w:p w14:paraId="728164F7" w14:textId="77777777" w:rsidR="00BC5219" w:rsidRPr="008A2B8F" w:rsidRDefault="00BC5219" w:rsidP="00BC5219">
      <w:pPr>
        <w:rPr>
          <w:rFonts w:ascii="Meta Pro" w:hAnsi="Meta Pro" w:cstheme="minorBidi"/>
        </w:rPr>
      </w:pPr>
    </w:p>
    <w:tbl>
      <w:tblPr>
        <w:tblW w:w="0" w:type="auto"/>
        <w:tblCellMar>
          <w:left w:w="0" w:type="dxa"/>
        </w:tblCellMar>
        <w:tblLook w:val="04A0" w:firstRow="1" w:lastRow="0" w:firstColumn="1" w:lastColumn="0" w:noHBand="0" w:noVBand="1"/>
      </w:tblPr>
      <w:tblGrid>
        <w:gridCol w:w="7125"/>
        <w:gridCol w:w="1161"/>
        <w:gridCol w:w="223"/>
        <w:gridCol w:w="1161"/>
      </w:tblGrid>
      <w:tr w:rsidR="00BC5219" w:rsidRPr="008A2B8F" w14:paraId="19312CB5" w14:textId="77777777" w:rsidTr="00E83802">
        <w:trPr>
          <w:trHeight w:val="240"/>
        </w:trPr>
        <w:tc>
          <w:tcPr>
            <w:tcW w:w="7117" w:type="dxa"/>
            <w:tcBorders>
              <w:top w:val="nil"/>
              <w:left w:val="nil"/>
              <w:bottom w:val="nil"/>
              <w:right w:val="nil"/>
            </w:tcBorders>
            <w:shd w:val="clear" w:color="auto" w:fill="auto"/>
            <w:noWrap/>
            <w:vAlign w:val="center"/>
            <w:hideMark/>
          </w:tcPr>
          <w:p w14:paraId="690B4D24" w14:textId="77777777" w:rsidR="00BC5219" w:rsidRPr="008A2B8F" w:rsidRDefault="00BC5219" w:rsidP="00E83802">
            <w:pPr>
              <w:rPr>
                <w:rFonts w:ascii="Meta Pro" w:eastAsia="Times New Roman" w:hAnsi="Meta Pro"/>
                <w:b/>
                <w:bCs/>
                <w:lang w:eastAsia="en-AU"/>
              </w:rPr>
            </w:pPr>
            <w:r w:rsidRPr="008A2B8F">
              <w:rPr>
                <w:rFonts w:ascii="Meta Pro" w:eastAsia="Times New Roman" w:hAnsi="Meta Pro"/>
                <w:b/>
                <w:bCs/>
                <w:lang w:eastAsia="en-AU"/>
              </w:rPr>
              <w:t>8     GRANTS AND SUBSIDIES</w:t>
            </w:r>
          </w:p>
        </w:tc>
        <w:tc>
          <w:tcPr>
            <w:tcW w:w="1153" w:type="dxa"/>
            <w:tcBorders>
              <w:top w:val="nil"/>
              <w:left w:val="nil"/>
              <w:bottom w:val="nil"/>
              <w:right w:val="nil"/>
            </w:tcBorders>
            <w:shd w:val="clear" w:color="auto" w:fill="auto"/>
            <w:noWrap/>
            <w:vAlign w:val="center"/>
            <w:hideMark/>
          </w:tcPr>
          <w:p w14:paraId="719B5031" w14:textId="77777777" w:rsidR="00BC5219" w:rsidRPr="008A2B8F" w:rsidRDefault="00BC5219" w:rsidP="00E83802">
            <w:pPr>
              <w:rPr>
                <w:rFonts w:ascii="Meta Pro" w:eastAsia="Times New Roman" w:hAnsi="Meta Pro"/>
                <w:b/>
                <w:bCs/>
                <w:lang w:eastAsia="en-AU"/>
              </w:rPr>
            </w:pPr>
          </w:p>
        </w:tc>
        <w:tc>
          <w:tcPr>
            <w:tcW w:w="215" w:type="dxa"/>
            <w:tcBorders>
              <w:top w:val="nil"/>
              <w:left w:val="nil"/>
              <w:bottom w:val="nil"/>
              <w:right w:val="nil"/>
            </w:tcBorders>
            <w:shd w:val="clear" w:color="auto" w:fill="auto"/>
            <w:noWrap/>
            <w:vAlign w:val="center"/>
            <w:hideMark/>
          </w:tcPr>
          <w:p w14:paraId="6E605A24" w14:textId="77777777" w:rsidR="00BC5219" w:rsidRPr="008A2B8F" w:rsidRDefault="00BC5219" w:rsidP="00E83802">
            <w:pPr>
              <w:rPr>
                <w:rFonts w:ascii="Meta Pro" w:eastAsia="Times New Roman" w:hAnsi="Meta Pro" w:cs="Times New Roman"/>
                <w:sz w:val="20"/>
                <w:szCs w:val="20"/>
                <w:lang w:eastAsia="en-AU"/>
              </w:rPr>
            </w:pPr>
          </w:p>
        </w:tc>
        <w:tc>
          <w:tcPr>
            <w:tcW w:w="1153" w:type="dxa"/>
            <w:tcBorders>
              <w:top w:val="nil"/>
              <w:left w:val="nil"/>
              <w:bottom w:val="nil"/>
              <w:right w:val="nil"/>
            </w:tcBorders>
            <w:shd w:val="clear" w:color="auto" w:fill="auto"/>
            <w:noWrap/>
            <w:vAlign w:val="center"/>
            <w:hideMark/>
          </w:tcPr>
          <w:p w14:paraId="016EF81D" w14:textId="77777777" w:rsidR="00BC5219" w:rsidRPr="008A2B8F" w:rsidRDefault="00BC5219" w:rsidP="00E83802">
            <w:pPr>
              <w:rPr>
                <w:rFonts w:ascii="Meta Pro" w:eastAsia="Times New Roman" w:hAnsi="Meta Pro" w:cs="Times New Roman"/>
                <w:sz w:val="20"/>
                <w:szCs w:val="20"/>
                <w:lang w:eastAsia="en-AU"/>
              </w:rPr>
            </w:pPr>
          </w:p>
        </w:tc>
      </w:tr>
      <w:tr w:rsidR="00BC5219" w:rsidRPr="008A2B8F" w14:paraId="0BED781F" w14:textId="77777777" w:rsidTr="00E83802">
        <w:trPr>
          <w:trHeight w:val="90"/>
        </w:trPr>
        <w:tc>
          <w:tcPr>
            <w:tcW w:w="7117" w:type="dxa"/>
            <w:tcBorders>
              <w:top w:val="nil"/>
              <w:left w:val="nil"/>
              <w:bottom w:val="nil"/>
              <w:right w:val="nil"/>
            </w:tcBorders>
            <w:shd w:val="clear" w:color="auto" w:fill="auto"/>
            <w:noWrap/>
            <w:vAlign w:val="center"/>
            <w:hideMark/>
          </w:tcPr>
          <w:p w14:paraId="0E8CC9C4" w14:textId="77777777" w:rsidR="00BC5219" w:rsidRPr="008A2B8F" w:rsidRDefault="00BC5219" w:rsidP="00E83802">
            <w:pPr>
              <w:rPr>
                <w:rFonts w:ascii="Meta Pro" w:eastAsia="Times New Roman" w:hAnsi="Meta Pro" w:cs="Times New Roman"/>
                <w:sz w:val="20"/>
                <w:szCs w:val="20"/>
                <w:lang w:eastAsia="en-AU"/>
              </w:rPr>
            </w:pPr>
          </w:p>
        </w:tc>
        <w:tc>
          <w:tcPr>
            <w:tcW w:w="1153" w:type="dxa"/>
            <w:tcBorders>
              <w:top w:val="nil"/>
              <w:left w:val="nil"/>
              <w:bottom w:val="nil"/>
              <w:right w:val="nil"/>
            </w:tcBorders>
            <w:shd w:val="clear" w:color="auto" w:fill="auto"/>
            <w:noWrap/>
            <w:vAlign w:val="center"/>
            <w:hideMark/>
          </w:tcPr>
          <w:p w14:paraId="4A25110C" w14:textId="77777777" w:rsidR="00BC5219" w:rsidRPr="008A2B8F" w:rsidRDefault="00BC5219" w:rsidP="00E83802">
            <w:pPr>
              <w:rPr>
                <w:rFonts w:ascii="Meta Pro" w:eastAsia="Times New Roman" w:hAnsi="Meta Pro"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0B0BDB55" w14:textId="77777777" w:rsidR="00BC5219" w:rsidRPr="008A2B8F" w:rsidRDefault="00BC5219" w:rsidP="00E83802">
            <w:pPr>
              <w:rPr>
                <w:rFonts w:ascii="Meta Pro" w:eastAsia="Times New Roman" w:hAnsi="Meta Pro" w:cs="Times New Roman"/>
                <w:sz w:val="20"/>
                <w:szCs w:val="20"/>
                <w:lang w:eastAsia="en-AU"/>
              </w:rPr>
            </w:pPr>
          </w:p>
        </w:tc>
        <w:tc>
          <w:tcPr>
            <w:tcW w:w="1153" w:type="dxa"/>
            <w:tcBorders>
              <w:top w:val="nil"/>
              <w:left w:val="nil"/>
              <w:bottom w:val="nil"/>
              <w:right w:val="nil"/>
            </w:tcBorders>
            <w:shd w:val="clear" w:color="auto" w:fill="auto"/>
            <w:noWrap/>
            <w:vAlign w:val="center"/>
            <w:hideMark/>
          </w:tcPr>
          <w:p w14:paraId="60E9FF21" w14:textId="77777777" w:rsidR="00BC5219" w:rsidRPr="008A2B8F" w:rsidRDefault="00BC5219" w:rsidP="00E83802">
            <w:pPr>
              <w:rPr>
                <w:rFonts w:ascii="Meta Pro" w:eastAsia="Times New Roman" w:hAnsi="Meta Pro" w:cs="Times New Roman"/>
                <w:sz w:val="20"/>
                <w:szCs w:val="20"/>
                <w:lang w:eastAsia="en-AU"/>
              </w:rPr>
            </w:pPr>
          </w:p>
        </w:tc>
      </w:tr>
      <w:tr w:rsidR="00BC5219" w:rsidRPr="008A2B8F" w14:paraId="7F2FA7BE" w14:textId="77777777" w:rsidTr="00E83802">
        <w:trPr>
          <w:trHeight w:val="240"/>
        </w:trPr>
        <w:tc>
          <w:tcPr>
            <w:tcW w:w="7117" w:type="dxa"/>
            <w:tcBorders>
              <w:top w:val="nil"/>
              <w:left w:val="nil"/>
              <w:bottom w:val="nil"/>
              <w:right w:val="nil"/>
            </w:tcBorders>
            <w:shd w:val="clear" w:color="auto" w:fill="auto"/>
            <w:noWrap/>
            <w:vAlign w:val="center"/>
            <w:hideMark/>
          </w:tcPr>
          <w:p w14:paraId="3025FCA7"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Assets provided to third parties at below fair value *</w:t>
            </w:r>
          </w:p>
        </w:tc>
        <w:tc>
          <w:tcPr>
            <w:tcW w:w="1153" w:type="dxa"/>
            <w:tcBorders>
              <w:top w:val="nil"/>
              <w:left w:val="nil"/>
              <w:bottom w:val="nil"/>
              <w:right w:val="nil"/>
            </w:tcBorders>
            <w:shd w:val="clear" w:color="000000" w:fill="C9E3B4"/>
            <w:noWrap/>
            <w:vAlign w:val="center"/>
            <w:hideMark/>
          </w:tcPr>
          <w:p w14:paraId="3C5A5FC5"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7,289 </w:t>
            </w:r>
          </w:p>
        </w:tc>
        <w:tc>
          <w:tcPr>
            <w:tcW w:w="215" w:type="dxa"/>
            <w:tcBorders>
              <w:top w:val="nil"/>
              <w:left w:val="nil"/>
              <w:bottom w:val="nil"/>
              <w:right w:val="nil"/>
            </w:tcBorders>
            <w:shd w:val="clear" w:color="auto" w:fill="auto"/>
            <w:noWrap/>
            <w:vAlign w:val="center"/>
            <w:hideMark/>
          </w:tcPr>
          <w:p w14:paraId="7218DEE2" w14:textId="77777777" w:rsidR="00BC5219" w:rsidRPr="008A2B8F" w:rsidRDefault="00BC5219" w:rsidP="00E83802">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3F2B6788"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64,742 </w:t>
            </w:r>
          </w:p>
        </w:tc>
      </w:tr>
      <w:tr w:rsidR="00BC5219" w:rsidRPr="008A2B8F" w14:paraId="46F6FBDD" w14:textId="77777777" w:rsidTr="00E83802">
        <w:trPr>
          <w:trHeight w:val="240"/>
        </w:trPr>
        <w:tc>
          <w:tcPr>
            <w:tcW w:w="7117" w:type="dxa"/>
            <w:tcBorders>
              <w:top w:val="nil"/>
              <w:left w:val="nil"/>
              <w:bottom w:val="nil"/>
              <w:right w:val="nil"/>
            </w:tcBorders>
            <w:shd w:val="clear" w:color="auto" w:fill="auto"/>
            <w:noWrap/>
            <w:vAlign w:val="center"/>
            <w:hideMark/>
          </w:tcPr>
          <w:p w14:paraId="62430DF8"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Public transport</w:t>
            </w:r>
          </w:p>
        </w:tc>
        <w:tc>
          <w:tcPr>
            <w:tcW w:w="1153" w:type="dxa"/>
            <w:tcBorders>
              <w:top w:val="nil"/>
              <w:left w:val="nil"/>
              <w:bottom w:val="nil"/>
              <w:right w:val="nil"/>
            </w:tcBorders>
            <w:shd w:val="clear" w:color="000000" w:fill="C9E3B4"/>
            <w:noWrap/>
            <w:vAlign w:val="center"/>
            <w:hideMark/>
          </w:tcPr>
          <w:p w14:paraId="417BDD4D"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63,303 </w:t>
            </w:r>
          </w:p>
        </w:tc>
        <w:tc>
          <w:tcPr>
            <w:tcW w:w="215" w:type="dxa"/>
            <w:tcBorders>
              <w:top w:val="nil"/>
              <w:left w:val="nil"/>
              <w:bottom w:val="nil"/>
              <w:right w:val="nil"/>
            </w:tcBorders>
            <w:shd w:val="clear" w:color="auto" w:fill="auto"/>
            <w:noWrap/>
            <w:vAlign w:val="center"/>
            <w:hideMark/>
          </w:tcPr>
          <w:p w14:paraId="47E5B6A1" w14:textId="77777777" w:rsidR="00BC5219" w:rsidRPr="008A2B8F" w:rsidRDefault="00BC5219" w:rsidP="00E83802">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529C084B"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89,208 </w:t>
            </w:r>
          </w:p>
        </w:tc>
      </w:tr>
      <w:tr w:rsidR="00BC5219" w:rsidRPr="008A2B8F" w14:paraId="41210765" w14:textId="77777777" w:rsidTr="00E83802">
        <w:trPr>
          <w:trHeight w:val="240"/>
        </w:trPr>
        <w:tc>
          <w:tcPr>
            <w:tcW w:w="7117" w:type="dxa"/>
            <w:tcBorders>
              <w:top w:val="nil"/>
              <w:left w:val="nil"/>
              <w:bottom w:val="nil"/>
              <w:right w:val="nil"/>
            </w:tcBorders>
            <w:shd w:val="clear" w:color="auto" w:fill="auto"/>
            <w:noWrap/>
            <w:vAlign w:val="center"/>
            <w:hideMark/>
          </w:tcPr>
          <w:p w14:paraId="0C29263B"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School transport</w:t>
            </w:r>
          </w:p>
        </w:tc>
        <w:tc>
          <w:tcPr>
            <w:tcW w:w="1153" w:type="dxa"/>
            <w:tcBorders>
              <w:top w:val="nil"/>
              <w:left w:val="nil"/>
              <w:bottom w:val="nil"/>
              <w:right w:val="nil"/>
            </w:tcBorders>
            <w:shd w:val="clear" w:color="000000" w:fill="C9E3B4"/>
            <w:noWrap/>
            <w:vAlign w:val="center"/>
            <w:hideMark/>
          </w:tcPr>
          <w:p w14:paraId="21AC49DA"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190,609 </w:t>
            </w:r>
          </w:p>
        </w:tc>
        <w:tc>
          <w:tcPr>
            <w:tcW w:w="215" w:type="dxa"/>
            <w:tcBorders>
              <w:top w:val="nil"/>
              <w:left w:val="nil"/>
              <w:bottom w:val="nil"/>
              <w:right w:val="nil"/>
            </w:tcBorders>
            <w:shd w:val="clear" w:color="auto" w:fill="auto"/>
            <w:noWrap/>
            <w:vAlign w:val="center"/>
            <w:hideMark/>
          </w:tcPr>
          <w:p w14:paraId="6999EE4F" w14:textId="77777777" w:rsidR="00BC5219" w:rsidRPr="008A2B8F" w:rsidRDefault="00BC5219" w:rsidP="00E83802">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51583CCB"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164,927 </w:t>
            </w:r>
          </w:p>
        </w:tc>
      </w:tr>
      <w:tr w:rsidR="00BC5219" w:rsidRPr="008A2B8F" w14:paraId="0583D99A" w14:textId="77777777" w:rsidTr="00E83802">
        <w:trPr>
          <w:trHeight w:val="240"/>
        </w:trPr>
        <w:tc>
          <w:tcPr>
            <w:tcW w:w="7117" w:type="dxa"/>
            <w:tcBorders>
              <w:top w:val="nil"/>
              <w:left w:val="nil"/>
              <w:bottom w:val="nil"/>
              <w:right w:val="nil"/>
            </w:tcBorders>
            <w:shd w:val="clear" w:color="auto" w:fill="auto"/>
            <w:noWrap/>
            <w:vAlign w:val="center"/>
            <w:hideMark/>
          </w:tcPr>
          <w:p w14:paraId="2B258AC1"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Transport infrastructure **</w:t>
            </w:r>
          </w:p>
        </w:tc>
        <w:tc>
          <w:tcPr>
            <w:tcW w:w="1153" w:type="dxa"/>
            <w:tcBorders>
              <w:top w:val="nil"/>
              <w:left w:val="nil"/>
              <w:bottom w:val="nil"/>
              <w:right w:val="nil"/>
            </w:tcBorders>
            <w:shd w:val="clear" w:color="000000" w:fill="C9E3B4"/>
            <w:noWrap/>
            <w:vAlign w:val="center"/>
            <w:hideMark/>
          </w:tcPr>
          <w:p w14:paraId="5A48D884"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426,887 </w:t>
            </w:r>
          </w:p>
        </w:tc>
        <w:tc>
          <w:tcPr>
            <w:tcW w:w="215" w:type="dxa"/>
            <w:tcBorders>
              <w:top w:val="nil"/>
              <w:left w:val="nil"/>
              <w:bottom w:val="nil"/>
              <w:right w:val="nil"/>
            </w:tcBorders>
            <w:shd w:val="clear" w:color="auto" w:fill="auto"/>
            <w:noWrap/>
            <w:vAlign w:val="center"/>
            <w:hideMark/>
          </w:tcPr>
          <w:p w14:paraId="37A727F4" w14:textId="77777777" w:rsidR="00BC5219" w:rsidRPr="008A2B8F" w:rsidRDefault="00BC5219" w:rsidP="00E83802">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22B499FA"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410,337 </w:t>
            </w:r>
          </w:p>
        </w:tc>
      </w:tr>
      <w:tr w:rsidR="00BC5219" w:rsidRPr="008A2B8F" w14:paraId="4EAD9A86" w14:textId="77777777" w:rsidTr="00E83802">
        <w:trPr>
          <w:trHeight w:val="240"/>
        </w:trPr>
        <w:tc>
          <w:tcPr>
            <w:tcW w:w="7117" w:type="dxa"/>
            <w:tcBorders>
              <w:top w:val="nil"/>
              <w:left w:val="nil"/>
              <w:bottom w:val="nil"/>
              <w:right w:val="nil"/>
            </w:tcBorders>
            <w:shd w:val="clear" w:color="auto" w:fill="auto"/>
            <w:noWrap/>
            <w:vAlign w:val="center"/>
            <w:hideMark/>
          </w:tcPr>
          <w:p w14:paraId="2E3F8AE4"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xml:space="preserve">Transport Infrastructure Development Scheme (TIDS) </w:t>
            </w:r>
          </w:p>
        </w:tc>
        <w:tc>
          <w:tcPr>
            <w:tcW w:w="1153" w:type="dxa"/>
            <w:tcBorders>
              <w:top w:val="nil"/>
              <w:left w:val="nil"/>
              <w:bottom w:val="nil"/>
              <w:right w:val="nil"/>
            </w:tcBorders>
            <w:shd w:val="clear" w:color="000000" w:fill="C9E3B4"/>
            <w:noWrap/>
            <w:vAlign w:val="center"/>
            <w:hideMark/>
          </w:tcPr>
          <w:p w14:paraId="56C00B2B"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83,778 </w:t>
            </w:r>
          </w:p>
        </w:tc>
        <w:tc>
          <w:tcPr>
            <w:tcW w:w="215" w:type="dxa"/>
            <w:tcBorders>
              <w:top w:val="nil"/>
              <w:left w:val="nil"/>
              <w:bottom w:val="nil"/>
              <w:right w:val="nil"/>
            </w:tcBorders>
            <w:shd w:val="clear" w:color="auto" w:fill="auto"/>
            <w:noWrap/>
            <w:vAlign w:val="center"/>
            <w:hideMark/>
          </w:tcPr>
          <w:p w14:paraId="20794F42" w14:textId="77777777" w:rsidR="00BC5219" w:rsidRPr="008A2B8F" w:rsidRDefault="00BC5219" w:rsidP="00E83802">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68E25A43"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69,870 </w:t>
            </w:r>
          </w:p>
        </w:tc>
      </w:tr>
      <w:tr w:rsidR="00BC5219" w:rsidRPr="008A2B8F" w14:paraId="450F580E" w14:textId="77777777" w:rsidTr="00E83802">
        <w:trPr>
          <w:trHeight w:val="240"/>
        </w:trPr>
        <w:tc>
          <w:tcPr>
            <w:tcW w:w="7117" w:type="dxa"/>
            <w:tcBorders>
              <w:top w:val="nil"/>
              <w:left w:val="nil"/>
              <w:bottom w:val="nil"/>
              <w:right w:val="nil"/>
            </w:tcBorders>
            <w:shd w:val="clear" w:color="auto" w:fill="auto"/>
            <w:noWrap/>
            <w:vAlign w:val="center"/>
            <w:hideMark/>
          </w:tcPr>
          <w:p w14:paraId="750DECE1"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Other</w:t>
            </w:r>
          </w:p>
        </w:tc>
        <w:tc>
          <w:tcPr>
            <w:tcW w:w="1153" w:type="dxa"/>
            <w:tcBorders>
              <w:top w:val="nil"/>
              <w:left w:val="nil"/>
              <w:bottom w:val="nil"/>
              <w:right w:val="nil"/>
            </w:tcBorders>
            <w:shd w:val="clear" w:color="000000" w:fill="C9E3B4"/>
            <w:noWrap/>
            <w:vAlign w:val="center"/>
            <w:hideMark/>
          </w:tcPr>
          <w:p w14:paraId="32456AA7"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24,822 </w:t>
            </w:r>
          </w:p>
        </w:tc>
        <w:tc>
          <w:tcPr>
            <w:tcW w:w="215" w:type="dxa"/>
            <w:tcBorders>
              <w:top w:val="nil"/>
              <w:left w:val="nil"/>
              <w:bottom w:val="nil"/>
              <w:right w:val="nil"/>
            </w:tcBorders>
            <w:shd w:val="clear" w:color="auto" w:fill="auto"/>
            <w:noWrap/>
            <w:vAlign w:val="center"/>
            <w:hideMark/>
          </w:tcPr>
          <w:p w14:paraId="2C194656" w14:textId="77777777" w:rsidR="00BC5219" w:rsidRPr="008A2B8F" w:rsidRDefault="00BC5219" w:rsidP="00E83802">
            <w:pPr>
              <w:jc w:val="right"/>
              <w:rPr>
                <w:rFonts w:ascii="Meta Pro" w:eastAsia="Times New Roman" w:hAnsi="Meta Pro"/>
                <w:szCs w:val="18"/>
                <w:lang w:eastAsia="en-AU"/>
              </w:rPr>
            </w:pPr>
          </w:p>
        </w:tc>
        <w:tc>
          <w:tcPr>
            <w:tcW w:w="1153" w:type="dxa"/>
            <w:tcBorders>
              <w:top w:val="nil"/>
              <w:left w:val="nil"/>
              <w:bottom w:val="nil"/>
              <w:right w:val="nil"/>
            </w:tcBorders>
            <w:shd w:val="clear" w:color="auto" w:fill="auto"/>
            <w:noWrap/>
            <w:vAlign w:val="center"/>
            <w:hideMark/>
          </w:tcPr>
          <w:p w14:paraId="60AC1786"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13,294 </w:t>
            </w:r>
          </w:p>
        </w:tc>
      </w:tr>
      <w:tr w:rsidR="00BC5219" w:rsidRPr="008A2B8F" w14:paraId="0FABCF07" w14:textId="77777777" w:rsidTr="00E83802">
        <w:trPr>
          <w:trHeight w:val="240"/>
        </w:trPr>
        <w:tc>
          <w:tcPr>
            <w:tcW w:w="7117" w:type="dxa"/>
            <w:tcBorders>
              <w:top w:val="single" w:sz="4" w:space="0" w:color="auto"/>
              <w:left w:val="nil"/>
              <w:bottom w:val="double" w:sz="6" w:space="0" w:color="auto"/>
              <w:right w:val="nil"/>
            </w:tcBorders>
            <w:shd w:val="clear" w:color="auto" w:fill="auto"/>
            <w:noWrap/>
            <w:vAlign w:val="center"/>
            <w:hideMark/>
          </w:tcPr>
          <w:p w14:paraId="78B1EBE5"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Total</w:t>
            </w:r>
          </w:p>
        </w:tc>
        <w:tc>
          <w:tcPr>
            <w:tcW w:w="1153" w:type="dxa"/>
            <w:tcBorders>
              <w:top w:val="single" w:sz="4" w:space="0" w:color="auto"/>
              <w:left w:val="nil"/>
              <w:bottom w:val="double" w:sz="6" w:space="0" w:color="auto"/>
              <w:right w:val="nil"/>
            </w:tcBorders>
            <w:shd w:val="clear" w:color="000000" w:fill="C9E3B4"/>
            <w:noWrap/>
            <w:vAlign w:val="center"/>
            <w:hideMark/>
          </w:tcPr>
          <w:p w14:paraId="5CB3B616"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796,688 </w:t>
            </w:r>
          </w:p>
        </w:tc>
        <w:tc>
          <w:tcPr>
            <w:tcW w:w="215" w:type="dxa"/>
            <w:tcBorders>
              <w:top w:val="single" w:sz="4" w:space="0" w:color="auto"/>
              <w:left w:val="nil"/>
              <w:bottom w:val="double" w:sz="6" w:space="0" w:color="auto"/>
              <w:right w:val="nil"/>
            </w:tcBorders>
            <w:shd w:val="clear" w:color="auto" w:fill="auto"/>
            <w:noWrap/>
            <w:vAlign w:val="center"/>
            <w:hideMark/>
          </w:tcPr>
          <w:p w14:paraId="755D5A9B"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 </w:t>
            </w:r>
          </w:p>
        </w:tc>
        <w:tc>
          <w:tcPr>
            <w:tcW w:w="1153" w:type="dxa"/>
            <w:tcBorders>
              <w:top w:val="single" w:sz="4" w:space="0" w:color="auto"/>
              <w:left w:val="nil"/>
              <w:bottom w:val="double" w:sz="6" w:space="0" w:color="auto"/>
              <w:right w:val="nil"/>
            </w:tcBorders>
            <w:shd w:val="clear" w:color="auto" w:fill="auto"/>
            <w:noWrap/>
            <w:vAlign w:val="center"/>
            <w:hideMark/>
          </w:tcPr>
          <w:p w14:paraId="1969ECBD"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812,378 </w:t>
            </w:r>
          </w:p>
        </w:tc>
      </w:tr>
    </w:tbl>
    <w:p w14:paraId="4D31F424" w14:textId="77777777" w:rsidR="00BC5219" w:rsidRPr="008A2B8F" w:rsidRDefault="00BC5219" w:rsidP="00BC5219">
      <w:pPr>
        <w:spacing w:before="120" w:after="60"/>
        <w:rPr>
          <w:rFonts w:ascii="Meta Pro" w:eastAsia="Times New Roman" w:hAnsi="Meta Pro"/>
          <w:color w:val="000000"/>
          <w:sz w:val="16"/>
          <w:szCs w:val="16"/>
          <w:lang w:eastAsia="en-AU"/>
        </w:rPr>
      </w:pPr>
      <w:r w:rsidRPr="008A2B8F">
        <w:rPr>
          <w:rFonts w:ascii="Meta Pro" w:eastAsia="Times New Roman" w:hAnsi="Meta Pro"/>
          <w:color w:val="000000"/>
          <w:sz w:val="16"/>
          <w:szCs w:val="16"/>
          <w:lang w:eastAsia="en-AU"/>
        </w:rPr>
        <w:t>* Includes $0.204m in 2023 and $61.068m in 2022 for infrastructure assets transferred to local governments.</w:t>
      </w:r>
    </w:p>
    <w:p w14:paraId="106FF68D" w14:textId="77777777" w:rsidR="00BC5219" w:rsidRPr="008A2B8F" w:rsidRDefault="00BC5219" w:rsidP="00BC5219">
      <w:pPr>
        <w:spacing w:before="60"/>
        <w:rPr>
          <w:rFonts w:ascii="Meta Pro" w:eastAsia="Times New Roman" w:hAnsi="Meta Pro"/>
          <w:color w:val="000000"/>
          <w:sz w:val="16"/>
          <w:szCs w:val="16"/>
          <w:lang w:eastAsia="en-AU"/>
        </w:rPr>
      </w:pPr>
      <w:r w:rsidRPr="008A2B8F">
        <w:rPr>
          <w:rFonts w:ascii="Meta Pro" w:eastAsia="Times New Roman" w:hAnsi="Meta Pro"/>
          <w:color w:val="000000"/>
          <w:sz w:val="16"/>
          <w:szCs w:val="16"/>
          <w:lang w:eastAsia="en-AU"/>
        </w:rPr>
        <w:t>** Includes $140.0m in 2023 and $80.0m in 2022 paid to the Brisbane City Council for the Brisbane Metro project.</w:t>
      </w:r>
    </w:p>
    <w:p w14:paraId="32524129" w14:textId="77777777" w:rsidR="00BC5219" w:rsidRPr="008A2B8F" w:rsidRDefault="00BC5219" w:rsidP="00BC5219">
      <w:pPr>
        <w:ind w:left="142" w:hanging="142"/>
        <w:rPr>
          <w:rFonts w:ascii="Meta Pro" w:hAnsi="Meta Pro"/>
          <w:szCs w:val="18"/>
          <w:lang w:eastAsia="en-AU"/>
        </w:rPr>
      </w:pPr>
    </w:p>
    <w:p w14:paraId="189A95BE" w14:textId="77777777" w:rsidR="00BC5219" w:rsidRPr="008A2B8F" w:rsidRDefault="00BC5219" w:rsidP="00BC5219">
      <w:pPr>
        <w:ind w:left="142" w:hanging="142"/>
        <w:rPr>
          <w:rFonts w:ascii="Meta Pro" w:hAnsi="Meta Pro" w:cstheme="minorBidi"/>
        </w:rPr>
      </w:pPr>
    </w:p>
    <w:tbl>
      <w:tblPr>
        <w:tblW w:w="9702" w:type="dxa"/>
        <w:tblCellMar>
          <w:left w:w="0" w:type="dxa"/>
        </w:tblCellMar>
        <w:tblLook w:val="04A0" w:firstRow="1" w:lastRow="0" w:firstColumn="1" w:lastColumn="0" w:noHBand="0" w:noVBand="1"/>
      </w:tblPr>
      <w:tblGrid>
        <w:gridCol w:w="7141"/>
        <w:gridCol w:w="1177"/>
        <w:gridCol w:w="239"/>
        <w:gridCol w:w="1177"/>
      </w:tblGrid>
      <w:tr w:rsidR="00BC5219" w:rsidRPr="008A2B8F" w14:paraId="12F5B36E" w14:textId="77777777" w:rsidTr="00E83802">
        <w:trPr>
          <w:trHeight w:val="240"/>
        </w:trPr>
        <w:tc>
          <w:tcPr>
            <w:tcW w:w="7133" w:type="dxa"/>
            <w:tcBorders>
              <w:top w:val="nil"/>
              <w:left w:val="nil"/>
              <w:bottom w:val="nil"/>
              <w:right w:val="nil"/>
            </w:tcBorders>
            <w:shd w:val="clear" w:color="auto" w:fill="auto"/>
            <w:noWrap/>
            <w:vAlign w:val="center"/>
            <w:hideMark/>
          </w:tcPr>
          <w:p w14:paraId="7D6F5750" w14:textId="77777777" w:rsidR="00BC5219" w:rsidRPr="008A2B8F" w:rsidRDefault="00BC5219" w:rsidP="00E83802">
            <w:pPr>
              <w:rPr>
                <w:rFonts w:ascii="Meta Pro" w:eastAsia="Times New Roman" w:hAnsi="Meta Pro"/>
                <w:b/>
                <w:bCs/>
                <w:lang w:eastAsia="en-AU"/>
              </w:rPr>
            </w:pPr>
            <w:r w:rsidRPr="008A2B8F">
              <w:rPr>
                <w:rFonts w:ascii="Meta Pro" w:eastAsia="Times New Roman" w:hAnsi="Meta Pro"/>
                <w:b/>
                <w:bCs/>
                <w:lang w:eastAsia="en-AU"/>
              </w:rPr>
              <w:t>9     FINANCE AND BORROWING COSTS</w:t>
            </w:r>
          </w:p>
        </w:tc>
        <w:tc>
          <w:tcPr>
            <w:tcW w:w="1169" w:type="dxa"/>
            <w:tcBorders>
              <w:top w:val="nil"/>
              <w:left w:val="nil"/>
              <w:bottom w:val="nil"/>
              <w:right w:val="nil"/>
            </w:tcBorders>
            <w:shd w:val="clear" w:color="auto" w:fill="auto"/>
            <w:noWrap/>
            <w:vAlign w:val="center"/>
            <w:hideMark/>
          </w:tcPr>
          <w:p w14:paraId="3375883B" w14:textId="77777777" w:rsidR="00BC5219" w:rsidRPr="008A2B8F" w:rsidRDefault="00BC5219" w:rsidP="00E83802">
            <w:pPr>
              <w:rPr>
                <w:rFonts w:ascii="Meta Pro" w:eastAsia="Times New Roman" w:hAnsi="Meta Pro"/>
                <w:b/>
                <w:bCs/>
                <w:lang w:eastAsia="en-AU"/>
              </w:rPr>
            </w:pPr>
          </w:p>
        </w:tc>
        <w:tc>
          <w:tcPr>
            <w:tcW w:w="231" w:type="dxa"/>
            <w:tcBorders>
              <w:top w:val="nil"/>
              <w:left w:val="nil"/>
              <w:bottom w:val="nil"/>
              <w:right w:val="nil"/>
            </w:tcBorders>
            <w:shd w:val="clear" w:color="auto" w:fill="auto"/>
            <w:noWrap/>
            <w:vAlign w:val="center"/>
            <w:hideMark/>
          </w:tcPr>
          <w:p w14:paraId="3EF81620" w14:textId="77777777" w:rsidR="00BC5219" w:rsidRPr="008A2B8F" w:rsidRDefault="00BC5219" w:rsidP="00E83802">
            <w:pPr>
              <w:rPr>
                <w:rFonts w:ascii="Meta Pro" w:eastAsia="Times New Roman" w:hAnsi="Meta Pro" w:cs="Times New Roman"/>
                <w:sz w:val="20"/>
                <w:szCs w:val="20"/>
                <w:lang w:eastAsia="en-AU"/>
              </w:rPr>
            </w:pPr>
          </w:p>
        </w:tc>
        <w:tc>
          <w:tcPr>
            <w:tcW w:w="1169" w:type="dxa"/>
            <w:tcBorders>
              <w:top w:val="nil"/>
              <w:left w:val="nil"/>
              <w:bottom w:val="nil"/>
              <w:right w:val="nil"/>
            </w:tcBorders>
            <w:shd w:val="clear" w:color="auto" w:fill="auto"/>
            <w:noWrap/>
            <w:vAlign w:val="center"/>
            <w:hideMark/>
          </w:tcPr>
          <w:p w14:paraId="4E75A988" w14:textId="77777777" w:rsidR="00BC5219" w:rsidRPr="008A2B8F" w:rsidRDefault="00BC5219" w:rsidP="00E83802">
            <w:pPr>
              <w:rPr>
                <w:rFonts w:ascii="Meta Pro" w:eastAsia="Times New Roman" w:hAnsi="Meta Pro" w:cs="Times New Roman"/>
                <w:sz w:val="20"/>
                <w:szCs w:val="20"/>
                <w:lang w:eastAsia="en-AU"/>
              </w:rPr>
            </w:pPr>
          </w:p>
        </w:tc>
      </w:tr>
      <w:tr w:rsidR="00BC5219" w:rsidRPr="008A2B8F" w14:paraId="0ACAE546" w14:textId="77777777" w:rsidTr="00E83802">
        <w:trPr>
          <w:trHeight w:val="90"/>
        </w:trPr>
        <w:tc>
          <w:tcPr>
            <w:tcW w:w="7133" w:type="dxa"/>
            <w:tcBorders>
              <w:top w:val="nil"/>
              <w:left w:val="nil"/>
              <w:bottom w:val="nil"/>
              <w:right w:val="nil"/>
            </w:tcBorders>
            <w:shd w:val="clear" w:color="auto" w:fill="auto"/>
            <w:noWrap/>
            <w:vAlign w:val="center"/>
            <w:hideMark/>
          </w:tcPr>
          <w:p w14:paraId="76F14173" w14:textId="77777777" w:rsidR="00BC5219" w:rsidRPr="008A2B8F" w:rsidRDefault="00BC5219" w:rsidP="00E83802">
            <w:pPr>
              <w:rPr>
                <w:rFonts w:ascii="Meta Pro" w:eastAsia="Times New Roman" w:hAnsi="Meta Pro" w:cs="Times New Roman"/>
                <w:sz w:val="20"/>
                <w:szCs w:val="20"/>
                <w:lang w:eastAsia="en-AU"/>
              </w:rPr>
            </w:pPr>
          </w:p>
        </w:tc>
        <w:tc>
          <w:tcPr>
            <w:tcW w:w="1169" w:type="dxa"/>
            <w:tcBorders>
              <w:top w:val="nil"/>
              <w:left w:val="nil"/>
              <w:bottom w:val="nil"/>
              <w:right w:val="nil"/>
            </w:tcBorders>
            <w:shd w:val="clear" w:color="auto" w:fill="auto"/>
            <w:noWrap/>
            <w:vAlign w:val="center"/>
            <w:hideMark/>
          </w:tcPr>
          <w:p w14:paraId="2068C55A" w14:textId="77777777" w:rsidR="00BC5219" w:rsidRPr="008A2B8F" w:rsidRDefault="00BC5219" w:rsidP="00E83802">
            <w:pPr>
              <w:rPr>
                <w:rFonts w:ascii="Meta Pro" w:eastAsia="Times New Roman" w:hAnsi="Meta Pro" w:cs="Times New Roman"/>
                <w:sz w:val="20"/>
                <w:szCs w:val="20"/>
                <w:lang w:eastAsia="en-AU"/>
              </w:rPr>
            </w:pPr>
          </w:p>
        </w:tc>
        <w:tc>
          <w:tcPr>
            <w:tcW w:w="231" w:type="dxa"/>
            <w:tcBorders>
              <w:top w:val="nil"/>
              <w:left w:val="nil"/>
              <w:bottom w:val="nil"/>
              <w:right w:val="nil"/>
            </w:tcBorders>
            <w:shd w:val="clear" w:color="auto" w:fill="auto"/>
            <w:noWrap/>
            <w:vAlign w:val="center"/>
            <w:hideMark/>
          </w:tcPr>
          <w:p w14:paraId="6E67C8D0" w14:textId="77777777" w:rsidR="00BC5219" w:rsidRPr="008A2B8F" w:rsidRDefault="00BC5219" w:rsidP="00E83802">
            <w:pPr>
              <w:rPr>
                <w:rFonts w:ascii="Meta Pro" w:eastAsia="Times New Roman" w:hAnsi="Meta Pro" w:cs="Times New Roman"/>
                <w:sz w:val="20"/>
                <w:szCs w:val="20"/>
                <w:lang w:eastAsia="en-AU"/>
              </w:rPr>
            </w:pPr>
          </w:p>
        </w:tc>
        <w:tc>
          <w:tcPr>
            <w:tcW w:w="1169" w:type="dxa"/>
            <w:tcBorders>
              <w:top w:val="nil"/>
              <w:left w:val="nil"/>
              <w:bottom w:val="nil"/>
              <w:right w:val="nil"/>
            </w:tcBorders>
            <w:shd w:val="clear" w:color="auto" w:fill="auto"/>
            <w:noWrap/>
            <w:vAlign w:val="center"/>
            <w:hideMark/>
          </w:tcPr>
          <w:p w14:paraId="1E8FB978" w14:textId="77777777" w:rsidR="00BC5219" w:rsidRPr="008A2B8F" w:rsidRDefault="00BC5219" w:rsidP="00E83802">
            <w:pPr>
              <w:rPr>
                <w:rFonts w:ascii="Meta Pro" w:eastAsia="Times New Roman" w:hAnsi="Meta Pro" w:cs="Times New Roman"/>
                <w:sz w:val="20"/>
                <w:szCs w:val="20"/>
                <w:lang w:eastAsia="en-AU"/>
              </w:rPr>
            </w:pPr>
          </w:p>
        </w:tc>
      </w:tr>
      <w:tr w:rsidR="00BC5219" w:rsidRPr="008A2B8F" w14:paraId="774E8BAC" w14:textId="77777777" w:rsidTr="00E83802">
        <w:trPr>
          <w:trHeight w:val="240"/>
        </w:trPr>
        <w:tc>
          <w:tcPr>
            <w:tcW w:w="7133" w:type="dxa"/>
            <w:tcBorders>
              <w:top w:val="nil"/>
              <w:left w:val="nil"/>
              <w:bottom w:val="nil"/>
              <w:right w:val="nil"/>
            </w:tcBorders>
            <w:shd w:val="clear" w:color="auto" w:fill="auto"/>
            <w:noWrap/>
            <w:vAlign w:val="center"/>
            <w:hideMark/>
          </w:tcPr>
          <w:p w14:paraId="24CA5625"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Interest on lease liabilities</w:t>
            </w:r>
          </w:p>
        </w:tc>
        <w:tc>
          <w:tcPr>
            <w:tcW w:w="1169" w:type="dxa"/>
            <w:tcBorders>
              <w:top w:val="nil"/>
              <w:left w:val="nil"/>
              <w:bottom w:val="nil"/>
              <w:right w:val="nil"/>
            </w:tcBorders>
            <w:shd w:val="clear" w:color="000000" w:fill="C9E3B4"/>
            <w:noWrap/>
            <w:vAlign w:val="center"/>
            <w:hideMark/>
          </w:tcPr>
          <w:p w14:paraId="01578743"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376 </w:t>
            </w:r>
          </w:p>
        </w:tc>
        <w:tc>
          <w:tcPr>
            <w:tcW w:w="231" w:type="dxa"/>
            <w:tcBorders>
              <w:top w:val="nil"/>
              <w:left w:val="nil"/>
              <w:bottom w:val="nil"/>
              <w:right w:val="nil"/>
            </w:tcBorders>
            <w:shd w:val="clear" w:color="auto" w:fill="auto"/>
            <w:noWrap/>
            <w:vAlign w:val="center"/>
            <w:hideMark/>
          </w:tcPr>
          <w:p w14:paraId="15ECC333" w14:textId="77777777" w:rsidR="00BC5219" w:rsidRPr="008A2B8F" w:rsidRDefault="00BC5219" w:rsidP="00E83802">
            <w:pPr>
              <w:jc w:val="right"/>
              <w:rPr>
                <w:rFonts w:ascii="Meta Pro" w:eastAsia="Times New Roman" w:hAnsi="Meta Pro"/>
                <w:szCs w:val="18"/>
                <w:lang w:eastAsia="en-AU"/>
              </w:rPr>
            </w:pPr>
          </w:p>
        </w:tc>
        <w:tc>
          <w:tcPr>
            <w:tcW w:w="1169" w:type="dxa"/>
            <w:tcBorders>
              <w:top w:val="nil"/>
              <w:left w:val="nil"/>
              <w:bottom w:val="nil"/>
              <w:right w:val="nil"/>
            </w:tcBorders>
            <w:shd w:val="clear" w:color="auto" w:fill="auto"/>
            <w:noWrap/>
            <w:vAlign w:val="center"/>
            <w:hideMark/>
          </w:tcPr>
          <w:p w14:paraId="3709354D"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90 </w:t>
            </w:r>
          </w:p>
        </w:tc>
      </w:tr>
      <w:tr w:rsidR="00BC5219" w:rsidRPr="008A2B8F" w14:paraId="023E2EC7" w14:textId="77777777" w:rsidTr="00E83802">
        <w:trPr>
          <w:trHeight w:val="240"/>
        </w:trPr>
        <w:tc>
          <w:tcPr>
            <w:tcW w:w="7133" w:type="dxa"/>
            <w:tcBorders>
              <w:top w:val="nil"/>
              <w:left w:val="nil"/>
              <w:bottom w:val="nil"/>
              <w:right w:val="nil"/>
            </w:tcBorders>
            <w:shd w:val="clear" w:color="auto" w:fill="auto"/>
            <w:noWrap/>
            <w:vAlign w:val="center"/>
            <w:hideMark/>
          </w:tcPr>
          <w:p w14:paraId="1B512C97"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Interest on service concession arrangements</w:t>
            </w:r>
          </w:p>
        </w:tc>
        <w:tc>
          <w:tcPr>
            <w:tcW w:w="1169" w:type="dxa"/>
            <w:tcBorders>
              <w:top w:val="nil"/>
              <w:left w:val="nil"/>
              <w:bottom w:val="nil"/>
              <w:right w:val="nil"/>
            </w:tcBorders>
            <w:shd w:val="clear" w:color="000000" w:fill="C9E3B4"/>
            <w:noWrap/>
            <w:vAlign w:val="center"/>
            <w:hideMark/>
          </w:tcPr>
          <w:p w14:paraId="14284DF0"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46,604 </w:t>
            </w:r>
          </w:p>
        </w:tc>
        <w:tc>
          <w:tcPr>
            <w:tcW w:w="231" w:type="dxa"/>
            <w:tcBorders>
              <w:top w:val="nil"/>
              <w:left w:val="nil"/>
              <w:bottom w:val="nil"/>
              <w:right w:val="nil"/>
            </w:tcBorders>
            <w:shd w:val="clear" w:color="auto" w:fill="auto"/>
            <w:noWrap/>
            <w:vAlign w:val="center"/>
            <w:hideMark/>
          </w:tcPr>
          <w:p w14:paraId="6942A2B0" w14:textId="77777777" w:rsidR="00BC5219" w:rsidRPr="008A2B8F" w:rsidRDefault="00BC5219" w:rsidP="00E83802">
            <w:pPr>
              <w:jc w:val="right"/>
              <w:rPr>
                <w:rFonts w:ascii="Meta Pro" w:eastAsia="Times New Roman" w:hAnsi="Meta Pro"/>
                <w:szCs w:val="18"/>
                <w:lang w:eastAsia="en-AU"/>
              </w:rPr>
            </w:pPr>
          </w:p>
        </w:tc>
        <w:tc>
          <w:tcPr>
            <w:tcW w:w="1169" w:type="dxa"/>
            <w:tcBorders>
              <w:top w:val="nil"/>
              <w:left w:val="nil"/>
              <w:bottom w:val="nil"/>
              <w:right w:val="nil"/>
            </w:tcBorders>
            <w:shd w:val="clear" w:color="auto" w:fill="auto"/>
            <w:noWrap/>
            <w:vAlign w:val="center"/>
            <w:hideMark/>
          </w:tcPr>
          <w:p w14:paraId="3C68241D"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46,653 </w:t>
            </w:r>
          </w:p>
        </w:tc>
      </w:tr>
      <w:tr w:rsidR="00BC5219" w:rsidRPr="008A2B8F" w14:paraId="0A8E44DD" w14:textId="77777777" w:rsidTr="00E83802">
        <w:trPr>
          <w:trHeight w:val="240"/>
        </w:trPr>
        <w:tc>
          <w:tcPr>
            <w:tcW w:w="7133" w:type="dxa"/>
            <w:tcBorders>
              <w:top w:val="nil"/>
              <w:left w:val="nil"/>
              <w:bottom w:val="nil"/>
              <w:right w:val="nil"/>
            </w:tcBorders>
            <w:shd w:val="clear" w:color="auto" w:fill="auto"/>
            <w:noWrap/>
            <w:vAlign w:val="center"/>
            <w:hideMark/>
          </w:tcPr>
          <w:p w14:paraId="26952B49"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Interest on New Generation Rollingstock arrangement</w:t>
            </w:r>
          </w:p>
        </w:tc>
        <w:tc>
          <w:tcPr>
            <w:tcW w:w="1169" w:type="dxa"/>
            <w:tcBorders>
              <w:top w:val="nil"/>
              <w:left w:val="nil"/>
              <w:bottom w:val="nil"/>
              <w:right w:val="nil"/>
            </w:tcBorders>
            <w:shd w:val="clear" w:color="000000" w:fill="C9E3B4"/>
            <w:noWrap/>
            <w:vAlign w:val="center"/>
            <w:hideMark/>
          </w:tcPr>
          <w:p w14:paraId="43AA62B1"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50,297 </w:t>
            </w:r>
          </w:p>
        </w:tc>
        <w:tc>
          <w:tcPr>
            <w:tcW w:w="231" w:type="dxa"/>
            <w:tcBorders>
              <w:top w:val="nil"/>
              <w:left w:val="nil"/>
              <w:bottom w:val="nil"/>
              <w:right w:val="nil"/>
            </w:tcBorders>
            <w:shd w:val="clear" w:color="auto" w:fill="auto"/>
            <w:noWrap/>
            <w:vAlign w:val="center"/>
            <w:hideMark/>
          </w:tcPr>
          <w:p w14:paraId="7A99029A" w14:textId="77777777" w:rsidR="00BC5219" w:rsidRPr="008A2B8F" w:rsidRDefault="00BC5219" w:rsidP="00E83802">
            <w:pPr>
              <w:jc w:val="right"/>
              <w:rPr>
                <w:rFonts w:ascii="Meta Pro" w:eastAsia="Times New Roman" w:hAnsi="Meta Pro"/>
                <w:szCs w:val="18"/>
                <w:lang w:eastAsia="en-AU"/>
              </w:rPr>
            </w:pPr>
          </w:p>
        </w:tc>
        <w:tc>
          <w:tcPr>
            <w:tcW w:w="1169" w:type="dxa"/>
            <w:tcBorders>
              <w:top w:val="nil"/>
              <w:left w:val="nil"/>
              <w:bottom w:val="nil"/>
              <w:right w:val="nil"/>
            </w:tcBorders>
            <w:shd w:val="clear" w:color="auto" w:fill="auto"/>
            <w:noWrap/>
            <w:vAlign w:val="center"/>
            <w:hideMark/>
          </w:tcPr>
          <w:p w14:paraId="5B05DA23"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33,228 </w:t>
            </w:r>
          </w:p>
        </w:tc>
      </w:tr>
      <w:tr w:rsidR="00BC5219" w:rsidRPr="008A2B8F" w14:paraId="5DFF6593" w14:textId="77777777" w:rsidTr="00E83802">
        <w:trPr>
          <w:trHeight w:val="240"/>
        </w:trPr>
        <w:tc>
          <w:tcPr>
            <w:tcW w:w="7133" w:type="dxa"/>
            <w:tcBorders>
              <w:top w:val="single" w:sz="4" w:space="0" w:color="auto"/>
              <w:left w:val="nil"/>
              <w:bottom w:val="double" w:sz="6" w:space="0" w:color="auto"/>
              <w:right w:val="nil"/>
            </w:tcBorders>
            <w:shd w:val="clear" w:color="auto" w:fill="auto"/>
            <w:noWrap/>
            <w:vAlign w:val="center"/>
            <w:hideMark/>
          </w:tcPr>
          <w:p w14:paraId="0EF48517"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Total</w:t>
            </w:r>
          </w:p>
        </w:tc>
        <w:tc>
          <w:tcPr>
            <w:tcW w:w="1169" w:type="dxa"/>
            <w:tcBorders>
              <w:top w:val="single" w:sz="4" w:space="0" w:color="auto"/>
              <w:left w:val="nil"/>
              <w:bottom w:val="double" w:sz="6" w:space="0" w:color="auto"/>
              <w:right w:val="nil"/>
            </w:tcBorders>
            <w:shd w:val="clear" w:color="000000" w:fill="C9E3B4"/>
            <w:noWrap/>
            <w:vAlign w:val="center"/>
            <w:hideMark/>
          </w:tcPr>
          <w:p w14:paraId="55A27CAD"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97,277 </w:t>
            </w:r>
          </w:p>
        </w:tc>
        <w:tc>
          <w:tcPr>
            <w:tcW w:w="231" w:type="dxa"/>
            <w:tcBorders>
              <w:top w:val="single" w:sz="4" w:space="0" w:color="auto"/>
              <w:left w:val="nil"/>
              <w:bottom w:val="double" w:sz="6" w:space="0" w:color="auto"/>
              <w:right w:val="nil"/>
            </w:tcBorders>
            <w:shd w:val="clear" w:color="auto" w:fill="auto"/>
            <w:noWrap/>
            <w:vAlign w:val="center"/>
            <w:hideMark/>
          </w:tcPr>
          <w:p w14:paraId="5595D0F6"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w:t>
            </w:r>
          </w:p>
        </w:tc>
        <w:tc>
          <w:tcPr>
            <w:tcW w:w="1169" w:type="dxa"/>
            <w:tcBorders>
              <w:top w:val="single" w:sz="4" w:space="0" w:color="auto"/>
              <w:left w:val="nil"/>
              <w:bottom w:val="double" w:sz="6" w:space="0" w:color="auto"/>
              <w:right w:val="nil"/>
            </w:tcBorders>
            <w:shd w:val="clear" w:color="auto" w:fill="auto"/>
            <w:noWrap/>
            <w:vAlign w:val="center"/>
            <w:hideMark/>
          </w:tcPr>
          <w:p w14:paraId="6F7E5E95"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79,971 </w:t>
            </w:r>
          </w:p>
        </w:tc>
      </w:tr>
    </w:tbl>
    <w:p w14:paraId="29E8A487" w14:textId="77777777" w:rsidR="00BC5219" w:rsidRPr="008A2B8F" w:rsidRDefault="00BC5219" w:rsidP="00BC5219">
      <w:pPr>
        <w:ind w:left="142" w:hanging="142"/>
        <w:rPr>
          <w:rFonts w:ascii="Meta Pro" w:eastAsia="Times New Roman" w:hAnsi="Meta Pro"/>
          <w:szCs w:val="18"/>
          <w:lang w:eastAsia="en-AU"/>
        </w:rPr>
      </w:pPr>
    </w:p>
    <w:p w14:paraId="5CFC86A3" w14:textId="77777777" w:rsidR="00BC5219" w:rsidRPr="008A2B8F" w:rsidRDefault="00BC5219" w:rsidP="00BC5219">
      <w:pPr>
        <w:pStyle w:val="ACPHeading"/>
        <w:spacing w:after="60"/>
      </w:pPr>
      <w:r w:rsidRPr="008A2B8F">
        <w:t>Accounting policy</w:t>
      </w:r>
    </w:p>
    <w:p w14:paraId="5EC612E0" w14:textId="77777777" w:rsidR="00BC5219" w:rsidRPr="008A2B8F" w:rsidRDefault="00BC5219" w:rsidP="00BC5219">
      <w:pPr>
        <w:pStyle w:val="ACPPara"/>
        <w:spacing w:before="60" w:after="60"/>
      </w:pPr>
      <w:r w:rsidRPr="008A2B8F">
        <w:t>Finance costs are recognised as an expense in the period in which they are incurred.</w:t>
      </w:r>
    </w:p>
    <w:p w14:paraId="6FCEF849" w14:textId="77777777" w:rsidR="00BC5219" w:rsidRPr="008A2B8F" w:rsidRDefault="00BC5219" w:rsidP="00BC5219">
      <w:pPr>
        <w:pStyle w:val="ACPPara"/>
        <w:spacing w:after="0"/>
      </w:pPr>
      <w:r w:rsidRPr="008A2B8F">
        <w:t>No borrowing costs are capitalised into qualifying assets.</w:t>
      </w:r>
    </w:p>
    <w:p w14:paraId="7217EB59" w14:textId="77777777" w:rsidR="00BC5219" w:rsidRPr="008A2B8F" w:rsidRDefault="00BC5219" w:rsidP="00BC5219">
      <w:pPr>
        <w:spacing w:before="60"/>
        <w:rPr>
          <w:rFonts w:ascii="Meta Pro" w:eastAsia="Times New Roman" w:hAnsi="Meta Pro"/>
          <w:color w:val="000000"/>
          <w:sz w:val="16"/>
          <w:szCs w:val="16"/>
          <w:lang w:eastAsia="en-AU"/>
        </w:rPr>
        <w:sectPr w:rsidR="00BC5219" w:rsidRPr="008A2B8F" w:rsidSect="00D656B1">
          <w:headerReference w:type="default" r:id="rId99"/>
          <w:footerReference w:type="default" r:id="rId100"/>
          <w:pgSz w:w="11906" w:h="16838"/>
          <w:pgMar w:top="1701" w:right="851" w:bottom="1134" w:left="851" w:header="454" w:footer="284" w:gutter="0"/>
          <w:pgNumType w:start="11"/>
          <w:cols w:space="708"/>
          <w:docGrid w:linePitch="360"/>
        </w:sectPr>
      </w:pPr>
    </w:p>
    <w:p w14:paraId="1AACA5A7"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r w:rsidRPr="008A2B8F">
        <w:rPr>
          <w:rFonts w:ascii="Meta Pro" w:eastAsia="Times New Roman" w:hAnsi="Meta Pro"/>
          <w:i/>
          <w:iCs/>
          <w:color w:val="000000" w:themeColor="text1"/>
          <w:lang w:eastAsia="en-AU"/>
        </w:rPr>
        <w:lastRenderedPageBreak/>
        <w:t>Department of Transport and Main Roads</w:t>
      </w:r>
    </w:p>
    <w:p w14:paraId="6C5BB5EE"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Notes to the financial statements 2022–23 (continued)</w:t>
      </w:r>
    </w:p>
    <w:p w14:paraId="155F697E" w14:textId="77777777" w:rsidR="00BC5219" w:rsidRPr="008A2B8F" w:rsidRDefault="00BC5219" w:rsidP="00BC5219">
      <w:pPr>
        <w:ind w:left="142" w:hanging="142"/>
        <w:rPr>
          <w:rFonts w:ascii="Meta Pro" w:hAnsi="Meta Pro"/>
        </w:rPr>
      </w:pPr>
    </w:p>
    <w:tbl>
      <w:tblPr>
        <w:tblW w:w="9670" w:type="dxa"/>
        <w:tblCellMar>
          <w:left w:w="0" w:type="dxa"/>
        </w:tblCellMar>
        <w:tblLook w:val="04A0" w:firstRow="1" w:lastRow="0" w:firstColumn="1" w:lastColumn="0" w:noHBand="0" w:noVBand="1"/>
      </w:tblPr>
      <w:tblGrid>
        <w:gridCol w:w="7133"/>
        <w:gridCol w:w="1169"/>
        <w:gridCol w:w="231"/>
        <w:gridCol w:w="1169"/>
      </w:tblGrid>
      <w:tr w:rsidR="00BC5219" w:rsidRPr="008A2B8F" w14:paraId="6AFB93D6" w14:textId="77777777" w:rsidTr="00E83802">
        <w:trPr>
          <w:trHeight w:val="240"/>
        </w:trPr>
        <w:tc>
          <w:tcPr>
            <w:tcW w:w="7125" w:type="dxa"/>
            <w:tcBorders>
              <w:top w:val="nil"/>
              <w:left w:val="nil"/>
              <w:bottom w:val="nil"/>
              <w:right w:val="nil"/>
            </w:tcBorders>
            <w:shd w:val="clear" w:color="auto" w:fill="auto"/>
            <w:noWrap/>
            <w:vAlign w:val="center"/>
            <w:hideMark/>
          </w:tcPr>
          <w:p w14:paraId="085ECE55" w14:textId="77777777" w:rsidR="00BC5219" w:rsidRPr="008A2B8F" w:rsidRDefault="00BC5219" w:rsidP="00E83802">
            <w:pPr>
              <w:rPr>
                <w:rFonts w:ascii="Meta Pro" w:eastAsia="Times New Roman" w:hAnsi="Meta Pro" w:cs="Times New Roman"/>
                <w:sz w:val="24"/>
                <w:szCs w:val="24"/>
                <w:lang w:eastAsia="en-AU"/>
              </w:rPr>
            </w:pPr>
          </w:p>
        </w:tc>
        <w:tc>
          <w:tcPr>
            <w:tcW w:w="1161" w:type="dxa"/>
            <w:tcBorders>
              <w:top w:val="nil"/>
              <w:left w:val="nil"/>
              <w:bottom w:val="nil"/>
              <w:right w:val="nil"/>
            </w:tcBorders>
            <w:shd w:val="clear" w:color="auto" w:fill="auto"/>
            <w:noWrap/>
            <w:vAlign w:val="center"/>
            <w:hideMark/>
          </w:tcPr>
          <w:p w14:paraId="381E5843" w14:textId="77777777" w:rsidR="00BC5219" w:rsidRPr="008A2B8F" w:rsidRDefault="00BC5219" w:rsidP="00E83802">
            <w:pPr>
              <w:jc w:val="center"/>
              <w:rPr>
                <w:rFonts w:ascii="Meta Pro" w:eastAsia="Times New Roman" w:hAnsi="Meta Pro"/>
                <w:b/>
                <w:bCs/>
                <w:color w:val="000000"/>
                <w:lang w:eastAsia="en-AU"/>
              </w:rPr>
            </w:pPr>
            <w:r w:rsidRPr="008A2B8F">
              <w:rPr>
                <w:rFonts w:ascii="Meta Pro" w:eastAsia="Times New Roman" w:hAnsi="Meta Pro"/>
                <w:b/>
                <w:bCs/>
                <w:color w:val="000000"/>
                <w:lang w:eastAsia="en-AU"/>
              </w:rPr>
              <w:t>2023</w:t>
            </w:r>
          </w:p>
        </w:tc>
        <w:tc>
          <w:tcPr>
            <w:tcW w:w="223" w:type="dxa"/>
            <w:tcBorders>
              <w:top w:val="nil"/>
              <w:left w:val="nil"/>
              <w:bottom w:val="nil"/>
              <w:right w:val="nil"/>
            </w:tcBorders>
            <w:shd w:val="clear" w:color="auto" w:fill="auto"/>
            <w:noWrap/>
            <w:vAlign w:val="center"/>
            <w:hideMark/>
          </w:tcPr>
          <w:p w14:paraId="7F2CE3D1" w14:textId="77777777" w:rsidR="00BC5219" w:rsidRPr="008A2B8F" w:rsidRDefault="00BC5219" w:rsidP="00E83802">
            <w:pPr>
              <w:jc w:val="center"/>
              <w:rPr>
                <w:rFonts w:ascii="Meta Pro" w:eastAsia="Times New Roman" w:hAnsi="Meta Pro"/>
                <w:b/>
                <w:bCs/>
                <w:color w:val="000000"/>
                <w:lang w:eastAsia="en-AU"/>
              </w:rPr>
            </w:pPr>
          </w:p>
        </w:tc>
        <w:tc>
          <w:tcPr>
            <w:tcW w:w="1161" w:type="dxa"/>
            <w:tcBorders>
              <w:top w:val="nil"/>
              <w:left w:val="nil"/>
              <w:bottom w:val="nil"/>
              <w:right w:val="nil"/>
            </w:tcBorders>
            <w:shd w:val="clear" w:color="auto" w:fill="auto"/>
            <w:noWrap/>
            <w:vAlign w:val="center"/>
            <w:hideMark/>
          </w:tcPr>
          <w:p w14:paraId="782CD530" w14:textId="77777777" w:rsidR="00BC5219" w:rsidRPr="008A2B8F" w:rsidRDefault="00BC5219" w:rsidP="00E83802">
            <w:pPr>
              <w:jc w:val="center"/>
              <w:rPr>
                <w:rFonts w:ascii="Meta Pro" w:eastAsia="Times New Roman" w:hAnsi="Meta Pro"/>
                <w:b/>
                <w:bCs/>
                <w:lang w:eastAsia="en-AU"/>
              </w:rPr>
            </w:pPr>
            <w:r w:rsidRPr="008A2B8F">
              <w:rPr>
                <w:rFonts w:ascii="Meta Pro" w:eastAsia="Times New Roman" w:hAnsi="Meta Pro"/>
                <w:b/>
                <w:bCs/>
                <w:lang w:eastAsia="en-AU"/>
              </w:rPr>
              <w:t>2022</w:t>
            </w:r>
          </w:p>
        </w:tc>
      </w:tr>
      <w:tr w:rsidR="00BC5219" w:rsidRPr="008A2B8F" w14:paraId="07BC7CE9" w14:textId="77777777" w:rsidTr="00E83802">
        <w:trPr>
          <w:trHeight w:val="240"/>
        </w:trPr>
        <w:tc>
          <w:tcPr>
            <w:tcW w:w="7125" w:type="dxa"/>
            <w:tcBorders>
              <w:top w:val="nil"/>
              <w:left w:val="nil"/>
              <w:bottom w:val="nil"/>
              <w:right w:val="nil"/>
            </w:tcBorders>
            <w:shd w:val="clear" w:color="auto" w:fill="auto"/>
            <w:noWrap/>
            <w:vAlign w:val="center"/>
            <w:hideMark/>
          </w:tcPr>
          <w:p w14:paraId="50636D41" w14:textId="77777777" w:rsidR="00BC5219" w:rsidRPr="008A2B8F" w:rsidRDefault="00BC5219" w:rsidP="00E83802">
            <w:pPr>
              <w:jc w:val="center"/>
              <w:rPr>
                <w:rFonts w:ascii="Meta Pro" w:eastAsia="Times New Roman" w:hAnsi="Meta Pro"/>
                <w:b/>
                <w:bCs/>
                <w:lang w:eastAsia="en-AU"/>
              </w:rPr>
            </w:pPr>
          </w:p>
        </w:tc>
        <w:tc>
          <w:tcPr>
            <w:tcW w:w="1161" w:type="dxa"/>
            <w:tcBorders>
              <w:top w:val="nil"/>
              <w:left w:val="nil"/>
              <w:bottom w:val="nil"/>
              <w:right w:val="nil"/>
            </w:tcBorders>
            <w:shd w:val="clear" w:color="auto" w:fill="auto"/>
            <w:noWrap/>
            <w:vAlign w:val="center"/>
            <w:hideMark/>
          </w:tcPr>
          <w:p w14:paraId="116341D7" w14:textId="77777777" w:rsidR="00BC5219" w:rsidRPr="008A2B8F" w:rsidRDefault="00BC5219" w:rsidP="00E83802">
            <w:pPr>
              <w:jc w:val="center"/>
              <w:rPr>
                <w:rFonts w:ascii="Meta Pro" w:eastAsia="Times New Roman" w:hAnsi="Meta Pro"/>
                <w:b/>
                <w:bCs/>
                <w:lang w:eastAsia="en-AU"/>
              </w:rPr>
            </w:pPr>
            <w:r w:rsidRPr="008A2B8F">
              <w:rPr>
                <w:rFonts w:ascii="Meta Pro" w:eastAsia="Times New Roman" w:hAnsi="Meta Pro"/>
                <w:b/>
                <w:bCs/>
                <w:lang w:eastAsia="en-AU"/>
              </w:rPr>
              <w:t>$'000</w:t>
            </w:r>
          </w:p>
        </w:tc>
        <w:tc>
          <w:tcPr>
            <w:tcW w:w="223" w:type="dxa"/>
            <w:tcBorders>
              <w:top w:val="nil"/>
              <w:left w:val="nil"/>
              <w:bottom w:val="nil"/>
              <w:right w:val="nil"/>
            </w:tcBorders>
            <w:shd w:val="clear" w:color="auto" w:fill="auto"/>
            <w:noWrap/>
            <w:vAlign w:val="center"/>
            <w:hideMark/>
          </w:tcPr>
          <w:p w14:paraId="27E185D0" w14:textId="77777777" w:rsidR="00BC5219" w:rsidRPr="008A2B8F" w:rsidRDefault="00BC5219" w:rsidP="00E83802">
            <w:pPr>
              <w:jc w:val="center"/>
              <w:rPr>
                <w:rFonts w:ascii="Meta Pro" w:eastAsia="Times New Roman" w:hAnsi="Meta Pro"/>
                <w:b/>
                <w:bCs/>
                <w:lang w:eastAsia="en-AU"/>
              </w:rPr>
            </w:pPr>
          </w:p>
        </w:tc>
        <w:tc>
          <w:tcPr>
            <w:tcW w:w="1161" w:type="dxa"/>
            <w:tcBorders>
              <w:top w:val="nil"/>
              <w:left w:val="nil"/>
              <w:bottom w:val="nil"/>
              <w:right w:val="nil"/>
            </w:tcBorders>
            <w:shd w:val="clear" w:color="auto" w:fill="auto"/>
            <w:noWrap/>
            <w:vAlign w:val="center"/>
            <w:hideMark/>
          </w:tcPr>
          <w:p w14:paraId="11D73297" w14:textId="77777777" w:rsidR="00BC5219" w:rsidRPr="008A2B8F" w:rsidRDefault="00BC5219" w:rsidP="00E83802">
            <w:pPr>
              <w:jc w:val="center"/>
              <w:rPr>
                <w:rFonts w:ascii="Meta Pro" w:eastAsia="Times New Roman" w:hAnsi="Meta Pro"/>
                <w:b/>
                <w:bCs/>
                <w:lang w:eastAsia="en-AU"/>
              </w:rPr>
            </w:pPr>
            <w:r w:rsidRPr="008A2B8F">
              <w:rPr>
                <w:rFonts w:ascii="Meta Pro" w:eastAsia="Times New Roman" w:hAnsi="Meta Pro"/>
                <w:b/>
                <w:bCs/>
                <w:lang w:eastAsia="en-AU"/>
              </w:rPr>
              <w:t>$'000</w:t>
            </w:r>
          </w:p>
        </w:tc>
      </w:tr>
    </w:tbl>
    <w:p w14:paraId="6510B702" w14:textId="77777777" w:rsidR="00BC5219" w:rsidRPr="008A2B8F" w:rsidRDefault="00BC5219" w:rsidP="00BC5219">
      <w:pPr>
        <w:spacing w:line="14" w:lineRule="exact"/>
        <w:rPr>
          <w:rFonts w:ascii="Meta Pro" w:hAnsi="Meta Pro" w:cstheme="minorBidi"/>
        </w:rPr>
      </w:pPr>
    </w:p>
    <w:tbl>
      <w:tblPr>
        <w:tblW w:w="0" w:type="auto"/>
        <w:tblCellMar>
          <w:left w:w="0" w:type="dxa"/>
        </w:tblCellMar>
        <w:tblLook w:val="04A0" w:firstRow="1" w:lastRow="0" w:firstColumn="1" w:lastColumn="0" w:noHBand="0" w:noVBand="1"/>
      </w:tblPr>
      <w:tblGrid>
        <w:gridCol w:w="7144"/>
        <w:gridCol w:w="1164"/>
        <w:gridCol w:w="224"/>
        <w:gridCol w:w="1164"/>
      </w:tblGrid>
      <w:tr w:rsidR="00BC5219" w:rsidRPr="008A2B8F" w14:paraId="4F7F2B9C" w14:textId="77777777" w:rsidTr="00E83802">
        <w:trPr>
          <w:trHeight w:val="227"/>
        </w:trPr>
        <w:tc>
          <w:tcPr>
            <w:tcW w:w="7136" w:type="dxa"/>
            <w:tcBorders>
              <w:top w:val="nil"/>
              <w:left w:val="nil"/>
              <w:bottom w:val="nil"/>
              <w:right w:val="nil"/>
            </w:tcBorders>
            <w:shd w:val="clear" w:color="auto" w:fill="auto"/>
            <w:noWrap/>
            <w:vAlign w:val="center"/>
            <w:hideMark/>
          </w:tcPr>
          <w:p w14:paraId="4D49A2B0" w14:textId="77777777" w:rsidR="00BC5219" w:rsidRPr="008A2B8F" w:rsidRDefault="00BC5219" w:rsidP="00E83802">
            <w:pPr>
              <w:rPr>
                <w:rFonts w:ascii="Meta Pro" w:eastAsia="Times New Roman" w:hAnsi="Meta Pro"/>
                <w:b/>
                <w:bCs/>
                <w:lang w:eastAsia="en-AU"/>
              </w:rPr>
            </w:pPr>
            <w:r w:rsidRPr="008A2B8F">
              <w:rPr>
                <w:rFonts w:ascii="Meta Pro" w:eastAsia="Times New Roman" w:hAnsi="Meta Pro"/>
                <w:b/>
                <w:bCs/>
                <w:lang w:eastAsia="en-AU"/>
              </w:rPr>
              <w:t>10     DEPRECIATION AND AMORTISATION</w:t>
            </w:r>
          </w:p>
        </w:tc>
        <w:tc>
          <w:tcPr>
            <w:tcW w:w="1156" w:type="dxa"/>
            <w:tcBorders>
              <w:top w:val="nil"/>
              <w:left w:val="nil"/>
              <w:bottom w:val="nil"/>
              <w:right w:val="nil"/>
            </w:tcBorders>
            <w:shd w:val="clear" w:color="auto" w:fill="auto"/>
            <w:noWrap/>
            <w:vAlign w:val="center"/>
            <w:hideMark/>
          </w:tcPr>
          <w:p w14:paraId="1CF32769" w14:textId="77777777" w:rsidR="00BC5219" w:rsidRPr="008A2B8F" w:rsidRDefault="00BC5219" w:rsidP="00E83802">
            <w:pPr>
              <w:rPr>
                <w:rFonts w:ascii="Meta Pro" w:eastAsia="Times New Roman" w:hAnsi="Meta Pro"/>
                <w:b/>
                <w:bCs/>
                <w:lang w:eastAsia="en-AU"/>
              </w:rPr>
            </w:pPr>
          </w:p>
        </w:tc>
        <w:tc>
          <w:tcPr>
            <w:tcW w:w="216" w:type="dxa"/>
            <w:tcBorders>
              <w:top w:val="nil"/>
              <w:left w:val="nil"/>
              <w:bottom w:val="nil"/>
              <w:right w:val="nil"/>
            </w:tcBorders>
            <w:shd w:val="clear" w:color="auto" w:fill="auto"/>
            <w:noWrap/>
            <w:vAlign w:val="center"/>
            <w:hideMark/>
          </w:tcPr>
          <w:p w14:paraId="373BA915" w14:textId="77777777" w:rsidR="00BC5219" w:rsidRPr="008A2B8F" w:rsidRDefault="00BC5219" w:rsidP="00E83802">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06D25E7A" w14:textId="77777777" w:rsidR="00BC5219" w:rsidRPr="008A2B8F" w:rsidRDefault="00BC5219" w:rsidP="00E83802">
            <w:pPr>
              <w:rPr>
                <w:rFonts w:ascii="Meta Pro" w:eastAsia="Times New Roman" w:hAnsi="Meta Pro" w:cs="Times New Roman"/>
                <w:sz w:val="20"/>
                <w:szCs w:val="20"/>
                <w:lang w:eastAsia="en-AU"/>
              </w:rPr>
            </w:pPr>
          </w:p>
        </w:tc>
      </w:tr>
      <w:tr w:rsidR="00BC5219" w:rsidRPr="008A2B8F" w14:paraId="23DC4B9C" w14:textId="77777777" w:rsidTr="00E83802">
        <w:trPr>
          <w:trHeight w:val="227"/>
        </w:trPr>
        <w:tc>
          <w:tcPr>
            <w:tcW w:w="7136" w:type="dxa"/>
            <w:tcBorders>
              <w:top w:val="nil"/>
              <w:left w:val="nil"/>
              <w:bottom w:val="nil"/>
              <w:right w:val="nil"/>
            </w:tcBorders>
            <w:shd w:val="clear" w:color="auto" w:fill="auto"/>
            <w:noWrap/>
            <w:vAlign w:val="center"/>
            <w:hideMark/>
          </w:tcPr>
          <w:p w14:paraId="5CB8EFD7" w14:textId="77777777" w:rsidR="00BC5219" w:rsidRPr="008A2B8F" w:rsidRDefault="00BC5219" w:rsidP="00E83802">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3DD5E1B9" w14:textId="77777777" w:rsidR="00BC5219" w:rsidRPr="008A2B8F" w:rsidRDefault="00BC5219" w:rsidP="00E83802">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51414F25" w14:textId="77777777" w:rsidR="00BC5219" w:rsidRPr="008A2B8F"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51862F95"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19435751" w14:textId="77777777" w:rsidTr="00E83802">
        <w:trPr>
          <w:trHeight w:val="227"/>
        </w:trPr>
        <w:tc>
          <w:tcPr>
            <w:tcW w:w="7136" w:type="dxa"/>
            <w:tcBorders>
              <w:top w:val="nil"/>
              <w:left w:val="nil"/>
              <w:bottom w:val="nil"/>
              <w:right w:val="nil"/>
            </w:tcBorders>
            <w:shd w:val="clear" w:color="auto" w:fill="auto"/>
            <w:noWrap/>
            <w:vAlign w:val="center"/>
            <w:hideMark/>
          </w:tcPr>
          <w:p w14:paraId="554D6966"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Depreciation incurred for property, plant and equipment</w:t>
            </w:r>
          </w:p>
        </w:tc>
        <w:tc>
          <w:tcPr>
            <w:tcW w:w="1156" w:type="dxa"/>
            <w:tcBorders>
              <w:top w:val="nil"/>
              <w:left w:val="nil"/>
              <w:bottom w:val="nil"/>
              <w:right w:val="nil"/>
            </w:tcBorders>
            <w:shd w:val="clear" w:color="auto" w:fill="auto"/>
            <w:noWrap/>
            <w:vAlign w:val="center"/>
            <w:hideMark/>
          </w:tcPr>
          <w:p w14:paraId="15D16412" w14:textId="77777777" w:rsidR="00BC5219" w:rsidRPr="008A2B8F" w:rsidRDefault="00BC5219" w:rsidP="00E83802">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1CF8BD3D" w14:textId="77777777" w:rsidR="00BC5219" w:rsidRPr="008A2B8F" w:rsidRDefault="00BC5219" w:rsidP="00E83802">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0D809791" w14:textId="77777777" w:rsidR="00BC5219" w:rsidRPr="008A2B8F" w:rsidRDefault="00BC5219" w:rsidP="00E83802">
            <w:pPr>
              <w:rPr>
                <w:rFonts w:ascii="Meta Pro" w:eastAsia="Times New Roman" w:hAnsi="Meta Pro" w:cs="Times New Roman"/>
                <w:sz w:val="20"/>
                <w:szCs w:val="20"/>
                <w:lang w:eastAsia="en-AU"/>
              </w:rPr>
            </w:pPr>
          </w:p>
        </w:tc>
      </w:tr>
      <w:tr w:rsidR="00BC5219" w:rsidRPr="008A2B8F" w14:paraId="3D60B76E" w14:textId="77777777" w:rsidTr="00E83802">
        <w:trPr>
          <w:trHeight w:val="227"/>
        </w:trPr>
        <w:tc>
          <w:tcPr>
            <w:tcW w:w="7136" w:type="dxa"/>
            <w:tcBorders>
              <w:top w:val="nil"/>
              <w:left w:val="nil"/>
              <w:bottom w:val="nil"/>
              <w:right w:val="nil"/>
            </w:tcBorders>
            <w:shd w:val="clear" w:color="auto" w:fill="auto"/>
            <w:noWrap/>
            <w:vAlign w:val="center"/>
            <w:hideMark/>
          </w:tcPr>
          <w:p w14:paraId="47797666"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xml:space="preserve">Buildings </w:t>
            </w:r>
          </w:p>
        </w:tc>
        <w:tc>
          <w:tcPr>
            <w:tcW w:w="1156" w:type="dxa"/>
            <w:tcBorders>
              <w:top w:val="nil"/>
              <w:left w:val="nil"/>
              <w:bottom w:val="nil"/>
              <w:right w:val="nil"/>
            </w:tcBorders>
            <w:shd w:val="clear" w:color="000000" w:fill="C9E3B4"/>
            <w:noWrap/>
            <w:vAlign w:val="center"/>
            <w:hideMark/>
          </w:tcPr>
          <w:p w14:paraId="19BFF4D5"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59,991 </w:t>
            </w:r>
          </w:p>
        </w:tc>
        <w:tc>
          <w:tcPr>
            <w:tcW w:w="216" w:type="dxa"/>
            <w:tcBorders>
              <w:top w:val="nil"/>
              <w:left w:val="nil"/>
              <w:bottom w:val="nil"/>
              <w:right w:val="nil"/>
            </w:tcBorders>
            <w:shd w:val="clear" w:color="auto" w:fill="auto"/>
            <w:noWrap/>
            <w:vAlign w:val="center"/>
            <w:hideMark/>
          </w:tcPr>
          <w:p w14:paraId="742057AF"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17D0B948"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48,950 </w:t>
            </w:r>
          </w:p>
        </w:tc>
      </w:tr>
      <w:tr w:rsidR="00BC5219" w:rsidRPr="008A2B8F" w14:paraId="58BD06FE" w14:textId="77777777" w:rsidTr="00E83802">
        <w:trPr>
          <w:trHeight w:val="227"/>
        </w:trPr>
        <w:tc>
          <w:tcPr>
            <w:tcW w:w="7136" w:type="dxa"/>
            <w:tcBorders>
              <w:top w:val="nil"/>
              <w:left w:val="nil"/>
              <w:bottom w:val="nil"/>
              <w:right w:val="nil"/>
            </w:tcBorders>
            <w:shd w:val="clear" w:color="auto" w:fill="auto"/>
            <w:noWrap/>
            <w:vAlign w:val="center"/>
            <w:hideMark/>
          </w:tcPr>
          <w:p w14:paraId="4269BA3F"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Plant and equipment</w:t>
            </w:r>
          </w:p>
        </w:tc>
        <w:tc>
          <w:tcPr>
            <w:tcW w:w="1156" w:type="dxa"/>
            <w:tcBorders>
              <w:top w:val="nil"/>
              <w:left w:val="nil"/>
              <w:bottom w:val="nil"/>
              <w:right w:val="nil"/>
            </w:tcBorders>
            <w:shd w:val="clear" w:color="000000" w:fill="C9E3B4"/>
            <w:noWrap/>
            <w:vAlign w:val="center"/>
            <w:hideMark/>
          </w:tcPr>
          <w:p w14:paraId="6D1AE112"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40,406 </w:t>
            </w:r>
          </w:p>
        </w:tc>
        <w:tc>
          <w:tcPr>
            <w:tcW w:w="216" w:type="dxa"/>
            <w:tcBorders>
              <w:top w:val="nil"/>
              <w:left w:val="nil"/>
              <w:bottom w:val="nil"/>
              <w:right w:val="nil"/>
            </w:tcBorders>
            <w:shd w:val="clear" w:color="auto" w:fill="auto"/>
            <w:noWrap/>
            <w:vAlign w:val="center"/>
            <w:hideMark/>
          </w:tcPr>
          <w:p w14:paraId="3B3955BE"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219B2A93"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39,294 </w:t>
            </w:r>
          </w:p>
        </w:tc>
      </w:tr>
      <w:tr w:rsidR="00BC5219" w:rsidRPr="008A2B8F" w14:paraId="7DE295D2" w14:textId="77777777" w:rsidTr="00E83802">
        <w:trPr>
          <w:trHeight w:val="227"/>
        </w:trPr>
        <w:tc>
          <w:tcPr>
            <w:tcW w:w="7136" w:type="dxa"/>
            <w:tcBorders>
              <w:top w:val="nil"/>
              <w:left w:val="nil"/>
              <w:bottom w:val="nil"/>
              <w:right w:val="nil"/>
            </w:tcBorders>
            <w:shd w:val="clear" w:color="auto" w:fill="auto"/>
            <w:noWrap/>
            <w:vAlign w:val="center"/>
            <w:hideMark/>
          </w:tcPr>
          <w:p w14:paraId="66C223F3"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Major plant and equipment</w:t>
            </w:r>
          </w:p>
        </w:tc>
        <w:tc>
          <w:tcPr>
            <w:tcW w:w="1156" w:type="dxa"/>
            <w:tcBorders>
              <w:top w:val="nil"/>
              <w:left w:val="nil"/>
              <w:bottom w:val="nil"/>
              <w:right w:val="nil"/>
            </w:tcBorders>
            <w:shd w:val="clear" w:color="000000" w:fill="C9E3B4"/>
            <w:noWrap/>
            <w:vAlign w:val="center"/>
            <w:hideMark/>
          </w:tcPr>
          <w:p w14:paraId="40EA0DC6"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46,951 </w:t>
            </w:r>
          </w:p>
        </w:tc>
        <w:tc>
          <w:tcPr>
            <w:tcW w:w="216" w:type="dxa"/>
            <w:tcBorders>
              <w:top w:val="nil"/>
              <w:left w:val="nil"/>
              <w:bottom w:val="nil"/>
              <w:right w:val="nil"/>
            </w:tcBorders>
            <w:shd w:val="clear" w:color="auto" w:fill="auto"/>
            <w:noWrap/>
            <w:vAlign w:val="center"/>
            <w:hideMark/>
          </w:tcPr>
          <w:p w14:paraId="6E1F3F5E"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3FCEDC34"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42,535 </w:t>
            </w:r>
          </w:p>
        </w:tc>
      </w:tr>
      <w:tr w:rsidR="00BC5219" w:rsidRPr="008A2B8F" w14:paraId="5488160F" w14:textId="77777777" w:rsidTr="00E83802">
        <w:trPr>
          <w:trHeight w:val="227"/>
        </w:trPr>
        <w:tc>
          <w:tcPr>
            <w:tcW w:w="7136" w:type="dxa"/>
            <w:tcBorders>
              <w:top w:val="nil"/>
              <w:left w:val="nil"/>
              <w:bottom w:val="nil"/>
              <w:right w:val="nil"/>
            </w:tcBorders>
            <w:shd w:val="clear" w:color="auto" w:fill="auto"/>
            <w:noWrap/>
            <w:vAlign w:val="center"/>
            <w:hideMark/>
          </w:tcPr>
          <w:p w14:paraId="789A9ECF"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Infrastructure</w:t>
            </w:r>
          </w:p>
        </w:tc>
        <w:tc>
          <w:tcPr>
            <w:tcW w:w="1156" w:type="dxa"/>
            <w:tcBorders>
              <w:top w:val="nil"/>
              <w:left w:val="nil"/>
              <w:bottom w:val="nil"/>
              <w:right w:val="nil"/>
            </w:tcBorders>
            <w:shd w:val="clear" w:color="000000" w:fill="C9E3B4"/>
            <w:noWrap/>
            <w:vAlign w:val="center"/>
            <w:hideMark/>
          </w:tcPr>
          <w:p w14:paraId="5ECB5F69"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1,157,193 </w:t>
            </w:r>
          </w:p>
        </w:tc>
        <w:tc>
          <w:tcPr>
            <w:tcW w:w="216" w:type="dxa"/>
            <w:tcBorders>
              <w:top w:val="nil"/>
              <w:left w:val="nil"/>
              <w:bottom w:val="nil"/>
              <w:right w:val="nil"/>
            </w:tcBorders>
            <w:shd w:val="clear" w:color="auto" w:fill="auto"/>
            <w:noWrap/>
            <w:vAlign w:val="center"/>
            <w:hideMark/>
          </w:tcPr>
          <w:p w14:paraId="3B1834DC"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2AB09D1C"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1,038,373 </w:t>
            </w:r>
          </w:p>
        </w:tc>
      </w:tr>
      <w:tr w:rsidR="00BC5219" w:rsidRPr="008A2B8F" w14:paraId="0F6D054B" w14:textId="77777777" w:rsidTr="00E83802">
        <w:trPr>
          <w:trHeight w:val="227"/>
        </w:trPr>
        <w:tc>
          <w:tcPr>
            <w:tcW w:w="7136" w:type="dxa"/>
            <w:tcBorders>
              <w:top w:val="nil"/>
              <w:left w:val="nil"/>
              <w:bottom w:val="nil"/>
              <w:right w:val="nil"/>
            </w:tcBorders>
            <w:shd w:val="clear" w:color="auto" w:fill="auto"/>
            <w:noWrap/>
            <w:vAlign w:val="center"/>
            <w:hideMark/>
          </w:tcPr>
          <w:p w14:paraId="03C323F5"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Service concession assets</w:t>
            </w:r>
          </w:p>
        </w:tc>
        <w:tc>
          <w:tcPr>
            <w:tcW w:w="1156" w:type="dxa"/>
            <w:tcBorders>
              <w:top w:val="nil"/>
              <w:left w:val="nil"/>
              <w:bottom w:val="nil"/>
              <w:right w:val="nil"/>
            </w:tcBorders>
            <w:shd w:val="clear" w:color="000000" w:fill="C9E3B4"/>
            <w:noWrap/>
            <w:vAlign w:val="center"/>
            <w:hideMark/>
          </w:tcPr>
          <w:p w14:paraId="70470DB2"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188,033 </w:t>
            </w:r>
          </w:p>
        </w:tc>
        <w:tc>
          <w:tcPr>
            <w:tcW w:w="216" w:type="dxa"/>
            <w:tcBorders>
              <w:top w:val="nil"/>
              <w:left w:val="nil"/>
              <w:bottom w:val="nil"/>
              <w:right w:val="nil"/>
            </w:tcBorders>
            <w:shd w:val="clear" w:color="auto" w:fill="auto"/>
            <w:noWrap/>
            <w:vAlign w:val="center"/>
            <w:hideMark/>
          </w:tcPr>
          <w:p w14:paraId="70E55F7F"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2A8D7277"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174,729 </w:t>
            </w:r>
          </w:p>
        </w:tc>
      </w:tr>
      <w:tr w:rsidR="00BC5219" w:rsidRPr="008A2B8F" w14:paraId="368C6372" w14:textId="77777777" w:rsidTr="00E83802">
        <w:trPr>
          <w:trHeight w:val="227"/>
        </w:trPr>
        <w:tc>
          <w:tcPr>
            <w:tcW w:w="7136" w:type="dxa"/>
            <w:tcBorders>
              <w:top w:val="nil"/>
              <w:left w:val="nil"/>
              <w:bottom w:val="nil"/>
              <w:right w:val="nil"/>
            </w:tcBorders>
            <w:shd w:val="clear" w:color="auto" w:fill="auto"/>
            <w:noWrap/>
            <w:vAlign w:val="center"/>
            <w:hideMark/>
          </w:tcPr>
          <w:p w14:paraId="6470BB5A"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Right-of-use assets</w:t>
            </w:r>
          </w:p>
        </w:tc>
        <w:tc>
          <w:tcPr>
            <w:tcW w:w="1156" w:type="dxa"/>
            <w:tcBorders>
              <w:top w:val="nil"/>
              <w:left w:val="nil"/>
              <w:bottom w:val="nil"/>
              <w:right w:val="nil"/>
            </w:tcBorders>
            <w:shd w:val="clear" w:color="000000" w:fill="C9E3B4"/>
            <w:noWrap/>
            <w:vAlign w:val="center"/>
            <w:hideMark/>
          </w:tcPr>
          <w:p w14:paraId="53D052DF"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2,304 </w:t>
            </w:r>
          </w:p>
        </w:tc>
        <w:tc>
          <w:tcPr>
            <w:tcW w:w="216" w:type="dxa"/>
            <w:tcBorders>
              <w:top w:val="nil"/>
              <w:left w:val="nil"/>
              <w:bottom w:val="nil"/>
              <w:right w:val="nil"/>
            </w:tcBorders>
            <w:shd w:val="clear" w:color="auto" w:fill="auto"/>
            <w:noWrap/>
            <w:vAlign w:val="center"/>
            <w:hideMark/>
          </w:tcPr>
          <w:p w14:paraId="7A08136B"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22DDEAFB"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167 </w:t>
            </w:r>
          </w:p>
        </w:tc>
      </w:tr>
      <w:tr w:rsidR="00BC5219" w:rsidRPr="008A2B8F" w14:paraId="5B512294" w14:textId="77777777" w:rsidTr="00E83802">
        <w:trPr>
          <w:trHeight w:val="227"/>
        </w:trPr>
        <w:tc>
          <w:tcPr>
            <w:tcW w:w="7136" w:type="dxa"/>
            <w:tcBorders>
              <w:top w:val="single" w:sz="4" w:space="0" w:color="auto"/>
              <w:left w:val="nil"/>
              <w:bottom w:val="double" w:sz="6" w:space="0" w:color="auto"/>
              <w:right w:val="nil"/>
            </w:tcBorders>
            <w:shd w:val="clear" w:color="auto" w:fill="auto"/>
            <w:noWrap/>
            <w:vAlign w:val="center"/>
            <w:hideMark/>
          </w:tcPr>
          <w:p w14:paraId="42CFD219"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Total</w:t>
            </w:r>
          </w:p>
        </w:tc>
        <w:tc>
          <w:tcPr>
            <w:tcW w:w="1156" w:type="dxa"/>
            <w:tcBorders>
              <w:top w:val="single" w:sz="4" w:space="0" w:color="auto"/>
              <w:left w:val="nil"/>
              <w:bottom w:val="double" w:sz="6" w:space="0" w:color="auto"/>
              <w:right w:val="nil"/>
            </w:tcBorders>
            <w:shd w:val="clear" w:color="000000" w:fill="C9E3B4"/>
            <w:noWrap/>
            <w:vAlign w:val="center"/>
            <w:hideMark/>
          </w:tcPr>
          <w:p w14:paraId="39BBE013"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1,494,878 </w:t>
            </w:r>
          </w:p>
        </w:tc>
        <w:tc>
          <w:tcPr>
            <w:tcW w:w="216" w:type="dxa"/>
            <w:tcBorders>
              <w:top w:val="single" w:sz="4" w:space="0" w:color="auto"/>
              <w:left w:val="nil"/>
              <w:bottom w:val="double" w:sz="6" w:space="0" w:color="auto"/>
              <w:right w:val="nil"/>
            </w:tcBorders>
            <w:shd w:val="clear" w:color="auto" w:fill="auto"/>
            <w:noWrap/>
            <w:vAlign w:val="center"/>
            <w:hideMark/>
          </w:tcPr>
          <w:p w14:paraId="77900E51"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w:t>
            </w:r>
          </w:p>
        </w:tc>
        <w:tc>
          <w:tcPr>
            <w:tcW w:w="1156" w:type="dxa"/>
            <w:tcBorders>
              <w:top w:val="single" w:sz="4" w:space="0" w:color="auto"/>
              <w:left w:val="nil"/>
              <w:bottom w:val="double" w:sz="6" w:space="0" w:color="auto"/>
              <w:right w:val="nil"/>
            </w:tcBorders>
            <w:shd w:val="clear" w:color="auto" w:fill="auto"/>
            <w:noWrap/>
            <w:vAlign w:val="center"/>
            <w:hideMark/>
          </w:tcPr>
          <w:p w14:paraId="6C823C53"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1,344,048 </w:t>
            </w:r>
          </w:p>
        </w:tc>
      </w:tr>
      <w:tr w:rsidR="00BC5219" w:rsidRPr="008A2B8F" w14:paraId="6DF498CD" w14:textId="77777777" w:rsidTr="00E83802">
        <w:trPr>
          <w:trHeight w:val="227"/>
        </w:trPr>
        <w:tc>
          <w:tcPr>
            <w:tcW w:w="7136" w:type="dxa"/>
            <w:tcBorders>
              <w:top w:val="nil"/>
              <w:left w:val="nil"/>
              <w:bottom w:val="nil"/>
              <w:right w:val="nil"/>
            </w:tcBorders>
            <w:shd w:val="clear" w:color="auto" w:fill="auto"/>
            <w:noWrap/>
            <w:vAlign w:val="center"/>
            <w:hideMark/>
          </w:tcPr>
          <w:p w14:paraId="52A86D4B" w14:textId="77777777" w:rsidR="00BC5219" w:rsidRPr="008A2B8F" w:rsidRDefault="00BC5219" w:rsidP="00E83802">
            <w:pPr>
              <w:jc w:val="right"/>
              <w:rPr>
                <w:rFonts w:ascii="Meta Pro" w:eastAsia="Times New Roman" w:hAnsi="Meta Pro"/>
                <w:b/>
                <w:bCs/>
                <w:szCs w:val="18"/>
                <w:lang w:eastAsia="en-AU"/>
              </w:rPr>
            </w:pPr>
          </w:p>
        </w:tc>
        <w:tc>
          <w:tcPr>
            <w:tcW w:w="1156" w:type="dxa"/>
            <w:tcBorders>
              <w:top w:val="nil"/>
              <w:left w:val="nil"/>
              <w:bottom w:val="nil"/>
              <w:right w:val="nil"/>
            </w:tcBorders>
            <w:shd w:val="clear" w:color="auto" w:fill="auto"/>
            <w:noWrap/>
            <w:vAlign w:val="center"/>
            <w:hideMark/>
          </w:tcPr>
          <w:p w14:paraId="2275B4CF" w14:textId="77777777" w:rsidR="00BC5219" w:rsidRPr="008A2B8F" w:rsidRDefault="00BC5219" w:rsidP="00E83802">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18A62585" w14:textId="77777777" w:rsidR="00BC5219" w:rsidRPr="008A2B8F"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38FA1B43"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4DBC4001" w14:textId="77777777" w:rsidTr="00E83802">
        <w:trPr>
          <w:trHeight w:val="227"/>
        </w:trPr>
        <w:tc>
          <w:tcPr>
            <w:tcW w:w="7136" w:type="dxa"/>
            <w:tcBorders>
              <w:top w:val="nil"/>
              <w:left w:val="nil"/>
              <w:bottom w:val="nil"/>
              <w:right w:val="nil"/>
            </w:tcBorders>
            <w:shd w:val="clear" w:color="auto" w:fill="auto"/>
            <w:noWrap/>
            <w:vAlign w:val="center"/>
            <w:hideMark/>
          </w:tcPr>
          <w:p w14:paraId="5B96EAE7"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Amortisation incurred</w:t>
            </w:r>
          </w:p>
        </w:tc>
        <w:tc>
          <w:tcPr>
            <w:tcW w:w="1156" w:type="dxa"/>
            <w:tcBorders>
              <w:top w:val="nil"/>
              <w:left w:val="nil"/>
              <w:bottom w:val="nil"/>
              <w:right w:val="nil"/>
            </w:tcBorders>
            <w:shd w:val="clear" w:color="auto" w:fill="auto"/>
            <w:noWrap/>
            <w:vAlign w:val="center"/>
            <w:hideMark/>
          </w:tcPr>
          <w:p w14:paraId="47BE98A1" w14:textId="77777777" w:rsidR="00BC5219" w:rsidRPr="008A2B8F" w:rsidRDefault="00BC5219" w:rsidP="00E83802">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75F223DD" w14:textId="77777777" w:rsidR="00BC5219" w:rsidRPr="008A2B8F"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6556CB25"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13EB1F0C" w14:textId="77777777" w:rsidTr="00E83802">
        <w:trPr>
          <w:trHeight w:val="227"/>
        </w:trPr>
        <w:tc>
          <w:tcPr>
            <w:tcW w:w="7136" w:type="dxa"/>
            <w:tcBorders>
              <w:top w:val="nil"/>
              <w:left w:val="nil"/>
              <w:bottom w:val="nil"/>
              <w:right w:val="nil"/>
            </w:tcBorders>
            <w:shd w:val="clear" w:color="auto" w:fill="auto"/>
            <w:noWrap/>
            <w:vAlign w:val="center"/>
            <w:hideMark/>
          </w:tcPr>
          <w:p w14:paraId="49F03FFA"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xml:space="preserve">Software purchased </w:t>
            </w:r>
          </w:p>
        </w:tc>
        <w:tc>
          <w:tcPr>
            <w:tcW w:w="1156" w:type="dxa"/>
            <w:tcBorders>
              <w:top w:val="nil"/>
              <w:left w:val="nil"/>
              <w:bottom w:val="nil"/>
              <w:right w:val="nil"/>
            </w:tcBorders>
            <w:shd w:val="clear" w:color="000000" w:fill="C9E3B4"/>
            <w:noWrap/>
            <w:vAlign w:val="center"/>
            <w:hideMark/>
          </w:tcPr>
          <w:p w14:paraId="20D33CF4"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3,099 </w:t>
            </w:r>
          </w:p>
        </w:tc>
        <w:tc>
          <w:tcPr>
            <w:tcW w:w="216" w:type="dxa"/>
            <w:tcBorders>
              <w:top w:val="nil"/>
              <w:left w:val="nil"/>
              <w:bottom w:val="nil"/>
              <w:right w:val="nil"/>
            </w:tcBorders>
            <w:shd w:val="clear" w:color="auto" w:fill="auto"/>
            <w:noWrap/>
            <w:vAlign w:val="center"/>
            <w:hideMark/>
          </w:tcPr>
          <w:p w14:paraId="62D61C07"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4AFE2C02"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2,642 </w:t>
            </w:r>
          </w:p>
        </w:tc>
      </w:tr>
      <w:tr w:rsidR="00BC5219" w:rsidRPr="008A2B8F" w14:paraId="00380884" w14:textId="77777777" w:rsidTr="00E83802">
        <w:trPr>
          <w:trHeight w:val="227"/>
        </w:trPr>
        <w:tc>
          <w:tcPr>
            <w:tcW w:w="7136" w:type="dxa"/>
            <w:tcBorders>
              <w:top w:val="nil"/>
              <w:left w:val="nil"/>
              <w:bottom w:val="nil"/>
              <w:right w:val="nil"/>
            </w:tcBorders>
            <w:shd w:val="clear" w:color="auto" w:fill="auto"/>
            <w:noWrap/>
            <w:vAlign w:val="center"/>
            <w:hideMark/>
          </w:tcPr>
          <w:p w14:paraId="3E12CC6D"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xml:space="preserve">Software internally generated  </w:t>
            </w:r>
          </w:p>
        </w:tc>
        <w:tc>
          <w:tcPr>
            <w:tcW w:w="1156" w:type="dxa"/>
            <w:tcBorders>
              <w:top w:val="nil"/>
              <w:left w:val="nil"/>
              <w:bottom w:val="nil"/>
              <w:right w:val="nil"/>
            </w:tcBorders>
            <w:shd w:val="clear" w:color="000000" w:fill="C9E3B4"/>
            <w:noWrap/>
            <w:vAlign w:val="center"/>
            <w:hideMark/>
          </w:tcPr>
          <w:p w14:paraId="72394CDC"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8,348 </w:t>
            </w:r>
          </w:p>
        </w:tc>
        <w:tc>
          <w:tcPr>
            <w:tcW w:w="216" w:type="dxa"/>
            <w:tcBorders>
              <w:top w:val="nil"/>
              <w:left w:val="nil"/>
              <w:bottom w:val="nil"/>
              <w:right w:val="nil"/>
            </w:tcBorders>
            <w:shd w:val="clear" w:color="auto" w:fill="auto"/>
            <w:noWrap/>
            <w:vAlign w:val="center"/>
            <w:hideMark/>
          </w:tcPr>
          <w:p w14:paraId="1B4676E8"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794C53CE"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8,989 </w:t>
            </w:r>
          </w:p>
        </w:tc>
      </w:tr>
      <w:tr w:rsidR="00BC5219" w:rsidRPr="008A2B8F" w14:paraId="517EC97C" w14:textId="77777777" w:rsidTr="00E83802">
        <w:trPr>
          <w:trHeight w:val="227"/>
        </w:trPr>
        <w:tc>
          <w:tcPr>
            <w:tcW w:w="7136" w:type="dxa"/>
            <w:tcBorders>
              <w:top w:val="single" w:sz="4" w:space="0" w:color="auto"/>
              <w:left w:val="nil"/>
              <w:bottom w:val="double" w:sz="6" w:space="0" w:color="auto"/>
              <w:right w:val="nil"/>
            </w:tcBorders>
            <w:shd w:val="clear" w:color="auto" w:fill="auto"/>
            <w:noWrap/>
            <w:vAlign w:val="center"/>
            <w:hideMark/>
          </w:tcPr>
          <w:p w14:paraId="00AB5B0B"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Total</w:t>
            </w:r>
          </w:p>
        </w:tc>
        <w:tc>
          <w:tcPr>
            <w:tcW w:w="1156" w:type="dxa"/>
            <w:tcBorders>
              <w:top w:val="single" w:sz="4" w:space="0" w:color="auto"/>
              <w:left w:val="nil"/>
              <w:bottom w:val="double" w:sz="6" w:space="0" w:color="auto"/>
              <w:right w:val="nil"/>
            </w:tcBorders>
            <w:shd w:val="clear" w:color="000000" w:fill="C9E3B4"/>
            <w:noWrap/>
            <w:vAlign w:val="center"/>
            <w:hideMark/>
          </w:tcPr>
          <w:p w14:paraId="48D0531E"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11,447 </w:t>
            </w:r>
          </w:p>
        </w:tc>
        <w:tc>
          <w:tcPr>
            <w:tcW w:w="216" w:type="dxa"/>
            <w:tcBorders>
              <w:top w:val="single" w:sz="4" w:space="0" w:color="auto"/>
              <w:left w:val="nil"/>
              <w:bottom w:val="double" w:sz="6" w:space="0" w:color="auto"/>
              <w:right w:val="nil"/>
            </w:tcBorders>
            <w:shd w:val="clear" w:color="auto" w:fill="auto"/>
            <w:noWrap/>
            <w:vAlign w:val="center"/>
            <w:hideMark/>
          </w:tcPr>
          <w:p w14:paraId="7B118EDB"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w:t>
            </w:r>
          </w:p>
        </w:tc>
        <w:tc>
          <w:tcPr>
            <w:tcW w:w="1156" w:type="dxa"/>
            <w:tcBorders>
              <w:top w:val="single" w:sz="4" w:space="0" w:color="auto"/>
              <w:left w:val="nil"/>
              <w:bottom w:val="double" w:sz="6" w:space="0" w:color="auto"/>
              <w:right w:val="nil"/>
            </w:tcBorders>
            <w:shd w:val="clear" w:color="auto" w:fill="auto"/>
            <w:noWrap/>
            <w:vAlign w:val="center"/>
            <w:hideMark/>
          </w:tcPr>
          <w:p w14:paraId="6BA26EBA"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11,631 </w:t>
            </w:r>
          </w:p>
        </w:tc>
      </w:tr>
    </w:tbl>
    <w:p w14:paraId="080473E4" w14:textId="77777777" w:rsidR="00BC5219" w:rsidRPr="008A2B8F" w:rsidRDefault="00BC5219" w:rsidP="00BC5219">
      <w:pPr>
        <w:spacing w:line="168" w:lineRule="auto"/>
        <w:rPr>
          <w:rFonts w:ascii="Meta Pro" w:hAnsi="Meta Pro"/>
          <w:lang w:eastAsia="en-AU"/>
        </w:rPr>
      </w:pPr>
    </w:p>
    <w:p w14:paraId="2DDE9D23" w14:textId="77777777" w:rsidR="00BC5219" w:rsidRPr="008A2B8F" w:rsidRDefault="00BC5219" w:rsidP="00BC5219">
      <w:pPr>
        <w:spacing w:line="168" w:lineRule="auto"/>
        <w:rPr>
          <w:rFonts w:ascii="Meta Pro" w:hAnsi="Meta Pro" w:cstheme="minorBidi"/>
        </w:rPr>
      </w:pPr>
    </w:p>
    <w:tbl>
      <w:tblPr>
        <w:tblW w:w="0" w:type="auto"/>
        <w:tblCellMar>
          <w:left w:w="0" w:type="dxa"/>
        </w:tblCellMar>
        <w:tblLook w:val="04A0" w:firstRow="1" w:lastRow="0" w:firstColumn="1" w:lastColumn="0" w:noHBand="0" w:noVBand="1"/>
      </w:tblPr>
      <w:tblGrid>
        <w:gridCol w:w="7144"/>
        <w:gridCol w:w="1164"/>
        <w:gridCol w:w="224"/>
        <w:gridCol w:w="1164"/>
      </w:tblGrid>
      <w:tr w:rsidR="00BC5219" w:rsidRPr="008A2B8F" w14:paraId="2B59C96A" w14:textId="77777777" w:rsidTr="00E83802">
        <w:trPr>
          <w:trHeight w:val="240"/>
        </w:trPr>
        <w:tc>
          <w:tcPr>
            <w:tcW w:w="7136" w:type="dxa"/>
            <w:tcBorders>
              <w:top w:val="nil"/>
              <w:left w:val="nil"/>
              <w:bottom w:val="nil"/>
              <w:right w:val="nil"/>
            </w:tcBorders>
            <w:shd w:val="clear" w:color="auto" w:fill="auto"/>
            <w:noWrap/>
            <w:vAlign w:val="center"/>
            <w:hideMark/>
          </w:tcPr>
          <w:p w14:paraId="503F211B" w14:textId="77777777" w:rsidR="00BC5219" w:rsidRPr="008A2B8F" w:rsidRDefault="00BC5219" w:rsidP="00E83802">
            <w:pPr>
              <w:spacing w:before="60"/>
              <w:rPr>
                <w:rFonts w:ascii="Meta Pro" w:eastAsia="Times New Roman" w:hAnsi="Meta Pro"/>
                <w:b/>
                <w:bCs/>
                <w:lang w:eastAsia="en-AU"/>
              </w:rPr>
            </w:pPr>
            <w:r w:rsidRPr="008A2B8F">
              <w:rPr>
                <w:rFonts w:ascii="Meta Pro" w:eastAsia="Times New Roman" w:hAnsi="Meta Pro"/>
                <w:b/>
                <w:bCs/>
                <w:lang w:eastAsia="en-AU"/>
              </w:rPr>
              <w:t>11     OTHER EXPENSES</w:t>
            </w:r>
          </w:p>
        </w:tc>
        <w:tc>
          <w:tcPr>
            <w:tcW w:w="1156" w:type="dxa"/>
            <w:tcBorders>
              <w:top w:val="nil"/>
              <w:left w:val="nil"/>
              <w:bottom w:val="nil"/>
              <w:right w:val="nil"/>
            </w:tcBorders>
            <w:shd w:val="clear" w:color="auto" w:fill="auto"/>
            <w:noWrap/>
            <w:vAlign w:val="center"/>
            <w:hideMark/>
          </w:tcPr>
          <w:p w14:paraId="20E5D709" w14:textId="77777777" w:rsidR="00BC5219" w:rsidRPr="008A2B8F" w:rsidRDefault="00BC5219" w:rsidP="00E83802">
            <w:pPr>
              <w:rPr>
                <w:rFonts w:ascii="Meta Pro" w:eastAsia="Times New Roman" w:hAnsi="Meta Pro"/>
                <w:b/>
                <w:bCs/>
                <w:lang w:eastAsia="en-AU"/>
              </w:rPr>
            </w:pPr>
          </w:p>
        </w:tc>
        <w:tc>
          <w:tcPr>
            <w:tcW w:w="216" w:type="dxa"/>
            <w:tcBorders>
              <w:top w:val="nil"/>
              <w:left w:val="nil"/>
              <w:bottom w:val="nil"/>
              <w:right w:val="nil"/>
            </w:tcBorders>
            <w:shd w:val="clear" w:color="auto" w:fill="auto"/>
            <w:noWrap/>
            <w:vAlign w:val="center"/>
            <w:hideMark/>
          </w:tcPr>
          <w:p w14:paraId="2C774006" w14:textId="77777777" w:rsidR="00BC5219" w:rsidRPr="008A2B8F"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75DFF227"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41F21F08" w14:textId="77777777" w:rsidTr="00E83802">
        <w:trPr>
          <w:trHeight w:val="90"/>
        </w:trPr>
        <w:tc>
          <w:tcPr>
            <w:tcW w:w="7136" w:type="dxa"/>
            <w:tcBorders>
              <w:top w:val="nil"/>
              <w:left w:val="nil"/>
              <w:bottom w:val="nil"/>
              <w:right w:val="nil"/>
            </w:tcBorders>
            <w:shd w:val="clear" w:color="auto" w:fill="auto"/>
            <w:noWrap/>
            <w:vAlign w:val="center"/>
            <w:hideMark/>
          </w:tcPr>
          <w:p w14:paraId="2E90BC1A" w14:textId="77777777" w:rsidR="00BC5219" w:rsidRPr="008A2B8F"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018D0E10" w14:textId="77777777" w:rsidR="00BC5219" w:rsidRPr="008A2B8F" w:rsidRDefault="00BC5219" w:rsidP="00E83802">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1B611C69" w14:textId="77777777" w:rsidR="00BC5219" w:rsidRPr="008A2B8F"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778B9C25"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270E4932" w14:textId="77777777" w:rsidTr="00E83802">
        <w:trPr>
          <w:trHeight w:val="23"/>
        </w:trPr>
        <w:tc>
          <w:tcPr>
            <w:tcW w:w="7136" w:type="dxa"/>
            <w:tcBorders>
              <w:top w:val="nil"/>
              <w:left w:val="nil"/>
              <w:bottom w:val="nil"/>
              <w:right w:val="nil"/>
            </w:tcBorders>
            <w:shd w:val="clear" w:color="auto" w:fill="auto"/>
            <w:noWrap/>
            <w:vAlign w:val="center"/>
            <w:hideMark/>
          </w:tcPr>
          <w:p w14:paraId="009D4137"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Queensland Audit Office – external audit fees *</w:t>
            </w:r>
          </w:p>
        </w:tc>
        <w:tc>
          <w:tcPr>
            <w:tcW w:w="1156" w:type="dxa"/>
            <w:tcBorders>
              <w:top w:val="nil"/>
              <w:left w:val="nil"/>
              <w:bottom w:val="nil"/>
              <w:right w:val="nil"/>
            </w:tcBorders>
            <w:shd w:val="clear" w:color="000000" w:fill="C9E3B4"/>
            <w:noWrap/>
            <w:vAlign w:val="center"/>
            <w:hideMark/>
          </w:tcPr>
          <w:p w14:paraId="2BDB7D26"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989 </w:t>
            </w:r>
          </w:p>
        </w:tc>
        <w:tc>
          <w:tcPr>
            <w:tcW w:w="216" w:type="dxa"/>
            <w:tcBorders>
              <w:top w:val="nil"/>
              <w:left w:val="nil"/>
              <w:bottom w:val="nil"/>
              <w:right w:val="nil"/>
            </w:tcBorders>
            <w:shd w:val="clear" w:color="auto" w:fill="auto"/>
            <w:noWrap/>
            <w:vAlign w:val="center"/>
            <w:hideMark/>
          </w:tcPr>
          <w:p w14:paraId="1E5CEE0E"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6E25467E"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741 </w:t>
            </w:r>
          </w:p>
        </w:tc>
      </w:tr>
      <w:tr w:rsidR="00BC5219" w:rsidRPr="008A2B8F" w14:paraId="500E3378" w14:textId="77777777" w:rsidTr="00E83802">
        <w:trPr>
          <w:trHeight w:val="23"/>
        </w:trPr>
        <w:tc>
          <w:tcPr>
            <w:tcW w:w="7136" w:type="dxa"/>
            <w:tcBorders>
              <w:top w:val="nil"/>
              <w:left w:val="nil"/>
              <w:bottom w:val="nil"/>
              <w:right w:val="nil"/>
            </w:tcBorders>
            <w:shd w:val="clear" w:color="auto" w:fill="auto"/>
            <w:noWrap/>
            <w:vAlign w:val="center"/>
            <w:hideMark/>
          </w:tcPr>
          <w:p w14:paraId="6A1AD74E"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Audit fees – other **</w:t>
            </w:r>
          </w:p>
        </w:tc>
        <w:tc>
          <w:tcPr>
            <w:tcW w:w="1156" w:type="dxa"/>
            <w:tcBorders>
              <w:top w:val="nil"/>
              <w:left w:val="nil"/>
              <w:bottom w:val="nil"/>
              <w:right w:val="nil"/>
            </w:tcBorders>
            <w:shd w:val="clear" w:color="000000" w:fill="C9E3B4"/>
            <w:noWrap/>
            <w:vAlign w:val="center"/>
            <w:hideMark/>
          </w:tcPr>
          <w:p w14:paraId="22C2CADE"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515 </w:t>
            </w:r>
          </w:p>
        </w:tc>
        <w:tc>
          <w:tcPr>
            <w:tcW w:w="216" w:type="dxa"/>
            <w:tcBorders>
              <w:top w:val="nil"/>
              <w:left w:val="nil"/>
              <w:bottom w:val="nil"/>
              <w:right w:val="nil"/>
            </w:tcBorders>
            <w:shd w:val="clear" w:color="auto" w:fill="auto"/>
            <w:noWrap/>
            <w:vAlign w:val="center"/>
            <w:hideMark/>
          </w:tcPr>
          <w:p w14:paraId="25ED5FF8"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1E878536"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1,033 </w:t>
            </w:r>
          </w:p>
        </w:tc>
      </w:tr>
      <w:tr w:rsidR="00BC5219" w:rsidRPr="008A2B8F" w14:paraId="43FF2208" w14:textId="77777777" w:rsidTr="00E83802">
        <w:trPr>
          <w:trHeight w:val="23"/>
        </w:trPr>
        <w:tc>
          <w:tcPr>
            <w:tcW w:w="7136" w:type="dxa"/>
            <w:tcBorders>
              <w:top w:val="nil"/>
              <w:left w:val="nil"/>
              <w:bottom w:val="nil"/>
              <w:right w:val="nil"/>
            </w:tcBorders>
            <w:shd w:val="clear" w:color="auto" w:fill="auto"/>
            <w:vAlign w:val="center"/>
            <w:hideMark/>
          </w:tcPr>
          <w:p w14:paraId="4BD96E0A"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xml:space="preserve">Discontinued capital projects </w:t>
            </w:r>
          </w:p>
        </w:tc>
        <w:tc>
          <w:tcPr>
            <w:tcW w:w="1156" w:type="dxa"/>
            <w:tcBorders>
              <w:top w:val="nil"/>
              <w:left w:val="nil"/>
              <w:bottom w:val="nil"/>
              <w:right w:val="nil"/>
            </w:tcBorders>
            <w:shd w:val="clear" w:color="000000" w:fill="C9E3B4"/>
            <w:noWrap/>
            <w:vAlign w:val="center"/>
            <w:hideMark/>
          </w:tcPr>
          <w:p w14:paraId="6F5F619A"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5,303 </w:t>
            </w:r>
          </w:p>
        </w:tc>
        <w:tc>
          <w:tcPr>
            <w:tcW w:w="216" w:type="dxa"/>
            <w:tcBorders>
              <w:top w:val="nil"/>
              <w:left w:val="nil"/>
              <w:bottom w:val="nil"/>
              <w:right w:val="nil"/>
            </w:tcBorders>
            <w:shd w:val="clear" w:color="auto" w:fill="auto"/>
            <w:noWrap/>
            <w:vAlign w:val="center"/>
            <w:hideMark/>
          </w:tcPr>
          <w:p w14:paraId="39304755"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0C2D616C"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1,250 </w:t>
            </w:r>
          </w:p>
        </w:tc>
      </w:tr>
      <w:tr w:rsidR="00BC5219" w:rsidRPr="008A2B8F" w14:paraId="33EC1299" w14:textId="77777777" w:rsidTr="00E83802">
        <w:trPr>
          <w:trHeight w:val="23"/>
        </w:trPr>
        <w:tc>
          <w:tcPr>
            <w:tcW w:w="7136" w:type="dxa"/>
            <w:tcBorders>
              <w:top w:val="nil"/>
              <w:left w:val="nil"/>
              <w:bottom w:val="nil"/>
              <w:right w:val="nil"/>
            </w:tcBorders>
            <w:shd w:val="clear" w:color="auto" w:fill="auto"/>
            <w:noWrap/>
            <w:vAlign w:val="center"/>
            <w:hideMark/>
          </w:tcPr>
          <w:p w14:paraId="2DC976C8"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Fees, permits and other charges</w:t>
            </w:r>
          </w:p>
        </w:tc>
        <w:tc>
          <w:tcPr>
            <w:tcW w:w="1156" w:type="dxa"/>
            <w:tcBorders>
              <w:top w:val="nil"/>
              <w:left w:val="nil"/>
              <w:bottom w:val="nil"/>
              <w:right w:val="nil"/>
            </w:tcBorders>
            <w:shd w:val="clear" w:color="000000" w:fill="C9E3B4"/>
            <w:noWrap/>
            <w:vAlign w:val="center"/>
            <w:hideMark/>
          </w:tcPr>
          <w:p w14:paraId="24DEA363"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1,291 </w:t>
            </w:r>
          </w:p>
        </w:tc>
        <w:tc>
          <w:tcPr>
            <w:tcW w:w="216" w:type="dxa"/>
            <w:tcBorders>
              <w:top w:val="nil"/>
              <w:left w:val="nil"/>
              <w:bottom w:val="nil"/>
              <w:right w:val="nil"/>
            </w:tcBorders>
            <w:shd w:val="clear" w:color="auto" w:fill="auto"/>
            <w:noWrap/>
            <w:vAlign w:val="center"/>
            <w:hideMark/>
          </w:tcPr>
          <w:p w14:paraId="0C2EC072"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789980B8"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1,795 </w:t>
            </w:r>
          </w:p>
        </w:tc>
      </w:tr>
      <w:tr w:rsidR="00BC5219" w:rsidRPr="008A2B8F" w14:paraId="22BC2558" w14:textId="77777777" w:rsidTr="00E83802">
        <w:trPr>
          <w:trHeight w:val="23"/>
        </w:trPr>
        <w:tc>
          <w:tcPr>
            <w:tcW w:w="7136" w:type="dxa"/>
            <w:tcBorders>
              <w:top w:val="nil"/>
              <w:left w:val="nil"/>
              <w:bottom w:val="nil"/>
              <w:right w:val="nil"/>
            </w:tcBorders>
            <w:shd w:val="clear" w:color="auto" w:fill="auto"/>
            <w:noWrap/>
            <w:vAlign w:val="center"/>
            <w:hideMark/>
          </w:tcPr>
          <w:p w14:paraId="029245E3"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Insurance premiums</w:t>
            </w:r>
          </w:p>
        </w:tc>
        <w:tc>
          <w:tcPr>
            <w:tcW w:w="1156" w:type="dxa"/>
            <w:tcBorders>
              <w:top w:val="nil"/>
              <w:left w:val="nil"/>
              <w:bottom w:val="nil"/>
              <w:right w:val="nil"/>
            </w:tcBorders>
            <w:shd w:val="clear" w:color="000000" w:fill="C9E3B4"/>
            <w:noWrap/>
            <w:vAlign w:val="center"/>
            <w:hideMark/>
          </w:tcPr>
          <w:p w14:paraId="408FC1D3"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10,621 </w:t>
            </w:r>
          </w:p>
        </w:tc>
        <w:tc>
          <w:tcPr>
            <w:tcW w:w="216" w:type="dxa"/>
            <w:tcBorders>
              <w:top w:val="nil"/>
              <w:left w:val="nil"/>
              <w:bottom w:val="nil"/>
              <w:right w:val="nil"/>
            </w:tcBorders>
            <w:shd w:val="clear" w:color="auto" w:fill="auto"/>
            <w:noWrap/>
            <w:vAlign w:val="center"/>
            <w:hideMark/>
          </w:tcPr>
          <w:p w14:paraId="660B8382"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62C10A7C"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9,350 </w:t>
            </w:r>
          </w:p>
        </w:tc>
      </w:tr>
      <w:tr w:rsidR="00BC5219" w:rsidRPr="008A2B8F" w14:paraId="7435A49D" w14:textId="77777777" w:rsidTr="00E83802">
        <w:trPr>
          <w:trHeight w:val="23"/>
        </w:trPr>
        <w:tc>
          <w:tcPr>
            <w:tcW w:w="7136" w:type="dxa"/>
            <w:tcBorders>
              <w:top w:val="nil"/>
              <w:left w:val="nil"/>
              <w:bottom w:val="nil"/>
              <w:right w:val="nil"/>
            </w:tcBorders>
            <w:shd w:val="clear" w:color="auto" w:fill="auto"/>
            <w:noWrap/>
            <w:vAlign w:val="center"/>
            <w:hideMark/>
          </w:tcPr>
          <w:p w14:paraId="26F162D5"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lastRenderedPageBreak/>
              <w:t>Loss on disposal of property, plant and equipment</w:t>
            </w:r>
          </w:p>
        </w:tc>
        <w:tc>
          <w:tcPr>
            <w:tcW w:w="1156" w:type="dxa"/>
            <w:tcBorders>
              <w:top w:val="nil"/>
              <w:left w:val="nil"/>
              <w:bottom w:val="nil"/>
              <w:right w:val="nil"/>
            </w:tcBorders>
            <w:shd w:val="clear" w:color="000000" w:fill="C9E3B4"/>
            <w:noWrap/>
            <w:vAlign w:val="center"/>
            <w:hideMark/>
          </w:tcPr>
          <w:p w14:paraId="15695242"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9,426 </w:t>
            </w:r>
          </w:p>
        </w:tc>
        <w:tc>
          <w:tcPr>
            <w:tcW w:w="216" w:type="dxa"/>
            <w:tcBorders>
              <w:top w:val="nil"/>
              <w:left w:val="nil"/>
              <w:bottom w:val="nil"/>
              <w:right w:val="nil"/>
            </w:tcBorders>
            <w:shd w:val="clear" w:color="auto" w:fill="auto"/>
            <w:noWrap/>
            <w:vAlign w:val="center"/>
            <w:hideMark/>
          </w:tcPr>
          <w:p w14:paraId="04856F65"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0E0F18C3"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3,941 </w:t>
            </w:r>
          </w:p>
        </w:tc>
      </w:tr>
      <w:tr w:rsidR="00BC5219" w:rsidRPr="008A2B8F" w14:paraId="3FF03C06" w14:textId="77777777" w:rsidTr="00E83802">
        <w:trPr>
          <w:trHeight w:val="23"/>
        </w:trPr>
        <w:tc>
          <w:tcPr>
            <w:tcW w:w="7136" w:type="dxa"/>
            <w:tcBorders>
              <w:top w:val="nil"/>
              <w:left w:val="nil"/>
              <w:bottom w:val="nil"/>
              <w:right w:val="nil"/>
            </w:tcBorders>
            <w:shd w:val="clear" w:color="auto" w:fill="auto"/>
            <w:noWrap/>
            <w:vAlign w:val="center"/>
            <w:hideMark/>
          </w:tcPr>
          <w:p w14:paraId="48F90895"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xml:space="preserve">Losses: </w:t>
            </w:r>
          </w:p>
        </w:tc>
        <w:tc>
          <w:tcPr>
            <w:tcW w:w="1156" w:type="dxa"/>
            <w:tcBorders>
              <w:top w:val="nil"/>
              <w:left w:val="nil"/>
              <w:bottom w:val="nil"/>
              <w:right w:val="nil"/>
            </w:tcBorders>
            <w:shd w:val="clear" w:color="000000" w:fill="C9E3B4"/>
            <w:noWrap/>
            <w:vAlign w:val="center"/>
            <w:hideMark/>
          </w:tcPr>
          <w:p w14:paraId="14CB0530"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216" w:type="dxa"/>
            <w:tcBorders>
              <w:top w:val="nil"/>
              <w:left w:val="nil"/>
              <w:bottom w:val="nil"/>
              <w:right w:val="nil"/>
            </w:tcBorders>
            <w:shd w:val="clear" w:color="auto" w:fill="auto"/>
            <w:noWrap/>
            <w:vAlign w:val="center"/>
            <w:hideMark/>
          </w:tcPr>
          <w:p w14:paraId="4B92B9BC" w14:textId="77777777" w:rsidR="00BC5219" w:rsidRPr="008A2B8F" w:rsidRDefault="00BC5219" w:rsidP="00E83802">
            <w:pPr>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56EC3D15"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12C89677" w14:textId="77777777" w:rsidTr="00E83802">
        <w:trPr>
          <w:trHeight w:val="23"/>
        </w:trPr>
        <w:tc>
          <w:tcPr>
            <w:tcW w:w="7136" w:type="dxa"/>
            <w:tcBorders>
              <w:top w:val="nil"/>
              <w:left w:val="nil"/>
              <w:bottom w:val="nil"/>
              <w:right w:val="nil"/>
            </w:tcBorders>
            <w:shd w:val="clear" w:color="auto" w:fill="auto"/>
            <w:noWrap/>
            <w:vAlign w:val="center"/>
            <w:hideMark/>
          </w:tcPr>
          <w:p w14:paraId="7E3B9382"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xml:space="preserve">     Public monies </w:t>
            </w:r>
          </w:p>
        </w:tc>
        <w:tc>
          <w:tcPr>
            <w:tcW w:w="1156" w:type="dxa"/>
            <w:tcBorders>
              <w:top w:val="nil"/>
              <w:left w:val="nil"/>
              <w:bottom w:val="nil"/>
              <w:right w:val="nil"/>
            </w:tcBorders>
            <w:shd w:val="clear" w:color="000000" w:fill="C9E3B4"/>
            <w:noWrap/>
            <w:vAlign w:val="center"/>
            <w:hideMark/>
          </w:tcPr>
          <w:p w14:paraId="4E96E08E"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343 </w:t>
            </w:r>
          </w:p>
        </w:tc>
        <w:tc>
          <w:tcPr>
            <w:tcW w:w="216" w:type="dxa"/>
            <w:tcBorders>
              <w:top w:val="nil"/>
              <w:left w:val="nil"/>
              <w:bottom w:val="nil"/>
              <w:right w:val="nil"/>
            </w:tcBorders>
            <w:shd w:val="clear" w:color="auto" w:fill="auto"/>
            <w:noWrap/>
            <w:vAlign w:val="center"/>
            <w:hideMark/>
          </w:tcPr>
          <w:p w14:paraId="0D318B05"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40AEF3B7"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356 </w:t>
            </w:r>
          </w:p>
        </w:tc>
      </w:tr>
      <w:tr w:rsidR="00BC5219" w:rsidRPr="008A2B8F" w14:paraId="6946E481" w14:textId="77777777" w:rsidTr="00E83802">
        <w:trPr>
          <w:trHeight w:val="23"/>
        </w:trPr>
        <w:tc>
          <w:tcPr>
            <w:tcW w:w="7136" w:type="dxa"/>
            <w:tcBorders>
              <w:top w:val="nil"/>
              <w:left w:val="nil"/>
              <w:bottom w:val="nil"/>
              <w:right w:val="nil"/>
            </w:tcBorders>
            <w:shd w:val="clear" w:color="auto" w:fill="auto"/>
            <w:noWrap/>
            <w:vAlign w:val="center"/>
            <w:hideMark/>
          </w:tcPr>
          <w:p w14:paraId="344104AF"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xml:space="preserve">     Public property</w:t>
            </w:r>
          </w:p>
        </w:tc>
        <w:tc>
          <w:tcPr>
            <w:tcW w:w="1156" w:type="dxa"/>
            <w:tcBorders>
              <w:top w:val="nil"/>
              <w:left w:val="nil"/>
              <w:bottom w:val="nil"/>
              <w:right w:val="nil"/>
            </w:tcBorders>
            <w:shd w:val="clear" w:color="000000" w:fill="C9E3B4"/>
            <w:noWrap/>
            <w:vAlign w:val="center"/>
            <w:hideMark/>
          </w:tcPr>
          <w:p w14:paraId="3D5D82EB"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75 </w:t>
            </w:r>
          </w:p>
        </w:tc>
        <w:tc>
          <w:tcPr>
            <w:tcW w:w="216" w:type="dxa"/>
            <w:tcBorders>
              <w:top w:val="nil"/>
              <w:left w:val="nil"/>
              <w:bottom w:val="nil"/>
              <w:right w:val="nil"/>
            </w:tcBorders>
            <w:shd w:val="clear" w:color="auto" w:fill="auto"/>
            <w:noWrap/>
            <w:vAlign w:val="center"/>
            <w:hideMark/>
          </w:tcPr>
          <w:p w14:paraId="477446F0"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52D24FA9"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33 </w:t>
            </w:r>
          </w:p>
        </w:tc>
      </w:tr>
      <w:tr w:rsidR="00BC5219" w:rsidRPr="008A2B8F" w14:paraId="24328238" w14:textId="77777777" w:rsidTr="00E83802">
        <w:trPr>
          <w:trHeight w:val="23"/>
        </w:trPr>
        <w:tc>
          <w:tcPr>
            <w:tcW w:w="7136" w:type="dxa"/>
            <w:tcBorders>
              <w:top w:val="nil"/>
              <w:left w:val="nil"/>
              <w:bottom w:val="nil"/>
              <w:right w:val="nil"/>
            </w:tcBorders>
            <w:shd w:val="clear" w:color="auto" w:fill="auto"/>
            <w:noWrap/>
            <w:vAlign w:val="center"/>
            <w:hideMark/>
          </w:tcPr>
          <w:p w14:paraId="5FB90818"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Special payments: ***</w:t>
            </w:r>
          </w:p>
        </w:tc>
        <w:tc>
          <w:tcPr>
            <w:tcW w:w="1156" w:type="dxa"/>
            <w:tcBorders>
              <w:top w:val="nil"/>
              <w:left w:val="nil"/>
              <w:bottom w:val="nil"/>
              <w:right w:val="nil"/>
            </w:tcBorders>
            <w:shd w:val="clear" w:color="000000" w:fill="C9E3B4"/>
            <w:noWrap/>
            <w:vAlign w:val="center"/>
            <w:hideMark/>
          </w:tcPr>
          <w:p w14:paraId="58787BC0"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216" w:type="dxa"/>
            <w:tcBorders>
              <w:top w:val="nil"/>
              <w:left w:val="nil"/>
              <w:bottom w:val="nil"/>
              <w:right w:val="nil"/>
            </w:tcBorders>
            <w:shd w:val="clear" w:color="auto" w:fill="auto"/>
            <w:noWrap/>
            <w:vAlign w:val="center"/>
            <w:hideMark/>
          </w:tcPr>
          <w:p w14:paraId="21305855" w14:textId="77777777" w:rsidR="00BC5219" w:rsidRPr="008A2B8F" w:rsidRDefault="00BC5219" w:rsidP="00E83802">
            <w:pPr>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56B977B7"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139D08CD" w14:textId="77777777" w:rsidTr="00E83802">
        <w:trPr>
          <w:trHeight w:val="23"/>
        </w:trPr>
        <w:tc>
          <w:tcPr>
            <w:tcW w:w="7136" w:type="dxa"/>
            <w:tcBorders>
              <w:top w:val="nil"/>
              <w:left w:val="nil"/>
              <w:bottom w:val="nil"/>
              <w:right w:val="nil"/>
            </w:tcBorders>
            <w:shd w:val="clear" w:color="auto" w:fill="auto"/>
            <w:noWrap/>
            <w:vAlign w:val="center"/>
            <w:hideMark/>
          </w:tcPr>
          <w:p w14:paraId="40BA76E9"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xml:space="preserve">     Ex gratia payments</w:t>
            </w:r>
          </w:p>
        </w:tc>
        <w:tc>
          <w:tcPr>
            <w:tcW w:w="1156" w:type="dxa"/>
            <w:tcBorders>
              <w:top w:val="nil"/>
              <w:left w:val="nil"/>
              <w:bottom w:val="nil"/>
              <w:right w:val="nil"/>
            </w:tcBorders>
            <w:shd w:val="clear" w:color="000000" w:fill="C9E3B4"/>
            <w:noWrap/>
            <w:vAlign w:val="center"/>
            <w:hideMark/>
          </w:tcPr>
          <w:p w14:paraId="4C7096F2"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250 </w:t>
            </w:r>
          </w:p>
        </w:tc>
        <w:tc>
          <w:tcPr>
            <w:tcW w:w="216" w:type="dxa"/>
            <w:tcBorders>
              <w:top w:val="nil"/>
              <w:left w:val="nil"/>
              <w:bottom w:val="nil"/>
              <w:right w:val="nil"/>
            </w:tcBorders>
            <w:shd w:val="clear" w:color="auto" w:fill="auto"/>
            <w:noWrap/>
            <w:vAlign w:val="center"/>
            <w:hideMark/>
          </w:tcPr>
          <w:p w14:paraId="165B94A3"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5261F912"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784 </w:t>
            </w:r>
          </w:p>
        </w:tc>
      </w:tr>
      <w:tr w:rsidR="00BC5219" w:rsidRPr="008A2B8F" w14:paraId="6333578B" w14:textId="77777777" w:rsidTr="00E83802">
        <w:trPr>
          <w:trHeight w:val="23"/>
        </w:trPr>
        <w:tc>
          <w:tcPr>
            <w:tcW w:w="7136" w:type="dxa"/>
            <w:tcBorders>
              <w:top w:val="nil"/>
              <w:left w:val="nil"/>
              <w:bottom w:val="nil"/>
              <w:right w:val="nil"/>
            </w:tcBorders>
            <w:shd w:val="clear" w:color="auto" w:fill="auto"/>
            <w:noWrap/>
            <w:vAlign w:val="center"/>
            <w:hideMark/>
          </w:tcPr>
          <w:p w14:paraId="0A674B1C"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xml:space="preserve">     Court awarded damages</w:t>
            </w:r>
          </w:p>
        </w:tc>
        <w:tc>
          <w:tcPr>
            <w:tcW w:w="1156" w:type="dxa"/>
            <w:tcBorders>
              <w:top w:val="nil"/>
              <w:left w:val="nil"/>
              <w:bottom w:val="nil"/>
              <w:right w:val="nil"/>
            </w:tcBorders>
            <w:shd w:val="clear" w:color="000000" w:fill="C9E3B4"/>
            <w:noWrap/>
            <w:vAlign w:val="center"/>
            <w:hideMark/>
          </w:tcPr>
          <w:p w14:paraId="37B93236"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31 </w:t>
            </w:r>
          </w:p>
        </w:tc>
        <w:tc>
          <w:tcPr>
            <w:tcW w:w="216" w:type="dxa"/>
            <w:tcBorders>
              <w:top w:val="nil"/>
              <w:left w:val="nil"/>
              <w:bottom w:val="nil"/>
              <w:right w:val="nil"/>
            </w:tcBorders>
            <w:shd w:val="clear" w:color="auto" w:fill="auto"/>
            <w:noWrap/>
            <w:vAlign w:val="center"/>
            <w:hideMark/>
          </w:tcPr>
          <w:p w14:paraId="56C80E91"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53E3BF6B"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r>
      <w:tr w:rsidR="00BC5219" w:rsidRPr="008A2B8F" w14:paraId="41CB5A3B" w14:textId="77777777" w:rsidTr="00E83802">
        <w:trPr>
          <w:trHeight w:val="23"/>
        </w:trPr>
        <w:tc>
          <w:tcPr>
            <w:tcW w:w="7136" w:type="dxa"/>
            <w:tcBorders>
              <w:top w:val="nil"/>
              <w:left w:val="nil"/>
              <w:bottom w:val="nil"/>
              <w:right w:val="nil"/>
            </w:tcBorders>
            <w:shd w:val="clear" w:color="auto" w:fill="auto"/>
            <w:noWrap/>
            <w:vAlign w:val="center"/>
            <w:hideMark/>
          </w:tcPr>
          <w:p w14:paraId="43B24A02"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xml:space="preserve">     Compensation claims ****</w:t>
            </w:r>
          </w:p>
        </w:tc>
        <w:tc>
          <w:tcPr>
            <w:tcW w:w="1156" w:type="dxa"/>
            <w:tcBorders>
              <w:top w:val="nil"/>
              <w:left w:val="nil"/>
              <w:bottom w:val="nil"/>
              <w:right w:val="nil"/>
            </w:tcBorders>
            <w:shd w:val="clear" w:color="000000" w:fill="C9E3B4"/>
            <w:noWrap/>
            <w:vAlign w:val="center"/>
            <w:hideMark/>
          </w:tcPr>
          <w:p w14:paraId="29CE18C0"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3,494 </w:t>
            </w:r>
          </w:p>
        </w:tc>
        <w:tc>
          <w:tcPr>
            <w:tcW w:w="216" w:type="dxa"/>
            <w:tcBorders>
              <w:top w:val="nil"/>
              <w:left w:val="nil"/>
              <w:bottom w:val="nil"/>
              <w:right w:val="nil"/>
            </w:tcBorders>
            <w:shd w:val="clear" w:color="auto" w:fill="auto"/>
            <w:noWrap/>
            <w:vAlign w:val="center"/>
            <w:hideMark/>
          </w:tcPr>
          <w:p w14:paraId="62985869"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0984AC1C"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8,233 </w:t>
            </w:r>
          </w:p>
        </w:tc>
      </w:tr>
      <w:tr w:rsidR="00BC5219" w:rsidRPr="008A2B8F" w14:paraId="27A363F3" w14:textId="77777777" w:rsidTr="00E83802">
        <w:trPr>
          <w:trHeight w:val="23"/>
        </w:trPr>
        <w:tc>
          <w:tcPr>
            <w:tcW w:w="7136" w:type="dxa"/>
            <w:tcBorders>
              <w:top w:val="nil"/>
              <w:left w:val="nil"/>
              <w:bottom w:val="nil"/>
              <w:right w:val="nil"/>
            </w:tcBorders>
            <w:shd w:val="clear" w:color="auto" w:fill="auto"/>
            <w:noWrap/>
            <w:vAlign w:val="center"/>
            <w:hideMark/>
          </w:tcPr>
          <w:p w14:paraId="31515BC8"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xml:space="preserve">Other </w:t>
            </w:r>
          </w:p>
        </w:tc>
        <w:tc>
          <w:tcPr>
            <w:tcW w:w="1156" w:type="dxa"/>
            <w:tcBorders>
              <w:top w:val="nil"/>
              <w:left w:val="nil"/>
              <w:bottom w:val="nil"/>
              <w:right w:val="nil"/>
            </w:tcBorders>
            <w:shd w:val="clear" w:color="000000" w:fill="C9E3B4"/>
            <w:noWrap/>
            <w:vAlign w:val="center"/>
            <w:hideMark/>
          </w:tcPr>
          <w:p w14:paraId="193AD309"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527 </w:t>
            </w:r>
          </w:p>
        </w:tc>
        <w:tc>
          <w:tcPr>
            <w:tcW w:w="216" w:type="dxa"/>
            <w:tcBorders>
              <w:top w:val="nil"/>
              <w:left w:val="nil"/>
              <w:bottom w:val="nil"/>
              <w:right w:val="nil"/>
            </w:tcBorders>
            <w:shd w:val="clear" w:color="auto" w:fill="auto"/>
            <w:noWrap/>
            <w:vAlign w:val="center"/>
            <w:hideMark/>
          </w:tcPr>
          <w:p w14:paraId="00BECFC6"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333587B1"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615 </w:t>
            </w:r>
          </w:p>
        </w:tc>
      </w:tr>
      <w:tr w:rsidR="00BC5219" w:rsidRPr="008A2B8F" w14:paraId="1307D667" w14:textId="77777777" w:rsidTr="00E83802">
        <w:trPr>
          <w:trHeight w:val="23"/>
        </w:trPr>
        <w:tc>
          <w:tcPr>
            <w:tcW w:w="7136" w:type="dxa"/>
            <w:tcBorders>
              <w:top w:val="single" w:sz="4" w:space="0" w:color="auto"/>
              <w:left w:val="nil"/>
              <w:bottom w:val="double" w:sz="6" w:space="0" w:color="auto"/>
              <w:right w:val="nil"/>
            </w:tcBorders>
            <w:shd w:val="clear" w:color="auto" w:fill="auto"/>
            <w:noWrap/>
            <w:vAlign w:val="center"/>
            <w:hideMark/>
          </w:tcPr>
          <w:p w14:paraId="423E2DAB"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Total</w:t>
            </w:r>
          </w:p>
        </w:tc>
        <w:tc>
          <w:tcPr>
            <w:tcW w:w="1156" w:type="dxa"/>
            <w:tcBorders>
              <w:top w:val="single" w:sz="4" w:space="0" w:color="auto"/>
              <w:left w:val="nil"/>
              <w:bottom w:val="double" w:sz="6" w:space="0" w:color="auto"/>
              <w:right w:val="nil"/>
            </w:tcBorders>
            <w:shd w:val="clear" w:color="000000" w:fill="C9E3B4"/>
            <w:noWrap/>
            <w:vAlign w:val="center"/>
            <w:hideMark/>
          </w:tcPr>
          <w:p w14:paraId="666AC6C8"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32,865 </w:t>
            </w:r>
          </w:p>
        </w:tc>
        <w:tc>
          <w:tcPr>
            <w:tcW w:w="216" w:type="dxa"/>
            <w:tcBorders>
              <w:top w:val="single" w:sz="4" w:space="0" w:color="auto"/>
              <w:left w:val="nil"/>
              <w:bottom w:val="double" w:sz="6" w:space="0" w:color="auto"/>
              <w:right w:val="nil"/>
            </w:tcBorders>
            <w:shd w:val="clear" w:color="auto" w:fill="auto"/>
            <w:noWrap/>
            <w:vAlign w:val="center"/>
            <w:hideMark/>
          </w:tcPr>
          <w:p w14:paraId="2958DE18"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w:t>
            </w:r>
          </w:p>
        </w:tc>
        <w:tc>
          <w:tcPr>
            <w:tcW w:w="1156" w:type="dxa"/>
            <w:tcBorders>
              <w:top w:val="single" w:sz="4" w:space="0" w:color="auto"/>
              <w:left w:val="nil"/>
              <w:bottom w:val="double" w:sz="6" w:space="0" w:color="auto"/>
              <w:right w:val="nil"/>
            </w:tcBorders>
            <w:shd w:val="clear" w:color="auto" w:fill="auto"/>
            <w:noWrap/>
            <w:vAlign w:val="center"/>
            <w:hideMark/>
          </w:tcPr>
          <w:p w14:paraId="514D06B9"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28,131 </w:t>
            </w:r>
          </w:p>
        </w:tc>
      </w:tr>
    </w:tbl>
    <w:p w14:paraId="2EB8F62D" w14:textId="77777777" w:rsidR="00BC5219" w:rsidRPr="008A2B8F" w:rsidRDefault="00BC5219" w:rsidP="00BC5219">
      <w:pPr>
        <w:spacing w:before="120"/>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Total audit fees quoted by the Queensland Audit Office relating to the 2023 financial statements are $0.758m. These fees were quoted prior to the  </w:t>
      </w:r>
    </w:p>
    <w:p w14:paraId="08C8DE23" w14:textId="77777777" w:rsidR="00BC5219" w:rsidRPr="008A2B8F" w:rsidRDefault="00BC5219" w:rsidP="00BC5219">
      <w:pPr>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machinery-of-government changes which took effect from 18 May 2023 and made no allowance for audit fees related to the transferred entities.</w:t>
      </w:r>
    </w:p>
    <w:p w14:paraId="1CFEAAA0" w14:textId="77777777" w:rsidR="00BC5219" w:rsidRDefault="00BC5219" w:rsidP="00BC5219">
      <w:pPr>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r>
        <w:rPr>
          <w:rFonts w:ascii="Meta Pro" w:eastAsia="Times New Roman" w:hAnsi="Meta Pro"/>
          <w:sz w:val="16"/>
          <w:szCs w:val="16"/>
          <w:lang w:eastAsia="en-AU"/>
        </w:rPr>
        <w:t xml:space="preserve"> </w:t>
      </w:r>
      <w:r w:rsidRPr="00FB058E">
        <w:rPr>
          <w:rFonts w:ascii="Meta Pro" w:eastAsia="Times New Roman" w:hAnsi="Meta Pro"/>
          <w:sz w:val="16"/>
          <w:szCs w:val="16"/>
          <w:lang w:eastAsia="en-AU"/>
        </w:rPr>
        <w:t xml:space="preserve">Other audit services of $0.231m relate to the </w:t>
      </w:r>
      <w:r>
        <w:rPr>
          <w:rFonts w:ascii="Meta Pro" w:eastAsia="Times New Roman" w:hAnsi="Meta Pro"/>
          <w:sz w:val="16"/>
          <w:szCs w:val="16"/>
          <w:lang w:eastAsia="en-AU"/>
        </w:rPr>
        <w:t xml:space="preserve">Queensland Audit Office </w:t>
      </w:r>
      <w:r w:rsidRPr="00FB058E">
        <w:rPr>
          <w:rFonts w:ascii="Meta Pro" w:eastAsia="Times New Roman" w:hAnsi="Meta Pro"/>
          <w:sz w:val="16"/>
          <w:szCs w:val="16"/>
          <w:lang w:eastAsia="en-AU"/>
        </w:rPr>
        <w:t>audit of the report on service provider controls at QSS, CITEC and CAA.</w:t>
      </w:r>
      <w:r>
        <w:rPr>
          <w:rFonts w:ascii="Meta Pro" w:eastAsia="Times New Roman" w:hAnsi="Meta Pro"/>
          <w:sz w:val="16"/>
          <w:szCs w:val="16"/>
          <w:lang w:eastAsia="en-AU"/>
        </w:rPr>
        <w:t xml:space="preserve"> </w:t>
      </w:r>
      <w:r w:rsidRPr="008A2B8F">
        <w:rPr>
          <w:rFonts w:ascii="Meta Pro" w:eastAsia="Times New Roman" w:hAnsi="Meta Pro"/>
          <w:sz w:val="16"/>
          <w:szCs w:val="16"/>
          <w:lang w:eastAsia="en-AU"/>
        </w:rPr>
        <w:t xml:space="preserve">Refer </w:t>
      </w:r>
    </w:p>
    <w:p w14:paraId="70E481A8" w14:textId="77777777" w:rsidR="00BC5219" w:rsidRPr="008A2B8F" w:rsidRDefault="00BC5219" w:rsidP="00BC5219">
      <w:pPr>
        <w:rPr>
          <w:rFonts w:ascii="Meta Pro" w:eastAsia="Times New Roman" w:hAnsi="Meta Pro"/>
          <w:sz w:val="16"/>
          <w:szCs w:val="16"/>
          <w:lang w:eastAsia="en-AU"/>
        </w:rPr>
      </w:pPr>
      <w:r>
        <w:rPr>
          <w:rFonts w:ascii="Meta Pro" w:eastAsia="Times New Roman" w:hAnsi="Meta Pro"/>
          <w:sz w:val="16"/>
          <w:szCs w:val="16"/>
          <w:lang w:eastAsia="en-AU"/>
        </w:rPr>
        <w:t xml:space="preserve">   </w:t>
      </w:r>
      <w:r w:rsidRPr="008A2B8F">
        <w:rPr>
          <w:rFonts w:ascii="Meta Pro" w:eastAsia="Times New Roman" w:hAnsi="Meta Pro"/>
          <w:sz w:val="16"/>
          <w:szCs w:val="16"/>
          <w:lang w:eastAsia="en-AU"/>
        </w:rPr>
        <w:t>to Note 1. Actual fees paid relating to the 2022 audit were $0.740m.</w:t>
      </w:r>
    </w:p>
    <w:p w14:paraId="094EF974" w14:textId="77777777" w:rsidR="00BC5219" w:rsidRPr="008A2B8F" w:rsidRDefault="00BC5219" w:rsidP="00BC5219">
      <w:pPr>
        <w:spacing w:before="120"/>
        <w:rPr>
          <w:rFonts w:ascii="Meta Pro" w:eastAsia="Times New Roman" w:hAnsi="Meta Pro"/>
          <w:sz w:val="16"/>
          <w:szCs w:val="16"/>
          <w:lang w:eastAsia="en-AU"/>
        </w:rPr>
      </w:pPr>
      <w:r w:rsidRPr="008A2B8F">
        <w:rPr>
          <w:rFonts w:ascii="Meta Pro" w:eastAsia="Times New Roman" w:hAnsi="Meta Pro"/>
          <w:sz w:val="16"/>
          <w:szCs w:val="16"/>
          <w:lang w:eastAsia="en-AU"/>
        </w:rPr>
        <w:t>** Relates mainly to probity audits associated with road infrastructure projects.</w:t>
      </w:r>
    </w:p>
    <w:p w14:paraId="35C48E83" w14:textId="77777777" w:rsidR="00BC5219" w:rsidRPr="008A2B8F" w:rsidRDefault="00BC5219" w:rsidP="00BC5219">
      <w:pPr>
        <w:spacing w:before="120"/>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Special payments represent ex gratia expenditure and other expenditure that the department is not contractually or legally obligated to make to </w:t>
      </w:r>
    </w:p>
    <w:p w14:paraId="509C1A58" w14:textId="77777777" w:rsidR="00BC5219" w:rsidRPr="008A2B8F" w:rsidRDefault="00BC5219" w:rsidP="00BC5219">
      <w:pPr>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other parties. There were 38 special payments made over $5000 in 2023 comprising of 28 compensation claims related to property damage</w:t>
      </w:r>
    </w:p>
    <w:p w14:paraId="0FAB8B3F" w14:textId="77777777" w:rsidR="00BC5219" w:rsidRPr="008A2B8F" w:rsidRDefault="00BC5219" w:rsidP="00BC5219">
      <w:pPr>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and disruption payments associated with operation of the state controlled road network, five ex gratia payments for School Transport</w:t>
      </w:r>
    </w:p>
    <w:p w14:paraId="4309AB3B" w14:textId="77777777" w:rsidR="00BC5219" w:rsidRPr="008A2B8F" w:rsidRDefault="00BC5219" w:rsidP="00BC5219">
      <w:pPr>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Assistance Scheme Voluntary Optimisation payments and five payments related to employment matters.</w:t>
      </w:r>
    </w:p>
    <w:p w14:paraId="64FACAE0" w14:textId="77777777" w:rsidR="00BC5219" w:rsidRPr="008A2B8F" w:rsidRDefault="00BC5219" w:rsidP="00BC5219">
      <w:pPr>
        <w:spacing w:before="120"/>
        <w:rPr>
          <w:rFonts w:ascii="Meta Pro" w:eastAsia="Times New Roman" w:hAnsi="Meta Pro"/>
          <w:sz w:val="16"/>
          <w:szCs w:val="16"/>
          <w:lang w:eastAsia="en-AU"/>
        </w:rPr>
      </w:pPr>
      <w:r w:rsidRPr="008A2B8F">
        <w:rPr>
          <w:rFonts w:ascii="Meta Pro" w:eastAsia="Times New Roman" w:hAnsi="Meta Pro"/>
          <w:sz w:val="16"/>
          <w:szCs w:val="16"/>
          <w:lang w:eastAsia="en-AU"/>
        </w:rPr>
        <w:t>**** The balance in 2022 includes $7.206m paid to toll road operators for suspension of tolling due to the South East Queensland flood event.</w:t>
      </w:r>
    </w:p>
    <w:p w14:paraId="0445E86B" w14:textId="77777777" w:rsidR="00BC5219" w:rsidRPr="008A2B8F" w:rsidRDefault="00BC5219" w:rsidP="00BC5219">
      <w:pPr>
        <w:spacing w:before="120"/>
        <w:rPr>
          <w:rFonts w:ascii="Meta Pro" w:eastAsia="Times New Roman" w:hAnsi="Meta Pro"/>
          <w:b/>
          <w:bCs/>
          <w:color w:val="000000"/>
          <w:szCs w:val="18"/>
          <w:lang w:eastAsia="en-AU"/>
        </w:rPr>
      </w:pPr>
      <w:r w:rsidRPr="008A2B8F">
        <w:rPr>
          <w:rFonts w:ascii="Meta Pro" w:eastAsia="Times New Roman" w:hAnsi="Meta Pro"/>
          <w:color w:val="000000"/>
          <w:szCs w:val="18"/>
          <w:lang w:eastAsia="en-AU"/>
        </w:rPr>
        <w:t>The department's total other expenses was $61.461m in 2023 (2022: $48.405m). Of this $28.596m (2022: $20.274m) was capitalised to construction work in progress leaving $32.865m (2022: $28.131m) reported as other expenses.</w:t>
      </w:r>
    </w:p>
    <w:p w14:paraId="08F1F9B6" w14:textId="77777777" w:rsidR="00BC5219" w:rsidRPr="008A2B8F" w:rsidRDefault="00BC5219" w:rsidP="00BC5219">
      <w:pPr>
        <w:rPr>
          <w:rFonts w:ascii="Meta Pro" w:eastAsia="Times New Roman" w:hAnsi="Meta Pro"/>
          <w:b/>
          <w:bCs/>
          <w:color w:val="000000"/>
          <w:szCs w:val="18"/>
          <w:lang w:eastAsia="en-AU"/>
        </w:rPr>
      </w:pPr>
    </w:p>
    <w:p w14:paraId="46056E5E" w14:textId="77777777" w:rsidR="00BC5219" w:rsidRPr="008A2B8F" w:rsidRDefault="00BC5219" w:rsidP="00BC5219">
      <w:pPr>
        <w:rPr>
          <w:rFonts w:ascii="Meta Pro" w:eastAsia="Times New Roman" w:hAnsi="Meta Pro"/>
          <w:b/>
          <w:bCs/>
          <w:color w:val="000000"/>
          <w:szCs w:val="18"/>
          <w:lang w:eastAsia="en-AU"/>
        </w:rPr>
      </w:pPr>
    </w:p>
    <w:p w14:paraId="5967EF47" w14:textId="77777777" w:rsidR="00BC5219" w:rsidRPr="008A2B8F" w:rsidRDefault="00BC5219" w:rsidP="00BC5219">
      <w:pPr>
        <w:rPr>
          <w:rFonts w:ascii="Meta Pro" w:eastAsia="Times New Roman" w:hAnsi="Meta Pro"/>
          <w:b/>
          <w:bCs/>
          <w:color w:val="000000"/>
          <w:szCs w:val="18"/>
          <w:lang w:eastAsia="en-AU"/>
        </w:rPr>
      </w:pPr>
    </w:p>
    <w:p w14:paraId="03535C8D" w14:textId="77777777" w:rsidR="00BC5219" w:rsidRPr="008A2B8F" w:rsidRDefault="00BC5219" w:rsidP="00BC5219">
      <w:pPr>
        <w:rPr>
          <w:rFonts w:ascii="Meta Pro" w:eastAsia="Times New Roman" w:hAnsi="Meta Pro"/>
          <w:b/>
          <w:bCs/>
          <w:color w:val="000000"/>
          <w:szCs w:val="18"/>
          <w:lang w:eastAsia="en-AU"/>
        </w:rPr>
      </w:pPr>
    </w:p>
    <w:p w14:paraId="301233F6" w14:textId="77777777" w:rsidR="00BC5219" w:rsidRPr="008A2B8F" w:rsidRDefault="00BC5219" w:rsidP="00BC5219">
      <w:pPr>
        <w:rPr>
          <w:rFonts w:ascii="Meta Pro" w:eastAsia="Times New Roman" w:hAnsi="Meta Pro"/>
          <w:b/>
          <w:bCs/>
          <w:color w:val="000000"/>
          <w:szCs w:val="18"/>
          <w:lang w:eastAsia="en-AU"/>
        </w:rPr>
      </w:pPr>
      <w:r w:rsidRPr="008A2B8F">
        <w:rPr>
          <w:rFonts w:ascii="Meta Pro" w:eastAsia="Times New Roman" w:hAnsi="Meta Pro"/>
          <w:b/>
          <w:bCs/>
          <w:color w:val="000000"/>
          <w:szCs w:val="18"/>
          <w:lang w:eastAsia="en-AU"/>
        </w:rPr>
        <w:tab/>
      </w:r>
      <w:r w:rsidRPr="008A2B8F">
        <w:rPr>
          <w:rFonts w:ascii="Meta Pro" w:eastAsia="Times New Roman" w:hAnsi="Meta Pro"/>
          <w:b/>
          <w:bCs/>
          <w:color w:val="000000"/>
          <w:szCs w:val="18"/>
          <w:lang w:eastAsia="en-AU"/>
        </w:rPr>
        <w:tab/>
      </w:r>
      <w:r w:rsidRPr="008A2B8F">
        <w:rPr>
          <w:rFonts w:ascii="Meta Pro" w:eastAsia="Times New Roman" w:hAnsi="Meta Pro"/>
          <w:b/>
          <w:bCs/>
          <w:color w:val="000000"/>
          <w:szCs w:val="18"/>
          <w:lang w:eastAsia="en-AU"/>
        </w:rPr>
        <w:tab/>
      </w:r>
    </w:p>
    <w:p w14:paraId="45603AB0"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p>
    <w:p w14:paraId="17B84603"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r w:rsidRPr="008A2B8F">
        <w:rPr>
          <w:rFonts w:ascii="Meta Pro" w:eastAsia="Times New Roman" w:hAnsi="Meta Pro"/>
          <w:i/>
          <w:iCs/>
          <w:color w:val="000000" w:themeColor="text1"/>
          <w:lang w:eastAsia="en-AU"/>
        </w:rPr>
        <w:t>Department of Transport and Main Roads</w:t>
      </w:r>
    </w:p>
    <w:p w14:paraId="13628CED"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Notes to the financial statements 2022–23 (continued)</w:t>
      </w:r>
    </w:p>
    <w:p w14:paraId="46C51D8A" w14:textId="77777777" w:rsidR="00BC5219" w:rsidRPr="008A2B8F" w:rsidRDefault="00BC5219" w:rsidP="00BC5219">
      <w:pPr>
        <w:spacing w:after="120"/>
        <w:rPr>
          <w:rFonts w:ascii="Meta Pro" w:eastAsia="Times New Roman" w:hAnsi="Meta Pro"/>
          <w:b/>
          <w:bCs/>
          <w:color w:val="000000"/>
          <w:szCs w:val="18"/>
          <w:lang w:eastAsia="en-AU"/>
        </w:rPr>
      </w:pPr>
      <w:r w:rsidRPr="008A2B8F">
        <w:rPr>
          <w:rFonts w:ascii="Meta Pro" w:eastAsia="Times New Roman" w:hAnsi="Meta Pro"/>
          <w:b/>
          <w:bCs/>
          <w:lang w:eastAsia="en-AU"/>
        </w:rPr>
        <w:t xml:space="preserve">11     OTHER EXPENSES </w:t>
      </w:r>
      <w:r w:rsidRPr="008A2B8F">
        <w:rPr>
          <w:rFonts w:ascii="Meta Pro" w:hAnsi="Meta Pro"/>
          <w:b/>
          <w:bCs/>
          <w:lang w:eastAsia="en-AU"/>
        </w:rPr>
        <w:t>(continued)</w:t>
      </w:r>
      <w:r w:rsidRPr="008A2B8F">
        <w:rPr>
          <w:rFonts w:ascii="Meta Pro" w:eastAsia="Times New Roman" w:hAnsi="Meta Pro"/>
          <w:b/>
          <w:bCs/>
          <w:color w:val="000000"/>
          <w:szCs w:val="18"/>
          <w:lang w:eastAsia="en-AU"/>
        </w:rPr>
        <w:tab/>
      </w:r>
    </w:p>
    <w:p w14:paraId="130B0EE0" w14:textId="77777777" w:rsidR="00BC5219" w:rsidRPr="008A2B8F" w:rsidRDefault="00BC5219" w:rsidP="00BC5219">
      <w:pPr>
        <w:pStyle w:val="ACPHeading"/>
        <w:spacing w:after="60"/>
      </w:pPr>
      <w:r w:rsidRPr="008A2B8F">
        <w:t>Insurance</w:t>
      </w:r>
    </w:p>
    <w:p w14:paraId="2A4675C0" w14:textId="77777777" w:rsidR="00BC5219" w:rsidRPr="008A2B8F" w:rsidRDefault="00BC5219" w:rsidP="00BC5219">
      <w:pPr>
        <w:pStyle w:val="ACPPara"/>
        <w:spacing w:after="60"/>
      </w:pPr>
      <w:r w:rsidRPr="008A2B8F">
        <w:lastRenderedPageBreak/>
        <w:t xml:space="preserve">With the exception of bridge and tunnel assets, the department’s road assets are not insured. The risk associated with these assets is therefore borne by government. In certain circumstances, damage to the road network may be proportionally covered through the Australian Government’s </w:t>
      </w:r>
      <w:r w:rsidRPr="008A2B8F">
        <w:rPr>
          <w:i/>
          <w:iCs/>
        </w:rPr>
        <w:t>Disaster Recovery Funding Arrangements</w:t>
      </w:r>
      <w:r w:rsidRPr="008A2B8F">
        <w:t xml:space="preserve">. </w:t>
      </w:r>
    </w:p>
    <w:p w14:paraId="6C202070" w14:textId="77777777" w:rsidR="00BC5219" w:rsidRPr="008A2B8F" w:rsidRDefault="00BC5219" w:rsidP="00BC5219">
      <w:pPr>
        <w:pStyle w:val="ACPPara"/>
        <w:spacing w:after="60"/>
      </w:pPr>
      <w:r w:rsidRPr="008A2B8F">
        <w:t xml:space="preserve">The department insures its open tender road construction contract activities for material damage, public and products liability, environmental impairment liability and professional indemnity under the Principal Arranged Insurance Program. As well as providing cover for the department and its employees, it also covers the other parties to open tender construction contracts such as contractors and sub-contractors. </w:t>
      </w:r>
    </w:p>
    <w:p w14:paraId="278952CA" w14:textId="77777777" w:rsidR="00BC5219" w:rsidRPr="008A2B8F" w:rsidRDefault="00BC5219" w:rsidP="00BC5219">
      <w:pPr>
        <w:pStyle w:val="ACPPara"/>
        <w:spacing w:after="60"/>
      </w:pPr>
      <w:r w:rsidRPr="008A2B8F">
        <w:t>The department’s project risks and other non-current physical assets are insured through the Queensland Government Insurance Fund, with the exception of land, and New Generation Rollingstock and Gold Coast Light Rail assets which are insured by the service operator. Under this scheme the department’s liability is limited to $10,000 for each claim.</w:t>
      </w:r>
    </w:p>
    <w:p w14:paraId="5A39CAA6" w14:textId="77777777" w:rsidR="00BC5219" w:rsidRPr="008A2B8F" w:rsidRDefault="00BC5219" w:rsidP="00BC5219">
      <w:pPr>
        <w:pStyle w:val="ACPPara"/>
        <w:spacing w:after="60"/>
        <w:rPr>
          <w:b/>
          <w:bCs/>
        </w:rPr>
      </w:pPr>
      <w:r w:rsidRPr="008A2B8F">
        <w:t>In addition, the department pays premiums to WorkCover Queensland for its obligations for employee compensation and insures its fleet assets through the open insurance market.</w:t>
      </w:r>
    </w:p>
    <w:p w14:paraId="76203624" w14:textId="77777777" w:rsidR="00BC5219" w:rsidRPr="008A2B8F" w:rsidRDefault="00BC5219" w:rsidP="00BC5219">
      <w:pPr>
        <w:spacing w:line="120" w:lineRule="exact"/>
        <w:rPr>
          <w:rFonts w:ascii="Meta Pro" w:hAnsi="Meta Pro" w:cstheme="minorBidi"/>
        </w:rPr>
      </w:pPr>
    </w:p>
    <w:tbl>
      <w:tblPr>
        <w:tblW w:w="0" w:type="auto"/>
        <w:tblCellMar>
          <w:left w:w="0" w:type="dxa"/>
        </w:tblCellMar>
        <w:tblLook w:val="04A0" w:firstRow="1" w:lastRow="0" w:firstColumn="1" w:lastColumn="0" w:noHBand="0" w:noVBand="1"/>
      </w:tblPr>
      <w:tblGrid>
        <w:gridCol w:w="7144"/>
        <w:gridCol w:w="1164"/>
        <w:gridCol w:w="224"/>
        <w:gridCol w:w="1164"/>
      </w:tblGrid>
      <w:tr w:rsidR="00BC5219" w:rsidRPr="008A2B8F" w14:paraId="79D02FFE" w14:textId="77777777" w:rsidTr="00E83802">
        <w:trPr>
          <w:trHeight w:val="198"/>
        </w:trPr>
        <w:tc>
          <w:tcPr>
            <w:tcW w:w="7136" w:type="dxa"/>
            <w:tcBorders>
              <w:top w:val="nil"/>
              <w:left w:val="nil"/>
              <w:bottom w:val="nil"/>
              <w:right w:val="nil"/>
            </w:tcBorders>
            <w:shd w:val="clear" w:color="auto" w:fill="auto"/>
            <w:noWrap/>
            <w:vAlign w:val="center"/>
            <w:hideMark/>
          </w:tcPr>
          <w:p w14:paraId="4CC9FC3D" w14:textId="77777777" w:rsidR="00BC5219" w:rsidRPr="008A2B8F" w:rsidRDefault="00BC5219" w:rsidP="00E83802">
            <w:pPr>
              <w:rPr>
                <w:rFonts w:ascii="Meta Pro" w:eastAsia="Times New Roman" w:hAnsi="Meta Pro" w:cs="Times New Roman"/>
                <w:sz w:val="24"/>
                <w:szCs w:val="24"/>
                <w:lang w:eastAsia="en-AU"/>
              </w:rPr>
            </w:pPr>
          </w:p>
        </w:tc>
        <w:tc>
          <w:tcPr>
            <w:tcW w:w="1156" w:type="dxa"/>
            <w:tcBorders>
              <w:top w:val="nil"/>
              <w:left w:val="nil"/>
              <w:bottom w:val="nil"/>
              <w:right w:val="nil"/>
            </w:tcBorders>
            <w:shd w:val="clear" w:color="auto" w:fill="auto"/>
            <w:noWrap/>
            <w:vAlign w:val="center"/>
            <w:hideMark/>
          </w:tcPr>
          <w:p w14:paraId="7BDE7F0E" w14:textId="77777777" w:rsidR="00BC5219" w:rsidRPr="008A2B8F" w:rsidRDefault="00BC5219" w:rsidP="00E83802">
            <w:pPr>
              <w:jc w:val="center"/>
              <w:rPr>
                <w:rFonts w:ascii="Meta Pro" w:eastAsia="Times New Roman" w:hAnsi="Meta Pro"/>
                <w:b/>
                <w:bCs/>
                <w:color w:val="000000"/>
                <w:lang w:eastAsia="en-AU"/>
              </w:rPr>
            </w:pPr>
            <w:r w:rsidRPr="008A2B8F">
              <w:rPr>
                <w:rFonts w:ascii="Meta Pro" w:eastAsia="Times New Roman" w:hAnsi="Meta Pro"/>
                <w:b/>
                <w:bCs/>
                <w:color w:val="000000"/>
                <w:lang w:eastAsia="en-AU"/>
              </w:rPr>
              <w:t>2023</w:t>
            </w:r>
          </w:p>
        </w:tc>
        <w:tc>
          <w:tcPr>
            <w:tcW w:w="216" w:type="dxa"/>
            <w:tcBorders>
              <w:top w:val="nil"/>
              <w:left w:val="nil"/>
              <w:bottom w:val="nil"/>
              <w:right w:val="nil"/>
            </w:tcBorders>
            <w:shd w:val="clear" w:color="auto" w:fill="auto"/>
            <w:noWrap/>
            <w:vAlign w:val="center"/>
            <w:hideMark/>
          </w:tcPr>
          <w:p w14:paraId="21BD468E" w14:textId="77777777" w:rsidR="00BC5219" w:rsidRPr="008A2B8F" w:rsidRDefault="00BC5219" w:rsidP="00E83802">
            <w:pPr>
              <w:jc w:val="center"/>
              <w:rPr>
                <w:rFonts w:ascii="Meta Pro" w:eastAsia="Times New Roman" w:hAnsi="Meta Pro"/>
                <w:b/>
                <w:bCs/>
                <w:color w:val="000000"/>
                <w:lang w:eastAsia="en-AU"/>
              </w:rPr>
            </w:pPr>
          </w:p>
        </w:tc>
        <w:tc>
          <w:tcPr>
            <w:tcW w:w="1156" w:type="dxa"/>
            <w:tcBorders>
              <w:top w:val="nil"/>
              <w:left w:val="nil"/>
              <w:bottom w:val="nil"/>
              <w:right w:val="nil"/>
            </w:tcBorders>
            <w:shd w:val="clear" w:color="auto" w:fill="auto"/>
            <w:noWrap/>
            <w:vAlign w:val="center"/>
            <w:hideMark/>
          </w:tcPr>
          <w:p w14:paraId="754882D6" w14:textId="77777777" w:rsidR="00BC5219" w:rsidRPr="008A2B8F" w:rsidRDefault="00BC5219" w:rsidP="00E83802">
            <w:pPr>
              <w:jc w:val="center"/>
              <w:rPr>
                <w:rFonts w:ascii="Meta Pro" w:eastAsia="Times New Roman" w:hAnsi="Meta Pro"/>
                <w:b/>
                <w:bCs/>
                <w:lang w:eastAsia="en-AU"/>
              </w:rPr>
            </w:pPr>
            <w:r w:rsidRPr="008A2B8F">
              <w:rPr>
                <w:rFonts w:ascii="Meta Pro" w:eastAsia="Times New Roman" w:hAnsi="Meta Pro"/>
                <w:b/>
                <w:bCs/>
                <w:lang w:eastAsia="en-AU"/>
              </w:rPr>
              <w:t>2022</w:t>
            </w:r>
          </w:p>
        </w:tc>
      </w:tr>
      <w:tr w:rsidR="00BC5219" w:rsidRPr="008A2B8F" w14:paraId="3F083EB3" w14:textId="77777777" w:rsidTr="00E83802">
        <w:trPr>
          <w:trHeight w:val="198"/>
        </w:trPr>
        <w:tc>
          <w:tcPr>
            <w:tcW w:w="7136" w:type="dxa"/>
            <w:tcBorders>
              <w:top w:val="nil"/>
              <w:left w:val="nil"/>
              <w:bottom w:val="nil"/>
              <w:right w:val="nil"/>
            </w:tcBorders>
            <w:shd w:val="clear" w:color="auto" w:fill="auto"/>
            <w:noWrap/>
            <w:vAlign w:val="center"/>
            <w:hideMark/>
          </w:tcPr>
          <w:p w14:paraId="42CE24F9" w14:textId="77777777" w:rsidR="00BC5219" w:rsidRPr="008A2B8F" w:rsidRDefault="00BC5219" w:rsidP="00E83802">
            <w:pPr>
              <w:jc w:val="center"/>
              <w:rPr>
                <w:rFonts w:ascii="Meta Pro" w:eastAsia="Times New Roman" w:hAnsi="Meta Pro"/>
                <w:b/>
                <w:bCs/>
                <w:lang w:eastAsia="en-AU"/>
              </w:rPr>
            </w:pPr>
          </w:p>
        </w:tc>
        <w:tc>
          <w:tcPr>
            <w:tcW w:w="1156" w:type="dxa"/>
            <w:tcBorders>
              <w:top w:val="nil"/>
              <w:left w:val="nil"/>
              <w:bottom w:val="nil"/>
              <w:right w:val="nil"/>
            </w:tcBorders>
            <w:shd w:val="clear" w:color="auto" w:fill="auto"/>
            <w:noWrap/>
            <w:vAlign w:val="center"/>
            <w:hideMark/>
          </w:tcPr>
          <w:p w14:paraId="796D4E7A" w14:textId="77777777" w:rsidR="00BC5219" w:rsidRPr="008A2B8F" w:rsidRDefault="00BC5219" w:rsidP="00E83802">
            <w:pPr>
              <w:jc w:val="center"/>
              <w:rPr>
                <w:rFonts w:ascii="Meta Pro" w:eastAsia="Times New Roman" w:hAnsi="Meta Pro"/>
                <w:b/>
                <w:bCs/>
                <w:lang w:eastAsia="en-AU"/>
              </w:rPr>
            </w:pPr>
            <w:r w:rsidRPr="008A2B8F">
              <w:rPr>
                <w:rFonts w:ascii="Meta Pro" w:eastAsia="Times New Roman" w:hAnsi="Meta Pro"/>
                <w:b/>
                <w:bCs/>
                <w:lang w:eastAsia="en-AU"/>
              </w:rPr>
              <w:t>$'000</w:t>
            </w:r>
          </w:p>
        </w:tc>
        <w:tc>
          <w:tcPr>
            <w:tcW w:w="216" w:type="dxa"/>
            <w:tcBorders>
              <w:top w:val="nil"/>
              <w:left w:val="nil"/>
              <w:bottom w:val="nil"/>
              <w:right w:val="nil"/>
            </w:tcBorders>
            <w:shd w:val="clear" w:color="auto" w:fill="auto"/>
            <w:noWrap/>
            <w:vAlign w:val="center"/>
            <w:hideMark/>
          </w:tcPr>
          <w:p w14:paraId="71689F58" w14:textId="77777777" w:rsidR="00BC5219" w:rsidRPr="008A2B8F" w:rsidRDefault="00BC5219" w:rsidP="00E83802">
            <w:pPr>
              <w:jc w:val="center"/>
              <w:rPr>
                <w:rFonts w:ascii="Meta Pro" w:eastAsia="Times New Roman" w:hAnsi="Meta Pro"/>
                <w:b/>
                <w:bCs/>
                <w:lang w:eastAsia="en-AU"/>
              </w:rPr>
            </w:pPr>
          </w:p>
        </w:tc>
        <w:tc>
          <w:tcPr>
            <w:tcW w:w="1156" w:type="dxa"/>
            <w:tcBorders>
              <w:top w:val="nil"/>
              <w:left w:val="nil"/>
              <w:bottom w:val="nil"/>
              <w:right w:val="nil"/>
            </w:tcBorders>
            <w:shd w:val="clear" w:color="auto" w:fill="auto"/>
            <w:noWrap/>
            <w:vAlign w:val="center"/>
            <w:hideMark/>
          </w:tcPr>
          <w:p w14:paraId="55B5EB14" w14:textId="77777777" w:rsidR="00BC5219" w:rsidRPr="008A2B8F" w:rsidRDefault="00BC5219" w:rsidP="00E83802">
            <w:pPr>
              <w:jc w:val="center"/>
              <w:rPr>
                <w:rFonts w:ascii="Meta Pro" w:eastAsia="Times New Roman" w:hAnsi="Meta Pro"/>
                <w:b/>
                <w:bCs/>
                <w:lang w:eastAsia="en-AU"/>
              </w:rPr>
            </w:pPr>
            <w:r w:rsidRPr="008A2B8F">
              <w:rPr>
                <w:rFonts w:ascii="Meta Pro" w:eastAsia="Times New Roman" w:hAnsi="Meta Pro"/>
                <w:b/>
                <w:bCs/>
                <w:lang w:eastAsia="en-AU"/>
              </w:rPr>
              <w:t>$'000</w:t>
            </w:r>
          </w:p>
        </w:tc>
      </w:tr>
      <w:tr w:rsidR="00BC5219" w:rsidRPr="008A2B8F" w14:paraId="21ACB9C5" w14:textId="77777777" w:rsidTr="00E83802">
        <w:trPr>
          <w:trHeight w:val="198"/>
        </w:trPr>
        <w:tc>
          <w:tcPr>
            <w:tcW w:w="7136" w:type="dxa"/>
            <w:tcBorders>
              <w:top w:val="nil"/>
              <w:left w:val="nil"/>
              <w:bottom w:val="nil"/>
              <w:right w:val="nil"/>
            </w:tcBorders>
            <w:shd w:val="clear" w:color="auto" w:fill="auto"/>
            <w:noWrap/>
            <w:vAlign w:val="center"/>
            <w:hideMark/>
          </w:tcPr>
          <w:p w14:paraId="3A5A2A1A" w14:textId="77777777" w:rsidR="00BC5219" w:rsidRPr="008A2B8F" w:rsidRDefault="00BC5219" w:rsidP="00E83802">
            <w:pPr>
              <w:rPr>
                <w:rFonts w:ascii="Meta Pro" w:eastAsia="Times New Roman" w:hAnsi="Meta Pro"/>
                <w:b/>
                <w:bCs/>
                <w:lang w:eastAsia="en-AU"/>
              </w:rPr>
            </w:pPr>
            <w:r w:rsidRPr="008A2B8F">
              <w:rPr>
                <w:rFonts w:ascii="Meta Pro" w:eastAsia="Times New Roman" w:hAnsi="Meta Pro"/>
                <w:b/>
                <w:bCs/>
                <w:lang w:eastAsia="en-AU"/>
              </w:rPr>
              <w:t>12     RECEIVABLES</w:t>
            </w:r>
          </w:p>
        </w:tc>
        <w:tc>
          <w:tcPr>
            <w:tcW w:w="1156" w:type="dxa"/>
            <w:tcBorders>
              <w:top w:val="nil"/>
              <w:left w:val="nil"/>
              <w:bottom w:val="nil"/>
              <w:right w:val="nil"/>
            </w:tcBorders>
            <w:shd w:val="clear" w:color="auto" w:fill="auto"/>
            <w:noWrap/>
            <w:vAlign w:val="center"/>
            <w:hideMark/>
          </w:tcPr>
          <w:p w14:paraId="300DEF74" w14:textId="77777777" w:rsidR="00BC5219" w:rsidRPr="008A2B8F" w:rsidRDefault="00BC5219" w:rsidP="00E83802">
            <w:pPr>
              <w:rPr>
                <w:rFonts w:ascii="Meta Pro" w:eastAsia="Times New Roman" w:hAnsi="Meta Pro"/>
                <w:b/>
                <w:bCs/>
                <w:lang w:eastAsia="en-AU"/>
              </w:rPr>
            </w:pPr>
          </w:p>
        </w:tc>
        <w:tc>
          <w:tcPr>
            <w:tcW w:w="216" w:type="dxa"/>
            <w:tcBorders>
              <w:top w:val="nil"/>
              <w:left w:val="nil"/>
              <w:bottom w:val="nil"/>
              <w:right w:val="nil"/>
            </w:tcBorders>
            <w:shd w:val="clear" w:color="auto" w:fill="auto"/>
            <w:noWrap/>
            <w:vAlign w:val="center"/>
            <w:hideMark/>
          </w:tcPr>
          <w:p w14:paraId="21A7FDF9" w14:textId="77777777" w:rsidR="00BC5219" w:rsidRPr="008A2B8F" w:rsidRDefault="00BC5219" w:rsidP="00E83802">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44C70236" w14:textId="77777777" w:rsidR="00BC5219" w:rsidRPr="008A2B8F" w:rsidRDefault="00BC5219" w:rsidP="00E83802">
            <w:pPr>
              <w:rPr>
                <w:rFonts w:ascii="Meta Pro" w:eastAsia="Times New Roman" w:hAnsi="Meta Pro" w:cs="Times New Roman"/>
                <w:sz w:val="20"/>
                <w:szCs w:val="20"/>
                <w:lang w:eastAsia="en-AU"/>
              </w:rPr>
            </w:pPr>
          </w:p>
        </w:tc>
      </w:tr>
      <w:tr w:rsidR="00BC5219" w:rsidRPr="008A2B8F" w14:paraId="1AF28774" w14:textId="77777777" w:rsidTr="00E83802">
        <w:trPr>
          <w:trHeight w:val="198"/>
        </w:trPr>
        <w:tc>
          <w:tcPr>
            <w:tcW w:w="7136" w:type="dxa"/>
            <w:tcBorders>
              <w:top w:val="nil"/>
              <w:left w:val="nil"/>
              <w:bottom w:val="nil"/>
              <w:right w:val="nil"/>
            </w:tcBorders>
            <w:shd w:val="clear" w:color="auto" w:fill="auto"/>
            <w:noWrap/>
            <w:vAlign w:val="center"/>
            <w:hideMark/>
          </w:tcPr>
          <w:p w14:paraId="7A5F8079" w14:textId="77777777" w:rsidR="00BC5219" w:rsidRPr="008A2B8F" w:rsidRDefault="00BC5219" w:rsidP="00E83802">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3CD08DDB" w14:textId="77777777" w:rsidR="00BC5219" w:rsidRPr="008A2B8F" w:rsidRDefault="00BC5219" w:rsidP="00E83802">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27DED39E" w14:textId="77777777" w:rsidR="00BC5219" w:rsidRPr="008A2B8F" w:rsidRDefault="00BC5219" w:rsidP="00E83802">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2A690BB2" w14:textId="77777777" w:rsidR="00BC5219" w:rsidRPr="008A2B8F" w:rsidRDefault="00BC5219" w:rsidP="00E83802">
            <w:pPr>
              <w:rPr>
                <w:rFonts w:ascii="Meta Pro" w:eastAsia="Times New Roman" w:hAnsi="Meta Pro" w:cs="Times New Roman"/>
                <w:sz w:val="20"/>
                <w:szCs w:val="20"/>
                <w:lang w:eastAsia="en-AU"/>
              </w:rPr>
            </w:pPr>
          </w:p>
        </w:tc>
      </w:tr>
      <w:tr w:rsidR="00BC5219" w:rsidRPr="008A2B8F" w14:paraId="42FD14FF" w14:textId="77777777" w:rsidTr="00E83802">
        <w:trPr>
          <w:trHeight w:val="198"/>
        </w:trPr>
        <w:tc>
          <w:tcPr>
            <w:tcW w:w="7136" w:type="dxa"/>
            <w:tcBorders>
              <w:top w:val="nil"/>
              <w:left w:val="nil"/>
              <w:bottom w:val="nil"/>
              <w:right w:val="nil"/>
            </w:tcBorders>
            <w:shd w:val="clear" w:color="auto" w:fill="auto"/>
            <w:noWrap/>
            <w:vAlign w:val="center"/>
            <w:hideMark/>
          </w:tcPr>
          <w:p w14:paraId="6543342C"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Current</w:t>
            </w:r>
          </w:p>
        </w:tc>
        <w:tc>
          <w:tcPr>
            <w:tcW w:w="1156" w:type="dxa"/>
            <w:tcBorders>
              <w:top w:val="nil"/>
              <w:left w:val="nil"/>
              <w:bottom w:val="nil"/>
              <w:right w:val="nil"/>
            </w:tcBorders>
            <w:shd w:val="clear" w:color="auto" w:fill="auto"/>
            <w:noWrap/>
            <w:vAlign w:val="center"/>
            <w:hideMark/>
          </w:tcPr>
          <w:p w14:paraId="5E355D51" w14:textId="77777777" w:rsidR="00BC5219" w:rsidRPr="008A2B8F" w:rsidRDefault="00BC5219" w:rsidP="00E83802">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4049C464" w14:textId="77777777" w:rsidR="00BC5219" w:rsidRPr="008A2B8F" w:rsidRDefault="00BC5219" w:rsidP="00E83802">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6900139B" w14:textId="77777777" w:rsidR="00BC5219" w:rsidRPr="008A2B8F" w:rsidRDefault="00BC5219" w:rsidP="00E83802">
            <w:pPr>
              <w:rPr>
                <w:rFonts w:ascii="Meta Pro" w:eastAsia="Times New Roman" w:hAnsi="Meta Pro" w:cs="Times New Roman"/>
                <w:sz w:val="20"/>
                <w:szCs w:val="20"/>
                <w:lang w:eastAsia="en-AU"/>
              </w:rPr>
            </w:pPr>
          </w:p>
        </w:tc>
      </w:tr>
      <w:tr w:rsidR="00BC5219" w:rsidRPr="008A2B8F" w14:paraId="19170235" w14:textId="77777777" w:rsidTr="00E83802">
        <w:trPr>
          <w:trHeight w:val="198"/>
        </w:trPr>
        <w:tc>
          <w:tcPr>
            <w:tcW w:w="7136" w:type="dxa"/>
            <w:tcBorders>
              <w:top w:val="nil"/>
              <w:left w:val="nil"/>
              <w:bottom w:val="nil"/>
              <w:right w:val="nil"/>
            </w:tcBorders>
            <w:shd w:val="clear" w:color="auto" w:fill="auto"/>
            <w:noWrap/>
            <w:vAlign w:val="center"/>
            <w:hideMark/>
          </w:tcPr>
          <w:p w14:paraId="021B65DD"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Trade debtors</w:t>
            </w:r>
          </w:p>
        </w:tc>
        <w:tc>
          <w:tcPr>
            <w:tcW w:w="1156" w:type="dxa"/>
            <w:tcBorders>
              <w:top w:val="nil"/>
              <w:left w:val="nil"/>
              <w:bottom w:val="nil"/>
              <w:right w:val="nil"/>
            </w:tcBorders>
            <w:shd w:val="clear" w:color="000000" w:fill="C9E3B4"/>
            <w:noWrap/>
            <w:vAlign w:val="center"/>
            <w:hideMark/>
          </w:tcPr>
          <w:p w14:paraId="701F7FFC"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118,072 </w:t>
            </w:r>
          </w:p>
        </w:tc>
        <w:tc>
          <w:tcPr>
            <w:tcW w:w="216" w:type="dxa"/>
            <w:tcBorders>
              <w:top w:val="nil"/>
              <w:left w:val="nil"/>
              <w:bottom w:val="nil"/>
              <w:right w:val="nil"/>
            </w:tcBorders>
            <w:shd w:val="clear" w:color="auto" w:fill="auto"/>
            <w:noWrap/>
            <w:vAlign w:val="center"/>
            <w:hideMark/>
          </w:tcPr>
          <w:p w14:paraId="037DE94E"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106BF808"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123,738 </w:t>
            </w:r>
          </w:p>
        </w:tc>
      </w:tr>
      <w:tr w:rsidR="00BC5219" w:rsidRPr="008A2B8F" w14:paraId="2F70C1F6" w14:textId="77777777" w:rsidTr="00E83802">
        <w:trPr>
          <w:trHeight w:val="198"/>
        </w:trPr>
        <w:tc>
          <w:tcPr>
            <w:tcW w:w="7136" w:type="dxa"/>
            <w:tcBorders>
              <w:top w:val="nil"/>
              <w:left w:val="nil"/>
              <w:bottom w:val="nil"/>
              <w:right w:val="nil"/>
            </w:tcBorders>
            <w:shd w:val="clear" w:color="auto" w:fill="auto"/>
            <w:noWrap/>
            <w:vAlign w:val="center"/>
            <w:hideMark/>
          </w:tcPr>
          <w:p w14:paraId="22BC60AE"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Other debtors</w:t>
            </w:r>
          </w:p>
        </w:tc>
        <w:tc>
          <w:tcPr>
            <w:tcW w:w="1156" w:type="dxa"/>
            <w:tcBorders>
              <w:top w:val="nil"/>
              <w:left w:val="nil"/>
              <w:bottom w:val="nil"/>
              <w:right w:val="nil"/>
            </w:tcBorders>
            <w:shd w:val="clear" w:color="000000" w:fill="C9E3B4"/>
            <w:noWrap/>
            <w:vAlign w:val="center"/>
            <w:hideMark/>
          </w:tcPr>
          <w:p w14:paraId="2FD5BA3F"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5,320 </w:t>
            </w:r>
          </w:p>
        </w:tc>
        <w:tc>
          <w:tcPr>
            <w:tcW w:w="216" w:type="dxa"/>
            <w:tcBorders>
              <w:top w:val="nil"/>
              <w:left w:val="nil"/>
              <w:bottom w:val="nil"/>
              <w:right w:val="nil"/>
            </w:tcBorders>
            <w:shd w:val="clear" w:color="auto" w:fill="auto"/>
            <w:noWrap/>
            <w:vAlign w:val="center"/>
            <w:hideMark/>
          </w:tcPr>
          <w:p w14:paraId="3556BDDB"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5BBE5286"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5,574 </w:t>
            </w:r>
          </w:p>
        </w:tc>
      </w:tr>
      <w:tr w:rsidR="00BC5219" w:rsidRPr="008A2B8F" w14:paraId="61F36258" w14:textId="77777777" w:rsidTr="00E83802">
        <w:trPr>
          <w:trHeight w:val="198"/>
        </w:trPr>
        <w:tc>
          <w:tcPr>
            <w:tcW w:w="7136" w:type="dxa"/>
            <w:tcBorders>
              <w:top w:val="nil"/>
              <w:left w:val="nil"/>
              <w:bottom w:val="nil"/>
              <w:right w:val="nil"/>
            </w:tcBorders>
            <w:shd w:val="clear" w:color="auto" w:fill="auto"/>
            <w:noWrap/>
            <w:vAlign w:val="center"/>
            <w:hideMark/>
          </w:tcPr>
          <w:p w14:paraId="13CDC7B2"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Less: Loss allowance *</w:t>
            </w:r>
          </w:p>
        </w:tc>
        <w:tc>
          <w:tcPr>
            <w:tcW w:w="1156" w:type="dxa"/>
            <w:tcBorders>
              <w:top w:val="nil"/>
              <w:left w:val="nil"/>
              <w:bottom w:val="nil"/>
              <w:right w:val="nil"/>
            </w:tcBorders>
            <w:shd w:val="clear" w:color="000000" w:fill="C9E3B4"/>
            <w:noWrap/>
            <w:vAlign w:val="center"/>
            <w:hideMark/>
          </w:tcPr>
          <w:p w14:paraId="5872BC86"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(5,358)</w:t>
            </w:r>
          </w:p>
        </w:tc>
        <w:tc>
          <w:tcPr>
            <w:tcW w:w="216" w:type="dxa"/>
            <w:tcBorders>
              <w:top w:val="nil"/>
              <w:left w:val="nil"/>
              <w:bottom w:val="nil"/>
              <w:right w:val="nil"/>
            </w:tcBorders>
            <w:shd w:val="clear" w:color="auto" w:fill="auto"/>
            <w:noWrap/>
            <w:vAlign w:val="center"/>
            <w:hideMark/>
          </w:tcPr>
          <w:p w14:paraId="44B737BF"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43E276C6"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(5,406)</w:t>
            </w:r>
          </w:p>
        </w:tc>
      </w:tr>
      <w:tr w:rsidR="00BC5219" w:rsidRPr="008A2B8F" w14:paraId="3E430729" w14:textId="77777777" w:rsidTr="00E83802">
        <w:trPr>
          <w:trHeight w:val="198"/>
        </w:trPr>
        <w:tc>
          <w:tcPr>
            <w:tcW w:w="7136" w:type="dxa"/>
            <w:tcBorders>
              <w:top w:val="single" w:sz="4" w:space="0" w:color="auto"/>
              <w:left w:val="nil"/>
              <w:bottom w:val="nil"/>
              <w:right w:val="nil"/>
            </w:tcBorders>
            <w:shd w:val="clear" w:color="auto" w:fill="auto"/>
            <w:noWrap/>
            <w:vAlign w:val="center"/>
            <w:hideMark/>
          </w:tcPr>
          <w:p w14:paraId="5110B0B2"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1156" w:type="dxa"/>
            <w:tcBorders>
              <w:top w:val="single" w:sz="4" w:space="0" w:color="auto"/>
              <w:left w:val="nil"/>
              <w:bottom w:val="nil"/>
              <w:right w:val="nil"/>
            </w:tcBorders>
            <w:shd w:val="clear" w:color="000000" w:fill="C9E3B4"/>
            <w:noWrap/>
            <w:vAlign w:val="center"/>
            <w:hideMark/>
          </w:tcPr>
          <w:p w14:paraId="085777A1"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118,034 </w:t>
            </w:r>
          </w:p>
        </w:tc>
        <w:tc>
          <w:tcPr>
            <w:tcW w:w="216" w:type="dxa"/>
            <w:tcBorders>
              <w:top w:val="single" w:sz="4" w:space="0" w:color="auto"/>
              <w:left w:val="nil"/>
              <w:bottom w:val="nil"/>
              <w:right w:val="nil"/>
            </w:tcBorders>
            <w:shd w:val="clear" w:color="auto" w:fill="auto"/>
            <w:noWrap/>
            <w:vAlign w:val="center"/>
            <w:hideMark/>
          </w:tcPr>
          <w:p w14:paraId="1E952299"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w:t>
            </w:r>
          </w:p>
        </w:tc>
        <w:tc>
          <w:tcPr>
            <w:tcW w:w="1156" w:type="dxa"/>
            <w:tcBorders>
              <w:top w:val="single" w:sz="4" w:space="0" w:color="auto"/>
              <w:left w:val="nil"/>
              <w:bottom w:val="nil"/>
              <w:right w:val="nil"/>
            </w:tcBorders>
            <w:shd w:val="clear" w:color="auto" w:fill="auto"/>
            <w:noWrap/>
            <w:vAlign w:val="center"/>
            <w:hideMark/>
          </w:tcPr>
          <w:p w14:paraId="5A5D0985"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123,906 </w:t>
            </w:r>
          </w:p>
        </w:tc>
      </w:tr>
      <w:tr w:rsidR="00BC5219" w:rsidRPr="008A2B8F" w14:paraId="38539A85" w14:textId="77777777" w:rsidTr="00E83802">
        <w:trPr>
          <w:trHeight w:val="198"/>
        </w:trPr>
        <w:tc>
          <w:tcPr>
            <w:tcW w:w="7136" w:type="dxa"/>
            <w:tcBorders>
              <w:top w:val="nil"/>
              <w:left w:val="nil"/>
              <w:bottom w:val="nil"/>
              <w:right w:val="nil"/>
            </w:tcBorders>
            <w:shd w:val="clear" w:color="auto" w:fill="auto"/>
            <w:noWrap/>
            <w:vAlign w:val="center"/>
            <w:hideMark/>
          </w:tcPr>
          <w:p w14:paraId="2C76938D" w14:textId="77777777" w:rsidR="00BC5219" w:rsidRPr="008A2B8F" w:rsidRDefault="00BC5219" w:rsidP="00E83802">
            <w:pPr>
              <w:jc w:val="right"/>
              <w:rPr>
                <w:rFonts w:ascii="Meta Pro" w:eastAsia="Times New Roman" w:hAnsi="Meta Pro"/>
                <w:b/>
                <w:bCs/>
                <w:szCs w:val="18"/>
                <w:lang w:eastAsia="en-AU"/>
              </w:rPr>
            </w:pPr>
          </w:p>
        </w:tc>
        <w:tc>
          <w:tcPr>
            <w:tcW w:w="1156" w:type="dxa"/>
            <w:tcBorders>
              <w:top w:val="nil"/>
              <w:left w:val="nil"/>
              <w:bottom w:val="nil"/>
              <w:right w:val="nil"/>
            </w:tcBorders>
            <w:shd w:val="clear" w:color="000000" w:fill="C9E3B4"/>
            <w:noWrap/>
            <w:vAlign w:val="center"/>
            <w:hideMark/>
          </w:tcPr>
          <w:p w14:paraId="5C075207"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w:t>
            </w:r>
          </w:p>
        </w:tc>
        <w:tc>
          <w:tcPr>
            <w:tcW w:w="216" w:type="dxa"/>
            <w:tcBorders>
              <w:top w:val="nil"/>
              <w:left w:val="nil"/>
              <w:bottom w:val="nil"/>
              <w:right w:val="nil"/>
            </w:tcBorders>
            <w:shd w:val="clear" w:color="auto" w:fill="auto"/>
            <w:noWrap/>
            <w:vAlign w:val="center"/>
            <w:hideMark/>
          </w:tcPr>
          <w:p w14:paraId="1FE2AD2A"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5619D6D5"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3354D7E7" w14:textId="77777777" w:rsidTr="00E83802">
        <w:trPr>
          <w:trHeight w:val="198"/>
        </w:trPr>
        <w:tc>
          <w:tcPr>
            <w:tcW w:w="7136" w:type="dxa"/>
            <w:tcBorders>
              <w:top w:val="nil"/>
              <w:left w:val="nil"/>
              <w:bottom w:val="nil"/>
              <w:right w:val="nil"/>
            </w:tcBorders>
            <w:shd w:val="clear" w:color="auto" w:fill="auto"/>
            <w:noWrap/>
            <w:vAlign w:val="center"/>
            <w:hideMark/>
          </w:tcPr>
          <w:p w14:paraId="7A5BC4CB"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GST receivable</w:t>
            </w:r>
          </w:p>
        </w:tc>
        <w:tc>
          <w:tcPr>
            <w:tcW w:w="1156" w:type="dxa"/>
            <w:tcBorders>
              <w:top w:val="nil"/>
              <w:left w:val="nil"/>
              <w:bottom w:val="nil"/>
              <w:right w:val="nil"/>
            </w:tcBorders>
            <w:shd w:val="clear" w:color="000000" w:fill="C9E3B4"/>
            <w:noWrap/>
            <w:vAlign w:val="center"/>
            <w:hideMark/>
          </w:tcPr>
          <w:p w14:paraId="2D998FD7"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97,795 </w:t>
            </w:r>
          </w:p>
        </w:tc>
        <w:tc>
          <w:tcPr>
            <w:tcW w:w="216" w:type="dxa"/>
            <w:tcBorders>
              <w:top w:val="nil"/>
              <w:left w:val="nil"/>
              <w:bottom w:val="nil"/>
              <w:right w:val="nil"/>
            </w:tcBorders>
            <w:shd w:val="clear" w:color="auto" w:fill="auto"/>
            <w:noWrap/>
            <w:vAlign w:val="center"/>
            <w:hideMark/>
          </w:tcPr>
          <w:p w14:paraId="772FFAC0"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06B39B2E"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82,165 </w:t>
            </w:r>
          </w:p>
        </w:tc>
      </w:tr>
      <w:tr w:rsidR="00BC5219" w:rsidRPr="008A2B8F" w14:paraId="5DDFEB87" w14:textId="77777777" w:rsidTr="00E83802">
        <w:trPr>
          <w:trHeight w:val="198"/>
        </w:trPr>
        <w:tc>
          <w:tcPr>
            <w:tcW w:w="7136" w:type="dxa"/>
            <w:tcBorders>
              <w:top w:val="nil"/>
              <w:left w:val="nil"/>
              <w:bottom w:val="nil"/>
              <w:right w:val="nil"/>
            </w:tcBorders>
            <w:shd w:val="clear" w:color="auto" w:fill="auto"/>
            <w:noWrap/>
            <w:vAlign w:val="center"/>
            <w:hideMark/>
          </w:tcPr>
          <w:p w14:paraId="58EB887E"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xml:space="preserve">GST payable </w:t>
            </w:r>
          </w:p>
        </w:tc>
        <w:tc>
          <w:tcPr>
            <w:tcW w:w="1156" w:type="dxa"/>
            <w:tcBorders>
              <w:top w:val="nil"/>
              <w:left w:val="nil"/>
              <w:bottom w:val="nil"/>
              <w:right w:val="nil"/>
            </w:tcBorders>
            <w:shd w:val="clear" w:color="000000" w:fill="C9E3B4"/>
            <w:noWrap/>
            <w:vAlign w:val="center"/>
            <w:hideMark/>
          </w:tcPr>
          <w:p w14:paraId="5EE01FDD"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(11,676)</w:t>
            </w:r>
          </w:p>
        </w:tc>
        <w:tc>
          <w:tcPr>
            <w:tcW w:w="216" w:type="dxa"/>
            <w:tcBorders>
              <w:top w:val="nil"/>
              <w:left w:val="nil"/>
              <w:bottom w:val="nil"/>
              <w:right w:val="nil"/>
            </w:tcBorders>
            <w:shd w:val="clear" w:color="auto" w:fill="auto"/>
            <w:noWrap/>
            <w:vAlign w:val="center"/>
            <w:hideMark/>
          </w:tcPr>
          <w:p w14:paraId="5733562C"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677DBD9C"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(6,779)</w:t>
            </w:r>
          </w:p>
        </w:tc>
      </w:tr>
      <w:tr w:rsidR="00BC5219" w:rsidRPr="008A2B8F" w14:paraId="597DC045" w14:textId="77777777" w:rsidTr="00E83802">
        <w:trPr>
          <w:trHeight w:val="198"/>
        </w:trPr>
        <w:tc>
          <w:tcPr>
            <w:tcW w:w="7136" w:type="dxa"/>
            <w:tcBorders>
              <w:top w:val="single" w:sz="4" w:space="0" w:color="auto"/>
              <w:left w:val="nil"/>
              <w:bottom w:val="nil"/>
              <w:right w:val="nil"/>
            </w:tcBorders>
            <w:shd w:val="clear" w:color="auto" w:fill="auto"/>
            <w:noWrap/>
            <w:vAlign w:val="center"/>
            <w:hideMark/>
          </w:tcPr>
          <w:p w14:paraId="725B7C6C"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1156" w:type="dxa"/>
            <w:tcBorders>
              <w:top w:val="single" w:sz="4" w:space="0" w:color="auto"/>
              <w:left w:val="nil"/>
              <w:bottom w:val="nil"/>
              <w:right w:val="nil"/>
            </w:tcBorders>
            <w:shd w:val="clear" w:color="000000" w:fill="C9E3B4"/>
            <w:noWrap/>
            <w:vAlign w:val="center"/>
            <w:hideMark/>
          </w:tcPr>
          <w:p w14:paraId="3AC12808"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86,119 </w:t>
            </w:r>
          </w:p>
        </w:tc>
        <w:tc>
          <w:tcPr>
            <w:tcW w:w="216" w:type="dxa"/>
            <w:tcBorders>
              <w:top w:val="single" w:sz="4" w:space="0" w:color="auto"/>
              <w:left w:val="nil"/>
              <w:bottom w:val="nil"/>
              <w:right w:val="nil"/>
            </w:tcBorders>
            <w:shd w:val="clear" w:color="auto" w:fill="auto"/>
            <w:noWrap/>
            <w:vAlign w:val="center"/>
            <w:hideMark/>
          </w:tcPr>
          <w:p w14:paraId="1F298ADB"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w:t>
            </w:r>
          </w:p>
        </w:tc>
        <w:tc>
          <w:tcPr>
            <w:tcW w:w="1156" w:type="dxa"/>
            <w:tcBorders>
              <w:top w:val="single" w:sz="4" w:space="0" w:color="auto"/>
              <w:left w:val="nil"/>
              <w:bottom w:val="nil"/>
              <w:right w:val="nil"/>
            </w:tcBorders>
            <w:shd w:val="clear" w:color="auto" w:fill="auto"/>
            <w:noWrap/>
            <w:vAlign w:val="center"/>
            <w:hideMark/>
          </w:tcPr>
          <w:p w14:paraId="17C0C622"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75,386 </w:t>
            </w:r>
          </w:p>
        </w:tc>
      </w:tr>
      <w:tr w:rsidR="00BC5219" w:rsidRPr="008A2B8F" w14:paraId="7FAB2838" w14:textId="77777777" w:rsidTr="00E83802">
        <w:trPr>
          <w:trHeight w:val="198"/>
        </w:trPr>
        <w:tc>
          <w:tcPr>
            <w:tcW w:w="7136" w:type="dxa"/>
            <w:tcBorders>
              <w:top w:val="nil"/>
              <w:left w:val="nil"/>
              <w:bottom w:val="nil"/>
              <w:right w:val="nil"/>
            </w:tcBorders>
            <w:shd w:val="clear" w:color="auto" w:fill="auto"/>
            <w:noWrap/>
            <w:vAlign w:val="center"/>
            <w:hideMark/>
          </w:tcPr>
          <w:p w14:paraId="48460091" w14:textId="77777777" w:rsidR="00BC5219" w:rsidRPr="008A2B8F" w:rsidRDefault="00BC5219" w:rsidP="00E83802">
            <w:pPr>
              <w:jc w:val="right"/>
              <w:rPr>
                <w:rFonts w:ascii="Meta Pro" w:eastAsia="Times New Roman" w:hAnsi="Meta Pro"/>
                <w:b/>
                <w:bCs/>
                <w:szCs w:val="18"/>
                <w:lang w:eastAsia="en-AU"/>
              </w:rPr>
            </w:pPr>
          </w:p>
        </w:tc>
        <w:tc>
          <w:tcPr>
            <w:tcW w:w="1156" w:type="dxa"/>
            <w:tcBorders>
              <w:top w:val="nil"/>
              <w:left w:val="nil"/>
              <w:bottom w:val="nil"/>
              <w:right w:val="nil"/>
            </w:tcBorders>
            <w:shd w:val="clear" w:color="000000" w:fill="C9E3B4"/>
            <w:noWrap/>
            <w:vAlign w:val="center"/>
            <w:hideMark/>
          </w:tcPr>
          <w:p w14:paraId="40908AED"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w:t>
            </w:r>
          </w:p>
        </w:tc>
        <w:tc>
          <w:tcPr>
            <w:tcW w:w="216" w:type="dxa"/>
            <w:tcBorders>
              <w:top w:val="nil"/>
              <w:left w:val="nil"/>
              <w:bottom w:val="nil"/>
              <w:right w:val="nil"/>
            </w:tcBorders>
            <w:shd w:val="clear" w:color="auto" w:fill="auto"/>
            <w:noWrap/>
            <w:vAlign w:val="center"/>
            <w:hideMark/>
          </w:tcPr>
          <w:p w14:paraId="042E6E2F"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0445AA83"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7904F584" w14:textId="77777777" w:rsidTr="00E83802">
        <w:trPr>
          <w:trHeight w:val="198"/>
        </w:trPr>
        <w:tc>
          <w:tcPr>
            <w:tcW w:w="7136" w:type="dxa"/>
            <w:tcBorders>
              <w:top w:val="nil"/>
              <w:left w:val="nil"/>
              <w:bottom w:val="nil"/>
              <w:right w:val="nil"/>
            </w:tcBorders>
            <w:shd w:val="clear" w:color="auto" w:fill="auto"/>
            <w:noWrap/>
            <w:vAlign w:val="center"/>
            <w:hideMark/>
          </w:tcPr>
          <w:p w14:paraId="6432FB3B"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Annual leave reimbursements</w:t>
            </w:r>
          </w:p>
        </w:tc>
        <w:tc>
          <w:tcPr>
            <w:tcW w:w="1156" w:type="dxa"/>
            <w:tcBorders>
              <w:top w:val="nil"/>
              <w:left w:val="nil"/>
              <w:bottom w:val="nil"/>
              <w:right w:val="nil"/>
            </w:tcBorders>
            <w:shd w:val="clear" w:color="000000" w:fill="C9E3B4"/>
            <w:noWrap/>
            <w:vAlign w:val="center"/>
            <w:hideMark/>
          </w:tcPr>
          <w:p w14:paraId="12DCEF43"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19,931 </w:t>
            </w:r>
          </w:p>
        </w:tc>
        <w:tc>
          <w:tcPr>
            <w:tcW w:w="216" w:type="dxa"/>
            <w:tcBorders>
              <w:top w:val="nil"/>
              <w:left w:val="nil"/>
              <w:bottom w:val="nil"/>
              <w:right w:val="nil"/>
            </w:tcBorders>
            <w:shd w:val="clear" w:color="auto" w:fill="auto"/>
            <w:noWrap/>
            <w:vAlign w:val="center"/>
            <w:hideMark/>
          </w:tcPr>
          <w:p w14:paraId="40D3953D"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10110BF8"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15,406 </w:t>
            </w:r>
          </w:p>
        </w:tc>
      </w:tr>
      <w:tr w:rsidR="00BC5219" w:rsidRPr="008A2B8F" w14:paraId="2664B84B" w14:textId="77777777" w:rsidTr="00E83802">
        <w:trPr>
          <w:trHeight w:val="198"/>
        </w:trPr>
        <w:tc>
          <w:tcPr>
            <w:tcW w:w="7136" w:type="dxa"/>
            <w:tcBorders>
              <w:top w:val="nil"/>
              <w:left w:val="nil"/>
              <w:bottom w:val="nil"/>
              <w:right w:val="nil"/>
            </w:tcBorders>
            <w:shd w:val="clear" w:color="auto" w:fill="auto"/>
            <w:noWrap/>
            <w:vAlign w:val="center"/>
            <w:hideMark/>
          </w:tcPr>
          <w:p w14:paraId="4E4BD3A5"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xml:space="preserve">Appropriation revenue receivable </w:t>
            </w:r>
          </w:p>
        </w:tc>
        <w:tc>
          <w:tcPr>
            <w:tcW w:w="1156" w:type="dxa"/>
            <w:tcBorders>
              <w:top w:val="nil"/>
              <w:left w:val="nil"/>
              <w:bottom w:val="nil"/>
              <w:right w:val="nil"/>
            </w:tcBorders>
            <w:shd w:val="clear" w:color="000000" w:fill="C9E3B4"/>
            <w:noWrap/>
            <w:vAlign w:val="center"/>
            <w:hideMark/>
          </w:tcPr>
          <w:p w14:paraId="4E03432C"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7,483 </w:t>
            </w:r>
          </w:p>
        </w:tc>
        <w:tc>
          <w:tcPr>
            <w:tcW w:w="216" w:type="dxa"/>
            <w:tcBorders>
              <w:top w:val="nil"/>
              <w:left w:val="nil"/>
              <w:bottom w:val="nil"/>
              <w:right w:val="nil"/>
            </w:tcBorders>
            <w:shd w:val="clear" w:color="auto" w:fill="auto"/>
            <w:noWrap/>
            <w:vAlign w:val="center"/>
            <w:hideMark/>
          </w:tcPr>
          <w:p w14:paraId="6E34CDD7"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7AC9AFA8"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1,993 </w:t>
            </w:r>
          </w:p>
        </w:tc>
      </w:tr>
      <w:tr w:rsidR="00BC5219" w:rsidRPr="008A2B8F" w14:paraId="5896EC0D" w14:textId="77777777" w:rsidTr="00E83802">
        <w:trPr>
          <w:trHeight w:val="198"/>
        </w:trPr>
        <w:tc>
          <w:tcPr>
            <w:tcW w:w="7136" w:type="dxa"/>
            <w:tcBorders>
              <w:top w:val="nil"/>
              <w:left w:val="nil"/>
              <w:bottom w:val="nil"/>
              <w:right w:val="nil"/>
            </w:tcBorders>
            <w:shd w:val="clear" w:color="auto" w:fill="auto"/>
            <w:noWrap/>
            <w:vAlign w:val="center"/>
            <w:hideMark/>
          </w:tcPr>
          <w:p w14:paraId="00FEDD42"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Equity adjustment receivable</w:t>
            </w:r>
          </w:p>
        </w:tc>
        <w:tc>
          <w:tcPr>
            <w:tcW w:w="1156" w:type="dxa"/>
            <w:tcBorders>
              <w:top w:val="nil"/>
              <w:left w:val="nil"/>
              <w:bottom w:val="nil"/>
              <w:right w:val="nil"/>
            </w:tcBorders>
            <w:shd w:val="clear" w:color="000000" w:fill="C9E3B4"/>
            <w:noWrap/>
            <w:vAlign w:val="center"/>
            <w:hideMark/>
          </w:tcPr>
          <w:p w14:paraId="4C7ACF71"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2,032 </w:t>
            </w:r>
          </w:p>
        </w:tc>
        <w:tc>
          <w:tcPr>
            <w:tcW w:w="216" w:type="dxa"/>
            <w:tcBorders>
              <w:top w:val="nil"/>
              <w:left w:val="nil"/>
              <w:bottom w:val="nil"/>
              <w:right w:val="nil"/>
            </w:tcBorders>
            <w:shd w:val="clear" w:color="auto" w:fill="auto"/>
            <w:noWrap/>
            <w:vAlign w:val="center"/>
            <w:hideMark/>
          </w:tcPr>
          <w:p w14:paraId="1E75112C"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0C20923D"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r>
      <w:tr w:rsidR="00BC5219" w:rsidRPr="008A2B8F" w14:paraId="3E0EE0E7" w14:textId="77777777" w:rsidTr="00E83802">
        <w:trPr>
          <w:trHeight w:val="198"/>
        </w:trPr>
        <w:tc>
          <w:tcPr>
            <w:tcW w:w="7136" w:type="dxa"/>
            <w:tcBorders>
              <w:top w:val="nil"/>
              <w:left w:val="nil"/>
              <w:bottom w:val="nil"/>
              <w:right w:val="nil"/>
            </w:tcBorders>
            <w:shd w:val="clear" w:color="auto" w:fill="auto"/>
            <w:noWrap/>
            <w:vAlign w:val="center"/>
            <w:hideMark/>
          </w:tcPr>
          <w:p w14:paraId="30EA89E9"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Long service leave reimbursements</w:t>
            </w:r>
          </w:p>
        </w:tc>
        <w:tc>
          <w:tcPr>
            <w:tcW w:w="1156" w:type="dxa"/>
            <w:tcBorders>
              <w:top w:val="nil"/>
              <w:left w:val="nil"/>
              <w:bottom w:val="nil"/>
              <w:right w:val="nil"/>
            </w:tcBorders>
            <w:shd w:val="clear" w:color="000000" w:fill="C9E3B4"/>
            <w:noWrap/>
            <w:vAlign w:val="center"/>
            <w:hideMark/>
          </w:tcPr>
          <w:p w14:paraId="30B98BA8"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6,427 </w:t>
            </w:r>
          </w:p>
        </w:tc>
        <w:tc>
          <w:tcPr>
            <w:tcW w:w="216" w:type="dxa"/>
            <w:tcBorders>
              <w:top w:val="nil"/>
              <w:left w:val="nil"/>
              <w:bottom w:val="nil"/>
              <w:right w:val="nil"/>
            </w:tcBorders>
            <w:shd w:val="clear" w:color="auto" w:fill="auto"/>
            <w:noWrap/>
            <w:vAlign w:val="center"/>
            <w:hideMark/>
          </w:tcPr>
          <w:p w14:paraId="592F87F8"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0F800A11"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5,012 </w:t>
            </w:r>
          </w:p>
        </w:tc>
      </w:tr>
      <w:tr w:rsidR="00BC5219" w:rsidRPr="008A2B8F" w14:paraId="315CE38C" w14:textId="77777777" w:rsidTr="00E83802">
        <w:trPr>
          <w:trHeight w:val="198"/>
        </w:trPr>
        <w:tc>
          <w:tcPr>
            <w:tcW w:w="7136" w:type="dxa"/>
            <w:tcBorders>
              <w:top w:val="nil"/>
              <w:left w:val="nil"/>
              <w:bottom w:val="single" w:sz="4" w:space="0" w:color="auto"/>
              <w:right w:val="nil"/>
            </w:tcBorders>
            <w:shd w:val="clear" w:color="auto" w:fill="auto"/>
            <w:noWrap/>
            <w:vAlign w:val="center"/>
            <w:hideMark/>
          </w:tcPr>
          <w:p w14:paraId="5BD6D6A2"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xml:space="preserve">Other </w:t>
            </w:r>
          </w:p>
        </w:tc>
        <w:tc>
          <w:tcPr>
            <w:tcW w:w="1156" w:type="dxa"/>
            <w:tcBorders>
              <w:top w:val="nil"/>
              <w:left w:val="nil"/>
              <w:bottom w:val="single" w:sz="4" w:space="0" w:color="auto"/>
              <w:right w:val="nil"/>
            </w:tcBorders>
            <w:shd w:val="clear" w:color="000000" w:fill="C9E3B4"/>
            <w:noWrap/>
            <w:vAlign w:val="center"/>
            <w:hideMark/>
          </w:tcPr>
          <w:p w14:paraId="5BF4E116"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5,038 </w:t>
            </w:r>
          </w:p>
        </w:tc>
        <w:tc>
          <w:tcPr>
            <w:tcW w:w="216" w:type="dxa"/>
            <w:tcBorders>
              <w:top w:val="nil"/>
              <w:left w:val="nil"/>
              <w:bottom w:val="single" w:sz="4" w:space="0" w:color="auto"/>
              <w:right w:val="nil"/>
            </w:tcBorders>
            <w:shd w:val="clear" w:color="auto" w:fill="auto"/>
            <w:noWrap/>
            <w:vAlign w:val="center"/>
            <w:hideMark/>
          </w:tcPr>
          <w:p w14:paraId="5C6BF9D5"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w:t>
            </w:r>
          </w:p>
        </w:tc>
        <w:tc>
          <w:tcPr>
            <w:tcW w:w="1156" w:type="dxa"/>
            <w:tcBorders>
              <w:top w:val="nil"/>
              <w:left w:val="nil"/>
              <w:bottom w:val="single" w:sz="4" w:space="0" w:color="auto"/>
              <w:right w:val="nil"/>
            </w:tcBorders>
            <w:shd w:val="clear" w:color="auto" w:fill="auto"/>
            <w:noWrap/>
            <w:vAlign w:val="center"/>
            <w:hideMark/>
          </w:tcPr>
          <w:p w14:paraId="355C4F59"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5,010 </w:t>
            </w:r>
          </w:p>
        </w:tc>
      </w:tr>
      <w:tr w:rsidR="00BC5219" w:rsidRPr="008A2B8F" w14:paraId="4515E345" w14:textId="77777777" w:rsidTr="00E83802">
        <w:trPr>
          <w:trHeight w:val="198"/>
        </w:trPr>
        <w:tc>
          <w:tcPr>
            <w:tcW w:w="7136" w:type="dxa"/>
            <w:tcBorders>
              <w:top w:val="nil"/>
              <w:left w:val="nil"/>
              <w:bottom w:val="nil"/>
              <w:right w:val="nil"/>
            </w:tcBorders>
            <w:shd w:val="clear" w:color="auto" w:fill="auto"/>
            <w:noWrap/>
            <w:vAlign w:val="center"/>
            <w:hideMark/>
          </w:tcPr>
          <w:p w14:paraId="53924002"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000000" w:fill="C9E3B4"/>
            <w:noWrap/>
            <w:vAlign w:val="center"/>
            <w:hideMark/>
          </w:tcPr>
          <w:p w14:paraId="2CAE77E0"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40,911 </w:t>
            </w:r>
          </w:p>
        </w:tc>
        <w:tc>
          <w:tcPr>
            <w:tcW w:w="216" w:type="dxa"/>
            <w:tcBorders>
              <w:top w:val="nil"/>
              <w:left w:val="nil"/>
              <w:bottom w:val="nil"/>
              <w:right w:val="nil"/>
            </w:tcBorders>
            <w:shd w:val="clear" w:color="auto" w:fill="auto"/>
            <w:noWrap/>
            <w:vAlign w:val="center"/>
            <w:hideMark/>
          </w:tcPr>
          <w:p w14:paraId="3C399C79" w14:textId="77777777" w:rsidR="00BC5219" w:rsidRPr="008A2B8F" w:rsidRDefault="00BC5219" w:rsidP="00E83802">
            <w:pPr>
              <w:jc w:val="right"/>
              <w:rPr>
                <w:rFonts w:ascii="Meta Pro" w:eastAsia="Times New Roman" w:hAnsi="Meta Pro"/>
                <w:b/>
                <w:bCs/>
                <w:szCs w:val="18"/>
                <w:lang w:eastAsia="en-AU"/>
              </w:rPr>
            </w:pPr>
          </w:p>
        </w:tc>
        <w:tc>
          <w:tcPr>
            <w:tcW w:w="1156" w:type="dxa"/>
            <w:tcBorders>
              <w:top w:val="nil"/>
              <w:left w:val="nil"/>
              <w:bottom w:val="nil"/>
              <w:right w:val="nil"/>
            </w:tcBorders>
            <w:shd w:val="clear" w:color="auto" w:fill="auto"/>
            <w:noWrap/>
            <w:vAlign w:val="center"/>
            <w:hideMark/>
          </w:tcPr>
          <w:p w14:paraId="0934AE78"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27,421 </w:t>
            </w:r>
          </w:p>
        </w:tc>
      </w:tr>
      <w:tr w:rsidR="00BC5219" w:rsidRPr="008A2B8F" w14:paraId="4FC662CE" w14:textId="77777777" w:rsidTr="00E83802">
        <w:trPr>
          <w:trHeight w:val="198"/>
        </w:trPr>
        <w:tc>
          <w:tcPr>
            <w:tcW w:w="7136" w:type="dxa"/>
            <w:tcBorders>
              <w:top w:val="single" w:sz="4" w:space="0" w:color="auto"/>
              <w:left w:val="nil"/>
              <w:bottom w:val="double" w:sz="6" w:space="0" w:color="auto"/>
              <w:right w:val="nil"/>
            </w:tcBorders>
            <w:shd w:val="clear" w:color="auto" w:fill="auto"/>
            <w:noWrap/>
            <w:vAlign w:val="center"/>
            <w:hideMark/>
          </w:tcPr>
          <w:p w14:paraId="73BCB850"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Total</w:t>
            </w:r>
          </w:p>
        </w:tc>
        <w:tc>
          <w:tcPr>
            <w:tcW w:w="1156" w:type="dxa"/>
            <w:tcBorders>
              <w:top w:val="single" w:sz="4" w:space="0" w:color="auto"/>
              <w:left w:val="nil"/>
              <w:bottom w:val="double" w:sz="6" w:space="0" w:color="auto"/>
              <w:right w:val="nil"/>
            </w:tcBorders>
            <w:shd w:val="clear" w:color="000000" w:fill="C9E3B4"/>
            <w:noWrap/>
            <w:vAlign w:val="center"/>
            <w:hideMark/>
          </w:tcPr>
          <w:p w14:paraId="29F7C4A2"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245,064 </w:t>
            </w:r>
          </w:p>
        </w:tc>
        <w:tc>
          <w:tcPr>
            <w:tcW w:w="216" w:type="dxa"/>
            <w:tcBorders>
              <w:top w:val="single" w:sz="4" w:space="0" w:color="auto"/>
              <w:left w:val="nil"/>
              <w:bottom w:val="double" w:sz="6" w:space="0" w:color="auto"/>
              <w:right w:val="nil"/>
            </w:tcBorders>
            <w:shd w:val="clear" w:color="auto" w:fill="auto"/>
            <w:noWrap/>
            <w:vAlign w:val="center"/>
            <w:hideMark/>
          </w:tcPr>
          <w:p w14:paraId="213F402A"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w:t>
            </w:r>
          </w:p>
        </w:tc>
        <w:tc>
          <w:tcPr>
            <w:tcW w:w="1156" w:type="dxa"/>
            <w:tcBorders>
              <w:top w:val="single" w:sz="4" w:space="0" w:color="auto"/>
              <w:left w:val="nil"/>
              <w:bottom w:val="double" w:sz="6" w:space="0" w:color="auto"/>
              <w:right w:val="nil"/>
            </w:tcBorders>
            <w:shd w:val="clear" w:color="auto" w:fill="auto"/>
            <w:noWrap/>
            <w:vAlign w:val="center"/>
            <w:hideMark/>
          </w:tcPr>
          <w:p w14:paraId="128D3F69"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226,713 </w:t>
            </w:r>
          </w:p>
        </w:tc>
      </w:tr>
      <w:tr w:rsidR="00BC5219" w:rsidRPr="008A2B8F" w14:paraId="79FDA9FE" w14:textId="77777777" w:rsidTr="00E83802">
        <w:trPr>
          <w:trHeight w:val="198"/>
        </w:trPr>
        <w:tc>
          <w:tcPr>
            <w:tcW w:w="7136" w:type="dxa"/>
            <w:tcBorders>
              <w:top w:val="nil"/>
              <w:left w:val="nil"/>
              <w:bottom w:val="nil"/>
              <w:right w:val="nil"/>
            </w:tcBorders>
            <w:shd w:val="clear" w:color="auto" w:fill="auto"/>
            <w:noWrap/>
            <w:vAlign w:val="center"/>
            <w:hideMark/>
          </w:tcPr>
          <w:p w14:paraId="08C95381" w14:textId="77777777" w:rsidR="00BC5219" w:rsidRPr="008A2B8F" w:rsidRDefault="00BC5219" w:rsidP="00E83802">
            <w:pPr>
              <w:jc w:val="right"/>
              <w:rPr>
                <w:rFonts w:ascii="Meta Pro" w:eastAsia="Times New Roman" w:hAnsi="Meta Pro"/>
                <w:b/>
                <w:bCs/>
                <w:szCs w:val="18"/>
                <w:lang w:eastAsia="en-AU"/>
              </w:rPr>
            </w:pPr>
          </w:p>
        </w:tc>
        <w:tc>
          <w:tcPr>
            <w:tcW w:w="1156" w:type="dxa"/>
            <w:tcBorders>
              <w:top w:val="nil"/>
              <w:left w:val="nil"/>
              <w:bottom w:val="nil"/>
              <w:right w:val="nil"/>
            </w:tcBorders>
            <w:shd w:val="clear" w:color="auto" w:fill="auto"/>
            <w:noWrap/>
            <w:vAlign w:val="center"/>
            <w:hideMark/>
          </w:tcPr>
          <w:p w14:paraId="2E952719" w14:textId="77777777" w:rsidR="00BC5219" w:rsidRPr="008A2B8F" w:rsidRDefault="00BC5219" w:rsidP="00E83802">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2B09BC81" w14:textId="77777777" w:rsidR="00BC5219" w:rsidRPr="008A2B8F"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2F917336"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236F84A8" w14:textId="77777777" w:rsidTr="00E83802">
        <w:trPr>
          <w:trHeight w:val="198"/>
        </w:trPr>
        <w:tc>
          <w:tcPr>
            <w:tcW w:w="7136" w:type="dxa"/>
            <w:tcBorders>
              <w:top w:val="nil"/>
              <w:left w:val="nil"/>
              <w:bottom w:val="nil"/>
              <w:right w:val="nil"/>
            </w:tcBorders>
            <w:shd w:val="clear" w:color="auto" w:fill="auto"/>
            <w:noWrap/>
            <w:vAlign w:val="center"/>
            <w:hideMark/>
          </w:tcPr>
          <w:p w14:paraId="136F6B24"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lastRenderedPageBreak/>
              <w:t>Non-current</w:t>
            </w:r>
          </w:p>
        </w:tc>
        <w:tc>
          <w:tcPr>
            <w:tcW w:w="1156" w:type="dxa"/>
            <w:tcBorders>
              <w:top w:val="nil"/>
              <w:left w:val="nil"/>
              <w:bottom w:val="nil"/>
              <w:right w:val="nil"/>
            </w:tcBorders>
            <w:shd w:val="clear" w:color="auto" w:fill="auto"/>
            <w:noWrap/>
            <w:vAlign w:val="center"/>
            <w:hideMark/>
          </w:tcPr>
          <w:p w14:paraId="346DECEA" w14:textId="77777777" w:rsidR="00BC5219" w:rsidRPr="008A2B8F" w:rsidRDefault="00BC5219" w:rsidP="00E83802">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7826A69E" w14:textId="77777777" w:rsidR="00BC5219" w:rsidRPr="008A2B8F"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7DD304E3"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3DF0E7B7" w14:textId="77777777" w:rsidTr="00E83802">
        <w:trPr>
          <w:trHeight w:val="198"/>
        </w:trPr>
        <w:tc>
          <w:tcPr>
            <w:tcW w:w="7136" w:type="dxa"/>
            <w:tcBorders>
              <w:top w:val="nil"/>
              <w:left w:val="nil"/>
              <w:bottom w:val="nil"/>
              <w:right w:val="nil"/>
            </w:tcBorders>
            <w:shd w:val="clear" w:color="auto" w:fill="auto"/>
            <w:noWrap/>
            <w:vAlign w:val="center"/>
            <w:hideMark/>
          </w:tcPr>
          <w:p w14:paraId="0840F52E"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Sublease receivable</w:t>
            </w:r>
          </w:p>
        </w:tc>
        <w:tc>
          <w:tcPr>
            <w:tcW w:w="1156" w:type="dxa"/>
            <w:tcBorders>
              <w:top w:val="nil"/>
              <w:left w:val="nil"/>
              <w:bottom w:val="nil"/>
              <w:right w:val="nil"/>
            </w:tcBorders>
            <w:shd w:val="clear" w:color="000000" w:fill="C9E3B4"/>
            <w:noWrap/>
            <w:vAlign w:val="center"/>
            <w:hideMark/>
          </w:tcPr>
          <w:p w14:paraId="3F0A9883"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3,421 </w:t>
            </w:r>
          </w:p>
        </w:tc>
        <w:tc>
          <w:tcPr>
            <w:tcW w:w="216" w:type="dxa"/>
            <w:tcBorders>
              <w:top w:val="nil"/>
              <w:left w:val="nil"/>
              <w:bottom w:val="nil"/>
              <w:right w:val="nil"/>
            </w:tcBorders>
            <w:shd w:val="clear" w:color="auto" w:fill="auto"/>
            <w:noWrap/>
            <w:vAlign w:val="center"/>
            <w:hideMark/>
          </w:tcPr>
          <w:p w14:paraId="1489B947"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02958A8D"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3,274 </w:t>
            </w:r>
          </w:p>
        </w:tc>
      </w:tr>
      <w:tr w:rsidR="00BC5219" w:rsidRPr="008A2B8F" w14:paraId="2FE5B5D5" w14:textId="77777777" w:rsidTr="00E83802">
        <w:trPr>
          <w:trHeight w:val="198"/>
        </w:trPr>
        <w:tc>
          <w:tcPr>
            <w:tcW w:w="7136" w:type="dxa"/>
            <w:tcBorders>
              <w:top w:val="single" w:sz="4" w:space="0" w:color="auto"/>
              <w:left w:val="nil"/>
              <w:bottom w:val="double" w:sz="6" w:space="0" w:color="auto"/>
              <w:right w:val="nil"/>
            </w:tcBorders>
            <w:shd w:val="clear" w:color="auto" w:fill="auto"/>
            <w:noWrap/>
            <w:vAlign w:val="center"/>
            <w:hideMark/>
          </w:tcPr>
          <w:p w14:paraId="5DF61C91"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Total</w:t>
            </w:r>
          </w:p>
        </w:tc>
        <w:tc>
          <w:tcPr>
            <w:tcW w:w="1156" w:type="dxa"/>
            <w:tcBorders>
              <w:top w:val="single" w:sz="4" w:space="0" w:color="auto"/>
              <w:left w:val="nil"/>
              <w:bottom w:val="double" w:sz="6" w:space="0" w:color="auto"/>
              <w:right w:val="nil"/>
            </w:tcBorders>
            <w:shd w:val="clear" w:color="000000" w:fill="C9E3B4"/>
            <w:noWrap/>
            <w:vAlign w:val="center"/>
            <w:hideMark/>
          </w:tcPr>
          <w:p w14:paraId="45B2C34A"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3,421 </w:t>
            </w:r>
          </w:p>
        </w:tc>
        <w:tc>
          <w:tcPr>
            <w:tcW w:w="216" w:type="dxa"/>
            <w:tcBorders>
              <w:top w:val="single" w:sz="4" w:space="0" w:color="auto"/>
              <w:left w:val="nil"/>
              <w:bottom w:val="double" w:sz="6" w:space="0" w:color="auto"/>
              <w:right w:val="nil"/>
            </w:tcBorders>
            <w:shd w:val="clear" w:color="auto" w:fill="auto"/>
            <w:noWrap/>
            <w:vAlign w:val="center"/>
            <w:hideMark/>
          </w:tcPr>
          <w:p w14:paraId="75FAB4D6"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w:t>
            </w:r>
          </w:p>
        </w:tc>
        <w:tc>
          <w:tcPr>
            <w:tcW w:w="1156" w:type="dxa"/>
            <w:tcBorders>
              <w:top w:val="single" w:sz="4" w:space="0" w:color="auto"/>
              <w:left w:val="nil"/>
              <w:bottom w:val="double" w:sz="6" w:space="0" w:color="auto"/>
              <w:right w:val="nil"/>
            </w:tcBorders>
            <w:shd w:val="clear" w:color="auto" w:fill="auto"/>
            <w:noWrap/>
            <w:vAlign w:val="center"/>
            <w:hideMark/>
          </w:tcPr>
          <w:p w14:paraId="2DF87678"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3,274 </w:t>
            </w:r>
          </w:p>
        </w:tc>
      </w:tr>
    </w:tbl>
    <w:p w14:paraId="1A7D76DC" w14:textId="77777777" w:rsidR="00BC5219" w:rsidRPr="008A2B8F" w:rsidRDefault="00BC5219" w:rsidP="00BC5219">
      <w:pPr>
        <w:spacing w:line="120" w:lineRule="exact"/>
        <w:rPr>
          <w:rFonts w:ascii="Meta Pro" w:hAnsi="Meta Pro" w:cstheme="minorBidi"/>
        </w:rPr>
      </w:pPr>
    </w:p>
    <w:tbl>
      <w:tblPr>
        <w:tblW w:w="0" w:type="auto"/>
        <w:tblCellMar>
          <w:left w:w="0" w:type="dxa"/>
        </w:tblCellMar>
        <w:tblLook w:val="04A0" w:firstRow="1" w:lastRow="0" w:firstColumn="1" w:lastColumn="0" w:noHBand="0" w:noVBand="1"/>
      </w:tblPr>
      <w:tblGrid>
        <w:gridCol w:w="7144"/>
        <w:gridCol w:w="1164"/>
        <w:gridCol w:w="224"/>
        <w:gridCol w:w="1164"/>
      </w:tblGrid>
      <w:tr w:rsidR="00BC5219" w:rsidRPr="008A2B8F" w14:paraId="0A4EC308" w14:textId="77777777" w:rsidTr="00E83802">
        <w:trPr>
          <w:trHeight w:val="227"/>
        </w:trPr>
        <w:tc>
          <w:tcPr>
            <w:tcW w:w="7136" w:type="dxa"/>
            <w:tcBorders>
              <w:top w:val="nil"/>
              <w:left w:val="nil"/>
              <w:bottom w:val="nil"/>
              <w:right w:val="nil"/>
            </w:tcBorders>
            <w:shd w:val="clear" w:color="auto" w:fill="auto"/>
            <w:noWrap/>
            <w:vAlign w:val="center"/>
            <w:hideMark/>
          </w:tcPr>
          <w:p w14:paraId="5A459E87" w14:textId="77777777" w:rsidR="00BC5219" w:rsidRPr="008A2B8F" w:rsidRDefault="00BC5219" w:rsidP="00E83802">
            <w:pPr>
              <w:rPr>
                <w:rFonts w:ascii="Meta Pro" w:eastAsia="Times New Roman" w:hAnsi="Meta Pro"/>
                <w:b/>
                <w:bCs/>
                <w:sz w:val="16"/>
                <w:szCs w:val="16"/>
                <w:lang w:eastAsia="en-AU"/>
              </w:rPr>
            </w:pPr>
            <w:r w:rsidRPr="008A2B8F">
              <w:rPr>
                <w:rFonts w:ascii="Meta Pro" w:eastAsia="Times New Roman" w:hAnsi="Meta Pro"/>
                <w:b/>
                <w:bCs/>
                <w:sz w:val="16"/>
                <w:szCs w:val="16"/>
                <w:lang w:eastAsia="en-AU"/>
              </w:rPr>
              <w:t>* Movements in the loss allowance</w:t>
            </w:r>
          </w:p>
        </w:tc>
        <w:tc>
          <w:tcPr>
            <w:tcW w:w="1156" w:type="dxa"/>
            <w:tcBorders>
              <w:top w:val="nil"/>
              <w:left w:val="nil"/>
              <w:bottom w:val="nil"/>
              <w:right w:val="nil"/>
            </w:tcBorders>
            <w:shd w:val="clear" w:color="auto" w:fill="auto"/>
            <w:noWrap/>
            <w:vAlign w:val="center"/>
            <w:hideMark/>
          </w:tcPr>
          <w:p w14:paraId="3BDF7B42" w14:textId="77777777" w:rsidR="00BC5219" w:rsidRPr="008A2B8F" w:rsidRDefault="00BC5219" w:rsidP="00E83802">
            <w:pPr>
              <w:rPr>
                <w:rFonts w:ascii="Meta Pro" w:eastAsia="Times New Roman" w:hAnsi="Meta Pro"/>
                <w:b/>
                <w:bCs/>
                <w:sz w:val="16"/>
                <w:szCs w:val="16"/>
                <w:lang w:eastAsia="en-AU"/>
              </w:rPr>
            </w:pPr>
          </w:p>
        </w:tc>
        <w:tc>
          <w:tcPr>
            <w:tcW w:w="216" w:type="dxa"/>
            <w:tcBorders>
              <w:top w:val="nil"/>
              <w:left w:val="nil"/>
              <w:bottom w:val="nil"/>
              <w:right w:val="nil"/>
            </w:tcBorders>
            <w:shd w:val="clear" w:color="auto" w:fill="auto"/>
            <w:noWrap/>
            <w:vAlign w:val="center"/>
            <w:hideMark/>
          </w:tcPr>
          <w:p w14:paraId="07886121" w14:textId="77777777" w:rsidR="00BC5219" w:rsidRPr="008A2B8F"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1602F3C6"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35A8399F" w14:textId="77777777" w:rsidTr="00E83802">
        <w:trPr>
          <w:trHeight w:hRule="exact" w:val="40"/>
        </w:trPr>
        <w:tc>
          <w:tcPr>
            <w:tcW w:w="7136" w:type="dxa"/>
            <w:tcBorders>
              <w:top w:val="nil"/>
              <w:left w:val="nil"/>
              <w:bottom w:val="nil"/>
              <w:right w:val="nil"/>
            </w:tcBorders>
            <w:shd w:val="clear" w:color="auto" w:fill="auto"/>
            <w:noWrap/>
            <w:vAlign w:val="center"/>
            <w:hideMark/>
          </w:tcPr>
          <w:p w14:paraId="0A9CC40E" w14:textId="77777777" w:rsidR="00BC5219" w:rsidRPr="008A2B8F"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3B19FEC4" w14:textId="77777777" w:rsidR="00BC5219" w:rsidRPr="008A2B8F" w:rsidRDefault="00BC5219" w:rsidP="00E83802">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6F4F6916" w14:textId="77777777" w:rsidR="00BC5219" w:rsidRPr="008A2B8F"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547F608F"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2B9F56BF" w14:textId="77777777" w:rsidTr="00E83802">
        <w:trPr>
          <w:trHeight w:val="227"/>
        </w:trPr>
        <w:tc>
          <w:tcPr>
            <w:tcW w:w="7136" w:type="dxa"/>
            <w:tcBorders>
              <w:top w:val="nil"/>
              <w:left w:val="nil"/>
              <w:bottom w:val="nil"/>
              <w:right w:val="nil"/>
            </w:tcBorders>
            <w:shd w:val="clear" w:color="auto" w:fill="auto"/>
            <w:noWrap/>
            <w:vAlign w:val="center"/>
            <w:hideMark/>
          </w:tcPr>
          <w:p w14:paraId="11B76347"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Opening balance</w:t>
            </w:r>
          </w:p>
        </w:tc>
        <w:tc>
          <w:tcPr>
            <w:tcW w:w="1156" w:type="dxa"/>
            <w:tcBorders>
              <w:top w:val="nil"/>
              <w:left w:val="nil"/>
              <w:bottom w:val="nil"/>
              <w:right w:val="nil"/>
            </w:tcBorders>
            <w:shd w:val="clear" w:color="000000" w:fill="C9E3B4"/>
            <w:noWrap/>
            <w:vAlign w:val="center"/>
            <w:hideMark/>
          </w:tcPr>
          <w:p w14:paraId="43685E74"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5,406 </w:t>
            </w:r>
          </w:p>
        </w:tc>
        <w:tc>
          <w:tcPr>
            <w:tcW w:w="216" w:type="dxa"/>
            <w:tcBorders>
              <w:top w:val="nil"/>
              <w:left w:val="nil"/>
              <w:bottom w:val="nil"/>
              <w:right w:val="nil"/>
            </w:tcBorders>
            <w:shd w:val="clear" w:color="auto" w:fill="auto"/>
            <w:noWrap/>
            <w:vAlign w:val="center"/>
            <w:hideMark/>
          </w:tcPr>
          <w:p w14:paraId="15FC62CF" w14:textId="77777777" w:rsidR="00BC5219" w:rsidRPr="008A2B8F" w:rsidRDefault="00BC5219" w:rsidP="00E83802">
            <w:pPr>
              <w:jc w:val="right"/>
              <w:rPr>
                <w:rFonts w:ascii="Meta Pro" w:eastAsia="Times New Roman" w:hAnsi="Meta Pro"/>
                <w:sz w:val="16"/>
                <w:szCs w:val="16"/>
                <w:lang w:eastAsia="en-AU"/>
              </w:rPr>
            </w:pPr>
          </w:p>
        </w:tc>
        <w:tc>
          <w:tcPr>
            <w:tcW w:w="1156" w:type="dxa"/>
            <w:tcBorders>
              <w:top w:val="nil"/>
              <w:left w:val="nil"/>
              <w:bottom w:val="nil"/>
              <w:right w:val="nil"/>
            </w:tcBorders>
            <w:shd w:val="clear" w:color="auto" w:fill="auto"/>
            <w:noWrap/>
            <w:vAlign w:val="center"/>
            <w:hideMark/>
          </w:tcPr>
          <w:p w14:paraId="0E674A70"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11,776 </w:t>
            </w:r>
          </w:p>
        </w:tc>
      </w:tr>
      <w:tr w:rsidR="00BC5219" w:rsidRPr="008A2B8F" w14:paraId="740D1A26" w14:textId="77777777" w:rsidTr="00E83802">
        <w:trPr>
          <w:trHeight w:val="227"/>
        </w:trPr>
        <w:tc>
          <w:tcPr>
            <w:tcW w:w="7136" w:type="dxa"/>
            <w:tcBorders>
              <w:top w:val="nil"/>
              <w:left w:val="nil"/>
              <w:bottom w:val="nil"/>
              <w:right w:val="nil"/>
            </w:tcBorders>
            <w:shd w:val="clear" w:color="auto" w:fill="auto"/>
            <w:noWrap/>
            <w:vAlign w:val="center"/>
            <w:hideMark/>
          </w:tcPr>
          <w:p w14:paraId="1ACFAFBC"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 xml:space="preserve">Increase in allowance recognised in the operating result   </w:t>
            </w:r>
          </w:p>
        </w:tc>
        <w:tc>
          <w:tcPr>
            <w:tcW w:w="1156" w:type="dxa"/>
            <w:tcBorders>
              <w:top w:val="nil"/>
              <w:left w:val="nil"/>
              <w:bottom w:val="nil"/>
              <w:right w:val="nil"/>
            </w:tcBorders>
            <w:shd w:val="clear" w:color="000000" w:fill="C9E3B4"/>
            <w:noWrap/>
            <w:vAlign w:val="center"/>
            <w:hideMark/>
          </w:tcPr>
          <w:p w14:paraId="2C958AAD"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1,409 </w:t>
            </w:r>
          </w:p>
        </w:tc>
        <w:tc>
          <w:tcPr>
            <w:tcW w:w="216" w:type="dxa"/>
            <w:tcBorders>
              <w:top w:val="nil"/>
              <w:left w:val="nil"/>
              <w:bottom w:val="nil"/>
              <w:right w:val="nil"/>
            </w:tcBorders>
            <w:shd w:val="clear" w:color="auto" w:fill="auto"/>
            <w:noWrap/>
            <w:vAlign w:val="center"/>
            <w:hideMark/>
          </w:tcPr>
          <w:p w14:paraId="7FF5DE58" w14:textId="77777777" w:rsidR="00BC5219" w:rsidRPr="008A2B8F" w:rsidRDefault="00BC5219" w:rsidP="00E83802">
            <w:pPr>
              <w:jc w:val="right"/>
              <w:rPr>
                <w:rFonts w:ascii="Meta Pro" w:eastAsia="Times New Roman" w:hAnsi="Meta Pro"/>
                <w:sz w:val="16"/>
                <w:szCs w:val="16"/>
                <w:lang w:eastAsia="en-AU"/>
              </w:rPr>
            </w:pPr>
          </w:p>
        </w:tc>
        <w:tc>
          <w:tcPr>
            <w:tcW w:w="1156" w:type="dxa"/>
            <w:tcBorders>
              <w:top w:val="nil"/>
              <w:left w:val="nil"/>
              <w:bottom w:val="nil"/>
              <w:right w:val="nil"/>
            </w:tcBorders>
            <w:shd w:val="clear" w:color="auto" w:fill="auto"/>
            <w:noWrap/>
            <w:vAlign w:val="center"/>
            <w:hideMark/>
          </w:tcPr>
          <w:p w14:paraId="165FCB76"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1,162 </w:t>
            </w:r>
          </w:p>
        </w:tc>
      </w:tr>
      <w:tr w:rsidR="00BC5219" w:rsidRPr="008A2B8F" w14:paraId="540FFCDC" w14:textId="77777777" w:rsidTr="00E83802">
        <w:trPr>
          <w:trHeight w:val="227"/>
        </w:trPr>
        <w:tc>
          <w:tcPr>
            <w:tcW w:w="7136" w:type="dxa"/>
            <w:tcBorders>
              <w:top w:val="nil"/>
              <w:left w:val="nil"/>
              <w:bottom w:val="nil"/>
              <w:right w:val="nil"/>
            </w:tcBorders>
            <w:shd w:val="clear" w:color="auto" w:fill="auto"/>
            <w:noWrap/>
            <w:vAlign w:val="center"/>
            <w:hideMark/>
          </w:tcPr>
          <w:p w14:paraId="35B10B0F"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Amounts written off during the year</w:t>
            </w:r>
          </w:p>
        </w:tc>
        <w:tc>
          <w:tcPr>
            <w:tcW w:w="1156" w:type="dxa"/>
            <w:tcBorders>
              <w:top w:val="nil"/>
              <w:left w:val="nil"/>
              <w:bottom w:val="nil"/>
              <w:right w:val="nil"/>
            </w:tcBorders>
            <w:shd w:val="clear" w:color="000000" w:fill="C9E3B4"/>
            <w:noWrap/>
            <w:vAlign w:val="center"/>
            <w:hideMark/>
          </w:tcPr>
          <w:p w14:paraId="6401FD9D"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(1,457)</w:t>
            </w:r>
          </w:p>
        </w:tc>
        <w:tc>
          <w:tcPr>
            <w:tcW w:w="216" w:type="dxa"/>
            <w:tcBorders>
              <w:top w:val="nil"/>
              <w:left w:val="nil"/>
              <w:bottom w:val="nil"/>
              <w:right w:val="nil"/>
            </w:tcBorders>
            <w:shd w:val="clear" w:color="auto" w:fill="auto"/>
            <w:noWrap/>
            <w:vAlign w:val="center"/>
            <w:hideMark/>
          </w:tcPr>
          <w:p w14:paraId="3B6B4E98" w14:textId="77777777" w:rsidR="00BC5219" w:rsidRPr="008A2B8F" w:rsidRDefault="00BC5219" w:rsidP="00E83802">
            <w:pPr>
              <w:jc w:val="right"/>
              <w:rPr>
                <w:rFonts w:ascii="Meta Pro" w:eastAsia="Times New Roman" w:hAnsi="Meta Pro"/>
                <w:sz w:val="16"/>
                <w:szCs w:val="16"/>
                <w:lang w:eastAsia="en-AU"/>
              </w:rPr>
            </w:pPr>
          </w:p>
        </w:tc>
        <w:tc>
          <w:tcPr>
            <w:tcW w:w="1156" w:type="dxa"/>
            <w:tcBorders>
              <w:top w:val="nil"/>
              <w:left w:val="nil"/>
              <w:bottom w:val="nil"/>
              <w:right w:val="nil"/>
            </w:tcBorders>
            <w:shd w:val="clear" w:color="auto" w:fill="auto"/>
            <w:noWrap/>
            <w:vAlign w:val="center"/>
            <w:hideMark/>
          </w:tcPr>
          <w:p w14:paraId="1EB2FFE7"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(613)</w:t>
            </w:r>
          </w:p>
        </w:tc>
      </w:tr>
      <w:tr w:rsidR="00BC5219" w:rsidRPr="008A2B8F" w14:paraId="1E64EAF0" w14:textId="77777777" w:rsidTr="00E83802">
        <w:trPr>
          <w:trHeight w:val="227"/>
        </w:trPr>
        <w:tc>
          <w:tcPr>
            <w:tcW w:w="7136" w:type="dxa"/>
            <w:tcBorders>
              <w:top w:val="nil"/>
              <w:left w:val="nil"/>
              <w:bottom w:val="nil"/>
              <w:right w:val="nil"/>
            </w:tcBorders>
            <w:shd w:val="clear" w:color="auto" w:fill="auto"/>
            <w:noWrap/>
            <w:vAlign w:val="center"/>
            <w:hideMark/>
          </w:tcPr>
          <w:p w14:paraId="046469C1"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Impairment loss reversal (amount recovered) **</w:t>
            </w:r>
          </w:p>
        </w:tc>
        <w:tc>
          <w:tcPr>
            <w:tcW w:w="1156" w:type="dxa"/>
            <w:tcBorders>
              <w:top w:val="nil"/>
              <w:left w:val="nil"/>
              <w:bottom w:val="nil"/>
              <w:right w:val="nil"/>
            </w:tcBorders>
            <w:shd w:val="clear" w:color="000000" w:fill="C9E3B4"/>
            <w:noWrap/>
            <w:vAlign w:val="center"/>
            <w:hideMark/>
          </w:tcPr>
          <w:p w14:paraId="1B39BED2"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216" w:type="dxa"/>
            <w:tcBorders>
              <w:top w:val="nil"/>
              <w:left w:val="nil"/>
              <w:bottom w:val="nil"/>
              <w:right w:val="nil"/>
            </w:tcBorders>
            <w:shd w:val="clear" w:color="auto" w:fill="auto"/>
            <w:noWrap/>
            <w:vAlign w:val="center"/>
            <w:hideMark/>
          </w:tcPr>
          <w:p w14:paraId="115A507D" w14:textId="77777777" w:rsidR="00BC5219" w:rsidRPr="008A2B8F" w:rsidRDefault="00BC5219" w:rsidP="00E83802">
            <w:pPr>
              <w:jc w:val="right"/>
              <w:rPr>
                <w:rFonts w:ascii="Meta Pro" w:eastAsia="Times New Roman" w:hAnsi="Meta Pro"/>
                <w:sz w:val="16"/>
                <w:szCs w:val="16"/>
                <w:lang w:eastAsia="en-AU"/>
              </w:rPr>
            </w:pPr>
          </w:p>
        </w:tc>
        <w:tc>
          <w:tcPr>
            <w:tcW w:w="1156" w:type="dxa"/>
            <w:tcBorders>
              <w:top w:val="nil"/>
              <w:left w:val="nil"/>
              <w:bottom w:val="nil"/>
              <w:right w:val="nil"/>
            </w:tcBorders>
            <w:shd w:val="clear" w:color="auto" w:fill="auto"/>
            <w:noWrap/>
            <w:vAlign w:val="center"/>
            <w:hideMark/>
          </w:tcPr>
          <w:p w14:paraId="50CE88DA"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(6,935)</w:t>
            </w:r>
          </w:p>
        </w:tc>
      </w:tr>
      <w:tr w:rsidR="00BC5219" w:rsidRPr="008A2B8F" w14:paraId="18CCB0F6" w14:textId="77777777" w:rsidTr="00E83802">
        <w:trPr>
          <w:trHeight w:val="227"/>
        </w:trPr>
        <w:tc>
          <w:tcPr>
            <w:tcW w:w="7136" w:type="dxa"/>
            <w:tcBorders>
              <w:top w:val="nil"/>
              <w:left w:val="nil"/>
              <w:bottom w:val="nil"/>
              <w:right w:val="nil"/>
            </w:tcBorders>
            <w:shd w:val="clear" w:color="auto" w:fill="auto"/>
            <w:noWrap/>
            <w:vAlign w:val="center"/>
            <w:hideMark/>
          </w:tcPr>
          <w:p w14:paraId="2095C791"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Amounts recovered during the year previously written off</w:t>
            </w:r>
          </w:p>
        </w:tc>
        <w:tc>
          <w:tcPr>
            <w:tcW w:w="1156" w:type="dxa"/>
            <w:tcBorders>
              <w:top w:val="nil"/>
              <w:left w:val="nil"/>
              <w:bottom w:val="nil"/>
              <w:right w:val="nil"/>
            </w:tcBorders>
            <w:shd w:val="clear" w:color="000000" w:fill="C9E3B4"/>
            <w:noWrap/>
            <w:vAlign w:val="center"/>
            <w:hideMark/>
          </w:tcPr>
          <w:p w14:paraId="2D15B901"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216" w:type="dxa"/>
            <w:tcBorders>
              <w:top w:val="nil"/>
              <w:left w:val="nil"/>
              <w:bottom w:val="nil"/>
              <w:right w:val="nil"/>
            </w:tcBorders>
            <w:shd w:val="clear" w:color="auto" w:fill="auto"/>
            <w:noWrap/>
            <w:vAlign w:val="center"/>
            <w:hideMark/>
          </w:tcPr>
          <w:p w14:paraId="35671F19" w14:textId="77777777" w:rsidR="00BC5219" w:rsidRPr="008A2B8F" w:rsidRDefault="00BC5219" w:rsidP="00E83802">
            <w:pPr>
              <w:jc w:val="right"/>
              <w:rPr>
                <w:rFonts w:ascii="Meta Pro" w:eastAsia="Times New Roman" w:hAnsi="Meta Pro"/>
                <w:sz w:val="16"/>
                <w:szCs w:val="16"/>
                <w:lang w:eastAsia="en-AU"/>
              </w:rPr>
            </w:pPr>
          </w:p>
        </w:tc>
        <w:tc>
          <w:tcPr>
            <w:tcW w:w="1156" w:type="dxa"/>
            <w:tcBorders>
              <w:top w:val="nil"/>
              <w:left w:val="nil"/>
              <w:bottom w:val="nil"/>
              <w:right w:val="nil"/>
            </w:tcBorders>
            <w:shd w:val="clear" w:color="auto" w:fill="auto"/>
            <w:noWrap/>
            <w:vAlign w:val="center"/>
            <w:hideMark/>
          </w:tcPr>
          <w:p w14:paraId="5020E3B7"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16 </w:t>
            </w:r>
          </w:p>
        </w:tc>
      </w:tr>
      <w:tr w:rsidR="00BC5219" w:rsidRPr="008A2B8F" w14:paraId="03C2525C" w14:textId="77777777" w:rsidTr="00E83802">
        <w:trPr>
          <w:trHeight w:val="227"/>
        </w:trPr>
        <w:tc>
          <w:tcPr>
            <w:tcW w:w="7136" w:type="dxa"/>
            <w:tcBorders>
              <w:top w:val="single" w:sz="4" w:space="0" w:color="auto"/>
              <w:left w:val="nil"/>
              <w:bottom w:val="double" w:sz="6" w:space="0" w:color="auto"/>
              <w:right w:val="nil"/>
            </w:tcBorders>
            <w:shd w:val="clear" w:color="auto" w:fill="auto"/>
            <w:noWrap/>
            <w:vAlign w:val="center"/>
            <w:hideMark/>
          </w:tcPr>
          <w:p w14:paraId="7FAD79CC"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Closing balance ***</w:t>
            </w:r>
          </w:p>
        </w:tc>
        <w:tc>
          <w:tcPr>
            <w:tcW w:w="1156" w:type="dxa"/>
            <w:tcBorders>
              <w:top w:val="single" w:sz="4" w:space="0" w:color="auto"/>
              <w:left w:val="nil"/>
              <w:bottom w:val="double" w:sz="6" w:space="0" w:color="auto"/>
              <w:right w:val="nil"/>
            </w:tcBorders>
            <w:shd w:val="clear" w:color="000000" w:fill="C9E3B4"/>
            <w:noWrap/>
            <w:vAlign w:val="center"/>
            <w:hideMark/>
          </w:tcPr>
          <w:p w14:paraId="3D267C4C"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5,358 </w:t>
            </w:r>
          </w:p>
        </w:tc>
        <w:tc>
          <w:tcPr>
            <w:tcW w:w="216" w:type="dxa"/>
            <w:tcBorders>
              <w:top w:val="single" w:sz="4" w:space="0" w:color="auto"/>
              <w:left w:val="nil"/>
              <w:bottom w:val="double" w:sz="6" w:space="0" w:color="auto"/>
              <w:right w:val="nil"/>
            </w:tcBorders>
            <w:shd w:val="clear" w:color="auto" w:fill="auto"/>
            <w:noWrap/>
            <w:vAlign w:val="center"/>
            <w:hideMark/>
          </w:tcPr>
          <w:p w14:paraId="087B4CC0"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w:t>
            </w:r>
          </w:p>
        </w:tc>
        <w:tc>
          <w:tcPr>
            <w:tcW w:w="1156" w:type="dxa"/>
            <w:tcBorders>
              <w:top w:val="single" w:sz="4" w:space="0" w:color="auto"/>
              <w:left w:val="nil"/>
              <w:bottom w:val="double" w:sz="6" w:space="0" w:color="auto"/>
              <w:right w:val="nil"/>
            </w:tcBorders>
            <w:shd w:val="clear" w:color="auto" w:fill="auto"/>
            <w:noWrap/>
            <w:vAlign w:val="center"/>
            <w:hideMark/>
          </w:tcPr>
          <w:p w14:paraId="7D3C0CC1"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5,406 </w:t>
            </w:r>
          </w:p>
        </w:tc>
      </w:tr>
    </w:tbl>
    <w:p w14:paraId="50DE4BD8" w14:textId="77777777" w:rsidR="00BC5219" w:rsidRPr="008A2B8F" w:rsidRDefault="00BC5219" w:rsidP="00BC5219">
      <w:pPr>
        <w:spacing w:before="120"/>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Recovery of previously impaired debt following renegotiation of the outstanding amount with the customer. </w:t>
      </w:r>
    </w:p>
    <w:p w14:paraId="7B106EB0" w14:textId="77777777" w:rsidR="00BC5219" w:rsidRPr="008A2B8F" w:rsidRDefault="00BC5219" w:rsidP="00BC5219">
      <w:pPr>
        <w:spacing w:before="120" w:line="120" w:lineRule="exac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Individually impaired financial assets are more than 90 days overdue. </w:t>
      </w:r>
    </w:p>
    <w:p w14:paraId="4073523E" w14:textId="77777777" w:rsidR="00BC5219" w:rsidRPr="008A2B8F" w:rsidRDefault="00BC5219" w:rsidP="00BC5219">
      <w:pPr>
        <w:pBdr>
          <w:bottom w:val="single" w:sz="4" w:space="1" w:color="auto"/>
        </w:pBdr>
        <w:rPr>
          <w:rFonts w:ascii="Meta Pro" w:eastAsia="Times New Roman" w:hAnsi="Meta Pro"/>
          <w:b/>
          <w:bCs/>
          <w:color w:val="000000"/>
          <w:szCs w:val="18"/>
          <w:lang w:eastAsia="en-AU"/>
        </w:rPr>
      </w:pPr>
    </w:p>
    <w:p w14:paraId="2326FB8D"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p>
    <w:p w14:paraId="298D20B3"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p>
    <w:p w14:paraId="262C29A7"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r w:rsidRPr="008A2B8F">
        <w:rPr>
          <w:rFonts w:ascii="Meta Pro" w:eastAsia="Times New Roman" w:hAnsi="Meta Pro"/>
          <w:i/>
          <w:iCs/>
          <w:color w:val="000000" w:themeColor="text1"/>
          <w:lang w:eastAsia="en-AU"/>
        </w:rPr>
        <w:t>Department of Transport and Main Roads</w:t>
      </w:r>
    </w:p>
    <w:p w14:paraId="0746AF1B"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Notes to the financial statements 2022–23 (continued)</w:t>
      </w:r>
    </w:p>
    <w:p w14:paraId="3DB86491" w14:textId="77777777" w:rsidR="00BC5219" w:rsidRPr="008A2B8F" w:rsidRDefault="00BC5219" w:rsidP="00BC5219">
      <w:pPr>
        <w:rPr>
          <w:rFonts w:ascii="Meta Pro" w:eastAsia="Times New Roman" w:hAnsi="Meta Pro"/>
          <w:b/>
          <w:bCs/>
          <w:lang w:eastAsia="en-AU"/>
        </w:rPr>
      </w:pPr>
    </w:p>
    <w:p w14:paraId="65F6ECA2" w14:textId="77777777" w:rsidR="00BC5219" w:rsidRPr="008A2B8F" w:rsidRDefault="00BC5219" w:rsidP="00BC5219">
      <w:pPr>
        <w:spacing w:after="120"/>
        <w:rPr>
          <w:rFonts w:ascii="Meta Pro" w:eastAsia="Times New Roman" w:hAnsi="Meta Pro"/>
          <w:sz w:val="16"/>
          <w:szCs w:val="16"/>
          <w:lang w:eastAsia="en-AU"/>
        </w:rPr>
      </w:pPr>
      <w:r w:rsidRPr="008A2B8F">
        <w:rPr>
          <w:rFonts w:ascii="Meta Pro" w:eastAsia="Times New Roman" w:hAnsi="Meta Pro"/>
          <w:b/>
          <w:bCs/>
          <w:lang w:eastAsia="en-AU"/>
        </w:rPr>
        <w:t xml:space="preserve">12     RECEIVABLES </w:t>
      </w:r>
      <w:r w:rsidRPr="008A2B8F">
        <w:rPr>
          <w:rFonts w:ascii="Meta Pro" w:hAnsi="Meta Pro"/>
          <w:b/>
          <w:bCs/>
          <w:lang w:eastAsia="en-AU"/>
        </w:rPr>
        <w:t>(continued)</w:t>
      </w:r>
      <w:r w:rsidRPr="008A2B8F">
        <w:rPr>
          <w:rFonts w:ascii="Meta Pro" w:eastAsia="Times New Roman" w:hAnsi="Meta Pro"/>
          <w:sz w:val="16"/>
          <w:szCs w:val="16"/>
          <w:lang w:eastAsia="en-AU"/>
        </w:rPr>
        <w:t xml:space="preserve"> </w:t>
      </w:r>
    </w:p>
    <w:p w14:paraId="4CE0FA83" w14:textId="77777777" w:rsidR="00BC5219" w:rsidRPr="008A2B8F" w:rsidRDefault="00BC5219" w:rsidP="00BC5219">
      <w:pPr>
        <w:spacing w:before="120"/>
        <w:rPr>
          <w:rFonts w:ascii="Meta Pro" w:hAnsi="Meta Pro" w:cstheme="minorBidi"/>
        </w:rPr>
      </w:pPr>
      <w:r w:rsidRPr="008A2B8F">
        <w:rPr>
          <w:rFonts w:ascii="Meta Pro" w:eastAsia="Times New Roman" w:hAnsi="Meta Pro"/>
          <w:b/>
          <w:bCs/>
          <w:szCs w:val="18"/>
          <w:lang w:eastAsia="en-AU"/>
        </w:rPr>
        <w:t>Receivables credit risk – ageing analysis</w:t>
      </w:r>
    </w:p>
    <w:p w14:paraId="6DF75080" w14:textId="77777777" w:rsidR="00BC5219" w:rsidRPr="008A2B8F" w:rsidRDefault="00BC5219" w:rsidP="00BC5219">
      <w:pPr>
        <w:ind w:left="113" w:hanging="113"/>
        <w:rPr>
          <w:rFonts w:ascii="Meta Pro" w:eastAsia="Times New Roman" w:hAnsi="Meta Pro"/>
          <w:b/>
          <w:bCs/>
          <w:color w:val="000000"/>
          <w:szCs w:val="18"/>
          <w:lang w:eastAsia="en-AU"/>
        </w:rPr>
      </w:pPr>
    </w:p>
    <w:tbl>
      <w:tblPr>
        <w:tblW w:w="0" w:type="auto"/>
        <w:tblCellMar>
          <w:left w:w="0" w:type="dxa"/>
        </w:tblCellMar>
        <w:tblLook w:val="04A0" w:firstRow="1" w:lastRow="0" w:firstColumn="1" w:lastColumn="0" w:noHBand="0" w:noVBand="1"/>
      </w:tblPr>
      <w:tblGrid>
        <w:gridCol w:w="2665"/>
        <w:gridCol w:w="1383"/>
        <w:gridCol w:w="1383"/>
        <w:gridCol w:w="1383"/>
        <w:gridCol w:w="1383"/>
        <w:gridCol w:w="1383"/>
      </w:tblGrid>
      <w:tr w:rsidR="00BC5219" w:rsidRPr="008A2B8F" w14:paraId="316566EF" w14:textId="77777777" w:rsidTr="00E83802">
        <w:trPr>
          <w:trHeight w:val="23"/>
        </w:trPr>
        <w:tc>
          <w:tcPr>
            <w:tcW w:w="266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3D82155"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Past due but not impaired</w:t>
            </w:r>
          </w:p>
        </w:tc>
        <w:tc>
          <w:tcPr>
            <w:tcW w:w="6915"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558383D5"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Overdue</w:t>
            </w:r>
          </w:p>
        </w:tc>
      </w:tr>
      <w:tr w:rsidR="00BC5219" w:rsidRPr="008A2B8F" w14:paraId="220A5819" w14:textId="77777777" w:rsidTr="00E83802">
        <w:trPr>
          <w:trHeight w:val="23"/>
        </w:trPr>
        <w:tc>
          <w:tcPr>
            <w:tcW w:w="2665" w:type="dxa"/>
            <w:vMerge/>
            <w:tcBorders>
              <w:top w:val="single" w:sz="8" w:space="0" w:color="auto"/>
              <w:left w:val="single" w:sz="8" w:space="0" w:color="auto"/>
              <w:bottom w:val="single" w:sz="8" w:space="0" w:color="000000"/>
              <w:right w:val="single" w:sz="8" w:space="0" w:color="auto"/>
            </w:tcBorders>
            <w:vAlign w:val="center"/>
            <w:hideMark/>
          </w:tcPr>
          <w:p w14:paraId="1A2AAF86" w14:textId="77777777" w:rsidR="00BC5219" w:rsidRPr="008A2B8F" w:rsidRDefault="00BC5219" w:rsidP="00E83802">
            <w:pPr>
              <w:rPr>
                <w:rFonts w:ascii="Meta Pro" w:eastAsia="Times New Roman" w:hAnsi="Meta Pro"/>
                <w:b/>
                <w:bCs/>
                <w:szCs w:val="18"/>
                <w:lang w:eastAsia="en-AU"/>
              </w:rPr>
            </w:pPr>
          </w:p>
        </w:tc>
        <w:tc>
          <w:tcPr>
            <w:tcW w:w="1383" w:type="dxa"/>
            <w:tcBorders>
              <w:top w:val="nil"/>
              <w:left w:val="nil"/>
              <w:bottom w:val="nil"/>
              <w:right w:val="single" w:sz="8" w:space="0" w:color="auto"/>
            </w:tcBorders>
            <w:shd w:val="clear" w:color="auto" w:fill="auto"/>
            <w:vAlign w:val="center"/>
            <w:hideMark/>
          </w:tcPr>
          <w:p w14:paraId="729C7334"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1-30</w:t>
            </w:r>
          </w:p>
        </w:tc>
        <w:tc>
          <w:tcPr>
            <w:tcW w:w="1383" w:type="dxa"/>
            <w:tcBorders>
              <w:top w:val="nil"/>
              <w:left w:val="nil"/>
              <w:bottom w:val="nil"/>
              <w:right w:val="single" w:sz="8" w:space="0" w:color="auto"/>
            </w:tcBorders>
            <w:shd w:val="clear" w:color="auto" w:fill="auto"/>
            <w:vAlign w:val="center"/>
            <w:hideMark/>
          </w:tcPr>
          <w:p w14:paraId="76FC95B0"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31-60</w:t>
            </w:r>
          </w:p>
        </w:tc>
        <w:tc>
          <w:tcPr>
            <w:tcW w:w="1383" w:type="dxa"/>
            <w:tcBorders>
              <w:top w:val="nil"/>
              <w:left w:val="nil"/>
              <w:bottom w:val="nil"/>
              <w:right w:val="single" w:sz="8" w:space="0" w:color="auto"/>
            </w:tcBorders>
            <w:shd w:val="clear" w:color="auto" w:fill="auto"/>
            <w:vAlign w:val="center"/>
            <w:hideMark/>
          </w:tcPr>
          <w:p w14:paraId="53076E42"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61-90</w:t>
            </w:r>
          </w:p>
        </w:tc>
        <w:tc>
          <w:tcPr>
            <w:tcW w:w="1383" w:type="dxa"/>
            <w:tcBorders>
              <w:top w:val="nil"/>
              <w:left w:val="nil"/>
              <w:bottom w:val="nil"/>
              <w:right w:val="single" w:sz="8" w:space="0" w:color="auto"/>
            </w:tcBorders>
            <w:shd w:val="clear" w:color="auto" w:fill="auto"/>
            <w:vAlign w:val="center"/>
            <w:hideMark/>
          </w:tcPr>
          <w:p w14:paraId="5F1DB46A"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More than</w:t>
            </w:r>
          </w:p>
        </w:tc>
        <w:tc>
          <w:tcPr>
            <w:tcW w:w="1383" w:type="dxa"/>
            <w:tcBorders>
              <w:top w:val="nil"/>
              <w:left w:val="nil"/>
              <w:bottom w:val="nil"/>
              <w:right w:val="single" w:sz="8" w:space="0" w:color="auto"/>
            </w:tcBorders>
            <w:shd w:val="clear" w:color="auto" w:fill="auto"/>
            <w:vAlign w:val="center"/>
            <w:hideMark/>
          </w:tcPr>
          <w:p w14:paraId="119F2991"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Total</w:t>
            </w:r>
          </w:p>
        </w:tc>
      </w:tr>
      <w:tr w:rsidR="00BC5219" w:rsidRPr="008A2B8F" w14:paraId="7580CBC7" w14:textId="77777777" w:rsidTr="00E83802">
        <w:trPr>
          <w:trHeight w:val="23"/>
        </w:trPr>
        <w:tc>
          <w:tcPr>
            <w:tcW w:w="2665" w:type="dxa"/>
            <w:vMerge/>
            <w:tcBorders>
              <w:top w:val="single" w:sz="8" w:space="0" w:color="auto"/>
              <w:left w:val="single" w:sz="8" w:space="0" w:color="auto"/>
              <w:bottom w:val="single" w:sz="8" w:space="0" w:color="000000"/>
              <w:right w:val="single" w:sz="8" w:space="0" w:color="auto"/>
            </w:tcBorders>
            <w:vAlign w:val="center"/>
            <w:hideMark/>
          </w:tcPr>
          <w:p w14:paraId="01E2884F" w14:textId="77777777" w:rsidR="00BC5219" w:rsidRPr="008A2B8F" w:rsidRDefault="00BC5219" w:rsidP="00E83802">
            <w:pPr>
              <w:rPr>
                <w:rFonts w:ascii="Meta Pro" w:eastAsia="Times New Roman" w:hAnsi="Meta Pro"/>
                <w:b/>
                <w:bCs/>
                <w:szCs w:val="18"/>
                <w:lang w:eastAsia="en-AU"/>
              </w:rPr>
            </w:pPr>
          </w:p>
        </w:tc>
        <w:tc>
          <w:tcPr>
            <w:tcW w:w="1383" w:type="dxa"/>
            <w:tcBorders>
              <w:top w:val="nil"/>
              <w:left w:val="nil"/>
              <w:bottom w:val="nil"/>
              <w:right w:val="single" w:sz="8" w:space="0" w:color="auto"/>
            </w:tcBorders>
            <w:shd w:val="clear" w:color="auto" w:fill="auto"/>
            <w:vAlign w:val="center"/>
            <w:hideMark/>
          </w:tcPr>
          <w:p w14:paraId="6A93EE47"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days</w:t>
            </w:r>
          </w:p>
        </w:tc>
        <w:tc>
          <w:tcPr>
            <w:tcW w:w="1383" w:type="dxa"/>
            <w:tcBorders>
              <w:top w:val="nil"/>
              <w:left w:val="nil"/>
              <w:bottom w:val="nil"/>
              <w:right w:val="single" w:sz="8" w:space="0" w:color="auto"/>
            </w:tcBorders>
            <w:shd w:val="clear" w:color="auto" w:fill="auto"/>
            <w:vAlign w:val="center"/>
            <w:hideMark/>
          </w:tcPr>
          <w:p w14:paraId="482900BF"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days</w:t>
            </w:r>
          </w:p>
        </w:tc>
        <w:tc>
          <w:tcPr>
            <w:tcW w:w="1383" w:type="dxa"/>
            <w:tcBorders>
              <w:top w:val="nil"/>
              <w:left w:val="nil"/>
              <w:bottom w:val="nil"/>
              <w:right w:val="single" w:sz="8" w:space="0" w:color="auto"/>
            </w:tcBorders>
            <w:shd w:val="clear" w:color="auto" w:fill="auto"/>
            <w:vAlign w:val="center"/>
            <w:hideMark/>
          </w:tcPr>
          <w:p w14:paraId="680E7FE4"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days</w:t>
            </w:r>
          </w:p>
        </w:tc>
        <w:tc>
          <w:tcPr>
            <w:tcW w:w="1383" w:type="dxa"/>
            <w:tcBorders>
              <w:top w:val="nil"/>
              <w:left w:val="nil"/>
              <w:bottom w:val="nil"/>
              <w:right w:val="single" w:sz="8" w:space="0" w:color="auto"/>
            </w:tcBorders>
            <w:shd w:val="clear" w:color="auto" w:fill="auto"/>
            <w:vAlign w:val="center"/>
            <w:hideMark/>
          </w:tcPr>
          <w:p w14:paraId="0F4D4C3C"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90 days</w:t>
            </w:r>
          </w:p>
        </w:tc>
        <w:tc>
          <w:tcPr>
            <w:tcW w:w="1383" w:type="dxa"/>
            <w:tcBorders>
              <w:top w:val="nil"/>
              <w:left w:val="nil"/>
              <w:bottom w:val="nil"/>
              <w:right w:val="single" w:sz="8" w:space="0" w:color="auto"/>
            </w:tcBorders>
            <w:shd w:val="clear" w:color="auto" w:fill="auto"/>
            <w:vAlign w:val="center"/>
            <w:hideMark/>
          </w:tcPr>
          <w:p w14:paraId="23725DAF" w14:textId="77777777" w:rsidR="00BC5219" w:rsidRPr="008A2B8F" w:rsidRDefault="00BC5219" w:rsidP="00E83802">
            <w:pPr>
              <w:jc w:val="center"/>
              <w:rPr>
                <w:rFonts w:ascii="Meta Pro" w:eastAsia="Times New Roman" w:hAnsi="Meta Pro"/>
                <w:sz w:val="20"/>
                <w:szCs w:val="20"/>
                <w:lang w:eastAsia="en-AU"/>
              </w:rPr>
            </w:pPr>
            <w:r w:rsidRPr="008A2B8F">
              <w:rPr>
                <w:rFonts w:ascii="Meta Pro" w:eastAsia="Times New Roman" w:hAnsi="Meta Pro"/>
                <w:sz w:val="20"/>
                <w:szCs w:val="20"/>
                <w:lang w:eastAsia="en-AU"/>
              </w:rPr>
              <w:t> </w:t>
            </w:r>
          </w:p>
        </w:tc>
      </w:tr>
      <w:tr w:rsidR="00BC5219" w:rsidRPr="008A2B8F" w14:paraId="58EF032C" w14:textId="77777777" w:rsidTr="00E83802">
        <w:trPr>
          <w:trHeight w:val="23"/>
        </w:trPr>
        <w:tc>
          <w:tcPr>
            <w:tcW w:w="2665" w:type="dxa"/>
            <w:vMerge/>
            <w:tcBorders>
              <w:top w:val="single" w:sz="8" w:space="0" w:color="auto"/>
              <w:left w:val="single" w:sz="8" w:space="0" w:color="auto"/>
              <w:bottom w:val="single" w:sz="8" w:space="0" w:color="000000"/>
              <w:right w:val="single" w:sz="8" w:space="0" w:color="auto"/>
            </w:tcBorders>
            <w:vAlign w:val="center"/>
            <w:hideMark/>
          </w:tcPr>
          <w:p w14:paraId="69167CE3" w14:textId="77777777" w:rsidR="00BC5219" w:rsidRPr="008A2B8F" w:rsidRDefault="00BC5219" w:rsidP="00E83802">
            <w:pPr>
              <w:rPr>
                <w:rFonts w:ascii="Meta Pro" w:eastAsia="Times New Roman" w:hAnsi="Meta Pro"/>
                <w:b/>
                <w:bCs/>
                <w:szCs w:val="18"/>
                <w:lang w:eastAsia="en-AU"/>
              </w:rPr>
            </w:pPr>
          </w:p>
        </w:tc>
        <w:tc>
          <w:tcPr>
            <w:tcW w:w="1383" w:type="dxa"/>
            <w:tcBorders>
              <w:top w:val="nil"/>
              <w:left w:val="nil"/>
              <w:bottom w:val="single" w:sz="8" w:space="0" w:color="000000"/>
              <w:right w:val="single" w:sz="8" w:space="0" w:color="auto"/>
            </w:tcBorders>
            <w:shd w:val="clear" w:color="auto" w:fill="auto"/>
            <w:vAlign w:val="center"/>
            <w:hideMark/>
          </w:tcPr>
          <w:p w14:paraId="1EC20A60"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$'000</w:t>
            </w:r>
          </w:p>
        </w:tc>
        <w:tc>
          <w:tcPr>
            <w:tcW w:w="1383" w:type="dxa"/>
            <w:tcBorders>
              <w:top w:val="nil"/>
              <w:left w:val="nil"/>
              <w:bottom w:val="single" w:sz="8" w:space="0" w:color="000000"/>
              <w:right w:val="single" w:sz="8" w:space="0" w:color="auto"/>
            </w:tcBorders>
            <w:shd w:val="clear" w:color="auto" w:fill="auto"/>
            <w:vAlign w:val="center"/>
            <w:hideMark/>
          </w:tcPr>
          <w:p w14:paraId="1514CCA9"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$'000</w:t>
            </w:r>
          </w:p>
        </w:tc>
        <w:tc>
          <w:tcPr>
            <w:tcW w:w="1383" w:type="dxa"/>
            <w:tcBorders>
              <w:top w:val="nil"/>
              <w:left w:val="nil"/>
              <w:bottom w:val="single" w:sz="8" w:space="0" w:color="000000"/>
              <w:right w:val="single" w:sz="8" w:space="0" w:color="auto"/>
            </w:tcBorders>
            <w:shd w:val="clear" w:color="auto" w:fill="auto"/>
            <w:vAlign w:val="center"/>
            <w:hideMark/>
          </w:tcPr>
          <w:p w14:paraId="59FC2352"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$'000</w:t>
            </w:r>
          </w:p>
        </w:tc>
        <w:tc>
          <w:tcPr>
            <w:tcW w:w="1383" w:type="dxa"/>
            <w:tcBorders>
              <w:top w:val="nil"/>
              <w:left w:val="nil"/>
              <w:bottom w:val="single" w:sz="8" w:space="0" w:color="000000"/>
              <w:right w:val="single" w:sz="8" w:space="0" w:color="auto"/>
            </w:tcBorders>
            <w:shd w:val="clear" w:color="auto" w:fill="auto"/>
            <w:vAlign w:val="center"/>
            <w:hideMark/>
          </w:tcPr>
          <w:p w14:paraId="38E3D5E9"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$'000</w:t>
            </w:r>
          </w:p>
        </w:tc>
        <w:tc>
          <w:tcPr>
            <w:tcW w:w="1383" w:type="dxa"/>
            <w:tcBorders>
              <w:top w:val="nil"/>
              <w:left w:val="nil"/>
              <w:bottom w:val="single" w:sz="8" w:space="0" w:color="000000"/>
              <w:right w:val="single" w:sz="8" w:space="0" w:color="auto"/>
            </w:tcBorders>
            <w:shd w:val="clear" w:color="auto" w:fill="auto"/>
            <w:vAlign w:val="center"/>
            <w:hideMark/>
          </w:tcPr>
          <w:p w14:paraId="17920C4F"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$'000</w:t>
            </w:r>
          </w:p>
        </w:tc>
      </w:tr>
      <w:tr w:rsidR="00BC5219" w:rsidRPr="008A2B8F" w14:paraId="22C63B49" w14:textId="77777777" w:rsidTr="00E83802">
        <w:trPr>
          <w:trHeight w:val="23"/>
        </w:trPr>
        <w:tc>
          <w:tcPr>
            <w:tcW w:w="2665" w:type="dxa"/>
            <w:tcBorders>
              <w:top w:val="nil"/>
              <w:left w:val="single" w:sz="8" w:space="0" w:color="auto"/>
              <w:bottom w:val="nil"/>
              <w:right w:val="nil"/>
            </w:tcBorders>
            <w:shd w:val="clear" w:color="auto" w:fill="auto"/>
            <w:noWrap/>
            <w:vAlign w:val="center"/>
            <w:hideMark/>
          </w:tcPr>
          <w:p w14:paraId="64598BF8"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2023</w:t>
            </w:r>
          </w:p>
        </w:tc>
        <w:tc>
          <w:tcPr>
            <w:tcW w:w="1383" w:type="dxa"/>
            <w:tcBorders>
              <w:top w:val="nil"/>
              <w:left w:val="single" w:sz="8" w:space="0" w:color="auto"/>
              <w:bottom w:val="nil"/>
              <w:right w:val="nil"/>
            </w:tcBorders>
            <w:shd w:val="clear" w:color="000000" w:fill="C9E3B4"/>
            <w:noWrap/>
            <w:vAlign w:val="center"/>
            <w:hideMark/>
          </w:tcPr>
          <w:p w14:paraId="5A5B92E4" w14:textId="77777777" w:rsidR="00BC5219" w:rsidRPr="008A2B8F" w:rsidRDefault="00BC5219" w:rsidP="00E83802">
            <w:pPr>
              <w:jc w:val="right"/>
              <w:rPr>
                <w:rFonts w:ascii="Meta Pro" w:eastAsia="Times New Roman" w:hAnsi="Meta Pro"/>
                <w:color w:val="000000"/>
                <w:szCs w:val="18"/>
                <w:lang w:eastAsia="en-AU"/>
              </w:rPr>
            </w:pPr>
            <w:r w:rsidRPr="008A2B8F">
              <w:rPr>
                <w:rFonts w:ascii="Meta Pro" w:eastAsia="Times New Roman" w:hAnsi="Meta Pro"/>
                <w:color w:val="000000"/>
                <w:szCs w:val="18"/>
                <w:lang w:eastAsia="en-AU"/>
              </w:rPr>
              <w:t> </w:t>
            </w:r>
          </w:p>
        </w:tc>
        <w:tc>
          <w:tcPr>
            <w:tcW w:w="1383" w:type="dxa"/>
            <w:tcBorders>
              <w:top w:val="nil"/>
              <w:left w:val="single" w:sz="8" w:space="0" w:color="auto"/>
              <w:bottom w:val="nil"/>
              <w:right w:val="nil"/>
            </w:tcBorders>
            <w:shd w:val="clear" w:color="000000" w:fill="C9E3B4"/>
            <w:noWrap/>
            <w:vAlign w:val="center"/>
            <w:hideMark/>
          </w:tcPr>
          <w:p w14:paraId="061F20F4" w14:textId="77777777" w:rsidR="00BC5219" w:rsidRPr="008A2B8F" w:rsidRDefault="00BC5219" w:rsidP="00E83802">
            <w:pPr>
              <w:jc w:val="right"/>
              <w:rPr>
                <w:rFonts w:ascii="Meta Pro" w:eastAsia="Times New Roman" w:hAnsi="Meta Pro"/>
                <w:color w:val="000000"/>
                <w:szCs w:val="18"/>
                <w:lang w:eastAsia="en-AU"/>
              </w:rPr>
            </w:pPr>
            <w:r w:rsidRPr="008A2B8F">
              <w:rPr>
                <w:rFonts w:ascii="Meta Pro" w:eastAsia="Times New Roman" w:hAnsi="Meta Pro"/>
                <w:color w:val="000000"/>
                <w:szCs w:val="18"/>
                <w:lang w:eastAsia="en-AU"/>
              </w:rPr>
              <w:t> </w:t>
            </w:r>
          </w:p>
        </w:tc>
        <w:tc>
          <w:tcPr>
            <w:tcW w:w="1383" w:type="dxa"/>
            <w:tcBorders>
              <w:top w:val="nil"/>
              <w:left w:val="single" w:sz="8" w:space="0" w:color="auto"/>
              <w:bottom w:val="nil"/>
              <w:right w:val="nil"/>
            </w:tcBorders>
            <w:shd w:val="clear" w:color="000000" w:fill="C9E3B4"/>
            <w:noWrap/>
            <w:vAlign w:val="center"/>
            <w:hideMark/>
          </w:tcPr>
          <w:p w14:paraId="733FE83C" w14:textId="77777777" w:rsidR="00BC5219" w:rsidRPr="008A2B8F" w:rsidRDefault="00BC5219" w:rsidP="00E83802">
            <w:pPr>
              <w:jc w:val="right"/>
              <w:rPr>
                <w:rFonts w:ascii="Meta Pro" w:eastAsia="Times New Roman" w:hAnsi="Meta Pro"/>
                <w:color w:val="000000"/>
                <w:szCs w:val="18"/>
                <w:lang w:eastAsia="en-AU"/>
              </w:rPr>
            </w:pPr>
            <w:r w:rsidRPr="008A2B8F">
              <w:rPr>
                <w:rFonts w:ascii="Meta Pro" w:eastAsia="Times New Roman" w:hAnsi="Meta Pro"/>
                <w:color w:val="000000"/>
                <w:szCs w:val="18"/>
                <w:lang w:eastAsia="en-AU"/>
              </w:rPr>
              <w:t> </w:t>
            </w:r>
          </w:p>
        </w:tc>
        <w:tc>
          <w:tcPr>
            <w:tcW w:w="1383" w:type="dxa"/>
            <w:tcBorders>
              <w:top w:val="nil"/>
              <w:left w:val="single" w:sz="8" w:space="0" w:color="auto"/>
              <w:bottom w:val="nil"/>
              <w:right w:val="nil"/>
            </w:tcBorders>
            <w:shd w:val="clear" w:color="000000" w:fill="C9E3B4"/>
            <w:noWrap/>
            <w:vAlign w:val="center"/>
            <w:hideMark/>
          </w:tcPr>
          <w:p w14:paraId="75BD3D74" w14:textId="77777777" w:rsidR="00BC5219" w:rsidRPr="008A2B8F" w:rsidRDefault="00BC5219" w:rsidP="00E83802">
            <w:pPr>
              <w:jc w:val="right"/>
              <w:rPr>
                <w:rFonts w:ascii="Meta Pro" w:eastAsia="Times New Roman" w:hAnsi="Meta Pro"/>
                <w:color w:val="000000"/>
                <w:szCs w:val="18"/>
                <w:lang w:eastAsia="en-AU"/>
              </w:rPr>
            </w:pPr>
            <w:r w:rsidRPr="008A2B8F">
              <w:rPr>
                <w:rFonts w:ascii="Meta Pro" w:eastAsia="Times New Roman" w:hAnsi="Meta Pro"/>
                <w:color w:val="000000"/>
                <w:szCs w:val="18"/>
                <w:lang w:eastAsia="en-AU"/>
              </w:rPr>
              <w:t> </w:t>
            </w:r>
          </w:p>
        </w:tc>
        <w:tc>
          <w:tcPr>
            <w:tcW w:w="1383" w:type="dxa"/>
            <w:tcBorders>
              <w:top w:val="nil"/>
              <w:left w:val="single" w:sz="8" w:space="0" w:color="auto"/>
              <w:bottom w:val="nil"/>
              <w:right w:val="single" w:sz="8" w:space="0" w:color="auto"/>
            </w:tcBorders>
            <w:shd w:val="clear" w:color="000000" w:fill="C9E3B4"/>
            <w:noWrap/>
            <w:vAlign w:val="center"/>
            <w:hideMark/>
          </w:tcPr>
          <w:p w14:paraId="77EB8E7D" w14:textId="77777777" w:rsidR="00BC5219" w:rsidRPr="008A2B8F" w:rsidRDefault="00BC5219" w:rsidP="00E83802">
            <w:pPr>
              <w:jc w:val="right"/>
              <w:rPr>
                <w:rFonts w:ascii="Meta Pro" w:eastAsia="Times New Roman" w:hAnsi="Meta Pro"/>
                <w:b/>
                <w:bCs/>
                <w:color w:val="000000"/>
                <w:szCs w:val="18"/>
                <w:lang w:eastAsia="en-AU"/>
              </w:rPr>
            </w:pPr>
            <w:r w:rsidRPr="008A2B8F">
              <w:rPr>
                <w:rFonts w:ascii="Meta Pro" w:eastAsia="Times New Roman" w:hAnsi="Meta Pro"/>
                <w:b/>
                <w:bCs/>
                <w:color w:val="000000"/>
                <w:szCs w:val="18"/>
                <w:lang w:eastAsia="en-AU"/>
              </w:rPr>
              <w:t> </w:t>
            </w:r>
          </w:p>
        </w:tc>
      </w:tr>
      <w:tr w:rsidR="00BC5219" w:rsidRPr="008A2B8F" w14:paraId="75B9C75A" w14:textId="77777777" w:rsidTr="00E83802">
        <w:trPr>
          <w:trHeight w:val="23"/>
        </w:trPr>
        <w:tc>
          <w:tcPr>
            <w:tcW w:w="2665" w:type="dxa"/>
            <w:tcBorders>
              <w:top w:val="nil"/>
              <w:left w:val="single" w:sz="8" w:space="0" w:color="auto"/>
              <w:bottom w:val="single" w:sz="8" w:space="0" w:color="auto"/>
              <w:right w:val="nil"/>
            </w:tcBorders>
            <w:shd w:val="clear" w:color="auto" w:fill="auto"/>
            <w:noWrap/>
            <w:vAlign w:val="center"/>
            <w:hideMark/>
          </w:tcPr>
          <w:p w14:paraId="29DD2C53"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Trade debtors</w:t>
            </w:r>
          </w:p>
        </w:tc>
        <w:tc>
          <w:tcPr>
            <w:tcW w:w="1383" w:type="dxa"/>
            <w:tcBorders>
              <w:top w:val="nil"/>
              <w:left w:val="single" w:sz="8" w:space="0" w:color="auto"/>
              <w:bottom w:val="single" w:sz="8" w:space="0" w:color="auto"/>
              <w:right w:val="nil"/>
            </w:tcBorders>
            <w:shd w:val="clear" w:color="000000" w:fill="C9E3B4"/>
            <w:noWrap/>
            <w:vAlign w:val="center"/>
            <w:hideMark/>
          </w:tcPr>
          <w:p w14:paraId="24FA2699" w14:textId="77777777" w:rsidR="00BC5219" w:rsidRPr="008A2B8F" w:rsidRDefault="00BC5219" w:rsidP="00E83802">
            <w:pPr>
              <w:jc w:val="right"/>
              <w:rPr>
                <w:rFonts w:ascii="Meta Pro" w:eastAsia="Times New Roman" w:hAnsi="Meta Pro"/>
                <w:color w:val="000000"/>
                <w:szCs w:val="18"/>
                <w:lang w:eastAsia="en-AU"/>
              </w:rPr>
            </w:pPr>
            <w:r w:rsidRPr="008A2B8F">
              <w:rPr>
                <w:rFonts w:ascii="Meta Pro" w:eastAsia="Times New Roman" w:hAnsi="Meta Pro"/>
                <w:color w:val="000000"/>
                <w:szCs w:val="18"/>
                <w:lang w:eastAsia="en-AU"/>
              </w:rPr>
              <w:t>7,651</w:t>
            </w:r>
          </w:p>
        </w:tc>
        <w:tc>
          <w:tcPr>
            <w:tcW w:w="1383" w:type="dxa"/>
            <w:tcBorders>
              <w:top w:val="nil"/>
              <w:left w:val="single" w:sz="8" w:space="0" w:color="auto"/>
              <w:bottom w:val="single" w:sz="8" w:space="0" w:color="auto"/>
              <w:right w:val="nil"/>
            </w:tcBorders>
            <w:shd w:val="clear" w:color="000000" w:fill="C9E3B4"/>
            <w:noWrap/>
            <w:vAlign w:val="center"/>
            <w:hideMark/>
          </w:tcPr>
          <w:p w14:paraId="2BA78922" w14:textId="77777777" w:rsidR="00BC5219" w:rsidRPr="008A2B8F" w:rsidRDefault="00BC5219" w:rsidP="00E83802">
            <w:pPr>
              <w:jc w:val="right"/>
              <w:rPr>
                <w:rFonts w:ascii="Meta Pro" w:eastAsia="Times New Roman" w:hAnsi="Meta Pro"/>
                <w:color w:val="000000"/>
                <w:szCs w:val="18"/>
                <w:lang w:eastAsia="en-AU"/>
              </w:rPr>
            </w:pPr>
            <w:r w:rsidRPr="008A2B8F">
              <w:rPr>
                <w:rFonts w:ascii="Meta Pro" w:eastAsia="Times New Roman" w:hAnsi="Meta Pro"/>
                <w:color w:val="000000"/>
                <w:szCs w:val="18"/>
                <w:lang w:eastAsia="en-AU"/>
              </w:rPr>
              <w:t>1</w:t>
            </w:r>
            <w:r>
              <w:rPr>
                <w:rFonts w:ascii="Meta Pro" w:eastAsia="Times New Roman" w:hAnsi="Meta Pro"/>
                <w:color w:val="000000"/>
                <w:szCs w:val="18"/>
                <w:lang w:eastAsia="en-AU"/>
              </w:rPr>
              <w:t>,</w:t>
            </w:r>
            <w:r w:rsidRPr="008A2B8F">
              <w:rPr>
                <w:rFonts w:ascii="Meta Pro" w:eastAsia="Times New Roman" w:hAnsi="Meta Pro"/>
                <w:color w:val="000000"/>
                <w:szCs w:val="18"/>
                <w:lang w:eastAsia="en-AU"/>
              </w:rPr>
              <w:t>689</w:t>
            </w:r>
          </w:p>
        </w:tc>
        <w:tc>
          <w:tcPr>
            <w:tcW w:w="1383" w:type="dxa"/>
            <w:tcBorders>
              <w:top w:val="nil"/>
              <w:left w:val="single" w:sz="8" w:space="0" w:color="auto"/>
              <w:bottom w:val="single" w:sz="8" w:space="0" w:color="auto"/>
              <w:right w:val="nil"/>
            </w:tcBorders>
            <w:shd w:val="clear" w:color="000000" w:fill="C9E3B4"/>
            <w:noWrap/>
            <w:vAlign w:val="center"/>
            <w:hideMark/>
          </w:tcPr>
          <w:p w14:paraId="5544B71D" w14:textId="77777777" w:rsidR="00BC5219" w:rsidRPr="008A2B8F" w:rsidRDefault="00BC5219" w:rsidP="00E83802">
            <w:pPr>
              <w:jc w:val="right"/>
              <w:rPr>
                <w:rFonts w:ascii="Meta Pro" w:eastAsia="Times New Roman" w:hAnsi="Meta Pro"/>
                <w:color w:val="000000"/>
                <w:szCs w:val="18"/>
                <w:lang w:eastAsia="en-AU"/>
              </w:rPr>
            </w:pPr>
            <w:r w:rsidRPr="008A2B8F">
              <w:rPr>
                <w:rFonts w:ascii="Meta Pro" w:eastAsia="Times New Roman" w:hAnsi="Meta Pro"/>
                <w:color w:val="000000"/>
                <w:szCs w:val="18"/>
                <w:lang w:eastAsia="en-AU"/>
              </w:rPr>
              <w:t>2</w:t>
            </w:r>
            <w:r>
              <w:rPr>
                <w:rFonts w:ascii="Meta Pro" w:eastAsia="Times New Roman" w:hAnsi="Meta Pro"/>
                <w:color w:val="000000"/>
                <w:szCs w:val="18"/>
                <w:lang w:eastAsia="en-AU"/>
              </w:rPr>
              <w:t>,</w:t>
            </w:r>
            <w:r w:rsidRPr="008A2B8F">
              <w:rPr>
                <w:rFonts w:ascii="Meta Pro" w:eastAsia="Times New Roman" w:hAnsi="Meta Pro"/>
                <w:color w:val="000000"/>
                <w:szCs w:val="18"/>
                <w:lang w:eastAsia="en-AU"/>
              </w:rPr>
              <w:t>014</w:t>
            </w:r>
          </w:p>
        </w:tc>
        <w:tc>
          <w:tcPr>
            <w:tcW w:w="1383" w:type="dxa"/>
            <w:tcBorders>
              <w:top w:val="nil"/>
              <w:left w:val="single" w:sz="8" w:space="0" w:color="auto"/>
              <w:bottom w:val="single" w:sz="8" w:space="0" w:color="auto"/>
              <w:right w:val="nil"/>
            </w:tcBorders>
            <w:shd w:val="clear" w:color="000000" w:fill="C9E3B4"/>
            <w:noWrap/>
            <w:vAlign w:val="center"/>
            <w:hideMark/>
          </w:tcPr>
          <w:p w14:paraId="4831C49A" w14:textId="77777777" w:rsidR="00BC5219" w:rsidRPr="008A2B8F" w:rsidRDefault="00BC5219" w:rsidP="00E83802">
            <w:pPr>
              <w:jc w:val="right"/>
              <w:rPr>
                <w:rFonts w:ascii="Meta Pro" w:eastAsia="Times New Roman" w:hAnsi="Meta Pro"/>
                <w:color w:val="000000"/>
                <w:szCs w:val="18"/>
                <w:lang w:eastAsia="en-AU"/>
              </w:rPr>
            </w:pPr>
            <w:r w:rsidRPr="008A2B8F">
              <w:rPr>
                <w:rFonts w:ascii="Meta Pro" w:eastAsia="Times New Roman" w:hAnsi="Meta Pro"/>
                <w:color w:val="000000"/>
                <w:szCs w:val="18"/>
                <w:lang w:eastAsia="en-AU"/>
              </w:rPr>
              <w:t>982</w:t>
            </w:r>
          </w:p>
        </w:tc>
        <w:tc>
          <w:tcPr>
            <w:tcW w:w="1383" w:type="dxa"/>
            <w:tcBorders>
              <w:top w:val="nil"/>
              <w:left w:val="single" w:sz="8" w:space="0" w:color="auto"/>
              <w:bottom w:val="single" w:sz="8" w:space="0" w:color="auto"/>
              <w:right w:val="single" w:sz="8" w:space="0" w:color="auto"/>
            </w:tcBorders>
            <w:shd w:val="clear" w:color="000000" w:fill="C9E3B4"/>
            <w:noWrap/>
            <w:vAlign w:val="center"/>
            <w:hideMark/>
          </w:tcPr>
          <w:p w14:paraId="38502575" w14:textId="77777777" w:rsidR="00BC5219" w:rsidRPr="008A2B8F" w:rsidRDefault="00BC5219" w:rsidP="00E83802">
            <w:pPr>
              <w:jc w:val="right"/>
              <w:rPr>
                <w:rFonts w:ascii="Meta Pro" w:eastAsia="Times New Roman" w:hAnsi="Meta Pro"/>
                <w:b/>
                <w:bCs/>
                <w:color w:val="000000"/>
                <w:szCs w:val="18"/>
                <w:lang w:eastAsia="en-AU"/>
              </w:rPr>
            </w:pPr>
            <w:r w:rsidRPr="008A2B8F">
              <w:rPr>
                <w:rFonts w:ascii="Meta Pro" w:eastAsia="Times New Roman" w:hAnsi="Meta Pro"/>
                <w:b/>
                <w:bCs/>
                <w:color w:val="000000"/>
                <w:szCs w:val="18"/>
                <w:lang w:eastAsia="en-AU"/>
              </w:rPr>
              <w:t>12,336</w:t>
            </w:r>
          </w:p>
        </w:tc>
      </w:tr>
      <w:tr w:rsidR="00BC5219" w:rsidRPr="008A2B8F" w14:paraId="4F544550" w14:textId="77777777" w:rsidTr="00E83802">
        <w:trPr>
          <w:trHeight w:val="23"/>
        </w:trPr>
        <w:tc>
          <w:tcPr>
            <w:tcW w:w="2665" w:type="dxa"/>
            <w:tcBorders>
              <w:top w:val="nil"/>
              <w:left w:val="single" w:sz="8" w:space="0" w:color="auto"/>
              <w:bottom w:val="nil"/>
              <w:right w:val="nil"/>
            </w:tcBorders>
            <w:shd w:val="clear" w:color="auto" w:fill="auto"/>
            <w:noWrap/>
            <w:vAlign w:val="center"/>
            <w:hideMark/>
          </w:tcPr>
          <w:p w14:paraId="7321BD54"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2022</w:t>
            </w:r>
          </w:p>
        </w:tc>
        <w:tc>
          <w:tcPr>
            <w:tcW w:w="1383" w:type="dxa"/>
            <w:tcBorders>
              <w:top w:val="nil"/>
              <w:left w:val="single" w:sz="8" w:space="0" w:color="auto"/>
              <w:bottom w:val="nil"/>
              <w:right w:val="nil"/>
            </w:tcBorders>
            <w:shd w:val="clear" w:color="000000" w:fill="FFFFFF"/>
            <w:noWrap/>
            <w:vAlign w:val="center"/>
            <w:hideMark/>
          </w:tcPr>
          <w:p w14:paraId="7069469C" w14:textId="77777777" w:rsidR="00BC5219" w:rsidRPr="008A2B8F" w:rsidRDefault="00BC5219" w:rsidP="00E83802">
            <w:pPr>
              <w:jc w:val="right"/>
              <w:rPr>
                <w:rFonts w:ascii="Meta Pro" w:eastAsia="Times New Roman" w:hAnsi="Meta Pro"/>
                <w:color w:val="000000"/>
                <w:szCs w:val="18"/>
                <w:lang w:eastAsia="en-AU"/>
              </w:rPr>
            </w:pPr>
            <w:r w:rsidRPr="008A2B8F">
              <w:rPr>
                <w:rFonts w:ascii="Meta Pro" w:eastAsia="Times New Roman" w:hAnsi="Meta Pro"/>
                <w:color w:val="000000"/>
                <w:szCs w:val="18"/>
                <w:lang w:eastAsia="en-AU"/>
              </w:rPr>
              <w:t> </w:t>
            </w:r>
          </w:p>
        </w:tc>
        <w:tc>
          <w:tcPr>
            <w:tcW w:w="1383" w:type="dxa"/>
            <w:tcBorders>
              <w:top w:val="nil"/>
              <w:left w:val="single" w:sz="8" w:space="0" w:color="auto"/>
              <w:bottom w:val="nil"/>
              <w:right w:val="nil"/>
            </w:tcBorders>
            <w:shd w:val="clear" w:color="000000" w:fill="FFFFFF"/>
            <w:noWrap/>
            <w:vAlign w:val="center"/>
            <w:hideMark/>
          </w:tcPr>
          <w:p w14:paraId="11C6BBB2" w14:textId="77777777" w:rsidR="00BC5219" w:rsidRPr="008A2B8F" w:rsidRDefault="00BC5219" w:rsidP="00E83802">
            <w:pPr>
              <w:rPr>
                <w:rFonts w:ascii="Meta Pro" w:eastAsia="Times New Roman" w:hAnsi="Meta Pro"/>
                <w:color w:val="000000"/>
                <w:szCs w:val="18"/>
                <w:lang w:eastAsia="en-AU"/>
              </w:rPr>
            </w:pPr>
            <w:r w:rsidRPr="008A2B8F">
              <w:rPr>
                <w:rFonts w:ascii="Meta Pro" w:eastAsia="Times New Roman" w:hAnsi="Meta Pro"/>
                <w:color w:val="000000"/>
                <w:szCs w:val="18"/>
                <w:lang w:eastAsia="en-AU"/>
              </w:rPr>
              <w:t> </w:t>
            </w:r>
          </w:p>
        </w:tc>
        <w:tc>
          <w:tcPr>
            <w:tcW w:w="1383" w:type="dxa"/>
            <w:tcBorders>
              <w:top w:val="nil"/>
              <w:left w:val="single" w:sz="8" w:space="0" w:color="auto"/>
              <w:bottom w:val="nil"/>
              <w:right w:val="nil"/>
            </w:tcBorders>
            <w:shd w:val="clear" w:color="000000" w:fill="FFFFFF"/>
            <w:noWrap/>
            <w:vAlign w:val="center"/>
            <w:hideMark/>
          </w:tcPr>
          <w:p w14:paraId="101B5A3C" w14:textId="77777777" w:rsidR="00BC5219" w:rsidRPr="008A2B8F" w:rsidRDefault="00BC5219" w:rsidP="00E83802">
            <w:pPr>
              <w:rPr>
                <w:rFonts w:ascii="Meta Pro" w:eastAsia="Times New Roman" w:hAnsi="Meta Pro"/>
                <w:color w:val="000000"/>
                <w:szCs w:val="18"/>
                <w:lang w:eastAsia="en-AU"/>
              </w:rPr>
            </w:pPr>
            <w:r w:rsidRPr="008A2B8F">
              <w:rPr>
                <w:rFonts w:ascii="Meta Pro" w:eastAsia="Times New Roman" w:hAnsi="Meta Pro"/>
                <w:color w:val="000000"/>
                <w:szCs w:val="18"/>
                <w:lang w:eastAsia="en-AU"/>
              </w:rPr>
              <w:t> </w:t>
            </w:r>
          </w:p>
        </w:tc>
        <w:tc>
          <w:tcPr>
            <w:tcW w:w="1383" w:type="dxa"/>
            <w:tcBorders>
              <w:top w:val="nil"/>
              <w:left w:val="single" w:sz="8" w:space="0" w:color="auto"/>
              <w:bottom w:val="nil"/>
              <w:right w:val="nil"/>
            </w:tcBorders>
            <w:shd w:val="clear" w:color="000000" w:fill="FFFFFF"/>
            <w:noWrap/>
            <w:vAlign w:val="center"/>
            <w:hideMark/>
          </w:tcPr>
          <w:p w14:paraId="0461569D" w14:textId="77777777" w:rsidR="00BC5219" w:rsidRPr="008A2B8F" w:rsidRDefault="00BC5219" w:rsidP="00E83802">
            <w:pPr>
              <w:rPr>
                <w:rFonts w:ascii="Meta Pro" w:eastAsia="Times New Roman" w:hAnsi="Meta Pro"/>
                <w:color w:val="000000"/>
                <w:szCs w:val="18"/>
                <w:lang w:eastAsia="en-AU"/>
              </w:rPr>
            </w:pPr>
            <w:r w:rsidRPr="008A2B8F">
              <w:rPr>
                <w:rFonts w:ascii="Meta Pro" w:eastAsia="Times New Roman" w:hAnsi="Meta Pro"/>
                <w:color w:val="000000"/>
                <w:szCs w:val="18"/>
                <w:lang w:eastAsia="en-AU"/>
              </w:rPr>
              <w:t> </w:t>
            </w:r>
          </w:p>
        </w:tc>
        <w:tc>
          <w:tcPr>
            <w:tcW w:w="1383" w:type="dxa"/>
            <w:tcBorders>
              <w:top w:val="nil"/>
              <w:left w:val="single" w:sz="8" w:space="0" w:color="auto"/>
              <w:bottom w:val="nil"/>
              <w:right w:val="single" w:sz="8" w:space="0" w:color="auto"/>
            </w:tcBorders>
            <w:shd w:val="clear" w:color="000000" w:fill="FFFFFF"/>
            <w:noWrap/>
            <w:vAlign w:val="center"/>
            <w:hideMark/>
          </w:tcPr>
          <w:p w14:paraId="25447BF6" w14:textId="77777777" w:rsidR="00BC5219" w:rsidRPr="008A2B8F" w:rsidRDefault="00BC5219" w:rsidP="00E83802">
            <w:pPr>
              <w:rPr>
                <w:rFonts w:ascii="Meta Pro" w:eastAsia="Times New Roman" w:hAnsi="Meta Pro"/>
                <w:b/>
                <w:bCs/>
                <w:color w:val="000000"/>
                <w:szCs w:val="18"/>
                <w:lang w:eastAsia="en-AU"/>
              </w:rPr>
            </w:pPr>
            <w:r w:rsidRPr="008A2B8F">
              <w:rPr>
                <w:rFonts w:ascii="Meta Pro" w:eastAsia="Times New Roman" w:hAnsi="Meta Pro"/>
                <w:b/>
                <w:bCs/>
                <w:color w:val="000000"/>
                <w:szCs w:val="18"/>
                <w:lang w:eastAsia="en-AU"/>
              </w:rPr>
              <w:t> </w:t>
            </w:r>
          </w:p>
        </w:tc>
      </w:tr>
      <w:tr w:rsidR="00BC5219" w:rsidRPr="008A2B8F" w14:paraId="54471040" w14:textId="77777777" w:rsidTr="00E83802">
        <w:trPr>
          <w:trHeight w:val="23"/>
        </w:trPr>
        <w:tc>
          <w:tcPr>
            <w:tcW w:w="2665" w:type="dxa"/>
            <w:tcBorders>
              <w:top w:val="nil"/>
              <w:left w:val="single" w:sz="8" w:space="0" w:color="auto"/>
              <w:bottom w:val="single" w:sz="8" w:space="0" w:color="auto"/>
              <w:right w:val="nil"/>
            </w:tcBorders>
            <w:shd w:val="clear" w:color="auto" w:fill="auto"/>
            <w:noWrap/>
            <w:vAlign w:val="center"/>
            <w:hideMark/>
          </w:tcPr>
          <w:p w14:paraId="6EF3E9B2"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Trade debtors</w:t>
            </w:r>
          </w:p>
        </w:tc>
        <w:tc>
          <w:tcPr>
            <w:tcW w:w="1383" w:type="dxa"/>
            <w:tcBorders>
              <w:top w:val="nil"/>
              <w:left w:val="single" w:sz="8" w:space="0" w:color="auto"/>
              <w:bottom w:val="single" w:sz="8" w:space="0" w:color="auto"/>
              <w:right w:val="nil"/>
            </w:tcBorders>
            <w:shd w:val="clear" w:color="000000" w:fill="FFFFFF"/>
            <w:noWrap/>
            <w:vAlign w:val="center"/>
            <w:hideMark/>
          </w:tcPr>
          <w:p w14:paraId="1E59577D" w14:textId="77777777" w:rsidR="00BC5219" w:rsidRPr="008A2B8F" w:rsidRDefault="00BC5219" w:rsidP="00E83802">
            <w:pPr>
              <w:jc w:val="right"/>
              <w:rPr>
                <w:rFonts w:ascii="Meta Pro" w:eastAsia="Times New Roman" w:hAnsi="Meta Pro"/>
                <w:color w:val="000000"/>
                <w:szCs w:val="18"/>
                <w:lang w:eastAsia="en-AU"/>
              </w:rPr>
            </w:pPr>
            <w:r w:rsidRPr="008A2B8F">
              <w:rPr>
                <w:rFonts w:ascii="Meta Pro" w:eastAsia="Times New Roman" w:hAnsi="Meta Pro"/>
                <w:color w:val="000000"/>
                <w:szCs w:val="18"/>
                <w:lang w:eastAsia="en-AU"/>
              </w:rPr>
              <w:t>2,372</w:t>
            </w:r>
          </w:p>
        </w:tc>
        <w:tc>
          <w:tcPr>
            <w:tcW w:w="1383" w:type="dxa"/>
            <w:tcBorders>
              <w:top w:val="nil"/>
              <w:left w:val="single" w:sz="8" w:space="0" w:color="auto"/>
              <w:bottom w:val="single" w:sz="8" w:space="0" w:color="auto"/>
              <w:right w:val="nil"/>
            </w:tcBorders>
            <w:shd w:val="clear" w:color="000000" w:fill="FFFFFF"/>
            <w:noWrap/>
            <w:vAlign w:val="center"/>
            <w:hideMark/>
          </w:tcPr>
          <w:p w14:paraId="647E19C5" w14:textId="77777777" w:rsidR="00BC5219" w:rsidRPr="008A2B8F" w:rsidRDefault="00BC5219" w:rsidP="00E83802">
            <w:pPr>
              <w:jc w:val="right"/>
              <w:rPr>
                <w:rFonts w:ascii="Meta Pro" w:eastAsia="Times New Roman" w:hAnsi="Meta Pro"/>
                <w:color w:val="000000"/>
                <w:szCs w:val="18"/>
                <w:lang w:eastAsia="en-AU"/>
              </w:rPr>
            </w:pPr>
            <w:r w:rsidRPr="008A2B8F">
              <w:rPr>
                <w:rFonts w:ascii="Meta Pro" w:eastAsia="Times New Roman" w:hAnsi="Meta Pro"/>
                <w:color w:val="000000"/>
                <w:szCs w:val="18"/>
                <w:lang w:eastAsia="en-AU"/>
              </w:rPr>
              <w:t>106</w:t>
            </w:r>
          </w:p>
        </w:tc>
        <w:tc>
          <w:tcPr>
            <w:tcW w:w="1383" w:type="dxa"/>
            <w:tcBorders>
              <w:top w:val="nil"/>
              <w:left w:val="single" w:sz="8" w:space="0" w:color="auto"/>
              <w:bottom w:val="single" w:sz="8" w:space="0" w:color="auto"/>
              <w:right w:val="nil"/>
            </w:tcBorders>
            <w:shd w:val="clear" w:color="000000" w:fill="FFFFFF"/>
            <w:noWrap/>
            <w:vAlign w:val="center"/>
            <w:hideMark/>
          </w:tcPr>
          <w:p w14:paraId="54AF7FB8" w14:textId="77777777" w:rsidR="00BC5219" w:rsidRPr="008A2B8F" w:rsidRDefault="00BC5219" w:rsidP="00E83802">
            <w:pPr>
              <w:jc w:val="right"/>
              <w:rPr>
                <w:rFonts w:ascii="Meta Pro" w:eastAsia="Times New Roman" w:hAnsi="Meta Pro"/>
                <w:color w:val="000000"/>
                <w:szCs w:val="18"/>
                <w:lang w:eastAsia="en-AU"/>
              </w:rPr>
            </w:pPr>
            <w:r w:rsidRPr="008A2B8F">
              <w:rPr>
                <w:rFonts w:ascii="Meta Pro" w:eastAsia="Times New Roman" w:hAnsi="Meta Pro"/>
                <w:color w:val="000000"/>
                <w:szCs w:val="18"/>
                <w:lang w:eastAsia="en-AU"/>
              </w:rPr>
              <w:t>406</w:t>
            </w:r>
          </w:p>
        </w:tc>
        <w:tc>
          <w:tcPr>
            <w:tcW w:w="1383" w:type="dxa"/>
            <w:tcBorders>
              <w:top w:val="nil"/>
              <w:left w:val="single" w:sz="8" w:space="0" w:color="auto"/>
              <w:bottom w:val="single" w:sz="8" w:space="0" w:color="auto"/>
              <w:right w:val="nil"/>
            </w:tcBorders>
            <w:shd w:val="clear" w:color="000000" w:fill="FFFFFF"/>
            <w:noWrap/>
            <w:vAlign w:val="center"/>
            <w:hideMark/>
          </w:tcPr>
          <w:p w14:paraId="6BC397EC" w14:textId="77777777" w:rsidR="00BC5219" w:rsidRPr="008A2B8F" w:rsidRDefault="00BC5219" w:rsidP="00E83802">
            <w:pPr>
              <w:jc w:val="right"/>
              <w:rPr>
                <w:rFonts w:ascii="Meta Pro" w:eastAsia="Times New Roman" w:hAnsi="Meta Pro"/>
                <w:color w:val="000000"/>
                <w:szCs w:val="18"/>
                <w:lang w:eastAsia="en-AU"/>
              </w:rPr>
            </w:pPr>
            <w:r w:rsidRPr="008A2B8F">
              <w:rPr>
                <w:rFonts w:ascii="Meta Pro" w:eastAsia="Times New Roman" w:hAnsi="Meta Pro"/>
                <w:color w:val="000000"/>
                <w:szCs w:val="18"/>
                <w:lang w:eastAsia="en-AU"/>
              </w:rPr>
              <w:t>1,390</w:t>
            </w:r>
          </w:p>
        </w:tc>
        <w:tc>
          <w:tcPr>
            <w:tcW w:w="1383" w:type="dxa"/>
            <w:tcBorders>
              <w:top w:val="nil"/>
              <w:left w:val="single" w:sz="8" w:space="0" w:color="auto"/>
              <w:bottom w:val="single" w:sz="8" w:space="0" w:color="auto"/>
              <w:right w:val="single" w:sz="8" w:space="0" w:color="auto"/>
            </w:tcBorders>
            <w:shd w:val="clear" w:color="000000" w:fill="FFFFFF"/>
            <w:noWrap/>
            <w:vAlign w:val="center"/>
            <w:hideMark/>
          </w:tcPr>
          <w:p w14:paraId="49A83005" w14:textId="77777777" w:rsidR="00BC5219" w:rsidRPr="008A2B8F" w:rsidRDefault="00BC5219" w:rsidP="00E83802">
            <w:pPr>
              <w:jc w:val="right"/>
              <w:rPr>
                <w:rFonts w:ascii="Meta Pro" w:eastAsia="Times New Roman" w:hAnsi="Meta Pro"/>
                <w:b/>
                <w:bCs/>
                <w:color w:val="000000"/>
                <w:szCs w:val="18"/>
                <w:lang w:eastAsia="en-AU"/>
              </w:rPr>
            </w:pPr>
            <w:r w:rsidRPr="008A2B8F">
              <w:rPr>
                <w:rFonts w:ascii="Meta Pro" w:eastAsia="Times New Roman" w:hAnsi="Meta Pro"/>
                <w:b/>
                <w:bCs/>
                <w:color w:val="000000"/>
                <w:szCs w:val="18"/>
                <w:lang w:eastAsia="en-AU"/>
              </w:rPr>
              <w:t>4,274</w:t>
            </w:r>
          </w:p>
        </w:tc>
      </w:tr>
    </w:tbl>
    <w:p w14:paraId="45473853" w14:textId="77777777" w:rsidR="00BC5219" w:rsidRPr="008A2B8F" w:rsidRDefault="00BC5219" w:rsidP="00BC5219">
      <w:pPr>
        <w:ind w:left="113" w:hanging="113"/>
        <w:rPr>
          <w:rFonts w:ascii="Meta Pro" w:eastAsia="Times New Roman" w:hAnsi="Meta Pro"/>
          <w:b/>
          <w:bCs/>
          <w:color w:val="000000"/>
          <w:szCs w:val="18"/>
          <w:lang w:eastAsia="en-AU"/>
        </w:rPr>
        <w:sectPr w:rsidR="00BC5219" w:rsidRPr="008A2B8F" w:rsidSect="00B279C4">
          <w:headerReference w:type="default" r:id="rId101"/>
          <w:footerReference w:type="default" r:id="rId102"/>
          <w:pgSz w:w="11906" w:h="16838"/>
          <w:pgMar w:top="1701" w:right="851" w:bottom="1134" w:left="851" w:header="454" w:footer="284" w:gutter="0"/>
          <w:pgNumType w:start="11"/>
          <w:cols w:space="708"/>
          <w:docGrid w:linePitch="360"/>
        </w:sectPr>
      </w:pPr>
    </w:p>
    <w:p w14:paraId="58489028" w14:textId="77777777" w:rsidR="00BC5219" w:rsidRPr="008A2B8F" w:rsidRDefault="00BC5219" w:rsidP="00BC5219">
      <w:pPr>
        <w:shd w:val="clear" w:color="auto" w:fill="EBEBEB"/>
        <w:rPr>
          <w:rFonts w:ascii="Meta Pro" w:eastAsia="Times New Roman" w:hAnsi="Meta Pro"/>
          <w:b/>
          <w:bCs/>
          <w:color w:val="000000"/>
          <w:szCs w:val="18"/>
          <w:lang w:eastAsia="en-AU"/>
        </w:rPr>
      </w:pPr>
      <w:r w:rsidRPr="008A2B8F">
        <w:rPr>
          <w:rFonts w:ascii="Meta Pro" w:eastAsia="Times New Roman" w:hAnsi="Meta Pro"/>
          <w:b/>
          <w:bCs/>
          <w:color w:val="000000"/>
          <w:szCs w:val="18"/>
          <w:lang w:eastAsia="en-AU"/>
        </w:rPr>
        <w:lastRenderedPageBreak/>
        <w:t xml:space="preserve">Accounting policy </w:t>
      </w:r>
    </w:p>
    <w:p w14:paraId="72CF3DB9" w14:textId="77777777" w:rsidR="00BC5219" w:rsidRPr="008A2B8F" w:rsidRDefault="00BC5219" w:rsidP="00BC5219">
      <w:pPr>
        <w:pStyle w:val="ACPPara"/>
        <w:spacing w:before="120"/>
      </w:pPr>
      <w:r w:rsidRPr="008A2B8F">
        <w:t>Trade debtors are recognised at the amounts due at the time of sale or service delivery. Settlement on these amounts is generally required within 30 days from invoice date.</w:t>
      </w:r>
    </w:p>
    <w:p w14:paraId="137FD154" w14:textId="77777777" w:rsidR="00BC5219" w:rsidRPr="008A2B8F" w:rsidRDefault="00BC5219" w:rsidP="00BC5219">
      <w:pPr>
        <w:pStyle w:val="ACPPara"/>
      </w:pPr>
      <w:r w:rsidRPr="008A2B8F">
        <w:t>The collectability of receivables is assessed periodically with an allowance being made for impairment.</w:t>
      </w:r>
    </w:p>
    <w:p w14:paraId="298E4561" w14:textId="77777777" w:rsidR="00BC5219" w:rsidRPr="008A2B8F" w:rsidRDefault="00BC5219" w:rsidP="00BC5219">
      <w:pPr>
        <w:pStyle w:val="ACPPara"/>
      </w:pPr>
      <w:r w:rsidRPr="008A2B8F">
        <w:t xml:space="preserve">In accordance with AASB 9 </w:t>
      </w:r>
      <w:r w:rsidRPr="008A2B8F">
        <w:rPr>
          <w:i/>
          <w:iCs/>
        </w:rPr>
        <w:t>Financial instruments</w:t>
      </w:r>
      <w:r w:rsidRPr="008A2B8F">
        <w:t xml:space="preserve"> the department has assessed the historical trend of its receivables to calculate loss rates adjusted for forward-looking information. Historical rates are calculated using credit losses experienced during the past 10 years preceding 30 June 2023, adjusted by the unemployment rate, which is determined to be the most relevant forward-looking indicator for the department. The calculated lifetime expected credit loss allowance is then applied to trade receivables. No additional loss allowance has been recognised in the current financial year based on materiality.</w:t>
      </w:r>
    </w:p>
    <w:p w14:paraId="5208671D" w14:textId="77777777" w:rsidR="00BC5219" w:rsidRPr="008A2B8F" w:rsidRDefault="00BC5219" w:rsidP="00BC5219">
      <w:pPr>
        <w:pStyle w:val="ACPPara"/>
      </w:pPr>
      <w:r w:rsidRPr="008A2B8F">
        <w:t>All known bad debts were written off as at 30 June each year.</w:t>
      </w:r>
    </w:p>
    <w:p w14:paraId="2768AB50" w14:textId="77777777" w:rsidR="00BC5219" w:rsidRPr="008A2B8F" w:rsidRDefault="00BC5219" w:rsidP="00BC5219">
      <w:pPr>
        <w:shd w:val="clear" w:color="auto" w:fill="EBEBEB"/>
        <w:rPr>
          <w:rFonts w:ascii="Meta Pro" w:eastAsia="Times New Roman" w:hAnsi="Meta Pro"/>
          <w:szCs w:val="18"/>
          <w:lang w:eastAsia="en-AU"/>
        </w:rPr>
      </w:pPr>
      <w:r w:rsidRPr="008A2B8F">
        <w:rPr>
          <w:rFonts w:ascii="Meta Pro" w:eastAsia="Times New Roman" w:hAnsi="Meta Pro"/>
          <w:szCs w:val="18"/>
          <w:lang w:eastAsia="en-AU"/>
        </w:rPr>
        <w:t>The department's annual and long service leave receivables relate to the Queensland Government's Annual Leave and Long Service Leave Central Schemes which are administered by QSuper on behalf of the state. Refer to Note 21.</w:t>
      </w:r>
      <w:r w:rsidRPr="008A2B8F">
        <w:rPr>
          <w:rFonts w:ascii="Meta Pro" w:hAnsi="Meta Pro"/>
        </w:rPr>
        <w:t xml:space="preserve"> </w:t>
      </w:r>
    </w:p>
    <w:p w14:paraId="7580E57D" w14:textId="77777777" w:rsidR="00BC5219" w:rsidRPr="008A2B8F" w:rsidRDefault="00BC5219" w:rsidP="00BC5219">
      <w:pPr>
        <w:rPr>
          <w:rFonts w:ascii="Meta Pro" w:hAnsi="Meta Pro" w:cstheme="minorBidi"/>
        </w:rPr>
      </w:pPr>
    </w:p>
    <w:tbl>
      <w:tblPr>
        <w:tblW w:w="0" w:type="auto"/>
        <w:tblCellMar>
          <w:left w:w="0" w:type="dxa"/>
        </w:tblCellMar>
        <w:tblLook w:val="04A0" w:firstRow="1" w:lastRow="0" w:firstColumn="1" w:lastColumn="0" w:noHBand="0" w:noVBand="1"/>
      </w:tblPr>
      <w:tblGrid>
        <w:gridCol w:w="7144"/>
        <w:gridCol w:w="1164"/>
        <w:gridCol w:w="224"/>
        <w:gridCol w:w="1164"/>
      </w:tblGrid>
      <w:tr w:rsidR="00BC5219" w:rsidRPr="008A2B8F" w14:paraId="26719D51" w14:textId="77777777" w:rsidTr="00E83802">
        <w:trPr>
          <w:trHeight w:val="240"/>
        </w:trPr>
        <w:tc>
          <w:tcPr>
            <w:tcW w:w="7136" w:type="dxa"/>
            <w:tcBorders>
              <w:top w:val="nil"/>
              <w:left w:val="nil"/>
              <w:bottom w:val="nil"/>
              <w:right w:val="nil"/>
            </w:tcBorders>
            <w:shd w:val="clear" w:color="auto" w:fill="auto"/>
            <w:noWrap/>
            <w:vAlign w:val="center"/>
            <w:hideMark/>
          </w:tcPr>
          <w:p w14:paraId="6CF0ECE9" w14:textId="77777777" w:rsidR="00BC5219" w:rsidRPr="008A2B8F" w:rsidRDefault="00BC5219" w:rsidP="00E83802">
            <w:pPr>
              <w:rPr>
                <w:rFonts w:ascii="Meta Pro" w:eastAsia="Times New Roman" w:hAnsi="Meta Pro" w:cs="Times New Roman"/>
                <w:sz w:val="24"/>
                <w:szCs w:val="24"/>
                <w:lang w:eastAsia="en-AU"/>
              </w:rPr>
            </w:pPr>
          </w:p>
        </w:tc>
        <w:tc>
          <w:tcPr>
            <w:tcW w:w="1156" w:type="dxa"/>
            <w:tcBorders>
              <w:top w:val="nil"/>
              <w:left w:val="nil"/>
              <w:bottom w:val="nil"/>
              <w:right w:val="nil"/>
            </w:tcBorders>
            <w:shd w:val="clear" w:color="auto" w:fill="auto"/>
            <w:noWrap/>
            <w:vAlign w:val="center"/>
            <w:hideMark/>
          </w:tcPr>
          <w:p w14:paraId="71BD9443" w14:textId="77777777" w:rsidR="00BC5219" w:rsidRPr="008A2B8F" w:rsidRDefault="00BC5219" w:rsidP="00E83802">
            <w:pPr>
              <w:jc w:val="center"/>
              <w:rPr>
                <w:rFonts w:ascii="Meta Pro" w:eastAsia="Times New Roman" w:hAnsi="Meta Pro"/>
                <w:b/>
                <w:bCs/>
                <w:color w:val="000000"/>
                <w:lang w:eastAsia="en-AU"/>
              </w:rPr>
            </w:pPr>
            <w:r w:rsidRPr="008A2B8F">
              <w:rPr>
                <w:rFonts w:ascii="Meta Pro" w:eastAsia="Times New Roman" w:hAnsi="Meta Pro"/>
                <w:b/>
                <w:bCs/>
                <w:color w:val="000000"/>
                <w:lang w:eastAsia="en-AU"/>
              </w:rPr>
              <w:t>2023</w:t>
            </w:r>
          </w:p>
        </w:tc>
        <w:tc>
          <w:tcPr>
            <w:tcW w:w="216" w:type="dxa"/>
            <w:tcBorders>
              <w:top w:val="nil"/>
              <w:left w:val="nil"/>
              <w:bottom w:val="nil"/>
              <w:right w:val="nil"/>
            </w:tcBorders>
            <w:shd w:val="clear" w:color="auto" w:fill="auto"/>
            <w:noWrap/>
            <w:vAlign w:val="center"/>
            <w:hideMark/>
          </w:tcPr>
          <w:p w14:paraId="10EDC4A8" w14:textId="77777777" w:rsidR="00BC5219" w:rsidRPr="008A2B8F" w:rsidRDefault="00BC5219" w:rsidP="00E83802">
            <w:pPr>
              <w:jc w:val="center"/>
              <w:rPr>
                <w:rFonts w:ascii="Meta Pro" w:eastAsia="Times New Roman" w:hAnsi="Meta Pro"/>
                <w:b/>
                <w:bCs/>
                <w:color w:val="000000"/>
                <w:lang w:eastAsia="en-AU"/>
              </w:rPr>
            </w:pPr>
          </w:p>
        </w:tc>
        <w:tc>
          <w:tcPr>
            <w:tcW w:w="1156" w:type="dxa"/>
            <w:tcBorders>
              <w:top w:val="nil"/>
              <w:left w:val="nil"/>
              <w:bottom w:val="nil"/>
              <w:right w:val="nil"/>
            </w:tcBorders>
            <w:shd w:val="clear" w:color="auto" w:fill="auto"/>
            <w:noWrap/>
            <w:vAlign w:val="center"/>
            <w:hideMark/>
          </w:tcPr>
          <w:p w14:paraId="0C9E0D51" w14:textId="77777777" w:rsidR="00BC5219" w:rsidRPr="008A2B8F" w:rsidRDefault="00BC5219" w:rsidP="00E83802">
            <w:pPr>
              <w:jc w:val="center"/>
              <w:rPr>
                <w:rFonts w:ascii="Meta Pro" w:eastAsia="Times New Roman" w:hAnsi="Meta Pro"/>
                <w:b/>
                <w:bCs/>
                <w:lang w:eastAsia="en-AU"/>
              </w:rPr>
            </w:pPr>
            <w:r w:rsidRPr="008A2B8F">
              <w:rPr>
                <w:rFonts w:ascii="Meta Pro" w:eastAsia="Times New Roman" w:hAnsi="Meta Pro"/>
                <w:b/>
                <w:bCs/>
                <w:lang w:eastAsia="en-AU"/>
              </w:rPr>
              <w:t>2022</w:t>
            </w:r>
          </w:p>
        </w:tc>
      </w:tr>
      <w:tr w:rsidR="00BC5219" w:rsidRPr="008A2B8F" w14:paraId="6FAE9A1C" w14:textId="77777777" w:rsidTr="00E83802">
        <w:trPr>
          <w:trHeight w:val="240"/>
        </w:trPr>
        <w:tc>
          <w:tcPr>
            <w:tcW w:w="7136" w:type="dxa"/>
            <w:tcBorders>
              <w:top w:val="nil"/>
              <w:left w:val="nil"/>
              <w:bottom w:val="nil"/>
              <w:right w:val="nil"/>
            </w:tcBorders>
            <w:shd w:val="clear" w:color="auto" w:fill="auto"/>
            <w:noWrap/>
            <w:vAlign w:val="center"/>
            <w:hideMark/>
          </w:tcPr>
          <w:p w14:paraId="6FACEB70" w14:textId="77777777" w:rsidR="00BC5219" w:rsidRPr="008A2B8F" w:rsidRDefault="00BC5219" w:rsidP="00E83802">
            <w:pPr>
              <w:jc w:val="center"/>
              <w:rPr>
                <w:rFonts w:ascii="Meta Pro" w:eastAsia="Times New Roman" w:hAnsi="Meta Pro"/>
                <w:b/>
                <w:bCs/>
                <w:lang w:eastAsia="en-AU"/>
              </w:rPr>
            </w:pPr>
          </w:p>
        </w:tc>
        <w:tc>
          <w:tcPr>
            <w:tcW w:w="1156" w:type="dxa"/>
            <w:tcBorders>
              <w:top w:val="nil"/>
              <w:left w:val="nil"/>
              <w:bottom w:val="nil"/>
              <w:right w:val="nil"/>
            </w:tcBorders>
            <w:shd w:val="clear" w:color="auto" w:fill="auto"/>
            <w:noWrap/>
            <w:vAlign w:val="center"/>
            <w:hideMark/>
          </w:tcPr>
          <w:p w14:paraId="57D11EAC" w14:textId="77777777" w:rsidR="00BC5219" w:rsidRPr="008A2B8F" w:rsidRDefault="00BC5219" w:rsidP="00E83802">
            <w:pPr>
              <w:jc w:val="center"/>
              <w:rPr>
                <w:rFonts w:ascii="Meta Pro" w:eastAsia="Times New Roman" w:hAnsi="Meta Pro"/>
                <w:b/>
                <w:bCs/>
                <w:lang w:eastAsia="en-AU"/>
              </w:rPr>
            </w:pPr>
            <w:r w:rsidRPr="008A2B8F">
              <w:rPr>
                <w:rFonts w:ascii="Meta Pro" w:eastAsia="Times New Roman" w:hAnsi="Meta Pro"/>
                <w:b/>
                <w:bCs/>
                <w:lang w:eastAsia="en-AU"/>
              </w:rPr>
              <w:t>$'000</w:t>
            </w:r>
          </w:p>
        </w:tc>
        <w:tc>
          <w:tcPr>
            <w:tcW w:w="216" w:type="dxa"/>
            <w:tcBorders>
              <w:top w:val="nil"/>
              <w:left w:val="nil"/>
              <w:bottom w:val="nil"/>
              <w:right w:val="nil"/>
            </w:tcBorders>
            <w:shd w:val="clear" w:color="auto" w:fill="auto"/>
            <w:noWrap/>
            <w:vAlign w:val="center"/>
            <w:hideMark/>
          </w:tcPr>
          <w:p w14:paraId="0C929769" w14:textId="77777777" w:rsidR="00BC5219" w:rsidRPr="008A2B8F" w:rsidRDefault="00BC5219" w:rsidP="00E83802">
            <w:pPr>
              <w:jc w:val="center"/>
              <w:rPr>
                <w:rFonts w:ascii="Meta Pro" w:eastAsia="Times New Roman" w:hAnsi="Meta Pro"/>
                <w:b/>
                <w:bCs/>
                <w:lang w:eastAsia="en-AU"/>
              </w:rPr>
            </w:pPr>
          </w:p>
        </w:tc>
        <w:tc>
          <w:tcPr>
            <w:tcW w:w="1156" w:type="dxa"/>
            <w:tcBorders>
              <w:top w:val="nil"/>
              <w:left w:val="nil"/>
              <w:bottom w:val="nil"/>
              <w:right w:val="nil"/>
            </w:tcBorders>
            <w:shd w:val="clear" w:color="auto" w:fill="auto"/>
            <w:noWrap/>
            <w:vAlign w:val="center"/>
            <w:hideMark/>
          </w:tcPr>
          <w:p w14:paraId="6EC75256" w14:textId="77777777" w:rsidR="00BC5219" w:rsidRPr="008A2B8F" w:rsidRDefault="00BC5219" w:rsidP="00E83802">
            <w:pPr>
              <w:jc w:val="center"/>
              <w:rPr>
                <w:rFonts w:ascii="Meta Pro" w:eastAsia="Times New Roman" w:hAnsi="Meta Pro"/>
                <w:b/>
                <w:bCs/>
                <w:lang w:eastAsia="en-AU"/>
              </w:rPr>
            </w:pPr>
            <w:r w:rsidRPr="008A2B8F">
              <w:rPr>
                <w:rFonts w:ascii="Meta Pro" w:eastAsia="Times New Roman" w:hAnsi="Meta Pro"/>
                <w:b/>
                <w:bCs/>
                <w:lang w:eastAsia="en-AU"/>
              </w:rPr>
              <w:t>$'000</w:t>
            </w:r>
          </w:p>
        </w:tc>
      </w:tr>
      <w:tr w:rsidR="00BC5219" w:rsidRPr="008A2B8F" w14:paraId="71CBF940" w14:textId="77777777" w:rsidTr="00E83802">
        <w:trPr>
          <w:trHeight w:val="240"/>
        </w:trPr>
        <w:tc>
          <w:tcPr>
            <w:tcW w:w="7136" w:type="dxa"/>
            <w:tcBorders>
              <w:top w:val="nil"/>
              <w:left w:val="nil"/>
              <w:bottom w:val="nil"/>
              <w:right w:val="nil"/>
            </w:tcBorders>
            <w:shd w:val="clear" w:color="auto" w:fill="auto"/>
            <w:noWrap/>
            <w:vAlign w:val="center"/>
            <w:hideMark/>
          </w:tcPr>
          <w:p w14:paraId="185B2188" w14:textId="77777777" w:rsidR="00BC5219" w:rsidRPr="008A2B8F" w:rsidRDefault="00BC5219" w:rsidP="00E83802">
            <w:pPr>
              <w:rPr>
                <w:rFonts w:ascii="Meta Pro" w:eastAsia="Times New Roman" w:hAnsi="Meta Pro"/>
                <w:b/>
                <w:bCs/>
                <w:lang w:eastAsia="en-AU"/>
              </w:rPr>
            </w:pPr>
            <w:r w:rsidRPr="008A2B8F">
              <w:rPr>
                <w:rFonts w:ascii="Meta Pro" w:eastAsia="Times New Roman" w:hAnsi="Meta Pro"/>
                <w:b/>
                <w:bCs/>
                <w:lang w:eastAsia="en-AU"/>
              </w:rPr>
              <w:t>13     PREPAYMENTS</w:t>
            </w:r>
          </w:p>
        </w:tc>
        <w:tc>
          <w:tcPr>
            <w:tcW w:w="1156" w:type="dxa"/>
            <w:tcBorders>
              <w:top w:val="nil"/>
              <w:left w:val="nil"/>
              <w:bottom w:val="nil"/>
              <w:right w:val="nil"/>
            </w:tcBorders>
            <w:shd w:val="clear" w:color="auto" w:fill="auto"/>
            <w:noWrap/>
            <w:vAlign w:val="center"/>
            <w:hideMark/>
          </w:tcPr>
          <w:p w14:paraId="7B220D88" w14:textId="77777777" w:rsidR="00BC5219" w:rsidRPr="008A2B8F" w:rsidRDefault="00BC5219" w:rsidP="00E83802">
            <w:pPr>
              <w:rPr>
                <w:rFonts w:ascii="Meta Pro" w:eastAsia="Times New Roman" w:hAnsi="Meta Pro"/>
                <w:b/>
                <w:bCs/>
                <w:lang w:eastAsia="en-AU"/>
              </w:rPr>
            </w:pPr>
          </w:p>
        </w:tc>
        <w:tc>
          <w:tcPr>
            <w:tcW w:w="216" w:type="dxa"/>
            <w:tcBorders>
              <w:top w:val="nil"/>
              <w:left w:val="nil"/>
              <w:bottom w:val="nil"/>
              <w:right w:val="nil"/>
            </w:tcBorders>
            <w:shd w:val="clear" w:color="auto" w:fill="auto"/>
            <w:noWrap/>
            <w:vAlign w:val="center"/>
            <w:hideMark/>
          </w:tcPr>
          <w:p w14:paraId="646E2446" w14:textId="77777777" w:rsidR="00BC5219" w:rsidRPr="008A2B8F"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707273A8"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3EA2A239" w14:textId="77777777" w:rsidTr="00E83802">
        <w:trPr>
          <w:trHeight w:val="90"/>
        </w:trPr>
        <w:tc>
          <w:tcPr>
            <w:tcW w:w="7136" w:type="dxa"/>
            <w:tcBorders>
              <w:top w:val="nil"/>
              <w:left w:val="nil"/>
              <w:bottom w:val="nil"/>
              <w:right w:val="nil"/>
            </w:tcBorders>
            <w:shd w:val="clear" w:color="auto" w:fill="auto"/>
            <w:noWrap/>
            <w:vAlign w:val="center"/>
            <w:hideMark/>
          </w:tcPr>
          <w:p w14:paraId="39260AF4" w14:textId="77777777" w:rsidR="00BC5219" w:rsidRPr="008A2B8F"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037F127A" w14:textId="77777777" w:rsidR="00BC5219" w:rsidRPr="008A2B8F" w:rsidRDefault="00BC5219" w:rsidP="00E83802">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3CF49203" w14:textId="77777777" w:rsidR="00BC5219" w:rsidRPr="008A2B8F"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0D923FB4"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2E6C1CC7" w14:textId="77777777" w:rsidTr="00E83802">
        <w:trPr>
          <w:trHeight w:val="240"/>
        </w:trPr>
        <w:tc>
          <w:tcPr>
            <w:tcW w:w="7136" w:type="dxa"/>
            <w:tcBorders>
              <w:top w:val="nil"/>
              <w:left w:val="nil"/>
              <w:bottom w:val="nil"/>
              <w:right w:val="nil"/>
            </w:tcBorders>
            <w:shd w:val="clear" w:color="auto" w:fill="auto"/>
            <w:noWrap/>
            <w:vAlign w:val="center"/>
            <w:hideMark/>
          </w:tcPr>
          <w:p w14:paraId="003649A4" w14:textId="77777777" w:rsidR="00BC5219" w:rsidRPr="008A2B8F" w:rsidRDefault="00BC5219" w:rsidP="00E83802">
            <w:pPr>
              <w:rPr>
                <w:rFonts w:ascii="Meta Pro" w:eastAsia="Times New Roman" w:hAnsi="Meta Pro"/>
                <w:b/>
                <w:bCs/>
                <w:sz w:val="20"/>
                <w:szCs w:val="20"/>
                <w:lang w:eastAsia="en-AU"/>
              </w:rPr>
            </w:pPr>
            <w:r w:rsidRPr="008A2B8F">
              <w:rPr>
                <w:rFonts w:ascii="Meta Pro" w:eastAsia="Times New Roman" w:hAnsi="Meta Pro"/>
                <w:b/>
                <w:bCs/>
                <w:sz w:val="20"/>
                <w:szCs w:val="20"/>
                <w:lang w:eastAsia="en-AU"/>
              </w:rPr>
              <w:t>Current</w:t>
            </w:r>
          </w:p>
        </w:tc>
        <w:tc>
          <w:tcPr>
            <w:tcW w:w="1156" w:type="dxa"/>
            <w:tcBorders>
              <w:top w:val="nil"/>
              <w:left w:val="nil"/>
              <w:bottom w:val="nil"/>
              <w:right w:val="nil"/>
            </w:tcBorders>
            <w:shd w:val="clear" w:color="auto" w:fill="auto"/>
            <w:noWrap/>
            <w:vAlign w:val="center"/>
            <w:hideMark/>
          </w:tcPr>
          <w:p w14:paraId="3DB3BF64" w14:textId="77777777" w:rsidR="00BC5219" w:rsidRPr="008A2B8F" w:rsidRDefault="00BC5219" w:rsidP="00E83802">
            <w:pPr>
              <w:rPr>
                <w:rFonts w:ascii="Meta Pro" w:eastAsia="Times New Roman" w:hAnsi="Meta Pro"/>
                <w:b/>
                <w:bCs/>
                <w:sz w:val="20"/>
                <w:szCs w:val="20"/>
                <w:lang w:eastAsia="en-AU"/>
              </w:rPr>
            </w:pPr>
          </w:p>
        </w:tc>
        <w:tc>
          <w:tcPr>
            <w:tcW w:w="216" w:type="dxa"/>
            <w:tcBorders>
              <w:top w:val="nil"/>
              <w:left w:val="nil"/>
              <w:bottom w:val="nil"/>
              <w:right w:val="nil"/>
            </w:tcBorders>
            <w:shd w:val="clear" w:color="auto" w:fill="auto"/>
            <w:noWrap/>
            <w:vAlign w:val="center"/>
            <w:hideMark/>
          </w:tcPr>
          <w:p w14:paraId="33C23C9E" w14:textId="77777777" w:rsidR="00BC5219" w:rsidRPr="008A2B8F"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3D9C40BB"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4D64530D" w14:textId="77777777" w:rsidTr="00E83802">
        <w:trPr>
          <w:trHeight w:val="240"/>
        </w:trPr>
        <w:tc>
          <w:tcPr>
            <w:tcW w:w="7136" w:type="dxa"/>
            <w:tcBorders>
              <w:top w:val="nil"/>
              <w:left w:val="nil"/>
              <w:bottom w:val="nil"/>
              <w:right w:val="nil"/>
            </w:tcBorders>
            <w:shd w:val="clear" w:color="auto" w:fill="auto"/>
            <w:noWrap/>
            <w:vAlign w:val="center"/>
            <w:hideMark/>
          </w:tcPr>
          <w:p w14:paraId="0498C5C7"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Insurance</w:t>
            </w:r>
          </w:p>
        </w:tc>
        <w:tc>
          <w:tcPr>
            <w:tcW w:w="1156" w:type="dxa"/>
            <w:tcBorders>
              <w:top w:val="nil"/>
              <w:left w:val="nil"/>
              <w:bottom w:val="nil"/>
              <w:right w:val="nil"/>
            </w:tcBorders>
            <w:shd w:val="clear" w:color="000000" w:fill="C9E3B4"/>
            <w:noWrap/>
            <w:vAlign w:val="center"/>
            <w:hideMark/>
          </w:tcPr>
          <w:p w14:paraId="73E821B5"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6,760 </w:t>
            </w:r>
          </w:p>
        </w:tc>
        <w:tc>
          <w:tcPr>
            <w:tcW w:w="216" w:type="dxa"/>
            <w:tcBorders>
              <w:top w:val="nil"/>
              <w:left w:val="nil"/>
              <w:bottom w:val="nil"/>
              <w:right w:val="nil"/>
            </w:tcBorders>
            <w:shd w:val="clear" w:color="auto" w:fill="auto"/>
            <w:noWrap/>
            <w:vAlign w:val="center"/>
            <w:hideMark/>
          </w:tcPr>
          <w:p w14:paraId="2B62025C"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6A014296"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2,805 </w:t>
            </w:r>
          </w:p>
        </w:tc>
      </w:tr>
      <w:tr w:rsidR="00BC5219" w:rsidRPr="008A2B8F" w14:paraId="50AF5CCD" w14:textId="77777777" w:rsidTr="00E83802">
        <w:trPr>
          <w:trHeight w:val="240"/>
        </w:trPr>
        <w:tc>
          <w:tcPr>
            <w:tcW w:w="7136" w:type="dxa"/>
            <w:tcBorders>
              <w:top w:val="nil"/>
              <w:left w:val="nil"/>
              <w:bottom w:val="nil"/>
              <w:right w:val="nil"/>
            </w:tcBorders>
            <w:shd w:val="clear" w:color="auto" w:fill="auto"/>
            <w:noWrap/>
            <w:vAlign w:val="center"/>
            <w:hideMark/>
          </w:tcPr>
          <w:p w14:paraId="1CD2FC68"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New Generation Rollingstock accessibility works *</w:t>
            </w:r>
          </w:p>
        </w:tc>
        <w:tc>
          <w:tcPr>
            <w:tcW w:w="1156" w:type="dxa"/>
            <w:tcBorders>
              <w:top w:val="nil"/>
              <w:left w:val="nil"/>
              <w:bottom w:val="nil"/>
              <w:right w:val="nil"/>
            </w:tcBorders>
            <w:shd w:val="clear" w:color="000000" w:fill="C9E3B4"/>
            <w:noWrap/>
            <w:vAlign w:val="center"/>
            <w:hideMark/>
          </w:tcPr>
          <w:p w14:paraId="6529DDB9"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69,412 </w:t>
            </w:r>
          </w:p>
        </w:tc>
        <w:tc>
          <w:tcPr>
            <w:tcW w:w="216" w:type="dxa"/>
            <w:tcBorders>
              <w:top w:val="nil"/>
              <w:left w:val="nil"/>
              <w:bottom w:val="nil"/>
              <w:right w:val="nil"/>
            </w:tcBorders>
            <w:shd w:val="clear" w:color="auto" w:fill="auto"/>
            <w:noWrap/>
            <w:vAlign w:val="center"/>
            <w:hideMark/>
          </w:tcPr>
          <w:p w14:paraId="122BE80A"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39717557"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61,109 </w:t>
            </w:r>
          </w:p>
        </w:tc>
      </w:tr>
      <w:tr w:rsidR="00BC5219" w:rsidRPr="008A2B8F" w14:paraId="2A836BFB" w14:textId="77777777" w:rsidTr="00E83802">
        <w:trPr>
          <w:trHeight w:val="240"/>
        </w:trPr>
        <w:tc>
          <w:tcPr>
            <w:tcW w:w="7136" w:type="dxa"/>
            <w:tcBorders>
              <w:top w:val="nil"/>
              <w:left w:val="nil"/>
              <w:bottom w:val="nil"/>
              <w:right w:val="nil"/>
            </w:tcBorders>
            <w:shd w:val="clear" w:color="auto" w:fill="auto"/>
            <w:noWrap/>
            <w:vAlign w:val="center"/>
            <w:hideMark/>
          </w:tcPr>
          <w:p w14:paraId="72880846"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Pilotage</w:t>
            </w:r>
          </w:p>
        </w:tc>
        <w:tc>
          <w:tcPr>
            <w:tcW w:w="1156" w:type="dxa"/>
            <w:tcBorders>
              <w:top w:val="nil"/>
              <w:left w:val="nil"/>
              <w:bottom w:val="nil"/>
              <w:right w:val="nil"/>
            </w:tcBorders>
            <w:shd w:val="clear" w:color="000000" w:fill="C9E3B4"/>
            <w:noWrap/>
            <w:vAlign w:val="center"/>
            <w:hideMark/>
          </w:tcPr>
          <w:p w14:paraId="67B26388"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350 </w:t>
            </w:r>
          </w:p>
        </w:tc>
        <w:tc>
          <w:tcPr>
            <w:tcW w:w="216" w:type="dxa"/>
            <w:tcBorders>
              <w:top w:val="nil"/>
              <w:left w:val="nil"/>
              <w:bottom w:val="nil"/>
              <w:right w:val="nil"/>
            </w:tcBorders>
            <w:shd w:val="clear" w:color="auto" w:fill="auto"/>
            <w:noWrap/>
            <w:vAlign w:val="center"/>
            <w:hideMark/>
          </w:tcPr>
          <w:p w14:paraId="41A14D38"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641C3E00"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1,030 </w:t>
            </w:r>
          </w:p>
        </w:tc>
      </w:tr>
      <w:tr w:rsidR="00BC5219" w:rsidRPr="008A2B8F" w14:paraId="3F35E9F7" w14:textId="77777777" w:rsidTr="00E83802">
        <w:trPr>
          <w:trHeight w:val="240"/>
        </w:trPr>
        <w:tc>
          <w:tcPr>
            <w:tcW w:w="7136" w:type="dxa"/>
            <w:tcBorders>
              <w:top w:val="nil"/>
              <w:left w:val="nil"/>
              <w:bottom w:val="nil"/>
              <w:right w:val="nil"/>
            </w:tcBorders>
            <w:shd w:val="clear" w:color="auto" w:fill="auto"/>
            <w:noWrap/>
            <w:vAlign w:val="center"/>
            <w:hideMark/>
          </w:tcPr>
          <w:p w14:paraId="0ED237D4"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Prepaid salaries</w:t>
            </w:r>
          </w:p>
        </w:tc>
        <w:tc>
          <w:tcPr>
            <w:tcW w:w="1156" w:type="dxa"/>
            <w:tcBorders>
              <w:top w:val="nil"/>
              <w:left w:val="nil"/>
              <w:bottom w:val="nil"/>
              <w:right w:val="nil"/>
            </w:tcBorders>
            <w:shd w:val="clear" w:color="000000" w:fill="C9E3B4"/>
            <w:noWrap/>
            <w:vAlign w:val="center"/>
            <w:hideMark/>
          </w:tcPr>
          <w:p w14:paraId="31B489F9"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216" w:type="dxa"/>
            <w:tcBorders>
              <w:top w:val="nil"/>
              <w:left w:val="nil"/>
              <w:bottom w:val="nil"/>
              <w:right w:val="nil"/>
            </w:tcBorders>
            <w:shd w:val="clear" w:color="auto" w:fill="auto"/>
            <w:noWrap/>
            <w:vAlign w:val="center"/>
            <w:hideMark/>
          </w:tcPr>
          <w:p w14:paraId="761DD3A5"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714D5800"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2,941 </w:t>
            </w:r>
          </w:p>
        </w:tc>
      </w:tr>
      <w:tr w:rsidR="00BC5219" w:rsidRPr="008A2B8F" w14:paraId="36AC1C4B" w14:textId="77777777" w:rsidTr="00E83802">
        <w:trPr>
          <w:trHeight w:val="240"/>
        </w:trPr>
        <w:tc>
          <w:tcPr>
            <w:tcW w:w="7136" w:type="dxa"/>
            <w:tcBorders>
              <w:top w:val="nil"/>
              <w:left w:val="nil"/>
              <w:bottom w:val="nil"/>
              <w:right w:val="nil"/>
            </w:tcBorders>
            <w:shd w:val="clear" w:color="auto" w:fill="auto"/>
            <w:noWrap/>
            <w:vAlign w:val="center"/>
            <w:hideMark/>
          </w:tcPr>
          <w:p w14:paraId="125D8D36"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xml:space="preserve">Software and data agreements </w:t>
            </w:r>
          </w:p>
        </w:tc>
        <w:tc>
          <w:tcPr>
            <w:tcW w:w="1156" w:type="dxa"/>
            <w:tcBorders>
              <w:top w:val="nil"/>
              <w:left w:val="nil"/>
              <w:bottom w:val="nil"/>
              <w:right w:val="nil"/>
            </w:tcBorders>
            <w:shd w:val="clear" w:color="000000" w:fill="C9E3B4"/>
            <w:noWrap/>
            <w:vAlign w:val="center"/>
            <w:hideMark/>
          </w:tcPr>
          <w:p w14:paraId="29FF1A59"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34,231 </w:t>
            </w:r>
          </w:p>
        </w:tc>
        <w:tc>
          <w:tcPr>
            <w:tcW w:w="216" w:type="dxa"/>
            <w:tcBorders>
              <w:top w:val="nil"/>
              <w:left w:val="nil"/>
              <w:bottom w:val="nil"/>
              <w:right w:val="nil"/>
            </w:tcBorders>
            <w:shd w:val="clear" w:color="auto" w:fill="auto"/>
            <w:noWrap/>
            <w:vAlign w:val="center"/>
            <w:hideMark/>
          </w:tcPr>
          <w:p w14:paraId="3AA297FB"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0AAD5540"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24,996 </w:t>
            </w:r>
          </w:p>
        </w:tc>
      </w:tr>
      <w:tr w:rsidR="00BC5219" w:rsidRPr="008A2B8F" w14:paraId="1AFF317A" w14:textId="77777777" w:rsidTr="00E83802">
        <w:trPr>
          <w:trHeight w:val="240"/>
        </w:trPr>
        <w:tc>
          <w:tcPr>
            <w:tcW w:w="7136" w:type="dxa"/>
            <w:tcBorders>
              <w:top w:val="nil"/>
              <w:left w:val="nil"/>
              <w:bottom w:val="nil"/>
              <w:right w:val="nil"/>
            </w:tcBorders>
            <w:shd w:val="clear" w:color="auto" w:fill="auto"/>
            <w:noWrap/>
            <w:vAlign w:val="center"/>
            <w:hideMark/>
          </w:tcPr>
          <w:p w14:paraId="03C62AE3"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Other</w:t>
            </w:r>
          </w:p>
        </w:tc>
        <w:tc>
          <w:tcPr>
            <w:tcW w:w="1156" w:type="dxa"/>
            <w:tcBorders>
              <w:top w:val="nil"/>
              <w:left w:val="nil"/>
              <w:bottom w:val="nil"/>
              <w:right w:val="nil"/>
            </w:tcBorders>
            <w:shd w:val="clear" w:color="000000" w:fill="C9E3B4"/>
            <w:noWrap/>
            <w:vAlign w:val="center"/>
            <w:hideMark/>
          </w:tcPr>
          <w:p w14:paraId="6467FE6F"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2,332 </w:t>
            </w:r>
          </w:p>
        </w:tc>
        <w:tc>
          <w:tcPr>
            <w:tcW w:w="216" w:type="dxa"/>
            <w:tcBorders>
              <w:top w:val="nil"/>
              <w:left w:val="nil"/>
              <w:bottom w:val="nil"/>
              <w:right w:val="nil"/>
            </w:tcBorders>
            <w:shd w:val="clear" w:color="auto" w:fill="auto"/>
            <w:noWrap/>
            <w:vAlign w:val="center"/>
            <w:hideMark/>
          </w:tcPr>
          <w:p w14:paraId="0498DC78"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774E8989"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910 </w:t>
            </w:r>
          </w:p>
        </w:tc>
      </w:tr>
      <w:tr w:rsidR="00BC5219" w:rsidRPr="008A2B8F" w14:paraId="17E128DD" w14:textId="77777777" w:rsidTr="00E83802">
        <w:trPr>
          <w:trHeight w:val="240"/>
        </w:trPr>
        <w:tc>
          <w:tcPr>
            <w:tcW w:w="7136" w:type="dxa"/>
            <w:tcBorders>
              <w:top w:val="single" w:sz="4" w:space="0" w:color="auto"/>
              <w:left w:val="nil"/>
              <w:bottom w:val="double" w:sz="6" w:space="0" w:color="auto"/>
              <w:right w:val="nil"/>
            </w:tcBorders>
            <w:shd w:val="clear" w:color="auto" w:fill="auto"/>
            <w:noWrap/>
            <w:vAlign w:val="center"/>
            <w:hideMark/>
          </w:tcPr>
          <w:p w14:paraId="4B19CD97"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Total</w:t>
            </w:r>
          </w:p>
        </w:tc>
        <w:tc>
          <w:tcPr>
            <w:tcW w:w="1156" w:type="dxa"/>
            <w:tcBorders>
              <w:top w:val="single" w:sz="4" w:space="0" w:color="auto"/>
              <w:left w:val="nil"/>
              <w:bottom w:val="double" w:sz="6" w:space="0" w:color="auto"/>
              <w:right w:val="nil"/>
            </w:tcBorders>
            <w:shd w:val="clear" w:color="000000" w:fill="C9E3B4"/>
            <w:noWrap/>
            <w:vAlign w:val="center"/>
            <w:hideMark/>
          </w:tcPr>
          <w:p w14:paraId="37F10381"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113,085 </w:t>
            </w:r>
          </w:p>
        </w:tc>
        <w:tc>
          <w:tcPr>
            <w:tcW w:w="216" w:type="dxa"/>
            <w:tcBorders>
              <w:top w:val="single" w:sz="4" w:space="0" w:color="auto"/>
              <w:left w:val="nil"/>
              <w:bottom w:val="double" w:sz="6" w:space="0" w:color="auto"/>
              <w:right w:val="nil"/>
            </w:tcBorders>
            <w:shd w:val="clear" w:color="auto" w:fill="auto"/>
            <w:noWrap/>
            <w:vAlign w:val="center"/>
            <w:hideMark/>
          </w:tcPr>
          <w:p w14:paraId="34204A0D"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w:t>
            </w:r>
          </w:p>
        </w:tc>
        <w:tc>
          <w:tcPr>
            <w:tcW w:w="1156" w:type="dxa"/>
            <w:tcBorders>
              <w:top w:val="single" w:sz="4" w:space="0" w:color="auto"/>
              <w:left w:val="nil"/>
              <w:bottom w:val="double" w:sz="6" w:space="0" w:color="auto"/>
              <w:right w:val="nil"/>
            </w:tcBorders>
            <w:shd w:val="clear" w:color="auto" w:fill="auto"/>
            <w:noWrap/>
            <w:vAlign w:val="center"/>
            <w:hideMark/>
          </w:tcPr>
          <w:p w14:paraId="55C59490"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93,791 </w:t>
            </w:r>
          </w:p>
        </w:tc>
      </w:tr>
      <w:tr w:rsidR="00BC5219" w:rsidRPr="008A2B8F" w14:paraId="45A59EB6" w14:textId="77777777" w:rsidTr="00E83802">
        <w:trPr>
          <w:trHeight w:val="90"/>
        </w:trPr>
        <w:tc>
          <w:tcPr>
            <w:tcW w:w="7136" w:type="dxa"/>
            <w:tcBorders>
              <w:top w:val="nil"/>
              <w:left w:val="nil"/>
              <w:bottom w:val="nil"/>
              <w:right w:val="nil"/>
            </w:tcBorders>
            <w:shd w:val="clear" w:color="auto" w:fill="auto"/>
            <w:noWrap/>
            <w:vAlign w:val="center"/>
            <w:hideMark/>
          </w:tcPr>
          <w:p w14:paraId="33E963E1" w14:textId="77777777" w:rsidR="00BC5219" w:rsidRPr="008A2B8F" w:rsidRDefault="00BC5219" w:rsidP="00E83802">
            <w:pPr>
              <w:jc w:val="right"/>
              <w:rPr>
                <w:rFonts w:ascii="Meta Pro" w:eastAsia="Times New Roman" w:hAnsi="Meta Pro"/>
                <w:b/>
                <w:bCs/>
                <w:szCs w:val="18"/>
                <w:lang w:eastAsia="en-AU"/>
              </w:rPr>
            </w:pPr>
          </w:p>
        </w:tc>
        <w:tc>
          <w:tcPr>
            <w:tcW w:w="1156" w:type="dxa"/>
            <w:tcBorders>
              <w:top w:val="nil"/>
              <w:left w:val="nil"/>
              <w:bottom w:val="nil"/>
              <w:right w:val="nil"/>
            </w:tcBorders>
            <w:shd w:val="clear" w:color="auto" w:fill="auto"/>
            <w:noWrap/>
            <w:vAlign w:val="center"/>
            <w:hideMark/>
          </w:tcPr>
          <w:p w14:paraId="1BA96E0E" w14:textId="77777777" w:rsidR="00BC5219" w:rsidRPr="008A2B8F" w:rsidRDefault="00BC5219" w:rsidP="00E83802">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4DEFD538" w14:textId="77777777" w:rsidR="00BC5219" w:rsidRPr="008A2B8F"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04D39FC9"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15E4C513" w14:textId="77777777" w:rsidTr="00E83802">
        <w:trPr>
          <w:trHeight w:val="240"/>
        </w:trPr>
        <w:tc>
          <w:tcPr>
            <w:tcW w:w="7136" w:type="dxa"/>
            <w:tcBorders>
              <w:top w:val="nil"/>
              <w:left w:val="nil"/>
              <w:bottom w:val="nil"/>
              <w:right w:val="nil"/>
            </w:tcBorders>
            <w:shd w:val="clear" w:color="auto" w:fill="auto"/>
            <w:noWrap/>
            <w:vAlign w:val="center"/>
            <w:hideMark/>
          </w:tcPr>
          <w:p w14:paraId="7DC68AE6"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Non-current</w:t>
            </w:r>
          </w:p>
        </w:tc>
        <w:tc>
          <w:tcPr>
            <w:tcW w:w="1156" w:type="dxa"/>
            <w:tcBorders>
              <w:top w:val="nil"/>
              <w:left w:val="nil"/>
              <w:bottom w:val="nil"/>
              <w:right w:val="nil"/>
            </w:tcBorders>
            <w:shd w:val="clear" w:color="auto" w:fill="auto"/>
            <w:noWrap/>
            <w:vAlign w:val="center"/>
            <w:hideMark/>
          </w:tcPr>
          <w:p w14:paraId="44CB9124" w14:textId="77777777" w:rsidR="00BC5219" w:rsidRPr="008A2B8F" w:rsidRDefault="00BC5219" w:rsidP="00E83802">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508BE805" w14:textId="77777777" w:rsidR="00BC5219" w:rsidRPr="008A2B8F"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2250EEC5"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7C88ECAE" w14:textId="77777777" w:rsidTr="00E83802">
        <w:trPr>
          <w:trHeight w:val="240"/>
        </w:trPr>
        <w:tc>
          <w:tcPr>
            <w:tcW w:w="7136" w:type="dxa"/>
            <w:tcBorders>
              <w:top w:val="nil"/>
              <w:left w:val="nil"/>
              <w:bottom w:val="nil"/>
              <w:right w:val="nil"/>
            </w:tcBorders>
            <w:shd w:val="clear" w:color="auto" w:fill="auto"/>
            <w:noWrap/>
            <w:vAlign w:val="center"/>
            <w:hideMark/>
          </w:tcPr>
          <w:p w14:paraId="046924A6"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Insurance</w:t>
            </w:r>
          </w:p>
        </w:tc>
        <w:tc>
          <w:tcPr>
            <w:tcW w:w="1156" w:type="dxa"/>
            <w:tcBorders>
              <w:top w:val="nil"/>
              <w:left w:val="nil"/>
              <w:bottom w:val="nil"/>
              <w:right w:val="nil"/>
            </w:tcBorders>
            <w:shd w:val="clear" w:color="000000" w:fill="C9E3B4"/>
            <w:noWrap/>
            <w:vAlign w:val="center"/>
            <w:hideMark/>
          </w:tcPr>
          <w:p w14:paraId="50AFB75D"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6,177 </w:t>
            </w:r>
          </w:p>
        </w:tc>
        <w:tc>
          <w:tcPr>
            <w:tcW w:w="216" w:type="dxa"/>
            <w:tcBorders>
              <w:top w:val="nil"/>
              <w:left w:val="nil"/>
              <w:bottom w:val="nil"/>
              <w:right w:val="nil"/>
            </w:tcBorders>
            <w:shd w:val="clear" w:color="auto" w:fill="auto"/>
            <w:noWrap/>
            <w:vAlign w:val="center"/>
            <w:hideMark/>
          </w:tcPr>
          <w:p w14:paraId="001A5A6F"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0E0BFA2B"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4,019 </w:t>
            </w:r>
          </w:p>
        </w:tc>
      </w:tr>
      <w:tr w:rsidR="00BC5219" w:rsidRPr="008A2B8F" w14:paraId="11E32436" w14:textId="77777777" w:rsidTr="00E83802">
        <w:trPr>
          <w:trHeight w:val="240"/>
        </w:trPr>
        <w:tc>
          <w:tcPr>
            <w:tcW w:w="7136" w:type="dxa"/>
            <w:tcBorders>
              <w:top w:val="nil"/>
              <w:left w:val="nil"/>
              <w:bottom w:val="nil"/>
              <w:right w:val="nil"/>
            </w:tcBorders>
            <w:shd w:val="clear" w:color="auto" w:fill="auto"/>
            <w:noWrap/>
            <w:vAlign w:val="center"/>
            <w:hideMark/>
          </w:tcPr>
          <w:p w14:paraId="2BECCC19"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New Generation Rollingstock accessibility works *</w:t>
            </w:r>
          </w:p>
        </w:tc>
        <w:tc>
          <w:tcPr>
            <w:tcW w:w="1156" w:type="dxa"/>
            <w:tcBorders>
              <w:top w:val="nil"/>
              <w:left w:val="nil"/>
              <w:bottom w:val="nil"/>
              <w:right w:val="nil"/>
            </w:tcBorders>
            <w:shd w:val="clear" w:color="000000" w:fill="C9E3B4"/>
            <w:noWrap/>
            <w:vAlign w:val="center"/>
            <w:hideMark/>
          </w:tcPr>
          <w:p w14:paraId="365EB4EC"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67,642 </w:t>
            </w:r>
          </w:p>
        </w:tc>
        <w:tc>
          <w:tcPr>
            <w:tcW w:w="216" w:type="dxa"/>
            <w:tcBorders>
              <w:top w:val="nil"/>
              <w:left w:val="nil"/>
              <w:bottom w:val="nil"/>
              <w:right w:val="nil"/>
            </w:tcBorders>
            <w:shd w:val="clear" w:color="auto" w:fill="auto"/>
            <w:noWrap/>
            <w:vAlign w:val="center"/>
            <w:hideMark/>
          </w:tcPr>
          <w:p w14:paraId="6A4F9367"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09D6D62D"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138,994 </w:t>
            </w:r>
          </w:p>
        </w:tc>
      </w:tr>
      <w:tr w:rsidR="00BC5219" w:rsidRPr="008A2B8F" w14:paraId="024DACDA" w14:textId="77777777" w:rsidTr="00E83802">
        <w:trPr>
          <w:trHeight w:val="240"/>
        </w:trPr>
        <w:tc>
          <w:tcPr>
            <w:tcW w:w="7136" w:type="dxa"/>
            <w:tcBorders>
              <w:top w:val="nil"/>
              <w:left w:val="nil"/>
              <w:bottom w:val="nil"/>
              <w:right w:val="nil"/>
            </w:tcBorders>
            <w:shd w:val="clear" w:color="auto" w:fill="auto"/>
            <w:noWrap/>
            <w:vAlign w:val="center"/>
            <w:hideMark/>
          </w:tcPr>
          <w:p w14:paraId="51F0F75E"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Software and data agreements</w:t>
            </w:r>
          </w:p>
        </w:tc>
        <w:tc>
          <w:tcPr>
            <w:tcW w:w="1156" w:type="dxa"/>
            <w:tcBorders>
              <w:top w:val="nil"/>
              <w:left w:val="nil"/>
              <w:bottom w:val="nil"/>
              <w:right w:val="nil"/>
            </w:tcBorders>
            <w:shd w:val="clear" w:color="000000" w:fill="C9E3B4"/>
            <w:noWrap/>
            <w:vAlign w:val="center"/>
            <w:hideMark/>
          </w:tcPr>
          <w:p w14:paraId="244EC37E"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6,711 </w:t>
            </w:r>
          </w:p>
        </w:tc>
        <w:tc>
          <w:tcPr>
            <w:tcW w:w="216" w:type="dxa"/>
            <w:tcBorders>
              <w:top w:val="nil"/>
              <w:left w:val="nil"/>
              <w:bottom w:val="nil"/>
              <w:right w:val="nil"/>
            </w:tcBorders>
            <w:shd w:val="clear" w:color="auto" w:fill="auto"/>
            <w:noWrap/>
            <w:vAlign w:val="center"/>
            <w:hideMark/>
          </w:tcPr>
          <w:p w14:paraId="7CAE734A"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4B89D8C4"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1,353 </w:t>
            </w:r>
          </w:p>
        </w:tc>
      </w:tr>
      <w:tr w:rsidR="00BC5219" w:rsidRPr="008A2B8F" w14:paraId="15D949DD" w14:textId="77777777" w:rsidTr="00E83802">
        <w:trPr>
          <w:trHeight w:val="240"/>
        </w:trPr>
        <w:tc>
          <w:tcPr>
            <w:tcW w:w="7136" w:type="dxa"/>
            <w:tcBorders>
              <w:top w:val="nil"/>
              <w:left w:val="nil"/>
              <w:bottom w:val="nil"/>
              <w:right w:val="nil"/>
            </w:tcBorders>
            <w:shd w:val="clear" w:color="auto" w:fill="auto"/>
            <w:noWrap/>
            <w:vAlign w:val="center"/>
            <w:hideMark/>
          </w:tcPr>
          <w:p w14:paraId="78ECCBE8"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Other</w:t>
            </w:r>
          </w:p>
        </w:tc>
        <w:tc>
          <w:tcPr>
            <w:tcW w:w="1156" w:type="dxa"/>
            <w:tcBorders>
              <w:top w:val="nil"/>
              <w:left w:val="nil"/>
              <w:bottom w:val="nil"/>
              <w:right w:val="nil"/>
            </w:tcBorders>
            <w:shd w:val="clear" w:color="000000" w:fill="C9E3B4"/>
            <w:noWrap/>
            <w:vAlign w:val="center"/>
            <w:hideMark/>
          </w:tcPr>
          <w:p w14:paraId="2F5783A3"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20 </w:t>
            </w:r>
          </w:p>
        </w:tc>
        <w:tc>
          <w:tcPr>
            <w:tcW w:w="216" w:type="dxa"/>
            <w:tcBorders>
              <w:top w:val="nil"/>
              <w:left w:val="nil"/>
              <w:bottom w:val="nil"/>
              <w:right w:val="nil"/>
            </w:tcBorders>
            <w:shd w:val="clear" w:color="auto" w:fill="auto"/>
            <w:noWrap/>
            <w:vAlign w:val="center"/>
            <w:hideMark/>
          </w:tcPr>
          <w:p w14:paraId="4B61D476"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0320A151"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61 </w:t>
            </w:r>
          </w:p>
        </w:tc>
      </w:tr>
      <w:tr w:rsidR="00BC5219" w:rsidRPr="008A2B8F" w14:paraId="6E2B6EA5" w14:textId="77777777" w:rsidTr="00E83802">
        <w:trPr>
          <w:trHeight w:val="240"/>
        </w:trPr>
        <w:tc>
          <w:tcPr>
            <w:tcW w:w="7136" w:type="dxa"/>
            <w:tcBorders>
              <w:top w:val="single" w:sz="4" w:space="0" w:color="auto"/>
              <w:left w:val="nil"/>
              <w:bottom w:val="double" w:sz="6" w:space="0" w:color="auto"/>
              <w:right w:val="nil"/>
            </w:tcBorders>
            <w:shd w:val="clear" w:color="auto" w:fill="auto"/>
            <w:noWrap/>
            <w:vAlign w:val="center"/>
            <w:hideMark/>
          </w:tcPr>
          <w:p w14:paraId="4BF367EC"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Total</w:t>
            </w:r>
          </w:p>
        </w:tc>
        <w:tc>
          <w:tcPr>
            <w:tcW w:w="1156" w:type="dxa"/>
            <w:tcBorders>
              <w:top w:val="single" w:sz="4" w:space="0" w:color="auto"/>
              <w:left w:val="nil"/>
              <w:bottom w:val="double" w:sz="6" w:space="0" w:color="auto"/>
              <w:right w:val="nil"/>
            </w:tcBorders>
            <w:shd w:val="clear" w:color="000000" w:fill="C9E3B4"/>
            <w:noWrap/>
            <w:vAlign w:val="center"/>
            <w:hideMark/>
          </w:tcPr>
          <w:p w14:paraId="53E6A1E6"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80,550 </w:t>
            </w:r>
          </w:p>
        </w:tc>
        <w:tc>
          <w:tcPr>
            <w:tcW w:w="216" w:type="dxa"/>
            <w:tcBorders>
              <w:top w:val="single" w:sz="4" w:space="0" w:color="auto"/>
              <w:left w:val="nil"/>
              <w:bottom w:val="double" w:sz="6" w:space="0" w:color="auto"/>
              <w:right w:val="nil"/>
            </w:tcBorders>
            <w:shd w:val="clear" w:color="auto" w:fill="auto"/>
            <w:noWrap/>
            <w:vAlign w:val="center"/>
            <w:hideMark/>
          </w:tcPr>
          <w:p w14:paraId="51DDD43D"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w:t>
            </w:r>
          </w:p>
        </w:tc>
        <w:tc>
          <w:tcPr>
            <w:tcW w:w="1156" w:type="dxa"/>
            <w:tcBorders>
              <w:top w:val="single" w:sz="4" w:space="0" w:color="auto"/>
              <w:left w:val="nil"/>
              <w:bottom w:val="double" w:sz="6" w:space="0" w:color="auto"/>
              <w:right w:val="nil"/>
            </w:tcBorders>
            <w:shd w:val="clear" w:color="auto" w:fill="auto"/>
            <w:noWrap/>
            <w:vAlign w:val="center"/>
            <w:hideMark/>
          </w:tcPr>
          <w:p w14:paraId="46240047"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144,427 </w:t>
            </w:r>
          </w:p>
        </w:tc>
      </w:tr>
    </w:tbl>
    <w:p w14:paraId="13409B64" w14:textId="77777777" w:rsidR="00BC5219" w:rsidRPr="008A2B8F" w:rsidRDefault="00BC5219" w:rsidP="00BC5219">
      <w:pPr>
        <w:spacing w:before="120"/>
        <w:rPr>
          <w:rFonts w:ascii="Meta Pro" w:eastAsia="Times New Roman" w:hAnsi="Meta Pro"/>
          <w:sz w:val="16"/>
          <w:szCs w:val="16"/>
          <w:lang w:eastAsia="en-AU"/>
        </w:rPr>
      </w:pPr>
      <w:r w:rsidRPr="008A2B8F">
        <w:rPr>
          <w:rFonts w:ascii="Meta Pro" w:eastAsia="Times New Roman" w:hAnsi="Meta Pro"/>
          <w:sz w:val="16"/>
          <w:szCs w:val="16"/>
          <w:lang w:eastAsia="en-AU"/>
        </w:rPr>
        <w:t>* Milestone payments on rectification works for New Generation Rollingstock train sets made in accordance with the variation deed entered</w:t>
      </w:r>
    </w:p>
    <w:p w14:paraId="30961116" w14:textId="77777777" w:rsidR="00BC5219" w:rsidRPr="008A2B8F" w:rsidRDefault="00BC5219" w:rsidP="00BC5219">
      <w:pPr>
        <w:spacing w:line="259" w:lineRule="auto"/>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into with the vendor. Residual payments have been recognised as a provision. Refer to Note 20.</w:t>
      </w:r>
    </w:p>
    <w:p w14:paraId="081A56F5" w14:textId="77777777" w:rsidR="00BC5219" w:rsidRPr="008A2B8F" w:rsidRDefault="00BC5219" w:rsidP="00BC5219">
      <w:pPr>
        <w:rPr>
          <w:rFonts w:ascii="Meta Pro" w:hAnsi="Meta Pro" w:cstheme="minorBidi"/>
        </w:rPr>
      </w:pPr>
    </w:p>
    <w:p w14:paraId="75869FEF" w14:textId="77777777" w:rsidR="00BC5219" w:rsidRPr="008A2B8F" w:rsidRDefault="00BC5219" w:rsidP="00BC5219">
      <w:pPr>
        <w:rPr>
          <w:rFonts w:ascii="Meta Pro" w:hAnsi="Meta Pro"/>
        </w:rPr>
      </w:pPr>
    </w:p>
    <w:p w14:paraId="48B29719" w14:textId="77777777" w:rsidR="00BC5219" w:rsidRPr="008A2B8F" w:rsidRDefault="00BC5219" w:rsidP="00BC5219">
      <w:pPr>
        <w:rPr>
          <w:rFonts w:ascii="Meta Pro" w:hAnsi="Meta Pro" w:cstheme="minorBidi"/>
        </w:rPr>
      </w:pPr>
    </w:p>
    <w:p w14:paraId="065B7CEB" w14:textId="77777777" w:rsidR="00BC5219" w:rsidRPr="008A2B8F" w:rsidRDefault="00BC5219" w:rsidP="00BC5219">
      <w:pPr>
        <w:rPr>
          <w:rFonts w:ascii="Meta Pro" w:hAnsi="Meta Pro"/>
        </w:rPr>
      </w:pPr>
    </w:p>
    <w:p w14:paraId="7ED3E6E2" w14:textId="77777777" w:rsidR="00BC5219" w:rsidRPr="008A2B8F" w:rsidRDefault="00BC5219" w:rsidP="00BC5219">
      <w:pPr>
        <w:rPr>
          <w:rFonts w:ascii="Meta Pro" w:eastAsia="Times New Roman" w:hAnsi="Meta Pro"/>
          <w:i/>
          <w:iCs/>
          <w:color w:val="000000" w:themeColor="text1"/>
          <w:lang w:eastAsia="en-AU"/>
        </w:rPr>
      </w:pPr>
      <w:r w:rsidRPr="008A2B8F">
        <w:rPr>
          <w:rFonts w:ascii="Meta Pro" w:eastAsia="Times New Roman" w:hAnsi="Meta Pro"/>
          <w:i/>
          <w:iCs/>
          <w:color w:val="000000" w:themeColor="text1"/>
          <w:lang w:eastAsia="en-AU"/>
        </w:rPr>
        <w:t>Department of Transport and Main Roads</w:t>
      </w:r>
    </w:p>
    <w:p w14:paraId="224D700D"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Notes to the financial statements 2022–23 (continued)</w:t>
      </w:r>
    </w:p>
    <w:p w14:paraId="0FD0779F" w14:textId="77777777" w:rsidR="00BC5219" w:rsidRPr="00FB058E" w:rsidRDefault="00BC5219" w:rsidP="00BC5219">
      <w:pPr>
        <w:rPr>
          <w:rFonts w:ascii="Meta Pro" w:hAnsi="Meta Pro" w:cstheme="minorBidi"/>
        </w:rPr>
      </w:pPr>
    </w:p>
    <w:tbl>
      <w:tblPr>
        <w:tblW w:w="0" w:type="auto"/>
        <w:tblCellMar>
          <w:left w:w="0" w:type="dxa"/>
        </w:tblCellMar>
        <w:tblLook w:val="04A0" w:firstRow="1" w:lastRow="0" w:firstColumn="1" w:lastColumn="0" w:noHBand="0" w:noVBand="1"/>
      </w:tblPr>
      <w:tblGrid>
        <w:gridCol w:w="3762"/>
        <w:gridCol w:w="1126"/>
        <w:gridCol w:w="203"/>
        <w:gridCol w:w="1126"/>
        <w:gridCol w:w="203"/>
        <w:gridCol w:w="1126"/>
        <w:gridCol w:w="203"/>
        <w:gridCol w:w="1126"/>
        <w:gridCol w:w="203"/>
        <w:gridCol w:w="1126"/>
      </w:tblGrid>
      <w:tr w:rsidR="00BC5219" w:rsidRPr="00FB058E" w14:paraId="5CEA3348" w14:textId="77777777" w:rsidTr="00E83802">
        <w:trPr>
          <w:trHeight w:val="270"/>
        </w:trPr>
        <w:tc>
          <w:tcPr>
            <w:tcW w:w="3810" w:type="dxa"/>
            <w:tcBorders>
              <w:top w:val="nil"/>
              <w:left w:val="nil"/>
              <w:bottom w:val="nil"/>
              <w:right w:val="nil"/>
            </w:tcBorders>
            <w:shd w:val="clear" w:color="auto" w:fill="auto"/>
            <w:noWrap/>
            <w:vAlign w:val="center"/>
            <w:hideMark/>
          </w:tcPr>
          <w:p w14:paraId="4B89BA85" w14:textId="77777777" w:rsidR="00BC5219" w:rsidRPr="00FB058E" w:rsidRDefault="00BC5219" w:rsidP="00E83802">
            <w:pPr>
              <w:rPr>
                <w:rFonts w:ascii="Meta Pro" w:eastAsia="Times New Roman" w:hAnsi="Meta Pro"/>
                <w:b/>
                <w:bCs/>
                <w:lang w:eastAsia="en-AU"/>
              </w:rPr>
            </w:pPr>
            <w:r w:rsidRPr="00FB058E">
              <w:rPr>
                <w:rFonts w:ascii="Meta Pro" w:eastAsia="Times New Roman" w:hAnsi="Meta Pro"/>
                <w:b/>
                <w:bCs/>
                <w:lang w:eastAsia="en-AU"/>
              </w:rPr>
              <w:t>14     INTANGIBLE ASSETS</w:t>
            </w:r>
          </w:p>
        </w:tc>
        <w:tc>
          <w:tcPr>
            <w:tcW w:w="1134" w:type="dxa"/>
            <w:tcBorders>
              <w:top w:val="nil"/>
              <w:left w:val="nil"/>
              <w:bottom w:val="nil"/>
              <w:right w:val="nil"/>
            </w:tcBorders>
            <w:shd w:val="clear" w:color="auto" w:fill="auto"/>
            <w:noWrap/>
            <w:vAlign w:val="center"/>
            <w:hideMark/>
          </w:tcPr>
          <w:p w14:paraId="7DC55D26" w14:textId="77777777" w:rsidR="00BC5219" w:rsidRPr="00FB058E" w:rsidRDefault="00BC5219" w:rsidP="00E83802">
            <w:pPr>
              <w:rPr>
                <w:rFonts w:ascii="Meta Pro" w:eastAsia="Times New Roman" w:hAnsi="Meta Pro"/>
                <w:b/>
                <w:bCs/>
                <w:sz w:val="24"/>
                <w:szCs w:val="24"/>
                <w:lang w:eastAsia="en-AU"/>
              </w:rPr>
            </w:pPr>
          </w:p>
        </w:tc>
        <w:tc>
          <w:tcPr>
            <w:tcW w:w="196" w:type="dxa"/>
            <w:tcBorders>
              <w:top w:val="nil"/>
              <w:left w:val="nil"/>
              <w:bottom w:val="nil"/>
              <w:right w:val="nil"/>
            </w:tcBorders>
            <w:shd w:val="clear" w:color="auto" w:fill="auto"/>
            <w:noWrap/>
            <w:vAlign w:val="center"/>
            <w:hideMark/>
          </w:tcPr>
          <w:p w14:paraId="17937D08" w14:textId="77777777" w:rsidR="00BC5219" w:rsidRPr="00FB058E" w:rsidRDefault="00BC5219" w:rsidP="00E83802">
            <w:pPr>
              <w:jc w:val="right"/>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10306A0F" w14:textId="77777777" w:rsidR="00BC5219" w:rsidRPr="00FB058E" w:rsidRDefault="00BC5219" w:rsidP="00E83802">
            <w:pPr>
              <w:rPr>
                <w:rFonts w:ascii="Meta Pro" w:eastAsia="Times New Roman" w:hAnsi="Meta Pro"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2C61863C" w14:textId="77777777" w:rsidR="00BC5219" w:rsidRPr="00FB058E" w:rsidRDefault="00BC5219" w:rsidP="00E83802">
            <w:pPr>
              <w:jc w:val="right"/>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34677BE5" w14:textId="77777777" w:rsidR="00BC5219" w:rsidRPr="00FB058E" w:rsidRDefault="00BC5219" w:rsidP="00E83802">
            <w:pPr>
              <w:rPr>
                <w:rFonts w:ascii="Meta Pro" w:eastAsia="Times New Roman" w:hAnsi="Meta Pro"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0108E0B4" w14:textId="77777777" w:rsidR="00BC5219" w:rsidRPr="00FB058E" w:rsidRDefault="00BC5219" w:rsidP="00E83802">
            <w:pPr>
              <w:jc w:val="right"/>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4CA10B11" w14:textId="77777777" w:rsidR="00BC5219" w:rsidRPr="00FB058E" w:rsidRDefault="00BC5219" w:rsidP="00E83802">
            <w:pPr>
              <w:rPr>
                <w:rFonts w:ascii="Meta Pro" w:eastAsia="Times New Roman" w:hAnsi="Meta Pro"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5932756D" w14:textId="77777777" w:rsidR="00BC5219" w:rsidRPr="00FB058E" w:rsidRDefault="00BC5219" w:rsidP="00E83802">
            <w:pPr>
              <w:jc w:val="right"/>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7FCFAB43" w14:textId="77777777" w:rsidR="00BC5219" w:rsidRPr="00FB058E" w:rsidRDefault="00BC5219" w:rsidP="00E83802">
            <w:pPr>
              <w:rPr>
                <w:rFonts w:ascii="Meta Pro" w:eastAsia="Times New Roman" w:hAnsi="Meta Pro" w:cs="Times New Roman"/>
                <w:sz w:val="20"/>
                <w:szCs w:val="20"/>
                <w:lang w:eastAsia="en-AU"/>
              </w:rPr>
            </w:pPr>
          </w:p>
        </w:tc>
      </w:tr>
      <w:tr w:rsidR="00BC5219" w:rsidRPr="00FB058E" w14:paraId="36561A00" w14:textId="77777777" w:rsidTr="00E83802">
        <w:trPr>
          <w:trHeight w:val="240"/>
        </w:trPr>
        <w:tc>
          <w:tcPr>
            <w:tcW w:w="3810" w:type="dxa"/>
            <w:tcBorders>
              <w:top w:val="nil"/>
              <w:left w:val="nil"/>
              <w:bottom w:val="nil"/>
              <w:right w:val="nil"/>
            </w:tcBorders>
            <w:shd w:val="clear" w:color="auto" w:fill="auto"/>
            <w:noWrap/>
            <w:vAlign w:val="center"/>
            <w:hideMark/>
          </w:tcPr>
          <w:p w14:paraId="1FBE3A6F" w14:textId="77777777" w:rsidR="00BC5219" w:rsidRPr="00FB058E" w:rsidRDefault="00BC5219" w:rsidP="00E83802">
            <w:pPr>
              <w:jc w:val="right"/>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hideMark/>
          </w:tcPr>
          <w:p w14:paraId="5FD46FAA" w14:textId="77777777" w:rsidR="00BC5219" w:rsidRPr="00FB058E" w:rsidRDefault="00BC5219" w:rsidP="00E83802">
            <w:pPr>
              <w:jc w:val="center"/>
              <w:rPr>
                <w:rFonts w:ascii="Meta Pro" w:eastAsia="Times New Roman" w:hAnsi="Meta Pro"/>
                <w:b/>
                <w:bCs/>
                <w:szCs w:val="18"/>
                <w:lang w:eastAsia="en-AU"/>
              </w:rPr>
            </w:pPr>
            <w:r w:rsidRPr="00FB058E">
              <w:rPr>
                <w:rFonts w:ascii="Meta Pro" w:eastAsia="Times New Roman" w:hAnsi="Meta Pro"/>
                <w:b/>
                <w:bCs/>
                <w:szCs w:val="18"/>
                <w:lang w:eastAsia="en-AU"/>
              </w:rPr>
              <w:t>Software</w:t>
            </w:r>
          </w:p>
        </w:tc>
        <w:tc>
          <w:tcPr>
            <w:tcW w:w="196" w:type="dxa"/>
            <w:tcBorders>
              <w:top w:val="nil"/>
              <w:left w:val="nil"/>
              <w:bottom w:val="nil"/>
              <w:right w:val="nil"/>
            </w:tcBorders>
            <w:shd w:val="clear" w:color="auto" w:fill="auto"/>
            <w:noWrap/>
            <w:vAlign w:val="center"/>
            <w:hideMark/>
          </w:tcPr>
          <w:p w14:paraId="73CCC790" w14:textId="77777777" w:rsidR="00BC5219" w:rsidRPr="00FB058E" w:rsidRDefault="00BC5219" w:rsidP="00E83802">
            <w:pPr>
              <w:jc w:val="center"/>
              <w:rPr>
                <w:rFonts w:ascii="Meta Pro" w:eastAsia="Times New Roman" w:hAnsi="Meta Pro"/>
                <w:b/>
                <w:bCs/>
                <w:szCs w:val="18"/>
                <w:lang w:eastAsia="en-AU"/>
              </w:rPr>
            </w:pPr>
          </w:p>
        </w:tc>
        <w:tc>
          <w:tcPr>
            <w:tcW w:w="1134" w:type="dxa"/>
            <w:tcBorders>
              <w:top w:val="nil"/>
              <w:left w:val="nil"/>
              <w:bottom w:val="nil"/>
              <w:right w:val="nil"/>
            </w:tcBorders>
            <w:shd w:val="clear" w:color="auto" w:fill="auto"/>
            <w:hideMark/>
          </w:tcPr>
          <w:p w14:paraId="1210D45B" w14:textId="77777777" w:rsidR="00BC5219" w:rsidRPr="00FB058E" w:rsidRDefault="00BC5219" w:rsidP="00E83802">
            <w:pPr>
              <w:jc w:val="center"/>
              <w:rPr>
                <w:rFonts w:ascii="Meta Pro" w:eastAsia="Times New Roman" w:hAnsi="Meta Pro"/>
                <w:b/>
                <w:bCs/>
                <w:szCs w:val="18"/>
                <w:lang w:eastAsia="en-AU"/>
              </w:rPr>
            </w:pPr>
            <w:r w:rsidRPr="00FB058E">
              <w:rPr>
                <w:rFonts w:ascii="Meta Pro" w:eastAsia="Times New Roman" w:hAnsi="Meta Pro"/>
                <w:b/>
                <w:bCs/>
                <w:szCs w:val="18"/>
                <w:lang w:eastAsia="en-AU"/>
              </w:rPr>
              <w:t>Software</w:t>
            </w:r>
          </w:p>
        </w:tc>
        <w:tc>
          <w:tcPr>
            <w:tcW w:w="196" w:type="dxa"/>
            <w:tcBorders>
              <w:top w:val="nil"/>
              <w:left w:val="nil"/>
              <w:bottom w:val="nil"/>
              <w:right w:val="nil"/>
            </w:tcBorders>
            <w:shd w:val="clear" w:color="auto" w:fill="auto"/>
            <w:noWrap/>
            <w:vAlign w:val="center"/>
            <w:hideMark/>
          </w:tcPr>
          <w:p w14:paraId="2AAF500C" w14:textId="77777777" w:rsidR="00BC5219" w:rsidRPr="00FB058E" w:rsidRDefault="00BC5219" w:rsidP="00E83802">
            <w:pPr>
              <w:jc w:val="center"/>
              <w:rPr>
                <w:rFonts w:ascii="Meta Pro" w:eastAsia="Times New Roman" w:hAnsi="Meta Pro"/>
                <w:b/>
                <w:bCs/>
                <w:szCs w:val="18"/>
                <w:lang w:eastAsia="en-AU"/>
              </w:rPr>
            </w:pPr>
          </w:p>
        </w:tc>
        <w:tc>
          <w:tcPr>
            <w:tcW w:w="1134" w:type="dxa"/>
            <w:tcBorders>
              <w:top w:val="nil"/>
              <w:left w:val="nil"/>
              <w:bottom w:val="nil"/>
              <w:right w:val="nil"/>
            </w:tcBorders>
            <w:shd w:val="clear" w:color="auto" w:fill="auto"/>
            <w:hideMark/>
          </w:tcPr>
          <w:p w14:paraId="229E9D8D" w14:textId="77777777" w:rsidR="00BC5219" w:rsidRPr="00FB058E" w:rsidRDefault="00BC5219" w:rsidP="00E83802">
            <w:pPr>
              <w:jc w:val="center"/>
              <w:rPr>
                <w:rFonts w:ascii="Meta Pro" w:eastAsia="Times New Roman" w:hAnsi="Meta Pro"/>
                <w:b/>
                <w:bCs/>
                <w:szCs w:val="18"/>
                <w:lang w:eastAsia="en-AU"/>
              </w:rPr>
            </w:pPr>
            <w:r w:rsidRPr="00FB058E">
              <w:rPr>
                <w:rFonts w:ascii="Meta Pro" w:eastAsia="Times New Roman" w:hAnsi="Meta Pro"/>
                <w:b/>
                <w:bCs/>
                <w:szCs w:val="18"/>
                <w:lang w:eastAsia="en-AU"/>
              </w:rPr>
              <w:t xml:space="preserve">Software </w:t>
            </w:r>
          </w:p>
        </w:tc>
        <w:tc>
          <w:tcPr>
            <w:tcW w:w="196" w:type="dxa"/>
            <w:tcBorders>
              <w:top w:val="nil"/>
              <w:left w:val="nil"/>
              <w:bottom w:val="nil"/>
              <w:right w:val="nil"/>
            </w:tcBorders>
            <w:shd w:val="clear" w:color="auto" w:fill="auto"/>
            <w:noWrap/>
            <w:hideMark/>
          </w:tcPr>
          <w:p w14:paraId="3A0EDEC0" w14:textId="77777777" w:rsidR="00BC5219" w:rsidRPr="00FB058E" w:rsidRDefault="00BC5219" w:rsidP="00E83802">
            <w:pPr>
              <w:jc w:val="center"/>
              <w:rPr>
                <w:rFonts w:ascii="Meta Pro" w:eastAsia="Times New Roman" w:hAnsi="Meta Pro"/>
                <w:b/>
                <w:bCs/>
                <w:szCs w:val="18"/>
                <w:lang w:eastAsia="en-AU"/>
              </w:rPr>
            </w:pPr>
          </w:p>
        </w:tc>
        <w:tc>
          <w:tcPr>
            <w:tcW w:w="1134" w:type="dxa"/>
            <w:tcBorders>
              <w:top w:val="nil"/>
              <w:left w:val="nil"/>
              <w:bottom w:val="nil"/>
              <w:right w:val="nil"/>
            </w:tcBorders>
            <w:shd w:val="clear" w:color="auto" w:fill="auto"/>
            <w:hideMark/>
          </w:tcPr>
          <w:p w14:paraId="67842BE3" w14:textId="77777777" w:rsidR="00BC5219" w:rsidRPr="00FB058E" w:rsidRDefault="00BC5219" w:rsidP="00E83802">
            <w:pPr>
              <w:jc w:val="center"/>
              <w:rPr>
                <w:rFonts w:ascii="Meta Pro" w:eastAsia="Times New Roman" w:hAnsi="Meta Pro"/>
                <w:b/>
                <w:bCs/>
                <w:szCs w:val="18"/>
                <w:lang w:eastAsia="en-AU"/>
              </w:rPr>
            </w:pPr>
            <w:r w:rsidRPr="00FB058E">
              <w:rPr>
                <w:rFonts w:ascii="Meta Pro" w:eastAsia="Times New Roman" w:hAnsi="Meta Pro"/>
                <w:b/>
                <w:bCs/>
                <w:szCs w:val="18"/>
                <w:lang w:eastAsia="en-AU"/>
              </w:rPr>
              <w:t>Other</w:t>
            </w:r>
          </w:p>
        </w:tc>
        <w:tc>
          <w:tcPr>
            <w:tcW w:w="196" w:type="dxa"/>
            <w:tcBorders>
              <w:top w:val="nil"/>
              <w:left w:val="nil"/>
              <w:bottom w:val="nil"/>
              <w:right w:val="nil"/>
            </w:tcBorders>
            <w:shd w:val="clear" w:color="auto" w:fill="auto"/>
            <w:noWrap/>
            <w:hideMark/>
          </w:tcPr>
          <w:p w14:paraId="54948FE3" w14:textId="77777777" w:rsidR="00BC5219" w:rsidRPr="00FB058E" w:rsidRDefault="00BC5219" w:rsidP="00E83802">
            <w:pPr>
              <w:jc w:val="center"/>
              <w:rPr>
                <w:rFonts w:ascii="Meta Pro" w:eastAsia="Times New Roman" w:hAnsi="Meta Pro"/>
                <w:b/>
                <w:bCs/>
                <w:szCs w:val="18"/>
                <w:lang w:eastAsia="en-AU"/>
              </w:rPr>
            </w:pPr>
          </w:p>
        </w:tc>
        <w:tc>
          <w:tcPr>
            <w:tcW w:w="1134" w:type="dxa"/>
            <w:tcBorders>
              <w:top w:val="nil"/>
              <w:left w:val="nil"/>
              <w:bottom w:val="nil"/>
              <w:right w:val="nil"/>
            </w:tcBorders>
            <w:shd w:val="clear" w:color="auto" w:fill="auto"/>
            <w:hideMark/>
          </w:tcPr>
          <w:p w14:paraId="6260CAEF" w14:textId="77777777" w:rsidR="00BC5219" w:rsidRPr="00FB058E" w:rsidRDefault="00BC5219" w:rsidP="00E83802">
            <w:pPr>
              <w:jc w:val="center"/>
              <w:rPr>
                <w:rFonts w:ascii="Meta Pro" w:eastAsia="Times New Roman" w:hAnsi="Meta Pro"/>
                <w:b/>
                <w:bCs/>
                <w:szCs w:val="18"/>
                <w:lang w:eastAsia="en-AU"/>
              </w:rPr>
            </w:pPr>
            <w:r w:rsidRPr="00FB058E">
              <w:rPr>
                <w:rFonts w:ascii="Meta Pro" w:eastAsia="Times New Roman" w:hAnsi="Meta Pro"/>
                <w:b/>
                <w:bCs/>
                <w:szCs w:val="18"/>
                <w:lang w:eastAsia="en-AU"/>
              </w:rPr>
              <w:t>Total</w:t>
            </w:r>
          </w:p>
        </w:tc>
      </w:tr>
      <w:tr w:rsidR="00BC5219" w:rsidRPr="00FB058E" w14:paraId="1513E19D" w14:textId="77777777" w:rsidTr="00E83802">
        <w:trPr>
          <w:trHeight w:val="240"/>
        </w:trPr>
        <w:tc>
          <w:tcPr>
            <w:tcW w:w="3810" w:type="dxa"/>
            <w:tcBorders>
              <w:top w:val="nil"/>
              <w:left w:val="nil"/>
              <w:bottom w:val="nil"/>
              <w:right w:val="nil"/>
            </w:tcBorders>
            <w:shd w:val="clear" w:color="auto" w:fill="auto"/>
            <w:noWrap/>
            <w:vAlign w:val="center"/>
            <w:hideMark/>
          </w:tcPr>
          <w:p w14:paraId="20305069" w14:textId="77777777" w:rsidR="00BC5219" w:rsidRPr="00FB058E" w:rsidRDefault="00BC5219" w:rsidP="00E83802">
            <w:pPr>
              <w:jc w:val="center"/>
              <w:rPr>
                <w:rFonts w:ascii="Meta Pro" w:eastAsia="Times New Roman" w:hAnsi="Meta Pro"/>
                <w:b/>
                <w:bCs/>
                <w:szCs w:val="18"/>
                <w:lang w:eastAsia="en-AU"/>
              </w:rPr>
            </w:pPr>
          </w:p>
        </w:tc>
        <w:tc>
          <w:tcPr>
            <w:tcW w:w="1134" w:type="dxa"/>
            <w:tcBorders>
              <w:top w:val="nil"/>
              <w:left w:val="nil"/>
              <w:bottom w:val="nil"/>
              <w:right w:val="nil"/>
            </w:tcBorders>
            <w:shd w:val="clear" w:color="auto" w:fill="auto"/>
            <w:hideMark/>
          </w:tcPr>
          <w:p w14:paraId="7889A0E3" w14:textId="77777777" w:rsidR="00BC5219" w:rsidRPr="00FB058E" w:rsidRDefault="00BC5219" w:rsidP="00E83802">
            <w:pPr>
              <w:jc w:val="center"/>
              <w:rPr>
                <w:rFonts w:ascii="Meta Pro" w:eastAsia="Times New Roman" w:hAnsi="Meta Pro"/>
                <w:b/>
                <w:bCs/>
                <w:szCs w:val="18"/>
                <w:lang w:eastAsia="en-AU"/>
              </w:rPr>
            </w:pPr>
            <w:r w:rsidRPr="00FB058E">
              <w:rPr>
                <w:rFonts w:ascii="Meta Pro" w:eastAsia="Times New Roman" w:hAnsi="Meta Pro"/>
                <w:b/>
                <w:bCs/>
                <w:szCs w:val="18"/>
                <w:lang w:eastAsia="en-AU"/>
              </w:rPr>
              <w:t>purchased</w:t>
            </w:r>
          </w:p>
        </w:tc>
        <w:tc>
          <w:tcPr>
            <w:tcW w:w="196" w:type="dxa"/>
            <w:tcBorders>
              <w:top w:val="nil"/>
              <w:left w:val="nil"/>
              <w:bottom w:val="nil"/>
              <w:right w:val="nil"/>
            </w:tcBorders>
            <w:shd w:val="clear" w:color="auto" w:fill="auto"/>
            <w:hideMark/>
          </w:tcPr>
          <w:p w14:paraId="52EE0F03" w14:textId="77777777" w:rsidR="00BC5219" w:rsidRPr="00FB058E" w:rsidRDefault="00BC5219" w:rsidP="00E83802">
            <w:pPr>
              <w:jc w:val="center"/>
              <w:rPr>
                <w:rFonts w:ascii="Meta Pro" w:eastAsia="Times New Roman" w:hAnsi="Meta Pro"/>
                <w:b/>
                <w:bCs/>
                <w:szCs w:val="18"/>
                <w:lang w:eastAsia="en-AU"/>
              </w:rPr>
            </w:pPr>
          </w:p>
        </w:tc>
        <w:tc>
          <w:tcPr>
            <w:tcW w:w="1134" w:type="dxa"/>
            <w:tcBorders>
              <w:top w:val="nil"/>
              <w:left w:val="nil"/>
              <w:bottom w:val="nil"/>
              <w:right w:val="nil"/>
            </w:tcBorders>
            <w:shd w:val="clear" w:color="auto" w:fill="auto"/>
            <w:hideMark/>
          </w:tcPr>
          <w:p w14:paraId="11C2CB52" w14:textId="77777777" w:rsidR="00BC5219" w:rsidRPr="00FB058E" w:rsidRDefault="00BC5219" w:rsidP="00E83802">
            <w:pPr>
              <w:jc w:val="center"/>
              <w:rPr>
                <w:rFonts w:ascii="Meta Pro" w:eastAsia="Times New Roman" w:hAnsi="Meta Pro"/>
                <w:b/>
                <w:bCs/>
                <w:szCs w:val="18"/>
                <w:lang w:eastAsia="en-AU"/>
              </w:rPr>
            </w:pPr>
            <w:r w:rsidRPr="00FB058E">
              <w:rPr>
                <w:rFonts w:ascii="Meta Pro" w:eastAsia="Times New Roman" w:hAnsi="Meta Pro"/>
                <w:b/>
                <w:bCs/>
                <w:szCs w:val="18"/>
                <w:lang w:eastAsia="en-AU"/>
              </w:rPr>
              <w:t>internally</w:t>
            </w:r>
          </w:p>
        </w:tc>
        <w:tc>
          <w:tcPr>
            <w:tcW w:w="196" w:type="dxa"/>
            <w:tcBorders>
              <w:top w:val="nil"/>
              <w:left w:val="nil"/>
              <w:bottom w:val="nil"/>
              <w:right w:val="nil"/>
            </w:tcBorders>
            <w:shd w:val="clear" w:color="auto" w:fill="auto"/>
            <w:hideMark/>
          </w:tcPr>
          <w:p w14:paraId="78FECB79" w14:textId="77777777" w:rsidR="00BC5219" w:rsidRPr="00FB058E" w:rsidRDefault="00BC5219" w:rsidP="00E83802">
            <w:pPr>
              <w:jc w:val="center"/>
              <w:rPr>
                <w:rFonts w:ascii="Meta Pro" w:eastAsia="Times New Roman" w:hAnsi="Meta Pro"/>
                <w:b/>
                <w:bCs/>
                <w:szCs w:val="18"/>
                <w:lang w:eastAsia="en-AU"/>
              </w:rPr>
            </w:pPr>
          </w:p>
        </w:tc>
        <w:tc>
          <w:tcPr>
            <w:tcW w:w="1134" w:type="dxa"/>
            <w:tcBorders>
              <w:top w:val="nil"/>
              <w:left w:val="nil"/>
              <w:bottom w:val="nil"/>
              <w:right w:val="nil"/>
            </w:tcBorders>
            <w:shd w:val="clear" w:color="auto" w:fill="auto"/>
            <w:hideMark/>
          </w:tcPr>
          <w:p w14:paraId="61D0D41F" w14:textId="77777777" w:rsidR="00BC5219" w:rsidRPr="00FB058E" w:rsidRDefault="00BC5219" w:rsidP="00E83802">
            <w:pPr>
              <w:jc w:val="center"/>
              <w:rPr>
                <w:rFonts w:ascii="Meta Pro" w:eastAsia="Times New Roman" w:hAnsi="Meta Pro"/>
                <w:b/>
                <w:bCs/>
                <w:szCs w:val="18"/>
                <w:lang w:eastAsia="en-AU"/>
              </w:rPr>
            </w:pPr>
            <w:r w:rsidRPr="00FB058E">
              <w:rPr>
                <w:rFonts w:ascii="Meta Pro" w:eastAsia="Times New Roman" w:hAnsi="Meta Pro"/>
                <w:b/>
                <w:bCs/>
                <w:szCs w:val="18"/>
                <w:lang w:eastAsia="en-AU"/>
              </w:rPr>
              <w:t xml:space="preserve">work in </w:t>
            </w:r>
          </w:p>
        </w:tc>
        <w:tc>
          <w:tcPr>
            <w:tcW w:w="196" w:type="dxa"/>
            <w:tcBorders>
              <w:top w:val="nil"/>
              <w:left w:val="nil"/>
              <w:bottom w:val="nil"/>
              <w:right w:val="nil"/>
            </w:tcBorders>
            <w:shd w:val="clear" w:color="auto" w:fill="auto"/>
            <w:hideMark/>
          </w:tcPr>
          <w:p w14:paraId="23668A25" w14:textId="77777777" w:rsidR="00BC5219" w:rsidRPr="00FB058E" w:rsidRDefault="00BC5219" w:rsidP="00E83802">
            <w:pPr>
              <w:jc w:val="center"/>
              <w:rPr>
                <w:rFonts w:ascii="Meta Pro" w:eastAsia="Times New Roman" w:hAnsi="Meta Pro"/>
                <w:b/>
                <w:bCs/>
                <w:szCs w:val="18"/>
                <w:lang w:eastAsia="en-AU"/>
              </w:rPr>
            </w:pPr>
          </w:p>
        </w:tc>
        <w:tc>
          <w:tcPr>
            <w:tcW w:w="1134" w:type="dxa"/>
            <w:tcBorders>
              <w:top w:val="nil"/>
              <w:left w:val="nil"/>
              <w:bottom w:val="nil"/>
              <w:right w:val="nil"/>
            </w:tcBorders>
            <w:shd w:val="clear" w:color="auto" w:fill="auto"/>
            <w:hideMark/>
          </w:tcPr>
          <w:p w14:paraId="2FCE81F6" w14:textId="77777777" w:rsidR="00BC5219" w:rsidRPr="00FB058E" w:rsidRDefault="00BC5219" w:rsidP="00E83802">
            <w:pPr>
              <w:jc w:val="center"/>
              <w:rPr>
                <w:rFonts w:ascii="Meta Pro" w:eastAsia="Times New Roman" w:hAnsi="Meta Pro" w:cs="Times New Roman"/>
                <w:sz w:val="20"/>
                <w:szCs w:val="20"/>
                <w:lang w:eastAsia="en-AU"/>
              </w:rPr>
            </w:pPr>
          </w:p>
        </w:tc>
        <w:tc>
          <w:tcPr>
            <w:tcW w:w="196" w:type="dxa"/>
            <w:tcBorders>
              <w:top w:val="nil"/>
              <w:left w:val="nil"/>
              <w:bottom w:val="nil"/>
              <w:right w:val="nil"/>
            </w:tcBorders>
            <w:shd w:val="clear" w:color="auto" w:fill="auto"/>
            <w:hideMark/>
          </w:tcPr>
          <w:p w14:paraId="205C9003" w14:textId="77777777" w:rsidR="00BC5219" w:rsidRPr="00FB058E" w:rsidRDefault="00BC5219" w:rsidP="00E83802">
            <w:pPr>
              <w:jc w:val="center"/>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hideMark/>
          </w:tcPr>
          <w:p w14:paraId="1A0D8E2C" w14:textId="77777777" w:rsidR="00BC5219" w:rsidRPr="00FB058E" w:rsidRDefault="00BC5219" w:rsidP="00E83802">
            <w:pPr>
              <w:jc w:val="center"/>
              <w:rPr>
                <w:rFonts w:ascii="Meta Pro" w:eastAsia="Times New Roman" w:hAnsi="Meta Pro" w:cs="Times New Roman"/>
                <w:sz w:val="20"/>
                <w:szCs w:val="20"/>
                <w:lang w:eastAsia="en-AU"/>
              </w:rPr>
            </w:pPr>
          </w:p>
        </w:tc>
      </w:tr>
      <w:tr w:rsidR="00BC5219" w:rsidRPr="00FB058E" w14:paraId="4D2BB1C7" w14:textId="77777777" w:rsidTr="00E83802">
        <w:trPr>
          <w:trHeight w:val="240"/>
        </w:trPr>
        <w:tc>
          <w:tcPr>
            <w:tcW w:w="3810" w:type="dxa"/>
            <w:tcBorders>
              <w:top w:val="nil"/>
              <w:left w:val="nil"/>
              <w:bottom w:val="nil"/>
              <w:right w:val="nil"/>
            </w:tcBorders>
            <w:shd w:val="clear" w:color="auto" w:fill="auto"/>
            <w:noWrap/>
            <w:vAlign w:val="center"/>
            <w:hideMark/>
          </w:tcPr>
          <w:p w14:paraId="36C2FD48" w14:textId="77777777" w:rsidR="00BC5219" w:rsidRPr="00FB058E" w:rsidRDefault="00BC5219" w:rsidP="00E83802">
            <w:pPr>
              <w:jc w:val="center"/>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hideMark/>
          </w:tcPr>
          <w:p w14:paraId="717B844D" w14:textId="77777777" w:rsidR="00BC5219" w:rsidRPr="00FB058E" w:rsidRDefault="00BC5219" w:rsidP="00E83802">
            <w:pPr>
              <w:rPr>
                <w:rFonts w:ascii="Meta Pro" w:eastAsia="Times New Roman" w:hAnsi="Meta Pro" w:cs="Times New Roman"/>
                <w:sz w:val="20"/>
                <w:szCs w:val="20"/>
                <w:lang w:eastAsia="en-AU"/>
              </w:rPr>
            </w:pPr>
          </w:p>
        </w:tc>
        <w:tc>
          <w:tcPr>
            <w:tcW w:w="196" w:type="dxa"/>
            <w:tcBorders>
              <w:top w:val="nil"/>
              <w:left w:val="nil"/>
              <w:bottom w:val="nil"/>
              <w:right w:val="nil"/>
            </w:tcBorders>
            <w:shd w:val="clear" w:color="auto" w:fill="auto"/>
            <w:hideMark/>
          </w:tcPr>
          <w:p w14:paraId="2A8F7350" w14:textId="77777777" w:rsidR="00BC5219" w:rsidRPr="00FB058E" w:rsidRDefault="00BC5219" w:rsidP="00E83802">
            <w:pPr>
              <w:jc w:val="center"/>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hideMark/>
          </w:tcPr>
          <w:p w14:paraId="5C4788EC" w14:textId="77777777" w:rsidR="00BC5219" w:rsidRPr="00FB058E" w:rsidRDefault="00BC5219" w:rsidP="00E83802">
            <w:pPr>
              <w:jc w:val="center"/>
              <w:rPr>
                <w:rFonts w:ascii="Meta Pro" w:eastAsia="Times New Roman" w:hAnsi="Meta Pro"/>
                <w:b/>
                <w:bCs/>
                <w:szCs w:val="18"/>
                <w:lang w:eastAsia="en-AU"/>
              </w:rPr>
            </w:pPr>
            <w:r w:rsidRPr="00FB058E">
              <w:rPr>
                <w:rFonts w:ascii="Meta Pro" w:eastAsia="Times New Roman" w:hAnsi="Meta Pro"/>
                <w:b/>
                <w:bCs/>
                <w:szCs w:val="18"/>
                <w:lang w:eastAsia="en-AU"/>
              </w:rPr>
              <w:t xml:space="preserve"> generated*</w:t>
            </w:r>
          </w:p>
        </w:tc>
        <w:tc>
          <w:tcPr>
            <w:tcW w:w="196" w:type="dxa"/>
            <w:tcBorders>
              <w:top w:val="nil"/>
              <w:left w:val="nil"/>
              <w:bottom w:val="nil"/>
              <w:right w:val="nil"/>
            </w:tcBorders>
            <w:shd w:val="clear" w:color="auto" w:fill="auto"/>
            <w:hideMark/>
          </w:tcPr>
          <w:p w14:paraId="3F5C9CCD" w14:textId="77777777" w:rsidR="00BC5219" w:rsidRPr="00FB058E" w:rsidRDefault="00BC5219" w:rsidP="00E83802">
            <w:pPr>
              <w:jc w:val="center"/>
              <w:rPr>
                <w:rFonts w:ascii="Meta Pro" w:eastAsia="Times New Roman" w:hAnsi="Meta Pro"/>
                <w:b/>
                <w:bCs/>
                <w:szCs w:val="18"/>
                <w:lang w:eastAsia="en-AU"/>
              </w:rPr>
            </w:pPr>
          </w:p>
        </w:tc>
        <w:tc>
          <w:tcPr>
            <w:tcW w:w="1134" w:type="dxa"/>
            <w:tcBorders>
              <w:top w:val="nil"/>
              <w:left w:val="nil"/>
              <w:bottom w:val="nil"/>
              <w:right w:val="nil"/>
            </w:tcBorders>
            <w:shd w:val="clear" w:color="auto" w:fill="auto"/>
            <w:hideMark/>
          </w:tcPr>
          <w:p w14:paraId="5EF840DC" w14:textId="77777777" w:rsidR="00BC5219" w:rsidRPr="00FB058E" w:rsidRDefault="00BC5219" w:rsidP="00E83802">
            <w:pPr>
              <w:jc w:val="center"/>
              <w:rPr>
                <w:rFonts w:ascii="Meta Pro" w:eastAsia="Times New Roman" w:hAnsi="Meta Pro"/>
                <w:b/>
                <w:bCs/>
                <w:szCs w:val="18"/>
                <w:lang w:eastAsia="en-AU"/>
              </w:rPr>
            </w:pPr>
            <w:r w:rsidRPr="00FB058E">
              <w:rPr>
                <w:rFonts w:ascii="Meta Pro" w:eastAsia="Times New Roman" w:hAnsi="Meta Pro"/>
                <w:b/>
                <w:bCs/>
                <w:szCs w:val="18"/>
                <w:lang w:eastAsia="en-AU"/>
              </w:rPr>
              <w:t>progress</w:t>
            </w:r>
          </w:p>
        </w:tc>
        <w:tc>
          <w:tcPr>
            <w:tcW w:w="196" w:type="dxa"/>
            <w:tcBorders>
              <w:top w:val="nil"/>
              <w:left w:val="nil"/>
              <w:bottom w:val="nil"/>
              <w:right w:val="nil"/>
            </w:tcBorders>
            <w:shd w:val="clear" w:color="auto" w:fill="auto"/>
            <w:hideMark/>
          </w:tcPr>
          <w:p w14:paraId="74DD1056" w14:textId="77777777" w:rsidR="00BC5219" w:rsidRPr="00FB058E" w:rsidRDefault="00BC5219" w:rsidP="00E83802">
            <w:pPr>
              <w:jc w:val="center"/>
              <w:rPr>
                <w:rFonts w:ascii="Meta Pro" w:eastAsia="Times New Roman" w:hAnsi="Meta Pro"/>
                <w:b/>
                <w:bCs/>
                <w:szCs w:val="18"/>
                <w:lang w:eastAsia="en-AU"/>
              </w:rPr>
            </w:pPr>
          </w:p>
        </w:tc>
        <w:tc>
          <w:tcPr>
            <w:tcW w:w="1134" w:type="dxa"/>
            <w:tcBorders>
              <w:top w:val="nil"/>
              <w:left w:val="nil"/>
              <w:bottom w:val="nil"/>
              <w:right w:val="nil"/>
            </w:tcBorders>
            <w:shd w:val="clear" w:color="auto" w:fill="auto"/>
            <w:hideMark/>
          </w:tcPr>
          <w:p w14:paraId="5FC899F8" w14:textId="77777777" w:rsidR="00BC5219" w:rsidRPr="00FB058E" w:rsidRDefault="00BC5219" w:rsidP="00E83802">
            <w:pPr>
              <w:jc w:val="center"/>
              <w:rPr>
                <w:rFonts w:ascii="Meta Pro" w:eastAsia="Times New Roman" w:hAnsi="Meta Pro" w:cs="Times New Roman"/>
                <w:sz w:val="20"/>
                <w:szCs w:val="20"/>
                <w:lang w:eastAsia="en-AU"/>
              </w:rPr>
            </w:pPr>
          </w:p>
        </w:tc>
        <w:tc>
          <w:tcPr>
            <w:tcW w:w="196" w:type="dxa"/>
            <w:tcBorders>
              <w:top w:val="nil"/>
              <w:left w:val="nil"/>
              <w:bottom w:val="nil"/>
              <w:right w:val="nil"/>
            </w:tcBorders>
            <w:shd w:val="clear" w:color="auto" w:fill="auto"/>
            <w:hideMark/>
          </w:tcPr>
          <w:p w14:paraId="2DC79A22" w14:textId="77777777" w:rsidR="00BC5219" w:rsidRPr="00FB058E" w:rsidRDefault="00BC5219" w:rsidP="00E83802">
            <w:pPr>
              <w:jc w:val="center"/>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hideMark/>
          </w:tcPr>
          <w:p w14:paraId="5D70D86D" w14:textId="77777777" w:rsidR="00BC5219" w:rsidRPr="00FB058E" w:rsidRDefault="00BC5219" w:rsidP="00E83802">
            <w:pPr>
              <w:jc w:val="center"/>
              <w:rPr>
                <w:rFonts w:ascii="Meta Pro" w:eastAsia="Times New Roman" w:hAnsi="Meta Pro" w:cs="Times New Roman"/>
                <w:sz w:val="20"/>
                <w:szCs w:val="20"/>
                <w:lang w:eastAsia="en-AU"/>
              </w:rPr>
            </w:pPr>
          </w:p>
        </w:tc>
      </w:tr>
      <w:tr w:rsidR="00BC5219" w:rsidRPr="00FB058E" w14:paraId="40256C7A" w14:textId="77777777" w:rsidTr="00E83802">
        <w:trPr>
          <w:trHeight w:val="240"/>
        </w:trPr>
        <w:tc>
          <w:tcPr>
            <w:tcW w:w="3810" w:type="dxa"/>
            <w:tcBorders>
              <w:top w:val="nil"/>
              <w:left w:val="nil"/>
              <w:bottom w:val="nil"/>
              <w:right w:val="nil"/>
            </w:tcBorders>
            <w:shd w:val="clear" w:color="auto" w:fill="auto"/>
            <w:noWrap/>
            <w:vAlign w:val="center"/>
            <w:hideMark/>
          </w:tcPr>
          <w:p w14:paraId="204FF384" w14:textId="77777777" w:rsidR="00BC5219" w:rsidRPr="00FB058E" w:rsidRDefault="00BC5219" w:rsidP="00E83802">
            <w:pPr>
              <w:jc w:val="center"/>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363DC8B9" w14:textId="77777777" w:rsidR="00BC5219" w:rsidRPr="00FB058E" w:rsidRDefault="00BC5219" w:rsidP="00E83802">
            <w:pPr>
              <w:jc w:val="center"/>
              <w:rPr>
                <w:rFonts w:ascii="Meta Pro" w:eastAsia="Times New Roman" w:hAnsi="Meta Pro"/>
                <w:b/>
                <w:bCs/>
                <w:lang w:eastAsia="en-AU"/>
              </w:rPr>
            </w:pPr>
            <w:r w:rsidRPr="00FB058E">
              <w:rPr>
                <w:rFonts w:ascii="Meta Pro" w:eastAsia="Times New Roman" w:hAnsi="Meta Pro"/>
                <w:b/>
                <w:bCs/>
                <w:lang w:eastAsia="en-AU"/>
              </w:rPr>
              <w:t>2023</w:t>
            </w:r>
          </w:p>
        </w:tc>
        <w:tc>
          <w:tcPr>
            <w:tcW w:w="196" w:type="dxa"/>
            <w:tcBorders>
              <w:top w:val="nil"/>
              <w:left w:val="nil"/>
              <w:bottom w:val="nil"/>
              <w:right w:val="nil"/>
            </w:tcBorders>
            <w:shd w:val="clear" w:color="auto" w:fill="auto"/>
            <w:noWrap/>
            <w:vAlign w:val="center"/>
            <w:hideMark/>
          </w:tcPr>
          <w:p w14:paraId="7B4A3CC4" w14:textId="77777777" w:rsidR="00BC5219" w:rsidRPr="00FB058E" w:rsidRDefault="00BC5219" w:rsidP="00E83802">
            <w:pPr>
              <w:jc w:val="center"/>
              <w:rPr>
                <w:rFonts w:ascii="Meta Pro" w:eastAsia="Times New Roman" w:hAnsi="Meta Pro"/>
                <w:b/>
                <w:bCs/>
                <w:lang w:eastAsia="en-AU"/>
              </w:rPr>
            </w:pPr>
          </w:p>
        </w:tc>
        <w:tc>
          <w:tcPr>
            <w:tcW w:w="1134" w:type="dxa"/>
            <w:tcBorders>
              <w:top w:val="nil"/>
              <w:left w:val="nil"/>
              <w:bottom w:val="nil"/>
              <w:right w:val="nil"/>
            </w:tcBorders>
            <w:shd w:val="clear" w:color="auto" w:fill="auto"/>
            <w:noWrap/>
            <w:vAlign w:val="center"/>
            <w:hideMark/>
          </w:tcPr>
          <w:p w14:paraId="6A0A2A0E" w14:textId="77777777" w:rsidR="00BC5219" w:rsidRPr="00FB058E" w:rsidRDefault="00BC5219" w:rsidP="00E83802">
            <w:pPr>
              <w:jc w:val="center"/>
              <w:rPr>
                <w:rFonts w:ascii="Meta Pro" w:eastAsia="Times New Roman" w:hAnsi="Meta Pro"/>
                <w:b/>
                <w:bCs/>
                <w:lang w:eastAsia="en-AU"/>
              </w:rPr>
            </w:pPr>
            <w:r w:rsidRPr="00FB058E">
              <w:rPr>
                <w:rFonts w:ascii="Meta Pro" w:eastAsia="Times New Roman" w:hAnsi="Meta Pro"/>
                <w:b/>
                <w:bCs/>
                <w:lang w:eastAsia="en-AU"/>
              </w:rPr>
              <w:t>2023</w:t>
            </w:r>
          </w:p>
        </w:tc>
        <w:tc>
          <w:tcPr>
            <w:tcW w:w="196" w:type="dxa"/>
            <w:tcBorders>
              <w:top w:val="nil"/>
              <w:left w:val="nil"/>
              <w:bottom w:val="nil"/>
              <w:right w:val="nil"/>
            </w:tcBorders>
            <w:shd w:val="clear" w:color="auto" w:fill="auto"/>
            <w:noWrap/>
            <w:vAlign w:val="center"/>
            <w:hideMark/>
          </w:tcPr>
          <w:p w14:paraId="22FC48DC" w14:textId="77777777" w:rsidR="00BC5219" w:rsidRPr="00FB058E" w:rsidRDefault="00BC5219" w:rsidP="00E83802">
            <w:pPr>
              <w:jc w:val="center"/>
              <w:rPr>
                <w:rFonts w:ascii="Meta Pro" w:eastAsia="Times New Roman" w:hAnsi="Meta Pro"/>
                <w:b/>
                <w:bCs/>
                <w:lang w:eastAsia="en-AU"/>
              </w:rPr>
            </w:pPr>
          </w:p>
        </w:tc>
        <w:tc>
          <w:tcPr>
            <w:tcW w:w="1134" w:type="dxa"/>
            <w:tcBorders>
              <w:top w:val="nil"/>
              <w:left w:val="nil"/>
              <w:bottom w:val="nil"/>
              <w:right w:val="nil"/>
            </w:tcBorders>
            <w:shd w:val="clear" w:color="auto" w:fill="auto"/>
            <w:noWrap/>
            <w:vAlign w:val="center"/>
            <w:hideMark/>
          </w:tcPr>
          <w:p w14:paraId="4383D75E" w14:textId="77777777" w:rsidR="00BC5219" w:rsidRPr="00FB058E" w:rsidRDefault="00BC5219" w:rsidP="00E83802">
            <w:pPr>
              <w:jc w:val="center"/>
              <w:rPr>
                <w:rFonts w:ascii="Meta Pro" w:eastAsia="Times New Roman" w:hAnsi="Meta Pro"/>
                <w:b/>
                <w:bCs/>
                <w:lang w:eastAsia="en-AU"/>
              </w:rPr>
            </w:pPr>
            <w:r w:rsidRPr="00FB058E">
              <w:rPr>
                <w:rFonts w:ascii="Meta Pro" w:eastAsia="Times New Roman" w:hAnsi="Meta Pro"/>
                <w:b/>
                <w:bCs/>
                <w:lang w:eastAsia="en-AU"/>
              </w:rPr>
              <w:t>2023</w:t>
            </w:r>
          </w:p>
        </w:tc>
        <w:tc>
          <w:tcPr>
            <w:tcW w:w="196" w:type="dxa"/>
            <w:tcBorders>
              <w:top w:val="nil"/>
              <w:left w:val="nil"/>
              <w:bottom w:val="nil"/>
              <w:right w:val="nil"/>
            </w:tcBorders>
            <w:shd w:val="clear" w:color="auto" w:fill="auto"/>
            <w:noWrap/>
            <w:vAlign w:val="center"/>
            <w:hideMark/>
          </w:tcPr>
          <w:p w14:paraId="33EA1AE0" w14:textId="77777777" w:rsidR="00BC5219" w:rsidRPr="00FB058E" w:rsidRDefault="00BC5219" w:rsidP="00E83802">
            <w:pPr>
              <w:jc w:val="center"/>
              <w:rPr>
                <w:rFonts w:ascii="Meta Pro" w:eastAsia="Times New Roman" w:hAnsi="Meta Pro"/>
                <w:b/>
                <w:bCs/>
                <w:lang w:eastAsia="en-AU"/>
              </w:rPr>
            </w:pPr>
          </w:p>
        </w:tc>
        <w:tc>
          <w:tcPr>
            <w:tcW w:w="1134" w:type="dxa"/>
            <w:tcBorders>
              <w:top w:val="nil"/>
              <w:left w:val="nil"/>
              <w:bottom w:val="nil"/>
              <w:right w:val="nil"/>
            </w:tcBorders>
            <w:shd w:val="clear" w:color="auto" w:fill="auto"/>
            <w:noWrap/>
            <w:vAlign w:val="center"/>
            <w:hideMark/>
          </w:tcPr>
          <w:p w14:paraId="3715C22A" w14:textId="77777777" w:rsidR="00BC5219" w:rsidRPr="00FB058E" w:rsidRDefault="00BC5219" w:rsidP="00E83802">
            <w:pPr>
              <w:jc w:val="center"/>
              <w:rPr>
                <w:rFonts w:ascii="Meta Pro" w:eastAsia="Times New Roman" w:hAnsi="Meta Pro"/>
                <w:b/>
                <w:bCs/>
                <w:lang w:eastAsia="en-AU"/>
              </w:rPr>
            </w:pPr>
            <w:r w:rsidRPr="00FB058E">
              <w:rPr>
                <w:rFonts w:ascii="Meta Pro" w:eastAsia="Times New Roman" w:hAnsi="Meta Pro"/>
                <w:b/>
                <w:bCs/>
                <w:lang w:eastAsia="en-AU"/>
              </w:rPr>
              <w:t>2023</w:t>
            </w:r>
          </w:p>
        </w:tc>
        <w:tc>
          <w:tcPr>
            <w:tcW w:w="196" w:type="dxa"/>
            <w:tcBorders>
              <w:top w:val="nil"/>
              <w:left w:val="nil"/>
              <w:bottom w:val="nil"/>
              <w:right w:val="nil"/>
            </w:tcBorders>
            <w:shd w:val="clear" w:color="auto" w:fill="auto"/>
            <w:noWrap/>
            <w:vAlign w:val="center"/>
            <w:hideMark/>
          </w:tcPr>
          <w:p w14:paraId="58C6A756" w14:textId="77777777" w:rsidR="00BC5219" w:rsidRPr="00FB058E" w:rsidRDefault="00BC5219" w:rsidP="00E83802">
            <w:pPr>
              <w:jc w:val="center"/>
              <w:rPr>
                <w:rFonts w:ascii="Meta Pro" w:eastAsia="Times New Roman" w:hAnsi="Meta Pro"/>
                <w:b/>
                <w:bCs/>
                <w:lang w:eastAsia="en-AU"/>
              </w:rPr>
            </w:pPr>
          </w:p>
        </w:tc>
        <w:tc>
          <w:tcPr>
            <w:tcW w:w="1134" w:type="dxa"/>
            <w:tcBorders>
              <w:top w:val="nil"/>
              <w:left w:val="nil"/>
              <w:bottom w:val="nil"/>
              <w:right w:val="nil"/>
            </w:tcBorders>
            <w:shd w:val="clear" w:color="auto" w:fill="auto"/>
            <w:noWrap/>
            <w:vAlign w:val="center"/>
            <w:hideMark/>
          </w:tcPr>
          <w:p w14:paraId="580E8587" w14:textId="77777777" w:rsidR="00BC5219" w:rsidRPr="00FB058E" w:rsidRDefault="00BC5219" w:rsidP="00E83802">
            <w:pPr>
              <w:jc w:val="center"/>
              <w:rPr>
                <w:rFonts w:ascii="Meta Pro" w:eastAsia="Times New Roman" w:hAnsi="Meta Pro"/>
                <w:b/>
                <w:bCs/>
                <w:lang w:eastAsia="en-AU"/>
              </w:rPr>
            </w:pPr>
            <w:r w:rsidRPr="00FB058E">
              <w:rPr>
                <w:rFonts w:ascii="Meta Pro" w:eastAsia="Times New Roman" w:hAnsi="Meta Pro"/>
                <w:b/>
                <w:bCs/>
                <w:lang w:eastAsia="en-AU"/>
              </w:rPr>
              <w:t>2023</w:t>
            </w:r>
          </w:p>
        </w:tc>
      </w:tr>
      <w:tr w:rsidR="00BC5219" w:rsidRPr="00FB058E" w14:paraId="6F614902" w14:textId="77777777" w:rsidTr="00E83802">
        <w:trPr>
          <w:trHeight w:val="240"/>
        </w:trPr>
        <w:tc>
          <w:tcPr>
            <w:tcW w:w="3810" w:type="dxa"/>
            <w:tcBorders>
              <w:top w:val="nil"/>
              <w:left w:val="nil"/>
              <w:bottom w:val="nil"/>
              <w:right w:val="nil"/>
            </w:tcBorders>
            <w:shd w:val="clear" w:color="auto" w:fill="auto"/>
            <w:noWrap/>
            <w:vAlign w:val="center"/>
            <w:hideMark/>
          </w:tcPr>
          <w:p w14:paraId="76BF5564" w14:textId="77777777" w:rsidR="00BC5219" w:rsidRPr="00FB058E" w:rsidRDefault="00BC5219" w:rsidP="00E83802">
            <w:pPr>
              <w:jc w:val="center"/>
              <w:rPr>
                <w:rFonts w:ascii="Meta Pro" w:eastAsia="Times New Roman" w:hAnsi="Meta Pro"/>
                <w:b/>
                <w:bCs/>
                <w:lang w:eastAsia="en-AU"/>
              </w:rPr>
            </w:pPr>
          </w:p>
        </w:tc>
        <w:tc>
          <w:tcPr>
            <w:tcW w:w="1134" w:type="dxa"/>
            <w:tcBorders>
              <w:top w:val="nil"/>
              <w:left w:val="nil"/>
              <w:bottom w:val="nil"/>
              <w:right w:val="nil"/>
            </w:tcBorders>
            <w:shd w:val="clear" w:color="auto" w:fill="auto"/>
            <w:vAlign w:val="center"/>
            <w:hideMark/>
          </w:tcPr>
          <w:p w14:paraId="253BCBB3" w14:textId="77777777" w:rsidR="00BC5219" w:rsidRPr="00FB058E" w:rsidRDefault="00BC5219" w:rsidP="00E83802">
            <w:pPr>
              <w:jc w:val="center"/>
              <w:rPr>
                <w:rFonts w:ascii="Meta Pro" w:eastAsia="Times New Roman" w:hAnsi="Meta Pro"/>
                <w:b/>
                <w:bCs/>
                <w:lang w:eastAsia="en-AU"/>
              </w:rPr>
            </w:pPr>
            <w:r w:rsidRPr="00FB058E">
              <w:rPr>
                <w:rFonts w:ascii="Meta Pro" w:eastAsia="Times New Roman" w:hAnsi="Meta Pro"/>
                <w:b/>
                <w:bCs/>
                <w:lang w:eastAsia="en-AU"/>
              </w:rPr>
              <w:t>$'000</w:t>
            </w:r>
          </w:p>
        </w:tc>
        <w:tc>
          <w:tcPr>
            <w:tcW w:w="196" w:type="dxa"/>
            <w:tcBorders>
              <w:top w:val="nil"/>
              <w:left w:val="nil"/>
              <w:bottom w:val="nil"/>
              <w:right w:val="nil"/>
            </w:tcBorders>
            <w:shd w:val="clear" w:color="auto" w:fill="auto"/>
            <w:noWrap/>
            <w:vAlign w:val="center"/>
            <w:hideMark/>
          </w:tcPr>
          <w:p w14:paraId="02025AF0" w14:textId="77777777" w:rsidR="00BC5219" w:rsidRPr="00FB058E" w:rsidRDefault="00BC5219" w:rsidP="00E83802">
            <w:pPr>
              <w:jc w:val="center"/>
              <w:rPr>
                <w:rFonts w:ascii="Meta Pro" w:eastAsia="Times New Roman" w:hAnsi="Meta Pro"/>
                <w:b/>
                <w:bCs/>
                <w:lang w:eastAsia="en-AU"/>
              </w:rPr>
            </w:pPr>
          </w:p>
        </w:tc>
        <w:tc>
          <w:tcPr>
            <w:tcW w:w="1134" w:type="dxa"/>
            <w:tcBorders>
              <w:top w:val="nil"/>
              <w:left w:val="nil"/>
              <w:bottom w:val="nil"/>
              <w:right w:val="nil"/>
            </w:tcBorders>
            <w:shd w:val="clear" w:color="auto" w:fill="auto"/>
            <w:vAlign w:val="center"/>
            <w:hideMark/>
          </w:tcPr>
          <w:p w14:paraId="2F67528D" w14:textId="77777777" w:rsidR="00BC5219" w:rsidRPr="00FB058E" w:rsidRDefault="00BC5219" w:rsidP="00E83802">
            <w:pPr>
              <w:jc w:val="center"/>
              <w:rPr>
                <w:rFonts w:ascii="Meta Pro" w:eastAsia="Times New Roman" w:hAnsi="Meta Pro"/>
                <w:b/>
                <w:bCs/>
                <w:lang w:eastAsia="en-AU"/>
              </w:rPr>
            </w:pPr>
            <w:r w:rsidRPr="00FB058E">
              <w:rPr>
                <w:rFonts w:ascii="Meta Pro" w:eastAsia="Times New Roman" w:hAnsi="Meta Pro"/>
                <w:b/>
                <w:bCs/>
                <w:lang w:eastAsia="en-AU"/>
              </w:rPr>
              <w:t>$'000</w:t>
            </w:r>
          </w:p>
        </w:tc>
        <w:tc>
          <w:tcPr>
            <w:tcW w:w="196" w:type="dxa"/>
            <w:tcBorders>
              <w:top w:val="nil"/>
              <w:left w:val="nil"/>
              <w:bottom w:val="nil"/>
              <w:right w:val="nil"/>
            </w:tcBorders>
            <w:shd w:val="clear" w:color="auto" w:fill="auto"/>
            <w:noWrap/>
            <w:vAlign w:val="center"/>
            <w:hideMark/>
          </w:tcPr>
          <w:p w14:paraId="29D6A8E5" w14:textId="77777777" w:rsidR="00BC5219" w:rsidRPr="00FB058E" w:rsidRDefault="00BC5219" w:rsidP="00E83802">
            <w:pPr>
              <w:jc w:val="center"/>
              <w:rPr>
                <w:rFonts w:ascii="Meta Pro" w:eastAsia="Times New Roman" w:hAnsi="Meta Pro"/>
                <w:b/>
                <w:bCs/>
                <w:lang w:eastAsia="en-AU"/>
              </w:rPr>
            </w:pPr>
          </w:p>
        </w:tc>
        <w:tc>
          <w:tcPr>
            <w:tcW w:w="1134" w:type="dxa"/>
            <w:tcBorders>
              <w:top w:val="nil"/>
              <w:left w:val="nil"/>
              <w:bottom w:val="nil"/>
              <w:right w:val="nil"/>
            </w:tcBorders>
            <w:shd w:val="clear" w:color="auto" w:fill="auto"/>
            <w:vAlign w:val="center"/>
            <w:hideMark/>
          </w:tcPr>
          <w:p w14:paraId="2B1A101E" w14:textId="77777777" w:rsidR="00BC5219" w:rsidRPr="00FB058E" w:rsidRDefault="00BC5219" w:rsidP="00E83802">
            <w:pPr>
              <w:jc w:val="center"/>
              <w:rPr>
                <w:rFonts w:ascii="Meta Pro" w:eastAsia="Times New Roman" w:hAnsi="Meta Pro"/>
                <w:b/>
                <w:bCs/>
                <w:lang w:eastAsia="en-AU"/>
              </w:rPr>
            </w:pPr>
            <w:r w:rsidRPr="00FB058E">
              <w:rPr>
                <w:rFonts w:ascii="Meta Pro" w:eastAsia="Times New Roman" w:hAnsi="Meta Pro"/>
                <w:b/>
                <w:bCs/>
                <w:lang w:eastAsia="en-AU"/>
              </w:rPr>
              <w:t>$'000</w:t>
            </w:r>
          </w:p>
        </w:tc>
        <w:tc>
          <w:tcPr>
            <w:tcW w:w="196" w:type="dxa"/>
            <w:tcBorders>
              <w:top w:val="nil"/>
              <w:left w:val="nil"/>
              <w:bottom w:val="nil"/>
              <w:right w:val="nil"/>
            </w:tcBorders>
            <w:shd w:val="clear" w:color="auto" w:fill="auto"/>
            <w:noWrap/>
            <w:vAlign w:val="center"/>
            <w:hideMark/>
          </w:tcPr>
          <w:p w14:paraId="21E907D9" w14:textId="77777777" w:rsidR="00BC5219" w:rsidRPr="00FB058E" w:rsidRDefault="00BC5219" w:rsidP="00E83802">
            <w:pPr>
              <w:jc w:val="center"/>
              <w:rPr>
                <w:rFonts w:ascii="Meta Pro" w:eastAsia="Times New Roman" w:hAnsi="Meta Pro"/>
                <w:b/>
                <w:bCs/>
                <w:lang w:eastAsia="en-AU"/>
              </w:rPr>
            </w:pPr>
          </w:p>
        </w:tc>
        <w:tc>
          <w:tcPr>
            <w:tcW w:w="1134" w:type="dxa"/>
            <w:tcBorders>
              <w:top w:val="nil"/>
              <w:left w:val="nil"/>
              <w:bottom w:val="nil"/>
              <w:right w:val="nil"/>
            </w:tcBorders>
            <w:shd w:val="clear" w:color="auto" w:fill="auto"/>
            <w:vAlign w:val="center"/>
            <w:hideMark/>
          </w:tcPr>
          <w:p w14:paraId="03DEC51C" w14:textId="77777777" w:rsidR="00BC5219" w:rsidRPr="00FB058E" w:rsidRDefault="00BC5219" w:rsidP="00E83802">
            <w:pPr>
              <w:jc w:val="center"/>
              <w:rPr>
                <w:rFonts w:ascii="Meta Pro" w:eastAsia="Times New Roman" w:hAnsi="Meta Pro"/>
                <w:b/>
                <w:bCs/>
                <w:lang w:eastAsia="en-AU"/>
              </w:rPr>
            </w:pPr>
            <w:r w:rsidRPr="00FB058E">
              <w:rPr>
                <w:rFonts w:ascii="Meta Pro" w:eastAsia="Times New Roman" w:hAnsi="Meta Pro"/>
                <w:b/>
                <w:bCs/>
                <w:lang w:eastAsia="en-AU"/>
              </w:rPr>
              <w:t>$'000</w:t>
            </w:r>
          </w:p>
        </w:tc>
        <w:tc>
          <w:tcPr>
            <w:tcW w:w="196" w:type="dxa"/>
            <w:tcBorders>
              <w:top w:val="nil"/>
              <w:left w:val="nil"/>
              <w:bottom w:val="nil"/>
              <w:right w:val="nil"/>
            </w:tcBorders>
            <w:shd w:val="clear" w:color="auto" w:fill="auto"/>
            <w:noWrap/>
            <w:vAlign w:val="center"/>
            <w:hideMark/>
          </w:tcPr>
          <w:p w14:paraId="143C7C45" w14:textId="77777777" w:rsidR="00BC5219" w:rsidRPr="00FB058E" w:rsidRDefault="00BC5219" w:rsidP="00E83802">
            <w:pPr>
              <w:jc w:val="center"/>
              <w:rPr>
                <w:rFonts w:ascii="Meta Pro" w:eastAsia="Times New Roman" w:hAnsi="Meta Pro"/>
                <w:b/>
                <w:bCs/>
                <w:lang w:eastAsia="en-AU"/>
              </w:rPr>
            </w:pPr>
          </w:p>
        </w:tc>
        <w:tc>
          <w:tcPr>
            <w:tcW w:w="1134" w:type="dxa"/>
            <w:tcBorders>
              <w:top w:val="nil"/>
              <w:left w:val="nil"/>
              <w:bottom w:val="nil"/>
              <w:right w:val="nil"/>
            </w:tcBorders>
            <w:shd w:val="clear" w:color="auto" w:fill="auto"/>
            <w:vAlign w:val="center"/>
            <w:hideMark/>
          </w:tcPr>
          <w:p w14:paraId="6F782646" w14:textId="77777777" w:rsidR="00BC5219" w:rsidRPr="00FB058E" w:rsidRDefault="00BC5219" w:rsidP="00E83802">
            <w:pPr>
              <w:jc w:val="center"/>
              <w:rPr>
                <w:rFonts w:ascii="Meta Pro" w:eastAsia="Times New Roman" w:hAnsi="Meta Pro"/>
                <w:b/>
                <w:bCs/>
                <w:lang w:eastAsia="en-AU"/>
              </w:rPr>
            </w:pPr>
            <w:r w:rsidRPr="00FB058E">
              <w:rPr>
                <w:rFonts w:ascii="Meta Pro" w:eastAsia="Times New Roman" w:hAnsi="Meta Pro"/>
                <w:b/>
                <w:bCs/>
                <w:lang w:eastAsia="en-AU"/>
              </w:rPr>
              <w:t>$'000</w:t>
            </w:r>
          </w:p>
        </w:tc>
      </w:tr>
      <w:tr w:rsidR="00BC5219" w:rsidRPr="00FB058E" w14:paraId="02B28BFA" w14:textId="77777777" w:rsidTr="00E83802">
        <w:trPr>
          <w:trHeight w:val="90"/>
        </w:trPr>
        <w:tc>
          <w:tcPr>
            <w:tcW w:w="3810" w:type="dxa"/>
            <w:tcBorders>
              <w:top w:val="nil"/>
              <w:left w:val="nil"/>
              <w:bottom w:val="nil"/>
              <w:right w:val="nil"/>
            </w:tcBorders>
            <w:shd w:val="clear" w:color="auto" w:fill="auto"/>
            <w:noWrap/>
            <w:vAlign w:val="center"/>
            <w:hideMark/>
          </w:tcPr>
          <w:p w14:paraId="023ABC0E" w14:textId="77777777" w:rsidR="00BC5219" w:rsidRPr="00FB058E" w:rsidRDefault="00BC5219" w:rsidP="00E83802">
            <w:pPr>
              <w:jc w:val="center"/>
              <w:rPr>
                <w:rFonts w:ascii="Meta Pro" w:eastAsia="Times New Roman" w:hAnsi="Meta Pro"/>
                <w:b/>
                <w:bCs/>
                <w:lang w:eastAsia="en-AU"/>
              </w:rPr>
            </w:pPr>
          </w:p>
        </w:tc>
        <w:tc>
          <w:tcPr>
            <w:tcW w:w="1134" w:type="dxa"/>
            <w:tcBorders>
              <w:top w:val="nil"/>
              <w:left w:val="nil"/>
              <w:bottom w:val="nil"/>
              <w:right w:val="nil"/>
            </w:tcBorders>
            <w:shd w:val="clear" w:color="auto" w:fill="auto"/>
            <w:vAlign w:val="center"/>
            <w:hideMark/>
          </w:tcPr>
          <w:p w14:paraId="224D0EF9" w14:textId="77777777" w:rsidR="00BC5219" w:rsidRPr="00FB058E" w:rsidRDefault="00BC5219" w:rsidP="00E83802">
            <w:pPr>
              <w:rPr>
                <w:rFonts w:ascii="Meta Pro" w:eastAsia="Times New Roman" w:hAnsi="Meta Pro"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01442E8B" w14:textId="77777777" w:rsidR="00BC5219" w:rsidRPr="00FB058E" w:rsidRDefault="00BC5219" w:rsidP="00E83802">
            <w:pPr>
              <w:jc w:val="center"/>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vAlign w:val="center"/>
            <w:hideMark/>
          </w:tcPr>
          <w:p w14:paraId="2FBA4AF0" w14:textId="77777777" w:rsidR="00BC5219" w:rsidRPr="00FB058E" w:rsidRDefault="00BC5219" w:rsidP="00E83802">
            <w:pPr>
              <w:rPr>
                <w:rFonts w:ascii="Meta Pro" w:eastAsia="Times New Roman" w:hAnsi="Meta Pro"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18D994C2" w14:textId="77777777" w:rsidR="00BC5219" w:rsidRPr="00FB058E" w:rsidRDefault="00BC5219" w:rsidP="00E83802">
            <w:pPr>
              <w:jc w:val="center"/>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vAlign w:val="center"/>
            <w:hideMark/>
          </w:tcPr>
          <w:p w14:paraId="6E2CA4F6" w14:textId="77777777" w:rsidR="00BC5219" w:rsidRPr="00FB058E" w:rsidRDefault="00BC5219" w:rsidP="00E83802">
            <w:pPr>
              <w:rPr>
                <w:rFonts w:ascii="Meta Pro" w:eastAsia="Times New Roman" w:hAnsi="Meta Pro"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41C168B1" w14:textId="77777777" w:rsidR="00BC5219" w:rsidRPr="00FB058E" w:rsidRDefault="00BC5219" w:rsidP="00E83802">
            <w:pPr>
              <w:jc w:val="center"/>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vAlign w:val="center"/>
            <w:hideMark/>
          </w:tcPr>
          <w:p w14:paraId="33DA1F26" w14:textId="77777777" w:rsidR="00BC5219" w:rsidRPr="00FB058E" w:rsidRDefault="00BC5219" w:rsidP="00E83802">
            <w:pPr>
              <w:rPr>
                <w:rFonts w:ascii="Meta Pro" w:eastAsia="Times New Roman" w:hAnsi="Meta Pro"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51E9CE45" w14:textId="77777777" w:rsidR="00BC5219" w:rsidRPr="00FB058E" w:rsidRDefault="00BC5219" w:rsidP="00E83802">
            <w:pPr>
              <w:jc w:val="center"/>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vAlign w:val="center"/>
            <w:hideMark/>
          </w:tcPr>
          <w:p w14:paraId="119B0243" w14:textId="77777777" w:rsidR="00BC5219" w:rsidRPr="00FB058E" w:rsidRDefault="00BC5219" w:rsidP="00E83802">
            <w:pPr>
              <w:rPr>
                <w:rFonts w:ascii="Meta Pro" w:eastAsia="Times New Roman" w:hAnsi="Meta Pro" w:cs="Times New Roman"/>
                <w:sz w:val="20"/>
                <w:szCs w:val="20"/>
                <w:lang w:eastAsia="en-AU"/>
              </w:rPr>
            </w:pPr>
          </w:p>
        </w:tc>
      </w:tr>
      <w:tr w:rsidR="00BC5219" w:rsidRPr="00FB058E" w14:paraId="5C38DDD6" w14:textId="77777777" w:rsidTr="00E83802">
        <w:trPr>
          <w:trHeight w:val="240"/>
        </w:trPr>
        <w:tc>
          <w:tcPr>
            <w:tcW w:w="3810" w:type="dxa"/>
            <w:tcBorders>
              <w:top w:val="nil"/>
              <w:left w:val="nil"/>
              <w:bottom w:val="nil"/>
              <w:right w:val="nil"/>
            </w:tcBorders>
            <w:shd w:val="clear" w:color="auto" w:fill="auto"/>
            <w:noWrap/>
            <w:vAlign w:val="center"/>
            <w:hideMark/>
          </w:tcPr>
          <w:p w14:paraId="16B09BD0" w14:textId="77777777" w:rsidR="00BC5219" w:rsidRPr="00FB058E" w:rsidRDefault="00BC5219" w:rsidP="00E83802">
            <w:pPr>
              <w:rPr>
                <w:rFonts w:ascii="Meta Pro" w:eastAsia="Times New Roman" w:hAnsi="Meta Pro"/>
                <w:szCs w:val="18"/>
                <w:lang w:eastAsia="en-AU"/>
              </w:rPr>
            </w:pPr>
            <w:r w:rsidRPr="00FB058E">
              <w:rPr>
                <w:rFonts w:ascii="Meta Pro" w:eastAsia="Times New Roman" w:hAnsi="Meta Pro"/>
                <w:szCs w:val="18"/>
                <w:lang w:eastAsia="en-AU"/>
              </w:rPr>
              <w:t>Gross value</w:t>
            </w:r>
          </w:p>
        </w:tc>
        <w:tc>
          <w:tcPr>
            <w:tcW w:w="1134" w:type="dxa"/>
            <w:tcBorders>
              <w:top w:val="nil"/>
              <w:left w:val="nil"/>
              <w:bottom w:val="nil"/>
              <w:right w:val="nil"/>
            </w:tcBorders>
            <w:shd w:val="clear" w:color="000000" w:fill="C9E3B4"/>
            <w:noWrap/>
            <w:vAlign w:val="center"/>
            <w:hideMark/>
          </w:tcPr>
          <w:p w14:paraId="10563191" w14:textId="77777777" w:rsidR="00BC5219" w:rsidRPr="00FB058E" w:rsidRDefault="00BC5219" w:rsidP="00E83802">
            <w:pPr>
              <w:jc w:val="right"/>
              <w:rPr>
                <w:rFonts w:ascii="Meta Pro" w:eastAsia="Times New Roman" w:hAnsi="Meta Pro"/>
                <w:szCs w:val="18"/>
                <w:lang w:eastAsia="en-AU"/>
              </w:rPr>
            </w:pPr>
            <w:r w:rsidRPr="00FB058E">
              <w:rPr>
                <w:rFonts w:ascii="Meta Pro" w:eastAsia="Times New Roman" w:hAnsi="Meta Pro"/>
                <w:szCs w:val="18"/>
                <w:lang w:eastAsia="en-AU"/>
              </w:rPr>
              <w:t xml:space="preserve">33,999 </w:t>
            </w:r>
          </w:p>
        </w:tc>
        <w:tc>
          <w:tcPr>
            <w:tcW w:w="196" w:type="dxa"/>
            <w:tcBorders>
              <w:top w:val="nil"/>
              <w:left w:val="nil"/>
              <w:bottom w:val="nil"/>
              <w:right w:val="nil"/>
            </w:tcBorders>
            <w:shd w:val="clear" w:color="auto" w:fill="auto"/>
            <w:noWrap/>
            <w:vAlign w:val="center"/>
            <w:hideMark/>
          </w:tcPr>
          <w:p w14:paraId="55B8383A" w14:textId="77777777" w:rsidR="00BC5219" w:rsidRPr="00FB058E"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1751FDE3" w14:textId="77777777" w:rsidR="00BC5219" w:rsidRPr="00FB058E" w:rsidRDefault="00BC5219" w:rsidP="00E83802">
            <w:pPr>
              <w:jc w:val="right"/>
              <w:rPr>
                <w:rFonts w:ascii="Meta Pro" w:eastAsia="Times New Roman" w:hAnsi="Meta Pro"/>
                <w:szCs w:val="18"/>
                <w:lang w:eastAsia="en-AU"/>
              </w:rPr>
            </w:pPr>
            <w:r w:rsidRPr="00FB058E">
              <w:rPr>
                <w:rFonts w:ascii="Meta Pro" w:eastAsia="Times New Roman" w:hAnsi="Meta Pro"/>
                <w:szCs w:val="18"/>
                <w:lang w:eastAsia="en-AU"/>
              </w:rPr>
              <w:t xml:space="preserve">337,521 </w:t>
            </w:r>
          </w:p>
        </w:tc>
        <w:tc>
          <w:tcPr>
            <w:tcW w:w="196" w:type="dxa"/>
            <w:tcBorders>
              <w:top w:val="nil"/>
              <w:left w:val="nil"/>
              <w:bottom w:val="nil"/>
              <w:right w:val="nil"/>
            </w:tcBorders>
            <w:shd w:val="clear" w:color="auto" w:fill="auto"/>
            <w:noWrap/>
            <w:vAlign w:val="center"/>
            <w:hideMark/>
          </w:tcPr>
          <w:p w14:paraId="3F85A7C2" w14:textId="77777777" w:rsidR="00BC5219" w:rsidRPr="00FB058E"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0581A375" w14:textId="77777777" w:rsidR="00BC5219" w:rsidRPr="00FB058E" w:rsidRDefault="00BC5219" w:rsidP="00E83802">
            <w:pPr>
              <w:jc w:val="right"/>
              <w:rPr>
                <w:rFonts w:ascii="Meta Pro" w:eastAsia="Times New Roman" w:hAnsi="Meta Pro"/>
                <w:szCs w:val="18"/>
                <w:lang w:eastAsia="en-AU"/>
              </w:rPr>
            </w:pPr>
            <w:r w:rsidRPr="00FB058E">
              <w:rPr>
                <w:rFonts w:ascii="Meta Pro" w:eastAsia="Times New Roman" w:hAnsi="Meta Pro"/>
                <w:szCs w:val="18"/>
                <w:lang w:eastAsia="en-AU"/>
              </w:rPr>
              <w:t xml:space="preserve">18,321 </w:t>
            </w:r>
          </w:p>
        </w:tc>
        <w:tc>
          <w:tcPr>
            <w:tcW w:w="196" w:type="dxa"/>
            <w:tcBorders>
              <w:top w:val="nil"/>
              <w:left w:val="nil"/>
              <w:bottom w:val="nil"/>
              <w:right w:val="nil"/>
            </w:tcBorders>
            <w:shd w:val="clear" w:color="auto" w:fill="auto"/>
            <w:noWrap/>
            <w:vAlign w:val="center"/>
            <w:hideMark/>
          </w:tcPr>
          <w:p w14:paraId="59687B25" w14:textId="77777777" w:rsidR="00BC5219" w:rsidRPr="00FB058E"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18492AC3" w14:textId="77777777" w:rsidR="00BC5219" w:rsidRPr="00FB058E" w:rsidRDefault="00BC5219" w:rsidP="00E83802">
            <w:pPr>
              <w:jc w:val="right"/>
              <w:rPr>
                <w:rFonts w:ascii="Meta Pro" w:eastAsia="Times New Roman" w:hAnsi="Meta Pro"/>
                <w:szCs w:val="18"/>
                <w:lang w:eastAsia="en-AU"/>
              </w:rPr>
            </w:pPr>
            <w:r w:rsidRPr="00FB058E">
              <w:rPr>
                <w:rFonts w:ascii="Meta Pro" w:eastAsia="Times New Roman" w:hAnsi="Meta Pro"/>
                <w:szCs w:val="18"/>
                <w:lang w:eastAsia="en-AU"/>
              </w:rPr>
              <w:t xml:space="preserve">4,350 </w:t>
            </w:r>
          </w:p>
        </w:tc>
        <w:tc>
          <w:tcPr>
            <w:tcW w:w="196" w:type="dxa"/>
            <w:tcBorders>
              <w:top w:val="nil"/>
              <w:left w:val="nil"/>
              <w:bottom w:val="nil"/>
              <w:right w:val="nil"/>
            </w:tcBorders>
            <w:shd w:val="clear" w:color="auto" w:fill="auto"/>
            <w:noWrap/>
            <w:vAlign w:val="center"/>
            <w:hideMark/>
          </w:tcPr>
          <w:p w14:paraId="49FA3908" w14:textId="77777777" w:rsidR="00BC5219" w:rsidRPr="00FB058E"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1F6AB89B" w14:textId="77777777" w:rsidR="00BC5219" w:rsidRPr="00FB058E" w:rsidRDefault="00BC5219" w:rsidP="00E83802">
            <w:pPr>
              <w:jc w:val="right"/>
              <w:rPr>
                <w:rFonts w:ascii="Meta Pro" w:eastAsia="Times New Roman" w:hAnsi="Meta Pro"/>
                <w:b/>
                <w:bCs/>
                <w:szCs w:val="18"/>
                <w:lang w:eastAsia="en-AU"/>
              </w:rPr>
            </w:pPr>
            <w:r w:rsidRPr="00FB058E">
              <w:rPr>
                <w:rFonts w:ascii="Meta Pro" w:eastAsia="Times New Roman" w:hAnsi="Meta Pro"/>
                <w:b/>
                <w:bCs/>
                <w:szCs w:val="18"/>
                <w:lang w:eastAsia="en-AU"/>
              </w:rPr>
              <w:t xml:space="preserve">394,191 </w:t>
            </w:r>
          </w:p>
        </w:tc>
      </w:tr>
      <w:tr w:rsidR="00BC5219" w:rsidRPr="00FB058E" w14:paraId="5D3E5409" w14:textId="77777777" w:rsidTr="00E83802">
        <w:trPr>
          <w:trHeight w:val="240"/>
        </w:trPr>
        <w:tc>
          <w:tcPr>
            <w:tcW w:w="3810" w:type="dxa"/>
            <w:tcBorders>
              <w:top w:val="nil"/>
              <w:left w:val="nil"/>
              <w:bottom w:val="nil"/>
              <w:right w:val="nil"/>
            </w:tcBorders>
            <w:shd w:val="clear" w:color="auto" w:fill="auto"/>
            <w:noWrap/>
            <w:vAlign w:val="center"/>
            <w:hideMark/>
          </w:tcPr>
          <w:p w14:paraId="0CA3382E" w14:textId="77777777" w:rsidR="00BC5219" w:rsidRPr="00FB058E" w:rsidRDefault="00BC5219" w:rsidP="00E83802">
            <w:pPr>
              <w:rPr>
                <w:rFonts w:ascii="Meta Pro" w:eastAsia="Times New Roman" w:hAnsi="Meta Pro"/>
                <w:szCs w:val="18"/>
                <w:lang w:eastAsia="en-AU"/>
              </w:rPr>
            </w:pPr>
            <w:r w:rsidRPr="00FB058E">
              <w:rPr>
                <w:rFonts w:ascii="Meta Pro" w:eastAsia="Times New Roman" w:hAnsi="Meta Pro"/>
                <w:szCs w:val="18"/>
                <w:lang w:eastAsia="en-AU"/>
              </w:rPr>
              <w:t>Less: Accumulated amortisation</w:t>
            </w:r>
          </w:p>
        </w:tc>
        <w:tc>
          <w:tcPr>
            <w:tcW w:w="1134" w:type="dxa"/>
            <w:tcBorders>
              <w:top w:val="nil"/>
              <w:left w:val="nil"/>
              <w:bottom w:val="nil"/>
              <w:right w:val="nil"/>
            </w:tcBorders>
            <w:shd w:val="clear" w:color="000000" w:fill="C9E3B4"/>
            <w:noWrap/>
            <w:vAlign w:val="center"/>
            <w:hideMark/>
          </w:tcPr>
          <w:p w14:paraId="6CAF0397" w14:textId="77777777" w:rsidR="00BC5219" w:rsidRPr="00FB058E" w:rsidRDefault="00BC5219" w:rsidP="00E83802">
            <w:pPr>
              <w:jc w:val="right"/>
              <w:rPr>
                <w:rFonts w:ascii="Meta Pro" w:eastAsia="Times New Roman" w:hAnsi="Meta Pro"/>
                <w:szCs w:val="18"/>
                <w:lang w:eastAsia="en-AU"/>
              </w:rPr>
            </w:pPr>
            <w:r w:rsidRPr="00FB058E">
              <w:rPr>
                <w:rFonts w:ascii="Meta Pro" w:eastAsia="Times New Roman" w:hAnsi="Meta Pro"/>
                <w:szCs w:val="18"/>
                <w:lang w:eastAsia="en-AU"/>
              </w:rPr>
              <w:t>(22,323)</w:t>
            </w:r>
          </w:p>
        </w:tc>
        <w:tc>
          <w:tcPr>
            <w:tcW w:w="196" w:type="dxa"/>
            <w:tcBorders>
              <w:top w:val="nil"/>
              <w:left w:val="nil"/>
              <w:bottom w:val="nil"/>
              <w:right w:val="nil"/>
            </w:tcBorders>
            <w:shd w:val="clear" w:color="auto" w:fill="auto"/>
            <w:noWrap/>
            <w:vAlign w:val="center"/>
            <w:hideMark/>
          </w:tcPr>
          <w:p w14:paraId="1129B19E" w14:textId="77777777" w:rsidR="00BC5219" w:rsidRPr="00FB058E"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078FB452" w14:textId="77777777" w:rsidR="00BC5219" w:rsidRPr="00FB058E" w:rsidRDefault="00BC5219" w:rsidP="00E83802">
            <w:pPr>
              <w:jc w:val="right"/>
              <w:rPr>
                <w:rFonts w:ascii="Meta Pro" w:eastAsia="Times New Roman" w:hAnsi="Meta Pro"/>
                <w:szCs w:val="18"/>
                <w:lang w:eastAsia="en-AU"/>
              </w:rPr>
            </w:pPr>
            <w:r w:rsidRPr="00FB058E">
              <w:rPr>
                <w:rFonts w:ascii="Meta Pro" w:eastAsia="Times New Roman" w:hAnsi="Meta Pro"/>
                <w:szCs w:val="18"/>
                <w:lang w:eastAsia="en-AU"/>
              </w:rPr>
              <w:t>(302,650)</w:t>
            </w:r>
          </w:p>
        </w:tc>
        <w:tc>
          <w:tcPr>
            <w:tcW w:w="196" w:type="dxa"/>
            <w:tcBorders>
              <w:top w:val="nil"/>
              <w:left w:val="nil"/>
              <w:bottom w:val="nil"/>
              <w:right w:val="nil"/>
            </w:tcBorders>
            <w:shd w:val="clear" w:color="auto" w:fill="auto"/>
            <w:noWrap/>
            <w:vAlign w:val="center"/>
            <w:hideMark/>
          </w:tcPr>
          <w:p w14:paraId="2F0570ED" w14:textId="77777777" w:rsidR="00BC5219" w:rsidRPr="00FB058E"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7ECA0458" w14:textId="77777777" w:rsidR="00BC5219" w:rsidRPr="00FB058E" w:rsidRDefault="00BC5219" w:rsidP="00E83802">
            <w:pPr>
              <w:jc w:val="right"/>
              <w:rPr>
                <w:rFonts w:ascii="Meta Pro" w:eastAsia="Times New Roman" w:hAnsi="Meta Pro"/>
                <w:szCs w:val="18"/>
                <w:lang w:eastAsia="en-AU"/>
              </w:rPr>
            </w:pPr>
            <w:r w:rsidRPr="00FB058E">
              <w:rPr>
                <w:rFonts w:ascii="Meta Pro" w:eastAsia="Times New Roman" w:hAnsi="Meta Pro"/>
                <w:szCs w:val="18"/>
                <w:lang w:eastAsia="en-AU"/>
              </w:rPr>
              <w:t xml:space="preserve">- </w:t>
            </w:r>
          </w:p>
        </w:tc>
        <w:tc>
          <w:tcPr>
            <w:tcW w:w="196" w:type="dxa"/>
            <w:tcBorders>
              <w:top w:val="nil"/>
              <w:left w:val="nil"/>
              <w:bottom w:val="nil"/>
              <w:right w:val="nil"/>
            </w:tcBorders>
            <w:shd w:val="clear" w:color="auto" w:fill="auto"/>
            <w:noWrap/>
            <w:vAlign w:val="center"/>
            <w:hideMark/>
          </w:tcPr>
          <w:p w14:paraId="2715926A" w14:textId="77777777" w:rsidR="00BC5219" w:rsidRPr="00FB058E"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019EBC76" w14:textId="77777777" w:rsidR="00BC5219" w:rsidRPr="00FB058E" w:rsidRDefault="00BC5219" w:rsidP="00E83802">
            <w:pPr>
              <w:jc w:val="right"/>
              <w:rPr>
                <w:rFonts w:ascii="Meta Pro" w:eastAsia="Times New Roman" w:hAnsi="Meta Pro"/>
                <w:szCs w:val="18"/>
                <w:lang w:eastAsia="en-AU"/>
              </w:rPr>
            </w:pPr>
            <w:r w:rsidRPr="00FB058E">
              <w:rPr>
                <w:rFonts w:ascii="Meta Pro" w:eastAsia="Times New Roman" w:hAnsi="Meta Pro"/>
                <w:szCs w:val="18"/>
                <w:lang w:eastAsia="en-AU"/>
              </w:rPr>
              <w:t>(4)</w:t>
            </w:r>
          </w:p>
        </w:tc>
        <w:tc>
          <w:tcPr>
            <w:tcW w:w="196" w:type="dxa"/>
            <w:tcBorders>
              <w:top w:val="nil"/>
              <w:left w:val="nil"/>
              <w:bottom w:val="nil"/>
              <w:right w:val="nil"/>
            </w:tcBorders>
            <w:shd w:val="clear" w:color="auto" w:fill="auto"/>
            <w:noWrap/>
            <w:vAlign w:val="center"/>
            <w:hideMark/>
          </w:tcPr>
          <w:p w14:paraId="41B0A713" w14:textId="77777777" w:rsidR="00BC5219" w:rsidRPr="00FB058E"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31066430" w14:textId="77777777" w:rsidR="00BC5219" w:rsidRPr="00FB058E" w:rsidRDefault="00BC5219" w:rsidP="00E83802">
            <w:pPr>
              <w:jc w:val="right"/>
              <w:rPr>
                <w:rFonts w:ascii="Meta Pro" w:eastAsia="Times New Roman" w:hAnsi="Meta Pro"/>
                <w:b/>
                <w:bCs/>
                <w:szCs w:val="18"/>
                <w:lang w:eastAsia="en-AU"/>
              </w:rPr>
            </w:pPr>
            <w:r w:rsidRPr="00FB058E">
              <w:rPr>
                <w:rFonts w:ascii="Meta Pro" w:eastAsia="Times New Roman" w:hAnsi="Meta Pro"/>
                <w:b/>
                <w:bCs/>
                <w:szCs w:val="18"/>
                <w:lang w:eastAsia="en-AU"/>
              </w:rPr>
              <w:t>(324,977)</w:t>
            </w:r>
          </w:p>
        </w:tc>
      </w:tr>
      <w:tr w:rsidR="00BC5219" w:rsidRPr="00FB058E" w14:paraId="6A46A1DE" w14:textId="77777777" w:rsidTr="00E83802">
        <w:trPr>
          <w:trHeight w:val="240"/>
        </w:trPr>
        <w:tc>
          <w:tcPr>
            <w:tcW w:w="3810" w:type="dxa"/>
            <w:tcBorders>
              <w:top w:val="single" w:sz="4" w:space="0" w:color="auto"/>
              <w:left w:val="nil"/>
              <w:bottom w:val="double" w:sz="6" w:space="0" w:color="auto"/>
              <w:right w:val="nil"/>
            </w:tcBorders>
            <w:shd w:val="clear" w:color="auto" w:fill="auto"/>
            <w:noWrap/>
            <w:vAlign w:val="center"/>
            <w:hideMark/>
          </w:tcPr>
          <w:p w14:paraId="3B2ACBDD" w14:textId="77777777" w:rsidR="00BC5219" w:rsidRPr="00FB058E" w:rsidRDefault="00BC5219" w:rsidP="00E83802">
            <w:pPr>
              <w:rPr>
                <w:rFonts w:ascii="Meta Pro" w:eastAsia="Times New Roman" w:hAnsi="Meta Pro"/>
                <w:b/>
                <w:bCs/>
                <w:szCs w:val="18"/>
                <w:lang w:eastAsia="en-AU"/>
              </w:rPr>
            </w:pPr>
            <w:r w:rsidRPr="00FB058E">
              <w:rPr>
                <w:rFonts w:ascii="Meta Pro" w:eastAsia="Times New Roman" w:hAnsi="Meta Pro"/>
                <w:b/>
                <w:bCs/>
                <w:szCs w:val="18"/>
                <w:lang w:eastAsia="en-AU"/>
              </w:rPr>
              <w:t>Carrying amount at 30 June</w:t>
            </w:r>
          </w:p>
        </w:tc>
        <w:tc>
          <w:tcPr>
            <w:tcW w:w="1134" w:type="dxa"/>
            <w:tcBorders>
              <w:top w:val="single" w:sz="4" w:space="0" w:color="auto"/>
              <w:left w:val="nil"/>
              <w:bottom w:val="double" w:sz="6" w:space="0" w:color="auto"/>
              <w:right w:val="nil"/>
            </w:tcBorders>
            <w:shd w:val="clear" w:color="000000" w:fill="C9E3B4"/>
            <w:noWrap/>
            <w:vAlign w:val="center"/>
            <w:hideMark/>
          </w:tcPr>
          <w:p w14:paraId="73DBBB05" w14:textId="77777777" w:rsidR="00BC5219" w:rsidRPr="00FB058E" w:rsidRDefault="00BC5219" w:rsidP="00E83802">
            <w:pPr>
              <w:jc w:val="right"/>
              <w:rPr>
                <w:rFonts w:ascii="Meta Pro" w:eastAsia="Times New Roman" w:hAnsi="Meta Pro"/>
                <w:b/>
                <w:bCs/>
                <w:szCs w:val="18"/>
                <w:lang w:eastAsia="en-AU"/>
              </w:rPr>
            </w:pPr>
            <w:r w:rsidRPr="00FB058E">
              <w:rPr>
                <w:rFonts w:ascii="Meta Pro" w:eastAsia="Times New Roman" w:hAnsi="Meta Pro"/>
                <w:b/>
                <w:bCs/>
                <w:szCs w:val="18"/>
                <w:lang w:eastAsia="en-AU"/>
              </w:rPr>
              <w:t xml:space="preserve">11,676 </w:t>
            </w:r>
          </w:p>
        </w:tc>
        <w:tc>
          <w:tcPr>
            <w:tcW w:w="196" w:type="dxa"/>
            <w:tcBorders>
              <w:top w:val="nil"/>
              <w:left w:val="nil"/>
              <w:bottom w:val="nil"/>
              <w:right w:val="nil"/>
            </w:tcBorders>
            <w:shd w:val="clear" w:color="auto" w:fill="auto"/>
            <w:noWrap/>
            <w:vAlign w:val="center"/>
            <w:hideMark/>
          </w:tcPr>
          <w:p w14:paraId="4FA29192" w14:textId="77777777" w:rsidR="00BC5219" w:rsidRPr="00FB058E" w:rsidRDefault="00BC5219" w:rsidP="00E83802">
            <w:pPr>
              <w:jc w:val="right"/>
              <w:rPr>
                <w:rFonts w:ascii="Meta Pro" w:eastAsia="Times New Roman" w:hAnsi="Meta Pro"/>
                <w:b/>
                <w:bCs/>
                <w:szCs w:val="18"/>
                <w:lang w:eastAsia="en-AU"/>
              </w:rPr>
            </w:pPr>
          </w:p>
        </w:tc>
        <w:tc>
          <w:tcPr>
            <w:tcW w:w="1134" w:type="dxa"/>
            <w:tcBorders>
              <w:top w:val="single" w:sz="4" w:space="0" w:color="auto"/>
              <w:left w:val="nil"/>
              <w:bottom w:val="double" w:sz="6" w:space="0" w:color="auto"/>
              <w:right w:val="nil"/>
            </w:tcBorders>
            <w:shd w:val="clear" w:color="000000" w:fill="C9E3B4"/>
            <w:noWrap/>
            <w:vAlign w:val="center"/>
            <w:hideMark/>
          </w:tcPr>
          <w:p w14:paraId="2AB77777" w14:textId="77777777" w:rsidR="00BC5219" w:rsidRPr="00FB058E" w:rsidRDefault="00BC5219" w:rsidP="00E83802">
            <w:pPr>
              <w:jc w:val="right"/>
              <w:rPr>
                <w:rFonts w:ascii="Meta Pro" w:eastAsia="Times New Roman" w:hAnsi="Meta Pro"/>
                <w:b/>
                <w:bCs/>
                <w:szCs w:val="18"/>
                <w:lang w:eastAsia="en-AU"/>
              </w:rPr>
            </w:pPr>
            <w:r w:rsidRPr="00FB058E">
              <w:rPr>
                <w:rFonts w:ascii="Meta Pro" w:eastAsia="Times New Roman" w:hAnsi="Meta Pro"/>
                <w:b/>
                <w:bCs/>
                <w:szCs w:val="18"/>
                <w:lang w:eastAsia="en-AU"/>
              </w:rPr>
              <w:t xml:space="preserve">34,871 </w:t>
            </w:r>
          </w:p>
        </w:tc>
        <w:tc>
          <w:tcPr>
            <w:tcW w:w="196" w:type="dxa"/>
            <w:tcBorders>
              <w:top w:val="nil"/>
              <w:left w:val="nil"/>
              <w:bottom w:val="nil"/>
              <w:right w:val="nil"/>
            </w:tcBorders>
            <w:shd w:val="clear" w:color="auto" w:fill="auto"/>
            <w:noWrap/>
            <w:vAlign w:val="center"/>
            <w:hideMark/>
          </w:tcPr>
          <w:p w14:paraId="5B6ED982" w14:textId="77777777" w:rsidR="00BC5219" w:rsidRPr="00FB058E" w:rsidRDefault="00BC5219" w:rsidP="00E83802">
            <w:pPr>
              <w:jc w:val="right"/>
              <w:rPr>
                <w:rFonts w:ascii="Meta Pro" w:eastAsia="Times New Roman" w:hAnsi="Meta Pro"/>
                <w:b/>
                <w:bCs/>
                <w:szCs w:val="18"/>
                <w:lang w:eastAsia="en-AU"/>
              </w:rPr>
            </w:pPr>
          </w:p>
        </w:tc>
        <w:tc>
          <w:tcPr>
            <w:tcW w:w="1134" w:type="dxa"/>
            <w:tcBorders>
              <w:top w:val="single" w:sz="4" w:space="0" w:color="auto"/>
              <w:left w:val="nil"/>
              <w:bottom w:val="double" w:sz="6" w:space="0" w:color="auto"/>
              <w:right w:val="nil"/>
            </w:tcBorders>
            <w:shd w:val="clear" w:color="000000" w:fill="C9E3B4"/>
            <w:noWrap/>
            <w:vAlign w:val="center"/>
            <w:hideMark/>
          </w:tcPr>
          <w:p w14:paraId="469B42CB" w14:textId="77777777" w:rsidR="00BC5219" w:rsidRPr="00FB058E" w:rsidRDefault="00BC5219" w:rsidP="00E83802">
            <w:pPr>
              <w:jc w:val="right"/>
              <w:rPr>
                <w:rFonts w:ascii="Meta Pro" w:eastAsia="Times New Roman" w:hAnsi="Meta Pro"/>
                <w:b/>
                <w:bCs/>
                <w:szCs w:val="18"/>
                <w:lang w:eastAsia="en-AU"/>
              </w:rPr>
            </w:pPr>
            <w:r w:rsidRPr="00FB058E">
              <w:rPr>
                <w:rFonts w:ascii="Meta Pro" w:eastAsia="Times New Roman" w:hAnsi="Meta Pro"/>
                <w:b/>
                <w:bCs/>
                <w:szCs w:val="18"/>
                <w:lang w:eastAsia="en-AU"/>
              </w:rPr>
              <w:t xml:space="preserve">18,321 </w:t>
            </w:r>
          </w:p>
        </w:tc>
        <w:tc>
          <w:tcPr>
            <w:tcW w:w="196" w:type="dxa"/>
            <w:tcBorders>
              <w:top w:val="nil"/>
              <w:left w:val="nil"/>
              <w:bottom w:val="nil"/>
              <w:right w:val="nil"/>
            </w:tcBorders>
            <w:shd w:val="clear" w:color="auto" w:fill="auto"/>
            <w:noWrap/>
            <w:vAlign w:val="center"/>
            <w:hideMark/>
          </w:tcPr>
          <w:p w14:paraId="4D5E352B" w14:textId="77777777" w:rsidR="00BC5219" w:rsidRPr="00FB058E" w:rsidRDefault="00BC5219" w:rsidP="00E83802">
            <w:pPr>
              <w:jc w:val="right"/>
              <w:rPr>
                <w:rFonts w:ascii="Meta Pro" w:eastAsia="Times New Roman" w:hAnsi="Meta Pro"/>
                <w:b/>
                <w:bCs/>
                <w:szCs w:val="18"/>
                <w:lang w:eastAsia="en-AU"/>
              </w:rPr>
            </w:pPr>
          </w:p>
        </w:tc>
        <w:tc>
          <w:tcPr>
            <w:tcW w:w="1134" w:type="dxa"/>
            <w:tcBorders>
              <w:top w:val="single" w:sz="4" w:space="0" w:color="auto"/>
              <w:left w:val="nil"/>
              <w:bottom w:val="double" w:sz="6" w:space="0" w:color="auto"/>
              <w:right w:val="nil"/>
            </w:tcBorders>
            <w:shd w:val="clear" w:color="000000" w:fill="C9E3B4"/>
            <w:noWrap/>
            <w:vAlign w:val="center"/>
            <w:hideMark/>
          </w:tcPr>
          <w:p w14:paraId="322AA124" w14:textId="77777777" w:rsidR="00BC5219" w:rsidRPr="00FB058E" w:rsidRDefault="00BC5219" w:rsidP="00E83802">
            <w:pPr>
              <w:jc w:val="right"/>
              <w:rPr>
                <w:rFonts w:ascii="Meta Pro" w:eastAsia="Times New Roman" w:hAnsi="Meta Pro"/>
                <w:b/>
                <w:bCs/>
                <w:szCs w:val="18"/>
                <w:lang w:eastAsia="en-AU"/>
              </w:rPr>
            </w:pPr>
            <w:r w:rsidRPr="00FB058E">
              <w:rPr>
                <w:rFonts w:ascii="Meta Pro" w:eastAsia="Times New Roman" w:hAnsi="Meta Pro"/>
                <w:b/>
                <w:bCs/>
                <w:szCs w:val="18"/>
                <w:lang w:eastAsia="en-AU"/>
              </w:rPr>
              <w:t xml:space="preserve">4,346 </w:t>
            </w:r>
          </w:p>
        </w:tc>
        <w:tc>
          <w:tcPr>
            <w:tcW w:w="196" w:type="dxa"/>
            <w:tcBorders>
              <w:top w:val="nil"/>
              <w:left w:val="nil"/>
              <w:bottom w:val="nil"/>
              <w:right w:val="nil"/>
            </w:tcBorders>
            <w:shd w:val="clear" w:color="auto" w:fill="auto"/>
            <w:noWrap/>
            <w:vAlign w:val="center"/>
            <w:hideMark/>
          </w:tcPr>
          <w:p w14:paraId="2874B8D9" w14:textId="77777777" w:rsidR="00BC5219" w:rsidRPr="00FB058E" w:rsidRDefault="00BC5219" w:rsidP="00E83802">
            <w:pPr>
              <w:jc w:val="right"/>
              <w:rPr>
                <w:rFonts w:ascii="Meta Pro" w:eastAsia="Times New Roman" w:hAnsi="Meta Pro"/>
                <w:b/>
                <w:bCs/>
                <w:szCs w:val="18"/>
                <w:lang w:eastAsia="en-AU"/>
              </w:rPr>
            </w:pPr>
          </w:p>
        </w:tc>
        <w:tc>
          <w:tcPr>
            <w:tcW w:w="1134" w:type="dxa"/>
            <w:tcBorders>
              <w:top w:val="single" w:sz="4" w:space="0" w:color="auto"/>
              <w:left w:val="nil"/>
              <w:bottom w:val="double" w:sz="6" w:space="0" w:color="auto"/>
              <w:right w:val="nil"/>
            </w:tcBorders>
            <w:shd w:val="clear" w:color="000000" w:fill="C9E3B4"/>
            <w:noWrap/>
            <w:vAlign w:val="center"/>
            <w:hideMark/>
          </w:tcPr>
          <w:p w14:paraId="20E41D59" w14:textId="77777777" w:rsidR="00BC5219" w:rsidRPr="00FB058E" w:rsidRDefault="00BC5219" w:rsidP="00E83802">
            <w:pPr>
              <w:jc w:val="right"/>
              <w:rPr>
                <w:rFonts w:ascii="Meta Pro" w:eastAsia="Times New Roman" w:hAnsi="Meta Pro"/>
                <w:b/>
                <w:bCs/>
                <w:szCs w:val="18"/>
                <w:lang w:eastAsia="en-AU"/>
              </w:rPr>
            </w:pPr>
            <w:r w:rsidRPr="00FB058E">
              <w:rPr>
                <w:rFonts w:ascii="Meta Pro" w:eastAsia="Times New Roman" w:hAnsi="Meta Pro"/>
                <w:b/>
                <w:bCs/>
                <w:szCs w:val="18"/>
                <w:lang w:eastAsia="en-AU"/>
              </w:rPr>
              <w:t xml:space="preserve">69,214 </w:t>
            </w:r>
          </w:p>
        </w:tc>
      </w:tr>
      <w:tr w:rsidR="00BC5219" w:rsidRPr="00FB058E" w14:paraId="274B910B" w14:textId="77777777" w:rsidTr="00E83802">
        <w:trPr>
          <w:trHeight w:val="90"/>
        </w:trPr>
        <w:tc>
          <w:tcPr>
            <w:tcW w:w="3810" w:type="dxa"/>
            <w:tcBorders>
              <w:top w:val="nil"/>
              <w:left w:val="nil"/>
              <w:bottom w:val="nil"/>
              <w:right w:val="nil"/>
            </w:tcBorders>
            <w:shd w:val="clear" w:color="auto" w:fill="auto"/>
            <w:noWrap/>
            <w:vAlign w:val="center"/>
            <w:hideMark/>
          </w:tcPr>
          <w:p w14:paraId="32BCA6E1" w14:textId="77777777" w:rsidR="00BC5219" w:rsidRPr="00FB058E" w:rsidRDefault="00BC5219" w:rsidP="00E83802">
            <w:pPr>
              <w:jc w:val="right"/>
              <w:rPr>
                <w:rFonts w:ascii="Meta Pro" w:eastAsia="Times New Roman" w:hAnsi="Meta Pro"/>
                <w:b/>
                <w:bCs/>
                <w:szCs w:val="18"/>
                <w:lang w:eastAsia="en-AU"/>
              </w:rPr>
            </w:pPr>
          </w:p>
        </w:tc>
        <w:tc>
          <w:tcPr>
            <w:tcW w:w="1134" w:type="dxa"/>
            <w:tcBorders>
              <w:top w:val="nil"/>
              <w:left w:val="nil"/>
              <w:bottom w:val="nil"/>
              <w:right w:val="nil"/>
            </w:tcBorders>
            <w:shd w:val="clear" w:color="auto" w:fill="auto"/>
            <w:noWrap/>
            <w:vAlign w:val="center"/>
            <w:hideMark/>
          </w:tcPr>
          <w:p w14:paraId="0A5AC86E" w14:textId="77777777" w:rsidR="00BC5219" w:rsidRPr="00FB058E" w:rsidRDefault="00BC5219" w:rsidP="00E83802">
            <w:pPr>
              <w:rPr>
                <w:rFonts w:ascii="Meta Pro" w:eastAsia="Times New Roman" w:hAnsi="Meta Pro"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57C7CA66" w14:textId="77777777" w:rsidR="00BC5219" w:rsidRPr="00FB058E" w:rsidRDefault="00BC5219" w:rsidP="00E83802">
            <w:pPr>
              <w:jc w:val="right"/>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26AC8BDD" w14:textId="77777777" w:rsidR="00BC5219" w:rsidRPr="00FB058E" w:rsidRDefault="00BC5219" w:rsidP="00E83802">
            <w:pPr>
              <w:rPr>
                <w:rFonts w:ascii="Meta Pro" w:eastAsia="Times New Roman" w:hAnsi="Meta Pro"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447E6AD6" w14:textId="77777777" w:rsidR="00BC5219" w:rsidRPr="00FB058E" w:rsidRDefault="00BC5219" w:rsidP="00E83802">
            <w:pPr>
              <w:jc w:val="right"/>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40D56D82" w14:textId="77777777" w:rsidR="00BC5219" w:rsidRPr="00FB058E" w:rsidRDefault="00BC5219" w:rsidP="00E83802">
            <w:pPr>
              <w:rPr>
                <w:rFonts w:ascii="Meta Pro" w:eastAsia="Times New Roman" w:hAnsi="Meta Pro"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56D6DEEE" w14:textId="77777777" w:rsidR="00BC5219" w:rsidRPr="00FB058E" w:rsidRDefault="00BC5219" w:rsidP="00E83802">
            <w:pPr>
              <w:jc w:val="right"/>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0C332DFA" w14:textId="77777777" w:rsidR="00BC5219" w:rsidRPr="00FB058E" w:rsidRDefault="00BC5219" w:rsidP="00E83802">
            <w:pPr>
              <w:rPr>
                <w:rFonts w:ascii="Meta Pro" w:eastAsia="Times New Roman" w:hAnsi="Meta Pro"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2277774F" w14:textId="77777777" w:rsidR="00BC5219" w:rsidRPr="00FB058E" w:rsidRDefault="00BC5219" w:rsidP="00E83802">
            <w:pPr>
              <w:jc w:val="right"/>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5C28E0F9" w14:textId="77777777" w:rsidR="00BC5219" w:rsidRPr="00FB058E" w:rsidRDefault="00BC5219" w:rsidP="00E83802">
            <w:pPr>
              <w:rPr>
                <w:rFonts w:ascii="Meta Pro" w:eastAsia="Times New Roman" w:hAnsi="Meta Pro" w:cs="Times New Roman"/>
                <w:sz w:val="20"/>
                <w:szCs w:val="20"/>
                <w:lang w:eastAsia="en-AU"/>
              </w:rPr>
            </w:pPr>
          </w:p>
        </w:tc>
      </w:tr>
      <w:tr w:rsidR="00BC5219" w:rsidRPr="00FB058E" w14:paraId="2D62A242" w14:textId="77777777" w:rsidTr="00E83802">
        <w:trPr>
          <w:trHeight w:val="240"/>
        </w:trPr>
        <w:tc>
          <w:tcPr>
            <w:tcW w:w="3810" w:type="dxa"/>
            <w:tcBorders>
              <w:top w:val="nil"/>
              <w:left w:val="nil"/>
              <w:bottom w:val="nil"/>
              <w:right w:val="nil"/>
            </w:tcBorders>
            <w:shd w:val="clear" w:color="auto" w:fill="auto"/>
            <w:noWrap/>
            <w:vAlign w:val="center"/>
            <w:hideMark/>
          </w:tcPr>
          <w:p w14:paraId="19080BA5" w14:textId="77777777" w:rsidR="00BC5219" w:rsidRPr="00FB058E" w:rsidRDefault="00BC5219" w:rsidP="00E83802">
            <w:pPr>
              <w:rPr>
                <w:rFonts w:ascii="Meta Pro" w:eastAsia="Times New Roman" w:hAnsi="Meta Pro"/>
                <w:b/>
                <w:bCs/>
                <w:szCs w:val="18"/>
                <w:lang w:eastAsia="en-AU"/>
              </w:rPr>
            </w:pPr>
            <w:r w:rsidRPr="00FB058E">
              <w:rPr>
                <w:rFonts w:ascii="Meta Pro" w:eastAsia="Times New Roman" w:hAnsi="Meta Pro"/>
                <w:b/>
                <w:bCs/>
                <w:szCs w:val="18"/>
                <w:lang w:eastAsia="en-AU"/>
              </w:rPr>
              <w:t>Reconciliation</w:t>
            </w:r>
          </w:p>
        </w:tc>
        <w:tc>
          <w:tcPr>
            <w:tcW w:w="1134" w:type="dxa"/>
            <w:tcBorders>
              <w:top w:val="nil"/>
              <w:left w:val="nil"/>
              <w:bottom w:val="nil"/>
              <w:right w:val="nil"/>
            </w:tcBorders>
            <w:shd w:val="clear" w:color="auto" w:fill="auto"/>
            <w:noWrap/>
            <w:vAlign w:val="center"/>
            <w:hideMark/>
          </w:tcPr>
          <w:p w14:paraId="64B378B4" w14:textId="77777777" w:rsidR="00BC5219" w:rsidRPr="00FB058E" w:rsidRDefault="00BC5219" w:rsidP="00E83802">
            <w:pPr>
              <w:rPr>
                <w:rFonts w:ascii="Meta Pro" w:eastAsia="Times New Roman" w:hAnsi="Meta Pro"/>
                <w:b/>
                <w:bCs/>
                <w:szCs w:val="18"/>
                <w:lang w:eastAsia="en-AU"/>
              </w:rPr>
            </w:pPr>
          </w:p>
        </w:tc>
        <w:tc>
          <w:tcPr>
            <w:tcW w:w="196" w:type="dxa"/>
            <w:tcBorders>
              <w:top w:val="nil"/>
              <w:left w:val="nil"/>
              <w:bottom w:val="nil"/>
              <w:right w:val="nil"/>
            </w:tcBorders>
            <w:shd w:val="clear" w:color="auto" w:fill="auto"/>
            <w:noWrap/>
            <w:vAlign w:val="center"/>
            <w:hideMark/>
          </w:tcPr>
          <w:p w14:paraId="542A8155" w14:textId="77777777" w:rsidR="00BC5219" w:rsidRPr="00FB058E" w:rsidRDefault="00BC5219" w:rsidP="00E83802">
            <w:pPr>
              <w:jc w:val="right"/>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7DB081F3" w14:textId="77777777" w:rsidR="00BC5219" w:rsidRPr="00FB058E" w:rsidRDefault="00BC5219" w:rsidP="00E83802">
            <w:pPr>
              <w:rPr>
                <w:rFonts w:ascii="Meta Pro" w:eastAsia="Times New Roman" w:hAnsi="Meta Pro"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777652F1" w14:textId="77777777" w:rsidR="00BC5219" w:rsidRPr="00FB058E" w:rsidRDefault="00BC5219" w:rsidP="00E83802">
            <w:pPr>
              <w:jc w:val="right"/>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1158D792" w14:textId="77777777" w:rsidR="00BC5219" w:rsidRPr="00FB058E" w:rsidRDefault="00BC5219" w:rsidP="00E83802">
            <w:pPr>
              <w:rPr>
                <w:rFonts w:ascii="Meta Pro" w:eastAsia="Times New Roman" w:hAnsi="Meta Pro"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1852C4CC" w14:textId="77777777" w:rsidR="00BC5219" w:rsidRPr="00FB058E" w:rsidRDefault="00BC5219" w:rsidP="00E83802">
            <w:pPr>
              <w:jc w:val="right"/>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3A5487E6" w14:textId="77777777" w:rsidR="00BC5219" w:rsidRPr="00FB058E" w:rsidRDefault="00BC5219" w:rsidP="00E83802">
            <w:pPr>
              <w:rPr>
                <w:rFonts w:ascii="Meta Pro" w:eastAsia="Times New Roman" w:hAnsi="Meta Pro"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57EE4876" w14:textId="77777777" w:rsidR="00BC5219" w:rsidRPr="00FB058E" w:rsidRDefault="00BC5219" w:rsidP="00E83802">
            <w:pPr>
              <w:jc w:val="right"/>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6B5EC2C3" w14:textId="77777777" w:rsidR="00BC5219" w:rsidRPr="00FB058E" w:rsidRDefault="00BC5219" w:rsidP="00E83802">
            <w:pPr>
              <w:rPr>
                <w:rFonts w:ascii="Meta Pro" w:eastAsia="Times New Roman" w:hAnsi="Meta Pro" w:cs="Times New Roman"/>
                <w:sz w:val="20"/>
                <w:szCs w:val="20"/>
                <w:lang w:eastAsia="en-AU"/>
              </w:rPr>
            </w:pPr>
          </w:p>
        </w:tc>
      </w:tr>
      <w:tr w:rsidR="00BC5219" w:rsidRPr="00FB058E" w14:paraId="7BD206E0" w14:textId="77777777" w:rsidTr="00E83802">
        <w:trPr>
          <w:trHeight w:val="90"/>
        </w:trPr>
        <w:tc>
          <w:tcPr>
            <w:tcW w:w="3810" w:type="dxa"/>
            <w:tcBorders>
              <w:top w:val="nil"/>
              <w:left w:val="nil"/>
              <w:bottom w:val="nil"/>
              <w:right w:val="nil"/>
            </w:tcBorders>
            <w:shd w:val="clear" w:color="auto" w:fill="auto"/>
            <w:noWrap/>
            <w:vAlign w:val="center"/>
            <w:hideMark/>
          </w:tcPr>
          <w:p w14:paraId="3BF79BB6" w14:textId="77777777" w:rsidR="00BC5219" w:rsidRPr="00FB058E" w:rsidRDefault="00BC5219" w:rsidP="00E83802">
            <w:pPr>
              <w:jc w:val="right"/>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251D77E0" w14:textId="77777777" w:rsidR="00BC5219" w:rsidRPr="00FB058E" w:rsidRDefault="00BC5219" w:rsidP="00E83802">
            <w:pPr>
              <w:rPr>
                <w:rFonts w:ascii="Meta Pro" w:eastAsia="Times New Roman" w:hAnsi="Meta Pro"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768C8F48" w14:textId="77777777" w:rsidR="00BC5219" w:rsidRPr="00FB058E" w:rsidRDefault="00BC5219" w:rsidP="00E83802">
            <w:pPr>
              <w:jc w:val="right"/>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0961C53B" w14:textId="77777777" w:rsidR="00BC5219" w:rsidRPr="00FB058E" w:rsidRDefault="00BC5219" w:rsidP="00E83802">
            <w:pPr>
              <w:rPr>
                <w:rFonts w:ascii="Meta Pro" w:eastAsia="Times New Roman" w:hAnsi="Meta Pro"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06D81685" w14:textId="77777777" w:rsidR="00BC5219" w:rsidRPr="00FB058E" w:rsidRDefault="00BC5219" w:rsidP="00E83802">
            <w:pPr>
              <w:jc w:val="right"/>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2AE494A1" w14:textId="77777777" w:rsidR="00BC5219" w:rsidRPr="00FB058E" w:rsidRDefault="00BC5219" w:rsidP="00E83802">
            <w:pPr>
              <w:rPr>
                <w:rFonts w:ascii="Meta Pro" w:eastAsia="Times New Roman" w:hAnsi="Meta Pro"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1E26B3B1" w14:textId="77777777" w:rsidR="00BC5219" w:rsidRPr="00FB058E" w:rsidRDefault="00BC5219" w:rsidP="00E83802">
            <w:pPr>
              <w:jc w:val="right"/>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4DC8408D" w14:textId="77777777" w:rsidR="00BC5219" w:rsidRPr="00FB058E" w:rsidRDefault="00BC5219" w:rsidP="00E83802">
            <w:pPr>
              <w:rPr>
                <w:rFonts w:ascii="Meta Pro" w:eastAsia="Times New Roman" w:hAnsi="Meta Pro"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1661445B" w14:textId="77777777" w:rsidR="00BC5219" w:rsidRPr="00FB058E" w:rsidRDefault="00BC5219" w:rsidP="00E83802">
            <w:pPr>
              <w:jc w:val="right"/>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2C881673" w14:textId="77777777" w:rsidR="00BC5219" w:rsidRPr="00FB058E" w:rsidRDefault="00BC5219" w:rsidP="00E83802">
            <w:pPr>
              <w:rPr>
                <w:rFonts w:ascii="Meta Pro" w:eastAsia="Times New Roman" w:hAnsi="Meta Pro" w:cs="Times New Roman"/>
                <w:sz w:val="20"/>
                <w:szCs w:val="20"/>
                <w:lang w:eastAsia="en-AU"/>
              </w:rPr>
            </w:pPr>
          </w:p>
        </w:tc>
      </w:tr>
      <w:tr w:rsidR="00BC5219" w:rsidRPr="00FB058E" w14:paraId="47CC0340" w14:textId="77777777" w:rsidTr="00E83802">
        <w:trPr>
          <w:trHeight w:val="240"/>
        </w:trPr>
        <w:tc>
          <w:tcPr>
            <w:tcW w:w="3810" w:type="dxa"/>
            <w:tcBorders>
              <w:top w:val="nil"/>
              <w:left w:val="nil"/>
              <w:bottom w:val="nil"/>
              <w:right w:val="nil"/>
            </w:tcBorders>
            <w:shd w:val="clear" w:color="auto" w:fill="auto"/>
            <w:noWrap/>
            <w:vAlign w:val="center"/>
            <w:hideMark/>
          </w:tcPr>
          <w:p w14:paraId="435EBC0E" w14:textId="77777777" w:rsidR="00BC5219" w:rsidRPr="00FB058E" w:rsidRDefault="00BC5219" w:rsidP="00E83802">
            <w:pPr>
              <w:rPr>
                <w:rFonts w:ascii="Meta Pro" w:eastAsia="Times New Roman" w:hAnsi="Meta Pro"/>
                <w:szCs w:val="18"/>
                <w:lang w:eastAsia="en-AU"/>
              </w:rPr>
            </w:pPr>
            <w:r w:rsidRPr="00FB058E">
              <w:rPr>
                <w:rFonts w:ascii="Meta Pro" w:eastAsia="Times New Roman" w:hAnsi="Meta Pro"/>
                <w:szCs w:val="18"/>
                <w:lang w:eastAsia="en-AU"/>
              </w:rPr>
              <w:t>Carrying amount at 1 July</w:t>
            </w:r>
          </w:p>
        </w:tc>
        <w:tc>
          <w:tcPr>
            <w:tcW w:w="1134" w:type="dxa"/>
            <w:tcBorders>
              <w:top w:val="nil"/>
              <w:left w:val="nil"/>
              <w:bottom w:val="nil"/>
              <w:right w:val="nil"/>
            </w:tcBorders>
            <w:shd w:val="clear" w:color="000000" w:fill="C9E3B4"/>
            <w:noWrap/>
            <w:vAlign w:val="center"/>
            <w:hideMark/>
          </w:tcPr>
          <w:p w14:paraId="24614885" w14:textId="77777777" w:rsidR="00BC5219" w:rsidRPr="00FB058E" w:rsidRDefault="00BC5219" w:rsidP="00E83802">
            <w:pPr>
              <w:jc w:val="right"/>
              <w:rPr>
                <w:rFonts w:ascii="Meta Pro" w:eastAsia="Times New Roman" w:hAnsi="Meta Pro"/>
                <w:szCs w:val="18"/>
                <w:lang w:eastAsia="en-AU"/>
              </w:rPr>
            </w:pPr>
            <w:r w:rsidRPr="00FB058E">
              <w:rPr>
                <w:rFonts w:ascii="Meta Pro" w:eastAsia="Times New Roman" w:hAnsi="Meta Pro"/>
                <w:szCs w:val="18"/>
                <w:lang w:eastAsia="en-AU"/>
              </w:rPr>
              <w:t xml:space="preserve">14,486 </w:t>
            </w:r>
          </w:p>
        </w:tc>
        <w:tc>
          <w:tcPr>
            <w:tcW w:w="196" w:type="dxa"/>
            <w:tcBorders>
              <w:top w:val="nil"/>
              <w:left w:val="nil"/>
              <w:bottom w:val="nil"/>
              <w:right w:val="nil"/>
            </w:tcBorders>
            <w:shd w:val="clear" w:color="auto" w:fill="auto"/>
            <w:noWrap/>
            <w:vAlign w:val="center"/>
            <w:hideMark/>
          </w:tcPr>
          <w:p w14:paraId="4327CB37" w14:textId="77777777" w:rsidR="00BC5219" w:rsidRPr="00FB058E"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68ABDFF5" w14:textId="77777777" w:rsidR="00BC5219" w:rsidRPr="00FB058E" w:rsidRDefault="00BC5219" w:rsidP="00E83802">
            <w:pPr>
              <w:jc w:val="right"/>
              <w:rPr>
                <w:rFonts w:ascii="Meta Pro" w:eastAsia="Times New Roman" w:hAnsi="Meta Pro"/>
                <w:szCs w:val="18"/>
                <w:lang w:eastAsia="en-AU"/>
              </w:rPr>
            </w:pPr>
            <w:r w:rsidRPr="00FB058E">
              <w:rPr>
                <w:rFonts w:ascii="Meta Pro" w:eastAsia="Times New Roman" w:hAnsi="Meta Pro"/>
                <w:szCs w:val="18"/>
                <w:lang w:eastAsia="en-AU"/>
              </w:rPr>
              <w:t xml:space="preserve">27,230 </w:t>
            </w:r>
          </w:p>
        </w:tc>
        <w:tc>
          <w:tcPr>
            <w:tcW w:w="196" w:type="dxa"/>
            <w:tcBorders>
              <w:top w:val="nil"/>
              <w:left w:val="nil"/>
              <w:bottom w:val="nil"/>
              <w:right w:val="nil"/>
            </w:tcBorders>
            <w:shd w:val="clear" w:color="auto" w:fill="auto"/>
            <w:noWrap/>
            <w:vAlign w:val="center"/>
            <w:hideMark/>
          </w:tcPr>
          <w:p w14:paraId="24BBB82F" w14:textId="77777777" w:rsidR="00BC5219" w:rsidRPr="00FB058E"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5095B86B" w14:textId="77777777" w:rsidR="00BC5219" w:rsidRPr="00FB058E" w:rsidRDefault="00BC5219" w:rsidP="00E83802">
            <w:pPr>
              <w:jc w:val="right"/>
              <w:rPr>
                <w:rFonts w:ascii="Meta Pro" w:eastAsia="Times New Roman" w:hAnsi="Meta Pro"/>
                <w:szCs w:val="18"/>
                <w:lang w:eastAsia="en-AU"/>
              </w:rPr>
            </w:pPr>
            <w:r w:rsidRPr="00FB058E">
              <w:rPr>
                <w:rFonts w:ascii="Meta Pro" w:eastAsia="Times New Roman" w:hAnsi="Meta Pro"/>
                <w:szCs w:val="18"/>
                <w:lang w:eastAsia="en-AU"/>
              </w:rPr>
              <w:t xml:space="preserve">44,114 </w:t>
            </w:r>
          </w:p>
        </w:tc>
        <w:tc>
          <w:tcPr>
            <w:tcW w:w="196" w:type="dxa"/>
            <w:tcBorders>
              <w:top w:val="nil"/>
              <w:left w:val="nil"/>
              <w:bottom w:val="nil"/>
              <w:right w:val="nil"/>
            </w:tcBorders>
            <w:shd w:val="clear" w:color="auto" w:fill="auto"/>
            <w:noWrap/>
            <w:vAlign w:val="center"/>
            <w:hideMark/>
          </w:tcPr>
          <w:p w14:paraId="1AD0B671" w14:textId="77777777" w:rsidR="00BC5219" w:rsidRPr="00FB058E"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53F3D129" w14:textId="77777777" w:rsidR="00BC5219" w:rsidRPr="00FB058E" w:rsidRDefault="00BC5219" w:rsidP="00E83802">
            <w:pPr>
              <w:jc w:val="right"/>
              <w:rPr>
                <w:rFonts w:ascii="Meta Pro" w:eastAsia="Times New Roman" w:hAnsi="Meta Pro"/>
                <w:szCs w:val="18"/>
                <w:lang w:eastAsia="en-AU"/>
              </w:rPr>
            </w:pPr>
            <w:r w:rsidRPr="00FB058E">
              <w:rPr>
                <w:rFonts w:ascii="Meta Pro" w:eastAsia="Times New Roman" w:hAnsi="Meta Pro"/>
                <w:szCs w:val="18"/>
                <w:lang w:eastAsia="en-AU"/>
              </w:rPr>
              <w:t xml:space="preserve">4,346 </w:t>
            </w:r>
          </w:p>
        </w:tc>
        <w:tc>
          <w:tcPr>
            <w:tcW w:w="196" w:type="dxa"/>
            <w:tcBorders>
              <w:top w:val="nil"/>
              <w:left w:val="nil"/>
              <w:bottom w:val="nil"/>
              <w:right w:val="nil"/>
            </w:tcBorders>
            <w:shd w:val="clear" w:color="auto" w:fill="auto"/>
            <w:noWrap/>
            <w:vAlign w:val="center"/>
            <w:hideMark/>
          </w:tcPr>
          <w:p w14:paraId="4BABF001" w14:textId="77777777" w:rsidR="00BC5219" w:rsidRPr="00FB058E"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1E233599" w14:textId="77777777" w:rsidR="00BC5219" w:rsidRPr="00FB058E" w:rsidRDefault="00BC5219" w:rsidP="00E83802">
            <w:pPr>
              <w:jc w:val="right"/>
              <w:rPr>
                <w:rFonts w:ascii="Meta Pro" w:eastAsia="Times New Roman" w:hAnsi="Meta Pro"/>
                <w:b/>
                <w:bCs/>
                <w:szCs w:val="18"/>
                <w:lang w:eastAsia="en-AU"/>
              </w:rPr>
            </w:pPr>
            <w:r w:rsidRPr="00FB058E">
              <w:rPr>
                <w:rFonts w:ascii="Meta Pro" w:eastAsia="Times New Roman" w:hAnsi="Meta Pro"/>
                <w:b/>
                <w:bCs/>
                <w:szCs w:val="18"/>
                <w:lang w:eastAsia="en-AU"/>
              </w:rPr>
              <w:t xml:space="preserve">90,176 </w:t>
            </w:r>
          </w:p>
        </w:tc>
      </w:tr>
      <w:tr w:rsidR="00BC5219" w:rsidRPr="00FB058E" w14:paraId="3953937D" w14:textId="77777777" w:rsidTr="00E83802">
        <w:trPr>
          <w:trHeight w:val="240"/>
        </w:trPr>
        <w:tc>
          <w:tcPr>
            <w:tcW w:w="3810" w:type="dxa"/>
            <w:tcBorders>
              <w:top w:val="nil"/>
              <w:left w:val="nil"/>
              <w:bottom w:val="nil"/>
              <w:right w:val="nil"/>
            </w:tcBorders>
            <w:shd w:val="clear" w:color="auto" w:fill="auto"/>
            <w:noWrap/>
            <w:vAlign w:val="center"/>
            <w:hideMark/>
          </w:tcPr>
          <w:p w14:paraId="78A591D4" w14:textId="77777777" w:rsidR="00BC5219" w:rsidRPr="00FB058E" w:rsidRDefault="00BC5219" w:rsidP="00E83802">
            <w:pPr>
              <w:rPr>
                <w:rFonts w:ascii="Meta Pro" w:eastAsia="Times New Roman" w:hAnsi="Meta Pro"/>
                <w:szCs w:val="18"/>
                <w:lang w:eastAsia="en-AU"/>
              </w:rPr>
            </w:pPr>
            <w:r w:rsidRPr="00FB058E">
              <w:rPr>
                <w:rFonts w:ascii="Meta Pro" w:eastAsia="Times New Roman" w:hAnsi="Meta Pro"/>
                <w:szCs w:val="18"/>
                <w:lang w:eastAsia="en-AU"/>
              </w:rPr>
              <w:t>Assets received due to machinery-of-</w:t>
            </w:r>
          </w:p>
        </w:tc>
        <w:tc>
          <w:tcPr>
            <w:tcW w:w="1134" w:type="dxa"/>
            <w:tcBorders>
              <w:top w:val="nil"/>
              <w:left w:val="nil"/>
              <w:bottom w:val="nil"/>
              <w:right w:val="nil"/>
            </w:tcBorders>
            <w:shd w:val="clear" w:color="000000" w:fill="C9E3B4"/>
            <w:noWrap/>
            <w:vAlign w:val="center"/>
            <w:hideMark/>
          </w:tcPr>
          <w:p w14:paraId="02D85B38" w14:textId="77777777" w:rsidR="00BC5219" w:rsidRPr="00FB058E" w:rsidRDefault="00BC5219" w:rsidP="00E83802">
            <w:pPr>
              <w:rPr>
                <w:rFonts w:ascii="Meta Pro" w:eastAsia="Times New Roman" w:hAnsi="Meta Pro"/>
                <w:szCs w:val="18"/>
                <w:lang w:eastAsia="en-AU"/>
              </w:rPr>
            </w:pPr>
            <w:r w:rsidRPr="00FB058E">
              <w:rPr>
                <w:rFonts w:ascii="Meta Pro" w:eastAsia="Times New Roman" w:hAnsi="Meta Pro"/>
                <w:szCs w:val="18"/>
                <w:lang w:eastAsia="en-AU"/>
              </w:rPr>
              <w:t> </w:t>
            </w:r>
          </w:p>
        </w:tc>
        <w:tc>
          <w:tcPr>
            <w:tcW w:w="196" w:type="dxa"/>
            <w:tcBorders>
              <w:top w:val="nil"/>
              <w:left w:val="nil"/>
              <w:bottom w:val="nil"/>
              <w:right w:val="nil"/>
            </w:tcBorders>
            <w:shd w:val="clear" w:color="auto" w:fill="auto"/>
            <w:noWrap/>
            <w:vAlign w:val="center"/>
            <w:hideMark/>
          </w:tcPr>
          <w:p w14:paraId="413027B8" w14:textId="77777777" w:rsidR="00BC5219" w:rsidRPr="00FB058E" w:rsidRDefault="00BC5219" w:rsidP="00E83802">
            <w:pPr>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6F709669" w14:textId="77777777" w:rsidR="00BC5219" w:rsidRPr="00FB058E" w:rsidRDefault="00BC5219" w:rsidP="00E83802">
            <w:pPr>
              <w:rPr>
                <w:rFonts w:ascii="Meta Pro" w:eastAsia="Times New Roman" w:hAnsi="Meta Pro"/>
                <w:szCs w:val="18"/>
                <w:lang w:eastAsia="en-AU"/>
              </w:rPr>
            </w:pPr>
            <w:r w:rsidRPr="00FB058E">
              <w:rPr>
                <w:rFonts w:ascii="Meta Pro" w:eastAsia="Times New Roman" w:hAnsi="Meta Pro"/>
                <w:szCs w:val="18"/>
                <w:lang w:eastAsia="en-AU"/>
              </w:rPr>
              <w:t> </w:t>
            </w:r>
          </w:p>
        </w:tc>
        <w:tc>
          <w:tcPr>
            <w:tcW w:w="196" w:type="dxa"/>
            <w:tcBorders>
              <w:top w:val="nil"/>
              <w:left w:val="nil"/>
              <w:bottom w:val="nil"/>
              <w:right w:val="nil"/>
            </w:tcBorders>
            <w:shd w:val="clear" w:color="auto" w:fill="auto"/>
            <w:noWrap/>
            <w:vAlign w:val="center"/>
            <w:hideMark/>
          </w:tcPr>
          <w:p w14:paraId="4D471F72" w14:textId="77777777" w:rsidR="00BC5219" w:rsidRPr="00FB058E" w:rsidRDefault="00BC5219" w:rsidP="00E83802">
            <w:pPr>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3C8E486F" w14:textId="77777777" w:rsidR="00BC5219" w:rsidRPr="00FB058E" w:rsidRDefault="00BC5219" w:rsidP="00E83802">
            <w:pPr>
              <w:rPr>
                <w:rFonts w:ascii="Meta Pro" w:eastAsia="Times New Roman" w:hAnsi="Meta Pro"/>
                <w:szCs w:val="18"/>
                <w:lang w:eastAsia="en-AU"/>
              </w:rPr>
            </w:pPr>
            <w:r w:rsidRPr="00FB058E">
              <w:rPr>
                <w:rFonts w:ascii="Meta Pro" w:eastAsia="Times New Roman" w:hAnsi="Meta Pro"/>
                <w:szCs w:val="18"/>
                <w:lang w:eastAsia="en-AU"/>
              </w:rPr>
              <w:t> </w:t>
            </w:r>
          </w:p>
        </w:tc>
        <w:tc>
          <w:tcPr>
            <w:tcW w:w="196" w:type="dxa"/>
            <w:tcBorders>
              <w:top w:val="nil"/>
              <w:left w:val="nil"/>
              <w:bottom w:val="nil"/>
              <w:right w:val="nil"/>
            </w:tcBorders>
            <w:shd w:val="clear" w:color="auto" w:fill="auto"/>
            <w:noWrap/>
            <w:vAlign w:val="center"/>
            <w:hideMark/>
          </w:tcPr>
          <w:p w14:paraId="397D9301" w14:textId="77777777" w:rsidR="00BC5219" w:rsidRPr="00FB058E" w:rsidRDefault="00BC5219" w:rsidP="00E83802">
            <w:pPr>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217D6E8C" w14:textId="77777777" w:rsidR="00BC5219" w:rsidRPr="00FB058E" w:rsidRDefault="00BC5219" w:rsidP="00E83802">
            <w:pPr>
              <w:rPr>
                <w:rFonts w:ascii="Meta Pro" w:eastAsia="Times New Roman" w:hAnsi="Meta Pro"/>
                <w:szCs w:val="18"/>
                <w:lang w:eastAsia="en-AU"/>
              </w:rPr>
            </w:pPr>
            <w:r w:rsidRPr="00FB058E">
              <w:rPr>
                <w:rFonts w:ascii="Meta Pro" w:eastAsia="Times New Roman" w:hAnsi="Meta Pro"/>
                <w:szCs w:val="18"/>
                <w:lang w:eastAsia="en-AU"/>
              </w:rPr>
              <w:t> </w:t>
            </w:r>
          </w:p>
        </w:tc>
        <w:tc>
          <w:tcPr>
            <w:tcW w:w="196" w:type="dxa"/>
            <w:tcBorders>
              <w:top w:val="nil"/>
              <w:left w:val="nil"/>
              <w:bottom w:val="nil"/>
              <w:right w:val="nil"/>
            </w:tcBorders>
            <w:shd w:val="clear" w:color="auto" w:fill="auto"/>
            <w:noWrap/>
            <w:vAlign w:val="center"/>
            <w:hideMark/>
          </w:tcPr>
          <w:p w14:paraId="6406BAE3" w14:textId="77777777" w:rsidR="00BC5219" w:rsidRPr="00FB058E" w:rsidRDefault="00BC5219" w:rsidP="00E83802">
            <w:pPr>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713C81FC" w14:textId="77777777" w:rsidR="00BC5219" w:rsidRPr="00FB058E" w:rsidRDefault="00BC5219" w:rsidP="00E83802">
            <w:pPr>
              <w:rPr>
                <w:rFonts w:ascii="Meta Pro" w:eastAsia="Times New Roman" w:hAnsi="Meta Pro"/>
                <w:b/>
                <w:bCs/>
                <w:szCs w:val="18"/>
                <w:lang w:eastAsia="en-AU"/>
              </w:rPr>
            </w:pPr>
            <w:r w:rsidRPr="00FB058E">
              <w:rPr>
                <w:rFonts w:ascii="Meta Pro" w:eastAsia="Times New Roman" w:hAnsi="Meta Pro"/>
                <w:b/>
                <w:bCs/>
                <w:szCs w:val="18"/>
                <w:lang w:eastAsia="en-AU"/>
              </w:rPr>
              <w:t> </w:t>
            </w:r>
          </w:p>
        </w:tc>
      </w:tr>
      <w:tr w:rsidR="00BC5219" w:rsidRPr="00FB058E" w14:paraId="6A8ECAF0" w14:textId="77777777" w:rsidTr="00E83802">
        <w:trPr>
          <w:trHeight w:val="240"/>
        </w:trPr>
        <w:tc>
          <w:tcPr>
            <w:tcW w:w="3810" w:type="dxa"/>
            <w:tcBorders>
              <w:top w:val="nil"/>
              <w:left w:val="nil"/>
              <w:bottom w:val="nil"/>
              <w:right w:val="nil"/>
            </w:tcBorders>
            <w:shd w:val="clear" w:color="auto" w:fill="auto"/>
            <w:noWrap/>
            <w:vAlign w:val="center"/>
            <w:hideMark/>
          </w:tcPr>
          <w:p w14:paraId="564DEE76" w14:textId="77777777" w:rsidR="00BC5219" w:rsidRPr="00FB058E" w:rsidRDefault="00BC5219" w:rsidP="00E83802">
            <w:pPr>
              <w:rPr>
                <w:rFonts w:ascii="Meta Pro" w:eastAsia="Times New Roman" w:hAnsi="Meta Pro"/>
                <w:szCs w:val="18"/>
                <w:lang w:eastAsia="en-AU"/>
              </w:rPr>
            </w:pPr>
            <w:r w:rsidRPr="00FB058E">
              <w:rPr>
                <w:rFonts w:ascii="Meta Pro" w:eastAsia="Times New Roman" w:hAnsi="Meta Pro"/>
                <w:szCs w:val="18"/>
                <w:lang w:eastAsia="en-AU"/>
              </w:rPr>
              <w:t>government change (refer to Note 1)</w:t>
            </w:r>
          </w:p>
        </w:tc>
        <w:tc>
          <w:tcPr>
            <w:tcW w:w="1134" w:type="dxa"/>
            <w:tcBorders>
              <w:top w:val="nil"/>
              <w:left w:val="nil"/>
              <w:bottom w:val="nil"/>
              <w:right w:val="nil"/>
            </w:tcBorders>
            <w:shd w:val="clear" w:color="000000" w:fill="C9E3B4"/>
            <w:noWrap/>
            <w:vAlign w:val="center"/>
            <w:hideMark/>
          </w:tcPr>
          <w:p w14:paraId="06C20CB9" w14:textId="77777777" w:rsidR="00BC5219" w:rsidRPr="00FB058E" w:rsidRDefault="00BC5219" w:rsidP="00E83802">
            <w:pPr>
              <w:jc w:val="right"/>
              <w:rPr>
                <w:rFonts w:ascii="Meta Pro" w:eastAsia="Times New Roman" w:hAnsi="Meta Pro"/>
                <w:szCs w:val="18"/>
                <w:lang w:eastAsia="en-AU"/>
              </w:rPr>
            </w:pPr>
            <w:r w:rsidRPr="00FB058E">
              <w:rPr>
                <w:rFonts w:ascii="Meta Pro" w:eastAsia="Times New Roman" w:hAnsi="Meta Pro"/>
                <w:szCs w:val="18"/>
                <w:lang w:eastAsia="en-AU"/>
              </w:rPr>
              <w:t xml:space="preserve">263 </w:t>
            </w:r>
          </w:p>
        </w:tc>
        <w:tc>
          <w:tcPr>
            <w:tcW w:w="196" w:type="dxa"/>
            <w:tcBorders>
              <w:top w:val="nil"/>
              <w:left w:val="nil"/>
              <w:bottom w:val="nil"/>
              <w:right w:val="nil"/>
            </w:tcBorders>
            <w:shd w:val="clear" w:color="auto" w:fill="auto"/>
            <w:noWrap/>
            <w:vAlign w:val="center"/>
            <w:hideMark/>
          </w:tcPr>
          <w:p w14:paraId="5D6EBF3E" w14:textId="77777777" w:rsidR="00BC5219" w:rsidRPr="00FB058E"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7CAB838A" w14:textId="77777777" w:rsidR="00BC5219" w:rsidRPr="00FB058E" w:rsidRDefault="00BC5219" w:rsidP="00E83802">
            <w:pPr>
              <w:jc w:val="right"/>
              <w:rPr>
                <w:rFonts w:ascii="Meta Pro" w:eastAsia="Times New Roman" w:hAnsi="Meta Pro"/>
                <w:szCs w:val="18"/>
                <w:lang w:eastAsia="en-AU"/>
              </w:rPr>
            </w:pPr>
            <w:r w:rsidRPr="00FB058E">
              <w:rPr>
                <w:rFonts w:ascii="Meta Pro" w:eastAsia="Times New Roman" w:hAnsi="Meta Pro"/>
                <w:szCs w:val="18"/>
                <w:lang w:eastAsia="en-AU"/>
              </w:rPr>
              <w:t xml:space="preserve">6,409 </w:t>
            </w:r>
          </w:p>
        </w:tc>
        <w:tc>
          <w:tcPr>
            <w:tcW w:w="196" w:type="dxa"/>
            <w:tcBorders>
              <w:top w:val="nil"/>
              <w:left w:val="nil"/>
              <w:bottom w:val="nil"/>
              <w:right w:val="nil"/>
            </w:tcBorders>
            <w:shd w:val="clear" w:color="auto" w:fill="auto"/>
            <w:noWrap/>
            <w:vAlign w:val="center"/>
            <w:hideMark/>
          </w:tcPr>
          <w:p w14:paraId="5AE2330D" w14:textId="77777777" w:rsidR="00BC5219" w:rsidRPr="00FB058E"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32CD658C" w14:textId="77777777" w:rsidR="00BC5219" w:rsidRPr="00FB058E" w:rsidRDefault="00BC5219" w:rsidP="00E83802">
            <w:pPr>
              <w:jc w:val="right"/>
              <w:rPr>
                <w:rFonts w:ascii="Meta Pro" w:eastAsia="Times New Roman" w:hAnsi="Meta Pro"/>
                <w:szCs w:val="18"/>
                <w:lang w:eastAsia="en-AU"/>
              </w:rPr>
            </w:pPr>
            <w:r w:rsidRPr="00FB058E">
              <w:rPr>
                <w:rFonts w:ascii="Meta Pro" w:eastAsia="Times New Roman" w:hAnsi="Meta Pro"/>
                <w:szCs w:val="18"/>
                <w:lang w:eastAsia="en-AU"/>
              </w:rPr>
              <w:t xml:space="preserve">1,747 </w:t>
            </w:r>
          </w:p>
        </w:tc>
        <w:tc>
          <w:tcPr>
            <w:tcW w:w="196" w:type="dxa"/>
            <w:tcBorders>
              <w:top w:val="nil"/>
              <w:left w:val="nil"/>
              <w:bottom w:val="nil"/>
              <w:right w:val="nil"/>
            </w:tcBorders>
            <w:shd w:val="clear" w:color="auto" w:fill="auto"/>
            <w:noWrap/>
            <w:vAlign w:val="center"/>
            <w:hideMark/>
          </w:tcPr>
          <w:p w14:paraId="0CBD6DF3" w14:textId="77777777" w:rsidR="00BC5219" w:rsidRPr="00FB058E"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5A2FBEB2" w14:textId="77777777" w:rsidR="00BC5219" w:rsidRPr="00FB058E" w:rsidRDefault="00BC5219" w:rsidP="00E83802">
            <w:pPr>
              <w:jc w:val="right"/>
              <w:rPr>
                <w:rFonts w:ascii="Meta Pro" w:eastAsia="Times New Roman" w:hAnsi="Meta Pro"/>
                <w:szCs w:val="18"/>
                <w:lang w:eastAsia="en-AU"/>
              </w:rPr>
            </w:pPr>
            <w:r w:rsidRPr="00FB058E">
              <w:rPr>
                <w:rFonts w:ascii="Meta Pro" w:eastAsia="Times New Roman" w:hAnsi="Meta Pro"/>
                <w:szCs w:val="18"/>
                <w:lang w:eastAsia="en-AU"/>
              </w:rPr>
              <w:t xml:space="preserve">- </w:t>
            </w:r>
          </w:p>
        </w:tc>
        <w:tc>
          <w:tcPr>
            <w:tcW w:w="196" w:type="dxa"/>
            <w:tcBorders>
              <w:top w:val="nil"/>
              <w:left w:val="nil"/>
              <w:bottom w:val="nil"/>
              <w:right w:val="nil"/>
            </w:tcBorders>
            <w:shd w:val="clear" w:color="auto" w:fill="auto"/>
            <w:noWrap/>
            <w:vAlign w:val="center"/>
            <w:hideMark/>
          </w:tcPr>
          <w:p w14:paraId="74B38E13" w14:textId="77777777" w:rsidR="00BC5219" w:rsidRPr="00FB058E"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275E5FD2" w14:textId="77777777" w:rsidR="00BC5219" w:rsidRPr="00FB058E" w:rsidRDefault="00BC5219" w:rsidP="00E83802">
            <w:pPr>
              <w:jc w:val="right"/>
              <w:rPr>
                <w:rFonts w:ascii="Meta Pro" w:eastAsia="Times New Roman" w:hAnsi="Meta Pro"/>
                <w:b/>
                <w:bCs/>
                <w:szCs w:val="18"/>
                <w:lang w:eastAsia="en-AU"/>
              </w:rPr>
            </w:pPr>
            <w:r w:rsidRPr="00FB058E">
              <w:rPr>
                <w:rFonts w:ascii="Meta Pro" w:eastAsia="Times New Roman" w:hAnsi="Meta Pro"/>
                <w:b/>
                <w:bCs/>
                <w:szCs w:val="18"/>
                <w:lang w:eastAsia="en-AU"/>
              </w:rPr>
              <w:t xml:space="preserve">8,419 </w:t>
            </w:r>
          </w:p>
        </w:tc>
      </w:tr>
      <w:tr w:rsidR="00BC5219" w:rsidRPr="00FB058E" w14:paraId="17DAAD19" w14:textId="77777777" w:rsidTr="00E83802">
        <w:trPr>
          <w:trHeight w:val="240"/>
        </w:trPr>
        <w:tc>
          <w:tcPr>
            <w:tcW w:w="3810" w:type="dxa"/>
            <w:tcBorders>
              <w:top w:val="nil"/>
              <w:left w:val="nil"/>
              <w:bottom w:val="nil"/>
              <w:right w:val="nil"/>
            </w:tcBorders>
            <w:shd w:val="clear" w:color="auto" w:fill="auto"/>
            <w:noWrap/>
            <w:vAlign w:val="center"/>
            <w:hideMark/>
          </w:tcPr>
          <w:p w14:paraId="030C3641" w14:textId="77777777" w:rsidR="00BC5219" w:rsidRPr="00FB058E" w:rsidRDefault="00BC5219" w:rsidP="00E83802">
            <w:pPr>
              <w:rPr>
                <w:rFonts w:ascii="Meta Pro" w:eastAsia="Times New Roman" w:hAnsi="Meta Pro"/>
                <w:szCs w:val="18"/>
                <w:lang w:eastAsia="en-AU"/>
              </w:rPr>
            </w:pPr>
            <w:r w:rsidRPr="00FB058E">
              <w:rPr>
                <w:rFonts w:ascii="Meta Pro" w:eastAsia="Times New Roman" w:hAnsi="Meta Pro"/>
                <w:szCs w:val="18"/>
                <w:lang w:eastAsia="en-AU"/>
              </w:rPr>
              <w:t>Acquisitions (including upgrades)</w:t>
            </w:r>
          </w:p>
        </w:tc>
        <w:tc>
          <w:tcPr>
            <w:tcW w:w="1134" w:type="dxa"/>
            <w:tcBorders>
              <w:top w:val="nil"/>
              <w:left w:val="nil"/>
              <w:bottom w:val="nil"/>
              <w:right w:val="nil"/>
            </w:tcBorders>
            <w:shd w:val="clear" w:color="000000" w:fill="C9E3B4"/>
            <w:noWrap/>
            <w:vAlign w:val="center"/>
            <w:hideMark/>
          </w:tcPr>
          <w:p w14:paraId="0689FFA8" w14:textId="77777777" w:rsidR="00BC5219" w:rsidRPr="00FB058E" w:rsidRDefault="00BC5219" w:rsidP="00E83802">
            <w:pPr>
              <w:jc w:val="right"/>
              <w:rPr>
                <w:rFonts w:ascii="Meta Pro" w:eastAsia="Times New Roman" w:hAnsi="Meta Pro"/>
                <w:szCs w:val="18"/>
                <w:lang w:eastAsia="en-AU"/>
              </w:rPr>
            </w:pPr>
            <w:r w:rsidRPr="00FB058E">
              <w:rPr>
                <w:rFonts w:ascii="Meta Pro" w:eastAsia="Times New Roman" w:hAnsi="Meta Pro"/>
                <w:szCs w:val="18"/>
                <w:lang w:eastAsia="en-AU"/>
              </w:rPr>
              <w:t xml:space="preserve">- </w:t>
            </w:r>
          </w:p>
        </w:tc>
        <w:tc>
          <w:tcPr>
            <w:tcW w:w="196" w:type="dxa"/>
            <w:tcBorders>
              <w:top w:val="nil"/>
              <w:left w:val="nil"/>
              <w:bottom w:val="nil"/>
              <w:right w:val="nil"/>
            </w:tcBorders>
            <w:shd w:val="clear" w:color="auto" w:fill="auto"/>
            <w:noWrap/>
            <w:vAlign w:val="center"/>
            <w:hideMark/>
          </w:tcPr>
          <w:p w14:paraId="772191AB" w14:textId="77777777" w:rsidR="00BC5219" w:rsidRPr="00FB058E"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5DDE4273" w14:textId="77777777" w:rsidR="00BC5219" w:rsidRPr="00FB058E" w:rsidRDefault="00BC5219" w:rsidP="00E83802">
            <w:pPr>
              <w:jc w:val="right"/>
              <w:rPr>
                <w:rFonts w:ascii="Meta Pro" w:eastAsia="Times New Roman" w:hAnsi="Meta Pro"/>
                <w:szCs w:val="18"/>
                <w:lang w:eastAsia="en-AU"/>
              </w:rPr>
            </w:pPr>
            <w:r w:rsidRPr="00FB058E">
              <w:rPr>
                <w:rFonts w:ascii="Meta Pro" w:eastAsia="Times New Roman" w:hAnsi="Meta Pro"/>
                <w:szCs w:val="18"/>
                <w:lang w:eastAsia="en-AU"/>
              </w:rPr>
              <w:t xml:space="preserve">- </w:t>
            </w:r>
          </w:p>
        </w:tc>
        <w:tc>
          <w:tcPr>
            <w:tcW w:w="196" w:type="dxa"/>
            <w:tcBorders>
              <w:top w:val="nil"/>
              <w:left w:val="nil"/>
              <w:bottom w:val="nil"/>
              <w:right w:val="nil"/>
            </w:tcBorders>
            <w:shd w:val="clear" w:color="auto" w:fill="auto"/>
            <w:noWrap/>
            <w:vAlign w:val="center"/>
            <w:hideMark/>
          </w:tcPr>
          <w:p w14:paraId="32A811B7" w14:textId="77777777" w:rsidR="00BC5219" w:rsidRPr="00FB058E"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74BC6E72" w14:textId="77777777" w:rsidR="00BC5219" w:rsidRPr="00FB058E" w:rsidRDefault="00BC5219" w:rsidP="00E83802">
            <w:pPr>
              <w:jc w:val="right"/>
              <w:rPr>
                <w:rFonts w:ascii="Meta Pro" w:eastAsia="Times New Roman" w:hAnsi="Meta Pro"/>
                <w:szCs w:val="18"/>
                <w:lang w:eastAsia="en-AU"/>
              </w:rPr>
            </w:pPr>
            <w:r w:rsidRPr="00FB058E">
              <w:rPr>
                <w:rFonts w:ascii="Meta Pro" w:eastAsia="Times New Roman" w:hAnsi="Meta Pro"/>
                <w:szCs w:val="18"/>
                <w:lang w:eastAsia="en-AU"/>
              </w:rPr>
              <w:t xml:space="preserve">22,757 </w:t>
            </w:r>
          </w:p>
        </w:tc>
        <w:tc>
          <w:tcPr>
            <w:tcW w:w="196" w:type="dxa"/>
            <w:tcBorders>
              <w:top w:val="nil"/>
              <w:left w:val="nil"/>
              <w:bottom w:val="nil"/>
              <w:right w:val="nil"/>
            </w:tcBorders>
            <w:shd w:val="clear" w:color="auto" w:fill="auto"/>
            <w:noWrap/>
            <w:vAlign w:val="center"/>
            <w:hideMark/>
          </w:tcPr>
          <w:p w14:paraId="7BE60ADD" w14:textId="77777777" w:rsidR="00BC5219" w:rsidRPr="00FB058E"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433BBF70" w14:textId="77777777" w:rsidR="00BC5219" w:rsidRPr="00FB058E" w:rsidRDefault="00BC5219" w:rsidP="00E83802">
            <w:pPr>
              <w:jc w:val="right"/>
              <w:rPr>
                <w:rFonts w:ascii="Meta Pro" w:eastAsia="Times New Roman" w:hAnsi="Meta Pro"/>
                <w:szCs w:val="18"/>
                <w:lang w:eastAsia="en-AU"/>
              </w:rPr>
            </w:pPr>
            <w:r w:rsidRPr="00FB058E">
              <w:rPr>
                <w:rFonts w:ascii="Meta Pro" w:eastAsia="Times New Roman" w:hAnsi="Meta Pro"/>
                <w:szCs w:val="18"/>
                <w:lang w:eastAsia="en-AU"/>
              </w:rPr>
              <w:t xml:space="preserve">- </w:t>
            </w:r>
          </w:p>
        </w:tc>
        <w:tc>
          <w:tcPr>
            <w:tcW w:w="196" w:type="dxa"/>
            <w:tcBorders>
              <w:top w:val="nil"/>
              <w:left w:val="nil"/>
              <w:bottom w:val="nil"/>
              <w:right w:val="nil"/>
            </w:tcBorders>
            <w:shd w:val="clear" w:color="auto" w:fill="auto"/>
            <w:noWrap/>
            <w:vAlign w:val="center"/>
            <w:hideMark/>
          </w:tcPr>
          <w:p w14:paraId="662C0EF7" w14:textId="77777777" w:rsidR="00BC5219" w:rsidRPr="00FB058E"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43470D6B" w14:textId="77777777" w:rsidR="00BC5219" w:rsidRPr="00FB058E" w:rsidRDefault="00BC5219" w:rsidP="00E83802">
            <w:pPr>
              <w:jc w:val="right"/>
              <w:rPr>
                <w:rFonts w:ascii="Meta Pro" w:eastAsia="Times New Roman" w:hAnsi="Meta Pro"/>
                <w:b/>
                <w:bCs/>
                <w:szCs w:val="18"/>
                <w:lang w:eastAsia="en-AU"/>
              </w:rPr>
            </w:pPr>
            <w:r w:rsidRPr="00FB058E">
              <w:rPr>
                <w:rFonts w:ascii="Meta Pro" w:eastAsia="Times New Roman" w:hAnsi="Meta Pro"/>
                <w:b/>
                <w:bCs/>
                <w:szCs w:val="18"/>
                <w:lang w:eastAsia="en-AU"/>
              </w:rPr>
              <w:t xml:space="preserve">22,757 </w:t>
            </w:r>
          </w:p>
        </w:tc>
      </w:tr>
      <w:tr w:rsidR="00BC5219" w:rsidRPr="00FB058E" w14:paraId="36B92B53" w14:textId="77777777" w:rsidTr="00E83802">
        <w:trPr>
          <w:trHeight w:val="240"/>
        </w:trPr>
        <w:tc>
          <w:tcPr>
            <w:tcW w:w="3810" w:type="dxa"/>
            <w:tcBorders>
              <w:top w:val="nil"/>
              <w:left w:val="nil"/>
              <w:bottom w:val="nil"/>
              <w:right w:val="nil"/>
            </w:tcBorders>
            <w:shd w:val="clear" w:color="auto" w:fill="auto"/>
            <w:noWrap/>
            <w:vAlign w:val="center"/>
            <w:hideMark/>
          </w:tcPr>
          <w:p w14:paraId="3B2F48C9" w14:textId="77777777" w:rsidR="00BC5219" w:rsidRPr="00FB058E" w:rsidRDefault="00BC5219" w:rsidP="00E83802">
            <w:pPr>
              <w:rPr>
                <w:rFonts w:ascii="Meta Pro" w:eastAsia="Times New Roman" w:hAnsi="Meta Pro"/>
                <w:szCs w:val="18"/>
                <w:lang w:eastAsia="en-AU"/>
              </w:rPr>
            </w:pPr>
            <w:r w:rsidRPr="00FB058E">
              <w:rPr>
                <w:rFonts w:ascii="Meta Pro" w:eastAsia="Times New Roman" w:hAnsi="Meta Pro"/>
                <w:szCs w:val="18"/>
                <w:lang w:eastAsia="en-AU"/>
              </w:rPr>
              <w:t>Transfers between classes</w:t>
            </w:r>
          </w:p>
        </w:tc>
        <w:tc>
          <w:tcPr>
            <w:tcW w:w="1134" w:type="dxa"/>
            <w:tcBorders>
              <w:top w:val="nil"/>
              <w:left w:val="nil"/>
              <w:bottom w:val="nil"/>
              <w:right w:val="nil"/>
            </w:tcBorders>
            <w:shd w:val="clear" w:color="000000" w:fill="C9E3B4"/>
            <w:noWrap/>
            <w:vAlign w:val="center"/>
            <w:hideMark/>
          </w:tcPr>
          <w:p w14:paraId="20082369" w14:textId="77777777" w:rsidR="00BC5219" w:rsidRPr="00FB058E" w:rsidRDefault="00BC5219" w:rsidP="00E83802">
            <w:pPr>
              <w:jc w:val="right"/>
              <w:rPr>
                <w:rFonts w:ascii="Meta Pro" w:eastAsia="Times New Roman" w:hAnsi="Meta Pro"/>
                <w:szCs w:val="18"/>
                <w:lang w:eastAsia="en-AU"/>
              </w:rPr>
            </w:pPr>
            <w:r w:rsidRPr="00FB058E">
              <w:rPr>
                <w:rFonts w:ascii="Meta Pro" w:eastAsia="Times New Roman" w:hAnsi="Meta Pro"/>
                <w:szCs w:val="18"/>
                <w:lang w:eastAsia="en-AU"/>
              </w:rPr>
              <w:t xml:space="preserve">915 </w:t>
            </w:r>
          </w:p>
        </w:tc>
        <w:tc>
          <w:tcPr>
            <w:tcW w:w="196" w:type="dxa"/>
            <w:tcBorders>
              <w:top w:val="nil"/>
              <w:left w:val="nil"/>
              <w:bottom w:val="nil"/>
              <w:right w:val="nil"/>
            </w:tcBorders>
            <w:shd w:val="clear" w:color="auto" w:fill="auto"/>
            <w:noWrap/>
            <w:vAlign w:val="center"/>
            <w:hideMark/>
          </w:tcPr>
          <w:p w14:paraId="73432532" w14:textId="77777777" w:rsidR="00BC5219" w:rsidRPr="00FB058E"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71F6D5E3" w14:textId="77777777" w:rsidR="00BC5219" w:rsidRPr="00FB058E" w:rsidRDefault="00BC5219" w:rsidP="00E83802">
            <w:pPr>
              <w:jc w:val="right"/>
              <w:rPr>
                <w:rFonts w:ascii="Meta Pro" w:eastAsia="Times New Roman" w:hAnsi="Meta Pro"/>
                <w:szCs w:val="18"/>
                <w:lang w:eastAsia="en-AU"/>
              </w:rPr>
            </w:pPr>
            <w:r w:rsidRPr="00FB058E">
              <w:rPr>
                <w:rFonts w:ascii="Meta Pro" w:eastAsia="Times New Roman" w:hAnsi="Meta Pro"/>
                <w:szCs w:val="18"/>
                <w:lang w:eastAsia="en-AU"/>
              </w:rPr>
              <w:t xml:space="preserve">9,580 </w:t>
            </w:r>
          </w:p>
        </w:tc>
        <w:tc>
          <w:tcPr>
            <w:tcW w:w="196" w:type="dxa"/>
            <w:tcBorders>
              <w:top w:val="nil"/>
              <w:left w:val="nil"/>
              <w:bottom w:val="nil"/>
              <w:right w:val="nil"/>
            </w:tcBorders>
            <w:shd w:val="clear" w:color="auto" w:fill="auto"/>
            <w:noWrap/>
            <w:vAlign w:val="center"/>
            <w:hideMark/>
          </w:tcPr>
          <w:p w14:paraId="257866DE" w14:textId="77777777" w:rsidR="00BC5219" w:rsidRPr="00FB058E"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170F20CD" w14:textId="77777777" w:rsidR="00BC5219" w:rsidRPr="00FB058E" w:rsidRDefault="00BC5219" w:rsidP="00E83802">
            <w:pPr>
              <w:jc w:val="right"/>
              <w:rPr>
                <w:rFonts w:ascii="Meta Pro" w:eastAsia="Times New Roman" w:hAnsi="Meta Pro"/>
                <w:szCs w:val="18"/>
                <w:lang w:eastAsia="en-AU"/>
              </w:rPr>
            </w:pPr>
            <w:r w:rsidRPr="00FB058E">
              <w:rPr>
                <w:rFonts w:ascii="Meta Pro" w:eastAsia="Times New Roman" w:hAnsi="Meta Pro"/>
                <w:szCs w:val="18"/>
                <w:lang w:eastAsia="en-AU"/>
              </w:rPr>
              <w:t>(10,495)</w:t>
            </w:r>
          </w:p>
        </w:tc>
        <w:tc>
          <w:tcPr>
            <w:tcW w:w="196" w:type="dxa"/>
            <w:tcBorders>
              <w:top w:val="nil"/>
              <w:left w:val="nil"/>
              <w:bottom w:val="nil"/>
              <w:right w:val="nil"/>
            </w:tcBorders>
            <w:shd w:val="clear" w:color="auto" w:fill="auto"/>
            <w:noWrap/>
            <w:vAlign w:val="center"/>
            <w:hideMark/>
          </w:tcPr>
          <w:p w14:paraId="3A6A1D42" w14:textId="77777777" w:rsidR="00BC5219" w:rsidRPr="00FB058E"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13F13D14" w14:textId="77777777" w:rsidR="00BC5219" w:rsidRPr="00FB058E" w:rsidRDefault="00BC5219" w:rsidP="00E83802">
            <w:pPr>
              <w:jc w:val="right"/>
              <w:rPr>
                <w:rFonts w:ascii="Meta Pro" w:eastAsia="Times New Roman" w:hAnsi="Meta Pro"/>
                <w:szCs w:val="18"/>
                <w:lang w:eastAsia="en-AU"/>
              </w:rPr>
            </w:pPr>
            <w:r w:rsidRPr="00FB058E">
              <w:rPr>
                <w:rFonts w:ascii="Meta Pro" w:eastAsia="Times New Roman" w:hAnsi="Meta Pro"/>
                <w:szCs w:val="18"/>
                <w:lang w:eastAsia="en-AU"/>
              </w:rPr>
              <w:t xml:space="preserve">- </w:t>
            </w:r>
          </w:p>
        </w:tc>
        <w:tc>
          <w:tcPr>
            <w:tcW w:w="196" w:type="dxa"/>
            <w:tcBorders>
              <w:top w:val="nil"/>
              <w:left w:val="nil"/>
              <w:bottom w:val="nil"/>
              <w:right w:val="nil"/>
            </w:tcBorders>
            <w:shd w:val="clear" w:color="auto" w:fill="auto"/>
            <w:noWrap/>
            <w:vAlign w:val="center"/>
            <w:hideMark/>
          </w:tcPr>
          <w:p w14:paraId="28C0E269" w14:textId="77777777" w:rsidR="00BC5219" w:rsidRPr="00FB058E"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0ABAAE30" w14:textId="77777777" w:rsidR="00BC5219" w:rsidRPr="00FB058E" w:rsidRDefault="00BC5219" w:rsidP="00E83802">
            <w:pPr>
              <w:jc w:val="right"/>
              <w:rPr>
                <w:rFonts w:ascii="Meta Pro" w:eastAsia="Times New Roman" w:hAnsi="Meta Pro"/>
                <w:b/>
                <w:bCs/>
                <w:szCs w:val="18"/>
                <w:lang w:eastAsia="en-AU"/>
              </w:rPr>
            </w:pPr>
            <w:r w:rsidRPr="00FB058E">
              <w:rPr>
                <w:rFonts w:ascii="Meta Pro" w:eastAsia="Times New Roman" w:hAnsi="Meta Pro"/>
                <w:b/>
                <w:bCs/>
                <w:szCs w:val="18"/>
                <w:lang w:eastAsia="en-AU"/>
              </w:rPr>
              <w:t xml:space="preserve">- </w:t>
            </w:r>
          </w:p>
        </w:tc>
      </w:tr>
      <w:tr w:rsidR="00BC5219" w:rsidRPr="00FB058E" w14:paraId="3DF032BB" w14:textId="77777777" w:rsidTr="00E83802">
        <w:trPr>
          <w:trHeight w:val="240"/>
        </w:trPr>
        <w:tc>
          <w:tcPr>
            <w:tcW w:w="3810" w:type="dxa"/>
            <w:tcBorders>
              <w:top w:val="nil"/>
              <w:left w:val="nil"/>
              <w:bottom w:val="nil"/>
              <w:right w:val="nil"/>
            </w:tcBorders>
            <w:shd w:val="clear" w:color="auto" w:fill="auto"/>
            <w:noWrap/>
            <w:vAlign w:val="center"/>
            <w:hideMark/>
          </w:tcPr>
          <w:p w14:paraId="78BFD85B" w14:textId="77777777" w:rsidR="00BC5219" w:rsidRPr="00FB058E" w:rsidRDefault="00BC5219" w:rsidP="00E83802">
            <w:pPr>
              <w:rPr>
                <w:rFonts w:ascii="Meta Pro" w:eastAsia="Times New Roman" w:hAnsi="Meta Pro"/>
                <w:szCs w:val="18"/>
                <w:lang w:eastAsia="en-AU"/>
              </w:rPr>
            </w:pPr>
            <w:r w:rsidRPr="00FB058E">
              <w:rPr>
                <w:rFonts w:ascii="Meta Pro" w:eastAsia="Times New Roman" w:hAnsi="Meta Pro"/>
                <w:szCs w:val="18"/>
                <w:lang w:eastAsia="en-AU"/>
              </w:rPr>
              <w:t>Transfers to property, plant and</w:t>
            </w:r>
          </w:p>
        </w:tc>
        <w:tc>
          <w:tcPr>
            <w:tcW w:w="1134" w:type="dxa"/>
            <w:tcBorders>
              <w:top w:val="nil"/>
              <w:left w:val="nil"/>
              <w:bottom w:val="nil"/>
              <w:right w:val="nil"/>
            </w:tcBorders>
            <w:shd w:val="clear" w:color="000000" w:fill="C9E3B4"/>
            <w:noWrap/>
            <w:vAlign w:val="center"/>
            <w:hideMark/>
          </w:tcPr>
          <w:p w14:paraId="72DC06A7" w14:textId="77777777" w:rsidR="00BC5219" w:rsidRPr="00FB058E" w:rsidRDefault="00BC5219" w:rsidP="00E83802">
            <w:pPr>
              <w:jc w:val="right"/>
              <w:rPr>
                <w:rFonts w:ascii="Meta Pro" w:eastAsia="Times New Roman" w:hAnsi="Meta Pro"/>
                <w:szCs w:val="18"/>
                <w:lang w:eastAsia="en-AU"/>
              </w:rPr>
            </w:pPr>
            <w:r w:rsidRPr="00FB058E">
              <w:rPr>
                <w:rFonts w:ascii="Meta Pro" w:eastAsia="Times New Roman" w:hAnsi="Meta Pro"/>
                <w:szCs w:val="18"/>
                <w:lang w:eastAsia="en-AU"/>
              </w:rPr>
              <w:t> </w:t>
            </w:r>
          </w:p>
        </w:tc>
        <w:tc>
          <w:tcPr>
            <w:tcW w:w="196" w:type="dxa"/>
            <w:tcBorders>
              <w:top w:val="nil"/>
              <w:left w:val="nil"/>
              <w:bottom w:val="nil"/>
              <w:right w:val="nil"/>
            </w:tcBorders>
            <w:shd w:val="clear" w:color="auto" w:fill="auto"/>
            <w:noWrap/>
            <w:vAlign w:val="bottom"/>
            <w:hideMark/>
          </w:tcPr>
          <w:p w14:paraId="7DF82E93" w14:textId="77777777" w:rsidR="00BC5219" w:rsidRPr="00FB058E"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351FAB9F" w14:textId="77777777" w:rsidR="00BC5219" w:rsidRPr="00FB058E" w:rsidRDefault="00BC5219" w:rsidP="00E83802">
            <w:pPr>
              <w:jc w:val="right"/>
              <w:rPr>
                <w:rFonts w:ascii="Meta Pro" w:eastAsia="Times New Roman" w:hAnsi="Meta Pro"/>
                <w:szCs w:val="18"/>
                <w:lang w:eastAsia="en-AU"/>
              </w:rPr>
            </w:pPr>
            <w:r w:rsidRPr="00FB058E">
              <w:rPr>
                <w:rFonts w:ascii="Meta Pro" w:eastAsia="Times New Roman" w:hAnsi="Meta Pro"/>
                <w:szCs w:val="18"/>
                <w:lang w:eastAsia="en-AU"/>
              </w:rPr>
              <w:t> </w:t>
            </w:r>
          </w:p>
        </w:tc>
        <w:tc>
          <w:tcPr>
            <w:tcW w:w="196" w:type="dxa"/>
            <w:tcBorders>
              <w:top w:val="nil"/>
              <w:left w:val="nil"/>
              <w:bottom w:val="nil"/>
              <w:right w:val="nil"/>
            </w:tcBorders>
            <w:shd w:val="clear" w:color="auto" w:fill="auto"/>
            <w:noWrap/>
            <w:vAlign w:val="bottom"/>
            <w:hideMark/>
          </w:tcPr>
          <w:p w14:paraId="1B07D419" w14:textId="77777777" w:rsidR="00BC5219" w:rsidRPr="00FB058E"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166074B0" w14:textId="77777777" w:rsidR="00BC5219" w:rsidRPr="00FB058E" w:rsidRDefault="00BC5219" w:rsidP="00E83802">
            <w:pPr>
              <w:jc w:val="right"/>
              <w:rPr>
                <w:rFonts w:ascii="Meta Pro" w:eastAsia="Times New Roman" w:hAnsi="Meta Pro"/>
                <w:szCs w:val="18"/>
                <w:lang w:eastAsia="en-AU"/>
              </w:rPr>
            </w:pPr>
            <w:r w:rsidRPr="00FB058E">
              <w:rPr>
                <w:rFonts w:ascii="Meta Pro" w:eastAsia="Times New Roman" w:hAnsi="Meta Pro"/>
                <w:szCs w:val="18"/>
                <w:lang w:eastAsia="en-AU"/>
              </w:rPr>
              <w:t> </w:t>
            </w:r>
          </w:p>
        </w:tc>
        <w:tc>
          <w:tcPr>
            <w:tcW w:w="196" w:type="dxa"/>
            <w:tcBorders>
              <w:top w:val="nil"/>
              <w:left w:val="nil"/>
              <w:bottom w:val="nil"/>
              <w:right w:val="nil"/>
            </w:tcBorders>
            <w:shd w:val="clear" w:color="auto" w:fill="auto"/>
            <w:noWrap/>
            <w:vAlign w:val="bottom"/>
            <w:hideMark/>
          </w:tcPr>
          <w:p w14:paraId="0D6940DC" w14:textId="77777777" w:rsidR="00BC5219" w:rsidRPr="00FB058E"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19E9DEE3" w14:textId="77777777" w:rsidR="00BC5219" w:rsidRPr="00FB058E" w:rsidRDefault="00BC5219" w:rsidP="00E83802">
            <w:pPr>
              <w:jc w:val="right"/>
              <w:rPr>
                <w:rFonts w:ascii="Meta Pro" w:eastAsia="Times New Roman" w:hAnsi="Meta Pro"/>
                <w:szCs w:val="18"/>
                <w:lang w:eastAsia="en-AU"/>
              </w:rPr>
            </w:pPr>
            <w:r w:rsidRPr="00FB058E">
              <w:rPr>
                <w:rFonts w:ascii="Meta Pro" w:eastAsia="Times New Roman" w:hAnsi="Meta Pro"/>
                <w:szCs w:val="18"/>
                <w:lang w:eastAsia="en-AU"/>
              </w:rPr>
              <w:t> </w:t>
            </w:r>
          </w:p>
        </w:tc>
        <w:tc>
          <w:tcPr>
            <w:tcW w:w="196" w:type="dxa"/>
            <w:tcBorders>
              <w:top w:val="nil"/>
              <w:left w:val="nil"/>
              <w:bottom w:val="nil"/>
              <w:right w:val="nil"/>
            </w:tcBorders>
            <w:shd w:val="clear" w:color="auto" w:fill="auto"/>
            <w:noWrap/>
            <w:vAlign w:val="bottom"/>
            <w:hideMark/>
          </w:tcPr>
          <w:p w14:paraId="3C186F53" w14:textId="77777777" w:rsidR="00BC5219" w:rsidRPr="00FB058E"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10739A39" w14:textId="77777777" w:rsidR="00BC5219" w:rsidRPr="00FB058E" w:rsidRDefault="00BC5219" w:rsidP="00E83802">
            <w:pPr>
              <w:rPr>
                <w:rFonts w:ascii="Meta Pro" w:eastAsia="Times New Roman" w:hAnsi="Meta Pro"/>
                <w:b/>
                <w:bCs/>
                <w:szCs w:val="18"/>
                <w:lang w:eastAsia="en-AU"/>
              </w:rPr>
            </w:pPr>
            <w:r w:rsidRPr="00FB058E">
              <w:rPr>
                <w:rFonts w:ascii="Meta Pro" w:eastAsia="Times New Roman" w:hAnsi="Meta Pro"/>
                <w:b/>
                <w:bCs/>
                <w:szCs w:val="18"/>
                <w:lang w:eastAsia="en-AU"/>
              </w:rPr>
              <w:t> </w:t>
            </w:r>
          </w:p>
        </w:tc>
      </w:tr>
      <w:tr w:rsidR="00BC5219" w:rsidRPr="00FB058E" w14:paraId="53DDA401" w14:textId="77777777" w:rsidTr="00E83802">
        <w:trPr>
          <w:trHeight w:val="240"/>
        </w:trPr>
        <w:tc>
          <w:tcPr>
            <w:tcW w:w="3810" w:type="dxa"/>
            <w:tcBorders>
              <w:top w:val="nil"/>
              <w:left w:val="nil"/>
              <w:bottom w:val="nil"/>
              <w:right w:val="nil"/>
            </w:tcBorders>
            <w:shd w:val="clear" w:color="auto" w:fill="auto"/>
            <w:noWrap/>
            <w:vAlign w:val="center"/>
            <w:hideMark/>
          </w:tcPr>
          <w:p w14:paraId="42D70859" w14:textId="77777777" w:rsidR="00BC5219" w:rsidRPr="00FB058E" w:rsidRDefault="00BC5219" w:rsidP="00E83802">
            <w:pPr>
              <w:rPr>
                <w:rFonts w:ascii="Meta Pro" w:eastAsia="Times New Roman" w:hAnsi="Meta Pro"/>
                <w:szCs w:val="18"/>
                <w:lang w:eastAsia="en-AU"/>
              </w:rPr>
            </w:pPr>
            <w:r w:rsidRPr="00FB058E">
              <w:rPr>
                <w:rFonts w:ascii="Meta Pro" w:eastAsia="Times New Roman" w:hAnsi="Meta Pro"/>
                <w:szCs w:val="18"/>
                <w:lang w:eastAsia="en-AU"/>
              </w:rPr>
              <w:t>equipment (refer to Note 15)</w:t>
            </w:r>
          </w:p>
        </w:tc>
        <w:tc>
          <w:tcPr>
            <w:tcW w:w="1134" w:type="dxa"/>
            <w:tcBorders>
              <w:top w:val="nil"/>
              <w:left w:val="nil"/>
              <w:bottom w:val="nil"/>
              <w:right w:val="nil"/>
            </w:tcBorders>
            <w:shd w:val="clear" w:color="000000" w:fill="C9E3B4"/>
            <w:noWrap/>
            <w:vAlign w:val="center"/>
            <w:hideMark/>
          </w:tcPr>
          <w:p w14:paraId="4E68250F" w14:textId="77777777" w:rsidR="00BC5219" w:rsidRPr="00FB058E" w:rsidRDefault="00BC5219" w:rsidP="00E83802">
            <w:pPr>
              <w:jc w:val="right"/>
              <w:rPr>
                <w:rFonts w:ascii="Meta Pro" w:eastAsia="Times New Roman" w:hAnsi="Meta Pro"/>
                <w:szCs w:val="18"/>
                <w:lang w:eastAsia="en-AU"/>
              </w:rPr>
            </w:pPr>
            <w:r w:rsidRPr="00FB058E">
              <w:rPr>
                <w:rFonts w:ascii="Meta Pro" w:eastAsia="Times New Roman" w:hAnsi="Meta Pro"/>
                <w:szCs w:val="18"/>
                <w:lang w:eastAsia="en-AU"/>
              </w:rPr>
              <w:t xml:space="preserve">- </w:t>
            </w:r>
          </w:p>
        </w:tc>
        <w:tc>
          <w:tcPr>
            <w:tcW w:w="196" w:type="dxa"/>
            <w:tcBorders>
              <w:top w:val="nil"/>
              <w:left w:val="nil"/>
              <w:bottom w:val="nil"/>
              <w:right w:val="nil"/>
            </w:tcBorders>
            <w:shd w:val="clear" w:color="auto" w:fill="auto"/>
            <w:noWrap/>
            <w:vAlign w:val="bottom"/>
            <w:hideMark/>
          </w:tcPr>
          <w:p w14:paraId="0C628B6A" w14:textId="77777777" w:rsidR="00BC5219" w:rsidRPr="00FB058E"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3B8B289E" w14:textId="77777777" w:rsidR="00BC5219" w:rsidRPr="00FB058E" w:rsidRDefault="00BC5219" w:rsidP="00E83802">
            <w:pPr>
              <w:jc w:val="right"/>
              <w:rPr>
                <w:rFonts w:ascii="Meta Pro" w:eastAsia="Times New Roman" w:hAnsi="Meta Pro"/>
                <w:szCs w:val="18"/>
                <w:lang w:eastAsia="en-AU"/>
              </w:rPr>
            </w:pPr>
            <w:r w:rsidRPr="00FB058E">
              <w:rPr>
                <w:rFonts w:ascii="Meta Pro" w:eastAsia="Times New Roman" w:hAnsi="Meta Pro"/>
                <w:szCs w:val="18"/>
                <w:lang w:eastAsia="en-AU"/>
              </w:rPr>
              <w:t xml:space="preserve">- </w:t>
            </w:r>
          </w:p>
        </w:tc>
        <w:tc>
          <w:tcPr>
            <w:tcW w:w="196" w:type="dxa"/>
            <w:tcBorders>
              <w:top w:val="nil"/>
              <w:left w:val="nil"/>
              <w:bottom w:val="nil"/>
              <w:right w:val="nil"/>
            </w:tcBorders>
            <w:shd w:val="clear" w:color="auto" w:fill="auto"/>
            <w:noWrap/>
            <w:vAlign w:val="bottom"/>
            <w:hideMark/>
          </w:tcPr>
          <w:p w14:paraId="64A1F755" w14:textId="77777777" w:rsidR="00BC5219" w:rsidRPr="00FB058E"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349A7217" w14:textId="77777777" w:rsidR="00BC5219" w:rsidRPr="00FB058E" w:rsidRDefault="00BC5219" w:rsidP="00E83802">
            <w:pPr>
              <w:jc w:val="right"/>
              <w:rPr>
                <w:rFonts w:ascii="Meta Pro" w:eastAsia="Times New Roman" w:hAnsi="Meta Pro"/>
                <w:szCs w:val="18"/>
                <w:lang w:eastAsia="en-AU"/>
              </w:rPr>
            </w:pPr>
            <w:r w:rsidRPr="00FB058E">
              <w:rPr>
                <w:rFonts w:ascii="Meta Pro" w:eastAsia="Times New Roman" w:hAnsi="Meta Pro"/>
                <w:szCs w:val="18"/>
                <w:lang w:eastAsia="en-AU"/>
              </w:rPr>
              <w:t>(366)</w:t>
            </w:r>
          </w:p>
        </w:tc>
        <w:tc>
          <w:tcPr>
            <w:tcW w:w="196" w:type="dxa"/>
            <w:tcBorders>
              <w:top w:val="nil"/>
              <w:left w:val="nil"/>
              <w:bottom w:val="nil"/>
              <w:right w:val="nil"/>
            </w:tcBorders>
            <w:shd w:val="clear" w:color="auto" w:fill="auto"/>
            <w:noWrap/>
            <w:vAlign w:val="bottom"/>
            <w:hideMark/>
          </w:tcPr>
          <w:p w14:paraId="241799A6" w14:textId="77777777" w:rsidR="00BC5219" w:rsidRPr="00FB058E"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386E3F1C" w14:textId="77777777" w:rsidR="00BC5219" w:rsidRPr="00FB058E" w:rsidRDefault="00BC5219" w:rsidP="00E83802">
            <w:pPr>
              <w:jc w:val="right"/>
              <w:rPr>
                <w:rFonts w:ascii="Meta Pro" w:eastAsia="Times New Roman" w:hAnsi="Meta Pro"/>
                <w:szCs w:val="18"/>
                <w:lang w:eastAsia="en-AU"/>
              </w:rPr>
            </w:pPr>
            <w:r w:rsidRPr="00FB058E">
              <w:rPr>
                <w:rFonts w:ascii="Meta Pro" w:eastAsia="Times New Roman" w:hAnsi="Meta Pro"/>
                <w:szCs w:val="18"/>
                <w:lang w:eastAsia="en-AU"/>
              </w:rPr>
              <w:t xml:space="preserve">- </w:t>
            </w:r>
          </w:p>
        </w:tc>
        <w:tc>
          <w:tcPr>
            <w:tcW w:w="196" w:type="dxa"/>
            <w:tcBorders>
              <w:top w:val="nil"/>
              <w:left w:val="nil"/>
              <w:bottom w:val="nil"/>
              <w:right w:val="nil"/>
            </w:tcBorders>
            <w:shd w:val="clear" w:color="auto" w:fill="auto"/>
            <w:noWrap/>
            <w:vAlign w:val="bottom"/>
            <w:hideMark/>
          </w:tcPr>
          <w:p w14:paraId="7877EBC9" w14:textId="77777777" w:rsidR="00BC5219" w:rsidRPr="00FB058E"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bottom"/>
            <w:hideMark/>
          </w:tcPr>
          <w:p w14:paraId="2B9D7D53" w14:textId="77777777" w:rsidR="00BC5219" w:rsidRPr="00FB058E" w:rsidRDefault="00BC5219" w:rsidP="00E83802">
            <w:pPr>
              <w:jc w:val="right"/>
              <w:rPr>
                <w:rFonts w:ascii="Meta Pro" w:eastAsia="Times New Roman" w:hAnsi="Meta Pro"/>
                <w:b/>
                <w:bCs/>
                <w:szCs w:val="18"/>
                <w:lang w:eastAsia="en-AU"/>
              </w:rPr>
            </w:pPr>
            <w:r w:rsidRPr="00FB058E">
              <w:rPr>
                <w:rFonts w:ascii="Meta Pro" w:eastAsia="Times New Roman" w:hAnsi="Meta Pro"/>
                <w:b/>
                <w:bCs/>
                <w:szCs w:val="18"/>
                <w:lang w:eastAsia="en-AU"/>
              </w:rPr>
              <w:t>(366)</w:t>
            </w:r>
          </w:p>
        </w:tc>
      </w:tr>
      <w:tr w:rsidR="00BC5219" w:rsidRPr="00FB058E" w14:paraId="6B80EA46" w14:textId="77777777" w:rsidTr="00E83802">
        <w:trPr>
          <w:trHeight w:val="240"/>
        </w:trPr>
        <w:tc>
          <w:tcPr>
            <w:tcW w:w="3810" w:type="dxa"/>
            <w:tcBorders>
              <w:top w:val="nil"/>
              <w:left w:val="nil"/>
              <w:bottom w:val="nil"/>
              <w:right w:val="nil"/>
            </w:tcBorders>
            <w:shd w:val="clear" w:color="auto" w:fill="auto"/>
            <w:noWrap/>
            <w:vAlign w:val="center"/>
            <w:hideMark/>
          </w:tcPr>
          <w:p w14:paraId="78E9A5CF" w14:textId="77777777" w:rsidR="00BC5219" w:rsidRPr="00FB058E" w:rsidRDefault="00BC5219" w:rsidP="00E83802">
            <w:pPr>
              <w:rPr>
                <w:rFonts w:ascii="Meta Pro" w:eastAsia="Times New Roman" w:hAnsi="Meta Pro"/>
                <w:szCs w:val="18"/>
                <w:lang w:eastAsia="en-AU"/>
              </w:rPr>
            </w:pPr>
            <w:r w:rsidRPr="00FB058E">
              <w:rPr>
                <w:rFonts w:ascii="Meta Pro" w:eastAsia="Times New Roman" w:hAnsi="Meta Pro"/>
                <w:szCs w:val="18"/>
                <w:lang w:eastAsia="en-AU"/>
              </w:rPr>
              <w:t>Disposals</w:t>
            </w:r>
          </w:p>
        </w:tc>
        <w:tc>
          <w:tcPr>
            <w:tcW w:w="1134" w:type="dxa"/>
            <w:tcBorders>
              <w:top w:val="nil"/>
              <w:left w:val="nil"/>
              <w:bottom w:val="nil"/>
              <w:right w:val="nil"/>
            </w:tcBorders>
            <w:shd w:val="clear" w:color="000000" w:fill="C9E3B4"/>
            <w:noWrap/>
            <w:vAlign w:val="center"/>
            <w:hideMark/>
          </w:tcPr>
          <w:p w14:paraId="368AE22C" w14:textId="77777777" w:rsidR="00BC5219" w:rsidRPr="00FB058E" w:rsidRDefault="00BC5219" w:rsidP="00E83802">
            <w:pPr>
              <w:jc w:val="right"/>
              <w:rPr>
                <w:rFonts w:ascii="Meta Pro" w:eastAsia="Times New Roman" w:hAnsi="Meta Pro"/>
                <w:szCs w:val="18"/>
                <w:lang w:eastAsia="en-AU"/>
              </w:rPr>
            </w:pPr>
            <w:r w:rsidRPr="00FB058E">
              <w:rPr>
                <w:rFonts w:ascii="Meta Pro" w:eastAsia="Times New Roman" w:hAnsi="Meta Pro"/>
                <w:szCs w:val="18"/>
                <w:lang w:eastAsia="en-AU"/>
              </w:rPr>
              <w:t>(889)</w:t>
            </w:r>
          </w:p>
        </w:tc>
        <w:tc>
          <w:tcPr>
            <w:tcW w:w="196" w:type="dxa"/>
            <w:tcBorders>
              <w:top w:val="nil"/>
              <w:left w:val="nil"/>
              <w:bottom w:val="nil"/>
              <w:right w:val="nil"/>
            </w:tcBorders>
            <w:shd w:val="clear" w:color="auto" w:fill="auto"/>
            <w:noWrap/>
            <w:vAlign w:val="center"/>
            <w:hideMark/>
          </w:tcPr>
          <w:p w14:paraId="09138216" w14:textId="77777777" w:rsidR="00BC5219" w:rsidRPr="00FB058E"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4C724023" w14:textId="77777777" w:rsidR="00BC5219" w:rsidRPr="00FB058E" w:rsidRDefault="00BC5219" w:rsidP="00E83802">
            <w:pPr>
              <w:jc w:val="right"/>
              <w:rPr>
                <w:rFonts w:ascii="Meta Pro" w:eastAsia="Times New Roman" w:hAnsi="Meta Pro"/>
                <w:szCs w:val="18"/>
                <w:lang w:eastAsia="en-AU"/>
              </w:rPr>
            </w:pPr>
            <w:r w:rsidRPr="00FB058E">
              <w:rPr>
                <w:rFonts w:ascii="Meta Pro" w:eastAsia="Times New Roman" w:hAnsi="Meta Pro"/>
                <w:szCs w:val="18"/>
                <w:lang w:eastAsia="en-AU"/>
              </w:rPr>
              <w:t xml:space="preserve">- </w:t>
            </w:r>
          </w:p>
        </w:tc>
        <w:tc>
          <w:tcPr>
            <w:tcW w:w="196" w:type="dxa"/>
            <w:tcBorders>
              <w:top w:val="nil"/>
              <w:left w:val="nil"/>
              <w:bottom w:val="nil"/>
              <w:right w:val="nil"/>
            </w:tcBorders>
            <w:shd w:val="clear" w:color="auto" w:fill="auto"/>
            <w:noWrap/>
            <w:vAlign w:val="center"/>
            <w:hideMark/>
          </w:tcPr>
          <w:p w14:paraId="561356C1" w14:textId="77777777" w:rsidR="00BC5219" w:rsidRPr="00FB058E"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3EF4145D" w14:textId="77777777" w:rsidR="00BC5219" w:rsidRPr="00FB058E" w:rsidRDefault="00BC5219" w:rsidP="00E83802">
            <w:pPr>
              <w:jc w:val="right"/>
              <w:rPr>
                <w:rFonts w:ascii="Meta Pro" w:eastAsia="Times New Roman" w:hAnsi="Meta Pro"/>
                <w:szCs w:val="18"/>
                <w:lang w:eastAsia="en-AU"/>
              </w:rPr>
            </w:pPr>
            <w:r w:rsidRPr="00FB058E">
              <w:rPr>
                <w:rFonts w:ascii="Meta Pro" w:eastAsia="Times New Roman" w:hAnsi="Meta Pro"/>
                <w:szCs w:val="18"/>
                <w:lang w:eastAsia="en-AU"/>
              </w:rPr>
              <w:t xml:space="preserve">- </w:t>
            </w:r>
          </w:p>
        </w:tc>
        <w:tc>
          <w:tcPr>
            <w:tcW w:w="196" w:type="dxa"/>
            <w:tcBorders>
              <w:top w:val="nil"/>
              <w:left w:val="nil"/>
              <w:bottom w:val="nil"/>
              <w:right w:val="nil"/>
            </w:tcBorders>
            <w:shd w:val="clear" w:color="auto" w:fill="auto"/>
            <w:noWrap/>
            <w:vAlign w:val="center"/>
            <w:hideMark/>
          </w:tcPr>
          <w:p w14:paraId="34BDFCFE" w14:textId="77777777" w:rsidR="00BC5219" w:rsidRPr="00FB058E"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779F6181" w14:textId="77777777" w:rsidR="00BC5219" w:rsidRPr="00FB058E" w:rsidRDefault="00BC5219" w:rsidP="00E83802">
            <w:pPr>
              <w:jc w:val="right"/>
              <w:rPr>
                <w:rFonts w:ascii="Meta Pro" w:eastAsia="Times New Roman" w:hAnsi="Meta Pro"/>
                <w:szCs w:val="18"/>
                <w:lang w:eastAsia="en-AU"/>
              </w:rPr>
            </w:pPr>
            <w:r w:rsidRPr="00FB058E">
              <w:rPr>
                <w:rFonts w:ascii="Meta Pro" w:eastAsia="Times New Roman" w:hAnsi="Meta Pro"/>
                <w:szCs w:val="18"/>
                <w:lang w:eastAsia="en-AU"/>
              </w:rPr>
              <w:t xml:space="preserve">- </w:t>
            </w:r>
          </w:p>
        </w:tc>
        <w:tc>
          <w:tcPr>
            <w:tcW w:w="196" w:type="dxa"/>
            <w:tcBorders>
              <w:top w:val="nil"/>
              <w:left w:val="nil"/>
              <w:bottom w:val="nil"/>
              <w:right w:val="nil"/>
            </w:tcBorders>
            <w:shd w:val="clear" w:color="auto" w:fill="auto"/>
            <w:noWrap/>
            <w:vAlign w:val="center"/>
            <w:hideMark/>
          </w:tcPr>
          <w:p w14:paraId="386C8BC6" w14:textId="77777777" w:rsidR="00BC5219" w:rsidRPr="00FB058E"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373AF2C9" w14:textId="77777777" w:rsidR="00BC5219" w:rsidRPr="00FB058E" w:rsidRDefault="00BC5219" w:rsidP="00E83802">
            <w:pPr>
              <w:jc w:val="right"/>
              <w:rPr>
                <w:rFonts w:ascii="Meta Pro" w:eastAsia="Times New Roman" w:hAnsi="Meta Pro"/>
                <w:b/>
                <w:bCs/>
                <w:szCs w:val="18"/>
                <w:lang w:eastAsia="en-AU"/>
              </w:rPr>
            </w:pPr>
            <w:r w:rsidRPr="00FB058E">
              <w:rPr>
                <w:rFonts w:ascii="Meta Pro" w:eastAsia="Times New Roman" w:hAnsi="Meta Pro"/>
                <w:b/>
                <w:bCs/>
                <w:szCs w:val="18"/>
                <w:lang w:eastAsia="en-AU"/>
              </w:rPr>
              <w:t>(889)</w:t>
            </w:r>
          </w:p>
        </w:tc>
      </w:tr>
      <w:tr w:rsidR="00BC5219" w:rsidRPr="00FB058E" w14:paraId="6C8D99EC" w14:textId="77777777" w:rsidTr="00E83802">
        <w:trPr>
          <w:trHeight w:val="240"/>
        </w:trPr>
        <w:tc>
          <w:tcPr>
            <w:tcW w:w="3810" w:type="dxa"/>
            <w:tcBorders>
              <w:top w:val="nil"/>
              <w:left w:val="nil"/>
              <w:bottom w:val="nil"/>
              <w:right w:val="nil"/>
            </w:tcBorders>
            <w:shd w:val="clear" w:color="auto" w:fill="auto"/>
            <w:noWrap/>
            <w:vAlign w:val="center"/>
            <w:hideMark/>
          </w:tcPr>
          <w:p w14:paraId="4BA876CA" w14:textId="77777777" w:rsidR="00BC5219" w:rsidRPr="00FB058E" w:rsidRDefault="00BC5219" w:rsidP="00E83802">
            <w:pPr>
              <w:rPr>
                <w:rFonts w:ascii="Meta Pro" w:eastAsia="Times New Roman" w:hAnsi="Meta Pro"/>
                <w:szCs w:val="18"/>
                <w:lang w:eastAsia="en-AU"/>
              </w:rPr>
            </w:pPr>
            <w:r w:rsidRPr="00FB058E">
              <w:rPr>
                <w:rFonts w:ascii="Meta Pro" w:eastAsia="Times New Roman" w:hAnsi="Meta Pro"/>
                <w:szCs w:val="18"/>
                <w:lang w:eastAsia="en-AU"/>
              </w:rPr>
              <w:t>Projects written off **</w:t>
            </w:r>
          </w:p>
        </w:tc>
        <w:tc>
          <w:tcPr>
            <w:tcW w:w="1134" w:type="dxa"/>
            <w:tcBorders>
              <w:top w:val="nil"/>
              <w:left w:val="nil"/>
              <w:bottom w:val="nil"/>
              <w:right w:val="nil"/>
            </w:tcBorders>
            <w:shd w:val="clear" w:color="000000" w:fill="C9E3B4"/>
            <w:noWrap/>
            <w:vAlign w:val="center"/>
            <w:hideMark/>
          </w:tcPr>
          <w:p w14:paraId="18E20ADD" w14:textId="77777777" w:rsidR="00BC5219" w:rsidRPr="00FB058E" w:rsidRDefault="00BC5219" w:rsidP="00E83802">
            <w:pPr>
              <w:jc w:val="right"/>
              <w:rPr>
                <w:rFonts w:ascii="Meta Pro" w:eastAsia="Times New Roman" w:hAnsi="Meta Pro"/>
                <w:szCs w:val="18"/>
                <w:lang w:eastAsia="en-AU"/>
              </w:rPr>
            </w:pPr>
            <w:r w:rsidRPr="00FB058E">
              <w:rPr>
                <w:rFonts w:ascii="Meta Pro" w:eastAsia="Times New Roman" w:hAnsi="Meta Pro"/>
                <w:szCs w:val="18"/>
                <w:lang w:eastAsia="en-AU"/>
              </w:rPr>
              <w:t xml:space="preserve">- </w:t>
            </w:r>
          </w:p>
        </w:tc>
        <w:tc>
          <w:tcPr>
            <w:tcW w:w="196" w:type="dxa"/>
            <w:tcBorders>
              <w:top w:val="nil"/>
              <w:left w:val="nil"/>
              <w:bottom w:val="nil"/>
              <w:right w:val="nil"/>
            </w:tcBorders>
            <w:shd w:val="clear" w:color="auto" w:fill="auto"/>
            <w:noWrap/>
            <w:vAlign w:val="bottom"/>
            <w:hideMark/>
          </w:tcPr>
          <w:p w14:paraId="32C76DD8" w14:textId="77777777" w:rsidR="00BC5219" w:rsidRPr="00FB058E"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27CDBBBB" w14:textId="77777777" w:rsidR="00BC5219" w:rsidRPr="00FB058E" w:rsidRDefault="00BC5219" w:rsidP="00E83802">
            <w:pPr>
              <w:jc w:val="right"/>
              <w:rPr>
                <w:rFonts w:ascii="Meta Pro" w:eastAsia="Times New Roman" w:hAnsi="Meta Pro"/>
                <w:szCs w:val="18"/>
                <w:lang w:eastAsia="en-AU"/>
              </w:rPr>
            </w:pPr>
            <w:r w:rsidRPr="00FB058E">
              <w:rPr>
                <w:rFonts w:ascii="Meta Pro" w:eastAsia="Times New Roman" w:hAnsi="Meta Pro"/>
                <w:szCs w:val="18"/>
                <w:lang w:eastAsia="en-AU"/>
              </w:rPr>
              <w:t xml:space="preserve">- </w:t>
            </w:r>
          </w:p>
        </w:tc>
        <w:tc>
          <w:tcPr>
            <w:tcW w:w="196" w:type="dxa"/>
            <w:tcBorders>
              <w:top w:val="nil"/>
              <w:left w:val="nil"/>
              <w:bottom w:val="nil"/>
              <w:right w:val="nil"/>
            </w:tcBorders>
            <w:shd w:val="clear" w:color="auto" w:fill="auto"/>
            <w:noWrap/>
            <w:vAlign w:val="bottom"/>
            <w:hideMark/>
          </w:tcPr>
          <w:p w14:paraId="1AA7BA9F" w14:textId="77777777" w:rsidR="00BC5219" w:rsidRPr="00FB058E"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2FAF1664" w14:textId="77777777" w:rsidR="00BC5219" w:rsidRPr="00FB058E" w:rsidRDefault="00BC5219" w:rsidP="00E83802">
            <w:pPr>
              <w:jc w:val="right"/>
              <w:rPr>
                <w:rFonts w:ascii="Meta Pro" w:eastAsia="Times New Roman" w:hAnsi="Meta Pro"/>
                <w:szCs w:val="18"/>
                <w:lang w:eastAsia="en-AU"/>
              </w:rPr>
            </w:pPr>
            <w:r w:rsidRPr="00FB058E">
              <w:rPr>
                <w:rFonts w:ascii="Meta Pro" w:eastAsia="Times New Roman" w:hAnsi="Meta Pro"/>
                <w:szCs w:val="18"/>
                <w:lang w:eastAsia="en-AU"/>
              </w:rPr>
              <w:t>(39,436)</w:t>
            </w:r>
          </w:p>
        </w:tc>
        <w:tc>
          <w:tcPr>
            <w:tcW w:w="196" w:type="dxa"/>
            <w:tcBorders>
              <w:top w:val="nil"/>
              <w:left w:val="nil"/>
              <w:bottom w:val="nil"/>
              <w:right w:val="nil"/>
            </w:tcBorders>
            <w:shd w:val="clear" w:color="auto" w:fill="auto"/>
            <w:noWrap/>
            <w:vAlign w:val="bottom"/>
            <w:hideMark/>
          </w:tcPr>
          <w:p w14:paraId="6AFACFBE" w14:textId="77777777" w:rsidR="00BC5219" w:rsidRPr="00FB058E"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3300AEED" w14:textId="77777777" w:rsidR="00BC5219" w:rsidRPr="00FB058E" w:rsidRDefault="00BC5219" w:rsidP="00E83802">
            <w:pPr>
              <w:jc w:val="right"/>
              <w:rPr>
                <w:rFonts w:ascii="Meta Pro" w:eastAsia="Times New Roman" w:hAnsi="Meta Pro"/>
                <w:szCs w:val="18"/>
                <w:lang w:eastAsia="en-AU"/>
              </w:rPr>
            </w:pPr>
            <w:r w:rsidRPr="00FB058E">
              <w:rPr>
                <w:rFonts w:ascii="Meta Pro" w:eastAsia="Times New Roman" w:hAnsi="Meta Pro"/>
                <w:szCs w:val="18"/>
                <w:lang w:eastAsia="en-AU"/>
              </w:rPr>
              <w:t xml:space="preserve">- </w:t>
            </w:r>
          </w:p>
        </w:tc>
        <w:tc>
          <w:tcPr>
            <w:tcW w:w="196" w:type="dxa"/>
            <w:tcBorders>
              <w:top w:val="nil"/>
              <w:left w:val="nil"/>
              <w:bottom w:val="nil"/>
              <w:right w:val="nil"/>
            </w:tcBorders>
            <w:shd w:val="clear" w:color="auto" w:fill="auto"/>
            <w:noWrap/>
            <w:vAlign w:val="center"/>
            <w:hideMark/>
          </w:tcPr>
          <w:p w14:paraId="3C437A29" w14:textId="77777777" w:rsidR="00BC5219" w:rsidRPr="00FB058E"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03B25C5A" w14:textId="77777777" w:rsidR="00BC5219" w:rsidRPr="00FB058E" w:rsidRDefault="00BC5219" w:rsidP="00E83802">
            <w:pPr>
              <w:jc w:val="right"/>
              <w:rPr>
                <w:rFonts w:ascii="Meta Pro" w:eastAsia="Times New Roman" w:hAnsi="Meta Pro"/>
                <w:b/>
                <w:bCs/>
                <w:szCs w:val="18"/>
                <w:lang w:eastAsia="en-AU"/>
              </w:rPr>
            </w:pPr>
            <w:r w:rsidRPr="00FB058E">
              <w:rPr>
                <w:rFonts w:ascii="Meta Pro" w:eastAsia="Times New Roman" w:hAnsi="Meta Pro"/>
                <w:b/>
                <w:bCs/>
                <w:szCs w:val="18"/>
                <w:lang w:eastAsia="en-AU"/>
              </w:rPr>
              <w:t>(39,436)</w:t>
            </w:r>
          </w:p>
        </w:tc>
      </w:tr>
      <w:tr w:rsidR="00BC5219" w:rsidRPr="00FB058E" w14:paraId="107F8238" w14:textId="77777777" w:rsidTr="00E83802">
        <w:trPr>
          <w:trHeight w:val="240"/>
        </w:trPr>
        <w:tc>
          <w:tcPr>
            <w:tcW w:w="3810" w:type="dxa"/>
            <w:tcBorders>
              <w:top w:val="nil"/>
              <w:left w:val="nil"/>
              <w:bottom w:val="nil"/>
              <w:right w:val="nil"/>
            </w:tcBorders>
            <w:shd w:val="clear" w:color="auto" w:fill="auto"/>
            <w:noWrap/>
            <w:vAlign w:val="center"/>
            <w:hideMark/>
          </w:tcPr>
          <w:p w14:paraId="0F56D98A" w14:textId="77777777" w:rsidR="00BC5219" w:rsidRPr="00FB058E" w:rsidRDefault="00BC5219" w:rsidP="00E83802">
            <w:pPr>
              <w:rPr>
                <w:rFonts w:ascii="Meta Pro" w:eastAsia="Times New Roman" w:hAnsi="Meta Pro"/>
                <w:szCs w:val="18"/>
                <w:lang w:eastAsia="en-AU"/>
              </w:rPr>
            </w:pPr>
            <w:r w:rsidRPr="00FB058E">
              <w:rPr>
                <w:rFonts w:ascii="Meta Pro" w:eastAsia="Times New Roman" w:hAnsi="Meta Pro"/>
                <w:szCs w:val="18"/>
                <w:lang w:eastAsia="en-AU"/>
              </w:rPr>
              <w:t>Amortisation</w:t>
            </w:r>
          </w:p>
        </w:tc>
        <w:tc>
          <w:tcPr>
            <w:tcW w:w="1134" w:type="dxa"/>
            <w:tcBorders>
              <w:top w:val="nil"/>
              <w:left w:val="nil"/>
              <w:bottom w:val="nil"/>
              <w:right w:val="nil"/>
            </w:tcBorders>
            <w:shd w:val="clear" w:color="000000" w:fill="C9E3B4"/>
            <w:noWrap/>
            <w:vAlign w:val="center"/>
            <w:hideMark/>
          </w:tcPr>
          <w:p w14:paraId="11E43EB4" w14:textId="77777777" w:rsidR="00BC5219" w:rsidRPr="00FB058E" w:rsidRDefault="00BC5219" w:rsidP="00E83802">
            <w:pPr>
              <w:jc w:val="right"/>
              <w:rPr>
                <w:rFonts w:ascii="Meta Pro" w:eastAsia="Times New Roman" w:hAnsi="Meta Pro"/>
                <w:szCs w:val="18"/>
                <w:lang w:eastAsia="en-AU"/>
              </w:rPr>
            </w:pPr>
            <w:r w:rsidRPr="00FB058E">
              <w:rPr>
                <w:rFonts w:ascii="Meta Pro" w:eastAsia="Times New Roman" w:hAnsi="Meta Pro"/>
                <w:szCs w:val="18"/>
                <w:lang w:eastAsia="en-AU"/>
              </w:rPr>
              <w:t>(3,099)</w:t>
            </w:r>
          </w:p>
        </w:tc>
        <w:tc>
          <w:tcPr>
            <w:tcW w:w="196" w:type="dxa"/>
            <w:tcBorders>
              <w:top w:val="nil"/>
              <w:left w:val="nil"/>
              <w:bottom w:val="nil"/>
              <w:right w:val="nil"/>
            </w:tcBorders>
            <w:shd w:val="clear" w:color="auto" w:fill="auto"/>
            <w:noWrap/>
            <w:vAlign w:val="center"/>
            <w:hideMark/>
          </w:tcPr>
          <w:p w14:paraId="7C464260" w14:textId="77777777" w:rsidR="00BC5219" w:rsidRPr="00FB058E"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2E6D458D" w14:textId="77777777" w:rsidR="00BC5219" w:rsidRPr="00FB058E" w:rsidRDefault="00BC5219" w:rsidP="00E83802">
            <w:pPr>
              <w:jc w:val="right"/>
              <w:rPr>
                <w:rFonts w:ascii="Meta Pro" w:eastAsia="Times New Roman" w:hAnsi="Meta Pro"/>
                <w:szCs w:val="18"/>
                <w:lang w:eastAsia="en-AU"/>
              </w:rPr>
            </w:pPr>
            <w:r w:rsidRPr="00FB058E">
              <w:rPr>
                <w:rFonts w:ascii="Meta Pro" w:eastAsia="Times New Roman" w:hAnsi="Meta Pro"/>
                <w:szCs w:val="18"/>
                <w:lang w:eastAsia="en-AU"/>
              </w:rPr>
              <w:t>(8,348)</w:t>
            </w:r>
          </w:p>
        </w:tc>
        <w:tc>
          <w:tcPr>
            <w:tcW w:w="196" w:type="dxa"/>
            <w:tcBorders>
              <w:top w:val="nil"/>
              <w:left w:val="nil"/>
              <w:bottom w:val="nil"/>
              <w:right w:val="nil"/>
            </w:tcBorders>
            <w:shd w:val="clear" w:color="auto" w:fill="auto"/>
            <w:noWrap/>
            <w:vAlign w:val="center"/>
            <w:hideMark/>
          </w:tcPr>
          <w:p w14:paraId="3112029F" w14:textId="77777777" w:rsidR="00BC5219" w:rsidRPr="00FB058E"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1AFB63C8" w14:textId="77777777" w:rsidR="00BC5219" w:rsidRPr="00FB058E" w:rsidRDefault="00BC5219" w:rsidP="00E83802">
            <w:pPr>
              <w:jc w:val="right"/>
              <w:rPr>
                <w:rFonts w:ascii="Meta Pro" w:eastAsia="Times New Roman" w:hAnsi="Meta Pro"/>
                <w:szCs w:val="18"/>
                <w:lang w:eastAsia="en-AU"/>
              </w:rPr>
            </w:pPr>
            <w:r w:rsidRPr="00FB058E">
              <w:rPr>
                <w:rFonts w:ascii="Meta Pro" w:eastAsia="Times New Roman" w:hAnsi="Meta Pro"/>
                <w:szCs w:val="18"/>
                <w:lang w:eastAsia="en-AU"/>
              </w:rPr>
              <w:t xml:space="preserve">- </w:t>
            </w:r>
          </w:p>
        </w:tc>
        <w:tc>
          <w:tcPr>
            <w:tcW w:w="196" w:type="dxa"/>
            <w:tcBorders>
              <w:top w:val="nil"/>
              <w:left w:val="nil"/>
              <w:bottom w:val="nil"/>
              <w:right w:val="nil"/>
            </w:tcBorders>
            <w:shd w:val="clear" w:color="auto" w:fill="auto"/>
            <w:noWrap/>
            <w:vAlign w:val="center"/>
            <w:hideMark/>
          </w:tcPr>
          <w:p w14:paraId="392FB737" w14:textId="77777777" w:rsidR="00BC5219" w:rsidRPr="00FB058E"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76947E5C" w14:textId="77777777" w:rsidR="00BC5219" w:rsidRPr="00FB058E" w:rsidRDefault="00BC5219" w:rsidP="00E83802">
            <w:pPr>
              <w:jc w:val="right"/>
              <w:rPr>
                <w:rFonts w:ascii="Meta Pro" w:eastAsia="Times New Roman" w:hAnsi="Meta Pro"/>
                <w:szCs w:val="18"/>
                <w:lang w:eastAsia="en-AU"/>
              </w:rPr>
            </w:pPr>
            <w:r w:rsidRPr="00FB058E">
              <w:rPr>
                <w:rFonts w:ascii="Meta Pro" w:eastAsia="Times New Roman" w:hAnsi="Meta Pro"/>
                <w:szCs w:val="18"/>
                <w:lang w:eastAsia="en-AU"/>
              </w:rPr>
              <w:t xml:space="preserve">- </w:t>
            </w:r>
          </w:p>
        </w:tc>
        <w:tc>
          <w:tcPr>
            <w:tcW w:w="196" w:type="dxa"/>
            <w:tcBorders>
              <w:top w:val="nil"/>
              <w:left w:val="nil"/>
              <w:bottom w:val="nil"/>
              <w:right w:val="nil"/>
            </w:tcBorders>
            <w:shd w:val="clear" w:color="auto" w:fill="auto"/>
            <w:noWrap/>
            <w:vAlign w:val="center"/>
            <w:hideMark/>
          </w:tcPr>
          <w:p w14:paraId="39C09744" w14:textId="77777777" w:rsidR="00BC5219" w:rsidRPr="00FB058E"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2C77F1AF" w14:textId="77777777" w:rsidR="00BC5219" w:rsidRPr="00FB058E" w:rsidRDefault="00BC5219" w:rsidP="00E83802">
            <w:pPr>
              <w:jc w:val="right"/>
              <w:rPr>
                <w:rFonts w:ascii="Meta Pro" w:eastAsia="Times New Roman" w:hAnsi="Meta Pro"/>
                <w:b/>
                <w:bCs/>
                <w:szCs w:val="18"/>
                <w:lang w:eastAsia="en-AU"/>
              </w:rPr>
            </w:pPr>
            <w:r w:rsidRPr="00FB058E">
              <w:rPr>
                <w:rFonts w:ascii="Meta Pro" w:eastAsia="Times New Roman" w:hAnsi="Meta Pro"/>
                <w:b/>
                <w:bCs/>
                <w:szCs w:val="18"/>
                <w:lang w:eastAsia="en-AU"/>
              </w:rPr>
              <w:t>(11,447)</w:t>
            </w:r>
          </w:p>
        </w:tc>
      </w:tr>
      <w:tr w:rsidR="00BC5219" w:rsidRPr="00FB058E" w14:paraId="75B67DCF" w14:textId="77777777" w:rsidTr="00E83802">
        <w:trPr>
          <w:trHeight w:val="240"/>
        </w:trPr>
        <w:tc>
          <w:tcPr>
            <w:tcW w:w="3810" w:type="dxa"/>
            <w:tcBorders>
              <w:top w:val="single" w:sz="4" w:space="0" w:color="auto"/>
              <w:left w:val="nil"/>
              <w:bottom w:val="double" w:sz="6" w:space="0" w:color="auto"/>
              <w:right w:val="nil"/>
            </w:tcBorders>
            <w:shd w:val="clear" w:color="auto" w:fill="auto"/>
            <w:noWrap/>
            <w:vAlign w:val="center"/>
            <w:hideMark/>
          </w:tcPr>
          <w:p w14:paraId="06B3684D" w14:textId="77777777" w:rsidR="00BC5219" w:rsidRPr="00FB058E" w:rsidRDefault="00BC5219" w:rsidP="00E83802">
            <w:pPr>
              <w:rPr>
                <w:rFonts w:ascii="Meta Pro" w:eastAsia="Times New Roman" w:hAnsi="Meta Pro"/>
                <w:b/>
                <w:bCs/>
                <w:szCs w:val="18"/>
                <w:lang w:eastAsia="en-AU"/>
              </w:rPr>
            </w:pPr>
            <w:r w:rsidRPr="00FB058E">
              <w:rPr>
                <w:rFonts w:ascii="Meta Pro" w:eastAsia="Times New Roman" w:hAnsi="Meta Pro"/>
                <w:b/>
                <w:bCs/>
                <w:szCs w:val="18"/>
                <w:lang w:eastAsia="en-AU"/>
              </w:rPr>
              <w:lastRenderedPageBreak/>
              <w:t>Carrying amount at 30 June</w:t>
            </w:r>
          </w:p>
        </w:tc>
        <w:tc>
          <w:tcPr>
            <w:tcW w:w="1134" w:type="dxa"/>
            <w:tcBorders>
              <w:top w:val="single" w:sz="4" w:space="0" w:color="auto"/>
              <w:left w:val="nil"/>
              <w:bottom w:val="double" w:sz="6" w:space="0" w:color="auto"/>
              <w:right w:val="nil"/>
            </w:tcBorders>
            <w:shd w:val="clear" w:color="000000" w:fill="C9E3B4"/>
            <w:noWrap/>
            <w:vAlign w:val="center"/>
            <w:hideMark/>
          </w:tcPr>
          <w:p w14:paraId="2BB5102A" w14:textId="77777777" w:rsidR="00BC5219" w:rsidRPr="00FB058E" w:rsidRDefault="00BC5219" w:rsidP="00E83802">
            <w:pPr>
              <w:jc w:val="right"/>
              <w:rPr>
                <w:rFonts w:ascii="Meta Pro" w:eastAsia="Times New Roman" w:hAnsi="Meta Pro"/>
                <w:b/>
                <w:bCs/>
                <w:szCs w:val="18"/>
                <w:lang w:eastAsia="en-AU"/>
              </w:rPr>
            </w:pPr>
            <w:r w:rsidRPr="00FB058E">
              <w:rPr>
                <w:rFonts w:ascii="Meta Pro" w:eastAsia="Times New Roman" w:hAnsi="Meta Pro"/>
                <w:b/>
                <w:bCs/>
                <w:szCs w:val="18"/>
                <w:lang w:eastAsia="en-AU"/>
              </w:rPr>
              <w:t xml:space="preserve">11,676 </w:t>
            </w:r>
          </w:p>
        </w:tc>
        <w:tc>
          <w:tcPr>
            <w:tcW w:w="196" w:type="dxa"/>
            <w:tcBorders>
              <w:top w:val="nil"/>
              <w:left w:val="nil"/>
              <w:bottom w:val="nil"/>
              <w:right w:val="nil"/>
            </w:tcBorders>
            <w:shd w:val="clear" w:color="auto" w:fill="auto"/>
            <w:noWrap/>
            <w:vAlign w:val="center"/>
            <w:hideMark/>
          </w:tcPr>
          <w:p w14:paraId="5C39EBF4" w14:textId="77777777" w:rsidR="00BC5219" w:rsidRPr="00FB058E" w:rsidRDefault="00BC5219" w:rsidP="00E83802">
            <w:pPr>
              <w:jc w:val="right"/>
              <w:rPr>
                <w:rFonts w:ascii="Meta Pro" w:eastAsia="Times New Roman" w:hAnsi="Meta Pro"/>
                <w:b/>
                <w:bCs/>
                <w:szCs w:val="18"/>
                <w:lang w:eastAsia="en-AU"/>
              </w:rPr>
            </w:pPr>
          </w:p>
        </w:tc>
        <w:tc>
          <w:tcPr>
            <w:tcW w:w="1134" w:type="dxa"/>
            <w:tcBorders>
              <w:top w:val="single" w:sz="4" w:space="0" w:color="auto"/>
              <w:left w:val="nil"/>
              <w:bottom w:val="double" w:sz="6" w:space="0" w:color="auto"/>
              <w:right w:val="nil"/>
            </w:tcBorders>
            <w:shd w:val="clear" w:color="000000" w:fill="C9E3B4"/>
            <w:noWrap/>
            <w:vAlign w:val="center"/>
            <w:hideMark/>
          </w:tcPr>
          <w:p w14:paraId="351DE188" w14:textId="77777777" w:rsidR="00BC5219" w:rsidRPr="00FB058E" w:rsidRDefault="00BC5219" w:rsidP="00E83802">
            <w:pPr>
              <w:jc w:val="right"/>
              <w:rPr>
                <w:rFonts w:ascii="Meta Pro" w:eastAsia="Times New Roman" w:hAnsi="Meta Pro"/>
                <w:b/>
                <w:bCs/>
                <w:szCs w:val="18"/>
                <w:lang w:eastAsia="en-AU"/>
              </w:rPr>
            </w:pPr>
            <w:r w:rsidRPr="00FB058E">
              <w:rPr>
                <w:rFonts w:ascii="Meta Pro" w:eastAsia="Times New Roman" w:hAnsi="Meta Pro"/>
                <w:b/>
                <w:bCs/>
                <w:szCs w:val="18"/>
                <w:lang w:eastAsia="en-AU"/>
              </w:rPr>
              <w:t xml:space="preserve">34,871 </w:t>
            </w:r>
          </w:p>
        </w:tc>
        <w:tc>
          <w:tcPr>
            <w:tcW w:w="196" w:type="dxa"/>
            <w:tcBorders>
              <w:top w:val="nil"/>
              <w:left w:val="nil"/>
              <w:bottom w:val="nil"/>
              <w:right w:val="nil"/>
            </w:tcBorders>
            <w:shd w:val="clear" w:color="auto" w:fill="auto"/>
            <w:noWrap/>
            <w:vAlign w:val="center"/>
            <w:hideMark/>
          </w:tcPr>
          <w:p w14:paraId="5661FBD7" w14:textId="77777777" w:rsidR="00BC5219" w:rsidRPr="00FB058E" w:rsidRDefault="00BC5219" w:rsidP="00E83802">
            <w:pPr>
              <w:jc w:val="right"/>
              <w:rPr>
                <w:rFonts w:ascii="Meta Pro" w:eastAsia="Times New Roman" w:hAnsi="Meta Pro"/>
                <w:b/>
                <w:bCs/>
                <w:szCs w:val="18"/>
                <w:lang w:eastAsia="en-AU"/>
              </w:rPr>
            </w:pPr>
          </w:p>
        </w:tc>
        <w:tc>
          <w:tcPr>
            <w:tcW w:w="1134" w:type="dxa"/>
            <w:tcBorders>
              <w:top w:val="single" w:sz="4" w:space="0" w:color="auto"/>
              <w:left w:val="nil"/>
              <w:bottom w:val="double" w:sz="6" w:space="0" w:color="auto"/>
              <w:right w:val="nil"/>
            </w:tcBorders>
            <w:shd w:val="clear" w:color="000000" w:fill="C9E3B4"/>
            <w:noWrap/>
            <w:vAlign w:val="center"/>
            <w:hideMark/>
          </w:tcPr>
          <w:p w14:paraId="0807545B" w14:textId="77777777" w:rsidR="00BC5219" w:rsidRPr="00FB058E" w:rsidRDefault="00BC5219" w:rsidP="00E83802">
            <w:pPr>
              <w:jc w:val="right"/>
              <w:rPr>
                <w:rFonts w:ascii="Meta Pro" w:eastAsia="Times New Roman" w:hAnsi="Meta Pro"/>
                <w:b/>
                <w:bCs/>
                <w:szCs w:val="18"/>
                <w:lang w:eastAsia="en-AU"/>
              </w:rPr>
            </w:pPr>
            <w:r w:rsidRPr="00FB058E">
              <w:rPr>
                <w:rFonts w:ascii="Meta Pro" w:eastAsia="Times New Roman" w:hAnsi="Meta Pro"/>
                <w:b/>
                <w:bCs/>
                <w:szCs w:val="18"/>
                <w:lang w:eastAsia="en-AU"/>
              </w:rPr>
              <w:t xml:space="preserve">18,321 </w:t>
            </w:r>
          </w:p>
        </w:tc>
        <w:tc>
          <w:tcPr>
            <w:tcW w:w="196" w:type="dxa"/>
            <w:tcBorders>
              <w:top w:val="nil"/>
              <w:left w:val="nil"/>
              <w:bottom w:val="nil"/>
              <w:right w:val="nil"/>
            </w:tcBorders>
            <w:shd w:val="clear" w:color="auto" w:fill="auto"/>
            <w:noWrap/>
            <w:vAlign w:val="center"/>
            <w:hideMark/>
          </w:tcPr>
          <w:p w14:paraId="1C3BD418" w14:textId="77777777" w:rsidR="00BC5219" w:rsidRPr="00FB058E" w:rsidRDefault="00BC5219" w:rsidP="00E83802">
            <w:pPr>
              <w:jc w:val="right"/>
              <w:rPr>
                <w:rFonts w:ascii="Meta Pro" w:eastAsia="Times New Roman" w:hAnsi="Meta Pro"/>
                <w:b/>
                <w:bCs/>
                <w:szCs w:val="18"/>
                <w:lang w:eastAsia="en-AU"/>
              </w:rPr>
            </w:pPr>
          </w:p>
        </w:tc>
        <w:tc>
          <w:tcPr>
            <w:tcW w:w="1134" w:type="dxa"/>
            <w:tcBorders>
              <w:top w:val="single" w:sz="4" w:space="0" w:color="auto"/>
              <w:left w:val="nil"/>
              <w:bottom w:val="double" w:sz="6" w:space="0" w:color="auto"/>
              <w:right w:val="nil"/>
            </w:tcBorders>
            <w:shd w:val="clear" w:color="000000" w:fill="C9E3B4"/>
            <w:noWrap/>
            <w:vAlign w:val="center"/>
            <w:hideMark/>
          </w:tcPr>
          <w:p w14:paraId="3E445690" w14:textId="77777777" w:rsidR="00BC5219" w:rsidRPr="00FB058E" w:rsidRDefault="00BC5219" w:rsidP="00E83802">
            <w:pPr>
              <w:jc w:val="right"/>
              <w:rPr>
                <w:rFonts w:ascii="Meta Pro" w:eastAsia="Times New Roman" w:hAnsi="Meta Pro"/>
                <w:b/>
                <w:bCs/>
                <w:szCs w:val="18"/>
                <w:lang w:eastAsia="en-AU"/>
              </w:rPr>
            </w:pPr>
            <w:r w:rsidRPr="00FB058E">
              <w:rPr>
                <w:rFonts w:ascii="Meta Pro" w:eastAsia="Times New Roman" w:hAnsi="Meta Pro"/>
                <w:b/>
                <w:bCs/>
                <w:szCs w:val="18"/>
                <w:lang w:eastAsia="en-AU"/>
              </w:rPr>
              <w:t xml:space="preserve">4,346 </w:t>
            </w:r>
          </w:p>
        </w:tc>
        <w:tc>
          <w:tcPr>
            <w:tcW w:w="196" w:type="dxa"/>
            <w:tcBorders>
              <w:top w:val="nil"/>
              <w:left w:val="nil"/>
              <w:bottom w:val="nil"/>
              <w:right w:val="nil"/>
            </w:tcBorders>
            <w:shd w:val="clear" w:color="auto" w:fill="auto"/>
            <w:noWrap/>
            <w:vAlign w:val="center"/>
            <w:hideMark/>
          </w:tcPr>
          <w:p w14:paraId="5EB9B4D7" w14:textId="77777777" w:rsidR="00BC5219" w:rsidRPr="00FB058E" w:rsidRDefault="00BC5219" w:rsidP="00E83802">
            <w:pPr>
              <w:jc w:val="right"/>
              <w:rPr>
                <w:rFonts w:ascii="Meta Pro" w:eastAsia="Times New Roman" w:hAnsi="Meta Pro"/>
                <w:b/>
                <w:bCs/>
                <w:szCs w:val="18"/>
                <w:lang w:eastAsia="en-AU"/>
              </w:rPr>
            </w:pPr>
          </w:p>
        </w:tc>
        <w:tc>
          <w:tcPr>
            <w:tcW w:w="1134" w:type="dxa"/>
            <w:tcBorders>
              <w:top w:val="single" w:sz="4" w:space="0" w:color="auto"/>
              <w:left w:val="nil"/>
              <w:bottom w:val="double" w:sz="6" w:space="0" w:color="auto"/>
              <w:right w:val="nil"/>
            </w:tcBorders>
            <w:shd w:val="clear" w:color="000000" w:fill="C9E3B4"/>
            <w:noWrap/>
            <w:vAlign w:val="center"/>
            <w:hideMark/>
          </w:tcPr>
          <w:p w14:paraId="155B96D7" w14:textId="77777777" w:rsidR="00BC5219" w:rsidRPr="00FB058E" w:rsidRDefault="00BC5219" w:rsidP="00E83802">
            <w:pPr>
              <w:jc w:val="right"/>
              <w:rPr>
                <w:rFonts w:ascii="Meta Pro" w:eastAsia="Times New Roman" w:hAnsi="Meta Pro"/>
                <w:b/>
                <w:bCs/>
                <w:szCs w:val="18"/>
                <w:lang w:eastAsia="en-AU"/>
              </w:rPr>
            </w:pPr>
            <w:r w:rsidRPr="00FB058E">
              <w:rPr>
                <w:rFonts w:ascii="Meta Pro" w:eastAsia="Times New Roman" w:hAnsi="Meta Pro"/>
                <w:b/>
                <w:bCs/>
                <w:szCs w:val="18"/>
                <w:lang w:eastAsia="en-AU"/>
              </w:rPr>
              <w:t xml:space="preserve">69,214 </w:t>
            </w:r>
          </w:p>
        </w:tc>
      </w:tr>
    </w:tbl>
    <w:p w14:paraId="750567E1" w14:textId="77777777" w:rsidR="00BC5219" w:rsidRPr="008A2B8F" w:rsidRDefault="00BC5219" w:rsidP="00BC5219">
      <w:pPr>
        <w:rPr>
          <w:rFonts w:ascii="Meta Pro" w:hAnsi="Meta Pro" w:cstheme="minorBidi"/>
        </w:rPr>
      </w:pPr>
    </w:p>
    <w:tbl>
      <w:tblPr>
        <w:tblW w:w="0" w:type="auto"/>
        <w:tblCellMar>
          <w:left w:w="0" w:type="dxa"/>
        </w:tblCellMar>
        <w:tblLook w:val="04A0" w:firstRow="1" w:lastRow="0" w:firstColumn="1" w:lastColumn="0" w:noHBand="0" w:noVBand="1"/>
      </w:tblPr>
      <w:tblGrid>
        <w:gridCol w:w="3754"/>
        <w:gridCol w:w="1127"/>
        <w:gridCol w:w="202"/>
        <w:gridCol w:w="1128"/>
        <w:gridCol w:w="203"/>
        <w:gridCol w:w="1128"/>
        <w:gridCol w:w="203"/>
        <w:gridCol w:w="1128"/>
        <w:gridCol w:w="203"/>
        <w:gridCol w:w="1128"/>
      </w:tblGrid>
      <w:tr w:rsidR="00BC5219" w:rsidRPr="008A2B8F" w14:paraId="741C2CC7" w14:textId="77777777" w:rsidTr="00E83802">
        <w:trPr>
          <w:trHeight w:val="240"/>
        </w:trPr>
        <w:tc>
          <w:tcPr>
            <w:tcW w:w="3799" w:type="dxa"/>
            <w:tcBorders>
              <w:top w:val="nil"/>
              <w:left w:val="nil"/>
              <w:bottom w:val="nil"/>
              <w:right w:val="nil"/>
            </w:tcBorders>
            <w:shd w:val="clear" w:color="auto" w:fill="auto"/>
            <w:noWrap/>
            <w:vAlign w:val="center"/>
            <w:hideMark/>
          </w:tcPr>
          <w:p w14:paraId="6B6F2257" w14:textId="77777777" w:rsidR="00BC5219" w:rsidRPr="008A2B8F" w:rsidRDefault="00BC5219" w:rsidP="00E83802">
            <w:pPr>
              <w:rPr>
                <w:rFonts w:ascii="Meta Pro" w:eastAsia="Times New Roman" w:hAnsi="Meta Pro" w:cs="Times New Roman"/>
                <w:sz w:val="24"/>
                <w:szCs w:val="24"/>
                <w:lang w:eastAsia="en-AU"/>
              </w:rPr>
            </w:pPr>
          </w:p>
        </w:tc>
        <w:tc>
          <w:tcPr>
            <w:tcW w:w="1134" w:type="dxa"/>
            <w:tcBorders>
              <w:top w:val="nil"/>
              <w:left w:val="nil"/>
              <w:bottom w:val="nil"/>
              <w:right w:val="nil"/>
            </w:tcBorders>
            <w:shd w:val="clear" w:color="auto" w:fill="auto"/>
            <w:hideMark/>
          </w:tcPr>
          <w:p w14:paraId="21854A56"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Software</w:t>
            </w:r>
          </w:p>
        </w:tc>
        <w:tc>
          <w:tcPr>
            <w:tcW w:w="196" w:type="dxa"/>
            <w:tcBorders>
              <w:top w:val="nil"/>
              <w:left w:val="nil"/>
              <w:bottom w:val="nil"/>
              <w:right w:val="nil"/>
            </w:tcBorders>
            <w:shd w:val="clear" w:color="auto" w:fill="auto"/>
            <w:noWrap/>
            <w:vAlign w:val="center"/>
            <w:hideMark/>
          </w:tcPr>
          <w:p w14:paraId="118179EC" w14:textId="77777777" w:rsidR="00BC5219" w:rsidRPr="008A2B8F" w:rsidRDefault="00BC5219" w:rsidP="00E83802">
            <w:pPr>
              <w:jc w:val="center"/>
              <w:rPr>
                <w:rFonts w:ascii="Meta Pro" w:eastAsia="Times New Roman" w:hAnsi="Meta Pro"/>
                <w:b/>
                <w:bCs/>
                <w:szCs w:val="18"/>
                <w:lang w:eastAsia="en-AU"/>
              </w:rPr>
            </w:pPr>
          </w:p>
        </w:tc>
        <w:tc>
          <w:tcPr>
            <w:tcW w:w="1134" w:type="dxa"/>
            <w:tcBorders>
              <w:top w:val="nil"/>
              <w:left w:val="nil"/>
              <w:bottom w:val="nil"/>
              <w:right w:val="nil"/>
            </w:tcBorders>
            <w:shd w:val="clear" w:color="auto" w:fill="auto"/>
            <w:hideMark/>
          </w:tcPr>
          <w:p w14:paraId="2F2EFA73"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Software</w:t>
            </w:r>
          </w:p>
        </w:tc>
        <w:tc>
          <w:tcPr>
            <w:tcW w:w="196" w:type="dxa"/>
            <w:tcBorders>
              <w:top w:val="nil"/>
              <w:left w:val="nil"/>
              <w:bottom w:val="nil"/>
              <w:right w:val="nil"/>
            </w:tcBorders>
            <w:shd w:val="clear" w:color="auto" w:fill="auto"/>
            <w:noWrap/>
            <w:vAlign w:val="center"/>
            <w:hideMark/>
          </w:tcPr>
          <w:p w14:paraId="384ACB98" w14:textId="77777777" w:rsidR="00BC5219" w:rsidRPr="008A2B8F" w:rsidRDefault="00BC5219" w:rsidP="00E83802">
            <w:pPr>
              <w:jc w:val="center"/>
              <w:rPr>
                <w:rFonts w:ascii="Meta Pro" w:eastAsia="Times New Roman" w:hAnsi="Meta Pro"/>
                <w:b/>
                <w:bCs/>
                <w:szCs w:val="18"/>
                <w:lang w:eastAsia="en-AU"/>
              </w:rPr>
            </w:pPr>
          </w:p>
        </w:tc>
        <w:tc>
          <w:tcPr>
            <w:tcW w:w="1134" w:type="dxa"/>
            <w:tcBorders>
              <w:top w:val="nil"/>
              <w:left w:val="nil"/>
              <w:bottom w:val="nil"/>
              <w:right w:val="nil"/>
            </w:tcBorders>
            <w:shd w:val="clear" w:color="auto" w:fill="auto"/>
            <w:hideMark/>
          </w:tcPr>
          <w:p w14:paraId="28715A71"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 xml:space="preserve">Software </w:t>
            </w:r>
          </w:p>
        </w:tc>
        <w:tc>
          <w:tcPr>
            <w:tcW w:w="196" w:type="dxa"/>
            <w:tcBorders>
              <w:top w:val="nil"/>
              <w:left w:val="nil"/>
              <w:bottom w:val="nil"/>
              <w:right w:val="nil"/>
            </w:tcBorders>
            <w:shd w:val="clear" w:color="auto" w:fill="auto"/>
            <w:noWrap/>
            <w:hideMark/>
          </w:tcPr>
          <w:p w14:paraId="1FA75AD3" w14:textId="77777777" w:rsidR="00BC5219" w:rsidRPr="008A2B8F" w:rsidRDefault="00BC5219" w:rsidP="00E83802">
            <w:pPr>
              <w:jc w:val="center"/>
              <w:rPr>
                <w:rFonts w:ascii="Meta Pro" w:eastAsia="Times New Roman" w:hAnsi="Meta Pro"/>
                <w:b/>
                <w:bCs/>
                <w:szCs w:val="18"/>
                <w:lang w:eastAsia="en-AU"/>
              </w:rPr>
            </w:pPr>
          </w:p>
        </w:tc>
        <w:tc>
          <w:tcPr>
            <w:tcW w:w="1134" w:type="dxa"/>
            <w:tcBorders>
              <w:top w:val="nil"/>
              <w:left w:val="nil"/>
              <w:bottom w:val="nil"/>
              <w:right w:val="nil"/>
            </w:tcBorders>
            <w:shd w:val="clear" w:color="auto" w:fill="auto"/>
            <w:hideMark/>
          </w:tcPr>
          <w:p w14:paraId="725405D9"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Other</w:t>
            </w:r>
          </w:p>
        </w:tc>
        <w:tc>
          <w:tcPr>
            <w:tcW w:w="196" w:type="dxa"/>
            <w:tcBorders>
              <w:top w:val="nil"/>
              <w:left w:val="nil"/>
              <w:bottom w:val="nil"/>
              <w:right w:val="nil"/>
            </w:tcBorders>
            <w:shd w:val="clear" w:color="auto" w:fill="auto"/>
            <w:noWrap/>
            <w:hideMark/>
          </w:tcPr>
          <w:p w14:paraId="1C7154B0" w14:textId="77777777" w:rsidR="00BC5219" w:rsidRPr="008A2B8F" w:rsidRDefault="00BC5219" w:rsidP="00E83802">
            <w:pPr>
              <w:jc w:val="center"/>
              <w:rPr>
                <w:rFonts w:ascii="Meta Pro" w:eastAsia="Times New Roman" w:hAnsi="Meta Pro"/>
                <w:b/>
                <w:bCs/>
                <w:szCs w:val="18"/>
                <w:lang w:eastAsia="en-AU"/>
              </w:rPr>
            </w:pPr>
          </w:p>
        </w:tc>
        <w:tc>
          <w:tcPr>
            <w:tcW w:w="1134" w:type="dxa"/>
            <w:tcBorders>
              <w:top w:val="nil"/>
              <w:left w:val="nil"/>
              <w:bottom w:val="nil"/>
              <w:right w:val="nil"/>
            </w:tcBorders>
            <w:shd w:val="clear" w:color="auto" w:fill="auto"/>
            <w:hideMark/>
          </w:tcPr>
          <w:p w14:paraId="42CAAB58"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Total</w:t>
            </w:r>
          </w:p>
        </w:tc>
      </w:tr>
      <w:tr w:rsidR="00BC5219" w:rsidRPr="008A2B8F" w14:paraId="22B99B28" w14:textId="77777777" w:rsidTr="00E83802">
        <w:trPr>
          <w:trHeight w:val="240"/>
        </w:trPr>
        <w:tc>
          <w:tcPr>
            <w:tcW w:w="3799" w:type="dxa"/>
            <w:tcBorders>
              <w:top w:val="nil"/>
              <w:left w:val="nil"/>
              <w:bottom w:val="nil"/>
              <w:right w:val="nil"/>
            </w:tcBorders>
            <w:shd w:val="clear" w:color="auto" w:fill="auto"/>
            <w:noWrap/>
            <w:vAlign w:val="center"/>
            <w:hideMark/>
          </w:tcPr>
          <w:p w14:paraId="77EEB804" w14:textId="77777777" w:rsidR="00BC5219" w:rsidRPr="008A2B8F" w:rsidRDefault="00BC5219" w:rsidP="00E83802">
            <w:pPr>
              <w:jc w:val="center"/>
              <w:rPr>
                <w:rFonts w:ascii="Meta Pro" w:eastAsia="Times New Roman" w:hAnsi="Meta Pro"/>
                <w:b/>
                <w:bCs/>
                <w:szCs w:val="18"/>
                <w:lang w:eastAsia="en-AU"/>
              </w:rPr>
            </w:pPr>
          </w:p>
        </w:tc>
        <w:tc>
          <w:tcPr>
            <w:tcW w:w="1134" w:type="dxa"/>
            <w:tcBorders>
              <w:top w:val="nil"/>
              <w:left w:val="nil"/>
              <w:bottom w:val="nil"/>
              <w:right w:val="nil"/>
            </w:tcBorders>
            <w:shd w:val="clear" w:color="auto" w:fill="auto"/>
            <w:hideMark/>
          </w:tcPr>
          <w:p w14:paraId="1C1656AF"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purchased</w:t>
            </w:r>
          </w:p>
        </w:tc>
        <w:tc>
          <w:tcPr>
            <w:tcW w:w="196" w:type="dxa"/>
            <w:tcBorders>
              <w:top w:val="nil"/>
              <w:left w:val="nil"/>
              <w:bottom w:val="nil"/>
              <w:right w:val="nil"/>
            </w:tcBorders>
            <w:shd w:val="clear" w:color="auto" w:fill="auto"/>
            <w:hideMark/>
          </w:tcPr>
          <w:p w14:paraId="20083A56" w14:textId="77777777" w:rsidR="00BC5219" w:rsidRPr="008A2B8F" w:rsidRDefault="00BC5219" w:rsidP="00E83802">
            <w:pPr>
              <w:jc w:val="center"/>
              <w:rPr>
                <w:rFonts w:ascii="Meta Pro" w:eastAsia="Times New Roman" w:hAnsi="Meta Pro"/>
                <w:b/>
                <w:bCs/>
                <w:szCs w:val="18"/>
                <w:lang w:eastAsia="en-AU"/>
              </w:rPr>
            </w:pPr>
          </w:p>
        </w:tc>
        <w:tc>
          <w:tcPr>
            <w:tcW w:w="1134" w:type="dxa"/>
            <w:tcBorders>
              <w:top w:val="nil"/>
              <w:left w:val="nil"/>
              <w:bottom w:val="nil"/>
              <w:right w:val="nil"/>
            </w:tcBorders>
            <w:shd w:val="clear" w:color="auto" w:fill="auto"/>
            <w:hideMark/>
          </w:tcPr>
          <w:p w14:paraId="76B2C902"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internally</w:t>
            </w:r>
          </w:p>
        </w:tc>
        <w:tc>
          <w:tcPr>
            <w:tcW w:w="196" w:type="dxa"/>
            <w:tcBorders>
              <w:top w:val="nil"/>
              <w:left w:val="nil"/>
              <w:bottom w:val="nil"/>
              <w:right w:val="nil"/>
            </w:tcBorders>
            <w:shd w:val="clear" w:color="auto" w:fill="auto"/>
            <w:hideMark/>
          </w:tcPr>
          <w:p w14:paraId="43D654C7" w14:textId="77777777" w:rsidR="00BC5219" w:rsidRPr="008A2B8F" w:rsidRDefault="00BC5219" w:rsidP="00E83802">
            <w:pPr>
              <w:jc w:val="center"/>
              <w:rPr>
                <w:rFonts w:ascii="Meta Pro" w:eastAsia="Times New Roman" w:hAnsi="Meta Pro"/>
                <w:b/>
                <w:bCs/>
                <w:szCs w:val="18"/>
                <w:lang w:eastAsia="en-AU"/>
              </w:rPr>
            </w:pPr>
          </w:p>
        </w:tc>
        <w:tc>
          <w:tcPr>
            <w:tcW w:w="1134" w:type="dxa"/>
            <w:tcBorders>
              <w:top w:val="nil"/>
              <w:left w:val="nil"/>
              <w:bottom w:val="nil"/>
              <w:right w:val="nil"/>
            </w:tcBorders>
            <w:shd w:val="clear" w:color="auto" w:fill="auto"/>
            <w:hideMark/>
          </w:tcPr>
          <w:p w14:paraId="107F244C"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 xml:space="preserve">work in </w:t>
            </w:r>
          </w:p>
        </w:tc>
        <w:tc>
          <w:tcPr>
            <w:tcW w:w="196" w:type="dxa"/>
            <w:tcBorders>
              <w:top w:val="nil"/>
              <w:left w:val="nil"/>
              <w:bottom w:val="nil"/>
              <w:right w:val="nil"/>
            </w:tcBorders>
            <w:shd w:val="clear" w:color="auto" w:fill="auto"/>
            <w:hideMark/>
          </w:tcPr>
          <w:p w14:paraId="78A02E74" w14:textId="77777777" w:rsidR="00BC5219" w:rsidRPr="008A2B8F" w:rsidRDefault="00BC5219" w:rsidP="00E83802">
            <w:pPr>
              <w:jc w:val="center"/>
              <w:rPr>
                <w:rFonts w:ascii="Meta Pro" w:eastAsia="Times New Roman" w:hAnsi="Meta Pro"/>
                <w:b/>
                <w:bCs/>
                <w:szCs w:val="18"/>
                <w:lang w:eastAsia="en-AU"/>
              </w:rPr>
            </w:pPr>
          </w:p>
        </w:tc>
        <w:tc>
          <w:tcPr>
            <w:tcW w:w="1134" w:type="dxa"/>
            <w:tcBorders>
              <w:top w:val="nil"/>
              <w:left w:val="nil"/>
              <w:bottom w:val="nil"/>
              <w:right w:val="nil"/>
            </w:tcBorders>
            <w:shd w:val="clear" w:color="auto" w:fill="auto"/>
            <w:hideMark/>
          </w:tcPr>
          <w:p w14:paraId="342316D8" w14:textId="77777777" w:rsidR="00BC5219" w:rsidRPr="008A2B8F" w:rsidRDefault="00BC5219" w:rsidP="00E83802">
            <w:pPr>
              <w:jc w:val="center"/>
              <w:rPr>
                <w:rFonts w:ascii="Meta Pro" w:eastAsia="Times New Roman" w:hAnsi="Meta Pro" w:cs="Times New Roman"/>
                <w:sz w:val="20"/>
                <w:szCs w:val="20"/>
                <w:lang w:eastAsia="en-AU"/>
              </w:rPr>
            </w:pPr>
          </w:p>
        </w:tc>
        <w:tc>
          <w:tcPr>
            <w:tcW w:w="196" w:type="dxa"/>
            <w:tcBorders>
              <w:top w:val="nil"/>
              <w:left w:val="nil"/>
              <w:bottom w:val="nil"/>
              <w:right w:val="nil"/>
            </w:tcBorders>
            <w:shd w:val="clear" w:color="auto" w:fill="auto"/>
            <w:hideMark/>
          </w:tcPr>
          <w:p w14:paraId="41303C4D" w14:textId="77777777" w:rsidR="00BC5219" w:rsidRPr="008A2B8F" w:rsidRDefault="00BC5219" w:rsidP="00E83802">
            <w:pPr>
              <w:jc w:val="center"/>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hideMark/>
          </w:tcPr>
          <w:p w14:paraId="72863C06" w14:textId="77777777" w:rsidR="00BC5219" w:rsidRPr="008A2B8F" w:rsidRDefault="00BC5219" w:rsidP="00E83802">
            <w:pPr>
              <w:jc w:val="center"/>
              <w:rPr>
                <w:rFonts w:ascii="Meta Pro" w:eastAsia="Times New Roman" w:hAnsi="Meta Pro" w:cs="Times New Roman"/>
                <w:sz w:val="20"/>
                <w:szCs w:val="20"/>
                <w:lang w:eastAsia="en-AU"/>
              </w:rPr>
            </w:pPr>
          </w:p>
        </w:tc>
      </w:tr>
      <w:tr w:rsidR="00BC5219" w:rsidRPr="008A2B8F" w14:paraId="6A04DC42" w14:textId="77777777" w:rsidTr="00E83802">
        <w:trPr>
          <w:trHeight w:val="240"/>
        </w:trPr>
        <w:tc>
          <w:tcPr>
            <w:tcW w:w="3799" w:type="dxa"/>
            <w:tcBorders>
              <w:top w:val="nil"/>
              <w:left w:val="nil"/>
              <w:bottom w:val="nil"/>
              <w:right w:val="nil"/>
            </w:tcBorders>
            <w:shd w:val="clear" w:color="auto" w:fill="auto"/>
            <w:noWrap/>
            <w:vAlign w:val="center"/>
            <w:hideMark/>
          </w:tcPr>
          <w:p w14:paraId="45821370" w14:textId="77777777" w:rsidR="00BC5219" w:rsidRPr="008A2B8F" w:rsidRDefault="00BC5219" w:rsidP="00E83802">
            <w:pPr>
              <w:jc w:val="center"/>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hideMark/>
          </w:tcPr>
          <w:p w14:paraId="2A309B96" w14:textId="77777777" w:rsidR="00BC5219" w:rsidRPr="008A2B8F" w:rsidRDefault="00BC5219" w:rsidP="00E83802">
            <w:pPr>
              <w:rPr>
                <w:rFonts w:ascii="Meta Pro" w:eastAsia="Times New Roman" w:hAnsi="Meta Pro" w:cs="Times New Roman"/>
                <w:sz w:val="20"/>
                <w:szCs w:val="20"/>
                <w:lang w:eastAsia="en-AU"/>
              </w:rPr>
            </w:pPr>
          </w:p>
        </w:tc>
        <w:tc>
          <w:tcPr>
            <w:tcW w:w="196" w:type="dxa"/>
            <w:tcBorders>
              <w:top w:val="nil"/>
              <w:left w:val="nil"/>
              <w:bottom w:val="nil"/>
              <w:right w:val="nil"/>
            </w:tcBorders>
            <w:shd w:val="clear" w:color="auto" w:fill="auto"/>
            <w:hideMark/>
          </w:tcPr>
          <w:p w14:paraId="25CD928D" w14:textId="77777777" w:rsidR="00BC5219" w:rsidRPr="008A2B8F" w:rsidRDefault="00BC5219" w:rsidP="00E83802">
            <w:pPr>
              <w:jc w:val="center"/>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hideMark/>
          </w:tcPr>
          <w:p w14:paraId="5A7BE285"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generated*</w:t>
            </w:r>
          </w:p>
        </w:tc>
        <w:tc>
          <w:tcPr>
            <w:tcW w:w="196" w:type="dxa"/>
            <w:tcBorders>
              <w:top w:val="nil"/>
              <w:left w:val="nil"/>
              <w:bottom w:val="nil"/>
              <w:right w:val="nil"/>
            </w:tcBorders>
            <w:shd w:val="clear" w:color="auto" w:fill="auto"/>
            <w:hideMark/>
          </w:tcPr>
          <w:p w14:paraId="5DADE41A" w14:textId="77777777" w:rsidR="00BC5219" w:rsidRPr="008A2B8F" w:rsidRDefault="00BC5219" w:rsidP="00E83802">
            <w:pPr>
              <w:jc w:val="center"/>
              <w:rPr>
                <w:rFonts w:ascii="Meta Pro" w:eastAsia="Times New Roman" w:hAnsi="Meta Pro"/>
                <w:b/>
                <w:bCs/>
                <w:szCs w:val="18"/>
                <w:lang w:eastAsia="en-AU"/>
              </w:rPr>
            </w:pPr>
          </w:p>
        </w:tc>
        <w:tc>
          <w:tcPr>
            <w:tcW w:w="1134" w:type="dxa"/>
            <w:tcBorders>
              <w:top w:val="nil"/>
              <w:left w:val="nil"/>
              <w:bottom w:val="nil"/>
              <w:right w:val="nil"/>
            </w:tcBorders>
            <w:shd w:val="clear" w:color="auto" w:fill="auto"/>
            <w:hideMark/>
          </w:tcPr>
          <w:p w14:paraId="7314A6D6"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progress</w:t>
            </w:r>
          </w:p>
        </w:tc>
        <w:tc>
          <w:tcPr>
            <w:tcW w:w="196" w:type="dxa"/>
            <w:tcBorders>
              <w:top w:val="nil"/>
              <w:left w:val="nil"/>
              <w:bottom w:val="nil"/>
              <w:right w:val="nil"/>
            </w:tcBorders>
            <w:shd w:val="clear" w:color="auto" w:fill="auto"/>
            <w:hideMark/>
          </w:tcPr>
          <w:p w14:paraId="7A51676F" w14:textId="77777777" w:rsidR="00BC5219" w:rsidRPr="008A2B8F" w:rsidRDefault="00BC5219" w:rsidP="00E83802">
            <w:pPr>
              <w:jc w:val="center"/>
              <w:rPr>
                <w:rFonts w:ascii="Meta Pro" w:eastAsia="Times New Roman" w:hAnsi="Meta Pro"/>
                <w:b/>
                <w:bCs/>
                <w:szCs w:val="18"/>
                <w:lang w:eastAsia="en-AU"/>
              </w:rPr>
            </w:pPr>
          </w:p>
        </w:tc>
        <w:tc>
          <w:tcPr>
            <w:tcW w:w="1134" w:type="dxa"/>
            <w:tcBorders>
              <w:top w:val="nil"/>
              <w:left w:val="nil"/>
              <w:bottom w:val="nil"/>
              <w:right w:val="nil"/>
            </w:tcBorders>
            <w:shd w:val="clear" w:color="auto" w:fill="auto"/>
            <w:hideMark/>
          </w:tcPr>
          <w:p w14:paraId="1FFA0BBB" w14:textId="77777777" w:rsidR="00BC5219" w:rsidRPr="008A2B8F" w:rsidRDefault="00BC5219" w:rsidP="00E83802">
            <w:pPr>
              <w:jc w:val="center"/>
              <w:rPr>
                <w:rFonts w:ascii="Meta Pro" w:eastAsia="Times New Roman" w:hAnsi="Meta Pro" w:cs="Times New Roman"/>
                <w:sz w:val="20"/>
                <w:szCs w:val="20"/>
                <w:lang w:eastAsia="en-AU"/>
              </w:rPr>
            </w:pPr>
          </w:p>
        </w:tc>
        <w:tc>
          <w:tcPr>
            <w:tcW w:w="196" w:type="dxa"/>
            <w:tcBorders>
              <w:top w:val="nil"/>
              <w:left w:val="nil"/>
              <w:bottom w:val="nil"/>
              <w:right w:val="nil"/>
            </w:tcBorders>
            <w:shd w:val="clear" w:color="auto" w:fill="auto"/>
            <w:hideMark/>
          </w:tcPr>
          <w:p w14:paraId="56A0C8E4" w14:textId="77777777" w:rsidR="00BC5219" w:rsidRPr="008A2B8F" w:rsidRDefault="00BC5219" w:rsidP="00E83802">
            <w:pPr>
              <w:jc w:val="center"/>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hideMark/>
          </w:tcPr>
          <w:p w14:paraId="7147C95D" w14:textId="77777777" w:rsidR="00BC5219" w:rsidRPr="008A2B8F" w:rsidRDefault="00BC5219" w:rsidP="00E83802">
            <w:pPr>
              <w:jc w:val="center"/>
              <w:rPr>
                <w:rFonts w:ascii="Meta Pro" w:eastAsia="Times New Roman" w:hAnsi="Meta Pro" w:cs="Times New Roman"/>
                <w:sz w:val="20"/>
                <w:szCs w:val="20"/>
                <w:lang w:eastAsia="en-AU"/>
              </w:rPr>
            </w:pPr>
          </w:p>
        </w:tc>
      </w:tr>
      <w:tr w:rsidR="00BC5219" w:rsidRPr="008A2B8F" w14:paraId="40F77C22" w14:textId="77777777" w:rsidTr="00E83802">
        <w:trPr>
          <w:trHeight w:val="240"/>
        </w:trPr>
        <w:tc>
          <w:tcPr>
            <w:tcW w:w="3799" w:type="dxa"/>
            <w:tcBorders>
              <w:top w:val="nil"/>
              <w:left w:val="nil"/>
              <w:bottom w:val="nil"/>
              <w:right w:val="nil"/>
            </w:tcBorders>
            <w:shd w:val="clear" w:color="auto" w:fill="auto"/>
            <w:noWrap/>
            <w:vAlign w:val="center"/>
            <w:hideMark/>
          </w:tcPr>
          <w:p w14:paraId="5782CA55" w14:textId="77777777" w:rsidR="00BC5219" w:rsidRPr="008A2B8F" w:rsidRDefault="00BC5219" w:rsidP="00E83802">
            <w:pPr>
              <w:jc w:val="center"/>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4F991078" w14:textId="77777777" w:rsidR="00BC5219" w:rsidRPr="008A2B8F" w:rsidRDefault="00BC5219" w:rsidP="00E83802">
            <w:pPr>
              <w:jc w:val="center"/>
              <w:rPr>
                <w:rFonts w:ascii="Meta Pro" w:eastAsia="Times New Roman" w:hAnsi="Meta Pro"/>
                <w:b/>
                <w:bCs/>
                <w:lang w:eastAsia="en-AU"/>
              </w:rPr>
            </w:pPr>
            <w:r w:rsidRPr="008A2B8F">
              <w:rPr>
                <w:rFonts w:ascii="Meta Pro" w:eastAsia="Times New Roman" w:hAnsi="Meta Pro"/>
                <w:b/>
                <w:bCs/>
                <w:lang w:eastAsia="en-AU"/>
              </w:rPr>
              <w:t>2022</w:t>
            </w:r>
          </w:p>
        </w:tc>
        <w:tc>
          <w:tcPr>
            <w:tcW w:w="196" w:type="dxa"/>
            <w:tcBorders>
              <w:top w:val="nil"/>
              <w:left w:val="nil"/>
              <w:bottom w:val="nil"/>
              <w:right w:val="nil"/>
            </w:tcBorders>
            <w:shd w:val="clear" w:color="auto" w:fill="auto"/>
            <w:noWrap/>
            <w:vAlign w:val="center"/>
            <w:hideMark/>
          </w:tcPr>
          <w:p w14:paraId="3E19B385" w14:textId="77777777" w:rsidR="00BC5219" w:rsidRPr="008A2B8F" w:rsidRDefault="00BC5219" w:rsidP="00E83802">
            <w:pPr>
              <w:jc w:val="center"/>
              <w:rPr>
                <w:rFonts w:ascii="Meta Pro" w:eastAsia="Times New Roman" w:hAnsi="Meta Pro"/>
                <w:b/>
                <w:bCs/>
                <w:lang w:eastAsia="en-AU"/>
              </w:rPr>
            </w:pPr>
          </w:p>
        </w:tc>
        <w:tc>
          <w:tcPr>
            <w:tcW w:w="1134" w:type="dxa"/>
            <w:tcBorders>
              <w:top w:val="nil"/>
              <w:left w:val="nil"/>
              <w:bottom w:val="nil"/>
              <w:right w:val="nil"/>
            </w:tcBorders>
            <w:shd w:val="clear" w:color="auto" w:fill="auto"/>
            <w:noWrap/>
            <w:vAlign w:val="center"/>
            <w:hideMark/>
          </w:tcPr>
          <w:p w14:paraId="7B08CCAE" w14:textId="77777777" w:rsidR="00BC5219" w:rsidRPr="008A2B8F" w:rsidRDefault="00BC5219" w:rsidP="00E83802">
            <w:pPr>
              <w:jc w:val="center"/>
              <w:rPr>
                <w:rFonts w:ascii="Meta Pro" w:eastAsia="Times New Roman" w:hAnsi="Meta Pro"/>
                <w:b/>
                <w:bCs/>
                <w:lang w:eastAsia="en-AU"/>
              </w:rPr>
            </w:pPr>
            <w:r w:rsidRPr="008A2B8F">
              <w:rPr>
                <w:rFonts w:ascii="Meta Pro" w:eastAsia="Times New Roman" w:hAnsi="Meta Pro"/>
                <w:b/>
                <w:bCs/>
                <w:lang w:eastAsia="en-AU"/>
              </w:rPr>
              <w:t xml:space="preserve">2022 </w:t>
            </w:r>
          </w:p>
        </w:tc>
        <w:tc>
          <w:tcPr>
            <w:tcW w:w="196" w:type="dxa"/>
            <w:tcBorders>
              <w:top w:val="nil"/>
              <w:left w:val="nil"/>
              <w:bottom w:val="nil"/>
              <w:right w:val="nil"/>
            </w:tcBorders>
            <w:shd w:val="clear" w:color="auto" w:fill="auto"/>
            <w:noWrap/>
            <w:vAlign w:val="center"/>
            <w:hideMark/>
          </w:tcPr>
          <w:p w14:paraId="1BA12779" w14:textId="77777777" w:rsidR="00BC5219" w:rsidRPr="008A2B8F" w:rsidRDefault="00BC5219" w:rsidP="00E83802">
            <w:pPr>
              <w:jc w:val="center"/>
              <w:rPr>
                <w:rFonts w:ascii="Meta Pro" w:eastAsia="Times New Roman" w:hAnsi="Meta Pro"/>
                <w:b/>
                <w:bCs/>
                <w:lang w:eastAsia="en-AU"/>
              </w:rPr>
            </w:pPr>
          </w:p>
        </w:tc>
        <w:tc>
          <w:tcPr>
            <w:tcW w:w="1134" w:type="dxa"/>
            <w:tcBorders>
              <w:top w:val="nil"/>
              <w:left w:val="nil"/>
              <w:bottom w:val="nil"/>
              <w:right w:val="nil"/>
            </w:tcBorders>
            <w:shd w:val="clear" w:color="auto" w:fill="auto"/>
            <w:noWrap/>
            <w:vAlign w:val="center"/>
            <w:hideMark/>
          </w:tcPr>
          <w:p w14:paraId="107414F7" w14:textId="77777777" w:rsidR="00BC5219" w:rsidRPr="008A2B8F" w:rsidRDefault="00BC5219" w:rsidP="00E83802">
            <w:pPr>
              <w:jc w:val="center"/>
              <w:rPr>
                <w:rFonts w:ascii="Meta Pro" w:eastAsia="Times New Roman" w:hAnsi="Meta Pro"/>
                <w:b/>
                <w:bCs/>
                <w:lang w:eastAsia="en-AU"/>
              </w:rPr>
            </w:pPr>
            <w:r w:rsidRPr="008A2B8F">
              <w:rPr>
                <w:rFonts w:ascii="Meta Pro" w:eastAsia="Times New Roman" w:hAnsi="Meta Pro"/>
                <w:b/>
                <w:bCs/>
                <w:lang w:eastAsia="en-AU"/>
              </w:rPr>
              <w:t>2022</w:t>
            </w:r>
          </w:p>
        </w:tc>
        <w:tc>
          <w:tcPr>
            <w:tcW w:w="196" w:type="dxa"/>
            <w:tcBorders>
              <w:top w:val="nil"/>
              <w:left w:val="nil"/>
              <w:bottom w:val="nil"/>
              <w:right w:val="nil"/>
            </w:tcBorders>
            <w:shd w:val="clear" w:color="auto" w:fill="auto"/>
            <w:noWrap/>
            <w:vAlign w:val="center"/>
            <w:hideMark/>
          </w:tcPr>
          <w:p w14:paraId="5055108F" w14:textId="77777777" w:rsidR="00BC5219" w:rsidRPr="008A2B8F" w:rsidRDefault="00BC5219" w:rsidP="00E83802">
            <w:pPr>
              <w:jc w:val="center"/>
              <w:rPr>
                <w:rFonts w:ascii="Meta Pro" w:eastAsia="Times New Roman" w:hAnsi="Meta Pro"/>
                <w:b/>
                <w:bCs/>
                <w:lang w:eastAsia="en-AU"/>
              </w:rPr>
            </w:pPr>
          </w:p>
        </w:tc>
        <w:tc>
          <w:tcPr>
            <w:tcW w:w="1134" w:type="dxa"/>
            <w:tcBorders>
              <w:top w:val="nil"/>
              <w:left w:val="nil"/>
              <w:bottom w:val="nil"/>
              <w:right w:val="nil"/>
            </w:tcBorders>
            <w:shd w:val="clear" w:color="auto" w:fill="auto"/>
            <w:noWrap/>
            <w:vAlign w:val="center"/>
            <w:hideMark/>
          </w:tcPr>
          <w:p w14:paraId="6A692D11" w14:textId="77777777" w:rsidR="00BC5219" w:rsidRPr="008A2B8F" w:rsidRDefault="00BC5219" w:rsidP="00E83802">
            <w:pPr>
              <w:jc w:val="center"/>
              <w:rPr>
                <w:rFonts w:ascii="Meta Pro" w:eastAsia="Times New Roman" w:hAnsi="Meta Pro"/>
                <w:b/>
                <w:bCs/>
                <w:lang w:eastAsia="en-AU"/>
              </w:rPr>
            </w:pPr>
            <w:r w:rsidRPr="008A2B8F">
              <w:rPr>
                <w:rFonts w:ascii="Meta Pro" w:eastAsia="Times New Roman" w:hAnsi="Meta Pro"/>
                <w:b/>
                <w:bCs/>
                <w:lang w:eastAsia="en-AU"/>
              </w:rPr>
              <w:t>2022</w:t>
            </w:r>
          </w:p>
        </w:tc>
        <w:tc>
          <w:tcPr>
            <w:tcW w:w="196" w:type="dxa"/>
            <w:tcBorders>
              <w:top w:val="nil"/>
              <w:left w:val="nil"/>
              <w:bottom w:val="nil"/>
              <w:right w:val="nil"/>
            </w:tcBorders>
            <w:shd w:val="clear" w:color="auto" w:fill="auto"/>
            <w:noWrap/>
            <w:vAlign w:val="center"/>
            <w:hideMark/>
          </w:tcPr>
          <w:p w14:paraId="5FF2CD53" w14:textId="77777777" w:rsidR="00BC5219" w:rsidRPr="008A2B8F" w:rsidRDefault="00BC5219" w:rsidP="00E83802">
            <w:pPr>
              <w:jc w:val="center"/>
              <w:rPr>
                <w:rFonts w:ascii="Meta Pro" w:eastAsia="Times New Roman" w:hAnsi="Meta Pro"/>
                <w:b/>
                <w:bCs/>
                <w:lang w:eastAsia="en-AU"/>
              </w:rPr>
            </w:pPr>
          </w:p>
        </w:tc>
        <w:tc>
          <w:tcPr>
            <w:tcW w:w="1134" w:type="dxa"/>
            <w:tcBorders>
              <w:top w:val="nil"/>
              <w:left w:val="nil"/>
              <w:bottom w:val="nil"/>
              <w:right w:val="nil"/>
            </w:tcBorders>
            <w:shd w:val="clear" w:color="auto" w:fill="auto"/>
            <w:noWrap/>
            <w:vAlign w:val="center"/>
            <w:hideMark/>
          </w:tcPr>
          <w:p w14:paraId="00BBD56E" w14:textId="77777777" w:rsidR="00BC5219" w:rsidRPr="008A2B8F" w:rsidRDefault="00BC5219" w:rsidP="00E83802">
            <w:pPr>
              <w:jc w:val="center"/>
              <w:rPr>
                <w:rFonts w:ascii="Meta Pro" w:eastAsia="Times New Roman" w:hAnsi="Meta Pro"/>
                <w:b/>
                <w:bCs/>
                <w:lang w:eastAsia="en-AU"/>
              </w:rPr>
            </w:pPr>
            <w:r w:rsidRPr="008A2B8F">
              <w:rPr>
                <w:rFonts w:ascii="Meta Pro" w:eastAsia="Times New Roman" w:hAnsi="Meta Pro"/>
                <w:b/>
                <w:bCs/>
                <w:lang w:eastAsia="en-AU"/>
              </w:rPr>
              <w:t>2022</w:t>
            </w:r>
          </w:p>
        </w:tc>
      </w:tr>
      <w:tr w:rsidR="00BC5219" w:rsidRPr="008A2B8F" w14:paraId="586D4BBE" w14:textId="77777777" w:rsidTr="00E83802">
        <w:trPr>
          <w:trHeight w:val="240"/>
        </w:trPr>
        <w:tc>
          <w:tcPr>
            <w:tcW w:w="3799" w:type="dxa"/>
            <w:tcBorders>
              <w:top w:val="nil"/>
              <w:left w:val="nil"/>
              <w:bottom w:val="nil"/>
              <w:right w:val="nil"/>
            </w:tcBorders>
            <w:shd w:val="clear" w:color="auto" w:fill="auto"/>
            <w:noWrap/>
            <w:vAlign w:val="center"/>
            <w:hideMark/>
          </w:tcPr>
          <w:p w14:paraId="7161ED68" w14:textId="77777777" w:rsidR="00BC5219" w:rsidRPr="008A2B8F" w:rsidRDefault="00BC5219" w:rsidP="00E83802">
            <w:pPr>
              <w:jc w:val="center"/>
              <w:rPr>
                <w:rFonts w:ascii="Meta Pro" w:eastAsia="Times New Roman" w:hAnsi="Meta Pro"/>
                <w:b/>
                <w:bCs/>
                <w:lang w:eastAsia="en-AU"/>
              </w:rPr>
            </w:pPr>
          </w:p>
        </w:tc>
        <w:tc>
          <w:tcPr>
            <w:tcW w:w="1134" w:type="dxa"/>
            <w:tcBorders>
              <w:top w:val="nil"/>
              <w:left w:val="nil"/>
              <w:bottom w:val="nil"/>
              <w:right w:val="nil"/>
            </w:tcBorders>
            <w:shd w:val="clear" w:color="auto" w:fill="auto"/>
            <w:vAlign w:val="center"/>
            <w:hideMark/>
          </w:tcPr>
          <w:p w14:paraId="54DD97E8" w14:textId="77777777" w:rsidR="00BC5219" w:rsidRPr="008A2B8F" w:rsidRDefault="00BC5219" w:rsidP="00E83802">
            <w:pPr>
              <w:jc w:val="center"/>
              <w:rPr>
                <w:rFonts w:ascii="Meta Pro" w:eastAsia="Times New Roman" w:hAnsi="Meta Pro"/>
                <w:b/>
                <w:bCs/>
                <w:lang w:eastAsia="en-AU"/>
              </w:rPr>
            </w:pPr>
            <w:r w:rsidRPr="008A2B8F">
              <w:rPr>
                <w:rFonts w:ascii="Meta Pro" w:eastAsia="Times New Roman" w:hAnsi="Meta Pro"/>
                <w:b/>
                <w:bCs/>
                <w:lang w:eastAsia="en-AU"/>
              </w:rPr>
              <w:t>$'000</w:t>
            </w:r>
          </w:p>
        </w:tc>
        <w:tc>
          <w:tcPr>
            <w:tcW w:w="196" w:type="dxa"/>
            <w:tcBorders>
              <w:top w:val="nil"/>
              <w:left w:val="nil"/>
              <w:bottom w:val="nil"/>
              <w:right w:val="nil"/>
            </w:tcBorders>
            <w:shd w:val="clear" w:color="auto" w:fill="auto"/>
            <w:noWrap/>
            <w:vAlign w:val="center"/>
            <w:hideMark/>
          </w:tcPr>
          <w:p w14:paraId="54197320" w14:textId="77777777" w:rsidR="00BC5219" w:rsidRPr="008A2B8F" w:rsidRDefault="00BC5219" w:rsidP="00E83802">
            <w:pPr>
              <w:jc w:val="center"/>
              <w:rPr>
                <w:rFonts w:ascii="Meta Pro" w:eastAsia="Times New Roman" w:hAnsi="Meta Pro"/>
                <w:b/>
                <w:bCs/>
                <w:lang w:eastAsia="en-AU"/>
              </w:rPr>
            </w:pPr>
          </w:p>
        </w:tc>
        <w:tc>
          <w:tcPr>
            <w:tcW w:w="1134" w:type="dxa"/>
            <w:tcBorders>
              <w:top w:val="nil"/>
              <w:left w:val="nil"/>
              <w:bottom w:val="nil"/>
              <w:right w:val="nil"/>
            </w:tcBorders>
            <w:shd w:val="clear" w:color="auto" w:fill="auto"/>
            <w:vAlign w:val="center"/>
            <w:hideMark/>
          </w:tcPr>
          <w:p w14:paraId="6F627647" w14:textId="77777777" w:rsidR="00BC5219" w:rsidRPr="008A2B8F" w:rsidRDefault="00BC5219" w:rsidP="00E83802">
            <w:pPr>
              <w:jc w:val="center"/>
              <w:rPr>
                <w:rFonts w:ascii="Meta Pro" w:eastAsia="Times New Roman" w:hAnsi="Meta Pro"/>
                <w:b/>
                <w:bCs/>
                <w:lang w:eastAsia="en-AU"/>
              </w:rPr>
            </w:pPr>
            <w:r w:rsidRPr="008A2B8F">
              <w:rPr>
                <w:rFonts w:ascii="Meta Pro" w:eastAsia="Times New Roman" w:hAnsi="Meta Pro"/>
                <w:b/>
                <w:bCs/>
                <w:lang w:eastAsia="en-AU"/>
              </w:rPr>
              <w:t>$'000</w:t>
            </w:r>
          </w:p>
        </w:tc>
        <w:tc>
          <w:tcPr>
            <w:tcW w:w="196" w:type="dxa"/>
            <w:tcBorders>
              <w:top w:val="nil"/>
              <w:left w:val="nil"/>
              <w:bottom w:val="nil"/>
              <w:right w:val="nil"/>
            </w:tcBorders>
            <w:shd w:val="clear" w:color="auto" w:fill="auto"/>
            <w:noWrap/>
            <w:vAlign w:val="center"/>
            <w:hideMark/>
          </w:tcPr>
          <w:p w14:paraId="2F6071F6" w14:textId="77777777" w:rsidR="00BC5219" w:rsidRPr="008A2B8F" w:rsidRDefault="00BC5219" w:rsidP="00E83802">
            <w:pPr>
              <w:jc w:val="center"/>
              <w:rPr>
                <w:rFonts w:ascii="Meta Pro" w:eastAsia="Times New Roman" w:hAnsi="Meta Pro"/>
                <w:b/>
                <w:bCs/>
                <w:lang w:eastAsia="en-AU"/>
              </w:rPr>
            </w:pPr>
          </w:p>
        </w:tc>
        <w:tc>
          <w:tcPr>
            <w:tcW w:w="1134" w:type="dxa"/>
            <w:tcBorders>
              <w:top w:val="nil"/>
              <w:left w:val="nil"/>
              <w:bottom w:val="nil"/>
              <w:right w:val="nil"/>
            </w:tcBorders>
            <w:shd w:val="clear" w:color="auto" w:fill="auto"/>
            <w:vAlign w:val="center"/>
            <w:hideMark/>
          </w:tcPr>
          <w:p w14:paraId="2200C110" w14:textId="77777777" w:rsidR="00BC5219" w:rsidRPr="008A2B8F" w:rsidRDefault="00BC5219" w:rsidP="00E83802">
            <w:pPr>
              <w:jc w:val="center"/>
              <w:rPr>
                <w:rFonts w:ascii="Meta Pro" w:eastAsia="Times New Roman" w:hAnsi="Meta Pro"/>
                <w:b/>
                <w:bCs/>
                <w:lang w:eastAsia="en-AU"/>
              </w:rPr>
            </w:pPr>
            <w:r w:rsidRPr="008A2B8F">
              <w:rPr>
                <w:rFonts w:ascii="Meta Pro" w:eastAsia="Times New Roman" w:hAnsi="Meta Pro"/>
                <w:b/>
                <w:bCs/>
                <w:lang w:eastAsia="en-AU"/>
              </w:rPr>
              <w:t>$'000</w:t>
            </w:r>
          </w:p>
        </w:tc>
        <w:tc>
          <w:tcPr>
            <w:tcW w:w="196" w:type="dxa"/>
            <w:tcBorders>
              <w:top w:val="nil"/>
              <w:left w:val="nil"/>
              <w:bottom w:val="nil"/>
              <w:right w:val="nil"/>
            </w:tcBorders>
            <w:shd w:val="clear" w:color="auto" w:fill="auto"/>
            <w:noWrap/>
            <w:vAlign w:val="center"/>
            <w:hideMark/>
          </w:tcPr>
          <w:p w14:paraId="11FB3C5C" w14:textId="77777777" w:rsidR="00BC5219" w:rsidRPr="008A2B8F" w:rsidRDefault="00BC5219" w:rsidP="00E83802">
            <w:pPr>
              <w:jc w:val="center"/>
              <w:rPr>
                <w:rFonts w:ascii="Meta Pro" w:eastAsia="Times New Roman" w:hAnsi="Meta Pro"/>
                <w:b/>
                <w:bCs/>
                <w:lang w:eastAsia="en-AU"/>
              </w:rPr>
            </w:pPr>
          </w:p>
        </w:tc>
        <w:tc>
          <w:tcPr>
            <w:tcW w:w="1134" w:type="dxa"/>
            <w:tcBorders>
              <w:top w:val="nil"/>
              <w:left w:val="nil"/>
              <w:bottom w:val="nil"/>
              <w:right w:val="nil"/>
            </w:tcBorders>
            <w:shd w:val="clear" w:color="auto" w:fill="auto"/>
            <w:vAlign w:val="center"/>
            <w:hideMark/>
          </w:tcPr>
          <w:p w14:paraId="6E475C14" w14:textId="77777777" w:rsidR="00BC5219" w:rsidRPr="008A2B8F" w:rsidRDefault="00BC5219" w:rsidP="00E83802">
            <w:pPr>
              <w:jc w:val="center"/>
              <w:rPr>
                <w:rFonts w:ascii="Meta Pro" w:eastAsia="Times New Roman" w:hAnsi="Meta Pro"/>
                <w:b/>
                <w:bCs/>
                <w:lang w:eastAsia="en-AU"/>
              </w:rPr>
            </w:pPr>
            <w:r w:rsidRPr="008A2B8F">
              <w:rPr>
                <w:rFonts w:ascii="Meta Pro" w:eastAsia="Times New Roman" w:hAnsi="Meta Pro"/>
                <w:b/>
                <w:bCs/>
                <w:lang w:eastAsia="en-AU"/>
              </w:rPr>
              <w:t>$'000</w:t>
            </w:r>
          </w:p>
        </w:tc>
        <w:tc>
          <w:tcPr>
            <w:tcW w:w="196" w:type="dxa"/>
            <w:tcBorders>
              <w:top w:val="nil"/>
              <w:left w:val="nil"/>
              <w:bottom w:val="nil"/>
              <w:right w:val="nil"/>
            </w:tcBorders>
            <w:shd w:val="clear" w:color="auto" w:fill="auto"/>
            <w:noWrap/>
            <w:vAlign w:val="center"/>
            <w:hideMark/>
          </w:tcPr>
          <w:p w14:paraId="42A4501F" w14:textId="77777777" w:rsidR="00BC5219" w:rsidRPr="008A2B8F" w:rsidRDefault="00BC5219" w:rsidP="00E83802">
            <w:pPr>
              <w:jc w:val="center"/>
              <w:rPr>
                <w:rFonts w:ascii="Meta Pro" w:eastAsia="Times New Roman" w:hAnsi="Meta Pro"/>
                <w:b/>
                <w:bCs/>
                <w:lang w:eastAsia="en-AU"/>
              </w:rPr>
            </w:pPr>
          </w:p>
        </w:tc>
        <w:tc>
          <w:tcPr>
            <w:tcW w:w="1134" w:type="dxa"/>
            <w:tcBorders>
              <w:top w:val="nil"/>
              <w:left w:val="nil"/>
              <w:bottom w:val="nil"/>
              <w:right w:val="nil"/>
            </w:tcBorders>
            <w:shd w:val="clear" w:color="auto" w:fill="auto"/>
            <w:vAlign w:val="center"/>
            <w:hideMark/>
          </w:tcPr>
          <w:p w14:paraId="34A27B9F" w14:textId="77777777" w:rsidR="00BC5219" w:rsidRPr="008A2B8F" w:rsidRDefault="00BC5219" w:rsidP="00E83802">
            <w:pPr>
              <w:jc w:val="center"/>
              <w:rPr>
                <w:rFonts w:ascii="Meta Pro" w:eastAsia="Times New Roman" w:hAnsi="Meta Pro"/>
                <w:b/>
                <w:bCs/>
                <w:lang w:eastAsia="en-AU"/>
              </w:rPr>
            </w:pPr>
            <w:r w:rsidRPr="008A2B8F">
              <w:rPr>
                <w:rFonts w:ascii="Meta Pro" w:eastAsia="Times New Roman" w:hAnsi="Meta Pro"/>
                <w:b/>
                <w:bCs/>
                <w:lang w:eastAsia="en-AU"/>
              </w:rPr>
              <w:t>$'000</w:t>
            </w:r>
          </w:p>
        </w:tc>
      </w:tr>
      <w:tr w:rsidR="00BC5219" w:rsidRPr="008A2B8F" w14:paraId="2FB64B39" w14:textId="77777777" w:rsidTr="00E83802">
        <w:trPr>
          <w:trHeight w:val="90"/>
        </w:trPr>
        <w:tc>
          <w:tcPr>
            <w:tcW w:w="3799" w:type="dxa"/>
            <w:tcBorders>
              <w:top w:val="nil"/>
              <w:left w:val="nil"/>
              <w:bottom w:val="nil"/>
              <w:right w:val="nil"/>
            </w:tcBorders>
            <w:shd w:val="clear" w:color="auto" w:fill="auto"/>
            <w:noWrap/>
            <w:vAlign w:val="center"/>
            <w:hideMark/>
          </w:tcPr>
          <w:p w14:paraId="73FF8EB6" w14:textId="77777777" w:rsidR="00BC5219" w:rsidRPr="008A2B8F" w:rsidRDefault="00BC5219" w:rsidP="00E83802">
            <w:pPr>
              <w:jc w:val="center"/>
              <w:rPr>
                <w:rFonts w:ascii="Meta Pro" w:eastAsia="Times New Roman" w:hAnsi="Meta Pro"/>
                <w:b/>
                <w:bCs/>
                <w:lang w:eastAsia="en-AU"/>
              </w:rPr>
            </w:pPr>
          </w:p>
        </w:tc>
        <w:tc>
          <w:tcPr>
            <w:tcW w:w="1134" w:type="dxa"/>
            <w:tcBorders>
              <w:top w:val="nil"/>
              <w:left w:val="nil"/>
              <w:bottom w:val="nil"/>
              <w:right w:val="nil"/>
            </w:tcBorders>
            <w:shd w:val="clear" w:color="auto" w:fill="auto"/>
            <w:vAlign w:val="center"/>
            <w:hideMark/>
          </w:tcPr>
          <w:p w14:paraId="2E12E264" w14:textId="77777777" w:rsidR="00BC5219" w:rsidRPr="008A2B8F" w:rsidRDefault="00BC5219" w:rsidP="00E83802">
            <w:pPr>
              <w:rPr>
                <w:rFonts w:ascii="Meta Pro" w:eastAsia="Times New Roman" w:hAnsi="Meta Pro"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2583DCFD" w14:textId="77777777" w:rsidR="00BC5219" w:rsidRPr="008A2B8F" w:rsidRDefault="00BC5219" w:rsidP="00E83802">
            <w:pPr>
              <w:jc w:val="center"/>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vAlign w:val="center"/>
            <w:hideMark/>
          </w:tcPr>
          <w:p w14:paraId="4EC19466" w14:textId="77777777" w:rsidR="00BC5219" w:rsidRPr="008A2B8F" w:rsidRDefault="00BC5219" w:rsidP="00E83802">
            <w:pPr>
              <w:rPr>
                <w:rFonts w:ascii="Meta Pro" w:eastAsia="Times New Roman" w:hAnsi="Meta Pro"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7366F99F" w14:textId="77777777" w:rsidR="00BC5219" w:rsidRPr="008A2B8F" w:rsidRDefault="00BC5219" w:rsidP="00E83802">
            <w:pPr>
              <w:jc w:val="center"/>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vAlign w:val="center"/>
            <w:hideMark/>
          </w:tcPr>
          <w:p w14:paraId="50835088" w14:textId="77777777" w:rsidR="00BC5219" w:rsidRPr="008A2B8F" w:rsidRDefault="00BC5219" w:rsidP="00E83802">
            <w:pPr>
              <w:rPr>
                <w:rFonts w:ascii="Meta Pro" w:eastAsia="Times New Roman" w:hAnsi="Meta Pro"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58B55057" w14:textId="77777777" w:rsidR="00BC5219" w:rsidRPr="008A2B8F" w:rsidRDefault="00BC5219" w:rsidP="00E83802">
            <w:pPr>
              <w:jc w:val="center"/>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vAlign w:val="center"/>
            <w:hideMark/>
          </w:tcPr>
          <w:p w14:paraId="3ED7F8C4" w14:textId="77777777" w:rsidR="00BC5219" w:rsidRPr="008A2B8F" w:rsidRDefault="00BC5219" w:rsidP="00E83802">
            <w:pPr>
              <w:rPr>
                <w:rFonts w:ascii="Meta Pro" w:eastAsia="Times New Roman" w:hAnsi="Meta Pro"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7E6F44E6" w14:textId="77777777" w:rsidR="00BC5219" w:rsidRPr="008A2B8F" w:rsidRDefault="00BC5219" w:rsidP="00E83802">
            <w:pPr>
              <w:jc w:val="center"/>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vAlign w:val="center"/>
            <w:hideMark/>
          </w:tcPr>
          <w:p w14:paraId="0DB3399F" w14:textId="77777777" w:rsidR="00BC5219" w:rsidRPr="008A2B8F" w:rsidRDefault="00BC5219" w:rsidP="00E83802">
            <w:pPr>
              <w:rPr>
                <w:rFonts w:ascii="Meta Pro" w:eastAsia="Times New Roman" w:hAnsi="Meta Pro" w:cs="Times New Roman"/>
                <w:sz w:val="20"/>
                <w:szCs w:val="20"/>
                <w:lang w:eastAsia="en-AU"/>
              </w:rPr>
            </w:pPr>
          </w:p>
        </w:tc>
      </w:tr>
      <w:tr w:rsidR="00BC5219" w:rsidRPr="008A2B8F" w14:paraId="2C658FBB" w14:textId="77777777" w:rsidTr="00E83802">
        <w:trPr>
          <w:trHeight w:val="240"/>
        </w:trPr>
        <w:tc>
          <w:tcPr>
            <w:tcW w:w="3799" w:type="dxa"/>
            <w:tcBorders>
              <w:top w:val="nil"/>
              <w:left w:val="nil"/>
              <w:bottom w:val="nil"/>
              <w:right w:val="nil"/>
            </w:tcBorders>
            <w:shd w:val="clear" w:color="auto" w:fill="auto"/>
            <w:noWrap/>
            <w:vAlign w:val="center"/>
            <w:hideMark/>
          </w:tcPr>
          <w:p w14:paraId="7F70A7F7"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Gross value</w:t>
            </w:r>
          </w:p>
        </w:tc>
        <w:tc>
          <w:tcPr>
            <w:tcW w:w="1134" w:type="dxa"/>
            <w:tcBorders>
              <w:top w:val="nil"/>
              <w:left w:val="nil"/>
              <w:bottom w:val="nil"/>
              <w:right w:val="nil"/>
            </w:tcBorders>
            <w:shd w:val="clear" w:color="auto" w:fill="auto"/>
            <w:noWrap/>
            <w:vAlign w:val="center"/>
            <w:hideMark/>
          </w:tcPr>
          <w:p w14:paraId="1FE89BE7"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33,536 </w:t>
            </w:r>
          </w:p>
        </w:tc>
        <w:tc>
          <w:tcPr>
            <w:tcW w:w="196" w:type="dxa"/>
            <w:tcBorders>
              <w:top w:val="nil"/>
              <w:left w:val="nil"/>
              <w:bottom w:val="nil"/>
              <w:right w:val="nil"/>
            </w:tcBorders>
            <w:shd w:val="clear" w:color="auto" w:fill="auto"/>
            <w:noWrap/>
            <w:vAlign w:val="center"/>
            <w:hideMark/>
          </w:tcPr>
          <w:p w14:paraId="39B1B96C" w14:textId="77777777" w:rsidR="00BC5219" w:rsidRPr="008A2B8F"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auto" w:fill="auto"/>
            <w:noWrap/>
            <w:vAlign w:val="center"/>
            <w:hideMark/>
          </w:tcPr>
          <w:p w14:paraId="7223292A"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281,981 </w:t>
            </w:r>
          </w:p>
        </w:tc>
        <w:tc>
          <w:tcPr>
            <w:tcW w:w="196" w:type="dxa"/>
            <w:tcBorders>
              <w:top w:val="nil"/>
              <w:left w:val="nil"/>
              <w:bottom w:val="nil"/>
              <w:right w:val="nil"/>
            </w:tcBorders>
            <w:shd w:val="clear" w:color="auto" w:fill="auto"/>
            <w:noWrap/>
            <w:vAlign w:val="center"/>
            <w:hideMark/>
          </w:tcPr>
          <w:p w14:paraId="49EF34A8" w14:textId="77777777" w:rsidR="00BC5219" w:rsidRPr="008A2B8F"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auto" w:fill="auto"/>
            <w:noWrap/>
            <w:vAlign w:val="center"/>
            <w:hideMark/>
          </w:tcPr>
          <w:p w14:paraId="78C3E95E"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44,114 </w:t>
            </w:r>
          </w:p>
        </w:tc>
        <w:tc>
          <w:tcPr>
            <w:tcW w:w="196" w:type="dxa"/>
            <w:tcBorders>
              <w:top w:val="nil"/>
              <w:left w:val="nil"/>
              <w:bottom w:val="nil"/>
              <w:right w:val="nil"/>
            </w:tcBorders>
            <w:shd w:val="clear" w:color="auto" w:fill="auto"/>
            <w:noWrap/>
            <w:vAlign w:val="center"/>
            <w:hideMark/>
          </w:tcPr>
          <w:p w14:paraId="0EDCC146" w14:textId="77777777" w:rsidR="00BC5219" w:rsidRPr="008A2B8F"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auto" w:fill="auto"/>
            <w:noWrap/>
            <w:vAlign w:val="center"/>
            <w:hideMark/>
          </w:tcPr>
          <w:p w14:paraId="45EF534D"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4,350 </w:t>
            </w:r>
          </w:p>
        </w:tc>
        <w:tc>
          <w:tcPr>
            <w:tcW w:w="196" w:type="dxa"/>
            <w:tcBorders>
              <w:top w:val="nil"/>
              <w:left w:val="nil"/>
              <w:bottom w:val="nil"/>
              <w:right w:val="nil"/>
            </w:tcBorders>
            <w:shd w:val="clear" w:color="auto" w:fill="auto"/>
            <w:noWrap/>
            <w:vAlign w:val="center"/>
            <w:hideMark/>
          </w:tcPr>
          <w:p w14:paraId="095B85A5" w14:textId="77777777" w:rsidR="00BC5219" w:rsidRPr="008A2B8F"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auto" w:fill="auto"/>
            <w:noWrap/>
            <w:vAlign w:val="center"/>
            <w:hideMark/>
          </w:tcPr>
          <w:p w14:paraId="1722C829"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363,981 </w:t>
            </w:r>
          </w:p>
        </w:tc>
      </w:tr>
      <w:tr w:rsidR="00BC5219" w:rsidRPr="008A2B8F" w14:paraId="176F2C54" w14:textId="77777777" w:rsidTr="00E83802">
        <w:trPr>
          <w:trHeight w:val="240"/>
        </w:trPr>
        <w:tc>
          <w:tcPr>
            <w:tcW w:w="3799" w:type="dxa"/>
            <w:tcBorders>
              <w:top w:val="nil"/>
              <w:left w:val="nil"/>
              <w:bottom w:val="nil"/>
              <w:right w:val="nil"/>
            </w:tcBorders>
            <w:shd w:val="clear" w:color="auto" w:fill="auto"/>
            <w:noWrap/>
            <w:vAlign w:val="center"/>
            <w:hideMark/>
          </w:tcPr>
          <w:p w14:paraId="4F47D3AC"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Less: Accumulated amortisation</w:t>
            </w:r>
          </w:p>
        </w:tc>
        <w:tc>
          <w:tcPr>
            <w:tcW w:w="1134" w:type="dxa"/>
            <w:tcBorders>
              <w:top w:val="nil"/>
              <w:left w:val="nil"/>
              <w:bottom w:val="nil"/>
              <w:right w:val="nil"/>
            </w:tcBorders>
            <w:shd w:val="clear" w:color="auto" w:fill="auto"/>
            <w:noWrap/>
            <w:vAlign w:val="center"/>
            <w:hideMark/>
          </w:tcPr>
          <w:p w14:paraId="1190460E"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(19,050)</w:t>
            </w:r>
          </w:p>
        </w:tc>
        <w:tc>
          <w:tcPr>
            <w:tcW w:w="196" w:type="dxa"/>
            <w:tcBorders>
              <w:top w:val="nil"/>
              <w:left w:val="nil"/>
              <w:bottom w:val="nil"/>
              <w:right w:val="nil"/>
            </w:tcBorders>
            <w:shd w:val="clear" w:color="auto" w:fill="auto"/>
            <w:noWrap/>
            <w:vAlign w:val="center"/>
            <w:hideMark/>
          </w:tcPr>
          <w:p w14:paraId="66DC2F05" w14:textId="77777777" w:rsidR="00BC5219" w:rsidRPr="008A2B8F"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auto" w:fill="auto"/>
            <w:noWrap/>
            <w:vAlign w:val="center"/>
            <w:hideMark/>
          </w:tcPr>
          <w:p w14:paraId="2804CBE7"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(254,751)</w:t>
            </w:r>
          </w:p>
        </w:tc>
        <w:tc>
          <w:tcPr>
            <w:tcW w:w="196" w:type="dxa"/>
            <w:tcBorders>
              <w:top w:val="nil"/>
              <w:left w:val="nil"/>
              <w:bottom w:val="nil"/>
              <w:right w:val="nil"/>
            </w:tcBorders>
            <w:shd w:val="clear" w:color="auto" w:fill="auto"/>
            <w:noWrap/>
            <w:vAlign w:val="center"/>
            <w:hideMark/>
          </w:tcPr>
          <w:p w14:paraId="5B0F24C6" w14:textId="77777777" w:rsidR="00BC5219" w:rsidRPr="008A2B8F"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auto" w:fill="auto"/>
            <w:noWrap/>
            <w:vAlign w:val="center"/>
            <w:hideMark/>
          </w:tcPr>
          <w:p w14:paraId="6F02A12F"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96" w:type="dxa"/>
            <w:tcBorders>
              <w:top w:val="nil"/>
              <w:left w:val="nil"/>
              <w:bottom w:val="nil"/>
              <w:right w:val="nil"/>
            </w:tcBorders>
            <w:shd w:val="clear" w:color="auto" w:fill="auto"/>
            <w:noWrap/>
            <w:vAlign w:val="center"/>
            <w:hideMark/>
          </w:tcPr>
          <w:p w14:paraId="52EE7F6F" w14:textId="77777777" w:rsidR="00BC5219" w:rsidRPr="008A2B8F"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auto" w:fill="auto"/>
            <w:noWrap/>
            <w:vAlign w:val="center"/>
            <w:hideMark/>
          </w:tcPr>
          <w:p w14:paraId="229BACCD"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(4)</w:t>
            </w:r>
          </w:p>
        </w:tc>
        <w:tc>
          <w:tcPr>
            <w:tcW w:w="196" w:type="dxa"/>
            <w:tcBorders>
              <w:top w:val="nil"/>
              <w:left w:val="nil"/>
              <w:bottom w:val="nil"/>
              <w:right w:val="nil"/>
            </w:tcBorders>
            <w:shd w:val="clear" w:color="auto" w:fill="auto"/>
            <w:noWrap/>
            <w:vAlign w:val="center"/>
            <w:hideMark/>
          </w:tcPr>
          <w:p w14:paraId="49410864" w14:textId="77777777" w:rsidR="00BC5219" w:rsidRPr="008A2B8F"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auto" w:fill="auto"/>
            <w:noWrap/>
            <w:vAlign w:val="center"/>
            <w:hideMark/>
          </w:tcPr>
          <w:p w14:paraId="5EEBCEF3"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(273,805)</w:t>
            </w:r>
          </w:p>
        </w:tc>
      </w:tr>
      <w:tr w:rsidR="00BC5219" w:rsidRPr="008A2B8F" w14:paraId="64293CF1" w14:textId="77777777" w:rsidTr="00E83802">
        <w:trPr>
          <w:trHeight w:val="240"/>
        </w:trPr>
        <w:tc>
          <w:tcPr>
            <w:tcW w:w="3799" w:type="dxa"/>
            <w:tcBorders>
              <w:top w:val="single" w:sz="4" w:space="0" w:color="auto"/>
              <w:left w:val="nil"/>
              <w:bottom w:val="double" w:sz="6" w:space="0" w:color="auto"/>
              <w:right w:val="nil"/>
            </w:tcBorders>
            <w:shd w:val="clear" w:color="auto" w:fill="auto"/>
            <w:noWrap/>
            <w:vAlign w:val="center"/>
            <w:hideMark/>
          </w:tcPr>
          <w:p w14:paraId="1F044325"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Carrying amount at 30 June</w:t>
            </w:r>
          </w:p>
        </w:tc>
        <w:tc>
          <w:tcPr>
            <w:tcW w:w="1134" w:type="dxa"/>
            <w:tcBorders>
              <w:top w:val="single" w:sz="4" w:space="0" w:color="auto"/>
              <w:left w:val="nil"/>
              <w:bottom w:val="double" w:sz="6" w:space="0" w:color="auto"/>
              <w:right w:val="nil"/>
            </w:tcBorders>
            <w:shd w:val="clear" w:color="auto" w:fill="auto"/>
            <w:noWrap/>
            <w:vAlign w:val="center"/>
            <w:hideMark/>
          </w:tcPr>
          <w:p w14:paraId="0190B7DD"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14,486 </w:t>
            </w:r>
          </w:p>
        </w:tc>
        <w:tc>
          <w:tcPr>
            <w:tcW w:w="196" w:type="dxa"/>
            <w:tcBorders>
              <w:top w:val="nil"/>
              <w:left w:val="nil"/>
              <w:bottom w:val="nil"/>
              <w:right w:val="nil"/>
            </w:tcBorders>
            <w:shd w:val="clear" w:color="auto" w:fill="auto"/>
            <w:noWrap/>
            <w:vAlign w:val="center"/>
            <w:hideMark/>
          </w:tcPr>
          <w:p w14:paraId="27EA4F76" w14:textId="77777777" w:rsidR="00BC5219" w:rsidRPr="008A2B8F" w:rsidRDefault="00BC5219" w:rsidP="00E83802">
            <w:pPr>
              <w:jc w:val="right"/>
              <w:rPr>
                <w:rFonts w:ascii="Meta Pro" w:eastAsia="Times New Roman" w:hAnsi="Meta Pro"/>
                <w:b/>
                <w:bCs/>
                <w:szCs w:val="18"/>
                <w:lang w:eastAsia="en-AU"/>
              </w:rPr>
            </w:pPr>
          </w:p>
        </w:tc>
        <w:tc>
          <w:tcPr>
            <w:tcW w:w="1134" w:type="dxa"/>
            <w:tcBorders>
              <w:top w:val="single" w:sz="4" w:space="0" w:color="auto"/>
              <w:left w:val="nil"/>
              <w:bottom w:val="double" w:sz="6" w:space="0" w:color="auto"/>
              <w:right w:val="nil"/>
            </w:tcBorders>
            <w:shd w:val="clear" w:color="auto" w:fill="auto"/>
            <w:noWrap/>
            <w:vAlign w:val="center"/>
            <w:hideMark/>
          </w:tcPr>
          <w:p w14:paraId="62F721DB"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27,230 </w:t>
            </w:r>
          </w:p>
        </w:tc>
        <w:tc>
          <w:tcPr>
            <w:tcW w:w="196" w:type="dxa"/>
            <w:tcBorders>
              <w:top w:val="nil"/>
              <w:left w:val="nil"/>
              <w:bottom w:val="nil"/>
              <w:right w:val="nil"/>
            </w:tcBorders>
            <w:shd w:val="clear" w:color="auto" w:fill="auto"/>
            <w:noWrap/>
            <w:vAlign w:val="center"/>
            <w:hideMark/>
          </w:tcPr>
          <w:p w14:paraId="3DDAB88C" w14:textId="77777777" w:rsidR="00BC5219" w:rsidRPr="008A2B8F" w:rsidRDefault="00BC5219" w:rsidP="00E83802">
            <w:pPr>
              <w:jc w:val="right"/>
              <w:rPr>
                <w:rFonts w:ascii="Meta Pro" w:eastAsia="Times New Roman" w:hAnsi="Meta Pro"/>
                <w:b/>
                <w:bCs/>
                <w:szCs w:val="18"/>
                <w:lang w:eastAsia="en-AU"/>
              </w:rPr>
            </w:pPr>
          </w:p>
        </w:tc>
        <w:tc>
          <w:tcPr>
            <w:tcW w:w="1134" w:type="dxa"/>
            <w:tcBorders>
              <w:top w:val="single" w:sz="4" w:space="0" w:color="auto"/>
              <w:left w:val="nil"/>
              <w:bottom w:val="double" w:sz="6" w:space="0" w:color="auto"/>
              <w:right w:val="nil"/>
            </w:tcBorders>
            <w:shd w:val="clear" w:color="auto" w:fill="auto"/>
            <w:noWrap/>
            <w:vAlign w:val="center"/>
            <w:hideMark/>
          </w:tcPr>
          <w:p w14:paraId="0AE696E6"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44,114 </w:t>
            </w:r>
          </w:p>
        </w:tc>
        <w:tc>
          <w:tcPr>
            <w:tcW w:w="196" w:type="dxa"/>
            <w:tcBorders>
              <w:top w:val="nil"/>
              <w:left w:val="nil"/>
              <w:bottom w:val="nil"/>
              <w:right w:val="nil"/>
            </w:tcBorders>
            <w:shd w:val="clear" w:color="auto" w:fill="auto"/>
            <w:noWrap/>
            <w:vAlign w:val="center"/>
            <w:hideMark/>
          </w:tcPr>
          <w:p w14:paraId="4B37A655" w14:textId="77777777" w:rsidR="00BC5219" w:rsidRPr="008A2B8F" w:rsidRDefault="00BC5219" w:rsidP="00E83802">
            <w:pPr>
              <w:jc w:val="right"/>
              <w:rPr>
                <w:rFonts w:ascii="Meta Pro" w:eastAsia="Times New Roman" w:hAnsi="Meta Pro"/>
                <w:b/>
                <w:bCs/>
                <w:szCs w:val="18"/>
                <w:lang w:eastAsia="en-AU"/>
              </w:rPr>
            </w:pPr>
          </w:p>
        </w:tc>
        <w:tc>
          <w:tcPr>
            <w:tcW w:w="1134" w:type="dxa"/>
            <w:tcBorders>
              <w:top w:val="single" w:sz="4" w:space="0" w:color="auto"/>
              <w:left w:val="nil"/>
              <w:bottom w:val="double" w:sz="6" w:space="0" w:color="auto"/>
              <w:right w:val="nil"/>
            </w:tcBorders>
            <w:shd w:val="clear" w:color="auto" w:fill="auto"/>
            <w:noWrap/>
            <w:vAlign w:val="center"/>
            <w:hideMark/>
          </w:tcPr>
          <w:p w14:paraId="30F4EE3C"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4,346 </w:t>
            </w:r>
          </w:p>
        </w:tc>
        <w:tc>
          <w:tcPr>
            <w:tcW w:w="196" w:type="dxa"/>
            <w:tcBorders>
              <w:top w:val="nil"/>
              <w:left w:val="nil"/>
              <w:bottom w:val="nil"/>
              <w:right w:val="nil"/>
            </w:tcBorders>
            <w:shd w:val="clear" w:color="auto" w:fill="auto"/>
            <w:noWrap/>
            <w:vAlign w:val="center"/>
            <w:hideMark/>
          </w:tcPr>
          <w:p w14:paraId="3F644817" w14:textId="77777777" w:rsidR="00BC5219" w:rsidRPr="008A2B8F" w:rsidRDefault="00BC5219" w:rsidP="00E83802">
            <w:pPr>
              <w:jc w:val="right"/>
              <w:rPr>
                <w:rFonts w:ascii="Meta Pro" w:eastAsia="Times New Roman" w:hAnsi="Meta Pro"/>
                <w:b/>
                <w:bCs/>
                <w:szCs w:val="18"/>
                <w:lang w:eastAsia="en-AU"/>
              </w:rPr>
            </w:pPr>
          </w:p>
        </w:tc>
        <w:tc>
          <w:tcPr>
            <w:tcW w:w="1134" w:type="dxa"/>
            <w:tcBorders>
              <w:top w:val="single" w:sz="4" w:space="0" w:color="auto"/>
              <w:left w:val="nil"/>
              <w:bottom w:val="double" w:sz="6" w:space="0" w:color="auto"/>
              <w:right w:val="nil"/>
            </w:tcBorders>
            <w:shd w:val="clear" w:color="auto" w:fill="auto"/>
            <w:noWrap/>
            <w:vAlign w:val="center"/>
            <w:hideMark/>
          </w:tcPr>
          <w:p w14:paraId="052E8176"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90,176 </w:t>
            </w:r>
          </w:p>
        </w:tc>
      </w:tr>
      <w:tr w:rsidR="00BC5219" w:rsidRPr="008A2B8F" w14:paraId="65E25087" w14:textId="77777777" w:rsidTr="00E83802">
        <w:trPr>
          <w:trHeight w:val="90"/>
        </w:trPr>
        <w:tc>
          <w:tcPr>
            <w:tcW w:w="3799" w:type="dxa"/>
            <w:tcBorders>
              <w:top w:val="nil"/>
              <w:left w:val="nil"/>
              <w:bottom w:val="nil"/>
              <w:right w:val="nil"/>
            </w:tcBorders>
            <w:shd w:val="clear" w:color="auto" w:fill="auto"/>
            <w:noWrap/>
            <w:vAlign w:val="center"/>
            <w:hideMark/>
          </w:tcPr>
          <w:p w14:paraId="1D13E8C8" w14:textId="77777777" w:rsidR="00BC5219" w:rsidRPr="008A2B8F" w:rsidRDefault="00BC5219" w:rsidP="00E83802">
            <w:pPr>
              <w:jc w:val="right"/>
              <w:rPr>
                <w:rFonts w:ascii="Meta Pro" w:eastAsia="Times New Roman" w:hAnsi="Meta Pro"/>
                <w:b/>
                <w:bCs/>
                <w:szCs w:val="18"/>
                <w:lang w:eastAsia="en-AU"/>
              </w:rPr>
            </w:pPr>
          </w:p>
        </w:tc>
        <w:tc>
          <w:tcPr>
            <w:tcW w:w="1134" w:type="dxa"/>
            <w:tcBorders>
              <w:top w:val="nil"/>
              <w:left w:val="nil"/>
              <w:bottom w:val="nil"/>
              <w:right w:val="nil"/>
            </w:tcBorders>
            <w:shd w:val="clear" w:color="auto" w:fill="auto"/>
            <w:noWrap/>
            <w:vAlign w:val="center"/>
            <w:hideMark/>
          </w:tcPr>
          <w:p w14:paraId="1FD60478" w14:textId="77777777" w:rsidR="00BC5219" w:rsidRPr="008A2B8F" w:rsidRDefault="00BC5219" w:rsidP="00E83802">
            <w:pPr>
              <w:rPr>
                <w:rFonts w:ascii="Meta Pro" w:eastAsia="Times New Roman" w:hAnsi="Meta Pro"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707631D4" w14:textId="77777777" w:rsidR="00BC5219" w:rsidRPr="008A2B8F" w:rsidRDefault="00BC5219" w:rsidP="00E83802">
            <w:pPr>
              <w:jc w:val="right"/>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016281BD" w14:textId="77777777" w:rsidR="00BC5219" w:rsidRPr="008A2B8F" w:rsidRDefault="00BC5219" w:rsidP="00E83802">
            <w:pPr>
              <w:rPr>
                <w:rFonts w:ascii="Meta Pro" w:eastAsia="Times New Roman" w:hAnsi="Meta Pro"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3B17DC8B" w14:textId="77777777" w:rsidR="00BC5219" w:rsidRPr="008A2B8F" w:rsidRDefault="00BC5219" w:rsidP="00E83802">
            <w:pPr>
              <w:jc w:val="right"/>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1D7492C5" w14:textId="77777777" w:rsidR="00BC5219" w:rsidRPr="008A2B8F" w:rsidRDefault="00BC5219" w:rsidP="00E83802">
            <w:pPr>
              <w:rPr>
                <w:rFonts w:ascii="Meta Pro" w:eastAsia="Times New Roman" w:hAnsi="Meta Pro"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1C2F5F71" w14:textId="77777777" w:rsidR="00BC5219" w:rsidRPr="008A2B8F" w:rsidRDefault="00BC5219" w:rsidP="00E83802">
            <w:pPr>
              <w:jc w:val="right"/>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606D3DA7" w14:textId="77777777" w:rsidR="00BC5219" w:rsidRPr="008A2B8F" w:rsidRDefault="00BC5219" w:rsidP="00E83802">
            <w:pPr>
              <w:rPr>
                <w:rFonts w:ascii="Meta Pro" w:eastAsia="Times New Roman" w:hAnsi="Meta Pro"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59E31412" w14:textId="77777777" w:rsidR="00BC5219" w:rsidRPr="008A2B8F" w:rsidRDefault="00BC5219" w:rsidP="00E83802">
            <w:pPr>
              <w:jc w:val="right"/>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7785DFA9" w14:textId="77777777" w:rsidR="00BC5219" w:rsidRPr="008A2B8F" w:rsidRDefault="00BC5219" w:rsidP="00E83802">
            <w:pPr>
              <w:rPr>
                <w:rFonts w:ascii="Meta Pro" w:eastAsia="Times New Roman" w:hAnsi="Meta Pro" w:cs="Times New Roman"/>
                <w:sz w:val="20"/>
                <w:szCs w:val="20"/>
                <w:lang w:eastAsia="en-AU"/>
              </w:rPr>
            </w:pPr>
          </w:p>
        </w:tc>
      </w:tr>
      <w:tr w:rsidR="00BC5219" w:rsidRPr="008A2B8F" w14:paraId="78E5B9A5" w14:textId="77777777" w:rsidTr="00E83802">
        <w:trPr>
          <w:trHeight w:val="240"/>
        </w:trPr>
        <w:tc>
          <w:tcPr>
            <w:tcW w:w="3799" w:type="dxa"/>
            <w:tcBorders>
              <w:top w:val="nil"/>
              <w:left w:val="nil"/>
              <w:bottom w:val="nil"/>
              <w:right w:val="nil"/>
            </w:tcBorders>
            <w:shd w:val="clear" w:color="auto" w:fill="auto"/>
            <w:noWrap/>
            <w:vAlign w:val="center"/>
            <w:hideMark/>
          </w:tcPr>
          <w:p w14:paraId="363827E1"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Reconciliation</w:t>
            </w:r>
          </w:p>
        </w:tc>
        <w:tc>
          <w:tcPr>
            <w:tcW w:w="1134" w:type="dxa"/>
            <w:tcBorders>
              <w:top w:val="nil"/>
              <w:left w:val="nil"/>
              <w:bottom w:val="nil"/>
              <w:right w:val="nil"/>
            </w:tcBorders>
            <w:shd w:val="clear" w:color="auto" w:fill="auto"/>
            <w:noWrap/>
            <w:vAlign w:val="center"/>
            <w:hideMark/>
          </w:tcPr>
          <w:p w14:paraId="235EBE9A" w14:textId="77777777" w:rsidR="00BC5219" w:rsidRPr="008A2B8F" w:rsidRDefault="00BC5219" w:rsidP="00E83802">
            <w:pPr>
              <w:rPr>
                <w:rFonts w:ascii="Meta Pro" w:eastAsia="Times New Roman" w:hAnsi="Meta Pro"/>
                <w:b/>
                <w:bCs/>
                <w:szCs w:val="18"/>
                <w:lang w:eastAsia="en-AU"/>
              </w:rPr>
            </w:pPr>
          </w:p>
        </w:tc>
        <w:tc>
          <w:tcPr>
            <w:tcW w:w="196" w:type="dxa"/>
            <w:tcBorders>
              <w:top w:val="nil"/>
              <w:left w:val="nil"/>
              <w:bottom w:val="nil"/>
              <w:right w:val="nil"/>
            </w:tcBorders>
            <w:shd w:val="clear" w:color="auto" w:fill="auto"/>
            <w:noWrap/>
            <w:vAlign w:val="center"/>
            <w:hideMark/>
          </w:tcPr>
          <w:p w14:paraId="04C2E7F3" w14:textId="77777777" w:rsidR="00BC5219" w:rsidRPr="008A2B8F" w:rsidRDefault="00BC5219" w:rsidP="00E83802">
            <w:pPr>
              <w:jc w:val="right"/>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44490C20" w14:textId="77777777" w:rsidR="00BC5219" w:rsidRPr="008A2B8F" w:rsidRDefault="00BC5219" w:rsidP="00E83802">
            <w:pPr>
              <w:rPr>
                <w:rFonts w:ascii="Meta Pro" w:eastAsia="Times New Roman" w:hAnsi="Meta Pro"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4162FFF7" w14:textId="77777777" w:rsidR="00BC5219" w:rsidRPr="008A2B8F" w:rsidRDefault="00BC5219" w:rsidP="00E83802">
            <w:pPr>
              <w:jc w:val="right"/>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0E02867E" w14:textId="77777777" w:rsidR="00BC5219" w:rsidRPr="008A2B8F" w:rsidRDefault="00BC5219" w:rsidP="00E83802">
            <w:pPr>
              <w:rPr>
                <w:rFonts w:ascii="Meta Pro" w:eastAsia="Times New Roman" w:hAnsi="Meta Pro"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11EE487F" w14:textId="77777777" w:rsidR="00BC5219" w:rsidRPr="008A2B8F" w:rsidRDefault="00BC5219" w:rsidP="00E83802">
            <w:pPr>
              <w:jc w:val="right"/>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7D5FF6DE" w14:textId="77777777" w:rsidR="00BC5219" w:rsidRPr="008A2B8F" w:rsidRDefault="00BC5219" w:rsidP="00E83802">
            <w:pPr>
              <w:rPr>
                <w:rFonts w:ascii="Meta Pro" w:eastAsia="Times New Roman" w:hAnsi="Meta Pro"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658E8E78" w14:textId="77777777" w:rsidR="00BC5219" w:rsidRPr="008A2B8F" w:rsidRDefault="00BC5219" w:rsidP="00E83802">
            <w:pPr>
              <w:jc w:val="right"/>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28FC7A1F" w14:textId="77777777" w:rsidR="00BC5219" w:rsidRPr="008A2B8F" w:rsidRDefault="00BC5219" w:rsidP="00E83802">
            <w:pPr>
              <w:rPr>
                <w:rFonts w:ascii="Meta Pro" w:eastAsia="Times New Roman" w:hAnsi="Meta Pro" w:cs="Times New Roman"/>
                <w:sz w:val="20"/>
                <w:szCs w:val="20"/>
                <w:lang w:eastAsia="en-AU"/>
              </w:rPr>
            </w:pPr>
          </w:p>
        </w:tc>
      </w:tr>
      <w:tr w:rsidR="00BC5219" w:rsidRPr="008A2B8F" w14:paraId="032E7A48" w14:textId="77777777" w:rsidTr="00E83802">
        <w:trPr>
          <w:trHeight w:val="90"/>
        </w:trPr>
        <w:tc>
          <w:tcPr>
            <w:tcW w:w="3799" w:type="dxa"/>
            <w:tcBorders>
              <w:top w:val="nil"/>
              <w:left w:val="nil"/>
              <w:bottom w:val="nil"/>
              <w:right w:val="nil"/>
            </w:tcBorders>
            <w:shd w:val="clear" w:color="auto" w:fill="auto"/>
            <w:noWrap/>
            <w:vAlign w:val="center"/>
            <w:hideMark/>
          </w:tcPr>
          <w:p w14:paraId="200FEC99" w14:textId="77777777" w:rsidR="00BC5219" w:rsidRPr="008A2B8F" w:rsidRDefault="00BC5219" w:rsidP="00E83802">
            <w:pPr>
              <w:jc w:val="right"/>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1DF47496" w14:textId="77777777" w:rsidR="00BC5219" w:rsidRPr="008A2B8F" w:rsidRDefault="00BC5219" w:rsidP="00E83802">
            <w:pPr>
              <w:rPr>
                <w:rFonts w:ascii="Meta Pro" w:eastAsia="Times New Roman" w:hAnsi="Meta Pro"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46297183" w14:textId="77777777" w:rsidR="00BC5219" w:rsidRPr="008A2B8F" w:rsidRDefault="00BC5219" w:rsidP="00E83802">
            <w:pPr>
              <w:jc w:val="right"/>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3EF49252" w14:textId="77777777" w:rsidR="00BC5219" w:rsidRPr="008A2B8F" w:rsidRDefault="00BC5219" w:rsidP="00E83802">
            <w:pPr>
              <w:rPr>
                <w:rFonts w:ascii="Meta Pro" w:eastAsia="Times New Roman" w:hAnsi="Meta Pro"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479E2490" w14:textId="77777777" w:rsidR="00BC5219" w:rsidRPr="008A2B8F" w:rsidRDefault="00BC5219" w:rsidP="00E83802">
            <w:pPr>
              <w:jc w:val="right"/>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18ED7AD0" w14:textId="77777777" w:rsidR="00BC5219" w:rsidRPr="008A2B8F" w:rsidRDefault="00BC5219" w:rsidP="00E83802">
            <w:pPr>
              <w:rPr>
                <w:rFonts w:ascii="Meta Pro" w:eastAsia="Times New Roman" w:hAnsi="Meta Pro"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698D3083" w14:textId="77777777" w:rsidR="00BC5219" w:rsidRPr="008A2B8F" w:rsidRDefault="00BC5219" w:rsidP="00E83802">
            <w:pPr>
              <w:jc w:val="right"/>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688AFF35" w14:textId="77777777" w:rsidR="00BC5219" w:rsidRPr="008A2B8F" w:rsidRDefault="00BC5219" w:rsidP="00E83802">
            <w:pPr>
              <w:rPr>
                <w:rFonts w:ascii="Meta Pro" w:eastAsia="Times New Roman" w:hAnsi="Meta Pro"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376D8A7E" w14:textId="77777777" w:rsidR="00BC5219" w:rsidRPr="008A2B8F" w:rsidRDefault="00BC5219" w:rsidP="00E83802">
            <w:pPr>
              <w:jc w:val="right"/>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0066CF61" w14:textId="77777777" w:rsidR="00BC5219" w:rsidRPr="008A2B8F" w:rsidRDefault="00BC5219" w:rsidP="00E83802">
            <w:pPr>
              <w:rPr>
                <w:rFonts w:ascii="Meta Pro" w:eastAsia="Times New Roman" w:hAnsi="Meta Pro" w:cs="Times New Roman"/>
                <w:sz w:val="20"/>
                <w:szCs w:val="20"/>
                <w:lang w:eastAsia="en-AU"/>
              </w:rPr>
            </w:pPr>
          </w:p>
        </w:tc>
      </w:tr>
      <w:tr w:rsidR="00BC5219" w:rsidRPr="008A2B8F" w14:paraId="7F50E881" w14:textId="77777777" w:rsidTr="00E83802">
        <w:trPr>
          <w:trHeight w:val="240"/>
        </w:trPr>
        <w:tc>
          <w:tcPr>
            <w:tcW w:w="3799" w:type="dxa"/>
            <w:tcBorders>
              <w:top w:val="nil"/>
              <w:left w:val="nil"/>
              <w:bottom w:val="nil"/>
              <w:right w:val="nil"/>
            </w:tcBorders>
            <w:shd w:val="clear" w:color="auto" w:fill="auto"/>
            <w:noWrap/>
            <w:vAlign w:val="center"/>
            <w:hideMark/>
          </w:tcPr>
          <w:p w14:paraId="2915DEEC"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Carrying amount at 1 July</w:t>
            </w:r>
          </w:p>
        </w:tc>
        <w:tc>
          <w:tcPr>
            <w:tcW w:w="1134" w:type="dxa"/>
            <w:tcBorders>
              <w:top w:val="nil"/>
              <w:left w:val="nil"/>
              <w:bottom w:val="nil"/>
              <w:right w:val="nil"/>
            </w:tcBorders>
            <w:shd w:val="clear" w:color="auto" w:fill="auto"/>
            <w:noWrap/>
            <w:vAlign w:val="center"/>
            <w:hideMark/>
          </w:tcPr>
          <w:p w14:paraId="4715BF84"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9,847 </w:t>
            </w:r>
          </w:p>
        </w:tc>
        <w:tc>
          <w:tcPr>
            <w:tcW w:w="196" w:type="dxa"/>
            <w:tcBorders>
              <w:top w:val="nil"/>
              <w:left w:val="nil"/>
              <w:bottom w:val="nil"/>
              <w:right w:val="nil"/>
            </w:tcBorders>
            <w:shd w:val="clear" w:color="auto" w:fill="auto"/>
            <w:noWrap/>
            <w:vAlign w:val="center"/>
            <w:hideMark/>
          </w:tcPr>
          <w:p w14:paraId="286102F5" w14:textId="77777777" w:rsidR="00BC5219" w:rsidRPr="008A2B8F"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auto" w:fill="auto"/>
            <w:noWrap/>
            <w:vAlign w:val="center"/>
            <w:hideMark/>
          </w:tcPr>
          <w:p w14:paraId="2CBB44A0"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35,426 </w:t>
            </w:r>
          </w:p>
        </w:tc>
        <w:tc>
          <w:tcPr>
            <w:tcW w:w="196" w:type="dxa"/>
            <w:tcBorders>
              <w:top w:val="nil"/>
              <w:left w:val="nil"/>
              <w:bottom w:val="nil"/>
              <w:right w:val="nil"/>
            </w:tcBorders>
            <w:shd w:val="clear" w:color="auto" w:fill="auto"/>
            <w:noWrap/>
            <w:vAlign w:val="center"/>
            <w:hideMark/>
          </w:tcPr>
          <w:p w14:paraId="27447CE0" w14:textId="77777777" w:rsidR="00BC5219" w:rsidRPr="008A2B8F"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auto" w:fill="auto"/>
            <w:noWrap/>
            <w:vAlign w:val="center"/>
            <w:hideMark/>
          </w:tcPr>
          <w:p w14:paraId="0977738C"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35,935 </w:t>
            </w:r>
          </w:p>
        </w:tc>
        <w:tc>
          <w:tcPr>
            <w:tcW w:w="196" w:type="dxa"/>
            <w:tcBorders>
              <w:top w:val="nil"/>
              <w:left w:val="nil"/>
              <w:bottom w:val="nil"/>
              <w:right w:val="nil"/>
            </w:tcBorders>
            <w:shd w:val="clear" w:color="auto" w:fill="auto"/>
            <w:noWrap/>
            <w:vAlign w:val="center"/>
            <w:hideMark/>
          </w:tcPr>
          <w:p w14:paraId="469870FD" w14:textId="77777777" w:rsidR="00BC5219" w:rsidRPr="008A2B8F"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auto" w:fill="auto"/>
            <w:noWrap/>
            <w:vAlign w:val="center"/>
            <w:hideMark/>
          </w:tcPr>
          <w:p w14:paraId="61337D6A"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4,346 </w:t>
            </w:r>
          </w:p>
        </w:tc>
        <w:tc>
          <w:tcPr>
            <w:tcW w:w="196" w:type="dxa"/>
            <w:tcBorders>
              <w:top w:val="nil"/>
              <w:left w:val="nil"/>
              <w:bottom w:val="nil"/>
              <w:right w:val="nil"/>
            </w:tcBorders>
            <w:shd w:val="clear" w:color="auto" w:fill="auto"/>
            <w:noWrap/>
            <w:vAlign w:val="center"/>
            <w:hideMark/>
          </w:tcPr>
          <w:p w14:paraId="0F5F2DBE" w14:textId="77777777" w:rsidR="00BC5219" w:rsidRPr="008A2B8F"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auto" w:fill="auto"/>
            <w:noWrap/>
            <w:vAlign w:val="center"/>
            <w:hideMark/>
          </w:tcPr>
          <w:p w14:paraId="516A8A85"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85,554 </w:t>
            </w:r>
          </w:p>
        </w:tc>
      </w:tr>
      <w:tr w:rsidR="00BC5219" w:rsidRPr="008A2B8F" w14:paraId="1DB0A628" w14:textId="77777777" w:rsidTr="00E83802">
        <w:trPr>
          <w:trHeight w:val="240"/>
        </w:trPr>
        <w:tc>
          <w:tcPr>
            <w:tcW w:w="3799" w:type="dxa"/>
            <w:tcBorders>
              <w:top w:val="nil"/>
              <w:left w:val="nil"/>
              <w:bottom w:val="nil"/>
              <w:right w:val="nil"/>
            </w:tcBorders>
            <w:shd w:val="clear" w:color="auto" w:fill="auto"/>
            <w:noWrap/>
            <w:vAlign w:val="center"/>
            <w:hideMark/>
          </w:tcPr>
          <w:p w14:paraId="5DF4950C"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Acquisitions (including upgrades)</w:t>
            </w:r>
          </w:p>
        </w:tc>
        <w:tc>
          <w:tcPr>
            <w:tcW w:w="1134" w:type="dxa"/>
            <w:tcBorders>
              <w:top w:val="nil"/>
              <w:left w:val="nil"/>
              <w:bottom w:val="nil"/>
              <w:right w:val="nil"/>
            </w:tcBorders>
            <w:shd w:val="clear" w:color="auto" w:fill="auto"/>
            <w:noWrap/>
            <w:vAlign w:val="center"/>
            <w:hideMark/>
          </w:tcPr>
          <w:p w14:paraId="0B06D4B0"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96" w:type="dxa"/>
            <w:tcBorders>
              <w:top w:val="nil"/>
              <w:left w:val="nil"/>
              <w:bottom w:val="nil"/>
              <w:right w:val="nil"/>
            </w:tcBorders>
            <w:shd w:val="clear" w:color="auto" w:fill="auto"/>
            <w:noWrap/>
            <w:vAlign w:val="center"/>
            <w:hideMark/>
          </w:tcPr>
          <w:p w14:paraId="201A29EC" w14:textId="77777777" w:rsidR="00BC5219" w:rsidRPr="008A2B8F"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auto" w:fill="auto"/>
            <w:noWrap/>
            <w:vAlign w:val="center"/>
            <w:hideMark/>
          </w:tcPr>
          <w:p w14:paraId="26C70F3D"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96" w:type="dxa"/>
            <w:tcBorders>
              <w:top w:val="nil"/>
              <w:left w:val="nil"/>
              <w:bottom w:val="nil"/>
              <w:right w:val="nil"/>
            </w:tcBorders>
            <w:shd w:val="clear" w:color="auto" w:fill="auto"/>
            <w:noWrap/>
            <w:vAlign w:val="center"/>
            <w:hideMark/>
          </w:tcPr>
          <w:p w14:paraId="3DA05C18" w14:textId="77777777" w:rsidR="00BC5219" w:rsidRPr="008A2B8F"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auto" w:fill="auto"/>
            <w:noWrap/>
            <w:vAlign w:val="center"/>
            <w:hideMark/>
          </w:tcPr>
          <w:p w14:paraId="4BF9E2C1"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17,912 </w:t>
            </w:r>
          </w:p>
        </w:tc>
        <w:tc>
          <w:tcPr>
            <w:tcW w:w="196" w:type="dxa"/>
            <w:tcBorders>
              <w:top w:val="nil"/>
              <w:left w:val="nil"/>
              <w:bottom w:val="nil"/>
              <w:right w:val="nil"/>
            </w:tcBorders>
            <w:shd w:val="clear" w:color="auto" w:fill="auto"/>
            <w:noWrap/>
            <w:vAlign w:val="center"/>
            <w:hideMark/>
          </w:tcPr>
          <w:p w14:paraId="4C7CDE61" w14:textId="77777777" w:rsidR="00BC5219" w:rsidRPr="008A2B8F"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auto" w:fill="auto"/>
            <w:noWrap/>
            <w:vAlign w:val="center"/>
            <w:hideMark/>
          </w:tcPr>
          <w:p w14:paraId="6D6C0807"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96" w:type="dxa"/>
            <w:tcBorders>
              <w:top w:val="nil"/>
              <w:left w:val="nil"/>
              <w:bottom w:val="nil"/>
              <w:right w:val="nil"/>
            </w:tcBorders>
            <w:shd w:val="clear" w:color="auto" w:fill="auto"/>
            <w:noWrap/>
            <w:vAlign w:val="center"/>
            <w:hideMark/>
          </w:tcPr>
          <w:p w14:paraId="647CD7BF" w14:textId="77777777" w:rsidR="00BC5219" w:rsidRPr="008A2B8F"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auto" w:fill="auto"/>
            <w:noWrap/>
            <w:vAlign w:val="center"/>
            <w:hideMark/>
          </w:tcPr>
          <w:p w14:paraId="246DA71C"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17,912 </w:t>
            </w:r>
          </w:p>
        </w:tc>
      </w:tr>
      <w:tr w:rsidR="00BC5219" w:rsidRPr="008A2B8F" w14:paraId="32CFE79A" w14:textId="77777777" w:rsidTr="00E83802">
        <w:trPr>
          <w:trHeight w:val="240"/>
        </w:trPr>
        <w:tc>
          <w:tcPr>
            <w:tcW w:w="3799" w:type="dxa"/>
            <w:tcBorders>
              <w:top w:val="nil"/>
              <w:left w:val="nil"/>
              <w:bottom w:val="nil"/>
              <w:right w:val="nil"/>
            </w:tcBorders>
            <w:shd w:val="clear" w:color="auto" w:fill="auto"/>
            <w:noWrap/>
            <w:vAlign w:val="center"/>
            <w:hideMark/>
          </w:tcPr>
          <w:p w14:paraId="1CE2FCDD"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Transfers between classes</w:t>
            </w:r>
          </w:p>
        </w:tc>
        <w:tc>
          <w:tcPr>
            <w:tcW w:w="1134" w:type="dxa"/>
            <w:tcBorders>
              <w:top w:val="nil"/>
              <w:left w:val="nil"/>
              <w:bottom w:val="nil"/>
              <w:right w:val="nil"/>
            </w:tcBorders>
            <w:shd w:val="clear" w:color="auto" w:fill="auto"/>
            <w:noWrap/>
            <w:vAlign w:val="bottom"/>
            <w:hideMark/>
          </w:tcPr>
          <w:p w14:paraId="4B0B63D4"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7,281 </w:t>
            </w:r>
          </w:p>
        </w:tc>
        <w:tc>
          <w:tcPr>
            <w:tcW w:w="196" w:type="dxa"/>
            <w:tcBorders>
              <w:top w:val="nil"/>
              <w:left w:val="nil"/>
              <w:bottom w:val="nil"/>
              <w:right w:val="nil"/>
            </w:tcBorders>
            <w:shd w:val="clear" w:color="auto" w:fill="auto"/>
            <w:noWrap/>
            <w:vAlign w:val="bottom"/>
            <w:hideMark/>
          </w:tcPr>
          <w:p w14:paraId="0F01A90A" w14:textId="77777777" w:rsidR="00BC5219" w:rsidRPr="008A2B8F"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auto" w:fill="auto"/>
            <w:noWrap/>
            <w:vAlign w:val="bottom"/>
            <w:hideMark/>
          </w:tcPr>
          <w:p w14:paraId="4DBEA31F"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793 </w:t>
            </w:r>
          </w:p>
        </w:tc>
        <w:tc>
          <w:tcPr>
            <w:tcW w:w="196" w:type="dxa"/>
            <w:tcBorders>
              <w:top w:val="nil"/>
              <w:left w:val="nil"/>
              <w:bottom w:val="nil"/>
              <w:right w:val="nil"/>
            </w:tcBorders>
            <w:shd w:val="clear" w:color="auto" w:fill="auto"/>
            <w:noWrap/>
            <w:vAlign w:val="bottom"/>
            <w:hideMark/>
          </w:tcPr>
          <w:p w14:paraId="2584C8D6" w14:textId="77777777" w:rsidR="00BC5219" w:rsidRPr="008A2B8F"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auto" w:fill="auto"/>
            <w:noWrap/>
            <w:vAlign w:val="bottom"/>
            <w:hideMark/>
          </w:tcPr>
          <w:p w14:paraId="721974C8"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(8,074)</w:t>
            </w:r>
          </w:p>
        </w:tc>
        <w:tc>
          <w:tcPr>
            <w:tcW w:w="196" w:type="dxa"/>
            <w:tcBorders>
              <w:top w:val="nil"/>
              <w:left w:val="nil"/>
              <w:bottom w:val="nil"/>
              <w:right w:val="nil"/>
            </w:tcBorders>
            <w:shd w:val="clear" w:color="auto" w:fill="auto"/>
            <w:noWrap/>
            <w:vAlign w:val="bottom"/>
            <w:hideMark/>
          </w:tcPr>
          <w:p w14:paraId="55A221F4" w14:textId="77777777" w:rsidR="00BC5219" w:rsidRPr="008A2B8F"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auto" w:fill="auto"/>
            <w:noWrap/>
            <w:vAlign w:val="bottom"/>
            <w:hideMark/>
          </w:tcPr>
          <w:p w14:paraId="47FD6CE0"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96" w:type="dxa"/>
            <w:tcBorders>
              <w:top w:val="nil"/>
              <w:left w:val="nil"/>
              <w:bottom w:val="nil"/>
              <w:right w:val="nil"/>
            </w:tcBorders>
            <w:shd w:val="clear" w:color="auto" w:fill="auto"/>
            <w:noWrap/>
            <w:vAlign w:val="bottom"/>
            <w:hideMark/>
          </w:tcPr>
          <w:p w14:paraId="6046A20B" w14:textId="77777777" w:rsidR="00BC5219" w:rsidRPr="008A2B8F"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auto" w:fill="auto"/>
            <w:noWrap/>
            <w:vAlign w:val="bottom"/>
            <w:hideMark/>
          </w:tcPr>
          <w:p w14:paraId="10C36394"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 </w:t>
            </w:r>
          </w:p>
        </w:tc>
      </w:tr>
      <w:tr w:rsidR="00BC5219" w:rsidRPr="008A2B8F" w14:paraId="1591C380" w14:textId="77777777" w:rsidTr="00E83802">
        <w:trPr>
          <w:trHeight w:val="240"/>
        </w:trPr>
        <w:tc>
          <w:tcPr>
            <w:tcW w:w="3799" w:type="dxa"/>
            <w:tcBorders>
              <w:top w:val="nil"/>
              <w:left w:val="nil"/>
              <w:bottom w:val="nil"/>
              <w:right w:val="nil"/>
            </w:tcBorders>
            <w:shd w:val="clear" w:color="auto" w:fill="auto"/>
            <w:noWrap/>
            <w:vAlign w:val="center"/>
            <w:hideMark/>
          </w:tcPr>
          <w:p w14:paraId="6CF4D9AE"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Transfers to property, plant and</w:t>
            </w:r>
          </w:p>
        </w:tc>
        <w:tc>
          <w:tcPr>
            <w:tcW w:w="1134" w:type="dxa"/>
            <w:tcBorders>
              <w:top w:val="nil"/>
              <w:left w:val="nil"/>
              <w:bottom w:val="nil"/>
              <w:right w:val="nil"/>
            </w:tcBorders>
            <w:shd w:val="clear" w:color="auto" w:fill="auto"/>
            <w:noWrap/>
            <w:vAlign w:val="bottom"/>
            <w:hideMark/>
          </w:tcPr>
          <w:p w14:paraId="084FE725" w14:textId="77777777" w:rsidR="00BC5219" w:rsidRPr="008A2B8F" w:rsidRDefault="00BC5219" w:rsidP="00E83802">
            <w:pPr>
              <w:rPr>
                <w:rFonts w:ascii="Meta Pro" w:eastAsia="Times New Roman" w:hAnsi="Meta Pro"/>
                <w:szCs w:val="18"/>
                <w:lang w:eastAsia="en-AU"/>
              </w:rPr>
            </w:pPr>
          </w:p>
        </w:tc>
        <w:tc>
          <w:tcPr>
            <w:tcW w:w="196" w:type="dxa"/>
            <w:tcBorders>
              <w:top w:val="nil"/>
              <w:left w:val="nil"/>
              <w:bottom w:val="nil"/>
              <w:right w:val="nil"/>
            </w:tcBorders>
            <w:shd w:val="clear" w:color="auto" w:fill="auto"/>
            <w:noWrap/>
            <w:vAlign w:val="bottom"/>
            <w:hideMark/>
          </w:tcPr>
          <w:p w14:paraId="7C631E86" w14:textId="77777777" w:rsidR="00BC5219" w:rsidRPr="008A2B8F" w:rsidRDefault="00BC5219" w:rsidP="00E83802">
            <w:pPr>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bottom"/>
            <w:hideMark/>
          </w:tcPr>
          <w:p w14:paraId="019701B4" w14:textId="77777777" w:rsidR="00BC5219" w:rsidRPr="008A2B8F" w:rsidRDefault="00BC5219" w:rsidP="00E83802">
            <w:pPr>
              <w:rPr>
                <w:rFonts w:ascii="Meta Pro" w:eastAsia="Times New Roman" w:hAnsi="Meta Pro" w:cs="Times New Roman"/>
                <w:sz w:val="20"/>
                <w:szCs w:val="20"/>
                <w:lang w:eastAsia="en-AU"/>
              </w:rPr>
            </w:pPr>
          </w:p>
        </w:tc>
        <w:tc>
          <w:tcPr>
            <w:tcW w:w="196" w:type="dxa"/>
            <w:tcBorders>
              <w:top w:val="nil"/>
              <w:left w:val="nil"/>
              <w:bottom w:val="nil"/>
              <w:right w:val="nil"/>
            </w:tcBorders>
            <w:shd w:val="clear" w:color="auto" w:fill="auto"/>
            <w:noWrap/>
            <w:vAlign w:val="bottom"/>
            <w:hideMark/>
          </w:tcPr>
          <w:p w14:paraId="19291628" w14:textId="77777777" w:rsidR="00BC5219" w:rsidRPr="008A2B8F" w:rsidRDefault="00BC5219" w:rsidP="00E83802">
            <w:pPr>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bottom"/>
            <w:hideMark/>
          </w:tcPr>
          <w:p w14:paraId="5843C61C" w14:textId="77777777" w:rsidR="00BC5219" w:rsidRPr="008A2B8F" w:rsidRDefault="00BC5219" w:rsidP="00E83802">
            <w:pPr>
              <w:rPr>
                <w:rFonts w:ascii="Meta Pro" w:eastAsia="Times New Roman" w:hAnsi="Meta Pro" w:cs="Times New Roman"/>
                <w:sz w:val="20"/>
                <w:szCs w:val="20"/>
                <w:lang w:eastAsia="en-AU"/>
              </w:rPr>
            </w:pPr>
          </w:p>
        </w:tc>
        <w:tc>
          <w:tcPr>
            <w:tcW w:w="196" w:type="dxa"/>
            <w:tcBorders>
              <w:top w:val="nil"/>
              <w:left w:val="nil"/>
              <w:bottom w:val="nil"/>
              <w:right w:val="nil"/>
            </w:tcBorders>
            <w:shd w:val="clear" w:color="auto" w:fill="auto"/>
            <w:noWrap/>
            <w:vAlign w:val="bottom"/>
            <w:hideMark/>
          </w:tcPr>
          <w:p w14:paraId="3B1413C0" w14:textId="77777777" w:rsidR="00BC5219" w:rsidRPr="008A2B8F" w:rsidRDefault="00BC5219" w:rsidP="00E83802">
            <w:pPr>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bottom"/>
            <w:hideMark/>
          </w:tcPr>
          <w:p w14:paraId="0C467A61" w14:textId="77777777" w:rsidR="00BC5219" w:rsidRPr="008A2B8F" w:rsidRDefault="00BC5219" w:rsidP="00E83802">
            <w:pPr>
              <w:rPr>
                <w:rFonts w:ascii="Meta Pro" w:eastAsia="Times New Roman" w:hAnsi="Meta Pro" w:cs="Times New Roman"/>
                <w:sz w:val="20"/>
                <w:szCs w:val="20"/>
                <w:lang w:eastAsia="en-AU"/>
              </w:rPr>
            </w:pPr>
          </w:p>
        </w:tc>
        <w:tc>
          <w:tcPr>
            <w:tcW w:w="196" w:type="dxa"/>
            <w:tcBorders>
              <w:top w:val="nil"/>
              <w:left w:val="nil"/>
              <w:bottom w:val="nil"/>
              <w:right w:val="nil"/>
            </w:tcBorders>
            <w:shd w:val="clear" w:color="auto" w:fill="auto"/>
            <w:noWrap/>
            <w:vAlign w:val="bottom"/>
            <w:hideMark/>
          </w:tcPr>
          <w:p w14:paraId="06D1959C" w14:textId="77777777" w:rsidR="00BC5219" w:rsidRPr="008A2B8F" w:rsidRDefault="00BC5219" w:rsidP="00E83802">
            <w:pPr>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bottom"/>
            <w:hideMark/>
          </w:tcPr>
          <w:p w14:paraId="31654841" w14:textId="77777777" w:rsidR="00BC5219" w:rsidRPr="008A2B8F" w:rsidRDefault="00BC5219" w:rsidP="00E83802">
            <w:pPr>
              <w:rPr>
                <w:rFonts w:ascii="Meta Pro" w:eastAsia="Times New Roman" w:hAnsi="Meta Pro" w:cs="Times New Roman"/>
                <w:sz w:val="20"/>
                <w:szCs w:val="20"/>
                <w:lang w:eastAsia="en-AU"/>
              </w:rPr>
            </w:pPr>
          </w:p>
        </w:tc>
      </w:tr>
      <w:tr w:rsidR="00BC5219" w:rsidRPr="008A2B8F" w14:paraId="402E8253" w14:textId="77777777" w:rsidTr="00E83802">
        <w:trPr>
          <w:trHeight w:val="240"/>
        </w:trPr>
        <w:tc>
          <w:tcPr>
            <w:tcW w:w="3799" w:type="dxa"/>
            <w:tcBorders>
              <w:top w:val="nil"/>
              <w:left w:val="nil"/>
              <w:bottom w:val="nil"/>
              <w:right w:val="nil"/>
            </w:tcBorders>
            <w:shd w:val="clear" w:color="auto" w:fill="auto"/>
            <w:noWrap/>
            <w:vAlign w:val="center"/>
            <w:hideMark/>
          </w:tcPr>
          <w:p w14:paraId="1405CFD5"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equipment (refer to Note 15)</w:t>
            </w:r>
          </w:p>
        </w:tc>
        <w:tc>
          <w:tcPr>
            <w:tcW w:w="1134" w:type="dxa"/>
            <w:tcBorders>
              <w:top w:val="nil"/>
              <w:left w:val="nil"/>
              <w:bottom w:val="nil"/>
              <w:right w:val="nil"/>
            </w:tcBorders>
            <w:shd w:val="clear" w:color="auto" w:fill="auto"/>
            <w:noWrap/>
            <w:vAlign w:val="bottom"/>
            <w:hideMark/>
          </w:tcPr>
          <w:p w14:paraId="3E02D90C"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96" w:type="dxa"/>
            <w:tcBorders>
              <w:top w:val="nil"/>
              <w:left w:val="nil"/>
              <w:bottom w:val="nil"/>
              <w:right w:val="nil"/>
            </w:tcBorders>
            <w:shd w:val="clear" w:color="auto" w:fill="auto"/>
            <w:noWrap/>
            <w:vAlign w:val="bottom"/>
            <w:hideMark/>
          </w:tcPr>
          <w:p w14:paraId="0E4D83D2" w14:textId="77777777" w:rsidR="00BC5219" w:rsidRPr="008A2B8F"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auto" w:fill="auto"/>
            <w:noWrap/>
            <w:vAlign w:val="bottom"/>
            <w:hideMark/>
          </w:tcPr>
          <w:p w14:paraId="4EC6B653"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96" w:type="dxa"/>
            <w:tcBorders>
              <w:top w:val="nil"/>
              <w:left w:val="nil"/>
              <w:bottom w:val="nil"/>
              <w:right w:val="nil"/>
            </w:tcBorders>
            <w:shd w:val="clear" w:color="auto" w:fill="auto"/>
            <w:noWrap/>
            <w:vAlign w:val="bottom"/>
            <w:hideMark/>
          </w:tcPr>
          <w:p w14:paraId="384D8058" w14:textId="77777777" w:rsidR="00BC5219" w:rsidRPr="008A2B8F"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auto" w:fill="auto"/>
            <w:noWrap/>
            <w:vAlign w:val="bottom"/>
            <w:hideMark/>
          </w:tcPr>
          <w:p w14:paraId="104182EB"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(409)</w:t>
            </w:r>
          </w:p>
        </w:tc>
        <w:tc>
          <w:tcPr>
            <w:tcW w:w="196" w:type="dxa"/>
            <w:tcBorders>
              <w:top w:val="nil"/>
              <w:left w:val="nil"/>
              <w:bottom w:val="nil"/>
              <w:right w:val="nil"/>
            </w:tcBorders>
            <w:shd w:val="clear" w:color="auto" w:fill="auto"/>
            <w:noWrap/>
            <w:vAlign w:val="bottom"/>
            <w:hideMark/>
          </w:tcPr>
          <w:p w14:paraId="3C4827C5" w14:textId="77777777" w:rsidR="00BC5219" w:rsidRPr="008A2B8F"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auto" w:fill="auto"/>
            <w:noWrap/>
            <w:vAlign w:val="bottom"/>
            <w:hideMark/>
          </w:tcPr>
          <w:p w14:paraId="372A8576"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96" w:type="dxa"/>
            <w:tcBorders>
              <w:top w:val="nil"/>
              <w:left w:val="nil"/>
              <w:bottom w:val="nil"/>
              <w:right w:val="nil"/>
            </w:tcBorders>
            <w:shd w:val="clear" w:color="auto" w:fill="auto"/>
            <w:noWrap/>
            <w:vAlign w:val="bottom"/>
            <w:hideMark/>
          </w:tcPr>
          <w:p w14:paraId="754ED1FC" w14:textId="77777777" w:rsidR="00BC5219" w:rsidRPr="008A2B8F"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auto" w:fill="auto"/>
            <w:noWrap/>
            <w:vAlign w:val="bottom"/>
            <w:hideMark/>
          </w:tcPr>
          <w:p w14:paraId="6BDAB3BE"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(409)</w:t>
            </w:r>
          </w:p>
        </w:tc>
      </w:tr>
      <w:tr w:rsidR="00BC5219" w:rsidRPr="008A2B8F" w14:paraId="3086F48C" w14:textId="77777777" w:rsidTr="00E83802">
        <w:trPr>
          <w:trHeight w:val="240"/>
        </w:trPr>
        <w:tc>
          <w:tcPr>
            <w:tcW w:w="3799" w:type="dxa"/>
            <w:tcBorders>
              <w:top w:val="nil"/>
              <w:left w:val="nil"/>
              <w:bottom w:val="nil"/>
              <w:right w:val="nil"/>
            </w:tcBorders>
            <w:shd w:val="clear" w:color="auto" w:fill="auto"/>
            <w:noWrap/>
            <w:vAlign w:val="center"/>
            <w:hideMark/>
          </w:tcPr>
          <w:p w14:paraId="534A7F32"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Projects written off</w:t>
            </w:r>
          </w:p>
        </w:tc>
        <w:tc>
          <w:tcPr>
            <w:tcW w:w="1134" w:type="dxa"/>
            <w:tcBorders>
              <w:top w:val="nil"/>
              <w:left w:val="nil"/>
              <w:bottom w:val="nil"/>
              <w:right w:val="nil"/>
            </w:tcBorders>
            <w:shd w:val="clear" w:color="auto" w:fill="auto"/>
            <w:noWrap/>
            <w:vAlign w:val="center"/>
            <w:hideMark/>
          </w:tcPr>
          <w:p w14:paraId="6BFE8138"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96" w:type="dxa"/>
            <w:tcBorders>
              <w:top w:val="nil"/>
              <w:left w:val="nil"/>
              <w:bottom w:val="nil"/>
              <w:right w:val="nil"/>
            </w:tcBorders>
            <w:shd w:val="clear" w:color="auto" w:fill="auto"/>
            <w:noWrap/>
            <w:vAlign w:val="center"/>
            <w:hideMark/>
          </w:tcPr>
          <w:p w14:paraId="1DB03C4E" w14:textId="77777777" w:rsidR="00BC5219" w:rsidRPr="008A2B8F"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auto" w:fill="auto"/>
            <w:noWrap/>
            <w:vAlign w:val="center"/>
            <w:hideMark/>
          </w:tcPr>
          <w:p w14:paraId="0D0632AA"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96" w:type="dxa"/>
            <w:tcBorders>
              <w:top w:val="nil"/>
              <w:left w:val="nil"/>
              <w:bottom w:val="nil"/>
              <w:right w:val="nil"/>
            </w:tcBorders>
            <w:shd w:val="clear" w:color="auto" w:fill="auto"/>
            <w:noWrap/>
            <w:vAlign w:val="center"/>
            <w:hideMark/>
          </w:tcPr>
          <w:p w14:paraId="41D24B52" w14:textId="77777777" w:rsidR="00BC5219" w:rsidRPr="008A2B8F"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auto" w:fill="auto"/>
            <w:noWrap/>
            <w:vAlign w:val="center"/>
            <w:hideMark/>
          </w:tcPr>
          <w:p w14:paraId="3BA05F08"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(1,250)</w:t>
            </w:r>
          </w:p>
        </w:tc>
        <w:tc>
          <w:tcPr>
            <w:tcW w:w="196" w:type="dxa"/>
            <w:tcBorders>
              <w:top w:val="nil"/>
              <w:left w:val="nil"/>
              <w:bottom w:val="nil"/>
              <w:right w:val="nil"/>
            </w:tcBorders>
            <w:shd w:val="clear" w:color="auto" w:fill="auto"/>
            <w:noWrap/>
            <w:vAlign w:val="center"/>
            <w:hideMark/>
          </w:tcPr>
          <w:p w14:paraId="126A925F" w14:textId="77777777" w:rsidR="00BC5219" w:rsidRPr="008A2B8F"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auto" w:fill="auto"/>
            <w:noWrap/>
            <w:vAlign w:val="center"/>
            <w:hideMark/>
          </w:tcPr>
          <w:p w14:paraId="1D7DFF89"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96" w:type="dxa"/>
            <w:tcBorders>
              <w:top w:val="nil"/>
              <w:left w:val="nil"/>
              <w:bottom w:val="nil"/>
              <w:right w:val="nil"/>
            </w:tcBorders>
            <w:shd w:val="clear" w:color="auto" w:fill="auto"/>
            <w:noWrap/>
            <w:vAlign w:val="center"/>
            <w:hideMark/>
          </w:tcPr>
          <w:p w14:paraId="05C0E704" w14:textId="77777777" w:rsidR="00BC5219" w:rsidRPr="008A2B8F"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auto" w:fill="auto"/>
            <w:noWrap/>
            <w:vAlign w:val="center"/>
            <w:hideMark/>
          </w:tcPr>
          <w:p w14:paraId="546B396D"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(1,250)</w:t>
            </w:r>
          </w:p>
        </w:tc>
      </w:tr>
      <w:tr w:rsidR="00BC5219" w:rsidRPr="008A2B8F" w14:paraId="01C5B310" w14:textId="77777777" w:rsidTr="00E83802">
        <w:trPr>
          <w:trHeight w:val="240"/>
        </w:trPr>
        <w:tc>
          <w:tcPr>
            <w:tcW w:w="3799" w:type="dxa"/>
            <w:tcBorders>
              <w:top w:val="nil"/>
              <w:left w:val="nil"/>
              <w:bottom w:val="nil"/>
              <w:right w:val="nil"/>
            </w:tcBorders>
            <w:shd w:val="clear" w:color="auto" w:fill="auto"/>
            <w:noWrap/>
            <w:vAlign w:val="center"/>
            <w:hideMark/>
          </w:tcPr>
          <w:p w14:paraId="4460728E"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Amortisation</w:t>
            </w:r>
          </w:p>
        </w:tc>
        <w:tc>
          <w:tcPr>
            <w:tcW w:w="1134" w:type="dxa"/>
            <w:tcBorders>
              <w:top w:val="nil"/>
              <w:left w:val="nil"/>
              <w:bottom w:val="nil"/>
              <w:right w:val="nil"/>
            </w:tcBorders>
            <w:shd w:val="clear" w:color="auto" w:fill="auto"/>
            <w:noWrap/>
            <w:vAlign w:val="center"/>
            <w:hideMark/>
          </w:tcPr>
          <w:p w14:paraId="4317874E"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(2,642)</w:t>
            </w:r>
          </w:p>
        </w:tc>
        <w:tc>
          <w:tcPr>
            <w:tcW w:w="196" w:type="dxa"/>
            <w:tcBorders>
              <w:top w:val="nil"/>
              <w:left w:val="nil"/>
              <w:bottom w:val="nil"/>
              <w:right w:val="nil"/>
            </w:tcBorders>
            <w:shd w:val="clear" w:color="auto" w:fill="auto"/>
            <w:noWrap/>
            <w:vAlign w:val="center"/>
            <w:hideMark/>
          </w:tcPr>
          <w:p w14:paraId="78AE8D61" w14:textId="77777777" w:rsidR="00BC5219" w:rsidRPr="008A2B8F"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auto" w:fill="auto"/>
            <w:noWrap/>
            <w:vAlign w:val="center"/>
            <w:hideMark/>
          </w:tcPr>
          <w:p w14:paraId="5B72BE78"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(8,989)</w:t>
            </w:r>
          </w:p>
        </w:tc>
        <w:tc>
          <w:tcPr>
            <w:tcW w:w="196" w:type="dxa"/>
            <w:tcBorders>
              <w:top w:val="nil"/>
              <w:left w:val="nil"/>
              <w:bottom w:val="nil"/>
              <w:right w:val="nil"/>
            </w:tcBorders>
            <w:shd w:val="clear" w:color="auto" w:fill="auto"/>
            <w:noWrap/>
            <w:vAlign w:val="center"/>
            <w:hideMark/>
          </w:tcPr>
          <w:p w14:paraId="5C01E1BA" w14:textId="77777777" w:rsidR="00BC5219" w:rsidRPr="008A2B8F"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auto" w:fill="auto"/>
            <w:noWrap/>
            <w:vAlign w:val="center"/>
            <w:hideMark/>
          </w:tcPr>
          <w:p w14:paraId="4F3D7822"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96" w:type="dxa"/>
            <w:tcBorders>
              <w:top w:val="nil"/>
              <w:left w:val="nil"/>
              <w:bottom w:val="nil"/>
              <w:right w:val="nil"/>
            </w:tcBorders>
            <w:shd w:val="clear" w:color="auto" w:fill="auto"/>
            <w:noWrap/>
            <w:vAlign w:val="center"/>
            <w:hideMark/>
          </w:tcPr>
          <w:p w14:paraId="043688D9" w14:textId="77777777" w:rsidR="00BC5219" w:rsidRPr="008A2B8F"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auto" w:fill="auto"/>
            <w:noWrap/>
            <w:vAlign w:val="center"/>
            <w:hideMark/>
          </w:tcPr>
          <w:p w14:paraId="3B2C8DCD"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96" w:type="dxa"/>
            <w:tcBorders>
              <w:top w:val="nil"/>
              <w:left w:val="nil"/>
              <w:bottom w:val="nil"/>
              <w:right w:val="nil"/>
            </w:tcBorders>
            <w:shd w:val="clear" w:color="auto" w:fill="auto"/>
            <w:noWrap/>
            <w:vAlign w:val="center"/>
            <w:hideMark/>
          </w:tcPr>
          <w:p w14:paraId="3748C851" w14:textId="77777777" w:rsidR="00BC5219" w:rsidRPr="008A2B8F"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auto" w:fill="auto"/>
            <w:noWrap/>
            <w:vAlign w:val="center"/>
            <w:hideMark/>
          </w:tcPr>
          <w:p w14:paraId="7E3992E7"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(11,631)</w:t>
            </w:r>
          </w:p>
        </w:tc>
      </w:tr>
      <w:tr w:rsidR="00BC5219" w:rsidRPr="008A2B8F" w14:paraId="2D22EA80" w14:textId="77777777" w:rsidTr="00E83802">
        <w:trPr>
          <w:trHeight w:val="240"/>
        </w:trPr>
        <w:tc>
          <w:tcPr>
            <w:tcW w:w="3799" w:type="dxa"/>
            <w:tcBorders>
              <w:top w:val="single" w:sz="4" w:space="0" w:color="auto"/>
              <w:left w:val="nil"/>
              <w:bottom w:val="double" w:sz="6" w:space="0" w:color="auto"/>
              <w:right w:val="nil"/>
            </w:tcBorders>
            <w:shd w:val="clear" w:color="auto" w:fill="auto"/>
            <w:noWrap/>
            <w:vAlign w:val="center"/>
            <w:hideMark/>
          </w:tcPr>
          <w:p w14:paraId="18732C21"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Carrying amount at 30 June</w:t>
            </w:r>
          </w:p>
        </w:tc>
        <w:tc>
          <w:tcPr>
            <w:tcW w:w="1134" w:type="dxa"/>
            <w:tcBorders>
              <w:top w:val="single" w:sz="4" w:space="0" w:color="auto"/>
              <w:left w:val="nil"/>
              <w:bottom w:val="double" w:sz="6" w:space="0" w:color="auto"/>
              <w:right w:val="nil"/>
            </w:tcBorders>
            <w:shd w:val="clear" w:color="auto" w:fill="auto"/>
            <w:noWrap/>
            <w:vAlign w:val="center"/>
            <w:hideMark/>
          </w:tcPr>
          <w:p w14:paraId="1570B420"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14,486 </w:t>
            </w:r>
          </w:p>
        </w:tc>
        <w:tc>
          <w:tcPr>
            <w:tcW w:w="196" w:type="dxa"/>
            <w:tcBorders>
              <w:top w:val="nil"/>
              <w:left w:val="nil"/>
              <w:bottom w:val="nil"/>
              <w:right w:val="nil"/>
            </w:tcBorders>
            <w:shd w:val="clear" w:color="auto" w:fill="auto"/>
            <w:noWrap/>
            <w:vAlign w:val="center"/>
            <w:hideMark/>
          </w:tcPr>
          <w:p w14:paraId="1FBAFAB5" w14:textId="77777777" w:rsidR="00BC5219" w:rsidRPr="008A2B8F" w:rsidRDefault="00BC5219" w:rsidP="00E83802">
            <w:pPr>
              <w:jc w:val="right"/>
              <w:rPr>
                <w:rFonts w:ascii="Meta Pro" w:eastAsia="Times New Roman" w:hAnsi="Meta Pro"/>
                <w:b/>
                <w:bCs/>
                <w:szCs w:val="18"/>
                <w:lang w:eastAsia="en-AU"/>
              </w:rPr>
            </w:pPr>
          </w:p>
        </w:tc>
        <w:tc>
          <w:tcPr>
            <w:tcW w:w="1134" w:type="dxa"/>
            <w:tcBorders>
              <w:top w:val="single" w:sz="4" w:space="0" w:color="auto"/>
              <w:left w:val="nil"/>
              <w:bottom w:val="double" w:sz="6" w:space="0" w:color="auto"/>
              <w:right w:val="nil"/>
            </w:tcBorders>
            <w:shd w:val="clear" w:color="auto" w:fill="auto"/>
            <w:noWrap/>
            <w:vAlign w:val="center"/>
            <w:hideMark/>
          </w:tcPr>
          <w:p w14:paraId="6330A561"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27,230 </w:t>
            </w:r>
          </w:p>
        </w:tc>
        <w:tc>
          <w:tcPr>
            <w:tcW w:w="196" w:type="dxa"/>
            <w:tcBorders>
              <w:top w:val="nil"/>
              <w:left w:val="nil"/>
              <w:bottom w:val="nil"/>
              <w:right w:val="nil"/>
            </w:tcBorders>
            <w:shd w:val="clear" w:color="auto" w:fill="auto"/>
            <w:noWrap/>
            <w:vAlign w:val="center"/>
            <w:hideMark/>
          </w:tcPr>
          <w:p w14:paraId="5C4559D8" w14:textId="77777777" w:rsidR="00BC5219" w:rsidRPr="008A2B8F" w:rsidRDefault="00BC5219" w:rsidP="00E83802">
            <w:pPr>
              <w:jc w:val="right"/>
              <w:rPr>
                <w:rFonts w:ascii="Meta Pro" w:eastAsia="Times New Roman" w:hAnsi="Meta Pro"/>
                <w:b/>
                <w:bCs/>
                <w:szCs w:val="18"/>
                <w:lang w:eastAsia="en-AU"/>
              </w:rPr>
            </w:pPr>
          </w:p>
        </w:tc>
        <w:tc>
          <w:tcPr>
            <w:tcW w:w="1134" w:type="dxa"/>
            <w:tcBorders>
              <w:top w:val="single" w:sz="4" w:space="0" w:color="auto"/>
              <w:left w:val="nil"/>
              <w:bottom w:val="double" w:sz="6" w:space="0" w:color="auto"/>
              <w:right w:val="nil"/>
            </w:tcBorders>
            <w:shd w:val="clear" w:color="auto" w:fill="auto"/>
            <w:noWrap/>
            <w:vAlign w:val="center"/>
            <w:hideMark/>
          </w:tcPr>
          <w:p w14:paraId="6B94AAFA"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44,114 </w:t>
            </w:r>
          </w:p>
        </w:tc>
        <w:tc>
          <w:tcPr>
            <w:tcW w:w="196" w:type="dxa"/>
            <w:tcBorders>
              <w:top w:val="nil"/>
              <w:left w:val="nil"/>
              <w:bottom w:val="nil"/>
              <w:right w:val="nil"/>
            </w:tcBorders>
            <w:shd w:val="clear" w:color="auto" w:fill="auto"/>
            <w:noWrap/>
            <w:vAlign w:val="center"/>
            <w:hideMark/>
          </w:tcPr>
          <w:p w14:paraId="41702E29" w14:textId="77777777" w:rsidR="00BC5219" w:rsidRPr="008A2B8F" w:rsidRDefault="00BC5219" w:rsidP="00E83802">
            <w:pPr>
              <w:jc w:val="right"/>
              <w:rPr>
                <w:rFonts w:ascii="Meta Pro" w:eastAsia="Times New Roman" w:hAnsi="Meta Pro"/>
                <w:b/>
                <w:bCs/>
                <w:szCs w:val="18"/>
                <w:lang w:eastAsia="en-AU"/>
              </w:rPr>
            </w:pPr>
          </w:p>
        </w:tc>
        <w:tc>
          <w:tcPr>
            <w:tcW w:w="1134" w:type="dxa"/>
            <w:tcBorders>
              <w:top w:val="single" w:sz="4" w:space="0" w:color="auto"/>
              <w:left w:val="nil"/>
              <w:bottom w:val="double" w:sz="6" w:space="0" w:color="auto"/>
              <w:right w:val="nil"/>
            </w:tcBorders>
            <w:shd w:val="clear" w:color="auto" w:fill="auto"/>
            <w:noWrap/>
            <w:vAlign w:val="center"/>
            <w:hideMark/>
          </w:tcPr>
          <w:p w14:paraId="07A79FC2"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4,346 </w:t>
            </w:r>
          </w:p>
        </w:tc>
        <w:tc>
          <w:tcPr>
            <w:tcW w:w="196" w:type="dxa"/>
            <w:tcBorders>
              <w:top w:val="nil"/>
              <w:left w:val="nil"/>
              <w:bottom w:val="nil"/>
              <w:right w:val="nil"/>
            </w:tcBorders>
            <w:shd w:val="clear" w:color="auto" w:fill="auto"/>
            <w:noWrap/>
            <w:vAlign w:val="center"/>
            <w:hideMark/>
          </w:tcPr>
          <w:p w14:paraId="44A8862E" w14:textId="77777777" w:rsidR="00BC5219" w:rsidRPr="008A2B8F" w:rsidRDefault="00BC5219" w:rsidP="00E83802">
            <w:pPr>
              <w:jc w:val="right"/>
              <w:rPr>
                <w:rFonts w:ascii="Meta Pro" w:eastAsia="Times New Roman" w:hAnsi="Meta Pro"/>
                <w:b/>
                <w:bCs/>
                <w:szCs w:val="18"/>
                <w:lang w:eastAsia="en-AU"/>
              </w:rPr>
            </w:pPr>
          </w:p>
        </w:tc>
        <w:tc>
          <w:tcPr>
            <w:tcW w:w="1134" w:type="dxa"/>
            <w:tcBorders>
              <w:top w:val="single" w:sz="4" w:space="0" w:color="auto"/>
              <w:left w:val="nil"/>
              <w:bottom w:val="double" w:sz="6" w:space="0" w:color="auto"/>
              <w:right w:val="nil"/>
            </w:tcBorders>
            <w:shd w:val="clear" w:color="auto" w:fill="auto"/>
            <w:noWrap/>
            <w:vAlign w:val="center"/>
            <w:hideMark/>
          </w:tcPr>
          <w:p w14:paraId="10306F1A"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90,176 </w:t>
            </w:r>
          </w:p>
        </w:tc>
      </w:tr>
    </w:tbl>
    <w:p w14:paraId="2F8AF0DD" w14:textId="77777777" w:rsidR="00BC5219" w:rsidRPr="008A2B8F" w:rsidRDefault="00BC5219" w:rsidP="00BC5219">
      <w:pPr>
        <w:spacing w:before="120"/>
        <w:rPr>
          <w:rFonts w:ascii="Meta Pro" w:eastAsia="Times New Roman" w:hAnsi="Meta Pro"/>
          <w:sz w:val="16"/>
          <w:szCs w:val="16"/>
          <w:lang w:eastAsia="en-AU"/>
        </w:rPr>
      </w:pPr>
      <w:r w:rsidRPr="008A2B8F">
        <w:rPr>
          <w:rFonts w:ascii="Meta Pro" w:eastAsia="Times New Roman" w:hAnsi="Meta Pro"/>
          <w:sz w:val="16"/>
          <w:szCs w:val="16"/>
          <w:lang w:eastAsia="en-AU"/>
        </w:rPr>
        <w:t>* The department holds significant internally generated software assets as follows:</w:t>
      </w:r>
    </w:p>
    <w:p w14:paraId="00472941" w14:textId="77777777" w:rsidR="00BC5219" w:rsidRPr="008A2B8F" w:rsidRDefault="00BC5219" w:rsidP="00BC5219">
      <w:pPr>
        <w:spacing w:before="60"/>
        <w:rPr>
          <w:rFonts w:ascii="Meta Pro" w:eastAsia="Times New Roman" w:hAnsi="Meta Pro"/>
          <w:color w:val="000000"/>
          <w:sz w:val="16"/>
          <w:szCs w:val="16"/>
          <w:lang w:eastAsia="en-AU"/>
        </w:rPr>
      </w:pPr>
      <w:r w:rsidRPr="008A2B8F">
        <w:rPr>
          <w:rFonts w:ascii="Meta Pro" w:eastAsia="Times New Roman" w:hAnsi="Meta Pro"/>
          <w:color w:val="000000"/>
          <w:sz w:val="16"/>
          <w:szCs w:val="16"/>
          <w:lang w:eastAsia="en-AU"/>
        </w:rPr>
        <w:t xml:space="preserve">    •  Portfolio, Program, Project and Contract Management software that has a carrying amount of $8.355m (2022: $12.533m) and a</w:t>
      </w:r>
    </w:p>
    <w:p w14:paraId="4506435B" w14:textId="77777777" w:rsidR="00BC5219" w:rsidRPr="008A2B8F" w:rsidRDefault="00BC5219" w:rsidP="00BC5219">
      <w:pPr>
        <w:rPr>
          <w:rFonts w:ascii="Meta Pro" w:eastAsia="Times New Roman" w:hAnsi="Meta Pro"/>
          <w:color w:val="000000"/>
          <w:sz w:val="16"/>
          <w:szCs w:val="16"/>
          <w:lang w:eastAsia="en-AU"/>
        </w:rPr>
      </w:pPr>
      <w:r w:rsidRPr="008A2B8F">
        <w:rPr>
          <w:rFonts w:ascii="Meta Pro" w:eastAsia="Times New Roman" w:hAnsi="Meta Pro"/>
          <w:color w:val="000000"/>
          <w:sz w:val="16"/>
          <w:szCs w:val="16"/>
          <w:lang w:eastAsia="en-AU"/>
        </w:rPr>
        <w:t xml:space="preserve">        remaining amortisation period of 2 years. </w:t>
      </w:r>
    </w:p>
    <w:p w14:paraId="1C52E25D" w14:textId="77777777" w:rsidR="00BC5219" w:rsidRPr="008A2B8F" w:rsidRDefault="00BC5219" w:rsidP="00BC5219">
      <w:pPr>
        <w:rPr>
          <w:rFonts w:ascii="Meta Pro" w:eastAsia="Times New Roman" w:hAnsi="Meta Pro"/>
          <w:color w:val="000000"/>
          <w:sz w:val="16"/>
          <w:szCs w:val="16"/>
          <w:lang w:eastAsia="en-AU"/>
        </w:rPr>
      </w:pPr>
      <w:r w:rsidRPr="008A2B8F">
        <w:rPr>
          <w:rFonts w:ascii="Meta Pro" w:eastAsia="Times New Roman" w:hAnsi="Meta Pro"/>
          <w:color w:val="000000"/>
          <w:sz w:val="16"/>
          <w:szCs w:val="16"/>
          <w:lang w:eastAsia="en-AU"/>
        </w:rPr>
        <w:t xml:space="preserve">    •  New Queensland Drivers Licence software that has a carrying amount of $5.109m (2022: $6.382m) and a remaining amortisation</w:t>
      </w:r>
    </w:p>
    <w:p w14:paraId="32C2C5A7" w14:textId="77777777" w:rsidR="00BC5219" w:rsidRPr="008A2B8F" w:rsidRDefault="00BC5219" w:rsidP="00BC5219">
      <w:pPr>
        <w:rPr>
          <w:rFonts w:ascii="Meta Pro" w:eastAsia="Times New Roman" w:hAnsi="Meta Pro"/>
          <w:color w:val="000000"/>
          <w:sz w:val="16"/>
          <w:szCs w:val="16"/>
          <w:lang w:eastAsia="en-AU"/>
        </w:rPr>
      </w:pPr>
      <w:r w:rsidRPr="008A2B8F">
        <w:rPr>
          <w:rFonts w:ascii="Meta Pro" w:eastAsia="Times New Roman" w:hAnsi="Meta Pro"/>
          <w:color w:val="000000"/>
          <w:sz w:val="16"/>
          <w:szCs w:val="16"/>
          <w:lang w:eastAsia="en-AU"/>
        </w:rPr>
        <w:t xml:space="preserve">         period of 4 years.</w:t>
      </w:r>
    </w:p>
    <w:p w14:paraId="75257686" w14:textId="77777777" w:rsidR="00BC5219" w:rsidRPr="008A2B8F" w:rsidRDefault="00BC5219" w:rsidP="00BC5219">
      <w:pPr>
        <w:spacing w:before="60" w:line="259" w:lineRule="auto"/>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Projects written off consists of $35.064m of projects expensed as a result of a review of software as a service arrangements following a change in </w:t>
      </w:r>
    </w:p>
    <w:p w14:paraId="3940F13C" w14:textId="77777777" w:rsidR="00BC5219" w:rsidRPr="008A2B8F" w:rsidRDefault="00BC5219" w:rsidP="00BC5219">
      <w:pPr>
        <w:spacing w:line="259" w:lineRule="auto"/>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accounting policy in 2022.</w:t>
      </w:r>
    </w:p>
    <w:p w14:paraId="0B735CB2" w14:textId="77777777" w:rsidR="00BC5219" w:rsidRPr="008A2B8F" w:rsidRDefault="00BC5219" w:rsidP="00BC5219">
      <w:pPr>
        <w:tabs>
          <w:tab w:val="left" w:pos="663"/>
        </w:tabs>
        <w:rPr>
          <w:rFonts w:ascii="Meta Pro" w:hAnsi="Meta Pro"/>
        </w:rPr>
      </w:pPr>
    </w:p>
    <w:p w14:paraId="63B7E098"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r w:rsidRPr="008A2B8F">
        <w:rPr>
          <w:rFonts w:ascii="Meta Pro" w:eastAsia="Times New Roman" w:hAnsi="Meta Pro"/>
          <w:b/>
          <w:bCs/>
          <w:color w:val="000000"/>
          <w:sz w:val="20"/>
          <w:szCs w:val="20"/>
          <w:lang w:eastAsia="en-AU"/>
        </w:rPr>
        <w:br w:type="page"/>
      </w:r>
    </w:p>
    <w:p w14:paraId="20300F72"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r w:rsidRPr="008A2B8F">
        <w:rPr>
          <w:rFonts w:ascii="Meta Pro" w:eastAsia="Times New Roman" w:hAnsi="Meta Pro"/>
          <w:i/>
          <w:iCs/>
          <w:color w:val="000000" w:themeColor="text1"/>
          <w:lang w:eastAsia="en-AU"/>
        </w:rPr>
        <w:lastRenderedPageBreak/>
        <w:t>Department of Transport and Main Roads</w:t>
      </w:r>
    </w:p>
    <w:p w14:paraId="6ECD554A"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Notes to the financial statements 2022–23 (continued)</w:t>
      </w:r>
    </w:p>
    <w:p w14:paraId="564DDFA8" w14:textId="77777777" w:rsidR="00BC5219" w:rsidRPr="008A2B8F" w:rsidRDefault="00BC5219" w:rsidP="00BC5219">
      <w:pPr>
        <w:spacing w:line="259" w:lineRule="auto"/>
        <w:rPr>
          <w:rFonts w:ascii="Meta Pro" w:eastAsia="Times New Roman" w:hAnsi="Meta Pro"/>
          <w:b/>
          <w:bCs/>
          <w:szCs w:val="18"/>
          <w:lang w:eastAsia="en-AU"/>
        </w:rPr>
      </w:pPr>
    </w:p>
    <w:p w14:paraId="048A1FE7" w14:textId="77777777" w:rsidR="00BC5219" w:rsidRPr="00DD406A" w:rsidRDefault="00BC5219" w:rsidP="00BC5219">
      <w:pPr>
        <w:spacing w:after="160" w:line="259" w:lineRule="auto"/>
        <w:rPr>
          <w:rFonts w:ascii="Meta Pro" w:eastAsia="Times New Roman" w:hAnsi="Meta Pro"/>
          <w:b/>
          <w:bCs/>
          <w:color w:val="000000"/>
          <w:lang w:eastAsia="en-AU"/>
        </w:rPr>
      </w:pPr>
      <w:r w:rsidRPr="00DD406A">
        <w:rPr>
          <w:rFonts w:ascii="Meta Pro" w:eastAsia="Times New Roman" w:hAnsi="Meta Pro"/>
          <w:b/>
          <w:bCs/>
          <w:lang w:eastAsia="en-AU"/>
        </w:rPr>
        <w:t>14     INTANGIBLE ASSETS (continued)</w:t>
      </w:r>
    </w:p>
    <w:p w14:paraId="41F69BA9" w14:textId="77777777" w:rsidR="00BC5219" w:rsidRPr="00DD406A" w:rsidRDefault="00BC5219" w:rsidP="00BC5219">
      <w:pPr>
        <w:shd w:val="clear" w:color="auto" w:fill="EBEBEB"/>
        <w:rPr>
          <w:rFonts w:ascii="Meta Pro" w:eastAsia="Times New Roman" w:hAnsi="Meta Pro"/>
          <w:b/>
          <w:bCs/>
          <w:color w:val="000000"/>
          <w:szCs w:val="18"/>
          <w:lang w:eastAsia="en-AU"/>
        </w:rPr>
      </w:pPr>
      <w:r w:rsidRPr="00DD406A">
        <w:rPr>
          <w:rFonts w:ascii="Meta Pro" w:eastAsia="Times New Roman" w:hAnsi="Meta Pro"/>
          <w:b/>
          <w:bCs/>
          <w:color w:val="000000"/>
          <w:szCs w:val="18"/>
          <w:lang w:eastAsia="en-AU"/>
        </w:rPr>
        <w:t xml:space="preserve">Accounting policy </w:t>
      </w:r>
    </w:p>
    <w:p w14:paraId="2CBE8BD2" w14:textId="77777777" w:rsidR="00BC5219" w:rsidRPr="008A2B8F" w:rsidRDefault="00BC5219" w:rsidP="00BC5219">
      <w:pPr>
        <w:pStyle w:val="ACPPara"/>
        <w:spacing w:before="120"/>
      </w:pPr>
      <w:r w:rsidRPr="008A2B8F">
        <w:t>Intangible assets with a cost equal to or greater than $100,000 are recognised in the financial statements. Items with a lesser cost are expensed.</w:t>
      </w:r>
    </w:p>
    <w:p w14:paraId="2506C092" w14:textId="77777777" w:rsidR="00BC5219" w:rsidRPr="008A2B8F" w:rsidRDefault="00BC5219" w:rsidP="00BC5219">
      <w:pPr>
        <w:pStyle w:val="ACPPara"/>
      </w:pPr>
      <w:r w:rsidRPr="008A2B8F">
        <w:t>Expenditure on research activities relating to internally-generated intangible assets is recognised as an expense in the period in which it is incurred. Any training costs are expensed as incurred.</w:t>
      </w:r>
    </w:p>
    <w:p w14:paraId="0F166D3F" w14:textId="77777777" w:rsidR="00BC5219" w:rsidRPr="008A2B8F" w:rsidRDefault="00BC5219" w:rsidP="00BC5219">
      <w:pPr>
        <w:pStyle w:val="ACPPara"/>
      </w:pPr>
      <w:r w:rsidRPr="008A2B8F">
        <w:t>The department’s intangible assets are not revalued as there is no active market for any of these assets. Such assets are recognised and carried at cost less accumulated amortisation and accumulated impairment losses.</w:t>
      </w:r>
    </w:p>
    <w:p w14:paraId="6A69B2F2" w14:textId="77777777" w:rsidR="00BC5219" w:rsidRPr="008A2B8F" w:rsidRDefault="00BC5219" w:rsidP="00BC5219">
      <w:pPr>
        <w:pStyle w:val="ACPPara"/>
      </w:pPr>
      <w:r w:rsidRPr="008A2B8F">
        <w:t>For each class of intangible asset, the following amortisation rates are used:</w:t>
      </w:r>
    </w:p>
    <w:p w14:paraId="7402DC6E" w14:textId="77777777" w:rsidR="00BC5219" w:rsidRPr="008A2B8F" w:rsidRDefault="00BC5219" w:rsidP="00BC5219">
      <w:pPr>
        <w:shd w:val="clear" w:color="auto" w:fill="EBEBEB"/>
        <w:spacing w:line="14" w:lineRule="exact"/>
        <w:jc w:val="both"/>
        <w:rPr>
          <w:rFonts w:ascii="Meta Pro" w:eastAsia="Times New Roman" w:hAnsi="Meta Pro"/>
          <w:szCs w:val="18"/>
          <w:lang w:eastAsia="en-AU"/>
        </w:rPr>
      </w:pPr>
    </w:p>
    <w:tbl>
      <w:tblPr>
        <w:tblW w:w="10196" w:type="dxa"/>
        <w:tblCellMar>
          <w:left w:w="0" w:type="dxa"/>
        </w:tblCellMar>
        <w:tblLook w:val="04A0" w:firstRow="1" w:lastRow="0" w:firstColumn="1" w:lastColumn="0" w:noHBand="0" w:noVBand="1"/>
      </w:tblPr>
      <w:tblGrid>
        <w:gridCol w:w="3213"/>
        <w:gridCol w:w="3213"/>
        <w:gridCol w:w="3770"/>
      </w:tblGrid>
      <w:tr w:rsidR="00BC5219" w:rsidRPr="008A2B8F" w14:paraId="678D0FE3" w14:textId="77777777" w:rsidTr="00E83802">
        <w:trPr>
          <w:cantSplit/>
          <w:trHeight w:val="23"/>
        </w:trPr>
        <w:tc>
          <w:tcPr>
            <w:tcW w:w="3213" w:type="dxa"/>
            <w:tcBorders>
              <w:top w:val="single" w:sz="8" w:space="0" w:color="auto"/>
              <w:left w:val="single" w:sz="8" w:space="0" w:color="auto"/>
              <w:bottom w:val="single" w:sz="8" w:space="0" w:color="auto"/>
              <w:right w:val="single" w:sz="8" w:space="0" w:color="000000"/>
            </w:tcBorders>
            <w:shd w:val="clear" w:color="000000" w:fill="E7E6E6"/>
            <w:noWrap/>
            <w:vAlign w:val="center"/>
            <w:hideMark/>
          </w:tcPr>
          <w:p w14:paraId="2CCF6518" w14:textId="77777777" w:rsidR="00BC5219" w:rsidRPr="008A2B8F" w:rsidRDefault="00BC5219" w:rsidP="00E83802">
            <w:pPr>
              <w:jc w:val="center"/>
              <w:rPr>
                <w:rFonts w:ascii="Meta Pro" w:eastAsia="Times New Roman" w:hAnsi="Meta Pro" w:cs="Calibri"/>
                <w:b/>
                <w:bCs/>
                <w:color w:val="000000"/>
                <w:szCs w:val="18"/>
                <w:lang w:eastAsia="en-AU"/>
              </w:rPr>
            </w:pPr>
            <w:r w:rsidRPr="008A2B8F">
              <w:rPr>
                <w:rFonts w:ascii="Meta Pro" w:eastAsia="Times New Roman" w:hAnsi="Meta Pro" w:cs="Calibri"/>
                <w:b/>
                <w:bCs/>
                <w:color w:val="000000"/>
                <w:szCs w:val="18"/>
                <w:lang w:eastAsia="en-AU"/>
              </w:rPr>
              <w:t>Class</w:t>
            </w:r>
          </w:p>
        </w:tc>
        <w:tc>
          <w:tcPr>
            <w:tcW w:w="3213" w:type="dxa"/>
            <w:tcBorders>
              <w:top w:val="single" w:sz="8" w:space="0" w:color="auto"/>
              <w:left w:val="nil"/>
              <w:bottom w:val="single" w:sz="8" w:space="0" w:color="auto"/>
              <w:right w:val="single" w:sz="8" w:space="0" w:color="000000"/>
            </w:tcBorders>
            <w:shd w:val="clear" w:color="000000" w:fill="E7E6E6"/>
            <w:noWrap/>
            <w:vAlign w:val="center"/>
            <w:hideMark/>
          </w:tcPr>
          <w:p w14:paraId="2B660A62" w14:textId="77777777" w:rsidR="00BC5219" w:rsidRPr="008A2B8F" w:rsidRDefault="00BC5219" w:rsidP="00E83802">
            <w:pPr>
              <w:jc w:val="center"/>
              <w:rPr>
                <w:rFonts w:ascii="Meta Pro" w:eastAsia="Times New Roman" w:hAnsi="Meta Pro" w:cs="Calibri"/>
                <w:b/>
                <w:bCs/>
                <w:color w:val="000000"/>
                <w:szCs w:val="18"/>
                <w:lang w:eastAsia="en-AU"/>
              </w:rPr>
            </w:pPr>
            <w:r w:rsidRPr="008A2B8F">
              <w:rPr>
                <w:rFonts w:ascii="Meta Pro" w:eastAsia="Times New Roman" w:hAnsi="Meta Pro" w:cs="Calibri"/>
                <w:b/>
                <w:bCs/>
                <w:color w:val="000000"/>
                <w:szCs w:val="18"/>
                <w:lang w:eastAsia="en-AU"/>
              </w:rPr>
              <w:t>Amortisation method</w:t>
            </w:r>
          </w:p>
        </w:tc>
        <w:tc>
          <w:tcPr>
            <w:tcW w:w="3770" w:type="dxa"/>
            <w:tcBorders>
              <w:top w:val="single" w:sz="8" w:space="0" w:color="auto"/>
              <w:left w:val="nil"/>
              <w:bottom w:val="single" w:sz="8" w:space="0" w:color="auto"/>
              <w:right w:val="single" w:sz="8" w:space="0" w:color="000000"/>
            </w:tcBorders>
            <w:shd w:val="clear" w:color="000000" w:fill="E7E6E6"/>
            <w:vAlign w:val="center"/>
            <w:hideMark/>
          </w:tcPr>
          <w:p w14:paraId="04A92214" w14:textId="77777777" w:rsidR="00BC5219" w:rsidRPr="008A2B8F" w:rsidRDefault="00BC5219" w:rsidP="00E83802">
            <w:pPr>
              <w:jc w:val="center"/>
              <w:rPr>
                <w:rFonts w:ascii="Meta Pro" w:eastAsia="Times New Roman" w:hAnsi="Meta Pro" w:cs="Calibri"/>
                <w:b/>
                <w:bCs/>
                <w:color w:val="000000"/>
                <w:szCs w:val="18"/>
                <w:lang w:eastAsia="en-AU"/>
              </w:rPr>
            </w:pPr>
            <w:r w:rsidRPr="008A2B8F">
              <w:rPr>
                <w:rFonts w:ascii="Meta Pro" w:eastAsia="Times New Roman" w:hAnsi="Meta Pro" w:cs="Calibri"/>
                <w:b/>
                <w:bCs/>
                <w:color w:val="000000"/>
                <w:szCs w:val="18"/>
                <w:lang w:eastAsia="en-AU"/>
              </w:rPr>
              <w:t>Average useful life</w:t>
            </w:r>
          </w:p>
        </w:tc>
      </w:tr>
      <w:tr w:rsidR="00BC5219" w:rsidRPr="008A2B8F" w14:paraId="47BF7D50" w14:textId="77777777" w:rsidTr="00E83802">
        <w:trPr>
          <w:cantSplit/>
          <w:trHeight w:val="23"/>
        </w:trPr>
        <w:tc>
          <w:tcPr>
            <w:tcW w:w="3213" w:type="dxa"/>
            <w:tcBorders>
              <w:top w:val="nil"/>
              <w:left w:val="single" w:sz="8" w:space="0" w:color="auto"/>
              <w:bottom w:val="single" w:sz="8" w:space="0" w:color="auto"/>
              <w:right w:val="single" w:sz="8" w:space="0" w:color="000000"/>
            </w:tcBorders>
            <w:shd w:val="clear" w:color="000000" w:fill="E7E6E6"/>
            <w:noWrap/>
            <w:vAlign w:val="center"/>
            <w:hideMark/>
          </w:tcPr>
          <w:p w14:paraId="29A76144" w14:textId="77777777" w:rsidR="00BC5219" w:rsidRPr="008A2B8F" w:rsidRDefault="00BC5219" w:rsidP="00E83802">
            <w:pP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Intangibles – purchased</w:t>
            </w:r>
          </w:p>
        </w:tc>
        <w:tc>
          <w:tcPr>
            <w:tcW w:w="3213" w:type="dxa"/>
            <w:tcBorders>
              <w:top w:val="nil"/>
              <w:left w:val="nil"/>
              <w:bottom w:val="single" w:sz="8" w:space="0" w:color="auto"/>
              <w:right w:val="single" w:sz="8" w:space="0" w:color="000000"/>
            </w:tcBorders>
            <w:shd w:val="clear" w:color="000000" w:fill="E7E6E6"/>
            <w:noWrap/>
            <w:vAlign w:val="center"/>
            <w:hideMark/>
          </w:tcPr>
          <w:p w14:paraId="154B3377" w14:textId="77777777" w:rsidR="00BC5219" w:rsidRPr="008A2B8F" w:rsidRDefault="00BC5219" w:rsidP="00E83802">
            <w:pPr>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Straight-line</w:t>
            </w:r>
          </w:p>
        </w:tc>
        <w:tc>
          <w:tcPr>
            <w:tcW w:w="3770" w:type="dxa"/>
            <w:tcBorders>
              <w:top w:val="nil"/>
              <w:left w:val="nil"/>
              <w:bottom w:val="single" w:sz="8" w:space="0" w:color="auto"/>
              <w:right w:val="single" w:sz="8" w:space="0" w:color="000000"/>
            </w:tcBorders>
            <w:shd w:val="clear" w:color="000000" w:fill="E7E6E6"/>
            <w:vAlign w:val="center"/>
            <w:hideMark/>
          </w:tcPr>
          <w:p w14:paraId="010213D5" w14:textId="77777777" w:rsidR="00BC5219" w:rsidRPr="008A2B8F" w:rsidRDefault="00BC5219" w:rsidP="00E83802">
            <w:pPr>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10</w:t>
            </w:r>
          </w:p>
        </w:tc>
      </w:tr>
      <w:tr w:rsidR="00BC5219" w:rsidRPr="008A2B8F" w14:paraId="67E114B2" w14:textId="77777777" w:rsidTr="00E83802">
        <w:trPr>
          <w:cantSplit/>
          <w:trHeight w:val="23"/>
        </w:trPr>
        <w:tc>
          <w:tcPr>
            <w:tcW w:w="3213" w:type="dxa"/>
            <w:tcBorders>
              <w:top w:val="nil"/>
              <w:left w:val="single" w:sz="8" w:space="0" w:color="auto"/>
              <w:bottom w:val="single" w:sz="8" w:space="0" w:color="auto"/>
              <w:right w:val="single" w:sz="8" w:space="0" w:color="000000"/>
            </w:tcBorders>
            <w:shd w:val="clear" w:color="000000" w:fill="E7E6E6"/>
            <w:noWrap/>
            <w:vAlign w:val="center"/>
            <w:hideMark/>
          </w:tcPr>
          <w:p w14:paraId="183742FA" w14:textId="77777777" w:rsidR="00BC5219" w:rsidRPr="008A2B8F" w:rsidRDefault="00BC5219" w:rsidP="00E83802">
            <w:pP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Intangibles – internally generated</w:t>
            </w:r>
          </w:p>
        </w:tc>
        <w:tc>
          <w:tcPr>
            <w:tcW w:w="3213" w:type="dxa"/>
            <w:tcBorders>
              <w:top w:val="nil"/>
              <w:left w:val="nil"/>
              <w:bottom w:val="single" w:sz="8" w:space="0" w:color="auto"/>
              <w:right w:val="single" w:sz="8" w:space="0" w:color="000000"/>
            </w:tcBorders>
            <w:shd w:val="clear" w:color="000000" w:fill="E7E6E6"/>
            <w:noWrap/>
            <w:vAlign w:val="center"/>
            <w:hideMark/>
          </w:tcPr>
          <w:p w14:paraId="1B1138C1" w14:textId="77777777" w:rsidR="00BC5219" w:rsidRPr="008A2B8F" w:rsidRDefault="00BC5219" w:rsidP="00E83802">
            <w:pPr>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Straight-line</w:t>
            </w:r>
          </w:p>
        </w:tc>
        <w:tc>
          <w:tcPr>
            <w:tcW w:w="3770" w:type="dxa"/>
            <w:tcBorders>
              <w:top w:val="nil"/>
              <w:left w:val="nil"/>
              <w:bottom w:val="single" w:sz="8" w:space="0" w:color="auto"/>
              <w:right w:val="single" w:sz="8" w:space="0" w:color="000000"/>
            </w:tcBorders>
            <w:shd w:val="clear" w:color="000000" w:fill="E7E6E6"/>
            <w:vAlign w:val="center"/>
            <w:hideMark/>
          </w:tcPr>
          <w:p w14:paraId="7EBB05F9" w14:textId="77777777" w:rsidR="00BC5219" w:rsidRPr="008A2B8F" w:rsidRDefault="00BC5219" w:rsidP="00E83802">
            <w:pPr>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12</w:t>
            </w:r>
          </w:p>
        </w:tc>
      </w:tr>
      <w:tr w:rsidR="00BC5219" w:rsidRPr="008A2B8F" w14:paraId="7132DE50" w14:textId="77777777" w:rsidTr="00E83802">
        <w:trPr>
          <w:cantSplit/>
          <w:trHeight w:val="23"/>
        </w:trPr>
        <w:tc>
          <w:tcPr>
            <w:tcW w:w="3213" w:type="dxa"/>
            <w:tcBorders>
              <w:top w:val="nil"/>
              <w:left w:val="single" w:sz="8" w:space="0" w:color="auto"/>
              <w:bottom w:val="single" w:sz="8" w:space="0" w:color="auto"/>
              <w:right w:val="single" w:sz="8" w:space="0" w:color="000000"/>
            </w:tcBorders>
            <w:shd w:val="clear" w:color="000000" w:fill="E7E6E6"/>
            <w:noWrap/>
            <w:vAlign w:val="center"/>
            <w:hideMark/>
          </w:tcPr>
          <w:p w14:paraId="40E3D897" w14:textId="77777777" w:rsidR="00BC5219" w:rsidRPr="008A2B8F" w:rsidRDefault="00BC5219" w:rsidP="00E83802">
            <w:pP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Intangibles – work in progress</w:t>
            </w:r>
          </w:p>
        </w:tc>
        <w:tc>
          <w:tcPr>
            <w:tcW w:w="3213" w:type="dxa"/>
            <w:tcBorders>
              <w:top w:val="nil"/>
              <w:left w:val="nil"/>
              <w:bottom w:val="single" w:sz="8" w:space="0" w:color="auto"/>
              <w:right w:val="single" w:sz="8" w:space="0" w:color="000000"/>
            </w:tcBorders>
            <w:shd w:val="clear" w:color="000000" w:fill="E7E6E6"/>
            <w:vAlign w:val="center"/>
            <w:hideMark/>
          </w:tcPr>
          <w:p w14:paraId="7FF8F038" w14:textId="77777777" w:rsidR="00BC5219" w:rsidRPr="008A2B8F" w:rsidRDefault="00BC5219" w:rsidP="00E83802">
            <w:pPr>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Not amortised</w:t>
            </w:r>
          </w:p>
        </w:tc>
        <w:tc>
          <w:tcPr>
            <w:tcW w:w="3770" w:type="dxa"/>
            <w:tcBorders>
              <w:top w:val="nil"/>
              <w:left w:val="nil"/>
              <w:bottom w:val="single" w:sz="8" w:space="0" w:color="auto"/>
              <w:right w:val="single" w:sz="8" w:space="0" w:color="000000"/>
            </w:tcBorders>
            <w:shd w:val="clear" w:color="000000" w:fill="E7E6E6"/>
            <w:vAlign w:val="center"/>
            <w:hideMark/>
          </w:tcPr>
          <w:p w14:paraId="0C248C9B" w14:textId="77777777" w:rsidR="00BC5219" w:rsidRPr="008A2B8F" w:rsidRDefault="00BC5219" w:rsidP="00E83802">
            <w:pPr>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w:t>
            </w:r>
          </w:p>
        </w:tc>
      </w:tr>
      <w:tr w:rsidR="00BC5219" w:rsidRPr="008A2B8F" w14:paraId="07C16DE7" w14:textId="77777777" w:rsidTr="00E83802">
        <w:trPr>
          <w:cantSplit/>
          <w:trHeight w:val="23"/>
        </w:trPr>
        <w:tc>
          <w:tcPr>
            <w:tcW w:w="3213" w:type="dxa"/>
            <w:tcBorders>
              <w:top w:val="nil"/>
              <w:left w:val="single" w:sz="8" w:space="0" w:color="auto"/>
              <w:bottom w:val="single" w:sz="8" w:space="0" w:color="auto"/>
              <w:right w:val="single" w:sz="8" w:space="0" w:color="000000"/>
            </w:tcBorders>
            <w:shd w:val="clear" w:color="000000" w:fill="E7E6E6"/>
            <w:noWrap/>
            <w:vAlign w:val="center"/>
            <w:hideMark/>
          </w:tcPr>
          <w:p w14:paraId="47879242" w14:textId="77777777" w:rsidR="00BC5219" w:rsidRPr="008A2B8F" w:rsidRDefault="00BC5219" w:rsidP="00E83802">
            <w:pP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Intangibles – other</w:t>
            </w:r>
          </w:p>
        </w:tc>
        <w:tc>
          <w:tcPr>
            <w:tcW w:w="3213" w:type="dxa"/>
            <w:tcBorders>
              <w:top w:val="nil"/>
              <w:left w:val="nil"/>
              <w:bottom w:val="single" w:sz="8" w:space="0" w:color="auto"/>
              <w:right w:val="single" w:sz="8" w:space="0" w:color="000000"/>
            </w:tcBorders>
            <w:shd w:val="clear" w:color="000000" w:fill="E7E6E6"/>
            <w:vAlign w:val="center"/>
            <w:hideMark/>
          </w:tcPr>
          <w:p w14:paraId="3702B6BC" w14:textId="77777777" w:rsidR="00BC5219" w:rsidRPr="008A2B8F" w:rsidRDefault="00BC5219" w:rsidP="00E83802">
            <w:pPr>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Not amortised</w:t>
            </w:r>
          </w:p>
        </w:tc>
        <w:tc>
          <w:tcPr>
            <w:tcW w:w="3770" w:type="dxa"/>
            <w:tcBorders>
              <w:top w:val="nil"/>
              <w:left w:val="nil"/>
              <w:bottom w:val="single" w:sz="8" w:space="0" w:color="auto"/>
              <w:right w:val="single" w:sz="8" w:space="0" w:color="000000"/>
            </w:tcBorders>
            <w:shd w:val="clear" w:color="000000" w:fill="E7E6E6"/>
            <w:vAlign w:val="center"/>
            <w:hideMark/>
          </w:tcPr>
          <w:p w14:paraId="7E290C15" w14:textId="77777777" w:rsidR="00BC5219" w:rsidRPr="008A2B8F" w:rsidRDefault="00BC5219" w:rsidP="00E83802">
            <w:pPr>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Indefinite life</w:t>
            </w:r>
          </w:p>
        </w:tc>
      </w:tr>
    </w:tbl>
    <w:p w14:paraId="22A1FC87" w14:textId="77777777" w:rsidR="00BC5219" w:rsidRPr="008A2B8F" w:rsidRDefault="00BC5219" w:rsidP="00BC5219">
      <w:pPr>
        <w:shd w:val="clear" w:color="auto" w:fill="EBEBEB"/>
        <w:spacing w:line="14" w:lineRule="exact"/>
        <w:jc w:val="both"/>
        <w:rPr>
          <w:rFonts w:ascii="Meta Pro" w:eastAsia="Times New Roman" w:hAnsi="Meta Pro"/>
          <w:szCs w:val="18"/>
          <w:lang w:eastAsia="en-AU"/>
        </w:rPr>
      </w:pPr>
    </w:p>
    <w:p w14:paraId="3B619711" w14:textId="77777777" w:rsidR="00BC5219" w:rsidRPr="008A2B8F" w:rsidRDefault="00BC5219" w:rsidP="00BC5219">
      <w:pPr>
        <w:pStyle w:val="ACPPara"/>
        <w:spacing w:after="0" w:line="17" w:lineRule="auto"/>
        <w:ind w:left="6"/>
      </w:pPr>
    </w:p>
    <w:p w14:paraId="29ED40B7" w14:textId="77777777" w:rsidR="00BC5219" w:rsidRPr="008A2B8F" w:rsidRDefault="00BC5219" w:rsidP="00BC5219">
      <w:pPr>
        <w:pStyle w:val="ACPPara"/>
        <w:spacing w:before="120"/>
        <w:ind w:left="6"/>
        <w:sectPr w:rsidR="00BC5219" w:rsidRPr="008A2B8F" w:rsidSect="005C57D3">
          <w:headerReference w:type="default" r:id="rId103"/>
          <w:footerReference w:type="default" r:id="rId104"/>
          <w:type w:val="continuous"/>
          <w:pgSz w:w="11906" w:h="16838"/>
          <w:pgMar w:top="1701" w:right="851" w:bottom="1134" w:left="851" w:header="454" w:footer="454" w:gutter="0"/>
          <w:pgNumType w:start="11"/>
          <w:cols w:space="708"/>
          <w:docGrid w:linePitch="360"/>
        </w:sectPr>
      </w:pPr>
      <w:r w:rsidRPr="008A2B8F">
        <w:t>The estimation of useful life and the resulting amortisation rates applied are based on a number of factors including expected usage, obsolescence, past experience and the department's planned replacement program. These are reviewed on an annual basis.</w:t>
      </w:r>
    </w:p>
    <w:p w14:paraId="0DD888A5" w14:textId="77777777" w:rsidR="00BC5219" w:rsidRPr="008A2B8F" w:rsidRDefault="00BC5219" w:rsidP="00BC5219">
      <w:pPr>
        <w:tabs>
          <w:tab w:val="left" w:pos="663"/>
        </w:tabs>
        <w:rPr>
          <w:rFonts w:ascii="Meta Pro" w:hAnsi="Meta Pro"/>
        </w:rPr>
        <w:sectPr w:rsidR="00BC5219" w:rsidRPr="008A2B8F" w:rsidSect="003F37B7">
          <w:headerReference w:type="default" r:id="rId105"/>
          <w:footerReference w:type="default" r:id="rId106"/>
          <w:type w:val="continuous"/>
          <w:pgSz w:w="11906" w:h="16838"/>
          <w:pgMar w:top="1701" w:right="851" w:bottom="1134" w:left="851" w:header="454" w:footer="284" w:gutter="0"/>
          <w:pgNumType w:start="11"/>
          <w:cols w:space="708"/>
          <w:docGrid w:linePitch="360"/>
        </w:sectPr>
      </w:pPr>
    </w:p>
    <w:p w14:paraId="46FEE574" w14:textId="77777777" w:rsidR="00BC5219" w:rsidRPr="008A2B8F" w:rsidRDefault="00BC5219" w:rsidP="00BC5219">
      <w:pPr>
        <w:pStyle w:val="Header"/>
        <w:rPr>
          <w:rFonts w:ascii="Meta Pro" w:hAnsi="Meta Pro"/>
          <w:i/>
          <w:iCs/>
          <w:sz w:val="22"/>
        </w:rPr>
      </w:pPr>
      <w:r w:rsidRPr="008A2B8F">
        <w:rPr>
          <w:rFonts w:ascii="Meta Pro" w:hAnsi="Meta Pro"/>
          <w:i/>
          <w:iCs/>
          <w:sz w:val="22"/>
        </w:rPr>
        <w:lastRenderedPageBreak/>
        <w:t>Department of Transport and Main Roads</w:t>
      </w:r>
    </w:p>
    <w:p w14:paraId="3BB55FDE" w14:textId="4F82BC48" w:rsidR="00BC5219" w:rsidRPr="008A2B8F" w:rsidRDefault="00C42478" w:rsidP="00BC5219">
      <w:pPr>
        <w:pStyle w:val="Header"/>
        <w:rPr>
          <w:rFonts w:ascii="Meta Pro" w:hAnsi="Meta Pro"/>
          <w:sz w:val="22"/>
        </w:rPr>
      </w:pPr>
      <w:r>
        <w:rPr>
          <w:noProof/>
        </w:rPr>
        <mc:AlternateContent>
          <mc:Choice Requires="wps">
            <w:drawing>
              <wp:inline distT="0" distB="0" distL="0" distR="0" wp14:anchorId="5EF98F32" wp14:editId="52A033D7">
                <wp:extent cx="8857615" cy="0"/>
                <wp:effectExtent l="0" t="0" r="0" b="0"/>
                <wp:docPr id="24" name="Straight Connector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576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B3C4A96" id="Straight Connector 24" o:spid="_x0000_s1026" alt="&quot;&quot;" style="visibility:visible;mso-wrap-style:square;mso-left-percent:-10001;mso-top-percent:-10001;mso-position-horizontal:absolute;mso-position-horizontal-relative:char;mso-position-vertical:absolute;mso-position-vertical-relative:line;mso-left-percent:-10001;mso-top-percent:-10001" from="0,0" to="697.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" strokecolor="black [3200]" strokeweight=".5pt">
                <v:stroke joinstyle="miter"/>
                <o:lock v:ext="edit" shapetype="f"/>
                <w10:anchorlock/>
              </v:line>
            </w:pict>
          </mc:Fallback>
        </mc:AlternateContent>
      </w:r>
      <w:r w:rsidR="00BC5219" w:rsidRPr="008A2B8F">
        <w:rPr>
          <w:rFonts w:ascii="Meta Pro" w:hAnsi="Meta Pro"/>
          <w:sz w:val="22"/>
        </w:rPr>
        <w:t>Notes to the financial statements 2022–23 (continued)</w:t>
      </w:r>
    </w:p>
    <w:p w14:paraId="382BA17D" w14:textId="77777777" w:rsidR="00BC5219" w:rsidRPr="008A2B8F" w:rsidRDefault="00BC5219" w:rsidP="00BC5219">
      <w:pPr>
        <w:spacing w:line="60" w:lineRule="exact"/>
        <w:rPr>
          <w:rFonts w:ascii="Meta Pro" w:hAnsi="Meta Pro" w:cstheme="minorBidi"/>
        </w:rPr>
      </w:pPr>
    </w:p>
    <w:p w14:paraId="7CDF0A14" w14:textId="77777777" w:rsidR="00BC5219" w:rsidRPr="00961B53" w:rsidRDefault="00BC5219" w:rsidP="00BC5219">
      <w:pPr>
        <w:spacing w:line="160" w:lineRule="exact"/>
        <w:rPr>
          <w:rFonts w:ascii="Meta Pro" w:hAnsi="Meta Pro" w:cstheme="minorBidi"/>
        </w:rPr>
      </w:pPr>
    </w:p>
    <w:tbl>
      <w:tblPr>
        <w:tblW w:w="0" w:type="auto"/>
        <w:tblCellMar>
          <w:left w:w="0" w:type="dxa"/>
        </w:tblCellMar>
        <w:tblLook w:val="04A0" w:firstRow="1" w:lastRow="0" w:firstColumn="1" w:lastColumn="0" w:noHBand="0" w:noVBand="1"/>
      </w:tblPr>
      <w:tblGrid>
        <w:gridCol w:w="4934"/>
        <w:gridCol w:w="1197"/>
        <w:gridCol w:w="114"/>
        <w:gridCol w:w="1198"/>
        <w:gridCol w:w="114"/>
        <w:gridCol w:w="1198"/>
        <w:gridCol w:w="114"/>
        <w:gridCol w:w="1198"/>
        <w:gridCol w:w="114"/>
        <w:gridCol w:w="1198"/>
        <w:gridCol w:w="114"/>
        <w:gridCol w:w="1198"/>
        <w:gridCol w:w="114"/>
        <w:gridCol w:w="1198"/>
      </w:tblGrid>
      <w:tr w:rsidR="00BC5219" w:rsidRPr="00961B53" w14:paraId="7B380B1D" w14:textId="77777777" w:rsidTr="00E83802">
        <w:trPr>
          <w:trHeight w:val="198"/>
        </w:trPr>
        <w:tc>
          <w:tcPr>
            <w:tcW w:w="79" w:type="dxa"/>
            <w:gridSpan w:val="14"/>
            <w:tcBorders>
              <w:top w:val="nil"/>
              <w:left w:val="nil"/>
              <w:bottom w:val="nil"/>
              <w:right w:val="nil"/>
            </w:tcBorders>
            <w:shd w:val="clear" w:color="auto" w:fill="auto"/>
            <w:noWrap/>
            <w:vAlign w:val="center"/>
            <w:hideMark/>
          </w:tcPr>
          <w:p w14:paraId="1392A105" w14:textId="77777777" w:rsidR="00BC5219" w:rsidRPr="00961B53" w:rsidRDefault="00BC5219" w:rsidP="00E83802">
            <w:pPr>
              <w:rPr>
                <w:rFonts w:ascii="Meta Pro" w:eastAsia="Times New Roman" w:hAnsi="Meta Pro"/>
                <w:b/>
                <w:bCs/>
                <w:lang w:eastAsia="en-AU"/>
              </w:rPr>
            </w:pPr>
            <w:r w:rsidRPr="00961B53">
              <w:rPr>
                <w:rFonts w:ascii="Meta Pro" w:eastAsia="Times New Roman" w:hAnsi="Meta Pro"/>
                <w:b/>
                <w:bCs/>
                <w:lang w:eastAsia="en-AU"/>
              </w:rPr>
              <w:t>15     PROPERTY, PLANT AND EQUIPMENT</w:t>
            </w:r>
          </w:p>
        </w:tc>
      </w:tr>
      <w:tr w:rsidR="00BC5219" w:rsidRPr="00961B53" w14:paraId="0B6D8763" w14:textId="77777777" w:rsidTr="00E83802">
        <w:trPr>
          <w:trHeight w:val="198"/>
        </w:trPr>
        <w:tc>
          <w:tcPr>
            <w:tcW w:w="4933" w:type="dxa"/>
            <w:tcBorders>
              <w:top w:val="nil"/>
              <w:left w:val="nil"/>
              <w:bottom w:val="nil"/>
              <w:right w:val="nil"/>
            </w:tcBorders>
            <w:shd w:val="clear" w:color="auto" w:fill="auto"/>
            <w:noWrap/>
            <w:vAlign w:val="center"/>
            <w:hideMark/>
          </w:tcPr>
          <w:p w14:paraId="300F509F" w14:textId="77777777" w:rsidR="00BC5219" w:rsidRPr="00961B53" w:rsidRDefault="00BC5219" w:rsidP="00E83802">
            <w:pPr>
              <w:rPr>
                <w:rFonts w:ascii="Meta Pro" w:eastAsia="Times New Roman" w:hAnsi="Meta Pro"/>
                <w:b/>
                <w:bCs/>
                <w:lang w:eastAsia="en-AU"/>
              </w:rPr>
            </w:pPr>
          </w:p>
        </w:tc>
        <w:tc>
          <w:tcPr>
            <w:tcW w:w="1191" w:type="dxa"/>
            <w:tcBorders>
              <w:top w:val="nil"/>
              <w:left w:val="nil"/>
              <w:bottom w:val="nil"/>
              <w:right w:val="nil"/>
            </w:tcBorders>
            <w:shd w:val="clear" w:color="auto" w:fill="auto"/>
            <w:noWrap/>
            <w:vAlign w:val="center"/>
            <w:hideMark/>
          </w:tcPr>
          <w:p w14:paraId="5694AB9E" w14:textId="77777777" w:rsidR="00BC5219" w:rsidRPr="00961B53" w:rsidRDefault="00BC5219" w:rsidP="00E83802">
            <w:pPr>
              <w:rPr>
                <w:rFonts w:ascii="Meta Pro" w:eastAsia="Times New Roman" w:hAnsi="Meta Pro" w:cs="Times New Roman"/>
                <w:sz w:val="20"/>
                <w:szCs w:val="20"/>
                <w:lang w:eastAsia="en-AU"/>
              </w:rPr>
            </w:pPr>
          </w:p>
        </w:tc>
        <w:tc>
          <w:tcPr>
            <w:tcW w:w="79" w:type="dxa"/>
            <w:tcBorders>
              <w:top w:val="nil"/>
              <w:left w:val="nil"/>
              <w:bottom w:val="nil"/>
              <w:right w:val="nil"/>
            </w:tcBorders>
            <w:shd w:val="clear" w:color="auto" w:fill="auto"/>
            <w:noWrap/>
            <w:vAlign w:val="center"/>
            <w:hideMark/>
          </w:tcPr>
          <w:p w14:paraId="2088ADA8" w14:textId="77777777" w:rsidR="00BC5219" w:rsidRPr="00961B53" w:rsidRDefault="00BC5219" w:rsidP="00E83802">
            <w:pP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367AD708" w14:textId="77777777" w:rsidR="00BC5219" w:rsidRPr="00961B53" w:rsidRDefault="00BC5219" w:rsidP="00E83802">
            <w:pPr>
              <w:rPr>
                <w:rFonts w:ascii="Meta Pro" w:eastAsia="Times New Roman" w:hAnsi="Meta Pro" w:cs="Times New Roman"/>
                <w:sz w:val="20"/>
                <w:szCs w:val="20"/>
                <w:lang w:eastAsia="en-AU"/>
              </w:rPr>
            </w:pPr>
          </w:p>
        </w:tc>
        <w:tc>
          <w:tcPr>
            <w:tcW w:w="79" w:type="dxa"/>
            <w:tcBorders>
              <w:top w:val="nil"/>
              <w:left w:val="nil"/>
              <w:bottom w:val="nil"/>
              <w:right w:val="nil"/>
            </w:tcBorders>
            <w:shd w:val="clear" w:color="auto" w:fill="auto"/>
            <w:noWrap/>
            <w:vAlign w:val="center"/>
            <w:hideMark/>
          </w:tcPr>
          <w:p w14:paraId="21980EF2" w14:textId="77777777" w:rsidR="00BC5219" w:rsidRPr="00961B53" w:rsidRDefault="00BC5219" w:rsidP="00E83802">
            <w:pP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618226DD" w14:textId="77777777" w:rsidR="00BC5219" w:rsidRPr="00961B53" w:rsidRDefault="00BC5219" w:rsidP="00E83802">
            <w:pPr>
              <w:rPr>
                <w:rFonts w:ascii="Meta Pro" w:eastAsia="Times New Roman" w:hAnsi="Meta Pro" w:cs="Times New Roman"/>
                <w:sz w:val="20"/>
                <w:szCs w:val="20"/>
                <w:lang w:eastAsia="en-AU"/>
              </w:rPr>
            </w:pPr>
          </w:p>
        </w:tc>
        <w:tc>
          <w:tcPr>
            <w:tcW w:w="79" w:type="dxa"/>
            <w:tcBorders>
              <w:top w:val="nil"/>
              <w:left w:val="nil"/>
              <w:bottom w:val="nil"/>
              <w:right w:val="nil"/>
            </w:tcBorders>
            <w:shd w:val="clear" w:color="auto" w:fill="auto"/>
            <w:noWrap/>
            <w:vAlign w:val="center"/>
            <w:hideMark/>
          </w:tcPr>
          <w:p w14:paraId="5919DB07" w14:textId="77777777" w:rsidR="00BC5219" w:rsidRPr="00961B53" w:rsidRDefault="00BC5219" w:rsidP="00E83802">
            <w:pP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4FF48737" w14:textId="77777777" w:rsidR="00BC5219" w:rsidRPr="00961B53" w:rsidRDefault="00BC5219" w:rsidP="00E83802">
            <w:pPr>
              <w:rPr>
                <w:rFonts w:ascii="Meta Pro" w:eastAsia="Times New Roman" w:hAnsi="Meta Pro" w:cs="Times New Roman"/>
                <w:sz w:val="20"/>
                <w:szCs w:val="20"/>
                <w:lang w:eastAsia="en-AU"/>
              </w:rPr>
            </w:pPr>
          </w:p>
        </w:tc>
        <w:tc>
          <w:tcPr>
            <w:tcW w:w="79" w:type="dxa"/>
            <w:tcBorders>
              <w:top w:val="nil"/>
              <w:left w:val="nil"/>
              <w:bottom w:val="nil"/>
              <w:right w:val="nil"/>
            </w:tcBorders>
            <w:shd w:val="clear" w:color="auto" w:fill="auto"/>
            <w:noWrap/>
            <w:vAlign w:val="center"/>
            <w:hideMark/>
          </w:tcPr>
          <w:p w14:paraId="72F4237E" w14:textId="77777777" w:rsidR="00BC5219" w:rsidRPr="00961B53" w:rsidRDefault="00BC5219" w:rsidP="00E83802">
            <w:pP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1B0282CD" w14:textId="77777777" w:rsidR="00BC5219" w:rsidRPr="00961B53" w:rsidRDefault="00BC5219" w:rsidP="00E83802">
            <w:pPr>
              <w:rPr>
                <w:rFonts w:ascii="Meta Pro" w:eastAsia="Times New Roman" w:hAnsi="Meta Pro" w:cs="Times New Roman"/>
                <w:sz w:val="20"/>
                <w:szCs w:val="20"/>
                <w:lang w:eastAsia="en-AU"/>
              </w:rPr>
            </w:pPr>
          </w:p>
        </w:tc>
        <w:tc>
          <w:tcPr>
            <w:tcW w:w="79" w:type="dxa"/>
            <w:tcBorders>
              <w:top w:val="nil"/>
              <w:left w:val="nil"/>
              <w:bottom w:val="nil"/>
              <w:right w:val="nil"/>
            </w:tcBorders>
            <w:shd w:val="clear" w:color="auto" w:fill="auto"/>
            <w:noWrap/>
            <w:vAlign w:val="center"/>
            <w:hideMark/>
          </w:tcPr>
          <w:p w14:paraId="4A60A6D9" w14:textId="77777777" w:rsidR="00BC5219" w:rsidRPr="00961B53" w:rsidRDefault="00BC5219" w:rsidP="00E83802">
            <w:pP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78EDAB65" w14:textId="77777777" w:rsidR="00BC5219" w:rsidRPr="00961B53" w:rsidRDefault="00BC5219" w:rsidP="00E83802">
            <w:pPr>
              <w:rPr>
                <w:rFonts w:ascii="Meta Pro" w:eastAsia="Times New Roman" w:hAnsi="Meta Pro" w:cs="Times New Roman"/>
                <w:sz w:val="20"/>
                <w:szCs w:val="20"/>
                <w:lang w:eastAsia="en-AU"/>
              </w:rPr>
            </w:pPr>
          </w:p>
        </w:tc>
        <w:tc>
          <w:tcPr>
            <w:tcW w:w="79" w:type="dxa"/>
            <w:tcBorders>
              <w:top w:val="nil"/>
              <w:left w:val="nil"/>
              <w:bottom w:val="nil"/>
              <w:right w:val="nil"/>
            </w:tcBorders>
            <w:shd w:val="clear" w:color="auto" w:fill="auto"/>
            <w:noWrap/>
            <w:vAlign w:val="center"/>
            <w:hideMark/>
          </w:tcPr>
          <w:p w14:paraId="50D5365B" w14:textId="77777777" w:rsidR="00BC5219" w:rsidRPr="00961B53" w:rsidRDefault="00BC5219" w:rsidP="00E83802">
            <w:pP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1E9313DB" w14:textId="77777777" w:rsidR="00BC5219" w:rsidRPr="00961B53" w:rsidRDefault="00BC5219" w:rsidP="00E83802">
            <w:pPr>
              <w:rPr>
                <w:rFonts w:ascii="Meta Pro" w:eastAsia="Times New Roman" w:hAnsi="Meta Pro" w:cs="Times New Roman"/>
                <w:sz w:val="20"/>
                <w:szCs w:val="20"/>
                <w:lang w:eastAsia="en-AU"/>
              </w:rPr>
            </w:pPr>
          </w:p>
        </w:tc>
      </w:tr>
      <w:tr w:rsidR="00BC5219" w:rsidRPr="00961B53" w14:paraId="25389AB2" w14:textId="77777777" w:rsidTr="00E83802">
        <w:trPr>
          <w:trHeight w:val="198"/>
        </w:trPr>
        <w:tc>
          <w:tcPr>
            <w:tcW w:w="4933" w:type="dxa"/>
            <w:tcBorders>
              <w:top w:val="nil"/>
              <w:left w:val="nil"/>
              <w:bottom w:val="nil"/>
              <w:right w:val="nil"/>
            </w:tcBorders>
            <w:shd w:val="clear" w:color="auto" w:fill="auto"/>
            <w:noWrap/>
            <w:vAlign w:val="center"/>
            <w:hideMark/>
          </w:tcPr>
          <w:p w14:paraId="03EF97BE" w14:textId="77777777" w:rsidR="00BC5219" w:rsidRPr="00961B53" w:rsidRDefault="00BC5219" w:rsidP="00E83802">
            <w:pP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vAlign w:val="center"/>
            <w:hideMark/>
          </w:tcPr>
          <w:p w14:paraId="199CFF09" w14:textId="77777777" w:rsidR="00BC5219" w:rsidRPr="00961B53" w:rsidRDefault="00BC5219" w:rsidP="00E83802">
            <w:pPr>
              <w:jc w:val="center"/>
              <w:rPr>
                <w:rFonts w:ascii="Meta Pro" w:eastAsia="Times New Roman" w:hAnsi="Meta Pro"/>
                <w:b/>
                <w:bCs/>
                <w:sz w:val="16"/>
                <w:szCs w:val="16"/>
                <w:lang w:eastAsia="en-AU"/>
              </w:rPr>
            </w:pPr>
            <w:r w:rsidRPr="00961B53">
              <w:rPr>
                <w:rFonts w:ascii="Meta Pro" w:eastAsia="Times New Roman" w:hAnsi="Meta Pro"/>
                <w:b/>
                <w:bCs/>
                <w:sz w:val="16"/>
                <w:szCs w:val="16"/>
                <w:lang w:eastAsia="en-AU"/>
              </w:rPr>
              <w:t>Land</w:t>
            </w:r>
          </w:p>
        </w:tc>
        <w:tc>
          <w:tcPr>
            <w:tcW w:w="79" w:type="dxa"/>
            <w:tcBorders>
              <w:top w:val="nil"/>
              <w:left w:val="nil"/>
              <w:bottom w:val="nil"/>
              <w:right w:val="nil"/>
            </w:tcBorders>
            <w:shd w:val="clear" w:color="auto" w:fill="auto"/>
            <w:vAlign w:val="center"/>
            <w:hideMark/>
          </w:tcPr>
          <w:p w14:paraId="36F0B9C9" w14:textId="77777777" w:rsidR="00BC5219" w:rsidRPr="00961B53"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vAlign w:val="center"/>
            <w:hideMark/>
          </w:tcPr>
          <w:p w14:paraId="4C1432BA" w14:textId="77777777" w:rsidR="00BC5219" w:rsidRPr="00961B53" w:rsidRDefault="00BC5219" w:rsidP="00E83802">
            <w:pPr>
              <w:jc w:val="center"/>
              <w:rPr>
                <w:rFonts w:ascii="Meta Pro" w:eastAsia="Times New Roman" w:hAnsi="Meta Pro"/>
                <w:b/>
                <w:bCs/>
                <w:sz w:val="16"/>
                <w:szCs w:val="16"/>
                <w:lang w:eastAsia="en-AU"/>
              </w:rPr>
            </w:pPr>
            <w:r w:rsidRPr="00961B53">
              <w:rPr>
                <w:rFonts w:ascii="Meta Pro" w:eastAsia="Times New Roman" w:hAnsi="Meta Pro"/>
                <w:b/>
                <w:bCs/>
                <w:sz w:val="16"/>
                <w:szCs w:val="16"/>
                <w:lang w:eastAsia="en-AU"/>
              </w:rPr>
              <w:t>Buildings</w:t>
            </w:r>
          </w:p>
        </w:tc>
        <w:tc>
          <w:tcPr>
            <w:tcW w:w="79" w:type="dxa"/>
            <w:tcBorders>
              <w:top w:val="nil"/>
              <w:left w:val="nil"/>
              <w:bottom w:val="nil"/>
              <w:right w:val="nil"/>
            </w:tcBorders>
            <w:shd w:val="clear" w:color="auto" w:fill="auto"/>
            <w:vAlign w:val="center"/>
            <w:hideMark/>
          </w:tcPr>
          <w:p w14:paraId="3DEAFA30" w14:textId="77777777" w:rsidR="00BC5219" w:rsidRPr="00961B53"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vAlign w:val="center"/>
            <w:hideMark/>
          </w:tcPr>
          <w:p w14:paraId="7A8CDD80" w14:textId="77777777" w:rsidR="00BC5219" w:rsidRPr="00961B53" w:rsidRDefault="00BC5219" w:rsidP="00E83802">
            <w:pPr>
              <w:jc w:val="center"/>
              <w:rPr>
                <w:rFonts w:ascii="Meta Pro" w:eastAsia="Times New Roman" w:hAnsi="Meta Pro"/>
                <w:b/>
                <w:bCs/>
                <w:sz w:val="16"/>
                <w:szCs w:val="16"/>
                <w:lang w:eastAsia="en-AU"/>
              </w:rPr>
            </w:pPr>
            <w:r w:rsidRPr="00961B53">
              <w:rPr>
                <w:rFonts w:ascii="Meta Pro" w:eastAsia="Times New Roman" w:hAnsi="Meta Pro"/>
                <w:b/>
                <w:bCs/>
                <w:sz w:val="16"/>
                <w:szCs w:val="16"/>
                <w:lang w:eastAsia="en-AU"/>
              </w:rPr>
              <w:t xml:space="preserve">Plant and </w:t>
            </w:r>
          </w:p>
        </w:tc>
        <w:tc>
          <w:tcPr>
            <w:tcW w:w="79" w:type="dxa"/>
            <w:tcBorders>
              <w:top w:val="nil"/>
              <w:left w:val="nil"/>
              <w:bottom w:val="nil"/>
              <w:right w:val="nil"/>
            </w:tcBorders>
            <w:shd w:val="clear" w:color="auto" w:fill="auto"/>
            <w:vAlign w:val="center"/>
            <w:hideMark/>
          </w:tcPr>
          <w:p w14:paraId="091A5E15" w14:textId="77777777" w:rsidR="00BC5219" w:rsidRPr="00961B53"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vAlign w:val="center"/>
            <w:hideMark/>
          </w:tcPr>
          <w:p w14:paraId="5397F25E" w14:textId="77777777" w:rsidR="00BC5219" w:rsidRPr="00961B53" w:rsidRDefault="00BC5219" w:rsidP="00E83802">
            <w:pPr>
              <w:jc w:val="center"/>
              <w:rPr>
                <w:rFonts w:ascii="Meta Pro" w:eastAsia="Times New Roman" w:hAnsi="Meta Pro"/>
                <w:b/>
                <w:bCs/>
                <w:sz w:val="16"/>
                <w:szCs w:val="16"/>
                <w:lang w:eastAsia="en-AU"/>
              </w:rPr>
            </w:pPr>
            <w:r w:rsidRPr="00961B53">
              <w:rPr>
                <w:rFonts w:ascii="Meta Pro" w:eastAsia="Times New Roman" w:hAnsi="Meta Pro"/>
                <w:b/>
                <w:bCs/>
                <w:sz w:val="16"/>
                <w:szCs w:val="16"/>
                <w:lang w:eastAsia="en-AU"/>
              </w:rPr>
              <w:t>Major plant</w:t>
            </w:r>
          </w:p>
        </w:tc>
        <w:tc>
          <w:tcPr>
            <w:tcW w:w="79" w:type="dxa"/>
            <w:tcBorders>
              <w:top w:val="nil"/>
              <w:left w:val="nil"/>
              <w:bottom w:val="nil"/>
              <w:right w:val="nil"/>
            </w:tcBorders>
            <w:shd w:val="clear" w:color="auto" w:fill="auto"/>
            <w:vAlign w:val="center"/>
            <w:hideMark/>
          </w:tcPr>
          <w:p w14:paraId="0739D678" w14:textId="77777777" w:rsidR="00BC5219" w:rsidRPr="00961B53"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vAlign w:val="center"/>
            <w:hideMark/>
          </w:tcPr>
          <w:p w14:paraId="50E576A9" w14:textId="77777777" w:rsidR="00BC5219" w:rsidRPr="00961B53" w:rsidRDefault="00BC5219" w:rsidP="00E83802">
            <w:pPr>
              <w:jc w:val="center"/>
              <w:rPr>
                <w:rFonts w:ascii="Meta Pro" w:eastAsia="Times New Roman" w:hAnsi="Meta Pro"/>
                <w:b/>
                <w:bCs/>
                <w:sz w:val="16"/>
                <w:szCs w:val="16"/>
                <w:lang w:eastAsia="en-AU"/>
              </w:rPr>
            </w:pPr>
            <w:r w:rsidRPr="00961B53">
              <w:rPr>
                <w:rFonts w:ascii="Meta Pro" w:eastAsia="Times New Roman" w:hAnsi="Meta Pro"/>
                <w:b/>
                <w:bCs/>
                <w:sz w:val="16"/>
                <w:szCs w:val="16"/>
                <w:lang w:eastAsia="en-AU"/>
              </w:rPr>
              <w:t xml:space="preserve">Infrastructure </w:t>
            </w:r>
          </w:p>
        </w:tc>
        <w:tc>
          <w:tcPr>
            <w:tcW w:w="79" w:type="dxa"/>
            <w:tcBorders>
              <w:top w:val="nil"/>
              <w:left w:val="nil"/>
              <w:bottom w:val="nil"/>
              <w:right w:val="nil"/>
            </w:tcBorders>
            <w:shd w:val="clear" w:color="auto" w:fill="auto"/>
            <w:vAlign w:val="center"/>
            <w:hideMark/>
          </w:tcPr>
          <w:p w14:paraId="0E060CA9" w14:textId="77777777" w:rsidR="00BC5219" w:rsidRPr="00961B53"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vAlign w:val="center"/>
            <w:hideMark/>
          </w:tcPr>
          <w:p w14:paraId="19206C04" w14:textId="77777777" w:rsidR="00BC5219" w:rsidRPr="00961B53" w:rsidRDefault="00BC5219" w:rsidP="00E83802">
            <w:pPr>
              <w:jc w:val="center"/>
              <w:rPr>
                <w:rFonts w:ascii="Meta Pro" w:eastAsia="Times New Roman" w:hAnsi="Meta Pro"/>
                <w:b/>
                <w:bCs/>
                <w:sz w:val="16"/>
                <w:szCs w:val="16"/>
                <w:lang w:eastAsia="en-AU"/>
              </w:rPr>
            </w:pPr>
            <w:r w:rsidRPr="00961B53">
              <w:rPr>
                <w:rFonts w:ascii="Meta Pro" w:eastAsia="Times New Roman" w:hAnsi="Meta Pro"/>
                <w:b/>
                <w:bCs/>
                <w:sz w:val="16"/>
                <w:szCs w:val="16"/>
                <w:lang w:eastAsia="en-AU"/>
              </w:rPr>
              <w:t>Work in</w:t>
            </w:r>
          </w:p>
        </w:tc>
        <w:tc>
          <w:tcPr>
            <w:tcW w:w="79" w:type="dxa"/>
            <w:tcBorders>
              <w:top w:val="nil"/>
              <w:left w:val="nil"/>
              <w:bottom w:val="nil"/>
              <w:right w:val="nil"/>
            </w:tcBorders>
            <w:shd w:val="clear" w:color="auto" w:fill="auto"/>
            <w:vAlign w:val="center"/>
            <w:hideMark/>
          </w:tcPr>
          <w:p w14:paraId="0BDC86E9" w14:textId="77777777" w:rsidR="00BC5219" w:rsidRPr="00961B53"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vAlign w:val="center"/>
            <w:hideMark/>
          </w:tcPr>
          <w:p w14:paraId="263047A0" w14:textId="77777777" w:rsidR="00BC5219" w:rsidRPr="00961B53" w:rsidRDefault="00BC5219" w:rsidP="00E83802">
            <w:pPr>
              <w:jc w:val="center"/>
              <w:rPr>
                <w:rFonts w:ascii="Meta Pro" w:eastAsia="Times New Roman" w:hAnsi="Meta Pro"/>
                <w:b/>
                <w:bCs/>
                <w:sz w:val="16"/>
                <w:szCs w:val="16"/>
                <w:lang w:eastAsia="en-AU"/>
              </w:rPr>
            </w:pPr>
            <w:r w:rsidRPr="00961B53">
              <w:rPr>
                <w:rFonts w:ascii="Meta Pro" w:eastAsia="Times New Roman" w:hAnsi="Meta Pro"/>
                <w:b/>
                <w:bCs/>
                <w:sz w:val="16"/>
                <w:szCs w:val="16"/>
                <w:lang w:eastAsia="en-AU"/>
              </w:rPr>
              <w:t>Total</w:t>
            </w:r>
          </w:p>
        </w:tc>
      </w:tr>
      <w:tr w:rsidR="00BC5219" w:rsidRPr="00961B53" w14:paraId="0E18D987" w14:textId="77777777" w:rsidTr="00E83802">
        <w:trPr>
          <w:trHeight w:val="198"/>
        </w:trPr>
        <w:tc>
          <w:tcPr>
            <w:tcW w:w="4933" w:type="dxa"/>
            <w:tcBorders>
              <w:top w:val="nil"/>
              <w:left w:val="nil"/>
              <w:bottom w:val="nil"/>
              <w:right w:val="nil"/>
            </w:tcBorders>
            <w:shd w:val="clear" w:color="auto" w:fill="auto"/>
            <w:noWrap/>
            <w:vAlign w:val="center"/>
            <w:hideMark/>
          </w:tcPr>
          <w:p w14:paraId="079362C7" w14:textId="77777777" w:rsidR="00BC5219" w:rsidRPr="00961B53"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vAlign w:val="center"/>
            <w:hideMark/>
          </w:tcPr>
          <w:p w14:paraId="3C41240A" w14:textId="77777777" w:rsidR="00BC5219" w:rsidRPr="00961B53" w:rsidRDefault="00BC5219" w:rsidP="00E83802">
            <w:pPr>
              <w:jc w:val="center"/>
              <w:rPr>
                <w:rFonts w:ascii="Meta Pro" w:eastAsia="Times New Roman" w:hAnsi="Meta Pro" w:cs="Times New Roman"/>
                <w:sz w:val="20"/>
                <w:szCs w:val="20"/>
                <w:lang w:eastAsia="en-AU"/>
              </w:rPr>
            </w:pPr>
          </w:p>
        </w:tc>
        <w:tc>
          <w:tcPr>
            <w:tcW w:w="79" w:type="dxa"/>
            <w:tcBorders>
              <w:top w:val="nil"/>
              <w:left w:val="nil"/>
              <w:bottom w:val="nil"/>
              <w:right w:val="nil"/>
            </w:tcBorders>
            <w:shd w:val="clear" w:color="auto" w:fill="auto"/>
            <w:vAlign w:val="center"/>
            <w:hideMark/>
          </w:tcPr>
          <w:p w14:paraId="2A1072DE" w14:textId="77777777" w:rsidR="00BC5219" w:rsidRPr="00961B53" w:rsidRDefault="00BC5219" w:rsidP="00E83802">
            <w:pPr>
              <w:jc w:val="cente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vAlign w:val="center"/>
            <w:hideMark/>
          </w:tcPr>
          <w:p w14:paraId="54138351" w14:textId="77777777" w:rsidR="00BC5219" w:rsidRPr="00961B53" w:rsidRDefault="00BC5219" w:rsidP="00E83802">
            <w:pPr>
              <w:jc w:val="center"/>
              <w:rPr>
                <w:rFonts w:ascii="Meta Pro" w:eastAsia="Times New Roman" w:hAnsi="Meta Pro" w:cs="Times New Roman"/>
                <w:sz w:val="20"/>
                <w:szCs w:val="20"/>
                <w:lang w:eastAsia="en-AU"/>
              </w:rPr>
            </w:pPr>
          </w:p>
        </w:tc>
        <w:tc>
          <w:tcPr>
            <w:tcW w:w="79" w:type="dxa"/>
            <w:tcBorders>
              <w:top w:val="nil"/>
              <w:left w:val="nil"/>
              <w:bottom w:val="nil"/>
              <w:right w:val="nil"/>
            </w:tcBorders>
            <w:shd w:val="clear" w:color="auto" w:fill="auto"/>
            <w:vAlign w:val="center"/>
            <w:hideMark/>
          </w:tcPr>
          <w:p w14:paraId="0BA19E02" w14:textId="77777777" w:rsidR="00BC5219" w:rsidRPr="00961B53" w:rsidRDefault="00BC5219" w:rsidP="00E83802">
            <w:pPr>
              <w:jc w:val="cente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vAlign w:val="center"/>
            <w:hideMark/>
          </w:tcPr>
          <w:p w14:paraId="52377590" w14:textId="77777777" w:rsidR="00BC5219" w:rsidRPr="00961B53" w:rsidRDefault="00BC5219" w:rsidP="00E83802">
            <w:pPr>
              <w:jc w:val="center"/>
              <w:rPr>
                <w:rFonts w:ascii="Meta Pro" w:eastAsia="Times New Roman" w:hAnsi="Meta Pro"/>
                <w:b/>
                <w:bCs/>
                <w:sz w:val="16"/>
                <w:szCs w:val="16"/>
                <w:lang w:eastAsia="en-AU"/>
              </w:rPr>
            </w:pPr>
            <w:r w:rsidRPr="00961B53">
              <w:rPr>
                <w:rFonts w:ascii="Meta Pro" w:eastAsia="Times New Roman" w:hAnsi="Meta Pro"/>
                <w:b/>
                <w:bCs/>
                <w:sz w:val="16"/>
                <w:szCs w:val="16"/>
                <w:lang w:eastAsia="en-AU"/>
              </w:rPr>
              <w:t>equipment</w:t>
            </w:r>
          </w:p>
        </w:tc>
        <w:tc>
          <w:tcPr>
            <w:tcW w:w="79" w:type="dxa"/>
            <w:tcBorders>
              <w:top w:val="nil"/>
              <w:left w:val="nil"/>
              <w:bottom w:val="nil"/>
              <w:right w:val="nil"/>
            </w:tcBorders>
            <w:shd w:val="clear" w:color="auto" w:fill="auto"/>
            <w:vAlign w:val="center"/>
            <w:hideMark/>
          </w:tcPr>
          <w:p w14:paraId="34A5F00D" w14:textId="77777777" w:rsidR="00BC5219" w:rsidRPr="00961B53"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noWrap/>
            <w:vAlign w:val="center"/>
            <w:hideMark/>
          </w:tcPr>
          <w:p w14:paraId="5CF6FB49" w14:textId="77777777" w:rsidR="00BC5219" w:rsidRPr="00961B53" w:rsidRDefault="00BC5219" w:rsidP="00E83802">
            <w:pPr>
              <w:jc w:val="center"/>
              <w:rPr>
                <w:rFonts w:ascii="Meta Pro" w:eastAsia="Times New Roman" w:hAnsi="Meta Pro"/>
                <w:b/>
                <w:bCs/>
                <w:sz w:val="16"/>
                <w:szCs w:val="16"/>
                <w:lang w:eastAsia="en-AU"/>
              </w:rPr>
            </w:pPr>
            <w:r w:rsidRPr="00961B53">
              <w:rPr>
                <w:rFonts w:ascii="Meta Pro" w:eastAsia="Times New Roman" w:hAnsi="Meta Pro"/>
                <w:b/>
                <w:bCs/>
                <w:sz w:val="16"/>
                <w:szCs w:val="16"/>
                <w:lang w:eastAsia="en-AU"/>
              </w:rPr>
              <w:t xml:space="preserve"> and</w:t>
            </w:r>
          </w:p>
        </w:tc>
        <w:tc>
          <w:tcPr>
            <w:tcW w:w="79" w:type="dxa"/>
            <w:tcBorders>
              <w:top w:val="nil"/>
              <w:left w:val="nil"/>
              <w:bottom w:val="nil"/>
              <w:right w:val="nil"/>
            </w:tcBorders>
            <w:shd w:val="clear" w:color="auto" w:fill="auto"/>
            <w:vAlign w:val="center"/>
            <w:hideMark/>
          </w:tcPr>
          <w:p w14:paraId="0A131430" w14:textId="77777777" w:rsidR="00BC5219" w:rsidRPr="00961B53"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vAlign w:val="center"/>
            <w:hideMark/>
          </w:tcPr>
          <w:p w14:paraId="18FA21CC" w14:textId="77777777" w:rsidR="00BC5219" w:rsidRPr="00961B53" w:rsidRDefault="00BC5219" w:rsidP="00E83802">
            <w:pPr>
              <w:jc w:val="center"/>
              <w:rPr>
                <w:rFonts w:ascii="Meta Pro" w:eastAsia="Times New Roman" w:hAnsi="Meta Pro"/>
                <w:b/>
                <w:bCs/>
                <w:sz w:val="16"/>
                <w:szCs w:val="16"/>
                <w:lang w:eastAsia="en-AU"/>
              </w:rPr>
            </w:pPr>
            <w:r w:rsidRPr="00961B53">
              <w:rPr>
                <w:rFonts w:ascii="Meta Pro" w:eastAsia="Times New Roman" w:hAnsi="Meta Pro"/>
                <w:b/>
                <w:bCs/>
                <w:sz w:val="16"/>
                <w:szCs w:val="16"/>
                <w:lang w:eastAsia="en-AU"/>
              </w:rPr>
              <w:t>* **</w:t>
            </w:r>
          </w:p>
        </w:tc>
        <w:tc>
          <w:tcPr>
            <w:tcW w:w="79" w:type="dxa"/>
            <w:tcBorders>
              <w:top w:val="nil"/>
              <w:left w:val="nil"/>
              <w:bottom w:val="nil"/>
              <w:right w:val="nil"/>
            </w:tcBorders>
            <w:shd w:val="clear" w:color="auto" w:fill="auto"/>
            <w:vAlign w:val="center"/>
            <w:hideMark/>
          </w:tcPr>
          <w:p w14:paraId="4EEF56F7" w14:textId="77777777" w:rsidR="00BC5219" w:rsidRPr="00961B53"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vAlign w:val="center"/>
            <w:hideMark/>
          </w:tcPr>
          <w:p w14:paraId="4EE822FD" w14:textId="77777777" w:rsidR="00BC5219" w:rsidRPr="00961B53" w:rsidRDefault="00BC5219" w:rsidP="00E83802">
            <w:pPr>
              <w:jc w:val="center"/>
              <w:rPr>
                <w:rFonts w:ascii="Meta Pro" w:eastAsia="Times New Roman" w:hAnsi="Meta Pro"/>
                <w:b/>
                <w:bCs/>
                <w:sz w:val="16"/>
                <w:szCs w:val="16"/>
                <w:lang w:eastAsia="en-AU"/>
              </w:rPr>
            </w:pPr>
            <w:r w:rsidRPr="00961B53">
              <w:rPr>
                <w:rFonts w:ascii="Meta Pro" w:eastAsia="Times New Roman" w:hAnsi="Meta Pro"/>
                <w:b/>
                <w:bCs/>
                <w:sz w:val="16"/>
                <w:szCs w:val="16"/>
                <w:lang w:eastAsia="en-AU"/>
              </w:rPr>
              <w:t>progress</w:t>
            </w:r>
          </w:p>
        </w:tc>
        <w:tc>
          <w:tcPr>
            <w:tcW w:w="79" w:type="dxa"/>
            <w:tcBorders>
              <w:top w:val="nil"/>
              <w:left w:val="nil"/>
              <w:bottom w:val="nil"/>
              <w:right w:val="nil"/>
            </w:tcBorders>
            <w:shd w:val="clear" w:color="auto" w:fill="auto"/>
            <w:vAlign w:val="center"/>
            <w:hideMark/>
          </w:tcPr>
          <w:p w14:paraId="3A9314E9" w14:textId="77777777" w:rsidR="00BC5219" w:rsidRPr="00961B53"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vAlign w:val="center"/>
            <w:hideMark/>
          </w:tcPr>
          <w:p w14:paraId="3795EFAF" w14:textId="77777777" w:rsidR="00BC5219" w:rsidRPr="00961B53" w:rsidRDefault="00BC5219" w:rsidP="00E83802">
            <w:pPr>
              <w:jc w:val="center"/>
              <w:rPr>
                <w:rFonts w:ascii="Meta Pro" w:eastAsia="Times New Roman" w:hAnsi="Meta Pro" w:cs="Times New Roman"/>
                <w:sz w:val="20"/>
                <w:szCs w:val="20"/>
                <w:lang w:eastAsia="en-AU"/>
              </w:rPr>
            </w:pPr>
          </w:p>
        </w:tc>
      </w:tr>
      <w:tr w:rsidR="00BC5219" w:rsidRPr="00961B53" w14:paraId="1DFE28B8" w14:textId="77777777" w:rsidTr="00E83802">
        <w:trPr>
          <w:trHeight w:val="198"/>
        </w:trPr>
        <w:tc>
          <w:tcPr>
            <w:tcW w:w="4933" w:type="dxa"/>
            <w:tcBorders>
              <w:top w:val="nil"/>
              <w:left w:val="nil"/>
              <w:bottom w:val="nil"/>
              <w:right w:val="nil"/>
            </w:tcBorders>
            <w:shd w:val="clear" w:color="auto" w:fill="auto"/>
            <w:noWrap/>
            <w:vAlign w:val="center"/>
            <w:hideMark/>
          </w:tcPr>
          <w:p w14:paraId="6A5DD86C" w14:textId="77777777" w:rsidR="00BC5219" w:rsidRPr="00961B53" w:rsidRDefault="00BC5219" w:rsidP="00E83802">
            <w:pPr>
              <w:jc w:val="cente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vAlign w:val="center"/>
            <w:hideMark/>
          </w:tcPr>
          <w:p w14:paraId="2D4492E8" w14:textId="77777777" w:rsidR="00BC5219" w:rsidRPr="00961B53" w:rsidRDefault="00BC5219" w:rsidP="00E83802">
            <w:pPr>
              <w:jc w:val="center"/>
              <w:rPr>
                <w:rFonts w:ascii="Meta Pro" w:eastAsia="Times New Roman" w:hAnsi="Meta Pro" w:cs="Times New Roman"/>
                <w:sz w:val="20"/>
                <w:szCs w:val="20"/>
                <w:lang w:eastAsia="en-AU"/>
              </w:rPr>
            </w:pPr>
          </w:p>
        </w:tc>
        <w:tc>
          <w:tcPr>
            <w:tcW w:w="79" w:type="dxa"/>
            <w:tcBorders>
              <w:top w:val="nil"/>
              <w:left w:val="nil"/>
              <w:bottom w:val="nil"/>
              <w:right w:val="nil"/>
            </w:tcBorders>
            <w:shd w:val="clear" w:color="auto" w:fill="auto"/>
            <w:vAlign w:val="center"/>
            <w:hideMark/>
          </w:tcPr>
          <w:p w14:paraId="3AC4A8CC" w14:textId="77777777" w:rsidR="00BC5219" w:rsidRPr="00961B53" w:rsidRDefault="00BC5219" w:rsidP="00E83802">
            <w:pPr>
              <w:jc w:val="cente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vAlign w:val="center"/>
            <w:hideMark/>
          </w:tcPr>
          <w:p w14:paraId="258C5DC6" w14:textId="77777777" w:rsidR="00BC5219" w:rsidRPr="00961B53" w:rsidRDefault="00BC5219" w:rsidP="00E83802">
            <w:pPr>
              <w:jc w:val="center"/>
              <w:rPr>
                <w:rFonts w:ascii="Meta Pro" w:eastAsia="Times New Roman" w:hAnsi="Meta Pro" w:cs="Times New Roman"/>
                <w:sz w:val="20"/>
                <w:szCs w:val="20"/>
                <w:lang w:eastAsia="en-AU"/>
              </w:rPr>
            </w:pPr>
          </w:p>
        </w:tc>
        <w:tc>
          <w:tcPr>
            <w:tcW w:w="79" w:type="dxa"/>
            <w:tcBorders>
              <w:top w:val="nil"/>
              <w:left w:val="nil"/>
              <w:bottom w:val="nil"/>
              <w:right w:val="nil"/>
            </w:tcBorders>
            <w:shd w:val="clear" w:color="auto" w:fill="auto"/>
            <w:vAlign w:val="center"/>
            <w:hideMark/>
          </w:tcPr>
          <w:p w14:paraId="14F6293C" w14:textId="77777777" w:rsidR="00BC5219" w:rsidRPr="00961B53" w:rsidRDefault="00BC5219" w:rsidP="00E83802">
            <w:pPr>
              <w:jc w:val="cente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vAlign w:val="center"/>
            <w:hideMark/>
          </w:tcPr>
          <w:p w14:paraId="42988E08" w14:textId="77777777" w:rsidR="00BC5219" w:rsidRPr="00961B53" w:rsidRDefault="00BC5219" w:rsidP="00E83802">
            <w:pPr>
              <w:jc w:val="center"/>
              <w:rPr>
                <w:rFonts w:ascii="Meta Pro" w:eastAsia="Times New Roman" w:hAnsi="Meta Pro" w:cs="Times New Roman"/>
                <w:sz w:val="20"/>
                <w:szCs w:val="20"/>
                <w:lang w:eastAsia="en-AU"/>
              </w:rPr>
            </w:pPr>
          </w:p>
        </w:tc>
        <w:tc>
          <w:tcPr>
            <w:tcW w:w="79" w:type="dxa"/>
            <w:tcBorders>
              <w:top w:val="nil"/>
              <w:left w:val="nil"/>
              <w:bottom w:val="nil"/>
              <w:right w:val="nil"/>
            </w:tcBorders>
            <w:shd w:val="clear" w:color="auto" w:fill="auto"/>
            <w:vAlign w:val="center"/>
            <w:hideMark/>
          </w:tcPr>
          <w:p w14:paraId="718D9B53" w14:textId="77777777" w:rsidR="00BC5219" w:rsidRPr="00961B53" w:rsidRDefault="00BC5219" w:rsidP="00E83802">
            <w:pPr>
              <w:jc w:val="cente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608CB7DC" w14:textId="77777777" w:rsidR="00BC5219" w:rsidRPr="00961B53" w:rsidRDefault="00BC5219" w:rsidP="00E83802">
            <w:pPr>
              <w:jc w:val="center"/>
              <w:rPr>
                <w:rFonts w:ascii="Meta Pro" w:eastAsia="Times New Roman" w:hAnsi="Meta Pro"/>
                <w:b/>
                <w:bCs/>
                <w:sz w:val="16"/>
                <w:szCs w:val="16"/>
                <w:lang w:eastAsia="en-AU"/>
              </w:rPr>
            </w:pPr>
            <w:r w:rsidRPr="00961B53">
              <w:rPr>
                <w:rFonts w:ascii="Meta Pro" w:eastAsia="Times New Roman" w:hAnsi="Meta Pro"/>
                <w:b/>
                <w:bCs/>
                <w:sz w:val="16"/>
                <w:szCs w:val="16"/>
                <w:lang w:eastAsia="en-AU"/>
              </w:rPr>
              <w:t>equipment</w:t>
            </w:r>
          </w:p>
        </w:tc>
        <w:tc>
          <w:tcPr>
            <w:tcW w:w="79" w:type="dxa"/>
            <w:tcBorders>
              <w:top w:val="nil"/>
              <w:left w:val="nil"/>
              <w:bottom w:val="nil"/>
              <w:right w:val="nil"/>
            </w:tcBorders>
            <w:shd w:val="clear" w:color="auto" w:fill="auto"/>
            <w:vAlign w:val="center"/>
            <w:hideMark/>
          </w:tcPr>
          <w:p w14:paraId="117664BE" w14:textId="77777777" w:rsidR="00BC5219" w:rsidRPr="00961B53"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vAlign w:val="center"/>
            <w:hideMark/>
          </w:tcPr>
          <w:p w14:paraId="06037D22" w14:textId="77777777" w:rsidR="00BC5219" w:rsidRPr="00961B53" w:rsidRDefault="00BC5219" w:rsidP="00E83802">
            <w:pPr>
              <w:jc w:val="center"/>
              <w:rPr>
                <w:rFonts w:ascii="Meta Pro" w:eastAsia="Times New Roman" w:hAnsi="Meta Pro" w:cs="Times New Roman"/>
                <w:sz w:val="20"/>
                <w:szCs w:val="20"/>
                <w:lang w:eastAsia="en-AU"/>
              </w:rPr>
            </w:pPr>
          </w:p>
        </w:tc>
        <w:tc>
          <w:tcPr>
            <w:tcW w:w="79" w:type="dxa"/>
            <w:tcBorders>
              <w:top w:val="nil"/>
              <w:left w:val="nil"/>
              <w:bottom w:val="nil"/>
              <w:right w:val="nil"/>
            </w:tcBorders>
            <w:shd w:val="clear" w:color="auto" w:fill="auto"/>
            <w:vAlign w:val="center"/>
            <w:hideMark/>
          </w:tcPr>
          <w:p w14:paraId="4EE425FE" w14:textId="77777777" w:rsidR="00BC5219" w:rsidRPr="00961B53" w:rsidRDefault="00BC5219" w:rsidP="00E83802">
            <w:pPr>
              <w:jc w:val="cente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vAlign w:val="center"/>
            <w:hideMark/>
          </w:tcPr>
          <w:p w14:paraId="2192544C" w14:textId="77777777" w:rsidR="00BC5219" w:rsidRPr="00961B53" w:rsidRDefault="00BC5219" w:rsidP="00E83802">
            <w:pPr>
              <w:jc w:val="center"/>
              <w:rPr>
                <w:rFonts w:ascii="Meta Pro" w:eastAsia="Times New Roman" w:hAnsi="Meta Pro" w:cs="Times New Roman"/>
                <w:sz w:val="20"/>
                <w:szCs w:val="20"/>
                <w:lang w:eastAsia="en-AU"/>
              </w:rPr>
            </w:pPr>
          </w:p>
        </w:tc>
        <w:tc>
          <w:tcPr>
            <w:tcW w:w="79" w:type="dxa"/>
            <w:tcBorders>
              <w:top w:val="nil"/>
              <w:left w:val="nil"/>
              <w:bottom w:val="nil"/>
              <w:right w:val="nil"/>
            </w:tcBorders>
            <w:shd w:val="clear" w:color="auto" w:fill="auto"/>
            <w:vAlign w:val="center"/>
            <w:hideMark/>
          </w:tcPr>
          <w:p w14:paraId="05B8A4FB" w14:textId="77777777" w:rsidR="00BC5219" w:rsidRPr="00961B53" w:rsidRDefault="00BC5219" w:rsidP="00E83802">
            <w:pPr>
              <w:jc w:val="cente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vAlign w:val="center"/>
            <w:hideMark/>
          </w:tcPr>
          <w:p w14:paraId="179DDB99" w14:textId="77777777" w:rsidR="00BC5219" w:rsidRPr="00961B53" w:rsidRDefault="00BC5219" w:rsidP="00E83802">
            <w:pPr>
              <w:jc w:val="center"/>
              <w:rPr>
                <w:rFonts w:ascii="Meta Pro" w:eastAsia="Times New Roman" w:hAnsi="Meta Pro" w:cs="Times New Roman"/>
                <w:sz w:val="20"/>
                <w:szCs w:val="20"/>
                <w:lang w:eastAsia="en-AU"/>
              </w:rPr>
            </w:pPr>
          </w:p>
        </w:tc>
      </w:tr>
      <w:tr w:rsidR="00BC5219" w:rsidRPr="00961B53" w14:paraId="527AF293" w14:textId="77777777" w:rsidTr="00E83802">
        <w:trPr>
          <w:trHeight w:val="198"/>
        </w:trPr>
        <w:tc>
          <w:tcPr>
            <w:tcW w:w="4933" w:type="dxa"/>
            <w:tcBorders>
              <w:top w:val="nil"/>
              <w:left w:val="nil"/>
              <w:bottom w:val="nil"/>
              <w:right w:val="nil"/>
            </w:tcBorders>
            <w:shd w:val="clear" w:color="auto" w:fill="auto"/>
            <w:noWrap/>
            <w:vAlign w:val="center"/>
            <w:hideMark/>
          </w:tcPr>
          <w:p w14:paraId="3A6CCDCC" w14:textId="77777777" w:rsidR="00BC5219" w:rsidRPr="00961B53" w:rsidRDefault="00BC5219" w:rsidP="00E83802">
            <w:pPr>
              <w:jc w:val="cente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7B1FD25D" w14:textId="77777777" w:rsidR="00BC5219" w:rsidRPr="00961B53" w:rsidRDefault="00BC5219" w:rsidP="00E83802">
            <w:pPr>
              <w:jc w:val="center"/>
              <w:rPr>
                <w:rFonts w:ascii="Meta Pro" w:eastAsia="Times New Roman" w:hAnsi="Meta Pro"/>
                <w:b/>
                <w:bCs/>
                <w:sz w:val="16"/>
                <w:szCs w:val="16"/>
                <w:lang w:eastAsia="en-AU"/>
              </w:rPr>
            </w:pPr>
            <w:r w:rsidRPr="00961B53">
              <w:rPr>
                <w:rFonts w:ascii="Meta Pro" w:eastAsia="Times New Roman" w:hAnsi="Meta Pro"/>
                <w:b/>
                <w:bCs/>
                <w:sz w:val="16"/>
                <w:szCs w:val="16"/>
                <w:lang w:eastAsia="en-AU"/>
              </w:rPr>
              <w:t>2023</w:t>
            </w:r>
          </w:p>
        </w:tc>
        <w:tc>
          <w:tcPr>
            <w:tcW w:w="79" w:type="dxa"/>
            <w:tcBorders>
              <w:top w:val="nil"/>
              <w:left w:val="nil"/>
              <w:bottom w:val="nil"/>
              <w:right w:val="nil"/>
            </w:tcBorders>
            <w:shd w:val="clear" w:color="auto" w:fill="auto"/>
            <w:noWrap/>
            <w:vAlign w:val="center"/>
            <w:hideMark/>
          </w:tcPr>
          <w:p w14:paraId="0ED63006" w14:textId="77777777" w:rsidR="00BC5219" w:rsidRPr="00961B53"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noWrap/>
            <w:vAlign w:val="center"/>
            <w:hideMark/>
          </w:tcPr>
          <w:p w14:paraId="49FD21EF" w14:textId="77777777" w:rsidR="00BC5219" w:rsidRPr="00961B53" w:rsidRDefault="00BC5219" w:rsidP="00E83802">
            <w:pPr>
              <w:jc w:val="center"/>
              <w:rPr>
                <w:rFonts w:ascii="Meta Pro" w:eastAsia="Times New Roman" w:hAnsi="Meta Pro"/>
                <w:b/>
                <w:bCs/>
                <w:sz w:val="16"/>
                <w:szCs w:val="16"/>
                <w:lang w:eastAsia="en-AU"/>
              </w:rPr>
            </w:pPr>
            <w:r w:rsidRPr="00961B53">
              <w:rPr>
                <w:rFonts w:ascii="Meta Pro" w:eastAsia="Times New Roman" w:hAnsi="Meta Pro"/>
                <w:b/>
                <w:bCs/>
                <w:sz w:val="16"/>
                <w:szCs w:val="16"/>
                <w:lang w:eastAsia="en-AU"/>
              </w:rPr>
              <w:t>2023</w:t>
            </w:r>
          </w:p>
        </w:tc>
        <w:tc>
          <w:tcPr>
            <w:tcW w:w="79" w:type="dxa"/>
            <w:tcBorders>
              <w:top w:val="nil"/>
              <w:left w:val="nil"/>
              <w:bottom w:val="nil"/>
              <w:right w:val="nil"/>
            </w:tcBorders>
            <w:shd w:val="clear" w:color="auto" w:fill="auto"/>
            <w:noWrap/>
            <w:vAlign w:val="center"/>
            <w:hideMark/>
          </w:tcPr>
          <w:p w14:paraId="0F0B99CE" w14:textId="77777777" w:rsidR="00BC5219" w:rsidRPr="00961B53"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noWrap/>
            <w:vAlign w:val="center"/>
            <w:hideMark/>
          </w:tcPr>
          <w:p w14:paraId="4B182E5B" w14:textId="77777777" w:rsidR="00BC5219" w:rsidRPr="00961B53" w:rsidRDefault="00BC5219" w:rsidP="00E83802">
            <w:pPr>
              <w:jc w:val="center"/>
              <w:rPr>
                <w:rFonts w:ascii="Meta Pro" w:eastAsia="Times New Roman" w:hAnsi="Meta Pro"/>
                <w:b/>
                <w:bCs/>
                <w:sz w:val="16"/>
                <w:szCs w:val="16"/>
                <w:lang w:eastAsia="en-AU"/>
              </w:rPr>
            </w:pPr>
            <w:r w:rsidRPr="00961B53">
              <w:rPr>
                <w:rFonts w:ascii="Meta Pro" w:eastAsia="Times New Roman" w:hAnsi="Meta Pro"/>
                <w:b/>
                <w:bCs/>
                <w:sz w:val="16"/>
                <w:szCs w:val="16"/>
                <w:lang w:eastAsia="en-AU"/>
              </w:rPr>
              <w:t>2023</w:t>
            </w:r>
          </w:p>
        </w:tc>
        <w:tc>
          <w:tcPr>
            <w:tcW w:w="79" w:type="dxa"/>
            <w:tcBorders>
              <w:top w:val="nil"/>
              <w:left w:val="nil"/>
              <w:bottom w:val="nil"/>
              <w:right w:val="nil"/>
            </w:tcBorders>
            <w:shd w:val="clear" w:color="auto" w:fill="auto"/>
            <w:noWrap/>
            <w:vAlign w:val="center"/>
            <w:hideMark/>
          </w:tcPr>
          <w:p w14:paraId="79B72D93" w14:textId="77777777" w:rsidR="00BC5219" w:rsidRPr="00961B53"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noWrap/>
            <w:vAlign w:val="center"/>
            <w:hideMark/>
          </w:tcPr>
          <w:p w14:paraId="035C5C6A" w14:textId="77777777" w:rsidR="00BC5219" w:rsidRPr="00961B53" w:rsidRDefault="00BC5219" w:rsidP="00E83802">
            <w:pPr>
              <w:jc w:val="center"/>
              <w:rPr>
                <w:rFonts w:ascii="Meta Pro" w:eastAsia="Times New Roman" w:hAnsi="Meta Pro"/>
                <w:b/>
                <w:bCs/>
                <w:sz w:val="16"/>
                <w:szCs w:val="16"/>
                <w:lang w:eastAsia="en-AU"/>
              </w:rPr>
            </w:pPr>
            <w:r w:rsidRPr="00961B53">
              <w:rPr>
                <w:rFonts w:ascii="Meta Pro" w:eastAsia="Times New Roman" w:hAnsi="Meta Pro"/>
                <w:b/>
                <w:bCs/>
                <w:sz w:val="16"/>
                <w:szCs w:val="16"/>
                <w:lang w:eastAsia="en-AU"/>
              </w:rPr>
              <w:t>2023</w:t>
            </w:r>
          </w:p>
        </w:tc>
        <w:tc>
          <w:tcPr>
            <w:tcW w:w="79" w:type="dxa"/>
            <w:tcBorders>
              <w:top w:val="nil"/>
              <w:left w:val="nil"/>
              <w:bottom w:val="nil"/>
              <w:right w:val="nil"/>
            </w:tcBorders>
            <w:shd w:val="clear" w:color="auto" w:fill="auto"/>
            <w:noWrap/>
            <w:vAlign w:val="center"/>
            <w:hideMark/>
          </w:tcPr>
          <w:p w14:paraId="0951F34D" w14:textId="77777777" w:rsidR="00BC5219" w:rsidRPr="00961B53"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noWrap/>
            <w:vAlign w:val="center"/>
            <w:hideMark/>
          </w:tcPr>
          <w:p w14:paraId="27EF8B92" w14:textId="77777777" w:rsidR="00BC5219" w:rsidRPr="00961B53" w:rsidRDefault="00BC5219" w:rsidP="00E83802">
            <w:pPr>
              <w:jc w:val="center"/>
              <w:rPr>
                <w:rFonts w:ascii="Meta Pro" w:eastAsia="Times New Roman" w:hAnsi="Meta Pro"/>
                <w:b/>
                <w:bCs/>
                <w:sz w:val="16"/>
                <w:szCs w:val="16"/>
                <w:lang w:eastAsia="en-AU"/>
              </w:rPr>
            </w:pPr>
            <w:r w:rsidRPr="00961B53">
              <w:rPr>
                <w:rFonts w:ascii="Meta Pro" w:eastAsia="Times New Roman" w:hAnsi="Meta Pro"/>
                <w:b/>
                <w:bCs/>
                <w:sz w:val="16"/>
                <w:szCs w:val="16"/>
                <w:lang w:eastAsia="en-AU"/>
              </w:rPr>
              <w:t>2023</w:t>
            </w:r>
          </w:p>
        </w:tc>
        <w:tc>
          <w:tcPr>
            <w:tcW w:w="79" w:type="dxa"/>
            <w:tcBorders>
              <w:top w:val="nil"/>
              <w:left w:val="nil"/>
              <w:bottom w:val="nil"/>
              <w:right w:val="nil"/>
            </w:tcBorders>
            <w:shd w:val="clear" w:color="auto" w:fill="auto"/>
            <w:noWrap/>
            <w:vAlign w:val="center"/>
            <w:hideMark/>
          </w:tcPr>
          <w:p w14:paraId="2BCA152A" w14:textId="77777777" w:rsidR="00BC5219" w:rsidRPr="00961B53"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noWrap/>
            <w:vAlign w:val="center"/>
            <w:hideMark/>
          </w:tcPr>
          <w:p w14:paraId="029ABDC9" w14:textId="77777777" w:rsidR="00BC5219" w:rsidRPr="00961B53" w:rsidRDefault="00BC5219" w:rsidP="00E83802">
            <w:pPr>
              <w:jc w:val="center"/>
              <w:rPr>
                <w:rFonts w:ascii="Meta Pro" w:eastAsia="Times New Roman" w:hAnsi="Meta Pro"/>
                <w:b/>
                <w:bCs/>
                <w:sz w:val="16"/>
                <w:szCs w:val="16"/>
                <w:lang w:eastAsia="en-AU"/>
              </w:rPr>
            </w:pPr>
            <w:r w:rsidRPr="00961B53">
              <w:rPr>
                <w:rFonts w:ascii="Meta Pro" w:eastAsia="Times New Roman" w:hAnsi="Meta Pro"/>
                <w:b/>
                <w:bCs/>
                <w:sz w:val="16"/>
                <w:szCs w:val="16"/>
                <w:lang w:eastAsia="en-AU"/>
              </w:rPr>
              <w:t>2023</w:t>
            </w:r>
          </w:p>
        </w:tc>
        <w:tc>
          <w:tcPr>
            <w:tcW w:w="79" w:type="dxa"/>
            <w:tcBorders>
              <w:top w:val="nil"/>
              <w:left w:val="nil"/>
              <w:bottom w:val="nil"/>
              <w:right w:val="nil"/>
            </w:tcBorders>
            <w:shd w:val="clear" w:color="auto" w:fill="auto"/>
            <w:noWrap/>
            <w:vAlign w:val="center"/>
            <w:hideMark/>
          </w:tcPr>
          <w:p w14:paraId="056F6D1D" w14:textId="77777777" w:rsidR="00BC5219" w:rsidRPr="00961B53"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noWrap/>
            <w:vAlign w:val="center"/>
            <w:hideMark/>
          </w:tcPr>
          <w:p w14:paraId="1EB9A1A5" w14:textId="77777777" w:rsidR="00BC5219" w:rsidRPr="00961B53" w:rsidRDefault="00BC5219" w:rsidP="00E83802">
            <w:pPr>
              <w:jc w:val="center"/>
              <w:rPr>
                <w:rFonts w:ascii="Meta Pro" w:eastAsia="Times New Roman" w:hAnsi="Meta Pro"/>
                <w:b/>
                <w:bCs/>
                <w:sz w:val="16"/>
                <w:szCs w:val="16"/>
                <w:lang w:eastAsia="en-AU"/>
              </w:rPr>
            </w:pPr>
            <w:r w:rsidRPr="00961B53">
              <w:rPr>
                <w:rFonts w:ascii="Meta Pro" w:eastAsia="Times New Roman" w:hAnsi="Meta Pro"/>
                <w:b/>
                <w:bCs/>
                <w:sz w:val="16"/>
                <w:szCs w:val="16"/>
                <w:lang w:eastAsia="en-AU"/>
              </w:rPr>
              <w:t>2023</w:t>
            </w:r>
          </w:p>
        </w:tc>
      </w:tr>
      <w:tr w:rsidR="00BC5219" w:rsidRPr="00961B53" w14:paraId="04591EA1" w14:textId="77777777" w:rsidTr="00E83802">
        <w:trPr>
          <w:trHeight w:val="198"/>
        </w:trPr>
        <w:tc>
          <w:tcPr>
            <w:tcW w:w="4933" w:type="dxa"/>
            <w:tcBorders>
              <w:top w:val="nil"/>
              <w:left w:val="nil"/>
              <w:bottom w:val="nil"/>
              <w:right w:val="nil"/>
            </w:tcBorders>
            <w:shd w:val="clear" w:color="auto" w:fill="auto"/>
            <w:noWrap/>
            <w:vAlign w:val="center"/>
            <w:hideMark/>
          </w:tcPr>
          <w:p w14:paraId="51B8D279" w14:textId="77777777" w:rsidR="00BC5219" w:rsidRPr="00961B53"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noWrap/>
            <w:vAlign w:val="center"/>
            <w:hideMark/>
          </w:tcPr>
          <w:p w14:paraId="3A6F3EAE" w14:textId="77777777" w:rsidR="00BC5219" w:rsidRPr="00961B53" w:rsidRDefault="00BC5219" w:rsidP="00E83802">
            <w:pPr>
              <w:jc w:val="center"/>
              <w:rPr>
                <w:rFonts w:ascii="Meta Pro" w:eastAsia="Times New Roman" w:hAnsi="Meta Pro"/>
                <w:b/>
                <w:bCs/>
                <w:sz w:val="16"/>
                <w:szCs w:val="16"/>
                <w:lang w:eastAsia="en-AU"/>
              </w:rPr>
            </w:pPr>
            <w:r w:rsidRPr="00961B53">
              <w:rPr>
                <w:rFonts w:ascii="Meta Pro" w:eastAsia="Times New Roman" w:hAnsi="Meta Pro"/>
                <w:b/>
                <w:bCs/>
                <w:sz w:val="16"/>
                <w:szCs w:val="16"/>
                <w:lang w:eastAsia="en-AU"/>
              </w:rPr>
              <w:t>$'000</w:t>
            </w:r>
          </w:p>
        </w:tc>
        <w:tc>
          <w:tcPr>
            <w:tcW w:w="79" w:type="dxa"/>
            <w:tcBorders>
              <w:top w:val="nil"/>
              <w:left w:val="nil"/>
              <w:bottom w:val="nil"/>
              <w:right w:val="nil"/>
            </w:tcBorders>
            <w:shd w:val="clear" w:color="auto" w:fill="auto"/>
            <w:noWrap/>
            <w:vAlign w:val="center"/>
            <w:hideMark/>
          </w:tcPr>
          <w:p w14:paraId="58C46111" w14:textId="77777777" w:rsidR="00BC5219" w:rsidRPr="00961B53"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noWrap/>
            <w:vAlign w:val="center"/>
            <w:hideMark/>
          </w:tcPr>
          <w:p w14:paraId="00CCAA70" w14:textId="77777777" w:rsidR="00BC5219" w:rsidRPr="00961B53" w:rsidRDefault="00BC5219" w:rsidP="00E83802">
            <w:pPr>
              <w:jc w:val="center"/>
              <w:rPr>
                <w:rFonts w:ascii="Meta Pro" w:eastAsia="Times New Roman" w:hAnsi="Meta Pro"/>
                <w:b/>
                <w:bCs/>
                <w:sz w:val="16"/>
                <w:szCs w:val="16"/>
                <w:lang w:eastAsia="en-AU"/>
              </w:rPr>
            </w:pPr>
            <w:r w:rsidRPr="00961B53">
              <w:rPr>
                <w:rFonts w:ascii="Meta Pro" w:eastAsia="Times New Roman" w:hAnsi="Meta Pro"/>
                <w:b/>
                <w:bCs/>
                <w:sz w:val="16"/>
                <w:szCs w:val="16"/>
                <w:lang w:eastAsia="en-AU"/>
              </w:rPr>
              <w:t>$'000</w:t>
            </w:r>
          </w:p>
        </w:tc>
        <w:tc>
          <w:tcPr>
            <w:tcW w:w="79" w:type="dxa"/>
            <w:tcBorders>
              <w:top w:val="nil"/>
              <w:left w:val="nil"/>
              <w:bottom w:val="nil"/>
              <w:right w:val="nil"/>
            </w:tcBorders>
            <w:shd w:val="clear" w:color="auto" w:fill="auto"/>
            <w:noWrap/>
            <w:vAlign w:val="center"/>
            <w:hideMark/>
          </w:tcPr>
          <w:p w14:paraId="46B33552" w14:textId="77777777" w:rsidR="00BC5219" w:rsidRPr="00961B53"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noWrap/>
            <w:vAlign w:val="center"/>
            <w:hideMark/>
          </w:tcPr>
          <w:p w14:paraId="64117230" w14:textId="77777777" w:rsidR="00BC5219" w:rsidRPr="00961B53" w:rsidRDefault="00BC5219" w:rsidP="00E83802">
            <w:pPr>
              <w:jc w:val="center"/>
              <w:rPr>
                <w:rFonts w:ascii="Meta Pro" w:eastAsia="Times New Roman" w:hAnsi="Meta Pro"/>
                <w:b/>
                <w:bCs/>
                <w:sz w:val="16"/>
                <w:szCs w:val="16"/>
                <w:lang w:eastAsia="en-AU"/>
              </w:rPr>
            </w:pPr>
            <w:r w:rsidRPr="00961B53">
              <w:rPr>
                <w:rFonts w:ascii="Meta Pro" w:eastAsia="Times New Roman" w:hAnsi="Meta Pro"/>
                <w:b/>
                <w:bCs/>
                <w:sz w:val="16"/>
                <w:szCs w:val="16"/>
                <w:lang w:eastAsia="en-AU"/>
              </w:rPr>
              <w:t>$'000</w:t>
            </w:r>
          </w:p>
        </w:tc>
        <w:tc>
          <w:tcPr>
            <w:tcW w:w="79" w:type="dxa"/>
            <w:tcBorders>
              <w:top w:val="nil"/>
              <w:left w:val="nil"/>
              <w:bottom w:val="nil"/>
              <w:right w:val="nil"/>
            </w:tcBorders>
            <w:shd w:val="clear" w:color="auto" w:fill="auto"/>
            <w:noWrap/>
            <w:vAlign w:val="center"/>
            <w:hideMark/>
          </w:tcPr>
          <w:p w14:paraId="0C569A38" w14:textId="77777777" w:rsidR="00BC5219" w:rsidRPr="00961B53"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noWrap/>
            <w:vAlign w:val="center"/>
            <w:hideMark/>
          </w:tcPr>
          <w:p w14:paraId="716716B4" w14:textId="77777777" w:rsidR="00BC5219" w:rsidRPr="00961B53" w:rsidRDefault="00BC5219" w:rsidP="00E83802">
            <w:pPr>
              <w:jc w:val="center"/>
              <w:rPr>
                <w:rFonts w:ascii="Meta Pro" w:eastAsia="Times New Roman" w:hAnsi="Meta Pro"/>
                <w:b/>
                <w:bCs/>
                <w:sz w:val="16"/>
                <w:szCs w:val="16"/>
                <w:lang w:eastAsia="en-AU"/>
              </w:rPr>
            </w:pPr>
            <w:r w:rsidRPr="00961B53">
              <w:rPr>
                <w:rFonts w:ascii="Meta Pro" w:eastAsia="Times New Roman" w:hAnsi="Meta Pro"/>
                <w:b/>
                <w:bCs/>
                <w:sz w:val="16"/>
                <w:szCs w:val="16"/>
                <w:lang w:eastAsia="en-AU"/>
              </w:rPr>
              <w:t>$'000</w:t>
            </w:r>
          </w:p>
        </w:tc>
        <w:tc>
          <w:tcPr>
            <w:tcW w:w="79" w:type="dxa"/>
            <w:tcBorders>
              <w:top w:val="nil"/>
              <w:left w:val="nil"/>
              <w:bottom w:val="nil"/>
              <w:right w:val="nil"/>
            </w:tcBorders>
            <w:shd w:val="clear" w:color="auto" w:fill="auto"/>
            <w:noWrap/>
            <w:vAlign w:val="center"/>
            <w:hideMark/>
          </w:tcPr>
          <w:p w14:paraId="1ADEF8B8" w14:textId="77777777" w:rsidR="00BC5219" w:rsidRPr="00961B53"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noWrap/>
            <w:vAlign w:val="center"/>
            <w:hideMark/>
          </w:tcPr>
          <w:p w14:paraId="76F87219" w14:textId="77777777" w:rsidR="00BC5219" w:rsidRPr="00961B53" w:rsidRDefault="00BC5219" w:rsidP="00E83802">
            <w:pPr>
              <w:jc w:val="center"/>
              <w:rPr>
                <w:rFonts w:ascii="Meta Pro" w:eastAsia="Times New Roman" w:hAnsi="Meta Pro"/>
                <w:b/>
                <w:bCs/>
                <w:sz w:val="16"/>
                <w:szCs w:val="16"/>
                <w:lang w:eastAsia="en-AU"/>
              </w:rPr>
            </w:pPr>
            <w:r w:rsidRPr="00961B53">
              <w:rPr>
                <w:rFonts w:ascii="Meta Pro" w:eastAsia="Times New Roman" w:hAnsi="Meta Pro"/>
                <w:b/>
                <w:bCs/>
                <w:sz w:val="16"/>
                <w:szCs w:val="16"/>
                <w:lang w:eastAsia="en-AU"/>
              </w:rPr>
              <w:t>$'000</w:t>
            </w:r>
          </w:p>
        </w:tc>
        <w:tc>
          <w:tcPr>
            <w:tcW w:w="79" w:type="dxa"/>
            <w:tcBorders>
              <w:top w:val="nil"/>
              <w:left w:val="nil"/>
              <w:bottom w:val="nil"/>
              <w:right w:val="nil"/>
            </w:tcBorders>
            <w:shd w:val="clear" w:color="auto" w:fill="auto"/>
            <w:noWrap/>
            <w:vAlign w:val="center"/>
            <w:hideMark/>
          </w:tcPr>
          <w:p w14:paraId="343E1F52" w14:textId="77777777" w:rsidR="00BC5219" w:rsidRPr="00961B53"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noWrap/>
            <w:vAlign w:val="center"/>
            <w:hideMark/>
          </w:tcPr>
          <w:p w14:paraId="4E44588B" w14:textId="77777777" w:rsidR="00BC5219" w:rsidRPr="00961B53" w:rsidRDefault="00BC5219" w:rsidP="00E83802">
            <w:pPr>
              <w:jc w:val="center"/>
              <w:rPr>
                <w:rFonts w:ascii="Meta Pro" w:eastAsia="Times New Roman" w:hAnsi="Meta Pro"/>
                <w:b/>
                <w:bCs/>
                <w:sz w:val="16"/>
                <w:szCs w:val="16"/>
                <w:lang w:eastAsia="en-AU"/>
              </w:rPr>
            </w:pPr>
            <w:r w:rsidRPr="00961B53">
              <w:rPr>
                <w:rFonts w:ascii="Meta Pro" w:eastAsia="Times New Roman" w:hAnsi="Meta Pro"/>
                <w:b/>
                <w:bCs/>
                <w:sz w:val="16"/>
                <w:szCs w:val="16"/>
                <w:lang w:eastAsia="en-AU"/>
              </w:rPr>
              <w:t>$'000</w:t>
            </w:r>
          </w:p>
        </w:tc>
        <w:tc>
          <w:tcPr>
            <w:tcW w:w="79" w:type="dxa"/>
            <w:tcBorders>
              <w:top w:val="nil"/>
              <w:left w:val="nil"/>
              <w:bottom w:val="nil"/>
              <w:right w:val="nil"/>
            </w:tcBorders>
            <w:shd w:val="clear" w:color="auto" w:fill="auto"/>
            <w:noWrap/>
            <w:vAlign w:val="center"/>
            <w:hideMark/>
          </w:tcPr>
          <w:p w14:paraId="2F05987A" w14:textId="77777777" w:rsidR="00BC5219" w:rsidRPr="00961B53"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noWrap/>
            <w:vAlign w:val="center"/>
            <w:hideMark/>
          </w:tcPr>
          <w:p w14:paraId="04B73AD8" w14:textId="77777777" w:rsidR="00BC5219" w:rsidRPr="00961B53" w:rsidRDefault="00BC5219" w:rsidP="00E83802">
            <w:pPr>
              <w:jc w:val="center"/>
              <w:rPr>
                <w:rFonts w:ascii="Meta Pro" w:eastAsia="Times New Roman" w:hAnsi="Meta Pro"/>
                <w:b/>
                <w:bCs/>
                <w:sz w:val="16"/>
                <w:szCs w:val="16"/>
                <w:lang w:eastAsia="en-AU"/>
              </w:rPr>
            </w:pPr>
            <w:r w:rsidRPr="00961B53">
              <w:rPr>
                <w:rFonts w:ascii="Meta Pro" w:eastAsia="Times New Roman" w:hAnsi="Meta Pro"/>
                <w:b/>
                <w:bCs/>
                <w:sz w:val="16"/>
                <w:szCs w:val="16"/>
                <w:lang w:eastAsia="en-AU"/>
              </w:rPr>
              <w:t>$'000</w:t>
            </w:r>
          </w:p>
        </w:tc>
      </w:tr>
      <w:tr w:rsidR="00BC5219" w:rsidRPr="00961B53" w14:paraId="308F91E4" w14:textId="77777777" w:rsidTr="00E83802">
        <w:trPr>
          <w:trHeight w:val="198"/>
        </w:trPr>
        <w:tc>
          <w:tcPr>
            <w:tcW w:w="4933" w:type="dxa"/>
            <w:tcBorders>
              <w:top w:val="nil"/>
              <w:left w:val="nil"/>
              <w:bottom w:val="nil"/>
              <w:right w:val="nil"/>
            </w:tcBorders>
            <w:shd w:val="clear" w:color="auto" w:fill="auto"/>
            <w:vAlign w:val="center"/>
            <w:hideMark/>
          </w:tcPr>
          <w:p w14:paraId="69F8B5C4" w14:textId="77777777" w:rsidR="00BC5219" w:rsidRPr="00961B53" w:rsidRDefault="00BC5219" w:rsidP="00E83802">
            <w:pPr>
              <w:rPr>
                <w:rFonts w:ascii="Meta Pro" w:eastAsia="Times New Roman" w:hAnsi="Meta Pro"/>
                <w:sz w:val="16"/>
                <w:szCs w:val="16"/>
                <w:lang w:eastAsia="en-AU"/>
              </w:rPr>
            </w:pPr>
            <w:r w:rsidRPr="00961B53">
              <w:rPr>
                <w:rFonts w:ascii="Meta Pro" w:eastAsia="Times New Roman" w:hAnsi="Meta Pro"/>
                <w:sz w:val="16"/>
                <w:szCs w:val="16"/>
                <w:lang w:eastAsia="en-AU"/>
              </w:rPr>
              <w:t>Gross value</w:t>
            </w:r>
          </w:p>
        </w:tc>
        <w:tc>
          <w:tcPr>
            <w:tcW w:w="1191" w:type="dxa"/>
            <w:tcBorders>
              <w:top w:val="nil"/>
              <w:left w:val="nil"/>
              <w:bottom w:val="nil"/>
              <w:right w:val="nil"/>
            </w:tcBorders>
            <w:shd w:val="clear" w:color="000000" w:fill="C9E3B4"/>
            <w:noWrap/>
            <w:vAlign w:val="center"/>
            <w:hideMark/>
          </w:tcPr>
          <w:p w14:paraId="056211A6"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7,032,920 </w:t>
            </w:r>
          </w:p>
        </w:tc>
        <w:tc>
          <w:tcPr>
            <w:tcW w:w="79" w:type="dxa"/>
            <w:tcBorders>
              <w:top w:val="nil"/>
              <w:left w:val="nil"/>
              <w:bottom w:val="nil"/>
              <w:right w:val="nil"/>
            </w:tcBorders>
            <w:shd w:val="clear" w:color="auto" w:fill="auto"/>
            <w:noWrap/>
            <w:vAlign w:val="center"/>
            <w:hideMark/>
          </w:tcPr>
          <w:p w14:paraId="1E4BC0EF"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5B354A11"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1,256,018 </w:t>
            </w:r>
          </w:p>
        </w:tc>
        <w:tc>
          <w:tcPr>
            <w:tcW w:w="79" w:type="dxa"/>
            <w:tcBorders>
              <w:top w:val="nil"/>
              <w:left w:val="nil"/>
              <w:bottom w:val="nil"/>
              <w:right w:val="nil"/>
            </w:tcBorders>
            <w:shd w:val="clear" w:color="auto" w:fill="auto"/>
            <w:noWrap/>
            <w:vAlign w:val="center"/>
            <w:hideMark/>
          </w:tcPr>
          <w:p w14:paraId="266765B0"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67B4DFE9" w14:textId="77777777" w:rsidR="00BC5219" w:rsidRPr="00961B53" w:rsidRDefault="00BC5219" w:rsidP="00E83802">
            <w:pPr>
              <w:jc w:val="right"/>
              <w:rPr>
                <w:rFonts w:ascii="Meta Pro" w:eastAsia="Times New Roman" w:hAnsi="Meta Pro"/>
                <w:color w:val="000000"/>
                <w:sz w:val="16"/>
                <w:szCs w:val="16"/>
                <w:lang w:eastAsia="en-AU"/>
              </w:rPr>
            </w:pPr>
            <w:r w:rsidRPr="00961B53">
              <w:rPr>
                <w:rFonts w:ascii="Meta Pro" w:eastAsia="Times New Roman" w:hAnsi="Meta Pro"/>
                <w:color w:val="000000"/>
                <w:sz w:val="16"/>
                <w:szCs w:val="16"/>
                <w:lang w:eastAsia="en-AU"/>
              </w:rPr>
              <w:t xml:space="preserve">761,998 </w:t>
            </w:r>
          </w:p>
        </w:tc>
        <w:tc>
          <w:tcPr>
            <w:tcW w:w="79" w:type="dxa"/>
            <w:tcBorders>
              <w:top w:val="nil"/>
              <w:left w:val="nil"/>
              <w:bottom w:val="nil"/>
              <w:right w:val="nil"/>
            </w:tcBorders>
            <w:shd w:val="clear" w:color="auto" w:fill="auto"/>
            <w:noWrap/>
            <w:vAlign w:val="center"/>
            <w:hideMark/>
          </w:tcPr>
          <w:p w14:paraId="20FED8B8" w14:textId="77777777" w:rsidR="00BC5219" w:rsidRPr="00961B53" w:rsidRDefault="00BC5219" w:rsidP="00E83802">
            <w:pPr>
              <w:jc w:val="right"/>
              <w:rPr>
                <w:rFonts w:ascii="Meta Pro" w:eastAsia="Times New Roman" w:hAnsi="Meta Pro"/>
                <w:color w:val="000000"/>
                <w:sz w:val="16"/>
                <w:szCs w:val="16"/>
                <w:lang w:eastAsia="en-AU"/>
              </w:rPr>
            </w:pPr>
          </w:p>
        </w:tc>
        <w:tc>
          <w:tcPr>
            <w:tcW w:w="1191" w:type="dxa"/>
            <w:tcBorders>
              <w:top w:val="nil"/>
              <w:left w:val="nil"/>
              <w:bottom w:val="nil"/>
              <w:right w:val="nil"/>
            </w:tcBorders>
            <w:shd w:val="clear" w:color="000000" w:fill="C9E3B4"/>
            <w:noWrap/>
            <w:vAlign w:val="center"/>
            <w:hideMark/>
          </w:tcPr>
          <w:p w14:paraId="6BCCD3F9"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1,508,355 </w:t>
            </w:r>
          </w:p>
        </w:tc>
        <w:tc>
          <w:tcPr>
            <w:tcW w:w="79" w:type="dxa"/>
            <w:tcBorders>
              <w:top w:val="nil"/>
              <w:left w:val="nil"/>
              <w:bottom w:val="nil"/>
              <w:right w:val="nil"/>
            </w:tcBorders>
            <w:shd w:val="clear" w:color="auto" w:fill="auto"/>
            <w:noWrap/>
            <w:vAlign w:val="center"/>
            <w:hideMark/>
          </w:tcPr>
          <w:p w14:paraId="2BECDC16"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38C40FBC"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114,708,503 </w:t>
            </w:r>
          </w:p>
        </w:tc>
        <w:tc>
          <w:tcPr>
            <w:tcW w:w="79" w:type="dxa"/>
            <w:tcBorders>
              <w:top w:val="nil"/>
              <w:left w:val="nil"/>
              <w:bottom w:val="nil"/>
              <w:right w:val="nil"/>
            </w:tcBorders>
            <w:shd w:val="clear" w:color="auto" w:fill="auto"/>
            <w:noWrap/>
            <w:vAlign w:val="center"/>
            <w:hideMark/>
          </w:tcPr>
          <w:p w14:paraId="549C6DAC"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1028392D"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8,510,845 </w:t>
            </w:r>
          </w:p>
        </w:tc>
        <w:tc>
          <w:tcPr>
            <w:tcW w:w="79" w:type="dxa"/>
            <w:tcBorders>
              <w:top w:val="nil"/>
              <w:left w:val="nil"/>
              <w:bottom w:val="nil"/>
              <w:right w:val="nil"/>
            </w:tcBorders>
            <w:shd w:val="clear" w:color="auto" w:fill="auto"/>
            <w:noWrap/>
            <w:vAlign w:val="center"/>
            <w:hideMark/>
          </w:tcPr>
          <w:p w14:paraId="72263715"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3F1C0243" w14:textId="77777777" w:rsidR="00BC5219" w:rsidRPr="00961B53" w:rsidRDefault="00BC5219" w:rsidP="00E83802">
            <w:pPr>
              <w:jc w:val="right"/>
              <w:rPr>
                <w:rFonts w:ascii="Meta Pro" w:eastAsia="Times New Roman" w:hAnsi="Meta Pro"/>
                <w:b/>
                <w:bCs/>
                <w:sz w:val="16"/>
                <w:szCs w:val="16"/>
                <w:lang w:eastAsia="en-AU"/>
              </w:rPr>
            </w:pPr>
            <w:r w:rsidRPr="00961B53">
              <w:rPr>
                <w:rFonts w:ascii="Meta Pro" w:eastAsia="Times New Roman" w:hAnsi="Meta Pro"/>
                <w:b/>
                <w:bCs/>
                <w:sz w:val="16"/>
                <w:szCs w:val="16"/>
                <w:lang w:eastAsia="en-AU"/>
              </w:rPr>
              <w:t xml:space="preserve">133,778,639 </w:t>
            </w:r>
          </w:p>
        </w:tc>
      </w:tr>
      <w:tr w:rsidR="00BC5219" w:rsidRPr="00961B53" w14:paraId="6EAEE56B" w14:textId="77777777" w:rsidTr="00E83802">
        <w:trPr>
          <w:trHeight w:val="198"/>
        </w:trPr>
        <w:tc>
          <w:tcPr>
            <w:tcW w:w="4933" w:type="dxa"/>
            <w:tcBorders>
              <w:top w:val="nil"/>
              <w:left w:val="nil"/>
              <w:bottom w:val="nil"/>
              <w:right w:val="nil"/>
            </w:tcBorders>
            <w:shd w:val="clear" w:color="auto" w:fill="auto"/>
            <w:noWrap/>
            <w:vAlign w:val="center"/>
            <w:hideMark/>
          </w:tcPr>
          <w:p w14:paraId="0EDCB198" w14:textId="77777777" w:rsidR="00BC5219" w:rsidRPr="00961B53" w:rsidRDefault="00BC5219" w:rsidP="00E83802">
            <w:pPr>
              <w:rPr>
                <w:rFonts w:ascii="Meta Pro" w:eastAsia="Times New Roman" w:hAnsi="Meta Pro"/>
                <w:sz w:val="16"/>
                <w:szCs w:val="16"/>
                <w:lang w:eastAsia="en-AU"/>
              </w:rPr>
            </w:pPr>
            <w:r w:rsidRPr="00961B53">
              <w:rPr>
                <w:rFonts w:ascii="Meta Pro" w:eastAsia="Times New Roman" w:hAnsi="Meta Pro"/>
                <w:sz w:val="16"/>
                <w:szCs w:val="16"/>
                <w:lang w:eastAsia="en-AU"/>
              </w:rPr>
              <w:t>Less: Accumulated depreciation</w:t>
            </w:r>
          </w:p>
        </w:tc>
        <w:tc>
          <w:tcPr>
            <w:tcW w:w="1191" w:type="dxa"/>
            <w:tcBorders>
              <w:top w:val="nil"/>
              <w:left w:val="nil"/>
              <w:bottom w:val="nil"/>
              <w:right w:val="nil"/>
            </w:tcBorders>
            <w:shd w:val="clear" w:color="000000" w:fill="C9E3B4"/>
            <w:noWrap/>
            <w:vAlign w:val="center"/>
            <w:hideMark/>
          </w:tcPr>
          <w:p w14:paraId="4395DEEC"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 </w:t>
            </w:r>
          </w:p>
        </w:tc>
        <w:tc>
          <w:tcPr>
            <w:tcW w:w="79" w:type="dxa"/>
            <w:tcBorders>
              <w:top w:val="nil"/>
              <w:left w:val="nil"/>
              <w:bottom w:val="nil"/>
              <w:right w:val="nil"/>
            </w:tcBorders>
            <w:shd w:val="clear" w:color="auto" w:fill="auto"/>
            <w:noWrap/>
            <w:vAlign w:val="center"/>
            <w:hideMark/>
          </w:tcPr>
          <w:p w14:paraId="6795E13E"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7BEEFBBC"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(362,469)</w:t>
            </w:r>
          </w:p>
        </w:tc>
        <w:tc>
          <w:tcPr>
            <w:tcW w:w="79" w:type="dxa"/>
            <w:tcBorders>
              <w:top w:val="nil"/>
              <w:left w:val="nil"/>
              <w:bottom w:val="nil"/>
              <w:right w:val="nil"/>
            </w:tcBorders>
            <w:shd w:val="clear" w:color="auto" w:fill="auto"/>
            <w:noWrap/>
            <w:vAlign w:val="center"/>
            <w:hideMark/>
          </w:tcPr>
          <w:p w14:paraId="1A3C50F0"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16F9C18F"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(546,012)</w:t>
            </w:r>
          </w:p>
        </w:tc>
        <w:tc>
          <w:tcPr>
            <w:tcW w:w="79" w:type="dxa"/>
            <w:tcBorders>
              <w:top w:val="nil"/>
              <w:left w:val="nil"/>
              <w:bottom w:val="nil"/>
              <w:right w:val="nil"/>
            </w:tcBorders>
            <w:shd w:val="clear" w:color="auto" w:fill="auto"/>
            <w:noWrap/>
            <w:vAlign w:val="center"/>
            <w:hideMark/>
          </w:tcPr>
          <w:p w14:paraId="06835189"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76DBAC4A"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(225,929)</w:t>
            </w:r>
          </w:p>
        </w:tc>
        <w:tc>
          <w:tcPr>
            <w:tcW w:w="79" w:type="dxa"/>
            <w:tcBorders>
              <w:top w:val="nil"/>
              <w:left w:val="nil"/>
              <w:bottom w:val="nil"/>
              <w:right w:val="nil"/>
            </w:tcBorders>
            <w:shd w:val="clear" w:color="auto" w:fill="auto"/>
            <w:noWrap/>
            <w:vAlign w:val="center"/>
            <w:hideMark/>
          </w:tcPr>
          <w:p w14:paraId="646D8393"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585D7F6F"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(28,148,159)</w:t>
            </w:r>
          </w:p>
        </w:tc>
        <w:tc>
          <w:tcPr>
            <w:tcW w:w="79" w:type="dxa"/>
            <w:tcBorders>
              <w:top w:val="nil"/>
              <w:left w:val="nil"/>
              <w:bottom w:val="nil"/>
              <w:right w:val="nil"/>
            </w:tcBorders>
            <w:shd w:val="clear" w:color="auto" w:fill="auto"/>
            <w:noWrap/>
            <w:vAlign w:val="center"/>
            <w:hideMark/>
          </w:tcPr>
          <w:p w14:paraId="15EEA7C8"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7FA7710E"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 </w:t>
            </w:r>
          </w:p>
        </w:tc>
        <w:tc>
          <w:tcPr>
            <w:tcW w:w="79" w:type="dxa"/>
            <w:tcBorders>
              <w:top w:val="nil"/>
              <w:left w:val="nil"/>
              <w:bottom w:val="nil"/>
              <w:right w:val="nil"/>
            </w:tcBorders>
            <w:shd w:val="clear" w:color="auto" w:fill="auto"/>
            <w:noWrap/>
            <w:vAlign w:val="center"/>
            <w:hideMark/>
          </w:tcPr>
          <w:p w14:paraId="55A91847"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53152EBD" w14:textId="77777777" w:rsidR="00BC5219" w:rsidRPr="00961B53" w:rsidRDefault="00BC5219" w:rsidP="00E83802">
            <w:pPr>
              <w:jc w:val="right"/>
              <w:rPr>
                <w:rFonts w:ascii="Meta Pro" w:eastAsia="Times New Roman" w:hAnsi="Meta Pro"/>
                <w:b/>
                <w:bCs/>
                <w:sz w:val="16"/>
                <w:szCs w:val="16"/>
                <w:lang w:eastAsia="en-AU"/>
              </w:rPr>
            </w:pPr>
            <w:r w:rsidRPr="00961B53">
              <w:rPr>
                <w:rFonts w:ascii="Meta Pro" w:eastAsia="Times New Roman" w:hAnsi="Meta Pro"/>
                <w:b/>
                <w:bCs/>
                <w:sz w:val="16"/>
                <w:szCs w:val="16"/>
                <w:lang w:eastAsia="en-AU"/>
              </w:rPr>
              <w:t>(29,282,569)</w:t>
            </w:r>
          </w:p>
        </w:tc>
      </w:tr>
      <w:tr w:rsidR="00BC5219" w:rsidRPr="00961B53" w14:paraId="1837DB3B" w14:textId="77777777" w:rsidTr="00E83802">
        <w:trPr>
          <w:trHeight w:val="198"/>
        </w:trPr>
        <w:tc>
          <w:tcPr>
            <w:tcW w:w="4933" w:type="dxa"/>
            <w:tcBorders>
              <w:top w:val="single" w:sz="4" w:space="0" w:color="auto"/>
              <w:left w:val="nil"/>
              <w:bottom w:val="double" w:sz="6" w:space="0" w:color="auto"/>
              <w:right w:val="nil"/>
            </w:tcBorders>
            <w:shd w:val="clear" w:color="auto" w:fill="auto"/>
            <w:noWrap/>
            <w:vAlign w:val="center"/>
            <w:hideMark/>
          </w:tcPr>
          <w:p w14:paraId="46A43521" w14:textId="77777777" w:rsidR="00BC5219" w:rsidRPr="00961B53" w:rsidRDefault="00BC5219" w:rsidP="00E83802">
            <w:pPr>
              <w:rPr>
                <w:rFonts w:ascii="Meta Pro" w:eastAsia="Times New Roman" w:hAnsi="Meta Pro"/>
                <w:b/>
                <w:bCs/>
                <w:sz w:val="16"/>
                <w:szCs w:val="16"/>
                <w:lang w:eastAsia="en-AU"/>
              </w:rPr>
            </w:pPr>
            <w:r w:rsidRPr="00961B53">
              <w:rPr>
                <w:rFonts w:ascii="Meta Pro" w:eastAsia="Times New Roman" w:hAnsi="Meta Pro"/>
                <w:b/>
                <w:bCs/>
                <w:sz w:val="16"/>
                <w:szCs w:val="16"/>
                <w:lang w:eastAsia="en-AU"/>
              </w:rPr>
              <w:t>Carrying amount at 30 June</w:t>
            </w:r>
          </w:p>
        </w:tc>
        <w:tc>
          <w:tcPr>
            <w:tcW w:w="1191" w:type="dxa"/>
            <w:tcBorders>
              <w:top w:val="single" w:sz="4" w:space="0" w:color="auto"/>
              <w:left w:val="nil"/>
              <w:bottom w:val="double" w:sz="6" w:space="0" w:color="auto"/>
              <w:right w:val="nil"/>
            </w:tcBorders>
            <w:shd w:val="clear" w:color="000000" w:fill="C9E3B4"/>
            <w:noWrap/>
            <w:vAlign w:val="center"/>
            <w:hideMark/>
          </w:tcPr>
          <w:p w14:paraId="24970530" w14:textId="77777777" w:rsidR="00BC5219" w:rsidRPr="00961B53" w:rsidRDefault="00BC5219" w:rsidP="00E83802">
            <w:pPr>
              <w:jc w:val="right"/>
              <w:rPr>
                <w:rFonts w:ascii="Meta Pro" w:eastAsia="Times New Roman" w:hAnsi="Meta Pro"/>
                <w:b/>
                <w:bCs/>
                <w:sz w:val="16"/>
                <w:szCs w:val="16"/>
                <w:lang w:eastAsia="en-AU"/>
              </w:rPr>
            </w:pPr>
            <w:r w:rsidRPr="00961B53">
              <w:rPr>
                <w:rFonts w:ascii="Meta Pro" w:eastAsia="Times New Roman" w:hAnsi="Meta Pro"/>
                <w:b/>
                <w:bCs/>
                <w:sz w:val="16"/>
                <w:szCs w:val="16"/>
                <w:lang w:eastAsia="en-AU"/>
              </w:rPr>
              <w:t xml:space="preserve">7,032,920 </w:t>
            </w:r>
          </w:p>
        </w:tc>
        <w:tc>
          <w:tcPr>
            <w:tcW w:w="79" w:type="dxa"/>
            <w:tcBorders>
              <w:top w:val="nil"/>
              <w:left w:val="nil"/>
              <w:bottom w:val="nil"/>
              <w:right w:val="nil"/>
            </w:tcBorders>
            <w:shd w:val="clear" w:color="auto" w:fill="auto"/>
            <w:noWrap/>
            <w:vAlign w:val="center"/>
            <w:hideMark/>
          </w:tcPr>
          <w:p w14:paraId="50AEBFE1" w14:textId="77777777" w:rsidR="00BC5219" w:rsidRPr="00961B53" w:rsidRDefault="00BC5219" w:rsidP="00E83802">
            <w:pPr>
              <w:jc w:val="right"/>
              <w:rPr>
                <w:rFonts w:ascii="Meta Pro" w:eastAsia="Times New Roman" w:hAnsi="Meta Pro"/>
                <w:b/>
                <w:bCs/>
                <w:sz w:val="16"/>
                <w:szCs w:val="16"/>
                <w:lang w:eastAsia="en-AU"/>
              </w:rPr>
            </w:pPr>
          </w:p>
        </w:tc>
        <w:tc>
          <w:tcPr>
            <w:tcW w:w="1191" w:type="dxa"/>
            <w:tcBorders>
              <w:top w:val="single" w:sz="4" w:space="0" w:color="auto"/>
              <w:left w:val="nil"/>
              <w:bottom w:val="double" w:sz="6" w:space="0" w:color="auto"/>
              <w:right w:val="nil"/>
            </w:tcBorders>
            <w:shd w:val="clear" w:color="000000" w:fill="C9E3B4"/>
            <w:noWrap/>
            <w:vAlign w:val="center"/>
            <w:hideMark/>
          </w:tcPr>
          <w:p w14:paraId="5B03F27A" w14:textId="77777777" w:rsidR="00BC5219" w:rsidRPr="00961B53" w:rsidRDefault="00BC5219" w:rsidP="00E83802">
            <w:pPr>
              <w:jc w:val="right"/>
              <w:rPr>
                <w:rFonts w:ascii="Meta Pro" w:eastAsia="Times New Roman" w:hAnsi="Meta Pro"/>
                <w:b/>
                <w:bCs/>
                <w:sz w:val="16"/>
                <w:szCs w:val="16"/>
                <w:lang w:eastAsia="en-AU"/>
              </w:rPr>
            </w:pPr>
            <w:r w:rsidRPr="00961B53">
              <w:rPr>
                <w:rFonts w:ascii="Meta Pro" w:eastAsia="Times New Roman" w:hAnsi="Meta Pro"/>
                <w:b/>
                <w:bCs/>
                <w:sz w:val="16"/>
                <w:szCs w:val="16"/>
                <w:lang w:eastAsia="en-AU"/>
              </w:rPr>
              <w:t xml:space="preserve">893,549 </w:t>
            </w:r>
          </w:p>
        </w:tc>
        <w:tc>
          <w:tcPr>
            <w:tcW w:w="79" w:type="dxa"/>
            <w:tcBorders>
              <w:top w:val="nil"/>
              <w:left w:val="nil"/>
              <w:bottom w:val="nil"/>
              <w:right w:val="nil"/>
            </w:tcBorders>
            <w:shd w:val="clear" w:color="auto" w:fill="auto"/>
            <w:noWrap/>
            <w:vAlign w:val="center"/>
            <w:hideMark/>
          </w:tcPr>
          <w:p w14:paraId="417A270F" w14:textId="77777777" w:rsidR="00BC5219" w:rsidRPr="00961B53" w:rsidRDefault="00BC5219" w:rsidP="00E83802">
            <w:pPr>
              <w:jc w:val="right"/>
              <w:rPr>
                <w:rFonts w:ascii="Meta Pro" w:eastAsia="Times New Roman" w:hAnsi="Meta Pro"/>
                <w:b/>
                <w:bCs/>
                <w:sz w:val="16"/>
                <w:szCs w:val="16"/>
                <w:lang w:eastAsia="en-AU"/>
              </w:rPr>
            </w:pPr>
          </w:p>
        </w:tc>
        <w:tc>
          <w:tcPr>
            <w:tcW w:w="1191" w:type="dxa"/>
            <w:tcBorders>
              <w:top w:val="single" w:sz="4" w:space="0" w:color="auto"/>
              <w:left w:val="nil"/>
              <w:bottom w:val="double" w:sz="6" w:space="0" w:color="auto"/>
              <w:right w:val="nil"/>
            </w:tcBorders>
            <w:shd w:val="clear" w:color="000000" w:fill="C9E3B4"/>
            <w:noWrap/>
            <w:vAlign w:val="center"/>
            <w:hideMark/>
          </w:tcPr>
          <w:p w14:paraId="06394424" w14:textId="77777777" w:rsidR="00BC5219" w:rsidRPr="00961B53" w:rsidRDefault="00BC5219" w:rsidP="00E83802">
            <w:pPr>
              <w:jc w:val="right"/>
              <w:rPr>
                <w:rFonts w:ascii="Meta Pro" w:eastAsia="Times New Roman" w:hAnsi="Meta Pro"/>
                <w:b/>
                <w:bCs/>
                <w:sz w:val="16"/>
                <w:szCs w:val="16"/>
                <w:lang w:eastAsia="en-AU"/>
              </w:rPr>
            </w:pPr>
            <w:r w:rsidRPr="00961B53">
              <w:rPr>
                <w:rFonts w:ascii="Meta Pro" w:eastAsia="Times New Roman" w:hAnsi="Meta Pro"/>
                <w:b/>
                <w:bCs/>
                <w:sz w:val="16"/>
                <w:szCs w:val="16"/>
                <w:lang w:eastAsia="en-AU"/>
              </w:rPr>
              <w:t xml:space="preserve">215,986 </w:t>
            </w:r>
          </w:p>
        </w:tc>
        <w:tc>
          <w:tcPr>
            <w:tcW w:w="79" w:type="dxa"/>
            <w:tcBorders>
              <w:top w:val="nil"/>
              <w:left w:val="nil"/>
              <w:bottom w:val="nil"/>
              <w:right w:val="nil"/>
            </w:tcBorders>
            <w:shd w:val="clear" w:color="auto" w:fill="auto"/>
            <w:noWrap/>
            <w:vAlign w:val="center"/>
            <w:hideMark/>
          </w:tcPr>
          <w:p w14:paraId="5DF7DCD0" w14:textId="77777777" w:rsidR="00BC5219" w:rsidRPr="00961B53" w:rsidRDefault="00BC5219" w:rsidP="00E83802">
            <w:pPr>
              <w:jc w:val="right"/>
              <w:rPr>
                <w:rFonts w:ascii="Meta Pro" w:eastAsia="Times New Roman" w:hAnsi="Meta Pro"/>
                <w:b/>
                <w:bCs/>
                <w:sz w:val="16"/>
                <w:szCs w:val="16"/>
                <w:lang w:eastAsia="en-AU"/>
              </w:rPr>
            </w:pPr>
          </w:p>
        </w:tc>
        <w:tc>
          <w:tcPr>
            <w:tcW w:w="1191" w:type="dxa"/>
            <w:tcBorders>
              <w:top w:val="single" w:sz="4" w:space="0" w:color="auto"/>
              <w:left w:val="nil"/>
              <w:bottom w:val="double" w:sz="6" w:space="0" w:color="auto"/>
              <w:right w:val="nil"/>
            </w:tcBorders>
            <w:shd w:val="clear" w:color="000000" w:fill="C9E3B4"/>
            <w:noWrap/>
            <w:vAlign w:val="center"/>
            <w:hideMark/>
          </w:tcPr>
          <w:p w14:paraId="08DEF933" w14:textId="77777777" w:rsidR="00BC5219" w:rsidRPr="00961B53" w:rsidRDefault="00BC5219" w:rsidP="00E83802">
            <w:pPr>
              <w:jc w:val="right"/>
              <w:rPr>
                <w:rFonts w:ascii="Meta Pro" w:eastAsia="Times New Roman" w:hAnsi="Meta Pro"/>
                <w:b/>
                <w:bCs/>
                <w:sz w:val="16"/>
                <w:szCs w:val="16"/>
                <w:lang w:eastAsia="en-AU"/>
              </w:rPr>
            </w:pPr>
            <w:r w:rsidRPr="00961B53">
              <w:rPr>
                <w:rFonts w:ascii="Meta Pro" w:eastAsia="Times New Roman" w:hAnsi="Meta Pro"/>
                <w:b/>
                <w:bCs/>
                <w:sz w:val="16"/>
                <w:szCs w:val="16"/>
                <w:lang w:eastAsia="en-AU"/>
              </w:rPr>
              <w:t xml:space="preserve">1,282,426 </w:t>
            </w:r>
          </w:p>
        </w:tc>
        <w:tc>
          <w:tcPr>
            <w:tcW w:w="79" w:type="dxa"/>
            <w:tcBorders>
              <w:top w:val="nil"/>
              <w:left w:val="nil"/>
              <w:bottom w:val="nil"/>
              <w:right w:val="nil"/>
            </w:tcBorders>
            <w:shd w:val="clear" w:color="auto" w:fill="auto"/>
            <w:noWrap/>
            <w:vAlign w:val="center"/>
            <w:hideMark/>
          </w:tcPr>
          <w:p w14:paraId="6D0AC0A3" w14:textId="77777777" w:rsidR="00BC5219" w:rsidRPr="00961B53" w:rsidRDefault="00BC5219" w:rsidP="00E83802">
            <w:pPr>
              <w:jc w:val="right"/>
              <w:rPr>
                <w:rFonts w:ascii="Meta Pro" w:eastAsia="Times New Roman" w:hAnsi="Meta Pro"/>
                <w:b/>
                <w:bCs/>
                <w:sz w:val="16"/>
                <w:szCs w:val="16"/>
                <w:lang w:eastAsia="en-AU"/>
              </w:rPr>
            </w:pPr>
          </w:p>
        </w:tc>
        <w:tc>
          <w:tcPr>
            <w:tcW w:w="1191" w:type="dxa"/>
            <w:tcBorders>
              <w:top w:val="single" w:sz="4" w:space="0" w:color="auto"/>
              <w:left w:val="nil"/>
              <w:bottom w:val="double" w:sz="6" w:space="0" w:color="auto"/>
              <w:right w:val="nil"/>
            </w:tcBorders>
            <w:shd w:val="clear" w:color="000000" w:fill="C9E3B4"/>
            <w:noWrap/>
            <w:vAlign w:val="center"/>
            <w:hideMark/>
          </w:tcPr>
          <w:p w14:paraId="508D2660" w14:textId="77777777" w:rsidR="00BC5219" w:rsidRPr="00961B53" w:rsidRDefault="00BC5219" w:rsidP="00E83802">
            <w:pPr>
              <w:jc w:val="right"/>
              <w:rPr>
                <w:rFonts w:ascii="Meta Pro" w:eastAsia="Times New Roman" w:hAnsi="Meta Pro"/>
                <w:b/>
                <w:bCs/>
                <w:sz w:val="16"/>
                <w:szCs w:val="16"/>
                <w:lang w:eastAsia="en-AU"/>
              </w:rPr>
            </w:pPr>
            <w:r w:rsidRPr="00961B53">
              <w:rPr>
                <w:rFonts w:ascii="Meta Pro" w:eastAsia="Times New Roman" w:hAnsi="Meta Pro"/>
                <w:b/>
                <w:bCs/>
                <w:sz w:val="16"/>
                <w:szCs w:val="16"/>
                <w:lang w:eastAsia="en-AU"/>
              </w:rPr>
              <w:t xml:space="preserve">86,560,344 </w:t>
            </w:r>
          </w:p>
        </w:tc>
        <w:tc>
          <w:tcPr>
            <w:tcW w:w="79" w:type="dxa"/>
            <w:tcBorders>
              <w:top w:val="nil"/>
              <w:left w:val="nil"/>
              <w:bottom w:val="nil"/>
              <w:right w:val="nil"/>
            </w:tcBorders>
            <w:shd w:val="clear" w:color="auto" w:fill="auto"/>
            <w:noWrap/>
            <w:vAlign w:val="center"/>
            <w:hideMark/>
          </w:tcPr>
          <w:p w14:paraId="5205FFC6" w14:textId="77777777" w:rsidR="00BC5219" w:rsidRPr="00961B53" w:rsidRDefault="00BC5219" w:rsidP="00E83802">
            <w:pPr>
              <w:jc w:val="right"/>
              <w:rPr>
                <w:rFonts w:ascii="Meta Pro" w:eastAsia="Times New Roman" w:hAnsi="Meta Pro"/>
                <w:b/>
                <w:bCs/>
                <w:sz w:val="16"/>
                <w:szCs w:val="16"/>
                <w:lang w:eastAsia="en-AU"/>
              </w:rPr>
            </w:pPr>
          </w:p>
        </w:tc>
        <w:tc>
          <w:tcPr>
            <w:tcW w:w="1191" w:type="dxa"/>
            <w:tcBorders>
              <w:top w:val="single" w:sz="4" w:space="0" w:color="auto"/>
              <w:left w:val="nil"/>
              <w:bottom w:val="double" w:sz="6" w:space="0" w:color="auto"/>
              <w:right w:val="nil"/>
            </w:tcBorders>
            <w:shd w:val="clear" w:color="000000" w:fill="C9E3B4"/>
            <w:noWrap/>
            <w:vAlign w:val="center"/>
            <w:hideMark/>
          </w:tcPr>
          <w:p w14:paraId="4B323309" w14:textId="77777777" w:rsidR="00BC5219" w:rsidRPr="00961B53" w:rsidRDefault="00BC5219" w:rsidP="00E83802">
            <w:pPr>
              <w:jc w:val="right"/>
              <w:rPr>
                <w:rFonts w:ascii="Meta Pro" w:eastAsia="Times New Roman" w:hAnsi="Meta Pro"/>
                <w:b/>
                <w:bCs/>
                <w:sz w:val="16"/>
                <w:szCs w:val="16"/>
                <w:lang w:eastAsia="en-AU"/>
              </w:rPr>
            </w:pPr>
            <w:r w:rsidRPr="00961B53">
              <w:rPr>
                <w:rFonts w:ascii="Meta Pro" w:eastAsia="Times New Roman" w:hAnsi="Meta Pro"/>
                <w:b/>
                <w:bCs/>
                <w:sz w:val="16"/>
                <w:szCs w:val="16"/>
                <w:lang w:eastAsia="en-AU"/>
              </w:rPr>
              <w:t xml:space="preserve">8,510,845 </w:t>
            </w:r>
          </w:p>
        </w:tc>
        <w:tc>
          <w:tcPr>
            <w:tcW w:w="79" w:type="dxa"/>
            <w:tcBorders>
              <w:top w:val="nil"/>
              <w:left w:val="nil"/>
              <w:bottom w:val="nil"/>
              <w:right w:val="nil"/>
            </w:tcBorders>
            <w:shd w:val="clear" w:color="auto" w:fill="auto"/>
            <w:noWrap/>
            <w:vAlign w:val="center"/>
            <w:hideMark/>
          </w:tcPr>
          <w:p w14:paraId="5FDCAD85" w14:textId="77777777" w:rsidR="00BC5219" w:rsidRPr="00961B53" w:rsidRDefault="00BC5219" w:rsidP="00E83802">
            <w:pPr>
              <w:jc w:val="right"/>
              <w:rPr>
                <w:rFonts w:ascii="Meta Pro" w:eastAsia="Times New Roman" w:hAnsi="Meta Pro"/>
                <w:b/>
                <w:bCs/>
                <w:sz w:val="16"/>
                <w:szCs w:val="16"/>
                <w:lang w:eastAsia="en-AU"/>
              </w:rPr>
            </w:pPr>
          </w:p>
        </w:tc>
        <w:tc>
          <w:tcPr>
            <w:tcW w:w="1191" w:type="dxa"/>
            <w:tcBorders>
              <w:top w:val="single" w:sz="4" w:space="0" w:color="auto"/>
              <w:left w:val="nil"/>
              <w:bottom w:val="double" w:sz="6" w:space="0" w:color="auto"/>
              <w:right w:val="nil"/>
            </w:tcBorders>
            <w:shd w:val="clear" w:color="000000" w:fill="C9E3B4"/>
            <w:noWrap/>
            <w:vAlign w:val="center"/>
            <w:hideMark/>
          </w:tcPr>
          <w:p w14:paraId="2FF9AB92" w14:textId="77777777" w:rsidR="00BC5219" w:rsidRPr="00961B53" w:rsidRDefault="00BC5219" w:rsidP="00E83802">
            <w:pPr>
              <w:jc w:val="right"/>
              <w:rPr>
                <w:rFonts w:ascii="Meta Pro" w:eastAsia="Times New Roman" w:hAnsi="Meta Pro"/>
                <w:b/>
                <w:bCs/>
                <w:sz w:val="16"/>
                <w:szCs w:val="16"/>
                <w:lang w:eastAsia="en-AU"/>
              </w:rPr>
            </w:pPr>
            <w:r w:rsidRPr="00961B53">
              <w:rPr>
                <w:rFonts w:ascii="Meta Pro" w:eastAsia="Times New Roman" w:hAnsi="Meta Pro"/>
                <w:b/>
                <w:bCs/>
                <w:sz w:val="16"/>
                <w:szCs w:val="16"/>
                <w:lang w:eastAsia="en-AU"/>
              </w:rPr>
              <w:t xml:space="preserve">104,496,070 </w:t>
            </w:r>
          </w:p>
        </w:tc>
      </w:tr>
      <w:tr w:rsidR="00BC5219" w:rsidRPr="00961B53" w14:paraId="46CF4216" w14:textId="77777777" w:rsidTr="00E83802">
        <w:trPr>
          <w:trHeight w:val="198"/>
        </w:trPr>
        <w:tc>
          <w:tcPr>
            <w:tcW w:w="4933" w:type="dxa"/>
            <w:tcBorders>
              <w:top w:val="nil"/>
              <w:left w:val="nil"/>
              <w:bottom w:val="nil"/>
              <w:right w:val="nil"/>
            </w:tcBorders>
            <w:shd w:val="clear" w:color="auto" w:fill="auto"/>
            <w:noWrap/>
            <w:vAlign w:val="center"/>
            <w:hideMark/>
          </w:tcPr>
          <w:p w14:paraId="31E21C15" w14:textId="77777777" w:rsidR="00BC5219" w:rsidRPr="00961B53" w:rsidRDefault="00BC5219" w:rsidP="00E83802">
            <w:pPr>
              <w:jc w:val="right"/>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noWrap/>
            <w:vAlign w:val="center"/>
            <w:hideMark/>
          </w:tcPr>
          <w:p w14:paraId="4A5C2D91" w14:textId="77777777" w:rsidR="00BC5219" w:rsidRPr="00961B53" w:rsidRDefault="00BC5219" w:rsidP="00E83802">
            <w:pPr>
              <w:rPr>
                <w:rFonts w:ascii="Meta Pro" w:eastAsia="Times New Roman" w:hAnsi="Meta Pro" w:cs="Times New Roman"/>
                <w:sz w:val="20"/>
                <w:szCs w:val="20"/>
                <w:lang w:eastAsia="en-AU"/>
              </w:rPr>
            </w:pPr>
          </w:p>
        </w:tc>
        <w:tc>
          <w:tcPr>
            <w:tcW w:w="79" w:type="dxa"/>
            <w:tcBorders>
              <w:top w:val="nil"/>
              <w:left w:val="nil"/>
              <w:bottom w:val="nil"/>
              <w:right w:val="nil"/>
            </w:tcBorders>
            <w:shd w:val="clear" w:color="auto" w:fill="auto"/>
            <w:noWrap/>
            <w:vAlign w:val="center"/>
            <w:hideMark/>
          </w:tcPr>
          <w:p w14:paraId="4D4CE8A5" w14:textId="77777777" w:rsidR="00BC5219" w:rsidRPr="00961B53" w:rsidRDefault="00BC5219" w:rsidP="00E83802">
            <w:pP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1A85DB09" w14:textId="77777777" w:rsidR="00BC5219" w:rsidRPr="00961B53" w:rsidRDefault="00BC5219" w:rsidP="00E83802">
            <w:pPr>
              <w:rPr>
                <w:rFonts w:ascii="Meta Pro" w:eastAsia="Times New Roman" w:hAnsi="Meta Pro" w:cs="Times New Roman"/>
                <w:sz w:val="20"/>
                <w:szCs w:val="20"/>
                <w:lang w:eastAsia="en-AU"/>
              </w:rPr>
            </w:pPr>
          </w:p>
        </w:tc>
        <w:tc>
          <w:tcPr>
            <w:tcW w:w="79" w:type="dxa"/>
            <w:tcBorders>
              <w:top w:val="nil"/>
              <w:left w:val="nil"/>
              <w:bottom w:val="nil"/>
              <w:right w:val="nil"/>
            </w:tcBorders>
            <w:shd w:val="clear" w:color="auto" w:fill="auto"/>
            <w:noWrap/>
            <w:vAlign w:val="center"/>
            <w:hideMark/>
          </w:tcPr>
          <w:p w14:paraId="1C309AA0" w14:textId="77777777" w:rsidR="00BC5219" w:rsidRPr="00961B53" w:rsidRDefault="00BC5219" w:rsidP="00E83802">
            <w:pPr>
              <w:jc w:val="cente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0FA8A200" w14:textId="77777777" w:rsidR="00BC5219" w:rsidRPr="00961B53" w:rsidRDefault="00BC5219" w:rsidP="00E83802">
            <w:pPr>
              <w:rPr>
                <w:rFonts w:ascii="Meta Pro" w:eastAsia="Times New Roman" w:hAnsi="Meta Pro" w:cs="Times New Roman"/>
                <w:sz w:val="20"/>
                <w:szCs w:val="20"/>
                <w:lang w:eastAsia="en-AU"/>
              </w:rPr>
            </w:pPr>
          </w:p>
        </w:tc>
        <w:tc>
          <w:tcPr>
            <w:tcW w:w="79" w:type="dxa"/>
            <w:tcBorders>
              <w:top w:val="nil"/>
              <w:left w:val="nil"/>
              <w:bottom w:val="nil"/>
              <w:right w:val="nil"/>
            </w:tcBorders>
            <w:shd w:val="clear" w:color="auto" w:fill="auto"/>
            <w:noWrap/>
            <w:vAlign w:val="center"/>
            <w:hideMark/>
          </w:tcPr>
          <w:p w14:paraId="535BA47A" w14:textId="77777777" w:rsidR="00BC5219" w:rsidRPr="00961B53" w:rsidRDefault="00BC5219" w:rsidP="00E83802">
            <w:pPr>
              <w:jc w:val="cente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7DC1CB49" w14:textId="77777777" w:rsidR="00BC5219" w:rsidRPr="00961B53" w:rsidRDefault="00BC5219" w:rsidP="00E83802">
            <w:pPr>
              <w:rPr>
                <w:rFonts w:ascii="Meta Pro" w:eastAsia="Times New Roman" w:hAnsi="Meta Pro" w:cs="Times New Roman"/>
                <w:sz w:val="20"/>
                <w:szCs w:val="20"/>
                <w:lang w:eastAsia="en-AU"/>
              </w:rPr>
            </w:pPr>
          </w:p>
        </w:tc>
        <w:tc>
          <w:tcPr>
            <w:tcW w:w="79" w:type="dxa"/>
            <w:tcBorders>
              <w:top w:val="nil"/>
              <w:left w:val="nil"/>
              <w:bottom w:val="nil"/>
              <w:right w:val="nil"/>
            </w:tcBorders>
            <w:shd w:val="clear" w:color="auto" w:fill="auto"/>
            <w:noWrap/>
            <w:vAlign w:val="center"/>
            <w:hideMark/>
          </w:tcPr>
          <w:p w14:paraId="0EA0B01A" w14:textId="77777777" w:rsidR="00BC5219" w:rsidRPr="00961B53" w:rsidRDefault="00BC5219" w:rsidP="00E83802">
            <w:pPr>
              <w:jc w:val="cente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45907D3B" w14:textId="77777777" w:rsidR="00BC5219" w:rsidRPr="00961B53" w:rsidRDefault="00BC5219" w:rsidP="00E83802">
            <w:pPr>
              <w:rPr>
                <w:rFonts w:ascii="Meta Pro" w:eastAsia="Times New Roman" w:hAnsi="Meta Pro" w:cs="Times New Roman"/>
                <w:sz w:val="20"/>
                <w:szCs w:val="20"/>
                <w:lang w:eastAsia="en-AU"/>
              </w:rPr>
            </w:pPr>
          </w:p>
        </w:tc>
        <w:tc>
          <w:tcPr>
            <w:tcW w:w="79" w:type="dxa"/>
            <w:tcBorders>
              <w:top w:val="nil"/>
              <w:left w:val="nil"/>
              <w:bottom w:val="nil"/>
              <w:right w:val="nil"/>
            </w:tcBorders>
            <w:shd w:val="clear" w:color="auto" w:fill="auto"/>
            <w:noWrap/>
            <w:vAlign w:val="center"/>
            <w:hideMark/>
          </w:tcPr>
          <w:p w14:paraId="53212B95" w14:textId="77777777" w:rsidR="00BC5219" w:rsidRPr="00961B53" w:rsidRDefault="00BC5219" w:rsidP="00E83802">
            <w:pPr>
              <w:jc w:val="cente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3A91C33A" w14:textId="77777777" w:rsidR="00BC5219" w:rsidRPr="00961B53" w:rsidRDefault="00BC5219" w:rsidP="00E83802">
            <w:pPr>
              <w:rPr>
                <w:rFonts w:ascii="Meta Pro" w:eastAsia="Times New Roman" w:hAnsi="Meta Pro" w:cs="Times New Roman"/>
                <w:sz w:val="20"/>
                <w:szCs w:val="20"/>
                <w:lang w:eastAsia="en-AU"/>
              </w:rPr>
            </w:pPr>
          </w:p>
        </w:tc>
        <w:tc>
          <w:tcPr>
            <w:tcW w:w="79" w:type="dxa"/>
            <w:tcBorders>
              <w:top w:val="nil"/>
              <w:left w:val="nil"/>
              <w:bottom w:val="nil"/>
              <w:right w:val="nil"/>
            </w:tcBorders>
            <w:shd w:val="clear" w:color="auto" w:fill="auto"/>
            <w:noWrap/>
            <w:vAlign w:val="center"/>
            <w:hideMark/>
          </w:tcPr>
          <w:p w14:paraId="04FB6895" w14:textId="77777777" w:rsidR="00BC5219" w:rsidRPr="00961B53" w:rsidRDefault="00BC5219" w:rsidP="00E83802">
            <w:pPr>
              <w:jc w:val="cente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3BE7CDCF" w14:textId="77777777" w:rsidR="00BC5219" w:rsidRPr="00961B53" w:rsidRDefault="00BC5219" w:rsidP="00E83802">
            <w:pPr>
              <w:rPr>
                <w:rFonts w:ascii="Meta Pro" w:eastAsia="Times New Roman" w:hAnsi="Meta Pro" w:cs="Times New Roman"/>
                <w:sz w:val="20"/>
                <w:szCs w:val="20"/>
                <w:lang w:eastAsia="en-AU"/>
              </w:rPr>
            </w:pPr>
          </w:p>
        </w:tc>
      </w:tr>
      <w:tr w:rsidR="00BC5219" w:rsidRPr="00961B53" w14:paraId="27EC0E24" w14:textId="77777777" w:rsidTr="00E83802">
        <w:trPr>
          <w:trHeight w:val="198"/>
        </w:trPr>
        <w:tc>
          <w:tcPr>
            <w:tcW w:w="4933" w:type="dxa"/>
            <w:tcBorders>
              <w:top w:val="nil"/>
              <w:left w:val="nil"/>
              <w:bottom w:val="nil"/>
              <w:right w:val="nil"/>
            </w:tcBorders>
            <w:shd w:val="clear" w:color="auto" w:fill="auto"/>
            <w:noWrap/>
            <w:vAlign w:val="center"/>
            <w:hideMark/>
          </w:tcPr>
          <w:p w14:paraId="18270F33" w14:textId="77777777" w:rsidR="00BC5219" w:rsidRPr="00961B53" w:rsidRDefault="00BC5219" w:rsidP="00E83802">
            <w:pPr>
              <w:rPr>
                <w:rFonts w:ascii="Meta Pro" w:eastAsia="Times New Roman" w:hAnsi="Meta Pro"/>
                <w:b/>
                <w:bCs/>
                <w:sz w:val="16"/>
                <w:szCs w:val="16"/>
                <w:lang w:eastAsia="en-AU"/>
              </w:rPr>
            </w:pPr>
            <w:r w:rsidRPr="00961B53">
              <w:rPr>
                <w:rFonts w:ascii="Meta Pro" w:eastAsia="Times New Roman" w:hAnsi="Meta Pro"/>
                <w:b/>
                <w:bCs/>
                <w:sz w:val="16"/>
                <w:szCs w:val="16"/>
                <w:lang w:eastAsia="en-AU"/>
              </w:rPr>
              <w:t>Reconciliation</w:t>
            </w:r>
          </w:p>
        </w:tc>
        <w:tc>
          <w:tcPr>
            <w:tcW w:w="1191" w:type="dxa"/>
            <w:tcBorders>
              <w:top w:val="nil"/>
              <w:left w:val="nil"/>
              <w:bottom w:val="nil"/>
              <w:right w:val="nil"/>
            </w:tcBorders>
            <w:shd w:val="clear" w:color="auto" w:fill="auto"/>
            <w:noWrap/>
            <w:vAlign w:val="center"/>
            <w:hideMark/>
          </w:tcPr>
          <w:p w14:paraId="2D7EDCC3" w14:textId="77777777" w:rsidR="00BC5219" w:rsidRPr="00961B53" w:rsidRDefault="00BC5219" w:rsidP="00E83802">
            <w:pPr>
              <w:rPr>
                <w:rFonts w:ascii="Meta Pro" w:eastAsia="Times New Roman" w:hAnsi="Meta Pro"/>
                <w:b/>
                <w:bCs/>
                <w:sz w:val="16"/>
                <w:szCs w:val="16"/>
                <w:lang w:eastAsia="en-AU"/>
              </w:rPr>
            </w:pPr>
          </w:p>
        </w:tc>
        <w:tc>
          <w:tcPr>
            <w:tcW w:w="79" w:type="dxa"/>
            <w:tcBorders>
              <w:top w:val="nil"/>
              <w:left w:val="nil"/>
              <w:bottom w:val="nil"/>
              <w:right w:val="nil"/>
            </w:tcBorders>
            <w:shd w:val="clear" w:color="auto" w:fill="auto"/>
            <w:noWrap/>
            <w:vAlign w:val="center"/>
            <w:hideMark/>
          </w:tcPr>
          <w:p w14:paraId="76E7F862" w14:textId="77777777" w:rsidR="00BC5219" w:rsidRPr="00961B53" w:rsidRDefault="00BC5219" w:rsidP="00E83802">
            <w:pP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3C30B5BF" w14:textId="77777777" w:rsidR="00BC5219" w:rsidRPr="00961B53" w:rsidRDefault="00BC5219" w:rsidP="00E83802">
            <w:pPr>
              <w:rPr>
                <w:rFonts w:ascii="Meta Pro" w:eastAsia="Times New Roman" w:hAnsi="Meta Pro" w:cs="Times New Roman"/>
                <w:sz w:val="20"/>
                <w:szCs w:val="20"/>
                <w:lang w:eastAsia="en-AU"/>
              </w:rPr>
            </w:pPr>
          </w:p>
        </w:tc>
        <w:tc>
          <w:tcPr>
            <w:tcW w:w="79" w:type="dxa"/>
            <w:tcBorders>
              <w:top w:val="nil"/>
              <w:left w:val="nil"/>
              <w:bottom w:val="nil"/>
              <w:right w:val="nil"/>
            </w:tcBorders>
            <w:shd w:val="clear" w:color="auto" w:fill="auto"/>
            <w:noWrap/>
            <w:vAlign w:val="center"/>
            <w:hideMark/>
          </w:tcPr>
          <w:p w14:paraId="33B93AD4" w14:textId="77777777" w:rsidR="00BC5219" w:rsidRPr="00961B53" w:rsidRDefault="00BC5219" w:rsidP="00E83802">
            <w:pPr>
              <w:jc w:val="cente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641293B5" w14:textId="77777777" w:rsidR="00BC5219" w:rsidRPr="00961B53" w:rsidRDefault="00BC5219" w:rsidP="00E83802">
            <w:pPr>
              <w:rPr>
                <w:rFonts w:ascii="Meta Pro" w:eastAsia="Times New Roman" w:hAnsi="Meta Pro" w:cs="Times New Roman"/>
                <w:sz w:val="20"/>
                <w:szCs w:val="20"/>
                <w:lang w:eastAsia="en-AU"/>
              </w:rPr>
            </w:pPr>
          </w:p>
        </w:tc>
        <w:tc>
          <w:tcPr>
            <w:tcW w:w="79" w:type="dxa"/>
            <w:tcBorders>
              <w:top w:val="nil"/>
              <w:left w:val="nil"/>
              <w:bottom w:val="nil"/>
              <w:right w:val="nil"/>
            </w:tcBorders>
            <w:shd w:val="clear" w:color="auto" w:fill="auto"/>
            <w:noWrap/>
            <w:vAlign w:val="center"/>
            <w:hideMark/>
          </w:tcPr>
          <w:p w14:paraId="37B9658A" w14:textId="77777777" w:rsidR="00BC5219" w:rsidRPr="00961B53" w:rsidRDefault="00BC5219" w:rsidP="00E83802">
            <w:pPr>
              <w:jc w:val="cente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5E79305B" w14:textId="77777777" w:rsidR="00BC5219" w:rsidRPr="00961B53" w:rsidRDefault="00BC5219" w:rsidP="00E83802">
            <w:pPr>
              <w:rPr>
                <w:rFonts w:ascii="Meta Pro" w:eastAsia="Times New Roman" w:hAnsi="Meta Pro" w:cs="Times New Roman"/>
                <w:sz w:val="20"/>
                <w:szCs w:val="20"/>
                <w:lang w:eastAsia="en-AU"/>
              </w:rPr>
            </w:pPr>
          </w:p>
        </w:tc>
        <w:tc>
          <w:tcPr>
            <w:tcW w:w="79" w:type="dxa"/>
            <w:tcBorders>
              <w:top w:val="nil"/>
              <w:left w:val="nil"/>
              <w:bottom w:val="nil"/>
              <w:right w:val="nil"/>
            </w:tcBorders>
            <w:shd w:val="clear" w:color="auto" w:fill="auto"/>
            <w:noWrap/>
            <w:vAlign w:val="center"/>
            <w:hideMark/>
          </w:tcPr>
          <w:p w14:paraId="6A40E900" w14:textId="77777777" w:rsidR="00BC5219" w:rsidRPr="00961B53" w:rsidRDefault="00BC5219" w:rsidP="00E83802">
            <w:pPr>
              <w:jc w:val="cente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57378BF3" w14:textId="77777777" w:rsidR="00BC5219" w:rsidRPr="00961B53" w:rsidRDefault="00BC5219" w:rsidP="00E83802">
            <w:pPr>
              <w:rPr>
                <w:rFonts w:ascii="Meta Pro" w:eastAsia="Times New Roman" w:hAnsi="Meta Pro" w:cs="Times New Roman"/>
                <w:sz w:val="20"/>
                <w:szCs w:val="20"/>
                <w:lang w:eastAsia="en-AU"/>
              </w:rPr>
            </w:pPr>
          </w:p>
        </w:tc>
        <w:tc>
          <w:tcPr>
            <w:tcW w:w="79" w:type="dxa"/>
            <w:tcBorders>
              <w:top w:val="nil"/>
              <w:left w:val="nil"/>
              <w:bottom w:val="nil"/>
              <w:right w:val="nil"/>
            </w:tcBorders>
            <w:shd w:val="clear" w:color="auto" w:fill="auto"/>
            <w:noWrap/>
            <w:vAlign w:val="center"/>
            <w:hideMark/>
          </w:tcPr>
          <w:p w14:paraId="0900D926" w14:textId="77777777" w:rsidR="00BC5219" w:rsidRPr="00961B53" w:rsidRDefault="00BC5219" w:rsidP="00E83802">
            <w:pPr>
              <w:jc w:val="cente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0097418D" w14:textId="77777777" w:rsidR="00BC5219" w:rsidRPr="00961B53" w:rsidRDefault="00BC5219" w:rsidP="00E83802">
            <w:pPr>
              <w:rPr>
                <w:rFonts w:ascii="Meta Pro" w:eastAsia="Times New Roman" w:hAnsi="Meta Pro" w:cs="Times New Roman"/>
                <w:sz w:val="20"/>
                <w:szCs w:val="20"/>
                <w:lang w:eastAsia="en-AU"/>
              </w:rPr>
            </w:pPr>
          </w:p>
        </w:tc>
        <w:tc>
          <w:tcPr>
            <w:tcW w:w="79" w:type="dxa"/>
            <w:tcBorders>
              <w:top w:val="nil"/>
              <w:left w:val="nil"/>
              <w:bottom w:val="nil"/>
              <w:right w:val="nil"/>
            </w:tcBorders>
            <w:shd w:val="clear" w:color="auto" w:fill="auto"/>
            <w:noWrap/>
            <w:vAlign w:val="center"/>
            <w:hideMark/>
          </w:tcPr>
          <w:p w14:paraId="45BA8149" w14:textId="77777777" w:rsidR="00BC5219" w:rsidRPr="00961B53" w:rsidRDefault="00BC5219" w:rsidP="00E83802">
            <w:pPr>
              <w:jc w:val="cente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1EFE96CE" w14:textId="77777777" w:rsidR="00BC5219" w:rsidRPr="00961B53" w:rsidRDefault="00BC5219" w:rsidP="00E83802">
            <w:pPr>
              <w:rPr>
                <w:rFonts w:ascii="Meta Pro" w:eastAsia="Times New Roman" w:hAnsi="Meta Pro" w:cs="Times New Roman"/>
                <w:sz w:val="20"/>
                <w:szCs w:val="20"/>
                <w:lang w:eastAsia="en-AU"/>
              </w:rPr>
            </w:pPr>
          </w:p>
        </w:tc>
      </w:tr>
      <w:tr w:rsidR="00BC5219" w:rsidRPr="00961B53" w14:paraId="5666C292" w14:textId="77777777" w:rsidTr="00E83802">
        <w:trPr>
          <w:trHeight w:val="198"/>
        </w:trPr>
        <w:tc>
          <w:tcPr>
            <w:tcW w:w="4933" w:type="dxa"/>
            <w:tcBorders>
              <w:top w:val="nil"/>
              <w:left w:val="nil"/>
              <w:bottom w:val="nil"/>
              <w:right w:val="nil"/>
            </w:tcBorders>
            <w:shd w:val="clear" w:color="auto" w:fill="auto"/>
            <w:vAlign w:val="center"/>
            <w:hideMark/>
          </w:tcPr>
          <w:p w14:paraId="25E7427D" w14:textId="77777777" w:rsidR="00BC5219" w:rsidRPr="00961B53" w:rsidRDefault="00BC5219" w:rsidP="00E83802">
            <w:pPr>
              <w:rPr>
                <w:rFonts w:ascii="Meta Pro" w:eastAsia="Times New Roman" w:hAnsi="Meta Pro"/>
                <w:sz w:val="16"/>
                <w:szCs w:val="16"/>
                <w:lang w:eastAsia="en-AU"/>
              </w:rPr>
            </w:pPr>
            <w:r w:rsidRPr="00961B53">
              <w:rPr>
                <w:rFonts w:ascii="Meta Pro" w:eastAsia="Times New Roman" w:hAnsi="Meta Pro"/>
                <w:sz w:val="16"/>
                <w:szCs w:val="16"/>
                <w:lang w:eastAsia="en-AU"/>
              </w:rPr>
              <w:t>Carrying amount at 1 July</w:t>
            </w:r>
          </w:p>
        </w:tc>
        <w:tc>
          <w:tcPr>
            <w:tcW w:w="1191" w:type="dxa"/>
            <w:tcBorders>
              <w:top w:val="nil"/>
              <w:left w:val="nil"/>
              <w:bottom w:val="nil"/>
              <w:right w:val="nil"/>
            </w:tcBorders>
            <w:shd w:val="clear" w:color="000000" w:fill="C9E3B4"/>
            <w:noWrap/>
            <w:vAlign w:val="center"/>
            <w:hideMark/>
          </w:tcPr>
          <w:p w14:paraId="33EE6CDC"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6,023,069 </w:t>
            </w:r>
          </w:p>
        </w:tc>
        <w:tc>
          <w:tcPr>
            <w:tcW w:w="79" w:type="dxa"/>
            <w:tcBorders>
              <w:top w:val="nil"/>
              <w:left w:val="nil"/>
              <w:bottom w:val="nil"/>
              <w:right w:val="nil"/>
            </w:tcBorders>
            <w:shd w:val="clear" w:color="auto" w:fill="auto"/>
            <w:noWrap/>
            <w:vAlign w:val="center"/>
            <w:hideMark/>
          </w:tcPr>
          <w:p w14:paraId="5CD2F748"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24656A50"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810,686 </w:t>
            </w:r>
          </w:p>
        </w:tc>
        <w:tc>
          <w:tcPr>
            <w:tcW w:w="79" w:type="dxa"/>
            <w:tcBorders>
              <w:top w:val="nil"/>
              <w:left w:val="nil"/>
              <w:bottom w:val="nil"/>
              <w:right w:val="nil"/>
            </w:tcBorders>
            <w:shd w:val="clear" w:color="auto" w:fill="auto"/>
            <w:noWrap/>
            <w:vAlign w:val="center"/>
            <w:hideMark/>
          </w:tcPr>
          <w:p w14:paraId="61AC3AC7"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2757DB95"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184,626 </w:t>
            </w:r>
          </w:p>
        </w:tc>
        <w:tc>
          <w:tcPr>
            <w:tcW w:w="79" w:type="dxa"/>
            <w:tcBorders>
              <w:top w:val="nil"/>
              <w:left w:val="nil"/>
              <w:bottom w:val="nil"/>
              <w:right w:val="nil"/>
            </w:tcBorders>
            <w:shd w:val="clear" w:color="auto" w:fill="auto"/>
            <w:noWrap/>
            <w:vAlign w:val="center"/>
            <w:hideMark/>
          </w:tcPr>
          <w:p w14:paraId="708F9D32"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508E7E99"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1,169,543 </w:t>
            </w:r>
          </w:p>
        </w:tc>
        <w:tc>
          <w:tcPr>
            <w:tcW w:w="79" w:type="dxa"/>
            <w:tcBorders>
              <w:top w:val="nil"/>
              <w:left w:val="nil"/>
              <w:bottom w:val="nil"/>
              <w:right w:val="nil"/>
            </w:tcBorders>
            <w:shd w:val="clear" w:color="auto" w:fill="auto"/>
            <w:noWrap/>
            <w:vAlign w:val="center"/>
            <w:hideMark/>
          </w:tcPr>
          <w:p w14:paraId="059BA21B"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3EA69636" w14:textId="77777777" w:rsidR="00BC5219" w:rsidRPr="00961B53" w:rsidRDefault="00BC5219" w:rsidP="00E83802">
            <w:pPr>
              <w:jc w:val="right"/>
              <w:rPr>
                <w:rFonts w:ascii="Meta Pro" w:eastAsia="Times New Roman" w:hAnsi="Meta Pro"/>
                <w:color w:val="000000"/>
                <w:sz w:val="16"/>
                <w:szCs w:val="16"/>
                <w:lang w:eastAsia="en-AU"/>
              </w:rPr>
            </w:pPr>
            <w:r w:rsidRPr="00961B53">
              <w:rPr>
                <w:rFonts w:ascii="Meta Pro" w:eastAsia="Times New Roman" w:hAnsi="Meta Pro"/>
                <w:color w:val="000000"/>
                <w:sz w:val="16"/>
                <w:szCs w:val="16"/>
                <w:lang w:eastAsia="en-AU"/>
              </w:rPr>
              <w:t xml:space="preserve">73,237,010 </w:t>
            </w:r>
          </w:p>
        </w:tc>
        <w:tc>
          <w:tcPr>
            <w:tcW w:w="79" w:type="dxa"/>
            <w:tcBorders>
              <w:top w:val="nil"/>
              <w:left w:val="nil"/>
              <w:bottom w:val="nil"/>
              <w:right w:val="nil"/>
            </w:tcBorders>
            <w:shd w:val="clear" w:color="auto" w:fill="auto"/>
            <w:noWrap/>
            <w:vAlign w:val="center"/>
            <w:hideMark/>
          </w:tcPr>
          <w:p w14:paraId="17DD7C7F" w14:textId="77777777" w:rsidR="00BC5219" w:rsidRPr="00961B53" w:rsidRDefault="00BC5219" w:rsidP="00E83802">
            <w:pPr>
              <w:jc w:val="right"/>
              <w:rPr>
                <w:rFonts w:ascii="Meta Pro" w:eastAsia="Times New Roman" w:hAnsi="Meta Pro"/>
                <w:color w:val="000000"/>
                <w:sz w:val="16"/>
                <w:szCs w:val="16"/>
                <w:lang w:eastAsia="en-AU"/>
              </w:rPr>
            </w:pPr>
          </w:p>
        </w:tc>
        <w:tc>
          <w:tcPr>
            <w:tcW w:w="1191" w:type="dxa"/>
            <w:tcBorders>
              <w:top w:val="nil"/>
              <w:left w:val="nil"/>
              <w:bottom w:val="nil"/>
              <w:right w:val="nil"/>
            </w:tcBorders>
            <w:shd w:val="clear" w:color="000000" w:fill="C9E3B4"/>
            <w:noWrap/>
            <w:vAlign w:val="center"/>
            <w:hideMark/>
          </w:tcPr>
          <w:p w14:paraId="26FDD6AD"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5,574,785 </w:t>
            </w:r>
          </w:p>
        </w:tc>
        <w:tc>
          <w:tcPr>
            <w:tcW w:w="79" w:type="dxa"/>
            <w:tcBorders>
              <w:top w:val="nil"/>
              <w:left w:val="nil"/>
              <w:bottom w:val="nil"/>
              <w:right w:val="nil"/>
            </w:tcBorders>
            <w:shd w:val="clear" w:color="auto" w:fill="auto"/>
            <w:noWrap/>
            <w:vAlign w:val="center"/>
            <w:hideMark/>
          </w:tcPr>
          <w:p w14:paraId="732169B6"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63E1542A" w14:textId="77777777" w:rsidR="00BC5219" w:rsidRPr="00961B53" w:rsidRDefault="00BC5219" w:rsidP="00E83802">
            <w:pPr>
              <w:jc w:val="right"/>
              <w:rPr>
                <w:rFonts w:ascii="Meta Pro" w:eastAsia="Times New Roman" w:hAnsi="Meta Pro"/>
                <w:b/>
                <w:bCs/>
                <w:sz w:val="16"/>
                <w:szCs w:val="16"/>
                <w:lang w:eastAsia="en-AU"/>
              </w:rPr>
            </w:pPr>
            <w:r w:rsidRPr="00961B53">
              <w:rPr>
                <w:rFonts w:ascii="Meta Pro" w:eastAsia="Times New Roman" w:hAnsi="Meta Pro"/>
                <w:b/>
                <w:bCs/>
                <w:sz w:val="16"/>
                <w:szCs w:val="16"/>
                <w:lang w:eastAsia="en-AU"/>
              </w:rPr>
              <w:t xml:space="preserve">86,999,719 </w:t>
            </w:r>
          </w:p>
        </w:tc>
      </w:tr>
      <w:tr w:rsidR="00BC5219" w:rsidRPr="00961B53" w14:paraId="2544181F" w14:textId="77777777" w:rsidTr="00E83802">
        <w:trPr>
          <w:trHeight w:val="198"/>
        </w:trPr>
        <w:tc>
          <w:tcPr>
            <w:tcW w:w="4933" w:type="dxa"/>
            <w:tcBorders>
              <w:top w:val="nil"/>
              <w:left w:val="nil"/>
              <w:bottom w:val="nil"/>
              <w:right w:val="nil"/>
            </w:tcBorders>
            <w:shd w:val="clear" w:color="auto" w:fill="auto"/>
            <w:vAlign w:val="center"/>
            <w:hideMark/>
          </w:tcPr>
          <w:p w14:paraId="3F4349C9" w14:textId="77777777" w:rsidR="00BC5219" w:rsidRPr="00961B53" w:rsidRDefault="00BC5219" w:rsidP="00E83802">
            <w:pPr>
              <w:rPr>
                <w:rFonts w:ascii="Meta Pro" w:eastAsia="Times New Roman" w:hAnsi="Meta Pro"/>
                <w:sz w:val="16"/>
                <w:szCs w:val="16"/>
                <w:lang w:eastAsia="en-AU"/>
              </w:rPr>
            </w:pPr>
            <w:r w:rsidRPr="00961B53">
              <w:rPr>
                <w:rFonts w:ascii="Meta Pro" w:eastAsia="Times New Roman" w:hAnsi="Meta Pro"/>
                <w:sz w:val="16"/>
                <w:szCs w:val="16"/>
                <w:lang w:eastAsia="en-AU"/>
              </w:rPr>
              <w:t>Assets received due to machinery-of-government change</w:t>
            </w:r>
          </w:p>
        </w:tc>
        <w:tc>
          <w:tcPr>
            <w:tcW w:w="1191" w:type="dxa"/>
            <w:tcBorders>
              <w:top w:val="nil"/>
              <w:left w:val="nil"/>
              <w:bottom w:val="nil"/>
              <w:right w:val="nil"/>
            </w:tcBorders>
            <w:shd w:val="clear" w:color="000000" w:fill="C9E3B4"/>
            <w:noWrap/>
            <w:vAlign w:val="center"/>
            <w:hideMark/>
          </w:tcPr>
          <w:p w14:paraId="13726955" w14:textId="77777777" w:rsidR="00BC5219" w:rsidRPr="00961B53" w:rsidRDefault="00BC5219" w:rsidP="00E83802">
            <w:pPr>
              <w:rPr>
                <w:rFonts w:ascii="Meta Pro" w:eastAsia="Times New Roman" w:hAnsi="Meta Pro"/>
                <w:sz w:val="16"/>
                <w:szCs w:val="16"/>
                <w:lang w:eastAsia="en-AU"/>
              </w:rPr>
            </w:pPr>
            <w:r w:rsidRPr="00961B53">
              <w:rPr>
                <w:rFonts w:ascii="Meta Pro" w:eastAsia="Times New Roman" w:hAnsi="Meta Pro"/>
                <w:sz w:val="16"/>
                <w:szCs w:val="16"/>
                <w:lang w:eastAsia="en-AU"/>
              </w:rPr>
              <w:t> </w:t>
            </w:r>
          </w:p>
        </w:tc>
        <w:tc>
          <w:tcPr>
            <w:tcW w:w="79" w:type="dxa"/>
            <w:tcBorders>
              <w:top w:val="nil"/>
              <w:left w:val="nil"/>
              <w:bottom w:val="nil"/>
              <w:right w:val="nil"/>
            </w:tcBorders>
            <w:shd w:val="clear" w:color="auto" w:fill="auto"/>
            <w:noWrap/>
            <w:vAlign w:val="center"/>
            <w:hideMark/>
          </w:tcPr>
          <w:p w14:paraId="273F9608" w14:textId="77777777" w:rsidR="00BC5219" w:rsidRPr="00961B53" w:rsidRDefault="00BC5219" w:rsidP="00E83802">
            <w:pPr>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4D6B7491" w14:textId="77777777" w:rsidR="00BC5219" w:rsidRPr="00961B53" w:rsidRDefault="00BC5219" w:rsidP="00E83802">
            <w:pPr>
              <w:rPr>
                <w:rFonts w:ascii="Meta Pro" w:eastAsia="Times New Roman" w:hAnsi="Meta Pro"/>
                <w:sz w:val="16"/>
                <w:szCs w:val="16"/>
                <w:lang w:eastAsia="en-AU"/>
              </w:rPr>
            </w:pPr>
            <w:r w:rsidRPr="00961B53">
              <w:rPr>
                <w:rFonts w:ascii="Meta Pro" w:eastAsia="Times New Roman" w:hAnsi="Meta Pro"/>
                <w:sz w:val="16"/>
                <w:szCs w:val="16"/>
                <w:lang w:eastAsia="en-AU"/>
              </w:rPr>
              <w:t> </w:t>
            </w:r>
          </w:p>
        </w:tc>
        <w:tc>
          <w:tcPr>
            <w:tcW w:w="79" w:type="dxa"/>
            <w:tcBorders>
              <w:top w:val="nil"/>
              <w:left w:val="nil"/>
              <w:bottom w:val="nil"/>
              <w:right w:val="nil"/>
            </w:tcBorders>
            <w:shd w:val="clear" w:color="auto" w:fill="auto"/>
            <w:noWrap/>
            <w:vAlign w:val="center"/>
            <w:hideMark/>
          </w:tcPr>
          <w:p w14:paraId="2E63B957" w14:textId="77777777" w:rsidR="00BC5219" w:rsidRPr="00961B53" w:rsidRDefault="00BC5219" w:rsidP="00E83802">
            <w:pPr>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42CA1034" w14:textId="77777777" w:rsidR="00BC5219" w:rsidRPr="00961B53" w:rsidRDefault="00BC5219" w:rsidP="00E83802">
            <w:pPr>
              <w:rPr>
                <w:rFonts w:ascii="Meta Pro" w:eastAsia="Times New Roman" w:hAnsi="Meta Pro"/>
                <w:sz w:val="16"/>
                <w:szCs w:val="16"/>
                <w:lang w:eastAsia="en-AU"/>
              </w:rPr>
            </w:pPr>
            <w:r w:rsidRPr="00961B53">
              <w:rPr>
                <w:rFonts w:ascii="Meta Pro" w:eastAsia="Times New Roman" w:hAnsi="Meta Pro"/>
                <w:sz w:val="16"/>
                <w:szCs w:val="16"/>
                <w:lang w:eastAsia="en-AU"/>
              </w:rPr>
              <w:t> </w:t>
            </w:r>
          </w:p>
        </w:tc>
        <w:tc>
          <w:tcPr>
            <w:tcW w:w="79" w:type="dxa"/>
            <w:tcBorders>
              <w:top w:val="nil"/>
              <w:left w:val="nil"/>
              <w:bottom w:val="nil"/>
              <w:right w:val="nil"/>
            </w:tcBorders>
            <w:shd w:val="clear" w:color="auto" w:fill="auto"/>
            <w:noWrap/>
            <w:vAlign w:val="center"/>
            <w:hideMark/>
          </w:tcPr>
          <w:p w14:paraId="5CDC6D4F" w14:textId="77777777" w:rsidR="00BC5219" w:rsidRPr="00961B53" w:rsidRDefault="00BC5219" w:rsidP="00E83802">
            <w:pPr>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0F5A6869" w14:textId="77777777" w:rsidR="00BC5219" w:rsidRPr="00961B53" w:rsidRDefault="00BC5219" w:rsidP="00E83802">
            <w:pPr>
              <w:rPr>
                <w:rFonts w:ascii="Meta Pro" w:eastAsia="Times New Roman" w:hAnsi="Meta Pro"/>
                <w:sz w:val="16"/>
                <w:szCs w:val="16"/>
                <w:lang w:eastAsia="en-AU"/>
              </w:rPr>
            </w:pPr>
            <w:r w:rsidRPr="00961B53">
              <w:rPr>
                <w:rFonts w:ascii="Meta Pro" w:eastAsia="Times New Roman" w:hAnsi="Meta Pro"/>
                <w:sz w:val="16"/>
                <w:szCs w:val="16"/>
                <w:lang w:eastAsia="en-AU"/>
              </w:rPr>
              <w:t> </w:t>
            </w:r>
          </w:p>
        </w:tc>
        <w:tc>
          <w:tcPr>
            <w:tcW w:w="79" w:type="dxa"/>
            <w:tcBorders>
              <w:top w:val="nil"/>
              <w:left w:val="nil"/>
              <w:bottom w:val="nil"/>
              <w:right w:val="nil"/>
            </w:tcBorders>
            <w:shd w:val="clear" w:color="auto" w:fill="auto"/>
            <w:noWrap/>
            <w:vAlign w:val="center"/>
            <w:hideMark/>
          </w:tcPr>
          <w:p w14:paraId="1A644F86" w14:textId="77777777" w:rsidR="00BC5219" w:rsidRPr="00961B53" w:rsidRDefault="00BC5219" w:rsidP="00E83802">
            <w:pPr>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154B972E" w14:textId="77777777" w:rsidR="00BC5219" w:rsidRPr="00961B53" w:rsidRDefault="00BC5219" w:rsidP="00E83802">
            <w:pPr>
              <w:rPr>
                <w:rFonts w:ascii="Meta Pro" w:eastAsia="Times New Roman" w:hAnsi="Meta Pro"/>
                <w:color w:val="000000"/>
                <w:sz w:val="16"/>
                <w:szCs w:val="16"/>
                <w:lang w:eastAsia="en-AU"/>
              </w:rPr>
            </w:pPr>
            <w:r w:rsidRPr="00961B53">
              <w:rPr>
                <w:rFonts w:ascii="Meta Pro" w:eastAsia="Times New Roman" w:hAnsi="Meta Pro"/>
                <w:color w:val="000000"/>
                <w:sz w:val="16"/>
                <w:szCs w:val="16"/>
                <w:lang w:eastAsia="en-AU"/>
              </w:rPr>
              <w:t> </w:t>
            </w:r>
          </w:p>
        </w:tc>
        <w:tc>
          <w:tcPr>
            <w:tcW w:w="79" w:type="dxa"/>
            <w:tcBorders>
              <w:top w:val="nil"/>
              <w:left w:val="nil"/>
              <w:bottom w:val="nil"/>
              <w:right w:val="nil"/>
            </w:tcBorders>
            <w:shd w:val="clear" w:color="auto" w:fill="auto"/>
            <w:noWrap/>
            <w:vAlign w:val="center"/>
            <w:hideMark/>
          </w:tcPr>
          <w:p w14:paraId="0FF38ED7" w14:textId="77777777" w:rsidR="00BC5219" w:rsidRPr="00961B53" w:rsidRDefault="00BC5219" w:rsidP="00E83802">
            <w:pPr>
              <w:rPr>
                <w:rFonts w:ascii="Meta Pro" w:eastAsia="Times New Roman" w:hAnsi="Meta Pro"/>
                <w:color w:val="000000"/>
                <w:sz w:val="16"/>
                <w:szCs w:val="16"/>
                <w:lang w:eastAsia="en-AU"/>
              </w:rPr>
            </w:pPr>
          </w:p>
        </w:tc>
        <w:tc>
          <w:tcPr>
            <w:tcW w:w="1191" w:type="dxa"/>
            <w:tcBorders>
              <w:top w:val="nil"/>
              <w:left w:val="nil"/>
              <w:bottom w:val="nil"/>
              <w:right w:val="nil"/>
            </w:tcBorders>
            <w:shd w:val="clear" w:color="000000" w:fill="C9E3B4"/>
            <w:noWrap/>
            <w:vAlign w:val="center"/>
            <w:hideMark/>
          </w:tcPr>
          <w:p w14:paraId="0DBB7A64" w14:textId="77777777" w:rsidR="00BC5219" w:rsidRPr="00961B53" w:rsidRDefault="00BC5219" w:rsidP="00E83802">
            <w:pPr>
              <w:rPr>
                <w:rFonts w:ascii="Meta Pro" w:eastAsia="Times New Roman" w:hAnsi="Meta Pro"/>
                <w:sz w:val="16"/>
                <w:szCs w:val="16"/>
                <w:lang w:eastAsia="en-AU"/>
              </w:rPr>
            </w:pPr>
            <w:r w:rsidRPr="00961B53">
              <w:rPr>
                <w:rFonts w:ascii="Meta Pro" w:eastAsia="Times New Roman" w:hAnsi="Meta Pro"/>
                <w:sz w:val="16"/>
                <w:szCs w:val="16"/>
                <w:lang w:eastAsia="en-AU"/>
              </w:rPr>
              <w:t> </w:t>
            </w:r>
          </w:p>
        </w:tc>
        <w:tc>
          <w:tcPr>
            <w:tcW w:w="79" w:type="dxa"/>
            <w:tcBorders>
              <w:top w:val="nil"/>
              <w:left w:val="nil"/>
              <w:bottom w:val="nil"/>
              <w:right w:val="nil"/>
            </w:tcBorders>
            <w:shd w:val="clear" w:color="auto" w:fill="auto"/>
            <w:noWrap/>
            <w:vAlign w:val="center"/>
            <w:hideMark/>
          </w:tcPr>
          <w:p w14:paraId="6C530F37" w14:textId="77777777" w:rsidR="00BC5219" w:rsidRPr="00961B53" w:rsidRDefault="00BC5219" w:rsidP="00E83802">
            <w:pPr>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497B965C" w14:textId="77777777" w:rsidR="00BC5219" w:rsidRPr="00961B53" w:rsidRDefault="00BC5219" w:rsidP="00E83802">
            <w:pPr>
              <w:rPr>
                <w:rFonts w:ascii="Meta Pro" w:eastAsia="Times New Roman" w:hAnsi="Meta Pro"/>
                <w:b/>
                <w:bCs/>
                <w:sz w:val="16"/>
                <w:szCs w:val="16"/>
                <w:lang w:eastAsia="en-AU"/>
              </w:rPr>
            </w:pPr>
            <w:r w:rsidRPr="00961B53">
              <w:rPr>
                <w:rFonts w:ascii="Meta Pro" w:eastAsia="Times New Roman" w:hAnsi="Meta Pro"/>
                <w:b/>
                <w:bCs/>
                <w:sz w:val="16"/>
                <w:szCs w:val="16"/>
                <w:lang w:eastAsia="en-AU"/>
              </w:rPr>
              <w:t> </w:t>
            </w:r>
          </w:p>
        </w:tc>
      </w:tr>
      <w:tr w:rsidR="00BC5219" w:rsidRPr="00961B53" w14:paraId="745A0802" w14:textId="77777777" w:rsidTr="00E83802">
        <w:trPr>
          <w:trHeight w:val="198"/>
        </w:trPr>
        <w:tc>
          <w:tcPr>
            <w:tcW w:w="4933" w:type="dxa"/>
            <w:tcBorders>
              <w:top w:val="nil"/>
              <w:left w:val="nil"/>
              <w:bottom w:val="nil"/>
              <w:right w:val="nil"/>
            </w:tcBorders>
            <w:shd w:val="clear" w:color="auto" w:fill="auto"/>
            <w:vAlign w:val="center"/>
            <w:hideMark/>
          </w:tcPr>
          <w:p w14:paraId="405E28CA" w14:textId="77777777" w:rsidR="00BC5219" w:rsidRPr="00961B53" w:rsidRDefault="00BC5219" w:rsidP="00E83802">
            <w:pPr>
              <w:rPr>
                <w:rFonts w:ascii="Meta Pro" w:eastAsia="Times New Roman" w:hAnsi="Meta Pro"/>
                <w:sz w:val="16"/>
                <w:szCs w:val="16"/>
                <w:lang w:eastAsia="en-AU"/>
              </w:rPr>
            </w:pPr>
            <w:r w:rsidRPr="00961B53">
              <w:rPr>
                <w:rFonts w:ascii="Meta Pro" w:eastAsia="Times New Roman" w:hAnsi="Meta Pro"/>
                <w:sz w:val="16"/>
                <w:szCs w:val="16"/>
                <w:lang w:eastAsia="en-AU"/>
              </w:rPr>
              <w:t>(refer to Note 1)</w:t>
            </w:r>
          </w:p>
        </w:tc>
        <w:tc>
          <w:tcPr>
            <w:tcW w:w="1191" w:type="dxa"/>
            <w:tcBorders>
              <w:top w:val="nil"/>
              <w:left w:val="nil"/>
              <w:bottom w:val="nil"/>
              <w:right w:val="nil"/>
            </w:tcBorders>
            <w:shd w:val="clear" w:color="000000" w:fill="C9E3B4"/>
            <w:noWrap/>
            <w:vAlign w:val="center"/>
            <w:hideMark/>
          </w:tcPr>
          <w:p w14:paraId="774FAAD1"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 </w:t>
            </w:r>
          </w:p>
        </w:tc>
        <w:tc>
          <w:tcPr>
            <w:tcW w:w="79" w:type="dxa"/>
            <w:tcBorders>
              <w:top w:val="nil"/>
              <w:left w:val="nil"/>
              <w:bottom w:val="nil"/>
              <w:right w:val="nil"/>
            </w:tcBorders>
            <w:shd w:val="clear" w:color="auto" w:fill="auto"/>
            <w:noWrap/>
            <w:vAlign w:val="center"/>
            <w:hideMark/>
          </w:tcPr>
          <w:p w14:paraId="4659012C"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5F8EC887"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 </w:t>
            </w:r>
          </w:p>
        </w:tc>
        <w:tc>
          <w:tcPr>
            <w:tcW w:w="79" w:type="dxa"/>
            <w:tcBorders>
              <w:top w:val="nil"/>
              <w:left w:val="nil"/>
              <w:bottom w:val="nil"/>
              <w:right w:val="nil"/>
            </w:tcBorders>
            <w:shd w:val="clear" w:color="auto" w:fill="auto"/>
            <w:noWrap/>
            <w:vAlign w:val="center"/>
            <w:hideMark/>
          </w:tcPr>
          <w:p w14:paraId="03AFD131"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0AF8F8BB"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8,102 </w:t>
            </w:r>
          </w:p>
        </w:tc>
        <w:tc>
          <w:tcPr>
            <w:tcW w:w="79" w:type="dxa"/>
            <w:tcBorders>
              <w:top w:val="nil"/>
              <w:left w:val="nil"/>
              <w:bottom w:val="nil"/>
              <w:right w:val="nil"/>
            </w:tcBorders>
            <w:shd w:val="clear" w:color="auto" w:fill="auto"/>
            <w:noWrap/>
            <w:vAlign w:val="center"/>
            <w:hideMark/>
          </w:tcPr>
          <w:p w14:paraId="0C6ACCB1"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783B62F6"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 </w:t>
            </w:r>
          </w:p>
        </w:tc>
        <w:tc>
          <w:tcPr>
            <w:tcW w:w="79" w:type="dxa"/>
            <w:tcBorders>
              <w:top w:val="nil"/>
              <w:left w:val="nil"/>
              <w:bottom w:val="nil"/>
              <w:right w:val="nil"/>
            </w:tcBorders>
            <w:shd w:val="clear" w:color="auto" w:fill="auto"/>
            <w:noWrap/>
            <w:vAlign w:val="center"/>
            <w:hideMark/>
          </w:tcPr>
          <w:p w14:paraId="19506E35"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3DA09E07" w14:textId="77777777" w:rsidR="00BC5219" w:rsidRPr="00961B53" w:rsidRDefault="00BC5219" w:rsidP="00E83802">
            <w:pPr>
              <w:jc w:val="right"/>
              <w:rPr>
                <w:rFonts w:ascii="Meta Pro" w:eastAsia="Times New Roman" w:hAnsi="Meta Pro"/>
                <w:color w:val="000000"/>
                <w:sz w:val="16"/>
                <w:szCs w:val="16"/>
                <w:lang w:eastAsia="en-AU"/>
              </w:rPr>
            </w:pPr>
            <w:r w:rsidRPr="00961B53">
              <w:rPr>
                <w:rFonts w:ascii="Meta Pro" w:eastAsia="Times New Roman" w:hAnsi="Meta Pro"/>
                <w:color w:val="000000"/>
                <w:sz w:val="16"/>
                <w:szCs w:val="16"/>
                <w:lang w:eastAsia="en-AU"/>
              </w:rPr>
              <w:t xml:space="preserve">- </w:t>
            </w:r>
          </w:p>
        </w:tc>
        <w:tc>
          <w:tcPr>
            <w:tcW w:w="79" w:type="dxa"/>
            <w:tcBorders>
              <w:top w:val="nil"/>
              <w:left w:val="nil"/>
              <w:bottom w:val="nil"/>
              <w:right w:val="nil"/>
            </w:tcBorders>
            <w:shd w:val="clear" w:color="auto" w:fill="auto"/>
            <w:noWrap/>
            <w:vAlign w:val="center"/>
            <w:hideMark/>
          </w:tcPr>
          <w:p w14:paraId="55DB43EA" w14:textId="77777777" w:rsidR="00BC5219" w:rsidRPr="00961B53" w:rsidRDefault="00BC5219" w:rsidP="00E83802">
            <w:pPr>
              <w:jc w:val="right"/>
              <w:rPr>
                <w:rFonts w:ascii="Meta Pro" w:eastAsia="Times New Roman" w:hAnsi="Meta Pro"/>
                <w:color w:val="000000"/>
                <w:sz w:val="16"/>
                <w:szCs w:val="16"/>
                <w:lang w:eastAsia="en-AU"/>
              </w:rPr>
            </w:pPr>
          </w:p>
        </w:tc>
        <w:tc>
          <w:tcPr>
            <w:tcW w:w="1191" w:type="dxa"/>
            <w:tcBorders>
              <w:top w:val="nil"/>
              <w:left w:val="nil"/>
              <w:bottom w:val="nil"/>
              <w:right w:val="nil"/>
            </w:tcBorders>
            <w:shd w:val="clear" w:color="000000" w:fill="C9E3B4"/>
            <w:noWrap/>
            <w:vAlign w:val="center"/>
            <w:hideMark/>
          </w:tcPr>
          <w:p w14:paraId="57C94BE3"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 </w:t>
            </w:r>
          </w:p>
        </w:tc>
        <w:tc>
          <w:tcPr>
            <w:tcW w:w="79" w:type="dxa"/>
            <w:tcBorders>
              <w:top w:val="nil"/>
              <w:left w:val="nil"/>
              <w:bottom w:val="nil"/>
              <w:right w:val="nil"/>
            </w:tcBorders>
            <w:shd w:val="clear" w:color="auto" w:fill="auto"/>
            <w:noWrap/>
            <w:vAlign w:val="center"/>
            <w:hideMark/>
          </w:tcPr>
          <w:p w14:paraId="6071222C"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6F38E299" w14:textId="77777777" w:rsidR="00BC5219" w:rsidRPr="00961B53" w:rsidRDefault="00BC5219" w:rsidP="00E83802">
            <w:pPr>
              <w:jc w:val="right"/>
              <w:rPr>
                <w:rFonts w:ascii="Meta Pro" w:eastAsia="Times New Roman" w:hAnsi="Meta Pro"/>
                <w:b/>
                <w:bCs/>
                <w:sz w:val="16"/>
                <w:szCs w:val="16"/>
                <w:lang w:eastAsia="en-AU"/>
              </w:rPr>
            </w:pPr>
            <w:r w:rsidRPr="00961B53">
              <w:rPr>
                <w:rFonts w:ascii="Meta Pro" w:eastAsia="Times New Roman" w:hAnsi="Meta Pro"/>
                <w:b/>
                <w:bCs/>
                <w:sz w:val="16"/>
                <w:szCs w:val="16"/>
                <w:lang w:eastAsia="en-AU"/>
              </w:rPr>
              <w:t xml:space="preserve">8,102 </w:t>
            </w:r>
          </w:p>
        </w:tc>
      </w:tr>
      <w:tr w:rsidR="00BC5219" w:rsidRPr="00961B53" w14:paraId="0C49655C" w14:textId="77777777" w:rsidTr="00E83802">
        <w:trPr>
          <w:trHeight w:val="198"/>
        </w:trPr>
        <w:tc>
          <w:tcPr>
            <w:tcW w:w="4933" w:type="dxa"/>
            <w:tcBorders>
              <w:top w:val="nil"/>
              <w:left w:val="nil"/>
              <w:bottom w:val="nil"/>
              <w:right w:val="nil"/>
            </w:tcBorders>
            <w:shd w:val="clear" w:color="auto" w:fill="auto"/>
            <w:vAlign w:val="center"/>
            <w:hideMark/>
          </w:tcPr>
          <w:p w14:paraId="3CF21B74" w14:textId="77777777" w:rsidR="00BC5219" w:rsidRPr="00961B53" w:rsidRDefault="00BC5219" w:rsidP="00E83802">
            <w:pPr>
              <w:rPr>
                <w:rFonts w:ascii="Meta Pro" w:eastAsia="Times New Roman" w:hAnsi="Meta Pro"/>
                <w:sz w:val="16"/>
                <w:szCs w:val="16"/>
                <w:lang w:eastAsia="en-AU"/>
              </w:rPr>
            </w:pPr>
            <w:r w:rsidRPr="00961B53">
              <w:rPr>
                <w:rFonts w:ascii="Meta Pro" w:eastAsia="Times New Roman" w:hAnsi="Meta Pro"/>
                <w:sz w:val="16"/>
                <w:szCs w:val="16"/>
                <w:lang w:eastAsia="en-AU"/>
              </w:rPr>
              <w:t>Acquisitions (including upgrades)</w:t>
            </w:r>
          </w:p>
        </w:tc>
        <w:tc>
          <w:tcPr>
            <w:tcW w:w="1191" w:type="dxa"/>
            <w:tcBorders>
              <w:top w:val="nil"/>
              <w:left w:val="nil"/>
              <w:bottom w:val="nil"/>
              <w:right w:val="nil"/>
            </w:tcBorders>
            <w:shd w:val="clear" w:color="000000" w:fill="C9E3B4"/>
            <w:noWrap/>
            <w:vAlign w:val="center"/>
            <w:hideMark/>
          </w:tcPr>
          <w:p w14:paraId="2F140C2E"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348,507 </w:t>
            </w:r>
          </w:p>
        </w:tc>
        <w:tc>
          <w:tcPr>
            <w:tcW w:w="79" w:type="dxa"/>
            <w:tcBorders>
              <w:top w:val="nil"/>
              <w:left w:val="nil"/>
              <w:bottom w:val="nil"/>
              <w:right w:val="nil"/>
            </w:tcBorders>
            <w:shd w:val="clear" w:color="auto" w:fill="auto"/>
            <w:noWrap/>
            <w:vAlign w:val="center"/>
            <w:hideMark/>
          </w:tcPr>
          <w:p w14:paraId="2F240ECA"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15581934"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63,535 </w:t>
            </w:r>
          </w:p>
        </w:tc>
        <w:tc>
          <w:tcPr>
            <w:tcW w:w="79" w:type="dxa"/>
            <w:tcBorders>
              <w:top w:val="nil"/>
              <w:left w:val="nil"/>
              <w:bottom w:val="nil"/>
              <w:right w:val="nil"/>
            </w:tcBorders>
            <w:shd w:val="clear" w:color="auto" w:fill="auto"/>
            <w:noWrap/>
            <w:vAlign w:val="center"/>
            <w:hideMark/>
          </w:tcPr>
          <w:p w14:paraId="6FCB8DBF"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6F09B884"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33,900 </w:t>
            </w:r>
          </w:p>
        </w:tc>
        <w:tc>
          <w:tcPr>
            <w:tcW w:w="79" w:type="dxa"/>
            <w:tcBorders>
              <w:top w:val="nil"/>
              <w:left w:val="nil"/>
              <w:bottom w:val="nil"/>
              <w:right w:val="nil"/>
            </w:tcBorders>
            <w:shd w:val="clear" w:color="auto" w:fill="auto"/>
            <w:noWrap/>
            <w:vAlign w:val="center"/>
            <w:hideMark/>
          </w:tcPr>
          <w:p w14:paraId="62F8A1F4"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7769ED2C"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 </w:t>
            </w:r>
          </w:p>
        </w:tc>
        <w:tc>
          <w:tcPr>
            <w:tcW w:w="79" w:type="dxa"/>
            <w:tcBorders>
              <w:top w:val="nil"/>
              <w:left w:val="nil"/>
              <w:bottom w:val="nil"/>
              <w:right w:val="nil"/>
            </w:tcBorders>
            <w:shd w:val="clear" w:color="auto" w:fill="auto"/>
            <w:noWrap/>
            <w:vAlign w:val="center"/>
            <w:hideMark/>
          </w:tcPr>
          <w:p w14:paraId="35BCA187"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208D8B4A"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 </w:t>
            </w:r>
          </w:p>
        </w:tc>
        <w:tc>
          <w:tcPr>
            <w:tcW w:w="79" w:type="dxa"/>
            <w:tcBorders>
              <w:top w:val="nil"/>
              <w:left w:val="nil"/>
              <w:bottom w:val="nil"/>
              <w:right w:val="nil"/>
            </w:tcBorders>
            <w:shd w:val="clear" w:color="auto" w:fill="auto"/>
            <w:noWrap/>
            <w:vAlign w:val="center"/>
            <w:hideMark/>
          </w:tcPr>
          <w:p w14:paraId="71256827"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43198AF1"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4,533,445 </w:t>
            </w:r>
          </w:p>
        </w:tc>
        <w:tc>
          <w:tcPr>
            <w:tcW w:w="79" w:type="dxa"/>
            <w:tcBorders>
              <w:top w:val="nil"/>
              <w:left w:val="nil"/>
              <w:bottom w:val="nil"/>
              <w:right w:val="nil"/>
            </w:tcBorders>
            <w:shd w:val="clear" w:color="auto" w:fill="auto"/>
            <w:noWrap/>
            <w:vAlign w:val="center"/>
            <w:hideMark/>
          </w:tcPr>
          <w:p w14:paraId="45F4133F"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3F932D9B" w14:textId="77777777" w:rsidR="00BC5219" w:rsidRPr="00961B53" w:rsidRDefault="00BC5219" w:rsidP="00E83802">
            <w:pPr>
              <w:jc w:val="right"/>
              <w:rPr>
                <w:rFonts w:ascii="Meta Pro" w:eastAsia="Times New Roman" w:hAnsi="Meta Pro"/>
                <w:b/>
                <w:bCs/>
                <w:sz w:val="16"/>
                <w:szCs w:val="16"/>
                <w:lang w:eastAsia="en-AU"/>
              </w:rPr>
            </w:pPr>
            <w:r w:rsidRPr="00961B53">
              <w:rPr>
                <w:rFonts w:ascii="Meta Pro" w:eastAsia="Times New Roman" w:hAnsi="Meta Pro"/>
                <w:b/>
                <w:bCs/>
                <w:sz w:val="16"/>
                <w:szCs w:val="16"/>
                <w:lang w:eastAsia="en-AU"/>
              </w:rPr>
              <w:t xml:space="preserve">4,979,387 </w:t>
            </w:r>
          </w:p>
        </w:tc>
      </w:tr>
      <w:tr w:rsidR="00BC5219" w:rsidRPr="00961B53" w14:paraId="27D16D67" w14:textId="77777777" w:rsidTr="00E83802">
        <w:trPr>
          <w:trHeight w:val="198"/>
        </w:trPr>
        <w:tc>
          <w:tcPr>
            <w:tcW w:w="4933" w:type="dxa"/>
            <w:tcBorders>
              <w:top w:val="nil"/>
              <w:left w:val="nil"/>
              <w:bottom w:val="nil"/>
              <w:right w:val="nil"/>
            </w:tcBorders>
            <w:shd w:val="clear" w:color="auto" w:fill="auto"/>
            <w:noWrap/>
            <w:vAlign w:val="center"/>
            <w:hideMark/>
          </w:tcPr>
          <w:p w14:paraId="76C229EC" w14:textId="77777777" w:rsidR="00BC5219" w:rsidRPr="00961B53" w:rsidRDefault="00BC5219" w:rsidP="00E83802">
            <w:pPr>
              <w:rPr>
                <w:rFonts w:ascii="Meta Pro" w:eastAsia="Times New Roman" w:hAnsi="Meta Pro"/>
                <w:sz w:val="16"/>
                <w:szCs w:val="16"/>
                <w:lang w:eastAsia="en-AU"/>
              </w:rPr>
            </w:pPr>
            <w:r w:rsidRPr="00961B53">
              <w:rPr>
                <w:rFonts w:ascii="Meta Pro" w:eastAsia="Times New Roman" w:hAnsi="Meta Pro"/>
                <w:sz w:val="16"/>
                <w:szCs w:val="16"/>
                <w:lang w:eastAsia="en-AU"/>
              </w:rPr>
              <w:t>Assets received at below fair value</w:t>
            </w:r>
          </w:p>
        </w:tc>
        <w:tc>
          <w:tcPr>
            <w:tcW w:w="1191" w:type="dxa"/>
            <w:tcBorders>
              <w:top w:val="nil"/>
              <w:left w:val="nil"/>
              <w:bottom w:val="nil"/>
              <w:right w:val="nil"/>
            </w:tcBorders>
            <w:shd w:val="clear" w:color="000000" w:fill="C9E3B4"/>
            <w:noWrap/>
            <w:vAlign w:val="center"/>
            <w:hideMark/>
          </w:tcPr>
          <w:p w14:paraId="11CF4915"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272 </w:t>
            </w:r>
          </w:p>
        </w:tc>
        <w:tc>
          <w:tcPr>
            <w:tcW w:w="79" w:type="dxa"/>
            <w:tcBorders>
              <w:top w:val="nil"/>
              <w:left w:val="nil"/>
              <w:bottom w:val="nil"/>
              <w:right w:val="nil"/>
            </w:tcBorders>
            <w:shd w:val="clear" w:color="auto" w:fill="auto"/>
            <w:noWrap/>
            <w:vAlign w:val="center"/>
            <w:hideMark/>
          </w:tcPr>
          <w:p w14:paraId="58337854"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499C1637"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 </w:t>
            </w:r>
          </w:p>
        </w:tc>
        <w:tc>
          <w:tcPr>
            <w:tcW w:w="79" w:type="dxa"/>
            <w:tcBorders>
              <w:top w:val="nil"/>
              <w:left w:val="nil"/>
              <w:bottom w:val="nil"/>
              <w:right w:val="nil"/>
            </w:tcBorders>
            <w:shd w:val="clear" w:color="auto" w:fill="auto"/>
            <w:noWrap/>
            <w:vAlign w:val="center"/>
            <w:hideMark/>
          </w:tcPr>
          <w:p w14:paraId="040D24CF"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0749D119"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 </w:t>
            </w:r>
          </w:p>
        </w:tc>
        <w:tc>
          <w:tcPr>
            <w:tcW w:w="79" w:type="dxa"/>
            <w:tcBorders>
              <w:top w:val="nil"/>
              <w:left w:val="nil"/>
              <w:bottom w:val="nil"/>
              <w:right w:val="nil"/>
            </w:tcBorders>
            <w:shd w:val="clear" w:color="auto" w:fill="auto"/>
            <w:noWrap/>
            <w:vAlign w:val="center"/>
            <w:hideMark/>
          </w:tcPr>
          <w:p w14:paraId="35E772E4"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0B2F6142"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 </w:t>
            </w:r>
          </w:p>
        </w:tc>
        <w:tc>
          <w:tcPr>
            <w:tcW w:w="79" w:type="dxa"/>
            <w:tcBorders>
              <w:top w:val="nil"/>
              <w:left w:val="nil"/>
              <w:bottom w:val="nil"/>
              <w:right w:val="nil"/>
            </w:tcBorders>
            <w:shd w:val="clear" w:color="auto" w:fill="auto"/>
            <w:noWrap/>
            <w:vAlign w:val="center"/>
            <w:hideMark/>
          </w:tcPr>
          <w:p w14:paraId="33B2DEF1"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701FA5B4"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48,973 </w:t>
            </w:r>
          </w:p>
        </w:tc>
        <w:tc>
          <w:tcPr>
            <w:tcW w:w="79" w:type="dxa"/>
            <w:tcBorders>
              <w:top w:val="nil"/>
              <w:left w:val="nil"/>
              <w:bottom w:val="nil"/>
              <w:right w:val="nil"/>
            </w:tcBorders>
            <w:shd w:val="clear" w:color="auto" w:fill="auto"/>
            <w:noWrap/>
            <w:vAlign w:val="center"/>
            <w:hideMark/>
          </w:tcPr>
          <w:p w14:paraId="0924E8A6"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67FDDE53"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2,585 </w:t>
            </w:r>
          </w:p>
        </w:tc>
        <w:tc>
          <w:tcPr>
            <w:tcW w:w="79" w:type="dxa"/>
            <w:tcBorders>
              <w:top w:val="nil"/>
              <w:left w:val="nil"/>
              <w:bottom w:val="nil"/>
              <w:right w:val="nil"/>
            </w:tcBorders>
            <w:shd w:val="clear" w:color="auto" w:fill="auto"/>
            <w:noWrap/>
            <w:vAlign w:val="center"/>
            <w:hideMark/>
          </w:tcPr>
          <w:p w14:paraId="114714EF"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6EFAD52F" w14:textId="77777777" w:rsidR="00BC5219" w:rsidRPr="00961B53" w:rsidRDefault="00BC5219" w:rsidP="00E83802">
            <w:pPr>
              <w:jc w:val="right"/>
              <w:rPr>
                <w:rFonts w:ascii="Meta Pro" w:eastAsia="Times New Roman" w:hAnsi="Meta Pro"/>
                <w:b/>
                <w:bCs/>
                <w:sz w:val="16"/>
                <w:szCs w:val="16"/>
                <w:lang w:eastAsia="en-AU"/>
              </w:rPr>
            </w:pPr>
            <w:r w:rsidRPr="00961B53">
              <w:rPr>
                <w:rFonts w:ascii="Meta Pro" w:eastAsia="Times New Roman" w:hAnsi="Meta Pro"/>
                <w:b/>
                <w:bCs/>
                <w:sz w:val="16"/>
                <w:szCs w:val="16"/>
                <w:lang w:eastAsia="en-AU"/>
              </w:rPr>
              <w:t xml:space="preserve">51,830 </w:t>
            </w:r>
          </w:p>
        </w:tc>
      </w:tr>
      <w:tr w:rsidR="00BC5219" w:rsidRPr="00961B53" w14:paraId="58C6AD08" w14:textId="77777777" w:rsidTr="00E83802">
        <w:trPr>
          <w:trHeight w:val="198"/>
        </w:trPr>
        <w:tc>
          <w:tcPr>
            <w:tcW w:w="4933" w:type="dxa"/>
            <w:tcBorders>
              <w:top w:val="nil"/>
              <w:left w:val="nil"/>
              <w:bottom w:val="nil"/>
              <w:right w:val="nil"/>
            </w:tcBorders>
            <w:shd w:val="clear" w:color="auto" w:fill="auto"/>
            <w:noWrap/>
            <w:vAlign w:val="center"/>
            <w:hideMark/>
          </w:tcPr>
          <w:p w14:paraId="285ECFAD" w14:textId="77777777" w:rsidR="00BC5219" w:rsidRPr="00961B53" w:rsidRDefault="00BC5219" w:rsidP="00E83802">
            <w:pPr>
              <w:rPr>
                <w:rFonts w:ascii="Meta Pro" w:eastAsia="Times New Roman" w:hAnsi="Meta Pro"/>
                <w:sz w:val="16"/>
                <w:szCs w:val="16"/>
                <w:lang w:eastAsia="en-AU"/>
              </w:rPr>
            </w:pPr>
            <w:r w:rsidRPr="00961B53">
              <w:rPr>
                <w:rFonts w:ascii="Meta Pro" w:eastAsia="Times New Roman" w:hAnsi="Meta Pro"/>
                <w:sz w:val="16"/>
                <w:szCs w:val="16"/>
                <w:lang w:eastAsia="en-AU"/>
              </w:rPr>
              <w:t>Transfers to other Queensland Government entities</w:t>
            </w:r>
          </w:p>
        </w:tc>
        <w:tc>
          <w:tcPr>
            <w:tcW w:w="1191" w:type="dxa"/>
            <w:tcBorders>
              <w:top w:val="nil"/>
              <w:left w:val="nil"/>
              <w:bottom w:val="nil"/>
              <w:right w:val="nil"/>
            </w:tcBorders>
            <w:shd w:val="clear" w:color="000000" w:fill="C9E3B4"/>
            <w:noWrap/>
            <w:vAlign w:val="center"/>
            <w:hideMark/>
          </w:tcPr>
          <w:p w14:paraId="5851EFB8"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(38,176)</w:t>
            </w:r>
          </w:p>
        </w:tc>
        <w:tc>
          <w:tcPr>
            <w:tcW w:w="79" w:type="dxa"/>
            <w:tcBorders>
              <w:top w:val="nil"/>
              <w:left w:val="nil"/>
              <w:bottom w:val="nil"/>
              <w:right w:val="nil"/>
            </w:tcBorders>
            <w:shd w:val="clear" w:color="auto" w:fill="auto"/>
            <w:noWrap/>
            <w:vAlign w:val="center"/>
            <w:hideMark/>
          </w:tcPr>
          <w:p w14:paraId="5A6657CF"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2343849B"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(1,018)</w:t>
            </w:r>
          </w:p>
        </w:tc>
        <w:tc>
          <w:tcPr>
            <w:tcW w:w="79" w:type="dxa"/>
            <w:tcBorders>
              <w:top w:val="nil"/>
              <w:left w:val="nil"/>
              <w:bottom w:val="nil"/>
              <w:right w:val="nil"/>
            </w:tcBorders>
            <w:shd w:val="clear" w:color="auto" w:fill="auto"/>
            <w:noWrap/>
            <w:vAlign w:val="center"/>
            <w:hideMark/>
          </w:tcPr>
          <w:p w14:paraId="7042F111"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5327134F"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 </w:t>
            </w:r>
          </w:p>
        </w:tc>
        <w:tc>
          <w:tcPr>
            <w:tcW w:w="79" w:type="dxa"/>
            <w:tcBorders>
              <w:top w:val="nil"/>
              <w:left w:val="nil"/>
              <w:bottom w:val="nil"/>
              <w:right w:val="nil"/>
            </w:tcBorders>
            <w:shd w:val="clear" w:color="auto" w:fill="auto"/>
            <w:noWrap/>
            <w:vAlign w:val="center"/>
            <w:hideMark/>
          </w:tcPr>
          <w:p w14:paraId="1D1C9A8A"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6D6155A1"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 </w:t>
            </w:r>
          </w:p>
        </w:tc>
        <w:tc>
          <w:tcPr>
            <w:tcW w:w="79" w:type="dxa"/>
            <w:tcBorders>
              <w:top w:val="nil"/>
              <w:left w:val="nil"/>
              <w:bottom w:val="nil"/>
              <w:right w:val="nil"/>
            </w:tcBorders>
            <w:shd w:val="clear" w:color="auto" w:fill="auto"/>
            <w:noWrap/>
            <w:vAlign w:val="center"/>
            <w:hideMark/>
          </w:tcPr>
          <w:p w14:paraId="4A1EF5DA"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20CA897C"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 </w:t>
            </w:r>
          </w:p>
        </w:tc>
        <w:tc>
          <w:tcPr>
            <w:tcW w:w="79" w:type="dxa"/>
            <w:tcBorders>
              <w:top w:val="nil"/>
              <w:left w:val="nil"/>
              <w:bottom w:val="nil"/>
              <w:right w:val="nil"/>
            </w:tcBorders>
            <w:shd w:val="clear" w:color="auto" w:fill="auto"/>
            <w:noWrap/>
            <w:vAlign w:val="center"/>
            <w:hideMark/>
          </w:tcPr>
          <w:p w14:paraId="150912FF"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182A75EA"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 </w:t>
            </w:r>
          </w:p>
        </w:tc>
        <w:tc>
          <w:tcPr>
            <w:tcW w:w="79" w:type="dxa"/>
            <w:tcBorders>
              <w:top w:val="nil"/>
              <w:left w:val="nil"/>
              <w:bottom w:val="nil"/>
              <w:right w:val="nil"/>
            </w:tcBorders>
            <w:shd w:val="clear" w:color="auto" w:fill="auto"/>
            <w:noWrap/>
            <w:vAlign w:val="center"/>
            <w:hideMark/>
          </w:tcPr>
          <w:p w14:paraId="2FFA4B1B"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30200E05" w14:textId="77777777" w:rsidR="00BC5219" w:rsidRPr="00961B53" w:rsidRDefault="00BC5219" w:rsidP="00E83802">
            <w:pPr>
              <w:jc w:val="right"/>
              <w:rPr>
                <w:rFonts w:ascii="Meta Pro" w:eastAsia="Times New Roman" w:hAnsi="Meta Pro"/>
                <w:b/>
                <w:bCs/>
                <w:sz w:val="16"/>
                <w:szCs w:val="16"/>
                <w:lang w:eastAsia="en-AU"/>
              </w:rPr>
            </w:pPr>
            <w:r w:rsidRPr="00961B53">
              <w:rPr>
                <w:rFonts w:ascii="Meta Pro" w:eastAsia="Times New Roman" w:hAnsi="Meta Pro"/>
                <w:b/>
                <w:bCs/>
                <w:sz w:val="16"/>
                <w:szCs w:val="16"/>
                <w:lang w:eastAsia="en-AU"/>
              </w:rPr>
              <w:t>(39,194)</w:t>
            </w:r>
          </w:p>
        </w:tc>
      </w:tr>
      <w:tr w:rsidR="00BC5219" w:rsidRPr="00961B53" w14:paraId="68E7B2D3" w14:textId="77777777" w:rsidTr="00E83802">
        <w:trPr>
          <w:trHeight w:val="198"/>
        </w:trPr>
        <w:tc>
          <w:tcPr>
            <w:tcW w:w="4933" w:type="dxa"/>
            <w:tcBorders>
              <w:top w:val="nil"/>
              <w:left w:val="nil"/>
              <w:bottom w:val="nil"/>
              <w:right w:val="nil"/>
            </w:tcBorders>
            <w:shd w:val="clear" w:color="auto" w:fill="auto"/>
            <w:noWrap/>
            <w:vAlign w:val="center"/>
            <w:hideMark/>
          </w:tcPr>
          <w:p w14:paraId="58E8F63A" w14:textId="77777777" w:rsidR="00BC5219" w:rsidRPr="00961B53" w:rsidRDefault="00BC5219" w:rsidP="00E83802">
            <w:pPr>
              <w:rPr>
                <w:rFonts w:ascii="Meta Pro" w:eastAsia="Times New Roman" w:hAnsi="Meta Pro"/>
                <w:sz w:val="16"/>
                <w:szCs w:val="16"/>
                <w:lang w:eastAsia="en-AU"/>
              </w:rPr>
            </w:pPr>
            <w:r w:rsidRPr="00961B53">
              <w:rPr>
                <w:rFonts w:ascii="Meta Pro" w:eastAsia="Times New Roman" w:hAnsi="Meta Pro"/>
                <w:sz w:val="16"/>
                <w:szCs w:val="16"/>
                <w:lang w:eastAsia="en-AU"/>
              </w:rPr>
              <w:lastRenderedPageBreak/>
              <w:t>Transfers between classes</w:t>
            </w:r>
          </w:p>
        </w:tc>
        <w:tc>
          <w:tcPr>
            <w:tcW w:w="1191" w:type="dxa"/>
            <w:tcBorders>
              <w:top w:val="nil"/>
              <w:left w:val="nil"/>
              <w:bottom w:val="nil"/>
              <w:right w:val="nil"/>
            </w:tcBorders>
            <w:shd w:val="clear" w:color="000000" w:fill="C9E3B4"/>
            <w:noWrap/>
            <w:vAlign w:val="center"/>
            <w:hideMark/>
          </w:tcPr>
          <w:p w14:paraId="7C3B059B"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321 </w:t>
            </w:r>
          </w:p>
        </w:tc>
        <w:tc>
          <w:tcPr>
            <w:tcW w:w="79" w:type="dxa"/>
            <w:tcBorders>
              <w:top w:val="nil"/>
              <w:left w:val="nil"/>
              <w:bottom w:val="nil"/>
              <w:right w:val="nil"/>
            </w:tcBorders>
            <w:shd w:val="clear" w:color="auto" w:fill="auto"/>
            <w:noWrap/>
            <w:vAlign w:val="center"/>
            <w:hideMark/>
          </w:tcPr>
          <w:p w14:paraId="7F52F2C8"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2C38DD04"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(329)</w:t>
            </w:r>
          </w:p>
        </w:tc>
        <w:tc>
          <w:tcPr>
            <w:tcW w:w="79" w:type="dxa"/>
            <w:tcBorders>
              <w:top w:val="nil"/>
              <w:left w:val="nil"/>
              <w:bottom w:val="nil"/>
              <w:right w:val="nil"/>
            </w:tcBorders>
            <w:shd w:val="clear" w:color="auto" w:fill="auto"/>
            <w:noWrap/>
            <w:vAlign w:val="center"/>
            <w:hideMark/>
          </w:tcPr>
          <w:p w14:paraId="1C83ADC2"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02ADB403"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30,863 </w:t>
            </w:r>
          </w:p>
        </w:tc>
        <w:tc>
          <w:tcPr>
            <w:tcW w:w="79" w:type="dxa"/>
            <w:tcBorders>
              <w:top w:val="nil"/>
              <w:left w:val="nil"/>
              <w:bottom w:val="nil"/>
              <w:right w:val="nil"/>
            </w:tcBorders>
            <w:shd w:val="clear" w:color="auto" w:fill="auto"/>
            <w:noWrap/>
            <w:vAlign w:val="center"/>
            <w:hideMark/>
          </w:tcPr>
          <w:p w14:paraId="5CDF83F8"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05D6B9BC"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114,691 </w:t>
            </w:r>
          </w:p>
        </w:tc>
        <w:tc>
          <w:tcPr>
            <w:tcW w:w="79" w:type="dxa"/>
            <w:tcBorders>
              <w:top w:val="nil"/>
              <w:left w:val="nil"/>
              <w:bottom w:val="nil"/>
              <w:right w:val="nil"/>
            </w:tcBorders>
            <w:shd w:val="clear" w:color="auto" w:fill="auto"/>
            <w:noWrap/>
            <w:vAlign w:val="center"/>
            <w:hideMark/>
          </w:tcPr>
          <w:p w14:paraId="19A01659"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2D861EE3"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1,493,675 </w:t>
            </w:r>
          </w:p>
        </w:tc>
        <w:tc>
          <w:tcPr>
            <w:tcW w:w="79" w:type="dxa"/>
            <w:tcBorders>
              <w:top w:val="nil"/>
              <w:left w:val="nil"/>
              <w:bottom w:val="nil"/>
              <w:right w:val="nil"/>
            </w:tcBorders>
            <w:shd w:val="clear" w:color="auto" w:fill="auto"/>
            <w:noWrap/>
            <w:vAlign w:val="center"/>
            <w:hideMark/>
          </w:tcPr>
          <w:p w14:paraId="0D5BBA0B"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12FCE7BA"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(1,639,221)</w:t>
            </w:r>
          </w:p>
        </w:tc>
        <w:tc>
          <w:tcPr>
            <w:tcW w:w="79" w:type="dxa"/>
            <w:tcBorders>
              <w:top w:val="nil"/>
              <w:left w:val="nil"/>
              <w:bottom w:val="nil"/>
              <w:right w:val="nil"/>
            </w:tcBorders>
            <w:shd w:val="clear" w:color="auto" w:fill="auto"/>
            <w:noWrap/>
            <w:vAlign w:val="center"/>
            <w:hideMark/>
          </w:tcPr>
          <w:p w14:paraId="0B529919"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7AC81557" w14:textId="77777777" w:rsidR="00BC5219" w:rsidRPr="00961B53" w:rsidRDefault="00BC5219" w:rsidP="00E83802">
            <w:pPr>
              <w:jc w:val="right"/>
              <w:rPr>
                <w:rFonts w:ascii="Meta Pro" w:eastAsia="Times New Roman" w:hAnsi="Meta Pro"/>
                <w:b/>
                <w:bCs/>
                <w:sz w:val="16"/>
                <w:szCs w:val="16"/>
                <w:lang w:eastAsia="en-AU"/>
              </w:rPr>
            </w:pPr>
            <w:r w:rsidRPr="00961B53">
              <w:rPr>
                <w:rFonts w:ascii="Meta Pro" w:eastAsia="Times New Roman" w:hAnsi="Meta Pro"/>
                <w:b/>
                <w:bCs/>
                <w:sz w:val="16"/>
                <w:szCs w:val="16"/>
                <w:lang w:eastAsia="en-AU"/>
              </w:rPr>
              <w:t xml:space="preserve">- </w:t>
            </w:r>
          </w:p>
        </w:tc>
      </w:tr>
      <w:tr w:rsidR="00BC5219" w:rsidRPr="00961B53" w14:paraId="7484DD0E" w14:textId="77777777" w:rsidTr="00E83802">
        <w:trPr>
          <w:trHeight w:val="198"/>
        </w:trPr>
        <w:tc>
          <w:tcPr>
            <w:tcW w:w="4933" w:type="dxa"/>
            <w:tcBorders>
              <w:top w:val="nil"/>
              <w:left w:val="nil"/>
              <w:bottom w:val="nil"/>
              <w:right w:val="nil"/>
            </w:tcBorders>
            <w:shd w:val="clear" w:color="auto" w:fill="auto"/>
            <w:noWrap/>
            <w:vAlign w:val="center"/>
            <w:hideMark/>
          </w:tcPr>
          <w:p w14:paraId="1BC42B30" w14:textId="77777777" w:rsidR="00BC5219" w:rsidRPr="00961B53" w:rsidRDefault="00BC5219" w:rsidP="00E83802">
            <w:pPr>
              <w:rPr>
                <w:rFonts w:ascii="Meta Pro" w:eastAsia="Times New Roman" w:hAnsi="Meta Pro"/>
                <w:sz w:val="16"/>
                <w:szCs w:val="16"/>
                <w:lang w:eastAsia="en-AU"/>
              </w:rPr>
            </w:pPr>
            <w:r w:rsidRPr="00961B53">
              <w:rPr>
                <w:rFonts w:ascii="Meta Pro" w:eastAsia="Times New Roman" w:hAnsi="Meta Pro"/>
                <w:sz w:val="16"/>
                <w:szCs w:val="16"/>
                <w:lang w:eastAsia="en-AU"/>
              </w:rPr>
              <w:t>Transfers from intangibles (refer to Note 14)</w:t>
            </w:r>
          </w:p>
        </w:tc>
        <w:tc>
          <w:tcPr>
            <w:tcW w:w="1191" w:type="dxa"/>
            <w:tcBorders>
              <w:top w:val="nil"/>
              <w:left w:val="nil"/>
              <w:bottom w:val="nil"/>
              <w:right w:val="nil"/>
            </w:tcBorders>
            <w:shd w:val="clear" w:color="000000" w:fill="C9E3B4"/>
            <w:noWrap/>
            <w:vAlign w:val="center"/>
            <w:hideMark/>
          </w:tcPr>
          <w:p w14:paraId="4FB97E71"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 </w:t>
            </w:r>
          </w:p>
        </w:tc>
        <w:tc>
          <w:tcPr>
            <w:tcW w:w="79" w:type="dxa"/>
            <w:tcBorders>
              <w:top w:val="nil"/>
              <w:left w:val="nil"/>
              <w:bottom w:val="nil"/>
              <w:right w:val="nil"/>
            </w:tcBorders>
            <w:shd w:val="clear" w:color="auto" w:fill="auto"/>
            <w:noWrap/>
            <w:vAlign w:val="center"/>
            <w:hideMark/>
          </w:tcPr>
          <w:p w14:paraId="1A34A320"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7062AF94"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 </w:t>
            </w:r>
          </w:p>
        </w:tc>
        <w:tc>
          <w:tcPr>
            <w:tcW w:w="79" w:type="dxa"/>
            <w:tcBorders>
              <w:top w:val="nil"/>
              <w:left w:val="nil"/>
              <w:bottom w:val="nil"/>
              <w:right w:val="nil"/>
            </w:tcBorders>
            <w:shd w:val="clear" w:color="auto" w:fill="auto"/>
            <w:noWrap/>
            <w:vAlign w:val="center"/>
            <w:hideMark/>
          </w:tcPr>
          <w:p w14:paraId="14F6C05F"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593EBCE0"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366 </w:t>
            </w:r>
          </w:p>
        </w:tc>
        <w:tc>
          <w:tcPr>
            <w:tcW w:w="79" w:type="dxa"/>
            <w:tcBorders>
              <w:top w:val="nil"/>
              <w:left w:val="nil"/>
              <w:bottom w:val="nil"/>
              <w:right w:val="nil"/>
            </w:tcBorders>
            <w:shd w:val="clear" w:color="auto" w:fill="auto"/>
            <w:noWrap/>
            <w:vAlign w:val="center"/>
            <w:hideMark/>
          </w:tcPr>
          <w:p w14:paraId="56E0B856"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060CA8B7"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 </w:t>
            </w:r>
          </w:p>
        </w:tc>
        <w:tc>
          <w:tcPr>
            <w:tcW w:w="79" w:type="dxa"/>
            <w:tcBorders>
              <w:top w:val="nil"/>
              <w:left w:val="nil"/>
              <w:bottom w:val="nil"/>
              <w:right w:val="nil"/>
            </w:tcBorders>
            <w:shd w:val="clear" w:color="auto" w:fill="auto"/>
            <w:noWrap/>
            <w:vAlign w:val="center"/>
            <w:hideMark/>
          </w:tcPr>
          <w:p w14:paraId="2EB1366B"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5F817AB7"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 </w:t>
            </w:r>
          </w:p>
        </w:tc>
        <w:tc>
          <w:tcPr>
            <w:tcW w:w="79" w:type="dxa"/>
            <w:tcBorders>
              <w:top w:val="nil"/>
              <w:left w:val="nil"/>
              <w:bottom w:val="nil"/>
              <w:right w:val="nil"/>
            </w:tcBorders>
            <w:shd w:val="clear" w:color="auto" w:fill="auto"/>
            <w:noWrap/>
            <w:vAlign w:val="center"/>
            <w:hideMark/>
          </w:tcPr>
          <w:p w14:paraId="054DA224"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0E51E286"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 </w:t>
            </w:r>
          </w:p>
        </w:tc>
        <w:tc>
          <w:tcPr>
            <w:tcW w:w="79" w:type="dxa"/>
            <w:tcBorders>
              <w:top w:val="nil"/>
              <w:left w:val="nil"/>
              <w:bottom w:val="nil"/>
              <w:right w:val="nil"/>
            </w:tcBorders>
            <w:shd w:val="clear" w:color="auto" w:fill="auto"/>
            <w:noWrap/>
            <w:vAlign w:val="center"/>
            <w:hideMark/>
          </w:tcPr>
          <w:p w14:paraId="766BDEEE"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23544FC4" w14:textId="77777777" w:rsidR="00BC5219" w:rsidRPr="00961B53" w:rsidRDefault="00BC5219" w:rsidP="00E83802">
            <w:pPr>
              <w:jc w:val="right"/>
              <w:rPr>
                <w:rFonts w:ascii="Meta Pro" w:eastAsia="Times New Roman" w:hAnsi="Meta Pro"/>
                <w:b/>
                <w:bCs/>
                <w:sz w:val="16"/>
                <w:szCs w:val="16"/>
                <w:lang w:eastAsia="en-AU"/>
              </w:rPr>
            </w:pPr>
            <w:r w:rsidRPr="00961B53">
              <w:rPr>
                <w:rFonts w:ascii="Meta Pro" w:eastAsia="Times New Roman" w:hAnsi="Meta Pro"/>
                <w:b/>
                <w:bCs/>
                <w:sz w:val="16"/>
                <w:szCs w:val="16"/>
                <w:lang w:eastAsia="en-AU"/>
              </w:rPr>
              <w:t xml:space="preserve">366 </w:t>
            </w:r>
          </w:p>
        </w:tc>
      </w:tr>
      <w:tr w:rsidR="00BC5219" w:rsidRPr="00961B53" w14:paraId="46D87D2E" w14:textId="77777777" w:rsidTr="00E83802">
        <w:trPr>
          <w:trHeight w:val="198"/>
        </w:trPr>
        <w:tc>
          <w:tcPr>
            <w:tcW w:w="4933" w:type="dxa"/>
            <w:tcBorders>
              <w:top w:val="nil"/>
              <w:left w:val="nil"/>
              <w:bottom w:val="nil"/>
              <w:right w:val="nil"/>
            </w:tcBorders>
            <w:shd w:val="clear" w:color="auto" w:fill="auto"/>
            <w:noWrap/>
            <w:vAlign w:val="center"/>
            <w:hideMark/>
          </w:tcPr>
          <w:p w14:paraId="28214D89" w14:textId="77777777" w:rsidR="00BC5219" w:rsidRPr="00961B53" w:rsidRDefault="00BC5219" w:rsidP="00E83802">
            <w:pPr>
              <w:rPr>
                <w:rFonts w:ascii="Meta Pro" w:eastAsia="Times New Roman" w:hAnsi="Meta Pro"/>
                <w:sz w:val="16"/>
                <w:szCs w:val="16"/>
                <w:lang w:eastAsia="en-AU"/>
              </w:rPr>
            </w:pPr>
            <w:r w:rsidRPr="00961B53">
              <w:rPr>
                <w:rFonts w:ascii="Meta Pro" w:eastAsia="Times New Roman" w:hAnsi="Meta Pro"/>
                <w:sz w:val="16"/>
                <w:szCs w:val="16"/>
                <w:lang w:eastAsia="en-AU"/>
              </w:rPr>
              <w:t>Transfers from public private partnerships (refer to Note 16)</w:t>
            </w:r>
          </w:p>
        </w:tc>
        <w:tc>
          <w:tcPr>
            <w:tcW w:w="1191" w:type="dxa"/>
            <w:tcBorders>
              <w:top w:val="nil"/>
              <w:left w:val="nil"/>
              <w:bottom w:val="nil"/>
              <w:right w:val="nil"/>
            </w:tcBorders>
            <w:shd w:val="clear" w:color="000000" w:fill="C9E3B4"/>
            <w:noWrap/>
            <w:vAlign w:val="center"/>
            <w:hideMark/>
          </w:tcPr>
          <w:p w14:paraId="20A84688"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 </w:t>
            </w:r>
          </w:p>
        </w:tc>
        <w:tc>
          <w:tcPr>
            <w:tcW w:w="79" w:type="dxa"/>
            <w:tcBorders>
              <w:top w:val="nil"/>
              <w:left w:val="nil"/>
              <w:bottom w:val="nil"/>
              <w:right w:val="nil"/>
            </w:tcBorders>
            <w:shd w:val="clear" w:color="auto" w:fill="auto"/>
            <w:noWrap/>
            <w:vAlign w:val="center"/>
            <w:hideMark/>
          </w:tcPr>
          <w:p w14:paraId="72A68700"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799602A8"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 </w:t>
            </w:r>
          </w:p>
        </w:tc>
        <w:tc>
          <w:tcPr>
            <w:tcW w:w="79" w:type="dxa"/>
            <w:tcBorders>
              <w:top w:val="nil"/>
              <w:left w:val="nil"/>
              <w:bottom w:val="nil"/>
              <w:right w:val="nil"/>
            </w:tcBorders>
            <w:shd w:val="clear" w:color="auto" w:fill="auto"/>
            <w:noWrap/>
            <w:vAlign w:val="center"/>
            <w:hideMark/>
          </w:tcPr>
          <w:p w14:paraId="0AF0EA62"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575C751C"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 </w:t>
            </w:r>
          </w:p>
        </w:tc>
        <w:tc>
          <w:tcPr>
            <w:tcW w:w="79" w:type="dxa"/>
            <w:tcBorders>
              <w:top w:val="nil"/>
              <w:left w:val="nil"/>
              <w:bottom w:val="nil"/>
              <w:right w:val="nil"/>
            </w:tcBorders>
            <w:shd w:val="clear" w:color="auto" w:fill="auto"/>
            <w:noWrap/>
            <w:vAlign w:val="center"/>
            <w:hideMark/>
          </w:tcPr>
          <w:p w14:paraId="1105A644"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20C8322E"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 </w:t>
            </w:r>
          </w:p>
        </w:tc>
        <w:tc>
          <w:tcPr>
            <w:tcW w:w="79" w:type="dxa"/>
            <w:tcBorders>
              <w:top w:val="nil"/>
              <w:left w:val="nil"/>
              <w:bottom w:val="nil"/>
              <w:right w:val="nil"/>
            </w:tcBorders>
            <w:shd w:val="clear" w:color="auto" w:fill="auto"/>
            <w:noWrap/>
            <w:vAlign w:val="center"/>
            <w:hideMark/>
          </w:tcPr>
          <w:p w14:paraId="3B39E062"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3661E8FE"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 </w:t>
            </w:r>
          </w:p>
        </w:tc>
        <w:tc>
          <w:tcPr>
            <w:tcW w:w="79" w:type="dxa"/>
            <w:tcBorders>
              <w:top w:val="nil"/>
              <w:left w:val="nil"/>
              <w:bottom w:val="nil"/>
              <w:right w:val="nil"/>
            </w:tcBorders>
            <w:shd w:val="clear" w:color="auto" w:fill="auto"/>
            <w:noWrap/>
            <w:vAlign w:val="center"/>
            <w:hideMark/>
          </w:tcPr>
          <w:p w14:paraId="6534267F"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1CB5C841"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40,182 </w:t>
            </w:r>
          </w:p>
        </w:tc>
        <w:tc>
          <w:tcPr>
            <w:tcW w:w="79" w:type="dxa"/>
            <w:tcBorders>
              <w:top w:val="nil"/>
              <w:left w:val="nil"/>
              <w:bottom w:val="nil"/>
              <w:right w:val="nil"/>
            </w:tcBorders>
            <w:shd w:val="clear" w:color="auto" w:fill="auto"/>
            <w:noWrap/>
            <w:vAlign w:val="center"/>
            <w:hideMark/>
          </w:tcPr>
          <w:p w14:paraId="04D03198"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420B4EBD" w14:textId="77777777" w:rsidR="00BC5219" w:rsidRPr="00961B53" w:rsidRDefault="00BC5219" w:rsidP="00E83802">
            <w:pPr>
              <w:jc w:val="right"/>
              <w:rPr>
                <w:rFonts w:ascii="Meta Pro" w:eastAsia="Times New Roman" w:hAnsi="Meta Pro"/>
                <w:b/>
                <w:bCs/>
                <w:sz w:val="16"/>
                <w:szCs w:val="16"/>
                <w:lang w:eastAsia="en-AU"/>
              </w:rPr>
            </w:pPr>
            <w:r w:rsidRPr="00961B53">
              <w:rPr>
                <w:rFonts w:ascii="Meta Pro" w:eastAsia="Times New Roman" w:hAnsi="Meta Pro"/>
                <w:b/>
                <w:bCs/>
                <w:sz w:val="16"/>
                <w:szCs w:val="16"/>
                <w:lang w:eastAsia="en-AU"/>
              </w:rPr>
              <w:t xml:space="preserve">40,182 </w:t>
            </w:r>
          </w:p>
        </w:tc>
      </w:tr>
      <w:tr w:rsidR="00BC5219" w:rsidRPr="00961B53" w14:paraId="15B96C68" w14:textId="77777777" w:rsidTr="00E83802">
        <w:trPr>
          <w:trHeight w:val="198"/>
        </w:trPr>
        <w:tc>
          <w:tcPr>
            <w:tcW w:w="4933" w:type="dxa"/>
            <w:tcBorders>
              <w:top w:val="nil"/>
              <w:left w:val="nil"/>
              <w:bottom w:val="nil"/>
              <w:right w:val="nil"/>
            </w:tcBorders>
            <w:shd w:val="clear" w:color="auto" w:fill="auto"/>
            <w:noWrap/>
            <w:vAlign w:val="center"/>
            <w:hideMark/>
          </w:tcPr>
          <w:p w14:paraId="7A47235A" w14:textId="77777777" w:rsidR="00BC5219" w:rsidRPr="00961B53" w:rsidRDefault="00BC5219" w:rsidP="00E83802">
            <w:pPr>
              <w:rPr>
                <w:rFonts w:ascii="Meta Pro" w:eastAsia="Times New Roman" w:hAnsi="Meta Pro"/>
                <w:sz w:val="16"/>
                <w:szCs w:val="16"/>
                <w:lang w:eastAsia="en-AU"/>
              </w:rPr>
            </w:pPr>
            <w:r w:rsidRPr="00961B53">
              <w:rPr>
                <w:rFonts w:ascii="Meta Pro" w:eastAsia="Times New Roman" w:hAnsi="Meta Pro"/>
                <w:sz w:val="16"/>
                <w:szCs w:val="16"/>
                <w:lang w:eastAsia="en-AU"/>
              </w:rPr>
              <w:t>Disposals</w:t>
            </w:r>
          </w:p>
        </w:tc>
        <w:tc>
          <w:tcPr>
            <w:tcW w:w="1191" w:type="dxa"/>
            <w:tcBorders>
              <w:top w:val="nil"/>
              <w:left w:val="nil"/>
              <w:bottom w:val="nil"/>
              <w:right w:val="nil"/>
            </w:tcBorders>
            <w:shd w:val="clear" w:color="000000" w:fill="C9E3B4"/>
            <w:noWrap/>
            <w:vAlign w:val="center"/>
            <w:hideMark/>
          </w:tcPr>
          <w:p w14:paraId="16242524"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(505)</w:t>
            </w:r>
          </w:p>
        </w:tc>
        <w:tc>
          <w:tcPr>
            <w:tcW w:w="79" w:type="dxa"/>
            <w:tcBorders>
              <w:top w:val="nil"/>
              <w:left w:val="nil"/>
              <w:bottom w:val="nil"/>
              <w:right w:val="nil"/>
            </w:tcBorders>
            <w:shd w:val="clear" w:color="auto" w:fill="auto"/>
            <w:noWrap/>
            <w:vAlign w:val="center"/>
            <w:hideMark/>
          </w:tcPr>
          <w:p w14:paraId="03B189DC"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4D025DBD"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(1,723)</w:t>
            </w:r>
          </w:p>
        </w:tc>
        <w:tc>
          <w:tcPr>
            <w:tcW w:w="79" w:type="dxa"/>
            <w:tcBorders>
              <w:top w:val="nil"/>
              <w:left w:val="nil"/>
              <w:bottom w:val="nil"/>
              <w:right w:val="nil"/>
            </w:tcBorders>
            <w:shd w:val="clear" w:color="auto" w:fill="auto"/>
            <w:noWrap/>
            <w:vAlign w:val="center"/>
            <w:hideMark/>
          </w:tcPr>
          <w:p w14:paraId="6ED30AED"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31571C30"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(1,463)</w:t>
            </w:r>
          </w:p>
        </w:tc>
        <w:tc>
          <w:tcPr>
            <w:tcW w:w="79" w:type="dxa"/>
            <w:tcBorders>
              <w:top w:val="nil"/>
              <w:left w:val="nil"/>
              <w:bottom w:val="nil"/>
              <w:right w:val="nil"/>
            </w:tcBorders>
            <w:shd w:val="clear" w:color="auto" w:fill="auto"/>
            <w:noWrap/>
            <w:vAlign w:val="center"/>
            <w:hideMark/>
          </w:tcPr>
          <w:p w14:paraId="75E11B1A"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57D9A117"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 </w:t>
            </w:r>
          </w:p>
        </w:tc>
        <w:tc>
          <w:tcPr>
            <w:tcW w:w="79" w:type="dxa"/>
            <w:tcBorders>
              <w:top w:val="nil"/>
              <w:left w:val="nil"/>
              <w:bottom w:val="nil"/>
              <w:right w:val="nil"/>
            </w:tcBorders>
            <w:shd w:val="clear" w:color="auto" w:fill="auto"/>
            <w:noWrap/>
            <w:vAlign w:val="center"/>
            <w:hideMark/>
          </w:tcPr>
          <w:p w14:paraId="5305D7E1"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2237BB7D"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(5,294)</w:t>
            </w:r>
          </w:p>
        </w:tc>
        <w:tc>
          <w:tcPr>
            <w:tcW w:w="79" w:type="dxa"/>
            <w:tcBorders>
              <w:top w:val="nil"/>
              <w:left w:val="nil"/>
              <w:bottom w:val="nil"/>
              <w:right w:val="nil"/>
            </w:tcBorders>
            <w:shd w:val="clear" w:color="auto" w:fill="auto"/>
            <w:noWrap/>
            <w:vAlign w:val="center"/>
            <w:hideMark/>
          </w:tcPr>
          <w:p w14:paraId="4F2081B3"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2D1CA152"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 </w:t>
            </w:r>
          </w:p>
        </w:tc>
        <w:tc>
          <w:tcPr>
            <w:tcW w:w="79" w:type="dxa"/>
            <w:tcBorders>
              <w:top w:val="nil"/>
              <w:left w:val="nil"/>
              <w:bottom w:val="nil"/>
              <w:right w:val="nil"/>
            </w:tcBorders>
            <w:shd w:val="clear" w:color="auto" w:fill="auto"/>
            <w:noWrap/>
            <w:vAlign w:val="center"/>
            <w:hideMark/>
          </w:tcPr>
          <w:p w14:paraId="3E6592D7"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59BF29F4" w14:textId="77777777" w:rsidR="00BC5219" w:rsidRPr="00961B53" w:rsidRDefault="00BC5219" w:rsidP="00E83802">
            <w:pPr>
              <w:jc w:val="right"/>
              <w:rPr>
                <w:rFonts w:ascii="Meta Pro" w:eastAsia="Times New Roman" w:hAnsi="Meta Pro"/>
                <w:b/>
                <w:bCs/>
                <w:sz w:val="16"/>
                <w:szCs w:val="16"/>
                <w:lang w:eastAsia="en-AU"/>
              </w:rPr>
            </w:pPr>
            <w:r w:rsidRPr="00961B53">
              <w:rPr>
                <w:rFonts w:ascii="Meta Pro" w:eastAsia="Times New Roman" w:hAnsi="Meta Pro"/>
                <w:b/>
                <w:bCs/>
                <w:sz w:val="16"/>
                <w:szCs w:val="16"/>
                <w:lang w:eastAsia="en-AU"/>
              </w:rPr>
              <w:t>(8,985)</w:t>
            </w:r>
          </w:p>
        </w:tc>
      </w:tr>
      <w:tr w:rsidR="00BC5219" w:rsidRPr="00961B53" w14:paraId="6864487F" w14:textId="77777777" w:rsidTr="00E83802">
        <w:trPr>
          <w:trHeight w:val="198"/>
        </w:trPr>
        <w:tc>
          <w:tcPr>
            <w:tcW w:w="4933" w:type="dxa"/>
            <w:tcBorders>
              <w:top w:val="nil"/>
              <w:left w:val="nil"/>
              <w:bottom w:val="nil"/>
              <w:right w:val="nil"/>
            </w:tcBorders>
            <w:shd w:val="clear" w:color="auto" w:fill="auto"/>
            <w:vAlign w:val="center"/>
            <w:hideMark/>
          </w:tcPr>
          <w:p w14:paraId="05808171" w14:textId="77777777" w:rsidR="00BC5219" w:rsidRPr="00961B53" w:rsidRDefault="00BC5219" w:rsidP="00E83802">
            <w:pPr>
              <w:rPr>
                <w:rFonts w:ascii="Meta Pro" w:eastAsia="Times New Roman" w:hAnsi="Meta Pro"/>
                <w:sz w:val="16"/>
                <w:szCs w:val="16"/>
                <w:lang w:eastAsia="en-AU"/>
              </w:rPr>
            </w:pPr>
            <w:r w:rsidRPr="00961B53">
              <w:rPr>
                <w:rFonts w:ascii="Meta Pro" w:eastAsia="Times New Roman" w:hAnsi="Meta Pro"/>
                <w:sz w:val="16"/>
                <w:szCs w:val="16"/>
                <w:lang w:eastAsia="en-AU"/>
              </w:rPr>
              <w:t>Assets provided to third parties at below fair value</w:t>
            </w:r>
          </w:p>
        </w:tc>
        <w:tc>
          <w:tcPr>
            <w:tcW w:w="1191" w:type="dxa"/>
            <w:tcBorders>
              <w:top w:val="nil"/>
              <w:left w:val="nil"/>
              <w:bottom w:val="nil"/>
              <w:right w:val="nil"/>
            </w:tcBorders>
            <w:shd w:val="clear" w:color="000000" w:fill="C9E3B4"/>
            <w:noWrap/>
            <w:vAlign w:val="center"/>
            <w:hideMark/>
          </w:tcPr>
          <w:p w14:paraId="2DF26D3F"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 </w:t>
            </w:r>
          </w:p>
        </w:tc>
        <w:tc>
          <w:tcPr>
            <w:tcW w:w="79" w:type="dxa"/>
            <w:tcBorders>
              <w:top w:val="nil"/>
              <w:left w:val="nil"/>
              <w:bottom w:val="nil"/>
              <w:right w:val="nil"/>
            </w:tcBorders>
            <w:shd w:val="clear" w:color="auto" w:fill="auto"/>
            <w:noWrap/>
            <w:vAlign w:val="center"/>
            <w:hideMark/>
          </w:tcPr>
          <w:p w14:paraId="4855CF45"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1EFD6B8D"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 </w:t>
            </w:r>
          </w:p>
        </w:tc>
        <w:tc>
          <w:tcPr>
            <w:tcW w:w="79" w:type="dxa"/>
            <w:tcBorders>
              <w:top w:val="nil"/>
              <w:left w:val="nil"/>
              <w:bottom w:val="nil"/>
              <w:right w:val="nil"/>
            </w:tcBorders>
            <w:shd w:val="clear" w:color="auto" w:fill="auto"/>
            <w:noWrap/>
            <w:vAlign w:val="center"/>
            <w:hideMark/>
          </w:tcPr>
          <w:p w14:paraId="7B13BFC2"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3FB076E1"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(2)</w:t>
            </w:r>
          </w:p>
        </w:tc>
        <w:tc>
          <w:tcPr>
            <w:tcW w:w="79" w:type="dxa"/>
            <w:tcBorders>
              <w:top w:val="nil"/>
              <w:left w:val="nil"/>
              <w:bottom w:val="nil"/>
              <w:right w:val="nil"/>
            </w:tcBorders>
            <w:shd w:val="clear" w:color="auto" w:fill="auto"/>
            <w:noWrap/>
            <w:vAlign w:val="center"/>
            <w:hideMark/>
          </w:tcPr>
          <w:p w14:paraId="6FCD63E3"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357DE69D"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 </w:t>
            </w:r>
          </w:p>
        </w:tc>
        <w:tc>
          <w:tcPr>
            <w:tcW w:w="79" w:type="dxa"/>
            <w:tcBorders>
              <w:top w:val="nil"/>
              <w:left w:val="nil"/>
              <w:bottom w:val="nil"/>
              <w:right w:val="nil"/>
            </w:tcBorders>
            <w:shd w:val="clear" w:color="auto" w:fill="auto"/>
            <w:noWrap/>
            <w:vAlign w:val="center"/>
            <w:hideMark/>
          </w:tcPr>
          <w:p w14:paraId="3A04E549"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68DCE999"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(202)</w:t>
            </w:r>
          </w:p>
        </w:tc>
        <w:tc>
          <w:tcPr>
            <w:tcW w:w="79" w:type="dxa"/>
            <w:tcBorders>
              <w:top w:val="nil"/>
              <w:left w:val="nil"/>
              <w:bottom w:val="nil"/>
              <w:right w:val="nil"/>
            </w:tcBorders>
            <w:shd w:val="clear" w:color="auto" w:fill="auto"/>
            <w:noWrap/>
            <w:vAlign w:val="center"/>
            <w:hideMark/>
          </w:tcPr>
          <w:p w14:paraId="7DFA88BE"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0F5CCC06"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 </w:t>
            </w:r>
          </w:p>
        </w:tc>
        <w:tc>
          <w:tcPr>
            <w:tcW w:w="79" w:type="dxa"/>
            <w:tcBorders>
              <w:top w:val="nil"/>
              <w:left w:val="nil"/>
              <w:bottom w:val="nil"/>
              <w:right w:val="nil"/>
            </w:tcBorders>
            <w:shd w:val="clear" w:color="auto" w:fill="auto"/>
            <w:noWrap/>
            <w:vAlign w:val="center"/>
            <w:hideMark/>
          </w:tcPr>
          <w:p w14:paraId="760BC457"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3C78265B" w14:textId="77777777" w:rsidR="00BC5219" w:rsidRPr="00961B53" w:rsidRDefault="00BC5219" w:rsidP="00E83802">
            <w:pPr>
              <w:jc w:val="right"/>
              <w:rPr>
                <w:rFonts w:ascii="Meta Pro" w:eastAsia="Times New Roman" w:hAnsi="Meta Pro"/>
                <w:b/>
                <w:bCs/>
                <w:sz w:val="16"/>
                <w:szCs w:val="16"/>
                <w:lang w:eastAsia="en-AU"/>
              </w:rPr>
            </w:pPr>
            <w:r w:rsidRPr="00961B53">
              <w:rPr>
                <w:rFonts w:ascii="Meta Pro" w:eastAsia="Times New Roman" w:hAnsi="Meta Pro"/>
                <w:b/>
                <w:bCs/>
                <w:sz w:val="16"/>
                <w:szCs w:val="16"/>
                <w:lang w:eastAsia="en-AU"/>
              </w:rPr>
              <w:t>(204)</w:t>
            </w:r>
          </w:p>
        </w:tc>
      </w:tr>
      <w:tr w:rsidR="00BC5219" w:rsidRPr="00961B53" w14:paraId="7C7D780A" w14:textId="77777777" w:rsidTr="00E83802">
        <w:trPr>
          <w:trHeight w:val="198"/>
        </w:trPr>
        <w:tc>
          <w:tcPr>
            <w:tcW w:w="4933" w:type="dxa"/>
            <w:tcBorders>
              <w:top w:val="nil"/>
              <w:left w:val="nil"/>
              <w:bottom w:val="nil"/>
              <w:right w:val="nil"/>
            </w:tcBorders>
            <w:shd w:val="clear" w:color="auto" w:fill="auto"/>
            <w:noWrap/>
            <w:vAlign w:val="center"/>
            <w:hideMark/>
          </w:tcPr>
          <w:p w14:paraId="6A3E2F5D" w14:textId="77777777" w:rsidR="00BC5219" w:rsidRPr="00961B53" w:rsidRDefault="00BC5219" w:rsidP="00E83802">
            <w:pPr>
              <w:rPr>
                <w:rFonts w:ascii="Meta Pro" w:eastAsia="Times New Roman" w:hAnsi="Meta Pro"/>
                <w:sz w:val="16"/>
                <w:szCs w:val="16"/>
                <w:lang w:eastAsia="en-AU"/>
              </w:rPr>
            </w:pPr>
            <w:r w:rsidRPr="00961B53">
              <w:rPr>
                <w:rFonts w:ascii="Meta Pro" w:eastAsia="Times New Roman" w:hAnsi="Meta Pro"/>
                <w:sz w:val="16"/>
                <w:szCs w:val="16"/>
                <w:lang w:eastAsia="en-AU"/>
              </w:rPr>
              <w:t>Assets reclassified as held for sale</w:t>
            </w:r>
          </w:p>
        </w:tc>
        <w:tc>
          <w:tcPr>
            <w:tcW w:w="1191" w:type="dxa"/>
            <w:tcBorders>
              <w:top w:val="nil"/>
              <w:left w:val="nil"/>
              <w:bottom w:val="nil"/>
              <w:right w:val="nil"/>
            </w:tcBorders>
            <w:shd w:val="clear" w:color="000000" w:fill="C9E3B4"/>
            <w:noWrap/>
            <w:vAlign w:val="center"/>
            <w:hideMark/>
          </w:tcPr>
          <w:p w14:paraId="6EABECF5"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(7,805)</w:t>
            </w:r>
          </w:p>
        </w:tc>
        <w:tc>
          <w:tcPr>
            <w:tcW w:w="79" w:type="dxa"/>
            <w:tcBorders>
              <w:top w:val="nil"/>
              <w:left w:val="nil"/>
              <w:bottom w:val="nil"/>
              <w:right w:val="nil"/>
            </w:tcBorders>
            <w:shd w:val="clear" w:color="auto" w:fill="auto"/>
            <w:noWrap/>
            <w:vAlign w:val="center"/>
            <w:hideMark/>
          </w:tcPr>
          <w:p w14:paraId="54AE5B9A"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3FFD12AA"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(779)</w:t>
            </w:r>
          </w:p>
        </w:tc>
        <w:tc>
          <w:tcPr>
            <w:tcW w:w="79" w:type="dxa"/>
            <w:tcBorders>
              <w:top w:val="nil"/>
              <w:left w:val="nil"/>
              <w:bottom w:val="nil"/>
              <w:right w:val="nil"/>
            </w:tcBorders>
            <w:shd w:val="clear" w:color="auto" w:fill="auto"/>
            <w:noWrap/>
            <w:vAlign w:val="center"/>
            <w:hideMark/>
          </w:tcPr>
          <w:p w14:paraId="6AC1D6ED"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295F33C4"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 </w:t>
            </w:r>
          </w:p>
        </w:tc>
        <w:tc>
          <w:tcPr>
            <w:tcW w:w="79" w:type="dxa"/>
            <w:tcBorders>
              <w:top w:val="nil"/>
              <w:left w:val="nil"/>
              <w:bottom w:val="nil"/>
              <w:right w:val="nil"/>
            </w:tcBorders>
            <w:shd w:val="clear" w:color="auto" w:fill="auto"/>
            <w:noWrap/>
            <w:vAlign w:val="center"/>
            <w:hideMark/>
          </w:tcPr>
          <w:p w14:paraId="4451AEBC"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0CA9358C"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 </w:t>
            </w:r>
          </w:p>
        </w:tc>
        <w:tc>
          <w:tcPr>
            <w:tcW w:w="79" w:type="dxa"/>
            <w:tcBorders>
              <w:top w:val="nil"/>
              <w:left w:val="nil"/>
              <w:bottom w:val="nil"/>
              <w:right w:val="nil"/>
            </w:tcBorders>
            <w:shd w:val="clear" w:color="auto" w:fill="auto"/>
            <w:noWrap/>
            <w:vAlign w:val="center"/>
            <w:hideMark/>
          </w:tcPr>
          <w:p w14:paraId="5277E7C4"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5D0334F9"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 </w:t>
            </w:r>
          </w:p>
        </w:tc>
        <w:tc>
          <w:tcPr>
            <w:tcW w:w="79" w:type="dxa"/>
            <w:tcBorders>
              <w:top w:val="nil"/>
              <w:left w:val="nil"/>
              <w:bottom w:val="nil"/>
              <w:right w:val="nil"/>
            </w:tcBorders>
            <w:shd w:val="clear" w:color="auto" w:fill="auto"/>
            <w:noWrap/>
            <w:vAlign w:val="center"/>
            <w:hideMark/>
          </w:tcPr>
          <w:p w14:paraId="5F142E70"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244673CD"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 </w:t>
            </w:r>
          </w:p>
        </w:tc>
        <w:tc>
          <w:tcPr>
            <w:tcW w:w="79" w:type="dxa"/>
            <w:tcBorders>
              <w:top w:val="nil"/>
              <w:left w:val="nil"/>
              <w:bottom w:val="nil"/>
              <w:right w:val="nil"/>
            </w:tcBorders>
            <w:shd w:val="clear" w:color="auto" w:fill="auto"/>
            <w:noWrap/>
            <w:vAlign w:val="center"/>
            <w:hideMark/>
          </w:tcPr>
          <w:p w14:paraId="3DD555A4"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3C434A12" w14:textId="77777777" w:rsidR="00BC5219" w:rsidRPr="00961B53" w:rsidRDefault="00BC5219" w:rsidP="00E83802">
            <w:pPr>
              <w:jc w:val="right"/>
              <w:rPr>
                <w:rFonts w:ascii="Meta Pro" w:eastAsia="Times New Roman" w:hAnsi="Meta Pro"/>
                <w:b/>
                <w:bCs/>
                <w:sz w:val="16"/>
                <w:szCs w:val="16"/>
                <w:lang w:eastAsia="en-AU"/>
              </w:rPr>
            </w:pPr>
            <w:r w:rsidRPr="00961B53">
              <w:rPr>
                <w:rFonts w:ascii="Meta Pro" w:eastAsia="Times New Roman" w:hAnsi="Meta Pro"/>
                <w:b/>
                <w:bCs/>
                <w:sz w:val="16"/>
                <w:szCs w:val="16"/>
                <w:lang w:eastAsia="en-AU"/>
              </w:rPr>
              <w:t>(8,584)</w:t>
            </w:r>
          </w:p>
        </w:tc>
      </w:tr>
      <w:tr w:rsidR="00BC5219" w:rsidRPr="00961B53" w14:paraId="15914E65" w14:textId="77777777" w:rsidTr="00E83802">
        <w:trPr>
          <w:trHeight w:val="198"/>
        </w:trPr>
        <w:tc>
          <w:tcPr>
            <w:tcW w:w="4933" w:type="dxa"/>
            <w:tcBorders>
              <w:top w:val="nil"/>
              <w:left w:val="nil"/>
              <w:bottom w:val="nil"/>
              <w:right w:val="nil"/>
            </w:tcBorders>
            <w:shd w:val="clear" w:color="auto" w:fill="auto"/>
            <w:noWrap/>
            <w:vAlign w:val="center"/>
            <w:hideMark/>
          </w:tcPr>
          <w:p w14:paraId="74732039" w14:textId="77777777" w:rsidR="00BC5219" w:rsidRPr="00961B53" w:rsidRDefault="00BC5219" w:rsidP="00E83802">
            <w:pPr>
              <w:rPr>
                <w:rFonts w:ascii="Meta Pro" w:eastAsia="Times New Roman" w:hAnsi="Meta Pro"/>
                <w:sz w:val="16"/>
                <w:szCs w:val="16"/>
                <w:lang w:eastAsia="en-AU"/>
              </w:rPr>
            </w:pPr>
            <w:r w:rsidRPr="00961B53">
              <w:rPr>
                <w:rFonts w:ascii="Meta Pro" w:eastAsia="Times New Roman" w:hAnsi="Meta Pro"/>
                <w:sz w:val="16"/>
                <w:szCs w:val="16"/>
                <w:lang w:eastAsia="en-AU"/>
              </w:rPr>
              <w:t>Projects written off</w:t>
            </w:r>
          </w:p>
        </w:tc>
        <w:tc>
          <w:tcPr>
            <w:tcW w:w="1191" w:type="dxa"/>
            <w:tcBorders>
              <w:top w:val="nil"/>
              <w:left w:val="nil"/>
              <w:bottom w:val="nil"/>
              <w:right w:val="nil"/>
            </w:tcBorders>
            <w:shd w:val="clear" w:color="000000" w:fill="C9E3B4"/>
            <w:noWrap/>
            <w:vAlign w:val="center"/>
            <w:hideMark/>
          </w:tcPr>
          <w:p w14:paraId="7FA83000"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 </w:t>
            </w:r>
          </w:p>
        </w:tc>
        <w:tc>
          <w:tcPr>
            <w:tcW w:w="79" w:type="dxa"/>
            <w:tcBorders>
              <w:top w:val="nil"/>
              <w:left w:val="nil"/>
              <w:bottom w:val="nil"/>
              <w:right w:val="nil"/>
            </w:tcBorders>
            <w:shd w:val="clear" w:color="auto" w:fill="auto"/>
            <w:noWrap/>
            <w:vAlign w:val="center"/>
            <w:hideMark/>
          </w:tcPr>
          <w:p w14:paraId="72467598"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141A4354"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 </w:t>
            </w:r>
          </w:p>
        </w:tc>
        <w:tc>
          <w:tcPr>
            <w:tcW w:w="79" w:type="dxa"/>
            <w:tcBorders>
              <w:top w:val="nil"/>
              <w:left w:val="nil"/>
              <w:bottom w:val="nil"/>
              <w:right w:val="nil"/>
            </w:tcBorders>
            <w:shd w:val="clear" w:color="auto" w:fill="auto"/>
            <w:noWrap/>
            <w:vAlign w:val="center"/>
            <w:hideMark/>
          </w:tcPr>
          <w:p w14:paraId="4E95B1C6"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5FD1E4FA"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 </w:t>
            </w:r>
          </w:p>
        </w:tc>
        <w:tc>
          <w:tcPr>
            <w:tcW w:w="79" w:type="dxa"/>
            <w:tcBorders>
              <w:top w:val="nil"/>
              <w:left w:val="nil"/>
              <w:bottom w:val="nil"/>
              <w:right w:val="nil"/>
            </w:tcBorders>
            <w:shd w:val="clear" w:color="auto" w:fill="auto"/>
            <w:noWrap/>
            <w:vAlign w:val="center"/>
            <w:hideMark/>
          </w:tcPr>
          <w:p w14:paraId="124A21D1"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40FFFDFB"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 </w:t>
            </w:r>
          </w:p>
        </w:tc>
        <w:tc>
          <w:tcPr>
            <w:tcW w:w="79" w:type="dxa"/>
            <w:tcBorders>
              <w:top w:val="nil"/>
              <w:left w:val="nil"/>
              <w:bottom w:val="nil"/>
              <w:right w:val="nil"/>
            </w:tcBorders>
            <w:shd w:val="clear" w:color="auto" w:fill="auto"/>
            <w:noWrap/>
            <w:vAlign w:val="center"/>
            <w:hideMark/>
          </w:tcPr>
          <w:p w14:paraId="37BF62B9"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443B1332"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 </w:t>
            </w:r>
          </w:p>
        </w:tc>
        <w:tc>
          <w:tcPr>
            <w:tcW w:w="79" w:type="dxa"/>
            <w:tcBorders>
              <w:top w:val="nil"/>
              <w:left w:val="nil"/>
              <w:bottom w:val="nil"/>
              <w:right w:val="nil"/>
            </w:tcBorders>
            <w:shd w:val="clear" w:color="auto" w:fill="auto"/>
            <w:noWrap/>
            <w:vAlign w:val="center"/>
            <w:hideMark/>
          </w:tcPr>
          <w:p w14:paraId="295C43A6"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539C1304"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(931)</w:t>
            </w:r>
          </w:p>
        </w:tc>
        <w:tc>
          <w:tcPr>
            <w:tcW w:w="79" w:type="dxa"/>
            <w:tcBorders>
              <w:top w:val="nil"/>
              <w:left w:val="nil"/>
              <w:bottom w:val="nil"/>
              <w:right w:val="nil"/>
            </w:tcBorders>
            <w:shd w:val="clear" w:color="auto" w:fill="auto"/>
            <w:noWrap/>
            <w:vAlign w:val="center"/>
            <w:hideMark/>
          </w:tcPr>
          <w:p w14:paraId="259266E2"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7C81AB30" w14:textId="77777777" w:rsidR="00BC5219" w:rsidRPr="00961B53" w:rsidRDefault="00BC5219" w:rsidP="00E83802">
            <w:pPr>
              <w:jc w:val="right"/>
              <w:rPr>
                <w:rFonts w:ascii="Meta Pro" w:eastAsia="Times New Roman" w:hAnsi="Meta Pro"/>
                <w:b/>
                <w:bCs/>
                <w:sz w:val="16"/>
                <w:szCs w:val="16"/>
                <w:lang w:eastAsia="en-AU"/>
              </w:rPr>
            </w:pPr>
            <w:r w:rsidRPr="00961B53">
              <w:rPr>
                <w:rFonts w:ascii="Meta Pro" w:eastAsia="Times New Roman" w:hAnsi="Meta Pro"/>
                <w:b/>
                <w:bCs/>
                <w:sz w:val="16"/>
                <w:szCs w:val="16"/>
                <w:lang w:eastAsia="en-AU"/>
              </w:rPr>
              <w:t>(931)</w:t>
            </w:r>
          </w:p>
        </w:tc>
      </w:tr>
      <w:tr w:rsidR="00BC5219" w:rsidRPr="00961B53" w14:paraId="09774FE2" w14:textId="77777777" w:rsidTr="00E83802">
        <w:trPr>
          <w:trHeight w:val="198"/>
        </w:trPr>
        <w:tc>
          <w:tcPr>
            <w:tcW w:w="4933" w:type="dxa"/>
            <w:tcBorders>
              <w:top w:val="nil"/>
              <w:left w:val="nil"/>
              <w:bottom w:val="nil"/>
              <w:right w:val="nil"/>
            </w:tcBorders>
            <w:shd w:val="clear" w:color="auto" w:fill="auto"/>
            <w:vAlign w:val="center"/>
            <w:hideMark/>
          </w:tcPr>
          <w:p w14:paraId="02793935" w14:textId="77777777" w:rsidR="00BC5219" w:rsidRPr="00961B53" w:rsidRDefault="00BC5219" w:rsidP="00E83802">
            <w:pPr>
              <w:rPr>
                <w:rFonts w:ascii="Meta Pro" w:eastAsia="Times New Roman" w:hAnsi="Meta Pro"/>
                <w:sz w:val="16"/>
                <w:szCs w:val="16"/>
                <w:lang w:eastAsia="en-AU"/>
              </w:rPr>
            </w:pPr>
            <w:r w:rsidRPr="00961B53">
              <w:rPr>
                <w:rFonts w:ascii="Meta Pro" w:eastAsia="Times New Roman" w:hAnsi="Meta Pro"/>
                <w:sz w:val="16"/>
                <w:szCs w:val="16"/>
                <w:lang w:eastAsia="en-AU"/>
              </w:rPr>
              <w:t xml:space="preserve">Net revaluation increments </w:t>
            </w:r>
          </w:p>
        </w:tc>
        <w:tc>
          <w:tcPr>
            <w:tcW w:w="1191" w:type="dxa"/>
            <w:tcBorders>
              <w:top w:val="nil"/>
              <w:left w:val="nil"/>
              <w:bottom w:val="nil"/>
              <w:right w:val="nil"/>
            </w:tcBorders>
            <w:shd w:val="clear" w:color="000000" w:fill="C9E3B4"/>
            <w:noWrap/>
            <w:vAlign w:val="center"/>
            <w:hideMark/>
          </w:tcPr>
          <w:p w14:paraId="7F9468C9"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707,237 </w:t>
            </w:r>
          </w:p>
        </w:tc>
        <w:tc>
          <w:tcPr>
            <w:tcW w:w="79" w:type="dxa"/>
            <w:tcBorders>
              <w:top w:val="nil"/>
              <w:left w:val="nil"/>
              <w:bottom w:val="nil"/>
              <w:right w:val="nil"/>
            </w:tcBorders>
            <w:shd w:val="clear" w:color="auto" w:fill="auto"/>
            <w:noWrap/>
            <w:vAlign w:val="center"/>
            <w:hideMark/>
          </w:tcPr>
          <w:p w14:paraId="7B84F29C"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365C4ABA"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83,168 </w:t>
            </w:r>
          </w:p>
        </w:tc>
        <w:tc>
          <w:tcPr>
            <w:tcW w:w="79" w:type="dxa"/>
            <w:tcBorders>
              <w:top w:val="nil"/>
              <w:left w:val="nil"/>
              <w:bottom w:val="nil"/>
              <w:right w:val="nil"/>
            </w:tcBorders>
            <w:shd w:val="clear" w:color="auto" w:fill="auto"/>
            <w:noWrap/>
            <w:vAlign w:val="center"/>
            <w:hideMark/>
          </w:tcPr>
          <w:p w14:paraId="0DAB8562"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0828C2D8"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 </w:t>
            </w:r>
          </w:p>
        </w:tc>
        <w:tc>
          <w:tcPr>
            <w:tcW w:w="79" w:type="dxa"/>
            <w:tcBorders>
              <w:top w:val="nil"/>
              <w:left w:val="nil"/>
              <w:bottom w:val="nil"/>
              <w:right w:val="nil"/>
            </w:tcBorders>
            <w:shd w:val="clear" w:color="auto" w:fill="auto"/>
            <w:noWrap/>
            <w:vAlign w:val="center"/>
            <w:hideMark/>
          </w:tcPr>
          <w:p w14:paraId="1EC77B76"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65D83109"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45,143 </w:t>
            </w:r>
          </w:p>
        </w:tc>
        <w:tc>
          <w:tcPr>
            <w:tcW w:w="79" w:type="dxa"/>
            <w:tcBorders>
              <w:top w:val="nil"/>
              <w:left w:val="nil"/>
              <w:bottom w:val="nil"/>
              <w:right w:val="nil"/>
            </w:tcBorders>
            <w:shd w:val="clear" w:color="auto" w:fill="auto"/>
            <w:noWrap/>
            <w:vAlign w:val="center"/>
            <w:hideMark/>
          </w:tcPr>
          <w:p w14:paraId="31DE17F0"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30491AB8"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12,943,375 </w:t>
            </w:r>
          </w:p>
        </w:tc>
        <w:tc>
          <w:tcPr>
            <w:tcW w:w="79" w:type="dxa"/>
            <w:tcBorders>
              <w:top w:val="nil"/>
              <w:left w:val="nil"/>
              <w:bottom w:val="nil"/>
              <w:right w:val="nil"/>
            </w:tcBorders>
            <w:shd w:val="clear" w:color="auto" w:fill="auto"/>
            <w:noWrap/>
            <w:vAlign w:val="center"/>
            <w:hideMark/>
          </w:tcPr>
          <w:p w14:paraId="7F92D816"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3F78BCA1"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 </w:t>
            </w:r>
          </w:p>
        </w:tc>
        <w:tc>
          <w:tcPr>
            <w:tcW w:w="79" w:type="dxa"/>
            <w:tcBorders>
              <w:top w:val="nil"/>
              <w:left w:val="nil"/>
              <w:bottom w:val="nil"/>
              <w:right w:val="nil"/>
            </w:tcBorders>
            <w:shd w:val="clear" w:color="auto" w:fill="auto"/>
            <w:noWrap/>
            <w:vAlign w:val="center"/>
            <w:hideMark/>
          </w:tcPr>
          <w:p w14:paraId="15E9310D"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2E0B7AEB" w14:textId="77777777" w:rsidR="00BC5219" w:rsidRPr="00961B53" w:rsidRDefault="00BC5219" w:rsidP="00E83802">
            <w:pPr>
              <w:jc w:val="right"/>
              <w:rPr>
                <w:rFonts w:ascii="Meta Pro" w:eastAsia="Times New Roman" w:hAnsi="Meta Pro"/>
                <w:b/>
                <w:bCs/>
                <w:sz w:val="16"/>
                <w:szCs w:val="16"/>
                <w:lang w:eastAsia="en-AU"/>
              </w:rPr>
            </w:pPr>
            <w:r w:rsidRPr="00961B53">
              <w:rPr>
                <w:rFonts w:ascii="Meta Pro" w:eastAsia="Times New Roman" w:hAnsi="Meta Pro"/>
                <w:b/>
                <w:bCs/>
                <w:sz w:val="16"/>
                <w:szCs w:val="16"/>
                <w:lang w:eastAsia="en-AU"/>
              </w:rPr>
              <w:t xml:space="preserve">13,778,923 </w:t>
            </w:r>
          </w:p>
        </w:tc>
      </w:tr>
      <w:tr w:rsidR="00BC5219" w:rsidRPr="00961B53" w14:paraId="7DB35AF7" w14:textId="77777777" w:rsidTr="00E83802">
        <w:trPr>
          <w:trHeight w:val="198"/>
        </w:trPr>
        <w:tc>
          <w:tcPr>
            <w:tcW w:w="4933" w:type="dxa"/>
            <w:tcBorders>
              <w:top w:val="nil"/>
              <w:left w:val="nil"/>
              <w:bottom w:val="nil"/>
              <w:right w:val="nil"/>
            </w:tcBorders>
            <w:shd w:val="clear" w:color="auto" w:fill="auto"/>
            <w:vAlign w:val="center"/>
            <w:hideMark/>
          </w:tcPr>
          <w:p w14:paraId="414041A8" w14:textId="77777777" w:rsidR="00BC5219" w:rsidRPr="00961B53" w:rsidRDefault="00BC5219" w:rsidP="00E83802">
            <w:pPr>
              <w:rPr>
                <w:rFonts w:ascii="Meta Pro" w:eastAsia="Times New Roman" w:hAnsi="Meta Pro"/>
                <w:sz w:val="16"/>
                <w:szCs w:val="16"/>
                <w:lang w:eastAsia="en-AU"/>
              </w:rPr>
            </w:pPr>
            <w:r w:rsidRPr="00961B53">
              <w:rPr>
                <w:rFonts w:ascii="Meta Pro" w:eastAsia="Times New Roman" w:hAnsi="Meta Pro"/>
                <w:sz w:val="16"/>
                <w:szCs w:val="16"/>
                <w:lang w:eastAsia="en-AU"/>
              </w:rPr>
              <w:t>Depreciation</w:t>
            </w:r>
          </w:p>
        </w:tc>
        <w:tc>
          <w:tcPr>
            <w:tcW w:w="1191" w:type="dxa"/>
            <w:tcBorders>
              <w:top w:val="nil"/>
              <w:left w:val="nil"/>
              <w:bottom w:val="nil"/>
              <w:right w:val="nil"/>
            </w:tcBorders>
            <w:shd w:val="clear" w:color="000000" w:fill="C9E3B4"/>
            <w:noWrap/>
            <w:vAlign w:val="center"/>
            <w:hideMark/>
          </w:tcPr>
          <w:p w14:paraId="5923987B"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 </w:t>
            </w:r>
          </w:p>
        </w:tc>
        <w:tc>
          <w:tcPr>
            <w:tcW w:w="79" w:type="dxa"/>
            <w:tcBorders>
              <w:top w:val="nil"/>
              <w:left w:val="nil"/>
              <w:bottom w:val="nil"/>
              <w:right w:val="nil"/>
            </w:tcBorders>
            <w:shd w:val="clear" w:color="auto" w:fill="auto"/>
            <w:noWrap/>
            <w:vAlign w:val="center"/>
            <w:hideMark/>
          </w:tcPr>
          <w:p w14:paraId="459D8757"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475DFA95"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(59,991)</w:t>
            </w:r>
          </w:p>
        </w:tc>
        <w:tc>
          <w:tcPr>
            <w:tcW w:w="79" w:type="dxa"/>
            <w:tcBorders>
              <w:top w:val="nil"/>
              <w:left w:val="nil"/>
              <w:bottom w:val="nil"/>
              <w:right w:val="nil"/>
            </w:tcBorders>
            <w:shd w:val="clear" w:color="auto" w:fill="auto"/>
            <w:noWrap/>
            <w:vAlign w:val="center"/>
            <w:hideMark/>
          </w:tcPr>
          <w:p w14:paraId="7B630822"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213BF0AC"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(40,406)</w:t>
            </w:r>
          </w:p>
        </w:tc>
        <w:tc>
          <w:tcPr>
            <w:tcW w:w="79" w:type="dxa"/>
            <w:tcBorders>
              <w:top w:val="nil"/>
              <w:left w:val="nil"/>
              <w:bottom w:val="nil"/>
              <w:right w:val="nil"/>
            </w:tcBorders>
            <w:shd w:val="clear" w:color="auto" w:fill="auto"/>
            <w:noWrap/>
            <w:vAlign w:val="center"/>
            <w:hideMark/>
          </w:tcPr>
          <w:p w14:paraId="138CB4C1"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17FF016B"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(46,951)</w:t>
            </w:r>
          </w:p>
        </w:tc>
        <w:tc>
          <w:tcPr>
            <w:tcW w:w="79" w:type="dxa"/>
            <w:tcBorders>
              <w:top w:val="nil"/>
              <w:left w:val="nil"/>
              <w:bottom w:val="nil"/>
              <w:right w:val="nil"/>
            </w:tcBorders>
            <w:shd w:val="clear" w:color="auto" w:fill="auto"/>
            <w:noWrap/>
            <w:vAlign w:val="center"/>
            <w:hideMark/>
          </w:tcPr>
          <w:p w14:paraId="2CE62D47"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1563DA9B"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(1,157,193)</w:t>
            </w:r>
          </w:p>
        </w:tc>
        <w:tc>
          <w:tcPr>
            <w:tcW w:w="79" w:type="dxa"/>
            <w:tcBorders>
              <w:top w:val="nil"/>
              <w:left w:val="nil"/>
              <w:bottom w:val="nil"/>
              <w:right w:val="nil"/>
            </w:tcBorders>
            <w:shd w:val="clear" w:color="auto" w:fill="auto"/>
            <w:noWrap/>
            <w:vAlign w:val="center"/>
            <w:hideMark/>
          </w:tcPr>
          <w:p w14:paraId="32C62FAC"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781F9845" w14:textId="77777777" w:rsidR="00BC5219" w:rsidRPr="00961B53" w:rsidRDefault="00BC5219" w:rsidP="00E83802">
            <w:pPr>
              <w:jc w:val="right"/>
              <w:rPr>
                <w:rFonts w:ascii="Meta Pro" w:eastAsia="Times New Roman" w:hAnsi="Meta Pro"/>
                <w:sz w:val="16"/>
                <w:szCs w:val="16"/>
                <w:lang w:eastAsia="en-AU"/>
              </w:rPr>
            </w:pPr>
            <w:r w:rsidRPr="00961B53">
              <w:rPr>
                <w:rFonts w:ascii="Meta Pro" w:eastAsia="Times New Roman" w:hAnsi="Meta Pro"/>
                <w:sz w:val="16"/>
                <w:szCs w:val="16"/>
                <w:lang w:eastAsia="en-AU"/>
              </w:rPr>
              <w:t xml:space="preserve">- </w:t>
            </w:r>
          </w:p>
        </w:tc>
        <w:tc>
          <w:tcPr>
            <w:tcW w:w="79" w:type="dxa"/>
            <w:tcBorders>
              <w:top w:val="nil"/>
              <w:left w:val="nil"/>
              <w:bottom w:val="nil"/>
              <w:right w:val="nil"/>
            </w:tcBorders>
            <w:shd w:val="clear" w:color="auto" w:fill="auto"/>
            <w:noWrap/>
            <w:vAlign w:val="center"/>
            <w:hideMark/>
          </w:tcPr>
          <w:p w14:paraId="6F219782" w14:textId="77777777" w:rsidR="00BC5219" w:rsidRPr="00961B53"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76BE4D96" w14:textId="77777777" w:rsidR="00BC5219" w:rsidRPr="00961B53" w:rsidRDefault="00BC5219" w:rsidP="00E83802">
            <w:pPr>
              <w:jc w:val="right"/>
              <w:rPr>
                <w:rFonts w:ascii="Meta Pro" w:eastAsia="Times New Roman" w:hAnsi="Meta Pro"/>
                <w:b/>
                <w:bCs/>
                <w:sz w:val="16"/>
                <w:szCs w:val="16"/>
                <w:lang w:eastAsia="en-AU"/>
              </w:rPr>
            </w:pPr>
            <w:r w:rsidRPr="00961B53">
              <w:rPr>
                <w:rFonts w:ascii="Meta Pro" w:eastAsia="Times New Roman" w:hAnsi="Meta Pro"/>
                <w:b/>
                <w:bCs/>
                <w:sz w:val="16"/>
                <w:szCs w:val="16"/>
                <w:lang w:eastAsia="en-AU"/>
              </w:rPr>
              <w:t>(1,304,541)</w:t>
            </w:r>
          </w:p>
        </w:tc>
      </w:tr>
      <w:tr w:rsidR="00BC5219" w:rsidRPr="00961B53" w14:paraId="03047733" w14:textId="77777777" w:rsidTr="00E83802">
        <w:trPr>
          <w:trHeight w:val="198"/>
        </w:trPr>
        <w:tc>
          <w:tcPr>
            <w:tcW w:w="4933" w:type="dxa"/>
            <w:tcBorders>
              <w:top w:val="single" w:sz="4" w:space="0" w:color="auto"/>
              <w:left w:val="nil"/>
              <w:bottom w:val="double" w:sz="6" w:space="0" w:color="auto"/>
              <w:right w:val="nil"/>
            </w:tcBorders>
            <w:shd w:val="clear" w:color="auto" w:fill="auto"/>
            <w:noWrap/>
            <w:vAlign w:val="center"/>
            <w:hideMark/>
          </w:tcPr>
          <w:p w14:paraId="64B5B016" w14:textId="77777777" w:rsidR="00BC5219" w:rsidRPr="00961B53" w:rsidRDefault="00BC5219" w:rsidP="00E83802">
            <w:pPr>
              <w:rPr>
                <w:rFonts w:ascii="Meta Pro" w:eastAsia="Times New Roman" w:hAnsi="Meta Pro"/>
                <w:b/>
                <w:bCs/>
                <w:sz w:val="16"/>
                <w:szCs w:val="16"/>
                <w:lang w:eastAsia="en-AU"/>
              </w:rPr>
            </w:pPr>
            <w:r w:rsidRPr="00961B53">
              <w:rPr>
                <w:rFonts w:ascii="Meta Pro" w:eastAsia="Times New Roman" w:hAnsi="Meta Pro"/>
                <w:b/>
                <w:bCs/>
                <w:sz w:val="16"/>
                <w:szCs w:val="16"/>
                <w:lang w:eastAsia="en-AU"/>
              </w:rPr>
              <w:t>Carrying amount at 30 June</w:t>
            </w:r>
          </w:p>
        </w:tc>
        <w:tc>
          <w:tcPr>
            <w:tcW w:w="1191" w:type="dxa"/>
            <w:tcBorders>
              <w:top w:val="single" w:sz="4" w:space="0" w:color="auto"/>
              <w:left w:val="nil"/>
              <w:bottom w:val="double" w:sz="6" w:space="0" w:color="auto"/>
              <w:right w:val="nil"/>
            </w:tcBorders>
            <w:shd w:val="clear" w:color="000000" w:fill="C9E3B4"/>
            <w:noWrap/>
            <w:vAlign w:val="center"/>
            <w:hideMark/>
          </w:tcPr>
          <w:p w14:paraId="29312DA9" w14:textId="77777777" w:rsidR="00BC5219" w:rsidRPr="00961B53" w:rsidRDefault="00BC5219" w:rsidP="00E83802">
            <w:pPr>
              <w:jc w:val="right"/>
              <w:rPr>
                <w:rFonts w:ascii="Meta Pro" w:eastAsia="Times New Roman" w:hAnsi="Meta Pro"/>
                <w:b/>
                <w:bCs/>
                <w:sz w:val="16"/>
                <w:szCs w:val="16"/>
                <w:lang w:eastAsia="en-AU"/>
              </w:rPr>
            </w:pPr>
            <w:r w:rsidRPr="00961B53">
              <w:rPr>
                <w:rFonts w:ascii="Meta Pro" w:eastAsia="Times New Roman" w:hAnsi="Meta Pro"/>
                <w:b/>
                <w:bCs/>
                <w:sz w:val="16"/>
                <w:szCs w:val="16"/>
                <w:lang w:eastAsia="en-AU"/>
              </w:rPr>
              <w:t xml:space="preserve">7,032,920 </w:t>
            </w:r>
          </w:p>
        </w:tc>
        <w:tc>
          <w:tcPr>
            <w:tcW w:w="79" w:type="dxa"/>
            <w:tcBorders>
              <w:top w:val="nil"/>
              <w:left w:val="nil"/>
              <w:bottom w:val="nil"/>
              <w:right w:val="nil"/>
            </w:tcBorders>
            <w:shd w:val="clear" w:color="auto" w:fill="auto"/>
            <w:noWrap/>
            <w:vAlign w:val="center"/>
            <w:hideMark/>
          </w:tcPr>
          <w:p w14:paraId="5EB174EC" w14:textId="77777777" w:rsidR="00BC5219" w:rsidRPr="00961B53" w:rsidRDefault="00BC5219" w:rsidP="00E83802">
            <w:pPr>
              <w:jc w:val="right"/>
              <w:rPr>
                <w:rFonts w:ascii="Meta Pro" w:eastAsia="Times New Roman" w:hAnsi="Meta Pro"/>
                <w:b/>
                <w:bCs/>
                <w:sz w:val="16"/>
                <w:szCs w:val="16"/>
                <w:lang w:eastAsia="en-AU"/>
              </w:rPr>
            </w:pPr>
          </w:p>
        </w:tc>
        <w:tc>
          <w:tcPr>
            <w:tcW w:w="1191" w:type="dxa"/>
            <w:tcBorders>
              <w:top w:val="single" w:sz="4" w:space="0" w:color="auto"/>
              <w:left w:val="nil"/>
              <w:bottom w:val="double" w:sz="6" w:space="0" w:color="auto"/>
              <w:right w:val="nil"/>
            </w:tcBorders>
            <w:shd w:val="clear" w:color="000000" w:fill="C9E3B4"/>
            <w:noWrap/>
            <w:vAlign w:val="center"/>
            <w:hideMark/>
          </w:tcPr>
          <w:p w14:paraId="58DF7B58" w14:textId="77777777" w:rsidR="00BC5219" w:rsidRPr="00961B53" w:rsidRDefault="00BC5219" w:rsidP="00E83802">
            <w:pPr>
              <w:jc w:val="right"/>
              <w:rPr>
                <w:rFonts w:ascii="Meta Pro" w:eastAsia="Times New Roman" w:hAnsi="Meta Pro"/>
                <w:b/>
                <w:bCs/>
                <w:sz w:val="16"/>
                <w:szCs w:val="16"/>
                <w:lang w:eastAsia="en-AU"/>
              </w:rPr>
            </w:pPr>
            <w:r w:rsidRPr="00961B53">
              <w:rPr>
                <w:rFonts w:ascii="Meta Pro" w:eastAsia="Times New Roman" w:hAnsi="Meta Pro"/>
                <w:b/>
                <w:bCs/>
                <w:sz w:val="16"/>
                <w:szCs w:val="16"/>
                <w:lang w:eastAsia="en-AU"/>
              </w:rPr>
              <w:t xml:space="preserve">893,549 </w:t>
            </w:r>
          </w:p>
        </w:tc>
        <w:tc>
          <w:tcPr>
            <w:tcW w:w="79" w:type="dxa"/>
            <w:tcBorders>
              <w:top w:val="nil"/>
              <w:left w:val="nil"/>
              <w:bottom w:val="nil"/>
              <w:right w:val="nil"/>
            </w:tcBorders>
            <w:shd w:val="clear" w:color="auto" w:fill="auto"/>
            <w:noWrap/>
            <w:vAlign w:val="center"/>
            <w:hideMark/>
          </w:tcPr>
          <w:p w14:paraId="108BB13E" w14:textId="77777777" w:rsidR="00BC5219" w:rsidRPr="00961B53" w:rsidRDefault="00BC5219" w:rsidP="00E83802">
            <w:pPr>
              <w:jc w:val="right"/>
              <w:rPr>
                <w:rFonts w:ascii="Meta Pro" w:eastAsia="Times New Roman" w:hAnsi="Meta Pro"/>
                <w:b/>
                <w:bCs/>
                <w:sz w:val="16"/>
                <w:szCs w:val="16"/>
                <w:lang w:eastAsia="en-AU"/>
              </w:rPr>
            </w:pPr>
          </w:p>
        </w:tc>
        <w:tc>
          <w:tcPr>
            <w:tcW w:w="1191" w:type="dxa"/>
            <w:tcBorders>
              <w:top w:val="single" w:sz="4" w:space="0" w:color="auto"/>
              <w:left w:val="nil"/>
              <w:bottom w:val="double" w:sz="6" w:space="0" w:color="auto"/>
              <w:right w:val="nil"/>
            </w:tcBorders>
            <w:shd w:val="clear" w:color="000000" w:fill="C9E3B4"/>
            <w:noWrap/>
            <w:vAlign w:val="center"/>
            <w:hideMark/>
          </w:tcPr>
          <w:p w14:paraId="5A1B5BEF" w14:textId="77777777" w:rsidR="00BC5219" w:rsidRPr="00961B53" w:rsidRDefault="00BC5219" w:rsidP="00E83802">
            <w:pPr>
              <w:jc w:val="right"/>
              <w:rPr>
                <w:rFonts w:ascii="Meta Pro" w:eastAsia="Times New Roman" w:hAnsi="Meta Pro"/>
                <w:b/>
                <w:bCs/>
                <w:sz w:val="16"/>
                <w:szCs w:val="16"/>
                <w:lang w:eastAsia="en-AU"/>
              </w:rPr>
            </w:pPr>
            <w:r w:rsidRPr="00961B53">
              <w:rPr>
                <w:rFonts w:ascii="Meta Pro" w:eastAsia="Times New Roman" w:hAnsi="Meta Pro"/>
                <w:b/>
                <w:bCs/>
                <w:sz w:val="16"/>
                <w:szCs w:val="16"/>
                <w:lang w:eastAsia="en-AU"/>
              </w:rPr>
              <w:t xml:space="preserve">215,986 </w:t>
            </w:r>
          </w:p>
        </w:tc>
        <w:tc>
          <w:tcPr>
            <w:tcW w:w="79" w:type="dxa"/>
            <w:tcBorders>
              <w:top w:val="nil"/>
              <w:left w:val="nil"/>
              <w:bottom w:val="nil"/>
              <w:right w:val="nil"/>
            </w:tcBorders>
            <w:shd w:val="clear" w:color="auto" w:fill="auto"/>
            <w:noWrap/>
            <w:vAlign w:val="center"/>
            <w:hideMark/>
          </w:tcPr>
          <w:p w14:paraId="66A2B371" w14:textId="77777777" w:rsidR="00BC5219" w:rsidRPr="00961B53" w:rsidRDefault="00BC5219" w:rsidP="00E83802">
            <w:pPr>
              <w:jc w:val="right"/>
              <w:rPr>
                <w:rFonts w:ascii="Meta Pro" w:eastAsia="Times New Roman" w:hAnsi="Meta Pro"/>
                <w:b/>
                <w:bCs/>
                <w:sz w:val="16"/>
                <w:szCs w:val="16"/>
                <w:lang w:eastAsia="en-AU"/>
              </w:rPr>
            </w:pPr>
          </w:p>
        </w:tc>
        <w:tc>
          <w:tcPr>
            <w:tcW w:w="1191" w:type="dxa"/>
            <w:tcBorders>
              <w:top w:val="single" w:sz="4" w:space="0" w:color="auto"/>
              <w:left w:val="nil"/>
              <w:bottom w:val="double" w:sz="6" w:space="0" w:color="auto"/>
              <w:right w:val="nil"/>
            </w:tcBorders>
            <w:shd w:val="clear" w:color="000000" w:fill="C9E3B4"/>
            <w:noWrap/>
            <w:vAlign w:val="center"/>
            <w:hideMark/>
          </w:tcPr>
          <w:p w14:paraId="0ACAEB2B" w14:textId="77777777" w:rsidR="00BC5219" w:rsidRPr="00961B53" w:rsidRDefault="00BC5219" w:rsidP="00E83802">
            <w:pPr>
              <w:jc w:val="right"/>
              <w:rPr>
                <w:rFonts w:ascii="Meta Pro" w:eastAsia="Times New Roman" w:hAnsi="Meta Pro"/>
                <w:b/>
                <w:bCs/>
                <w:sz w:val="16"/>
                <w:szCs w:val="16"/>
                <w:lang w:eastAsia="en-AU"/>
              </w:rPr>
            </w:pPr>
            <w:r w:rsidRPr="00961B53">
              <w:rPr>
                <w:rFonts w:ascii="Meta Pro" w:eastAsia="Times New Roman" w:hAnsi="Meta Pro"/>
                <w:b/>
                <w:bCs/>
                <w:sz w:val="16"/>
                <w:szCs w:val="16"/>
                <w:lang w:eastAsia="en-AU"/>
              </w:rPr>
              <w:t xml:space="preserve">1,282,426 </w:t>
            </w:r>
          </w:p>
        </w:tc>
        <w:tc>
          <w:tcPr>
            <w:tcW w:w="79" w:type="dxa"/>
            <w:tcBorders>
              <w:top w:val="nil"/>
              <w:left w:val="nil"/>
              <w:bottom w:val="nil"/>
              <w:right w:val="nil"/>
            </w:tcBorders>
            <w:shd w:val="clear" w:color="auto" w:fill="auto"/>
            <w:noWrap/>
            <w:vAlign w:val="center"/>
            <w:hideMark/>
          </w:tcPr>
          <w:p w14:paraId="25AC806D" w14:textId="77777777" w:rsidR="00BC5219" w:rsidRPr="00961B53" w:rsidRDefault="00BC5219" w:rsidP="00E83802">
            <w:pPr>
              <w:jc w:val="right"/>
              <w:rPr>
                <w:rFonts w:ascii="Meta Pro" w:eastAsia="Times New Roman" w:hAnsi="Meta Pro"/>
                <w:b/>
                <w:bCs/>
                <w:sz w:val="16"/>
                <w:szCs w:val="16"/>
                <w:lang w:eastAsia="en-AU"/>
              </w:rPr>
            </w:pPr>
          </w:p>
        </w:tc>
        <w:tc>
          <w:tcPr>
            <w:tcW w:w="1191" w:type="dxa"/>
            <w:tcBorders>
              <w:top w:val="single" w:sz="4" w:space="0" w:color="auto"/>
              <w:left w:val="nil"/>
              <w:bottom w:val="double" w:sz="6" w:space="0" w:color="auto"/>
              <w:right w:val="nil"/>
            </w:tcBorders>
            <w:shd w:val="clear" w:color="000000" w:fill="C9E3B4"/>
            <w:noWrap/>
            <w:vAlign w:val="center"/>
            <w:hideMark/>
          </w:tcPr>
          <w:p w14:paraId="65C7AB17" w14:textId="77777777" w:rsidR="00BC5219" w:rsidRPr="00961B53" w:rsidRDefault="00BC5219" w:rsidP="00E83802">
            <w:pPr>
              <w:jc w:val="right"/>
              <w:rPr>
                <w:rFonts w:ascii="Meta Pro" w:eastAsia="Times New Roman" w:hAnsi="Meta Pro"/>
                <w:b/>
                <w:bCs/>
                <w:sz w:val="16"/>
                <w:szCs w:val="16"/>
                <w:lang w:eastAsia="en-AU"/>
              </w:rPr>
            </w:pPr>
            <w:r w:rsidRPr="00961B53">
              <w:rPr>
                <w:rFonts w:ascii="Meta Pro" w:eastAsia="Times New Roman" w:hAnsi="Meta Pro"/>
                <w:b/>
                <w:bCs/>
                <w:sz w:val="16"/>
                <w:szCs w:val="16"/>
                <w:lang w:eastAsia="en-AU"/>
              </w:rPr>
              <w:t xml:space="preserve">86,560,344 </w:t>
            </w:r>
          </w:p>
        </w:tc>
        <w:tc>
          <w:tcPr>
            <w:tcW w:w="79" w:type="dxa"/>
            <w:tcBorders>
              <w:top w:val="nil"/>
              <w:left w:val="nil"/>
              <w:bottom w:val="nil"/>
              <w:right w:val="nil"/>
            </w:tcBorders>
            <w:shd w:val="clear" w:color="auto" w:fill="auto"/>
            <w:noWrap/>
            <w:vAlign w:val="center"/>
            <w:hideMark/>
          </w:tcPr>
          <w:p w14:paraId="37FB74DC" w14:textId="77777777" w:rsidR="00BC5219" w:rsidRPr="00961B53" w:rsidRDefault="00BC5219" w:rsidP="00E83802">
            <w:pPr>
              <w:jc w:val="right"/>
              <w:rPr>
                <w:rFonts w:ascii="Meta Pro" w:eastAsia="Times New Roman" w:hAnsi="Meta Pro"/>
                <w:b/>
                <w:bCs/>
                <w:sz w:val="16"/>
                <w:szCs w:val="16"/>
                <w:lang w:eastAsia="en-AU"/>
              </w:rPr>
            </w:pPr>
          </w:p>
        </w:tc>
        <w:tc>
          <w:tcPr>
            <w:tcW w:w="1191" w:type="dxa"/>
            <w:tcBorders>
              <w:top w:val="single" w:sz="4" w:space="0" w:color="auto"/>
              <w:left w:val="nil"/>
              <w:bottom w:val="double" w:sz="6" w:space="0" w:color="auto"/>
              <w:right w:val="nil"/>
            </w:tcBorders>
            <w:shd w:val="clear" w:color="000000" w:fill="C9E3B4"/>
            <w:noWrap/>
            <w:vAlign w:val="center"/>
            <w:hideMark/>
          </w:tcPr>
          <w:p w14:paraId="44BEFE27" w14:textId="77777777" w:rsidR="00BC5219" w:rsidRPr="00961B53" w:rsidRDefault="00BC5219" w:rsidP="00E83802">
            <w:pPr>
              <w:jc w:val="right"/>
              <w:rPr>
                <w:rFonts w:ascii="Meta Pro" w:eastAsia="Times New Roman" w:hAnsi="Meta Pro"/>
                <w:b/>
                <w:bCs/>
                <w:sz w:val="16"/>
                <w:szCs w:val="16"/>
                <w:lang w:eastAsia="en-AU"/>
              </w:rPr>
            </w:pPr>
            <w:r w:rsidRPr="00961B53">
              <w:rPr>
                <w:rFonts w:ascii="Meta Pro" w:eastAsia="Times New Roman" w:hAnsi="Meta Pro"/>
                <w:b/>
                <w:bCs/>
                <w:sz w:val="16"/>
                <w:szCs w:val="16"/>
                <w:lang w:eastAsia="en-AU"/>
              </w:rPr>
              <w:t xml:space="preserve">8,510,845 </w:t>
            </w:r>
          </w:p>
        </w:tc>
        <w:tc>
          <w:tcPr>
            <w:tcW w:w="79" w:type="dxa"/>
            <w:tcBorders>
              <w:top w:val="nil"/>
              <w:left w:val="nil"/>
              <w:bottom w:val="nil"/>
              <w:right w:val="nil"/>
            </w:tcBorders>
            <w:shd w:val="clear" w:color="auto" w:fill="auto"/>
            <w:noWrap/>
            <w:vAlign w:val="center"/>
            <w:hideMark/>
          </w:tcPr>
          <w:p w14:paraId="6E28FD06" w14:textId="77777777" w:rsidR="00BC5219" w:rsidRPr="00961B53" w:rsidRDefault="00BC5219" w:rsidP="00E83802">
            <w:pPr>
              <w:jc w:val="right"/>
              <w:rPr>
                <w:rFonts w:ascii="Meta Pro" w:eastAsia="Times New Roman" w:hAnsi="Meta Pro"/>
                <w:b/>
                <w:bCs/>
                <w:sz w:val="16"/>
                <w:szCs w:val="16"/>
                <w:lang w:eastAsia="en-AU"/>
              </w:rPr>
            </w:pPr>
          </w:p>
        </w:tc>
        <w:tc>
          <w:tcPr>
            <w:tcW w:w="1191" w:type="dxa"/>
            <w:tcBorders>
              <w:top w:val="single" w:sz="4" w:space="0" w:color="auto"/>
              <w:left w:val="nil"/>
              <w:bottom w:val="double" w:sz="6" w:space="0" w:color="auto"/>
              <w:right w:val="nil"/>
            </w:tcBorders>
            <w:shd w:val="clear" w:color="000000" w:fill="C9E3B4"/>
            <w:noWrap/>
            <w:vAlign w:val="center"/>
            <w:hideMark/>
          </w:tcPr>
          <w:p w14:paraId="357FCDBC" w14:textId="77777777" w:rsidR="00BC5219" w:rsidRPr="00961B53" w:rsidRDefault="00BC5219" w:rsidP="00E83802">
            <w:pPr>
              <w:jc w:val="right"/>
              <w:rPr>
                <w:rFonts w:ascii="Meta Pro" w:eastAsia="Times New Roman" w:hAnsi="Meta Pro"/>
                <w:b/>
                <w:bCs/>
                <w:sz w:val="16"/>
                <w:szCs w:val="16"/>
                <w:lang w:eastAsia="en-AU"/>
              </w:rPr>
            </w:pPr>
            <w:r w:rsidRPr="00961B53">
              <w:rPr>
                <w:rFonts w:ascii="Meta Pro" w:eastAsia="Times New Roman" w:hAnsi="Meta Pro"/>
                <w:b/>
                <w:bCs/>
                <w:sz w:val="16"/>
                <w:szCs w:val="16"/>
                <w:lang w:eastAsia="en-AU"/>
              </w:rPr>
              <w:t xml:space="preserve">104,496,070 </w:t>
            </w:r>
          </w:p>
        </w:tc>
      </w:tr>
    </w:tbl>
    <w:p w14:paraId="5D5D8118" w14:textId="77777777" w:rsidR="00BC5219" w:rsidRPr="008A2B8F" w:rsidRDefault="00BC5219" w:rsidP="00BC5219">
      <w:pPr>
        <w:spacing w:before="120" w:line="259" w:lineRule="auto"/>
        <w:rPr>
          <w:rFonts w:ascii="Meta Pro" w:hAnsi="Meta Pro" w:cstheme="minorBidi"/>
        </w:rPr>
      </w:pPr>
      <w:r w:rsidRPr="008A2B8F">
        <w:rPr>
          <w:rFonts w:ascii="Meta Pro" w:eastAsia="Times New Roman" w:hAnsi="Meta Pro"/>
          <w:b/>
          <w:bCs/>
          <w:sz w:val="16"/>
          <w:szCs w:val="16"/>
          <w:lang w:eastAsia="en-AU"/>
        </w:rPr>
        <w:t>Fair value reconciliation for land and building assets classified as level 3 – fair value substantially derived from unobservable inputs (refer to the following accounting policy)</w:t>
      </w:r>
    </w:p>
    <w:tbl>
      <w:tblPr>
        <w:tblW w:w="0" w:type="auto"/>
        <w:tblCellMar>
          <w:left w:w="0" w:type="dxa"/>
        </w:tblCellMar>
        <w:tblLook w:val="04A0" w:firstRow="1" w:lastRow="0" w:firstColumn="1" w:lastColumn="0" w:noHBand="0" w:noVBand="1"/>
      </w:tblPr>
      <w:tblGrid>
        <w:gridCol w:w="4941"/>
        <w:gridCol w:w="1199"/>
        <w:gridCol w:w="114"/>
        <w:gridCol w:w="1199"/>
      </w:tblGrid>
      <w:tr w:rsidR="00BC5219" w:rsidRPr="008A2B8F" w14:paraId="0DAB808B" w14:textId="77777777" w:rsidTr="00E83802">
        <w:trPr>
          <w:trHeight w:hRule="exact" w:val="198"/>
        </w:trPr>
        <w:tc>
          <w:tcPr>
            <w:tcW w:w="4933" w:type="dxa"/>
            <w:tcBorders>
              <w:top w:val="nil"/>
              <w:left w:val="nil"/>
              <w:bottom w:val="nil"/>
              <w:right w:val="nil"/>
            </w:tcBorders>
            <w:shd w:val="clear" w:color="auto" w:fill="auto"/>
            <w:noWrap/>
            <w:vAlign w:val="center"/>
            <w:hideMark/>
          </w:tcPr>
          <w:p w14:paraId="672E5DF2" w14:textId="77777777" w:rsidR="00BC5219" w:rsidRPr="008A2B8F" w:rsidRDefault="00BC5219" w:rsidP="00E83802">
            <w:pPr>
              <w:rPr>
                <w:rFonts w:ascii="Meta Pro" w:eastAsia="Times New Roman" w:hAnsi="Meta Pro" w:cs="Times New Roman"/>
                <w:sz w:val="24"/>
                <w:szCs w:val="24"/>
                <w:lang w:eastAsia="en-AU"/>
              </w:rPr>
            </w:pPr>
          </w:p>
        </w:tc>
        <w:tc>
          <w:tcPr>
            <w:tcW w:w="1191" w:type="dxa"/>
            <w:tcBorders>
              <w:top w:val="nil"/>
              <w:left w:val="nil"/>
              <w:bottom w:val="nil"/>
              <w:right w:val="nil"/>
            </w:tcBorders>
            <w:shd w:val="clear" w:color="auto" w:fill="auto"/>
            <w:vAlign w:val="center"/>
            <w:hideMark/>
          </w:tcPr>
          <w:p w14:paraId="78D6F0CA"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Land</w:t>
            </w:r>
          </w:p>
        </w:tc>
        <w:tc>
          <w:tcPr>
            <w:tcW w:w="79" w:type="dxa"/>
            <w:tcBorders>
              <w:top w:val="nil"/>
              <w:left w:val="nil"/>
              <w:bottom w:val="nil"/>
              <w:right w:val="nil"/>
            </w:tcBorders>
            <w:shd w:val="clear" w:color="auto" w:fill="auto"/>
            <w:vAlign w:val="center"/>
            <w:hideMark/>
          </w:tcPr>
          <w:p w14:paraId="68E07A74" w14:textId="77777777" w:rsidR="00BC5219" w:rsidRPr="008A2B8F"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vAlign w:val="center"/>
            <w:hideMark/>
          </w:tcPr>
          <w:p w14:paraId="06C6A4C3"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Buildings</w:t>
            </w:r>
          </w:p>
        </w:tc>
      </w:tr>
      <w:tr w:rsidR="00BC5219" w:rsidRPr="008A2B8F" w14:paraId="189E04B7" w14:textId="77777777" w:rsidTr="00E83802">
        <w:trPr>
          <w:trHeight w:hRule="exact" w:val="198"/>
        </w:trPr>
        <w:tc>
          <w:tcPr>
            <w:tcW w:w="4933" w:type="dxa"/>
            <w:tcBorders>
              <w:top w:val="nil"/>
              <w:left w:val="nil"/>
              <w:bottom w:val="nil"/>
              <w:right w:val="nil"/>
            </w:tcBorders>
            <w:shd w:val="clear" w:color="auto" w:fill="auto"/>
            <w:noWrap/>
            <w:vAlign w:val="center"/>
            <w:hideMark/>
          </w:tcPr>
          <w:p w14:paraId="076F14B7" w14:textId="77777777" w:rsidR="00BC5219" w:rsidRPr="008A2B8F"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noWrap/>
            <w:vAlign w:val="center"/>
            <w:hideMark/>
          </w:tcPr>
          <w:p w14:paraId="4B7A5725"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2023</w:t>
            </w:r>
          </w:p>
        </w:tc>
        <w:tc>
          <w:tcPr>
            <w:tcW w:w="79" w:type="dxa"/>
            <w:tcBorders>
              <w:top w:val="nil"/>
              <w:left w:val="nil"/>
              <w:bottom w:val="nil"/>
              <w:right w:val="nil"/>
            </w:tcBorders>
            <w:shd w:val="clear" w:color="auto" w:fill="auto"/>
            <w:noWrap/>
            <w:vAlign w:val="center"/>
            <w:hideMark/>
          </w:tcPr>
          <w:p w14:paraId="2F6DF5CB" w14:textId="77777777" w:rsidR="00BC5219" w:rsidRPr="008A2B8F"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noWrap/>
            <w:vAlign w:val="center"/>
            <w:hideMark/>
          </w:tcPr>
          <w:p w14:paraId="287B2DEF"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2023</w:t>
            </w:r>
          </w:p>
        </w:tc>
      </w:tr>
      <w:tr w:rsidR="00BC5219" w:rsidRPr="008A2B8F" w14:paraId="5131A671" w14:textId="77777777" w:rsidTr="00E83802">
        <w:trPr>
          <w:trHeight w:hRule="exact" w:val="198"/>
        </w:trPr>
        <w:tc>
          <w:tcPr>
            <w:tcW w:w="4933" w:type="dxa"/>
            <w:tcBorders>
              <w:top w:val="nil"/>
              <w:left w:val="nil"/>
              <w:bottom w:val="nil"/>
              <w:right w:val="nil"/>
            </w:tcBorders>
            <w:shd w:val="clear" w:color="auto" w:fill="auto"/>
            <w:noWrap/>
            <w:vAlign w:val="center"/>
            <w:hideMark/>
          </w:tcPr>
          <w:p w14:paraId="0127A0A0" w14:textId="77777777" w:rsidR="00BC5219" w:rsidRPr="008A2B8F"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noWrap/>
            <w:vAlign w:val="center"/>
            <w:hideMark/>
          </w:tcPr>
          <w:p w14:paraId="6849B9D1"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$'000</w:t>
            </w:r>
          </w:p>
        </w:tc>
        <w:tc>
          <w:tcPr>
            <w:tcW w:w="79" w:type="dxa"/>
            <w:tcBorders>
              <w:top w:val="nil"/>
              <w:left w:val="nil"/>
              <w:bottom w:val="nil"/>
              <w:right w:val="nil"/>
            </w:tcBorders>
            <w:shd w:val="clear" w:color="auto" w:fill="auto"/>
            <w:noWrap/>
            <w:vAlign w:val="center"/>
            <w:hideMark/>
          </w:tcPr>
          <w:p w14:paraId="6F6A80C2" w14:textId="77777777" w:rsidR="00BC5219" w:rsidRPr="008A2B8F"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noWrap/>
            <w:vAlign w:val="center"/>
            <w:hideMark/>
          </w:tcPr>
          <w:p w14:paraId="63DA851D"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$'000</w:t>
            </w:r>
          </w:p>
        </w:tc>
      </w:tr>
      <w:tr w:rsidR="00BC5219" w:rsidRPr="008A2B8F" w14:paraId="5925CEFC" w14:textId="77777777" w:rsidTr="00E83802">
        <w:trPr>
          <w:trHeight w:hRule="exact" w:val="23"/>
        </w:trPr>
        <w:tc>
          <w:tcPr>
            <w:tcW w:w="4933" w:type="dxa"/>
            <w:tcBorders>
              <w:top w:val="nil"/>
              <w:left w:val="nil"/>
              <w:bottom w:val="nil"/>
              <w:right w:val="nil"/>
            </w:tcBorders>
            <w:shd w:val="clear" w:color="auto" w:fill="auto"/>
            <w:noWrap/>
            <w:vAlign w:val="center"/>
            <w:hideMark/>
          </w:tcPr>
          <w:p w14:paraId="78CB0F05" w14:textId="77777777" w:rsidR="00BC5219" w:rsidRPr="008A2B8F"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noWrap/>
            <w:vAlign w:val="center"/>
            <w:hideMark/>
          </w:tcPr>
          <w:p w14:paraId="210C2815" w14:textId="77777777" w:rsidR="00BC5219" w:rsidRPr="008A2B8F" w:rsidRDefault="00BC5219" w:rsidP="00E83802">
            <w:pPr>
              <w:rPr>
                <w:rFonts w:ascii="Meta Pro" w:eastAsia="Times New Roman" w:hAnsi="Meta Pro" w:cs="Times New Roman"/>
                <w:sz w:val="20"/>
                <w:szCs w:val="20"/>
                <w:lang w:eastAsia="en-AU"/>
              </w:rPr>
            </w:pPr>
          </w:p>
        </w:tc>
        <w:tc>
          <w:tcPr>
            <w:tcW w:w="79" w:type="dxa"/>
            <w:tcBorders>
              <w:top w:val="nil"/>
              <w:left w:val="nil"/>
              <w:bottom w:val="nil"/>
              <w:right w:val="nil"/>
            </w:tcBorders>
            <w:shd w:val="clear" w:color="auto" w:fill="auto"/>
            <w:noWrap/>
            <w:vAlign w:val="center"/>
            <w:hideMark/>
          </w:tcPr>
          <w:p w14:paraId="6A6A6B71" w14:textId="77777777" w:rsidR="00BC5219" w:rsidRPr="008A2B8F" w:rsidRDefault="00BC5219" w:rsidP="00E83802">
            <w:pPr>
              <w:jc w:val="cente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0FA8C8A3" w14:textId="77777777" w:rsidR="00BC5219" w:rsidRPr="008A2B8F" w:rsidRDefault="00BC5219" w:rsidP="00E83802">
            <w:pPr>
              <w:rPr>
                <w:rFonts w:ascii="Meta Pro" w:eastAsia="Times New Roman" w:hAnsi="Meta Pro" w:cs="Times New Roman"/>
                <w:sz w:val="20"/>
                <w:szCs w:val="20"/>
                <w:lang w:eastAsia="en-AU"/>
              </w:rPr>
            </w:pPr>
          </w:p>
        </w:tc>
      </w:tr>
      <w:tr w:rsidR="00BC5219" w:rsidRPr="008A2B8F" w14:paraId="3F94B102" w14:textId="77777777" w:rsidTr="00E83802">
        <w:trPr>
          <w:trHeight w:hRule="exact" w:val="198"/>
        </w:trPr>
        <w:tc>
          <w:tcPr>
            <w:tcW w:w="4933" w:type="dxa"/>
            <w:tcBorders>
              <w:top w:val="nil"/>
              <w:left w:val="nil"/>
              <w:bottom w:val="nil"/>
              <w:right w:val="nil"/>
            </w:tcBorders>
            <w:shd w:val="clear" w:color="auto" w:fill="auto"/>
            <w:vAlign w:val="center"/>
            <w:hideMark/>
          </w:tcPr>
          <w:p w14:paraId="1A82751D"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Carrying amount at 1 July</w:t>
            </w:r>
          </w:p>
        </w:tc>
        <w:tc>
          <w:tcPr>
            <w:tcW w:w="1191" w:type="dxa"/>
            <w:tcBorders>
              <w:top w:val="nil"/>
              <w:left w:val="nil"/>
              <w:bottom w:val="nil"/>
              <w:right w:val="nil"/>
            </w:tcBorders>
            <w:shd w:val="clear" w:color="000000" w:fill="C9E3B4"/>
            <w:noWrap/>
            <w:vAlign w:val="center"/>
            <w:hideMark/>
          </w:tcPr>
          <w:p w14:paraId="19D38BAA"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104,828 </w:t>
            </w:r>
          </w:p>
        </w:tc>
        <w:tc>
          <w:tcPr>
            <w:tcW w:w="79" w:type="dxa"/>
            <w:tcBorders>
              <w:top w:val="nil"/>
              <w:left w:val="nil"/>
              <w:bottom w:val="nil"/>
              <w:right w:val="nil"/>
            </w:tcBorders>
            <w:shd w:val="clear" w:color="auto" w:fill="auto"/>
            <w:noWrap/>
            <w:vAlign w:val="center"/>
            <w:hideMark/>
          </w:tcPr>
          <w:p w14:paraId="63A1C016"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4F530932"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528,237 </w:t>
            </w:r>
          </w:p>
        </w:tc>
      </w:tr>
      <w:tr w:rsidR="00BC5219" w:rsidRPr="008A2B8F" w14:paraId="5793D2F3" w14:textId="77777777" w:rsidTr="00E83802">
        <w:trPr>
          <w:trHeight w:hRule="exact" w:val="198"/>
        </w:trPr>
        <w:tc>
          <w:tcPr>
            <w:tcW w:w="4933" w:type="dxa"/>
            <w:tcBorders>
              <w:top w:val="nil"/>
              <w:left w:val="nil"/>
              <w:bottom w:val="nil"/>
              <w:right w:val="nil"/>
            </w:tcBorders>
            <w:shd w:val="clear" w:color="auto" w:fill="auto"/>
            <w:vAlign w:val="center"/>
            <w:hideMark/>
          </w:tcPr>
          <w:p w14:paraId="46577E81"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Acquisitions</w:t>
            </w:r>
          </w:p>
        </w:tc>
        <w:tc>
          <w:tcPr>
            <w:tcW w:w="1191" w:type="dxa"/>
            <w:tcBorders>
              <w:top w:val="nil"/>
              <w:left w:val="nil"/>
              <w:bottom w:val="nil"/>
              <w:right w:val="nil"/>
            </w:tcBorders>
            <w:shd w:val="clear" w:color="000000" w:fill="C9E3B4"/>
            <w:noWrap/>
            <w:vAlign w:val="center"/>
            <w:hideMark/>
          </w:tcPr>
          <w:p w14:paraId="259D0078"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167 </w:t>
            </w:r>
          </w:p>
        </w:tc>
        <w:tc>
          <w:tcPr>
            <w:tcW w:w="79" w:type="dxa"/>
            <w:tcBorders>
              <w:top w:val="nil"/>
              <w:left w:val="nil"/>
              <w:bottom w:val="nil"/>
              <w:right w:val="nil"/>
            </w:tcBorders>
            <w:shd w:val="clear" w:color="auto" w:fill="auto"/>
            <w:noWrap/>
            <w:vAlign w:val="center"/>
            <w:hideMark/>
          </w:tcPr>
          <w:p w14:paraId="1327BAC3"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76348308"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63 </w:t>
            </w:r>
          </w:p>
        </w:tc>
      </w:tr>
      <w:tr w:rsidR="00BC5219" w:rsidRPr="008A2B8F" w14:paraId="5A664F41" w14:textId="77777777" w:rsidTr="00E83802">
        <w:trPr>
          <w:trHeight w:hRule="exact" w:val="198"/>
        </w:trPr>
        <w:tc>
          <w:tcPr>
            <w:tcW w:w="4933" w:type="dxa"/>
            <w:tcBorders>
              <w:top w:val="nil"/>
              <w:left w:val="nil"/>
              <w:bottom w:val="nil"/>
              <w:right w:val="nil"/>
            </w:tcBorders>
            <w:shd w:val="clear" w:color="auto" w:fill="auto"/>
            <w:vAlign w:val="center"/>
            <w:hideMark/>
          </w:tcPr>
          <w:p w14:paraId="5D1096A8"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Transfer from level 2 to 3</w:t>
            </w:r>
          </w:p>
        </w:tc>
        <w:tc>
          <w:tcPr>
            <w:tcW w:w="1191" w:type="dxa"/>
            <w:tcBorders>
              <w:top w:val="nil"/>
              <w:left w:val="nil"/>
              <w:bottom w:val="nil"/>
              <w:right w:val="nil"/>
            </w:tcBorders>
            <w:shd w:val="clear" w:color="000000" w:fill="C9E3B4"/>
            <w:noWrap/>
            <w:vAlign w:val="center"/>
            <w:hideMark/>
          </w:tcPr>
          <w:p w14:paraId="607097D3"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36,083 </w:t>
            </w:r>
          </w:p>
        </w:tc>
        <w:tc>
          <w:tcPr>
            <w:tcW w:w="79" w:type="dxa"/>
            <w:tcBorders>
              <w:top w:val="nil"/>
              <w:left w:val="nil"/>
              <w:bottom w:val="nil"/>
              <w:right w:val="nil"/>
            </w:tcBorders>
            <w:shd w:val="clear" w:color="auto" w:fill="auto"/>
            <w:noWrap/>
            <w:vAlign w:val="center"/>
            <w:hideMark/>
          </w:tcPr>
          <w:p w14:paraId="5A7D6FF6"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193D294E"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r>
      <w:tr w:rsidR="00BC5219" w:rsidRPr="008A2B8F" w14:paraId="4B409785" w14:textId="77777777" w:rsidTr="00E83802">
        <w:trPr>
          <w:trHeight w:hRule="exact" w:val="198"/>
        </w:trPr>
        <w:tc>
          <w:tcPr>
            <w:tcW w:w="4933" w:type="dxa"/>
            <w:tcBorders>
              <w:top w:val="nil"/>
              <w:left w:val="nil"/>
              <w:bottom w:val="nil"/>
              <w:right w:val="nil"/>
            </w:tcBorders>
            <w:shd w:val="clear" w:color="auto" w:fill="auto"/>
            <w:vAlign w:val="center"/>
            <w:hideMark/>
          </w:tcPr>
          <w:p w14:paraId="21FB5A1D"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Transfers to other Queensland Government entities</w:t>
            </w:r>
          </w:p>
        </w:tc>
        <w:tc>
          <w:tcPr>
            <w:tcW w:w="1191" w:type="dxa"/>
            <w:tcBorders>
              <w:top w:val="nil"/>
              <w:left w:val="nil"/>
              <w:bottom w:val="nil"/>
              <w:right w:val="nil"/>
            </w:tcBorders>
            <w:shd w:val="clear" w:color="000000" w:fill="C9E3B4"/>
            <w:noWrap/>
            <w:vAlign w:val="center"/>
            <w:hideMark/>
          </w:tcPr>
          <w:p w14:paraId="42BCDAC9"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(124)</w:t>
            </w:r>
          </w:p>
        </w:tc>
        <w:tc>
          <w:tcPr>
            <w:tcW w:w="79" w:type="dxa"/>
            <w:tcBorders>
              <w:top w:val="nil"/>
              <w:left w:val="nil"/>
              <w:bottom w:val="nil"/>
              <w:right w:val="nil"/>
            </w:tcBorders>
            <w:shd w:val="clear" w:color="auto" w:fill="auto"/>
            <w:noWrap/>
            <w:vAlign w:val="center"/>
            <w:hideMark/>
          </w:tcPr>
          <w:p w14:paraId="62221919"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5129CA3E"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r>
      <w:tr w:rsidR="00BC5219" w:rsidRPr="008A2B8F" w14:paraId="1E747EAE" w14:textId="77777777" w:rsidTr="00E83802">
        <w:trPr>
          <w:trHeight w:hRule="exact" w:val="198"/>
        </w:trPr>
        <w:tc>
          <w:tcPr>
            <w:tcW w:w="4933" w:type="dxa"/>
            <w:tcBorders>
              <w:top w:val="nil"/>
              <w:left w:val="nil"/>
              <w:bottom w:val="nil"/>
              <w:right w:val="nil"/>
            </w:tcBorders>
            <w:shd w:val="clear" w:color="auto" w:fill="auto"/>
            <w:noWrap/>
            <w:vAlign w:val="center"/>
            <w:hideMark/>
          </w:tcPr>
          <w:p w14:paraId="0801B1D8"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Disposals</w:t>
            </w:r>
          </w:p>
        </w:tc>
        <w:tc>
          <w:tcPr>
            <w:tcW w:w="1191" w:type="dxa"/>
            <w:tcBorders>
              <w:top w:val="nil"/>
              <w:left w:val="nil"/>
              <w:bottom w:val="nil"/>
              <w:right w:val="nil"/>
            </w:tcBorders>
            <w:shd w:val="clear" w:color="000000" w:fill="C9E3B4"/>
            <w:noWrap/>
            <w:vAlign w:val="center"/>
            <w:hideMark/>
          </w:tcPr>
          <w:p w14:paraId="44106DDB"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79" w:type="dxa"/>
            <w:tcBorders>
              <w:top w:val="nil"/>
              <w:left w:val="nil"/>
              <w:bottom w:val="nil"/>
              <w:right w:val="nil"/>
            </w:tcBorders>
            <w:shd w:val="clear" w:color="auto" w:fill="auto"/>
            <w:noWrap/>
            <w:vAlign w:val="center"/>
            <w:hideMark/>
          </w:tcPr>
          <w:p w14:paraId="455341DA"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26121320"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(103)</w:t>
            </w:r>
          </w:p>
        </w:tc>
      </w:tr>
      <w:tr w:rsidR="00BC5219" w:rsidRPr="008A2B8F" w14:paraId="3B11B647" w14:textId="77777777" w:rsidTr="00E83802">
        <w:trPr>
          <w:trHeight w:hRule="exact" w:val="198"/>
        </w:trPr>
        <w:tc>
          <w:tcPr>
            <w:tcW w:w="4933" w:type="dxa"/>
            <w:tcBorders>
              <w:top w:val="nil"/>
              <w:left w:val="nil"/>
              <w:bottom w:val="nil"/>
              <w:right w:val="nil"/>
            </w:tcBorders>
            <w:shd w:val="clear" w:color="auto" w:fill="auto"/>
            <w:noWrap/>
            <w:vAlign w:val="center"/>
            <w:hideMark/>
          </w:tcPr>
          <w:p w14:paraId="762C9AB2"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Assets reclassified as held for sale</w:t>
            </w:r>
          </w:p>
        </w:tc>
        <w:tc>
          <w:tcPr>
            <w:tcW w:w="1191" w:type="dxa"/>
            <w:tcBorders>
              <w:top w:val="nil"/>
              <w:left w:val="nil"/>
              <w:bottom w:val="nil"/>
              <w:right w:val="nil"/>
            </w:tcBorders>
            <w:shd w:val="clear" w:color="000000" w:fill="C9E3B4"/>
            <w:noWrap/>
            <w:vAlign w:val="center"/>
            <w:hideMark/>
          </w:tcPr>
          <w:p w14:paraId="2837956D"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(20)</w:t>
            </w:r>
          </w:p>
        </w:tc>
        <w:tc>
          <w:tcPr>
            <w:tcW w:w="79" w:type="dxa"/>
            <w:tcBorders>
              <w:top w:val="nil"/>
              <w:left w:val="nil"/>
              <w:bottom w:val="nil"/>
              <w:right w:val="nil"/>
            </w:tcBorders>
            <w:shd w:val="clear" w:color="auto" w:fill="auto"/>
            <w:noWrap/>
            <w:vAlign w:val="center"/>
            <w:hideMark/>
          </w:tcPr>
          <w:p w14:paraId="776C4CB0"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10C6F0D4"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r>
      <w:tr w:rsidR="00BC5219" w:rsidRPr="008A2B8F" w14:paraId="11959084" w14:textId="77777777" w:rsidTr="00E83802">
        <w:trPr>
          <w:trHeight w:hRule="exact" w:val="198"/>
        </w:trPr>
        <w:tc>
          <w:tcPr>
            <w:tcW w:w="4933" w:type="dxa"/>
            <w:tcBorders>
              <w:top w:val="nil"/>
              <w:left w:val="nil"/>
              <w:bottom w:val="nil"/>
              <w:right w:val="nil"/>
            </w:tcBorders>
            <w:shd w:val="clear" w:color="auto" w:fill="auto"/>
            <w:vAlign w:val="center"/>
            <w:hideMark/>
          </w:tcPr>
          <w:p w14:paraId="318AA3A7"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Net revaluation increments</w:t>
            </w:r>
          </w:p>
        </w:tc>
        <w:tc>
          <w:tcPr>
            <w:tcW w:w="1191" w:type="dxa"/>
            <w:tcBorders>
              <w:top w:val="nil"/>
              <w:left w:val="nil"/>
              <w:bottom w:val="nil"/>
              <w:right w:val="nil"/>
            </w:tcBorders>
            <w:shd w:val="clear" w:color="000000" w:fill="C9E3B4"/>
            <w:noWrap/>
            <w:vAlign w:val="center"/>
            <w:hideMark/>
          </w:tcPr>
          <w:p w14:paraId="2EB4F9B0"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9,593 </w:t>
            </w:r>
          </w:p>
        </w:tc>
        <w:tc>
          <w:tcPr>
            <w:tcW w:w="79" w:type="dxa"/>
            <w:tcBorders>
              <w:top w:val="nil"/>
              <w:left w:val="nil"/>
              <w:bottom w:val="nil"/>
              <w:right w:val="nil"/>
            </w:tcBorders>
            <w:shd w:val="clear" w:color="auto" w:fill="auto"/>
            <w:noWrap/>
            <w:vAlign w:val="center"/>
            <w:hideMark/>
          </w:tcPr>
          <w:p w14:paraId="6FDB9B5E"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56E45B76"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49,921 </w:t>
            </w:r>
          </w:p>
        </w:tc>
      </w:tr>
      <w:tr w:rsidR="00BC5219" w:rsidRPr="008A2B8F" w14:paraId="6BEF3C8D" w14:textId="77777777" w:rsidTr="00E83802">
        <w:trPr>
          <w:trHeight w:hRule="exact" w:val="198"/>
        </w:trPr>
        <w:tc>
          <w:tcPr>
            <w:tcW w:w="4933" w:type="dxa"/>
            <w:tcBorders>
              <w:top w:val="nil"/>
              <w:left w:val="nil"/>
              <w:bottom w:val="nil"/>
              <w:right w:val="nil"/>
            </w:tcBorders>
            <w:shd w:val="clear" w:color="auto" w:fill="auto"/>
            <w:vAlign w:val="center"/>
            <w:hideMark/>
          </w:tcPr>
          <w:p w14:paraId="31D5D8D8"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Depreciation</w:t>
            </w:r>
          </w:p>
        </w:tc>
        <w:tc>
          <w:tcPr>
            <w:tcW w:w="1191" w:type="dxa"/>
            <w:tcBorders>
              <w:top w:val="nil"/>
              <w:left w:val="nil"/>
              <w:bottom w:val="nil"/>
              <w:right w:val="nil"/>
            </w:tcBorders>
            <w:shd w:val="clear" w:color="000000" w:fill="C9E3B4"/>
            <w:noWrap/>
            <w:vAlign w:val="center"/>
            <w:hideMark/>
          </w:tcPr>
          <w:p w14:paraId="73EC957B"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79" w:type="dxa"/>
            <w:tcBorders>
              <w:top w:val="nil"/>
              <w:left w:val="nil"/>
              <w:bottom w:val="nil"/>
              <w:right w:val="nil"/>
            </w:tcBorders>
            <w:shd w:val="clear" w:color="auto" w:fill="auto"/>
            <w:noWrap/>
            <w:vAlign w:val="center"/>
            <w:hideMark/>
          </w:tcPr>
          <w:p w14:paraId="562F86AB"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000000" w:fill="C9E3B4"/>
            <w:noWrap/>
            <w:vAlign w:val="center"/>
            <w:hideMark/>
          </w:tcPr>
          <w:p w14:paraId="784E390A"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(21,058)</w:t>
            </w:r>
          </w:p>
        </w:tc>
      </w:tr>
      <w:tr w:rsidR="00BC5219" w:rsidRPr="008A2B8F" w14:paraId="65C3F16D" w14:textId="77777777" w:rsidTr="00E83802">
        <w:trPr>
          <w:trHeight w:hRule="exact" w:val="198"/>
        </w:trPr>
        <w:tc>
          <w:tcPr>
            <w:tcW w:w="4933" w:type="dxa"/>
            <w:tcBorders>
              <w:top w:val="single" w:sz="4" w:space="0" w:color="auto"/>
              <w:left w:val="nil"/>
              <w:bottom w:val="double" w:sz="6" w:space="0" w:color="auto"/>
              <w:right w:val="nil"/>
            </w:tcBorders>
            <w:shd w:val="clear" w:color="auto" w:fill="auto"/>
            <w:vAlign w:val="center"/>
            <w:hideMark/>
          </w:tcPr>
          <w:p w14:paraId="53F2DA3E"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Carrying amount at 30 June</w:t>
            </w:r>
          </w:p>
        </w:tc>
        <w:tc>
          <w:tcPr>
            <w:tcW w:w="1191" w:type="dxa"/>
            <w:tcBorders>
              <w:top w:val="single" w:sz="4" w:space="0" w:color="auto"/>
              <w:left w:val="nil"/>
              <w:bottom w:val="double" w:sz="6" w:space="0" w:color="auto"/>
              <w:right w:val="nil"/>
            </w:tcBorders>
            <w:shd w:val="clear" w:color="000000" w:fill="C9E3B4"/>
            <w:noWrap/>
            <w:vAlign w:val="center"/>
            <w:hideMark/>
          </w:tcPr>
          <w:p w14:paraId="26AB6174"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150,527 </w:t>
            </w:r>
          </w:p>
        </w:tc>
        <w:tc>
          <w:tcPr>
            <w:tcW w:w="79" w:type="dxa"/>
            <w:tcBorders>
              <w:top w:val="nil"/>
              <w:left w:val="nil"/>
              <w:bottom w:val="nil"/>
              <w:right w:val="nil"/>
            </w:tcBorders>
            <w:shd w:val="clear" w:color="auto" w:fill="auto"/>
            <w:noWrap/>
            <w:vAlign w:val="center"/>
            <w:hideMark/>
          </w:tcPr>
          <w:p w14:paraId="17C66C52"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single" w:sz="4" w:space="0" w:color="auto"/>
              <w:left w:val="nil"/>
              <w:bottom w:val="double" w:sz="6" w:space="0" w:color="auto"/>
              <w:right w:val="nil"/>
            </w:tcBorders>
            <w:shd w:val="clear" w:color="000000" w:fill="C9E3B4"/>
            <w:noWrap/>
            <w:vAlign w:val="center"/>
            <w:hideMark/>
          </w:tcPr>
          <w:p w14:paraId="32363CB6"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557,060 </w:t>
            </w:r>
          </w:p>
        </w:tc>
      </w:tr>
      <w:tr w:rsidR="00BC5219" w:rsidRPr="008A2B8F" w14:paraId="2FB466FE" w14:textId="77777777" w:rsidTr="00E83802">
        <w:trPr>
          <w:trHeight w:hRule="exact" w:val="23"/>
        </w:trPr>
        <w:tc>
          <w:tcPr>
            <w:tcW w:w="4933" w:type="dxa"/>
            <w:tcBorders>
              <w:top w:val="nil"/>
              <w:left w:val="nil"/>
              <w:bottom w:val="nil"/>
              <w:right w:val="nil"/>
            </w:tcBorders>
            <w:shd w:val="clear" w:color="auto" w:fill="auto"/>
            <w:noWrap/>
            <w:vAlign w:val="center"/>
            <w:hideMark/>
          </w:tcPr>
          <w:p w14:paraId="2911BE3D"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28BBE342" w14:textId="77777777" w:rsidR="00BC5219" w:rsidRPr="008A2B8F" w:rsidRDefault="00BC5219" w:rsidP="00E83802">
            <w:pPr>
              <w:rPr>
                <w:rFonts w:ascii="Meta Pro" w:eastAsia="Times New Roman" w:hAnsi="Meta Pro" w:cs="Times New Roman"/>
                <w:sz w:val="20"/>
                <w:szCs w:val="20"/>
                <w:lang w:eastAsia="en-AU"/>
              </w:rPr>
            </w:pPr>
          </w:p>
        </w:tc>
        <w:tc>
          <w:tcPr>
            <w:tcW w:w="79" w:type="dxa"/>
            <w:tcBorders>
              <w:top w:val="nil"/>
              <w:left w:val="nil"/>
              <w:bottom w:val="nil"/>
              <w:right w:val="nil"/>
            </w:tcBorders>
            <w:shd w:val="clear" w:color="auto" w:fill="auto"/>
            <w:noWrap/>
            <w:vAlign w:val="center"/>
            <w:hideMark/>
          </w:tcPr>
          <w:p w14:paraId="4B0A1E30" w14:textId="77777777" w:rsidR="00BC5219" w:rsidRPr="008A2B8F" w:rsidRDefault="00BC5219" w:rsidP="00E83802">
            <w:pP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5E34EEA7" w14:textId="77777777" w:rsidR="00BC5219" w:rsidRPr="008A2B8F" w:rsidRDefault="00BC5219" w:rsidP="00E83802">
            <w:pPr>
              <w:rPr>
                <w:rFonts w:ascii="Meta Pro" w:eastAsia="Times New Roman" w:hAnsi="Meta Pro" w:cs="Times New Roman"/>
                <w:sz w:val="20"/>
                <w:szCs w:val="20"/>
                <w:lang w:eastAsia="en-AU"/>
              </w:rPr>
            </w:pPr>
          </w:p>
        </w:tc>
      </w:tr>
    </w:tbl>
    <w:p w14:paraId="36DFEE73" w14:textId="77777777" w:rsidR="00BC5219" w:rsidRPr="008A2B8F" w:rsidRDefault="00BC5219" w:rsidP="00BC5219">
      <w:pPr>
        <w:spacing w:before="120" w:line="259" w:lineRule="auto"/>
        <w:rPr>
          <w:rFonts w:ascii="Meta Pro" w:eastAsia="Times New Roman" w:hAnsi="Meta Pro"/>
          <w:sz w:val="16"/>
          <w:szCs w:val="16"/>
          <w:lang w:eastAsia="en-AU"/>
        </w:rPr>
      </w:pPr>
      <w:r w:rsidRPr="008A2B8F">
        <w:rPr>
          <w:rFonts w:ascii="Meta Pro" w:hAnsi="Meta Pro"/>
          <w:sz w:val="16"/>
          <w:szCs w:val="16"/>
          <w:lang w:eastAsia="en-AU"/>
        </w:rPr>
        <w:t xml:space="preserve">* </w:t>
      </w:r>
      <w:r w:rsidRPr="008A2B8F">
        <w:rPr>
          <w:rFonts w:ascii="Meta Pro" w:eastAsia="Times New Roman" w:hAnsi="Meta Pro"/>
          <w:sz w:val="16"/>
          <w:szCs w:val="16"/>
          <w:lang w:eastAsia="en-AU"/>
        </w:rPr>
        <w:t xml:space="preserve">Infrastructure consists of roads with a gross replacement cost $90,292m and a current replacement cost of $71,301m, structures with a gross replacement cost of $23,516m and a current replacement       </w:t>
      </w:r>
    </w:p>
    <w:p w14:paraId="47CB72E4" w14:textId="77777777" w:rsidR="00BC5219" w:rsidRPr="008A2B8F" w:rsidRDefault="00BC5219" w:rsidP="00BC5219">
      <w:pPr>
        <w:spacing w:line="259" w:lineRule="auto"/>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cost of $14,659m and other infrastructure with a gross replacement cost of $901m and a current replacement cost of $600m.</w:t>
      </w:r>
    </w:p>
    <w:p w14:paraId="630368BF" w14:textId="77777777" w:rsidR="00BC5219" w:rsidRPr="008A2B8F" w:rsidRDefault="00BC5219" w:rsidP="00BC5219">
      <w:pPr>
        <w:spacing w:before="120" w:line="259" w:lineRule="auto"/>
        <w:ind w:left="142" w:hanging="142"/>
        <w:rPr>
          <w:rFonts w:ascii="Meta Pro" w:eastAsia="Times New Roman" w:hAnsi="Meta Pro"/>
          <w:sz w:val="16"/>
          <w:szCs w:val="16"/>
          <w:lang w:eastAsia="en-AU"/>
        </w:rPr>
      </w:pPr>
      <w:r w:rsidRPr="008A2B8F">
        <w:rPr>
          <w:rFonts w:ascii="Meta Pro" w:eastAsia="Times New Roman" w:hAnsi="Meta Pro"/>
          <w:sz w:val="16"/>
          <w:szCs w:val="16"/>
          <w:lang w:eastAsia="en-AU"/>
        </w:rPr>
        <w:t>** The department has assessed market sensitivity and the fair value movements from the valuation date to 30 June 2023 for its significant assets. Accordingly, an additional adjustment of $4,723m has</w:t>
      </w:r>
    </w:p>
    <w:p w14:paraId="14D65203" w14:textId="77777777" w:rsidR="00BC5219" w:rsidRPr="008A2B8F" w:rsidRDefault="00BC5219" w:rsidP="00BC5219">
      <w:pPr>
        <w:spacing w:line="259" w:lineRule="auto"/>
        <w:ind w:left="142"/>
        <w:rPr>
          <w:rFonts w:ascii="Meta Pro" w:eastAsia="Times New Roman" w:hAnsi="Meta Pro"/>
          <w:sz w:val="16"/>
          <w:szCs w:val="16"/>
          <w:lang w:eastAsia="en-AU"/>
        </w:rPr>
        <w:sectPr w:rsidR="00BC5219" w:rsidRPr="008A2B8F" w:rsidSect="0046713F">
          <w:footerReference w:type="default" r:id="rId107"/>
          <w:pgSz w:w="16838" w:h="11906" w:orient="landscape"/>
          <w:pgMar w:top="0" w:right="1701" w:bottom="0" w:left="1134" w:header="454" w:footer="340" w:gutter="0"/>
          <w:pgNumType w:start="22"/>
          <w:cols w:space="708"/>
          <w:docGrid w:linePitch="360"/>
        </w:sectPr>
      </w:pPr>
      <w:r w:rsidRPr="008A2B8F">
        <w:rPr>
          <w:rFonts w:ascii="Meta Pro" w:eastAsia="Times New Roman" w:hAnsi="Meta Pro"/>
          <w:sz w:val="16"/>
          <w:szCs w:val="16"/>
          <w:lang w:eastAsia="en-AU"/>
        </w:rPr>
        <w:t xml:space="preserve">  been made to the carrying amount of road infrastructure assets since the valuation, as a result of significant increases in the market rates of inputs such as raw materials and labour.</w:t>
      </w:r>
    </w:p>
    <w:p w14:paraId="7D1502C5" w14:textId="77777777" w:rsidR="00BC5219" w:rsidRPr="008A2B8F" w:rsidRDefault="00BC5219" w:rsidP="00BC5219">
      <w:pPr>
        <w:pStyle w:val="Header"/>
        <w:rPr>
          <w:rFonts w:ascii="Meta Pro" w:hAnsi="Meta Pro"/>
          <w:i/>
          <w:iCs/>
          <w:sz w:val="22"/>
        </w:rPr>
      </w:pPr>
      <w:r w:rsidRPr="008A2B8F">
        <w:rPr>
          <w:rFonts w:ascii="Meta Pro" w:hAnsi="Meta Pro"/>
          <w:i/>
          <w:iCs/>
          <w:sz w:val="22"/>
        </w:rPr>
        <w:lastRenderedPageBreak/>
        <w:t>Department of Transport and Main Roads</w:t>
      </w:r>
    </w:p>
    <w:p w14:paraId="2A183CEC" w14:textId="32B0515B" w:rsidR="00BC5219" w:rsidRPr="008A2B8F" w:rsidRDefault="00C42478" w:rsidP="00BC5219">
      <w:pPr>
        <w:pStyle w:val="Header"/>
        <w:rPr>
          <w:rFonts w:ascii="Meta Pro" w:hAnsi="Meta Pro"/>
          <w:sz w:val="22"/>
        </w:rPr>
      </w:pPr>
      <w:r>
        <w:rPr>
          <w:noProof/>
        </w:rPr>
        <mc:AlternateContent>
          <mc:Choice Requires="wps">
            <w:drawing>
              <wp:inline distT="0" distB="0" distL="0" distR="0" wp14:anchorId="44936D93" wp14:editId="66F1998B">
                <wp:extent cx="8846185" cy="0"/>
                <wp:effectExtent l="0" t="0" r="0" b="0"/>
                <wp:docPr id="23" name="Straight Connector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461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0D158A4" id="Straight Connector 23" o:spid="_x0000_s1026" alt="&quot;&quot;" style="visibility:visible;mso-wrap-style:square;mso-left-percent:-10001;mso-top-percent:-10001;mso-position-horizontal:absolute;mso-position-horizontal-relative:char;mso-position-vertical:absolute;mso-position-vertical-relative:line;mso-left-percent:-10001;mso-top-percent:-10001" from="0,0" to="696.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" strokecolor="black [3200]" strokeweight=".5pt">
                <v:stroke joinstyle="miter"/>
                <o:lock v:ext="edit" shapetype="f"/>
                <w10:anchorlock/>
              </v:line>
            </w:pict>
          </mc:Fallback>
        </mc:AlternateContent>
      </w:r>
      <w:r w:rsidR="00BC5219" w:rsidRPr="008A2B8F">
        <w:rPr>
          <w:rFonts w:ascii="Meta Pro" w:hAnsi="Meta Pro"/>
          <w:sz w:val="22"/>
        </w:rPr>
        <w:t>Notes to the financial statements 2022–23 (continued)</w:t>
      </w:r>
    </w:p>
    <w:p w14:paraId="7EE5FF39" w14:textId="77777777" w:rsidR="00BC5219" w:rsidRPr="008A2B8F" w:rsidRDefault="00BC5219" w:rsidP="00BC5219">
      <w:pPr>
        <w:spacing w:line="160" w:lineRule="exact"/>
        <w:rPr>
          <w:rFonts w:ascii="Meta Pro" w:hAnsi="Meta Pro" w:cstheme="minorBidi"/>
        </w:rPr>
      </w:pPr>
    </w:p>
    <w:tbl>
      <w:tblPr>
        <w:tblW w:w="0" w:type="auto"/>
        <w:tblLayout w:type="fixed"/>
        <w:tblCellMar>
          <w:left w:w="0" w:type="dxa"/>
        </w:tblCellMar>
        <w:tblLook w:val="04A0" w:firstRow="1" w:lastRow="0" w:firstColumn="1" w:lastColumn="0" w:noHBand="0" w:noVBand="1"/>
      </w:tblPr>
      <w:tblGrid>
        <w:gridCol w:w="4933"/>
        <w:gridCol w:w="1191"/>
        <w:gridCol w:w="128"/>
        <w:gridCol w:w="1191"/>
        <w:gridCol w:w="128"/>
        <w:gridCol w:w="1191"/>
        <w:gridCol w:w="128"/>
        <w:gridCol w:w="1191"/>
        <w:gridCol w:w="128"/>
        <w:gridCol w:w="1191"/>
        <w:gridCol w:w="128"/>
        <w:gridCol w:w="1191"/>
        <w:gridCol w:w="128"/>
        <w:gridCol w:w="1191"/>
      </w:tblGrid>
      <w:tr w:rsidR="00BC5219" w:rsidRPr="008A2B8F" w14:paraId="56C9E4A2" w14:textId="77777777" w:rsidTr="00E83802">
        <w:trPr>
          <w:trHeight w:val="240"/>
        </w:trPr>
        <w:tc>
          <w:tcPr>
            <w:tcW w:w="113" w:type="dxa"/>
            <w:gridSpan w:val="14"/>
            <w:tcBorders>
              <w:top w:val="nil"/>
              <w:left w:val="nil"/>
              <w:bottom w:val="nil"/>
              <w:right w:val="nil"/>
            </w:tcBorders>
            <w:shd w:val="clear" w:color="auto" w:fill="auto"/>
            <w:noWrap/>
            <w:vAlign w:val="center"/>
            <w:hideMark/>
          </w:tcPr>
          <w:p w14:paraId="587D3793" w14:textId="77777777" w:rsidR="00BC5219" w:rsidRPr="008A2B8F" w:rsidRDefault="00BC5219" w:rsidP="00E83802">
            <w:pPr>
              <w:rPr>
                <w:rFonts w:ascii="Meta Pro" w:eastAsia="Times New Roman" w:hAnsi="Meta Pro"/>
                <w:b/>
                <w:bCs/>
                <w:lang w:eastAsia="en-AU"/>
              </w:rPr>
            </w:pPr>
            <w:r w:rsidRPr="008A2B8F">
              <w:rPr>
                <w:rFonts w:ascii="Meta Pro" w:eastAsia="Times New Roman" w:hAnsi="Meta Pro"/>
                <w:b/>
                <w:bCs/>
                <w:lang w:eastAsia="en-AU"/>
              </w:rPr>
              <w:t>15     PROPERTY, PLANT AND EQUIPMENT (continued)</w:t>
            </w:r>
          </w:p>
        </w:tc>
      </w:tr>
      <w:tr w:rsidR="00BC5219" w:rsidRPr="008A2B8F" w14:paraId="3C9B053E" w14:textId="77777777" w:rsidTr="00E83802">
        <w:trPr>
          <w:trHeight w:val="90"/>
        </w:trPr>
        <w:tc>
          <w:tcPr>
            <w:tcW w:w="4933" w:type="dxa"/>
            <w:tcBorders>
              <w:top w:val="nil"/>
              <w:left w:val="nil"/>
              <w:bottom w:val="nil"/>
              <w:right w:val="nil"/>
            </w:tcBorders>
            <w:shd w:val="clear" w:color="auto" w:fill="auto"/>
            <w:noWrap/>
            <w:vAlign w:val="center"/>
            <w:hideMark/>
          </w:tcPr>
          <w:p w14:paraId="1A54F9B7" w14:textId="77777777" w:rsidR="00BC5219" w:rsidRPr="008A2B8F" w:rsidRDefault="00BC5219" w:rsidP="00E83802">
            <w:pPr>
              <w:rPr>
                <w:rFonts w:ascii="Meta Pro" w:eastAsia="Times New Roman" w:hAnsi="Meta Pro"/>
                <w:b/>
                <w:bCs/>
                <w:sz w:val="24"/>
                <w:szCs w:val="24"/>
                <w:lang w:eastAsia="en-AU"/>
              </w:rPr>
            </w:pPr>
          </w:p>
        </w:tc>
        <w:tc>
          <w:tcPr>
            <w:tcW w:w="1191" w:type="dxa"/>
            <w:tcBorders>
              <w:top w:val="nil"/>
              <w:left w:val="nil"/>
              <w:bottom w:val="nil"/>
              <w:right w:val="nil"/>
            </w:tcBorders>
            <w:shd w:val="clear" w:color="auto" w:fill="auto"/>
            <w:noWrap/>
            <w:vAlign w:val="center"/>
            <w:hideMark/>
          </w:tcPr>
          <w:p w14:paraId="48FC934F"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1CAC0F86" w14:textId="77777777" w:rsidR="00BC5219" w:rsidRPr="008A2B8F" w:rsidRDefault="00BC5219" w:rsidP="00E83802">
            <w:pP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0FDC48A5"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10DBA7ED" w14:textId="77777777" w:rsidR="00BC5219" w:rsidRPr="008A2B8F" w:rsidRDefault="00BC5219" w:rsidP="00E83802">
            <w:pP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55C5FB99"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275207E2" w14:textId="77777777" w:rsidR="00BC5219" w:rsidRPr="008A2B8F" w:rsidRDefault="00BC5219" w:rsidP="00E83802">
            <w:pP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110520C7"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0CC72433" w14:textId="77777777" w:rsidR="00BC5219" w:rsidRPr="008A2B8F" w:rsidRDefault="00BC5219" w:rsidP="00E83802">
            <w:pP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4EC46AF4"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6047F5D8" w14:textId="77777777" w:rsidR="00BC5219" w:rsidRPr="008A2B8F" w:rsidRDefault="00BC5219" w:rsidP="00E83802">
            <w:pP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43AF4C31"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370ABCC8" w14:textId="77777777" w:rsidR="00BC5219" w:rsidRPr="008A2B8F" w:rsidRDefault="00BC5219" w:rsidP="00E83802">
            <w:pP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31F91B59" w14:textId="77777777" w:rsidR="00BC5219" w:rsidRPr="008A2B8F" w:rsidRDefault="00BC5219" w:rsidP="00E83802">
            <w:pPr>
              <w:rPr>
                <w:rFonts w:ascii="Meta Pro" w:eastAsia="Times New Roman" w:hAnsi="Meta Pro" w:cs="Times New Roman"/>
                <w:sz w:val="20"/>
                <w:szCs w:val="20"/>
                <w:lang w:eastAsia="en-AU"/>
              </w:rPr>
            </w:pPr>
          </w:p>
        </w:tc>
      </w:tr>
      <w:tr w:rsidR="00BC5219" w:rsidRPr="008A2B8F" w14:paraId="12FF298C" w14:textId="77777777" w:rsidTr="00E83802">
        <w:trPr>
          <w:trHeight w:val="23"/>
        </w:trPr>
        <w:tc>
          <w:tcPr>
            <w:tcW w:w="4933" w:type="dxa"/>
            <w:tcBorders>
              <w:top w:val="nil"/>
              <w:left w:val="nil"/>
              <w:bottom w:val="nil"/>
              <w:right w:val="nil"/>
            </w:tcBorders>
            <w:shd w:val="clear" w:color="auto" w:fill="auto"/>
            <w:noWrap/>
            <w:vAlign w:val="center"/>
            <w:hideMark/>
          </w:tcPr>
          <w:p w14:paraId="2224E22F" w14:textId="77777777" w:rsidR="00BC5219" w:rsidRPr="008A2B8F" w:rsidRDefault="00BC5219" w:rsidP="00E83802">
            <w:pP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vAlign w:val="center"/>
            <w:hideMark/>
          </w:tcPr>
          <w:p w14:paraId="7C05E390"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Land</w:t>
            </w:r>
          </w:p>
        </w:tc>
        <w:tc>
          <w:tcPr>
            <w:tcW w:w="113" w:type="dxa"/>
            <w:tcBorders>
              <w:top w:val="nil"/>
              <w:left w:val="nil"/>
              <w:bottom w:val="nil"/>
              <w:right w:val="nil"/>
            </w:tcBorders>
            <w:shd w:val="clear" w:color="auto" w:fill="auto"/>
            <w:vAlign w:val="center"/>
            <w:hideMark/>
          </w:tcPr>
          <w:p w14:paraId="08F7F7E3" w14:textId="77777777" w:rsidR="00BC5219" w:rsidRPr="008A2B8F"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vAlign w:val="center"/>
            <w:hideMark/>
          </w:tcPr>
          <w:p w14:paraId="2BED7A96"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Buildings</w:t>
            </w:r>
          </w:p>
        </w:tc>
        <w:tc>
          <w:tcPr>
            <w:tcW w:w="113" w:type="dxa"/>
            <w:tcBorders>
              <w:top w:val="nil"/>
              <w:left w:val="nil"/>
              <w:bottom w:val="nil"/>
              <w:right w:val="nil"/>
            </w:tcBorders>
            <w:shd w:val="clear" w:color="auto" w:fill="auto"/>
            <w:vAlign w:val="center"/>
            <w:hideMark/>
          </w:tcPr>
          <w:p w14:paraId="50848C08" w14:textId="77777777" w:rsidR="00BC5219" w:rsidRPr="008A2B8F"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vAlign w:val="center"/>
            <w:hideMark/>
          </w:tcPr>
          <w:p w14:paraId="07FCE9F3"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Plant and </w:t>
            </w:r>
          </w:p>
        </w:tc>
        <w:tc>
          <w:tcPr>
            <w:tcW w:w="113" w:type="dxa"/>
            <w:tcBorders>
              <w:top w:val="nil"/>
              <w:left w:val="nil"/>
              <w:bottom w:val="nil"/>
              <w:right w:val="nil"/>
            </w:tcBorders>
            <w:shd w:val="clear" w:color="auto" w:fill="auto"/>
            <w:vAlign w:val="center"/>
            <w:hideMark/>
          </w:tcPr>
          <w:p w14:paraId="0CA7B6FE" w14:textId="77777777" w:rsidR="00BC5219" w:rsidRPr="008A2B8F"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vAlign w:val="center"/>
            <w:hideMark/>
          </w:tcPr>
          <w:p w14:paraId="1923EC18"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Major plant</w:t>
            </w:r>
          </w:p>
        </w:tc>
        <w:tc>
          <w:tcPr>
            <w:tcW w:w="113" w:type="dxa"/>
            <w:tcBorders>
              <w:top w:val="nil"/>
              <w:left w:val="nil"/>
              <w:bottom w:val="nil"/>
              <w:right w:val="nil"/>
            </w:tcBorders>
            <w:shd w:val="clear" w:color="auto" w:fill="auto"/>
            <w:vAlign w:val="center"/>
            <w:hideMark/>
          </w:tcPr>
          <w:p w14:paraId="12250294" w14:textId="77777777" w:rsidR="00BC5219" w:rsidRPr="008A2B8F"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vAlign w:val="center"/>
            <w:hideMark/>
          </w:tcPr>
          <w:p w14:paraId="30E0A189"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Infrastructure</w:t>
            </w:r>
          </w:p>
        </w:tc>
        <w:tc>
          <w:tcPr>
            <w:tcW w:w="113" w:type="dxa"/>
            <w:tcBorders>
              <w:top w:val="nil"/>
              <w:left w:val="nil"/>
              <w:bottom w:val="nil"/>
              <w:right w:val="nil"/>
            </w:tcBorders>
            <w:shd w:val="clear" w:color="auto" w:fill="auto"/>
            <w:vAlign w:val="center"/>
            <w:hideMark/>
          </w:tcPr>
          <w:p w14:paraId="34A1E055" w14:textId="77777777" w:rsidR="00BC5219" w:rsidRPr="008A2B8F"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vAlign w:val="center"/>
            <w:hideMark/>
          </w:tcPr>
          <w:p w14:paraId="4127F55F"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Work in</w:t>
            </w:r>
          </w:p>
        </w:tc>
        <w:tc>
          <w:tcPr>
            <w:tcW w:w="113" w:type="dxa"/>
            <w:tcBorders>
              <w:top w:val="nil"/>
              <w:left w:val="nil"/>
              <w:bottom w:val="nil"/>
              <w:right w:val="nil"/>
            </w:tcBorders>
            <w:shd w:val="clear" w:color="auto" w:fill="auto"/>
            <w:vAlign w:val="center"/>
            <w:hideMark/>
          </w:tcPr>
          <w:p w14:paraId="34FD04D8" w14:textId="77777777" w:rsidR="00BC5219" w:rsidRPr="008A2B8F"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vAlign w:val="center"/>
            <w:hideMark/>
          </w:tcPr>
          <w:p w14:paraId="69AFA94F"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Total</w:t>
            </w:r>
          </w:p>
        </w:tc>
      </w:tr>
      <w:tr w:rsidR="00BC5219" w:rsidRPr="008A2B8F" w14:paraId="5A85D368" w14:textId="77777777" w:rsidTr="00E83802">
        <w:trPr>
          <w:trHeight w:val="23"/>
        </w:trPr>
        <w:tc>
          <w:tcPr>
            <w:tcW w:w="4933" w:type="dxa"/>
            <w:tcBorders>
              <w:top w:val="nil"/>
              <w:left w:val="nil"/>
              <w:bottom w:val="nil"/>
              <w:right w:val="nil"/>
            </w:tcBorders>
            <w:shd w:val="clear" w:color="auto" w:fill="auto"/>
            <w:noWrap/>
            <w:vAlign w:val="center"/>
            <w:hideMark/>
          </w:tcPr>
          <w:p w14:paraId="61E99E46" w14:textId="77777777" w:rsidR="00BC5219" w:rsidRPr="008A2B8F"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vAlign w:val="center"/>
            <w:hideMark/>
          </w:tcPr>
          <w:p w14:paraId="5A69C908"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vAlign w:val="center"/>
            <w:hideMark/>
          </w:tcPr>
          <w:p w14:paraId="27521D70" w14:textId="77777777" w:rsidR="00BC5219" w:rsidRPr="008A2B8F" w:rsidRDefault="00BC5219" w:rsidP="00E83802">
            <w:pPr>
              <w:jc w:val="cente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vAlign w:val="center"/>
            <w:hideMark/>
          </w:tcPr>
          <w:p w14:paraId="144009E3" w14:textId="77777777" w:rsidR="00BC5219" w:rsidRPr="008A2B8F" w:rsidRDefault="00BC5219" w:rsidP="00E83802">
            <w:pPr>
              <w:jc w:val="cente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vAlign w:val="center"/>
            <w:hideMark/>
          </w:tcPr>
          <w:p w14:paraId="77C805C7" w14:textId="77777777" w:rsidR="00BC5219" w:rsidRPr="008A2B8F" w:rsidRDefault="00BC5219" w:rsidP="00E83802">
            <w:pPr>
              <w:jc w:val="cente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4F92ABF6"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equipment </w:t>
            </w:r>
          </w:p>
        </w:tc>
        <w:tc>
          <w:tcPr>
            <w:tcW w:w="113" w:type="dxa"/>
            <w:tcBorders>
              <w:top w:val="nil"/>
              <w:left w:val="nil"/>
              <w:bottom w:val="nil"/>
              <w:right w:val="nil"/>
            </w:tcBorders>
            <w:shd w:val="clear" w:color="auto" w:fill="auto"/>
            <w:vAlign w:val="center"/>
            <w:hideMark/>
          </w:tcPr>
          <w:p w14:paraId="48DBE232" w14:textId="77777777" w:rsidR="00BC5219" w:rsidRPr="008A2B8F"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noWrap/>
            <w:vAlign w:val="center"/>
            <w:hideMark/>
          </w:tcPr>
          <w:p w14:paraId="36816C3C"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 and</w:t>
            </w:r>
          </w:p>
        </w:tc>
        <w:tc>
          <w:tcPr>
            <w:tcW w:w="113" w:type="dxa"/>
            <w:tcBorders>
              <w:top w:val="nil"/>
              <w:left w:val="nil"/>
              <w:bottom w:val="nil"/>
              <w:right w:val="nil"/>
            </w:tcBorders>
            <w:shd w:val="clear" w:color="auto" w:fill="auto"/>
            <w:vAlign w:val="center"/>
            <w:hideMark/>
          </w:tcPr>
          <w:p w14:paraId="1E220BFF" w14:textId="77777777" w:rsidR="00BC5219" w:rsidRPr="008A2B8F"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vAlign w:val="center"/>
            <w:hideMark/>
          </w:tcPr>
          <w:p w14:paraId="1B32F315"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 **</w:t>
            </w:r>
          </w:p>
        </w:tc>
        <w:tc>
          <w:tcPr>
            <w:tcW w:w="113" w:type="dxa"/>
            <w:tcBorders>
              <w:top w:val="nil"/>
              <w:left w:val="nil"/>
              <w:bottom w:val="nil"/>
              <w:right w:val="nil"/>
            </w:tcBorders>
            <w:shd w:val="clear" w:color="auto" w:fill="auto"/>
            <w:vAlign w:val="center"/>
            <w:hideMark/>
          </w:tcPr>
          <w:p w14:paraId="0CA41E03" w14:textId="77777777" w:rsidR="00BC5219" w:rsidRPr="008A2B8F"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vAlign w:val="center"/>
            <w:hideMark/>
          </w:tcPr>
          <w:p w14:paraId="0F20011B"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progress </w:t>
            </w:r>
          </w:p>
        </w:tc>
        <w:tc>
          <w:tcPr>
            <w:tcW w:w="113" w:type="dxa"/>
            <w:tcBorders>
              <w:top w:val="nil"/>
              <w:left w:val="nil"/>
              <w:bottom w:val="nil"/>
              <w:right w:val="nil"/>
            </w:tcBorders>
            <w:shd w:val="clear" w:color="auto" w:fill="auto"/>
            <w:vAlign w:val="center"/>
            <w:hideMark/>
          </w:tcPr>
          <w:p w14:paraId="59D71C22" w14:textId="77777777" w:rsidR="00BC5219" w:rsidRPr="008A2B8F"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vAlign w:val="center"/>
            <w:hideMark/>
          </w:tcPr>
          <w:p w14:paraId="2C5F2E74" w14:textId="77777777" w:rsidR="00BC5219" w:rsidRPr="008A2B8F" w:rsidRDefault="00BC5219" w:rsidP="00E83802">
            <w:pPr>
              <w:jc w:val="center"/>
              <w:rPr>
                <w:rFonts w:ascii="Meta Pro" w:eastAsia="Times New Roman" w:hAnsi="Meta Pro" w:cs="Times New Roman"/>
                <w:sz w:val="20"/>
                <w:szCs w:val="20"/>
                <w:lang w:eastAsia="en-AU"/>
              </w:rPr>
            </w:pPr>
          </w:p>
        </w:tc>
      </w:tr>
      <w:tr w:rsidR="00BC5219" w:rsidRPr="008A2B8F" w14:paraId="6AA60BC8" w14:textId="77777777" w:rsidTr="00E83802">
        <w:trPr>
          <w:trHeight w:val="23"/>
        </w:trPr>
        <w:tc>
          <w:tcPr>
            <w:tcW w:w="4933" w:type="dxa"/>
            <w:tcBorders>
              <w:top w:val="nil"/>
              <w:left w:val="nil"/>
              <w:bottom w:val="nil"/>
              <w:right w:val="nil"/>
            </w:tcBorders>
            <w:shd w:val="clear" w:color="auto" w:fill="auto"/>
            <w:noWrap/>
            <w:vAlign w:val="center"/>
            <w:hideMark/>
          </w:tcPr>
          <w:p w14:paraId="5B0C309E" w14:textId="77777777" w:rsidR="00BC5219" w:rsidRPr="008A2B8F" w:rsidRDefault="00BC5219" w:rsidP="00E83802">
            <w:pPr>
              <w:jc w:val="cente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vAlign w:val="center"/>
            <w:hideMark/>
          </w:tcPr>
          <w:p w14:paraId="7DB2168E"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vAlign w:val="center"/>
            <w:hideMark/>
          </w:tcPr>
          <w:p w14:paraId="34183AC6" w14:textId="77777777" w:rsidR="00BC5219" w:rsidRPr="008A2B8F" w:rsidRDefault="00BC5219" w:rsidP="00E83802">
            <w:pPr>
              <w:jc w:val="cente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vAlign w:val="center"/>
            <w:hideMark/>
          </w:tcPr>
          <w:p w14:paraId="20939B11" w14:textId="77777777" w:rsidR="00BC5219" w:rsidRPr="008A2B8F" w:rsidRDefault="00BC5219" w:rsidP="00E83802">
            <w:pPr>
              <w:jc w:val="cente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vAlign w:val="center"/>
            <w:hideMark/>
          </w:tcPr>
          <w:p w14:paraId="59B0AC8C" w14:textId="77777777" w:rsidR="00BC5219" w:rsidRPr="008A2B8F" w:rsidRDefault="00BC5219" w:rsidP="00E83802">
            <w:pPr>
              <w:jc w:val="cente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69D85ABD" w14:textId="77777777" w:rsidR="00BC5219" w:rsidRPr="008A2B8F" w:rsidRDefault="00BC5219" w:rsidP="00E83802">
            <w:pPr>
              <w:jc w:val="cente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vAlign w:val="center"/>
            <w:hideMark/>
          </w:tcPr>
          <w:p w14:paraId="2C1DE35F" w14:textId="77777777" w:rsidR="00BC5219" w:rsidRPr="008A2B8F" w:rsidRDefault="00BC5219" w:rsidP="00E83802">
            <w:pPr>
              <w:jc w:val="cente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11A87DC5"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equipment</w:t>
            </w:r>
          </w:p>
        </w:tc>
        <w:tc>
          <w:tcPr>
            <w:tcW w:w="113" w:type="dxa"/>
            <w:tcBorders>
              <w:top w:val="nil"/>
              <w:left w:val="nil"/>
              <w:bottom w:val="nil"/>
              <w:right w:val="nil"/>
            </w:tcBorders>
            <w:shd w:val="clear" w:color="auto" w:fill="auto"/>
            <w:vAlign w:val="center"/>
            <w:hideMark/>
          </w:tcPr>
          <w:p w14:paraId="07EDA245" w14:textId="77777777" w:rsidR="00BC5219" w:rsidRPr="008A2B8F"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vAlign w:val="center"/>
            <w:hideMark/>
          </w:tcPr>
          <w:p w14:paraId="4276F148" w14:textId="77777777" w:rsidR="00BC5219" w:rsidRPr="008A2B8F" w:rsidRDefault="00BC5219" w:rsidP="00E83802">
            <w:pPr>
              <w:jc w:val="cente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vAlign w:val="center"/>
            <w:hideMark/>
          </w:tcPr>
          <w:p w14:paraId="6813242E" w14:textId="77777777" w:rsidR="00BC5219" w:rsidRPr="008A2B8F" w:rsidRDefault="00BC5219" w:rsidP="00E83802">
            <w:pPr>
              <w:jc w:val="cente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vAlign w:val="center"/>
            <w:hideMark/>
          </w:tcPr>
          <w:p w14:paraId="415FEE6C" w14:textId="77777777" w:rsidR="00BC5219" w:rsidRPr="008A2B8F" w:rsidRDefault="00BC5219" w:rsidP="00E83802">
            <w:pPr>
              <w:jc w:val="cente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vAlign w:val="center"/>
            <w:hideMark/>
          </w:tcPr>
          <w:p w14:paraId="184A8CCA" w14:textId="77777777" w:rsidR="00BC5219" w:rsidRPr="008A2B8F" w:rsidRDefault="00BC5219" w:rsidP="00E83802">
            <w:pPr>
              <w:jc w:val="cente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vAlign w:val="center"/>
            <w:hideMark/>
          </w:tcPr>
          <w:p w14:paraId="7F07D5E7" w14:textId="77777777" w:rsidR="00BC5219" w:rsidRPr="008A2B8F" w:rsidRDefault="00BC5219" w:rsidP="00E83802">
            <w:pPr>
              <w:jc w:val="center"/>
              <w:rPr>
                <w:rFonts w:ascii="Meta Pro" w:eastAsia="Times New Roman" w:hAnsi="Meta Pro" w:cs="Times New Roman"/>
                <w:sz w:val="20"/>
                <w:szCs w:val="20"/>
                <w:lang w:eastAsia="en-AU"/>
              </w:rPr>
            </w:pPr>
          </w:p>
        </w:tc>
      </w:tr>
      <w:tr w:rsidR="00BC5219" w:rsidRPr="008A2B8F" w14:paraId="21E947CD" w14:textId="77777777" w:rsidTr="00E83802">
        <w:trPr>
          <w:trHeight w:val="23"/>
        </w:trPr>
        <w:tc>
          <w:tcPr>
            <w:tcW w:w="4933" w:type="dxa"/>
            <w:tcBorders>
              <w:top w:val="nil"/>
              <w:left w:val="nil"/>
              <w:bottom w:val="nil"/>
              <w:right w:val="nil"/>
            </w:tcBorders>
            <w:shd w:val="clear" w:color="auto" w:fill="auto"/>
            <w:noWrap/>
            <w:vAlign w:val="center"/>
            <w:hideMark/>
          </w:tcPr>
          <w:p w14:paraId="7F1EE413" w14:textId="77777777" w:rsidR="00BC5219" w:rsidRPr="008A2B8F" w:rsidRDefault="00BC5219" w:rsidP="00E83802">
            <w:pPr>
              <w:jc w:val="cente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5F20A6BC"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2022</w:t>
            </w:r>
          </w:p>
        </w:tc>
        <w:tc>
          <w:tcPr>
            <w:tcW w:w="113" w:type="dxa"/>
            <w:tcBorders>
              <w:top w:val="nil"/>
              <w:left w:val="nil"/>
              <w:bottom w:val="nil"/>
              <w:right w:val="nil"/>
            </w:tcBorders>
            <w:shd w:val="clear" w:color="auto" w:fill="auto"/>
            <w:noWrap/>
            <w:vAlign w:val="center"/>
            <w:hideMark/>
          </w:tcPr>
          <w:p w14:paraId="02A961A1" w14:textId="77777777" w:rsidR="00BC5219" w:rsidRPr="008A2B8F"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noWrap/>
            <w:vAlign w:val="center"/>
            <w:hideMark/>
          </w:tcPr>
          <w:p w14:paraId="3712FD1C"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2022</w:t>
            </w:r>
          </w:p>
        </w:tc>
        <w:tc>
          <w:tcPr>
            <w:tcW w:w="113" w:type="dxa"/>
            <w:tcBorders>
              <w:top w:val="nil"/>
              <w:left w:val="nil"/>
              <w:bottom w:val="nil"/>
              <w:right w:val="nil"/>
            </w:tcBorders>
            <w:shd w:val="clear" w:color="auto" w:fill="auto"/>
            <w:noWrap/>
            <w:vAlign w:val="center"/>
            <w:hideMark/>
          </w:tcPr>
          <w:p w14:paraId="6E84E7AC" w14:textId="77777777" w:rsidR="00BC5219" w:rsidRPr="008A2B8F"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noWrap/>
            <w:vAlign w:val="center"/>
            <w:hideMark/>
          </w:tcPr>
          <w:p w14:paraId="7BB8B3C8"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2022</w:t>
            </w:r>
          </w:p>
        </w:tc>
        <w:tc>
          <w:tcPr>
            <w:tcW w:w="113" w:type="dxa"/>
            <w:tcBorders>
              <w:top w:val="nil"/>
              <w:left w:val="nil"/>
              <w:bottom w:val="nil"/>
              <w:right w:val="nil"/>
            </w:tcBorders>
            <w:shd w:val="clear" w:color="auto" w:fill="auto"/>
            <w:noWrap/>
            <w:vAlign w:val="center"/>
            <w:hideMark/>
          </w:tcPr>
          <w:p w14:paraId="77D5FB0F" w14:textId="77777777" w:rsidR="00BC5219" w:rsidRPr="008A2B8F"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noWrap/>
            <w:vAlign w:val="center"/>
            <w:hideMark/>
          </w:tcPr>
          <w:p w14:paraId="670D74F2"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2022</w:t>
            </w:r>
          </w:p>
        </w:tc>
        <w:tc>
          <w:tcPr>
            <w:tcW w:w="113" w:type="dxa"/>
            <w:tcBorders>
              <w:top w:val="nil"/>
              <w:left w:val="nil"/>
              <w:bottom w:val="nil"/>
              <w:right w:val="nil"/>
            </w:tcBorders>
            <w:shd w:val="clear" w:color="auto" w:fill="auto"/>
            <w:noWrap/>
            <w:vAlign w:val="center"/>
            <w:hideMark/>
          </w:tcPr>
          <w:p w14:paraId="0A4C438E" w14:textId="77777777" w:rsidR="00BC5219" w:rsidRPr="008A2B8F"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noWrap/>
            <w:vAlign w:val="center"/>
            <w:hideMark/>
          </w:tcPr>
          <w:p w14:paraId="2AC857AF"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2022</w:t>
            </w:r>
          </w:p>
        </w:tc>
        <w:tc>
          <w:tcPr>
            <w:tcW w:w="113" w:type="dxa"/>
            <w:tcBorders>
              <w:top w:val="nil"/>
              <w:left w:val="nil"/>
              <w:bottom w:val="nil"/>
              <w:right w:val="nil"/>
            </w:tcBorders>
            <w:shd w:val="clear" w:color="auto" w:fill="auto"/>
            <w:noWrap/>
            <w:vAlign w:val="center"/>
            <w:hideMark/>
          </w:tcPr>
          <w:p w14:paraId="62D897C8" w14:textId="77777777" w:rsidR="00BC5219" w:rsidRPr="008A2B8F"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noWrap/>
            <w:vAlign w:val="center"/>
            <w:hideMark/>
          </w:tcPr>
          <w:p w14:paraId="2A43D13D"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2022</w:t>
            </w:r>
          </w:p>
        </w:tc>
        <w:tc>
          <w:tcPr>
            <w:tcW w:w="113" w:type="dxa"/>
            <w:tcBorders>
              <w:top w:val="nil"/>
              <w:left w:val="nil"/>
              <w:bottom w:val="nil"/>
              <w:right w:val="nil"/>
            </w:tcBorders>
            <w:shd w:val="clear" w:color="auto" w:fill="auto"/>
            <w:noWrap/>
            <w:vAlign w:val="center"/>
            <w:hideMark/>
          </w:tcPr>
          <w:p w14:paraId="06BED520" w14:textId="77777777" w:rsidR="00BC5219" w:rsidRPr="008A2B8F"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noWrap/>
            <w:vAlign w:val="center"/>
            <w:hideMark/>
          </w:tcPr>
          <w:p w14:paraId="6202D66F"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2022</w:t>
            </w:r>
          </w:p>
        </w:tc>
      </w:tr>
      <w:tr w:rsidR="00BC5219" w:rsidRPr="008A2B8F" w14:paraId="3223C903" w14:textId="77777777" w:rsidTr="00E83802">
        <w:trPr>
          <w:trHeight w:val="23"/>
        </w:trPr>
        <w:tc>
          <w:tcPr>
            <w:tcW w:w="4933" w:type="dxa"/>
            <w:tcBorders>
              <w:top w:val="nil"/>
              <w:left w:val="nil"/>
              <w:bottom w:val="nil"/>
              <w:right w:val="nil"/>
            </w:tcBorders>
            <w:shd w:val="clear" w:color="auto" w:fill="auto"/>
            <w:noWrap/>
            <w:vAlign w:val="center"/>
            <w:hideMark/>
          </w:tcPr>
          <w:p w14:paraId="0D745765" w14:textId="77777777" w:rsidR="00BC5219" w:rsidRPr="008A2B8F"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noWrap/>
            <w:vAlign w:val="center"/>
            <w:hideMark/>
          </w:tcPr>
          <w:p w14:paraId="434981F4"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$'000</w:t>
            </w:r>
          </w:p>
        </w:tc>
        <w:tc>
          <w:tcPr>
            <w:tcW w:w="113" w:type="dxa"/>
            <w:tcBorders>
              <w:top w:val="nil"/>
              <w:left w:val="nil"/>
              <w:bottom w:val="nil"/>
              <w:right w:val="nil"/>
            </w:tcBorders>
            <w:shd w:val="clear" w:color="auto" w:fill="auto"/>
            <w:noWrap/>
            <w:vAlign w:val="center"/>
            <w:hideMark/>
          </w:tcPr>
          <w:p w14:paraId="760B3352" w14:textId="77777777" w:rsidR="00BC5219" w:rsidRPr="008A2B8F"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noWrap/>
            <w:vAlign w:val="center"/>
            <w:hideMark/>
          </w:tcPr>
          <w:p w14:paraId="26BCCE25"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$'000</w:t>
            </w:r>
          </w:p>
        </w:tc>
        <w:tc>
          <w:tcPr>
            <w:tcW w:w="113" w:type="dxa"/>
            <w:tcBorders>
              <w:top w:val="nil"/>
              <w:left w:val="nil"/>
              <w:bottom w:val="nil"/>
              <w:right w:val="nil"/>
            </w:tcBorders>
            <w:shd w:val="clear" w:color="auto" w:fill="auto"/>
            <w:noWrap/>
            <w:vAlign w:val="center"/>
            <w:hideMark/>
          </w:tcPr>
          <w:p w14:paraId="343D36F0" w14:textId="77777777" w:rsidR="00BC5219" w:rsidRPr="008A2B8F"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noWrap/>
            <w:vAlign w:val="center"/>
            <w:hideMark/>
          </w:tcPr>
          <w:p w14:paraId="2B715255"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$'000</w:t>
            </w:r>
          </w:p>
        </w:tc>
        <w:tc>
          <w:tcPr>
            <w:tcW w:w="113" w:type="dxa"/>
            <w:tcBorders>
              <w:top w:val="nil"/>
              <w:left w:val="nil"/>
              <w:bottom w:val="nil"/>
              <w:right w:val="nil"/>
            </w:tcBorders>
            <w:shd w:val="clear" w:color="auto" w:fill="auto"/>
            <w:noWrap/>
            <w:vAlign w:val="center"/>
            <w:hideMark/>
          </w:tcPr>
          <w:p w14:paraId="357042BF" w14:textId="77777777" w:rsidR="00BC5219" w:rsidRPr="008A2B8F"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noWrap/>
            <w:vAlign w:val="center"/>
            <w:hideMark/>
          </w:tcPr>
          <w:p w14:paraId="2EBD783F"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$'000</w:t>
            </w:r>
          </w:p>
        </w:tc>
        <w:tc>
          <w:tcPr>
            <w:tcW w:w="113" w:type="dxa"/>
            <w:tcBorders>
              <w:top w:val="nil"/>
              <w:left w:val="nil"/>
              <w:bottom w:val="nil"/>
              <w:right w:val="nil"/>
            </w:tcBorders>
            <w:shd w:val="clear" w:color="auto" w:fill="auto"/>
            <w:noWrap/>
            <w:vAlign w:val="center"/>
            <w:hideMark/>
          </w:tcPr>
          <w:p w14:paraId="35BAE114" w14:textId="77777777" w:rsidR="00BC5219" w:rsidRPr="008A2B8F"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noWrap/>
            <w:vAlign w:val="center"/>
            <w:hideMark/>
          </w:tcPr>
          <w:p w14:paraId="5D598E16"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$'000</w:t>
            </w:r>
          </w:p>
        </w:tc>
        <w:tc>
          <w:tcPr>
            <w:tcW w:w="113" w:type="dxa"/>
            <w:tcBorders>
              <w:top w:val="nil"/>
              <w:left w:val="nil"/>
              <w:bottom w:val="nil"/>
              <w:right w:val="nil"/>
            </w:tcBorders>
            <w:shd w:val="clear" w:color="auto" w:fill="auto"/>
            <w:noWrap/>
            <w:vAlign w:val="center"/>
            <w:hideMark/>
          </w:tcPr>
          <w:p w14:paraId="4FACC951" w14:textId="77777777" w:rsidR="00BC5219" w:rsidRPr="008A2B8F"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noWrap/>
            <w:vAlign w:val="center"/>
            <w:hideMark/>
          </w:tcPr>
          <w:p w14:paraId="32B414C6"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$'000</w:t>
            </w:r>
          </w:p>
        </w:tc>
        <w:tc>
          <w:tcPr>
            <w:tcW w:w="113" w:type="dxa"/>
            <w:tcBorders>
              <w:top w:val="nil"/>
              <w:left w:val="nil"/>
              <w:bottom w:val="nil"/>
              <w:right w:val="nil"/>
            </w:tcBorders>
            <w:shd w:val="clear" w:color="auto" w:fill="auto"/>
            <w:noWrap/>
            <w:vAlign w:val="center"/>
            <w:hideMark/>
          </w:tcPr>
          <w:p w14:paraId="418DBC6F" w14:textId="77777777" w:rsidR="00BC5219" w:rsidRPr="008A2B8F"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noWrap/>
            <w:vAlign w:val="center"/>
            <w:hideMark/>
          </w:tcPr>
          <w:p w14:paraId="7582B341"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$'000</w:t>
            </w:r>
          </w:p>
        </w:tc>
      </w:tr>
      <w:tr w:rsidR="00BC5219" w:rsidRPr="008A2B8F" w14:paraId="46A983DA" w14:textId="77777777" w:rsidTr="00E83802">
        <w:trPr>
          <w:trHeight w:val="23"/>
        </w:trPr>
        <w:tc>
          <w:tcPr>
            <w:tcW w:w="4933" w:type="dxa"/>
            <w:tcBorders>
              <w:top w:val="nil"/>
              <w:left w:val="nil"/>
              <w:bottom w:val="nil"/>
              <w:right w:val="nil"/>
            </w:tcBorders>
            <w:shd w:val="clear" w:color="auto" w:fill="auto"/>
            <w:vAlign w:val="center"/>
            <w:hideMark/>
          </w:tcPr>
          <w:p w14:paraId="21E3506F"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Gross value</w:t>
            </w:r>
          </w:p>
        </w:tc>
        <w:tc>
          <w:tcPr>
            <w:tcW w:w="1191" w:type="dxa"/>
            <w:tcBorders>
              <w:top w:val="nil"/>
              <w:left w:val="nil"/>
              <w:bottom w:val="nil"/>
              <w:right w:val="nil"/>
            </w:tcBorders>
            <w:shd w:val="clear" w:color="auto" w:fill="auto"/>
            <w:noWrap/>
            <w:vAlign w:val="center"/>
            <w:hideMark/>
          </w:tcPr>
          <w:p w14:paraId="28916BB9"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6,023,069 </w:t>
            </w:r>
          </w:p>
        </w:tc>
        <w:tc>
          <w:tcPr>
            <w:tcW w:w="113" w:type="dxa"/>
            <w:tcBorders>
              <w:top w:val="nil"/>
              <w:left w:val="nil"/>
              <w:bottom w:val="nil"/>
              <w:right w:val="nil"/>
            </w:tcBorders>
            <w:shd w:val="clear" w:color="auto" w:fill="auto"/>
            <w:noWrap/>
            <w:vAlign w:val="center"/>
            <w:hideMark/>
          </w:tcPr>
          <w:p w14:paraId="6DDE50ED"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04D38132"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1,108,316 </w:t>
            </w:r>
          </w:p>
        </w:tc>
        <w:tc>
          <w:tcPr>
            <w:tcW w:w="113" w:type="dxa"/>
            <w:tcBorders>
              <w:top w:val="nil"/>
              <w:left w:val="nil"/>
              <w:bottom w:val="nil"/>
              <w:right w:val="nil"/>
            </w:tcBorders>
            <w:shd w:val="clear" w:color="auto" w:fill="auto"/>
            <w:noWrap/>
            <w:vAlign w:val="center"/>
            <w:hideMark/>
          </w:tcPr>
          <w:p w14:paraId="4110209F"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22C05C37"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679,290 </w:t>
            </w:r>
          </w:p>
        </w:tc>
        <w:tc>
          <w:tcPr>
            <w:tcW w:w="113" w:type="dxa"/>
            <w:tcBorders>
              <w:top w:val="nil"/>
              <w:left w:val="nil"/>
              <w:bottom w:val="nil"/>
              <w:right w:val="nil"/>
            </w:tcBorders>
            <w:shd w:val="clear" w:color="auto" w:fill="auto"/>
            <w:noWrap/>
            <w:vAlign w:val="center"/>
            <w:hideMark/>
          </w:tcPr>
          <w:p w14:paraId="489E6566"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7FA4D577"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1,322,862 </w:t>
            </w:r>
          </w:p>
        </w:tc>
        <w:tc>
          <w:tcPr>
            <w:tcW w:w="113" w:type="dxa"/>
            <w:tcBorders>
              <w:top w:val="nil"/>
              <w:left w:val="nil"/>
              <w:bottom w:val="nil"/>
              <w:right w:val="nil"/>
            </w:tcBorders>
            <w:shd w:val="clear" w:color="auto" w:fill="auto"/>
            <w:noWrap/>
            <w:vAlign w:val="center"/>
            <w:hideMark/>
          </w:tcPr>
          <w:p w14:paraId="719E2725"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5B50AC74"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96,904,142 </w:t>
            </w:r>
          </w:p>
        </w:tc>
        <w:tc>
          <w:tcPr>
            <w:tcW w:w="113" w:type="dxa"/>
            <w:tcBorders>
              <w:top w:val="nil"/>
              <w:left w:val="nil"/>
              <w:bottom w:val="nil"/>
              <w:right w:val="nil"/>
            </w:tcBorders>
            <w:shd w:val="clear" w:color="auto" w:fill="auto"/>
            <w:noWrap/>
            <w:vAlign w:val="center"/>
            <w:hideMark/>
          </w:tcPr>
          <w:p w14:paraId="40F4BB47"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07C1642B"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5,574,785 </w:t>
            </w:r>
          </w:p>
        </w:tc>
        <w:tc>
          <w:tcPr>
            <w:tcW w:w="113" w:type="dxa"/>
            <w:tcBorders>
              <w:top w:val="nil"/>
              <w:left w:val="nil"/>
              <w:bottom w:val="nil"/>
              <w:right w:val="nil"/>
            </w:tcBorders>
            <w:shd w:val="clear" w:color="auto" w:fill="auto"/>
            <w:noWrap/>
            <w:vAlign w:val="center"/>
            <w:hideMark/>
          </w:tcPr>
          <w:p w14:paraId="212C8324"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43AFB46D"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111,612,464 </w:t>
            </w:r>
          </w:p>
        </w:tc>
      </w:tr>
      <w:tr w:rsidR="00BC5219" w:rsidRPr="008A2B8F" w14:paraId="35A5265A" w14:textId="77777777" w:rsidTr="00E83802">
        <w:trPr>
          <w:trHeight w:val="23"/>
        </w:trPr>
        <w:tc>
          <w:tcPr>
            <w:tcW w:w="4933" w:type="dxa"/>
            <w:tcBorders>
              <w:top w:val="nil"/>
              <w:left w:val="nil"/>
              <w:bottom w:val="nil"/>
              <w:right w:val="nil"/>
            </w:tcBorders>
            <w:shd w:val="clear" w:color="auto" w:fill="auto"/>
            <w:noWrap/>
            <w:vAlign w:val="center"/>
            <w:hideMark/>
          </w:tcPr>
          <w:p w14:paraId="70341C42"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Less: Accumulated depreciation</w:t>
            </w:r>
          </w:p>
        </w:tc>
        <w:tc>
          <w:tcPr>
            <w:tcW w:w="1191" w:type="dxa"/>
            <w:tcBorders>
              <w:top w:val="nil"/>
              <w:left w:val="nil"/>
              <w:bottom w:val="nil"/>
              <w:right w:val="nil"/>
            </w:tcBorders>
            <w:shd w:val="clear" w:color="auto" w:fill="auto"/>
            <w:noWrap/>
            <w:vAlign w:val="center"/>
            <w:hideMark/>
          </w:tcPr>
          <w:p w14:paraId="1A2CF68E"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49FB72B0"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4E6BA041"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(297,630)</w:t>
            </w:r>
          </w:p>
        </w:tc>
        <w:tc>
          <w:tcPr>
            <w:tcW w:w="113" w:type="dxa"/>
            <w:tcBorders>
              <w:top w:val="nil"/>
              <w:left w:val="nil"/>
              <w:bottom w:val="nil"/>
              <w:right w:val="nil"/>
            </w:tcBorders>
            <w:shd w:val="clear" w:color="auto" w:fill="auto"/>
            <w:noWrap/>
            <w:vAlign w:val="center"/>
            <w:hideMark/>
          </w:tcPr>
          <w:p w14:paraId="11EFC10C"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35CD9E42"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(494,664)</w:t>
            </w:r>
          </w:p>
        </w:tc>
        <w:tc>
          <w:tcPr>
            <w:tcW w:w="113" w:type="dxa"/>
            <w:tcBorders>
              <w:top w:val="nil"/>
              <w:left w:val="nil"/>
              <w:bottom w:val="nil"/>
              <w:right w:val="nil"/>
            </w:tcBorders>
            <w:shd w:val="clear" w:color="auto" w:fill="auto"/>
            <w:noWrap/>
            <w:vAlign w:val="center"/>
            <w:hideMark/>
          </w:tcPr>
          <w:p w14:paraId="2C3D2CF5"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41F28AD2"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(153,319)</w:t>
            </w:r>
          </w:p>
        </w:tc>
        <w:tc>
          <w:tcPr>
            <w:tcW w:w="113" w:type="dxa"/>
            <w:tcBorders>
              <w:top w:val="nil"/>
              <w:left w:val="nil"/>
              <w:bottom w:val="nil"/>
              <w:right w:val="nil"/>
            </w:tcBorders>
            <w:shd w:val="clear" w:color="auto" w:fill="auto"/>
            <w:noWrap/>
            <w:vAlign w:val="center"/>
            <w:hideMark/>
          </w:tcPr>
          <w:p w14:paraId="10C46FA3"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5AFB6F6B"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(23,667,132)</w:t>
            </w:r>
          </w:p>
        </w:tc>
        <w:tc>
          <w:tcPr>
            <w:tcW w:w="113" w:type="dxa"/>
            <w:tcBorders>
              <w:top w:val="nil"/>
              <w:left w:val="nil"/>
              <w:bottom w:val="nil"/>
              <w:right w:val="nil"/>
            </w:tcBorders>
            <w:shd w:val="clear" w:color="auto" w:fill="auto"/>
            <w:noWrap/>
            <w:vAlign w:val="center"/>
            <w:hideMark/>
          </w:tcPr>
          <w:p w14:paraId="7AEE4657"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220D7C15"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7A5DEA7F"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7FFA052A"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(24,612,745)</w:t>
            </w:r>
          </w:p>
        </w:tc>
      </w:tr>
      <w:tr w:rsidR="00BC5219" w:rsidRPr="008A2B8F" w14:paraId="0419ED7E" w14:textId="77777777" w:rsidTr="00E83802">
        <w:trPr>
          <w:trHeight w:val="23"/>
        </w:trPr>
        <w:tc>
          <w:tcPr>
            <w:tcW w:w="4933" w:type="dxa"/>
            <w:tcBorders>
              <w:top w:val="single" w:sz="4" w:space="0" w:color="auto"/>
              <w:left w:val="nil"/>
              <w:bottom w:val="double" w:sz="6" w:space="0" w:color="auto"/>
              <w:right w:val="nil"/>
            </w:tcBorders>
            <w:shd w:val="clear" w:color="auto" w:fill="auto"/>
            <w:noWrap/>
            <w:vAlign w:val="center"/>
            <w:hideMark/>
          </w:tcPr>
          <w:p w14:paraId="1BBD1B8C" w14:textId="77777777" w:rsidR="00BC5219" w:rsidRPr="008A2B8F" w:rsidRDefault="00BC5219" w:rsidP="00E83802">
            <w:pPr>
              <w:rPr>
                <w:rFonts w:ascii="Meta Pro" w:eastAsia="Times New Roman" w:hAnsi="Meta Pro"/>
                <w:b/>
                <w:bCs/>
                <w:sz w:val="16"/>
                <w:szCs w:val="16"/>
                <w:lang w:eastAsia="en-AU"/>
              </w:rPr>
            </w:pPr>
            <w:r w:rsidRPr="008A2B8F">
              <w:rPr>
                <w:rFonts w:ascii="Meta Pro" w:eastAsia="Times New Roman" w:hAnsi="Meta Pro"/>
                <w:b/>
                <w:bCs/>
                <w:sz w:val="16"/>
                <w:szCs w:val="16"/>
                <w:lang w:eastAsia="en-AU"/>
              </w:rPr>
              <w:t>Carrying amount at 30 June</w:t>
            </w:r>
          </w:p>
        </w:tc>
        <w:tc>
          <w:tcPr>
            <w:tcW w:w="1191" w:type="dxa"/>
            <w:tcBorders>
              <w:top w:val="single" w:sz="4" w:space="0" w:color="auto"/>
              <w:left w:val="nil"/>
              <w:bottom w:val="double" w:sz="6" w:space="0" w:color="auto"/>
              <w:right w:val="nil"/>
            </w:tcBorders>
            <w:shd w:val="clear" w:color="auto" w:fill="auto"/>
            <w:noWrap/>
            <w:vAlign w:val="center"/>
            <w:hideMark/>
          </w:tcPr>
          <w:p w14:paraId="40D67CF6"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6,023,069 </w:t>
            </w:r>
          </w:p>
        </w:tc>
        <w:tc>
          <w:tcPr>
            <w:tcW w:w="113" w:type="dxa"/>
            <w:tcBorders>
              <w:top w:val="nil"/>
              <w:left w:val="nil"/>
              <w:bottom w:val="nil"/>
              <w:right w:val="nil"/>
            </w:tcBorders>
            <w:shd w:val="clear" w:color="auto" w:fill="auto"/>
            <w:noWrap/>
            <w:vAlign w:val="center"/>
            <w:hideMark/>
          </w:tcPr>
          <w:p w14:paraId="7F84BE8F" w14:textId="77777777" w:rsidR="00BC5219" w:rsidRPr="008A2B8F" w:rsidRDefault="00BC5219" w:rsidP="00E83802">
            <w:pPr>
              <w:jc w:val="right"/>
              <w:rPr>
                <w:rFonts w:ascii="Meta Pro" w:eastAsia="Times New Roman" w:hAnsi="Meta Pro"/>
                <w:b/>
                <w:bCs/>
                <w:sz w:val="16"/>
                <w:szCs w:val="16"/>
                <w:lang w:eastAsia="en-AU"/>
              </w:rPr>
            </w:pPr>
          </w:p>
        </w:tc>
        <w:tc>
          <w:tcPr>
            <w:tcW w:w="1191" w:type="dxa"/>
            <w:tcBorders>
              <w:top w:val="single" w:sz="4" w:space="0" w:color="auto"/>
              <w:left w:val="nil"/>
              <w:bottom w:val="double" w:sz="6" w:space="0" w:color="auto"/>
              <w:right w:val="nil"/>
            </w:tcBorders>
            <w:shd w:val="clear" w:color="auto" w:fill="auto"/>
            <w:noWrap/>
            <w:vAlign w:val="center"/>
            <w:hideMark/>
          </w:tcPr>
          <w:p w14:paraId="228F61F2"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810,686 </w:t>
            </w:r>
          </w:p>
        </w:tc>
        <w:tc>
          <w:tcPr>
            <w:tcW w:w="113" w:type="dxa"/>
            <w:tcBorders>
              <w:top w:val="nil"/>
              <w:left w:val="nil"/>
              <w:bottom w:val="nil"/>
              <w:right w:val="nil"/>
            </w:tcBorders>
            <w:shd w:val="clear" w:color="auto" w:fill="auto"/>
            <w:noWrap/>
            <w:vAlign w:val="center"/>
            <w:hideMark/>
          </w:tcPr>
          <w:p w14:paraId="71AD4D43" w14:textId="77777777" w:rsidR="00BC5219" w:rsidRPr="008A2B8F" w:rsidRDefault="00BC5219" w:rsidP="00E83802">
            <w:pPr>
              <w:jc w:val="right"/>
              <w:rPr>
                <w:rFonts w:ascii="Meta Pro" w:eastAsia="Times New Roman" w:hAnsi="Meta Pro"/>
                <w:b/>
                <w:bCs/>
                <w:sz w:val="16"/>
                <w:szCs w:val="16"/>
                <w:lang w:eastAsia="en-AU"/>
              </w:rPr>
            </w:pPr>
          </w:p>
        </w:tc>
        <w:tc>
          <w:tcPr>
            <w:tcW w:w="1191" w:type="dxa"/>
            <w:tcBorders>
              <w:top w:val="single" w:sz="4" w:space="0" w:color="auto"/>
              <w:left w:val="nil"/>
              <w:bottom w:val="double" w:sz="6" w:space="0" w:color="auto"/>
              <w:right w:val="nil"/>
            </w:tcBorders>
            <w:shd w:val="clear" w:color="auto" w:fill="auto"/>
            <w:noWrap/>
            <w:vAlign w:val="center"/>
            <w:hideMark/>
          </w:tcPr>
          <w:p w14:paraId="207A0711"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184,626 </w:t>
            </w:r>
          </w:p>
        </w:tc>
        <w:tc>
          <w:tcPr>
            <w:tcW w:w="113" w:type="dxa"/>
            <w:tcBorders>
              <w:top w:val="nil"/>
              <w:left w:val="nil"/>
              <w:bottom w:val="nil"/>
              <w:right w:val="nil"/>
            </w:tcBorders>
            <w:shd w:val="clear" w:color="auto" w:fill="auto"/>
            <w:noWrap/>
            <w:vAlign w:val="center"/>
            <w:hideMark/>
          </w:tcPr>
          <w:p w14:paraId="046DD73E" w14:textId="77777777" w:rsidR="00BC5219" w:rsidRPr="008A2B8F" w:rsidRDefault="00BC5219" w:rsidP="00E83802">
            <w:pPr>
              <w:jc w:val="right"/>
              <w:rPr>
                <w:rFonts w:ascii="Meta Pro" w:eastAsia="Times New Roman" w:hAnsi="Meta Pro"/>
                <w:b/>
                <w:bCs/>
                <w:sz w:val="16"/>
                <w:szCs w:val="16"/>
                <w:lang w:eastAsia="en-AU"/>
              </w:rPr>
            </w:pPr>
          </w:p>
        </w:tc>
        <w:tc>
          <w:tcPr>
            <w:tcW w:w="1191" w:type="dxa"/>
            <w:tcBorders>
              <w:top w:val="single" w:sz="4" w:space="0" w:color="auto"/>
              <w:left w:val="nil"/>
              <w:bottom w:val="double" w:sz="6" w:space="0" w:color="auto"/>
              <w:right w:val="nil"/>
            </w:tcBorders>
            <w:shd w:val="clear" w:color="auto" w:fill="auto"/>
            <w:noWrap/>
            <w:vAlign w:val="center"/>
            <w:hideMark/>
          </w:tcPr>
          <w:p w14:paraId="04E7249E"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1,169,543 </w:t>
            </w:r>
          </w:p>
        </w:tc>
        <w:tc>
          <w:tcPr>
            <w:tcW w:w="113" w:type="dxa"/>
            <w:tcBorders>
              <w:top w:val="nil"/>
              <w:left w:val="nil"/>
              <w:bottom w:val="nil"/>
              <w:right w:val="nil"/>
            </w:tcBorders>
            <w:shd w:val="clear" w:color="auto" w:fill="auto"/>
            <w:noWrap/>
            <w:vAlign w:val="center"/>
            <w:hideMark/>
          </w:tcPr>
          <w:p w14:paraId="327472A1" w14:textId="77777777" w:rsidR="00BC5219" w:rsidRPr="008A2B8F" w:rsidRDefault="00BC5219" w:rsidP="00E83802">
            <w:pPr>
              <w:jc w:val="right"/>
              <w:rPr>
                <w:rFonts w:ascii="Meta Pro" w:eastAsia="Times New Roman" w:hAnsi="Meta Pro"/>
                <w:b/>
                <w:bCs/>
                <w:sz w:val="16"/>
                <w:szCs w:val="16"/>
                <w:lang w:eastAsia="en-AU"/>
              </w:rPr>
            </w:pPr>
          </w:p>
        </w:tc>
        <w:tc>
          <w:tcPr>
            <w:tcW w:w="1191" w:type="dxa"/>
            <w:tcBorders>
              <w:top w:val="single" w:sz="4" w:space="0" w:color="auto"/>
              <w:left w:val="nil"/>
              <w:bottom w:val="double" w:sz="6" w:space="0" w:color="auto"/>
              <w:right w:val="nil"/>
            </w:tcBorders>
            <w:shd w:val="clear" w:color="auto" w:fill="auto"/>
            <w:noWrap/>
            <w:vAlign w:val="center"/>
            <w:hideMark/>
          </w:tcPr>
          <w:p w14:paraId="385E4AED"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73,237,010 </w:t>
            </w:r>
          </w:p>
        </w:tc>
        <w:tc>
          <w:tcPr>
            <w:tcW w:w="113" w:type="dxa"/>
            <w:tcBorders>
              <w:top w:val="nil"/>
              <w:left w:val="nil"/>
              <w:bottom w:val="nil"/>
              <w:right w:val="nil"/>
            </w:tcBorders>
            <w:shd w:val="clear" w:color="auto" w:fill="auto"/>
            <w:noWrap/>
            <w:vAlign w:val="center"/>
            <w:hideMark/>
          </w:tcPr>
          <w:p w14:paraId="146D4808" w14:textId="77777777" w:rsidR="00BC5219" w:rsidRPr="008A2B8F" w:rsidRDefault="00BC5219" w:rsidP="00E83802">
            <w:pPr>
              <w:jc w:val="right"/>
              <w:rPr>
                <w:rFonts w:ascii="Meta Pro" w:eastAsia="Times New Roman" w:hAnsi="Meta Pro"/>
                <w:b/>
                <w:bCs/>
                <w:sz w:val="16"/>
                <w:szCs w:val="16"/>
                <w:lang w:eastAsia="en-AU"/>
              </w:rPr>
            </w:pPr>
          </w:p>
        </w:tc>
        <w:tc>
          <w:tcPr>
            <w:tcW w:w="1191" w:type="dxa"/>
            <w:tcBorders>
              <w:top w:val="single" w:sz="4" w:space="0" w:color="auto"/>
              <w:left w:val="nil"/>
              <w:bottom w:val="double" w:sz="6" w:space="0" w:color="auto"/>
              <w:right w:val="nil"/>
            </w:tcBorders>
            <w:shd w:val="clear" w:color="auto" w:fill="auto"/>
            <w:noWrap/>
            <w:vAlign w:val="center"/>
            <w:hideMark/>
          </w:tcPr>
          <w:p w14:paraId="3F711DE4"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5,574,785 </w:t>
            </w:r>
          </w:p>
        </w:tc>
        <w:tc>
          <w:tcPr>
            <w:tcW w:w="113" w:type="dxa"/>
            <w:tcBorders>
              <w:top w:val="nil"/>
              <w:left w:val="nil"/>
              <w:bottom w:val="nil"/>
              <w:right w:val="nil"/>
            </w:tcBorders>
            <w:shd w:val="clear" w:color="auto" w:fill="auto"/>
            <w:noWrap/>
            <w:vAlign w:val="center"/>
            <w:hideMark/>
          </w:tcPr>
          <w:p w14:paraId="71949C80" w14:textId="77777777" w:rsidR="00BC5219" w:rsidRPr="008A2B8F" w:rsidRDefault="00BC5219" w:rsidP="00E83802">
            <w:pPr>
              <w:jc w:val="right"/>
              <w:rPr>
                <w:rFonts w:ascii="Meta Pro" w:eastAsia="Times New Roman" w:hAnsi="Meta Pro"/>
                <w:b/>
                <w:bCs/>
                <w:sz w:val="16"/>
                <w:szCs w:val="16"/>
                <w:lang w:eastAsia="en-AU"/>
              </w:rPr>
            </w:pPr>
          </w:p>
        </w:tc>
        <w:tc>
          <w:tcPr>
            <w:tcW w:w="1191" w:type="dxa"/>
            <w:tcBorders>
              <w:top w:val="single" w:sz="4" w:space="0" w:color="auto"/>
              <w:left w:val="nil"/>
              <w:bottom w:val="double" w:sz="6" w:space="0" w:color="auto"/>
              <w:right w:val="nil"/>
            </w:tcBorders>
            <w:shd w:val="clear" w:color="auto" w:fill="auto"/>
            <w:noWrap/>
            <w:vAlign w:val="center"/>
            <w:hideMark/>
          </w:tcPr>
          <w:p w14:paraId="6D44D12F"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86,999,719 </w:t>
            </w:r>
          </w:p>
        </w:tc>
      </w:tr>
      <w:tr w:rsidR="00BC5219" w:rsidRPr="008A2B8F" w14:paraId="133B174A" w14:textId="77777777" w:rsidTr="00E83802">
        <w:trPr>
          <w:trHeight w:val="57"/>
        </w:trPr>
        <w:tc>
          <w:tcPr>
            <w:tcW w:w="4933" w:type="dxa"/>
            <w:tcBorders>
              <w:top w:val="nil"/>
              <w:left w:val="nil"/>
              <w:bottom w:val="nil"/>
              <w:right w:val="nil"/>
            </w:tcBorders>
            <w:shd w:val="clear" w:color="auto" w:fill="auto"/>
            <w:noWrap/>
            <w:vAlign w:val="center"/>
            <w:hideMark/>
          </w:tcPr>
          <w:p w14:paraId="71B8A029" w14:textId="77777777" w:rsidR="00BC5219" w:rsidRPr="008A2B8F" w:rsidRDefault="00BC5219" w:rsidP="00E83802">
            <w:pPr>
              <w:jc w:val="right"/>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noWrap/>
            <w:vAlign w:val="center"/>
            <w:hideMark/>
          </w:tcPr>
          <w:p w14:paraId="52E5373C"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3E84D9D4" w14:textId="77777777" w:rsidR="00BC5219" w:rsidRPr="008A2B8F" w:rsidRDefault="00BC5219" w:rsidP="00E83802">
            <w:pP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09A57C7A"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2CA4FB5C" w14:textId="77777777" w:rsidR="00BC5219" w:rsidRPr="008A2B8F" w:rsidRDefault="00BC5219" w:rsidP="00E83802">
            <w:pPr>
              <w:jc w:val="cente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504BC440"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05B49E33" w14:textId="77777777" w:rsidR="00BC5219" w:rsidRPr="008A2B8F" w:rsidRDefault="00BC5219" w:rsidP="00E83802">
            <w:pPr>
              <w:jc w:val="cente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7D25C0EC"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2C6718FE" w14:textId="77777777" w:rsidR="00BC5219" w:rsidRPr="008A2B8F" w:rsidRDefault="00BC5219" w:rsidP="00E83802">
            <w:pPr>
              <w:jc w:val="cente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0A369A79"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6BD0D165" w14:textId="77777777" w:rsidR="00BC5219" w:rsidRPr="008A2B8F" w:rsidRDefault="00BC5219" w:rsidP="00E83802">
            <w:pPr>
              <w:jc w:val="cente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44FE0DCC"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6164198F" w14:textId="77777777" w:rsidR="00BC5219" w:rsidRPr="008A2B8F" w:rsidRDefault="00BC5219" w:rsidP="00E83802">
            <w:pPr>
              <w:jc w:val="cente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5835639B" w14:textId="77777777" w:rsidR="00BC5219" w:rsidRPr="008A2B8F" w:rsidRDefault="00BC5219" w:rsidP="00E83802">
            <w:pPr>
              <w:rPr>
                <w:rFonts w:ascii="Meta Pro" w:eastAsia="Times New Roman" w:hAnsi="Meta Pro" w:cs="Times New Roman"/>
                <w:sz w:val="20"/>
                <w:szCs w:val="20"/>
                <w:lang w:eastAsia="en-AU"/>
              </w:rPr>
            </w:pPr>
          </w:p>
        </w:tc>
      </w:tr>
      <w:tr w:rsidR="00BC5219" w:rsidRPr="008A2B8F" w14:paraId="197DA932" w14:textId="77777777" w:rsidTr="00E83802">
        <w:trPr>
          <w:trHeight w:val="23"/>
        </w:trPr>
        <w:tc>
          <w:tcPr>
            <w:tcW w:w="4933" w:type="dxa"/>
            <w:tcBorders>
              <w:top w:val="nil"/>
              <w:left w:val="nil"/>
              <w:bottom w:val="nil"/>
              <w:right w:val="nil"/>
            </w:tcBorders>
            <w:shd w:val="clear" w:color="auto" w:fill="auto"/>
            <w:noWrap/>
            <w:vAlign w:val="center"/>
            <w:hideMark/>
          </w:tcPr>
          <w:p w14:paraId="5CF92D86" w14:textId="77777777" w:rsidR="00BC5219" w:rsidRPr="008A2B8F" w:rsidRDefault="00BC5219" w:rsidP="00E83802">
            <w:pPr>
              <w:rPr>
                <w:rFonts w:ascii="Meta Pro" w:eastAsia="Times New Roman" w:hAnsi="Meta Pro"/>
                <w:b/>
                <w:bCs/>
                <w:sz w:val="16"/>
                <w:szCs w:val="16"/>
                <w:lang w:eastAsia="en-AU"/>
              </w:rPr>
            </w:pPr>
            <w:r w:rsidRPr="008A2B8F">
              <w:rPr>
                <w:rFonts w:ascii="Meta Pro" w:eastAsia="Times New Roman" w:hAnsi="Meta Pro"/>
                <w:b/>
                <w:bCs/>
                <w:sz w:val="16"/>
                <w:szCs w:val="16"/>
                <w:lang w:eastAsia="en-AU"/>
              </w:rPr>
              <w:t>Reconciliation</w:t>
            </w:r>
          </w:p>
        </w:tc>
        <w:tc>
          <w:tcPr>
            <w:tcW w:w="1191" w:type="dxa"/>
            <w:tcBorders>
              <w:top w:val="nil"/>
              <w:left w:val="nil"/>
              <w:bottom w:val="nil"/>
              <w:right w:val="nil"/>
            </w:tcBorders>
            <w:shd w:val="clear" w:color="auto" w:fill="auto"/>
            <w:noWrap/>
            <w:vAlign w:val="center"/>
            <w:hideMark/>
          </w:tcPr>
          <w:p w14:paraId="5E545DFF" w14:textId="77777777" w:rsidR="00BC5219" w:rsidRPr="008A2B8F" w:rsidRDefault="00BC5219" w:rsidP="00E83802">
            <w:pPr>
              <w:rPr>
                <w:rFonts w:ascii="Meta Pro" w:eastAsia="Times New Roman" w:hAnsi="Meta Pro"/>
                <w:b/>
                <w:bCs/>
                <w:sz w:val="16"/>
                <w:szCs w:val="16"/>
                <w:lang w:eastAsia="en-AU"/>
              </w:rPr>
            </w:pPr>
          </w:p>
        </w:tc>
        <w:tc>
          <w:tcPr>
            <w:tcW w:w="113" w:type="dxa"/>
            <w:tcBorders>
              <w:top w:val="nil"/>
              <w:left w:val="nil"/>
              <w:bottom w:val="nil"/>
              <w:right w:val="nil"/>
            </w:tcBorders>
            <w:shd w:val="clear" w:color="auto" w:fill="auto"/>
            <w:noWrap/>
            <w:vAlign w:val="center"/>
            <w:hideMark/>
          </w:tcPr>
          <w:p w14:paraId="65A6E430" w14:textId="77777777" w:rsidR="00BC5219" w:rsidRPr="008A2B8F" w:rsidRDefault="00BC5219" w:rsidP="00E83802">
            <w:pP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4E8CFC7F"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11BF8608" w14:textId="77777777" w:rsidR="00BC5219" w:rsidRPr="008A2B8F" w:rsidRDefault="00BC5219" w:rsidP="00E83802">
            <w:pPr>
              <w:jc w:val="cente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7B8597FA"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4F243F11" w14:textId="77777777" w:rsidR="00BC5219" w:rsidRPr="008A2B8F" w:rsidRDefault="00BC5219" w:rsidP="00E83802">
            <w:pPr>
              <w:jc w:val="cente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3C9442B9"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1ED07AFE" w14:textId="77777777" w:rsidR="00BC5219" w:rsidRPr="008A2B8F" w:rsidRDefault="00BC5219" w:rsidP="00E83802">
            <w:pPr>
              <w:jc w:val="cente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3F0B1633"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275F77A6" w14:textId="77777777" w:rsidR="00BC5219" w:rsidRPr="008A2B8F" w:rsidRDefault="00BC5219" w:rsidP="00E83802">
            <w:pPr>
              <w:jc w:val="cente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147DDBF9"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3B6C8991" w14:textId="77777777" w:rsidR="00BC5219" w:rsidRPr="008A2B8F" w:rsidRDefault="00BC5219" w:rsidP="00E83802">
            <w:pPr>
              <w:jc w:val="center"/>
              <w:rPr>
                <w:rFonts w:ascii="Meta Pro" w:eastAsia="Times New Roman" w:hAnsi="Meta Pro" w:cs="Times New Roman"/>
                <w:sz w:val="20"/>
                <w:szCs w:val="20"/>
                <w:lang w:eastAsia="en-AU"/>
              </w:rPr>
            </w:pPr>
          </w:p>
        </w:tc>
        <w:tc>
          <w:tcPr>
            <w:tcW w:w="1191" w:type="dxa"/>
            <w:tcBorders>
              <w:top w:val="nil"/>
              <w:left w:val="nil"/>
              <w:bottom w:val="nil"/>
              <w:right w:val="nil"/>
            </w:tcBorders>
            <w:shd w:val="clear" w:color="auto" w:fill="auto"/>
            <w:noWrap/>
            <w:vAlign w:val="center"/>
            <w:hideMark/>
          </w:tcPr>
          <w:p w14:paraId="4DE65CA9" w14:textId="77777777" w:rsidR="00BC5219" w:rsidRPr="008A2B8F" w:rsidRDefault="00BC5219" w:rsidP="00E83802">
            <w:pPr>
              <w:rPr>
                <w:rFonts w:ascii="Meta Pro" w:eastAsia="Times New Roman" w:hAnsi="Meta Pro" w:cs="Times New Roman"/>
                <w:sz w:val="20"/>
                <w:szCs w:val="20"/>
                <w:lang w:eastAsia="en-AU"/>
              </w:rPr>
            </w:pPr>
          </w:p>
        </w:tc>
      </w:tr>
      <w:tr w:rsidR="00BC5219" w:rsidRPr="008A2B8F" w14:paraId="5655C705" w14:textId="77777777" w:rsidTr="00E83802">
        <w:trPr>
          <w:trHeight w:val="23"/>
        </w:trPr>
        <w:tc>
          <w:tcPr>
            <w:tcW w:w="4933" w:type="dxa"/>
            <w:tcBorders>
              <w:top w:val="nil"/>
              <w:left w:val="nil"/>
              <w:bottom w:val="nil"/>
              <w:right w:val="nil"/>
            </w:tcBorders>
            <w:shd w:val="clear" w:color="auto" w:fill="auto"/>
            <w:vAlign w:val="center"/>
            <w:hideMark/>
          </w:tcPr>
          <w:p w14:paraId="04D0A8ED"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Carrying amount at 1 July</w:t>
            </w:r>
          </w:p>
        </w:tc>
        <w:tc>
          <w:tcPr>
            <w:tcW w:w="1191" w:type="dxa"/>
            <w:tcBorders>
              <w:top w:val="nil"/>
              <w:left w:val="nil"/>
              <w:bottom w:val="nil"/>
              <w:right w:val="nil"/>
            </w:tcBorders>
            <w:shd w:val="clear" w:color="auto" w:fill="auto"/>
            <w:noWrap/>
            <w:vAlign w:val="center"/>
            <w:hideMark/>
          </w:tcPr>
          <w:p w14:paraId="53ED43B2"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5,250,177 </w:t>
            </w:r>
          </w:p>
        </w:tc>
        <w:tc>
          <w:tcPr>
            <w:tcW w:w="113" w:type="dxa"/>
            <w:tcBorders>
              <w:top w:val="nil"/>
              <w:left w:val="nil"/>
              <w:bottom w:val="nil"/>
              <w:right w:val="nil"/>
            </w:tcBorders>
            <w:shd w:val="clear" w:color="auto" w:fill="auto"/>
            <w:noWrap/>
            <w:vAlign w:val="center"/>
            <w:hideMark/>
          </w:tcPr>
          <w:p w14:paraId="504AD4F6"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61D8BE47"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764,733 </w:t>
            </w:r>
          </w:p>
        </w:tc>
        <w:tc>
          <w:tcPr>
            <w:tcW w:w="113" w:type="dxa"/>
            <w:tcBorders>
              <w:top w:val="nil"/>
              <w:left w:val="nil"/>
              <w:bottom w:val="nil"/>
              <w:right w:val="nil"/>
            </w:tcBorders>
            <w:shd w:val="clear" w:color="auto" w:fill="auto"/>
            <w:noWrap/>
            <w:vAlign w:val="center"/>
            <w:hideMark/>
          </w:tcPr>
          <w:p w14:paraId="53088C9F"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0A07A002"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199,372 </w:t>
            </w:r>
          </w:p>
        </w:tc>
        <w:tc>
          <w:tcPr>
            <w:tcW w:w="113" w:type="dxa"/>
            <w:tcBorders>
              <w:top w:val="nil"/>
              <w:left w:val="nil"/>
              <w:bottom w:val="nil"/>
              <w:right w:val="nil"/>
            </w:tcBorders>
            <w:shd w:val="clear" w:color="auto" w:fill="auto"/>
            <w:noWrap/>
            <w:vAlign w:val="center"/>
            <w:hideMark/>
          </w:tcPr>
          <w:p w14:paraId="619223F2"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3E79F619"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1,129,823 </w:t>
            </w:r>
          </w:p>
        </w:tc>
        <w:tc>
          <w:tcPr>
            <w:tcW w:w="113" w:type="dxa"/>
            <w:tcBorders>
              <w:top w:val="nil"/>
              <w:left w:val="nil"/>
              <w:bottom w:val="nil"/>
              <w:right w:val="nil"/>
            </w:tcBorders>
            <w:shd w:val="clear" w:color="auto" w:fill="auto"/>
            <w:noWrap/>
            <w:vAlign w:val="center"/>
            <w:hideMark/>
          </w:tcPr>
          <w:p w14:paraId="67E2E83C"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06F426C2"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61,106,934 </w:t>
            </w:r>
          </w:p>
        </w:tc>
        <w:tc>
          <w:tcPr>
            <w:tcW w:w="113" w:type="dxa"/>
            <w:tcBorders>
              <w:top w:val="nil"/>
              <w:left w:val="nil"/>
              <w:bottom w:val="nil"/>
              <w:right w:val="nil"/>
            </w:tcBorders>
            <w:shd w:val="clear" w:color="auto" w:fill="auto"/>
            <w:noWrap/>
            <w:vAlign w:val="center"/>
            <w:hideMark/>
          </w:tcPr>
          <w:p w14:paraId="5F7F9599"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3C9B0678"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6,076,782 </w:t>
            </w:r>
          </w:p>
        </w:tc>
        <w:tc>
          <w:tcPr>
            <w:tcW w:w="113" w:type="dxa"/>
            <w:tcBorders>
              <w:top w:val="nil"/>
              <w:left w:val="nil"/>
              <w:bottom w:val="nil"/>
              <w:right w:val="nil"/>
            </w:tcBorders>
            <w:shd w:val="clear" w:color="auto" w:fill="auto"/>
            <w:noWrap/>
            <w:vAlign w:val="center"/>
            <w:hideMark/>
          </w:tcPr>
          <w:p w14:paraId="2253F50C"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09ECA3D5"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74,527,821 </w:t>
            </w:r>
          </w:p>
        </w:tc>
      </w:tr>
      <w:tr w:rsidR="00BC5219" w:rsidRPr="008A2B8F" w14:paraId="35827448" w14:textId="77777777" w:rsidTr="00E83802">
        <w:trPr>
          <w:trHeight w:val="23"/>
        </w:trPr>
        <w:tc>
          <w:tcPr>
            <w:tcW w:w="4933" w:type="dxa"/>
            <w:tcBorders>
              <w:top w:val="nil"/>
              <w:left w:val="nil"/>
              <w:bottom w:val="nil"/>
              <w:right w:val="nil"/>
            </w:tcBorders>
            <w:shd w:val="clear" w:color="auto" w:fill="auto"/>
            <w:noWrap/>
            <w:vAlign w:val="center"/>
            <w:hideMark/>
          </w:tcPr>
          <w:p w14:paraId="33C0DDD7"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Acquisitions (including upgrades)</w:t>
            </w:r>
          </w:p>
        </w:tc>
        <w:tc>
          <w:tcPr>
            <w:tcW w:w="1191" w:type="dxa"/>
            <w:tcBorders>
              <w:top w:val="nil"/>
              <w:left w:val="nil"/>
              <w:bottom w:val="nil"/>
              <w:right w:val="nil"/>
            </w:tcBorders>
            <w:shd w:val="clear" w:color="auto" w:fill="auto"/>
            <w:noWrap/>
            <w:vAlign w:val="center"/>
            <w:hideMark/>
          </w:tcPr>
          <w:p w14:paraId="090B3E7A"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204,348 </w:t>
            </w:r>
          </w:p>
        </w:tc>
        <w:tc>
          <w:tcPr>
            <w:tcW w:w="113" w:type="dxa"/>
            <w:tcBorders>
              <w:top w:val="nil"/>
              <w:left w:val="nil"/>
              <w:bottom w:val="nil"/>
              <w:right w:val="nil"/>
            </w:tcBorders>
            <w:shd w:val="clear" w:color="auto" w:fill="auto"/>
            <w:noWrap/>
            <w:vAlign w:val="center"/>
            <w:hideMark/>
          </w:tcPr>
          <w:p w14:paraId="0F6878BC"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35EC706E"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26,192 </w:t>
            </w:r>
          </w:p>
        </w:tc>
        <w:tc>
          <w:tcPr>
            <w:tcW w:w="113" w:type="dxa"/>
            <w:tcBorders>
              <w:top w:val="nil"/>
              <w:left w:val="nil"/>
              <w:bottom w:val="nil"/>
              <w:right w:val="nil"/>
            </w:tcBorders>
            <w:shd w:val="clear" w:color="auto" w:fill="auto"/>
            <w:noWrap/>
            <w:vAlign w:val="center"/>
            <w:hideMark/>
          </w:tcPr>
          <w:p w14:paraId="4AA20546"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44B13C0D"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16,059 </w:t>
            </w:r>
          </w:p>
        </w:tc>
        <w:tc>
          <w:tcPr>
            <w:tcW w:w="113" w:type="dxa"/>
            <w:tcBorders>
              <w:top w:val="nil"/>
              <w:left w:val="nil"/>
              <w:bottom w:val="nil"/>
              <w:right w:val="nil"/>
            </w:tcBorders>
            <w:shd w:val="clear" w:color="auto" w:fill="auto"/>
            <w:noWrap/>
            <w:vAlign w:val="center"/>
            <w:hideMark/>
          </w:tcPr>
          <w:p w14:paraId="5E598E98"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2CC04F30"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68AAA27A"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75280B71"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74 </w:t>
            </w:r>
          </w:p>
        </w:tc>
        <w:tc>
          <w:tcPr>
            <w:tcW w:w="113" w:type="dxa"/>
            <w:tcBorders>
              <w:top w:val="nil"/>
              <w:left w:val="nil"/>
              <w:bottom w:val="nil"/>
              <w:right w:val="nil"/>
            </w:tcBorders>
            <w:shd w:val="clear" w:color="auto" w:fill="auto"/>
            <w:noWrap/>
            <w:vAlign w:val="center"/>
            <w:hideMark/>
          </w:tcPr>
          <w:p w14:paraId="1C4BE830"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27172FEA"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3,650,529 </w:t>
            </w:r>
          </w:p>
        </w:tc>
        <w:tc>
          <w:tcPr>
            <w:tcW w:w="113" w:type="dxa"/>
            <w:tcBorders>
              <w:top w:val="nil"/>
              <w:left w:val="nil"/>
              <w:bottom w:val="nil"/>
              <w:right w:val="nil"/>
            </w:tcBorders>
            <w:shd w:val="clear" w:color="auto" w:fill="auto"/>
            <w:noWrap/>
            <w:vAlign w:val="center"/>
            <w:hideMark/>
          </w:tcPr>
          <w:p w14:paraId="3F95D982"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72C61E39"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3,897,202 </w:t>
            </w:r>
          </w:p>
        </w:tc>
      </w:tr>
      <w:tr w:rsidR="00BC5219" w:rsidRPr="008A2B8F" w14:paraId="4C3DA561" w14:textId="77777777" w:rsidTr="00E83802">
        <w:trPr>
          <w:trHeight w:val="23"/>
        </w:trPr>
        <w:tc>
          <w:tcPr>
            <w:tcW w:w="4933" w:type="dxa"/>
            <w:tcBorders>
              <w:top w:val="nil"/>
              <w:left w:val="nil"/>
              <w:bottom w:val="nil"/>
              <w:right w:val="nil"/>
            </w:tcBorders>
            <w:shd w:val="clear" w:color="auto" w:fill="auto"/>
            <w:noWrap/>
            <w:vAlign w:val="center"/>
            <w:hideMark/>
          </w:tcPr>
          <w:p w14:paraId="68B3C67F"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Assets received at below fair value</w:t>
            </w:r>
          </w:p>
        </w:tc>
        <w:tc>
          <w:tcPr>
            <w:tcW w:w="1191" w:type="dxa"/>
            <w:tcBorders>
              <w:top w:val="nil"/>
              <w:left w:val="nil"/>
              <w:bottom w:val="nil"/>
              <w:right w:val="nil"/>
            </w:tcBorders>
            <w:shd w:val="clear" w:color="auto" w:fill="auto"/>
            <w:noWrap/>
            <w:vAlign w:val="center"/>
            <w:hideMark/>
          </w:tcPr>
          <w:p w14:paraId="53D2D5E5"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9,676 </w:t>
            </w:r>
          </w:p>
        </w:tc>
        <w:tc>
          <w:tcPr>
            <w:tcW w:w="113" w:type="dxa"/>
            <w:tcBorders>
              <w:top w:val="nil"/>
              <w:left w:val="nil"/>
              <w:bottom w:val="nil"/>
              <w:right w:val="nil"/>
            </w:tcBorders>
            <w:shd w:val="clear" w:color="auto" w:fill="auto"/>
            <w:noWrap/>
            <w:vAlign w:val="center"/>
            <w:hideMark/>
          </w:tcPr>
          <w:p w14:paraId="5A649146"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5F261786"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25 </w:t>
            </w:r>
          </w:p>
        </w:tc>
        <w:tc>
          <w:tcPr>
            <w:tcW w:w="113" w:type="dxa"/>
            <w:tcBorders>
              <w:top w:val="nil"/>
              <w:left w:val="nil"/>
              <w:bottom w:val="nil"/>
              <w:right w:val="nil"/>
            </w:tcBorders>
            <w:shd w:val="clear" w:color="auto" w:fill="auto"/>
            <w:noWrap/>
            <w:vAlign w:val="center"/>
            <w:hideMark/>
          </w:tcPr>
          <w:p w14:paraId="53615B80"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590025F3"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75BCBD0E"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64ADC3DC"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793FBFD6"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1DAF6AAF"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59,643 </w:t>
            </w:r>
          </w:p>
        </w:tc>
        <w:tc>
          <w:tcPr>
            <w:tcW w:w="113" w:type="dxa"/>
            <w:tcBorders>
              <w:top w:val="nil"/>
              <w:left w:val="nil"/>
              <w:bottom w:val="nil"/>
              <w:right w:val="nil"/>
            </w:tcBorders>
            <w:shd w:val="clear" w:color="auto" w:fill="auto"/>
            <w:noWrap/>
            <w:vAlign w:val="center"/>
            <w:hideMark/>
          </w:tcPr>
          <w:p w14:paraId="6D9C6B73"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24D31D9B"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2,232 </w:t>
            </w:r>
          </w:p>
        </w:tc>
        <w:tc>
          <w:tcPr>
            <w:tcW w:w="113" w:type="dxa"/>
            <w:tcBorders>
              <w:top w:val="nil"/>
              <w:left w:val="nil"/>
              <w:bottom w:val="nil"/>
              <w:right w:val="nil"/>
            </w:tcBorders>
            <w:shd w:val="clear" w:color="auto" w:fill="auto"/>
            <w:noWrap/>
            <w:vAlign w:val="center"/>
            <w:hideMark/>
          </w:tcPr>
          <w:p w14:paraId="52237C7A"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366B44DD"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71,576 </w:t>
            </w:r>
          </w:p>
        </w:tc>
      </w:tr>
      <w:tr w:rsidR="00BC5219" w:rsidRPr="008A2B8F" w14:paraId="4D06B5C8" w14:textId="77777777" w:rsidTr="00E83802">
        <w:trPr>
          <w:trHeight w:val="23"/>
        </w:trPr>
        <w:tc>
          <w:tcPr>
            <w:tcW w:w="4933" w:type="dxa"/>
            <w:tcBorders>
              <w:top w:val="nil"/>
              <w:left w:val="nil"/>
              <w:bottom w:val="nil"/>
              <w:right w:val="nil"/>
            </w:tcBorders>
            <w:shd w:val="clear" w:color="auto" w:fill="auto"/>
            <w:vAlign w:val="center"/>
            <w:hideMark/>
          </w:tcPr>
          <w:p w14:paraId="73FE64EF"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Transfers from/(to) other Queensland Government entities</w:t>
            </w:r>
          </w:p>
        </w:tc>
        <w:tc>
          <w:tcPr>
            <w:tcW w:w="1191" w:type="dxa"/>
            <w:tcBorders>
              <w:top w:val="nil"/>
              <w:left w:val="nil"/>
              <w:bottom w:val="nil"/>
              <w:right w:val="nil"/>
            </w:tcBorders>
            <w:shd w:val="clear" w:color="auto" w:fill="auto"/>
            <w:noWrap/>
            <w:vAlign w:val="center"/>
            <w:hideMark/>
          </w:tcPr>
          <w:p w14:paraId="017317D8"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(19,037)</w:t>
            </w:r>
          </w:p>
        </w:tc>
        <w:tc>
          <w:tcPr>
            <w:tcW w:w="113" w:type="dxa"/>
            <w:tcBorders>
              <w:top w:val="nil"/>
              <w:left w:val="nil"/>
              <w:bottom w:val="nil"/>
              <w:right w:val="nil"/>
            </w:tcBorders>
            <w:shd w:val="clear" w:color="auto" w:fill="auto"/>
            <w:noWrap/>
            <w:vAlign w:val="center"/>
            <w:hideMark/>
          </w:tcPr>
          <w:p w14:paraId="3766660D"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6E65DD7C"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54EEBE67"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660B6608"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5E564155"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2E154075"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00569589"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14B351C2"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5,056 </w:t>
            </w:r>
          </w:p>
        </w:tc>
        <w:tc>
          <w:tcPr>
            <w:tcW w:w="113" w:type="dxa"/>
            <w:tcBorders>
              <w:top w:val="nil"/>
              <w:left w:val="nil"/>
              <w:bottom w:val="nil"/>
              <w:right w:val="nil"/>
            </w:tcBorders>
            <w:shd w:val="clear" w:color="auto" w:fill="auto"/>
            <w:noWrap/>
            <w:vAlign w:val="center"/>
            <w:hideMark/>
          </w:tcPr>
          <w:p w14:paraId="3E5440AB"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4141A303"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0E1793AB"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3988B7FA"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(13,981)</w:t>
            </w:r>
          </w:p>
        </w:tc>
      </w:tr>
      <w:tr w:rsidR="00BC5219" w:rsidRPr="008A2B8F" w14:paraId="1741D270" w14:textId="77777777" w:rsidTr="00E83802">
        <w:trPr>
          <w:trHeight w:val="23"/>
        </w:trPr>
        <w:tc>
          <w:tcPr>
            <w:tcW w:w="4933" w:type="dxa"/>
            <w:tcBorders>
              <w:top w:val="nil"/>
              <w:left w:val="nil"/>
              <w:bottom w:val="nil"/>
              <w:right w:val="nil"/>
            </w:tcBorders>
            <w:shd w:val="clear" w:color="auto" w:fill="auto"/>
            <w:noWrap/>
            <w:vAlign w:val="center"/>
            <w:hideMark/>
          </w:tcPr>
          <w:p w14:paraId="157889D5"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Transfers between classes</w:t>
            </w:r>
          </w:p>
        </w:tc>
        <w:tc>
          <w:tcPr>
            <w:tcW w:w="1191" w:type="dxa"/>
            <w:tcBorders>
              <w:top w:val="nil"/>
              <w:left w:val="nil"/>
              <w:bottom w:val="nil"/>
              <w:right w:val="nil"/>
            </w:tcBorders>
            <w:shd w:val="clear" w:color="auto" w:fill="auto"/>
            <w:noWrap/>
            <w:vAlign w:val="center"/>
            <w:hideMark/>
          </w:tcPr>
          <w:p w14:paraId="4C4C717E"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2BAAC2B2"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50FBEAEC"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6B704BC7"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4E180EA6"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9,712 </w:t>
            </w:r>
          </w:p>
        </w:tc>
        <w:tc>
          <w:tcPr>
            <w:tcW w:w="113" w:type="dxa"/>
            <w:tcBorders>
              <w:top w:val="nil"/>
              <w:left w:val="nil"/>
              <w:bottom w:val="nil"/>
              <w:right w:val="nil"/>
            </w:tcBorders>
            <w:shd w:val="clear" w:color="auto" w:fill="auto"/>
            <w:noWrap/>
            <w:vAlign w:val="center"/>
            <w:hideMark/>
          </w:tcPr>
          <w:p w14:paraId="0BF6CBCD"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15F5349E"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63,716 </w:t>
            </w:r>
          </w:p>
        </w:tc>
        <w:tc>
          <w:tcPr>
            <w:tcW w:w="113" w:type="dxa"/>
            <w:tcBorders>
              <w:top w:val="nil"/>
              <w:left w:val="nil"/>
              <w:bottom w:val="nil"/>
              <w:right w:val="nil"/>
            </w:tcBorders>
            <w:shd w:val="clear" w:color="auto" w:fill="auto"/>
            <w:noWrap/>
            <w:vAlign w:val="center"/>
            <w:hideMark/>
          </w:tcPr>
          <w:p w14:paraId="7AF04D43"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6FD1088F"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4,081,330 </w:t>
            </w:r>
          </w:p>
        </w:tc>
        <w:tc>
          <w:tcPr>
            <w:tcW w:w="113" w:type="dxa"/>
            <w:tcBorders>
              <w:top w:val="nil"/>
              <w:left w:val="nil"/>
              <w:bottom w:val="nil"/>
              <w:right w:val="nil"/>
            </w:tcBorders>
            <w:shd w:val="clear" w:color="auto" w:fill="auto"/>
            <w:noWrap/>
            <w:vAlign w:val="center"/>
            <w:hideMark/>
          </w:tcPr>
          <w:p w14:paraId="414254A7"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28B66A81"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(4,154,758)</w:t>
            </w:r>
          </w:p>
        </w:tc>
        <w:tc>
          <w:tcPr>
            <w:tcW w:w="113" w:type="dxa"/>
            <w:tcBorders>
              <w:top w:val="nil"/>
              <w:left w:val="nil"/>
              <w:bottom w:val="nil"/>
              <w:right w:val="nil"/>
            </w:tcBorders>
            <w:shd w:val="clear" w:color="auto" w:fill="auto"/>
            <w:noWrap/>
            <w:vAlign w:val="center"/>
            <w:hideMark/>
          </w:tcPr>
          <w:p w14:paraId="7920968D"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723C8832"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 </w:t>
            </w:r>
          </w:p>
        </w:tc>
      </w:tr>
      <w:tr w:rsidR="00BC5219" w:rsidRPr="008A2B8F" w14:paraId="4525A716" w14:textId="77777777" w:rsidTr="00E83802">
        <w:trPr>
          <w:trHeight w:val="23"/>
        </w:trPr>
        <w:tc>
          <w:tcPr>
            <w:tcW w:w="4933" w:type="dxa"/>
            <w:tcBorders>
              <w:top w:val="nil"/>
              <w:left w:val="nil"/>
              <w:bottom w:val="nil"/>
              <w:right w:val="nil"/>
            </w:tcBorders>
            <w:shd w:val="clear" w:color="auto" w:fill="auto"/>
            <w:noWrap/>
            <w:vAlign w:val="center"/>
            <w:hideMark/>
          </w:tcPr>
          <w:p w14:paraId="5332D84C"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Transfers from intangibles (refer to Note 14)</w:t>
            </w:r>
          </w:p>
        </w:tc>
        <w:tc>
          <w:tcPr>
            <w:tcW w:w="1191" w:type="dxa"/>
            <w:tcBorders>
              <w:top w:val="nil"/>
              <w:left w:val="nil"/>
              <w:bottom w:val="nil"/>
              <w:right w:val="nil"/>
            </w:tcBorders>
            <w:shd w:val="clear" w:color="auto" w:fill="auto"/>
            <w:noWrap/>
            <w:vAlign w:val="center"/>
            <w:hideMark/>
          </w:tcPr>
          <w:p w14:paraId="60A0ABA2"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0EE53F65"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0BBDBB7E"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08CE944A"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781B813E"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409 </w:t>
            </w:r>
          </w:p>
        </w:tc>
        <w:tc>
          <w:tcPr>
            <w:tcW w:w="113" w:type="dxa"/>
            <w:tcBorders>
              <w:top w:val="nil"/>
              <w:left w:val="nil"/>
              <w:bottom w:val="nil"/>
              <w:right w:val="nil"/>
            </w:tcBorders>
            <w:shd w:val="clear" w:color="auto" w:fill="auto"/>
            <w:noWrap/>
            <w:vAlign w:val="center"/>
            <w:hideMark/>
          </w:tcPr>
          <w:p w14:paraId="523A27BA"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1C12DC52"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1A9AEFC9"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44EDBC20"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6F56E3C0"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736C2B91"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17D04C65"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2D0F75C4"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409 </w:t>
            </w:r>
          </w:p>
        </w:tc>
      </w:tr>
      <w:tr w:rsidR="00BC5219" w:rsidRPr="008A2B8F" w14:paraId="5E313887" w14:textId="77777777" w:rsidTr="00E83802">
        <w:trPr>
          <w:trHeight w:val="23"/>
        </w:trPr>
        <w:tc>
          <w:tcPr>
            <w:tcW w:w="4933" w:type="dxa"/>
            <w:tcBorders>
              <w:top w:val="nil"/>
              <w:left w:val="nil"/>
              <w:bottom w:val="nil"/>
              <w:right w:val="nil"/>
            </w:tcBorders>
            <w:shd w:val="clear" w:color="auto" w:fill="auto"/>
            <w:noWrap/>
            <w:vAlign w:val="center"/>
            <w:hideMark/>
          </w:tcPr>
          <w:p w14:paraId="5087CA63"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lastRenderedPageBreak/>
              <w:t>Disposals</w:t>
            </w:r>
          </w:p>
        </w:tc>
        <w:tc>
          <w:tcPr>
            <w:tcW w:w="1191" w:type="dxa"/>
            <w:tcBorders>
              <w:top w:val="nil"/>
              <w:left w:val="nil"/>
              <w:bottom w:val="nil"/>
              <w:right w:val="nil"/>
            </w:tcBorders>
            <w:shd w:val="clear" w:color="auto" w:fill="auto"/>
            <w:noWrap/>
            <w:vAlign w:val="center"/>
            <w:hideMark/>
          </w:tcPr>
          <w:p w14:paraId="046C182D"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41E83284"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03E6C654"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(128)</w:t>
            </w:r>
          </w:p>
        </w:tc>
        <w:tc>
          <w:tcPr>
            <w:tcW w:w="113" w:type="dxa"/>
            <w:tcBorders>
              <w:top w:val="nil"/>
              <w:left w:val="nil"/>
              <w:bottom w:val="nil"/>
              <w:right w:val="nil"/>
            </w:tcBorders>
            <w:shd w:val="clear" w:color="auto" w:fill="auto"/>
            <w:noWrap/>
            <w:vAlign w:val="center"/>
            <w:hideMark/>
          </w:tcPr>
          <w:p w14:paraId="475325DC"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5BE03C3E"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(1,632)</w:t>
            </w:r>
          </w:p>
        </w:tc>
        <w:tc>
          <w:tcPr>
            <w:tcW w:w="113" w:type="dxa"/>
            <w:tcBorders>
              <w:top w:val="nil"/>
              <w:left w:val="nil"/>
              <w:bottom w:val="nil"/>
              <w:right w:val="nil"/>
            </w:tcBorders>
            <w:shd w:val="clear" w:color="auto" w:fill="auto"/>
            <w:noWrap/>
            <w:vAlign w:val="center"/>
            <w:hideMark/>
          </w:tcPr>
          <w:p w14:paraId="4473EFC3"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2EC1F27E"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61809FC4"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1E7E13CC"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(2,989)</w:t>
            </w:r>
          </w:p>
        </w:tc>
        <w:tc>
          <w:tcPr>
            <w:tcW w:w="113" w:type="dxa"/>
            <w:tcBorders>
              <w:top w:val="nil"/>
              <w:left w:val="nil"/>
              <w:bottom w:val="nil"/>
              <w:right w:val="nil"/>
            </w:tcBorders>
            <w:shd w:val="clear" w:color="auto" w:fill="auto"/>
            <w:noWrap/>
            <w:vAlign w:val="center"/>
            <w:hideMark/>
          </w:tcPr>
          <w:p w14:paraId="65CA3AAB"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1A39AFDA"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321C1018"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79A230A6"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(4,749)</w:t>
            </w:r>
          </w:p>
        </w:tc>
      </w:tr>
      <w:tr w:rsidR="00BC5219" w:rsidRPr="008A2B8F" w14:paraId="20DEBC86" w14:textId="77777777" w:rsidTr="00E83802">
        <w:trPr>
          <w:trHeight w:val="23"/>
        </w:trPr>
        <w:tc>
          <w:tcPr>
            <w:tcW w:w="4933" w:type="dxa"/>
            <w:tcBorders>
              <w:top w:val="nil"/>
              <w:left w:val="nil"/>
              <w:bottom w:val="nil"/>
              <w:right w:val="nil"/>
            </w:tcBorders>
            <w:shd w:val="clear" w:color="auto" w:fill="auto"/>
            <w:vAlign w:val="center"/>
            <w:hideMark/>
          </w:tcPr>
          <w:p w14:paraId="2152865C"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Assets provided to third parties at below fair value</w:t>
            </w:r>
          </w:p>
        </w:tc>
        <w:tc>
          <w:tcPr>
            <w:tcW w:w="1191" w:type="dxa"/>
            <w:tcBorders>
              <w:top w:val="nil"/>
              <w:left w:val="nil"/>
              <w:bottom w:val="nil"/>
              <w:right w:val="nil"/>
            </w:tcBorders>
            <w:shd w:val="clear" w:color="auto" w:fill="auto"/>
            <w:noWrap/>
            <w:vAlign w:val="center"/>
            <w:hideMark/>
          </w:tcPr>
          <w:p w14:paraId="75F93FCD"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76118724"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197A7108"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094F0A9D"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3856E02F"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77E338EC"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630BAB5F"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51BA3C3E"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70A60377"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(64,742)</w:t>
            </w:r>
          </w:p>
        </w:tc>
        <w:tc>
          <w:tcPr>
            <w:tcW w:w="113" w:type="dxa"/>
            <w:tcBorders>
              <w:top w:val="nil"/>
              <w:left w:val="nil"/>
              <w:bottom w:val="nil"/>
              <w:right w:val="nil"/>
            </w:tcBorders>
            <w:shd w:val="clear" w:color="auto" w:fill="auto"/>
            <w:noWrap/>
            <w:vAlign w:val="center"/>
            <w:hideMark/>
          </w:tcPr>
          <w:p w14:paraId="2BDFF07B"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49196916"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6EE158FD"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561FE69B"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(64,742)</w:t>
            </w:r>
          </w:p>
        </w:tc>
      </w:tr>
      <w:tr w:rsidR="00BC5219" w:rsidRPr="008A2B8F" w14:paraId="62899A7B" w14:textId="77777777" w:rsidTr="00E83802">
        <w:trPr>
          <w:trHeight w:val="23"/>
        </w:trPr>
        <w:tc>
          <w:tcPr>
            <w:tcW w:w="4933" w:type="dxa"/>
            <w:tcBorders>
              <w:top w:val="nil"/>
              <w:left w:val="nil"/>
              <w:bottom w:val="nil"/>
              <w:right w:val="nil"/>
            </w:tcBorders>
            <w:shd w:val="clear" w:color="auto" w:fill="auto"/>
            <w:noWrap/>
            <w:vAlign w:val="center"/>
            <w:hideMark/>
          </w:tcPr>
          <w:p w14:paraId="1BF32FF5"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Assets reclassified as held for sale</w:t>
            </w:r>
          </w:p>
        </w:tc>
        <w:tc>
          <w:tcPr>
            <w:tcW w:w="1191" w:type="dxa"/>
            <w:tcBorders>
              <w:top w:val="nil"/>
              <w:left w:val="nil"/>
              <w:bottom w:val="nil"/>
              <w:right w:val="nil"/>
            </w:tcBorders>
            <w:shd w:val="clear" w:color="auto" w:fill="auto"/>
            <w:noWrap/>
            <w:vAlign w:val="center"/>
            <w:hideMark/>
          </w:tcPr>
          <w:p w14:paraId="5B838439"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(14,915)</w:t>
            </w:r>
          </w:p>
        </w:tc>
        <w:tc>
          <w:tcPr>
            <w:tcW w:w="113" w:type="dxa"/>
            <w:tcBorders>
              <w:top w:val="nil"/>
              <w:left w:val="nil"/>
              <w:bottom w:val="nil"/>
              <w:right w:val="nil"/>
            </w:tcBorders>
            <w:shd w:val="clear" w:color="auto" w:fill="auto"/>
            <w:noWrap/>
            <w:vAlign w:val="center"/>
            <w:hideMark/>
          </w:tcPr>
          <w:p w14:paraId="5F745DB7"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0E3C1B9C"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(1,212)</w:t>
            </w:r>
          </w:p>
        </w:tc>
        <w:tc>
          <w:tcPr>
            <w:tcW w:w="113" w:type="dxa"/>
            <w:tcBorders>
              <w:top w:val="nil"/>
              <w:left w:val="nil"/>
              <w:bottom w:val="nil"/>
              <w:right w:val="nil"/>
            </w:tcBorders>
            <w:shd w:val="clear" w:color="auto" w:fill="auto"/>
            <w:noWrap/>
            <w:vAlign w:val="center"/>
            <w:hideMark/>
          </w:tcPr>
          <w:p w14:paraId="32FBF941"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0795F454"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1ECAF975"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6BD0C728"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43753893"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030840BD"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6EA84443"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484FA19F"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31F83518"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1A199584"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(16,127)</w:t>
            </w:r>
          </w:p>
        </w:tc>
      </w:tr>
      <w:tr w:rsidR="00BC5219" w:rsidRPr="008A2B8F" w14:paraId="3344B974" w14:textId="77777777" w:rsidTr="00E83802">
        <w:trPr>
          <w:trHeight w:val="23"/>
        </w:trPr>
        <w:tc>
          <w:tcPr>
            <w:tcW w:w="4933" w:type="dxa"/>
            <w:tcBorders>
              <w:top w:val="nil"/>
              <w:left w:val="nil"/>
              <w:bottom w:val="nil"/>
              <w:right w:val="nil"/>
            </w:tcBorders>
            <w:shd w:val="clear" w:color="auto" w:fill="auto"/>
            <w:vAlign w:val="center"/>
            <w:hideMark/>
          </w:tcPr>
          <w:p w14:paraId="53F83CFF"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Net revaluation increments</w:t>
            </w:r>
          </w:p>
        </w:tc>
        <w:tc>
          <w:tcPr>
            <w:tcW w:w="1191" w:type="dxa"/>
            <w:tcBorders>
              <w:top w:val="nil"/>
              <w:left w:val="nil"/>
              <w:bottom w:val="nil"/>
              <w:right w:val="nil"/>
            </w:tcBorders>
            <w:shd w:val="clear" w:color="auto" w:fill="auto"/>
            <w:noWrap/>
            <w:vAlign w:val="center"/>
            <w:hideMark/>
          </w:tcPr>
          <w:p w14:paraId="7548D415"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592,820 </w:t>
            </w:r>
          </w:p>
        </w:tc>
        <w:tc>
          <w:tcPr>
            <w:tcW w:w="113" w:type="dxa"/>
            <w:tcBorders>
              <w:top w:val="nil"/>
              <w:left w:val="nil"/>
              <w:bottom w:val="nil"/>
              <w:right w:val="nil"/>
            </w:tcBorders>
            <w:shd w:val="clear" w:color="auto" w:fill="auto"/>
            <w:noWrap/>
            <w:vAlign w:val="center"/>
            <w:hideMark/>
          </w:tcPr>
          <w:p w14:paraId="05FD147B"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5907670F"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70,026 </w:t>
            </w:r>
          </w:p>
        </w:tc>
        <w:tc>
          <w:tcPr>
            <w:tcW w:w="113" w:type="dxa"/>
            <w:tcBorders>
              <w:top w:val="nil"/>
              <w:left w:val="nil"/>
              <w:bottom w:val="nil"/>
              <w:right w:val="nil"/>
            </w:tcBorders>
            <w:shd w:val="clear" w:color="auto" w:fill="auto"/>
            <w:noWrap/>
            <w:vAlign w:val="center"/>
            <w:hideMark/>
          </w:tcPr>
          <w:p w14:paraId="0C098305"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63F3FEC0"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228104D6"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4AA34D99"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18,539 </w:t>
            </w:r>
          </w:p>
        </w:tc>
        <w:tc>
          <w:tcPr>
            <w:tcW w:w="113" w:type="dxa"/>
            <w:tcBorders>
              <w:top w:val="nil"/>
              <w:left w:val="nil"/>
              <w:bottom w:val="nil"/>
              <w:right w:val="nil"/>
            </w:tcBorders>
            <w:shd w:val="clear" w:color="auto" w:fill="auto"/>
            <w:noWrap/>
            <w:vAlign w:val="center"/>
            <w:hideMark/>
          </w:tcPr>
          <w:p w14:paraId="75E4C7D6"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64D3541A"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9,090,077 </w:t>
            </w:r>
          </w:p>
        </w:tc>
        <w:tc>
          <w:tcPr>
            <w:tcW w:w="113" w:type="dxa"/>
            <w:tcBorders>
              <w:top w:val="nil"/>
              <w:left w:val="nil"/>
              <w:bottom w:val="nil"/>
              <w:right w:val="nil"/>
            </w:tcBorders>
            <w:shd w:val="clear" w:color="auto" w:fill="auto"/>
            <w:noWrap/>
            <w:vAlign w:val="center"/>
            <w:hideMark/>
          </w:tcPr>
          <w:p w14:paraId="1A4E50ED"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498341A7"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4B7A8E4A"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37B198EE"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9,771,462 </w:t>
            </w:r>
          </w:p>
        </w:tc>
      </w:tr>
      <w:tr w:rsidR="00BC5219" w:rsidRPr="008A2B8F" w14:paraId="4880DF41" w14:textId="77777777" w:rsidTr="00E83802">
        <w:trPr>
          <w:trHeight w:val="23"/>
        </w:trPr>
        <w:tc>
          <w:tcPr>
            <w:tcW w:w="4933" w:type="dxa"/>
            <w:tcBorders>
              <w:top w:val="nil"/>
              <w:left w:val="nil"/>
              <w:bottom w:val="nil"/>
              <w:right w:val="nil"/>
            </w:tcBorders>
            <w:shd w:val="clear" w:color="auto" w:fill="auto"/>
            <w:noWrap/>
            <w:vAlign w:val="center"/>
            <w:hideMark/>
          </w:tcPr>
          <w:p w14:paraId="6E8B6C8E"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Depreciation</w:t>
            </w:r>
          </w:p>
        </w:tc>
        <w:tc>
          <w:tcPr>
            <w:tcW w:w="1191" w:type="dxa"/>
            <w:tcBorders>
              <w:top w:val="nil"/>
              <w:left w:val="nil"/>
              <w:bottom w:val="nil"/>
              <w:right w:val="nil"/>
            </w:tcBorders>
            <w:shd w:val="clear" w:color="auto" w:fill="auto"/>
            <w:noWrap/>
            <w:vAlign w:val="center"/>
            <w:hideMark/>
          </w:tcPr>
          <w:p w14:paraId="75D0867C"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5BC42979"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0F77EC7D"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(48,950)</w:t>
            </w:r>
          </w:p>
        </w:tc>
        <w:tc>
          <w:tcPr>
            <w:tcW w:w="113" w:type="dxa"/>
            <w:tcBorders>
              <w:top w:val="nil"/>
              <w:left w:val="nil"/>
              <w:bottom w:val="nil"/>
              <w:right w:val="nil"/>
            </w:tcBorders>
            <w:shd w:val="clear" w:color="auto" w:fill="auto"/>
            <w:noWrap/>
            <w:vAlign w:val="center"/>
            <w:hideMark/>
          </w:tcPr>
          <w:p w14:paraId="06B82F9C"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63072FFD"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(39,294)</w:t>
            </w:r>
          </w:p>
        </w:tc>
        <w:tc>
          <w:tcPr>
            <w:tcW w:w="113" w:type="dxa"/>
            <w:tcBorders>
              <w:top w:val="nil"/>
              <w:left w:val="nil"/>
              <w:bottom w:val="nil"/>
              <w:right w:val="nil"/>
            </w:tcBorders>
            <w:shd w:val="clear" w:color="auto" w:fill="auto"/>
            <w:noWrap/>
            <w:vAlign w:val="center"/>
            <w:hideMark/>
          </w:tcPr>
          <w:p w14:paraId="25C8DF38"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262826CF"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(42,535)</w:t>
            </w:r>
          </w:p>
        </w:tc>
        <w:tc>
          <w:tcPr>
            <w:tcW w:w="113" w:type="dxa"/>
            <w:tcBorders>
              <w:top w:val="nil"/>
              <w:left w:val="nil"/>
              <w:bottom w:val="nil"/>
              <w:right w:val="nil"/>
            </w:tcBorders>
            <w:shd w:val="clear" w:color="auto" w:fill="auto"/>
            <w:noWrap/>
            <w:vAlign w:val="center"/>
            <w:hideMark/>
          </w:tcPr>
          <w:p w14:paraId="6D65A744"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single" w:sz="4" w:space="0" w:color="auto"/>
              <w:right w:val="nil"/>
            </w:tcBorders>
            <w:shd w:val="clear" w:color="auto" w:fill="auto"/>
            <w:noWrap/>
            <w:vAlign w:val="center"/>
            <w:hideMark/>
          </w:tcPr>
          <w:p w14:paraId="6FCED443"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(1,038,373)</w:t>
            </w:r>
          </w:p>
        </w:tc>
        <w:tc>
          <w:tcPr>
            <w:tcW w:w="113" w:type="dxa"/>
            <w:tcBorders>
              <w:top w:val="nil"/>
              <w:left w:val="nil"/>
              <w:bottom w:val="nil"/>
              <w:right w:val="nil"/>
            </w:tcBorders>
            <w:shd w:val="clear" w:color="auto" w:fill="auto"/>
            <w:noWrap/>
            <w:vAlign w:val="center"/>
            <w:hideMark/>
          </w:tcPr>
          <w:p w14:paraId="6CB1F238"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01A62D22"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5F1E1C49"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212FF96F"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(1,169,152)</w:t>
            </w:r>
          </w:p>
        </w:tc>
      </w:tr>
      <w:tr w:rsidR="00BC5219" w:rsidRPr="008A2B8F" w14:paraId="63CB33FC" w14:textId="77777777" w:rsidTr="00E83802">
        <w:trPr>
          <w:trHeight w:val="23"/>
        </w:trPr>
        <w:tc>
          <w:tcPr>
            <w:tcW w:w="4933" w:type="dxa"/>
            <w:tcBorders>
              <w:top w:val="single" w:sz="4" w:space="0" w:color="auto"/>
              <w:left w:val="nil"/>
              <w:bottom w:val="double" w:sz="6" w:space="0" w:color="auto"/>
              <w:right w:val="nil"/>
            </w:tcBorders>
            <w:shd w:val="clear" w:color="auto" w:fill="auto"/>
            <w:noWrap/>
            <w:vAlign w:val="center"/>
            <w:hideMark/>
          </w:tcPr>
          <w:p w14:paraId="1301A8D7" w14:textId="77777777" w:rsidR="00BC5219" w:rsidRPr="008A2B8F" w:rsidRDefault="00BC5219" w:rsidP="00E83802">
            <w:pPr>
              <w:rPr>
                <w:rFonts w:ascii="Meta Pro" w:eastAsia="Times New Roman" w:hAnsi="Meta Pro"/>
                <w:b/>
                <w:bCs/>
                <w:sz w:val="16"/>
                <w:szCs w:val="16"/>
                <w:lang w:eastAsia="en-AU"/>
              </w:rPr>
            </w:pPr>
            <w:r w:rsidRPr="008A2B8F">
              <w:rPr>
                <w:rFonts w:ascii="Meta Pro" w:eastAsia="Times New Roman" w:hAnsi="Meta Pro"/>
                <w:b/>
                <w:bCs/>
                <w:sz w:val="16"/>
                <w:szCs w:val="16"/>
                <w:lang w:eastAsia="en-AU"/>
              </w:rPr>
              <w:t>Carrying amount at 30 June</w:t>
            </w:r>
          </w:p>
        </w:tc>
        <w:tc>
          <w:tcPr>
            <w:tcW w:w="1191" w:type="dxa"/>
            <w:tcBorders>
              <w:top w:val="single" w:sz="4" w:space="0" w:color="auto"/>
              <w:left w:val="nil"/>
              <w:bottom w:val="double" w:sz="6" w:space="0" w:color="auto"/>
              <w:right w:val="nil"/>
            </w:tcBorders>
            <w:shd w:val="clear" w:color="auto" w:fill="auto"/>
            <w:noWrap/>
            <w:vAlign w:val="center"/>
            <w:hideMark/>
          </w:tcPr>
          <w:p w14:paraId="41B70CFB"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6,023,069 </w:t>
            </w:r>
          </w:p>
        </w:tc>
        <w:tc>
          <w:tcPr>
            <w:tcW w:w="113" w:type="dxa"/>
            <w:tcBorders>
              <w:top w:val="nil"/>
              <w:left w:val="nil"/>
              <w:bottom w:val="nil"/>
              <w:right w:val="nil"/>
            </w:tcBorders>
            <w:shd w:val="clear" w:color="auto" w:fill="auto"/>
            <w:noWrap/>
            <w:vAlign w:val="center"/>
            <w:hideMark/>
          </w:tcPr>
          <w:p w14:paraId="2679E0F6" w14:textId="77777777" w:rsidR="00BC5219" w:rsidRPr="008A2B8F" w:rsidRDefault="00BC5219" w:rsidP="00E83802">
            <w:pPr>
              <w:jc w:val="right"/>
              <w:rPr>
                <w:rFonts w:ascii="Meta Pro" w:eastAsia="Times New Roman" w:hAnsi="Meta Pro"/>
                <w:b/>
                <w:bCs/>
                <w:sz w:val="16"/>
                <w:szCs w:val="16"/>
                <w:lang w:eastAsia="en-AU"/>
              </w:rPr>
            </w:pPr>
          </w:p>
        </w:tc>
        <w:tc>
          <w:tcPr>
            <w:tcW w:w="1191" w:type="dxa"/>
            <w:tcBorders>
              <w:top w:val="single" w:sz="4" w:space="0" w:color="auto"/>
              <w:left w:val="nil"/>
              <w:bottom w:val="double" w:sz="6" w:space="0" w:color="auto"/>
              <w:right w:val="nil"/>
            </w:tcBorders>
            <w:shd w:val="clear" w:color="auto" w:fill="auto"/>
            <w:noWrap/>
            <w:vAlign w:val="center"/>
            <w:hideMark/>
          </w:tcPr>
          <w:p w14:paraId="2CB806CC"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810,686 </w:t>
            </w:r>
          </w:p>
        </w:tc>
        <w:tc>
          <w:tcPr>
            <w:tcW w:w="113" w:type="dxa"/>
            <w:tcBorders>
              <w:top w:val="nil"/>
              <w:left w:val="nil"/>
              <w:bottom w:val="nil"/>
              <w:right w:val="nil"/>
            </w:tcBorders>
            <w:shd w:val="clear" w:color="auto" w:fill="auto"/>
            <w:noWrap/>
            <w:vAlign w:val="center"/>
            <w:hideMark/>
          </w:tcPr>
          <w:p w14:paraId="2AE99A40" w14:textId="77777777" w:rsidR="00BC5219" w:rsidRPr="008A2B8F" w:rsidRDefault="00BC5219" w:rsidP="00E83802">
            <w:pPr>
              <w:jc w:val="right"/>
              <w:rPr>
                <w:rFonts w:ascii="Meta Pro" w:eastAsia="Times New Roman" w:hAnsi="Meta Pro"/>
                <w:b/>
                <w:bCs/>
                <w:sz w:val="16"/>
                <w:szCs w:val="16"/>
                <w:lang w:eastAsia="en-AU"/>
              </w:rPr>
            </w:pPr>
          </w:p>
        </w:tc>
        <w:tc>
          <w:tcPr>
            <w:tcW w:w="1191" w:type="dxa"/>
            <w:tcBorders>
              <w:top w:val="single" w:sz="4" w:space="0" w:color="auto"/>
              <w:left w:val="nil"/>
              <w:bottom w:val="double" w:sz="6" w:space="0" w:color="auto"/>
              <w:right w:val="nil"/>
            </w:tcBorders>
            <w:shd w:val="clear" w:color="auto" w:fill="auto"/>
            <w:noWrap/>
            <w:vAlign w:val="center"/>
            <w:hideMark/>
          </w:tcPr>
          <w:p w14:paraId="5ECF506E"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184,626 </w:t>
            </w:r>
          </w:p>
        </w:tc>
        <w:tc>
          <w:tcPr>
            <w:tcW w:w="113" w:type="dxa"/>
            <w:tcBorders>
              <w:top w:val="nil"/>
              <w:left w:val="nil"/>
              <w:bottom w:val="nil"/>
              <w:right w:val="nil"/>
            </w:tcBorders>
            <w:shd w:val="clear" w:color="auto" w:fill="auto"/>
            <w:noWrap/>
            <w:vAlign w:val="center"/>
            <w:hideMark/>
          </w:tcPr>
          <w:p w14:paraId="524D7B3B" w14:textId="77777777" w:rsidR="00BC5219" w:rsidRPr="008A2B8F" w:rsidRDefault="00BC5219" w:rsidP="00E83802">
            <w:pPr>
              <w:jc w:val="right"/>
              <w:rPr>
                <w:rFonts w:ascii="Meta Pro" w:eastAsia="Times New Roman" w:hAnsi="Meta Pro"/>
                <w:b/>
                <w:bCs/>
                <w:sz w:val="16"/>
                <w:szCs w:val="16"/>
                <w:lang w:eastAsia="en-AU"/>
              </w:rPr>
            </w:pPr>
          </w:p>
        </w:tc>
        <w:tc>
          <w:tcPr>
            <w:tcW w:w="1191" w:type="dxa"/>
            <w:tcBorders>
              <w:top w:val="single" w:sz="4" w:space="0" w:color="auto"/>
              <w:left w:val="nil"/>
              <w:bottom w:val="double" w:sz="6" w:space="0" w:color="auto"/>
              <w:right w:val="nil"/>
            </w:tcBorders>
            <w:shd w:val="clear" w:color="auto" w:fill="auto"/>
            <w:noWrap/>
            <w:vAlign w:val="center"/>
            <w:hideMark/>
          </w:tcPr>
          <w:p w14:paraId="017D5629"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1,169,543 </w:t>
            </w:r>
          </w:p>
        </w:tc>
        <w:tc>
          <w:tcPr>
            <w:tcW w:w="113" w:type="dxa"/>
            <w:tcBorders>
              <w:top w:val="nil"/>
              <w:left w:val="nil"/>
              <w:bottom w:val="nil"/>
              <w:right w:val="nil"/>
            </w:tcBorders>
            <w:shd w:val="clear" w:color="auto" w:fill="auto"/>
            <w:noWrap/>
            <w:vAlign w:val="center"/>
            <w:hideMark/>
          </w:tcPr>
          <w:p w14:paraId="405F2090" w14:textId="77777777" w:rsidR="00BC5219" w:rsidRPr="008A2B8F" w:rsidRDefault="00BC5219" w:rsidP="00E83802">
            <w:pPr>
              <w:jc w:val="right"/>
              <w:rPr>
                <w:rFonts w:ascii="Meta Pro" w:eastAsia="Times New Roman" w:hAnsi="Meta Pro"/>
                <w:b/>
                <w:bCs/>
                <w:sz w:val="16"/>
                <w:szCs w:val="16"/>
                <w:lang w:eastAsia="en-AU"/>
              </w:rPr>
            </w:pPr>
          </w:p>
        </w:tc>
        <w:tc>
          <w:tcPr>
            <w:tcW w:w="1191" w:type="dxa"/>
            <w:tcBorders>
              <w:top w:val="nil"/>
              <w:left w:val="nil"/>
              <w:bottom w:val="double" w:sz="6" w:space="0" w:color="auto"/>
              <w:right w:val="nil"/>
            </w:tcBorders>
            <w:shd w:val="clear" w:color="auto" w:fill="auto"/>
            <w:noWrap/>
            <w:vAlign w:val="center"/>
            <w:hideMark/>
          </w:tcPr>
          <w:p w14:paraId="1C70FA99"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73,237,010 </w:t>
            </w:r>
          </w:p>
        </w:tc>
        <w:tc>
          <w:tcPr>
            <w:tcW w:w="113" w:type="dxa"/>
            <w:tcBorders>
              <w:top w:val="nil"/>
              <w:left w:val="nil"/>
              <w:bottom w:val="nil"/>
              <w:right w:val="nil"/>
            </w:tcBorders>
            <w:shd w:val="clear" w:color="auto" w:fill="auto"/>
            <w:noWrap/>
            <w:vAlign w:val="center"/>
            <w:hideMark/>
          </w:tcPr>
          <w:p w14:paraId="354A8D0F" w14:textId="77777777" w:rsidR="00BC5219" w:rsidRPr="008A2B8F" w:rsidRDefault="00BC5219" w:rsidP="00E83802">
            <w:pPr>
              <w:jc w:val="right"/>
              <w:rPr>
                <w:rFonts w:ascii="Meta Pro" w:eastAsia="Times New Roman" w:hAnsi="Meta Pro"/>
                <w:b/>
                <w:bCs/>
                <w:sz w:val="16"/>
                <w:szCs w:val="16"/>
                <w:lang w:eastAsia="en-AU"/>
              </w:rPr>
            </w:pPr>
          </w:p>
        </w:tc>
        <w:tc>
          <w:tcPr>
            <w:tcW w:w="1191" w:type="dxa"/>
            <w:tcBorders>
              <w:top w:val="single" w:sz="4" w:space="0" w:color="auto"/>
              <w:left w:val="nil"/>
              <w:bottom w:val="double" w:sz="6" w:space="0" w:color="auto"/>
              <w:right w:val="nil"/>
            </w:tcBorders>
            <w:shd w:val="clear" w:color="auto" w:fill="auto"/>
            <w:noWrap/>
            <w:vAlign w:val="center"/>
            <w:hideMark/>
          </w:tcPr>
          <w:p w14:paraId="08124B40"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5,574,785 </w:t>
            </w:r>
          </w:p>
        </w:tc>
        <w:tc>
          <w:tcPr>
            <w:tcW w:w="113" w:type="dxa"/>
            <w:tcBorders>
              <w:top w:val="nil"/>
              <w:left w:val="nil"/>
              <w:bottom w:val="nil"/>
              <w:right w:val="nil"/>
            </w:tcBorders>
            <w:shd w:val="clear" w:color="auto" w:fill="auto"/>
            <w:noWrap/>
            <w:vAlign w:val="center"/>
            <w:hideMark/>
          </w:tcPr>
          <w:p w14:paraId="40DD7EB6" w14:textId="77777777" w:rsidR="00BC5219" w:rsidRPr="008A2B8F" w:rsidRDefault="00BC5219" w:rsidP="00E83802">
            <w:pPr>
              <w:jc w:val="right"/>
              <w:rPr>
                <w:rFonts w:ascii="Meta Pro" w:eastAsia="Times New Roman" w:hAnsi="Meta Pro"/>
                <w:b/>
                <w:bCs/>
                <w:sz w:val="16"/>
                <w:szCs w:val="16"/>
                <w:lang w:eastAsia="en-AU"/>
              </w:rPr>
            </w:pPr>
          </w:p>
        </w:tc>
        <w:tc>
          <w:tcPr>
            <w:tcW w:w="1191" w:type="dxa"/>
            <w:tcBorders>
              <w:top w:val="single" w:sz="4" w:space="0" w:color="auto"/>
              <w:left w:val="nil"/>
              <w:bottom w:val="double" w:sz="6" w:space="0" w:color="auto"/>
              <w:right w:val="nil"/>
            </w:tcBorders>
            <w:shd w:val="clear" w:color="auto" w:fill="auto"/>
            <w:noWrap/>
            <w:vAlign w:val="center"/>
            <w:hideMark/>
          </w:tcPr>
          <w:p w14:paraId="0C52E942" w14:textId="77777777" w:rsidR="00BC5219" w:rsidRPr="008A2B8F" w:rsidRDefault="00BC5219" w:rsidP="00E83802">
            <w:pPr>
              <w:jc w:val="right"/>
              <w:rPr>
                <w:rFonts w:ascii="Meta Pro" w:eastAsia="Times New Roman" w:hAnsi="Meta Pro"/>
                <w:b/>
                <w:bCs/>
                <w:sz w:val="16"/>
                <w:szCs w:val="16"/>
                <w:lang w:eastAsia="en-AU"/>
              </w:rPr>
            </w:pPr>
            <w:r w:rsidRPr="008A2B8F">
              <w:rPr>
                <w:rFonts w:ascii="Meta Pro" w:eastAsia="Times New Roman" w:hAnsi="Meta Pro"/>
                <w:b/>
                <w:bCs/>
                <w:sz w:val="16"/>
                <w:szCs w:val="16"/>
                <w:lang w:eastAsia="en-AU"/>
              </w:rPr>
              <w:t xml:space="preserve">86,999,719 </w:t>
            </w:r>
          </w:p>
        </w:tc>
      </w:tr>
    </w:tbl>
    <w:p w14:paraId="05962E6E" w14:textId="77777777" w:rsidR="00BC5219" w:rsidRPr="008A2B8F" w:rsidRDefault="00BC5219" w:rsidP="00BC5219">
      <w:pPr>
        <w:spacing w:before="120" w:after="60" w:line="160" w:lineRule="exact"/>
        <w:rPr>
          <w:rFonts w:ascii="Meta Pro" w:hAnsi="Meta Pro"/>
          <w:b/>
          <w:bCs/>
          <w:sz w:val="16"/>
          <w:szCs w:val="16"/>
        </w:rPr>
      </w:pPr>
      <w:r w:rsidRPr="008A2B8F">
        <w:rPr>
          <w:rFonts w:ascii="Meta Pro" w:eastAsia="Times New Roman" w:hAnsi="Meta Pro"/>
          <w:b/>
          <w:bCs/>
          <w:sz w:val="16"/>
          <w:szCs w:val="16"/>
          <w:lang w:eastAsia="en-AU"/>
        </w:rPr>
        <w:t>Fair value reconciliation for land and building assets classified as level 3 – fair value substantially derived from unobservable inputs (refer to the following accounting policy)</w:t>
      </w:r>
    </w:p>
    <w:tbl>
      <w:tblPr>
        <w:tblW w:w="0" w:type="auto"/>
        <w:tblCellMar>
          <w:left w:w="0" w:type="dxa"/>
        </w:tblCellMar>
        <w:tblLook w:val="04A0" w:firstRow="1" w:lastRow="0" w:firstColumn="1" w:lastColumn="0" w:noHBand="0" w:noVBand="1"/>
      </w:tblPr>
      <w:tblGrid>
        <w:gridCol w:w="4941"/>
        <w:gridCol w:w="1199"/>
        <w:gridCol w:w="121"/>
        <w:gridCol w:w="1199"/>
      </w:tblGrid>
      <w:tr w:rsidR="00BC5219" w:rsidRPr="008A2B8F" w14:paraId="7E2BC802" w14:textId="77777777" w:rsidTr="00E83802">
        <w:trPr>
          <w:trHeight w:val="23"/>
        </w:trPr>
        <w:tc>
          <w:tcPr>
            <w:tcW w:w="4933" w:type="dxa"/>
            <w:tcBorders>
              <w:top w:val="nil"/>
              <w:left w:val="nil"/>
              <w:bottom w:val="nil"/>
              <w:right w:val="nil"/>
            </w:tcBorders>
            <w:shd w:val="clear" w:color="auto" w:fill="auto"/>
            <w:noWrap/>
            <w:vAlign w:val="center"/>
            <w:hideMark/>
          </w:tcPr>
          <w:p w14:paraId="6D7FEA4E" w14:textId="77777777" w:rsidR="00BC5219" w:rsidRPr="008A2B8F" w:rsidRDefault="00BC5219" w:rsidP="00E83802">
            <w:pPr>
              <w:rPr>
                <w:rFonts w:ascii="Meta Pro" w:eastAsia="Times New Roman" w:hAnsi="Meta Pro" w:cs="Times New Roman"/>
                <w:sz w:val="24"/>
                <w:szCs w:val="24"/>
                <w:lang w:eastAsia="en-AU"/>
              </w:rPr>
            </w:pPr>
          </w:p>
        </w:tc>
        <w:tc>
          <w:tcPr>
            <w:tcW w:w="1191" w:type="dxa"/>
            <w:tcBorders>
              <w:top w:val="nil"/>
              <w:left w:val="nil"/>
              <w:bottom w:val="nil"/>
              <w:right w:val="nil"/>
            </w:tcBorders>
            <w:shd w:val="clear" w:color="auto" w:fill="auto"/>
            <w:vAlign w:val="center"/>
            <w:hideMark/>
          </w:tcPr>
          <w:p w14:paraId="5F4CA2F4"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Land</w:t>
            </w:r>
          </w:p>
        </w:tc>
        <w:tc>
          <w:tcPr>
            <w:tcW w:w="113" w:type="dxa"/>
            <w:tcBorders>
              <w:top w:val="nil"/>
              <w:left w:val="nil"/>
              <w:bottom w:val="nil"/>
              <w:right w:val="nil"/>
            </w:tcBorders>
            <w:shd w:val="clear" w:color="auto" w:fill="auto"/>
            <w:vAlign w:val="center"/>
            <w:hideMark/>
          </w:tcPr>
          <w:p w14:paraId="1A1444C8" w14:textId="77777777" w:rsidR="00BC5219" w:rsidRPr="008A2B8F"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vAlign w:val="center"/>
            <w:hideMark/>
          </w:tcPr>
          <w:p w14:paraId="169F73D7"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Buildings</w:t>
            </w:r>
          </w:p>
        </w:tc>
      </w:tr>
      <w:tr w:rsidR="00BC5219" w:rsidRPr="008A2B8F" w14:paraId="49C0F515" w14:textId="77777777" w:rsidTr="00E83802">
        <w:trPr>
          <w:trHeight w:val="23"/>
        </w:trPr>
        <w:tc>
          <w:tcPr>
            <w:tcW w:w="4933" w:type="dxa"/>
            <w:tcBorders>
              <w:top w:val="nil"/>
              <w:left w:val="nil"/>
              <w:bottom w:val="nil"/>
              <w:right w:val="nil"/>
            </w:tcBorders>
            <w:shd w:val="clear" w:color="auto" w:fill="auto"/>
            <w:noWrap/>
            <w:vAlign w:val="center"/>
            <w:hideMark/>
          </w:tcPr>
          <w:p w14:paraId="70A4EAD0" w14:textId="77777777" w:rsidR="00BC5219" w:rsidRPr="008A2B8F"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noWrap/>
            <w:vAlign w:val="center"/>
            <w:hideMark/>
          </w:tcPr>
          <w:p w14:paraId="01D11199"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2022</w:t>
            </w:r>
          </w:p>
        </w:tc>
        <w:tc>
          <w:tcPr>
            <w:tcW w:w="113" w:type="dxa"/>
            <w:tcBorders>
              <w:top w:val="nil"/>
              <w:left w:val="nil"/>
              <w:bottom w:val="nil"/>
              <w:right w:val="nil"/>
            </w:tcBorders>
            <w:shd w:val="clear" w:color="auto" w:fill="auto"/>
            <w:noWrap/>
            <w:vAlign w:val="center"/>
            <w:hideMark/>
          </w:tcPr>
          <w:p w14:paraId="4C9CBA93" w14:textId="77777777" w:rsidR="00BC5219" w:rsidRPr="008A2B8F"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noWrap/>
            <w:vAlign w:val="center"/>
            <w:hideMark/>
          </w:tcPr>
          <w:p w14:paraId="33AE88C0"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2022</w:t>
            </w:r>
          </w:p>
        </w:tc>
      </w:tr>
      <w:tr w:rsidR="00BC5219" w:rsidRPr="008A2B8F" w14:paraId="0B9D31C8" w14:textId="77777777" w:rsidTr="00E83802">
        <w:trPr>
          <w:trHeight w:val="23"/>
        </w:trPr>
        <w:tc>
          <w:tcPr>
            <w:tcW w:w="4933" w:type="dxa"/>
            <w:tcBorders>
              <w:top w:val="nil"/>
              <w:left w:val="nil"/>
              <w:bottom w:val="nil"/>
              <w:right w:val="nil"/>
            </w:tcBorders>
            <w:shd w:val="clear" w:color="auto" w:fill="auto"/>
            <w:noWrap/>
            <w:vAlign w:val="center"/>
            <w:hideMark/>
          </w:tcPr>
          <w:p w14:paraId="0A86FD79" w14:textId="77777777" w:rsidR="00BC5219" w:rsidRPr="008A2B8F"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noWrap/>
            <w:vAlign w:val="center"/>
            <w:hideMark/>
          </w:tcPr>
          <w:p w14:paraId="77B6D270"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$'000</w:t>
            </w:r>
          </w:p>
        </w:tc>
        <w:tc>
          <w:tcPr>
            <w:tcW w:w="113" w:type="dxa"/>
            <w:tcBorders>
              <w:top w:val="nil"/>
              <w:left w:val="nil"/>
              <w:bottom w:val="nil"/>
              <w:right w:val="nil"/>
            </w:tcBorders>
            <w:shd w:val="clear" w:color="auto" w:fill="auto"/>
            <w:noWrap/>
            <w:vAlign w:val="center"/>
            <w:hideMark/>
          </w:tcPr>
          <w:p w14:paraId="3BB3F777" w14:textId="77777777" w:rsidR="00BC5219" w:rsidRPr="008A2B8F" w:rsidRDefault="00BC5219" w:rsidP="00E83802">
            <w:pPr>
              <w:jc w:val="center"/>
              <w:rPr>
                <w:rFonts w:ascii="Meta Pro" w:eastAsia="Times New Roman" w:hAnsi="Meta Pro"/>
                <w:b/>
                <w:bCs/>
                <w:sz w:val="16"/>
                <w:szCs w:val="16"/>
                <w:lang w:eastAsia="en-AU"/>
              </w:rPr>
            </w:pPr>
          </w:p>
        </w:tc>
        <w:tc>
          <w:tcPr>
            <w:tcW w:w="1191" w:type="dxa"/>
            <w:tcBorders>
              <w:top w:val="nil"/>
              <w:left w:val="nil"/>
              <w:bottom w:val="nil"/>
              <w:right w:val="nil"/>
            </w:tcBorders>
            <w:shd w:val="clear" w:color="auto" w:fill="auto"/>
            <w:noWrap/>
            <w:vAlign w:val="center"/>
            <w:hideMark/>
          </w:tcPr>
          <w:p w14:paraId="022975EA" w14:textId="77777777" w:rsidR="00BC5219" w:rsidRPr="008A2B8F" w:rsidRDefault="00BC5219" w:rsidP="00E83802">
            <w:pPr>
              <w:jc w:val="center"/>
              <w:rPr>
                <w:rFonts w:ascii="Meta Pro" w:eastAsia="Times New Roman" w:hAnsi="Meta Pro"/>
                <w:b/>
                <w:bCs/>
                <w:sz w:val="16"/>
                <w:szCs w:val="16"/>
                <w:lang w:eastAsia="en-AU"/>
              </w:rPr>
            </w:pPr>
            <w:r w:rsidRPr="008A2B8F">
              <w:rPr>
                <w:rFonts w:ascii="Meta Pro" w:eastAsia="Times New Roman" w:hAnsi="Meta Pro"/>
                <w:b/>
                <w:bCs/>
                <w:sz w:val="16"/>
                <w:szCs w:val="16"/>
                <w:lang w:eastAsia="en-AU"/>
              </w:rPr>
              <w:t>$'000</w:t>
            </w:r>
          </w:p>
        </w:tc>
      </w:tr>
      <w:tr w:rsidR="00BC5219" w:rsidRPr="008A2B8F" w14:paraId="24190DDF" w14:textId="77777777" w:rsidTr="00E83802">
        <w:trPr>
          <w:trHeight w:val="23"/>
        </w:trPr>
        <w:tc>
          <w:tcPr>
            <w:tcW w:w="4933" w:type="dxa"/>
            <w:tcBorders>
              <w:top w:val="nil"/>
              <w:left w:val="nil"/>
              <w:bottom w:val="nil"/>
              <w:right w:val="nil"/>
            </w:tcBorders>
            <w:shd w:val="clear" w:color="auto" w:fill="auto"/>
            <w:vAlign w:val="center"/>
            <w:hideMark/>
          </w:tcPr>
          <w:p w14:paraId="288B79BC"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Carrying amount at 1 July</w:t>
            </w:r>
          </w:p>
        </w:tc>
        <w:tc>
          <w:tcPr>
            <w:tcW w:w="1191" w:type="dxa"/>
            <w:tcBorders>
              <w:top w:val="nil"/>
              <w:left w:val="nil"/>
              <w:bottom w:val="nil"/>
              <w:right w:val="nil"/>
            </w:tcBorders>
            <w:shd w:val="clear" w:color="auto" w:fill="auto"/>
            <w:noWrap/>
            <w:vAlign w:val="center"/>
            <w:hideMark/>
          </w:tcPr>
          <w:p w14:paraId="09C9F4FC"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94,364 </w:t>
            </w:r>
          </w:p>
        </w:tc>
        <w:tc>
          <w:tcPr>
            <w:tcW w:w="113" w:type="dxa"/>
            <w:tcBorders>
              <w:top w:val="nil"/>
              <w:left w:val="nil"/>
              <w:bottom w:val="nil"/>
              <w:right w:val="nil"/>
            </w:tcBorders>
            <w:shd w:val="clear" w:color="auto" w:fill="auto"/>
            <w:noWrap/>
            <w:vAlign w:val="center"/>
            <w:hideMark/>
          </w:tcPr>
          <w:p w14:paraId="23C82E05"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519A3611"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506,442 </w:t>
            </w:r>
          </w:p>
        </w:tc>
      </w:tr>
      <w:tr w:rsidR="00BC5219" w:rsidRPr="008A2B8F" w14:paraId="084DD07C" w14:textId="77777777" w:rsidTr="00E83802">
        <w:trPr>
          <w:trHeight w:val="23"/>
        </w:trPr>
        <w:tc>
          <w:tcPr>
            <w:tcW w:w="4933" w:type="dxa"/>
            <w:tcBorders>
              <w:top w:val="nil"/>
              <w:left w:val="nil"/>
              <w:bottom w:val="nil"/>
              <w:right w:val="nil"/>
            </w:tcBorders>
            <w:shd w:val="clear" w:color="auto" w:fill="auto"/>
            <w:vAlign w:val="center"/>
            <w:hideMark/>
          </w:tcPr>
          <w:p w14:paraId="7035DE27"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Acquisitions</w:t>
            </w:r>
          </w:p>
        </w:tc>
        <w:tc>
          <w:tcPr>
            <w:tcW w:w="1191" w:type="dxa"/>
            <w:tcBorders>
              <w:top w:val="nil"/>
              <w:left w:val="nil"/>
              <w:bottom w:val="nil"/>
              <w:right w:val="nil"/>
            </w:tcBorders>
            <w:shd w:val="clear" w:color="auto" w:fill="auto"/>
            <w:noWrap/>
            <w:vAlign w:val="center"/>
            <w:hideMark/>
          </w:tcPr>
          <w:p w14:paraId="5D987C92"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3DEFD75D"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3525DAF6"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353 </w:t>
            </w:r>
          </w:p>
        </w:tc>
      </w:tr>
      <w:tr w:rsidR="00BC5219" w:rsidRPr="008A2B8F" w14:paraId="67F387F2" w14:textId="77777777" w:rsidTr="00E83802">
        <w:trPr>
          <w:trHeight w:val="23"/>
        </w:trPr>
        <w:tc>
          <w:tcPr>
            <w:tcW w:w="4933" w:type="dxa"/>
            <w:tcBorders>
              <w:top w:val="nil"/>
              <w:left w:val="nil"/>
              <w:bottom w:val="nil"/>
              <w:right w:val="nil"/>
            </w:tcBorders>
            <w:shd w:val="clear" w:color="auto" w:fill="auto"/>
            <w:vAlign w:val="center"/>
            <w:hideMark/>
          </w:tcPr>
          <w:p w14:paraId="2C43D29B"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Transfer from level 2 to level 3</w:t>
            </w:r>
          </w:p>
        </w:tc>
        <w:tc>
          <w:tcPr>
            <w:tcW w:w="1191" w:type="dxa"/>
            <w:tcBorders>
              <w:top w:val="nil"/>
              <w:left w:val="nil"/>
              <w:bottom w:val="nil"/>
              <w:right w:val="nil"/>
            </w:tcBorders>
            <w:shd w:val="clear" w:color="auto" w:fill="auto"/>
            <w:noWrap/>
            <w:vAlign w:val="center"/>
            <w:hideMark/>
          </w:tcPr>
          <w:p w14:paraId="40F34892"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(2,274)</w:t>
            </w:r>
          </w:p>
        </w:tc>
        <w:tc>
          <w:tcPr>
            <w:tcW w:w="113" w:type="dxa"/>
            <w:tcBorders>
              <w:top w:val="nil"/>
              <w:left w:val="nil"/>
              <w:bottom w:val="nil"/>
              <w:right w:val="nil"/>
            </w:tcBorders>
            <w:shd w:val="clear" w:color="auto" w:fill="auto"/>
            <w:noWrap/>
            <w:vAlign w:val="center"/>
            <w:hideMark/>
          </w:tcPr>
          <w:p w14:paraId="5033CEB9"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6E8E6632"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r>
      <w:tr w:rsidR="00BC5219" w:rsidRPr="008A2B8F" w14:paraId="0B3C848D" w14:textId="77777777" w:rsidTr="00E83802">
        <w:trPr>
          <w:trHeight w:val="23"/>
        </w:trPr>
        <w:tc>
          <w:tcPr>
            <w:tcW w:w="4933" w:type="dxa"/>
            <w:tcBorders>
              <w:top w:val="nil"/>
              <w:left w:val="nil"/>
              <w:bottom w:val="nil"/>
              <w:right w:val="nil"/>
            </w:tcBorders>
            <w:shd w:val="clear" w:color="auto" w:fill="auto"/>
            <w:vAlign w:val="center"/>
            <w:hideMark/>
          </w:tcPr>
          <w:p w14:paraId="04B32B74"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Transfer from level 3 to level 2</w:t>
            </w:r>
          </w:p>
        </w:tc>
        <w:tc>
          <w:tcPr>
            <w:tcW w:w="1191" w:type="dxa"/>
            <w:tcBorders>
              <w:top w:val="nil"/>
              <w:left w:val="nil"/>
              <w:bottom w:val="nil"/>
              <w:right w:val="nil"/>
            </w:tcBorders>
            <w:shd w:val="clear" w:color="auto" w:fill="auto"/>
            <w:noWrap/>
            <w:vAlign w:val="center"/>
            <w:hideMark/>
          </w:tcPr>
          <w:p w14:paraId="6896C121"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(6)</w:t>
            </w:r>
          </w:p>
        </w:tc>
        <w:tc>
          <w:tcPr>
            <w:tcW w:w="113" w:type="dxa"/>
            <w:tcBorders>
              <w:top w:val="nil"/>
              <w:left w:val="nil"/>
              <w:bottom w:val="nil"/>
              <w:right w:val="nil"/>
            </w:tcBorders>
            <w:shd w:val="clear" w:color="auto" w:fill="auto"/>
            <w:noWrap/>
            <w:vAlign w:val="center"/>
            <w:hideMark/>
          </w:tcPr>
          <w:p w14:paraId="7A7BED78"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7F5216AA"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r>
      <w:tr w:rsidR="00BC5219" w:rsidRPr="008A2B8F" w14:paraId="35634B45" w14:textId="77777777" w:rsidTr="00E83802">
        <w:trPr>
          <w:trHeight w:val="23"/>
        </w:trPr>
        <w:tc>
          <w:tcPr>
            <w:tcW w:w="4933" w:type="dxa"/>
            <w:tcBorders>
              <w:top w:val="nil"/>
              <w:left w:val="nil"/>
              <w:bottom w:val="nil"/>
              <w:right w:val="nil"/>
            </w:tcBorders>
            <w:shd w:val="clear" w:color="auto" w:fill="auto"/>
            <w:vAlign w:val="center"/>
            <w:hideMark/>
          </w:tcPr>
          <w:p w14:paraId="2BB5D464"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Transfers to other Queensland Government entities</w:t>
            </w:r>
          </w:p>
        </w:tc>
        <w:tc>
          <w:tcPr>
            <w:tcW w:w="1191" w:type="dxa"/>
            <w:tcBorders>
              <w:top w:val="nil"/>
              <w:left w:val="nil"/>
              <w:bottom w:val="nil"/>
              <w:right w:val="nil"/>
            </w:tcBorders>
            <w:shd w:val="clear" w:color="auto" w:fill="auto"/>
            <w:noWrap/>
            <w:vAlign w:val="center"/>
            <w:hideMark/>
          </w:tcPr>
          <w:p w14:paraId="79A1B885"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(13)</w:t>
            </w:r>
          </w:p>
        </w:tc>
        <w:tc>
          <w:tcPr>
            <w:tcW w:w="113" w:type="dxa"/>
            <w:tcBorders>
              <w:top w:val="nil"/>
              <w:left w:val="nil"/>
              <w:bottom w:val="nil"/>
              <w:right w:val="nil"/>
            </w:tcBorders>
            <w:shd w:val="clear" w:color="auto" w:fill="auto"/>
            <w:noWrap/>
            <w:vAlign w:val="center"/>
            <w:hideMark/>
          </w:tcPr>
          <w:p w14:paraId="4C30CF5C"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078FDECE"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r>
      <w:tr w:rsidR="00BC5219" w:rsidRPr="008A2B8F" w14:paraId="4B01F665" w14:textId="77777777" w:rsidTr="00E83802">
        <w:trPr>
          <w:trHeight w:val="23"/>
        </w:trPr>
        <w:tc>
          <w:tcPr>
            <w:tcW w:w="4933" w:type="dxa"/>
            <w:tcBorders>
              <w:top w:val="nil"/>
              <w:left w:val="nil"/>
              <w:bottom w:val="nil"/>
              <w:right w:val="nil"/>
            </w:tcBorders>
            <w:shd w:val="clear" w:color="auto" w:fill="auto"/>
            <w:vAlign w:val="center"/>
            <w:hideMark/>
          </w:tcPr>
          <w:p w14:paraId="3D4B6604"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Disposals</w:t>
            </w:r>
          </w:p>
        </w:tc>
        <w:tc>
          <w:tcPr>
            <w:tcW w:w="1191" w:type="dxa"/>
            <w:tcBorders>
              <w:top w:val="nil"/>
              <w:left w:val="nil"/>
              <w:bottom w:val="nil"/>
              <w:right w:val="nil"/>
            </w:tcBorders>
            <w:shd w:val="clear" w:color="auto" w:fill="auto"/>
            <w:noWrap/>
            <w:vAlign w:val="center"/>
            <w:hideMark/>
          </w:tcPr>
          <w:p w14:paraId="10957A07"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51771876"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60F2505D"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(121)</w:t>
            </w:r>
          </w:p>
        </w:tc>
      </w:tr>
      <w:tr w:rsidR="00BC5219" w:rsidRPr="008A2B8F" w14:paraId="4E084A34" w14:textId="77777777" w:rsidTr="00E83802">
        <w:trPr>
          <w:trHeight w:val="23"/>
        </w:trPr>
        <w:tc>
          <w:tcPr>
            <w:tcW w:w="4933" w:type="dxa"/>
            <w:tcBorders>
              <w:top w:val="nil"/>
              <w:left w:val="nil"/>
              <w:bottom w:val="nil"/>
              <w:right w:val="nil"/>
            </w:tcBorders>
            <w:shd w:val="clear" w:color="auto" w:fill="auto"/>
            <w:vAlign w:val="center"/>
            <w:hideMark/>
          </w:tcPr>
          <w:p w14:paraId="25566F23"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Assets reclassified as held for sale</w:t>
            </w:r>
          </w:p>
        </w:tc>
        <w:tc>
          <w:tcPr>
            <w:tcW w:w="1191" w:type="dxa"/>
            <w:tcBorders>
              <w:top w:val="nil"/>
              <w:left w:val="nil"/>
              <w:bottom w:val="nil"/>
              <w:right w:val="nil"/>
            </w:tcBorders>
            <w:shd w:val="clear" w:color="auto" w:fill="auto"/>
            <w:noWrap/>
            <w:vAlign w:val="center"/>
            <w:hideMark/>
          </w:tcPr>
          <w:p w14:paraId="7FF26183"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(280)</w:t>
            </w:r>
          </w:p>
        </w:tc>
        <w:tc>
          <w:tcPr>
            <w:tcW w:w="113" w:type="dxa"/>
            <w:tcBorders>
              <w:top w:val="nil"/>
              <w:left w:val="nil"/>
              <w:bottom w:val="nil"/>
              <w:right w:val="nil"/>
            </w:tcBorders>
            <w:shd w:val="clear" w:color="auto" w:fill="auto"/>
            <w:noWrap/>
            <w:vAlign w:val="center"/>
            <w:hideMark/>
          </w:tcPr>
          <w:p w14:paraId="1093C997"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10A96805"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r>
      <w:tr w:rsidR="00BC5219" w:rsidRPr="008A2B8F" w14:paraId="45FDEFD2" w14:textId="77777777" w:rsidTr="00E83802">
        <w:trPr>
          <w:trHeight w:val="23"/>
        </w:trPr>
        <w:tc>
          <w:tcPr>
            <w:tcW w:w="4933" w:type="dxa"/>
            <w:tcBorders>
              <w:top w:val="nil"/>
              <w:left w:val="nil"/>
              <w:bottom w:val="nil"/>
              <w:right w:val="nil"/>
            </w:tcBorders>
            <w:shd w:val="clear" w:color="auto" w:fill="auto"/>
            <w:vAlign w:val="center"/>
            <w:hideMark/>
          </w:tcPr>
          <w:p w14:paraId="2F13842F"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Net revaluation decrements</w:t>
            </w:r>
          </w:p>
        </w:tc>
        <w:tc>
          <w:tcPr>
            <w:tcW w:w="1191" w:type="dxa"/>
            <w:tcBorders>
              <w:top w:val="nil"/>
              <w:left w:val="nil"/>
              <w:bottom w:val="nil"/>
              <w:right w:val="nil"/>
            </w:tcBorders>
            <w:shd w:val="clear" w:color="auto" w:fill="auto"/>
            <w:noWrap/>
            <w:vAlign w:val="center"/>
            <w:hideMark/>
          </w:tcPr>
          <w:p w14:paraId="1AC2CA01"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13,037 </w:t>
            </w:r>
          </w:p>
        </w:tc>
        <w:tc>
          <w:tcPr>
            <w:tcW w:w="113" w:type="dxa"/>
            <w:tcBorders>
              <w:top w:val="nil"/>
              <w:left w:val="nil"/>
              <w:bottom w:val="nil"/>
              <w:right w:val="nil"/>
            </w:tcBorders>
            <w:shd w:val="clear" w:color="auto" w:fill="auto"/>
            <w:noWrap/>
            <w:vAlign w:val="center"/>
            <w:hideMark/>
          </w:tcPr>
          <w:p w14:paraId="3DCC546A"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62CF4E5B"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43,956 </w:t>
            </w:r>
          </w:p>
        </w:tc>
      </w:tr>
      <w:tr w:rsidR="00BC5219" w:rsidRPr="008A2B8F" w14:paraId="78BDFDD1" w14:textId="77777777" w:rsidTr="00E83802">
        <w:trPr>
          <w:trHeight w:val="23"/>
        </w:trPr>
        <w:tc>
          <w:tcPr>
            <w:tcW w:w="4933" w:type="dxa"/>
            <w:tcBorders>
              <w:top w:val="nil"/>
              <w:left w:val="nil"/>
              <w:bottom w:val="nil"/>
              <w:right w:val="nil"/>
            </w:tcBorders>
            <w:shd w:val="clear" w:color="auto" w:fill="auto"/>
            <w:noWrap/>
            <w:vAlign w:val="center"/>
            <w:hideMark/>
          </w:tcPr>
          <w:p w14:paraId="39E6214F"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Depreciation</w:t>
            </w:r>
          </w:p>
        </w:tc>
        <w:tc>
          <w:tcPr>
            <w:tcW w:w="1191" w:type="dxa"/>
            <w:tcBorders>
              <w:top w:val="nil"/>
              <w:left w:val="nil"/>
              <w:bottom w:val="nil"/>
              <w:right w:val="nil"/>
            </w:tcBorders>
            <w:shd w:val="clear" w:color="auto" w:fill="auto"/>
            <w:noWrap/>
            <w:vAlign w:val="center"/>
            <w:hideMark/>
          </w:tcPr>
          <w:p w14:paraId="4C989B41"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w:t>
            </w:r>
          </w:p>
        </w:tc>
        <w:tc>
          <w:tcPr>
            <w:tcW w:w="113" w:type="dxa"/>
            <w:tcBorders>
              <w:top w:val="nil"/>
              <w:left w:val="nil"/>
              <w:bottom w:val="nil"/>
              <w:right w:val="nil"/>
            </w:tcBorders>
            <w:shd w:val="clear" w:color="auto" w:fill="auto"/>
            <w:noWrap/>
            <w:vAlign w:val="center"/>
            <w:hideMark/>
          </w:tcPr>
          <w:p w14:paraId="1588F85D"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nil"/>
              <w:left w:val="nil"/>
              <w:bottom w:val="nil"/>
              <w:right w:val="nil"/>
            </w:tcBorders>
            <w:shd w:val="clear" w:color="auto" w:fill="auto"/>
            <w:noWrap/>
            <w:vAlign w:val="center"/>
            <w:hideMark/>
          </w:tcPr>
          <w:p w14:paraId="42ACC2E7"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(22,393)</w:t>
            </w:r>
          </w:p>
        </w:tc>
      </w:tr>
      <w:tr w:rsidR="00BC5219" w:rsidRPr="008A2B8F" w14:paraId="4237A1BF" w14:textId="77777777" w:rsidTr="00E83802">
        <w:trPr>
          <w:trHeight w:val="23"/>
        </w:trPr>
        <w:tc>
          <w:tcPr>
            <w:tcW w:w="4933" w:type="dxa"/>
            <w:tcBorders>
              <w:top w:val="single" w:sz="4" w:space="0" w:color="auto"/>
              <w:left w:val="nil"/>
              <w:bottom w:val="double" w:sz="6" w:space="0" w:color="auto"/>
              <w:right w:val="nil"/>
            </w:tcBorders>
            <w:shd w:val="clear" w:color="auto" w:fill="auto"/>
            <w:vAlign w:val="center"/>
            <w:hideMark/>
          </w:tcPr>
          <w:p w14:paraId="2BBF3C54" w14:textId="77777777" w:rsidR="00BC5219" w:rsidRPr="008A2B8F" w:rsidRDefault="00BC5219" w:rsidP="00E83802">
            <w:pPr>
              <w:rPr>
                <w:rFonts w:ascii="Meta Pro" w:eastAsia="Times New Roman" w:hAnsi="Meta Pro"/>
                <w:sz w:val="16"/>
                <w:szCs w:val="16"/>
                <w:lang w:eastAsia="en-AU"/>
              </w:rPr>
            </w:pPr>
            <w:r w:rsidRPr="008A2B8F">
              <w:rPr>
                <w:rFonts w:ascii="Meta Pro" w:eastAsia="Times New Roman" w:hAnsi="Meta Pro"/>
                <w:sz w:val="16"/>
                <w:szCs w:val="16"/>
                <w:lang w:eastAsia="en-AU"/>
              </w:rPr>
              <w:t>Carrying amount at 30 June</w:t>
            </w:r>
          </w:p>
        </w:tc>
        <w:tc>
          <w:tcPr>
            <w:tcW w:w="1191" w:type="dxa"/>
            <w:tcBorders>
              <w:top w:val="single" w:sz="4" w:space="0" w:color="auto"/>
              <w:left w:val="nil"/>
              <w:bottom w:val="double" w:sz="6" w:space="0" w:color="auto"/>
              <w:right w:val="nil"/>
            </w:tcBorders>
            <w:shd w:val="clear" w:color="auto" w:fill="auto"/>
            <w:noWrap/>
            <w:vAlign w:val="center"/>
            <w:hideMark/>
          </w:tcPr>
          <w:p w14:paraId="627A30AA"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104,828 </w:t>
            </w:r>
          </w:p>
        </w:tc>
        <w:tc>
          <w:tcPr>
            <w:tcW w:w="113" w:type="dxa"/>
            <w:tcBorders>
              <w:top w:val="nil"/>
              <w:left w:val="nil"/>
              <w:bottom w:val="nil"/>
              <w:right w:val="nil"/>
            </w:tcBorders>
            <w:shd w:val="clear" w:color="auto" w:fill="auto"/>
            <w:noWrap/>
            <w:vAlign w:val="center"/>
            <w:hideMark/>
          </w:tcPr>
          <w:p w14:paraId="04A9D4E9" w14:textId="77777777" w:rsidR="00BC5219" w:rsidRPr="008A2B8F" w:rsidRDefault="00BC5219" w:rsidP="00E83802">
            <w:pPr>
              <w:jc w:val="right"/>
              <w:rPr>
                <w:rFonts w:ascii="Meta Pro" w:eastAsia="Times New Roman" w:hAnsi="Meta Pro"/>
                <w:sz w:val="16"/>
                <w:szCs w:val="16"/>
                <w:lang w:eastAsia="en-AU"/>
              </w:rPr>
            </w:pPr>
          </w:p>
        </w:tc>
        <w:tc>
          <w:tcPr>
            <w:tcW w:w="1191" w:type="dxa"/>
            <w:tcBorders>
              <w:top w:val="single" w:sz="4" w:space="0" w:color="auto"/>
              <w:left w:val="nil"/>
              <w:bottom w:val="double" w:sz="6" w:space="0" w:color="auto"/>
              <w:right w:val="nil"/>
            </w:tcBorders>
            <w:shd w:val="clear" w:color="auto" w:fill="auto"/>
            <w:noWrap/>
            <w:vAlign w:val="center"/>
            <w:hideMark/>
          </w:tcPr>
          <w:p w14:paraId="02599862" w14:textId="77777777" w:rsidR="00BC5219" w:rsidRPr="008A2B8F" w:rsidRDefault="00BC5219" w:rsidP="00E83802">
            <w:pPr>
              <w:jc w:val="right"/>
              <w:rPr>
                <w:rFonts w:ascii="Meta Pro" w:eastAsia="Times New Roman" w:hAnsi="Meta Pro"/>
                <w:sz w:val="16"/>
                <w:szCs w:val="16"/>
                <w:lang w:eastAsia="en-AU"/>
              </w:rPr>
            </w:pPr>
            <w:r w:rsidRPr="008A2B8F">
              <w:rPr>
                <w:rFonts w:ascii="Meta Pro" w:eastAsia="Times New Roman" w:hAnsi="Meta Pro"/>
                <w:sz w:val="16"/>
                <w:szCs w:val="16"/>
                <w:lang w:eastAsia="en-AU"/>
              </w:rPr>
              <w:t xml:space="preserve">528,237 </w:t>
            </w:r>
          </w:p>
        </w:tc>
      </w:tr>
    </w:tbl>
    <w:p w14:paraId="6B44F46D" w14:textId="77777777" w:rsidR="00BC5219" w:rsidRPr="008A2B8F" w:rsidRDefault="00BC5219" w:rsidP="00BC5219">
      <w:pPr>
        <w:spacing w:before="120" w:line="259" w:lineRule="auto"/>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Infrastructure consists of roads with a gross replacement cost $76,458m and a current replacement cost of $60,770m, structures with a gross replacement cost of $19,612m and a current replacement       </w:t>
      </w:r>
    </w:p>
    <w:p w14:paraId="4F61FAD9" w14:textId="77777777" w:rsidR="00BC5219" w:rsidRPr="008A2B8F" w:rsidRDefault="00BC5219" w:rsidP="00BC5219">
      <w:pPr>
        <w:spacing w:line="259" w:lineRule="auto"/>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cost of $11,978m and other infrastructure with a gross replacement cost of $834m and a current replacement cost of $489m.</w:t>
      </w:r>
    </w:p>
    <w:p w14:paraId="7CE13D68" w14:textId="77777777" w:rsidR="00BC5219" w:rsidRPr="008A2B8F" w:rsidRDefault="00BC5219" w:rsidP="00BC5219">
      <w:pPr>
        <w:spacing w:before="120" w:line="259" w:lineRule="auto"/>
        <w:ind w:left="142" w:hanging="142"/>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The department has assessed market sensitivity and the fair value movements from the valuation date 30 June 2022 for its significant assets. Accordingly an additional adjustment of $7,055m has  </w:t>
      </w:r>
    </w:p>
    <w:p w14:paraId="67FDB22B" w14:textId="77777777" w:rsidR="00BC5219" w:rsidRPr="008A2B8F" w:rsidRDefault="00BC5219" w:rsidP="00BC5219">
      <w:pPr>
        <w:spacing w:line="259" w:lineRule="auto"/>
        <w:ind w:left="142"/>
        <w:rPr>
          <w:rFonts w:ascii="Meta Pro" w:eastAsia="Times New Roman" w:hAnsi="Meta Pro"/>
          <w:sz w:val="16"/>
          <w:szCs w:val="16"/>
          <w:lang w:eastAsia="en-AU"/>
        </w:rPr>
        <w:sectPr w:rsidR="00BC5219" w:rsidRPr="008A2B8F" w:rsidSect="00EE4DFE">
          <w:footerReference w:type="default" r:id="rId108"/>
          <w:pgSz w:w="16838" w:h="11906" w:orient="landscape"/>
          <w:pgMar w:top="227" w:right="1701" w:bottom="0" w:left="1134" w:header="454" w:footer="454" w:gutter="0"/>
          <w:pgNumType w:start="22"/>
          <w:cols w:space="708"/>
          <w:docGrid w:linePitch="360"/>
        </w:sectPr>
      </w:pPr>
      <w:r w:rsidRPr="008A2B8F">
        <w:rPr>
          <w:rFonts w:ascii="Meta Pro" w:eastAsia="Times New Roman" w:hAnsi="Meta Pro"/>
          <w:sz w:val="16"/>
          <w:szCs w:val="16"/>
          <w:lang w:eastAsia="en-AU"/>
        </w:rPr>
        <w:lastRenderedPageBreak/>
        <w:t xml:space="preserve">  been made to the carrying amount of road assets since the valuation, as a result of significant increases in the market rates of inputs such as raw materials and plant and labour.</w:t>
      </w:r>
    </w:p>
    <w:p w14:paraId="0AA91156" w14:textId="77777777" w:rsidR="00BC5219" w:rsidRPr="008A2B8F" w:rsidRDefault="00BC5219" w:rsidP="00BC5219">
      <w:pPr>
        <w:spacing w:before="120" w:line="259" w:lineRule="auto"/>
        <w:rPr>
          <w:rFonts w:ascii="Meta Pro" w:eastAsia="Times New Roman" w:hAnsi="Meta Pro"/>
          <w:sz w:val="16"/>
          <w:szCs w:val="16"/>
          <w:lang w:eastAsia="en-AU"/>
        </w:rPr>
        <w:sectPr w:rsidR="00BC5219" w:rsidRPr="008A2B8F" w:rsidSect="00457B14">
          <w:type w:val="continuous"/>
          <w:pgSz w:w="16838" w:h="11906" w:orient="landscape"/>
          <w:pgMar w:top="1134" w:right="510" w:bottom="1134" w:left="510" w:header="454" w:footer="454" w:gutter="0"/>
          <w:pgNumType w:start="22"/>
          <w:cols w:space="708"/>
          <w:docGrid w:linePitch="360"/>
        </w:sectPr>
      </w:pPr>
    </w:p>
    <w:p w14:paraId="130AD16F"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r w:rsidRPr="008A2B8F">
        <w:rPr>
          <w:rFonts w:ascii="Meta Pro" w:eastAsia="Times New Roman" w:hAnsi="Meta Pro"/>
          <w:i/>
          <w:iCs/>
          <w:color w:val="000000" w:themeColor="text1"/>
          <w:lang w:eastAsia="en-AU"/>
        </w:rPr>
        <w:lastRenderedPageBreak/>
        <w:t>Department of Transport and Main Roads</w:t>
      </w:r>
    </w:p>
    <w:p w14:paraId="211143DA"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Notes to the financial statements 2022–23 (continued)</w:t>
      </w:r>
    </w:p>
    <w:p w14:paraId="2E64C256" w14:textId="77777777" w:rsidR="00BC5219" w:rsidRPr="008A2B8F" w:rsidRDefault="00BC5219" w:rsidP="00BC5219">
      <w:pPr>
        <w:spacing w:after="120" w:line="259" w:lineRule="auto"/>
        <w:rPr>
          <w:rFonts w:ascii="Meta Pro" w:eastAsia="Times New Roman" w:hAnsi="Meta Pro"/>
          <w:b/>
          <w:bCs/>
          <w:lang w:eastAsia="en-AU"/>
        </w:rPr>
      </w:pPr>
      <w:r w:rsidRPr="008A2B8F">
        <w:rPr>
          <w:rFonts w:ascii="Meta Pro" w:eastAsia="Times New Roman" w:hAnsi="Meta Pro"/>
          <w:b/>
          <w:bCs/>
          <w:lang w:eastAsia="en-AU"/>
        </w:rPr>
        <w:t>15     PROPERTY, PLANT AND EQUIPMENT (continued)</w:t>
      </w:r>
    </w:p>
    <w:p w14:paraId="6A80234C" w14:textId="77777777" w:rsidR="00BC5219" w:rsidRPr="008A2B8F" w:rsidRDefault="00BC5219" w:rsidP="00BC5219">
      <w:pPr>
        <w:shd w:val="clear" w:color="auto" w:fill="EBEBEB"/>
        <w:spacing w:after="120"/>
        <w:ind w:left="113" w:hanging="113"/>
        <w:jc w:val="both"/>
        <w:rPr>
          <w:rFonts w:ascii="Meta Pro" w:eastAsia="Times New Roman" w:hAnsi="Meta Pro"/>
          <w:b/>
          <w:bCs/>
          <w:color w:val="000000"/>
          <w:sz w:val="20"/>
          <w:szCs w:val="20"/>
          <w:lang w:eastAsia="en-AU"/>
        </w:rPr>
      </w:pPr>
      <w:r w:rsidRPr="008A2B8F">
        <w:rPr>
          <w:rFonts w:ascii="Meta Pro" w:eastAsia="Times New Roman" w:hAnsi="Meta Pro"/>
          <w:b/>
          <w:bCs/>
          <w:color w:val="000000"/>
          <w:sz w:val="20"/>
          <w:szCs w:val="20"/>
          <w:lang w:eastAsia="en-AU"/>
        </w:rPr>
        <w:t>Accounting policy</w:t>
      </w:r>
    </w:p>
    <w:p w14:paraId="50D71471" w14:textId="77777777" w:rsidR="00BC5219" w:rsidRPr="008A2B8F" w:rsidRDefault="00BC5219" w:rsidP="00BC5219">
      <w:pPr>
        <w:shd w:val="clear" w:color="auto" w:fill="EBEBEB"/>
        <w:spacing w:after="120"/>
        <w:jc w:val="both"/>
        <w:rPr>
          <w:rFonts w:ascii="Meta Pro" w:eastAsia="Times New Roman" w:hAnsi="Meta Pro"/>
          <w:b/>
          <w:bCs/>
          <w:i/>
          <w:iCs/>
          <w:szCs w:val="18"/>
          <w:lang w:eastAsia="en-AU"/>
        </w:rPr>
      </w:pPr>
      <w:r w:rsidRPr="008A2B8F">
        <w:rPr>
          <w:rFonts w:ascii="Meta Pro" w:eastAsia="Times New Roman" w:hAnsi="Meta Pro"/>
          <w:b/>
          <w:bCs/>
          <w:i/>
          <w:iCs/>
          <w:szCs w:val="18"/>
          <w:lang w:eastAsia="en-AU"/>
        </w:rPr>
        <w:t>Recognition threshold</w:t>
      </w:r>
    </w:p>
    <w:p w14:paraId="66381A3A" w14:textId="77777777" w:rsidR="00BC5219" w:rsidRPr="008A2B8F" w:rsidRDefault="00BC5219" w:rsidP="00BC5219">
      <w:pPr>
        <w:shd w:val="clear" w:color="auto" w:fill="EBEBEB"/>
        <w:jc w:val="both"/>
        <w:rPr>
          <w:rFonts w:ascii="Meta Pro" w:eastAsia="Times New Roman" w:hAnsi="Meta Pro"/>
          <w:szCs w:val="18"/>
          <w:lang w:eastAsia="en-AU"/>
        </w:rPr>
      </w:pPr>
      <w:r w:rsidRPr="008A2B8F">
        <w:rPr>
          <w:rFonts w:ascii="Meta Pro" w:eastAsia="Times New Roman" w:hAnsi="Meta Pro"/>
          <w:szCs w:val="18"/>
          <w:lang w:eastAsia="en-AU"/>
        </w:rPr>
        <w:t>All items of property, plant and equipment are recognised when the cost exceeds the following thresholds:</w:t>
      </w:r>
    </w:p>
    <w:p w14:paraId="1153017C" w14:textId="77777777" w:rsidR="00BC5219" w:rsidRPr="008A2B8F" w:rsidRDefault="00BC5219" w:rsidP="00BC5219">
      <w:pPr>
        <w:shd w:val="clear" w:color="auto" w:fill="EBEBEB"/>
        <w:jc w:val="both"/>
        <w:rPr>
          <w:rFonts w:ascii="Meta Pro" w:eastAsia="Times New Roman" w:hAnsi="Meta Pro"/>
          <w:szCs w:val="18"/>
          <w:lang w:eastAsia="en-AU"/>
        </w:rPr>
      </w:pPr>
      <w:bookmarkStart w:id="47" w:name="_Hlk142902084"/>
      <w:r w:rsidRPr="008A2B8F">
        <w:rPr>
          <w:rFonts w:ascii="Meta Pro" w:eastAsia="Times New Roman" w:hAnsi="Meta Pro"/>
          <w:szCs w:val="18"/>
          <w:lang w:eastAsia="en-AU"/>
        </w:rPr>
        <w:t>•</w:t>
      </w:r>
      <w:bookmarkEnd w:id="47"/>
      <w:r w:rsidRPr="008A2B8F">
        <w:rPr>
          <w:rFonts w:ascii="Meta Pro" w:eastAsia="Times New Roman" w:hAnsi="Meta Pro"/>
          <w:szCs w:val="18"/>
          <w:lang w:eastAsia="en-AU"/>
        </w:rPr>
        <w:t xml:space="preserve">   Land</w:t>
      </w:r>
      <w:r w:rsidRPr="008A2B8F">
        <w:rPr>
          <w:rFonts w:ascii="Meta Pro" w:eastAsia="Times New Roman" w:hAnsi="Meta Pro"/>
          <w:szCs w:val="18"/>
          <w:lang w:eastAsia="en-AU"/>
        </w:rPr>
        <w:tab/>
      </w:r>
      <w:r w:rsidRPr="008A2B8F">
        <w:rPr>
          <w:rFonts w:ascii="Meta Pro" w:eastAsia="Times New Roman" w:hAnsi="Meta Pro"/>
          <w:szCs w:val="18"/>
          <w:lang w:eastAsia="en-AU"/>
        </w:rPr>
        <w:tab/>
      </w:r>
      <w:r w:rsidRPr="008A2B8F">
        <w:rPr>
          <w:rFonts w:ascii="Meta Pro" w:eastAsia="Times New Roman" w:hAnsi="Meta Pro"/>
          <w:szCs w:val="18"/>
          <w:lang w:eastAsia="en-AU"/>
        </w:rPr>
        <w:tab/>
      </w:r>
      <w:r w:rsidRPr="008A2B8F">
        <w:rPr>
          <w:rFonts w:ascii="Meta Pro" w:eastAsia="Times New Roman" w:hAnsi="Meta Pro"/>
          <w:szCs w:val="18"/>
          <w:lang w:eastAsia="en-AU"/>
        </w:rPr>
        <w:tab/>
      </w:r>
      <w:r w:rsidRPr="008A2B8F">
        <w:rPr>
          <w:rFonts w:ascii="Meta Pro" w:eastAsia="Times New Roman" w:hAnsi="Meta Pro"/>
          <w:szCs w:val="18"/>
          <w:lang w:eastAsia="en-AU"/>
        </w:rPr>
        <w:tab/>
        <w:t>$1</w:t>
      </w:r>
    </w:p>
    <w:p w14:paraId="386CA06E" w14:textId="77777777" w:rsidR="00BC5219" w:rsidRPr="008A2B8F" w:rsidRDefault="00BC5219" w:rsidP="00BC5219">
      <w:pPr>
        <w:shd w:val="clear" w:color="auto" w:fill="EBEBEB"/>
        <w:jc w:val="both"/>
        <w:rPr>
          <w:rFonts w:ascii="Meta Pro" w:eastAsia="Times New Roman" w:hAnsi="Meta Pro"/>
          <w:szCs w:val="18"/>
          <w:lang w:eastAsia="en-AU"/>
        </w:rPr>
      </w:pPr>
      <w:r w:rsidRPr="008A2B8F">
        <w:rPr>
          <w:rFonts w:ascii="Meta Pro" w:eastAsia="Times New Roman" w:hAnsi="Meta Pro"/>
          <w:szCs w:val="18"/>
          <w:lang w:eastAsia="en-AU"/>
        </w:rPr>
        <w:t>•   Buildings</w:t>
      </w:r>
      <w:r w:rsidRPr="008A2B8F">
        <w:rPr>
          <w:rFonts w:ascii="Meta Pro" w:eastAsia="Times New Roman" w:hAnsi="Meta Pro"/>
          <w:szCs w:val="18"/>
          <w:lang w:eastAsia="en-AU"/>
        </w:rPr>
        <w:tab/>
      </w:r>
      <w:r w:rsidRPr="008A2B8F">
        <w:rPr>
          <w:rFonts w:ascii="Meta Pro" w:eastAsia="Times New Roman" w:hAnsi="Meta Pro"/>
          <w:szCs w:val="18"/>
          <w:lang w:eastAsia="en-AU"/>
        </w:rPr>
        <w:tab/>
      </w:r>
      <w:r w:rsidRPr="008A2B8F">
        <w:rPr>
          <w:rFonts w:ascii="Meta Pro" w:eastAsia="Times New Roman" w:hAnsi="Meta Pro"/>
          <w:szCs w:val="18"/>
          <w:lang w:eastAsia="en-AU"/>
        </w:rPr>
        <w:tab/>
      </w:r>
      <w:r w:rsidRPr="008A2B8F">
        <w:rPr>
          <w:rFonts w:ascii="Meta Pro" w:eastAsia="Times New Roman" w:hAnsi="Meta Pro"/>
          <w:szCs w:val="18"/>
          <w:lang w:eastAsia="en-AU"/>
        </w:rPr>
        <w:tab/>
      </w:r>
      <w:r w:rsidRPr="008A2B8F">
        <w:rPr>
          <w:rFonts w:ascii="Meta Pro" w:eastAsia="Times New Roman" w:hAnsi="Meta Pro"/>
          <w:szCs w:val="18"/>
          <w:lang w:eastAsia="en-AU"/>
        </w:rPr>
        <w:tab/>
        <w:t>$10,000</w:t>
      </w:r>
    </w:p>
    <w:p w14:paraId="3A536025" w14:textId="77777777" w:rsidR="00BC5219" w:rsidRPr="008A2B8F" w:rsidRDefault="00BC5219" w:rsidP="00BC5219">
      <w:pPr>
        <w:shd w:val="clear" w:color="auto" w:fill="EBEBEB"/>
        <w:jc w:val="both"/>
        <w:rPr>
          <w:rFonts w:ascii="Meta Pro" w:eastAsia="Times New Roman" w:hAnsi="Meta Pro"/>
          <w:szCs w:val="18"/>
          <w:lang w:eastAsia="en-AU"/>
        </w:rPr>
      </w:pPr>
      <w:r w:rsidRPr="008A2B8F">
        <w:rPr>
          <w:rFonts w:ascii="Meta Pro" w:eastAsia="Times New Roman" w:hAnsi="Meta Pro"/>
          <w:szCs w:val="18"/>
          <w:lang w:eastAsia="en-AU"/>
        </w:rPr>
        <w:t>•   Plant and equipment</w:t>
      </w:r>
      <w:r w:rsidRPr="008A2B8F">
        <w:rPr>
          <w:rFonts w:ascii="Meta Pro" w:eastAsia="Times New Roman" w:hAnsi="Meta Pro"/>
          <w:szCs w:val="18"/>
          <w:lang w:eastAsia="en-AU"/>
        </w:rPr>
        <w:tab/>
      </w:r>
      <w:r w:rsidRPr="008A2B8F">
        <w:rPr>
          <w:rFonts w:ascii="Meta Pro" w:eastAsia="Times New Roman" w:hAnsi="Meta Pro"/>
          <w:szCs w:val="18"/>
          <w:lang w:eastAsia="en-AU"/>
        </w:rPr>
        <w:tab/>
      </w:r>
      <w:r w:rsidRPr="008A2B8F">
        <w:rPr>
          <w:rFonts w:ascii="Meta Pro" w:eastAsia="Times New Roman" w:hAnsi="Meta Pro"/>
          <w:szCs w:val="18"/>
          <w:lang w:eastAsia="en-AU"/>
        </w:rPr>
        <w:tab/>
        <w:t>$5000</w:t>
      </w:r>
    </w:p>
    <w:p w14:paraId="2B9C5085" w14:textId="77777777" w:rsidR="00BC5219" w:rsidRPr="008A2B8F" w:rsidRDefault="00BC5219" w:rsidP="00BC5219">
      <w:pPr>
        <w:shd w:val="clear" w:color="auto" w:fill="EBEBEB"/>
        <w:jc w:val="both"/>
        <w:rPr>
          <w:rFonts w:ascii="Meta Pro" w:eastAsia="Times New Roman" w:hAnsi="Meta Pro"/>
          <w:szCs w:val="18"/>
          <w:lang w:eastAsia="en-AU"/>
        </w:rPr>
      </w:pPr>
      <w:r w:rsidRPr="008A2B8F">
        <w:rPr>
          <w:rFonts w:ascii="Meta Pro" w:eastAsia="Times New Roman" w:hAnsi="Meta Pro"/>
          <w:szCs w:val="18"/>
          <w:lang w:eastAsia="en-AU"/>
        </w:rPr>
        <w:t>•   Major plant and equipment</w:t>
      </w:r>
      <w:r w:rsidRPr="008A2B8F">
        <w:rPr>
          <w:rFonts w:ascii="Meta Pro" w:eastAsia="Times New Roman" w:hAnsi="Meta Pro"/>
          <w:szCs w:val="18"/>
          <w:lang w:eastAsia="en-AU"/>
        </w:rPr>
        <w:tab/>
      </w:r>
      <w:r w:rsidRPr="008A2B8F">
        <w:rPr>
          <w:rFonts w:ascii="Meta Pro" w:eastAsia="Times New Roman" w:hAnsi="Meta Pro"/>
          <w:szCs w:val="18"/>
          <w:lang w:eastAsia="en-AU"/>
        </w:rPr>
        <w:tab/>
        <w:t>$5000</w:t>
      </w:r>
    </w:p>
    <w:p w14:paraId="26C9D96E" w14:textId="77777777" w:rsidR="00BC5219" w:rsidRPr="008A2B8F" w:rsidRDefault="00BC5219" w:rsidP="00BC5219">
      <w:pPr>
        <w:shd w:val="clear" w:color="auto" w:fill="EBEBEB"/>
        <w:spacing w:after="120"/>
        <w:jc w:val="both"/>
        <w:rPr>
          <w:rFonts w:ascii="Meta Pro" w:eastAsia="Times New Roman" w:hAnsi="Meta Pro"/>
          <w:szCs w:val="18"/>
          <w:lang w:eastAsia="en-AU"/>
        </w:rPr>
      </w:pPr>
      <w:r w:rsidRPr="008A2B8F">
        <w:rPr>
          <w:rFonts w:ascii="Meta Pro" w:eastAsia="Times New Roman" w:hAnsi="Meta Pro"/>
          <w:szCs w:val="18"/>
          <w:lang w:eastAsia="en-AU"/>
        </w:rPr>
        <w:t>•   Infrastructure</w:t>
      </w:r>
      <w:r w:rsidRPr="008A2B8F">
        <w:rPr>
          <w:rFonts w:ascii="Meta Pro" w:eastAsia="Times New Roman" w:hAnsi="Meta Pro"/>
          <w:szCs w:val="18"/>
          <w:lang w:eastAsia="en-AU"/>
        </w:rPr>
        <w:tab/>
      </w:r>
      <w:r w:rsidRPr="008A2B8F">
        <w:rPr>
          <w:rFonts w:ascii="Meta Pro" w:eastAsia="Times New Roman" w:hAnsi="Meta Pro"/>
          <w:szCs w:val="18"/>
          <w:lang w:eastAsia="en-AU"/>
        </w:rPr>
        <w:tab/>
      </w:r>
      <w:r w:rsidRPr="008A2B8F">
        <w:rPr>
          <w:rFonts w:ascii="Meta Pro" w:eastAsia="Times New Roman" w:hAnsi="Meta Pro"/>
          <w:szCs w:val="18"/>
          <w:lang w:eastAsia="en-AU"/>
        </w:rPr>
        <w:tab/>
      </w:r>
      <w:r w:rsidRPr="008A2B8F">
        <w:rPr>
          <w:rFonts w:ascii="Meta Pro" w:eastAsia="Times New Roman" w:hAnsi="Meta Pro"/>
          <w:szCs w:val="18"/>
          <w:lang w:eastAsia="en-AU"/>
        </w:rPr>
        <w:tab/>
        <w:t>$10,000</w:t>
      </w:r>
    </w:p>
    <w:p w14:paraId="28A72602" w14:textId="77777777" w:rsidR="00BC5219" w:rsidRPr="008A2B8F" w:rsidRDefault="00BC5219" w:rsidP="00BC5219">
      <w:pPr>
        <w:shd w:val="clear" w:color="auto" w:fill="EBEBEB"/>
        <w:jc w:val="both"/>
        <w:rPr>
          <w:rFonts w:ascii="Meta Pro" w:eastAsia="Times New Roman" w:hAnsi="Meta Pro"/>
          <w:color w:val="000000"/>
          <w:szCs w:val="18"/>
          <w:lang w:eastAsia="en-AU"/>
        </w:rPr>
      </w:pPr>
      <w:r w:rsidRPr="008A2B8F">
        <w:rPr>
          <w:rFonts w:ascii="Meta Pro" w:eastAsia="Times New Roman" w:hAnsi="Meta Pro"/>
          <w:color w:val="000000"/>
          <w:szCs w:val="18"/>
          <w:lang w:eastAsia="en-AU"/>
        </w:rPr>
        <w:t>All other items with a cost less than the above thresholds are expensed.</w:t>
      </w:r>
    </w:p>
    <w:p w14:paraId="2F69D46C" w14:textId="77777777" w:rsidR="00BC5219" w:rsidRPr="008A2B8F" w:rsidRDefault="00BC5219" w:rsidP="00BC5219">
      <w:pPr>
        <w:shd w:val="clear" w:color="auto" w:fill="EBEBEB"/>
        <w:spacing w:before="120" w:after="120"/>
        <w:jc w:val="both"/>
        <w:rPr>
          <w:rFonts w:ascii="Meta Pro" w:eastAsia="Times New Roman" w:hAnsi="Meta Pro"/>
          <w:b/>
          <w:bCs/>
          <w:i/>
          <w:iCs/>
          <w:szCs w:val="18"/>
          <w:lang w:eastAsia="en-AU"/>
        </w:rPr>
      </w:pPr>
      <w:r w:rsidRPr="008A2B8F">
        <w:rPr>
          <w:rFonts w:ascii="Meta Pro" w:eastAsia="Times New Roman" w:hAnsi="Meta Pro"/>
          <w:b/>
          <w:bCs/>
          <w:i/>
          <w:iCs/>
          <w:szCs w:val="18"/>
          <w:lang w:eastAsia="en-AU"/>
        </w:rPr>
        <w:t>Acquisition</w:t>
      </w:r>
    </w:p>
    <w:p w14:paraId="0A0707D5" w14:textId="77777777" w:rsidR="00BC5219" w:rsidRPr="008A2B8F" w:rsidRDefault="00BC5219" w:rsidP="00BC5219">
      <w:pPr>
        <w:shd w:val="clear" w:color="auto" w:fill="EBEBEB"/>
        <w:spacing w:after="120"/>
        <w:rPr>
          <w:rFonts w:ascii="Meta Pro" w:eastAsia="Times New Roman" w:hAnsi="Meta Pro"/>
          <w:szCs w:val="18"/>
          <w:lang w:eastAsia="en-AU"/>
        </w:rPr>
      </w:pPr>
      <w:r w:rsidRPr="008A2B8F">
        <w:rPr>
          <w:rFonts w:ascii="Meta Pro" w:eastAsia="Times New Roman" w:hAnsi="Meta Pro"/>
          <w:szCs w:val="18"/>
          <w:lang w:eastAsia="en-AU"/>
        </w:rPr>
        <w:t>Actual cost is used for the initial recording of all non-current physical asset acquisitions. Cost is determined as the value given as consideration plus costs directly attributable to the acquisition, including all other costs incurred in preparing the assets ready for use.</w:t>
      </w:r>
    </w:p>
    <w:p w14:paraId="4AC42CA0" w14:textId="77777777" w:rsidR="00BC5219" w:rsidRPr="008A2B8F" w:rsidRDefault="00BC5219" w:rsidP="00BC5219">
      <w:pPr>
        <w:shd w:val="clear" w:color="auto" w:fill="EBEBEB"/>
        <w:spacing w:after="120"/>
        <w:rPr>
          <w:rFonts w:ascii="Meta Pro" w:eastAsia="Times New Roman" w:hAnsi="Meta Pro"/>
          <w:szCs w:val="18"/>
          <w:lang w:eastAsia="en-AU"/>
        </w:rPr>
      </w:pPr>
      <w:r w:rsidRPr="008A2B8F">
        <w:rPr>
          <w:rFonts w:ascii="Meta Pro" w:eastAsia="Times New Roman" w:hAnsi="Meta Pro"/>
          <w:szCs w:val="18"/>
          <w:lang w:eastAsia="en-AU"/>
        </w:rPr>
        <w:t>Where assets are received free of charge from another Queensland Government entity as a result of a machinery-of-government or other involuntary transfer, the acquisition cost is recognised as the gross carrying amount in the books of the transferor immediately prior to the transfer, together with any accumulated depreciation.</w:t>
      </w:r>
    </w:p>
    <w:p w14:paraId="62F0E372" w14:textId="77777777" w:rsidR="00BC5219" w:rsidRPr="008A2B8F" w:rsidRDefault="00BC5219" w:rsidP="00BC5219">
      <w:pPr>
        <w:shd w:val="clear" w:color="auto" w:fill="EBEBEB"/>
        <w:rPr>
          <w:rFonts w:ascii="Meta Pro" w:eastAsia="Times New Roman" w:hAnsi="Meta Pro"/>
          <w:color w:val="000000"/>
          <w:szCs w:val="18"/>
          <w:lang w:eastAsia="en-AU"/>
        </w:rPr>
      </w:pPr>
      <w:r w:rsidRPr="008A2B8F">
        <w:rPr>
          <w:rFonts w:ascii="Meta Pro" w:eastAsia="Times New Roman" w:hAnsi="Meta Pro"/>
          <w:color w:val="000000"/>
          <w:szCs w:val="18"/>
          <w:lang w:eastAsia="en-AU"/>
        </w:rPr>
        <w:t>Any expenditure that increases the originally assessed capacity or service potential of an asset is capitalised and the new depreciable amount is depreciated over the remaining useful life of the asset.</w:t>
      </w:r>
    </w:p>
    <w:p w14:paraId="4E5266C7" w14:textId="77777777" w:rsidR="00BC5219" w:rsidRPr="008A2B8F" w:rsidRDefault="00BC5219" w:rsidP="00BC5219">
      <w:pPr>
        <w:shd w:val="clear" w:color="auto" w:fill="EBEBEB"/>
        <w:spacing w:before="120" w:after="120"/>
        <w:jc w:val="both"/>
        <w:rPr>
          <w:rFonts w:ascii="Meta Pro" w:eastAsia="Times New Roman" w:hAnsi="Meta Pro"/>
          <w:b/>
          <w:bCs/>
          <w:i/>
          <w:iCs/>
          <w:szCs w:val="18"/>
          <w:lang w:eastAsia="en-AU"/>
        </w:rPr>
      </w:pPr>
      <w:r w:rsidRPr="008A2B8F">
        <w:rPr>
          <w:rFonts w:ascii="Meta Pro" w:eastAsia="Times New Roman" w:hAnsi="Meta Pro"/>
          <w:b/>
          <w:bCs/>
          <w:i/>
          <w:iCs/>
          <w:szCs w:val="18"/>
          <w:lang w:eastAsia="en-AU"/>
        </w:rPr>
        <w:t>Depreciation</w:t>
      </w:r>
    </w:p>
    <w:p w14:paraId="4A3DBC61" w14:textId="77777777" w:rsidR="00BC5219" w:rsidRPr="008A2B8F" w:rsidRDefault="00BC5219" w:rsidP="00BC5219">
      <w:pPr>
        <w:shd w:val="clear" w:color="auto" w:fill="EBEBEB"/>
        <w:jc w:val="both"/>
        <w:rPr>
          <w:rFonts w:ascii="Meta Pro" w:eastAsia="Times New Roman" w:hAnsi="Meta Pro"/>
          <w:szCs w:val="18"/>
          <w:lang w:eastAsia="en-AU"/>
        </w:rPr>
      </w:pPr>
      <w:r w:rsidRPr="008A2B8F">
        <w:rPr>
          <w:rFonts w:ascii="Meta Pro" w:eastAsia="Times New Roman" w:hAnsi="Meta Pro"/>
          <w:szCs w:val="18"/>
          <w:lang w:eastAsia="en-AU"/>
        </w:rPr>
        <w:t>For each class of property, plant and equipment other than infrastructure assets, the following depreciation rates are used:</w:t>
      </w:r>
    </w:p>
    <w:p w14:paraId="3D70B825" w14:textId="77777777" w:rsidR="00BC5219" w:rsidRPr="008A2B8F" w:rsidRDefault="00BC5219" w:rsidP="00BC5219">
      <w:pPr>
        <w:shd w:val="clear" w:color="auto" w:fill="EBEBEB"/>
        <w:spacing w:line="168" w:lineRule="auto"/>
        <w:jc w:val="both"/>
        <w:rPr>
          <w:rFonts w:ascii="Meta Pro" w:eastAsia="Times New Roman" w:hAnsi="Meta Pro"/>
          <w:szCs w:val="18"/>
          <w:lang w:eastAsia="en-AU"/>
        </w:rPr>
      </w:pPr>
    </w:p>
    <w:tbl>
      <w:tblPr>
        <w:tblW w:w="10196" w:type="dxa"/>
        <w:tblCellMar>
          <w:left w:w="57" w:type="dxa"/>
        </w:tblCellMar>
        <w:tblLook w:val="04A0" w:firstRow="1" w:lastRow="0" w:firstColumn="1" w:lastColumn="0" w:noHBand="0" w:noVBand="1"/>
      </w:tblPr>
      <w:tblGrid>
        <w:gridCol w:w="3392"/>
        <w:gridCol w:w="4395"/>
        <w:gridCol w:w="2409"/>
      </w:tblGrid>
      <w:tr w:rsidR="00BC5219" w:rsidRPr="008A2B8F" w14:paraId="0E4A15AE" w14:textId="77777777" w:rsidTr="00E83802">
        <w:trPr>
          <w:cantSplit/>
          <w:trHeight w:val="23"/>
        </w:trPr>
        <w:tc>
          <w:tcPr>
            <w:tcW w:w="3392" w:type="dxa"/>
            <w:tcBorders>
              <w:top w:val="single" w:sz="8" w:space="0" w:color="auto"/>
              <w:left w:val="single" w:sz="8" w:space="0" w:color="auto"/>
              <w:bottom w:val="single" w:sz="8" w:space="0" w:color="auto"/>
              <w:right w:val="single" w:sz="8" w:space="0" w:color="000000"/>
            </w:tcBorders>
            <w:shd w:val="clear" w:color="000000" w:fill="E1E1E1"/>
            <w:noWrap/>
            <w:vAlign w:val="center"/>
            <w:hideMark/>
          </w:tcPr>
          <w:p w14:paraId="2855344A" w14:textId="77777777" w:rsidR="00BC5219" w:rsidRPr="008A2B8F" w:rsidRDefault="00BC5219" w:rsidP="00E83802">
            <w:pPr>
              <w:shd w:val="clear" w:color="auto" w:fill="EBEBEB"/>
              <w:jc w:val="center"/>
              <w:rPr>
                <w:rFonts w:ascii="Meta Pro" w:eastAsia="Times New Roman" w:hAnsi="Meta Pro" w:cs="Calibri"/>
                <w:b/>
                <w:bCs/>
                <w:color w:val="000000"/>
                <w:szCs w:val="18"/>
                <w:lang w:eastAsia="en-AU"/>
              </w:rPr>
            </w:pPr>
            <w:bookmarkStart w:id="48" w:name="_Hlk72142911" w:colFirst="1" w:colLast="2"/>
            <w:r w:rsidRPr="008A2B8F">
              <w:rPr>
                <w:rFonts w:ascii="Meta Pro" w:eastAsia="Times New Roman" w:hAnsi="Meta Pro" w:cs="Calibri"/>
                <w:b/>
                <w:bCs/>
                <w:color w:val="000000"/>
                <w:szCs w:val="18"/>
                <w:lang w:eastAsia="en-AU"/>
              </w:rPr>
              <w:t>Class</w:t>
            </w:r>
          </w:p>
        </w:tc>
        <w:tc>
          <w:tcPr>
            <w:tcW w:w="4395" w:type="dxa"/>
            <w:tcBorders>
              <w:top w:val="single" w:sz="8" w:space="0" w:color="auto"/>
              <w:left w:val="nil"/>
              <w:bottom w:val="single" w:sz="8" w:space="0" w:color="auto"/>
              <w:right w:val="single" w:sz="8" w:space="0" w:color="000000"/>
            </w:tcBorders>
            <w:shd w:val="clear" w:color="000000" w:fill="E1E1E1"/>
            <w:noWrap/>
            <w:vAlign w:val="center"/>
            <w:hideMark/>
          </w:tcPr>
          <w:p w14:paraId="67C3D458" w14:textId="77777777" w:rsidR="00BC5219" w:rsidRPr="008A2B8F" w:rsidRDefault="00BC5219" w:rsidP="00E83802">
            <w:pPr>
              <w:shd w:val="clear" w:color="auto" w:fill="EBEBEB"/>
              <w:jc w:val="center"/>
              <w:rPr>
                <w:rFonts w:ascii="Meta Pro" w:eastAsia="Times New Roman" w:hAnsi="Meta Pro" w:cs="Calibri"/>
                <w:b/>
                <w:bCs/>
                <w:color w:val="000000"/>
                <w:szCs w:val="18"/>
                <w:lang w:eastAsia="en-AU"/>
              </w:rPr>
            </w:pPr>
            <w:r w:rsidRPr="008A2B8F">
              <w:rPr>
                <w:rFonts w:ascii="Meta Pro" w:eastAsia="Times New Roman" w:hAnsi="Meta Pro" w:cs="Calibri"/>
                <w:b/>
                <w:bCs/>
                <w:color w:val="000000"/>
                <w:szCs w:val="18"/>
                <w:lang w:eastAsia="en-AU"/>
              </w:rPr>
              <w:t>Depreciation method</w:t>
            </w:r>
          </w:p>
        </w:tc>
        <w:tc>
          <w:tcPr>
            <w:tcW w:w="2409" w:type="dxa"/>
            <w:tcBorders>
              <w:top w:val="single" w:sz="8" w:space="0" w:color="auto"/>
              <w:left w:val="nil"/>
              <w:bottom w:val="single" w:sz="8" w:space="0" w:color="auto"/>
              <w:right w:val="single" w:sz="8" w:space="0" w:color="000000"/>
            </w:tcBorders>
            <w:shd w:val="clear" w:color="000000" w:fill="E1E1E1"/>
            <w:vAlign w:val="center"/>
            <w:hideMark/>
          </w:tcPr>
          <w:p w14:paraId="5EB62F86" w14:textId="77777777" w:rsidR="00BC5219" w:rsidRPr="008A2B8F" w:rsidRDefault="00BC5219" w:rsidP="00E83802">
            <w:pPr>
              <w:shd w:val="clear" w:color="auto" w:fill="EBEBEB"/>
              <w:jc w:val="center"/>
              <w:rPr>
                <w:rFonts w:ascii="Meta Pro" w:eastAsia="Times New Roman" w:hAnsi="Meta Pro" w:cs="Calibri"/>
                <w:b/>
                <w:bCs/>
                <w:color w:val="000000"/>
                <w:szCs w:val="18"/>
                <w:lang w:eastAsia="en-AU"/>
              </w:rPr>
            </w:pPr>
            <w:r w:rsidRPr="008A2B8F">
              <w:rPr>
                <w:rFonts w:ascii="Meta Pro" w:eastAsia="Times New Roman" w:hAnsi="Meta Pro" w:cs="Calibri"/>
                <w:b/>
                <w:bCs/>
                <w:color w:val="000000"/>
                <w:szCs w:val="18"/>
                <w:lang w:eastAsia="en-AU"/>
              </w:rPr>
              <w:t>Average useful life</w:t>
            </w:r>
          </w:p>
        </w:tc>
      </w:tr>
      <w:tr w:rsidR="00BC5219" w:rsidRPr="008A2B8F" w14:paraId="737E5D89" w14:textId="77777777" w:rsidTr="00E83802">
        <w:trPr>
          <w:cantSplit/>
          <w:trHeight w:val="23"/>
        </w:trPr>
        <w:tc>
          <w:tcPr>
            <w:tcW w:w="3392" w:type="dxa"/>
            <w:tcBorders>
              <w:top w:val="nil"/>
              <w:left w:val="single" w:sz="8" w:space="0" w:color="auto"/>
              <w:bottom w:val="single" w:sz="8" w:space="0" w:color="auto"/>
              <w:right w:val="single" w:sz="8" w:space="0" w:color="000000"/>
            </w:tcBorders>
            <w:shd w:val="clear" w:color="000000" w:fill="E1E1E1"/>
            <w:noWrap/>
            <w:vAlign w:val="center"/>
            <w:hideMark/>
          </w:tcPr>
          <w:p w14:paraId="4B2E5A33" w14:textId="77777777" w:rsidR="00BC5219" w:rsidRPr="008A2B8F" w:rsidRDefault="00BC5219" w:rsidP="00E83802">
            <w:pPr>
              <w:shd w:val="clear" w:color="auto" w:fill="EBEBEB"/>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Land</w:t>
            </w:r>
          </w:p>
        </w:tc>
        <w:tc>
          <w:tcPr>
            <w:tcW w:w="4395" w:type="dxa"/>
            <w:tcBorders>
              <w:top w:val="nil"/>
              <w:left w:val="nil"/>
              <w:bottom w:val="single" w:sz="8" w:space="0" w:color="auto"/>
              <w:right w:val="single" w:sz="8" w:space="0" w:color="000000"/>
            </w:tcBorders>
            <w:shd w:val="clear" w:color="000000" w:fill="E1E1E1"/>
            <w:noWrap/>
            <w:vAlign w:val="center"/>
            <w:hideMark/>
          </w:tcPr>
          <w:p w14:paraId="4C4733E3" w14:textId="77777777" w:rsidR="00BC5219" w:rsidRPr="008A2B8F" w:rsidRDefault="00BC5219" w:rsidP="00E83802">
            <w:pPr>
              <w:shd w:val="clear" w:color="auto" w:fill="EBEBEB"/>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Not depreciated</w:t>
            </w:r>
          </w:p>
        </w:tc>
        <w:tc>
          <w:tcPr>
            <w:tcW w:w="2409" w:type="dxa"/>
            <w:tcBorders>
              <w:top w:val="nil"/>
              <w:left w:val="nil"/>
              <w:bottom w:val="single" w:sz="8" w:space="0" w:color="auto"/>
              <w:right w:val="single" w:sz="8" w:space="0" w:color="000000"/>
            </w:tcBorders>
            <w:shd w:val="clear" w:color="000000" w:fill="E1E1E1"/>
            <w:vAlign w:val="center"/>
            <w:hideMark/>
          </w:tcPr>
          <w:p w14:paraId="629E71BD" w14:textId="77777777" w:rsidR="00BC5219" w:rsidRPr="008A2B8F" w:rsidRDefault="00BC5219" w:rsidP="00E83802">
            <w:pPr>
              <w:shd w:val="clear" w:color="auto" w:fill="EBEBEB"/>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Indefinite life</w:t>
            </w:r>
          </w:p>
        </w:tc>
      </w:tr>
      <w:tr w:rsidR="00BC5219" w:rsidRPr="008A2B8F" w14:paraId="05FED294" w14:textId="77777777" w:rsidTr="00E83802">
        <w:trPr>
          <w:cantSplit/>
          <w:trHeight w:val="23"/>
        </w:trPr>
        <w:tc>
          <w:tcPr>
            <w:tcW w:w="3392" w:type="dxa"/>
            <w:tcBorders>
              <w:top w:val="nil"/>
              <w:left w:val="single" w:sz="8" w:space="0" w:color="auto"/>
              <w:bottom w:val="single" w:sz="8" w:space="0" w:color="auto"/>
              <w:right w:val="single" w:sz="8" w:space="0" w:color="000000"/>
            </w:tcBorders>
            <w:shd w:val="clear" w:color="000000" w:fill="E1E1E1"/>
            <w:noWrap/>
            <w:vAlign w:val="center"/>
            <w:hideMark/>
          </w:tcPr>
          <w:p w14:paraId="51D756F7" w14:textId="77777777" w:rsidR="00BC5219" w:rsidRPr="008A2B8F" w:rsidRDefault="00BC5219" w:rsidP="00E83802">
            <w:pPr>
              <w:shd w:val="clear" w:color="auto" w:fill="EBEBEB"/>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Buildings</w:t>
            </w:r>
          </w:p>
        </w:tc>
        <w:tc>
          <w:tcPr>
            <w:tcW w:w="4395" w:type="dxa"/>
            <w:tcBorders>
              <w:top w:val="nil"/>
              <w:left w:val="nil"/>
              <w:bottom w:val="single" w:sz="8" w:space="0" w:color="auto"/>
              <w:right w:val="single" w:sz="8" w:space="0" w:color="000000"/>
            </w:tcBorders>
            <w:shd w:val="clear" w:color="000000" w:fill="E1E1E1"/>
            <w:noWrap/>
            <w:vAlign w:val="center"/>
            <w:hideMark/>
          </w:tcPr>
          <w:p w14:paraId="4D3027DB" w14:textId="77777777" w:rsidR="00BC5219" w:rsidRPr="008A2B8F" w:rsidRDefault="00BC5219" w:rsidP="00E83802">
            <w:pPr>
              <w:shd w:val="clear" w:color="auto" w:fill="EBEBEB"/>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Straight-line</w:t>
            </w:r>
          </w:p>
        </w:tc>
        <w:tc>
          <w:tcPr>
            <w:tcW w:w="2409" w:type="dxa"/>
            <w:tcBorders>
              <w:top w:val="nil"/>
              <w:left w:val="nil"/>
              <w:bottom w:val="single" w:sz="8" w:space="0" w:color="auto"/>
              <w:right w:val="single" w:sz="8" w:space="0" w:color="000000"/>
            </w:tcBorders>
            <w:shd w:val="clear" w:color="000000" w:fill="E1E1E1"/>
            <w:vAlign w:val="center"/>
            <w:hideMark/>
          </w:tcPr>
          <w:p w14:paraId="4B75EC80" w14:textId="77777777" w:rsidR="00BC5219" w:rsidRPr="008A2B8F" w:rsidRDefault="00BC5219" w:rsidP="00E83802">
            <w:pPr>
              <w:shd w:val="clear" w:color="auto" w:fill="EBEBEB"/>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35</w:t>
            </w:r>
          </w:p>
        </w:tc>
      </w:tr>
      <w:tr w:rsidR="00BC5219" w:rsidRPr="008A2B8F" w14:paraId="501172D5" w14:textId="77777777" w:rsidTr="00E83802">
        <w:trPr>
          <w:cantSplit/>
          <w:trHeight w:val="23"/>
        </w:trPr>
        <w:tc>
          <w:tcPr>
            <w:tcW w:w="3392" w:type="dxa"/>
            <w:tcBorders>
              <w:top w:val="nil"/>
              <w:left w:val="single" w:sz="8" w:space="0" w:color="auto"/>
              <w:bottom w:val="single" w:sz="8" w:space="0" w:color="auto"/>
              <w:right w:val="single" w:sz="8" w:space="0" w:color="000000"/>
            </w:tcBorders>
            <w:shd w:val="clear" w:color="000000" w:fill="E1E1E1"/>
            <w:noWrap/>
            <w:vAlign w:val="center"/>
            <w:hideMark/>
          </w:tcPr>
          <w:p w14:paraId="1BE136B5" w14:textId="77777777" w:rsidR="00BC5219" w:rsidRPr="008A2B8F" w:rsidRDefault="00BC5219" w:rsidP="00E83802">
            <w:pPr>
              <w:shd w:val="clear" w:color="auto" w:fill="EBEBEB"/>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Plant and equipment</w:t>
            </w:r>
          </w:p>
        </w:tc>
        <w:tc>
          <w:tcPr>
            <w:tcW w:w="4395" w:type="dxa"/>
            <w:tcBorders>
              <w:top w:val="nil"/>
              <w:left w:val="nil"/>
              <w:bottom w:val="single" w:sz="8" w:space="0" w:color="auto"/>
              <w:right w:val="single" w:sz="8" w:space="0" w:color="000000"/>
            </w:tcBorders>
            <w:shd w:val="clear" w:color="000000" w:fill="E1E1E1"/>
            <w:vAlign w:val="center"/>
            <w:hideMark/>
          </w:tcPr>
          <w:p w14:paraId="29FC8769" w14:textId="77777777" w:rsidR="00BC5219" w:rsidRPr="008A2B8F" w:rsidRDefault="00BC5219" w:rsidP="00E83802">
            <w:pPr>
              <w:shd w:val="clear" w:color="auto" w:fill="EBEBEB"/>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Straight-line</w:t>
            </w:r>
          </w:p>
        </w:tc>
        <w:tc>
          <w:tcPr>
            <w:tcW w:w="2409" w:type="dxa"/>
            <w:tcBorders>
              <w:top w:val="nil"/>
              <w:left w:val="nil"/>
              <w:bottom w:val="single" w:sz="8" w:space="0" w:color="auto"/>
              <w:right w:val="single" w:sz="8" w:space="0" w:color="000000"/>
            </w:tcBorders>
            <w:shd w:val="clear" w:color="000000" w:fill="E1E1E1"/>
            <w:vAlign w:val="center"/>
            <w:hideMark/>
          </w:tcPr>
          <w:p w14:paraId="57E38FD3" w14:textId="77777777" w:rsidR="00BC5219" w:rsidRPr="008A2B8F" w:rsidRDefault="00BC5219" w:rsidP="00E83802">
            <w:pPr>
              <w:shd w:val="clear" w:color="auto" w:fill="EBEBEB"/>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11</w:t>
            </w:r>
          </w:p>
        </w:tc>
      </w:tr>
      <w:tr w:rsidR="00BC5219" w:rsidRPr="008A2B8F" w14:paraId="091F34E1" w14:textId="77777777" w:rsidTr="00E83802">
        <w:trPr>
          <w:cantSplit/>
          <w:trHeight w:val="23"/>
        </w:trPr>
        <w:tc>
          <w:tcPr>
            <w:tcW w:w="3392" w:type="dxa"/>
            <w:tcBorders>
              <w:top w:val="nil"/>
              <w:left w:val="single" w:sz="8" w:space="0" w:color="auto"/>
              <w:bottom w:val="single" w:sz="8" w:space="0" w:color="auto"/>
              <w:right w:val="single" w:sz="8" w:space="0" w:color="000000"/>
            </w:tcBorders>
            <w:shd w:val="clear" w:color="000000" w:fill="E1E1E1"/>
            <w:noWrap/>
            <w:vAlign w:val="center"/>
            <w:hideMark/>
          </w:tcPr>
          <w:p w14:paraId="486F45C5" w14:textId="77777777" w:rsidR="00BC5219" w:rsidRPr="008A2B8F" w:rsidRDefault="00BC5219" w:rsidP="00E83802">
            <w:pPr>
              <w:shd w:val="clear" w:color="auto" w:fill="EBEBEB"/>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Major plant and equipment</w:t>
            </w:r>
          </w:p>
        </w:tc>
        <w:tc>
          <w:tcPr>
            <w:tcW w:w="4395" w:type="dxa"/>
            <w:tcBorders>
              <w:top w:val="nil"/>
              <w:left w:val="nil"/>
              <w:bottom w:val="single" w:sz="8" w:space="0" w:color="auto"/>
              <w:right w:val="single" w:sz="8" w:space="0" w:color="000000"/>
            </w:tcBorders>
            <w:shd w:val="clear" w:color="000000" w:fill="E1E1E1"/>
            <w:vAlign w:val="center"/>
            <w:hideMark/>
          </w:tcPr>
          <w:p w14:paraId="6FD48216" w14:textId="77777777" w:rsidR="00BC5219" w:rsidRPr="008A2B8F" w:rsidRDefault="00BC5219" w:rsidP="00E83802">
            <w:pPr>
              <w:shd w:val="clear" w:color="auto" w:fill="EBEBEB"/>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Straight-line</w:t>
            </w:r>
          </w:p>
        </w:tc>
        <w:tc>
          <w:tcPr>
            <w:tcW w:w="2409" w:type="dxa"/>
            <w:tcBorders>
              <w:top w:val="nil"/>
              <w:left w:val="nil"/>
              <w:bottom w:val="single" w:sz="8" w:space="0" w:color="auto"/>
              <w:right w:val="single" w:sz="8" w:space="0" w:color="000000"/>
            </w:tcBorders>
            <w:shd w:val="clear" w:color="000000" w:fill="E1E1E1"/>
            <w:vAlign w:val="center"/>
            <w:hideMark/>
          </w:tcPr>
          <w:p w14:paraId="468F78EF" w14:textId="77777777" w:rsidR="00BC5219" w:rsidRPr="008A2B8F" w:rsidRDefault="00BC5219" w:rsidP="00E83802">
            <w:pPr>
              <w:shd w:val="clear" w:color="auto" w:fill="EBEBEB"/>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30</w:t>
            </w:r>
          </w:p>
        </w:tc>
      </w:tr>
      <w:tr w:rsidR="00BC5219" w:rsidRPr="008A2B8F" w14:paraId="7D515597" w14:textId="77777777" w:rsidTr="00E83802">
        <w:trPr>
          <w:cantSplit/>
          <w:trHeight w:val="23"/>
        </w:trPr>
        <w:tc>
          <w:tcPr>
            <w:tcW w:w="3392" w:type="dxa"/>
            <w:tcBorders>
              <w:top w:val="nil"/>
              <w:left w:val="single" w:sz="8" w:space="0" w:color="auto"/>
              <w:bottom w:val="single" w:sz="8" w:space="0" w:color="auto"/>
              <w:right w:val="single" w:sz="8" w:space="0" w:color="000000"/>
            </w:tcBorders>
            <w:shd w:val="clear" w:color="000000" w:fill="E1E1E1"/>
            <w:noWrap/>
            <w:vAlign w:val="center"/>
            <w:hideMark/>
          </w:tcPr>
          <w:p w14:paraId="0D3C5D3B" w14:textId="77777777" w:rsidR="00BC5219" w:rsidRPr="008A2B8F" w:rsidRDefault="00BC5219" w:rsidP="00E83802">
            <w:pPr>
              <w:shd w:val="clear" w:color="auto" w:fill="EBEBEB"/>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Work in progress</w:t>
            </w:r>
          </w:p>
        </w:tc>
        <w:tc>
          <w:tcPr>
            <w:tcW w:w="4395" w:type="dxa"/>
            <w:tcBorders>
              <w:top w:val="nil"/>
              <w:left w:val="nil"/>
              <w:bottom w:val="single" w:sz="8" w:space="0" w:color="auto"/>
              <w:right w:val="single" w:sz="8" w:space="0" w:color="000000"/>
            </w:tcBorders>
            <w:shd w:val="clear" w:color="000000" w:fill="E1E1E1"/>
            <w:vAlign w:val="center"/>
            <w:hideMark/>
          </w:tcPr>
          <w:p w14:paraId="5FD14A77" w14:textId="77777777" w:rsidR="00BC5219" w:rsidRPr="008A2B8F" w:rsidRDefault="00BC5219" w:rsidP="00E83802">
            <w:pPr>
              <w:shd w:val="clear" w:color="auto" w:fill="EBEBEB"/>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Not depreciated</w:t>
            </w:r>
          </w:p>
        </w:tc>
        <w:tc>
          <w:tcPr>
            <w:tcW w:w="2409" w:type="dxa"/>
            <w:tcBorders>
              <w:top w:val="nil"/>
              <w:left w:val="nil"/>
              <w:bottom w:val="single" w:sz="8" w:space="0" w:color="auto"/>
              <w:right w:val="single" w:sz="8" w:space="0" w:color="000000"/>
            </w:tcBorders>
            <w:shd w:val="clear" w:color="000000" w:fill="E1E1E1"/>
            <w:vAlign w:val="center"/>
            <w:hideMark/>
          </w:tcPr>
          <w:p w14:paraId="7B22B39C" w14:textId="77777777" w:rsidR="00BC5219" w:rsidRPr="008A2B8F" w:rsidRDefault="00BC5219" w:rsidP="00E83802">
            <w:pPr>
              <w:shd w:val="clear" w:color="auto" w:fill="EBEBEB"/>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w:t>
            </w:r>
          </w:p>
        </w:tc>
      </w:tr>
      <w:bookmarkEnd w:id="48"/>
    </w:tbl>
    <w:p w14:paraId="344D6DAE" w14:textId="77777777" w:rsidR="00BC5219" w:rsidRPr="008A2B8F" w:rsidRDefault="00BC5219" w:rsidP="00BC5219">
      <w:pPr>
        <w:shd w:val="clear" w:color="auto" w:fill="EBEBEB"/>
        <w:jc w:val="both"/>
        <w:rPr>
          <w:rFonts w:ascii="Meta Pro" w:eastAsia="Times New Roman" w:hAnsi="Meta Pro"/>
          <w:color w:val="000000"/>
          <w:szCs w:val="18"/>
          <w:lang w:eastAsia="en-AU"/>
        </w:rPr>
      </w:pPr>
    </w:p>
    <w:p w14:paraId="19756E60" w14:textId="77777777" w:rsidR="00BC5219" w:rsidRPr="008A2B8F" w:rsidRDefault="00BC5219" w:rsidP="00BC5219">
      <w:pPr>
        <w:shd w:val="clear" w:color="auto" w:fill="EBEBEB"/>
        <w:spacing w:after="120"/>
        <w:rPr>
          <w:rFonts w:ascii="Meta Pro" w:eastAsia="Times New Roman" w:hAnsi="Meta Pro"/>
          <w:szCs w:val="18"/>
          <w:lang w:eastAsia="en-AU"/>
        </w:rPr>
      </w:pPr>
      <w:r w:rsidRPr="008A2B8F">
        <w:rPr>
          <w:rFonts w:ascii="Meta Pro" w:eastAsia="Times New Roman" w:hAnsi="Meta Pro"/>
          <w:szCs w:val="18"/>
          <w:lang w:eastAsia="en-AU"/>
        </w:rPr>
        <w:t>Complex assets consist of significant separately identifiable components with different service lives, which are subject to regular replacement during the life of the complex asset. When the change in depreciation expense from separately identifying significant components is material to the class to which the assets relate, the significant components are separately identified and depreciated. The department's road infrastructure has a componentised structure as shown below.</w:t>
      </w:r>
    </w:p>
    <w:p w14:paraId="49181B43" w14:textId="77777777" w:rsidR="00BC5219" w:rsidRPr="008A2B8F" w:rsidRDefault="00BC5219" w:rsidP="00BC5219">
      <w:pPr>
        <w:shd w:val="clear" w:color="auto" w:fill="EBEBEB"/>
        <w:rPr>
          <w:rFonts w:ascii="Meta Pro" w:eastAsia="Times New Roman" w:hAnsi="Meta Pro"/>
          <w:color w:val="000000"/>
          <w:szCs w:val="18"/>
          <w:lang w:eastAsia="en-AU"/>
        </w:rPr>
      </w:pPr>
      <w:r w:rsidRPr="008A2B8F">
        <w:rPr>
          <w:rFonts w:ascii="Meta Pro" w:eastAsia="Times New Roman" w:hAnsi="Meta Pro"/>
          <w:color w:val="000000"/>
          <w:szCs w:val="18"/>
          <w:lang w:eastAsia="en-AU"/>
        </w:rPr>
        <w:lastRenderedPageBreak/>
        <w:t>The following depreciation rates are used for infrastructure sub-components:</w:t>
      </w:r>
    </w:p>
    <w:p w14:paraId="3CDAB0A2" w14:textId="77777777" w:rsidR="00BC5219" w:rsidRPr="008A2B8F" w:rsidRDefault="00BC5219" w:rsidP="00BC5219">
      <w:pPr>
        <w:shd w:val="clear" w:color="auto" w:fill="EBEBEB"/>
        <w:spacing w:line="168" w:lineRule="auto"/>
        <w:jc w:val="both"/>
        <w:rPr>
          <w:rFonts w:ascii="Meta Pro" w:eastAsia="Times New Roman" w:hAnsi="Meta Pro"/>
          <w:color w:val="000000"/>
          <w:szCs w:val="18"/>
          <w:lang w:eastAsia="en-AU"/>
        </w:rPr>
      </w:pPr>
    </w:p>
    <w:tbl>
      <w:tblPr>
        <w:tblW w:w="10196" w:type="dxa"/>
        <w:shd w:val="clear" w:color="auto" w:fill="EBEBEB"/>
        <w:tblCellMar>
          <w:left w:w="0" w:type="dxa"/>
        </w:tblCellMar>
        <w:tblLook w:val="04A0" w:firstRow="1" w:lastRow="0" w:firstColumn="1" w:lastColumn="0" w:noHBand="0" w:noVBand="1"/>
      </w:tblPr>
      <w:tblGrid>
        <w:gridCol w:w="3371"/>
        <w:gridCol w:w="2289"/>
        <w:gridCol w:w="2127"/>
        <w:gridCol w:w="2409"/>
      </w:tblGrid>
      <w:tr w:rsidR="00BC5219" w:rsidRPr="008A2B8F" w14:paraId="2918BBC6" w14:textId="77777777" w:rsidTr="00E83802">
        <w:trPr>
          <w:cantSplit/>
          <w:trHeight w:val="23"/>
        </w:trPr>
        <w:tc>
          <w:tcPr>
            <w:tcW w:w="3371" w:type="dxa"/>
            <w:tcBorders>
              <w:top w:val="single" w:sz="8" w:space="0" w:color="auto"/>
              <w:left w:val="single" w:sz="8" w:space="0" w:color="auto"/>
              <w:bottom w:val="single" w:sz="8" w:space="0" w:color="auto"/>
              <w:right w:val="single" w:sz="8" w:space="0" w:color="000000"/>
            </w:tcBorders>
            <w:shd w:val="clear" w:color="auto" w:fill="EBEBEB"/>
            <w:noWrap/>
            <w:vAlign w:val="center"/>
            <w:hideMark/>
          </w:tcPr>
          <w:p w14:paraId="2CB701C8" w14:textId="77777777" w:rsidR="00BC5219" w:rsidRPr="008A2B8F" w:rsidRDefault="00BC5219" w:rsidP="00E83802">
            <w:pPr>
              <w:shd w:val="clear" w:color="auto" w:fill="EBEBEB"/>
              <w:jc w:val="center"/>
              <w:rPr>
                <w:rFonts w:ascii="Meta Pro" w:eastAsia="Times New Roman" w:hAnsi="Meta Pro" w:cs="Calibri"/>
                <w:b/>
                <w:bCs/>
                <w:color w:val="000000"/>
                <w:szCs w:val="18"/>
                <w:lang w:eastAsia="en-AU"/>
              </w:rPr>
            </w:pPr>
            <w:bookmarkStart w:id="49" w:name="RANGE!A1"/>
            <w:r w:rsidRPr="008A2B8F">
              <w:rPr>
                <w:rFonts w:ascii="Meta Pro" w:eastAsia="Times New Roman" w:hAnsi="Meta Pro" w:cs="Calibri"/>
                <w:b/>
                <w:bCs/>
                <w:color w:val="000000"/>
                <w:szCs w:val="18"/>
                <w:lang w:eastAsia="en-AU"/>
              </w:rPr>
              <w:t>Component</w:t>
            </w:r>
            <w:bookmarkEnd w:id="49"/>
          </w:p>
        </w:tc>
        <w:tc>
          <w:tcPr>
            <w:tcW w:w="2289" w:type="dxa"/>
            <w:tcBorders>
              <w:top w:val="single" w:sz="8" w:space="0" w:color="auto"/>
              <w:left w:val="nil"/>
              <w:bottom w:val="single" w:sz="8" w:space="0" w:color="auto"/>
              <w:right w:val="single" w:sz="8" w:space="0" w:color="000000"/>
            </w:tcBorders>
            <w:shd w:val="clear" w:color="auto" w:fill="EBEBEB"/>
            <w:noWrap/>
            <w:vAlign w:val="center"/>
            <w:hideMark/>
          </w:tcPr>
          <w:p w14:paraId="03CC21B6" w14:textId="77777777" w:rsidR="00BC5219" w:rsidRPr="008A2B8F" w:rsidRDefault="00BC5219" w:rsidP="00E83802">
            <w:pPr>
              <w:shd w:val="clear" w:color="auto" w:fill="EBEBEB"/>
              <w:jc w:val="center"/>
              <w:rPr>
                <w:rFonts w:ascii="Meta Pro" w:eastAsia="Times New Roman" w:hAnsi="Meta Pro" w:cs="Calibri"/>
                <w:b/>
                <w:bCs/>
                <w:color w:val="000000"/>
                <w:szCs w:val="18"/>
                <w:lang w:eastAsia="en-AU"/>
              </w:rPr>
            </w:pPr>
            <w:r w:rsidRPr="008A2B8F">
              <w:rPr>
                <w:rFonts w:ascii="Meta Pro" w:eastAsia="Times New Roman" w:hAnsi="Meta Pro" w:cs="Calibri"/>
                <w:b/>
                <w:bCs/>
                <w:color w:val="000000"/>
                <w:szCs w:val="18"/>
                <w:lang w:eastAsia="en-AU"/>
              </w:rPr>
              <w:t>Sub-component</w:t>
            </w:r>
          </w:p>
        </w:tc>
        <w:tc>
          <w:tcPr>
            <w:tcW w:w="2127" w:type="dxa"/>
            <w:tcBorders>
              <w:top w:val="single" w:sz="8" w:space="0" w:color="auto"/>
              <w:left w:val="nil"/>
              <w:bottom w:val="single" w:sz="8" w:space="0" w:color="auto"/>
              <w:right w:val="single" w:sz="8" w:space="0" w:color="000000"/>
            </w:tcBorders>
            <w:shd w:val="clear" w:color="auto" w:fill="EBEBEB"/>
            <w:noWrap/>
            <w:vAlign w:val="center"/>
            <w:hideMark/>
          </w:tcPr>
          <w:p w14:paraId="4936049B" w14:textId="77777777" w:rsidR="00BC5219" w:rsidRPr="008A2B8F" w:rsidRDefault="00BC5219" w:rsidP="00E83802">
            <w:pPr>
              <w:shd w:val="clear" w:color="auto" w:fill="EBEBEB"/>
              <w:jc w:val="center"/>
              <w:rPr>
                <w:rFonts w:ascii="Meta Pro" w:eastAsia="Times New Roman" w:hAnsi="Meta Pro" w:cs="Calibri"/>
                <w:b/>
                <w:bCs/>
                <w:color w:val="000000"/>
                <w:szCs w:val="18"/>
                <w:lang w:eastAsia="en-AU"/>
              </w:rPr>
            </w:pPr>
            <w:r w:rsidRPr="008A2B8F">
              <w:rPr>
                <w:rFonts w:ascii="Meta Pro" w:eastAsia="Times New Roman" w:hAnsi="Meta Pro" w:cs="Calibri"/>
                <w:b/>
                <w:bCs/>
                <w:color w:val="000000"/>
                <w:szCs w:val="18"/>
                <w:lang w:eastAsia="en-AU"/>
              </w:rPr>
              <w:t>Depreciation method</w:t>
            </w:r>
          </w:p>
        </w:tc>
        <w:tc>
          <w:tcPr>
            <w:tcW w:w="2409" w:type="dxa"/>
            <w:tcBorders>
              <w:top w:val="single" w:sz="8" w:space="0" w:color="auto"/>
              <w:left w:val="nil"/>
              <w:bottom w:val="single" w:sz="8" w:space="0" w:color="auto"/>
              <w:right w:val="single" w:sz="8" w:space="0" w:color="000000"/>
            </w:tcBorders>
            <w:shd w:val="clear" w:color="auto" w:fill="EBEBEB"/>
            <w:vAlign w:val="center"/>
            <w:hideMark/>
          </w:tcPr>
          <w:p w14:paraId="385B7EB5" w14:textId="77777777" w:rsidR="00BC5219" w:rsidRPr="008A2B8F" w:rsidRDefault="00BC5219" w:rsidP="00E83802">
            <w:pPr>
              <w:shd w:val="clear" w:color="auto" w:fill="EBEBEB"/>
              <w:jc w:val="center"/>
              <w:rPr>
                <w:rFonts w:ascii="Meta Pro" w:eastAsia="Times New Roman" w:hAnsi="Meta Pro" w:cs="Calibri"/>
                <w:b/>
                <w:bCs/>
                <w:color w:val="000000"/>
                <w:szCs w:val="18"/>
                <w:lang w:eastAsia="en-AU"/>
              </w:rPr>
            </w:pPr>
            <w:r w:rsidRPr="008A2B8F">
              <w:rPr>
                <w:rFonts w:ascii="Meta Pro" w:eastAsia="Times New Roman" w:hAnsi="Meta Pro" w:cs="Calibri"/>
                <w:b/>
                <w:bCs/>
                <w:color w:val="000000"/>
                <w:szCs w:val="18"/>
                <w:lang w:eastAsia="en-AU"/>
              </w:rPr>
              <w:t>Average useful life</w:t>
            </w:r>
          </w:p>
        </w:tc>
      </w:tr>
      <w:tr w:rsidR="00BC5219" w:rsidRPr="008A2B8F" w14:paraId="7AE9A07E" w14:textId="77777777" w:rsidTr="00E83802">
        <w:trPr>
          <w:cantSplit/>
          <w:trHeight w:val="23"/>
        </w:trPr>
        <w:tc>
          <w:tcPr>
            <w:tcW w:w="3371" w:type="dxa"/>
            <w:vMerge w:val="restart"/>
            <w:tcBorders>
              <w:top w:val="nil"/>
              <w:left w:val="single" w:sz="8" w:space="0" w:color="auto"/>
              <w:bottom w:val="single" w:sz="8" w:space="0" w:color="000000"/>
              <w:right w:val="single" w:sz="8" w:space="0" w:color="000000"/>
            </w:tcBorders>
            <w:shd w:val="clear" w:color="auto" w:fill="EBEBEB"/>
            <w:noWrap/>
            <w:hideMark/>
          </w:tcPr>
          <w:p w14:paraId="34E8627D" w14:textId="77777777" w:rsidR="00BC5219" w:rsidRPr="008A2B8F" w:rsidRDefault="00BC5219" w:rsidP="00E83802">
            <w:pPr>
              <w:shd w:val="clear" w:color="auto" w:fill="EBEBEB"/>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Roads</w:t>
            </w:r>
          </w:p>
        </w:tc>
        <w:tc>
          <w:tcPr>
            <w:tcW w:w="2289" w:type="dxa"/>
            <w:tcBorders>
              <w:top w:val="nil"/>
              <w:left w:val="nil"/>
              <w:bottom w:val="single" w:sz="8" w:space="0" w:color="auto"/>
              <w:right w:val="single" w:sz="8" w:space="0" w:color="000000"/>
            </w:tcBorders>
            <w:shd w:val="clear" w:color="auto" w:fill="EBEBEB"/>
            <w:noWrap/>
            <w:vAlign w:val="center"/>
            <w:hideMark/>
          </w:tcPr>
          <w:p w14:paraId="52171ACB" w14:textId="77777777" w:rsidR="00BC5219" w:rsidRPr="008A2B8F" w:rsidRDefault="00BC5219" w:rsidP="00E83802">
            <w:pPr>
              <w:shd w:val="clear" w:color="auto" w:fill="EBEBEB"/>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Surfaces</w:t>
            </w:r>
          </w:p>
        </w:tc>
        <w:tc>
          <w:tcPr>
            <w:tcW w:w="2127" w:type="dxa"/>
            <w:tcBorders>
              <w:top w:val="nil"/>
              <w:left w:val="nil"/>
              <w:bottom w:val="single" w:sz="8" w:space="0" w:color="auto"/>
              <w:right w:val="single" w:sz="8" w:space="0" w:color="000000"/>
            </w:tcBorders>
            <w:shd w:val="clear" w:color="auto" w:fill="EBEBEB"/>
            <w:noWrap/>
            <w:vAlign w:val="center"/>
            <w:hideMark/>
          </w:tcPr>
          <w:p w14:paraId="5B6BBF3A" w14:textId="77777777" w:rsidR="00BC5219" w:rsidRPr="008A2B8F" w:rsidRDefault="00BC5219" w:rsidP="00E83802">
            <w:pPr>
              <w:shd w:val="clear" w:color="auto" w:fill="EBEBEB"/>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Straight-line</w:t>
            </w:r>
          </w:p>
        </w:tc>
        <w:tc>
          <w:tcPr>
            <w:tcW w:w="2409" w:type="dxa"/>
            <w:tcBorders>
              <w:top w:val="nil"/>
              <w:left w:val="nil"/>
              <w:bottom w:val="single" w:sz="8" w:space="0" w:color="auto"/>
              <w:right w:val="single" w:sz="8" w:space="0" w:color="000000"/>
            </w:tcBorders>
            <w:shd w:val="clear" w:color="auto" w:fill="EBEBEB"/>
            <w:vAlign w:val="center"/>
            <w:hideMark/>
          </w:tcPr>
          <w:p w14:paraId="4F93F9F9" w14:textId="77777777" w:rsidR="00BC5219" w:rsidRPr="008A2B8F" w:rsidRDefault="00BC5219" w:rsidP="00E83802">
            <w:pPr>
              <w:shd w:val="clear" w:color="auto" w:fill="EBEBEB"/>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25</w:t>
            </w:r>
          </w:p>
        </w:tc>
      </w:tr>
      <w:tr w:rsidR="00BC5219" w:rsidRPr="008A2B8F" w14:paraId="458B772A" w14:textId="77777777" w:rsidTr="00E83802">
        <w:trPr>
          <w:cantSplit/>
          <w:trHeight w:val="23"/>
        </w:trPr>
        <w:tc>
          <w:tcPr>
            <w:tcW w:w="3371" w:type="dxa"/>
            <w:vMerge/>
            <w:tcBorders>
              <w:top w:val="nil"/>
              <w:left w:val="single" w:sz="8" w:space="0" w:color="auto"/>
              <w:bottom w:val="single" w:sz="8" w:space="0" w:color="000000"/>
              <w:right w:val="single" w:sz="8" w:space="0" w:color="000000"/>
            </w:tcBorders>
            <w:shd w:val="clear" w:color="auto" w:fill="EBEBEB"/>
            <w:vAlign w:val="center"/>
            <w:hideMark/>
          </w:tcPr>
          <w:p w14:paraId="6FBEF636" w14:textId="77777777" w:rsidR="00BC5219" w:rsidRPr="008A2B8F" w:rsidRDefault="00BC5219" w:rsidP="00E83802">
            <w:pPr>
              <w:shd w:val="clear" w:color="auto" w:fill="EBEBEB"/>
              <w:rPr>
                <w:rFonts w:ascii="Meta Pro" w:eastAsia="Times New Roman" w:hAnsi="Meta Pro" w:cs="Calibri"/>
                <w:color w:val="000000"/>
                <w:szCs w:val="18"/>
                <w:lang w:eastAsia="en-AU"/>
              </w:rPr>
            </w:pPr>
          </w:p>
        </w:tc>
        <w:tc>
          <w:tcPr>
            <w:tcW w:w="2289" w:type="dxa"/>
            <w:tcBorders>
              <w:top w:val="nil"/>
              <w:left w:val="nil"/>
              <w:bottom w:val="single" w:sz="8" w:space="0" w:color="auto"/>
              <w:right w:val="single" w:sz="8" w:space="0" w:color="000000"/>
            </w:tcBorders>
            <w:shd w:val="clear" w:color="auto" w:fill="EBEBEB"/>
            <w:noWrap/>
            <w:vAlign w:val="center"/>
            <w:hideMark/>
          </w:tcPr>
          <w:p w14:paraId="0BF859F3" w14:textId="77777777" w:rsidR="00BC5219" w:rsidRPr="008A2B8F" w:rsidRDefault="00BC5219" w:rsidP="00E83802">
            <w:pPr>
              <w:shd w:val="clear" w:color="auto" w:fill="EBEBEB"/>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Pavements</w:t>
            </w:r>
          </w:p>
        </w:tc>
        <w:tc>
          <w:tcPr>
            <w:tcW w:w="2127" w:type="dxa"/>
            <w:tcBorders>
              <w:top w:val="nil"/>
              <w:left w:val="nil"/>
              <w:bottom w:val="single" w:sz="8" w:space="0" w:color="auto"/>
              <w:right w:val="single" w:sz="8" w:space="0" w:color="000000"/>
            </w:tcBorders>
            <w:shd w:val="clear" w:color="auto" w:fill="EBEBEB"/>
            <w:noWrap/>
            <w:vAlign w:val="center"/>
            <w:hideMark/>
          </w:tcPr>
          <w:p w14:paraId="519F7B25" w14:textId="77777777" w:rsidR="00BC5219" w:rsidRPr="008A2B8F" w:rsidRDefault="00BC5219" w:rsidP="00E83802">
            <w:pPr>
              <w:shd w:val="clear" w:color="auto" w:fill="EBEBEB"/>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Straight-line</w:t>
            </w:r>
          </w:p>
        </w:tc>
        <w:tc>
          <w:tcPr>
            <w:tcW w:w="2409" w:type="dxa"/>
            <w:tcBorders>
              <w:top w:val="nil"/>
              <w:left w:val="nil"/>
              <w:bottom w:val="single" w:sz="8" w:space="0" w:color="auto"/>
              <w:right w:val="single" w:sz="8" w:space="0" w:color="000000"/>
            </w:tcBorders>
            <w:shd w:val="clear" w:color="auto" w:fill="EBEBEB"/>
            <w:vAlign w:val="center"/>
            <w:hideMark/>
          </w:tcPr>
          <w:p w14:paraId="6E44194C" w14:textId="77777777" w:rsidR="00BC5219" w:rsidRPr="008A2B8F" w:rsidRDefault="00BC5219" w:rsidP="00E83802">
            <w:pPr>
              <w:shd w:val="clear" w:color="auto" w:fill="EBEBEB"/>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58</w:t>
            </w:r>
          </w:p>
        </w:tc>
      </w:tr>
      <w:tr w:rsidR="00BC5219" w:rsidRPr="008A2B8F" w14:paraId="676AA4FE" w14:textId="77777777" w:rsidTr="00E83802">
        <w:trPr>
          <w:cantSplit/>
          <w:trHeight w:val="23"/>
        </w:trPr>
        <w:tc>
          <w:tcPr>
            <w:tcW w:w="3371" w:type="dxa"/>
            <w:vMerge/>
            <w:tcBorders>
              <w:top w:val="nil"/>
              <w:left w:val="single" w:sz="8" w:space="0" w:color="auto"/>
              <w:bottom w:val="single" w:sz="8" w:space="0" w:color="000000"/>
              <w:right w:val="single" w:sz="8" w:space="0" w:color="000000"/>
            </w:tcBorders>
            <w:shd w:val="clear" w:color="auto" w:fill="EBEBEB"/>
            <w:vAlign w:val="center"/>
            <w:hideMark/>
          </w:tcPr>
          <w:p w14:paraId="12675828" w14:textId="77777777" w:rsidR="00BC5219" w:rsidRPr="008A2B8F" w:rsidRDefault="00BC5219" w:rsidP="00E83802">
            <w:pPr>
              <w:shd w:val="clear" w:color="auto" w:fill="EBEBEB"/>
              <w:rPr>
                <w:rFonts w:ascii="Meta Pro" w:eastAsia="Times New Roman" w:hAnsi="Meta Pro" w:cs="Calibri"/>
                <w:color w:val="000000"/>
                <w:szCs w:val="18"/>
                <w:lang w:eastAsia="en-AU"/>
              </w:rPr>
            </w:pPr>
          </w:p>
        </w:tc>
        <w:tc>
          <w:tcPr>
            <w:tcW w:w="2289" w:type="dxa"/>
            <w:tcBorders>
              <w:top w:val="nil"/>
              <w:left w:val="nil"/>
              <w:bottom w:val="single" w:sz="8" w:space="0" w:color="auto"/>
              <w:right w:val="single" w:sz="8" w:space="0" w:color="000000"/>
            </w:tcBorders>
            <w:shd w:val="clear" w:color="auto" w:fill="EBEBEB"/>
            <w:noWrap/>
            <w:vAlign w:val="center"/>
            <w:hideMark/>
          </w:tcPr>
          <w:p w14:paraId="21ADBE77" w14:textId="77777777" w:rsidR="00BC5219" w:rsidRPr="008A2B8F" w:rsidRDefault="00BC5219" w:rsidP="00E83802">
            <w:pPr>
              <w:shd w:val="clear" w:color="auto" w:fill="EBEBEB"/>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Formation earthworks</w:t>
            </w:r>
          </w:p>
        </w:tc>
        <w:tc>
          <w:tcPr>
            <w:tcW w:w="2127" w:type="dxa"/>
            <w:tcBorders>
              <w:top w:val="nil"/>
              <w:left w:val="nil"/>
              <w:bottom w:val="single" w:sz="8" w:space="0" w:color="auto"/>
              <w:right w:val="single" w:sz="8" w:space="0" w:color="000000"/>
            </w:tcBorders>
            <w:shd w:val="clear" w:color="auto" w:fill="EBEBEB"/>
            <w:noWrap/>
            <w:vAlign w:val="center"/>
            <w:hideMark/>
          </w:tcPr>
          <w:p w14:paraId="21709D18" w14:textId="77777777" w:rsidR="00BC5219" w:rsidRPr="008A2B8F" w:rsidRDefault="00BC5219" w:rsidP="00E83802">
            <w:pPr>
              <w:shd w:val="clear" w:color="auto" w:fill="EBEBEB"/>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Not depreciated</w:t>
            </w:r>
          </w:p>
        </w:tc>
        <w:tc>
          <w:tcPr>
            <w:tcW w:w="2409" w:type="dxa"/>
            <w:tcBorders>
              <w:top w:val="nil"/>
              <w:left w:val="nil"/>
              <w:bottom w:val="single" w:sz="8" w:space="0" w:color="auto"/>
              <w:right w:val="single" w:sz="8" w:space="0" w:color="000000"/>
            </w:tcBorders>
            <w:shd w:val="clear" w:color="auto" w:fill="EBEBEB"/>
            <w:vAlign w:val="center"/>
            <w:hideMark/>
          </w:tcPr>
          <w:p w14:paraId="78476E98" w14:textId="77777777" w:rsidR="00BC5219" w:rsidRPr="008A2B8F" w:rsidRDefault="00BC5219" w:rsidP="00E83802">
            <w:pPr>
              <w:shd w:val="clear" w:color="auto" w:fill="EBEBEB"/>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Indefinite life</w:t>
            </w:r>
          </w:p>
        </w:tc>
      </w:tr>
      <w:tr w:rsidR="00BC5219" w:rsidRPr="008A2B8F" w14:paraId="7FD01211" w14:textId="77777777" w:rsidTr="00E83802">
        <w:trPr>
          <w:cantSplit/>
          <w:trHeight w:val="23"/>
        </w:trPr>
        <w:tc>
          <w:tcPr>
            <w:tcW w:w="3371" w:type="dxa"/>
            <w:vMerge/>
            <w:tcBorders>
              <w:top w:val="nil"/>
              <w:left w:val="single" w:sz="8" w:space="0" w:color="auto"/>
              <w:bottom w:val="single" w:sz="8" w:space="0" w:color="000000"/>
              <w:right w:val="single" w:sz="8" w:space="0" w:color="000000"/>
            </w:tcBorders>
            <w:shd w:val="clear" w:color="auto" w:fill="EBEBEB"/>
            <w:vAlign w:val="center"/>
            <w:hideMark/>
          </w:tcPr>
          <w:p w14:paraId="01489425" w14:textId="77777777" w:rsidR="00BC5219" w:rsidRPr="008A2B8F" w:rsidRDefault="00BC5219" w:rsidP="00E83802">
            <w:pPr>
              <w:shd w:val="clear" w:color="auto" w:fill="EBEBEB"/>
              <w:rPr>
                <w:rFonts w:ascii="Meta Pro" w:eastAsia="Times New Roman" w:hAnsi="Meta Pro" w:cs="Calibri"/>
                <w:color w:val="000000"/>
                <w:szCs w:val="18"/>
                <w:lang w:eastAsia="en-AU"/>
              </w:rPr>
            </w:pPr>
          </w:p>
        </w:tc>
        <w:tc>
          <w:tcPr>
            <w:tcW w:w="2289" w:type="dxa"/>
            <w:tcBorders>
              <w:top w:val="nil"/>
              <w:left w:val="nil"/>
              <w:bottom w:val="single" w:sz="8" w:space="0" w:color="auto"/>
              <w:right w:val="single" w:sz="8" w:space="0" w:color="000000"/>
            </w:tcBorders>
            <w:shd w:val="clear" w:color="auto" w:fill="EBEBEB"/>
            <w:noWrap/>
            <w:vAlign w:val="center"/>
            <w:hideMark/>
          </w:tcPr>
          <w:p w14:paraId="58680A2F" w14:textId="77777777" w:rsidR="00BC5219" w:rsidRPr="008A2B8F" w:rsidRDefault="00BC5219" w:rsidP="00E83802">
            <w:pPr>
              <w:shd w:val="clear" w:color="auto" w:fill="EBEBEB"/>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Formation earthworks</w:t>
            </w:r>
          </w:p>
        </w:tc>
        <w:tc>
          <w:tcPr>
            <w:tcW w:w="2127" w:type="dxa"/>
            <w:tcBorders>
              <w:top w:val="nil"/>
              <w:left w:val="nil"/>
              <w:bottom w:val="single" w:sz="8" w:space="0" w:color="auto"/>
              <w:right w:val="single" w:sz="8" w:space="0" w:color="000000"/>
            </w:tcBorders>
            <w:shd w:val="clear" w:color="auto" w:fill="EBEBEB"/>
            <w:noWrap/>
            <w:vAlign w:val="center"/>
            <w:hideMark/>
          </w:tcPr>
          <w:p w14:paraId="2A5B9680" w14:textId="77777777" w:rsidR="00BC5219" w:rsidRPr="008A2B8F" w:rsidRDefault="00BC5219" w:rsidP="00E83802">
            <w:pPr>
              <w:shd w:val="clear" w:color="auto" w:fill="EBEBEB"/>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Straight-line</w:t>
            </w:r>
          </w:p>
        </w:tc>
        <w:tc>
          <w:tcPr>
            <w:tcW w:w="2409" w:type="dxa"/>
            <w:tcBorders>
              <w:top w:val="nil"/>
              <w:left w:val="nil"/>
              <w:bottom w:val="single" w:sz="8" w:space="0" w:color="auto"/>
              <w:right w:val="single" w:sz="8" w:space="0" w:color="000000"/>
            </w:tcBorders>
            <w:shd w:val="clear" w:color="auto" w:fill="EBEBEB"/>
            <w:vAlign w:val="center"/>
            <w:hideMark/>
          </w:tcPr>
          <w:p w14:paraId="16A9813F" w14:textId="77777777" w:rsidR="00BC5219" w:rsidRPr="008A2B8F" w:rsidRDefault="00BC5219" w:rsidP="00E83802">
            <w:pPr>
              <w:shd w:val="clear" w:color="auto" w:fill="EBEBEB"/>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30</w:t>
            </w:r>
          </w:p>
        </w:tc>
      </w:tr>
      <w:tr w:rsidR="00BC5219" w:rsidRPr="008A2B8F" w14:paraId="7ECA8654" w14:textId="77777777" w:rsidTr="00E83802">
        <w:trPr>
          <w:cantSplit/>
          <w:trHeight w:val="23"/>
        </w:trPr>
        <w:tc>
          <w:tcPr>
            <w:tcW w:w="3371" w:type="dxa"/>
            <w:tcBorders>
              <w:top w:val="nil"/>
              <w:left w:val="single" w:sz="8" w:space="0" w:color="auto"/>
              <w:bottom w:val="single" w:sz="8" w:space="0" w:color="auto"/>
              <w:right w:val="single" w:sz="8" w:space="0" w:color="000000"/>
            </w:tcBorders>
            <w:shd w:val="clear" w:color="auto" w:fill="EBEBEB"/>
            <w:noWrap/>
            <w:vAlign w:val="center"/>
            <w:hideMark/>
          </w:tcPr>
          <w:p w14:paraId="6C52219D" w14:textId="77777777" w:rsidR="00BC5219" w:rsidRPr="008A2B8F" w:rsidRDefault="00BC5219" w:rsidP="00E83802">
            <w:pPr>
              <w:shd w:val="clear" w:color="auto" w:fill="EBEBEB"/>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Structures – bridges, tunnels and major culverts</w:t>
            </w:r>
          </w:p>
        </w:tc>
        <w:tc>
          <w:tcPr>
            <w:tcW w:w="2289" w:type="dxa"/>
            <w:tcBorders>
              <w:top w:val="nil"/>
              <w:left w:val="nil"/>
              <w:bottom w:val="single" w:sz="8" w:space="0" w:color="auto"/>
              <w:right w:val="single" w:sz="8" w:space="0" w:color="000000"/>
            </w:tcBorders>
            <w:shd w:val="clear" w:color="auto" w:fill="EBEBEB"/>
            <w:noWrap/>
            <w:vAlign w:val="center"/>
            <w:hideMark/>
          </w:tcPr>
          <w:p w14:paraId="25E08597" w14:textId="77777777" w:rsidR="00BC5219" w:rsidRPr="008A2B8F" w:rsidRDefault="00BC5219" w:rsidP="00E83802">
            <w:pPr>
              <w:shd w:val="clear" w:color="auto" w:fill="EBEBEB"/>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w:t>
            </w:r>
          </w:p>
        </w:tc>
        <w:tc>
          <w:tcPr>
            <w:tcW w:w="2127" w:type="dxa"/>
            <w:tcBorders>
              <w:top w:val="nil"/>
              <w:left w:val="nil"/>
              <w:bottom w:val="single" w:sz="8" w:space="0" w:color="auto"/>
              <w:right w:val="single" w:sz="8" w:space="0" w:color="000000"/>
            </w:tcBorders>
            <w:shd w:val="clear" w:color="auto" w:fill="EBEBEB"/>
            <w:noWrap/>
            <w:vAlign w:val="center"/>
            <w:hideMark/>
          </w:tcPr>
          <w:p w14:paraId="3171A795" w14:textId="77777777" w:rsidR="00BC5219" w:rsidRPr="008A2B8F" w:rsidRDefault="00BC5219" w:rsidP="00E83802">
            <w:pPr>
              <w:shd w:val="clear" w:color="auto" w:fill="EBEBEB"/>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Straight-line</w:t>
            </w:r>
          </w:p>
        </w:tc>
        <w:tc>
          <w:tcPr>
            <w:tcW w:w="2409" w:type="dxa"/>
            <w:tcBorders>
              <w:top w:val="nil"/>
              <w:left w:val="nil"/>
              <w:bottom w:val="single" w:sz="8" w:space="0" w:color="auto"/>
              <w:right w:val="single" w:sz="8" w:space="0" w:color="000000"/>
            </w:tcBorders>
            <w:shd w:val="clear" w:color="auto" w:fill="EBEBEB"/>
            <w:vAlign w:val="center"/>
            <w:hideMark/>
          </w:tcPr>
          <w:p w14:paraId="7036BBAB" w14:textId="77777777" w:rsidR="00BC5219" w:rsidRPr="008A2B8F" w:rsidRDefault="00BC5219" w:rsidP="00E83802">
            <w:pPr>
              <w:shd w:val="clear" w:color="auto" w:fill="EBEBEB"/>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95</w:t>
            </w:r>
          </w:p>
        </w:tc>
      </w:tr>
      <w:tr w:rsidR="00BC5219" w:rsidRPr="008A2B8F" w14:paraId="178B63B9" w14:textId="77777777" w:rsidTr="00E83802">
        <w:trPr>
          <w:cantSplit/>
          <w:trHeight w:val="23"/>
        </w:trPr>
        <w:tc>
          <w:tcPr>
            <w:tcW w:w="3371" w:type="dxa"/>
            <w:tcBorders>
              <w:top w:val="nil"/>
              <w:left w:val="single" w:sz="8" w:space="0" w:color="auto"/>
              <w:bottom w:val="single" w:sz="8" w:space="0" w:color="auto"/>
              <w:right w:val="single" w:sz="8" w:space="0" w:color="000000"/>
            </w:tcBorders>
            <w:shd w:val="clear" w:color="auto" w:fill="EBEBEB"/>
            <w:noWrap/>
            <w:vAlign w:val="center"/>
            <w:hideMark/>
          </w:tcPr>
          <w:p w14:paraId="3A90446B" w14:textId="77777777" w:rsidR="00BC5219" w:rsidRPr="008A2B8F" w:rsidRDefault="00BC5219" w:rsidP="00E83802">
            <w:pPr>
              <w:shd w:val="clear" w:color="auto" w:fill="EBEBEB"/>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Other – mainly marine infrastructure</w:t>
            </w:r>
          </w:p>
        </w:tc>
        <w:tc>
          <w:tcPr>
            <w:tcW w:w="2289" w:type="dxa"/>
            <w:tcBorders>
              <w:top w:val="nil"/>
              <w:left w:val="nil"/>
              <w:bottom w:val="single" w:sz="8" w:space="0" w:color="auto"/>
              <w:right w:val="single" w:sz="8" w:space="0" w:color="000000"/>
            </w:tcBorders>
            <w:shd w:val="clear" w:color="auto" w:fill="EBEBEB"/>
            <w:noWrap/>
            <w:vAlign w:val="center"/>
            <w:hideMark/>
          </w:tcPr>
          <w:p w14:paraId="4B9D991C" w14:textId="77777777" w:rsidR="00BC5219" w:rsidRPr="008A2B8F" w:rsidRDefault="00BC5219" w:rsidP="00E83802">
            <w:pPr>
              <w:shd w:val="clear" w:color="auto" w:fill="EBEBEB"/>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w:t>
            </w:r>
          </w:p>
        </w:tc>
        <w:tc>
          <w:tcPr>
            <w:tcW w:w="2127" w:type="dxa"/>
            <w:tcBorders>
              <w:top w:val="nil"/>
              <w:left w:val="nil"/>
              <w:bottom w:val="single" w:sz="8" w:space="0" w:color="auto"/>
              <w:right w:val="single" w:sz="8" w:space="0" w:color="000000"/>
            </w:tcBorders>
            <w:shd w:val="clear" w:color="auto" w:fill="EBEBEB"/>
            <w:noWrap/>
            <w:vAlign w:val="center"/>
            <w:hideMark/>
          </w:tcPr>
          <w:p w14:paraId="780791A6" w14:textId="77777777" w:rsidR="00BC5219" w:rsidRPr="008A2B8F" w:rsidRDefault="00BC5219" w:rsidP="00E83802">
            <w:pPr>
              <w:shd w:val="clear" w:color="auto" w:fill="EBEBEB"/>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Straight-line</w:t>
            </w:r>
          </w:p>
        </w:tc>
        <w:tc>
          <w:tcPr>
            <w:tcW w:w="2409" w:type="dxa"/>
            <w:tcBorders>
              <w:top w:val="nil"/>
              <w:left w:val="nil"/>
              <w:bottom w:val="single" w:sz="8" w:space="0" w:color="auto"/>
              <w:right w:val="single" w:sz="8" w:space="0" w:color="000000"/>
            </w:tcBorders>
            <w:shd w:val="clear" w:color="auto" w:fill="EBEBEB"/>
            <w:vAlign w:val="center"/>
            <w:hideMark/>
          </w:tcPr>
          <w:p w14:paraId="556B7C46" w14:textId="77777777" w:rsidR="00BC5219" w:rsidRPr="008A2B8F" w:rsidRDefault="00BC5219" w:rsidP="00E83802">
            <w:pPr>
              <w:shd w:val="clear" w:color="auto" w:fill="EBEBEB"/>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54</w:t>
            </w:r>
          </w:p>
        </w:tc>
      </w:tr>
    </w:tbl>
    <w:p w14:paraId="597D5EF6" w14:textId="77777777" w:rsidR="00BC5219" w:rsidRPr="008A2B8F" w:rsidRDefault="00BC5219" w:rsidP="00BC5219">
      <w:pPr>
        <w:shd w:val="clear" w:color="auto" w:fill="EBEBEB"/>
        <w:jc w:val="both"/>
        <w:rPr>
          <w:rFonts w:ascii="Meta Pro" w:eastAsia="Times New Roman" w:hAnsi="Meta Pro"/>
          <w:szCs w:val="18"/>
          <w:lang w:eastAsia="en-AU"/>
        </w:rPr>
      </w:pPr>
    </w:p>
    <w:p w14:paraId="39B0EA65" w14:textId="77777777" w:rsidR="00BC5219" w:rsidRPr="008A2B8F" w:rsidRDefault="00BC5219" w:rsidP="00BC5219">
      <w:pPr>
        <w:shd w:val="clear" w:color="auto" w:fill="EBEBEB"/>
        <w:spacing w:after="120"/>
        <w:rPr>
          <w:rFonts w:ascii="Meta Pro" w:eastAsia="Times New Roman" w:hAnsi="Meta Pro"/>
          <w:szCs w:val="18"/>
          <w:lang w:eastAsia="en-AU"/>
        </w:rPr>
      </w:pPr>
      <w:r w:rsidRPr="008A2B8F">
        <w:rPr>
          <w:rFonts w:ascii="Meta Pro" w:eastAsia="Times New Roman" w:hAnsi="Meta Pro"/>
          <w:szCs w:val="18"/>
          <w:lang w:eastAsia="en-AU"/>
        </w:rPr>
        <w:t>The estimation of useful life and resulting depreciation rates are based on a number of factors including the department’s past experience, the planned replacement program and expected usage, wear and tear, obsolescence and expected funding availability to the department. Useful lives are reviewed on an annual basis.</w:t>
      </w:r>
    </w:p>
    <w:p w14:paraId="531CF52A" w14:textId="77777777" w:rsidR="00BC5219" w:rsidRPr="008A2B8F" w:rsidRDefault="00BC5219" w:rsidP="00BC5219">
      <w:pPr>
        <w:spacing w:after="120" w:line="168" w:lineRule="auto"/>
        <w:rPr>
          <w:rFonts w:ascii="Meta Pro" w:hAnsi="Meta Pro"/>
          <w:i/>
          <w:iCs/>
          <w:sz w:val="24"/>
          <w:szCs w:val="24"/>
        </w:rPr>
      </w:pPr>
    </w:p>
    <w:p w14:paraId="18F6293F"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r w:rsidRPr="008A2B8F">
        <w:rPr>
          <w:rFonts w:ascii="Meta Pro" w:eastAsia="Times New Roman" w:hAnsi="Meta Pro"/>
          <w:i/>
          <w:iCs/>
          <w:color w:val="000000" w:themeColor="text1"/>
          <w:lang w:eastAsia="en-AU"/>
        </w:rPr>
        <w:t>Department of Transport and Main Roads</w:t>
      </w:r>
    </w:p>
    <w:p w14:paraId="36991953"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Notes to the financial statements 2022–23 (continued)</w:t>
      </w:r>
    </w:p>
    <w:p w14:paraId="2A6D4AEA" w14:textId="77777777" w:rsidR="00BC5219" w:rsidRPr="008A2B8F" w:rsidRDefault="00BC5219" w:rsidP="00BC5219">
      <w:pPr>
        <w:spacing w:after="120" w:line="259" w:lineRule="auto"/>
        <w:rPr>
          <w:rFonts w:ascii="Meta Pro" w:eastAsia="Times New Roman" w:hAnsi="Meta Pro"/>
          <w:b/>
          <w:bCs/>
          <w:lang w:eastAsia="en-AU"/>
        </w:rPr>
      </w:pPr>
      <w:r w:rsidRPr="008A2B8F">
        <w:rPr>
          <w:rFonts w:ascii="Meta Pro" w:eastAsia="Times New Roman" w:hAnsi="Meta Pro"/>
          <w:b/>
          <w:bCs/>
          <w:lang w:eastAsia="en-AU"/>
        </w:rPr>
        <w:t>15     PROPERTY, PLANT AND EQUIPMENT (continued)</w:t>
      </w:r>
    </w:p>
    <w:p w14:paraId="3DDFAA9B" w14:textId="77777777" w:rsidR="00BC5219" w:rsidRPr="008A2B8F" w:rsidRDefault="00BC5219" w:rsidP="00BC5219">
      <w:pPr>
        <w:shd w:val="clear" w:color="auto" w:fill="EBEBEB"/>
        <w:spacing w:after="120"/>
        <w:ind w:left="113" w:hanging="113"/>
        <w:jc w:val="both"/>
        <w:rPr>
          <w:rFonts w:ascii="Meta Pro" w:eastAsia="Times New Roman" w:hAnsi="Meta Pro"/>
          <w:b/>
          <w:bCs/>
          <w:color w:val="000000"/>
          <w:sz w:val="20"/>
          <w:szCs w:val="20"/>
          <w:lang w:eastAsia="en-AU"/>
        </w:rPr>
      </w:pPr>
      <w:r w:rsidRPr="008A2B8F">
        <w:rPr>
          <w:rFonts w:ascii="Meta Pro" w:eastAsia="Times New Roman" w:hAnsi="Meta Pro"/>
          <w:b/>
          <w:bCs/>
          <w:color w:val="000000"/>
          <w:sz w:val="20"/>
          <w:szCs w:val="20"/>
          <w:lang w:eastAsia="en-AU"/>
        </w:rPr>
        <w:t>Accounting policy (continued)</w:t>
      </w:r>
    </w:p>
    <w:p w14:paraId="48A0CD9B" w14:textId="77777777" w:rsidR="00BC5219" w:rsidRPr="008A2B8F" w:rsidRDefault="00BC5219" w:rsidP="00BC5219">
      <w:pPr>
        <w:shd w:val="clear" w:color="auto" w:fill="EBEBEB"/>
        <w:spacing w:after="120"/>
        <w:jc w:val="both"/>
        <w:rPr>
          <w:rFonts w:ascii="Meta Pro" w:eastAsia="Times New Roman" w:hAnsi="Meta Pro"/>
          <w:b/>
          <w:bCs/>
          <w:i/>
          <w:iCs/>
          <w:szCs w:val="18"/>
          <w:lang w:eastAsia="en-AU"/>
        </w:rPr>
      </w:pPr>
      <w:r w:rsidRPr="008A2B8F">
        <w:rPr>
          <w:rFonts w:ascii="Meta Pro" w:eastAsia="Times New Roman" w:hAnsi="Meta Pro"/>
          <w:b/>
          <w:bCs/>
          <w:i/>
          <w:iCs/>
          <w:szCs w:val="18"/>
          <w:lang w:eastAsia="en-AU"/>
        </w:rPr>
        <w:t>Depreciation (continued)</w:t>
      </w:r>
    </w:p>
    <w:p w14:paraId="5BFC9038" w14:textId="77777777" w:rsidR="00BC5219" w:rsidRPr="008A2B8F" w:rsidRDefault="00BC5219" w:rsidP="00BC5219">
      <w:pPr>
        <w:shd w:val="clear" w:color="auto" w:fill="EBEBEB"/>
        <w:spacing w:after="120"/>
        <w:rPr>
          <w:rFonts w:ascii="Meta Pro" w:eastAsia="Times New Roman" w:hAnsi="Meta Pro"/>
          <w:szCs w:val="18"/>
          <w:lang w:eastAsia="en-AU"/>
        </w:rPr>
      </w:pPr>
      <w:r w:rsidRPr="008A2B8F">
        <w:rPr>
          <w:rFonts w:ascii="Meta Pro" w:eastAsia="Times New Roman" w:hAnsi="Meta Pro"/>
          <w:szCs w:val="18"/>
          <w:lang w:eastAsia="en-AU"/>
        </w:rPr>
        <w:t>Where the confirmed available funding for the renewal and replacement of the department's road infrastructure assets varies from one year to the next, the sub-component remaining useful lives are subject to change as a consequence of the altered works program.</w:t>
      </w:r>
    </w:p>
    <w:p w14:paraId="0335972E" w14:textId="77777777" w:rsidR="00BC5219" w:rsidRPr="008A2B8F" w:rsidRDefault="00BC5219" w:rsidP="00BC5219">
      <w:pPr>
        <w:shd w:val="clear" w:color="auto" w:fill="EBEBEB"/>
        <w:spacing w:after="120"/>
        <w:rPr>
          <w:rFonts w:ascii="Meta Pro" w:eastAsia="Times New Roman" w:hAnsi="Meta Pro"/>
          <w:szCs w:val="18"/>
          <w:lang w:eastAsia="en-AU"/>
        </w:rPr>
      </w:pPr>
      <w:r w:rsidRPr="008A2B8F">
        <w:rPr>
          <w:rFonts w:ascii="Meta Pro" w:eastAsia="Times New Roman" w:hAnsi="Meta Pro"/>
          <w:szCs w:val="18"/>
          <w:lang w:eastAsia="en-AU"/>
        </w:rPr>
        <w:t>Accordingly an increase in funding allocated to asset renewal or replacement is likely to result in a corresponding proportionate increase in depreciation expense, and in accumulated depreciation, with a reduction in useful lives.</w:t>
      </w:r>
    </w:p>
    <w:p w14:paraId="39F5633A" w14:textId="77777777" w:rsidR="00BC5219" w:rsidRPr="008A2B8F" w:rsidRDefault="00BC5219" w:rsidP="00BC5219">
      <w:pPr>
        <w:shd w:val="clear" w:color="auto" w:fill="EBEBEB"/>
        <w:spacing w:after="120"/>
        <w:rPr>
          <w:rFonts w:ascii="Meta Pro" w:eastAsia="Times New Roman" w:hAnsi="Meta Pro"/>
          <w:color w:val="000000"/>
          <w:szCs w:val="18"/>
          <w:lang w:eastAsia="en-AU"/>
        </w:rPr>
      </w:pPr>
      <w:r w:rsidRPr="008A2B8F">
        <w:rPr>
          <w:rFonts w:ascii="Meta Pro" w:eastAsia="Times New Roman" w:hAnsi="Meta Pro"/>
          <w:szCs w:val="18"/>
          <w:lang w:eastAsia="en-AU"/>
        </w:rPr>
        <w:t>A reduction in funding is likely to have a similar impact in reducing depreciation expense and accumulated depreciation and increasing expected useful lives</w:t>
      </w:r>
      <w:r w:rsidRPr="008A2B8F">
        <w:rPr>
          <w:rFonts w:ascii="Meta Pro" w:eastAsia="Times New Roman" w:hAnsi="Meta Pro"/>
          <w:color w:val="000000"/>
          <w:szCs w:val="18"/>
          <w:lang w:eastAsia="en-AU"/>
        </w:rPr>
        <w:t>.</w:t>
      </w:r>
    </w:p>
    <w:p w14:paraId="15EC85A9" w14:textId="77777777" w:rsidR="00BC5219" w:rsidRPr="008A2B8F" w:rsidRDefault="00BC5219" w:rsidP="00BC5219">
      <w:pPr>
        <w:shd w:val="clear" w:color="auto" w:fill="EBEBEB"/>
        <w:spacing w:after="120"/>
        <w:rPr>
          <w:rFonts w:ascii="Meta Pro" w:eastAsia="Times New Roman" w:hAnsi="Meta Pro"/>
          <w:color w:val="000000"/>
          <w:szCs w:val="18"/>
          <w:lang w:eastAsia="en-AU"/>
        </w:rPr>
      </w:pPr>
      <w:r w:rsidRPr="008A2B8F">
        <w:rPr>
          <w:rFonts w:ascii="Meta Pro" w:eastAsia="Times New Roman" w:hAnsi="Meta Pro"/>
          <w:color w:val="000000"/>
          <w:szCs w:val="18"/>
          <w:lang w:eastAsia="en-AU"/>
        </w:rPr>
        <w:t xml:space="preserve">Formation earthworks initially have an indefinite life irrespective of work carried out on the surface and pavement components. Earthworks that are expected to be taken out of service or reconstructed are allocated a limited life and are depreciated in accordance with the requirements of AASB 116 </w:t>
      </w:r>
      <w:r w:rsidRPr="008A2B8F">
        <w:rPr>
          <w:rFonts w:ascii="Meta Pro" w:eastAsia="Times New Roman" w:hAnsi="Meta Pro"/>
          <w:i/>
          <w:iCs/>
          <w:color w:val="000000"/>
          <w:szCs w:val="18"/>
          <w:lang w:eastAsia="en-AU"/>
        </w:rPr>
        <w:t>Property, Plant and Equipment</w:t>
      </w:r>
      <w:r w:rsidRPr="008A2B8F">
        <w:rPr>
          <w:rFonts w:ascii="Meta Pro" w:eastAsia="Times New Roman" w:hAnsi="Meta Pro"/>
          <w:color w:val="000000"/>
          <w:szCs w:val="18"/>
          <w:lang w:eastAsia="en-AU"/>
        </w:rPr>
        <w:t>.</w:t>
      </w:r>
    </w:p>
    <w:p w14:paraId="2DD069DB" w14:textId="77777777" w:rsidR="00BC5219" w:rsidRPr="008A2B8F" w:rsidRDefault="00BC5219" w:rsidP="00BC5219">
      <w:pPr>
        <w:shd w:val="clear" w:color="auto" w:fill="EBEBEB"/>
        <w:spacing w:after="120"/>
        <w:rPr>
          <w:rFonts w:ascii="Meta Pro" w:eastAsia="Times New Roman" w:hAnsi="Meta Pro"/>
          <w:b/>
          <w:bCs/>
          <w:i/>
          <w:iCs/>
          <w:szCs w:val="18"/>
          <w:lang w:eastAsia="en-AU"/>
        </w:rPr>
      </w:pPr>
      <w:r w:rsidRPr="008A2B8F">
        <w:rPr>
          <w:rFonts w:ascii="Meta Pro" w:eastAsia="Times New Roman" w:hAnsi="Meta Pro"/>
          <w:b/>
          <w:bCs/>
          <w:i/>
          <w:iCs/>
          <w:szCs w:val="18"/>
          <w:lang w:eastAsia="en-AU"/>
        </w:rPr>
        <w:t>Land under roads</w:t>
      </w:r>
    </w:p>
    <w:p w14:paraId="2F79B8A6" w14:textId="77777777" w:rsidR="00BC5219" w:rsidRPr="008A2B8F" w:rsidRDefault="00BC5219" w:rsidP="00BC5219">
      <w:pPr>
        <w:shd w:val="clear" w:color="auto" w:fill="EBEBEB"/>
        <w:spacing w:after="120"/>
        <w:jc w:val="both"/>
        <w:rPr>
          <w:rFonts w:ascii="Meta Pro" w:eastAsia="Times New Roman" w:hAnsi="Meta Pro"/>
          <w:szCs w:val="18"/>
          <w:lang w:eastAsia="en-AU"/>
        </w:rPr>
      </w:pPr>
      <w:r w:rsidRPr="008A2B8F">
        <w:rPr>
          <w:rFonts w:ascii="Meta Pro" w:eastAsia="Times New Roman" w:hAnsi="Meta Pro"/>
          <w:szCs w:val="18"/>
          <w:lang w:eastAsia="en-AU"/>
        </w:rPr>
        <w:t>The aggregate value of land under roads is measured and disclosed as land until road declarations for each land portion are confirmed.</w:t>
      </w:r>
    </w:p>
    <w:p w14:paraId="6BAD73B8" w14:textId="77777777" w:rsidR="00BC5219" w:rsidRPr="008A2B8F" w:rsidRDefault="00BC5219" w:rsidP="00BC5219">
      <w:pPr>
        <w:shd w:val="clear" w:color="auto" w:fill="EBEBEB"/>
        <w:rPr>
          <w:rFonts w:ascii="Meta Pro" w:eastAsia="Times New Roman" w:hAnsi="Meta Pro"/>
          <w:szCs w:val="18"/>
          <w:lang w:eastAsia="en-AU"/>
        </w:rPr>
      </w:pPr>
      <w:r w:rsidRPr="008A2B8F">
        <w:rPr>
          <w:rFonts w:ascii="Meta Pro" w:eastAsia="Times New Roman" w:hAnsi="Meta Pro"/>
          <w:szCs w:val="18"/>
          <w:lang w:eastAsia="en-AU"/>
        </w:rPr>
        <w:t>Where a road declaration is confirmed, the title is extinguished and ownership reverts to the state represented by the Department of Resources in accordance with Queensland Government policy.</w:t>
      </w:r>
    </w:p>
    <w:p w14:paraId="783D5B9E" w14:textId="77777777" w:rsidR="00BC5219" w:rsidRPr="008A2B8F" w:rsidRDefault="00BC5219" w:rsidP="00BC5219">
      <w:pPr>
        <w:shd w:val="clear" w:color="auto" w:fill="EBEBEB"/>
        <w:rPr>
          <w:rFonts w:ascii="Meta Pro" w:eastAsia="Times New Roman" w:hAnsi="Meta Pro"/>
          <w:szCs w:val="18"/>
          <w:lang w:eastAsia="en-AU"/>
        </w:rPr>
      </w:pPr>
    </w:p>
    <w:p w14:paraId="64F0AD50" w14:textId="77777777" w:rsidR="00BC5219" w:rsidRPr="008A2B8F" w:rsidRDefault="00BC5219" w:rsidP="00BC5219">
      <w:pPr>
        <w:shd w:val="clear" w:color="auto" w:fill="EBEBEB"/>
        <w:spacing w:after="120"/>
        <w:rPr>
          <w:rFonts w:ascii="Meta Pro" w:eastAsia="Times New Roman" w:hAnsi="Meta Pro"/>
          <w:b/>
          <w:bCs/>
          <w:i/>
          <w:iCs/>
          <w:szCs w:val="18"/>
          <w:lang w:eastAsia="en-AU"/>
        </w:rPr>
      </w:pPr>
      <w:r w:rsidRPr="008A2B8F">
        <w:rPr>
          <w:rFonts w:ascii="Meta Pro" w:eastAsia="Times New Roman" w:hAnsi="Meta Pro"/>
          <w:b/>
          <w:bCs/>
          <w:i/>
          <w:iCs/>
          <w:szCs w:val="18"/>
          <w:lang w:eastAsia="en-AU"/>
        </w:rPr>
        <w:t>Non-current assets classified as held for sale</w:t>
      </w:r>
    </w:p>
    <w:p w14:paraId="0035CC14" w14:textId="77777777" w:rsidR="00BC5219" w:rsidRPr="008A2B8F" w:rsidRDefault="00BC5219" w:rsidP="00BC5219">
      <w:pPr>
        <w:shd w:val="clear" w:color="auto" w:fill="EBEBEB"/>
        <w:spacing w:after="120"/>
        <w:rPr>
          <w:rFonts w:ascii="Meta Pro" w:eastAsia="Times New Roman" w:hAnsi="Meta Pro"/>
          <w:color w:val="000000"/>
          <w:szCs w:val="18"/>
          <w:lang w:eastAsia="en-AU"/>
        </w:rPr>
      </w:pPr>
      <w:r w:rsidRPr="008A2B8F">
        <w:rPr>
          <w:rFonts w:ascii="Meta Pro" w:eastAsia="Times New Roman" w:hAnsi="Meta Pro"/>
          <w:color w:val="000000"/>
          <w:szCs w:val="18"/>
          <w:lang w:eastAsia="en-AU"/>
        </w:rPr>
        <w:lastRenderedPageBreak/>
        <w:t>Non-current assets held for sale consist of those assets that management has determined are available for immediate sale in their present condition, and for which their sale is highly probable within the next twelve months.</w:t>
      </w:r>
    </w:p>
    <w:p w14:paraId="2AE2D1F7" w14:textId="77777777" w:rsidR="00BC5219" w:rsidRPr="008A2B8F" w:rsidRDefault="00BC5219" w:rsidP="00BC5219">
      <w:pPr>
        <w:shd w:val="clear" w:color="auto" w:fill="EBEBEB"/>
        <w:rPr>
          <w:rFonts w:ascii="Meta Pro" w:eastAsia="Times New Roman" w:hAnsi="Meta Pro"/>
          <w:color w:val="000000"/>
          <w:szCs w:val="18"/>
          <w:lang w:eastAsia="en-AU"/>
        </w:rPr>
      </w:pPr>
      <w:r w:rsidRPr="008A2B8F">
        <w:rPr>
          <w:rFonts w:ascii="Meta Pro" w:eastAsia="Times New Roman" w:hAnsi="Meta Pro"/>
          <w:color w:val="000000"/>
          <w:szCs w:val="18"/>
          <w:lang w:eastAsia="en-AU"/>
        </w:rPr>
        <w:t xml:space="preserve">In accordance with AASB 5 </w:t>
      </w:r>
      <w:r w:rsidRPr="008A2B8F">
        <w:rPr>
          <w:rFonts w:ascii="Meta Pro" w:eastAsia="Times New Roman" w:hAnsi="Meta Pro"/>
          <w:i/>
          <w:iCs/>
          <w:color w:val="000000"/>
          <w:szCs w:val="18"/>
          <w:lang w:eastAsia="en-AU"/>
        </w:rPr>
        <w:t>Non-current Assets Held for Sale and Discontinued Operations</w:t>
      </w:r>
      <w:r w:rsidRPr="008A2B8F">
        <w:rPr>
          <w:rFonts w:ascii="Meta Pro" w:eastAsia="Times New Roman" w:hAnsi="Meta Pro"/>
          <w:color w:val="000000"/>
          <w:szCs w:val="18"/>
          <w:lang w:eastAsia="en-AU"/>
        </w:rPr>
        <w:t>, when an asset is classified as held for sale its value is measured at the lower of the asset’s carrying amount and fair value less costs to sell. Such assets are no longer amortised or depreciated upon being classified as held for sale.</w:t>
      </w:r>
    </w:p>
    <w:p w14:paraId="5A9DBB22" w14:textId="77777777" w:rsidR="00BC5219" w:rsidRPr="008A2B8F" w:rsidRDefault="00BC5219" w:rsidP="00BC5219">
      <w:pPr>
        <w:shd w:val="clear" w:color="auto" w:fill="EBEBEB"/>
        <w:rPr>
          <w:rFonts w:ascii="Meta Pro" w:eastAsia="Times New Roman" w:hAnsi="Meta Pro"/>
          <w:color w:val="000000"/>
          <w:szCs w:val="18"/>
          <w:lang w:eastAsia="en-AU"/>
        </w:rPr>
      </w:pPr>
    </w:p>
    <w:p w14:paraId="7020FDBC" w14:textId="77777777" w:rsidR="00BC5219" w:rsidRPr="008A2B8F" w:rsidRDefault="00BC5219" w:rsidP="00BC5219">
      <w:pPr>
        <w:shd w:val="clear" w:color="auto" w:fill="EBEBEB"/>
        <w:spacing w:after="120"/>
        <w:rPr>
          <w:rFonts w:ascii="Meta Pro" w:eastAsia="Times New Roman" w:hAnsi="Meta Pro"/>
          <w:b/>
          <w:bCs/>
          <w:i/>
          <w:iCs/>
          <w:szCs w:val="18"/>
          <w:lang w:eastAsia="en-AU"/>
        </w:rPr>
      </w:pPr>
      <w:r w:rsidRPr="008A2B8F">
        <w:rPr>
          <w:rFonts w:ascii="Meta Pro" w:eastAsia="Times New Roman" w:hAnsi="Meta Pro"/>
          <w:b/>
          <w:bCs/>
          <w:i/>
          <w:iCs/>
          <w:szCs w:val="18"/>
          <w:lang w:eastAsia="en-AU"/>
        </w:rPr>
        <w:t>Fair value measurement</w:t>
      </w:r>
    </w:p>
    <w:p w14:paraId="3CB31533" w14:textId="77777777" w:rsidR="00BC5219" w:rsidRPr="008A2B8F" w:rsidRDefault="00BC5219" w:rsidP="00BC5219">
      <w:pPr>
        <w:shd w:val="clear" w:color="auto" w:fill="EBEBEB"/>
        <w:rPr>
          <w:rFonts w:ascii="Meta Pro" w:eastAsia="Times New Roman" w:hAnsi="Meta Pro"/>
          <w:szCs w:val="18"/>
          <w:lang w:eastAsia="en-AU"/>
        </w:rPr>
      </w:pPr>
      <w:r w:rsidRPr="008A2B8F">
        <w:rPr>
          <w:rFonts w:ascii="Meta Pro" w:eastAsia="Times New Roman" w:hAnsi="Meta Pro"/>
          <w:szCs w:val="18"/>
          <w:lang w:eastAsia="en-AU"/>
        </w:rPr>
        <w:t>All assets and liabilities of the department for which fair value is measured or disclosed in the financial statements, are categorised within the following fair value hierarchy, based on the data and assumptions used in the most recent specific appraisals:</w:t>
      </w:r>
    </w:p>
    <w:p w14:paraId="3D4121C4" w14:textId="77777777" w:rsidR="00BC5219" w:rsidRPr="008A2B8F" w:rsidRDefault="00BC5219" w:rsidP="00BC5219">
      <w:pPr>
        <w:shd w:val="clear" w:color="auto" w:fill="EBEBEB"/>
        <w:rPr>
          <w:rFonts w:ascii="Meta Pro" w:eastAsia="Times New Roman" w:hAnsi="Meta Pro"/>
          <w:szCs w:val="18"/>
          <w:lang w:eastAsia="en-AU"/>
        </w:rPr>
      </w:pPr>
      <w:r w:rsidRPr="008A2B8F">
        <w:rPr>
          <w:rFonts w:ascii="Meta Pro" w:eastAsia="Times New Roman" w:hAnsi="Meta Pro"/>
          <w:szCs w:val="18"/>
          <w:lang w:eastAsia="en-AU"/>
        </w:rPr>
        <w:t xml:space="preserve">•   Level 1 – represents fair value measurements that reflect unadjusted quoted market prices in active markets for </w:t>
      </w:r>
      <w:r w:rsidRPr="008A2B8F">
        <w:rPr>
          <w:rFonts w:ascii="Meta Pro" w:eastAsia="Times New Roman" w:hAnsi="Meta Pro"/>
          <w:szCs w:val="18"/>
          <w:lang w:eastAsia="en-AU"/>
        </w:rPr>
        <w:br/>
        <w:t xml:space="preserve">     identical assets and liabilities</w:t>
      </w:r>
    </w:p>
    <w:p w14:paraId="06B926B0" w14:textId="77777777" w:rsidR="00BC5219" w:rsidRPr="008A2B8F" w:rsidRDefault="00BC5219" w:rsidP="00BC5219">
      <w:pPr>
        <w:shd w:val="clear" w:color="auto" w:fill="EBEBEB"/>
        <w:rPr>
          <w:rFonts w:ascii="Meta Pro" w:eastAsia="Times New Roman" w:hAnsi="Meta Pro"/>
          <w:szCs w:val="18"/>
          <w:lang w:eastAsia="en-AU"/>
        </w:rPr>
      </w:pPr>
      <w:r w:rsidRPr="008A2B8F">
        <w:rPr>
          <w:rFonts w:ascii="Meta Pro" w:eastAsia="Times New Roman" w:hAnsi="Meta Pro"/>
          <w:szCs w:val="18"/>
          <w:lang w:eastAsia="en-AU"/>
        </w:rPr>
        <w:t xml:space="preserve">•   Level 2 – represents fair value measurements that are substantially derived from inputs other than quoted prices </w:t>
      </w:r>
      <w:r w:rsidRPr="008A2B8F">
        <w:rPr>
          <w:rFonts w:ascii="Meta Pro" w:eastAsia="Times New Roman" w:hAnsi="Meta Pro"/>
          <w:szCs w:val="18"/>
          <w:lang w:eastAsia="en-AU"/>
        </w:rPr>
        <w:br/>
        <w:t xml:space="preserve">     included within level 1 that are observable, either directly or indirectly</w:t>
      </w:r>
    </w:p>
    <w:p w14:paraId="080DD02F" w14:textId="77777777" w:rsidR="00BC5219" w:rsidRPr="008A2B8F" w:rsidRDefault="00BC5219" w:rsidP="00BC5219">
      <w:pPr>
        <w:shd w:val="clear" w:color="auto" w:fill="EBEBEB"/>
        <w:rPr>
          <w:rFonts w:ascii="Meta Pro" w:eastAsia="Times New Roman" w:hAnsi="Meta Pro"/>
          <w:szCs w:val="18"/>
          <w:lang w:eastAsia="en-AU"/>
        </w:rPr>
      </w:pPr>
      <w:r w:rsidRPr="008A2B8F">
        <w:rPr>
          <w:rFonts w:ascii="Meta Pro" w:eastAsia="Times New Roman" w:hAnsi="Meta Pro"/>
          <w:szCs w:val="18"/>
          <w:lang w:eastAsia="en-AU"/>
        </w:rPr>
        <w:t>•   Level 3 – represents fair value measurements that are substantially derived from unobservable inputs.</w:t>
      </w:r>
    </w:p>
    <w:p w14:paraId="14F84EED" w14:textId="77777777" w:rsidR="00BC5219" w:rsidRPr="008A2B8F" w:rsidRDefault="00BC5219" w:rsidP="00BC5219">
      <w:pPr>
        <w:shd w:val="clear" w:color="auto" w:fill="EBEBEB"/>
        <w:rPr>
          <w:rFonts w:ascii="Meta Pro" w:eastAsia="Times New Roman" w:hAnsi="Meta Pro"/>
          <w:color w:val="000000"/>
          <w:szCs w:val="18"/>
          <w:lang w:eastAsia="en-AU"/>
        </w:rPr>
      </w:pPr>
    </w:p>
    <w:p w14:paraId="14F8A840" w14:textId="77777777" w:rsidR="00BC5219" w:rsidRPr="008A2B8F" w:rsidRDefault="00BC5219" w:rsidP="00BC5219">
      <w:pPr>
        <w:shd w:val="clear" w:color="auto" w:fill="EBEBEB"/>
        <w:spacing w:after="120"/>
        <w:rPr>
          <w:rFonts w:ascii="Meta Pro" w:eastAsia="Times New Roman" w:hAnsi="Meta Pro"/>
          <w:b/>
          <w:bCs/>
          <w:i/>
          <w:iCs/>
          <w:szCs w:val="18"/>
          <w:lang w:eastAsia="en-AU"/>
        </w:rPr>
      </w:pPr>
      <w:r w:rsidRPr="008A2B8F">
        <w:rPr>
          <w:rFonts w:ascii="Meta Pro" w:eastAsia="Times New Roman" w:hAnsi="Meta Pro"/>
          <w:b/>
          <w:bCs/>
          <w:i/>
          <w:iCs/>
          <w:szCs w:val="18"/>
          <w:lang w:eastAsia="en-AU"/>
        </w:rPr>
        <w:t>Valuation of property, plant and equipment</w:t>
      </w:r>
    </w:p>
    <w:p w14:paraId="225B6409" w14:textId="77777777" w:rsidR="00BC5219" w:rsidRPr="008A2B8F" w:rsidRDefault="00BC5219" w:rsidP="00BC5219">
      <w:pPr>
        <w:shd w:val="clear" w:color="auto" w:fill="EBEBEB"/>
        <w:spacing w:after="120"/>
        <w:rPr>
          <w:rFonts w:ascii="Meta Pro" w:hAnsi="Meta Pro"/>
          <w:b/>
          <w:bCs/>
          <w:sz w:val="24"/>
          <w:szCs w:val="24"/>
          <w:lang w:eastAsia="en-AU"/>
        </w:rPr>
      </w:pPr>
      <w:r w:rsidRPr="008A2B8F">
        <w:rPr>
          <w:rFonts w:ascii="Meta Pro" w:eastAsia="Times New Roman" w:hAnsi="Meta Pro"/>
          <w:szCs w:val="18"/>
          <w:lang w:eastAsia="en-AU"/>
        </w:rPr>
        <w:t xml:space="preserve">Plant and equipment assets and capital work in progress are measured at cost in accordance with Queensland Treasury’s </w:t>
      </w:r>
      <w:r w:rsidRPr="008A2B8F">
        <w:rPr>
          <w:rFonts w:ascii="Meta Pro" w:eastAsia="Times New Roman" w:hAnsi="Meta Pro"/>
          <w:i/>
          <w:iCs/>
          <w:szCs w:val="18"/>
          <w:lang w:eastAsia="en-AU"/>
        </w:rPr>
        <w:t>Non-Current Asset Policies for the Queensland Public Sector</w:t>
      </w:r>
      <w:r w:rsidRPr="008A2B8F">
        <w:rPr>
          <w:rFonts w:ascii="Meta Pro" w:eastAsia="Times New Roman" w:hAnsi="Meta Pro"/>
          <w:szCs w:val="18"/>
          <w:lang w:eastAsia="en-AU"/>
        </w:rPr>
        <w:t>.</w:t>
      </w:r>
    </w:p>
    <w:p w14:paraId="27197D5F" w14:textId="77777777" w:rsidR="00BC5219" w:rsidRPr="008A2B8F" w:rsidRDefault="00BC5219" w:rsidP="00BC5219">
      <w:pPr>
        <w:shd w:val="clear" w:color="auto" w:fill="EBEBEB"/>
        <w:spacing w:after="120"/>
        <w:rPr>
          <w:rFonts w:ascii="Meta Pro" w:eastAsia="Times New Roman" w:hAnsi="Meta Pro"/>
          <w:color w:val="000000"/>
          <w:szCs w:val="18"/>
          <w:lang w:eastAsia="en-AU"/>
        </w:rPr>
      </w:pPr>
      <w:r w:rsidRPr="008A2B8F">
        <w:rPr>
          <w:rFonts w:ascii="Meta Pro" w:eastAsia="Times New Roman" w:hAnsi="Meta Pro"/>
          <w:color w:val="000000"/>
          <w:szCs w:val="18"/>
          <w:lang w:eastAsia="en-AU"/>
        </w:rPr>
        <w:t>Land, buildings, major plant and equipment and infrastructure assets are measured and reported at their revalued amounts, being the fair value at the date of valuation, less any subsequent relevant accumulated depreciation and accumulated impairment.</w:t>
      </w:r>
    </w:p>
    <w:p w14:paraId="17EB5FA9" w14:textId="77777777" w:rsidR="00BC5219" w:rsidRPr="008A2B8F" w:rsidRDefault="00BC5219" w:rsidP="00BC5219">
      <w:pPr>
        <w:shd w:val="clear" w:color="auto" w:fill="EBEBEB"/>
        <w:spacing w:after="120"/>
        <w:rPr>
          <w:rFonts w:ascii="Meta Pro" w:eastAsia="Times New Roman" w:hAnsi="Meta Pro"/>
          <w:color w:val="000000"/>
          <w:szCs w:val="18"/>
          <w:lang w:eastAsia="en-AU"/>
        </w:rPr>
      </w:pPr>
      <w:r w:rsidRPr="008A2B8F">
        <w:rPr>
          <w:rFonts w:ascii="Meta Pro" w:eastAsia="Times New Roman" w:hAnsi="Meta Pro"/>
          <w:color w:val="000000"/>
          <w:szCs w:val="18"/>
          <w:lang w:eastAsia="en-AU"/>
        </w:rPr>
        <w:t>The cost of items acquired during the financial year materially represent their fair value at the end of the reporting period.</w:t>
      </w:r>
    </w:p>
    <w:p w14:paraId="3BC18813" w14:textId="77777777" w:rsidR="00BC5219" w:rsidRPr="008A2B8F" w:rsidRDefault="00BC5219" w:rsidP="00BC5219">
      <w:pPr>
        <w:shd w:val="clear" w:color="auto" w:fill="EBEBEB"/>
        <w:spacing w:after="120"/>
        <w:rPr>
          <w:rFonts w:ascii="Meta Pro" w:eastAsia="Times New Roman" w:hAnsi="Meta Pro"/>
          <w:color w:val="000000"/>
          <w:szCs w:val="18"/>
          <w:lang w:eastAsia="en-AU"/>
        </w:rPr>
      </w:pPr>
      <w:r w:rsidRPr="008A2B8F">
        <w:rPr>
          <w:rFonts w:ascii="Meta Pro" w:eastAsia="Times New Roman" w:hAnsi="Meta Pro"/>
          <w:color w:val="000000"/>
          <w:szCs w:val="18"/>
          <w:lang w:eastAsia="en-AU"/>
        </w:rPr>
        <w:t>Road infrastructure assets are valued on an annual basis by suitably qualified departmental officers and external experts. Land, buildings, major plant and equipment and other infrastructure assets are assessed by qualified valuers at least once every five years with appropriate indices being applied in the intervening years.</w:t>
      </w:r>
    </w:p>
    <w:p w14:paraId="0A8E04CA"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p>
    <w:p w14:paraId="055A8297"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p>
    <w:p w14:paraId="7C50A016"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r w:rsidRPr="008A2B8F">
        <w:rPr>
          <w:rFonts w:ascii="Meta Pro" w:eastAsia="Times New Roman" w:hAnsi="Meta Pro"/>
          <w:i/>
          <w:iCs/>
          <w:color w:val="000000" w:themeColor="text1"/>
          <w:lang w:eastAsia="en-AU"/>
        </w:rPr>
        <w:t>Department of Transport and Main Roads</w:t>
      </w:r>
    </w:p>
    <w:p w14:paraId="3C1A65E7"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Notes to the financial statements 2022–23 (continued)</w:t>
      </w:r>
    </w:p>
    <w:p w14:paraId="5BC416C6" w14:textId="77777777" w:rsidR="00BC5219" w:rsidRPr="008A2B8F" w:rsidRDefault="00BC5219" w:rsidP="00BC5219">
      <w:pPr>
        <w:spacing w:after="120" w:line="259" w:lineRule="auto"/>
        <w:rPr>
          <w:rFonts w:ascii="Meta Pro" w:eastAsia="Times New Roman" w:hAnsi="Meta Pro"/>
          <w:b/>
          <w:bCs/>
          <w:lang w:eastAsia="en-AU"/>
        </w:rPr>
      </w:pPr>
      <w:r w:rsidRPr="008A2B8F">
        <w:rPr>
          <w:rFonts w:ascii="Meta Pro" w:eastAsia="Times New Roman" w:hAnsi="Meta Pro"/>
          <w:b/>
          <w:bCs/>
          <w:lang w:eastAsia="en-AU"/>
        </w:rPr>
        <w:t>15     PROPERTY, PLANT AND EQUIPMENT (continued)</w:t>
      </w:r>
    </w:p>
    <w:p w14:paraId="0CAA8B31" w14:textId="77777777" w:rsidR="00BC5219" w:rsidRPr="008A2B8F" w:rsidRDefault="00BC5219" w:rsidP="00BC5219">
      <w:pPr>
        <w:shd w:val="clear" w:color="auto" w:fill="EBEBEB"/>
        <w:spacing w:after="120"/>
        <w:ind w:left="113" w:hanging="113"/>
        <w:jc w:val="both"/>
        <w:rPr>
          <w:rFonts w:ascii="Meta Pro" w:eastAsia="Times New Roman" w:hAnsi="Meta Pro"/>
          <w:b/>
          <w:bCs/>
          <w:color w:val="000000"/>
          <w:sz w:val="20"/>
          <w:szCs w:val="20"/>
          <w:lang w:eastAsia="en-AU"/>
        </w:rPr>
      </w:pPr>
      <w:r w:rsidRPr="008A2B8F">
        <w:rPr>
          <w:rFonts w:ascii="Meta Pro" w:eastAsia="Times New Roman" w:hAnsi="Meta Pro"/>
          <w:b/>
          <w:bCs/>
          <w:color w:val="000000"/>
          <w:sz w:val="20"/>
          <w:szCs w:val="20"/>
          <w:lang w:eastAsia="en-AU"/>
        </w:rPr>
        <w:t>Accounting policy (continued)</w:t>
      </w:r>
    </w:p>
    <w:p w14:paraId="05AA8170" w14:textId="77777777" w:rsidR="00BC5219" w:rsidRPr="008A2B8F" w:rsidRDefault="00BC5219" w:rsidP="00BC5219">
      <w:pPr>
        <w:shd w:val="clear" w:color="auto" w:fill="EBEBEB"/>
        <w:spacing w:after="120"/>
        <w:rPr>
          <w:rFonts w:ascii="Meta Pro" w:eastAsia="Times New Roman" w:hAnsi="Meta Pro"/>
          <w:b/>
          <w:bCs/>
          <w:i/>
          <w:iCs/>
          <w:szCs w:val="18"/>
          <w:lang w:eastAsia="en-AU"/>
        </w:rPr>
      </w:pPr>
      <w:r w:rsidRPr="008A2B8F">
        <w:rPr>
          <w:rFonts w:ascii="Meta Pro" w:eastAsia="Times New Roman" w:hAnsi="Meta Pro"/>
          <w:b/>
          <w:bCs/>
          <w:i/>
          <w:iCs/>
          <w:szCs w:val="18"/>
          <w:lang w:eastAsia="en-AU"/>
        </w:rPr>
        <w:t>Valuation of property, plant and equipment (continued)</w:t>
      </w:r>
    </w:p>
    <w:p w14:paraId="793466B9" w14:textId="77777777" w:rsidR="00BC5219" w:rsidRPr="008A2B8F" w:rsidRDefault="00BC5219" w:rsidP="00BC5219">
      <w:pPr>
        <w:shd w:val="clear" w:color="auto" w:fill="EBEBEB"/>
        <w:spacing w:after="120"/>
        <w:rPr>
          <w:rFonts w:ascii="Meta Pro" w:eastAsia="Times New Roman" w:hAnsi="Meta Pro"/>
          <w:color w:val="000000"/>
          <w:szCs w:val="18"/>
          <w:lang w:eastAsia="en-AU"/>
        </w:rPr>
      </w:pPr>
      <w:r w:rsidRPr="008A2B8F">
        <w:rPr>
          <w:rFonts w:ascii="Meta Pro" w:eastAsia="Times New Roman" w:hAnsi="Meta Pro"/>
          <w:color w:val="000000"/>
          <w:szCs w:val="18"/>
          <w:lang w:eastAsia="en-AU"/>
        </w:rPr>
        <w:t>During 2023 fair values of assets within the land, buildings, major plant and equipment and other infrastructure were updated using suitable indices.</w:t>
      </w:r>
    </w:p>
    <w:p w14:paraId="6A55BA85" w14:textId="77777777" w:rsidR="00BC5219" w:rsidRPr="008A2B8F" w:rsidRDefault="00BC5219" w:rsidP="00BC5219">
      <w:pPr>
        <w:shd w:val="clear" w:color="auto" w:fill="EBEBEB"/>
        <w:spacing w:after="120"/>
        <w:rPr>
          <w:rFonts w:ascii="Meta Pro" w:eastAsia="Times New Roman" w:hAnsi="Meta Pro"/>
          <w:color w:val="000000"/>
          <w:szCs w:val="18"/>
          <w:lang w:eastAsia="en-AU"/>
        </w:rPr>
      </w:pPr>
      <w:r w:rsidRPr="008A2B8F">
        <w:rPr>
          <w:rFonts w:ascii="Meta Pro" w:eastAsia="Times New Roman" w:hAnsi="Meta Pro"/>
          <w:color w:val="000000"/>
          <w:szCs w:val="18"/>
          <w:lang w:eastAsia="en-AU"/>
        </w:rPr>
        <w:t>Any revaluation increment arising on the revaluation of an asset is credited to the asset revaluation surplus of the appropriate class, except to the extent it reverses a revaluation decrement for the class previously recognised as an expense. A decrease in the carrying amount on revaluation is charged as an expense, to the extent it exceeds the balance, if any, in the revaluation surplus relating to that class.</w:t>
      </w:r>
    </w:p>
    <w:p w14:paraId="75E16F22" w14:textId="77777777" w:rsidR="00BC5219" w:rsidRPr="008A2B8F" w:rsidRDefault="00BC5219" w:rsidP="00BC5219">
      <w:pPr>
        <w:shd w:val="clear" w:color="auto" w:fill="EBEBEB"/>
        <w:spacing w:after="120"/>
        <w:rPr>
          <w:rFonts w:ascii="Meta Pro" w:eastAsia="Times New Roman" w:hAnsi="Meta Pro"/>
          <w:color w:val="000000"/>
          <w:szCs w:val="18"/>
          <w:lang w:eastAsia="en-AU"/>
        </w:rPr>
      </w:pPr>
      <w:r w:rsidRPr="008A2B8F">
        <w:rPr>
          <w:rFonts w:ascii="Meta Pro" w:eastAsia="Times New Roman" w:hAnsi="Meta Pro"/>
          <w:color w:val="000000"/>
          <w:szCs w:val="18"/>
          <w:lang w:eastAsia="en-AU"/>
        </w:rPr>
        <w:t xml:space="preserve">For assets revalued using a cost valuation approach accumulated depreciation is adjusted to equal the difference between the gross amount and carrying amount. </w:t>
      </w:r>
    </w:p>
    <w:p w14:paraId="64715DFD" w14:textId="77777777" w:rsidR="00BC5219" w:rsidRPr="008A2B8F" w:rsidRDefault="00BC5219" w:rsidP="00BC5219">
      <w:pPr>
        <w:shd w:val="clear" w:color="auto" w:fill="EBEBEB"/>
        <w:rPr>
          <w:rFonts w:ascii="Meta Pro" w:eastAsia="Times New Roman" w:hAnsi="Meta Pro"/>
          <w:color w:val="000000"/>
          <w:szCs w:val="18"/>
          <w:lang w:eastAsia="en-AU"/>
        </w:rPr>
        <w:sectPr w:rsidR="00BC5219" w:rsidRPr="008A2B8F" w:rsidSect="000C7393">
          <w:headerReference w:type="default" r:id="rId109"/>
          <w:footerReference w:type="default" r:id="rId110"/>
          <w:type w:val="continuous"/>
          <w:pgSz w:w="11906" w:h="16838"/>
          <w:pgMar w:top="1701" w:right="851" w:bottom="1134" w:left="851" w:header="454" w:footer="340" w:gutter="0"/>
          <w:pgNumType w:start="24"/>
          <w:cols w:space="708"/>
          <w:docGrid w:linePitch="360"/>
        </w:sectPr>
      </w:pPr>
      <w:r w:rsidRPr="008A2B8F">
        <w:rPr>
          <w:rFonts w:ascii="Meta Pro" w:eastAsia="Times New Roman" w:hAnsi="Meta Pro"/>
          <w:color w:val="000000"/>
          <w:szCs w:val="18"/>
          <w:lang w:eastAsia="en-AU"/>
        </w:rPr>
        <w:lastRenderedPageBreak/>
        <w:t>For assets revalued using a market or income based valuation approach accumulated depreciation is eliminated against the gross amount of the asset prior to restating for the revaluation.</w:t>
      </w:r>
    </w:p>
    <w:p w14:paraId="6C2FAFD0" w14:textId="77777777" w:rsidR="00BC5219" w:rsidRPr="008A2B8F" w:rsidRDefault="00BC5219" w:rsidP="00BC5219">
      <w:pPr>
        <w:shd w:val="clear" w:color="auto" w:fill="EBEBEB"/>
        <w:rPr>
          <w:rFonts w:ascii="Meta Pro" w:eastAsia="Times New Roman" w:hAnsi="Meta Pro"/>
          <w:i/>
          <w:iCs/>
          <w:szCs w:val="18"/>
          <w:u w:val="single"/>
          <w:lang w:eastAsia="en-AU"/>
        </w:rPr>
      </w:pPr>
    </w:p>
    <w:p w14:paraId="7C78B6E5" w14:textId="77777777" w:rsidR="00BC5219" w:rsidRPr="008A2B8F" w:rsidRDefault="00BC5219" w:rsidP="00BC5219">
      <w:pPr>
        <w:shd w:val="clear" w:color="auto" w:fill="EBEBEB"/>
        <w:spacing w:after="120"/>
        <w:rPr>
          <w:rFonts w:ascii="Meta Pro" w:eastAsia="Times New Roman" w:hAnsi="Meta Pro"/>
          <w:i/>
          <w:iCs/>
          <w:szCs w:val="18"/>
          <w:u w:val="single"/>
          <w:lang w:eastAsia="en-AU"/>
        </w:rPr>
      </w:pPr>
      <w:r w:rsidRPr="008A2B8F">
        <w:rPr>
          <w:rFonts w:ascii="Meta Pro" w:eastAsia="Times New Roman" w:hAnsi="Meta Pro"/>
          <w:i/>
          <w:iCs/>
          <w:szCs w:val="18"/>
          <w:u w:val="single"/>
          <w:lang w:eastAsia="en-AU"/>
        </w:rPr>
        <w:t>Land</w:t>
      </w:r>
    </w:p>
    <w:p w14:paraId="3E0D649B" w14:textId="77777777" w:rsidR="00BC5219" w:rsidRPr="008A2B8F" w:rsidRDefault="00BC5219" w:rsidP="00BC5219">
      <w:pPr>
        <w:shd w:val="clear" w:color="auto" w:fill="EBEBEB"/>
        <w:spacing w:after="120"/>
        <w:rPr>
          <w:rFonts w:ascii="Meta Pro" w:eastAsia="Times New Roman" w:hAnsi="Meta Pro"/>
          <w:color w:val="000000"/>
          <w:szCs w:val="18"/>
          <w:lang w:eastAsia="en-AU"/>
        </w:rPr>
      </w:pPr>
      <w:r w:rsidRPr="008A2B8F">
        <w:rPr>
          <w:rFonts w:ascii="Meta Pro" w:eastAsia="Times New Roman" w:hAnsi="Meta Pro"/>
          <w:color w:val="000000"/>
          <w:szCs w:val="18"/>
          <w:lang w:eastAsia="en-AU"/>
        </w:rPr>
        <w:t>The department’s land was last revalued based on specific appraisal by external valuers and the department's Property Branch effective from September 2020. The fair value of land was based on recent comparable sales of similar land. Factors such as land restrictions, availability of market information and comparable sales were also taken into consideration during this specific appraisal.</w:t>
      </w:r>
    </w:p>
    <w:p w14:paraId="22D95A10" w14:textId="77777777" w:rsidR="00BC5219" w:rsidRPr="008A2B8F" w:rsidRDefault="00BC5219" w:rsidP="00BC5219">
      <w:pPr>
        <w:shd w:val="clear" w:color="auto" w:fill="EBEBEB"/>
        <w:spacing w:after="120"/>
        <w:rPr>
          <w:rFonts w:ascii="Meta Pro" w:eastAsia="Times New Roman" w:hAnsi="Meta Pro"/>
          <w:color w:val="000000"/>
          <w:szCs w:val="18"/>
          <w:lang w:eastAsia="en-AU"/>
        </w:rPr>
      </w:pPr>
      <w:r w:rsidRPr="008A2B8F">
        <w:rPr>
          <w:rFonts w:ascii="Meta Pro" w:eastAsia="Times New Roman" w:hAnsi="Meta Pro"/>
          <w:color w:val="000000"/>
          <w:szCs w:val="18"/>
          <w:lang w:eastAsia="en-AU"/>
        </w:rPr>
        <w:t>The State Valuation Service has provided an individual factor change per property to determine fair value in 2023. In determining indices, the valuation incorporated market sales data, land valuations issued by the Valuer-General, the location of the department's land, its size, shape, street or road frontage and access and any other significant restrictions.</w:t>
      </w:r>
    </w:p>
    <w:p w14:paraId="0760E3CB" w14:textId="77777777" w:rsidR="00BC5219" w:rsidRPr="008A2B8F" w:rsidRDefault="00BC5219" w:rsidP="00BC5219">
      <w:pPr>
        <w:shd w:val="clear" w:color="auto" w:fill="EBEBEB"/>
        <w:spacing w:after="120"/>
        <w:rPr>
          <w:rFonts w:ascii="Meta Pro" w:eastAsia="Times New Roman" w:hAnsi="Meta Pro"/>
          <w:szCs w:val="18"/>
          <w:lang w:eastAsia="en-AU"/>
        </w:rPr>
      </w:pPr>
      <w:r w:rsidRPr="008A2B8F">
        <w:rPr>
          <w:rFonts w:ascii="Meta Pro" w:eastAsia="Times New Roman" w:hAnsi="Meta Pro"/>
          <w:szCs w:val="18"/>
          <w:lang w:eastAsia="en-AU"/>
        </w:rPr>
        <w:t>In accordance with AASB 13</w:t>
      </w:r>
      <w:r w:rsidRPr="008A2B8F">
        <w:rPr>
          <w:rFonts w:ascii="Meta Pro" w:eastAsia="Times New Roman" w:hAnsi="Meta Pro"/>
          <w:i/>
          <w:iCs/>
          <w:szCs w:val="18"/>
          <w:lang w:eastAsia="en-AU"/>
        </w:rPr>
        <w:t xml:space="preserve"> Fair Value Measurement,</w:t>
      </w:r>
      <w:r w:rsidRPr="008A2B8F">
        <w:rPr>
          <w:rFonts w:ascii="Meta Pro" w:eastAsia="Times New Roman" w:hAnsi="Meta Pro"/>
          <w:szCs w:val="18"/>
          <w:lang w:eastAsia="en-AU"/>
        </w:rPr>
        <w:t xml:space="preserve"> the department's land assets are generally categorised as level 2.</w:t>
      </w:r>
    </w:p>
    <w:p w14:paraId="2B0F9D44" w14:textId="77777777" w:rsidR="00BC5219" w:rsidRPr="008A2B8F" w:rsidRDefault="00BC5219" w:rsidP="00BC5219">
      <w:pPr>
        <w:shd w:val="clear" w:color="auto" w:fill="EBEBEB"/>
        <w:rPr>
          <w:rFonts w:ascii="Meta Pro" w:eastAsia="Times New Roman" w:hAnsi="Meta Pro"/>
          <w:szCs w:val="18"/>
          <w:lang w:eastAsia="en-AU"/>
        </w:rPr>
      </w:pPr>
      <w:r w:rsidRPr="008A2B8F">
        <w:rPr>
          <w:rFonts w:ascii="Meta Pro" w:eastAsia="Times New Roman" w:hAnsi="Meta Pro"/>
          <w:szCs w:val="18"/>
          <w:lang w:eastAsia="en-AU"/>
        </w:rPr>
        <w:t xml:space="preserve">Land subject to restrictions due to its size or use, and or ability to be sold, such as land located in areas where there is not an active market, has been classified as level 3. </w:t>
      </w:r>
    </w:p>
    <w:p w14:paraId="11110E3A" w14:textId="77777777" w:rsidR="00BC5219" w:rsidRPr="008A2B8F" w:rsidRDefault="00BC5219" w:rsidP="00BC5219">
      <w:pPr>
        <w:shd w:val="clear" w:color="auto" w:fill="EBEBEB"/>
        <w:rPr>
          <w:rFonts w:ascii="Meta Pro" w:eastAsia="Times New Roman" w:hAnsi="Meta Pro"/>
          <w:color w:val="000000"/>
          <w:szCs w:val="18"/>
          <w:lang w:eastAsia="en-AU"/>
        </w:rPr>
      </w:pPr>
    </w:p>
    <w:p w14:paraId="565B7659" w14:textId="77777777" w:rsidR="00BC5219" w:rsidRPr="008A2B8F" w:rsidRDefault="00BC5219" w:rsidP="00BC5219">
      <w:pPr>
        <w:shd w:val="clear" w:color="auto" w:fill="EBEBEB"/>
        <w:spacing w:after="120"/>
        <w:rPr>
          <w:rFonts w:ascii="Meta Pro" w:eastAsia="Times New Roman" w:hAnsi="Meta Pro"/>
          <w:i/>
          <w:iCs/>
          <w:szCs w:val="18"/>
          <w:u w:val="single"/>
          <w:lang w:eastAsia="en-AU"/>
        </w:rPr>
      </w:pPr>
      <w:r w:rsidRPr="008A2B8F">
        <w:rPr>
          <w:rFonts w:ascii="Meta Pro" w:eastAsia="Times New Roman" w:hAnsi="Meta Pro"/>
          <w:i/>
          <w:iCs/>
          <w:szCs w:val="18"/>
          <w:u w:val="single"/>
          <w:lang w:eastAsia="en-AU"/>
        </w:rPr>
        <w:t>Buildings</w:t>
      </w:r>
    </w:p>
    <w:p w14:paraId="0DD825C7" w14:textId="77777777" w:rsidR="00BC5219" w:rsidRPr="008A2B8F" w:rsidRDefault="00BC5219" w:rsidP="00BC5219">
      <w:pPr>
        <w:shd w:val="clear" w:color="auto" w:fill="EBEBEB"/>
        <w:spacing w:after="120"/>
        <w:rPr>
          <w:rFonts w:ascii="Meta Pro" w:eastAsia="Times New Roman" w:hAnsi="Meta Pro"/>
          <w:szCs w:val="18"/>
          <w:lang w:eastAsia="en-AU"/>
        </w:rPr>
      </w:pPr>
      <w:r w:rsidRPr="008A2B8F">
        <w:rPr>
          <w:rFonts w:ascii="Meta Pro" w:eastAsia="Times New Roman" w:hAnsi="Meta Pro"/>
          <w:szCs w:val="18"/>
          <w:lang w:eastAsia="en-AU"/>
        </w:rPr>
        <w:t xml:space="preserve">The department's buildings were last revalued based on specific appraisal by various external valuers and registered valuers from the department's </w:t>
      </w:r>
      <w:bookmarkStart w:id="50" w:name="_Hlk133271680"/>
      <w:r w:rsidRPr="008A2B8F">
        <w:rPr>
          <w:rFonts w:ascii="Meta Pro" w:eastAsia="Times New Roman" w:hAnsi="Meta Pro"/>
          <w:szCs w:val="18"/>
          <w:lang w:eastAsia="en-AU"/>
        </w:rPr>
        <w:t>Property Branch effective from September 2020</w:t>
      </w:r>
      <w:bookmarkEnd w:id="50"/>
      <w:r w:rsidRPr="008A2B8F">
        <w:rPr>
          <w:rFonts w:ascii="Meta Pro" w:eastAsia="Times New Roman" w:hAnsi="Meta Pro"/>
          <w:szCs w:val="18"/>
          <w:lang w:eastAsia="en-AU"/>
        </w:rPr>
        <w:t xml:space="preserve">. The fair value of building assets was based on recent comparable sales. Factors such as current building use, availability of market information and building condition were also taken into consideration during this specific appraisal. </w:t>
      </w:r>
    </w:p>
    <w:p w14:paraId="382DF6EB" w14:textId="77777777" w:rsidR="00BC5219" w:rsidRPr="008A2B8F" w:rsidRDefault="00BC5219" w:rsidP="00BC5219">
      <w:pPr>
        <w:shd w:val="clear" w:color="auto" w:fill="EBEBEB"/>
        <w:spacing w:after="120"/>
        <w:rPr>
          <w:rFonts w:ascii="Meta Pro" w:eastAsia="Times New Roman" w:hAnsi="Meta Pro"/>
          <w:szCs w:val="18"/>
          <w:lang w:eastAsia="en-AU"/>
        </w:rPr>
      </w:pPr>
      <w:r w:rsidRPr="008A2B8F">
        <w:rPr>
          <w:rFonts w:ascii="Meta Pro" w:eastAsia="Times New Roman" w:hAnsi="Meta Pro"/>
          <w:szCs w:val="18"/>
          <w:lang w:eastAsia="en-AU"/>
        </w:rPr>
        <w:t xml:space="preserve">The department's buildings were revalued in 2023 based on indexation information provided by various external valuers. </w:t>
      </w:r>
    </w:p>
    <w:p w14:paraId="566674FB" w14:textId="77777777" w:rsidR="00BC5219" w:rsidRPr="008A2B8F" w:rsidRDefault="00BC5219" w:rsidP="00BC5219">
      <w:pPr>
        <w:shd w:val="clear" w:color="auto" w:fill="EBEBEB"/>
        <w:rPr>
          <w:rFonts w:ascii="Meta Pro" w:eastAsia="Times New Roman" w:hAnsi="Meta Pro"/>
          <w:color w:val="000000"/>
          <w:szCs w:val="18"/>
          <w:lang w:eastAsia="en-AU"/>
        </w:rPr>
      </w:pPr>
      <w:r w:rsidRPr="008A2B8F">
        <w:rPr>
          <w:rFonts w:ascii="Meta Pro" w:eastAsia="Times New Roman" w:hAnsi="Meta Pro"/>
          <w:szCs w:val="18"/>
          <w:lang w:eastAsia="en-AU"/>
        </w:rPr>
        <w:t xml:space="preserve">The department's building assets are categorised as a combination of level 2 and level 3 in accordance with AASB 13 </w:t>
      </w:r>
      <w:r w:rsidRPr="008A2B8F">
        <w:rPr>
          <w:rFonts w:ascii="Meta Pro" w:eastAsia="Times New Roman" w:hAnsi="Meta Pro"/>
          <w:i/>
          <w:iCs/>
          <w:szCs w:val="18"/>
          <w:lang w:eastAsia="en-AU"/>
        </w:rPr>
        <w:t>Fair Value Measurement</w:t>
      </w:r>
      <w:r w:rsidRPr="008A2B8F">
        <w:rPr>
          <w:rFonts w:ascii="Meta Pro" w:eastAsia="Times New Roman" w:hAnsi="Meta Pro"/>
          <w:szCs w:val="18"/>
          <w:lang w:eastAsia="en-AU"/>
        </w:rPr>
        <w:t>. Significant buildings not used for residential purposes without an active market have been classified as level 3.</w:t>
      </w:r>
    </w:p>
    <w:p w14:paraId="33A29255" w14:textId="77777777" w:rsidR="00BC5219" w:rsidRPr="008A2B8F" w:rsidRDefault="00BC5219" w:rsidP="00BC5219">
      <w:pPr>
        <w:shd w:val="clear" w:color="auto" w:fill="EBEBEB"/>
        <w:rPr>
          <w:rFonts w:ascii="Meta Pro" w:eastAsia="Times New Roman" w:hAnsi="Meta Pro"/>
          <w:color w:val="000000"/>
          <w:szCs w:val="18"/>
          <w:lang w:eastAsia="en-AU"/>
        </w:rPr>
      </w:pPr>
    </w:p>
    <w:p w14:paraId="7ED495DA" w14:textId="77777777" w:rsidR="00BC5219" w:rsidRPr="008A2B8F" w:rsidRDefault="00BC5219" w:rsidP="00BC5219">
      <w:pPr>
        <w:shd w:val="clear" w:color="auto" w:fill="EBEBEB"/>
        <w:spacing w:after="120"/>
        <w:rPr>
          <w:rFonts w:ascii="Meta Pro" w:eastAsia="Times New Roman" w:hAnsi="Meta Pro"/>
          <w:i/>
          <w:iCs/>
          <w:szCs w:val="18"/>
          <w:u w:val="single"/>
          <w:lang w:eastAsia="en-AU"/>
        </w:rPr>
      </w:pPr>
      <w:r w:rsidRPr="008A2B8F">
        <w:rPr>
          <w:rFonts w:ascii="Meta Pro" w:eastAsia="Times New Roman" w:hAnsi="Meta Pro"/>
          <w:i/>
          <w:iCs/>
          <w:szCs w:val="18"/>
          <w:u w:val="single"/>
          <w:lang w:eastAsia="en-AU"/>
        </w:rPr>
        <w:t>Major plant and equipment</w:t>
      </w:r>
    </w:p>
    <w:p w14:paraId="3C85B745" w14:textId="77777777" w:rsidR="00BC5219" w:rsidRPr="008A2B8F" w:rsidRDefault="00BC5219" w:rsidP="00BC5219">
      <w:pPr>
        <w:shd w:val="clear" w:color="auto" w:fill="EBEBEB"/>
        <w:spacing w:after="120"/>
        <w:rPr>
          <w:rFonts w:ascii="Meta Pro" w:eastAsia="Times New Roman" w:hAnsi="Meta Pro"/>
          <w:szCs w:val="18"/>
          <w:lang w:eastAsia="en-AU"/>
        </w:rPr>
      </w:pPr>
      <w:r w:rsidRPr="008A2B8F">
        <w:rPr>
          <w:rFonts w:ascii="Meta Pro" w:eastAsia="Times New Roman" w:hAnsi="Meta Pro"/>
          <w:szCs w:val="18"/>
          <w:lang w:eastAsia="en-AU"/>
        </w:rPr>
        <w:t>The department's major plant and equipment was last revalued based on specific appraisal by an external valuer effective from September 2020.</w:t>
      </w:r>
    </w:p>
    <w:p w14:paraId="70D49B45" w14:textId="77777777" w:rsidR="00BC5219" w:rsidRPr="008A2B8F" w:rsidRDefault="00BC5219" w:rsidP="00BC5219">
      <w:pPr>
        <w:shd w:val="clear" w:color="auto" w:fill="EBEBEB"/>
        <w:spacing w:after="120"/>
        <w:rPr>
          <w:rFonts w:ascii="Meta Pro" w:eastAsia="Times New Roman" w:hAnsi="Meta Pro"/>
          <w:szCs w:val="18"/>
          <w:lang w:eastAsia="en-AU"/>
        </w:rPr>
      </w:pPr>
      <w:r w:rsidRPr="008A2B8F">
        <w:rPr>
          <w:rFonts w:ascii="Meta Pro" w:eastAsia="Times New Roman" w:hAnsi="Meta Pro"/>
          <w:szCs w:val="18"/>
          <w:lang w:eastAsia="en-AU"/>
        </w:rPr>
        <w:t>The valuation method used is current replacement cost as there is no active market existing for such assets. The approach consists of reviewing recent local and international rolling stock contracts adjusted for the relevant producer price index and historical exchange rates.</w:t>
      </w:r>
    </w:p>
    <w:p w14:paraId="275591AA" w14:textId="77777777" w:rsidR="00BC5219" w:rsidRPr="008A2B8F" w:rsidRDefault="00BC5219" w:rsidP="00BC5219">
      <w:pPr>
        <w:shd w:val="clear" w:color="auto" w:fill="EBEBEB"/>
        <w:spacing w:after="120"/>
        <w:rPr>
          <w:rFonts w:ascii="Meta Pro" w:eastAsia="Times New Roman" w:hAnsi="Meta Pro"/>
          <w:szCs w:val="18"/>
          <w:lang w:eastAsia="en-AU"/>
        </w:rPr>
      </w:pPr>
      <w:r w:rsidRPr="008A2B8F">
        <w:rPr>
          <w:rFonts w:ascii="Meta Pro" w:eastAsia="Times New Roman" w:hAnsi="Meta Pro"/>
          <w:szCs w:val="18"/>
          <w:lang w:eastAsia="en-AU"/>
        </w:rPr>
        <w:t>The department's major plant and equipment was revalued in 2023 based on indexation information provided by an external valuer.</w:t>
      </w:r>
    </w:p>
    <w:p w14:paraId="18C1FA4E" w14:textId="77777777" w:rsidR="00BC5219" w:rsidRPr="008A2B8F" w:rsidRDefault="00BC5219" w:rsidP="00BC5219">
      <w:pPr>
        <w:shd w:val="clear" w:color="auto" w:fill="EBEBEB"/>
        <w:spacing w:after="120"/>
        <w:rPr>
          <w:rFonts w:ascii="Meta Pro" w:eastAsia="Times New Roman" w:hAnsi="Meta Pro"/>
          <w:szCs w:val="18"/>
          <w:lang w:eastAsia="en-AU"/>
        </w:rPr>
      </w:pPr>
      <w:r w:rsidRPr="008A2B8F">
        <w:rPr>
          <w:rFonts w:ascii="Meta Pro" w:eastAsia="Times New Roman" w:hAnsi="Meta Pro"/>
          <w:szCs w:val="18"/>
          <w:lang w:eastAsia="en-AU"/>
        </w:rPr>
        <w:t>Significant judgement is also used to assess the remaining service potential of the assets, including current condition.</w:t>
      </w:r>
    </w:p>
    <w:p w14:paraId="64AC4A1E" w14:textId="77777777" w:rsidR="00BC5219" w:rsidRPr="008A2B8F" w:rsidRDefault="00BC5219" w:rsidP="00BC5219">
      <w:pPr>
        <w:shd w:val="clear" w:color="auto" w:fill="EBEBEB"/>
        <w:rPr>
          <w:rFonts w:ascii="Meta Pro" w:eastAsia="Times New Roman" w:hAnsi="Meta Pro"/>
          <w:szCs w:val="18"/>
          <w:lang w:eastAsia="en-AU"/>
        </w:rPr>
      </w:pPr>
      <w:r w:rsidRPr="008A2B8F">
        <w:rPr>
          <w:rFonts w:ascii="Meta Pro" w:eastAsia="Times New Roman" w:hAnsi="Meta Pro"/>
          <w:szCs w:val="18"/>
          <w:lang w:eastAsia="en-AU"/>
        </w:rPr>
        <w:t xml:space="preserve">In accordance with AASB 13 </w:t>
      </w:r>
      <w:r w:rsidRPr="008A2B8F">
        <w:rPr>
          <w:rFonts w:ascii="Meta Pro" w:eastAsia="Times New Roman" w:hAnsi="Meta Pro"/>
          <w:i/>
          <w:iCs/>
          <w:szCs w:val="18"/>
          <w:lang w:eastAsia="en-AU"/>
        </w:rPr>
        <w:t>Fair Value Measurement</w:t>
      </w:r>
      <w:r w:rsidRPr="008A2B8F">
        <w:rPr>
          <w:rFonts w:ascii="Meta Pro" w:eastAsia="Times New Roman" w:hAnsi="Meta Pro"/>
          <w:szCs w:val="18"/>
          <w:lang w:eastAsia="en-AU"/>
        </w:rPr>
        <w:t>, major plant and equipment assets are categorised as level 3.</w:t>
      </w:r>
    </w:p>
    <w:p w14:paraId="40A43B30" w14:textId="77777777" w:rsidR="00BC5219" w:rsidRPr="008A2B8F" w:rsidRDefault="00BC5219" w:rsidP="00BC5219">
      <w:pPr>
        <w:spacing w:after="120" w:line="168" w:lineRule="auto"/>
        <w:rPr>
          <w:rFonts w:ascii="Meta Pro" w:hAnsi="Meta Pro"/>
          <w:i/>
          <w:iCs/>
          <w:sz w:val="24"/>
          <w:szCs w:val="24"/>
        </w:rPr>
      </w:pPr>
    </w:p>
    <w:p w14:paraId="777F758E"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r w:rsidRPr="008A2B8F">
        <w:rPr>
          <w:rFonts w:ascii="Meta Pro" w:eastAsia="Times New Roman" w:hAnsi="Meta Pro"/>
          <w:i/>
          <w:iCs/>
          <w:color w:val="000000" w:themeColor="text1"/>
          <w:lang w:eastAsia="en-AU"/>
        </w:rPr>
        <w:t>Department of Transport and Main Roads</w:t>
      </w:r>
    </w:p>
    <w:p w14:paraId="6FCDAF9C"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Notes to the financial statements 2022–23 (continued)</w:t>
      </w:r>
    </w:p>
    <w:p w14:paraId="40D6EA95" w14:textId="77777777" w:rsidR="00BC5219" w:rsidRPr="008A2B8F" w:rsidRDefault="00BC5219" w:rsidP="00BC5219">
      <w:pPr>
        <w:spacing w:after="120" w:line="259" w:lineRule="auto"/>
        <w:rPr>
          <w:rFonts w:ascii="Meta Pro" w:eastAsia="Times New Roman" w:hAnsi="Meta Pro"/>
          <w:b/>
          <w:bCs/>
          <w:lang w:eastAsia="en-AU"/>
        </w:rPr>
      </w:pPr>
      <w:r w:rsidRPr="008A2B8F">
        <w:rPr>
          <w:rFonts w:ascii="Meta Pro" w:eastAsia="Times New Roman" w:hAnsi="Meta Pro"/>
          <w:b/>
          <w:bCs/>
          <w:lang w:eastAsia="en-AU"/>
        </w:rPr>
        <w:t>15     PROPERTY, PLANT AND EQUIPMENT (continued)</w:t>
      </w:r>
    </w:p>
    <w:p w14:paraId="0FF23A29" w14:textId="77777777" w:rsidR="00BC5219" w:rsidRPr="008A2B8F" w:rsidRDefault="00BC5219" w:rsidP="00BC5219">
      <w:pPr>
        <w:shd w:val="clear" w:color="auto" w:fill="EBEBEB"/>
        <w:spacing w:after="120"/>
        <w:ind w:left="113" w:hanging="113"/>
        <w:jc w:val="both"/>
        <w:rPr>
          <w:rFonts w:ascii="Meta Pro" w:eastAsia="Times New Roman" w:hAnsi="Meta Pro"/>
          <w:b/>
          <w:bCs/>
          <w:color w:val="000000"/>
          <w:sz w:val="20"/>
          <w:szCs w:val="20"/>
          <w:lang w:eastAsia="en-AU"/>
        </w:rPr>
      </w:pPr>
      <w:r w:rsidRPr="008A2B8F">
        <w:rPr>
          <w:rFonts w:ascii="Meta Pro" w:eastAsia="Times New Roman" w:hAnsi="Meta Pro"/>
          <w:b/>
          <w:bCs/>
          <w:color w:val="000000"/>
          <w:sz w:val="20"/>
          <w:szCs w:val="20"/>
          <w:lang w:eastAsia="en-AU"/>
        </w:rPr>
        <w:t>Accounting policy (continued)</w:t>
      </w:r>
    </w:p>
    <w:p w14:paraId="5AADFD2D" w14:textId="77777777" w:rsidR="00BC5219" w:rsidRPr="008A2B8F" w:rsidRDefault="00BC5219" w:rsidP="00BC5219">
      <w:pPr>
        <w:shd w:val="clear" w:color="auto" w:fill="EBEBEB"/>
        <w:spacing w:after="120"/>
        <w:rPr>
          <w:rFonts w:ascii="Meta Pro" w:eastAsia="Times New Roman" w:hAnsi="Meta Pro"/>
          <w:b/>
          <w:bCs/>
          <w:i/>
          <w:iCs/>
          <w:szCs w:val="18"/>
          <w:lang w:eastAsia="en-AU"/>
        </w:rPr>
      </w:pPr>
      <w:r w:rsidRPr="008A2B8F">
        <w:rPr>
          <w:rFonts w:ascii="Meta Pro" w:eastAsia="Times New Roman" w:hAnsi="Meta Pro"/>
          <w:b/>
          <w:bCs/>
          <w:i/>
          <w:iCs/>
          <w:szCs w:val="18"/>
          <w:lang w:eastAsia="en-AU"/>
        </w:rPr>
        <w:t>Valuation of property, plant and equipment (continued)</w:t>
      </w:r>
    </w:p>
    <w:p w14:paraId="5FD68FB9" w14:textId="77777777" w:rsidR="00BC5219" w:rsidRPr="008A2B8F" w:rsidRDefault="00BC5219" w:rsidP="00BC5219">
      <w:pPr>
        <w:shd w:val="clear" w:color="auto" w:fill="EBEBEB"/>
        <w:rPr>
          <w:rFonts w:ascii="Meta Pro" w:eastAsia="Times New Roman" w:hAnsi="Meta Pro"/>
          <w:i/>
          <w:iCs/>
          <w:szCs w:val="18"/>
          <w:u w:val="single"/>
          <w:lang w:eastAsia="en-AU"/>
        </w:rPr>
      </w:pPr>
      <w:r w:rsidRPr="008A2B8F">
        <w:rPr>
          <w:rFonts w:ascii="Meta Pro" w:eastAsia="Times New Roman" w:hAnsi="Meta Pro"/>
          <w:i/>
          <w:iCs/>
          <w:szCs w:val="18"/>
          <w:u w:val="single"/>
          <w:lang w:eastAsia="en-AU"/>
        </w:rPr>
        <w:lastRenderedPageBreak/>
        <w:t xml:space="preserve">Infrastructure </w:t>
      </w:r>
    </w:p>
    <w:p w14:paraId="45548705" w14:textId="77777777" w:rsidR="00BC5219" w:rsidRPr="008A2B8F" w:rsidRDefault="00BC5219" w:rsidP="00BC5219">
      <w:pPr>
        <w:shd w:val="clear" w:color="auto" w:fill="EBEBEB"/>
        <w:spacing w:after="120"/>
        <w:rPr>
          <w:rFonts w:ascii="Meta Pro" w:hAnsi="Meta Pro"/>
          <w:b/>
          <w:bCs/>
          <w:sz w:val="24"/>
          <w:szCs w:val="24"/>
          <w:lang w:eastAsia="en-AU"/>
        </w:rPr>
      </w:pPr>
      <w:r w:rsidRPr="008A2B8F">
        <w:rPr>
          <w:rFonts w:ascii="Meta Pro" w:eastAsia="Times New Roman" w:hAnsi="Meta Pro"/>
          <w:szCs w:val="18"/>
          <w:lang w:eastAsia="en-AU"/>
        </w:rPr>
        <w:t>A full management valuation of the road infrastructure network asset as at 31 March 2023 was completed by suitably qualified and experienced departmental engineers and staff. The valuation methodology adopted to calculate fair value is based on the cost to acquire the service potential embodied in an asset and adjusted to reflect the asset’s present condition, functionality, technological and economic obsolescence. This is the estimated cost to replace an asset with an appropriate modern equivalent using current construction materials and standards, adjusted for changes in utility and service level.</w:t>
      </w:r>
    </w:p>
    <w:p w14:paraId="56CCAA59" w14:textId="77777777" w:rsidR="00BC5219" w:rsidRPr="008A2B8F" w:rsidRDefault="00BC5219" w:rsidP="00BC5219">
      <w:pPr>
        <w:shd w:val="clear" w:color="auto" w:fill="EBEBEB"/>
        <w:spacing w:after="120"/>
        <w:rPr>
          <w:rFonts w:ascii="Meta Pro" w:eastAsia="Times New Roman" w:hAnsi="Meta Pro"/>
          <w:szCs w:val="18"/>
          <w:lang w:eastAsia="en-AU"/>
        </w:rPr>
      </w:pPr>
      <w:r w:rsidRPr="008A2B8F">
        <w:rPr>
          <w:rFonts w:ascii="Meta Pro" w:eastAsia="Times New Roman" w:hAnsi="Meta Pro"/>
          <w:szCs w:val="18"/>
          <w:lang w:eastAsia="en-AU"/>
        </w:rPr>
        <w:t>The valuation involves a resource-based assessment to develop unit rates that provide a sound representation of the cost of replacing the service potential embodied in the asset. This process utilises the following key assumptions and judgements:</w:t>
      </w:r>
    </w:p>
    <w:p w14:paraId="04B008E1" w14:textId="77777777" w:rsidR="00BC5219" w:rsidRPr="008A2B8F" w:rsidRDefault="00BC5219" w:rsidP="00BC5219">
      <w:pPr>
        <w:shd w:val="clear" w:color="auto" w:fill="EBEBEB"/>
        <w:rPr>
          <w:rFonts w:ascii="Meta Pro" w:eastAsia="Times New Roman" w:hAnsi="Meta Pro"/>
          <w:szCs w:val="18"/>
          <w:lang w:eastAsia="en-AU"/>
        </w:rPr>
      </w:pPr>
      <w:r w:rsidRPr="008A2B8F">
        <w:rPr>
          <w:rFonts w:ascii="Meta Pro" w:eastAsia="Times New Roman" w:hAnsi="Meta Pro"/>
          <w:szCs w:val="18"/>
          <w:lang w:eastAsia="en-AU"/>
        </w:rPr>
        <w:t>•   Stereotypical roads – The road network is broken down into stereotypical roads as a way of standardising the</w:t>
      </w:r>
    </w:p>
    <w:p w14:paraId="70514C78" w14:textId="77777777" w:rsidR="00BC5219" w:rsidRPr="008A2B8F" w:rsidRDefault="00BC5219" w:rsidP="00BC5219">
      <w:pPr>
        <w:shd w:val="clear" w:color="auto" w:fill="EBEBEB"/>
        <w:rPr>
          <w:rFonts w:ascii="Meta Pro" w:eastAsia="Times New Roman" w:hAnsi="Meta Pro"/>
          <w:szCs w:val="18"/>
          <w:lang w:eastAsia="en-AU"/>
        </w:rPr>
      </w:pPr>
      <w:r w:rsidRPr="008A2B8F">
        <w:rPr>
          <w:rFonts w:ascii="Meta Pro" w:eastAsia="Times New Roman" w:hAnsi="Meta Pro"/>
          <w:szCs w:val="18"/>
          <w:lang w:eastAsia="en-AU"/>
        </w:rPr>
        <w:t xml:space="preserve">     complexities involved in road construction. The department estimates 13 different road stereotypes based on the road   </w:t>
      </w:r>
    </w:p>
    <w:p w14:paraId="79EF824A" w14:textId="77777777" w:rsidR="00BC5219" w:rsidRPr="008A2B8F" w:rsidRDefault="00BC5219" w:rsidP="00BC5219">
      <w:pPr>
        <w:shd w:val="clear" w:color="auto" w:fill="EBEBEB"/>
        <w:rPr>
          <w:rFonts w:ascii="Meta Pro" w:eastAsia="Times New Roman" w:hAnsi="Meta Pro"/>
          <w:szCs w:val="18"/>
          <w:lang w:eastAsia="en-AU"/>
        </w:rPr>
      </w:pPr>
      <w:r w:rsidRPr="008A2B8F">
        <w:rPr>
          <w:rFonts w:ascii="Meta Pro" w:eastAsia="Times New Roman" w:hAnsi="Meta Pro"/>
          <w:szCs w:val="18"/>
          <w:lang w:eastAsia="en-AU"/>
        </w:rPr>
        <w:t xml:space="preserve">     segments' complexity in relation to the number and width of traffic lanes, standard of construction (based on date), number of </w:t>
      </w:r>
    </w:p>
    <w:p w14:paraId="746643E5" w14:textId="77777777" w:rsidR="00BC5219" w:rsidRPr="008A2B8F" w:rsidRDefault="00BC5219" w:rsidP="00BC5219">
      <w:pPr>
        <w:shd w:val="clear" w:color="auto" w:fill="EBEBEB"/>
        <w:rPr>
          <w:rFonts w:ascii="Meta Pro" w:eastAsia="Times New Roman" w:hAnsi="Meta Pro"/>
          <w:szCs w:val="18"/>
          <w:lang w:eastAsia="en-AU"/>
        </w:rPr>
      </w:pPr>
      <w:r w:rsidRPr="008A2B8F">
        <w:rPr>
          <w:rFonts w:ascii="Meta Pro" w:eastAsia="Times New Roman" w:hAnsi="Meta Pro"/>
          <w:szCs w:val="18"/>
          <w:lang w:eastAsia="en-AU"/>
        </w:rPr>
        <w:t xml:space="preserve">     carriageways, age of construction, and location (rural or urban). Stereotypes range from unformed roads through to major </w:t>
      </w:r>
    </w:p>
    <w:p w14:paraId="1247A181" w14:textId="77777777" w:rsidR="00BC5219" w:rsidRPr="008A2B8F" w:rsidRDefault="00BC5219" w:rsidP="00BC5219">
      <w:pPr>
        <w:shd w:val="clear" w:color="auto" w:fill="EBEBEB"/>
        <w:rPr>
          <w:rFonts w:ascii="Meta Pro" w:eastAsia="Times New Roman" w:hAnsi="Meta Pro"/>
          <w:szCs w:val="18"/>
          <w:lang w:eastAsia="en-AU"/>
        </w:rPr>
      </w:pPr>
      <w:r w:rsidRPr="008A2B8F">
        <w:rPr>
          <w:rFonts w:ascii="Meta Pro" w:eastAsia="Times New Roman" w:hAnsi="Meta Pro"/>
          <w:szCs w:val="18"/>
          <w:lang w:eastAsia="en-AU"/>
        </w:rPr>
        <w:t xml:space="preserve">     motorways and busways and are further defined by complex category and sub-category mapping (for example, terrain – rolling, </w:t>
      </w:r>
    </w:p>
    <w:p w14:paraId="610B8856" w14:textId="77777777" w:rsidR="00BC5219" w:rsidRPr="008A2B8F" w:rsidRDefault="00BC5219" w:rsidP="00BC5219">
      <w:pPr>
        <w:shd w:val="clear" w:color="auto" w:fill="EBEBEB"/>
        <w:spacing w:after="120"/>
        <w:rPr>
          <w:rFonts w:ascii="Meta Pro" w:eastAsia="Times New Roman" w:hAnsi="Meta Pro"/>
          <w:szCs w:val="18"/>
          <w:lang w:eastAsia="en-AU"/>
        </w:rPr>
      </w:pPr>
      <w:r w:rsidRPr="008A2B8F">
        <w:rPr>
          <w:rFonts w:ascii="Meta Pro" w:eastAsia="Times New Roman" w:hAnsi="Meta Pro"/>
          <w:szCs w:val="18"/>
          <w:lang w:eastAsia="en-AU"/>
        </w:rPr>
        <w:t xml:space="preserve">     level, mountainous).</w:t>
      </w:r>
    </w:p>
    <w:p w14:paraId="127A271B" w14:textId="77777777" w:rsidR="00BC5219" w:rsidRPr="008A2B8F" w:rsidRDefault="00BC5219" w:rsidP="00BC5219">
      <w:pPr>
        <w:pStyle w:val="ListParagraph"/>
        <w:shd w:val="clear" w:color="auto" w:fill="EBEBEB"/>
        <w:ind w:left="0"/>
        <w:rPr>
          <w:rFonts w:ascii="Meta Pro" w:eastAsia="Times New Roman" w:hAnsi="Meta Pro"/>
          <w:szCs w:val="18"/>
          <w:lang w:eastAsia="en-AU"/>
        </w:rPr>
      </w:pPr>
      <w:r w:rsidRPr="008A2B8F">
        <w:rPr>
          <w:rFonts w:ascii="Meta Pro" w:eastAsia="Times New Roman" w:hAnsi="Meta Pro"/>
          <w:szCs w:val="18"/>
          <w:lang w:eastAsia="en-AU"/>
        </w:rPr>
        <w:t>•  Project work breakdown structure (WBS) – Each stereotype is supported by a complex breakdown of WBS schedules</w:t>
      </w:r>
    </w:p>
    <w:p w14:paraId="733B04CE" w14:textId="77777777" w:rsidR="00BC5219" w:rsidRPr="008A2B8F" w:rsidRDefault="00BC5219" w:rsidP="00BC5219">
      <w:pPr>
        <w:shd w:val="clear" w:color="auto" w:fill="EBEBEB"/>
        <w:ind w:left="255" w:hanging="255"/>
        <w:rPr>
          <w:rFonts w:ascii="Meta Pro" w:eastAsia="Times New Roman" w:hAnsi="Meta Pro"/>
          <w:szCs w:val="18"/>
          <w:lang w:eastAsia="en-AU"/>
        </w:rPr>
      </w:pPr>
      <w:r w:rsidRPr="008A2B8F">
        <w:rPr>
          <w:rFonts w:ascii="Meta Pro" w:eastAsia="Times New Roman" w:hAnsi="Meta Pro"/>
          <w:szCs w:val="18"/>
          <w:lang w:eastAsia="en-AU"/>
        </w:rPr>
        <w:t xml:space="preserve">     representing the types of projects that would be undertaken to replace and renew relevant asset components.</w:t>
      </w:r>
    </w:p>
    <w:p w14:paraId="3A345669" w14:textId="77777777" w:rsidR="00BC5219" w:rsidRPr="008A2B8F" w:rsidRDefault="00BC5219" w:rsidP="00BC5219">
      <w:pPr>
        <w:shd w:val="clear" w:color="auto" w:fill="EBEBEB"/>
        <w:ind w:left="255" w:hanging="255"/>
        <w:rPr>
          <w:rFonts w:ascii="Meta Pro" w:eastAsia="Times New Roman" w:hAnsi="Meta Pro"/>
          <w:szCs w:val="18"/>
          <w:lang w:eastAsia="en-AU"/>
        </w:rPr>
      </w:pPr>
      <w:r w:rsidRPr="008A2B8F">
        <w:rPr>
          <w:rFonts w:ascii="Meta Pro" w:eastAsia="Times New Roman" w:hAnsi="Meta Pro"/>
          <w:szCs w:val="18"/>
          <w:lang w:eastAsia="en-AU"/>
        </w:rPr>
        <w:t xml:space="preserve">     As WBS represent a standardised road construction, assumptions are made on the area used for each WBS. The areas</w:t>
      </w:r>
    </w:p>
    <w:p w14:paraId="04E3D27D" w14:textId="77777777" w:rsidR="00BC5219" w:rsidRPr="008A2B8F" w:rsidRDefault="00BC5219" w:rsidP="00BC5219">
      <w:pPr>
        <w:shd w:val="clear" w:color="auto" w:fill="EBEBEB"/>
        <w:ind w:left="255" w:hanging="255"/>
        <w:rPr>
          <w:rFonts w:ascii="Meta Pro" w:eastAsia="Times New Roman" w:hAnsi="Meta Pro"/>
          <w:szCs w:val="18"/>
          <w:lang w:eastAsia="en-AU"/>
        </w:rPr>
      </w:pPr>
      <w:r w:rsidRPr="008A2B8F">
        <w:rPr>
          <w:rFonts w:ascii="Meta Pro" w:eastAsia="Times New Roman" w:hAnsi="Meta Pro"/>
          <w:szCs w:val="18"/>
          <w:lang w:eastAsia="en-AU"/>
        </w:rPr>
        <w:t xml:space="preserve">     have been determined by a firm of consultant engineers and are reviewed and updated as necessary. There is a small</w:t>
      </w:r>
    </w:p>
    <w:p w14:paraId="330EBECE" w14:textId="77777777" w:rsidR="00BC5219" w:rsidRPr="008A2B8F" w:rsidRDefault="00BC5219" w:rsidP="00BC5219">
      <w:pPr>
        <w:shd w:val="clear" w:color="auto" w:fill="EBEBEB"/>
        <w:spacing w:after="120"/>
        <w:ind w:left="255" w:hanging="255"/>
        <w:rPr>
          <w:rFonts w:ascii="Meta Pro" w:eastAsia="Times New Roman" w:hAnsi="Meta Pro"/>
          <w:szCs w:val="18"/>
          <w:lang w:eastAsia="en-AU"/>
        </w:rPr>
      </w:pPr>
      <w:r w:rsidRPr="008A2B8F">
        <w:rPr>
          <w:rFonts w:ascii="Meta Pro" w:eastAsia="Times New Roman" w:hAnsi="Meta Pro"/>
          <w:szCs w:val="18"/>
          <w:lang w:eastAsia="en-AU"/>
        </w:rPr>
        <w:t xml:space="preserve">     number of derived WBS schedules that are based on other similar WBS instead of their own schedule of work activities.</w:t>
      </w:r>
    </w:p>
    <w:p w14:paraId="57BAC3EB" w14:textId="77777777" w:rsidR="00BC5219" w:rsidRPr="008A2B8F" w:rsidRDefault="00BC5219" w:rsidP="00BC5219">
      <w:pPr>
        <w:shd w:val="clear" w:color="auto" w:fill="EBEBEB"/>
        <w:ind w:left="255" w:hanging="255"/>
        <w:rPr>
          <w:rFonts w:ascii="Meta Pro" w:eastAsia="Times New Roman" w:hAnsi="Meta Pro"/>
          <w:szCs w:val="18"/>
          <w:lang w:eastAsia="en-AU"/>
        </w:rPr>
      </w:pPr>
      <w:r w:rsidRPr="008A2B8F">
        <w:rPr>
          <w:rFonts w:ascii="Meta Pro" w:eastAsia="Times New Roman" w:hAnsi="Meta Pro"/>
          <w:szCs w:val="18"/>
          <w:lang w:eastAsia="en-AU"/>
        </w:rPr>
        <w:t>•   Unit rates – The unit rates applied to stereotypical roads are priced by an expert estimating firm using current market</w:t>
      </w:r>
    </w:p>
    <w:p w14:paraId="32FAFB78" w14:textId="77777777" w:rsidR="00BC5219" w:rsidRPr="008A2B8F" w:rsidRDefault="00BC5219" w:rsidP="00BC5219">
      <w:pPr>
        <w:shd w:val="clear" w:color="auto" w:fill="EBEBEB"/>
        <w:ind w:left="255" w:hanging="255"/>
        <w:rPr>
          <w:rFonts w:ascii="Meta Pro" w:eastAsia="Times New Roman" w:hAnsi="Meta Pro"/>
          <w:szCs w:val="18"/>
          <w:lang w:eastAsia="en-AU"/>
        </w:rPr>
      </w:pPr>
      <w:r w:rsidRPr="008A2B8F">
        <w:rPr>
          <w:rFonts w:ascii="Meta Pro" w:eastAsia="Times New Roman" w:hAnsi="Meta Pro"/>
          <w:szCs w:val="18"/>
          <w:lang w:eastAsia="en-AU"/>
        </w:rPr>
        <w:t xml:space="preserve">     rates of inputs such as raw materials, plant and labour to underpin the detailed WBS schedules representing the way in</w:t>
      </w:r>
    </w:p>
    <w:p w14:paraId="618DF00D" w14:textId="77777777" w:rsidR="00BC5219" w:rsidRPr="008A2B8F" w:rsidRDefault="00BC5219" w:rsidP="00BC5219">
      <w:pPr>
        <w:shd w:val="clear" w:color="auto" w:fill="EBEBEB"/>
        <w:ind w:left="255" w:hanging="255"/>
        <w:rPr>
          <w:rFonts w:ascii="Meta Pro" w:eastAsia="Times New Roman" w:hAnsi="Meta Pro"/>
          <w:szCs w:val="18"/>
          <w:lang w:eastAsia="en-AU"/>
        </w:rPr>
      </w:pPr>
      <w:r w:rsidRPr="008A2B8F">
        <w:rPr>
          <w:rFonts w:ascii="Meta Pro" w:eastAsia="Times New Roman" w:hAnsi="Meta Pro"/>
          <w:szCs w:val="18"/>
          <w:lang w:eastAsia="en-AU"/>
        </w:rPr>
        <w:t xml:space="preserve">     which certain stereotypical roads would be replaced. Inputs are sourced directly from suppliers and subcontractors</w:t>
      </w:r>
    </w:p>
    <w:p w14:paraId="1D3F0B2D" w14:textId="77777777" w:rsidR="00BC5219" w:rsidRPr="008A2B8F" w:rsidRDefault="00BC5219" w:rsidP="00BC5219">
      <w:pPr>
        <w:shd w:val="clear" w:color="auto" w:fill="EBEBEB"/>
        <w:spacing w:after="120"/>
        <w:ind w:left="255" w:hanging="255"/>
        <w:rPr>
          <w:rFonts w:ascii="Meta Pro" w:eastAsia="Times New Roman" w:hAnsi="Meta Pro"/>
          <w:szCs w:val="18"/>
          <w:lang w:eastAsia="en-AU"/>
        </w:rPr>
      </w:pPr>
      <w:r w:rsidRPr="008A2B8F">
        <w:rPr>
          <w:rFonts w:ascii="Meta Pro" w:eastAsia="Times New Roman" w:hAnsi="Meta Pro"/>
          <w:szCs w:val="18"/>
          <w:lang w:eastAsia="en-AU"/>
        </w:rPr>
        <w:t xml:space="preserve">     competing in the marketplace in Queensland.</w:t>
      </w:r>
    </w:p>
    <w:p w14:paraId="169C78C5" w14:textId="77777777" w:rsidR="00BC5219" w:rsidRPr="008A2B8F" w:rsidRDefault="00BC5219" w:rsidP="00BC5219">
      <w:pPr>
        <w:shd w:val="clear" w:color="auto" w:fill="EBEBEB"/>
        <w:ind w:left="255" w:hanging="255"/>
        <w:rPr>
          <w:rFonts w:ascii="Meta Pro" w:eastAsia="Times New Roman" w:hAnsi="Meta Pro"/>
          <w:szCs w:val="18"/>
          <w:lang w:eastAsia="en-AU"/>
        </w:rPr>
      </w:pPr>
      <w:r w:rsidRPr="008A2B8F">
        <w:rPr>
          <w:rFonts w:ascii="Meta Pro" w:eastAsia="Times New Roman" w:hAnsi="Meta Pro"/>
          <w:szCs w:val="18"/>
          <w:lang w:eastAsia="en-AU"/>
        </w:rPr>
        <w:t xml:space="preserve">     The unit rates, including underlying assumptions and specific details contained in the stereotypes, are ratified annually</w:t>
      </w:r>
    </w:p>
    <w:p w14:paraId="0BD1D29F" w14:textId="77777777" w:rsidR="00BC5219" w:rsidRPr="008A2B8F" w:rsidRDefault="00BC5219" w:rsidP="00BC5219">
      <w:pPr>
        <w:shd w:val="clear" w:color="auto" w:fill="EBEBEB"/>
        <w:rPr>
          <w:rFonts w:ascii="Meta Pro" w:eastAsia="Times New Roman" w:hAnsi="Meta Pro"/>
          <w:szCs w:val="18"/>
          <w:lang w:eastAsia="en-AU"/>
        </w:rPr>
      </w:pPr>
      <w:r w:rsidRPr="008A2B8F">
        <w:rPr>
          <w:rFonts w:ascii="Meta Pro" w:eastAsia="Times New Roman" w:hAnsi="Meta Pro"/>
          <w:szCs w:val="18"/>
          <w:lang w:eastAsia="en-AU"/>
        </w:rPr>
        <w:t xml:space="preserve">     by an expert panel consisting of engineers and staff from a range of disciplines across the department in conjunction</w:t>
      </w:r>
    </w:p>
    <w:p w14:paraId="0B89C1F5" w14:textId="77777777" w:rsidR="00BC5219" w:rsidRPr="008A2B8F" w:rsidRDefault="00BC5219" w:rsidP="00BC5219">
      <w:pPr>
        <w:shd w:val="clear" w:color="auto" w:fill="EBEBEB"/>
        <w:spacing w:after="120"/>
        <w:rPr>
          <w:rFonts w:ascii="Meta Pro" w:hAnsi="Meta Pro"/>
          <w:b/>
          <w:bCs/>
          <w:sz w:val="24"/>
          <w:szCs w:val="24"/>
          <w:lang w:eastAsia="en-AU"/>
        </w:rPr>
      </w:pPr>
      <w:r w:rsidRPr="008A2B8F">
        <w:rPr>
          <w:rFonts w:ascii="Meta Pro" w:eastAsia="Times New Roman" w:hAnsi="Meta Pro"/>
          <w:szCs w:val="18"/>
          <w:lang w:eastAsia="en-AU"/>
        </w:rPr>
        <w:t xml:space="preserve">     with local government and industry.</w:t>
      </w:r>
    </w:p>
    <w:p w14:paraId="3EE27D37" w14:textId="77777777" w:rsidR="00BC5219" w:rsidRPr="008A2B8F" w:rsidRDefault="00BC5219" w:rsidP="00BC5219">
      <w:pPr>
        <w:shd w:val="clear" w:color="auto" w:fill="EBEBEB"/>
        <w:spacing w:after="120"/>
        <w:rPr>
          <w:rFonts w:ascii="Meta Pro" w:eastAsia="Times New Roman" w:hAnsi="Meta Pro"/>
          <w:szCs w:val="18"/>
          <w:lang w:eastAsia="en-AU"/>
        </w:rPr>
      </w:pPr>
      <w:r w:rsidRPr="008A2B8F">
        <w:rPr>
          <w:rFonts w:ascii="Meta Pro" w:eastAsia="Times New Roman" w:hAnsi="Meta Pro"/>
          <w:szCs w:val="18"/>
          <w:lang w:eastAsia="en-AU"/>
        </w:rPr>
        <w:t>Remaining useful lives are estimated using past experience as detailed in the department's road condition models and in the extensive rule set that is applied to determine when an appropriate works intervention will occur. Consideration is also given to planned replacement programs as a result of observation of road use deterioration and environmental factors such as:</w:t>
      </w:r>
    </w:p>
    <w:p w14:paraId="11EA7D14" w14:textId="77777777" w:rsidR="00BC5219" w:rsidRPr="008A2B8F" w:rsidRDefault="00BC5219" w:rsidP="00BC5219">
      <w:pPr>
        <w:shd w:val="clear" w:color="auto" w:fill="EBEBEB"/>
        <w:spacing w:after="120"/>
        <w:rPr>
          <w:rFonts w:ascii="Meta Pro" w:eastAsia="Times New Roman" w:hAnsi="Meta Pro"/>
          <w:szCs w:val="18"/>
          <w:lang w:eastAsia="en-AU"/>
        </w:rPr>
      </w:pPr>
      <w:r w:rsidRPr="008A2B8F">
        <w:rPr>
          <w:rFonts w:ascii="Meta Pro" w:eastAsia="Times New Roman" w:hAnsi="Meta Pro"/>
          <w:szCs w:val="18"/>
          <w:lang w:eastAsia="en-AU"/>
        </w:rPr>
        <w:t>•   Traffic volume</w:t>
      </w:r>
      <w:r w:rsidRPr="008A2B8F">
        <w:rPr>
          <w:rFonts w:ascii="Meta Pro" w:eastAsia="Times New Roman" w:hAnsi="Meta Pro"/>
          <w:szCs w:val="18"/>
          <w:lang w:eastAsia="en-AU"/>
        </w:rPr>
        <w:br/>
        <w:t>•   Rutting</w:t>
      </w:r>
      <w:r w:rsidRPr="008A2B8F">
        <w:rPr>
          <w:rFonts w:ascii="Meta Pro" w:eastAsia="Times New Roman" w:hAnsi="Meta Pro"/>
          <w:szCs w:val="18"/>
          <w:lang w:eastAsia="en-AU"/>
        </w:rPr>
        <w:br/>
        <w:t>•   Cracking</w:t>
      </w:r>
      <w:r w:rsidRPr="008A2B8F">
        <w:rPr>
          <w:rFonts w:ascii="Meta Pro" w:eastAsia="Times New Roman" w:hAnsi="Meta Pro"/>
          <w:szCs w:val="18"/>
          <w:lang w:eastAsia="en-AU"/>
        </w:rPr>
        <w:br/>
        <w:t>•   Roughness</w:t>
      </w:r>
      <w:r w:rsidRPr="008A2B8F">
        <w:rPr>
          <w:rFonts w:ascii="Meta Pro" w:eastAsia="Times New Roman" w:hAnsi="Meta Pro"/>
          <w:szCs w:val="18"/>
          <w:lang w:eastAsia="en-AU"/>
        </w:rPr>
        <w:br/>
        <w:t>•   Safety</w:t>
      </w:r>
      <w:r w:rsidRPr="008A2B8F">
        <w:rPr>
          <w:rFonts w:ascii="Meta Pro" w:eastAsia="Times New Roman" w:hAnsi="Meta Pro"/>
          <w:szCs w:val="18"/>
          <w:lang w:eastAsia="en-AU"/>
        </w:rPr>
        <w:br/>
        <w:t>•   Number of years in use.</w:t>
      </w:r>
    </w:p>
    <w:p w14:paraId="6BCD106D" w14:textId="77777777" w:rsidR="00BC5219" w:rsidRPr="008A2B8F" w:rsidRDefault="00BC5219" w:rsidP="00BC5219">
      <w:pPr>
        <w:shd w:val="clear" w:color="auto" w:fill="EBEBEB"/>
        <w:spacing w:after="120"/>
        <w:rPr>
          <w:rFonts w:ascii="Meta Pro" w:eastAsia="Times New Roman" w:hAnsi="Meta Pro"/>
          <w:szCs w:val="18"/>
          <w:lang w:eastAsia="en-AU"/>
        </w:rPr>
      </w:pPr>
      <w:r w:rsidRPr="008A2B8F">
        <w:rPr>
          <w:rFonts w:ascii="Meta Pro" w:eastAsia="Times New Roman" w:hAnsi="Meta Pro"/>
          <w:szCs w:val="18"/>
          <w:lang w:eastAsia="en-AU"/>
        </w:rPr>
        <w:lastRenderedPageBreak/>
        <w:t>As there is no active market for the department's infrastructure assets, the valuation approach used is current replacement cost. This is the assets’ measurement of their highest and best use. While the unit rates database consists of market derived component costs which includes raw materials and other costs of construction (level 2 inputs), there are also significant level 3 unobservable inputs such as useful life and asset condition which require extensive professional judgement. Differences in the assessment of these level 3 inputs would not result in material changes in the reported fair value.</w:t>
      </w:r>
    </w:p>
    <w:p w14:paraId="34FC0D39" w14:textId="77777777" w:rsidR="00BC5219" w:rsidRPr="008A2B8F" w:rsidRDefault="00BC5219" w:rsidP="00BC5219">
      <w:pPr>
        <w:shd w:val="clear" w:color="auto" w:fill="EBEBEB"/>
        <w:spacing w:after="120"/>
        <w:rPr>
          <w:rFonts w:ascii="Meta Pro" w:eastAsia="Times New Roman" w:hAnsi="Meta Pro"/>
          <w:szCs w:val="18"/>
          <w:lang w:eastAsia="en-AU"/>
        </w:rPr>
      </w:pPr>
      <w:r w:rsidRPr="008A2B8F">
        <w:rPr>
          <w:rFonts w:ascii="Meta Pro" w:eastAsia="Times New Roman" w:hAnsi="Meta Pro"/>
          <w:szCs w:val="18"/>
          <w:lang w:eastAsia="en-AU"/>
        </w:rPr>
        <w:t>The department determines the current replacement cost of structures on the infrastructure network through an approach that takes into consideration an expert review of actual construction costs and resource rates to replace existing bridges, tunnels and major culverts. This is achieved by referencing past works of similar construction method and moderating for changes in market movements through a combination of market indexation and referencing of recent actual construction costs and resource rates.</w:t>
      </w:r>
    </w:p>
    <w:p w14:paraId="449425A3"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p>
    <w:p w14:paraId="0274C791"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p>
    <w:p w14:paraId="5518C7FD"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r w:rsidRPr="008A2B8F">
        <w:rPr>
          <w:rFonts w:ascii="Meta Pro" w:eastAsia="Times New Roman" w:hAnsi="Meta Pro"/>
          <w:i/>
          <w:iCs/>
          <w:color w:val="000000" w:themeColor="text1"/>
          <w:lang w:eastAsia="en-AU"/>
        </w:rPr>
        <w:t>Department of Transport and Main Roads</w:t>
      </w:r>
    </w:p>
    <w:p w14:paraId="32BD053D"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Notes to the financial statements 2022–23 (continued)</w:t>
      </w:r>
    </w:p>
    <w:p w14:paraId="187EB4DA" w14:textId="77777777" w:rsidR="00BC5219" w:rsidRPr="008A2B8F" w:rsidRDefault="00BC5219" w:rsidP="00BC5219">
      <w:pPr>
        <w:spacing w:after="120" w:line="259" w:lineRule="auto"/>
        <w:rPr>
          <w:rFonts w:ascii="Meta Pro" w:eastAsia="Times New Roman" w:hAnsi="Meta Pro"/>
          <w:b/>
          <w:bCs/>
          <w:lang w:eastAsia="en-AU"/>
        </w:rPr>
      </w:pPr>
      <w:r w:rsidRPr="008A2B8F">
        <w:rPr>
          <w:rFonts w:ascii="Meta Pro" w:eastAsia="Times New Roman" w:hAnsi="Meta Pro"/>
          <w:b/>
          <w:bCs/>
          <w:lang w:eastAsia="en-AU"/>
        </w:rPr>
        <w:t>15     PROPERTY, PLANT AND EQUIPMENT (continued)</w:t>
      </w:r>
    </w:p>
    <w:p w14:paraId="4FECD1CE" w14:textId="77777777" w:rsidR="00BC5219" w:rsidRPr="008A2B8F" w:rsidRDefault="00BC5219" w:rsidP="00BC5219">
      <w:pPr>
        <w:shd w:val="clear" w:color="auto" w:fill="EBEBEB"/>
        <w:spacing w:after="120"/>
        <w:ind w:left="113" w:hanging="113"/>
        <w:jc w:val="both"/>
        <w:rPr>
          <w:rFonts w:ascii="Meta Pro" w:eastAsia="Times New Roman" w:hAnsi="Meta Pro"/>
          <w:b/>
          <w:bCs/>
          <w:color w:val="000000"/>
          <w:sz w:val="20"/>
          <w:szCs w:val="20"/>
          <w:lang w:eastAsia="en-AU"/>
        </w:rPr>
      </w:pPr>
      <w:r w:rsidRPr="008A2B8F">
        <w:rPr>
          <w:rFonts w:ascii="Meta Pro" w:eastAsia="Times New Roman" w:hAnsi="Meta Pro"/>
          <w:b/>
          <w:bCs/>
          <w:color w:val="000000"/>
          <w:sz w:val="20"/>
          <w:szCs w:val="20"/>
          <w:lang w:eastAsia="en-AU"/>
        </w:rPr>
        <w:t>Accounting policy (continued)</w:t>
      </w:r>
    </w:p>
    <w:p w14:paraId="4B39B808" w14:textId="77777777" w:rsidR="00BC5219" w:rsidRPr="008A2B8F" w:rsidRDefault="00BC5219" w:rsidP="00BC5219">
      <w:pPr>
        <w:shd w:val="clear" w:color="auto" w:fill="EBEBEB"/>
        <w:spacing w:after="120"/>
        <w:rPr>
          <w:rFonts w:ascii="Meta Pro" w:eastAsia="Times New Roman" w:hAnsi="Meta Pro"/>
          <w:b/>
          <w:bCs/>
          <w:i/>
          <w:iCs/>
          <w:szCs w:val="18"/>
          <w:lang w:eastAsia="en-AU"/>
        </w:rPr>
      </w:pPr>
      <w:r w:rsidRPr="008A2B8F">
        <w:rPr>
          <w:rFonts w:ascii="Meta Pro" w:eastAsia="Times New Roman" w:hAnsi="Meta Pro"/>
          <w:b/>
          <w:bCs/>
          <w:i/>
          <w:iCs/>
          <w:szCs w:val="18"/>
          <w:lang w:eastAsia="en-AU"/>
        </w:rPr>
        <w:t>Valuation of property, plant and equipment (continued)</w:t>
      </w:r>
    </w:p>
    <w:p w14:paraId="0055EFD7" w14:textId="77777777" w:rsidR="00BC5219" w:rsidRPr="008A2B8F" w:rsidRDefault="00BC5219" w:rsidP="00BC5219">
      <w:pPr>
        <w:shd w:val="clear" w:color="auto" w:fill="EBEBEB"/>
        <w:rPr>
          <w:rFonts w:ascii="Meta Pro" w:eastAsia="Times New Roman" w:hAnsi="Meta Pro"/>
          <w:i/>
          <w:iCs/>
          <w:szCs w:val="18"/>
          <w:u w:val="single"/>
          <w:lang w:eastAsia="en-AU"/>
        </w:rPr>
      </w:pPr>
      <w:r w:rsidRPr="008A2B8F">
        <w:rPr>
          <w:rFonts w:ascii="Meta Pro" w:eastAsia="Times New Roman" w:hAnsi="Meta Pro"/>
          <w:i/>
          <w:iCs/>
          <w:szCs w:val="18"/>
          <w:u w:val="single"/>
          <w:lang w:eastAsia="en-AU"/>
        </w:rPr>
        <w:t>Infrastructure (continued)</w:t>
      </w:r>
    </w:p>
    <w:p w14:paraId="7BDEB1EA" w14:textId="77777777" w:rsidR="00BC5219" w:rsidRPr="008A2B8F" w:rsidRDefault="00BC5219" w:rsidP="00BC5219">
      <w:pPr>
        <w:shd w:val="clear" w:color="auto" w:fill="EBEBEB"/>
        <w:spacing w:before="120" w:after="120"/>
        <w:rPr>
          <w:rFonts w:ascii="Meta Pro" w:eastAsia="Times New Roman" w:hAnsi="Meta Pro"/>
          <w:szCs w:val="18"/>
          <w:lang w:eastAsia="en-AU"/>
        </w:rPr>
      </w:pPr>
      <w:r w:rsidRPr="008A2B8F">
        <w:rPr>
          <w:rFonts w:ascii="Meta Pro" w:eastAsia="Times New Roman" w:hAnsi="Meta Pro"/>
          <w:szCs w:val="18"/>
          <w:lang w:eastAsia="en-AU"/>
        </w:rPr>
        <w:t>Unit rates for the current replacement cost of bridges and tunnels are derived from a combination of the current and prior four years' project costs and other departmental system reports, and market indexation, moderated by internal engineering experts. Unit rates for the current replacement cost of major culverts are derived from resource rates and use of the Expert Estimation tool, moderated by internal engineering experts. These unit rates are then certified by the department's Deputy Chief Engineer (Structures).</w:t>
      </w:r>
    </w:p>
    <w:p w14:paraId="295C61A9" w14:textId="77777777" w:rsidR="00BC5219" w:rsidRPr="008A2B8F" w:rsidRDefault="00BC5219" w:rsidP="00BC5219">
      <w:pPr>
        <w:shd w:val="clear" w:color="auto" w:fill="EBEBEB"/>
        <w:spacing w:after="120"/>
        <w:rPr>
          <w:rFonts w:ascii="Meta Pro" w:eastAsia="Times New Roman" w:hAnsi="Meta Pro"/>
          <w:szCs w:val="18"/>
          <w:lang w:eastAsia="en-AU"/>
        </w:rPr>
      </w:pPr>
      <w:r w:rsidRPr="008A2B8F">
        <w:rPr>
          <w:rFonts w:ascii="Meta Pro" w:eastAsia="Times New Roman" w:hAnsi="Meta Pro"/>
          <w:szCs w:val="18"/>
          <w:lang w:eastAsia="en-AU"/>
        </w:rPr>
        <w:t>The department's other infrastructure was revalued as at September 2020 based on specific appraisal by an external valuer using a costing database similar to the unit rates process used for road infrastructure. During 2023 these asset values were indexed using relevant producer price indices.</w:t>
      </w:r>
    </w:p>
    <w:p w14:paraId="581B57CD" w14:textId="77777777" w:rsidR="00BC5219" w:rsidRPr="008A2B8F" w:rsidRDefault="00BC5219" w:rsidP="00BC5219">
      <w:pPr>
        <w:shd w:val="clear" w:color="auto" w:fill="EBEBEB"/>
        <w:spacing w:after="120"/>
        <w:rPr>
          <w:rFonts w:ascii="Meta Pro" w:eastAsia="Times New Roman" w:hAnsi="Meta Pro"/>
          <w:szCs w:val="18"/>
          <w:lang w:eastAsia="en-AU"/>
        </w:rPr>
      </w:pPr>
      <w:r w:rsidRPr="008A2B8F">
        <w:rPr>
          <w:rFonts w:ascii="Meta Pro" w:eastAsia="Times New Roman" w:hAnsi="Meta Pro"/>
          <w:szCs w:val="18"/>
          <w:lang w:eastAsia="en-AU"/>
        </w:rPr>
        <w:t>As with the department’s road infrastructure assets, there is no active market for other infrastructure. Therefore current replacement cost is the measurement of the other infrastructure assets highest and best use.</w:t>
      </w:r>
    </w:p>
    <w:p w14:paraId="2C043149" w14:textId="77777777" w:rsidR="00BC5219" w:rsidRPr="008A2B8F" w:rsidRDefault="00BC5219" w:rsidP="00BC5219">
      <w:pPr>
        <w:shd w:val="clear" w:color="auto" w:fill="EBEBEB"/>
        <w:spacing w:after="120"/>
        <w:rPr>
          <w:rFonts w:ascii="Meta Pro" w:eastAsia="Times New Roman" w:hAnsi="Meta Pro"/>
          <w:szCs w:val="18"/>
          <w:lang w:eastAsia="en-AU"/>
        </w:rPr>
      </w:pPr>
      <w:r w:rsidRPr="008A2B8F">
        <w:rPr>
          <w:rFonts w:ascii="Meta Pro" w:eastAsia="Times New Roman" w:hAnsi="Meta Pro"/>
          <w:szCs w:val="18"/>
          <w:lang w:eastAsia="en-AU"/>
        </w:rPr>
        <w:t xml:space="preserve">In accordance with AASB 13 </w:t>
      </w:r>
      <w:r w:rsidRPr="008A2B8F">
        <w:rPr>
          <w:rFonts w:ascii="Meta Pro" w:eastAsia="Times New Roman" w:hAnsi="Meta Pro"/>
          <w:i/>
          <w:iCs/>
          <w:szCs w:val="18"/>
          <w:lang w:eastAsia="en-AU"/>
        </w:rPr>
        <w:t>Fair Value Measurement</w:t>
      </w:r>
      <w:r w:rsidRPr="008A2B8F">
        <w:rPr>
          <w:rFonts w:ascii="Meta Pro" w:eastAsia="Times New Roman" w:hAnsi="Meta Pro"/>
          <w:szCs w:val="18"/>
          <w:lang w:eastAsia="en-AU"/>
        </w:rPr>
        <w:t>, the department's infrastructure assets are categorised as level 3.</w:t>
      </w:r>
    </w:p>
    <w:p w14:paraId="37E380E2" w14:textId="77777777" w:rsidR="00BC5219" w:rsidRPr="008A2B8F" w:rsidRDefault="00BC5219" w:rsidP="00BC5219">
      <w:pPr>
        <w:shd w:val="clear" w:color="auto" w:fill="EBEBEB"/>
        <w:spacing w:after="120"/>
        <w:rPr>
          <w:rFonts w:ascii="Meta Pro" w:hAnsi="Meta Pro"/>
          <w:b/>
          <w:bCs/>
          <w:szCs w:val="18"/>
          <w:lang w:eastAsia="en-AU"/>
        </w:rPr>
        <w:sectPr w:rsidR="00BC5219" w:rsidRPr="008A2B8F" w:rsidSect="00AE16BC">
          <w:headerReference w:type="default" r:id="rId111"/>
          <w:footerReference w:type="default" r:id="rId112"/>
          <w:type w:val="continuous"/>
          <w:pgSz w:w="11906" w:h="16838"/>
          <w:pgMar w:top="1701" w:right="851" w:bottom="1134" w:left="851" w:header="454" w:footer="454" w:gutter="0"/>
          <w:pgNumType w:start="24"/>
          <w:cols w:space="708"/>
          <w:docGrid w:linePitch="360"/>
        </w:sectPr>
      </w:pPr>
      <w:r w:rsidRPr="008A2B8F">
        <w:rPr>
          <w:rFonts w:ascii="Meta Pro" w:eastAsia="Times New Roman" w:hAnsi="Meta Pro"/>
          <w:szCs w:val="18"/>
          <w:lang w:eastAsia="en-AU"/>
        </w:rPr>
        <w:t xml:space="preserve">As the department is a not-for-profit entity with no cash generating units, impairment under AASB 136 </w:t>
      </w:r>
      <w:r w:rsidRPr="008A2B8F">
        <w:rPr>
          <w:rFonts w:ascii="Meta Pro" w:eastAsia="Times New Roman" w:hAnsi="Meta Pro"/>
          <w:i/>
          <w:iCs/>
          <w:szCs w:val="18"/>
          <w:lang w:eastAsia="en-AU"/>
        </w:rPr>
        <w:t>Impairment of Assets</w:t>
      </w:r>
      <w:r w:rsidRPr="008A2B8F">
        <w:rPr>
          <w:rFonts w:ascii="Meta Pro" w:eastAsia="Times New Roman" w:hAnsi="Meta Pro"/>
          <w:szCs w:val="18"/>
          <w:lang w:eastAsia="en-AU"/>
        </w:rPr>
        <w:t xml:space="preserve"> is unlikely to arise, since property, plant and equipment is carried at fair value or an amount that approximates fair value in rare circumstances.</w:t>
      </w:r>
    </w:p>
    <w:p w14:paraId="2DD41CE5" w14:textId="77777777" w:rsidR="00BC5219" w:rsidRPr="008A2B8F" w:rsidRDefault="00BC5219" w:rsidP="00BC5219">
      <w:pPr>
        <w:pStyle w:val="Header"/>
        <w:spacing w:after="60"/>
        <w:rPr>
          <w:rFonts w:ascii="Meta Pro" w:hAnsi="Meta Pro"/>
          <w:i/>
          <w:iCs/>
          <w:sz w:val="22"/>
        </w:rPr>
      </w:pPr>
      <w:r w:rsidRPr="008A2B8F">
        <w:rPr>
          <w:rFonts w:ascii="Meta Pro" w:hAnsi="Meta Pro"/>
          <w:i/>
          <w:iCs/>
          <w:sz w:val="22"/>
        </w:rPr>
        <w:lastRenderedPageBreak/>
        <w:t>Department of Transport and Main Roads</w:t>
      </w:r>
    </w:p>
    <w:p w14:paraId="3D6538E9" w14:textId="4B0F077E" w:rsidR="00BC5219" w:rsidRPr="008A2B8F" w:rsidRDefault="00C42478" w:rsidP="00BC5219">
      <w:pPr>
        <w:pStyle w:val="Header"/>
        <w:spacing w:after="60"/>
        <w:rPr>
          <w:rFonts w:ascii="Meta Pro" w:hAnsi="Meta Pro"/>
          <w:sz w:val="22"/>
        </w:rPr>
      </w:pPr>
      <w:r>
        <w:rPr>
          <w:noProof/>
        </w:rPr>
        <mc:AlternateContent>
          <mc:Choice Requires="wps">
            <w:drawing>
              <wp:inline distT="0" distB="0" distL="0" distR="0" wp14:anchorId="1C8331A4" wp14:editId="5D9C4C8D">
                <wp:extent cx="9920605" cy="52070"/>
                <wp:effectExtent l="0" t="0" r="23495" b="24130"/>
                <wp:docPr id="22" name="Straight Connector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920605" cy="520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E26A57C" id="Straight Connector 22" o:spid="_x0000_s1026" alt="&quot;&quot;" style="flip:y;visibility:visible;mso-wrap-style:square;mso-left-percent:-10001;mso-top-percent:-10001;mso-position-horizontal:absolute;mso-position-horizontal-relative:char;mso-position-vertical:absolute;mso-position-vertical-relative:line;mso-left-percent:-10001;mso-top-percent:-10001" from="0,0" to="781.1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" strokecolor="black [3200]" strokeweight=".5pt">
                <v:stroke joinstyle="miter"/>
                <o:lock v:ext="edit" shapetype="f"/>
                <w10:anchorlock/>
              </v:line>
            </w:pict>
          </mc:Fallback>
        </mc:AlternateContent>
      </w:r>
      <w:r w:rsidR="00BC5219" w:rsidRPr="008A2B8F">
        <w:rPr>
          <w:rFonts w:ascii="Meta Pro" w:hAnsi="Meta Pro"/>
          <w:sz w:val="22"/>
        </w:rPr>
        <w:t>Notes to the financial statements 2022</w:t>
      </w:r>
      <w:r w:rsidR="00BC5219" w:rsidRPr="008A2B8F">
        <w:rPr>
          <w:rFonts w:ascii="Meta Pro" w:eastAsia="Times New Roman" w:hAnsi="Meta Pro"/>
          <w:color w:val="000000" w:themeColor="text1"/>
          <w:sz w:val="22"/>
          <w:lang w:eastAsia="en-AU"/>
        </w:rPr>
        <w:t>–</w:t>
      </w:r>
      <w:r w:rsidR="00BC5219" w:rsidRPr="008A2B8F">
        <w:rPr>
          <w:rFonts w:ascii="Meta Pro" w:hAnsi="Meta Pro"/>
          <w:sz w:val="22"/>
        </w:rPr>
        <w:t>23 (continued)</w:t>
      </w:r>
    </w:p>
    <w:p w14:paraId="6F451391" w14:textId="77777777" w:rsidR="00BC5219" w:rsidRPr="008A2B8F" w:rsidRDefault="00BC5219" w:rsidP="00BC5219">
      <w:pPr>
        <w:spacing w:before="280" w:after="120"/>
        <w:rPr>
          <w:rFonts w:ascii="Meta Pro" w:hAnsi="Meta Pro"/>
          <w:b/>
          <w:bCs/>
          <w:lang w:eastAsia="en-AU"/>
        </w:rPr>
      </w:pPr>
      <w:r w:rsidRPr="008A2B8F">
        <w:rPr>
          <w:rFonts w:ascii="Meta Pro" w:hAnsi="Meta Pro"/>
          <w:b/>
          <w:bCs/>
          <w:lang w:eastAsia="en-AU"/>
        </w:rPr>
        <w:t>16   PUBLIC PRIVATE PARTNERSHIPS</w:t>
      </w:r>
      <w:bookmarkStart w:id="51" w:name="_Hlk133274324"/>
    </w:p>
    <w:p w14:paraId="480C821C" w14:textId="77777777" w:rsidR="00BC5219" w:rsidRPr="008A2B8F" w:rsidRDefault="00BC5219" w:rsidP="00BC5219">
      <w:pPr>
        <w:spacing w:line="17" w:lineRule="auto"/>
        <w:rPr>
          <w:rFonts w:ascii="Meta Pro" w:hAnsi="Meta Pro" w:cstheme="minorBidi"/>
        </w:rPr>
      </w:pPr>
    </w:p>
    <w:tbl>
      <w:tblPr>
        <w:tblW w:w="0" w:type="auto"/>
        <w:tblCellMar>
          <w:left w:w="0" w:type="dxa"/>
        </w:tblCellMar>
        <w:tblLook w:val="04A0" w:firstRow="1" w:lastRow="0" w:firstColumn="1" w:lastColumn="0" w:noHBand="0" w:noVBand="1"/>
      </w:tblPr>
      <w:tblGrid>
        <w:gridCol w:w="4843"/>
        <w:gridCol w:w="1073"/>
        <w:gridCol w:w="115"/>
        <w:gridCol w:w="1073"/>
        <w:gridCol w:w="115"/>
        <w:gridCol w:w="1073"/>
        <w:gridCol w:w="115"/>
        <w:gridCol w:w="1073"/>
        <w:gridCol w:w="115"/>
        <w:gridCol w:w="1073"/>
        <w:gridCol w:w="115"/>
        <w:gridCol w:w="1073"/>
        <w:gridCol w:w="115"/>
        <w:gridCol w:w="1073"/>
        <w:gridCol w:w="115"/>
        <w:gridCol w:w="1073"/>
        <w:gridCol w:w="115"/>
        <w:gridCol w:w="1073"/>
      </w:tblGrid>
      <w:tr w:rsidR="00BC5219" w:rsidRPr="008A2B8F" w14:paraId="428541C3" w14:textId="77777777" w:rsidTr="00E83802">
        <w:trPr>
          <w:trHeight w:val="23"/>
        </w:trPr>
        <w:tc>
          <w:tcPr>
            <w:tcW w:w="9072" w:type="dxa"/>
            <w:gridSpan w:val="18"/>
            <w:tcBorders>
              <w:top w:val="nil"/>
              <w:left w:val="nil"/>
              <w:bottom w:val="nil"/>
              <w:right w:val="nil"/>
            </w:tcBorders>
            <w:shd w:val="clear" w:color="auto" w:fill="auto"/>
            <w:noWrap/>
            <w:vAlign w:val="center"/>
            <w:hideMark/>
          </w:tcPr>
          <w:p w14:paraId="22E83D52" w14:textId="77777777" w:rsidR="00BC5219" w:rsidRPr="008A2B8F" w:rsidRDefault="00BC5219" w:rsidP="00E83802">
            <w:pPr>
              <w:spacing w:after="120"/>
              <w:rPr>
                <w:rFonts w:ascii="Meta Pro" w:eastAsia="Times New Roman" w:hAnsi="Meta Pro"/>
                <w:b/>
                <w:bCs/>
                <w:sz w:val="20"/>
                <w:szCs w:val="20"/>
                <w:lang w:eastAsia="en-AU"/>
              </w:rPr>
            </w:pPr>
            <w:r w:rsidRPr="008A2B8F">
              <w:rPr>
                <w:rFonts w:ascii="Meta Pro" w:eastAsia="Times New Roman" w:hAnsi="Meta Pro"/>
                <w:b/>
                <w:bCs/>
                <w:sz w:val="20"/>
                <w:szCs w:val="20"/>
                <w:lang w:eastAsia="en-AU"/>
              </w:rPr>
              <w:t>SERVICE CONCESSION ARRANGEMENTS UNDER AASB 1059</w:t>
            </w:r>
          </w:p>
        </w:tc>
      </w:tr>
      <w:tr w:rsidR="00BC5219" w:rsidRPr="008A2B8F" w14:paraId="2D9F4CE8" w14:textId="77777777" w:rsidTr="00E83802">
        <w:trPr>
          <w:trHeight w:val="23"/>
        </w:trPr>
        <w:tc>
          <w:tcPr>
            <w:tcW w:w="9072" w:type="dxa"/>
            <w:tcBorders>
              <w:top w:val="nil"/>
              <w:left w:val="nil"/>
              <w:bottom w:val="nil"/>
              <w:right w:val="nil"/>
            </w:tcBorders>
            <w:shd w:val="clear" w:color="auto" w:fill="auto"/>
            <w:noWrap/>
            <w:vAlign w:val="center"/>
            <w:hideMark/>
          </w:tcPr>
          <w:p w14:paraId="0D38C0EA" w14:textId="77777777" w:rsidR="00BC5219" w:rsidRPr="008A2B8F" w:rsidRDefault="00BC5219" w:rsidP="00E83802">
            <w:pPr>
              <w:rPr>
                <w:rFonts w:ascii="Meta Pro" w:eastAsia="Times New Roman" w:hAnsi="Meta Pro"/>
                <w:b/>
                <w:bCs/>
                <w:sz w:val="20"/>
                <w:szCs w:val="20"/>
                <w:lang w:eastAsia="en-AU"/>
              </w:rPr>
            </w:pPr>
          </w:p>
        </w:tc>
        <w:tc>
          <w:tcPr>
            <w:tcW w:w="1928" w:type="dxa"/>
            <w:tcBorders>
              <w:top w:val="nil"/>
              <w:left w:val="nil"/>
              <w:bottom w:val="nil"/>
              <w:right w:val="nil"/>
            </w:tcBorders>
            <w:shd w:val="clear" w:color="auto" w:fill="auto"/>
            <w:noWrap/>
            <w:vAlign w:val="center"/>
            <w:hideMark/>
          </w:tcPr>
          <w:p w14:paraId="554D9A23"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1D1F1559" w14:textId="77777777" w:rsidR="00BC5219" w:rsidRPr="008A2B8F" w:rsidRDefault="00BC5219" w:rsidP="00E83802">
            <w:pP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4C82A8A2"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4B8C3C9F" w14:textId="77777777" w:rsidR="00BC5219" w:rsidRPr="008A2B8F" w:rsidRDefault="00BC5219" w:rsidP="00E83802">
            <w:pPr>
              <w:jc w:val="cente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5DFE7D92"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072433C4" w14:textId="77777777" w:rsidR="00BC5219" w:rsidRPr="008A2B8F" w:rsidRDefault="00BC5219" w:rsidP="00E83802">
            <w:pPr>
              <w:jc w:val="cente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12E2A4FF"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1BE0865B" w14:textId="77777777" w:rsidR="00BC5219" w:rsidRPr="008A2B8F" w:rsidRDefault="00BC5219" w:rsidP="00E83802">
            <w:pPr>
              <w:jc w:val="cente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0F8F21FC"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01177A9F" w14:textId="77777777" w:rsidR="00BC5219" w:rsidRPr="008A2B8F" w:rsidRDefault="00BC5219" w:rsidP="00E83802">
            <w:pPr>
              <w:jc w:val="cente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7CC7D078"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189579F8" w14:textId="77777777" w:rsidR="00BC5219" w:rsidRPr="008A2B8F" w:rsidRDefault="00BC5219" w:rsidP="00E83802">
            <w:pPr>
              <w:jc w:val="cente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3974CD2D"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50F00606" w14:textId="77777777" w:rsidR="00BC5219" w:rsidRPr="008A2B8F" w:rsidRDefault="00BC5219" w:rsidP="00E83802">
            <w:pPr>
              <w:jc w:val="cente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2323E362"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32D6D9DB" w14:textId="77777777" w:rsidR="00BC5219" w:rsidRPr="008A2B8F" w:rsidRDefault="00BC5219" w:rsidP="00E83802">
            <w:pPr>
              <w:jc w:val="cente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77706353" w14:textId="77777777" w:rsidR="00BC5219" w:rsidRPr="008A2B8F" w:rsidRDefault="00BC5219" w:rsidP="00E83802">
            <w:pPr>
              <w:rPr>
                <w:rFonts w:ascii="Meta Pro" w:eastAsia="Times New Roman" w:hAnsi="Meta Pro" w:cs="Times New Roman"/>
                <w:sz w:val="20"/>
                <w:szCs w:val="20"/>
                <w:lang w:eastAsia="en-AU"/>
              </w:rPr>
            </w:pPr>
          </w:p>
        </w:tc>
      </w:tr>
      <w:tr w:rsidR="00BC5219" w:rsidRPr="008A2B8F" w14:paraId="5770E681" w14:textId="77777777" w:rsidTr="00E83802">
        <w:trPr>
          <w:trHeight w:val="23"/>
        </w:trPr>
        <w:tc>
          <w:tcPr>
            <w:tcW w:w="9072" w:type="dxa"/>
            <w:tcBorders>
              <w:top w:val="nil"/>
              <w:left w:val="nil"/>
              <w:bottom w:val="nil"/>
              <w:right w:val="nil"/>
            </w:tcBorders>
            <w:shd w:val="clear" w:color="auto" w:fill="auto"/>
            <w:noWrap/>
            <w:vAlign w:val="center"/>
            <w:hideMark/>
          </w:tcPr>
          <w:p w14:paraId="53562D88" w14:textId="77777777" w:rsidR="00BC5219" w:rsidRPr="008A2B8F" w:rsidRDefault="00BC5219" w:rsidP="00E83802">
            <w:pPr>
              <w:rPr>
                <w:rFonts w:ascii="Meta Pro" w:eastAsia="Times New Roman" w:hAnsi="Meta Pro" w:cs="Times New Roman"/>
                <w:sz w:val="20"/>
                <w:szCs w:val="20"/>
                <w:lang w:eastAsia="en-AU"/>
              </w:rPr>
            </w:pPr>
          </w:p>
        </w:tc>
        <w:tc>
          <w:tcPr>
            <w:tcW w:w="1928" w:type="dxa"/>
            <w:vMerge w:val="restart"/>
            <w:tcBorders>
              <w:top w:val="nil"/>
              <w:left w:val="nil"/>
              <w:bottom w:val="nil"/>
              <w:right w:val="nil"/>
            </w:tcBorders>
            <w:shd w:val="clear" w:color="auto" w:fill="auto"/>
            <w:hideMark/>
          </w:tcPr>
          <w:p w14:paraId="2C1D9EA9"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 xml:space="preserve">Gold Coast Light Rail – G:link </w:t>
            </w:r>
          </w:p>
        </w:tc>
        <w:tc>
          <w:tcPr>
            <w:tcW w:w="113" w:type="dxa"/>
            <w:tcBorders>
              <w:top w:val="nil"/>
              <w:left w:val="nil"/>
              <w:bottom w:val="nil"/>
              <w:right w:val="nil"/>
            </w:tcBorders>
            <w:shd w:val="clear" w:color="auto" w:fill="auto"/>
            <w:hideMark/>
          </w:tcPr>
          <w:p w14:paraId="075C9496" w14:textId="77777777" w:rsidR="00BC5219" w:rsidRPr="008A2B8F" w:rsidRDefault="00BC5219" w:rsidP="00E83802">
            <w:pPr>
              <w:jc w:val="center"/>
              <w:rPr>
                <w:rFonts w:ascii="Meta Pro" w:eastAsia="Times New Roman" w:hAnsi="Meta Pro"/>
                <w:b/>
                <w:bCs/>
                <w:szCs w:val="18"/>
                <w:lang w:eastAsia="en-AU"/>
              </w:rPr>
            </w:pPr>
          </w:p>
        </w:tc>
        <w:tc>
          <w:tcPr>
            <w:tcW w:w="1928" w:type="dxa"/>
            <w:vMerge w:val="restart"/>
            <w:tcBorders>
              <w:top w:val="nil"/>
              <w:left w:val="nil"/>
              <w:bottom w:val="nil"/>
              <w:right w:val="nil"/>
            </w:tcBorders>
            <w:shd w:val="clear" w:color="auto" w:fill="auto"/>
            <w:hideMark/>
          </w:tcPr>
          <w:p w14:paraId="05BCF425"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Toowoomba Bypass</w:t>
            </w:r>
          </w:p>
        </w:tc>
        <w:tc>
          <w:tcPr>
            <w:tcW w:w="113" w:type="dxa"/>
            <w:tcBorders>
              <w:top w:val="nil"/>
              <w:left w:val="nil"/>
              <w:bottom w:val="nil"/>
              <w:right w:val="nil"/>
            </w:tcBorders>
            <w:shd w:val="clear" w:color="auto" w:fill="auto"/>
            <w:hideMark/>
          </w:tcPr>
          <w:p w14:paraId="3CEEE504" w14:textId="77777777" w:rsidR="00BC5219" w:rsidRPr="008A2B8F" w:rsidRDefault="00BC5219" w:rsidP="00E83802">
            <w:pPr>
              <w:jc w:val="center"/>
              <w:rPr>
                <w:rFonts w:ascii="Meta Pro" w:eastAsia="Times New Roman" w:hAnsi="Meta Pro"/>
                <w:b/>
                <w:bCs/>
                <w:szCs w:val="18"/>
                <w:lang w:eastAsia="en-AU"/>
              </w:rPr>
            </w:pPr>
          </w:p>
        </w:tc>
        <w:tc>
          <w:tcPr>
            <w:tcW w:w="1928" w:type="dxa"/>
            <w:vMerge w:val="restart"/>
            <w:tcBorders>
              <w:top w:val="nil"/>
              <w:left w:val="nil"/>
              <w:bottom w:val="nil"/>
              <w:right w:val="nil"/>
            </w:tcBorders>
            <w:shd w:val="clear" w:color="auto" w:fill="auto"/>
            <w:hideMark/>
          </w:tcPr>
          <w:p w14:paraId="33D49F6C"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Airportlink M7</w:t>
            </w:r>
          </w:p>
        </w:tc>
        <w:tc>
          <w:tcPr>
            <w:tcW w:w="113" w:type="dxa"/>
            <w:tcBorders>
              <w:top w:val="nil"/>
              <w:left w:val="nil"/>
              <w:bottom w:val="nil"/>
              <w:right w:val="nil"/>
            </w:tcBorders>
            <w:shd w:val="clear" w:color="auto" w:fill="auto"/>
            <w:noWrap/>
            <w:hideMark/>
          </w:tcPr>
          <w:p w14:paraId="7EF4CB52" w14:textId="77777777" w:rsidR="00BC5219" w:rsidRPr="008A2B8F" w:rsidRDefault="00BC5219" w:rsidP="00E83802">
            <w:pPr>
              <w:jc w:val="center"/>
              <w:rPr>
                <w:rFonts w:ascii="Meta Pro" w:eastAsia="Times New Roman" w:hAnsi="Meta Pro"/>
                <w:b/>
                <w:bCs/>
                <w:szCs w:val="18"/>
                <w:lang w:eastAsia="en-AU"/>
              </w:rPr>
            </w:pPr>
          </w:p>
        </w:tc>
        <w:tc>
          <w:tcPr>
            <w:tcW w:w="1928" w:type="dxa"/>
            <w:vMerge w:val="restart"/>
            <w:tcBorders>
              <w:top w:val="nil"/>
              <w:left w:val="nil"/>
              <w:bottom w:val="nil"/>
              <w:right w:val="nil"/>
            </w:tcBorders>
            <w:shd w:val="clear" w:color="auto" w:fill="auto"/>
            <w:hideMark/>
          </w:tcPr>
          <w:p w14:paraId="102907DF"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Gateway Motorway</w:t>
            </w:r>
          </w:p>
        </w:tc>
        <w:tc>
          <w:tcPr>
            <w:tcW w:w="113" w:type="dxa"/>
            <w:tcBorders>
              <w:top w:val="nil"/>
              <w:left w:val="nil"/>
              <w:bottom w:val="nil"/>
              <w:right w:val="nil"/>
            </w:tcBorders>
            <w:shd w:val="clear" w:color="auto" w:fill="auto"/>
            <w:noWrap/>
            <w:hideMark/>
          </w:tcPr>
          <w:p w14:paraId="111FABE3" w14:textId="77777777" w:rsidR="00BC5219" w:rsidRPr="008A2B8F" w:rsidRDefault="00BC5219" w:rsidP="00E83802">
            <w:pPr>
              <w:jc w:val="center"/>
              <w:rPr>
                <w:rFonts w:ascii="Meta Pro" w:eastAsia="Times New Roman" w:hAnsi="Meta Pro"/>
                <w:b/>
                <w:bCs/>
                <w:szCs w:val="18"/>
                <w:lang w:eastAsia="en-AU"/>
              </w:rPr>
            </w:pPr>
          </w:p>
        </w:tc>
        <w:tc>
          <w:tcPr>
            <w:tcW w:w="1928" w:type="dxa"/>
            <w:vMerge w:val="restart"/>
            <w:tcBorders>
              <w:top w:val="nil"/>
              <w:left w:val="nil"/>
              <w:bottom w:val="nil"/>
              <w:right w:val="nil"/>
            </w:tcBorders>
            <w:shd w:val="clear" w:color="auto" w:fill="auto"/>
            <w:hideMark/>
          </w:tcPr>
          <w:p w14:paraId="0711EDF3"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Logan Motorway</w:t>
            </w:r>
          </w:p>
        </w:tc>
        <w:tc>
          <w:tcPr>
            <w:tcW w:w="113" w:type="dxa"/>
            <w:tcBorders>
              <w:top w:val="nil"/>
              <w:left w:val="nil"/>
              <w:bottom w:val="nil"/>
              <w:right w:val="nil"/>
            </w:tcBorders>
            <w:shd w:val="clear" w:color="auto" w:fill="auto"/>
            <w:hideMark/>
          </w:tcPr>
          <w:p w14:paraId="55E22585" w14:textId="77777777" w:rsidR="00BC5219" w:rsidRPr="008A2B8F" w:rsidRDefault="00BC5219" w:rsidP="00E83802">
            <w:pPr>
              <w:jc w:val="center"/>
              <w:rPr>
                <w:rFonts w:ascii="Meta Pro" w:eastAsia="Times New Roman" w:hAnsi="Meta Pro"/>
                <w:b/>
                <w:bCs/>
                <w:szCs w:val="18"/>
                <w:lang w:eastAsia="en-AU"/>
              </w:rPr>
            </w:pPr>
          </w:p>
        </w:tc>
        <w:tc>
          <w:tcPr>
            <w:tcW w:w="1928" w:type="dxa"/>
            <w:vMerge w:val="restart"/>
            <w:tcBorders>
              <w:top w:val="nil"/>
              <w:left w:val="nil"/>
              <w:bottom w:val="nil"/>
              <w:right w:val="nil"/>
            </w:tcBorders>
            <w:shd w:val="clear" w:color="auto" w:fill="auto"/>
            <w:hideMark/>
          </w:tcPr>
          <w:p w14:paraId="5FC63987"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Port Drive</w:t>
            </w:r>
          </w:p>
        </w:tc>
        <w:tc>
          <w:tcPr>
            <w:tcW w:w="113" w:type="dxa"/>
            <w:tcBorders>
              <w:top w:val="nil"/>
              <w:left w:val="nil"/>
              <w:bottom w:val="nil"/>
              <w:right w:val="nil"/>
            </w:tcBorders>
            <w:shd w:val="clear" w:color="auto" w:fill="auto"/>
            <w:hideMark/>
          </w:tcPr>
          <w:p w14:paraId="5299E48E" w14:textId="77777777" w:rsidR="00BC5219" w:rsidRPr="008A2B8F" w:rsidRDefault="00BC5219" w:rsidP="00E83802">
            <w:pPr>
              <w:jc w:val="center"/>
              <w:rPr>
                <w:rFonts w:ascii="Meta Pro" w:eastAsia="Times New Roman" w:hAnsi="Meta Pro"/>
                <w:b/>
                <w:bCs/>
                <w:szCs w:val="18"/>
                <w:lang w:eastAsia="en-AU"/>
              </w:rPr>
            </w:pPr>
          </w:p>
        </w:tc>
        <w:tc>
          <w:tcPr>
            <w:tcW w:w="1928" w:type="dxa"/>
            <w:vMerge w:val="restart"/>
            <w:tcBorders>
              <w:top w:val="nil"/>
              <w:left w:val="nil"/>
              <w:bottom w:val="nil"/>
              <w:right w:val="nil"/>
            </w:tcBorders>
            <w:shd w:val="clear" w:color="auto" w:fill="auto"/>
            <w:hideMark/>
          </w:tcPr>
          <w:p w14:paraId="74E206BB"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Brisbane Airport Rail Link</w:t>
            </w:r>
          </w:p>
        </w:tc>
        <w:tc>
          <w:tcPr>
            <w:tcW w:w="113" w:type="dxa"/>
            <w:tcBorders>
              <w:top w:val="nil"/>
              <w:left w:val="nil"/>
              <w:bottom w:val="nil"/>
              <w:right w:val="nil"/>
            </w:tcBorders>
            <w:shd w:val="clear" w:color="auto" w:fill="auto"/>
            <w:hideMark/>
          </w:tcPr>
          <w:p w14:paraId="1E292A66" w14:textId="77777777" w:rsidR="00BC5219" w:rsidRPr="008A2B8F" w:rsidRDefault="00BC5219" w:rsidP="00E83802">
            <w:pPr>
              <w:jc w:val="center"/>
              <w:rPr>
                <w:rFonts w:ascii="Meta Pro" w:eastAsia="Times New Roman" w:hAnsi="Meta Pro"/>
                <w:b/>
                <w:bCs/>
                <w:szCs w:val="18"/>
                <w:lang w:eastAsia="en-AU"/>
              </w:rPr>
            </w:pPr>
          </w:p>
        </w:tc>
        <w:tc>
          <w:tcPr>
            <w:tcW w:w="1928" w:type="dxa"/>
            <w:vMerge w:val="restart"/>
            <w:tcBorders>
              <w:top w:val="nil"/>
              <w:left w:val="nil"/>
              <w:bottom w:val="nil"/>
              <w:right w:val="nil"/>
            </w:tcBorders>
            <w:shd w:val="clear" w:color="auto" w:fill="auto"/>
            <w:hideMark/>
          </w:tcPr>
          <w:p w14:paraId="2C4C4547"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Work in progress *</w:t>
            </w:r>
          </w:p>
        </w:tc>
        <w:tc>
          <w:tcPr>
            <w:tcW w:w="113" w:type="dxa"/>
            <w:tcBorders>
              <w:top w:val="nil"/>
              <w:left w:val="nil"/>
              <w:bottom w:val="nil"/>
              <w:right w:val="nil"/>
            </w:tcBorders>
            <w:shd w:val="clear" w:color="auto" w:fill="auto"/>
            <w:hideMark/>
          </w:tcPr>
          <w:p w14:paraId="050A6D71" w14:textId="77777777" w:rsidR="00BC5219" w:rsidRPr="008A2B8F" w:rsidRDefault="00BC5219" w:rsidP="00E83802">
            <w:pPr>
              <w:jc w:val="center"/>
              <w:rPr>
                <w:rFonts w:ascii="Meta Pro" w:eastAsia="Times New Roman" w:hAnsi="Meta Pro"/>
                <w:b/>
                <w:bCs/>
                <w:szCs w:val="18"/>
                <w:lang w:eastAsia="en-AU"/>
              </w:rPr>
            </w:pPr>
          </w:p>
        </w:tc>
        <w:tc>
          <w:tcPr>
            <w:tcW w:w="1928" w:type="dxa"/>
            <w:vMerge w:val="restart"/>
            <w:tcBorders>
              <w:top w:val="nil"/>
              <w:left w:val="nil"/>
              <w:bottom w:val="nil"/>
              <w:right w:val="nil"/>
            </w:tcBorders>
            <w:shd w:val="clear" w:color="auto" w:fill="auto"/>
            <w:hideMark/>
          </w:tcPr>
          <w:p w14:paraId="7C1547D0"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Total</w:t>
            </w:r>
          </w:p>
        </w:tc>
      </w:tr>
      <w:tr w:rsidR="00BC5219" w:rsidRPr="008A2B8F" w14:paraId="79BABD3A" w14:textId="77777777" w:rsidTr="00E83802">
        <w:trPr>
          <w:trHeight w:val="23"/>
        </w:trPr>
        <w:tc>
          <w:tcPr>
            <w:tcW w:w="9072" w:type="dxa"/>
            <w:tcBorders>
              <w:top w:val="nil"/>
              <w:left w:val="nil"/>
              <w:bottom w:val="nil"/>
              <w:right w:val="nil"/>
            </w:tcBorders>
            <w:shd w:val="clear" w:color="auto" w:fill="auto"/>
            <w:noWrap/>
            <w:vAlign w:val="center"/>
            <w:hideMark/>
          </w:tcPr>
          <w:p w14:paraId="2147CB17" w14:textId="77777777" w:rsidR="00BC5219" w:rsidRPr="008A2B8F" w:rsidRDefault="00BC5219" w:rsidP="00E83802">
            <w:pPr>
              <w:jc w:val="center"/>
              <w:rPr>
                <w:rFonts w:ascii="Meta Pro" w:eastAsia="Times New Roman" w:hAnsi="Meta Pro"/>
                <w:b/>
                <w:bCs/>
                <w:szCs w:val="18"/>
                <w:lang w:eastAsia="en-AU"/>
              </w:rPr>
            </w:pPr>
          </w:p>
        </w:tc>
        <w:tc>
          <w:tcPr>
            <w:tcW w:w="1928" w:type="dxa"/>
            <w:vMerge/>
            <w:tcBorders>
              <w:top w:val="nil"/>
              <w:left w:val="nil"/>
              <w:bottom w:val="nil"/>
              <w:right w:val="nil"/>
            </w:tcBorders>
            <w:vAlign w:val="center"/>
            <w:hideMark/>
          </w:tcPr>
          <w:p w14:paraId="5A46FE3B" w14:textId="77777777" w:rsidR="00BC5219" w:rsidRPr="008A2B8F" w:rsidRDefault="00BC5219" w:rsidP="00E83802">
            <w:pPr>
              <w:rPr>
                <w:rFonts w:ascii="Meta Pro" w:eastAsia="Times New Roman" w:hAnsi="Meta Pro"/>
                <w:b/>
                <w:bCs/>
                <w:szCs w:val="18"/>
                <w:lang w:eastAsia="en-AU"/>
              </w:rPr>
            </w:pPr>
          </w:p>
        </w:tc>
        <w:tc>
          <w:tcPr>
            <w:tcW w:w="113" w:type="dxa"/>
            <w:tcBorders>
              <w:top w:val="nil"/>
              <w:left w:val="nil"/>
              <w:bottom w:val="nil"/>
              <w:right w:val="nil"/>
            </w:tcBorders>
            <w:shd w:val="clear" w:color="auto" w:fill="auto"/>
            <w:noWrap/>
            <w:hideMark/>
          </w:tcPr>
          <w:p w14:paraId="70940535" w14:textId="77777777" w:rsidR="00BC5219" w:rsidRPr="008A2B8F" w:rsidRDefault="00BC5219" w:rsidP="00E83802">
            <w:pPr>
              <w:rPr>
                <w:rFonts w:ascii="Meta Pro" w:eastAsia="Times New Roman" w:hAnsi="Meta Pro" w:cs="Times New Roman"/>
                <w:sz w:val="20"/>
                <w:szCs w:val="20"/>
                <w:lang w:eastAsia="en-AU"/>
              </w:rPr>
            </w:pPr>
          </w:p>
        </w:tc>
        <w:tc>
          <w:tcPr>
            <w:tcW w:w="1928" w:type="dxa"/>
            <w:vMerge/>
            <w:tcBorders>
              <w:top w:val="nil"/>
              <w:left w:val="nil"/>
              <w:bottom w:val="nil"/>
              <w:right w:val="nil"/>
            </w:tcBorders>
            <w:vAlign w:val="center"/>
            <w:hideMark/>
          </w:tcPr>
          <w:p w14:paraId="7998B20B" w14:textId="77777777" w:rsidR="00BC5219" w:rsidRPr="008A2B8F" w:rsidRDefault="00BC5219" w:rsidP="00E83802">
            <w:pPr>
              <w:rPr>
                <w:rFonts w:ascii="Meta Pro" w:eastAsia="Times New Roman" w:hAnsi="Meta Pro"/>
                <w:b/>
                <w:bCs/>
                <w:szCs w:val="18"/>
                <w:lang w:eastAsia="en-AU"/>
              </w:rPr>
            </w:pPr>
          </w:p>
        </w:tc>
        <w:tc>
          <w:tcPr>
            <w:tcW w:w="113" w:type="dxa"/>
            <w:tcBorders>
              <w:top w:val="nil"/>
              <w:left w:val="nil"/>
              <w:bottom w:val="nil"/>
              <w:right w:val="nil"/>
            </w:tcBorders>
            <w:shd w:val="clear" w:color="auto" w:fill="auto"/>
            <w:noWrap/>
            <w:hideMark/>
          </w:tcPr>
          <w:p w14:paraId="71F3507F" w14:textId="77777777" w:rsidR="00BC5219" w:rsidRPr="008A2B8F" w:rsidRDefault="00BC5219" w:rsidP="00E83802">
            <w:pPr>
              <w:jc w:val="center"/>
              <w:rPr>
                <w:rFonts w:ascii="Meta Pro" w:eastAsia="Times New Roman" w:hAnsi="Meta Pro" w:cs="Times New Roman"/>
                <w:sz w:val="20"/>
                <w:szCs w:val="20"/>
                <w:lang w:eastAsia="en-AU"/>
              </w:rPr>
            </w:pPr>
          </w:p>
        </w:tc>
        <w:tc>
          <w:tcPr>
            <w:tcW w:w="1928" w:type="dxa"/>
            <w:vMerge/>
            <w:tcBorders>
              <w:top w:val="nil"/>
              <w:left w:val="nil"/>
              <w:bottom w:val="nil"/>
              <w:right w:val="nil"/>
            </w:tcBorders>
            <w:vAlign w:val="center"/>
            <w:hideMark/>
          </w:tcPr>
          <w:p w14:paraId="1E6405C2" w14:textId="77777777" w:rsidR="00BC5219" w:rsidRPr="008A2B8F" w:rsidRDefault="00BC5219" w:rsidP="00E83802">
            <w:pPr>
              <w:rPr>
                <w:rFonts w:ascii="Meta Pro" w:eastAsia="Times New Roman" w:hAnsi="Meta Pro"/>
                <w:b/>
                <w:bCs/>
                <w:szCs w:val="18"/>
                <w:lang w:eastAsia="en-AU"/>
              </w:rPr>
            </w:pPr>
          </w:p>
        </w:tc>
        <w:tc>
          <w:tcPr>
            <w:tcW w:w="113" w:type="dxa"/>
            <w:tcBorders>
              <w:top w:val="nil"/>
              <w:left w:val="nil"/>
              <w:bottom w:val="nil"/>
              <w:right w:val="nil"/>
            </w:tcBorders>
            <w:shd w:val="clear" w:color="auto" w:fill="auto"/>
            <w:noWrap/>
            <w:hideMark/>
          </w:tcPr>
          <w:p w14:paraId="7E3DB36C" w14:textId="77777777" w:rsidR="00BC5219" w:rsidRPr="008A2B8F" w:rsidRDefault="00BC5219" w:rsidP="00E83802">
            <w:pPr>
              <w:jc w:val="center"/>
              <w:rPr>
                <w:rFonts w:ascii="Meta Pro" w:eastAsia="Times New Roman" w:hAnsi="Meta Pro" w:cs="Times New Roman"/>
                <w:sz w:val="20"/>
                <w:szCs w:val="20"/>
                <w:lang w:eastAsia="en-AU"/>
              </w:rPr>
            </w:pPr>
          </w:p>
        </w:tc>
        <w:tc>
          <w:tcPr>
            <w:tcW w:w="1928" w:type="dxa"/>
            <w:vMerge/>
            <w:tcBorders>
              <w:top w:val="nil"/>
              <w:left w:val="nil"/>
              <w:bottom w:val="nil"/>
              <w:right w:val="nil"/>
            </w:tcBorders>
            <w:vAlign w:val="center"/>
            <w:hideMark/>
          </w:tcPr>
          <w:p w14:paraId="20192F2C" w14:textId="77777777" w:rsidR="00BC5219" w:rsidRPr="008A2B8F" w:rsidRDefault="00BC5219" w:rsidP="00E83802">
            <w:pPr>
              <w:rPr>
                <w:rFonts w:ascii="Meta Pro" w:eastAsia="Times New Roman" w:hAnsi="Meta Pro"/>
                <w:b/>
                <w:bCs/>
                <w:szCs w:val="18"/>
                <w:lang w:eastAsia="en-AU"/>
              </w:rPr>
            </w:pPr>
          </w:p>
        </w:tc>
        <w:tc>
          <w:tcPr>
            <w:tcW w:w="113" w:type="dxa"/>
            <w:tcBorders>
              <w:top w:val="nil"/>
              <w:left w:val="nil"/>
              <w:bottom w:val="nil"/>
              <w:right w:val="nil"/>
            </w:tcBorders>
            <w:shd w:val="clear" w:color="auto" w:fill="auto"/>
            <w:hideMark/>
          </w:tcPr>
          <w:p w14:paraId="0133650F" w14:textId="77777777" w:rsidR="00BC5219" w:rsidRPr="008A2B8F" w:rsidRDefault="00BC5219" w:rsidP="00E83802">
            <w:pPr>
              <w:jc w:val="center"/>
              <w:rPr>
                <w:rFonts w:ascii="Meta Pro" w:eastAsia="Times New Roman" w:hAnsi="Meta Pro" w:cs="Times New Roman"/>
                <w:sz w:val="20"/>
                <w:szCs w:val="20"/>
                <w:lang w:eastAsia="en-AU"/>
              </w:rPr>
            </w:pPr>
          </w:p>
        </w:tc>
        <w:tc>
          <w:tcPr>
            <w:tcW w:w="1928" w:type="dxa"/>
            <w:vMerge/>
            <w:tcBorders>
              <w:top w:val="nil"/>
              <w:left w:val="nil"/>
              <w:bottom w:val="nil"/>
              <w:right w:val="nil"/>
            </w:tcBorders>
            <w:vAlign w:val="center"/>
            <w:hideMark/>
          </w:tcPr>
          <w:p w14:paraId="2BB89B29" w14:textId="77777777" w:rsidR="00BC5219" w:rsidRPr="008A2B8F" w:rsidRDefault="00BC5219" w:rsidP="00E83802">
            <w:pPr>
              <w:rPr>
                <w:rFonts w:ascii="Meta Pro" w:eastAsia="Times New Roman" w:hAnsi="Meta Pro"/>
                <w:b/>
                <w:bCs/>
                <w:szCs w:val="18"/>
                <w:lang w:eastAsia="en-AU"/>
              </w:rPr>
            </w:pPr>
          </w:p>
        </w:tc>
        <w:tc>
          <w:tcPr>
            <w:tcW w:w="113" w:type="dxa"/>
            <w:tcBorders>
              <w:top w:val="nil"/>
              <w:left w:val="nil"/>
              <w:bottom w:val="nil"/>
              <w:right w:val="nil"/>
            </w:tcBorders>
            <w:shd w:val="clear" w:color="auto" w:fill="auto"/>
            <w:hideMark/>
          </w:tcPr>
          <w:p w14:paraId="64253BE6" w14:textId="77777777" w:rsidR="00BC5219" w:rsidRPr="008A2B8F" w:rsidRDefault="00BC5219" w:rsidP="00E83802">
            <w:pPr>
              <w:jc w:val="center"/>
              <w:rPr>
                <w:rFonts w:ascii="Meta Pro" w:eastAsia="Times New Roman" w:hAnsi="Meta Pro" w:cs="Times New Roman"/>
                <w:sz w:val="20"/>
                <w:szCs w:val="20"/>
                <w:lang w:eastAsia="en-AU"/>
              </w:rPr>
            </w:pPr>
          </w:p>
        </w:tc>
        <w:tc>
          <w:tcPr>
            <w:tcW w:w="1928" w:type="dxa"/>
            <w:vMerge/>
            <w:tcBorders>
              <w:top w:val="nil"/>
              <w:left w:val="nil"/>
              <w:bottom w:val="nil"/>
              <w:right w:val="nil"/>
            </w:tcBorders>
            <w:vAlign w:val="center"/>
            <w:hideMark/>
          </w:tcPr>
          <w:p w14:paraId="0377E141" w14:textId="77777777" w:rsidR="00BC5219" w:rsidRPr="008A2B8F" w:rsidRDefault="00BC5219" w:rsidP="00E83802">
            <w:pPr>
              <w:rPr>
                <w:rFonts w:ascii="Meta Pro" w:eastAsia="Times New Roman" w:hAnsi="Meta Pro"/>
                <w:b/>
                <w:bCs/>
                <w:szCs w:val="18"/>
                <w:lang w:eastAsia="en-AU"/>
              </w:rPr>
            </w:pPr>
          </w:p>
        </w:tc>
        <w:tc>
          <w:tcPr>
            <w:tcW w:w="113" w:type="dxa"/>
            <w:tcBorders>
              <w:top w:val="nil"/>
              <w:left w:val="nil"/>
              <w:bottom w:val="nil"/>
              <w:right w:val="nil"/>
            </w:tcBorders>
            <w:shd w:val="clear" w:color="auto" w:fill="auto"/>
            <w:hideMark/>
          </w:tcPr>
          <w:p w14:paraId="29092B9E" w14:textId="77777777" w:rsidR="00BC5219" w:rsidRPr="008A2B8F" w:rsidRDefault="00BC5219" w:rsidP="00E83802">
            <w:pPr>
              <w:jc w:val="center"/>
              <w:rPr>
                <w:rFonts w:ascii="Meta Pro" w:eastAsia="Times New Roman" w:hAnsi="Meta Pro" w:cs="Times New Roman"/>
                <w:sz w:val="20"/>
                <w:szCs w:val="20"/>
                <w:lang w:eastAsia="en-AU"/>
              </w:rPr>
            </w:pPr>
          </w:p>
        </w:tc>
        <w:tc>
          <w:tcPr>
            <w:tcW w:w="1928" w:type="dxa"/>
            <w:vMerge/>
            <w:tcBorders>
              <w:top w:val="nil"/>
              <w:left w:val="nil"/>
              <w:bottom w:val="nil"/>
              <w:right w:val="nil"/>
            </w:tcBorders>
            <w:vAlign w:val="center"/>
            <w:hideMark/>
          </w:tcPr>
          <w:p w14:paraId="5FDB1E4B" w14:textId="77777777" w:rsidR="00BC5219" w:rsidRPr="008A2B8F" w:rsidRDefault="00BC5219" w:rsidP="00E83802">
            <w:pPr>
              <w:rPr>
                <w:rFonts w:ascii="Meta Pro" w:eastAsia="Times New Roman" w:hAnsi="Meta Pro"/>
                <w:b/>
                <w:bCs/>
                <w:szCs w:val="18"/>
                <w:lang w:eastAsia="en-AU"/>
              </w:rPr>
            </w:pPr>
          </w:p>
        </w:tc>
        <w:tc>
          <w:tcPr>
            <w:tcW w:w="113" w:type="dxa"/>
            <w:tcBorders>
              <w:top w:val="nil"/>
              <w:left w:val="nil"/>
              <w:bottom w:val="nil"/>
              <w:right w:val="nil"/>
            </w:tcBorders>
            <w:shd w:val="clear" w:color="auto" w:fill="auto"/>
            <w:hideMark/>
          </w:tcPr>
          <w:p w14:paraId="7426118A" w14:textId="77777777" w:rsidR="00BC5219" w:rsidRPr="008A2B8F" w:rsidRDefault="00BC5219" w:rsidP="00E83802">
            <w:pPr>
              <w:rPr>
                <w:rFonts w:ascii="Meta Pro" w:eastAsia="Times New Roman" w:hAnsi="Meta Pro" w:cs="Times New Roman"/>
                <w:sz w:val="20"/>
                <w:szCs w:val="20"/>
                <w:lang w:eastAsia="en-AU"/>
              </w:rPr>
            </w:pPr>
          </w:p>
        </w:tc>
        <w:tc>
          <w:tcPr>
            <w:tcW w:w="1928" w:type="dxa"/>
            <w:vMerge/>
            <w:tcBorders>
              <w:top w:val="nil"/>
              <w:left w:val="nil"/>
              <w:bottom w:val="nil"/>
              <w:right w:val="nil"/>
            </w:tcBorders>
            <w:vAlign w:val="center"/>
            <w:hideMark/>
          </w:tcPr>
          <w:p w14:paraId="737BC35B" w14:textId="77777777" w:rsidR="00BC5219" w:rsidRPr="008A2B8F" w:rsidRDefault="00BC5219" w:rsidP="00E83802">
            <w:pPr>
              <w:rPr>
                <w:rFonts w:ascii="Meta Pro" w:eastAsia="Times New Roman" w:hAnsi="Meta Pro"/>
                <w:b/>
                <w:bCs/>
                <w:szCs w:val="18"/>
                <w:lang w:eastAsia="en-AU"/>
              </w:rPr>
            </w:pPr>
          </w:p>
        </w:tc>
        <w:tc>
          <w:tcPr>
            <w:tcW w:w="113" w:type="dxa"/>
            <w:tcBorders>
              <w:top w:val="nil"/>
              <w:left w:val="nil"/>
              <w:bottom w:val="nil"/>
              <w:right w:val="nil"/>
            </w:tcBorders>
            <w:shd w:val="clear" w:color="auto" w:fill="auto"/>
            <w:hideMark/>
          </w:tcPr>
          <w:p w14:paraId="6E026D5F" w14:textId="77777777" w:rsidR="00BC5219" w:rsidRPr="008A2B8F" w:rsidRDefault="00BC5219" w:rsidP="00E83802">
            <w:pPr>
              <w:jc w:val="center"/>
              <w:rPr>
                <w:rFonts w:ascii="Meta Pro" w:eastAsia="Times New Roman" w:hAnsi="Meta Pro" w:cs="Times New Roman"/>
                <w:sz w:val="20"/>
                <w:szCs w:val="20"/>
                <w:lang w:eastAsia="en-AU"/>
              </w:rPr>
            </w:pPr>
          </w:p>
        </w:tc>
        <w:tc>
          <w:tcPr>
            <w:tcW w:w="1928" w:type="dxa"/>
            <w:vMerge/>
            <w:tcBorders>
              <w:top w:val="nil"/>
              <w:left w:val="nil"/>
              <w:bottom w:val="nil"/>
              <w:right w:val="nil"/>
            </w:tcBorders>
            <w:vAlign w:val="center"/>
            <w:hideMark/>
          </w:tcPr>
          <w:p w14:paraId="6E2AC454" w14:textId="77777777" w:rsidR="00BC5219" w:rsidRPr="008A2B8F" w:rsidRDefault="00BC5219" w:rsidP="00E83802">
            <w:pPr>
              <w:rPr>
                <w:rFonts w:ascii="Meta Pro" w:eastAsia="Times New Roman" w:hAnsi="Meta Pro"/>
                <w:b/>
                <w:bCs/>
                <w:szCs w:val="18"/>
                <w:lang w:eastAsia="en-AU"/>
              </w:rPr>
            </w:pPr>
          </w:p>
        </w:tc>
      </w:tr>
      <w:tr w:rsidR="00BC5219" w:rsidRPr="008A2B8F" w14:paraId="298B173D" w14:textId="77777777" w:rsidTr="00E83802">
        <w:trPr>
          <w:trHeight w:val="57"/>
        </w:trPr>
        <w:tc>
          <w:tcPr>
            <w:tcW w:w="9072" w:type="dxa"/>
            <w:tcBorders>
              <w:top w:val="nil"/>
              <w:left w:val="nil"/>
              <w:bottom w:val="nil"/>
              <w:right w:val="nil"/>
            </w:tcBorders>
            <w:shd w:val="clear" w:color="auto" w:fill="auto"/>
            <w:noWrap/>
            <w:vAlign w:val="center"/>
            <w:hideMark/>
          </w:tcPr>
          <w:p w14:paraId="0BFA5DDF" w14:textId="77777777" w:rsidR="00BC5219" w:rsidRPr="008A2B8F" w:rsidRDefault="00BC5219" w:rsidP="00E83802">
            <w:pPr>
              <w:jc w:val="center"/>
              <w:rPr>
                <w:rFonts w:ascii="Meta Pro" w:eastAsia="Times New Roman" w:hAnsi="Meta Pro" w:cs="Times New Roman"/>
                <w:sz w:val="20"/>
                <w:szCs w:val="20"/>
                <w:lang w:eastAsia="en-AU"/>
              </w:rPr>
            </w:pPr>
          </w:p>
        </w:tc>
        <w:tc>
          <w:tcPr>
            <w:tcW w:w="1928" w:type="dxa"/>
            <w:vMerge/>
            <w:tcBorders>
              <w:top w:val="nil"/>
              <w:left w:val="nil"/>
              <w:bottom w:val="nil"/>
              <w:right w:val="nil"/>
            </w:tcBorders>
            <w:vAlign w:val="center"/>
            <w:hideMark/>
          </w:tcPr>
          <w:p w14:paraId="1EEFFAF9" w14:textId="77777777" w:rsidR="00BC5219" w:rsidRPr="008A2B8F" w:rsidRDefault="00BC5219" w:rsidP="00E83802">
            <w:pPr>
              <w:rPr>
                <w:rFonts w:ascii="Meta Pro" w:eastAsia="Times New Roman" w:hAnsi="Meta Pro"/>
                <w:b/>
                <w:bCs/>
                <w:szCs w:val="18"/>
                <w:lang w:eastAsia="en-AU"/>
              </w:rPr>
            </w:pPr>
          </w:p>
        </w:tc>
        <w:tc>
          <w:tcPr>
            <w:tcW w:w="113" w:type="dxa"/>
            <w:tcBorders>
              <w:top w:val="nil"/>
              <w:left w:val="nil"/>
              <w:bottom w:val="nil"/>
              <w:right w:val="nil"/>
            </w:tcBorders>
            <w:shd w:val="clear" w:color="auto" w:fill="auto"/>
            <w:noWrap/>
            <w:hideMark/>
          </w:tcPr>
          <w:p w14:paraId="777BD674" w14:textId="77777777" w:rsidR="00BC5219" w:rsidRPr="008A2B8F" w:rsidRDefault="00BC5219" w:rsidP="00E83802">
            <w:pPr>
              <w:rPr>
                <w:rFonts w:ascii="Meta Pro" w:eastAsia="Times New Roman" w:hAnsi="Meta Pro" w:cs="Times New Roman"/>
                <w:sz w:val="20"/>
                <w:szCs w:val="20"/>
                <w:lang w:eastAsia="en-AU"/>
              </w:rPr>
            </w:pPr>
          </w:p>
        </w:tc>
        <w:tc>
          <w:tcPr>
            <w:tcW w:w="1928" w:type="dxa"/>
            <w:vMerge/>
            <w:tcBorders>
              <w:top w:val="nil"/>
              <w:left w:val="nil"/>
              <w:bottom w:val="nil"/>
              <w:right w:val="nil"/>
            </w:tcBorders>
            <w:vAlign w:val="center"/>
            <w:hideMark/>
          </w:tcPr>
          <w:p w14:paraId="64DF2297" w14:textId="77777777" w:rsidR="00BC5219" w:rsidRPr="008A2B8F" w:rsidRDefault="00BC5219" w:rsidP="00E83802">
            <w:pPr>
              <w:rPr>
                <w:rFonts w:ascii="Meta Pro" w:eastAsia="Times New Roman" w:hAnsi="Meta Pro"/>
                <w:b/>
                <w:bCs/>
                <w:szCs w:val="18"/>
                <w:lang w:eastAsia="en-AU"/>
              </w:rPr>
            </w:pPr>
          </w:p>
        </w:tc>
        <w:tc>
          <w:tcPr>
            <w:tcW w:w="113" w:type="dxa"/>
            <w:tcBorders>
              <w:top w:val="nil"/>
              <w:left w:val="nil"/>
              <w:bottom w:val="nil"/>
              <w:right w:val="nil"/>
            </w:tcBorders>
            <w:shd w:val="clear" w:color="auto" w:fill="auto"/>
            <w:noWrap/>
            <w:hideMark/>
          </w:tcPr>
          <w:p w14:paraId="5F3EDDD6" w14:textId="77777777" w:rsidR="00BC5219" w:rsidRPr="008A2B8F" w:rsidRDefault="00BC5219" w:rsidP="00E83802">
            <w:pPr>
              <w:jc w:val="center"/>
              <w:rPr>
                <w:rFonts w:ascii="Meta Pro" w:eastAsia="Times New Roman" w:hAnsi="Meta Pro" w:cs="Times New Roman"/>
                <w:sz w:val="20"/>
                <w:szCs w:val="20"/>
                <w:lang w:eastAsia="en-AU"/>
              </w:rPr>
            </w:pPr>
          </w:p>
        </w:tc>
        <w:tc>
          <w:tcPr>
            <w:tcW w:w="1928" w:type="dxa"/>
            <w:vMerge/>
            <w:tcBorders>
              <w:top w:val="nil"/>
              <w:left w:val="nil"/>
              <w:bottom w:val="nil"/>
              <w:right w:val="nil"/>
            </w:tcBorders>
            <w:vAlign w:val="center"/>
            <w:hideMark/>
          </w:tcPr>
          <w:p w14:paraId="09D13290" w14:textId="77777777" w:rsidR="00BC5219" w:rsidRPr="008A2B8F" w:rsidRDefault="00BC5219" w:rsidP="00E83802">
            <w:pPr>
              <w:rPr>
                <w:rFonts w:ascii="Meta Pro" w:eastAsia="Times New Roman" w:hAnsi="Meta Pro"/>
                <w:b/>
                <w:bCs/>
                <w:szCs w:val="18"/>
                <w:lang w:eastAsia="en-AU"/>
              </w:rPr>
            </w:pPr>
          </w:p>
        </w:tc>
        <w:tc>
          <w:tcPr>
            <w:tcW w:w="113" w:type="dxa"/>
            <w:tcBorders>
              <w:top w:val="nil"/>
              <w:left w:val="nil"/>
              <w:bottom w:val="nil"/>
              <w:right w:val="nil"/>
            </w:tcBorders>
            <w:shd w:val="clear" w:color="auto" w:fill="auto"/>
            <w:hideMark/>
          </w:tcPr>
          <w:p w14:paraId="398D6D4B" w14:textId="77777777" w:rsidR="00BC5219" w:rsidRPr="008A2B8F" w:rsidRDefault="00BC5219" w:rsidP="00E83802">
            <w:pPr>
              <w:jc w:val="center"/>
              <w:rPr>
                <w:rFonts w:ascii="Meta Pro" w:eastAsia="Times New Roman" w:hAnsi="Meta Pro" w:cs="Times New Roman"/>
                <w:sz w:val="20"/>
                <w:szCs w:val="20"/>
                <w:lang w:eastAsia="en-AU"/>
              </w:rPr>
            </w:pPr>
          </w:p>
        </w:tc>
        <w:tc>
          <w:tcPr>
            <w:tcW w:w="1928" w:type="dxa"/>
            <w:vMerge/>
            <w:tcBorders>
              <w:top w:val="nil"/>
              <w:left w:val="nil"/>
              <w:bottom w:val="nil"/>
              <w:right w:val="nil"/>
            </w:tcBorders>
            <w:vAlign w:val="center"/>
            <w:hideMark/>
          </w:tcPr>
          <w:p w14:paraId="01A6ABD1" w14:textId="77777777" w:rsidR="00BC5219" w:rsidRPr="008A2B8F" w:rsidRDefault="00BC5219" w:rsidP="00E83802">
            <w:pPr>
              <w:rPr>
                <w:rFonts w:ascii="Meta Pro" w:eastAsia="Times New Roman" w:hAnsi="Meta Pro"/>
                <w:b/>
                <w:bCs/>
                <w:szCs w:val="18"/>
                <w:lang w:eastAsia="en-AU"/>
              </w:rPr>
            </w:pPr>
          </w:p>
        </w:tc>
        <w:tc>
          <w:tcPr>
            <w:tcW w:w="113" w:type="dxa"/>
            <w:tcBorders>
              <w:top w:val="nil"/>
              <w:left w:val="nil"/>
              <w:bottom w:val="nil"/>
              <w:right w:val="nil"/>
            </w:tcBorders>
            <w:shd w:val="clear" w:color="auto" w:fill="auto"/>
            <w:hideMark/>
          </w:tcPr>
          <w:p w14:paraId="721A3508" w14:textId="77777777" w:rsidR="00BC5219" w:rsidRPr="008A2B8F" w:rsidRDefault="00BC5219" w:rsidP="00E83802">
            <w:pPr>
              <w:jc w:val="center"/>
              <w:rPr>
                <w:rFonts w:ascii="Meta Pro" w:eastAsia="Times New Roman" w:hAnsi="Meta Pro" w:cs="Times New Roman"/>
                <w:sz w:val="20"/>
                <w:szCs w:val="20"/>
                <w:lang w:eastAsia="en-AU"/>
              </w:rPr>
            </w:pPr>
          </w:p>
        </w:tc>
        <w:tc>
          <w:tcPr>
            <w:tcW w:w="1928" w:type="dxa"/>
            <w:vMerge/>
            <w:tcBorders>
              <w:top w:val="nil"/>
              <w:left w:val="nil"/>
              <w:bottom w:val="nil"/>
              <w:right w:val="nil"/>
            </w:tcBorders>
            <w:vAlign w:val="center"/>
            <w:hideMark/>
          </w:tcPr>
          <w:p w14:paraId="72717861" w14:textId="77777777" w:rsidR="00BC5219" w:rsidRPr="008A2B8F" w:rsidRDefault="00BC5219" w:rsidP="00E83802">
            <w:pPr>
              <w:rPr>
                <w:rFonts w:ascii="Meta Pro" w:eastAsia="Times New Roman" w:hAnsi="Meta Pro"/>
                <w:b/>
                <w:bCs/>
                <w:szCs w:val="18"/>
                <w:lang w:eastAsia="en-AU"/>
              </w:rPr>
            </w:pPr>
          </w:p>
        </w:tc>
        <w:tc>
          <w:tcPr>
            <w:tcW w:w="113" w:type="dxa"/>
            <w:tcBorders>
              <w:top w:val="nil"/>
              <w:left w:val="nil"/>
              <w:bottom w:val="nil"/>
              <w:right w:val="nil"/>
            </w:tcBorders>
            <w:shd w:val="clear" w:color="auto" w:fill="auto"/>
            <w:hideMark/>
          </w:tcPr>
          <w:p w14:paraId="06240C04" w14:textId="77777777" w:rsidR="00BC5219" w:rsidRPr="008A2B8F" w:rsidRDefault="00BC5219" w:rsidP="00E83802">
            <w:pPr>
              <w:jc w:val="center"/>
              <w:rPr>
                <w:rFonts w:ascii="Meta Pro" w:eastAsia="Times New Roman" w:hAnsi="Meta Pro" w:cs="Times New Roman"/>
                <w:sz w:val="20"/>
                <w:szCs w:val="20"/>
                <w:lang w:eastAsia="en-AU"/>
              </w:rPr>
            </w:pPr>
          </w:p>
        </w:tc>
        <w:tc>
          <w:tcPr>
            <w:tcW w:w="1928" w:type="dxa"/>
            <w:vMerge/>
            <w:tcBorders>
              <w:top w:val="nil"/>
              <w:left w:val="nil"/>
              <w:bottom w:val="nil"/>
              <w:right w:val="nil"/>
            </w:tcBorders>
            <w:vAlign w:val="center"/>
            <w:hideMark/>
          </w:tcPr>
          <w:p w14:paraId="2FEDA2C9" w14:textId="77777777" w:rsidR="00BC5219" w:rsidRPr="008A2B8F" w:rsidRDefault="00BC5219" w:rsidP="00E83802">
            <w:pPr>
              <w:rPr>
                <w:rFonts w:ascii="Meta Pro" w:eastAsia="Times New Roman" w:hAnsi="Meta Pro"/>
                <w:b/>
                <w:bCs/>
                <w:szCs w:val="18"/>
                <w:lang w:eastAsia="en-AU"/>
              </w:rPr>
            </w:pPr>
          </w:p>
        </w:tc>
        <w:tc>
          <w:tcPr>
            <w:tcW w:w="113" w:type="dxa"/>
            <w:tcBorders>
              <w:top w:val="nil"/>
              <w:left w:val="nil"/>
              <w:bottom w:val="nil"/>
              <w:right w:val="nil"/>
            </w:tcBorders>
            <w:shd w:val="clear" w:color="auto" w:fill="auto"/>
            <w:hideMark/>
          </w:tcPr>
          <w:p w14:paraId="4A8ACEBD" w14:textId="77777777" w:rsidR="00BC5219" w:rsidRPr="008A2B8F" w:rsidRDefault="00BC5219" w:rsidP="00E83802">
            <w:pPr>
              <w:jc w:val="center"/>
              <w:rPr>
                <w:rFonts w:ascii="Meta Pro" w:eastAsia="Times New Roman" w:hAnsi="Meta Pro" w:cs="Times New Roman"/>
                <w:sz w:val="20"/>
                <w:szCs w:val="20"/>
                <w:lang w:eastAsia="en-AU"/>
              </w:rPr>
            </w:pPr>
          </w:p>
        </w:tc>
        <w:tc>
          <w:tcPr>
            <w:tcW w:w="1928" w:type="dxa"/>
            <w:vMerge/>
            <w:tcBorders>
              <w:top w:val="nil"/>
              <w:left w:val="nil"/>
              <w:bottom w:val="nil"/>
              <w:right w:val="nil"/>
            </w:tcBorders>
            <w:vAlign w:val="center"/>
            <w:hideMark/>
          </w:tcPr>
          <w:p w14:paraId="4A29FAB5" w14:textId="77777777" w:rsidR="00BC5219" w:rsidRPr="008A2B8F" w:rsidRDefault="00BC5219" w:rsidP="00E83802">
            <w:pPr>
              <w:rPr>
                <w:rFonts w:ascii="Meta Pro" w:eastAsia="Times New Roman" w:hAnsi="Meta Pro"/>
                <w:b/>
                <w:bCs/>
                <w:szCs w:val="18"/>
                <w:lang w:eastAsia="en-AU"/>
              </w:rPr>
            </w:pPr>
          </w:p>
        </w:tc>
        <w:tc>
          <w:tcPr>
            <w:tcW w:w="113" w:type="dxa"/>
            <w:tcBorders>
              <w:top w:val="nil"/>
              <w:left w:val="nil"/>
              <w:bottom w:val="nil"/>
              <w:right w:val="nil"/>
            </w:tcBorders>
            <w:shd w:val="clear" w:color="auto" w:fill="auto"/>
            <w:hideMark/>
          </w:tcPr>
          <w:p w14:paraId="4783C79F" w14:textId="77777777" w:rsidR="00BC5219" w:rsidRPr="008A2B8F" w:rsidRDefault="00BC5219" w:rsidP="00E83802">
            <w:pPr>
              <w:rPr>
                <w:rFonts w:ascii="Meta Pro" w:eastAsia="Times New Roman" w:hAnsi="Meta Pro" w:cs="Times New Roman"/>
                <w:sz w:val="20"/>
                <w:szCs w:val="20"/>
                <w:lang w:eastAsia="en-AU"/>
              </w:rPr>
            </w:pPr>
          </w:p>
        </w:tc>
        <w:tc>
          <w:tcPr>
            <w:tcW w:w="1928" w:type="dxa"/>
            <w:vMerge/>
            <w:tcBorders>
              <w:top w:val="nil"/>
              <w:left w:val="nil"/>
              <w:bottom w:val="nil"/>
              <w:right w:val="nil"/>
            </w:tcBorders>
            <w:vAlign w:val="center"/>
            <w:hideMark/>
          </w:tcPr>
          <w:p w14:paraId="258DFEBF" w14:textId="77777777" w:rsidR="00BC5219" w:rsidRPr="008A2B8F" w:rsidRDefault="00BC5219" w:rsidP="00E83802">
            <w:pPr>
              <w:rPr>
                <w:rFonts w:ascii="Meta Pro" w:eastAsia="Times New Roman" w:hAnsi="Meta Pro"/>
                <w:b/>
                <w:bCs/>
                <w:szCs w:val="18"/>
                <w:lang w:eastAsia="en-AU"/>
              </w:rPr>
            </w:pPr>
          </w:p>
        </w:tc>
        <w:tc>
          <w:tcPr>
            <w:tcW w:w="113" w:type="dxa"/>
            <w:tcBorders>
              <w:top w:val="nil"/>
              <w:left w:val="nil"/>
              <w:bottom w:val="nil"/>
              <w:right w:val="nil"/>
            </w:tcBorders>
            <w:shd w:val="clear" w:color="auto" w:fill="auto"/>
            <w:hideMark/>
          </w:tcPr>
          <w:p w14:paraId="5372B303" w14:textId="77777777" w:rsidR="00BC5219" w:rsidRPr="008A2B8F" w:rsidRDefault="00BC5219" w:rsidP="00E83802">
            <w:pPr>
              <w:jc w:val="center"/>
              <w:rPr>
                <w:rFonts w:ascii="Meta Pro" w:eastAsia="Times New Roman" w:hAnsi="Meta Pro" w:cs="Times New Roman"/>
                <w:sz w:val="20"/>
                <w:szCs w:val="20"/>
                <w:lang w:eastAsia="en-AU"/>
              </w:rPr>
            </w:pPr>
          </w:p>
        </w:tc>
        <w:tc>
          <w:tcPr>
            <w:tcW w:w="1928" w:type="dxa"/>
            <w:vMerge/>
            <w:tcBorders>
              <w:top w:val="nil"/>
              <w:left w:val="nil"/>
              <w:bottom w:val="nil"/>
              <w:right w:val="nil"/>
            </w:tcBorders>
            <w:vAlign w:val="center"/>
            <w:hideMark/>
          </w:tcPr>
          <w:p w14:paraId="724A5AD2" w14:textId="77777777" w:rsidR="00BC5219" w:rsidRPr="008A2B8F" w:rsidRDefault="00BC5219" w:rsidP="00E83802">
            <w:pPr>
              <w:rPr>
                <w:rFonts w:ascii="Meta Pro" w:eastAsia="Times New Roman" w:hAnsi="Meta Pro"/>
                <w:b/>
                <w:bCs/>
                <w:szCs w:val="18"/>
                <w:lang w:eastAsia="en-AU"/>
              </w:rPr>
            </w:pPr>
          </w:p>
        </w:tc>
      </w:tr>
      <w:tr w:rsidR="00BC5219" w:rsidRPr="008A2B8F" w14:paraId="339DFCCF" w14:textId="77777777" w:rsidTr="00E83802">
        <w:trPr>
          <w:trHeight w:val="113"/>
        </w:trPr>
        <w:tc>
          <w:tcPr>
            <w:tcW w:w="9072" w:type="dxa"/>
            <w:tcBorders>
              <w:top w:val="nil"/>
              <w:left w:val="nil"/>
              <w:bottom w:val="nil"/>
              <w:right w:val="nil"/>
            </w:tcBorders>
            <w:shd w:val="clear" w:color="auto" w:fill="auto"/>
            <w:noWrap/>
            <w:vAlign w:val="center"/>
            <w:hideMark/>
          </w:tcPr>
          <w:p w14:paraId="580736D5" w14:textId="77777777" w:rsidR="00BC5219" w:rsidRPr="008A2B8F" w:rsidRDefault="00BC5219" w:rsidP="00E83802">
            <w:pPr>
              <w:jc w:val="cente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27CF61A5"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2023</w:t>
            </w:r>
          </w:p>
        </w:tc>
        <w:tc>
          <w:tcPr>
            <w:tcW w:w="113" w:type="dxa"/>
            <w:tcBorders>
              <w:top w:val="nil"/>
              <w:left w:val="nil"/>
              <w:bottom w:val="nil"/>
              <w:right w:val="nil"/>
            </w:tcBorders>
            <w:shd w:val="clear" w:color="auto" w:fill="auto"/>
            <w:noWrap/>
            <w:vAlign w:val="center"/>
            <w:hideMark/>
          </w:tcPr>
          <w:p w14:paraId="59E1CFBB" w14:textId="77777777" w:rsidR="00BC5219" w:rsidRPr="008A2B8F" w:rsidRDefault="00BC5219" w:rsidP="00E83802">
            <w:pPr>
              <w:jc w:val="center"/>
              <w:rPr>
                <w:rFonts w:ascii="Meta Pro" w:eastAsia="Times New Roman" w:hAnsi="Meta Pro"/>
                <w:b/>
                <w:bCs/>
                <w:szCs w:val="18"/>
                <w:lang w:eastAsia="en-AU"/>
              </w:rPr>
            </w:pPr>
          </w:p>
        </w:tc>
        <w:tc>
          <w:tcPr>
            <w:tcW w:w="1928" w:type="dxa"/>
            <w:tcBorders>
              <w:top w:val="nil"/>
              <w:left w:val="nil"/>
              <w:bottom w:val="nil"/>
              <w:right w:val="nil"/>
            </w:tcBorders>
            <w:shd w:val="clear" w:color="auto" w:fill="auto"/>
            <w:noWrap/>
            <w:vAlign w:val="center"/>
            <w:hideMark/>
          </w:tcPr>
          <w:p w14:paraId="46EB1C23"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2023</w:t>
            </w:r>
          </w:p>
        </w:tc>
        <w:tc>
          <w:tcPr>
            <w:tcW w:w="113" w:type="dxa"/>
            <w:tcBorders>
              <w:top w:val="nil"/>
              <w:left w:val="nil"/>
              <w:bottom w:val="nil"/>
              <w:right w:val="nil"/>
            </w:tcBorders>
            <w:shd w:val="clear" w:color="auto" w:fill="auto"/>
            <w:noWrap/>
            <w:vAlign w:val="center"/>
            <w:hideMark/>
          </w:tcPr>
          <w:p w14:paraId="44A35770" w14:textId="77777777" w:rsidR="00BC5219" w:rsidRPr="008A2B8F" w:rsidRDefault="00BC5219" w:rsidP="00E83802">
            <w:pPr>
              <w:jc w:val="center"/>
              <w:rPr>
                <w:rFonts w:ascii="Meta Pro" w:eastAsia="Times New Roman" w:hAnsi="Meta Pro"/>
                <w:b/>
                <w:bCs/>
                <w:szCs w:val="18"/>
                <w:lang w:eastAsia="en-AU"/>
              </w:rPr>
            </w:pPr>
          </w:p>
        </w:tc>
        <w:tc>
          <w:tcPr>
            <w:tcW w:w="1928" w:type="dxa"/>
            <w:tcBorders>
              <w:top w:val="nil"/>
              <w:left w:val="nil"/>
              <w:bottom w:val="nil"/>
              <w:right w:val="nil"/>
            </w:tcBorders>
            <w:shd w:val="clear" w:color="auto" w:fill="auto"/>
            <w:noWrap/>
            <w:vAlign w:val="center"/>
            <w:hideMark/>
          </w:tcPr>
          <w:p w14:paraId="495E2CAB"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2023</w:t>
            </w:r>
          </w:p>
        </w:tc>
        <w:tc>
          <w:tcPr>
            <w:tcW w:w="113" w:type="dxa"/>
            <w:tcBorders>
              <w:top w:val="nil"/>
              <w:left w:val="nil"/>
              <w:bottom w:val="nil"/>
              <w:right w:val="nil"/>
            </w:tcBorders>
            <w:shd w:val="clear" w:color="auto" w:fill="auto"/>
            <w:noWrap/>
            <w:vAlign w:val="center"/>
            <w:hideMark/>
          </w:tcPr>
          <w:p w14:paraId="3CE472D0" w14:textId="77777777" w:rsidR="00BC5219" w:rsidRPr="008A2B8F" w:rsidRDefault="00BC5219" w:rsidP="00E83802">
            <w:pPr>
              <w:jc w:val="center"/>
              <w:rPr>
                <w:rFonts w:ascii="Meta Pro" w:eastAsia="Times New Roman" w:hAnsi="Meta Pro"/>
                <w:b/>
                <w:bCs/>
                <w:szCs w:val="18"/>
                <w:lang w:eastAsia="en-AU"/>
              </w:rPr>
            </w:pPr>
          </w:p>
        </w:tc>
        <w:tc>
          <w:tcPr>
            <w:tcW w:w="1928" w:type="dxa"/>
            <w:tcBorders>
              <w:top w:val="nil"/>
              <w:left w:val="nil"/>
              <w:bottom w:val="nil"/>
              <w:right w:val="nil"/>
            </w:tcBorders>
            <w:shd w:val="clear" w:color="auto" w:fill="auto"/>
            <w:noWrap/>
            <w:vAlign w:val="center"/>
            <w:hideMark/>
          </w:tcPr>
          <w:p w14:paraId="23157579"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2023</w:t>
            </w:r>
          </w:p>
        </w:tc>
        <w:tc>
          <w:tcPr>
            <w:tcW w:w="113" w:type="dxa"/>
            <w:tcBorders>
              <w:top w:val="nil"/>
              <w:left w:val="nil"/>
              <w:bottom w:val="nil"/>
              <w:right w:val="nil"/>
            </w:tcBorders>
            <w:shd w:val="clear" w:color="auto" w:fill="auto"/>
            <w:noWrap/>
            <w:vAlign w:val="center"/>
            <w:hideMark/>
          </w:tcPr>
          <w:p w14:paraId="0948699E" w14:textId="77777777" w:rsidR="00BC5219" w:rsidRPr="008A2B8F" w:rsidRDefault="00BC5219" w:rsidP="00E83802">
            <w:pPr>
              <w:jc w:val="center"/>
              <w:rPr>
                <w:rFonts w:ascii="Meta Pro" w:eastAsia="Times New Roman" w:hAnsi="Meta Pro"/>
                <w:b/>
                <w:bCs/>
                <w:szCs w:val="18"/>
                <w:lang w:eastAsia="en-AU"/>
              </w:rPr>
            </w:pPr>
          </w:p>
        </w:tc>
        <w:tc>
          <w:tcPr>
            <w:tcW w:w="1928" w:type="dxa"/>
            <w:tcBorders>
              <w:top w:val="nil"/>
              <w:left w:val="nil"/>
              <w:bottom w:val="nil"/>
              <w:right w:val="nil"/>
            </w:tcBorders>
            <w:shd w:val="clear" w:color="auto" w:fill="auto"/>
            <w:noWrap/>
            <w:vAlign w:val="center"/>
            <w:hideMark/>
          </w:tcPr>
          <w:p w14:paraId="3A0890E4"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2023</w:t>
            </w:r>
          </w:p>
        </w:tc>
        <w:tc>
          <w:tcPr>
            <w:tcW w:w="113" w:type="dxa"/>
            <w:tcBorders>
              <w:top w:val="nil"/>
              <w:left w:val="nil"/>
              <w:bottom w:val="nil"/>
              <w:right w:val="nil"/>
            </w:tcBorders>
            <w:shd w:val="clear" w:color="auto" w:fill="auto"/>
            <w:noWrap/>
            <w:vAlign w:val="center"/>
            <w:hideMark/>
          </w:tcPr>
          <w:p w14:paraId="75AB4108" w14:textId="77777777" w:rsidR="00BC5219" w:rsidRPr="008A2B8F" w:rsidRDefault="00BC5219" w:rsidP="00E83802">
            <w:pPr>
              <w:jc w:val="center"/>
              <w:rPr>
                <w:rFonts w:ascii="Meta Pro" w:eastAsia="Times New Roman" w:hAnsi="Meta Pro"/>
                <w:b/>
                <w:bCs/>
                <w:szCs w:val="18"/>
                <w:lang w:eastAsia="en-AU"/>
              </w:rPr>
            </w:pPr>
          </w:p>
        </w:tc>
        <w:tc>
          <w:tcPr>
            <w:tcW w:w="1928" w:type="dxa"/>
            <w:tcBorders>
              <w:top w:val="nil"/>
              <w:left w:val="nil"/>
              <w:bottom w:val="nil"/>
              <w:right w:val="nil"/>
            </w:tcBorders>
            <w:shd w:val="clear" w:color="auto" w:fill="auto"/>
            <w:noWrap/>
            <w:vAlign w:val="center"/>
            <w:hideMark/>
          </w:tcPr>
          <w:p w14:paraId="45EAD7AD"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2023</w:t>
            </w:r>
          </w:p>
        </w:tc>
        <w:tc>
          <w:tcPr>
            <w:tcW w:w="113" w:type="dxa"/>
            <w:tcBorders>
              <w:top w:val="nil"/>
              <w:left w:val="nil"/>
              <w:bottom w:val="nil"/>
              <w:right w:val="nil"/>
            </w:tcBorders>
            <w:shd w:val="clear" w:color="auto" w:fill="auto"/>
            <w:noWrap/>
            <w:vAlign w:val="center"/>
            <w:hideMark/>
          </w:tcPr>
          <w:p w14:paraId="5D60E6C8" w14:textId="77777777" w:rsidR="00BC5219" w:rsidRPr="008A2B8F" w:rsidRDefault="00BC5219" w:rsidP="00E83802">
            <w:pPr>
              <w:jc w:val="center"/>
              <w:rPr>
                <w:rFonts w:ascii="Meta Pro" w:eastAsia="Times New Roman" w:hAnsi="Meta Pro"/>
                <w:b/>
                <w:bCs/>
                <w:szCs w:val="18"/>
                <w:lang w:eastAsia="en-AU"/>
              </w:rPr>
            </w:pPr>
          </w:p>
        </w:tc>
        <w:tc>
          <w:tcPr>
            <w:tcW w:w="1928" w:type="dxa"/>
            <w:tcBorders>
              <w:top w:val="nil"/>
              <w:left w:val="nil"/>
              <w:bottom w:val="nil"/>
              <w:right w:val="nil"/>
            </w:tcBorders>
            <w:shd w:val="clear" w:color="auto" w:fill="auto"/>
            <w:noWrap/>
            <w:vAlign w:val="center"/>
            <w:hideMark/>
          </w:tcPr>
          <w:p w14:paraId="698265D0"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2023</w:t>
            </w:r>
          </w:p>
        </w:tc>
        <w:tc>
          <w:tcPr>
            <w:tcW w:w="113" w:type="dxa"/>
            <w:tcBorders>
              <w:top w:val="nil"/>
              <w:left w:val="nil"/>
              <w:bottom w:val="nil"/>
              <w:right w:val="nil"/>
            </w:tcBorders>
            <w:shd w:val="clear" w:color="auto" w:fill="auto"/>
            <w:noWrap/>
            <w:vAlign w:val="center"/>
            <w:hideMark/>
          </w:tcPr>
          <w:p w14:paraId="4A88D0A0" w14:textId="77777777" w:rsidR="00BC5219" w:rsidRPr="008A2B8F" w:rsidRDefault="00BC5219" w:rsidP="00E83802">
            <w:pPr>
              <w:jc w:val="center"/>
              <w:rPr>
                <w:rFonts w:ascii="Meta Pro" w:eastAsia="Times New Roman" w:hAnsi="Meta Pro"/>
                <w:b/>
                <w:bCs/>
                <w:szCs w:val="18"/>
                <w:lang w:eastAsia="en-AU"/>
              </w:rPr>
            </w:pPr>
          </w:p>
        </w:tc>
        <w:tc>
          <w:tcPr>
            <w:tcW w:w="1928" w:type="dxa"/>
            <w:tcBorders>
              <w:top w:val="nil"/>
              <w:left w:val="nil"/>
              <w:bottom w:val="nil"/>
              <w:right w:val="nil"/>
            </w:tcBorders>
            <w:shd w:val="clear" w:color="auto" w:fill="auto"/>
            <w:noWrap/>
            <w:vAlign w:val="center"/>
            <w:hideMark/>
          </w:tcPr>
          <w:p w14:paraId="7DB871D3"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2023</w:t>
            </w:r>
          </w:p>
        </w:tc>
        <w:tc>
          <w:tcPr>
            <w:tcW w:w="113" w:type="dxa"/>
            <w:tcBorders>
              <w:top w:val="nil"/>
              <w:left w:val="nil"/>
              <w:bottom w:val="nil"/>
              <w:right w:val="nil"/>
            </w:tcBorders>
            <w:shd w:val="clear" w:color="auto" w:fill="auto"/>
            <w:noWrap/>
            <w:vAlign w:val="center"/>
            <w:hideMark/>
          </w:tcPr>
          <w:p w14:paraId="27F3947B" w14:textId="77777777" w:rsidR="00BC5219" w:rsidRPr="008A2B8F" w:rsidRDefault="00BC5219" w:rsidP="00E83802">
            <w:pPr>
              <w:jc w:val="center"/>
              <w:rPr>
                <w:rFonts w:ascii="Meta Pro" w:eastAsia="Times New Roman" w:hAnsi="Meta Pro"/>
                <w:b/>
                <w:bCs/>
                <w:szCs w:val="18"/>
                <w:lang w:eastAsia="en-AU"/>
              </w:rPr>
            </w:pPr>
          </w:p>
        </w:tc>
        <w:tc>
          <w:tcPr>
            <w:tcW w:w="1928" w:type="dxa"/>
            <w:tcBorders>
              <w:top w:val="nil"/>
              <w:left w:val="nil"/>
              <w:bottom w:val="nil"/>
              <w:right w:val="nil"/>
            </w:tcBorders>
            <w:shd w:val="clear" w:color="auto" w:fill="auto"/>
            <w:noWrap/>
            <w:vAlign w:val="center"/>
            <w:hideMark/>
          </w:tcPr>
          <w:p w14:paraId="4693EAA8"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2023</w:t>
            </w:r>
          </w:p>
        </w:tc>
      </w:tr>
      <w:tr w:rsidR="00BC5219" w:rsidRPr="008A2B8F" w14:paraId="5BF7A46B" w14:textId="77777777" w:rsidTr="00E83802">
        <w:trPr>
          <w:trHeight w:val="23"/>
        </w:trPr>
        <w:tc>
          <w:tcPr>
            <w:tcW w:w="9072" w:type="dxa"/>
            <w:tcBorders>
              <w:top w:val="nil"/>
              <w:left w:val="nil"/>
              <w:bottom w:val="nil"/>
              <w:right w:val="nil"/>
            </w:tcBorders>
            <w:shd w:val="clear" w:color="auto" w:fill="auto"/>
            <w:noWrap/>
            <w:vAlign w:val="center"/>
            <w:hideMark/>
          </w:tcPr>
          <w:p w14:paraId="4EF85981"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Service concession assets</w:t>
            </w:r>
          </w:p>
        </w:tc>
        <w:tc>
          <w:tcPr>
            <w:tcW w:w="1928" w:type="dxa"/>
            <w:tcBorders>
              <w:top w:val="nil"/>
              <w:left w:val="nil"/>
              <w:bottom w:val="nil"/>
              <w:right w:val="nil"/>
            </w:tcBorders>
            <w:shd w:val="clear" w:color="auto" w:fill="auto"/>
            <w:noWrap/>
            <w:vAlign w:val="center"/>
            <w:hideMark/>
          </w:tcPr>
          <w:p w14:paraId="288E8E92"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$'000</w:t>
            </w:r>
          </w:p>
        </w:tc>
        <w:tc>
          <w:tcPr>
            <w:tcW w:w="113" w:type="dxa"/>
            <w:tcBorders>
              <w:top w:val="nil"/>
              <w:left w:val="nil"/>
              <w:bottom w:val="nil"/>
              <w:right w:val="nil"/>
            </w:tcBorders>
            <w:shd w:val="clear" w:color="auto" w:fill="auto"/>
            <w:noWrap/>
            <w:vAlign w:val="center"/>
            <w:hideMark/>
          </w:tcPr>
          <w:p w14:paraId="00002F50" w14:textId="77777777" w:rsidR="00BC5219" w:rsidRPr="008A2B8F" w:rsidRDefault="00BC5219" w:rsidP="00E83802">
            <w:pPr>
              <w:jc w:val="center"/>
              <w:rPr>
                <w:rFonts w:ascii="Meta Pro" w:eastAsia="Times New Roman" w:hAnsi="Meta Pro"/>
                <w:b/>
                <w:bCs/>
                <w:szCs w:val="18"/>
                <w:lang w:eastAsia="en-AU"/>
              </w:rPr>
            </w:pPr>
          </w:p>
        </w:tc>
        <w:tc>
          <w:tcPr>
            <w:tcW w:w="1928" w:type="dxa"/>
            <w:tcBorders>
              <w:top w:val="nil"/>
              <w:left w:val="nil"/>
              <w:bottom w:val="nil"/>
              <w:right w:val="nil"/>
            </w:tcBorders>
            <w:shd w:val="clear" w:color="auto" w:fill="auto"/>
            <w:noWrap/>
            <w:vAlign w:val="center"/>
            <w:hideMark/>
          </w:tcPr>
          <w:p w14:paraId="2223D35A"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$'000</w:t>
            </w:r>
          </w:p>
        </w:tc>
        <w:tc>
          <w:tcPr>
            <w:tcW w:w="113" w:type="dxa"/>
            <w:tcBorders>
              <w:top w:val="nil"/>
              <w:left w:val="nil"/>
              <w:bottom w:val="nil"/>
              <w:right w:val="nil"/>
            </w:tcBorders>
            <w:shd w:val="clear" w:color="auto" w:fill="auto"/>
            <w:noWrap/>
            <w:vAlign w:val="center"/>
            <w:hideMark/>
          </w:tcPr>
          <w:p w14:paraId="536FDB84" w14:textId="77777777" w:rsidR="00BC5219" w:rsidRPr="008A2B8F" w:rsidRDefault="00BC5219" w:rsidP="00E83802">
            <w:pPr>
              <w:jc w:val="center"/>
              <w:rPr>
                <w:rFonts w:ascii="Meta Pro" w:eastAsia="Times New Roman" w:hAnsi="Meta Pro"/>
                <w:b/>
                <w:bCs/>
                <w:szCs w:val="18"/>
                <w:lang w:eastAsia="en-AU"/>
              </w:rPr>
            </w:pPr>
          </w:p>
        </w:tc>
        <w:tc>
          <w:tcPr>
            <w:tcW w:w="1928" w:type="dxa"/>
            <w:tcBorders>
              <w:top w:val="nil"/>
              <w:left w:val="nil"/>
              <w:bottom w:val="nil"/>
              <w:right w:val="nil"/>
            </w:tcBorders>
            <w:shd w:val="clear" w:color="auto" w:fill="auto"/>
            <w:noWrap/>
            <w:vAlign w:val="center"/>
            <w:hideMark/>
          </w:tcPr>
          <w:p w14:paraId="05454AF2"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$'000</w:t>
            </w:r>
          </w:p>
        </w:tc>
        <w:tc>
          <w:tcPr>
            <w:tcW w:w="113" w:type="dxa"/>
            <w:tcBorders>
              <w:top w:val="nil"/>
              <w:left w:val="nil"/>
              <w:bottom w:val="nil"/>
              <w:right w:val="nil"/>
            </w:tcBorders>
            <w:shd w:val="clear" w:color="auto" w:fill="auto"/>
            <w:noWrap/>
            <w:vAlign w:val="center"/>
            <w:hideMark/>
          </w:tcPr>
          <w:p w14:paraId="4E58E048" w14:textId="77777777" w:rsidR="00BC5219" w:rsidRPr="008A2B8F" w:rsidRDefault="00BC5219" w:rsidP="00E83802">
            <w:pPr>
              <w:jc w:val="center"/>
              <w:rPr>
                <w:rFonts w:ascii="Meta Pro" w:eastAsia="Times New Roman" w:hAnsi="Meta Pro"/>
                <w:b/>
                <w:bCs/>
                <w:szCs w:val="18"/>
                <w:lang w:eastAsia="en-AU"/>
              </w:rPr>
            </w:pPr>
          </w:p>
        </w:tc>
        <w:tc>
          <w:tcPr>
            <w:tcW w:w="1928" w:type="dxa"/>
            <w:tcBorders>
              <w:top w:val="nil"/>
              <w:left w:val="nil"/>
              <w:bottom w:val="nil"/>
              <w:right w:val="nil"/>
            </w:tcBorders>
            <w:shd w:val="clear" w:color="auto" w:fill="auto"/>
            <w:noWrap/>
            <w:vAlign w:val="center"/>
            <w:hideMark/>
          </w:tcPr>
          <w:p w14:paraId="42A1171A"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$'000</w:t>
            </w:r>
          </w:p>
        </w:tc>
        <w:tc>
          <w:tcPr>
            <w:tcW w:w="113" w:type="dxa"/>
            <w:tcBorders>
              <w:top w:val="nil"/>
              <w:left w:val="nil"/>
              <w:bottom w:val="nil"/>
              <w:right w:val="nil"/>
            </w:tcBorders>
            <w:shd w:val="clear" w:color="auto" w:fill="auto"/>
            <w:noWrap/>
            <w:vAlign w:val="center"/>
            <w:hideMark/>
          </w:tcPr>
          <w:p w14:paraId="39001E55" w14:textId="77777777" w:rsidR="00BC5219" w:rsidRPr="008A2B8F" w:rsidRDefault="00BC5219" w:rsidP="00E83802">
            <w:pPr>
              <w:jc w:val="center"/>
              <w:rPr>
                <w:rFonts w:ascii="Meta Pro" w:eastAsia="Times New Roman" w:hAnsi="Meta Pro"/>
                <w:b/>
                <w:bCs/>
                <w:szCs w:val="18"/>
                <w:lang w:eastAsia="en-AU"/>
              </w:rPr>
            </w:pPr>
          </w:p>
        </w:tc>
        <w:tc>
          <w:tcPr>
            <w:tcW w:w="1928" w:type="dxa"/>
            <w:tcBorders>
              <w:top w:val="nil"/>
              <w:left w:val="nil"/>
              <w:bottom w:val="nil"/>
              <w:right w:val="nil"/>
            </w:tcBorders>
            <w:shd w:val="clear" w:color="auto" w:fill="auto"/>
            <w:noWrap/>
            <w:vAlign w:val="center"/>
            <w:hideMark/>
          </w:tcPr>
          <w:p w14:paraId="54986D35"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$'000</w:t>
            </w:r>
          </w:p>
        </w:tc>
        <w:tc>
          <w:tcPr>
            <w:tcW w:w="113" w:type="dxa"/>
            <w:tcBorders>
              <w:top w:val="nil"/>
              <w:left w:val="nil"/>
              <w:bottom w:val="nil"/>
              <w:right w:val="nil"/>
            </w:tcBorders>
            <w:shd w:val="clear" w:color="auto" w:fill="auto"/>
            <w:noWrap/>
            <w:vAlign w:val="center"/>
            <w:hideMark/>
          </w:tcPr>
          <w:p w14:paraId="76A26B48" w14:textId="77777777" w:rsidR="00BC5219" w:rsidRPr="008A2B8F" w:rsidRDefault="00BC5219" w:rsidP="00E83802">
            <w:pPr>
              <w:jc w:val="center"/>
              <w:rPr>
                <w:rFonts w:ascii="Meta Pro" w:eastAsia="Times New Roman" w:hAnsi="Meta Pro"/>
                <w:b/>
                <w:bCs/>
                <w:szCs w:val="18"/>
                <w:lang w:eastAsia="en-AU"/>
              </w:rPr>
            </w:pPr>
          </w:p>
        </w:tc>
        <w:tc>
          <w:tcPr>
            <w:tcW w:w="1928" w:type="dxa"/>
            <w:tcBorders>
              <w:top w:val="nil"/>
              <w:left w:val="nil"/>
              <w:bottom w:val="nil"/>
              <w:right w:val="nil"/>
            </w:tcBorders>
            <w:shd w:val="clear" w:color="auto" w:fill="auto"/>
            <w:noWrap/>
            <w:vAlign w:val="center"/>
            <w:hideMark/>
          </w:tcPr>
          <w:p w14:paraId="4FFAB1FA"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$'000</w:t>
            </w:r>
          </w:p>
        </w:tc>
        <w:tc>
          <w:tcPr>
            <w:tcW w:w="113" w:type="dxa"/>
            <w:tcBorders>
              <w:top w:val="nil"/>
              <w:left w:val="nil"/>
              <w:bottom w:val="nil"/>
              <w:right w:val="nil"/>
            </w:tcBorders>
            <w:shd w:val="clear" w:color="auto" w:fill="auto"/>
            <w:noWrap/>
            <w:vAlign w:val="center"/>
            <w:hideMark/>
          </w:tcPr>
          <w:p w14:paraId="5F8A915F" w14:textId="77777777" w:rsidR="00BC5219" w:rsidRPr="008A2B8F" w:rsidRDefault="00BC5219" w:rsidP="00E83802">
            <w:pPr>
              <w:jc w:val="center"/>
              <w:rPr>
                <w:rFonts w:ascii="Meta Pro" w:eastAsia="Times New Roman" w:hAnsi="Meta Pro"/>
                <w:b/>
                <w:bCs/>
                <w:szCs w:val="18"/>
                <w:lang w:eastAsia="en-AU"/>
              </w:rPr>
            </w:pPr>
          </w:p>
        </w:tc>
        <w:tc>
          <w:tcPr>
            <w:tcW w:w="1928" w:type="dxa"/>
            <w:tcBorders>
              <w:top w:val="nil"/>
              <w:left w:val="nil"/>
              <w:bottom w:val="nil"/>
              <w:right w:val="nil"/>
            </w:tcBorders>
            <w:shd w:val="clear" w:color="auto" w:fill="auto"/>
            <w:noWrap/>
            <w:vAlign w:val="center"/>
            <w:hideMark/>
          </w:tcPr>
          <w:p w14:paraId="61F7C346"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$'000</w:t>
            </w:r>
          </w:p>
        </w:tc>
        <w:tc>
          <w:tcPr>
            <w:tcW w:w="113" w:type="dxa"/>
            <w:tcBorders>
              <w:top w:val="nil"/>
              <w:left w:val="nil"/>
              <w:bottom w:val="nil"/>
              <w:right w:val="nil"/>
            </w:tcBorders>
            <w:shd w:val="clear" w:color="auto" w:fill="auto"/>
            <w:noWrap/>
            <w:vAlign w:val="center"/>
            <w:hideMark/>
          </w:tcPr>
          <w:p w14:paraId="790B457E" w14:textId="77777777" w:rsidR="00BC5219" w:rsidRPr="008A2B8F" w:rsidRDefault="00BC5219" w:rsidP="00E83802">
            <w:pPr>
              <w:jc w:val="center"/>
              <w:rPr>
                <w:rFonts w:ascii="Meta Pro" w:eastAsia="Times New Roman" w:hAnsi="Meta Pro"/>
                <w:b/>
                <w:bCs/>
                <w:szCs w:val="18"/>
                <w:lang w:eastAsia="en-AU"/>
              </w:rPr>
            </w:pPr>
          </w:p>
        </w:tc>
        <w:tc>
          <w:tcPr>
            <w:tcW w:w="1928" w:type="dxa"/>
            <w:tcBorders>
              <w:top w:val="nil"/>
              <w:left w:val="nil"/>
              <w:bottom w:val="nil"/>
              <w:right w:val="nil"/>
            </w:tcBorders>
            <w:shd w:val="clear" w:color="auto" w:fill="auto"/>
            <w:noWrap/>
            <w:vAlign w:val="center"/>
            <w:hideMark/>
          </w:tcPr>
          <w:p w14:paraId="4075F6A6"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$'000</w:t>
            </w:r>
          </w:p>
        </w:tc>
        <w:tc>
          <w:tcPr>
            <w:tcW w:w="113" w:type="dxa"/>
            <w:tcBorders>
              <w:top w:val="nil"/>
              <w:left w:val="nil"/>
              <w:bottom w:val="nil"/>
              <w:right w:val="nil"/>
            </w:tcBorders>
            <w:shd w:val="clear" w:color="auto" w:fill="auto"/>
            <w:noWrap/>
            <w:vAlign w:val="center"/>
            <w:hideMark/>
          </w:tcPr>
          <w:p w14:paraId="08840C29" w14:textId="77777777" w:rsidR="00BC5219" w:rsidRPr="008A2B8F" w:rsidRDefault="00BC5219" w:rsidP="00E83802">
            <w:pPr>
              <w:jc w:val="center"/>
              <w:rPr>
                <w:rFonts w:ascii="Meta Pro" w:eastAsia="Times New Roman" w:hAnsi="Meta Pro"/>
                <w:b/>
                <w:bCs/>
                <w:szCs w:val="18"/>
                <w:lang w:eastAsia="en-AU"/>
              </w:rPr>
            </w:pPr>
          </w:p>
        </w:tc>
        <w:tc>
          <w:tcPr>
            <w:tcW w:w="1928" w:type="dxa"/>
            <w:tcBorders>
              <w:top w:val="nil"/>
              <w:left w:val="nil"/>
              <w:bottom w:val="nil"/>
              <w:right w:val="nil"/>
            </w:tcBorders>
            <w:shd w:val="clear" w:color="auto" w:fill="auto"/>
            <w:noWrap/>
            <w:vAlign w:val="center"/>
            <w:hideMark/>
          </w:tcPr>
          <w:p w14:paraId="4CD329CE"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$'000</w:t>
            </w:r>
          </w:p>
        </w:tc>
      </w:tr>
      <w:tr w:rsidR="00BC5219" w:rsidRPr="008A2B8F" w14:paraId="43042207" w14:textId="77777777" w:rsidTr="00E83802">
        <w:trPr>
          <w:trHeight w:val="57"/>
        </w:trPr>
        <w:tc>
          <w:tcPr>
            <w:tcW w:w="9072" w:type="dxa"/>
            <w:tcBorders>
              <w:top w:val="nil"/>
              <w:left w:val="nil"/>
              <w:bottom w:val="nil"/>
              <w:right w:val="nil"/>
            </w:tcBorders>
            <w:shd w:val="clear" w:color="auto" w:fill="auto"/>
            <w:noWrap/>
            <w:vAlign w:val="center"/>
            <w:hideMark/>
          </w:tcPr>
          <w:p w14:paraId="466B7BE1" w14:textId="77777777" w:rsidR="00BC5219" w:rsidRPr="008A2B8F" w:rsidRDefault="00BC5219" w:rsidP="00E83802">
            <w:pPr>
              <w:jc w:val="center"/>
              <w:rPr>
                <w:rFonts w:ascii="Meta Pro" w:eastAsia="Times New Roman" w:hAnsi="Meta Pro"/>
                <w:b/>
                <w:bCs/>
                <w:szCs w:val="18"/>
                <w:lang w:eastAsia="en-AU"/>
              </w:rPr>
            </w:pPr>
          </w:p>
        </w:tc>
        <w:tc>
          <w:tcPr>
            <w:tcW w:w="1928" w:type="dxa"/>
            <w:tcBorders>
              <w:top w:val="nil"/>
              <w:left w:val="nil"/>
              <w:bottom w:val="nil"/>
              <w:right w:val="nil"/>
            </w:tcBorders>
            <w:shd w:val="clear" w:color="auto" w:fill="auto"/>
            <w:noWrap/>
            <w:vAlign w:val="center"/>
            <w:hideMark/>
          </w:tcPr>
          <w:p w14:paraId="247C4CDE"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4F9DAA3A" w14:textId="77777777" w:rsidR="00BC5219" w:rsidRPr="008A2B8F" w:rsidRDefault="00BC5219" w:rsidP="00E83802">
            <w:pP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6E985B25"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65ED7FBE" w14:textId="77777777" w:rsidR="00BC5219" w:rsidRPr="008A2B8F" w:rsidRDefault="00BC5219" w:rsidP="00E83802">
            <w:pPr>
              <w:jc w:val="cente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634A8C0A"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3DEB4AAD" w14:textId="77777777" w:rsidR="00BC5219" w:rsidRPr="008A2B8F" w:rsidRDefault="00BC5219" w:rsidP="00E83802">
            <w:pPr>
              <w:jc w:val="cente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069CB009"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4419ECEF" w14:textId="77777777" w:rsidR="00BC5219" w:rsidRPr="008A2B8F" w:rsidRDefault="00BC5219" w:rsidP="00E83802">
            <w:pPr>
              <w:jc w:val="cente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31A37859"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674CBAE8" w14:textId="77777777" w:rsidR="00BC5219" w:rsidRPr="008A2B8F" w:rsidRDefault="00BC5219" w:rsidP="00E83802">
            <w:pPr>
              <w:jc w:val="cente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05AB488D"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170AFCC7" w14:textId="77777777" w:rsidR="00BC5219" w:rsidRPr="008A2B8F" w:rsidRDefault="00BC5219" w:rsidP="00E83802">
            <w:pPr>
              <w:jc w:val="cente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1B901093"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00D88650" w14:textId="77777777" w:rsidR="00BC5219" w:rsidRPr="008A2B8F" w:rsidRDefault="00BC5219" w:rsidP="00E83802">
            <w:pPr>
              <w:jc w:val="cente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0DA5534D"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1A797935" w14:textId="77777777" w:rsidR="00BC5219" w:rsidRPr="008A2B8F" w:rsidRDefault="00BC5219" w:rsidP="00E83802">
            <w:pPr>
              <w:jc w:val="cente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412BA921" w14:textId="77777777" w:rsidR="00BC5219" w:rsidRPr="008A2B8F" w:rsidRDefault="00BC5219" w:rsidP="00E83802">
            <w:pPr>
              <w:rPr>
                <w:rFonts w:ascii="Meta Pro" w:eastAsia="Times New Roman" w:hAnsi="Meta Pro" w:cs="Times New Roman"/>
                <w:sz w:val="20"/>
                <w:szCs w:val="20"/>
                <w:lang w:eastAsia="en-AU"/>
              </w:rPr>
            </w:pPr>
          </w:p>
        </w:tc>
      </w:tr>
      <w:tr w:rsidR="00BC5219" w:rsidRPr="008A2B8F" w14:paraId="77B54E9C" w14:textId="77777777" w:rsidTr="00E83802">
        <w:trPr>
          <w:trHeight w:val="57"/>
        </w:trPr>
        <w:tc>
          <w:tcPr>
            <w:tcW w:w="9072" w:type="dxa"/>
            <w:tcBorders>
              <w:top w:val="nil"/>
              <w:left w:val="nil"/>
              <w:bottom w:val="nil"/>
              <w:right w:val="nil"/>
            </w:tcBorders>
            <w:shd w:val="clear" w:color="auto" w:fill="auto"/>
            <w:vAlign w:val="center"/>
            <w:hideMark/>
          </w:tcPr>
          <w:p w14:paraId="109A5032"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Gross value</w:t>
            </w:r>
          </w:p>
        </w:tc>
        <w:tc>
          <w:tcPr>
            <w:tcW w:w="1928" w:type="dxa"/>
            <w:tcBorders>
              <w:top w:val="nil"/>
              <w:left w:val="nil"/>
              <w:bottom w:val="nil"/>
              <w:right w:val="nil"/>
            </w:tcBorders>
            <w:shd w:val="clear" w:color="000000" w:fill="C9E3B4"/>
            <w:noWrap/>
            <w:vAlign w:val="center"/>
            <w:hideMark/>
          </w:tcPr>
          <w:p w14:paraId="0B0345FD"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930,977 </w:t>
            </w:r>
          </w:p>
        </w:tc>
        <w:tc>
          <w:tcPr>
            <w:tcW w:w="113" w:type="dxa"/>
            <w:tcBorders>
              <w:top w:val="nil"/>
              <w:left w:val="nil"/>
              <w:bottom w:val="nil"/>
              <w:right w:val="nil"/>
            </w:tcBorders>
            <w:shd w:val="clear" w:color="auto" w:fill="auto"/>
            <w:noWrap/>
            <w:vAlign w:val="center"/>
            <w:hideMark/>
          </w:tcPr>
          <w:p w14:paraId="17A0BAC0"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0C29284D"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1,604,033 </w:t>
            </w:r>
          </w:p>
        </w:tc>
        <w:tc>
          <w:tcPr>
            <w:tcW w:w="113" w:type="dxa"/>
            <w:tcBorders>
              <w:top w:val="nil"/>
              <w:left w:val="nil"/>
              <w:bottom w:val="nil"/>
              <w:right w:val="nil"/>
            </w:tcBorders>
            <w:shd w:val="clear" w:color="auto" w:fill="auto"/>
            <w:noWrap/>
            <w:vAlign w:val="center"/>
            <w:hideMark/>
          </w:tcPr>
          <w:p w14:paraId="21FBCF91"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5456ACFD"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7,204,517 </w:t>
            </w:r>
          </w:p>
        </w:tc>
        <w:tc>
          <w:tcPr>
            <w:tcW w:w="113" w:type="dxa"/>
            <w:tcBorders>
              <w:top w:val="nil"/>
              <w:left w:val="nil"/>
              <w:bottom w:val="nil"/>
              <w:right w:val="nil"/>
            </w:tcBorders>
            <w:shd w:val="clear" w:color="auto" w:fill="auto"/>
            <w:noWrap/>
            <w:vAlign w:val="center"/>
            <w:hideMark/>
          </w:tcPr>
          <w:p w14:paraId="1C375269"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11613A39"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3,866,852 </w:t>
            </w:r>
          </w:p>
        </w:tc>
        <w:tc>
          <w:tcPr>
            <w:tcW w:w="113" w:type="dxa"/>
            <w:tcBorders>
              <w:top w:val="nil"/>
              <w:left w:val="nil"/>
              <w:bottom w:val="nil"/>
              <w:right w:val="nil"/>
            </w:tcBorders>
            <w:shd w:val="clear" w:color="auto" w:fill="auto"/>
            <w:noWrap/>
            <w:vAlign w:val="center"/>
            <w:hideMark/>
          </w:tcPr>
          <w:p w14:paraId="5A035966"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4D897CD7"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1,999,571 </w:t>
            </w:r>
          </w:p>
        </w:tc>
        <w:tc>
          <w:tcPr>
            <w:tcW w:w="113" w:type="dxa"/>
            <w:tcBorders>
              <w:top w:val="nil"/>
              <w:left w:val="nil"/>
              <w:bottom w:val="nil"/>
              <w:right w:val="nil"/>
            </w:tcBorders>
            <w:shd w:val="clear" w:color="auto" w:fill="auto"/>
            <w:noWrap/>
            <w:vAlign w:val="center"/>
            <w:hideMark/>
          </w:tcPr>
          <w:p w14:paraId="2E871554"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0F4A0D76"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62,243 </w:t>
            </w:r>
          </w:p>
        </w:tc>
        <w:tc>
          <w:tcPr>
            <w:tcW w:w="113" w:type="dxa"/>
            <w:tcBorders>
              <w:top w:val="nil"/>
              <w:left w:val="nil"/>
              <w:bottom w:val="nil"/>
              <w:right w:val="nil"/>
            </w:tcBorders>
            <w:shd w:val="clear" w:color="auto" w:fill="auto"/>
            <w:noWrap/>
            <w:vAlign w:val="center"/>
            <w:hideMark/>
          </w:tcPr>
          <w:p w14:paraId="26F32875"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5963DA02"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548,584 </w:t>
            </w:r>
          </w:p>
        </w:tc>
        <w:tc>
          <w:tcPr>
            <w:tcW w:w="113" w:type="dxa"/>
            <w:tcBorders>
              <w:top w:val="nil"/>
              <w:left w:val="nil"/>
              <w:bottom w:val="nil"/>
              <w:right w:val="nil"/>
            </w:tcBorders>
            <w:shd w:val="clear" w:color="auto" w:fill="auto"/>
            <w:noWrap/>
            <w:vAlign w:val="center"/>
            <w:hideMark/>
          </w:tcPr>
          <w:p w14:paraId="66AF5FD5"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70FC57CD"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272,805 </w:t>
            </w:r>
          </w:p>
        </w:tc>
        <w:tc>
          <w:tcPr>
            <w:tcW w:w="113" w:type="dxa"/>
            <w:tcBorders>
              <w:top w:val="nil"/>
              <w:left w:val="nil"/>
              <w:bottom w:val="nil"/>
              <w:right w:val="nil"/>
            </w:tcBorders>
            <w:shd w:val="clear" w:color="auto" w:fill="auto"/>
            <w:noWrap/>
            <w:vAlign w:val="center"/>
            <w:hideMark/>
          </w:tcPr>
          <w:p w14:paraId="1BC1431E"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6038A240"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16,489,582 </w:t>
            </w:r>
          </w:p>
        </w:tc>
      </w:tr>
      <w:tr w:rsidR="00BC5219" w:rsidRPr="008A2B8F" w14:paraId="58F76324" w14:textId="77777777" w:rsidTr="00E83802">
        <w:trPr>
          <w:trHeight w:val="23"/>
        </w:trPr>
        <w:tc>
          <w:tcPr>
            <w:tcW w:w="9072" w:type="dxa"/>
            <w:tcBorders>
              <w:top w:val="nil"/>
              <w:left w:val="nil"/>
              <w:bottom w:val="nil"/>
              <w:right w:val="nil"/>
            </w:tcBorders>
            <w:shd w:val="clear" w:color="auto" w:fill="auto"/>
            <w:noWrap/>
            <w:vAlign w:val="center"/>
            <w:hideMark/>
          </w:tcPr>
          <w:p w14:paraId="01959CF4"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Less: Accumulated depreciation</w:t>
            </w:r>
          </w:p>
        </w:tc>
        <w:tc>
          <w:tcPr>
            <w:tcW w:w="1928" w:type="dxa"/>
            <w:tcBorders>
              <w:top w:val="nil"/>
              <w:left w:val="nil"/>
              <w:bottom w:val="nil"/>
              <w:right w:val="nil"/>
            </w:tcBorders>
            <w:shd w:val="clear" w:color="000000" w:fill="C9E3B4"/>
            <w:noWrap/>
            <w:vAlign w:val="center"/>
            <w:hideMark/>
          </w:tcPr>
          <w:p w14:paraId="63B2EDDE"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(192,736)</w:t>
            </w:r>
          </w:p>
        </w:tc>
        <w:tc>
          <w:tcPr>
            <w:tcW w:w="113" w:type="dxa"/>
            <w:tcBorders>
              <w:top w:val="nil"/>
              <w:left w:val="nil"/>
              <w:bottom w:val="nil"/>
              <w:right w:val="nil"/>
            </w:tcBorders>
            <w:shd w:val="clear" w:color="auto" w:fill="auto"/>
            <w:noWrap/>
            <w:vAlign w:val="center"/>
            <w:hideMark/>
          </w:tcPr>
          <w:p w14:paraId="625C4473"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08BADD2D"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(89,569)</w:t>
            </w:r>
          </w:p>
        </w:tc>
        <w:tc>
          <w:tcPr>
            <w:tcW w:w="113" w:type="dxa"/>
            <w:tcBorders>
              <w:top w:val="nil"/>
              <w:left w:val="nil"/>
              <w:bottom w:val="nil"/>
              <w:right w:val="nil"/>
            </w:tcBorders>
            <w:shd w:val="clear" w:color="auto" w:fill="auto"/>
            <w:noWrap/>
            <w:vAlign w:val="center"/>
            <w:hideMark/>
          </w:tcPr>
          <w:p w14:paraId="03C3C252"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08027565"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(1,084,164)</w:t>
            </w:r>
          </w:p>
        </w:tc>
        <w:tc>
          <w:tcPr>
            <w:tcW w:w="113" w:type="dxa"/>
            <w:tcBorders>
              <w:top w:val="nil"/>
              <w:left w:val="nil"/>
              <w:bottom w:val="nil"/>
              <w:right w:val="nil"/>
            </w:tcBorders>
            <w:shd w:val="clear" w:color="auto" w:fill="auto"/>
            <w:noWrap/>
            <w:vAlign w:val="center"/>
            <w:hideMark/>
          </w:tcPr>
          <w:p w14:paraId="615E609B"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7CAD0DFF"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(589,993)</w:t>
            </w:r>
          </w:p>
        </w:tc>
        <w:tc>
          <w:tcPr>
            <w:tcW w:w="113" w:type="dxa"/>
            <w:tcBorders>
              <w:top w:val="nil"/>
              <w:left w:val="nil"/>
              <w:bottom w:val="nil"/>
              <w:right w:val="nil"/>
            </w:tcBorders>
            <w:shd w:val="clear" w:color="auto" w:fill="auto"/>
            <w:noWrap/>
            <w:vAlign w:val="center"/>
            <w:hideMark/>
          </w:tcPr>
          <w:p w14:paraId="15FEDADD"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6D1F0110"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(243,335)</w:t>
            </w:r>
          </w:p>
        </w:tc>
        <w:tc>
          <w:tcPr>
            <w:tcW w:w="113" w:type="dxa"/>
            <w:tcBorders>
              <w:top w:val="nil"/>
              <w:left w:val="nil"/>
              <w:bottom w:val="nil"/>
              <w:right w:val="nil"/>
            </w:tcBorders>
            <w:shd w:val="clear" w:color="auto" w:fill="auto"/>
            <w:noWrap/>
            <w:vAlign w:val="center"/>
            <w:hideMark/>
          </w:tcPr>
          <w:p w14:paraId="5978A62B"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048B9412"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(3,544)</w:t>
            </w:r>
          </w:p>
        </w:tc>
        <w:tc>
          <w:tcPr>
            <w:tcW w:w="113" w:type="dxa"/>
            <w:tcBorders>
              <w:top w:val="nil"/>
              <w:left w:val="nil"/>
              <w:bottom w:val="nil"/>
              <w:right w:val="nil"/>
            </w:tcBorders>
            <w:shd w:val="clear" w:color="auto" w:fill="auto"/>
            <w:noWrap/>
            <w:vAlign w:val="center"/>
            <w:hideMark/>
          </w:tcPr>
          <w:p w14:paraId="79BC1ED9"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40F86065"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(188,596)</w:t>
            </w:r>
          </w:p>
        </w:tc>
        <w:tc>
          <w:tcPr>
            <w:tcW w:w="113" w:type="dxa"/>
            <w:tcBorders>
              <w:top w:val="nil"/>
              <w:left w:val="nil"/>
              <w:bottom w:val="nil"/>
              <w:right w:val="nil"/>
            </w:tcBorders>
            <w:shd w:val="clear" w:color="auto" w:fill="auto"/>
            <w:noWrap/>
            <w:vAlign w:val="center"/>
            <w:hideMark/>
          </w:tcPr>
          <w:p w14:paraId="1396DC62"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1D915F57"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13" w:type="dxa"/>
            <w:tcBorders>
              <w:top w:val="nil"/>
              <w:left w:val="nil"/>
              <w:bottom w:val="nil"/>
              <w:right w:val="nil"/>
            </w:tcBorders>
            <w:shd w:val="clear" w:color="auto" w:fill="auto"/>
            <w:noWrap/>
            <w:vAlign w:val="center"/>
            <w:hideMark/>
          </w:tcPr>
          <w:p w14:paraId="6D0347DF"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31E929DA"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(2,391,937)</w:t>
            </w:r>
          </w:p>
        </w:tc>
      </w:tr>
      <w:tr w:rsidR="00BC5219" w:rsidRPr="008A2B8F" w14:paraId="2C310FCC" w14:textId="77777777" w:rsidTr="00E83802">
        <w:trPr>
          <w:trHeight w:val="23"/>
        </w:trPr>
        <w:tc>
          <w:tcPr>
            <w:tcW w:w="9072" w:type="dxa"/>
            <w:tcBorders>
              <w:top w:val="single" w:sz="4" w:space="0" w:color="auto"/>
              <w:left w:val="nil"/>
              <w:bottom w:val="double" w:sz="6" w:space="0" w:color="auto"/>
              <w:right w:val="nil"/>
            </w:tcBorders>
            <w:shd w:val="clear" w:color="auto" w:fill="auto"/>
            <w:noWrap/>
            <w:vAlign w:val="center"/>
            <w:hideMark/>
          </w:tcPr>
          <w:p w14:paraId="25A338D7"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Carrying amount at 30 June</w:t>
            </w:r>
          </w:p>
        </w:tc>
        <w:tc>
          <w:tcPr>
            <w:tcW w:w="1928" w:type="dxa"/>
            <w:tcBorders>
              <w:top w:val="single" w:sz="4" w:space="0" w:color="auto"/>
              <w:left w:val="nil"/>
              <w:bottom w:val="double" w:sz="6" w:space="0" w:color="auto"/>
              <w:right w:val="nil"/>
            </w:tcBorders>
            <w:shd w:val="clear" w:color="000000" w:fill="C9E3B4"/>
            <w:noWrap/>
            <w:vAlign w:val="center"/>
            <w:hideMark/>
          </w:tcPr>
          <w:p w14:paraId="01C86501"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738,241 </w:t>
            </w:r>
          </w:p>
        </w:tc>
        <w:tc>
          <w:tcPr>
            <w:tcW w:w="113" w:type="dxa"/>
            <w:tcBorders>
              <w:top w:val="nil"/>
              <w:left w:val="nil"/>
              <w:bottom w:val="nil"/>
              <w:right w:val="nil"/>
            </w:tcBorders>
            <w:shd w:val="clear" w:color="auto" w:fill="auto"/>
            <w:noWrap/>
            <w:vAlign w:val="center"/>
            <w:hideMark/>
          </w:tcPr>
          <w:p w14:paraId="7FD7831E" w14:textId="77777777" w:rsidR="00BC5219" w:rsidRPr="008A2B8F" w:rsidRDefault="00BC5219" w:rsidP="00E83802">
            <w:pPr>
              <w:jc w:val="right"/>
              <w:rPr>
                <w:rFonts w:ascii="Meta Pro" w:eastAsia="Times New Roman" w:hAnsi="Meta Pro"/>
                <w:b/>
                <w:bCs/>
                <w:szCs w:val="18"/>
                <w:lang w:eastAsia="en-AU"/>
              </w:rPr>
            </w:pPr>
          </w:p>
        </w:tc>
        <w:tc>
          <w:tcPr>
            <w:tcW w:w="1928" w:type="dxa"/>
            <w:tcBorders>
              <w:top w:val="single" w:sz="4" w:space="0" w:color="auto"/>
              <w:left w:val="nil"/>
              <w:bottom w:val="double" w:sz="6" w:space="0" w:color="auto"/>
              <w:right w:val="nil"/>
            </w:tcBorders>
            <w:shd w:val="clear" w:color="000000" w:fill="C9E3B4"/>
            <w:noWrap/>
            <w:vAlign w:val="center"/>
            <w:hideMark/>
          </w:tcPr>
          <w:p w14:paraId="09CE191B"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1,514,464 </w:t>
            </w:r>
          </w:p>
        </w:tc>
        <w:tc>
          <w:tcPr>
            <w:tcW w:w="113" w:type="dxa"/>
            <w:tcBorders>
              <w:top w:val="nil"/>
              <w:left w:val="nil"/>
              <w:bottom w:val="nil"/>
              <w:right w:val="nil"/>
            </w:tcBorders>
            <w:shd w:val="clear" w:color="auto" w:fill="auto"/>
            <w:noWrap/>
            <w:vAlign w:val="center"/>
            <w:hideMark/>
          </w:tcPr>
          <w:p w14:paraId="42A5C6F2" w14:textId="77777777" w:rsidR="00BC5219" w:rsidRPr="008A2B8F" w:rsidRDefault="00BC5219" w:rsidP="00E83802">
            <w:pPr>
              <w:jc w:val="right"/>
              <w:rPr>
                <w:rFonts w:ascii="Meta Pro" w:eastAsia="Times New Roman" w:hAnsi="Meta Pro"/>
                <w:b/>
                <w:bCs/>
                <w:szCs w:val="18"/>
                <w:lang w:eastAsia="en-AU"/>
              </w:rPr>
            </w:pPr>
          </w:p>
        </w:tc>
        <w:tc>
          <w:tcPr>
            <w:tcW w:w="1928" w:type="dxa"/>
            <w:tcBorders>
              <w:top w:val="single" w:sz="4" w:space="0" w:color="auto"/>
              <w:left w:val="nil"/>
              <w:bottom w:val="double" w:sz="6" w:space="0" w:color="auto"/>
              <w:right w:val="nil"/>
            </w:tcBorders>
            <w:shd w:val="clear" w:color="000000" w:fill="C9E3B4"/>
            <w:noWrap/>
            <w:vAlign w:val="center"/>
            <w:hideMark/>
          </w:tcPr>
          <w:p w14:paraId="6CCE1D35"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6,120,353 </w:t>
            </w:r>
          </w:p>
        </w:tc>
        <w:tc>
          <w:tcPr>
            <w:tcW w:w="113" w:type="dxa"/>
            <w:tcBorders>
              <w:top w:val="nil"/>
              <w:left w:val="nil"/>
              <w:bottom w:val="nil"/>
              <w:right w:val="nil"/>
            </w:tcBorders>
            <w:shd w:val="clear" w:color="auto" w:fill="auto"/>
            <w:noWrap/>
            <w:vAlign w:val="center"/>
            <w:hideMark/>
          </w:tcPr>
          <w:p w14:paraId="3A437EA7" w14:textId="77777777" w:rsidR="00BC5219" w:rsidRPr="008A2B8F" w:rsidRDefault="00BC5219" w:rsidP="00E83802">
            <w:pPr>
              <w:jc w:val="right"/>
              <w:rPr>
                <w:rFonts w:ascii="Meta Pro" w:eastAsia="Times New Roman" w:hAnsi="Meta Pro"/>
                <w:b/>
                <w:bCs/>
                <w:szCs w:val="18"/>
                <w:lang w:eastAsia="en-AU"/>
              </w:rPr>
            </w:pPr>
          </w:p>
        </w:tc>
        <w:tc>
          <w:tcPr>
            <w:tcW w:w="1928" w:type="dxa"/>
            <w:tcBorders>
              <w:top w:val="single" w:sz="4" w:space="0" w:color="auto"/>
              <w:left w:val="nil"/>
              <w:bottom w:val="double" w:sz="6" w:space="0" w:color="auto"/>
              <w:right w:val="nil"/>
            </w:tcBorders>
            <w:shd w:val="clear" w:color="000000" w:fill="C9E3B4"/>
            <w:noWrap/>
            <w:vAlign w:val="center"/>
            <w:hideMark/>
          </w:tcPr>
          <w:p w14:paraId="4A5EA502"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3,276,859 </w:t>
            </w:r>
          </w:p>
        </w:tc>
        <w:tc>
          <w:tcPr>
            <w:tcW w:w="113" w:type="dxa"/>
            <w:tcBorders>
              <w:top w:val="nil"/>
              <w:left w:val="nil"/>
              <w:bottom w:val="nil"/>
              <w:right w:val="nil"/>
            </w:tcBorders>
            <w:shd w:val="clear" w:color="auto" w:fill="auto"/>
            <w:noWrap/>
            <w:vAlign w:val="center"/>
            <w:hideMark/>
          </w:tcPr>
          <w:p w14:paraId="2BED1D7D" w14:textId="77777777" w:rsidR="00BC5219" w:rsidRPr="008A2B8F" w:rsidRDefault="00BC5219" w:rsidP="00E83802">
            <w:pPr>
              <w:jc w:val="right"/>
              <w:rPr>
                <w:rFonts w:ascii="Meta Pro" w:eastAsia="Times New Roman" w:hAnsi="Meta Pro"/>
                <w:b/>
                <w:bCs/>
                <w:szCs w:val="18"/>
                <w:lang w:eastAsia="en-AU"/>
              </w:rPr>
            </w:pPr>
          </w:p>
        </w:tc>
        <w:tc>
          <w:tcPr>
            <w:tcW w:w="1928" w:type="dxa"/>
            <w:tcBorders>
              <w:top w:val="single" w:sz="4" w:space="0" w:color="auto"/>
              <w:left w:val="nil"/>
              <w:bottom w:val="double" w:sz="6" w:space="0" w:color="auto"/>
              <w:right w:val="nil"/>
            </w:tcBorders>
            <w:shd w:val="clear" w:color="000000" w:fill="C9E3B4"/>
            <w:noWrap/>
            <w:vAlign w:val="center"/>
            <w:hideMark/>
          </w:tcPr>
          <w:p w14:paraId="4290FD22"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1,756,236 </w:t>
            </w:r>
          </w:p>
        </w:tc>
        <w:tc>
          <w:tcPr>
            <w:tcW w:w="113" w:type="dxa"/>
            <w:tcBorders>
              <w:top w:val="nil"/>
              <w:left w:val="nil"/>
              <w:bottom w:val="nil"/>
              <w:right w:val="nil"/>
            </w:tcBorders>
            <w:shd w:val="clear" w:color="auto" w:fill="auto"/>
            <w:noWrap/>
            <w:vAlign w:val="center"/>
            <w:hideMark/>
          </w:tcPr>
          <w:p w14:paraId="4F4BC815" w14:textId="77777777" w:rsidR="00BC5219" w:rsidRPr="008A2B8F" w:rsidRDefault="00BC5219" w:rsidP="00E83802">
            <w:pPr>
              <w:jc w:val="right"/>
              <w:rPr>
                <w:rFonts w:ascii="Meta Pro" w:eastAsia="Times New Roman" w:hAnsi="Meta Pro"/>
                <w:b/>
                <w:bCs/>
                <w:szCs w:val="18"/>
                <w:lang w:eastAsia="en-AU"/>
              </w:rPr>
            </w:pPr>
          </w:p>
        </w:tc>
        <w:tc>
          <w:tcPr>
            <w:tcW w:w="1928" w:type="dxa"/>
            <w:tcBorders>
              <w:top w:val="single" w:sz="4" w:space="0" w:color="auto"/>
              <w:left w:val="nil"/>
              <w:bottom w:val="double" w:sz="6" w:space="0" w:color="auto"/>
              <w:right w:val="nil"/>
            </w:tcBorders>
            <w:shd w:val="clear" w:color="000000" w:fill="C9E3B4"/>
            <w:noWrap/>
            <w:vAlign w:val="center"/>
            <w:hideMark/>
          </w:tcPr>
          <w:p w14:paraId="2947B974"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58,699 </w:t>
            </w:r>
          </w:p>
        </w:tc>
        <w:tc>
          <w:tcPr>
            <w:tcW w:w="113" w:type="dxa"/>
            <w:tcBorders>
              <w:top w:val="nil"/>
              <w:left w:val="nil"/>
              <w:bottom w:val="nil"/>
              <w:right w:val="nil"/>
            </w:tcBorders>
            <w:shd w:val="clear" w:color="auto" w:fill="auto"/>
            <w:noWrap/>
            <w:vAlign w:val="center"/>
            <w:hideMark/>
          </w:tcPr>
          <w:p w14:paraId="3FA2593A" w14:textId="77777777" w:rsidR="00BC5219" w:rsidRPr="008A2B8F" w:rsidRDefault="00BC5219" w:rsidP="00E83802">
            <w:pPr>
              <w:jc w:val="right"/>
              <w:rPr>
                <w:rFonts w:ascii="Meta Pro" w:eastAsia="Times New Roman" w:hAnsi="Meta Pro"/>
                <w:b/>
                <w:bCs/>
                <w:szCs w:val="18"/>
                <w:lang w:eastAsia="en-AU"/>
              </w:rPr>
            </w:pPr>
          </w:p>
        </w:tc>
        <w:tc>
          <w:tcPr>
            <w:tcW w:w="1928" w:type="dxa"/>
            <w:tcBorders>
              <w:top w:val="single" w:sz="4" w:space="0" w:color="auto"/>
              <w:left w:val="nil"/>
              <w:bottom w:val="double" w:sz="6" w:space="0" w:color="auto"/>
              <w:right w:val="nil"/>
            </w:tcBorders>
            <w:shd w:val="clear" w:color="000000" w:fill="C9E3B4"/>
            <w:noWrap/>
            <w:vAlign w:val="center"/>
            <w:hideMark/>
          </w:tcPr>
          <w:p w14:paraId="5245E7DA"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359,988 </w:t>
            </w:r>
          </w:p>
        </w:tc>
        <w:tc>
          <w:tcPr>
            <w:tcW w:w="113" w:type="dxa"/>
            <w:tcBorders>
              <w:top w:val="nil"/>
              <w:left w:val="nil"/>
              <w:bottom w:val="nil"/>
              <w:right w:val="nil"/>
            </w:tcBorders>
            <w:shd w:val="clear" w:color="auto" w:fill="auto"/>
            <w:noWrap/>
            <w:vAlign w:val="center"/>
            <w:hideMark/>
          </w:tcPr>
          <w:p w14:paraId="5EDC719B" w14:textId="77777777" w:rsidR="00BC5219" w:rsidRPr="008A2B8F" w:rsidRDefault="00BC5219" w:rsidP="00E83802">
            <w:pPr>
              <w:jc w:val="right"/>
              <w:rPr>
                <w:rFonts w:ascii="Meta Pro" w:eastAsia="Times New Roman" w:hAnsi="Meta Pro"/>
                <w:b/>
                <w:bCs/>
                <w:szCs w:val="18"/>
                <w:lang w:eastAsia="en-AU"/>
              </w:rPr>
            </w:pPr>
          </w:p>
        </w:tc>
        <w:tc>
          <w:tcPr>
            <w:tcW w:w="1928" w:type="dxa"/>
            <w:tcBorders>
              <w:top w:val="single" w:sz="4" w:space="0" w:color="auto"/>
              <w:left w:val="nil"/>
              <w:bottom w:val="double" w:sz="6" w:space="0" w:color="auto"/>
              <w:right w:val="nil"/>
            </w:tcBorders>
            <w:shd w:val="clear" w:color="000000" w:fill="C9E3B4"/>
            <w:noWrap/>
            <w:vAlign w:val="center"/>
            <w:hideMark/>
          </w:tcPr>
          <w:p w14:paraId="49FF383A"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272,805 </w:t>
            </w:r>
          </w:p>
        </w:tc>
        <w:tc>
          <w:tcPr>
            <w:tcW w:w="113" w:type="dxa"/>
            <w:tcBorders>
              <w:top w:val="nil"/>
              <w:left w:val="nil"/>
              <w:bottom w:val="nil"/>
              <w:right w:val="nil"/>
            </w:tcBorders>
            <w:shd w:val="clear" w:color="auto" w:fill="auto"/>
            <w:noWrap/>
            <w:vAlign w:val="center"/>
            <w:hideMark/>
          </w:tcPr>
          <w:p w14:paraId="5F1CD8A5" w14:textId="77777777" w:rsidR="00BC5219" w:rsidRPr="008A2B8F" w:rsidRDefault="00BC5219" w:rsidP="00E83802">
            <w:pPr>
              <w:jc w:val="right"/>
              <w:rPr>
                <w:rFonts w:ascii="Meta Pro" w:eastAsia="Times New Roman" w:hAnsi="Meta Pro"/>
                <w:b/>
                <w:bCs/>
                <w:szCs w:val="18"/>
                <w:lang w:eastAsia="en-AU"/>
              </w:rPr>
            </w:pPr>
          </w:p>
        </w:tc>
        <w:tc>
          <w:tcPr>
            <w:tcW w:w="1928" w:type="dxa"/>
            <w:tcBorders>
              <w:top w:val="single" w:sz="4" w:space="0" w:color="auto"/>
              <w:left w:val="nil"/>
              <w:bottom w:val="double" w:sz="6" w:space="0" w:color="auto"/>
              <w:right w:val="nil"/>
            </w:tcBorders>
            <w:shd w:val="clear" w:color="000000" w:fill="C9E3B4"/>
            <w:noWrap/>
            <w:vAlign w:val="center"/>
            <w:hideMark/>
          </w:tcPr>
          <w:p w14:paraId="70B00808"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14,097,645 </w:t>
            </w:r>
          </w:p>
        </w:tc>
      </w:tr>
      <w:tr w:rsidR="00BC5219" w:rsidRPr="008A2B8F" w14:paraId="68B1BD06" w14:textId="77777777" w:rsidTr="00E83802">
        <w:trPr>
          <w:trHeight w:val="57"/>
        </w:trPr>
        <w:tc>
          <w:tcPr>
            <w:tcW w:w="9072" w:type="dxa"/>
            <w:tcBorders>
              <w:top w:val="nil"/>
              <w:left w:val="nil"/>
              <w:bottom w:val="nil"/>
              <w:right w:val="nil"/>
            </w:tcBorders>
            <w:shd w:val="clear" w:color="auto" w:fill="auto"/>
            <w:noWrap/>
            <w:vAlign w:val="center"/>
            <w:hideMark/>
          </w:tcPr>
          <w:p w14:paraId="7137C65F" w14:textId="77777777" w:rsidR="00BC5219" w:rsidRPr="008A2B8F" w:rsidRDefault="00BC5219" w:rsidP="00E83802">
            <w:pPr>
              <w:jc w:val="right"/>
              <w:rPr>
                <w:rFonts w:ascii="Meta Pro" w:eastAsia="Times New Roman" w:hAnsi="Meta Pro"/>
                <w:b/>
                <w:bCs/>
                <w:szCs w:val="18"/>
                <w:lang w:eastAsia="en-AU"/>
              </w:rPr>
            </w:pPr>
          </w:p>
        </w:tc>
        <w:tc>
          <w:tcPr>
            <w:tcW w:w="1928" w:type="dxa"/>
            <w:tcBorders>
              <w:top w:val="nil"/>
              <w:left w:val="nil"/>
              <w:bottom w:val="nil"/>
              <w:right w:val="nil"/>
            </w:tcBorders>
            <w:shd w:val="clear" w:color="auto" w:fill="auto"/>
            <w:vAlign w:val="center"/>
            <w:hideMark/>
          </w:tcPr>
          <w:p w14:paraId="03C20C5F"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466154AE" w14:textId="77777777" w:rsidR="00BC5219" w:rsidRPr="008A2B8F" w:rsidRDefault="00BC5219" w:rsidP="00E83802">
            <w:pP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1EFA6B95"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07FDFAD7" w14:textId="77777777" w:rsidR="00BC5219" w:rsidRPr="008A2B8F" w:rsidRDefault="00BC5219" w:rsidP="00E83802">
            <w:pP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358CB710"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7257BA0D" w14:textId="77777777" w:rsidR="00BC5219" w:rsidRPr="008A2B8F" w:rsidRDefault="00BC5219" w:rsidP="00E83802">
            <w:pP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2A896B60"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74E91604" w14:textId="77777777" w:rsidR="00BC5219" w:rsidRPr="008A2B8F" w:rsidRDefault="00BC5219" w:rsidP="00E83802">
            <w:pP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2CFE96FC"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3DF2FB04" w14:textId="77777777" w:rsidR="00BC5219" w:rsidRPr="008A2B8F" w:rsidRDefault="00BC5219" w:rsidP="00E83802">
            <w:pP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2D94AE82"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3BF773D7" w14:textId="77777777" w:rsidR="00BC5219" w:rsidRPr="008A2B8F" w:rsidRDefault="00BC5219" w:rsidP="00E83802">
            <w:pPr>
              <w:jc w:val="cente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1F23C4F1"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3A47101E" w14:textId="77777777" w:rsidR="00BC5219" w:rsidRPr="008A2B8F" w:rsidRDefault="00BC5219" w:rsidP="00E83802">
            <w:pP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53421C13"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2A3BE231" w14:textId="77777777" w:rsidR="00BC5219" w:rsidRPr="008A2B8F" w:rsidRDefault="00BC5219" w:rsidP="00E83802">
            <w:pP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56612ABF" w14:textId="77777777" w:rsidR="00BC5219" w:rsidRPr="008A2B8F" w:rsidRDefault="00BC5219" w:rsidP="00E83802">
            <w:pPr>
              <w:rPr>
                <w:rFonts w:ascii="Meta Pro" w:eastAsia="Times New Roman" w:hAnsi="Meta Pro" w:cs="Times New Roman"/>
                <w:sz w:val="20"/>
                <w:szCs w:val="20"/>
                <w:lang w:eastAsia="en-AU"/>
              </w:rPr>
            </w:pPr>
          </w:p>
        </w:tc>
      </w:tr>
      <w:tr w:rsidR="00BC5219" w:rsidRPr="008A2B8F" w14:paraId="5FFC3652" w14:textId="77777777" w:rsidTr="00E83802">
        <w:trPr>
          <w:trHeight w:val="57"/>
        </w:trPr>
        <w:tc>
          <w:tcPr>
            <w:tcW w:w="9072" w:type="dxa"/>
            <w:tcBorders>
              <w:top w:val="nil"/>
              <w:left w:val="nil"/>
              <w:bottom w:val="nil"/>
              <w:right w:val="nil"/>
            </w:tcBorders>
            <w:shd w:val="clear" w:color="auto" w:fill="auto"/>
            <w:noWrap/>
            <w:vAlign w:val="center"/>
            <w:hideMark/>
          </w:tcPr>
          <w:p w14:paraId="05AD6EA4"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Reconciliation</w:t>
            </w:r>
          </w:p>
        </w:tc>
        <w:tc>
          <w:tcPr>
            <w:tcW w:w="1928" w:type="dxa"/>
            <w:tcBorders>
              <w:top w:val="nil"/>
              <w:left w:val="nil"/>
              <w:bottom w:val="nil"/>
              <w:right w:val="nil"/>
            </w:tcBorders>
            <w:shd w:val="clear" w:color="auto" w:fill="auto"/>
            <w:noWrap/>
            <w:vAlign w:val="center"/>
            <w:hideMark/>
          </w:tcPr>
          <w:p w14:paraId="697A4CC9" w14:textId="77777777" w:rsidR="00BC5219" w:rsidRPr="008A2B8F" w:rsidRDefault="00BC5219" w:rsidP="00E83802">
            <w:pPr>
              <w:rPr>
                <w:rFonts w:ascii="Meta Pro" w:eastAsia="Times New Roman" w:hAnsi="Meta Pro"/>
                <w:b/>
                <w:bCs/>
                <w:szCs w:val="18"/>
                <w:lang w:eastAsia="en-AU"/>
              </w:rPr>
            </w:pPr>
          </w:p>
        </w:tc>
        <w:tc>
          <w:tcPr>
            <w:tcW w:w="113" w:type="dxa"/>
            <w:tcBorders>
              <w:top w:val="nil"/>
              <w:left w:val="nil"/>
              <w:bottom w:val="nil"/>
              <w:right w:val="nil"/>
            </w:tcBorders>
            <w:shd w:val="clear" w:color="auto" w:fill="auto"/>
            <w:noWrap/>
            <w:vAlign w:val="center"/>
            <w:hideMark/>
          </w:tcPr>
          <w:p w14:paraId="13E0B89A" w14:textId="77777777" w:rsidR="00BC5219" w:rsidRPr="008A2B8F" w:rsidRDefault="00BC5219" w:rsidP="00E83802">
            <w:pP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2F16AFE8"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14672775" w14:textId="77777777" w:rsidR="00BC5219" w:rsidRPr="008A2B8F" w:rsidRDefault="00BC5219" w:rsidP="00E83802">
            <w:pPr>
              <w:jc w:val="cente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5461749E"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39C3A552" w14:textId="77777777" w:rsidR="00BC5219" w:rsidRPr="008A2B8F" w:rsidRDefault="00BC5219" w:rsidP="00E83802">
            <w:pPr>
              <w:jc w:val="cente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21A9FF0D"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11AA5B69" w14:textId="77777777" w:rsidR="00BC5219" w:rsidRPr="008A2B8F" w:rsidRDefault="00BC5219" w:rsidP="00E83802">
            <w:pPr>
              <w:jc w:val="cente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4F817BC6"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35763059" w14:textId="77777777" w:rsidR="00BC5219" w:rsidRPr="008A2B8F" w:rsidRDefault="00BC5219" w:rsidP="00E83802">
            <w:pPr>
              <w:jc w:val="cente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1229A2DF"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625A0500" w14:textId="77777777" w:rsidR="00BC5219" w:rsidRPr="008A2B8F" w:rsidRDefault="00BC5219" w:rsidP="00E83802">
            <w:pPr>
              <w:jc w:val="cente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327EAF7C"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411F03C2" w14:textId="77777777" w:rsidR="00BC5219" w:rsidRPr="008A2B8F" w:rsidRDefault="00BC5219" w:rsidP="00E83802">
            <w:pPr>
              <w:jc w:val="cente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5DE00FE7"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77CEF65E" w14:textId="77777777" w:rsidR="00BC5219" w:rsidRPr="008A2B8F" w:rsidRDefault="00BC5219" w:rsidP="00E83802">
            <w:pPr>
              <w:jc w:val="cente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59CE721A" w14:textId="77777777" w:rsidR="00BC5219" w:rsidRPr="008A2B8F" w:rsidRDefault="00BC5219" w:rsidP="00E83802">
            <w:pPr>
              <w:rPr>
                <w:rFonts w:ascii="Meta Pro" w:eastAsia="Times New Roman" w:hAnsi="Meta Pro" w:cs="Times New Roman"/>
                <w:sz w:val="20"/>
                <w:szCs w:val="20"/>
                <w:lang w:eastAsia="en-AU"/>
              </w:rPr>
            </w:pPr>
          </w:p>
        </w:tc>
      </w:tr>
      <w:tr w:rsidR="00BC5219" w:rsidRPr="008A2B8F" w14:paraId="664AF7B5" w14:textId="77777777" w:rsidTr="00E83802">
        <w:trPr>
          <w:trHeight w:val="113"/>
        </w:trPr>
        <w:tc>
          <w:tcPr>
            <w:tcW w:w="9072" w:type="dxa"/>
            <w:tcBorders>
              <w:top w:val="nil"/>
              <w:left w:val="nil"/>
              <w:bottom w:val="nil"/>
              <w:right w:val="nil"/>
            </w:tcBorders>
            <w:shd w:val="clear" w:color="auto" w:fill="auto"/>
            <w:noWrap/>
            <w:vAlign w:val="center"/>
            <w:hideMark/>
          </w:tcPr>
          <w:p w14:paraId="69BCD0B0" w14:textId="77777777" w:rsidR="00BC5219" w:rsidRPr="008A2B8F" w:rsidRDefault="00BC5219" w:rsidP="00E83802">
            <w:pPr>
              <w:jc w:val="cente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0B9ED52B"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6764954E" w14:textId="77777777" w:rsidR="00BC5219" w:rsidRPr="008A2B8F" w:rsidRDefault="00BC5219" w:rsidP="00E83802">
            <w:pP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18C0C481"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363F434F" w14:textId="77777777" w:rsidR="00BC5219" w:rsidRPr="008A2B8F" w:rsidRDefault="00BC5219" w:rsidP="00E83802">
            <w:pPr>
              <w:jc w:val="cente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3405FB40"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6484A003" w14:textId="77777777" w:rsidR="00BC5219" w:rsidRPr="008A2B8F" w:rsidRDefault="00BC5219" w:rsidP="00E83802">
            <w:pPr>
              <w:jc w:val="cente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4EFB8428"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2209D00B" w14:textId="77777777" w:rsidR="00BC5219" w:rsidRPr="008A2B8F" w:rsidRDefault="00BC5219" w:rsidP="00E83802">
            <w:pPr>
              <w:jc w:val="cente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6D7F03D8"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3CC36B1B" w14:textId="77777777" w:rsidR="00BC5219" w:rsidRPr="008A2B8F" w:rsidRDefault="00BC5219" w:rsidP="00E83802">
            <w:pPr>
              <w:jc w:val="cente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2FF0CB8B"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43BD5A14" w14:textId="77777777" w:rsidR="00BC5219" w:rsidRPr="008A2B8F" w:rsidRDefault="00BC5219" w:rsidP="00E83802">
            <w:pPr>
              <w:jc w:val="cente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52358F26"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6BC1957F" w14:textId="77777777" w:rsidR="00BC5219" w:rsidRPr="008A2B8F" w:rsidRDefault="00BC5219" w:rsidP="00E83802">
            <w:pPr>
              <w:jc w:val="cente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7C910A2A"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633FF626" w14:textId="77777777" w:rsidR="00BC5219" w:rsidRPr="008A2B8F" w:rsidRDefault="00BC5219" w:rsidP="00E83802">
            <w:pPr>
              <w:jc w:val="cente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27D30A9D" w14:textId="77777777" w:rsidR="00BC5219" w:rsidRPr="008A2B8F" w:rsidRDefault="00BC5219" w:rsidP="00E83802">
            <w:pPr>
              <w:rPr>
                <w:rFonts w:ascii="Meta Pro" w:eastAsia="Times New Roman" w:hAnsi="Meta Pro" w:cs="Times New Roman"/>
                <w:sz w:val="20"/>
                <w:szCs w:val="20"/>
                <w:lang w:eastAsia="en-AU"/>
              </w:rPr>
            </w:pPr>
          </w:p>
        </w:tc>
      </w:tr>
      <w:tr w:rsidR="00BC5219" w:rsidRPr="008A2B8F" w14:paraId="44657A0C" w14:textId="77777777" w:rsidTr="00E83802">
        <w:trPr>
          <w:trHeight w:val="23"/>
        </w:trPr>
        <w:tc>
          <w:tcPr>
            <w:tcW w:w="9072" w:type="dxa"/>
            <w:tcBorders>
              <w:top w:val="nil"/>
              <w:left w:val="nil"/>
              <w:bottom w:val="nil"/>
              <w:right w:val="nil"/>
            </w:tcBorders>
            <w:shd w:val="clear" w:color="auto" w:fill="auto"/>
            <w:vAlign w:val="center"/>
            <w:hideMark/>
          </w:tcPr>
          <w:p w14:paraId="650DD051"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Carrying amount at 1 July</w:t>
            </w:r>
          </w:p>
        </w:tc>
        <w:tc>
          <w:tcPr>
            <w:tcW w:w="1928" w:type="dxa"/>
            <w:tcBorders>
              <w:top w:val="nil"/>
              <w:left w:val="nil"/>
              <w:bottom w:val="nil"/>
              <w:right w:val="nil"/>
            </w:tcBorders>
            <w:shd w:val="clear" w:color="000000" w:fill="C9E3B4"/>
            <w:noWrap/>
            <w:vAlign w:val="center"/>
            <w:hideMark/>
          </w:tcPr>
          <w:p w14:paraId="5DFD8D0A"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729,019 </w:t>
            </w:r>
          </w:p>
        </w:tc>
        <w:tc>
          <w:tcPr>
            <w:tcW w:w="113" w:type="dxa"/>
            <w:tcBorders>
              <w:top w:val="nil"/>
              <w:left w:val="nil"/>
              <w:bottom w:val="nil"/>
              <w:right w:val="nil"/>
            </w:tcBorders>
            <w:shd w:val="clear" w:color="auto" w:fill="auto"/>
            <w:noWrap/>
            <w:vAlign w:val="center"/>
            <w:hideMark/>
          </w:tcPr>
          <w:p w14:paraId="63189BC3"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421C6D98"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1,436,529 </w:t>
            </w:r>
          </w:p>
        </w:tc>
        <w:tc>
          <w:tcPr>
            <w:tcW w:w="113" w:type="dxa"/>
            <w:tcBorders>
              <w:top w:val="nil"/>
              <w:left w:val="nil"/>
              <w:bottom w:val="nil"/>
              <w:right w:val="nil"/>
            </w:tcBorders>
            <w:shd w:val="clear" w:color="auto" w:fill="auto"/>
            <w:noWrap/>
            <w:vAlign w:val="center"/>
            <w:hideMark/>
          </w:tcPr>
          <w:p w14:paraId="57A52D52"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76C8791A"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5,806,788 </w:t>
            </w:r>
          </w:p>
        </w:tc>
        <w:tc>
          <w:tcPr>
            <w:tcW w:w="113" w:type="dxa"/>
            <w:tcBorders>
              <w:top w:val="nil"/>
              <w:left w:val="nil"/>
              <w:bottom w:val="nil"/>
              <w:right w:val="nil"/>
            </w:tcBorders>
            <w:shd w:val="clear" w:color="auto" w:fill="auto"/>
            <w:noWrap/>
            <w:vAlign w:val="center"/>
            <w:hideMark/>
          </w:tcPr>
          <w:p w14:paraId="03DAE43E"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7F72D37F"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2,866,453 </w:t>
            </w:r>
          </w:p>
        </w:tc>
        <w:tc>
          <w:tcPr>
            <w:tcW w:w="113" w:type="dxa"/>
            <w:tcBorders>
              <w:top w:val="nil"/>
              <w:left w:val="nil"/>
              <w:bottom w:val="nil"/>
              <w:right w:val="nil"/>
            </w:tcBorders>
            <w:shd w:val="clear" w:color="auto" w:fill="auto"/>
            <w:noWrap/>
            <w:vAlign w:val="center"/>
            <w:hideMark/>
          </w:tcPr>
          <w:p w14:paraId="73289915"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7785B4D5"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1,472,727 </w:t>
            </w:r>
          </w:p>
        </w:tc>
        <w:tc>
          <w:tcPr>
            <w:tcW w:w="113" w:type="dxa"/>
            <w:tcBorders>
              <w:top w:val="nil"/>
              <w:left w:val="nil"/>
              <w:bottom w:val="nil"/>
              <w:right w:val="nil"/>
            </w:tcBorders>
            <w:shd w:val="clear" w:color="auto" w:fill="auto"/>
            <w:noWrap/>
            <w:vAlign w:val="center"/>
            <w:hideMark/>
          </w:tcPr>
          <w:p w14:paraId="5F775978"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00B047CF"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46,569 </w:t>
            </w:r>
          </w:p>
        </w:tc>
        <w:tc>
          <w:tcPr>
            <w:tcW w:w="113" w:type="dxa"/>
            <w:tcBorders>
              <w:top w:val="nil"/>
              <w:left w:val="nil"/>
              <w:bottom w:val="nil"/>
              <w:right w:val="nil"/>
            </w:tcBorders>
            <w:shd w:val="clear" w:color="auto" w:fill="auto"/>
            <w:noWrap/>
            <w:vAlign w:val="center"/>
            <w:hideMark/>
          </w:tcPr>
          <w:p w14:paraId="05BF834E"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1F1CF62B"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330,583 </w:t>
            </w:r>
          </w:p>
        </w:tc>
        <w:tc>
          <w:tcPr>
            <w:tcW w:w="113" w:type="dxa"/>
            <w:tcBorders>
              <w:top w:val="nil"/>
              <w:left w:val="nil"/>
              <w:bottom w:val="nil"/>
              <w:right w:val="nil"/>
            </w:tcBorders>
            <w:shd w:val="clear" w:color="auto" w:fill="auto"/>
            <w:noWrap/>
            <w:vAlign w:val="center"/>
            <w:hideMark/>
          </w:tcPr>
          <w:p w14:paraId="351CA2C0"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269C731C"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228,784 </w:t>
            </w:r>
          </w:p>
        </w:tc>
        <w:tc>
          <w:tcPr>
            <w:tcW w:w="113" w:type="dxa"/>
            <w:tcBorders>
              <w:top w:val="nil"/>
              <w:left w:val="nil"/>
              <w:bottom w:val="nil"/>
              <w:right w:val="nil"/>
            </w:tcBorders>
            <w:shd w:val="clear" w:color="auto" w:fill="auto"/>
            <w:noWrap/>
            <w:vAlign w:val="center"/>
            <w:hideMark/>
          </w:tcPr>
          <w:p w14:paraId="5AF8C2B6"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1452B7E5"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12,917,452 </w:t>
            </w:r>
          </w:p>
        </w:tc>
      </w:tr>
      <w:tr w:rsidR="00BC5219" w:rsidRPr="008A2B8F" w14:paraId="0044F1C1" w14:textId="77777777" w:rsidTr="00E83802">
        <w:trPr>
          <w:trHeight w:val="23"/>
        </w:trPr>
        <w:tc>
          <w:tcPr>
            <w:tcW w:w="9072" w:type="dxa"/>
            <w:tcBorders>
              <w:top w:val="nil"/>
              <w:left w:val="nil"/>
              <w:bottom w:val="nil"/>
              <w:right w:val="nil"/>
            </w:tcBorders>
            <w:shd w:val="clear" w:color="auto" w:fill="auto"/>
            <w:vAlign w:val="center"/>
            <w:hideMark/>
          </w:tcPr>
          <w:p w14:paraId="0407FE7F"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Acquisitions (including upgrades)</w:t>
            </w:r>
          </w:p>
        </w:tc>
        <w:tc>
          <w:tcPr>
            <w:tcW w:w="1928" w:type="dxa"/>
            <w:tcBorders>
              <w:top w:val="nil"/>
              <w:left w:val="nil"/>
              <w:bottom w:val="nil"/>
              <w:right w:val="nil"/>
            </w:tcBorders>
            <w:shd w:val="clear" w:color="000000" w:fill="C9E3B4"/>
            <w:noWrap/>
            <w:vAlign w:val="center"/>
            <w:hideMark/>
          </w:tcPr>
          <w:p w14:paraId="41BB0356"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13" w:type="dxa"/>
            <w:tcBorders>
              <w:top w:val="nil"/>
              <w:left w:val="nil"/>
              <w:bottom w:val="nil"/>
              <w:right w:val="nil"/>
            </w:tcBorders>
            <w:shd w:val="clear" w:color="auto" w:fill="auto"/>
            <w:noWrap/>
            <w:vAlign w:val="center"/>
            <w:hideMark/>
          </w:tcPr>
          <w:p w14:paraId="3E7BD2BC"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2F503DA1"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13" w:type="dxa"/>
            <w:tcBorders>
              <w:top w:val="nil"/>
              <w:left w:val="nil"/>
              <w:bottom w:val="nil"/>
              <w:right w:val="nil"/>
            </w:tcBorders>
            <w:shd w:val="clear" w:color="auto" w:fill="auto"/>
            <w:noWrap/>
            <w:vAlign w:val="center"/>
            <w:hideMark/>
          </w:tcPr>
          <w:p w14:paraId="34592055"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5A3A245C"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13" w:type="dxa"/>
            <w:tcBorders>
              <w:top w:val="nil"/>
              <w:left w:val="nil"/>
              <w:bottom w:val="nil"/>
              <w:right w:val="nil"/>
            </w:tcBorders>
            <w:shd w:val="clear" w:color="auto" w:fill="auto"/>
            <w:noWrap/>
            <w:vAlign w:val="center"/>
            <w:hideMark/>
          </w:tcPr>
          <w:p w14:paraId="0391C234"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09D40422"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13" w:type="dxa"/>
            <w:tcBorders>
              <w:top w:val="nil"/>
              <w:left w:val="nil"/>
              <w:bottom w:val="nil"/>
              <w:right w:val="nil"/>
            </w:tcBorders>
            <w:shd w:val="clear" w:color="auto" w:fill="auto"/>
            <w:noWrap/>
            <w:vAlign w:val="center"/>
            <w:hideMark/>
          </w:tcPr>
          <w:p w14:paraId="25AF4B85"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50F0E583"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13" w:type="dxa"/>
            <w:tcBorders>
              <w:top w:val="nil"/>
              <w:left w:val="nil"/>
              <w:bottom w:val="nil"/>
              <w:right w:val="nil"/>
            </w:tcBorders>
            <w:shd w:val="clear" w:color="auto" w:fill="auto"/>
            <w:noWrap/>
            <w:vAlign w:val="center"/>
            <w:hideMark/>
          </w:tcPr>
          <w:p w14:paraId="44A1B545"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0AB3FA60"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13" w:type="dxa"/>
            <w:tcBorders>
              <w:top w:val="nil"/>
              <w:left w:val="nil"/>
              <w:bottom w:val="nil"/>
              <w:right w:val="nil"/>
            </w:tcBorders>
            <w:shd w:val="clear" w:color="auto" w:fill="auto"/>
            <w:noWrap/>
            <w:vAlign w:val="center"/>
            <w:hideMark/>
          </w:tcPr>
          <w:p w14:paraId="3598F457"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47E281AD"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13" w:type="dxa"/>
            <w:tcBorders>
              <w:top w:val="nil"/>
              <w:left w:val="nil"/>
              <w:bottom w:val="nil"/>
              <w:right w:val="nil"/>
            </w:tcBorders>
            <w:shd w:val="clear" w:color="auto" w:fill="auto"/>
            <w:noWrap/>
            <w:vAlign w:val="center"/>
            <w:hideMark/>
          </w:tcPr>
          <w:p w14:paraId="57959C0B"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219035CE"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91,288 </w:t>
            </w:r>
          </w:p>
        </w:tc>
        <w:tc>
          <w:tcPr>
            <w:tcW w:w="113" w:type="dxa"/>
            <w:tcBorders>
              <w:top w:val="nil"/>
              <w:left w:val="nil"/>
              <w:bottom w:val="nil"/>
              <w:right w:val="nil"/>
            </w:tcBorders>
            <w:shd w:val="clear" w:color="auto" w:fill="auto"/>
            <w:noWrap/>
            <w:vAlign w:val="center"/>
            <w:hideMark/>
          </w:tcPr>
          <w:p w14:paraId="346CD137"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4DA2F95B"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91,288 </w:t>
            </w:r>
          </w:p>
        </w:tc>
      </w:tr>
      <w:tr w:rsidR="00BC5219" w:rsidRPr="008A2B8F" w14:paraId="198F2FDF" w14:textId="77777777" w:rsidTr="00E83802">
        <w:trPr>
          <w:trHeight w:val="23"/>
        </w:trPr>
        <w:tc>
          <w:tcPr>
            <w:tcW w:w="9072" w:type="dxa"/>
            <w:tcBorders>
              <w:top w:val="nil"/>
              <w:left w:val="nil"/>
              <w:bottom w:val="nil"/>
              <w:right w:val="nil"/>
            </w:tcBorders>
            <w:shd w:val="clear" w:color="auto" w:fill="auto"/>
            <w:vAlign w:val="center"/>
            <w:hideMark/>
          </w:tcPr>
          <w:p w14:paraId="6FFB167C"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lastRenderedPageBreak/>
              <w:t>Transfers to property, plant and equipment (refer to Note 15)</w:t>
            </w:r>
          </w:p>
        </w:tc>
        <w:tc>
          <w:tcPr>
            <w:tcW w:w="1928" w:type="dxa"/>
            <w:tcBorders>
              <w:top w:val="nil"/>
              <w:left w:val="nil"/>
              <w:bottom w:val="nil"/>
              <w:right w:val="nil"/>
            </w:tcBorders>
            <w:shd w:val="clear" w:color="000000" w:fill="C9E3B4"/>
            <w:noWrap/>
            <w:vAlign w:val="center"/>
            <w:hideMark/>
          </w:tcPr>
          <w:p w14:paraId="0E9A74AF"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13" w:type="dxa"/>
            <w:tcBorders>
              <w:top w:val="nil"/>
              <w:left w:val="nil"/>
              <w:bottom w:val="nil"/>
              <w:right w:val="nil"/>
            </w:tcBorders>
            <w:shd w:val="clear" w:color="auto" w:fill="auto"/>
            <w:noWrap/>
            <w:vAlign w:val="center"/>
            <w:hideMark/>
          </w:tcPr>
          <w:p w14:paraId="567B1326"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4A9A6DC6"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13" w:type="dxa"/>
            <w:tcBorders>
              <w:top w:val="nil"/>
              <w:left w:val="nil"/>
              <w:bottom w:val="nil"/>
              <w:right w:val="nil"/>
            </w:tcBorders>
            <w:shd w:val="clear" w:color="auto" w:fill="auto"/>
            <w:noWrap/>
            <w:vAlign w:val="center"/>
            <w:hideMark/>
          </w:tcPr>
          <w:p w14:paraId="21721E06"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31F67E88"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13" w:type="dxa"/>
            <w:tcBorders>
              <w:top w:val="nil"/>
              <w:left w:val="nil"/>
              <w:bottom w:val="nil"/>
              <w:right w:val="nil"/>
            </w:tcBorders>
            <w:shd w:val="clear" w:color="auto" w:fill="auto"/>
            <w:noWrap/>
            <w:vAlign w:val="center"/>
            <w:hideMark/>
          </w:tcPr>
          <w:p w14:paraId="586103A4"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1CD59B6C"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13" w:type="dxa"/>
            <w:tcBorders>
              <w:top w:val="nil"/>
              <w:left w:val="nil"/>
              <w:bottom w:val="nil"/>
              <w:right w:val="nil"/>
            </w:tcBorders>
            <w:shd w:val="clear" w:color="auto" w:fill="auto"/>
            <w:noWrap/>
            <w:vAlign w:val="center"/>
            <w:hideMark/>
          </w:tcPr>
          <w:p w14:paraId="49B846D7"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3D828052"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13" w:type="dxa"/>
            <w:tcBorders>
              <w:top w:val="nil"/>
              <w:left w:val="nil"/>
              <w:bottom w:val="nil"/>
              <w:right w:val="nil"/>
            </w:tcBorders>
            <w:shd w:val="clear" w:color="auto" w:fill="auto"/>
            <w:noWrap/>
            <w:vAlign w:val="center"/>
            <w:hideMark/>
          </w:tcPr>
          <w:p w14:paraId="528197F0"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50AEBD56"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w:t>
            </w:r>
          </w:p>
        </w:tc>
        <w:tc>
          <w:tcPr>
            <w:tcW w:w="113" w:type="dxa"/>
            <w:tcBorders>
              <w:top w:val="nil"/>
              <w:left w:val="nil"/>
              <w:bottom w:val="nil"/>
              <w:right w:val="nil"/>
            </w:tcBorders>
            <w:shd w:val="clear" w:color="auto" w:fill="auto"/>
            <w:noWrap/>
            <w:vAlign w:val="center"/>
            <w:hideMark/>
          </w:tcPr>
          <w:p w14:paraId="5AA25C57"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21BD561E"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13" w:type="dxa"/>
            <w:tcBorders>
              <w:top w:val="nil"/>
              <w:left w:val="nil"/>
              <w:bottom w:val="nil"/>
              <w:right w:val="nil"/>
            </w:tcBorders>
            <w:shd w:val="clear" w:color="auto" w:fill="auto"/>
            <w:noWrap/>
            <w:vAlign w:val="center"/>
            <w:hideMark/>
          </w:tcPr>
          <w:p w14:paraId="779D6E93"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6DA7E7A6"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(40,182)</w:t>
            </w:r>
          </w:p>
        </w:tc>
        <w:tc>
          <w:tcPr>
            <w:tcW w:w="113" w:type="dxa"/>
            <w:tcBorders>
              <w:top w:val="nil"/>
              <w:left w:val="nil"/>
              <w:bottom w:val="nil"/>
              <w:right w:val="nil"/>
            </w:tcBorders>
            <w:shd w:val="clear" w:color="auto" w:fill="auto"/>
            <w:noWrap/>
            <w:vAlign w:val="center"/>
            <w:hideMark/>
          </w:tcPr>
          <w:p w14:paraId="5D6EBB05"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7C09A86C"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(40,182)</w:t>
            </w:r>
          </w:p>
        </w:tc>
      </w:tr>
      <w:tr w:rsidR="00BC5219" w:rsidRPr="008A2B8F" w14:paraId="1CC3843F" w14:textId="77777777" w:rsidTr="00E83802">
        <w:trPr>
          <w:trHeight w:val="23"/>
        </w:trPr>
        <w:tc>
          <w:tcPr>
            <w:tcW w:w="9072" w:type="dxa"/>
            <w:tcBorders>
              <w:top w:val="nil"/>
              <w:left w:val="nil"/>
              <w:bottom w:val="nil"/>
              <w:right w:val="nil"/>
            </w:tcBorders>
            <w:shd w:val="clear" w:color="auto" w:fill="auto"/>
            <w:vAlign w:val="center"/>
            <w:hideMark/>
          </w:tcPr>
          <w:p w14:paraId="252C4293"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Assets provided to third parties at below fair value</w:t>
            </w:r>
          </w:p>
        </w:tc>
        <w:tc>
          <w:tcPr>
            <w:tcW w:w="1928" w:type="dxa"/>
            <w:tcBorders>
              <w:top w:val="nil"/>
              <w:left w:val="nil"/>
              <w:bottom w:val="nil"/>
              <w:right w:val="nil"/>
            </w:tcBorders>
            <w:shd w:val="clear" w:color="000000" w:fill="C9E3B4"/>
            <w:noWrap/>
            <w:vAlign w:val="center"/>
            <w:hideMark/>
          </w:tcPr>
          <w:p w14:paraId="2E02BC99"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13" w:type="dxa"/>
            <w:tcBorders>
              <w:top w:val="nil"/>
              <w:left w:val="nil"/>
              <w:bottom w:val="nil"/>
              <w:right w:val="nil"/>
            </w:tcBorders>
            <w:shd w:val="clear" w:color="auto" w:fill="auto"/>
            <w:noWrap/>
            <w:vAlign w:val="center"/>
            <w:hideMark/>
          </w:tcPr>
          <w:p w14:paraId="3A0A0017"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2CB24946"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13" w:type="dxa"/>
            <w:tcBorders>
              <w:top w:val="nil"/>
              <w:left w:val="nil"/>
              <w:bottom w:val="nil"/>
              <w:right w:val="nil"/>
            </w:tcBorders>
            <w:shd w:val="clear" w:color="auto" w:fill="auto"/>
            <w:noWrap/>
            <w:vAlign w:val="center"/>
            <w:hideMark/>
          </w:tcPr>
          <w:p w14:paraId="4EB1D0E1"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16A72866"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13" w:type="dxa"/>
            <w:tcBorders>
              <w:top w:val="nil"/>
              <w:left w:val="nil"/>
              <w:bottom w:val="nil"/>
              <w:right w:val="nil"/>
            </w:tcBorders>
            <w:shd w:val="clear" w:color="auto" w:fill="auto"/>
            <w:noWrap/>
            <w:vAlign w:val="center"/>
            <w:hideMark/>
          </w:tcPr>
          <w:p w14:paraId="25C590AC"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274BD221"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13" w:type="dxa"/>
            <w:tcBorders>
              <w:top w:val="nil"/>
              <w:left w:val="nil"/>
              <w:bottom w:val="nil"/>
              <w:right w:val="nil"/>
            </w:tcBorders>
            <w:shd w:val="clear" w:color="auto" w:fill="auto"/>
            <w:noWrap/>
            <w:vAlign w:val="center"/>
            <w:hideMark/>
          </w:tcPr>
          <w:p w14:paraId="22C905F2"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14F5D31C"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13" w:type="dxa"/>
            <w:tcBorders>
              <w:top w:val="nil"/>
              <w:left w:val="nil"/>
              <w:bottom w:val="nil"/>
              <w:right w:val="nil"/>
            </w:tcBorders>
            <w:shd w:val="clear" w:color="auto" w:fill="auto"/>
            <w:noWrap/>
            <w:vAlign w:val="center"/>
            <w:hideMark/>
          </w:tcPr>
          <w:p w14:paraId="35B08382"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4FB1DDC1"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13" w:type="dxa"/>
            <w:tcBorders>
              <w:top w:val="nil"/>
              <w:left w:val="nil"/>
              <w:bottom w:val="nil"/>
              <w:right w:val="nil"/>
            </w:tcBorders>
            <w:shd w:val="clear" w:color="auto" w:fill="auto"/>
            <w:noWrap/>
            <w:vAlign w:val="center"/>
            <w:hideMark/>
          </w:tcPr>
          <w:p w14:paraId="7595128C"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72F5721A"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13" w:type="dxa"/>
            <w:tcBorders>
              <w:top w:val="nil"/>
              <w:left w:val="nil"/>
              <w:bottom w:val="nil"/>
              <w:right w:val="nil"/>
            </w:tcBorders>
            <w:shd w:val="clear" w:color="auto" w:fill="auto"/>
            <w:noWrap/>
            <w:vAlign w:val="center"/>
            <w:hideMark/>
          </w:tcPr>
          <w:p w14:paraId="4D27495A"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7735EFE9"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(7,085)</w:t>
            </w:r>
          </w:p>
        </w:tc>
        <w:tc>
          <w:tcPr>
            <w:tcW w:w="113" w:type="dxa"/>
            <w:tcBorders>
              <w:top w:val="nil"/>
              <w:left w:val="nil"/>
              <w:bottom w:val="nil"/>
              <w:right w:val="nil"/>
            </w:tcBorders>
            <w:shd w:val="clear" w:color="auto" w:fill="auto"/>
            <w:noWrap/>
            <w:vAlign w:val="center"/>
            <w:hideMark/>
          </w:tcPr>
          <w:p w14:paraId="6B41C543"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553992D9"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(7,085)</w:t>
            </w:r>
          </w:p>
        </w:tc>
      </w:tr>
      <w:tr w:rsidR="00BC5219" w:rsidRPr="008A2B8F" w14:paraId="3C43D06F" w14:textId="77777777" w:rsidTr="00E83802">
        <w:trPr>
          <w:trHeight w:val="23"/>
        </w:trPr>
        <w:tc>
          <w:tcPr>
            <w:tcW w:w="9072" w:type="dxa"/>
            <w:tcBorders>
              <w:top w:val="nil"/>
              <w:left w:val="nil"/>
              <w:bottom w:val="nil"/>
              <w:right w:val="nil"/>
            </w:tcBorders>
            <w:shd w:val="clear" w:color="auto" w:fill="auto"/>
            <w:noWrap/>
            <w:vAlign w:val="center"/>
            <w:hideMark/>
          </w:tcPr>
          <w:p w14:paraId="13B53091"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Net revaluation increments **</w:t>
            </w:r>
          </w:p>
        </w:tc>
        <w:tc>
          <w:tcPr>
            <w:tcW w:w="1928" w:type="dxa"/>
            <w:tcBorders>
              <w:top w:val="nil"/>
              <w:left w:val="nil"/>
              <w:bottom w:val="nil"/>
              <w:right w:val="nil"/>
            </w:tcBorders>
            <w:shd w:val="clear" w:color="000000" w:fill="C9E3B4"/>
            <w:noWrap/>
            <w:vAlign w:val="center"/>
            <w:hideMark/>
          </w:tcPr>
          <w:p w14:paraId="2914EFB0"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33,595 </w:t>
            </w:r>
          </w:p>
        </w:tc>
        <w:tc>
          <w:tcPr>
            <w:tcW w:w="113" w:type="dxa"/>
            <w:tcBorders>
              <w:top w:val="nil"/>
              <w:left w:val="nil"/>
              <w:bottom w:val="nil"/>
              <w:right w:val="nil"/>
            </w:tcBorders>
            <w:shd w:val="clear" w:color="auto" w:fill="auto"/>
            <w:noWrap/>
            <w:vAlign w:val="center"/>
            <w:hideMark/>
          </w:tcPr>
          <w:p w14:paraId="233BF194"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4DAF8EE9"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98,618 </w:t>
            </w:r>
          </w:p>
        </w:tc>
        <w:tc>
          <w:tcPr>
            <w:tcW w:w="113" w:type="dxa"/>
            <w:tcBorders>
              <w:top w:val="nil"/>
              <w:left w:val="nil"/>
              <w:bottom w:val="nil"/>
              <w:right w:val="nil"/>
            </w:tcBorders>
            <w:shd w:val="clear" w:color="auto" w:fill="auto"/>
            <w:noWrap/>
            <w:vAlign w:val="center"/>
            <w:hideMark/>
          </w:tcPr>
          <w:p w14:paraId="630A59CF"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1F2439E3"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407,308 </w:t>
            </w:r>
          </w:p>
        </w:tc>
        <w:tc>
          <w:tcPr>
            <w:tcW w:w="113" w:type="dxa"/>
            <w:tcBorders>
              <w:top w:val="nil"/>
              <w:left w:val="nil"/>
              <w:bottom w:val="nil"/>
              <w:right w:val="nil"/>
            </w:tcBorders>
            <w:shd w:val="clear" w:color="auto" w:fill="auto"/>
            <w:noWrap/>
            <w:vAlign w:val="center"/>
            <w:hideMark/>
          </w:tcPr>
          <w:p w14:paraId="4BCD6B38"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22970E33"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440,779 </w:t>
            </w:r>
          </w:p>
        </w:tc>
        <w:tc>
          <w:tcPr>
            <w:tcW w:w="113" w:type="dxa"/>
            <w:tcBorders>
              <w:top w:val="nil"/>
              <w:left w:val="nil"/>
              <w:bottom w:val="nil"/>
              <w:right w:val="nil"/>
            </w:tcBorders>
            <w:shd w:val="clear" w:color="auto" w:fill="auto"/>
            <w:noWrap/>
            <w:vAlign w:val="center"/>
            <w:hideMark/>
          </w:tcPr>
          <w:p w14:paraId="18087F9D"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19146FA5"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295,618 </w:t>
            </w:r>
          </w:p>
        </w:tc>
        <w:tc>
          <w:tcPr>
            <w:tcW w:w="113" w:type="dxa"/>
            <w:tcBorders>
              <w:top w:val="nil"/>
              <w:left w:val="nil"/>
              <w:bottom w:val="nil"/>
              <w:right w:val="nil"/>
            </w:tcBorders>
            <w:shd w:val="clear" w:color="auto" w:fill="auto"/>
            <w:noWrap/>
            <w:vAlign w:val="center"/>
            <w:hideMark/>
          </w:tcPr>
          <w:p w14:paraId="400BDCF7"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2228C946"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12,653 </w:t>
            </w:r>
          </w:p>
        </w:tc>
        <w:tc>
          <w:tcPr>
            <w:tcW w:w="113" w:type="dxa"/>
            <w:tcBorders>
              <w:top w:val="nil"/>
              <w:left w:val="nil"/>
              <w:bottom w:val="nil"/>
              <w:right w:val="nil"/>
            </w:tcBorders>
            <w:shd w:val="clear" w:color="auto" w:fill="auto"/>
            <w:noWrap/>
            <w:vAlign w:val="center"/>
            <w:hideMark/>
          </w:tcPr>
          <w:p w14:paraId="11BE383B"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497FF2F2"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35,634 </w:t>
            </w:r>
          </w:p>
        </w:tc>
        <w:tc>
          <w:tcPr>
            <w:tcW w:w="113" w:type="dxa"/>
            <w:tcBorders>
              <w:top w:val="nil"/>
              <w:left w:val="nil"/>
              <w:bottom w:val="nil"/>
              <w:right w:val="nil"/>
            </w:tcBorders>
            <w:shd w:val="clear" w:color="auto" w:fill="auto"/>
            <w:noWrap/>
            <w:vAlign w:val="center"/>
            <w:hideMark/>
          </w:tcPr>
          <w:p w14:paraId="4C97FAA4"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7D773F6A"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13" w:type="dxa"/>
            <w:tcBorders>
              <w:top w:val="nil"/>
              <w:left w:val="nil"/>
              <w:bottom w:val="nil"/>
              <w:right w:val="nil"/>
            </w:tcBorders>
            <w:shd w:val="clear" w:color="auto" w:fill="auto"/>
            <w:noWrap/>
            <w:vAlign w:val="center"/>
            <w:hideMark/>
          </w:tcPr>
          <w:p w14:paraId="62C8BD8B"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4A1C5709"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1,324,205 </w:t>
            </w:r>
          </w:p>
        </w:tc>
      </w:tr>
      <w:tr w:rsidR="00BC5219" w:rsidRPr="008A2B8F" w14:paraId="44FAE3A9" w14:textId="77777777" w:rsidTr="00E83802">
        <w:trPr>
          <w:trHeight w:val="23"/>
        </w:trPr>
        <w:tc>
          <w:tcPr>
            <w:tcW w:w="9072" w:type="dxa"/>
            <w:tcBorders>
              <w:top w:val="nil"/>
              <w:left w:val="nil"/>
              <w:bottom w:val="nil"/>
              <w:right w:val="nil"/>
            </w:tcBorders>
            <w:shd w:val="clear" w:color="auto" w:fill="auto"/>
            <w:vAlign w:val="center"/>
            <w:hideMark/>
          </w:tcPr>
          <w:p w14:paraId="109FF5D6"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Depreciation</w:t>
            </w:r>
          </w:p>
        </w:tc>
        <w:tc>
          <w:tcPr>
            <w:tcW w:w="1928" w:type="dxa"/>
            <w:tcBorders>
              <w:top w:val="nil"/>
              <w:left w:val="nil"/>
              <w:bottom w:val="nil"/>
              <w:right w:val="nil"/>
            </w:tcBorders>
            <w:shd w:val="clear" w:color="000000" w:fill="C9E3B4"/>
            <w:noWrap/>
            <w:vAlign w:val="center"/>
            <w:hideMark/>
          </w:tcPr>
          <w:p w14:paraId="63A6DF78"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(24,373)</w:t>
            </w:r>
          </w:p>
        </w:tc>
        <w:tc>
          <w:tcPr>
            <w:tcW w:w="113" w:type="dxa"/>
            <w:tcBorders>
              <w:top w:val="nil"/>
              <w:left w:val="nil"/>
              <w:bottom w:val="nil"/>
              <w:right w:val="nil"/>
            </w:tcBorders>
            <w:shd w:val="clear" w:color="auto" w:fill="auto"/>
            <w:noWrap/>
            <w:vAlign w:val="center"/>
            <w:hideMark/>
          </w:tcPr>
          <w:p w14:paraId="13D7D870"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5A96EBFF"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(20,683)</w:t>
            </w:r>
          </w:p>
        </w:tc>
        <w:tc>
          <w:tcPr>
            <w:tcW w:w="113" w:type="dxa"/>
            <w:tcBorders>
              <w:top w:val="nil"/>
              <w:left w:val="nil"/>
              <w:bottom w:val="nil"/>
              <w:right w:val="nil"/>
            </w:tcBorders>
            <w:shd w:val="clear" w:color="auto" w:fill="auto"/>
            <w:noWrap/>
            <w:vAlign w:val="center"/>
            <w:hideMark/>
          </w:tcPr>
          <w:p w14:paraId="6AE86F06"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71F82DC4"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(93,743)</w:t>
            </w:r>
          </w:p>
        </w:tc>
        <w:tc>
          <w:tcPr>
            <w:tcW w:w="113" w:type="dxa"/>
            <w:tcBorders>
              <w:top w:val="nil"/>
              <w:left w:val="nil"/>
              <w:bottom w:val="nil"/>
              <w:right w:val="nil"/>
            </w:tcBorders>
            <w:shd w:val="clear" w:color="auto" w:fill="auto"/>
            <w:noWrap/>
            <w:vAlign w:val="center"/>
            <w:hideMark/>
          </w:tcPr>
          <w:p w14:paraId="5900AA51"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0992D7D8"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(30,373)</w:t>
            </w:r>
          </w:p>
        </w:tc>
        <w:tc>
          <w:tcPr>
            <w:tcW w:w="113" w:type="dxa"/>
            <w:tcBorders>
              <w:top w:val="nil"/>
              <w:left w:val="nil"/>
              <w:bottom w:val="nil"/>
              <w:right w:val="nil"/>
            </w:tcBorders>
            <w:shd w:val="clear" w:color="auto" w:fill="auto"/>
            <w:noWrap/>
            <w:vAlign w:val="center"/>
            <w:hideMark/>
          </w:tcPr>
          <w:p w14:paraId="616F3AF4"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03359968"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(12,109)</w:t>
            </w:r>
          </w:p>
        </w:tc>
        <w:tc>
          <w:tcPr>
            <w:tcW w:w="113" w:type="dxa"/>
            <w:tcBorders>
              <w:top w:val="nil"/>
              <w:left w:val="nil"/>
              <w:bottom w:val="nil"/>
              <w:right w:val="nil"/>
            </w:tcBorders>
            <w:shd w:val="clear" w:color="auto" w:fill="auto"/>
            <w:noWrap/>
            <w:vAlign w:val="center"/>
            <w:hideMark/>
          </w:tcPr>
          <w:p w14:paraId="3A4ADA70"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64AAC23F"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(523)</w:t>
            </w:r>
          </w:p>
        </w:tc>
        <w:tc>
          <w:tcPr>
            <w:tcW w:w="113" w:type="dxa"/>
            <w:tcBorders>
              <w:top w:val="nil"/>
              <w:left w:val="nil"/>
              <w:bottom w:val="nil"/>
              <w:right w:val="nil"/>
            </w:tcBorders>
            <w:shd w:val="clear" w:color="auto" w:fill="auto"/>
            <w:noWrap/>
            <w:vAlign w:val="center"/>
            <w:hideMark/>
          </w:tcPr>
          <w:p w14:paraId="05EAC747"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1AEBA0D9"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(6,229)</w:t>
            </w:r>
          </w:p>
        </w:tc>
        <w:tc>
          <w:tcPr>
            <w:tcW w:w="113" w:type="dxa"/>
            <w:tcBorders>
              <w:top w:val="nil"/>
              <w:left w:val="nil"/>
              <w:bottom w:val="nil"/>
              <w:right w:val="nil"/>
            </w:tcBorders>
            <w:shd w:val="clear" w:color="auto" w:fill="auto"/>
            <w:noWrap/>
            <w:vAlign w:val="center"/>
            <w:hideMark/>
          </w:tcPr>
          <w:p w14:paraId="5C866532"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2AE50A21"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13" w:type="dxa"/>
            <w:tcBorders>
              <w:top w:val="nil"/>
              <w:left w:val="nil"/>
              <w:bottom w:val="nil"/>
              <w:right w:val="nil"/>
            </w:tcBorders>
            <w:shd w:val="clear" w:color="auto" w:fill="auto"/>
            <w:noWrap/>
            <w:vAlign w:val="center"/>
            <w:hideMark/>
          </w:tcPr>
          <w:p w14:paraId="2FC25B19"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4E2D9005"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(188,033)</w:t>
            </w:r>
          </w:p>
        </w:tc>
      </w:tr>
      <w:tr w:rsidR="00BC5219" w:rsidRPr="008A2B8F" w14:paraId="33010C00" w14:textId="77777777" w:rsidTr="00E83802">
        <w:trPr>
          <w:trHeight w:val="23"/>
        </w:trPr>
        <w:tc>
          <w:tcPr>
            <w:tcW w:w="9072" w:type="dxa"/>
            <w:tcBorders>
              <w:top w:val="single" w:sz="4" w:space="0" w:color="auto"/>
              <w:left w:val="nil"/>
              <w:bottom w:val="double" w:sz="6" w:space="0" w:color="auto"/>
              <w:right w:val="nil"/>
            </w:tcBorders>
            <w:shd w:val="clear" w:color="auto" w:fill="auto"/>
            <w:noWrap/>
            <w:vAlign w:val="center"/>
            <w:hideMark/>
          </w:tcPr>
          <w:p w14:paraId="67FCAE0C"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Carrying amount at 30 June</w:t>
            </w:r>
          </w:p>
        </w:tc>
        <w:tc>
          <w:tcPr>
            <w:tcW w:w="1928" w:type="dxa"/>
            <w:tcBorders>
              <w:top w:val="single" w:sz="4" w:space="0" w:color="auto"/>
              <w:left w:val="nil"/>
              <w:bottom w:val="double" w:sz="6" w:space="0" w:color="auto"/>
              <w:right w:val="nil"/>
            </w:tcBorders>
            <w:shd w:val="clear" w:color="000000" w:fill="C9E3B4"/>
            <w:noWrap/>
            <w:vAlign w:val="center"/>
            <w:hideMark/>
          </w:tcPr>
          <w:p w14:paraId="63ADF286"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738,241 </w:t>
            </w:r>
          </w:p>
        </w:tc>
        <w:tc>
          <w:tcPr>
            <w:tcW w:w="113" w:type="dxa"/>
            <w:tcBorders>
              <w:top w:val="nil"/>
              <w:left w:val="nil"/>
              <w:bottom w:val="nil"/>
              <w:right w:val="nil"/>
            </w:tcBorders>
            <w:shd w:val="clear" w:color="auto" w:fill="auto"/>
            <w:noWrap/>
            <w:vAlign w:val="center"/>
            <w:hideMark/>
          </w:tcPr>
          <w:p w14:paraId="233DFBAA" w14:textId="77777777" w:rsidR="00BC5219" w:rsidRPr="008A2B8F" w:rsidRDefault="00BC5219" w:rsidP="00E83802">
            <w:pPr>
              <w:jc w:val="right"/>
              <w:rPr>
                <w:rFonts w:ascii="Meta Pro" w:eastAsia="Times New Roman" w:hAnsi="Meta Pro"/>
                <w:b/>
                <w:bCs/>
                <w:szCs w:val="18"/>
                <w:lang w:eastAsia="en-AU"/>
              </w:rPr>
            </w:pPr>
          </w:p>
        </w:tc>
        <w:tc>
          <w:tcPr>
            <w:tcW w:w="1928" w:type="dxa"/>
            <w:tcBorders>
              <w:top w:val="single" w:sz="4" w:space="0" w:color="auto"/>
              <w:left w:val="nil"/>
              <w:bottom w:val="double" w:sz="6" w:space="0" w:color="auto"/>
              <w:right w:val="nil"/>
            </w:tcBorders>
            <w:shd w:val="clear" w:color="000000" w:fill="C9E3B4"/>
            <w:noWrap/>
            <w:vAlign w:val="center"/>
            <w:hideMark/>
          </w:tcPr>
          <w:p w14:paraId="1BEC5B56"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1,514,464 </w:t>
            </w:r>
          </w:p>
        </w:tc>
        <w:tc>
          <w:tcPr>
            <w:tcW w:w="113" w:type="dxa"/>
            <w:tcBorders>
              <w:top w:val="nil"/>
              <w:left w:val="nil"/>
              <w:bottom w:val="nil"/>
              <w:right w:val="nil"/>
            </w:tcBorders>
            <w:shd w:val="clear" w:color="auto" w:fill="auto"/>
            <w:noWrap/>
            <w:vAlign w:val="center"/>
            <w:hideMark/>
          </w:tcPr>
          <w:p w14:paraId="5578BD05" w14:textId="77777777" w:rsidR="00BC5219" w:rsidRPr="008A2B8F" w:rsidRDefault="00BC5219" w:rsidP="00E83802">
            <w:pPr>
              <w:jc w:val="right"/>
              <w:rPr>
                <w:rFonts w:ascii="Meta Pro" w:eastAsia="Times New Roman" w:hAnsi="Meta Pro"/>
                <w:b/>
                <w:bCs/>
                <w:szCs w:val="18"/>
                <w:lang w:eastAsia="en-AU"/>
              </w:rPr>
            </w:pPr>
          </w:p>
        </w:tc>
        <w:tc>
          <w:tcPr>
            <w:tcW w:w="1928" w:type="dxa"/>
            <w:tcBorders>
              <w:top w:val="single" w:sz="4" w:space="0" w:color="auto"/>
              <w:left w:val="nil"/>
              <w:bottom w:val="double" w:sz="6" w:space="0" w:color="auto"/>
              <w:right w:val="nil"/>
            </w:tcBorders>
            <w:shd w:val="clear" w:color="000000" w:fill="C9E3B4"/>
            <w:noWrap/>
            <w:vAlign w:val="center"/>
            <w:hideMark/>
          </w:tcPr>
          <w:p w14:paraId="13F84D4C"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6,120,353 </w:t>
            </w:r>
          </w:p>
        </w:tc>
        <w:tc>
          <w:tcPr>
            <w:tcW w:w="113" w:type="dxa"/>
            <w:tcBorders>
              <w:top w:val="nil"/>
              <w:left w:val="nil"/>
              <w:bottom w:val="nil"/>
              <w:right w:val="nil"/>
            </w:tcBorders>
            <w:shd w:val="clear" w:color="auto" w:fill="auto"/>
            <w:noWrap/>
            <w:vAlign w:val="center"/>
            <w:hideMark/>
          </w:tcPr>
          <w:p w14:paraId="37BA2657" w14:textId="77777777" w:rsidR="00BC5219" w:rsidRPr="008A2B8F" w:rsidRDefault="00BC5219" w:rsidP="00E83802">
            <w:pPr>
              <w:jc w:val="right"/>
              <w:rPr>
                <w:rFonts w:ascii="Meta Pro" w:eastAsia="Times New Roman" w:hAnsi="Meta Pro"/>
                <w:b/>
                <w:bCs/>
                <w:szCs w:val="18"/>
                <w:lang w:eastAsia="en-AU"/>
              </w:rPr>
            </w:pPr>
          </w:p>
        </w:tc>
        <w:tc>
          <w:tcPr>
            <w:tcW w:w="1928" w:type="dxa"/>
            <w:tcBorders>
              <w:top w:val="single" w:sz="4" w:space="0" w:color="auto"/>
              <w:left w:val="nil"/>
              <w:bottom w:val="double" w:sz="6" w:space="0" w:color="auto"/>
              <w:right w:val="nil"/>
            </w:tcBorders>
            <w:shd w:val="clear" w:color="000000" w:fill="C9E3B4"/>
            <w:noWrap/>
            <w:vAlign w:val="center"/>
            <w:hideMark/>
          </w:tcPr>
          <w:p w14:paraId="7B5DA740"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3,276,859 </w:t>
            </w:r>
          </w:p>
        </w:tc>
        <w:tc>
          <w:tcPr>
            <w:tcW w:w="113" w:type="dxa"/>
            <w:tcBorders>
              <w:top w:val="nil"/>
              <w:left w:val="nil"/>
              <w:bottom w:val="nil"/>
              <w:right w:val="nil"/>
            </w:tcBorders>
            <w:shd w:val="clear" w:color="auto" w:fill="auto"/>
            <w:noWrap/>
            <w:vAlign w:val="center"/>
            <w:hideMark/>
          </w:tcPr>
          <w:p w14:paraId="52E645AC" w14:textId="77777777" w:rsidR="00BC5219" w:rsidRPr="008A2B8F" w:rsidRDefault="00BC5219" w:rsidP="00E83802">
            <w:pPr>
              <w:jc w:val="right"/>
              <w:rPr>
                <w:rFonts w:ascii="Meta Pro" w:eastAsia="Times New Roman" w:hAnsi="Meta Pro"/>
                <w:b/>
                <w:bCs/>
                <w:szCs w:val="18"/>
                <w:lang w:eastAsia="en-AU"/>
              </w:rPr>
            </w:pPr>
          </w:p>
        </w:tc>
        <w:tc>
          <w:tcPr>
            <w:tcW w:w="1928" w:type="dxa"/>
            <w:tcBorders>
              <w:top w:val="single" w:sz="4" w:space="0" w:color="auto"/>
              <w:left w:val="nil"/>
              <w:bottom w:val="double" w:sz="6" w:space="0" w:color="auto"/>
              <w:right w:val="nil"/>
            </w:tcBorders>
            <w:shd w:val="clear" w:color="000000" w:fill="C9E3B4"/>
            <w:noWrap/>
            <w:vAlign w:val="center"/>
            <w:hideMark/>
          </w:tcPr>
          <w:p w14:paraId="670BC866"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1,756,236 </w:t>
            </w:r>
          </w:p>
        </w:tc>
        <w:tc>
          <w:tcPr>
            <w:tcW w:w="113" w:type="dxa"/>
            <w:tcBorders>
              <w:top w:val="nil"/>
              <w:left w:val="nil"/>
              <w:bottom w:val="nil"/>
              <w:right w:val="nil"/>
            </w:tcBorders>
            <w:shd w:val="clear" w:color="auto" w:fill="auto"/>
            <w:noWrap/>
            <w:vAlign w:val="center"/>
            <w:hideMark/>
          </w:tcPr>
          <w:p w14:paraId="4A13E6FE" w14:textId="77777777" w:rsidR="00BC5219" w:rsidRPr="008A2B8F" w:rsidRDefault="00BC5219" w:rsidP="00E83802">
            <w:pPr>
              <w:jc w:val="right"/>
              <w:rPr>
                <w:rFonts w:ascii="Meta Pro" w:eastAsia="Times New Roman" w:hAnsi="Meta Pro"/>
                <w:b/>
                <w:bCs/>
                <w:szCs w:val="18"/>
                <w:lang w:eastAsia="en-AU"/>
              </w:rPr>
            </w:pPr>
          </w:p>
        </w:tc>
        <w:tc>
          <w:tcPr>
            <w:tcW w:w="1928" w:type="dxa"/>
            <w:tcBorders>
              <w:top w:val="single" w:sz="4" w:space="0" w:color="auto"/>
              <w:left w:val="nil"/>
              <w:bottom w:val="double" w:sz="6" w:space="0" w:color="auto"/>
              <w:right w:val="nil"/>
            </w:tcBorders>
            <w:shd w:val="clear" w:color="000000" w:fill="C9E3B4"/>
            <w:noWrap/>
            <w:vAlign w:val="center"/>
            <w:hideMark/>
          </w:tcPr>
          <w:p w14:paraId="7891745D"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58,699 </w:t>
            </w:r>
          </w:p>
        </w:tc>
        <w:tc>
          <w:tcPr>
            <w:tcW w:w="113" w:type="dxa"/>
            <w:tcBorders>
              <w:top w:val="nil"/>
              <w:left w:val="nil"/>
              <w:bottom w:val="nil"/>
              <w:right w:val="nil"/>
            </w:tcBorders>
            <w:shd w:val="clear" w:color="auto" w:fill="auto"/>
            <w:noWrap/>
            <w:vAlign w:val="center"/>
            <w:hideMark/>
          </w:tcPr>
          <w:p w14:paraId="7F2A08AB" w14:textId="77777777" w:rsidR="00BC5219" w:rsidRPr="008A2B8F" w:rsidRDefault="00BC5219" w:rsidP="00E83802">
            <w:pPr>
              <w:jc w:val="right"/>
              <w:rPr>
                <w:rFonts w:ascii="Meta Pro" w:eastAsia="Times New Roman" w:hAnsi="Meta Pro"/>
                <w:b/>
                <w:bCs/>
                <w:szCs w:val="18"/>
                <w:lang w:eastAsia="en-AU"/>
              </w:rPr>
            </w:pPr>
          </w:p>
        </w:tc>
        <w:tc>
          <w:tcPr>
            <w:tcW w:w="1928" w:type="dxa"/>
            <w:tcBorders>
              <w:top w:val="single" w:sz="4" w:space="0" w:color="auto"/>
              <w:left w:val="nil"/>
              <w:bottom w:val="double" w:sz="6" w:space="0" w:color="auto"/>
              <w:right w:val="nil"/>
            </w:tcBorders>
            <w:shd w:val="clear" w:color="000000" w:fill="C9E3B4"/>
            <w:noWrap/>
            <w:vAlign w:val="center"/>
            <w:hideMark/>
          </w:tcPr>
          <w:p w14:paraId="0A9B961D"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359,988 </w:t>
            </w:r>
          </w:p>
        </w:tc>
        <w:tc>
          <w:tcPr>
            <w:tcW w:w="113" w:type="dxa"/>
            <w:tcBorders>
              <w:top w:val="nil"/>
              <w:left w:val="nil"/>
              <w:bottom w:val="nil"/>
              <w:right w:val="nil"/>
            </w:tcBorders>
            <w:shd w:val="clear" w:color="auto" w:fill="auto"/>
            <w:noWrap/>
            <w:vAlign w:val="center"/>
            <w:hideMark/>
          </w:tcPr>
          <w:p w14:paraId="0DDA921B" w14:textId="77777777" w:rsidR="00BC5219" w:rsidRPr="008A2B8F" w:rsidRDefault="00BC5219" w:rsidP="00E83802">
            <w:pPr>
              <w:jc w:val="right"/>
              <w:rPr>
                <w:rFonts w:ascii="Meta Pro" w:eastAsia="Times New Roman" w:hAnsi="Meta Pro"/>
                <w:b/>
                <w:bCs/>
                <w:szCs w:val="18"/>
                <w:lang w:eastAsia="en-AU"/>
              </w:rPr>
            </w:pPr>
          </w:p>
        </w:tc>
        <w:tc>
          <w:tcPr>
            <w:tcW w:w="1928" w:type="dxa"/>
            <w:tcBorders>
              <w:top w:val="single" w:sz="4" w:space="0" w:color="auto"/>
              <w:left w:val="nil"/>
              <w:bottom w:val="double" w:sz="6" w:space="0" w:color="auto"/>
              <w:right w:val="nil"/>
            </w:tcBorders>
            <w:shd w:val="clear" w:color="000000" w:fill="C9E3B4"/>
            <w:noWrap/>
            <w:vAlign w:val="center"/>
            <w:hideMark/>
          </w:tcPr>
          <w:p w14:paraId="1523D8CC"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272,805 </w:t>
            </w:r>
          </w:p>
        </w:tc>
        <w:tc>
          <w:tcPr>
            <w:tcW w:w="113" w:type="dxa"/>
            <w:tcBorders>
              <w:top w:val="nil"/>
              <w:left w:val="nil"/>
              <w:bottom w:val="nil"/>
              <w:right w:val="nil"/>
            </w:tcBorders>
            <w:shd w:val="clear" w:color="auto" w:fill="auto"/>
            <w:noWrap/>
            <w:vAlign w:val="center"/>
            <w:hideMark/>
          </w:tcPr>
          <w:p w14:paraId="1B40CC6C" w14:textId="77777777" w:rsidR="00BC5219" w:rsidRPr="008A2B8F" w:rsidRDefault="00BC5219" w:rsidP="00E83802">
            <w:pPr>
              <w:jc w:val="right"/>
              <w:rPr>
                <w:rFonts w:ascii="Meta Pro" w:eastAsia="Times New Roman" w:hAnsi="Meta Pro"/>
                <w:b/>
                <w:bCs/>
                <w:szCs w:val="18"/>
                <w:lang w:eastAsia="en-AU"/>
              </w:rPr>
            </w:pPr>
          </w:p>
        </w:tc>
        <w:tc>
          <w:tcPr>
            <w:tcW w:w="1928" w:type="dxa"/>
            <w:tcBorders>
              <w:top w:val="single" w:sz="4" w:space="0" w:color="auto"/>
              <w:left w:val="nil"/>
              <w:bottom w:val="double" w:sz="6" w:space="0" w:color="auto"/>
              <w:right w:val="nil"/>
            </w:tcBorders>
            <w:shd w:val="clear" w:color="000000" w:fill="C9E3B4"/>
            <w:noWrap/>
            <w:vAlign w:val="center"/>
            <w:hideMark/>
          </w:tcPr>
          <w:p w14:paraId="1FEF1B8F"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14,097,645 </w:t>
            </w:r>
          </w:p>
        </w:tc>
      </w:tr>
      <w:tr w:rsidR="00BC5219" w:rsidRPr="008A2B8F" w14:paraId="6CDDB0D7" w14:textId="77777777" w:rsidTr="00E83802">
        <w:trPr>
          <w:trHeight w:val="113"/>
        </w:trPr>
        <w:tc>
          <w:tcPr>
            <w:tcW w:w="9072" w:type="dxa"/>
            <w:tcBorders>
              <w:top w:val="nil"/>
              <w:left w:val="nil"/>
              <w:bottom w:val="nil"/>
              <w:right w:val="nil"/>
            </w:tcBorders>
            <w:shd w:val="clear" w:color="auto" w:fill="auto"/>
            <w:noWrap/>
            <w:vAlign w:val="center"/>
            <w:hideMark/>
          </w:tcPr>
          <w:p w14:paraId="4A3627AD" w14:textId="77777777" w:rsidR="00BC5219" w:rsidRPr="008A2B8F" w:rsidRDefault="00BC5219" w:rsidP="00E83802">
            <w:pPr>
              <w:jc w:val="right"/>
              <w:rPr>
                <w:rFonts w:ascii="Meta Pro" w:eastAsia="Times New Roman" w:hAnsi="Meta Pro"/>
                <w:b/>
                <w:bCs/>
                <w:szCs w:val="18"/>
                <w:lang w:eastAsia="en-AU"/>
              </w:rPr>
            </w:pPr>
          </w:p>
        </w:tc>
        <w:tc>
          <w:tcPr>
            <w:tcW w:w="1928" w:type="dxa"/>
            <w:tcBorders>
              <w:top w:val="nil"/>
              <w:left w:val="nil"/>
              <w:bottom w:val="nil"/>
              <w:right w:val="nil"/>
            </w:tcBorders>
            <w:shd w:val="clear" w:color="auto" w:fill="auto"/>
            <w:noWrap/>
            <w:vAlign w:val="center"/>
            <w:hideMark/>
          </w:tcPr>
          <w:p w14:paraId="1A9D0339"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1491605A" w14:textId="77777777" w:rsidR="00BC5219" w:rsidRPr="008A2B8F" w:rsidRDefault="00BC5219" w:rsidP="00E83802">
            <w:pP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282A0A7A"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6FE0C37B" w14:textId="77777777" w:rsidR="00BC5219" w:rsidRPr="008A2B8F" w:rsidRDefault="00BC5219" w:rsidP="00E83802">
            <w:pP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1CB84BBC"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653E1D1F" w14:textId="77777777" w:rsidR="00BC5219" w:rsidRPr="008A2B8F" w:rsidRDefault="00BC5219" w:rsidP="00E83802">
            <w:pP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1AF02673"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09FFCABE" w14:textId="77777777" w:rsidR="00BC5219" w:rsidRPr="008A2B8F" w:rsidRDefault="00BC5219" w:rsidP="00E83802">
            <w:pP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3511A102"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005A963C" w14:textId="77777777" w:rsidR="00BC5219" w:rsidRPr="008A2B8F" w:rsidRDefault="00BC5219" w:rsidP="00E83802">
            <w:pP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2E421A5E"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38FA6630" w14:textId="77777777" w:rsidR="00BC5219" w:rsidRPr="008A2B8F" w:rsidRDefault="00BC5219" w:rsidP="00E83802">
            <w:pP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792EFFB9"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1B155691" w14:textId="77777777" w:rsidR="00BC5219" w:rsidRPr="008A2B8F" w:rsidRDefault="00BC5219" w:rsidP="00E83802">
            <w:pP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1CA6C3FB"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44B93CB7" w14:textId="77777777" w:rsidR="00BC5219" w:rsidRPr="008A2B8F" w:rsidRDefault="00BC5219" w:rsidP="00E83802">
            <w:pP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115B0BBB" w14:textId="77777777" w:rsidR="00BC5219" w:rsidRPr="008A2B8F" w:rsidRDefault="00BC5219" w:rsidP="00E83802">
            <w:pPr>
              <w:rPr>
                <w:rFonts w:ascii="Meta Pro" w:eastAsia="Times New Roman" w:hAnsi="Meta Pro" w:cs="Times New Roman"/>
                <w:sz w:val="20"/>
                <w:szCs w:val="20"/>
                <w:lang w:eastAsia="en-AU"/>
              </w:rPr>
            </w:pPr>
          </w:p>
        </w:tc>
      </w:tr>
      <w:tr w:rsidR="00BC5219" w:rsidRPr="008A2B8F" w14:paraId="6649578A" w14:textId="77777777" w:rsidTr="00E83802">
        <w:trPr>
          <w:trHeight w:val="113"/>
        </w:trPr>
        <w:tc>
          <w:tcPr>
            <w:tcW w:w="9072" w:type="dxa"/>
            <w:tcBorders>
              <w:top w:val="nil"/>
              <w:left w:val="nil"/>
              <w:bottom w:val="nil"/>
              <w:right w:val="nil"/>
            </w:tcBorders>
            <w:shd w:val="clear" w:color="auto" w:fill="auto"/>
            <w:noWrap/>
            <w:vAlign w:val="bottom"/>
            <w:hideMark/>
          </w:tcPr>
          <w:p w14:paraId="0FD612E2"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Liabilities</w:t>
            </w:r>
          </w:p>
        </w:tc>
        <w:tc>
          <w:tcPr>
            <w:tcW w:w="1928" w:type="dxa"/>
            <w:tcBorders>
              <w:top w:val="nil"/>
              <w:left w:val="nil"/>
              <w:bottom w:val="nil"/>
              <w:right w:val="nil"/>
            </w:tcBorders>
            <w:shd w:val="clear" w:color="auto" w:fill="auto"/>
            <w:noWrap/>
            <w:vAlign w:val="bottom"/>
            <w:hideMark/>
          </w:tcPr>
          <w:p w14:paraId="229F156F" w14:textId="77777777" w:rsidR="00BC5219" w:rsidRPr="008A2B8F" w:rsidRDefault="00BC5219" w:rsidP="00E83802">
            <w:pPr>
              <w:rPr>
                <w:rFonts w:ascii="Meta Pro" w:eastAsia="Times New Roman" w:hAnsi="Meta Pro"/>
                <w:b/>
                <w:bCs/>
                <w:szCs w:val="18"/>
                <w:lang w:eastAsia="en-AU"/>
              </w:rPr>
            </w:pPr>
          </w:p>
        </w:tc>
        <w:tc>
          <w:tcPr>
            <w:tcW w:w="113" w:type="dxa"/>
            <w:tcBorders>
              <w:top w:val="nil"/>
              <w:left w:val="nil"/>
              <w:bottom w:val="nil"/>
              <w:right w:val="nil"/>
            </w:tcBorders>
            <w:shd w:val="clear" w:color="auto" w:fill="auto"/>
            <w:noWrap/>
            <w:vAlign w:val="center"/>
            <w:hideMark/>
          </w:tcPr>
          <w:p w14:paraId="4C06190B" w14:textId="77777777" w:rsidR="00BC5219" w:rsidRPr="008A2B8F" w:rsidRDefault="00BC5219" w:rsidP="00E83802">
            <w:pP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bottom"/>
            <w:hideMark/>
          </w:tcPr>
          <w:p w14:paraId="20FB8D0B"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6D5EB4DD" w14:textId="77777777" w:rsidR="00BC5219" w:rsidRPr="008A2B8F" w:rsidRDefault="00BC5219" w:rsidP="00E83802">
            <w:pP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bottom"/>
            <w:hideMark/>
          </w:tcPr>
          <w:p w14:paraId="654D6244"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bottom"/>
            <w:hideMark/>
          </w:tcPr>
          <w:p w14:paraId="64BFBEC4" w14:textId="77777777" w:rsidR="00BC5219" w:rsidRPr="008A2B8F" w:rsidRDefault="00BC5219" w:rsidP="00E83802">
            <w:pP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bottom"/>
            <w:hideMark/>
          </w:tcPr>
          <w:p w14:paraId="2B064CE8"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bottom"/>
            <w:hideMark/>
          </w:tcPr>
          <w:p w14:paraId="2BC122BF" w14:textId="77777777" w:rsidR="00BC5219" w:rsidRPr="008A2B8F" w:rsidRDefault="00BC5219" w:rsidP="00E83802">
            <w:pP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bottom"/>
            <w:hideMark/>
          </w:tcPr>
          <w:p w14:paraId="2B5EB149"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bottom"/>
            <w:hideMark/>
          </w:tcPr>
          <w:p w14:paraId="6AC40453" w14:textId="77777777" w:rsidR="00BC5219" w:rsidRPr="008A2B8F" w:rsidRDefault="00BC5219" w:rsidP="00E83802">
            <w:pP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bottom"/>
            <w:hideMark/>
          </w:tcPr>
          <w:p w14:paraId="7CE6D6F0"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bottom"/>
            <w:hideMark/>
          </w:tcPr>
          <w:p w14:paraId="3ED0BFE1" w14:textId="77777777" w:rsidR="00BC5219" w:rsidRPr="008A2B8F" w:rsidRDefault="00BC5219" w:rsidP="00E83802">
            <w:pP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bottom"/>
            <w:hideMark/>
          </w:tcPr>
          <w:p w14:paraId="695DFCF8"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bottom"/>
            <w:hideMark/>
          </w:tcPr>
          <w:p w14:paraId="55BE94F4" w14:textId="77777777" w:rsidR="00BC5219" w:rsidRPr="008A2B8F" w:rsidRDefault="00BC5219" w:rsidP="00E83802">
            <w:pP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bottom"/>
            <w:hideMark/>
          </w:tcPr>
          <w:p w14:paraId="0B652CD6"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bottom"/>
            <w:hideMark/>
          </w:tcPr>
          <w:p w14:paraId="4375B933" w14:textId="77777777" w:rsidR="00BC5219" w:rsidRPr="008A2B8F" w:rsidRDefault="00BC5219" w:rsidP="00E83802">
            <w:pP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bottom"/>
            <w:hideMark/>
          </w:tcPr>
          <w:p w14:paraId="164EC0DB" w14:textId="77777777" w:rsidR="00BC5219" w:rsidRPr="008A2B8F" w:rsidRDefault="00BC5219" w:rsidP="00E83802">
            <w:pPr>
              <w:rPr>
                <w:rFonts w:ascii="Meta Pro" w:eastAsia="Times New Roman" w:hAnsi="Meta Pro" w:cs="Times New Roman"/>
                <w:sz w:val="20"/>
                <w:szCs w:val="20"/>
                <w:lang w:eastAsia="en-AU"/>
              </w:rPr>
            </w:pPr>
          </w:p>
        </w:tc>
      </w:tr>
      <w:tr w:rsidR="00BC5219" w:rsidRPr="008A2B8F" w14:paraId="3C25B2EE" w14:textId="77777777" w:rsidTr="00E83802">
        <w:trPr>
          <w:trHeight w:val="57"/>
        </w:trPr>
        <w:tc>
          <w:tcPr>
            <w:tcW w:w="9072" w:type="dxa"/>
            <w:tcBorders>
              <w:top w:val="nil"/>
              <w:left w:val="nil"/>
              <w:bottom w:val="nil"/>
              <w:right w:val="nil"/>
            </w:tcBorders>
            <w:shd w:val="clear" w:color="auto" w:fill="auto"/>
            <w:noWrap/>
            <w:vAlign w:val="center"/>
            <w:hideMark/>
          </w:tcPr>
          <w:p w14:paraId="26B03C00" w14:textId="77777777" w:rsidR="00BC5219" w:rsidRPr="008A2B8F" w:rsidRDefault="00BC5219" w:rsidP="00E83802">
            <w:pP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51FA90EF"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1496FEDD" w14:textId="77777777" w:rsidR="00BC5219" w:rsidRPr="008A2B8F" w:rsidRDefault="00BC5219" w:rsidP="00E83802">
            <w:pP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7FBC162F"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6DAC083A" w14:textId="77777777" w:rsidR="00BC5219" w:rsidRPr="008A2B8F" w:rsidRDefault="00BC5219" w:rsidP="00E83802">
            <w:pPr>
              <w:jc w:val="cente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7BC47C59"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3BE35619" w14:textId="77777777" w:rsidR="00BC5219" w:rsidRPr="008A2B8F" w:rsidRDefault="00BC5219" w:rsidP="00E83802">
            <w:pPr>
              <w:jc w:val="cente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1B6AC8FD"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6AAD4575" w14:textId="77777777" w:rsidR="00BC5219" w:rsidRPr="008A2B8F" w:rsidRDefault="00BC5219" w:rsidP="00E83802">
            <w:pPr>
              <w:jc w:val="cente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144E9883"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263D887F" w14:textId="77777777" w:rsidR="00BC5219" w:rsidRPr="008A2B8F" w:rsidRDefault="00BC5219" w:rsidP="00E83802">
            <w:pPr>
              <w:jc w:val="cente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21AA3EBD"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1B35A0E5" w14:textId="77777777" w:rsidR="00BC5219" w:rsidRPr="008A2B8F" w:rsidRDefault="00BC5219" w:rsidP="00E83802">
            <w:pPr>
              <w:jc w:val="cente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736A2890"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4AA2FF11" w14:textId="77777777" w:rsidR="00BC5219" w:rsidRPr="008A2B8F" w:rsidRDefault="00BC5219" w:rsidP="00E83802">
            <w:pPr>
              <w:jc w:val="cente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6A201899" w14:textId="77777777" w:rsidR="00BC5219" w:rsidRPr="008A2B8F" w:rsidRDefault="00BC5219" w:rsidP="00E83802">
            <w:pPr>
              <w:rPr>
                <w:rFonts w:ascii="Meta Pro" w:eastAsia="Times New Roman" w:hAnsi="Meta Pro" w:cs="Times New Roman"/>
                <w:sz w:val="20"/>
                <w:szCs w:val="20"/>
                <w:lang w:eastAsia="en-AU"/>
              </w:rPr>
            </w:pPr>
          </w:p>
        </w:tc>
        <w:tc>
          <w:tcPr>
            <w:tcW w:w="113" w:type="dxa"/>
            <w:tcBorders>
              <w:top w:val="nil"/>
              <w:left w:val="nil"/>
              <w:bottom w:val="nil"/>
              <w:right w:val="nil"/>
            </w:tcBorders>
            <w:shd w:val="clear" w:color="auto" w:fill="auto"/>
            <w:noWrap/>
            <w:vAlign w:val="center"/>
            <w:hideMark/>
          </w:tcPr>
          <w:p w14:paraId="6C5C9539" w14:textId="77777777" w:rsidR="00BC5219" w:rsidRPr="008A2B8F" w:rsidRDefault="00BC5219" w:rsidP="00E83802">
            <w:pPr>
              <w:jc w:val="center"/>
              <w:rPr>
                <w:rFonts w:ascii="Meta Pro" w:eastAsia="Times New Roman" w:hAnsi="Meta Pro" w:cs="Times New Roman"/>
                <w:sz w:val="20"/>
                <w:szCs w:val="20"/>
                <w:lang w:eastAsia="en-AU"/>
              </w:rPr>
            </w:pPr>
          </w:p>
        </w:tc>
        <w:tc>
          <w:tcPr>
            <w:tcW w:w="1928" w:type="dxa"/>
            <w:tcBorders>
              <w:top w:val="nil"/>
              <w:left w:val="nil"/>
              <w:bottom w:val="nil"/>
              <w:right w:val="nil"/>
            </w:tcBorders>
            <w:shd w:val="clear" w:color="auto" w:fill="auto"/>
            <w:noWrap/>
            <w:vAlign w:val="center"/>
            <w:hideMark/>
          </w:tcPr>
          <w:p w14:paraId="36D59E46" w14:textId="77777777" w:rsidR="00BC5219" w:rsidRPr="008A2B8F" w:rsidRDefault="00BC5219" w:rsidP="00E83802">
            <w:pPr>
              <w:rPr>
                <w:rFonts w:ascii="Meta Pro" w:eastAsia="Times New Roman" w:hAnsi="Meta Pro" w:cs="Times New Roman"/>
                <w:sz w:val="20"/>
                <w:szCs w:val="20"/>
                <w:lang w:eastAsia="en-AU"/>
              </w:rPr>
            </w:pPr>
          </w:p>
        </w:tc>
      </w:tr>
      <w:tr w:rsidR="00BC5219" w:rsidRPr="008A2B8F" w14:paraId="67C57C99" w14:textId="77777777" w:rsidTr="00E83802">
        <w:trPr>
          <w:trHeight w:val="23"/>
        </w:trPr>
        <w:tc>
          <w:tcPr>
            <w:tcW w:w="9072" w:type="dxa"/>
            <w:tcBorders>
              <w:top w:val="nil"/>
              <w:left w:val="nil"/>
              <w:bottom w:val="nil"/>
              <w:right w:val="nil"/>
            </w:tcBorders>
            <w:shd w:val="clear" w:color="auto" w:fill="auto"/>
            <w:vAlign w:val="center"/>
            <w:hideMark/>
          </w:tcPr>
          <w:p w14:paraId="0D4E2397"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Financial liabilities (refer to Note 19)</w:t>
            </w:r>
          </w:p>
        </w:tc>
        <w:tc>
          <w:tcPr>
            <w:tcW w:w="1928" w:type="dxa"/>
            <w:tcBorders>
              <w:top w:val="nil"/>
              <w:left w:val="nil"/>
              <w:bottom w:val="nil"/>
              <w:right w:val="nil"/>
            </w:tcBorders>
            <w:shd w:val="clear" w:color="000000" w:fill="C9E3B4"/>
            <w:noWrap/>
            <w:vAlign w:val="center"/>
            <w:hideMark/>
          </w:tcPr>
          <w:p w14:paraId="09B80424"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229,522 </w:t>
            </w:r>
          </w:p>
        </w:tc>
        <w:tc>
          <w:tcPr>
            <w:tcW w:w="113" w:type="dxa"/>
            <w:tcBorders>
              <w:top w:val="nil"/>
              <w:left w:val="nil"/>
              <w:bottom w:val="nil"/>
              <w:right w:val="nil"/>
            </w:tcBorders>
            <w:shd w:val="clear" w:color="auto" w:fill="auto"/>
            <w:noWrap/>
            <w:vAlign w:val="center"/>
            <w:hideMark/>
          </w:tcPr>
          <w:p w14:paraId="738399F7"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1AB67E1C"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394,693 </w:t>
            </w:r>
          </w:p>
        </w:tc>
        <w:tc>
          <w:tcPr>
            <w:tcW w:w="113" w:type="dxa"/>
            <w:tcBorders>
              <w:top w:val="nil"/>
              <w:left w:val="nil"/>
              <w:bottom w:val="nil"/>
              <w:right w:val="nil"/>
            </w:tcBorders>
            <w:shd w:val="clear" w:color="auto" w:fill="auto"/>
            <w:noWrap/>
            <w:vAlign w:val="center"/>
            <w:hideMark/>
          </w:tcPr>
          <w:p w14:paraId="6610C8DE"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2CF6DE8A"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13" w:type="dxa"/>
            <w:tcBorders>
              <w:top w:val="nil"/>
              <w:left w:val="nil"/>
              <w:bottom w:val="nil"/>
              <w:right w:val="nil"/>
            </w:tcBorders>
            <w:shd w:val="clear" w:color="auto" w:fill="auto"/>
            <w:noWrap/>
            <w:vAlign w:val="center"/>
            <w:hideMark/>
          </w:tcPr>
          <w:p w14:paraId="15C43192"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22AE74EC"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13" w:type="dxa"/>
            <w:tcBorders>
              <w:top w:val="nil"/>
              <w:left w:val="nil"/>
              <w:bottom w:val="nil"/>
              <w:right w:val="nil"/>
            </w:tcBorders>
            <w:shd w:val="clear" w:color="auto" w:fill="auto"/>
            <w:noWrap/>
            <w:vAlign w:val="center"/>
            <w:hideMark/>
          </w:tcPr>
          <w:p w14:paraId="19C85522"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3576B332"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13" w:type="dxa"/>
            <w:tcBorders>
              <w:top w:val="nil"/>
              <w:left w:val="nil"/>
              <w:bottom w:val="nil"/>
              <w:right w:val="nil"/>
            </w:tcBorders>
            <w:shd w:val="clear" w:color="auto" w:fill="auto"/>
            <w:noWrap/>
            <w:vAlign w:val="center"/>
            <w:hideMark/>
          </w:tcPr>
          <w:p w14:paraId="25C567B2"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2127EC09"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13" w:type="dxa"/>
            <w:tcBorders>
              <w:top w:val="nil"/>
              <w:left w:val="nil"/>
              <w:bottom w:val="nil"/>
              <w:right w:val="nil"/>
            </w:tcBorders>
            <w:shd w:val="clear" w:color="auto" w:fill="auto"/>
            <w:noWrap/>
            <w:vAlign w:val="center"/>
            <w:hideMark/>
          </w:tcPr>
          <w:p w14:paraId="1396DCFB"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1DA83625"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13" w:type="dxa"/>
            <w:tcBorders>
              <w:top w:val="nil"/>
              <w:left w:val="nil"/>
              <w:bottom w:val="nil"/>
              <w:right w:val="nil"/>
            </w:tcBorders>
            <w:shd w:val="clear" w:color="auto" w:fill="auto"/>
            <w:noWrap/>
            <w:vAlign w:val="center"/>
            <w:hideMark/>
          </w:tcPr>
          <w:p w14:paraId="5931DC51"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68DDF613"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5,851 </w:t>
            </w:r>
          </w:p>
        </w:tc>
        <w:tc>
          <w:tcPr>
            <w:tcW w:w="113" w:type="dxa"/>
            <w:tcBorders>
              <w:top w:val="nil"/>
              <w:left w:val="nil"/>
              <w:bottom w:val="nil"/>
              <w:right w:val="nil"/>
            </w:tcBorders>
            <w:shd w:val="clear" w:color="auto" w:fill="auto"/>
            <w:noWrap/>
            <w:vAlign w:val="center"/>
            <w:hideMark/>
          </w:tcPr>
          <w:p w14:paraId="26363143"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080CA292"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630,066 </w:t>
            </w:r>
          </w:p>
        </w:tc>
      </w:tr>
      <w:tr w:rsidR="00BC5219" w:rsidRPr="008A2B8F" w14:paraId="302E2C47" w14:textId="77777777" w:rsidTr="00E83802">
        <w:trPr>
          <w:trHeight w:val="23"/>
        </w:trPr>
        <w:tc>
          <w:tcPr>
            <w:tcW w:w="9072" w:type="dxa"/>
            <w:tcBorders>
              <w:top w:val="nil"/>
              <w:left w:val="nil"/>
              <w:bottom w:val="nil"/>
              <w:right w:val="nil"/>
            </w:tcBorders>
            <w:shd w:val="clear" w:color="auto" w:fill="auto"/>
            <w:vAlign w:val="center"/>
            <w:hideMark/>
          </w:tcPr>
          <w:p w14:paraId="1E49F750"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Unearned revenue</w:t>
            </w:r>
          </w:p>
        </w:tc>
        <w:tc>
          <w:tcPr>
            <w:tcW w:w="1928" w:type="dxa"/>
            <w:tcBorders>
              <w:top w:val="nil"/>
              <w:left w:val="nil"/>
              <w:bottom w:val="nil"/>
              <w:right w:val="nil"/>
            </w:tcBorders>
            <w:shd w:val="clear" w:color="000000" w:fill="C9E3B4"/>
            <w:noWrap/>
            <w:vAlign w:val="center"/>
            <w:hideMark/>
          </w:tcPr>
          <w:p w14:paraId="16A189F6"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13" w:type="dxa"/>
            <w:tcBorders>
              <w:top w:val="nil"/>
              <w:left w:val="nil"/>
              <w:bottom w:val="nil"/>
              <w:right w:val="nil"/>
            </w:tcBorders>
            <w:shd w:val="clear" w:color="auto" w:fill="auto"/>
            <w:noWrap/>
            <w:vAlign w:val="center"/>
            <w:hideMark/>
          </w:tcPr>
          <w:p w14:paraId="4E366A4C"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1898CDD6"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13" w:type="dxa"/>
            <w:tcBorders>
              <w:top w:val="nil"/>
              <w:left w:val="nil"/>
              <w:bottom w:val="nil"/>
              <w:right w:val="nil"/>
            </w:tcBorders>
            <w:shd w:val="clear" w:color="auto" w:fill="auto"/>
            <w:noWrap/>
            <w:vAlign w:val="center"/>
            <w:hideMark/>
          </w:tcPr>
          <w:p w14:paraId="391D579F"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35B7302D"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3,993,889 </w:t>
            </w:r>
          </w:p>
        </w:tc>
        <w:tc>
          <w:tcPr>
            <w:tcW w:w="113" w:type="dxa"/>
            <w:tcBorders>
              <w:top w:val="nil"/>
              <w:left w:val="nil"/>
              <w:bottom w:val="nil"/>
              <w:right w:val="nil"/>
            </w:tcBorders>
            <w:shd w:val="clear" w:color="auto" w:fill="auto"/>
            <w:noWrap/>
            <w:vAlign w:val="center"/>
            <w:hideMark/>
          </w:tcPr>
          <w:p w14:paraId="4FBFF7C7"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1291676F"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1,678,413 </w:t>
            </w:r>
          </w:p>
        </w:tc>
        <w:tc>
          <w:tcPr>
            <w:tcW w:w="113" w:type="dxa"/>
            <w:tcBorders>
              <w:top w:val="nil"/>
              <w:left w:val="nil"/>
              <w:bottom w:val="nil"/>
              <w:right w:val="nil"/>
            </w:tcBorders>
            <w:shd w:val="clear" w:color="auto" w:fill="auto"/>
            <w:noWrap/>
            <w:vAlign w:val="center"/>
            <w:hideMark/>
          </w:tcPr>
          <w:p w14:paraId="6F39D481"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189A4822"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1,324,476 </w:t>
            </w:r>
          </w:p>
        </w:tc>
        <w:tc>
          <w:tcPr>
            <w:tcW w:w="113" w:type="dxa"/>
            <w:tcBorders>
              <w:top w:val="nil"/>
              <w:left w:val="nil"/>
              <w:bottom w:val="nil"/>
              <w:right w:val="nil"/>
            </w:tcBorders>
            <w:shd w:val="clear" w:color="auto" w:fill="auto"/>
            <w:noWrap/>
            <w:vAlign w:val="center"/>
            <w:hideMark/>
          </w:tcPr>
          <w:p w14:paraId="71CE1026"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094E6CCE"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40,977 </w:t>
            </w:r>
          </w:p>
        </w:tc>
        <w:tc>
          <w:tcPr>
            <w:tcW w:w="113" w:type="dxa"/>
            <w:tcBorders>
              <w:top w:val="nil"/>
              <w:left w:val="nil"/>
              <w:bottom w:val="nil"/>
              <w:right w:val="nil"/>
            </w:tcBorders>
            <w:shd w:val="clear" w:color="auto" w:fill="auto"/>
            <w:noWrap/>
            <w:vAlign w:val="center"/>
            <w:hideMark/>
          </w:tcPr>
          <w:p w14:paraId="20B0DD00"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3C1B0B63"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117,559 </w:t>
            </w:r>
          </w:p>
        </w:tc>
        <w:tc>
          <w:tcPr>
            <w:tcW w:w="113" w:type="dxa"/>
            <w:tcBorders>
              <w:top w:val="nil"/>
              <w:left w:val="nil"/>
              <w:bottom w:val="nil"/>
              <w:right w:val="nil"/>
            </w:tcBorders>
            <w:shd w:val="clear" w:color="auto" w:fill="auto"/>
            <w:noWrap/>
            <w:vAlign w:val="center"/>
            <w:hideMark/>
          </w:tcPr>
          <w:p w14:paraId="7490AC41"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6D2D2AE7"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113" w:type="dxa"/>
            <w:tcBorders>
              <w:top w:val="nil"/>
              <w:left w:val="nil"/>
              <w:bottom w:val="nil"/>
              <w:right w:val="nil"/>
            </w:tcBorders>
            <w:shd w:val="clear" w:color="auto" w:fill="auto"/>
            <w:noWrap/>
            <w:vAlign w:val="center"/>
            <w:hideMark/>
          </w:tcPr>
          <w:p w14:paraId="78D3D255" w14:textId="77777777" w:rsidR="00BC5219" w:rsidRPr="008A2B8F" w:rsidRDefault="00BC5219" w:rsidP="00E83802">
            <w:pPr>
              <w:jc w:val="right"/>
              <w:rPr>
                <w:rFonts w:ascii="Meta Pro" w:eastAsia="Times New Roman" w:hAnsi="Meta Pro"/>
                <w:szCs w:val="18"/>
                <w:lang w:eastAsia="en-AU"/>
              </w:rPr>
            </w:pPr>
          </w:p>
        </w:tc>
        <w:tc>
          <w:tcPr>
            <w:tcW w:w="1928" w:type="dxa"/>
            <w:tcBorders>
              <w:top w:val="nil"/>
              <w:left w:val="nil"/>
              <w:bottom w:val="nil"/>
              <w:right w:val="nil"/>
            </w:tcBorders>
            <w:shd w:val="clear" w:color="000000" w:fill="C9E3B4"/>
            <w:noWrap/>
            <w:vAlign w:val="center"/>
            <w:hideMark/>
          </w:tcPr>
          <w:p w14:paraId="7138EECD"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7,155,314 </w:t>
            </w:r>
          </w:p>
        </w:tc>
      </w:tr>
      <w:tr w:rsidR="00BC5219" w:rsidRPr="008A2B8F" w14:paraId="7E520BC4" w14:textId="77777777" w:rsidTr="00E83802">
        <w:trPr>
          <w:trHeight w:val="23"/>
        </w:trPr>
        <w:tc>
          <w:tcPr>
            <w:tcW w:w="9072" w:type="dxa"/>
            <w:tcBorders>
              <w:top w:val="single" w:sz="4" w:space="0" w:color="auto"/>
              <w:left w:val="nil"/>
              <w:bottom w:val="double" w:sz="6" w:space="0" w:color="auto"/>
              <w:right w:val="nil"/>
            </w:tcBorders>
            <w:shd w:val="clear" w:color="auto" w:fill="auto"/>
            <w:noWrap/>
            <w:vAlign w:val="center"/>
            <w:hideMark/>
          </w:tcPr>
          <w:p w14:paraId="766578BB"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Total</w:t>
            </w:r>
          </w:p>
        </w:tc>
        <w:tc>
          <w:tcPr>
            <w:tcW w:w="1928" w:type="dxa"/>
            <w:tcBorders>
              <w:top w:val="single" w:sz="4" w:space="0" w:color="auto"/>
              <w:left w:val="nil"/>
              <w:bottom w:val="double" w:sz="6" w:space="0" w:color="auto"/>
              <w:right w:val="nil"/>
            </w:tcBorders>
            <w:shd w:val="clear" w:color="000000" w:fill="C9E3B4"/>
            <w:noWrap/>
            <w:vAlign w:val="center"/>
            <w:hideMark/>
          </w:tcPr>
          <w:p w14:paraId="2DD58F14"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229,522 </w:t>
            </w:r>
          </w:p>
        </w:tc>
        <w:tc>
          <w:tcPr>
            <w:tcW w:w="113" w:type="dxa"/>
            <w:tcBorders>
              <w:top w:val="nil"/>
              <w:left w:val="nil"/>
              <w:bottom w:val="nil"/>
              <w:right w:val="nil"/>
            </w:tcBorders>
            <w:shd w:val="clear" w:color="auto" w:fill="auto"/>
            <w:noWrap/>
            <w:vAlign w:val="center"/>
            <w:hideMark/>
          </w:tcPr>
          <w:p w14:paraId="74DEB087" w14:textId="77777777" w:rsidR="00BC5219" w:rsidRPr="008A2B8F" w:rsidRDefault="00BC5219" w:rsidP="00E83802">
            <w:pPr>
              <w:jc w:val="right"/>
              <w:rPr>
                <w:rFonts w:ascii="Meta Pro" w:eastAsia="Times New Roman" w:hAnsi="Meta Pro"/>
                <w:b/>
                <w:bCs/>
                <w:szCs w:val="18"/>
                <w:lang w:eastAsia="en-AU"/>
              </w:rPr>
            </w:pPr>
          </w:p>
        </w:tc>
        <w:tc>
          <w:tcPr>
            <w:tcW w:w="1928" w:type="dxa"/>
            <w:tcBorders>
              <w:top w:val="single" w:sz="4" w:space="0" w:color="auto"/>
              <w:left w:val="nil"/>
              <w:bottom w:val="double" w:sz="6" w:space="0" w:color="auto"/>
              <w:right w:val="nil"/>
            </w:tcBorders>
            <w:shd w:val="clear" w:color="000000" w:fill="C9E3B4"/>
            <w:noWrap/>
            <w:vAlign w:val="center"/>
            <w:hideMark/>
          </w:tcPr>
          <w:p w14:paraId="1E272913"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394,693 </w:t>
            </w:r>
          </w:p>
        </w:tc>
        <w:tc>
          <w:tcPr>
            <w:tcW w:w="113" w:type="dxa"/>
            <w:tcBorders>
              <w:top w:val="nil"/>
              <w:left w:val="nil"/>
              <w:bottom w:val="nil"/>
              <w:right w:val="nil"/>
            </w:tcBorders>
            <w:shd w:val="clear" w:color="auto" w:fill="auto"/>
            <w:noWrap/>
            <w:vAlign w:val="center"/>
            <w:hideMark/>
          </w:tcPr>
          <w:p w14:paraId="5F5F8575" w14:textId="77777777" w:rsidR="00BC5219" w:rsidRPr="008A2B8F" w:rsidRDefault="00BC5219" w:rsidP="00E83802">
            <w:pPr>
              <w:jc w:val="right"/>
              <w:rPr>
                <w:rFonts w:ascii="Meta Pro" w:eastAsia="Times New Roman" w:hAnsi="Meta Pro"/>
                <w:b/>
                <w:bCs/>
                <w:szCs w:val="18"/>
                <w:lang w:eastAsia="en-AU"/>
              </w:rPr>
            </w:pPr>
          </w:p>
        </w:tc>
        <w:tc>
          <w:tcPr>
            <w:tcW w:w="1928" w:type="dxa"/>
            <w:tcBorders>
              <w:top w:val="single" w:sz="4" w:space="0" w:color="auto"/>
              <w:left w:val="nil"/>
              <w:bottom w:val="double" w:sz="6" w:space="0" w:color="auto"/>
              <w:right w:val="nil"/>
            </w:tcBorders>
            <w:shd w:val="clear" w:color="000000" w:fill="C9E3B4"/>
            <w:noWrap/>
            <w:vAlign w:val="center"/>
            <w:hideMark/>
          </w:tcPr>
          <w:p w14:paraId="6E8FC540"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3,993,889 </w:t>
            </w:r>
          </w:p>
        </w:tc>
        <w:tc>
          <w:tcPr>
            <w:tcW w:w="113" w:type="dxa"/>
            <w:tcBorders>
              <w:top w:val="nil"/>
              <w:left w:val="nil"/>
              <w:bottom w:val="nil"/>
              <w:right w:val="nil"/>
            </w:tcBorders>
            <w:shd w:val="clear" w:color="auto" w:fill="auto"/>
            <w:noWrap/>
            <w:vAlign w:val="center"/>
            <w:hideMark/>
          </w:tcPr>
          <w:p w14:paraId="1C8F09BC" w14:textId="77777777" w:rsidR="00BC5219" w:rsidRPr="008A2B8F" w:rsidRDefault="00BC5219" w:rsidP="00E83802">
            <w:pPr>
              <w:jc w:val="right"/>
              <w:rPr>
                <w:rFonts w:ascii="Meta Pro" w:eastAsia="Times New Roman" w:hAnsi="Meta Pro"/>
                <w:b/>
                <w:bCs/>
                <w:szCs w:val="18"/>
                <w:lang w:eastAsia="en-AU"/>
              </w:rPr>
            </w:pPr>
          </w:p>
        </w:tc>
        <w:tc>
          <w:tcPr>
            <w:tcW w:w="1928" w:type="dxa"/>
            <w:tcBorders>
              <w:top w:val="single" w:sz="4" w:space="0" w:color="auto"/>
              <w:left w:val="nil"/>
              <w:bottom w:val="double" w:sz="6" w:space="0" w:color="auto"/>
              <w:right w:val="nil"/>
            </w:tcBorders>
            <w:shd w:val="clear" w:color="000000" w:fill="C9E3B4"/>
            <w:noWrap/>
            <w:vAlign w:val="center"/>
            <w:hideMark/>
          </w:tcPr>
          <w:p w14:paraId="367530E9"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1,678,413 </w:t>
            </w:r>
          </w:p>
        </w:tc>
        <w:tc>
          <w:tcPr>
            <w:tcW w:w="113" w:type="dxa"/>
            <w:tcBorders>
              <w:top w:val="nil"/>
              <w:left w:val="nil"/>
              <w:bottom w:val="nil"/>
              <w:right w:val="nil"/>
            </w:tcBorders>
            <w:shd w:val="clear" w:color="auto" w:fill="auto"/>
            <w:noWrap/>
            <w:vAlign w:val="center"/>
            <w:hideMark/>
          </w:tcPr>
          <w:p w14:paraId="48E23CA7" w14:textId="77777777" w:rsidR="00BC5219" w:rsidRPr="008A2B8F" w:rsidRDefault="00BC5219" w:rsidP="00E83802">
            <w:pPr>
              <w:jc w:val="right"/>
              <w:rPr>
                <w:rFonts w:ascii="Meta Pro" w:eastAsia="Times New Roman" w:hAnsi="Meta Pro"/>
                <w:b/>
                <w:bCs/>
                <w:szCs w:val="18"/>
                <w:lang w:eastAsia="en-AU"/>
              </w:rPr>
            </w:pPr>
          </w:p>
        </w:tc>
        <w:tc>
          <w:tcPr>
            <w:tcW w:w="1928" w:type="dxa"/>
            <w:tcBorders>
              <w:top w:val="single" w:sz="4" w:space="0" w:color="auto"/>
              <w:left w:val="nil"/>
              <w:bottom w:val="double" w:sz="6" w:space="0" w:color="auto"/>
              <w:right w:val="nil"/>
            </w:tcBorders>
            <w:shd w:val="clear" w:color="000000" w:fill="C9E3B4"/>
            <w:noWrap/>
            <w:vAlign w:val="center"/>
            <w:hideMark/>
          </w:tcPr>
          <w:p w14:paraId="2A3D9CA0"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1,324,476 </w:t>
            </w:r>
          </w:p>
        </w:tc>
        <w:tc>
          <w:tcPr>
            <w:tcW w:w="113" w:type="dxa"/>
            <w:tcBorders>
              <w:top w:val="nil"/>
              <w:left w:val="nil"/>
              <w:bottom w:val="nil"/>
              <w:right w:val="nil"/>
            </w:tcBorders>
            <w:shd w:val="clear" w:color="auto" w:fill="auto"/>
            <w:noWrap/>
            <w:vAlign w:val="center"/>
            <w:hideMark/>
          </w:tcPr>
          <w:p w14:paraId="18AE6451" w14:textId="77777777" w:rsidR="00BC5219" w:rsidRPr="008A2B8F" w:rsidRDefault="00BC5219" w:rsidP="00E83802">
            <w:pPr>
              <w:jc w:val="right"/>
              <w:rPr>
                <w:rFonts w:ascii="Meta Pro" w:eastAsia="Times New Roman" w:hAnsi="Meta Pro"/>
                <w:b/>
                <w:bCs/>
                <w:szCs w:val="18"/>
                <w:lang w:eastAsia="en-AU"/>
              </w:rPr>
            </w:pPr>
          </w:p>
        </w:tc>
        <w:tc>
          <w:tcPr>
            <w:tcW w:w="1928" w:type="dxa"/>
            <w:tcBorders>
              <w:top w:val="single" w:sz="4" w:space="0" w:color="auto"/>
              <w:left w:val="nil"/>
              <w:bottom w:val="double" w:sz="6" w:space="0" w:color="auto"/>
              <w:right w:val="nil"/>
            </w:tcBorders>
            <w:shd w:val="clear" w:color="000000" w:fill="C9E3B4"/>
            <w:noWrap/>
            <w:vAlign w:val="center"/>
            <w:hideMark/>
          </w:tcPr>
          <w:p w14:paraId="754B481F"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40,977 </w:t>
            </w:r>
          </w:p>
        </w:tc>
        <w:tc>
          <w:tcPr>
            <w:tcW w:w="113" w:type="dxa"/>
            <w:tcBorders>
              <w:top w:val="nil"/>
              <w:left w:val="nil"/>
              <w:bottom w:val="nil"/>
              <w:right w:val="nil"/>
            </w:tcBorders>
            <w:shd w:val="clear" w:color="auto" w:fill="auto"/>
            <w:noWrap/>
            <w:vAlign w:val="center"/>
            <w:hideMark/>
          </w:tcPr>
          <w:p w14:paraId="641ABF27" w14:textId="77777777" w:rsidR="00BC5219" w:rsidRPr="008A2B8F" w:rsidRDefault="00BC5219" w:rsidP="00E83802">
            <w:pPr>
              <w:jc w:val="right"/>
              <w:rPr>
                <w:rFonts w:ascii="Meta Pro" w:eastAsia="Times New Roman" w:hAnsi="Meta Pro"/>
                <w:b/>
                <w:bCs/>
                <w:szCs w:val="18"/>
                <w:lang w:eastAsia="en-AU"/>
              </w:rPr>
            </w:pPr>
          </w:p>
        </w:tc>
        <w:tc>
          <w:tcPr>
            <w:tcW w:w="1928" w:type="dxa"/>
            <w:tcBorders>
              <w:top w:val="single" w:sz="4" w:space="0" w:color="auto"/>
              <w:left w:val="nil"/>
              <w:bottom w:val="double" w:sz="6" w:space="0" w:color="auto"/>
              <w:right w:val="nil"/>
            </w:tcBorders>
            <w:shd w:val="clear" w:color="000000" w:fill="C9E3B4"/>
            <w:noWrap/>
            <w:vAlign w:val="center"/>
            <w:hideMark/>
          </w:tcPr>
          <w:p w14:paraId="7124189A"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117,559 </w:t>
            </w:r>
          </w:p>
        </w:tc>
        <w:tc>
          <w:tcPr>
            <w:tcW w:w="113" w:type="dxa"/>
            <w:tcBorders>
              <w:top w:val="nil"/>
              <w:left w:val="nil"/>
              <w:bottom w:val="nil"/>
              <w:right w:val="nil"/>
            </w:tcBorders>
            <w:shd w:val="clear" w:color="auto" w:fill="auto"/>
            <w:noWrap/>
            <w:vAlign w:val="center"/>
            <w:hideMark/>
          </w:tcPr>
          <w:p w14:paraId="10D0B932" w14:textId="77777777" w:rsidR="00BC5219" w:rsidRPr="008A2B8F" w:rsidRDefault="00BC5219" w:rsidP="00E83802">
            <w:pPr>
              <w:jc w:val="right"/>
              <w:rPr>
                <w:rFonts w:ascii="Meta Pro" w:eastAsia="Times New Roman" w:hAnsi="Meta Pro"/>
                <w:b/>
                <w:bCs/>
                <w:szCs w:val="18"/>
                <w:lang w:eastAsia="en-AU"/>
              </w:rPr>
            </w:pPr>
          </w:p>
        </w:tc>
        <w:tc>
          <w:tcPr>
            <w:tcW w:w="1928" w:type="dxa"/>
            <w:tcBorders>
              <w:top w:val="single" w:sz="4" w:space="0" w:color="auto"/>
              <w:left w:val="nil"/>
              <w:bottom w:val="double" w:sz="6" w:space="0" w:color="auto"/>
              <w:right w:val="nil"/>
            </w:tcBorders>
            <w:shd w:val="clear" w:color="000000" w:fill="C9E3B4"/>
            <w:noWrap/>
            <w:vAlign w:val="center"/>
            <w:hideMark/>
          </w:tcPr>
          <w:p w14:paraId="325D6059"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5,851 </w:t>
            </w:r>
          </w:p>
        </w:tc>
        <w:tc>
          <w:tcPr>
            <w:tcW w:w="113" w:type="dxa"/>
            <w:tcBorders>
              <w:top w:val="nil"/>
              <w:left w:val="nil"/>
              <w:bottom w:val="nil"/>
              <w:right w:val="nil"/>
            </w:tcBorders>
            <w:shd w:val="clear" w:color="auto" w:fill="auto"/>
            <w:noWrap/>
            <w:vAlign w:val="center"/>
            <w:hideMark/>
          </w:tcPr>
          <w:p w14:paraId="4345FE1D" w14:textId="77777777" w:rsidR="00BC5219" w:rsidRPr="008A2B8F" w:rsidRDefault="00BC5219" w:rsidP="00E83802">
            <w:pPr>
              <w:jc w:val="right"/>
              <w:rPr>
                <w:rFonts w:ascii="Meta Pro" w:eastAsia="Times New Roman" w:hAnsi="Meta Pro"/>
                <w:b/>
                <w:bCs/>
                <w:szCs w:val="18"/>
                <w:lang w:eastAsia="en-AU"/>
              </w:rPr>
            </w:pPr>
          </w:p>
        </w:tc>
        <w:tc>
          <w:tcPr>
            <w:tcW w:w="1928" w:type="dxa"/>
            <w:tcBorders>
              <w:top w:val="single" w:sz="4" w:space="0" w:color="auto"/>
              <w:left w:val="nil"/>
              <w:bottom w:val="double" w:sz="6" w:space="0" w:color="auto"/>
              <w:right w:val="nil"/>
            </w:tcBorders>
            <w:shd w:val="clear" w:color="000000" w:fill="C9E3B4"/>
            <w:noWrap/>
            <w:vAlign w:val="center"/>
            <w:hideMark/>
          </w:tcPr>
          <w:p w14:paraId="6F3278D2"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7,785,380 </w:t>
            </w:r>
          </w:p>
        </w:tc>
      </w:tr>
    </w:tbl>
    <w:p w14:paraId="2C9A6B98" w14:textId="77777777" w:rsidR="00BC5219" w:rsidRPr="008A2B8F" w:rsidRDefault="00BC5219" w:rsidP="00BC5219">
      <w:pPr>
        <w:spacing w:before="120"/>
        <w:rPr>
          <w:rFonts w:ascii="Meta Pro" w:eastAsia="Times New Roman" w:hAnsi="Meta Pro"/>
          <w:sz w:val="16"/>
          <w:szCs w:val="16"/>
          <w:lang w:eastAsia="en-AU"/>
        </w:rPr>
      </w:pPr>
      <w:r w:rsidRPr="008A2B8F">
        <w:rPr>
          <w:rFonts w:ascii="Meta Pro" w:eastAsia="Times New Roman" w:hAnsi="Meta Pro"/>
          <w:sz w:val="16"/>
          <w:szCs w:val="16"/>
          <w:lang w:eastAsia="en-AU"/>
        </w:rPr>
        <w:t>* Work in progress relates to the Gold Coast Light Rail Stage 3 assets.</w:t>
      </w:r>
    </w:p>
    <w:p w14:paraId="3B1E76C4" w14:textId="77777777" w:rsidR="00BC5219" w:rsidRPr="008A2B8F" w:rsidRDefault="00BC5219" w:rsidP="00BC5219">
      <w:pPr>
        <w:spacing w:before="60"/>
        <w:rPr>
          <w:rFonts w:ascii="Meta Pro" w:hAnsi="Meta Pro"/>
          <w:sz w:val="16"/>
          <w:szCs w:val="16"/>
          <w:lang w:eastAsia="en-AU"/>
        </w:rPr>
      </w:pPr>
      <w:r w:rsidRPr="008A2B8F">
        <w:rPr>
          <w:rFonts w:ascii="Meta Pro" w:hAnsi="Meta Pro"/>
          <w:sz w:val="16"/>
          <w:szCs w:val="16"/>
          <w:lang w:eastAsia="en-AU"/>
        </w:rPr>
        <w:t>**</w:t>
      </w:r>
      <w:r w:rsidRPr="008A2B8F">
        <w:rPr>
          <w:rFonts w:ascii="Meta Pro" w:hAnsi="Meta Pro"/>
          <w:lang w:eastAsia="en-AU"/>
        </w:rPr>
        <w:t xml:space="preserve"> </w:t>
      </w:r>
      <w:r w:rsidRPr="008A2B8F">
        <w:rPr>
          <w:rFonts w:ascii="Meta Pro" w:hAnsi="Meta Pro"/>
          <w:sz w:val="16"/>
          <w:szCs w:val="16"/>
          <w:lang w:eastAsia="en-AU"/>
        </w:rPr>
        <w:t xml:space="preserve">The department has assessed market sensitivity and fair value movements from the valuation date to 30 June 2023 for its significant assets. Based on the analysis undertaken it was determined that no adjustment to the  </w:t>
      </w:r>
    </w:p>
    <w:p w14:paraId="1ABF2129" w14:textId="77777777" w:rsidR="00BC5219" w:rsidRPr="008A2B8F" w:rsidRDefault="00BC5219" w:rsidP="00BC5219">
      <w:pPr>
        <w:rPr>
          <w:rFonts w:ascii="Meta Pro" w:hAnsi="Meta Pro"/>
          <w:sz w:val="16"/>
          <w:szCs w:val="16"/>
          <w:lang w:eastAsia="en-AU"/>
        </w:rPr>
        <w:sectPr w:rsidR="00BC5219" w:rsidRPr="008A2B8F" w:rsidSect="00544FCC">
          <w:headerReference w:type="default" r:id="rId113"/>
          <w:footerReference w:type="default" r:id="rId114"/>
          <w:pgSz w:w="16838" w:h="11906" w:orient="landscape"/>
          <w:pgMar w:top="851" w:right="851" w:bottom="851" w:left="567" w:header="454" w:footer="454" w:gutter="0"/>
          <w:pgNumType w:start="28"/>
          <w:cols w:space="708"/>
          <w:docGrid w:linePitch="360"/>
        </w:sectPr>
      </w:pPr>
      <w:r w:rsidRPr="008A2B8F">
        <w:rPr>
          <w:rFonts w:ascii="Meta Pro" w:hAnsi="Meta Pro"/>
          <w:sz w:val="16"/>
          <w:szCs w:val="16"/>
          <w:lang w:eastAsia="en-AU"/>
        </w:rPr>
        <w:t xml:space="preserve">      carrying amount of service concession assets was required at 30 June 2023.</w:t>
      </w:r>
    </w:p>
    <w:bookmarkEnd w:id="51"/>
    <w:p w14:paraId="3167E136" w14:textId="77777777" w:rsidR="00BC5219" w:rsidRPr="008A2B8F" w:rsidRDefault="00BC5219" w:rsidP="00BC5219">
      <w:pPr>
        <w:pStyle w:val="Header"/>
        <w:rPr>
          <w:rFonts w:ascii="Meta Pro" w:hAnsi="Meta Pro"/>
          <w:i/>
          <w:iCs/>
          <w:sz w:val="22"/>
        </w:rPr>
      </w:pPr>
      <w:r w:rsidRPr="008A2B8F">
        <w:rPr>
          <w:rFonts w:ascii="Meta Pro" w:hAnsi="Meta Pro"/>
          <w:i/>
          <w:iCs/>
          <w:sz w:val="22"/>
        </w:rPr>
        <w:lastRenderedPageBreak/>
        <w:t>Department of Transport and Main Roads</w:t>
      </w:r>
    </w:p>
    <w:p w14:paraId="79379ABF" w14:textId="5A64DB56" w:rsidR="00BC5219" w:rsidRPr="008A2B8F" w:rsidRDefault="00C42478" w:rsidP="00BC5219">
      <w:pPr>
        <w:pStyle w:val="Header"/>
        <w:tabs>
          <w:tab w:val="clear" w:pos="9072"/>
          <w:tab w:val="center" w:pos="7710"/>
        </w:tabs>
        <w:spacing w:after="60"/>
        <w:rPr>
          <w:rFonts w:ascii="Meta Pro" w:hAnsi="Meta Pro"/>
          <w:sz w:val="22"/>
        </w:rPr>
      </w:pPr>
      <w:r>
        <w:rPr>
          <w:noProof/>
        </w:rPr>
        <mc:AlternateContent>
          <mc:Choice Requires="wps">
            <w:drawing>
              <wp:inline distT="0" distB="0" distL="0" distR="0" wp14:anchorId="4BD5551E" wp14:editId="50319C02">
                <wp:extent cx="9738995" cy="0"/>
                <wp:effectExtent l="0" t="0" r="0" b="0"/>
                <wp:docPr id="12" name="Straight Connector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389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01FE8D6" id="Straight Connector 12" o:spid="_x0000_s1026" alt="&quot;&quot;" style="visibility:visible;mso-wrap-style:square;mso-left-percent:-10001;mso-top-percent:-10001;mso-position-horizontal:absolute;mso-position-horizontal-relative:char;mso-position-vertical:absolute;mso-position-vertical-relative:line;mso-left-percent:-10001;mso-top-percent:-10001" from="0,0" to="766.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" strokecolor="black [3213]" strokeweight=".5pt">
                <v:stroke joinstyle="miter"/>
                <o:lock v:ext="edit" shapetype="f"/>
                <w10:anchorlock/>
              </v:line>
            </w:pict>
          </mc:Fallback>
        </mc:AlternateContent>
      </w:r>
      <w:r w:rsidR="00BC5219" w:rsidRPr="008A2B8F">
        <w:rPr>
          <w:rFonts w:ascii="Meta Pro" w:hAnsi="Meta Pro"/>
          <w:sz w:val="22"/>
        </w:rPr>
        <w:t>Notes to the financial statements 2022–23 (continued)</w:t>
      </w:r>
      <w:r w:rsidR="00BC5219" w:rsidRPr="008A2B8F">
        <w:rPr>
          <w:rFonts w:ascii="Meta Pro" w:hAnsi="Meta Pro"/>
          <w:sz w:val="22"/>
        </w:rPr>
        <w:tab/>
      </w:r>
    </w:p>
    <w:p w14:paraId="65389230" w14:textId="77777777" w:rsidR="00BC5219" w:rsidRPr="008A2B8F" w:rsidRDefault="00BC5219" w:rsidP="00BC5219">
      <w:pPr>
        <w:spacing w:before="280" w:after="120"/>
        <w:rPr>
          <w:rFonts w:ascii="Meta Pro" w:eastAsia="Times New Roman" w:hAnsi="Meta Pro"/>
          <w:b/>
          <w:bCs/>
          <w:lang w:eastAsia="en-AU"/>
        </w:rPr>
      </w:pPr>
      <w:r w:rsidRPr="008A2B8F">
        <w:rPr>
          <w:rFonts w:ascii="Meta Pro" w:eastAsia="Times New Roman" w:hAnsi="Meta Pro"/>
          <w:b/>
          <w:bCs/>
          <w:lang w:eastAsia="en-AU"/>
        </w:rPr>
        <w:t>16   PUBLIC PRIVATE PARTNERSHIPS (continued)</w:t>
      </w:r>
    </w:p>
    <w:p w14:paraId="464D1E91" w14:textId="77777777" w:rsidR="00BC5219" w:rsidRPr="001D6D48" w:rsidRDefault="00BC5219" w:rsidP="00BC5219">
      <w:pPr>
        <w:spacing w:line="17" w:lineRule="auto"/>
        <w:rPr>
          <w:rFonts w:ascii="Meta Pro" w:hAnsi="Meta Pro" w:cstheme="minorBidi"/>
        </w:rPr>
      </w:pPr>
    </w:p>
    <w:tbl>
      <w:tblPr>
        <w:tblW w:w="0" w:type="auto"/>
        <w:tblCellMar>
          <w:left w:w="0" w:type="dxa"/>
        </w:tblCellMar>
        <w:tblLook w:val="04A0" w:firstRow="1" w:lastRow="0" w:firstColumn="1" w:lastColumn="0" w:noHBand="0" w:noVBand="1"/>
      </w:tblPr>
      <w:tblGrid>
        <w:gridCol w:w="4855"/>
        <w:gridCol w:w="1052"/>
        <w:gridCol w:w="113"/>
        <w:gridCol w:w="1162"/>
        <w:gridCol w:w="113"/>
        <w:gridCol w:w="1108"/>
        <w:gridCol w:w="113"/>
        <w:gridCol w:w="1093"/>
        <w:gridCol w:w="113"/>
        <w:gridCol w:w="1076"/>
        <w:gridCol w:w="113"/>
        <w:gridCol w:w="19"/>
        <w:gridCol w:w="938"/>
        <w:gridCol w:w="113"/>
        <w:gridCol w:w="1054"/>
        <w:gridCol w:w="113"/>
        <w:gridCol w:w="1031"/>
        <w:gridCol w:w="113"/>
        <w:gridCol w:w="1128"/>
      </w:tblGrid>
      <w:tr w:rsidR="00BC5219" w:rsidRPr="001D6D48" w14:paraId="1E23F711" w14:textId="77777777" w:rsidTr="00E83802">
        <w:trPr>
          <w:gridAfter w:val="7"/>
          <w:wAfter w:w="2617" w:type="dxa"/>
          <w:trHeight w:val="23"/>
        </w:trPr>
        <w:tc>
          <w:tcPr>
            <w:tcW w:w="5840" w:type="dxa"/>
            <w:gridSpan w:val="12"/>
            <w:tcBorders>
              <w:top w:val="nil"/>
              <w:left w:val="nil"/>
              <w:bottom w:val="nil"/>
              <w:right w:val="nil"/>
            </w:tcBorders>
            <w:shd w:val="clear" w:color="auto" w:fill="auto"/>
            <w:noWrap/>
            <w:vAlign w:val="center"/>
            <w:hideMark/>
          </w:tcPr>
          <w:p w14:paraId="179A866E" w14:textId="77777777" w:rsidR="00BC5219" w:rsidRPr="001D6D48" w:rsidRDefault="00BC5219" w:rsidP="00E83802">
            <w:pPr>
              <w:spacing w:after="120"/>
              <w:rPr>
                <w:rFonts w:ascii="Meta Pro" w:eastAsia="Times New Roman" w:hAnsi="Meta Pro"/>
                <w:b/>
                <w:bCs/>
                <w:sz w:val="20"/>
                <w:szCs w:val="20"/>
                <w:lang w:eastAsia="en-AU"/>
              </w:rPr>
            </w:pPr>
            <w:r w:rsidRPr="001D6D48">
              <w:rPr>
                <w:rFonts w:ascii="Meta Pro" w:eastAsia="Times New Roman" w:hAnsi="Meta Pro"/>
                <w:b/>
                <w:bCs/>
                <w:sz w:val="20"/>
                <w:szCs w:val="20"/>
                <w:lang w:eastAsia="en-AU"/>
              </w:rPr>
              <w:t>SERVICE CONCESSION ARRANGEMENTS UNDER AASB 1059 (continued)</w:t>
            </w:r>
          </w:p>
        </w:tc>
      </w:tr>
      <w:tr w:rsidR="00BC5219" w:rsidRPr="001D6D48" w14:paraId="6DD2ED9F" w14:textId="77777777" w:rsidTr="00E83802">
        <w:trPr>
          <w:trHeight w:val="23"/>
        </w:trPr>
        <w:tc>
          <w:tcPr>
            <w:tcW w:w="5840" w:type="dxa"/>
            <w:tcBorders>
              <w:top w:val="nil"/>
              <w:left w:val="nil"/>
              <w:bottom w:val="nil"/>
              <w:right w:val="nil"/>
            </w:tcBorders>
            <w:shd w:val="clear" w:color="auto" w:fill="auto"/>
            <w:noWrap/>
            <w:vAlign w:val="center"/>
            <w:hideMark/>
          </w:tcPr>
          <w:p w14:paraId="64C9F721" w14:textId="77777777" w:rsidR="00BC5219" w:rsidRPr="001D6D48" w:rsidRDefault="00BC5219" w:rsidP="00E83802">
            <w:pPr>
              <w:rPr>
                <w:rFonts w:ascii="Meta Pro" w:eastAsia="Times New Roman" w:hAnsi="Meta Pro"/>
                <w:b/>
                <w:bCs/>
                <w:sz w:val="20"/>
                <w:szCs w:val="20"/>
                <w:lang w:eastAsia="en-AU"/>
              </w:rPr>
            </w:pPr>
          </w:p>
        </w:tc>
        <w:tc>
          <w:tcPr>
            <w:tcW w:w="1242" w:type="dxa"/>
            <w:tcBorders>
              <w:top w:val="nil"/>
              <w:left w:val="nil"/>
              <w:bottom w:val="nil"/>
              <w:right w:val="nil"/>
            </w:tcBorders>
            <w:shd w:val="clear" w:color="auto" w:fill="auto"/>
            <w:noWrap/>
            <w:vAlign w:val="center"/>
            <w:hideMark/>
          </w:tcPr>
          <w:p w14:paraId="331A906B" w14:textId="77777777" w:rsidR="00BC5219" w:rsidRPr="001D6D48" w:rsidRDefault="00BC5219" w:rsidP="00E83802">
            <w:pPr>
              <w:rPr>
                <w:rFonts w:ascii="Meta Pro" w:eastAsia="Times New Roman" w:hAnsi="Meta Pro" w:cs="Times New Roman"/>
                <w:sz w:val="20"/>
                <w:szCs w:val="20"/>
                <w:lang w:eastAsia="en-AU"/>
              </w:rPr>
            </w:pPr>
          </w:p>
        </w:tc>
        <w:tc>
          <w:tcPr>
            <w:tcW w:w="55" w:type="dxa"/>
            <w:tcBorders>
              <w:top w:val="nil"/>
              <w:left w:val="nil"/>
              <w:bottom w:val="nil"/>
              <w:right w:val="nil"/>
            </w:tcBorders>
            <w:shd w:val="clear" w:color="auto" w:fill="auto"/>
            <w:noWrap/>
            <w:vAlign w:val="center"/>
            <w:hideMark/>
          </w:tcPr>
          <w:p w14:paraId="1D233423" w14:textId="77777777" w:rsidR="00BC5219" w:rsidRPr="001D6D48" w:rsidRDefault="00BC5219" w:rsidP="00E83802">
            <w:pPr>
              <w:rPr>
                <w:rFonts w:ascii="Meta Pro" w:eastAsia="Times New Roman" w:hAnsi="Meta Pro" w:cs="Times New Roman"/>
                <w:sz w:val="20"/>
                <w:szCs w:val="20"/>
                <w:lang w:eastAsia="en-AU"/>
              </w:rPr>
            </w:pPr>
          </w:p>
        </w:tc>
        <w:tc>
          <w:tcPr>
            <w:tcW w:w="1375" w:type="dxa"/>
            <w:tcBorders>
              <w:top w:val="nil"/>
              <w:left w:val="nil"/>
              <w:bottom w:val="nil"/>
              <w:right w:val="nil"/>
            </w:tcBorders>
            <w:shd w:val="clear" w:color="auto" w:fill="auto"/>
            <w:noWrap/>
            <w:vAlign w:val="center"/>
            <w:hideMark/>
          </w:tcPr>
          <w:p w14:paraId="6A93DF54"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center"/>
            <w:hideMark/>
          </w:tcPr>
          <w:p w14:paraId="45EB97B2" w14:textId="77777777" w:rsidR="00BC5219" w:rsidRPr="001D6D48" w:rsidRDefault="00BC5219" w:rsidP="00E83802">
            <w:pPr>
              <w:jc w:val="center"/>
              <w:rPr>
                <w:rFonts w:ascii="Meta Pro" w:eastAsia="Times New Roman" w:hAnsi="Meta Pro" w:cs="Times New Roman"/>
                <w:sz w:val="20"/>
                <w:szCs w:val="20"/>
                <w:lang w:eastAsia="en-AU"/>
              </w:rPr>
            </w:pPr>
          </w:p>
        </w:tc>
        <w:tc>
          <w:tcPr>
            <w:tcW w:w="1309" w:type="dxa"/>
            <w:tcBorders>
              <w:top w:val="nil"/>
              <w:left w:val="nil"/>
              <w:bottom w:val="nil"/>
              <w:right w:val="nil"/>
            </w:tcBorders>
            <w:shd w:val="clear" w:color="auto" w:fill="auto"/>
            <w:noWrap/>
            <w:vAlign w:val="center"/>
            <w:hideMark/>
          </w:tcPr>
          <w:p w14:paraId="7A275D01"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center"/>
            <w:hideMark/>
          </w:tcPr>
          <w:p w14:paraId="5327EB4B" w14:textId="77777777" w:rsidR="00BC5219" w:rsidRPr="001D6D48" w:rsidRDefault="00BC5219" w:rsidP="00E83802">
            <w:pPr>
              <w:jc w:val="center"/>
              <w:rPr>
                <w:rFonts w:ascii="Meta Pro" w:eastAsia="Times New Roman" w:hAnsi="Meta Pro" w:cs="Times New Roman"/>
                <w:sz w:val="20"/>
                <w:szCs w:val="20"/>
                <w:lang w:eastAsia="en-AU"/>
              </w:rPr>
            </w:pPr>
          </w:p>
        </w:tc>
        <w:tc>
          <w:tcPr>
            <w:tcW w:w="1291" w:type="dxa"/>
            <w:tcBorders>
              <w:top w:val="nil"/>
              <w:left w:val="nil"/>
              <w:bottom w:val="nil"/>
              <w:right w:val="nil"/>
            </w:tcBorders>
            <w:shd w:val="clear" w:color="auto" w:fill="auto"/>
            <w:noWrap/>
            <w:vAlign w:val="center"/>
            <w:hideMark/>
          </w:tcPr>
          <w:p w14:paraId="3D7A86DF"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center"/>
            <w:hideMark/>
          </w:tcPr>
          <w:p w14:paraId="2094DEB3" w14:textId="77777777" w:rsidR="00BC5219" w:rsidRPr="001D6D48" w:rsidRDefault="00BC5219" w:rsidP="00E83802">
            <w:pPr>
              <w:jc w:val="center"/>
              <w:rPr>
                <w:rFonts w:ascii="Meta Pro" w:eastAsia="Times New Roman" w:hAnsi="Meta Pro" w:cs="Times New Roman"/>
                <w:sz w:val="20"/>
                <w:szCs w:val="20"/>
                <w:lang w:eastAsia="en-AU"/>
              </w:rPr>
            </w:pPr>
          </w:p>
        </w:tc>
        <w:tc>
          <w:tcPr>
            <w:tcW w:w="1270" w:type="dxa"/>
            <w:tcBorders>
              <w:top w:val="nil"/>
              <w:left w:val="nil"/>
              <w:bottom w:val="nil"/>
              <w:right w:val="nil"/>
            </w:tcBorders>
            <w:shd w:val="clear" w:color="auto" w:fill="auto"/>
            <w:noWrap/>
            <w:vAlign w:val="center"/>
            <w:hideMark/>
          </w:tcPr>
          <w:p w14:paraId="0A3029A9"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center"/>
            <w:hideMark/>
          </w:tcPr>
          <w:p w14:paraId="74BAE772" w14:textId="77777777" w:rsidR="00BC5219" w:rsidRPr="001D6D48" w:rsidRDefault="00BC5219" w:rsidP="00E83802">
            <w:pPr>
              <w:jc w:val="center"/>
              <w:rPr>
                <w:rFonts w:ascii="Meta Pro" w:eastAsia="Times New Roman" w:hAnsi="Meta Pro" w:cs="Times New Roman"/>
                <w:sz w:val="20"/>
                <w:szCs w:val="20"/>
                <w:lang w:eastAsia="en-AU"/>
              </w:rPr>
            </w:pPr>
          </w:p>
        </w:tc>
        <w:tc>
          <w:tcPr>
            <w:tcW w:w="1126" w:type="dxa"/>
            <w:gridSpan w:val="2"/>
            <w:tcBorders>
              <w:top w:val="nil"/>
              <w:left w:val="nil"/>
              <w:bottom w:val="nil"/>
              <w:right w:val="nil"/>
            </w:tcBorders>
            <w:shd w:val="clear" w:color="auto" w:fill="auto"/>
            <w:noWrap/>
            <w:vAlign w:val="center"/>
            <w:hideMark/>
          </w:tcPr>
          <w:p w14:paraId="414E0350"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center"/>
            <w:hideMark/>
          </w:tcPr>
          <w:p w14:paraId="68E1FA7D" w14:textId="77777777" w:rsidR="00BC5219" w:rsidRPr="001D6D48" w:rsidRDefault="00BC5219" w:rsidP="00E83802">
            <w:pPr>
              <w:jc w:val="center"/>
              <w:rPr>
                <w:rFonts w:ascii="Meta Pro" w:eastAsia="Times New Roman" w:hAnsi="Meta Pro" w:cs="Times New Roman"/>
                <w:sz w:val="20"/>
                <w:szCs w:val="20"/>
                <w:lang w:eastAsia="en-AU"/>
              </w:rPr>
            </w:pPr>
          </w:p>
        </w:tc>
        <w:tc>
          <w:tcPr>
            <w:tcW w:w="1244" w:type="dxa"/>
            <w:tcBorders>
              <w:top w:val="nil"/>
              <w:left w:val="nil"/>
              <w:bottom w:val="nil"/>
              <w:right w:val="nil"/>
            </w:tcBorders>
            <w:shd w:val="clear" w:color="auto" w:fill="auto"/>
            <w:noWrap/>
            <w:vAlign w:val="center"/>
            <w:hideMark/>
          </w:tcPr>
          <w:p w14:paraId="405372DD"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center"/>
            <w:hideMark/>
          </w:tcPr>
          <w:p w14:paraId="5C6A5FE0" w14:textId="77777777" w:rsidR="00BC5219" w:rsidRPr="001D6D48" w:rsidRDefault="00BC5219" w:rsidP="00E83802">
            <w:pPr>
              <w:jc w:val="center"/>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77ECFB2C"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center"/>
            <w:hideMark/>
          </w:tcPr>
          <w:p w14:paraId="596CCF47" w14:textId="77777777" w:rsidR="00BC5219" w:rsidRPr="001D6D48" w:rsidRDefault="00BC5219" w:rsidP="00E83802">
            <w:pPr>
              <w:jc w:val="center"/>
              <w:rPr>
                <w:rFonts w:ascii="Meta Pro" w:eastAsia="Times New Roman" w:hAnsi="Meta Pro" w:cs="Times New Roman"/>
                <w:sz w:val="20"/>
                <w:szCs w:val="20"/>
                <w:lang w:eastAsia="en-AU"/>
              </w:rPr>
            </w:pPr>
          </w:p>
        </w:tc>
        <w:tc>
          <w:tcPr>
            <w:tcW w:w="1333" w:type="dxa"/>
            <w:tcBorders>
              <w:top w:val="nil"/>
              <w:left w:val="nil"/>
              <w:bottom w:val="nil"/>
              <w:right w:val="nil"/>
            </w:tcBorders>
            <w:shd w:val="clear" w:color="auto" w:fill="auto"/>
            <w:noWrap/>
            <w:vAlign w:val="center"/>
            <w:hideMark/>
          </w:tcPr>
          <w:p w14:paraId="3E58C038" w14:textId="77777777" w:rsidR="00BC5219" w:rsidRPr="001D6D48" w:rsidRDefault="00BC5219" w:rsidP="00E83802">
            <w:pPr>
              <w:rPr>
                <w:rFonts w:ascii="Meta Pro" w:eastAsia="Times New Roman" w:hAnsi="Meta Pro" w:cs="Times New Roman"/>
                <w:sz w:val="20"/>
                <w:szCs w:val="20"/>
                <w:lang w:eastAsia="en-AU"/>
              </w:rPr>
            </w:pPr>
          </w:p>
        </w:tc>
      </w:tr>
      <w:tr w:rsidR="00BC5219" w:rsidRPr="001D6D48" w14:paraId="1D8CAA95" w14:textId="77777777" w:rsidTr="00E83802">
        <w:trPr>
          <w:trHeight w:val="23"/>
        </w:trPr>
        <w:tc>
          <w:tcPr>
            <w:tcW w:w="5840" w:type="dxa"/>
            <w:tcBorders>
              <w:top w:val="nil"/>
              <w:left w:val="nil"/>
              <w:bottom w:val="nil"/>
              <w:right w:val="nil"/>
            </w:tcBorders>
            <w:shd w:val="clear" w:color="auto" w:fill="auto"/>
            <w:noWrap/>
            <w:vAlign w:val="center"/>
            <w:hideMark/>
          </w:tcPr>
          <w:p w14:paraId="4FF2DF54" w14:textId="77777777" w:rsidR="00BC5219" w:rsidRPr="001D6D48" w:rsidRDefault="00BC5219" w:rsidP="00E83802">
            <w:pPr>
              <w:rPr>
                <w:rFonts w:ascii="Meta Pro" w:eastAsia="Times New Roman" w:hAnsi="Meta Pro" w:cs="Times New Roman"/>
                <w:sz w:val="20"/>
                <w:szCs w:val="20"/>
                <w:lang w:eastAsia="en-AU"/>
              </w:rPr>
            </w:pPr>
          </w:p>
        </w:tc>
        <w:tc>
          <w:tcPr>
            <w:tcW w:w="1242" w:type="dxa"/>
            <w:vMerge w:val="restart"/>
            <w:tcBorders>
              <w:top w:val="nil"/>
              <w:left w:val="nil"/>
              <w:bottom w:val="nil"/>
              <w:right w:val="nil"/>
            </w:tcBorders>
            <w:shd w:val="clear" w:color="auto" w:fill="auto"/>
            <w:hideMark/>
          </w:tcPr>
          <w:p w14:paraId="336E6904" w14:textId="77777777" w:rsidR="00BC5219" w:rsidRPr="001D6D48" w:rsidRDefault="00BC5219" w:rsidP="00E83802">
            <w:pPr>
              <w:jc w:val="center"/>
              <w:rPr>
                <w:rFonts w:ascii="Meta Pro" w:eastAsia="Times New Roman" w:hAnsi="Meta Pro"/>
                <w:b/>
                <w:bCs/>
                <w:szCs w:val="18"/>
                <w:lang w:eastAsia="en-AU"/>
              </w:rPr>
            </w:pPr>
            <w:r w:rsidRPr="001D6D48">
              <w:rPr>
                <w:rFonts w:ascii="Meta Pro" w:eastAsia="Times New Roman" w:hAnsi="Meta Pro"/>
                <w:b/>
                <w:bCs/>
                <w:szCs w:val="18"/>
                <w:lang w:eastAsia="en-AU"/>
              </w:rPr>
              <w:t xml:space="preserve">Gold Coast Light Rail – G:link </w:t>
            </w:r>
          </w:p>
        </w:tc>
        <w:tc>
          <w:tcPr>
            <w:tcW w:w="55" w:type="dxa"/>
            <w:tcBorders>
              <w:top w:val="nil"/>
              <w:left w:val="nil"/>
              <w:bottom w:val="nil"/>
              <w:right w:val="nil"/>
            </w:tcBorders>
            <w:shd w:val="clear" w:color="auto" w:fill="auto"/>
            <w:noWrap/>
            <w:vAlign w:val="center"/>
            <w:hideMark/>
          </w:tcPr>
          <w:p w14:paraId="2DBF8D94" w14:textId="77777777" w:rsidR="00BC5219" w:rsidRPr="001D6D48" w:rsidRDefault="00BC5219" w:rsidP="00E83802">
            <w:pPr>
              <w:jc w:val="center"/>
              <w:rPr>
                <w:rFonts w:ascii="Meta Pro" w:eastAsia="Times New Roman" w:hAnsi="Meta Pro"/>
                <w:b/>
                <w:bCs/>
                <w:szCs w:val="18"/>
                <w:lang w:eastAsia="en-AU"/>
              </w:rPr>
            </w:pPr>
          </w:p>
        </w:tc>
        <w:tc>
          <w:tcPr>
            <w:tcW w:w="1375" w:type="dxa"/>
            <w:vMerge w:val="restart"/>
            <w:tcBorders>
              <w:top w:val="nil"/>
              <w:left w:val="nil"/>
              <w:bottom w:val="nil"/>
              <w:right w:val="nil"/>
            </w:tcBorders>
            <w:shd w:val="clear" w:color="auto" w:fill="auto"/>
            <w:hideMark/>
          </w:tcPr>
          <w:p w14:paraId="28A7396A" w14:textId="77777777" w:rsidR="00BC5219" w:rsidRPr="001D6D48" w:rsidRDefault="00BC5219" w:rsidP="00E83802">
            <w:pPr>
              <w:jc w:val="center"/>
              <w:rPr>
                <w:rFonts w:ascii="Meta Pro" w:eastAsia="Times New Roman" w:hAnsi="Meta Pro"/>
                <w:b/>
                <w:bCs/>
                <w:szCs w:val="18"/>
                <w:lang w:eastAsia="en-AU"/>
              </w:rPr>
            </w:pPr>
            <w:r w:rsidRPr="001D6D48">
              <w:rPr>
                <w:rFonts w:ascii="Meta Pro" w:eastAsia="Times New Roman" w:hAnsi="Meta Pro"/>
                <w:b/>
                <w:bCs/>
                <w:szCs w:val="18"/>
                <w:lang w:eastAsia="en-AU"/>
              </w:rPr>
              <w:t>Toowoomba Bypass</w:t>
            </w:r>
          </w:p>
        </w:tc>
        <w:tc>
          <w:tcPr>
            <w:tcW w:w="54" w:type="dxa"/>
            <w:tcBorders>
              <w:top w:val="nil"/>
              <w:left w:val="nil"/>
              <w:bottom w:val="nil"/>
              <w:right w:val="nil"/>
            </w:tcBorders>
            <w:shd w:val="clear" w:color="auto" w:fill="auto"/>
            <w:noWrap/>
            <w:vAlign w:val="center"/>
            <w:hideMark/>
          </w:tcPr>
          <w:p w14:paraId="32525866" w14:textId="77777777" w:rsidR="00BC5219" w:rsidRPr="001D6D48" w:rsidRDefault="00BC5219" w:rsidP="00E83802">
            <w:pPr>
              <w:jc w:val="center"/>
              <w:rPr>
                <w:rFonts w:ascii="Meta Pro" w:eastAsia="Times New Roman" w:hAnsi="Meta Pro"/>
                <w:b/>
                <w:bCs/>
                <w:szCs w:val="18"/>
                <w:lang w:eastAsia="en-AU"/>
              </w:rPr>
            </w:pPr>
          </w:p>
        </w:tc>
        <w:tc>
          <w:tcPr>
            <w:tcW w:w="1309" w:type="dxa"/>
            <w:vMerge w:val="restart"/>
            <w:tcBorders>
              <w:top w:val="nil"/>
              <w:left w:val="nil"/>
              <w:bottom w:val="nil"/>
              <w:right w:val="nil"/>
            </w:tcBorders>
            <w:shd w:val="clear" w:color="auto" w:fill="auto"/>
            <w:hideMark/>
          </w:tcPr>
          <w:p w14:paraId="1C160012" w14:textId="77777777" w:rsidR="00BC5219" w:rsidRPr="001D6D48" w:rsidRDefault="00BC5219" w:rsidP="00E83802">
            <w:pPr>
              <w:jc w:val="center"/>
              <w:rPr>
                <w:rFonts w:ascii="Meta Pro" w:eastAsia="Times New Roman" w:hAnsi="Meta Pro"/>
                <w:b/>
                <w:bCs/>
                <w:szCs w:val="18"/>
                <w:lang w:eastAsia="en-AU"/>
              </w:rPr>
            </w:pPr>
            <w:r w:rsidRPr="001D6D48">
              <w:rPr>
                <w:rFonts w:ascii="Meta Pro" w:eastAsia="Times New Roman" w:hAnsi="Meta Pro"/>
                <w:b/>
                <w:bCs/>
                <w:szCs w:val="18"/>
                <w:lang w:eastAsia="en-AU"/>
              </w:rPr>
              <w:t>Airportlink M7</w:t>
            </w:r>
          </w:p>
        </w:tc>
        <w:tc>
          <w:tcPr>
            <w:tcW w:w="54" w:type="dxa"/>
            <w:tcBorders>
              <w:top w:val="nil"/>
              <w:left w:val="nil"/>
              <w:bottom w:val="nil"/>
              <w:right w:val="nil"/>
            </w:tcBorders>
            <w:shd w:val="clear" w:color="auto" w:fill="auto"/>
            <w:noWrap/>
            <w:hideMark/>
          </w:tcPr>
          <w:p w14:paraId="130D832A" w14:textId="77777777" w:rsidR="00BC5219" w:rsidRPr="001D6D48" w:rsidRDefault="00BC5219" w:rsidP="00E83802">
            <w:pPr>
              <w:jc w:val="center"/>
              <w:rPr>
                <w:rFonts w:ascii="Meta Pro" w:eastAsia="Times New Roman" w:hAnsi="Meta Pro"/>
                <w:b/>
                <w:bCs/>
                <w:szCs w:val="18"/>
                <w:lang w:eastAsia="en-AU"/>
              </w:rPr>
            </w:pPr>
          </w:p>
        </w:tc>
        <w:tc>
          <w:tcPr>
            <w:tcW w:w="1291" w:type="dxa"/>
            <w:vMerge w:val="restart"/>
            <w:tcBorders>
              <w:top w:val="nil"/>
              <w:left w:val="nil"/>
              <w:bottom w:val="nil"/>
              <w:right w:val="nil"/>
            </w:tcBorders>
            <w:shd w:val="clear" w:color="auto" w:fill="auto"/>
            <w:hideMark/>
          </w:tcPr>
          <w:p w14:paraId="086DA6D2" w14:textId="77777777" w:rsidR="00BC5219" w:rsidRPr="001D6D48" w:rsidRDefault="00BC5219" w:rsidP="00E83802">
            <w:pPr>
              <w:jc w:val="center"/>
              <w:rPr>
                <w:rFonts w:ascii="Meta Pro" w:eastAsia="Times New Roman" w:hAnsi="Meta Pro"/>
                <w:b/>
                <w:bCs/>
                <w:szCs w:val="18"/>
                <w:lang w:eastAsia="en-AU"/>
              </w:rPr>
            </w:pPr>
            <w:r w:rsidRPr="001D6D48">
              <w:rPr>
                <w:rFonts w:ascii="Meta Pro" w:eastAsia="Times New Roman" w:hAnsi="Meta Pro"/>
                <w:b/>
                <w:bCs/>
                <w:szCs w:val="18"/>
                <w:lang w:eastAsia="en-AU"/>
              </w:rPr>
              <w:t>Gateway Motorway</w:t>
            </w:r>
          </w:p>
        </w:tc>
        <w:tc>
          <w:tcPr>
            <w:tcW w:w="54" w:type="dxa"/>
            <w:tcBorders>
              <w:top w:val="nil"/>
              <w:left w:val="nil"/>
              <w:bottom w:val="nil"/>
              <w:right w:val="nil"/>
            </w:tcBorders>
            <w:shd w:val="clear" w:color="auto" w:fill="auto"/>
            <w:noWrap/>
            <w:vAlign w:val="center"/>
            <w:hideMark/>
          </w:tcPr>
          <w:p w14:paraId="71A5817B" w14:textId="77777777" w:rsidR="00BC5219" w:rsidRPr="001D6D48" w:rsidRDefault="00BC5219" w:rsidP="00E83802">
            <w:pPr>
              <w:jc w:val="center"/>
              <w:rPr>
                <w:rFonts w:ascii="Meta Pro" w:eastAsia="Times New Roman" w:hAnsi="Meta Pro"/>
                <w:b/>
                <w:bCs/>
                <w:szCs w:val="18"/>
                <w:lang w:eastAsia="en-AU"/>
              </w:rPr>
            </w:pPr>
          </w:p>
        </w:tc>
        <w:tc>
          <w:tcPr>
            <w:tcW w:w="1270" w:type="dxa"/>
            <w:vMerge w:val="restart"/>
            <w:tcBorders>
              <w:top w:val="nil"/>
              <w:left w:val="nil"/>
              <w:bottom w:val="nil"/>
              <w:right w:val="nil"/>
            </w:tcBorders>
            <w:shd w:val="clear" w:color="auto" w:fill="auto"/>
            <w:hideMark/>
          </w:tcPr>
          <w:p w14:paraId="7565388D" w14:textId="77777777" w:rsidR="00BC5219" w:rsidRPr="001D6D48" w:rsidRDefault="00BC5219" w:rsidP="00E83802">
            <w:pPr>
              <w:jc w:val="center"/>
              <w:rPr>
                <w:rFonts w:ascii="Meta Pro" w:eastAsia="Times New Roman" w:hAnsi="Meta Pro"/>
                <w:b/>
                <w:bCs/>
                <w:szCs w:val="18"/>
                <w:lang w:eastAsia="en-AU"/>
              </w:rPr>
            </w:pPr>
            <w:r w:rsidRPr="001D6D48">
              <w:rPr>
                <w:rFonts w:ascii="Meta Pro" w:eastAsia="Times New Roman" w:hAnsi="Meta Pro"/>
                <w:b/>
                <w:bCs/>
                <w:szCs w:val="18"/>
                <w:lang w:eastAsia="en-AU"/>
              </w:rPr>
              <w:t>Logan Motorway</w:t>
            </w:r>
          </w:p>
        </w:tc>
        <w:tc>
          <w:tcPr>
            <w:tcW w:w="54" w:type="dxa"/>
            <w:tcBorders>
              <w:top w:val="nil"/>
              <w:left w:val="nil"/>
              <w:bottom w:val="nil"/>
              <w:right w:val="nil"/>
            </w:tcBorders>
            <w:shd w:val="clear" w:color="auto" w:fill="auto"/>
            <w:hideMark/>
          </w:tcPr>
          <w:p w14:paraId="47377694" w14:textId="77777777" w:rsidR="00BC5219" w:rsidRPr="001D6D48" w:rsidRDefault="00BC5219" w:rsidP="00E83802">
            <w:pPr>
              <w:jc w:val="center"/>
              <w:rPr>
                <w:rFonts w:ascii="Meta Pro" w:eastAsia="Times New Roman" w:hAnsi="Meta Pro"/>
                <w:b/>
                <w:bCs/>
                <w:szCs w:val="18"/>
                <w:lang w:eastAsia="en-AU"/>
              </w:rPr>
            </w:pPr>
          </w:p>
        </w:tc>
        <w:tc>
          <w:tcPr>
            <w:tcW w:w="1126" w:type="dxa"/>
            <w:gridSpan w:val="2"/>
            <w:vMerge w:val="restart"/>
            <w:tcBorders>
              <w:top w:val="nil"/>
              <w:left w:val="nil"/>
              <w:bottom w:val="nil"/>
              <w:right w:val="nil"/>
            </w:tcBorders>
            <w:shd w:val="clear" w:color="auto" w:fill="auto"/>
            <w:hideMark/>
          </w:tcPr>
          <w:p w14:paraId="35CCE142" w14:textId="77777777" w:rsidR="00BC5219" w:rsidRPr="001D6D48" w:rsidRDefault="00BC5219" w:rsidP="00E83802">
            <w:pPr>
              <w:jc w:val="center"/>
              <w:rPr>
                <w:rFonts w:ascii="Meta Pro" w:eastAsia="Times New Roman" w:hAnsi="Meta Pro"/>
                <w:b/>
                <w:bCs/>
                <w:szCs w:val="18"/>
                <w:lang w:eastAsia="en-AU"/>
              </w:rPr>
            </w:pPr>
            <w:r w:rsidRPr="001D6D48">
              <w:rPr>
                <w:rFonts w:ascii="Meta Pro" w:eastAsia="Times New Roman" w:hAnsi="Meta Pro"/>
                <w:b/>
                <w:bCs/>
                <w:szCs w:val="18"/>
                <w:lang w:eastAsia="en-AU"/>
              </w:rPr>
              <w:t>Port Drive</w:t>
            </w:r>
          </w:p>
        </w:tc>
        <w:tc>
          <w:tcPr>
            <w:tcW w:w="54" w:type="dxa"/>
            <w:tcBorders>
              <w:top w:val="nil"/>
              <w:left w:val="nil"/>
              <w:bottom w:val="nil"/>
              <w:right w:val="nil"/>
            </w:tcBorders>
            <w:shd w:val="clear" w:color="auto" w:fill="auto"/>
            <w:hideMark/>
          </w:tcPr>
          <w:p w14:paraId="0FEA847C" w14:textId="77777777" w:rsidR="00BC5219" w:rsidRPr="001D6D48" w:rsidRDefault="00BC5219" w:rsidP="00E83802">
            <w:pPr>
              <w:jc w:val="center"/>
              <w:rPr>
                <w:rFonts w:ascii="Meta Pro" w:eastAsia="Times New Roman" w:hAnsi="Meta Pro"/>
                <w:b/>
                <w:bCs/>
                <w:szCs w:val="18"/>
                <w:lang w:eastAsia="en-AU"/>
              </w:rPr>
            </w:pPr>
          </w:p>
        </w:tc>
        <w:tc>
          <w:tcPr>
            <w:tcW w:w="1244" w:type="dxa"/>
            <w:vMerge w:val="restart"/>
            <w:tcBorders>
              <w:top w:val="nil"/>
              <w:left w:val="nil"/>
              <w:bottom w:val="nil"/>
              <w:right w:val="nil"/>
            </w:tcBorders>
            <w:shd w:val="clear" w:color="auto" w:fill="auto"/>
            <w:hideMark/>
          </w:tcPr>
          <w:p w14:paraId="32E944EA" w14:textId="77777777" w:rsidR="00BC5219" w:rsidRPr="001D6D48" w:rsidRDefault="00BC5219" w:rsidP="00E83802">
            <w:pPr>
              <w:jc w:val="center"/>
              <w:rPr>
                <w:rFonts w:ascii="Meta Pro" w:eastAsia="Times New Roman" w:hAnsi="Meta Pro"/>
                <w:b/>
                <w:bCs/>
                <w:szCs w:val="18"/>
                <w:lang w:eastAsia="en-AU"/>
              </w:rPr>
            </w:pPr>
            <w:r w:rsidRPr="001D6D48">
              <w:rPr>
                <w:rFonts w:ascii="Meta Pro" w:eastAsia="Times New Roman" w:hAnsi="Meta Pro"/>
                <w:b/>
                <w:bCs/>
                <w:szCs w:val="18"/>
                <w:lang w:eastAsia="en-AU"/>
              </w:rPr>
              <w:t>Brisbane Airport Rail Link</w:t>
            </w:r>
          </w:p>
        </w:tc>
        <w:tc>
          <w:tcPr>
            <w:tcW w:w="54" w:type="dxa"/>
            <w:tcBorders>
              <w:top w:val="nil"/>
              <w:left w:val="nil"/>
              <w:bottom w:val="nil"/>
              <w:right w:val="nil"/>
            </w:tcBorders>
            <w:shd w:val="clear" w:color="auto" w:fill="auto"/>
            <w:hideMark/>
          </w:tcPr>
          <w:p w14:paraId="3A05A3DE" w14:textId="77777777" w:rsidR="00BC5219" w:rsidRPr="001D6D48" w:rsidRDefault="00BC5219" w:rsidP="00E83802">
            <w:pPr>
              <w:jc w:val="center"/>
              <w:rPr>
                <w:rFonts w:ascii="Meta Pro" w:eastAsia="Times New Roman" w:hAnsi="Meta Pro"/>
                <w:b/>
                <w:bCs/>
                <w:szCs w:val="18"/>
                <w:lang w:eastAsia="en-AU"/>
              </w:rPr>
            </w:pPr>
          </w:p>
        </w:tc>
        <w:tc>
          <w:tcPr>
            <w:tcW w:w="1216" w:type="dxa"/>
            <w:vMerge w:val="restart"/>
            <w:tcBorders>
              <w:top w:val="nil"/>
              <w:left w:val="nil"/>
              <w:bottom w:val="nil"/>
              <w:right w:val="nil"/>
            </w:tcBorders>
            <w:shd w:val="clear" w:color="auto" w:fill="auto"/>
            <w:hideMark/>
          </w:tcPr>
          <w:p w14:paraId="056C53D8" w14:textId="77777777" w:rsidR="00BC5219" w:rsidRPr="001D6D48" w:rsidRDefault="00BC5219" w:rsidP="00E83802">
            <w:pPr>
              <w:jc w:val="center"/>
              <w:rPr>
                <w:rFonts w:ascii="Meta Pro" w:eastAsia="Times New Roman" w:hAnsi="Meta Pro"/>
                <w:b/>
                <w:bCs/>
                <w:szCs w:val="18"/>
                <w:lang w:eastAsia="en-AU"/>
              </w:rPr>
            </w:pPr>
            <w:r w:rsidRPr="001D6D48">
              <w:rPr>
                <w:rFonts w:ascii="Meta Pro" w:eastAsia="Times New Roman" w:hAnsi="Meta Pro"/>
                <w:b/>
                <w:bCs/>
                <w:szCs w:val="18"/>
                <w:lang w:eastAsia="en-AU"/>
              </w:rPr>
              <w:t>Work in progress *</w:t>
            </w:r>
          </w:p>
        </w:tc>
        <w:tc>
          <w:tcPr>
            <w:tcW w:w="54" w:type="dxa"/>
            <w:tcBorders>
              <w:top w:val="nil"/>
              <w:left w:val="nil"/>
              <w:bottom w:val="nil"/>
              <w:right w:val="nil"/>
            </w:tcBorders>
            <w:shd w:val="clear" w:color="auto" w:fill="auto"/>
            <w:hideMark/>
          </w:tcPr>
          <w:p w14:paraId="27D930EE" w14:textId="77777777" w:rsidR="00BC5219" w:rsidRPr="001D6D48" w:rsidRDefault="00BC5219" w:rsidP="00E83802">
            <w:pPr>
              <w:jc w:val="center"/>
              <w:rPr>
                <w:rFonts w:ascii="Meta Pro" w:eastAsia="Times New Roman" w:hAnsi="Meta Pro"/>
                <w:b/>
                <w:bCs/>
                <w:szCs w:val="18"/>
                <w:lang w:eastAsia="en-AU"/>
              </w:rPr>
            </w:pPr>
          </w:p>
        </w:tc>
        <w:tc>
          <w:tcPr>
            <w:tcW w:w="1333" w:type="dxa"/>
            <w:vMerge w:val="restart"/>
            <w:tcBorders>
              <w:top w:val="nil"/>
              <w:left w:val="nil"/>
              <w:bottom w:val="nil"/>
              <w:right w:val="nil"/>
            </w:tcBorders>
            <w:shd w:val="clear" w:color="auto" w:fill="auto"/>
            <w:hideMark/>
          </w:tcPr>
          <w:p w14:paraId="5236DB6C" w14:textId="77777777" w:rsidR="00BC5219" w:rsidRPr="001D6D48" w:rsidRDefault="00BC5219" w:rsidP="00E83802">
            <w:pPr>
              <w:jc w:val="center"/>
              <w:rPr>
                <w:rFonts w:ascii="Meta Pro" w:eastAsia="Times New Roman" w:hAnsi="Meta Pro"/>
                <w:b/>
                <w:bCs/>
                <w:szCs w:val="18"/>
                <w:lang w:eastAsia="en-AU"/>
              </w:rPr>
            </w:pPr>
            <w:r w:rsidRPr="001D6D48">
              <w:rPr>
                <w:rFonts w:ascii="Meta Pro" w:eastAsia="Times New Roman" w:hAnsi="Meta Pro"/>
                <w:b/>
                <w:bCs/>
                <w:szCs w:val="18"/>
                <w:lang w:eastAsia="en-AU"/>
              </w:rPr>
              <w:t>Total</w:t>
            </w:r>
          </w:p>
        </w:tc>
      </w:tr>
      <w:tr w:rsidR="00BC5219" w:rsidRPr="001D6D48" w14:paraId="23072BD5" w14:textId="77777777" w:rsidTr="00E83802">
        <w:trPr>
          <w:trHeight w:val="23"/>
        </w:trPr>
        <w:tc>
          <w:tcPr>
            <w:tcW w:w="5840" w:type="dxa"/>
            <w:tcBorders>
              <w:top w:val="nil"/>
              <w:left w:val="nil"/>
              <w:bottom w:val="nil"/>
              <w:right w:val="nil"/>
            </w:tcBorders>
            <w:shd w:val="clear" w:color="auto" w:fill="auto"/>
            <w:noWrap/>
            <w:vAlign w:val="center"/>
            <w:hideMark/>
          </w:tcPr>
          <w:p w14:paraId="3878E2A2" w14:textId="77777777" w:rsidR="00BC5219" w:rsidRPr="001D6D48" w:rsidRDefault="00BC5219" w:rsidP="00E83802">
            <w:pPr>
              <w:jc w:val="center"/>
              <w:rPr>
                <w:rFonts w:ascii="Meta Pro" w:eastAsia="Times New Roman" w:hAnsi="Meta Pro"/>
                <w:b/>
                <w:bCs/>
                <w:szCs w:val="18"/>
                <w:lang w:eastAsia="en-AU"/>
              </w:rPr>
            </w:pPr>
          </w:p>
        </w:tc>
        <w:tc>
          <w:tcPr>
            <w:tcW w:w="1242" w:type="dxa"/>
            <w:vMerge/>
            <w:tcBorders>
              <w:top w:val="nil"/>
              <w:left w:val="nil"/>
              <w:bottom w:val="nil"/>
              <w:right w:val="nil"/>
            </w:tcBorders>
            <w:vAlign w:val="center"/>
            <w:hideMark/>
          </w:tcPr>
          <w:p w14:paraId="109B25CA" w14:textId="77777777" w:rsidR="00BC5219" w:rsidRPr="001D6D48" w:rsidRDefault="00BC5219" w:rsidP="00E83802">
            <w:pPr>
              <w:rPr>
                <w:rFonts w:ascii="Meta Pro" w:eastAsia="Times New Roman" w:hAnsi="Meta Pro"/>
                <w:b/>
                <w:bCs/>
                <w:szCs w:val="18"/>
                <w:lang w:eastAsia="en-AU"/>
              </w:rPr>
            </w:pPr>
          </w:p>
        </w:tc>
        <w:tc>
          <w:tcPr>
            <w:tcW w:w="55" w:type="dxa"/>
            <w:tcBorders>
              <w:top w:val="nil"/>
              <w:left w:val="nil"/>
              <w:bottom w:val="nil"/>
              <w:right w:val="nil"/>
            </w:tcBorders>
            <w:shd w:val="clear" w:color="auto" w:fill="auto"/>
            <w:noWrap/>
            <w:vAlign w:val="center"/>
            <w:hideMark/>
          </w:tcPr>
          <w:p w14:paraId="2B056E0E" w14:textId="77777777" w:rsidR="00BC5219" w:rsidRPr="001D6D48" w:rsidRDefault="00BC5219" w:rsidP="00E83802">
            <w:pPr>
              <w:rPr>
                <w:rFonts w:ascii="Meta Pro" w:eastAsia="Times New Roman" w:hAnsi="Meta Pro" w:cs="Times New Roman"/>
                <w:sz w:val="20"/>
                <w:szCs w:val="20"/>
                <w:lang w:eastAsia="en-AU"/>
              </w:rPr>
            </w:pPr>
          </w:p>
        </w:tc>
        <w:tc>
          <w:tcPr>
            <w:tcW w:w="1375" w:type="dxa"/>
            <w:vMerge/>
            <w:tcBorders>
              <w:top w:val="nil"/>
              <w:left w:val="nil"/>
              <w:bottom w:val="nil"/>
              <w:right w:val="nil"/>
            </w:tcBorders>
            <w:vAlign w:val="center"/>
            <w:hideMark/>
          </w:tcPr>
          <w:p w14:paraId="0A5BE75B" w14:textId="77777777" w:rsidR="00BC5219" w:rsidRPr="001D6D48" w:rsidRDefault="00BC5219" w:rsidP="00E83802">
            <w:pPr>
              <w:rPr>
                <w:rFonts w:ascii="Meta Pro" w:eastAsia="Times New Roman" w:hAnsi="Meta Pro"/>
                <w:b/>
                <w:bCs/>
                <w:szCs w:val="18"/>
                <w:lang w:eastAsia="en-AU"/>
              </w:rPr>
            </w:pPr>
          </w:p>
        </w:tc>
        <w:tc>
          <w:tcPr>
            <w:tcW w:w="54" w:type="dxa"/>
            <w:tcBorders>
              <w:top w:val="nil"/>
              <w:left w:val="nil"/>
              <w:bottom w:val="nil"/>
              <w:right w:val="nil"/>
            </w:tcBorders>
            <w:shd w:val="clear" w:color="auto" w:fill="auto"/>
            <w:noWrap/>
            <w:vAlign w:val="center"/>
            <w:hideMark/>
          </w:tcPr>
          <w:p w14:paraId="02C7407D" w14:textId="77777777" w:rsidR="00BC5219" w:rsidRPr="001D6D48" w:rsidRDefault="00BC5219" w:rsidP="00E83802">
            <w:pPr>
              <w:rPr>
                <w:rFonts w:ascii="Meta Pro" w:eastAsia="Times New Roman" w:hAnsi="Meta Pro" w:cs="Times New Roman"/>
                <w:sz w:val="20"/>
                <w:szCs w:val="20"/>
                <w:lang w:eastAsia="en-AU"/>
              </w:rPr>
            </w:pPr>
          </w:p>
        </w:tc>
        <w:tc>
          <w:tcPr>
            <w:tcW w:w="1309" w:type="dxa"/>
            <w:vMerge/>
            <w:tcBorders>
              <w:top w:val="nil"/>
              <w:left w:val="nil"/>
              <w:bottom w:val="nil"/>
              <w:right w:val="nil"/>
            </w:tcBorders>
            <w:vAlign w:val="center"/>
            <w:hideMark/>
          </w:tcPr>
          <w:p w14:paraId="3101B841" w14:textId="77777777" w:rsidR="00BC5219" w:rsidRPr="001D6D48" w:rsidRDefault="00BC5219" w:rsidP="00E83802">
            <w:pPr>
              <w:rPr>
                <w:rFonts w:ascii="Meta Pro" w:eastAsia="Times New Roman" w:hAnsi="Meta Pro"/>
                <w:b/>
                <w:bCs/>
                <w:szCs w:val="18"/>
                <w:lang w:eastAsia="en-AU"/>
              </w:rPr>
            </w:pPr>
          </w:p>
        </w:tc>
        <w:tc>
          <w:tcPr>
            <w:tcW w:w="54" w:type="dxa"/>
            <w:tcBorders>
              <w:top w:val="nil"/>
              <w:left w:val="nil"/>
              <w:bottom w:val="nil"/>
              <w:right w:val="nil"/>
            </w:tcBorders>
            <w:shd w:val="clear" w:color="auto" w:fill="auto"/>
            <w:noWrap/>
            <w:hideMark/>
          </w:tcPr>
          <w:p w14:paraId="2A065BFA" w14:textId="77777777" w:rsidR="00BC5219" w:rsidRPr="001D6D48" w:rsidRDefault="00BC5219" w:rsidP="00E83802">
            <w:pPr>
              <w:rPr>
                <w:rFonts w:ascii="Meta Pro" w:eastAsia="Times New Roman" w:hAnsi="Meta Pro" w:cs="Times New Roman"/>
                <w:sz w:val="20"/>
                <w:szCs w:val="20"/>
                <w:lang w:eastAsia="en-AU"/>
              </w:rPr>
            </w:pPr>
          </w:p>
        </w:tc>
        <w:tc>
          <w:tcPr>
            <w:tcW w:w="1291" w:type="dxa"/>
            <w:vMerge/>
            <w:tcBorders>
              <w:top w:val="nil"/>
              <w:left w:val="nil"/>
              <w:bottom w:val="nil"/>
              <w:right w:val="nil"/>
            </w:tcBorders>
            <w:vAlign w:val="center"/>
            <w:hideMark/>
          </w:tcPr>
          <w:p w14:paraId="51033F71" w14:textId="77777777" w:rsidR="00BC5219" w:rsidRPr="001D6D48" w:rsidRDefault="00BC5219" w:rsidP="00E83802">
            <w:pPr>
              <w:rPr>
                <w:rFonts w:ascii="Meta Pro" w:eastAsia="Times New Roman" w:hAnsi="Meta Pro"/>
                <w:b/>
                <w:bCs/>
                <w:szCs w:val="18"/>
                <w:lang w:eastAsia="en-AU"/>
              </w:rPr>
            </w:pPr>
          </w:p>
        </w:tc>
        <w:tc>
          <w:tcPr>
            <w:tcW w:w="54" w:type="dxa"/>
            <w:tcBorders>
              <w:top w:val="nil"/>
              <w:left w:val="nil"/>
              <w:bottom w:val="nil"/>
              <w:right w:val="nil"/>
            </w:tcBorders>
            <w:shd w:val="clear" w:color="auto" w:fill="auto"/>
            <w:hideMark/>
          </w:tcPr>
          <w:p w14:paraId="04A59FAE" w14:textId="77777777" w:rsidR="00BC5219" w:rsidRPr="001D6D48" w:rsidRDefault="00BC5219" w:rsidP="00E83802">
            <w:pPr>
              <w:rPr>
                <w:rFonts w:ascii="Meta Pro" w:eastAsia="Times New Roman" w:hAnsi="Meta Pro" w:cs="Times New Roman"/>
                <w:sz w:val="20"/>
                <w:szCs w:val="20"/>
                <w:lang w:eastAsia="en-AU"/>
              </w:rPr>
            </w:pPr>
          </w:p>
        </w:tc>
        <w:tc>
          <w:tcPr>
            <w:tcW w:w="1270" w:type="dxa"/>
            <w:vMerge/>
            <w:tcBorders>
              <w:top w:val="nil"/>
              <w:left w:val="nil"/>
              <w:bottom w:val="nil"/>
              <w:right w:val="nil"/>
            </w:tcBorders>
            <w:vAlign w:val="center"/>
            <w:hideMark/>
          </w:tcPr>
          <w:p w14:paraId="60EB9094" w14:textId="77777777" w:rsidR="00BC5219" w:rsidRPr="001D6D48" w:rsidRDefault="00BC5219" w:rsidP="00E83802">
            <w:pPr>
              <w:rPr>
                <w:rFonts w:ascii="Meta Pro" w:eastAsia="Times New Roman" w:hAnsi="Meta Pro"/>
                <w:b/>
                <w:bCs/>
                <w:szCs w:val="18"/>
                <w:lang w:eastAsia="en-AU"/>
              </w:rPr>
            </w:pPr>
          </w:p>
        </w:tc>
        <w:tc>
          <w:tcPr>
            <w:tcW w:w="54" w:type="dxa"/>
            <w:tcBorders>
              <w:top w:val="nil"/>
              <w:left w:val="nil"/>
              <w:bottom w:val="nil"/>
              <w:right w:val="nil"/>
            </w:tcBorders>
            <w:shd w:val="clear" w:color="auto" w:fill="auto"/>
            <w:hideMark/>
          </w:tcPr>
          <w:p w14:paraId="48166AB6" w14:textId="77777777" w:rsidR="00BC5219" w:rsidRPr="001D6D48" w:rsidRDefault="00BC5219" w:rsidP="00E83802">
            <w:pPr>
              <w:rPr>
                <w:rFonts w:ascii="Meta Pro" w:eastAsia="Times New Roman" w:hAnsi="Meta Pro" w:cs="Times New Roman"/>
                <w:sz w:val="20"/>
                <w:szCs w:val="20"/>
                <w:lang w:eastAsia="en-AU"/>
              </w:rPr>
            </w:pPr>
          </w:p>
        </w:tc>
        <w:tc>
          <w:tcPr>
            <w:tcW w:w="1126" w:type="dxa"/>
            <w:gridSpan w:val="2"/>
            <w:vMerge/>
            <w:tcBorders>
              <w:top w:val="nil"/>
              <w:left w:val="nil"/>
              <w:bottom w:val="nil"/>
              <w:right w:val="nil"/>
            </w:tcBorders>
            <w:vAlign w:val="center"/>
            <w:hideMark/>
          </w:tcPr>
          <w:p w14:paraId="1F08A601" w14:textId="77777777" w:rsidR="00BC5219" w:rsidRPr="001D6D48" w:rsidRDefault="00BC5219" w:rsidP="00E83802">
            <w:pPr>
              <w:rPr>
                <w:rFonts w:ascii="Meta Pro" w:eastAsia="Times New Roman" w:hAnsi="Meta Pro"/>
                <w:b/>
                <w:bCs/>
                <w:szCs w:val="18"/>
                <w:lang w:eastAsia="en-AU"/>
              </w:rPr>
            </w:pPr>
          </w:p>
        </w:tc>
        <w:tc>
          <w:tcPr>
            <w:tcW w:w="54" w:type="dxa"/>
            <w:tcBorders>
              <w:top w:val="nil"/>
              <w:left w:val="nil"/>
              <w:bottom w:val="nil"/>
              <w:right w:val="nil"/>
            </w:tcBorders>
            <w:shd w:val="clear" w:color="auto" w:fill="auto"/>
            <w:hideMark/>
          </w:tcPr>
          <w:p w14:paraId="29D53EB2" w14:textId="77777777" w:rsidR="00BC5219" w:rsidRPr="001D6D48" w:rsidRDefault="00BC5219" w:rsidP="00E83802">
            <w:pPr>
              <w:rPr>
                <w:rFonts w:ascii="Meta Pro" w:eastAsia="Times New Roman" w:hAnsi="Meta Pro" w:cs="Times New Roman"/>
                <w:sz w:val="20"/>
                <w:szCs w:val="20"/>
                <w:lang w:eastAsia="en-AU"/>
              </w:rPr>
            </w:pPr>
          </w:p>
        </w:tc>
        <w:tc>
          <w:tcPr>
            <w:tcW w:w="1244" w:type="dxa"/>
            <w:vMerge/>
            <w:tcBorders>
              <w:top w:val="nil"/>
              <w:left w:val="nil"/>
              <w:bottom w:val="nil"/>
              <w:right w:val="nil"/>
            </w:tcBorders>
            <w:vAlign w:val="center"/>
            <w:hideMark/>
          </w:tcPr>
          <w:p w14:paraId="74D2ED54" w14:textId="77777777" w:rsidR="00BC5219" w:rsidRPr="001D6D48" w:rsidRDefault="00BC5219" w:rsidP="00E83802">
            <w:pPr>
              <w:rPr>
                <w:rFonts w:ascii="Meta Pro" w:eastAsia="Times New Roman" w:hAnsi="Meta Pro"/>
                <w:b/>
                <w:bCs/>
                <w:szCs w:val="18"/>
                <w:lang w:eastAsia="en-AU"/>
              </w:rPr>
            </w:pPr>
          </w:p>
        </w:tc>
        <w:tc>
          <w:tcPr>
            <w:tcW w:w="54" w:type="dxa"/>
            <w:tcBorders>
              <w:top w:val="nil"/>
              <w:left w:val="nil"/>
              <w:bottom w:val="nil"/>
              <w:right w:val="nil"/>
            </w:tcBorders>
            <w:shd w:val="clear" w:color="auto" w:fill="auto"/>
            <w:hideMark/>
          </w:tcPr>
          <w:p w14:paraId="5AE7B855" w14:textId="77777777" w:rsidR="00BC5219" w:rsidRPr="001D6D48" w:rsidRDefault="00BC5219" w:rsidP="00E83802">
            <w:pPr>
              <w:rPr>
                <w:rFonts w:ascii="Meta Pro" w:eastAsia="Times New Roman" w:hAnsi="Meta Pro" w:cs="Times New Roman"/>
                <w:sz w:val="20"/>
                <w:szCs w:val="20"/>
                <w:lang w:eastAsia="en-AU"/>
              </w:rPr>
            </w:pPr>
          </w:p>
        </w:tc>
        <w:tc>
          <w:tcPr>
            <w:tcW w:w="1216" w:type="dxa"/>
            <w:vMerge/>
            <w:tcBorders>
              <w:top w:val="nil"/>
              <w:left w:val="nil"/>
              <w:bottom w:val="nil"/>
              <w:right w:val="nil"/>
            </w:tcBorders>
            <w:vAlign w:val="center"/>
            <w:hideMark/>
          </w:tcPr>
          <w:p w14:paraId="069788CC" w14:textId="77777777" w:rsidR="00BC5219" w:rsidRPr="001D6D48" w:rsidRDefault="00BC5219" w:rsidP="00E83802">
            <w:pPr>
              <w:rPr>
                <w:rFonts w:ascii="Meta Pro" w:eastAsia="Times New Roman" w:hAnsi="Meta Pro"/>
                <w:b/>
                <w:bCs/>
                <w:szCs w:val="18"/>
                <w:lang w:eastAsia="en-AU"/>
              </w:rPr>
            </w:pPr>
          </w:p>
        </w:tc>
        <w:tc>
          <w:tcPr>
            <w:tcW w:w="54" w:type="dxa"/>
            <w:tcBorders>
              <w:top w:val="nil"/>
              <w:left w:val="nil"/>
              <w:bottom w:val="nil"/>
              <w:right w:val="nil"/>
            </w:tcBorders>
            <w:shd w:val="clear" w:color="auto" w:fill="auto"/>
            <w:hideMark/>
          </w:tcPr>
          <w:p w14:paraId="7E67AD82" w14:textId="77777777" w:rsidR="00BC5219" w:rsidRPr="001D6D48" w:rsidRDefault="00BC5219" w:rsidP="00E83802">
            <w:pPr>
              <w:jc w:val="center"/>
              <w:rPr>
                <w:rFonts w:ascii="Meta Pro" w:eastAsia="Times New Roman" w:hAnsi="Meta Pro" w:cs="Times New Roman"/>
                <w:sz w:val="20"/>
                <w:szCs w:val="20"/>
                <w:lang w:eastAsia="en-AU"/>
              </w:rPr>
            </w:pPr>
          </w:p>
        </w:tc>
        <w:tc>
          <w:tcPr>
            <w:tcW w:w="1333" w:type="dxa"/>
            <w:vMerge/>
            <w:tcBorders>
              <w:top w:val="nil"/>
              <w:left w:val="nil"/>
              <w:bottom w:val="nil"/>
              <w:right w:val="nil"/>
            </w:tcBorders>
            <w:vAlign w:val="center"/>
            <w:hideMark/>
          </w:tcPr>
          <w:p w14:paraId="6A78454B" w14:textId="77777777" w:rsidR="00BC5219" w:rsidRPr="001D6D48" w:rsidRDefault="00BC5219" w:rsidP="00E83802">
            <w:pPr>
              <w:rPr>
                <w:rFonts w:ascii="Meta Pro" w:eastAsia="Times New Roman" w:hAnsi="Meta Pro"/>
                <w:b/>
                <w:bCs/>
                <w:szCs w:val="18"/>
                <w:lang w:eastAsia="en-AU"/>
              </w:rPr>
            </w:pPr>
          </w:p>
        </w:tc>
      </w:tr>
      <w:tr w:rsidR="00BC5219" w:rsidRPr="001D6D48" w14:paraId="6AAEED5D" w14:textId="77777777" w:rsidTr="00E83802">
        <w:trPr>
          <w:trHeight w:val="57"/>
        </w:trPr>
        <w:tc>
          <w:tcPr>
            <w:tcW w:w="5840" w:type="dxa"/>
            <w:tcBorders>
              <w:top w:val="nil"/>
              <w:left w:val="nil"/>
              <w:bottom w:val="nil"/>
              <w:right w:val="nil"/>
            </w:tcBorders>
            <w:shd w:val="clear" w:color="auto" w:fill="auto"/>
            <w:noWrap/>
            <w:vAlign w:val="center"/>
            <w:hideMark/>
          </w:tcPr>
          <w:p w14:paraId="65295F32" w14:textId="77777777" w:rsidR="00BC5219" w:rsidRPr="001D6D48" w:rsidRDefault="00BC5219" w:rsidP="00E83802">
            <w:pPr>
              <w:jc w:val="center"/>
              <w:rPr>
                <w:rFonts w:ascii="Meta Pro" w:eastAsia="Times New Roman" w:hAnsi="Meta Pro" w:cs="Times New Roman"/>
                <w:sz w:val="20"/>
                <w:szCs w:val="20"/>
                <w:lang w:eastAsia="en-AU"/>
              </w:rPr>
            </w:pPr>
          </w:p>
        </w:tc>
        <w:tc>
          <w:tcPr>
            <w:tcW w:w="1242" w:type="dxa"/>
            <w:vMerge/>
            <w:tcBorders>
              <w:top w:val="nil"/>
              <w:left w:val="nil"/>
              <w:bottom w:val="nil"/>
              <w:right w:val="nil"/>
            </w:tcBorders>
            <w:vAlign w:val="center"/>
            <w:hideMark/>
          </w:tcPr>
          <w:p w14:paraId="7F35F2AD" w14:textId="77777777" w:rsidR="00BC5219" w:rsidRPr="001D6D48" w:rsidRDefault="00BC5219" w:rsidP="00E83802">
            <w:pPr>
              <w:rPr>
                <w:rFonts w:ascii="Meta Pro" w:eastAsia="Times New Roman" w:hAnsi="Meta Pro"/>
                <w:b/>
                <w:bCs/>
                <w:szCs w:val="18"/>
                <w:lang w:eastAsia="en-AU"/>
              </w:rPr>
            </w:pPr>
          </w:p>
        </w:tc>
        <w:tc>
          <w:tcPr>
            <w:tcW w:w="55" w:type="dxa"/>
            <w:tcBorders>
              <w:top w:val="nil"/>
              <w:left w:val="nil"/>
              <w:bottom w:val="nil"/>
              <w:right w:val="nil"/>
            </w:tcBorders>
            <w:shd w:val="clear" w:color="auto" w:fill="auto"/>
            <w:noWrap/>
            <w:vAlign w:val="center"/>
            <w:hideMark/>
          </w:tcPr>
          <w:p w14:paraId="53ABDE2B" w14:textId="77777777" w:rsidR="00BC5219" w:rsidRPr="001D6D48" w:rsidRDefault="00BC5219" w:rsidP="00E83802">
            <w:pPr>
              <w:rPr>
                <w:rFonts w:ascii="Meta Pro" w:eastAsia="Times New Roman" w:hAnsi="Meta Pro" w:cs="Times New Roman"/>
                <w:sz w:val="20"/>
                <w:szCs w:val="20"/>
                <w:lang w:eastAsia="en-AU"/>
              </w:rPr>
            </w:pPr>
          </w:p>
        </w:tc>
        <w:tc>
          <w:tcPr>
            <w:tcW w:w="1375" w:type="dxa"/>
            <w:vMerge/>
            <w:tcBorders>
              <w:top w:val="nil"/>
              <w:left w:val="nil"/>
              <w:bottom w:val="nil"/>
              <w:right w:val="nil"/>
            </w:tcBorders>
            <w:vAlign w:val="center"/>
            <w:hideMark/>
          </w:tcPr>
          <w:p w14:paraId="0376F343" w14:textId="77777777" w:rsidR="00BC5219" w:rsidRPr="001D6D48" w:rsidRDefault="00BC5219" w:rsidP="00E83802">
            <w:pPr>
              <w:rPr>
                <w:rFonts w:ascii="Meta Pro" w:eastAsia="Times New Roman" w:hAnsi="Meta Pro"/>
                <w:b/>
                <w:bCs/>
                <w:szCs w:val="18"/>
                <w:lang w:eastAsia="en-AU"/>
              </w:rPr>
            </w:pPr>
          </w:p>
        </w:tc>
        <w:tc>
          <w:tcPr>
            <w:tcW w:w="54" w:type="dxa"/>
            <w:tcBorders>
              <w:top w:val="nil"/>
              <w:left w:val="nil"/>
              <w:bottom w:val="nil"/>
              <w:right w:val="nil"/>
            </w:tcBorders>
            <w:shd w:val="clear" w:color="auto" w:fill="auto"/>
            <w:noWrap/>
            <w:vAlign w:val="center"/>
            <w:hideMark/>
          </w:tcPr>
          <w:p w14:paraId="055F0A70" w14:textId="77777777" w:rsidR="00BC5219" w:rsidRPr="001D6D48" w:rsidRDefault="00BC5219" w:rsidP="00E83802">
            <w:pPr>
              <w:rPr>
                <w:rFonts w:ascii="Meta Pro" w:eastAsia="Times New Roman" w:hAnsi="Meta Pro" w:cs="Times New Roman"/>
                <w:sz w:val="20"/>
                <w:szCs w:val="20"/>
                <w:lang w:eastAsia="en-AU"/>
              </w:rPr>
            </w:pPr>
          </w:p>
        </w:tc>
        <w:tc>
          <w:tcPr>
            <w:tcW w:w="1309" w:type="dxa"/>
            <w:vMerge/>
            <w:tcBorders>
              <w:top w:val="nil"/>
              <w:left w:val="nil"/>
              <w:bottom w:val="nil"/>
              <w:right w:val="nil"/>
            </w:tcBorders>
            <w:vAlign w:val="center"/>
            <w:hideMark/>
          </w:tcPr>
          <w:p w14:paraId="2A202DE6" w14:textId="77777777" w:rsidR="00BC5219" w:rsidRPr="001D6D48" w:rsidRDefault="00BC5219" w:rsidP="00E83802">
            <w:pPr>
              <w:rPr>
                <w:rFonts w:ascii="Meta Pro" w:eastAsia="Times New Roman" w:hAnsi="Meta Pro"/>
                <w:b/>
                <w:bCs/>
                <w:szCs w:val="18"/>
                <w:lang w:eastAsia="en-AU"/>
              </w:rPr>
            </w:pPr>
          </w:p>
        </w:tc>
        <w:tc>
          <w:tcPr>
            <w:tcW w:w="54" w:type="dxa"/>
            <w:tcBorders>
              <w:top w:val="nil"/>
              <w:left w:val="nil"/>
              <w:bottom w:val="nil"/>
              <w:right w:val="nil"/>
            </w:tcBorders>
            <w:shd w:val="clear" w:color="auto" w:fill="auto"/>
            <w:hideMark/>
          </w:tcPr>
          <w:p w14:paraId="2F8DA7C6" w14:textId="77777777" w:rsidR="00BC5219" w:rsidRPr="001D6D48" w:rsidRDefault="00BC5219" w:rsidP="00E83802">
            <w:pPr>
              <w:rPr>
                <w:rFonts w:ascii="Meta Pro" w:eastAsia="Times New Roman" w:hAnsi="Meta Pro" w:cs="Times New Roman"/>
                <w:sz w:val="20"/>
                <w:szCs w:val="20"/>
                <w:lang w:eastAsia="en-AU"/>
              </w:rPr>
            </w:pPr>
          </w:p>
        </w:tc>
        <w:tc>
          <w:tcPr>
            <w:tcW w:w="1291" w:type="dxa"/>
            <w:vMerge/>
            <w:tcBorders>
              <w:top w:val="nil"/>
              <w:left w:val="nil"/>
              <w:bottom w:val="nil"/>
              <w:right w:val="nil"/>
            </w:tcBorders>
            <w:vAlign w:val="center"/>
            <w:hideMark/>
          </w:tcPr>
          <w:p w14:paraId="686A1AE3" w14:textId="77777777" w:rsidR="00BC5219" w:rsidRPr="001D6D48" w:rsidRDefault="00BC5219" w:rsidP="00E83802">
            <w:pPr>
              <w:rPr>
                <w:rFonts w:ascii="Meta Pro" w:eastAsia="Times New Roman" w:hAnsi="Meta Pro"/>
                <w:b/>
                <w:bCs/>
                <w:szCs w:val="18"/>
                <w:lang w:eastAsia="en-AU"/>
              </w:rPr>
            </w:pPr>
          </w:p>
        </w:tc>
        <w:tc>
          <w:tcPr>
            <w:tcW w:w="54" w:type="dxa"/>
            <w:tcBorders>
              <w:top w:val="nil"/>
              <w:left w:val="nil"/>
              <w:bottom w:val="nil"/>
              <w:right w:val="nil"/>
            </w:tcBorders>
            <w:shd w:val="clear" w:color="auto" w:fill="auto"/>
            <w:hideMark/>
          </w:tcPr>
          <w:p w14:paraId="49966D00" w14:textId="77777777" w:rsidR="00BC5219" w:rsidRPr="001D6D48" w:rsidRDefault="00BC5219" w:rsidP="00E83802">
            <w:pPr>
              <w:jc w:val="center"/>
              <w:rPr>
                <w:rFonts w:ascii="Meta Pro" w:eastAsia="Times New Roman" w:hAnsi="Meta Pro" w:cs="Times New Roman"/>
                <w:sz w:val="20"/>
                <w:szCs w:val="20"/>
                <w:lang w:eastAsia="en-AU"/>
              </w:rPr>
            </w:pPr>
          </w:p>
        </w:tc>
        <w:tc>
          <w:tcPr>
            <w:tcW w:w="1270" w:type="dxa"/>
            <w:vMerge/>
            <w:tcBorders>
              <w:top w:val="nil"/>
              <w:left w:val="nil"/>
              <w:bottom w:val="nil"/>
              <w:right w:val="nil"/>
            </w:tcBorders>
            <w:vAlign w:val="center"/>
            <w:hideMark/>
          </w:tcPr>
          <w:p w14:paraId="2AE0807A" w14:textId="77777777" w:rsidR="00BC5219" w:rsidRPr="001D6D48" w:rsidRDefault="00BC5219" w:rsidP="00E83802">
            <w:pPr>
              <w:rPr>
                <w:rFonts w:ascii="Meta Pro" w:eastAsia="Times New Roman" w:hAnsi="Meta Pro"/>
                <w:b/>
                <w:bCs/>
                <w:szCs w:val="18"/>
                <w:lang w:eastAsia="en-AU"/>
              </w:rPr>
            </w:pPr>
          </w:p>
        </w:tc>
        <w:tc>
          <w:tcPr>
            <w:tcW w:w="54" w:type="dxa"/>
            <w:tcBorders>
              <w:top w:val="nil"/>
              <w:left w:val="nil"/>
              <w:bottom w:val="nil"/>
              <w:right w:val="nil"/>
            </w:tcBorders>
            <w:shd w:val="clear" w:color="auto" w:fill="auto"/>
            <w:hideMark/>
          </w:tcPr>
          <w:p w14:paraId="01AD9C3E" w14:textId="77777777" w:rsidR="00BC5219" w:rsidRPr="001D6D48" w:rsidRDefault="00BC5219" w:rsidP="00E83802">
            <w:pPr>
              <w:rPr>
                <w:rFonts w:ascii="Meta Pro" w:eastAsia="Times New Roman" w:hAnsi="Meta Pro" w:cs="Times New Roman"/>
                <w:sz w:val="20"/>
                <w:szCs w:val="20"/>
                <w:lang w:eastAsia="en-AU"/>
              </w:rPr>
            </w:pPr>
          </w:p>
        </w:tc>
        <w:tc>
          <w:tcPr>
            <w:tcW w:w="1126" w:type="dxa"/>
            <w:gridSpan w:val="2"/>
            <w:vMerge/>
            <w:tcBorders>
              <w:top w:val="nil"/>
              <w:left w:val="nil"/>
              <w:bottom w:val="nil"/>
              <w:right w:val="nil"/>
            </w:tcBorders>
            <w:vAlign w:val="center"/>
            <w:hideMark/>
          </w:tcPr>
          <w:p w14:paraId="7C4FBAC8" w14:textId="77777777" w:rsidR="00BC5219" w:rsidRPr="001D6D48" w:rsidRDefault="00BC5219" w:rsidP="00E83802">
            <w:pPr>
              <w:rPr>
                <w:rFonts w:ascii="Meta Pro" w:eastAsia="Times New Roman" w:hAnsi="Meta Pro"/>
                <w:b/>
                <w:bCs/>
                <w:szCs w:val="18"/>
                <w:lang w:eastAsia="en-AU"/>
              </w:rPr>
            </w:pPr>
          </w:p>
        </w:tc>
        <w:tc>
          <w:tcPr>
            <w:tcW w:w="54" w:type="dxa"/>
            <w:tcBorders>
              <w:top w:val="nil"/>
              <w:left w:val="nil"/>
              <w:bottom w:val="nil"/>
              <w:right w:val="nil"/>
            </w:tcBorders>
            <w:shd w:val="clear" w:color="auto" w:fill="auto"/>
            <w:hideMark/>
          </w:tcPr>
          <w:p w14:paraId="19BD76B5" w14:textId="77777777" w:rsidR="00BC5219" w:rsidRPr="001D6D48" w:rsidRDefault="00BC5219" w:rsidP="00E83802">
            <w:pPr>
              <w:rPr>
                <w:rFonts w:ascii="Meta Pro" w:eastAsia="Times New Roman" w:hAnsi="Meta Pro" w:cs="Times New Roman"/>
                <w:sz w:val="20"/>
                <w:szCs w:val="20"/>
                <w:lang w:eastAsia="en-AU"/>
              </w:rPr>
            </w:pPr>
          </w:p>
        </w:tc>
        <w:tc>
          <w:tcPr>
            <w:tcW w:w="1244" w:type="dxa"/>
            <w:vMerge/>
            <w:tcBorders>
              <w:top w:val="nil"/>
              <w:left w:val="nil"/>
              <w:bottom w:val="nil"/>
              <w:right w:val="nil"/>
            </w:tcBorders>
            <w:vAlign w:val="center"/>
            <w:hideMark/>
          </w:tcPr>
          <w:p w14:paraId="147FC577" w14:textId="77777777" w:rsidR="00BC5219" w:rsidRPr="001D6D48" w:rsidRDefault="00BC5219" w:rsidP="00E83802">
            <w:pPr>
              <w:rPr>
                <w:rFonts w:ascii="Meta Pro" w:eastAsia="Times New Roman" w:hAnsi="Meta Pro"/>
                <w:b/>
                <w:bCs/>
                <w:szCs w:val="18"/>
                <w:lang w:eastAsia="en-AU"/>
              </w:rPr>
            </w:pPr>
          </w:p>
        </w:tc>
        <w:tc>
          <w:tcPr>
            <w:tcW w:w="54" w:type="dxa"/>
            <w:tcBorders>
              <w:top w:val="nil"/>
              <w:left w:val="nil"/>
              <w:bottom w:val="nil"/>
              <w:right w:val="nil"/>
            </w:tcBorders>
            <w:shd w:val="clear" w:color="auto" w:fill="auto"/>
            <w:hideMark/>
          </w:tcPr>
          <w:p w14:paraId="04C71331" w14:textId="77777777" w:rsidR="00BC5219" w:rsidRPr="001D6D48" w:rsidRDefault="00BC5219" w:rsidP="00E83802">
            <w:pPr>
              <w:rPr>
                <w:rFonts w:ascii="Meta Pro" w:eastAsia="Times New Roman" w:hAnsi="Meta Pro" w:cs="Times New Roman"/>
                <w:sz w:val="20"/>
                <w:szCs w:val="20"/>
                <w:lang w:eastAsia="en-AU"/>
              </w:rPr>
            </w:pPr>
          </w:p>
        </w:tc>
        <w:tc>
          <w:tcPr>
            <w:tcW w:w="1216" w:type="dxa"/>
            <w:vMerge/>
            <w:tcBorders>
              <w:top w:val="nil"/>
              <w:left w:val="nil"/>
              <w:bottom w:val="nil"/>
              <w:right w:val="nil"/>
            </w:tcBorders>
            <w:vAlign w:val="center"/>
            <w:hideMark/>
          </w:tcPr>
          <w:p w14:paraId="6437F1AD" w14:textId="77777777" w:rsidR="00BC5219" w:rsidRPr="001D6D48" w:rsidRDefault="00BC5219" w:rsidP="00E83802">
            <w:pPr>
              <w:rPr>
                <w:rFonts w:ascii="Meta Pro" w:eastAsia="Times New Roman" w:hAnsi="Meta Pro"/>
                <w:b/>
                <w:bCs/>
                <w:szCs w:val="18"/>
                <w:lang w:eastAsia="en-AU"/>
              </w:rPr>
            </w:pPr>
          </w:p>
        </w:tc>
        <w:tc>
          <w:tcPr>
            <w:tcW w:w="54" w:type="dxa"/>
            <w:tcBorders>
              <w:top w:val="nil"/>
              <w:left w:val="nil"/>
              <w:bottom w:val="nil"/>
              <w:right w:val="nil"/>
            </w:tcBorders>
            <w:shd w:val="clear" w:color="auto" w:fill="auto"/>
            <w:hideMark/>
          </w:tcPr>
          <w:p w14:paraId="513F6080" w14:textId="77777777" w:rsidR="00BC5219" w:rsidRPr="001D6D48" w:rsidRDefault="00BC5219" w:rsidP="00E83802">
            <w:pPr>
              <w:jc w:val="center"/>
              <w:rPr>
                <w:rFonts w:ascii="Meta Pro" w:eastAsia="Times New Roman" w:hAnsi="Meta Pro" w:cs="Times New Roman"/>
                <w:sz w:val="20"/>
                <w:szCs w:val="20"/>
                <w:lang w:eastAsia="en-AU"/>
              </w:rPr>
            </w:pPr>
          </w:p>
        </w:tc>
        <w:tc>
          <w:tcPr>
            <w:tcW w:w="1333" w:type="dxa"/>
            <w:vMerge/>
            <w:tcBorders>
              <w:top w:val="nil"/>
              <w:left w:val="nil"/>
              <w:bottom w:val="nil"/>
              <w:right w:val="nil"/>
            </w:tcBorders>
            <w:vAlign w:val="center"/>
            <w:hideMark/>
          </w:tcPr>
          <w:p w14:paraId="0765E280" w14:textId="77777777" w:rsidR="00BC5219" w:rsidRPr="001D6D48" w:rsidRDefault="00BC5219" w:rsidP="00E83802">
            <w:pPr>
              <w:rPr>
                <w:rFonts w:ascii="Meta Pro" w:eastAsia="Times New Roman" w:hAnsi="Meta Pro"/>
                <w:b/>
                <w:bCs/>
                <w:szCs w:val="18"/>
                <w:lang w:eastAsia="en-AU"/>
              </w:rPr>
            </w:pPr>
          </w:p>
        </w:tc>
      </w:tr>
      <w:tr w:rsidR="00BC5219" w:rsidRPr="001D6D48" w14:paraId="2028248E" w14:textId="77777777" w:rsidTr="00E83802">
        <w:trPr>
          <w:trHeight w:val="23"/>
        </w:trPr>
        <w:tc>
          <w:tcPr>
            <w:tcW w:w="5840" w:type="dxa"/>
            <w:tcBorders>
              <w:top w:val="nil"/>
              <w:left w:val="nil"/>
              <w:bottom w:val="nil"/>
              <w:right w:val="nil"/>
            </w:tcBorders>
            <w:shd w:val="clear" w:color="auto" w:fill="auto"/>
            <w:noWrap/>
            <w:vAlign w:val="center"/>
            <w:hideMark/>
          </w:tcPr>
          <w:p w14:paraId="53D4F0B6" w14:textId="77777777" w:rsidR="00BC5219" w:rsidRPr="001D6D48" w:rsidRDefault="00BC5219" w:rsidP="00E83802">
            <w:pPr>
              <w:jc w:val="center"/>
              <w:rPr>
                <w:rFonts w:ascii="Meta Pro" w:eastAsia="Times New Roman" w:hAnsi="Meta Pro" w:cs="Times New Roman"/>
                <w:sz w:val="20"/>
                <w:szCs w:val="20"/>
                <w:lang w:eastAsia="en-AU"/>
              </w:rPr>
            </w:pPr>
          </w:p>
        </w:tc>
        <w:tc>
          <w:tcPr>
            <w:tcW w:w="1242" w:type="dxa"/>
            <w:tcBorders>
              <w:top w:val="nil"/>
              <w:left w:val="nil"/>
              <w:bottom w:val="nil"/>
              <w:right w:val="nil"/>
            </w:tcBorders>
            <w:shd w:val="clear" w:color="auto" w:fill="auto"/>
            <w:noWrap/>
            <w:vAlign w:val="center"/>
            <w:hideMark/>
          </w:tcPr>
          <w:p w14:paraId="2B234D7C" w14:textId="77777777" w:rsidR="00BC5219" w:rsidRPr="001D6D48" w:rsidRDefault="00BC5219" w:rsidP="00E83802">
            <w:pPr>
              <w:jc w:val="center"/>
              <w:rPr>
                <w:rFonts w:ascii="Meta Pro" w:eastAsia="Times New Roman" w:hAnsi="Meta Pro"/>
                <w:b/>
                <w:bCs/>
                <w:szCs w:val="18"/>
                <w:lang w:eastAsia="en-AU"/>
              </w:rPr>
            </w:pPr>
            <w:r w:rsidRPr="001D6D48">
              <w:rPr>
                <w:rFonts w:ascii="Meta Pro" w:eastAsia="Times New Roman" w:hAnsi="Meta Pro"/>
                <w:b/>
                <w:bCs/>
                <w:szCs w:val="18"/>
                <w:lang w:eastAsia="en-AU"/>
              </w:rPr>
              <w:t>2022</w:t>
            </w:r>
          </w:p>
        </w:tc>
        <w:tc>
          <w:tcPr>
            <w:tcW w:w="55" w:type="dxa"/>
            <w:tcBorders>
              <w:top w:val="nil"/>
              <w:left w:val="nil"/>
              <w:bottom w:val="nil"/>
              <w:right w:val="nil"/>
            </w:tcBorders>
            <w:shd w:val="clear" w:color="auto" w:fill="auto"/>
            <w:noWrap/>
            <w:vAlign w:val="center"/>
            <w:hideMark/>
          </w:tcPr>
          <w:p w14:paraId="04605FF3" w14:textId="77777777" w:rsidR="00BC5219" w:rsidRPr="001D6D48" w:rsidRDefault="00BC5219" w:rsidP="00E83802">
            <w:pPr>
              <w:jc w:val="center"/>
              <w:rPr>
                <w:rFonts w:ascii="Meta Pro" w:eastAsia="Times New Roman" w:hAnsi="Meta Pro"/>
                <w:b/>
                <w:bCs/>
                <w:szCs w:val="18"/>
                <w:lang w:eastAsia="en-AU"/>
              </w:rPr>
            </w:pPr>
          </w:p>
        </w:tc>
        <w:tc>
          <w:tcPr>
            <w:tcW w:w="1375" w:type="dxa"/>
            <w:tcBorders>
              <w:top w:val="nil"/>
              <w:left w:val="nil"/>
              <w:bottom w:val="nil"/>
              <w:right w:val="nil"/>
            </w:tcBorders>
            <w:shd w:val="clear" w:color="auto" w:fill="auto"/>
            <w:noWrap/>
            <w:vAlign w:val="center"/>
            <w:hideMark/>
          </w:tcPr>
          <w:p w14:paraId="004D8ED9" w14:textId="77777777" w:rsidR="00BC5219" w:rsidRPr="001D6D48" w:rsidRDefault="00BC5219" w:rsidP="00E83802">
            <w:pPr>
              <w:jc w:val="center"/>
              <w:rPr>
                <w:rFonts w:ascii="Meta Pro" w:eastAsia="Times New Roman" w:hAnsi="Meta Pro"/>
                <w:b/>
                <w:bCs/>
                <w:szCs w:val="18"/>
                <w:lang w:eastAsia="en-AU"/>
              </w:rPr>
            </w:pPr>
            <w:r w:rsidRPr="001D6D48">
              <w:rPr>
                <w:rFonts w:ascii="Meta Pro" w:eastAsia="Times New Roman" w:hAnsi="Meta Pro"/>
                <w:b/>
                <w:bCs/>
                <w:szCs w:val="18"/>
                <w:lang w:eastAsia="en-AU"/>
              </w:rPr>
              <w:t>2022</w:t>
            </w:r>
          </w:p>
        </w:tc>
        <w:tc>
          <w:tcPr>
            <w:tcW w:w="54" w:type="dxa"/>
            <w:tcBorders>
              <w:top w:val="nil"/>
              <w:left w:val="nil"/>
              <w:bottom w:val="nil"/>
              <w:right w:val="nil"/>
            </w:tcBorders>
            <w:shd w:val="clear" w:color="auto" w:fill="auto"/>
            <w:noWrap/>
            <w:vAlign w:val="center"/>
            <w:hideMark/>
          </w:tcPr>
          <w:p w14:paraId="3A6DDCB2" w14:textId="77777777" w:rsidR="00BC5219" w:rsidRPr="001D6D48" w:rsidRDefault="00BC5219" w:rsidP="00E83802">
            <w:pPr>
              <w:jc w:val="center"/>
              <w:rPr>
                <w:rFonts w:ascii="Meta Pro" w:eastAsia="Times New Roman" w:hAnsi="Meta Pro"/>
                <w:b/>
                <w:bCs/>
                <w:szCs w:val="18"/>
                <w:lang w:eastAsia="en-AU"/>
              </w:rPr>
            </w:pPr>
          </w:p>
        </w:tc>
        <w:tc>
          <w:tcPr>
            <w:tcW w:w="1309" w:type="dxa"/>
            <w:tcBorders>
              <w:top w:val="nil"/>
              <w:left w:val="nil"/>
              <w:bottom w:val="nil"/>
              <w:right w:val="nil"/>
            </w:tcBorders>
            <w:shd w:val="clear" w:color="auto" w:fill="auto"/>
            <w:noWrap/>
            <w:vAlign w:val="center"/>
            <w:hideMark/>
          </w:tcPr>
          <w:p w14:paraId="23B8658B" w14:textId="77777777" w:rsidR="00BC5219" w:rsidRPr="001D6D48" w:rsidRDefault="00BC5219" w:rsidP="00E83802">
            <w:pPr>
              <w:jc w:val="center"/>
              <w:rPr>
                <w:rFonts w:ascii="Meta Pro" w:eastAsia="Times New Roman" w:hAnsi="Meta Pro"/>
                <w:b/>
                <w:bCs/>
                <w:szCs w:val="18"/>
                <w:lang w:eastAsia="en-AU"/>
              </w:rPr>
            </w:pPr>
            <w:r w:rsidRPr="001D6D48">
              <w:rPr>
                <w:rFonts w:ascii="Meta Pro" w:eastAsia="Times New Roman" w:hAnsi="Meta Pro"/>
                <w:b/>
                <w:bCs/>
                <w:szCs w:val="18"/>
                <w:lang w:eastAsia="en-AU"/>
              </w:rPr>
              <w:t>2022</w:t>
            </w:r>
          </w:p>
        </w:tc>
        <w:tc>
          <w:tcPr>
            <w:tcW w:w="54" w:type="dxa"/>
            <w:tcBorders>
              <w:top w:val="nil"/>
              <w:left w:val="nil"/>
              <w:bottom w:val="nil"/>
              <w:right w:val="nil"/>
            </w:tcBorders>
            <w:shd w:val="clear" w:color="auto" w:fill="auto"/>
            <w:noWrap/>
            <w:vAlign w:val="center"/>
            <w:hideMark/>
          </w:tcPr>
          <w:p w14:paraId="741C554B" w14:textId="77777777" w:rsidR="00BC5219" w:rsidRPr="001D6D48" w:rsidRDefault="00BC5219" w:rsidP="00E83802">
            <w:pPr>
              <w:jc w:val="center"/>
              <w:rPr>
                <w:rFonts w:ascii="Meta Pro" w:eastAsia="Times New Roman" w:hAnsi="Meta Pro"/>
                <w:b/>
                <w:bCs/>
                <w:szCs w:val="18"/>
                <w:lang w:eastAsia="en-AU"/>
              </w:rPr>
            </w:pPr>
          </w:p>
        </w:tc>
        <w:tc>
          <w:tcPr>
            <w:tcW w:w="1291" w:type="dxa"/>
            <w:tcBorders>
              <w:top w:val="nil"/>
              <w:left w:val="nil"/>
              <w:bottom w:val="nil"/>
              <w:right w:val="nil"/>
            </w:tcBorders>
            <w:shd w:val="clear" w:color="auto" w:fill="auto"/>
            <w:noWrap/>
            <w:vAlign w:val="center"/>
            <w:hideMark/>
          </w:tcPr>
          <w:p w14:paraId="7E01093D" w14:textId="77777777" w:rsidR="00BC5219" w:rsidRPr="001D6D48" w:rsidRDefault="00BC5219" w:rsidP="00E83802">
            <w:pPr>
              <w:jc w:val="center"/>
              <w:rPr>
                <w:rFonts w:ascii="Meta Pro" w:eastAsia="Times New Roman" w:hAnsi="Meta Pro"/>
                <w:b/>
                <w:bCs/>
                <w:szCs w:val="18"/>
                <w:lang w:eastAsia="en-AU"/>
              </w:rPr>
            </w:pPr>
            <w:r w:rsidRPr="001D6D48">
              <w:rPr>
                <w:rFonts w:ascii="Meta Pro" w:eastAsia="Times New Roman" w:hAnsi="Meta Pro"/>
                <w:b/>
                <w:bCs/>
                <w:szCs w:val="18"/>
                <w:lang w:eastAsia="en-AU"/>
              </w:rPr>
              <w:t>2022</w:t>
            </w:r>
          </w:p>
        </w:tc>
        <w:tc>
          <w:tcPr>
            <w:tcW w:w="54" w:type="dxa"/>
            <w:tcBorders>
              <w:top w:val="nil"/>
              <w:left w:val="nil"/>
              <w:bottom w:val="nil"/>
              <w:right w:val="nil"/>
            </w:tcBorders>
            <w:shd w:val="clear" w:color="auto" w:fill="auto"/>
            <w:noWrap/>
            <w:vAlign w:val="center"/>
            <w:hideMark/>
          </w:tcPr>
          <w:p w14:paraId="08CC780D" w14:textId="77777777" w:rsidR="00BC5219" w:rsidRPr="001D6D48" w:rsidRDefault="00BC5219" w:rsidP="00E83802">
            <w:pPr>
              <w:jc w:val="center"/>
              <w:rPr>
                <w:rFonts w:ascii="Meta Pro" w:eastAsia="Times New Roman" w:hAnsi="Meta Pro"/>
                <w:b/>
                <w:bCs/>
                <w:szCs w:val="18"/>
                <w:lang w:eastAsia="en-AU"/>
              </w:rPr>
            </w:pPr>
          </w:p>
        </w:tc>
        <w:tc>
          <w:tcPr>
            <w:tcW w:w="1270" w:type="dxa"/>
            <w:tcBorders>
              <w:top w:val="nil"/>
              <w:left w:val="nil"/>
              <w:bottom w:val="nil"/>
              <w:right w:val="nil"/>
            </w:tcBorders>
            <w:shd w:val="clear" w:color="auto" w:fill="auto"/>
            <w:noWrap/>
            <w:vAlign w:val="center"/>
            <w:hideMark/>
          </w:tcPr>
          <w:p w14:paraId="27264D30" w14:textId="77777777" w:rsidR="00BC5219" w:rsidRPr="001D6D48" w:rsidRDefault="00BC5219" w:rsidP="00E83802">
            <w:pPr>
              <w:jc w:val="center"/>
              <w:rPr>
                <w:rFonts w:ascii="Meta Pro" w:eastAsia="Times New Roman" w:hAnsi="Meta Pro"/>
                <w:b/>
                <w:bCs/>
                <w:szCs w:val="18"/>
                <w:lang w:eastAsia="en-AU"/>
              </w:rPr>
            </w:pPr>
            <w:r w:rsidRPr="001D6D48">
              <w:rPr>
                <w:rFonts w:ascii="Meta Pro" w:eastAsia="Times New Roman" w:hAnsi="Meta Pro"/>
                <w:b/>
                <w:bCs/>
                <w:szCs w:val="18"/>
                <w:lang w:eastAsia="en-AU"/>
              </w:rPr>
              <w:t>2022</w:t>
            </w:r>
          </w:p>
        </w:tc>
        <w:tc>
          <w:tcPr>
            <w:tcW w:w="54" w:type="dxa"/>
            <w:tcBorders>
              <w:top w:val="nil"/>
              <w:left w:val="nil"/>
              <w:bottom w:val="nil"/>
              <w:right w:val="nil"/>
            </w:tcBorders>
            <w:shd w:val="clear" w:color="auto" w:fill="auto"/>
            <w:noWrap/>
            <w:vAlign w:val="center"/>
            <w:hideMark/>
          </w:tcPr>
          <w:p w14:paraId="036BE257" w14:textId="77777777" w:rsidR="00BC5219" w:rsidRPr="001D6D48" w:rsidRDefault="00BC5219" w:rsidP="00E83802">
            <w:pPr>
              <w:jc w:val="center"/>
              <w:rPr>
                <w:rFonts w:ascii="Meta Pro" w:eastAsia="Times New Roman" w:hAnsi="Meta Pro"/>
                <w:b/>
                <w:bCs/>
                <w:szCs w:val="18"/>
                <w:lang w:eastAsia="en-AU"/>
              </w:rPr>
            </w:pPr>
          </w:p>
        </w:tc>
        <w:tc>
          <w:tcPr>
            <w:tcW w:w="1126" w:type="dxa"/>
            <w:gridSpan w:val="2"/>
            <w:tcBorders>
              <w:top w:val="nil"/>
              <w:left w:val="nil"/>
              <w:bottom w:val="nil"/>
              <w:right w:val="nil"/>
            </w:tcBorders>
            <w:shd w:val="clear" w:color="auto" w:fill="auto"/>
            <w:noWrap/>
            <w:vAlign w:val="center"/>
            <w:hideMark/>
          </w:tcPr>
          <w:p w14:paraId="5CD6C40C" w14:textId="77777777" w:rsidR="00BC5219" w:rsidRPr="001D6D48" w:rsidRDefault="00BC5219" w:rsidP="00E83802">
            <w:pPr>
              <w:jc w:val="center"/>
              <w:rPr>
                <w:rFonts w:ascii="Meta Pro" w:eastAsia="Times New Roman" w:hAnsi="Meta Pro"/>
                <w:b/>
                <w:bCs/>
                <w:szCs w:val="18"/>
                <w:lang w:eastAsia="en-AU"/>
              </w:rPr>
            </w:pPr>
            <w:r w:rsidRPr="001D6D48">
              <w:rPr>
                <w:rFonts w:ascii="Meta Pro" w:eastAsia="Times New Roman" w:hAnsi="Meta Pro"/>
                <w:b/>
                <w:bCs/>
                <w:szCs w:val="18"/>
                <w:lang w:eastAsia="en-AU"/>
              </w:rPr>
              <w:t>2022</w:t>
            </w:r>
          </w:p>
        </w:tc>
        <w:tc>
          <w:tcPr>
            <w:tcW w:w="54" w:type="dxa"/>
            <w:tcBorders>
              <w:top w:val="nil"/>
              <w:left w:val="nil"/>
              <w:bottom w:val="nil"/>
              <w:right w:val="nil"/>
            </w:tcBorders>
            <w:shd w:val="clear" w:color="auto" w:fill="auto"/>
            <w:noWrap/>
            <w:vAlign w:val="center"/>
            <w:hideMark/>
          </w:tcPr>
          <w:p w14:paraId="362BF327" w14:textId="77777777" w:rsidR="00BC5219" w:rsidRPr="001D6D48" w:rsidRDefault="00BC5219" w:rsidP="00E83802">
            <w:pPr>
              <w:jc w:val="center"/>
              <w:rPr>
                <w:rFonts w:ascii="Meta Pro" w:eastAsia="Times New Roman" w:hAnsi="Meta Pro"/>
                <w:b/>
                <w:bCs/>
                <w:szCs w:val="18"/>
                <w:lang w:eastAsia="en-AU"/>
              </w:rPr>
            </w:pPr>
          </w:p>
        </w:tc>
        <w:tc>
          <w:tcPr>
            <w:tcW w:w="1244" w:type="dxa"/>
            <w:tcBorders>
              <w:top w:val="nil"/>
              <w:left w:val="nil"/>
              <w:bottom w:val="nil"/>
              <w:right w:val="nil"/>
            </w:tcBorders>
            <w:shd w:val="clear" w:color="auto" w:fill="auto"/>
            <w:noWrap/>
            <w:vAlign w:val="center"/>
            <w:hideMark/>
          </w:tcPr>
          <w:p w14:paraId="4F1BDD22" w14:textId="77777777" w:rsidR="00BC5219" w:rsidRPr="001D6D48" w:rsidRDefault="00BC5219" w:rsidP="00E83802">
            <w:pPr>
              <w:jc w:val="center"/>
              <w:rPr>
                <w:rFonts w:ascii="Meta Pro" w:eastAsia="Times New Roman" w:hAnsi="Meta Pro"/>
                <w:b/>
                <w:bCs/>
                <w:szCs w:val="18"/>
                <w:lang w:eastAsia="en-AU"/>
              </w:rPr>
            </w:pPr>
            <w:r w:rsidRPr="001D6D48">
              <w:rPr>
                <w:rFonts w:ascii="Meta Pro" w:eastAsia="Times New Roman" w:hAnsi="Meta Pro"/>
                <w:b/>
                <w:bCs/>
                <w:szCs w:val="18"/>
                <w:lang w:eastAsia="en-AU"/>
              </w:rPr>
              <w:t>2022</w:t>
            </w:r>
          </w:p>
        </w:tc>
        <w:tc>
          <w:tcPr>
            <w:tcW w:w="54" w:type="dxa"/>
            <w:tcBorders>
              <w:top w:val="nil"/>
              <w:left w:val="nil"/>
              <w:bottom w:val="nil"/>
              <w:right w:val="nil"/>
            </w:tcBorders>
            <w:shd w:val="clear" w:color="auto" w:fill="auto"/>
            <w:noWrap/>
            <w:vAlign w:val="center"/>
            <w:hideMark/>
          </w:tcPr>
          <w:p w14:paraId="7AFF4381" w14:textId="77777777" w:rsidR="00BC5219" w:rsidRPr="001D6D48" w:rsidRDefault="00BC5219" w:rsidP="00E83802">
            <w:pPr>
              <w:jc w:val="center"/>
              <w:rPr>
                <w:rFonts w:ascii="Meta Pro" w:eastAsia="Times New Roman" w:hAnsi="Meta Pro"/>
                <w:b/>
                <w:bCs/>
                <w:szCs w:val="18"/>
                <w:lang w:eastAsia="en-AU"/>
              </w:rPr>
            </w:pPr>
          </w:p>
        </w:tc>
        <w:tc>
          <w:tcPr>
            <w:tcW w:w="1216" w:type="dxa"/>
            <w:tcBorders>
              <w:top w:val="nil"/>
              <w:left w:val="nil"/>
              <w:bottom w:val="nil"/>
              <w:right w:val="nil"/>
            </w:tcBorders>
            <w:shd w:val="clear" w:color="auto" w:fill="auto"/>
            <w:noWrap/>
            <w:vAlign w:val="center"/>
            <w:hideMark/>
          </w:tcPr>
          <w:p w14:paraId="2DCDAA1E" w14:textId="77777777" w:rsidR="00BC5219" w:rsidRPr="001D6D48" w:rsidRDefault="00BC5219" w:rsidP="00E83802">
            <w:pPr>
              <w:jc w:val="center"/>
              <w:rPr>
                <w:rFonts w:ascii="Meta Pro" w:eastAsia="Times New Roman" w:hAnsi="Meta Pro"/>
                <w:b/>
                <w:bCs/>
                <w:szCs w:val="18"/>
                <w:lang w:eastAsia="en-AU"/>
              </w:rPr>
            </w:pPr>
            <w:r w:rsidRPr="001D6D48">
              <w:rPr>
                <w:rFonts w:ascii="Meta Pro" w:eastAsia="Times New Roman" w:hAnsi="Meta Pro"/>
                <w:b/>
                <w:bCs/>
                <w:szCs w:val="18"/>
                <w:lang w:eastAsia="en-AU"/>
              </w:rPr>
              <w:t>2022</w:t>
            </w:r>
          </w:p>
        </w:tc>
        <w:tc>
          <w:tcPr>
            <w:tcW w:w="54" w:type="dxa"/>
            <w:tcBorders>
              <w:top w:val="nil"/>
              <w:left w:val="nil"/>
              <w:bottom w:val="nil"/>
              <w:right w:val="nil"/>
            </w:tcBorders>
            <w:shd w:val="clear" w:color="auto" w:fill="auto"/>
            <w:noWrap/>
            <w:vAlign w:val="center"/>
            <w:hideMark/>
          </w:tcPr>
          <w:p w14:paraId="46041D49" w14:textId="77777777" w:rsidR="00BC5219" w:rsidRPr="001D6D48" w:rsidRDefault="00BC5219" w:rsidP="00E83802">
            <w:pPr>
              <w:jc w:val="center"/>
              <w:rPr>
                <w:rFonts w:ascii="Meta Pro" w:eastAsia="Times New Roman" w:hAnsi="Meta Pro"/>
                <w:b/>
                <w:bCs/>
                <w:szCs w:val="18"/>
                <w:lang w:eastAsia="en-AU"/>
              </w:rPr>
            </w:pPr>
          </w:p>
        </w:tc>
        <w:tc>
          <w:tcPr>
            <w:tcW w:w="1333" w:type="dxa"/>
            <w:tcBorders>
              <w:top w:val="nil"/>
              <w:left w:val="nil"/>
              <w:bottom w:val="nil"/>
              <w:right w:val="nil"/>
            </w:tcBorders>
            <w:shd w:val="clear" w:color="auto" w:fill="auto"/>
            <w:noWrap/>
            <w:vAlign w:val="center"/>
            <w:hideMark/>
          </w:tcPr>
          <w:p w14:paraId="26E451F0" w14:textId="77777777" w:rsidR="00BC5219" w:rsidRPr="001D6D48" w:rsidRDefault="00BC5219" w:rsidP="00E83802">
            <w:pPr>
              <w:jc w:val="center"/>
              <w:rPr>
                <w:rFonts w:ascii="Meta Pro" w:eastAsia="Times New Roman" w:hAnsi="Meta Pro"/>
                <w:b/>
                <w:bCs/>
                <w:szCs w:val="18"/>
                <w:lang w:eastAsia="en-AU"/>
              </w:rPr>
            </w:pPr>
            <w:r w:rsidRPr="001D6D48">
              <w:rPr>
                <w:rFonts w:ascii="Meta Pro" w:eastAsia="Times New Roman" w:hAnsi="Meta Pro"/>
                <w:b/>
                <w:bCs/>
                <w:szCs w:val="18"/>
                <w:lang w:eastAsia="en-AU"/>
              </w:rPr>
              <w:t>2022</w:t>
            </w:r>
          </w:p>
        </w:tc>
      </w:tr>
      <w:tr w:rsidR="00BC5219" w:rsidRPr="001D6D48" w14:paraId="0BE736AA" w14:textId="77777777" w:rsidTr="00E83802">
        <w:trPr>
          <w:trHeight w:val="57"/>
        </w:trPr>
        <w:tc>
          <w:tcPr>
            <w:tcW w:w="5840" w:type="dxa"/>
            <w:tcBorders>
              <w:top w:val="nil"/>
              <w:left w:val="nil"/>
              <w:bottom w:val="nil"/>
              <w:right w:val="nil"/>
            </w:tcBorders>
            <w:shd w:val="clear" w:color="auto" w:fill="auto"/>
            <w:noWrap/>
            <w:vAlign w:val="center"/>
            <w:hideMark/>
          </w:tcPr>
          <w:p w14:paraId="3F0F1030" w14:textId="77777777" w:rsidR="00BC5219" w:rsidRPr="001D6D48" w:rsidRDefault="00BC5219" w:rsidP="00E83802">
            <w:pPr>
              <w:rPr>
                <w:rFonts w:ascii="Meta Pro" w:eastAsia="Times New Roman" w:hAnsi="Meta Pro"/>
                <w:b/>
                <w:bCs/>
                <w:szCs w:val="18"/>
                <w:lang w:eastAsia="en-AU"/>
              </w:rPr>
            </w:pPr>
            <w:r w:rsidRPr="001D6D48">
              <w:rPr>
                <w:rFonts w:ascii="Meta Pro" w:eastAsia="Times New Roman" w:hAnsi="Meta Pro"/>
                <w:b/>
                <w:bCs/>
                <w:szCs w:val="18"/>
                <w:lang w:eastAsia="en-AU"/>
              </w:rPr>
              <w:t>Service concession assets</w:t>
            </w:r>
          </w:p>
        </w:tc>
        <w:tc>
          <w:tcPr>
            <w:tcW w:w="1242" w:type="dxa"/>
            <w:tcBorders>
              <w:top w:val="nil"/>
              <w:left w:val="nil"/>
              <w:bottom w:val="nil"/>
              <w:right w:val="nil"/>
            </w:tcBorders>
            <w:shd w:val="clear" w:color="auto" w:fill="auto"/>
            <w:noWrap/>
            <w:vAlign w:val="center"/>
            <w:hideMark/>
          </w:tcPr>
          <w:p w14:paraId="3FECC88B" w14:textId="77777777" w:rsidR="00BC5219" w:rsidRPr="001D6D48" w:rsidRDefault="00BC5219" w:rsidP="00E83802">
            <w:pPr>
              <w:jc w:val="center"/>
              <w:rPr>
                <w:rFonts w:ascii="Meta Pro" w:eastAsia="Times New Roman" w:hAnsi="Meta Pro"/>
                <w:b/>
                <w:bCs/>
                <w:szCs w:val="18"/>
                <w:lang w:eastAsia="en-AU"/>
              </w:rPr>
            </w:pPr>
            <w:r w:rsidRPr="001D6D48">
              <w:rPr>
                <w:rFonts w:ascii="Meta Pro" w:eastAsia="Times New Roman" w:hAnsi="Meta Pro"/>
                <w:b/>
                <w:bCs/>
                <w:szCs w:val="18"/>
                <w:lang w:eastAsia="en-AU"/>
              </w:rPr>
              <w:t>$'000</w:t>
            </w:r>
          </w:p>
        </w:tc>
        <w:tc>
          <w:tcPr>
            <w:tcW w:w="55" w:type="dxa"/>
            <w:tcBorders>
              <w:top w:val="nil"/>
              <w:left w:val="nil"/>
              <w:bottom w:val="nil"/>
              <w:right w:val="nil"/>
            </w:tcBorders>
            <w:shd w:val="clear" w:color="auto" w:fill="auto"/>
            <w:noWrap/>
            <w:vAlign w:val="center"/>
            <w:hideMark/>
          </w:tcPr>
          <w:p w14:paraId="79D664CB" w14:textId="77777777" w:rsidR="00BC5219" w:rsidRPr="001D6D48" w:rsidRDefault="00BC5219" w:rsidP="00E83802">
            <w:pPr>
              <w:jc w:val="center"/>
              <w:rPr>
                <w:rFonts w:ascii="Meta Pro" w:eastAsia="Times New Roman" w:hAnsi="Meta Pro"/>
                <w:b/>
                <w:bCs/>
                <w:szCs w:val="18"/>
                <w:lang w:eastAsia="en-AU"/>
              </w:rPr>
            </w:pPr>
          </w:p>
        </w:tc>
        <w:tc>
          <w:tcPr>
            <w:tcW w:w="1375" w:type="dxa"/>
            <w:tcBorders>
              <w:top w:val="nil"/>
              <w:left w:val="nil"/>
              <w:bottom w:val="nil"/>
              <w:right w:val="nil"/>
            </w:tcBorders>
            <w:shd w:val="clear" w:color="auto" w:fill="auto"/>
            <w:noWrap/>
            <w:vAlign w:val="center"/>
            <w:hideMark/>
          </w:tcPr>
          <w:p w14:paraId="30E5B9F5" w14:textId="77777777" w:rsidR="00BC5219" w:rsidRPr="001D6D48" w:rsidRDefault="00BC5219" w:rsidP="00E83802">
            <w:pPr>
              <w:jc w:val="center"/>
              <w:rPr>
                <w:rFonts w:ascii="Meta Pro" w:eastAsia="Times New Roman" w:hAnsi="Meta Pro"/>
                <w:b/>
                <w:bCs/>
                <w:szCs w:val="18"/>
                <w:lang w:eastAsia="en-AU"/>
              </w:rPr>
            </w:pPr>
            <w:r w:rsidRPr="001D6D48">
              <w:rPr>
                <w:rFonts w:ascii="Meta Pro" w:eastAsia="Times New Roman" w:hAnsi="Meta Pro"/>
                <w:b/>
                <w:bCs/>
                <w:szCs w:val="18"/>
                <w:lang w:eastAsia="en-AU"/>
              </w:rPr>
              <w:t>$'000</w:t>
            </w:r>
          </w:p>
        </w:tc>
        <w:tc>
          <w:tcPr>
            <w:tcW w:w="54" w:type="dxa"/>
            <w:tcBorders>
              <w:top w:val="nil"/>
              <w:left w:val="nil"/>
              <w:bottom w:val="nil"/>
              <w:right w:val="nil"/>
            </w:tcBorders>
            <w:shd w:val="clear" w:color="auto" w:fill="auto"/>
            <w:noWrap/>
            <w:vAlign w:val="center"/>
            <w:hideMark/>
          </w:tcPr>
          <w:p w14:paraId="781BA95E" w14:textId="77777777" w:rsidR="00BC5219" w:rsidRPr="001D6D48" w:rsidRDefault="00BC5219" w:rsidP="00E83802">
            <w:pPr>
              <w:jc w:val="center"/>
              <w:rPr>
                <w:rFonts w:ascii="Meta Pro" w:eastAsia="Times New Roman" w:hAnsi="Meta Pro"/>
                <w:b/>
                <w:bCs/>
                <w:szCs w:val="18"/>
                <w:lang w:eastAsia="en-AU"/>
              </w:rPr>
            </w:pPr>
          </w:p>
        </w:tc>
        <w:tc>
          <w:tcPr>
            <w:tcW w:w="1309" w:type="dxa"/>
            <w:tcBorders>
              <w:top w:val="nil"/>
              <w:left w:val="nil"/>
              <w:bottom w:val="nil"/>
              <w:right w:val="nil"/>
            </w:tcBorders>
            <w:shd w:val="clear" w:color="auto" w:fill="auto"/>
            <w:noWrap/>
            <w:vAlign w:val="center"/>
            <w:hideMark/>
          </w:tcPr>
          <w:p w14:paraId="583D7249" w14:textId="77777777" w:rsidR="00BC5219" w:rsidRPr="001D6D48" w:rsidRDefault="00BC5219" w:rsidP="00E83802">
            <w:pPr>
              <w:jc w:val="center"/>
              <w:rPr>
                <w:rFonts w:ascii="Meta Pro" w:eastAsia="Times New Roman" w:hAnsi="Meta Pro"/>
                <w:b/>
                <w:bCs/>
                <w:szCs w:val="18"/>
                <w:lang w:eastAsia="en-AU"/>
              </w:rPr>
            </w:pPr>
            <w:r w:rsidRPr="001D6D48">
              <w:rPr>
                <w:rFonts w:ascii="Meta Pro" w:eastAsia="Times New Roman" w:hAnsi="Meta Pro"/>
                <w:b/>
                <w:bCs/>
                <w:szCs w:val="18"/>
                <w:lang w:eastAsia="en-AU"/>
              </w:rPr>
              <w:t>$'000</w:t>
            </w:r>
          </w:p>
        </w:tc>
        <w:tc>
          <w:tcPr>
            <w:tcW w:w="54" w:type="dxa"/>
            <w:tcBorders>
              <w:top w:val="nil"/>
              <w:left w:val="nil"/>
              <w:bottom w:val="nil"/>
              <w:right w:val="nil"/>
            </w:tcBorders>
            <w:shd w:val="clear" w:color="auto" w:fill="auto"/>
            <w:noWrap/>
            <w:vAlign w:val="center"/>
            <w:hideMark/>
          </w:tcPr>
          <w:p w14:paraId="48562D2A" w14:textId="77777777" w:rsidR="00BC5219" w:rsidRPr="001D6D48" w:rsidRDefault="00BC5219" w:rsidP="00E83802">
            <w:pPr>
              <w:jc w:val="center"/>
              <w:rPr>
                <w:rFonts w:ascii="Meta Pro" w:eastAsia="Times New Roman" w:hAnsi="Meta Pro"/>
                <w:b/>
                <w:bCs/>
                <w:szCs w:val="18"/>
                <w:lang w:eastAsia="en-AU"/>
              </w:rPr>
            </w:pPr>
          </w:p>
        </w:tc>
        <w:tc>
          <w:tcPr>
            <w:tcW w:w="1291" w:type="dxa"/>
            <w:tcBorders>
              <w:top w:val="nil"/>
              <w:left w:val="nil"/>
              <w:bottom w:val="nil"/>
              <w:right w:val="nil"/>
            </w:tcBorders>
            <w:shd w:val="clear" w:color="auto" w:fill="auto"/>
            <w:noWrap/>
            <w:vAlign w:val="center"/>
            <w:hideMark/>
          </w:tcPr>
          <w:p w14:paraId="2D0F8B83" w14:textId="77777777" w:rsidR="00BC5219" w:rsidRPr="001D6D48" w:rsidRDefault="00BC5219" w:rsidP="00E83802">
            <w:pPr>
              <w:jc w:val="center"/>
              <w:rPr>
                <w:rFonts w:ascii="Meta Pro" w:eastAsia="Times New Roman" w:hAnsi="Meta Pro"/>
                <w:b/>
                <w:bCs/>
                <w:szCs w:val="18"/>
                <w:lang w:eastAsia="en-AU"/>
              </w:rPr>
            </w:pPr>
            <w:r w:rsidRPr="001D6D48">
              <w:rPr>
                <w:rFonts w:ascii="Meta Pro" w:eastAsia="Times New Roman" w:hAnsi="Meta Pro"/>
                <w:b/>
                <w:bCs/>
                <w:szCs w:val="18"/>
                <w:lang w:eastAsia="en-AU"/>
              </w:rPr>
              <w:t>$'000</w:t>
            </w:r>
          </w:p>
        </w:tc>
        <w:tc>
          <w:tcPr>
            <w:tcW w:w="54" w:type="dxa"/>
            <w:tcBorders>
              <w:top w:val="nil"/>
              <w:left w:val="nil"/>
              <w:bottom w:val="nil"/>
              <w:right w:val="nil"/>
            </w:tcBorders>
            <w:shd w:val="clear" w:color="auto" w:fill="auto"/>
            <w:noWrap/>
            <w:vAlign w:val="center"/>
            <w:hideMark/>
          </w:tcPr>
          <w:p w14:paraId="4867DF9B" w14:textId="77777777" w:rsidR="00BC5219" w:rsidRPr="001D6D48" w:rsidRDefault="00BC5219" w:rsidP="00E83802">
            <w:pPr>
              <w:jc w:val="center"/>
              <w:rPr>
                <w:rFonts w:ascii="Meta Pro" w:eastAsia="Times New Roman" w:hAnsi="Meta Pro"/>
                <w:b/>
                <w:bCs/>
                <w:szCs w:val="18"/>
                <w:lang w:eastAsia="en-AU"/>
              </w:rPr>
            </w:pPr>
          </w:p>
        </w:tc>
        <w:tc>
          <w:tcPr>
            <w:tcW w:w="1270" w:type="dxa"/>
            <w:tcBorders>
              <w:top w:val="nil"/>
              <w:left w:val="nil"/>
              <w:bottom w:val="nil"/>
              <w:right w:val="nil"/>
            </w:tcBorders>
            <w:shd w:val="clear" w:color="auto" w:fill="auto"/>
            <w:noWrap/>
            <w:vAlign w:val="center"/>
            <w:hideMark/>
          </w:tcPr>
          <w:p w14:paraId="53FA0DEE" w14:textId="77777777" w:rsidR="00BC5219" w:rsidRPr="001D6D48" w:rsidRDefault="00BC5219" w:rsidP="00E83802">
            <w:pPr>
              <w:jc w:val="center"/>
              <w:rPr>
                <w:rFonts w:ascii="Meta Pro" w:eastAsia="Times New Roman" w:hAnsi="Meta Pro"/>
                <w:b/>
                <w:bCs/>
                <w:szCs w:val="18"/>
                <w:lang w:eastAsia="en-AU"/>
              </w:rPr>
            </w:pPr>
            <w:r w:rsidRPr="001D6D48">
              <w:rPr>
                <w:rFonts w:ascii="Meta Pro" w:eastAsia="Times New Roman" w:hAnsi="Meta Pro"/>
                <w:b/>
                <w:bCs/>
                <w:szCs w:val="18"/>
                <w:lang w:eastAsia="en-AU"/>
              </w:rPr>
              <w:t>$'000</w:t>
            </w:r>
          </w:p>
        </w:tc>
        <w:tc>
          <w:tcPr>
            <w:tcW w:w="54" w:type="dxa"/>
            <w:tcBorders>
              <w:top w:val="nil"/>
              <w:left w:val="nil"/>
              <w:bottom w:val="nil"/>
              <w:right w:val="nil"/>
            </w:tcBorders>
            <w:shd w:val="clear" w:color="auto" w:fill="auto"/>
            <w:noWrap/>
            <w:vAlign w:val="center"/>
            <w:hideMark/>
          </w:tcPr>
          <w:p w14:paraId="3AF54E62" w14:textId="77777777" w:rsidR="00BC5219" w:rsidRPr="001D6D48" w:rsidRDefault="00BC5219" w:rsidP="00E83802">
            <w:pPr>
              <w:jc w:val="center"/>
              <w:rPr>
                <w:rFonts w:ascii="Meta Pro" w:eastAsia="Times New Roman" w:hAnsi="Meta Pro"/>
                <w:b/>
                <w:bCs/>
                <w:szCs w:val="18"/>
                <w:lang w:eastAsia="en-AU"/>
              </w:rPr>
            </w:pPr>
          </w:p>
        </w:tc>
        <w:tc>
          <w:tcPr>
            <w:tcW w:w="1126" w:type="dxa"/>
            <w:gridSpan w:val="2"/>
            <w:tcBorders>
              <w:top w:val="nil"/>
              <w:left w:val="nil"/>
              <w:bottom w:val="nil"/>
              <w:right w:val="nil"/>
            </w:tcBorders>
            <w:shd w:val="clear" w:color="auto" w:fill="auto"/>
            <w:noWrap/>
            <w:vAlign w:val="center"/>
            <w:hideMark/>
          </w:tcPr>
          <w:p w14:paraId="6FCCE728" w14:textId="77777777" w:rsidR="00BC5219" w:rsidRPr="001D6D48" w:rsidRDefault="00BC5219" w:rsidP="00E83802">
            <w:pPr>
              <w:jc w:val="center"/>
              <w:rPr>
                <w:rFonts w:ascii="Meta Pro" w:eastAsia="Times New Roman" w:hAnsi="Meta Pro"/>
                <w:b/>
                <w:bCs/>
                <w:szCs w:val="18"/>
                <w:lang w:eastAsia="en-AU"/>
              </w:rPr>
            </w:pPr>
            <w:r w:rsidRPr="001D6D48">
              <w:rPr>
                <w:rFonts w:ascii="Meta Pro" w:eastAsia="Times New Roman" w:hAnsi="Meta Pro"/>
                <w:b/>
                <w:bCs/>
                <w:szCs w:val="18"/>
                <w:lang w:eastAsia="en-AU"/>
              </w:rPr>
              <w:t>$'000</w:t>
            </w:r>
          </w:p>
        </w:tc>
        <w:tc>
          <w:tcPr>
            <w:tcW w:w="54" w:type="dxa"/>
            <w:tcBorders>
              <w:top w:val="nil"/>
              <w:left w:val="nil"/>
              <w:bottom w:val="nil"/>
              <w:right w:val="nil"/>
            </w:tcBorders>
            <w:shd w:val="clear" w:color="auto" w:fill="auto"/>
            <w:noWrap/>
            <w:vAlign w:val="center"/>
            <w:hideMark/>
          </w:tcPr>
          <w:p w14:paraId="22CCD667" w14:textId="77777777" w:rsidR="00BC5219" w:rsidRPr="001D6D48" w:rsidRDefault="00BC5219" w:rsidP="00E83802">
            <w:pPr>
              <w:jc w:val="center"/>
              <w:rPr>
                <w:rFonts w:ascii="Meta Pro" w:eastAsia="Times New Roman" w:hAnsi="Meta Pro"/>
                <w:b/>
                <w:bCs/>
                <w:szCs w:val="18"/>
                <w:lang w:eastAsia="en-AU"/>
              </w:rPr>
            </w:pPr>
          </w:p>
        </w:tc>
        <w:tc>
          <w:tcPr>
            <w:tcW w:w="1244" w:type="dxa"/>
            <w:tcBorders>
              <w:top w:val="nil"/>
              <w:left w:val="nil"/>
              <w:bottom w:val="nil"/>
              <w:right w:val="nil"/>
            </w:tcBorders>
            <w:shd w:val="clear" w:color="auto" w:fill="auto"/>
            <w:noWrap/>
            <w:vAlign w:val="center"/>
            <w:hideMark/>
          </w:tcPr>
          <w:p w14:paraId="274A0469" w14:textId="77777777" w:rsidR="00BC5219" w:rsidRPr="001D6D48" w:rsidRDefault="00BC5219" w:rsidP="00E83802">
            <w:pPr>
              <w:jc w:val="center"/>
              <w:rPr>
                <w:rFonts w:ascii="Meta Pro" w:eastAsia="Times New Roman" w:hAnsi="Meta Pro"/>
                <w:b/>
                <w:bCs/>
                <w:szCs w:val="18"/>
                <w:lang w:eastAsia="en-AU"/>
              </w:rPr>
            </w:pPr>
            <w:r w:rsidRPr="001D6D48">
              <w:rPr>
                <w:rFonts w:ascii="Meta Pro" w:eastAsia="Times New Roman" w:hAnsi="Meta Pro"/>
                <w:b/>
                <w:bCs/>
                <w:szCs w:val="18"/>
                <w:lang w:eastAsia="en-AU"/>
              </w:rPr>
              <w:t>$'000</w:t>
            </w:r>
          </w:p>
        </w:tc>
        <w:tc>
          <w:tcPr>
            <w:tcW w:w="54" w:type="dxa"/>
            <w:tcBorders>
              <w:top w:val="nil"/>
              <w:left w:val="nil"/>
              <w:bottom w:val="nil"/>
              <w:right w:val="nil"/>
            </w:tcBorders>
            <w:shd w:val="clear" w:color="auto" w:fill="auto"/>
            <w:noWrap/>
            <w:vAlign w:val="center"/>
            <w:hideMark/>
          </w:tcPr>
          <w:p w14:paraId="5D980590" w14:textId="77777777" w:rsidR="00BC5219" w:rsidRPr="001D6D48" w:rsidRDefault="00BC5219" w:rsidP="00E83802">
            <w:pPr>
              <w:jc w:val="center"/>
              <w:rPr>
                <w:rFonts w:ascii="Meta Pro" w:eastAsia="Times New Roman" w:hAnsi="Meta Pro"/>
                <w:b/>
                <w:bCs/>
                <w:szCs w:val="18"/>
                <w:lang w:eastAsia="en-AU"/>
              </w:rPr>
            </w:pPr>
          </w:p>
        </w:tc>
        <w:tc>
          <w:tcPr>
            <w:tcW w:w="1216" w:type="dxa"/>
            <w:tcBorders>
              <w:top w:val="nil"/>
              <w:left w:val="nil"/>
              <w:bottom w:val="nil"/>
              <w:right w:val="nil"/>
            </w:tcBorders>
            <w:shd w:val="clear" w:color="auto" w:fill="auto"/>
            <w:noWrap/>
            <w:vAlign w:val="center"/>
            <w:hideMark/>
          </w:tcPr>
          <w:p w14:paraId="2C1A41DA" w14:textId="77777777" w:rsidR="00BC5219" w:rsidRPr="001D6D48" w:rsidRDefault="00BC5219" w:rsidP="00E83802">
            <w:pPr>
              <w:jc w:val="center"/>
              <w:rPr>
                <w:rFonts w:ascii="Meta Pro" w:eastAsia="Times New Roman" w:hAnsi="Meta Pro"/>
                <w:b/>
                <w:bCs/>
                <w:szCs w:val="18"/>
                <w:lang w:eastAsia="en-AU"/>
              </w:rPr>
            </w:pPr>
            <w:r w:rsidRPr="001D6D48">
              <w:rPr>
                <w:rFonts w:ascii="Meta Pro" w:eastAsia="Times New Roman" w:hAnsi="Meta Pro"/>
                <w:b/>
                <w:bCs/>
                <w:szCs w:val="18"/>
                <w:lang w:eastAsia="en-AU"/>
              </w:rPr>
              <w:t>$'000</w:t>
            </w:r>
          </w:p>
        </w:tc>
        <w:tc>
          <w:tcPr>
            <w:tcW w:w="54" w:type="dxa"/>
            <w:tcBorders>
              <w:top w:val="nil"/>
              <w:left w:val="nil"/>
              <w:bottom w:val="nil"/>
              <w:right w:val="nil"/>
            </w:tcBorders>
            <w:shd w:val="clear" w:color="auto" w:fill="auto"/>
            <w:noWrap/>
            <w:vAlign w:val="center"/>
            <w:hideMark/>
          </w:tcPr>
          <w:p w14:paraId="065D0830" w14:textId="77777777" w:rsidR="00BC5219" w:rsidRPr="001D6D48" w:rsidRDefault="00BC5219" w:rsidP="00E83802">
            <w:pPr>
              <w:jc w:val="center"/>
              <w:rPr>
                <w:rFonts w:ascii="Meta Pro" w:eastAsia="Times New Roman" w:hAnsi="Meta Pro"/>
                <w:b/>
                <w:bCs/>
                <w:szCs w:val="18"/>
                <w:lang w:eastAsia="en-AU"/>
              </w:rPr>
            </w:pPr>
          </w:p>
        </w:tc>
        <w:tc>
          <w:tcPr>
            <w:tcW w:w="1333" w:type="dxa"/>
            <w:tcBorders>
              <w:top w:val="nil"/>
              <w:left w:val="nil"/>
              <w:bottom w:val="nil"/>
              <w:right w:val="nil"/>
            </w:tcBorders>
            <w:shd w:val="clear" w:color="auto" w:fill="auto"/>
            <w:noWrap/>
            <w:vAlign w:val="center"/>
            <w:hideMark/>
          </w:tcPr>
          <w:p w14:paraId="3A0FD18F" w14:textId="77777777" w:rsidR="00BC5219" w:rsidRPr="001D6D48" w:rsidRDefault="00BC5219" w:rsidP="00E83802">
            <w:pPr>
              <w:jc w:val="center"/>
              <w:rPr>
                <w:rFonts w:ascii="Meta Pro" w:eastAsia="Times New Roman" w:hAnsi="Meta Pro"/>
                <w:b/>
                <w:bCs/>
                <w:szCs w:val="18"/>
                <w:lang w:eastAsia="en-AU"/>
              </w:rPr>
            </w:pPr>
            <w:r w:rsidRPr="001D6D48">
              <w:rPr>
                <w:rFonts w:ascii="Meta Pro" w:eastAsia="Times New Roman" w:hAnsi="Meta Pro"/>
                <w:b/>
                <w:bCs/>
                <w:szCs w:val="18"/>
                <w:lang w:eastAsia="en-AU"/>
              </w:rPr>
              <w:t>$'000</w:t>
            </w:r>
          </w:p>
        </w:tc>
      </w:tr>
      <w:tr w:rsidR="00BC5219" w:rsidRPr="001D6D48" w14:paraId="52EDFE74" w14:textId="77777777" w:rsidTr="00E83802">
        <w:trPr>
          <w:trHeight w:val="113"/>
        </w:trPr>
        <w:tc>
          <w:tcPr>
            <w:tcW w:w="5840" w:type="dxa"/>
            <w:tcBorders>
              <w:top w:val="nil"/>
              <w:left w:val="nil"/>
              <w:bottom w:val="nil"/>
              <w:right w:val="nil"/>
            </w:tcBorders>
            <w:shd w:val="clear" w:color="auto" w:fill="auto"/>
            <w:noWrap/>
            <w:vAlign w:val="center"/>
            <w:hideMark/>
          </w:tcPr>
          <w:p w14:paraId="4028D7D2" w14:textId="77777777" w:rsidR="00BC5219" w:rsidRPr="001D6D48" w:rsidRDefault="00BC5219" w:rsidP="00E83802">
            <w:pPr>
              <w:jc w:val="center"/>
              <w:rPr>
                <w:rFonts w:ascii="Meta Pro" w:eastAsia="Times New Roman" w:hAnsi="Meta Pro"/>
                <w:b/>
                <w:bCs/>
                <w:szCs w:val="18"/>
                <w:lang w:eastAsia="en-AU"/>
              </w:rPr>
            </w:pPr>
          </w:p>
        </w:tc>
        <w:tc>
          <w:tcPr>
            <w:tcW w:w="1242" w:type="dxa"/>
            <w:tcBorders>
              <w:top w:val="nil"/>
              <w:left w:val="nil"/>
              <w:bottom w:val="nil"/>
              <w:right w:val="nil"/>
            </w:tcBorders>
            <w:shd w:val="clear" w:color="auto" w:fill="auto"/>
            <w:noWrap/>
            <w:vAlign w:val="center"/>
            <w:hideMark/>
          </w:tcPr>
          <w:p w14:paraId="79EC78BD" w14:textId="77777777" w:rsidR="00BC5219" w:rsidRPr="001D6D48" w:rsidRDefault="00BC5219" w:rsidP="00E83802">
            <w:pPr>
              <w:rPr>
                <w:rFonts w:ascii="Meta Pro" w:eastAsia="Times New Roman" w:hAnsi="Meta Pro" w:cs="Times New Roman"/>
                <w:sz w:val="20"/>
                <w:szCs w:val="20"/>
                <w:lang w:eastAsia="en-AU"/>
              </w:rPr>
            </w:pPr>
          </w:p>
        </w:tc>
        <w:tc>
          <w:tcPr>
            <w:tcW w:w="55" w:type="dxa"/>
            <w:tcBorders>
              <w:top w:val="nil"/>
              <w:left w:val="nil"/>
              <w:bottom w:val="nil"/>
              <w:right w:val="nil"/>
            </w:tcBorders>
            <w:shd w:val="clear" w:color="auto" w:fill="auto"/>
            <w:noWrap/>
            <w:vAlign w:val="center"/>
            <w:hideMark/>
          </w:tcPr>
          <w:p w14:paraId="7FE0E89C" w14:textId="77777777" w:rsidR="00BC5219" w:rsidRPr="001D6D48" w:rsidRDefault="00BC5219" w:rsidP="00E83802">
            <w:pPr>
              <w:rPr>
                <w:rFonts w:ascii="Meta Pro" w:eastAsia="Times New Roman" w:hAnsi="Meta Pro" w:cs="Times New Roman"/>
                <w:sz w:val="20"/>
                <w:szCs w:val="20"/>
                <w:lang w:eastAsia="en-AU"/>
              </w:rPr>
            </w:pPr>
          </w:p>
        </w:tc>
        <w:tc>
          <w:tcPr>
            <w:tcW w:w="1375" w:type="dxa"/>
            <w:tcBorders>
              <w:top w:val="nil"/>
              <w:left w:val="nil"/>
              <w:bottom w:val="nil"/>
              <w:right w:val="nil"/>
            </w:tcBorders>
            <w:shd w:val="clear" w:color="auto" w:fill="auto"/>
            <w:noWrap/>
            <w:vAlign w:val="center"/>
            <w:hideMark/>
          </w:tcPr>
          <w:p w14:paraId="7248B5E9"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center"/>
            <w:hideMark/>
          </w:tcPr>
          <w:p w14:paraId="6A77949E" w14:textId="77777777" w:rsidR="00BC5219" w:rsidRPr="001D6D48" w:rsidRDefault="00BC5219" w:rsidP="00E83802">
            <w:pPr>
              <w:jc w:val="center"/>
              <w:rPr>
                <w:rFonts w:ascii="Meta Pro" w:eastAsia="Times New Roman" w:hAnsi="Meta Pro" w:cs="Times New Roman"/>
                <w:sz w:val="20"/>
                <w:szCs w:val="20"/>
                <w:lang w:eastAsia="en-AU"/>
              </w:rPr>
            </w:pPr>
          </w:p>
        </w:tc>
        <w:tc>
          <w:tcPr>
            <w:tcW w:w="1309" w:type="dxa"/>
            <w:tcBorders>
              <w:top w:val="nil"/>
              <w:left w:val="nil"/>
              <w:bottom w:val="nil"/>
              <w:right w:val="nil"/>
            </w:tcBorders>
            <w:shd w:val="clear" w:color="auto" w:fill="auto"/>
            <w:noWrap/>
            <w:vAlign w:val="center"/>
            <w:hideMark/>
          </w:tcPr>
          <w:p w14:paraId="088D5DAC"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center"/>
            <w:hideMark/>
          </w:tcPr>
          <w:p w14:paraId="324F5505" w14:textId="77777777" w:rsidR="00BC5219" w:rsidRPr="001D6D48" w:rsidRDefault="00BC5219" w:rsidP="00E83802">
            <w:pPr>
              <w:jc w:val="center"/>
              <w:rPr>
                <w:rFonts w:ascii="Meta Pro" w:eastAsia="Times New Roman" w:hAnsi="Meta Pro" w:cs="Times New Roman"/>
                <w:sz w:val="20"/>
                <w:szCs w:val="20"/>
                <w:lang w:eastAsia="en-AU"/>
              </w:rPr>
            </w:pPr>
          </w:p>
        </w:tc>
        <w:tc>
          <w:tcPr>
            <w:tcW w:w="1291" w:type="dxa"/>
            <w:tcBorders>
              <w:top w:val="nil"/>
              <w:left w:val="nil"/>
              <w:bottom w:val="nil"/>
              <w:right w:val="nil"/>
            </w:tcBorders>
            <w:shd w:val="clear" w:color="auto" w:fill="auto"/>
            <w:noWrap/>
            <w:vAlign w:val="center"/>
            <w:hideMark/>
          </w:tcPr>
          <w:p w14:paraId="287D69E0"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center"/>
            <w:hideMark/>
          </w:tcPr>
          <w:p w14:paraId="6E536DAB" w14:textId="77777777" w:rsidR="00BC5219" w:rsidRPr="001D6D48" w:rsidRDefault="00BC5219" w:rsidP="00E83802">
            <w:pPr>
              <w:jc w:val="center"/>
              <w:rPr>
                <w:rFonts w:ascii="Meta Pro" w:eastAsia="Times New Roman" w:hAnsi="Meta Pro" w:cs="Times New Roman"/>
                <w:sz w:val="20"/>
                <w:szCs w:val="20"/>
                <w:lang w:eastAsia="en-AU"/>
              </w:rPr>
            </w:pPr>
          </w:p>
        </w:tc>
        <w:tc>
          <w:tcPr>
            <w:tcW w:w="1270" w:type="dxa"/>
            <w:tcBorders>
              <w:top w:val="nil"/>
              <w:left w:val="nil"/>
              <w:bottom w:val="nil"/>
              <w:right w:val="nil"/>
            </w:tcBorders>
            <w:shd w:val="clear" w:color="auto" w:fill="auto"/>
            <w:noWrap/>
            <w:vAlign w:val="center"/>
            <w:hideMark/>
          </w:tcPr>
          <w:p w14:paraId="11A33B46"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center"/>
            <w:hideMark/>
          </w:tcPr>
          <w:p w14:paraId="3E25B389" w14:textId="77777777" w:rsidR="00BC5219" w:rsidRPr="001D6D48" w:rsidRDefault="00BC5219" w:rsidP="00E83802">
            <w:pPr>
              <w:jc w:val="center"/>
              <w:rPr>
                <w:rFonts w:ascii="Meta Pro" w:eastAsia="Times New Roman" w:hAnsi="Meta Pro" w:cs="Times New Roman"/>
                <w:sz w:val="20"/>
                <w:szCs w:val="20"/>
                <w:lang w:eastAsia="en-AU"/>
              </w:rPr>
            </w:pPr>
          </w:p>
        </w:tc>
        <w:tc>
          <w:tcPr>
            <w:tcW w:w="1126" w:type="dxa"/>
            <w:gridSpan w:val="2"/>
            <w:tcBorders>
              <w:top w:val="nil"/>
              <w:left w:val="nil"/>
              <w:bottom w:val="nil"/>
              <w:right w:val="nil"/>
            </w:tcBorders>
            <w:shd w:val="clear" w:color="auto" w:fill="auto"/>
            <w:noWrap/>
            <w:vAlign w:val="center"/>
            <w:hideMark/>
          </w:tcPr>
          <w:p w14:paraId="47657712"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center"/>
            <w:hideMark/>
          </w:tcPr>
          <w:p w14:paraId="1A95C163" w14:textId="77777777" w:rsidR="00BC5219" w:rsidRPr="001D6D48" w:rsidRDefault="00BC5219" w:rsidP="00E83802">
            <w:pPr>
              <w:jc w:val="center"/>
              <w:rPr>
                <w:rFonts w:ascii="Meta Pro" w:eastAsia="Times New Roman" w:hAnsi="Meta Pro" w:cs="Times New Roman"/>
                <w:sz w:val="20"/>
                <w:szCs w:val="20"/>
                <w:lang w:eastAsia="en-AU"/>
              </w:rPr>
            </w:pPr>
          </w:p>
        </w:tc>
        <w:tc>
          <w:tcPr>
            <w:tcW w:w="1244" w:type="dxa"/>
            <w:tcBorders>
              <w:top w:val="nil"/>
              <w:left w:val="nil"/>
              <w:bottom w:val="nil"/>
              <w:right w:val="nil"/>
            </w:tcBorders>
            <w:shd w:val="clear" w:color="auto" w:fill="auto"/>
            <w:noWrap/>
            <w:vAlign w:val="center"/>
            <w:hideMark/>
          </w:tcPr>
          <w:p w14:paraId="7E28B041"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center"/>
            <w:hideMark/>
          </w:tcPr>
          <w:p w14:paraId="79FE9DC7" w14:textId="77777777" w:rsidR="00BC5219" w:rsidRPr="001D6D48" w:rsidRDefault="00BC5219" w:rsidP="00E83802">
            <w:pPr>
              <w:jc w:val="center"/>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37F7D859"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center"/>
            <w:hideMark/>
          </w:tcPr>
          <w:p w14:paraId="3A33AE51" w14:textId="77777777" w:rsidR="00BC5219" w:rsidRPr="001D6D48" w:rsidRDefault="00BC5219" w:rsidP="00E83802">
            <w:pPr>
              <w:jc w:val="center"/>
              <w:rPr>
                <w:rFonts w:ascii="Meta Pro" w:eastAsia="Times New Roman" w:hAnsi="Meta Pro" w:cs="Times New Roman"/>
                <w:sz w:val="20"/>
                <w:szCs w:val="20"/>
                <w:lang w:eastAsia="en-AU"/>
              </w:rPr>
            </w:pPr>
          </w:p>
        </w:tc>
        <w:tc>
          <w:tcPr>
            <w:tcW w:w="1333" w:type="dxa"/>
            <w:tcBorders>
              <w:top w:val="nil"/>
              <w:left w:val="nil"/>
              <w:bottom w:val="nil"/>
              <w:right w:val="nil"/>
            </w:tcBorders>
            <w:shd w:val="clear" w:color="auto" w:fill="auto"/>
            <w:noWrap/>
            <w:vAlign w:val="center"/>
            <w:hideMark/>
          </w:tcPr>
          <w:p w14:paraId="6BB3270D" w14:textId="77777777" w:rsidR="00BC5219" w:rsidRPr="001D6D48" w:rsidRDefault="00BC5219" w:rsidP="00E83802">
            <w:pPr>
              <w:rPr>
                <w:rFonts w:ascii="Meta Pro" w:eastAsia="Times New Roman" w:hAnsi="Meta Pro" w:cs="Times New Roman"/>
                <w:sz w:val="20"/>
                <w:szCs w:val="20"/>
                <w:lang w:eastAsia="en-AU"/>
              </w:rPr>
            </w:pPr>
          </w:p>
        </w:tc>
      </w:tr>
      <w:tr w:rsidR="00BC5219" w:rsidRPr="001D6D48" w14:paraId="3344E3FC" w14:textId="77777777" w:rsidTr="00E83802">
        <w:trPr>
          <w:trHeight w:val="23"/>
        </w:trPr>
        <w:tc>
          <w:tcPr>
            <w:tcW w:w="5840" w:type="dxa"/>
            <w:tcBorders>
              <w:top w:val="nil"/>
              <w:left w:val="nil"/>
              <w:bottom w:val="nil"/>
              <w:right w:val="nil"/>
            </w:tcBorders>
            <w:shd w:val="clear" w:color="auto" w:fill="auto"/>
            <w:vAlign w:val="center"/>
            <w:hideMark/>
          </w:tcPr>
          <w:p w14:paraId="0F47952A" w14:textId="77777777" w:rsidR="00BC5219" w:rsidRPr="001D6D48" w:rsidRDefault="00BC5219" w:rsidP="00E83802">
            <w:pPr>
              <w:rPr>
                <w:rFonts w:ascii="Meta Pro" w:eastAsia="Times New Roman" w:hAnsi="Meta Pro"/>
                <w:szCs w:val="18"/>
                <w:lang w:eastAsia="en-AU"/>
              </w:rPr>
            </w:pPr>
            <w:r w:rsidRPr="001D6D48">
              <w:rPr>
                <w:rFonts w:ascii="Meta Pro" w:eastAsia="Times New Roman" w:hAnsi="Meta Pro"/>
                <w:szCs w:val="18"/>
                <w:lang w:eastAsia="en-AU"/>
              </w:rPr>
              <w:t>Gross value</w:t>
            </w:r>
          </w:p>
        </w:tc>
        <w:tc>
          <w:tcPr>
            <w:tcW w:w="1242" w:type="dxa"/>
            <w:tcBorders>
              <w:top w:val="nil"/>
              <w:left w:val="nil"/>
              <w:bottom w:val="nil"/>
              <w:right w:val="nil"/>
            </w:tcBorders>
            <w:shd w:val="clear" w:color="auto" w:fill="auto"/>
            <w:noWrap/>
            <w:vAlign w:val="center"/>
            <w:hideMark/>
          </w:tcPr>
          <w:p w14:paraId="48322ABF"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 xml:space="preserve">855,582 </w:t>
            </w:r>
          </w:p>
        </w:tc>
        <w:tc>
          <w:tcPr>
            <w:tcW w:w="55" w:type="dxa"/>
            <w:tcBorders>
              <w:top w:val="nil"/>
              <w:left w:val="nil"/>
              <w:bottom w:val="nil"/>
              <w:right w:val="nil"/>
            </w:tcBorders>
            <w:shd w:val="clear" w:color="auto" w:fill="auto"/>
            <w:noWrap/>
            <w:vAlign w:val="center"/>
            <w:hideMark/>
          </w:tcPr>
          <w:p w14:paraId="479ECDF5" w14:textId="77777777" w:rsidR="00BC5219" w:rsidRPr="001D6D48" w:rsidRDefault="00BC5219" w:rsidP="00E83802">
            <w:pPr>
              <w:jc w:val="right"/>
              <w:rPr>
                <w:rFonts w:ascii="Meta Pro" w:eastAsia="Times New Roman" w:hAnsi="Meta Pro"/>
                <w:szCs w:val="18"/>
                <w:lang w:eastAsia="en-AU"/>
              </w:rPr>
            </w:pPr>
          </w:p>
        </w:tc>
        <w:tc>
          <w:tcPr>
            <w:tcW w:w="1375" w:type="dxa"/>
            <w:tcBorders>
              <w:top w:val="nil"/>
              <w:left w:val="nil"/>
              <w:bottom w:val="nil"/>
              <w:right w:val="nil"/>
            </w:tcBorders>
            <w:shd w:val="clear" w:color="auto" w:fill="auto"/>
            <w:noWrap/>
            <w:vAlign w:val="center"/>
            <w:hideMark/>
          </w:tcPr>
          <w:p w14:paraId="32501169"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 xml:space="preserve">1,499,952 </w:t>
            </w:r>
          </w:p>
        </w:tc>
        <w:tc>
          <w:tcPr>
            <w:tcW w:w="54" w:type="dxa"/>
            <w:tcBorders>
              <w:top w:val="nil"/>
              <w:left w:val="nil"/>
              <w:bottom w:val="nil"/>
              <w:right w:val="nil"/>
            </w:tcBorders>
            <w:shd w:val="clear" w:color="auto" w:fill="auto"/>
            <w:noWrap/>
            <w:vAlign w:val="center"/>
            <w:hideMark/>
          </w:tcPr>
          <w:p w14:paraId="44B8C814" w14:textId="77777777" w:rsidR="00BC5219" w:rsidRPr="001D6D48" w:rsidRDefault="00BC5219" w:rsidP="00E83802">
            <w:pPr>
              <w:jc w:val="right"/>
              <w:rPr>
                <w:rFonts w:ascii="Meta Pro" w:eastAsia="Times New Roman" w:hAnsi="Meta Pro"/>
                <w:szCs w:val="18"/>
                <w:lang w:eastAsia="en-AU"/>
              </w:rPr>
            </w:pPr>
          </w:p>
        </w:tc>
        <w:tc>
          <w:tcPr>
            <w:tcW w:w="1309" w:type="dxa"/>
            <w:tcBorders>
              <w:top w:val="nil"/>
              <w:left w:val="nil"/>
              <w:bottom w:val="nil"/>
              <w:right w:val="nil"/>
            </w:tcBorders>
            <w:shd w:val="clear" w:color="auto" w:fill="auto"/>
            <w:noWrap/>
            <w:vAlign w:val="center"/>
            <w:hideMark/>
          </w:tcPr>
          <w:p w14:paraId="7FE0866C"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 xml:space="preserve">6,720,198 </w:t>
            </w:r>
          </w:p>
        </w:tc>
        <w:tc>
          <w:tcPr>
            <w:tcW w:w="54" w:type="dxa"/>
            <w:tcBorders>
              <w:top w:val="nil"/>
              <w:left w:val="nil"/>
              <w:bottom w:val="nil"/>
              <w:right w:val="nil"/>
            </w:tcBorders>
            <w:shd w:val="clear" w:color="auto" w:fill="auto"/>
            <w:noWrap/>
            <w:vAlign w:val="center"/>
            <w:hideMark/>
          </w:tcPr>
          <w:p w14:paraId="6391D14C" w14:textId="77777777" w:rsidR="00BC5219" w:rsidRPr="001D6D48" w:rsidRDefault="00BC5219" w:rsidP="00E83802">
            <w:pPr>
              <w:jc w:val="right"/>
              <w:rPr>
                <w:rFonts w:ascii="Meta Pro" w:eastAsia="Times New Roman" w:hAnsi="Meta Pro"/>
                <w:szCs w:val="18"/>
                <w:lang w:eastAsia="en-AU"/>
              </w:rPr>
            </w:pPr>
          </w:p>
        </w:tc>
        <w:tc>
          <w:tcPr>
            <w:tcW w:w="1291" w:type="dxa"/>
            <w:tcBorders>
              <w:top w:val="nil"/>
              <w:left w:val="nil"/>
              <w:bottom w:val="nil"/>
              <w:right w:val="nil"/>
            </w:tcBorders>
            <w:shd w:val="clear" w:color="auto" w:fill="auto"/>
            <w:noWrap/>
            <w:vAlign w:val="center"/>
            <w:hideMark/>
          </w:tcPr>
          <w:p w14:paraId="6C173862"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 xml:space="preserve">3,352,154 </w:t>
            </w:r>
          </w:p>
        </w:tc>
        <w:tc>
          <w:tcPr>
            <w:tcW w:w="54" w:type="dxa"/>
            <w:tcBorders>
              <w:top w:val="nil"/>
              <w:left w:val="nil"/>
              <w:bottom w:val="nil"/>
              <w:right w:val="nil"/>
            </w:tcBorders>
            <w:shd w:val="clear" w:color="auto" w:fill="auto"/>
            <w:noWrap/>
            <w:vAlign w:val="center"/>
            <w:hideMark/>
          </w:tcPr>
          <w:p w14:paraId="51DAF765" w14:textId="77777777" w:rsidR="00BC5219" w:rsidRPr="001D6D48" w:rsidRDefault="00BC5219" w:rsidP="00E83802">
            <w:pPr>
              <w:jc w:val="right"/>
              <w:rPr>
                <w:rFonts w:ascii="Meta Pro" w:eastAsia="Times New Roman" w:hAnsi="Meta Pro"/>
                <w:szCs w:val="18"/>
                <w:lang w:eastAsia="en-AU"/>
              </w:rPr>
            </w:pPr>
          </w:p>
        </w:tc>
        <w:tc>
          <w:tcPr>
            <w:tcW w:w="1270" w:type="dxa"/>
            <w:tcBorders>
              <w:top w:val="nil"/>
              <w:left w:val="nil"/>
              <w:bottom w:val="nil"/>
              <w:right w:val="nil"/>
            </w:tcBorders>
            <w:shd w:val="clear" w:color="auto" w:fill="auto"/>
            <w:noWrap/>
            <w:vAlign w:val="center"/>
            <w:hideMark/>
          </w:tcPr>
          <w:p w14:paraId="5851B7D4"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 xml:space="preserve">1,651,864 </w:t>
            </w:r>
          </w:p>
        </w:tc>
        <w:tc>
          <w:tcPr>
            <w:tcW w:w="54" w:type="dxa"/>
            <w:tcBorders>
              <w:top w:val="nil"/>
              <w:left w:val="nil"/>
              <w:bottom w:val="nil"/>
              <w:right w:val="nil"/>
            </w:tcBorders>
            <w:shd w:val="clear" w:color="auto" w:fill="auto"/>
            <w:noWrap/>
            <w:vAlign w:val="center"/>
            <w:hideMark/>
          </w:tcPr>
          <w:p w14:paraId="52062D8F" w14:textId="77777777" w:rsidR="00BC5219" w:rsidRPr="001D6D48" w:rsidRDefault="00BC5219" w:rsidP="00E83802">
            <w:pPr>
              <w:jc w:val="right"/>
              <w:rPr>
                <w:rFonts w:ascii="Meta Pro" w:eastAsia="Times New Roman" w:hAnsi="Meta Pro"/>
                <w:szCs w:val="18"/>
                <w:lang w:eastAsia="en-AU"/>
              </w:rPr>
            </w:pPr>
          </w:p>
        </w:tc>
        <w:tc>
          <w:tcPr>
            <w:tcW w:w="1126" w:type="dxa"/>
            <w:gridSpan w:val="2"/>
            <w:tcBorders>
              <w:top w:val="nil"/>
              <w:left w:val="nil"/>
              <w:bottom w:val="nil"/>
              <w:right w:val="nil"/>
            </w:tcBorders>
            <w:shd w:val="clear" w:color="auto" w:fill="auto"/>
            <w:noWrap/>
            <w:vAlign w:val="center"/>
            <w:hideMark/>
          </w:tcPr>
          <w:p w14:paraId="520EB638"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 xml:space="preserve">48,810 </w:t>
            </w:r>
          </w:p>
        </w:tc>
        <w:tc>
          <w:tcPr>
            <w:tcW w:w="54" w:type="dxa"/>
            <w:tcBorders>
              <w:top w:val="nil"/>
              <w:left w:val="nil"/>
              <w:bottom w:val="nil"/>
              <w:right w:val="nil"/>
            </w:tcBorders>
            <w:shd w:val="clear" w:color="auto" w:fill="auto"/>
            <w:noWrap/>
            <w:vAlign w:val="center"/>
            <w:hideMark/>
          </w:tcPr>
          <w:p w14:paraId="19715212" w14:textId="77777777" w:rsidR="00BC5219" w:rsidRPr="001D6D48" w:rsidRDefault="00BC5219" w:rsidP="00E83802">
            <w:pPr>
              <w:jc w:val="right"/>
              <w:rPr>
                <w:rFonts w:ascii="Meta Pro" w:eastAsia="Times New Roman" w:hAnsi="Meta Pro"/>
                <w:szCs w:val="18"/>
                <w:lang w:eastAsia="en-AU"/>
              </w:rPr>
            </w:pPr>
          </w:p>
        </w:tc>
        <w:tc>
          <w:tcPr>
            <w:tcW w:w="1244" w:type="dxa"/>
            <w:tcBorders>
              <w:top w:val="nil"/>
              <w:left w:val="nil"/>
              <w:bottom w:val="nil"/>
              <w:right w:val="nil"/>
            </w:tcBorders>
            <w:shd w:val="clear" w:color="auto" w:fill="auto"/>
            <w:noWrap/>
            <w:vAlign w:val="center"/>
            <w:hideMark/>
          </w:tcPr>
          <w:p w14:paraId="2B663A35"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 xml:space="preserve">493,813 </w:t>
            </w:r>
          </w:p>
        </w:tc>
        <w:tc>
          <w:tcPr>
            <w:tcW w:w="54" w:type="dxa"/>
            <w:tcBorders>
              <w:top w:val="nil"/>
              <w:left w:val="nil"/>
              <w:bottom w:val="nil"/>
              <w:right w:val="nil"/>
            </w:tcBorders>
            <w:shd w:val="clear" w:color="auto" w:fill="auto"/>
            <w:noWrap/>
            <w:vAlign w:val="center"/>
            <w:hideMark/>
          </w:tcPr>
          <w:p w14:paraId="0BD3C98A" w14:textId="77777777" w:rsidR="00BC5219" w:rsidRPr="001D6D48" w:rsidRDefault="00BC5219" w:rsidP="00E83802">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56E77525"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 xml:space="preserve">228,784 </w:t>
            </w:r>
          </w:p>
        </w:tc>
        <w:tc>
          <w:tcPr>
            <w:tcW w:w="54" w:type="dxa"/>
            <w:tcBorders>
              <w:top w:val="nil"/>
              <w:left w:val="nil"/>
              <w:bottom w:val="nil"/>
              <w:right w:val="nil"/>
            </w:tcBorders>
            <w:shd w:val="clear" w:color="auto" w:fill="auto"/>
            <w:noWrap/>
            <w:vAlign w:val="center"/>
            <w:hideMark/>
          </w:tcPr>
          <w:p w14:paraId="0885E742" w14:textId="77777777" w:rsidR="00BC5219" w:rsidRPr="001D6D48" w:rsidRDefault="00BC5219" w:rsidP="00E83802">
            <w:pPr>
              <w:jc w:val="right"/>
              <w:rPr>
                <w:rFonts w:ascii="Meta Pro" w:eastAsia="Times New Roman" w:hAnsi="Meta Pro"/>
                <w:szCs w:val="18"/>
                <w:lang w:eastAsia="en-AU"/>
              </w:rPr>
            </w:pPr>
          </w:p>
        </w:tc>
        <w:tc>
          <w:tcPr>
            <w:tcW w:w="1333" w:type="dxa"/>
            <w:tcBorders>
              <w:top w:val="nil"/>
              <w:left w:val="nil"/>
              <w:bottom w:val="nil"/>
              <w:right w:val="nil"/>
            </w:tcBorders>
            <w:shd w:val="clear" w:color="auto" w:fill="auto"/>
            <w:noWrap/>
            <w:vAlign w:val="center"/>
            <w:hideMark/>
          </w:tcPr>
          <w:p w14:paraId="14058826" w14:textId="77777777" w:rsidR="00BC5219" w:rsidRPr="001D6D48" w:rsidRDefault="00BC5219" w:rsidP="00E83802">
            <w:pPr>
              <w:jc w:val="right"/>
              <w:rPr>
                <w:rFonts w:ascii="Meta Pro" w:eastAsia="Times New Roman" w:hAnsi="Meta Pro"/>
                <w:b/>
                <w:bCs/>
                <w:szCs w:val="18"/>
                <w:lang w:eastAsia="en-AU"/>
              </w:rPr>
            </w:pPr>
            <w:r w:rsidRPr="001D6D48">
              <w:rPr>
                <w:rFonts w:ascii="Meta Pro" w:eastAsia="Times New Roman" w:hAnsi="Meta Pro"/>
                <w:b/>
                <w:bCs/>
                <w:szCs w:val="18"/>
                <w:lang w:eastAsia="en-AU"/>
              </w:rPr>
              <w:t xml:space="preserve">14,851,157 </w:t>
            </w:r>
          </w:p>
        </w:tc>
      </w:tr>
      <w:tr w:rsidR="00BC5219" w:rsidRPr="001D6D48" w14:paraId="33423E66" w14:textId="77777777" w:rsidTr="00E83802">
        <w:trPr>
          <w:trHeight w:val="57"/>
        </w:trPr>
        <w:tc>
          <w:tcPr>
            <w:tcW w:w="5840" w:type="dxa"/>
            <w:tcBorders>
              <w:top w:val="nil"/>
              <w:left w:val="nil"/>
              <w:bottom w:val="nil"/>
              <w:right w:val="nil"/>
            </w:tcBorders>
            <w:shd w:val="clear" w:color="auto" w:fill="auto"/>
            <w:noWrap/>
            <w:vAlign w:val="center"/>
            <w:hideMark/>
          </w:tcPr>
          <w:p w14:paraId="74EB0DA4" w14:textId="77777777" w:rsidR="00BC5219" w:rsidRPr="001D6D48" w:rsidRDefault="00BC5219" w:rsidP="00E83802">
            <w:pPr>
              <w:rPr>
                <w:rFonts w:ascii="Meta Pro" w:eastAsia="Times New Roman" w:hAnsi="Meta Pro"/>
                <w:szCs w:val="18"/>
                <w:lang w:eastAsia="en-AU"/>
              </w:rPr>
            </w:pPr>
            <w:r w:rsidRPr="001D6D48">
              <w:rPr>
                <w:rFonts w:ascii="Meta Pro" w:eastAsia="Times New Roman" w:hAnsi="Meta Pro"/>
                <w:szCs w:val="18"/>
                <w:lang w:eastAsia="en-AU"/>
              </w:rPr>
              <w:t>Less: Accumulated depreciation</w:t>
            </w:r>
          </w:p>
        </w:tc>
        <w:tc>
          <w:tcPr>
            <w:tcW w:w="1242" w:type="dxa"/>
            <w:tcBorders>
              <w:top w:val="nil"/>
              <w:left w:val="nil"/>
              <w:bottom w:val="nil"/>
              <w:right w:val="nil"/>
            </w:tcBorders>
            <w:shd w:val="clear" w:color="auto" w:fill="auto"/>
            <w:noWrap/>
            <w:vAlign w:val="center"/>
            <w:hideMark/>
          </w:tcPr>
          <w:p w14:paraId="78773746"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(126,563)</w:t>
            </w:r>
          </w:p>
        </w:tc>
        <w:tc>
          <w:tcPr>
            <w:tcW w:w="55" w:type="dxa"/>
            <w:tcBorders>
              <w:top w:val="nil"/>
              <w:left w:val="nil"/>
              <w:bottom w:val="nil"/>
              <w:right w:val="nil"/>
            </w:tcBorders>
            <w:shd w:val="clear" w:color="auto" w:fill="auto"/>
            <w:noWrap/>
            <w:vAlign w:val="center"/>
            <w:hideMark/>
          </w:tcPr>
          <w:p w14:paraId="10906B73" w14:textId="77777777" w:rsidR="00BC5219" w:rsidRPr="001D6D48" w:rsidRDefault="00BC5219" w:rsidP="00E83802">
            <w:pPr>
              <w:jc w:val="right"/>
              <w:rPr>
                <w:rFonts w:ascii="Meta Pro" w:eastAsia="Times New Roman" w:hAnsi="Meta Pro"/>
                <w:szCs w:val="18"/>
                <w:lang w:eastAsia="en-AU"/>
              </w:rPr>
            </w:pPr>
          </w:p>
        </w:tc>
        <w:tc>
          <w:tcPr>
            <w:tcW w:w="1375" w:type="dxa"/>
            <w:tcBorders>
              <w:top w:val="nil"/>
              <w:left w:val="nil"/>
              <w:bottom w:val="nil"/>
              <w:right w:val="nil"/>
            </w:tcBorders>
            <w:shd w:val="clear" w:color="auto" w:fill="auto"/>
            <w:noWrap/>
            <w:vAlign w:val="center"/>
            <w:hideMark/>
          </w:tcPr>
          <w:p w14:paraId="0F76C75D"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(63,423)</w:t>
            </w:r>
          </w:p>
        </w:tc>
        <w:tc>
          <w:tcPr>
            <w:tcW w:w="54" w:type="dxa"/>
            <w:tcBorders>
              <w:top w:val="nil"/>
              <w:left w:val="nil"/>
              <w:bottom w:val="nil"/>
              <w:right w:val="nil"/>
            </w:tcBorders>
            <w:shd w:val="clear" w:color="auto" w:fill="auto"/>
            <w:noWrap/>
            <w:vAlign w:val="center"/>
            <w:hideMark/>
          </w:tcPr>
          <w:p w14:paraId="5ACAF12F" w14:textId="77777777" w:rsidR="00BC5219" w:rsidRPr="001D6D48" w:rsidRDefault="00BC5219" w:rsidP="00E83802">
            <w:pPr>
              <w:jc w:val="right"/>
              <w:rPr>
                <w:rFonts w:ascii="Meta Pro" w:eastAsia="Times New Roman" w:hAnsi="Meta Pro"/>
                <w:szCs w:val="18"/>
                <w:lang w:eastAsia="en-AU"/>
              </w:rPr>
            </w:pPr>
          </w:p>
        </w:tc>
        <w:tc>
          <w:tcPr>
            <w:tcW w:w="1309" w:type="dxa"/>
            <w:tcBorders>
              <w:top w:val="nil"/>
              <w:left w:val="nil"/>
              <w:bottom w:val="nil"/>
              <w:right w:val="nil"/>
            </w:tcBorders>
            <w:shd w:val="clear" w:color="auto" w:fill="auto"/>
            <w:noWrap/>
            <w:vAlign w:val="center"/>
            <w:hideMark/>
          </w:tcPr>
          <w:p w14:paraId="36936CF8"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(913,410)</w:t>
            </w:r>
          </w:p>
        </w:tc>
        <w:tc>
          <w:tcPr>
            <w:tcW w:w="54" w:type="dxa"/>
            <w:tcBorders>
              <w:top w:val="nil"/>
              <w:left w:val="nil"/>
              <w:bottom w:val="nil"/>
              <w:right w:val="nil"/>
            </w:tcBorders>
            <w:shd w:val="clear" w:color="auto" w:fill="auto"/>
            <w:noWrap/>
            <w:vAlign w:val="center"/>
            <w:hideMark/>
          </w:tcPr>
          <w:p w14:paraId="50C83837" w14:textId="77777777" w:rsidR="00BC5219" w:rsidRPr="001D6D48" w:rsidRDefault="00BC5219" w:rsidP="00E83802">
            <w:pPr>
              <w:jc w:val="right"/>
              <w:rPr>
                <w:rFonts w:ascii="Meta Pro" w:eastAsia="Times New Roman" w:hAnsi="Meta Pro"/>
                <w:szCs w:val="18"/>
                <w:lang w:eastAsia="en-AU"/>
              </w:rPr>
            </w:pPr>
          </w:p>
        </w:tc>
        <w:tc>
          <w:tcPr>
            <w:tcW w:w="1291" w:type="dxa"/>
            <w:tcBorders>
              <w:top w:val="nil"/>
              <w:left w:val="nil"/>
              <w:bottom w:val="nil"/>
              <w:right w:val="nil"/>
            </w:tcBorders>
            <w:shd w:val="clear" w:color="auto" w:fill="auto"/>
            <w:noWrap/>
            <w:vAlign w:val="center"/>
            <w:hideMark/>
          </w:tcPr>
          <w:p w14:paraId="2C2172D1"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(485,701)</w:t>
            </w:r>
          </w:p>
        </w:tc>
        <w:tc>
          <w:tcPr>
            <w:tcW w:w="54" w:type="dxa"/>
            <w:tcBorders>
              <w:top w:val="nil"/>
              <w:left w:val="nil"/>
              <w:bottom w:val="nil"/>
              <w:right w:val="nil"/>
            </w:tcBorders>
            <w:shd w:val="clear" w:color="auto" w:fill="auto"/>
            <w:noWrap/>
            <w:vAlign w:val="center"/>
            <w:hideMark/>
          </w:tcPr>
          <w:p w14:paraId="1A3E97CA" w14:textId="77777777" w:rsidR="00BC5219" w:rsidRPr="001D6D48" w:rsidRDefault="00BC5219" w:rsidP="00E83802">
            <w:pPr>
              <w:jc w:val="right"/>
              <w:rPr>
                <w:rFonts w:ascii="Meta Pro" w:eastAsia="Times New Roman" w:hAnsi="Meta Pro"/>
                <w:szCs w:val="18"/>
                <w:lang w:eastAsia="en-AU"/>
              </w:rPr>
            </w:pPr>
          </w:p>
        </w:tc>
        <w:tc>
          <w:tcPr>
            <w:tcW w:w="1270" w:type="dxa"/>
            <w:tcBorders>
              <w:top w:val="nil"/>
              <w:left w:val="nil"/>
              <w:bottom w:val="nil"/>
              <w:right w:val="nil"/>
            </w:tcBorders>
            <w:shd w:val="clear" w:color="auto" w:fill="auto"/>
            <w:noWrap/>
            <w:vAlign w:val="center"/>
            <w:hideMark/>
          </w:tcPr>
          <w:p w14:paraId="6E51EE61"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(179,137)</w:t>
            </w:r>
          </w:p>
        </w:tc>
        <w:tc>
          <w:tcPr>
            <w:tcW w:w="54" w:type="dxa"/>
            <w:tcBorders>
              <w:top w:val="nil"/>
              <w:left w:val="nil"/>
              <w:bottom w:val="nil"/>
              <w:right w:val="nil"/>
            </w:tcBorders>
            <w:shd w:val="clear" w:color="auto" w:fill="auto"/>
            <w:noWrap/>
            <w:vAlign w:val="center"/>
            <w:hideMark/>
          </w:tcPr>
          <w:p w14:paraId="583302D0" w14:textId="77777777" w:rsidR="00BC5219" w:rsidRPr="001D6D48" w:rsidRDefault="00BC5219" w:rsidP="00E83802">
            <w:pPr>
              <w:jc w:val="right"/>
              <w:rPr>
                <w:rFonts w:ascii="Meta Pro" w:eastAsia="Times New Roman" w:hAnsi="Meta Pro"/>
                <w:szCs w:val="18"/>
                <w:lang w:eastAsia="en-AU"/>
              </w:rPr>
            </w:pPr>
          </w:p>
        </w:tc>
        <w:tc>
          <w:tcPr>
            <w:tcW w:w="1126" w:type="dxa"/>
            <w:gridSpan w:val="2"/>
            <w:tcBorders>
              <w:top w:val="nil"/>
              <w:left w:val="nil"/>
              <w:bottom w:val="nil"/>
              <w:right w:val="nil"/>
            </w:tcBorders>
            <w:shd w:val="clear" w:color="auto" w:fill="auto"/>
            <w:noWrap/>
            <w:vAlign w:val="center"/>
            <w:hideMark/>
          </w:tcPr>
          <w:p w14:paraId="37FFBDE7"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(2,241)</w:t>
            </w:r>
          </w:p>
        </w:tc>
        <w:tc>
          <w:tcPr>
            <w:tcW w:w="54" w:type="dxa"/>
            <w:tcBorders>
              <w:top w:val="nil"/>
              <w:left w:val="nil"/>
              <w:bottom w:val="nil"/>
              <w:right w:val="nil"/>
            </w:tcBorders>
            <w:shd w:val="clear" w:color="auto" w:fill="auto"/>
            <w:noWrap/>
            <w:vAlign w:val="center"/>
            <w:hideMark/>
          </w:tcPr>
          <w:p w14:paraId="692526AD" w14:textId="77777777" w:rsidR="00BC5219" w:rsidRPr="001D6D48" w:rsidRDefault="00BC5219" w:rsidP="00E83802">
            <w:pPr>
              <w:jc w:val="right"/>
              <w:rPr>
                <w:rFonts w:ascii="Meta Pro" w:eastAsia="Times New Roman" w:hAnsi="Meta Pro"/>
                <w:szCs w:val="18"/>
                <w:lang w:eastAsia="en-AU"/>
              </w:rPr>
            </w:pPr>
          </w:p>
        </w:tc>
        <w:tc>
          <w:tcPr>
            <w:tcW w:w="1244" w:type="dxa"/>
            <w:tcBorders>
              <w:top w:val="nil"/>
              <w:left w:val="nil"/>
              <w:bottom w:val="nil"/>
              <w:right w:val="nil"/>
            </w:tcBorders>
            <w:shd w:val="clear" w:color="auto" w:fill="auto"/>
            <w:noWrap/>
            <w:vAlign w:val="center"/>
            <w:hideMark/>
          </w:tcPr>
          <w:p w14:paraId="514999EE"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(163,230)</w:t>
            </w:r>
          </w:p>
        </w:tc>
        <w:tc>
          <w:tcPr>
            <w:tcW w:w="54" w:type="dxa"/>
            <w:tcBorders>
              <w:top w:val="nil"/>
              <w:left w:val="nil"/>
              <w:bottom w:val="nil"/>
              <w:right w:val="nil"/>
            </w:tcBorders>
            <w:shd w:val="clear" w:color="auto" w:fill="auto"/>
            <w:noWrap/>
            <w:vAlign w:val="center"/>
            <w:hideMark/>
          </w:tcPr>
          <w:p w14:paraId="0FA32C8F" w14:textId="77777777" w:rsidR="00BC5219" w:rsidRPr="001D6D48" w:rsidRDefault="00BC5219" w:rsidP="00E83802">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01F12F69"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 xml:space="preserve">- </w:t>
            </w:r>
          </w:p>
        </w:tc>
        <w:tc>
          <w:tcPr>
            <w:tcW w:w="54" w:type="dxa"/>
            <w:tcBorders>
              <w:top w:val="nil"/>
              <w:left w:val="nil"/>
              <w:bottom w:val="nil"/>
              <w:right w:val="nil"/>
            </w:tcBorders>
            <w:shd w:val="clear" w:color="auto" w:fill="auto"/>
            <w:noWrap/>
            <w:vAlign w:val="center"/>
            <w:hideMark/>
          </w:tcPr>
          <w:p w14:paraId="1CB4913C" w14:textId="77777777" w:rsidR="00BC5219" w:rsidRPr="001D6D48" w:rsidRDefault="00BC5219" w:rsidP="00E83802">
            <w:pPr>
              <w:jc w:val="right"/>
              <w:rPr>
                <w:rFonts w:ascii="Meta Pro" w:eastAsia="Times New Roman" w:hAnsi="Meta Pro"/>
                <w:szCs w:val="18"/>
                <w:lang w:eastAsia="en-AU"/>
              </w:rPr>
            </w:pPr>
          </w:p>
        </w:tc>
        <w:tc>
          <w:tcPr>
            <w:tcW w:w="1333" w:type="dxa"/>
            <w:tcBorders>
              <w:top w:val="nil"/>
              <w:left w:val="nil"/>
              <w:bottom w:val="nil"/>
              <w:right w:val="nil"/>
            </w:tcBorders>
            <w:shd w:val="clear" w:color="auto" w:fill="auto"/>
            <w:noWrap/>
            <w:vAlign w:val="center"/>
            <w:hideMark/>
          </w:tcPr>
          <w:p w14:paraId="56346637" w14:textId="77777777" w:rsidR="00BC5219" w:rsidRPr="001D6D48" w:rsidRDefault="00BC5219" w:rsidP="00E83802">
            <w:pPr>
              <w:jc w:val="right"/>
              <w:rPr>
                <w:rFonts w:ascii="Meta Pro" w:eastAsia="Times New Roman" w:hAnsi="Meta Pro"/>
                <w:b/>
                <w:bCs/>
                <w:szCs w:val="18"/>
                <w:lang w:eastAsia="en-AU"/>
              </w:rPr>
            </w:pPr>
            <w:r w:rsidRPr="001D6D48">
              <w:rPr>
                <w:rFonts w:ascii="Meta Pro" w:eastAsia="Times New Roman" w:hAnsi="Meta Pro"/>
                <w:b/>
                <w:bCs/>
                <w:szCs w:val="18"/>
                <w:lang w:eastAsia="en-AU"/>
              </w:rPr>
              <w:t>(1,933,705)</w:t>
            </w:r>
          </w:p>
        </w:tc>
      </w:tr>
      <w:tr w:rsidR="00BC5219" w:rsidRPr="001D6D48" w14:paraId="260457E4" w14:textId="77777777" w:rsidTr="00E83802">
        <w:trPr>
          <w:trHeight w:val="23"/>
        </w:trPr>
        <w:tc>
          <w:tcPr>
            <w:tcW w:w="5840" w:type="dxa"/>
            <w:tcBorders>
              <w:top w:val="single" w:sz="4" w:space="0" w:color="auto"/>
              <w:left w:val="nil"/>
              <w:bottom w:val="double" w:sz="6" w:space="0" w:color="auto"/>
              <w:right w:val="nil"/>
            </w:tcBorders>
            <w:shd w:val="clear" w:color="auto" w:fill="auto"/>
            <w:noWrap/>
            <w:vAlign w:val="center"/>
            <w:hideMark/>
          </w:tcPr>
          <w:p w14:paraId="0F60908C" w14:textId="77777777" w:rsidR="00BC5219" w:rsidRPr="001D6D48" w:rsidRDefault="00BC5219" w:rsidP="00E83802">
            <w:pPr>
              <w:rPr>
                <w:rFonts w:ascii="Meta Pro" w:eastAsia="Times New Roman" w:hAnsi="Meta Pro"/>
                <w:b/>
                <w:bCs/>
                <w:szCs w:val="18"/>
                <w:lang w:eastAsia="en-AU"/>
              </w:rPr>
            </w:pPr>
            <w:r w:rsidRPr="001D6D48">
              <w:rPr>
                <w:rFonts w:ascii="Meta Pro" w:eastAsia="Times New Roman" w:hAnsi="Meta Pro"/>
                <w:b/>
                <w:bCs/>
                <w:szCs w:val="18"/>
                <w:lang w:eastAsia="en-AU"/>
              </w:rPr>
              <w:t>Carrying amount at 30 June</w:t>
            </w:r>
          </w:p>
        </w:tc>
        <w:tc>
          <w:tcPr>
            <w:tcW w:w="1242" w:type="dxa"/>
            <w:tcBorders>
              <w:top w:val="single" w:sz="4" w:space="0" w:color="auto"/>
              <w:left w:val="nil"/>
              <w:bottom w:val="double" w:sz="6" w:space="0" w:color="auto"/>
              <w:right w:val="nil"/>
            </w:tcBorders>
            <w:shd w:val="clear" w:color="auto" w:fill="auto"/>
            <w:noWrap/>
            <w:vAlign w:val="center"/>
            <w:hideMark/>
          </w:tcPr>
          <w:p w14:paraId="0695F4E6" w14:textId="77777777" w:rsidR="00BC5219" w:rsidRPr="001D6D48" w:rsidRDefault="00BC5219" w:rsidP="00E83802">
            <w:pPr>
              <w:jc w:val="right"/>
              <w:rPr>
                <w:rFonts w:ascii="Meta Pro" w:eastAsia="Times New Roman" w:hAnsi="Meta Pro"/>
                <w:b/>
                <w:bCs/>
                <w:szCs w:val="18"/>
                <w:lang w:eastAsia="en-AU"/>
              </w:rPr>
            </w:pPr>
            <w:r w:rsidRPr="001D6D48">
              <w:rPr>
                <w:rFonts w:ascii="Meta Pro" w:eastAsia="Times New Roman" w:hAnsi="Meta Pro"/>
                <w:b/>
                <w:bCs/>
                <w:szCs w:val="18"/>
                <w:lang w:eastAsia="en-AU"/>
              </w:rPr>
              <w:t xml:space="preserve">729,019 </w:t>
            </w:r>
          </w:p>
        </w:tc>
        <w:tc>
          <w:tcPr>
            <w:tcW w:w="55" w:type="dxa"/>
            <w:tcBorders>
              <w:top w:val="nil"/>
              <w:left w:val="nil"/>
              <w:bottom w:val="nil"/>
              <w:right w:val="nil"/>
            </w:tcBorders>
            <w:shd w:val="clear" w:color="auto" w:fill="auto"/>
            <w:noWrap/>
            <w:vAlign w:val="center"/>
            <w:hideMark/>
          </w:tcPr>
          <w:p w14:paraId="41E0CB36" w14:textId="77777777" w:rsidR="00BC5219" w:rsidRPr="001D6D48" w:rsidRDefault="00BC5219" w:rsidP="00E83802">
            <w:pPr>
              <w:jc w:val="right"/>
              <w:rPr>
                <w:rFonts w:ascii="Meta Pro" w:eastAsia="Times New Roman" w:hAnsi="Meta Pro"/>
                <w:b/>
                <w:bCs/>
                <w:szCs w:val="18"/>
                <w:lang w:eastAsia="en-AU"/>
              </w:rPr>
            </w:pPr>
          </w:p>
        </w:tc>
        <w:tc>
          <w:tcPr>
            <w:tcW w:w="1375" w:type="dxa"/>
            <w:tcBorders>
              <w:top w:val="single" w:sz="4" w:space="0" w:color="auto"/>
              <w:left w:val="nil"/>
              <w:bottom w:val="double" w:sz="6" w:space="0" w:color="auto"/>
              <w:right w:val="nil"/>
            </w:tcBorders>
            <w:shd w:val="clear" w:color="auto" w:fill="auto"/>
            <w:noWrap/>
            <w:vAlign w:val="center"/>
            <w:hideMark/>
          </w:tcPr>
          <w:p w14:paraId="67E09E2C" w14:textId="77777777" w:rsidR="00BC5219" w:rsidRPr="001D6D48" w:rsidRDefault="00BC5219" w:rsidP="00E83802">
            <w:pPr>
              <w:jc w:val="right"/>
              <w:rPr>
                <w:rFonts w:ascii="Meta Pro" w:eastAsia="Times New Roman" w:hAnsi="Meta Pro"/>
                <w:b/>
                <w:bCs/>
                <w:szCs w:val="18"/>
                <w:lang w:eastAsia="en-AU"/>
              </w:rPr>
            </w:pPr>
            <w:r w:rsidRPr="001D6D48">
              <w:rPr>
                <w:rFonts w:ascii="Meta Pro" w:eastAsia="Times New Roman" w:hAnsi="Meta Pro"/>
                <w:b/>
                <w:bCs/>
                <w:szCs w:val="18"/>
                <w:lang w:eastAsia="en-AU"/>
              </w:rPr>
              <w:t xml:space="preserve">1,436,529 </w:t>
            </w:r>
          </w:p>
        </w:tc>
        <w:tc>
          <w:tcPr>
            <w:tcW w:w="54" w:type="dxa"/>
            <w:tcBorders>
              <w:top w:val="nil"/>
              <w:left w:val="nil"/>
              <w:bottom w:val="nil"/>
              <w:right w:val="nil"/>
            </w:tcBorders>
            <w:shd w:val="clear" w:color="auto" w:fill="auto"/>
            <w:noWrap/>
            <w:vAlign w:val="center"/>
            <w:hideMark/>
          </w:tcPr>
          <w:p w14:paraId="2F20E9BC" w14:textId="77777777" w:rsidR="00BC5219" w:rsidRPr="001D6D48" w:rsidRDefault="00BC5219" w:rsidP="00E83802">
            <w:pPr>
              <w:jc w:val="right"/>
              <w:rPr>
                <w:rFonts w:ascii="Meta Pro" w:eastAsia="Times New Roman" w:hAnsi="Meta Pro"/>
                <w:b/>
                <w:bCs/>
                <w:szCs w:val="18"/>
                <w:lang w:eastAsia="en-AU"/>
              </w:rPr>
            </w:pPr>
          </w:p>
        </w:tc>
        <w:tc>
          <w:tcPr>
            <w:tcW w:w="1309" w:type="dxa"/>
            <w:tcBorders>
              <w:top w:val="single" w:sz="4" w:space="0" w:color="auto"/>
              <w:left w:val="nil"/>
              <w:bottom w:val="double" w:sz="6" w:space="0" w:color="auto"/>
              <w:right w:val="nil"/>
            </w:tcBorders>
            <w:shd w:val="clear" w:color="auto" w:fill="auto"/>
            <w:noWrap/>
            <w:vAlign w:val="center"/>
            <w:hideMark/>
          </w:tcPr>
          <w:p w14:paraId="1CB38C6B" w14:textId="77777777" w:rsidR="00BC5219" w:rsidRPr="001D6D48" w:rsidRDefault="00BC5219" w:rsidP="00E83802">
            <w:pPr>
              <w:jc w:val="right"/>
              <w:rPr>
                <w:rFonts w:ascii="Meta Pro" w:eastAsia="Times New Roman" w:hAnsi="Meta Pro"/>
                <w:b/>
                <w:bCs/>
                <w:szCs w:val="18"/>
                <w:lang w:eastAsia="en-AU"/>
              </w:rPr>
            </w:pPr>
            <w:r w:rsidRPr="001D6D48">
              <w:rPr>
                <w:rFonts w:ascii="Meta Pro" w:eastAsia="Times New Roman" w:hAnsi="Meta Pro"/>
                <w:b/>
                <w:bCs/>
                <w:szCs w:val="18"/>
                <w:lang w:eastAsia="en-AU"/>
              </w:rPr>
              <w:t xml:space="preserve">5,806,788 </w:t>
            </w:r>
          </w:p>
        </w:tc>
        <w:tc>
          <w:tcPr>
            <w:tcW w:w="54" w:type="dxa"/>
            <w:tcBorders>
              <w:top w:val="nil"/>
              <w:left w:val="nil"/>
              <w:bottom w:val="nil"/>
              <w:right w:val="nil"/>
            </w:tcBorders>
            <w:shd w:val="clear" w:color="auto" w:fill="auto"/>
            <w:noWrap/>
            <w:vAlign w:val="center"/>
            <w:hideMark/>
          </w:tcPr>
          <w:p w14:paraId="2F1EA469" w14:textId="77777777" w:rsidR="00BC5219" w:rsidRPr="001D6D48" w:rsidRDefault="00BC5219" w:rsidP="00E83802">
            <w:pPr>
              <w:jc w:val="right"/>
              <w:rPr>
                <w:rFonts w:ascii="Meta Pro" w:eastAsia="Times New Roman" w:hAnsi="Meta Pro"/>
                <w:b/>
                <w:bCs/>
                <w:szCs w:val="18"/>
                <w:lang w:eastAsia="en-AU"/>
              </w:rPr>
            </w:pPr>
          </w:p>
        </w:tc>
        <w:tc>
          <w:tcPr>
            <w:tcW w:w="1291" w:type="dxa"/>
            <w:tcBorders>
              <w:top w:val="single" w:sz="4" w:space="0" w:color="auto"/>
              <w:left w:val="nil"/>
              <w:bottom w:val="double" w:sz="6" w:space="0" w:color="auto"/>
              <w:right w:val="nil"/>
            </w:tcBorders>
            <w:shd w:val="clear" w:color="auto" w:fill="auto"/>
            <w:noWrap/>
            <w:vAlign w:val="center"/>
            <w:hideMark/>
          </w:tcPr>
          <w:p w14:paraId="45962B2F" w14:textId="77777777" w:rsidR="00BC5219" w:rsidRPr="001D6D48" w:rsidRDefault="00BC5219" w:rsidP="00E83802">
            <w:pPr>
              <w:jc w:val="right"/>
              <w:rPr>
                <w:rFonts w:ascii="Meta Pro" w:eastAsia="Times New Roman" w:hAnsi="Meta Pro"/>
                <w:b/>
                <w:bCs/>
                <w:szCs w:val="18"/>
                <w:lang w:eastAsia="en-AU"/>
              </w:rPr>
            </w:pPr>
            <w:r w:rsidRPr="001D6D48">
              <w:rPr>
                <w:rFonts w:ascii="Meta Pro" w:eastAsia="Times New Roman" w:hAnsi="Meta Pro"/>
                <w:b/>
                <w:bCs/>
                <w:szCs w:val="18"/>
                <w:lang w:eastAsia="en-AU"/>
              </w:rPr>
              <w:t xml:space="preserve">2,866,453 </w:t>
            </w:r>
          </w:p>
        </w:tc>
        <w:tc>
          <w:tcPr>
            <w:tcW w:w="54" w:type="dxa"/>
            <w:tcBorders>
              <w:top w:val="nil"/>
              <w:left w:val="nil"/>
              <w:bottom w:val="nil"/>
              <w:right w:val="nil"/>
            </w:tcBorders>
            <w:shd w:val="clear" w:color="auto" w:fill="auto"/>
            <w:noWrap/>
            <w:vAlign w:val="center"/>
            <w:hideMark/>
          </w:tcPr>
          <w:p w14:paraId="2D037827" w14:textId="77777777" w:rsidR="00BC5219" w:rsidRPr="001D6D48" w:rsidRDefault="00BC5219" w:rsidP="00E83802">
            <w:pPr>
              <w:jc w:val="right"/>
              <w:rPr>
                <w:rFonts w:ascii="Meta Pro" w:eastAsia="Times New Roman" w:hAnsi="Meta Pro"/>
                <w:b/>
                <w:bCs/>
                <w:szCs w:val="18"/>
                <w:lang w:eastAsia="en-AU"/>
              </w:rPr>
            </w:pPr>
          </w:p>
        </w:tc>
        <w:tc>
          <w:tcPr>
            <w:tcW w:w="1270" w:type="dxa"/>
            <w:tcBorders>
              <w:top w:val="single" w:sz="4" w:space="0" w:color="auto"/>
              <w:left w:val="nil"/>
              <w:bottom w:val="double" w:sz="6" w:space="0" w:color="auto"/>
              <w:right w:val="nil"/>
            </w:tcBorders>
            <w:shd w:val="clear" w:color="auto" w:fill="auto"/>
            <w:noWrap/>
            <w:vAlign w:val="center"/>
            <w:hideMark/>
          </w:tcPr>
          <w:p w14:paraId="79252DFB" w14:textId="77777777" w:rsidR="00BC5219" w:rsidRPr="001D6D48" w:rsidRDefault="00BC5219" w:rsidP="00E83802">
            <w:pPr>
              <w:jc w:val="right"/>
              <w:rPr>
                <w:rFonts w:ascii="Meta Pro" w:eastAsia="Times New Roman" w:hAnsi="Meta Pro"/>
                <w:b/>
                <w:bCs/>
                <w:szCs w:val="18"/>
                <w:lang w:eastAsia="en-AU"/>
              </w:rPr>
            </w:pPr>
            <w:r w:rsidRPr="001D6D48">
              <w:rPr>
                <w:rFonts w:ascii="Meta Pro" w:eastAsia="Times New Roman" w:hAnsi="Meta Pro"/>
                <w:b/>
                <w:bCs/>
                <w:szCs w:val="18"/>
                <w:lang w:eastAsia="en-AU"/>
              </w:rPr>
              <w:t xml:space="preserve">1,472,727 </w:t>
            </w:r>
          </w:p>
        </w:tc>
        <w:tc>
          <w:tcPr>
            <w:tcW w:w="54" w:type="dxa"/>
            <w:tcBorders>
              <w:top w:val="nil"/>
              <w:left w:val="nil"/>
              <w:bottom w:val="nil"/>
              <w:right w:val="nil"/>
            </w:tcBorders>
            <w:shd w:val="clear" w:color="auto" w:fill="auto"/>
            <w:noWrap/>
            <w:vAlign w:val="center"/>
            <w:hideMark/>
          </w:tcPr>
          <w:p w14:paraId="2261F0C5" w14:textId="77777777" w:rsidR="00BC5219" w:rsidRPr="001D6D48" w:rsidRDefault="00BC5219" w:rsidP="00E83802">
            <w:pPr>
              <w:jc w:val="right"/>
              <w:rPr>
                <w:rFonts w:ascii="Meta Pro" w:eastAsia="Times New Roman" w:hAnsi="Meta Pro"/>
                <w:b/>
                <w:bCs/>
                <w:szCs w:val="18"/>
                <w:lang w:eastAsia="en-AU"/>
              </w:rPr>
            </w:pPr>
          </w:p>
        </w:tc>
        <w:tc>
          <w:tcPr>
            <w:tcW w:w="1126" w:type="dxa"/>
            <w:gridSpan w:val="2"/>
            <w:tcBorders>
              <w:top w:val="single" w:sz="4" w:space="0" w:color="auto"/>
              <w:left w:val="nil"/>
              <w:bottom w:val="double" w:sz="6" w:space="0" w:color="auto"/>
              <w:right w:val="nil"/>
            </w:tcBorders>
            <w:shd w:val="clear" w:color="auto" w:fill="auto"/>
            <w:noWrap/>
            <w:vAlign w:val="center"/>
            <w:hideMark/>
          </w:tcPr>
          <w:p w14:paraId="225E6F57" w14:textId="77777777" w:rsidR="00BC5219" w:rsidRPr="001D6D48" w:rsidRDefault="00BC5219" w:rsidP="00E83802">
            <w:pPr>
              <w:jc w:val="right"/>
              <w:rPr>
                <w:rFonts w:ascii="Meta Pro" w:eastAsia="Times New Roman" w:hAnsi="Meta Pro"/>
                <w:b/>
                <w:bCs/>
                <w:szCs w:val="18"/>
                <w:lang w:eastAsia="en-AU"/>
              </w:rPr>
            </w:pPr>
            <w:r w:rsidRPr="001D6D48">
              <w:rPr>
                <w:rFonts w:ascii="Meta Pro" w:eastAsia="Times New Roman" w:hAnsi="Meta Pro"/>
                <w:b/>
                <w:bCs/>
                <w:szCs w:val="18"/>
                <w:lang w:eastAsia="en-AU"/>
              </w:rPr>
              <w:t xml:space="preserve">46,569 </w:t>
            </w:r>
          </w:p>
        </w:tc>
        <w:tc>
          <w:tcPr>
            <w:tcW w:w="54" w:type="dxa"/>
            <w:tcBorders>
              <w:top w:val="nil"/>
              <w:left w:val="nil"/>
              <w:bottom w:val="nil"/>
              <w:right w:val="nil"/>
            </w:tcBorders>
            <w:shd w:val="clear" w:color="auto" w:fill="auto"/>
            <w:noWrap/>
            <w:vAlign w:val="center"/>
            <w:hideMark/>
          </w:tcPr>
          <w:p w14:paraId="1BE211CF" w14:textId="77777777" w:rsidR="00BC5219" w:rsidRPr="001D6D48" w:rsidRDefault="00BC5219" w:rsidP="00E83802">
            <w:pPr>
              <w:jc w:val="right"/>
              <w:rPr>
                <w:rFonts w:ascii="Meta Pro" w:eastAsia="Times New Roman" w:hAnsi="Meta Pro"/>
                <w:b/>
                <w:bCs/>
                <w:szCs w:val="18"/>
                <w:lang w:eastAsia="en-AU"/>
              </w:rPr>
            </w:pPr>
          </w:p>
        </w:tc>
        <w:tc>
          <w:tcPr>
            <w:tcW w:w="1244" w:type="dxa"/>
            <w:tcBorders>
              <w:top w:val="single" w:sz="4" w:space="0" w:color="auto"/>
              <w:left w:val="nil"/>
              <w:bottom w:val="double" w:sz="6" w:space="0" w:color="auto"/>
              <w:right w:val="nil"/>
            </w:tcBorders>
            <w:shd w:val="clear" w:color="auto" w:fill="auto"/>
            <w:noWrap/>
            <w:vAlign w:val="center"/>
            <w:hideMark/>
          </w:tcPr>
          <w:p w14:paraId="4AD1E453" w14:textId="77777777" w:rsidR="00BC5219" w:rsidRPr="001D6D48" w:rsidRDefault="00BC5219" w:rsidP="00E83802">
            <w:pPr>
              <w:jc w:val="right"/>
              <w:rPr>
                <w:rFonts w:ascii="Meta Pro" w:eastAsia="Times New Roman" w:hAnsi="Meta Pro"/>
                <w:b/>
                <w:bCs/>
                <w:szCs w:val="18"/>
                <w:lang w:eastAsia="en-AU"/>
              </w:rPr>
            </w:pPr>
            <w:r w:rsidRPr="001D6D48">
              <w:rPr>
                <w:rFonts w:ascii="Meta Pro" w:eastAsia="Times New Roman" w:hAnsi="Meta Pro"/>
                <w:b/>
                <w:bCs/>
                <w:szCs w:val="18"/>
                <w:lang w:eastAsia="en-AU"/>
              </w:rPr>
              <w:t xml:space="preserve">330,583 </w:t>
            </w:r>
          </w:p>
        </w:tc>
        <w:tc>
          <w:tcPr>
            <w:tcW w:w="54" w:type="dxa"/>
            <w:tcBorders>
              <w:top w:val="nil"/>
              <w:left w:val="nil"/>
              <w:bottom w:val="nil"/>
              <w:right w:val="nil"/>
            </w:tcBorders>
            <w:shd w:val="clear" w:color="auto" w:fill="auto"/>
            <w:noWrap/>
            <w:vAlign w:val="center"/>
            <w:hideMark/>
          </w:tcPr>
          <w:p w14:paraId="713131D8" w14:textId="77777777" w:rsidR="00BC5219" w:rsidRPr="001D6D48" w:rsidRDefault="00BC5219" w:rsidP="00E83802">
            <w:pPr>
              <w:jc w:val="right"/>
              <w:rPr>
                <w:rFonts w:ascii="Meta Pro" w:eastAsia="Times New Roman" w:hAnsi="Meta Pro"/>
                <w:b/>
                <w:bCs/>
                <w:szCs w:val="18"/>
                <w:lang w:eastAsia="en-AU"/>
              </w:rPr>
            </w:pPr>
          </w:p>
        </w:tc>
        <w:tc>
          <w:tcPr>
            <w:tcW w:w="1216" w:type="dxa"/>
            <w:tcBorders>
              <w:top w:val="single" w:sz="4" w:space="0" w:color="auto"/>
              <w:left w:val="nil"/>
              <w:bottom w:val="double" w:sz="6" w:space="0" w:color="auto"/>
              <w:right w:val="nil"/>
            </w:tcBorders>
            <w:shd w:val="clear" w:color="auto" w:fill="auto"/>
            <w:noWrap/>
            <w:vAlign w:val="center"/>
            <w:hideMark/>
          </w:tcPr>
          <w:p w14:paraId="075228AD" w14:textId="77777777" w:rsidR="00BC5219" w:rsidRPr="001D6D48" w:rsidRDefault="00BC5219" w:rsidP="00E83802">
            <w:pPr>
              <w:jc w:val="right"/>
              <w:rPr>
                <w:rFonts w:ascii="Meta Pro" w:eastAsia="Times New Roman" w:hAnsi="Meta Pro"/>
                <w:b/>
                <w:bCs/>
                <w:szCs w:val="18"/>
                <w:lang w:eastAsia="en-AU"/>
              </w:rPr>
            </w:pPr>
            <w:r w:rsidRPr="001D6D48">
              <w:rPr>
                <w:rFonts w:ascii="Meta Pro" w:eastAsia="Times New Roman" w:hAnsi="Meta Pro"/>
                <w:b/>
                <w:bCs/>
                <w:szCs w:val="18"/>
                <w:lang w:eastAsia="en-AU"/>
              </w:rPr>
              <w:t xml:space="preserve">228,784 </w:t>
            </w:r>
          </w:p>
        </w:tc>
        <w:tc>
          <w:tcPr>
            <w:tcW w:w="54" w:type="dxa"/>
            <w:tcBorders>
              <w:top w:val="nil"/>
              <w:left w:val="nil"/>
              <w:bottom w:val="nil"/>
              <w:right w:val="nil"/>
            </w:tcBorders>
            <w:shd w:val="clear" w:color="auto" w:fill="auto"/>
            <w:noWrap/>
            <w:vAlign w:val="center"/>
            <w:hideMark/>
          </w:tcPr>
          <w:p w14:paraId="75EF3C67" w14:textId="77777777" w:rsidR="00BC5219" w:rsidRPr="001D6D48" w:rsidRDefault="00BC5219" w:rsidP="00E83802">
            <w:pPr>
              <w:jc w:val="right"/>
              <w:rPr>
                <w:rFonts w:ascii="Meta Pro" w:eastAsia="Times New Roman" w:hAnsi="Meta Pro"/>
                <w:b/>
                <w:bCs/>
                <w:szCs w:val="18"/>
                <w:lang w:eastAsia="en-AU"/>
              </w:rPr>
            </w:pPr>
          </w:p>
        </w:tc>
        <w:tc>
          <w:tcPr>
            <w:tcW w:w="1333" w:type="dxa"/>
            <w:tcBorders>
              <w:top w:val="single" w:sz="4" w:space="0" w:color="auto"/>
              <w:left w:val="nil"/>
              <w:bottom w:val="double" w:sz="6" w:space="0" w:color="auto"/>
              <w:right w:val="nil"/>
            </w:tcBorders>
            <w:shd w:val="clear" w:color="auto" w:fill="auto"/>
            <w:noWrap/>
            <w:vAlign w:val="center"/>
            <w:hideMark/>
          </w:tcPr>
          <w:p w14:paraId="75ED2729" w14:textId="77777777" w:rsidR="00BC5219" w:rsidRPr="001D6D48" w:rsidRDefault="00BC5219" w:rsidP="00E83802">
            <w:pPr>
              <w:jc w:val="right"/>
              <w:rPr>
                <w:rFonts w:ascii="Meta Pro" w:eastAsia="Times New Roman" w:hAnsi="Meta Pro"/>
                <w:b/>
                <w:bCs/>
                <w:szCs w:val="18"/>
                <w:lang w:eastAsia="en-AU"/>
              </w:rPr>
            </w:pPr>
            <w:r w:rsidRPr="001D6D48">
              <w:rPr>
                <w:rFonts w:ascii="Meta Pro" w:eastAsia="Times New Roman" w:hAnsi="Meta Pro"/>
                <w:b/>
                <w:bCs/>
                <w:szCs w:val="18"/>
                <w:lang w:eastAsia="en-AU"/>
              </w:rPr>
              <w:t xml:space="preserve">12,917,452 </w:t>
            </w:r>
          </w:p>
        </w:tc>
      </w:tr>
      <w:tr w:rsidR="00BC5219" w:rsidRPr="001D6D48" w14:paraId="4AC199E2" w14:textId="77777777" w:rsidTr="00E83802">
        <w:trPr>
          <w:trHeight w:val="23"/>
        </w:trPr>
        <w:tc>
          <w:tcPr>
            <w:tcW w:w="5840" w:type="dxa"/>
            <w:tcBorders>
              <w:top w:val="nil"/>
              <w:left w:val="nil"/>
              <w:bottom w:val="nil"/>
              <w:right w:val="nil"/>
            </w:tcBorders>
            <w:shd w:val="clear" w:color="auto" w:fill="auto"/>
            <w:noWrap/>
            <w:vAlign w:val="center"/>
            <w:hideMark/>
          </w:tcPr>
          <w:p w14:paraId="0FAC9362" w14:textId="77777777" w:rsidR="00BC5219" w:rsidRPr="001D6D48" w:rsidRDefault="00BC5219" w:rsidP="00E83802">
            <w:pPr>
              <w:jc w:val="right"/>
              <w:rPr>
                <w:rFonts w:ascii="Meta Pro" w:eastAsia="Times New Roman" w:hAnsi="Meta Pro"/>
                <w:b/>
                <w:bCs/>
                <w:szCs w:val="18"/>
                <w:lang w:eastAsia="en-AU"/>
              </w:rPr>
            </w:pPr>
          </w:p>
        </w:tc>
        <w:tc>
          <w:tcPr>
            <w:tcW w:w="1242" w:type="dxa"/>
            <w:tcBorders>
              <w:top w:val="nil"/>
              <w:left w:val="nil"/>
              <w:bottom w:val="nil"/>
              <w:right w:val="nil"/>
            </w:tcBorders>
            <w:shd w:val="clear" w:color="auto" w:fill="auto"/>
            <w:vAlign w:val="center"/>
            <w:hideMark/>
          </w:tcPr>
          <w:p w14:paraId="6A9ECA00" w14:textId="77777777" w:rsidR="00BC5219" w:rsidRPr="001D6D48" w:rsidRDefault="00BC5219" w:rsidP="00E83802">
            <w:pPr>
              <w:rPr>
                <w:rFonts w:ascii="Meta Pro" w:eastAsia="Times New Roman" w:hAnsi="Meta Pro" w:cs="Times New Roman"/>
                <w:sz w:val="20"/>
                <w:szCs w:val="20"/>
                <w:lang w:eastAsia="en-AU"/>
              </w:rPr>
            </w:pPr>
          </w:p>
        </w:tc>
        <w:tc>
          <w:tcPr>
            <w:tcW w:w="55" w:type="dxa"/>
            <w:tcBorders>
              <w:top w:val="nil"/>
              <w:left w:val="nil"/>
              <w:bottom w:val="nil"/>
              <w:right w:val="nil"/>
            </w:tcBorders>
            <w:shd w:val="clear" w:color="auto" w:fill="auto"/>
            <w:noWrap/>
            <w:vAlign w:val="center"/>
            <w:hideMark/>
          </w:tcPr>
          <w:p w14:paraId="68B85311" w14:textId="77777777" w:rsidR="00BC5219" w:rsidRPr="001D6D48" w:rsidRDefault="00BC5219" w:rsidP="00E83802">
            <w:pPr>
              <w:rPr>
                <w:rFonts w:ascii="Meta Pro" w:eastAsia="Times New Roman" w:hAnsi="Meta Pro" w:cs="Times New Roman"/>
                <w:sz w:val="20"/>
                <w:szCs w:val="20"/>
                <w:lang w:eastAsia="en-AU"/>
              </w:rPr>
            </w:pPr>
          </w:p>
        </w:tc>
        <w:tc>
          <w:tcPr>
            <w:tcW w:w="1375" w:type="dxa"/>
            <w:tcBorders>
              <w:top w:val="nil"/>
              <w:left w:val="nil"/>
              <w:bottom w:val="nil"/>
              <w:right w:val="nil"/>
            </w:tcBorders>
            <w:shd w:val="clear" w:color="auto" w:fill="auto"/>
            <w:noWrap/>
            <w:vAlign w:val="center"/>
            <w:hideMark/>
          </w:tcPr>
          <w:p w14:paraId="025790B1"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center"/>
            <w:hideMark/>
          </w:tcPr>
          <w:p w14:paraId="74567DC9" w14:textId="77777777" w:rsidR="00BC5219" w:rsidRPr="001D6D48" w:rsidRDefault="00BC5219" w:rsidP="00E83802">
            <w:pPr>
              <w:rPr>
                <w:rFonts w:ascii="Meta Pro" w:eastAsia="Times New Roman" w:hAnsi="Meta Pro" w:cs="Times New Roman"/>
                <w:sz w:val="20"/>
                <w:szCs w:val="20"/>
                <w:lang w:eastAsia="en-AU"/>
              </w:rPr>
            </w:pPr>
          </w:p>
        </w:tc>
        <w:tc>
          <w:tcPr>
            <w:tcW w:w="1309" w:type="dxa"/>
            <w:tcBorders>
              <w:top w:val="nil"/>
              <w:left w:val="nil"/>
              <w:bottom w:val="nil"/>
              <w:right w:val="nil"/>
            </w:tcBorders>
            <w:shd w:val="clear" w:color="auto" w:fill="auto"/>
            <w:noWrap/>
            <w:vAlign w:val="center"/>
            <w:hideMark/>
          </w:tcPr>
          <w:p w14:paraId="35247DA9"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center"/>
            <w:hideMark/>
          </w:tcPr>
          <w:p w14:paraId="53F58DB1" w14:textId="77777777" w:rsidR="00BC5219" w:rsidRPr="001D6D48" w:rsidRDefault="00BC5219" w:rsidP="00E83802">
            <w:pPr>
              <w:rPr>
                <w:rFonts w:ascii="Meta Pro" w:eastAsia="Times New Roman" w:hAnsi="Meta Pro" w:cs="Times New Roman"/>
                <w:sz w:val="20"/>
                <w:szCs w:val="20"/>
                <w:lang w:eastAsia="en-AU"/>
              </w:rPr>
            </w:pPr>
          </w:p>
        </w:tc>
        <w:tc>
          <w:tcPr>
            <w:tcW w:w="1291" w:type="dxa"/>
            <w:tcBorders>
              <w:top w:val="nil"/>
              <w:left w:val="nil"/>
              <w:bottom w:val="nil"/>
              <w:right w:val="nil"/>
            </w:tcBorders>
            <w:shd w:val="clear" w:color="auto" w:fill="auto"/>
            <w:noWrap/>
            <w:vAlign w:val="center"/>
            <w:hideMark/>
          </w:tcPr>
          <w:p w14:paraId="0E499C37"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center"/>
            <w:hideMark/>
          </w:tcPr>
          <w:p w14:paraId="38FAA673" w14:textId="77777777" w:rsidR="00BC5219" w:rsidRPr="001D6D48" w:rsidRDefault="00BC5219" w:rsidP="00E83802">
            <w:pPr>
              <w:rPr>
                <w:rFonts w:ascii="Meta Pro" w:eastAsia="Times New Roman" w:hAnsi="Meta Pro" w:cs="Times New Roman"/>
                <w:sz w:val="20"/>
                <w:szCs w:val="20"/>
                <w:lang w:eastAsia="en-AU"/>
              </w:rPr>
            </w:pPr>
          </w:p>
        </w:tc>
        <w:tc>
          <w:tcPr>
            <w:tcW w:w="1270" w:type="dxa"/>
            <w:tcBorders>
              <w:top w:val="nil"/>
              <w:left w:val="nil"/>
              <w:bottom w:val="nil"/>
              <w:right w:val="nil"/>
            </w:tcBorders>
            <w:shd w:val="clear" w:color="auto" w:fill="auto"/>
            <w:noWrap/>
            <w:vAlign w:val="center"/>
            <w:hideMark/>
          </w:tcPr>
          <w:p w14:paraId="02D053A9"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center"/>
            <w:hideMark/>
          </w:tcPr>
          <w:p w14:paraId="0D26319F" w14:textId="77777777" w:rsidR="00BC5219" w:rsidRPr="001D6D48" w:rsidRDefault="00BC5219" w:rsidP="00E83802">
            <w:pPr>
              <w:rPr>
                <w:rFonts w:ascii="Meta Pro" w:eastAsia="Times New Roman" w:hAnsi="Meta Pro" w:cs="Times New Roman"/>
                <w:sz w:val="20"/>
                <w:szCs w:val="20"/>
                <w:lang w:eastAsia="en-AU"/>
              </w:rPr>
            </w:pPr>
          </w:p>
        </w:tc>
        <w:tc>
          <w:tcPr>
            <w:tcW w:w="1126" w:type="dxa"/>
            <w:gridSpan w:val="2"/>
            <w:tcBorders>
              <w:top w:val="nil"/>
              <w:left w:val="nil"/>
              <w:bottom w:val="nil"/>
              <w:right w:val="nil"/>
            </w:tcBorders>
            <w:shd w:val="clear" w:color="auto" w:fill="auto"/>
            <w:noWrap/>
            <w:vAlign w:val="center"/>
            <w:hideMark/>
          </w:tcPr>
          <w:p w14:paraId="0D4A4F39"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center"/>
            <w:hideMark/>
          </w:tcPr>
          <w:p w14:paraId="76CDF97D" w14:textId="77777777" w:rsidR="00BC5219" w:rsidRPr="001D6D48" w:rsidRDefault="00BC5219" w:rsidP="00E83802">
            <w:pPr>
              <w:jc w:val="center"/>
              <w:rPr>
                <w:rFonts w:ascii="Meta Pro" w:eastAsia="Times New Roman" w:hAnsi="Meta Pro" w:cs="Times New Roman"/>
                <w:sz w:val="20"/>
                <w:szCs w:val="20"/>
                <w:lang w:eastAsia="en-AU"/>
              </w:rPr>
            </w:pPr>
          </w:p>
        </w:tc>
        <w:tc>
          <w:tcPr>
            <w:tcW w:w="1244" w:type="dxa"/>
            <w:tcBorders>
              <w:top w:val="nil"/>
              <w:left w:val="nil"/>
              <w:bottom w:val="nil"/>
              <w:right w:val="nil"/>
            </w:tcBorders>
            <w:shd w:val="clear" w:color="auto" w:fill="auto"/>
            <w:noWrap/>
            <w:vAlign w:val="center"/>
            <w:hideMark/>
          </w:tcPr>
          <w:p w14:paraId="56E91F68"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center"/>
            <w:hideMark/>
          </w:tcPr>
          <w:p w14:paraId="4866BA6A" w14:textId="77777777" w:rsidR="00BC5219" w:rsidRPr="001D6D48" w:rsidRDefault="00BC5219" w:rsidP="00E83802">
            <w:pPr>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280A41FC"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center"/>
            <w:hideMark/>
          </w:tcPr>
          <w:p w14:paraId="2C923358" w14:textId="77777777" w:rsidR="00BC5219" w:rsidRPr="001D6D48" w:rsidRDefault="00BC5219" w:rsidP="00E83802">
            <w:pPr>
              <w:rPr>
                <w:rFonts w:ascii="Meta Pro" w:eastAsia="Times New Roman" w:hAnsi="Meta Pro" w:cs="Times New Roman"/>
                <w:sz w:val="20"/>
                <w:szCs w:val="20"/>
                <w:lang w:eastAsia="en-AU"/>
              </w:rPr>
            </w:pPr>
          </w:p>
        </w:tc>
        <w:tc>
          <w:tcPr>
            <w:tcW w:w="1333" w:type="dxa"/>
            <w:tcBorders>
              <w:top w:val="nil"/>
              <w:left w:val="nil"/>
              <w:bottom w:val="nil"/>
              <w:right w:val="nil"/>
            </w:tcBorders>
            <w:shd w:val="clear" w:color="auto" w:fill="auto"/>
            <w:noWrap/>
            <w:vAlign w:val="center"/>
            <w:hideMark/>
          </w:tcPr>
          <w:p w14:paraId="7FC885CA" w14:textId="77777777" w:rsidR="00BC5219" w:rsidRPr="001D6D48" w:rsidRDefault="00BC5219" w:rsidP="00E83802">
            <w:pPr>
              <w:rPr>
                <w:rFonts w:ascii="Meta Pro" w:eastAsia="Times New Roman" w:hAnsi="Meta Pro" w:cs="Times New Roman"/>
                <w:sz w:val="20"/>
                <w:szCs w:val="20"/>
                <w:lang w:eastAsia="en-AU"/>
              </w:rPr>
            </w:pPr>
          </w:p>
        </w:tc>
      </w:tr>
      <w:tr w:rsidR="00BC5219" w:rsidRPr="001D6D48" w14:paraId="16BB11CD" w14:textId="77777777" w:rsidTr="00E83802">
        <w:trPr>
          <w:trHeight w:val="284"/>
        </w:trPr>
        <w:tc>
          <w:tcPr>
            <w:tcW w:w="5840" w:type="dxa"/>
            <w:tcBorders>
              <w:top w:val="nil"/>
              <w:left w:val="nil"/>
              <w:bottom w:val="nil"/>
              <w:right w:val="nil"/>
            </w:tcBorders>
            <w:shd w:val="clear" w:color="auto" w:fill="auto"/>
            <w:noWrap/>
            <w:vAlign w:val="center"/>
            <w:hideMark/>
          </w:tcPr>
          <w:p w14:paraId="0039448E" w14:textId="77777777" w:rsidR="00BC5219" w:rsidRPr="001D6D48" w:rsidRDefault="00BC5219" w:rsidP="00E83802">
            <w:pPr>
              <w:rPr>
                <w:rFonts w:ascii="Meta Pro" w:eastAsia="Times New Roman" w:hAnsi="Meta Pro"/>
                <w:b/>
                <w:bCs/>
                <w:szCs w:val="18"/>
                <w:lang w:eastAsia="en-AU"/>
              </w:rPr>
            </w:pPr>
            <w:r w:rsidRPr="001D6D48">
              <w:rPr>
                <w:rFonts w:ascii="Meta Pro" w:eastAsia="Times New Roman" w:hAnsi="Meta Pro"/>
                <w:b/>
                <w:bCs/>
                <w:szCs w:val="18"/>
                <w:lang w:eastAsia="en-AU"/>
              </w:rPr>
              <w:t>Reconciliation</w:t>
            </w:r>
          </w:p>
        </w:tc>
        <w:tc>
          <w:tcPr>
            <w:tcW w:w="1242" w:type="dxa"/>
            <w:tcBorders>
              <w:top w:val="nil"/>
              <w:left w:val="nil"/>
              <w:bottom w:val="nil"/>
              <w:right w:val="nil"/>
            </w:tcBorders>
            <w:shd w:val="clear" w:color="auto" w:fill="auto"/>
            <w:noWrap/>
            <w:vAlign w:val="center"/>
            <w:hideMark/>
          </w:tcPr>
          <w:p w14:paraId="300799B5" w14:textId="77777777" w:rsidR="00BC5219" w:rsidRPr="001D6D48" w:rsidRDefault="00BC5219" w:rsidP="00E83802">
            <w:pPr>
              <w:rPr>
                <w:rFonts w:ascii="Meta Pro" w:eastAsia="Times New Roman" w:hAnsi="Meta Pro"/>
                <w:b/>
                <w:bCs/>
                <w:szCs w:val="18"/>
                <w:lang w:eastAsia="en-AU"/>
              </w:rPr>
            </w:pPr>
          </w:p>
        </w:tc>
        <w:tc>
          <w:tcPr>
            <w:tcW w:w="55" w:type="dxa"/>
            <w:tcBorders>
              <w:top w:val="nil"/>
              <w:left w:val="nil"/>
              <w:bottom w:val="nil"/>
              <w:right w:val="nil"/>
            </w:tcBorders>
            <w:shd w:val="clear" w:color="auto" w:fill="auto"/>
            <w:noWrap/>
            <w:vAlign w:val="center"/>
            <w:hideMark/>
          </w:tcPr>
          <w:p w14:paraId="2EA08F58" w14:textId="77777777" w:rsidR="00BC5219" w:rsidRPr="001D6D48" w:rsidRDefault="00BC5219" w:rsidP="00E83802">
            <w:pPr>
              <w:rPr>
                <w:rFonts w:ascii="Meta Pro" w:eastAsia="Times New Roman" w:hAnsi="Meta Pro" w:cs="Times New Roman"/>
                <w:sz w:val="20"/>
                <w:szCs w:val="20"/>
                <w:lang w:eastAsia="en-AU"/>
              </w:rPr>
            </w:pPr>
          </w:p>
        </w:tc>
        <w:tc>
          <w:tcPr>
            <w:tcW w:w="1375" w:type="dxa"/>
            <w:tcBorders>
              <w:top w:val="nil"/>
              <w:left w:val="nil"/>
              <w:bottom w:val="nil"/>
              <w:right w:val="nil"/>
            </w:tcBorders>
            <w:shd w:val="clear" w:color="auto" w:fill="auto"/>
            <w:noWrap/>
            <w:vAlign w:val="center"/>
            <w:hideMark/>
          </w:tcPr>
          <w:p w14:paraId="60A7FBFB"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center"/>
            <w:hideMark/>
          </w:tcPr>
          <w:p w14:paraId="277AC44C" w14:textId="77777777" w:rsidR="00BC5219" w:rsidRPr="001D6D48" w:rsidRDefault="00BC5219" w:rsidP="00E83802">
            <w:pPr>
              <w:jc w:val="center"/>
              <w:rPr>
                <w:rFonts w:ascii="Meta Pro" w:eastAsia="Times New Roman" w:hAnsi="Meta Pro" w:cs="Times New Roman"/>
                <w:sz w:val="20"/>
                <w:szCs w:val="20"/>
                <w:lang w:eastAsia="en-AU"/>
              </w:rPr>
            </w:pPr>
          </w:p>
        </w:tc>
        <w:tc>
          <w:tcPr>
            <w:tcW w:w="1309" w:type="dxa"/>
            <w:tcBorders>
              <w:top w:val="nil"/>
              <w:left w:val="nil"/>
              <w:bottom w:val="nil"/>
              <w:right w:val="nil"/>
            </w:tcBorders>
            <w:shd w:val="clear" w:color="auto" w:fill="auto"/>
            <w:noWrap/>
            <w:vAlign w:val="center"/>
            <w:hideMark/>
          </w:tcPr>
          <w:p w14:paraId="2BC9519B"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center"/>
            <w:hideMark/>
          </w:tcPr>
          <w:p w14:paraId="654C7169" w14:textId="77777777" w:rsidR="00BC5219" w:rsidRPr="001D6D48" w:rsidRDefault="00BC5219" w:rsidP="00E83802">
            <w:pPr>
              <w:jc w:val="center"/>
              <w:rPr>
                <w:rFonts w:ascii="Meta Pro" w:eastAsia="Times New Roman" w:hAnsi="Meta Pro" w:cs="Times New Roman"/>
                <w:sz w:val="20"/>
                <w:szCs w:val="20"/>
                <w:lang w:eastAsia="en-AU"/>
              </w:rPr>
            </w:pPr>
          </w:p>
        </w:tc>
        <w:tc>
          <w:tcPr>
            <w:tcW w:w="1291" w:type="dxa"/>
            <w:tcBorders>
              <w:top w:val="nil"/>
              <w:left w:val="nil"/>
              <w:bottom w:val="nil"/>
              <w:right w:val="nil"/>
            </w:tcBorders>
            <w:shd w:val="clear" w:color="auto" w:fill="auto"/>
            <w:noWrap/>
            <w:vAlign w:val="center"/>
            <w:hideMark/>
          </w:tcPr>
          <w:p w14:paraId="40A7BBA3"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center"/>
            <w:hideMark/>
          </w:tcPr>
          <w:p w14:paraId="7DD624AB" w14:textId="77777777" w:rsidR="00BC5219" w:rsidRPr="001D6D48" w:rsidRDefault="00BC5219" w:rsidP="00E83802">
            <w:pPr>
              <w:jc w:val="center"/>
              <w:rPr>
                <w:rFonts w:ascii="Meta Pro" w:eastAsia="Times New Roman" w:hAnsi="Meta Pro" w:cs="Times New Roman"/>
                <w:sz w:val="20"/>
                <w:szCs w:val="20"/>
                <w:lang w:eastAsia="en-AU"/>
              </w:rPr>
            </w:pPr>
          </w:p>
        </w:tc>
        <w:tc>
          <w:tcPr>
            <w:tcW w:w="1270" w:type="dxa"/>
            <w:tcBorders>
              <w:top w:val="nil"/>
              <w:left w:val="nil"/>
              <w:bottom w:val="nil"/>
              <w:right w:val="nil"/>
            </w:tcBorders>
            <w:shd w:val="clear" w:color="auto" w:fill="auto"/>
            <w:noWrap/>
            <w:vAlign w:val="center"/>
            <w:hideMark/>
          </w:tcPr>
          <w:p w14:paraId="1B49A6C4"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center"/>
            <w:hideMark/>
          </w:tcPr>
          <w:p w14:paraId="738F5D61" w14:textId="77777777" w:rsidR="00BC5219" w:rsidRPr="001D6D48" w:rsidRDefault="00BC5219" w:rsidP="00E83802">
            <w:pPr>
              <w:jc w:val="center"/>
              <w:rPr>
                <w:rFonts w:ascii="Meta Pro" w:eastAsia="Times New Roman" w:hAnsi="Meta Pro" w:cs="Times New Roman"/>
                <w:sz w:val="20"/>
                <w:szCs w:val="20"/>
                <w:lang w:eastAsia="en-AU"/>
              </w:rPr>
            </w:pPr>
          </w:p>
        </w:tc>
        <w:tc>
          <w:tcPr>
            <w:tcW w:w="1126" w:type="dxa"/>
            <w:gridSpan w:val="2"/>
            <w:tcBorders>
              <w:top w:val="nil"/>
              <w:left w:val="nil"/>
              <w:bottom w:val="nil"/>
              <w:right w:val="nil"/>
            </w:tcBorders>
            <w:shd w:val="clear" w:color="auto" w:fill="auto"/>
            <w:noWrap/>
            <w:vAlign w:val="center"/>
            <w:hideMark/>
          </w:tcPr>
          <w:p w14:paraId="5DFE4A92"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center"/>
            <w:hideMark/>
          </w:tcPr>
          <w:p w14:paraId="7F7FB873" w14:textId="77777777" w:rsidR="00BC5219" w:rsidRPr="001D6D48" w:rsidRDefault="00BC5219" w:rsidP="00E83802">
            <w:pPr>
              <w:jc w:val="center"/>
              <w:rPr>
                <w:rFonts w:ascii="Meta Pro" w:eastAsia="Times New Roman" w:hAnsi="Meta Pro" w:cs="Times New Roman"/>
                <w:sz w:val="20"/>
                <w:szCs w:val="20"/>
                <w:lang w:eastAsia="en-AU"/>
              </w:rPr>
            </w:pPr>
          </w:p>
        </w:tc>
        <w:tc>
          <w:tcPr>
            <w:tcW w:w="1244" w:type="dxa"/>
            <w:tcBorders>
              <w:top w:val="nil"/>
              <w:left w:val="nil"/>
              <w:bottom w:val="nil"/>
              <w:right w:val="nil"/>
            </w:tcBorders>
            <w:shd w:val="clear" w:color="auto" w:fill="auto"/>
            <w:noWrap/>
            <w:vAlign w:val="center"/>
            <w:hideMark/>
          </w:tcPr>
          <w:p w14:paraId="61D405D1"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center"/>
            <w:hideMark/>
          </w:tcPr>
          <w:p w14:paraId="1DF00E73" w14:textId="77777777" w:rsidR="00BC5219" w:rsidRPr="001D6D48" w:rsidRDefault="00BC5219" w:rsidP="00E83802">
            <w:pPr>
              <w:jc w:val="center"/>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1D671E5B"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center"/>
            <w:hideMark/>
          </w:tcPr>
          <w:p w14:paraId="180454F7" w14:textId="77777777" w:rsidR="00BC5219" w:rsidRPr="001D6D48" w:rsidRDefault="00BC5219" w:rsidP="00E83802">
            <w:pPr>
              <w:jc w:val="center"/>
              <w:rPr>
                <w:rFonts w:ascii="Meta Pro" w:eastAsia="Times New Roman" w:hAnsi="Meta Pro" w:cs="Times New Roman"/>
                <w:sz w:val="20"/>
                <w:szCs w:val="20"/>
                <w:lang w:eastAsia="en-AU"/>
              </w:rPr>
            </w:pPr>
          </w:p>
        </w:tc>
        <w:tc>
          <w:tcPr>
            <w:tcW w:w="1333" w:type="dxa"/>
            <w:tcBorders>
              <w:top w:val="nil"/>
              <w:left w:val="nil"/>
              <w:bottom w:val="nil"/>
              <w:right w:val="nil"/>
            </w:tcBorders>
            <w:shd w:val="clear" w:color="auto" w:fill="auto"/>
            <w:noWrap/>
            <w:vAlign w:val="center"/>
            <w:hideMark/>
          </w:tcPr>
          <w:p w14:paraId="793C3B47" w14:textId="77777777" w:rsidR="00BC5219" w:rsidRPr="001D6D48" w:rsidRDefault="00BC5219" w:rsidP="00E83802">
            <w:pPr>
              <w:rPr>
                <w:rFonts w:ascii="Meta Pro" w:eastAsia="Times New Roman" w:hAnsi="Meta Pro" w:cs="Times New Roman"/>
                <w:sz w:val="20"/>
                <w:szCs w:val="20"/>
                <w:lang w:eastAsia="en-AU"/>
              </w:rPr>
            </w:pPr>
          </w:p>
        </w:tc>
      </w:tr>
      <w:tr w:rsidR="00BC5219" w:rsidRPr="001D6D48" w14:paraId="79603C24" w14:textId="77777777" w:rsidTr="00E83802">
        <w:trPr>
          <w:trHeight w:val="57"/>
        </w:trPr>
        <w:tc>
          <w:tcPr>
            <w:tcW w:w="5840" w:type="dxa"/>
            <w:tcBorders>
              <w:top w:val="nil"/>
              <w:left w:val="nil"/>
              <w:bottom w:val="nil"/>
              <w:right w:val="nil"/>
            </w:tcBorders>
            <w:shd w:val="clear" w:color="auto" w:fill="auto"/>
            <w:noWrap/>
            <w:vAlign w:val="center"/>
            <w:hideMark/>
          </w:tcPr>
          <w:p w14:paraId="21A69474" w14:textId="77777777" w:rsidR="00BC5219" w:rsidRPr="001D6D48" w:rsidRDefault="00BC5219" w:rsidP="00E83802">
            <w:pPr>
              <w:jc w:val="center"/>
              <w:rPr>
                <w:rFonts w:ascii="Meta Pro" w:eastAsia="Times New Roman" w:hAnsi="Meta Pro" w:cs="Times New Roman"/>
                <w:sz w:val="20"/>
                <w:szCs w:val="20"/>
                <w:lang w:eastAsia="en-AU"/>
              </w:rPr>
            </w:pPr>
          </w:p>
        </w:tc>
        <w:tc>
          <w:tcPr>
            <w:tcW w:w="1242" w:type="dxa"/>
            <w:tcBorders>
              <w:top w:val="nil"/>
              <w:left w:val="nil"/>
              <w:bottom w:val="nil"/>
              <w:right w:val="nil"/>
            </w:tcBorders>
            <w:shd w:val="clear" w:color="auto" w:fill="auto"/>
            <w:noWrap/>
            <w:vAlign w:val="center"/>
            <w:hideMark/>
          </w:tcPr>
          <w:p w14:paraId="0E99FBB6" w14:textId="77777777" w:rsidR="00BC5219" w:rsidRPr="001D6D48" w:rsidRDefault="00BC5219" w:rsidP="00E83802">
            <w:pPr>
              <w:rPr>
                <w:rFonts w:ascii="Meta Pro" w:eastAsia="Times New Roman" w:hAnsi="Meta Pro" w:cs="Times New Roman"/>
                <w:sz w:val="20"/>
                <w:szCs w:val="20"/>
                <w:lang w:eastAsia="en-AU"/>
              </w:rPr>
            </w:pPr>
          </w:p>
        </w:tc>
        <w:tc>
          <w:tcPr>
            <w:tcW w:w="55" w:type="dxa"/>
            <w:tcBorders>
              <w:top w:val="nil"/>
              <w:left w:val="nil"/>
              <w:bottom w:val="nil"/>
              <w:right w:val="nil"/>
            </w:tcBorders>
            <w:shd w:val="clear" w:color="auto" w:fill="auto"/>
            <w:noWrap/>
            <w:vAlign w:val="center"/>
            <w:hideMark/>
          </w:tcPr>
          <w:p w14:paraId="445A393A" w14:textId="77777777" w:rsidR="00BC5219" w:rsidRPr="001D6D48" w:rsidRDefault="00BC5219" w:rsidP="00E83802">
            <w:pPr>
              <w:rPr>
                <w:rFonts w:ascii="Meta Pro" w:eastAsia="Times New Roman" w:hAnsi="Meta Pro" w:cs="Times New Roman"/>
                <w:sz w:val="20"/>
                <w:szCs w:val="20"/>
                <w:lang w:eastAsia="en-AU"/>
              </w:rPr>
            </w:pPr>
          </w:p>
        </w:tc>
        <w:tc>
          <w:tcPr>
            <w:tcW w:w="1375" w:type="dxa"/>
            <w:tcBorders>
              <w:top w:val="nil"/>
              <w:left w:val="nil"/>
              <w:bottom w:val="nil"/>
              <w:right w:val="nil"/>
            </w:tcBorders>
            <w:shd w:val="clear" w:color="auto" w:fill="auto"/>
            <w:noWrap/>
            <w:vAlign w:val="center"/>
            <w:hideMark/>
          </w:tcPr>
          <w:p w14:paraId="5452442E"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center"/>
            <w:hideMark/>
          </w:tcPr>
          <w:p w14:paraId="730E77F1" w14:textId="77777777" w:rsidR="00BC5219" w:rsidRPr="001D6D48" w:rsidRDefault="00BC5219" w:rsidP="00E83802">
            <w:pPr>
              <w:jc w:val="center"/>
              <w:rPr>
                <w:rFonts w:ascii="Meta Pro" w:eastAsia="Times New Roman" w:hAnsi="Meta Pro" w:cs="Times New Roman"/>
                <w:sz w:val="20"/>
                <w:szCs w:val="20"/>
                <w:lang w:eastAsia="en-AU"/>
              </w:rPr>
            </w:pPr>
          </w:p>
        </w:tc>
        <w:tc>
          <w:tcPr>
            <w:tcW w:w="1309" w:type="dxa"/>
            <w:tcBorders>
              <w:top w:val="nil"/>
              <w:left w:val="nil"/>
              <w:bottom w:val="nil"/>
              <w:right w:val="nil"/>
            </w:tcBorders>
            <w:shd w:val="clear" w:color="auto" w:fill="auto"/>
            <w:noWrap/>
            <w:vAlign w:val="center"/>
            <w:hideMark/>
          </w:tcPr>
          <w:p w14:paraId="0D1C5396"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center"/>
            <w:hideMark/>
          </w:tcPr>
          <w:p w14:paraId="12BF5EDD" w14:textId="77777777" w:rsidR="00BC5219" w:rsidRPr="001D6D48" w:rsidRDefault="00BC5219" w:rsidP="00E83802">
            <w:pPr>
              <w:jc w:val="center"/>
              <w:rPr>
                <w:rFonts w:ascii="Meta Pro" w:eastAsia="Times New Roman" w:hAnsi="Meta Pro" w:cs="Times New Roman"/>
                <w:sz w:val="20"/>
                <w:szCs w:val="20"/>
                <w:lang w:eastAsia="en-AU"/>
              </w:rPr>
            </w:pPr>
          </w:p>
        </w:tc>
        <w:tc>
          <w:tcPr>
            <w:tcW w:w="1291" w:type="dxa"/>
            <w:tcBorders>
              <w:top w:val="nil"/>
              <w:left w:val="nil"/>
              <w:bottom w:val="nil"/>
              <w:right w:val="nil"/>
            </w:tcBorders>
            <w:shd w:val="clear" w:color="auto" w:fill="auto"/>
            <w:noWrap/>
            <w:vAlign w:val="center"/>
            <w:hideMark/>
          </w:tcPr>
          <w:p w14:paraId="52A6EEB2"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center"/>
            <w:hideMark/>
          </w:tcPr>
          <w:p w14:paraId="691FF528" w14:textId="77777777" w:rsidR="00BC5219" w:rsidRPr="001D6D48" w:rsidRDefault="00BC5219" w:rsidP="00E83802">
            <w:pPr>
              <w:jc w:val="center"/>
              <w:rPr>
                <w:rFonts w:ascii="Meta Pro" w:eastAsia="Times New Roman" w:hAnsi="Meta Pro" w:cs="Times New Roman"/>
                <w:sz w:val="20"/>
                <w:szCs w:val="20"/>
                <w:lang w:eastAsia="en-AU"/>
              </w:rPr>
            </w:pPr>
          </w:p>
        </w:tc>
        <w:tc>
          <w:tcPr>
            <w:tcW w:w="1270" w:type="dxa"/>
            <w:tcBorders>
              <w:top w:val="nil"/>
              <w:left w:val="nil"/>
              <w:bottom w:val="nil"/>
              <w:right w:val="nil"/>
            </w:tcBorders>
            <w:shd w:val="clear" w:color="auto" w:fill="auto"/>
            <w:noWrap/>
            <w:vAlign w:val="center"/>
            <w:hideMark/>
          </w:tcPr>
          <w:p w14:paraId="0A0CFF36"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center"/>
            <w:hideMark/>
          </w:tcPr>
          <w:p w14:paraId="2FA781E0" w14:textId="77777777" w:rsidR="00BC5219" w:rsidRPr="001D6D48" w:rsidRDefault="00BC5219" w:rsidP="00E83802">
            <w:pPr>
              <w:jc w:val="center"/>
              <w:rPr>
                <w:rFonts w:ascii="Meta Pro" w:eastAsia="Times New Roman" w:hAnsi="Meta Pro" w:cs="Times New Roman"/>
                <w:sz w:val="20"/>
                <w:szCs w:val="20"/>
                <w:lang w:eastAsia="en-AU"/>
              </w:rPr>
            </w:pPr>
          </w:p>
        </w:tc>
        <w:tc>
          <w:tcPr>
            <w:tcW w:w="1126" w:type="dxa"/>
            <w:gridSpan w:val="2"/>
            <w:tcBorders>
              <w:top w:val="nil"/>
              <w:left w:val="nil"/>
              <w:bottom w:val="nil"/>
              <w:right w:val="nil"/>
            </w:tcBorders>
            <w:shd w:val="clear" w:color="auto" w:fill="auto"/>
            <w:noWrap/>
            <w:vAlign w:val="center"/>
            <w:hideMark/>
          </w:tcPr>
          <w:p w14:paraId="482E3E40"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center"/>
            <w:hideMark/>
          </w:tcPr>
          <w:p w14:paraId="3116E8DB" w14:textId="77777777" w:rsidR="00BC5219" w:rsidRPr="001D6D48" w:rsidRDefault="00BC5219" w:rsidP="00E83802">
            <w:pPr>
              <w:jc w:val="center"/>
              <w:rPr>
                <w:rFonts w:ascii="Meta Pro" w:eastAsia="Times New Roman" w:hAnsi="Meta Pro" w:cs="Times New Roman"/>
                <w:sz w:val="20"/>
                <w:szCs w:val="20"/>
                <w:lang w:eastAsia="en-AU"/>
              </w:rPr>
            </w:pPr>
          </w:p>
        </w:tc>
        <w:tc>
          <w:tcPr>
            <w:tcW w:w="1244" w:type="dxa"/>
            <w:tcBorders>
              <w:top w:val="nil"/>
              <w:left w:val="nil"/>
              <w:bottom w:val="nil"/>
              <w:right w:val="nil"/>
            </w:tcBorders>
            <w:shd w:val="clear" w:color="auto" w:fill="auto"/>
            <w:noWrap/>
            <w:vAlign w:val="center"/>
            <w:hideMark/>
          </w:tcPr>
          <w:p w14:paraId="56EFD799"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center"/>
            <w:hideMark/>
          </w:tcPr>
          <w:p w14:paraId="4A2EF1B5" w14:textId="77777777" w:rsidR="00BC5219" w:rsidRPr="001D6D48" w:rsidRDefault="00BC5219" w:rsidP="00E83802">
            <w:pPr>
              <w:jc w:val="center"/>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05FB8087"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center"/>
            <w:hideMark/>
          </w:tcPr>
          <w:p w14:paraId="1C7E715E" w14:textId="77777777" w:rsidR="00BC5219" w:rsidRPr="001D6D48" w:rsidRDefault="00BC5219" w:rsidP="00E83802">
            <w:pPr>
              <w:jc w:val="center"/>
              <w:rPr>
                <w:rFonts w:ascii="Meta Pro" w:eastAsia="Times New Roman" w:hAnsi="Meta Pro" w:cs="Times New Roman"/>
                <w:sz w:val="20"/>
                <w:szCs w:val="20"/>
                <w:lang w:eastAsia="en-AU"/>
              </w:rPr>
            </w:pPr>
          </w:p>
        </w:tc>
        <w:tc>
          <w:tcPr>
            <w:tcW w:w="1333" w:type="dxa"/>
            <w:tcBorders>
              <w:top w:val="nil"/>
              <w:left w:val="nil"/>
              <w:bottom w:val="nil"/>
              <w:right w:val="nil"/>
            </w:tcBorders>
            <w:shd w:val="clear" w:color="auto" w:fill="auto"/>
            <w:noWrap/>
            <w:vAlign w:val="center"/>
            <w:hideMark/>
          </w:tcPr>
          <w:p w14:paraId="39CFF113" w14:textId="77777777" w:rsidR="00BC5219" w:rsidRPr="001D6D48" w:rsidRDefault="00BC5219" w:rsidP="00E83802">
            <w:pPr>
              <w:rPr>
                <w:rFonts w:ascii="Meta Pro" w:eastAsia="Times New Roman" w:hAnsi="Meta Pro" w:cs="Times New Roman"/>
                <w:sz w:val="20"/>
                <w:szCs w:val="20"/>
                <w:lang w:eastAsia="en-AU"/>
              </w:rPr>
            </w:pPr>
          </w:p>
        </w:tc>
      </w:tr>
      <w:tr w:rsidR="00BC5219" w:rsidRPr="001D6D48" w14:paraId="1EFA4B0A" w14:textId="77777777" w:rsidTr="00E83802">
        <w:trPr>
          <w:trHeight w:val="23"/>
        </w:trPr>
        <w:tc>
          <w:tcPr>
            <w:tcW w:w="5840" w:type="dxa"/>
            <w:tcBorders>
              <w:top w:val="nil"/>
              <w:left w:val="nil"/>
              <w:bottom w:val="nil"/>
              <w:right w:val="nil"/>
            </w:tcBorders>
            <w:shd w:val="clear" w:color="auto" w:fill="auto"/>
            <w:vAlign w:val="center"/>
            <w:hideMark/>
          </w:tcPr>
          <w:p w14:paraId="7BF033E6" w14:textId="77777777" w:rsidR="00BC5219" w:rsidRPr="001D6D48" w:rsidRDefault="00BC5219" w:rsidP="00E83802">
            <w:pPr>
              <w:rPr>
                <w:rFonts w:ascii="Meta Pro" w:eastAsia="Times New Roman" w:hAnsi="Meta Pro"/>
                <w:szCs w:val="18"/>
                <w:lang w:eastAsia="en-AU"/>
              </w:rPr>
            </w:pPr>
            <w:r w:rsidRPr="001D6D48">
              <w:rPr>
                <w:rFonts w:ascii="Meta Pro" w:eastAsia="Times New Roman" w:hAnsi="Meta Pro"/>
                <w:szCs w:val="18"/>
                <w:lang w:eastAsia="en-AU"/>
              </w:rPr>
              <w:t>Carrying amount at 1 July</w:t>
            </w:r>
          </w:p>
        </w:tc>
        <w:tc>
          <w:tcPr>
            <w:tcW w:w="1242" w:type="dxa"/>
            <w:tcBorders>
              <w:top w:val="nil"/>
              <w:left w:val="nil"/>
              <w:bottom w:val="nil"/>
              <w:right w:val="nil"/>
            </w:tcBorders>
            <w:shd w:val="clear" w:color="auto" w:fill="auto"/>
            <w:noWrap/>
            <w:vAlign w:val="center"/>
            <w:hideMark/>
          </w:tcPr>
          <w:p w14:paraId="49040474"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 xml:space="preserve">650,600 </w:t>
            </w:r>
          </w:p>
        </w:tc>
        <w:tc>
          <w:tcPr>
            <w:tcW w:w="55" w:type="dxa"/>
            <w:tcBorders>
              <w:top w:val="nil"/>
              <w:left w:val="nil"/>
              <w:bottom w:val="nil"/>
              <w:right w:val="nil"/>
            </w:tcBorders>
            <w:shd w:val="clear" w:color="auto" w:fill="auto"/>
            <w:noWrap/>
            <w:vAlign w:val="center"/>
            <w:hideMark/>
          </w:tcPr>
          <w:p w14:paraId="3A2BA065" w14:textId="77777777" w:rsidR="00BC5219" w:rsidRPr="001D6D48" w:rsidRDefault="00BC5219" w:rsidP="00E83802">
            <w:pPr>
              <w:jc w:val="right"/>
              <w:rPr>
                <w:rFonts w:ascii="Meta Pro" w:eastAsia="Times New Roman" w:hAnsi="Meta Pro"/>
                <w:szCs w:val="18"/>
                <w:lang w:eastAsia="en-AU"/>
              </w:rPr>
            </w:pPr>
          </w:p>
        </w:tc>
        <w:tc>
          <w:tcPr>
            <w:tcW w:w="1375" w:type="dxa"/>
            <w:tcBorders>
              <w:top w:val="nil"/>
              <w:left w:val="nil"/>
              <w:bottom w:val="nil"/>
              <w:right w:val="nil"/>
            </w:tcBorders>
            <w:shd w:val="clear" w:color="auto" w:fill="auto"/>
            <w:noWrap/>
            <w:vAlign w:val="center"/>
            <w:hideMark/>
          </w:tcPr>
          <w:p w14:paraId="36B51CC2"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 xml:space="preserve">1,313,963 </w:t>
            </w:r>
          </w:p>
        </w:tc>
        <w:tc>
          <w:tcPr>
            <w:tcW w:w="54" w:type="dxa"/>
            <w:tcBorders>
              <w:top w:val="nil"/>
              <w:left w:val="nil"/>
              <w:bottom w:val="nil"/>
              <w:right w:val="nil"/>
            </w:tcBorders>
            <w:shd w:val="clear" w:color="auto" w:fill="auto"/>
            <w:noWrap/>
            <w:vAlign w:val="center"/>
            <w:hideMark/>
          </w:tcPr>
          <w:p w14:paraId="5D1CFEB0" w14:textId="77777777" w:rsidR="00BC5219" w:rsidRPr="001D6D48" w:rsidRDefault="00BC5219" w:rsidP="00E83802">
            <w:pPr>
              <w:jc w:val="right"/>
              <w:rPr>
                <w:rFonts w:ascii="Meta Pro" w:eastAsia="Times New Roman" w:hAnsi="Meta Pro"/>
                <w:szCs w:val="18"/>
                <w:lang w:eastAsia="en-AU"/>
              </w:rPr>
            </w:pPr>
          </w:p>
        </w:tc>
        <w:tc>
          <w:tcPr>
            <w:tcW w:w="1309" w:type="dxa"/>
            <w:tcBorders>
              <w:top w:val="nil"/>
              <w:left w:val="nil"/>
              <w:bottom w:val="nil"/>
              <w:right w:val="nil"/>
            </w:tcBorders>
            <w:shd w:val="clear" w:color="auto" w:fill="auto"/>
            <w:noWrap/>
            <w:vAlign w:val="center"/>
            <w:hideMark/>
          </w:tcPr>
          <w:p w14:paraId="3C639954"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 xml:space="preserve">5,334,682 </w:t>
            </w:r>
          </w:p>
        </w:tc>
        <w:tc>
          <w:tcPr>
            <w:tcW w:w="54" w:type="dxa"/>
            <w:tcBorders>
              <w:top w:val="nil"/>
              <w:left w:val="nil"/>
              <w:bottom w:val="nil"/>
              <w:right w:val="nil"/>
            </w:tcBorders>
            <w:shd w:val="clear" w:color="auto" w:fill="auto"/>
            <w:noWrap/>
            <w:vAlign w:val="center"/>
            <w:hideMark/>
          </w:tcPr>
          <w:p w14:paraId="53FDFADD" w14:textId="77777777" w:rsidR="00BC5219" w:rsidRPr="001D6D48" w:rsidRDefault="00BC5219" w:rsidP="00E83802">
            <w:pPr>
              <w:jc w:val="right"/>
              <w:rPr>
                <w:rFonts w:ascii="Meta Pro" w:eastAsia="Times New Roman" w:hAnsi="Meta Pro"/>
                <w:szCs w:val="18"/>
                <w:lang w:eastAsia="en-AU"/>
              </w:rPr>
            </w:pPr>
          </w:p>
        </w:tc>
        <w:tc>
          <w:tcPr>
            <w:tcW w:w="1291" w:type="dxa"/>
            <w:tcBorders>
              <w:top w:val="nil"/>
              <w:left w:val="nil"/>
              <w:bottom w:val="nil"/>
              <w:right w:val="nil"/>
            </w:tcBorders>
            <w:shd w:val="clear" w:color="auto" w:fill="auto"/>
            <w:noWrap/>
            <w:vAlign w:val="center"/>
            <w:hideMark/>
          </w:tcPr>
          <w:p w14:paraId="518DD7D6"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 xml:space="preserve">2,439,358 </w:t>
            </w:r>
          </w:p>
        </w:tc>
        <w:tc>
          <w:tcPr>
            <w:tcW w:w="54" w:type="dxa"/>
            <w:tcBorders>
              <w:top w:val="nil"/>
              <w:left w:val="nil"/>
              <w:bottom w:val="nil"/>
              <w:right w:val="nil"/>
            </w:tcBorders>
            <w:shd w:val="clear" w:color="auto" w:fill="auto"/>
            <w:noWrap/>
            <w:vAlign w:val="center"/>
            <w:hideMark/>
          </w:tcPr>
          <w:p w14:paraId="499E07A1" w14:textId="77777777" w:rsidR="00BC5219" w:rsidRPr="001D6D48" w:rsidRDefault="00BC5219" w:rsidP="00E83802">
            <w:pPr>
              <w:jc w:val="right"/>
              <w:rPr>
                <w:rFonts w:ascii="Meta Pro" w:eastAsia="Times New Roman" w:hAnsi="Meta Pro"/>
                <w:szCs w:val="18"/>
                <w:lang w:eastAsia="en-AU"/>
              </w:rPr>
            </w:pPr>
          </w:p>
        </w:tc>
        <w:tc>
          <w:tcPr>
            <w:tcW w:w="1270" w:type="dxa"/>
            <w:tcBorders>
              <w:top w:val="nil"/>
              <w:left w:val="nil"/>
              <w:bottom w:val="nil"/>
              <w:right w:val="nil"/>
            </w:tcBorders>
            <w:shd w:val="clear" w:color="auto" w:fill="auto"/>
            <w:noWrap/>
            <w:vAlign w:val="center"/>
            <w:hideMark/>
          </w:tcPr>
          <w:p w14:paraId="4E9791FD"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 xml:space="preserve">1,775,177 </w:t>
            </w:r>
          </w:p>
        </w:tc>
        <w:tc>
          <w:tcPr>
            <w:tcW w:w="54" w:type="dxa"/>
            <w:tcBorders>
              <w:top w:val="nil"/>
              <w:left w:val="nil"/>
              <w:bottom w:val="nil"/>
              <w:right w:val="nil"/>
            </w:tcBorders>
            <w:shd w:val="clear" w:color="auto" w:fill="auto"/>
            <w:noWrap/>
            <w:vAlign w:val="center"/>
            <w:hideMark/>
          </w:tcPr>
          <w:p w14:paraId="27C88355" w14:textId="77777777" w:rsidR="00BC5219" w:rsidRPr="001D6D48" w:rsidRDefault="00BC5219" w:rsidP="00E83802">
            <w:pPr>
              <w:jc w:val="right"/>
              <w:rPr>
                <w:rFonts w:ascii="Meta Pro" w:eastAsia="Times New Roman" w:hAnsi="Meta Pro"/>
                <w:szCs w:val="18"/>
                <w:lang w:eastAsia="en-AU"/>
              </w:rPr>
            </w:pPr>
          </w:p>
        </w:tc>
        <w:tc>
          <w:tcPr>
            <w:tcW w:w="1126" w:type="dxa"/>
            <w:gridSpan w:val="2"/>
            <w:tcBorders>
              <w:top w:val="nil"/>
              <w:left w:val="nil"/>
              <w:bottom w:val="nil"/>
              <w:right w:val="nil"/>
            </w:tcBorders>
            <w:shd w:val="clear" w:color="auto" w:fill="auto"/>
            <w:noWrap/>
            <w:vAlign w:val="center"/>
            <w:hideMark/>
          </w:tcPr>
          <w:p w14:paraId="52632759"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 xml:space="preserve">45,622 </w:t>
            </w:r>
          </w:p>
        </w:tc>
        <w:tc>
          <w:tcPr>
            <w:tcW w:w="54" w:type="dxa"/>
            <w:tcBorders>
              <w:top w:val="nil"/>
              <w:left w:val="nil"/>
              <w:bottom w:val="nil"/>
              <w:right w:val="nil"/>
            </w:tcBorders>
            <w:shd w:val="clear" w:color="auto" w:fill="auto"/>
            <w:noWrap/>
            <w:vAlign w:val="center"/>
            <w:hideMark/>
          </w:tcPr>
          <w:p w14:paraId="40E96882" w14:textId="77777777" w:rsidR="00BC5219" w:rsidRPr="001D6D48" w:rsidRDefault="00BC5219" w:rsidP="00E83802">
            <w:pPr>
              <w:jc w:val="right"/>
              <w:rPr>
                <w:rFonts w:ascii="Meta Pro" w:eastAsia="Times New Roman" w:hAnsi="Meta Pro"/>
                <w:szCs w:val="18"/>
                <w:lang w:eastAsia="en-AU"/>
              </w:rPr>
            </w:pPr>
          </w:p>
        </w:tc>
        <w:tc>
          <w:tcPr>
            <w:tcW w:w="1244" w:type="dxa"/>
            <w:tcBorders>
              <w:top w:val="nil"/>
              <w:left w:val="nil"/>
              <w:bottom w:val="nil"/>
              <w:right w:val="nil"/>
            </w:tcBorders>
            <w:shd w:val="clear" w:color="auto" w:fill="auto"/>
            <w:noWrap/>
            <w:vAlign w:val="center"/>
            <w:hideMark/>
          </w:tcPr>
          <w:p w14:paraId="555B21A3"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 xml:space="preserve">317,557 </w:t>
            </w:r>
          </w:p>
        </w:tc>
        <w:tc>
          <w:tcPr>
            <w:tcW w:w="54" w:type="dxa"/>
            <w:tcBorders>
              <w:top w:val="nil"/>
              <w:left w:val="nil"/>
              <w:bottom w:val="nil"/>
              <w:right w:val="nil"/>
            </w:tcBorders>
            <w:shd w:val="clear" w:color="auto" w:fill="auto"/>
            <w:noWrap/>
            <w:vAlign w:val="center"/>
            <w:hideMark/>
          </w:tcPr>
          <w:p w14:paraId="24263EF6" w14:textId="77777777" w:rsidR="00BC5219" w:rsidRPr="001D6D48" w:rsidRDefault="00BC5219" w:rsidP="00E83802">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6A4A278D"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 xml:space="preserve">- </w:t>
            </w:r>
          </w:p>
        </w:tc>
        <w:tc>
          <w:tcPr>
            <w:tcW w:w="54" w:type="dxa"/>
            <w:tcBorders>
              <w:top w:val="nil"/>
              <w:left w:val="nil"/>
              <w:bottom w:val="nil"/>
              <w:right w:val="nil"/>
            </w:tcBorders>
            <w:shd w:val="clear" w:color="auto" w:fill="auto"/>
            <w:noWrap/>
            <w:vAlign w:val="center"/>
            <w:hideMark/>
          </w:tcPr>
          <w:p w14:paraId="39DC314D" w14:textId="77777777" w:rsidR="00BC5219" w:rsidRPr="001D6D48" w:rsidRDefault="00BC5219" w:rsidP="00E83802">
            <w:pPr>
              <w:jc w:val="right"/>
              <w:rPr>
                <w:rFonts w:ascii="Meta Pro" w:eastAsia="Times New Roman" w:hAnsi="Meta Pro"/>
                <w:szCs w:val="18"/>
                <w:lang w:eastAsia="en-AU"/>
              </w:rPr>
            </w:pPr>
          </w:p>
        </w:tc>
        <w:tc>
          <w:tcPr>
            <w:tcW w:w="1333" w:type="dxa"/>
            <w:tcBorders>
              <w:top w:val="nil"/>
              <w:left w:val="nil"/>
              <w:bottom w:val="nil"/>
              <w:right w:val="nil"/>
            </w:tcBorders>
            <w:shd w:val="clear" w:color="auto" w:fill="auto"/>
            <w:noWrap/>
            <w:vAlign w:val="center"/>
            <w:hideMark/>
          </w:tcPr>
          <w:p w14:paraId="4F5C3216" w14:textId="77777777" w:rsidR="00BC5219" w:rsidRPr="001D6D48" w:rsidRDefault="00BC5219" w:rsidP="00E83802">
            <w:pPr>
              <w:jc w:val="right"/>
              <w:rPr>
                <w:rFonts w:ascii="Meta Pro" w:eastAsia="Times New Roman" w:hAnsi="Meta Pro"/>
                <w:b/>
                <w:bCs/>
                <w:szCs w:val="18"/>
                <w:lang w:eastAsia="en-AU"/>
              </w:rPr>
            </w:pPr>
            <w:r w:rsidRPr="001D6D48">
              <w:rPr>
                <w:rFonts w:ascii="Meta Pro" w:eastAsia="Times New Roman" w:hAnsi="Meta Pro"/>
                <w:b/>
                <w:bCs/>
                <w:szCs w:val="18"/>
                <w:lang w:eastAsia="en-AU"/>
              </w:rPr>
              <w:t xml:space="preserve">11,876,959 </w:t>
            </w:r>
          </w:p>
        </w:tc>
      </w:tr>
      <w:tr w:rsidR="00BC5219" w:rsidRPr="001D6D48" w14:paraId="7A21CC09" w14:textId="77777777" w:rsidTr="00E83802">
        <w:trPr>
          <w:trHeight w:val="23"/>
        </w:trPr>
        <w:tc>
          <w:tcPr>
            <w:tcW w:w="5840" w:type="dxa"/>
            <w:tcBorders>
              <w:top w:val="nil"/>
              <w:left w:val="nil"/>
              <w:bottom w:val="nil"/>
              <w:right w:val="nil"/>
            </w:tcBorders>
            <w:shd w:val="clear" w:color="auto" w:fill="auto"/>
            <w:vAlign w:val="center"/>
            <w:hideMark/>
          </w:tcPr>
          <w:p w14:paraId="031D7855" w14:textId="77777777" w:rsidR="00BC5219" w:rsidRPr="001D6D48" w:rsidRDefault="00BC5219" w:rsidP="00E83802">
            <w:pPr>
              <w:rPr>
                <w:rFonts w:ascii="Meta Pro" w:eastAsia="Times New Roman" w:hAnsi="Meta Pro"/>
                <w:szCs w:val="18"/>
                <w:lang w:eastAsia="en-AU"/>
              </w:rPr>
            </w:pPr>
            <w:r w:rsidRPr="001D6D48">
              <w:rPr>
                <w:rFonts w:ascii="Meta Pro" w:eastAsia="Times New Roman" w:hAnsi="Meta Pro"/>
                <w:szCs w:val="18"/>
                <w:lang w:eastAsia="en-AU"/>
              </w:rPr>
              <w:t>Acquisitions (including upgrades)</w:t>
            </w:r>
          </w:p>
        </w:tc>
        <w:tc>
          <w:tcPr>
            <w:tcW w:w="1242" w:type="dxa"/>
            <w:tcBorders>
              <w:top w:val="nil"/>
              <w:left w:val="nil"/>
              <w:bottom w:val="nil"/>
              <w:right w:val="nil"/>
            </w:tcBorders>
            <w:shd w:val="clear" w:color="auto" w:fill="auto"/>
            <w:noWrap/>
            <w:vAlign w:val="center"/>
            <w:hideMark/>
          </w:tcPr>
          <w:p w14:paraId="1C9E031D"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 xml:space="preserve">- </w:t>
            </w:r>
          </w:p>
        </w:tc>
        <w:tc>
          <w:tcPr>
            <w:tcW w:w="55" w:type="dxa"/>
            <w:tcBorders>
              <w:top w:val="nil"/>
              <w:left w:val="nil"/>
              <w:bottom w:val="nil"/>
              <w:right w:val="nil"/>
            </w:tcBorders>
            <w:shd w:val="clear" w:color="auto" w:fill="auto"/>
            <w:noWrap/>
            <w:vAlign w:val="center"/>
            <w:hideMark/>
          </w:tcPr>
          <w:p w14:paraId="74EA25C8" w14:textId="77777777" w:rsidR="00BC5219" w:rsidRPr="001D6D48" w:rsidRDefault="00BC5219" w:rsidP="00E83802">
            <w:pPr>
              <w:jc w:val="right"/>
              <w:rPr>
                <w:rFonts w:ascii="Meta Pro" w:eastAsia="Times New Roman" w:hAnsi="Meta Pro"/>
                <w:szCs w:val="18"/>
                <w:lang w:eastAsia="en-AU"/>
              </w:rPr>
            </w:pPr>
          </w:p>
        </w:tc>
        <w:tc>
          <w:tcPr>
            <w:tcW w:w="1375" w:type="dxa"/>
            <w:tcBorders>
              <w:top w:val="nil"/>
              <w:left w:val="nil"/>
              <w:bottom w:val="nil"/>
              <w:right w:val="nil"/>
            </w:tcBorders>
            <w:shd w:val="clear" w:color="auto" w:fill="auto"/>
            <w:noWrap/>
            <w:vAlign w:val="center"/>
            <w:hideMark/>
          </w:tcPr>
          <w:p w14:paraId="55B86DFB"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 xml:space="preserve">- </w:t>
            </w:r>
          </w:p>
        </w:tc>
        <w:tc>
          <w:tcPr>
            <w:tcW w:w="54" w:type="dxa"/>
            <w:tcBorders>
              <w:top w:val="nil"/>
              <w:left w:val="nil"/>
              <w:bottom w:val="nil"/>
              <w:right w:val="nil"/>
            </w:tcBorders>
            <w:shd w:val="clear" w:color="auto" w:fill="auto"/>
            <w:noWrap/>
            <w:vAlign w:val="center"/>
            <w:hideMark/>
          </w:tcPr>
          <w:p w14:paraId="1F6007A2" w14:textId="77777777" w:rsidR="00BC5219" w:rsidRPr="001D6D48" w:rsidRDefault="00BC5219" w:rsidP="00E83802">
            <w:pPr>
              <w:jc w:val="right"/>
              <w:rPr>
                <w:rFonts w:ascii="Meta Pro" w:eastAsia="Times New Roman" w:hAnsi="Meta Pro"/>
                <w:szCs w:val="18"/>
                <w:lang w:eastAsia="en-AU"/>
              </w:rPr>
            </w:pPr>
          </w:p>
        </w:tc>
        <w:tc>
          <w:tcPr>
            <w:tcW w:w="1309" w:type="dxa"/>
            <w:tcBorders>
              <w:top w:val="nil"/>
              <w:left w:val="nil"/>
              <w:bottom w:val="nil"/>
              <w:right w:val="nil"/>
            </w:tcBorders>
            <w:shd w:val="clear" w:color="auto" w:fill="auto"/>
            <w:noWrap/>
            <w:vAlign w:val="center"/>
            <w:hideMark/>
          </w:tcPr>
          <w:p w14:paraId="42119656"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 xml:space="preserve">- </w:t>
            </w:r>
          </w:p>
        </w:tc>
        <w:tc>
          <w:tcPr>
            <w:tcW w:w="54" w:type="dxa"/>
            <w:tcBorders>
              <w:top w:val="nil"/>
              <w:left w:val="nil"/>
              <w:bottom w:val="nil"/>
              <w:right w:val="nil"/>
            </w:tcBorders>
            <w:shd w:val="clear" w:color="auto" w:fill="auto"/>
            <w:noWrap/>
            <w:vAlign w:val="center"/>
            <w:hideMark/>
          </w:tcPr>
          <w:p w14:paraId="37C13BD5" w14:textId="77777777" w:rsidR="00BC5219" w:rsidRPr="001D6D48" w:rsidRDefault="00BC5219" w:rsidP="00E83802">
            <w:pPr>
              <w:jc w:val="right"/>
              <w:rPr>
                <w:rFonts w:ascii="Meta Pro" w:eastAsia="Times New Roman" w:hAnsi="Meta Pro"/>
                <w:szCs w:val="18"/>
                <w:lang w:eastAsia="en-AU"/>
              </w:rPr>
            </w:pPr>
          </w:p>
        </w:tc>
        <w:tc>
          <w:tcPr>
            <w:tcW w:w="1291" w:type="dxa"/>
            <w:tcBorders>
              <w:top w:val="nil"/>
              <w:left w:val="nil"/>
              <w:bottom w:val="nil"/>
              <w:right w:val="nil"/>
            </w:tcBorders>
            <w:shd w:val="clear" w:color="auto" w:fill="auto"/>
            <w:noWrap/>
            <w:vAlign w:val="center"/>
            <w:hideMark/>
          </w:tcPr>
          <w:p w14:paraId="0B212503"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 xml:space="preserve">- </w:t>
            </w:r>
          </w:p>
        </w:tc>
        <w:tc>
          <w:tcPr>
            <w:tcW w:w="54" w:type="dxa"/>
            <w:tcBorders>
              <w:top w:val="nil"/>
              <w:left w:val="nil"/>
              <w:bottom w:val="nil"/>
              <w:right w:val="nil"/>
            </w:tcBorders>
            <w:shd w:val="clear" w:color="auto" w:fill="auto"/>
            <w:noWrap/>
            <w:vAlign w:val="center"/>
            <w:hideMark/>
          </w:tcPr>
          <w:p w14:paraId="11959446" w14:textId="77777777" w:rsidR="00BC5219" w:rsidRPr="001D6D48" w:rsidRDefault="00BC5219" w:rsidP="00E83802">
            <w:pPr>
              <w:jc w:val="right"/>
              <w:rPr>
                <w:rFonts w:ascii="Meta Pro" w:eastAsia="Times New Roman" w:hAnsi="Meta Pro"/>
                <w:szCs w:val="18"/>
                <w:lang w:eastAsia="en-AU"/>
              </w:rPr>
            </w:pPr>
          </w:p>
        </w:tc>
        <w:tc>
          <w:tcPr>
            <w:tcW w:w="1270" w:type="dxa"/>
            <w:tcBorders>
              <w:top w:val="nil"/>
              <w:left w:val="nil"/>
              <w:bottom w:val="nil"/>
              <w:right w:val="nil"/>
            </w:tcBorders>
            <w:shd w:val="clear" w:color="auto" w:fill="auto"/>
            <w:noWrap/>
            <w:vAlign w:val="center"/>
            <w:hideMark/>
          </w:tcPr>
          <w:p w14:paraId="3265ED0A"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 xml:space="preserve">- </w:t>
            </w:r>
          </w:p>
        </w:tc>
        <w:tc>
          <w:tcPr>
            <w:tcW w:w="54" w:type="dxa"/>
            <w:tcBorders>
              <w:top w:val="nil"/>
              <w:left w:val="nil"/>
              <w:bottom w:val="nil"/>
              <w:right w:val="nil"/>
            </w:tcBorders>
            <w:shd w:val="clear" w:color="auto" w:fill="auto"/>
            <w:noWrap/>
            <w:vAlign w:val="center"/>
            <w:hideMark/>
          </w:tcPr>
          <w:p w14:paraId="0B436789" w14:textId="77777777" w:rsidR="00BC5219" w:rsidRPr="001D6D48" w:rsidRDefault="00BC5219" w:rsidP="00E83802">
            <w:pPr>
              <w:jc w:val="right"/>
              <w:rPr>
                <w:rFonts w:ascii="Meta Pro" w:eastAsia="Times New Roman" w:hAnsi="Meta Pro"/>
                <w:szCs w:val="18"/>
                <w:lang w:eastAsia="en-AU"/>
              </w:rPr>
            </w:pPr>
          </w:p>
        </w:tc>
        <w:tc>
          <w:tcPr>
            <w:tcW w:w="1126" w:type="dxa"/>
            <w:gridSpan w:val="2"/>
            <w:tcBorders>
              <w:top w:val="nil"/>
              <w:left w:val="nil"/>
              <w:bottom w:val="nil"/>
              <w:right w:val="nil"/>
            </w:tcBorders>
            <w:shd w:val="clear" w:color="auto" w:fill="auto"/>
            <w:noWrap/>
            <w:vAlign w:val="center"/>
            <w:hideMark/>
          </w:tcPr>
          <w:p w14:paraId="33E7B083"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 xml:space="preserve">- </w:t>
            </w:r>
          </w:p>
        </w:tc>
        <w:tc>
          <w:tcPr>
            <w:tcW w:w="54" w:type="dxa"/>
            <w:tcBorders>
              <w:top w:val="nil"/>
              <w:left w:val="nil"/>
              <w:bottom w:val="nil"/>
              <w:right w:val="nil"/>
            </w:tcBorders>
            <w:shd w:val="clear" w:color="auto" w:fill="auto"/>
            <w:noWrap/>
            <w:vAlign w:val="center"/>
            <w:hideMark/>
          </w:tcPr>
          <w:p w14:paraId="5A6B5ED7" w14:textId="77777777" w:rsidR="00BC5219" w:rsidRPr="001D6D48" w:rsidRDefault="00BC5219" w:rsidP="00E83802">
            <w:pPr>
              <w:jc w:val="right"/>
              <w:rPr>
                <w:rFonts w:ascii="Meta Pro" w:eastAsia="Times New Roman" w:hAnsi="Meta Pro"/>
                <w:szCs w:val="18"/>
                <w:lang w:eastAsia="en-AU"/>
              </w:rPr>
            </w:pPr>
          </w:p>
        </w:tc>
        <w:tc>
          <w:tcPr>
            <w:tcW w:w="1244" w:type="dxa"/>
            <w:tcBorders>
              <w:top w:val="nil"/>
              <w:left w:val="nil"/>
              <w:bottom w:val="nil"/>
              <w:right w:val="nil"/>
            </w:tcBorders>
            <w:shd w:val="clear" w:color="auto" w:fill="auto"/>
            <w:noWrap/>
            <w:vAlign w:val="center"/>
            <w:hideMark/>
          </w:tcPr>
          <w:p w14:paraId="6422425C"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 xml:space="preserve">- </w:t>
            </w:r>
          </w:p>
        </w:tc>
        <w:tc>
          <w:tcPr>
            <w:tcW w:w="54" w:type="dxa"/>
            <w:tcBorders>
              <w:top w:val="nil"/>
              <w:left w:val="nil"/>
              <w:bottom w:val="nil"/>
              <w:right w:val="nil"/>
            </w:tcBorders>
            <w:shd w:val="clear" w:color="auto" w:fill="auto"/>
            <w:noWrap/>
            <w:vAlign w:val="center"/>
            <w:hideMark/>
          </w:tcPr>
          <w:p w14:paraId="11589E9D" w14:textId="77777777" w:rsidR="00BC5219" w:rsidRPr="001D6D48" w:rsidRDefault="00BC5219" w:rsidP="00E83802">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0FC9A2B0"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 xml:space="preserve">228,784 </w:t>
            </w:r>
          </w:p>
        </w:tc>
        <w:tc>
          <w:tcPr>
            <w:tcW w:w="54" w:type="dxa"/>
            <w:tcBorders>
              <w:top w:val="nil"/>
              <w:left w:val="nil"/>
              <w:bottom w:val="nil"/>
              <w:right w:val="nil"/>
            </w:tcBorders>
            <w:shd w:val="clear" w:color="auto" w:fill="auto"/>
            <w:noWrap/>
            <w:vAlign w:val="center"/>
            <w:hideMark/>
          </w:tcPr>
          <w:p w14:paraId="4572EF83" w14:textId="77777777" w:rsidR="00BC5219" w:rsidRPr="001D6D48" w:rsidRDefault="00BC5219" w:rsidP="00E83802">
            <w:pPr>
              <w:jc w:val="right"/>
              <w:rPr>
                <w:rFonts w:ascii="Meta Pro" w:eastAsia="Times New Roman" w:hAnsi="Meta Pro"/>
                <w:szCs w:val="18"/>
                <w:lang w:eastAsia="en-AU"/>
              </w:rPr>
            </w:pPr>
          </w:p>
        </w:tc>
        <w:tc>
          <w:tcPr>
            <w:tcW w:w="1333" w:type="dxa"/>
            <w:tcBorders>
              <w:top w:val="nil"/>
              <w:left w:val="nil"/>
              <w:bottom w:val="nil"/>
              <w:right w:val="nil"/>
            </w:tcBorders>
            <w:shd w:val="clear" w:color="auto" w:fill="auto"/>
            <w:noWrap/>
            <w:vAlign w:val="center"/>
            <w:hideMark/>
          </w:tcPr>
          <w:p w14:paraId="655B498E" w14:textId="77777777" w:rsidR="00BC5219" w:rsidRPr="001D6D48" w:rsidRDefault="00BC5219" w:rsidP="00E83802">
            <w:pPr>
              <w:jc w:val="right"/>
              <w:rPr>
                <w:rFonts w:ascii="Meta Pro" w:eastAsia="Times New Roman" w:hAnsi="Meta Pro"/>
                <w:b/>
                <w:bCs/>
                <w:szCs w:val="18"/>
                <w:lang w:eastAsia="en-AU"/>
              </w:rPr>
            </w:pPr>
            <w:r w:rsidRPr="001D6D48">
              <w:rPr>
                <w:rFonts w:ascii="Meta Pro" w:eastAsia="Times New Roman" w:hAnsi="Meta Pro"/>
                <w:b/>
                <w:bCs/>
                <w:szCs w:val="18"/>
                <w:lang w:eastAsia="en-AU"/>
              </w:rPr>
              <w:t xml:space="preserve">228,784 </w:t>
            </w:r>
          </w:p>
        </w:tc>
      </w:tr>
      <w:tr w:rsidR="00BC5219" w:rsidRPr="001D6D48" w14:paraId="2D0B251B" w14:textId="77777777" w:rsidTr="00E83802">
        <w:trPr>
          <w:trHeight w:val="23"/>
        </w:trPr>
        <w:tc>
          <w:tcPr>
            <w:tcW w:w="5840" w:type="dxa"/>
            <w:tcBorders>
              <w:top w:val="nil"/>
              <w:left w:val="nil"/>
              <w:bottom w:val="nil"/>
              <w:right w:val="nil"/>
            </w:tcBorders>
            <w:shd w:val="clear" w:color="auto" w:fill="auto"/>
            <w:vAlign w:val="center"/>
            <w:hideMark/>
          </w:tcPr>
          <w:p w14:paraId="7D9D7458" w14:textId="77777777" w:rsidR="00BC5219" w:rsidRPr="001D6D48" w:rsidRDefault="00BC5219" w:rsidP="00E83802">
            <w:pPr>
              <w:rPr>
                <w:rFonts w:ascii="Meta Pro" w:eastAsia="Times New Roman" w:hAnsi="Meta Pro"/>
                <w:szCs w:val="18"/>
                <w:lang w:eastAsia="en-AU"/>
              </w:rPr>
            </w:pPr>
            <w:r w:rsidRPr="001D6D48">
              <w:rPr>
                <w:rFonts w:ascii="Meta Pro" w:eastAsia="Times New Roman" w:hAnsi="Meta Pro"/>
                <w:szCs w:val="18"/>
                <w:lang w:eastAsia="en-AU"/>
              </w:rPr>
              <w:lastRenderedPageBreak/>
              <w:t>Net revaluation increments/(decrements) **</w:t>
            </w:r>
          </w:p>
        </w:tc>
        <w:tc>
          <w:tcPr>
            <w:tcW w:w="1242" w:type="dxa"/>
            <w:tcBorders>
              <w:top w:val="nil"/>
              <w:left w:val="nil"/>
              <w:bottom w:val="nil"/>
              <w:right w:val="nil"/>
            </w:tcBorders>
            <w:shd w:val="clear" w:color="auto" w:fill="auto"/>
            <w:noWrap/>
            <w:vAlign w:val="center"/>
            <w:hideMark/>
          </w:tcPr>
          <w:p w14:paraId="1C855692"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 xml:space="preserve">100,698 </w:t>
            </w:r>
          </w:p>
        </w:tc>
        <w:tc>
          <w:tcPr>
            <w:tcW w:w="55" w:type="dxa"/>
            <w:tcBorders>
              <w:top w:val="nil"/>
              <w:left w:val="nil"/>
              <w:bottom w:val="nil"/>
              <w:right w:val="nil"/>
            </w:tcBorders>
            <w:shd w:val="clear" w:color="auto" w:fill="auto"/>
            <w:vAlign w:val="center"/>
            <w:hideMark/>
          </w:tcPr>
          <w:p w14:paraId="4256E998" w14:textId="77777777" w:rsidR="00BC5219" w:rsidRPr="001D6D48" w:rsidRDefault="00BC5219" w:rsidP="00E83802">
            <w:pPr>
              <w:jc w:val="right"/>
              <w:rPr>
                <w:rFonts w:ascii="Meta Pro" w:eastAsia="Times New Roman" w:hAnsi="Meta Pro"/>
                <w:szCs w:val="18"/>
                <w:lang w:eastAsia="en-AU"/>
              </w:rPr>
            </w:pPr>
          </w:p>
        </w:tc>
        <w:tc>
          <w:tcPr>
            <w:tcW w:w="1375" w:type="dxa"/>
            <w:tcBorders>
              <w:top w:val="nil"/>
              <w:left w:val="nil"/>
              <w:bottom w:val="nil"/>
              <w:right w:val="nil"/>
            </w:tcBorders>
            <w:shd w:val="clear" w:color="auto" w:fill="auto"/>
            <w:noWrap/>
            <w:vAlign w:val="center"/>
            <w:hideMark/>
          </w:tcPr>
          <w:p w14:paraId="1B4C3BCC"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 xml:space="preserve">141,198 </w:t>
            </w:r>
          </w:p>
        </w:tc>
        <w:tc>
          <w:tcPr>
            <w:tcW w:w="54" w:type="dxa"/>
            <w:tcBorders>
              <w:top w:val="nil"/>
              <w:left w:val="nil"/>
              <w:bottom w:val="nil"/>
              <w:right w:val="nil"/>
            </w:tcBorders>
            <w:shd w:val="clear" w:color="auto" w:fill="auto"/>
            <w:vAlign w:val="center"/>
            <w:hideMark/>
          </w:tcPr>
          <w:p w14:paraId="569EB0D6" w14:textId="77777777" w:rsidR="00BC5219" w:rsidRPr="001D6D48" w:rsidRDefault="00BC5219" w:rsidP="00E83802">
            <w:pPr>
              <w:jc w:val="right"/>
              <w:rPr>
                <w:rFonts w:ascii="Meta Pro" w:eastAsia="Times New Roman" w:hAnsi="Meta Pro"/>
                <w:szCs w:val="18"/>
                <w:lang w:eastAsia="en-AU"/>
              </w:rPr>
            </w:pPr>
          </w:p>
        </w:tc>
        <w:tc>
          <w:tcPr>
            <w:tcW w:w="1309" w:type="dxa"/>
            <w:tcBorders>
              <w:top w:val="nil"/>
              <w:left w:val="nil"/>
              <w:bottom w:val="nil"/>
              <w:right w:val="nil"/>
            </w:tcBorders>
            <w:shd w:val="clear" w:color="auto" w:fill="auto"/>
            <w:noWrap/>
            <w:vAlign w:val="center"/>
            <w:hideMark/>
          </w:tcPr>
          <w:p w14:paraId="20F2F6A2"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 xml:space="preserve">557,318 </w:t>
            </w:r>
          </w:p>
        </w:tc>
        <w:tc>
          <w:tcPr>
            <w:tcW w:w="54" w:type="dxa"/>
            <w:tcBorders>
              <w:top w:val="nil"/>
              <w:left w:val="nil"/>
              <w:bottom w:val="nil"/>
              <w:right w:val="nil"/>
            </w:tcBorders>
            <w:shd w:val="clear" w:color="auto" w:fill="auto"/>
            <w:noWrap/>
            <w:vAlign w:val="center"/>
            <w:hideMark/>
          </w:tcPr>
          <w:p w14:paraId="23EC661E" w14:textId="77777777" w:rsidR="00BC5219" w:rsidRPr="001D6D48" w:rsidRDefault="00BC5219" w:rsidP="00E83802">
            <w:pPr>
              <w:jc w:val="right"/>
              <w:rPr>
                <w:rFonts w:ascii="Meta Pro" w:eastAsia="Times New Roman" w:hAnsi="Meta Pro"/>
                <w:szCs w:val="18"/>
                <w:lang w:eastAsia="en-AU"/>
              </w:rPr>
            </w:pPr>
          </w:p>
        </w:tc>
        <w:tc>
          <w:tcPr>
            <w:tcW w:w="1291" w:type="dxa"/>
            <w:tcBorders>
              <w:top w:val="nil"/>
              <w:left w:val="nil"/>
              <w:bottom w:val="nil"/>
              <w:right w:val="nil"/>
            </w:tcBorders>
            <w:shd w:val="clear" w:color="auto" w:fill="auto"/>
            <w:noWrap/>
            <w:vAlign w:val="center"/>
            <w:hideMark/>
          </w:tcPr>
          <w:p w14:paraId="3F164864"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 xml:space="preserve">454,400 </w:t>
            </w:r>
          </w:p>
        </w:tc>
        <w:tc>
          <w:tcPr>
            <w:tcW w:w="54" w:type="dxa"/>
            <w:tcBorders>
              <w:top w:val="nil"/>
              <w:left w:val="nil"/>
              <w:bottom w:val="nil"/>
              <w:right w:val="nil"/>
            </w:tcBorders>
            <w:shd w:val="clear" w:color="auto" w:fill="auto"/>
            <w:noWrap/>
            <w:vAlign w:val="center"/>
            <w:hideMark/>
          </w:tcPr>
          <w:p w14:paraId="54E406B5" w14:textId="77777777" w:rsidR="00BC5219" w:rsidRPr="001D6D48" w:rsidRDefault="00BC5219" w:rsidP="00E83802">
            <w:pPr>
              <w:jc w:val="right"/>
              <w:rPr>
                <w:rFonts w:ascii="Meta Pro" w:eastAsia="Times New Roman" w:hAnsi="Meta Pro"/>
                <w:szCs w:val="18"/>
                <w:lang w:eastAsia="en-AU"/>
              </w:rPr>
            </w:pPr>
          </w:p>
        </w:tc>
        <w:tc>
          <w:tcPr>
            <w:tcW w:w="1270" w:type="dxa"/>
            <w:tcBorders>
              <w:top w:val="nil"/>
              <w:left w:val="nil"/>
              <w:bottom w:val="nil"/>
              <w:right w:val="nil"/>
            </w:tcBorders>
            <w:shd w:val="clear" w:color="auto" w:fill="auto"/>
            <w:noWrap/>
            <w:vAlign w:val="center"/>
            <w:hideMark/>
          </w:tcPr>
          <w:p w14:paraId="4AE23A8D"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(287,539)</w:t>
            </w:r>
          </w:p>
        </w:tc>
        <w:tc>
          <w:tcPr>
            <w:tcW w:w="54" w:type="dxa"/>
            <w:tcBorders>
              <w:top w:val="nil"/>
              <w:left w:val="nil"/>
              <w:bottom w:val="nil"/>
              <w:right w:val="nil"/>
            </w:tcBorders>
            <w:shd w:val="clear" w:color="auto" w:fill="auto"/>
            <w:noWrap/>
            <w:vAlign w:val="center"/>
            <w:hideMark/>
          </w:tcPr>
          <w:p w14:paraId="63ED032B" w14:textId="77777777" w:rsidR="00BC5219" w:rsidRPr="001D6D48" w:rsidRDefault="00BC5219" w:rsidP="00E83802">
            <w:pPr>
              <w:jc w:val="right"/>
              <w:rPr>
                <w:rFonts w:ascii="Meta Pro" w:eastAsia="Times New Roman" w:hAnsi="Meta Pro"/>
                <w:szCs w:val="18"/>
                <w:lang w:eastAsia="en-AU"/>
              </w:rPr>
            </w:pPr>
          </w:p>
        </w:tc>
        <w:tc>
          <w:tcPr>
            <w:tcW w:w="1126" w:type="dxa"/>
            <w:gridSpan w:val="2"/>
            <w:tcBorders>
              <w:top w:val="nil"/>
              <w:left w:val="nil"/>
              <w:bottom w:val="nil"/>
              <w:right w:val="nil"/>
            </w:tcBorders>
            <w:shd w:val="clear" w:color="auto" w:fill="auto"/>
            <w:noWrap/>
            <w:vAlign w:val="center"/>
            <w:hideMark/>
          </w:tcPr>
          <w:p w14:paraId="169F818F"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 xml:space="preserve">1,456 </w:t>
            </w:r>
          </w:p>
        </w:tc>
        <w:tc>
          <w:tcPr>
            <w:tcW w:w="54" w:type="dxa"/>
            <w:tcBorders>
              <w:top w:val="nil"/>
              <w:left w:val="nil"/>
              <w:bottom w:val="nil"/>
              <w:right w:val="nil"/>
            </w:tcBorders>
            <w:shd w:val="clear" w:color="auto" w:fill="auto"/>
            <w:noWrap/>
            <w:vAlign w:val="center"/>
            <w:hideMark/>
          </w:tcPr>
          <w:p w14:paraId="003A04DF" w14:textId="77777777" w:rsidR="00BC5219" w:rsidRPr="001D6D48" w:rsidRDefault="00BC5219" w:rsidP="00E83802">
            <w:pPr>
              <w:jc w:val="right"/>
              <w:rPr>
                <w:rFonts w:ascii="Meta Pro" w:eastAsia="Times New Roman" w:hAnsi="Meta Pro"/>
                <w:szCs w:val="18"/>
                <w:lang w:eastAsia="en-AU"/>
              </w:rPr>
            </w:pPr>
          </w:p>
        </w:tc>
        <w:tc>
          <w:tcPr>
            <w:tcW w:w="1244" w:type="dxa"/>
            <w:tcBorders>
              <w:top w:val="nil"/>
              <w:left w:val="nil"/>
              <w:bottom w:val="nil"/>
              <w:right w:val="nil"/>
            </w:tcBorders>
            <w:shd w:val="clear" w:color="auto" w:fill="auto"/>
            <w:noWrap/>
            <w:vAlign w:val="center"/>
            <w:hideMark/>
          </w:tcPr>
          <w:p w14:paraId="4CD9A226"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 xml:space="preserve">18,907 </w:t>
            </w:r>
          </w:p>
        </w:tc>
        <w:tc>
          <w:tcPr>
            <w:tcW w:w="54" w:type="dxa"/>
            <w:tcBorders>
              <w:top w:val="nil"/>
              <w:left w:val="nil"/>
              <w:bottom w:val="nil"/>
              <w:right w:val="nil"/>
            </w:tcBorders>
            <w:shd w:val="clear" w:color="auto" w:fill="auto"/>
            <w:noWrap/>
            <w:vAlign w:val="center"/>
            <w:hideMark/>
          </w:tcPr>
          <w:p w14:paraId="542E5C0E" w14:textId="77777777" w:rsidR="00BC5219" w:rsidRPr="001D6D48" w:rsidRDefault="00BC5219" w:rsidP="00E83802">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118E5B8E"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 xml:space="preserve">- </w:t>
            </w:r>
          </w:p>
        </w:tc>
        <w:tc>
          <w:tcPr>
            <w:tcW w:w="54" w:type="dxa"/>
            <w:tcBorders>
              <w:top w:val="nil"/>
              <w:left w:val="nil"/>
              <w:bottom w:val="nil"/>
              <w:right w:val="nil"/>
            </w:tcBorders>
            <w:shd w:val="clear" w:color="auto" w:fill="auto"/>
            <w:noWrap/>
            <w:vAlign w:val="center"/>
            <w:hideMark/>
          </w:tcPr>
          <w:p w14:paraId="1D5B2197" w14:textId="77777777" w:rsidR="00BC5219" w:rsidRPr="001D6D48" w:rsidRDefault="00BC5219" w:rsidP="00E83802">
            <w:pPr>
              <w:jc w:val="right"/>
              <w:rPr>
                <w:rFonts w:ascii="Meta Pro" w:eastAsia="Times New Roman" w:hAnsi="Meta Pro"/>
                <w:szCs w:val="18"/>
                <w:lang w:eastAsia="en-AU"/>
              </w:rPr>
            </w:pPr>
          </w:p>
        </w:tc>
        <w:tc>
          <w:tcPr>
            <w:tcW w:w="1333" w:type="dxa"/>
            <w:tcBorders>
              <w:top w:val="nil"/>
              <w:left w:val="nil"/>
              <w:bottom w:val="nil"/>
              <w:right w:val="nil"/>
            </w:tcBorders>
            <w:shd w:val="clear" w:color="auto" w:fill="auto"/>
            <w:noWrap/>
            <w:vAlign w:val="center"/>
            <w:hideMark/>
          </w:tcPr>
          <w:p w14:paraId="4C2470E0" w14:textId="77777777" w:rsidR="00BC5219" w:rsidRPr="001D6D48" w:rsidRDefault="00BC5219" w:rsidP="00E83802">
            <w:pPr>
              <w:jc w:val="right"/>
              <w:rPr>
                <w:rFonts w:ascii="Meta Pro" w:eastAsia="Times New Roman" w:hAnsi="Meta Pro"/>
                <w:b/>
                <w:bCs/>
                <w:szCs w:val="18"/>
                <w:lang w:eastAsia="en-AU"/>
              </w:rPr>
            </w:pPr>
            <w:r w:rsidRPr="001D6D48">
              <w:rPr>
                <w:rFonts w:ascii="Meta Pro" w:eastAsia="Times New Roman" w:hAnsi="Meta Pro"/>
                <w:b/>
                <w:bCs/>
                <w:szCs w:val="18"/>
                <w:lang w:eastAsia="en-AU"/>
              </w:rPr>
              <w:t xml:space="preserve">986,438 </w:t>
            </w:r>
          </w:p>
        </w:tc>
      </w:tr>
      <w:tr w:rsidR="00BC5219" w:rsidRPr="001D6D48" w14:paraId="6D3988C8" w14:textId="77777777" w:rsidTr="00E83802">
        <w:trPr>
          <w:trHeight w:val="23"/>
        </w:trPr>
        <w:tc>
          <w:tcPr>
            <w:tcW w:w="5840" w:type="dxa"/>
            <w:tcBorders>
              <w:top w:val="nil"/>
              <w:left w:val="nil"/>
              <w:bottom w:val="nil"/>
              <w:right w:val="nil"/>
            </w:tcBorders>
            <w:shd w:val="clear" w:color="auto" w:fill="auto"/>
            <w:vAlign w:val="center"/>
            <w:hideMark/>
          </w:tcPr>
          <w:p w14:paraId="1F9B4D95" w14:textId="77777777" w:rsidR="00BC5219" w:rsidRPr="001D6D48" w:rsidRDefault="00BC5219" w:rsidP="00E83802">
            <w:pPr>
              <w:rPr>
                <w:rFonts w:ascii="Meta Pro" w:eastAsia="Times New Roman" w:hAnsi="Meta Pro"/>
                <w:szCs w:val="18"/>
                <w:lang w:eastAsia="en-AU"/>
              </w:rPr>
            </w:pPr>
            <w:r w:rsidRPr="001D6D48">
              <w:rPr>
                <w:rFonts w:ascii="Meta Pro" w:eastAsia="Times New Roman" w:hAnsi="Meta Pro"/>
                <w:szCs w:val="18"/>
                <w:lang w:eastAsia="en-AU"/>
              </w:rPr>
              <w:t>Depreciation</w:t>
            </w:r>
          </w:p>
        </w:tc>
        <w:tc>
          <w:tcPr>
            <w:tcW w:w="1242" w:type="dxa"/>
            <w:tcBorders>
              <w:top w:val="nil"/>
              <w:left w:val="nil"/>
              <w:bottom w:val="nil"/>
              <w:right w:val="nil"/>
            </w:tcBorders>
            <w:shd w:val="clear" w:color="auto" w:fill="auto"/>
            <w:noWrap/>
            <w:vAlign w:val="center"/>
            <w:hideMark/>
          </w:tcPr>
          <w:p w14:paraId="23FC1FA1"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(22,279)</w:t>
            </w:r>
          </w:p>
        </w:tc>
        <w:tc>
          <w:tcPr>
            <w:tcW w:w="55" w:type="dxa"/>
            <w:tcBorders>
              <w:top w:val="nil"/>
              <w:left w:val="nil"/>
              <w:bottom w:val="nil"/>
              <w:right w:val="nil"/>
            </w:tcBorders>
            <w:shd w:val="clear" w:color="auto" w:fill="auto"/>
            <w:vAlign w:val="center"/>
            <w:hideMark/>
          </w:tcPr>
          <w:p w14:paraId="1A561671" w14:textId="77777777" w:rsidR="00BC5219" w:rsidRPr="001D6D48" w:rsidRDefault="00BC5219" w:rsidP="00E83802">
            <w:pPr>
              <w:jc w:val="right"/>
              <w:rPr>
                <w:rFonts w:ascii="Meta Pro" w:eastAsia="Times New Roman" w:hAnsi="Meta Pro"/>
                <w:szCs w:val="18"/>
                <w:lang w:eastAsia="en-AU"/>
              </w:rPr>
            </w:pPr>
          </w:p>
        </w:tc>
        <w:tc>
          <w:tcPr>
            <w:tcW w:w="1375" w:type="dxa"/>
            <w:tcBorders>
              <w:top w:val="nil"/>
              <w:left w:val="nil"/>
              <w:bottom w:val="nil"/>
              <w:right w:val="nil"/>
            </w:tcBorders>
            <w:shd w:val="clear" w:color="auto" w:fill="auto"/>
            <w:noWrap/>
            <w:vAlign w:val="center"/>
            <w:hideMark/>
          </w:tcPr>
          <w:p w14:paraId="73A7B44E"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(18,632)</w:t>
            </w:r>
          </w:p>
        </w:tc>
        <w:tc>
          <w:tcPr>
            <w:tcW w:w="54" w:type="dxa"/>
            <w:tcBorders>
              <w:top w:val="nil"/>
              <w:left w:val="nil"/>
              <w:bottom w:val="nil"/>
              <w:right w:val="nil"/>
            </w:tcBorders>
            <w:shd w:val="clear" w:color="auto" w:fill="auto"/>
            <w:vAlign w:val="center"/>
            <w:hideMark/>
          </w:tcPr>
          <w:p w14:paraId="03BD0A94" w14:textId="77777777" w:rsidR="00BC5219" w:rsidRPr="001D6D48" w:rsidRDefault="00BC5219" w:rsidP="00E83802">
            <w:pPr>
              <w:jc w:val="right"/>
              <w:rPr>
                <w:rFonts w:ascii="Meta Pro" w:eastAsia="Times New Roman" w:hAnsi="Meta Pro"/>
                <w:szCs w:val="18"/>
                <w:lang w:eastAsia="en-AU"/>
              </w:rPr>
            </w:pPr>
          </w:p>
        </w:tc>
        <w:tc>
          <w:tcPr>
            <w:tcW w:w="1309" w:type="dxa"/>
            <w:tcBorders>
              <w:top w:val="nil"/>
              <w:left w:val="nil"/>
              <w:bottom w:val="nil"/>
              <w:right w:val="nil"/>
            </w:tcBorders>
            <w:shd w:val="clear" w:color="auto" w:fill="auto"/>
            <w:noWrap/>
            <w:vAlign w:val="center"/>
            <w:hideMark/>
          </w:tcPr>
          <w:p w14:paraId="064B7529"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(85,212)</w:t>
            </w:r>
          </w:p>
        </w:tc>
        <w:tc>
          <w:tcPr>
            <w:tcW w:w="54" w:type="dxa"/>
            <w:tcBorders>
              <w:top w:val="nil"/>
              <w:left w:val="nil"/>
              <w:bottom w:val="nil"/>
              <w:right w:val="nil"/>
            </w:tcBorders>
            <w:shd w:val="clear" w:color="auto" w:fill="auto"/>
            <w:noWrap/>
            <w:vAlign w:val="center"/>
            <w:hideMark/>
          </w:tcPr>
          <w:p w14:paraId="17DA4B83" w14:textId="77777777" w:rsidR="00BC5219" w:rsidRPr="001D6D48" w:rsidRDefault="00BC5219" w:rsidP="00E83802">
            <w:pPr>
              <w:jc w:val="right"/>
              <w:rPr>
                <w:rFonts w:ascii="Meta Pro" w:eastAsia="Times New Roman" w:hAnsi="Meta Pro"/>
                <w:szCs w:val="18"/>
                <w:lang w:eastAsia="en-AU"/>
              </w:rPr>
            </w:pPr>
          </w:p>
        </w:tc>
        <w:tc>
          <w:tcPr>
            <w:tcW w:w="1291" w:type="dxa"/>
            <w:tcBorders>
              <w:top w:val="nil"/>
              <w:left w:val="nil"/>
              <w:bottom w:val="nil"/>
              <w:right w:val="nil"/>
            </w:tcBorders>
            <w:shd w:val="clear" w:color="auto" w:fill="auto"/>
            <w:noWrap/>
            <w:vAlign w:val="center"/>
            <w:hideMark/>
          </w:tcPr>
          <w:p w14:paraId="2C8F9B1C"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(27,305)</w:t>
            </w:r>
          </w:p>
        </w:tc>
        <w:tc>
          <w:tcPr>
            <w:tcW w:w="54" w:type="dxa"/>
            <w:tcBorders>
              <w:top w:val="nil"/>
              <w:left w:val="nil"/>
              <w:bottom w:val="nil"/>
              <w:right w:val="nil"/>
            </w:tcBorders>
            <w:shd w:val="clear" w:color="auto" w:fill="auto"/>
            <w:noWrap/>
            <w:vAlign w:val="center"/>
            <w:hideMark/>
          </w:tcPr>
          <w:p w14:paraId="1C3E55B2" w14:textId="77777777" w:rsidR="00BC5219" w:rsidRPr="001D6D48" w:rsidRDefault="00BC5219" w:rsidP="00E83802">
            <w:pPr>
              <w:jc w:val="right"/>
              <w:rPr>
                <w:rFonts w:ascii="Meta Pro" w:eastAsia="Times New Roman" w:hAnsi="Meta Pro"/>
                <w:szCs w:val="18"/>
                <w:lang w:eastAsia="en-AU"/>
              </w:rPr>
            </w:pPr>
          </w:p>
        </w:tc>
        <w:tc>
          <w:tcPr>
            <w:tcW w:w="1270" w:type="dxa"/>
            <w:tcBorders>
              <w:top w:val="nil"/>
              <w:left w:val="nil"/>
              <w:bottom w:val="nil"/>
              <w:right w:val="nil"/>
            </w:tcBorders>
            <w:shd w:val="clear" w:color="auto" w:fill="auto"/>
            <w:noWrap/>
            <w:vAlign w:val="center"/>
            <w:hideMark/>
          </w:tcPr>
          <w:p w14:paraId="1E6A3CF2"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(14,911)</w:t>
            </w:r>
          </w:p>
        </w:tc>
        <w:tc>
          <w:tcPr>
            <w:tcW w:w="54" w:type="dxa"/>
            <w:tcBorders>
              <w:top w:val="nil"/>
              <w:left w:val="nil"/>
              <w:bottom w:val="nil"/>
              <w:right w:val="nil"/>
            </w:tcBorders>
            <w:shd w:val="clear" w:color="auto" w:fill="auto"/>
            <w:noWrap/>
            <w:vAlign w:val="center"/>
            <w:hideMark/>
          </w:tcPr>
          <w:p w14:paraId="6CB0DAFD" w14:textId="77777777" w:rsidR="00BC5219" w:rsidRPr="001D6D48" w:rsidRDefault="00BC5219" w:rsidP="00E83802">
            <w:pPr>
              <w:jc w:val="right"/>
              <w:rPr>
                <w:rFonts w:ascii="Meta Pro" w:eastAsia="Times New Roman" w:hAnsi="Meta Pro"/>
                <w:szCs w:val="18"/>
                <w:lang w:eastAsia="en-AU"/>
              </w:rPr>
            </w:pPr>
          </w:p>
        </w:tc>
        <w:tc>
          <w:tcPr>
            <w:tcW w:w="1126" w:type="dxa"/>
            <w:gridSpan w:val="2"/>
            <w:tcBorders>
              <w:top w:val="nil"/>
              <w:left w:val="nil"/>
              <w:bottom w:val="nil"/>
              <w:right w:val="nil"/>
            </w:tcBorders>
            <w:shd w:val="clear" w:color="auto" w:fill="auto"/>
            <w:noWrap/>
            <w:vAlign w:val="center"/>
            <w:hideMark/>
          </w:tcPr>
          <w:p w14:paraId="57CE1C43"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(509)</w:t>
            </w:r>
          </w:p>
        </w:tc>
        <w:tc>
          <w:tcPr>
            <w:tcW w:w="54" w:type="dxa"/>
            <w:tcBorders>
              <w:top w:val="nil"/>
              <w:left w:val="nil"/>
              <w:bottom w:val="nil"/>
              <w:right w:val="nil"/>
            </w:tcBorders>
            <w:shd w:val="clear" w:color="auto" w:fill="auto"/>
            <w:noWrap/>
            <w:vAlign w:val="center"/>
            <w:hideMark/>
          </w:tcPr>
          <w:p w14:paraId="191F1607" w14:textId="77777777" w:rsidR="00BC5219" w:rsidRPr="001D6D48" w:rsidRDefault="00BC5219" w:rsidP="00E83802">
            <w:pPr>
              <w:jc w:val="right"/>
              <w:rPr>
                <w:rFonts w:ascii="Meta Pro" w:eastAsia="Times New Roman" w:hAnsi="Meta Pro"/>
                <w:szCs w:val="18"/>
                <w:lang w:eastAsia="en-AU"/>
              </w:rPr>
            </w:pPr>
          </w:p>
        </w:tc>
        <w:tc>
          <w:tcPr>
            <w:tcW w:w="1244" w:type="dxa"/>
            <w:tcBorders>
              <w:top w:val="nil"/>
              <w:left w:val="nil"/>
              <w:bottom w:val="nil"/>
              <w:right w:val="nil"/>
            </w:tcBorders>
            <w:shd w:val="clear" w:color="auto" w:fill="auto"/>
            <w:noWrap/>
            <w:vAlign w:val="center"/>
            <w:hideMark/>
          </w:tcPr>
          <w:p w14:paraId="589CBC4B"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(5,881)</w:t>
            </w:r>
          </w:p>
        </w:tc>
        <w:tc>
          <w:tcPr>
            <w:tcW w:w="54" w:type="dxa"/>
            <w:tcBorders>
              <w:top w:val="nil"/>
              <w:left w:val="nil"/>
              <w:bottom w:val="nil"/>
              <w:right w:val="nil"/>
            </w:tcBorders>
            <w:shd w:val="clear" w:color="auto" w:fill="auto"/>
            <w:noWrap/>
            <w:vAlign w:val="center"/>
            <w:hideMark/>
          </w:tcPr>
          <w:p w14:paraId="0FF07A77" w14:textId="77777777" w:rsidR="00BC5219" w:rsidRPr="001D6D48" w:rsidRDefault="00BC5219" w:rsidP="00E83802">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1796EC51"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 xml:space="preserve">- </w:t>
            </w:r>
          </w:p>
        </w:tc>
        <w:tc>
          <w:tcPr>
            <w:tcW w:w="54" w:type="dxa"/>
            <w:tcBorders>
              <w:top w:val="nil"/>
              <w:left w:val="nil"/>
              <w:bottom w:val="nil"/>
              <w:right w:val="nil"/>
            </w:tcBorders>
            <w:shd w:val="clear" w:color="auto" w:fill="auto"/>
            <w:noWrap/>
            <w:vAlign w:val="center"/>
            <w:hideMark/>
          </w:tcPr>
          <w:p w14:paraId="13F4A50A" w14:textId="77777777" w:rsidR="00BC5219" w:rsidRPr="001D6D48" w:rsidRDefault="00BC5219" w:rsidP="00E83802">
            <w:pPr>
              <w:jc w:val="right"/>
              <w:rPr>
                <w:rFonts w:ascii="Meta Pro" w:eastAsia="Times New Roman" w:hAnsi="Meta Pro"/>
                <w:szCs w:val="18"/>
                <w:lang w:eastAsia="en-AU"/>
              </w:rPr>
            </w:pPr>
          </w:p>
        </w:tc>
        <w:tc>
          <w:tcPr>
            <w:tcW w:w="1333" w:type="dxa"/>
            <w:tcBorders>
              <w:top w:val="nil"/>
              <w:left w:val="nil"/>
              <w:bottom w:val="nil"/>
              <w:right w:val="nil"/>
            </w:tcBorders>
            <w:shd w:val="clear" w:color="auto" w:fill="auto"/>
            <w:noWrap/>
            <w:vAlign w:val="center"/>
            <w:hideMark/>
          </w:tcPr>
          <w:p w14:paraId="2B6C1A4B" w14:textId="77777777" w:rsidR="00BC5219" w:rsidRPr="001D6D48" w:rsidRDefault="00BC5219" w:rsidP="00E83802">
            <w:pPr>
              <w:jc w:val="right"/>
              <w:rPr>
                <w:rFonts w:ascii="Meta Pro" w:eastAsia="Times New Roman" w:hAnsi="Meta Pro"/>
                <w:b/>
                <w:bCs/>
                <w:szCs w:val="18"/>
                <w:lang w:eastAsia="en-AU"/>
              </w:rPr>
            </w:pPr>
            <w:r w:rsidRPr="001D6D48">
              <w:rPr>
                <w:rFonts w:ascii="Meta Pro" w:eastAsia="Times New Roman" w:hAnsi="Meta Pro"/>
                <w:b/>
                <w:bCs/>
                <w:szCs w:val="18"/>
                <w:lang w:eastAsia="en-AU"/>
              </w:rPr>
              <w:t>(174,729)</w:t>
            </w:r>
          </w:p>
        </w:tc>
      </w:tr>
      <w:tr w:rsidR="00BC5219" w:rsidRPr="001D6D48" w14:paraId="7254973F" w14:textId="77777777" w:rsidTr="00E83802">
        <w:trPr>
          <w:trHeight w:val="23"/>
        </w:trPr>
        <w:tc>
          <w:tcPr>
            <w:tcW w:w="5840" w:type="dxa"/>
            <w:tcBorders>
              <w:top w:val="single" w:sz="4" w:space="0" w:color="auto"/>
              <w:left w:val="nil"/>
              <w:bottom w:val="double" w:sz="6" w:space="0" w:color="auto"/>
              <w:right w:val="nil"/>
            </w:tcBorders>
            <w:shd w:val="clear" w:color="auto" w:fill="auto"/>
            <w:noWrap/>
            <w:vAlign w:val="center"/>
            <w:hideMark/>
          </w:tcPr>
          <w:p w14:paraId="5341632E" w14:textId="77777777" w:rsidR="00BC5219" w:rsidRPr="001D6D48" w:rsidRDefault="00BC5219" w:rsidP="00E83802">
            <w:pPr>
              <w:rPr>
                <w:rFonts w:ascii="Meta Pro" w:eastAsia="Times New Roman" w:hAnsi="Meta Pro"/>
                <w:b/>
                <w:bCs/>
                <w:szCs w:val="18"/>
                <w:lang w:eastAsia="en-AU"/>
              </w:rPr>
            </w:pPr>
            <w:r w:rsidRPr="001D6D48">
              <w:rPr>
                <w:rFonts w:ascii="Meta Pro" w:eastAsia="Times New Roman" w:hAnsi="Meta Pro"/>
                <w:b/>
                <w:bCs/>
                <w:szCs w:val="18"/>
                <w:lang w:eastAsia="en-AU"/>
              </w:rPr>
              <w:t>Carrying amount at 30 June</w:t>
            </w:r>
          </w:p>
        </w:tc>
        <w:tc>
          <w:tcPr>
            <w:tcW w:w="1242" w:type="dxa"/>
            <w:tcBorders>
              <w:top w:val="single" w:sz="4" w:space="0" w:color="auto"/>
              <w:left w:val="nil"/>
              <w:bottom w:val="double" w:sz="6" w:space="0" w:color="auto"/>
              <w:right w:val="nil"/>
            </w:tcBorders>
            <w:shd w:val="clear" w:color="auto" w:fill="auto"/>
            <w:noWrap/>
            <w:vAlign w:val="center"/>
            <w:hideMark/>
          </w:tcPr>
          <w:p w14:paraId="0E86C5BD" w14:textId="77777777" w:rsidR="00BC5219" w:rsidRPr="001D6D48" w:rsidRDefault="00BC5219" w:rsidP="00E83802">
            <w:pPr>
              <w:jc w:val="right"/>
              <w:rPr>
                <w:rFonts w:ascii="Meta Pro" w:eastAsia="Times New Roman" w:hAnsi="Meta Pro"/>
                <w:b/>
                <w:bCs/>
                <w:szCs w:val="18"/>
                <w:lang w:eastAsia="en-AU"/>
              </w:rPr>
            </w:pPr>
            <w:r w:rsidRPr="001D6D48">
              <w:rPr>
                <w:rFonts w:ascii="Meta Pro" w:eastAsia="Times New Roman" w:hAnsi="Meta Pro"/>
                <w:b/>
                <w:bCs/>
                <w:szCs w:val="18"/>
                <w:lang w:eastAsia="en-AU"/>
              </w:rPr>
              <w:t xml:space="preserve">729,019 </w:t>
            </w:r>
          </w:p>
        </w:tc>
        <w:tc>
          <w:tcPr>
            <w:tcW w:w="55" w:type="dxa"/>
            <w:tcBorders>
              <w:top w:val="nil"/>
              <w:left w:val="nil"/>
              <w:bottom w:val="nil"/>
              <w:right w:val="nil"/>
            </w:tcBorders>
            <w:shd w:val="clear" w:color="auto" w:fill="auto"/>
            <w:noWrap/>
            <w:vAlign w:val="center"/>
            <w:hideMark/>
          </w:tcPr>
          <w:p w14:paraId="635C97F5" w14:textId="77777777" w:rsidR="00BC5219" w:rsidRPr="001D6D48" w:rsidRDefault="00BC5219" w:rsidP="00E83802">
            <w:pPr>
              <w:jc w:val="right"/>
              <w:rPr>
                <w:rFonts w:ascii="Meta Pro" w:eastAsia="Times New Roman" w:hAnsi="Meta Pro"/>
                <w:b/>
                <w:bCs/>
                <w:szCs w:val="18"/>
                <w:lang w:eastAsia="en-AU"/>
              </w:rPr>
            </w:pPr>
          </w:p>
        </w:tc>
        <w:tc>
          <w:tcPr>
            <w:tcW w:w="1375" w:type="dxa"/>
            <w:tcBorders>
              <w:top w:val="single" w:sz="4" w:space="0" w:color="auto"/>
              <w:left w:val="nil"/>
              <w:bottom w:val="double" w:sz="6" w:space="0" w:color="auto"/>
              <w:right w:val="nil"/>
            </w:tcBorders>
            <w:shd w:val="clear" w:color="auto" w:fill="auto"/>
            <w:noWrap/>
            <w:vAlign w:val="center"/>
            <w:hideMark/>
          </w:tcPr>
          <w:p w14:paraId="723E89F6" w14:textId="77777777" w:rsidR="00BC5219" w:rsidRPr="001D6D48" w:rsidRDefault="00BC5219" w:rsidP="00E83802">
            <w:pPr>
              <w:jc w:val="right"/>
              <w:rPr>
                <w:rFonts w:ascii="Meta Pro" w:eastAsia="Times New Roman" w:hAnsi="Meta Pro"/>
                <w:b/>
                <w:bCs/>
                <w:szCs w:val="18"/>
                <w:lang w:eastAsia="en-AU"/>
              </w:rPr>
            </w:pPr>
            <w:r w:rsidRPr="001D6D48">
              <w:rPr>
                <w:rFonts w:ascii="Meta Pro" w:eastAsia="Times New Roman" w:hAnsi="Meta Pro"/>
                <w:b/>
                <w:bCs/>
                <w:szCs w:val="18"/>
                <w:lang w:eastAsia="en-AU"/>
              </w:rPr>
              <w:t xml:space="preserve">1,436,529 </w:t>
            </w:r>
          </w:p>
        </w:tc>
        <w:tc>
          <w:tcPr>
            <w:tcW w:w="54" w:type="dxa"/>
            <w:tcBorders>
              <w:top w:val="nil"/>
              <w:left w:val="nil"/>
              <w:bottom w:val="nil"/>
              <w:right w:val="nil"/>
            </w:tcBorders>
            <w:shd w:val="clear" w:color="auto" w:fill="auto"/>
            <w:noWrap/>
            <w:vAlign w:val="center"/>
            <w:hideMark/>
          </w:tcPr>
          <w:p w14:paraId="643F9B26" w14:textId="77777777" w:rsidR="00BC5219" w:rsidRPr="001D6D48" w:rsidRDefault="00BC5219" w:rsidP="00E83802">
            <w:pPr>
              <w:jc w:val="right"/>
              <w:rPr>
                <w:rFonts w:ascii="Meta Pro" w:eastAsia="Times New Roman" w:hAnsi="Meta Pro"/>
                <w:b/>
                <w:bCs/>
                <w:szCs w:val="18"/>
                <w:lang w:eastAsia="en-AU"/>
              </w:rPr>
            </w:pPr>
          </w:p>
        </w:tc>
        <w:tc>
          <w:tcPr>
            <w:tcW w:w="1309" w:type="dxa"/>
            <w:tcBorders>
              <w:top w:val="single" w:sz="4" w:space="0" w:color="auto"/>
              <w:left w:val="nil"/>
              <w:bottom w:val="double" w:sz="6" w:space="0" w:color="auto"/>
              <w:right w:val="nil"/>
            </w:tcBorders>
            <w:shd w:val="clear" w:color="auto" w:fill="auto"/>
            <w:noWrap/>
            <w:vAlign w:val="center"/>
            <w:hideMark/>
          </w:tcPr>
          <w:p w14:paraId="772FF983" w14:textId="77777777" w:rsidR="00BC5219" w:rsidRPr="001D6D48" w:rsidRDefault="00BC5219" w:rsidP="00E83802">
            <w:pPr>
              <w:jc w:val="right"/>
              <w:rPr>
                <w:rFonts w:ascii="Meta Pro" w:eastAsia="Times New Roman" w:hAnsi="Meta Pro"/>
                <w:b/>
                <w:bCs/>
                <w:szCs w:val="18"/>
                <w:lang w:eastAsia="en-AU"/>
              </w:rPr>
            </w:pPr>
            <w:r w:rsidRPr="001D6D48">
              <w:rPr>
                <w:rFonts w:ascii="Meta Pro" w:eastAsia="Times New Roman" w:hAnsi="Meta Pro"/>
                <w:b/>
                <w:bCs/>
                <w:szCs w:val="18"/>
                <w:lang w:eastAsia="en-AU"/>
              </w:rPr>
              <w:t xml:space="preserve">5,806,788 </w:t>
            </w:r>
          </w:p>
        </w:tc>
        <w:tc>
          <w:tcPr>
            <w:tcW w:w="54" w:type="dxa"/>
            <w:tcBorders>
              <w:top w:val="nil"/>
              <w:left w:val="nil"/>
              <w:bottom w:val="nil"/>
              <w:right w:val="nil"/>
            </w:tcBorders>
            <w:shd w:val="clear" w:color="auto" w:fill="auto"/>
            <w:noWrap/>
            <w:vAlign w:val="center"/>
            <w:hideMark/>
          </w:tcPr>
          <w:p w14:paraId="06840856" w14:textId="77777777" w:rsidR="00BC5219" w:rsidRPr="001D6D48" w:rsidRDefault="00BC5219" w:rsidP="00E83802">
            <w:pPr>
              <w:jc w:val="right"/>
              <w:rPr>
                <w:rFonts w:ascii="Meta Pro" w:eastAsia="Times New Roman" w:hAnsi="Meta Pro"/>
                <w:b/>
                <w:bCs/>
                <w:szCs w:val="18"/>
                <w:lang w:eastAsia="en-AU"/>
              </w:rPr>
            </w:pPr>
          </w:p>
        </w:tc>
        <w:tc>
          <w:tcPr>
            <w:tcW w:w="1291" w:type="dxa"/>
            <w:tcBorders>
              <w:top w:val="single" w:sz="4" w:space="0" w:color="auto"/>
              <w:left w:val="nil"/>
              <w:bottom w:val="double" w:sz="6" w:space="0" w:color="auto"/>
              <w:right w:val="nil"/>
            </w:tcBorders>
            <w:shd w:val="clear" w:color="auto" w:fill="auto"/>
            <w:noWrap/>
            <w:vAlign w:val="center"/>
            <w:hideMark/>
          </w:tcPr>
          <w:p w14:paraId="12407488" w14:textId="77777777" w:rsidR="00BC5219" w:rsidRPr="001D6D48" w:rsidRDefault="00BC5219" w:rsidP="00E83802">
            <w:pPr>
              <w:jc w:val="right"/>
              <w:rPr>
                <w:rFonts w:ascii="Meta Pro" w:eastAsia="Times New Roman" w:hAnsi="Meta Pro"/>
                <w:b/>
                <w:bCs/>
                <w:szCs w:val="18"/>
                <w:lang w:eastAsia="en-AU"/>
              </w:rPr>
            </w:pPr>
            <w:r w:rsidRPr="001D6D48">
              <w:rPr>
                <w:rFonts w:ascii="Meta Pro" w:eastAsia="Times New Roman" w:hAnsi="Meta Pro"/>
                <w:b/>
                <w:bCs/>
                <w:szCs w:val="18"/>
                <w:lang w:eastAsia="en-AU"/>
              </w:rPr>
              <w:t xml:space="preserve">2,866,453 </w:t>
            </w:r>
          </w:p>
        </w:tc>
        <w:tc>
          <w:tcPr>
            <w:tcW w:w="54" w:type="dxa"/>
            <w:tcBorders>
              <w:top w:val="nil"/>
              <w:left w:val="nil"/>
              <w:bottom w:val="nil"/>
              <w:right w:val="nil"/>
            </w:tcBorders>
            <w:shd w:val="clear" w:color="auto" w:fill="auto"/>
            <w:noWrap/>
            <w:vAlign w:val="center"/>
            <w:hideMark/>
          </w:tcPr>
          <w:p w14:paraId="4DC33C1A" w14:textId="77777777" w:rsidR="00BC5219" w:rsidRPr="001D6D48" w:rsidRDefault="00BC5219" w:rsidP="00E83802">
            <w:pPr>
              <w:jc w:val="right"/>
              <w:rPr>
                <w:rFonts w:ascii="Meta Pro" w:eastAsia="Times New Roman" w:hAnsi="Meta Pro"/>
                <w:b/>
                <w:bCs/>
                <w:szCs w:val="18"/>
                <w:lang w:eastAsia="en-AU"/>
              </w:rPr>
            </w:pPr>
          </w:p>
        </w:tc>
        <w:tc>
          <w:tcPr>
            <w:tcW w:w="1270" w:type="dxa"/>
            <w:tcBorders>
              <w:top w:val="single" w:sz="4" w:space="0" w:color="auto"/>
              <w:left w:val="nil"/>
              <w:bottom w:val="double" w:sz="6" w:space="0" w:color="auto"/>
              <w:right w:val="nil"/>
            </w:tcBorders>
            <w:shd w:val="clear" w:color="auto" w:fill="auto"/>
            <w:noWrap/>
            <w:vAlign w:val="center"/>
            <w:hideMark/>
          </w:tcPr>
          <w:p w14:paraId="55E5A236" w14:textId="77777777" w:rsidR="00BC5219" w:rsidRPr="001D6D48" w:rsidRDefault="00BC5219" w:rsidP="00E83802">
            <w:pPr>
              <w:jc w:val="right"/>
              <w:rPr>
                <w:rFonts w:ascii="Meta Pro" w:eastAsia="Times New Roman" w:hAnsi="Meta Pro"/>
                <w:b/>
                <w:bCs/>
                <w:szCs w:val="18"/>
                <w:lang w:eastAsia="en-AU"/>
              </w:rPr>
            </w:pPr>
            <w:r w:rsidRPr="001D6D48">
              <w:rPr>
                <w:rFonts w:ascii="Meta Pro" w:eastAsia="Times New Roman" w:hAnsi="Meta Pro"/>
                <w:b/>
                <w:bCs/>
                <w:szCs w:val="18"/>
                <w:lang w:eastAsia="en-AU"/>
              </w:rPr>
              <w:t xml:space="preserve">1,472,727 </w:t>
            </w:r>
          </w:p>
        </w:tc>
        <w:tc>
          <w:tcPr>
            <w:tcW w:w="54" w:type="dxa"/>
            <w:tcBorders>
              <w:top w:val="nil"/>
              <w:left w:val="nil"/>
              <w:bottom w:val="nil"/>
              <w:right w:val="nil"/>
            </w:tcBorders>
            <w:shd w:val="clear" w:color="auto" w:fill="auto"/>
            <w:noWrap/>
            <w:vAlign w:val="center"/>
            <w:hideMark/>
          </w:tcPr>
          <w:p w14:paraId="658CD99E" w14:textId="77777777" w:rsidR="00BC5219" w:rsidRPr="001D6D48" w:rsidRDefault="00BC5219" w:rsidP="00E83802">
            <w:pPr>
              <w:jc w:val="right"/>
              <w:rPr>
                <w:rFonts w:ascii="Meta Pro" w:eastAsia="Times New Roman" w:hAnsi="Meta Pro"/>
                <w:b/>
                <w:bCs/>
                <w:szCs w:val="18"/>
                <w:lang w:eastAsia="en-AU"/>
              </w:rPr>
            </w:pPr>
          </w:p>
        </w:tc>
        <w:tc>
          <w:tcPr>
            <w:tcW w:w="1126" w:type="dxa"/>
            <w:gridSpan w:val="2"/>
            <w:tcBorders>
              <w:top w:val="single" w:sz="4" w:space="0" w:color="auto"/>
              <w:left w:val="nil"/>
              <w:bottom w:val="double" w:sz="6" w:space="0" w:color="auto"/>
              <w:right w:val="nil"/>
            </w:tcBorders>
            <w:shd w:val="clear" w:color="auto" w:fill="auto"/>
            <w:noWrap/>
            <w:vAlign w:val="center"/>
            <w:hideMark/>
          </w:tcPr>
          <w:p w14:paraId="678560BB" w14:textId="77777777" w:rsidR="00BC5219" w:rsidRPr="001D6D48" w:rsidRDefault="00BC5219" w:rsidP="00E83802">
            <w:pPr>
              <w:jc w:val="right"/>
              <w:rPr>
                <w:rFonts w:ascii="Meta Pro" w:eastAsia="Times New Roman" w:hAnsi="Meta Pro"/>
                <w:b/>
                <w:bCs/>
                <w:szCs w:val="18"/>
                <w:lang w:eastAsia="en-AU"/>
              </w:rPr>
            </w:pPr>
            <w:r w:rsidRPr="001D6D48">
              <w:rPr>
                <w:rFonts w:ascii="Meta Pro" w:eastAsia="Times New Roman" w:hAnsi="Meta Pro"/>
                <w:b/>
                <w:bCs/>
                <w:szCs w:val="18"/>
                <w:lang w:eastAsia="en-AU"/>
              </w:rPr>
              <w:t xml:space="preserve">46,569 </w:t>
            </w:r>
          </w:p>
        </w:tc>
        <w:tc>
          <w:tcPr>
            <w:tcW w:w="54" w:type="dxa"/>
            <w:tcBorders>
              <w:top w:val="nil"/>
              <w:left w:val="nil"/>
              <w:bottom w:val="nil"/>
              <w:right w:val="nil"/>
            </w:tcBorders>
            <w:shd w:val="clear" w:color="auto" w:fill="auto"/>
            <w:noWrap/>
            <w:vAlign w:val="center"/>
            <w:hideMark/>
          </w:tcPr>
          <w:p w14:paraId="02DCDA14" w14:textId="77777777" w:rsidR="00BC5219" w:rsidRPr="001D6D48" w:rsidRDefault="00BC5219" w:rsidP="00E83802">
            <w:pPr>
              <w:jc w:val="right"/>
              <w:rPr>
                <w:rFonts w:ascii="Meta Pro" w:eastAsia="Times New Roman" w:hAnsi="Meta Pro"/>
                <w:b/>
                <w:bCs/>
                <w:szCs w:val="18"/>
                <w:lang w:eastAsia="en-AU"/>
              </w:rPr>
            </w:pPr>
          </w:p>
        </w:tc>
        <w:tc>
          <w:tcPr>
            <w:tcW w:w="1244" w:type="dxa"/>
            <w:tcBorders>
              <w:top w:val="single" w:sz="4" w:space="0" w:color="auto"/>
              <w:left w:val="nil"/>
              <w:bottom w:val="double" w:sz="6" w:space="0" w:color="auto"/>
              <w:right w:val="nil"/>
            </w:tcBorders>
            <w:shd w:val="clear" w:color="auto" w:fill="auto"/>
            <w:noWrap/>
            <w:vAlign w:val="center"/>
            <w:hideMark/>
          </w:tcPr>
          <w:p w14:paraId="6DA6D335" w14:textId="77777777" w:rsidR="00BC5219" w:rsidRPr="001D6D48" w:rsidRDefault="00BC5219" w:rsidP="00E83802">
            <w:pPr>
              <w:jc w:val="right"/>
              <w:rPr>
                <w:rFonts w:ascii="Meta Pro" w:eastAsia="Times New Roman" w:hAnsi="Meta Pro"/>
                <w:b/>
                <w:bCs/>
                <w:szCs w:val="18"/>
                <w:lang w:eastAsia="en-AU"/>
              </w:rPr>
            </w:pPr>
            <w:r w:rsidRPr="001D6D48">
              <w:rPr>
                <w:rFonts w:ascii="Meta Pro" w:eastAsia="Times New Roman" w:hAnsi="Meta Pro"/>
                <w:b/>
                <w:bCs/>
                <w:szCs w:val="18"/>
                <w:lang w:eastAsia="en-AU"/>
              </w:rPr>
              <w:t xml:space="preserve">330,583 </w:t>
            </w:r>
          </w:p>
        </w:tc>
        <w:tc>
          <w:tcPr>
            <w:tcW w:w="54" w:type="dxa"/>
            <w:tcBorders>
              <w:top w:val="nil"/>
              <w:left w:val="nil"/>
              <w:bottom w:val="nil"/>
              <w:right w:val="nil"/>
            </w:tcBorders>
            <w:shd w:val="clear" w:color="auto" w:fill="auto"/>
            <w:noWrap/>
            <w:vAlign w:val="center"/>
            <w:hideMark/>
          </w:tcPr>
          <w:p w14:paraId="34017CF6" w14:textId="77777777" w:rsidR="00BC5219" w:rsidRPr="001D6D48" w:rsidRDefault="00BC5219" w:rsidP="00E83802">
            <w:pPr>
              <w:jc w:val="right"/>
              <w:rPr>
                <w:rFonts w:ascii="Meta Pro" w:eastAsia="Times New Roman" w:hAnsi="Meta Pro"/>
                <w:b/>
                <w:bCs/>
                <w:szCs w:val="18"/>
                <w:lang w:eastAsia="en-AU"/>
              </w:rPr>
            </w:pPr>
          </w:p>
        </w:tc>
        <w:tc>
          <w:tcPr>
            <w:tcW w:w="1216" w:type="dxa"/>
            <w:tcBorders>
              <w:top w:val="single" w:sz="4" w:space="0" w:color="auto"/>
              <w:left w:val="nil"/>
              <w:bottom w:val="double" w:sz="6" w:space="0" w:color="auto"/>
              <w:right w:val="nil"/>
            </w:tcBorders>
            <w:shd w:val="clear" w:color="auto" w:fill="auto"/>
            <w:noWrap/>
            <w:vAlign w:val="center"/>
            <w:hideMark/>
          </w:tcPr>
          <w:p w14:paraId="3823B8B8" w14:textId="77777777" w:rsidR="00BC5219" w:rsidRPr="001D6D48" w:rsidRDefault="00BC5219" w:rsidP="00E83802">
            <w:pPr>
              <w:jc w:val="right"/>
              <w:rPr>
                <w:rFonts w:ascii="Meta Pro" w:eastAsia="Times New Roman" w:hAnsi="Meta Pro"/>
                <w:b/>
                <w:bCs/>
                <w:szCs w:val="18"/>
                <w:lang w:eastAsia="en-AU"/>
              </w:rPr>
            </w:pPr>
            <w:r w:rsidRPr="001D6D48">
              <w:rPr>
                <w:rFonts w:ascii="Meta Pro" w:eastAsia="Times New Roman" w:hAnsi="Meta Pro"/>
                <w:b/>
                <w:bCs/>
                <w:szCs w:val="18"/>
                <w:lang w:eastAsia="en-AU"/>
              </w:rPr>
              <w:t xml:space="preserve">228,784 </w:t>
            </w:r>
          </w:p>
        </w:tc>
        <w:tc>
          <w:tcPr>
            <w:tcW w:w="54" w:type="dxa"/>
            <w:tcBorders>
              <w:top w:val="nil"/>
              <w:left w:val="nil"/>
              <w:bottom w:val="nil"/>
              <w:right w:val="nil"/>
            </w:tcBorders>
            <w:shd w:val="clear" w:color="auto" w:fill="auto"/>
            <w:noWrap/>
            <w:vAlign w:val="center"/>
            <w:hideMark/>
          </w:tcPr>
          <w:p w14:paraId="4D722C08" w14:textId="77777777" w:rsidR="00BC5219" w:rsidRPr="001D6D48" w:rsidRDefault="00BC5219" w:rsidP="00E83802">
            <w:pPr>
              <w:jc w:val="right"/>
              <w:rPr>
                <w:rFonts w:ascii="Meta Pro" w:eastAsia="Times New Roman" w:hAnsi="Meta Pro"/>
                <w:b/>
                <w:bCs/>
                <w:szCs w:val="18"/>
                <w:lang w:eastAsia="en-AU"/>
              </w:rPr>
            </w:pPr>
          </w:p>
        </w:tc>
        <w:tc>
          <w:tcPr>
            <w:tcW w:w="1333" w:type="dxa"/>
            <w:tcBorders>
              <w:top w:val="single" w:sz="4" w:space="0" w:color="auto"/>
              <w:left w:val="nil"/>
              <w:bottom w:val="double" w:sz="6" w:space="0" w:color="auto"/>
              <w:right w:val="nil"/>
            </w:tcBorders>
            <w:shd w:val="clear" w:color="auto" w:fill="auto"/>
            <w:noWrap/>
            <w:vAlign w:val="center"/>
            <w:hideMark/>
          </w:tcPr>
          <w:p w14:paraId="301009CC" w14:textId="77777777" w:rsidR="00BC5219" w:rsidRPr="001D6D48" w:rsidRDefault="00BC5219" w:rsidP="00E83802">
            <w:pPr>
              <w:jc w:val="right"/>
              <w:rPr>
                <w:rFonts w:ascii="Meta Pro" w:eastAsia="Times New Roman" w:hAnsi="Meta Pro"/>
                <w:b/>
                <w:bCs/>
                <w:szCs w:val="18"/>
                <w:lang w:eastAsia="en-AU"/>
              </w:rPr>
            </w:pPr>
            <w:r w:rsidRPr="001D6D48">
              <w:rPr>
                <w:rFonts w:ascii="Meta Pro" w:eastAsia="Times New Roman" w:hAnsi="Meta Pro"/>
                <w:b/>
                <w:bCs/>
                <w:szCs w:val="18"/>
                <w:lang w:eastAsia="en-AU"/>
              </w:rPr>
              <w:t xml:space="preserve">12,917,452 </w:t>
            </w:r>
          </w:p>
        </w:tc>
      </w:tr>
      <w:tr w:rsidR="00BC5219" w:rsidRPr="001D6D48" w14:paraId="2335FC15" w14:textId="77777777" w:rsidTr="00E83802">
        <w:trPr>
          <w:trHeight w:val="57"/>
        </w:trPr>
        <w:tc>
          <w:tcPr>
            <w:tcW w:w="5840" w:type="dxa"/>
            <w:tcBorders>
              <w:top w:val="nil"/>
              <w:left w:val="nil"/>
              <w:bottom w:val="nil"/>
              <w:right w:val="nil"/>
            </w:tcBorders>
            <w:shd w:val="clear" w:color="auto" w:fill="auto"/>
            <w:noWrap/>
            <w:vAlign w:val="center"/>
            <w:hideMark/>
          </w:tcPr>
          <w:p w14:paraId="323B384F" w14:textId="77777777" w:rsidR="00BC5219" w:rsidRPr="001D6D48" w:rsidRDefault="00BC5219" w:rsidP="00E83802">
            <w:pPr>
              <w:jc w:val="right"/>
              <w:rPr>
                <w:rFonts w:ascii="Meta Pro" w:eastAsia="Times New Roman" w:hAnsi="Meta Pro"/>
                <w:b/>
                <w:bCs/>
                <w:szCs w:val="18"/>
                <w:lang w:eastAsia="en-AU"/>
              </w:rPr>
            </w:pPr>
          </w:p>
        </w:tc>
        <w:tc>
          <w:tcPr>
            <w:tcW w:w="1242" w:type="dxa"/>
            <w:tcBorders>
              <w:top w:val="nil"/>
              <w:left w:val="nil"/>
              <w:bottom w:val="nil"/>
              <w:right w:val="nil"/>
            </w:tcBorders>
            <w:shd w:val="clear" w:color="auto" w:fill="auto"/>
            <w:noWrap/>
            <w:vAlign w:val="center"/>
            <w:hideMark/>
          </w:tcPr>
          <w:p w14:paraId="24EC023F" w14:textId="77777777" w:rsidR="00BC5219" w:rsidRPr="001D6D48" w:rsidRDefault="00BC5219" w:rsidP="00E83802">
            <w:pPr>
              <w:rPr>
                <w:rFonts w:ascii="Meta Pro" w:eastAsia="Times New Roman" w:hAnsi="Meta Pro" w:cs="Times New Roman"/>
                <w:sz w:val="20"/>
                <w:szCs w:val="20"/>
                <w:lang w:eastAsia="en-AU"/>
              </w:rPr>
            </w:pPr>
          </w:p>
        </w:tc>
        <w:tc>
          <w:tcPr>
            <w:tcW w:w="55" w:type="dxa"/>
            <w:tcBorders>
              <w:top w:val="nil"/>
              <w:left w:val="nil"/>
              <w:bottom w:val="nil"/>
              <w:right w:val="nil"/>
            </w:tcBorders>
            <w:shd w:val="clear" w:color="auto" w:fill="auto"/>
            <w:noWrap/>
            <w:vAlign w:val="center"/>
            <w:hideMark/>
          </w:tcPr>
          <w:p w14:paraId="0D1EF2AC" w14:textId="77777777" w:rsidR="00BC5219" w:rsidRPr="001D6D48" w:rsidRDefault="00BC5219" w:rsidP="00E83802">
            <w:pPr>
              <w:rPr>
                <w:rFonts w:ascii="Meta Pro" w:eastAsia="Times New Roman" w:hAnsi="Meta Pro" w:cs="Times New Roman"/>
                <w:sz w:val="20"/>
                <w:szCs w:val="20"/>
                <w:lang w:eastAsia="en-AU"/>
              </w:rPr>
            </w:pPr>
          </w:p>
        </w:tc>
        <w:tc>
          <w:tcPr>
            <w:tcW w:w="1375" w:type="dxa"/>
            <w:tcBorders>
              <w:top w:val="nil"/>
              <w:left w:val="nil"/>
              <w:bottom w:val="nil"/>
              <w:right w:val="nil"/>
            </w:tcBorders>
            <w:shd w:val="clear" w:color="auto" w:fill="auto"/>
            <w:noWrap/>
            <w:vAlign w:val="center"/>
            <w:hideMark/>
          </w:tcPr>
          <w:p w14:paraId="77506468" w14:textId="77777777" w:rsidR="00BC5219" w:rsidRPr="001D6D48" w:rsidRDefault="00BC5219" w:rsidP="00E83802">
            <w:pPr>
              <w:jc w:val="cente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center"/>
            <w:hideMark/>
          </w:tcPr>
          <w:p w14:paraId="6228E543" w14:textId="77777777" w:rsidR="00BC5219" w:rsidRPr="001D6D48" w:rsidRDefault="00BC5219" w:rsidP="00E83802">
            <w:pPr>
              <w:rPr>
                <w:rFonts w:ascii="Meta Pro" w:eastAsia="Times New Roman" w:hAnsi="Meta Pro" w:cs="Times New Roman"/>
                <w:sz w:val="20"/>
                <w:szCs w:val="20"/>
                <w:lang w:eastAsia="en-AU"/>
              </w:rPr>
            </w:pPr>
          </w:p>
        </w:tc>
        <w:tc>
          <w:tcPr>
            <w:tcW w:w="1309" w:type="dxa"/>
            <w:tcBorders>
              <w:top w:val="nil"/>
              <w:left w:val="nil"/>
              <w:bottom w:val="nil"/>
              <w:right w:val="nil"/>
            </w:tcBorders>
            <w:shd w:val="clear" w:color="auto" w:fill="auto"/>
            <w:noWrap/>
            <w:vAlign w:val="center"/>
            <w:hideMark/>
          </w:tcPr>
          <w:p w14:paraId="55F0225D" w14:textId="77777777" w:rsidR="00BC5219" w:rsidRPr="001D6D48" w:rsidRDefault="00BC5219" w:rsidP="00E83802">
            <w:pPr>
              <w:jc w:val="cente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center"/>
            <w:hideMark/>
          </w:tcPr>
          <w:p w14:paraId="7863409E" w14:textId="77777777" w:rsidR="00BC5219" w:rsidRPr="001D6D48" w:rsidRDefault="00BC5219" w:rsidP="00E83802">
            <w:pPr>
              <w:rPr>
                <w:rFonts w:ascii="Meta Pro" w:eastAsia="Times New Roman" w:hAnsi="Meta Pro" w:cs="Times New Roman"/>
                <w:sz w:val="20"/>
                <w:szCs w:val="20"/>
                <w:lang w:eastAsia="en-AU"/>
              </w:rPr>
            </w:pPr>
          </w:p>
        </w:tc>
        <w:tc>
          <w:tcPr>
            <w:tcW w:w="1291" w:type="dxa"/>
            <w:tcBorders>
              <w:top w:val="nil"/>
              <w:left w:val="nil"/>
              <w:bottom w:val="nil"/>
              <w:right w:val="nil"/>
            </w:tcBorders>
            <w:shd w:val="clear" w:color="auto" w:fill="auto"/>
            <w:noWrap/>
            <w:vAlign w:val="center"/>
            <w:hideMark/>
          </w:tcPr>
          <w:p w14:paraId="12B2F0C0"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center"/>
            <w:hideMark/>
          </w:tcPr>
          <w:p w14:paraId="75CAB942" w14:textId="77777777" w:rsidR="00BC5219" w:rsidRPr="001D6D48" w:rsidRDefault="00BC5219" w:rsidP="00E83802">
            <w:pPr>
              <w:rPr>
                <w:rFonts w:ascii="Meta Pro" w:eastAsia="Times New Roman" w:hAnsi="Meta Pro" w:cs="Times New Roman"/>
                <w:sz w:val="20"/>
                <w:szCs w:val="20"/>
                <w:lang w:eastAsia="en-AU"/>
              </w:rPr>
            </w:pPr>
          </w:p>
        </w:tc>
        <w:tc>
          <w:tcPr>
            <w:tcW w:w="1270" w:type="dxa"/>
            <w:tcBorders>
              <w:top w:val="nil"/>
              <w:left w:val="nil"/>
              <w:bottom w:val="nil"/>
              <w:right w:val="nil"/>
            </w:tcBorders>
            <w:shd w:val="clear" w:color="auto" w:fill="auto"/>
            <w:noWrap/>
            <w:vAlign w:val="center"/>
            <w:hideMark/>
          </w:tcPr>
          <w:p w14:paraId="7D320C10"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center"/>
            <w:hideMark/>
          </w:tcPr>
          <w:p w14:paraId="0405C205" w14:textId="77777777" w:rsidR="00BC5219" w:rsidRPr="001D6D48" w:rsidRDefault="00BC5219" w:rsidP="00E83802">
            <w:pPr>
              <w:rPr>
                <w:rFonts w:ascii="Meta Pro" w:eastAsia="Times New Roman" w:hAnsi="Meta Pro" w:cs="Times New Roman"/>
                <w:sz w:val="20"/>
                <w:szCs w:val="20"/>
                <w:lang w:eastAsia="en-AU"/>
              </w:rPr>
            </w:pPr>
          </w:p>
        </w:tc>
        <w:tc>
          <w:tcPr>
            <w:tcW w:w="1126" w:type="dxa"/>
            <w:gridSpan w:val="2"/>
            <w:tcBorders>
              <w:top w:val="nil"/>
              <w:left w:val="nil"/>
              <w:bottom w:val="nil"/>
              <w:right w:val="nil"/>
            </w:tcBorders>
            <w:shd w:val="clear" w:color="auto" w:fill="auto"/>
            <w:noWrap/>
            <w:vAlign w:val="center"/>
            <w:hideMark/>
          </w:tcPr>
          <w:p w14:paraId="6BF0E533"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center"/>
            <w:hideMark/>
          </w:tcPr>
          <w:p w14:paraId="1395B5E3" w14:textId="77777777" w:rsidR="00BC5219" w:rsidRPr="001D6D48" w:rsidRDefault="00BC5219" w:rsidP="00E83802">
            <w:pPr>
              <w:rPr>
                <w:rFonts w:ascii="Meta Pro" w:eastAsia="Times New Roman" w:hAnsi="Meta Pro" w:cs="Times New Roman"/>
                <w:sz w:val="20"/>
                <w:szCs w:val="20"/>
                <w:lang w:eastAsia="en-AU"/>
              </w:rPr>
            </w:pPr>
          </w:p>
        </w:tc>
        <w:tc>
          <w:tcPr>
            <w:tcW w:w="1244" w:type="dxa"/>
            <w:tcBorders>
              <w:top w:val="nil"/>
              <w:left w:val="nil"/>
              <w:bottom w:val="nil"/>
              <w:right w:val="nil"/>
            </w:tcBorders>
            <w:shd w:val="clear" w:color="auto" w:fill="auto"/>
            <w:noWrap/>
            <w:vAlign w:val="center"/>
            <w:hideMark/>
          </w:tcPr>
          <w:p w14:paraId="716F8FB7"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center"/>
            <w:hideMark/>
          </w:tcPr>
          <w:p w14:paraId="5FE95FE8" w14:textId="77777777" w:rsidR="00BC5219" w:rsidRPr="001D6D48" w:rsidRDefault="00BC5219" w:rsidP="00E83802">
            <w:pPr>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17112E03"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center"/>
            <w:hideMark/>
          </w:tcPr>
          <w:p w14:paraId="091EDDB1" w14:textId="77777777" w:rsidR="00BC5219" w:rsidRPr="001D6D48" w:rsidRDefault="00BC5219" w:rsidP="00E83802">
            <w:pPr>
              <w:rPr>
                <w:rFonts w:ascii="Meta Pro" w:eastAsia="Times New Roman" w:hAnsi="Meta Pro" w:cs="Times New Roman"/>
                <w:sz w:val="20"/>
                <w:szCs w:val="20"/>
                <w:lang w:eastAsia="en-AU"/>
              </w:rPr>
            </w:pPr>
          </w:p>
        </w:tc>
        <w:tc>
          <w:tcPr>
            <w:tcW w:w="1333" w:type="dxa"/>
            <w:tcBorders>
              <w:top w:val="nil"/>
              <w:left w:val="nil"/>
              <w:bottom w:val="nil"/>
              <w:right w:val="nil"/>
            </w:tcBorders>
            <w:shd w:val="clear" w:color="auto" w:fill="auto"/>
            <w:noWrap/>
            <w:vAlign w:val="center"/>
            <w:hideMark/>
          </w:tcPr>
          <w:p w14:paraId="002B9669" w14:textId="77777777" w:rsidR="00BC5219" w:rsidRPr="001D6D48" w:rsidRDefault="00BC5219" w:rsidP="00E83802">
            <w:pPr>
              <w:rPr>
                <w:rFonts w:ascii="Meta Pro" w:eastAsia="Times New Roman" w:hAnsi="Meta Pro" w:cs="Times New Roman"/>
                <w:sz w:val="20"/>
                <w:szCs w:val="20"/>
                <w:lang w:eastAsia="en-AU"/>
              </w:rPr>
            </w:pPr>
          </w:p>
        </w:tc>
      </w:tr>
      <w:tr w:rsidR="00BC5219" w:rsidRPr="001D6D48" w14:paraId="6C1D3DDF" w14:textId="77777777" w:rsidTr="00E83802">
        <w:trPr>
          <w:trHeight w:val="284"/>
        </w:trPr>
        <w:tc>
          <w:tcPr>
            <w:tcW w:w="5840" w:type="dxa"/>
            <w:tcBorders>
              <w:top w:val="nil"/>
              <w:left w:val="nil"/>
              <w:bottom w:val="nil"/>
              <w:right w:val="nil"/>
            </w:tcBorders>
            <w:shd w:val="clear" w:color="auto" w:fill="auto"/>
            <w:noWrap/>
            <w:vAlign w:val="bottom"/>
            <w:hideMark/>
          </w:tcPr>
          <w:p w14:paraId="69148579" w14:textId="77777777" w:rsidR="00BC5219" w:rsidRPr="001D6D48" w:rsidRDefault="00BC5219" w:rsidP="00E83802">
            <w:pPr>
              <w:rPr>
                <w:rFonts w:ascii="Meta Pro" w:eastAsia="Times New Roman" w:hAnsi="Meta Pro"/>
                <w:b/>
                <w:bCs/>
                <w:szCs w:val="18"/>
                <w:lang w:eastAsia="en-AU"/>
              </w:rPr>
            </w:pPr>
            <w:r w:rsidRPr="001D6D48">
              <w:rPr>
                <w:rFonts w:ascii="Meta Pro" w:eastAsia="Times New Roman" w:hAnsi="Meta Pro"/>
                <w:b/>
                <w:bCs/>
                <w:szCs w:val="18"/>
                <w:lang w:eastAsia="en-AU"/>
              </w:rPr>
              <w:t>Liabilities</w:t>
            </w:r>
          </w:p>
        </w:tc>
        <w:tc>
          <w:tcPr>
            <w:tcW w:w="1242" w:type="dxa"/>
            <w:tcBorders>
              <w:top w:val="nil"/>
              <w:left w:val="nil"/>
              <w:bottom w:val="nil"/>
              <w:right w:val="nil"/>
            </w:tcBorders>
            <w:shd w:val="clear" w:color="auto" w:fill="auto"/>
            <w:noWrap/>
            <w:vAlign w:val="bottom"/>
            <w:hideMark/>
          </w:tcPr>
          <w:p w14:paraId="535164FF" w14:textId="77777777" w:rsidR="00BC5219" w:rsidRPr="001D6D48" w:rsidRDefault="00BC5219" w:rsidP="00E83802">
            <w:pPr>
              <w:rPr>
                <w:rFonts w:ascii="Meta Pro" w:eastAsia="Times New Roman" w:hAnsi="Meta Pro"/>
                <w:b/>
                <w:bCs/>
                <w:szCs w:val="18"/>
                <w:lang w:eastAsia="en-AU"/>
              </w:rPr>
            </w:pPr>
          </w:p>
        </w:tc>
        <w:tc>
          <w:tcPr>
            <w:tcW w:w="55" w:type="dxa"/>
            <w:tcBorders>
              <w:top w:val="nil"/>
              <w:left w:val="nil"/>
              <w:bottom w:val="nil"/>
              <w:right w:val="nil"/>
            </w:tcBorders>
            <w:shd w:val="clear" w:color="auto" w:fill="auto"/>
            <w:noWrap/>
            <w:vAlign w:val="center"/>
            <w:hideMark/>
          </w:tcPr>
          <w:p w14:paraId="749C7602" w14:textId="77777777" w:rsidR="00BC5219" w:rsidRPr="001D6D48" w:rsidRDefault="00BC5219" w:rsidP="00E83802">
            <w:pPr>
              <w:rPr>
                <w:rFonts w:ascii="Meta Pro" w:eastAsia="Times New Roman" w:hAnsi="Meta Pro" w:cs="Times New Roman"/>
                <w:sz w:val="20"/>
                <w:szCs w:val="20"/>
                <w:lang w:eastAsia="en-AU"/>
              </w:rPr>
            </w:pPr>
          </w:p>
        </w:tc>
        <w:tc>
          <w:tcPr>
            <w:tcW w:w="1375" w:type="dxa"/>
            <w:tcBorders>
              <w:top w:val="nil"/>
              <w:left w:val="nil"/>
              <w:bottom w:val="nil"/>
              <w:right w:val="nil"/>
            </w:tcBorders>
            <w:shd w:val="clear" w:color="auto" w:fill="auto"/>
            <w:noWrap/>
            <w:vAlign w:val="bottom"/>
            <w:hideMark/>
          </w:tcPr>
          <w:p w14:paraId="31680FBB"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center"/>
            <w:hideMark/>
          </w:tcPr>
          <w:p w14:paraId="00304D15" w14:textId="77777777" w:rsidR="00BC5219" w:rsidRPr="001D6D48" w:rsidRDefault="00BC5219" w:rsidP="00E83802">
            <w:pPr>
              <w:rPr>
                <w:rFonts w:ascii="Meta Pro" w:eastAsia="Times New Roman" w:hAnsi="Meta Pro" w:cs="Times New Roman"/>
                <w:sz w:val="20"/>
                <w:szCs w:val="20"/>
                <w:lang w:eastAsia="en-AU"/>
              </w:rPr>
            </w:pPr>
          </w:p>
        </w:tc>
        <w:tc>
          <w:tcPr>
            <w:tcW w:w="1309" w:type="dxa"/>
            <w:tcBorders>
              <w:top w:val="nil"/>
              <w:left w:val="nil"/>
              <w:bottom w:val="nil"/>
              <w:right w:val="nil"/>
            </w:tcBorders>
            <w:shd w:val="clear" w:color="auto" w:fill="auto"/>
            <w:noWrap/>
            <w:vAlign w:val="bottom"/>
            <w:hideMark/>
          </w:tcPr>
          <w:p w14:paraId="5809D16E"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bottom"/>
            <w:hideMark/>
          </w:tcPr>
          <w:p w14:paraId="0BB448A6" w14:textId="77777777" w:rsidR="00BC5219" w:rsidRPr="001D6D48" w:rsidRDefault="00BC5219" w:rsidP="00E83802">
            <w:pPr>
              <w:rPr>
                <w:rFonts w:ascii="Meta Pro" w:eastAsia="Times New Roman" w:hAnsi="Meta Pro" w:cs="Times New Roman"/>
                <w:sz w:val="20"/>
                <w:szCs w:val="20"/>
                <w:lang w:eastAsia="en-AU"/>
              </w:rPr>
            </w:pPr>
          </w:p>
        </w:tc>
        <w:tc>
          <w:tcPr>
            <w:tcW w:w="1291" w:type="dxa"/>
            <w:tcBorders>
              <w:top w:val="nil"/>
              <w:left w:val="nil"/>
              <w:bottom w:val="nil"/>
              <w:right w:val="nil"/>
            </w:tcBorders>
            <w:shd w:val="clear" w:color="auto" w:fill="auto"/>
            <w:noWrap/>
            <w:vAlign w:val="bottom"/>
            <w:hideMark/>
          </w:tcPr>
          <w:p w14:paraId="1E53C872"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bottom"/>
            <w:hideMark/>
          </w:tcPr>
          <w:p w14:paraId="0F3D837A" w14:textId="77777777" w:rsidR="00BC5219" w:rsidRPr="001D6D48" w:rsidRDefault="00BC5219" w:rsidP="00E83802">
            <w:pPr>
              <w:rPr>
                <w:rFonts w:ascii="Meta Pro" w:eastAsia="Times New Roman" w:hAnsi="Meta Pro" w:cs="Times New Roman"/>
                <w:sz w:val="20"/>
                <w:szCs w:val="20"/>
                <w:lang w:eastAsia="en-AU"/>
              </w:rPr>
            </w:pPr>
          </w:p>
        </w:tc>
        <w:tc>
          <w:tcPr>
            <w:tcW w:w="1270" w:type="dxa"/>
            <w:tcBorders>
              <w:top w:val="nil"/>
              <w:left w:val="nil"/>
              <w:bottom w:val="nil"/>
              <w:right w:val="nil"/>
            </w:tcBorders>
            <w:shd w:val="clear" w:color="auto" w:fill="auto"/>
            <w:noWrap/>
            <w:vAlign w:val="bottom"/>
            <w:hideMark/>
          </w:tcPr>
          <w:p w14:paraId="45E98C6D"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bottom"/>
            <w:hideMark/>
          </w:tcPr>
          <w:p w14:paraId="2BBD18C7" w14:textId="77777777" w:rsidR="00BC5219" w:rsidRPr="001D6D48" w:rsidRDefault="00BC5219" w:rsidP="00E83802">
            <w:pPr>
              <w:rPr>
                <w:rFonts w:ascii="Meta Pro" w:eastAsia="Times New Roman" w:hAnsi="Meta Pro" w:cs="Times New Roman"/>
                <w:sz w:val="20"/>
                <w:szCs w:val="20"/>
                <w:lang w:eastAsia="en-AU"/>
              </w:rPr>
            </w:pPr>
          </w:p>
        </w:tc>
        <w:tc>
          <w:tcPr>
            <w:tcW w:w="1126" w:type="dxa"/>
            <w:gridSpan w:val="2"/>
            <w:tcBorders>
              <w:top w:val="nil"/>
              <w:left w:val="nil"/>
              <w:bottom w:val="nil"/>
              <w:right w:val="nil"/>
            </w:tcBorders>
            <w:shd w:val="clear" w:color="auto" w:fill="auto"/>
            <w:noWrap/>
            <w:vAlign w:val="bottom"/>
            <w:hideMark/>
          </w:tcPr>
          <w:p w14:paraId="106C4258"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bottom"/>
            <w:hideMark/>
          </w:tcPr>
          <w:p w14:paraId="2439D85A" w14:textId="77777777" w:rsidR="00BC5219" w:rsidRPr="001D6D48" w:rsidRDefault="00BC5219" w:rsidP="00E83802">
            <w:pPr>
              <w:rPr>
                <w:rFonts w:ascii="Meta Pro" w:eastAsia="Times New Roman" w:hAnsi="Meta Pro" w:cs="Times New Roman"/>
                <w:sz w:val="20"/>
                <w:szCs w:val="20"/>
                <w:lang w:eastAsia="en-AU"/>
              </w:rPr>
            </w:pPr>
          </w:p>
        </w:tc>
        <w:tc>
          <w:tcPr>
            <w:tcW w:w="1244" w:type="dxa"/>
            <w:tcBorders>
              <w:top w:val="nil"/>
              <w:left w:val="nil"/>
              <w:bottom w:val="nil"/>
              <w:right w:val="nil"/>
            </w:tcBorders>
            <w:shd w:val="clear" w:color="auto" w:fill="auto"/>
            <w:noWrap/>
            <w:vAlign w:val="bottom"/>
            <w:hideMark/>
          </w:tcPr>
          <w:p w14:paraId="5A2DB8E1"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bottom"/>
            <w:hideMark/>
          </w:tcPr>
          <w:p w14:paraId="271A74D2" w14:textId="77777777" w:rsidR="00BC5219" w:rsidRPr="001D6D48" w:rsidRDefault="00BC5219" w:rsidP="00E83802">
            <w:pPr>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bottom"/>
            <w:hideMark/>
          </w:tcPr>
          <w:p w14:paraId="3D00510A"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bottom"/>
            <w:hideMark/>
          </w:tcPr>
          <w:p w14:paraId="5031C1AD" w14:textId="77777777" w:rsidR="00BC5219" w:rsidRPr="001D6D48" w:rsidRDefault="00BC5219" w:rsidP="00E83802">
            <w:pPr>
              <w:rPr>
                <w:rFonts w:ascii="Meta Pro" w:eastAsia="Times New Roman" w:hAnsi="Meta Pro" w:cs="Times New Roman"/>
                <w:sz w:val="20"/>
                <w:szCs w:val="20"/>
                <w:lang w:eastAsia="en-AU"/>
              </w:rPr>
            </w:pPr>
          </w:p>
        </w:tc>
        <w:tc>
          <w:tcPr>
            <w:tcW w:w="1333" w:type="dxa"/>
            <w:tcBorders>
              <w:top w:val="nil"/>
              <w:left w:val="nil"/>
              <w:bottom w:val="nil"/>
              <w:right w:val="nil"/>
            </w:tcBorders>
            <w:shd w:val="clear" w:color="auto" w:fill="auto"/>
            <w:noWrap/>
            <w:vAlign w:val="bottom"/>
            <w:hideMark/>
          </w:tcPr>
          <w:p w14:paraId="1FDFE9E8" w14:textId="77777777" w:rsidR="00BC5219" w:rsidRPr="001D6D48" w:rsidRDefault="00BC5219" w:rsidP="00E83802">
            <w:pPr>
              <w:rPr>
                <w:rFonts w:ascii="Meta Pro" w:eastAsia="Times New Roman" w:hAnsi="Meta Pro" w:cs="Times New Roman"/>
                <w:sz w:val="20"/>
                <w:szCs w:val="20"/>
                <w:lang w:eastAsia="en-AU"/>
              </w:rPr>
            </w:pPr>
          </w:p>
        </w:tc>
      </w:tr>
      <w:tr w:rsidR="00BC5219" w:rsidRPr="001D6D48" w14:paraId="3D41BBE9" w14:textId="77777777" w:rsidTr="00E83802">
        <w:trPr>
          <w:trHeight w:val="57"/>
        </w:trPr>
        <w:tc>
          <w:tcPr>
            <w:tcW w:w="5840" w:type="dxa"/>
            <w:tcBorders>
              <w:top w:val="nil"/>
              <w:left w:val="nil"/>
              <w:bottom w:val="nil"/>
              <w:right w:val="nil"/>
            </w:tcBorders>
            <w:shd w:val="clear" w:color="auto" w:fill="auto"/>
            <w:noWrap/>
            <w:vAlign w:val="center"/>
            <w:hideMark/>
          </w:tcPr>
          <w:p w14:paraId="38DB96FD" w14:textId="77777777" w:rsidR="00BC5219" w:rsidRPr="001D6D48" w:rsidRDefault="00BC5219" w:rsidP="00E83802">
            <w:pPr>
              <w:rPr>
                <w:rFonts w:ascii="Meta Pro" w:eastAsia="Times New Roman" w:hAnsi="Meta Pro" w:cs="Times New Roman"/>
                <w:sz w:val="20"/>
                <w:szCs w:val="20"/>
                <w:lang w:eastAsia="en-AU"/>
              </w:rPr>
            </w:pPr>
          </w:p>
        </w:tc>
        <w:tc>
          <w:tcPr>
            <w:tcW w:w="1242" w:type="dxa"/>
            <w:tcBorders>
              <w:top w:val="nil"/>
              <w:left w:val="nil"/>
              <w:bottom w:val="nil"/>
              <w:right w:val="nil"/>
            </w:tcBorders>
            <w:shd w:val="clear" w:color="auto" w:fill="auto"/>
            <w:noWrap/>
            <w:vAlign w:val="center"/>
            <w:hideMark/>
          </w:tcPr>
          <w:p w14:paraId="5B3C2EDE" w14:textId="77777777" w:rsidR="00BC5219" w:rsidRPr="001D6D48" w:rsidRDefault="00BC5219" w:rsidP="00E83802">
            <w:pPr>
              <w:rPr>
                <w:rFonts w:ascii="Meta Pro" w:eastAsia="Times New Roman" w:hAnsi="Meta Pro" w:cs="Times New Roman"/>
                <w:sz w:val="20"/>
                <w:szCs w:val="20"/>
                <w:lang w:eastAsia="en-AU"/>
              </w:rPr>
            </w:pPr>
          </w:p>
        </w:tc>
        <w:tc>
          <w:tcPr>
            <w:tcW w:w="55" w:type="dxa"/>
            <w:tcBorders>
              <w:top w:val="nil"/>
              <w:left w:val="nil"/>
              <w:bottom w:val="nil"/>
              <w:right w:val="nil"/>
            </w:tcBorders>
            <w:shd w:val="clear" w:color="auto" w:fill="auto"/>
            <w:noWrap/>
            <w:vAlign w:val="center"/>
            <w:hideMark/>
          </w:tcPr>
          <w:p w14:paraId="2EDED503" w14:textId="77777777" w:rsidR="00BC5219" w:rsidRPr="001D6D48" w:rsidRDefault="00BC5219" w:rsidP="00E83802">
            <w:pPr>
              <w:rPr>
                <w:rFonts w:ascii="Meta Pro" w:eastAsia="Times New Roman" w:hAnsi="Meta Pro" w:cs="Times New Roman"/>
                <w:sz w:val="20"/>
                <w:szCs w:val="20"/>
                <w:lang w:eastAsia="en-AU"/>
              </w:rPr>
            </w:pPr>
          </w:p>
        </w:tc>
        <w:tc>
          <w:tcPr>
            <w:tcW w:w="1375" w:type="dxa"/>
            <w:tcBorders>
              <w:top w:val="nil"/>
              <w:left w:val="nil"/>
              <w:bottom w:val="nil"/>
              <w:right w:val="nil"/>
            </w:tcBorders>
            <w:shd w:val="clear" w:color="auto" w:fill="auto"/>
            <w:noWrap/>
            <w:vAlign w:val="center"/>
            <w:hideMark/>
          </w:tcPr>
          <w:p w14:paraId="359EB02D"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center"/>
            <w:hideMark/>
          </w:tcPr>
          <w:p w14:paraId="23D99141" w14:textId="77777777" w:rsidR="00BC5219" w:rsidRPr="001D6D48" w:rsidRDefault="00BC5219" w:rsidP="00E83802">
            <w:pPr>
              <w:jc w:val="center"/>
              <w:rPr>
                <w:rFonts w:ascii="Meta Pro" w:eastAsia="Times New Roman" w:hAnsi="Meta Pro" w:cs="Times New Roman"/>
                <w:sz w:val="20"/>
                <w:szCs w:val="20"/>
                <w:lang w:eastAsia="en-AU"/>
              </w:rPr>
            </w:pPr>
          </w:p>
        </w:tc>
        <w:tc>
          <w:tcPr>
            <w:tcW w:w="1309" w:type="dxa"/>
            <w:tcBorders>
              <w:top w:val="nil"/>
              <w:left w:val="nil"/>
              <w:bottom w:val="nil"/>
              <w:right w:val="nil"/>
            </w:tcBorders>
            <w:shd w:val="clear" w:color="auto" w:fill="auto"/>
            <w:noWrap/>
            <w:vAlign w:val="center"/>
            <w:hideMark/>
          </w:tcPr>
          <w:p w14:paraId="6CA63B75"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center"/>
            <w:hideMark/>
          </w:tcPr>
          <w:p w14:paraId="4043F755" w14:textId="77777777" w:rsidR="00BC5219" w:rsidRPr="001D6D48" w:rsidRDefault="00BC5219" w:rsidP="00E83802">
            <w:pPr>
              <w:jc w:val="center"/>
              <w:rPr>
                <w:rFonts w:ascii="Meta Pro" w:eastAsia="Times New Roman" w:hAnsi="Meta Pro" w:cs="Times New Roman"/>
                <w:sz w:val="20"/>
                <w:szCs w:val="20"/>
                <w:lang w:eastAsia="en-AU"/>
              </w:rPr>
            </w:pPr>
          </w:p>
        </w:tc>
        <w:tc>
          <w:tcPr>
            <w:tcW w:w="1291" w:type="dxa"/>
            <w:tcBorders>
              <w:top w:val="nil"/>
              <w:left w:val="nil"/>
              <w:bottom w:val="nil"/>
              <w:right w:val="nil"/>
            </w:tcBorders>
            <w:shd w:val="clear" w:color="auto" w:fill="auto"/>
            <w:noWrap/>
            <w:vAlign w:val="center"/>
            <w:hideMark/>
          </w:tcPr>
          <w:p w14:paraId="0A744D3A"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center"/>
            <w:hideMark/>
          </w:tcPr>
          <w:p w14:paraId="2AC35947" w14:textId="77777777" w:rsidR="00BC5219" w:rsidRPr="001D6D48" w:rsidRDefault="00BC5219" w:rsidP="00E83802">
            <w:pPr>
              <w:jc w:val="center"/>
              <w:rPr>
                <w:rFonts w:ascii="Meta Pro" w:eastAsia="Times New Roman" w:hAnsi="Meta Pro" w:cs="Times New Roman"/>
                <w:sz w:val="20"/>
                <w:szCs w:val="20"/>
                <w:lang w:eastAsia="en-AU"/>
              </w:rPr>
            </w:pPr>
          </w:p>
        </w:tc>
        <w:tc>
          <w:tcPr>
            <w:tcW w:w="1270" w:type="dxa"/>
            <w:tcBorders>
              <w:top w:val="nil"/>
              <w:left w:val="nil"/>
              <w:bottom w:val="nil"/>
              <w:right w:val="nil"/>
            </w:tcBorders>
            <w:shd w:val="clear" w:color="auto" w:fill="auto"/>
            <w:noWrap/>
            <w:vAlign w:val="center"/>
            <w:hideMark/>
          </w:tcPr>
          <w:p w14:paraId="2344BCE8"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center"/>
            <w:hideMark/>
          </w:tcPr>
          <w:p w14:paraId="1F0FC808" w14:textId="77777777" w:rsidR="00BC5219" w:rsidRPr="001D6D48" w:rsidRDefault="00BC5219" w:rsidP="00E83802">
            <w:pPr>
              <w:jc w:val="center"/>
              <w:rPr>
                <w:rFonts w:ascii="Meta Pro" w:eastAsia="Times New Roman" w:hAnsi="Meta Pro" w:cs="Times New Roman"/>
                <w:sz w:val="20"/>
                <w:szCs w:val="20"/>
                <w:lang w:eastAsia="en-AU"/>
              </w:rPr>
            </w:pPr>
          </w:p>
        </w:tc>
        <w:tc>
          <w:tcPr>
            <w:tcW w:w="1126" w:type="dxa"/>
            <w:gridSpan w:val="2"/>
            <w:tcBorders>
              <w:top w:val="nil"/>
              <w:left w:val="nil"/>
              <w:bottom w:val="nil"/>
              <w:right w:val="nil"/>
            </w:tcBorders>
            <w:shd w:val="clear" w:color="auto" w:fill="auto"/>
            <w:noWrap/>
            <w:vAlign w:val="center"/>
            <w:hideMark/>
          </w:tcPr>
          <w:p w14:paraId="3B7993C7"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center"/>
            <w:hideMark/>
          </w:tcPr>
          <w:p w14:paraId="42270DF6" w14:textId="77777777" w:rsidR="00BC5219" w:rsidRPr="001D6D48" w:rsidRDefault="00BC5219" w:rsidP="00E83802">
            <w:pPr>
              <w:jc w:val="center"/>
              <w:rPr>
                <w:rFonts w:ascii="Meta Pro" w:eastAsia="Times New Roman" w:hAnsi="Meta Pro" w:cs="Times New Roman"/>
                <w:sz w:val="20"/>
                <w:szCs w:val="20"/>
                <w:lang w:eastAsia="en-AU"/>
              </w:rPr>
            </w:pPr>
          </w:p>
        </w:tc>
        <w:tc>
          <w:tcPr>
            <w:tcW w:w="1244" w:type="dxa"/>
            <w:tcBorders>
              <w:top w:val="nil"/>
              <w:left w:val="nil"/>
              <w:bottom w:val="nil"/>
              <w:right w:val="nil"/>
            </w:tcBorders>
            <w:shd w:val="clear" w:color="auto" w:fill="auto"/>
            <w:noWrap/>
            <w:vAlign w:val="center"/>
            <w:hideMark/>
          </w:tcPr>
          <w:p w14:paraId="6F4F79F2"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center"/>
            <w:hideMark/>
          </w:tcPr>
          <w:p w14:paraId="5706221D" w14:textId="77777777" w:rsidR="00BC5219" w:rsidRPr="001D6D48" w:rsidRDefault="00BC5219" w:rsidP="00E83802">
            <w:pPr>
              <w:jc w:val="center"/>
              <w:rPr>
                <w:rFonts w:ascii="Meta Pro" w:eastAsia="Times New Roman" w:hAnsi="Meta Pro" w:cs="Times New Roman"/>
                <w:sz w:val="20"/>
                <w:szCs w:val="20"/>
                <w:lang w:eastAsia="en-AU"/>
              </w:rPr>
            </w:pPr>
          </w:p>
        </w:tc>
        <w:tc>
          <w:tcPr>
            <w:tcW w:w="1216" w:type="dxa"/>
            <w:tcBorders>
              <w:top w:val="nil"/>
              <w:left w:val="nil"/>
              <w:bottom w:val="nil"/>
              <w:right w:val="nil"/>
            </w:tcBorders>
            <w:shd w:val="clear" w:color="auto" w:fill="auto"/>
            <w:noWrap/>
            <w:vAlign w:val="center"/>
            <w:hideMark/>
          </w:tcPr>
          <w:p w14:paraId="21578D47" w14:textId="77777777" w:rsidR="00BC5219" w:rsidRPr="001D6D48" w:rsidRDefault="00BC5219" w:rsidP="00E83802">
            <w:pPr>
              <w:rPr>
                <w:rFonts w:ascii="Meta Pro" w:eastAsia="Times New Roman" w:hAnsi="Meta Pro" w:cs="Times New Roman"/>
                <w:sz w:val="20"/>
                <w:szCs w:val="20"/>
                <w:lang w:eastAsia="en-AU"/>
              </w:rPr>
            </w:pPr>
          </w:p>
        </w:tc>
        <w:tc>
          <w:tcPr>
            <w:tcW w:w="54" w:type="dxa"/>
            <w:tcBorders>
              <w:top w:val="nil"/>
              <w:left w:val="nil"/>
              <w:bottom w:val="nil"/>
              <w:right w:val="nil"/>
            </w:tcBorders>
            <w:shd w:val="clear" w:color="auto" w:fill="auto"/>
            <w:noWrap/>
            <w:vAlign w:val="center"/>
            <w:hideMark/>
          </w:tcPr>
          <w:p w14:paraId="36D38EFF" w14:textId="77777777" w:rsidR="00BC5219" w:rsidRPr="001D6D48" w:rsidRDefault="00BC5219" w:rsidP="00E83802">
            <w:pPr>
              <w:jc w:val="center"/>
              <w:rPr>
                <w:rFonts w:ascii="Meta Pro" w:eastAsia="Times New Roman" w:hAnsi="Meta Pro" w:cs="Times New Roman"/>
                <w:sz w:val="20"/>
                <w:szCs w:val="20"/>
                <w:lang w:eastAsia="en-AU"/>
              </w:rPr>
            </w:pPr>
          </w:p>
        </w:tc>
        <w:tc>
          <w:tcPr>
            <w:tcW w:w="1333" w:type="dxa"/>
            <w:tcBorders>
              <w:top w:val="nil"/>
              <w:left w:val="nil"/>
              <w:bottom w:val="nil"/>
              <w:right w:val="nil"/>
            </w:tcBorders>
            <w:shd w:val="clear" w:color="auto" w:fill="auto"/>
            <w:noWrap/>
            <w:vAlign w:val="center"/>
            <w:hideMark/>
          </w:tcPr>
          <w:p w14:paraId="6D219AEF" w14:textId="77777777" w:rsidR="00BC5219" w:rsidRPr="001D6D48" w:rsidRDefault="00BC5219" w:rsidP="00E83802">
            <w:pPr>
              <w:rPr>
                <w:rFonts w:ascii="Meta Pro" w:eastAsia="Times New Roman" w:hAnsi="Meta Pro" w:cs="Times New Roman"/>
                <w:sz w:val="20"/>
                <w:szCs w:val="20"/>
                <w:lang w:eastAsia="en-AU"/>
              </w:rPr>
            </w:pPr>
          </w:p>
        </w:tc>
      </w:tr>
      <w:tr w:rsidR="00BC5219" w:rsidRPr="001D6D48" w14:paraId="21DCB69A" w14:textId="77777777" w:rsidTr="00E83802">
        <w:trPr>
          <w:trHeight w:val="57"/>
        </w:trPr>
        <w:tc>
          <w:tcPr>
            <w:tcW w:w="5840" w:type="dxa"/>
            <w:tcBorders>
              <w:top w:val="nil"/>
              <w:left w:val="nil"/>
              <w:bottom w:val="nil"/>
              <w:right w:val="nil"/>
            </w:tcBorders>
            <w:shd w:val="clear" w:color="auto" w:fill="auto"/>
            <w:vAlign w:val="center"/>
            <w:hideMark/>
          </w:tcPr>
          <w:p w14:paraId="1DD2A181" w14:textId="77777777" w:rsidR="00BC5219" w:rsidRPr="001D6D48" w:rsidRDefault="00BC5219" w:rsidP="00E83802">
            <w:pPr>
              <w:rPr>
                <w:rFonts w:ascii="Meta Pro" w:eastAsia="Times New Roman" w:hAnsi="Meta Pro"/>
                <w:szCs w:val="18"/>
                <w:lang w:eastAsia="en-AU"/>
              </w:rPr>
            </w:pPr>
            <w:r w:rsidRPr="001D6D48">
              <w:rPr>
                <w:rFonts w:ascii="Meta Pro" w:eastAsia="Times New Roman" w:hAnsi="Meta Pro"/>
                <w:szCs w:val="18"/>
                <w:lang w:eastAsia="en-AU"/>
              </w:rPr>
              <w:t>Financial liabilities (refer to Note 19)</w:t>
            </w:r>
          </w:p>
        </w:tc>
        <w:tc>
          <w:tcPr>
            <w:tcW w:w="1242" w:type="dxa"/>
            <w:tcBorders>
              <w:top w:val="nil"/>
              <w:left w:val="nil"/>
              <w:bottom w:val="nil"/>
              <w:right w:val="nil"/>
            </w:tcBorders>
            <w:shd w:val="clear" w:color="auto" w:fill="auto"/>
            <w:noWrap/>
            <w:vAlign w:val="center"/>
            <w:hideMark/>
          </w:tcPr>
          <w:p w14:paraId="348A8CC2"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 xml:space="preserve">256,069 </w:t>
            </w:r>
          </w:p>
        </w:tc>
        <w:tc>
          <w:tcPr>
            <w:tcW w:w="55" w:type="dxa"/>
            <w:tcBorders>
              <w:top w:val="nil"/>
              <w:left w:val="nil"/>
              <w:bottom w:val="nil"/>
              <w:right w:val="nil"/>
            </w:tcBorders>
            <w:shd w:val="clear" w:color="auto" w:fill="auto"/>
            <w:noWrap/>
            <w:vAlign w:val="center"/>
            <w:hideMark/>
          </w:tcPr>
          <w:p w14:paraId="4246BF79" w14:textId="77777777" w:rsidR="00BC5219" w:rsidRPr="001D6D48" w:rsidRDefault="00BC5219" w:rsidP="00E83802">
            <w:pPr>
              <w:jc w:val="right"/>
              <w:rPr>
                <w:rFonts w:ascii="Meta Pro" w:eastAsia="Times New Roman" w:hAnsi="Meta Pro"/>
                <w:szCs w:val="18"/>
                <w:lang w:eastAsia="en-AU"/>
              </w:rPr>
            </w:pPr>
          </w:p>
        </w:tc>
        <w:tc>
          <w:tcPr>
            <w:tcW w:w="1375" w:type="dxa"/>
            <w:tcBorders>
              <w:top w:val="nil"/>
              <w:left w:val="nil"/>
              <w:bottom w:val="nil"/>
              <w:right w:val="nil"/>
            </w:tcBorders>
            <w:shd w:val="clear" w:color="auto" w:fill="auto"/>
            <w:noWrap/>
            <w:vAlign w:val="center"/>
            <w:hideMark/>
          </w:tcPr>
          <w:p w14:paraId="2F2C6C5C"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 xml:space="preserve">404,922 </w:t>
            </w:r>
          </w:p>
        </w:tc>
        <w:tc>
          <w:tcPr>
            <w:tcW w:w="54" w:type="dxa"/>
            <w:tcBorders>
              <w:top w:val="nil"/>
              <w:left w:val="nil"/>
              <w:bottom w:val="nil"/>
              <w:right w:val="nil"/>
            </w:tcBorders>
            <w:shd w:val="clear" w:color="auto" w:fill="auto"/>
            <w:noWrap/>
            <w:vAlign w:val="center"/>
            <w:hideMark/>
          </w:tcPr>
          <w:p w14:paraId="5645D25F" w14:textId="77777777" w:rsidR="00BC5219" w:rsidRPr="001D6D48" w:rsidRDefault="00BC5219" w:rsidP="00E83802">
            <w:pPr>
              <w:jc w:val="right"/>
              <w:rPr>
                <w:rFonts w:ascii="Meta Pro" w:eastAsia="Times New Roman" w:hAnsi="Meta Pro"/>
                <w:szCs w:val="18"/>
                <w:lang w:eastAsia="en-AU"/>
              </w:rPr>
            </w:pPr>
          </w:p>
        </w:tc>
        <w:tc>
          <w:tcPr>
            <w:tcW w:w="1309" w:type="dxa"/>
            <w:tcBorders>
              <w:top w:val="nil"/>
              <w:left w:val="nil"/>
              <w:bottom w:val="nil"/>
              <w:right w:val="nil"/>
            </w:tcBorders>
            <w:shd w:val="clear" w:color="auto" w:fill="auto"/>
            <w:noWrap/>
            <w:vAlign w:val="center"/>
            <w:hideMark/>
          </w:tcPr>
          <w:p w14:paraId="4FA47541"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 xml:space="preserve">- </w:t>
            </w:r>
          </w:p>
        </w:tc>
        <w:tc>
          <w:tcPr>
            <w:tcW w:w="54" w:type="dxa"/>
            <w:tcBorders>
              <w:top w:val="nil"/>
              <w:left w:val="nil"/>
              <w:bottom w:val="nil"/>
              <w:right w:val="nil"/>
            </w:tcBorders>
            <w:shd w:val="clear" w:color="auto" w:fill="auto"/>
            <w:noWrap/>
            <w:vAlign w:val="center"/>
            <w:hideMark/>
          </w:tcPr>
          <w:p w14:paraId="73332A48" w14:textId="77777777" w:rsidR="00BC5219" w:rsidRPr="001D6D48" w:rsidRDefault="00BC5219" w:rsidP="00E83802">
            <w:pPr>
              <w:jc w:val="right"/>
              <w:rPr>
                <w:rFonts w:ascii="Meta Pro" w:eastAsia="Times New Roman" w:hAnsi="Meta Pro"/>
                <w:szCs w:val="18"/>
                <w:lang w:eastAsia="en-AU"/>
              </w:rPr>
            </w:pPr>
          </w:p>
        </w:tc>
        <w:tc>
          <w:tcPr>
            <w:tcW w:w="1291" w:type="dxa"/>
            <w:tcBorders>
              <w:top w:val="nil"/>
              <w:left w:val="nil"/>
              <w:bottom w:val="nil"/>
              <w:right w:val="nil"/>
            </w:tcBorders>
            <w:shd w:val="clear" w:color="auto" w:fill="auto"/>
            <w:noWrap/>
            <w:vAlign w:val="center"/>
            <w:hideMark/>
          </w:tcPr>
          <w:p w14:paraId="0CEA0D09"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 xml:space="preserve">- </w:t>
            </w:r>
          </w:p>
        </w:tc>
        <w:tc>
          <w:tcPr>
            <w:tcW w:w="54" w:type="dxa"/>
            <w:tcBorders>
              <w:top w:val="nil"/>
              <w:left w:val="nil"/>
              <w:bottom w:val="nil"/>
              <w:right w:val="nil"/>
            </w:tcBorders>
            <w:shd w:val="clear" w:color="auto" w:fill="auto"/>
            <w:noWrap/>
            <w:vAlign w:val="center"/>
            <w:hideMark/>
          </w:tcPr>
          <w:p w14:paraId="0A02D5EF" w14:textId="77777777" w:rsidR="00BC5219" w:rsidRPr="001D6D48" w:rsidRDefault="00BC5219" w:rsidP="00E83802">
            <w:pPr>
              <w:jc w:val="right"/>
              <w:rPr>
                <w:rFonts w:ascii="Meta Pro" w:eastAsia="Times New Roman" w:hAnsi="Meta Pro"/>
                <w:szCs w:val="18"/>
                <w:lang w:eastAsia="en-AU"/>
              </w:rPr>
            </w:pPr>
          </w:p>
        </w:tc>
        <w:tc>
          <w:tcPr>
            <w:tcW w:w="1270" w:type="dxa"/>
            <w:tcBorders>
              <w:top w:val="nil"/>
              <w:left w:val="nil"/>
              <w:bottom w:val="nil"/>
              <w:right w:val="nil"/>
            </w:tcBorders>
            <w:shd w:val="clear" w:color="auto" w:fill="auto"/>
            <w:noWrap/>
            <w:vAlign w:val="center"/>
            <w:hideMark/>
          </w:tcPr>
          <w:p w14:paraId="29D5E620"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 xml:space="preserve">- </w:t>
            </w:r>
          </w:p>
        </w:tc>
        <w:tc>
          <w:tcPr>
            <w:tcW w:w="54" w:type="dxa"/>
            <w:tcBorders>
              <w:top w:val="nil"/>
              <w:left w:val="nil"/>
              <w:bottom w:val="nil"/>
              <w:right w:val="nil"/>
            </w:tcBorders>
            <w:shd w:val="clear" w:color="auto" w:fill="auto"/>
            <w:noWrap/>
            <w:vAlign w:val="center"/>
            <w:hideMark/>
          </w:tcPr>
          <w:p w14:paraId="0DEA2B3A" w14:textId="77777777" w:rsidR="00BC5219" w:rsidRPr="001D6D48" w:rsidRDefault="00BC5219" w:rsidP="00E83802">
            <w:pPr>
              <w:jc w:val="right"/>
              <w:rPr>
                <w:rFonts w:ascii="Meta Pro" w:eastAsia="Times New Roman" w:hAnsi="Meta Pro"/>
                <w:szCs w:val="18"/>
                <w:lang w:eastAsia="en-AU"/>
              </w:rPr>
            </w:pPr>
          </w:p>
        </w:tc>
        <w:tc>
          <w:tcPr>
            <w:tcW w:w="1126" w:type="dxa"/>
            <w:gridSpan w:val="2"/>
            <w:tcBorders>
              <w:top w:val="nil"/>
              <w:left w:val="nil"/>
              <w:bottom w:val="nil"/>
              <w:right w:val="nil"/>
            </w:tcBorders>
            <w:shd w:val="clear" w:color="auto" w:fill="auto"/>
            <w:noWrap/>
            <w:vAlign w:val="center"/>
            <w:hideMark/>
          </w:tcPr>
          <w:p w14:paraId="6B88FC20"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 xml:space="preserve">- </w:t>
            </w:r>
          </w:p>
        </w:tc>
        <w:tc>
          <w:tcPr>
            <w:tcW w:w="54" w:type="dxa"/>
            <w:tcBorders>
              <w:top w:val="nil"/>
              <w:left w:val="nil"/>
              <w:bottom w:val="nil"/>
              <w:right w:val="nil"/>
            </w:tcBorders>
            <w:shd w:val="clear" w:color="auto" w:fill="auto"/>
            <w:noWrap/>
            <w:vAlign w:val="center"/>
            <w:hideMark/>
          </w:tcPr>
          <w:p w14:paraId="013D5057" w14:textId="77777777" w:rsidR="00BC5219" w:rsidRPr="001D6D48" w:rsidRDefault="00BC5219" w:rsidP="00E83802">
            <w:pPr>
              <w:jc w:val="right"/>
              <w:rPr>
                <w:rFonts w:ascii="Meta Pro" w:eastAsia="Times New Roman" w:hAnsi="Meta Pro"/>
                <w:szCs w:val="18"/>
                <w:lang w:eastAsia="en-AU"/>
              </w:rPr>
            </w:pPr>
          </w:p>
        </w:tc>
        <w:tc>
          <w:tcPr>
            <w:tcW w:w="1244" w:type="dxa"/>
            <w:tcBorders>
              <w:top w:val="nil"/>
              <w:left w:val="nil"/>
              <w:bottom w:val="nil"/>
              <w:right w:val="nil"/>
            </w:tcBorders>
            <w:shd w:val="clear" w:color="auto" w:fill="auto"/>
            <w:noWrap/>
            <w:vAlign w:val="center"/>
            <w:hideMark/>
          </w:tcPr>
          <w:p w14:paraId="283FBEB2"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 xml:space="preserve">- </w:t>
            </w:r>
          </w:p>
        </w:tc>
        <w:tc>
          <w:tcPr>
            <w:tcW w:w="54" w:type="dxa"/>
            <w:tcBorders>
              <w:top w:val="nil"/>
              <w:left w:val="nil"/>
              <w:bottom w:val="nil"/>
              <w:right w:val="nil"/>
            </w:tcBorders>
            <w:shd w:val="clear" w:color="auto" w:fill="auto"/>
            <w:noWrap/>
            <w:vAlign w:val="center"/>
            <w:hideMark/>
          </w:tcPr>
          <w:p w14:paraId="30838922" w14:textId="77777777" w:rsidR="00BC5219" w:rsidRPr="001D6D48" w:rsidRDefault="00BC5219" w:rsidP="00E83802">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4130B3DB"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 xml:space="preserve">76,367 </w:t>
            </w:r>
          </w:p>
        </w:tc>
        <w:tc>
          <w:tcPr>
            <w:tcW w:w="54" w:type="dxa"/>
            <w:tcBorders>
              <w:top w:val="nil"/>
              <w:left w:val="nil"/>
              <w:bottom w:val="nil"/>
              <w:right w:val="nil"/>
            </w:tcBorders>
            <w:shd w:val="clear" w:color="auto" w:fill="auto"/>
            <w:noWrap/>
            <w:vAlign w:val="center"/>
            <w:hideMark/>
          </w:tcPr>
          <w:p w14:paraId="0470BA3B" w14:textId="77777777" w:rsidR="00BC5219" w:rsidRPr="001D6D48" w:rsidRDefault="00BC5219" w:rsidP="00E83802">
            <w:pPr>
              <w:jc w:val="right"/>
              <w:rPr>
                <w:rFonts w:ascii="Meta Pro" w:eastAsia="Times New Roman" w:hAnsi="Meta Pro"/>
                <w:szCs w:val="18"/>
                <w:lang w:eastAsia="en-AU"/>
              </w:rPr>
            </w:pPr>
          </w:p>
        </w:tc>
        <w:tc>
          <w:tcPr>
            <w:tcW w:w="1333" w:type="dxa"/>
            <w:tcBorders>
              <w:top w:val="nil"/>
              <w:left w:val="nil"/>
              <w:bottom w:val="nil"/>
              <w:right w:val="nil"/>
            </w:tcBorders>
            <w:shd w:val="clear" w:color="auto" w:fill="auto"/>
            <w:noWrap/>
            <w:vAlign w:val="center"/>
            <w:hideMark/>
          </w:tcPr>
          <w:p w14:paraId="73A5272C" w14:textId="77777777" w:rsidR="00BC5219" w:rsidRPr="001D6D48" w:rsidRDefault="00BC5219" w:rsidP="00E83802">
            <w:pPr>
              <w:jc w:val="right"/>
              <w:rPr>
                <w:rFonts w:ascii="Meta Pro" w:eastAsia="Times New Roman" w:hAnsi="Meta Pro"/>
                <w:b/>
                <w:bCs/>
                <w:szCs w:val="18"/>
                <w:lang w:eastAsia="en-AU"/>
              </w:rPr>
            </w:pPr>
            <w:r w:rsidRPr="001D6D48">
              <w:rPr>
                <w:rFonts w:ascii="Meta Pro" w:eastAsia="Times New Roman" w:hAnsi="Meta Pro"/>
                <w:b/>
                <w:bCs/>
                <w:szCs w:val="18"/>
                <w:lang w:eastAsia="en-AU"/>
              </w:rPr>
              <w:t xml:space="preserve">737,358 </w:t>
            </w:r>
          </w:p>
        </w:tc>
      </w:tr>
      <w:tr w:rsidR="00BC5219" w:rsidRPr="001D6D48" w14:paraId="04501993" w14:textId="77777777" w:rsidTr="00E83802">
        <w:trPr>
          <w:trHeight w:val="23"/>
        </w:trPr>
        <w:tc>
          <w:tcPr>
            <w:tcW w:w="5840" w:type="dxa"/>
            <w:tcBorders>
              <w:top w:val="nil"/>
              <w:left w:val="nil"/>
              <w:bottom w:val="nil"/>
              <w:right w:val="nil"/>
            </w:tcBorders>
            <w:shd w:val="clear" w:color="auto" w:fill="auto"/>
            <w:vAlign w:val="center"/>
            <w:hideMark/>
          </w:tcPr>
          <w:p w14:paraId="2B55EFEA" w14:textId="77777777" w:rsidR="00BC5219" w:rsidRPr="001D6D48" w:rsidRDefault="00BC5219" w:rsidP="00E83802">
            <w:pPr>
              <w:rPr>
                <w:rFonts w:ascii="Meta Pro" w:eastAsia="Times New Roman" w:hAnsi="Meta Pro"/>
                <w:szCs w:val="18"/>
                <w:lang w:eastAsia="en-AU"/>
              </w:rPr>
            </w:pPr>
            <w:r w:rsidRPr="001D6D48">
              <w:rPr>
                <w:rFonts w:ascii="Meta Pro" w:eastAsia="Times New Roman" w:hAnsi="Meta Pro"/>
                <w:szCs w:val="18"/>
                <w:lang w:eastAsia="en-AU"/>
              </w:rPr>
              <w:t>Unearned revenue</w:t>
            </w:r>
          </w:p>
        </w:tc>
        <w:tc>
          <w:tcPr>
            <w:tcW w:w="1242" w:type="dxa"/>
            <w:tcBorders>
              <w:top w:val="nil"/>
              <w:left w:val="nil"/>
              <w:bottom w:val="nil"/>
              <w:right w:val="nil"/>
            </w:tcBorders>
            <w:shd w:val="clear" w:color="auto" w:fill="auto"/>
            <w:noWrap/>
            <w:vAlign w:val="center"/>
            <w:hideMark/>
          </w:tcPr>
          <w:p w14:paraId="1AE19FCE"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 xml:space="preserve">- </w:t>
            </w:r>
          </w:p>
        </w:tc>
        <w:tc>
          <w:tcPr>
            <w:tcW w:w="55" w:type="dxa"/>
            <w:tcBorders>
              <w:top w:val="nil"/>
              <w:left w:val="nil"/>
              <w:bottom w:val="nil"/>
              <w:right w:val="nil"/>
            </w:tcBorders>
            <w:shd w:val="clear" w:color="auto" w:fill="auto"/>
            <w:noWrap/>
            <w:vAlign w:val="center"/>
            <w:hideMark/>
          </w:tcPr>
          <w:p w14:paraId="5CBC535D" w14:textId="77777777" w:rsidR="00BC5219" w:rsidRPr="001D6D48" w:rsidRDefault="00BC5219" w:rsidP="00E83802">
            <w:pPr>
              <w:jc w:val="right"/>
              <w:rPr>
                <w:rFonts w:ascii="Meta Pro" w:eastAsia="Times New Roman" w:hAnsi="Meta Pro"/>
                <w:szCs w:val="18"/>
                <w:lang w:eastAsia="en-AU"/>
              </w:rPr>
            </w:pPr>
          </w:p>
        </w:tc>
        <w:tc>
          <w:tcPr>
            <w:tcW w:w="1375" w:type="dxa"/>
            <w:tcBorders>
              <w:top w:val="nil"/>
              <w:left w:val="nil"/>
              <w:bottom w:val="nil"/>
              <w:right w:val="nil"/>
            </w:tcBorders>
            <w:shd w:val="clear" w:color="auto" w:fill="auto"/>
            <w:noWrap/>
            <w:vAlign w:val="center"/>
            <w:hideMark/>
          </w:tcPr>
          <w:p w14:paraId="3FD6F319"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 xml:space="preserve">- </w:t>
            </w:r>
          </w:p>
        </w:tc>
        <w:tc>
          <w:tcPr>
            <w:tcW w:w="54" w:type="dxa"/>
            <w:tcBorders>
              <w:top w:val="nil"/>
              <w:left w:val="nil"/>
              <w:bottom w:val="nil"/>
              <w:right w:val="nil"/>
            </w:tcBorders>
            <w:shd w:val="clear" w:color="auto" w:fill="auto"/>
            <w:noWrap/>
            <w:vAlign w:val="center"/>
            <w:hideMark/>
          </w:tcPr>
          <w:p w14:paraId="3438D788" w14:textId="77777777" w:rsidR="00BC5219" w:rsidRPr="001D6D48" w:rsidRDefault="00BC5219" w:rsidP="00E83802">
            <w:pPr>
              <w:jc w:val="right"/>
              <w:rPr>
                <w:rFonts w:ascii="Meta Pro" w:eastAsia="Times New Roman" w:hAnsi="Meta Pro"/>
                <w:szCs w:val="18"/>
                <w:lang w:eastAsia="en-AU"/>
              </w:rPr>
            </w:pPr>
          </w:p>
        </w:tc>
        <w:tc>
          <w:tcPr>
            <w:tcW w:w="1309" w:type="dxa"/>
            <w:tcBorders>
              <w:top w:val="nil"/>
              <w:left w:val="nil"/>
              <w:bottom w:val="nil"/>
              <w:right w:val="nil"/>
            </w:tcBorders>
            <w:shd w:val="clear" w:color="auto" w:fill="auto"/>
            <w:noWrap/>
            <w:vAlign w:val="center"/>
            <w:hideMark/>
          </w:tcPr>
          <w:p w14:paraId="03B140E5"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 xml:space="preserve">4,111,070 </w:t>
            </w:r>
          </w:p>
        </w:tc>
        <w:tc>
          <w:tcPr>
            <w:tcW w:w="54" w:type="dxa"/>
            <w:tcBorders>
              <w:top w:val="nil"/>
              <w:left w:val="nil"/>
              <w:bottom w:val="nil"/>
              <w:right w:val="nil"/>
            </w:tcBorders>
            <w:shd w:val="clear" w:color="auto" w:fill="auto"/>
            <w:noWrap/>
            <w:vAlign w:val="center"/>
            <w:hideMark/>
          </w:tcPr>
          <w:p w14:paraId="4213456B" w14:textId="77777777" w:rsidR="00BC5219" w:rsidRPr="001D6D48" w:rsidRDefault="00BC5219" w:rsidP="00E83802">
            <w:pPr>
              <w:jc w:val="right"/>
              <w:rPr>
                <w:rFonts w:ascii="Meta Pro" w:eastAsia="Times New Roman" w:hAnsi="Meta Pro"/>
                <w:szCs w:val="18"/>
                <w:lang w:eastAsia="en-AU"/>
              </w:rPr>
            </w:pPr>
          </w:p>
        </w:tc>
        <w:tc>
          <w:tcPr>
            <w:tcW w:w="1291" w:type="dxa"/>
            <w:tcBorders>
              <w:top w:val="nil"/>
              <w:left w:val="nil"/>
              <w:bottom w:val="nil"/>
              <w:right w:val="nil"/>
            </w:tcBorders>
            <w:shd w:val="clear" w:color="auto" w:fill="auto"/>
            <w:noWrap/>
            <w:vAlign w:val="center"/>
            <w:hideMark/>
          </w:tcPr>
          <w:p w14:paraId="785AE47F"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 xml:space="preserve">1,737,302 </w:t>
            </w:r>
          </w:p>
        </w:tc>
        <w:tc>
          <w:tcPr>
            <w:tcW w:w="54" w:type="dxa"/>
            <w:tcBorders>
              <w:top w:val="nil"/>
              <w:left w:val="nil"/>
              <w:bottom w:val="nil"/>
              <w:right w:val="nil"/>
            </w:tcBorders>
            <w:shd w:val="clear" w:color="auto" w:fill="auto"/>
            <w:noWrap/>
            <w:vAlign w:val="center"/>
            <w:hideMark/>
          </w:tcPr>
          <w:p w14:paraId="51FCD90B" w14:textId="77777777" w:rsidR="00BC5219" w:rsidRPr="001D6D48" w:rsidRDefault="00BC5219" w:rsidP="00E83802">
            <w:pPr>
              <w:jc w:val="right"/>
              <w:rPr>
                <w:rFonts w:ascii="Meta Pro" w:eastAsia="Times New Roman" w:hAnsi="Meta Pro"/>
                <w:szCs w:val="18"/>
                <w:lang w:eastAsia="en-AU"/>
              </w:rPr>
            </w:pPr>
          </w:p>
        </w:tc>
        <w:tc>
          <w:tcPr>
            <w:tcW w:w="1270" w:type="dxa"/>
            <w:tcBorders>
              <w:top w:val="nil"/>
              <w:left w:val="nil"/>
              <w:bottom w:val="nil"/>
              <w:right w:val="nil"/>
            </w:tcBorders>
            <w:shd w:val="clear" w:color="auto" w:fill="auto"/>
            <w:noWrap/>
            <w:vAlign w:val="center"/>
            <w:hideMark/>
          </w:tcPr>
          <w:p w14:paraId="6C1F4D0A"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 xml:space="preserve">1,370,952 </w:t>
            </w:r>
          </w:p>
        </w:tc>
        <w:tc>
          <w:tcPr>
            <w:tcW w:w="54" w:type="dxa"/>
            <w:tcBorders>
              <w:top w:val="nil"/>
              <w:left w:val="nil"/>
              <w:bottom w:val="nil"/>
              <w:right w:val="nil"/>
            </w:tcBorders>
            <w:shd w:val="clear" w:color="auto" w:fill="auto"/>
            <w:noWrap/>
            <w:vAlign w:val="center"/>
            <w:hideMark/>
          </w:tcPr>
          <w:p w14:paraId="07DB74DE" w14:textId="77777777" w:rsidR="00BC5219" w:rsidRPr="001D6D48" w:rsidRDefault="00BC5219" w:rsidP="00E83802">
            <w:pPr>
              <w:jc w:val="right"/>
              <w:rPr>
                <w:rFonts w:ascii="Meta Pro" w:eastAsia="Times New Roman" w:hAnsi="Meta Pro"/>
                <w:szCs w:val="18"/>
                <w:lang w:eastAsia="en-AU"/>
              </w:rPr>
            </w:pPr>
          </w:p>
        </w:tc>
        <w:tc>
          <w:tcPr>
            <w:tcW w:w="1126" w:type="dxa"/>
            <w:gridSpan w:val="2"/>
            <w:tcBorders>
              <w:top w:val="nil"/>
              <w:left w:val="nil"/>
              <w:bottom w:val="nil"/>
              <w:right w:val="nil"/>
            </w:tcBorders>
            <w:shd w:val="clear" w:color="auto" w:fill="auto"/>
            <w:noWrap/>
            <w:vAlign w:val="center"/>
            <w:hideMark/>
          </w:tcPr>
          <w:p w14:paraId="091F226C"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 xml:space="preserve">41,451 </w:t>
            </w:r>
          </w:p>
        </w:tc>
        <w:tc>
          <w:tcPr>
            <w:tcW w:w="54" w:type="dxa"/>
            <w:tcBorders>
              <w:top w:val="nil"/>
              <w:left w:val="nil"/>
              <w:bottom w:val="nil"/>
              <w:right w:val="nil"/>
            </w:tcBorders>
            <w:shd w:val="clear" w:color="auto" w:fill="auto"/>
            <w:noWrap/>
            <w:vAlign w:val="center"/>
            <w:hideMark/>
          </w:tcPr>
          <w:p w14:paraId="0A783E70" w14:textId="77777777" w:rsidR="00BC5219" w:rsidRPr="001D6D48" w:rsidRDefault="00BC5219" w:rsidP="00E83802">
            <w:pPr>
              <w:jc w:val="right"/>
              <w:rPr>
                <w:rFonts w:ascii="Meta Pro" w:eastAsia="Times New Roman" w:hAnsi="Meta Pro"/>
                <w:szCs w:val="18"/>
                <w:lang w:eastAsia="en-AU"/>
              </w:rPr>
            </w:pPr>
          </w:p>
        </w:tc>
        <w:tc>
          <w:tcPr>
            <w:tcW w:w="1244" w:type="dxa"/>
            <w:tcBorders>
              <w:top w:val="nil"/>
              <w:left w:val="nil"/>
              <w:bottom w:val="nil"/>
              <w:right w:val="nil"/>
            </w:tcBorders>
            <w:shd w:val="clear" w:color="auto" w:fill="auto"/>
            <w:noWrap/>
            <w:vAlign w:val="center"/>
            <w:hideMark/>
          </w:tcPr>
          <w:p w14:paraId="420000D1"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 xml:space="preserve">126,719 </w:t>
            </w:r>
          </w:p>
        </w:tc>
        <w:tc>
          <w:tcPr>
            <w:tcW w:w="54" w:type="dxa"/>
            <w:tcBorders>
              <w:top w:val="nil"/>
              <w:left w:val="nil"/>
              <w:bottom w:val="nil"/>
              <w:right w:val="nil"/>
            </w:tcBorders>
            <w:shd w:val="clear" w:color="auto" w:fill="auto"/>
            <w:noWrap/>
            <w:vAlign w:val="center"/>
            <w:hideMark/>
          </w:tcPr>
          <w:p w14:paraId="152C1943" w14:textId="77777777" w:rsidR="00BC5219" w:rsidRPr="001D6D48" w:rsidRDefault="00BC5219" w:rsidP="00E83802">
            <w:pPr>
              <w:jc w:val="right"/>
              <w:rPr>
                <w:rFonts w:ascii="Meta Pro" w:eastAsia="Times New Roman" w:hAnsi="Meta Pro"/>
                <w:szCs w:val="18"/>
                <w:lang w:eastAsia="en-AU"/>
              </w:rPr>
            </w:pPr>
          </w:p>
        </w:tc>
        <w:tc>
          <w:tcPr>
            <w:tcW w:w="1216" w:type="dxa"/>
            <w:tcBorders>
              <w:top w:val="nil"/>
              <w:left w:val="nil"/>
              <w:bottom w:val="nil"/>
              <w:right w:val="nil"/>
            </w:tcBorders>
            <w:shd w:val="clear" w:color="auto" w:fill="auto"/>
            <w:noWrap/>
            <w:vAlign w:val="center"/>
            <w:hideMark/>
          </w:tcPr>
          <w:p w14:paraId="57D1CFD1" w14:textId="77777777" w:rsidR="00BC5219" w:rsidRPr="001D6D48" w:rsidRDefault="00BC5219" w:rsidP="00E83802">
            <w:pPr>
              <w:jc w:val="right"/>
              <w:rPr>
                <w:rFonts w:ascii="Meta Pro" w:eastAsia="Times New Roman" w:hAnsi="Meta Pro"/>
                <w:szCs w:val="18"/>
                <w:lang w:eastAsia="en-AU"/>
              </w:rPr>
            </w:pPr>
            <w:r w:rsidRPr="001D6D48">
              <w:rPr>
                <w:rFonts w:ascii="Meta Pro" w:eastAsia="Times New Roman" w:hAnsi="Meta Pro"/>
                <w:szCs w:val="18"/>
                <w:lang w:eastAsia="en-AU"/>
              </w:rPr>
              <w:t xml:space="preserve">- </w:t>
            </w:r>
          </w:p>
        </w:tc>
        <w:tc>
          <w:tcPr>
            <w:tcW w:w="54" w:type="dxa"/>
            <w:tcBorders>
              <w:top w:val="nil"/>
              <w:left w:val="nil"/>
              <w:bottom w:val="nil"/>
              <w:right w:val="nil"/>
            </w:tcBorders>
            <w:shd w:val="clear" w:color="auto" w:fill="auto"/>
            <w:noWrap/>
            <w:vAlign w:val="center"/>
            <w:hideMark/>
          </w:tcPr>
          <w:p w14:paraId="271E72C6" w14:textId="77777777" w:rsidR="00BC5219" w:rsidRPr="001D6D48" w:rsidRDefault="00BC5219" w:rsidP="00E83802">
            <w:pPr>
              <w:jc w:val="right"/>
              <w:rPr>
                <w:rFonts w:ascii="Meta Pro" w:eastAsia="Times New Roman" w:hAnsi="Meta Pro"/>
                <w:szCs w:val="18"/>
                <w:lang w:eastAsia="en-AU"/>
              </w:rPr>
            </w:pPr>
          </w:p>
        </w:tc>
        <w:tc>
          <w:tcPr>
            <w:tcW w:w="1333" w:type="dxa"/>
            <w:tcBorders>
              <w:top w:val="nil"/>
              <w:left w:val="nil"/>
              <w:bottom w:val="nil"/>
              <w:right w:val="nil"/>
            </w:tcBorders>
            <w:shd w:val="clear" w:color="auto" w:fill="auto"/>
            <w:noWrap/>
            <w:vAlign w:val="center"/>
            <w:hideMark/>
          </w:tcPr>
          <w:p w14:paraId="5625D458" w14:textId="77777777" w:rsidR="00BC5219" w:rsidRPr="001D6D48" w:rsidRDefault="00BC5219" w:rsidP="00E83802">
            <w:pPr>
              <w:jc w:val="right"/>
              <w:rPr>
                <w:rFonts w:ascii="Meta Pro" w:eastAsia="Times New Roman" w:hAnsi="Meta Pro"/>
                <w:b/>
                <w:bCs/>
                <w:szCs w:val="18"/>
                <w:lang w:eastAsia="en-AU"/>
              </w:rPr>
            </w:pPr>
            <w:r w:rsidRPr="001D6D48">
              <w:rPr>
                <w:rFonts w:ascii="Meta Pro" w:eastAsia="Times New Roman" w:hAnsi="Meta Pro"/>
                <w:b/>
                <w:bCs/>
                <w:szCs w:val="18"/>
                <w:lang w:eastAsia="en-AU"/>
              </w:rPr>
              <w:t xml:space="preserve">7,387,494 </w:t>
            </w:r>
          </w:p>
        </w:tc>
      </w:tr>
      <w:tr w:rsidR="00BC5219" w:rsidRPr="001D6D48" w14:paraId="119D124D" w14:textId="77777777" w:rsidTr="00E83802">
        <w:trPr>
          <w:trHeight w:val="23"/>
        </w:trPr>
        <w:tc>
          <w:tcPr>
            <w:tcW w:w="5840" w:type="dxa"/>
            <w:tcBorders>
              <w:top w:val="single" w:sz="4" w:space="0" w:color="auto"/>
              <w:left w:val="nil"/>
              <w:bottom w:val="double" w:sz="6" w:space="0" w:color="auto"/>
              <w:right w:val="nil"/>
            </w:tcBorders>
            <w:shd w:val="clear" w:color="auto" w:fill="auto"/>
            <w:noWrap/>
            <w:vAlign w:val="center"/>
            <w:hideMark/>
          </w:tcPr>
          <w:p w14:paraId="0FF1DB92" w14:textId="77777777" w:rsidR="00BC5219" w:rsidRPr="001D6D48" w:rsidRDefault="00BC5219" w:rsidP="00E83802">
            <w:pPr>
              <w:rPr>
                <w:rFonts w:ascii="Meta Pro" w:eastAsia="Times New Roman" w:hAnsi="Meta Pro"/>
                <w:b/>
                <w:bCs/>
                <w:szCs w:val="18"/>
                <w:lang w:eastAsia="en-AU"/>
              </w:rPr>
            </w:pPr>
            <w:r w:rsidRPr="001D6D48">
              <w:rPr>
                <w:rFonts w:ascii="Meta Pro" w:eastAsia="Times New Roman" w:hAnsi="Meta Pro"/>
                <w:b/>
                <w:bCs/>
                <w:szCs w:val="18"/>
                <w:lang w:eastAsia="en-AU"/>
              </w:rPr>
              <w:t>Total</w:t>
            </w:r>
          </w:p>
        </w:tc>
        <w:tc>
          <w:tcPr>
            <w:tcW w:w="1242" w:type="dxa"/>
            <w:tcBorders>
              <w:top w:val="single" w:sz="4" w:space="0" w:color="auto"/>
              <w:left w:val="nil"/>
              <w:bottom w:val="double" w:sz="6" w:space="0" w:color="auto"/>
              <w:right w:val="nil"/>
            </w:tcBorders>
            <w:shd w:val="clear" w:color="auto" w:fill="auto"/>
            <w:noWrap/>
            <w:vAlign w:val="center"/>
            <w:hideMark/>
          </w:tcPr>
          <w:p w14:paraId="4C81283C" w14:textId="77777777" w:rsidR="00BC5219" w:rsidRPr="001D6D48" w:rsidRDefault="00BC5219" w:rsidP="00E83802">
            <w:pPr>
              <w:jc w:val="right"/>
              <w:rPr>
                <w:rFonts w:ascii="Meta Pro" w:eastAsia="Times New Roman" w:hAnsi="Meta Pro"/>
                <w:b/>
                <w:bCs/>
                <w:szCs w:val="18"/>
                <w:lang w:eastAsia="en-AU"/>
              </w:rPr>
            </w:pPr>
            <w:r w:rsidRPr="001D6D48">
              <w:rPr>
                <w:rFonts w:ascii="Meta Pro" w:eastAsia="Times New Roman" w:hAnsi="Meta Pro"/>
                <w:b/>
                <w:bCs/>
                <w:szCs w:val="18"/>
                <w:lang w:eastAsia="en-AU"/>
              </w:rPr>
              <w:t xml:space="preserve">256,069 </w:t>
            </w:r>
          </w:p>
        </w:tc>
        <w:tc>
          <w:tcPr>
            <w:tcW w:w="55" w:type="dxa"/>
            <w:tcBorders>
              <w:top w:val="nil"/>
              <w:left w:val="nil"/>
              <w:bottom w:val="nil"/>
              <w:right w:val="nil"/>
            </w:tcBorders>
            <w:shd w:val="clear" w:color="auto" w:fill="auto"/>
            <w:noWrap/>
            <w:vAlign w:val="center"/>
            <w:hideMark/>
          </w:tcPr>
          <w:p w14:paraId="11F1687B" w14:textId="77777777" w:rsidR="00BC5219" w:rsidRPr="001D6D48" w:rsidRDefault="00BC5219" w:rsidP="00E83802">
            <w:pPr>
              <w:jc w:val="right"/>
              <w:rPr>
                <w:rFonts w:ascii="Meta Pro" w:eastAsia="Times New Roman" w:hAnsi="Meta Pro"/>
                <w:b/>
                <w:bCs/>
                <w:szCs w:val="18"/>
                <w:lang w:eastAsia="en-AU"/>
              </w:rPr>
            </w:pPr>
          </w:p>
        </w:tc>
        <w:tc>
          <w:tcPr>
            <w:tcW w:w="1375" w:type="dxa"/>
            <w:tcBorders>
              <w:top w:val="single" w:sz="4" w:space="0" w:color="auto"/>
              <w:left w:val="nil"/>
              <w:bottom w:val="double" w:sz="6" w:space="0" w:color="auto"/>
              <w:right w:val="nil"/>
            </w:tcBorders>
            <w:shd w:val="clear" w:color="auto" w:fill="auto"/>
            <w:noWrap/>
            <w:vAlign w:val="center"/>
            <w:hideMark/>
          </w:tcPr>
          <w:p w14:paraId="7541F2A0" w14:textId="77777777" w:rsidR="00BC5219" w:rsidRPr="001D6D48" w:rsidRDefault="00BC5219" w:rsidP="00E83802">
            <w:pPr>
              <w:jc w:val="right"/>
              <w:rPr>
                <w:rFonts w:ascii="Meta Pro" w:eastAsia="Times New Roman" w:hAnsi="Meta Pro"/>
                <w:b/>
                <w:bCs/>
                <w:szCs w:val="18"/>
                <w:lang w:eastAsia="en-AU"/>
              </w:rPr>
            </w:pPr>
            <w:r w:rsidRPr="001D6D48">
              <w:rPr>
                <w:rFonts w:ascii="Meta Pro" w:eastAsia="Times New Roman" w:hAnsi="Meta Pro"/>
                <w:b/>
                <w:bCs/>
                <w:szCs w:val="18"/>
                <w:lang w:eastAsia="en-AU"/>
              </w:rPr>
              <w:t xml:space="preserve">404,922 </w:t>
            </w:r>
          </w:p>
        </w:tc>
        <w:tc>
          <w:tcPr>
            <w:tcW w:w="54" w:type="dxa"/>
            <w:tcBorders>
              <w:top w:val="nil"/>
              <w:left w:val="nil"/>
              <w:bottom w:val="nil"/>
              <w:right w:val="nil"/>
            </w:tcBorders>
            <w:shd w:val="clear" w:color="auto" w:fill="auto"/>
            <w:noWrap/>
            <w:vAlign w:val="center"/>
            <w:hideMark/>
          </w:tcPr>
          <w:p w14:paraId="7E05C9F3" w14:textId="77777777" w:rsidR="00BC5219" w:rsidRPr="001D6D48" w:rsidRDefault="00BC5219" w:rsidP="00E83802">
            <w:pPr>
              <w:jc w:val="right"/>
              <w:rPr>
                <w:rFonts w:ascii="Meta Pro" w:eastAsia="Times New Roman" w:hAnsi="Meta Pro"/>
                <w:b/>
                <w:bCs/>
                <w:szCs w:val="18"/>
                <w:lang w:eastAsia="en-AU"/>
              </w:rPr>
            </w:pPr>
          </w:p>
        </w:tc>
        <w:tc>
          <w:tcPr>
            <w:tcW w:w="1309" w:type="dxa"/>
            <w:tcBorders>
              <w:top w:val="single" w:sz="4" w:space="0" w:color="auto"/>
              <w:left w:val="nil"/>
              <w:bottom w:val="double" w:sz="6" w:space="0" w:color="auto"/>
              <w:right w:val="nil"/>
            </w:tcBorders>
            <w:shd w:val="clear" w:color="auto" w:fill="auto"/>
            <w:noWrap/>
            <w:vAlign w:val="center"/>
            <w:hideMark/>
          </w:tcPr>
          <w:p w14:paraId="3F2169C9" w14:textId="77777777" w:rsidR="00BC5219" w:rsidRPr="001D6D48" w:rsidRDefault="00BC5219" w:rsidP="00E83802">
            <w:pPr>
              <w:jc w:val="right"/>
              <w:rPr>
                <w:rFonts w:ascii="Meta Pro" w:eastAsia="Times New Roman" w:hAnsi="Meta Pro"/>
                <w:b/>
                <w:bCs/>
                <w:szCs w:val="18"/>
                <w:lang w:eastAsia="en-AU"/>
              </w:rPr>
            </w:pPr>
            <w:r w:rsidRPr="001D6D48">
              <w:rPr>
                <w:rFonts w:ascii="Meta Pro" w:eastAsia="Times New Roman" w:hAnsi="Meta Pro"/>
                <w:b/>
                <w:bCs/>
                <w:szCs w:val="18"/>
                <w:lang w:eastAsia="en-AU"/>
              </w:rPr>
              <w:t xml:space="preserve">4,111,070 </w:t>
            </w:r>
          </w:p>
        </w:tc>
        <w:tc>
          <w:tcPr>
            <w:tcW w:w="54" w:type="dxa"/>
            <w:tcBorders>
              <w:top w:val="nil"/>
              <w:left w:val="nil"/>
              <w:bottom w:val="nil"/>
              <w:right w:val="nil"/>
            </w:tcBorders>
            <w:shd w:val="clear" w:color="auto" w:fill="auto"/>
            <w:noWrap/>
            <w:vAlign w:val="center"/>
            <w:hideMark/>
          </w:tcPr>
          <w:p w14:paraId="7FE41D41" w14:textId="77777777" w:rsidR="00BC5219" w:rsidRPr="001D6D48" w:rsidRDefault="00BC5219" w:rsidP="00E83802">
            <w:pPr>
              <w:jc w:val="right"/>
              <w:rPr>
                <w:rFonts w:ascii="Meta Pro" w:eastAsia="Times New Roman" w:hAnsi="Meta Pro"/>
                <w:b/>
                <w:bCs/>
                <w:szCs w:val="18"/>
                <w:lang w:eastAsia="en-AU"/>
              </w:rPr>
            </w:pPr>
          </w:p>
        </w:tc>
        <w:tc>
          <w:tcPr>
            <w:tcW w:w="1291" w:type="dxa"/>
            <w:tcBorders>
              <w:top w:val="single" w:sz="4" w:space="0" w:color="auto"/>
              <w:left w:val="nil"/>
              <w:bottom w:val="double" w:sz="6" w:space="0" w:color="auto"/>
              <w:right w:val="nil"/>
            </w:tcBorders>
            <w:shd w:val="clear" w:color="auto" w:fill="auto"/>
            <w:noWrap/>
            <w:vAlign w:val="center"/>
            <w:hideMark/>
          </w:tcPr>
          <w:p w14:paraId="6D4353A0" w14:textId="77777777" w:rsidR="00BC5219" w:rsidRPr="001D6D48" w:rsidRDefault="00BC5219" w:rsidP="00E83802">
            <w:pPr>
              <w:jc w:val="right"/>
              <w:rPr>
                <w:rFonts w:ascii="Meta Pro" w:eastAsia="Times New Roman" w:hAnsi="Meta Pro"/>
                <w:b/>
                <w:bCs/>
                <w:szCs w:val="18"/>
                <w:lang w:eastAsia="en-AU"/>
              </w:rPr>
            </w:pPr>
            <w:r w:rsidRPr="001D6D48">
              <w:rPr>
                <w:rFonts w:ascii="Meta Pro" w:eastAsia="Times New Roman" w:hAnsi="Meta Pro"/>
                <w:b/>
                <w:bCs/>
                <w:szCs w:val="18"/>
                <w:lang w:eastAsia="en-AU"/>
              </w:rPr>
              <w:t xml:space="preserve">1,737,302 </w:t>
            </w:r>
          </w:p>
        </w:tc>
        <w:tc>
          <w:tcPr>
            <w:tcW w:w="54" w:type="dxa"/>
            <w:tcBorders>
              <w:top w:val="nil"/>
              <w:left w:val="nil"/>
              <w:bottom w:val="nil"/>
              <w:right w:val="nil"/>
            </w:tcBorders>
            <w:shd w:val="clear" w:color="auto" w:fill="auto"/>
            <w:noWrap/>
            <w:vAlign w:val="center"/>
            <w:hideMark/>
          </w:tcPr>
          <w:p w14:paraId="4AEC1BA2" w14:textId="77777777" w:rsidR="00BC5219" w:rsidRPr="001D6D48" w:rsidRDefault="00BC5219" w:rsidP="00E83802">
            <w:pPr>
              <w:jc w:val="right"/>
              <w:rPr>
                <w:rFonts w:ascii="Meta Pro" w:eastAsia="Times New Roman" w:hAnsi="Meta Pro"/>
                <w:b/>
                <w:bCs/>
                <w:szCs w:val="18"/>
                <w:lang w:eastAsia="en-AU"/>
              </w:rPr>
            </w:pPr>
          </w:p>
        </w:tc>
        <w:tc>
          <w:tcPr>
            <w:tcW w:w="1270" w:type="dxa"/>
            <w:tcBorders>
              <w:top w:val="single" w:sz="4" w:space="0" w:color="auto"/>
              <w:left w:val="nil"/>
              <w:bottom w:val="double" w:sz="6" w:space="0" w:color="auto"/>
              <w:right w:val="nil"/>
            </w:tcBorders>
            <w:shd w:val="clear" w:color="auto" w:fill="auto"/>
            <w:noWrap/>
            <w:vAlign w:val="center"/>
            <w:hideMark/>
          </w:tcPr>
          <w:p w14:paraId="5EECEF17" w14:textId="77777777" w:rsidR="00BC5219" w:rsidRPr="001D6D48" w:rsidRDefault="00BC5219" w:rsidP="00E83802">
            <w:pPr>
              <w:jc w:val="right"/>
              <w:rPr>
                <w:rFonts w:ascii="Meta Pro" w:eastAsia="Times New Roman" w:hAnsi="Meta Pro"/>
                <w:b/>
                <w:bCs/>
                <w:szCs w:val="18"/>
                <w:lang w:eastAsia="en-AU"/>
              </w:rPr>
            </w:pPr>
            <w:r w:rsidRPr="001D6D48">
              <w:rPr>
                <w:rFonts w:ascii="Meta Pro" w:eastAsia="Times New Roman" w:hAnsi="Meta Pro"/>
                <w:b/>
                <w:bCs/>
                <w:szCs w:val="18"/>
                <w:lang w:eastAsia="en-AU"/>
              </w:rPr>
              <w:t xml:space="preserve">1,370,952 </w:t>
            </w:r>
          </w:p>
        </w:tc>
        <w:tc>
          <w:tcPr>
            <w:tcW w:w="54" w:type="dxa"/>
            <w:tcBorders>
              <w:top w:val="nil"/>
              <w:left w:val="nil"/>
              <w:bottom w:val="nil"/>
              <w:right w:val="nil"/>
            </w:tcBorders>
            <w:shd w:val="clear" w:color="auto" w:fill="auto"/>
            <w:noWrap/>
            <w:vAlign w:val="center"/>
            <w:hideMark/>
          </w:tcPr>
          <w:p w14:paraId="429D2C02" w14:textId="77777777" w:rsidR="00BC5219" w:rsidRPr="001D6D48" w:rsidRDefault="00BC5219" w:rsidP="00E83802">
            <w:pPr>
              <w:jc w:val="right"/>
              <w:rPr>
                <w:rFonts w:ascii="Meta Pro" w:eastAsia="Times New Roman" w:hAnsi="Meta Pro"/>
                <w:b/>
                <w:bCs/>
                <w:szCs w:val="18"/>
                <w:lang w:eastAsia="en-AU"/>
              </w:rPr>
            </w:pPr>
          </w:p>
        </w:tc>
        <w:tc>
          <w:tcPr>
            <w:tcW w:w="1126" w:type="dxa"/>
            <w:gridSpan w:val="2"/>
            <w:tcBorders>
              <w:top w:val="single" w:sz="4" w:space="0" w:color="auto"/>
              <w:left w:val="nil"/>
              <w:bottom w:val="double" w:sz="6" w:space="0" w:color="auto"/>
              <w:right w:val="nil"/>
            </w:tcBorders>
            <w:shd w:val="clear" w:color="auto" w:fill="auto"/>
            <w:noWrap/>
            <w:vAlign w:val="center"/>
            <w:hideMark/>
          </w:tcPr>
          <w:p w14:paraId="22AE1CB9" w14:textId="77777777" w:rsidR="00BC5219" w:rsidRPr="001D6D48" w:rsidRDefault="00BC5219" w:rsidP="00E83802">
            <w:pPr>
              <w:jc w:val="right"/>
              <w:rPr>
                <w:rFonts w:ascii="Meta Pro" w:eastAsia="Times New Roman" w:hAnsi="Meta Pro"/>
                <w:b/>
                <w:bCs/>
                <w:szCs w:val="18"/>
                <w:lang w:eastAsia="en-AU"/>
              </w:rPr>
            </w:pPr>
            <w:r w:rsidRPr="001D6D48">
              <w:rPr>
                <w:rFonts w:ascii="Meta Pro" w:eastAsia="Times New Roman" w:hAnsi="Meta Pro"/>
                <w:b/>
                <w:bCs/>
                <w:szCs w:val="18"/>
                <w:lang w:eastAsia="en-AU"/>
              </w:rPr>
              <w:t xml:space="preserve">41,451 </w:t>
            </w:r>
          </w:p>
        </w:tc>
        <w:tc>
          <w:tcPr>
            <w:tcW w:w="54" w:type="dxa"/>
            <w:tcBorders>
              <w:top w:val="nil"/>
              <w:left w:val="nil"/>
              <w:bottom w:val="nil"/>
              <w:right w:val="nil"/>
            </w:tcBorders>
            <w:shd w:val="clear" w:color="auto" w:fill="auto"/>
            <w:noWrap/>
            <w:vAlign w:val="center"/>
            <w:hideMark/>
          </w:tcPr>
          <w:p w14:paraId="0C90B070" w14:textId="77777777" w:rsidR="00BC5219" w:rsidRPr="001D6D48" w:rsidRDefault="00BC5219" w:rsidP="00E83802">
            <w:pPr>
              <w:jc w:val="right"/>
              <w:rPr>
                <w:rFonts w:ascii="Meta Pro" w:eastAsia="Times New Roman" w:hAnsi="Meta Pro"/>
                <w:b/>
                <w:bCs/>
                <w:szCs w:val="18"/>
                <w:lang w:eastAsia="en-AU"/>
              </w:rPr>
            </w:pPr>
          </w:p>
        </w:tc>
        <w:tc>
          <w:tcPr>
            <w:tcW w:w="1244" w:type="dxa"/>
            <w:tcBorders>
              <w:top w:val="single" w:sz="4" w:space="0" w:color="auto"/>
              <w:left w:val="nil"/>
              <w:bottom w:val="double" w:sz="6" w:space="0" w:color="auto"/>
              <w:right w:val="nil"/>
            </w:tcBorders>
            <w:shd w:val="clear" w:color="auto" w:fill="auto"/>
            <w:noWrap/>
            <w:vAlign w:val="center"/>
            <w:hideMark/>
          </w:tcPr>
          <w:p w14:paraId="25CD7A40" w14:textId="77777777" w:rsidR="00BC5219" w:rsidRPr="001D6D48" w:rsidRDefault="00BC5219" w:rsidP="00E83802">
            <w:pPr>
              <w:jc w:val="right"/>
              <w:rPr>
                <w:rFonts w:ascii="Meta Pro" w:eastAsia="Times New Roman" w:hAnsi="Meta Pro"/>
                <w:b/>
                <w:bCs/>
                <w:szCs w:val="18"/>
                <w:lang w:eastAsia="en-AU"/>
              </w:rPr>
            </w:pPr>
            <w:r w:rsidRPr="001D6D48">
              <w:rPr>
                <w:rFonts w:ascii="Meta Pro" w:eastAsia="Times New Roman" w:hAnsi="Meta Pro"/>
                <w:b/>
                <w:bCs/>
                <w:szCs w:val="18"/>
                <w:lang w:eastAsia="en-AU"/>
              </w:rPr>
              <w:t xml:space="preserve">126,719 </w:t>
            </w:r>
          </w:p>
        </w:tc>
        <w:tc>
          <w:tcPr>
            <w:tcW w:w="54" w:type="dxa"/>
            <w:tcBorders>
              <w:top w:val="nil"/>
              <w:left w:val="nil"/>
              <w:bottom w:val="nil"/>
              <w:right w:val="nil"/>
            </w:tcBorders>
            <w:shd w:val="clear" w:color="auto" w:fill="auto"/>
            <w:noWrap/>
            <w:vAlign w:val="center"/>
            <w:hideMark/>
          </w:tcPr>
          <w:p w14:paraId="56D7C09E" w14:textId="77777777" w:rsidR="00BC5219" w:rsidRPr="001D6D48" w:rsidRDefault="00BC5219" w:rsidP="00E83802">
            <w:pPr>
              <w:jc w:val="right"/>
              <w:rPr>
                <w:rFonts w:ascii="Meta Pro" w:eastAsia="Times New Roman" w:hAnsi="Meta Pro"/>
                <w:b/>
                <w:bCs/>
                <w:szCs w:val="18"/>
                <w:lang w:eastAsia="en-AU"/>
              </w:rPr>
            </w:pPr>
          </w:p>
        </w:tc>
        <w:tc>
          <w:tcPr>
            <w:tcW w:w="1216" w:type="dxa"/>
            <w:tcBorders>
              <w:top w:val="single" w:sz="4" w:space="0" w:color="auto"/>
              <w:left w:val="nil"/>
              <w:bottom w:val="double" w:sz="6" w:space="0" w:color="auto"/>
              <w:right w:val="nil"/>
            </w:tcBorders>
            <w:shd w:val="clear" w:color="auto" w:fill="auto"/>
            <w:noWrap/>
            <w:vAlign w:val="center"/>
            <w:hideMark/>
          </w:tcPr>
          <w:p w14:paraId="2E053F4C" w14:textId="77777777" w:rsidR="00BC5219" w:rsidRPr="001D6D48" w:rsidRDefault="00BC5219" w:rsidP="00E83802">
            <w:pPr>
              <w:jc w:val="right"/>
              <w:rPr>
                <w:rFonts w:ascii="Meta Pro" w:eastAsia="Times New Roman" w:hAnsi="Meta Pro"/>
                <w:b/>
                <w:bCs/>
                <w:szCs w:val="18"/>
                <w:lang w:eastAsia="en-AU"/>
              </w:rPr>
            </w:pPr>
            <w:r w:rsidRPr="001D6D48">
              <w:rPr>
                <w:rFonts w:ascii="Meta Pro" w:eastAsia="Times New Roman" w:hAnsi="Meta Pro"/>
                <w:b/>
                <w:bCs/>
                <w:szCs w:val="18"/>
                <w:lang w:eastAsia="en-AU"/>
              </w:rPr>
              <w:t xml:space="preserve">76,367 </w:t>
            </w:r>
          </w:p>
        </w:tc>
        <w:tc>
          <w:tcPr>
            <w:tcW w:w="54" w:type="dxa"/>
            <w:tcBorders>
              <w:top w:val="nil"/>
              <w:left w:val="nil"/>
              <w:bottom w:val="nil"/>
              <w:right w:val="nil"/>
            </w:tcBorders>
            <w:shd w:val="clear" w:color="auto" w:fill="auto"/>
            <w:noWrap/>
            <w:vAlign w:val="center"/>
            <w:hideMark/>
          </w:tcPr>
          <w:p w14:paraId="1A5A0E8B" w14:textId="77777777" w:rsidR="00BC5219" w:rsidRPr="001D6D48" w:rsidRDefault="00BC5219" w:rsidP="00E83802">
            <w:pPr>
              <w:jc w:val="right"/>
              <w:rPr>
                <w:rFonts w:ascii="Meta Pro" w:eastAsia="Times New Roman" w:hAnsi="Meta Pro"/>
                <w:b/>
                <w:bCs/>
                <w:szCs w:val="18"/>
                <w:lang w:eastAsia="en-AU"/>
              </w:rPr>
            </w:pPr>
          </w:p>
        </w:tc>
        <w:tc>
          <w:tcPr>
            <w:tcW w:w="1333" w:type="dxa"/>
            <w:tcBorders>
              <w:top w:val="single" w:sz="4" w:space="0" w:color="auto"/>
              <w:left w:val="nil"/>
              <w:bottom w:val="double" w:sz="6" w:space="0" w:color="auto"/>
              <w:right w:val="nil"/>
            </w:tcBorders>
            <w:shd w:val="clear" w:color="auto" w:fill="auto"/>
            <w:noWrap/>
            <w:vAlign w:val="center"/>
            <w:hideMark/>
          </w:tcPr>
          <w:p w14:paraId="0BECAC5D" w14:textId="77777777" w:rsidR="00BC5219" w:rsidRPr="001D6D48" w:rsidRDefault="00BC5219" w:rsidP="00E83802">
            <w:pPr>
              <w:jc w:val="right"/>
              <w:rPr>
                <w:rFonts w:ascii="Meta Pro" w:eastAsia="Times New Roman" w:hAnsi="Meta Pro"/>
                <w:b/>
                <w:bCs/>
                <w:szCs w:val="18"/>
                <w:lang w:eastAsia="en-AU"/>
              </w:rPr>
            </w:pPr>
            <w:r w:rsidRPr="001D6D48">
              <w:rPr>
                <w:rFonts w:ascii="Meta Pro" w:eastAsia="Times New Roman" w:hAnsi="Meta Pro"/>
                <w:b/>
                <w:bCs/>
                <w:szCs w:val="18"/>
                <w:lang w:eastAsia="en-AU"/>
              </w:rPr>
              <w:t xml:space="preserve">8,124,852 </w:t>
            </w:r>
          </w:p>
        </w:tc>
      </w:tr>
    </w:tbl>
    <w:p w14:paraId="51D3D562" w14:textId="77777777" w:rsidR="00BC5219" w:rsidRPr="008A2B8F" w:rsidRDefault="00BC5219" w:rsidP="00BC5219">
      <w:pPr>
        <w:spacing w:before="120"/>
        <w:rPr>
          <w:rFonts w:ascii="Meta Pro" w:eastAsia="Times New Roman" w:hAnsi="Meta Pro"/>
          <w:sz w:val="16"/>
          <w:szCs w:val="16"/>
          <w:lang w:eastAsia="en-AU"/>
        </w:rPr>
      </w:pPr>
      <w:r w:rsidRPr="008A2B8F">
        <w:rPr>
          <w:rFonts w:ascii="Meta Pro" w:eastAsia="Times New Roman" w:hAnsi="Meta Pro"/>
          <w:sz w:val="16"/>
          <w:szCs w:val="16"/>
          <w:lang w:eastAsia="en-AU"/>
        </w:rPr>
        <w:t>* Work in progress relates to the Gold Coast Light Rail Stage 3 assets.</w:t>
      </w:r>
    </w:p>
    <w:p w14:paraId="46AE0065" w14:textId="77777777" w:rsidR="00BC5219" w:rsidRPr="008A2B8F" w:rsidRDefault="00BC5219" w:rsidP="00BC5219">
      <w:pPr>
        <w:spacing w:before="60"/>
        <w:rPr>
          <w:rFonts w:ascii="Meta Pro" w:eastAsia="Times New Roman" w:hAnsi="Meta Pro"/>
          <w:sz w:val="16"/>
          <w:szCs w:val="16"/>
          <w:lang w:eastAsia="en-AU"/>
        </w:rPr>
      </w:pPr>
      <w:r w:rsidRPr="008A2B8F">
        <w:rPr>
          <w:rFonts w:ascii="Meta Pro" w:eastAsia="Times New Roman" w:hAnsi="Meta Pro"/>
          <w:sz w:val="16"/>
          <w:szCs w:val="16"/>
          <w:lang w:eastAsia="en-AU"/>
        </w:rPr>
        <w:t>** The department has assessed market sensitivity and fair value movements from the valuation date to 30 June 2022 for its significant assets. Accordingly an additional adjustment of $329.530m has been made to the</w:t>
      </w:r>
    </w:p>
    <w:p w14:paraId="1C51FCD5" w14:textId="77777777" w:rsidR="00BC5219" w:rsidRPr="008A2B8F" w:rsidRDefault="00BC5219" w:rsidP="00BC5219">
      <w:pPr>
        <w:rPr>
          <w:rFonts w:ascii="Meta Pro" w:hAnsi="Meta Pro"/>
          <w:b/>
          <w:bCs/>
          <w:sz w:val="24"/>
          <w:szCs w:val="24"/>
          <w:lang w:eastAsia="en-AU"/>
        </w:rPr>
        <w:sectPr w:rsidR="00BC5219" w:rsidRPr="008A2B8F" w:rsidSect="00544FCC">
          <w:headerReference w:type="default" r:id="rId115"/>
          <w:footerReference w:type="default" r:id="rId116"/>
          <w:pgSz w:w="16838" w:h="11906" w:orient="landscape"/>
          <w:pgMar w:top="851" w:right="851" w:bottom="851" w:left="567" w:header="454" w:footer="454" w:gutter="0"/>
          <w:pgNumType w:start="28"/>
          <w:cols w:space="708"/>
          <w:docGrid w:linePitch="360"/>
        </w:sectPr>
      </w:pPr>
      <w:r w:rsidRPr="008A2B8F">
        <w:rPr>
          <w:rFonts w:ascii="Meta Pro" w:eastAsia="Times New Roman" w:hAnsi="Meta Pro"/>
          <w:sz w:val="16"/>
          <w:szCs w:val="16"/>
          <w:lang w:eastAsia="en-AU"/>
        </w:rPr>
        <w:t xml:space="preserve">     carrying amount of the Toowoomba Bypass, Airport</w:t>
      </w:r>
      <w:r>
        <w:rPr>
          <w:rFonts w:ascii="Meta Pro" w:eastAsia="Times New Roman" w:hAnsi="Meta Pro"/>
          <w:sz w:val="16"/>
          <w:szCs w:val="16"/>
          <w:lang w:eastAsia="en-AU"/>
        </w:rPr>
        <w:t>l</w:t>
      </w:r>
      <w:r w:rsidRPr="008A2B8F">
        <w:rPr>
          <w:rFonts w:ascii="Meta Pro" w:eastAsia="Times New Roman" w:hAnsi="Meta Pro"/>
          <w:sz w:val="16"/>
          <w:szCs w:val="16"/>
          <w:lang w:eastAsia="en-AU"/>
        </w:rPr>
        <w:t>ink, Gateway and Logan Motorway assets since the valuation, as a result of significant increases in the market rates of inputs such as raw materials, plant and labour.</w:t>
      </w:r>
    </w:p>
    <w:p w14:paraId="105D3E90"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r w:rsidRPr="008A2B8F">
        <w:rPr>
          <w:rFonts w:ascii="Meta Pro" w:eastAsia="Times New Roman" w:hAnsi="Meta Pro"/>
          <w:i/>
          <w:iCs/>
          <w:color w:val="000000" w:themeColor="text1"/>
          <w:lang w:eastAsia="en-AU"/>
        </w:rPr>
        <w:lastRenderedPageBreak/>
        <w:t>Department of Transport and Main Roads</w:t>
      </w:r>
    </w:p>
    <w:p w14:paraId="6435E337"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Notes to the financial statements 2022–23 (continued)</w:t>
      </w:r>
    </w:p>
    <w:p w14:paraId="025AAB12" w14:textId="77777777" w:rsidR="00BC5219" w:rsidRPr="008A2B8F" w:rsidRDefault="00BC5219" w:rsidP="00BC5219">
      <w:pPr>
        <w:spacing w:after="120" w:line="259" w:lineRule="auto"/>
        <w:rPr>
          <w:rFonts w:ascii="Meta Pro" w:hAnsi="Meta Pro"/>
          <w:b/>
          <w:bCs/>
          <w:lang w:eastAsia="en-AU"/>
        </w:rPr>
      </w:pPr>
      <w:r w:rsidRPr="008A2B8F">
        <w:rPr>
          <w:rFonts w:ascii="Meta Pro" w:hAnsi="Meta Pro"/>
          <w:b/>
          <w:bCs/>
          <w:lang w:eastAsia="en-AU"/>
        </w:rPr>
        <w:t>16      PUBLIC PRIVATE PARTNERSHIPS (continued)</w:t>
      </w:r>
    </w:p>
    <w:p w14:paraId="6B618F34" w14:textId="77777777" w:rsidR="00BC5219" w:rsidRPr="008A2B8F" w:rsidRDefault="00BC5219" w:rsidP="00BC5219">
      <w:pPr>
        <w:spacing w:after="120" w:line="259" w:lineRule="auto"/>
        <w:rPr>
          <w:rFonts w:ascii="Meta Pro" w:hAnsi="Meta Pro"/>
          <w:b/>
          <w:bCs/>
          <w:szCs w:val="18"/>
          <w:lang w:eastAsia="en-AU"/>
        </w:rPr>
      </w:pPr>
      <w:r w:rsidRPr="008A2B8F">
        <w:rPr>
          <w:rFonts w:ascii="Meta Pro" w:hAnsi="Meta Pro"/>
          <w:b/>
          <w:bCs/>
          <w:szCs w:val="18"/>
          <w:lang w:eastAsia="en-AU"/>
        </w:rPr>
        <w:t>SERVICE CONCESSION ARRANGEMENTS UNDER AASB 1059 (continued)</w:t>
      </w:r>
    </w:p>
    <w:p w14:paraId="18BFAA8B" w14:textId="77777777" w:rsidR="00BC5219" w:rsidRPr="008A2B8F" w:rsidRDefault="00BC5219" w:rsidP="00BC5219">
      <w:pPr>
        <w:pStyle w:val="ACPHeading"/>
      </w:pPr>
      <w:r w:rsidRPr="008A2B8F">
        <w:t>Accounting policy</w:t>
      </w:r>
    </w:p>
    <w:p w14:paraId="0BFE493A" w14:textId="77777777" w:rsidR="00BC5219" w:rsidRPr="008A2B8F" w:rsidRDefault="00BC5219" w:rsidP="00BC5219">
      <w:pPr>
        <w:pStyle w:val="ACPPara"/>
      </w:pPr>
      <w:r w:rsidRPr="008A2B8F">
        <w:t>Service concession assets are measured at current replacement cost on initial recognition or reclassification and are subsequently measured at fair value determined using current replacement cost.</w:t>
      </w:r>
    </w:p>
    <w:p w14:paraId="354BE86C" w14:textId="77777777" w:rsidR="00BC5219" w:rsidRPr="008A2B8F" w:rsidRDefault="00BC5219" w:rsidP="00BC5219">
      <w:pPr>
        <w:pStyle w:val="ACPPara"/>
      </w:pPr>
      <w:r w:rsidRPr="008A2B8F">
        <w:t xml:space="preserve">Assets under service concession arrangements were last revalued by suitably qualified and experienced departmental engineers and various external valuers during the 2020–21 financial year. Assets under service concession arrangements consist of major plant and equipment, plant and equipment, buildings and infrastructure asset classes. </w:t>
      </w:r>
    </w:p>
    <w:p w14:paraId="3C205379" w14:textId="77777777" w:rsidR="00BC5219" w:rsidRPr="008A2B8F" w:rsidRDefault="00BC5219" w:rsidP="00BC5219">
      <w:pPr>
        <w:pStyle w:val="ACPPara"/>
      </w:pPr>
      <w:r w:rsidRPr="008A2B8F">
        <w:t xml:space="preserve">During 2023 the fair values of assets for the Gold Coast Light Rail </w:t>
      </w:r>
      <w:r w:rsidRPr="008A2B8F">
        <w:rPr>
          <w:color w:val="000000" w:themeColor="text1"/>
        </w:rPr>
        <w:t xml:space="preserve">– </w:t>
      </w:r>
      <w:r w:rsidRPr="008A2B8F">
        <w:t>G:link, Toowoomba Bypass, Airportlink and Brisbane Airport Rail Link were remeasured using suitable indices. A full management valuation as at 31 March 2023 was completed by suitably qualified and experienced departmental engineers and staff for Gateway Motorway, Logan Motorway and Port Drive assets.</w:t>
      </w:r>
    </w:p>
    <w:p w14:paraId="3F2F1370" w14:textId="77777777" w:rsidR="00BC5219" w:rsidRPr="008A2B8F" w:rsidRDefault="00BC5219" w:rsidP="00BC5219">
      <w:pPr>
        <w:pStyle w:val="ACPPara"/>
      </w:pPr>
      <w:r w:rsidRPr="008A2B8F">
        <w:t>Major plant and equipment, plant and equipment, buildings and infrastructure asset measurement and valuation methodologies are disclosed in Note 15.</w:t>
      </w:r>
    </w:p>
    <w:p w14:paraId="0C09784C" w14:textId="77777777" w:rsidR="00BC5219" w:rsidRPr="008A2B8F" w:rsidRDefault="00BC5219" w:rsidP="00BC5219">
      <w:pPr>
        <w:pStyle w:val="ACPPara"/>
      </w:pPr>
      <w:r w:rsidRPr="008A2B8F">
        <w:t>The current replacement cost valuation of infrastructure assets undertaken by external valuers takes into consideration the cost of a similar standard asset providing the same functionality in the same location. The new asset is assumed to be constructed to current standards however with no additional functionality.</w:t>
      </w:r>
    </w:p>
    <w:p w14:paraId="6258AF75" w14:textId="77777777" w:rsidR="00BC5219" w:rsidRPr="008A2B8F" w:rsidRDefault="00BC5219" w:rsidP="00BC5219">
      <w:pPr>
        <w:pStyle w:val="ACPPara"/>
      </w:pPr>
      <w:r w:rsidRPr="008A2B8F">
        <w:t xml:space="preserve">In accordance with AASB 13 </w:t>
      </w:r>
      <w:r w:rsidRPr="008A2B8F">
        <w:rPr>
          <w:i/>
          <w:iCs/>
        </w:rPr>
        <w:t>Fair Value Measurement</w:t>
      </w:r>
      <w:r w:rsidRPr="008A2B8F">
        <w:t>, the department's service concession assets are categorised as level 3.</w:t>
      </w:r>
    </w:p>
    <w:p w14:paraId="7F501004" w14:textId="77777777" w:rsidR="00BC5219" w:rsidRPr="008A2B8F" w:rsidRDefault="00BC5219" w:rsidP="00BC5219">
      <w:pPr>
        <w:shd w:val="clear" w:color="auto" w:fill="EBEBEB"/>
        <w:jc w:val="both"/>
        <w:rPr>
          <w:rFonts w:ascii="Meta Pro" w:eastAsia="Times New Roman" w:hAnsi="Meta Pro"/>
          <w:color w:val="000000"/>
          <w:szCs w:val="18"/>
          <w:lang w:eastAsia="en-AU"/>
        </w:rPr>
      </w:pPr>
      <w:r w:rsidRPr="008A2B8F">
        <w:rPr>
          <w:rFonts w:ascii="Meta Pro" w:eastAsia="Times New Roman" w:hAnsi="Meta Pro"/>
          <w:color w:val="000000"/>
          <w:szCs w:val="18"/>
          <w:lang w:eastAsia="en-AU"/>
        </w:rPr>
        <w:t xml:space="preserve">Straight-line depreciation has been applied to all depreciable asset components and the following depreciation rates are applied in each arrangement: </w:t>
      </w:r>
    </w:p>
    <w:p w14:paraId="3D83549A" w14:textId="77777777" w:rsidR="00BC5219" w:rsidRPr="008A2B8F" w:rsidRDefault="00BC5219" w:rsidP="00BC5219">
      <w:pPr>
        <w:shd w:val="clear" w:color="auto" w:fill="EBEBEB"/>
        <w:spacing w:line="168" w:lineRule="auto"/>
        <w:jc w:val="both"/>
        <w:rPr>
          <w:rFonts w:ascii="Meta Pro" w:eastAsia="Times New Roman" w:hAnsi="Meta Pro"/>
          <w:szCs w:val="18"/>
          <w:lang w:eastAsia="en-AU"/>
        </w:rPr>
      </w:pPr>
    </w:p>
    <w:tbl>
      <w:tblPr>
        <w:tblW w:w="10196" w:type="dxa"/>
        <w:shd w:val="clear" w:color="auto" w:fill="EBEBEB"/>
        <w:tblCellMar>
          <w:left w:w="57" w:type="dxa"/>
        </w:tblCellMar>
        <w:tblLook w:val="04A0" w:firstRow="1" w:lastRow="0" w:firstColumn="1" w:lastColumn="0" w:noHBand="0" w:noVBand="1"/>
      </w:tblPr>
      <w:tblGrid>
        <w:gridCol w:w="3392"/>
        <w:gridCol w:w="4395"/>
        <w:gridCol w:w="2409"/>
      </w:tblGrid>
      <w:tr w:rsidR="00BC5219" w:rsidRPr="008A2B8F" w14:paraId="41322250" w14:textId="77777777" w:rsidTr="00E83802">
        <w:trPr>
          <w:cantSplit/>
          <w:trHeight w:val="23"/>
        </w:trPr>
        <w:tc>
          <w:tcPr>
            <w:tcW w:w="3392" w:type="dxa"/>
            <w:tcBorders>
              <w:top w:val="single" w:sz="8" w:space="0" w:color="auto"/>
              <w:left w:val="single" w:sz="8" w:space="0" w:color="auto"/>
              <w:bottom w:val="single" w:sz="8" w:space="0" w:color="auto"/>
              <w:right w:val="single" w:sz="8" w:space="0" w:color="000000"/>
            </w:tcBorders>
            <w:shd w:val="clear" w:color="auto" w:fill="EBEBEB"/>
            <w:noWrap/>
            <w:vAlign w:val="center"/>
            <w:hideMark/>
          </w:tcPr>
          <w:p w14:paraId="72516831" w14:textId="77777777" w:rsidR="00BC5219" w:rsidRPr="008A2B8F" w:rsidRDefault="00BC5219" w:rsidP="00E83802">
            <w:pPr>
              <w:shd w:val="clear" w:color="auto" w:fill="EBEBEB"/>
              <w:jc w:val="center"/>
              <w:rPr>
                <w:rFonts w:ascii="Meta Pro" w:eastAsia="Times New Roman" w:hAnsi="Meta Pro" w:cs="Calibri"/>
                <w:b/>
                <w:bCs/>
                <w:color w:val="000000"/>
                <w:szCs w:val="18"/>
                <w:lang w:eastAsia="en-AU"/>
              </w:rPr>
            </w:pPr>
            <w:r w:rsidRPr="008A2B8F">
              <w:rPr>
                <w:rFonts w:ascii="Meta Pro" w:eastAsia="Times New Roman" w:hAnsi="Meta Pro" w:cs="Calibri"/>
                <w:b/>
                <w:bCs/>
                <w:color w:val="000000"/>
                <w:szCs w:val="18"/>
                <w:lang w:eastAsia="en-AU"/>
              </w:rPr>
              <w:t>Component</w:t>
            </w:r>
          </w:p>
        </w:tc>
        <w:tc>
          <w:tcPr>
            <w:tcW w:w="4395" w:type="dxa"/>
            <w:tcBorders>
              <w:top w:val="single" w:sz="8" w:space="0" w:color="auto"/>
              <w:left w:val="nil"/>
              <w:bottom w:val="single" w:sz="8" w:space="0" w:color="auto"/>
              <w:right w:val="single" w:sz="8" w:space="0" w:color="000000"/>
            </w:tcBorders>
            <w:shd w:val="clear" w:color="auto" w:fill="EBEBEB"/>
            <w:noWrap/>
            <w:vAlign w:val="center"/>
            <w:hideMark/>
          </w:tcPr>
          <w:p w14:paraId="38170E3F" w14:textId="77777777" w:rsidR="00BC5219" w:rsidRPr="008A2B8F" w:rsidRDefault="00BC5219" w:rsidP="00E83802">
            <w:pPr>
              <w:shd w:val="clear" w:color="auto" w:fill="EBEBEB"/>
              <w:jc w:val="center"/>
              <w:rPr>
                <w:rFonts w:ascii="Meta Pro" w:eastAsia="Times New Roman" w:hAnsi="Meta Pro" w:cs="Calibri"/>
                <w:b/>
                <w:bCs/>
                <w:color w:val="000000"/>
                <w:szCs w:val="18"/>
                <w:lang w:eastAsia="en-AU"/>
              </w:rPr>
            </w:pPr>
            <w:r w:rsidRPr="008A2B8F">
              <w:rPr>
                <w:rFonts w:ascii="Meta Pro" w:eastAsia="Times New Roman" w:hAnsi="Meta Pro" w:cs="Calibri"/>
                <w:b/>
                <w:bCs/>
                <w:color w:val="000000"/>
                <w:szCs w:val="18"/>
                <w:lang w:eastAsia="en-AU"/>
              </w:rPr>
              <w:t>Service concession arrangement</w:t>
            </w:r>
          </w:p>
        </w:tc>
        <w:tc>
          <w:tcPr>
            <w:tcW w:w="2409" w:type="dxa"/>
            <w:tcBorders>
              <w:top w:val="single" w:sz="8" w:space="0" w:color="auto"/>
              <w:left w:val="nil"/>
              <w:bottom w:val="single" w:sz="8" w:space="0" w:color="auto"/>
              <w:right w:val="single" w:sz="8" w:space="0" w:color="000000"/>
            </w:tcBorders>
            <w:shd w:val="clear" w:color="auto" w:fill="EBEBEB"/>
            <w:vAlign w:val="center"/>
            <w:hideMark/>
          </w:tcPr>
          <w:p w14:paraId="678A56D5" w14:textId="77777777" w:rsidR="00BC5219" w:rsidRPr="008A2B8F" w:rsidRDefault="00BC5219" w:rsidP="00E83802">
            <w:pPr>
              <w:shd w:val="clear" w:color="auto" w:fill="EBEBEB"/>
              <w:jc w:val="center"/>
              <w:rPr>
                <w:rFonts w:ascii="Meta Pro" w:eastAsia="Times New Roman" w:hAnsi="Meta Pro" w:cs="Calibri"/>
                <w:b/>
                <w:bCs/>
                <w:color w:val="000000"/>
                <w:szCs w:val="18"/>
                <w:lang w:eastAsia="en-AU"/>
              </w:rPr>
            </w:pPr>
            <w:r w:rsidRPr="008A2B8F">
              <w:rPr>
                <w:rFonts w:ascii="Meta Pro" w:eastAsia="Times New Roman" w:hAnsi="Meta Pro" w:cs="Calibri"/>
                <w:b/>
                <w:bCs/>
                <w:color w:val="000000"/>
                <w:szCs w:val="18"/>
                <w:lang w:eastAsia="en-AU"/>
              </w:rPr>
              <w:t>Average useful life</w:t>
            </w:r>
          </w:p>
        </w:tc>
      </w:tr>
      <w:tr w:rsidR="00BC5219" w:rsidRPr="008A2B8F" w14:paraId="7B31998C" w14:textId="77777777" w:rsidTr="00E83802">
        <w:trPr>
          <w:cantSplit/>
          <w:trHeight w:val="23"/>
        </w:trPr>
        <w:tc>
          <w:tcPr>
            <w:tcW w:w="3392" w:type="dxa"/>
            <w:tcBorders>
              <w:top w:val="nil"/>
              <w:left w:val="single" w:sz="8" w:space="0" w:color="auto"/>
              <w:bottom w:val="single" w:sz="8" w:space="0" w:color="auto"/>
              <w:right w:val="single" w:sz="8" w:space="0" w:color="000000"/>
            </w:tcBorders>
            <w:shd w:val="clear" w:color="auto" w:fill="EBEBEB"/>
            <w:noWrap/>
            <w:vAlign w:val="center"/>
            <w:hideMark/>
          </w:tcPr>
          <w:p w14:paraId="3B5B3759" w14:textId="77777777" w:rsidR="00BC5219" w:rsidRPr="008A2B8F" w:rsidRDefault="00BC5219" w:rsidP="00E83802">
            <w:pPr>
              <w:shd w:val="clear" w:color="auto" w:fill="EBEBEB"/>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Buildings</w:t>
            </w:r>
          </w:p>
        </w:tc>
        <w:tc>
          <w:tcPr>
            <w:tcW w:w="4395" w:type="dxa"/>
            <w:tcBorders>
              <w:top w:val="nil"/>
              <w:left w:val="nil"/>
              <w:bottom w:val="single" w:sz="8" w:space="0" w:color="auto"/>
              <w:right w:val="single" w:sz="8" w:space="0" w:color="000000"/>
            </w:tcBorders>
            <w:shd w:val="clear" w:color="auto" w:fill="EBEBEB"/>
            <w:noWrap/>
            <w:vAlign w:val="center"/>
            <w:hideMark/>
          </w:tcPr>
          <w:p w14:paraId="35671478" w14:textId="77777777" w:rsidR="00BC5219" w:rsidRPr="008A2B8F" w:rsidRDefault="00BC5219" w:rsidP="00E83802">
            <w:pPr>
              <w:shd w:val="clear" w:color="auto" w:fill="EBEBEB"/>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 xml:space="preserve">Gold Coast Light Rail </w:t>
            </w:r>
            <w:r w:rsidRPr="008A2B8F">
              <w:rPr>
                <w:rFonts w:ascii="Meta Pro" w:eastAsia="Times New Roman" w:hAnsi="Meta Pro"/>
                <w:b/>
                <w:bCs/>
                <w:szCs w:val="18"/>
                <w:lang w:eastAsia="en-AU"/>
              </w:rPr>
              <w:t xml:space="preserve">– </w:t>
            </w:r>
            <w:r w:rsidRPr="008A2B8F">
              <w:rPr>
                <w:rFonts w:ascii="Meta Pro" w:eastAsia="Times New Roman" w:hAnsi="Meta Pro" w:cs="Calibri"/>
                <w:color w:val="000000"/>
                <w:szCs w:val="18"/>
                <w:lang w:eastAsia="en-AU"/>
              </w:rPr>
              <w:t>G:link</w:t>
            </w:r>
          </w:p>
        </w:tc>
        <w:tc>
          <w:tcPr>
            <w:tcW w:w="2409" w:type="dxa"/>
            <w:tcBorders>
              <w:top w:val="nil"/>
              <w:left w:val="nil"/>
              <w:bottom w:val="single" w:sz="8" w:space="0" w:color="auto"/>
              <w:right w:val="single" w:sz="8" w:space="0" w:color="000000"/>
            </w:tcBorders>
            <w:shd w:val="clear" w:color="auto" w:fill="EBEBEB"/>
            <w:vAlign w:val="center"/>
          </w:tcPr>
          <w:p w14:paraId="4E890FD7" w14:textId="77777777" w:rsidR="00BC5219" w:rsidRPr="008A2B8F" w:rsidRDefault="00BC5219" w:rsidP="00E83802">
            <w:pPr>
              <w:shd w:val="clear" w:color="auto" w:fill="EBEBEB"/>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29</w:t>
            </w:r>
          </w:p>
        </w:tc>
      </w:tr>
      <w:tr w:rsidR="00BC5219" w:rsidRPr="008A2B8F" w14:paraId="748CFAA1" w14:textId="77777777" w:rsidTr="00E83802">
        <w:trPr>
          <w:cantSplit/>
          <w:trHeight w:val="23"/>
        </w:trPr>
        <w:tc>
          <w:tcPr>
            <w:tcW w:w="3392" w:type="dxa"/>
            <w:tcBorders>
              <w:top w:val="nil"/>
              <w:left w:val="single" w:sz="8" w:space="0" w:color="auto"/>
              <w:bottom w:val="single" w:sz="8" w:space="0" w:color="auto"/>
              <w:right w:val="single" w:sz="8" w:space="0" w:color="000000"/>
            </w:tcBorders>
            <w:shd w:val="clear" w:color="auto" w:fill="EBEBEB"/>
            <w:noWrap/>
            <w:vAlign w:val="center"/>
          </w:tcPr>
          <w:p w14:paraId="38DC8606" w14:textId="77777777" w:rsidR="00BC5219" w:rsidRPr="008A2B8F" w:rsidRDefault="00BC5219" w:rsidP="00E83802">
            <w:pPr>
              <w:shd w:val="clear" w:color="auto" w:fill="EBEBEB"/>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Plant and equipment</w:t>
            </w:r>
          </w:p>
        </w:tc>
        <w:tc>
          <w:tcPr>
            <w:tcW w:w="4395" w:type="dxa"/>
            <w:tcBorders>
              <w:top w:val="nil"/>
              <w:left w:val="nil"/>
              <w:bottom w:val="single" w:sz="8" w:space="0" w:color="auto"/>
              <w:right w:val="single" w:sz="8" w:space="0" w:color="000000"/>
            </w:tcBorders>
            <w:shd w:val="clear" w:color="auto" w:fill="EBEBEB"/>
            <w:noWrap/>
            <w:vAlign w:val="center"/>
          </w:tcPr>
          <w:p w14:paraId="7F0E58E3" w14:textId="77777777" w:rsidR="00BC5219" w:rsidRPr="008A2B8F" w:rsidRDefault="00BC5219" w:rsidP="00E83802">
            <w:pPr>
              <w:shd w:val="clear" w:color="auto" w:fill="EBEBEB"/>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 xml:space="preserve">Gold Coast Light Rail </w:t>
            </w:r>
            <w:r w:rsidRPr="008A2B8F">
              <w:rPr>
                <w:rFonts w:ascii="Meta Pro" w:eastAsia="Times New Roman" w:hAnsi="Meta Pro"/>
                <w:b/>
                <w:bCs/>
                <w:szCs w:val="18"/>
                <w:lang w:eastAsia="en-AU"/>
              </w:rPr>
              <w:t xml:space="preserve">– </w:t>
            </w:r>
            <w:r w:rsidRPr="008A2B8F">
              <w:rPr>
                <w:rFonts w:ascii="Meta Pro" w:eastAsia="Times New Roman" w:hAnsi="Meta Pro" w:cs="Calibri"/>
                <w:color w:val="000000"/>
                <w:szCs w:val="18"/>
                <w:lang w:eastAsia="en-AU"/>
              </w:rPr>
              <w:t>G:link</w:t>
            </w:r>
          </w:p>
        </w:tc>
        <w:tc>
          <w:tcPr>
            <w:tcW w:w="2409" w:type="dxa"/>
            <w:tcBorders>
              <w:top w:val="nil"/>
              <w:left w:val="nil"/>
              <w:bottom w:val="single" w:sz="8" w:space="0" w:color="auto"/>
              <w:right w:val="single" w:sz="8" w:space="0" w:color="000000"/>
            </w:tcBorders>
            <w:shd w:val="clear" w:color="auto" w:fill="EBEBEB"/>
            <w:vAlign w:val="center"/>
          </w:tcPr>
          <w:p w14:paraId="6474EBF5" w14:textId="77777777" w:rsidR="00BC5219" w:rsidRPr="008A2B8F" w:rsidRDefault="00BC5219" w:rsidP="00E83802">
            <w:pPr>
              <w:shd w:val="clear" w:color="auto" w:fill="EBEBEB"/>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29</w:t>
            </w:r>
          </w:p>
        </w:tc>
      </w:tr>
      <w:tr w:rsidR="00BC5219" w:rsidRPr="008A2B8F" w14:paraId="39E9FEF5" w14:textId="77777777" w:rsidTr="00E83802">
        <w:trPr>
          <w:cantSplit/>
          <w:trHeight w:val="23"/>
        </w:trPr>
        <w:tc>
          <w:tcPr>
            <w:tcW w:w="3392" w:type="dxa"/>
            <w:tcBorders>
              <w:top w:val="nil"/>
              <w:left w:val="single" w:sz="8" w:space="0" w:color="auto"/>
              <w:bottom w:val="single" w:sz="8" w:space="0" w:color="auto"/>
              <w:right w:val="single" w:sz="8" w:space="0" w:color="000000"/>
            </w:tcBorders>
            <w:shd w:val="clear" w:color="auto" w:fill="EBEBEB"/>
            <w:noWrap/>
            <w:vAlign w:val="center"/>
          </w:tcPr>
          <w:p w14:paraId="5F77F084" w14:textId="77777777" w:rsidR="00BC5219" w:rsidRPr="008A2B8F" w:rsidRDefault="00BC5219" w:rsidP="00E83802">
            <w:pPr>
              <w:shd w:val="clear" w:color="auto" w:fill="EBEBEB"/>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Major plant and equipment</w:t>
            </w:r>
          </w:p>
        </w:tc>
        <w:tc>
          <w:tcPr>
            <w:tcW w:w="4395" w:type="dxa"/>
            <w:tcBorders>
              <w:top w:val="nil"/>
              <w:left w:val="nil"/>
              <w:bottom w:val="single" w:sz="8" w:space="0" w:color="auto"/>
              <w:right w:val="single" w:sz="8" w:space="0" w:color="000000"/>
            </w:tcBorders>
            <w:shd w:val="clear" w:color="auto" w:fill="EBEBEB"/>
            <w:noWrap/>
            <w:vAlign w:val="center"/>
          </w:tcPr>
          <w:p w14:paraId="1752E5E0" w14:textId="77777777" w:rsidR="00BC5219" w:rsidRPr="008A2B8F" w:rsidRDefault="00BC5219" w:rsidP="00E83802">
            <w:pPr>
              <w:shd w:val="clear" w:color="auto" w:fill="EBEBEB"/>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 xml:space="preserve">Gold Coast Light Rail </w:t>
            </w:r>
            <w:r w:rsidRPr="008A2B8F">
              <w:rPr>
                <w:rFonts w:ascii="Meta Pro" w:eastAsia="Times New Roman" w:hAnsi="Meta Pro"/>
                <w:b/>
                <w:bCs/>
                <w:szCs w:val="18"/>
                <w:lang w:eastAsia="en-AU"/>
              </w:rPr>
              <w:t>–</w:t>
            </w:r>
            <w:r w:rsidRPr="008A2B8F">
              <w:rPr>
                <w:rFonts w:ascii="Meta Pro" w:eastAsia="Times New Roman" w:hAnsi="Meta Pro" w:cs="Calibri"/>
                <w:color w:val="000000"/>
                <w:szCs w:val="18"/>
                <w:lang w:eastAsia="en-AU"/>
              </w:rPr>
              <w:t xml:space="preserve"> G:link</w:t>
            </w:r>
          </w:p>
        </w:tc>
        <w:tc>
          <w:tcPr>
            <w:tcW w:w="2409" w:type="dxa"/>
            <w:tcBorders>
              <w:top w:val="nil"/>
              <w:left w:val="nil"/>
              <w:bottom w:val="single" w:sz="8" w:space="0" w:color="auto"/>
              <w:right w:val="single" w:sz="8" w:space="0" w:color="000000"/>
            </w:tcBorders>
            <w:shd w:val="clear" w:color="auto" w:fill="EBEBEB"/>
            <w:vAlign w:val="center"/>
          </w:tcPr>
          <w:p w14:paraId="624987C2" w14:textId="77777777" w:rsidR="00BC5219" w:rsidRPr="008A2B8F" w:rsidRDefault="00BC5219" w:rsidP="00E83802">
            <w:pPr>
              <w:shd w:val="clear" w:color="auto" w:fill="EBEBEB"/>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33</w:t>
            </w:r>
          </w:p>
        </w:tc>
      </w:tr>
      <w:tr w:rsidR="00BC5219" w:rsidRPr="008A2B8F" w14:paraId="598E9E77" w14:textId="77777777" w:rsidTr="00E83802">
        <w:trPr>
          <w:cantSplit/>
          <w:trHeight w:val="23"/>
        </w:trPr>
        <w:tc>
          <w:tcPr>
            <w:tcW w:w="3392" w:type="dxa"/>
            <w:vMerge w:val="restart"/>
            <w:tcBorders>
              <w:top w:val="nil"/>
              <w:left w:val="single" w:sz="8" w:space="0" w:color="auto"/>
              <w:right w:val="single" w:sz="8" w:space="0" w:color="000000"/>
            </w:tcBorders>
            <w:shd w:val="clear" w:color="auto" w:fill="EBEBEB"/>
            <w:noWrap/>
            <w:hideMark/>
          </w:tcPr>
          <w:p w14:paraId="60E6E2E8" w14:textId="77777777" w:rsidR="00BC5219" w:rsidRPr="008A2B8F" w:rsidRDefault="00BC5219" w:rsidP="00E83802">
            <w:pPr>
              <w:shd w:val="clear" w:color="auto" w:fill="EBEBEB"/>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Infrastructure</w:t>
            </w:r>
          </w:p>
        </w:tc>
        <w:tc>
          <w:tcPr>
            <w:tcW w:w="4395" w:type="dxa"/>
            <w:tcBorders>
              <w:top w:val="nil"/>
              <w:left w:val="nil"/>
              <w:bottom w:val="single" w:sz="8" w:space="0" w:color="auto"/>
              <w:right w:val="single" w:sz="8" w:space="0" w:color="000000"/>
            </w:tcBorders>
            <w:shd w:val="clear" w:color="auto" w:fill="EBEBEB"/>
            <w:noWrap/>
            <w:vAlign w:val="center"/>
            <w:hideMark/>
          </w:tcPr>
          <w:p w14:paraId="149BB952" w14:textId="77777777" w:rsidR="00BC5219" w:rsidRPr="008A2B8F" w:rsidRDefault="00BC5219" w:rsidP="00E83802">
            <w:pPr>
              <w:shd w:val="clear" w:color="auto" w:fill="EBEBEB"/>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 xml:space="preserve">Gold Coast Light Rail </w:t>
            </w:r>
            <w:r w:rsidRPr="008A2B8F">
              <w:rPr>
                <w:rFonts w:ascii="Meta Pro" w:eastAsia="Times New Roman" w:hAnsi="Meta Pro"/>
                <w:b/>
                <w:bCs/>
                <w:szCs w:val="18"/>
                <w:lang w:eastAsia="en-AU"/>
              </w:rPr>
              <w:t xml:space="preserve">– </w:t>
            </w:r>
            <w:r w:rsidRPr="008A2B8F">
              <w:rPr>
                <w:rFonts w:ascii="Meta Pro" w:eastAsia="Times New Roman" w:hAnsi="Meta Pro" w:cs="Calibri"/>
                <w:color w:val="000000"/>
                <w:szCs w:val="18"/>
                <w:lang w:eastAsia="en-AU"/>
              </w:rPr>
              <w:t>G:link</w:t>
            </w:r>
          </w:p>
        </w:tc>
        <w:tc>
          <w:tcPr>
            <w:tcW w:w="2409" w:type="dxa"/>
            <w:tcBorders>
              <w:top w:val="nil"/>
              <w:left w:val="nil"/>
              <w:bottom w:val="single" w:sz="8" w:space="0" w:color="auto"/>
              <w:right w:val="single" w:sz="8" w:space="0" w:color="000000"/>
            </w:tcBorders>
            <w:shd w:val="clear" w:color="auto" w:fill="EBEBEB"/>
            <w:vAlign w:val="center"/>
          </w:tcPr>
          <w:p w14:paraId="35214CDE" w14:textId="77777777" w:rsidR="00BC5219" w:rsidRPr="008A2B8F" w:rsidRDefault="00BC5219" w:rsidP="00E83802">
            <w:pPr>
              <w:shd w:val="clear" w:color="auto" w:fill="EBEBEB"/>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78</w:t>
            </w:r>
          </w:p>
        </w:tc>
      </w:tr>
      <w:tr w:rsidR="00BC5219" w:rsidRPr="008A2B8F" w14:paraId="420835E5" w14:textId="77777777" w:rsidTr="00E83802">
        <w:trPr>
          <w:cantSplit/>
          <w:trHeight w:val="23"/>
        </w:trPr>
        <w:tc>
          <w:tcPr>
            <w:tcW w:w="3392" w:type="dxa"/>
            <w:vMerge/>
            <w:tcBorders>
              <w:left w:val="single" w:sz="8" w:space="0" w:color="auto"/>
              <w:right w:val="single" w:sz="8" w:space="0" w:color="000000"/>
            </w:tcBorders>
            <w:shd w:val="clear" w:color="auto" w:fill="EBEBEB"/>
            <w:noWrap/>
            <w:vAlign w:val="center"/>
          </w:tcPr>
          <w:p w14:paraId="4F620F73" w14:textId="77777777" w:rsidR="00BC5219" w:rsidRPr="008A2B8F" w:rsidRDefault="00BC5219" w:rsidP="00E83802">
            <w:pPr>
              <w:shd w:val="clear" w:color="auto" w:fill="EBEBEB"/>
              <w:rPr>
                <w:rFonts w:ascii="Meta Pro" w:eastAsia="Times New Roman" w:hAnsi="Meta Pro" w:cs="Calibri"/>
                <w:color w:val="000000"/>
                <w:szCs w:val="18"/>
                <w:lang w:eastAsia="en-AU"/>
              </w:rPr>
            </w:pPr>
          </w:p>
        </w:tc>
        <w:tc>
          <w:tcPr>
            <w:tcW w:w="4395" w:type="dxa"/>
            <w:tcBorders>
              <w:top w:val="nil"/>
              <w:left w:val="nil"/>
              <w:bottom w:val="single" w:sz="8" w:space="0" w:color="auto"/>
              <w:right w:val="single" w:sz="8" w:space="0" w:color="000000"/>
            </w:tcBorders>
            <w:shd w:val="clear" w:color="auto" w:fill="EBEBEB"/>
            <w:noWrap/>
            <w:vAlign w:val="center"/>
          </w:tcPr>
          <w:p w14:paraId="7FF78EE8" w14:textId="77777777" w:rsidR="00BC5219" w:rsidRPr="008A2B8F" w:rsidRDefault="00BC5219" w:rsidP="00E83802">
            <w:pPr>
              <w:shd w:val="clear" w:color="auto" w:fill="EBEBEB"/>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Toowoomba Bypass *</w:t>
            </w:r>
          </w:p>
        </w:tc>
        <w:tc>
          <w:tcPr>
            <w:tcW w:w="2409" w:type="dxa"/>
            <w:tcBorders>
              <w:top w:val="nil"/>
              <w:left w:val="nil"/>
              <w:bottom w:val="single" w:sz="8" w:space="0" w:color="auto"/>
              <w:right w:val="single" w:sz="8" w:space="0" w:color="000000"/>
            </w:tcBorders>
            <w:shd w:val="clear" w:color="auto" w:fill="EBEBEB"/>
            <w:vAlign w:val="center"/>
          </w:tcPr>
          <w:p w14:paraId="57325C35" w14:textId="77777777" w:rsidR="00BC5219" w:rsidRPr="008A2B8F" w:rsidRDefault="00BC5219" w:rsidP="00E83802">
            <w:pPr>
              <w:shd w:val="clear" w:color="auto" w:fill="EBEBEB"/>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82</w:t>
            </w:r>
          </w:p>
        </w:tc>
      </w:tr>
      <w:tr w:rsidR="00BC5219" w:rsidRPr="008A2B8F" w14:paraId="1C267B64" w14:textId="77777777" w:rsidTr="00E83802">
        <w:trPr>
          <w:cantSplit/>
          <w:trHeight w:val="23"/>
        </w:trPr>
        <w:tc>
          <w:tcPr>
            <w:tcW w:w="3392" w:type="dxa"/>
            <w:vMerge/>
            <w:tcBorders>
              <w:left w:val="single" w:sz="8" w:space="0" w:color="auto"/>
              <w:right w:val="single" w:sz="8" w:space="0" w:color="000000"/>
            </w:tcBorders>
            <w:shd w:val="clear" w:color="auto" w:fill="EBEBEB"/>
            <w:noWrap/>
            <w:vAlign w:val="center"/>
          </w:tcPr>
          <w:p w14:paraId="50086776" w14:textId="77777777" w:rsidR="00BC5219" w:rsidRPr="008A2B8F" w:rsidRDefault="00BC5219" w:rsidP="00E83802">
            <w:pPr>
              <w:shd w:val="clear" w:color="auto" w:fill="EBEBEB"/>
              <w:rPr>
                <w:rFonts w:ascii="Meta Pro" w:eastAsia="Times New Roman" w:hAnsi="Meta Pro" w:cs="Calibri"/>
                <w:color w:val="000000"/>
                <w:szCs w:val="18"/>
                <w:lang w:eastAsia="en-AU"/>
              </w:rPr>
            </w:pPr>
          </w:p>
        </w:tc>
        <w:tc>
          <w:tcPr>
            <w:tcW w:w="4395" w:type="dxa"/>
            <w:tcBorders>
              <w:top w:val="nil"/>
              <w:left w:val="nil"/>
              <w:bottom w:val="single" w:sz="8" w:space="0" w:color="auto"/>
              <w:right w:val="single" w:sz="8" w:space="0" w:color="000000"/>
            </w:tcBorders>
            <w:shd w:val="clear" w:color="auto" w:fill="EBEBEB"/>
            <w:noWrap/>
            <w:vAlign w:val="center"/>
          </w:tcPr>
          <w:p w14:paraId="6D75E877" w14:textId="77777777" w:rsidR="00BC5219" w:rsidRPr="008A2B8F" w:rsidRDefault="00BC5219" w:rsidP="00E83802">
            <w:pPr>
              <w:shd w:val="clear" w:color="auto" w:fill="EBEBEB"/>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Airportlink M7 *</w:t>
            </w:r>
          </w:p>
        </w:tc>
        <w:tc>
          <w:tcPr>
            <w:tcW w:w="2409" w:type="dxa"/>
            <w:tcBorders>
              <w:top w:val="nil"/>
              <w:left w:val="nil"/>
              <w:bottom w:val="single" w:sz="8" w:space="0" w:color="auto"/>
              <w:right w:val="single" w:sz="8" w:space="0" w:color="000000"/>
            </w:tcBorders>
            <w:shd w:val="clear" w:color="auto" w:fill="EBEBEB"/>
            <w:vAlign w:val="center"/>
          </w:tcPr>
          <w:p w14:paraId="5F640BD3" w14:textId="77777777" w:rsidR="00BC5219" w:rsidRPr="008A2B8F" w:rsidRDefault="00BC5219" w:rsidP="00E83802">
            <w:pPr>
              <w:shd w:val="clear" w:color="auto" w:fill="EBEBEB"/>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46</w:t>
            </w:r>
          </w:p>
        </w:tc>
      </w:tr>
      <w:tr w:rsidR="00BC5219" w:rsidRPr="008A2B8F" w14:paraId="6D3B4DC0" w14:textId="77777777" w:rsidTr="00E83802">
        <w:trPr>
          <w:cantSplit/>
          <w:trHeight w:val="23"/>
        </w:trPr>
        <w:tc>
          <w:tcPr>
            <w:tcW w:w="3392" w:type="dxa"/>
            <w:vMerge/>
            <w:tcBorders>
              <w:left w:val="single" w:sz="8" w:space="0" w:color="auto"/>
              <w:right w:val="single" w:sz="8" w:space="0" w:color="000000"/>
            </w:tcBorders>
            <w:shd w:val="clear" w:color="auto" w:fill="EBEBEB"/>
            <w:noWrap/>
            <w:vAlign w:val="center"/>
          </w:tcPr>
          <w:p w14:paraId="0B5867B9" w14:textId="77777777" w:rsidR="00BC5219" w:rsidRPr="008A2B8F" w:rsidRDefault="00BC5219" w:rsidP="00E83802">
            <w:pPr>
              <w:shd w:val="clear" w:color="auto" w:fill="EBEBEB"/>
              <w:rPr>
                <w:rFonts w:ascii="Meta Pro" w:eastAsia="Times New Roman" w:hAnsi="Meta Pro" w:cs="Calibri"/>
                <w:color w:val="000000"/>
                <w:szCs w:val="18"/>
                <w:lang w:eastAsia="en-AU"/>
              </w:rPr>
            </w:pPr>
          </w:p>
        </w:tc>
        <w:tc>
          <w:tcPr>
            <w:tcW w:w="4395" w:type="dxa"/>
            <w:tcBorders>
              <w:top w:val="nil"/>
              <w:left w:val="nil"/>
              <w:bottom w:val="single" w:sz="8" w:space="0" w:color="auto"/>
              <w:right w:val="single" w:sz="8" w:space="0" w:color="000000"/>
            </w:tcBorders>
            <w:shd w:val="clear" w:color="auto" w:fill="EBEBEB"/>
            <w:noWrap/>
            <w:vAlign w:val="center"/>
          </w:tcPr>
          <w:p w14:paraId="598FE71E" w14:textId="77777777" w:rsidR="00BC5219" w:rsidRPr="008A2B8F" w:rsidRDefault="00BC5219" w:rsidP="00E83802">
            <w:pPr>
              <w:shd w:val="clear" w:color="auto" w:fill="EBEBEB"/>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Gateway Motorway *</w:t>
            </w:r>
          </w:p>
        </w:tc>
        <w:tc>
          <w:tcPr>
            <w:tcW w:w="2409" w:type="dxa"/>
            <w:tcBorders>
              <w:top w:val="nil"/>
              <w:left w:val="nil"/>
              <w:bottom w:val="single" w:sz="8" w:space="0" w:color="auto"/>
              <w:right w:val="single" w:sz="8" w:space="0" w:color="000000"/>
            </w:tcBorders>
            <w:shd w:val="clear" w:color="auto" w:fill="EBEBEB"/>
            <w:vAlign w:val="center"/>
          </w:tcPr>
          <w:p w14:paraId="00A24B9C" w14:textId="77777777" w:rsidR="00BC5219" w:rsidRPr="008A2B8F" w:rsidRDefault="00BC5219" w:rsidP="00E83802">
            <w:pPr>
              <w:shd w:val="clear" w:color="auto" w:fill="EBEBEB"/>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78</w:t>
            </w:r>
          </w:p>
        </w:tc>
      </w:tr>
      <w:tr w:rsidR="00BC5219" w:rsidRPr="008A2B8F" w14:paraId="2D169B51" w14:textId="77777777" w:rsidTr="00E83802">
        <w:trPr>
          <w:cantSplit/>
          <w:trHeight w:val="23"/>
        </w:trPr>
        <w:tc>
          <w:tcPr>
            <w:tcW w:w="3392" w:type="dxa"/>
            <w:vMerge/>
            <w:tcBorders>
              <w:left w:val="single" w:sz="8" w:space="0" w:color="auto"/>
              <w:right w:val="single" w:sz="8" w:space="0" w:color="000000"/>
            </w:tcBorders>
            <w:shd w:val="clear" w:color="auto" w:fill="EBEBEB"/>
            <w:noWrap/>
            <w:vAlign w:val="center"/>
          </w:tcPr>
          <w:p w14:paraId="1722B3CB" w14:textId="77777777" w:rsidR="00BC5219" w:rsidRPr="008A2B8F" w:rsidRDefault="00BC5219" w:rsidP="00E83802">
            <w:pPr>
              <w:shd w:val="clear" w:color="auto" w:fill="EBEBEB"/>
              <w:rPr>
                <w:rFonts w:ascii="Meta Pro" w:eastAsia="Times New Roman" w:hAnsi="Meta Pro" w:cs="Calibri"/>
                <w:color w:val="000000"/>
                <w:szCs w:val="18"/>
                <w:lang w:eastAsia="en-AU"/>
              </w:rPr>
            </w:pPr>
          </w:p>
        </w:tc>
        <w:tc>
          <w:tcPr>
            <w:tcW w:w="4395" w:type="dxa"/>
            <w:tcBorders>
              <w:top w:val="nil"/>
              <w:left w:val="nil"/>
              <w:bottom w:val="single" w:sz="8" w:space="0" w:color="auto"/>
              <w:right w:val="single" w:sz="8" w:space="0" w:color="000000"/>
            </w:tcBorders>
            <w:shd w:val="clear" w:color="auto" w:fill="EBEBEB"/>
            <w:noWrap/>
            <w:vAlign w:val="center"/>
          </w:tcPr>
          <w:p w14:paraId="2958271F" w14:textId="77777777" w:rsidR="00BC5219" w:rsidRPr="008A2B8F" w:rsidRDefault="00BC5219" w:rsidP="00E83802">
            <w:pPr>
              <w:shd w:val="clear" w:color="auto" w:fill="EBEBEB"/>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Logan Motorway *</w:t>
            </w:r>
          </w:p>
        </w:tc>
        <w:tc>
          <w:tcPr>
            <w:tcW w:w="2409" w:type="dxa"/>
            <w:tcBorders>
              <w:top w:val="nil"/>
              <w:left w:val="nil"/>
              <w:bottom w:val="single" w:sz="8" w:space="0" w:color="auto"/>
              <w:right w:val="single" w:sz="8" w:space="0" w:color="000000"/>
            </w:tcBorders>
            <w:shd w:val="clear" w:color="auto" w:fill="EBEBEB"/>
            <w:vAlign w:val="center"/>
          </w:tcPr>
          <w:p w14:paraId="35E1A8D4" w14:textId="77777777" w:rsidR="00BC5219" w:rsidRPr="008A2B8F" w:rsidRDefault="00BC5219" w:rsidP="00E83802">
            <w:pPr>
              <w:shd w:val="clear" w:color="auto" w:fill="EBEBEB"/>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67</w:t>
            </w:r>
          </w:p>
        </w:tc>
      </w:tr>
      <w:tr w:rsidR="00BC5219" w:rsidRPr="008A2B8F" w14:paraId="611315AA" w14:textId="77777777" w:rsidTr="00E83802">
        <w:trPr>
          <w:cantSplit/>
          <w:trHeight w:val="23"/>
        </w:trPr>
        <w:tc>
          <w:tcPr>
            <w:tcW w:w="3392" w:type="dxa"/>
            <w:vMerge/>
            <w:tcBorders>
              <w:left w:val="single" w:sz="8" w:space="0" w:color="auto"/>
              <w:right w:val="single" w:sz="8" w:space="0" w:color="000000"/>
            </w:tcBorders>
            <w:shd w:val="clear" w:color="auto" w:fill="EBEBEB"/>
            <w:noWrap/>
            <w:vAlign w:val="center"/>
          </w:tcPr>
          <w:p w14:paraId="57514525" w14:textId="77777777" w:rsidR="00BC5219" w:rsidRPr="008A2B8F" w:rsidRDefault="00BC5219" w:rsidP="00E83802">
            <w:pPr>
              <w:shd w:val="clear" w:color="auto" w:fill="EBEBEB"/>
              <w:rPr>
                <w:rFonts w:ascii="Meta Pro" w:eastAsia="Times New Roman" w:hAnsi="Meta Pro" w:cs="Calibri"/>
                <w:color w:val="000000"/>
                <w:szCs w:val="18"/>
                <w:lang w:eastAsia="en-AU"/>
              </w:rPr>
            </w:pPr>
          </w:p>
        </w:tc>
        <w:tc>
          <w:tcPr>
            <w:tcW w:w="4395" w:type="dxa"/>
            <w:tcBorders>
              <w:top w:val="nil"/>
              <w:left w:val="nil"/>
              <w:bottom w:val="single" w:sz="8" w:space="0" w:color="auto"/>
              <w:right w:val="single" w:sz="8" w:space="0" w:color="000000"/>
            </w:tcBorders>
            <w:shd w:val="clear" w:color="auto" w:fill="EBEBEB"/>
            <w:noWrap/>
            <w:vAlign w:val="center"/>
          </w:tcPr>
          <w:p w14:paraId="63D68AA9" w14:textId="77777777" w:rsidR="00BC5219" w:rsidRPr="008A2B8F" w:rsidRDefault="00BC5219" w:rsidP="00E83802">
            <w:pPr>
              <w:shd w:val="clear" w:color="auto" w:fill="EBEBEB"/>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Port Drive *</w:t>
            </w:r>
          </w:p>
        </w:tc>
        <w:tc>
          <w:tcPr>
            <w:tcW w:w="2409" w:type="dxa"/>
            <w:tcBorders>
              <w:top w:val="nil"/>
              <w:left w:val="nil"/>
              <w:bottom w:val="single" w:sz="8" w:space="0" w:color="auto"/>
              <w:right w:val="single" w:sz="8" w:space="0" w:color="000000"/>
            </w:tcBorders>
            <w:shd w:val="clear" w:color="auto" w:fill="EBEBEB"/>
            <w:vAlign w:val="center"/>
          </w:tcPr>
          <w:p w14:paraId="389256A7" w14:textId="77777777" w:rsidR="00BC5219" w:rsidRPr="008A2B8F" w:rsidRDefault="00BC5219" w:rsidP="00E83802">
            <w:pPr>
              <w:shd w:val="clear" w:color="auto" w:fill="EBEBEB"/>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44</w:t>
            </w:r>
          </w:p>
        </w:tc>
      </w:tr>
      <w:tr w:rsidR="00BC5219" w:rsidRPr="008A2B8F" w14:paraId="45533F4A" w14:textId="77777777" w:rsidTr="00E83802">
        <w:trPr>
          <w:cantSplit/>
          <w:trHeight w:val="23"/>
        </w:trPr>
        <w:tc>
          <w:tcPr>
            <w:tcW w:w="3392" w:type="dxa"/>
            <w:vMerge/>
            <w:tcBorders>
              <w:left w:val="single" w:sz="8" w:space="0" w:color="auto"/>
              <w:bottom w:val="single" w:sz="8" w:space="0" w:color="auto"/>
              <w:right w:val="single" w:sz="8" w:space="0" w:color="000000"/>
            </w:tcBorders>
            <w:shd w:val="clear" w:color="auto" w:fill="EBEBEB"/>
            <w:noWrap/>
            <w:vAlign w:val="center"/>
          </w:tcPr>
          <w:p w14:paraId="34330229" w14:textId="77777777" w:rsidR="00BC5219" w:rsidRPr="008A2B8F" w:rsidRDefault="00BC5219" w:rsidP="00E83802">
            <w:pPr>
              <w:shd w:val="clear" w:color="auto" w:fill="EBEBEB"/>
              <w:rPr>
                <w:rFonts w:ascii="Meta Pro" w:eastAsia="Times New Roman" w:hAnsi="Meta Pro" w:cs="Calibri"/>
                <w:color w:val="000000"/>
                <w:szCs w:val="18"/>
                <w:lang w:eastAsia="en-AU"/>
              </w:rPr>
            </w:pPr>
          </w:p>
        </w:tc>
        <w:tc>
          <w:tcPr>
            <w:tcW w:w="4395" w:type="dxa"/>
            <w:tcBorders>
              <w:top w:val="nil"/>
              <w:left w:val="nil"/>
              <w:bottom w:val="single" w:sz="8" w:space="0" w:color="auto"/>
              <w:right w:val="single" w:sz="8" w:space="0" w:color="000000"/>
            </w:tcBorders>
            <w:shd w:val="clear" w:color="auto" w:fill="EBEBEB"/>
            <w:noWrap/>
            <w:vAlign w:val="center"/>
          </w:tcPr>
          <w:p w14:paraId="23E6ABD9" w14:textId="77777777" w:rsidR="00BC5219" w:rsidRPr="008A2B8F" w:rsidRDefault="00BC5219" w:rsidP="00E83802">
            <w:pPr>
              <w:shd w:val="clear" w:color="auto" w:fill="EBEBEB"/>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Brisbane Airport Rail Link</w:t>
            </w:r>
          </w:p>
        </w:tc>
        <w:tc>
          <w:tcPr>
            <w:tcW w:w="2409" w:type="dxa"/>
            <w:tcBorders>
              <w:top w:val="nil"/>
              <w:left w:val="nil"/>
              <w:bottom w:val="single" w:sz="8" w:space="0" w:color="auto"/>
              <w:right w:val="single" w:sz="8" w:space="0" w:color="000000"/>
            </w:tcBorders>
            <w:shd w:val="clear" w:color="auto" w:fill="EBEBEB"/>
            <w:vAlign w:val="center"/>
          </w:tcPr>
          <w:p w14:paraId="635B6C36" w14:textId="77777777" w:rsidR="00BC5219" w:rsidRPr="008A2B8F" w:rsidRDefault="00BC5219" w:rsidP="00E83802">
            <w:pPr>
              <w:shd w:val="clear" w:color="auto" w:fill="EBEBEB"/>
              <w:jc w:val="center"/>
              <w:rPr>
                <w:rFonts w:ascii="Meta Pro" w:eastAsia="Times New Roman" w:hAnsi="Meta Pro" w:cs="Calibri"/>
                <w:color w:val="000000"/>
                <w:szCs w:val="18"/>
                <w:lang w:eastAsia="en-AU"/>
              </w:rPr>
            </w:pPr>
            <w:r w:rsidRPr="008A2B8F">
              <w:rPr>
                <w:rFonts w:ascii="Meta Pro" w:eastAsia="Times New Roman" w:hAnsi="Meta Pro" w:cs="Calibri"/>
                <w:color w:val="000000"/>
                <w:szCs w:val="18"/>
                <w:lang w:eastAsia="en-AU"/>
              </w:rPr>
              <w:t>46</w:t>
            </w:r>
          </w:p>
        </w:tc>
      </w:tr>
    </w:tbl>
    <w:p w14:paraId="25AFD466" w14:textId="77777777" w:rsidR="00BC5219" w:rsidRPr="008A2B8F" w:rsidRDefault="00BC5219" w:rsidP="00BC5219">
      <w:pPr>
        <w:shd w:val="clear" w:color="auto" w:fill="EBEBEB"/>
        <w:spacing w:line="14" w:lineRule="exact"/>
        <w:jc w:val="both"/>
        <w:rPr>
          <w:rFonts w:ascii="Meta Pro" w:eastAsia="Times New Roman" w:hAnsi="Meta Pro"/>
          <w:color w:val="000000"/>
          <w:szCs w:val="18"/>
          <w:lang w:eastAsia="en-AU"/>
        </w:rPr>
      </w:pPr>
    </w:p>
    <w:p w14:paraId="657410B7" w14:textId="77777777" w:rsidR="00BC5219" w:rsidRPr="008A2B8F" w:rsidRDefault="00BC5219" w:rsidP="00BC5219">
      <w:pPr>
        <w:shd w:val="clear" w:color="auto" w:fill="EBEBEB"/>
        <w:spacing w:before="60"/>
        <w:rPr>
          <w:rFonts w:ascii="Meta Pro" w:eastAsia="Times New Roman" w:hAnsi="Meta Pro"/>
          <w:color w:val="000000"/>
          <w:szCs w:val="18"/>
          <w:lang w:eastAsia="en-AU"/>
        </w:rPr>
      </w:pPr>
      <w:r w:rsidRPr="008A2B8F">
        <w:rPr>
          <w:rFonts w:ascii="Meta Pro" w:eastAsia="Times New Roman" w:hAnsi="Meta Pro"/>
          <w:color w:val="000000"/>
          <w:szCs w:val="18"/>
          <w:lang w:eastAsia="en-AU"/>
        </w:rPr>
        <w:t>* Arrangements containing formation earthworks asset components which are non-depreciable.</w:t>
      </w:r>
    </w:p>
    <w:p w14:paraId="30B21725" w14:textId="77777777" w:rsidR="00BC5219" w:rsidRPr="008A2B8F" w:rsidRDefault="00BC5219" w:rsidP="00BC5219">
      <w:pPr>
        <w:rPr>
          <w:rFonts w:ascii="Meta Pro" w:eastAsia="Times New Roman" w:hAnsi="Meta Pro"/>
          <w:b/>
          <w:bCs/>
          <w:szCs w:val="18"/>
          <w:lang w:eastAsia="en-AU"/>
        </w:rPr>
      </w:pPr>
    </w:p>
    <w:p w14:paraId="3B2EB80A" w14:textId="77777777" w:rsidR="00BC5219" w:rsidRPr="008A2B8F" w:rsidRDefault="00BC5219" w:rsidP="00BC5219">
      <w:pPr>
        <w:spacing w:after="120"/>
        <w:rPr>
          <w:rFonts w:ascii="Meta Pro" w:eastAsia="Times New Roman" w:hAnsi="Meta Pro"/>
          <w:b/>
          <w:bCs/>
          <w:szCs w:val="18"/>
          <w:lang w:eastAsia="en-AU"/>
        </w:rPr>
      </w:pPr>
      <w:r w:rsidRPr="008A2B8F">
        <w:rPr>
          <w:rFonts w:ascii="Meta Pro" w:eastAsia="Times New Roman" w:hAnsi="Meta Pro"/>
          <w:b/>
          <w:bCs/>
          <w:szCs w:val="18"/>
          <w:lang w:eastAsia="en-AU"/>
        </w:rPr>
        <w:lastRenderedPageBreak/>
        <w:t>Gold Coast Light Rail – G:link</w:t>
      </w:r>
    </w:p>
    <w:p w14:paraId="0A572A0F" w14:textId="77777777" w:rsidR="00BC5219" w:rsidRPr="008A2B8F" w:rsidRDefault="00BC5219" w:rsidP="00BC5219">
      <w:pPr>
        <w:spacing w:after="120"/>
        <w:rPr>
          <w:rFonts w:ascii="Meta Pro" w:eastAsia="Times New Roman" w:hAnsi="Meta Pro"/>
          <w:szCs w:val="18"/>
          <w:lang w:eastAsia="en-AU"/>
        </w:rPr>
      </w:pPr>
      <w:r w:rsidRPr="008A2B8F">
        <w:rPr>
          <w:rFonts w:ascii="Meta Pro" w:eastAsia="Times New Roman" w:hAnsi="Meta Pro"/>
          <w:szCs w:val="18"/>
          <w:lang w:eastAsia="en-AU"/>
        </w:rPr>
        <w:t xml:space="preserve">In May 2011 the department entered into a contractual arrangement with GoldLinQ Consortium to finance, design, build, operate and maintain a 13 kilometre light rail system linking key activity centres from Griffith University (Gold Coast Campus) and the Gold Coast University Hospital to Broadbeach via Southport. On 20 July 2014 construction was completed and the G:link commenced operations. </w:t>
      </w:r>
    </w:p>
    <w:p w14:paraId="4CF52D6F" w14:textId="77777777" w:rsidR="00BC5219" w:rsidRPr="008A2B8F" w:rsidRDefault="00BC5219" w:rsidP="00BC5219">
      <w:pPr>
        <w:spacing w:after="120"/>
        <w:rPr>
          <w:rFonts w:ascii="Meta Pro" w:eastAsia="Times New Roman" w:hAnsi="Meta Pro"/>
          <w:szCs w:val="18"/>
          <w:lang w:eastAsia="en-AU"/>
        </w:rPr>
      </w:pPr>
      <w:r w:rsidRPr="008A2B8F">
        <w:rPr>
          <w:rFonts w:ascii="Meta Pro" w:eastAsia="Times New Roman" w:hAnsi="Meta Pro"/>
          <w:szCs w:val="18"/>
          <w:lang w:eastAsia="en-AU"/>
        </w:rPr>
        <w:t>On 28 April 2016 the department entered into a contractual arrangement with GoldLinQ for Stage two of the Gold Coast Light Rail system. The 7.3km Stage two route connects the existing light rail system at Gold Coast University Hospital to heavy rail at Helensvale station. Stage two of the system commenced operations on 18 December 2017.</w:t>
      </w:r>
    </w:p>
    <w:p w14:paraId="74DCC6B3" w14:textId="77777777" w:rsidR="00BC5219" w:rsidRPr="008A2B8F" w:rsidRDefault="00BC5219" w:rsidP="00BC5219">
      <w:pPr>
        <w:spacing w:after="120"/>
        <w:rPr>
          <w:rFonts w:ascii="Meta Pro" w:eastAsia="Times New Roman" w:hAnsi="Meta Pro"/>
          <w:szCs w:val="18"/>
          <w:lang w:eastAsia="en-AU"/>
        </w:rPr>
      </w:pPr>
      <w:r w:rsidRPr="008A2B8F">
        <w:rPr>
          <w:rFonts w:ascii="Meta Pro" w:eastAsia="Times New Roman" w:hAnsi="Meta Pro"/>
          <w:szCs w:val="18"/>
          <w:lang w:eastAsia="en-AU"/>
        </w:rPr>
        <w:t xml:space="preserve">During the 15 year operations period, at an implicit rate of 9.23%, GoldLinQ is paid monthly performance based payments for operations, maintenance and repayment of the debt finance used to construct the light rail system. The state receives fare-box and advertising revenue generated by the light rail system. </w:t>
      </w:r>
    </w:p>
    <w:p w14:paraId="54BFB6E3" w14:textId="77777777" w:rsidR="00BC5219" w:rsidRPr="008A2B8F" w:rsidRDefault="00BC5219" w:rsidP="00BC5219">
      <w:pPr>
        <w:spacing w:after="120"/>
        <w:rPr>
          <w:rFonts w:ascii="Meta Pro" w:eastAsia="Times New Roman" w:hAnsi="Meta Pro"/>
          <w:szCs w:val="18"/>
          <w:lang w:eastAsia="en-AU"/>
        </w:rPr>
      </w:pPr>
      <w:r w:rsidRPr="008A2B8F">
        <w:rPr>
          <w:rFonts w:ascii="Meta Pro" w:eastAsia="Times New Roman" w:hAnsi="Meta Pro"/>
          <w:szCs w:val="18"/>
          <w:lang w:eastAsia="en-AU"/>
        </w:rPr>
        <w:t>In March 2022 the department entered into a contractual arrangement with GoldLinQ for Stage three of the Gold Coast Light Rail system. Early works have been completed and construction on Stage three of the system has commenced. Stage three will extend the light rail from Broadbeach to Burleigh Heads. The 6.7km extension south of the existing tram network will link Helensvale to Burleigh Heads and provide eight additional stations and five new light rail vehicles.</w:t>
      </w:r>
    </w:p>
    <w:p w14:paraId="59D81807"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r w:rsidRPr="008A2B8F">
        <w:rPr>
          <w:rFonts w:ascii="Meta Pro" w:eastAsia="Times New Roman" w:hAnsi="Meta Pro"/>
          <w:i/>
          <w:iCs/>
          <w:color w:val="000000" w:themeColor="text1"/>
          <w:lang w:eastAsia="en-AU"/>
        </w:rPr>
        <w:t>Department of Transport and Main Roads</w:t>
      </w:r>
    </w:p>
    <w:p w14:paraId="521E9E28"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Notes to the financial statements 2022–23 (continued)</w:t>
      </w:r>
    </w:p>
    <w:p w14:paraId="7BA647A8" w14:textId="77777777" w:rsidR="00BC5219" w:rsidRPr="008A2B8F" w:rsidRDefault="00BC5219" w:rsidP="00BC5219">
      <w:pPr>
        <w:spacing w:after="120" w:line="259" w:lineRule="auto"/>
        <w:rPr>
          <w:rFonts w:ascii="Meta Pro" w:hAnsi="Meta Pro"/>
          <w:b/>
          <w:bCs/>
          <w:lang w:eastAsia="en-AU"/>
        </w:rPr>
      </w:pPr>
      <w:r w:rsidRPr="008A2B8F">
        <w:rPr>
          <w:rFonts w:ascii="Meta Pro" w:hAnsi="Meta Pro"/>
          <w:b/>
          <w:bCs/>
          <w:lang w:eastAsia="en-AU"/>
        </w:rPr>
        <w:t>16      PUBLIC PRIVATE PARTNERSHIPS (continued)</w:t>
      </w:r>
    </w:p>
    <w:p w14:paraId="35180426" w14:textId="77777777" w:rsidR="00BC5219" w:rsidRPr="008A2B8F" w:rsidRDefault="00BC5219" w:rsidP="00BC5219">
      <w:pPr>
        <w:spacing w:after="120" w:line="259" w:lineRule="auto"/>
        <w:rPr>
          <w:rFonts w:ascii="Meta Pro" w:hAnsi="Meta Pro"/>
          <w:b/>
          <w:bCs/>
          <w:szCs w:val="18"/>
          <w:lang w:eastAsia="en-AU"/>
        </w:rPr>
      </w:pPr>
      <w:r w:rsidRPr="008A2B8F">
        <w:rPr>
          <w:rFonts w:ascii="Meta Pro" w:hAnsi="Meta Pro"/>
          <w:b/>
          <w:bCs/>
          <w:szCs w:val="18"/>
          <w:lang w:eastAsia="en-AU"/>
        </w:rPr>
        <w:t>SERVICE CONCESSION ARRANGEMENTS UNDER AASB 1059 (continued)</w:t>
      </w:r>
    </w:p>
    <w:p w14:paraId="7563F30E" w14:textId="77777777" w:rsidR="00BC5219" w:rsidRPr="008A2B8F" w:rsidRDefault="00BC5219" w:rsidP="00BC5219">
      <w:pPr>
        <w:spacing w:after="120"/>
        <w:rPr>
          <w:rFonts w:ascii="Meta Pro" w:eastAsia="Times New Roman" w:hAnsi="Meta Pro"/>
          <w:b/>
          <w:bCs/>
          <w:szCs w:val="18"/>
          <w:lang w:eastAsia="en-AU"/>
        </w:rPr>
      </w:pPr>
      <w:r w:rsidRPr="008A2B8F">
        <w:rPr>
          <w:rFonts w:ascii="Meta Pro" w:eastAsia="Times New Roman" w:hAnsi="Meta Pro"/>
          <w:b/>
          <w:bCs/>
          <w:szCs w:val="18"/>
          <w:lang w:eastAsia="en-AU"/>
        </w:rPr>
        <w:t>Gold Coast Light Rail – G:link (continued)</w:t>
      </w:r>
    </w:p>
    <w:p w14:paraId="16704458" w14:textId="77777777" w:rsidR="00BC5219" w:rsidRPr="008A2B8F" w:rsidRDefault="00BC5219" w:rsidP="00BC5219">
      <w:pPr>
        <w:spacing w:after="120"/>
        <w:rPr>
          <w:rFonts w:ascii="Meta Pro" w:eastAsia="Times New Roman" w:hAnsi="Meta Pro"/>
          <w:szCs w:val="18"/>
          <w:lang w:eastAsia="en-AU"/>
        </w:rPr>
      </w:pPr>
      <w:r w:rsidRPr="008A2B8F">
        <w:rPr>
          <w:rFonts w:ascii="Meta Pro" w:eastAsia="Times New Roman" w:hAnsi="Meta Pro"/>
          <w:szCs w:val="18"/>
          <w:lang w:eastAsia="en-AU"/>
        </w:rPr>
        <w:t>Planning has begun for the Gold Coast Light Rail Stage four, a 13km extension south of the light rail Stage three, linking Burleigh Heads to Coolangatta via the Gold Coast Airport.</w:t>
      </w:r>
      <w:r w:rsidRPr="008A2B8F">
        <w:rPr>
          <w:rFonts w:ascii="Meta Pro" w:eastAsia="Times New Roman" w:hAnsi="Meta Pro"/>
          <w:szCs w:val="18"/>
          <w:lang w:eastAsia="en-AU"/>
        </w:rPr>
        <w:tab/>
      </w:r>
    </w:p>
    <w:p w14:paraId="6BFA98F1" w14:textId="77777777" w:rsidR="00BC5219" w:rsidRPr="008A2B8F" w:rsidRDefault="00BC5219" w:rsidP="00BC5219">
      <w:pPr>
        <w:spacing w:after="120"/>
        <w:rPr>
          <w:rFonts w:ascii="Meta Pro" w:eastAsia="Times New Roman" w:hAnsi="Meta Pro"/>
          <w:szCs w:val="18"/>
          <w:lang w:eastAsia="en-AU"/>
        </w:rPr>
      </w:pPr>
      <w:r w:rsidRPr="008A2B8F">
        <w:rPr>
          <w:rFonts w:ascii="Meta Pro" w:eastAsia="Times New Roman" w:hAnsi="Meta Pro"/>
          <w:szCs w:val="18"/>
          <w:lang w:eastAsia="en-AU"/>
        </w:rPr>
        <w:t>At the expiry of the concession period the department will retain ownership of the light rail system.</w:t>
      </w:r>
      <w:r w:rsidRPr="008A2B8F">
        <w:rPr>
          <w:rFonts w:ascii="Meta Pro" w:eastAsia="Times New Roman" w:hAnsi="Meta Pro"/>
          <w:szCs w:val="18"/>
          <w:lang w:eastAsia="en-AU"/>
        </w:rPr>
        <w:tab/>
      </w:r>
      <w:r w:rsidRPr="008A2B8F">
        <w:rPr>
          <w:rFonts w:ascii="Meta Pro" w:eastAsia="Times New Roman" w:hAnsi="Meta Pro"/>
          <w:szCs w:val="18"/>
          <w:lang w:eastAsia="en-AU"/>
        </w:rPr>
        <w:tab/>
      </w:r>
    </w:p>
    <w:tbl>
      <w:tblPr>
        <w:tblW w:w="0" w:type="auto"/>
        <w:tblLook w:val="04A0" w:firstRow="1" w:lastRow="0" w:firstColumn="1" w:lastColumn="0" w:noHBand="0" w:noVBand="1"/>
      </w:tblPr>
      <w:tblGrid>
        <w:gridCol w:w="6219"/>
        <w:gridCol w:w="1012"/>
        <w:gridCol w:w="1156"/>
        <w:gridCol w:w="333"/>
        <w:gridCol w:w="1111"/>
      </w:tblGrid>
      <w:tr w:rsidR="00BC5219" w:rsidRPr="008A2B8F" w14:paraId="5FFFF7FC" w14:textId="77777777" w:rsidTr="00E83802">
        <w:trPr>
          <w:trHeight w:val="230"/>
        </w:trPr>
        <w:tc>
          <w:tcPr>
            <w:tcW w:w="6219" w:type="dxa"/>
            <w:tcBorders>
              <w:top w:val="nil"/>
              <w:left w:val="nil"/>
              <w:bottom w:val="nil"/>
              <w:right w:val="nil"/>
            </w:tcBorders>
            <w:shd w:val="clear" w:color="auto" w:fill="auto"/>
            <w:noWrap/>
            <w:vAlign w:val="center"/>
            <w:hideMark/>
          </w:tcPr>
          <w:p w14:paraId="07CA3F81" w14:textId="77777777" w:rsidR="00BC5219" w:rsidRPr="008A2B8F" w:rsidRDefault="00BC5219" w:rsidP="00E83802">
            <w:pPr>
              <w:rPr>
                <w:rFonts w:ascii="Meta Pro" w:eastAsia="Times New Roman" w:hAnsi="Meta Pro" w:cs="Times New Roman"/>
                <w:sz w:val="24"/>
                <w:szCs w:val="24"/>
                <w:lang w:eastAsia="en-AU"/>
              </w:rPr>
            </w:pPr>
          </w:p>
        </w:tc>
        <w:tc>
          <w:tcPr>
            <w:tcW w:w="1012" w:type="dxa"/>
            <w:tcBorders>
              <w:top w:val="nil"/>
              <w:left w:val="nil"/>
              <w:bottom w:val="nil"/>
              <w:right w:val="nil"/>
            </w:tcBorders>
            <w:shd w:val="clear" w:color="auto" w:fill="auto"/>
            <w:noWrap/>
            <w:vAlign w:val="center"/>
            <w:hideMark/>
          </w:tcPr>
          <w:p w14:paraId="74F2E558" w14:textId="77777777" w:rsidR="00BC5219" w:rsidRPr="008A2B8F" w:rsidRDefault="00BC5219" w:rsidP="00E83802">
            <w:pPr>
              <w:jc w:val="center"/>
              <w:rPr>
                <w:rFonts w:ascii="Meta Pro" w:eastAsia="Times New Roman" w:hAnsi="Meta Pro"/>
                <w:b/>
                <w:bCs/>
                <w:color w:val="000000"/>
                <w:lang w:eastAsia="en-AU"/>
              </w:rPr>
            </w:pPr>
            <w:r w:rsidRPr="008A2B8F">
              <w:rPr>
                <w:rFonts w:ascii="Meta Pro" w:eastAsia="Times New Roman" w:hAnsi="Meta Pro"/>
                <w:b/>
                <w:bCs/>
                <w:color w:val="000000"/>
                <w:lang w:eastAsia="en-AU"/>
              </w:rPr>
              <w:t>Note</w:t>
            </w:r>
          </w:p>
        </w:tc>
        <w:tc>
          <w:tcPr>
            <w:tcW w:w="1156" w:type="dxa"/>
            <w:tcBorders>
              <w:top w:val="nil"/>
              <w:left w:val="nil"/>
              <w:bottom w:val="nil"/>
              <w:right w:val="nil"/>
            </w:tcBorders>
            <w:shd w:val="clear" w:color="auto" w:fill="auto"/>
            <w:noWrap/>
            <w:vAlign w:val="center"/>
            <w:hideMark/>
          </w:tcPr>
          <w:p w14:paraId="255544A0" w14:textId="77777777" w:rsidR="00BC5219" w:rsidRPr="008A2B8F" w:rsidRDefault="00BC5219" w:rsidP="00E83802">
            <w:pPr>
              <w:jc w:val="center"/>
              <w:rPr>
                <w:rFonts w:ascii="Meta Pro" w:eastAsia="Times New Roman" w:hAnsi="Meta Pro"/>
                <w:b/>
                <w:bCs/>
                <w:color w:val="000000"/>
                <w:lang w:eastAsia="en-AU"/>
              </w:rPr>
            </w:pPr>
            <w:r w:rsidRPr="008A2B8F">
              <w:rPr>
                <w:rFonts w:ascii="Meta Pro" w:eastAsia="Times New Roman" w:hAnsi="Meta Pro"/>
                <w:b/>
                <w:bCs/>
                <w:color w:val="000000"/>
                <w:lang w:eastAsia="en-AU"/>
              </w:rPr>
              <w:t>2023</w:t>
            </w:r>
          </w:p>
        </w:tc>
        <w:tc>
          <w:tcPr>
            <w:tcW w:w="333" w:type="dxa"/>
            <w:tcBorders>
              <w:top w:val="nil"/>
              <w:left w:val="nil"/>
              <w:bottom w:val="nil"/>
              <w:right w:val="nil"/>
            </w:tcBorders>
            <w:shd w:val="clear" w:color="auto" w:fill="auto"/>
            <w:noWrap/>
            <w:vAlign w:val="center"/>
            <w:hideMark/>
          </w:tcPr>
          <w:p w14:paraId="53367814" w14:textId="77777777" w:rsidR="00BC5219" w:rsidRPr="008A2B8F" w:rsidRDefault="00BC5219" w:rsidP="00E83802">
            <w:pPr>
              <w:jc w:val="center"/>
              <w:rPr>
                <w:rFonts w:ascii="Meta Pro" w:eastAsia="Times New Roman" w:hAnsi="Meta Pro"/>
                <w:b/>
                <w:bCs/>
                <w:color w:val="000000"/>
                <w:lang w:eastAsia="en-AU"/>
              </w:rPr>
            </w:pPr>
          </w:p>
        </w:tc>
        <w:tc>
          <w:tcPr>
            <w:tcW w:w="1111" w:type="dxa"/>
            <w:tcBorders>
              <w:top w:val="nil"/>
              <w:left w:val="nil"/>
              <w:bottom w:val="nil"/>
              <w:right w:val="nil"/>
            </w:tcBorders>
            <w:shd w:val="clear" w:color="auto" w:fill="auto"/>
            <w:noWrap/>
            <w:vAlign w:val="center"/>
            <w:hideMark/>
          </w:tcPr>
          <w:p w14:paraId="6BA97BD1" w14:textId="77777777" w:rsidR="00BC5219" w:rsidRPr="008A2B8F" w:rsidRDefault="00BC5219" w:rsidP="00E83802">
            <w:pPr>
              <w:jc w:val="center"/>
              <w:rPr>
                <w:rFonts w:ascii="Meta Pro" w:eastAsia="Times New Roman" w:hAnsi="Meta Pro"/>
                <w:b/>
                <w:bCs/>
                <w:lang w:eastAsia="en-AU"/>
              </w:rPr>
            </w:pPr>
            <w:r w:rsidRPr="008A2B8F">
              <w:rPr>
                <w:rFonts w:ascii="Meta Pro" w:eastAsia="Times New Roman" w:hAnsi="Meta Pro"/>
                <w:b/>
                <w:bCs/>
                <w:lang w:eastAsia="en-AU"/>
              </w:rPr>
              <w:t>2022</w:t>
            </w:r>
          </w:p>
        </w:tc>
      </w:tr>
      <w:tr w:rsidR="00BC5219" w:rsidRPr="008A2B8F" w14:paraId="0F65A489" w14:textId="77777777" w:rsidTr="00E83802">
        <w:trPr>
          <w:trHeight w:val="230"/>
        </w:trPr>
        <w:tc>
          <w:tcPr>
            <w:tcW w:w="6219" w:type="dxa"/>
            <w:tcBorders>
              <w:top w:val="nil"/>
              <w:left w:val="nil"/>
              <w:bottom w:val="nil"/>
              <w:right w:val="nil"/>
            </w:tcBorders>
            <w:shd w:val="clear" w:color="auto" w:fill="auto"/>
            <w:noWrap/>
            <w:vAlign w:val="center"/>
            <w:hideMark/>
          </w:tcPr>
          <w:p w14:paraId="79D97082" w14:textId="77777777" w:rsidR="00BC5219" w:rsidRPr="008A2B8F" w:rsidRDefault="00BC5219" w:rsidP="00E83802">
            <w:pPr>
              <w:jc w:val="center"/>
              <w:rPr>
                <w:rFonts w:ascii="Meta Pro" w:eastAsia="Times New Roman" w:hAnsi="Meta Pro"/>
                <w:b/>
                <w:bCs/>
                <w:lang w:eastAsia="en-AU"/>
              </w:rPr>
            </w:pPr>
          </w:p>
        </w:tc>
        <w:tc>
          <w:tcPr>
            <w:tcW w:w="1012" w:type="dxa"/>
            <w:tcBorders>
              <w:top w:val="nil"/>
              <w:left w:val="nil"/>
              <w:bottom w:val="nil"/>
              <w:right w:val="nil"/>
            </w:tcBorders>
            <w:shd w:val="clear" w:color="auto" w:fill="auto"/>
            <w:noWrap/>
            <w:vAlign w:val="center"/>
            <w:hideMark/>
          </w:tcPr>
          <w:p w14:paraId="25BE35FF" w14:textId="77777777" w:rsidR="00BC5219" w:rsidRPr="008A2B8F" w:rsidRDefault="00BC5219" w:rsidP="00E83802">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0D2A3A67" w14:textId="77777777" w:rsidR="00BC5219" w:rsidRPr="008A2B8F" w:rsidRDefault="00BC5219" w:rsidP="00E83802">
            <w:pPr>
              <w:jc w:val="center"/>
              <w:rPr>
                <w:rFonts w:ascii="Meta Pro" w:eastAsia="Times New Roman" w:hAnsi="Meta Pro"/>
                <w:b/>
                <w:bCs/>
                <w:lang w:eastAsia="en-AU"/>
              </w:rPr>
            </w:pPr>
            <w:r w:rsidRPr="008A2B8F">
              <w:rPr>
                <w:rFonts w:ascii="Meta Pro" w:eastAsia="Times New Roman" w:hAnsi="Meta Pro"/>
                <w:b/>
                <w:bCs/>
                <w:lang w:eastAsia="en-AU"/>
              </w:rPr>
              <w:t>$'000</w:t>
            </w:r>
          </w:p>
        </w:tc>
        <w:tc>
          <w:tcPr>
            <w:tcW w:w="333" w:type="dxa"/>
            <w:tcBorders>
              <w:top w:val="nil"/>
              <w:left w:val="nil"/>
              <w:bottom w:val="nil"/>
              <w:right w:val="nil"/>
            </w:tcBorders>
            <w:shd w:val="clear" w:color="auto" w:fill="auto"/>
            <w:noWrap/>
            <w:vAlign w:val="center"/>
            <w:hideMark/>
          </w:tcPr>
          <w:p w14:paraId="280F2ED4" w14:textId="77777777" w:rsidR="00BC5219" w:rsidRPr="008A2B8F" w:rsidRDefault="00BC5219" w:rsidP="00E83802">
            <w:pPr>
              <w:jc w:val="center"/>
              <w:rPr>
                <w:rFonts w:ascii="Meta Pro" w:eastAsia="Times New Roman" w:hAnsi="Meta Pro"/>
                <w:b/>
                <w:bCs/>
                <w:lang w:eastAsia="en-AU"/>
              </w:rPr>
            </w:pPr>
          </w:p>
        </w:tc>
        <w:tc>
          <w:tcPr>
            <w:tcW w:w="1111" w:type="dxa"/>
            <w:tcBorders>
              <w:top w:val="nil"/>
              <w:left w:val="nil"/>
              <w:bottom w:val="nil"/>
              <w:right w:val="nil"/>
            </w:tcBorders>
            <w:shd w:val="clear" w:color="auto" w:fill="auto"/>
            <w:noWrap/>
            <w:vAlign w:val="center"/>
            <w:hideMark/>
          </w:tcPr>
          <w:p w14:paraId="69843156" w14:textId="77777777" w:rsidR="00BC5219" w:rsidRPr="008A2B8F" w:rsidRDefault="00BC5219" w:rsidP="00E83802">
            <w:pPr>
              <w:jc w:val="center"/>
              <w:rPr>
                <w:rFonts w:ascii="Meta Pro" w:eastAsia="Times New Roman" w:hAnsi="Meta Pro"/>
                <w:b/>
                <w:bCs/>
                <w:lang w:eastAsia="en-AU"/>
              </w:rPr>
            </w:pPr>
            <w:r w:rsidRPr="008A2B8F">
              <w:rPr>
                <w:rFonts w:ascii="Meta Pro" w:eastAsia="Times New Roman" w:hAnsi="Meta Pro"/>
                <w:b/>
                <w:bCs/>
                <w:lang w:eastAsia="en-AU"/>
              </w:rPr>
              <w:t>$'000</w:t>
            </w:r>
          </w:p>
        </w:tc>
      </w:tr>
    </w:tbl>
    <w:p w14:paraId="4965CBA6" w14:textId="77777777" w:rsidR="00BC5219" w:rsidRPr="008A2B8F" w:rsidRDefault="00BC5219" w:rsidP="00BC5219">
      <w:pPr>
        <w:spacing w:after="120"/>
        <w:rPr>
          <w:rFonts w:ascii="Meta Pro" w:eastAsia="Times New Roman" w:hAnsi="Meta Pro"/>
          <w:b/>
          <w:bCs/>
          <w:szCs w:val="18"/>
          <w:lang w:eastAsia="en-AU"/>
        </w:rPr>
      </w:pPr>
      <w:r w:rsidRPr="008A2B8F">
        <w:rPr>
          <w:rFonts w:ascii="Meta Pro" w:eastAsia="Times New Roman" w:hAnsi="Meta Pro"/>
          <w:szCs w:val="18"/>
          <w:lang w:eastAsia="en-AU"/>
        </w:rPr>
        <w:tab/>
      </w:r>
      <w:r w:rsidRPr="008A2B8F">
        <w:rPr>
          <w:rFonts w:ascii="Meta Pro" w:eastAsia="Times New Roman" w:hAnsi="Meta Pro"/>
          <w:szCs w:val="18"/>
          <w:lang w:eastAsia="en-AU"/>
        </w:rPr>
        <w:tab/>
      </w:r>
      <w:r w:rsidRPr="008A2B8F">
        <w:rPr>
          <w:rFonts w:ascii="Meta Pro" w:eastAsia="Times New Roman" w:hAnsi="Meta Pro"/>
          <w:szCs w:val="18"/>
          <w:lang w:eastAsia="en-AU"/>
        </w:rPr>
        <w:tab/>
      </w:r>
    </w:p>
    <w:p w14:paraId="61427BC4" w14:textId="77777777" w:rsidR="00BC5219" w:rsidRPr="008A2B8F" w:rsidRDefault="00BC5219" w:rsidP="00BC5219">
      <w:pPr>
        <w:spacing w:after="120"/>
        <w:rPr>
          <w:rFonts w:ascii="Meta Pro" w:hAnsi="Meta Pro" w:cstheme="minorBidi"/>
        </w:rPr>
      </w:pPr>
      <w:r w:rsidRPr="008A2B8F">
        <w:rPr>
          <w:rFonts w:ascii="Meta Pro" w:eastAsia="Times New Roman" w:hAnsi="Meta Pro"/>
          <w:szCs w:val="18"/>
          <w:lang w:eastAsia="en-AU"/>
        </w:rPr>
        <w:t>The estimated future cash flows excluding GST are detailed below:</w:t>
      </w:r>
    </w:p>
    <w:tbl>
      <w:tblPr>
        <w:tblW w:w="0" w:type="auto"/>
        <w:tblCellMar>
          <w:left w:w="0" w:type="dxa"/>
        </w:tblCellMar>
        <w:tblLook w:val="04A0" w:firstRow="1" w:lastRow="0" w:firstColumn="1" w:lastColumn="0" w:noHBand="0" w:noVBand="1"/>
      </w:tblPr>
      <w:tblGrid>
        <w:gridCol w:w="6184"/>
        <w:gridCol w:w="1044"/>
        <w:gridCol w:w="1165"/>
        <w:gridCol w:w="224"/>
        <w:gridCol w:w="1165"/>
      </w:tblGrid>
      <w:tr w:rsidR="00BC5219" w:rsidRPr="008A2B8F" w14:paraId="5C149C27" w14:textId="77777777" w:rsidTr="00E83802">
        <w:trPr>
          <w:trHeight w:val="23"/>
        </w:trPr>
        <w:tc>
          <w:tcPr>
            <w:tcW w:w="6176" w:type="dxa"/>
            <w:tcBorders>
              <w:top w:val="nil"/>
              <w:left w:val="nil"/>
              <w:bottom w:val="nil"/>
              <w:right w:val="nil"/>
            </w:tcBorders>
            <w:shd w:val="clear" w:color="auto" w:fill="auto"/>
            <w:noWrap/>
            <w:vAlign w:val="center"/>
            <w:hideMark/>
          </w:tcPr>
          <w:p w14:paraId="4E92ED96"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Estimated cash flows</w:t>
            </w:r>
          </w:p>
        </w:tc>
        <w:tc>
          <w:tcPr>
            <w:tcW w:w="1036" w:type="dxa"/>
            <w:tcBorders>
              <w:top w:val="nil"/>
              <w:left w:val="nil"/>
              <w:bottom w:val="nil"/>
              <w:right w:val="nil"/>
            </w:tcBorders>
            <w:shd w:val="clear" w:color="auto" w:fill="auto"/>
            <w:noWrap/>
            <w:vAlign w:val="center"/>
            <w:hideMark/>
          </w:tcPr>
          <w:p w14:paraId="75B17618" w14:textId="77777777" w:rsidR="00BC5219" w:rsidRPr="008A2B8F" w:rsidRDefault="00BC5219" w:rsidP="00E83802">
            <w:pPr>
              <w:rPr>
                <w:rFonts w:ascii="Meta Pro" w:eastAsia="Times New Roman" w:hAnsi="Meta Pro"/>
                <w:b/>
                <w:bCs/>
                <w:szCs w:val="18"/>
                <w:lang w:eastAsia="en-AU"/>
              </w:rPr>
            </w:pPr>
          </w:p>
        </w:tc>
        <w:tc>
          <w:tcPr>
            <w:tcW w:w="1157" w:type="dxa"/>
            <w:tcBorders>
              <w:top w:val="nil"/>
              <w:left w:val="nil"/>
              <w:bottom w:val="nil"/>
              <w:right w:val="nil"/>
            </w:tcBorders>
            <w:shd w:val="clear" w:color="auto" w:fill="auto"/>
            <w:noWrap/>
            <w:vAlign w:val="center"/>
            <w:hideMark/>
          </w:tcPr>
          <w:p w14:paraId="340C786C" w14:textId="77777777" w:rsidR="00BC5219" w:rsidRPr="008A2B8F" w:rsidRDefault="00BC5219" w:rsidP="00E83802">
            <w:pPr>
              <w:jc w:val="cente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5D748AE5" w14:textId="77777777" w:rsidR="00BC5219" w:rsidRPr="008A2B8F" w:rsidRDefault="00BC5219" w:rsidP="00E83802">
            <w:pPr>
              <w:jc w:val="right"/>
              <w:rPr>
                <w:rFonts w:ascii="Meta Pro" w:eastAsia="Times New Roman" w:hAnsi="Meta Pro" w:cs="Times New Roman"/>
                <w:sz w:val="20"/>
                <w:szCs w:val="20"/>
                <w:lang w:eastAsia="en-AU"/>
              </w:rPr>
            </w:pPr>
          </w:p>
        </w:tc>
        <w:tc>
          <w:tcPr>
            <w:tcW w:w="1157" w:type="dxa"/>
            <w:tcBorders>
              <w:top w:val="nil"/>
              <w:left w:val="nil"/>
              <w:bottom w:val="nil"/>
              <w:right w:val="nil"/>
            </w:tcBorders>
            <w:shd w:val="clear" w:color="auto" w:fill="auto"/>
            <w:noWrap/>
            <w:vAlign w:val="center"/>
            <w:hideMark/>
          </w:tcPr>
          <w:p w14:paraId="5B014DDA"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3D7D6537" w14:textId="77777777" w:rsidTr="00E83802">
        <w:trPr>
          <w:trHeight w:val="23"/>
        </w:trPr>
        <w:tc>
          <w:tcPr>
            <w:tcW w:w="6176" w:type="dxa"/>
            <w:tcBorders>
              <w:top w:val="nil"/>
              <w:left w:val="nil"/>
              <w:bottom w:val="nil"/>
              <w:right w:val="nil"/>
            </w:tcBorders>
            <w:shd w:val="clear" w:color="auto" w:fill="auto"/>
            <w:noWrap/>
            <w:vAlign w:val="center"/>
            <w:hideMark/>
          </w:tcPr>
          <w:p w14:paraId="1DB77CF4" w14:textId="77777777" w:rsidR="00BC5219" w:rsidRPr="008A2B8F" w:rsidRDefault="00BC5219" w:rsidP="00E83802">
            <w:pPr>
              <w:rPr>
                <w:rFonts w:ascii="Meta Pro" w:eastAsia="Times New Roman" w:hAnsi="Meta Pro"/>
                <w:i/>
                <w:iCs/>
                <w:szCs w:val="18"/>
                <w:lang w:eastAsia="en-AU"/>
              </w:rPr>
            </w:pPr>
            <w:r w:rsidRPr="008A2B8F">
              <w:rPr>
                <w:rFonts w:ascii="Meta Pro" w:eastAsia="Times New Roman" w:hAnsi="Meta Pro"/>
                <w:i/>
                <w:iCs/>
                <w:szCs w:val="18"/>
                <w:lang w:eastAsia="en-AU"/>
              </w:rPr>
              <w:t>Inflows:</w:t>
            </w:r>
          </w:p>
        </w:tc>
        <w:tc>
          <w:tcPr>
            <w:tcW w:w="1036" w:type="dxa"/>
            <w:tcBorders>
              <w:top w:val="nil"/>
              <w:left w:val="nil"/>
              <w:bottom w:val="nil"/>
              <w:right w:val="nil"/>
            </w:tcBorders>
            <w:shd w:val="clear" w:color="auto" w:fill="auto"/>
            <w:noWrap/>
            <w:vAlign w:val="center"/>
            <w:hideMark/>
          </w:tcPr>
          <w:p w14:paraId="23416EFD" w14:textId="77777777" w:rsidR="00BC5219" w:rsidRPr="008A2B8F" w:rsidRDefault="00BC5219" w:rsidP="00E83802">
            <w:pPr>
              <w:rPr>
                <w:rFonts w:ascii="Meta Pro" w:eastAsia="Times New Roman" w:hAnsi="Meta Pro"/>
                <w:i/>
                <w:iCs/>
                <w:szCs w:val="18"/>
                <w:lang w:eastAsia="en-AU"/>
              </w:rPr>
            </w:pPr>
          </w:p>
        </w:tc>
        <w:tc>
          <w:tcPr>
            <w:tcW w:w="1157" w:type="dxa"/>
            <w:tcBorders>
              <w:top w:val="nil"/>
              <w:left w:val="nil"/>
              <w:bottom w:val="nil"/>
              <w:right w:val="nil"/>
            </w:tcBorders>
            <w:shd w:val="clear" w:color="auto" w:fill="auto"/>
            <w:noWrap/>
            <w:vAlign w:val="center"/>
            <w:hideMark/>
          </w:tcPr>
          <w:p w14:paraId="204BAB4A" w14:textId="77777777" w:rsidR="00BC5219" w:rsidRPr="008A2B8F" w:rsidRDefault="00BC5219" w:rsidP="00E83802">
            <w:pPr>
              <w:jc w:val="cente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11F70563" w14:textId="77777777" w:rsidR="00BC5219" w:rsidRPr="008A2B8F" w:rsidRDefault="00BC5219" w:rsidP="00E83802">
            <w:pPr>
              <w:jc w:val="right"/>
              <w:rPr>
                <w:rFonts w:ascii="Meta Pro" w:eastAsia="Times New Roman" w:hAnsi="Meta Pro" w:cs="Times New Roman"/>
                <w:sz w:val="20"/>
                <w:szCs w:val="20"/>
                <w:lang w:eastAsia="en-AU"/>
              </w:rPr>
            </w:pPr>
          </w:p>
        </w:tc>
        <w:tc>
          <w:tcPr>
            <w:tcW w:w="1157" w:type="dxa"/>
            <w:tcBorders>
              <w:top w:val="nil"/>
              <w:left w:val="nil"/>
              <w:bottom w:val="nil"/>
              <w:right w:val="nil"/>
            </w:tcBorders>
            <w:shd w:val="clear" w:color="auto" w:fill="auto"/>
            <w:noWrap/>
            <w:vAlign w:val="center"/>
            <w:hideMark/>
          </w:tcPr>
          <w:p w14:paraId="4C964FBA"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6BECDFAB" w14:textId="77777777" w:rsidTr="00E83802">
        <w:trPr>
          <w:trHeight w:val="23"/>
        </w:trPr>
        <w:tc>
          <w:tcPr>
            <w:tcW w:w="6176" w:type="dxa"/>
            <w:tcBorders>
              <w:top w:val="nil"/>
              <w:left w:val="nil"/>
              <w:bottom w:val="nil"/>
              <w:right w:val="nil"/>
            </w:tcBorders>
            <w:shd w:val="clear" w:color="auto" w:fill="auto"/>
            <w:noWrap/>
            <w:vAlign w:val="center"/>
            <w:hideMark/>
          </w:tcPr>
          <w:p w14:paraId="0EA0D63C"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Not later than one year</w:t>
            </w:r>
          </w:p>
        </w:tc>
        <w:tc>
          <w:tcPr>
            <w:tcW w:w="1036" w:type="dxa"/>
            <w:tcBorders>
              <w:top w:val="nil"/>
              <w:left w:val="nil"/>
              <w:bottom w:val="nil"/>
              <w:right w:val="nil"/>
            </w:tcBorders>
            <w:shd w:val="clear" w:color="auto" w:fill="auto"/>
            <w:noWrap/>
            <w:vAlign w:val="center"/>
            <w:hideMark/>
          </w:tcPr>
          <w:p w14:paraId="4B477AD0" w14:textId="77777777" w:rsidR="00BC5219" w:rsidRPr="008A2B8F" w:rsidRDefault="00BC5219" w:rsidP="00E83802">
            <w:pPr>
              <w:rPr>
                <w:rFonts w:ascii="Meta Pro" w:eastAsia="Times New Roman" w:hAnsi="Meta Pro"/>
                <w:szCs w:val="18"/>
                <w:lang w:eastAsia="en-AU"/>
              </w:rPr>
            </w:pPr>
          </w:p>
        </w:tc>
        <w:tc>
          <w:tcPr>
            <w:tcW w:w="1157" w:type="dxa"/>
            <w:tcBorders>
              <w:top w:val="nil"/>
              <w:left w:val="nil"/>
              <w:bottom w:val="nil"/>
              <w:right w:val="nil"/>
            </w:tcBorders>
            <w:shd w:val="clear" w:color="000000" w:fill="C9E3B4"/>
            <w:noWrap/>
            <w:vAlign w:val="center"/>
            <w:hideMark/>
          </w:tcPr>
          <w:p w14:paraId="103F4E30"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23,207 </w:t>
            </w:r>
          </w:p>
        </w:tc>
        <w:tc>
          <w:tcPr>
            <w:tcW w:w="216" w:type="dxa"/>
            <w:tcBorders>
              <w:top w:val="nil"/>
              <w:left w:val="nil"/>
              <w:bottom w:val="nil"/>
              <w:right w:val="nil"/>
            </w:tcBorders>
            <w:shd w:val="clear" w:color="auto" w:fill="auto"/>
            <w:noWrap/>
            <w:vAlign w:val="center"/>
            <w:hideMark/>
          </w:tcPr>
          <w:p w14:paraId="67A74BFF" w14:textId="77777777" w:rsidR="00BC5219" w:rsidRPr="008A2B8F"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181B5732"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17,721 </w:t>
            </w:r>
          </w:p>
        </w:tc>
      </w:tr>
      <w:tr w:rsidR="00BC5219" w:rsidRPr="008A2B8F" w14:paraId="3F4F3BB2" w14:textId="77777777" w:rsidTr="00E83802">
        <w:trPr>
          <w:trHeight w:val="23"/>
        </w:trPr>
        <w:tc>
          <w:tcPr>
            <w:tcW w:w="6176" w:type="dxa"/>
            <w:tcBorders>
              <w:top w:val="nil"/>
              <w:left w:val="nil"/>
              <w:bottom w:val="nil"/>
              <w:right w:val="nil"/>
            </w:tcBorders>
            <w:shd w:val="clear" w:color="auto" w:fill="auto"/>
            <w:noWrap/>
            <w:vAlign w:val="center"/>
            <w:hideMark/>
          </w:tcPr>
          <w:p w14:paraId="794DA066"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Later than one year but not later than five years</w:t>
            </w:r>
          </w:p>
        </w:tc>
        <w:tc>
          <w:tcPr>
            <w:tcW w:w="1036" w:type="dxa"/>
            <w:tcBorders>
              <w:top w:val="nil"/>
              <w:left w:val="nil"/>
              <w:bottom w:val="nil"/>
              <w:right w:val="nil"/>
            </w:tcBorders>
            <w:shd w:val="clear" w:color="auto" w:fill="auto"/>
            <w:noWrap/>
            <w:vAlign w:val="center"/>
            <w:hideMark/>
          </w:tcPr>
          <w:p w14:paraId="320F5DDE" w14:textId="77777777" w:rsidR="00BC5219" w:rsidRPr="008A2B8F" w:rsidRDefault="00BC5219" w:rsidP="00E83802">
            <w:pPr>
              <w:rPr>
                <w:rFonts w:ascii="Meta Pro" w:eastAsia="Times New Roman" w:hAnsi="Meta Pro"/>
                <w:szCs w:val="18"/>
                <w:lang w:eastAsia="en-AU"/>
              </w:rPr>
            </w:pPr>
          </w:p>
        </w:tc>
        <w:tc>
          <w:tcPr>
            <w:tcW w:w="1157" w:type="dxa"/>
            <w:tcBorders>
              <w:top w:val="nil"/>
              <w:left w:val="nil"/>
              <w:bottom w:val="nil"/>
              <w:right w:val="nil"/>
            </w:tcBorders>
            <w:shd w:val="clear" w:color="000000" w:fill="C9E3B4"/>
            <w:noWrap/>
            <w:vAlign w:val="center"/>
            <w:hideMark/>
          </w:tcPr>
          <w:p w14:paraId="1290EE62"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99,254 </w:t>
            </w:r>
          </w:p>
        </w:tc>
        <w:tc>
          <w:tcPr>
            <w:tcW w:w="216" w:type="dxa"/>
            <w:tcBorders>
              <w:top w:val="nil"/>
              <w:left w:val="nil"/>
              <w:bottom w:val="nil"/>
              <w:right w:val="nil"/>
            </w:tcBorders>
            <w:shd w:val="clear" w:color="auto" w:fill="auto"/>
            <w:noWrap/>
            <w:vAlign w:val="center"/>
            <w:hideMark/>
          </w:tcPr>
          <w:p w14:paraId="5D15EC2F" w14:textId="77777777" w:rsidR="00BC5219" w:rsidRPr="008A2B8F"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2D12A4F6"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96,732 </w:t>
            </w:r>
          </w:p>
        </w:tc>
      </w:tr>
      <w:tr w:rsidR="00BC5219" w:rsidRPr="008A2B8F" w14:paraId="106E1074" w14:textId="77777777" w:rsidTr="00E83802">
        <w:trPr>
          <w:trHeight w:val="23"/>
        </w:trPr>
        <w:tc>
          <w:tcPr>
            <w:tcW w:w="6176" w:type="dxa"/>
            <w:tcBorders>
              <w:top w:val="nil"/>
              <w:left w:val="nil"/>
              <w:bottom w:val="nil"/>
              <w:right w:val="nil"/>
            </w:tcBorders>
            <w:shd w:val="clear" w:color="auto" w:fill="auto"/>
            <w:noWrap/>
            <w:vAlign w:val="center"/>
            <w:hideMark/>
          </w:tcPr>
          <w:p w14:paraId="5DB1FCB2"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Later than five years but not later than ten years</w:t>
            </w:r>
          </w:p>
        </w:tc>
        <w:tc>
          <w:tcPr>
            <w:tcW w:w="1036" w:type="dxa"/>
            <w:tcBorders>
              <w:top w:val="nil"/>
              <w:left w:val="nil"/>
              <w:bottom w:val="nil"/>
              <w:right w:val="nil"/>
            </w:tcBorders>
            <w:shd w:val="clear" w:color="auto" w:fill="auto"/>
            <w:noWrap/>
            <w:vAlign w:val="center"/>
            <w:hideMark/>
          </w:tcPr>
          <w:p w14:paraId="10381B20" w14:textId="77777777" w:rsidR="00BC5219" w:rsidRPr="008A2B8F" w:rsidRDefault="00BC5219" w:rsidP="00E83802">
            <w:pPr>
              <w:rPr>
                <w:rFonts w:ascii="Meta Pro" w:eastAsia="Times New Roman" w:hAnsi="Meta Pro"/>
                <w:szCs w:val="18"/>
                <w:lang w:eastAsia="en-AU"/>
              </w:rPr>
            </w:pPr>
          </w:p>
        </w:tc>
        <w:tc>
          <w:tcPr>
            <w:tcW w:w="1157" w:type="dxa"/>
            <w:tcBorders>
              <w:top w:val="nil"/>
              <w:left w:val="nil"/>
              <w:bottom w:val="nil"/>
              <w:right w:val="nil"/>
            </w:tcBorders>
            <w:shd w:val="clear" w:color="000000" w:fill="C9E3B4"/>
            <w:noWrap/>
            <w:vAlign w:val="center"/>
            <w:hideMark/>
          </w:tcPr>
          <w:p w14:paraId="537541A9"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26,271 </w:t>
            </w:r>
          </w:p>
        </w:tc>
        <w:tc>
          <w:tcPr>
            <w:tcW w:w="216" w:type="dxa"/>
            <w:tcBorders>
              <w:top w:val="nil"/>
              <w:left w:val="nil"/>
              <w:bottom w:val="nil"/>
              <w:right w:val="nil"/>
            </w:tcBorders>
            <w:shd w:val="clear" w:color="auto" w:fill="auto"/>
            <w:noWrap/>
            <w:vAlign w:val="center"/>
            <w:hideMark/>
          </w:tcPr>
          <w:p w14:paraId="5464E296" w14:textId="77777777" w:rsidR="00BC5219" w:rsidRPr="008A2B8F"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3D556770"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103,165 </w:t>
            </w:r>
          </w:p>
        </w:tc>
      </w:tr>
      <w:tr w:rsidR="00BC5219" w:rsidRPr="008A2B8F" w14:paraId="0CDC5088" w14:textId="77777777" w:rsidTr="00E83802">
        <w:trPr>
          <w:trHeight w:val="23"/>
        </w:trPr>
        <w:tc>
          <w:tcPr>
            <w:tcW w:w="6176" w:type="dxa"/>
            <w:tcBorders>
              <w:top w:val="nil"/>
              <w:left w:val="nil"/>
              <w:bottom w:val="nil"/>
              <w:right w:val="nil"/>
            </w:tcBorders>
            <w:shd w:val="clear" w:color="auto" w:fill="auto"/>
            <w:noWrap/>
            <w:vAlign w:val="center"/>
            <w:hideMark/>
          </w:tcPr>
          <w:p w14:paraId="6979E0AB" w14:textId="77777777" w:rsidR="00BC5219" w:rsidRPr="008A2B8F" w:rsidRDefault="00BC5219" w:rsidP="00E83802">
            <w:pPr>
              <w:rPr>
                <w:rFonts w:ascii="Meta Pro" w:eastAsia="Times New Roman" w:hAnsi="Meta Pro"/>
                <w:i/>
                <w:iCs/>
                <w:szCs w:val="18"/>
                <w:lang w:eastAsia="en-AU"/>
              </w:rPr>
            </w:pPr>
            <w:r w:rsidRPr="008A2B8F">
              <w:rPr>
                <w:rFonts w:ascii="Meta Pro" w:eastAsia="Times New Roman" w:hAnsi="Meta Pro"/>
                <w:i/>
                <w:iCs/>
                <w:szCs w:val="18"/>
                <w:lang w:eastAsia="en-AU"/>
              </w:rPr>
              <w:t>Outflows:</w:t>
            </w:r>
          </w:p>
        </w:tc>
        <w:tc>
          <w:tcPr>
            <w:tcW w:w="1036" w:type="dxa"/>
            <w:tcBorders>
              <w:top w:val="nil"/>
              <w:left w:val="nil"/>
              <w:bottom w:val="nil"/>
              <w:right w:val="nil"/>
            </w:tcBorders>
            <w:shd w:val="clear" w:color="auto" w:fill="auto"/>
            <w:noWrap/>
            <w:vAlign w:val="center"/>
            <w:hideMark/>
          </w:tcPr>
          <w:p w14:paraId="03ACF89C" w14:textId="77777777" w:rsidR="00BC5219" w:rsidRPr="008A2B8F" w:rsidRDefault="00BC5219" w:rsidP="00E83802">
            <w:pPr>
              <w:rPr>
                <w:rFonts w:ascii="Meta Pro" w:eastAsia="Times New Roman" w:hAnsi="Meta Pro"/>
                <w:i/>
                <w:iCs/>
                <w:szCs w:val="18"/>
                <w:lang w:eastAsia="en-AU"/>
              </w:rPr>
            </w:pPr>
          </w:p>
        </w:tc>
        <w:tc>
          <w:tcPr>
            <w:tcW w:w="1157" w:type="dxa"/>
            <w:tcBorders>
              <w:top w:val="nil"/>
              <w:left w:val="nil"/>
              <w:bottom w:val="nil"/>
              <w:right w:val="nil"/>
            </w:tcBorders>
            <w:shd w:val="clear" w:color="000000" w:fill="C9E3B4"/>
            <w:noWrap/>
            <w:vAlign w:val="center"/>
            <w:hideMark/>
          </w:tcPr>
          <w:p w14:paraId="1DCA2F26" w14:textId="77777777" w:rsidR="00BC5219" w:rsidRPr="008A2B8F" w:rsidRDefault="00BC5219" w:rsidP="00E83802">
            <w:pPr>
              <w:rPr>
                <w:rFonts w:ascii="Meta Pro" w:eastAsia="Times New Roman" w:hAnsi="Meta Pro"/>
                <w:i/>
                <w:iCs/>
                <w:szCs w:val="18"/>
                <w:lang w:eastAsia="en-AU"/>
              </w:rPr>
            </w:pPr>
            <w:r w:rsidRPr="008A2B8F">
              <w:rPr>
                <w:rFonts w:ascii="Meta Pro" w:eastAsia="Times New Roman" w:hAnsi="Meta Pro"/>
                <w:i/>
                <w:iCs/>
                <w:szCs w:val="18"/>
                <w:lang w:eastAsia="en-AU"/>
              </w:rPr>
              <w:t> </w:t>
            </w:r>
          </w:p>
        </w:tc>
        <w:tc>
          <w:tcPr>
            <w:tcW w:w="216" w:type="dxa"/>
            <w:tcBorders>
              <w:top w:val="nil"/>
              <w:left w:val="nil"/>
              <w:bottom w:val="nil"/>
              <w:right w:val="nil"/>
            </w:tcBorders>
            <w:shd w:val="clear" w:color="auto" w:fill="auto"/>
            <w:noWrap/>
            <w:vAlign w:val="center"/>
            <w:hideMark/>
          </w:tcPr>
          <w:p w14:paraId="707F7A4D" w14:textId="77777777" w:rsidR="00BC5219" w:rsidRPr="008A2B8F" w:rsidRDefault="00BC5219" w:rsidP="00E83802">
            <w:pPr>
              <w:rPr>
                <w:rFonts w:ascii="Meta Pro" w:eastAsia="Times New Roman" w:hAnsi="Meta Pro"/>
                <w:i/>
                <w:iCs/>
                <w:szCs w:val="18"/>
                <w:lang w:eastAsia="en-AU"/>
              </w:rPr>
            </w:pPr>
          </w:p>
        </w:tc>
        <w:tc>
          <w:tcPr>
            <w:tcW w:w="1157" w:type="dxa"/>
            <w:tcBorders>
              <w:top w:val="nil"/>
              <w:left w:val="nil"/>
              <w:bottom w:val="nil"/>
              <w:right w:val="nil"/>
            </w:tcBorders>
            <w:shd w:val="clear" w:color="auto" w:fill="auto"/>
            <w:noWrap/>
            <w:vAlign w:val="center"/>
            <w:hideMark/>
          </w:tcPr>
          <w:p w14:paraId="6583D056"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54E7769A" w14:textId="77777777" w:rsidTr="00E83802">
        <w:trPr>
          <w:trHeight w:val="23"/>
        </w:trPr>
        <w:tc>
          <w:tcPr>
            <w:tcW w:w="6176" w:type="dxa"/>
            <w:tcBorders>
              <w:top w:val="nil"/>
              <w:left w:val="nil"/>
              <w:bottom w:val="nil"/>
              <w:right w:val="nil"/>
            </w:tcBorders>
            <w:shd w:val="clear" w:color="auto" w:fill="auto"/>
            <w:noWrap/>
            <w:vAlign w:val="center"/>
            <w:hideMark/>
          </w:tcPr>
          <w:p w14:paraId="7B0A2A59"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Not later than one year</w:t>
            </w:r>
          </w:p>
        </w:tc>
        <w:tc>
          <w:tcPr>
            <w:tcW w:w="1036" w:type="dxa"/>
            <w:tcBorders>
              <w:top w:val="nil"/>
              <w:left w:val="nil"/>
              <w:bottom w:val="nil"/>
              <w:right w:val="nil"/>
            </w:tcBorders>
            <w:shd w:val="clear" w:color="auto" w:fill="auto"/>
            <w:noWrap/>
            <w:vAlign w:val="center"/>
            <w:hideMark/>
          </w:tcPr>
          <w:p w14:paraId="50079A55" w14:textId="77777777" w:rsidR="00BC5219" w:rsidRPr="008A2B8F" w:rsidRDefault="00BC5219" w:rsidP="00E83802">
            <w:pPr>
              <w:rPr>
                <w:rFonts w:ascii="Meta Pro" w:eastAsia="Times New Roman" w:hAnsi="Meta Pro"/>
                <w:szCs w:val="18"/>
                <w:lang w:eastAsia="en-AU"/>
              </w:rPr>
            </w:pPr>
          </w:p>
        </w:tc>
        <w:tc>
          <w:tcPr>
            <w:tcW w:w="1157" w:type="dxa"/>
            <w:tcBorders>
              <w:top w:val="nil"/>
              <w:left w:val="nil"/>
              <w:bottom w:val="nil"/>
              <w:right w:val="nil"/>
            </w:tcBorders>
            <w:shd w:val="clear" w:color="000000" w:fill="C9E3B4"/>
            <w:noWrap/>
            <w:vAlign w:val="center"/>
            <w:hideMark/>
          </w:tcPr>
          <w:p w14:paraId="4EB88E69"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(122,573)</w:t>
            </w:r>
          </w:p>
        </w:tc>
        <w:tc>
          <w:tcPr>
            <w:tcW w:w="216" w:type="dxa"/>
            <w:tcBorders>
              <w:top w:val="nil"/>
              <w:left w:val="nil"/>
              <w:bottom w:val="nil"/>
              <w:right w:val="nil"/>
            </w:tcBorders>
            <w:shd w:val="clear" w:color="auto" w:fill="auto"/>
            <w:noWrap/>
            <w:vAlign w:val="center"/>
            <w:hideMark/>
          </w:tcPr>
          <w:p w14:paraId="193C42B1" w14:textId="77777777" w:rsidR="00BC5219" w:rsidRPr="008A2B8F"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37D72D09"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(111,650)</w:t>
            </w:r>
          </w:p>
        </w:tc>
      </w:tr>
      <w:tr w:rsidR="00BC5219" w:rsidRPr="008A2B8F" w14:paraId="368F0AA7" w14:textId="77777777" w:rsidTr="00E83802">
        <w:trPr>
          <w:trHeight w:val="23"/>
        </w:trPr>
        <w:tc>
          <w:tcPr>
            <w:tcW w:w="6176" w:type="dxa"/>
            <w:tcBorders>
              <w:top w:val="nil"/>
              <w:left w:val="nil"/>
              <w:bottom w:val="nil"/>
              <w:right w:val="nil"/>
            </w:tcBorders>
            <w:shd w:val="clear" w:color="auto" w:fill="auto"/>
            <w:noWrap/>
            <w:vAlign w:val="center"/>
            <w:hideMark/>
          </w:tcPr>
          <w:p w14:paraId="4EBDE4F6"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Later than one year but not later than five years *</w:t>
            </w:r>
          </w:p>
        </w:tc>
        <w:tc>
          <w:tcPr>
            <w:tcW w:w="1036" w:type="dxa"/>
            <w:tcBorders>
              <w:top w:val="nil"/>
              <w:left w:val="nil"/>
              <w:bottom w:val="nil"/>
              <w:right w:val="nil"/>
            </w:tcBorders>
            <w:shd w:val="clear" w:color="auto" w:fill="auto"/>
            <w:noWrap/>
            <w:vAlign w:val="center"/>
            <w:hideMark/>
          </w:tcPr>
          <w:p w14:paraId="6605843C" w14:textId="77777777" w:rsidR="00BC5219" w:rsidRPr="008A2B8F" w:rsidRDefault="00BC5219" w:rsidP="00E83802">
            <w:pPr>
              <w:rPr>
                <w:rFonts w:ascii="Meta Pro" w:eastAsia="Times New Roman" w:hAnsi="Meta Pro"/>
                <w:szCs w:val="18"/>
                <w:lang w:eastAsia="en-AU"/>
              </w:rPr>
            </w:pPr>
          </w:p>
        </w:tc>
        <w:tc>
          <w:tcPr>
            <w:tcW w:w="1157" w:type="dxa"/>
            <w:tcBorders>
              <w:top w:val="nil"/>
              <w:left w:val="nil"/>
              <w:bottom w:val="nil"/>
              <w:right w:val="nil"/>
            </w:tcBorders>
            <w:shd w:val="clear" w:color="000000" w:fill="C9E3B4"/>
            <w:noWrap/>
            <w:vAlign w:val="center"/>
            <w:hideMark/>
          </w:tcPr>
          <w:p w14:paraId="7CAEEDF3"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(880,957)</w:t>
            </w:r>
          </w:p>
        </w:tc>
        <w:tc>
          <w:tcPr>
            <w:tcW w:w="216" w:type="dxa"/>
            <w:tcBorders>
              <w:top w:val="nil"/>
              <w:left w:val="nil"/>
              <w:bottom w:val="nil"/>
              <w:right w:val="nil"/>
            </w:tcBorders>
            <w:shd w:val="clear" w:color="auto" w:fill="auto"/>
            <w:noWrap/>
            <w:vAlign w:val="center"/>
            <w:hideMark/>
          </w:tcPr>
          <w:p w14:paraId="5DEB82A7" w14:textId="77777777" w:rsidR="00BC5219" w:rsidRPr="008A2B8F"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2F0038C8"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(506,474)</w:t>
            </w:r>
          </w:p>
        </w:tc>
      </w:tr>
      <w:tr w:rsidR="00BC5219" w:rsidRPr="008A2B8F" w14:paraId="3323C6E5" w14:textId="77777777" w:rsidTr="00E83802">
        <w:trPr>
          <w:trHeight w:val="23"/>
        </w:trPr>
        <w:tc>
          <w:tcPr>
            <w:tcW w:w="6176" w:type="dxa"/>
            <w:tcBorders>
              <w:top w:val="nil"/>
              <w:left w:val="nil"/>
              <w:bottom w:val="nil"/>
              <w:right w:val="nil"/>
            </w:tcBorders>
            <w:shd w:val="clear" w:color="auto" w:fill="auto"/>
            <w:noWrap/>
            <w:vAlign w:val="center"/>
            <w:hideMark/>
          </w:tcPr>
          <w:p w14:paraId="289872C6"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lastRenderedPageBreak/>
              <w:t>Later than five years but not later than ten years</w:t>
            </w:r>
          </w:p>
        </w:tc>
        <w:tc>
          <w:tcPr>
            <w:tcW w:w="1036" w:type="dxa"/>
            <w:tcBorders>
              <w:top w:val="nil"/>
              <w:left w:val="nil"/>
              <w:bottom w:val="nil"/>
              <w:right w:val="nil"/>
            </w:tcBorders>
            <w:shd w:val="clear" w:color="auto" w:fill="auto"/>
            <w:noWrap/>
            <w:vAlign w:val="center"/>
            <w:hideMark/>
          </w:tcPr>
          <w:p w14:paraId="7B77E20E" w14:textId="77777777" w:rsidR="00BC5219" w:rsidRPr="008A2B8F" w:rsidRDefault="00BC5219" w:rsidP="00E83802">
            <w:pPr>
              <w:rPr>
                <w:rFonts w:ascii="Meta Pro" w:eastAsia="Times New Roman" w:hAnsi="Meta Pro"/>
                <w:szCs w:val="18"/>
                <w:lang w:eastAsia="en-AU"/>
              </w:rPr>
            </w:pPr>
          </w:p>
        </w:tc>
        <w:tc>
          <w:tcPr>
            <w:tcW w:w="1157" w:type="dxa"/>
            <w:tcBorders>
              <w:top w:val="nil"/>
              <w:left w:val="nil"/>
              <w:bottom w:val="nil"/>
              <w:right w:val="nil"/>
            </w:tcBorders>
            <w:shd w:val="clear" w:color="000000" w:fill="C9E3B4"/>
            <w:noWrap/>
            <w:vAlign w:val="center"/>
            <w:hideMark/>
          </w:tcPr>
          <w:p w14:paraId="412821E8"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(141,135)</w:t>
            </w:r>
          </w:p>
        </w:tc>
        <w:tc>
          <w:tcPr>
            <w:tcW w:w="216" w:type="dxa"/>
            <w:tcBorders>
              <w:top w:val="nil"/>
              <w:left w:val="nil"/>
              <w:bottom w:val="nil"/>
              <w:right w:val="nil"/>
            </w:tcBorders>
            <w:shd w:val="clear" w:color="auto" w:fill="auto"/>
            <w:noWrap/>
            <w:vAlign w:val="center"/>
            <w:hideMark/>
          </w:tcPr>
          <w:p w14:paraId="3BA98DA2" w14:textId="77777777" w:rsidR="00BC5219" w:rsidRPr="008A2B8F"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72AB5D36"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(281,783)</w:t>
            </w:r>
          </w:p>
        </w:tc>
      </w:tr>
      <w:tr w:rsidR="00BC5219" w:rsidRPr="008A2B8F" w14:paraId="6478E9F5" w14:textId="77777777" w:rsidTr="00E83802">
        <w:trPr>
          <w:trHeight w:val="23"/>
        </w:trPr>
        <w:tc>
          <w:tcPr>
            <w:tcW w:w="6176" w:type="dxa"/>
            <w:tcBorders>
              <w:top w:val="single" w:sz="4" w:space="0" w:color="auto"/>
              <w:left w:val="nil"/>
              <w:bottom w:val="double" w:sz="6" w:space="0" w:color="auto"/>
              <w:right w:val="nil"/>
            </w:tcBorders>
            <w:shd w:val="clear" w:color="auto" w:fill="auto"/>
            <w:noWrap/>
            <w:vAlign w:val="center"/>
            <w:hideMark/>
          </w:tcPr>
          <w:p w14:paraId="7E9216C7"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Estimated net cash flow</w:t>
            </w:r>
          </w:p>
        </w:tc>
        <w:tc>
          <w:tcPr>
            <w:tcW w:w="1036" w:type="dxa"/>
            <w:tcBorders>
              <w:top w:val="single" w:sz="4" w:space="0" w:color="auto"/>
              <w:left w:val="nil"/>
              <w:bottom w:val="double" w:sz="6" w:space="0" w:color="auto"/>
              <w:right w:val="nil"/>
            </w:tcBorders>
            <w:shd w:val="clear" w:color="auto" w:fill="auto"/>
            <w:noWrap/>
            <w:vAlign w:val="center"/>
            <w:hideMark/>
          </w:tcPr>
          <w:p w14:paraId="4580DD75" w14:textId="77777777" w:rsidR="00BC5219" w:rsidRPr="008A2B8F" w:rsidRDefault="00BC5219" w:rsidP="00E83802">
            <w:pPr>
              <w:jc w:val="center"/>
              <w:rPr>
                <w:rFonts w:ascii="Meta Pro" w:eastAsia="Times New Roman" w:hAnsi="Meta Pro"/>
                <w:szCs w:val="18"/>
                <w:lang w:eastAsia="en-AU"/>
              </w:rPr>
            </w:pPr>
            <w:r w:rsidRPr="008A2B8F">
              <w:rPr>
                <w:rFonts w:ascii="Meta Pro" w:eastAsia="Times New Roman" w:hAnsi="Meta Pro"/>
                <w:szCs w:val="18"/>
                <w:lang w:eastAsia="en-AU"/>
              </w:rPr>
              <w:t> </w:t>
            </w:r>
          </w:p>
        </w:tc>
        <w:tc>
          <w:tcPr>
            <w:tcW w:w="1157" w:type="dxa"/>
            <w:tcBorders>
              <w:top w:val="single" w:sz="4" w:space="0" w:color="auto"/>
              <w:left w:val="nil"/>
              <w:bottom w:val="double" w:sz="6" w:space="0" w:color="auto"/>
              <w:right w:val="nil"/>
            </w:tcBorders>
            <w:shd w:val="clear" w:color="000000" w:fill="C9E3B4"/>
            <w:noWrap/>
            <w:vAlign w:val="center"/>
            <w:hideMark/>
          </w:tcPr>
          <w:p w14:paraId="7BBCB36F"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(995,933)</w:t>
            </w:r>
          </w:p>
        </w:tc>
        <w:tc>
          <w:tcPr>
            <w:tcW w:w="216" w:type="dxa"/>
            <w:tcBorders>
              <w:top w:val="single" w:sz="4" w:space="0" w:color="auto"/>
              <w:left w:val="nil"/>
              <w:bottom w:val="double" w:sz="6" w:space="0" w:color="auto"/>
              <w:right w:val="nil"/>
            </w:tcBorders>
            <w:shd w:val="clear" w:color="auto" w:fill="auto"/>
            <w:noWrap/>
            <w:vAlign w:val="center"/>
            <w:hideMark/>
          </w:tcPr>
          <w:p w14:paraId="113C92AD"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w:t>
            </w:r>
          </w:p>
        </w:tc>
        <w:tc>
          <w:tcPr>
            <w:tcW w:w="1157" w:type="dxa"/>
            <w:tcBorders>
              <w:top w:val="single" w:sz="4" w:space="0" w:color="auto"/>
              <w:left w:val="nil"/>
              <w:bottom w:val="double" w:sz="6" w:space="0" w:color="auto"/>
              <w:right w:val="nil"/>
            </w:tcBorders>
            <w:shd w:val="clear" w:color="auto" w:fill="auto"/>
            <w:noWrap/>
            <w:vAlign w:val="center"/>
            <w:hideMark/>
          </w:tcPr>
          <w:p w14:paraId="5BD3B94F"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(682,289)</w:t>
            </w:r>
          </w:p>
        </w:tc>
      </w:tr>
    </w:tbl>
    <w:p w14:paraId="0DB4492E" w14:textId="77777777" w:rsidR="00BC5219" w:rsidRPr="008A2B8F" w:rsidRDefault="00BC5219" w:rsidP="00BC5219">
      <w:pPr>
        <w:spacing w:before="120"/>
        <w:rPr>
          <w:rFonts w:ascii="Meta Pro" w:hAnsi="Meta Pro"/>
          <w:sz w:val="16"/>
          <w:szCs w:val="16"/>
          <w:lang w:eastAsia="en-AU"/>
        </w:rPr>
      </w:pPr>
      <w:r w:rsidRPr="008A2B8F">
        <w:rPr>
          <w:rFonts w:ascii="Meta Pro" w:hAnsi="Meta Pro"/>
          <w:sz w:val="16"/>
          <w:szCs w:val="16"/>
          <w:lang w:eastAsia="en-AU"/>
        </w:rPr>
        <w:t>* Increase is due to the inclusion of estimated outflows relating to Stage 3 of the Gold Coast Light Rail system.</w:t>
      </w:r>
    </w:p>
    <w:p w14:paraId="58680FC6" w14:textId="77777777" w:rsidR="00BC5219" w:rsidRPr="008A2B8F" w:rsidRDefault="00BC5219" w:rsidP="00BC5219">
      <w:pPr>
        <w:rPr>
          <w:rFonts w:ascii="Meta Pro" w:hAnsi="Meta Pro" w:cstheme="minorBidi"/>
        </w:rPr>
      </w:pPr>
    </w:p>
    <w:tbl>
      <w:tblPr>
        <w:tblW w:w="0" w:type="auto"/>
        <w:tblCellMar>
          <w:left w:w="0" w:type="dxa"/>
        </w:tblCellMar>
        <w:tblLook w:val="04A0" w:firstRow="1" w:lastRow="0" w:firstColumn="1" w:lastColumn="0" w:noHBand="0" w:noVBand="1"/>
      </w:tblPr>
      <w:tblGrid>
        <w:gridCol w:w="6184"/>
        <w:gridCol w:w="1044"/>
        <w:gridCol w:w="1165"/>
        <w:gridCol w:w="224"/>
        <w:gridCol w:w="1165"/>
      </w:tblGrid>
      <w:tr w:rsidR="00BC5219" w:rsidRPr="008A2B8F" w14:paraId="40228649" w14:textId="77777777" w:rsidTr="00E83802">
        <w:trPr>
          <w:trHeight w:val="23"/>
        </w:trPr>
        <w:tc>
          <w:tcPr>
            <w:tcW w:w="6176" w:type="dxa"/>
            <w:tcBorders>
              <w:top w:val="nil"/>
              <w:left w:val="nil"/>
              <w:bottom w:val="nil"/>
              <w:right w:val="nil"/>
            </w:tcBorders>
            <w:shd w:val="clear" w:color="auto" w:fill="auto"/>
            <w:noWrap/>
            <w:vAlign w:val="center"/>
            <w:hideMark/>
          </w:tcPr>
          <w:p w14:paraId="2B320343"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Operating statement impact</w:t>
            </w:r>
          </w:p>
        </w:tc>
        <w:tc>
          <w:tcPr>
            <w:tcW w:w="1036" w:type="dxa"/>
            <w:tcBorders>
              <w:top w:val="nil"/>
              <w:left w:val="nil"/>
              <w:bottom w:val="nil"/>
              <w:right w:val="nil"/>
            </w:tcBorders>
            <w:shd w:val="clear" w:color="auto" w:fill="auto"/>
            <w:noWrap/>
            <w:vAlign w:val="center"/>
            <w:hideMark/>
          </w:tcPr>
          <w:p w14:paraId="38B3DD22" w14:textId="77777777" w:rsidR="00BC5219" w:rsidRPr="008A2B8F" w:rsidRDefault="00BC5219" w:rsidP="00E83802">
            <w:pPr>
              <w:rPr>
                <w:rFonts w:ascii="Meta Pro" w:eastAsia="Times New Roman" w:hAnsi="Meta Pro"/>
                <w:b/>
                <w:bCs/>
                <w:szCs w:val="18"/>
                <w:lang w:eastAsia="en-AU"/>
              </w:rPr>
            </w:pPr>
          </w:p>
        </w:tc>
        <w:tc>
          <w:tcPr>
            <w:tcW w:w="1157" w:type="dxa"/>
            <w:tcBorders>
              <w:top w:val="nil"/>
              <w:left w:val="nil"/>
              <w:bottom w:val="nil"/>
              <w:right w:val="nil"/>
            </w:tcBorders>
            <w:shd w:val="clear" w:color="auto" w:fill="auto"/>
            <w:noWrap/>
            <w:vAlign w:val="center"/>
            <w:hideMark/>
          </w:tcPr>
          <w:p w14:paraId="6737393E" w14:textId="77777777" w:rsidR="00BC5219" w:rsidRPr="008A2B8F" w:rsidRDefault="00BC5219" w:rsidP="00E83802">
            <w:pPr>
              <w:jc w:val="cente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4C9BDBD6" w14:textId="77777777" w:rsidR="00BC5219" w:rsidRPr="008A2B8F" w:rsidRDefault="00BC5219" w:rsidP="00E83802">
            <w:pPr>
              <w:rPr>
                <w:rFonts w:ascii="Meta Pro" w:eastAsia="Times New Roman" w:hAnsi="Meta Pro" w:cs="Times New Roman"/>
                <w:sz w:val="20"/>
                <w:szCs w:val="20"/>
                <w:lang w:eastAsia="en-AU"/>
              </w:rPr>
            </w:pPr>
          </w:p>
        </w:tc>
        <w:tc>
          <w:tcPr>
            <w:tcW w:w="1157" w:type="dxa"/>
            <w:tcBorders>
              <w:top w:val="nil"/>
              <w:left w:val="nil"/>
              <w:bottom w:val="nil"/>
              <w:right w:val="nil"/>
            </w:tcBorders>
            <w:shd w:val="clear" w:color="auto" w:fill="auto"/>
            <w:noWrap/>
            <w:vAlign w:val="center"/>
            <w:hideMark/>
          </w:tcPr>
          <w:p w14:paraId="124D7231"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13C94EFC" w14:textId="77777777" w:rsidTr="00E83802">
        <w:trPr>
          <w:trHeight w:val="23"/>
        </w:trPr>
        <w:tc>
          <w:tcPr>
            <w:tcW w:w="6176" w:type="dxa"/>
            <w:tcBorders>
              <w:top w:val="nil"/>
              <w:left w:val="nil"/>
              <w:bottom w:val="nil"/>
              <w:right w:val="nil"/>
            </w:tcBorders>
            <w:shd w:val="clear" w:color="auto" w:fill="auto"/>
            <w:noWrap/>
            <w:vAlign w:val="center"/>
            <w:hideMark/>
          </w:tcPr>
          <w:p w14:paraId="0786791D"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Revenue</w:t>
            </w:r>
          </w:p>
        </w:tc>
        <w:tc>
          <w:tcPr>
            <w:tcW w:w="1036" w:type="dxa"/>
            <w:tcBorders>
              <w:top w:val="nil"/>
              <w:left w:val="nil"/>
              <w:bottom w:val="nil"/>
              <w:right w:val="nil"/>
            </w:tcBorders>
            <w:shd w:val="clear" w:color="auto" w:fill="auto"/>
            <w:noWrap/>
            <w:vAlign w:val="center"/>
            <w:hideMark/>
          </w:tcPr>
          <w:p w14:paraId="4CE0F1CD" w14:textId="77777777" w:rsidR="00BC5219" w:rsidRPr="008A2B8F" w:rsidRDefault="00BC5219" w:rsidP="00E83802">
            <w:pPr>
              <w:rPr>
                <w:rFonts w:ascii="Meta Pro" w:eastAsia="Times New Roman" w:hAnsi="Meta Pro"/>
                <w:b/>
                <w:bCs/>
                <w:szCs w:val="18"/>
                <w:lang w:eastAsia="en-AU"/>
              </w:rPr>
            </w:pPr>
          </w:p>
        </w:tc>
        <w:tc>
          <w:tcPr>
            <w:tcW w:w="1157" w:type="dxa"/>
            <w:tcBorders>
              <w:top w:val="nil"/>
              <w:left w:val="nil"/>
              <w:bottom w:val="nil"/>
              <w:right w:val="nil"/>
            </w:tcBorders>
            <w:shd w:val="clear" w:color="auto" w:fill="auto"/>
            <w:noWrap/>
            <w:vAlign w:val="center"/>
            <w:hideMark/>
          </w:tcPr>
          <w:p w14:paraId="6CA91C03" w14:textId="77777777" w:rsidR="00BC5219" w:rsidRPr="008A2B8F" w:rsidRDefault="00BC5219" w:rsidP="00E83802">
            <w:pPr>
              <w:jc w:val="cente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2EA4976D" w14:textId="77777777" w:rsidR="00BC5219" w:rsidRPr="008A2B8F" w:rsidRDefault="00BC5219" w:rsidP="00E83802">
            <w:pPr>
              <w:rPr>
                <w:rFonts w:ascii="Meta Pro" w:eastAsia="Times New Roman" w:hAnsi="Meta Pro" w:cs="Times New Roman"/>
                <w:sz w:val="20"/>
                <w:szCs w:val="20"/>
                <w:lang w:eastAsia="en-AU"/>
              </w:rPr>
            </w:pPr>
          </w:p>
        </w:tc>
        <w:tc>
          <w:tcPr>
            <w:tcW w:w="1157" w:type="dxa"/>
            <w:tcBorders>
              <w:top w:val="nil"/>
              <w:left w:val="nil"/>
              <w:bottom w:val="nil"/>
              <w:right w:val="nil"/>
            </w:tcBorders>
            <w:shd w:val="clear" w:color="auto" w:fill="auto"/>
            <w:noWrap/>
            <w:vAlign w:val="center"/>
            <w:hideMark/>
          </w:tcPr>
          <w:p w14:paraId="7B51FFA5"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48DED97B" w14:textId="77777777" w:rsidTr="00E83802">
        <w:trPr>
          <w:trHeight w:val="23"/>
        </w:trPr>
        <w:tc>
          <w:tcPr>
            <w:tcW w:w="6176" w:type="dxa"/>
            <w:tcBorders>
              <w:top w:val="nil"/>
              <w:left w:val="nil"/>
              <w:bottom w:val="nil"/>
              <w:right w:val="nil"/>
            </w:tcBorders>
            <w:shd w:val="clear" w:color="auto" w:fill="auto"/>
            <w:noWrap/>
            <w:vAlign w:val="center"/>
            <w:hideMark/>
          </w:tcPr>
          <w:p w14:paraId="2CE7DEB5"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Advertising</w:t>
            </w:r>
          </w:p>
        </w:tc>
        <w:tc>
          <w:tcPr>
            <w:tcW w:w="1036" w:type="dxa"/>
            <w:tcBorders>
              <w:top w:val="nil"/>
              <w:left w:val="nil"/>
              <w:bottom w:val="nil"/>
              <w:right w:val="nil"/>
            </w:tcBorders>
            <w:shd w:val="clear" w:color="auto" w:fill="auto"/>
            <w:noWrap/>
            <w:vAlign w:val="center"/>
            <w:hideMark/>
          </w:tcPr>
          <w:p w14:paraId="56579254" w14:textId="77777777" w:rsidR="00BC5219" w:rsidRPr="008A2B8F" w:rsidRDefault="00BC5219" w:rsidP="00E83802">
            <w:pPr>
              <w:rPr>
                <w:rFonts w:ascii="Meta Pro" w:eastAsia="Times New Roman" w:hAnsi="Meta Pro"/>
                <w:szCs w:val="18"/>
                <w:lang w:eastAsia="en-AU"/>
              </w:rPr>
            </w:pPr>
          </w:p>
        </w:tc>
        <w:tc>
          <w:tcPr>
            <w:tcW w:w="1157" w:type="dxa"/>
            <w:tcBorders>
              <w:top w:val="nil"/>
              <w:left w:val="nil"/>
              <w:bottom w:val="nil"/>
              <w:right w:val="nil"/>
            </w:tcBorders>
            <w:shd w:val="clear" w:color="000000" w:fill="C9E3B4"/>
            <w:noWrap/>
            <w:vAlign w:val="center"/>
            <w:hideMark/>
          </w:tcPr>
          <w:p w14:paraId="789592C7"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515 </w:t>
            </w:r>
          </w:p>
        </w:tc>
        <w:tc>
          <w:tcPr>
            <w:tcW w:w="216" w:type="dxa"/>
            <w:tcBorders>
              <w:top w:val="nil"/>
              <w:left w:val="nil"/>
              <w:bottom w:val="nil"/>
              <w:right w:val="nil"/>
            </w:tcBorders>
            <w:shd w:val="clear" w:color="auto" w:fill="auto"/>
            <w:noWrap/>
            <w:vAlign w:val="center"/>
            <w:hideMark/>
          </w:tcPr>
          <w:p w14:paraId="1D2CDC93" w14:textId="77777777" w:rsidR="00BC5219" w:rsidRPr="008A2B8F"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5D16A5AE"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458 </w:t>
            </w:r>
          </w:p>
        </w:tc>
      </w:tr>
      <w:tr w:rsidR="00BC5219" w:rsidRPr="008A2B8F" w14:paraId="42D07E18" w14:textId="77777777" w:rsidTr="00E83802">
        <w:trPr>
          <w:trHeight w:val="23"/>
        </w:trPr>
        <w:tc>
          <w:tcPr>
            <w:tcW w:w="6176" w:type="dxa"/>
            <w:tcBorders>
              <w:top w:val="nil"/>
              <w:left w:val="nil"/>
              <w:bottom w:val="nil"/>
              <w:right w:val="nil"/>
            </w:tcBorders>
            <w:shd w:val="clear" w:color="auto" w:fill="auto"/>
            <w:noWrap/>
            <w:vAlign w:val="center"/>
            <w:hideMark/>
          </w:tcPr>
          <w:p w14:paraId="284A1249"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Fare revenue</w:t>
            </w:r>
          </w:p>
        </w:tc>
        <w:tc>
          <w:tcPr>
            <w:tcW w:w="1036" w:type="dxa"/>
            <w:tcBorders>
              <w:top w:val="nil"/>
              <w:left w:val="nil"/>
              <w:bottom w:val="nil"/>
              <w:right w:val="nil"/>
            </w:tcBorders>
            <w:shd w:val="clear" w:color="auto" w:fill="auto"/>
            <w:noWrap/>
            <w:vAlign w:val="center"/>
            <w:hideMark/>
          </w:tcPr>
          <w:p w14:paraId="3CAC42C0" w14:textId="77777777" w:rsidR="00BC5219" w:rsidRPr="008A2B8F" w:rsidRDefault="00BC5219" w:rsidP="00E83802">
            <w:pPr>
              <w:jc w:val="center"/>
              <w:rPr>
                <w:rFonts w:ascii="Meta Pro" w:eastAsia="Times New Roman" w:hAnsi="Meta Pro"/>
                <w:szCs w:val="18"/>
                <w:lang w:eastAsia="en-AU"/>
              </w:rPr>
            </w:pPr>
            <w:r w:rsidRPr="008A2B8F">
              <w:rPr>
                <w:rFonts w:ascii="Meta Pro" w:eastAsia="Times New Roman" w:hAnsi="Meta Pro"/>
                <w:szCs w:val="18"/>
                <w:lang w:eastAsia="en-AU"/>
              </w:rPr>
              <w:t>3</w:t>
            </w:r>
          </w:p>
        </w:tc>
        <w:tc>
          <w:tcPr>
            <w:tcW w:w="1157" w:type="dxa"/>
            <w:tcBorders>
              <w:top w:val="nil"/>
              <w:left w:val="nil"/>
              <w:bottom w:val="nil"/>
              <w:right w:val="nil"/>
            </w:tcBorders>
            <w:shd w:val="clear" w:color="000000" w:fill="C9E3B4"/>
            <w:noWrap/>
            <w:vAlign w:val="center"/>
            <w:hideMark/>
          </w:tcPr>
          <w:p w14:paraId="37899D7C"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20,513 </w:t>
            </w:r>
          </w:p>
        </w:tc>
        <w:tc>
          <w:tcPr>
            <w:tcW w:w="216" w:type="dxa"/>
            <w:tcBorders>
              <w:top w:val="nil"/>
              <w:left w:val="nil"/>
              <w:bottom w:val="nil"/>
              <w:right w:val="nil"/>
            </w:tcBorders>
            <w:shd w:val="clear" w:color="auto" w:fill="auto"/>
            <w:noWrap/>
            <w:vAlign w:val="center"/>
            <w:hideMark/>
          </w:tcPr>
          <w:p w14:paraId="356B80CE" w14:textId="77777777" w:rsidR="00BC5219" w:rsidRPr="008A2B8F"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783921BE"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11,813 </w:t>
            </w:r>
          </w:p>
        </w:tc>
      </w:tr>
      <w:tr w:rsidR="00BC5219" w:rsidRPr="008A2B8F" w14:paraId="31E28421" w14:textId="77777777" w:rsidTr="00E83802">
        <w:trPr>
          <w:trHeight w:val="23"/>
        </w:trPr>
        <w:tc>
          <w:tcPr>
            <w:tcW w:w="6176" w:type="dxa"/>
            <w:tcBorders>
              <w:top w:val="nil"/>
              <w:left w:val="nil"/>
              <w:bottom w:val="nil"/>
              <w:right w:val="nil"/>
            </w:tcBorders>
            <w:shd w:val="clear" w:color="auto" w:fill="auto"/>
            <w:noWrap/>
            <w:vAlign w:val="center"/>
            <w:hideMark/>
          </w:tcPr>
          <w:p w14:paraId="53823329" w14:textId="77777777" w:rsidR="00BC5219" w:rsidRPr="008A2B8F" w:rsidRDefault="00BC5219" w:rsidP="00E83802">
            <w:pPr>
              <w:jc w:val="right"/>
              <w:rPr>
                <w:rFonts w:ascii="Meta Pro" w:eastAsia="Times New Roman" w:hAnsi="Meta Pro"/>
                <w:szCs w:val="18"/>
                <w:lang w:eastAsia="en-AU"/>
              </w:rPr>
            </w:pPr>
          </w:p>
        </w:tc>
        <w:tc>
          <w:tcPr>
            <w:tcW w:w="1036" w:type="dxa"/>
            <w:tcBorders>
              <w:top w:val="nil"/>
              <w:left w:val="nil"/>
              <w:bottom w:val="nil"/>
              <w:right w:val="nil"/>
            </w:tcBorders>
            <w:shd w:val="clear" w:color="auto" w:fill="auto"/>
            <w:noWrap/>
            <w:vAlign w:val="center"/>
            <w:hideMark/>
          </w:tcPr>
          <w:p w14:paraId="44F1A0EF" w14:textId="77777777" w:rsidR="00BC5219" w:rsidRPr="008A2B8F" w:rsidRDefault="00BC5219" w:rsidP="00E83802">
            <w:pPr>
              <w:rPr>
                <w:rFonts w:ascii="Meta Pro" w:eastAsia="Times New Roman" w:hAnsi="Meta Pro" w:cs="Times New Roman"/>
                <w:sz w:val="20"/>
                <w:szCs w:val="20"/>
                <w:lang w:eastAsia="en-AU"/>
              </w:rPr>
            </w:pPr>
          </w:p>
        </w:tc>
        <w:tc>
          <w:tcPr>
            <w:tcW w:w="1157" w:type="dxa"/>
            <w:tcBorders>
              <w:top w:val="nil"/>
              <w:left w:val="nil"/>
              <w:bottom w:val="nil"/>
              <w:right w:val="nil"/>
            </w:tcBorders>
            <w:shd w:val="clear" w:color="000000" w:fill="C9E3B4"/>
            <w:noWrap/>
            <w:vAlign w:val="center"/>
            <w:hideMark/>
          </w:tcPr>
          <w:p w14:paraId="04B7C007"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216" w:type="dxa"/>
            <w:tcBorders>
              <w:top w:val="nil"/>
              <w:left w:val="nil"/>
              <w:bottom w:val="nil"/>
              <w:right w:val="nil"/>
            </w:tcBorders>
            <w:shd w:val="clear" w:color="auto" w:fill="auto"/>
            <w:noWrap/>
            <w:vAlign w:val="center"/>
            <w:hideMark/>
          </w:tcPr>
          <w:p w14:paraId="184E7FCC" w14:textId="77777777" w:rsidR="00BC5219" w:rsidRPr="008A2B8F" w:rsidRDefault="00BC5219" w:rsidP="00E83802">
            <w:pPr>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168971E1"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355D17F0" w14:textId="77777777" w:rsidTr="00E83802">
        <w:trPr>
          <w:trHeight w:val="23"/>
        </w:trPr>
        <w:tc>
          <w:tcPr>
            <w:tcW w:w="6176" w:type="dxa"/>
            <w:tcBorders>
              <w:top w:val="nil"/>
              <w:left w:val="nil"/>
              <w:bottom w:val="nil"/>
              <w:right w:val="nil"/>
            </w:tcBorders>
            <w:shd w:val="clear" w:color="auto" w:fill="auto"/>
            <w:noWrap/>
            <w:vAlign w:val="center"/>
            <w:hideMark/>
          </w:tcPr>
          <w:p w14:paraId="59F3B317"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Expenses</w:t>
            </w:r>
          </w:p>
        </w:tc>
        <w:tc>
          <w:tcPr>
            <w:tcW w:w="1036" w:type="dxa"/>
            <w:tcBorders>
              <w:top w:val="nil"/>
              <w:left w:val="nil"/>
              <w:bottom w:val="nil"/>
              <w:right w:val="nil"/>
            </w:tcBorders>
            <w:shd w:val="clear" w:color="auto" w:fill="auto"/>
            <w:noWrap/>
            <w:vAlign w:val="center"/>
            <w:hideMark/>
          </w:tcPr>
          <w:p w14:paraId="752A4FAC" w14:textId="77777777" w:rsidR="00BC5219" w:rsidRPr="008A2B8F" w:rsidRDefault="00BC5219" w:rsidP="00E83802">
            <w:pPr>
              <w:rPr>
                <w:rFonts w:ascii="Meta Pro" w:eastAsia="Times New Roman" w:hAnsi="Meta Pro"/>
                <w:b/>
                <w:bCs/>
                <w:szCs w:val="18"/>
                <w:lang w:eastAsia="en-AU"/>
              </w:rPr>
            </w:pPr>
          </w:p>
        </w:tc>
        <w:tc>
          <w:tcPr>
            <w:tcW w:w="1157" w:type="dxa"/>
            <w:tcBorders>
              <w:top w:val="nil"/>
              <w:left w:val="nil"/>
              <w:bottom w:val="nil"/>
              <w:right w:val="nil"/>
            </w:tcBorders>
            <w:shd w:val="clear" w:color="000000" w:fill="C9E3B4"/>
            <w:noWrap/>
            <w:vAlign w:val="center"/>
            <w:hideMark/>
          </w:tcPr>
          <w:p w14:paraId="733F5CE9"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216" w:type="dxa"/>
            <w:tcBorders>
              <w:top w:val="nil"/>
              <w:left w:val="nil"/>
              <w:bottom w:val="nil"/>
              <w:right w:val="nil"/>
            </w:tcBorders>
            <w:shd w:val="clear" w:color="auto" w:fill="auto"/>
            <w:noWrap/>
            <w:vAlign w:val="center"/>
            <w:hideMark/>
          </w:tcPr>
          <w:p w14:paraId="60DC5858" w14:textId="77777777" w:rsidR="00BC5219" w:rsidRPr="008A2B8F" w:rsidRDefault="00BC5219" w:rsidP="00E83802">
            <w:pPr>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003611FF"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68BB1AEB" w14:textId="77777777" w:rsidTr="00E83802">
        <w:trPr>
          <w:trHeight w:val="23"/>
        </w:trPr>
        <w:tc>
          <w:tcPr>
            <w:tcW w:w="6176" w:type="dxa"/>
            <w:tcBorders>
              <w:top w:val="nil"/>
              <w:left w:val="nil"/>
              <w:bottom w:val="nil"/>
              <w:right w:val="nil"/>
            </w:tcBorders>
            <w:shd w:val="clear" w:color="auto" w:fill="auto"/>
            <w:noWrap/>
            <w:vAlign w:val="center"/>
            <w:hideMark/>
          </w:tcPr>
          <w:p w14:paraId="4F6C23C9"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Depreciation</w:t>
            </w:r>
          </w:p>
        </w:tc>
        <w:tc>
          <w:tcPr>
            <w:tcW w:w="1036" w:type="dxa"/>
            <w:tcBorders>
              <w:top w:val="nil"/>
              <w:left w:val="nil"/>
              <w:bottom w:val="nil"/>
              <w:right w:val="nil"/>
            </w:tcBorders>
            <w:shd w:val="clear" w:color="auto" w:fill="auto"/>
            <w:noWrap/>
            <w:vAlign w:val="center"/>
            <w:hideMark/>
          </w:tcPr>
          <w:p w14:paraId="02A5B6D5" w14:textId="77777777" w:rsidR="00BC5219" w:rsidRPr="008A2B8F" w:rsidRDefault="00BC5219" w:rsidP="00E83802">
            <w:pPr>
              <w:jc w:val="center"/>
              <w:rPr>
                <w:rFonts w:ascii="Meta Pro" w:eastAsia="Times New Roman" w:hAnsi="Meta Pro"/>
                <w:szCs w:val="18"/>
                <w:lang w:eastAsia="en-AU"/>
              </w:rPr>
            </w:pPr>
            <w:r w:rsidRPr="008A2B8F">
              <w:rPr>
                <w:rFonts w:ascii="Meta Pro" w:eastAsia="Times New Roman" w:hAnsi="Meta Pro"/>
                <w:szCs w:val="18"/>
                <w:lang w:eastAsia="en-AU"/>
              </w:rPr>
              <w:t>10</w:t>
            </w:r>
          </w:p>
        </w:tc>
        <w:tc>
          <w:tcPr>
            <w:tcW w:w="1157" w:type="dxa"/>
            <w:tcBorders>
              <w:top w:val="nil"/>
              <w:left w:val="nil"/>
              <w:bottom w:val="nil"/>
              <w:right w:val="nil"/>
            </w:tcBorders>
            <w:shd w:val="clear" w:color="000000" w:fill="C9E3B4"/>
            <w:noWrap/>
            <w:vAlign w:val="center"/>
            <w:hideMark/>
          </w:tcPr>
          <w:p w14:paraId="2A63B091"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24,373 </w:t>
            </w:r>
          </w:p>
        </w:tc>
        <w:tc>
          <w:tcPr>
            <w:tcW w:w="216" w:type="dxa"/>
            <w:tcBorders>
              <w:top w:val="nil"/>
              <w:left w:val="nil"/>
              <w:bottom w:val="nil"/>
              <w:right w:val="nil"/>
            </w:tcBorders>
            <w:shd w:val="clear" w:color="auto" w:fill="auto"/>
            <w:noWrap/>
            <w:vAlign w:val="center"/>
            <w:hideMark/>
          </w:tcPr>
          <w:p w14:paraId="4D798471" w14:textId="77777777" w:rsidR="00BC5219" w:rsidRPr="008A2B8F"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49DAC4C2"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22,279 </w:t>
            </w:r>
          </w:p>
        </w:tc>
      </w:tr>
      <w:tr w:rsidR="00BC5219" w:rsidRPr="008A2B8F" w14:paraId="2BE6453D" w14:textId="77777777" w:rsidTr="00E83802">
        <w:trPr>
          <w:trHeight w:val="23"/>
        </w:trPr>
        <w:tc>
          <w:tcPr>
            <w:tcW w:w="6176" w:type="dxa"/>
            <w:tcBorders>
              <w:top w:val="nil"/>
              <w:left w:val="nil"/>
              <w:bottom w:val="nil"/>
              <w:right w:val="nil"/>
            </w:tcBorders>
            <w:shd w:val="clear" w:color="auto" w:fill="auto"/>
            <w:noWrap/>
            <w:vAlign w:val="center"/>
            <w:hideMark/>
          </w:tcPr>
          <w:p w14:paraId="6D049E68"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Interest</w:t>
            </w:r>
          </w:p>
        </w:tc>
        <w:tc>
          <w:tcPr>
            <w:tcW w:w="1036" w:type="dxa"/>
            <w:tcBorders>
              <w:top w:val="nil"/>
              <w:left w:val="nil"/>
              <w:bottom w:val="nil"/>
              <w:right w:val="nil"/>
            </w:tcBorders>
            <w:shd w:val="clear" w:color="auto" w:fill="auto"/>
            <w:noWrap/>
            <w:vAlign w:val="center"/>
            <w:hideMark/>
          </w:tcPr>
          <w:p w14:paraId="653DF158" w14:textId="77777777" w:rsidR="00BC5219" w:rsidRPr="008A2B8F" w:rsidRDefault="00BC5219" w:rsidP="00E83802">
            <w:pPr>
              <w:jc w:val="center"/>
              <w:rPr>
                <w:rFonts w:ascii="Meta Pro" w:eastAsia="Times New Roman" w:hAnsi="Meta Pro"/>
                <w:szCs w:val="18"/>
                <w:lang w:eastAsia="en-AU"/>
              </w:rPr>
            </w:pPr>
            <w:r w:rsidRPr="008A2B8F">
              <w:rPr>
                <w:rFonts w:ascii="Meta Pro" w:eastAsia="Times New Roman" w:hAnsi="Meta Pro"/>
                <w:szCs w:val="18"/>
                <w:lang w:eastAsia="en-AU"/>
              </w:rPr>
              <w:t>9</w:t>
            </w:r>
          </w:p>
        </w:tc>
        <w:tc>
          <w:tcPr>
            <w:tcW w:w="1157" w:type="dxa"/>
            <w:tcBorders>
              <w:top w:val="nil"/>
              <w:left w:val="nil"/>
              <w:bottom w:val="nil"/>
              <w:right w:val="nil"/>
            </w:tcBorders>
            <w:shd w:val="clear" w:color="000000" w:fill="C9E3B4"/>
            <w:noWrap/>
            <w:vAlign w:val="center"/>
            <w:hideMark/>
          </w:tcPr>
          <w:p w14:paraId="146096A9"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25,457 </w:t>
            </w:r>
          </w:p>
        </w:tc>
        <w:tc>
          <w:tcPr>
            <w:tcW w:w="216" w:type="dxa"/>
            <w:tcBorders>
              <w:top w:val="nil"/>
              <w:left w:val="nil"/>
              <w:bottom w:val="nil"/>
              <w:right w:val="nil"/>
            </w:tcBorders>
            <w:shd w:val="clear" w:color="auto" w:fill="auto"/>
            <w:noWrap/>
            <w:vAlign w:val="center"/>
            <w:hideMark/>
          </w:tcPr>
          <w:p w14:paraId="58809521" w14:textId="77777777" w:rsidR="00BC5219" w:rsidRPr="008A2B8F"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57E5F49E"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24,204 </w:t>
            </w:r>
          </w:p>
        </w:tc>
      </w:tr>
      <w:tr w:rsidR="00BC5219" w:rsidRPr="008A2B8F" w14:paraId="6046068A" w14:textId="77777777" w:rsidTr="00E83802">
        <w:trPr>
          <w:trHeight w:val="23"/>
        </w:trPr>
        <w:tc>
          <w:tcPr>
            <w:tcW w:w="6176" w:type="dxa"/>
            <w:tcBorders>
              <w:top w:val="nil"/>
              <w:left w:val="nil"/>
              <w:bottom w:val="nil"/>
              <w:right w:val="nil"/>
            </w:tcBorders>
            <w:shd w:val="clear" w:color="auto" w:fill="auto"/>
            <w:noWrap/>
            <w:vAlign w:val="center"/>
            <w:hideMark/>
          </w:tcPr>
          <w:p w14:paraId="3BFB07F5"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Service expenses</w:t>
            </w:r>
          </w:p>
        </w:tc>
        <w:tc>
          <w:tcPr>
            <w:tcW w:w="1036" w:type="dxa"/>
            <w:tcBorders>
              <w:top w:val="nil"/>
              <w:left w:val="nil"/>
              <w:bottom w:val="nil"/>
              <w:right w:val="nil"/>
            </w:tcBorders>
            <w:shd w:val="clear" w:color="auto" w:fill="auto"/>
            <w:noWrap/>
            <w:vAlign w:val="center"/>
            <w:hideMark/>
          </w:tcPr>
          <w:p w14:paraId="286D10D5" w14:textId="77777777" w:rsidR="00BC5219" w:rsidRPr="008A2B8F" w:rsidRDefault="00BC5219" w:rsidP="00E83802">
            <w:pPr>
              <w:rPr>
                <w:rFonts w:ascii="Meta Pro" w:eastAsia="Times New Roman" w:hAnsi="Meta Pro"/>
                <w:szCs w:val="18"/>
                <w:lang w:eastAsia="en-AU"/>
              </w:rPr>
            </w:pPr>
          </w:p>
        </w:tc>
        <w:tc>
          <w:tcPr>
            <w:tcW w:w="1157" w:type="dxa"/>
            <w:tcBorders>
              <w:top w:val="nil"/>
              <w:left w:val="nil"/>
              <w:bottom w:val="nil"/>
              <w:right w:val="nil"/>
            </w:tcBorders>
            <w:shd w:val="clear" w:color="000000" w:fill="C9E3B4"/>
            <w:noWrap/>
            <w:vAlign w:val="center"/>
            <w:hideMark/>
          </w:tcPr>
          <w:p w14:paraId="7B2B7226"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62,640 </w:t>
            </w:r>
          </w:p>
        </w:tc>
        <w:tc>
          <w:tcPr>
            <w:tcW w:w="216" w:type="dxa"/>
            <w:tcBorders>
              <w:top w:val="nil"/>
              <w:left w:val="nil"/>
              <w:bottom w:val="nil"/>
              <w:right w:val="nil"/>
            </w:tcBorders>
            <w:shd w:val="clear" w:color="auto" w:fill="auto"/>
            <w:noWrap/>
            <w:vAlign w:val="center"/>
            <w:hideMark/>
          </w:tcPr>
          <w:p w14:paraId="4CC7138A" w14:textId="77777777" w:rsidR="00BC5219" w:rsidRPr="008A2B8F"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0C45792A"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62,553 </w:t>
            </w:r>
          </w:p>
        </w:tc>
      </w:tr>
      <w:tr w:rsidR="00BC5219" w:rsidRPr="008A2B8F" w14:paraId="06B4FC61" w14:textId="77777777" w:rsidTr="00E83802">
        <w:trPr>
          <w:trHeight w:val="23"/>
        </w:trPr>
        <w:tc>
          <w:tcPr>
            <w:tcW w:w="6176" w:type="dxa"/>
            <w:tcBorders>
              <w:top w:val="single" w:sz="4" w:space="0" w:color="auto"/>
              <w:left w:val="nil"/>
              <w:bottom w:val="double" w:sz="6" w:space="0" w:color="auto"/>
              <w:right w:val="nil"/>
            </w:tcBorders>
            <w:shd w:val="clear" w:color="auto" w:fill="auto"/>
            <w:noWrap/>
            <w:vAlign w:val="center"/>
            <w:hideMark/>
          </w:tcPr>
          <w:p w14:paraId="7975C481"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Net impact on operating result</w:t>
            </w:r>
          </w:p>
        </w:tc>
        <w:tc>
          <w:tcPr>
            <w:tcW w:w="1036" w:type="dxa"/>
            <w:tcBorders>
              <w:top w:val="single" w:sz="4" w:space="0" w:color="auto"/>
              <w:left w:val="nil"/>
              <w:bottom w:val="double" w:sz="6" w:space="0" w:color="auto"/>
              <w:right w:val="nil"/>
            </w:tcBorders>
            <w:shd w:val="clear" w:color="auto" w:fill="auto"/>
            <w:noWrap/>
            <w:vAlign w:val="center"/>
            <w:hideMark/>
          </w:tcPr>
          <w:p w14:paraId="36008A0A" w14:textId="77777777" w:rsidR="00BC5219" w:rsidRPr="008A2B8F" w:rsidRDefault="00BC5219" w:rsidP="00E83802">
            <w:pPr>
              <w:jc w:val="center"/>
              <w:rPr>
                <w:rFonts w:ascii="Meta Pro" w:eastAsia="Times New Roman" w:hAnsi="Meta Pro"/>
                <w:szCs w:val="18"/>
                <w:lang w:eastAsia="en-AU"/>
              </w:rPr>
            </w:pPr>
            <w:r w:rsidRPr="008A2B8F">
              <w:rPr>
                <w:rFonts w:ascii="Meta Pro" w:eastAsia="Times New Roman" w:hAnsi="Meta Pro"/>
                <w:szCs w:val="18"/>
                <w:lang w:eastAsia="en-AU"/>
              </w:rPr>
              <w:t> </w:t>
            </w:r>
          </w:p>
        </w:tc>
        <w:tc>
          <w:tcPr>
            <w:tcW w:w="1157" w:type="dxa"/>
            <w:tcBorders>
              <w:top w:val="single" w:sz="4" w:space="0" w:color="auto"/>
              <w:left w:val="nil"/>
              <w:bottom w:val="double" w:sz="6" w:space="0" w:color="auto"/>
              <w:right w:val="nil"/>
            </w:tcBorders>
            <w:shd w:val="clear" w:color="000000" w:fill="C9E3B4"/>
            <w:noWrap/>
            <w:vAlign w:val="center"/>
            <w:hideMark/>
          </w:tcPr>
          <w:p w14:paraId="4DBC812A"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(91,442)</w:t>
            </w:r>
          </w:p>
        </w:tc>
        <w:tc>
          <w:tcPr>
            <w:tcW w:w="216" w:type="dxa"/>
            <w:tcBorders>
              <w:top w:val="single" w:sz="4" w:space="0" w:color="auto"/>
              <w:left w:val="nil"/>
              <w:bottom w:val="double" w:sz="6" w:space="0" w:color="auto"/>
              <w:right w:val="nil"/>
            </w:tcBorders>
            <w:shd w:val="clear" w:color="auto" w:fill="auto"/>
            <w:vAlign w:val="center"/>
            <w:hideMark/>
          </w:tcPr>
          <w:p w14:paraId="53B418CD"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1157" w:type="dxa"/>
            <w:tcBorders>
              <w:top w:val="single" w:sz="4" w:space="0" w:color="auto"/>
              <w:left w:val="nil"/>
              <w:bottom w:val="double" w:sz="6" w:space="0" w:color="auto"/>
              <w:right w:val="nil"/>
            </w:tcBorders>
            <w:shd w:val="clear" w:color="auto" w:fill="auto"/>
            <w:noWrap/>
            <w:vAlign w:val="center"/>
            <w:hideMark/>
          </w:tcPr>
          <w:p w14:paraId="3F284392"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(96,765)</w:t>
            </w:r>
          </w:p>
        </w:tc>
      </w:tr>
    </w:tbl>
    <w:p w14:paraId="6842BB86" w14:textId="77777777" w:rsidR="00BC5219" w:rsidRPr="008A2B8F" w:rsidRDefault="00BC5219" w:rsidP="00BC5219">
      <w:pPr>
        <w:rPr>
          <w:rFonts w:ascii="Meta Pro" w:eastAsia="Times New Roman" w:hAnsi="Meta Pro"/>
          <w:b/>
          <w:bCs/>
          <w:szCs w:val="18"/>
          <w:lang w:eastAsia="en-AU"/>
        </w:rPr>
      </w:pPr>
    </w:p>
    <w:p w14:paraId="6320FCE9" w14:textId="77777777" w:rsidR="00BC5219" w:rsidRPr="008A2B8F" w:rsidRDefault="00BC5219" w:rsidP="00BC5219">
      <w:pPr>
        <w:spacing w:after="120"/>
        <w:rPr>
          <w:rFonts w:ascii="Meta Pro" w:eastAsia="Times New Roman" w:hAnsi="Meta Pro"/>
          <w:b/>
          <w:bCs/>
          <w:szCs w:val="18"/>
          <w:lang w:eastAsia="en-AU"/>
        </w:rPr>
      </w:pPr>
      <w:r w:rsidRPr="008A2B8F">
        <w:rPr>
          <w:rFonts w:ascii="Meta Pro" w:eastAsia="Times New Roman" w:hAnsi="Meta Pro"/>
          <w:b/>
          <w:bCs/>
          <w:szCs w:val="18"/>
          <w:lang w:eastAsia="en-AU"/>
        </w:rPr>
        <w:t>Toowoomba Bypass</w:t>
      </w:r>
    </w:p>
    <w:p w14:paraId="039372CE" w14:textId="77777777" w:rsidR="00BC5219" w:rsidRPr="008A2B8F" w:rsidRDefault="00BC5219" w:rsidP="00BC5219">
      <w:pPr>
        <w:spacing w:after="120"/>
        <w:rPr>
          <w:rFonts w:ascii="Meta Pro" w:eastAsia="Times New Roman" w:hAnsi="Meta Pro"/>
          <w:szCs w:val="18"/>
          <w:lang w:eastAsia="en-AU"/>
        </w:rPr>
      </w:pPr>
      <w:r w:rsidRPr="008A2B8F">
        <w:rPr>
          <w:rFonts w:ascii="Meta Pro" w:eastAsia="Times New Roman" w:hAnsi="Meta Pro"/>
          <w:szCs w:val="18"/>
          <w:lang w:eastAsia="en-AU"/>
        </w:rPr>
        <w:t>In August 2015 the department entered into a contractual arrangement with Nexus Infrastructure Consortium to finance, design, build, operate and maintain a range crossing connecting the Warrego Highway at Helidon Spa in the east with the Gore Highway at Athol in the west, via Charlton. The bypass opened to traffic in September 2019 and toll collection commenced in December 2019, with Transurban Queensland contracted to provide the tolling collection service on behalf of the department.</w:t>
      </w:r>
      <w:r w:rsidRPr="008A2B8F">
        <w:rPr>
          <w:rFonts w:ascii="Meta Pro" w:eastAsia="Times New Roman" w:hAnsi="Meta Pro"/>
          <w:szCs w:val="18"/>
          <w:lang w:eastAsia="en-AU"/>
        </w:rPr>
        <w:tab/>
      </w:r>
    </w:p>
    <w:p w14:paraId="4AA7FB7D" w14:textId="77777777" w:rsidR="00BC5219" w:rsidRPr="008A2B8F" w:rsidRDefault="00BC5219" w:rsidP="00BC5219">
      <w:pPr>
        <w:spacing w:after="120"/>
        <w:rPr>
          <w:rFonts w:ascii="Meta Pro" w:eastAsia="Times New Roman" w:hAnsi="Meta Pro"/>
          <w:szCs w:val="18"/>
          <w:lang w:eastAsia="en-AU"/>
        </w:rPr>
      </w:pPr>
      <w:r w:rsidRPr="008A2B8F">
        <w:rPr>
          <w:rFonts w:ascii="Meta Pro" w:eastAsia="Times New Roman" w:hAnsi="Meta Pro"/>
          <w:szCs w:val="18"/>
          <w:lang w:eastAsia="en-AU"/>
        </w:rPr>
        <w:t xml:space="preserve">The department will make ongoing quarterly service payments over the 25 year operation and maintenance period at an implicit interest rate of 5.32%, which includes repayment of the debt finance used to construct the bypass. Maintenance payments are expensed during the relevant year. </w:t>
      </w:r>
    </w:p>
    <w:p w14:paraId="2967BC29" w14:textId="77777777" w:rsidR="00BC5219" w:rsidRPr="008A2B8F" w:rsidRDefault="00BC5219" w:rsidP="00BC5219">
      <w:pPr>
        <w:spacing w:after="120"/>
        <w:rPr>
          <w:rFonts w:ascii="Meta Pro" w:eastAsia="Times New Roman" w:hAnsi="Meta Pro"/>
          <w:szCs w:val="18"/>
          <w:lang w:eastAsia="en-AU"/>
        </w:rPr>
      </w:pPr>
      <w:r w:rsidRPr="008A2B8F">
        <w:rPr>
          <w:rFonts w:ascii="Meta Pro" w:eastAsia="Times New Roman" w:hAnsi="Meta Pro"/>
          <w:szCs w:val="18"/>
          <w:lang w:eastAsia="en-AU"/>
        </w:rPr>
        <w:t>At the expiry of the concession period the department will retain ownership of the road infrastructure.</w:t>
      </w:r>
    </w:p>
    <w:p w14:paraId="0BAA2AE4" w14:textId="77777777" w:rsidR="00BC5219" w:rsidRPr="008A2B8F" w:rsidRDefault="00BC5219" w:rsidP="00BC5219">
      <w:pPr>
        <w:spacing w:after="160" w:line="259" w:lineRule="auto"/>
        <w:rPr>
          <w:rFonts w:ascii="Meta Pro" w:eastAsia="Times New Roman" w:hAnsi="Meta Pro"/>
          <w:szCs w:val="18"/>
          <w:lang w:eastAsia="en-AU"/>
        </w:rPr>
      </w:pPr>
    </w:p>
    <w:p w14:paraId="1A3C36EF" w14:textId="77777777" w:rsidR="00BC5219" w:rsidRPr="008A2B8F" w:rsidRDefault="00BC5219" w:rsidP="00BC5219">
      <w:pPr>
        <w:spacing w:after="160" w:line="259" w:lineRule="auto"/>
        <w:rPr>
          <w:rFonts w:ascii="Meta Pro" w:eastAsia="Times New Roman" w:hAnsi="Meta Pro"/>
          <w:szCs w:val="18"/>
          <w:lang w:eastAsia="en-AU"/>
        </w:rPr>
      </w:pPr>
    </w:p>
    <w:p w14:paraId="13143AF4" w14:textId="77777777" w:rsidR="00BC5219" w:rsidRPr="008A2B8F" w:rsidRDefault="00BC5219" w:rsidP="00BC5219">
      <w:pPr>
        <w:spacing w:after="160" w:line="259" w:lineRule="auto"/>
        <w:rPr>
          <w:rFonts w:ascii="Meta Pro" w:eastAsia="Times New Roman" w:hAnsi="Meta Pro"/>
          <w:szCs w:val="18"/>
          <w:lang w:eastAsia="en-AU"/>
        </w:rPr>
      </w:pPr>
    </w:p>
    <w:p w14:paraId="0A266B1A" w14:textId="77777777" w:rsidR="00BC5219" w:rsidRPr="008A2B8F" w:rsidRDefault="00BC5219" w:rsidP="00BC5219">
      <w:pPr>
        <w:spacing w:line="168" w:lineRule="auto"/>
        <w:rPr>
          <w:rFonts w:ascii="Meta Pro" w:hAnsi="Meta Pro"/>
          <w:i/>
          <w:iCs/>
          <w:sz w:val="24"/>
          <w:szCs w:val="24"/>
        </w:rPr>
      </w:pPr>
    </w:p>
    <w:p w14:paraId="7EE76A5B"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r w:rsidRPr="008A2B8F">
        <w:rPr>
          <w:rFonts w:ascii="Meta Pro" w:eastAsia="Times New Roman" w:hAnsi="Meta Pro"/>
          <w:i/>
          <w:iCs/>
          <w:color w:val="000000" w:themeColor="text1"/>
          <w:lang w:eastAsia="en-AU"/>
        </w:rPr>
        <w:t>Department of Transport and Main Roads</w:t>
      </w:r>
    </w:p>
    <w:p w14:paraId="0EE821D1"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Notes to the financial statements 2022–23 (continued)</w:t>
      </w:r>
    </w:p>
    <w:tbl>
      <w:tblPr>
        <w:tblW w:w="0" w:type="auto"/>
        <w:tblLook w:val="04A0" w:firstRow="1" w:lastRow="0" w:firstColumn="1" w:lastColumn="0" w:noHBand="0" w:noVBand="1"/>
      </w:tblPr>
      <w:tblGrid>
        <w:gridCol w:w="6239"/>
        <w:gridCol w:w="1015"/>
        <w:gridCol w:w="1160"/>
        <w:gridCol w:w="334"/>
        <w:gridCol w:w="1114"/>
      </w:tblGrid>
      <w:tr w:rsidR="00BC5219" w:rsidRPr="008A2B8F" w14:paraId="293FD797" w14:textId="77777777" w:rsidTr="00E83802">
        <w:trPr>
          <w:trHeight w:val="263"/>
        </w:trPr>
        <w:tc>
          <w:tcPr>
            <w:tcW w:w="6239" w:type="dxa"/>
            <w:tcBorders>
              <w:top w:val="nil"/>
              <w:left w:val="nil"/>
              <w:bottom w:val="nil"/>
              <w:right w:val="nil"/>
            </w:tcBorders>
            <w:shd w:val="clear" w:color="auto" w:fill="auto"/>
            <w:noWrap/>
            <w:vAlign w:val="center"/>
            <w:hideMark/>
          </w:tcPr>
          <w:p w14:paraId="7A661308" w14:textId="77777777" w:rsidR="00BC5219" w:rsidRPr="008A2B8F" w:rsidRDefault="00BC5219" w:rsidP="00E83802">
            <w:pPr>
              <w:rPr>
                <w:rFonts w:ascii="Meta Pro" w:eastAsia="Times New Roman" w:hAnsi="Meta Pro" w:cs="Times New Roman"/>
                <w:sz w:val="24"/>
                <w:szCs w:val="24"/>
                <w:lang w:eastAsia="en-AU"/>
              </w:rPr>
            </w:pPr>
          </w:p>
        </w:tc>
        <w:tc>
          <w:tcPr>
            <w:tcW w:w="1015" w:type="dxa"/>
            <w:tcBorders>
              <w:top w:val="nil"/>
              <w:left w:val="nil"/>
              <w:bottom w:val="nil"/>
              <w:right w:val="nil"/>
            </w:tcBorders>
            <w:shd w:val="clear" w:color="auto" w:fill="auto"/>
            <w:noWrap/>
            <w:vAlign w:val="center"/>
            <w:hideMark/>
          </w:tcPr>
          <w:p w14:paraId="38F51E61" w14:textId="77777777" w:rsidR="00BC5219" w:rsidRPr="008A2B8F" w:rsidRDefault="00BC5219" w:rsidP="00E83802">
            <w:pPr>
              <w:jc w:val="center"/>
              <w:rPr>
                <w:rFonts w:ascii="Meta Pro" w:eastAsia="Times New Roman" w:hAnsi="Meta Pro"/>
                <w:b/>
                <w:bCs/>
                <w:color w:val="000000"/>
                <w:lang w:eastAsia="en-AU"/>
              </w:rPr>
            </w:pPr>
            <w:r w:rsidRPr="008A2B8F">
              <w:rPr>
                <w:rFonts w:ascii="Meta Pro" w:eastAsia="Times New Roman" w:hAnsi="Meta Pro"/>
                <w:b/>
                <w:bCs/>
                <w:color w:val="000000"/>
                <w:lang w:eastAsia="en-AU"/>
              </w:rPr>
              <w:t>Note</w:t>
            </w:r>
          </w:p>
        </w:tc>
        <w:tc>
          <w:tcPr>
            <w:tcW w:w="1160" w:type="dxa"/>
            <w:tcBorders>
              <w:top w:val="nil"/>
              <w:left w:val="nil"/>
              <w:bottom w:val="nil"/>
              <w:right w:val="nil"/>
            </w:tcBorders>
            <w:shd w:val="clear" w:color="auto" w:fill="auto"/>
            <w:noWrap/>
            <w:vAlign w:val="center"/>
            <w:hideMark/>
          </w:tcPr>
          <w:p w14:paraId="2E9B4E79" w14:textId="77777777" w:rsidR="00BC5219" w:rsidRPr="008A2B8F" w:rsidRDefault="00BC5219" w:rsidP="00E83802">
            <w:pPr>
              <w:jc w:val="center"/>
              <w:rPr>
                <w:rFonts w:ascii="Meta Pro" w:eastAsia="Times New Roman" w:hAnsi="Meta Pro"/>
                <w:b/>
                <w:bCs/>
                <w:color w:val="000000"/>
                <w:lang w:eastAsia="en-AU"/>
              </w:rPr>
            </w:pPr>
            <w:r w:rsidRPr="008A2B8F">
              <w:rPr>
                <w:rFonts w:ascii="Meta Pro" w:eastAsia="Times New Roman" w:hAnsi="Meta Pro"/>
                <w:b/>
                <w:bCs/>
                <w:color w:val="000000"/>
                <w:lang w:eastAsia="en-AU"/>
              </w:rPr>
              <w:t>2023</w:t>
            </w:r>
          </w:p>
        </w:tc>
        <w:tc>
          <w:tcPr>
            <w:tcW w:w="334" w:type="dxa"/>
            <w:tcBorders>
              <w:top w:val="nil"/>
              <w:left w:val="nil"/>
              <w:bottom w:val="nil"/>
              <w:right w:val="nil"/>
            </w:tcBorders>
            <w:shd w:val="clear" w:color="auto" w:fill="auto"/>
            <w:noWrap/>
            <w:vAlign w:val="center"/>
            <w:hideMark/>
          </w:tcPr>
          <w:p w14:paraId="171E4CA1" w14:textId="77777777" w:rsidR="00BC5219" w:rsidRPr="008A2B8F" w:rsidRDefault="00BC5219" w:rsidP="00E83802">
            <w:pPr>
              <w:jc w:val="center"/>
              <w:rPr>
                <w:rFonts w:ascii="Meta Pro" w:eastAsia="Times New Roman" w:hAnsi="Meta Pro"/>
                <w:b/>
                <w:bCs/>
                <w:color w:val="000000"/>
                <w:lang w:eastAsia="en-AU"/>
              </w:rPr>
            </w:pPr>
          </w:p>
        </w:tc>
        <w:tc>
          <w:tcPr>
            <w:tcW w:w="1114" w:type="dxa"/>
            <w:tcBorders>
              <w:top w:val="nil"/>
              <w:left w:val="nil"/>
              <w:bottom w:val="nil"/>
              <w:right w:val="nil"/>
            </w:tcBorders>
            <w:shd w:val="clear" w:color="auto" w:fill="auto"/>
            <w:noWrap/>
            <w:vAlign w:val="center"/>
            <w:hideMark/>
          </w:tcPr>
          <w:p w14:paraId="006E79B5" w14:textId="77777777" w:rsidR="00BC5219" w:rsidRPr="008A2B8F" w:rsidRDefault="00BC5219" w:rsidP="00E83802">
            <w:pPr>
              <w:jc w:val="center"/>
              <w:rPr>
                <w:rFonts w:ascii="Meta Pro" w:eastAsia="Times New Roman" w:hAnsi="Meta Pro"/>
                <w:b/>
                <w:bCs/>
                <w:lang w:eastAsia="en-AU"/>
              </w:rPr>
            </w:pPr>
            <w:r w:rsidRPr="008A2B8F">
              <w:rPr>
                <w:rFonts w:ascii="Meta Pro" w:eastAsia="Times New Roman" w:hAnsi="Meta Pro"/>
                <w:b/>
                <w:bCs/>
                <w:lang w:eastAsia="en-AU"/>
              </w:rPr>
              <w:t>2022</w:t>
            </w:r>
          </w:p>
        </w:tc>
      </w:tr>
      <w:tr w:rsidR="00BC5219" w:rsidRPr="008A2B8F" w14:paraId="1974F8C0" w14:textId="77777777" w:rsidTr="00E83802">
        <w:trPr>
          <w:trHeight w:val="263"/>
        </w:trPr>
        <w:tc>
          <w:tcPr>
            <w:tcW w:w="6239" w:type="dxa"/>
            <w:tcBorders>
              <w:top w:val="nil"/>
              <w:left w:val="nil"/>
              <w:bottom w:val="nil"/>
              <w:right w:val="nil"/>
            </w:tcBorders>
            <w:shd w:val="clear" w:color="auto" w:fill="auto"/>
            <w:noWrap/>
            <w:vAlign w:val="center"/>
            <w:hideMark/>
          </w:tcPr>
          <w:p w14:paraId="113E9699" w14:textId="77777777" w:rsidR="00BC5219" w:rsidRPr="008A2B8F" w:rsidRDefault="00BC5219" w:rsidP="00E83802">
            <w:pPr>
              <w:jc w:val="center"/>
              <w:rPr>
                <w:rFonts w:ascii="Meta Pro" w:eastAsia="Times New Roman" w:hAnsi="Meta Pro"/>
                <w:b/>
                <w:bCs/>
                <w:lang w:eastAsia="en-AU"/>
              </w:rPr>
            </w:pPr>
          </w:p>
        </w:tc>
        <w:tc>
          <w:tcPr>
            <w:tcW w:w="1015" w:type="dxa"/>
            <w:tcBorders>
              <w:top w:val="nil"/>
              <w:left w:val="nil"/>
              <w:bottom w:val="nil"/>
              <w:right w:val="nil"/>
            </w:tcBorders>
            <w:shd w:val="clear" w:color="auto" w:fill="auto"/>
            <w:noWrap/>
            <w:vAlign w:val="center"/>
            <w:hideMark/>
          </w:tcPr>
          <w:p w14:paraId="2924294A" w14:textId="77777777" w:rsidR="00BC5219" w:rsidRPr="008A2B8F" w:rsidRDefault="00BC5219" w:rsidP="00E83802">
            <w:pPr>
              <w:rPr>
                <w:rFonts w:ascii="Meta Pro" w:eastAsia="Times New Roman" w:hAnsi="Meta Pro" w:cs="Times New Roman"/>
                <w:sz w:val="20"/>
                <w:szCs w:val="20"/>
                <w:lang w:eastAsia="en-AU"/>
              </w:rPr>
            </w:pPr>
          </w:p>
        </w:tc>
        <w:tc>
          <w:tcPr>
            <w:tcW w:w="1160" w:type="dxa"/>
            <w:tcBorders>
              <w:top w:val="nil"/>
              <w:left w:val="nil"/>
              <w:bottom w:val="nil"/>
              <w:right w:val="nil"/>
            </w:tcBorders>
            <w:shd w:val="clear" w:color="auto" w:fill="auto"/>
            <w:noWrap/>
            <w:vAlign w:val="center"/>
            <w:hideMark/>
          </w:tcPr>
          <w:p w14:paraId="6B50B277" w14:textId="77777777" w:rsidR="00BC5219" w:rsidRPr="008A2B8F" w:rsidRDefault="00BC5219" w:rsidP="00E83802">
            <w:pPr>
              <w:jc w:val="center"/>
              <w:rPr>
                <w:rFonts w:ascii="Meta Pro" w:eastAsia="Times New Roman" w:hAnsi="Meta Pro"/>
                <w:b/>
                <w:bCs/>
                <w:lang w:eastAsia="en-AU"/>
              </w:rPr>
            </w:pPr>
            <w:r w:rsidRPr="008A2B8F">
              <w:rPr>
                <w:rFonts w:ascii="Meta Pro" w:eastAsia="Times New Roman" w:hAnsi="Meta Pro"/>
                <w:b/>
                <w:bCs/>
                <w:lang w:eastAsia="en-AU"/>
              </w:rPr>
              <w:t>$'000</w:t>
            </w:r>
          </w:p>
        </w:tc>
        <w:tc>
          <w:tcPr>
            <w:tcW w:w="334" w:type="dxa"/>
            <w:tcBorders>
              <w:top w:val="nil"/>
              <w:left w:val="nil"/>
              <w:bottom w:val="nil"/>
              <w:right w:val="nil"/>
            </w:tcBorders>
            <w:shd w:val="clear" w:color="auto" w:fill="auto"/>
            <w:noWrap/>
            <w:vAlign w:val="center"/>
            <w:hideMark/>
          </w:tcPr>
          <w:p w14:paraId="11DB78BB" w14:textId="77777777" w:rsidR="00BC5219" w:rsidRPr="008A2B8F" w:rsidRDefault="00BC5219" w:rsidP="00E83802">
            <w:pPr>
              <w:jc w:val="center"/>
              <w:rPr>
                <w:rFonts w:ascii="Meta Pro" w:eastAsia="Times New Roman" w:hAnsi="Meta Pro"/>
                <w:b/>
                <w:bCs/>
                <w:lang w:eastAsia="en-AU"/>
              </w:rPr>
            </w:pPr>
          </w:p>
        </w:tc>
        <w:tc>
          <w:tcPr>
            <w:tcW w:w="1114" w:type="dxa"/>
            <w:tcBorders>
              <w:top w:val="nil"/>
              <w:left w:val="nil"/>
              <w:bottom w:val="nil"/>
              <w:right w:val="nil"/>
            </w:tcBorders>
            <w:shd w:val="clear" w:color="auto" w:fill="auto"/>
            <w:noWrap/>
            <w:vAlign w:val="center"/>
            <w:hideMark/>
          </w:tcPr>
          <w:p w14:paraId="2BB3529C" w14:textId="77777777" w:rsidR="00BC5219" w:rsidRPr="008A2B8F" w:rsidRDefault="00BC5219" w:rsidP="00E83802">
            <w:pPr>
              <w:jc w:val="center"/>
              <w:rPr>
                <w:rFonts w:ascii="Meta Pro" w:eastAsia="Times New Roman" w:hAnsi="Meta Pro"/>
                <w:b/>
                <w:bCs/>
                <w:lang w:eastAsia="en-AU"/>
              </w:rPr>
            </w:pPr>
            <w:r w:rsidRPr="008A2B8F">
              <w:rPr>
                <w:rFonts w:ascii="Meta Pro" w:eastAsia="Times New Roman" w:hAnsi="Meta Pro"/>
                <w:b/>
                <w:bCs/>
                <w:lang w:eastAsia="en-AU"/>
              </w:rPr>
              <w:t>$'000</w:t>
            </w:r>
          </w:p>
        </w:tc>
      </w:tr>
    </w:tbl>
    <w:p w14:paraId="37779B91" w14:textId="77777777" w:rsidR="00BC5219" w:rsidRPr="008A2B8F" w:rsidRDefault="00BC5219" w:rsidP="00BC5219">
      <w:pPr>
        <w:spacing w:after="120" w:line="259" w:lineRule="auto"/>
        <w:rPr>
          <w:rFonts w:ascii="Meta Pro" w:hAnsi="Meta Pro"/>
          <w:b/>
          <w:bCs/>
          <w:lang w:eastAsia="en-AU"/>
        </w:rPr>
      </w:pPr>
      <w:r w:rsidRPr="008A2B8F">
        <w:rPr>
          <w:rFonts w:ascii="Meta Pro" w:hAnsi="Meta Pro"/>
          <w:b/>
          <w:bCs/>
          <w:lang w:eastAsia="en-AU"/>
        </w:rPr>
        <w:lastRenderedPageBreak/>
        <w:t>16      PUBLIC PRIVATE PARTNERSHIPS (continued)</w:t>
      </w:r>
    </w:p>
    <w:p w14:paraId="0297DDE6" w14:textId="77777777" w:rsidR="00BC5219" w:rsidRPr="008A2B8F" w:rsidRDefault="00BC5219" w:rsidP="00BC5219">
      <w:pPr>
        <w:spacing w:after="120" w:line="259" w:lineRule="auto"/>
        <w:rPr>
          <w:rFonts w:ascii="Meta Pro" w:hAnsi="Meta Pro"/>
          <w:b/>
          <w:bCs/>
          <w:szCs w:val="18"/>
          <w:lang w:eastAsia="en-AU"/>
        </w:rPr>
      </w:pPr>
      <w:r w:rsidRPr="008A2B8F">
        <w:rPr>
          <w:rFonts w:ascii="Meta Pro" w:hAnsi="Meta Pro"/>
          <w:b/>
          <w:bCs/>
          <w:szCs w:val="18"/>
          <w:lang w:eastAsia="en-AU"/>
        </w:rPr>
        <w:t>SERVICE CONCESSION ARRANGEMENTS UNDER AASB 1059 (continued)</w:t>
      </w:r>
    </w:p>
    <w:p w14:paraId="17287A54" w14:textId="77777777" w:rsidR="00BC5219" w:rsidRPr="008A2B8F" w:rsidRDefault="00BC5219" w:rsidP="00BC5219">
      <w:pPr>
        <w:spacing w:after="120"/>
        <w:rPr>
          <w:rFonts w:ascii="Meta Pro" w:eastAsia="Times New Roman" w:hAnsi="Meta Pro"/>
          <w:b/>
          <w:bCs/>
          <w:szCs w:val="18"/>
          <w:lang w:eastAsia="en-AU"/>
        </w:rPr>
      </w:pPr>
      <w:r w:rsidRPr="008A2B8F">
        <w:rPr>
          <w:rFonts w:ascii="Meta Pro" w:eastAsia="Times New Roman" w:hAnsi="Meta Pro"/>
          <w:b/>
          <w:bCs/>
          <w:szCs w:val="18"/>
          <w:lang w:eastAsia="en-AU"/>
        </w:rPr>
        <w:t>Toowoomba Bypass (continued)</w:t>
      </w:r>
    </w:p>
    <w:p w14:paraId="06E99DB9" w14:textId="77777777" w:rsidR="00BC5219" w:rsidRPr="008A2B8F" w:rsidRDefault="00BC5219" w:rsidP="00BC5219">
      <w:pPr>
        <w:spacing w:after="160" w:line="259" w:lineRule="auto"/>
        <w:rPr>
          <w:rFonts w:ascii="Meta Pro" w:eastAsia="Times New Roman" w:hAnsi="Meta Pro"/>
          <w:szCs w:val="18"/>
          <w:lang w:eastAsia="en-AU"/>
        </w:rPr>
        <w:sectPr w:rsidR="00BC5219" w:rsidRPr="008A2B8F" w:rsidSect="00F51483">
          <w:headerReference w:type="default" r:id="rId117"/>
          <w:footerReference w:type="default" r:id="rId118"/>
          <w:pgSz w:w="11906" w:h="16838"/>
          <w:pgMar w:top="1701" w:right="851" w:bottom="1134" w:left="851" w:header="454" w:footer="454" w:gutter="0"/>
          <w:pgNumType w:start="30"/>
          <w:cols w:space="708"/>
          <w:docGrid w:linePitch="360"/>
        </w:sectPr>
      </w:pPr>
    </w:p>
    <w:p w14:paraId="4B5464F9" w14:textId="77777777" w:rsidR="00BC5219" w:rsidRPr="008A2B8F" w:rsidRDefault="00BC5219" w:rsidP="00BC5219">
      <w:pPr>
        <w:spacing w:after="120"/>
        <w:ind w:left="-284"/>
        <w:rPr>
          <w:rFonts w:ascii="Meta Pro" w:hAnsi="Meta Pro" w:cstheme="minorBidi"/>
        </w:rPr>
      </w:pPr>
      <w:r w:rsidRPr="008A2B8F">
        <w:rPr>
          <w:rFonts w:ascii="Meta Pro" w:eastAsia="Times New Roman" w:hAnsi="Meta Pro"/>
          <w:szCs w:val="18"/>
          <w:lang w:eastAsia="en-AU"/>
        </w:rPr>
        <w:t>The estimated future cash flows excluding GST are detailed below:</w:t>
      </w:r>
    </w:p>
    <w:tbl>
      <w:tblPr>
        <w:tblW w:w="0" w:type="auto"/>
        <w:tblInd w:w="-284" w:type="dxa"/>
        <w:tblCellMar>
          <w:left w:w="0" w:type="dxa"/>
        </w:tblCellMar>
        <w:tblLook w:val="04A0" w:firstRow="1" w:lastRow="0" w:firstColumn="1" w:lastColumn="0" w:noHBand="0" w:noVBand="1"/>
      </w:tblPr>
      <w:tblGrid>
        <w:gridCol w:w="6183"/>
        <w:gridCol w:w="1080"/>
        <w:gridCol w:w="1165"/>
        <w:gridCol w:w="229"/>
        <w:gridCol w:w="1165"/>
      </w:tblGrid>
      <w:tr w:rsidR="00BC5219" w:rsidRPr="008A2B8F" w14:paraId="7C675E2F" w14:textId="77777777" w:rsidTr="00E83802">
        <w:trPr>
          <w:trHeight w:val="198"/>
        </w:trPr>
        <w:tc>
          <w:tcPr>
            <w:tcW w:w="6175" w:type="dxa"/>
            <w:tcBorders>
              <w:top w:val="nil"/>
              <w:left w:val="nil"/>
              <w:bottom w:val="nil"/>
              <w:right w:val="nil"/>
            </w:tcBorders>
            <w:shd w:val="clear" w:color="auto" w:fill="auto"/>
            <w:noWrap/>
            <w:vAlign w:val="center"/>
            <w:hideMark/>
          </w:tcPr>
          <w:p w14:paraId="7FB28915"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Estimated cash flows</w:t>
            </w:r>
          </w:p>
        </w:tc>
        <w:tc>
          <w:tcPr>
            <w:tcW w:w="1072" w:type="dxa"/>
            <w:tcBorders>
              <w:top w:val="nil"/>
              <w:left w:val="nil"/>
              <w:bottom w:val="nil"/>
              <w:right w:val="nil"/>
            </w:tcBorders>
            <w:shd w:val="clear" w:color="auto" w:fill="auto"/>
            <w:noWrap/>
            <w:vAlign w:val="center"/>
            <w:hideMark/>
          </w:tcPr>
          <w:p w14:paraId="7F41E8A8" w14:textId="77777777" w:rsidR="00BC5219" w:rsidRPr="008A2B8F" w:rsidRDefault="00BC5219" w:rsidP="00E83802">
            <w:pPr>
              <w:rPr>
                <w:rFonts w:ascii="Meta Pro" w:eastAsia="Times New Roman" w:hAnsi="Meta Pro"/>
                <w:b/>
                <w:bCs/>
                <w:szCs w:val="18"/>
                <w:lang w:eastAsia="en-AU"/>
              </w:rPr>
            </w:pPr>
          </w:p>
        </w:tc>
        <w:tc>
          <w:tcPr>
            <w:tcW w:w="1157" w:type="dxa"/>
            <w:tcBorders>
              <w:top w:val="nil"/>
              <w:left w:val="nil"/>
              <w:bottom w:val="nil"/>
              <w:right w:val="nil"/>
            </w:tcBorders>
            <w:shd w:val="clear" w:color="auto" w:fill="auto"/>
            <w:noWrap/>
            <w:vAlign w:val="center"/>
            <w:hideMark/>
          </w:tcPr>
          <w:p w14:paraId="1E8762F4" w14:textId="77777777" w:rsidR="00BC5219" w:rsidRPr="008A2B8F" w:rsidRDefault="00BC5219" w:rsidP="00E83802">
            <w:pPr>
              <w:jc w:val="center"/>
              <w:rPr>
                <w:rFonts w:ascii="Meta Pro" w:eastAsia="Times New Roman" w:hAnsi="Meta Pro" w:cs="Times New Roman"/>
                <w:sz w:val="20"/>
                <w:szCs w:val="20"/>
                <w:lang w:eastAsia="en-AU"/>
              </w:rPr>
            </w:pPr>
          </w:p>
        </w:tc>
        <w:tc>
          <w:tcPr>
            <w:tcW w:w="221" w:type="dxa"/>
            <w:tcBorders>
              <w:top w:val="nil"/>
              <w:left w:val="nil"/>
              <w:bottom w:val="nil"/>
              <w:right w:val="nil"/>
            </w:tcBorders>
            <w:shd w:val="clear" w:color="auto" w:fill="auto"/>
            <w:vAlign w:val="center"/>
            <w:hideMark/>
          </w:tcPr>
          <w:p w14:paraId="4AEBF019" w14:textId="77777777" w:rsidR="00BC5219" w:rsidRPr="008A2B8F" w:rsidRDefault="00BC5219" w:rsidP="00E83802">
            <w:pPr>
              <w:rPr>
                <w:rFonts w:ascii="Meta Pro" w:eastAsia="Times New Roman" w:hAnsi="Meta Pro" w:cs="Times New Roman"/>
                <w:sz w:val="20"/>
                <w:szCs w:val="20"/>
                <w:lang w:eastAsia="en-AU"/>
              </w:rPr>
            </w:pPr>
          </w:p>
        </w:tc>
        <w:tc>
          <w:tcPr>
            <w:tcW w:w="1157" w:type="dxa"/>
            <w:tcBorders>
              <w:top w:val="nil"/>
              <w:left w:val="nil"/>
              <w:bottom w:val="nil"/>
              <w:right w:val="nil"/>
            </w:tcBorders>
            <w:shd w:val="clear" w:color="auto" w:fill="auto"/>
            <w:noWrap/>
            <w:vAlign w:val="center"/>
            <w:hideMark/>
          </w:tcPr>
          <w:p w14:paraId="5866D788" w14:textId="77777777" w:rsidR="00BC5219" w:rsidRPr="008A2B8F" w:rsidRDefault="00BC5219" w:rsidP="00E83802">
            <w:pPr>
              <w:rPr>
                <w:rFonts w:ascii="Meta Pro" w:eastAsia="Times New Roman" w:hAnsi="Meta Pro" w:cs="Times New Roman"/>
                <w:sz w:val="20"/>
                <w:szCs w:val="20"/>
                <w:lang w:eastAsia="en-AU"/>
              </w:rPr>
            </w:pPr>
          </w:p>
        </w:tc>
      </w:tr>
      <w:tr w:rsidR="00BC5219" w:rsidRPr="008A2B8F" w14:paraId="415034C5" w14:textId="77777777" w:rsidTr="00E83802">
        <w:trPr>
          <w:trHeight w:val="198"/>
        </w:trPr>
        <w:tc>
          <w:tcPr>
            <w:tcW w:w="6175" w:type="dxa"/>
            <w:tcBorders>
              <w:top w:val="nil"/>
              <w:left w:val="nil"/>
              <w:bottom w:val="nil"/>
              <w:right w:val="nil"/>
            </w:tcBorders>
            <w:shd w:val="clear" w:color="auto" w:fill="auto"/>
            <w:noWrap/>
            <w:vAlign w:val="center"/>
            <w:hideMark/>
          </w:tcPr>
          <w:p w14:paraId="249532DA" w14:textId="77777777" w:rsidR="00BC5219" w:rsidRPr="008A2B8F" w:rsidRDefault="00BC5219" w:rsidP="00E83802">
            <w:pPr>
              <w:rPr>
                <w:rFonts w:ascii="Meta Pro" w:eastAsia="Times New Roman" w:hAnsi="Meta Pro"/>
                <w:i/>
                <w:iCs/>
                <w:szCs w:val="18"/>
                <w:lang w:eastAsia="en-AU"/>
              </w:rPr>
            </w:pPr>
            <w:r w:rsidRPr="008A2B8F">
              <w:rPr>
                <w:rFonts w:ascii="Meta Pro" w:eastAsia="Times New Roman" w:hAnsi="Meta Pro"/>
                <w:i/>
                <w:iCs/>
                <w:szCs w:val="18"/>
                <w:lang w:eastAsia="en-AU"/>
              </w:rPr>
              <w:t>Inflows:</w:t>
            </w:r>
          </w:p>
        </w:tc>
        <w:tc>
          <w:tcPr>
            <w:tcW w:w="1072" w:type="dxa"/>
            <w:tcBorders>
              <w:top w:val="nil"/>
              <w:left w:val="nil"/>
              <w:bottom w:val="nil"/>
              <w:right w:val="nil"/>
            </w:tcBorders>
            <w:shd w:val="clear" w:color="auto" w:fill="auto"/>
            <w:noWrap/>
            <w:vAlign w:val="center"/>
            <w:hideMark/>
          </w:tcPr>
          <w:p w14:paraId="0ACC9FC1" w14:textId="77777777" w:rsidR="00BC5219" w:rsidRPr="008A2B8F" w:rsidRDefault="00BC5219" w:rsidP="00E83802">
            <w:pPr>
              <w:rPr>
                <w:rFonts w:ascii="Meta Pro" w:eastAsia="Times New Roman" w:hAnsi="Meta Pro"/>
                <w:i/>
                <w:iCs/>
                <w:szCs w:val="18"/>
                <w:lang w:eastAsia="en-AU"/>
              </w:rPr>
            </w:pPr>
          </w:p>
        </w:tc>
        <w:tc>
          <w:tcPr>
            <w:tcW w:w="1157" w:type="dxa"/>
            <w:tcBorders>
              <w:top w:val="nil"/>
              <w:left w:val="nil"/>
              <w:bottom w:val="nil"/>
              <w:right w:val="nil"/>
            </w:tcBorders>
            <w:shd w:val="clear" w:color="auto" w:fill="auto"/>
            <w:noWrap/>
            <w:vAlign w:val="center"/>
            <w:hideMark/>
          </w:tcPr>
          <w:p w14:paraId="67195852" w14:textId="77777777" w:rsidR="00BC5219" w:rsidRPr="008A2B8F" w:rsidRDefault="00BC5219" w:rsidP="00E83802">
            <w:pPr>
              <w:jc w:val="center"/>
              <w:rPr>
                <w:rFonts w:ascii="Meta Pro" w:eastAsia="Times New Roman" w:hAnsi="Meta Pro" w:cs="Times New Roman"/>
                <w:sz w:val="20"/>
                <w:szCs w:val="20"/>
                <w:lang w:eastAsia="en-AU"/>
              </w:rPr>
            </w:pPr>
          </w:p>
        </w:tc>
        <w:tc>
          <w:tcPr>
            <w:tcW w:w="221" w:type="dxa"/>
            <w:tcBorders>
              <w:top w:val="nil"/>
              <w:left w:val="nil"/>
              <w:bottom w:val="nil"/>
              <w:right w:val="nil"/>
            </w:tcBorders>
            <w:shd w:val="clear" w:color="auto" w:fill="auto"/>
            <w:noWrap/>
            <w:vAlign w:val="center"/>
            <w:hideMark/>
          </w:tcPr>
          <w:p w14:paraId="525E3E3F" w14:textId="77777777" w:rsidR="00BC5219" w:rsidRPr="008A2B8F" w:rsidRDefault="00BC5219" w:rsidP="00E83802">
            <w:pPr>
              <w:jc w:val="right"/>
              <w:rPr>
                <w:rFonts w:ascii="Meta Pro" w:eastAsia="Times New Roman" w:hAnsi="Meta Pro" w:cs="Times New Roman"/>
                <w:sz w:val="20"/>
                <w:szCs w:val="20"/>
                <w:lang w:eastAsia="en-AU"/>
              </w:rPr>
            </w:pPr>
          </w:p>
        </w:tc>
        <w:tc>
          <w:tcPr>
            <w:tcW w:w="1157" w:type="dxa"/>
            <w:tcBorders>
              <w:top w:val="nil"/>
              <w:left w:val="nil"/>
              <w:bottom w:val="nil"/>
              <w:right w:val="nil"/>
            </w:tcBorders>
            <w:shd w:val="clear" w:color="auto" w:fill="auto"/>
            <w:noWrap/>
            <w:vAlign w:val="center"/>
            <w:hideMark/>
          </w:tcPr>
          <w:p w14:paraId="0486C56A"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3429B36D" w14:textId="77777777" w:rsidTr="00E83802">
        <w:trPr>
          <w:trHeight w:val="198"/>
        </w:trPr>
        <w:tc>
          <w:tcPr>
            <w:tcW w:w="6175" w:type="dxa"/>
            <w:tcBorders>
              <w:top w:val="nil"/>
              <w:left w:val="nil"/>
              <w:bottom w:val="nil"/>
              <w:right w:val="nil"/>
            </w:tcBorders>
            <w:shd w:val="clear" w:color="auto" w:fill="auto"/>
            <w:noWrap/>
            <w:vAlign w:val="center"/>
            <w:hideMark/>
          </w:tcPr>
          <w:p w14:paraId="3D054B6C"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Not later than one year</w:t>
            </w:r>
          </w:p>
        </w:tc>
        <w:tc>
          <w:tcPr>
            <w:tcW w:w="1072" w:type="dxa"/>
            <w:tcBorders>
              <w:top w:val="nil"/>
              <w:left w:val="nil"/>
              <w:bottom w:val="nil"/>
              <w:right w:val="nil"/>
            </w:tcBorders>
            <w:shd w:val="clear" w:color="auto" w:fill="auto"/>
            <w:noWrap/>
            <w:vAlign w:val="center"/>
            <w:hideMark/>
          </w:tcPr>
          <w:p w14:paraId="0F2B509E" w14:textId="77777777" w:rsidR="00BC5219" w:rsidRPr="008A2B8F" w:rsidRDefault="00BC5219" w:rsidP="00E83802">
            <w:pPr>
              <w:rPr>
                <w:rFonts w:ascii="Meta Pro" w:eastAsia="Times New Roman" w:hAnsi="Meta Pro"/>
                <w:szCs w:val="18"/>
                <w:lang w:eastAsia="en-AU"/>
              </w:rPr>
            </w:pPr>
          </w:p>
        </w:tc>
        <w:tc>
          <w:tcPr>
            <w:tcW w:w="1157" w:type="dxa"/>
            <w:tcBorders>
              <w:top w:val="nil"/>
              <w:left w:val="nil"/>
              <w:bottom w:val="nil"/>
              <w:right w:val="nil"/>
            </w:tcBorders>
            <w:shd w:val="clear" w:color="000000" w:fill="C9E3B4"/>
            <w:noWrap/>
            <w:vAlign w:val="center"/>
            <w:hideMark/>
          </w:tcPr>
          <w:p w14:paraId="0BC083D6"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19,853 </w:t>
            </w:r>
          </w:p>
        </w:tc>
        <w:tc>
          <w:tcPr>
            <w:tcW w:w="221" w:type="dxa"/>
            <w:tcBorders>
              <w:top w:val="nil"/>
              <w:left w:val="nil"/>
              <w:bottom w:val="nil"/>
              <w:right w:val="nil"/>
            </w:tcBorders>
            <w:shd w:val="clear" w:color="auto" w:fill="auto"/>
            <w:vAlign w:val="center"/>
            <w:hideMark/>
          </w:tcPr>
          <w:p w14:paraId="738E5253" w14:textId="77777777" w:rsidR="00BC5219" w:rsidRPr="008A2B8F"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35F93316"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19,269 </w:t>
            </w:r>
          </w:p>
        </w:tc>
      </w:tr>
      <w:tr w:rsidR="00BC5219" w:rsidRPr="008A2B8F" w14:paraId="761FE682" w14:textId="77777777" w:rsidTr="00E83802">
        <w:trPr>
          <w:trHeight w:val="198"/>
        </w:trPr>
        <w:tc>
          <w:tcPr>
            <w:tcW w:w="6175" w:type="dxa"/>
            <w:tcBorders>
              <w:top w:val="nil"/>
              <w:left w:val="nil"/>
              <w:bottom w:val="nil"/>
              <w:right w:val="nil"/>
            </w:tcBorders>
            <w:shd w:val="clear" w:color="auto" w:fill="auto"/>
            <w:noWrap/>
            <w:vAlign w:val="center"/>
            <w:hideMark/>
          </w:tcPr>
          <w:p w14:paraId="3ED52DAC"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Later than one year but not later than five years</w:t>
            </w:r>
          </w:p>
        </w:tc>
        <w:tc>
          <w:tcPr>
            <w:tcW w:w="1072" w:type="dxa"/>
            <w:tcBorders>
              <w:top w:val="nil"/>
              <w:left w:val="nil"/>
              <w:bottom w:val="nil"/>
              <w:right w:val="nil"/>
            </w:tcBorders>
            <w:shd w:val="clear" w:color="auto" w:fill="auto"/>
            <w:noWrap/>
            <w:vAlign w:val="center"/>
            <w:hideMark/>
          </w:tcPr>
          <w:p w14:paraId="1345E77E" w14:textId="77777777" w:rsidR="00BC5219" w:rsidRPr="008A2B8F" w:rsidRDefault="00BC5219" w:rsidP="00E83802">
            <w:pPr>
              <w:rPr>
                <w:rFonts w:ascii="Meta Pro" w:eastAsia="Times New Roman" w:hAnsi="Meta Pro"/>
                <w:szCs w:val="18"/>
                <w:lang w:eastAsia="en-AU"/>
              </w:rPr>
            </w:pPr>
          </w:p>
        </w:tc>
        <w:tc>
          <w:tcPr>
            <w:tcW w:w="1157" w:type="dxa"/>
            <w:tcBorders>
              <w:top w:val="nil"/>
              <w:left w:val="nil"/>
              <w:bottom w:val="nil"/>
              <w:right w:val="nil"/>
            </w:tcBorders>
            <w:shd w:val="clear" w:color="000000" w:fill="C9E3B4"/>
            <w:noWrap/>
            <w:vAlign w:val="center"/>
            <w:hideMark/>
          </w:tcPr>
          <w:p w14:paraId="7BCE959A"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88,536 </w:t>
            </w:r>
          </w:p>
        </w:tc>
        <w:tc>
          <w:tcPr>
            <w:tcW w:w="221" w:type="dxa"/>
            <w:tcBorders>
              <w:top w:val="nil"/>
              <w:left w:val="nil"/>
              <w:bottom w:val="nil"/>
              <w:right w:val="nil"/>
            </w:tcBorders>
            <w:shd w:val="clear" w:color="auto" w:fill="auto"/>
            <w:noWrap/>
            <w:vAlign w:val="center"/>
            <w:hideMark/>
          </w:tcPr>
          <w:p w14:paraId="3F4E2410" w14:textId="77777777" w:rsidR="00BC5219" w:rsidRPr="008A2B8F"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33CA620A"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87,467 </w:t>
            </w:r>
          </w:p>
        </w:tc>
      </w:tr>
      <w:tr w:rsidR="00BC5219" w:rsidRPr="008A2B8F" w14:paraId="6E3C1BB5" w14:textId="77777777" w:rsidTr="00E83802">
        <w:trPr>
          <w:trHeight w:val="198"/>
        </w:trPr>
        <w:tc>
          <w:tcPr>
            <w:tcW w:w="6175" w:type="dxa"/>
            <w:tcBorders>
              <w:top w:val="nil"/>
              <w:left w:val="nil"/>
              <w:bottom w:val="nil"/>
              <w:right w:val="nil"/>
            </w:tcBorders>
            <w:shd w:val="clear" w:color="auto" w:fill="auto"/>
            <w:noWrap/>
            <w:vAlign w:val="center"/>
            <w:hideMark/>
          </w:tcPr>
          <w:p w14:paraId="40DAF101"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Later than five years but not later than ten years</w:t>
            </w:r>
          </w:p>
        </w:tc>
        <w:tc>
          <w:tcPr>
            <w:tcW w:w="1072" w:type="dxa"/>
            <w:tcBorders>
              <w:top w:val="nil"/>
              <w:left w:val="nil"/>
              <w:bottom w:val="nil"/>
              <w:right w:val="nil"/>
            </w:tcBorders>
            <w:shd w:val="clear" w:color="auto" w:fill="auto"/>
            <w:noWrap/>
            <w:vAlign w:val="center"/>
            <w:hideMark/>
          </w:tcPr>
          <w:p w14:paraId="2A5C7CDF" w14:textId="77777777" w:rsidR="00BC5219" w:rsidRPr="008A2B8F" w:rsidRDefault="00BC5219" w:rsidP="00E83802">
            <w:pPr>
              <w:rPr>
                <w:rFonts w:ascii="Meta Pro" w:eastAsia="Times New Roman" w:hAnsi="Meta Pro"/>
                <w:szCs w:val="18"/>
                <w:lang w:eastAsia="en-AU"/>
              </w:rPr>
            </w:pPr>
          </w:p>
        </w:tc>
        <w:tc>
          <w:tcPr>
            <w:tcW w:w="1157" w:type="dxa"/>
            <w:tcBorders>
              <w:top w:val="nil"/>
              <w:left w:val="nil"/>
              <w:bottom w:val="nil"/>
              <w:right w:val="nil"/>
            </w:tcBorders>
            <w:shd w:val="clear" w:color="000000" w:fill="C9E3B4"/>
            <w:noWrap/>
            <w:vAlign w:val="center"/>
            <w:hideMark/>
          </w:tcPr>
          <w:p w14:paraId="392F31C2"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137,305 </w:t>
            </w:r>
          </w:p>
        </w:tc>
        <w:tc>
          <w:tcPr>
            <w:tcW w:w="221" w:type="dxa"/>
            <w:tcBorders>
              <w:top w:val="nil"/>
              <w:left w:val="nil"/>
              <w:bottom w:val="nil"/>
              <w:right w:val="nil"/>
            </w:tcBorders>
            <w:shd w:val="clear" w:color="auto" w:fill="auto"/>
            <w:noWrap/>
            <w:vAlign w:val="center"/>
            <w:hideMark/>
          </w:tcPr>
          <w:p w14:paraId="6294A289" w14:textId="77777777" w:rsidR="00BC5219" w:rsidRPr="008A2B8F"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7B2C5169"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129,186 </w:t>
            </w:r>
          </w:p>
        </w:tc>
      </w:tr>
      <w:tr w:rsidR="00BC5219" w:rsidRPr="008A2B8F" w14:paraId="06CEE01B" w14:textId="77777777" w:rsidTr="00E83802">
        <w:trPr>
          <w:trHeight w:val="198"/>
        </w:trPr>
        <w:tc>
          <w:tcPr>
            <w:tcW w:w="6175" w:type="dxa"/>
            <w:tcBorders>
              <w:top w:val="nil"/>
              <w:left w:val="nil"/>
              <w:bottom w:val="nil"/>
              <w:right w:val="nil"/>
            </w:tcBorders>
            <w:shd w:val="clear" w:color="auto" w:fill="auto"/>
            <w:noWrap/>
            <w:vAlign w:val="center"/>
            <w:hideMark/>
          </w:tcPr>
          <w:p w14:paraId="12FFE49F"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Later than ten years</w:t>
            </w:r>
          </w:p>
        </w:tc>
        <w:tc>
          <w:tcPr>
            <w:tcW w:w="1072" w:type="dxa"/>
            <w:tcBorders>
              <w:top w:val="nil"/>
              <w:left w:val="nil"/>
              <w:bottom w:val="nil"/>
              <w:right w:val="nil"/>
            </w:tcBorders>
            <w:shd w:val="clear" w:color="auto" w:fill="auto"/>
            <w:noWrap/>
            <w:vAlign w:val="center"/>
            <w:hideMark/>
          </w:tcPr>
          <w:p w14:paraId="7DF25098" w14:textId="77777777" w:rsidR="00BC5219" w:rsidRPr="008A2B8F" w:rsidRDefault="00BC5219" w:rsidP="00E83802">
            <w:pPr>
              <w:rPr>
                <w:rFonts w:ascii="Meta Pro" w:eastAsia="Times New Roman" w:hAnsi="Meta Pro"/>
                <w:szCs w:val="18"/>
                <w:lang w:eastAsia="en-AU"/>
              </w:rPr>
            </w:pPr>
          </w:p>
        </w:tc>
        <w:tc>
          <w:tcPr>
            <w:tcW w:w="1157" w:type="dxa"/>
            <w:tcBorders>
              <w:top w:val="nil"/>
              <w:left w:val="nil"/>
              <w:bottom w:val="nil"/>
              <w:right w:val="nil"/>
            </w:tcBorders>
            <w:shd w:val="clear" w:color="000000" w:fill="C9E3B4"/>
            <w:noWrap/>
            <w:vAlign w:val="center"/>
            <w:hideMark/>
          </w:tcPr>
          <w:p w14:paraId="540AD732"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414,826 </w:t>
            </w:r>
          </w:p>
        </w:tc>
        <w:tc>
          <w:tcPr>
            <w:tcW w:w="221" w:type="dxa"/>
            <w:tcBorders>
              <w:top w:val="nil"/>
              <w:left w:val="nil"/>
              <w:bottom w:val="nil"/>
              <w:right w:val="nil"/>
            </w:tcBorders>
            <w:shd w:val="clear" w:color="auto" w:fill="auto"/>
            <w:noWrap/>
            <w:vAlign w:val="center"/>
            <w:hideMark/>
          </w:tcPr>
          <w:p w14:paraId="3EEE7C4B" w14:textId="77777777" w:rsidR="00BC5219" w:rsidRPr="008A2B8F"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5E232EFF"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453,455 </w:t>
            </w:r>
          </w:p>
        </w:tc>
      </w:tr>
      <w:tr w:rsidR="00BC5219" w:rsidRPr="008A2B8F" w14:paraId="1A623EFD" w14:textId="77777777" w:rsidTr="00E83802">
        <w:trPr>
          <w:trHeight w:val="198"/>
        </w:trPr>
        <w:tc>
          <w:tcPr>
            <w:tcW w:w="6175" w:type="dxa"/>
            <w:tcBorders>
              <w:top w:val="nil"/>
              <w:left w:val="nil"/>
              <w:bottom w:val="nil"/>
              <w:right w:val="nil"/>
            </w:tcBorders>
            <w:shd w:val="clear" w:color="auto" w:fill="auto"/>
            <w:noWrap/>
            <w:vAlign w:val="center"/>
            <w:hideMark/>
          </w:tcPr>
          <w:p w14:paraId="49781BC3" w14:textId="77777777" w:rsidR="00BC5219" w:rsidRPr="008A2B8F" w:rsidRDefault="00BC5219" w:rsidP="00E83802">
            <w:pPr>
              <w:rPr>
                <w:rFonts w:ascii="Meta Pro" w:eastAsia="Times New Roman" w:hAnsi="Meta Pro"/>
                <w:i/>
                <w:iCs/>
                <w:szCs w:val="18"/>
                <w:lang w:eastAsia="en-AU"/>
              </w:rPr>
            </w:pPr>
            <w:r w:rsidRPr="008A2B8F">
              <w:rPr>
                <w:rFonts w:ascii="Meta Pro" w:eastAsia="Times New Roman" w:hAnsi="Meta Pro"/>
                <w:i/>
                <w:iCs/>
                <w:szCs w:val="18"/>
                <w:lang w:eastAsia="en-AU"/>
              </w:rPr>
              <w:t>Outflows:</w:t>
            </w:r>
          </w:p>
        </w:tc>
        <w:tc>
          <w:tcPr>
            <w:tcW w:w="1072" w:type="dxa"/>
            <w:tcBorders>
              <w:top w:val="nil"/>
              <w:left w:val="nil"/>
              <w:bottom w:val="nil"/>
              <w:right w:val="nil"/>
            </w:tcBorders>
            <w:shd w:val="clear" w:color="auto" w:fill="auto"/>
            <w:noWrap/>
            <w:vAlign w:val="center"/>
            <w:hideMark/>
          </w:tcPr>
          <w:p w14:paraId="1FCDEB46" w14:textId="77777777" w:rsidR="00BC5219" w:rsidRPr="008A2B8F" w:rsidRDefault="00BC5219" w:rsidP="00E83802">
            <w:pPr>
              <w:rPr>
                <w:rFonts w:ascii="Meta Pro" w:eastAsia="Times New Roman" w:hAnsi="Meta Pro"/>
                <w:i/>
                <w:iCs/>
                <w:szCs w:val="18"/>
                <w:lang w:eastAsia="en-AU"/>
              </w:rPr>
            </w:pPr>
          </w:p>
        </w:tc>
        <w:tc>
          <w:tcPr>
            <w:tcW w:w="1157" w:type="dxa"/>
            <w:tcBorders>
              <w:top w:val="nil"/>
              <w:left w:val="nil"/>
              <w:bottom w:val="nil"/>
              <w:right w:val="nil"/>
            </w:tcBorders>
            <w:shd w:val="clear" w:color="000000" w:fill="C9E3B4"/>
            <w:noWrap/>
            <w:vAlign w:val="center"/>
            <w:hideMark/>
          </w:tcPr>
          <w:p w14:paraId="39C79154" w14:textId="77777777" w:rsidR="00BC5219" w:rsidRPr="008A2B8F" w:rsidRDefault="00BC5219" w:rsidP="00E83802">
            <w:pPr>
              <w:rPr>
                <w:rFonts w:ascii="Meta Pro" w:eastAsia="Times New Roman" w:hAnsi="Meta Pro"/>
                <w:i/>
                <w:iCs/>
                <w:szCs w:val="18"/>
                <w:lang w:eastAsia="en-AU"/>
              </w:rPr>
            </w:pPr>
            <w:r w:rsidRPr="008A2B8F">
              <w:rPr>
                <w:rFonts w:ascii="Meta Pro" w:eastAsia="Times New Roman" w:hAnsi="Meta Pro"/>
                <w:i/>
                <w:iCs/>
                <w:szCs w:val="18"/>
                <w:lang w:eastAsia="en-AU"/>
              </w:rPr>
              <w:t> </w:t>
            </w:r>
          </w:p>
        </w:tc>
        <w:tc>
          <w:tcPr>
            <w:tcW w:w="221" w:type="dxa"/>
            <w:tcBorders>
              <w:top w:val="nil"/>
              <w:left w:val="nil"/>
              <w:bottom w:val="nil"/>
              <w:right w:val="nil"/>
            </w:tcBorders>
            <w:shd w:val="clear" w:color="auto" w:fill="auto"/>
            <w:noWrap/>
            <w:vAlign w:val="center"/>
            <w:hideMark/>
          </w:tcPr>
          <w:p w14:paraId="381F267F" w14:textId="77777777" w:rsidR="00BC5219" w:rsidRPr="008A2B8F" w:rsidRDefault="00BC5219" w:rsidP="00E83802">
            <w:pPr>
              <w:rPr>
                <w:rFonts w:ascii="Meta Pro" w:eastAsia="Times New Roman" w:hAnsi="Meta Pro"/>
                <w:i/>
                <w:iCs/>
                <w:szCs w:val="18"/>
                <w:lang w:eastAsia="en-AU"/>
              </w:rPr>
            </w:pPr>
          </w:p>
        </w:tc>
        <w:tc>
          <w:tcPr>
            <w:tcW w:w="1157" w:type="dxa"/>
            <w:tcBorders>
              <w:top w:val="nil"/>
              <w:left w:val="nil"/>
              <w:bottom w:val="nil"/>
              <w:right w:val="nil"/>
            </w:tcBorders>
            <w:shd w:val="clear" w:color="auto" w:fill="auto"/>
            <w:noWrap/>
            <w:vAlign w:val="center"/>
            <w:hideMark/>
          </w:tcPr>
          <w:p w14:paraId="1E14ADF4"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5254AE74" w14:textId="77777777" w:rsidTr="00E83802">
        <w:trPr>
          <w:trHeight w:val="198"/>
        </w:trPr>
        <w:tc>
          <w:tcPr>
            <w:tcW w:w="6175" w:type="dxa"/>
            <w:tcBorders>
              <w:top w:val="nil"/>
              <w:left w:val="nil"/>
              <w:bottom w:val="nil"/>
              <w:right w:val="nil"/>
            </w:tcBorders>
            <w:shd w:val="clear" w:color="auto" w:fill="auto"/>
            <w:noWrap/>
            <w:vAlign w:val="center"/>
            <w:hideMark/>
          </w:tcPr>
          <w:p w14:paraId="46171F1D"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Not later than one year</w:t>
            </w:r>
          </w:p>
        </w:tc>
        <w:tc>
          <w:tcPr>
            <w:tcW w:w="1072" w:type="dxa"/>
            <w:tcBorders>
              <w:top w:val="nil"/>
              <w:left w:val="nil"/>
              <w:bottom w:val="nil"/>
              <w:right w:val="nil"/>
            </w:tcBorders>
            <w:shd w:val="clear" w:color="auto" w:fill="auto"/>
            <w:noWrap/>
            <w:vAlign w:val="center"/>
            <w:hideMark/>
          </w:tcPr>
          <w:p w14:paraId="00118603" w14:textId="77777777" w:rsidR="00BC5219" w:rsidRPr="008A2B8F" w:rsidRDefault="00BC5219" w:rsidP="00E83802">
            <w:pPr>
              <w:rPr>
                <w:rFonts w:ascii="Meta Pro" w:eastAsia="Times New Roman" w:hAnsi="Meta Pro"/>
                <w:szCs w:val="18"/>
                <w:lang w:eastAsia="en-AU"/>
              </w:rPr>
            </w:pPr>
          </w:p>
        </w:tc>
        <w:tc>
          <w:tcPr>
            <w:tcW w:w="1157" w:type="dxa"/>
            <w:tcBorders>
              <w:top w:val="nil"/>
              <w:left w:val="nil"/>
              <w:bottom w:val="nil"/>
              <w:right w:val="nil"/>
            </w:tcBorders>
            <w:shd w:val="clear" w:color="000000" w:fill="C9E3B4"/>
            <w:noWrap/>
            <w:vAlign w:val="center"/>
            <w:hideMark/>
          </w:tcPr>
          <w:p w14:paraId="3B4ED8D6"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(49,221)</w:t>
            </w:r>
          </w:p>
        </w:tc>
        <w:tc>
          <w:tcPr>
            <w:tcW w:w="221" w:type="dxa"/>
            <w:tcBorders>
              <w:top w:val="nil"/>
              <w:left w:val="nil"/>
              <w:bottom w:val="nil"/>
              <w:right w:val="nil"/>
            </w:tcBorders>
            <w:shd w:val="clear" w:color="auto" w:fill="auto"/>
            <w:noWrap/>
            <w:vAlign w:val="center"/>
            <w:hideMark/>
          </w:tcPr>
          <w:p w14:paraId="5AE168FA" w14:textId="77777777" w:rsidR="00BC5219" w:rsidRPr="008A2B8F"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14852121"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(46,997)</w:t>
            </w:r>
          </w:p>
        </w:tc>
      </w:tr>
      <w:tr w:rsidR="00BC5219" w:rsidRPr="008A2B8F" w14:paraId="22E2AE95" w14:textId="77777777" w:rsidTr="00E83802">
        <w:trPr>
          <w:trHeight w:val="198"/>
        </w:trPr>
        <w:tc>
          <w:tcPr>
            <w:tcW w:w="6175" w:type="dxa"/>
            <w:tcBorders>
              <w:top w:val="nil"/>
              <w:left w:val="nil"/>
              <w:bottom w:val="nil"/>
              <w:right w:val="nil"/>
            </w:tcBorders>
            <w:shd w:val="clear" w:color="auto" w:fill="auto"/>
            <w:noWrap/>
            <w:vAlign w:val="center"/>
            <w:hideMark/>
          </w:tcPr>
          <w:p w14:paraId="15B56C37"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Later than one year but not later than five years</w:t>
            </w:r>
          </w:p>
        </w:tc>
        <w:tc>
          <w:tcPr>
            <w:tcW w:w="1072" w:type="dxa"/>
            <w:tcBorders>
              <w:top w:val="nil"/>
              <w:left w:val="nil"/>
              <w:bottom w:val="nil"/>
              <w:right w:val="nil"/>
            </w:tcBorders>
            <w:shd w:val="clear" w:color="auto" w:fill="auto"/>
            <w:noWrap/>
            <w:vAlign w:val="center"/>
            <w:hideMark/>
          </w:tcPr>
          <w:p w14:paraId="6C0525D0" w14:textId="77777777" w:rsidR="00BC5219" w:rsidRPr="008A2B8F" w:rsidRDefault="00BC5219" w:rsidP="00E83802">
            <w:pPr>
              <w:rPr>
                <w:rFonts w:ascii="Meta Pro" w:eastAsia="Times New Roman" w:hAnsi="Meta Pro"/>
                <w:szCs w:val="18"/>
                <w:lang w:eastAsia="en-AU"/>
              </w:rPr>
            </w:pPr>
          </w:p>
        </w:tc>
        <w:tc>
          <w:tcPr>
            <w:tcW w:w="1157" w:type="dxa"/>
            <w:tcBorders>
              <w:top w:val="nil"/>
              <w:left w:val="nil"/>
              <w:bottom w:val="nil"/>
              <w:right w:val="nil"/>
            </w:tcBorders>
            <w:shd w:val="clear" w:color="000000" w:fill="C9E3B4"/>
            <w:noWrap/>
            <w:vAlign w:val="center"/>
            <w:hideMark/>
          </w:tcPr>
          <w:p w14:paraId="1C88805F"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(206,447)</w:t>
            </w:r>
          </w:p>
        </w:tc>
        <w:tc>
          <w:tcPr>
            <w:tcW w:w="221" w:type="dxa"/>
            <w:tcBorders>
              <w:top w:val="nil"/>
              <w:left w:val="nil"/>
              <w:bottom w:val="nil"/>
              <w:right w:val="nil"/>
            </w:tcBorders>
            <w:shd w:val="clear" w:color="auto" w:fill="auto"/>
            <w:vAlign w:val="center"/>
            <w:hideMark/>
          </w:tcPr>
          <w:p w14:paraId="3BB16DE4" w14:textId="77777777" w:rsidR="00BC5219" w:rsidRPr="008A2B8F"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20D19235"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(202,062)</w:t>
            </w:r>
          </w:p>
        </w:tc>
      </w:tr>
      <w:tr w:rsidR="00BC5219" w:rsidRPr="008A2B8F" w14:paraId="1A37D87B" w14:textId="77777777" w:rsidTr="00E83802">
        <w:trPr>
          <w:trHeight w:val="198"/>
        </w:trPr>
        <w:tc>
          <w:tcPr>
            <w:tcW w:w="6175" w:type="dxa"/>
            <w:tcBorders>
              <w:top w:val="nil"/>
              <w:left w:val="nil"/>
              <w:bottom w:val="nil"/>
              <w:right w:val="nil"/>
            </w:tcBorders>
            <w:shd w:val="clear" w:color="auto" w:fill="auto"/>
            <w:noWrap/>
            <w:vAlign w:val="center"/>
            <w:hideMark/>
          </w:tcPr>
          <w:p w14:paraId="6D504DDD"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Later than five years but not later than ten years</w:t>
            </w:r>
          </w:p>
        </w:tc>
        <w:tc>
          <w:tcPr>
            <w:tcW w:w="1072" w:type="dxa"/>
            <w:tcBorders>
              <w:top w:val="nil"/>
              <w:left w:val="nil"/>
              <w:bottom w:val="nil"/>
              <w:right w:val="nil"/>
            </w:tcBorders>
            <w:shd w:val="clear" w:color="auto" w:fill="auto"/>
            <w:noWrap/>
            <w:vAlign w:val="center"/>
            <w:hideMark/>
          </w:tcPr>
          <w:p w14:paraId="3CC7F8EB" w14:textId="77777777" w:rsidR="00BC5219" w:rsidRPr="008A2B8F" w:rsidRDefault="00BC5219" w:rsidP="00E83802">
            <w:pPr>
              <w:rPr>
                <w:rFonts w:ascii="Meta Pro" w:eastAsia="Times New Roman" w:hAnsi="Meta Pro"/>
                <w:szCs w:val="18"/>
                <w:lang w:eastAsia="en-AU"/>
              </w:rPr>
            </w:pPr>
          </w:p>
        </w:tc>
        <w:tc>
          <w:tcPr>
            <w:tcW w:w="1157" w:type="dxa"/>
            <w:tcBorders>
              <w:top w:val="nil"/>
              <w:left w:val="nil"/>
              <w:bottom w:val="nil"/>
              <w:right w:val="nil"/>
            </w:tcBorders>
            <w:shd w:val="clear" w:color="000000" w:fill="C9E3B4"/>
            <w:noWrap/>
            <w:vAlign w:val="center"/>
            <w:hideMark/>
          </w:tcPr>
          <w:p w14:paraId="5EA51CEC"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(299,612)</w:t>
            </w:r>
          </w:p>
        </w:tc>
        <w:tc>
          <w:tcPr>
            <w:tcW w:w="221" w:type="dxa"/>
            <w:tcBorders>
              <w:top w:val="nil"/>
              <w:left w:val="nil"/>
              <w:bottom w:val="nil"/>
              <w:right w:val="nil"/>
            </w:tcBorders>
            <w:shd w:val="clear" w:color="auto" w:fill="auto"/>
            <w:noWrap/>
            <w:vAlign w:val="center"/>
            <w:hideMark/>
          </w:tcPr>
          <w:p w14:paraId="7F53637F" w14:textId="77777777" w:rsidR="00BC5219" w:rsidRPr="008A2B8F"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3D1CF034"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(296,108)</w:t>
            </w:r>
          </w:p>
        </w:tc>
      </w:tr>
      <w:tr w:rsidR="00BC5219" w:rsidRPr="008A2B8F" w14:paraId="2E9F966F" w14:textId="77777777" w:rsidTr="00E83802">
        <w:trPr>
          <w:trHeight w:val="198"/>
        </w:trPr>
        <w:tc>
          <w:tcPr>
            <w:tcW w:w="6175" w:type="dxa"/>
            <w:tcBorders>
              <w:top w:val="nil"/>
              <w:left w:val="nil"/>
              <w:bottom w:val="nil"/>
              <w:right w:val="nil"/>
            </w:tcBorders>
            <w:shd w:val="clear" w:color="auto" w:fill="auto"/>
            <w:noWrap/>
            <w:vAlign w:val="center"/>
            <w:hideMark/>
          </w:tcPr>
          <w:p w14:paraId="6B789523"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Later than ten years</w:t>
            </w:r>
          </w:p>
        </w:tc>
        <w:tc>
          <w:tcPr>
            <w:tcW w:w="1072" w:type="dxa"/>
            <w:tcBorders>
              <w:top w:val="nil"/>
              <w:left w:val="nil"/>
              <w:bottom w:val="nil"/>
              <w:right w:val="nil"/>
            </w:tcBorders>
            <w:shd w:val="clear" w:color="auto" w:fill="auto"/>
            <w:noWrap/>
            <w:vAlign w:val="center"/>
            <w:hideMark/>
          </w:tcPr>
          <w:p w14:paraId="0BFE513C" w14:textId="77777777" w:rsidR="00BC5219" w:rsidRPr="008A2B8F" w:rsidRDefault="00BC5219" w:rsidP="00E83802">
            <w:pPr>
              <w:rPr>
                <w:rFonts w:ascii="Meta Pro" w:eastAsia="Times New Roman" w:hAnsi="Meta Pro"/>
                <w:szCs w:val="18"/>
                <w:lang w:eastAsia="en-AU"/>
              </w:rPr>
            </w:pPr>
          </w:p>
        </w:tc>
        <w:tc>
          <w:tcPr>
            <w:tcW w:w="1157" w:type="dxa"/>
            <w:tcBorders>
              <w:top w:val="nil"/>
              <w:left w:val="nil"/>
              <w:bottom w:val="nil"/>
              <w:right w:val="nil"/>
            </w:tcBorders>
            <w:shd w:val="clear" w:color="000000" w:fill="C9E3B4"/>
            <w:noWrap/>
            <w:vAlign w:val="center"/>
            <w:hideMark/>
          </w:tcPr>
          <w:p w14:paraId="367F2577"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(692,275)</w:t>
            </w:r>
          </w:p>
        </w:tc>
        <w:tc>
          <w:tcPr>
            <w:tcW w:w="221" w:type="dxa"/>
            <w:tcBorders>
              <w:top w:val="nil"/>
              <w:left w:val="nil"/>
              <w:bottom w:val="nil"/>
              <w:right w:val="nil"/>
            </w:tcBorders>
            <w:shd w:val="clear" w:color="auto" w:fill="auto"/>
            <w:noWrap/>
            <w:vAlign w:val="center"/>
            <w:hideMark/>
          </w:tcPr>
          <w:p w14:paraId="46CD28B0" w14:textId="77777777" w:rsidR="00BC5219" w:rsidRPr="008A2B8F"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479EB557"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(748,988)</w:t>
            </w:r>
          </w:p>
        </w:tc>
      </w:tr>
      <w:tr w:rsidR="00BC5219" w:rsidRPr="008A2B8F" w14:paraId="4E185A7F" w14:textId="77777777" w:rsidTr="00E83802">
        <w:trPr>
          <w:trHeight w:val="198"/>
        </w:trPr>
        <w:tc>
          <w:tcPr>
            <w:tcW w:w="6175" w:type="dxa"/>
            <w:tcBorders>
              <w:top w:val="single" w:sz="4" w:space="0" w:color="auto"/>
              <w:left w:val="nil"/>
              <w:bottom w:val="double" w:sz="6" w:space="0" w:color="auto"/>
              <w:right w:val="nil"/>
            </w:tcBorders>
            <w:shd w:val="clear" w:color="auto" w:fill="auto"/>
            <w:noWrap/>
            <w:vAlign w:val="center"/>
            <w:hideMark/>
          </w:tcPr>
          <w:p w14:paraId="3B5AF345"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Estimated net cash flow</w:t>
            </w:r>
          </w:p>
        </w:tc>
        <w:tc>
          <w:tcPr>
            <w:tcW w:w="1072" w:type="dxa"/>
            <w:tcBorders>
              <w:top w:val="single" w:sz="4" w:space="0" w:color="auto"/>
              <w:left w:val="nil"/>
              <w:bottom w:val="double" w:sz="6" w:space="0" w:color="auto"/>
              <w:right w:val="nil"/>
            </w:tcBorders>
            <w:shd w:val="clear" w:color="auto" w:fill="auto"/>
            <w:noWrap/>
            <w:vAlign w:val="center"/>
            <w:hideMark/>
          </w:tcPr>
          <w:p w14:paraId="2B337AD4" w14:textId="77777777" w:rsidR="00BC5219" w:rsidRPr="008A2B8F" w:rsidRDefault="00BC5219" w:rsidP="00E83802">
            <w:pPr>
              <w:jc w:val="center"/>
              <w:rPr>
                <w:rFonts w:ascii="Meta Pro" w:eastAsia="Times New Roman" w:hAnsi="Meta Pro"/>
                <w:szCs w:val="18"/>
                <w:lang w:eastAsia="en-AU"/>
              </w:rPr>
            </w:pPr>
            <w:r w:rsidRPr="008A2B8F">
              <w:rPr>
                <w:rFonts w:ascii="Meta Pro" w:eastAsia="Times New Roman" w:hAnsi="Meta Pro"/>
                <w:szCs w:val="18"/>
                <w:lang w:eastAsia="en-AU"/>
              </w:rPr>
              <w:t> </w:t>
            </w:r>
          </w:p>
        </w:tc>
        <w:tc>
          <w:tcPr>
            <w:tcW w:w="1157" w:type="dxa"/>
            <w:tcBorders>
              <w:top w:val="single" w:sz="4" w:space="0" w:color="auto"/>
              <w:left w:val="nil"/>
              <w:bottom w:val="double" w:sz="6" w:space="0" w:color="auto"/>
              <w:right w:val="nil"/>
            </w:tcBorders>
            <w:shd w:val="clear" w:color="000000" w:fill="C9E3B4"/>
            <w:noWrap/>
            <w:vAlign w:val="center"/>
            <w:hideMark/>
          </w:tcPr>
          <w:p w14:paraId="70FBEBE8"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(587,035)</w:t>
            </w:r>
          </w:p>
        </w:tc>
        <w:tc>
          <w:tcPr>
            <w:tcW w:w="221" w:type="dxa"/>
            <w:tcBorders>
              <w:top w:val="single" w:sz="4" w:space="0" w:color="auto"/>
              <w:left w:val="nil"/>
              <w:bottom w:val="double" w:sz="6" w:space="0" w:color="auto"/>
              <w:right w:val="nil"/>
            </w:tcBorders>
            <w:shd w:val="clear" w:color="auto" w:fill="auto"/>
            <w:noWrap/>
            <w:hideMark/>
          </w:tcPr>
          <w:p w14:paraId="0B961BC5"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1157" w:type="dxa"/>
            <w:tcBorders>
              <w:top w:val="single" w:sz="4" w:space="0" w:color="auto"/>
              <w:left w:val="nil"/>
              <w:bottom w:val="double" w:sz="6" w:space="0" w:color="auto"/>
              <w:right w:val="nil"/>
            </w:tcBorders>
            <w:shd w:val="clear" w:color="auto" w:fill="auto"/>
            <w:noWrap/>
            <w:vAlign w:val="center"/>
            <w:hideMark/>
          </w:tcPr>
          <w:p w14:paraId="18B40B0B"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(604,778)</w:t>
            </w:r>
          </w:p>
        </w:tc>
      </w:tr>
    </w:tbl>
    <w:p w14:paraId="17548824" w14:textId="77777777" w:rsidR="00BC5219" w:rsidRPr="008A2B8F" w:rsidRDefault="00BC5219" w:rsidP="00BC5219">
      <w:pPr>
        <w:rPr>
          <w:rFonts w:ascii="Meta Pro" w:eastAsia="Times New Roman" w:hAnsi="Meta Pro"/>
          <w:szCs w:val="18"/>
          <w:lang w:eastAsia="en-AU"/>
        </w:rPr>
        <w:sectPr w:rsidR="00BC5219" w:rsidRPr="008A2B8F" w:rsidSect="00457B14">
          <w:footerReference w:type="default" r:id="rId119"/>
          <w:type w:val="continuous"/>
          <w:pgSz w:w="11906" w:h="16838"/>
          <w:pgMar w:top="232" w:right="1134" w:bottom="1134" w:left="1134" w:header="454" w:footer="454" w:gutter="0"/>
          <w:pgNumType w:start="30"/>
          <w:cols w:space="708"/>
          <w:docGrid w:linePitch="360"/>
        </w:sectPr>
      </w:pPr>
    </w:p>
    <w:p w14:paraId="20F783EE" w14:textId="77777777" w:rsidR="00BC5219" w:rsidRPr="008A2B8F" w:rsidRDefault="00BC5219" w:rsidP="00BC5219">
      <w:pPr>
        <w:spacing w:line="17" w:lineRule="auto"/>
        <w:rPr>
          <w:rFonts w:ascii="Meta Pro" w:hAnsi="Meta Pro" w:cstheme="minorBidi"/>
        </w:rPr>
      </w:pPr>
    </w:p>
    <w:tbl>
      <w:tblPr>
        <w:tblW w:w="0" w:type="auto"/>
        <w:tblCellMar>
          <w:left w:w="0" w:type="dxa"/>
        </w:tblCellMar>
        <w:tblLook w:val="04A0" w:firstRow="1" w:lastRow="0" w:firstColumn="1" w:lastColumn="0" w:noHBand="0" w:noVBand="1"/>
      </w:tblPr>
      <w:tblGrid>
        <w:gridCol w:w="6642"/>
        <w:gridCol w:w="632"/>
        <w:gridCol w:w="1142"/>
        <w:gridCol w:w="224"/>
        <w:gridCol w:w="1304"/>
      </w:tblGrid>
      <w:tr w:rsidR="00BC5219" w:rsidRPr="008A2B8F" w14:paraId="10DDBD24" w14:textId="77777777" w:rsidTr="00E83802">
        <w:trPr>
          <w:trHeight w:val="23"/>
        </w:trPr>
        <w:tc>
          <w:tcPr>
            <w:tcW w:w="6634" w:type="dxa"/>
            <w:tcBorders>
              <w:top w:val="nil"/>
              <w:left w:val="nil"/>
              <w:bottom w:val="nil"/>
              <w:right w:val="nil"/>
            </w:tcBorders>
            <w:shd w:val="clear" w:color="auto" w:fill="auto"/>
            <w:noWrap/>
            <w:vAlign w:val="center"/>
            <w:hideMark/>
          </w:tcPr>
          <w:p w14:paraId="528CF370"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Operating statement impact</w:t>
            </w:r>
          </w:p>
        </w:tc>
        <w:tc>
          <w:tcPr>
            <w:tcW w:w="624" w:type="dxa"/>
            <w:tcBorders>
              <w:top w:val="nil"/>
              <w:left w:val="nil"/>
              <w:bottom w:val="nil"/>
              <w:right w:val="nil"/>
            </w:tcBorders>
            <w:shd w:val="clear" w:color="auto" w:fill="auto"/>
            <w:noWrap/>
            <w:vAlign w:val="center"/>
            <w:hideMark/>
          </w:tcPr>
          <w:p w14:paraId="0463EF73" w14:textId="77777777" w:rsidR="00BC5219" w:rsidRPr="008A2B8F" w:rsidRDefault="00BC5219" w:rsidP="00E83802">
            <w:pPr>
              <w:rPr>
                <w:rFonts w:ascii="Meta Pro" w:eastAsia="Times New Roman" w:hAnsi="Meta Pro"/>
                <w:b/>
                <w:bCs/>
                <w:szCs w:val="18"/>
                <w:lang w:eastAsia="en-AU"/>
              </w:rPr>
            </w:pPr>
          </w:p>
        </w:tc>
        <w:tc>
          <w:tcPr>
            <w:tcW w:w="1134" w:type="dxa"/>
            <w:tcBorders>
              <w:top w:val="nil"/>
              <w:left w:val="nil"/>
              <w:bottom w:val="nil"/>
              <w:right w:val="nil"/>
            </w:tcBorders>
            <w:shd w:val="clear" w:color="auto" w:fill="auto"/>
            <w:noWrap/>
            <w:vAlign w:val="center"/>
            <w:hideMark/>
          </w:tcPr>
          <w:p w14:paraId="08E5C780" w14:textId="77777777" w:rsidR="00BC5219" w:rsidRPr="008A2B8F" w:rsidRDefault="00BC5219" w:rsidP="00E83802">
            <w:pPr>
              <w:jc w:val="cente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hideMark/>
          </w:tcPr>
          <w:p w14:paraId="7223403B" w14:textId="77777777" w:rsidR="00BC5219" w:rsidRPr="008A2B8F" w:rsidRDefault="00BC5219" w:rsidP="00E83802">
            <w:pPr>
              <w:rPr>
                <w:rFonts w:ascii="Meta Pro" w:eastAsia="Times New Roman" w:hAnsi="Meta Pro" w:cs="Times New Roman"/>
                <w:sz w:val="20"/>
                <w:szCs w:val="20"/>
                <w:lang w:eastAsia="en-AU"/>
              </w:rPr>
            </w:pPr>
          </w:p>
        </w:tc>
        <w:tc>
          <w:tcPr>
            <w:tcW w:w="1296" w:type="dxa"/>
            <w:tcBorders>
              <w:top w:val="nil"/>
              <w:left w:val="nil"/>
              <w:bottom w:val="nil"/>
              <w:right w:val="nil"/>
            </w:tcBorders>
            <w:shd w:val="clear" w:color="auto" w:fill="auto"/>
            <w:noWrap/>
            <w:vAlign w:val="center"/>
            <w:hideMark/>
          </w:tcPr>
          <w:p w14:paraId="4D640341" w14:textId="77777777" w:rsidR="00BC5219" w:rsidRPr="008A2B8F" w:rsidRDefault="00BC5219" w:rsidP="00E83802">
            <w:pPr>
              <w:rPr>
                <w:rFonts w:ascii="Meta Pro" w:eastAsia="Times New Roman" w:hAnsi="Meta Pro" w:cs="Times New Roman"/>
                <w:sz w:val="20"/>
                <w:szCs w:val="20"/>
                <w:lang w:eastAsia="en-AU"/>
              </w:rPr>
            </w:pPr>
          </w:p>
        </w:tc>
      </w:tr>
      <w:tr w:rsidR="00BC5219" w:rsidRPr="008A2B8F" w14:paraId="3D5E6FD9" w14:textId="77777777" w:rsidTr="00E83802">
        <w:trPr>
          <w:trHeight w:val="23"/>
        </w:trPr>
        <w:tc>
          <w:tcPr>
            <w:tcW w:w="6634" w:type="dxa"/>
            <w:tcBorders>
              <w:top w:val="nil"/>
              <w:left w:val="nil"/>
              <w:bottom w:val="nil"/>
              <w:right w:val="nil"/>
            </w:tcBorders>
            <w:shd w:val="clear" w:color="auto" w:fill="auto"/>
            <w:noWrap/>
            <w:vAlign w:val="center"/>
            <w:hideMark/>
          </w:tcPr>
          <w:p w14:paraId="25ADD077"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Revenue</w:t>
            </w:r>
          </w:p>
        </w:tc>
        <w:tc>
          <w:tcPr>
            <w:tcW w:w="624" w:type="dxa"/>
            <w:tcBorders>
              <w:top w:val="nil"/>
              <w:left w:val="nil"/>
              <w:bottom w:val="nil"/>
              <w:right w:val="nil"/>
            </w:tcBorders>
            <w:shd w:val="clear" w:color="auto" w:fill="auto"/>
            <w:noWrap/>
            <w:vAlign w:val="center"/>
            <w:hideMark/>
          </w:tcPr>
          <w:p w14:paraId="18233C86" w14:textId="77777777" w:rsidR="00BC5219" w:rsidRPr="008A2B8F" w:rsidRDefault="00BC5219" w:rsidP="00E83802">
            <w:pPr>
              <w:rPr>
                <w:rFonts w:ascii="Meta Pro" w:eastAsia="Times New Roman" w:hAnsi="Meta Pro"/>
                <w:b/>
                <w:bCs/>
                <w:szCs w:val="18"/>
                <w:lang w:eastAsia="en-AU"/>
              </w:rPr>
            </w:pPr>
          </w:p>
        </w:tc>
        <w:tc>
          <w:tcPr>
            <w:tcW w:w="1134" w:type="dxa"/>
            <w:tcBorders>
              <w:top w:val="nil"/>
              <w:left w:val="nil"/>
              <w:bottom w:val="nil"/>
              <w:right w:val="nil"/>
            </w:tcBorders>
            <w:shd w:val="clear" w:color="auto" w:fill="auto"/>
            <w:noWrap/>
            <w:vAlign w:val="center"/>
            <w:hideMark/>
          </w:tcPr>
          <w:p w14:paraId="1AD5AB9C" w14:textId="77777777" w:rsidR="00BC5219" w:rsidRPr="008A2B8F" w:rsidRDefault="00BC5219" w:rsidP="00E83802">
            <w:pPr>
              <w:jc w:val="cente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hideMark/>
          </w:tcPr>
          <w:p w14:paraId="12254BBA" w14:textId="77777777" w:rsidR="00BC5219" w:rsidRPr="008A2B8F" w:rsidRDefault="00BC5219" w:rsidP="00E83802">
            <w:pPr>
              <w:rPr>
                <w:rFonts w:ascii="Meta Pro" w:eastAsia="Times New Roman" w:hAnsi="Meta Pro" w:cs="Times New Roman"/>
                <w:sz w:val="20"/>
                <w:szCs w:val="20"/>
                <w:lang w:eastAsia="en-AU"/>
              </w:rPr>
            </w:pPr>
          </w:p>
        </w:tc>
        <w:tc>
          <w:tcPr>
            <w:tcW w:w="1296" w:type="dxa"/>
            <w:tcBorders>
              <w:top w:val="nil"/>
              <w:left w:val="nil"/>
              <w:bottom w:val="nil"/>
              <w:right w:val="nil"/>
            </w:tcBorders>
            <w:shd w:val="clear" w:color="auto" w:fill="auto"/>
            <w:noWrap/>
            <w:vAlign w:val="center"/>
            <w:hideMark/>
          </w:tcPr>
          <w:p w14:paraId="3BD6E00F" w14:textId="77777777" w:rsidR="00BC5219" w:rsidRPr="008A2B8F" w:rsidRDefault="00BC5219" w:rsidP="00E83802">
            <w:pPr>
              <w:rPr>
                <w:rFonts w:ascii="Meta Pro" w:eastAsia="Times New Roman" w:hAnsi="Meta Pro" w:cs="Times New Roman"/>
                <w:sz w:val="20"/>
                <w:szCs w:val="20"/>
                <w:lang w:eastAsia="en-AU"/>
              </w:rPr>
            </w:pPr>
          </w:p>
        </w:tc>
      </w:tr>
      <w:tr w:rsidR="00BC5219" w:rsidRPr="008A2B8F" w14:paraId="4567271B" w14:textId="77777777" w:rsidTr="00E83802">
        <w:trPr>
          <w:trHeight w:val="23"/>
        </w:trPr>
        <w:tc>
          <w:tcPr>
            <w:tcW w:w="6634" w:type="dxa"/>
            <w:tcBorders>
              <w:top w:val="nil"/>
              <w:left w:val="nil"/>
              <w:bottom w:val="nil"/>
              <w:right w:val="nil"/>
            </w:tcBorders>
            <w:shd w:val="clear" w:color="auto" w:fill="auto"/>
            <w:noWrap/>
            <w:vAlign w:val="center"/>
            <w:hideMark/>
          </w:tcPr>
          <w:p w14:paraId="6AF5ADD9"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Interest rate adjustment</w:t>
            </w:r>
          </w:p>
        </w:tc>
        <w:tc>
          <w:tcPr>
            <w:tcW w:w="624" w:type="dxa"/>
            <w:tcBorders>
              <w:top w:val="nil"/>
              <w:left w:val="nil"/>
              <w:bottom w:val="nil"/>
              <w:right w:val="nil"/>
            </w:tcBorders>
            <w:shd w:val="clear" w:color="auto" w:fill="auto"/>
            <w:noWrap/>
            <w:vAlign w:val="center"/>
            <w:hideMark/>
          </w:tcPr>
          <w:p w14:paraId="6E1B4BC0" w14:textId="77777777" w:rsidR="00BC5219" w:rsidRPr="008A2B8F" w:rsidRDefault="00BC5219" w:rsidP="00E83802">
            <w:pPr>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2835F093"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2,690 </w:t>
            </w:r>
          </w:p>
        </w:tc>
        <w:tc>
          <w:tcPr>
            <w:tcW w:w="216" w:type="dxa"/>
            <w:tcBorders>
              <w:top w:val="nil"/>
              <w:left w:val="nil"/>
              <w:bottom w:val="nil"/>
              <w:right w:val="nil"/>
            </w:tcBorders>
            <w:shd w:val="clear" w:color="auto" w:fill="auto"/>
            <w:noWrap/>
            <w:vAlign w:val="center"/>
            <w:hideMark/>
          </w:tcPr>
          <w:p w14:paraId="385AF991" w14:textId="77777777" w:rsidR="00BC5219" w:rsidRPr="008A2B8F" w:rsidRDefault="00BC5219" w:rsidP="00E83802">
            <w:pPr>
              <w:jc w:val="right"/>
              <w:rPr>
                <w:rFonts w:ascii="Meta Pro" w:eastAsia="Times New Roman" w:hAnsi="Meta Pro"/>
                <w:szCs w:val="18"/>
                <w:lang w:eastAsia="en-AU"/>
              </w:rPr>
            </w:pPr>
          </w:p>
        </w:tc>
        <w:tc>
          <w:tcPr>
            <w:tcW w:w="1296" w:type="dxa"/>
            <w:tcBorders>
              <w:top w:val="nil"/>
              <w:left w:val="nil"/>
              <w:bottom w:val="nil"/>
              <w:right w:val="nil"/>
            </w:tcBorders>
            <w:shd w:val="clear" w:color="auto" w:fill="auto"/>
            <w:noWrap/>
            <w:vAlign w:val="center"/>
            <w:hideMark/>
          </w:tcPr>
          <w:p w14:paraId="1524F211"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13,496 </w:t>
            </w:r>
          </w:p>
        </w:tc>
      </w:tr>
      <w:tr w:rsidR="00BC5219" w:rsidRPr="008A2B8F" w14:paraId="23BF5B4F" w14:textId="77777777" w:rsidTr="00E83802">
        <w:trPr>
          <w:trHeight w:val="23"/>
        </w:trPr>
        <w:tc>
          <w:tcPr>
            <w:tcW w:w="6634" w:type="dxa"/>
            <w:tcBorders>
              <w:top w:val="nil"/>
              <w:left w:val="nil"/>
              <w:bottom w:val="nil"/>
              <w:right w:val="nil"/>
            </w:tcBorders>
            <w:shd w:val="clear" w:color="auto" w:fill="auto"/>
            <w:noWrap/>
            <w:vAlign w:val="center"/>
            <w:hideMark/>
          </w:tcPr>
          <w:p w14:paraId="215401BD"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Toll revenue</w:t>
            </w:r>
          </w:p>
        </w:tc>
        <w:tc>
          <w:tcPr>
            <w:tcW w:w="624" w:type="dxa"/>
            <w:tcBorders>
              <w:top w:val="nil"/>
              <w:left w:val="nil"/>
              <w:bottom w:val="nil"/>
              <w:right w:val="nil"/>
            </w:tcBorders>
            <w:shd w:val="clear" w:color="auto" w:fill="auto"/>
            <w:noWrap/>
            <w:vAlign w:val="center"/>
            <w:hideMark/>
          </w:tcPr>
          <w:p w14:paraId="2ED37BB7" w14:textId="77777777" w:rsidR="00BC5219" w:rsidRPr="008A2B8F" w:rsidRDefault="00BC5219" w:rsidP="00E83802">
            <w:pPr>
              <w:jc w:val="center"/>
              <w:rPr>
                <w:rFonts w:ascii="Meta Pro" w:eastAsia="Times New Roman" w:hAnsi="Meta Pro"/>
                <w:szCs w:val="18"/>
                <w:lang w:eastAsia="en-AU"/>
              </w:rPr>
            </w:pPr>
            <w:r w:rsidRPr="008A2B8F">
              <w:rPr>
                <w:rFonts w:ascii="Meta Pro" w:eastAsia="Times New Roman" w:hAnsi="Meta Pro"/>
                <w:szCs w:val="18"/>
                <w:lang w:eastAsia="en-AU"/>
              </w:rPr>
              <w:t>3</w:t>
            </w:r>
          </w:p>
        </w:tc>
        <w:tc>
          <w:tcPr>
            <w:tcW w:w="1134" w:type="dxa"/>
            <w:tcBorders>
              <w:top w:val="nil"/>
              <w:left w:val="nil"/>
              <w:bottom w:val="nil"/>
              <w:right w:val="nil"/>
            </w:tcBorders>
            <w:shd w:val="clear" w:color="000000" w:fill="C9E3B4"/>
            <w:noWrap/>
            <w:vAlign w:val="center"/>
            <w:hideMark/>
          </w:tcPr>
          <w:p w14:paraId="023DDCF9"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19,958 </w:t>
            </w:r>
          </w:p>
        </w:tc>
        <w:tc>
          <w:tcPr>
            <w:tcW w:w="216" w:type="dxa"/>
            <w:tcBorders>
              <w:top w:val="nil"/>
              <w:left w:val="nil"/>
              <w:bottom w:val="nil"/>
              <w:right w:val="nil"/>
            </w:tcBorders>
            <w:shd w:val="clear" w:color="auto" w:fill="auto"/>
            <w:noWrap/>
            <w:vAlign w:val="center"/>
            <w:hideMark/>
          </w:tcPr>
          <w:p w14:paraId="1A52E67F" w14:textId="77777777" w:rsidR="00BC5219" w:rsidRPr="008A2B8F" w:rsidRDefault="00BC5219" w:rsidP="00E83802">
            <w:pPr>
              <w:jc w:val="right"/>
              <w:rPr>
                <w:rFonts w:ascii="Meta Pro" w:eastAsia="Times New Roman" w:hAnsi="Meta Pro"/>
                <w:szCs w:val="18"/>
                <w:lang w:eastAsia="en-AU"/>
              </w:rPr>
            </w:pPr>
          </w:p>
        </w:tc>
        <w:tc>
          <w:tcPr>
            <w:tcW w:w="1296" w:type="dxa"/>
            <w:tcBorders>
              <w:top w:val="nil"/>
              <w:left w:val="nil"/>
              <w:bottom w:val="nil"/>
              <w:right w:val="nil"/>
            </w:tcBorders>
            <w:shd w:val="clear" w:color="auto" w:fill="auto"/>
            <w:noWrap/>
            <w:vAlign w:val="center"/>
            <w:hideMark/>
          </w:tcPr>
          <w:p w14:paraId="796145CA"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19,727 </w:t>
            </w:r>
          </w:p>
        </w:tc>
      </w:tr>
      <w:tr w:rsidR="00BC5219" w:rsidRPr="008A2B8F" w14:paraId="054ACCD9" w14:textId="77777777" w:rsidTr="00E83802">
        <w:trPr>
          <w:trHeight w:val="23"/>
        </w:trPr>
        <w:tc>
          <w:tcPr>
            <w:tcW w:w="6634" w:type="dxa"/>
            <w:tcBorders>
              <w:top w:val="nil"/>
              <w:left w:val="nil"/>
              <w:bottom w:val="nil"/>
              <w:right w:val="nil"/>
            </w:tcBorders>
            <w:shd w:val="clear" w:color="auto" w:fill="auto"/>
            <w:noWrap/>
            <w:vAlign w:val="center"/>
            <w:hideMark/>
          </w:tcPr>
          <w:p w14:paraId="7F1EA22A" w14:textId="77777777" w:rsidR="00BC5219" w:rsidRPr="008A2B8F" w:rsidRDefault="00BC5219" w:rsidP="00E83802">
            <w:pPr>
              <w:jc w:val="right"/>
              <w:rPr>
                <w:rFonts w:ascii="Meta Pro" w:eastAsia="Times New Roman" w:hAnsi="Meta Pro"/>
                <w:szCs w:val="18"/>
                <w:lang w:eastAsia="en-AU"/>
              </w:rPr>
            </w:pPr>
          </w:p>
        </w:tc>
        <w:tc>
          <w:tcPr>
            <w:tcW w:w="624" w:type="dxa"/>
            <w:tcBorders>
              <w:top w:val="nil"/>
              <w:left w:val="nil"/>
              <w:bottom w:val="nil"/>
              <w:right w:val="nil"/>
            </w:tcBorders>
            <w:shd w:val="clear" w:color="auto" w:fill="auto"/>
            <w:noWrap/>
            <w:vAlign w:val="center"/>
            <w:hideMark/>
          </w:tcPr>
          <w:p w14:paraId="55401580" w14:textId="77777777" w:rsidR="00BC5219" w:rsidRPr="008A2B8F" w:rsidRDefault="00BC5219" w:rsidP="00E83802">
            <w:pPr>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000000" w:fill="C9E3B4"/>
            <w:noWrap/>
            <w:vAlign w:val="center"/>
            <w:hideMark/>
          </w:tcPr>
          <w:p w14:paraId="1685AD3D"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w:t>
            </w:r>
          </w:p>
        </w:tc>
        <w:tc>
          <w:tcPr>
            <w:tcW w:w="216" w:type="dxa"/>
            <w:tcBorders>
              <w:top w:val="nil"/>
              <w:left w:val="nil"/>
              <w:bottom w:val="nil"/>
              <w:right w:val="nil"/>
            </w:tcBorders>
            <w:shd w:val="clear" w:color="auto" w:fill="auto"/>
            <w:noWrap/>
            <w:vAlign w:val="center"/>
            <w:hideMark/>
          </w:tcPr>
          <w:p w14:paraId="2153B98E" w14:textId="77777777" w:rsidR="00BC5219" w:rsidRPr="008A2B8F" w:rsidRDefault="00BC5219" w:rsidP="00E83802">
            <w:pPr>
              <w:jc w:val="right"/>
              <w:rPr>
                <w:rFonts w:ascii="Meta Pro" w:eastAsia="Times New Roman" w:hAnsi="Meta Pro"/>
                <w:szCs w:val="18"/>
                <w:lang w:eastAsia="en-AU"/>
              </w:rPr>
            </w:pPr>
          </w:p>
        </w:tc>
        <w:tc>
          <w:tcPr>
            <w:tcW w:w="1296" w:type="dxa"/>
            <w:tcBorders>
              <w:top w:val="nil"/>
              <w:left w:val="nil"/>
              <w:bottom w:val="nil"/>
              <w:right w:val="nil"/>
            </w:tcBorders>
            <w:shd w:val="clear" w:color="auto" w:fill="auto"/>
            <w:noWrap/>
            <w:vAlign w:val="center"/>
            <w:hideMark/>
          </w:tcPr>
          <w:p w14:paraId="24023F80"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799034E0" w14:textId="77777777" w:rsidTr="00E83802">
        <w:trPr>
          <w:trHeight w:val="23"/>
        </w:trPr>
        <w:tc>
          <w:tcPr>
            <w:tcW w:w="6634" w:type="dxa"/>
            <w:tcBorders>
              <w:top w:val="nil"/>
              <w:left w:val="nil"/>
              <w:bottom w:val="nil"/>
              <w:right w:val="nil"/>
            </w:tcBorders>
            <w:shd w:val="clear" w:color="auto" w:fill="auto"/>
            <w:noWrap/>
            <w:vAlign w:val="center"/>
            <w:hideMark/>
          </w:tcPr>
          <w:p w14:paraId="21A14EEA"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Expenses</w:t>
            </w:r>
          </w:p>
        </w:tc>
        <w:tc>
          <w:tcPr>
            <w:tcW w:w="624" w:type="dxa"/>
            <w:tcBorders>
              <w:top w:val="nil"/>
              <w:left w:val="nil"/>
              <w:bottom w:val="nil"/>
              <w:right w:val="nil"/>
            </w:tcBorders>
            <w:shd w:val="clear" w:color="auto" w:fill="auto"/>
            <w:noWrap/>
            <w:vAlign w:val="center"/>
            <w:hideMark/>
          </w:tcPr>
          <w:p w14:paraId="445D35AF" w14:textId="77777777" w:rsidR="00BC5219" w:rsidRPr="008A2B8F" w:rsidRDefault="00BC5219" w:rsidP="00E83802">
            <w:pPr>
              <w:rPr>
                <w:rFonts w:ascii="Meta Pro" w:eastAsia="Times New Roman" w:hAnsi="Meta Pro"/>
                <w:b/>
                <w:bCs/>
                <w:szCs w:val="18"/>
                <w:lang w:eastAsia="en-AU"/>
              </w:rPr>
            </w:pPr>
          </w:p>
        </w:tc>
        <w:tc>
          <w:tcPr>
            <w:tcW w:w="1134" w:type="dxa"/>
            <w:tcBorders>
              <w:top w:val="nil"/>
              <w:left w:val="nil"/>
              <w:bottom w:val="nil"/>
              <w:right w:val="nil"/>
            </w:tcBorders>
            <w:shd w:val="clear" w:color="000000" w:fill="C9E3B4"/>
            <w:noWrap/>
            <w:vAlign w:val="center"/>
            <w:hideMark/>
          </w:tcPr>
          <w:p w14:paraId="46E149C6"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216" w:type="dxa"/>
            <w:tcBorders>
              <w:top w:val="nil"/>
              <w:left w:val="nil"/>
              <w:bottom w:val="nil"/>
              <w:right w:val="nil"/>
            </w:tcBorders>
            <w:shd w:val="clear" w:color="auto" w:fill="auto"/>
            <w:noWrap/>
            <w:vAlign w:val="center"/>
            <w:hideMark/>
          </w:tcPr>
          <w:p w14:paraId="4BD80A8B" w14:textId="77777777" w:rsidR="00BC5219" w:rsidRPr="008A2B8F" w:rsidRDefault="00BC5219" w:rsidP="00E83802">
            <w:pPr>
              <w:rPr>
                <w:rFonts w:ascii="Meta Pro" w:eastAsia="Times New Roman" w:hAnsi="Meta Pro"/>
                <w:szCs w:val="18"/>
                <w:lang w:eastAsia="en-AU"/>
              </w:rPr>
            </w:pPr>
          </w:p>
        </w:tc>
        <w:tc>
          <w:tcPr>
            <w:tcW w:w="1296" w:type="dxa"/>
            <w:tcBorders>
              <w:top w:val="nil"/>
              <w:left w:val="nil"/>
              <w:bottom w:val="nil"/>
              <w:right w:val="nil"/>
            </w:tcBorders>
            <w:shd w:val="clear" w:color="auto" w:fill="auto"/>
            <w:noWrap/>
            <w:vAlign w:val="center"/>
            <w:hideMark/>
          </w:tcPr>
          <w:p w14:paraId="3A1959A0"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4106E84B" w14:textId="77777777" w:rsidTr="00E83802">
        <w:trPr>
          <w:trHeight w:val="23"/>
        </w:trPr>
        <w:tc>
          <w:tcPr>
            <w:tcW w:w="6634" w:type="dxa"/>
            <w:tcBorders>
              <w:top w:val="nil"/>
              <w:left w:val="nil"/>
              <w:bottom w:val="nil"/>
              <w:right w:val="nil"/>
            </w:tcBorders>
            <w:shd w:val="clear" w:color="auto" w:fill="auto"/>
            <w:noWrap/>
            <w:vAlign w:val="center"/>
            <w:hideMark/>
          </w:tcPr>
          <w:p w14:paraId="2C4968D7"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Depreciation</w:t>
            </w:r>
          </w:p>
        </w:tc>
        <w:tc>
          <w:tcPr>
            <w:tcW w:w="624" w:type="dxa"/>
            <w:tcBorders>
              <w:top w:val="nil"/>
              <w:left w:val="nil"/>
              <w:bottom w:val="nil"/>
              <w:right w:val="nil"/>
            </w:tcBorders>
            <w:shd w:val="clear" w:color="auto" w:fill="auto"/>
            <w:noWrap/>
            <w:vAlign w:val="center"/>
            <w:hideMark/>
          </w:tcPr>
          <w:p w14:paraId="1747D680" w14:textId="77777777" w:rsidR="00BC5219" w:rsidRPr="008A2B8F" w:rsidRDefault="00BC5219" w:rsidP="00E83802">
            <w:pPr>
              <w:jc w:val="center"/>
              <w:rPr>
                <w:rFonts w:ascii="Meta Pro" w:eastAsia="Times New Roman" w:hAnsi="Meta Pro"/>
                <w:szCs w:val="18"/>
                <w:lang w:eastAsia="en-AU"/>
              </w:rPr>
            </w:pPr>
            <w:r w:rsidRPr="008A2B8F">
              <w:rPr>
                <w:rFonts w:ascii="Meta Pro" w:eastAsia="Times New Roman" w:hAnsi="Meta Pro"/>
                <w:szCs w:val="18"/>
                <w:lang w:eastAsia="en-AU"/>
              </w:rPr>
              <w:t>10</w:t>
            </w:r>
          </w:p>
        </w:tc>
        <w:tc>
          <w:tcPr>
            <w:tcW w:w="1134" w:type="dxa"/>
            <w:tcBorders>
              <w:top w:val="nil"/>
              <w:left w:val="nil"/>
              <w:bottom w:val="nil"/>
              <w:right w:val="nil"/>
            </w:tcBorders>
            <w:shd w:val="clear" w:color="000000" w:fill="C9E3B4"/>
            <w:noWrap/>
            <w:vAlign w:val="center"/>
            <w:hideMark/>
          </w:tcPr>
          <w:p w14:paraId="39FCB089"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20,683 </w:t>
            </w:r>
          </w:p>
        </w:tc>
        <w:tc>
          <w:tcPr>
            <w:tcW w:w="216" w:type="dxa"/>
            <w:tcBorders>
              <w:top w:val="nil"/>
              <w:left w:val="nil"/>
              <w:bottom w:val="nil"/>
              <w:right w:val="nil"/>
            </w:tcBorders>
            <w:shd w:val="clear" w:color="auto" w:fill="auto"/>
            <w:noWrap/>
            <w:vAlign w:val="center"/>
            <w:hideMark/>
          </w:tcPr>
          <w:p w14:paraId="2E0D4EEA" w14:textId="77777777" w:rsidR="00BC5219" w:rsidRPr="008A2B8F" w:rsidRDefault="00BC5219" w:rsidP="00E83802">
            <w:pPr>
              <w:jc w:val="right"/>
              <w:rPr>
                <w:rFonts w:ascii="Meta Pro" w:eastAsia="Times New Roman" w:hAnsi="Meta Pro"/>
                <w:szCs w:val="18"/>
                <w:lang w:eastAsia="en-AU"/>
              </w:rPr>
            </w:pPr>
          </w:p>
        </w:tc>
        <w:tc>
          <w:tcPr>
            <w:tcW w:w="1296" w:type="dxa"/>
            <w:tcBorders>
              <w:top w:val="nil"/>
              <w:left w:val="nil"/>
              <w:bottom w:val="nil"/>
              <w:right w:val="nil"/>
            </w:tcBorders>
            <w:shd w:val="clear" w:color="auto" w:fill="auto"/>
            <w:noWrap/>
            <w:vAlign w:val="center"/>
            <w:hideMark/>
          </w:tcPr>
          <w:p w14:paraId="4F992400"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18,632 </w:t>
            </w:r>
          </w:p>
        </w:tc>
      </w:tr>
      <w:tr w:rsidR="00BC5219" w:rsidRPr="008A2B8F" w14:paraId="777266CF" w14:textId="77777777" w:rsidTr="00E83802">
        <w:trPr>
          <w:trHeight w:val="23"/>
        </w:trPr>
        <w:tc>
          <w:tcPr>
            <w:tcW w:w="6634" w:type="dxa"/>
            <w:tcBorders>
              <w:top w:val="nil"/>
              <w:left w:val="nil"/>
              <w:bottom w:val="nil"/>
              <w:right w:val="nil"/>
            </w:tcBorders>
            <w:shd w:val="clear" w:color="auto" w:fill="auto"/>
            <w:noWrap/>
            <w:vAlign w:val="center"/>
            <w:hideMark/>
          </w:tcPr>
          <w:p w14:paraId="410A6C59"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Interest</w:t>
            </w:r>
          </w:p>
        </w:tc>
        <w:tc>
          <w:tcPr>
            <w:tcW w:w="624" w:type="dxa"/>
            <w:tcBorders>
              <w:top w:val="nil"/>
              <w:left w:val="nil"/>
              <w:bottom w:val="nil"/>
              <w:right w:val="nil"/>
            </w:tcBorders>
            <w:shd w:val="clear" w:color="auto" w:fill="auto"/>
            <w:noWrap/>
            <w:vAlign w:val="center"/>
            <w:hideMark/>
          </w:tcPr>
          <w:p w14:paraId="47EB69C6" w14:textId="77777777" w:rsidR="00BC5219" w:rsidRPr="008A2B8F" w:rsidRDefault="00BC5219" w:rsidP="00E83802">
            <w:pPr>
              <w:jc w:val="center"/>
              <w:rPr>
                <w:rFonts w:ascii="Meta Pro" w:eastAsia="Times New Roman" w:hAnsi="Meta Pro"/>
                <w:szCs w:val="18"/>
                <w:lang w:eastAsia="en-AU"/>
              </w:rPr>
            </w:pPr>
            <w:r w:rsidRPr="008A2B8F">
              <w:rPr>
                <w:rFonts w:ascii="Meta Pro" w:eastAsia="Times New Roman" w:hAnsi="Meta Pro"/>
                <w:szCs w:val="18"/>
                <w:lang w:eastAsia="en-AU"/>
              </w:rPr>
              <w:t>9</w:t>
            </w:r>
          </w:p>
        </w:tc>
        <w:tc>
          <w:tcPr>
            <w:tcW w:w="1134" w:type="dxa"/>
            <w:tcBorders>
              <w:top w:val="nil"/>
              <w:left w:val="nil"/>
              <w:bottom w:val="nil"/>
              <w:right w:val="nil"/>
            </w:tcBorders>
            <w:shd w:val="clear" w:color="000000" w:fill="C9E3B4"/>
            <w:noWrap/>
            <w:vAlign w:val="center"/>
            <w:hideMark/>
          </w:tcPr>
          <w:p w14:paraId="2D45A9CC"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21,147 </w:t>
            </w:r>
          </w:p>
        </w:tc>
        <w:tc>
          <w:tcPr>
            <w:tcW w:w="216" w:type="dxa"/>
            <w:tcBorders>
              <w:top w:val="nil"/>
              <w:left w:val="nil"/>
              <w:bottom w:val="nil"/>
              <w:right w:val="nil"/>
            </w:tcBorders>
            <w:shd w:val="clear" w:color="auto" w:fill="auto"/>
            <w:vAlign w:val="center"/>
            <w:hideMark/>
          </w:tcPr>
          <w:p w14:paraId="648FBAEB" w14:textId="77777777" w:rsidR="00BC5219" w:rsidRPr="008A2B8F" w:rsidRDefault="00BC5219" w:rsidP="00E83802">
            <w:pPr>
              <w:jc w:val="right"/>
              <w:rPr>
                <w:rFonts w:ascii="Meta Pro" w:eastAsia="Times New Roman" w:hAnsi="Meta Pro"/>
                <w:szCs w:val="18"/>
                <w:lang w:eastAsia="en-AU"/>
              </w:rPr>
            </w:pPr>
          </w:p>
        </w:tc>
        <w:tc>
          <w:tcPr>
            <w:tcW w:w="1296" w:type="dxa"/>
            <w:tcBorders>
              <w:top w:val="nil"/>
              <w:left w:val="nil"/>
              <w:bottom w:val="nil"/>
              <w:right w:val="nil"/>
            </w:tcBorders>
            <w:shd w:val="clear" w:color="auto" w:fill="auto"/>
            <w:noWrap/>
            <w:vAlign w:val="center"/>
            <w:hideMark/>
          </w:tcPr>
          <w:p w14:paraId="7902B1F8"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21,675 </w:t>
            </w:r>
          </w:p>
        </w:tc>
      </w:tr>
      <w:tr w:rsidR="00BC5219" w:rsidRPr="008A2B8F" w14:paraId="6DE8B72A" w14:textId="77777777" w:rsidTr="00E83802">
        <w:trPr>
          <w:trHeight w:val="23"/>
        </w:trPr>
        <w:tc>
          <w:tcPr>
            <w:tcW w:w="6634" w:type="dxa"/>
            <w:tcBorders>
              <w:top w:val="nil"/>
              <w:left w:val="nil"/>
              <w:bottom w:val="nil"/>
              <w:right w:val="nil"/>
            </w:tcBorders>
            <w:shd w:val="clear" w:color="auto" w:fill="auto"/>
            <w:noWrap/>
            <w:vAlign w:val="center"/>
            <w:hideMark/>
          </w:tcPr>
          <w:p w14:paraId="7ADF0CCE"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Service expenses</w:t>
            </w:r>
          </w:p>
        </w:tc>
        <w:tc>
          <w:tcPr>
            <w:tcW w:w="624" w:type="dxa"/>
            <w:tcBorders>
              <w:top w:val="nil"/>
              <w:left w:val="nil"/>
              <w:bottom w:val="nil"/>
              <w:right w:val="nil"/>
            </w:tcBorders>
            <w:shd w:val="clear" w:color="auto" w:fill="auto"/>
            <w:noWrap/>
            <w:vAlign w:val="center"/>
            <w:hideMark/>
          </w:tcPr>
          <w:p w14:paraId="59FB338B" w14:textId="77777777" w:rsidR="00BC5219" w:rsidRPr="008A2B8F" w:rsidRDefault="00BC5219" w:rsidP="00E83802">
            <w:pPr>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14F54D51"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18,127 </w:t>
            </w:r>
          </w:p>
        </w:tc>
        <w:tc>
          <w:tcPr>
            <w:tcW w:w="216" w:type="dxa"/>
            <w:tcBorders>
              <w:top w:val="nil"/>
              <w:left w:val="nil"/>
              <w:bottom w:val="nil"/>
              <w:right w:val="nil"/>
            </w:tcBorders>
            <w:shd w:val="clear" w:color="auto" w:fill="auto"/>
            <w:noWrap/>
            <w:vAlign w:val="center"/>
            <w:hideMark/>
          </w:tcPr>
          <w:p w14:paraId="21A3CC88" w14:textId="77777777" w:rsidR="00BC5219" w:rsidRPr="008A2B8F" w:rsidRDefault="00BC5219" w:rsidP="00E83802">
            <w:pPr>
              <w:jc w:val="right"/>
              <w:rPr>
                <w:rFonts w:ascii="Meta Pro" w:eastAsia="Times New Roman" w:hAnsi="Meta Pro"/>
                <w:szCs w:val="18"/>
                <w:lang w:eastAsia="en-AU"/>
              </w:rPr>
            </w:pPr>
          </w:p>
        </w:tc>
        <w:tc>
          <w:tcPr>
            <w:tcW w:w="1296" w:type="dxa"/>
            <w:tcBorders>
              <w:top w:val="nil"/>
              <w:left w:val="nil"/>
              <w:bottom w:val="nil"/>
              <w:right w:val="nil"/>
            </w:tcBorders>
            <w:shd w:val="clear" w:color="auto" w:fill="auto"/>
            <w:noWrap/>
            <w:vAlign w:val="center"/>
            <w:hideMark/>
          </w:tcPr>
          <w:p w14:paraId="23EA4869"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8,579 </w:t>
            </w:r>
          </w:p>
        </w:tc>
      </w:tr>
      <w:tr w:rsidR="00BC5219" w:rsidRPr="008A2B8F" w14:paraId="28A3B31A" w14:textId="77777777" w:rsidTr="00E83802">
        <w:trPr>
          <w:trHeight w:val="23"/>
        </w:trPr>
        <w:tc>
          <w:tcPr>
            <w:tcW w:w="6634" w:type="dxa"/>
            <w:tcBorders>
              <w:top w:val="nil"/>
              <w:left w:val="nil"/>
              <w:bottom w:val="nil"/>
              <w:right w:val="nil"/>
            </w:tcBorders>
            <w:shd w:val="clear" w:color="auto" w:fill="auto"/>
            <w:noWrap/>
            <w:vAlign w:val="center"/>
            <w:hideMark/>
          </w:tcPr>
          <w:p w14:paraId="13C7A9FE"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Tolling operations</w:t>
            </w:r>
          </w:p>
        </w:tc>
        <w:tc>
          <w:tcPr>
            <w:tcW w:w="624" w:type="dxa"/>
            <w:tcBorders>
              <w:top w:val="nil"/>
              <w:left w:val="nil"/>
              <w:bottom w:val="nil"/>
              <w:right w:val="nil"/>
            </w:tcBorders>
            <w:shd w:val="clear" w:color="auto" w:fill="auto"/>
            <w:noWrap/>
            <w:vAlign w:val="center"/>
            <w:hideMark/>
          </w:tcPr>
          <w:p w14:paraId="6DD11FC1" w14:textId="77777777" w:rsidR="00BC5219" w:rsidRPr="008A2B8F" w:rsidRDefault="00BC5219" w:rsidP="00E83802">
            <w:pPr>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0ABC2EF2"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1,771 </w:t>
            </w:r>
          </w:p>
        </w:tc>
        <w:tc>
          <w:tcPr>
            <w:tcW w:w="216" w:type="dxa"/>
            <w:tcBorders>
              <w:top w:val="nil"/>
              <w:left w:val="nil"/>
              <w:bottom w:val="nil"/>
              <w:right w:val="nil"/>
            </w:tcBorders>
            <w:shd w:val="clear" w:color="auto" w:fill="auto"/>
            <w:noWrap/>
            <w:vAlign w:val="center"/>
            <w:hideMark/>
          </w:tcPr>
          <w:p w14:paraId="7061A8E4" w14:textId="77777777" w:rsidR="00BC5219" w:rsidRPr="008A2B8F" w:rsidRDefault="00BC5219" w:rsidP="00E83802">
            <w:pPr>
              <w:jc w:val="right"/>
              <w:rPr>
                <w:rFonts w:ascii="Meta Pro" w:eastAsia="Times New Roman" w:hAnsi="Meta Pro"/>
                <w:szCs w:val="18"/>
                <w:lang w:eastAsia="en-AU"/>
              </w:rPr>
            </w:pPr>
          </w:p>
        </w:tc>
        <w:tc>
          <w:tcPr>
            <w:tcW w:w="1296" w:type="dxa"/>
            <w:tcBorders>
              <w:top w:val="nil"/>
              <w:left w:val="nil"/>
              <w:bottom w:val="nil"/>
              <w:right w:val="nil"/>
            </w:tcBorders>
            <w:shd w:val="clear" w:color="auto" w:fill="auto"/>
            <w:noWrap/>
            <w:vAlign w:val="center"/>
            <w:hideMark/>
          </w:tcPr>
          <w:p w14:paraId="6D992EC2"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1,687 </w:t>
            </w:r>
          </w:p>
        </w:tc>
      </w:tr>
      <w:tr w:rsidR="00BC5219" w:rsidRPr="008A2B8F" w14:paraId="725317BC" w14:textId="77777777" w:rsidTr="00E83802">
        <w:trPr>
          <w:trHeight w:val="23"/>
        </w:trPr>
        <w:tc>
          <w:tcPr>
            <w:tcW w:w="6634" w:type="dxa"/>
            <w:tcBorders>
              <w:top w:val="single" w:sz="4" w:space="0" w:color="auto"/>
              <w:left w:val="nil"/>
              <w:bottom w:val="double" w:sz="6" w:space="0" w:color="auto"/>
              <w:right w:val="nil"/>
            </w:tcBorders>
            <w:shd w:val="clear" w:color="auto" w:fill="auto"/>
            <w:noWrap/>
            <w:vAlign w:val="center"/>
            <w:hideMark/>
          </w:tcPr>
          <w:p w14:paraId="2B1AB235"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Net impact on operating result</w:t>
            </w:r>
          </w:p>
        </w:tc>
        <w:tc>
          <w:tcPr>
            <w:tcW w:w="624" w:type="dxa"/>
            <w:tcBorders>
              <w:top w:val="single" w:sz="4" w:space="0" w:color="auto"/>
              <w:left w:val="nil"/>
              <w:bottom w:val="double" w:sz="6" w:space="0" w:color="auto"/>
              <w:right w:val="nil"/>
            </w:tcBorders>
            <w:shd w:val="clear" w:color="auto" w:fill="auto"/>
            <w:noWrap/>
            <w:vAlign w:val="center"/>
            <w:hideMark/>
          </w:tcPr>
          <w:p w14:paraId="3A3352DA" w14:textId="77777777" w:rsidR="00BC5219" w:rsidRPr="008A2B8F" w:rsidRDefault="00BC5219" w:rsidP="00E83802">
            <w:pPr>
              <w:jc w:val="center"/>
              <w:rPr>
                <w:rFonts w:ascii="Meta Pro" w:eastAsia="Times New Roman" w:hAnsi="Meta Pro"/>
                <w:szCs w:val="18"/>
                <w:lang w:eastAsia="en-AU"/>
              </w:rPr>
            </w:pPr>
            <w:r w:rsidRPr="008A2B8F">
              <w:rPr>
                <w:rFonts w:ascii="Meta Pro" w:eastAsia="Times New Roman" w:hAnsi="Meta Pro"/>
                <w:szCs w:val="18"/>
                <w:lang w:eastAsia="en-AU"/>
              </w:rPr>
              <w:t> </w:t>
            </w:r>
          </w:p>
        </w:tc>
        <w:tc>
          <w:tcPr>
            <w:tcW w:w="1134" w:type="dxa"/>
            <w:tcBorders>
              <w:top w:val="single" w:sz="4" w:space="0" w:color="auto"/>
              <w:left w:val="nil"/>
              <w:bottom w:val="double" w:sz="6" w:space="0" w:color="auto"/>
              <w:right w:val="nil"/>
            </w:tcBorders>
            <w:shd w:val="clear" w:color="000000" w:fill="C9E3B4"/>
            <w:noWrap/>
            <w:vAlign w:val="center"/>
            <w:hideMark/>
          </w:tcPr>
          <w:p w14:paraId="5DFE467E"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(39,080)</w:t>
            </w:r>
          </w:p>
        </w:tc>
        <w:tc>
          <w:tcPr>
            <w:tcW w:w="216" w:type="dxa"/>
            <w:tcBorders>
              <w:top w:val="single" w:sz="4" w:space="0" w:color="auto"/>
              <w:left w:val="nil"/>
              <w:bottom w:val="double" w:sz="6" w:space="0" w:color="auto"/>
              <w:right w:val="nil"/>
            </w:tcBorders>
            <w:shd w:val="clear" w:color="auto" w:fill="auto"/>
            <w:noWrap/>
            <w:vAlign w:val="center"/>
            <w:hideMark/>
          </w:tcPr>
          <w:p w14:paraId="7EE32CAE"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w:t>
            </w:r>
          </w:p>
        </w:tc>
        <w:tc>
          <w:tcPr>
            <w:tcW w:w="1296" w:type="dxa"/>
            <w:tcBorders>
              <w:top w:val="single" w:sz="4" w:space="0" w:color="auto"/>
              <w:left w:val="nil"/>
              <w:bottom w:val="double" w:sz="6" w:space="0" w:color="auto"/>
              <w:right w:val="nil"/>
            </w:tcBorders>
            <w:shd w:val="clear" w:color="auto" w:fill="auto"/>
            <w:noWrap/>
            <w:vAlign w:val="center"/>
            <w:hideMark/>
          </w:tcPr>
          <w:p w14:paraId="6C361867"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(17,350)</w:t>
            </w:r>
          </w:p>
        </w:tc>
      </w:tr>
    </w:tbl>
    <w:p w14:paraId="78C26BEC" w14:textId="77777777" w:rsidR="00BC5219" w:rsidRPr="008A2B8F" w:rsidRDefault="00BC5219" w:rsidP="00BC5219">
      <w:pPr>
        <w:spacing w:before="300" w:after="120" w:line="120" w:lineRule="exact"/>
        <w:rPr>
          <w:rFonts w:ascii="Meta Pro" w:eastAsia="Times New Roman" w:hAnsi="Meta Pro"/>
          <w:szCs w:val="18"/>
          <w:lang w:eastAsia="en-AU"/>
        </w:rPr>
      </w:pPr>
      <w:r w:rsidRPr="008A2B8F">
        <w:rPr>
          <w:rFonts w:ascii="Meta Pro" w:eastAsia="Times New Roman" w:hAnsi="Meta Pro"/>
          <w:b/>
          <w:bCs/>
          <w:szCs w:val="18"/>
          <w:lang w:eastAsia="en-AU"/>
        </w:rPr>
        <w:t>Airportlink M7</w:t>
      </w:r>
    </w:p>
    <w:p w14:paraId="55B33AD6" w14:textId="77777777" w:rsidR="00BC5219" w:rsidRPr="008A2B8F" w:rsidRDefault="00BC5219" w:rsidP="00BC5219">
      <w:pPr>
        <w:spacing w:after="60"/>
        <w:rPr>
          <w:rFonts w:ascii="Meta Pro" w:eastAsia="Times New Roman" w:hAnsi="Meta Pro"/>
          <w:szCs w:val="18"/>
          <w:lang w:eastAsia="en-AU"/>
        </w:rPr>
      </w:pPr>
      <w:r w:rsidRPr="008A2B8F">
        <w:rPr>
          <w:rFonts w:ascii="Meta Pro" w:eastAsia="Times New Roman" w:hAnsi="Meta Pro"/>
          <w:szCs w:val="18"/>
          <w:lang w:eastAsia="en-AU"/>
        </w:rPr>
        <w:lastRenderedPageBreak/>
        <w:t>In 2008 the state entered into a 45 year service concession arrangement with BrisConnections to design, construct and maintain Airportlink, a 6.7km toll road, connecting the Clem 7 Tunnel, Inner City Bypass and local road network at Bowen Hills, to the northern arterials of Gympie Road and Stafford Road at Kedron, Sandgate Road and the East West Arterial leading to the airport. Airport link commenced operations on 24 July 2012. In April 2016 Transurban Queensland assumed responsibility for Airportlink and now operates Airportlink under a service concession arrangement.</w:t>
      </w:r>
    </w:p>
    <w:p w14:paraId="57E5188E" w14:textId="77777777" w:rsidR="00BC5219" w:rsidRPr="008A2B8F" w:rsidRDefault="00BC5219" w:rsidP="00BC5219">
      <w:pPr>
        <w:spacing w:before="120" w:after="60"/>
        <w:rPr>
          <w:rFonts w:ascii="Meta Pro" w:eastAsia="Times New Roman" w:hAnsi="Meta Pro"/>
          <w:szCs w:val="18"/>
          <w:lang w:eastAsia="en-AU"/>
        </w:rPr>
      </w:pPr>
      <w:r w:rsidRPr="008A2B8F">
        <w:rPr>
          <w:rFonts w:ascii="Meta Pro" w:eastAsia="Times New Roman" w:hAnsi="Meta Pro"/>
          <w:szCs w:val="18"/>
          <w:lang w:eastAsia="en-AU"/>
        </w:rPr>
        <w:t>In return for collecting the tolls, Transurban Queensland must maintain, operate and manage the toll road for the concession period and also assume the demand and patronage risk.</w:t>
      </w:r>
    </w:p>
    <w:p w14:paraId="0AEBE03F" w14:textId="77777777" w:rsidR="00BC5219" w:rsidRPr="008A2B8F" w:rsidRDefault="00BC5219" w:rsidP="00BC5219">
      <w:pPr>
        <w:spacing w:before="120" w:after="60"/>
        <w:rPr>
          <w:rFonts w:ascii="Meta Pro" w:eastAsia="Times New Roman" w:hAnsi="Meta Pro"/>
          <w:szCs w:val="18"/>
          <w:lang w:eastAsia="en-AU"/>
        </w:rPr>
      </w:pPr>
      <w:r w:rsidRPr="008A2B8F">
        <w:rPr>
          <w:rFonts w:ascii="Meta Pro" w:eastAsia="Times New Roman" w:hAnsi="Meta Pro"/>
          <w:szCs w:val="18"/>
          <w:lang w:eastAsia="en-AU"/>
        </w:rPr>
        <w:t>At the expiry of the concession period, the department will retain ownership of the toll road assets.</w:t>
      </w:r>
    </w:p>
    <w:p w14:paraId="16069081" w14:textId="77777777" w:rsidR="00BC5219" w:rsidRPr="008A2B8F" w:rsidRDefault="00BC5219" w:rsidP="00BC5219">
      <w:pPr>
        <w:spacing w:before="120" w:after="60"/>
        <w:rPr>
          <w:rFonts w:ascii="Meta Pro" w:eastAsia="Times New Roman" w:hAnsi="Meta Pro"/>
          <w:szCs w:val="18"/>
          <w:lang w:eastAsia="en-AU"/>
        </w:rPr>
      </w:pPr>
    </w:p>
    <w:p w14:paraId="14E26082" w14:textId="77777777" w:rsidR="00BC5219" w:rsidRPr="008A2B8F" w:rsidRDefault="00BC5219" w:rsidP="00BC5219">
      <w:pPr>
        <w:spacing w:before="120" w:after="60"/>
        <w:rPr>
          <w:rFonts w:ascii="Meta Pro" w:eastAsia="Times New Roman" w:hAnsi="Meta Pro"/>
          <w:szCs w:val="18"/>
          <w:lang w:eastAsia="en-AU"/>
        </w:rPr>
      </w:pPr>
    </w:p>
    <w:p w14:paraId="4B9D252E" w14:textId="77777777" w:rsidR="00BC5219" w:rsidRPr="008A2B8F" w:rsidRDefault="00BC5219" w:rsidP="00BC5219">
      <w:pPr>
        <w:spacing w:before="120" w:after="60"/>
        <w:rPr>
          <w:rFonts w:ascii="Meta Pro" w:eastAsia="Times New Roman" w:hAnsi="Meta Pro"/>
          <w:szCs w:val="18"/>
          <w:lang w:eastAsia="en-AU"/>
        </w:rPr>
      </w:pPr>
    </w:p>
    <w:p w14:paraId="66A83A43" w14:textId="77777777" w:rsidR="00BC5219" w:rsidRPr="008A2B8F" w:rsidRDefault="00BC5219" w:rsidP="00BC5219">
      <w:pPr>
        <w:spacing w:before="120" w:after="60"/>
        <w:rPr>
          <w:rFonts w:ascii="Meta Pro" w:eastAsia="Times New Roman" w:hAnsi="Meta Pro"/>
          <w:szCs w:val="18"/>
          <w:lang w:eastAsia="en-AU"/>
        </w:rPr>
      </w:pPr>
    </w:p>
    <w:p w14:paraId="5ED01366" w14:textId="77777777" w:rsidR="00BC5219" w:rsidRPr="008A2B8F" w:rsidRDefault="00BC5219" w:rsidP="00BC5219">
      <w:pPr>
        <w:spacing w:before="120" w:after="60"/>
        <w:rPr>
          <w:rFonts w:ascii="Meta Pro" w:eastAsia="Times New Roman" w:hAnsi="Meta Pro"/>
          <w:szCs w:val="18"/>
          <w:lang w:eastAsia="en-AU"/>
        </w:rPr>
      </w:pPr>
    </w:p>
    <w:p w14:paraId="6F8521F1" w14:textId="77777777" w:rsidR="00BC5219" w:rsidRPr="008A2B8F" w:rsidRDefault="00BC5219" w:rsidP="00BC5219">
      <w:pPr>
        <w:spacing w:before="120" w:after="60"/>
        <w:rPr>
          <w:rFonts w:ascii="Meta Pro" w:eastAsia="Times New Roman" w:hAnsi="Meta Pro"/>
          <w:szCs w:val="18"/>
          <w:lang w:eastAsia="en-AU"/>
        </w:rPr>
      </w:pPr>
    </w:p>
    <w:p w14:paraId="61741E59" w14:textId="77777777" w:rsidR="00BC5219" w:rsidRPr="008A2B8F" w:rsidRDefault="00BC5219" w:rsidP="00BC5219">
      <w:pPr>
        <w:spacing w:before="120" w:after="60"/>
        <w:rPr>
          <w:rFonts w:ascii="Meta Pro" w:eastAsia="Times New Roman" w:hAnsi="Meta Pro"/>
          <w:szCs w:val="18"/>
          <w:lang w:eastAsia="en-AU"/>
        </w:rPr>
      </w:pPr>
    </w:p>
    <w:p w14:paraId="3EBD29A7"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p>
    <w:p w14:paraId="79F3C607"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r w:rsidRPr="008A2B8F">
        <w:rPr>
          <w:rFonts w:ascii="Meta Pro" w:eastAsia="Times New Roman" w:hAnsi="Meta Pro"/>
          <w:i/>
          <w:iCs/>
          <w:color w:val="000000" w:themeColor="text1"/>
          <w:lang w:eastAsia="en-AU"/>
        </w:rPr>
        <w:t>Department of Transport and Main Roads</w:t>
      </w:r>
    </w:p>
    <w:p w14:paraId="1800FCFF"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Notes to the financial statements 2022–23 (continued)</w:t>
      </w:r>
    </w:p>
    <w:tbl>
      <w:tblPr>
        <w:tblW w:w="0" w:type="auto"/>
        <w:tblLook w:val="04A0" w:firstRow="1" w:lastRow="0" w:firstColumn="1" w:lastColumn="0" w:noHBand="0" w:noVBand="1"/>
      </w:tblPr>
      <w:tblGrid>
        <w:gridCol w:w="6239"/>
        <w:gridCol w:w="1015"/>
        <w:gridCol w:w="1160"/>
        <w:gridCol w:w="334"/>
        <w:gridCol w:w="1114"/>
      </w:tblGrid>
      <w:tr w:rsidR="00BC5219" w:rsidRPr="008A2B8F" w14:paraId="7DB6936E" w14:textId="77777777" w:rsidTr="00E83802">
        <w:trPr>
          <w:trHeight w:val="244"/>
        </w:trPr>
        <w:tc>
          <w:tcPr>
            <w:tcW w:w="6239" w:type="dxa"/>
            <w:tcBorders>
              <w:top w:val="nil"/>
              <w:left w:val="nil"/>
              <w:bottom w:val="nil"/>
              <w:right w:val="nil"/>
            </w:tcBorders>
            <w:shd w:val="clear" w:color="auto" w:fill="auto"/>
            <w:noWrap/>
            <w:vAlign w:val="center"/>
            <w:hideMark/>
          </w:tcPr>
          <w:p w14:paraId="78F67F40" w14:textId="77777777" w:rsidR="00BC5219" w:rsidRPr="008A2B8F" w:rsidRDefault="00BC5219" w:rsidP="00E83802">
            <w:pPr>
              <w:rPr>
                <w:rFonts w:ascii="Meta Pro" w:eastAsia="Times New Roman" w:hAnsi="Meta Pro" w:cs="Times New Roman"/>
                <w:sz w:val="24"/>
                <w:szCs w:val="24"/>
                <w:lang w:eastAsia="en-AU"/>
              </w:rPr>
            </w:pPr>
          </w:p>
        </w:tc>
        <w:tc>
          <w:tcPr>
            <w:tcW w:w="1015" w:type="dxa"/>
            <w:tcBorders>
              <w:top w:val="nil"/>
              <w:left w:val="nil"/>
              <w:bottom w:val="nil"/>
              <w:right w:val="nil"/>
            </w:tcBorders>
            <w:shd w:val="clear" w:color="auto" w:fill="auto"/>
            <w:noWrap/>
            <w:vAlign w:val="center"/>
            <w:hideMark/>
          </w:tcPr>
          <w:p w14:paraId="237CB86E" w14:textId="77777777" w:rsidR="00BC5219" w:rsidRPr="008A2B8F" w:rsidRDefault="00BC5219" w:rsidP="00E83802">
            <w:pPr>
              <w:jc w:val="center"/>
              <w:rPr>
                <w:rFonts w:ascii="Meta Pro" w:eastAsia="Times New Roman" w:hAnsi="Meta Pro"/>
                <w:b/>
                <w:bCs/>
                <w:color w:val="000000"/>
                <w:lang w:eastAsia="en-AU"/>
              </w:rPr>
            </w:pPr>
            <w:r w:rsidRPr="008A2B8F">
              <w:rPr>
                <w:rFonts w:ascii="Meta Pro" w:eastAsia="Times New Roman" w:hAnsi="Meta Pro"/>
                <w:b/>
                <w:bCs/>
                <w:color w:val="000000"/>
                <w:lang w:eastAsia="en-AU"/>
              </w:rPr>
              <w:t>Note</w:t>
            </w:r>
          </w:p>
        </w:tc>
        <w:tc>
          <w:tcPr>
            <w:tcW w:w="1160" w:type="dxa"/>
            <w:tcBorders>
              <w:top w:val="nil"/>
              <w:left w:val="nil"/>
              <w:bottom w:val="nil"/>
              <w:right w:val="nil"/>
            </w:tcBorders>
            <w:shd w:val="clear" w:color="auto" w:fill="auto"/>
            <w:noWrap/>
            <w:vAlign w:val="center"/>
            <w:hideMark/>
          </w:tcPr>
          <w:p w14:paraId="02BC294F" w14:textId="77777777" w:rsidR="00BC5219" w:rsidRPr="008A2B8F" w:rsidRDefault="00BC5219" w:rsidP="00E83802">
            <w:pPr>
              <w:jc w:val="center"/>
              <w:rPr>
                <w:rFonts w:ascii="Meta Pro" w:eastAsia="Times New Roman" w:hAnsi="Meta Pro"/>
                <w:b/>
                <w:bCs/>
                <w:color w:val="000000"/>
                <w:lang w:eastAsia="en-AU"/>
              </w:rPr>
            </w:pPr>
            <w:r w:rsidRPr="008A2B8F">
              <w:rPr>
                <w:rFonts w:ascii="Meta Pro" w:eastAsia="Times New Roman" w:hAnsi="Meta Pro"/>
                <w:b/>
                <w:bCs/>
                <w:color w:val="000000"/>
                <w:lang w:eastAsia="en-AU"/>
              </w:rPr>
              <w:t>2023</w:t>
            </w:r>
          </w:p>
        </w:tc>
        <w:tc>
          <w:tcPr>
            <w:tcW w:w="334" w:type="dxa"/>
            <w:tcBorders>
              <w:top w:val="nil"/>
              <w:left w:val="nil"/>
              <w:bottom w:val="nil"/>
              <w:right w:val="nil"/>
            </w:tcBorders>
            <w:shd w:val="clear" w:color="auto" w:fill="auto"/>
            <w:noWrap/>
            <w:vAlign w:val="center"/>
            <w:hideMark/>
          </w:tcPr>
          <w:p w14:paraId="07896AE8" w14:textId="77777777" w:rsidR="00BC5219" w:rsidRPr="008A2B8F" w:rsidRDefault="00BC5219" w:rsidP="00E83802">
            <w:pPr>
              <w:jc w:val="center"/>
              <w:rPr>
                <w:rFonts w:ascii="Meta Pro" w:eastAsia="Times New Roman" w:hAnsi="Meta Pro"/>
                <w:b/>
                <w:bCs/>
                <w:color w:val="000000"/>
                <w:lang w:eastAsia="en-AU"/>
              </w:rPr>
            </w:pPr>
          </w:p>
        </w:tc>
        <w:tc>
          <w:tcPr>
            <w:tcW w:w="1114" w:type="dxa"/>
            <w:tcBorders>
              <w:top w:val="nil"/>
              <w:left w:val="nil"/>
              <w:bottom w:val="nil"/>
              <w:right w:val="nil"/>
            </w:tcBorders>
            <w:shd w:val="clear" w:color="auto" w:fill="auto"/>
            <w:noWrap/>
            <w:vAlign w:val="center"/>
            <w:hideMark/>
          </w:tcPr>
          <w:p w14:paraId="3DD70A65" w14:textId="77777777" w:rsidR="00BC5219" w:rsidRPr="008A2B8F" w:rsidRDefault="00BC5219" w:rsidP="00E83802">
            <w:pPr>
              <w:jc w:val="center"/>
              <w:rPr>
                <w:rFonts w:ascii="Meta Pro" w:eastAsia="Times New Roman" w:hAnsi="Meta Pro"/>
                <w:b/>
                <w:bCs/>
                <w:lang w:eastAsia="en-AU"/>
              </w:rPr>
            </w:pPr>
            <w:r w:rsidRPr="008A2B8F">
              <w:rPr>
                <w:rFonts w:ascii="Meta Pro" w:eastAsia="Times New Roman" w:hAnsi="Meta Pro"/>
                <w:b/>
                <w:bCs/>
                <w:lang w:eastAsia="en-AU"/>
              </w:rPr>
              <w:t>2022</w:t>
            </w:r>
          </w:p>
        </w:tc>
      </w:tr>
      <w:tr w:rsidR="00BC5219" w:rsidRPr="008A2B8F" w14:paraId="07657E15" w14:textId="77777777" w:rsidTr="00E83802">
        <w:trPr>
          <w:trHeight w:val="244"/>
        </w:trPr>
        <w:tc>
          <w:tcPr>
            <w:tcW w:w="6239" w:type="dxa"/>
            <w:tcBorders>
              <w:top w:val="nil"/>
              <w:left w:val="nil"/>
              <w:bottom w:val="nil"/>
              <w:right w:val="nil"/>
            </w:tcBorders>
            <w:shd w:val="clear" w:color="auto" w:fill="auto"/>
            <w:noWrap/>
            <w:vAlign w:val="center"/>
            <w:hideMark/>
          </w:tcPr>
          <w:p w14:paraId="6042D034" w14:textId="77777777" w:rsidR="00BC5219" w:rsidRPr="008A2B8F" w:rsidRDefault="00BC5219" w:rsidP="00E83802">
            <w:pPr>
              <w:jc w:val="center"/>
              <w:rPr>
                <w:rFonts w:ascii="Meta Pro" w:eastAsia="Times New Roman" w:hAnsi="Meta Pro"/>
                <w:b/>
                <w:bCs/>
                <w:lang w:eastAsia="en-AU"/>
              </w:rPr>
            </w:pPr>
          </w:p>
        </w:tc>
        <w:tc>
          <w:tcPr>
            <w:tcW w:w="1015" w:type="dxa"/>
            <w:tcBorders>
              <w:top w:val="nil"/>
              <w:left w:val="nil"/>
              <w:bottom w:val="nil"/>
              <w:right w:val="nil"/>
            </w:tcBorders>
            <w:shd w:val="clear" w:color="auto" w:fill="auto"/>
            <w:noWrap/>
            <w:vAlign w:val="center"/>
            <w:hideMark/>
          </w:tcPr>
          <w:p w14:paraId="7E3A54CC" w14:textId="77777777" w:rsidR="00BC5219" w:rsidRPr="008A2B8F" w:rsidRDefault="00BC5219" w:rsidP="00E83802">
            <w:pPr>
              <w:rPr>
                <w:rFonts w:ascii="Meta Pro" w:eastAsia="Times New Roman" w:hAnsi="Meta Pro" w:cs="Times New Roman"/>
                <w:sz w:val="20"/>
                <w:szCs w:val="20"/>
                <w:lang w:eastAsia="en-AU"/>
              </w:rPr>
            </w:pPr>
          </w:p>
        </w:tc>
        <w:tc>
          <w:tcPr>
            <w:tcW w:w="1160" w:type="dxa"/>
            <w:tcBorders>
              <w:top w:val="nil"/>
              <w:left w:val="nil"/>
              <w:bottom w:val="nil"/>
              <w:right w:val="nil"/>
            </w:tcBorders>
            <w:shd w:val="clear" w:color="auto" w:fill="auto"/>
            <w:noWrap/>
            <w:vAlign w:val="center"/>
            <w:hideMark/>
          </w:tcPr>
          <w:p w14:paraId="1ED40442" w14:textId="77777777" w:rsidR="00BC5219" w:rsidRPr="008A2B8F" w:rsidRDefault="00BC5219" w:rsidP="00E83802">
            <w:pPr>
              <w:jc w:val="center"/>
              <w:rPr>
                <w:rFonts w:ascii="Meta Pro" w:eastAsia="Times New Roman" w:hAnsi="Meta Pro"/>
                <w:b/>
                <w:bCs/>
                <w:lang w:eastAsia="en-AU"/>
              </w:rPr>
            </w:pPr>
            <w:r w:rsidRPr="008A2B8F">
              <w:rPr>
                <w:rFonts w:ascii="Meta Pro" w:eastAsia="Times New Roman" w:hAnsi="Meta Pro"/>
                <w:b/>
                <w:bCs/>
                <w:lang w:eastAsia="en-AU"/>
              </w:rPr>
              <w:t>$'000</w:t>
            </w:r>
          </w:p>
        </w:tc>
        <w:tc>
          <w:tcPr>
            <w:tcW w:w="334" w:type="dxa"/>
            <w:tcBorders>
              <w:top w:val="nil"/>
              <w:left w:val="nil"/>
              <w:bottom w:val="nil"/>
              <w:right w:val="nil"/>
            </w:tcBorders>
            <w:shd w:val="clear" w:color="auto" w:fill="auto"/>
            <w:noWrap/>
            <w:vAlign w:val="center"/>
            <w:hideMark/>
          </w:tcPr>
          <w:p w14:paraId="46B40C0D" w14:textId="77777777" w:rsidR="00BC5219" w:rsidRPr="008A2B8F" w:rsidRDefault="00BC5219" w:rsidP="00E83802">
            <w:pPr>
              <w:jc w:val="center"/>
              <w:rPr>
                <w:rFonts w:ascii="Meta Pro" w:eastAsia="Times New Roman" w:hAnsi="Meta Pro"/>
                <w:b/>
                <w:bCs/>
                <w:lang w:eastAsia="en-AU"/>
              </w:rPr>
            </w:pPr>
          </w:p>
        </w:tc>
        <w:tc>
          <w:tcPr>
            <w:tcW w:w="1114" w:type="dxa"/>
            <w:tcBorders>
              <w:top w:val="nil"/>
              <w:left w:val="nil"/>
              <w:bottom w:val="nil"/>
              <w:right w:val="nil"/>
            </w:tcBorders>
            <w:shd w:val="clear" w:color="auto" w:fill="auto"/>
            <w:noWrap/>
            <w:vAlign w:val="center"/>
            <w:hideMark/>
          </w:tcPr>
          <w:p w14:paraId="043F31C8" w14:textId="77777777" w:rsidR="00BC5219" w:rsidRPr="008A2B8F" w:rsidRDefault="00BC5219" w:rsidP="00E83802">
            <w:pPr>
              <w:jc w:val="center"/>
              <w:rPr>
                <w:rFonts w:ascii="Meta Pro" w:eastAsia="Times New Roman" w:hAnsi="Meta Pro"/>
                <w:b/>
                <w:bCs/>
                <w:lang w:eastAsia="en-AU"/>
              </w:rPr>
            </w:pPr>
            <w:r w:rsidRPr="008A2B8F">
              <w:rPr>
                <w:rFonts w:ascii="Meta Pro" w:eastAsia="Times New Roman" w:hAnsi="Meta Pro"/>
                <w:b/>
                <w:bCs/>
                <w:lang w:eastAsia="en-AU"/>
              </w:rPr>
              <w:t>$'000</w:t>
            </w:r>
          </w:p>
        </w:tc>
      </w:tr>
    </w:tbl>
    <w:p w14:paraId="5BA2967D" w14:textId="77777777" w:rsidR="00BC5219" w:rsidRPr="008A2B8F" w:rsidRDefault="00BC5219" w:rsidP="00BC5219">
      <w:pPr>
        <w:spacing w:after="120" w:line="259" w:lineRule="auto"/>
        <w:rPr>
          <w:rFonts w:ascii="Meta Pro" w:hAnsi="Meta Pro"/>
          <w:b/>
          <w:bCs/>
          <w:lang w:eastAsia="en-AU"/>
        </w:rPr>
      </w:pPr>
      <w:r w:rsidRPr="008A2B8F">
        <w:rPr>
          <w:rFonts w:ascii="Meta Pro" w:hAnsi="Meta Pro"/>
          <w:b/>
          <w:bCs/>
          <w:lang w:eastAsia="en-AU"/>
        </w:rPr>
        <w:t>16      PUBLIC PRIVATE PARTNERSHIPS (continued)</w:t>
      </w:r>
    </w:p>
    <w:p w14:paraId="07740F5B" w14:textId="77777777" w:rsidR="00BC5219" w:rsidRPr="008A2B8F" w:rsidRDefault="00BC5219" w:rsidP="00BC5219">
      <w:pPr>
        <w:spacing w:after="120" w:line="259" w:lineRule="auto"/>
        <w:rPr>
          <w:rFonts w:ascii="Meta Pro" w:hAnsi="Meta Pro"/>
          <w:b/>
          <w:bCs/>
          <w:szCs w:val="18"/>
          <w:lang w:eastAsia="en-AU"/>
        </w:rPr>
      </w:pPr>
      <w:r w:rsidRPr="008A2B8F">
        <w:rPr>
          <w:rFonts w:ascii="Meta Pro" w:hAnsi="Meta Pro"/>
          <w:b/>
          <w:bCs/>
          <w:szCs w:val="18"/>
          <w:lang w:eastAsia="en-AU"/>
        </w:rPr>
        <w:t>SERVICE CONCESSION ARRANGEMENTS UNDER AASB 1059 (continued)</w:t>
      </w:r>
    </w:p>
    <w:p w14:paraId="0A7DD6A6" w14:textId="77777777" w:rsidR="00BC5219" w:rsidRPr="008A2B8F" w:rsidRDefault="00BC5219" w:rsidP="00BC5219">
      <w:pPr>
        <w:spacing w:after="120"/>
        <w:rPr>
          <w:rFonts w:ascii="Meta Pro" w:eastAsia="Times New Roman" w:hAnsi="Meta Pro"/>
          <w:b/>
          <w:bCs/>
          <w:szCs w:val="18"/>
          <w:lang w:eastAsia="en-AU"/>
        </w:rPr>
      </w:pPr>
      <w:r w:rsidRPr="008A2B8F">
        <w:rPr>
          <w:rFonts w:ascii="Meta Pro" w:eastAsia="Times New Roman" w:hAnsi="Meta Pro"/>
          <w:b/>
          <w:bCs/>
          <w:szCs w:val="18"/>
          <w:lang w:eastAsia="en-AU"/>
        </w:rPr>
        <w:t>Airportlink M7 (continued)</w:t>
      </w:r>
    </w:p>
    <w:p w14:paraId="18A067D0" w14:textId="77777777" w:rsidR="00BC5219" w:rsidRPr="008A2B8F" w:rsidRDefault="00BC5219" w:rsidP="00BC5219">
      <w:pPr>
        <w:spacing w:line="17" w:lineRule="auto"/>
        <w:rPr>
          <w:rFonts w:ascii="Meta Pro" w:hAnsi="Meta Pro" w:cstheme="minorBidi"/>
        </w:rPr>
      </w:pPr>
    </w:p>
    <w:tbl>
      <w:tblPr>
        <w:tblW w:w="0" w:type="auto"/>
        <w:tblCellMar>
          <w:left w:w="0" w:type="dxa"/>
        </w:tblCellMar>
        <w:tblLook w:val="04A0" w:firstRow="1" w:lastRow="0" w:firstColumn="1" w:lastColumn="0" w:noHBand="0" w:noVBand="1"/>
      </w:tblPr>
      <w:tblGrid>
        <w:gridCol w:w="6183"/>
        <w:gridCol w:w="1046"/>
        <w:gridCol w:w="1165"/>
        <w:gridCol w:w="231"/>
        <w:gridCol w:w="1165"/>
      </w:tblGrid>
      <w:tr w:rsidR="00BC5219" w:rsidRPr="008A2B8F" w14:paraId="0CAA3231" w14:textId="77777777" w:rsidTr="00E83802">
        <w:trPr>
          <w:trHeight w:val="275"/>
        </w:trPr>
        <w:tc>
          <w:tcPr>
            <w:tcW w:w="6175" w:type="dxa"/>
            <w:tcBorders>
              <w:top w:val="nil"/>
              <w:left w:val="nil"/>
              <w:bottom w:val="nil"/>
              <w:right w:val="nil"/>
            </w:tcBorders>
            <w:shd w:val="clear" w:color="auto" w:fill="auto"/>
            <w:noWrap/>
            <w:vAlign w:val="center"/>
            <w:hideMark/>
          </w:tcPr>
          <w:p w14:paraId="5CBB514E"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Operating statement impact</w:t>
            </w:r>
          </w:p>
        </w:tc>
        <w:tc>
          <w:tcPr>
            <w:tcW w:w="1038" w:type="dxa"/>
            <w:tcBorders>
              <w:top w:val="nil"/>
              <w:left w:val="nil"/>
              <w:bottom w:val="nil"/>
              <w:right w:val="nil"/>
            </w:tcBorders>
            <w:shd w:val="clear" w:color="auto" w:fill="auto"/>
            <w:noWrap/>
            <w:vAlign w:val="center"/>
            <w:hideMark/>
          </w:tcPr>
          <w:p w14:paraId="192B06C3" w14:textId="77777777" w:rsidR="00BC5219" w:rsidRPr="008A2B8F" w:rsidRDefault="00BC5219" w:rsidP="00E83802">
            <w:pPr>
              <w:rPr>
                <w:rFonts w:ascii="Meta Pro" w:eastAsia="Times New Roman" w:hAnsi="Meta Pro"/>
                <w:b/>
                <w:bCs/>
                <w:szCs w:val="18"/>
                <w:lang w:eastAsia="en-AU"/>
              </w:rPr>
            </w:pPr>
          </w:p>
        </w:tc>
        <w:tc>
          <w:tcPr>
            <w:tcW w:w="1157" w:type="dxa"/>
            <w:tcBorders>
              <w:top w:val="nil"/>
              <w:left w:val="nil"/>
              <w:bottom w:val="nil"/>
              <w:right w:val="nil"/>
            </w:tcBorders>
            <w:shd w:val="clear" w:color="auto" w:fill="auto"/>
            <w:noWrap/>
            <w:vAlign w:val="center"/>
            <w:hideMark/>
          </w:tcPr>
          <w:p w14:paraId="22AF301F" w14:textId="77777777" w:rsidR="00BC5219" w:rsidRPr="008A2B8F" w:rsidRDefault="00BC5219" w:rsidP="00E83802">
            <w:pPr>
              <w:jc w:val="center"/>
              <w:rPr>
                <w:rFonts w:ascii="Meta Pro" w:eastAsia="Times New Roman" w:hAnsi="Meta Pro" w:cs="Times New Roman"/>
                <w:sz w:val="20"/>
                <w:szCs w:val="20"/>
                <w:lang w:eastAsia="en-AU"/>
              </w:rPr>
            </w:pPr>
          </w:p>
        </w:tc>
        <w:tc>
          <w:tcPr>
            <w:tcW w:w="223" w:type="dxa"/>
            <w:tcBorders>
              <w:top w:val="nil"/>
              <w:left w:val="nil"/>
              <w:bottom w:val="nil"/>
              <w:right w:val="nil"/>
            </w:tcBorders>
            <w:shd w:val="clear" w:color="auto" w:fill="auto"/>
            <w:noWrap/>
            <w:vAlign w:val="center"/>
            <w:hideMark/>
          </w:tcPr>
          <w:p w14:paraId="35D5E177" w14:textId="77777777" w:rsidR="00BC5219" w:rsidRPr="008A2B8F" w:rsidRDefault="00BC5219" w:rsidP="00E83802">
            <w:pPr>
              <w:rPr>
                <w:rFonts w:ascii="Meta Pro" w:eastAsia="Times New Roman" w:hAnsi="Meta Pro" w:cs="Times New Roman"/>
                <w:sz w:val="20"/>
                <w:szCs w:val="20"/>
                <w:lang w:eastAsia="en-AU"/>
              </w:rPr>
            </w:pPr>
          </w:p>
        </w:tc>
        <w:tc>
          <w:tcPr>
            <w:tcW w:w="1157" w:type="dxa"/>
            <w:tcBorders>
              <w:top w:val="nil"/>
              <w:left w:val="nil"/>
              <w:bottom w:val="nil"/>
              <w:right w:val="nil"/>
            </w:tcBorders>
            <w:shd w:val="clear" w:color="auto" w:fill="auto"/>
            <w:noWrap/>
            <w:vAlign w:val="center"/>
            <w:hideMark/>
          </w:tcPr>
          <w:p w14:paraId="693761A7"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429F04C6" w14:textId="77777777" w:rsidTr="00E83802">
        <w:trPr>
          <w:trHeight w:val="23"/>
        </w:trPr>
        <w:tc>
          <w:tcPr>
            <w:tcW w:w="6175" w:type="dxa"/>
            <w:tcBorders>
              <w:top w:val="nil"/>
              <w:left w:val="nil"/>
              <w:bottom w:val="nil"/>
              <w:right w:val="nil"/>
            </w:tcBorders>
            <w:shd w:val="clear" w:color="auto" w:fill="auto"/>
            <w:noWrap/>
            <w:vAlign w:val="center"/>
            <w:hideMark/>
          </w:tcPr>
          <w:p w14:paraId="78543234"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Revenue</w:t>
            </w:r>
          </w:p>
        </w:tc>
        <w:tc>
          <w:tcPr>
            <w:tcW w:w="1038" w:type="dxa"/>
            <w:tcBorders>
              <w:top w:val="nil"/>
              <w:left w:val="nil"/>
              <w:bottom w:val="nil"/>
              <w:right w:val="nil"/>
            </w:tcBorders>
            <w:shd w:val="clear" w:color="auto" w:fill="auto"/>
            <w:noWrap/>
            <w:vAlign w:val="center"/>
            <w:hideMark/>
          </w:tcPr>
          <w:p w14:paraId="5116DBC4" w14:textId="77777777" w:rsidR="00BC5219" w:rsidRPr="008A2B8F" w:rsidRDefault="00BC5219" w:rsidP="00E83802">
            <w:pPr>
              <w:rPr>
                <w:rFonts w:ascii="Meta Pro" w:eastAsia="Times New Roman" w:hAnsi="Meta Pro"/>
                <w:b/>
                <w:bCs/>
                <w:szCs w:val="18"/>
                <w:lang w:eastAsia="en-AU"/>
              </w:rPr>
            </w:pPr>
          </w:p>
        </w:tc>
        <w:tc>
          <w:tcPr>
            <w:tcW w:w="1157" w:type="dxa"/>
            <w:tcBorders>
              <w:top w:val="nil"/>
              <w:left w:val="nil"/>
              <w:bottom w:val="nil"/>
              <w:right w:val="nil"/>
            </w:tcBorders>
            <w:shd w:val="clear" w:color="auto" w:fill="auto"/>
            <w:noWrap/>
            <w:vAlign w:val="center"/>
            <w:hideMark/>
          </w:tcPr>
          <w:p w14:paraId="74F9D72D" w14:textId="77777777" w:rsidR="00BC5219" w:rsidRPr="008A2B8F" w:rsidRDefault="00BC5219" w:rsidP="00E83802">
            <w:pPr>
              <w:jc w:val="center"/>
              <w:rPr>
                <w:rFonts w:ascii="Meta Pro" w:eastAsia="Times New Roman" w:hAnsi="Meta Pro" w:cs="Times New Roman"/>
                <w:sz w:val="20"/>
                <w:szCs w:val="20"/>
                <w:lang w:eastAsia="en-AU"/>
              </w:rPr>
            </w:pPr>
          </w:p>
        </w:tc>
        <w:tc>
          <w:tcPr>
            <w:tcW w:w="223" w:type="dxa"/>
            <w:tcBorders>
              <w:top w:val="nil"/>
              <w:left w:val="nil"/>
              <w:bottom w:val="nil"/>
              <w:right w:val="nil"/>
            </w:tcBorders>
            <w:shd w:val="clear" w:color="auto" w:fill="auto"/>
            <w:noWrap/>
            <w:vAlign w:val="center"/>
            <w:hideMark/>
          </w:tcPr>
          <w:p w14:paraId="2FC0C58C" w14:textId="77777777" w:rsidR="00BC5219" w:rsidRPr="008A2B8F" w:rsidRDefault="00BC5219" w:rsidP="00E83802">
            <w:pPr>
              <w:rPr>
                <w:rFonts w:ascii="Meta Pro" w:eastAsia="Times New Roman" w:hAnsi="Meta Pro" w:cs="Times New Roman"/>
                <w:sz w:val="20"/>
                <w:szCs w:val="20"/>
                <w:lang w:eastAsia="en-AU"/>
              </w:rPr>
            </w:pPr>
          </w:p>
        </w:tc>
        <w:tc>
          <w:tcPr>
            <w:tcW w:w="1157" w:type="dxa"/>
            <w:tcBorders>
              <w:top w:val="nil"/>
              <w:left w:val="nil"/>
              <w:bottom w:val="nil"/>
              <w:right w:val="nil"/>
            </w:tcBorders>
            <w:shd w:val="clear" w:color="auto" w:fill="auto"/>
            <w:noWrap/>
            <w:vAlign w:val="center"/>
            <w:hideMark/>
          </w:tcPr>
          <w:p w14:paraId="11674A6D"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684A4BF8" w14:textId="77777777" w:rsidTr="00E83802">
        <w:trPr>
          <w:trHeight w:val="23"/>
        </w:trPr>
        <w:tc>
          <w:tcPr>
            <w:tcW w:w="6175" w:type="dxa"/>
            <w:tcBorders>
              <w:top w:val="nil"/>
              <w:left w:val="nil"/>
              <w:bottom w:val="nil"/>
              <w:right w:val="nil"/>
            </w:tcBorders>
            <w:shd w:val="clear" w:color="auto" w:fill="auto"/>
            <w:noWrap/>
            <w:vAlign w:val="center"/>
            <w:hideMark/>
          </w:tcPr>
          <w:p w14:paraId="6986FD37"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xml:space="preserve">Amortisation of unearned revenue * </w:t>
            </w:r>
          </w:p>
        </w:tc>
        <w:tc>
          <w:tcPr>
            <w:tcW w:w="1038" w:type="dxa"/>
            <w:tcBorders>
              <w:top w:val="nil"/>
              <w:left w:val="nil"/>
              <w:bottom w:val="nil"/>
              <w:right w:val="nil"/>
            </w:tcBorders>
            <w:shd w:val="clear" w:color="auto" w:fill="auto"/>
            <w:noWrap/>
            <w:vAlign w:val="center"/>
            <w:hideMark/>
          </w:tcPr>
          <w:p w14:paraId="7AAD0649" w14:textId="77777777" w:rsidR="00BC5219" w:rsidRPr="008A2B8F" w:rsidRDefault="00BC5219" w:rsidP="00E83802">
            <w:pPr>
              <w:rPr>
                <w:rFonts w:ascii="Meta Pro" w:eastAsia="Times New Roman" w:hAnsi="Meta Pro"/>
                <w:szCs w:val="18"/>
                <w:lang w:eastAsia="en-AU"/>
              </w:rPr>
            </w:pPr>
          </w:p>
        </w:tc>
        <w:tc>
          <w:tcPr>
            <w:tcW w:w="1157" w:type="dxa"/>
            <w:tcBorders>
              <w:top w:val="nil"/>
              <w:left w:val="nil"/>
              <w:bottom w:val="nil"/>
              <w:right w:val="nil"/>
            </w:tcBorders>
            <w:shd w:val="clear" w:color="000000" w:fill="C9E3B4"/>
            <w:noWrap/>
            <w:vAlign w:val="center"/>
            <w:hideMark/>
          </w:tcPr>
          <w:p w14:paraId="5AD72085"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117,181 </w:t>
            </w:r>
          </w:p>
        </w:tc>
        <w:tc>
          <w:tcPr>
            <w:tcW w:w="223" w:type="dxa"/>
            <w:tcBorders>
              <w:top w:val="nil"/>
              <w:left w:val="nil"/>
              <w:bottom w:val="nil"/>
              <w:right w:val="nil"/>
            </w:tcBorders>
            <w:shd w:val="clear" w:color="auto" w:fill="auto"/>
            <w:noWrap/>
            <w:vAlign w:val="center"/>
            <w:hideMark/>
          </w:tcPr>
          <w:p w14:paraId="0A076DDB" w14:textId="77777777" w:rsidR="00BC5219" w:rsidRPr="008A2B8F"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5A0E0E60"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117,181 </w:t>
            </w:r>
          </w:p>
        </w:tc>
      </w:tr>
      <w:tr w:rsidR="00BC5219" w:rsidRPr="008A2B8F" w14:paraId="46113E37" w14:textId="77777777" w:rsidTr="00E83802">
        <w:trPr>
          <w:trHeight w:val="23"/>
        </w:trPr>
        <w:tc>
          <w:tcPr>
            <w:tcW w:w="6175" w:type="dxa"/>
            <w:tcBorders>
              <w:top w:val="nil"/>
              <w:left w:val="nil"/>
              <w:bottom w:val="nil"/>
              <w:right w:val="nil"/>
            </w:tcBorders>
            <w:shd w:val="clear" w:color="auto" w:fill="auto"/>
            <w:noWrap/>
            <w:vAlign w:val="center"/>
            <w:hideMark/>
          </w:tcPr>
          <w:p w14:paraId="055153CC" w14:textId="77777777" w:rsidR="00BC5219" w:rsidRPr="008A2B8F" w:rsidRDefault="00BC5219" w:rsidP="00E83802">
            <w:pPr>
              <w:jc w:val="right"/>
              <w:rPr>
                <w:rFonts w:ascii="Meta Pro" w:eastAsia="Times New Roman" w:hAnsi="Meta Pro"/>
                <w:szCs w:val="18"/>
                <w:lang w:eastAsia="en-AU"/>
              </w:rPr>
            </w:pPr>
          </w:p>
        </w:tc>
        <w:tc>
          <w:tcPr>
            <w:tcW w:w="1038" w:type="dxa"/>
            <w:tcBorders>
              <w:top w:val="nil"/>
              <w:left w:val="nil"/>
              <w:bottom w:val="nil"/>
              <w:right w:val="nil"/>
            </w:tcBorders>
            <w:shd w:val="clear" w:color="auto" w:fill="auto"/>
            <w:noWrap/>
            <w:vAlign w:val="center"/>
            <w:hideMark/>
          </w:tcPr>
          <w:p w14:paraId="1C085F66" w14:textId="77777777" w:rsidR="00BC5219" w:rsidRPr="008A2B8F" w:rsidRDefault="00BC5219" w:rsidP="00E83802">
            <w:pPr>
              <w:rPr>
                <w:rFonts w:ascii="Meta Pro" w:eastAsia="Times New Roman" w:hAnsi="Meta Pro" w:cs="Times New Roman"/>
                <w:sz w:val="20"/>
                <w:szCs w:val="20"/>
                <w:lang w:eastAsia="en-AU"/>
              </w:rPr>
            </w:pPr>
          </w:p>
        </w:tc>
        <w:tc>
          <w:tcPr>
            <w:tcW w:w="1157" w:type="dxa"/>
            <w:tcBorders>
              <w:top w:val="nil"/>
              <w:left w:val="nil"/>
              <w:bottom w:val="nil"/>
              <w:right w:val="nil"/>
            </w:tcBorders>
            <w:shd w:val="clear" w:color="000000" w:fill="C9E3B4"/>
            <w:noWrap/>
            <w:vAlign w:val="center"/>
            <w:hideMark/>
          </w:tcPr>
          <w:p w14:paraId="08409EEE"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w:t>
            </w:r>
          </w:p>
        </w:tc>
        <w:tc>
          <w:tcPr>
            <w:tcW w:w="223" w:type="dxa"/>
            <w:tcBorders>
              <w:top w:val="nil"/>
              <w:left w:val="nil"/>
              <w:bottom w:val="nil"/>
              <w:right w:val="nil"/>
            </w:tcBorders>
            <w:shd w:val="clear" w:color="auto" w:fill="auto"/>
            <w:noWrap/>
            <w:vAlign w:val="center"/>
            <w:hideMark/>
          </w:tcPr>
          <w:p w14:paraId="321DBFE4" w14:textId="77777777" w:rsidR="00BC5219" w:rsidRPr="008A2B8F"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3A5766D8"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1AEFE527" w14:textId="77777777" w:rsidTr="00E83802">
        <w:trPr>
          <w:trHeight w:val="23"/>
        </w:trPr>
        <w:tc>
          <w:tcPr>
            <w:tcW w:w="6175" w:type="dxa"/>
            <w:tcBorders>
              <w:top w:val="nil"/>
              <w:left w:val="nil"/>
              <w:bottom w:val="nil"/>
              <w:right w:val="nil"/>
            </w:tcBorders>
            <w:shd w:val="clear" w:color="auto" w:fill="auto"/>
            <w:noWrap/>
            <w:vAlign w:val="center"/>
            <w:hideMark/>
          </w:tcPr>
          <w:p w14:paraId="1E8CA457"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Expenses</w:t>
            </w:r>
          </w:p>
        </w:tc>
        <w:tc>
          <w:tcPr>
            <w:tcW w:w="1038" w:type="dxa"/>
            <w:tcBorders>
              <w:top w:val="nil"/>
              <w:left w:val="nil"/>
              <w:bottom w:val="nil"/>
              <w:right w:val="nil"/>
            </w:tcBorders>
            <w:shd w:val="clear" w:color="auto" w:fill="auto"/>
            <w:noWrap/>
            <w:vAlign w:val="center"/>
            <w:hideMark/>
          </w:tcPr>
          <w:p w14:paraId="148967B6" w14:textId="77777777" w:rsidR="00BC5219" w:rsidRPr="008A2B8F" w:rsidRDefault="00BC5219" w:rsidP="00E83802">
            <w:pPr>
              <w:rPr>
                <w:rFonts w:ascii="Meta Pro" w:eastAsia="Times New Roman" w:hAnsi="Meta Pro"/>
                <w:b/>
                <w:bCs/>
                <w:szCs w:val="18"/>
                <w:lang w:eastAsia="en-AU"/>
              </w:rPr>
            </w:pPr>
          </w:p>
        </w:tc>
        <w:tc>
          <w:tcPr>
            <w:tcW w:w="1157" w:type="dxa"/>
            <w:tcBorders>
              <w:top w:val="nil"/>
              <w:left w:val="nil"/>
              <w:bottom w:val="nil"/>
              <w:right w:val="nil"/>
            </w:tcBorders>
            <w:shd w:val="clear" w:color="000000" w:fill="C9E3B4"/>
            <w:noWrap/>
            <w:vAlign w:val="center"/>
            <w:hideMark/>
          </w:tcPr>
          <w:p w14:paraId="765C7D3E"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223" w:type="dxa"/>
            <w:tcBorders>
              <w:top w:val="nil"/>
              <w:left w:val="nil"/>
              <w:bottom w:val="nil"/>
              <w:right w:val="nil"/>
            </w:tcBorders>
            <w:shd w:val="clear" w:color="auto" w:fill="auto"/>
            <w:noWrap/>
            <w:vAlign w:val="center"/>
            <w:hideMark/>
          </w:tcPr>
          <w:p w14:paraId="553DA257" w14:textId="77777777" w:rsidR="00BC5219" w:rsidRPr="008A2B8F" w:rsidRDefault="00BC5219" w:rsidP="00E83802">
            <w:pPr>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3889D652"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06D69350" w14:textId="77777777" w:rsidTr="00E83802">
        <w:trPr>
          <w:trHeight w:val="23"/>
        </w:trPr>
        <w:tc>
          <w:tcPr>
            <w:tcW w:w="6175" w:type="dxa"/>
            <w:tcBorders>
              <w:top w:val="nil"/>
              <w:left w:val="nil"/>
              <w:bottom w:val="nil"/>
              <w:right w:val="nil"/>
            </w:tcBorders>
            <w:shd w:val="clear" w:color="auto" w:fill="auto"/>
            <w:noWrap/>
            <w:vAlign w:val="center"/>
            <w:hideMark/>
          </w:tcPr>
          <w:p w14:paraId="0036C916"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Depreciation</w:t>
            </w:r>
          </w:p>
        </w:tc>
        <w:tc>
          <w:tcPr>
            <w:tcW w:w="1038" w:type="dxa"/>
            <w:tcBorders>
              <w:top w:val="nil"/>
              <w:left w:val="nil"/>
              <w:bottom w:val="single" w:sz="4" w:space="0" w:color="auto"/>
              <w:right w:val="nil"/>
            </w:tcBorders>
            <w:shd w:val="clear" w:color="auto" w:fill="auto"/>
            <w:noWrap/>
            <w:vAlign w:val="center"/>
            <w:hideMark/>
          </w:tcPr>
          <w:p w14:paraId="50CD0225" w14:textId="77777777" w:rsidR="00BC5219" w:rsidRPr="008A2B8F" w:rsidRDefault="00BC5219" w:rsidP="00E83802">
            <w:pPr>
              <w:jc w:val="center"/>
              <w:rPr>
                <w:rFonts w:ascii="Meta Pro" w:eastAsia="Times New Roman" w:hAnsi="Meta Pro"/>
                <w:szCs w:val="18"/>
                <w:lang w:eastAsia="en-AU"/>
              </w:rPr>
            </w:pPr>
            <w:r w:rsidRPr="008A2B8F">
              <w:rPr>
                <w:rFonts w:ascii="Meta Pro" w:eastAsia="Times New Roman" w:hAnsi="Meta Pro"/>
                <w:szCs w:val="18"/>
                <w:lang w:eastAsia="en-AU"/>
              </w:rPr>
              <w:t>10</w:t>
            </w:r>
          </w:p>
        </w:tc>
        <w:tc>
          <w:tcPr>
            <w:tcW w:w="1157" w:type="dxa"/>
            <w:tcBorders>
              <w:top w:val="nil"/>
              <w:left w:val="nil"/>
              <w:bottom w:val="nil"/>
              <w:right w:val="nil"/>
            </w:tcBorders>
            <w:shd w:val="clear" w:color="000000" w:fill="C9E3B4"/>
            <w:noWrap/>
            <w:vAlign w:val="center"/>
            <w:hideMark/>
          </w:tcPr>
          <w:p w14:paraId="63D82546"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93,743 </w:t>
            </w:r>
          </w:p>
        </w:tc>
        <w:tc>
          <w:tcPr>
            <w:tcW w:w="223" w:type="dxa"/>
            <w:tcBorders>
              <w:top w:val="nil"/>
              <w:left w:val="nil"/>
              <w:bottom w:val="nil"/>
              <w:right w:val="nil"/>
            </w:tcBorders>
            <w:shd w:val="clear" w:color="auto" w:fill="auto"/>
            <w:noWrap/>
            <w:vAlign w:val="center"/>
            <w:hideMark/>
          </w:tcPr>
          <w:p w14:paraId="761AE2DE" w14:textId="77777777" w:rsidR="00BC5219" w:rsidRPr="008A2B8F"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007E42D5"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85,212 </w:t>
            </w:r>
          </w:p>
        </w:tc>
      </w:tr>
      <w:tr w:rsidR="00BC5219" w:rsidRPr="008A2B8F" w14:paraId="4B2AB563" w14:textId="77777777" w:rsidTr="00E83802">
        <w:trPr>
          <w:trHeight w:val="23"/>
        </w:trPr>
        <w:tc>
          <w:tcPr>
            <w:tcW w:w="6175" w:type="dxa"/>
            <w:tcBorders>
              <w:top w:val="single" w:sz="4" w:space="0" w:color="auto"/>
              <w:left w:val="nil"/>
              <w:bottom w:val="double" w:sz="6" w:space="0" w:color="auto"/>
              <w:right w:val="nil"/>
            </w:tcBorders>
            <w:shd w:val="clear" w:color="auto" w:fill="auto"/>
            <w:noWrap/>
            <w:vAlign w:val="center"/>
            <w:hideMark/>
          </w:tcPr>
          <w:p w14:paraId="70DE24CD"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Net impact on operating result</w:t>
            </w:r>
          </w:p>
        </w:tc>
        <w:tc>
          <w:tcPr>
            <w:tcW w:w="1038" w:type="dxa"/>
            <w:tcBorders>
              <w:top w:val="nil"/>
              <w:left w:val="nil"/>
              <w:bottom w:val="double" w:sz="6" w:space="0" w:color="auto"/>
              <w:right w:val="nil"/>
            </w:tcBorders>
            <w:shd w:val="clear" w:color="auto" w:fill="auto"/>
            <w:noWrap/>
            <w:vAlign w:val="center"/>
            <w:hideMark/>
          </w:tcPr>
          <w:p w14:paraId="1536AF6B" w14:textId="77777777" w:rsidR="00BC5219" w:rsidRPr="008A2B8F" w:rsidRDefault="00BC5219" w:rsidP="00E83802">
            <w:pPr>
              <w:jc w:val="center"/>
              <w:rPr>
                <w:rFonts w:ascii="Meta Pro" w:eastAsia="Times New Roman" w:hAnsi="Meta Pro"/>
                <w:szCs w:val="18"/>
                <w:lang w:eastAsia="en-AU"/>
              </w:rPr>
            </w:pPr>
            <w:r w:rsidRPr="008A2B8F">
              <w:rPr>
                <w:rFonts w:ascii="Meta Pro" w:eastAsia="Times New Roman" w:hAnsi="Meta Pro"/>
                <w:szCs w:val="18"/>
                <w:lang w:eastAsia="en-AU"/>
              </w:rPr>
              <w:t> </w:t>
            </w:r>
          </w:p>
        </w:tc>
        <w:tc>
          <w:tcPr>
            <w:tcW w:w="1157" w:type="dxa"/>
            <w:tcBorders>
              <w:top w:val="single" w:sz="4" w:space="0" w:color="auto"/>
              <w:left w:val="nil"/>
              <w:bottom w:val="double" w:sz="6" w:space="0" w:color="auto"/>
              <w:right w:val="nil"/>
            </w:tcBorders>
            <w:shd w:val="clear" w:color="000000" w:fill="C9E3B4"/>
            <w:noWrap/>
            <w:vAlign w:val="center"/>
            <w:hideMark/>
          </w:tcPr>
          <w:p w14:paraId="6DF45D22"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23,438 </w:t>
            </w:r>
          </w:p>
        </w:tc>
        <w:tc>
          <w:tcPr>
            <w:tcW w:w="223" w:type="dxa"/>
            <w:tcBorders>
              <w:top w:val="single" w:sz="4" w:space="0" w:color="auto"/>
              <w:left w:val="nil"/>
              <w:bottom w:val="double" w:sz="6" w:space="0" w:color="auto"/>
              <w:right w:val="nil"/>
            </w:tcBorders>
            <w:shd w:val="clear" w:color="auto" w:fill="auto"/>
            <w:noWrap/>
            <w:vAlign w:val="center"/>
            <w:hideMark/>
          </w:tcPr>
          <w:p w14:paraId="52A5C335"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w:t>
            </w:r>
          </w:p>
        </w:tc>
        <w:tc>
          <w:tcPr>
            <w:tcW w:w="1157" w:type="dxa"/>
            <w:tcBorders>
              <w:top w:val="single" w:sz="4" w:space="0" w:color="auto"/>
              <w:left w:val="nil"/>
              <w:bottom w:val="double" w:sz="6" w:space="0" w:color="auto"/>
              <w:right w:val="nil"/>
            </w:tcBorders>
            <w:shd w:val="clear" w:color="auto" w:fill="auto"/>
            <w:noWrap/>
            <w:vAlign w:val="center"/>
            <w:hideMark/>
          </w:tcPr>
          <w:p w14:paraId="3C3EAAC9"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31,969 </w:t>
            </w:r>
          </w:p>
        </w:tc>
      </w:tr>
    </w:tbl>
    <w:p w14:paraId="407D8509" w14:textId="77777777" w:rsidR="00BC5219" w:rsidRPr="008A2B8F" w:rsidRDefault="00BC5219" w:rsidP="00BC5219">
      <w:pPr>
        <w:spacing w:before="120"/>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Revenue relating to service concession arrangements represents the progressive unwinding of unearned revenue which is amortised over the 45 </w:t>
      </w:r>
    </w:p>
    <w:p w14:paraId="2A657D97" w14:textId="77777777" w:rsidR="00BC5219" w:rsidRPr="008A2B8F" w:rsidRDefault="00BC5219" w:rsidP="00BC5219">
      <w:pPr>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year concession period with 34 years remaining at 30 June 2023.</w:t>
      </w:r>
    </w:p>
    <w:p w14:paraId="128FE319" w14:textId="77777777" w:rsidR="00BC5219" w:rsidRPr="008A2B8F" w:rsidRDefault="00BC5219" w:rsidP="00BC5219">
      <w:pPr>
        <w:rPr>
          <w:rFonts w:ascii="Meta Pro" w:eastAsia="Times New Roman" w:hAnsi="Meta Pro"/>
          <w:b/>
          <w:bCs/>
          <w:szCs w:val="18"/>
          <w:lang w:eastAsia="en-AU"/>
        </w:rPr>
      </w:pPr>
    </w:p>
    <w:p w14:paraId="3507F65F" w14:textId="77777777" w:rsidR="00BC5219" w:rsidRPr="008A2B8F" w:rsidRDefault="00BC5219" w:rsidP="00BC5219">
      <w:pPr>
        <w:spacing w:after="120"/>
        <w:rPr>
          <w:rFonts w:ascii="Meta Pro" w:eastAsia="Times New Roman" w:hAnsi="Meta Pro"/>
          <w:b/>
          <w:bCs/>
          <w:szCs w:val="18"/>
          <w:lang w:eastAsia="en-AU"/>
        </w:rPr>
      </w:pPr>
      <w:r w:rsidRPr="008A2B8F">
        <w:rPr>
          <w:rFonts w:ascii="Meta Pro" w:eastAsia="Times New Roman" w:hAnsi="Meta Pro"/>
          <w:b/>
          <w:bCs/>
          <w:szCs w:val="18"/>
          <w:lang w:eastAsia="en-AU"/>
        </w:rPr>
        <w:t>Gateway and Logan Motorways</w:t>
      </w:r>
    </w:p>
    <w:p w14:paraId="0D836E82" w14:textId="77777777" w:rsidR="00BC5219" w:rsidRPr="008A2B8F" w:rsidRDefault="00BC5219" w:rsidP="00BC5219">
      <w:pPr>
        <w:rPr>
          <w:rFonts w:ascii="Meta Pro" w:eastAsia="Times New Roman" w:hAnsi="Meta Pro"/>
          <w:szCs w:val="18"/>
          <w:lang w:eastAsia="en-AU"/>
        </w:rPr>
      </w:pPr>
      <w:r w:rsidRPr="008A2B8F">
        <w:rPr>
          <w:rFonts w:ascii="Meta Pro" w:eastAsia="Times New Roman" w:hAnsi="Meta Pro"/>
          <w:szCs w:val="18"/>
          <w:lang w:eastAsia="en-AU"/>
        </w:rPr>
        <w:lastRenderedPageBreak/>
        <w:t>A Road Franchise Agreement (RFA) was established between the state and Queensland Motorways Limited (QML) in 2011 to operate, maintain and manage the Gateway and Logan motorways including the Gateway Extension for a period of 40 years. In 2014, Transurban Queensland acquired QML and now operates the Gateway Motorway and Logan Motorway toll roads under the RFA with the state.</w:t>
      </w:r>
      <w:r w:rsidRPr="008A2B8F">
        <w:rPr>
          <w:rFonts w:ascii="Meta Pro" w:eastAsia="Times New Roman" w:hAnsi="Meta Pro"/>
          <w:szCs w:val="18"/>
          <w:lang w:eastAsia="en-AU"/>
        </w:rPr>
        <w:tab/>
      </w:r>
      <w:r w:rsidRPr="008A2B8F">
        <w:rPr>
          <w:rFonts w:ascii="Meta Pro" w:eastAsia="Times New Roman" w:hAnsi="Meta Pro"/>
          <w:szCs w:val="18"/>
          <w:lang w:eastAsia="en-AU"/>
        </w:rPr>
        <w:tab/>
      </w:r>
      <w:r w:rsidRPr="008A2B8F">
        <w:rPr>
          <w:rFonts w:ascii="Meta Pro" w:eastAsia="Times New Roman" w:hAnsi="Meta Pro"/>
          <w:szCs w:val="18"/>
          <w:lang w:eastAsia="en-AU"/>
        </w:rPr>
        <w:tab/>
      </w:r>
      <w:r w:rsidRPr="008A2B8F">
        <w:rPr>
          <w:rFonts w:ascii="Meta Pro" w:eastAsia="Times New Roman" w:hAnsi="Meta Pro"/>
          <w:szCs w:val="18"/>
          <w:lang w:eastAsia="en-AU"/>
        </w:rPr>
        <w:tab/>
      </w:r>
    </w:p>
    <w:p w14:paraId="76A31610" w14:textId="77777777" w:rsidR="00BC5219" w:rsidRPr="008A2B8F" w:rsidRDefault="00BC5219" w:rsidP="00BC5219">
      <w:pPr>
        <w:spacing w:before="60" w:after="60"/>
        <w:rPr>
          <w:rFonts w:ascii="Meta Pro" w:eastAsia="Times New Roman" w:hAnsi="Meta Pro"/>
          <w:szCs w:val="18"/>
          <w:lang w:eastAsia="en-AU"/>
        </w:rPr>
      </w:pPr>
      <w:r w:rsidRPr="008A2B8F">
        <w:rPr>
          <w:rFonts w:ascii="Meta Pro" w:eastAsia="Times New Roman" w:hAnsi="Meta Pro"/>
          <w:szCs w:val="18"/>
          <w:lang w:eastAsia="en-AU"/>
        </w:rPr>
        <w:t>In return for collecting the tolls, Transurban Queensland must maintain, operate and manage the toll roads for the period of the franchise and also assume the demand and patronage risk for the franchise period.</w:t>
      </w:r>
      <w:r w:rsidRPr="008A2B8F">
        <w:rPr>
          <w:rFonts w:ascii="Meta Pro" w:eastAsia="Times New Roman" w:hAnsi="Meta Pro"/>
          <w:szCs w:val="18"/>
          <w:lang w:eastAsia="en-AU"/>
        </w:rPr>
        <w:tab/>
      </w:r>
      <w:r w:rsidRPr="008A2B8F">
        <w:rPr>
          <w:rFonts w:ascii="Meta Pro" w:eastAsia="Times New Roman" w:hAnsi="Meta Pro"/>
          <w:szCs w:val="18"/>
          <w:lang w:eastAsia="en-AU"/>
        </w:rPr>
        <w:tab/>
      </w:r>
      <w:r w:rsidRPr="008A2B8F">
        <w:rPr>
          <w:rFonts w:ascii="Meta Pro" w:eastAsia="Times New Roman" w:hAnsi="Meta Pro"/>
          <w:szCs w:val="18"/>
          <w:lang w:eastAsia="en-AU"/>
        </w:rPr>
        <w:tab/>
      </w:r>
      <w:r w:rsidRPr="008A2B8F">
        <w:rPr>
          <w:rFonts w:ascii="Meta Pro" w:eastAsia="Times New Roman" w:hAnsi="Meta Pro"/>
          <w:szCs w:val="18"/>
          <w:lang w:eastAsia="en-AU"/>
        </w:rPr>
        <w:tab/>
      </w:r>
      <w:r w:rsidRPr="008A2B8F">
        <w:rPr>
          <w:rFonts w:ascii="Meta Pro" w:eastAsia="Times New Roman" w:hAnsi="Meta Pro"/>
          <w:szCs w:val="18"/>
          <w:lang w:eastAsia="en-AU"/>
        </w:rPr>
        <w:tab/>
      </w:r>
    </w:p>
    <w:p w14:paraId="6992618A" w14:textId="77777777" w:rsidR="00BC5219" w:rsidRPr="008A2B8F" w:rsidRDefault="00BC5219" w:rsidP="00BC5219">
      <w:pPr>
        <w:spacing w:before="120"/>
        <w:rPr>
          <w:rFonts w:ascii="Meta Pro" w:eastAsia="Times New Roman" w:hAnsi="Meta Pro"/>
          <w:szCs w:val="18"/>
          <w:lang w:eastAsia="en-AU"/>
        </w:rPr>
      </w:pPr>
      <w:r w:rsidRPr="008A2B8F">
        <w:rPr>
          <w:rFonts w:ascii="Meta Pro" w:eastAsia="Times New Roman" w:hAnsi="Meta Pro"/>
          <w:szCs w:val="18"/>
          <w:lang w:eastAsia="en-AU"/>
        </w:rPr>
        <w:t>At the expiry of the concession period, the department will retain ownership of the toll road assets.</w:t>
      </w:r>
    </w:p>
    <w:p w14:paraId="2FB4E38B" w14:textId="77777777" w:rsidR="00BC5219" w:rsidRPr="008A2B8F" w:rsidRDefault="00BC5219" w:rsidP="00BC5219">
      <w:pPr>
        <w:rPr>
          <w:rFonts w:ascii="Meta Pro" w:hAnsi="Meta Pro" w:cstheme="minorBidi"/>
        </w:rPr>
      </w:pPr>
    </w:p>
    <w:tbl>
      <w:tblPr>
        <w:tblW w:w="0" w:type="auto"/>
        <w:tblCellMar>
          <w:left w:w="0" w:type="dxa"/>
        </w:tblCellMar>
        <w:tblLook w:val="04A0" w:firstRow="1" w:lastRow="0" w:firstColumn="1" w:lastColumn="0" w:noHBand="0" w:noVBand="1"/>
      </w:tblPr>
      <w:tblGrid>
        <w:gridCol w:w="6184"/>
        <w:gridCol w:w="1044"/>
        <w:gridCol w:w="1165"/>
        <w:gridCol w:w="224"/>
        <w:gridCol w:w="1165"/>
      </w:tblGrid>
      <w:tr w:rsidR="00BC5219" w:rsidRPr="008A2B8F" w14:paraId="1EF3D395" w14:textId="77777777" w:rsidTr="00E83802">
        <w:trPr>
          <w:trHeight w:val="23"/>
        </w:trPr>
        <w:tc>
          <w:tcPr>
            <w:tcW w:w="6176" w:type="dxa"/>
            <w:tcBorders>
              <w:top w:val="nil"/>
              <w:left w:val="nil"/>
              <w:bottom w:val="nil"/>
              <w:right w:val="nil"/>
            </w:tcBorders>
            <w:shd w:val="clear" w:color="auto" w:fill="auto"/>
            <w:noWrap/>
            <w:vAlign w:val="center"/>
            <w:hideMark/>
          </w:tcPr>
          <w:p w14:paraId="498A215D"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Operating statement impact</w:t>
            </w:r>
          </w:p>
        </w:tc>
        <w:tc>
          <w:tcPr>
            <w:tcW w:w="1036" w:type="dxa"/>
            <w:tcBorders>
              <w:top w:val="nil"/>
              <w:left w:val="nil"/>
              <w:bottom w:val="nil"/>
              <w:right w:val="nil"/>
            </w:tcBorders>
            <w:shd w:val="clear" w:color="auto" w:fill="auto"/>
            <w:noWrap/>
            <w:vAlign w:val="center"/>
            <w:hideMark/>
          </w:tcPr>
          <w:p w14:paraId="532ECCC4" w14:textId="77777777" w:rsidR="00BC5219" w:rsidRPr="008A2B8F" w:rsidRDefault="00BC5219" w:rsidP="00E83802">
            <w:pPr>
              <w:rPr>
                <w:rFonts w:ascii="Meta Pro" w:eastAsia="Times New Roman" w:hAnsi="Meta Pro"/>
                <w:b/>
                <w:bCs/>
                <w:szCs w:val="18"/>
                <w:lang w:eastAsia="en-AU"/>
              </w:rPr>
            </w:pPr>
          </w:p>
        </w:tc>
        <w:tc>
          <w:tcPr>
            <w:tcW w:w="1157" w:type="dxa"/>
            <w:tcBorders>
              <w:top w:val="nil"/>
              <w:left w:val="nil"/>
              <w:bottom w:val="nil"/>
              <w:right w:val="nil"/>
            </w:tcBorders>
            <w:shd w:val="clear" w:color="auto" w:fill="auto"/>
            <w:noWrap/>
            <w:vAlign w:val="center"/>
            <w:hideMark/>
          </w:tcPr>
          <w:p w14:paraId="45726F31" w14:textId="77777777" w:rsidR="00BC5219" w:rsidRPr="008A2B8F" w:rsidRDefault="00BC5219" w:rsidP="00E83802">
            <w:pPr>
              <w:jc w:val="cente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52208B88" w14:textId="77777777" w:rsidR="00BC5219" w:rsidRPr="008A2B8F" w:rsidRDefault="00BC5219" w:rsidP="00E83802">
            <w:pPr>
              <w:rPr>
                <w:rFonts w:ascii="Meta Pro" w:eastAsia="Times New Roman" w:hAnsi="Meta Pro" w:cs="Times New Roman"/>
                <w:sz w:val="20"/>
                <w:szCs w:val="20"/>
                <w:lang w:eastAsia="en-AU"/>
              </w:rPr>
            </w:pPr>
          </w:p>
        </w:tc>
        <w:tc>
          <w:tcPr>
            <w:tcW w:w="1157" w:type="dxa"/>
            <w:tcBorders>
              <w:top w:val="nil"/>
              <w:left w:val="nil"/>
              <w:bottom w:val="nil"/>
              <w:right w:val="nil"/>
            </w:tcBorders>
            <w:shd w:val="clear" w:color="auto" w:fill="auto"/>
            <w:noWrap/>
            <w:vAlign w:val="center"/>
            <w:hideMark/>
          </w:tcPr>
          <w:p w14:paraId="4595CD5A"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3ECF24F7" w14:textId="77777777" w:rsidTr="00E83802">
        <w:trPr>
          <w:trHeight w:val="23"/>
        </w:trPr>
        <w:tc>
          <w:tcPr>
            <w:tcW w:w="6176" w:type="dxa"/>
            <w:tcBorders>
              <w:top w:val="nil"/>
              <w:left w:val="nil"/>
              <w:bottom w:val="nil"/>
              <w:right w:val="nil"/>
            </w:tcBorders>
            <w:shd w:val="clear" w:color="auto" w:fill="auto"/>
            <w:noWrap/>
            <w:vAlign w:val="center"/>
            <w:hideMark/>
          </w:tcPr>
          <w:p w14:paraId="0B08C576"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Revenue</w:t>
            </w:r>
          </w:p>
        </w:tc>
        <w:tc>
          <w:tcPr>
            <w:tcW w:w="1036" w:type="dxa"/>
            <w:tcBorders>
              <w:top w:val="nil"/>
              <w:left w:val="nil"/>
              <w:bottom w:val="nil"/>
              <w:right w:val="nil"/>
            </w:tcBorders>
            <w:shd w:val="clear" w:color="auto" w:fill="auto"/>
            <w:noWrap/>
            <w:vAlign w:val="center"/>
            <w:hideMark/>
          </w:tcPr>
          <w:p w14:paraId="6A8BFA89" w14:textId="77777777" w:rsidR="00BC5219" w:rsidRPr="008A2B8F" w:rsidRDefault="00BC5219" w:rsidP="00E83802">
            <w:pPr>
              <w:rPr>
                <w:rFonts w:ascii="Meta Pro" w:eastAsia="Times New Roman" w:hAnsi="Meta Pro"/>
                <w:b/>
                <w:bCs/>
                <w:szCs w:val="18"/>
                <w:lang w:eastAsia="en-AU"/>
              </w:rPr>
            </w:pPr>
          </w:p>
        </w:tc>
        <w:tc>
          <w:tcPr>
            <w:tcW w:w="1157" w:type="dxa"/>
            <w:tcBorders>
              <w:top w:val="nil"/>
              <w:left w:val="nil"/>
              <w:bottom w:val="nil"/>
              <w:right w:val="nil"/>
            </w:tcBorders>
            <w:shd w:val="clear" w:color="auto" w:fill="auto"/>
            <w:noWrap/>
            <w:vAlign w:val="center"/>
            <w:hideMark/>
          </w:tcPr>
          <w:p w14:paraId="17173C3A" w14:textId="77777777" w:rsidR="00BC5219" w:rsidRPr="008A2B8F" w:rsidRDefault="00BC5219" w:rsidP="00E83802">
            <w:pPr>
              <w:jc w:val="cente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716E4A78" w14:textId="77777777" w:rsidR="00BC5219" w:rsidRPr="008A2B8F" w:rsidRDefault="00BC5219" w:rsidP="00E83802">
            <w:pPr>
              <w:rPr>
                <w:rFonts w:ascii="Meta Pro" w:eastAsia="Times New Roman" w:hAnsi="Meta Pro" w:cs="Times New Roman"/>
                <w:sz w:val="20"/>
                <w:szCs w:val="20"/>
                <w:lang w:eastAsia="en-AU"/>
              </w:rPr>
            </w:pPr>
          </w:p>
        </w:tc>
        <w:tc>
          <w:tcPr>
            <w:tcW w:w="1157" w:type="dxa"/>
            <w:tcBorders>
              <w:top w:val="nil"/>
              <w:left w:val="nil"/>
              <w:bottom w:val="nil"/>
              <w:right w:val="nil"/>
            </w:tcBorders>
            <w:shd w:val="clear" w:color="auto" w:fill="auto"/>
            <w:noWrap/>
            <w:vAlign w:val="center"/>
            <w:hideMark/>
          </w:tcPr>
          <w:p w14:paraId="2F2BCFC9"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7F880284" w14:textId="77777777" w:rsidTr="00E83802">
        <w:trPr>
          <w:trHeight w:val="23"/>
        </w:trPr>
        <w:tc>
          <w:tcPr>
            <w:tcW w:w="6176" w:type="dxa"/>
            <w:tcBorders>
              <w:top w:val="nil"/>
              <w:left w:val="nil"/>
              <w:bottom w:val="nil"/>
              <w:right w:val="nil"/>
            </w:tcBorders>
            <w:shd w:val="clear" w:color="auto" w:fill="auto"/>
            <w:noWrap/>
            <w:vAlign w:val="center"/>
            <w:hideMark/>
          </w:tcPr>
          <w:p w14:paraId="2BC9F47E"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Amortisation of unearned revenue *</w:t>
            </w:r>
          </w:p>
        </w:tc>
        <w:tc>
          <w:tcPr>
            <w:tcW w:w="1036" w:type="dxa"/>
            <w:tcBorders>
              <w:top w:val="nil"/>
              <w:left w:val="nil"/>
              <w:bottom w:val="nil"/>
              <w:right w:val="nil"/>
            </w:tcBorders>
            <w:shd w:val="clear" w:color="auto" w:fill="auto"/>
            <w:noWrap/>
            <w:vAlign w:val="center"/>
            <w:hideMark/>
          </w:tcPr>
          <w:p w14:paraId="7DB55AAA" w14:textId="77777777" w:rsidR="00BC5219" w:rsidRPr="008A2B8F" w:rsidRDefault="00BC5219" w:rsidP="00E83802">
            <w:pPr>
              <w:rPr>
                <w:rFonts w:ascii="Meta Pro" w:eastAsia="Times New Roman" w:hAnsi="Meta Pro"/>
                <w:szCs w:val="18"/>
                <w:lang w:eastAsia="en-AU"/>
              </w:rPr>
            </w:pPr>
          </w:p>
        </w:tc>
        <w:tc>
          <w:tcPr>
            <w:tcW w:w="1157" w:type="dxa"/>
            <w:tcBorders>
              <w:top w:val="nil"/>
              <w:left w:val="nil"/>
              <w:bottom w:val="nil"/>
              <w:right w:val="nil"/>
            </w:tcBorders>
            <w:shd w:val="clear" w:color="000000" w:fill="C9E3B4"/>
            <w:noWrap/>
            <w:vAlign w:val="center"/>
            <w:hideMark/>
          </w:tcPr>
          <w:p w14:paraId="3164243E"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105,365 </w:t>
            </w:r>
          </w:p>
        </w:tc>
        <w:tc>
          <w:tcPr>
            <w:tcW w:w="216" w:type="dxa"/>
            <w:tcBorders>
              <w:top w:val="nil"/>
              <w:left w:val="nil"/>
              <w:bottom w:val="nil"/>
              <w:right w:val="nil"/>
            </w:tcBorders>
            <w:shd w:val="clear" w:color="auto" w:fill="auto"/>
            <w:noWrap/>
            <w:vAlign w:val="center"/>
            <w:hideMark/>
          </w:tcPr>
          <w:p w14:paraId="69CF3B5B" w14:textId="77777777" w:rsidR="00BC5219" w:rsidRPr="008A2B8F"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4E251449"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105,365 </w:t>
            </w:r>
          </w:p>
        </w:tc>
      </w:tr>
      <w:tr w:rsidR="00BC5219" w:rsidRPr="008A2B8F" w14:paraId="7AC496D3" w14:textId="77777777" w:rsidTr="00E83802">
        <w:trPr>
          <w:trHeight w:val="23"/>
        </w:trPr>
        <w:tc>
          <w:tcPr>
            <w:tcW w:w="6176" w:type="dxa"/>
            <w:tcBorders>
              <w:top w:val="nil"/>
              <w:left w:val="nil"/>
              <w:bottom w:val="nil"/>
              <w:right w:val="nil"/>
            </w:tcBorders>
            <w:shd w:val="clear" w:color="auto" w:fill="auto"/>
            <w:noWrap/>
            <w:vAlign w:val="center"/>
            <w:hideMark/>
          </w:tcPr>
          <w:p w14:paraId="1FD58588" w14:textId="77777777" w:rsidR="00BC5219" w:rsidRPr="008A2B8F" w:rsidRDefault="00BC5219" w:rsidP="00E83802">
            <w:pPr>
              <w:jc w:val="right"/>
              <w:rPr>
                <w:rFonts w:ascii="Meta Pro" w:eastAsia="Times New Roman" w:hAnsi="Meta Pro"/>
                <w:szCs w:val="18"/>
                <w:lang w:eastAsia="en-AU"/>
              </w:rPr>
            </w:pPr>
          </w:p>
        </w:tc>
        <w:tc>
          <w:tcPr>
            <w:tcW w:w="1036" w:type="dxa"/>
            <w:tcBorders>
              <w:top w:val="nil"/>
              <w:left w:val="nil"/>
              <w:bottom w:val="nil"/>
              <w:right w:val="nil"/>
            </w:tcBorders>
            <w:shd w:val="clear" w:color="auto" w:fill="auto"/>
            <w:noWrap/>
            <w:vAlign w:val="center"/>
            <w:hideMark/>
          </w:tcPr>
          <w:p w14:paraId="5D706462" w14:textId="77777777" w:rsidR="00BC5219" w:rsidRPr="008A2B8F" w:rsidRDefault="00BC5219" w:rsidP="00E83802">
            <w:pPr>
              <w:rPr>
                <w:rFonts w:ascii="Meta Pro" w:eastAsia="Times New Roman" w:hAnsi="Meta Pro" w:cs="Times New Roman"/>
                <w:sz w:val="20"/>
                <w:szCs w:val="20"/>
                <w:lang w:eastAsia="en-AU"/>
              </w:rPr>
            </w:pPr>
          </w:p>
        </w:tc>
        <w:tc>
          <w:tcPr>
            <w:tcW w:w="1157" w:type="dxa"/>
            <w:tcBorders>
              <w:top w:val="nil"/>
              <w:left w:val="nil"/>
              <w:bottom w:val="nil"/>
              <w:right w:val="nil"/>
            </w:tcBorders>
            <w:shd w:val="clear" w:color="000000" w:fill="C9E3B4"/>
            <w:noWrap/>
            <w:vAlign w:val="center"/>
            <w:hideMark/>
          </w:tcPr>
          <w:p w14:paraId="3BC7E35C"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w:t>
            </w:r>
          </w:p>
        </w:tc>
        <w:tc>
          <w:tcPr>
            <w:tcW w:w="216" w:type="dxa"/>
            <w:tcBorders>
              <w:top w:val="nil"/>
              <w:left w:val="nil"/>
              <w:bottom w:val="nil"/>
              <w:right w:val="nil"/>
            </w:tcBorders>
            <w:shd w:val="clear" w:color="auto" w:fill="auto"/>
            <w:noWrap/>
            <w:vAlign w:val="center"/>
            <w:hideMark/>
          </w:tcPr>
          <w:p w14:paraId="7E6A1F81" w14:textId="77777777" w:rsidR="00BC5219" w:rsidRPr="008A2B8F"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484784F5"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69E43504" w14:textId="77777777" w:rsidTr="00E83802">
        <w:trPr>
          <w:trHeight w:val="23"/>
        </w:trPr>
        <w:tc>
          <w:tcPr>
            <w:tcW w:w="6176" w:type="dxa"/>
            <w:tcBorders>
              <w:top w:val="nil"/>
              <w:left w:val="nil"/>
              <w:bottom w:val="nil"/>
              <w:right w:val="nil"/>
            </w:tcBorders>
            <w:shd w:val="clear" w:color="auto" w:fill="auto"/>
            <w:noWrap/>
            <w:vAlign w:val="center"/>
            <w:hideMark/>
          </w:tcPr>
          <w:p w14:paraId="62DB051A"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Expenses</w:t>
            </w:r>
          </w:p>
        </w:tc>
        <w:tc>
          <w:tcPr>
            <w:tcW w:w="1036" w:type="dxa"/>
            <w:tcBorders>
              <w:top w:val="nil"/>
              <w:left w:val="nil"/>
              <w:bottom w:val="nil"/>
              <w:right w:val="nil"/>
            </w:tcBorders>
            <w:shd w:val="clear" w:color="auto" w:fill="auto"/>
            <w:noWrap/>
            <w:vAlign w:val="center"/>
            <w:hideMark/>
          </w:tcPr>
          <w:p w14:paraId="075F9861" w14:textId="77777777" w:rsidR="00BC5219" w:rsidRPr="008A2B8F" w:rsidRDefault="00BC5219" w:rsidP="00E83802">
            <w:pPr>
              <w:rPr>
                <w:rFonts w:ascii="Meta Pro" w:eastAsia="Times New Roman" w:hAnsi="Meta Pro"/>
                <w:b/>
                <w:bCs/>
                <w:szCs w:val="18"/>
                <w:lang w:eastAsia="en-AU"/>
              </w:rPr>
            </w:pPr>
          </w:p>
        </w:tc>
        <w:tc>
          <w:tcPr>
            <w:tcW w:w="1157" w:type="dxa"/>
            <w:tcBorders>
              <w:top w:val="nil"/>
              <w:left w:val="nil"/>
              <w:bottom w:val="nil"/>
              <w:right w:val="nil"/>
            </w:tcBorders>
            <w:shd w:val="clear" w:color="000000" w:fill="C9E3B4"/>
            <w:noWrap/>
            <w:vAlign w:val="center"/>
            <w:hideMark/>
          </w:tcPr>
          <w:p w14:paraId="79658439"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216" w:type="dxa"/>
            <w:tcBorders>
              <w:top w:val="nil"/>
              <w:left w:val="nil"/>
              <w:bottom w:val="nil"/>
              <w:right w:val="nil"/>
            </w:tcBorders>
            <w:shd w:val="clear" w:color="auto" w:fill="auto"/>
            <w:noWrap/>
            <w:vAlign w:val="center"/>
            <w:hideMark/>
          </w:tcPr>
          <w:p w14:paraId="468E6762" w14:textId="77777777" w:rsidR="00BC5219" w:rsidRPr="008A2B8F" w:rsidRDefault="00BC5219" w:rsidP="00E83802">
            <w:pPr>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6020EAFF"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4E7A5D83" w14:textId="77777777" w:rsidTr="00E83802">
        <w:trPr>
          <w:trHeight w:val="23"/>
        </w:trPr>
        <w:tc>
          <w:tcPr>
            <w:tcW w:w="6176" w:type="dxa"/>
            <w:tcBorders>
              <w:top w:val="nil"/>
              <w:left w:val="nil"/>
              <w:bottom w:val="nil"/>
              <w:right w:val="nil"/>
            </w:tcBorders>
            <w:shd w:val="clear" w:color="auto" w:fill="auto"/>
            <w:noWrap/>
            <w:vAlign w:val="center"/>
            <w:hideMark/>
          </w:tcPr>
          <w:p w14:paraId="72D2C85F"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Depreciation</w:t>
            </w:r>
          </w:p>
        </w:tc>
        <w:tc>
          <w:tcPr>
            <w:tcW w:w="1036" w:type="dxa"/>
            <w:tcBorders>
              <w:top w:val="nil"/>
              <w:left w:val="nil"/>
              <w:bottom w:val="single" w:sz="4" w:space="0" w:color="auto"/>
              <w:right w:val="nil"/>
            </w:tcBorders>
            <w:shd w:val="clear" w:color="auto" w:fill="auto"/>
            <w:noWrap/>
            <w:vAlign w:val="center"/>
            <w:hideMark/>
          </w:tcPr>
          <w:p w14:paraId="1B5DD043" w14:textId="77777777" w:rsidR="00BC5219" w:rsidRPr="008A2B8F" w:rsidRDefault="00BC5219" w:rsidP="00E83802">
            <w:pPr>
              <w:jc w:val="center"/>
              <w:rPr>
                <w:rFonts w:ascii="Meta Pro" w:eastAsia="Times New Roman" w:hAnsi="Meta Pro"/>
                <w:szCs w:val="18"/>
                <w:lang w:eastAsia="en-AU"/>
              </w:rPr>
            </w:pPr>
            <w:r w:rsidRPr="008A2B8F">
              <w:rPr>
                <w:rFonts w:ascii="Meta Pro" w:eastAsia="Times New Roman" w:hAnsi="Meta Pro"/>
                <w:szCs w:val="18"/>
                <w:lang w:eastAsia="en-AU"/>
              </w:rPr>
              <w:t>10</w:t>
            </w:r>
          </w:p>
        </w:tc>
        <w:tc>
          <w:tcPr>
            <w:tcW w:w="1157" w:type="dxa"/>
            <w:tcBorders>
              <w:top w:val="nil"/>
              <w:left w:val="nil"/>
              <w:bottom w:val="nil"/>
              <w:right w:val="nil"/>
            </w:tcBorders>
            <w:shd w:val="clear" w:color="000000" w:fill="C9E3B4"/>
            <w:noWrap/>
            <w:vAlign w:val="center"/>
            <w:hideMark/>
          </w:tcPr>
          <w:p w14:paraId="790B559B"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42,482 </w:t>
            </w:r>
          </w:p>
        </w:tc>
        <w:tc>
          <w:tcPr>
            <w:tcW w:w="216" w:type="dxa"/>
            <w:tcBorders>
              <w:top w:val="nil"/>
              <w:left w:val="nil"/>
              <w:bottom w:val="nil"/>
              <w:right w:val="nil"/>
            </w:tcBorders>
            <w:shd w:val="clear" w:color="auto" w:fill="auto"/>
            <w:noWrap/>
            <w:vAlign w:val="center"/>
            <w:hideMark/>
          </w:tcPr>
          <w:p w14:paraId="42E00F26" w14:textId="77777777" w:rsidR="00BC5219" w:rsidRPr="008A2B8F"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28B1F7C1"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42,216 </w:t>
            </w:r>
          </w:p>
        </w:tc>
      </w:tr>
      <w:tr w:rsidR="00BC5219" w:rsidRPr="008A2B8F" w14:paraId="63FCD703" w14:textId="77777777" w:rsidTr="00E83802">
        <w:trPr>
          <w:trHeight w:val="23"/>
        </w:trPr>
        <w:tc>
          <w:tcPr>
            <w:tcW w:w="6176" w:type="dxa"/>
            <w:tcBorders>
              <w:top w:val="single" w:sz="4" w:space="0" w:color="auto"/>
              <w:left w:val="nil"/>
              <w:bottom w:val="double" w:sz="6" w:space="0" w:color="auto"/>
              <w:right w:val="nil"/>
            </w:tcBorders>
            <w:shd w:val="clear" w:color="auto" w:fill="auto"/>
            <w:noWrap/>
            <w:vAlign w:val="center"/>
            <w:hideMark/>
          </w:tcPr>
          <w:p w14:paraId="47623F7C"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Net impact on operating result</w:t>
            </w:r>
          </w:p>
        </w:tc>
        <w:tc>
          <w:tcPr>
            <w:tcW w:w="1036" w:type="dxa"/>
            <w:tcBorders>
              <w:top w:val="nil"/>
              <w:left w:val="nil"/>
              <w:bottom w:val="double" w:sz="6" w:space="0" w:color="auto"/>
              <w:right w:val="nil"/>
            </w:tcBorders>
            <w:shd w:val="clear" w:color="auto" w:fill="auto"/>
            <w:noWrap/>
            <w:vAlign w:val="center"/>
            <w:hideMark/>
          </w:tcPr>
          <w:p w14:paraId="1F2A4A2C" w14:textId="77777777" w:rsidR="00BC5219" w:rsidRPr="008A2B8F" w:rsidRDefault="00BC5219" w:rsidP="00E83802">
            <w:pPr>
              <w:jc w:val="center"/>
              <w:rPr>
                <w:rFonts w:ascii="Meta Pro" w:eastAsia="Times New Roman" w:hAnsi="Meta Pro"/>
                <w:szCs w:val="18"/>
                <w:lang w:eastAsia="en-AU"/>
              </w:rPr>
            </w:pPr>
            <w:r w:rsidRPr="008A2B8F">
              <w:rPr>
                <w:rFonts w:ascii="Meta Pro" w:eastAsia="Times New Roman" w:hAnsi="Meta Pro"/>
                <w:szCs w:val="18"/>
                <w:lang w:eastAsia="en-AU"/>
              </w:rPr>
              <w:t> </w:t>
            </w:r>
          </w:p>
        </w:tc>
        <w:tc>
          <w:tcPr>
            <w:tcW w:w="1157" w:type="dxa"/>
            <w:tcBorders>
              <w:top w:val="single" w:sz="4" w:space="0" w:color="auto"/>
              <w:left w:val="nil"/>
              <w:bottom w:val="double" w:sz="6" w:space="0" w:color="auto"/>
              <w:right w:val="nil"/>
            </w:tcBorders>
            <w:shd w:val="clear" w:color="000000" w:fill="C9E3B4"/>
            <w:noWrap/>
            <w:vAlign w:val="center"/>
            <w:hideMark/>
          </w:tcPr>
          <w:p w14:paraId="346C3075"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62,883 </w:t>
            </w:r>
          </w:p>
        </w:tc>
        <w:tc>
          <w:tcPr>
            <w:tcW w:w="216" w:type="dxa"/>
            <w:tcBorders>
              <w:top w:val="single" w:sz="4" w:space="0" w:color="auto"/>
              <w:left w:val="nil"/>
              <w:bottom w:val="double" w:sz="6" w:space="0" w:color="auto"/>
              <w:right w:val="nil"/>
            </w:tcBorders>
            <w:shd w:val="clear" w:color="auto" w:fill="auto"/>
            <w:noWrap/>
            <w:vAlign w:val="center"/>
            <w:hideMark/>
          </w:tcPr>
          <w:p w14:paraId="358BD45E"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w:t>
            </w:r>
          </w:p>
        </w:tc>
        <w:tc>
          <w:tcPr>
            <w:tcW w:w="1157" w:type="dxa"/>
            <w:tcBorders>
              <w:top w:val="single" w:sz="4" w:space="0" w:color="auto"/>
              <w:left w:val="nil"/>
              <w:bottom w:val="double" w:sz="6" w:space="0" w:color="auto"/>
              <w:right w:val="nil"/>
            </w:tcBorders>
            <w:shd w:val="clear" w:color="auto" w:fill="auto"/>
            <w:noWrap/>
            <w:vAlign w:val="center"/>
            <w:hideMark/>
          </w:tcPr>
          <w:p w14:paraId="505EE826"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63,149 </w:t>
            </w:r>
          </w:p>
        </w:tc>
      </w:tr>
    </w:tbl>
    <w:p w14:paraId="75D18CCA" w14:textId="77777777" w:rsidR="00BC5219" w:rsidRPr="008A2B8F" w:rsidRDefault="00BC5219" w:rsidP="00BC5219">
      <w:pPr>
        <w:spacing w:before="120"/>
        <w:rPr>
          <w:rFonts w:ascii="Meta Pro" w:eastAsia="Times New Roman" w:hAnsi="Meta Pro"/>
          <w:sz w:val="16"/>
          <w:szCs w:val="16"/>
          <w:lang w:eastAsia="en-AU"/>
        </w:rPr>
      </w:pPr>
      <w:r w:rsidRPr="008A2B8F">
        <w:rPr>
          <w:rFonts w:ascii="Meta Pro" w:eastAsia="Times New Roman" w:hAnsi="Meta Pro"/>
          <w:szCs w:val="18"/>
          <w:lang w:eastAsia="en-AU"/>
        </w:rPr>
        <w:t xml:space="preserve">* </w:t>
      </w:r>
      <w:r w:rsidRPr="008A2B8F">
        <w:rPr>
          <w:rFonts w:ascii="Meta Pro" w:eastAsia="Times New Roman" w:hAnsi="Meta Pro"/>
          <w:sz w:val="16"/>
          <w:szCs w:val="16"/>
          <w:lang w:eastAsia="en-AU"/>
        </w:rPr>
        <w:t xml:space="preserve">Revenue relating to service concession arrangements represents the progressive unwinding of unearned revenue which is amortised over the 40  </w:t>
      </w:r>
    </w:p>
    <w:p w14:paraId="03132782" w14:textId="77777777" w:rsidR="00BC5219" w:rsidRPr="008A2B8F" w:rsidRDefault="00BC5219" w:rsidP="00BC5219">
      <w:pPr>
        <w:rPr>
          <w:rFonts w:ascii="Meta Pro" w:hAnsi="Meta Pro" w:cstheme="minorBidi"/>
          <w:sz w:val="16"/>
          <w:szCs w:val="16"/>
        </w:rPr>
      </w:pPr>
      <w:r w:rsidRPr="008A2B8F">
        <w:rPr>
          <w:rFonts w:ascii="Meta Pro" w:eastAsia="Times New Roman" w:hAnsi="Meta Pro"/>
          <w:sz w:val="16"/>
          <w:szCs w:val="16"/>
          <w:lang w:eastAsia="en-AU"/>
        </w:rPr>
        <w:t xml:space="preserve">    year concession period with 28 years remaining at 30 June 2023.</w:t>
      </w:r>
    </w:p>
    <w:p w14:paraId="10DF5F1A" w14:textId="77777777" w:rsidR="00BC5219" w:rsidRPr="008A2B8F" w:rsidRDefault="00BC5219" w:rsidP="00BC5219">
      <w:pPr>
        <w:rPr>
          <w:rFonts w:ascii="Meta Pro" w:eastAsia="Times New Roman" w:hAnsi="Meta Pro"/>
          <w:sz w:val="16"/>
          <w:szCs w:val="16"/>
          <w:lang w:eastAsia="en-AU"/>
        </w:rPr>
      </w:pPr>
    </w:p>
    <w:p w14:paraId="645016C0" w14:textId="77777777" w:rsidR="00BC5219" w:rsidRPr="008A2B8F" w:rsidRDefault="00BC5219" w:rsidP="00BC5219">
      <w:pPr>
        <w:rPr>
          <w:rFonts w:ascii="Meta Pro" w:eastAsia="Times New Roman" w:hAnsi="Meta Pro"/>
          <w:b/>
          <w:bCs/>
          <w:szCs w:val="18"/>
          <w:lang w:eastAsia="en-AU"/>
        </w:rPr>
      </w:pPr>
      <w:r w:rsidRPr="008A2B8F">
        <w:rPr>
          <w:rFonts w:ascii="Meta Pro" w:eastAsia="Times New Roman" w:hAnsi="Meta Pro"/>
          <w:b/>
          <w:bCs/>
          <w:szCs w:val="18"/>
          <w:lang w:eastAsia="en-AU"/>
        </w:rPr>
        <w:t>Port Drive</w:t>
      </w:r>
    </w:p>
    <w:p w14:paraId="6F85BE55" w14:textId="77777777" w:rsidR="00BC5219" w:rsidRPr="008A2B8F" w:rsidRDefault="00BC5219" w:rsidP="00BC5219">
      <w:pPr>
        <w:spacing w:before="60" w:after="60"/>
        <w:rPr>
          <w:rFonts w:ascii="Meta Pro" w:eastAsia="Times New Roman" w:hAnsi="Meta Pro"/>
          <w:szCs w:val="18"/>
          <w:lang w:eastAsia="en-AU"/>
        </w:rPr>
      </w:pPr>
      <w:r w:rsidRPr="008A2B8F">
        <w:rPr>
          <w:rFonts w:ascii="Meta Pro" w:eastAsia="Times New Roman" w:hAnsi="Meta Pro"/>
          <w:szCs w:val="18"/>
          <w:lang w:eastAsia="en-AU"/>
        </w:rPr>
        <w:t>A Road Franchise Agreement (RFA) was established between the state and Port of Brisbane Pty Ltd in November 2000 to maintain and manage the Port Drive motorway. In 2010, APH Consortium signed a 99 year lease over the port, which included an agreement to fund a major upgrade to the motorway.</w:t>
      </w:r>
    </w:p>
    <w:p w14:paraId="78E3A302" w14:textId="77777777" w:rsidR="00BC5219" w:rsidRPr="008A2B8F" w:rsidRDefault="00BC5219" w:rsidP="00BC5219">
      <w:pPr>
        <w:spacing w:before="120" w:after="60"/>
        <w:rPr>
          <w:rFonts w:ascii="Meta Pro" w:eastAsia="Times New Roman" w:hAnsi="Meta Pro"/>
          <w:szCs w:val="18"/>
          <w:lang w:eastAsia="en-AU"/>
        </w:rPr>
      </w:pPr>
      <w:r w:rsidRPr="008A2B8F">
        <w:rPr>
          <w:rFonts w:ascii="Meta Pro" w:eastAsia="Times New Roman" w:hAnsi="Meta Pro"/>
          <w:szCs w:val="18"/>
          <w:lang w:eastAsia="en-AU"/>
        </w:rPr>
        <w:t>The Port Drive motorway is a franchised road, but is not a toll road. The operator obtains indirect benefits of ongoing maintenance of the road infrastructure through increased capacity and access to the port precinct.</w:t>
      </w:r>
    </w:p>
    <w:p w14:paraId="4FF185BA" w14:textId="77777777" w:rsidR="00BC5219" w:rsidRPr="008A2B8F" w:rsidRDefault="00BC5219" w:rsidP="00BC5219">
      <w:pPr>
        <w:rPr>
          <w:rFonts w:ascii="Meta Pro" w:eastAsia="Times New Roman" w:hAnsi="Meta Pro"/>
          <w:szCs w:val="18"/>
          <w:lang w:eastAsia="en-AU"/>
        </w:rPr>
      </w:pPr>
      <w:r w:rsidRPr="008A2B8F">
        <w:rPr>
          <w:rFonts w:ascii="Meta Pro" w:eastAsia="Times New Roman" w:hAnsi="Meta Pro"/>
          <w:szCs w:val="18"/>
          <w:lang w:eastAsia="en-AU"/>
        </w:rPr>
        <w:t>At the expiry of the concession period the department will retain ownership of the motorway assets.</w:t>
      </w:r>
    </w:p>
    <w:p w14:paraId="7FA4101A" w14:textId="77777777" w:rsidR="00BC5219" w:rsidRPr="008A2B8F" w:rsidRDefault="00BC5219" w:rsidP="00BC5219">
      <w:pPr>
        <w:rPr>
          <w:rFonts w:ascii="Meta Pro" w:eastAsia="Times New Roman" w:hAnsi="Meta Pro"/>
          <w:szCs w:val="18"/>
          <w:lang w:eastAsia="en-AU"/>
        </w:rPr>
      </w:pPr>
    </w:p>
    <w:p w14:paraId="540AA5FD" w14:textId="77777777" w:rsidR="00BC5219" w:rsidRPr="008A2B8F" w:rsidRDefault="00BC5219" w:rsidP="00BC5219">
      <w:pPr>
        <w:rPr>
          <w:rFonts w:ascii="Meta Pro" w:eastAsia="Times New Roman" w:hAnsi="Meta Pro"/>
          <w:szCs w:val="18"/>
          <w:lang w:eastAsia="en-AU"/>
        </w:rPr>
      </w:pPr>
    </w:p>
    <w:p w14:paraId="378EAE28" w14:textId="77777777" w:rsidR="00BC5219" w:rsidRPr="008A2B8F" w:rsidRDefault="00BC5219" w:rsidP="00BC5219">
      <w:pPr>
        <w:rPr>
          <w:rFonts w:ascii="Meta Pro" w:eastAsia="Times New Roman" w:hAnsi="Meta Pro"/>
          <w:szCs w:val="18"/>
          <w:lang w:eastAsia="en-AU"/>
        </w:rPr>
      </w:pPr>
    </w:p>
    <w:p w14:paraId="77BC06CD" w14:textId="77777777" w:rsidR="00BC5219" w:rsidRPr="008A2B8F" w:rsidRDefault="00BC5219" w:rsidP="00BC5219">
      <w:pPr>
        <w:rPr>
          <w:rFonts w:ascii="Meta Pro" w:eastAsia="Times New Roman" w:hAnsi="Meta Pro"/>
          <w:szCs w:val="18"/>
          <w:lang w:eastAsia="en-AU"/>
        </w:rPr>
      </w:pPr>
    </w:p>
    <w:p w14:paraId="035DD140" w14:textId="77777777" w:rsidR="00BC5219" w:rsidRPr="008A2B8F" w:rsidRDefault="00BC5219" w:rsidP="00BC5219">
      <w:pPr>
        <w:rPr>
          <w:rFonts w:ascii="Meta Pro" w:eastAsia="Times New Roman" w:hAnsi="Meta Pro"/>
          <w:szCs w:val="18"/>
          <w:lang w:eastAsia="en-AU"/>
        </w:rPr>
      </w:pPr>
    </w:p>
    <w:p w14:paraId="41313195" w14:textId="77777777" w:rsidR="00BC5219" w:rsidRPr="008A2B8F" w:rsidRDefault="00BC5219" w:rsidP="00BC5219">
      <w:pPr>
        <w:rPr>
          <w:rFonts w:ascii="Meta Pro" w:eastAsia="Times New Roman" w:hAnsi="Meta Pro"/>
          <w:szCs w:val="18"/>
          <w:lang w:eastAsia="en-AU"/>
        </w:rPr>
      </w:pPr>
    </w:p>
    <w:p w14:paraId="1747F6DA" w14:textId="77777777" w:rsidR="00BC5219" w:rsidRPr="008A2B8F" w:rsidRDefault="00BC5219" w:rsidP="00BC5219">
      <w:pPr>
        <w:rPr>
          <w:rFonts w:ascii="Meta Pro" w:eastAsia="Times New Roman" w:hAnsi="Meta Pro"/>
          <w:szCs w:val="18"/>
          <w:lang w:eastAsia="en-AU"/>
        </w:rPr>
      </w:pPr>
    </w:p>
    <w:p w14:paraId="3ED5B4E1" w14:textId="77777777" w:rsidR="00BC5219" w:rsidRPr="008A2B8F" w:rsidRDefault="00BC5219" w:rsidP="00BC5219">
      <w:pPr>
        <w:rPr>
          <w:rFonts w:ascii="Meta Pro" w:eastAsia="Times New Roman" w:hAnsi="Meta Pro"/>
          <w:szCs w:val="18"/>
          <w:lang w:eastAsia="en-AU"/>
        </w:rPr>
      </w:pPr>
    </w:p>
    <w:p w14:paraId="2788F19C" w14:textId="77777777" w:rsidR="00BC5219" w:rsidRPr="008A2B8F" w:rsidRDefault="00BC5219" w:rsidP="00BC5219">
      <w:pPr>
        <w:rPr>
          <w:rFonts w:ascii="Meta Pro" w:eastAsia="Times New Roman" w:hAnsi="Meta Pro"/>
          <w:szCs w:val="18"/>
          <w:lang w:eastAsia="en-AU"/>
        </w:rPr>
      </w:pPr>
    </w:p>
    <w:p w14:paraId="4BA9A74B"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r w:rsidRPr="008A2B8F">
        <w:rPr>
          <w:rFonts w:ascii="Meta Pro" w:eastAsia="Times New Roman" w:hAnsi="Meta Pro"/>
          <w:i/>
          <w:iCs/>
          <w:color w:val="000000" w:themeColor="text1"/>
          <w:lang w:eastAsia="en-AU"/>
        </w:rPr>
        <w:t>Department of Transport and Main Roads</w:t>
      </w:r>
    </w:p>
    <w:p w14:paraId="4683B5DF"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lastRenderedPageBreak/>
        <w:t>Notes to the financial statements 2022–23 (continued)</w:t>
      </w:r>
    </w:p>
    <w:tbl>
      <w:tblPr>
        <w:tblW w:w="0" w:type="auto"/>
        <w:tblLook w:val="04A0" w:firstRow="1" w:lastRow="0" w:firstColumn="1" w:lastColumn="0" w:noHBand="0" w:noVBand="1"/>
      </w:tblPr>
      <w:tblGrid>
        <w:gridCol w:w="6291"/>
        <w:gridCol w:w="1023"/>
        <w:gridCol w:w="1170"/>
        <w:gridCol w:w="337"/>
        <w:gridCol w:w="1123"/>
      </w:tblGrid>
      <w:tr w:rsidR="00BC5219" w:rsidRPr="008A2B8F" w14:paraId="09E0ED1D" w14:textId="77777777" w:rsidTr="00E83802">
        <w:trPr>
          <w:trHeight w:val="273"/>
        </w:trPr>
        <w:tc>
          <w:tcPr>
            <w:tcW w:w="6291" w:type="dxa"/>
            <w:tcBorders>
              <w:top w:val="nil"/>
              <w:left w:val="nil"/>
              <w:bottom w:val="nil"/>
              <w:right w:val="nil"/>
            </w:tcBorders>
            <w:shd w:val="clear" w:color="auto" w:fill="auto"/>
            <w:noWrap/>
            <w:vAlign w:val="center"/>
            <w:hideMark/>
          </w:tcPr>
          <w:p w14:paraId="45E50CBE" w14:textId="77777777" w:rsidR="00BC5219" w:rsidRPr="008A2B8F" w:rsidRDefault="00BC5219" w:rsidP="00E83802">
            <w:pPr>
              <w:rPr>
                <w:rFonts w:ascii="Meta Pro" w:eastAsia="Times New Roman" w:hAnsi="Meta Pro" w:cs="Times New Roman"/>
                <w:sz w:val="24"/>
                <w:szCs w:val="24"/>
                <w:lang w:eastAsia="en-AU"/>
              </w:rPr>
            </w:pPr>
          </w:p>
        </w:tc>
        <w:tc>
          <w:tcPr>
            <w:tcW w:w="1023" w:type="dxa"/>
            <w:tcBorders>
              <w:top w:val="nil"/>
              <w:left w:val="nil"/>
              <w:bottom w:val="nil"/>
              <w:right w:val="nil"/>
            </w:tcBorders>
            <w:shd w:val="clear" w:color="auto" w:fill="auto"/>
            <w:noWrap/>
            <w:vAlign w:val="center"/>
            <w:hideMark/>
          </w:tcPr>
          <w:p w14:paraId="7F26C1F7" w14:textId="77777777" w:rsidR="00BC5219" w:rsidRPr="008A2B8F" w:rsidRDefault="00BC5219" w:rsidP="00E83802">
            <w:pPr>
              <w:jc w:val="center"/>
              <w:rPr>
                <w:rFonts w:ascii="Meta Pro" w:eastAsia="Times New Roman" w:hAnsi="Meta Pro"/>
                <w:b/>
                <w:bCs/>
                <w:color w:val="000000"/>
                <w:lang w:eastAsia="en-AU"/>
              </w:rPr>
            </w:pPr>
            <w:r w:rsidRPr="008A2B8F">
              <w:rPr>
                <w:rFonts w:ascii="Meta Pro" w:eastAsia="Times New Roman" w:hAnsi="Meta Pro"/>
                <w:b/>
                <w:bCs/>
                <w:color w:val="000000"/>
                <w:lang w:eastAsia="en-AU"/>
              </w:rPr>
              <w:t>Note</w:t>
            </w:r>
          </w:p>
        </w:tc>
        <w:tc>
          <w:tcPr>
            <w:tcW w:w="1170" w:type="dxa"/>
            <w:tcBorders>
              <w:top w:val="nil"/>
              <w:left w:val="nil"/>
              <w:bottom w:val="nil"/>
              <w:right w:val="nil"/>
            </w:tcBorders>
            <w:shd w:val="clear" w:color="auto" w:fill="auto"/>
            <w:noWrap/>
            <w:vAlign w:val="center"/>
            <w:hideMark/>
          </w:tcPr>
          <w:p w14:paraId="0CEC24FB" w14:textId="77777777" w:rsidR="00BC5219" w:rsidRPr="008A2B8F" w:rsidRDefault="00BC5219" w:rsidP="00E83802">
            <w:pPr>
              <w:jc w:val="center"/>
              <w:rPr>
                <w:rFonts w:ascii="Meta Pro" w:eastAsia="Times New Roman" w:hAnsi="Meta Pro"/>
                <w:b/>
                <w:bCs/>
                <w:color w:val="000000"/>
                <w:lang w:eastAsia="en-AU"/>
              </w:rPr>
            </w:pPr>
            <w:r w:rsidRPr="008A2B8F">
              <w:rPr>
                <w:rFonts w:ascii="Meta Pro" w:eastAsia="Times New Roman" w:hAnsi="Meta Pro"/>
                <w:b/>
                <w:bCs/>
                <w:color w:val="000000"/>
                <w:lang w:eastAsia="en-AU"/>
              </w:rPr>
              <w:t>2023</w:t>
            </w:r>
          </w:p>
        </w:tc>
        <w:tc>
          <w:tcPr>
            <w:tcW w:w="337" w:type="dxa"/>
            <w:tcBorders>
              <w:top w:val="nil"/>
              <w:left w:val="nil"/>
              <w:bottom w:val="nil"/>
              <w:right w:val="nil"/>
            </w:tcBorders>
            <w:shd w:val="clear" w:color="auto" w:fill="auto"/>
            <w:noWrap/>
            <w:vAlign w:val="center"/>
            <w:hideMark/>
          </w:tcPr>
          <w:p w14:paraId="5A537B96" w14:textId="77777777" w:rsidR="00BC5219" w:rsidRPr="008A2B8F" w:rsidRDefault="00BC5219" w:rsidP="00E83802">
            <w:pPr>
              <w:jc w:val="center"/>
              <w:rPr>
                <w:rFonts w:ascii="Meta Pro" w:eastAsia="Times New Roman" w:hAnsi="Meta Pro"/>
                <w:b/>
                <w:bCs/>
                <w:color w:val="000000"/>
                <w:lang w:eastAsia="en-AU"/>
              </w:rPr>
            </w:pPr>
          </w:p>
        </w:tc>
        <w:tc>
          <w:tcPr>
            <w:tcW w:w="1123" w:type="dxa"/>
            <w:tcBorders>
              <w:top w:val="nil"/>
              <w:left w:val="nil"/>
              <w:bottom w:val="nil"/>
              <w:right w:val="nil"/>
            </w:tcBorders>
            <w:shd w:val="clear" w:color="auto" w:fill="auto"/>
            <w:noWrap/>
            <w:vAlign w:val="center"/>
            <w:hideMark/>
          </w:tcPr>
          <w:p w14:paraId="4FB9117E" w14:textId="77777777" w:rsidR="00BC5219" w:rsidRPr="008A2B8F" w:rsidRDefault="00BC5219" w:rsidP="00E83802">
            <w:pPr>
              <w:jc w:val="center"/>
              <w:rPr>
                <w:rFonts w:ascii="Meta Pro" w:eastAsia="Times New Roman" w:hAnsi="Meta Pro"/>
                <w:b/>
                <w:bCs/>
                <w:lang w:eastAsia="en-AU"/>
              </w:rPr>
            </w:pPr>
            <w:r w:rsidRPr="008A2B8F">
              <w:rPr>
                <w:rFonts w:ascii="Meta Pro" w:eastAsia="Times New Roman" w:hAnsi="Meta Pro"/>
                <w:b/>
                <w:bCs/>
                <w:lang w:eastAsia="en-AU"/>
              </w:rPr>
              <w:t>2022</w:t>
            </w:r>
          </w:p>
        </w:tc>
      </w:tr>
      <w:tr w:rsidR="00BC5219" w:rsidRPr="008A2B8F" w14:paraId="2E3758D9" w14:textId="77777777" w:rsidTr="00E83802">
        <w:trPr>
          <w:trHeight w:val="273"/>
        </w:trPr>
        <w:tc>
          <w:tcPr>
            <w:tcW w:w="6291" w:type="dxa"/>
            <w:tcBorders>
              <w:top w:val="nil"/>
              <w:left w:val="nil"/>
              <w:bottom w:val="nil"/>
              <w:right w:val="nil"/>
            </w:tcBorders>
            <w:shd w:val="clear" w:color="auto" w:fill="auto"/>
            <w:noWrap/>
            <w:vAlign w:val="center"/>
            <w:hideMark/>
          </w:tcPr>
          <w:p w14:paraId="14F518F3" w14:textId="77777777" w:rsidR="00BC5219" w:rsidRPr="008A2B8F" w:rsidRDefault="00BC5219" w:rsidP="00E83802">
            <w:pPr>
              <w:jc w:val="center"/>
              <w:rPr>
                <w:rFonts w:ascii="Meta Pro" w:eastAsia="Times New Roman" w:hAnsi="Meta Pro"/>
                <w:b/>
                <w:bCs/>
                <w:lang w:eastAsia="en-AU"/>
              </w:rPr>
            </w:pPr>
          </w:p>
        </w:tc>
        <w:tc>
          <w:tcPr>
            <w:tcW w:w="1023" w:type="dxa"/>
            <w:tcBorders>
              <w:top w:val="nil"/>
              <w:left w:val="nil"/>
              <w:bottom w:val="nil"/>
              <w:right w:val="nil"/>
            </w:tcBorders>
            <w:shd w:val="clear" w:color="auto" w:fill="auto"/>
            <w:noWrap/>
            <w:vAlign w:val="center"/>
            <w:hideMark/>
          </w:tcPr>
          <w:p w14:paraId="19CAEA96" w14:textId="77777777" w:rsidR="00BC5219" w:rsidRPr="008A2B8F" w:rsidRDefault="00BC5219" w:rsidP="00E83802">
            <w:pPr>
              <w:rPr>
                <w:rFonts w:ascii="Meta Pro" w:eastAsia="Times New Roman" w:hAnsi="Meta Pro" w:cs="Times New Roman"/>
                <w:sz w:val="20"/>
                <w:szCs w:val="20"/>
                <w:lang w:eastAsia="en-AU"/>
              </w:rPr>
            </w:pPr>
          </w:p>
        </w:tc>
        <w:tc>
          <w:tcPr>
            <w:tcW w:w="1170" w:type="dxa"/>
            <w:tcBorders>
              <w:top w:val="nil"/>
              <w:left w:val="nil"/>
              <w:bottom w:val="nil"/>
              <w:right w:val="nil"/>
            </w:tcBorders>
            <w:shd w:val="clear" w:color="auto" w:fill="auto"/>
            <w:noWrap/>
            <w:vAlign w:val="center"/>
            <w:hideMark/>
          </w:tcPr>
          <w:p w14:paraId="18963AD6" w14:textId="77777777" w:rsidR="00BC5219" w:rsidRPr="008A2B8F" w:rsidRDefault="00BC5219" w:rsidP="00E83802">
            <w:pPr>
              <w:jc w:val="center"/>
              <w:rPr>
                <w:rFonts w:ascii="Meta Pro" w:eastAsia="Times New Roman" w:hAnsi="Meta Pro"/>
                <w:b/>
                <w:bCs/>
                <w:lang w:eastAsia="en-AU"/>
              </w:rPr>
            </w:pPr>
            <w:r w:rsidRPr="008A2B8F">
              <w:rPr>
                <w:rFonts w:ascii="Meta Pro" w:eastAsia="Times New Roman" w:hAnsi="Meta Pro"/>
                <w:b/>
                <w:bCs/>
                <w:lang w:eastAsia="en-AU"/>
              </w:rPr>
              <w:t>$'000</w:t>
            </w:r>
          </w:p>
        </w:tc>
        <w:tc>
          <w:tcPr>
            <w:tcW w:w="337" w:type="dxa"/>
            <w:tcBorders>
              <w:top w:val="nil"/>
              <w:left w:val="nil"/>
              <w:bottom w:val="nil"/>
              <w:right w:val="nil"/>
            </w:tcBorders>
            <w:shd w:val="clear" w:color="auto" w:fill="auto"/>
            <w:noWrap/>
            <w:vAlign w:val="center"/>
            <w:hideMark/>
          </w:tcPr>
          <w:p w14:paraId="565BDC03" w14:textId="77777777" w:rsidR="00BC5219" w:rsidRPr="008A2B8F" w:rsidRDefault="00BC5219" w:rsidP="00E83802">
            <w:pPr>
              <w:jc w:val="center"/>
              <w:rPr>
                <w:rFonts w:ascii="Meta Pro" w:eastAsia="Times New Roman" w:hAnsi="Meta Pro"/>
                <w:b/>
                <w:bCs/>
                <w:lang w:eastAsia="en-AU"/>
              </w:rPr>
            </w:pPr>
          </w:p>
        </w:tc>
        <w:tc>
          <w:tcPr>
            <w:tcW w:w="1123" w:type="dxa"/>
            <w:tcBorders>
              <w:top w:val="nil"/>
              <w:left w:val="nil"/>
              <w:bottom w:val="nil"/>
              <w:right w:val="nil"/>
            </w:tcBorders>
            <w:shd w:val="clear" w:color="auto" w:fill="auto"/>
            <w:noWrap/>
            <w:vAlign w:val="center"/>
            <w:hideMark/>
          </w:tcPr>
          <w:p w14:paraId="1D1448BE" w14:textId="77777777" w:rsidR="00BC5219" w:rsidRPr="008A2B8F" w:rsidRDefault="00BC5219" w:rsidP="00E83802">
            <w:pPr>
              <w:jc w:val="center"/>
              <w:rPr>
                <w:rFonts w:ascii="Meta Pro" w:eastAsia="Times New Roman" w:hAnsi="Meta Pro"/>
                <w:b/>
                <w:bCs/>
                <w:lang w:eastAsia="en-AU"/>
              </w:rPr>
            </w:pPr>
            <w:r w:rsidRPr="008A2B8F">
              <w:rPr>
                <w:rFonts w:ascii="Meta Pro" w:eastAsia="Times New Roman" w:hAnsi="Meta Pro"/>
                <w:b/>
                <w:bCs/>
                <w:lang w:eastAsia="en-AU"/>
              </w:rPr>
              <w:t>$'000</w:t>
            </w:r>
          </w:p>
        </w:tc>
      </w:tr>
    </w:tbl>
    <w:p w14:paraId="1C583CAC" w14:textId="77777777" w:rsidR="00BC5219" w:rsidRPr="008A2B8F" w:rsidRDefault="00BC5219" w:rsidP="00BC5219">
      <w:pPr>
        <w:spacing w:after="120" w:line="259" w:lineRule="auto"/>
        <w:rPr>
          <w:rFonts w:ascii="Meta Pro" w:hAnsi="Meta Pro"/>
          <w:b/>
          <w:bCs/>
          <w:lang w:eastAsia="en-AU"/>
        </w:rPr>
      </w:pPr>
      <w:r w:rsidRPr="008A2B8F">
        <w:rPr>
          <w:rFonts w:ascii="Meta Pro" w:hAnsi="Meta Pro"/>
          <w:b/>
          <w:bCs/>
          <w:lang w:eastAsia="en-AU"/>
        </w:rPr>
        <w:t>16      PUBLIC PRIVATE PARTNERSHIPS (continued)</w:t>
      </w:r>
    </w:p>
    <w:p w14:paraId="001C6309" w14:textId="77777777" w:rsidR="00BC5219" w:rsidRPr="008A2B8F" w:rsidRDefault="00BC5219" w:rsidP="00BC5219">
      <w:pPr>
        <w:spacing w:after="120" w:line="259" w:lineRule="auto"/>
        <w:rPr>
          <w:rFonts w:ascii="Meta Pro" w:hAnsi="Meta Pro"/>
          <w:b/>
          <w:bCs/>
          <w:szCs w:val="18"/>
          <w:lang w:eastAsia="en-AU"/>
        </w:rPr>
      </w:pPr>
      <w:r w:rsidRPr="008A2B8F">
        <w:rPr>
          <w:rFonts w:ascii="Meta Pro" w:hAnsi="Meta Pro"/>
          <w:b/>
          <w:bCs/>
          <w:szCs w:val="18"/>
          <w:lang w:eastAsia="en-AU"/>
        </w:rPr>
        <w:t>SERVICE CONCESSION ARRANGEMENTS UNDER AASB 1059 (continued)</w:t>
      </w:r>
    </w:p>
    <w:p w14:paraId="5C100DDC" w14:textId="77777777" w:rsidR="00BC5219" w:rsidRPr="008A2B8F" w:rsidRDefault="00BC5219" w:rsidP="00BC5219">
      <w:pPr>
        <w:spacing w:after="120"/>
        <w:rPr>
          <w:rFonts w:ascii="Meta Pro" w:hAnsi="Meta Pro" w:cstheme="minorBidi"/>
        </w:rPr>
      </w:pPr>
      <w:r w:rsidRPr="008A2B8F">
        <w:rPr>
          <w:rFonts w:ascii="Meta Pro" w:eastAsia="Times New Roman" w:hAnsi="Meta Pro"/>
          <w:b/>
          <w:bCs/>
          <w:szCs w:val="18"/>
          <w:lang w:eastAsia="en-AU"/>
        </w:rPr>
        <w:t>Port Drive (continued)</w:t>
      </w:r>
    </w:p>
    <w:tbl>
      <w:tblPr>
        <w:tblW w:w="0" w:type="auto"/>
        <w:tblCellMar>
          <w:left w:w="0" w:type="dxa"/>
        </w:tblCellMar>
        <w:tblLook w:val="04A0" w:firstRow="1" w:lastRow="0" w:firstColumn="1" w:lastColumn="0" w:noHBand="0" w:noVBand="1"/>
      </w:tblPr>
      <w:tblGrid>
        <w:gridCol w:w="6184"/>
        <w:gridCol w:w="1044"/>
        <w:gridCol w:w="1165"/>
        <w:gridCol w:w="224"/>
        <w:gridCol w:w="1165"/>
      </w:tblGrid>
      <w:tr w:rsidR="00BC5219" w:rsidRPr="008A2B8F" w14:paraId="33423157" w14:textId="77777777" w:rsidTr="00E83802">
        <w:trPr>
          <w:trHeight w:val="270"/>
        </w:trPr>
        <w:tc>
          <w:tcPr>
            <w:tcW w:w="6176" w:type="dxa"/>
            <w:tcBorders>
              <w:top w:val="nil"/>
              <w:left w:val="nil"/>
              <w:bottom w:val="nil"/>
              <w:right w:val="nil"/>
            </w:tcBorders>
            <w:shd w:val="clear" w:color="auto" w:fill="auto"/>
            <w:noWrap/>
            <w:vAlign w:val="center"/>
            <w:hideMark/>
          </w:tcPr>
          <w:p w14:paraId="6EF09699"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Operating statement impact</w:t>
            </w:r>
          </w:p>
        </w:tc>
        <w:tc>
          <w:tcPr>
            <w:tcW w:w="1036" w:type="dxa"/>
            <w:tcBorders>
              <w:top w:val="nil"/>
              <w:left w:val="nil"/>
              <w:bottom w:val="nil"/>
              <w:right w:val="nil"/>
            </w:tcBorders>
            <w:shd w:val="clear" w:color="auto" w:fill="auto"/>
            <w:noWrap/>
            <w:vAlign w:val="center"/>
            <w:hideMark/>
          </w:tcPr>
          <w:p w14:paraId="1ECE6677" w14:textId="77777777" w:rsidR="00BC5219" w:rsidRPr="008A2B8F" w:rsidRDefault="00BC5219" w:rsidP="00E83802">
            <w:pPr>
              <w:rPr>
                <w:rFonts w:ascii="Meta Pro" w:eastAsia="Times New Roman" w:hAnsi="Meta Pro"/>
                <w:b/>
                <w:bCs/>
                <w:szCs w:val="18"/>
                <w:lang w:eastAsia="en-AU"/>
              </w:rPr>
            </w:pPr>
          </w:p>
        </w:tc>
        <w:tc>
          <w:tcPr>
            <w:tcW w:w="1157" w:type="dxa"/>
            <w:tcBorders>
              <w:top w:val="nil"/>
              <w:left w:val="nil"/>
              <w:bottom w:val="nil"/>
              <w:right w:val="nil"/>
            </w:tcBorders>
            <w:shd w:val="clear" w:color="auto" w:fill="auto"/>
            <w:noWrap/>
            <w:vAlign w:val="center"/>
            <w:hideMark/>
          </w:tcPr>
          <w:p w14:paraId="6F3DB8DF" w14:textId="77777777" w:rsidR="00BC5219" w:rsidRPr="008A2B8F" w:rsidRDefault="00BC5219" w:rsidP="00E83802">
            <w:pPr>
              <w:jc w:val="cente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2DEA3474" w14:textId="77777777" w:rsidR="00BC5219" w:rsidRPr="008A2B8F" w:rsidRDefault="00BC5219" w:rsidP="00E83802">
            <w:pPr>
              <w:rPr>
                <w:rFonts w:ascii="Meta Pro" w:eastAsia="Times New Roman" w:hAnsi="Meta Pro" w:cs="Times New Roman"/>
                <w:sz w:val="20"/>
                <w:szCs w:val="20"/>
                <w:lang w:eastAsia="en-AU"/>
              </w:rPr>
            </w:pPr>
          </w:p>
        </w:tc>
        <w:tc>
          <w:tcPr>
            <w:tcW w:w="1157" w:type="dxa"/>
            <w:tcBorders>
              <w:top w:val="nil"/>
              <w:left w:val="nil"/>
              <w:bottom w:val="nil"/>
              <w:right w:val="nil"/>
            </w:tcBorders>
            <w:shd w:val="clear" w:color="auto" w:fill="auto"/>
            <w:noWrap/>
            <w:vAlign w:val="center"/>
            <w:hideMark/>
          </w:tcPr>
          <w:p w14:paraId="0CEB2048"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431D5F94" w14:textId="77777777" w:rsidTr="00E83802">
        <w:trPr>
          <w:trHeight w:val="23"/>
        </w:trPr>
        <w:tc>
          <w:tcPr>
            <w:tcW w:w="6176" w:type="dxa"/>
            <w:tcBorders>
              <w:top w:val="nil"/>
              <w:left w:val="nil"/>
              <w:bottom w:val="nil"/>
              <w:right w:val="nil"/>
            </w:tcBorders>
            <w:shd w:val="clear" w:color="auto" w:fill="auto"/>
            <w:noWrap/>
            <w:vAlign w:val="center"/>
            <w:hideMark/>
          </w:tcPr>
          <w:p w14:paraId="0D6B9F84"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Revenue</w:t>
            </w:r>
          </w:p>
        </w:tc>
        <w:tc>
          <w:tcPr>
            <w:tcW w:w="1036" w:type="dxa"/>
            <w:tcBorders>
              <w:top w:val="nil"/>
              <w:left w:val="nil"/>
              <w:bottom w:val="nil"/>
              <w:right w:val="nil"/>
            </w:tcBorders>
            <w:shd w:val="clear" w:color="auto" w:fill="auto"/>
            <w:noWrap/>
            <w:vAlign w:val="center"/>
            <w:hideMark/>
          </w:tcPr>
          <w:p w14:paraId="74D33450" w14:textId="77777777" w:rsidR="00BC5219" w:rsidRPr="008A2B8F" w:rsidRDefault="00BC5219" w:rsidP="00E83802">
            <w:pPr>
              <w:rPr>
                <w:rFonts w:ascii="Meta Pro" w:eastAsia="Times New Roman" w:hAnsi="Meta Pro"/>
                <w:b/>
                <w:bCs/>
                <w:szCs w:val="18"/>
                <w:lang w:eastAsia="en-AU"/>
              </w:rPr>
            </w:pPr>
          </w:p>
        </w:tc>
        <w:tc>
          <w:tcPr>
            <w:tcW w:w="1157" w:type="dxa"/>
            <w:tcBorders>
              <w:top w:val="nil"/>
              <w:left w:val="nil"/>
              <w:bottom w:val="nil"/>
              <w:right w:val="nil"/>
            </w:tcBorders>
            <w:shd w:val="clear" w:color="auto" w:fill="auto"/>
            <w:noWrap/>
            <w:vAlign w:val="center"/>
            <w:hideMark/>
          </w:tcPr>
          <w:p w14:paraId="658AC517" w14:textId="77777777" w:rsidR="00BC5219" w:rsidRPr="008A2B8F" w:rsidRDefault="00BC5219" w:rsidP="00E83802">
            <w:pPr>
              <w:jc w:val="cente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17B7F014" w14:textId="77777777" w:rsidR="00BC5219" w:rsidRPr="008A2B8F" w:rsidRDefault="00BC5219" w:rsidP="00E83802">
            <w:pPr>
              <w:rPr>
                <w:rFonts w:ascii="Meta Pro" w:eastAsia="Times New Roman" w:hAnsi="Meta Pro" w:cs="Times New Roman"/>
                <w:sz w:val="20"/>
                <w:szCs w:val="20"/>
                <w:lang w:eastAsia="en-AU"/>
              </w:rPr>
            </w:pPr>
          </w:p>
        </w:tc>
        <w:tc>
          <w:tcPr>
            <w:tcW w:w="1157" w:type="dxa"/>
            <w:tcBorders>
              <w:top w:val="nil"/>
              <w:left w:val="nil"/>
              <w:bottom w:val="nil"/>
              <w:right w:val="nil"/>
            </w:tcBorders>
            <w:shd w:val="clear" w:color="auto" w:fill="auto"/>
            <w:noWrap/>
            <w:vAlign w:val="center"/>
            <w:hideMark/>
          </w:tcPr>
          <w:p w14:paraId="0681F840"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47B019B4" w14:textId="77777777" w:rsidTr="00E83802">
        <w:trPr>
          <w:trHeight w:val="23"/>
        </w:trPr>
        <w:tc>
          <w:tcPr>
            <w:tcW w:w="6176" w:type="dxa"/>
            <w:tcBorders>
              <w:top w:val="nil"/>
              <w:left w:val="nil"/>
              <w:bottom w:val="nil"/>
              <w:right w:val="nil"/>
            </w:tcBorders>
            <w:shd w:val="clear" w:color="auto" w:fill="auto"/>
            <w:noWrap/>
            <w:vAlign w:val="center"/>
            <w:hideMark/>
          </w:tcPr>
          <w:p w14:paraId="58E890AC"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xml:space="preserve">Amortisation of unearned revenue * </w:t>
            </w:r>
          </w:p>
        </w:tc>
        <w:tc>
          <w:tcPr>
            <w:tcW w:w="1036" w:type="dxa"/>
            <w:tcBorders>
              <w:top w:val="nil"/>
              <w:left w:val="nil"/>
              <w:bottom w:val="nil"/>
              <w:right w:val="nil"/>
            </w:tcBorders>
            <w:shd w:val="clear" w:color="auto" w:fill="auto"/>
            <w:noWrap/>
            <w:vAlign w:val="center"/>
            <w:hideMark/>
          </w:tcPr>
          <w:p w14:paraId="6D030381" w14:textId="77777777" w:rsidR="00BC5219" w:rsidRPr="008A2B8F" w:rsidRDefault="00BC5219" w:rsidP="00E83802">
            <w:pPr>
              <w:rPr>
                <w:rFonts w:ascii="Meta Pro" w:eastAsia="Times New Roman" w:hAnsi="Meta Pro"/>
                <w:szCs w:val="18"/>
                <w:lang w:eastAsia="en-AU"/>
              </w:rPr>
            </w:pPr>
          </w:p>
        </w:tc>
        <w:tc>
          <w:tcPr>
            <w:tcW w:w="1157" w:type="dxa"/>
            <w:tcBorders>
              <w:top w:val="nil"/>
              <w:left w:val="nil"/>
              <w:bottom w:val="nil"/>
              <w:right w:val="nil"/>
            </w:tcBorders>
            <w:shd w:val="clear" w:color="000000" w:fill="C9E3B4"/>
            <w:noWrap/>
            <w:vAlign w:val="center"/>
            <w:hideMark/>
          </w:tcPr>
          <w:p w14:paraId="27AA50B8"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474 </w:t>
            </w:r>
          </w:p>
        </w:tc>
        <w:tc>
          <w:tcPr>
            <w:tcW w:w="216" w:type="dxa"/>
            <w:tcBorders>
              <w:top w:val="nil"/>
              <w:left w:val="nil"/>
              <w:bottom w:val="nil"/>
              <w:right w:val="nil"/>
            </w:tcBorders>
            <w:shd w:val="clear" w:color="auto" w:fill="auto"/>
            <w:noWrap/>
            <w:vAlign w:val="center"/>
            <w:hideMark/>
          </w:tcPr>
          <w:p w14:paraId="4BE76933" w14:textId="77777777" w:rsidR="00BC5219" w:rsidRPr="008A2B8F"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07BBB8E0"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474 </w:t>
            </w:r>
          </w:p>
        </w:tc>
      </w:tr>
      <w:tr w:rsidR="00BC5219" w:rsidRPr="008A2B8F" w14:paraId="4751730C" w14:textId="77777777" w:rsidTr="00E83802">
        <w:trPr>
          <w:trHeight w:val="23"/>
        </w:trPr>
        <w:tc>
          <w:tcPr>
            <w:tcW w:w="6176" w:type="dxa"/>
            <w:tcBorders>
              <w:top w:val="nil"/>
              <w:left w:val="nil"/>
              <w:bottom w:val="nil"/>
              <w:right w:val="nil"/>
            </w:tcBorders>
            <w:shd w:val="clear" w:color="auto" w:fill="auto"/>
            <w:noWrap/>
            <w:vAlign w:val="center"/>
            <w:hideMark/>
          </w:tcPr>
          <w:p w14:paraId="49D6EE4C" w14:textId="77777777" w:rsidR="00BC5219" w:rsidRPr="008A2B8F" w:rsidRDefault="00BC5219" w:rsidP="00E83802">
            <w:pPr>
              <w:jc w:val="right"/>
              <w:rPr>
                <w:rFonts w:ascii="Meta Pro" w:eastAsia="Times New Roman" w:hAnsi="Meta Pro"/>
                <w:szCs w:val="18"/>
                <w:lang w:eastAsia="en-AU"/>
              </w:rPr>
            </w:pPr>
          </w:p>
        </w:tc>
        <w:tc>
          <w:tcPr>
            <w:tcW w:w="1036" w:type="dxa"/>
            <w:tcBorders>
              <w:top w:val="nil"/>
              <w:left w:val="nil"/>
              <w:bottom w:val="nil"/>
              <w:right w:val="nil"/>
            </w:tcBorders>
            <w:shd w:val="clear" w:color="auto" w:fill="auto"/>
            <w:noWrap/>
            <w:vAlign w:val="center"/>
            <w:hideMark/>
          </w:tcPr>
          <w:p w14:paraId="5580C6A1" w14:textId="77777777" w:rsidR="00BC5219" w:rsidRPr="008A2B8F" w:rsidRDefault="00BC5219" w:rsidP="00E83802">
            <w:pPr>
              <w:rPr>
                <w:rFonts w:ascii="Meta Pro" w:eastAsia="Times New Roman" w:hAnsi="Meta Pro" w:cs="Times New Roman"/>
                <w:sz w:val="20"/>
                <w:szCs w:val="20"/>
                <w:lang w:eastAsia="en-AU"/>
              </w:rPr>
            </w:pPr>
          </w:p>
        </w:tc>
        <w:tc>
          <w:tcPr>
            <w:tcW w:w="1157" w:type="dxa"/>
            <w:tcBorders>
              <w:top w:val="nil"/>
              <w:left w:val="nil"/>
              <w:bottom w:val="nil"/>
              <w:right w:val="nil"/>
            </w:tcBorders>
            <w:shd w:val="clear" w:color="000000" w:fill="C9E3B4"/>
            <w:noWrap/>
            <w:vAlign w:val="center"/>
            <w:hideMark/>
          </w:tcPr>
          <w:p w14:paraId="4850F357"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w:t>
            </w:r>
          </w:p>
        </w:tc>
        <w:tc>
          <w:tcPr>
            <w:tcW w:w="216" w:type="dxa"/>
            <w:tcBorders>
              <w:top w:val="nil"/>
              <w:left w:val="nil"/>
              <w:bottom w:val="nil"/>
              <w:right w:val="nil"/>
            </w:tcBorders>
            <w:shd w:val="clear" w:color="auto" w:fill="auto"/>
            <w:noWrap/>
            <w:vAlign w:val="center"/>
            <w:hideMark/>
          </w:tcPr>
          <w:p w14:paraId="64943D2D" w14:textId="77777777" w:rsidR="00BC5219" w:rsidRPr="008A2B8F"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25FBC8C2"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0D640FBB" w14:textId="77777777" w:rsidTr="00E83802">
        <w:trPr>
          <w:trHeight w:val="23"/>
        </w:trPr>
        <w:tc>
          <w:tcPr>
            <w:tcW w:w="6176" w:type="dxa"/>
            <w:tcBorders>
              <w:top w:val="nil"/>
              <w:left w:val="nil"/>
              <w:bottom w:val="nil"/>
              <w:right w:val="nil"/>
            </w:tcBorders>
            <w:shd w:val="clear" w:color="auto" w:fill="auto"/>
            <w:noWrap/>
            <w:vAlign w:val="center"/>
            <w:hideMark/>
          </w:tcPr>
          <w:p w14:paraId="1AB77285"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Expenses</w:t>
            </w:r>
          </w:p>
        </w:tc>
        <w:tc>
          <w:tcPr>
            <w:tcW w:w="1036" w:type="dxa"/>
            <w:tcBorders>
              <w:top w:val="nil"/>
              <w:left w:val="nil"/>
              <w:bottom w:val="nil"/>
              <w:right w:val="nil"/>
            </w:tcBorders>
            <w:shd w:val="clear" w:color="auto" w:fill="auto"/>
            <w:noWrap/>
            <w:vAlign w:val="center"/>
            <w:hideMark/>
          </w:tcPr>
          <w:p w14:paraId="0AB12605" w14:textId="77777777" w:rsidR="00BC5219" w:rsidRPr="008A2B8F" w:rsidRDefault="00BC5219" w:rsidP="00E83802">
            <w:pPr>
              <w:rPr>
                <w:rFonts w:ascii="Meta Pro" w:eastAsia="Times New Roman" w:hAnsi="Meta Pro"/>
                <w:b/>
                <w:bCs/>
                <w:szCs w:val="18"/>
                <w:lang w:eastAsia="en-AU"/>
              </w:rPr>
            </w:pPr>
          </w:p>
        </w:tc>
        <w:tc>
          <w:tcPr>
            <w:tcW w:w="1157" w:type="dxa"/>
            <w:tcBorders>
              <w:top w:val="nil"/>
              <w:left w:val="nil"/>
              <w:bottom w:val="nil"/>
              <w:right w:val="nil"/>
            </w:tcBorders>
            <w:shd w:val="clear" w:color="000000" w:fill="C9E3B4"/>
            <w:noWrap/>
            <w:vAlign w:val="center"/>
            <w:hideMark/>
          </w:tcPr>
          <w:p w14:paraId="490C4F27"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216" w:type="dxa"/>
            <w:tcBorders>
              <w:top w:val="nil"/>
              <w:left w:val="nil"/>
              <w:bottom w:val="nil"/>
              <w:right w:val="nil"/>
            </w:tcBorders>
            <w:shd w:val="clear" w:color="auto" w:fill="auto"/>
            <w:noWrap/>
            <w:vAlign w:val="center"/>
            <w:hideMark/>
          </w:tcPr>
          <w:p w14:paraId="784573FD" w14:textId="77777777" w:rsidR="00BC5219" w:rsidRPr="008A2B8F" w:rsidRDefault="00BC5219" w:rsidP="00E83802">
            <w:pPr>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1B7FB589"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795AE26D" w14:textId="77777777" w:rsidTr="00E83802">
        <w:trPr>
          <w:trHeight w:val="23"/>
        </w:trPr>
        <w:tc>
          <w:tcPr>
            <w:tcW w:w="6176" w:type="dxa"/>
            <w:tcBorders>
              <w:top w:val="nil"/>
              <w:left w:val="nil"/>
              <w:bottom w:val="nil"/>
              <w:right w:val="nil"/>
            </w:tcBorders>
            <w:shd w:val="clear" w:color="auto" w:fill="auto"/>
            <w:noWrap/>
            <w:vAlign w:val="center"/>
            <w:hideMark/>
          </w:tcPr>
          <w:p w14:paraId="52BC2CEF"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Depreciation</w:t>
            </w:r>
          </w:p>
        </w:tc>
        <w:tc>
          <w:tcPr>
            <w:tcW w:w="1036" w:type="dxa"/>
            <w:tcBorders>
              <w:top w:val="nil"/>
              <w:left w:val="nil"/>
              <w:bottom w:val="single" w:sz="4" w:space="0" w:color="auto"/>
              <w:right w:val="nil"/>
            </w:tcBorders>
            <w:shd w:val="clear" w:color="auto" w:fill="auto"/>
            <w:noWrap/>
            <w:vAlign w:val="center"/>
            <w:hideMark/>
          </w:tcPr>
          <w:p w14:paraId="1814A8EA" w14:textId="77777777" w:rsidR="00BC5219" w:rsidRPr="008A2B8F" w:rsidRDefault="00BC5219" w:rsidP="00E83802">
            <w:pPr>
              <w:jc w:val="center"/>
              <w:rPr>
                <w:rFonts w:ascii="Meta Pro" w:eastAsia="Times New Roman" w:hAnsi="Meta Pro"/>
                <w:szCs w:val="18"/>
                <w:lang w:eastAsia="en-AU"/>
              </w:rPr>
            </w:pPr>
            <w:r w:rsidRPr="008A2B8F">
              <w:rPr>
                <w:rFonts w:ascii="Meta Pro" w:eastAsia="Times New Roman" w:hAnsi="Meta Pro"/>
                <w:szCs w:val="18"/>
                <w:lang w:eastAsia="en-AU"/>
              </w:rPr>
              <w:t>10</w:t>
            </w:r>
          </w:p>
        </w:tc>
        <w:tc>
          <w:tcPr>
            <w:tcW w:w="1157" w:type="dxa"/>
            <w:tcBorders>
              <w:top w:val="nil"/>
              <w:left w:val="nil"/>
              <w:bottom w:val="nil"/>
              <w:right w:val="nil"/>
            </w:tcBorders>
            <w:shd w:val="clear" w:color="000000" w:fill="C9E3B4"/>
            <w:noWrap/>
            <w:vAlign w:val="center"/>
            <w:hideMark/>
          </w:tcPr>
          <w:p w14:paraId="6BA0D58C"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523 </w:t>
            </w:r>
          </w:p>
        </w:tc>
        <w:tc>
          <w:tcPr>
            <w:tcW w:w="216" w:type="dxa"/>
            <w:tcBorders>
              <w:top w:val="nil"/>
              <w:left w:val="nil"/>
              <w:bottom w:val="nil"/>
              <w:right w:val="nil"/>
            </w:tcBorders>
            <w:shd w:val="clear" w:color="auto" w:fill="auto"/>
            <w:noWrap/>
            <w:vAlign w:val="center"/>
            <w:hideMark/>
          </w:tcPr>
          <w:p w14:paraId="142D5313" w14:textId="77777777" w:rsidR="00BC5219" w:rsidRPr="008A2B8F"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29D8B314"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509 </w:t>
            </w:r>
          </w:p>
        </w:tc>
      </w:tr>
      <w:tr w:rsidR="00BC5219" w:rsidRPr="008A2B8F" w14:paraId="3BF3F70A" w14:textId="77777777" w:rsidTr="00E83802">
        <w:trPr>
          <w:trHeight w:val="23"/>
        </w:trPr>
        <w:tc>
          <w:tcPr>
            <w:tcW w:w="6176" w:type="dxa"/>
            <w:tcBorders>
              <w:top w:val="single" w:sz="4" w:space="0" w:color="auto"/>
              <w:left w:val="nil"/>
              <w:bottom w:val="double" w:sz="6" w:space="0" w:color="auto"/>
              <w:right w:val="nil"/>
            </w:tcBorders>
            <w:shd w:val="clear" w:color="auto" w:fill="auto"/>
            <w:noWrap/>
            <w:vAlign w:val="center"/>
            <w:hideMark/>
          </w:tcPr>
          <w:p w14:paraId="2EAD5979"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Net impact on operating result</w:t>
            </w:r>
          </w:p>
        </w:tc>
        <w:tc>
          <w:tcPr>
            <w:tcW w:w="1036" w:type="dxa"/>
            <w:tcBorders>
              <w:top w:val="nil"/>
              <w:left w:val="nil"/>
              <w:bottom w:val="double" w:sz="6" w:space="0" w:color="auto"/>
              <w:right w:val="nil"/>
            </w:tcBorders>
            <w:shd w:val="clear" w:color="auto" w:fill="auto"/>
            <w:noWrap/>
            <w:vAlign w:val="center"/>
            <w:hideMark/>
          </w:tcPr>
          <w:p w14:paraId="4B4E43C2" w14:textId="77777777" w:rsidR="00BC5219" w:rsidRPr="008A2B8F" w:rsidRDefault="00BC5219" w:rsidP="00E83802">
            <w:pPr>
              <w:jc w:val="center"/>
              <w:rPr>
                <w:rFonts w:ascii="Meta Pro" w:eastAsia="Times New Roman" w:hAnsi="Meta Pro"/>
                <w:szCs w:val="18"/>
                <w:lang w:eastAsia="en-AU"/>
              </w:rPr>
            </w:pPr>
            <w:r w:rsidRPr="008A2B8F">
              <w:rPr>
                <w:rFonts w:ascii="Meta Pro" w:eastAsia="Times New Roman" w:hAnsi="Meta Pro"/>
                <w:szCs w:val="18"/>
                <w:lang w:eastAsia="en-AU"/>
              </w:rPr>
              <w:t> </w:t>
            </w:r>
          </w:p>
        </w:tc>
        <w:tc>
          <w:tcPr>
            <w:tcW w:w="1157" w:type="dxa"/>
            <w:tcBorders>
              <w:top w:val="single" w:sz="4" w:space="0" w:color="auto"/>
              <w:left w:val="nil"/>
              <w:bottom w:val="double" w:sz="6" w:space="0" w:color="auto"/>
              <w:right w:val="nil"/>
            </w:tcBorders>
            <w:shd w:val="clear" w:color="000000" w:fill="C9E3B4"/>
            <w:noWrap/>
            <w:vAlign w:val="center"/>
            <w:hideMark/>
          </w:tcPr>
          <w:p w14:paraId="148A4A49"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(49)</w:t>
            </w:r>
          </w:p>
        </w:tc>
        <w:tc>
          <w:tcPr>
            <w:tcW w:w="216" w:type="dxa"/>
            <w:tcBorders>
              <w:top w:val="single" w:sz="4" w:space="0" w:color="auto"/>
              <w:left w:val="nil"/>
              <w:bottom w:val="double" w:sz="6" w:space="0" w:color="auto"/>
              <w:right w:val="nil"/>
            </w:tcBorders>
            <w:shd w:val="clear" w:color="auto" w:fill="auto"/>
            <w:noWrap/>
            <w:vAlign w:val="center"/>
            <w:hideMark/>
          </w:tcPr>
          <w:p w14:paraId="1850A013"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w:t>
            </w:r>
          </w:p>
        </w:tc>
        <w:tc>
          <w:tcPr>
            <w:tcW w:w="1157" w:type="dxa"/>
            <w:tcBorders>
              <w:top w:val="single" w:sz="4" w:space="0" w:color="auto"/>
              <w:left w:val="nil"/>
              <w:bottom w:val="double" w:sz="6" w:space="0" w:color="auto"/>
              <w:right w:val="nil"/>
            </w:tcBorders>
            <w:shd w:val="clear" w:color="auto" w:fill="auto"/>
            <w:noWrap/>
            <w:vAlign w:val="center"/>
            <w:hideMark/>
          </w:tcPr>
          <w:p w14:paraId="6819AC4D"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(35)</w:t>
            </w:r>
          </w:p>
        </w:tc>
      </w:tr>
    </w:tbl>
    <w:p w14:paraId="19591825" w14:textId="77777777" w:rsidR="00BC5219" w:rsidRPr="008A2B8F" w:rsidRDefault="00BC5219" w:rsidP="00BC5219">
      <w:pPr>
        <w:spacing w:before="120"/>
        <w:rPr>
          <w:rFonts w:ascii="Meta Pro" w:eastAsia="Times New Roman" w:hAnsi="Meta Pro"/>
          <w:sz w:val="16"/>
          <w:szCs w:val="16"/>
          <w:lang w:eastAsia="en-AU"/>
        </w:rPr>
      </w:pPr>
      <w:r w:rsidRPr="008A2B8F">
        <w:rPr>
          <w:rFonts w:ascii="Meta Pro" w:eastAsia="Times New Roman" w:hAnsi="Meta Pro"/>
          <w:szCs w:val="18"/>
          <w:lang w:eastAsia="en-AU"/>
        </w:rPr>
        <w:t xml:space="preserve">* </w:t>
      </w:r>
      <w:r w:rsidRPr="008A2B8F">
        <w:rPr>
          <w:rFonts w:ascii="Meta Pro" w:eastAsia="Times New Roman" w:hAnsi="Meta Pro"/>
          <w:sz w:val="16"/>
          <w:szCs w:val="16"/>
          <w:lang w:eastAsia="en-AU"/>
        </w:rPr>
        <w:t xml:space="preserve">Revenue relating to service concession arrangements represents the progressive unwinding of unearned revenue which is amortised over the 99  </w:t>
      </w:r>
    </w:p>
    <w:p w14:paraId="0A00114C" w14:textId="77777777" w:rsidR="00BC5219" w:rsidRPr="008A2B8F" w:rsidRDefault="00BC5219" w:rsidP="00BC5219">
      <w:pPr>
        <w:rPr>
          <w:rFonts w:ascii="Meta Pro" w:eastAsia="Times New Roman" w:hAnsi="Meta Pro"/>
          <w:b/>
          <w:bCs/>
          <w:sz w:val="16"/>
          <w:szCs w:val="16"/>
          <w:lang w:eastAsia="en-AU"/>
        </w:rPr>
      </w:pPr>
      <w:r w:rsidRPr="008A2B8F">
        <w:rPr>
          <w:rFonts w:ascii="Meta Pro" w:eastAsia="Times New Roman" w:hAnsi="Meta Pro"/>
          <w:sz w:val="16"/>
          <w:szCs w:val="16"/>
          <w:lang w:eastAsia="en-AU"/>
        </w:rPr>
        <w:t xml:space="preserve">    year concession period with 86 years remaining at 30 June 2023.</w:t>
      </w:r>
    </w:p>
    <w:p w14:paraId="3FA43985" w14:textId="77777777" w:rsidR="00BC5219" w:rsidRPr="008A2B8F" w:rsidRDefault="00BC5219" w:rsidP="00BC5219">
      <w:pPr>
        <w:rPr>
          <w:rFonts w:ascii="Meta Pro" w:eastAsia="Times New Roman" w:hAnsi="Meta Pro"/>
          <w:b/>
          <w:bCs/>
          <w:szCs w:val="18"/>
          <w:lang w:eastAsia="en-AU"/>
        </w:rPr>
      </w:pPr>
    </w:p>
    <w:p w14:paraId="1A3F83E7" w14:textId="77777777" w:rsidR="00BC5219" w:rsidRPr="008A2B8F" w:rsidRDefault="00BC5219" w:rsidP="00BC5219">
      <w:pPr>
        <w:spacing w:after="120"/>
        <w:rPr>
          <w:rFonts w:ascii="Meta Pro" w:eastAsia="Times New Roman" w:hAnsi="Meta Pro"/>
          <w:b/>
          <w:bCs/>
          <w:szCs w:val="18"/>
          <w:lang w:eastAsia="en-AU"/>
        </w:rPr>
      </w:pPr>
      <w:r w:rsidRPr="008A2B8F">
        <w:rPr>
          <w:rFonts w:ascii="Meta Pro" w:eastAsia="Times New Roman" w:hAnsi="Meta Pro"/>
          <w:b/>
          <w:bCs/>
          <w:szCs w:val="18"/>
          <w:lang w:eastAsia="en-AU"/>
        </w:rPr>
        <w:t>Brisbane Airport Rail Link (Airtrain)</w:t>
      </w:r>
    </w:p>
    <w:p w14:paraId="11B3ED91" w14:textId="77777777" w:rsidR="00BC5219" w:rsidRPr="008A2B8F" w:rsidRDefault="00BC5219" w:rsidP="00BC5219">
      <w:pPr>
        <w:spacing w:before="120" w:after="60"/>
        <w:rPr>
          <w:rFonts w:ascii="Meta Pro" w:eastAsia="Times New Roman" w:hAnsi="Meta Pro"/>
          <w:szCs w:val="18"/>
          <w:lang w:eastAsia="en-AU"/>
        </w:rPr>
      </w:pPr>
      <w:r w:rsidRPr="008A2B8F">
        <w:rPr>
          <w:rFonts w:ascii="Meta Pro" w:eastAsia="Times New Roman" w:hAnsi="Meta Pro"/>
          <w:szCs w:val="18"/>
          <w:lang w:eastAsia="en-AU"/>
        </w:rPr>
        <w:t>In 1998, the state entered into a 35 year concession arrangement with Airtrain Citylink Limited to design, construct, maintain and operate the Brisbane Airport Rail Link (BARL), a public passenger rail system connecting the Queensland Rail City network to the Brisbane Domestic and International Airports. The BARL is currently in the maintain and operate phase of the agreement after the commencement of operations on 7 May 2001.</w:t>
      </w:r>
    </w:p>
    <w:p w14:paraId="3EAD9371" w14:textId="77777777" w:rsidR="00BC5219" w:rsidRPr="008A2B8F" w:rsidRDefault="00BC5219" w:rsidP="00BC5219">
      <w:pPr>
        <w:spacing w:after="120"/>
        <w:rPr>
          <w:rFonts w:ascii="Meta Pro" w:eastAsia="Times New Roman" w:hAnsi="Meta Pro"/>
          <w:szCs w:val="18"/>
          <w:lang w:eastAsia="en-AU"/>
        </w:rPr>
      </w:pPr>
      <w:r w:rsidRPr="008A2B8F">
        <w:rPr>
          <w:rFonts w:ascii="Meta Pro" w:eastAsia="Times New Roman" w:hAnsi="Meta Pro"/>
          <w:szCs w:val="18"/>
          <w:lang w:eastAsia="en-AU"/>
        </w:rPr>
        <w:t>In return for collecting passenger fares, Airtrain Citylink Limited must maintain, operate and manage the rail link for the period of the concession and also assume the demand and patronage risk for the concession period.</w:t>
      </w:r>
      <w:r w:rsidRPr="008A2B8F">
        <w:rPr>
          <w:rFonts w:ascii="Meta Pro" w:eastAsia="Times New Roman" w:hAnsi="Meta Pro"/>
          <w:szCs w:val="18"/>
          <w:lang w:eastAsia="en-AU"/>
        </w:rPr>
        <w:tab/>
      </w:r>
    </w:p>
    <w:p w14:paraId="23FE1FA2" w14:textId="77777777" w:rsidR="00BC5219" w:rsidRPr="008A2B8F" w:rsidRDefault="00BC5219" w:rsidP="00BC5219">
      <w:pPr>
        <w:rPr>
          <w:rFonts w:ascii="Meta Pro" w:eastAsia="Times New Roman" w:hAnsi="Meta Pro"/>
          <w:szCs w:val="18"/>
          <w:lang w:eastAsia="en-AU"/>
        </w:rPr>
      </w:pPr>
      <w:r w:rsidRPr="008A2B8F">
        <w:rPr>
          <w:rFonts w:ascii="Meta Pro" w:eastAsia="Times New Roman" w:hAnsi="Meta Pro"/>
          <w:szCs w:val="18"/>
          <w:lang w:eastAsia="en-AU"/>
        </w:rPr>
        <w:t>At the expiry of the concession period, the BARL assets revert to the state at no cost.</w:t>
      </w:r>
    </w:p>
    <w:p w14:paraId="67104B90" w14:textId="77777777" w:rsidR="00BC5219" w:rsidRPr="008A2B8F" w:rsidRDefault="00BC5219" w:rsidP="00BC5219">
      <w:pPr>
        <w:rPr>
          <w:rFonts w:ascii="Meta Pro" w:hAnsi="Meta Pro" w:cstheme="minorBidi"/>
        </w:rPr>
      </w:pPr>
    </w:p>
    <w:tbl>
      <w:tblPr>
        <w:tblW w:w="0" w:type="auto"/>
        <w:tblCellMar>
          <w:left w:w="0" w:type="dxa"/>
        </w:tblCellMar>
        <w:tblLook w:val="04A0" w:firstRow="1" w:lastRow="0" w:firstColumn="1" w:lastColumn="0" w:noHBand="0" w:noVBand="1"/>
      </w:tblPr>
      <w:tblGrid>
        <w:gridCol w:w="6184"/>
        <w:gridCol w:w="1044"/>
        <w:gridCol w:w="1165"/>
        <w:gridCol w:w="224"/>
        <w:gridCol w:w="1165"/>
      </w:tblGrid>
      <w:tr w:rsidR="00BC5219" w:rsidRPr="008A2B8F" w14:paraId="05DD7CD7" w14:textId="77777777" w:rsidTr="00E83802">
        <w:trPr>
          <w:trHeight w:val="270"/>
        </w:trPr>
        <w:tc>
          <w:tcPr>
            <w:tcW w:w="6176" w:type="dxa"/>
            <w:tcBorders>
              <w:top w:val="nil"/>
              <w:left w:val="nil"/>
              <w:bottom w:val="nil"/>
              <w:right w:val="nil"/>
            </w:tcBorders>
            <w:shd w:val="clear" w:color="auto" w:fill="auto"/>
            <w:noWrap/>
            <w:vAlign w:val="center"/>
            <w:hideMark/>
          </w:tcPr>
          <w:p w14:paraId="772FB89D"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Operating statement impact</w:t>
            </w:r>
          </w:p>
        </w:tc>
        <w:tc>
          <w:tcPr>
            <w:tcW w:w="1036" w:type="dxa"/>
            <w:tcBorders>
              <w:top w:val="nil"/>
              <w:left w:val="nil"/>
              <w:bottom w:val="nil"/>
              <w:right w:val="nil"/>
            </w:tcBorders>
            <w:shd w:val="clear" w:color="auto" w:fill="auto"/>
            <w:noWrap/>
            <w:vAlign w:val="center"/>
            <w:hideMark/>
          </w:tcPr>
          <w:p w14:paraId="7CCA4F0D" w14:textId="77777777" w:rsidR="00BC5219" w:rsidRPr="008A2B8F" w:rsidRDefault="00BC5219" w:rsidP="00E83802">
            <w:pPr>
              <w:rPr>
                <w:rFonts w:ascii="Meta Pro" w:eastAsia="Times New Roman" w:hAnsi="Meta Pro"/>
                <w:b/>
                <w:bCs/>
                <w:szCs w:val="18"/>
                <w:lang w:eastAsia="en-AU"/>
              </w:rPr>
            </w:pPr>
          </w:p>
        </w:tc>
        <w:tc>
          <w:tcPr>
            <w:tcW w:w="1157" w:type="dxa"/>
            <w:tcBorders>
              <w:top w:val="nil"/>
              <w:left w:val="nil"/>
              <w:bottom w:val="nil"/>
              <w:right w:val="nil"/>
            </w:tcBorders>
            <w:shd w:val="clear" w:color="auto" w:fill="auto"/>
            <w:noWrap/>
            <w:vAlign w:val="center"/>
            <w:hideMark/>
          </w:tcPr>
          <w:p w14:paraId="784794D7" w14:textId="77777777" w:rsidR="00BC5219" w:rsidRPr="008A2B8F" w:rsidRDefault="00BC5219" w:rsidP="00E83802">
            <w:pPr>
              <w:jc w:val="cente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6D25E454" w14:textId="77777777" w:rsidR="00BC5219" w:rsidRPr="008A2B8F" w:rsidRDefault="00BC5219" w:rsidP="00E83802">
            <w:pPr>
              <w:rPr>
                <w:rFonts w:ascii="Meta Pro" w:eastAsia="Times New Roman" w:hAnsi="Meta Pro" w:cs="Times New Roman"/>
                <w:sz w:val="20"/>
                <w:szCs w:val="20"/>
                <w:lang w:eastAsia="en-AU"/>
              </w:rPr>
            </w:pPr>
          </w:p>
        </w:tc>
        <w:tc>
          <w:tcPr>
            <w:tcW w:w="1157" w:type="dxa"/>
            <w:tcBorders>
              <w:top w:val="nil"/>
              <w:left w:val="nil"/>
              <w:bottom w:val="nil"/>
              <w:right w:val="nil"/>
            </w:tcBorders>
            <w:shd w:val="clear" w:color="auto" w:fill="auto"/>
            <w:noWrap/>
            <w:vAlign w:val="center"/>
            <w:hideMark/>
          </w:tcPr>
          <w:p w14:paraId="61B55DD4"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3A4D47E2" w14:textId="77777777" w:rsidTr="00E83802">
        <w:trPr>
          <w:trHeight w:val="23"/>
        </w:trPr>
        <w:tc>
          <w:tcPr>
            <w:tcW w:w="6176" w:type="dxa"/>
            <w:tcBorders>
              <w:top w:val="nil"/>
              <w:left w:val="nil"/>
              <w:bottom w:val="nil"/>
              <w:right w:val="nil"/>
            </w:tcBorders>
            <w:shd w:val="clear" w:color="auto" w:fill="auto"/>
            <w:noWrap/>
            <w:vAlign w:val="center"/>
            <w:hideMark/>
          </w:tcPr>
          <w:p w14:paraId="1D0AEA06"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Revenue</w:t>
            </w:r>
          </w:p>
        </w:tc>
        <w:tc>
          <w:tcPr>
            <w:tcW w:w="1036" w:type="dxa"/>
            <w:tcBorders>
              <w:top w:val="nil"/>
              <w:left w:val="nil"/>
              <w:bottom w:val="nil"/>
              <w:right w:val="nil"/>
            </w:tcBorders>
            <w:shd w:val="clear" w:color="auto" w:fill="auto"/>
            <w:noWrap/>
            <w:vAlign w:val="center"/>
            <w:hideMark/>
          </w:tcPr>
          <w:p w14:paraId="46C09835" w14:textId="77777777" w:rsidR="00BC5219" w:rsidRPr="008A2B8F" w:rsidRDefault="00BC5219" w:rsidP="00E83802">
            <w:pPr>
              <w:rPr>
                <w:rFonts w:ascii="Meta Pro" w:eastAsia="Times New Roman" w:hAnsi="Meta Pro"/>
                <w:b/>
                <w:bCs/>
                <w:szCs w:val="18"/>
                <w:lang w:eastAsia="en-AU"/>
              </w:rPr>
            </w:pPr>
          </w:p>
        </w:tc>
        <w:tc>
          <w:tcPr>
            <w:tcW w:w="1157" w:type="dxa"/>
            <w:tcBorders>
              <w:top w:val="nil"/>
              <w:left w:val="nil"/>
              <w:bottom w:val="nil"/>
              <w:right w:val="nil"/>
            </w:tcBorders>
            <w:shd w:val="clear" w:color="auto" w:fill="auto"/>
            <w:noWrap/>
            <w:vAlign w:val="center"/>
            <w:hideMark/>
          </w:tcPr>
          <w:p w14:paraId="659C13A6" w14:textId="77777777" w:rsidR="00BC5219" w:rsidRPr="008A2B8F" w:rsidRDefault="00BC5219" w:rsidP="00E83802">
            <w:pPr>
              <w:jc w:val="cente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2FAAC4D0" w14:textId="77777777" w:rsidR="00BC5219" w:rsidRPr="008A2B8F" w:rsidRDefault="00BC5219" w:rsidP="00E83802">
            <w:pPr>
              <w:rPr>
                <w:rFonts w:ascii="Meta Pro" w:eastAsia="Times New Roman" w:hAnsi="Meta Pro" w:cs="Times New Roman"/>
                <w:sz w:val="20"/>
                <w:szCs w:val="20"/>
                <w:lang w:eastAsia="en-AU"/>
              </w:rPr>
            </w:pPr>
          </w:p>
        </w:tc>
        <w:tc>
          <w:tcPr>
            <w:tcW w:w="1157" w:type="dxa"/>
            <w:tcBorders>
              <w:top w:val="nil"/>
              <w:left w:val="nil"/>
              <w:bottom w:val="nil"/>
              <w:right w:val="nil"/>
            </w:tcBorders>
            <w:shd w:val="clear" w:color="auto" w:fill="auto"/>
            <w:noWrap/>
            <w:vAlign w:val="center"/>
            <w:hideMark/>
          </w:tcPr>
          <w:p w14:paraId="454D1C8E"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2DE99C76" w14:textId="77777777" w:rsidTr="00E83802">
        <w:trPr>
          <w:trHeight w:val="23"/>
        </w:trPr>
        <w:tc>
          <w:tcPr>
            <w:tcW w:w="6176" w:type="dxa"/>
            <w:tcBorders>
              <w:top w:val="nil"/>
              <w:left w:val="nil"/>
              <w:bottom w:val="nil"/>
              <w:right w:val="nil"/>
            </w:tcBorders>
            <w:shd w:val="clear" w:color="auto" w:fill="auto"/>
            <w:noWrap/>
            <w:vAlign w:val="center"/>
            <w:hideMark/>
          </w:tcPr>
          <w:p w14:paraId="41CB69D7"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xml:space="preserve">Amortisation of unearned revenue * </w:t>
            </w:r>
          </w:p>
        </w:tc>
        <w:tc>
          <w:tcPr>
            <w:tcW w:w="1036" w:type="dxa"/>
            <w:tcBorders>
              <w:top w:val="nil"/>
              <w:left w:val="nil"/>
              <w:bottom w:val="nil"/>
              <w:right w:val="nil"/>
            </w:tcBorders>
            <w:shd w:val="clear" w:color="auto" w:fill="auto"/>
            <w:noWrap/>
            <w:vAlign w:val="center"/>
            <w:hideMark/>
          </w:tcPr>
          <w:p w14:paraId="33A8348C" w14:textId="77777777" w:rsidR="00BC5219" w:rsidRPr="008A2B8F" w:rsidRDefault="00BC5219" w:rsidP="00E83802">
            <w:pPr>
              <w:rPr>
                <w:rFonts w:ascii="Meta Pro" w:eastAsia="Times New Roman" w:hAnsi="Meta Pro"/>
                <w:szCs w:val="18"/>
                <w:lang w:eastAsia="en-AU"/>
              </w:rPr>
            </w:pPr>
          </w:p>
        </w:tc>
        <w:tc>
          <w:tcPr>
            <w:tcW w:w="1157" w:type="dxa"/>
            <w:tcBorders>
              <w:top w:val="nil"/>
              <w:left w:val="nil"/>
              <w:bottom w:val="nil"/>
              <w:right w:val="nil"/>
            </w:tcBorders>
            <w:shd w:val="clear" w:color="000000" w:fill="C9E3B4"/>
            <w:noWrap/>
            <w:vAlign w:val="center"/>
            <w:hideMark/>
          </w:tcPr>
          <w:p w14:paraId="56F4B7B9"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9,160 </w:t>
            </w:r>
          </w:p>
        </w:tc>
        <w:tc>
          <w:tcPr>
            <w:tcW w:w="216" w:type="dxa"/>
            <w:tcBorders>
              <w:top w:val="nil"/>
              <w:left w:val="nil"/>
              <w:bottom w:val="nil"/>
              <w:right w:val="nil"/>
            </w:tcBorders>
            <w:shd w:val="clear" w:color="auto" w:fill="auto"/>
            <w:noWrap/>
            <w:vAlign w:val="center"/>
            <w:hideMark/>
          </w:tcPr>
          <w:p w14:paraId="05391E62" w14:textId="77777777" w:rsidR="00BC5219" w:rsidRPr="008A2B8F"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7B4F57D6"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9,160 </w:t>
            </w:r>
          </w:p>
        </w:tc>
      </w:tr>
      <w:tr w:rsidR="00BC5219" w:rsidRPr="008A2B8F" w14:paraId="3F0D4D36" w14:textId="77777777" w:rsidTr="00E83802">
        <w:trPr>
          <w:trHeight w:val="23"/>
        </w:trPr>
        <w:tc>
          <w:tcPr>
            <w:tcW w:w="6176" w:type="dxa"/>
            <w:tcBorders>
              <w:top w:val="nil"/>
              <w:left w:val="nil"/>
              <w:bottom w:val="nil"/>
              <w:right w:val="nil"/>
            </w:tcBorders>
            <w:shd w:val="clear" w:color="auto" w:fill="auto"/>
            <w:noWrap/>
            <w:vAlign w:val="center"/>
            <w:hideMark/>
          </w:tcPr>
          <w:p w14:paraId="76242E1C" w14:textId="77777777" w:rsidR="00BC5219" w:rsidRPr="008A2B8F" w:rsidRDefault="00BC5219" w:rsidP="00E83802">
            <w:pPr>
              <w:jc w:val="right"/>
              <w:rPr>
                <w:rFonts w:ascii="Meta Pro" w:eastAsia="Times New Roman" w:hAnsi="Meta Pro"/>
                <w:szCs w:val="18"/>
                <w:lang w:eastAsia="en-AU"/>
              </w:rPr>
            </w:pPr>
          </w:p>
        </w:tc>
        <w:tc>
          <w:tcPr>
            <w:tcW w:w="1036" w:type="dxa"/>
            <w:tcBorders>
              <w:top w:val="nil"/>
              <w:left w:val="nil"/>
              <w:bottom w:val="nil"/>
              <w:right w:val="nil"/>
            </w:tcBorders>
            <w:shd w:val="clear" w:color="auto" w:fill="auto"/>
            <w:noWrap/>
            <w:vAlign w:val="center"/>
            <w:hideMark/>
          </w:tcPr>
          <w:p w14:paraId="6509E0CE" w14:textId="77777777" w:rsidR="00BC5219" w:rsidRPr="008A2B8F" w:rsidRDefault="00BC5219" w:rsidP="00E83802">
            <w:pPr>
              <w:rPr>
                <w:rFonts w:ascii="Meta Pro" w:eastAsia="Times New Roman" w:hAnsi="Meta Pro" w:cs="Times New Roman"/>
                <w:sz w:val="20"/>
                <w:szCs w:val="20"/>
                <w:lang w:eastAsia="en-AU"/>
              </w:rPr>
            </w:pPr>
          </w:p>
        </w:tc>
        <w:tc>
          <w:tcPr>
            <w:tcW w:w="1157" w:type="dxa"/>
            <w:tcBorders>
              <w:top w:val="nil"/>
              <w:left w:val="nil"/>
              <w:bottom w:val="nil"/>
              <w:right w:val="nil"/>
            </w:tcBorders>
            <w:shd w:val="clear" w:color="000000" w:fill="C9E3B4"/>
            <w:noWrap/>
            <w:vAlign w:val="center"/>
            <w:hideMark/>
          </w:tcPr>
          <w:p w14:paraId="470229C2"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w:t>
            </w:r>
          </w:p>
        </w:tc>
        <w:tc>
          <w:tcPr>
            <w:tcW w:w="216" w:type="dxa"/>
            <w:tcBorders>
              <w:top w:val="nil"/>
              <w:left w:val="nil"/>
              <w:bottom w:val="nil"/>
              <w:right w:val="nil"/>
            </w:tcBorders>
            <w:shd w:val="clear" w:color="auto" w:fill="auto"/>
            <w:noWrap/>
            <w:vAlign w:val="center"/>
            <w:hideMark/>
          </w:tcPr>
          <w:p w14:paraId="3908D909" w14:textId="77777777" w:rsidR="00BC5219" w:rsidRPr="008A2B8F"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237AF4C7"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2554D5F3" w14:textId="77777777" w:rsidTr="00E83802">
        <w:trPr>
          <w:trHeight w:val="23"/>
        </w:trPr>
        <w:tc>
          <w:tcPr>
            <w:tcW w:w="6176" w:type="dxa"/>
            <w:tcBorders>
              <w:top w:val="nil"/>
              <w:left w:val="nil"/>
              <w:bottom w:val="nil"/>
              <w:right w:val="nil"/>
            </w:tcBorders>
            <w:shd w:val="clear" w:color="auto" w:fill="auto"/>
            <w:noWrap/>
            <w:vAlign w:val="center"/>
            <w:hideMark/>
          </w:tcPr>
          <w:p w14:paraId="7C57DF10"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Expenses</w:t>
            </w:r>
          </w:p>
        </w:tc>
        <w:tc>
          <w:tcPr>
            <w:tcW w:w="1036" w:type="dxa"/>
            <w:tcBorders>
              <w:top w:val="nil"/>
              <w:left w:val="nil"/>
              <w:bottom w:val="nil"/>
              <w:right w:val="nil"/>
            </w:tcBorders>
            <w:shd w:val="clear" w:color="auto" w:fill="auto"/>
            <w:noWrap/>
            <w:vAlign w:val="center"/>
            <w:hideMark/>
          </w:tcPr>
          <w:p w14:paraId="52156FD5" w14:textId="77777777" w:rsidR="00BC5219" w:rsidRPr="008A2B8F" w:rsidRDefault="00BC5219" w:rsidP="00E83802">
            <w:pPr>
              <w:rPr>
                <w:rFonts w:ascii="Meta Pro" w:eastAsia="Times New Roman" w:hAnsi="Meta Pro"/>
                <w:b/>
                <w:bCs/>
                <w:szCs w:val="18"/>
                <w:lang w:eastAsia="en-AU"/>
              </w:rPr>
            </w:pPr>
          </w:p>
        </w:tc>
        <w:tc>
          <w:tcPr>
            <w:tcW w:w="1157" w:type="dxa"/>
            <w:tcBorders>
              <w:top w:val="nil"/>
              <w:left w:val="nil"/>
              <w:bottom w:val="nil"/>
              <w:right w:val="nil"/>
            </w:tcBorders>
            <w:shd w:val="clear" w:color="000000" w:fill="C9E3B4"/>
            <w:noWrap/>
            <w:vAlign w:val="center"/>
            <w:hideMark/>
          </w:tcPr>
          <w:p w14:paraId="1B702482"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216" w:type="dxa"/>
            <w:tcBorders>
              <w:top w:val="nil"/>
              <w:left w:val="nil"/>
              <w:bottom w:val="nil"/>
              <w:right w:val="nil"/>
            </w:tcBorders>
            <w:shd w:val="clear" w:color="auto" w:fill="auto"/>
            <w:noWrap/>
            <w:vAlign w:val="center"/>
            <w:hideMark/>
          </w:tcPr>
          <w:p w14:paraId="383558CF" w14:textId="77777777" w:rsidR="00BC5219" w:rsidRPr="008A2B8F" w:rsidRDefault="00BC5219" w:rsidP="00E83802">
            <w:pPr>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719CBEE9"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477265FD" w14:textId="77777777" w:rsidTr="00E83802">
        <w:trPr>
          <w:trHeight w:val="23"/>
        </w:trPr>
        <w:tc>
          <w:tcPr>
            <w:tcW w:w="6176" w:type="dxa"/>
            <w:tcBorders>
              <w:top w:val="nil"/>
              <w:left w:val="nil"/>
              <w:bottom w:val="nil"/>
              <w:right w:val="nil"/>
            </w:tcBorders>
            <w:shd w:val="clear" w:color="auto" w:fill="auto"/>
            <w:noWrap/>
            <w:vAlign w:val="center"/>
            <w:hideMark/>
          </w:tcPr>
          <w:p w14:paraId="42A094EF"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Depreciation</w:t>
            </w:r>
          </w:p>
        </w:tc>
        <w:tc>
          <w:tcPr>
            <w:tcW w:w="1036" w:type="dxa"/>
            <w:tcBorders>
              <w:top w:val="nil"/>
              <w:left w:val="nil"/>
              <w:bottom w:val="single" w:sz="4" w:space="0" w:color="auto"/>
              <w:right w:val="nil"/>
            </w:tcBorders>
            <w:shd w:val="clear" w:color="auto" w:fill="auto"/>
            <w:noWrap/>
            <w:vAlign w:val="center"/>
            <w:hideMark/>
          </w:tcPr>
          <w:p w14:paraId="257E5D82" w14:textId="77777777" w:rsidR="00BC5219" w:rsidRPr="008A2B8F" w:rsidRDefault="00BC5219" w:rsidP="00E83802">
            <w:pPr>
              <w:jc w:val="center"/>
              <w:rPr>
                <w:rFonts w:ascii="Meta Pro" w:eastAsia="Times New Roman" w:hAnsi="Meta Pro"/>
                <w:szCs w:val="18"/>
                <w:lang w:eastAsia="en-AU"/>
              </w:rPr>
            </w:pPr>
            <w:r w:rsidRPr="008A2B8F">
              <w:rPr>
                <w:rFonts w:ascii="Meta Pro" w:eastAsia="Times New Roman" w:hAnsi="Meta Pro"/>
                <w:szCs w:val="18"/>
                <w:lang w:eastAsia="en-AU"/>
              </w:rPr>
              <w:t>10</w:t>
            </w:r>
          </w:p>
        </w:tc>
        <w:tc>
          <w:tcPr>
            <w:tcW w:w="1157" w:type="dxa"/>
            <w:tcBorders>
              <w:top w:val="nil"/>
              <w:left w:val="nil"/>
              <w:bottom w:val="nil"/>
              <w:right w:val="nil"/>
            </w:tcBorders>
            <w:shd w:val="clear" w:color="000000" w:fill="C9E3B4"/>
            <w:noWrap/>
            <w:vAlign w:val="center"/>
            <w:hideMark/>
          </w:tcPr>
          <w:p w14:paraId="7BD5FF0B"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6,229 </w:t>
            </w:r>
          </w:p>
        </w:tc>
        <w:tc>
          <w:tcPr>
            <w:tcW w:w="216" w:type="dxa"/>
            <w:tcBorders>
              <w:top w:val="nil"/>
              <w:left w:val="nil"/>
              <w:bottom w:val="nil"/>
              <w:right w:val="nil"/>
            </w:tcBorders>
            <w:shd w:val="clear" w:color="auto" w:fill="auto"/>
            <w:noWrap/>
            <w:vAlign w:val="center"/>
            <w:hideMark/>
          </w:tcPr>
          <w:p w14:paraId="5BA63963" w14:textId="77777777" w:rsidR="00BC5219" w:rsidRPr="008A2B8F"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12F4767D"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5,881 </w:t>
            </w:r>
          </w:p>
        </w:tc>
      </w:tr>
      <w:tr w:rsidR="00BC5219" w:rsidRPr="008A2B8F" w14:paraId="58D1D832" w14:textId="77777777" w:rsidTr="00E83802">
        <w:trPr>
          <w:trHeight w:val="23"/>
        </w:trPr>
        <w:tc>
          <w:tcPr>
            <w:tcW w:w="6176" w:type="dxa"/>
            <w:tcBorders>
              <w:top w:val="single" w:sz="4" w:space="0" w:color="auto"/>
              <w:left w:val="nil"/>
              <w:bottom w:val="double" w:sz="6" w:space="0" w:color="auto"/>
              <w:right w:val="nil"/>
            </w:tcBorders>
            <w:shd w:val="clear" w:color="auto" w:fill="auto"/>
            <w:noWrap/>
            <w:vAlign w:val="center"/>
            <w:hideMark/>
          </w:tcPr>
          <w:p w14:paraId="0ABF66D1"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Net impact on operating result</w:t>
            </w:r>
          </w:p>
        </w:tc>
        <w:tc>
          <w:tcPr>
            <w:tcW w:w="1036" w:type="dxa"/>
            <w:tcBorders>
              <w:top w:val="nil"/>
              <w:left w:val="nil"/>
              <w:bottom w:val="double" w:sz="6" w:space="0" w:color="auto"/>
              <w:right w:val="nil"/>
            </w:tcBorders>
            <w:shd w:val="clear" w:color="auto" w:fill="auto"/>
            <w:noWrap/>
            <w:vAlign w:val="center"/>
            <w:hideMark/>
          </w:tcPr>
          <w:p w14:paraId="6BD81379" w14:textId="77777777" w:rsidR="00BC5219" w:rsidRPr="008A2B8F" w:rsidRDefault="00BC5219" w:rsidP="00E83802">
            <w:pPr>
              <w:jc w:val="center"/>
              <w:rPr>
                <w:rFonts w:ascii="Meta Pro" w:eastAsia="Times New Roman" w:hAnsi="Meta Pro"/>
                <w:szCs w:val="18"/>
                <w:lang w:eastAsia="en-AU"/>
              </w:rPr>
            </w:pPr>
            <w:r w:rsidRPr="008A2B8F">
              <w:rPr>
                <w:rFonts w:ascii="Meta Pro" w:eastAsia="Times New Roman" w:hAnsi="Meta Pro"/>
                <w:szCs w:val="18"/>
                <w:lang w:eastAsia="en-AU"/>
              </w:rPr>
              <w:t> </w:t>
            </w:r>
          </w:p>
        </w:tc>
        <w:tc>
          <w:tcPr>
            <w:tcW w:w="1157" w:type="dxa"/>
            <w:tcBorders>
              <w:top w:val="single" w:sz="4" w:space="0" w:color="auto"/>
              <w:left w:val="nil"/>
              <w:bottom w:val="double" w:sz="6" w:space="0" w:color="auto"/>
              <w:right w:val="nil"/>
            </w:tcBorders>
            <w:shd w:val="clear" w:color="000000" w:fill="C9E3B4"/>
            <w:noWrap/>
            <w:vAlign w:val="center"/>
            <w:hideMark/>
          </w:tcPr>
          <w:p w14:paraId="5B7007F6"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2,931 </w:t>
            </w:r>
          </w:p>
        </w:tc>
        <w:tc>
          <w:tcPr>
            <w:tcW w:w="216" w:type="dxa"/>
            <w:tcBorders>
              <w:top w:val="single" w:sz="4" w:space="0" w:color="auto"/>
              <w:left w:val="nil"/>
              <w:bottom w:val="double" w:sz="6" w:space="0" w:color="auto"/>
              <w:right w:val="nil"/>
            </w:tcBorders>
            <w:shd w:val="clear" w:color="auto" w:fill="auto"/>
            <w:noWrap/>
            <w:vAlign w:val="center"/>
            <w:hideMark/>
          </w:tcPr>
          <w:p w14:paraId="73EE3DB5"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w:t>
            </w:r>
          </w:p>
        </w:tc>
        <w:tc>
          <w:tcPr>
            <w:tcW w:w="1157" w:type="dxa"/>
            <w:tcBorders>
              <w:top w:val="single" w:sz="4" w:space="0" w:color="auto"/>
              <w:left w:val="nil"/>
              <w:bottom w:val="double" w:sz="6" w:space="0" w:color="auto"/>
              <w:right w:val="nil"/>
            </w:tcBorders>
            <w:shd w:val="clear" w:color="auto" w:fill="auto"/>
            <w:noWrap/>
            <w:vAlign w:val="center"/>
            <w:hideMark/>
          </w:tcPr>
          <w:p w14:paraId="15C244B0"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3,279 </w:t>
            </w:r>
          </w:p>
        </w:tc>
      </w:tr>
    </w:tbl>
    <w:p w14:paraId="055FE237" w14:textId="77777777" w:rsidR="00BC5219" w:rsidRPr="008A2B8F" w:rsidRDefault="00BC5219" w:rsidP="00BC5219">
      <w:pPr>
        <w:spacing w:before="120"/>
        <w:rPr>
          <w:rFonts w:ascii="Meta Pro" w:eastAsia="Times New Roman" w:hAnsi="Meta Pro"/>
          <w:sz w:val="16"/>
          <w:szCs w:val="16"/>
          <w:lang w:eastAsia="en-AU"/>
        </w:rPr>
      </w:pPr>
      <w:r w:rsidRPr="008A2B8F">
        <w:rPr>
          <w:rFonts w:ascii="Meta Pro" w:hAnsi="Meta Pro"/>
        </w:rPr>
        <w:lastRenderedPageBreak/>
        <w:t xml:space="preserve"> </w:t>
      </w:r>
      <w:r w:rsidRPr="008A2B8F">
        <w:rPr>
          <w:rFonts w:ascii="Meta Pro" w:eastAsia="Times New Roman" w:hAnsi="Meta Pro"/>
          <w:szCs w:val="18"/>
          <w:lang w:eastAsia="en-AU"/>
        </w:rPr>
        <w:t xml:space="preserve">* </w:t>
      </w:r>
      <w:r w:rsidRPr="008A2B8F">
        <w:rPr>
          <w:rFonts w:ascii="Meta Pro" w:eastAsia="Times New Roman" w:hAnsi="Meta Pro"/>
          <w:sz w:val="16"/>
          <w:szCs w:val="16"/>
          <w:lang w:eastAsia="en-AU"/>
        </w:rPr>
        <w:t xml:space="preserve">Revenue relating to service concession arrangements represents the progressive unwinding of unearned revenue which is amortised over the 35 </w:t>
      </w:r>
    </w:p>
    <w:p w14:paraId="4A76089C" w14:textId="77777777" w:rsidR="00BC5219" w:rsidRPr="008A2B8F" w:rsidRDefault="00BC5219" w:rsidP="00BC5219">
      <w:pPr>
        <w:rPr>
          <w:rFonts w:ascii="Meta Pro" w:eastAsia="Times New Roman" w:hAnsi="Meta Pro"/>
          <w:sz w:val="16"/>
          <w:szCs w:val="16"/>
          <w:lang w:eastAsia="en-AU"/>
        </w:rPr>
      </w:pPr>
      <w:r w:rsidRPr="008A2B8F">
        <w:rPr>
          <w:rFonts w:ascii="Meta Pro" w:eastAsia="Times New Roman" w:hAnsi="Meta Pro"/>
          <w:sz w:val="16"/>
          <w:szCs w:val="16"/>
          <w:lang w:eastAsia="en-AU"/>
        </w:rPr>
        <w:t xml:space="preserve">     year concession period with 13 years remaining at 30 June 2023.</w:t>
      </w:r>
    </w:p>
    <w:p w14:paraId="2D351E17" w14:textId="77777777" w:rsidR="00BC5219" w:rsidRPr="008A2B8F" w:rsidRDefault="00BC5219" w:rsidP="00BC5219">
      <w:pPr>
        <w:spacing w:after="120"/>
        <w:rPr>
          <w:rStyle w:val="ui-provider"/>
          <w:b/>
          <w:bCs/>
          <w:sz w:val="20"/>
          <w:szCs w:val="20"/>
        </w:rPr>
      </w:pPr>
      <w:r w:rsidRPr="008A2B8F">
        <w:rPr>
          <w:rStyle w:val="ui-provider"/>
          <w:sz w:val="20"/>
          <w:szCs w:val="20"/>
        </w:rPr>
        <w:t>PUBLIC PRIVATE PARTNERSHIPS OUTSIDE OF THE SCOPE OF AASB 1059</w:t>
      </w:r>
    </w:p>
    <w:p w14:paraId="69D034E4" w14:textId="77777777" w:rsidR="00BC5219" w:rsidRPr="008A2B8F" w:rsidRDefault="00BC5219" w:rsidP="00BC5219">
      <w:pPr>
        <w:spacing w:before="120" w:after="120"/>
        <w:rPr>
          <w:rFonts w:ascii="Meta Pro" w:eastAsia="Times New Roman" w:hAnsi="Meta Pro"/>
          <w:b/>
          <w:bCs/>
          <w:szCs w:val="18"/>
          <w:lang w:eastAsia="en-AU"/>
        </w:rPr>
      </w:pPr>
      <w:r w:rsidRPr="008A2B8F">
        <w:rPr>
          <w:rFonts w:ascii="Meta Pro" w:eastAsia="Times New Roman" w:hAnsi="Meta Pro"/>
          <w:b/>
          <w:bCs/>
          <w:szCs w:val="18"/>
          <w:lang w:eastAsia="en-AU"/>
        </w:rPr>
        <w:t>New Generation Rollingstock (NGR)</w:t>
      </w:r>
    </w:p>
    <w:p w14:paraId="7389F52D" w14:textId="77777777" w:rsidR="00BC5219" w:rsidRPr="008A2B8F" w:rsidRDefault="00BC5219" w:rsidP="00BC5219">
      <w:pPr>
        <w:spacing w:after="120"/>
        <w:rPr>
          <w:rFonts w:ascii="Meta Pro" w:eastAsia="Times New Roman" w:hAnsi="Meta Pro"/>
          <w:szCs w:val="18"/>
          <w:lang w:eastAsia="en-AU"/>
        </w:rPr>
      </w:pPr>
      <w:r w:rsidRPr="008A2B8F">
        <w:rPr>
          <w:rFonts w:ascii="Meta Pro" w:eastAsia="Times New Roman" w:hAnsi="Meta Pro"/>
          <w:szCs w:val="18"/>
          <w:lang w:eastAsia="en-AU"/>
        </w:rPr>
        <w:t>In January 2014 the department entered into a contractual arrangement with NGR Project Company Pty Ltd (Bombardier NGR Consortium) for the design, construction and maintenance of 75 new six-car train sets for south-east Queensland and a new purpose-built maintenance centre at Wulkuraka in Ipswich, over 32 years at an implicit rate of 12.25%. The arrangement involves the department paying the consortium a series of availability payments over the concession period. The project was refinanced from July 2021 to a floating interest rate. The interest rates for 2022–23 ranged from 7.83% to 9.87%. Alstom acquired Bombardier Transportation in January 2021.</w:t>
      </w:r>
    </w:p>
    <w:p w14:paraId="0E8FC433" w14:textId="77777777" w:rsidR="00BC5219" w:rsidRPr="008A2B8F" w:rsidRDefault="00BC5219" w:rsidP="00BC5219">
      <w:pPr>
        <w:spacing w:after="120"/>
        <w:rPr>
          <w:rFonts w:ascii="Meta Pro" w:eastAsia="Times New Roman" w:hAnsi="Meta Pro"/>
          <w:szCs w:val="18"/>
          <w:lang w:eastAsia="en-AU"/>
        </w:rPr>
      </w:pPr>
      <w:r w:rsidRPr="008A2B8F">
        <w:rPr>
          <w:rFonts w:ascii="Meta Pro" w:eastAsia="Times New Roman" w:hAnsi="Meta Pro"/>
          <w:szCs w:val="18"/>
          <w:lang w:eastAsia="en-AU"/>
        </w:rPr>
        <w:t>In June 2016 the maintenance centre was accepted by the department and a lease asset and lease liability was recognised. All 75 train sets were accepted and recognised by December 2019.</w:t>
      </w:r>
    </w:p>
    <w:p w14:paraId="3C668DF4" w14:textId="77777777" w:rsidR="00BC5219" w:rsidRPr="008A2B8F" w:rsidRDefault="00BC5219" w:rsidP="00BC5219">
      <w:pPr>
        <w:spacing w:after="120"/>
        <w:rPr>
          <w:rFonts w:ascii="Meta Pro" w:eastAsia="Times New Roman" w:hAnsi="Meta Pro"/>
          <w:szCs w:val="18"/>
          <w:lang w:eastAsia="en-AU"/>
        </w:rPr>
      </w:pPr>
      <w:r w:rsidRPr="008A2B8F">
        <w:rPr>
          <w:rFonts w:ascii="Meta Pro" w:eastAsia="Times New Roman" w:hAnsi="Meta Pro"/>
          <w:szCs w:val="18"/>
          <w:lang w:eastAsia="en-AU"/>
        </w:rPr>
        <w:t xml:space="preserve">Upon the application of AASB 1059 </w:t>
      </w:r>
      <w:r w:rsidRPr="008A2B8F">
        <w:rPr>
          <w:rFonts w:ascii="Meta Pro" w:eastAsia="Times New Roman" w:hAnsi="Meta Pro"/>
          <w:i/>
          <w:iCs/>
          <w:szCs w:val="18"/>
          <w:lang w:eastAsia="en-AU"/>
        </w:rPr>
        <w:t>Service Concession Arrangements: Grantors</w:t>
      </w:r>
      <w:r w:rsidRPr="008A2B8F">
        <w:rPr>
          <w:rFonts w:ascii="Meta Pro" w:eastAsia="Times New Roman" w:hAnsi="Meta Pro"/>
          <w:szCs w:val="18"/>
          <w:lang w:eastAsia="en-AU"/>
        </w:rPr>
        <w:t>, the NGR public private partnership was assessed and determined to be out of scope of the accounting standard, as the provider of the assets does not operate or manage the passenger train services provided by the train sets. Accordingly, the department accounts for the arrangement as an outsourced service contract with the payment stream representing availability payments and borrowing repayments.</w:t>
      </w:r>
    </w:p>
    <w:p w14:paraId="456090AC"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r w:rsidRPr="008A2B8F">
        <w:rPr>
          <w:rFonts w:ascii="Meta Pro" w:eastAsia="Times New Roman" w:hAnsi="Meta Pro"/>
          <w:i/>
          <w:iCs/>
          <w:color w:val="000000" w:themeColor="text1"/>
          <w:lang w:eastAsia="en-AU"/>
        </w:rPr>
        <w:t>Department of Transport and Main Roads</w:t>
      </w:r>
    </w:p>
    <w:p w14:paraId="249AF7D1"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Notes to the financial statements 2022–23 (continued)</w:t>
      </w:r>
    </w:p>
    <w:p w14:paraId="6821E4E4" w14:textId="77777777" w:rsidR="00BC5219" w:rsidRPr="008A2B8F" w:rsidRDefault="00BC5219" w:rsidP="00BC5219">
      <w:pPr>
        <w:spacing w:after="120" w:line="259" w:lineRule="auto"/>
        <w:rPr>
          <w:rFonts w:ascii="Meta Pro" w:hAnsi="Meta Pro"/>
          <w:b/>
          <w:bCs/>
          <w:lang w:eastAsia="en-AU"/>
        </w:rPr>
      </w:pPr>
      <w:r w:rsidRPr="008A2B8F">
        <w:rPr>
          <w:rFonts w:ascii="Meta Pro" w:hAnsi="Meta Pro"/>
          <w:b/>
          <w:bCs/>
          <w:lang w:eastAsia="en-AU"/>
        </w:rPr>
        <w:t>16      PUBLIC PRIVATE PARTNERSHIPS (continued)</w:t>
      </w:r>
    </w:p>
    <w:p w14:paraId="7756E21B" w14:textId="77777777" w:rsidR="00BC5219" w:rsidRPr="008A2B8F" w:rsidRDefault="00BC5219" w:rsidP="00BC5219">
      <w:pPr>
        <w:spacing w:after="120" w:line="259" w:lineRule="auto"/>
        <w:rPr>
          <w:rFonts w:ascii="Meta Pro" w:hAnsi="Meta Pro"/>
          <w:b/>
          <w:bCs/>
          <w:szCs w:val="18"/>
          <w:lang w:eastAsia="en-AU"/>
        </w:rPr>
      </w:pPr>
      <w:r w:rsidRPr="008A2B8F">
        <w:rPr>
          <w:rFonts w:ascii="Meta Pro" w:hAnsi="Meta Pro"/>
          <w:b/>
          <w:bCs/>
          <w:szCs w:val="18"/>
          <w:lang w:eastAsia="en-AU"/>
        </w:rPr>
        <w:t>PUBLIC PRIVATE PARTNERSHIPS OUTSIDE OF THE SCOPE OF AASB 1059 (continued)</w:t>
      </w:r>
    </w:p>
    <w:p w14:paraId="5B2D197F" w14:textId="77777777" w:rsidR="00BC5219" w:rsidRPr="008A2B8F" w:rsidRDefault="00BC5219" w:rsidP="00BC5219">
      <w:pPr>
        <w:spacing w:before="120" w:after="120"/>
        <w:rPr>
          <w:rFonts w:ascii="Meta Pro" w:eastAsia="Times New Roman" w:hAnsi="Meta Pro"/>
          <w:b/>
          <w:bCs/>
          <w:szCs w:val="18"/>
          <w:lang w:eastAsia="en-AU"/>
        </w:rPr>
      </w:pPr>
      <w:r w:rsidRPr="008A2B8F">
        <w:rPr>
          <w:rFonts w:ascii="Meta Pro" w:eastAsia="Times New Roman" w:hAnsi="Meta Pro"/>
          <w:b/>
          <w:bCs/>
          <w:szCs w:val="18"/>
          <w:lang w:eastAsia="en-AU"/>
        </w:rPr>
        <w:t>New Generation Rollingstock (NGR) (continued)</w:t>
      </w:r>
    </w:p>
    <w:p w14:paraId="6C38085B" w14:textId="77777777" w:rsidR="00BC5219" w:rsidRPr="008A2B8F" w:rsidRDefault="00BC5219" w:rsidP="00BC5219">
      <w:pPr>
        <w:rPr>
          <w:rFonts w:ascii="Meta Pro" w:eastAsia="Times New Roman" w:hAnsi="Meta Pro"/>
          <w:szCs w:val="18"/>
          <w:lang w:eastAsia="en-AU"/>
        </w:rPr>
      </w:pPr>
      <w:r w:rsidRPr="008A2B8F">
        <w:rPr>
          <w:rFonts w:ascii="Meta Pro" w:eastAsia="Times New Roman" w:hAnsi="Meta Pro"/>
          <w:szCs w:val="18"/>
          <w:lang w:eastAsia="en-AU"/>
        </w:rPr>
        <w:t>The train sets are recognised as major plant and equipment assets, while the maintenance centre, associated rail infrastructure and technical equipment are classified as buildings, infrastructure, plant and equipment and work in progress respectively in Note 15.</w:t>
      </w:r>
    </w:p>
    <w:tbl>
      <w:tblPr>
        <w:tblW w:w="0" w:type="auto"/>
        <w:tblLook w:val="04A0" w:firstRow="1" w:lastRow="0" w:firstColumn="1" w:lastColumn="0" w:noHBand="0" w:noVBand="1"/>
      </w:tblPr>
      <w:tblGrid>
        <w:gridCol w:w="6175"/>
        <w:gridCol w:w="1018"/>
        <w:gridCol w:w="1164"/>
        <w:gridCol w:w="222"/>
        <w:gridCol w:w="1157"/>
      </w:tblGrid>
      <w:tr w:rsidR="00BC5219" w:rsidRPr="008A2B8F" w14:paraId="55E9F91A" w14:textId="77777777" w:rsidTr="00E83802">
        <w:trPr>
          <w:trHeight w:val="254"/>
        </w:trPr>
        <w:tc>
          <w:tcPr>
            <w:tcW w:w="6175" w:type="dxa"/>
            <w:tcBorders>
              <w:top w:val="nil"/>
              <w:left w:val="nil"/>
              <w:bottom w:val="nil"/>
              <w:right w:val="nil"/>
            </w:tcBorders>
            <w:shd w:val="clear" w:color="auto" w:fill="auto"/>
            <w:noWrap/>
            <w:vAlign w:val="center"/>
            <w:hideMark/>
          </w:tcPr>
          <w:p w14:paraId="3CA5887D" w14:textId="77777777" w:rsidR="00BC5219" w:rsidRPr="008A2B8F" w:rsidRDefault="00BC5219" w:rsidP="00E83802">
            <w:pPr>
              <w:rPr>
                <w:rFonts w:ascii="Meta Pro" w:eastAsia="Times New Roman" w:hAnsi="Meta Pro" w:cs="Times New Roman"/>
                <w:sz w:val="24"/>
                <w:szCs w:val="24"/>
                <w:lang w:eastAsia="en-AU"/>
              </w:rPr>
            </w:pPr>
          </w:p>
        </w:tc>
        <w:tc>
          <w:tcPr>
            <w:tcW w:w="1018" w:type="dxa"/>
            <w:tcBorders>
              <w:top w:val="nil"/>
              <w:left w:val="nil"/>
              <w:bottom w:val="nil"/>
              <w:right w:val="nil"/>
            </w:tcBorders>
            <w:shd w:val="clear" w:color="auto" w:fill="auto"/>
            <w:noWrap/>
            <w:vAlign w:val="center"/>
            <w:hideMark/>
          </w:tcPr>
          <w:p w14:paraId="3571FFF3" w14:textId="77777777" w:rsidR="00BC5219" w:rsidRPr="008A2B8F" w:rsidRDefault="00BC5219" w:rsidP="00E83802">
            <w:pPr>
              <w:jc w:val="center"/>
              <w:rPr>
                <w:rFonts w:ascii="Meta Pro" w:eastAsia="Times New Roman" w:hAnsi="Meta Pro"/>
                <w:b/>
                <w:bCs/>
                <w:color w:val="000000"/>
                <w:lang w:eastAsia="en-AU"/>
              </w:rPr>
            </w:pPr>
            <w:r w:rsidRPr="008A2B8F">
              <w:rPr>
                <w:rFonts w:ascii="Meta Pro" w:eastAsia="Times New Roman" w:hAnsi="Meta Pro"/>
                <w:b/>
                <w:bCs/>
                <w:color w:val="000000"/>
                <w:lang w:eastAsia="en-AU"/>
              </w:rPr>
              <w:t>Note</w:t>
            </w:r>
          </w:p>
        </w:tc>
        <w:tc>
          <w:tcPr>
            <w:tcW w:w="1164" w:type="dxa"/>
            <w:tcBorders>
              <w:top w:val="nil"/>
              <w:left w:val="nil"/>
              <w:bottom w:val="nil"/>
              <w:right w:val="nil"/>
            </w:tcBorders>
            <w:shd w:val="clear" w:color="auto" w:fill="auto"/>
            <w:noWrap/>
            <w:vAlign w:val="center"/>
            <w:hideMark/>
          </w:tcPr>
          <w:p w14:paraId="7174CD43" w14:textId="77777777" w:rsidR="00BC5219" w:rsidRPr="008A2B8F" w:rsidRDefault="00BC5219" w:rsidP="00E83802">
            <w:pPr>
              <w:jc w:val="center"/>
              <w:rPr>
                <w:rFonts w:ascii="Meta Pro" w:eastAsia="Times New Roman" w:hAnsi="Meta Pro"/>
                <w:b/>
                <w:bCs/>
                <w:color w:val="000000"/>
                <w:lang w:eastAsia="en-AU"/>
              </w:rPr>
            </w:pPr>
            <w:r w:rsidRPr="008A2B8F">
              <w:rPr>
                <w:rFonts w:ascii="Meta Pro" w:eastAsia="Times New Roman" w:hAnsi="Meta Pro"/>
                <w:b/>
                <w:bCs/>
                <w:color w:val="000000"/>
                <w:lang w:eastAsia="en-AU"/>
              </w:rPr>
              <w:t>2023</w:t>
            </w:r>
          </w:p>
        </w:tc>
        <w:tc>
          <w:tcPr>
            <w:tcW w:w="215" w:type="dxa"/>
            <w:tcBorders>
              <w:top w:val="nil"/>
              <w:left w:val="nil"/>
              <w:bottom w:val="nil"/>
              <w:right w:val="nil"/>
            </w:tcBorders>
            <w:shd w:val="clear" w:color="auto" w:fill="auto"/>
            <w:noWrap/>
            <w:vAlign w:val="center"/>
            <w:hideMark/>
          </w:tcPr>
          <w:p w14:paraId="28F38830" w14:textId="77777777" w:rsidR="00BC5219" w:rsidRPr="008A2B8F" w:rsidRDefault="00BC5219" w:rsidP="00E83802">
            <w:pPr>
              <w:jc w:val="center"/>
              <w:rPr>
                <w:rFonts w:ascii="Meta Pro" w:eastAsia="Times New Roman" w:hAnsi="Meta Pro"/>
                <w:b/>
                <w:bCs/>
                <w:color w:val="000000"/>
                <w:lang w:eastAsia="en-AU"/>
              </w:rPr>
            </w:pPr>
          </w:p>
        </w:tc>
        <w:tc>
          <w:tcPr>
            <w:tcW w:w="1157" w:type="dxa"/>
            <w:tcBorders>
              <w:top w:val="nil"/>
              <w:left w:val="nil"/>
              <w:bottom w:val="nil"/>
              <w:right w:val="nil"/>
            </w:tcBorders>
            <w:shd w:val="clear" w:color="auto" w:fill="auto"/>
            <w:noWrap/>
            <w:vAlign w:val="center"/>
            <w:hideMark/>
          </w:tcPr>
          <w:p w14:paraId="21BC753A" w14:textId="77777777" w:rsidR="00BC5219" w:rsidRPr="008A2B8F" w:rsidRDefault="00BC5219" w:rsidP="00E83802">
            <w:pPr>
              <w:jc w:val="center"/>
              <w:rPr>
                <w:rFonts w:ascii="Meta Pro" w:eastAsia="Times New Roman" w:hAnsi="Meta Pro"/>
                <w:b/>
                <w:bCs/>
                <w:lang w:eastAsia="en-AU"/>
              </w:rPr>
            </w:pPr>
            <w:r w:rsidRPr="008A2B8F">
              <w:rPr>
                <w:rFonts w:ascii="Meta Pro" w:eastAsia="Times New Roman" w:hAnsi="Meta Pro"/>
                <w:b/>
                <w:bCs/>
                <w:lang w:eastAsia="en-AU"/>
              </w:rPr>
              <w:t>2022</w:t>
            </w:r>
          </w:p>
        </w:tc>
      </w:tr>
      <w:tr w:rsidR="00BC5219" w:rsidRPr="008A2B8F" w14:paraId="68101B3B" w14:textId="77777777" w:rsidTr="00E83802">
        <w:trPr>
          <w:trHeight w:val="254"/>
        </w:trPr>
        <w:tc>
          <w:tcPr>
            <w:tcW w:w="6175" w:type="dxa"/>
            <w:tcBorders>
              <w:top w:val="nil"/>
              <w:left w:val="nil"/>
              <w:bottom w:val="nil"/>
              <w:right w:val="nil"/>
            </w:tcBorders>
            <w:shd w:val="clear" w:color="auto" w:fill="auto"/>
            <w:noWrap/>
            <w:vAlign w:val="center"/>
            <w:hideMark/>
          </w:tcPr>
          <w:p w14:paraId="0C063BC8" w14:textId="77777777" w:rsidR="00BC5219" w:rsidRPr="008A2B8F" w:rsidRDefault="00BC5219" w:rsidP="00E83802">
            <w:pPr>
              <w:jc w:val="center"/>
              <w:rPr>
                <w:rFonts w:ascii="Meta Pro" w:eastAsia="Times New Roman" w:hAnsi="Meta Pro"/>
                <w:b/>
                <w:bCs/>
                <w:lang w:eastAsia="en-AU"/>
              </w:rPr>
            </w:pPr>
          </w:p>
        </w:tc>
        <w:tc>
          <w:tcPr>
            <w:tcW w:w="1018" w:type="dxa"/>
            <w:tcBorders>
              <w:top w:val="nil"/>
              <w:left w:val="nil"/>
              <w:bottom w:val="nil"/>
              <w:right w:val="nil"/>
            </w:tcBorders>
            <w:shd w:val="clear" w:color="auto" w:fill="auto"/>
            <w:noWrap/>
            <w:vAlign w:val="center"/>
            <w:hideMark/>
          </w:tcPr>
          <w:p w14:paraId="66301942" w14:textId="77777777" w:rsidR="00BC5219" w:rsidRPr="008A2B8F" w:rsidRDefault="00BC5219" w:rsidP="00E83802">
            <w:pPr>
              <w:rPr>
                <w:rFonts w:ascii="Meta Pro" w:eastAsia="Times New Roman" w:hAnsi="Meta Pro" w:cs="Times New Roman"/>
                <w:sz w:val="20"/>
                <w:szCs w:val="20"/>
                <w:lang w:eastAsia="en-AU"/>
              </w:rPr>
            </w:pPr>
          </w:p>
        </w:tc>
        <w:tc>
          <w:tcPr>
            <w:tcW w:w="1164" w:type="dxa"/>
            <w:tcBorders>
              <w:top w:val="nil"/>
              <w:left w:val="nil"/>
              <w:bottom w:val="nil"/>
              <w:right w:val="nil"/>
            </w:tcBorders>
            <w:shd w:val="clear" w:color="auto" w:fill="auto"/>
            <w:noWrap/>
            <w:vAlign w:val="center"/>
            <w:hideMark/>
          </w:tcPr>
          <w:p w14:paraId="5E45DC41" w14:textId="77777777" w:rsidR="00BC5219" w:rsidRPr="008A2B8F" w:rsidRDefault="00BC5219" w:rsidP="00E83802">
            <w:pPr>
              <w:jc w:val="center"/>
              <w:rPr>
                <w:rFonts w:ascii="Meta Pro" w:eastAsia="Times New Roman" w:hAnsi="Meta Pro"/>
                <w:b/>
                <w:bCs/>
                <w:lang w:eastAsia="en-AU"/>
              </w:rPr>
            </w:pPr>
            <w:r w:rsidRPr="008A2B8F">
              <w:rPr>
                <w:rFonts w:ascii="Meta Pro" w:eastAsia="Times New Roman" w:hAnsi="Meta Pro"/>
                <w:b/>
                <w:bCs/>
                <w:lang w:eastAsia="en-AU"/>
              </w:rPr>
              <w:t>$'000</w:t>
            </w:r>
          </w:p>
        </w:tc>
        <w:tc>
          <w:tcPr>
            <w:tcW w:w="215" w:type="dxa"/>
            <w:tcBorders>
              <w:top w:val="nil"/>
              <w:left w:val="nil"/>
              <w:bottom w:val="nil"/>
              <w:right w:val="nil"/>
            </w:tcBorders>
            <w:shd w:val="clear" w:color="auto" w:fill="auto"/>
            <w:noWrap/>
            <w:vAlign w:val="center"/>
            <w:hideMark/>
          </w:tcPr>
          <w:p w14:paraId="391F9D4E" w14:textId="77777777" w:rsidR="00BC5219" w:rsidRPr="008A2B8F" w:rsidRDefault="00BC5219" w:rsidP="00E83802">
            <w:pPr>
              <w:jc w:val="center"/>
              <w:rPr>
                <w:rFonts w:ascii="Meta Pro" w:eastAsia="Times New Roman" w:hAnsi="Meta Pro"/>
                <w:b/>
                <w:bCs/>
                <w:lang w:eastAsia="en-AU"/>
              </w:rPr>
            </w:pPr>
          </w:p>
        </w:tc>
        <w:tc>
          <w:tcPr>
            <w:tcW w:w="1157" w:type="dxa"/>
            <w:tcBorders>
              <w:top w:val="nil"/>
              <w:left w:val="nil"/>
              <w:bottom w:val="nil"/>
              <w:right w:val="nil"/>
            </w:tcBorders>
            <w:shd w:val="clear" w:color="auto" w:fill="auto"/>
            <w:noWrap/>
            <w:vAlign w:val="center"/>
            <w:hideMark/>
          </w:tcPr>
          <w:p w14:paraId="0CE27E33" w14:textId="77777777" w:rsidR="00BC5219" w:rsidRPr="008A2B8F" w:rsidRDefault="00BC5219" w:rsidP="00E83802">
            <w:pPr>
              <w:jc w:val="center"/>
              <w:rPr>
                <w:rFonts w:ascii="Meta Pro" w:eastAsia="Times New Roman" w:hAnsi="Meta Pro"/>
                <w:b/>
                <w:bCs/>
                <w:lang w:eastAsia="en-AU"/>
              </w:rPr>
            </w:pPr>
            <w:r w:rsidRPr="008A2B8F">
              <w:rPr>
                <w:rFonts w:ascii="Meta Pro" w:eastAsia="Times New Roman" w:hAnsi="Meta Pro"/>
                <w:b/>
                <w:bCs/>
                <w:lang w:eastAsia="en-AU"/>
              </w:rPr>
              <w:t>$'000</w:t>
            </w:r>
          </w:p>
        </w:tc>
      </w:tr>
    </w:tbl>
    <w:p w14:paraId="4CF182D2" w14:textId="77777777" w:rsidR="00BC5219" w:rsidRPr="008A2B8F" w:rsidRDefault="00BC5219" w:rsidP="00BC5219">
      <w:pPr>
        <w:spacing w:line="17" w:lineRule="auto"/>
        <w:rPr>
          <w:rFonts w:ascii="Meta Pro" w:hAnsi="Meta Pro" w:cstheme="minorBidi"/>
        </w:rPr>
      </w:pPr>
    </w:p>
    <w:tbl>
      <w:tblPr>
        <w:tblW w:w="0" w:type="auto"/>
        <w:tblCellMar>
          <w:left w:w="0" w:type="dxa"/>
        </w:tblCellMar>
        <w:tblLook w:val="04A0" w:firstRow="1" w:lastRow="0" w:firstColumn="1" w:lastColumn="0" w:noHBand="0" w:noVBand="1"/>
      </w:tblPr>
      <w:tblGrid>
        <w:gridCol w:w="6184"/>
        <w:gridCol w:w="1044"/>
        <w:gridCol w:w="1165"/>
        <w:gridCol w:w="224"/>
        <w:gridCol w:w="1165"/>
      </w:tblGrid>
      <w:tr w:rsidR="00BC5219" w:rsidRPr="008A2B8F" w14:paraId="2CC3D435" w14:textId="77777777" w:rsidTr="00E83802">
        <w:trPr>
          <w:trHeight w:val="272"/>
        </w:trPr>
        <w:tc>
          <w:tcPr>
            <w:tcW w:w="6176" w:type="dxa"/>
            <w:tcBorders>
              <w:top w:val="nil"/>
              <w:left w:val="nil"/>
              <w:bottom w:val="nil"/>
              <w:right w:val="nil"/>
            </w:tcBorders>
            <w:shd w:val="clear" w:color="auto" w:fill="auto"/>
            <w:noWrap/>
            <w:vAlign w:val="center"/>
            <w:hideMark/>
          </w:tcPr>
          <w:p w14:paraId="68348AB4"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Assets</w:t>
            </w:r>
          </w:p>
        </w:tc>
        <w:tc>
          <w:tcPr>
            <w:tcW w:w="1036" w:type="dxa"/>
            <w:tcBorders>
              <w:top w:val="nil"/>
              <w:left w:val="nil"/>
              <w:bottom w:val="nil"/>
              <w:right w:val="nil"/>
            </w:tcBorders>
            <w:shd w:val="clear" w:color="auto" w:fill="auto"/>
            <w:noWrap/>
            <w:vAlign w:val="center"/>
            <w:hideMark/>
          </w:tcPr>
          <w:p w14:paraId="42BA021E" w14:textId="77777777" w:rsidR="00BC5219" w:rsidRPr="008A2B8F" w:rsidRDefault="00BC5219" w:rsidP="00E83802">
            <w:pPr>
              <w:rPr>
                <w:rFonts w:ascii="Meta Pro" w:eastAsia="Times New Roman" w:hAnsi="Meta Pro"/>
                <w:b/>
                <w:bCs/>
                <w:szCs w:val="18"/>
                <w:lang w:eastAsia="en-AU"/>
              </w:rPr>
            </w:pPr>
          </w:p>
        </w:tc>
        <w:tc>
          <w:tcPr>
            <w:tcW w:w="1157" w:type="dxa"/>
            <w:tcBorders>
              <w:top w:val="nil"/>
              <w:left w:val="nil"/>
              <w:bottom w:val="nil"/>
              <w:right w:val="nil"/>
            </w:tcBorders>
            <w:shd w:val="clear" w:color="auto" w:fill="auto"/>
            <w:noWrap/>
            <w:vAlign w:val="center"/>
            <w:hideMark/>
          </w:tcPr>
          <w:p w14:paraId="74F013DC" w14:textId="77777777" w:rsidR="00BC5219" w:rsidRPr="008A2B8F" w:rsidRDefault="00BC5219" w:rsidP="00E83802">
            <w:pPr>
              <w:jc w:val="cente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3936CC65" w14:textId="77777777" w:rsidR="00BC5219" w:rsidRPr="008A2B8F" w:rsidRDefault="00BC5219" w:rsidP="00E83802">
            <w:pPr>
              <w:rPr>
                <w:rFonts w:ascii="Meta Pro" w:eastAsia="Times New Roman" w:hAnsi="Meta Pro" w:cs="Times New Roman"/>
                <w:sz w:val="20"/>
                <w:szCs w:val="20"/>
                <w:lang w:eastAsia="en-AU"/>
              </w:rPr>
            </w:pPr>
          </w:p>
        </w:tc>
        <w:tc>
          <w:tcPr>
            <w:tcW w:w="1157" w:type="dxa"/>
            <w:tcBorders>
              <w:top w:val="nil"/>
              <w:left w:val="nil"/>
              <w:bottom w:val="nil"/>
              <w:right w:val="nil"/>
            </w:tcBorders>
            <w:shd w:val="clear" w:color="auto" w:fill="auto"/>
            <w:noWrap/>
            <w:vAlign w:val="center"/>
            <w:hideMark/>
          </w:tcPr>
          <w:p w14:paraId="064C00B5"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2EDFFB6C" w14:textId="77777777" w:rsidTr="00E83802">
        <w:trPr>
          <w:trHeight w:val="23"/>
        </w:trPr>
        <w:tc>
          <w:tcPr>
            <w:tcW w:w="6176" w:type="dxa"/>
            <w:tcBorders>
              <w:top w:val="nil"/>
              <w:left w:val="nil"/>
              <w:bottom w:val="nil"/>
              <w:right w:val="nil"/>
            </w:tcBorders>
            <w:shd w:val="clear" w:color="auto" w:fill="auto"/>
            <w:noWrap/>
            <w:vAlign w:val="center"/>
            <w:hideMark/>
          </w:tcPr>
          <w:p w14:paraId="6FB0AE6C"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Buildings</w:t>
            </w:r>
          </w:p>
        </w:tc>
        <w:tc>
          <w:tcPr>
            <w:tcW w:w="1036" w:type="dxa"/>
            <w:tcBorders>
              <w:top w:val="nil"/>
              <w:left w:val="nil"/>
              <w:bottom w:val="nil"/>
              <w:right w:val="nil"/>
            </w:tcBorders>
            <w:shd w:val="clear" w:color="auto" w:fill="auto"/>
            <w:noWrap/>
            <w:vAlign w:val="center"/>
            <w:hideMark/>
          </w:tcPr>
          <w:p w14:paraId="682055C6" w14:textId="77777777" w:rsidR="00BC5219" w:rsidRPr="008A2B8F" w:rsidRDefault="00BC5219" w:rsidP="00E83802">
            <w:pPr>
              <w:rPr>
                <w:rFonts w:ascii="Meta Pro" w:eastAsia="Times New Roman" w:hAnsi="Meta Pro"/>
                <w:szCs w:val="18"/>
                <w:lang w:eastAsia="en-AU"/>
              </w:rPr>
            </w:pPr>
          </w:p>
        </w:tc>
        <w:tc>
          <w:tcPr>
            <w:tcW w:w="1157" w:type="dxa"/>
            <w:tcBorders>
              <w:top w:val="nil"/>
              <w:left w:val="nil"/>
              <w:bottom w:val="nil"/>
              <w:right w:val="nil"/>
            </w:tcBorders>
            <w:shd w:val="clear" w:color="000000" w:fill="C9E3B4"/>
            <w:noWrap/>
            <w:vAlign w:val="center"/>
            <w:hideMark/>
          </w:tcPr>
          <w:p w14:paraId="3B87868A"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190,625 </w:t>
            </w:r>
          </w:p>
        </w:tc>
        <w:tc>
          <w:tcPr>
            <w:tcW w:w="216" w:type="dxa"/>
            <w:tcBorders>
              <w:top w:val="nil"/>
              <w:left w:val="nil"/>
              <w:bottom w:val="nil"/>
              <w:right w:val="nil"/>
            </w:tcBorders>
            <w:shd w:val="clear" w:color="auto" w:fill="auto"/>
            <w:noWrap/>
            <w:vAlign w:val="center"/>
            <w:hideMark/>
          </w:tcPr>
          <w:p w14:paraId="59412E67" w14:textId="77777777" w:rsidR="00BC5219" w:rsidRPr="008A2B8F"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349E1031"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174,818 </w:t>
            </w:r>
          </w:p>
        </w:tc>
      </w:tr>
      <w:tr w:rsidR="00BC5219" w:rsidRPr="008A2B8F" w14:paraId="63822470" w14:textId="77777777" w:rsidTr="00E83802">
        <w:trPr>
          <w:trHeight w:val="23"/>
        </w:trPr>
        <w:tc>
          <w:tcPr>
            <w:tcW w:w="6176" w:type="dxa"/>
            <w:tcBorders>
              <w:top w:val="nil"/>
              <w:left w:val="nil"/>
              <w:bottom w:val="nil"/>
              <w:right w:val="nil"/>
            </w:tcBorders>
            <w:shd w:val="clear" w:color="auto" w:fill="auto"/>
            <w:noWrap/>
            <w:vAlign w:val="center"/>
            <w:hideMark/>
          </w:tcPr>
          <w:p w14:paraId="61BD2CFB"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Major plant and equipment</w:t>
            </w:r>
          </w:p>
        </w:tc>
        <w:tc>
          <w:tcPr>
            <w:tcW w:w="1036" w:type="dxa"/>
            <w:tcBorders>
              <w:top w:val="nil"/>
              <w:left w:val="nil"/>
              <w:bottom w:val="nil"/>
              <w:right w:val="nil"/>
            </w:tcBorders>
            <w:shd w:val="clear" w:color="auto" w:fill="auto"/>
            <w:noWrap/>
            <w:vAlign w:val="center"/>
            <w:hideMark/>
          </w:tcPr>
          <w:p w14:paraId="317395B7" w14:textId="77777777" w:rsidR="00BC5219" w:rsidRPr="008A2B8F" w:rsidRDefault="00BC5219" w:rsidP="00E83802">
            <w:pPr>
              <w:rPr>
                <w:rFonts w:ascii="Meta Pro" w:eastAsia="Times New Roman" w:hAnsi="Meta Pro"/>
                <w:szCs w:val="18"/>
                <w:lang w:eastAsia="en-AU"/>
              </w:rPr>
            </w:pPr>
          </w:p>
        </w:tc>
        <w:tc>
          <w:tcPr>
            <w:tcW w:w="1157" w:type="dxa"/>
            <w:tcBorders>
              <w:top w:val="nil"/>
              <w:left w:val="nil"/>
              <w:bottom w:val="nil"/>
              <w:right w:val="nil"/>
            </w:tcBorders>
            <w:shd w:val="clear" w:color="000000" w:fill="C9E3B4"/>
            <w:noWrap/>
            <w:vAlign w:val="center"/>
            <w:hideMark/>
          </w:tcPr>
          <w:p w14:paraId="3A4362F9"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1,260,168 </w:t>
            </w:r>
          </w:p>
        </w:tc>
        <w:tc>
          <w:tcPr>
            <w:tcW w:w="216" w:type="dxa"/>
            <w:tcBorders>
              <w:top w:val="nil"/>
              <w:left w:val="nil"/>
              <w:bottom w:val="nil"/>
              <w:right w:val="nil"/>
            </w:tcBorders>
            <w:shd w:val="clear" w:color="auto" w:fill="auto"/>
            <w:noWrap/>
            <w:vAlign w:val="center"/>
            <w:hideMark/>
          </w:tcPr>
          <w:p w14:paraId="4638CDF6" w14:textId="77777777" w:rsidR="00BC5219" w:rsidRPr="008A2B8F"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0C42389A"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1,149,491 </w:t>
            </w:r>
          </w:p>
        </w:tc>
      </w:tr>
      <w:tr w:rsidR="00BC5219" w:rsidRPr="008A2B8F" w14:paraId="24E08E09" w14:textId="77777777" w:rsidTr="00E83802">
        <w:trPr>
          <w:trHeight w:val="23"/>
        </w:trPr>
        <w:tc>
          <w:tcPr>
            <w:tcW w:w="6176" w:type="dxa"/>
            <w:tcBorders>
              <w:top w:val="nil"/>
              <w:left w:val="nil"/>
              <w:bottom w:val="nil"/>
              <w:right w:val="nil"/>
            </w:tcBorders>
            <w:shd w:val="clear" w:color="auto" w:fill="auto"/>
            <w:noWrap/>
            <w:vAlign w:val="center"/>
            <w:hideMark/>
          </w:tcPr>
          <w:p w14:paraId="12BCDB3F"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Infrastructure</w:t>
            </w:r>
          </w:p>
        </w:tc>
        <w:tc>
          <w:tcPr>
            <w:tcW w:w="1036" w:type="dxa"/>
            <w:tcBorders>
              <w:top w:val="nil"/>
              <w:left w:val="nil"/>
              <w:bottom w:val="nil"/>
              <w:right w:val="nil"/>
            </w:tcBorders>
            <w:shd w:val="clear" w:color="auto" w:fill="auto"/>
            <w:noWrap/>
            <w:vAlign w:val="center"/>
            <w:hideMark/>
          </w:tcPr>
          <w:p w14:paraId="7233AB58" w14:textId="77777777" w:rsidR="00BC5219" w:rsidRPr="008A2B8F" w:rsidRDefault="00BC5219" w:rsidP="00E83802">
            <w:pPr>
              <w:rPr>
                <w:rFonts w:ascii="Meta Pro" w:eastAsia="Times New Roman" w:hAnsi="Meta Pro"/>
                <w:szCs w:val="18"/>
                <w:lang w:eastAsia="en-AU"/>
              </w:rPr>
            </w:pPr>
          </w:p>
        </w:tc>
        <w:tc>
          <w:tcPr>
            <w:tcW w:w="1157" w:type="dxa"/>
            <w:tcBorders>
              <w:top w:val="nil"/>
              <w:left w:val="nil"/>
              <w:bottom w:val="nil"/>
              <w:right w:val="nil"/>
            </w:tcBorders>
            <w:shd w:val="clear" w:color="000000" w:fill="C9E3B4"/>
            <w:noWrap/>
            <w:vAlign w:val="center"/>
            <w:hideMark/>
          </w:tcPr>
          <w:p w14:paraId="4341364C"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41,341 </w:t>
            </w:r>
          </w:p>
        </w:tc>
        <w:tc>
          <w:tcPr>
            <w:tcW w:w="216" w:type="dxa"/>
            <w:tcBorders>
              <w:top w:val="nil"/>
              <w:left w:val="nil"/>
              <w:bottom w:val="nil"/>
              <w:right w:val="nil"/>
            </w:tcBorders>
            <w:shd w:val="clear" w:color="auto" w:fill="auto"/>
            <w:noWrap/>
            <w:vAlign w:val="center"/>
            <w:hideMark/>
          </w:tcPr>
          <w:p w14:paraId="37CCC7AB" w14:textId="77777777" w:rsidR="00BC5219" w:rsidRPr="008A2B8F"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4614BE97"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41,184 </w:t>
            </w:r>
          </w:p>
        </w:tc>
      </w:tr>
      <w:tr w:rsidR="00BC5219" w:rsidRPr="008A2B8F" w14:paraId="7737D51E" w14:textId="77777777" w:rsidTr="00E83802">
        <w:trPr>
          <w:trHeight w:val="23"/>
        </w:trPr>
        <w:tc>
          <w:tcPr>
            <w:tcW w:w="6176" w:type="dxa"/>
            <w:tcBorders>
              <w:top w:val="nil"/>
              <w:left w:val="nil"/>
              <w:bottom w:val="nil"/>
              <w:right w:val="nil"/>
            </w:tcBorders>
            <w:shd w:val="clear" w:color="auto" w:fill="auto"/>
            <w:noWrap/>
            <w:vAlign w:val="center"/>
            <w:hideMark/>
          </w:tcPr>
          <w:p w14:paraId="55B5A751"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Plant and equipment</w:t>
            </w:r>
          </w:p>
        </w:tc>
        <w:tc>
          <w:tcPr>
            <w:tcW w:w="1036" w:type="dxa"/>
            <w:tcBorders>
              <w:top w:val="nil"/>
              <w:left w:val="nil"/>
              <w:bottom w:val="nil"/>
              <w:right w:val="nil"/>
            </w:tcBorders>
            <w:shd w:val="clear" w:color="auto" w:fill="auto"/>
            <w:noWrap/>
            <w:vAlign w:val="center"/>
            <w:hideMark/>
          </w:tcPr>
          <w:p w14:paraId="34E0A32C" w14:textId="77777777" w:rsidR="00BC5219" w:rsidRPr="008A2B8F" w:rsidRDefault="00BC5219" w:rsidP="00E83802">
            <w:pPr>
              <w:rPr>
                <w:rFonts w:ascii="Meta Pro" w:eastAsia="Times New Roman" w:hAnsi="Meta Pro"/>
                <w:szCs w:val="18"/>
                <w:lang w:eastAsia="en-AU"/>
              </w:rPr>
            </w:pPr>
          </w:p>
        </w:tc>
        <w:tc>
          <w:tcPr>
            <w:tcW w:w="1157" w:type="dxa"/>
            <w:tcBorders>
              <w:top w:val="nil"/>
              <w:left w:val="nil"/>
              <w:bottom w:val="nil"/>
              <w:right w:val="nil"/>
            </w:tcBorders>
            <w:shd w:val="clear" w:color="000000" w:fill="C9E3B4"/>
            <w:noWrap/>
            <w:vAlign w:val="center"/>
            <w:hideMark/>
          </w:tcPr>
          <w:p w14:paraId="28E0932C"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9,573 </w:t>
            </w:r>
          </w:p>
        </w:tc>
        <w:tc>
          <w:tcPr>
            <w:tcW w:w="216" w:type="dxa"/>
            <w:tcBorders>
              <w:top w:val="nil"/>
              <w:left w:val="nil"/>
              <w:bottom w:val="nil"/>
              <w:right w:val="nil"/>
            </w:tcBorders>
            <w:shd w:val="clear" w:color="auto" w:fill="auto"/>
            <w:noWrap/>
            <w:vAlign w:val="center"/>
            <w:hideMark/>
          </w:tcPr>
          <w:p w14:paraId="4A7ABDB3" w14:textId="77777777" w:rsidR="00BC5219" w:rsidRPr="008A2B8F"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61CC5723"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11,531 </w:t>
            </w:r>
          </w:p>
        </w:tc>
      </w:tr>
      <w:tr w:rsidR="00BC5219" w:rsidRPr="008A2B8F" w14:paraId="747EE50B" w14:textId="77777777" w:rsidTr="00E83802">
        <w:trPr>
          <w:trHeight w:val="23"/>
        </w:trPr>
        <w:tc>
          <w:tcPr>
            <w:tcW w:w="6176" w:type="dxa"/>
            <w:tcBorders>
              <w:top w:val="nil"/>
              <w:left w:val="nil"/>
              <w:bottom w:val="nil"/>
              <w:right w:val="nil"/>
            </w:tcBorders>
            <w:shd w:val="clear" w:color="auto" w:fill="auto"/>
            <w:noWrap/>
            <w:vAlign w:val="center"/>
            <w:hideMark/>
          </w:tcPr>
          <w:p w14:paraId="33F7E652"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Work in progress</w:t>
            </w:r>
          </w:p>
        </w:tc>
        <w:tc>
          <w:tcPr>
            <w:tcW w:w="1036" w:type="dxa"/>
            <w:tcBorders>
              <w:top w:val="nil"/>
              <w:left w:val="nil"/>
              <w:bottom w:val="nil"/>
              <w:right w:val="nil"/>
            </w:tcBorders>
            <w:shd w:val="clear" w:color="auto" w:fill="auto"/>
            <w:noWrap/>
            <w:vAlign w:val="center"/>
            <w:hideMark/>
          </w:tcPr>
          <w:p w14:paraId="484BAC88" w14:textId="77777777" w:rsidR="00BC5219" w:rsidRPr="008A2B8F" w:rsidRDefault="00BC5219" w:rsidP="00E83802">
            <w:pPr>
              <w:rPr>
                <w:rFonts w:ascii="Meta Pro" w:eastAsia="Times New Roman" w:hAnsi="Meta Pro"/>
                <w:szCs w:val="18"/>
                <w:lang w:eastAsia="en-AU"/>
              </w:rPr>
            </w:pPr>
          </w:p>
        </w:tc>
        <w:tc>
          <w:tcPr>
            <w:tcW w:w="1157" w:type="dxa"/>
            <w:tcBorders>
              <w:top w:val="nil"/>
              <w:left w:val="nil"/>
              <w:bottom w:val="nil"/>
              <w:right w:val="nil"/>
            </w:tcBorders>
            <w:shd w:val="clear" w:color="000000" w:fill="C9E3B4"/>
            <w:noWrap/>
            <w:vAlign w:val="center"/>
            <w:hideMark/>
          </w:tcPr>
          <w:p w14:paraId="1A26C7F5"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36,651 </w:t>
            </w:r>
          </w:p>
        </w:tc>
        <w:tc>
          <w:tcPr>
            <w:tcW w:w="216" w:type="dxa"/>
            <w:tcBorders>
              <w:top w:val="nil"/>
              <w:left w:val="nil"/>
              <w:bottom w:val="nil"/>
              <w:right w:val="nil"/>
            </w:tcBorders>
            <w:shd w:val="clear" w:color="auto" w:fill="auto"/>
            <w:noWrap/>
            <w:vAlign w:val="center"/>
            <w:hideMark/>
          </w:tcPr>
          <w:p w14:paraId="5CD1C0B8" w14:textId="77777777" w:rsidR="00BC5219" w:rsidRPr="008A2B8F"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75DB2DF4"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46,199 </w:t>
            </w:r>
          </w:p>
        </w:tc>
      </w:tr>
      <w:tr w:rsidR="00BC5219" w:rsidRPr="008A2B8F" w14:paraId="51466EBB" w14:textId="77777777" w:rsidTr="00E83802">
        <w:trPr>
          <w:trHeight w:val="23"/>
        </w:trPr>
        <w:tc>
          <w:tcPr>
            <w:tcW w:w="6176" w:type="dxa"/>
            <w:tcBorders>
              <w:top w:val="single" w:sz="4" w:space="0" w:color="auto"/>
              <w:left w:val="nil"/>
              <w:bottom w:val="double" w:sz="6" w:space="0" w:color="auto"/>
              <w:right w:val="nil"/>
            </w:tcBorders>
            <w:shd w:val="clear" w:color="auto" w:fill="auto"/>
            <w:noWrap/>
            <w:vAlign w:val="center"/>
            <w:hideMark/>
          </w:tcPr>
          <w:p w14:paraId="4325DD7E"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Closing balance</w:t>
            </w:r>
          </w:p>
        </w:tc>
        <w:tc>
          <w:tcPr>
            <w:tcW w:w="1036" w:type="dxa"/>
            <w:tcBorders>
              <w:top w:val="single" w:sz="4" w:space="0" w:color="auto"/>
              <w:left w:val="nil"/>
              <w:bottom w:val="double" w:sz="6" w:space="0" w:color="auto"/>
              <w:right w:val="nil"/>
            </w:tcBorders>
            <w:shd w:val="clear" w:color="auto" w:fill="auto"/>
            <w:noWrap/>
            <w:vAlign w:val="center"/>
            <w:hideMark/>
          </w:tcPr>
          <w:p w14:paraId="1EAF066A" w14:textId="77777777" w:rsidR="00BC5219" w:rsidRPr="008A2B8F" w:rsidRDefault="00BC5219" w:rsidP="00E83802">
            <w:pPr>
              <w:jc w:val="center"/>
              <w:rPr>
                <w:rFonts w:ascii="Meta Pro" w:eastAsia="Times New Roman" w:hAnsi="Meta Pro"/>
                <w:szCs w:val="18"/>
                <w:lang w:eastAsia="en-AU"/>
              </w:rPr>
            </w:pPr>
            <w:r w:rsidRPr="008A2B8F">
              <w:rPr>
                <w:rFonts w:ascii="Meta Pro" w:eastAsia="Times New Roman" w:hAnsi="Meta Pro"/>
                <w:szCs w:val="18"/>
                <w:lang w:eastAsia="en-AU"/>
              </w:rPr>
              <w:t> </w:t>
            </w:r>
          </w:p>
        </w:tc>
        <w:tc>
          <w:tcPr>
            <w:tcW w:w="1157" w:type="dxa"/>
            <w:tcBorders>
              <w:top w:val="single" w:sz="4" w:space="0" w:color="auto"/>
              <w:left w:val="nil"/>
              <w:bottom w:val="double" w:sz="6" w:space="0" w:color="auto"/>
              <w:right w:val="nil"/>
            </w:tcBorders>
            <w:shd w:val="clear" w:color="000000" w:fill="C9E3B4"/>
            <w:noWrap/>
            <w:vAlign w:val="center"/>
            <w:hideMark/>
          </w:tcPr>
          <w:p w14:paraId="3B95C99B"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1,538,358 </w:t>
            </w:r>
          </w:p>
        </w:tc>
        <w:tc>
          <w:tcPr>
            <w:tcW w:w="216" w:type="dxa"/>
            <w:tcBorders>
              <w:top w:val="single" w:sz="4" w:space="0" w:color="auto"/>
              <w:left w:val="nil"/>
              <w:bottom w:val="double" w:sz="6" w:space="0" w:color="auto"/>
              <w:right w:val="nil"/>
            </w:tcBorders>
            <w:shd w:val="clear" w:color="auto" w:fill="auto"/>
            <w:noWrap/>
            <w:vAlign w:val="center"/>
            <w:hideMark/>
          </w:tcPr>
          <w:p w14:paraId="7C640284"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w:t>
            </w:r>
          </w:p>
        </w:tc>
        <w:tc>
          <w:tcPr>
            <w:tcW w:w="1157" w:type="dxa"/>
            <w:tcBorders>
              <w:top w:val="single" w:sz="4" w:space="0" w:color="auto"/>
              <w:left w:val="nil"/>
              <w:bottom w:val="double" w:sz="6" w:space="0" w:color="auto"/>
              <w:right w:val="nil"/>
            </w:tcBorders>
            <w:shd w:val="clear" w:color="auto" w:fill="auto"/>
            <w:noWrap/>
            <w:vAlign w:val="center"/>
            <w:hideMark/>
          </w:tcPr>
          <w:p w14:paraId="23C17F89"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1,423,223 </w:t>
            </w:r>
          </w:p>
        </w:tc>
      </w:tr>
      <w:tr w:rsidR="00BC5219" w:rsidRPr="008A2B8F" w14:paraId="38D58E61" w14:textId="77777777" w:rsidTr="00E83802">
        <w:trPr>
          <w:trHeight w:val="57"/>
        </w:trPr>
        <w:tc>
          <w:tcPr>
            <w:tcW w:w="6176" w:type="dxa"/>
            <w:tcBorders>
              <w:top w:val="nil"/>
              <w:left w:val="nil"/>
              <w:bottom w:val="nil"/>
              <w:right w:val="nil"/>
            </w:tcBorders>
            <w:shd w:val="clear" w:color="auto" w:fill="auto"/>
            <w:noWrap/>
            <w:vAlign w:val="center"/>
            <w:hideMark/>
          </w:tcPr>
          <w:p w14:paraId="1612CC1C" w14:textId="77777777" w:rsidR="00BC5219" w:rsidRPr="008A2B8F" w:rsidRDefault="00BC5219" w:rsidP="00E83802">
            <w:pPr>
              <w:jc w:val="right"/>
              <w:rPr>
                <w:rFonts w:ascii="Meta Pro" w:eastAsia="Times New Roman" w:hAnsi="Meta Pro"/>
                <w:b/>
                <w:bCs/>
                <w:szCs w:val="18"/>
                <w:lang w:eastAsia="en-AU"/>
              </w:rPr>
            </w:pPr>
          </w:p>
        </w:tc>
        <w:tc>
          <w:tcPr>
            <w:tcW w:w="1036" w:type="dxa"/>
            <w:tcBorders>
              <w:top w:val="nil"/>
              <w:left w:val="nil"/>
              <w:bottom w:val="nil"/>
              <w:right w:val="nil"/>
            </w:tcBorders>
            <w:shd w:val="clear" w:color="auto" w:fill="auto"/>
            <w:noWrap/>
            <w:vAlign w:val="center"/>
            <w:hideMark/>
          </w:tcPr>
          <w:p w14:paraId="6A2D0F48" w14:textId="77777777" w:rsidR="00BC5219" w:rsidRPr="008A2B8F" w:rsidRDefault="00BC5219" w:rsidP="00E83802">
            <w:pPr>
              <w:rPr>
                <w:rFonts w:ascii="Meta Pro" w:eastAsia="Times New Roman" w:hAnsi="Meta Pro" w:cs="Times New Roman"/>
                <w:sz w:val="20"/>
                <w:szCs w:val="20"/>
                <w:lang w:eastAsia="en-AU"/>
              </w:rPr>
            </w:pPr>
          </w:p>
        </w:tc>
        <w:tc>
          <w:tcPr>
            <w:tcW w:w="1157" w:type="dxa"/>
            <w:tcBorders>
              <w:top w:val="nil"/>
              <w:left w:val="nil"/>
              <w:bottom w:val="nil"/>
              <w:right w:val="nil"/>
            </w:tcBorders>
            <w:shd w:val="clear" w:color="auto" w:fill="auto"/>
            <w:noWrap/>
            <w:vAlign w:val="center"/>
            <w:hideMark/>
          </w:tcPr>
          <w:p w14:paraId="5DB03770" w14:textId="77777777" w:rsidR="00BC5219" w:rsidRPr="008A2B8F" w:rsidRDefault="00BC5219" w:rsidP="00E83802">
            <w:pPr>
              <w:jc w:val="cente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4C4BAE4F" w14:textId="77777777" w:rsidR="00BC5219" w:rsidRPr="008A2B8F" w:rsidRDefault="00BC5219" w:rsidP="00E83802">
            <w:pPr>
              <w:jc w:val="right"/>
              <w:rPr>
                <w:rFonts w:ascii="Meta Pro" w:eastAsia="Times New Roman" w:hAnsi="Meta Pro" w:cs="Times New Roman"/>
                <w:sz w:val="20"/>
                <w:szCs w:val="20"/>
                <w:lang w:eastAsia="en-AU"/>
              </w:rPr>
            </w:pPr>
          </w:p>
        </w:tc>
        <w:tc>
          <w:tcPr>
            <w:tcW w:w="1157" w:type="dxa"/>
            <w:tcBorders>
              <w:top w:val="nil"/>
              <w:left w:val="nil"/>
              <w:bottom w:val="nil"/>
              <w:right w:val="nil"/>
            </w:tcBorders>
            <w:shd w:val="clear" w:color="auto" w:fill="auto"/>
            <w:noWrap/>
            <w:vAlign w:val="center"/>
            <w:hideMark/>
          </w:tcPr>
          <w:p w14:paraId="0E6AF8C0"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2807213F" w14:textId="77777777" w:rsidTr="00E83802">
        <w:trPr>
          <w:trHeight w:val="23"/>
        </w:trPr>
        <w:tc>
          <w:tcPr>
            <w:tcW w:w="6176" w:type="dxa"/>
            <w:tcBorders>
              <w:top w:val="nil"/>
              <w:left w:val="nil"/>
              <w:bottom w:val="nil"/>
              <w:right w:val="nil"/>
            </w:tcBorders>
            <w:shd w:val="clear" w:color="auto" w:fill="auto"/>
            <w:noWrap/>
            <w:vAlign w:val="center"/>
            <w:hideMark/>
          </w:tcPr>
          <w:p w14:paraId="73C3F4A7"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Liabilities</w:t>
            </w:r>
          </w:p>
        </w:tc>
        <w:tc>
          <w:tcPr>
            <w:tcW w:w="1036" w:type="dxa"/>
            <w:tcBorders>
              <w:top w:val="nil"/>
              <w:left w:val="nil"/>
              <w:bottom w:val="nil"/>
              <w:right w:val="nil"/>
            </w:tcBorders>
            <w:shd w:val="clear" w:color="auto" w:fill="auto"/>
            <w:noWrap/>
            <w:vAlign w:val="center"/>
            <w:hideMark/>
          </w:tcPr>
          <w:p w14:paraId="3F8DAD91" w14:textId="77777777" w:rsidR="00BC5219" w:rsidRPr="008A2B8F" w:rsidRDefault="00BC5219" w:rsidP="00E83802">
            <w:pPr>
              <w:rPr>
                <w:rFonts w:ascii="Meta Pro" w:eastAsia="Times New Roman" w:hAnsi="Meta Pro"/>
                <w:b/>
                <w:bCs/>
                <w:szCs w:val="18"/>
                <w:lang w:eastAsia="en-AU"/>
              </w:rPr>
            </w:pPr>
          </w:p>
        </w:tc>
        <w:tc>
          <w:tcPr>
            <w:tcW w:w="1157" w:type="dxa"/>
            <w:tcBorders>
              <w:top w:val="nil"/>
              <w:left w:val="nil"/>
              <w:bottom w:val="nil"/>
              <w:right w:val="nil"/>
            </w:tcBorders>
            <w:shd w:val="clear" w:color="auto" w:fill="auto"/>
            <w:noWrap/>
            <w:vAlign w:val="center"/>
            <w:hideMark/>
          </w:tcPr>
          <w:p w14:paraId="39487A1A" w14:textId="77777777" w:rsidR="00BC5219" w:rsidRPr="008A2B8F" w:rsidRDefault="00BC5219" w:rsidP="00E83802">
            <w:pPr>
              <w:jc w:val="cente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2C811CE6" w14:textId="77777777" w:rsidR="00BC5219" w:rsidRPr="008A2B8F" w:rsidRDefault="00BC5219" w:rsidP="00E83802">
            <w:pPr>
              <w:rPr>
                <w:rFonts w:ascii="Meta Pro" w:eastAsia="Times New Roman" w:hAnsi="Meta Pro" w:cs="Times New Roman"/>
                <w:sz w:val="20"/>
                <w:szCs w:val="20"/>
                <w:lang w:eastAsia="en-AU"/>
              </w:rPr>
            </w:pPr>
          </w:p>
        </w:tc>
        <w:tc>
          <w:tcPr>
            <w:tcW w:w="1157" w:type="dxa"/>
            <w:tcBorders>
              <w:top w:val="nil"/>
              <w:left w:val="nil"/>
              <w:bottom w:val="nil"/>
              <w:right w:val="nil"/>
            </w:tcBorders>
            <w:shd w:val="clear" w:color="auto" w:fill="auto"/>
            <w:noWrap/>
            <w:vAlign w:val="center"/>
            <w:hideMark/>
          </w:tcPr>
          <w:p w14:paraId="703E7B25"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6B6C5DFF" w14:textId="77777777" w:rsidTr="00E83802">
        <w:trPr>
          <w:trHeight w:val="23"/>
        </w:trPr>
        <w:tc>
          <w:tcPr>
            <w:tcW w:w="6176" w:type="dxa"/>
            <w:tcBorders>
              <w:top w:val="nil"/>
              <w:left w:val="nil"/>
              <w:bottom w:val="nil"/>
              <w:right w:val="nil"/>
            </w:tcBorders>
            <w:shd w:val="clear" w:color="auto" w:fill="auto"/>
            <w:noWrap/>
            <w:vAlign w:val="center"/>
            <w:hideMark/>
          </w:tcPr>
          <w:p w14:paraId="34932975"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Financial liabilities</w:t>
            </w:r>
          </w:p>
        </w:tc>
        <w:tc>
          <w:tcPr>
            <w:tcW w:w="1036" w:type="dxa"/>
            <w:tcBorders>
              <w:top w:val="nil"/>
              <w:left w:val="nil"/>
              <w:bottom w:val="nil"/>
              <w:right w:val="nil"/>
            </w:tcBorders>
            <w:shd w:val="clear" w:color="auto" w:fill="auto"/>
            <w:noWrap/>
            <w:vAlign w:val="center"/>
            <w:hideMark/>
          </w:tcPr>
          <w:p w14:paraId="0CAA307E" w14:textId="77777777" w:rsidR="00BC5219" w:rsidRPr="008A2B8F" w:rsidRDefault="00BC5219" w:rsidP="00E83802">
            <w:pPr>
              <w:jc w:val="center"/>
              <w:rPr>
                <w:rFonts w:ascii="Meta Pro" w:eastAsia="Times New Roman" w:hAnsi="Meta Pro"/>
                <w:szCs w:val="18"/>
                <w:lang w:eastAsia="en-AU"/>
              </w:rPr>
            </w:pPr>
            <w:r w:rsidRPr="008A2B8F">
              <w:rPr>
                <w:rFonts w:ascii="Meta Pro" w:eastAsia="Times New Roman" w:hAnsi="Meta Pro"/>
                <w:szCs w:val="18"/>
                <w:lang w:eastAsia="en-AU"/>
              </w:rPr>
              <w:t>19</w:t>
            </w:r>
          </w:p>
        </w:tc>
        <w:tc>
          <w:tcPr>
            <w:tcW w:w="1157" w:type="dxa"/>
            <w:tcBorders>
              <w:top w:val="nil"/>
              <w:left w:val="nil"/>
              <w:bottom w:val="nil"/>
              <w:right w:val="nil"/>
            </w:tcBorders>
            <w:shd w:val="clear" w:color="000000" w:fill="C9E3B4"/>
            <w:noWrap/>
            <w:vAlign w:val="center"/>
            <w:hideMark/>
          </w:tcPr>
          <w:p w14:paraId="78131415"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551,381 </w:t>
            </w:r>
          </w:p>
        </w:tc>
        <w:tc>
          <w:tcPr>
            <w:tcW w:w="216" w:type="dxa"/>
            <w:tcBorders>
              <w:top w:val="nil"/>
              <w:left w:val="nil"/>
              <w:bottom w:val="nil"/>
              <w:right w:val="nil"/>
            </w:tcBorders>
            <w:shd w:val="clear" w:color="auto" w:fill="auto"/>
            <w:noWrap/>
            <w:vAlign w:val="center"/>
            <w:hideMark/>
          </w:tcPr>
          <w:p w14:paraId="0EF66052" w14:textId="77777777" w:rsidR="00BC5219" w:rsidRPr="008A2B8F"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1CD9D27A"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554,873 </w:t>
            </w:r>
          </w:p>
        </w:tc>
      </w:tr>
      <w:tr w:rsidR="00BC5219" w:rsidRPr="008A2B8F" w14:paraId="46E6E293" w14:textId="77777777" w:rsidTr="00E83802">
        <w:trPr>
          <w:trHeight w:val="23"/>
        </w:trPr>
        <w:tc>
          <w:tcPr>
            <w:tcW w:w="6176" w:type="dxa"/>
            <w:tcBorders>
              <w:top w:val="single" w:sz="4" w:space="0" w:color="auto"/>
              <w:left w:val="nil"/>
              <w:bottom w:val="double" w:sz="6" w:space="0" w:color="auto"/>
              <w:right w:val="nil"/>
            </w:tcBorders>
            <w:shd w:val="clear" w:color="auto" w:fill="auto"/>
            <w:noWrap/>
            <w:vAlign w:val="center"/>
            <w:hideMark/>
          </w:tcPr>
          <w:p w14:paraId="375EEB03"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lastRenderedPageBreak/>
              <w:t>Total</w:t>
            </w:r>
          </w:p>
        </w:tc>
        <w:tc>
          <w:tcPr>
            <w:tcW w:w="1036" w:type="dxa"/>
            <w:tcBorders>
              <w:top w:val="single" w:sz="4" w:space="0" w:color="auto"/>
              <w:left w:val="nil"/>
              <w:bottom w:val="double" w:sz="6" w:space="0" w:color="auto"/>
              <w:right w:val="nil"/>
            </w:tcBorders>
            <w:shd w:val="clear" w:color="auto" w:fill="auto"/>
            <w:noWrap/>
            <w:vAlign w:val="center"/>
            <w:hideMark/>
          </w:tcPr>
          <w:p w14:paraId="4F6A90CE" w14:textId="77777777" w:rsidR="00BC5219" w:rsidRPr="008A2B8F" w:rsidRDefault="00BC5219" w:rsidP="00E83802">
            <w:pPr>
              <w:jc w:val="center"/>
              <w:rPr>
                <w:rFonts w:ascii="Meta Pro" w:eastAsia="Times New Roman" w:hAnsi="Meta Pro"/>
                <w:szCs w:val="18"/>
                <w:lang w:eastAsia="en-AU"/>
              </w:rPr>
            </w:pPr>
            <w:r w:rsidRPr="008A2B8F">
              <w:rPr>
                <w:rFonts w:ascii="Meta Pro" w:eastAsia="Times New Roman" w:hAnsi="Meta Pro"/>
                <w:szCs w:val="18"/>
                <w:lang w:eastAsia="en-AU"/>
              </w:rPr>
              <w:t> </w:t>
            </w:r>
          </w:p>
        </w:tc>
        <w:tc>
          <w:tcPr>
            <w:tcW w:w="1157" w:type="dxa"/>
            <w:tcBorders>
              <w:top w:val="single" w:sz="4" w:space="0" w:color="auto"/>
              <w:left w:val="nil"/>
              <w:bottom w:val="double" w:sz="6" w:space="0" w:color="auto"/>
              <w:right w:val="nil"/>
            </w:tcBorders>
            <w:shd w:val="clear" w:color="000000" w:fill="C9E3B4"/>
            <w:noWrap/>
            <w:vAlign w:val="center"/>
            <w:hideMark/>
          </w:tcPr>
          <w:p w14:paraId="464209F3"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551,381 </w:t>
            </w:r>
          </w:p>
        </w:tc>
        <w:tc>
          <w:tcPr>
            <w:tcW w:w="216" w:type="dxa"/>
            <w:tcBorders>
              <w:top w:val="single" w:sz="4" w:space="0" w:color="auto"/>
              <w:left w:val="nil"/>
              <w:bottom w:val="double" w:sz="6" w:space="0" w:color="auto"/>
              <w:right w:val="nil"/>
            </w:tcBorders>
            <w:shd w:val="clear" w:color="auto" w:fill="auto"/>
            <w:noWrap/>
            <w:vAlign w:val="center"/>
            <w:hideMark/>
          </w:tcPr>
          <w:p w14:paraId="6E848452"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w:t>
            </w:r>
          </w:p>
        </w:tc>
        <w:tc>
          <w:tcPr>
            <w:tcW w:w="1157" w:type="dxa"/>
            <w:tcBorders>
              <w:top w:val="single" w:sz="4" w:space="0" w:color="auto"/>
              <w:left w:val="nil"/>
              <w:bottom w:val="double" w:sz="6" w:space="0" w:color="auto"/>
              <w:right w:val="nil"/>
            </w:tcBorders>
            <w:shd w:val="clear" w:color="auto" w:fill="auto"/>
            <w:noWrap/>
            <w:vAlign w:val="center"/>
            <w:hideMark/>
          </w:tcPr>
          <w:p w14:paraId="6CD51DD8"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554,873 </w:t>
            </w:r>
          </w:p>
        </w:tc>
      </w:tr>
    </w:tbl>
    <w:p w14:paraId="228F0C07" w14:textId="77777777" w:rsidR="00BC5219" w:rsidRPr="008A2B8F" w:rsidRDefault="00BC5219" w:rsidP="00BC5219">
      <w:pPr>
        <w:spacing w:before="120" w:after="120"/>
        <w:rPr>
          <w:rFonts w:ascii="Meta Pro" w:eastAsia="Times New Roman" w:hAnsi="Meta Pro"/>
          <w:szCs w:val="18"/>
          <w:lang w:eastAsia="en-AU"/>
        </w:rPr>
      </w:pPr>
      <w:r w:rsidRPr="008A2B8F">
        <w:rPr>
          <w:rFonts w:ascii="Meta Pro" w:eastAsia="Times New Roman" w:hAnsi="Meta Pro"/>
          <w:szCs w:val="18"/>
          <w:lang w:eastAsia="en-AU"/>
        </w:rPr>
        <w:t xml:space="preserve">In March 2019, an amendment deed was signed by NGR Project Company Pty Ltd to rectify the trains in accordance with the </w:t>
      </w:r>
      <w:r w:rsidRPr="008A2B8F">
        <w:rPr>
          <w:rFonts w:ascii="Meta Pro" w:eastAsia="Times New Roman" w:hAnsi="Meta Pro"/>
          <w:i/>
          <w:iCs/>
          <w:szCs w:val="18"/>
          <w:lang w:eastAsia="en-AU"/>
        </w:rPr>
        <w:t>Disability Standards for Accessible Public Transport 2002 (Cth).</w:t>
      </w:r>
      <w:r w:rsidRPr="008A2B8F">
        <w:rPr>
          <w:rFonts w:ascii="Meta Pro" w:eastAsia="Times New Roman" w:hAnsi="Meta Pro"/>
          <w:szCs w:val="18"/>
          <w:lang w:eastAsia="en-AU"/>
        </w:rPr>
        <w:t xml:space="preserve"> Rectification of the trains is expected to be completed by 2024. Rectification works have been completed for 26 trains in 2022–23, with a total of 44 units upgraded to date under this agreement. Refer to Note 20.</w:t>
      </w:r>
    </w:p>
    <w:p w14:paraId="64CD2E39" w14:textId="77777777" w:rsidR="00BC5219" w:rsidRPr="008A2B8F" w:rsidRDefault="00BC5219" w:rsidP="00BC5219">
      <w:pPr>
        <w:spacing w:after="120"/>
        <w:rPr>
          <w:rFonts w:ascii="Meta Pro" w:eastAsia="Times New Roman" w:hAnsi="Meta Pro"/>
          <w:szCs w:val="18"/>
          <w:lang w:eastAsia="en-AU"/>
        </w:rPr>
      </w:pPr>
      <w:r w:rsidRPr="008A2B8F">
        <w:rPr>
          <w:rFonts w:ascii="Meta Pro" w:eastAsia="Times New Roman" w:hAnsi="Meta Pro"/>
          <w:szCs w:val="18"/>
          <w:lang w:eastAsia="en-AU"/>
        </w:rPr>
        <w:t>Ownership of the train sets and maintenance centre resides with the department during the period of the arrangement.</w:t>
      </w:r>
    </w:p>
    <w:p w14:paraId="2E733E10" w14:textId="77777777" w:rsidR="00BC5219" w:rsidRPr="008A2B8F" w:rsidRDefault="00BC5219" w:rsidP="00BC5219">
      <w:pPr>
        <w:spacing w:after="120"/>
        <w:rPr>
          <w:rFonts w:ascii="Meta Pro" w:hAnsi="Meta Pro" w:cstheme="minorBidi"/>
        </w:rPr>
      </w:pPr>
      <w:r w:rsidRPr="008A2B8F">
        <w:rPr>
          <w:rFonts w:ascii="Meta Pro" w:eastAsia="Times New Roman" w:hAnsi="Meta Pro"/>
          <w:szCs w:val="18"/>
          <w:lang w:eastAsia="en-AU"/>
        </w:rPr>
        <w:t>The estimated future cash flows excluding GST are detailed below:</w:t>
      </w:r>
    </w:p>
    <w:tbl>
      <w:tblPr>
        <w:tblW w:w="0" w:type="auto"/>
        <w:tblCellMar>
          <w:left w:w="0" w:type="dxa"/>
        </w:tblCellMar>
        <w:tblLook w:val="04A0" w:firstRow="1" w:lastRow="0" w:firstColumn="1" w:lastColumn="0" w:noHBand="0" w:noVBand="1"/>
      </w:tblPr>
      <w:tblGrid>
        <w:gridCol w:w="6184"/>
        <w:gridCol w:w="1044"/>
        <w:gridCol w:w="1165"/>
        <w:gridCol w:w="224"/>
        <w:gridCol w:w="1165"/>
      </w:tblGrid>
      <w:tr w:rsidR="00BC5219" w:rsidRPr="008A2B8F" w14:paraId="7B81F557" w14:textId="77777777" w:rsidTr="00E83802">
        <w:trPr>
          <w:trHeight w:val="272"/>
        </w:trPr>
        <w:tc>
          <w:tcPr>
            <w:tcW w:w="6176" w:type="dxa"/>
            <w:tcBorders>
              <w:top w:val="nil"/>
              <w:left w:val="nil"/>
              <w:bottom w:val="nil"/>
              <w:right w:val="nil"/>
            </w:tcBorders>
            <w:shd w:val="clear" w:color="auto" w:fill="auto"/>
            <w:noWrap/>
            <w:vAlign w:val="center"/>
            <w:hideMark/>
          </w:tcPr>
          <w:p w14:paraId="1620C13C"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Estimated cash flows</w:t>
            </w:r>
          </w:p>
        </w:tc>
        <w:tc>
          <w:tcPr>
            <w:tcW w:w="1036" w:type="dxa"/>
            <w:tcBorders>
              <w:top w:val="nil"/>
              <w:left w:val="nil"/>
              <w:bottom w:val="nil"/>
              <w:right w:val="nil"/>
            </w:tcBorders>
            <w:shd w:val="clear" w:color="auto" w:fill="auto"/>
            <w:noWrap/>
            <w:vAlign w:val="center"/>
            <w:hideMark/>
          </w:tcPr>
          <w:p w14:paraId="01A1D0F9" w14:textId="77777777" w:rsidR="00BC5219" w:rsidRPr="008A2B8F" w:rsidRDefault="00BC5219" w:rsidP="00E83802">
            <w:pPr>
              <w:rPr>
                <w:rFonts w:ascii="Meta Pro" w:eastAsia="Times New Roman" w:hAnsi="Meta Pro"/>
                <w:b/>
                <w:bCs/>
                <w:szCs w:val="18"/>
                <w:lang w:eastAsia="en-AU"/>
              </w:rPr>
            </w:pPr>
          </w:p>
        </w:tc>
        <w:tc>
          <w:tcPr>
            <w:tcW w:w="1157" w:type="dxa"/>
            <w:tcBorders>
              <w:top w:val="nil"/>
              <w:left w:val="nil"/>
              <w:bottom w:val="nil"/>
              <w:right w:val="nil"/>
            </w:tcBorders>
            <w:shd w:val="clear" w:color="auto" w:fill="auto"/>
            <w:noWrap/>
            <w:vAlign w:val="center"/>
            <w:hideMark/>
          </w:tcPr>
          <w:p w14:paraId="37DAA072" w14:textId="77777777" w:rsidR="00BC5219" w:rsidRPr="008A2B8F" w:rsidRDefault="00BC5219" w:rsidP="00E83802">
            <w:pPr>
              <w:jc w:val="cente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594A13E6" w14:textId="77777777" w:rsidR="00BC5219" w:rsidRPr="008A2B8F" w:rsidRDefault="00BC5219" w:rsidP="00E83802">
            <w:pPr>
              <w:rPr>
                <w:rFonts w:ascii="Meta Pro" w:eastAsia="Times New Roman" w:hAnsi="Meta Pro" w:cs="Times New Roman"/>
                <w:sz w:val="20"/>
                <w:szCs w:val="20"/>
                <w:lang w:eastAsia="en-AU"/>
              </w:rPr>
            </w:pPr>
          </w:p>
        </w:tc>
        <w:tc>
          <w:tcPr>
            <w:tcW w:w="1157" w:type="dxa"/>
            <w:tcBorders>
              <w:top w:val="nil"/>
              <w:left w:val="nil"/>
              <w:bottom w:val="nil"/>
              <w:right w:val="nil"/>
            </w:tcBorders>
            <w:shd w:val="clear" w:color="auto" w:fill="auto"/>
            <w:noWrap/>
            <w:vAlign w:val="center"/>
            <w:hideMark/>
          </w:tcPr>
          <w:p w14:paraId="09EA45BC"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08950C60" w14:textId="77777777" w:rsidTr="00E83802">
        <w:trPr>
          <w:trHeight w:val="23"/>
        </w:trPr>
        <w:tc>
          <w:tcPr>
            <w:tcW w:w="6176" w:type="dxa"/>
            <w:tcBorders>
              <w:top w:val="nil"/>
              <w:left w:val="nil"/>
              <w:bottom w:val="nil"/>
              <w:right w:val="nil"/>
            </w:tcBorders>
            <w:shd w:val="clear" w:color="auto" w:fill="auto"/>
            <w:noWrap/>
            <w:vAlign w:val="center"/>
            <w:hideMark/>
          </w:tcPr>
          <w:p w14:paraId="43AE05B6" w14:textId="77777777" w:rsidR="00BC5219" w:rsidRPr="008A2B8F" w:rsidRDefault="00BC5219" w:rsidP="00E83802">
            <w:pPr>
              <w:rPr>
                <w:rFonts w:ascii="Meta Pro" w:eastAsia="Times New Roman" w:hAnsi="Meta Pro"/>
                <w:i/>
                <w:iCs/>
                <w:szCs w:val="18"/>
                <w:lang w:eastAsia="en-AU"/>
              </w:rPr>
            </w:pPr>
            <w:r w:rsidRPr="008A2B8F">
              <w:rPr>
                <w:rFonts w:ascii="Meta Pro" w:eastAsia="Times New Roman" w:hAnsi="Meta Pro"/>
                <w:i/>
                <w:iCs/>
                <w:szCs w:val="18"/>
                <w:lang w:eastAsia="en-AU"/>
              </w:rPr>
              <w:t>Inflows:</w:t>
            </w:r>
          </w:p>
        </w:tc>
        <w:tc>
          <w:tcPr>
            <w:tcW w:w="1036" w:type="dxa"/>
            <w:tcBorders>
              <w:top w:val="nil"/>
              <w:left w:val="nil"/>
              <w:bottom w:val="nil"/>
              <w:right w:val="nil"/>
            </w:tcBorders>
            <w:shd w:val="clear" w:color="auto" w:fill="auto"/>
            <w:noWrap/>
            <w:vAlign w:val="center"/>
            <w:hideMark/>
          </w:tcPr>
          <w:p w14:paraId="061E01BE" w14:textId="77777777" w:rsidR="00BC5219" w:rsidRPr="008A2B8F" w:rsidRDefault="00BC5219" w:rsidP="00E83802">
            <w:pPr>
              <w:rPr>
                <w:rFonts w:ascii="Meta Pro" w:eastAsia="Times New Roman" w:hAnsi="Meta Pro"/>
                <w:i/>
                <w:iCs/>
                <w:szCs w:val="18"/>
                <w:lang w:eastAsia="en-AU"/>
              </w:rPr>
            </w:pPr>
          </w:p>
        </w:tc>
        <w:tc>
          <w:tcPr>
            <w:tcW w:w="1157" w:type="dxa"/>
            <w:tcBorders>
              <w:top w:val="nil"/>
              <w:left w:val="nil"/>
              <w:bottom w:val="nil"/>
              <w:right w:val="nil"/>
            </w:tcBorders>
            <w:shd w:val="clear" w:color="auto" w:fill="auto"/>
            <w:noWrap/>
            <w:vAlign w:val="center"/>
            <w:hideMark/>
          </w:tcPr>
          <w:p w14:paraId="48359BB5" w14:textId="77777777" w:rsidR="00BC5219" w:rsidRPr="008A2B8F" w:rsidRDefault="00BC5219" w:rsidP="00E83802">
            <w:pPr>
              <w:jc w:val="cente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4BA345BF" w14:textId="77777777" w:rsidR="00BC5219" w:rsidRPr="008A2B8F" w:rsidRDefault="00BC5219" w:rsidP="00E83802">
            <w:pPr>
              <w:jc w:val="right"/>
              <w:rPr>
                <w:rFonts w:ascii="Meta Pro" w:eastAsia="Times New Roman" w:hAnsi="Meta Pro" w:cs="Times New Roman"/>
                <w:sz w:val="20"/>
                <w:szCs w:val="20"/>
                <w:lang w:eastAsia="en-AU"/>
              </w:rPr>
            </w:pPr>
          </w:p>
        </w:tc>
        <w:tc>
          <w:tcPr>
            <w:tcW w:w="1157" w:type="dxa"/>
            <w:tcBorders>
              <w:top w:val="nil"/>
              <w:left w:val="nil"/>
              <w:bottom w:val="nil"/>
              <w:right w:val="nil"/>
            </w:tcBorders>
            <w:shd w:val="clear" w:color="auto" w:fill="auto"/>
            <w:noWrap/>
            <w:vAlign w:val="center"/>
            <w:hideMark/>
          </w:tcPr>
          <w:p w14:paraId="51B785CE"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4C0C6F92" w14:textId="77777777" w:rsidTr="00E83802">
        <w:trPr>
          <w:trHeight w:val="23"/>
        </w:trPr>
        <w:tc>
          <w:tcPr>
            <w:tcW w:w="6176" w:type="dxa"/>
            <w:tcBorders>
              <w:top w:val="nil"/>
              <w:left w:val="nil"/>
              <w:bottom w:val="nil"/>
              <w:right w:val="nil"/>
            </w:tcBorders>
            <w:shd w:val="clear" w:color="auto" w:fill="auto"/>
            <w:noWrap/>
            <w:vAlign w:val="center"/>
            <w:hideMark/>
          </w:tcPr>
          <w:p w14:paraId="59087EDD"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Not later than one year</w:t>
            </w:r>
          </w:p>
        </w:tc>
        <w:tc>
          <w:tcPr>
            <w:tcW w:w="1036" w:type="dxa"/>
            <w:tcBorders>
              <w:top w:val="nil"/>
              <w:left w:val="nil"/>
              <w:bottom w:val="nil"/>
              <w:right w:val="nil"/>
            </w:tcBorders>
            <w:shd w:val="clear" w:color="auto" w:fill="auto"/>
            <w:noWrap/>
            <w:vAlign w:val="center"/>
            <w:hideMark/>
          </w:tcPr>
          <w:p w14:paraId="35F7C2C5" w14:textId="77777777" w:rsidR="00BC5219" w:rsidRPr="008A2B8F" w:rsidRDefault="00BC5219" w:rsidP="00E83802">
            <w:pPr>
              <w:rPr>
                <w:rFonts w:ascii="Meta Pro" w:eastAsia="Times New Roman" w:hAnsi="Meta Pro"/>
                <w:szCs w:val="18"/>
                <w:lang w:eastAsia="en-AU"/>
              </w:rPr>
            </w:pPr>
          </w:p>
        </w:tc>
        <w:tc>
          <w:tcPr>
            <w:tcW w:w="1157" w:type="dxa"/>
            <w:tcBorders>
              <w:top w:val="nil"/>
              <w:left w:val="nil"/>
              <w:bottom w:val="nil"/>
              <w:right w:val="nil"/>
            </w:tcBorders>
            <w:shd w:val="clear" w:color="000000" w:fill="C9E3B4"/>
            <w:noWrap/>
            <w:vAlign w:val="center"/>
            <w:hideMark/>
          </w:tcPr>
          <w:p w14:paraId="7CF7DB46"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216" w:type="dxa"/>
            <w:tcBorders>
              <w:top w:val="nil"/>
              <w:left w:val="nil"/>
              <w:bottom w:val="nil"/>
              <w:right w:val="nil"/>
            </w:tcBorders>
            <w:shd w:val="clear" w:color="auto" w:fill="auto"/>
            <w:noWrap/>
            <w:vAlign w:val="center"/>
            <w:hideMark/>
          </w:tcPr>
          <w:p w14:paraId="4BA41938" w14:textId="77777777" w:rsidR="00BC5219" w:rsidRPr="008A2B8F"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71685EDE"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r>
      <w:tr w:rsidR="00BC5219" w:rsidRPr="008A2B8F" w14:paraId="46046714" w14:textId="77777777" w:rsidTr="00E83802">
        <w:trPr>
          <w:trHeight w:val="23"/>
        </w:trPr>
        <w:tc>
          <w:tcPr>
            <w:tcW w:w="6176" w:type="dxa"/>
            <w:tcBorders>
              <w:top w:val="nil"/>
              <w:left w:val="nil"/>
              <w:bottom w:val="nil"/>
              <w:right w:val="nil"/>
            </w:tcBorders>
            <w:shd w:val="clear" w:color="auto" w:fill="auto"/>
            <w:noWrap/>
            <w:vAlign w:val="center"/>
            <w:hideMark/>
          </w:tcPr>
          <w:p w14:paraId="142116DF"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Later than one year but not later than five years</w:t>
            </w:r>
          </w:p>
        </w:tc>
        <w:tc>
          <w:tcPr>
            <w:tcW w:w="1036" w:type="dxa"/>
            <w:tcBorders>
              <w:top w:val="nil"/>
              <w:left w:val="nil"/>
              <w:bottom w:val="nil"/>
              <w:right w:val="nil"/>
            </w:tcBorders>
            <w:shd w:val="clear" w:color="auto" w:fill="auto"/>
            <w:noWrap/>
            <w:vAlign w:val="center"/>
            <w:hideMark/>
          </w:tcPr>
          <w:p w14:paraId="547732E4" w14:textId="77777777" w:rsidR="00BC5219" w:rsidRPr="008A2B8F" w:rsidRDefault="00BC5219" w:rsidP="00E83802">
            <w:pPr>
              <w:rPr>
                <w:rFonts w:ascii="Meta Pro" w:eastAsia="Times New Roman" w:hAnsi="Meta Pro"/>
                <w:szCs w:val="18"/>
                <w:lang w:eastAsia="en-AU"/>
              </w:rPr>
            </w:pPr>
          </w:p>
        </w:tc>
        <w:tc>
          <w:tcPr>
            <w:tcW w:w="1157" w:type="dxa"/>
            <w:tcBorders>
              <w:top w:val="nil"/>
              <w:left w:val="nil"/>
              <w:bottom w:val="nil"/>
              <w:right w:val="nil"/>
            </w:tcBorders>
            <w:shd w:val="clear" w:color="000000" w:fill="C9E3B4"/>
            <w:noWrap/>
            <w:vAlign w:val="center"/>
            <w:hideMark/>
          </w:tcPr>
          <w:p w14:paraId="7BE83269"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216" w:type="dxa"/>
            <w:tcBorders>
              <w:top w:val="nil"/>
              <w:left w:val="nil"/>
              <w:bottom w:val="nil"/>
              <w:right w:val="nil"/>
            </w:tcBorders>
            <w:shd w:val="clear" w:color="auto" w:fill="auto"/>
            <w:noWrap/>
            <w:vAlign w:val="center"/>
            <w:hideMark/>
          </w:tcPr>
          <w:p w14:paraId="15E2E154" w14:textId="77777777" w:rsidR="00BC5219" w:rsidRPr="008A2B8F"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3BEB1EAB"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r>
      <w:tr w:rsidR="00BC5219" w:rsidRPr="008A2B8F" w14:paraId="1FBF55B0" w14:textId="77777777" w:rsidTr="00E83802">
        <w:trPr>
          <w:trHeight w:val="23"/>
        </w:trPr>
        <w:tc>
          <w:tcPr>
            <w:tcW w:w="6176" w:type="dxa"/>
            <w:tcBorders>
              <w:top w:val="nil"/>
              <w:left w:val="nil"/>
              <w:bottom w:val="nil"/>
              <w:right w:val="nil"/>
            </w:tcBorders>
            <w:shd w:val="clear" w:color="auto" w:fill="auto"/>
            <w:noWrap/>
            <w:vAlign w:val="center"/>
            <w:hideMark/>
          </w:tcPr>
          <w:p w14:paraId="31F345C1"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Later than five years but not later than ten years</w:t>
            </w:r>
          </w:p>
        </w:tc>
        <w:tc>
          <w:tcPr>
            <w:tcW w:w="1036" w:type="dxa"/>
            <w:tcBorders>
              <w:top w:val="nil"/>
              <w:left w:val="nil"/>
              <w:bottom w:val="nil"/>
              <w:right w:val="nil"/>
            </w:tcBorders>
            <w:shd w:val="clear" w:color="auto" w:fill="auto"/>
            <w:noWrap/>
            <w:vAlign w:val="center"/>
            <w:hideMark/>
          </w:tcPr>
          <w:p w14:paraId="5CC7CEA2" w14:textId="77777777" w:rsidR="00BC5219" w:rsidRPr="008A2B8F" w:rsidRDefault="00BC5219" w:rsidP="00E83802">
            <w:pPr>
              <w:rPr>
                <w:rFonts w:ascii="Meta Pro" w:eastAsia="Times New Roman" w:hAnsi="Meta Pro"/>
                <w:szCs w:val="18"/>
                <w:lang w:eastAsia="en-AU"/>
              </w:rPr>
            </w:pPr>
          </w:p>
        </w:tc>
        <w:tc>
          <w:tcPr>
            <w:tcW w:w="1157" w:type="dxa"/>
            <w:tcBorders>
              <w:top w:val="nil"/>
              <w:left w:val="nil"/>
              <w:bottom w:val="nil"/>
              <w:right w:val="nil"/>
            </w:tcBorders>
            <w:shd w:val="clear" w:color="000000" w:fill="C9E3B4"/>
            <w:noWrap/>
            <w:vAlign w:val="center"/>
            <w:hideMark/>
          </w:tcPr>
          <w:p w14:paraId="784F0EAA"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216" w:type="dxa"/>
            <w:tcBorders>
              <w:top w:val="nil"/>
              <w:left w:val="nil"/>
              <w:bottom w:val="nil"/>
              <w:right w:val="nil"/>
            </w:tcBorders>
            <w:shd w:val="clear" w:color="auto" w:fill="auto"/>
            <w:noWrap/>
            <w:vAlign w:val="center"/>
            <w:hideMark/>
          </w:tcPr>
          <w:p w14:paraId="0BF28C98" w14:textId="77777777" w:rsidR="00BC5219" w:rsidRPr="008A2B8F"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73084801"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r>
      <w:tr w:rsidR="00BC5219" w:rsidRPr="008A2B8F" w14:paraId="502C58E4" w14:textId="77777777" w:rsidTr="00E83802">
        <w:trPr>
          <w:trHeight w:val="23"/>
        </w:trPr>
        <w:tc>
          <w:tcPr>
            <w:tcW w:w="6176" w:type="dxa"/>
            <w:tcBorders>
              <w:top w:val="nil"/>
              <w:left w:val="nil"/>
              <w:bottom w:val="nil"/>
              <w:right w:val="nil"/>
            </w:tcBorders>
            <w:shd w:val="clear" w:color="auto" w:fill="auto"/>
            <w:noWrap/>
            <w:vAlign w:val="center"/>
            <w:hideMark/>
          </w:tcPr>
          <w:p w14:paraId="0A46F637"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Later than ten years</w:t>
            </w:r>
          </w:p>
        </w:tc>
        <w:tc>
          <w:tcPr>
            <w:tcW w:w="1036" w:type="dxa"/>
            <w:tcBorders>
              <w:top w:val="nil"/>
              <w:left w:val="nil"/>
              <w:bottom w:val="nil"/>
              <w:right w:val="nil"/>
            </w:tcBorders>
            <w:shd w:val="clear" w:color="auto" w:fill="auto"/>
            <w:noWrap/>
            <w:vAlign w:val="center"/>
            <w:hideMark/>
          </w:tcPr>
          <w:p w14:paraId="5F605513" w14:textId="77777777" w:rsidR="00BC5219" w:rsidRPr="008A2B8F" w:rsidRDefault="00BC5219" w:rsidP="00E83802">
            <w:pPr>
              <w:rPr>
                <w:rFonts w:ascii="Meta Pro" w:eastAsia="Times New Roman" w:hAnsi="Meta Pro"/>
                <w:szCs w:val="18"/>
                <w:lang w:eastAsia="en-AU"/>
              </w:rPr>
            </w:pPr>
          </w:p>
        </w:tc>
        <w:tc>
          <w:tcPr>
            <w:tcW w:w="1157" w:type="dxa"/>
            <w:tcBorders>
              <w:top w:val="nil"/>
              <w:left w:val="nil"/>
              <w:bottom w:val="nil"/>
              <w:right w:val="nil"/>
            </w:tcBorders>
            <w:shd w:val="clear" w:color="000000" w:fill="C9E3B4"/>
            <w:noWrap/>
            <w:vAlign w:val="center"/>
            <w:hideMark/>
          </w:tcPr>
          <w:p w14:paraId="0DACA37B"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c>
          <w:tcPr>
            <w:tcW w:w="216" w:type="dxa"/>
            <w:tcBorders>
              <w:top w:val="nil"/>
              <w:left w:val="nil"/>
              <w:bottom w:val="nil"/>
              <w:right w:val="nil"/>
            </w:tcBorders>
            <w:shd w:val="clear" w:color="auto" w:fill="auto"/>
            <w:noWrap/>
            <w:vAlign w:val="center"/>
            <w:hideMark/>
          </w:tcPr>
          <w:p w14:paraId="3308568A" w14:textId="77777777" w:rsidR="00BC5219" w:rsidRPr="008A2B8F"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61ECB017"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 </w:t>
            </w:r>
          </w:p>
        </w:tc>
      </w:tr>
      <w:tr w:rsidR="00BC5219" w:rsidRPr="008A2B8F" w14:paraId="33130449" w14:textId="77777777" w:rsidTr="00E83802">
        <w:trPr>
          <w:trHeight w:val="23"/>
        </w:trPr>
        <w:tc>
          <w:tcPr>
            <w:tcW w:w="6176" w:type="dxa"/>
            <w:tcBorders>
              <w:top w:val="nil"/>
              <w:left w:val="nil"/>
              <w:bottom w:val="nil"/>
              <w:right w:val="nil"/>
            </w:tcBorders>
            <w:shd w:val="clear" w:color="auto" w:fill="auto"/>
            <w:noWrap/>
            <w:vAlign w:val="center"/>
            <w:hideMark/>
          </w:tcPr>
          <w:p w14:paraId="505B0A4E" w14:textId="77777777" w:rsidR="00BC5219" w:rsidRPr="008A2B8F" w:rsidRDefault="00BC5219" w:rsidP="00E83802">
            <w:pPr>
              <w:rPr>
                <w:rFonts w:ascii="Meta Pro" w:eastAsia="Times New Roman" w:hAnsi="Meta Pro"/>
                <w:i/>
                <w:iCs/>
                <w:szCs w:val="18"/>
                <w:lang w:eastAsia="en-AU"/>
              </w:rPr>
            </w:pPr>
            <w:r w:rsidRPr="008A2B8F">
              <w:rPr>
                <w:rFonts w:ascii="Meta Pro" w:eastAsia="Times New Roman" w:hAnsi="Meta Pro"/>
                <w:i/>
                <w:iCs/>
                <w:szCs w:val="18"/>
                <w:lang w:eastAsia="en-AU"/>
              </w:rPr>
              <w:t>Outflows:</w:t>
            </w:r>
          </w:p>
        </w:tc>
        <w:tc>
          <w:tcPr>
            <w:tcW w:w="1036" w:type="dxa"/>
            <w:tcBorders>
              <w:top w:val="nil"/>
              <w:left w:val="nil"/>
              <w:bottom w:val="nil"/>
              <w:right w:val="nil"/>
            </w:tcBorders>
            <w:shd w:val="clear" w:color="auto" w:fill="auto"/>
            <w:noWrap/>
            <w:vAlign w:val="center"/>
            <w:hideMark/>
          </w:tcPr>
          <w:p w14:paraId="4FA72641" w14:textId="77777777" w:rsidR="00BC5219" w:rsidRPr="008A2B8F" w:rsidRDefault="00BC5219" w:rsidP="00E83802">
            <w:pPr>
              <w:rPr>
                <w:rFonts w:ascii="Meta Pro" w:eastAsia="Times New Roman" w:hAnsi="Meta Pro"/>
                <w:i/>
                <w:iCs/>
                <w:szCs w:val="18"/>
                <w:lang w:eastAsia="en-AU"/>
              </w:rPr>
            </w:pPr>
          </w:p>
        </w:tc>
        <w:tc>
          <w:tcPr>
            <w:tcW w:w="1157" w:type="dxa"/>
            <w:tcBorders>
              <w:top w:val="nil"/>
              <w:left w:val="nil"/>
              <w:bottom w:val="nil"/>
              <w:right w:val="nil"/>
            </w:tcBorders>
            <w:shd w:val="clear" w:color="000000" w:fill="C9E3B4"/>
            <w:noWrap/>
            <w:vAlign w:val="center"/>
            <w:hideMark/>
          </w:tcPr>
          <w:p w14:paraId="5A73763C" w14:textId="77777777" w:rsidR="00BC5219" w:rsidRPr="008A2B8F" w:rsidRDefault="00BC5219" w:rsidP="00E83802">
            <w:pPr>
              <w:rPr>
                <w:rFonts w:ascii="Meta Pro" w:eastAsia="Times New Roman" w:hAnsi="Meta Pro"/>
                <w:i/>
                <w:iCs/>
                <w:szCs w:val="18"/>
                <w:lang w:eastAsia="en-AU"/>
              </w:rPr>
            </w:pPr>
            <w:r w:rsidRPr="008A2B8F">
              <w:rPr>
                <w:rFonts w:ascii="Meta Pro" w:eastAsia="Times New Roman" w:hAnsi="Meta Pro"/>
                <w:i/>
                <w:iCs/>
                <w:szCs w:val="18"/>
                <w:lang w:eastAsia="en-AU"/>
              </w:rPr>
              <w:t> </w:t>
            </w:r>
          </w:p>
        </w:tc>
        <w:tc>
          <w:tcPr>
            <w:tcW w:w="216" w:type="dxa"/>
            <w:tcBorders>
              <w:top w:val="nil"/>
              <w:left w:val="nil"/>
              <w:bottom w:val="nil"/>
              <w:right w:val="nil"/>
            </w:tcBorders>
            <w:shd w:val="clear" w:color="auto" w:fill="auto"/>
            <w:noWrap/>
            <w:vAlign w:val="center"/>
            <w:hideMark/>
          </w:tcPr>
          <w:p w14:paraId="1A8BC7D9" w14:textId="77777777" w:rsidR="00BC5219" w:rsidRPr="008A2B8F" w:rsidRDefault="00BC5219" w:rsidP="00E83802">
            <w:pPr>
              <w:rPr>
                <w:rFonts w:ascii="Meta Pro" w:eastAsia="Times New Roman" w:hAnsi="Meta Pro"/>
                <w:i/>
                <w:iCs/>
                <w:szCs w:val="18"/>
                <w:lang w:eastAsia="en-AU"/>
              </w:rPr>
            </w:pPr>
          </w:p>
        </w:tc>
        <w:tc>
          <w:tcPr>
            <w:tcW w:w="1157" w:type="dxa"/>
            <w:tcBorders>
              <w:top w:val="nil"/>
              <w:left w:val="nil"/>
              <w:bottom w:val="nil"/>
              <w:right w:val="nil"/>
            </w:tcBorders>
            <w:shd w:val="clear" w:color="auto" w:fill="auto"/>
            <w:noWrap/>
            <w:vAlign w:val="center"/>
            <w:hideMark/>
          </w:tcPr>
          <w:p w14:paraId="7F7E8075"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0A9B4938" w14:textId="77777777" w:rsidTr="00E83802">
        <w:trPr>
          <w:trHeight w:val="23"/>
        </w:trPr>
        <w:tc>
          <w:tcPr>
            <w:tcW w:w="6176" w:type="dxa"/>
            <w:tcBorders>
              <w:top w:val="nil"/>
              <w:left w:val="nil"/>
              <w:bottom w:val="nil"/>
              <w:right w:val="nil"/>
            </w:tcBorders>
            <w:shd w:val="clear" w:color="auto" w:fill="auto"/>
            <w:noWrap/>
            <w:vAlign w:val="center"/>
            <w:hideMark/>
          </w:tcPr>
          <w:p w14:paraId="7B98410D"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Not later than one year</w:t>
            </w:r>
          </w:p>
        </w:tc>
        <w:tc>
          <w:tcPr>
            <w:tcW w:w="1036" w:type="dxa"/>
            <w:tcBorders>
              <w:top w:val="nil"/>
              <w:left w:val="nil"/>
              <w:bottom w:val="nil"/>
              <w:right w:val="nil"/>
            </w:tcBorders>
            <w:shd w:val="clear" w:color="auto" w:fill="auto"/>
            <w:noWrap/>
            <w:vAlign w:val="center"/>
            <w:hideMark/>
          </w:tcPr>
          <w:p w14:paraId="1B049C71" w14:textId="77777777" w:rsidR="00BC5219" w:rsidRPr="008A2B8F" w:rsidRDefault="00BC5219" w:rsidP="00E83802">
            <w:pPr>
              <w:rPr>
                <w:rFonts w:ascii="Meta Pro" w:eastAsia="Times New Roman" w:hAnsi="Meta Pro"/>
                <w:szCs w:val="18"/>
                <w:lang w:eastAsia="en-AU"/>
              </w:rPr>
            </w:pPr>
          </w:p>
        </w:tc>
        <w:tc>
          <w:tcPr>
            <w:tcW w:w="1157" w:type="dxa"/>
            <w:tcBorders>
              <w:top w:val="nil"/>
              <w:left w:val="nil"/>
              <w:bottom w:val="nil"/>
              <w:right w:val="nil"/>
            </w:tcBorders>
            <w:shd w:val="clear" w:color="000000" w:fill="C9E3B4"/>
            <w:noWrap/>
            <w:vAlign w:val="center"/>
            <w:hideMark/>
          </w:tcPr>
          <w:p w14:paraId="1AF25353"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(74,426)</w:t>
            </w:r>
          </w:p>
        </w:tc>
        <w:tc>
          <w:tcPr>
            <w:tcW w:w="216" w:type="dxa"/>
            <w:tcBorders>
              <w:top w:val="nil"/>
              <w:left w:val="nil"/>
              <w:bottom w:val="nil"/>
              <w:right w:val="nil"/>
            </w:tcBorders>
            <w:shd w:val="clear" w:color="auto" w:fill="auto"/>
            <w:noWrap/>
            <w:vAlign w:val="center"/>
            <w:hideMark/>
          </w:tcPr>
          <w:p w14:paraId="5D735A70" w14:textId="77777777" w:rsidR="00BC5219" w:rsidRPr="008A2B8F"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2D6158E0"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(46,764)</w:t>
            </w:r>
          </w:p>
        </w:tc>
      </w:tr>
      <w:tr w:rsidR="00BC5219" w:rsidRPr="008A2B8F" w14:paraId="379AFEDC" w14:textId="77777777" w:rsidTr="00E83802">
        <w:trPr>
          <w:trHeight w:val="23"/>
        </w:trPr>
        <w:tc>
          <w:tcPr>
            <w:tcW w:w="6176" w:type="dxa"/>
            <w:tcBorders>
              <w:top w:val="nil"/>
              <w:left w:val="nil"/>
              <w:bottom w:val="nil"/>
              <w:right w:val="nil"/>
            </w:tcBorders>
            <w:shd w:val="clear" w:color="auto" w:fill="auto"/>
            <w:noWrap/>
            <w:vAlign w:val="center"/>
            <w:hideMark/>
          </w:tcPr>
          <w:p w14:paraId="02549388"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Later than one year but not later than five years</w:t>
            </w:r>
          </w:p>
        </w:tc>
        <w:tc>
          <w:tcPr>
            <w:tcW w:w="1036" w:type="dxa"/>
            <w:tcBorders>
              <w:top w:val="nil"/>
              <w:left w:val="nil"/>
              <w:bottom w:val="nil"/>
              <w:right w:val="nil"/>
            </w:tcBorders>
            <w:shd w:val="clear" w:color="auto" w:fill="auto"/>
            <w:noWrap/>
            <w:vAlign w:val="center"/>
            <w:hideMark/>
          </w:tcPr>
          <w:p w14:paraId="01AC8600" w14:textId="77777777" w:rsidR="00BC5219" w:rsidRPr="008A2B8F" w:rsidRDefault="00BC5219" w:rsidP="00E83802">
            <w:pPr>
              <w:rPr>
                <w:rFonts w:ascii="Meta Pro" w:eastAsia="Times New Roman" w:hAnsi="Meta Pro"/>
                <w:szCs w:val="18"/>
                <w:lang w:eastAsia="en-AU"/>
              </w:rPr>
            </w:pPr>
          </w:p>
        </w:tc>
        <w:tc>
          <w:tcPr>
            <w:tcW w:w="1157" w:type="dxa"/>
            <w:tcBorders>
              <w:top w:val="nil"/>
              <w:left w:val="nil"/>
              <w:bottom w:val="nil"/>
              <w:right w:val="nil"/>
            </w:tcBorders>
            <w:shd w:val="clear" w:color="000000" w:fill="C9E3B4"/>
            <w:noWrap/>
            <w:vAlign w:val="center"/>
            <w:hideMark/>
          </w:tcPr>
          <w:p w14:paraId="529D6D51"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(519,774)</w:t>
            </w:r>
          </w:p>
        </w:tc>
        <w:tc>
          <w:tcPr>
            <w:tcW w:w="216" w:type="dxa"/>
            <w:tcBorders>
              <w:top w:val="nil"/>
              <w:left w:val="nil"/>
              <w:bottom w:val="nil"/>
              <w:right w:val="nil"/>
            </w:tcBorders>
            <w:shd w:val="clear" w:color="auto" w:fill="auto"/>
            <w:noWrap/>
            <w:vAlign w:val="center"/>
            <w:hideMark/>
          </w:tcPr>
          <w:p w14:paraId="7C77998E" w14:textId="77777777" w:rsidR="00BC5219" w:rsidRPr="008A2B8F"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134ACCAF"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(356,386)</w:t>
            </w:r>
          </w:p>
        </w:tc>
      </w:tr>
      <w:tr w:rsidR="00BC5219" w:rsidRPr="008A2B8F" w14:paraId="3E0C6582" w14:textId="77777777" w:rsidTr="00E83802">
        <w:trPr>
          <w:trHeight w:val="23"/>
        </w:trPr>
        <w:tc>
          <w:tcPr>
            <w:tcW w:w="6176" w:type="dxa"/>
            <w:tcBorders>
              <w:top w:val="nil"/>
              <w:left w:val="nil"/>
              <w:bottom w:val="nil"/>
              <w:right w:val="nil"/>
            </w:tcBorders>
            <w:shd w:val="clear" w:color="auto" w:fill="auto"/>
            <w:noWrap/>
            <w:vAlign w:val="center"/>
            <w:hideMark/>
          </w:tcPr>
          <w:p w14:paraId="50301AFB"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Later than five years but not later than ten years</w:t>
            </w:r>
          </w:p>
        </w:tc>
        <w:tc>
          <w:tcPr>
            <w:tcW w:w="1036" w:type="dxa"/>
            <w:tcBorders>
              <w:top w:val="nil"/>
              <w:left w:val="nil"/>
              <w:bottom w:val="nil"/>
              <w:right w:val="nil"/>
            </w:tcBorders>
            <w:shd w:val="clear" w:color="auto" w:fill="auto"/>
            <w:noWrap/>
            <w:vAlign w:val="center"/>
            <w:hideMark/>
          </w:tcPr>
          <w:p w14:paraId="6087FFF3" w14:textId="77777777" w:rsidR="00BC5219" w:rsidRPr="008A2B8F" w:rsidRDefault="00BC5219" w:rsidP="00E83802">
            <w:pPr>
              <w:rPr>
                <w:rFonts w:ascii="Meta Pro" w:eastAsia="Times New Roman" w:hAnsi="Meta Pro"/>
                <w:szCs w:val="18"/>
                <w:lang w:eastAsia="en-AU"/>
              </w:rPr>
            </w:pPr>
          </w:p>
        </w:tc>
        <w:tc>
          <w:tcPr>
            <w:tcW w:w="1157" w:type="dxa"/>
            <w:tcBorders>
              <w:top w:val="nil"/>
              <w:left w:val="nil"/>
              <w:bottom w:val="nil"/>
              <w:right w:val="nil"/>
            </w:tcBorders>
            <w:shd w:val="clear" w:color="000000" w:fill="C9E3B4"/>
            <w:noWrap/>
            <w:vAlign w:val="center"/>
            <w:hideMark/>
          </w:tcPr>
          <w:p w14:paraId="5C72F547"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(794,029)</w:t>
            </w:r>
          </w:p>
        </w:tc>
        <w:tc>
          <w:tcPr>
            <w:tcW w:w="216" w:type="dxa"/>
            <w:tcBorders>
              <w:top w:val="nil"/>
              <w:left w:val="nil"/>
              <w:bottom w:val="nil"/>
              <w:right w:val="nil"/>
            </w:tcBorders>
            <w:shd w:val="clear" w:color="auto" w:fill="auto"/>
            <w:noWrap/>
            <w:vAlign w:val="center"/>
            <w:hideMark/>
          </w:tcPr>
          <w:p w14:paraId="41388321" w14:textId="77777777" w:rsidR="00BC5219" w:rsidRPr="008A2B8F"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300B56C4"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(812,509)</w:t>
            </w:r>
          </w:p>
        </w:tc>
      </w:tr>
      <w:tr w:rsidR="00BC5219" w:rsidRPr="008A2B8F" w14:paraId="6915AE45" w14:textId="77777777" w:rsidTr="00E83802">
        <w:trPr>
          <w:trHeight w:val="23"/>
        </w:trPr>
        <w:tc>
          <w:tcPr>
            <w:tcW w:w="6176" w:type="dxa"/>
            <w:tcBorders>
              <w:top w:val="nil"/>
              <w:left w:val="nil"/>
              <w:bottom w:val="nil"/>
              <w:right w:val="nil"/>
            </w:tcBorders>
            <w:shd w:val="clear" w:color="auto" w:fill="auto"/>
            <w:noWrap/>
            <w:vAlign w:val="center"/>
            <w:hideMark/>
          </w:tcPr>
          <w:p w14:paraId="7C9F10ED"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Later than ten years</w:t>
            </w:r>
          </w:p>
        </w:tc>
        <w:tc>
          <w:tcPr>
            <w:tcW w:w="1036" w:type="dxa"/>
            <w:tcBorders>
              <w:top w:val="nil"/>
              <w:left w:val="nil"/>
              <w:bottom w:val="nil"/>
              <w:right w:val="nil"/>
            </w:tcBorders>
            <w:shd w:val="clear" w:color="auto" w:fill="auto"/>
            <w:noWrap/>
            <w:vAlign w:val="center"/>
            <w:hideMark/>
          </w:tcPr>
          <w:p w14:paraId="7D595918" w14:textId="77777777" w:rsidR="00BC5219" w:rsidRPr="008A2B8F" w:rsidRDefault="00BC5219" w:rsidP="00E83802">
            <w:pPr>
              <w:rPr>
                <w:rFonts w:ascii="Meta Pro" w:eastAsia="Times New Roman" w:hAnsi="Meta Pro"/>
                <w:szCs w:val="18"/>
                <w:lang w:eastAsia="en-AU"/>
              </w:rPr>
            </w:pPr>
          </w:p>
        </w:tc>
        <w:tc>
          <w:tcPr>
            <w:tcW w:w="1157" w:type="dxa"/>
            <w:tcBorders>
              <w:top w:val="nil"/>
              <w:left w:val="nil"/>
              <w:bottom w:val="nil"/>
              <w:right w:val="nil"/>
            </w:tcBorders>
            <w:shd w:val="clear" w:color="000000" w:fill="C9E3B4"/>
            <w:noWrap/>
            <w:vAlign w:val="center"/>
            <w:hideMark/>
          </w:tcPr>
          <w:p w14:paraId="67BBD771"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(2,367,894)</w:t>
            </w:r>
          </w:p>
        </w:tc>
        <w:tc>
          <w:tcPr>
            <w:tcW w:w="216" w:type="dxa"/>
            <w:tcBorders>
              <w:top w:val="nil"/>
              <w:left w:val="nil"/>
              <w:bottom w:val="nil"/>
              <w:right w:val="nil"/>
            </w:tcBorders>
            <w:shd w:val="clear" w:color="auto" w:fill="auto"/>
            <w:noWrap/>
            <w:vAlign w:val="center"/>
            <w:hideMark/>
          </w:tcPr>
          <w:p w14:paraId="2C44EF48" w14:textId="77777777" w:rsidR="00BC5219" w:rsidRPr="008A2B8F"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6B9C5FD7"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(2,512,194)</w:t>
            </w:r>
          </w:p>
        </w:tc>
      </w:tr>
      <w:tr w:rsidR="00BC5219" w:rsidRPr="008A2B8F" w14:paraId="7B792AFD" w14:textId="77777777" w:rsidTr="00E83802">
        <w:trPr>
          <w:trHeight w:val="23"/>
        </w:trPr>
        <w:tc>
          <w:tcPr>
            <w:tcW w:w="6176" w:type="dxa"/>
            <w:tcBorders>
              <w:top w:val="single" w:sz="4" w:space="0" w:color="auto"/>
              <w:left w:val="nil"/>
              <w:bottom w:val="double" w:sz="6" w:space="0" w:color="auto"/>
              <w:right w:val="nil"/>
            </w:tcBorders>
            <w:shd w:val="clear" w:color="auto" w:fill="auto"/>
            <w:noWrap/>
            <w:vAlign w:val="center"/>
            <w:hideMark/>
          </w:tcPr>
          <w:p w14:paraId="7FCB6DF2"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Estimated net cash flow</w:t>
            </w:r>
          </w:p>
        </w:tc>
        <w:tc>
          <w:tcPr>
            <w:tcW w:w="1036" w:type="dxa"/>
            <w:tcBorders>
              <w:top w:val="single" w:sz="4" w:space="0" w:color="auto"/>
              <w:left w:val="nil"/>
              <w:bottom w:val="double" w:sz="6" w:space="0" w:color="auto"/>
              <w:right w:val="nil"/>
            </w:tcBorders>
            <w:shd w:val="clear" w:color="auto" w:fill="auto"/>
            <w:noWrap/>
            <w:vAlign w:val="center"/>
            <w:hideMark/>
          </w:tcPr>
          <w:p w14:paraId="3A45D7CC" w14:textId="77777777" w:rsidR="00BC5219" w:rsidRPr="008A2B8F" w:rsidRDefault="00BC5219" w:rsidP="00E83802">
            <w:pPr>
              <w:jc w:val="center"/>
              <w:rPr>
                <w:rFonts w:ascii="Meta Pro" w:eastAsia="Times New Roman" w:hAnsi="Meta Pro"/>
                <w:szCs w:val="18"/>
                <w:lang w:eastAsia="en-AU"/>
              </w:rPr>
            </w:pPr>
            <w:r w:rsidRPr="008A2B8F">
              <w:rPr>
                <w:rFonts w:ascii="Meta Pro" w:eastAsia="Times New Roman" w:hAnsi="Meta Pro"/>
                <w:szCs w:val="18"/>
                <w:lang w:eastAsia="en-AU"/>
              </w:rPr>
              <w:t> </w:t>
            </w:r>
          </w:p>
        </w:tc>
        <w:tc>
          <w:tcPr>
            <w:tcW w:w="1157" w:type="dxa"/>
            <w:tcBorders>
              <w:top w:val="single" w:sz="4" w:space="0" w:color="auto"/>
              <w:left w:val="nil"/>
              <w:bottom w:val="double" w:sz="6" w:space="0" w:color="auto"/>
              <w:right w:val="nil"/>
            </w:tcBorders>
            <w:shd w:val="clear" w:color="000000" w:fill="C9E3B4"/>
            <w:noWrap/>
            <w:vAlign w:val="center"/>
            <w:hideMark/>
          </w:tcPr>
          <w:p w14:paraId="247482C1"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(3,756,123)</w:t>
            </w:r>
          </w:p>
        </w:tc>
        <w:tc>
          <w:tcPr>
            <w:tcW w:w="216" w:type="dxa"/>
            <w:tcBorders>
              <w:top w:val="single" w:sz="4" w:space="0" w:color="auto"/>
              <w:left w:val="nil"/>
              <w:bottom w:val="double" w:sz="6" w:space="0" w:color="auto"/>
              <w:right w:val="nil"/>
            </w:tcBorders>
            <w:shd w:val="clear" w:color="auto" w:fill="auto"/>
            <w:noWrap/>
            <w:vAlign w:val="center"/>
            <w:hideMark/>
          </w:tcPr>
          <w:p w14:paraId="24C8F132"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w:t>
            </w:r>
          </w:p>
        </w:tc>
        <w:tc>
          <w:tcPr>
            <w:tcW w:w="1157" w:type="dxa"/>
            <w:tcBorders>
              <w:top w:val="single" w:sz="4" w:space="0" w:color="auto"/>
              <w:left w:val="nil"/>
              <w:bottom w:val="double" w:sz="6" w:space="0" w:color="auto"/>
              <w:right w:val="nil"/>
            </w:tcBorders>
            <w:shd w:val="clear" w:color="auto" w:fill="auto"/>
            <w:noWrap/>
            <w:vAlign w:val="center"/>
            <w:hideMark/>
          </w:tcPr>
          <w:p w14:paraId="4BD9BECA"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(3,727,853)</w:t>
            </w:r>
          </w:p>
        </w:tc>
      </w:tr>
    </w:tbl>
    <w:p w14:paraId="7273236B" w14:textId="77777777" w:rsidR="00BC5219" w:rsidRPr="008A2B8F" w:rsidRDefault="00BC5219" w:rsidP="00BC5219">
      <w:pPr>
        <w:rPr>
          <w:rFonts w:ascii="Meta Pro" w:hAnsi="Meta Pro" w:cstheme="minorBidi"/>
        </w:rPr>
      </w:pPr>
    </w:p>
    <w:tbl>
      <w:tblPr>
        <w:tblW w:w="0" w:type="auto"/>
        <w:tblCellMar>
          <w:left w:w="0" w:type="dxa"/>
        </w:tblCellMar>
        <w:tblLook w:val="04A0" w:firstRow="1" w:lastRow="0" w:firstColumn="1" w:lastColumn="0" w:noHBand="0" w:noVBand="1"/>
      </w:tblPr>
      <w:tblGrid>
        <w:gridCol w:w="6184"/>
        <w:gridCol w:w="1044"/>
        <w:gridCol w:w="1165"/>
        <w:gridCol w:w="224"/>
        <w:gridCol w:w="1165"/>
      </w:tblGrid>
      <w:tr w:rsidR="00BC5219" w:rsidRPr="008A2B8F" w14:paraId="7D9AEF6F" w14:textId="77777777" w:rsidTr="00E83802">
        <w:trPr>
          <w:trHeight w:val="272"/>
        </w:trPr>
        <w:tc>
          <w:tcPr>
            <w:tcW w:w="6176" w:type="dxa"/>
            <w:tcBorders>
              <w:top w:val="nil"/>
              <w:left w:val="nil"/>
              <w:bottom w:val="nil"/>
              <w:right w:val="nil"/>
            </w:tcBorders>
            <w:shd w:val="clear" w:color="auto" w:fill="auto"/>
            <w:noWrap/>
            <w:vAlign w:val="center"/>
            <w:hideMark/>
          </w:tcPr>
          <w:p w14:paraId="4622B549"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Operating statement impact</w:t>
            </w:r>
          </w:p>
        </w:tc>
        <w:tc>
          <w:tcPr>
            <w:tcW w:w="1036" w:type="dxa"/>
            <w:tcBorders>
              <w:top w:val="nil"/>
              <w:left w:val="nil"/>
              <w:bottom w:val="nil"/>
              <w:right w:val="nil"/>
            </w:tcBorders>
            <w:shd w:val="clear" w:color="auto" w:fill="auto"/>
            <w:noWrap/>
            <w:vAlign w:val="center"/>
            <w:hideMark/>
          </w:tcPr>
          <w:p w14:paraId="3C917D46" w14:textId="77777777" w:rsidR="00BC5219" w:rsidRPr="008A2B8F" w:rsidRDefault="00BC5219" w:rsidP="00E83802">
            <w:pPr>
              <w:rPr>
                <w:rFonts w:ascii="Meta Pro" w:eastAsia="Times New Roman" w:hAnsi="Meta Pro"/>
                <w:b/>
                <w:bCs/>
                <w:szCs w:val="18"/>
                <w:lang w:eastAsia="en-AU"/>
              </w:rPr>
            </w:pPr>
          </w:p>
        </w:tc>
        <w:tc>
          <w:tcPr>
            <w:tcW w:w="1157" w:type="dxa"/>
            <w:tcBorders>
              <w:top w:val="nil"/>
              <w:left w:val="nil"/>
              <w:bottom w:val="nil"/>
              <w:right w:val="nil"/>
            </w:tcBorders>
            <w:shd w:val="clear" w:color="auto" w:fill="auto"/>
            <w:noWrap/>
            <w:vAlign w:val="center"/>
            <w:hideMark/>
          </w:tcPr>
          <w:p w14:paraId="347FB268" w14:textId="77777777" w:rsidR="00BC5219" w:rsidRPr="008A2B8F" w:rsidRDefault="00BC5219" w:rsidP="00E83802">
            <w:pPr>
              <w:jc w:val="cente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21EC20AA" w14:textId="77777777" w:rsidR="00BC5219" w:rsidRPr="008A2B8F" w:rsidRDefault="00BC5219" w:rsidP="00E83802">
            <w:pPr>
              <w:rPr>
                <w:rFonts w:ascii="Meta Pro" w:eastAsia="Times New Roman" w:hAnsi="Meta Pro" w:cs="Times New Roman"/>
                <w:sz w:val="20"/>
                <w:szCs w:val="20"/>
                <w:lang w:eastAsia="en-AU"/>
              </w:rPr>
            </w:pPr>
          </w:p>
        </w:tc>
        <w:tc>
          <w:tcPr>
            <w:tcW w:w="1157" w:type="dxa"/>
            <w:tcBorders>
              <w:top w:val="nil"/>
              <w:left w:val="nil"/>
              <w:bottom w:val="nil"/>
              <w:right w:val="nil"/>
            </w:tcBorders>
            <w:shd w:val="clear" w:color="auto" w:fill="auto"/>
            <w:noWrap/>
            <w:vAlign w:val="center"/>
            <w:hideMark/>
          </w:tcPr>
          <w:p w14:paraId="7AADEE46"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639264A3" w14:textId="77777777" w:rsidTr="00E83802">
        <w:trPr>
          <w:trHeight w:val="23"/>
        </w:trPr>
        <w:tc>
          <w:tcPr>
            <w:tcW w:w="6176" w:type="dxa"/>
            <w:tcBorders>
              <w:top w:val="nil"/>
              <w:left w:val="nil"/>
              <w:bottom w:val="nil"/>
              <w:right w:val="nil"/>
            </w:tcBorders>
            <w:shd w:val="clear" w:color="auto" w:fill="auto"/>
            <w:noWrap/>
            <w:vAlign w:val="center"/>
            <w:hideMark/>
          </w:tcPr>
          <w:p w14:paraId="3BE066D7"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Expenses</w:t>
            </w:r>
          </w:p>
        </w:tc>
        <w:tc>
          <w:tcPr>
            <w:tcW w:w="1036" w:type="dxa"/>
            <w:tcBorders>
              <w:top w:val="nil"/>
              <w:left w:val="nil"/>
              <w:bottom w:val="nil"/>
              <w:right w:val="nil"/>
            </w:tcBorders>
            <w:shd w:val="clear" w:color="auto" w:fill="auto"/>
            <w:noWrap/>
            <w:vAlign w:val="center"/>
            <w:hideMark/>
          </w:tcPr>
          <w:p w14:paraId="2AD62724" w14:textId="77777777" w:rsidR="00BC5219" w:rsidRPr="008A2B8F" w:rsidRDefault="00BC5219" w:rsidP="00E83802">
            <w:pPr>
              <w:rPr>
                <w:rFonts w:ascii="Meta Pro" w:eastAsia="Times New Roman" w:hAnsi="Meta Pro"/>
                <w:b/>
                <w:bCs/>
                <w:szCs w:val="18"/>
                <w:lang w:eastAsia="en-AU"/>
              </w:rPr>
            </w:pPr>
          </w:p>
        </w:tc>
        <w:tc>
          <w:tcPr>
            <w:tcW w:w="1157" w:type="dxa"/>
            <w:tcBorders>
              <w:top w:val="nil"/>
              <w:left w:val="nil"/>
              <w:bottom w:val="nil"/>
              <w:right w:val="nil"/>
            </w:tcBorders>
            <w:shd w:val="clear" w:color="auto" w:fill="auto"/>
            <w:noWrap/>
            <w:vAlign w:val="center"/>
            <w:hideMark/>
          </w:tcPr>
          <w:p w14:paraId="74A84C2B" w14:textId="77777777" w:rsidR="00BC5219" w:rsidRPr="008A2B8F" w:rsidRDefault="00BC5219" w:rsidP="00E83802">
            <w:pPr>
              <w:jc w:val="cente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777F0162" w14:textId="77777777" w:rsidR="00BC5219" w:rsidRPr="008A2B8F" w:rsidRDefault="00BC5219" w:rsidP="00E83802">
            <w:pPr>
              <w:rPr>
                <w:rFonts w:ascii="Meta Pro" w:eastAsia="Times New Roman" w:hAnsi="Meta Pro" w:cs="Times New Roman"/>
                <w:sz w:val="20"/>
                <w:szCs w:val="20"/>
                <w:lang w:eastAsia="en-AU"/>
              </w:rPr>
            </w:pPr>
          </w:p>
        </w:tc>
        <w:tc>
          <w:tcPr>
            <w:tcW w:w="1157" w:type="dxa"/>
            <w:tcBorders>
              <w:top w:val="nil"/>
              <w:left w:val="nil"/>
              <w:bottom w:val="nil"/>
              <w:right w:val="nil"/>
            </w:tcBorders>
            <w:shd w:val="clear" w:color="auto" w:fill="auto"/>
            <w:noWrap/>
            <w:vAlign w:val="center"/>
            <w:hideMark/>
          </w:tcPr>
          <w:p w14:paraId="5E64FEDE"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5C4FE532" w14:textId="77777777" w:rsidTr="00E83802">
        <w:trPr>
          <w:trHeight w:val="23"/>
        </w:trPr>
        <w:tc>
          <w:tcPr>
            <w:tcW w:w="6176" w:type="dxa"/>
            <w:tcBorders>
              <w:top w:val="nil"/>
              <w:left w:val="nil"/>
              <w:bottom w:val="nil"/>
              <w:right w:val="nil"/>
            </w:tcBorders>
            <w:shd w:val="clear" w:color="auto" w:fill="auto"/>
            <w:noWrap/>
            <w:vAlign w:val="center"/>
            <w:hideMark/>
          </w:tcPr>
          <w:p w14:paraId="022BA0D4"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Depreciation</w:t>
            </w:r>
          </w:p>
        </w:tc>
        <w:tc>
          <w:tcPr>
            <w:tcW w:w="1036" w:type="dxa"/>
            <w:tcBorders>
              <w:top w:val="nil"/>
              <w:left w:val="nil"/>
              <w:bottom w:val="nil"/>
              <w:right w:val="nil"/>
            </w:tcBorders>
            <w:shd w:val="clear" w:color="auto" w:fill="auto"/>
            <w:noWrap/>
            <w:vAlign w:val="center"/>
            <w:hideMark/>
          </w:tcPr>
          <w:p w14:paraId="5EC58FCC" w14:textId="77777777" w:rsidR="00BC5219" w:rsidRPr="008A2B8F" w:rsidRDefault="00BC5219" w:rsidP="00E83802">
            <w:pPr>
              <w:jc w:val="center"/>
              <w:rPr>
                <w:rFonts w:ascii="Meta Pro" w:eastAsia="Times New Roman" w:hAnsi="Meta Pro"/>
                <w:szCs w:val="18"/>
                <w:lang w:eastAsia="en-AU"/>
              </w:rPr>
            </w:pPr>
            <w:r w:rsidRPr="008A2B8F">
              <w:rPr>
                <w:rFonts w:ascii="Meta Pro" w:eastAsia="Times New Roman" w:hAnsi="Meta Pro"/>
                <w:szCs w:val="18"/>
                <w:lang w:eastAsia="en-AU"/>
              </w:rPr>
              <w:t xml:space="preserve">10 </w:t>
            </w:r>
          </w:p>
        </w:tc>
        <w:tc>
          <w:tcPr>
            <w:tcW w:w="1157" w:type="dxa"/>
            <w:tcBorders>
              <w:top w:val="nil"/>
              <w:left w:val="nil"/>
              <w:bottom w:val="nil"/>
              <w:right w:val="nil"/>
            </w:tcBorders>
            <w:shd w:val="clear" w:color="000000" w:fill="C9E3B4"/>
            <w:noWrap/>
            <w:vAlign w:val="center"/>
            <w:hideMark/>
          </w:tcPr>
          <w:p w14:paraId="5C2A7A73"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54,660 </w:t>
            </w:r>
          </w:p>
        </w:tc>
        <w:tc>
          <w:tcPr>
            <w:tcW w:w="216" w:type="dxa"/>
            <w:tcBorders>
              <w:top w:val="nil"/>
              <w:left w:val="nil"/>
              <w:bottom w:val="nil"/>
              <w:right w:val="nil"/>
            </w:tcBorders>
            <w:shd w:val="clear" w:color="auto" w:fill="auto"/>
            <w:noWrap/>
            <w:vAlign w:val="center"/>
            <w:hideMark/>
          </w:tcPr>
          <w:p w14:paraId="64A8697D" w14:textId="77777777" w:rsidR="00BC5219" w:rsidRPr="008A2B8F"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2BE3C6D7"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49,659 </w:t>
            </w:r>
          </w:p>
        </w:tc>
      </w:tr>
      <w:tr w:rsidR="00BC5219" w:rsidRPr="008A2B8F" w14:paraId="4270F7D7" w14:textId="77777777" w:rsidTr="00E83802">
        <w:trPr>
          <w:trHeight w:val="23"/>
        </w:trPr>
        <w:tc>
          <w:tcPr>
            <w:tcW w:w="6176" w:type="dxa"/>
            <w:tcBorders>
              <w:top w:val="nil"/>
              <w:left w:val="nil"/>
              <w:bottom w:val="nil"/>
              <w:right w:val="nil"/>
            </w:tcBorders>
            <w:shd w:val="clear" w:color="auto" w:fill="auto"/>
            <w:noWrap/>
            <w:vAlign w:val="center"/>
            <w:hideMark/>
          </w:tcPr>
          <w:p w14:paraId="001886C2"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Interest</w:t>
            </w:r>
          </w:p>
        </w:tc>
        <w:tc>
          <w:tcPr>
            <w:tcW w:w="1036" w:type="dxa"/>
            <w:tcBorders>
              <w:top w:val="nil"/>
              <w:left w:val="nil"/>
              <w:bottom w:val="nil"/>
              <w:right w:val="nil"/>
            </w:tcBorders>
            <w:shd w:val="clear" w:color="auto" w:fill="auto"/>
            <w:noWrap/>
            <w:vAlign w:val="center"/>
            <w:hideMark/>
          </w:tcPr>
          <w:p w14:paraId="47F680EA" w14:textId="77777777" w:rsidR="00BC5219" w:rsidRPr="008A2B8F" w:rsidRDefault="00BC5219" w:rsidP="00E83802">
            <w:pPr>
              <w:jc w:val="center"/>
              <w:rPr>
                <w:rFonts w:ascii="Meta Pro" w:eastAsia="Times New Roman" w:hAnsi="Meta Pro"/>
                <w:szCs w:val="18"/>
                <w:lang w:eastAsia="en-AU"/>
              </w:rPr>
            </w:pPr>
            <w:r w:rsidRPr="008A2B8F">
              <w:rPr>
                <w:rFonts w:ascii="Meta Pro" w:eastAsia="Times New Roman" w:hAnsi="Meta Pro"/>
                <w:szCs w:val="18"/>
                <w:lang w:eastAsia="en-AU"/>
              </w:rPr>
              <w:t xml:space="preserve">9 </w:t>
            </w:r>
          </w:p>
        </w:tc>
        <w:tc>
          <w:tcPr>
            <w:tcW w:w="1157" w:type="dxa"/>
            <w:tcBorders>
              <w:top w:val="nil"/>
              <w:left w:val="nil"/>
              <w:bottom w:val="nil"/>
              <w:right w:val="nil"/>
            </w:tcBorders>
            <w:shd w:val="clear" w:color="000000" w:fill="C9E3B4"/>
            <w:noWrap/>
            <w:vAlign w:val="center"/>
            <w:hideMark/>
          </w:tcPr>
          <w:p w14:paraId="56BC72F0"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50,297 </w:t>
            </w:r>
          </w:p>
        </w:tc>
        <w:tc>
          <w:tcPr>
            <w:tcW w:w="216" w:type="dxa"/>
            <w:tcBorders>
              <w:top w:val="nil"/>
              <w:left w:val="nil"/>
              <w:bottom w:val="nil"/>
              <w:right w:val="nil"/>
            </w:tcBorders>
            <w:shd w:val="clear" w:color="auto" w:fill="auto"/>
            <w:noWrap/>
            <w:vAlign w:val="center"/>
            <w:hideMark/>
          </w:tcPr>
          <w:p w14:paraId="1692582D" w14:textId="77777777" w:rsidR="00BC5219" w:rsidRPr="008A2B8F"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074D7AE9"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33,228 </w:t>
            </w:r>
          </w:p>
        </w:tc>
      </w:tr>
      <w:tr w:rsidR="00BC5219" w:rsidRPr="008A2B8F" w14:paraId="1CF4BF0C" w14:textId="77777777" w:rsidTr="00E83802">
        <w:trPr>
          <w:trHeight w:val="23"/>
        </w:trPr>
        <w:tc>
          <w:tcPr>
            <w:tcW w:w="6176" w:type="dxa"/>
            <w:tcBorders>
              <w:top w:val="nil"/>
              <w:left w:val="nil"/>
              <w:bottom w:val="nil"/>
              <w:right w:val="nil"/>
            </w:tcBorders>
            <w:shd w:val="clear" w:color="auto" w:fill="auto"/>
            <w:noWrap/>
            <w:vAlign w:val="center"/>
            <w:hideMark/>
          </w:tcPr>
          <w:p w14:paraId="02E0B99E"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Service expenses</w:t>
            </w:r>
          </w:p>
        </w:tc>
        <w:tc>
          <w:tcPr>
            <w:tcW w:w="1036" w:type="dxa"/>
            <w:tcBorders>
              <w:top w:val="nil"/>
              <w:left w:val="nil"/>
              <w:bottom w:val="nil"/>
              <w:right w:val="nil"/>
            </w:tcBorders>
            <w:shd w:val="clear" w:color="auto" w:fill="auto"/>
            <w:noWrap/>
            <w:vAlign w:val="center"/>
            <w:hideMark/>
          </w:tcPr>
          <w:p w14:paraId="023D92F5" w14:textId="77777777" w:rsidR="00BC5219" w:rsidRPr="008A2B8F" w:rsidRDefault="00BC5219" w:rsidP="00E83802">
            <w:pPr>
              <w:rPr>
                <w:rFonts w:ascii="Meta Pro" w:eastAsia="Times New Roman" w:hAnsi="Meta Pro"/>
                <w:szCs w:val="18"/>
                <w:lang w:eastAsia="en-AU"/>
              </w:rPr>
            </w:pPr>
          </w:p>
        </w:tc>
        <w:tc>
          <w:tcPr>
            <w:tcW w:w="1157" w:type="dxa"/>
            <w:tcBorders>
              <w:top w:val="nil"/>
              <w:left w:val="nil"/>
              <w:bottom w:val="nil"/>
              <w:right w:val="nil"/>
            </w:tcBorders>
            <w:shd w:val="clear" w:color="000000" w:fill="C9E3B4"/>
            <w:noWrap/>
            <w:vAlign w:val="center"/>
            <w:hideMark/>
          </w:tcPr>
          <w:p w14:paraId="0F3B6919"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48,947 </w:t>
            </w:r>
          </w:p>
        </w:tc>
        <w:tc>
          <w:tcPr>
            <w:tcW w:w="216" w:type="dxa"/>
            <w:tcBorders>
              <w:top w:val="nil"/>
              <w:left w:val="nil"/>
              <w:bottom w:val="nil"/>
              <w:right w:val="nil"/>
            </w:tcBorders>
            <w:shd w:val="clear" w:color="auto" w:fill="auto"/>
            <w:noWrap/>
            <w:vAlign w:val="center"/>
            <w:hideMark/>
          </w:tcPr>
          <w:p w14:paraId="753B8F02" w14:textId="77777777" w:rsidR="00BC5219" w:rsidRPr="008A2B8F"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08EA3B61"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46,048 </w:t>
            </w:r>
          </w:p>
        </w:tc>
      </w:tr>
      <w:tr w:rsidR="00BC5219" w:rsidRPr="008A2B8F" w14:paraId="638B34E9" w14:textId="77777777" w:rsidTr="00E83802">
        <w:trPr>
          <w:trHeight w:val="23"/>
        </w:trPr>
        <w:tc>
          <w:tcPr>
            <w:tcW w:w="6176" w:type="dxa"/>
            <w:tcBorders>
              <w:top w:val="single" w:sz="4" w:space="0" w:color="auto"/>
              <w:left w:val="nil"/>
              <w:bottom w:val="double" w:sz="6" w:space="0" w:color="auto"/>
              <w:right w:val="nil"/>
            </w:tcBorders>
            <w:shd w:val="clear" w:color="auto" w:fill="auto"/>
            <w:noWrap/>
            <w:vAlign w:val="center"/>
            <w:hideMark/>
          </w:tcPr>
          <w:p w14:paraId="7451FBC9"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Net impact on operating result</w:t>
            </w:r>
          </w:p>
        </w:tc>
        <w:tc>
          <w:tcPr>
            <w:tcW w:w="1036" w:type="dxa"/>
            <w:tcBorders>
              <w:top w:val="single" w:sz="4" w:space="0" w:color="auto"/>
              <w:left w:val="nil"/>
              <w:bottom w:val="double" w:sz="6" w:space="0" w:color="auto"/>
              <w:right w:val="nil"/>
            </w:tcBorders>
            <w:shd w:val="clear" w:color="auto" w:fill="auto"/>
            <w:noWrap/>
            <w:vAlign w:val="center"/>
            <w:hideMark/>
          </w:tcPr>
          <w:p w14:paraId="0835325A" w14:textId="77777777" w:rsidR="00BC5219" w:rsidRPr="008A2B8F" w:rsidRDefault="00BC5219" w:rsidP="00E83802">
            <w:pPr>
              <w:jc w:val="center"/>
              <w:rPr>
                <w:rFonts w:ascii="Meta Pro" w:eastAsia="Times New Roman" w:hAnsi="Meta Pro"/>
                <w:szCs w:val="18"/>
                <w:lang w:eastAsia="en-AU"/>
              </w:rPr>
            </w:pPr>
            <w:r w:rsidRPr="008A2B8F">
              <w:rPr>
                <w:rFonts w:ascii="Meta Pro" w:eastAsia="Times New Roman" w:hAnsi="Meta Pro"/>
                <w:szCs w:val="18"/>
                <w:lang w:eastAsia="en-AU"/>
              </w:rPr>
              <w:t> </w:t>
            </w:r>
          </w:p>
        </w:tc>
        <w:tc>
          <w:tcPr>
            <w:tcW w:w="1157" w:type="dxa"/>
            <w:tcBorders>
              <w:top w:val="single" w:sz="4" w:space="0" w:color="auto"/>
              <w:left w:val="nil"/>
              <w:bottom w:val="double" w:sz="6" w:space="0" w:color="auto"/>
              <w:right w:val="nil"/>
            </w:tcBorders>
            <w:shd w:val="clear" w:color="000000" w:fill="C9E3B4"/>
            <w:noWrap/>
            <w:vAlign w:val="center"/>
            <w:hideMark/>
          </w:tcPr>
          <w:p w14:paraId="7BD9628F"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(153,904)</w:t>
            </w:r>
          </w:p>
        </w:tc>
        <w:tc>
          <w:tcPr>
            <w:tcW w:w="216" w:type="dxa"/>
            <w:tcBorders>
              <w:top w:val="single" w:sz="4" w:space="0" w:color="auto"/>
              <w:left w:val="nil"/>
              <w:bottom w:val="double" w:sz="6" w:space="0" w:color="auto"/>
              <w:right w:val="nil"/>
            </w:tcBorders>
            <w:shd w:val="clear" w:color="auto" w:fill="auto"/>
            <w:noWrap/>
            <w:vAlign w:val="center"/>
            <w:hideMark/>
          </w:tcPr>
          <w:p w14:paraId="5DA70D2C"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w:t>
            </w:r>
          </w:p>
        </w:tc>
        <w:tc>
          <w:tcPr>
            <w:tcW w:w="1157" w:type="dxa"/>
            <w:tcBorders>
              <w:top w:val="single" w:sz="4" w:space="0" w:color="auto"/>
              <w:left w:val="nil"/>
              <w:bottom w:val="double" w:sz="6" w:space="0" w:color="auto"/>
              <w:right w:val="nil"/>
            </w:tcBorders>
            <w:shd w:val="clear" w:color="auto" w:fill="auto"/>
            <w:noWrap/>
            <w:vAlign w:val="center"/>
            <w:hideMark/>
          </w:tcPr>
          <w:p w14:paraId="6CB12953"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(128,935)</w:t>
            </w:r>
          </w:p>
        </w:tc>
      </w:tr>
    </w:tbl>
    <w:p w14:paraId="6E79ADE0" w14:textId="77777777" w:rsidR="00BC5219" w:rsidRPr="008A2B8F" w:rsidRDefault="00BC5219" w:rsidP="00BC5219">
      <w:pPr>
        <w:rPr>
          <w:rFonts w:ascii="Meta Pro" w:eastAsia="Times New Roman" w:hAnsi="Meta Pro"/>
          <w:szCs w:val="18"/>
          <w:lang w:eastAsia="en-AU"/>
        </w:rPr>
      </w:pPr>
    </w:p>
    <w:p w14:paraId="4D106568"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p>
    <w:p w14:paraId="090F2A84"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p>
    <w:p w14:paraId="25DEB45D"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p>
    <w:p w14:paraId="6BBA2647"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p>
    <w:p w14:paraId="5F5B7178"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r w:rsidRPr="008A2B8F">
        <w:rPr>
          <w:rFonts w:ascii="Meta Pro" w:eastAsia="Times New Roman" w:hAnsi="Meta Pro"/>
          <w:i/>
          <w:iCs/>
          <w:color w:val="000000" w:themeColor="text1"/>
          <w:lang w:eastAsia="en-AU"/>
        </w:rPr>
        <w:lastRenderedPageBreak/>
        <w:t>Department of Transport and Main Roads</w:t>
      </w:r>
    </w:p>
    <w:p w14:paraId="521CF637"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Notes to the financial statements 2022–23 (continued)</w:t>
      </w:r>
    </w:p>
    <w:p w14:paraId="3C1E6BDB" w14:textId="77777777" w:rsidR="00BC5219" w:rsidRDefault="00BC5219" w:rsidP="00BC5219">
      <w:pPr>
        <w:rPr>
          <w:rFonts w:asciiTheme="minorHAnsi" w:hAnsiTheme="minorHAnsi" w:cstheme="minorBidi"/>
        </w:rPr>
      </w:pPr>
    </w:p>
    <w:tbl>
      <w:tblPr>
        <w:tblW w:w="0" w:type="auto"/>
        <w:tblCellMar>
          <w:left w:w="0" w:type="dxa"/>
        </w:tblCellMar>
        <w:tblLook w:val="04A0" w:firstRow="1" w:lastRow="0" w:firstColumn="1" w:lastColumn="0" w:noHBand="0" w:noVBand="1"/>
      </w:tblPr>
      <w:tblGrid>
        <w:gridCol w:w="4594"/>
        <w:gridCol w:w="798"/>
        <w:gridCol w:w="1056"/>
        <w:gridCol w:w="196"/>
        <w:gridCol w:w="1056"/>
        <w:gridCol w:w="196"/>
        <w:gridCol w:w="1056"/>
        <w:gridCol w:w="196"/>
        <w:gridCol w:w="1056"/>
      </w:tblGrid>
      <w:tr w:rsidR="00BC5219" w:rsidRPr="00EF7549" w14:paraId="23FAB628" w14:textId="77777777" w:rsidTr="00E83802">
        <w:trPr>
          <w:trHeight w:val="270"/>
        </w:trPr>
        <w:tc>
          <w:tcPr>
            <w:tcW w:w="4990" w:type="dxa"/>
            <w:tcBorders>
              <w:top w:val="nil"/>
              <w:left w:val="nil"/>
              <w:bottom w:val="nil"/>
              <w:right w:val="nil"/>
            </w:tcBorders>
            <w:shd w:val="clear" w:color="auto" w:fill="auto"/>
            <w:noWrap/>
            <w:vAlign w:val="center"/>
            <w:hideMark/>
          </w:tcPr>
          <w:p w14:paraId="761C7C29" w14:textId="77777777" w:rsidR="00BC5219" w:rsidRPr="00EF7549" w:rsidRDefault="00BC5219" w:rsidP="00E83802">
            <w:pPr>
              <w:rPr>
                <w:rFonts w:ascii="Meta Pro" w:eastAsia="Times New Roman" w:hAnsi="Meta Pro"/>
                <w:b/>
                <w:bCs/>
                <w:lang w:eastAsia="en-AU"/>
              </w:rPr>
            </w:pPr>
            <w:r w:rsidRPr="00EF7549">
              <w:rPr>
                <w:rFonts w:ascii="Meta Pro" w:eastAsia="Times New Roman" w:hAnsi="Meta Pro"/>
                <w:b/>
                <w:bCs/>
                <w:lang w:eastAsia="en-AU"/>
              </w:rPr>
              <w:t>17     LEASES</w:t>
            </w:r>
          </w:p>
        </w:tc>
        <w:tc>
          <w:tcPr>
            <w:tcW w:w="851" w:type="dxa"/>
            <w:tcBorders>
              <w:top w:val="nil"/>
              <w:left w:val="nil"/>
              <w:bottom w:val="nil"/>
              <w:right w:val="nil"/>
            </w:tcBorders>
            <w:shd w:val="clear" w:color="auto" w:fill="auto"/>
            <w:noWrap/>
            <w:vAlign w:val="center"/>
            <w:hideMark/>
          </w:tcPr>
          <w:p w14:paraId="3DD4154D" w14:textId="77777777" w:rsidR="00BC5219" w:rsidRPr="00EF7549" w:rsidRDefault="00BC5219" w:rsidP="00E83802">
            <w:pPr>
              <w:rPr>
                <w:rFonts w:ascii="Meta Pro" w:eastAsia="Times New Roman" w:hAnsi="Meta Pro"/>
                <w:b/>
                <w:bCs/>
                <w:lang w:eastAsia="en-AU"/>
              </w:rPr>
            </w:pPr>
          </w:p>
        </w:tc>
        <w:tc>
          <w:tcPr>
            <w:tcW w:w="1134" w:type="dxa"/>
            <w:tcBorders>
              <w:top w:val="nil"/>
              <w:left w:val="nil"/>
              <w:bottom w:val="nil"/>
              <w:right w:val="nil"/>
            </w:tcBorders>
            <w:shd w:val="clear" w:color="auto" w:fill="auto"/>
            <w:noWrap/>
            <w:vAlign w:val="center"/>
            <w:hideMark/>
          </w:tcPr>
          <w:p w14:paraId="0C41EDBD" w14:textId="77777777" w:rsidR="00BC5219" w:rsidRPr="00EF7549" w:rsidRDefault="00BC5219" w:rsidP="00E83802">
            <w:pPr>
              <w:jc w:val="center"/>
              <w:rPr>
                <w:rFonts w:ascii="Times New Roman" w:eastAsia="Times New Roman" w:hAnsi="Times New Roman"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584A1911" w14:textId="77777777" w:rsidR="00BC5219" w:rsidRPr="00EF7549" w:rsidRDefault="00BC5219" w:rsidP="00E83802">
            <w:pPr>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2DB07DDD" w14:textId="77777777" w:rsidR="00BC5219" w:rsidRPr="00EF7549" w:rsidRDefault="00BC5219" w:rsidP="00E83802">
            <w:pPr>
              <w:jc w:val="right"/>
              <w:rPr>
                <w:rFonts w:ascii="Times New Roman" w:eastAsia="Times New Roman" w:hAnsi="Times New Roman"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66D95535" w14:textId="77777777" w:rsidR="00BC5219" w:rsidRPr="00EF7549" w:rsidRDefault="00BC5219" w:rsidP="00E83802">
            <w:pPr>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3AA6CEDC" w14:textId="77777777" w:rsidR="00BC5219" w:rsidRPr="00EF7549" w:rsidRDefault="00BC5219" w:rsidP="00E83802">
            <w:pPr>
              <w:jc w:val="right"/>
              <w:rPr>
                <w:rFonts w:ascii="Times New Roman" w:eastAsia="Times New Roman" w:hAnsi="Times New Roman"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2C5AAA63" w14:textId="77777777" w:rsidR="00BC5219" w:rsidRPr="00EF7549" w:rsidRDefault="00BC5219" w:rsidP="00E83802">
            <w:pPr>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2D4750FD" w14:textId="77777777" w:rsidR="00BC5219" w:rsidRPr="00EF7549" w:rsidRDefault="00BC5219" w:rsidP="00E83802">
            <w:pPr>
              <w:jc w:val="right"/>
              <w:rPr>
                <w:rFonts w:ascii="Times New Roman" w:eastAsia="Times New Roman" w:hAnsi="Times New Roman" w:cs="Times New Roman"/>
                <w:sz w:val="20"/>
                <w:szCs w:val="20"/>
                <w:lang w:eastAsia="en-AU"/>
              </w:rPr>
            </w:pPr>
          </w:p>
        </w:tc>
      </w:tr>
      <w:tr w:rsidR="00BC5219" w:rsidRPr="00EF7549" w14:paraId="33490F3D" w14:textId="77777777" w:rsidTr="00E83802">
        <w:trPr>
          <w:trHeight w:val="90"/>
        </w:trPr>
        <w:tc>
          <w:tcPr>
            <w:tcW w:w="4990" w:type="dxa"/>
            <w:tcBorders>
              <w:top w:val="nil"/>
              <w:left w:val="nil"/>
              <w:bottom w:val="nil"/>
              <w:right w:val="nil"/>
            </w:tcBorders>
            <w:shd w:val="clear" w:color="auto" w:fill="auto"/>
            <w:noWrap/>
            <w:vAlign w:val="center"/>
            <w:hideMark/>
          </w:tcPr>
          <w:p w14:paraId="642AD181" w14:textId="77777777" w:rsidR="00BC5219" w:rsidRPr="00EF7549" w:rsidRDefault="00BC5219" w:rsidP="00E83802">
            <w:pPr>
              <w:rPr>
                <w:rFonts w:ascii="Times New Roman" w:eastAsia="Times New Roman" w:hAnsi="Times New Roman" w:cs="Times New Roman"/>
                <w:sz w:val="20"/>
                <w:szCs w:val="20"/>
                <w:lang w:eastAsia="en-AU"/>
              </w:rPr>
            </w:pPr>
          </w:p>
        </w:tc>
        <w:tc>
          <w:tcPr>
            <w:tcW w:w="851" w:type="dxa"/>
            <w:tcBorders>
              <w:top w:val="nil"/>
              <w:left w:val="nil"/>
              <w:bottom w:val="nil"/>
              <w:right w:val="nil"/>
            </w:tcBorders>
            <w:shd w:val="clear" w:color="auto" w:fill="auto"/>
            <w:noWrap/>
            <w:vAlign w:val="center"/>
            <w:hideMark/>
          </w:tcPr>
          <w:p w14:paraId="59B42BD0" w14:textId="77777777" w:rsidR="00BC5219" w:rsidRPr="00EF7549" w:rsidRDefault="00BC5219" w:rsidP="00E83802">
            <w:pPr>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70019E41" w14:textId="77777777" w:rsidR="00BC5219" w:rsidRPr="00EF7549" w:rsidRDefault="00BC5219" w:rsidP="00E83802">
            <w:pPr>
              <w:jc w:val="center"/>
              <w:rPr>
                <w:rFonts w:ascii="Times New Roman" w:eastAsia="Times New Roman" w:hAnsi="Times New Roman"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09211FB3" w14:textId="77777777" w:rsidR="00BC5219" w:rsidRPr="00EF7549" w:rsidRDefault="00BC5219" w:rsidP="00E83802">
            <w:pPr>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56C9C1B6" w14:textId="77777777" w:rsidR="00BC5219" w:rsidRPr="00EF7549" w:rsidRDefault="00BC5219" w:rsidP="00E83802">
            <w:pPr>
              <w:jc w:val="right"/>
              <w:rPr>
                <w:rFonts w:ascii="Times New Roman" w:eastAsia="Times New Roman" w:hAnsi="Times New Roman"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151938FD" w14:textId="77777777" w:rsidR="00BC5219" w:rsidRPr="00EF7549" w:rsidRDefault="00BC5219" w:rsidP="00E83802">
            <w:pPr>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03ABFB89" w14:textId="77777777" w:rsidR="00BC5219" w:rsidRPr="00EF7549" w:rsidRDefault="00BC5219" w:rsidP="00E83802">
            <w:pPr>
              <w:jc w:val="right"/>
              <w:rPr>
                <w:rFonts w:ascii="Times New Roman" w:eastAsia="Times New Roman" w:hAnsi="Times New Roman"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77DD5E07" w14:textId="77777777" w:rsidR="00BC5219" w:rsidRPr="00EF7549" w:rsidRDefault="00BC5219" w:rsidP="00E83802">
            <w:pPr>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026D39A5" w14:textId="77777777" w:rsidR="00BC5219" w:rsidRPr="00EF7549" w:rsidRDefault="00BC5219" w:rsidP="00E83802">
            <w:pPr>
              <w:jc w:val="right"/>
              <w:rPr>
                <w:rFonts w:ascii="Times New Roman" w:eastAsia="Times New Roman" w:hAnsi="Times New Roman" w:cs="Times New Roman"/>
                <w:sz w:val="20"/>
                <w:szCs w:val="20"/>
                <w:lang w:eastAsia="en-AU"/>
              </w:rPr>
            </w:pPr>
          </w:p>
        </w:tc>
      </w:tr>
      <w:tr w:rsidR="00BC5219" w:rsidRPr="00EF7549" w14:paraId="41E48C16" w14:textId="77777777" w:rsidTr="00E83802">
        <w:trPr>
          <w:trHeight w:val="270"/>
        </w:trPr>
        <w:tc>
          <w:tcPr>
            <w:tcW w:w="4990" w:type="dxa"/>
            <w:tcBorders>
              <w:top w:val="nil"/>
              <w:left w:val="nil"/>
              <w:bottom w:val="nil"/>
              <w:right w:val="nil"/>
            </w:tcBorders>
            <w:shd w:val="clear" w:color="auto" w:fill="auto"/>
            <w:noWrap/>
            <w:vAlign w:val="center"/>
            <w:hideMark/>
          </w:tcPr>
          <w:p w14:paraId="14DA55A8" w14:textId="77777777" w:rsidR="00BC5219" w:rsidRPr="00EF7549" w:rsidRDefault="00BC5219" w:rsidP="00E83802">
            <w:pPr>
              <w:rPr>
                <w:rFonts w:ascii="Meta Pro" w:eastAsia="Times New Roman" w:hAnsi="Meta Pro"/>
                <w:b/>
                <w:bCs/>
                <w:sz w:val="20"/>
                <w:szCs w:val="20"/>
                <w:lang w:eastAsia="en-AU"/>
              </w:rPr>
            </w:pPr>
            <w:r w:rsidRPr="00EF7549">
              <w:rPr>
                <w:rFonts w:ascii="Meta Pro" w:eastAsia="Times New Roman" w:hAnsi="Meta Pro"/>
                <w:b/>
                <w:bCs/>
                <w:sz w:val="20"/>
                <w:szCs w:val="20"/>
                <w:lang w:eastAsia="en-AU"/>
              </w:rPr>
              <w:t>LEASES AS LESSEE</w:t>
            </w:r>
          </w:p>
        </w:tc>
        <w:tc>
          <w:tcPr>
            <w:tcW w:w="851" w:type="dxa"/>
            <w:tcBorders>
              <w:top w:val="nil"/>
              <w:left w:val="nil"/>
              <w:bottom w:val="nil"/>
              <w:right w:val="nil"/>
            </w:tcBorders>
            <w:shd w:val="clear" w:color="auto" w:fill="auto"/>
            <w:noWrap/>
            <w:vAlign w:val="center"/>
            <w:hideMark/>
          </w:tcPr>
          <w:p w14:paraId="1714C4E2" w14:textId="77777777" w:rsidR="00BC5219" w:rsidRPr="00EF7549" w:rsidRDefault="00BC5219" w:rsidP="00E83802">
            <w:pPr>
              <w:rPr>
                <w:rFonts w:ascii="Meta Pro" w:eastAsia="Times New Roman" w:hAnsi="Meta Pro"/>
                <w:b/>
                <w:bCs/>
                <w:sz w:val="20"/>
                <w:szCs w:val="20"/>
                <w:lang w:eastAsia="en-AU"/>
              </w:rPr>
            </w:pPr>
          </w:p>
        </w:tc>
        <w:tc>
          <w:tcPr>
            <w:tcW w:w="1134" w:type="dxa"/>
            <w:tcBorders>
              <w:top w:val="nil"/>
              <w:left w:val="nil"/>
              <w:bottom w:val="nil"/>
              <w:right w:val="nil"/>
            </w:tcBorders>
            <w:shd w:val="clear" w:color="auto" w:fill="auto"/>
            <w:vAlign w:val="center"/>
            <w:hideMark/>
          </w:tcPr>
          <w:p w14:paraId="12D1C415" w14:textId="77777777" w:rsidR="00BC5219" w:rsidRPr="00EF7549" w:rsidRDefault="00BC5219" w:rsidP="00E83802">
            <w:pPr>
              <w:jc w:val="center"/>
              <w:rPr>
                <w:rFonts w:ascii="Times New Roman" w:eastAsia="Times New Roman" w:hAnsi="Times New Roman"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145C1307" w14:textId="77777777" w:rsidR="00BC5219" w:rsidRPr="00EF7549" w:rsidRDefault="00BC5219" w:rsidP="00E83802">
            <w:pPr>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vAlign w:val="center"/>
            <w:hideMark/>
          </w:tcPr>
          <w:p w14:paraId="2B52AC44" w14:textId="77777777" w:rsidR="00BC5219" w:rsidRPr="00EF7549" w:rsidRDefault="00BC5219" w:rsidP="00E83802">
            <w:pPr>
              <w:jc w:val="right"/>
              <w:rPr>
                <w:rFonts w:ascii="Times New Roman" w:eastAsia="Times New Roman" w:hAnsi="Times New Roman"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1DA77370" w14:textId="77777777" w:rsidR="00BC5219" w:rsidRPr="00EF7549" w:rsidRDefault="00BC5219" w:rsidP="00E83802">
            <w:pPr>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vAlign w:val="center"/>
            <w:hideMark/>
          </w:tcPr>
          <w:p w14:paraId="3C045526" w14:textId="77777777" w:rsidR="00BC5219" w:rsidRPr="00EF7549" w:rsidRDefault="00BC5219" w:rsidP="00E83802">
            <w:pPr>
              <w:jc w:val="right"/>
              <w:rPr>
                <w:rFonts w:ascii="Times New Roman" w:eastAsia="Times New Roman" w:hAnsi="Times New Roman"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0D4354E5" w14:textId="77777777" w:rsidR="00BC5219" w:rsidRPr="00EF7549" w:rsidRDefault="00BC5219" w:rsidP="00E83802">
            <w:pPr>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vAlign w:val="center"/>
            <w:hideMark/>
          </w:tcPr>
          <w:p w14:paraId="6B1C909B" w14:textId="77777777" w:rsidR="00BC5219" w:rsidRPr="00EF7549" w:rsidRDefault="00BC5219" w:rsidP="00E83802">
            <w:pPr>
              <w:jc w:val="right"/>
              <w:rPr>
                <w:rFonts w:ascii="Times New Roman" w:eastAsia="Times New Roman" w:hAnsi="Times New Roman" w:cs="Times New Roman"/>
                <w:sz w:val="20"/>
                <w:szCs w:val="20"/>
                <w:lang w:eastAsia="en-AU"/>
              </w:rPr>
            </w:pPr>
          </w:p>
        </w:tc>
      </w:tr>
      <w:tr w:rsidR="00BC5219" w:rsidRPr="00EF7549" w14:paraId="02F81A8C" w14:textId="77777777" w:rsidTr="00E83802">
        <w:trPr>
          <w:trHeight w:val="90"/>
        </w:trPr>
        <w:tc>
          <w:tcPr>
            <w:tcW w:w="4990" w:type="dxa"/>
            <w:tcBorders>
              <w:top w:val="nil"/>
              <w:left w:val="nil"/>
              <w:bottom w:val="nil"/>
              <w:right w:val="nil"/>
            </w:tcBorders>
            <w:shd w:val="clear" w:color="auto" w:fill="auto"/>
            <w:noWrap/>
            <w:vAlign w:val="center"/>
            <w:hideMark/>
          </w:tcPr>
          <w:p w14:paraId="77DEF28B" w14:textId="77777777" w:rsidR="00BC5219" w:rsidRPr="00EF7549" w:rsidRDefault="00BC5219" w:rsidP="00E83802">
            <w:pPr>
              <w:rPr>
                <w:rFonts w:ascii="Times New Roman" w:eastAsia="Times New Roman" w:hAnsi="Times New Roman" w:cs="Times New Roman"/>
                <w:sz w:val="20"/>
                <w:szCs w:val="20"/>
                <w:lang w:eastAsia="en-AU"/>
              </w:rPr>
            </w:pPr>
          </w:p>
        </w:tc>
        <w:tc>
          <w:tcPr>
            <w:tcW w:w="851" w:type="dxa"/>
            <w:tcBorders>
              <w:top w:val="nil"/>
              <w:left w:val="nil"/>
              <w:bottom w:val="nil"/>
              <w:right w:val="nil"/>
            </w:tcBorders>
            <w:shd w:val="clear" w:color="auto" w:fill="auto"/>
            <w:noWrap/>
            <w:vAlign w:val="center"/>
            <w:hideMark/>
          </w:tcPr>
          <w:p w14:paraId="3F0BB46F" w14:textId="77777777" w:rsidR="00BC5219" w:rsidRPr="00EF7549" w:rsidRDefault="00BC5219" w:rsidP="00E83802">
            <w:pPr>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3F15DC91" w14:textId="77777777" w:rsidR="00BC5219" w:rsidRPr="00EF7549" w:rsidRDefault="00BC5219" w:rsidP="00E83802">
            <w:pPr>
              <w:jc w:val="center"/>
              <w:rPr>
                <w:rFonts w:ascii="Times New Roman" w:eastAsia="Times New Roman" w:hAnsi="Times New Roman"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44BB8323" w14:textId="77777777" w:rsidR="00BC5219" w:rsidRPr="00EF7549" w:rsidRDefault="00BC5219" w:rsidP="00E83802">
            <w:pPr>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68A2B519" w14:textId="77777777" w:rsidR="00BC5219" w:rsidRPr="00EF7549" w:rsidRDefault="00BC5219" w:rsidP="00E83802">
            <w:pPr>
              <w:jc w:val="right"/>
              <w:rPr>
                <w:rFonts w:ascii="Times New Roman" w:eastAsia="Times New Roman" w:hAnsi="Times New Roman"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450A62B0" w14:textId="77777777" w:rsidR="00BC5219" w:rsidRPr="00EF7549" w:rsidRDefault="00BC5219" w:rsidP="00E83802">
            <w:pPr>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3A78D547" w14:textId="77777777" w:rsidR="00BC5219" w:rsidRPr="00EF7549" w:rsidRDefault="00BC5219" w:rsidP="00E83802">
            <w:pPr>
              <w:jc w:val="right"/>
              <w:rPr>
                <w:rFonts w:ascii="Times New Roman" w:eastAsia="Times New Roman" w:hAnsi="Times New Roman"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489AC861" w14:textId="77777777" w:rsidR="00BC5219" w:rsidRPr="00EF7549" w:rsidRDefault="00BC5219" w:rsidP="00E83802">
            <w:pPr>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750604EE" w14:textId="77777777" w:rsidR="00BC5219" w:rsidRPr="00EF7549" w:rsidRDefault="00BC5219" w:rsidP="00E83802">
            <w:pPr>
              <w:jc w:val="right"/>
              <w:rPr>
                <w:rFonts w:ascii="Times New Roman" w:eastAsia="Times New Roman" w:hAnsi="Times New Roman" w:cs="Times New Roman"/>
                <w:sz w:val="20"/>
                <w:szCs w:val="20"/>
                <w:lang w:eastAsia="en-AU"/>
              </w:rPr>
            </w:pPr>
          </w:p>
        </w:tc>
      </w:tr>
      <w:tr w:rsidR="00BC5219" w:rsidRPr="00EF7549" w14:paraId="2A0557E0" w14:textId="77777777" w:rsidTr="00E83802">
        <w:trPr>
          <w:trHeight w:val="240"/>
        </w:trPr>
        <w:tc>
          <w:tcPr>
            <w:tcW w:w="4990" w:type="dxa"/>
            <w:tcBorders>
              <w:top w:val="nil"/>
              <w:left w:val="nil"/>
              <w:bottom w:val="nil"/>
              <w:right w:val="nil"/>
            </w:tcBorders>
            <w:shd w:val="clear" w:color="auto" w:fill="auto"/>
            <w:noWrap/>
            <w:vAlign w:val="center"/>
            <w:hideMark/>
          </w:tcPr>
          <w:p w14:paraId="031F188C" w14:textId="77777777" w:rsidR="00BC5219" w:rsidRPr="00EF7549" w:rsidRDefault="00BC5219" w:rsidP="00E83802">
            <w:pPr>
              <w:rPr>
                <w:rFonts w:ascii="Meta Pro" w:eastAsia="Times New Roman" w:hAnsi="Meta Pro"/>
                <w:b/>
                <w:bCs/>
                <w:szCs w:val="18"/>
                <w:lang w:eastAsia="en-AU"/>
              </w:rPr>
            </w:pPr>
            <w:r w:rsidRPr="00EF7549">
              <w:rPr>
                <w:rFonts w:ascii="Meta Pro" w:eastAsia="Times New Roman" w:hAnsi="Meta Pro"/>
                <w:b/>
                <w:bCs/>
                <w:szCs w:val="18"/>
                <w:lang w:eastAsia="en-AU"/>
              </w:rPr>
              <w:t>Right-of-use assets</w:t>
            </w:r>
          </w:p>
        </w:tc>
        <w:tc>
          <w:tcPr>
            <w:tcW w:w="851" w:type="dxa"/>
            <w:tcBorders>
              <w:top w:val="nil"/>
              <w:left w:val="nil"/>
              <w:bottom w:val="nil"/>
              <w:right w:val="nil"/>
            </w:tcBorders>
            <w:shd w:val="clear" w:color="auto" w:fill="auto"/>
            <w:hideMark/>
          </w:tcPr>
          <w:p w14:paraId="5AFD625D" w14:textId="77777777" w:rsidR="00BC5219" w:rsidRPr="00EF7549" w:rsidRDefault="00BC5219" w:rsidP="00E83802">
            <w:pPr>
              <w:jc w:val="center"/>
              <w:rPr>
                <w:rFonts w:ascii="Meta Pro" w:eastAsia="Times New Roman" w:hAnsi="Meta Pro"/>
                <w:b/>
                <w:bCs/>
                <w:sz w:val="20"/>
                <w:szCs w:val="20"/>
                <w:lang w:eastAsia="en-AU"/>
              </w:rPr>
            </w:pPr>
            <w:r w:rsidRPr="00EF7549">
              <w:rPr>
                <w:rFonts w:ascii="Meta Pro" w:eastAsia="Times New Roman" w:hAnsi="Meta Pro"/>
                <w:b/>
                <w:bCs/>
                <w:sz w:val="20"/>
                <w:szCs w:val="20"/>
                <w:lang w:eastAsia="en-AU"/>
              </w:rPr>
              <w:t>Note</w:t>
            </w:r>
          </w:p>
        </w:tc>
        <w:tc>
          <w:tcPr>
            <w:tcW w:w="1134" w:type="dxa"/>
            <w:tcBorders>
              <w:top w:val="nil"/>
              <w:left w:val="nil"/>
              <w:bottom w:val="nil"/>
              <w:right w:val="nil"/>
            </w:tcBorders>
            <w:shd w:val="clear" w:color="auto" w:fill="auto"/>
            <w:hideMark/>
          </w:tcPr>
          <w:p w14:paraId="45B380C4" w14:textId="77777777" w:rsidR="00BC5219" w:rsidRPr="00EF7549" w:rsidRDefault="00BC5219" w:rsidP="00E83802">
            <w:pPr>
              <w:jc w:val="center"/>
              <w:rPr>
                <w:rFonts w:ascii="Meta Pro" w:eastAsia="Times New Roman" w:hAnsi="Meta Pro"/>
                <w:b/>
                <w:bCs/>
                <w:sz w:val="20"/>
                <w:szCs w:val="20"/>
                <w:lang w:eastAsia="en-AU"/>
              </w:rPr>
            </w:pPr>
            <w:r w:rsidRPr="00EF7549">
              <w:rPr>
                <w:rFonts w:ascii="Meta Pro" w:eastAsia="Times New Roman" w:hAnsi="Meta Pro"/>
                <w:b/>
                <w:bCs/>
                <w:sz w:val="20"/>
                <w:szCs w:val="20"/>
                <w:lang w:eastAsia="en-AU"/>
              </w:rPr>
              <w:t>Buildings</w:t>
            </w:r>
          </w:p>
        </w:tc>
        <w:tc>
          <w:tcPr>
            <w:tcW w:w="196" w:type="dxa"/>
            <w:tcBorders>
              <w:top w:val="nil"/>
              <w:left w:val="nil"/>
              <w:bottom w:val="nil"/>
              <w:right w:val="nil"/>
            </w:tcBorders>
            <w:shd w:val="clear" w:color="auto" w:fill="auto"/>
            <w:hideMark/>
          </w:tcPr>
          <w:p w14:paraId="125FC27C" w14:textId="77777777" w:rsidR="00BC5219" w:rsidRPr="00EF7549" w:rsidRDefault="00BC5219" w:rsidP="00E83802">
            <w:pPr>
              <w:jc w:val="center"/>
              <w:rPr>
                <w:rFonts w:ascii="Meta Pro" w:eastAsia="Times New Roman" w:hAnsi="Meta Pro"/>
                <w:b/>
                <w:bCs/>
                <w:sz w:val="20"/>
                <w:szCs w:val="20"/>
                <w:lang w:eastAsia="en-AU"/>
              </w:rPr>
            </w:pPr>
          </w:p>
        </w:tc>
        <w:tc>
          <w:tcPr>
            <w:tcW w:w="1134" w:type="dxa"/>
            <w:tcBorders>
              <w:top w:val="nil"/>
              <w:left w:val="nil"/>
              <w:bottom w:val="nil"/>
              <w:right w:val="nil"/>
            </w:tcBorders>
            <w:shd w:val="clear" w:color="auto" w:fill="auto"/>
            <w:hideMark/>
          </w:tcPr>
          <w:p w14:paraId="7EB4DC5F" w14:textId="77777777" w:rsidR="00BC5219" w:rsidRPr="00EF7549" w:rsidRDefault="00BC5219" w:rsidP="00E83802">
            <w:pPr>
              <w:jc w:val="center"/>
              <w:rPr>
                <w:rFonts w:ascii="Meta Pro" w:eastAsia="Times New Roman" w:hAnsi="Meta Pro"/>
                <w:b/>
                <w:bCs/>
                <w:sz w:val="20"/>
                <w:szCs w:val="20"/>
                <w:lang w:eastAsia="en-AU"/>
              </w:rPr>
            </w:pPr>
            <w:r w:rsidRPr="00EF7549">
              <w:rPr>
                <w:rFonts w:ascii="Meta Pro" w:eastAsia="Times New Roman" w:hAnsi="Meta Pro"/>
                <w:b/>
                <w:bCs/>
                <w:sz w:val="20"/>
                <w:szCs w:val="20"/>
                <w:lang w:eastAsia="en-AU"/>
              </w:rPr>
              <w:t>Land</w:t>
            </w:r>
          </w:p>
        </w:tc>
        <w:tc>
          <w:tcPr>
            <w:tcW w:w="196" w:type="dxa"/>
            <w:tcBorders>
              <w:top w:val="nil"/>
              <w:left w:val="nil"/>
              <w:bottom w:val="nil"/>
              <w:right w:val="nil"/>
            </w:tcBorders>
            <w:shd w:val="clear" w:color="auto" w:fill="auto"/>
            <w:hideMark/>
          </w:tcPr>
          <w:p w14:paraId="7B7713BB" w14:textId="77777777" w:rsidR="00BC5219" w:rsidRPr="00EF7549" w:rsidRDefault="00BC5219" w:rsidP="00E83802">
            <w:pPr>
              <w:jc w:val="center"/>
              <w:rPr>
                <w:rFonts w:ascii="Meta Pro" w:eastAsia="Times New Roman" w:hAnsi="Meta Pro"/>
                <w:b/>
                <w:bCs/>
                <w:sz w:val="20"/>
                <w:szCs w:val="20"/>
                <w:lang w:eastAsia="en-AU"/>
              </w:rPr>
            </w:pPr>
          </w:p>
        </w:tc>
        <w:tc>
          <w:tcPr>
            <w:tcW w:w="1134" w:type="dxa"/>
            <w:tcBorders>
              <w:top w:val="nil"/>
              <w:left w:val="nil"/>
              <w:bottom w:val="nil"/>
              <w:right w:val="nil"/>
            </w:tcBorders>
            <w:shd w:val="clear" w:color="auto" w:fill="auto"/>
            <w:hideMark/>
          </w:tcPr>
          <w:p w14:paraId="223CEA71" w14:textId="77777777" w:rsidR="00BC5219" w:rsidRPr="00EF7549" w:rsidRDefault="00BC5219" w:rsidP="00E83802">
            <w:pPr>
              <w:jc w:val="center"/>
              <w:rPr>
                <w:rFonts w:ascii="Meta Pro" w:eastAsia="Times New Roman" w:hAnsi="Meta Pro"/>
                <w:b/>
                <w:bCs/>
                <w:sz w:val="20"/>
                <w:szCs w:val="20"/>
                <w:lang w:eastAsia="en-AU"/>
              </w:rPr>
            </w:pPr>
            <w:r w:rsidRPr="00EF7549">
              <w:rPr>
                <w:rFonts w:ascii="Meta Pro" w:eastAsia="Times New Roman" w:hAnsi="Meta Pro"/>
                <w:b/>
                <w:bCs/>
                <w:sz w:val="20"/>
                <w:szCs w:val="20"/>
                <w:lang w:eastAsia="en-AU"/>
              </w:rPr>
              <w:t xml:space="preserve">Plant and </w:t>
            </w:r>
          </w:p>
        </w:tc>
        <w:tc>
          <w:tcPr>
            <w:tcW w:w="196" w:type="dxa"/>
            <w:tcBorders>
              <w:top w:val="nil"/>
              <w:left w:val="nil"/>
              <w:bottom w:val="nil"/>
              <w:right w:val="nil"/>
            </w:tcBorders>
            <w:shd w:val="clear" w:color="auto" w:fill="auto"/>
            <w:hideMark/>
          </w:tcPr>
          <w:p w14:paraId="15FAAE1F" w14:textId="77777777" w:rsidR="00BC5219" w:rsidRPr="00EF7549" w:rsidRDefault="00BC5219" w:rsidP="00E83802">
            <w:pPr>
              <w:jc w:val="center"/>
              <w:rPr>
                <w:rFonts w:ascii="Meta Pro" w:eastAsia="Times New Roman" w:hAnsi="Meta Pro"/>
                <w:b/>
                <w:bCs/>
                <w:sz w:val="20"/>
                <w:szCs w:val="20"/>
                <w:lang w:eastAsia="en-AU"/>
              </w:rPr>
            </w:pPr>
          </w:p>
        </w:tc>
        <w:tc>
          <w:tcPr>
            <w:tcW w:w="1134" w:type="dxa"/>
            <w:tcBorders>
              <w:top w:val="nil"/>
              <w:left w:val="nil"/>
              <w:bottom w:val="nil"/>
              <w:right w:val="nil"/>
            </w:tcBorders>
            <w:shd w:val="clear" w:color="auto" w:fill="auto"/>
            <w:hideMark/>
          </w:tcPr>
          <w:p w14:paraId="4CF69029" w14:textId="77777777" w:rsidR="00BC5219" w:rsidRPr="00EF7549" w:rsidRDefault="00BC5219" w:rsidP="00E83802">
            <w:pPr>
              <w:jc w:val="center"/>
              <w:rPr>
                <w:rFonts w:ascii="Meta Pro" w:eastAsia="Times New Roman" w:hAnsi="Meta Pro"/>
                <w:b/>
                <w:bCs/>
                <w:sz w:val="20"/>
                <w:szCs w:val="20"/>
                <w:lang w:eastAsia="en-AU"/>
              </w:rPr>
            </w:pPr>
            <w:r w:rsidRPr="00EF7549">
              <w:rPr>
                <w:rFonts w:ascii="Meta Pro" w:eastAsia="Times New Roman" w:hAnsi="Meta Pro"/>
                <w:b/>
                <w:bCs/>
                <w:sz w:val="20"/>
                <w:szCs w:val="20"/>
                <w:lang w:eastAsia="en-AU"/>
              </w:rPr>
              <w:t>Total</w:t>
            </w:r>
          </w:p>
        </w:tc>
      </w:tr>
      <w:tr w:rsidR="00BC5219" w:rsidRPr="00EF7549" w14:paraId="5132487A" w14:textId="77777777" w:rsidTr="00E83802">
        <w:trPr>
          <w:trHeight w:val="240"/>
        </w:trPr>
        <w:tc>
          <w:tcPr>
            <w:tcW w:w="4990" w:type="dxa"/>
            <w:tcBorders>
              <w:top w:val="nil"/>
              <w:left w:val="nil"/>
              <w:bottom w:val="nil"/>
              <w:right w:val="nil"/>
            </w:tcBorders>
            <w:shd w:val="clear" w:color="auto" w:fill="auto"/>
            <w:noWrap/>
            <w:vAlign w:val="center"/>
            <w:hideMark/>
          </w:tcPr>
          <w:p w14:paraId="2A090431" w14:textId="77777777" w:rsidR="00BC5219" w:rsidRPr="00EF7549" w:rsidRDefault="00BC5219" w:rsidP="00E83802">
            <w:pPr>
              <w:jc w:val="center"/>
              <w:rPr>
                <w:rFonts w:ascii="Meta Pro" w:eastAsia="Times New Roman" w:hAnsi="Meta Pro"/>
                <w:b/>
                <w:bCs/>
                <w:sz w:val="20"/>
                <w:szCs w:val="20"/>
                <w:lang w:eastAsia="en-AU"/>
              </w:rPr>
            </w:pPr>
          </w:p>
        </w:tc>
        <w:tc>
          <w:tcPr>
            <w:tcW w:w="851" w:type="dxa"/>
            <w:tcBorders>
              <w:top w:val="nil"/>
              <w:left w:val="nil"/>
              <w:bottom w:val="nil"/>
              <w:right w:val="nil"/>
            </w:tcBorders>
            <w:shd w:val="clear" w:color="auto" w:fill="auto"/>
            <w:noWrap/>
            <w:vAlign w:val="center"/>
            <w:hideMark/>
          </w:tcPr>
          <w:p w14:paraId="36F2A125" w14:textId="77777777" w:rsidR="00BC5219" w:rsidRPr="00EF7549" w:rsidRDefault="00BC5219" w:rsidP="00E83802">
            <w:pPr>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hideMark/>
          </w:tcPr>
          <w:p w14:paraId="151CDE03" w14:textId="77777777" w:rsidR="00BC5219" w:rsidRPr="00EF7549" w:rsidRDefault="00BC5219" w:rsidP="00E83802">
            <w:pPr>
              <w:jc w:val="center"/>
              <w:rPr>
                <w:rFonts w:ascii="Times New Roman" w:eastAsia="Times New Roman" w:hAnsi="Times New Roman" w:cs="Times New Roman"/>
                <w:sz w:val="20"/>
                <w:szCs w:val="20"/>
                <w:lang w:eastAsia="en-AU"/>
              </w:rPr>
            </w:pPr>
          </w:p>
        </w:tc>
        <w:tc>
          <w:tcPr>
            <w:tcW w:w="196" w:type="dxa"/>
            <w:tcBorders>
              <w:top w:val="nil"/>
              <w:left w:val="nil"/>
              <w:bottom w:val="nil"/>
              <w:right w:val="nil"/>
            </w:tcBorders>
            <w:shd w:val="clear" w:color="auto" w:fill="auto"/>
            <w:hideMark/>
          </w:tcPr>
          <w:p w14:paraId="0F7DDD34" w14:textId="77777777" w:rsidR="00BC5219" w:rsidRPr="00EF7549" w:rsidRDefault="00BC5219" w:rsidP="00E83802">
            <w:pPr>
              <w:jc w:val="center"/>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hideMark/>
          </w:tcPr>
          <w:p w14:paraId="6A9BCBA3" w14:textId="77777777" w:rsidR="00BC5219" w:rsidRPr="00EF7549" w:rsidRDefault="00BC5219" w:rsidP="00E83802">
            <w:pPr>
              <w:jc w:val="center"/>
              <w:rPr>
                <w:rFonts w:ascii="Times New Roman" w:eastAsia="Times New Roman" w:hAnsi="Times New Roman" w:cs="Times New Roman"/>
                <w:sz w:val="20"/>
                <w:szCs w:val="20"/>
                <w:lang w:eastAsia="en-AU"/>
              </w:rPr>
            </w:pPr>
          </w:p>
        </w:tc>
        <w:tc>
          <w:tcPr>
            <w:tcW w:w="196" w:type="dxa"/>
            <w:tcBorders>
              <w:top w:val="nil"/>
              <w:left w:val="nil"/>
              <w:bottom w:val="nil"/>
              <w:right w:val="nil"/>
            </w:tcBorders>
            <w:shd w:val="clear" w:color="auto" w:fill="auto"/>
            <w:hideMark/>
          </w:tcPr>
          <w:p w14:paraId="75E00B72" w14:textId="77777777" w:rsidR="00BC5219" w:rsidRPr="00EF7549" w:rsidRDefault="00BC5219" w:rsidP="00E83802">
            <w:pPr>
              <w:jc w:val="center"/>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hideMark/>
          </w:tcPr>
          <w:p w14:paraId="2F240F73" w14:textId="77777777" w:rsidR="00BC5219" w:rsidRPr="00EF7549" w:rsidRDefault="00BC5219" w:rsidP="00E83802">
            <w:pPr>
              <w:jc w:val="center"/>
              <w:rPr>
                <w:rFonts w:ascii="Meta Pro" w:eastAsia="Times New Roman" w:hAnsi="Meta Pro"/>
                <w:b/>
                <w:bCs/>
                <w:sz w:val="20"/>
                <w:szCs w:val="20"/>
                <w:lang w:eastAsia="en-AU"/>
              </w:rPr>
            </w:pPr>
            <w:r w:rsidRPr="00EF7549">
              <w:rPr>
                <w:rFonts w:ascii="Meta Pro" w:eastAsia="Times New Roman" w:hAnsi="Meta Pro"/>
                <w:b/>
                <w:bCs/>
                <w:sz w:val="20"/>
                <w:szCs w:val="20"/>
                <w:lang w:eastAsia="en-AU"/>
              </w:rPr>
              <w:t>equipment</w:t>
            </w:r>
          </w:p>
        </w:tc>
        <w:tc>
          <w:tcPr>
            <w:tcW w:w="196" w:type="dxa"/>
            <w:tcBorders>
              <w:top w:val="nil"/>
              <w:left w:val="nil"/>
              <w:bottom w:val="nil"/>
              <w:right w:val="nil"/>
            </w:tcBorders>
            <w:shd w:val="clear" w:color="auto" w:fill="auto"/>
            <w:hideMark/>
          </w:tcPr>
          <w:p w14:paraId="15716C26" w14:textId="77777777" w:rsidR="00BC5219" w:rsidRPr="00EF7549" w:rsidRDefault="00BC5219" w:rsidP="00E83802">
            <w:pPr>
              <w:jc w:val="center"/>
              <w:rPr>
                <w:rFonts w:ascii="Meta Pro" w:eastAsia="Times New Roman" w:hAnsi="Meta Pro"/>
                <w:b/>
                <w:bCs/>
                <w:sz w:val="20"/>
                <w:szCs w:val="20"/>
                <w:lang w:eastAsia="en-AU"/>
              </w:rPr>
            </w:pPr>
          </w:p>
        </w:tc>
        <w:tc>
          <w:tcPr>
            <w:tcW w:w="1134" w:type="dxa"/>
            <w:tcBorders>
              <w:top w:val="nil"/>
              <w:left w:val="nil"/>
              <w:bottom w:val="nil"/>
              <w:right w:val="nil"/>
            </w:tcBorders>
            <w:shd w:val="clear" w:color="auto" w:fill="auto"/>
            <w:hideMark/>
          </w:tcPr>
          <w:p w14:paraId="3B4E9837" w14:textId="77777777" w:rsidR="00BC5219" w:rsidRPr="00EF7549" w:rsidRDefault="00BC5219" w:rsidP="00E83802">
            <w:pPr>
              <w:jc w:val="center"/>
              <w:rPr>
                <w:rFonts w:ascii="Times New Roman" w:eastAsia="Times New Roman" w:hAnsi="Times New Roman" w:cs="Times New Roman"/>
                <w:sz w:val="20"/>
                <w:szCs w:val="20"/>
                <w:lang w:eastAsia="en-AU"/>
              </w:rPr>
            </w:pPr>
          </w:p>
        </w:tc>
      </w:tr>
      <w:tr w:rsidR="00BC5219" w:rsidRPr="00EF7549" w14:paraId="6D124B5D" w14:textId="77777777" w:rsidTr="00E83802">
        <w:trPr>
          <w:trHeight w:val="240"/>
        </w:trPr>
        <w:tc>
          <w:tcPr>
            <w:tcW w:w="4990" w:type="dxa"/>
            <w:tcBorders>
              <w:top w:val="nil"/>
              <w:left w:val="nil"/>
              <w:bottom w:val="nil"/>
              <w:right w:val="nil"/>
            </w:tcBorders>
            <w:shd w:val="clear" w:color="auto" w:fill="auto"/>
            <w:noWrap/>
            <w:vAlign w:val="center"/>
            <w:hideMark/>
          </w:tcPr>
          <w:p w14:paraId="111349A3" w14:textId="77777777" w:rsidR="00BC5219" w:rsidRPr="00EF7549" w:rsidRDefault="00BC5219" w:rsidP="00E83802">
            <w:pPr>
              <w:jc w:val="center"/>
              <w:rPr>
                <w:rFonts w:ascii="Times New Roman" w:eastAsia="Times New Roman" w:hAnsi="Times New Roman" w:cs="Times New Roman"/>
                <w:sz w:val="20"/>
                <w:szCs w:val="20"/>
                <w:lang w:eastAsia="en-AU"/>
              </w:rPr>
            </w:pPr>
          </w:p>
        </w:tc>
        <w:tc>
          <w:tcPr>
            <w:tcW w:w="851" w:type="dxa"/>
            <w:tcBorders>
              <w:top w:val="nil"/>
              <w:left w:val="nil"/>
              <w:bottom w:val="nil"/>
              <w:right w:val="nil"/>
            </w:tcBorders>
            <w:shd w:val="clear" w:color="auto" w:fill="auto"/>
            <w:noWrap/>
            <w:vAlign w:val="center"/>
            <w:hideMark/>
          </w:tcPr>
          <w:p w14:paraId="2BFCB979" w14:textId="77777777" w:rsidR="00BC5219" w:rsidRPr="00EF7549" w:rsidRDefault="00BC5219" w:rsidP="00E83802">
            <w:pPr>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196426D5" w14:textId="77777777" w:rsidR="00BC5219" w:rsidRPr="00EF7549" w:rsidRDefault="00BC5219" w:rsidP="00E83802">
            <w:pPr>
              <w:jc w:val="center"/>
              <w:rPr>
                <w:rFonts w:ascii="Meta Pro" w:eastAsia="Times New Roman" w:hAnsi="Meta Pro"/>
                <w:b/>
                <w:bCs/>
                <w:sz w:val="20"/>
                <w:szCs w:val="20"/>
                <w:lang w:eastAsia="en-AU"/>
              </w:rPr>
            </w:pPr>
            <w:r w:rsidRPr="00EF7549">
              <w:rPr>
                <w:rFonts w:ascii="Meta Pro" w:eastAsia="Times New Roman" w:hAnsi="Meta Pro"/>
                <w:b/>
                <w:bCs/>
                <w:sz w:val="20"/>
                <w:szCs w:val="20"/>
                <w:lang w:eastAsia="en-AU"/>
              </w:rPr>
              <w:t>2023</w:t>
            </w:r>
          </w:p>
        </w:tc>
        <w:tc>
          <w:tcPr>
            <w:tcW w:w="196" w:type="dxa"/>
            <w:tcBorders>
              <w:top w:val="nil"/>
              <w:left w:val="nil"/>
              <w:bottom w:val="nil"/>
              <w:right w:val="nil"/>
            </w:tcBorders>
            <w:shd w:val="clear" w:color="auto" w:fill="auto"/>
            <w:noWrap/>
            <w:vAlign w:val="center"/>
            <w:hideMark/>
          </w:tcPr>
          <w:p w14:paraId="323284FC" w14:textId="77777777" w:rsidR="00BC5219" w:rsidRPr="00EF7549" w:rsidRDefault="00BC5219" w:rsidP="00E83802">
            <w:pPr>
              <w:jc w:val="center"/>
              <w:rPr>
                <w:rFonts w:ascii="Meta Pro" w:eastAsia="Times New Roman" w:hAnsi="Meta Pro"/>
                <w:b/>
                <w:bCs/>
                <w:sz w:val="20"/>
                <w:szCs w:val="20"/>
                <w:lang w:eastAsia="en-AU"/>
              </w:rPr>
            </w:pPr>
          </w:p>
        </w:tc>
        <w:tc>
          <w:tcPr>
            <w:tcW w:w="1134" w:type="dxa"/>
            <w:tcBorders>
              <w:top w:val="nil"/>
              <w:left w:val="nil"/>
              <w:bottom w:val="nil"/>
              <w:right w:val="nil"/>
            </w:tcBorders>
            <w:shd w:val="clear" w:color="auto" w:fill="auto"/>
            <w:noWrap/>
            <w:vAlign w:val="center"/>
            <w:hideMark/>
          </w:tcPr>
          <w:p w14:paraId="57247596" w14:textId="77777777" w:rsidR="00BC5219" w:rsidRPr="00EF7549" w:rsidRDefault="00BC5219" w:rsidP="00E83802">
            <w:pPr>
              <w:jc w:val="center"/>
              <w:rPr>
                <w:rFonts w:ascii="Meta Pro" w:eastAsia="Times New Roman" w:hAnsi="Meta Pro"/>
                <w:b/>
                <w:bCs/>
                <w:sz w:val="20"/>
                <w:szCs w:val="20"/>
                <w:lang w:eastAsia="en-AU"/>
              </w:rPr>
            </w:pPr>
            <w:r w:rsidRPr="00EF7549">
              <w:rPr>
                <w:rFonts w:ascii="Meta Pro" w:eastAsia="Times New Roman" w:hAnsi="Meta Pro"/>
                <w:b/>
                <w:bCs/>
                <w:sz w:val="20"/>
                <w:szCs w:val="20"/>
                <w:lang w:eastAsia="en-AU"/>
              </w:rPr>
              <w:t>2023</w:t>
            </w:r>
          </w:p>
        </w:tc>
        <w:tc>
          <w:tcPr>
            <w:tcW w:w="196" w:type="dxa"/>
            <w:tcBorders>
              <w:top w:val="nil"/>
              <w:left w:val="nil"/>
              <w:bottom w:val="nil"/>
              <w:right w:val="nil"/>
            </w:tcBorders>
            <w:shd w:val="clear" w:color="auto" w:fill="auto"/>
            <w:noWrap/>
            <w:vAlign w:val="center"/>
            <w:hideMark/>
          </w:tcPr>
          <w:p w14:paraId="2CBFE49E" w14:textId="77777777" w:rsidR="00BC5219" w:rsidRPr="00EF7549" w:rsidRDefault="00BC5219" w:rsidP="00E83802">
            <w:pPr>
              <w:jc w:val="center"/>
              <w:rPr>
                <w:rFonts w:ascii="Meta Pro" w:eastAsia="Times New Roman" w:hAnsi="Meta Pro"/>
                <w:b/>
                <w:bCs/>
                <w:sz w:val="20"/>
                <w:szCs w:val="20"/>
                <w:lang w:eastAsia="en-AU"/>
              </w:rPr>
            </w:pPr>
          </w:p>
        </w:tc>
        <w:tc>
          <w:tcPr>
            <w:tcW w:w="1134" w:type="dxa"/>
            <w:tcBorders>
              <w:top w:val="nil"/>
              <w:left w:val="nil"/>
              <w:bottom w:val="nil"/>
              <w:right w:val="nil"/>
            </w:tcBorders>
            <w:shd w:val="clear" w:color="auto" w:fill="auto"/>
            <w:noWrap/>
            <w:vAlign w:val="center"/>
            <w:hideMark/>
          </w:tcPr>
          <w:p w14:paraId="58B2552B" w14:textId="77777777" w:rsidR="00BC5219" w:rsidRPr="00EF7549" w:rsidRDefault="00BC5219" w:rsidP="00E83802">
            <w:pPr>
              <w:jc w:val="center"/>
              <w:rPr>
                <w:rFonts w:ascii="Meta Pro" w:eastAsia="Times New Roman" w:hAnsi="Meta Pro"/>
                <w:b/>
                <w:bCs/>
                <w:sz w:val="20"/>
                <w:szCs w:val="20"/>
                <w:lang w:eastAsia="en-AU"/>
              </w:rPr>
            </w:pPr>
            <w:r w:rsidRPr="00EF7549">
              <w:rPr>
                <w:rFonts w:ascii="Meta Pro" w:eastAsia="Times New Roman" w:hAnsi="Meta Pro"/>
                <w:b/>
                <w:bCs/>
                <w:sz w:val="20"/>
                <w:szCs w:val="20"/>
                <w:lang w:eastAsia="en-AU"/>
              </w:rPr>
              <w:t>2023</w:t>
            </w:r>
          </w:p>
        </w:tc>
        <w:tc>
          <w:tcPr>
            <w:tcW w:w="196" w:type="dxa"/>
            <w:tcBorders>
              <w:top w:val="nil"/>
              <w:left w:val="nil"/>
              <w:bottom w:val="nil"/>
              <w:right w:val="nil"/>
            </w:tcBorders>
            <w:shd w:val="clear" w:color="auto" w:fill="auto"/>
            <w:noWrap/>
            <w:vAlign w:val="center"/>
            <w:hideMark/>
          </w:tcPr>
          <w:p w14:paraId="4C7A2F4F" w14:textId="77777777" w:rsidR="00BC5219" w:rsidRPr="00EF7549" w:rsidRDefault="00BC5219" w:rsidP="00E83802">
            <w:pPr>
              <w:jc w:val="center"/>
              <w:rPr>
                <w:rFonts w:ascii="Meta Pro" w:eastAsia="Times New Roman" w:hAnsi="Meta Pro"/>
                <w:b/>
                <w:bCs/>
                <w:sz w:val="20"/>
                <w:szCs w:val="20"/>
                <w:lang w:eastAsia="en-AU"/>
              </w:rPr>
            </w:pPr>
          </w:p>
        </w:tc>
        <w:tc>
          <w:tcPr>
            <w:tcW w:w="1134" w:type="dxa"/>
            <w:tcBorders>
              <w:top w:val="nil"/>
              <w:left w:val="nil"/>
              <w:bottom w:val="nil"/>
              <w:right w:val="nil"/>
            </w:tcBorders>
            <w:shd w:val="clear" w:color="auto" w:fill="auto"/>
            <w:noWrap/>
            <w:vAlign w:val="center"/>
            <w:hideMark/>
          </w:tcPr>
          <w:p w14:paraId="0675B7A1" w14:textId="77777777" w:rsidR="00BC5219" w:rsidRPr="00EF7549" w:rsidRDefault="00BC5219" w:rsidP="00E83802">
            <w:pPr>
              <w:jc w:val="center"/>
              <w:rPr>
                <w:rFonts w:ascii="Meta Pro" w:eastAsia="Times New Roman" w:hAnsi="Meta Pro"/>
                <w:b/>
                <w:bCs/>
                <w:sz w:val="20"/>
                <w:szCs w:val="20"/>
                <w:lang w:eastAsia="en-AU"/>
              </w:rPr>
            </w:pPr>
            <w:r w:rsidRPr="00EF7549">
              <w:rPr>
                <w:rFonts w:ascii="Meta Pro" w:eastAsia="Times New Roman" w:hAnsi="Meta Pro"/>
                <w:b/>
                <w:bCs/>
                <w:sz w:val="20"/>
                <w:szCs w:val="20"/>
                <w:lang w:eastAsia="en-AU"/>
              </w:rPr>
              <w:t>2023</w:t>
            </w:r>
          </w:p>
        </w:tc>
      </w:tr>
      <w:tr w:rsidR="00BC5219" w:rsidRPr="00EF7549" w14:paraId="0FEB025F" w14:textId="77777777" w:rsidTr="00E83802">
        <w:trPr>
          <w:trHeight w:val="240"/>
        </w:trPr>
        <w:tc>
          <w:tcPr>
            <w:tcW w:w="4990" w:type="dxa"/>
            <w:tcBorders>
              <w:top w:val="nil"/>
              <w:left w:val="nil"/>
              <w:bottom w:val="nil"/>
              <w:right w:val="nil"/>
            </w:tcBorders>
            <w:shd w:val="clear" w:color="auto" w:fill="auto"/>
            <w:noWrap/>
            <w:vAlign w:val="center"/>
            <w:hideMark/>
          </w:tcPr>
          <w:p w14:paraId="71E2319B" w14:textId="77777777" w:rsidR="00BC5219" w:rsidRPr="00EF7549" w:rsidRDefault="00BC5219" w:rsidP="00E83802">
            <w:pPr>
              <w:jc w:val="center"/>
              <w:rPr>
                <w:rFonts w:ascii="Meta Pro" w:eastAsia="Times New Roman" w:hAnsi="Meta Pro"/>
                <w:b/>
                <w:bCs/>
                <w:sz w:val="20"/>
                <w:szCs w:val="20"/>
                <w:lang w:eastAsia="en-AU"/>
              </w:rPr>
            </w:pPr>
          </w:p>
        </w:tc>
        <w:tc>
          <w:tcPr>
            <w:tcW w:w="851" w:type="dxa"/>
            <w:tcBorders>
              <w:top w:val="nil"/>
              <w:left w:val="nil"/>
              <w:bottom w:val="nil"/>
              <w:right w:val="nil"/>
            </w:tcBorders>
            <w:shd w:val="clear" w:color="auto" w:fill="auto"/>
            <w:noWrap/>
            <w:vAlign w:val="center"/>
            <w:hideMark/>
          </w:tcPr>
          <w:p w14:paraId="0D960D35" w14:textId="77777777" w:rsidR="00BC5219" w:rsidRPr="00EF7549" w:rsidRDefault="00BC5219" w:rsidP="00E83802">
            <w:pPr>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vAlign w:val="center"/>
            <w:hideMark/>
          </w:tcPr>
          <w:p w14:paraId="50857482" w14:textId="77777777" w:rsidR="00BC5219" w:rsidRPr="00EF7549" w:rsidRDefault="00BC5219" w:rsidP="00E83802">
            <w:pPr>
              <w:jc w:val="center"/>
              <w:rPr>
                <w:rFonts w:ascii="Meta Pro" w:eastAsia="Times New Roman" w:hAnsi="Meta Pro"/>
                <w:b/>
                <w:bCs/>
                <w:sz w:val="20"/>
                <w:szCs w:val="20"/>
                <w:lang w:eastAsia="en-AU"/>
              </w:rPr>
            </w:pPr>
            <w:r w:rsidRPr="00EF7549">
              <w:rPr>
                <w:rFonts w:ascii="Meta Pro" w:eastAsia="Times New Roman" w:hAnsi="Meta Pro"/>
                <w:b/>
                <w:bCs/>
                <w:sz w:val="20"/>
                <w:szCs w:val="20"/>
                <w:lang w:eastAsia="en-AU"/>
              </w:rPr>
              <w:t>$'000</w:t>
            </w:r>
          </w:p>
        </w:tc>
        <w:tc>
          <w:tcPr>
            <w:tcW w:w="196" w:type="dxa"/>
            <w:tcBorders>
              <w:top w:val="nil"/>
              <w:left w:val="nil"/>
              <w:bottom w:val="nil"/>
              <w:right w:val="nil"/>
            </w:tcBorders>
            <w:shd w:val="clear" w:color="auto" w:fill="auto"/>
            <w:noWrap/>
            <w:vAlign w:val="center"/>
            <w:hideMark/>
          </w:tcPr>
          <w:p w14:paraId="2AD3794B" w14:textId="77777777" w:rsidR="00BC5219" w:rsidRPr="00EF7549" w:rsidRDefault="00BC5219" w:rsidP="00E83802">
            <w:pPr>
              <w:jc w:val="center"/>
              <w:rPr>
                <w:rFonts w:ascii="Meta Pro" w:eastAsia="Times New Roman" w:hAnsi="Meta Pro"/>
                <w:b/>
                <w:bCs/>
                <w:sz w:val="20"/>
                <w:szCs w:val="20"/>
                <w:lang w:eastAsia="en-AU"/>
              </w:rPr>
            </w:pPr>
          </w:p>
        </w:tc>
        <w:tc>
          <w:tcPr>
            <w:tcW w:w="1134" w:type="dxa"/>
            <w:tcBorders>
              <w:top w:val="nil"/>
              <w:left w:val="nil"/>
              <w:bottom w:val="nil"/>
              <w:right w:val="nil"/>
            </w:tcBorders>
            <w:shd w:val="clear" w:color="auto" w:fill="auto"/>
            <w:vAlign w:val="center"/>
            <w:hideMark/>
          </w:tcPr>
          <w:p w14:paraId="0DE0F277" w14:textId="77777777" w:rsidR="00BC5219" w:rsidRPr="00EF7549" w:rsidRDefault="00BC5219" w:rsidP="00E83802">
            <w:pPr>
              <w:jc w:val="center"/>
              <w:rPr>
                <w:rFonts w:ascii="Meta Pro" w:eastAsia="Times New Roman" w:hAnsi="Meta Pro"/>
                <w:b/>
                <w:bCs/>
                <w:sz w:val="20"/>
                <w:szCs w:val="20"/>
                <w:lang w:eastAsia="en-AU"/>
              </w:rPr>
            </w:pPr>
            <w:r w:rsidRPr="00EF7549">
              <w:rPr>
                <w:rFonts w:ascii="Meta Pro" w:eastAsia="Times New Roman" w:hAnsi="Meta Pro"/>
                <w:b/>
                <w:bCs/>
                <w:sz w:val="20"/>
                <w:szCs w:val="20"/>
                <w:lang w:eastAsia="en-AU"/>
              </w:rPr>
              <w:t>$'000</w:t>
            </w:r>
          </w:p>
        </w:tc>
        <w:tc>
          <w:tcPr>
            <w:tcW w:w="196" w:type="dxa"/>
            <w:tcBorders>
              <w:top w:val="nil"/>
              <w:left w:val="nil"/>
              <w:bottom w:val="nil"/>
              <w:right w:val="nil"/>
            </w:tcBorders>
            <w:shd w:val="clear" w:color="auto" w:fill="auto"/>
            <w:noWrap/>
            <w:vAlign w:val="center"/>
            <w:hideMark/>
          </w:tcPr>
          <w:p w14:paraId="09C265E6" w14:textId="77777777" w:rsidR="00BC5219" w:rsidRPr="00EF7549" w:rsidRDefault="00BC5219" w:rsidP="00E83802">
            <w:pPr>
              <w:jc w:val="center"/>
              <w:rPr>
                <w:rFonts w:ascii="Meta Pro" w:eastAsia="Times New Roman" w:hAnsi="Meta Pro"/>
                <w:b/>
                <w:bCs/>
                <w:sz w:val="20"/>
                <w:szCs w:val="20"/>
                <w:lang w:eastAsia="en-AU"/>
              </w:rPr>
            </w:pPr>
          </w:p>
        </w:tc>
        <w:tc>
          <w:tcPr>
            <w:tcW w:w="1134" w:type="dxa"/>
            <w:tcBorders>
              <w:top w:val="nil"/>
              <w:left w:val="nil"/>
              <w:bottom w:val="nil"/>
              <w:right w:val="nil"/>
            </w:tcBorders>
            <w:shd w:val="clear" w:color="auto" w:fill="auto"/>
            <w:vAlign w:val="center"/>
            <w:hideMark/>
          </w:tcPr>
          <w:p w14:paraId="01CBD18B" w14:textId="77777777" w:rsidR="00BC5219" w:rsidRPr="00EF7549" w:rsidRDefault="00BC5219" w:rsidP="00E83802">
            <w:pPr>
              <w:jc w:val="center"/>
              <w:rPr>
                <w:rFonts w:ascii="Meta Pro" w:eastAsia="Times New Roman" w:hAnsi="Meta Pro"/>
                <w:b/>
                <w:bCs/>
                <w:sz w:val="20"/>
                <w:szCs w:val="20"/>
                <w:lang w:eastAsia="en-AU"/>
              </w:rPr>
            </w:pPr>
            <w:r w:rsidRPr="00EF7549">
              <w:rPr>
                <w:rFonts w:ascii="Meta Pro" w:eastAsia="Times New Roman" w:hAnsi="Meta Pro"/>
                <w:b/>
                <w:bCs/>
                <w:sz w:val="20"/>
                <w:szCs w:val="20"/>
                <w:lang w:eastAsia="en-AU"/>
              </w:rPr>
              <w:t>$'000</w:t>
            </w:r>
          </w:p>
        </w:tc>
        <w:tc>
          <w:tcPr>
            <w:tcW w:w="196" w:type="dxa"/>
            <w:tcBorders>
              <w:top w:val="nil"/>
              <w:left w:val="nil"/>
              <w:bottom w:val="nil"/>
              <w:right w:val="nil"/>
            </w:tcBorders>
            <w:shd w:val="clear" w:color="auto" w:fill="auto"/>
            <w:noWrap/>
            <w:vAlign w:val="center"/>
            <w:hideMark/>
          </w:tcPr>
          <w:p w14:paraId="033282B0" w14:textId="77777777" w:rsidR="00BC5219" w:rsidRPr="00EF7549" w:rsidRDefault="00BC5219" w:rsidP="00E83802">
            <w:pPr>
              <w:jc w:val="center"/>
              <w:rPr>
                <w:rFonts w:ascii="Meta Pro" w:eastAsia="Times New Roman" w:hAnsi="Meta Pro"/>
                <w:b/>
                <w:bCs/>
                <w:sz w:val="20"/>
                <w:szCs w:val="20"/>
                <w:lang w:eastAsia="en-AU"/>
              </w:rPr>
            </w:pPr>
          </w:p>
        </w:tc>
        <w:tc>
          <w:tcPr>
            <w:tcW w:w="1134" w:type="dxa"/>
            <w:tcBorders>
              <w:top w:val="nil"/>
              <w:left w:val="nil"/>
              <w:bottom w:val="nil"/>
              <w:right w:val="nil"/>
            </w:tcBorders>
            <w:shd w:val="clear" w:color="auto" w:fill="auto"/>
            <w:vAlign w:val="center"/>
            <w:hideMark/>
          </w:tcPr>
          <w:p w14:paraId="43CC4E77" w14:textId="77777777" w:rsidR="00BC5219" w:rsidRPr="00EF7549" w:rsidRDefault="00BC5219" w:rsidP="00E83802">
            <w:pPr>
              <w:jc w:val="center"/>
              <w:rPr>
                <w:rFonts w:ascii="Meta Pro" w:eastAsia="Times New Roman" w:hAnsi="Meta Pro"/>
                <w:b/>
                <w:bCs/>
                <w:sz w:val="20"/>
                <w:szCs w:val="20"/>
                <w:lang w:eastAsia="en-AU"/>
              </w:rPr>
            </w:pPr>
            <w:r w:rsidRPr="00EF7549">
              <w:rPr>
                <w:rFonts w:ascii="Meta Pro" w:eastAsia="Times New Roman" w:hAnsi="Meta Pro"/>
                <w:b/>
                <w:bCs/>
                <w:sz w:val="20"/>
                <w:szCs w:val="20"/>
                <w:lang w:eastAsia="en-AU"/>
              </w:rPr>
              <w:t>$'000</w:t>
            </w:r>
          </w:p>
        </w:tc>
      </w:tr>
      <w:tr w:rsidR="00BC5219" w:rsidRPr="00EF7549" w14:paraId="4C4D0568" w14:textId="77777777" w:rsidTr="00E83802">
        <w:trPr>
          <w:trHeight w:hRule="exact" w:val="40"/>
        </w:trPr>
        <w:tc>
          <w:tcPr>
            <w:tcW w:w="4990" w:type="dxa"/>
            <w:tcBorders>
              <w:top w:val="nil"/>
              <w:left w:val="nil"/>
              <w:bottom w:val="nil"/>
              <w:right w:val="nil"/>
            </w:tcBorders>
            <w:shd w:val="clear" w:color="auto" w:fill="auto"/>
            <w:noWrap/>
            <w:vAlign w:val="center"/>
            <w:hideMark/>
          </w:tcPr>
          <w:p w14:paraId="45C6ABDC" w14:textId="77777777" w:rsidR="00BC5219" w:rsidRPr="00EF7549" w:rsidRDefault="00BC5219" w:rsidP="00E83802">
            <w:pPr>
              <w:jc w:val="center"/>
              <w:rPr>
                <w:rFonts w:ascii="Meta Pro" w:eastAsia="Times New Roman" w:hAnsi="Meta Pro"/>
                <w:b/>
                <w:bCs/>
                <w:sz w:val="20"/>
                <w:szCs w:val="20"/>
                <w:lang w:eastAsia="en-AU"/>
              </w:rPr>
            </w:pPr>
          </w:p>
        </w:tc>
        <w:tc>
          <w:tcPr>
            <w:tcW w:w="851" w:type="dxa"/>
            <w:tcBorders>
              <w:top w:val="nil"/>
              <w:left w:val="nil"/>
              <w:bottom w:val="nil"/>
              <w:right w:val="nil"/>
            </w:tcBorders>
            <w:shd w:val="clear" w:color="auto" w:fill="auto"/>
            <w:noWrap/>
            <w:vAlign w:val="center"/>
            <w:hideMark/>
          </w:tcPr>
          <w:p w14:paraId="71BBFD59" w14:textId="77777777" w:rsidR="00BC5219" w:rsidRPr="00EF7549" w:rsidRDefault="00BC5219" w:rsidP="00E83802">
            <w:pPr>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vAlign w:val="center"/>
            <w:hideMark/>
          </w:tcPr>
          <w:p w14:paraId="53F324C9" w14:textId="77777777" w:rsidR="00BC5219" w:rsidRPr="00EF7549" w:rsidRDefault="00BC5219" w:rsidP="00E83802">
            <w:pPr>
              <w:jc w:val="center"/>
              <w:rPr>
                <w:rFonts w:ascii="Times New Roman" w:eastAsia="Times New Roman" w:hAnsi="Times New Roman"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31D70AC3" w14:textId="77777777" w:rsidR="00BC5219" w:rsidRPr="00EF7549" w:rsidRDefault="00BC5219" w:rsidP="00E83802">
            <w:pPr>
              <w:jc w:val="center"/>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vAlign w:val="center"/>
            <w:hideMark/>
          </w:tcPr>
          <w:p w14:paraId="21C4A938" w14:textId="77777777" w:rsidR="00BC5219" w:rsidRPr="00EF7549" w:rsidRDefault="00BC5219" w:rsidP="00E83802">
            <w:pPr>
              <w:rPr>
                <w:rFonts w:ascii="Times New Roman" w:eastAsia="Times New Roman" w:hAnsi="Times New Roman"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109C7CAC" w14:textId="77777777" w:rsidR="00BC5219" w:rsidRPr="00EF7549" w:rsidRDefault="00BC5219" w:rsidP="00E83802">
            <w:pPr>
              <w:jc w:val="center"/>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vAlign w:val="center"/>
            <w:hideMark/>
          </w:tcPr>
          <w:p w14:paraId="5E679638" w14:textId="77777777" w:rsidR="00BC5219" w:rsidRPr="00EF7549" w:rsidRDefault="00BC5219" w:rsidP="00E83802">
            <w:pPr>
              <w:rPr>
                <w:rFonts w:ascii="Times New Roman" w:eastAsia="Times New Roman" w:hAnsi="Times New Roman"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46FAC3FA" w14:textId="77777777" w:rsidR="00BC5219" w:rsidRPr="00EF7549" w:rsidRDefault="00BC5219" w:rsidP="00E83802">
            <w:pPr>
              <w:jc w:val="center"/>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vAlign w:val="center"/>
            <w:hideMark/>
          </w:tcPr>
          <w:p w14:paraId="1D3D1B4C" w14:textId="77777777" w:rsidR="00BC5219" w:rsidRPr="00EF7549" w:rsidRDefault="00BC5219" w:rsidP="00E83802">
            <w:pPr>
              <w:rPr>
                <w:rFonts w:ascii="Times New Roman" w:eastAsia="Times New Roman" w:hAnsi="Times New Roman" w:cs="Times New Roman"/>
                <w:sz w:val="20"/>
                <w:szCs w:val="20"/>
                <w:lang w:eastAsia="en-AU"/>
              </w:rPr>
            </w:pPr>
          </w:p>
        </w:tc>
      </w:tr>
      <w:tr w:rsidR="00BC5219" w:rsidRPr="00EF7549" w14:paraId="47E22355" w14:textId="77777777" w:rsidTr="00E83802">
        <w:trPr>
          <w:trHeight w:val="240"/>
        </w:trPr>
        <w:tc>
          <w:tcPr>
            <w:tcW w:w="4990" w:type="dxa"/>
            <w:tcBorders>
              <w:top w:val="nil"/>
              <w:left w:val="nil"/>
              <w:bottom w:val="nil"/>
              <w:right w:val="nil"/>
            </w:tcBorders>
            <w:shd w:val="clear" w:color="auto" w:fill="auto"/>
            <w:noWrap/>
            <w:vAlign w:val="center"/>
            <w:hideMark/>
          </w:tcPr>
          <w:p w14:paraId="41D5359B" w14:textId="77777777" w:rsidR="00BC5219" w:rsidRPr="00EF7549" w:rsidRDefault="00BC5219" w:rsidP="00E83802">
            <w:pPr>
              <w:rPr>
                <w:rFonts w:ascii="Meta Pro" w:eastAsia="Times New Roman" w:hAnsi="Meta Pro"/>
                <w:szCs w:val="18"/>
                <w:lang w:eastAsia="en-AU"/>
              </w:rPr>
            </w:pPr>
            <w:r w:rsidRPr="00EF7549">
              <w:rPr>
                <w:rFonts w:ascii="Meta Pro" w:eastAsia="Times New Roman" w:hAnsi="Meta Pro"/>
                <w:szCs w:val="18"/>
                <w:lang w:eastAsia="en-AU"/>
              </w:rPr>
              <w:t>Opening balance</w:t>
            </w:r>
          </w:p>
        </w:tc>
        <w:tc>
          <w:tcPr>
            <w:tcW w:w="851" w:type="dxa"/>
            <w:tcBorders>
              <w:top w:val="nil"/>
              <w:left w:val="nil"/>
              <w:bottom w:val="nil"/>
              <w:right w:val="nil"/>
            </w:tcBorders>
            <w:shd w:val="clear" w:color="auto" w:fill="auto"/>
            <w:noWrap/>
            <w:vAlign w:val="center"/>
            <w:hideMark/>
          </w:tcPr>
          <w:p w14:paraId="2B765872" w14:textId="77777777" w:rsidR="00BC5219" w:rsidRPr="00EF7549" w:rsidRDefault="00BC5219" w:rsidP="00E83802">
            <w:pPr>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762BDEC9" w14:textId="77777777" w:rsidR="00BC5219" w:rsidRPr="00EF7549" w:rsidRDefault="00BC5219" w:rsidP="00E83802">
            <w:pPr>
              <w:jc w:val="right"/>
              <w:rPr>
                <w:rFonts w:ascii="Meta Pro" w:eastAsia="Times New Roman" w:hAnsi="Meta Pro"/>
                <w:szCs w:val="18"/>
                <w:lang w:eastAsia="en-AU"/>
              </w:rPr>
            </w:pPr>
            <w:r w:rsidRPr="00EF7549">
              <w:rPr>
                <w:rFonts w:ascii="Meta Pro" w:eastAsia="Times New Roman" w:hAnsi="Meta Pro"/>
                <w:szCs w:val="18"/>
                <w:lang w:eastAsia="en-AU"/>
              </w:rPr>
              <w:t xml:space="preserve">2 </w:t>
            </w:r>
          </w:p>
        </w:tc>
        <w:tc>
          <w:tcPr>
            <w:tcW w:w="196" w:type="dxa"/>
            <w:tcBorders>
              <w:top w:val="nil"/>
              <w:left w:val="nil"/>
              <w:bottom w:val="nil"/>
              <w:right w:val="nil"/>
            </w:tcBorders>
            <w:shd w:val="clear" w:color="auto" w:fill="auto"/>
            <w:noWrap/>
            <w:vAlign w:val="center"/>
            <w:hideMark/>
          </w:tcPr>
          <w:p w14:paraId="0C0EA8E7" w14:textId="77777777" w:rsidR="00BC5219" w:rsidRPr="00EF7549"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29725E57" w14:textId="77777777" w:rsidR="00BC5219" w:rsidRPr="00EF7549" w:rsidRDefault="00BC5219" w:rsidP="00E83802">
            <w:pPr>
              <w:jc w:val="right"/>
              <w:rPr>
                <w:rFonts w:ascii="Meta Pro" w:eastAsia="Times New Roman" w:hAnsi="Meta Pro"/>
                <w:szCs w:val="18"/>
                <w:lang w:eastAsia="en-AU"/>
              </w:rPr>
            </w:pPr>
            <w:r w:rsidRPr="00EF7549">
              <w:rPr>
                <w:rFonts w:ascii="Meta Pro" w:eastAsia="Times New Roman" w:hAnsi="Meta Pro"/>
                <w:szCs w:val="18"/>
                <w:lang w:eastAsia="en-AU"/>
              </w:rPr>
              <w:t xml:space="preserve">- </w:t>
            </w:r>
          </w:p>
        </w:tc>
        <w:tc>
          <w:tcPr>
            <w:tcW w:w="196" w:type="dxa"/>
            <w:tcBorders>
              <w:top w:val="nil"/>
              <w:left w:val="nil"/>
              <w:bottom w:val="nil"/>
              <w:right w:val="nil"/>
            </w:tcBorders>
            <w:shd w:val="clear" w:color="auto" w:fill="auto"/>
            <w:noWrap/>
            <w:vAlign w:val="center"/>
            <w:hideMark/>
          </w:tcPr>
          <w:p w14:paraId="239A00D4" w14:textId="77777777" w:rsidR="00BC5219" w:rsidRPr="00EF7549"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661E9AF5" w14:textId="77777777" w:rsidR="00BC5219" w:rsidRPr="00EF7549" w:rsidRDefault="00BC5219" w:rsidP="00E83802">
            <w:pPr>
              <w:jc w:val="right"/>
              <w:rPr>
                <w:rFonts w:ascii="Meta Pro" w:eastAsia="Times New Roman" w:hAnsi="Meta Pro"/>
                <w:szCs w:val="18"/>
                <w:lang w:eastAsia="en-AU"/>
              </w:rPr>
            </w:pPr>
            <w:r w:rsidRPr="00EF7549">
              <w:rPr>
                <w:rFonts w:ascii="Meta Pro" w:eastAsia="Times New Roman" w:hAnsi="Meta Pro"/>
                <w:szCs w:val="18"/>
                <w:lang w:eastAsia="en-AU"/>
              </w:rPr>
              <w:t>-</w:t>
            </w:r>
          </w:p>
        </w:tc>
        <w:tc>
          <w:tcPr>
            <w:tcW w:w="196" w:type="dxa"/>
            <w:tcBorders>
              <w:top w:val="nil"/>
              <w:left w:val="nil"/>
              <w:bottom w:val="nil"/>
              <w:right w:val="nil"/>
            </w:tcBorders>
            <w:shd w:val="clear" w:color="auto" w:fill="auto"/>
            <w:noWrap/>
            <w:vAlign w:val="center"/>
            <w:hideMark/>
          </w:tcPr>
          <w:p w14:paraId="3F2B8FF5" w14:textId="77777777" w:rsidR="00BC5219" w:rsidRPr="00EF7549"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053E7383" w14:textId="77777777" w:rsidR="00BC5219" w:rsidRPr="00EF7549" w:rsidRDefault="00BC5219" w:rsidP="00E83802">
            <w:pPr>
              <w:jc w:val="right"/>
              <w:rPr>
                <w:rFonts w:ascii="Meta Pro" w:eastAsia="Times New Roman" w:hAnsi="Meta Pro"/>
                <w:b/>
                <w:bCs/>
                <w:szCs w:val="18"/>
                <w:lang w:eastAsia="en-AU"/>
              </w:rPr>
            </w:pPr>
            <w:r w:rsidRPr="00EF7549">
              <w:rPr>
                <w:rFonts w:ascii="Meta Pro" w:eastAsia="Times New Roman" w:hAnsi="Meta Pro"/>
                <w:b/>
                <w:bCs/>
                <w:szCs w:val="18"/>
                <w:lang w:eastAsia="en-AU"/>
              </w:rPr>
              <w:t xml:space="preserve">2 </w:t>
            </w:r>
          </w:p>
        </w:tc>
      </w:tr>
      <w:tr w:rsidR="00BC5219" w:rsidRPr="00EF7549" w14:paraId="2B3281C7" w14:textId="77777777" w:rsidTr="00E83802">
        <w:trPr>
          <w:trHeight w:val="240"/>
        </w:trPr>
        <w:tc>
          <w:tcPr>
            <w:tcW w:w="4990" w:type="dxa"/>
            <w:tcBorders>
              <w:top w:val="nil"/>
              <w:left w:val="nil"/>
              <w:bottom w:val="nil"/>
              <w:right w:val="nil"/>
            </w:tcBorders>
            <w:shd w:val="clear" w:color="auto" w:fill="auto"/>
            <w:noWrap/>
            <w:vAlign w:val="center"/>
            <w:hideMark/>
          </w:tcPr>
          <w:p w14:paraId="49725D4E" w14:textId="77777777" w:rsidR="00BC5219" w:rsidRPr="00EF7549" w:rsidRDefault="00BC5219" w:rsidP="00E83802">
            <w:pPr>
              <w:rPr>
                <w:rFonts w:ascii="Meta Pro" w:eastAsia="Times New Roman" w:hAnsi="Meta Pro"/>
                <w:szCs w:val="18"/>
                <w:lang w:eastAsia="en-AU"/>
              </w:rPr>
            </w:pPr>
            <w:r w:rsidRPr="00EF7549">
              <w:rPr>
                <w:rFonts w:ascii="Meta Pro" w:eastAsia="Times New Roman" w:hAnsi="Meta Pro"/>
                <w:szCs w:val="18"/>
                <w:lang w:eastAsia="en-AU"/>
              </w:rPr>
              <w:t>Assets received due to machinery-of-government change</w:t>
            </w:r>
          </w:p>
        </w:tc>
        <w:tc>
          <w:tcPr>
            <w:tcW w:w="851" w:type="dxa"/>
            <w:tcBorders>
              <w:top w:val="nil"/>
              <w:left w:val="nil"/>
              <w:bottom w:val="nil"/>
              <w:right w:val="nil"/>
            </w:tcBorders>
            <w:shd w:val="clear" w:color="auto" w:fill="auto"/>
            <w:noWrap/>
            <w:vAlign w:val="center"/>
            <w:hideMark/>
          </w:tcPr>
          <w:p w14:paraId="4372429E" w14:textId="77777777" w:rsidR="00BC5219" w:rsidRPr="00EF7549" w:rsidRDefault="00BC5219" w:rsidP="00E83802">
            <w:pPr>
              <w:jc w:val="center"/>
              <w:rPr>
                <w:rFonts w:ascii="Meta Pro" w:eastAsia="Times New Roman" w:hAnsi="Meta Pro"/>
                <w:szCs w:val="18"/>
                <w:lang w:eastAsia="en-AU"/>
              </w:rPr>
            </w:pPr>
            <w:r w:rsidRPr="00EF7549">
              <w:rPr>
                <w:rFonts w:ascii="Meta Pro" w:eastAsia="Times New Roman" w:hAnsi="Meta Pro"/>
                <w:szCs w:val="18"/>
                <w:lang w:eastAsia="en-AU"/>
              </w:rPr>
              <w:t>1</w:t>
            </w:r>
          </w:p>
        </w:tc>
        <w:tc>
          <w:tcPr>
            <w:tcW w:w="1134" w:type="dxa"/>
            <w:tcBorders>
              <w:top w:val="nil"/>
              <w:left w:val="nil"/>
              <w:bottom w:val="nil"/>
              <w:right w:val="nil"/>
            </w:tcBorders>
            <w:shd w:val="clear" w:color="000000" w:fill="C9E3B4"/>
            <w:noWrap/>
            <w:vAlign w:val="center"/>
            <w:hideMark/>
          </w:tcPr>
          <w:p w14:paraId="1172739B" w14:textId="77777777" w:rsidR="00BC5219" w:rsidRPr="00EF7549" w:rsidRDefault="00BC5219" w:rsidP="00E83802">
            <w:pPr>
              <w:jc w:val="right"/>
              <w:rPr>
                <w:rFonts w:ascii="Meta Pro" w:eastAsia="Times New Roman" w:hAnsi="Meta Pro"/>
                <w:szCs w:val="18"/>
                <w:lang w:eastAsia="en-AU"/>
              </w:rPr>
            </w:pPr>
            <w:r w:rsidRPr="00EF7549">
              <w:rPr>
                <w:rFonts w:ascii="Meta Pro" w:eastAsia="Times New Roman" w:hAnsi="Meta Pro"/>
                <w:szCs w:val="18"/>
                <w:lang w:eastAsia="en-AU"/>
              </w:rPr>
              <w:t xml:space="preserve">4,713 </w:t>
            </w:r>
          </w:p>
        </w:tc>
        <w:tc>
          <w:tcPr>
            <w:tcW w:w="196" w:type="dxa"/>
            <w:tcBorders>
              <w:top w:val="nil"/>
              <w:left w:val="nil"/>
              <w:bottom w:val="nil"/>
              <w:right w:val="nil"/>
            </w:tcBorders>
            <w:shd w:val="clear" w:color="auto" w:fill="auto"/>
            <w:noWrap/>
            <w:vAlign w:val="center"/>
            <w:hideMark/>
          </w:tcPr>
          <w:p w14:paraId="6EC9AA5E" w14:textId="77777777" w:rsidR="00BC5219" w:rsidRPr="00EF7549"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4999C6AB" w14:textId="77777777" w:rsidR="00BC5219" w:rsidRPr="00EF7549" w:rsidRDefault="00BC5219" w:rsidP="00E83802">
            <w:pPr>
              <w:jc w:val="right"/>
              <w:rPr>
                <w:rFonts w:ascii="Meta Pro" w:eastAsia="Times New Roman" w:hAnsi="Meta Pro"/>
                <w:szCs w:val="18"/>
                <w:lang w:eastAsia="en-AU"/>
              </w:rPr>
            </w:pPr>
            <w:r w:rsidRPr="00EF7549">
              <w:rPr>
                <w:rFonts w:ascii="Meta Pro" w:eastAsia="Times New Roman" w:hAnsi="Meta Pro"/>
                <w:szCs w:val="18"/>
                <w:lang w:eastAsia="en-AU"/>
              </w:rPr>
              <w:t xml:space="preserve">- </w:t>
            </w:r>
          </w:p>
        </w:tc>
        <w:tc>
          <w:tcPr>
            <w:tcW w:w="196" w:type="dxa"/>
            <w:tcBorders>
              <w:top w:val="nil"/>
              <w:left w:val="nil"/>
              <w:bottom w:val="nil"/>
              <w:right w:val="nil"/>
            </w:tcBorders>
            <w:shd w:val="clear" w:color="auto" w:fill="auto"/>
            <w:noWrap/>
            <w:vAlign w:val="center"/>
            <w:hideMark/>
          </w:tcPr>
          <w:p w14:paraId="2B6764F7" w14:textId="77777777" w:rsidR="00BC5219" w:rsidRPr="00EF7549"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38991F36" w14:textId="77777777" w:rsidR="00BC5219" w:rsidRPr="00EF7549" w:rsidRDefault="00BC5219" w:rsidP="00E83802">
            <w:pPr>
              <w:jc w:val="right"/>
              <w:rPr>
                <w:rFonts w:ascii="Meta Pro" w:eastAsia="Times New Roman" w:hAnsi="Meta Pro"/>
                <w:szCs w:val="18"/>
                <w:lang w:eastAsia="en-AU"/>
              </w:rPr>
            </w:pPr>
            <w:r w:rsidRPr="00EF7549">
              <w:rPr>
                <w:rFonts w:ascii="Meta Pro" w:eastAsia="Times New Roman" w:hAnsi="Meta Pro"/>
                <w:szCs w:val="18"/>
                <w:lang w:eastAsia="en-AU"/>
              </w:rPr>
              <w:t xml:space="preserve">95,958 </w:t>
            </w:r>
          </w:p>
        </w:tc>
        <w:tc>
          <w:tcPr>
            <w:tcW w:w="196" w:type="dxa"/>
            <w:tcBorders>
              <w:top w:val="nil"/>
              <w:left w:val="nil"/>
              <w:bottom w:val="nil"/>
              <w:right w:val="nil"/>
            </w:tcBorders>
            <w:shd w:val="clear" w:color="auto" w:fill="auto"/>
            <w:noWrap/>
            <w:vAlign w:val="center"/>
            <w:hideMark/>
          </w:tcPr>
          <w:p w14:paraId="654F3F65" w14:textId="77777777" w:rsidR="00BC5219" w:rsidRPr="00EF7549"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2C3FEB4C" w14:textId="77777777" w:rsidR="00BC5219" w:rsidRPr="00EF7549" w:rsidRDefault="00BC5219" w:rsidP="00E83802">
            <w:pPr>
              <w:jc w:val="right"/>
              <w:rPr>
                <w:rFonts w:ascii="Meta Pro" w:eastAsia="Times New Roman" w:hAnsi="Meta Pro"/>
                <w:b/>
                <w:bCs/>
                <w:szCs w:val="18"/>
                <w:lang w:eastAsia="en-AU"/>
              </w:rPr>
            </w:pPr>
            <w:r w:rsidRPr="00EF7549">
              <w:rPr>
                <w:rFonts w:ascii="Meta Pro" w:eastAsia="Times New Roman" w:hAnsi="Meta Pro"/>
                <w:b/>
                <w:bCs/>
                <w:szCs w:val="18"/>
                <w:lang w:eastAsia="en-AU"/>
              </w:rPr>
              <w:t xml:space="preserve">100,671 </w:t>
            </w:r>
          </w:p>
        </w:tc>
      </w:tr>
      <w:tr w:rsidR="00BC5219" w:rsidRPr="00EF7549" w14:paraId="7D2D1BB9" w14:textId="77777777" w:rsidTr="00E83802">
        <w:trPr>
          <w:trHeight w:val="240"/>
        </w:trPr>
        <w:tc>
          <w:tcPr>
            <w:tcW w:w="4990" w:type="dxa"/>
            <w:tcBorders>
              <w:top w:val="nil"/>
              <w:left w:val="nil"/>
              <w:bottom w:val="nil"/>
              <w:right w:val="nil"/>
            </w:tcBorders>
            <w:shd w:val="clear" w:color="auto" w:fill="auto"/>
            <w:noWrap/>
            <w:vAlign w:val="center"/>
            <w:hideMark/>
          </w:tcPr>
          <w:p w14:paraId="4BA9677D" w14:textId="77777777" w:rsidR="00BC5219" w:rsidRPr="00EF7549" w:rsidRDefault="00BC5219" w:rsidP="00E83802">
            <w:pPr>
              <w:rPr>
                <w:rFonts w:ascii="Meta Pro" w:eastAsia="Times New Roman" w:hAnsi="Meta Pro"/>
                <w:szCs w:val="18"/>
                <w:lang w:eastAsia="en-AU"/>
              </w:rPr>
            </w:pPr>
            <w:r w:rsidRPr="00EF7549">
              <w:rPr>
                <w:rFonts w:ascii="Meta Pro" w:eastAsia="Times New Roman" w:hAnsi="Meta Pro"/>
                <w:szCs w:val="18"/>
                <w:lang w:eastAsia="en-AU"/>
              </w:rPr>
              <w:t>Additions</w:t>
            </w:r>
          </w:p>
        </w:tc>
        <w:tc>
          <w:tcPr>
            <w:tcW w:w="851" w:type="dxa"/>
            <w:tcBorders>
              <w:top w:val="nil"/>
              <w:left w:val="nil"/>
              <w:bottom w:val="nil"/>
              <w:right w:val="nil"/>
            </w:tcBorders>
            <w:shd w:val="clear" w:color="auto" w:fill="auto"/>
            <w:noWrap/>
            <w:vAlign w:val="center"/>
            <w:hideMark/>
          </w:tcPr>
          <w:p w14:paraId="3CF40917" w14:textId="77777777" w:rsidR="00BC5219" w:rsidRPr="00EF7549" w:rsidRDefault="00BC5219" w:rsidP="00E83802">
            <w:pPr>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790D99A9" w14:textId="77777777" w:rsidR="00BC5219" w:rsidRPr="00EF7549" w:rsidRDefault="00BC5219" w:rsidP="00E83802">
            <w:pPr>
              <w:jc w:val="right"/>
              <w:rPr>
                <w:rFonts w:ascii="Meta Pro" w:eastAsia="Times New Roman" w:hAnsi="Meta Pro"/>
                <w:szCs w:val="18"/>
                <w:lang w:eastAsia="en-AU"/>
              </w:rPr>
            </w:pPr>
            <w:r w:rsidRPr="00EF7549">
              <w:rPr>
                <w:rFonts w:ascii="Meta Pro" w:eastAsia="Times New Roman" w:hAnsi="Meta Pro"/>
                <w:szCs w:val="18"/>
                <w:lang w:eastAsia="en-AU"/>
              </w:rPr>
              <w:t xml:space="preserve">- </w:t>
            </w:r>
          </w:p>
        </w:tc>
        <w:tc>
          <w:tcPr>
            <w:tcW w:w="196" w:type="dxa"/>
            <w:tcBorders>
              <w:top w:val="nil"/>
              <w:left w:val="nil"/>
              <w:bottom w:val="nil"/>
              <w:right w:val="nil"/>
            </w:tcBorders>
            <w:shd w:val="clear" w:color="auto" w:fill="auto"/>
            <w:noWrap/>
            <w:vAlign w:val="center"/>
            <w:hideMark/>
          </w:tcPr>
          <w:p w14:paraId="19CCCE3A" w14:textId="77777777" w:rsidR="00BC5219" w:rsidRPr="00EF7549"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611034DA" w14:textId="77777777" w:rsidR="00BC5219" w:rsidRPr="00EF7549" w:rsidRDefault="00BC5219" w:rsidP="00E83802">
            <w:pPr>
              <w:jc w:val="right"/>
              <w:rPr>
                <w:rFonts w:ascii="Meta Pro" w:eastAsia="Times New Roman" w:hAnsi="Meta Pro"/>
                <w:szCs w:val="18"/>
                <w:lang w:eastAsia="en-AU"/>
              </w:rPr>
            </w:pPr>
            <w:r w:rsidRPr="00EF7549">
              <w:rPr>
                <w:rFonts w:ascii="Meta Pro" w:eastAsia="Times New Roman" w:hAnsi="Meta Pro"/>
                <w:szCs w:val="18"/>
                <w:lang w:eastAsia="en-AU"/>
              </w:rPr>
              <w:t xml:space="preserve">- </w:t>
            </w:r>
          </w:p>
        </w:tc>
        <w:tc>
          <w:tcPr>
            <w:tcW w:w="196" w:type="dxa"/>
            <w:tcBorders>
              <w:top w:val="nil"/>
              <w:left w:val="nil"/>
              <w:bottom w:val="nil"/>
              <w:right w:val="nil"/>
            </w:tcBorders>
            <w:shd w:val="clear" w:color="auto" w:fill="auto"/>
            <w:noWrap/>
            <w:vAlign w:val="center"/>
            <w:hideMark/>
          </w:tcPr>
          <w:p w14:paraId="45C8685C" w14:textId="77777777" w:rsidR="00BC5219" w:rsidRPr="00EF7549"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3458711B" w14:textId="77777777" w:rsidR="00BC5219" w:rsidRPr="00EF7549" w:rsidRDefault="00BC5219" w:rsidP="00E83802">
            <w:pPr>
              <w:jc w:val="right"/>
              <w:rPr>
                <w:rFonts w:ascii="Meta Pro" w:eastAsia="Times New Roman" w:hAnsi="Meta Pro"/>
                <w:szCs w:val="18"/>
                <w:lang w:eastAsia="en-AU"/>
              </w:rPr>
            </w:pPr>
            <w:r w:rsidRPr="00EF7549">
              <w:rPr>
                <w:rFonts w:ascii="Meta Pro" w:eastAsia="Times New Roman" w:hAnsi="Meta Pro"/>
                <w:szCs w:val="18"/>
                <w:lang w:eastAsia="en-AU"/>
              </w:rPr>
              <w:t xml:space="preserve">502 </w:t>
            </w:r>
          </w:p>
        </w:tc>
        <w:tc>
          <w:tcPr>
            <w:tcW w:w="196" w:type="dxa"/>
            <w:tcBorders>
              <w:top w:val="nil"/>
              <w:left w:val="nil"/>
              <w:bottom w:val="nil"/>
              <w:right w:val="nil"/>
            </w:tcBorders>
            <w:shd w:val="clear" w:color="auto" w:fill="auto"/>
            <w:noWrap/>
            <w:vAlign w:val="center"/>
            <w:hideMark/>
          </w:tcPr>
          <w:p w14:paraId="3FF7F0ED" w14:textId="77777777" w:rsidR="00BC5219" w:rsidRPr="00EF7549"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25E27EF4" w14:textId="77777777" w:rsidR="00BC5219" w:rsidRPr="00EF7549" w:rsidRDefault="00BC5219" w:rsidP="00E83802">
            <w:pPr>
              <w:jc w:val="right"/>
              <w:rPr>
                <w:rFonts w:ascii="Meta Pro" w:eastAsia="Times New Roman" w:hAnsi="Meta Pro"/>
                <w:b/>
                <w:bCs/>
                <w:szCs w:val="18"/>
                <w:lang w:eastAsia="en-AU"/>
              </w:rPr>
            </w:pPr>
            <w:r w:rsidRPr="00EF7549">
              <w:rPr>
                <w:rFonts w:ascii="Meta Pro" w:eastAsia="Times New Roman" w:hAnsi="Meta Pro"/>
                <w:b/>
                <w:bCs/>
                <w:szCs w:val="18"/>
                <w:lang w:eastAsia="en-AU"/>
              </w:rPr>
              <w:t xml:space="preserve">502 </w:t>
            </w:r>
          </w:p>
        </w:tc>
      </w:tr>
      <w:tr w:rsidR="00BC5219" w:rsidRPr="00EF7549" w14:paraId="7D068561" w14:textId="77777777" w:rsidTr="00E83802">
        <w:trPr>
          <w:trHeight w:val="240"/>
        </w:trPr>
        <w:tc>
          <w:tcPr>
            <w:tcW w:w="4990" w:type="dxa"/>
            <w:tcBorders>
              <w:top w:val="nil"/>
              <w:left w:val="nil"/>
              <w:bottom w:val="nil"/>
              <w:right w:val="nil"/>
            </w:tcBorders>
            <w:shd w:val="clear" w:color="auto" w:fill="auto"/>
            <w:noWrap/>
            <w:vAlign w:val="center"/>
            <w:hideMark/>
          </w:tcPr>
          <w:p w14:paraId="468D742E" w14:textId="77777777" w:rsidR="00BC5219" w:rsidRPr="00EF7549" w:rsidRDefault="00BC5219" w:rsidP="00E83802">
            <w:pPr>
              <w:rPr>
                <w:rFonts w:ascii="Meta Pro" w:eastAsia="Times New Roman" w:hAnsi="Meta Pro"/>
                <w:szCs w:val="18"/>
                <w:lang w:eastAsia="en-AU"/>
              </w:rPr>
            </w:pPr>
            <w:r w:rsidRPr="00EF7549">
              <w:rPr>
                <w:rFonts w:ascii="Meta Pro" w:eastAsia="Times New Roman" w:hAnsi="Meta Pro"/>
                <w:szCs w:val="18"/>
                <w:lang w:eastAsia="en-AU"/>
              </w:rPr>
              <w:t>Depreciation charge</w:t>
            </w:r>
          </w:p>
        </w:tc>
        <w:tc>
          <w:tcPr>
            <w:tcW w:w="851" w:type="dxa"/>
            <w:tcBorders>
              <w:top w:val="nil"/>
              <w:left w:val="nil"/>
              <w:bottom w:val="nil"/>
              <w:right w:val="nil"/>
            </w:tcBorders>
            <w:shd w:val="clear" w:color="auto" w:fill="auto"/>
            <w:noWrap/>
            <w:vAlign w:val="center"/>
            <w:hideMark/>
          </w:tcPr>
          <w:p w14:paraId="3BAED8CF" w14:textId="77777777" w:rsidR="00BC5219" w:rsidRPr="00EF7549" w:rsidRDefault="00BC5219" w:rsidP="00E83802">
            <w:pPr>
              <w:jc w:val="center"/>
              <w:rPr>
                <w:rFonts w:ascii="Meta Pro" w:eastAsia="Times New Roman" w:hAnsi="Meta Pro"/>
                <w:szCs w:val="18"/>
                <w:lang w:eastAsia="en-AU"/>
              </w:rPr>
            </w:pPr>
            <w:r w:rsidRPr="00EF7549">
              <w:rPr>
                <w:rFonts w:ascii="Meta Pro" w:eastAsia="Times New Roman" w:hAnsi="Meta Pro"/>
                <w:szCs w:val="18"/>
                <w:lang w:eastAsia="en-AU"/>
              </w:rPr>
              <w:t>10</w:t>
            </w:r>
          </w:p>
        </w:tc>
        <w:tc>
          <w:tcPr>
            <w:tcW w:w="1134" w:type="dxa"/>
            <w:tcBorders>
              <w:top w:val="nil"/>
              <w:left w:val="nil"/>
              <w:bottom w:val="nil"/>
              <w:right w:val="nil"/>
            </w:tcBorders>
            <w:shd w:val="clear" w:color="000000" w:fill="C9E3B4"/>
            <w:noWrap/>
            <w:vAlign w:val="center"/>
            <w:hideMark/>
          </w:tcPr>
          <w:p w14:paraId="3DC05DB5" w14:textId="77777777" w:rsidR="00BC5219" w:rsidRPr="00EF7549" w:rsidRDefault="00BC5219" w:rsidP="00E83802">
            <w:pPr>
              <w:jc w:val="right"/>
              <w:rPr>
                <w:rFonts w:ascii="Meta Pro" w:eastAsia="Times New Roman" w:hAnsi="Meta Pro"/>
                <w:szCs w:val="18"/>
                <w:lang w:eastAsia="en-AU"/>
              </w:rPr>
            </w:pPr>
            <w:r w:rsidRPr="00EF7549">
              <w:rPr>
                <w:rFonts w:ascii="Meta Pro" w:eastAsia="Times New Roman" w:hAnsi="Meta Pro"/>
                <w:szCs w:val="18"/>
                <w:lang w:eastAsia="en-AU"/>
              </w:rPr>
              <w:t>(591)</w:t>
            </w:r>
          </w:p>
        </w:tc>
        <w:tc>
          <w:tcPr>
            <w:tcW w:w="196" w:type="dxa"/>
            <w:tcBorders>
              <w:top w:val="nil"/>
              <w:left w:val="nil"/>
              <w:bottom w:val="nil"/>
              <w:right w:val="nil"/>
            </w:tcBorders>
            <w:shd w:val="clear" w:color="auto" w:fill="auto"/>
            <w:noWrap/>
            <w:vAlign w:val="center"/>
            <w:hideMark/>
          </w:tcPr>
          <w:p w14:paraId="17D7C0CC" w14:textId="77777777" w:rsidR="00BC5219" w:rsidRPr="00EF7549"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4B0C15FE" w14:textId="77777777" w:rsidR="00BC5219" w:rsidRPr="00EF7549" w:rsidRDefault="00BC5219" w:rsidP="00E83802">
            <w:pPr>
              <w:jc w:val="right"/>
              <w:rPr>
                <w:rFonts w:ascii="Meta Pro" w:eastAsia="Times New Roman" w:hAnsi="Meta Pro"/>
                <w:szCs w:val="18"/>
                <w:lang w:eastAsia="en-AU"/>
              </w:rPr>
            </w:pPr>
            <w:r w:rsidRPr="00EF7549">
              <w:rPr>
                <w:rFonts w:ascii="Meta Pro" w:eastAsia="Times New Roman" w:hAnsi="Meta Pro"/>
                <w:szCs w:val="18"/>
                <w:lang w:eastAsia="en-AU"/>
              </w:rPr>
              <w:t xml:space="preserve">- </w:t>
            </w:r>
          </w:p>
        </w:tc>
        <w:tc>
          <w:tcPr>
            <w:tcW w:w="196" w:type="dxa"/>
            <w:tcBorders>
              <w:top w:val="nil"/>
              <w:left w:val="nil"/>
              <w:bottom w:val="nil"/>
              <w:right w:val="nil"/>
            </w:tcBorders>
            <w:shd w:val="clear" w:color="auto" w:fill="auto"/>
            <w:noWrap/>
            <w:vAlign w:val="center"/>
            <w:hideMark/>
          </w:tcPr>
          <w:p w14:paraId="29B4A0D8" w14:textId="77777777" w:rsidR="00BC5219" w:rsidRPr="00EF7549"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118B43B5" w14:textId="77777777" w:rsidR="00BC5219" w:rsidRPr="00EF7549" w:rsidRDefault="00BC5219" w:rsidP="00E83802">
            <w:pPr>
              <w:jc w:val="right"/>
              <w:rPr>
                <w:rFonts w:ascii="Meta Pro" w:eastAsia="Times New Roman" w:hAnsi="Meta Pro"/>
                <w:szCs w:val="18"/>
                <w:lang w:eastAsia="en-AU"/>
              </w:rPr>
            </w:pPr>
            <w:r w:rsidRPr="00EF7549">
              <w:rPr>
                <w:rFonts w:ascii="Meta Pro" w:eastAsia="Times New Roman" w:hAnsi="Meta Pro"/>
                <w:szCs w:val="18"/>
                <w:lang w:eastAsia="en-AU"/>
              </w:rPr>
              <w:t>(1,713)</w:t>
            </w:r>
          </w:p>
        </w:tc>
        <w:tc>
          <w:tcPr>
            <w:tcW w:w="196" w:type="dxa"/>
            <w:tcBorders>
              <w:top w:val="nil"/>
              <w:left w:val="nil"/>
              <w:bottom w:val="nil"/>
              <w:right w:val="nil"/>
            </w:tcBorders>
            <w:shd w:val="clear" w:color="auto" w:fill="auto"/>
            <w:noWrap/>
            <w:vAlign w:val="center"/>
            <w:hideMark/>
          </w:tcPr>
          <w:p w14:paraId="26B123F0" w14:textId="77777777" w:rsidR="00BC5219" w:rsidRPr="00EF7549"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74BC75F7" w14:textId="77777777" w:rsidR="00BC5219" w:rsidRPr="00EF7549" w:rsidRDefault="00BC5219" w:rsidP="00E83802">
            <w:pPr>
              <w:jc w:val="right"/>
              <w:rPr>
                <w:rFonts w:ascii="Meta Pro" w:eastAsia="Times New Roman" w:hAnsi="Meta Pro"/>
                <w:b/>
                <w:bCs/>
                <w:szCs w:val="18"/>
                <w:lang w:eastAsia="en-AU"/>
              </w:rPr>
            </w:pPr>
            <w:r w:rsidRPr="00EF7549">
              <w:rPr>
                <w:rFonts w:ascii="Meta Pro" w:eastAsia="Times New Roman" w:hAnsi="Meta Pro"/>
                <w:b/>
                <w:bCs/>
                <w:szCs w:val="18"/>
                <w:lang w:eastAsia="en-AU"/>
              </w:rPr>
              <w:t>(2,304)</w:t>
            </w:r>
          </w:p>
        </w:tc>
      </w:tr>
      <w:tr w:rsidR="00BC5219" w:rsidRPr="00EF7549" w14:paraId="0DE3231A" w14:textId="77777777" w:rsidTr="00E83802">
        <w:trPr>
          <w:trHeight w:val="240"/>
        </w:trPr>
        <w:tc>
          <w:tcPr>
            <w:tcW w:w="4990" w:type="dxa"/>
            <w:tcBorders>
              <w:top w:val="single" w:sz="4" w:space="0" w:color="auto"/>
              <w:left w:val="nil"/>
              <w:bottom w:val="double" w:sz="6" w:space="0" w:color="auto"/>
              <w:right w:val="nil"/>
            </w:tcBorders>
            <w:shd w:val="clear" w:color="auto" w:fill="auto"/>
            <w:noWrap/>
            <w:vAlign w:val="center"/>
            <w:hideMark/>
          </w:tcPr>
          <w:p w14:paraId="7E37D5CB" w14:textId="77777777" w:rsidR="00BC5219" w:rsidRPr="00EF7549" w:rsidRDefault="00BC5219" w:rsidP="00E83802">
            <w:pPr>
              <w:rPr>
                <w:rFonts w:ascii="Meta Pro" w:eastAsia="Times New Roman" w:hAnsi="Meta Pro"/>
                <w:b/>
                <w:bCs/>
                <w:szCs w:val="18"/>
                <w:lang w:eastAsia="en-AU"/>
              </w:rPr>
            </w:pPr>
            <w:r w:rsidRPr="00EF7549">
              <w:rPr>
                <w:rFonts w:ascii="Meta Pro" w:eastAsia="Times New Roman" w:hAnsi="Meta Pro"/>
                <w:b/>
                <w:bCs/>
                <w:szCs w:val="18"/>
                <w:lang w:eastAsia="en-AU"/>
              </w:rPr>
              <w:t>Closing balance</w:t>
            </w:r>
          </w:p>
        </w:tc>
        <w:tc>
          <w:tcPr>
            <w:tcW w:w="851" w:type="dxa"/>
            <w:tcBorders>
              <w:top w:val="single" w:sz="4" w:space="0" w:color="auto"/>
              <w:left w:val="nil"/>
              <w:bottom w:val="double" w:sz="6" w:space="0" w:color="auto"/>
              <w:right w:val="nil"/>
            </w:tcBorders>
            <w:shd w:val="clear" w:color="auto" w:fill="auto"/>
            <w:noWrap/>
            <w:vAlign w:val="center"/>
            <w:hideMark/>
          </w:tcPr>
          <w:p w14:paraId="3F11BAD1" w14:textId="77777777" w:rsidR="00BC5219" w:rsidRPr="00EF7549" w:rsidRDefault="00BC5219" w:rsidP="00E83802">
            <w:pPr>
              <w:jc w:val="center"/>
              <w:rPr>
                <w:rFonts w:ascii="Meta Pro" w:eastAsia="Times New Roman" w:hAnsi="Meta Pro"/>
                <w:szCs w:val="18"/>
                <w:lang w:eastAsia="en-AU"/>
              </w:rPr>
            </w:pPr>
            <w:r w:rsidRPr="00EF7549">
              <w:rPr>
                <w:rFonts w:ascii="Meta Pro" w:eastAsia="Times New Roman" w:hAnsi="Meta Pro"/>
                <w:szCs w:val="18"/>
                <w:lang w:eastAsia="en-AU"/>
              </w:rPr>
              <w:t> </w:t>
            </w:r>
          </w:p>
        </w:tc>
        <w:tc>
          <w:tcPr>
            <w:tcW w:w="1134" w:type="dxa"/>
            <w:tcBorders>
              <w:top w:val="single" w:sz="4" w:space="0" w:color="auto"/>
              <w:left w:val="nil"/>
              <w:bottom w:val="double" w:sz="6" w:space="0" w:color="auto"/>
              <w:right w:val="nil"/>
            </w:tcBorders>
            <w:shd w:val="clear" w:color="000000" w:fill="C9E3B4"/>
            <w:noWrap/>
            <w:vAlign w:val="center"/>
            <w:hideMark/>
          </w:tcPr>
          <w:p w14:paraId="2638B753" w14:textId="77777777" w:rsidR="00BC5219" w:rsidRPr="00EF7549" w:rsidRDefault="00BC5219" w:rsidP="00E83802">
            <w:pPr>
              <w:jc w:val="right"/>
              <w:rPr>
                <w:rFonts w:ascii="Meta Pro" w:eastAsia="Times New Roman" w:hAnsi="Meta Pro"/>
                <w:b/>
                <w:bCs/>
                <w:szCs w:val="18"/>
                <w:lang w:eastAsia="en-AU"/>
              </w:rPr>
            </w:pPr>
            <w:r w:rsidRPr="00EF7549">
              <w:rPr>
                <w:rFonts w:ascii="Meta Pro" w:eastAsia="Times New Roman" w:hAnsi="Meta Pro"/>
                <w:b/>
                <w:bCs/>
                <w:szCs w:val="18"/>
                <w:lang w:eastAsia="en-AU"/>
              </w:rPr>
              <w:t xml:space="preserve">4,124 </w:t>
            </w:r>
          </w:p>
        </w:tc>
        <w:tc>
          <w:tcPr>
            <w:tcW w:w="196" w:type="dxa"/>
            <w:tcBorders>
              <w:top w:val="nil"/>
              <w:left w:val="nil"/>
              <w:bottom w:val="nil"/>
              <w:right w:val="nil"/>
            </w:tcBorders>
            <w:shd w:val="clear" w:color="auto" w:fill="auto"/>
            <w:noWrap/>
            <w:vAlign w:val="center"/>
            <w:hideMark/>
          </w:tcPr>
          <w:p w14:paraId="68DDA4FF" w14:textId="77777777" w:rsidR="00BC5219" w:rsidRPr="00EF7549" w:rsidRDefault="00BC5219" w:rsidP="00E83802">
            <w:pPr>
              <w:jc w:val="right"/>
              <w:rPr>
                <w:rFonts w:ascii="Meta Pro" w:eastAsia="Times New Roman" w:hAnsi="Meta Pro"/>
                <w:b/>
                <w:bCs/>
                <w:szCs w:val="18"/>
                <w:lang w:eastAsia="en-AU"/>
              </w:rPr>
            </w:pPr>
          </w:p>
        </w:tc>
        <w:tc>
          <w:tcPr>
            <w:tcW w:w="1134" w:type="dxa"/>
            <w:tcBorders>
              <w:top w:val="single" w:sz="4" w:space="0" w:color="auto"/>
              <w:left w:val="nil"/>
              <w:bottom w:val="double" w:sz="6" w:space="0" w:color="auto"/>
              <w:right w:val="nil"/>
            </w:tcBorders>
            <w:shd w:val="clear" w:color="000000" w:fill="C9E3B4"/>
            <w:noWrap/>
            <w:vAlign w:val="center"/>
            <w:hideMark/>
          </w:tcPr>
          <w:p w14:paraId="1A0FAD2C" w14:textId="77777777" w:rsidR="00BC5219" w:rsidRPr="00EF7549" w:rsidRDefault="00BC5219" w:rsidP="00E83802">
            <w:pPr>
              <w:jc w:val="right"/>
              <w:rPr>
                <w:rFonts w:ascii="Meta Pro" w:eastAsia="Times New Roman" w:hAnsi="Meta Pro"/>
                <w:b/>
                <w:bCs/>
                <w:szCs w:val="18"/>
                <w:lang w:eastAsia="en-AU"/>
              </w:rPr>
            </w:pPr>
            <w:r w:rsidRPr="00EF7549">
              <w:rPr>
                <w:rFonts w:ascii="Meta Pro" w:eastAsia="Times New Roman" w:hAnsi="Meta Pro"/>
                <w:b/>
                <w:bCs/>
                <w:szCs w:val="18"/>
                <w:lang w:eastAsia="en-AU"/>
              </w:rPr>
              <w:t xml:space="preserve">- </w:t>
            </w:r>
          </w:p>
        </w:tc>
        <w:tc>
          <w:tcPr>
            <w:tcW w:w="196" w:type="dxa"/>
            <w:tcBorders>
              <w:top w:val="nil"/>
              <w:left w:val="nil"/>
              <w:bottom w:val="nil"/>
              <w:right w:val="nil"/>
            </w:tcBorders>
            <w:shd w:val="clear" w:color="auto" w:fill="auto"/>
            <w:noWrap/>
            <w:vAlign w:val="center"/>
            <w:hideMark/>
          </w:tcPr>
          <w:p w14:paraId="66731EFD" w14:textId="77777777" w:rsidR="00BC5219" w:rsidRPr="00EF7549" w:rsidRDefault="00BC5219" w:rsidP="00E83802">
            <w:pPr>
              <w:jc w:val="right"/>
              <w:rPr>
                <w:rFonts w:ascii="Meta Pro" w:eastAsia="Times New Roman" w:hAnsi="Meta Pro"/>
                <w:b/>
                <w:bCs/>
                <w:szCs w:val="18"/>
                <w:lang w:eastAsia="en-AU"/>
              </w:rPr>
            </w:pPr>
          </w:p>
        </w:tc>
        <w:tc>
          <w:tcPr>
            <w:tcW w:w="1134" w:type="dxa"/>
            <w:tcBorders>
              <w:top w:val="single" w:sz="4" w:space="0" w:color="auto"/>
              <w:left w:val="nil"/>
              <w:bottom w:val="double" w:sz="6" w:space="0" w:color="auto"/>
              <w:right w:val="nil"/>
            </w:tcBorders>
            <w:shd w:val="clear" w:color="000000" w:fill="C9E3B4"/>
            <w:noWrap/>
            <w:vAlign w:val="center"/>
            <w:hideMark/>
          </w:tcPr>
          <w:p w14:paraId="6978BDFA" w14:textId="77777777" w:rsidR="00BC5219" w:rsidRPr="00EF7549" w:rsidRDefault="00BC5219" w:rsidP="00E83802">
            <w:pPr>
              <w:jc w:val="right"/>
              <w:rPr>
                <w:rFonts w:ascii="Meta Pro" w:eastAsia="Times New Roman" w:hAnsi="Meta Pro"/>
                <w:b/>
                <w:bCs/>
                <w:szCs w:val="18"/>
                <w:lang w:eastAsia="en-AU"/>
              </w:rPr>
            </w:pPr>
            <w:r w:rsidRPr="00EF7549">
              <w:rPr>
                <w:rFonts w:ascii="Meta Pro" w:eastAsia="Times New Roman" w:hAnsi="Meta Pro"/>
                <w:b/>
                <w:bCs/>
                <w:szCs w:val="18"/>
                <w:lang w:eastAsia="en-AU"/>
              </w:rPr>
              <w:t xml:space="preserve">94,747 </w:t>
            </w:r>
          </w:p>
        </w:tc>
        <w:tc>
          <w:tcPr>
            <w:tcW w:w="196" w:type="dxa"/>
            <w:tcBorders>
              <w:top w:val="nil"/>
              <w:left w:val="nil"/>
              <w:bottom w:val="nil"/>
              <w:right w:val="nil"/>
            </w:tcBorders>
            <w:shd w:val="clear" w:color="auto" w:fill="auto"/>
            <w:noWrap/>
            <w:vAlign w:val="center"/>
            <w:hideMark/>
          </w:tcPr>
          <w:p w14:paraId="581D1981" w14:textId="77777777" w:rsidR="00BC5219" w:rsidRPr="00EF7549" w:rsidRDefault="00BC5219" w:rsidP="00E83802">
            <w:pPr>
              <w:jc w:val="right"/>
              <w:rPr>
                <w:rFonts w:ascii="Meta Pro" w:eastAsia="Times New Roman" w:hAnsi="Meta Pro"/>
                <w:b/>
                <w:bCs/>
                <w:szCs w:val="18"/>
                <w:lang w:eastAsia="en-AU"/>
              </w:rPr>
            </w:pPr>
          </w:p>
        </w:tc>
        <w:tc>
          <w:tcPr>
            <w:tcW w:w="1134" w:type="dxa"/>
            <w:tcBorders>
              <w:top w:val="single" w:sz="4" w:space="0" w:color="auto"/>
              <w:left w:val="nil"/>
              <w:bottom w:val="double" w:sz="6" w:space="0" w:color="auto"/>
              <w:right w:val="nil"/>
            </w:tcBorders>
            <w:shd w:val="clear" w:color="000000" w:fill="C9E3B4"/>
            <w:noWrap/>
            <w:vAlign w:val="center"/>
            <w:hideMark/>
          </w:tcPr>
          <w:p w14:paraId="6F68431A" w14:textId="77777777" w:rsidR="00BC5219" w:rsidRPr="00EF7549" w:rsidRDefault="00BC5219" w:rsidP="00E83802">
            <w:pPr>
              <w:jc w:val="right"/>
              <w:rPr>
                <w:rFonts w:ascii="Meta Pro" w:eastAsia="Times New Roman" w:hAnsi="Meta Pro"/>
                <w:b/>
                <w:bCs/>
                <w:szCs w:val="18"/>
                <w:lang w:eastAsia="en-AU"/>
              </w:rPr>
            </w:pPr>
            <w:r w:rsidRPr="00EF7549">
              <w:rPr>
                <w:rFonts w:ascii="Meta Pro" w:eastAsia="Times New Roman" w:hAnsi="Meta Pro"/>
                <w:b/>
                <w:bCs/>
                <w:szCs w:val="18"/>
                <w:lang w:eastAsia="en-AU"/>
              </w:rPr>
              <w:t xml:space="preserve">98,871 </w:t>
            </w:r>
          </w:p>
        </w:tc>
      </w:tr>
      <w:tr w:rsidR="00BC5219" w:rsidRPr="00EF7549" w14:paraId="7E4AD23D" w14:textId="77777777" w:rsidTr="00E83802">
        <w:trPr>
          <w:trHeight w:val="240"/>
        </w:trPr>
        <w:tc>
          <w:tcPr>
            <w:tcW w:w="4990" w:type="dxa"/>
            <w:tcBorders>
              <w:top w:val="nil"/>
              <w:left w:val="nil"/>
              <w:bottom w:val="nil"/>
              <w:right w:val="nil"/>
            </w:tcBorders>
            <w:shd w:val="clear" w:color="auto" w:fill="auto"/>
            <w:noWrap/>
            <w:vAlign w:val="center"/>
            <w:hideMark/>
          </w:tcPr>
          <w:p w14:paraId="5DC64A3A" w14:textId="77777777" w:rsidR="00BC5219" w:rsidRPr="00EF7549" w:rsidRDefault="00BC5219" w:rsidP="00E83802">
            <w:pPr>
              <w:jc w:val="right"/>
              <w:rPr>
                <w:rFonts w:ascii="Meta Pro" w:eastAsia="Times New Roman" w:hAnsi="Meta Pro"/>
                <w:b/>
                <w:bCs/>
                <w:szCs w:val="18"/>
                <w:lang w:eastAsia="en-AU"/>
              </w:rPr>
            </w:pPr>
          </w:p>
        </w:tc>
        <w:tc>
          <w:tcPr>
            <w:tcW w:w="851" w:type="dxa"/>
            <w:tcBorders>
              <w:top w:val="nil"/>
              <w:left w:val="nil"/>
              <w:bottom w:val="nil"/>
              <w:right w:val="nil"/>
            </w:tcBorders>
            <w:shd w:val="clear" w:color="auto" w:fill="auto"/>
            <w:noWrap/>
            <w:vAlign w:val="center"/>
            <w:hideMark/>
          </w:tcPr>
          <w:p w14:paraId="1B1A6C3D" w14:textId="77777777" w:rsidR="00BC5219" w:rsidRPr="00EF7549" w:rsidRDefault="00BC5219" w:rsidP="00E83802">
            <w:pPr>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5FB7197B" w14:textId="77777777" w:rsidR="00BC5219" w:rsidRPr="00EF7549" w:rsidRDefault="00BC5219" w:rsidP="00E83802">
            <w:pPr>
              <w:jc w:val="center"/>
              <w:rPr>
                <w:rFonts w:ascii="Times New Roman" w:eastAsia="Times New Roman" w:hAnsi="Times New Roman"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0E595BCD" w14:textId="77777777" w:rsidR="00BC5219" w:rsidRPr="00EF7549" w:rsidRDefault="00BC5219" w:rsidP="00E83802">
            <w:pPr>
              <w:jc w:val="center"/>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15239254" w14:textId="77777777" w:rsidR="00BC5219" w:rsidRPr="00EF7549" w:rsidRDefault="00BC5219" w:rsidP="00E83802">
            <w:pPr>
              <w:jc w:val="center"/>
              <w:rPr>
                <w:rFonts w:ascii="Times New Roman" w:eastAsia="Times New Roman" w:hAnsi="Times New Roman"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10B1659A" w14:textId="77777777" w:rsidR="00BC5219" w:rsidRPr="00EF7549" w:rsidRDefault="00BC5219" w:rsidP="00E83802">
            <w:pPr>
              <w:jc w:val="center"/>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00938A8F" w14:textId="77777777" w:rsidR="00BC5219" w:rsidRPr="00EF7549" w:rsidRDefault="00BC5219" w:rsidP="00E83802">
            <w:pPr>
              <w:jc w:val="center"/>
              <w:rPr>
                <w:rFonts w:ascii="Times New Roman" w:eastAsia="Times New Roman" w:hAnsi="Times New Roman"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3737399C" w14:textId="77777777" w:rsidR="00BC5219" w:rsidRPr="00EF7549" w:rsidRDefault="00BC5219" w:rsidP="00E83802">
            <w:pPr>
              <w:jc w:val="center"/>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5CA9EF36" w14:textId="77777777" w:rsidR="00BC5219" w:rsidRPr="00EF7549" w:rsidRDefault="00BC5219" w:rsidP="00E83802">
            <w:pPr>
              <w:jc w:val="center"/>
              <w:rPr>
                <w:rFonts w:ascii="Times New Roman" w:eastAsia="Times New Roman" w:hAnsi="Times New Roman" w:cs="Times New Roman"/>
                <w:sz w:val="20"/>
                <w:szCs w:val="20"/>
                <w:lang w:eastAsia="en-AU"/>
              </w:rPr>
            </w:pPr>
          </w:p>
        </w:tc>
      </w:tr>
      <w:tr w:rsidR="00BC5219" w:rsidRPr="00EF7549" w14:paraId="1048F576" w14:textId="77777777" w:rsidTr="00E83802">
        <w:trPr>
          <w:trHeight w:val="240"/>
        </w:trPr>
        <w:tc>
          <w:tcPr>
            <w:tcW w:w="4990" w:type="dxa"/>
            <w:tcBorders>
              <w:top w:val="nil"/>
              <w:left w:val="nil"/>
              <w:bottom w:val="nil"/>
              <w:right w:val="nil"/>
            </w:tcBorders>
            <w:shd w:val="clear" w:color="auto" w:fill="auto"/>
            <w:noWrap/>
            <w:vAlign w:val="center"/>
            <w:hideMark/>
          </w:tcPr>
          <w:p w14:paraId="17707662" w14:textId="77777777" w:rsidR="00BC5219" w:rsidRPr="00EF7549" w:rsidRDefault="00BC5219" w:rsidP="00E83802">
            <w:pPr>
              <w:jc w:val="center"/>
              <w:rPr>
                <w:rFonts w:ascii="Times New Roman" w:eastAsia="Times New Roman" w:hAnsi="Times New Roman" w:cs="Times New Roman"/>
                <w:sz w:val="20"/>
                <w:szCs w:val="20"/>
                <w:lang w:eastAsia="en-AU"/>
              </w:rPr>
            </w:pPr>
          </w:p>
        </w:tc>
        <w:tc>
          <w:tcPr>
            <w:tcW w:w="851" w:type="dxa"/>
            <w:tcBorders>
              <w:top w:val="nil"/>
              <w:left w:val="nil"/>
              <w:bottom w:val="nil"/>
              <w:right w:val="nil"/>
            </w:tcBorders>
            <w:shd w:val="clear" w:color="auto" w:fill="auto"/>
            <w:noWrap/>
            <w:vAlign w:val="center"/>
            <w:hideMark/>
          </w:tcPr>
          <w:p w14:paraId="507A49C5" w14:textId="77777777" w:rsidR="00BC5219" w:rsidRPr="00EF7549" w:rsidRDefault="00BC5219" w:rsidP="00E83802">
            <w:pPr>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7E6CDEEF" w14:textId="77777777" w:rsidR="00BC5219" w:rsidRPr="00EF7549" w:rsidRDefault="00BC5219" w:rsidP="00E83802">
            <w:pPr>
              <w:jc w:val="center"/>
              <w:rPr>
                <w:rFonts w:ascii="Meta Pro" w:eastAsia="Times New Roman" w:hAnsi="Meta Pro"/>
                <w:b/>
                <w:bCs/>
                <w:sz w:val="20"/>
                <w:szCs w:val="20"/>
                <w:lang w:eastAsia="en-AU"/>
              </w:rPr>
            </w:pPr>
            <w:r w:rsidRPr="00EF7549">
              <w:rPr>
                <w:rFonts w:ascii="Meta Pro" w:eastAsia="Times New Roman" w:hAnsi="Meta Pro"/>
                <w:b/>
                <w:bCs/>
                <w:sz w:val="20"/>
                <w:szCs w:val="20"/>
                <w:lang w:eastAsia="en-AU"/>
              </w:rPr>
              <w:t>2022</w:t>
            </w:r>
          </w:p>
        </w:tc>
        <w:tc>
          <w:tcPr>
            <w:tcW w:w="196" w:type="dxa"/>
            <w:tcBorders>
              <w:top w:val="nil"/>
              <w:left w:val="nil"/>
              <w:bottom w:val="nil"/>
              <w:right w:val="nil"/>
            </w:tcBorders>
            <w:shd w:val="clear" w:color="auto" w:fill="auto"/>
            <w:noWrap/>
            <w:vAlign w:val="center"/>
            <w:hideMark/>
          </w:tcPr>
          <w:p w14:paraId="31B164E5" w14:textId="77777777" w:rsidR="00BC5219" w:rsidRPr="00EF7549" w:rsidRDefault="00BC5219" w:rsidP="00E83802">
            <w:pPr>
              <w:jc w:val="center"/>
              <w:rPr>
                <w:rFonts w:ascii="Meta Pro" w:eastAsia="Times New Roman" w:hAnsi="Meta Pro"/>
                <w:b/>
                <w:bCs/>
                <w:sz w:val="20"/>
                <w:szCs w:val="20"/>
                <w:lang w:eastAsia="en-AU"/>
              </w:rPr>
            </w:pPr>
          </w:p>
        </w:tc>
        <w:tc>
          <w:tcPr>
            <w:tcW w:w="1134" w:type="dxa"/>
            <w:tcBorders>
              <w:top w:val="nil"/>
              <w:left w:val="nil"/>
              <w:bottom w:val="nil"/>
              <w:right w:val="nil"/>
            </w:tcBorders>
            <w:shd w:val="clear" w:color="auto" w:fill="auto"/>
            <w:noWrap/>
            <w:vAlign w:val="center"/>
            <w:hideMark/>
          </w:tcPr>
          <w:p w14:paraId="7D787895" w14:textId="77777777" w:rsidR="00BC5219" w:rsidRPr="00EF7549" w:rsidRDefault="00BC5219" w:rsidP="00E83802">
            <w:pPr>
              <w:jc w:val="center"/>
              <w:rPr>
                <w:rFonts w:ascii="Meta Pro" w:eastAsia="Times New Roman" w:hAnsi="Meta Pro"/>
                <w:b/>
                <w:bCs/>
                <w:sz w:val="20"/>
                <w:szCs w:val="20"/>
                <w:lang w:eastAsia="en-AU"/>
              </w:rPr>
            </w:pPr>
            <w:r w:rsidRPr="00EF7549">
              <w:rPr>
                <w:rFonts w:ascii="Meta Pro" w:eastAsia="Times New Roman" w:hAnsi="Meta Pro"/>
                <w:b/>
                <w:bCs/>
                <w:sz w:val="20"/>
                <w:szCs w:val="20"/>
                <w:lang w:eastAsia="en-AU"/>
              </w:rPr>
              <w:t>2022</w:t>
            </w:r>
          </w:p>
        </w:tc>
        <w:tc>
          <w:tcPr>
            <w:tcW w:w="196" w:type="dxa"/>
            <w:tcBorders>
              <w:top w:val="nil"/>
              <w:left w:val="nil"/>
              <w:bottom w:val="nil"/>
              <w:right w:val="nil"/>
            </w:tcBorders>
            <w:shd w:val="clear" w:color="auto" w:fill="auto"/>
            <w:noWrap/>
            <w:vAlign w:val="center"/>
            <w:hideMark/>
          </w:tcPr>
          <w:p w14:paraId="11B6F2B4" w14:textId="77777777" w:rsidR="00BC5219" w:rsidRPr="00EF7549" w:rsidRDefault="00BC5219" w:rsidP="00E83802">
            <w:pPr>
              <w:jc w:val="center"/>
              <w:rPr>
                <w:rFonts w:ascii="Meta Pro" w:eastAsia="Times New Roman" w:hAnsi="Meta Pro"/>
                <w:b/>
                <w:bCs/>
                <w:sz w:val="20"/>
                <w:szCs w:val="20"/>
                <w:lang w:eastAsia="en-AU"/>
              </w:rPr>
            </w:pPr>
          </w:p>
        </w:tc>
        <w:tc>
          <w:tcPr>
            <w:tcW w:w="1134" w:type="dxa"/>
            <w:tcBorders>
              <w:top w:val="nil"/>
              <w:left w:val="nil"/>
              <w:bottom w:val="nil"/>
              <w:right w:val="nil"/>
            </w:tcBorders>
            <w:shd w:val="clear" w:color="auto" w:fill="auto"/>
            <w:noWrap/>
            <w:vAlign w:val="center"/>
            <w:hideMark/>
          </w:tcPr>
          <w:p w14:paraId="32899F8F" w14:textId="77777777" w:rsidR="00BC5219" w:rsidRPr="00EF7549" w:rsidRDefault="00BC5219" w:rsidP="00E83802">
            <w:pPr>
              <w:jc w:val="center"/>
              <w:rPr>
                <w:rFonts w:ascii="Meta Pro" w:eastAsia="Times New Roman" w:hAnsi="Meta Pro"/>
                <w:b/>
                <w:bCs/>
                <w:sz w:val="20"/>
                <w:szCs w:val="20"/>
                <w:lang w:eastAsia="en-AU"/>
              </w:rPr>
            </w:pPr>
            <w:r w:rsidRPr="00EF7549">
              <w:rPr>
                <w:rFonts w:ascii="Meta Pro" w:eastAsia="Times New Roman" w:hAnsi="Meta Pro"/>
                <w:b/>
                <w:bCs/>
                <w:sz w:val="20"/>
                <w:szCs w:val="20"/>
                <w:lang w:eastAsia="en-AU"/>
              </w:rPr>
              <w:t>2022</w:t>
            </w:r>
          </w:p>
        </w:tc>
        <w:tc>
          <w:tcPr>
            <w:tcW w:w="196" w:type="dxa"/>
            <w:tcBorders>
              <w:top w:val="nil"/>
              <w:left w:val="nil"/>
              <w:bottom w:val="nil"/>
              <w:right w:val="nil"/>
            </w:tcBorders>
            <w:shd w:val="clear" w:color="auto" w:fill="auto"/>
            <w:noWrap/>
            <w:vAlign w:val="center"/>
            <w:hideMark/>
          </w:tcPr>
          <w:p w14:paraId="64BB0551" w14:textId="77777777" w:rsidR="00BC5219" w:rsidRPr="00EF7549" w:rsidRDefault="00BC5219" w:rsidP="00E83802">
            <w:pPr>
              <w:jc w:val="center"/>
              <w:rPr>
                <w:rFonts w:ascii="Meta Pro" w:eastAsia="Times New Roman" w:hAnsi="Meta Pro"/>
                <w:b/>
                <w:bCs/>
                <w:sz w:val="20"/>
                <w:szCs w:val="20"/>
                <w:lang w:eastAsia="en-AU"/>
              </w:rPr>
            </w:pPr>
          </w:p>
        </w:tc>
        <w:tc>
          <w:tcPr>
            <w:tcW w:w="1134" w:type="dxa"/>
            <w:tcBorders>
              <w:top w:val="nil"/>
              <w:left w:val="nil"/>
              <w:bottom w:val="nil"/>
              <w:right w:val="nil"/>
            </w:tcBorders>
            <w:shd w:val="clear" w:color="auto" w:fill="auto"/>
            <w:noWrap/>
            <w:vAlign w:val="center"/>
            <w:hideMark/>
          </w:tcPr>
          <w:p w14:paraId="75C7E27E" w14:textId="77777777" w:rsidR="00BC5219" w:rsidRPr="00EF7549" w:rsidRDefault="00BC5219" w:rsidP="00E83802">
            <w:pPr>
              <w:jc w:val="center"/>
              <w:rPr>
                <w:rFonts w:ascii="Meta Pro" w:eastAsia="Times New Roman" w:hAnsi="Meta Pro"/>
                <w:b/>
                <w:bCs/>
                <w:sz w:val="20"/>
                <w:szCs w:val="20"/>
                <w:lang w:eastAsia="en-AU"/>
              </w:rPr>
            </w:pPr>
            <w:r w:rsidRPr="00EF7549">
              <w:rPr>
                <w:rFonts w:ascii="Meta Pro" w:eastAsia="Times New Roman" w:hAnsi="Meta Pro"/>
                <w:b/>
                <w:bCs/>
                <w:sz w:val="20"/>
                <w:szCs w:val="20"/>
                <w:lang w:eastAsia="en-AU"/>
              </w:rPr>
              <w:t>2022</w:t>
            </w:r>
          </w:p>
        </w:tc>
      </w:tr>
      <w:tr w:rsidR="00BC5219" w:rsidRPr="00EF7549" w14:paraId="585E8A36" w14:textId="77777777" w:rsidTr="00E83802">
        <w:trPr>
          <w:trHeight w:val="240"/>
        </w:trPr>
        <w:tc>
          <w:tcPr>
            <w:tcW w:w="4990" w:type="dxa"/>
            <w:tcBorders>
              <w:top w:val="nil"/>
              <w:left w:val="nil"/>
              <w:bottom w:val="nil"/>
              <w:right w:val="nil"/>
            </w:tcBorders>
            <w:shd w:val="clear" w:color="auto" w:fill="auto"/>
            <w:noWrap/>
            <w:vAlign w:val="center"/>
            <w:hideMark/>
          </w:tcPr>
          <w:p w14:paraId="59FD62BE" w14:textId="77777777" w:rsidR="00BC5219" w:rsidRPr="00EF7549" w:rsidRDefault="00BC5219" w:rsidP="00E83802">
            <w:pPr>
              <w:jc w:val="center"/>
              <w:rPr>
                <w:rFonts w:ascii="Meta Pro" w:eastAsia="Times New Roman" w:hAnsi="Meta Pro"/>
                <w:b/>
                <w:bCs/>
                <w:sz w:val="20"/>
                <w:szCs w:val="20"/>
                <w:lang w:eastAsia="en-AU"/>
              </w:rPr>
            </w:pPr>
          </w:p>
        </w:tc>
        <w:tc>
          <w:tcPr>
            <w:tcW w:w="851" w:type="dxa"/>
            <w:tcBorders>
              <w:top w:val="nil"/>
              <w:left w:val="nil"/>
              <w:bottom w:val="nil"/>
              <w:right w:val="nil"/>
            </w:tcBorders>
            <w:shd w:val="clear" w:color="auto" w:fill="auto"/>
            <w:noWrap/>
            <w:vAlign w:val="center"/>
            <w:hideMark/>
          </w:tcPr>
          <w:p w14:paraId="68C1F9AC" w14:textId="77777777" w:rsidR="00BC5219" w:rsidRPr="00EF7549" w:rsidRDefault="00BC5219" w:rsidP="00E83802">
            <w:pPr>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vAlign w:val="center"/>
            <w:hideMark/>
          </w:tcPr>
          <w:p w14:paraId="749435D7" w14:textId="77777777" w:rsidR="00BC5219" w:rsidRPr="00EF7549" w:rsidRDefault="00BC5219" w:rsidP="00E83802">
            <w:pPr>
              <w:jc w:val="center"/>
              <w:rPr>
                <w:rFonts w:ascii="Meta Pro" w:eastAsia="Times New Roman" w:hAnsi="Meta Pro"/>
                <w:b/>
                <w:bCs/>
                <w:sz w:val="20"/>
                <w:szCs w:val="20"/>
                <w:lang w:eastAsia="en-AU"/>
              </w:rPr>
            </w:pPr>
            <w:r w:rsidRPr="00EF7549">
              <w:rPr>
                <w:rFonts w:ascii="Meta Pro" w:eastAsia="Times New Roman" w:hAnsi="Meta Pro"/>
                <w:b/>
                <w:bCs/>
                <w:sz w:val="20"/>
                <w:szCs w:val="20"/>
                <w:lang w:eastAsia="en-AU"/>
              </w:rPr>
              <w:t>$'000</w:t>
            </w:r>
          </w:p>
        </w:tc>
        <w:tc>
          <w:tcPr>
            <w:tcW w:w="196" w:type="dxa"/>
            <w:tcBorders>
              <w:top w:val="nil"/>
              <w:left w:val="nil"/>
              <w:bottom w:val="nil"/>
              <w:right w:val="nil"/>
            </w:tcBorders>
            <w:shd w:val="clear" w:color="auto" w:fill="auto"/>
            <w:noWrap/>
            <w:vAlign w:val="center"/>
            <w:hideMark/>
          </w:tcPr>
          <w:p w14:paraId="74E26AB2" w14:textId="77777777" w:rsidR="00BC5219" w:rsidRPr="00EF7549" w:rsidRDefault="00BC5219" w:rsidP="00E83802">
            <w:pPr>
              <w:jc w:val="center"/>
              <w:rPr>
                <w:rFonts w:ascii="Meta Pro" w:eastAsia="Times New Roman" w:hAnsi="Meta Pro"/>
                <w:b/>
                <w:bCs/>
                <w:sz w:val="20"/>
                <w:szCs w:val="20"/>
                <w:lang w:eastAsia="en-AU"/>
              </w:rPr>
            </w:pPr>
          </w:p>
        </w:tc>
        <w:tc>
          <w:tcPr>
            <w:tcW w:w="1134" w:type="dxa"/>
            <w:tcBorders>
              <w:top w:val="nil"/>
              <w:left w:val="nil"/>
              <w:bottom w:val="nil"/>
              <w:right w:val="nil"/>
            </w:tcBorders>
            <w:shd w:val="clear" w:color="auto" w:fill="auto"/>
            <w:vAlign w:val="center"/>
            <w:hideMark/>
          </w:tcPr>
          <w:p w14:paraId="2D241697" w14:textId="77777777" w:rsidR="00BC5219" w:rsidRPr="00EF7549" w:rsidRDefault="00BC5219" w:rsidP="00E83802">
            <w:pPr>
              <w:jc w:val="center"/>
              <w:rPr>
                <w:rFonts w:ascii="Meta Pro" w:eastAsia="Times New Roman" w:hAnsi="Meta Pro"/>
                <w:b/>
                <w:bCs/>
                <w:sz w:val="20"/>
                <w:szCs w:val="20"/>
                <w:lang w:eastAsia="en-AU"/>
              </w:rPr>
            </w:pPr>
            <w:r w:rsidRPr="00EF7549">
              <w:rPr>
                <w:rFonts w:ascii="Meta Pro" w:eastAsia="Times New Roman" w:hAnsi="Meta Pro"/>
                <w:b/>
                <w:bCs/>
                <w:sz w:val="20"/>
                <w:szCs w:val="20"/>
                <w:lang w:eastAsia="en-AU"/>
              </w:rPr>
              <w:t>$'000</w:t>
            </w:r>
          </w:p>
        </w:tc>
        <w:tc>
          <w:tcPr>
            <w:tcW w:w="196" w:type="dxa"/>
            <w:tcBorders>
              <w:top w:val="nil"/>
              <w:left w:val="nil"/>
              <w:bottom w:val="nil"/>
              <w:right w:val="nil"/>
            </w:tcBorders>
            <w:shd w:val="clear" w:color="auto" w:fill="auto"/>
            <w:noWrap/>
            <w:vAlign w:val="center"/>
            <w:hideMark/>
          </w:tcPr>
          <w:p w14:paraId="5C83764C" w14:textId="77777777" w:rsidR="00BC5219" w:rsidRPr="00EF7549" w:rsidRDefault="00BC5219" w:rsidP="00E83802">
            <w:pPr>
              <w:jc w:val="center"/>
              <w:rPr>
                <w:rFonts w:ascii="Meta Pro" w:eastAsia="Times New Roman" w:hAnsi="Meta Pro"/>
                <w:b/>
                <w:bCs/>
                <w:sz w:val="20"/>
                <w:szCs w:val="20"/>
                <w:lang w:eastAsia="en-AU"/>
              </w:rPr>
            </w:pPr>
          </w:p>
        </w:tc>
        <w:tc>
          <w:tcPr>
            <w:tcW w:w="1134" w:type="dxa"/>
            <w:tcBorders>
              <w:top w:val="nil"/>
              <w:left w:val="nil"/>
              <w:bottom w:val="nil"/>
              <w:right w:val="nil"/>
            </w:tcBorders>
            <w:shd w:val="clear" w:color="auto" w:fill="auto"/>
            <w:vAlign w:val="center"/>
            <w:hideMark/>
          </w:tcPr>
          <w:p w14:paraId="3A5E1A7A" w14:textId="77777777" w:rsidR="00BC5219" w:rsidRPr="00EF7549" w:rsidRDefault="00BC5219" w:rsidP="00E83802">
            <w:pPr>
              <w:jc w:val="center"/>
              <w:rPr>
                <w:rFonts w:ascii="Meta Pro" w:eastAsia="Times New Roman" w:hAnsi="Meta Pro"/>
                <w:b/>
                <w:bCs/>
                <w:sz w:val="20"/>
                <w:szCs w:val="20"/>
                <w:lang w:eastAsia="en-AU"/>
              </w:rPr>
            </w:pPr>
            <w:r w:rsidRPr="00EF7549">
              <w:rPr>
                <w:rFonts w:ascii="Meta Pro" w:eastAsia="Times New Roman" w:hAnsi="Meta Pro"/>
                <w:b/>
                <w:bCs/>
                <w:sz w:val="20"/>
                <w:szCs w:val="20"/>
                <w:lang w:eastAsia="en-AU"/>
              </w:rPr>
              <w:t>$'000</w:t>
            </w:r>
          </w:p>
        </w:tc>
        <w:tc>
          <w:tcPr>
            <w:tcW w:w="196" w:type="dxa"/>
            <w:tcBorders>
              <w:top w:val="nil"/>
              <w:left w:val="nil"/>
              <w:bottom w:val="nil"/>
              <w:right w:val="nil"/>
            </w:tcBorders>
            <w:shd w:val="clear" w:color="auto" w:fill="auto"/>
            <w:noWrap/>
            <w:vAlign w:val="center"/>
            <w:hideMark/>
          </w:tcPr>
          <w:p w14:paraId="472A7E21" w14:textId="77777777" w:rsidR="00BC5219" w:rsidRPr="00EF7549" w:rsidRDefault="00BC5219" w:rsidP="00E83802">
            <w:pPr>
              <w:jc w:val="center"/>
              <w:rPr>
                <w:rFonts w:ascii="Meta Pro" w:eastAsia="Times New Roman" w:hAnsi="Meta Pro"/>
                <w:b/>
                <w:bCs/>
                <w:sz w:val="20"/>
                <w:szCs w:val="20"/>
                <w:lang w:eastAsia="en-AU"/>
              </w:rPr>
            </w:pPr>
          </w:p>
        </w:tc>
        <w:tc>
          <w:tcPr>
            <w:tcW w:w="1134" w:type="dxa"/>
            <w:tcBorders>
              <w:top w:val="nil"/>
              <w:left w:val="nil"/>
              <w:bottom w:val="nil"/>
              <w:right w:val="nil"/>
            </w:tcBorders>
            <w:shd w:val="clear" w:color="auto" w:fill="auto"/>
            <w:vAlign w:val="center"/>
            <w:hideMark/>
          </w:tcPr>
          <w:p w14:paraId="4435A097" w14:textId="77777777" w:rsidR="00BC5219" w:rsidRPr="00EF7549" w:rsidRDefault="00BC5219" w:rsidP="00E83802">
            <w:pPr>
              <w:jc w:val="center"/>
              <w:rPr>
                <w:rFonts w:ascii="Meta Pro" w:eastAsia="Times New Roman" w:hAnsi="Meta Pro"/>
                <w:b/>
                <w:bCs/>
                <w:sz w:val="20"/>
                <w:szCs w:val="20"/>
                <w:lang w:eastAsia="en-AU"/>
              </w:rPr>
            </w:pPr>
            <w:r w:rsidRPr="00EF7549">
              <w:rPr>
                <w:rFonts w:ascii="Meta Pro" w:eastAsia="Times New Roman" w:hAnsi="Meta Pro"/>
                <w:b/>
                <w:bCs/>
                <w:sz w:val="20"/>
                <w:szCs w:val="20"/>
                <w:lang w:eastAsia="en-AU"/>
              </w:rPr>
              <w:t>$'000</w:t>
            </w:r>
          </w:p>
        </w:tc>
      </w:tr>
      <w:tr w:rsidR="00BC5219" w:rsidRPr="00EF7549" w14:paraId="0CC1A7A7" w14:textId="77777777" w:rsidTr="00E83802">
        <w:trPr>
          <w:trHeight w:val="240"/>
        </w:trPr>
        <w:tc>
          <w:tcPr>
            <w:tcW w:w="4990" w:type="dxa"/>
            <w:tcBorders>
              <w:top w:val="nil"/>
              <w:left w:val="nil"/>
              <w:bottom w:val="nil"/>
              <w:right w:val="nil"/>
            </w:tcBorders>
            <w:shd w:val="clear" w:color="auto" w:fill="auto"/>
            <w:noWrap/>
            <w:vAlign w:val="center"/>
            <w:hideMark/>
          </w:tcPr>
          <w:p w14:paraId="3DE90CCA" w14:textId="77777777" w:rsidR="00BC5219" w:rsidRPr="00EF7549" w:rsidRDefault="00BC5219" w:rsidP="00E83802">
            <w:pPr>
              <w:rPr>
                <w:rFonts w:ascii="Meta Pro" w:eastAsia="Times New Roman" w:hAnsi="Meta Pro"/>
                <w:szCs w:val="18"/>
                <w:lang w:eastAsia="en-AU"/>
              </w:rPr>
            </w:pPr>
            <w:r w:rsidRPr="00EF7549">
              <w:rPr>
                <w:rFonts w:ascii="Meta Pro" w:eastAsia="Times New Roman" w:hAnsi="Meta Pro"/>
                <w:szCs w:val="18"/>
                <w:lang w:eastAsia="en-AU"/>
              </w:rPr>
              <w:t>Opening balance</w:t>
            </w:r>
          </w:p>
        </w:tc>
        <w:tc>
          <w:tcPr>
            <w:tcW w:w="851" w:type="dxa"/>
            <w:tcBorders>
              <w:top w:val="nil"/>
              <w:left w:val="nil"/>
              <w:bottom w:val="nil"/>
              <w:right w:val="nil"/>
            </w:tcBorders>
            <w:shd w:val="clear" w:color="auto" w:fill="auto"/>
            <w:noWrap/>
            <w:vAlign w:val="center"/>
            <w:hideMark/>
          </w:tcPr>
          <w:p w14:paraId="309C6CB0" w14:textId="77777777" w:rsidR="00BC5219" w:rsidRPr="00EF7549" w:rsidRDefault="00BC5219" w:rsidP="00E83802">
            <w:pPr>
              <w:rPr>
                <w:rFonts w:ascii="Meta Pro" w:eastAsia="Times New Roman" w:hAnsi="Meta Pro"/>
                <w:szCs w:val="18"/>
                <w:lang w:eastAsia="en-AU"/>
              </w:rPr>
            </w:pPr>
          </w:p>
        </w:tc>
        <w:tc>
          <w:tcPr>
            <w:tcW w:w="1134" w:type="dxa"/>
            <w:tcBorders>
              <w:top w:val="nil"/>
              <w:left w:val="nil"/>
              <w:bottom w:val="nil"/>
              <w:right w:val="nil"/>
            </w:tcBorders>
            <w:shd w:val="clear" w:color="auto" w:fill="auto"/>
            <w:noWrap/>
            <w:vAlign w:val="center"/>
            <w:hideMark/>
          </w:tcPr>
          <w:p w14:paraId="7C026477" w14:textId="77777777" w:rsidR="00BC5219" w:rsidRPr="00EF7549" w:rsidRDefault="00BC5219" w:rsidP="00E83802">
            <w:pPr>
              <w:jc w:val="right"/>
              <w:rPr>
                <w:rFonts w:ascii="Meta Pro" w:eastAsia="Times New Roman" w:hAnsi="Meta Pro"/>
                <w:szCs w:val="18"/>
                <w:lang w:eastAsia="en-AU"/>
              </w:rPr>
            </w:pPr>
            <w:r w:rsidRPr="00EF7549">
              <w:rPr>
                <w:rFonts w:ascii="Meta Pro" w:eastAsia="Times New Roman" w:hAnsi="Meta Pro"/>
                <w:szCs w:val="18"/>
                <w:lang w:eastAsia="en-AU"/>
              </w:rPr>
              <w:t xml:space="preserve">43 </w:t>
            </w:r>
          </w:p>
        </w:tc>
        <w:tc>
          <w:tcPr>
            <w:tcW w:w="196" w:type="dxa"/>
            <w:tcBorders>
              <w:top w:val="nil"/>
              <w:left w:val="nil"/>
              <w:bottom w:val="nil"/>
              <w:right w:val="nil"/>
            </w:tcBorders>
            <w:shd w:val="clear" w:color="auto" w:fill="auto"/>
            <w:noWrap/>
            <w:vAlign w:val="center"/>
            <w:hideMark/>
          </w:tcPr>
          <w:p w14:paraId="02D522D8" w14:textId="77777777" w:rsidR="00BC5219" w:rsidRPr="00EF7549"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auto" w:fill="auto"/>
            <w:noWrap/>
            <w:vAlign w:val="center"/>
            <w:hideMark/>
          </w:tcPr>
          <w:p w14:paraId="45A66474" w14:textId="77777777" w:rsidR="00BC5219" w:rsidRPr="00EF7549" w:rsidRDefault="00BC5219" w:rsidP="00E83802">
            <w:pPr>
              <w:jc w:val="right"/>
              <w:rPr>
                <w:rFonts w:ascii="Meta Pro" w:eastAsia="Times New Roman" w:hAnsi="Meta Pro"/>
                <w:szCs w:val="18"/>
                <w:lang w:eastAsia="en-AU"/>
              </w:rPr>
            </w:pPr>
            <w:r w:rsidRPr="00EF7549">
              <w:rPr>
                <w:rFonts w:ascii="Meta Pro" w:eastAsia="Times New Roman" w:hAnsi="Meta Pro"/>
                <w:szCs w:val="18"/>
                <w:lang w:eastAsia="en-AU"/>
              </w:rPr>
              <w:t xml:space="preserve">126 </w:t>
            </w:r>
          </w:p>
        </w:tc>
        <w:tc>
          <w:tcPr>
            <w:tcW w:w="196" w:type="dxa"/>
            <w:tcBorders>
              <w:top w:val="nil"/>
              <w:left w:val="nil"/>
              <w:bottom w:val="nil"/>
              <w:right w:val="nil"/>
            </w:tcBorders>
            <w:shd w:val="clear" w:color="auto" w:fill="auto"/>
            <w:noWrap/>
            <w:vAlign w:val="center"/>
            <w:hideMark/>
          </w:tcPr>
          <w:p w14:paraId="1B688186" w14:textId="77777777" w:rsidR="00BC5219" w:rsidRPr="00EF7549"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auto" w:fill="auto"/>
            <w:noWrap/>
            <w:vAlign w:val="center"/>
            <w:hideMark/>
          </w:tcPr>
          <w:p w14:paraId="133DB1D2" w14:textId="77777777" w:rsidR="00BC5219" w:rsidRPr="00EF7549" w:rsidRDefault="00BC5219" w:rsidP="00E83802">
            <w:pPr>
              <w:jc w:val="right"/>
              <w:rPr>
                <w:rFonts w:ascii="Meta Pro" w:eastAsia="Times New Roman" w:hAnsi="Meta Pro"/>
                <w:szCs w:val="18"/>
                <w:lang w:eastAsia="en-AU"/>
              </w:rPr>
            </w:pPr>
            <w:r w:rsidRPr="00EF7549">
              <w:rPr>
                <w:rFonts w:ascii="Meta Pro" w:eastAsia="Times New Roman" w:hAnsi="Meta Pro"/>
                <w:szCs w:val="18"/>
                <w:lang w:eastAsia="en-AU"/>
              </w:rPr>
              <w:t>-</w:t>
            </w:r>
          </w:p>
        </w:tc>
        <w:tc>
          <w:tcPr>
            <w:tcW w:w="196" w:type="dxa"/>
            <w:tcBorders>
              <w:top w:val="nil"/>
              <w:left w:val="nil"/>
              <w:bottom w:val="nil"/>
              <w:right w:val="nil"/>
            </w:tcBorders>
            <w:shd w:val="clear" w:color="auto" w:fill="auto"/>
            <w:noWrap/>
            <w:vAlign w:val="center"/>
            <w:hideMark/>
          </w:tcPr>
          <w:p w14:paraId="40DB8B59" w14:textId="77777777" w:rsidR="00BC5219" w:rsidRPr="00EF7549"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auto" w:fill="auto"/>
            <w:noWrap/>
            <w:vAlign w:val="center"/>
            <w:hideMark/>
          </w:tcPr>
          <w:p w14:paraId="417DA8CD" w14:textId="77777777" w:rsidR="00BC5219" w:rsidRPr="00EF7549" w:rsidRDefault="00BC5219" w:rsidP="00E83802">
            <w:pPr>
              <w:jc w:val="right"/>
              <w:rPr>
                <w:rFonts w:ascii="Meta Pro" w:eastAsia="Times New Roman" w:hAnsi="Meta Pro"/>
                <w:b/>
                <w:bCs/>
                <w:szCs w:val="18"/>
                <w:lang w:eastAsia="en-AU"/>
              </w:rPr>
            </w:pPr>
            <w:r w:rsidRPr="00EF7549">
              <w:rPr>
                <w:rFonts w:ascii="Meta Pro" w:eastAsia="Times New Roman" w:hAnsi="Meta Pro"/>
                <w:b/>
                <w:bCs/>
                <w:szCs w:val="18"/>
                <w:lang w:eastAsia="en-AU"/>
              </w:rPr>
              <w:t xml:space="preserve">169 </w:t>
            </w:r>
          </w:p>
        </w:tc>
      </w:tr>
      <w:tr w:rsidR="00BC5219" w:rsidRPr="00EF7549" w14:paraId="4069ED09" w14:textId="77777777" w:rsidTr="00E83802">
        <w:trPr>
          <w:trHeight w:val="240"/>
        </w:trPr>
        <w:tc>
          <w:tcPr>
            <w:tcW w:w="4990" w:type="dxa"/>
            <w:tcBorders>
              <w:top w:val="nil"/>
              <w:left w:val="nil"/>
              <w:bottom w:val="nil"/>
              <w:right w:val="nil"/>
            </w:tcBorders>
            <w:shd w:val="clear" w:color="auto" w:fill="auto"/>
            <w:noWrap/>
            <w:vAlign w:val="center"/>
            <w:hideMark/>
          </w:tcPr>
          <w:p w14:paraId="7C4969B6" w14:textId="77777777" w:rsidR="00BC5219" w:rsidRPr="00EF7549" w:rsidRDefault="00BC5219" w:rsidP="00E83802">
            <w:pPr>
              <w:rPr>
                <w:rFonts w:ascii="Meta Pro" w:eastAsia="Times New Roman" w:hAnsi="Meta Pro"/>
                <w:szCs w:val="18"/>
                <w:lang w:eastAsia="en-AU"/>
              </w:rPr>
            </w:pPr>
            <w:r w:rsidRPr="00EF7549">
              <w:rPr>
                <w:rFonts w:ascii="Meta Pro" w:eastAsia="Times New Roman" w:hAnsi="Meta Pro"/>
                <w:szCs w:val="18"/>
                <w:lang w:eastAsia="en-AU"/>
              </w:rPr>
              <w:t>Additions</w:t>
            </w:r>
          </w:p>
        </w:tc>
        <w:tc>
          <w:tcPr>
            <w:tcW w:w="851" w:type="dxa"/>
            <w:tcBorders>
              <w:top w:val="nil"/>
              <w:left w:val="nil"/>
              <w:bottom w:val="nil"/>
              <w:right w:val="nil"/>
            </w:tcBorders>
            <w:shd w:val="clear" w:color="auto" w:fill="auto"/>
            <w:noWrap/>
            <w:vAlign w:val="center"/>
            <w:hideMark/>
          </w:tcPr>
          <w:p w14:paraId="2769663A" w14:textId="77777777" w:rsidR="00BC5219" w:rsidRPr="00EF7549" w:rsidRDefault="00BC5219" w:rsidP="00E83802">
            <w:pPr>
              <w:rPr>
                <w:rFonts w:ascii="Meta Pro" w:eastAsia="Times New Roman" w:hAnsi="Meta Pro"/>
                <w:szCs w:val="18"/>
                <w:lang w:eastAsia="en-AU"/>
              </w:rPr>
            </w:pPr>
          </w:p>
        </w:tc>
        <w:tc>
          <w:tcPr>
            <w:tcW w:w="1134" w:type="dxa"/>
            <w:tcBorders>
              <w:top w:val="nil"/>
              <w:left w:val="nil"/>
              <w:bottom w:val="nil"/>
              <w:right w:val="nil"/>
            </w:tcBorders>
            <w:shd w:val="clear" w:color="auto" w:fill="auto"/>
            <w:noWrap/>
            <w:vAlign w:val="center"/>
            <w:hideMark/>
          </w:tcPr>
          <w:p w14:paraId="11838355" w14:textId="77777777" w:rsidR="00BC5219" w:rsidRPr="00EF7549" w:rsidRDefault="00BC5219" w:rsidP="00E83802">
            <w:pPr>
              <w:jc w:val="right"/>
              <w:rPr>
                <w:rFonts w:ascii="Meta Pro" w:eastAsia="Times New Roman" w:hAnsi="Meta Pro"/>
                <w:szCs w:val="18"/>
                <w:lang w:eastAsia="en-AU"/>
              </w:rPr>
            </w:pPr>
            <w:r w:rsidRPr="00EF7549">
              <w:rPr>
                <w:rFonts w:ascii="Meta Pro" w:eastAsia="Times New Roman" w:hAnsi="Meta Pro"/>
                <w:szCs w:val="18"/>
                <w:lang w:eastAsia="en-AU"/>
              </w:rPr>
              <w:t xml:space="preserve">- </w:t>
            </w:r>
          </w:p>
        </w:tc>
        <w:tc>
          <w:tcPr>
            <w:tcW w:w="196" w:type="dxa"/>
            <w:tcBorders>
              <w:top w:val="nil"/>
              <w:left w:val="nil"/>
              <w:bottom w:val="nil"/>
              <w:right w:val="nil"/>
            </w:tcBorders>
            <w:shd w:val="clear" w:color="auto" w:fill="auto"/>
            <w:noWrap/>
            <w:vAlign w:val="center"/>
            <w:hideMark/>
          </w:tcPr>
          <w:p w14:paraId="7D52198F" w14:textId="77777777" w:rsidR="00BC5219" w:rsidRPr="00EF7549"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auto" w:fill="auto"/>
            <w:noWrap/>
            <w:vAlign w:val="center"/>
            <w:hideMark/>
          </w:tcPr>
          <w:p w14:paraId="51AB804E" w14:textId="77777777" w:rsidR="00BC5219" w:rsidRPr="00EF7549" w:rsidRDefault="00BC5219" w:rsidP="00E83802">
            <w:pPr>
              <w:jc w:val="right"/>
              <w:rPr>
                <w:rFonts w:ascii="Meta Pro" w:eastAsia="Times New Roman" w:hAnsi="Meta Pro"/>
                <w:szCs w:val="18"/>
                <w:lang w:eastAsia="en-AU"/>
              </w:rPr>
            </w:pPr>
            <w:r w:rsidRPr="00EF7549">
              <w:rPr>
                <w:rFonts w:ascii="Meta Pro" w:eastAsia="Times New Roman" w:hAnsi="Meta Pro"/>
                <w:szCs w:val="18"/>
                <w:lang w:eastAsia="en-AU"/>
              </w:rPr>
              <w:t xml:space="preserve">- </w:t>
            </w:r>
          </w:p>
        </w:tc>
        <w:tc>
          <w:tcPr>
            <w:tcW w:w="196" w:type="dxa"/>
            <w:tcBorders>
              <w:top w:val="nil"/>
              <w:left w:val="nil"/>
              <w:bottom w:val="nil"/>
              <w:right w:val="nil"/>
            </w:tcBorders>
            <w:shd w:val="clear" w:color="auto" w:fill="auto"/>
            <w:noWrap/>
            <w:vAlign w:val="center"/>
            <w:hideMark/>
          </w:tcPr>
          <w:p w14:paraId="3B6605D4" w14:textId="77777777" w:rsidR="00BC5219" w:rsidRPr="00EF7549"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auto" w:fill="auto"/>
            <w:noWrap/>
            <w:vAlign w:val="center"/>
            <w:hideMark/>
          </w:tcPr>
          <w:p w14:paraId="53FA7985" w14:textId="77777777" w:rsidR="00BC5219" w:rsidRPr="00EF7549" w:rsidRDefault="00BC5219" w:rsidP="00E83802">
            <w:pPr>
              <w:jc w:val="right"/>
              <w:rPr>
                <w:rFonts w:ascii="Meta Pro" w:eastAsia="Times New Roman" w:hAnsi="Meta Pro"/>
                <w:szCs w:val="18"/>
                <w:lang w:eastAsia="en-AU"/>
              </w:rPr>
            </w:pPr>
            <w:r w:rsidRPr="00EF7549">
              <w:rPr>
                <w:rFonts w:ascii="Meta Pro" w:eastAsia="Times New Roman" w:hAnsi="Meta Pro"/>
                <w:szCs w:val="18"/>
                <w:lang w:eastAsia="en-AU"/>
              </w:rPr>
              <w:t>-</w:t>
            </w:r>
          </w:p>
        </w:tc>
        <w:tc>
          <w:tcPr>
            <w:tcW w:w="196" w:type="dxa"/>
            <w:tcBorders>
              <w:top w:val="nil"/>
              <w:left w:val="nil"/>
              <w:bottom w:val="nil"/>
              <w:right w:val="nil"/>
            </w:tcBorders>
            <w:shd w:val="clear" w:color="auto" w:fill="auto"/>
            <w:noWrap/>
            <w:vAlign w:val="center"/>
            <w:hideMark/>
          </w:tcPr>
          <w:p w14:paraId="4B14C58C" w14:textId="77777777" w:rsidR="00BC5219" w:rsidRPr="00EF7549"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auto" w:fill="auto"/>
            <w:noWrap/>
            <w:vAlign w:val="center"/>
            <w:hideMark/>
          </w:tcPr>
          <w:p w14:paraId="76EB6AB7" w14:textId="77777777" w:rsidR="00BC5219" w:rsidRPr="00EF7549" w:rsidRDefault="00BC5219" w:rsidP="00E83802">
            <w:pPr>
              <w:jc w:val="right"/>
              <w:rPr>
                <w:rFonts w:ascii="Meta Pro" w:eastAsia="Times New Roman" w:hAnsi="Meta Pro"/>
                <w:b/>
                <w:bCs/>
                <w:szCs w:val="18"/>
                <w:lang w:eastAsia="en-AU"/>
              </w:rPr>
            </w:pPr>
            <w:r w:rsidRPr="00EF7549">
              <w:rPr>
                <w:rFonts w:ascii="Meta Pro" w:eastAsia="Times New Roman" w:hAnsi="Meta Pro"/>
                <w:b/>
                <w:bCs/>
                <w:szCs w:val="18"/>
                <w:lang w:eastAsia="en-AU"/>
              </w:rPr>
              <w:t xml:space="preserve">- </w:t>
            </w:r>
          </w:p>
        </w:tc>
      </w:tr>
      <w:tr w:rsidR="00BC5219" w:rsidRPr="00EF7549" w14:paraId="7CCCF9C3" w14:textId="77777777" w:rsidTr="00E83802">
        <w:trPr>
          <w:trHeight w:val="240"/>
        </w:trPr>
        <w:tc>
          <w:tcPr>
            <w:tcW w:w="4990" w:type="dxa"/>
            <w:tcBorders>
              <w:top w:val="nil"/>
              <w:left w:val="nil"/>
              <w:bottom w:val="nil"/>
              <w:right w:val="nil"/>
            </w:tcBorders>
            <w:shd w:val="clear" w:color="auto" w:fill="auto"/>
            <w:noWrap/>
            <w:vAlign w:val="center"/>
            <w:hideMark/>
          </w:tcPr>
          <w:p w14:paraId="3AB7442B" w14:textId="77777777" w:rsidR="00BC5219" w:rsidRPr="00EF7549" w:rsidRDefault="00BC5219" w:rsidP="00E83802">
            <w:pPr>
              <w:rPr>
                <w:rFonts w:ascii="Meta Pro" w:eastAsia="Times New Roman" w:hAnsi="Meta Pro"/>
                <w:szCs w:val="18"/>
                <w:lang w:eastAsia="en-AU"/>
              </w:rPr>
            </w:pPr>
            <w:r w:rsidRPr="00EF7549">
              <w:rPr>
                <w:rFonts w:ascii="Meta Pro" w:eastAsia="Times New Roman" w:hAnsi="Meta Pro"/>
                <w:szCs w:val="18"/>
                <w:lang w:eastAsia="en-AU"/>
              </w:rPr>
              <w:t>Depreciation charge</w:t>
            </w:r>
          </w:p>
        </w:tc>
        <w:tc>
          <w:tcPr>
            <w:tcW w:w="851" w:type="dxa"/>
            <w:tcBorders>
              <w:top w:val="nil"/>
              <w:left w:val="nil"/>
              <w:bottom w:val="nil"/>
              <w:right w:val="nil"/>
            </w:tcBorders>
            <w:shd w:val="clear" w:color="auto" w:fill="auto"/>
            <w:noWrap/>
            <w:vAlign w:val="center"/>
            <w:hideMark/>
          </w:tcPr>
          <w:p w14:paraId="23BEED8E" w14:textId="77777777" w:rsidR="00BC5219" w:rsidRPr="00EF7549" w:rsidRDefault="00BC5219" w:rsidP="00E83802">
            <w:pPr>
              <w:jc w:val="center"/>
              <w:rPr>
                <w:rFonts w:ascii="Meta Pro" w:eastAsia="Times New Roman" w:hAnsi="Meta Pro"/>
                <w:szCs w:val="18"/>
                <w:lang w:eastAsia="en-AU"/>
              </w:rPr>
            </w:pPr>
            <w:r w:rsidRPr="00EF7549">
              <w:rPr>
                <w:rFonts w:ascii="Meta Pro" w:eastAsia="Times New Roman" w:hAnsi="Meta Pro"/>
                <w:szCs w:val="18"/>
                <w:lang w:eastAsia="en-AU"/>
              </w:rPr>
              <w:t>10</w:t>
            </w:r>
          </w:p>
        </w:tc>
        <w:tc>
          <w:tcPr>
            <w:tcW w:w="1134" w:type="dxa"/>
            <w:tcBorders>
              <w:top w:val="nil"/>
              <w:left w:val="nil"/>
              <w:bottom w:val="nil"/>
              <w:right w:val="nil"/>
            </w:tcBorders>
            <w:shd w:val="clear" w:color="auto" w:fill="auto"/>
            <w:noWrap/>
            <w:vAlign w:val="center"/>
            <w:hideMark/>
          </w:tcPr>
          <w:p w14:paraId="6EAC2272" w14:textId="77777777" w:rsidR="00BC5219" w:rsidRPr="00EF7549" w:rsidRDefault="00BC5219" w:rsidP="00E83802">
            <w:pPr>
              <w:jc w:val="right"/>
              <w:rPr>
                <w:rFonts w:ascii="Meta Pro" w:eastAsia="Times New Roman" w:hAnsi="Meta Pro"/>
                <w:szCs w:val="18"/>
                <w:lang w:eastAsia="en-AU"/>
              </w:rPr>
            </w:pPr>
            <w:r w:rsidRPr="00EF7549">
              <w:rPr>
                <w:rFonts w:ascii="Meta Pro" w:eastAsia="Times New Roman" w:hAnsi="Meta Pro"/>
                <w:szCs w:val="18"/>
                <w:lang w:eastAsia="en-AU"/>
              </w:rPr>
              <w:t>(41)</w:t>
            </w:r>
          </w:p>
        </w:tc>
        <w:tc>
          <w:tcPr>
            <w:tcW w:w="196" w:type="dxa"/>
            <w:tcBorders>
              <w:top w:val="nil"/>
              <w:left w:val="nil"/>
              <w:bottom w:val="nil"/>
              <w:right w:val="nil"/>
            </w:tcBorders>
            <w:shd w:val="clear" w:color="auto" w:fill="auto"/>
            <w:noWrap/>
            <w:vAlign w:val="center"/>
            <w:hideMark/>
          </w:tcPr>
          <w:p w14:paraId="5CB262A7" w14:textId="77777777" w:rsidR="00BC5219" w:rsidRPr="00EF7549"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auto" w:fill="auto"/>
            <w:noWrap/>
            <w:vAlign w:val="center"/>
            <w:hideMark/>
          </w:tcPr>
          <w:p w14:paraId="427F8898" w14:textId="77777777" w:rsidR="00BC5219" w:rsidRPr="00EF7549" w:rsidRDefault="00BC5219" w:rsidP="00E83802">
            <w:pPr>
              <w:jc w:val="right"/>
              <w:rPr>
                <w:rFonts w:ascii="Meta Pro" w:eastAsia="Times New Roman" w:hAnsi="Meta Pro"/>
                <w:szCs w:val="18"/>
                <w:lang w:eastAsia="en-AU"/>
              </w:rPr>
            </w:pPr>
            <w:r w:rsidRPr="00EF7549">
              <w:rPr>
                <w:rFonts w:ascii="Meta Pro" w:eastAsia="Times New Roman" w:hAnsi="Meta Pro"/>
                <w:szCs w:val="18"/>
                <w:lang w:eastAsia="en-AU"/>
              </w:rPr>
              <w:t>(126)</w:t>
            </w:r>
          </w:p>
        </w:tc>
        <w:tc>
          <w:tcPr>
            <w:tcW w:w="196" w:type="dxa"/>
            <w:tcBorders>
              <w:top w:val="nil"/>
              <w:left w:val="nil"/>
              <w:bottom w:val="nil"/>
              <w:right w:val="nil"/>
            </w:tcBorders>
            <w:shd w:val="clear" w:color="auto" w:fill="auto"/>
            <w:noWrap/>
            <w:vAlign w:val="center"/>
            <w:hideMark/>
          </w:tcPr>
          <w:p w14:paraId="31A80696" w14:textId="77777777" w:rsidR="00BC5219" w:rsidRPr="00EF7549"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auto" w:fill="auto"/>
            <w:noWrap/>
            <w:vAlign w:val="center"/>
            <w:hideMark/>
          </w:tcPr>
          <w:p w14:paraId="16117A64" w14:textId="77777777" w:rsidR="00BC5219" w:rsidRPr="00EF7549" w:rsidRDefault="00BC5219" w:rsidP="00E83802">
            <w:pPr>
              <w:jc w:val="right"/>
              <w:rPr>
                <w:rFonts w:ascii="Meta Pro" w:eastAsia="Times New Roman" w:hAnsi="Meta Pro"/>
                <w:szCs w:val="18"/>
                <w:lang w:eastAsia="en-AU"/>
              </w:rPr>
            </w:pPr>
            <w:r w:rsidRPr="00EF7549">
              <w:rPr>
                <w:rFonts w:ascii="Meta Pro" w:eastAsia="Times New Roman" w:hAnsi="Meta Pro"/>
                <w:szCs w:val="18"/>
                <w:lang w:eastAsia="en-AU"/>
              </w:rPr>
              <w:t>-</w:t>
            </w:r>
          </w:p>
        </w:tc>
        <w:tc>
          <w:tcPr>
            <w:tcW w:w="196" w:type="dxa"/>
            <w:tcBorders>
              <w:top w:val="nil"/>
              <w:left w:val="nil"/>
              <w:bottom w:val="nil"/>
              <w:right w:val="nil"/>
            </w:tcBorders>
            <w:shd w:val="clear" w:color="auto" w:fill="auto"/>
            <w:noWrap/>
            <w:vAlign w:val="center"/>
            <w:hideMark/>
          </w:tcPr>
          <w:p w14:paraId="37911643" w14:textId="77777777" w:rsidR="00BC5219" w:rsidRPr="00EF7549"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auto" w:fill="auto"/>
            <w:noWrap/>
            <w:vAlign w:val="center"/>
            <w:hideMark/>
          </w:tcPr>
          <w:p w14:paraId="540FCA33" w14:textId="77777777" w:rsidR="00BC5219" w:rsidRPr="00EF7549" w:rsidRDefault="00BC5219" w:rsidP="00E83802">
            <w:pPr>
              <w:jc w:val="right"/>
              <w:rPr>
                <w:rFonts w:ascii="Meta Pro" w:eastAsia="Times New Roman" w:hAnsi="Meta Pro"/>
                <w:b/>
                <w:bCs/>
                <w:szCs w:val="18"/>
                <w:lang w:eastAsia="en-AU"/>
              </w:rPr>
            </w:pPr>
            <w:r w:rsidRPr="00EF7549">
              <w:rPr>
                <w:rFonts w:ascii="Meta Pro" w:eastAsia="Times New Roman" w:hAnsi="Meta Pro"/>
                <w:b/>
                <w:bCs/>
                <w:szCs w:val="18"/>
                <w:lang w:eastAsia="en-AU"/>
              </w:rPr>
              <w:t>(167)</w:t>
            </w:r>
          </w:p>
        </w:tc>
      </w:tr>
      <w:tr w:rsidR="00BC5219" w:rsidRPr="00EF7549" w14:paraId="70D04E45" w14:textId="77777777" w:rsidTr="00E83802">
        <w:trPr>
          <w:trHeight w:val="240"/>
        </w:trPr>
        <w:tc>
          <w:tcPr>
            <w:tcW w:w="4990" w:type="dxa"/>
            <w:tcBorders>
              <w:top w:val="single" w:sz="4" w:space="0" w:color="auto"/>
              <w:left w:val="nil"/>
              <w:bottom w:val="double" w:sz="6" w:space="0" w:color="auto"/>
              <w:right w:val="nil"/>
            </w:tcBorders>
            <w:shd w:val="clear" w:color="auto" w:fill="auto"/>
            <w:noWrap/>
            <w:vAlign w:val="center"/>
            <w:hideMark/>
          </w:tcPr>
          <w:p w14:paraId="5E96BBFA" w14:textId="77777777" w:rsidR="00BC5219" w:rsidRPr="00EF7549" w:rsidRDefault="00BC5219" w:rsidP="00E83802">
            <w:pPr>
              <w:rPr>
                <w:rFonts w:ascii="Meta Pro" w:eastAsia="Times New Roman" w:hAnsi="Meta Pro"/>
                <w:b/>
                <w:bCs/>
                <w:szCs w:val="18"/>
                <w:lang w:eastAsia="en-AU"/>
              </w:rPr>
            </w:pPr>
            <w:r w:rsidRPr="00EF7549">
              <w:rPr>
                <w:rFonts w:ascii="Meta Pro" w:eastAsia="Times New Roman" w:hAnsi="Meta Pro"/>
                <w:b/>
                <w:bCs/>
                <w:szCs w:val="18"/>
                <w:lang w:eastAsia="en-AU"/>
              </w:rPr>
              <w:t>Closing balance</w:t>
            </w:r>
          </w:p>
        </w:tc>
        <w:tc>
          <w:tcPr>
            <w:tcW w:w="851" w:type="dxa"/>
            <w:tcBorders>
              <w:top w:val="single" w:sz="4" w:space="0" w:color="auto"/>
              <w:left w:val="nil"/>
              <w:bottom w:val="double" w:sz="6" w:space="0" w:color="auto"/>
              <w:right w:val="nil"/>
            </w:tcBorders>
            <w:shd w:val="clear" w:color="auto" w:fill="auto"/>
            <w:noWrap/>
            <w:vAlign w:val="center"/>
            <w:hideMark/>
          </w:tcPr>
          <w:p w14:paraId="57B655B0" w14:textId="77777777" w:rsidR="00BC5219" w:rsidRPr="00EF7549" w:rsidRDefault="00BC5219" w:rsidP="00E83802">
            <w:pPr>
              <w:jc w:val="center"/>
              <w:rPr>
                <w:rFonts w:ascii="Meta Pro" w:eastAsia="Times New Roman" w:hAnsi="Meta Pro"/>
                <w:szCs w:val="18"/>
                <w:lang w:eastAsia="en-AU"/>
              </w:rPr>
            </w:pPr>
            <w:r w:rsidRPr="00EF7549">
              <w:rPr>
                <w:rFonts w:ascii="Meta Pro" w:eastAsia="Times New Roman" w:hAnsi="Meta Pro"/>
                <w:szCs w:val="18"/>
                <w:lang w:eastAsia="en-AU"/>
              </w:rPr>
              <w:t> </w:t>
            </w:r>
          </w:p>
        </w:tc>
        <w:tc>
          <w:tcPr>
            <w:tcW w:w="1134" w:type="dxa"/>
            <w:tcBorders>
              <w:top w:val="single" w:sz="4" w:space="0" w:color="auto"/>
              <w:left w:val="nil"/>
              <w:bottom w:val="double" w:sz="6" w:space="0" w:color="auto"/>
              <w:right w:val="nil"/>
            </w:tcBorders>
            <w:shd w:val="clear" w:color="auto" w:fill="auto"/>
            <w:noWrap/>
            <w:vAlign w:val="center"/>
            <w:hideMark/>
          </w:tcPr>
          <w:p w14:paraId="0902220C" w14:textId="77777777" w:rsidR="00BC5219" w:rsidRPr="00EF7549" w:rsidRDefault="00BC5219" w:rsidP="00E83802">
            <w:pPr>
              <w:jc w:val="right"/>
              <w:rPr>
                <w:rFonts w:ascii="Meta Pro" w:eastAsia="Times New Roman" w:hAnsi="Meta Pro"/>
                <w:b/>
                <w:bCs/>
                <w:szCs w:val="18"/>
                <w:lang w:eastAsia="en-AU"/>
              </w:rPr>
            </w:pPr>
            <w:r w:rsidRPr="00EF7549">
              <w:rPr>
                <w:rFonts w:ascii="Meta Pro" w:eastAsia="Times New Roman" w:hAnsi="Meta Pro"/>
                <w:b/>
                <w:bCs/>
                <w:szCs w:val="18"/>
                <w:lang w:eastAsia="en-AU"/>
              </w:rPr>
              <w:t xml:space="preserve">2 </w:t>
            </w:r>
          </w:p>
        </w:tc>
        <w:tc>
          <w:tcPr>
            <w:tcW w:w="196" w:type="dxa"/>
            <w:tcBorders>
              <w:top w:val="nil"/>
              <w:left w:val="nil"/>
              <w:bottom w:val="nil"/>
              <w:right w:val="nil"/>
            </w:tcBorders>
            <w:shd w:val="clear" w:color="auto" w:fill="auto"/>
            <w:noWrap/>
            <w:vAlign w:val="center"/>
            <w:hideMark/>
          </w:tcPr>
          <w:p w14:paraId="31E0E96C" w14:textId="77777777" w:rsidR="00BC5219" w:rsidRPr="00EF7549" w:rsidRDefault="00BC5219" w:rsidP="00E83802">
            <w:pPr>
              <w:jc w:val="right"/>
              <w:rPr>
                <w:rFonts w:ascii="Meta Pro" w:eastAsia="Times New Roman" w:hAnsi="Meta Pro"/>
                <w:b/>
                <w:bCs/>
                <w:szCs w:val="18"/>
                <w:lang w:eastAsia="en-AU"/>
              </w:rPr>
            </w:pPr>
          </w:p>
        </w:tc>
        <w:tc>
          <w:tcPr>
            <w:tcW w:w="1134" w:type="dxa"/>
            <w:tcBorders>
              <w:top w:val="single" w:sz="4" w:space="0" w:color="auto"/>
              <w:left w:val="nil"/>
              <w:bottom w:val="double" w:sz="6" w:space="0" w:color="auto"/>
              <w:right w:val="nil"/>
            </w:tcBorders>
            <w:shd w:val="clear" w:color="auto" w:fill="auto"/>
            <w:noWrap/>
            <w:vAlign w:val="center"/>
            <w:hideMark/>
          </w:tcPr>
          <w:p w14:paraId="1C679D84" w14:textId="77777777" w:rsidR="00BC5219" w:rsidRPr="00EF7549" w:rsidRDefault="00BC5219" w:rsidP="00E83802">
            <w:pPr>
              <w:jc w:val="right"/>
              <w:rPr>
                <w:rFonts w:ascii="Meta Pro" w:eastAsia="Times New Roman" w:hAnsi="Meta Pro"/>
                <w:b/>
                <w:bCs/>
                <w:szCs w:val="18"/>
                <w:lang w:eastAsia="en-AU"/>
              </w:rPr>
            </w:pPr>
            <w:r w:rsidRPr="00EF7549">
              <w:rPr>
                <w:rFonts w:ascii="Meta Pro" w:eastAsia="Times New Roman" w:hAnsi="Meta Pro"/>
                <w:b/>
                <w:bCs/>
                <w:szCs w:val="18"/>
                <w:lang w:eastAsia="en-AU"/>
              </w:rPr>
              <w:t xml:space="preserve">- </w:t>
            </w:r>
          </w:p>
        </w:tc>
        <w:tc>
          <w:tcPr>
            <w:tcW w:w="196" w:type="dxa"/>
            <w:tcBorders>
              <w:top w:val="nil"/>
              <w:left w:val="nil"/>
              <w:bottom w:val="nil"/>
              <w:right w:val="nil"/>
            </w:tcBorders>
            <w:shd w:val="clear" w:color="auto" w:fill="auto"/>
            <w:noWrap/>
            <w:vAlign w:val="center"/>
            <w:hideMark/>
          </w:tcPr>
          <w:p w14:paraId="4E129D28" w14:textId="77777777" w:rsidR="00BC5219" w:rsidRPr="00EF7549" w:rsidRDefault="00BC5219" w:rsidP="00E83802">
            <w:pPr>
              <w:jc w:val="right"/>
              <w:rPr>
                <w:rFonts w:ascii="Meta Pro" w:eastAsia="Times New Roman" w:hAnsi="Meta Pro"/>
                <w:b/>
                <w:bCs/>
                <w:szCs w:val="18"/>
                <w:lang w:eastAsia="en-AU"/>
              </w:rPr>
            </w:pPr>
          </w:p>
        </w:tc>
        <w:tc>
          <w:tcPr>
            <w:tcW w:w="1134" w:type="dxa"/>
            <w:tcBorders>
              <w:top w:val="single" w:sz="4" w:space="0" w:color="auto"/>
              <w:left w:val="nil"/>
              <w:bottom w:val="double" w:sz="6" w:space="0" w:color="auto"/>
              <w:right w:val="nil"/>
            </w:tcBorders>
            <w:shd w:val="clear" w:color="auto" w:fill="auto"/>
            <w:noWrap/>
            <w:vAlign w:val="center"/>
            <w:hideMark/>
          </w:tcPr>
          <w:p w14:paraId="3B23D6F5" w14:textId="77777777" w:rsidR="00BC5219" w:rsidRPr="00EF7549" w:rsidRDefault="00BC5219" w:rsidP="00E83802">
            <w:pPr>
              <w:jc w:val="right"/>
              <w:rPr>
                <w:rFonts w:ascii="Meta Pro" w:eastAsia="Times New Roman" w:hAnsi="Meta Pro"/>
                <w:b/>
                <w:bCs/>
                <w:szCs w:val="18"/>
                <w:lang w:eastAsia="en-AU"/>
              </w:rPr>
            </w:pPr>
            <w:r w:rsidRPr="00EF7549">
              <w:rPr>
                <w:rFonts w:ascii="Meta Pro" w:eastAsia="Times New Roman" w:hAnsi="Meta Pro"/>
                <w:b/>
                <w:bCs/>
                <w:szCs w:val="18"/>
                <w:lang w:eastAsia="en-AU"/>
              </w:rPr>
              <w:t xml:space="preserve">- </w:t>
            </w:r>
          </w:p>
        </w:tc>
        <w:tc>
          <w:tcPr>
            <w:tcW w:w="196" w:type="dxa"/>
            <w:tcBorders>
              <w:top w:val="nil"/>
              <w:left w:val="nil"/>
              <w:bottom w:val="nil"/>
              <w:right w:val="nil"/>
            </w:tcBorders>
            <w:shd w:val="clear" w:color="auto" w:fill="auto"/>
            <w:noWrap/>
            <w:vAlign w:val="center"/>
            <w:hideMark/>
          </w:tcPr>
          <w:p w14:paraId="68FA3D28" w14:textId="77777777" w:rsidR="00BC5219" w:rsidRPr="00EF7549" w:rsidRDefault="00BC5219" w:rsidP="00E83802">
            <w:pPr>
              <w:jc w:val="right"/>
              <w:rPr>
                <w:rFonts w:ascii="Meta Pro" w:eastAsia="Times New Roman" w:hAnsi="Meta Pro"/>
                <w:b/>
                <w:bCs/>
                <w:szCs w:val="18"/>
                <w:lang w:eastAsia="en-AU"/>
              </w:rPr>
            </w:pPr>
          </w:p>
        </w:tc>
        <w:tc>
          <w:tcPr>
            <w:tcW w:w="1134" w:type="dxa"/>
            <w:tcBorders>
              <w:top w:val="single" w:sz="4" w:space="0" w:color="auto"/>
              <w:left w:val="nil"/>
              <w:bottom w:val="double" w:sz="6" w:space="0" w:color="auto"/>
              <w:right w:val="nil"/>
            </w:tcBorders>
            <w:shd w:val="clear" w:color="auto" w:fill="auto"/>
            <w:noWrap/>
            <w:vAlign w:val="center"/>
            <w:hideMark/>
          </w:tcPr>
          <w:p w14:paraId="630924A9" w14:textId="77777777" w:rsidR="00BC5219" w:rsidRPr="00EF7549" w:rsidRDefault="00BC5219" w:rsidP="00E83802">
            <w:pPr>
              <w:jc w:val="right"/>
              <w:rPr>
                <w:rFonts w:ascii="Meta Pro" w:eastAsia="Times New Roman" w:hAnsi="Meta Pro"/>
                <w:b/>
                <w:bCs/>
                <w:szCs w:val="18"/>
                <w:lang w:eastAsia="en-AU"/>
              </w:rPr>
            </w:pPr>
            <w:r w:rsidRPr="00EF7549">
              <w:rPr>
                <w:rFonts w:ascii="Meta Pro" w:eastAsia="Times New Roman" w:hAnsi="Meta Pro"/>
                <w:b/>
                <w:bCs/>
                <w:szCs w:val="18"/>
                <w:lang w:eastAsia="en-AU"/>
              </w:rPr>
              <w:t xml:space="preserve">2 </w:t>
            </w:r>
          </w:p>
        </w:tc>
      </w:tr>
    </w:tbl>
    <w:p w14:paraId="025795F8" w14:textId="77777777" w:rsidR="00BC5219" w:rsidRPr="008A2B8F" w:rsidRDefault="00BC5219" w:rsidP="00BC5219">
      <w:pPr>
        <w:rPr>
          <w:rFonts w:ascii="Meta Pro" w:hAnsi="Meta Pro" w:cstheme="minorBidi"/>
        </w:rPr>
      </w:pPr>
    </w:p>
    <w:tbl>
      <w:tblPr>
        <w:tblW w:w="0" w:type="auto"/>
        <w:tblCellMar>
          <w:left w:w="0" w:type="dxa"/>
        </w:tblCellMar>
        <w:tblLook w:val="04A0" w:firstRow="1" w:lastRow="0" w:firstColumn="1" w:lastColumn="0" w:noHBand="0" w:noVBand="1"/>
      </w:tblPr>
      <w:tblGrid>
        <w:gridCol w:w="5655"/>
        <w:gridCol w:w="991"/>
        <w:gridCol w:w="1063"/>
        <w:gridCol w:w="212"/>
        <w:gridCol w:w="1043"/>
        <w:gridCol w:w="197"/>
        <w:gridCol w:w="1043"/>
      </w:tblGrid>
      <w:tr w:rsidR="00BC5219" w:rsidRPr="008A2B8F" w14:paraId="7B91089E" w14:textId="77777777" w:rsidTr="00E83802">
        <w:trPr>
          <w:trHeight w:val="198"/>
        </w:trPr>
        <w:tc>
          <w:tcPr>
            <w:tcW w:w="6237" w:type="dxa"/>
            <w:tcBorders>
              <w:top w:val="nil"/>
              <w:left w:val="nil"/>
              <w:bottom w:val="nil"/>
              <w:right w:val="nil"/>
            </w:tcBorders>
            <w:shd w:val="clear" w:color="auto" w:fill="auto"/>
            <w:noWrap/>
            <w:vAlign w:val="bottom"/>
            <w:hideMark/>
          </w:tcPr>
          <w:p w14:paraId="752109F5" w14:textId="77777777" w:rsidR="00BC5219" w:rsidRPr="00FE6E7C" w:rsidRDefault="00BC5219" w:rsidP="00E83802">
            <w:pPr>
              <w:rPr>
                <w:rFonts w:ascii="Meta Pro" w:eastAsia="Times New Roman" w:hAnsi="Meta Pro"/>
                <w:b/>
                <w:bCs/>
                <w:szCs w:val="18"/>
                <w:lang w:eastAsia="en-AU"/>
              </w:rPr>
            </w:pPr>
            <w:r w:rsidRPr="00FE6E7C">
              <w:rPr>
                <w:rFonts w:ascii="Meta Pro" w:eastAsia="Times New Roman" w:hAnsi="Meta Pro"/>
                <w:b/>
                <w:bCs/>
                <w:szCs w:val="18"/>
                <w:lang w:eastAsia="en-AU"/>
              </w:rPr>
              <w:t>Lease liabilities</w:t>
            </w:r>
          </w:p>
        </w:tc>
        <w:tc>
          <w:tcPr>
            <w:tcW w:w="1077" w:type="dxa"/>
            <w:tcBorders>
              <w:top w:val="nil"/>
              <w:left w:val="nil"/>
              <w:bottom w:val="nil"/>
              <w:right w:val="nil"/>
            </w:tcBorders>
            <w:shd w:val="clear" w:color="auto" w:fill="auto"/>
            <w:noWrap/>
            <w:vAlign w:val="center"/>
            <w:hideMark/>
          </w:tcPr>
          <w:p w14:paraId="0F87E50F" w14:textId="77777777" w:rsidR="00BC5219" w:rsidRPr="008A2B8F" w:rsidRDefault="00BC5219" w:rsidP="00E83802">
            <w:pPr>
              <w:rPr>
                <w:rFonts w:ascii="Meta Pro" w:eastAsia="Times New Roman" w:hAnsi="Meta Pro"/>
                <w:b/>
                <w:bCs/>
                <w:sz w:val="20"/>
                <w:szCs w:val="20"/>
                <w:lang w:eastAsia="en-AU"/>
              </w:rPr>
            </w:pPr>
          </w:p>
        </w:tc>
        <w:tc>
          <w:tcPr>
            <w:tcW w:w="1157" w:type="dxa"/>
            <w:tcBorders>
              <w:top w:val="nil"/>
              <w:left w:val="nil"/>
              <w:bottom w:val="nil"/>
              <w:right w:val="nil"/>
            </w:tcBorders>
            <w:shd w:val="clear" w:color="auto" w:fill="auto"/>
            <w:noWrap/>
            <w:vAlign w:val="center"/>
            <w:hideMark/>
          </w:tcPr>
          <w:p w14:paraId="6B6B2DF7" w14:textId="77777777" w:rsidR="00BC5219" w:rsidRPr="008A2B8F" w:rsidRDefault="00BC5219" w:rsidP="00E83802">
            <w:pPr>
              <w:jc w:val="center"/>
              <w:rPr>
                <w:rFonts w:ascii="Meta Pro" w:eastAsia="Times New Roman" w:hAnsi="Meta Pro"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09CF3B72" w14:textId="77777777" w:rsidR="00BC5219" w:rsidRPr="008A2B8F" w:rsidRDefault="00BC5219" w:rsidP="00E83802">
            <w:pPr>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6E28284D" w14:textId="77777777" w:rsidR="00BC5219" w:rsidRPr="008A2B8F" w:rsidRDefault="00BC5219" w:rsidP="00E83802">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159F1267" w14:textId="77777777" w:rsidR="00BC5219" w:rsidRPr="008A2B8F" w:rsidRDefault="00BC5219" w:rsidP="00E83802">
            <w:pPr>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1291B9C9" w14:textId="77777777" w:rsidR="00BC5219" w:rsidRPr="008A2B8F" w:rsidRDefault="00BC5219" w:rsidP="00E83802">
            <w:pPr>
              <w:rPr>
                <w:rFonts w:ascii="Meta Pro" w:eastAsia="Times New Roman" w:hAnsi="Meta Pro" w:cs="Times New Roman"/>
                <w:sz w:val="20"/>
                <w:szCs w:val="20"/>
                <w:lang w:eastAsia="en-AU"/>
              </w:rPr>
            </w:pPr>
          </w:p>
        </w:tc>
      </w:tr>
      <w:tr w:rsidR="00BC5219" w:rsidRPr="008A2B8F" w14:paraId="6740DA6A" w14:textId="77777777" w:rsidTr="00E83802">
        <w:trPr>
          <w:trHeight w:val="198"/>
        </w:trPr>
        <w:tc>
          <w:tcPr>
            <w:tcW w:w="6237" w:type="dxa"/>
            <w:tcBorders>
              <w:top w:val="nil"/>
              <w:left w:val="nil"/>
              <w:bottom w:val="nil"/>
              <w:right w:val="nil"/>
            </w:tcBorders>
            <w:shd w:val="clear" w:color="auto" w:fill="auto"/>
            <w:noWrap/>
            <w:vAlign w:val="center"/>
            <w:hideMark/>
          </w:tcPr>
          <w:p w14:paraId="060482DF" w14:textId="77777777" w:rsidR="00BC5219" w:rsidRPr="008A2B8F" w:rsidRDefault="00BC5219" w:rsidP="00E83802">
            <w:pPr>
              <w:rPr>
                <w:rFonts w:ascii="Meta Pro" w:eastAsia="Times New Roman" w:hAnsi="Meta Pro" w:cs="Times New Roman"/>
                <w:sz w:val="20"/>
                <w:szCs w:val="20"/>
                <w:lang w:eastAsia="en-AU"/>
              </w:rPr>
            </w:pPr>
          </w:p>
        </w:tc>
        <w:tc>
          <w:tcPr>
            <w:tcW w:w="1077" w:type="dxa"/>
            <w:tcBorders>
              <w:top w:val="nil"/>
              <w:left w:val="nil"/>
              <w:bottom w:val="nil"/>
              <w:right w:val="nil"/>
            </w:tcBorders>
            <w:shd w:val="clear" w:color="auto" w:fill="auto"/>
            <w:hideMark/>
          </w:tcPr>
          <w:p w14:paraId="761D6705" w14:textId="77777777" w:rsidR="00BC5219" w:rsidRPr="008A2B8F" w:rsidRDefault="00BC5219" w:rsidP="00E83802">
            <w:pPr>
              <w:rPr>
                <w:rFonts w:ascii="Meta Pro" w:eastAsia="Times New Roman" w:hAnsi="Meta Pro" w:cs="Times New Roman"/>
                <w:sz w:val="20"/>
                <w:szCs w:val="20"/>
                <w:lang w:eastAsia="en-AU"/>
              </w:rPr>
            </w:pPr>
          </w:p>
        </w:tc>
        <w:tc>
          <w:tcPr>
            <w:tcW w:w="1157" w:type="dxa"/>
            <w:tcBorders>
              <w:top w:val="nil"/>
              <w:left w:val="nil"/>
              <w:bottom w:val="nil"/>
              <w:right w:val="nil"/>
            </w:tcBorders>
            <w:shd w:val="clear" w:color="auto" w:fill="auto"/>
            <w:hideMark/>
          </w:tcPr>
          <w:p w14:paraId="61062BFE" w14:textId="77777777" w:rsidR="00BC5219" w:rsidRPr="008A2B8F" w:rsidRDefault="00BC5219" w:rsidP="00E83802">
            <w:pPr>
              <w:jc w:val="center"/>
              <w:rPr>
                <w:rFonts w:ascii="Meta Pro" w:eastAsia="Times New Roman" w:hAnsi="Meta Pro"/>
                <w:b/>
                <w:bCs/>
                <w:sz w:val="20"/>
                <w:szCs w:val="20"/>
                <w:lang w:eastAsia="en-AU"/>
              </w:rPr>
            </w:pPr>
          </w:p>
        </w:tc>
        <w:tc>
          <w:tcPr>
            <w:tcW w:w="215" w:type="dxa"/>
            <w:tcBorders>
              <w:top w:val="nil"/>
              <w:left w:val="nil"/>
              <w:bottom w:val="nil"/>
              <w:right w:val="nil"/>
            </w:tcBorders>
            <w:shd w:val="clear" w:color="auto" w:fill="auto"/>
            <w:noWrap/>
            <w:hideMark/>
          </w:tcPr>
          <w:p w14:paraId="44D28ECF" w14:textId="77777777" w:rsidR="00BC5219" w:rsidRPr="008A2B8F" w:rsidRDefault="00BC5219" w:rsidP="00E83802">
            <w:pPr>
              <w:jc w:val="center"/>
              <w:rPr>
                <w:rFonts w:ascii="Meta Pro" w:eastAsia="Times New Roman" w:hAnsi="Meta Pro"/>
                <w:b/>
                <w:bCs/>
                <w:sz w:val="20"/>
                <w:szCs w:val="20"/>
                <w:lang w:eastAsia="en-AU"/>
              </w:rPr>
            </w:pPr>
          </w:p>
        </w:tc>
        <w:tc>
          <w:tcPr>
            <w:tcW w:w="1134" w:type="dxa"/>
            <w:tcBorders>
              <w:top w:val="nil"/>
              <w:left w:val="nil"/>
              <w:bottom w:val="nil"/>
              <w:right w:val="nil"/>
            </w:tcBorders>
            <w:shd w:val="clear" w:color="auto" w:fill="auto"/>
            <w:noWrap/>
            <w:vAlign w:val="center"/>
            <w:hideMark/>
          </w:tcPr>
          <w:p w14:paraId="5CBD6560" w14:textId="77777777" w:rsidR="00BC5219" w:rsidRPr="008A2B8F" w:rsidRDefault="00BC5219" w:rsidP="00E83802">
            <w:pPr>
              <w:jc w:val="center"/>
              <w:rPr>
                <w:rFonts w:ascii="Meta Pro" w:eastAsia="Times New Roman" w:hAnsi="Meta Pro"/>
                <w:b/>
                <w:bCs/>
                <w:color w:val="000000"/>
                <w:sz w:val="20"/>
                <w:szCs w:val="20"/>
                <w:lang w:eastAsia="en-AU"/>
              </w:rPr>
            </w:pPr>
            <w:r w:rsidRPr="008A2B8F">
              <w:rPr>
                <w:rFonts w:ascii="Meta Pro" w:eastAsia="Times New Roman" w:hAnsi="Meta Pro"/>
                <w:b/>
                <w:bCs/>
                <w:color w:val="000000"/>
                <w:sz w:val="20"/>
                <w:szCs w:val="20"/>
                <w:lang w:eastAsia="en-AU"/>
              </w:rPr>
              <w:t>2023</w:t>
            </w:r>
          </w:p>
        </w:tc>
        <w:tc>
          <w:tcPr>
            <w:tcW w:w="198" w:type="dxa"/>
            <w:tcBorders>
              <w:top w:val="nil"/>
              <w:left w:val="nil"/>
              <w:bottom w:val="nil"/>
              <w:right w:val="nil"/>
            </w:tcBorders>
            <w:shd w:val="clear" w:color="auto" w:fill="auto"/>
            <w:noWrap/>
            <w:hideMark/>
          </w:tcPr>
          <w:p w14:paraId="68E70D55" w14:textId="77777777" w:rsidR="00BC5219" w:rsidRPr="008A2B8F" w:rsidRDefault="00BC5219" w:rsidP="00E83802">
            <w:pPr>
              <w:jc w:val="center"/>
              <w:rPr>
                <w:rFonts w:ascii="Meta Pro" w:eastAsia="Times New Roman" w:hAnsi="Meta Pro"/>
                <w:b/>
                <w:bCs/>
                <w:color w:val="000000"/>
                <w:sz w:val="20"/>
                <w:szCs w:val="20"/>
                <w:lang w:eastAsia="en-AU"/>
              </w:rPr>
            </w:pPr>
          </w:p>
        </w:tc>
        <w:tc>
          <w:tcPr>
            <w:tcW w:w="1134" w:type="dxa"/>
            <w:tcBorders>
              <w:top w:val="nil"/>
              <w:left w:val="nil"/>
              <w:bottom w:val="nil"/>
              <w:right w:val="nil"/>
            </w:tcBorders>
            <w:shd w:val="clear" w:color="auto" w:fill="auto"/>
            <w:noWrap/>
            <w:vAlign w:val="center"/>
            <w:hideMark/>
          </w:tcPr>
          <w:p w14:paraId="02F76095" w14:textId="77777777" w:rsidR="00BC5219" w:rsidRPr="008A2B8F" w:rsidRDefault="00BC5219" w:rsidP="00E83802">
            <w:pPr>
              <w:jc w:val="center"/>
              <w:rPr>
                <w:rFonts w:ascii="Meta Pro" w:eastAsia="Times New Roman" w:hAnsi="Meta Pro"/>
                <w:b/>
                <w:bCs/>
                <w:color w:val="000000"/>
                <w:sz w:val="20"/>
                <w:szCs w:val="20"/>
                <w:lang w:eastAsia="en-AU"/>
              </w:rPr>
            </w:pPr>
            <w:r w:rsidRPr="008A2B8F">
              <w:rPr>
                <w:rFonts w:ascii="Meta Pro" w:eastAsia="Times New Roman" w:hAnsi="Meta Pro"/>
                <w:b/>
                <w:bCs/>
                <w:color w:val="000000"/>
                <w:sz w:val="20"/>
                <w:szCs w:val="20"/>
                <w:lang w:eastAsia="en-AU"/>
              </w:rPr>
              <w:t>2022</w:t>
            </w:r>
          </w:p>
        </w:tc>
      </w:tr>
      <w:tr w:rsidR="00BC5219" w:rsidRPr="008A2B8F" w14:paraId="4F39C09B" w14:textId="77777777" w:rsidTr="00E83802">
        <w:trPr>
          <w:trHeight w:val="198"/>
        </w:trPr>
        <w:tc>
          <w:tcPr>
            <w:tcW w:w="6237" w:type="dxa"/>
            <w:tcBorders>
              <w:top w:val="nil"/>
              <w:left w:val="nil"/>
              <w:bottom w:val="nil"/>
              <w:right w:val="nil"/>
            </w:tcBorders>
            <w:shd w:val="clear" w:color="auto" w:fill="auto"/>
            <w:noWrap/>
            <w:vAlign w:val="center"/>
            <w:hideMark/>
          </w:tcPr>
          <w:p w14:paraId="3E080DBF" w14:textId="77777777" w:rsidR="00BC5219" w:rsidRPr="008A2B8F" w:rsidRDefault="00BC5219" w:rsidP="00E83802">
            <w:pPr>
              <w:jc w:val="center"/>
              <w:rPr>
                <w:rFonts w:ascii="Meta Pro" w:eastAsia="Times New Roman" w:hAnsi="Meta Pro"/>
                <w:b/>
                <w:bCs/>
                <w:color w:val="000000"/>
                <w:sz w:val="20"/>
                <w:szCs w:val="20"/>
                <w:lang w:eastAsia="en-AU"/>
              </w:rPr>
            </w:pPr>
          </w:p>
        </w:tc>
        <w:tc>
          <w:tcPr>
            <w:tcW w:w="1077" w:type="dxa"/>
            <w:tcBorders>
              <w:top w:val="nil"/>
              <w:left w:val="nil"/>
              <w:bottom w:val="nil"/>
              <w:right w:val="nil"/>
            </w:tcBorders>
            <w:shd w:val="clear" w:color="auto" w:fill="auto"/>
            <w:vAlign w:val="center"/>
            <w:hideMark/>
          </w:tcPr>
          <w:p w14:paraId="56041ED1" w14:textId="77777777" w:rsidR="00BC5219" w:rsidRPr="008A2B8F" w:rsidRDefault="00BC5219" w:rsidP="00E83802">
            <w:pPr>
              <w:rPr>
                <w:rFonts w:ascii="Meta Pro" w:eastAsia="Times New Roman" w:hAnsi="Meta Pro" w:cs="Times New Roman"/>
                <w:sz w:val="20"/>
                <w:szCs w:val="20"/>
                <w:lang w:eastAsia="en-AU"/>
              </w:rPr>
            </w:pPr>
          </w:p>
        </w:tc>
        <w:tc>
          <w:tcPr>
            <w:tcW w:w="1157" w:type="dxa"/>
            <w:tcBorders>
              <w:top w:val="nil"/>
              <w:left w:val="nil"/>
              <w:bottom w:val="nil"/>
              <w:right w:val="nil"/>
            </w:tcBorders>
            <w:shd w:val="clear" w:color="auto" w:fill="auto"/>
            <w:noWrap/>
            <w:hideMark/>
          </w:tcPr>
          <w:p w14:paraId="771F2E3C" w14:textId="77777777" w:rsidR="00BC5219" w:rsidRPr="008A2B8F" w:rsidRDefault="00BC5219" w:rsidP="00E83802">
            <w:pPr>
              <w:jc w:val="center"/>
              <w:rPr>
                <w:rFonts w:ascii="Meta Pro" w:eastAsia="Times New Roman" w:hAnsi="Meta Pro" w:cs="Times New Roman"/>
                <w:sz w:val="20"/>
                <w:szCs w:val="20"/>
                <w:lang w:eastAsia="en-AU"/>
              </w:rPr>
            </w:pPr>
          </w:p>
        </w:tc>
        <w:tc>
          <w:tcPr>
            <w:tcW w:w="215" w:type="dxa"/>
            <w:tcBorders>
              <w:top w:val="nil"/>
              <w:left w:val="nil"/>
              <w:bottom w:val="nil"/>
              <w:right w:val="nil"/>
            </w:tcBorders>
            <w:shd w:val="clear" w:color="auto" w:fill="auto"/>
            <w:noWrap/>
            <w:hideMark/>
          </w:tcPr>
          <w:p w14:paraId="023DACBC" w14:textId="77777777" w:rsidR="00BC5219" w:rsidRPr="008A2B8F" w:rsidRDefault="00BC5219" w:rsidP="00E83802">
            <w:pPr>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1318625F" w14:textId="77777777" w:rsidR="00BC5219" w:rsidRPr="008A2B8F" w:rsidRDefault="00BC5219" w:rsidP="00E83802">
            <w:pPr>
              <w:jc w:val="center"/>
              <w:rPr>
                <w:rFonts w:ascii="Meta Pro" w:eastAsia="Times New Roman" w:hAnsi="Meta Pro"/>
                <w:b/>
                <w:bCs/>
                <w:sz w:val="20"/>
                <w:szCs w:val="20"/>
                <w:lang w:eastAsia="en-AU"/>
              </w:rPr>
            </w:pPr>
            <w:r w:rsidRPr="008A2B8F">
              <w:rPr>
                <w:rFonts w:ascii="Meta Pro" w:eastAsia="Times New Roman" w:hAnsi="Meta Pro"/>
                <w:b/>
                <w:bCs/>
                <w:sz w:val="20"/>
                <w:szCs w:val="20"/>
                <w:lang w:eastAsia="en-AU"/>
              </w:rPr>
              <w:t>$'000</w:t>
            </w:r>
          </w:p>
        </w:tc>
        <w:tc>
          <w:tcPr>
            <w:tcW w:w="198" w:type="dxa"/>
            <w:tcBorders>
              <w:top w:val="nil"/>
              <w:left w:val="nil"/>
              <w:bottom w:val="nil"/>
              <w:right w:val="nil"/>
            </w:tcBorders>
            <w:shd w:val="clear" w:color="auto" w:fill="auto"/>
            <w:noWrap/>
            <w:hideMark/>
          </w:tcPr>
          <w:p w14:paraId="2982813A" w14:textId="77777777" w:rsidR="00BC5219" w:rsidRPr="008A2B8F" w:rsidRDefault="00BC5219" w:rsidP="00E83802">
            <w:pPr>
              <w:jc w:val="center"/>
              <w:rPr>
                <w:rFonts w:ascii="Meta Pro" w:eastAsia="Times New Roman" w:hAnsi="Meta Pro"/>
                <w:b/>
                <w:bCs/>
                <w:sz w:val="20"/>
                <w:szCs w:val="20"/>
                <w:lang w:eastAsia="en-AU"/>
              </w:rPr>
            </w:pPr>
          </w:p>
        </w:tc>
        <w:tc>
          <w:tcPr>
            <w:tcW w:w="1134" w:type="dxa"/>
            <w:tcBorders>
              <w:top w:val="nil"/>
              <w:left w:val="nil"/>
              <w:bottom w:val="nil"/>
              <w:right w:val="nil"/>
            </w:tcBorders>
            <w:shd w:val="clear" w:color="auto" w:fill="auto"/>
            <w:noWrap/>
            <w:vAlign w:val="center"/>
            <w:hideMark/>
          </w:tcPr>
          <w:p w14:paraId="0EA446B8" w14:textId="77777777" w:rsidR="00BC5219" w:rsidRPr="008A2B8F" w:rsidRDefault="00BC5219" w:rsidP="00E83802">
            <w:pPr>
              <w:jc w:val="center"/>
              <w:rPr>
                <w:rFonts w:ascii="Meta Pro" w:eastAsia="Times New Roman" w:hAnsi="Meta Pro"/>
                <w:b/>
                <w:bCs/>
                <w:sz w:val="20"/>
                <w:szCs w:val="20"/>
                <w:lang w:eastAsia="en-AU"/>
              </w:rPr>
            </w:pPr>
            <w:r w:rsidRPr="008A2B8F">
              <w:rPr>
                <w:rFonts w:ascii="Meta Pro" w:eastAsia="Times New Roman" w:hAnsi="Meta Pro"/>
                <w:b/>
                <w:bCs/>
                <w:sz w:val="20"/>
                <w:szCs w:val="20"/>
                <w:lang w:eastAsia="en-AU"/>
              </w:rPr>
              <w:t>$'000</w:t>
            </w:r>
          </w:p>
        </w:tc>
      </w:tr>
      <w:tr w:rsidR="00BC5219" w:rsidRPr="008A2B8F" w14:paraId="7A86AD1C" w14:textId="77777777" w:rsidTr="00E83802">
        <w:trPr>
          <w:trHeight w:val="198"/>
        </w:trPr>
        <w:tc>
          <w:tcPr>
            <w:tcW w:w="6237" w:type="dxa"/>
            <w:tcBorders>
              <w:top w:val="nil"/>
              <w:left w:val="nil"/>
              <w:bottom w:val="nil"/>
              <w:right w:val="nil"/>
            </w:tcBorders>
            <w:shd w:val="clear" w:color="auto" w:fill="auto"/>
            <w:noWrap/>
            <w:vAlign w:val="center"/>
            <w:hideMark/>
          </w:tcPr>
          <w:p w14:paraId="759EEA40" w14:textId="77777777" w:rsidR="00BC5219" w:rsidRPr="008A2B8F" w:rsidRDefault="00BC5219" w:rsidP="00E83802">
            <w:pPr>
              <w:jc w:val="center"/>
              <w:rPr>
                <w:rFonts w:ascii="Meta Pro" w:eastAsia="Times New Roman" w:hAnsi="Meta Pro"/>
                <w:b/>
                <w:bCs/>
                <w:sz w:val="20"/>
                <w:szCs w:val="20"/>
                <w:lang w:eastAsia="en-AU"/>
              </w:rPr>
            </w:pPr>
          </w:p>
        </w:tc>
        <w:tc>
          <w:tcPr>
            <w:tcW w:w="1077" w:type="dxa"/>
            <w:tcBorders>
              <w:top w:val="nil"/>
              <w:left w:val="nil"/>
              <w:bottom w:val="nil"/>
              <w:right w:val="nil"/>
            </w:tcBorders>
            <w:shd w:val="clear" w:color="auto" w:fill="auto"/>
            <w:vAlign w:val="center"/>
            <w:hideMark/>
          </w:tcPr>
          <w:p w14:paraId="6C8D8153" w14:textId="77777777" w:rsidR="00BC5219" w:rsidRPr="008A2B8F" w:rsidRDefault="00BC5219" w:rsidP="00E83802">
            <w:pPr>
              <w:rPr>
                <w:rFonts w:ascii="Meta Pro" w:eastAsia="Times New Roman" w:hAnsi="Meta Pro" w:cs="Times New Roman"/>
                <w:sz w:val="20"/>
                <w:szCs w:val="20"/>
                <w:lang w:eastAsia="en-AU"/>
              </w:rPr>
            </w:pPr>
          </w:p>
        </w:tc>
        <w:tc>
          <w:tcPr>
            <w:tcW w:w="1157" w:type="dxa"/>
            <w:tcBorders>
              <w:top w:val="nil"/>
              <w:left w:val="nil"/>
              <w:bottom w:val="nil"/>
              <w:right w:val="nil"/>
            </w:tcBorders>
            <w:shd w:val="clear" w:color="auto" w:fill="auto"/>
            <w:noWrap/>
            <w:hideMark/>
          </w:tcPr>
          <w:p w14:paraId="0BA73289" w14:textId="77777777" w:rsidR="00BC5219" w:rsidRPr="008A2B8F" w:rsidRDefault="00BC5219" w:rsidP="00E83802">
            <w:pPr>
              <w:jc w:val="center"/>
              <w:rPr>
                <w:rFonts w:ascii="Meta Pro" w:eastAsia="Times New Roman" w:hAnsi="Meta Pro" w:cs="Times New Roman"/>
                <w:sz w:val="20"/>
                <w:szCs w:val="20"/>
                <w:lang w:eastAsia="en-AU"/>
              </w:rPr>
            </w:pPr>
          </w:p>
        </w:tc>
        <w:tc>
          <w:tcPr>
            <w:tcW w:w="215" w:type="dxa"/>
            <w:tcBorders>
              <w:top w:val="nil"/>
              <w:left w:val="nil"/>
              <w:bottom w:val="nil"/>
              <w:right w:val="nil"/>
            </w:tcBorders>
            <w:shd w:val="clear" w:color="auto" w:fill="auto"/>
            <w:noWrap/>
            <w:hideMark/>
          </w:tcPr>
          <w:p w14:paraId="284A5C1B" w14:textId="77777777" w:rsidR="00BC5219" w:rsidRPr="008A2B8F" w:rsidRDefault="00BC5219" w:rsidP="00E83802">
            <w:pPr>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vAlign w:val="center"/>
            <w:hideMark/>
          </w:tcPr>
          <w:p w14:paraId="47BC4356" w14:textId="77777777" w:rsidR="00BC5219" w:rsidRPr="008A2B8F" w:rsidRDefault="00BC5219" w:rsidP="00E83802">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1C7017AE" w14:textId="77777777" w:rsidR="00BC5219" w:rsidRPr="008A2B8F" w:rsidRDefault="00BC5219" w:rsidP="00E83802">
            <w:pPr>
              <w:jc w:val="center"/>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vAlign w:val="center"/>
            <w:hideMark/>
          </w:tcPr>
          <w:p w14:paraId="13493519" w14:textId="77777777" w:rsidR="00BC5219" w:rsidRPr="008A2B8F" w:rsidRDefault="00BC5219" w:rsidP="00E83802">
            <w:pPr>
              <w:rPr>
                <w:rFonts w:ascii="Meta Pro" w:eastAsia="Times New Roman" w:hAnsi="Meta Pro" w:cs="Times New Roman"/>
                <w:sz w:val="20"/>
                <w:szCs w:val="20"/>
                <w:lang w:eastAsia="en-AU"/>
              </w:rPr>
            </w:pPr>
          </w:p>
        </w:tc>
      </w:tr>
      <w:tr w:rsidR="00BC5219" w:rsidRPr="008A2B8F" w14:paraId="32C426E5" w14:textId="77777777" w:rsidTr="00E83802">
        <w:trPr>
          <w:trHeight w:val="198"/>
        </w:trPr>
        <w:tc>
          <w:tcPr>
            <w:tcW w:w="6237" w:type="dxa"/>
            <w:tcBorders>
              <w:top w:val="nil"/>
              <w:left w:val="nil"/>
              <w:bottom w:val="nil"/>
              <w:right w:val="nil"/>
            </w:tcBorders>
            <w:shd w:val="clear" w:color="auto" w:fill="auto"/>
            <w:noWrap/>
            <w:vAlign w:val="center"/>
            <w:hideMark/>
          </w:tcPr>
          <w:p w14:paraId="1BAC11BF"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Current</w:t>
            </w:r>
          </w:p>
        </w:tc>
        <w:tc>
          <w:tcPr>
            <w:tcW w:w="1077" w:type="dxa"/>
            <w:tcBorders>
              <w:top w:val="nil"/>
              <w:left w:val="nil"/>
              <w:bottom w:val="nil"/>
              <w:right w:val="nil"/>
            </w:tcBorders>
            <w:shd w:val="clear" w:color="auto" w:fill="auto"/>
            <w:vAlign w:val="center"/>
            <w:hideMark/>
          </w:tcPr>
          <w:p w14:paraId="3331888E" w14:textId="77777777" w:rsidR="00BC5219" w:rsidRPr="008A2B8F" w:rsidRDefault="00BC5219" w:rsidP="00E83802">
            <w:pPr>
              <w:rPr>
                <w:rFonts w:ascii="Meta Pro" w:eastAsia="Times New Roman" w:hAnsi="Meta Pro"/>
                <w:b/>
                <w:bCs/>
                <w:szCs w:val="18"/>
                <w:lang w:eastAsia="en-AU"/>
              </w:rPr>
            </w:pPr>
          </w:p>
        </w:tc>
        <w:tc>
          <w:tcPr>
            <w:tcW w:w="1157" w:type="dxa"/>
            <w:tcBorders>
              <w:top w:val="nil"/>
              <w:left w:val="nil"/>
              <w:bottom w:val="nil"/>
              <w:right w:val="nil"/>
            </w:tcBorders>
            <w:shd w:val="clear" w:color="auto" w:fill="auto"/>
            <w:noWrap/>
            <w:vAlign w:val="center"/>
            <w:hideMark/>
          </w:tcPr>
          <w:p w14:paraId="0E5083F5" w14:textId="77777777" w:rsidR="00BC5219" w:rsidRPr="008A2B8F" w:rsidRDefault="00BC5219" w:rsidP="00E83802">
            <w:pPr>
              <w:jc w:val="center"/>
              <w:rPr>
                <w:rFonts w:ascii="Meta Pro" w:eastAsia="Times New Roman" w:hAnsi="Meta Pro"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41E315B6" w14:textId="77777777" w:rsidR="00BC5219" w:rsidRPr="008A2B8F" w:rsidRDefault="00BC5219" w:rsidP="00E83802">
            <w:pPr>
              <w:jc w:val="right"/>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3FC4BA70" w14:textId="77777777" w:rsidR="00BC5219" w:rsidRPr="008A2B8F" w:rsidRDefault="00BC5219" w:rsidP="00E83802">
            <w:pPr>
              <w:rPr>
                <w:rFonts w:ascii="Meta Pro" w:eastAsia="Times New Roman" w:hAnsi="Meta Pro"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793133ED" w14:textId="77777777" w:rsidR="00BC5219" w:rsidRPr="008A2B8F" w:rsidRDefault="00BC5219" w:rsidP="00E83802">
            <w:pPr>
              <w:jc w:val="right"/>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6FA1F1BF"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32A09AB4" w14:textId="77777777" w:rsidTr="00E83802">
        <w:trPr>
          <w:trHeight w:val="198"/>
        </w:trPr>
        <w:tc>
          <w:tcPr>
            <w:tcW w:w="6237" w:type="dxa"/>
            <w:tcBorders>
              <w:top w:val="nil"/>
              <w:left w:val="nil"/>
              <w:bottom w:val="nil"/>
              <w:right w:val="nil"/>
            </w:tcBorders>
            <w:shd w:val="clear" w:color="auto" w:fill="auto"/>
            <w:noWrap/>
            <w:vAlign w:val="center"/>
            <w:hideMark/>
          </w:tcPr>
          <w:p w14:paraId="2A14F86F"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lastRenderedPageBreak/>
              <w:t>Lease liabilities</w:t>
            </w:r>
          </w:p>
        </w:tc>
        <w:tc>
          <w:tcPr>
            <w:tcW w:w="1077" w:type="dxa"/>
            <w:tcBorders>
              <w:top w:val="nil"/>
              <w:left w:val="nil"/>
              <w:bottom w:val="nil"/>
              <w:right w:val="nil"/>
            </w:tcBorders>
            <w:shd w:val="clear" w:color="auto" w:fill="auto"/>
            <w:noWrap/>
            <w:vAlign w:val="center"/>
            <w:hideMark/>
          </w:tcPr>
          <w:p w14:paraId="018B7A9E" w14:textId="77777777" w:rsidR="00BC5219" w:rsidRPr="008A2B8F" w:rsidRDefault="00BC5219" w:rsidP="00E83802">
            <w:pPr>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5EEBAD07" w14:textId="77777777" w:rsidR="00BC5219" w:rsidRPr="008A2B8F" w:rsidRDefault="00BC5219" w:rsidP="00E83802">
            <w:pPr>
              <w:jc w:val="center"/>
              <w:rPr>
                <w:rFonts w:ascii="Meta Pro" w:eastAsia="Times New Roman" w:hAnsi="Meta Pro"/>
                <w:szCs w:val="18"/>
                <w:lang w:eastAsia="en-AU"/>
              </w:rPr>
            </w:pPr>
          </w:p>
        </w:tc>
        <w:tc>
          <w:tcPr>
            <w:tcW w:w="215" w:type="dxa"/>
            <w:tcBorders>
              <w:top w:val="nil"/>
              <w:left w:val="nil"/>
              <w:bottom w:val="nil"/>
              <w:right w:val="nil"/>
            </w:tcBorders>
            <w:shd w:val="clear" w:color="auto" w:fill="auto"/>
            <w:noWrap/>
            <w:vAlign w:val="center"/>
            <w:hideMark/>
          </w:tcPr>
          <w:p w14:paraId="1259D723" w14:textId="77777777" w:rsidR="00BC5219" w:rsidRPr="008A2B8F" w:rsidRDefault="00BC5219" w:rsidP="00E83802">
            <w:pPr>
              <w:jc w:val="center"/>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1B9F26BE"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24,962 </w:t>
            </w:r>
          </w:p>
        </w:tc>
        <w:tc>
          <w:tcPr>
            <w:tcW w:w="198" w:type="dxa"/>
            <w:tcBorders>
              <w:top w:val="nil"/>
              <w:left w:val="nil"/>
              <w:bottom w:val="nil"/>
              <w:right w:val="nil"/>
            </w:tcBorders>
            <w:shd w:val="clear" w:color="auto" w:fill="auto"/>
            <w:noWrap/>
            <w:vAlign w:val="center"/>
            <w:hideMark/>
          </w:tcPr>
          <w:p w14:paraId="439E165F" w14:textId="77777777" w:rsidR="00BC5219" w:rsidRPr="008A2B8F"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auto" w:fill="auto"/>
            <w:noWrap/>
            <w:vAlign w:val="center"/>
            <w:hideMark/>
          </w:tcPr>
          <w:p w14:paraId="22CD2211"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96 </w:t>
            </w:r>
          </w:p>
        </w:tc>
      </w:tr>
      <w:tr w:rsidR="00BC5219" w:rsidRPr="008A2B8F" w14:paraId="43202FD3" w14:textId="77777777" w:rsidTr="00E83802">
        <w:trPr>
          <w:trHeight w:val="198"/>
        </w:trPr>
        <w:tc>
          <w:tcPr>
            <w:tcW w:w="6237" w:type="dxa"/>
            <w:tcBorders>
              <w:top w:val="nil"/>
              <w:left w:val="nil"/>
              <w:bottom w:val="nil"/>
              <w:right w:val="nil"/>
            </w:tcBorders>
            <w:shd w:val="clear" w:color="auto" w:fill="auto"/>
            <w:noWrap/>
            <w:vAlign w:val="center"/>
            <w:hideMark/>
          </w:tcPr>
          <w:p w14:paraId="565BAB87" w14:textId="77777777" w:rsidR="00BC5219" w:rsidRPr="008A2B8F" w:rsidRDefault="00BC5219" w:rsidP="00E83802">
            <w:pPr>
              <w:jc w:val="right"/>
              <w:rPr>
                <w:rFonts w:ascii="Meta Pro" w:eastAsia="Times New Roman" w:hAnsi="Meta Pro"/>
                <w:szCs w:val="18"/>
                <w:lang w:eastAsia="en-AU"/>
              </w:rPr>
            </w:pPr>
          </w:p>
        </w:tc>
        <w:tc>
          <w:tcPr>
            <w:tcW w:w="1077" w:type="dxa"/>
            <w:tcBorders>
              <w:top w:val="nil"/>
              <w:left w:val="nil"/>
              <w:bottom w:val="nil"/>
              <w:right w:val="nil"/>
            </w:tcBorders>
            <w:shd w:val="clear" w:color="auto" w:fill="auto"/>
            <w:noWrap/>
            <w:hideMark/>
          </w:tcPr>
          <w:p w14:paraId="15D04678" w14:textId="77777777" w:rsidR="00BC5219" w:rsidRPr="008A2B8F" w:rsidRDefault="00BC5219" w:rsidP="00E83802">
            <w:pPr>
              <w:rPr>
                <w:rFonts w:ascii="Meta Pro" w:eastAsia="Times New Roman" w:hAnsi="Meta Pro" w:cs="Times New Roman"/>
                <w:sz w:val="20"/>
                <w:szCs w:val="20"/>
                <w:lang w:eastAsia="en-AU"/>
              </w:rPr>
            </w:pPr>
          </w:p>
        </w:tc>
        <w:tc>
          <w:tcPr>
            <w:tcW w:w="1157" w:type="dxa"/>
            <w:tcBorders>
              <w:top w:val="nil"/>
              <w:left w:val="nil"/>
              <w:bottom w:val="nil"/>
              <w:right w:val="nil"/>
            </w:tcBorders>
            <w:shd w:val="clear" w:color="auto" w:fill="auto"/>
            <w:noWrap/>
            <w:vAlign w:val="center"/>
            <w:hideMark/>
          </w:tcPr>
          <w:p w14:paraId="722C16B3" w14:textId="77777777" w:rsidR="00BC5219" w:rsidRPr="008A2B8F" w:rsidRDefault="00BC5219" w:rsidP="00E83802">
            <w:pPr>
              <w:rPr>
                <w:rFonts w:ascii="Meta Pro" w:eastAsia="Times New Roman" w:hAnsi="Meta Pro" w:cs="Times New Roman"/>
                <w:sz w:val="20"/>
                <w:szCs w:val="20"/>
                <w:lang w:eastAsia="en-AU"/>
              </w:rPr>
            </w:pPr>
          </w:p>
        </w:tc>
        <w:tc>
          <w:tcPr>
            <w:tcW w:w="215" w:type="dxa"/>
            <w:tcBorders>
              <w:top w:val="nil"/>
              <w:left w:val="nil"/>
              <w:bottom w:val="nil"/>
              <w:right w:val="nil"/>
            </w:tcBorders>
            <w:shd w:val="clear" w:color="auto" w:fill="auto"/>
            <w:noWrap/>
            <w:hideMark/>
          </w:tcPr>
          <w:p w14:paraId="206FB835" w14:textId="77777777" w:rsidR="00BC5219" w:rsidRPr="008A2B8F" w:rsidRDefault="00BC5219" w:rsidP="00E83802">
            <w:pPr>
              <w:jc w:val="center"/>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000000" w:fill="C9E3B4"/>
            <w:noWrap/>
            <w:vAlign w:val="center"/>
            <w:hideMark/>
          </w:tcPr>
          <w:p w14:paraId="78FA815F"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198" w:type="dxa"/>
            <w:tcBorders>
              <w:top w:val="nil"/>
              <w:left w:val="nil"/>
              <w:bottom w:val="nil"/>
              <w:right w:val="nil"/>
            </w:tcBorders>
            <w:shd w:val="clear" w:color="auto" w:fill="auto"/>
            <w:noWrap/>
            <w:vAlign w:val="center"/>
            <w:hideMark/>
          </w:tcPr>
          <w:p w14:paraId="3D421B96" w14:textId="77777777" w:rsidR="00BC5219" w:rsidRPr="008A2B8F" w:rsidRDefault="00BC5219" w:rsidP="00E83802">
            <w:pPr>
              <w:rPr>
                <w:rFonts w:ascii="Meta Pro" w:eastAsia="Times New Roman" w:hAnsi="Meta Pro"/>
                <w:szCs w:val="18"/>
                <w:lang w:eastAsia="en-AU"/>
              </w:rPr>
            </w:pPr>
          </w:p>
        </w:tc>
        <w:tc>
          <w:tcPr>
            <w:tcW w:w="1134" w:type="dxa"/>
            <w:tcBorders>
              <w:top w:val="nil"/>
              <w:left w:val="nil"/>
              <w:bottom w:val="nil"/>
              <w:right w:val="nil"/>
            </w:tcBorders>
            <w:shd w:val="clear" w:color="auto" w:fill="auto"/>
            <w:vAlign w:val="center"/>
            <w:hideMark/>
          </w:tcPr>
          <w:p w14:paraId="2C292FEC" w14:textId="77777777" w:rsidR="00BC5219" w:rsidRPr="008A2B8F" w:rsidRDefault="00BC5219" w:rsidP="00E83802">
            <w:pPr>
              <w:rPr>
                <w:rFonts w:ascii="Meta Pro" w:eastAsia="Times New Roman" w:hAnsi="Meta Pro" w:cs="Times New Roman"/>
                <w:sz w:val="20"/>
                <w:szCs w:val="20"/>
                <w:lang w:eastAsia="en-AU"/>
              </w:rPr>
            </w:pPr>
          </w:p>
        </w:tc>
      </w:tr>
      <w:tr w:rsidR="00BC5219" w:rsidRPr="008A2B8F" w14:paraId="24D43D0D" w14:textId="77777777" w:rsidTr="00E83802">
        <w:trPr>
          <w:trHeight w:val="198"/>
        </w:trPr>
        <w:tc>
          <w:tcPr>
            <w:tcW w:w="6237" w:type="dxa"/>
            <w:tcBorders>
              <w:top w:val="nil"/>
              <w:left w:val="nil"/>
              <w:bottom w:val="nil"/>
              <w:right w:val="nil"/>
            </w:tcBorders>
            <w:shd w:val="clear" w:color="auto" w:fill="auto"/>
            <w:noWrap/>
            <w:vAlign w:val="center"/>
            <w:hideMark/>
          </w:tcPr>
          <w:p w14:paraId="44D7893E"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Non-current</w:t>
            </w:r>
          </w:p>
        </w:tc>
        <w:tc>
          <w:tcPr>
            <w:tcW w:w="1077" w:type="dxa"/>
            <w:tcBorders>
              <w:top w:val="nil"/>
              <w:left w:val="nil"/>
              <w:bottom w:val="nil"/>
              <w:right w:val="nil"/>
            </w:tcBorders>
            <w:shd w:val="clear" w:color="auto" w:fill="auto"/>
            <w:noWrap/>
            <w:vAlign w:val="center"/>
            <w:hideMark/>
          </w:tcPr>
          <w:p w14:paraId="1BB8F654" w14:textId="77777777" w:rsidR="00BC5219" w:rsidRPr="008A2B8F" w:rsidRDefault="00BC5219" w:rsidP="00E83802">
            <w:pPr>
              <w:rPr>
                <w:rFonts w:ascii="Meta Pro" w:eastAsia="Times New Roman" w:hAnsi="Meta Pro"/>
                <w:b/>
                <w:bCs/>
                <w:szCs w:val="18"/>
                <w:lang w:eastAsia="en-AU"/>
              </w:rPr>
            </w:pPr>
          </w:p>
        </w:tc>
        <w:tc>
          <w:tcPr>
            <w:tcW w:w="1157" w:type="dxa"/>
            <w:tcBorders>
              <w:top w:val="nil"/>
              <w:left w:val="nil"/>
              <w:bottom w:val="nil"/>
              <w:right w:val="nil"/>
            </w:tcBorders>
            <w:shd w:val="clear" w:color="auto" w:fill="auto"/>
            <w:noWrap/>
            <w:vAlign w:val="center"/>
            <w:hideMark/>
          </w:tcPr>
          <w:p w14:paraId="21CEB016" w14:textId="77777777" w:rsidR="00BC5219" w:rsidRPr="008A2B8F" w:rsidRDefault="00BC5219" w:rsidP="00E83802">
            <w:pPr>
              <w:jc w:val="center"/>
              <w:rPr>
                <w:rFonts w:ascii="Meta Pro" w:eastAsia="Times New Roman" w:hAnsi="Meta Pro"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1145FEFB" w14:textId="77777777" w:rsidR="00BC5219" w:rsidRPr="008A2B8F" w:rsidRDefault="00BC5219" w:rsidP="00E83802">
            <w:pPr>
              <w:jc w:val="center"/>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000000" w:fill="C9E3B4"/>
            <w:noWrap/>
            <w:vAlign w:val="center"/>
            <w:hideMark/>
          </w:tcPr>
          <w:p w14:paraId="4553A57F"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w:t>
            </w:r>
          </w:p>
        </w:tc>
        <w:tc>
          <w:tcPr>
            <w:tcW w:w="198" w:type="dxa"/>
            <w:tcBorders>
              <w:top w:val="nil"/>
              <w:left w:val="nil"/>
              <w:bottom w:val="nil"/>
              <w:right w:val="nil"/>
            </w:tcBorders>
            <w:shd w:val="clear" w:color="auto" w:fill="auto"/>
            <w:noWrap/>
            <w:vAlign w:val="center"/>
            <w:hideMark/>
          </w:tcPr>
          <w:p w14:paraId="3500C976" w14:textId="77777777" w:rsidR="00BC5219" w:rsidRPr="008A2B8F" w:rsidRDefault="00BC5219" w:rsidP="00E83802">
            <w:pPr>
              <w:rPr>
                <w:rFonts w:ascii="Meta Pro" w:eastAsia="Times New Roman" w:hAnsi="Meta Pro"/>
                <w:szCs w:val="18"/>
                <w:lang w:eastAsia="en-AU"/>
              </w:rPr>
            </w:pPr>
          </w:p>
        </w:tc>
        <w:tc>
          <w:tcPr>
            <w:tcW w:w="1134" w:type="dxa"/>
            <w:tcBorders>
              <w:top w:val="nil"/>
              <w:left w:val="nil"/>
              <w:bottom w:val="nil"/>
              <w:right w:val="nil"/>
            </w:tcBorders>
            <w:shd w:val="clear" w:color="auto" w:fill="auto"/>
            <w:noWrap/>
            <w:vAlign w:val="center"/>
            <w:hideMark/>
          </w:tcPr>
          <w:p w14:paraId="7A3D82EA" w14:textId="77777777" w:rsidR="00BC5219" w:rsidRPr="008A2B8F" w:rsidRDefault="00BC5219" w:rsidP="00E83802">
            <w:pPr>
              <w:rPr>
                <w:rFonts w:ascii="Meta Pro" w:eastAsia="Times New Roman" w:hAnsi="Meta Pro" w:cs="Times New Roman"/>
                <w:sz w:val="20"/>
                <w:szCs w:val="20"/>
                <w:lang w:eastAsia="en-AU"/>
              </w:rPr>
            </w:pPr>
          </w:p>
        </w:tc>
      </w:tr>
      <w:tr w:rsidR="00BC5219" w:rsidRPr="008A2B8F" w14:paraId="111FD942" w14:textId="77777777" w:rsidTr="00E83802">
        <w:trPr>
          <w:trHeight w:val="198"/>
        </w:trPr>
        <w:tc>
          <w:tcPr>
            <w:tcW w:w="6237" w:type="dxa"/>
            <w:tcBorders>
              <w:top w:val="nil"/>
              <w:left w:val="nil"/>
              <w:bottom w:val="nil"/>
              <w:right w:val="nil"/>
            </w:tcBorders>
            <w:shd w:val="clear" w:color="auto" w:fill="auto"/>
            <w:noWrap/>
            <w:vAlign w:val="center"/>
            <w:hideMark/>
          </w:tcPr>
          <w:p w14:paraId="7D36E0E1"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Lease liabilities</w:t>
            </w:r>
          </w:p>
        </w:tc>
        <w:tc>
          <w:tcPr>
            <w:tcW w:w="1077" w:type="dxa"/>
            <w:tcBorders>
              <w:top w:val="nil"/>
              <w:left w:val="nil"/>
              <w:bottom w:val="nil"/>
              <w:right w:val="nil"/>
            </w:tcBorders>
            <w:shd w:val="clear" w:color="auto" w:fill="auto"/>
            <w:noWrap/>
            <w:vAlign w:val="center"/>
            <w:hideMark/>
          </w:tcPr>
          <w:p w14:paraId="3D5E0AAE" w14:textId="77777777" w:rsidR="00BC5219" w:rsidRPr="008A2B8F" w:rsidRDefault="00BC5219" w:rsidP="00E83802">
            <w:pPr>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5BCC8143" w14:textId="77777777" w:rsidR="00BC5219" w:rsidRPr="008A2B8F" w:rsidRDefault="00BC5219" w:rsidP="00E83802">
            <w:pPr>
              <w:jc w:val="center"/>
              <w:rPr>
                <w:rFonts w:ascii="Meta Pro" w:eastAsia="Times New Roman" w:hAnsi="Meta Pro"/>
                <w:szCs w:val="18"/>
                <w:lang w:eastAsia="en-AU"/>
              </w:rPr>
            </w:pPr>
          </w:p>
        </w:tc>
        <w:tc>
          <w:tcPr>
            <w:tcW w:w="215" w:type="dxa"/>
            <w:tcBorders>
              <w:top w:val="nil"/>
              <w:left w:val="nil"/>
              <w:bottom w:val="nil"/>
              <w:right w:val="nil"/>
            </w:tcBorders>
            <w:shd w:val="clear" w:color="auto" w:fill="auto"/>
            <w:noWrap/>
            <w:vAlign w:val="center"/>
            <w:hideMark/>
          </w:tcPr>
          <w:p w14:paraId="4F87CF31" w14:textId="77777777" w:rsidR="00BC5219" w:rsidRPr="008A2B8F" w:rsidRDefault="00BC5219" w:rsidP="00E83802">
            <w:pPr>
              <w:jc w:val="center"/>
              <w:rPr>
                <w:rFonts w:ascii="Meta Pro" w:eastAsia="Times New Roman" w:hAnsi="Meta Pro"/>
                <w:szCs w:val="18"/>
                <w:lang w:eastAsia="en-AU"/>
              </w:rPr>
            </w:pPr>
          </w:p>
        </w:tc>
        <w:tc>
          <w:tcPr>
            <w:tcW w:w="1134" w:type="dxa"/>
            <w:tcBorders>
              <w:top w:val="nil"/>
              <w:left w:val="nil"/>
              <w:bottom w:val="nil"/>
              <w:right w:val="nil"/>
            </w:tcBorders>
            <w:shd w:val="clear" w:color="000000" w:fill="C9E3B4"/>
            <w:noWrap/>
            <w:vAlign w:val="center"/>
            <w:hideMark/>
          </w:tcPr>
          <w:p w14:paraId="28245B33"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85,780 </w:t>
            </w:r>
          </w:p>
        </w:tc>
        <w:tc>
          <w:tcPr>
            <w:tcW w:w="198" w:type="dxa"/>
            <w:tcBorders>
              <w:top w:val="nil"/>
              <w:left w:val="nil"/>
              <w:bottom w:val="nil"/>
              <w:right w:val="nil"/>
            </w:tcBorders>
            <w:shd w:val="clear" w:color="auto" w:fill="auto"/>
            <w:noWrap/>
            <w:vAlign w:val="bottom"/>
            <w:hideMark/>
          </w:tcPr>
          <w:p w14:paraId="15CB898C" w14:textId="77777777" w:rsidR="00BC5219" w:rsidRPr="008A2B8F" w:rsidRDefault="00BC5219" w:rsidP="00E83802">
            <w:pPr>
              <w:jc w:val="right"/>
              <w:rPr>
                <w:rFonts w:ascii="Meta Pro" w:eastAsia="Times New Roman" w:hAnsi="Meta Pro"/>
                <w:szCs w:val="18"/>
                <w:lang w:eastAsia="en-AU"/>
              </w:rPr>
            </w:pPr>
          </w:p>
        </w:tc>
        <w:tc>
          <w:tcPr>
            <w:tcW w:w="1134" w:type="dxa"/>
            <w:tcBorders>
              <w:top w:val="nil"/>
              <w:left w:val="nil"/>
              <w:bottom w:val="nil"/>
              <w:right w:val="nil"/>
            </w:tcBorders>
            <w:shd w:val="clear" w:color="auto" w:fill="auto"/>
            <w:noWrap/>
            <w:vAlign w:val="center"/>
            <w:hideMark/>
          </w:tcPr>
          <w:p w14:paraId="3C68876B"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3,274 </w:t>
            </w:r>
          </w:p>
        </w:tc>
      </w:tr>
      <w:tr w:rsidR="00BC5219" w:rsidRPr="008A2B8F" w14:paraId="56E5C514" w14:textId="77777777" w:rsidTr="00E83802">
        <w:trPr>
          <w:trHeight w:val="198"/>
        </w:trPr>
        <w:tc>
          <w:tcPr>
            <w:tcW w:w="6237" w:type="dxa"/>
            <w:tcBorders>
              <w:top w:val="single" w:sz="4" w:space="0" w:color="auto"/>
              <w:left w:val="nil"/>
              <w:bottom w:val="double" w:sz="6" w:space="0" w:color="auto"/>
              <w:right w:val="nil"/>
            </w:tcBorders>
            <w:shd w:val="clear" w:color="auto" w:fill="auto"/>
            <w:noWrap/>
            <w:vAlign w:val="center"/>
            <w:hideMark/>
          </w:tcPr>
          <w:p w14:paraId="0DDE7419"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Carrying amount at 30 June</w:t>
            </w:r>
          </w:p>
        </w:tc>
        <w:tc>
          <w:tcPr>
            <w:tcW w:w="1077" w:type="dxa"/>
            <w:tcBorders>
              <w:top w:val="single" w:sz="4" w:space="0" w:color="auto"/>
              <w:left w:val="nil"/>
              <w:bottom w:val="double" w:sz="6" w:space="0" w:color="auto"/>
              <w:right w:val="nil"/>
            </w:tcBorders>
            <w:shd w:val="clear" w:color="auto" w:fill="auto"/>
            <w:noWrap/>
            <w:vAlign w:val="center"/>
            <w:hideMark/>
          </w:tcPr>
          <w:p w14:paraId="2A18A29F" w14:textId="77777777" w:rsidR="00BC5219" w:rsidRPr="008A2B8F" w:rsidRDefault="00BC5219" w:rsidP="00E83802">
            <w:pPr>
              <w:jc w:val="center"/>
              <w:rPr>
                <w:rFonts w:ascii="Meta Pro" w:eastAsia="Times New Roman" w:hAnsi="Meta Pro"/>
                <w:szCs w:val="18"/>
                <w:lang w:eastAsia="en-AU"/>
              </w:rPr>
            </w:pPr>
            <w:r w:rsidRPr="008A2B8F">
              <w:rPr>
                <w:rFonts w:ascii="Meta Pro" w:eastAsia="Times New Roman" w:hAnsi="Meta Pro"/>
                <w:szCs w:val="18"/>
                <w:lang w:eastAsia="en-AU"/>
              </w:rPr>
              <w:t> </w:t>
            </w:r>
          </w:p>
        </w:tc>
        <w:tc>
          <w:tcPr>
            <w:tcW w:w="1157" w:type="dxa"/>
            <w:tcBorders>
              <w:top w:val="single" w:sz="4" w:space="0" w:color="auto"/>
              <w:left w:val="nil"/>
              <w:bottom w:val="double" w:sz="6" w:space="0" w:color="auto"/>
              <w:right w:val="nil"/>
            </w:tcBorders>
            <w:shd w:val="clear" w:color="auto" w:fill="auto"/>
            <w:noWrap/>
            <w:vAlign w:val="center"/>
            <w:hideMark/>
          </w:tcPr>
          <w:p w14:paraId="0E2388CE" w14:textId="77777777" w:rsidR="00BC5219" w:rsidRPr="008A2B8F" w:rsidRDefault="00BC5219" w:rsidP="00E83802">
            <w:pPr>
              <w:jc w:val="right"/>
              <w:rPr>
                <w:rFonts w:ascii="Meta Pro" w:eastAsia="Times New Roman" w:hAnsi="Meta Pro"/>
                <w:sz w:val="20"/>
                <w:szCs w:val="20"/>
                <w:lang w:eastAsia="en-AU"/>
              </w:rPr>
            </w:pPr>
            <w:r w:rsidRPr="008A2B8F">
              <w:rPr>
                <w:rFonts w:ascii="Meta Pro" w:eastAsia="Times New Roman" w:hAnsi="Meta Pro"/>
                <w:sz w:val="20"/>
                <w:szCs w:val="20"/>
                <w:lang w:eastAsia="en-AU"/>
              </w:rPr>
              <w:t> </w:t>
            </w:r>
          </w:p>
        </w:tc>
        <w:tc>
          <w:tcPr>
            <w:tcW w:w="215" w:type="dxa"/>
            <w:tcBorders>
              <w:top w:val="single" w:sz="4" w:space="0" w:color="auto"/>
              <w:left w:val="nil"/>
              <w:bottom w:val="double" w:sz="6" w:space="0" w:color="auto"/>
              <w:right w:val="nil"/>
            </w:tcBorders>
            <w:shd w:val="clear" w:color="auto" w:fill="auto"/>
            <w:noWrap/>
            <w:vAlign w:val="center"/>
            <w:hideMark/>
          </w:tcPr>
          <w:p w14:paraId="0443EE8D" w14:textId="77777777" w:rsidR="00BC5219" w:rsidRPr="008A2B8F" w:rsidRDefault="00BC5219" w:rsidP="00E83802">
            <w:pPr>
              <w:rPr>
                <w:rFonts w:ascii="Meta Pro" w:eastAsia="Times New Roman" w:hAnsi="Meta Pro"/>
                <w:sz w:val="20"/>
                <w:szCs w:val="20"/>
                <w:lang w:eastAsia="en-AU"/>
              </w:rPr>
            </w:pPr>
            <w:r w:rsidRPr="008A2B8F">
              <w:rPr>
                <w:rFonts w:ascii="Meta Pro" w:eastAsia="Times New Roman" w:hAnsi="Meta Pro"/>
                <w:sz w:val="20"/>
                <w:szCs w:val="20"/>
                <w:lang w:eastAsia="en-AU"/>
              </w:rPr>
              <w:t> </w:t>
            </w:r>
          </w:p>
        </w:tc>
        <w:tc>
          <w:tcPr>
            <w:tcW w:w="1134" w:type="dxa"/>
            <w:tcBorders>
              <w:top w:val="single" w:sz="4" w:space="0" w:color="auto"/>
              <w:left w:val="nil"/>
              <w:bottom w:val="double" w:sz="6" w:space="0" w:color="auto"/>
              <w:right w:val="nil"/>
            </w:tcBorders>
            <w:shd w:val="clear" w:color="000000" w:fill="C9E3B4"/>
            <w:noWrap/>
            <w:vAlign w:val="center"/>
            <w:hideMark/>
          </w:tcPr>
          <w:p w14:paraId="3D23550A"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110,742 </w:t>
            </w:r>
          </w:p>
        </w:tc>
        <w:tc>
          <w:tcPr>
            <w:tcW w:w="198" w:type="dxa"/>
            <w:tcBorders>
              <w:top w:val="single" w:sz="4" w:space="0" w:color="auto"/>
              <w:left w:val="nil"/>
              <w:bottom w:val="double" w:sz="6" w:space="0" w:color="auto"/>
              <w:right w:val="nil"/>
            </w:tcBorders>
            <w:shd w:val="clear" w:color="auto" w:fill="auto"/>
            <w:noWrap/>
            <w:vAlign w:val="center"/>
            <w:hideMark/>
          </w:tcPr>
          <w:p w14:paraId="0F8234DB"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 </w:t>
            </w:r>
          </w:p>
        </w:tc>
        <w:tc>
          <w:tcPr>
            <w:tcW w:w="1134" w:type="dxa"/>
            <w:tcBorders>
              <w:top w:val="single" w:sz="4" w:space="0" w:color="auto"/>
              <w:left w:val="nil"/>
              <w:bottom w:val="double" w:sz="6" w:space="0" w:color="auto"/>
              <w:right w:val="nil"/>
            </w:tcBorders>
            <w:shd w:val="clear" w:color="auto" w:fill="auto"/>
            <w:noWrap/>
            <w:vAlign w:val="center"/>
            <w:hideMark/>
          </w:tcPr>
          <w:p w14:paraId="11326F55"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3,370 </w:t>
            </w:r>
          </w:p>
        </w:tc>
      </w:tr>
    </w:tbl>
    <w:p w14:paraId="47C668C1" w14:textId="77777777" w:rsidR="00BC5219" w:rsidRPr="008A2B8F" w:rsidRDefault="00BC5219" w:rsidP="00BC5219">
      <w:pPr>
        <w:rPr>
          <w:rFonts w:ascii="Meta Pro" w:hAnsi="Meta Pro"/>
          <w:szCs w:val="18"/>
          <w:lang w:eastAsia="en-AU"/>
        </w:rPr>
      </w:pPr>
    </w:p>
    <w:p w14:paraId="21ADA1CF" w14:textId="77777777" w:rsidR="00BC5219" w:rsidRPr="008A2B8F" w:rsidRDefault="00BC5219" w:rsidP="00BC5219">
      <w:pPr>
        <w:pStyle w:val="ACPHeading"/>
      </w:pPr>
      <w:r w:rsidRPr="008A2B8F">
        <w:t>Accounting policy</w:t>
      </w:r>
    </w:p>
    <w:p w14:paraId="1D25590B" w14:textId="77777777" w:rsidR="00BC5219" w:rsidRPr="008B607C" w:rsidRDefault="00BC5219" w:rsidP="00BC5219">
      <w:pPr>
        <w:pStyle w:val="ACPPara"/>
        <w:spacing w:after="0"/>
        <w:rPr>
          <w:b/>
          <w:bCs/>
          <w:i/>
          <w:iCs/>
        </w:rPr>
      </w:pPr>
      <w:r w:rsidRPr="008B607C">
        <w:rPr>
          <w:b/>
          <w:bCs/>
          <w:i/>
          <w:iCs/>
        </w:rPr>
        <w:t xml:space="preserve">Right-of-use assets </w:t>
      </w:r>
    </w:p>
    <w:p w14:paraId="3CD5C27A" w14:textId="77777777" w:rsidR="00BC5219" w:rsidRDefault="00BC5219" w:rsidP="00BC5219">
      <w:pPr>
        <w:pStyle w:val="ACPPara"/>
        <w:spacing w:before="120" w:after="0"/>
      </w:pPr>
      <w:r>
        <w:t>Right-of-use assets are initially recognised at cost comprising the following:</w:t>
      </w:r>
    </w:p>
    <w:p w14:paraId="6F92A719" w14:textId="77777777" w:rsidR="00BC5219" w:rsidRDefault="00BC5219" w:rsidP="00BC5219">
      <w:pPr>
        <w:pStyle w:val="ACPPara"/>
        <w:spacing w:after="0"/>
      </w:pPr>
      <w:r>
        <w:t>• the amount of the initial measurement of the lease liability</w:t>
      </w:r>
    </w:p>
    <w:p w14:paraId="68214FAF" w14:textId="77777777" w:rsidR="00BC5219" w:rsidRDefault="00BC5219" w:rsidP="00BC5219">
      <w:pPr>
        <w:pStyle w:val="ACPPara"/>
        <w:spacing w:after="0"/>
      </w:pPr>
      <w:r>
        <w:t>• lease payments made at or before the commencement date, less any lease incentives received</w:t>
      </w:r>
    </w:p>
    <w:p w14:paraId="60FAD21A" w14:textId="77777777" w:rsidR="00BC5219" w:rsidRDefault="00BC5219" w:rsidP="00BC5219">
      <w:pPr>
        <w:pStyle w:val="ACPPara"/>
        <w:spacing w:after="0"/>
      </w:pPr>
      <w:r>
        <w:t>• initial direct costs incurred, and</w:t>
      </w:r>
    </w:p>
    <w:p w14:paraId="115B0E02" w14:textId="77777777" w:rsidR="00BC5219" w:rsidRDefault="00BC5219" w:rsidP="00BC5219">
      <w:pPr>
        <w:pStyle w:val="ACPPara"/>
        <w:spacing w:after="0"/>
      </w:pPr>
      <w:r>
        <w:t>• the initial estimate of restoration costs.</w:t>
      </w:r>
    </w:p>
    <w:p w14:paraId="6D351F0B" w14:textId="77777777" w:rsidR="00BC5219" w:rsidRDefault="00BC5219" w:rsidP="00BC5219">
      <w:pPr>
        <w:pStyle w:val="ACPPara"/>
        <w:spacing w:before="120"/>
      </w:pPr>
      <w:r>
        <w:t>Right-of-use assets are subsequently depreciated over the lease term and be subject to impairment testing on an annual basis.</w:t>
      </w:r>
    </w:p>
    <w:p w14:paraId="29F4CB4E" w14:textId="77777777" w:rsidR="00BC5219" w:rsidRDefault="00BC5219" w:rsidP="00BC5219">
      <w:pPr>
        <w:pStyle w:val="ACPPara"/>
      </w:pPr>
      <w:r>
        <w:t>The carrying amount of right-of-use assets are adjusted for any remeasurement of the lease liability in the financial year following a change in discount rate, a reduction in lease payments payable, changes in variable lease payments that depend upon variable indexes/rates of a change in lease term.</w:t>
      </w:r>
    </w:p>
    <w:p w14:paraId="2F282ECD" w14:textId="77777777" w:rsidR="00BC5219" w:rsidRPr="001218C2" w:rsidRDefault="00BC5219" w:rsidP="00BC5219">
      <w:pPr>
        <w:pStyle w:val="ACPPara"/>
      </w:pPr>
      <w:r w:rsidRPr="008A2B8F">
        <w:t>In accordance with Queensland Treasury policy, the department does not recognise right-of-use assets and lease liabilities from short-term leases and leases of low value assets. Short term leases are for periods less than 12 months and low value assets are those that cost less than $10,000 when new. Payments for these leases are expensed on a straight-line basis over the lease term.</w:t>
      </w:r>
    </w:p>
    <w:p w14:paraId="3398428B" w14:textId="77777777" w:rsidR="00BC5219" w:rsidRDefault="00BC5219" w:rsidP="00BC5219">
      <w:pPr>
        <w:spacing w:line="259" w:lineRule="auto"/>
        <w:rPr>
          <w:rFonts w:ascii="Meta Pro" w:eastAsia="Times New Roman" w:hAnsi="Meta Pro"/>
          <w:i/>
          <w:iCs/>
          <w:color w:val="000000" w:themeColor="text1"/>
          <w:lang w:eastAsia="en-AU"/>
        </w:rPr>
      </w:pPr>
    </w:p>
    <w:p w14:paraId="733DA0B1" w14:textId="77777777" w:rsidR="00BC5219" w:rsidRDefault="00BC5219" w:rsidP="00BC5219">
      <w:pPr>
        <w:spacing w:line="259" w:lineRule="auto"/>
        <w:rPr>
          <w:rFonts w:ascii="Meta Pro" w:eastAsia="Times New Roman" w:hAnsi="Meta Pro"/>
          <w:i/>
          <w:iCs/>
          <w:color w:val="000000" w:themeColor="text1"/>
          <w:lang w:eastAsia="en-AU"/>
        </w:rPr>
      </w:pPr>
    </w:p>
    <w:p w14:paraId="1E4A8A1C" w14:textId="77777777" w:rsidR="00BC5219" w:rsidRDefault="00BC5219" w:rsidP="00BC5219">
      <w:pPr>
        <w:spacing w:line="259" w:lineRule="auto"/>
        <w:rPr>
          <w:rFonts w:ascii="Meta Pro" w:eastAsia="Times New Roman" w:hAnsi="Meta Pro"/>
          <w:i/>
          <w:iCs/>
          <w:color w:val="000000" w:themeColor="text1"/>
          <w:lang w:eastAsia="en-AU"/>
        </w:rPr>
      </w:pPr>
    </w:p>
    <w:p w14:paraId="2CA1058D" w14:textId="77777777" w:rsidR="00BC5219" w:rsidRDefault="00BC5219" w:rsidP="00BC5219">
      <w:pPr>
        <w:spacing w:line="259" w:lineRule="auto"/>
        <w:rPr>
          <w:rFonts w:ascii="Meta Pro" w:eastAsia="Times New Roman" w:hAnsi="Meta Pro"/>
          <w:i/>
          <w:iCs/>
          <w:color w:val="000000" w:themeColor="text1"/>
          <w:lang w:eastAsia="en-AU"/>
        </w:rPr>
      </w:pPr>
    </w:p>
    <w:p w14:paraId="385EC099" w14:textId="77777777" w:rsidR="00BC5219" w:rsidRPr="008A2B8F" w:rsidRDefault="00BC5219" w:rsidP="00BC5219">
      <w:pPr>
        <w:spacing w:line="259" w:lineRule="auto"/>
        <w:rPr>
          <w:rFonts w:ascii="Meta Pro" w:eastAsia="Times New Roman" w:hAnsi="Meta Pro"/>
          <w:i/>
          <w:iCs/>
          <w:color w:val="000000" w:themeColor="text1"/>
          <w:lang w:eastAsia="en-AU"/>
        </w:rPr>
      </w:pPr>
      <w:r w:rsidRPr="008A2B8F">
        <w:rPr>
          <w:rFonts w:ascii="Meta Pro" w:eastAsia="Times New Roman" w:hAnsi="Meta Pro"/>
          <w:i/>
          <w:iCs/>
          <w:color w:val="000000" w:themeColor="text1"/>
          <w:lang w:eastAsia="en-AU"/>
        </w:rPr>
        <w:t>Department of Transport and Main Roads</w:t>
      </w:r>
    </w:p>
    <w:p w14:paraId="260F8746"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Notes to the financial statements 2022–23 (continued)</w:t>
      </w:r>
    </w:p>
    <w:p w14:paraId="3CC54C2A" w14:textId="77777777" w:rsidR="00BC5219" w:rsidRPr="005575F1" w:rsidRDefault="00BC5219" w:rsidP="00BC5219">
      <w:pPr>
        <w:rPr>
          <w:rFonts w:ascii="Meta Pro" w:hAnsi="Meta Pro"/>
          <w:szCs w:val="18"/>
          <w:lang w:eastAsia="en-AU"/>
        </w:rPr>
      </w:pPr>
    </w:p>
    <w:p w14:paraId="7807C8E3" w14:textId="77777777" w:rsidR="00BC5219" w:rsidRPr="005575F1" w:rsidRDefault="00BC5219" w:rsidP="00BC5219">
      <w:pPr>
        <w:spacing w:after="60"/>
        <w:rPr>
          <w:rFonts w:ascii="Meta Pro" w:hAnsi="Meta Pro"/>
          <w:b/>
          <w:bCs/>
          <w:lang w:eastAsia="en-AU"/>
        </w:rPr>
      </w:pPr>
      <w:r w:rsidRPr="005575F1">
        <w:rPr>
          <w:rFonts w:ascii="Meta Pro" w:hAnsi="Meta Pro"/>
          <w:b/>
          <w:bCs/>
          <w:lang w:eastAsia="en-AU"/>
        </w:rPr>
        <w:t>17     LEASES (continued)</w:t>
      </w:r>
    </w:p>
    <w:p w14:paraId="5DB2A04D" w14:textId="77777777" w:rsidR="00BC5219" w:rsidRPr="005575F1" w:rsidRDefault="00BC5219" w:rsidP="00BC5219">
      <w:pPr>
        <w:spacing w:before="60" w:after="60"/>
        <w:rPr>
          <w:rFonts w:ascii="Meta Pro" w:hAnsi="Meta Pro"/>
          <w:b/>
          <w:bCs/>
          <w:sz w:val="20"/>
          <w:szCs w:val="20"/>
          <w:lang w:eastAsia="en-AU"/>
        </w:rPr>
      </w:pPr>
      <w:r w:rsidRPr="005575F1">
        <w:rPr>
          <w:rFonts w:ascii="Meta Pro" w:hAnsi="Meta Pro"/>
          <w:b/>
          <w:bCs/>
          <w:sz w:val="20"/>
          <w:szCs w:val="20"/>
          <w:lang w:eastAsia="en-AU"/>
        </w:rPr>
        <w:t>LEASES AS LESSEE (continued)</w:t>
      </w:r>
    </w:p>
    <w:p w14:paraId="28BCA349" w14:textId="77777777" w:rsidR="00BC5219" w:rsidRPr="005575F1" w:rsidRDefault="00BC5219" w:rsidP="00BC5219">
      <w:pPr>
        <w:pStyle w:val="ACPHeading"/>
      </w:pPr>
      <w:r w:rsidRPr="005575F1">
        <w:t>Accounting policy (continued)</w:t>
      </w:r>
    </w:p>
    <w:p w14:paraId="67D0DDEA" w14:textId="77777777" w:rsidR="00BC5219" w:rsidRPr="005575F1" w:rsidRDefault="00BC5219" w:rsidP="00BC5219">
      <w:pPr>
        <w:pStyle w:val="ACPPara"/>
        <w:spacing w:after="0"/>
        <w:rPr>
          <w:b/>
          <w:bCs/>
          <w:i/>
          <w:iCs/>
        </w:rPr>
      </w:pPr>
      <w:r w:rsidRPr="005575F1">
        <w:rPr>
          <w:b/>
          <w:bCs/>
          <w:i/>
          <w:iCs/>
        </w:rPr>
        <w:t>Lease liabilities</w:t>
      </w:r>
    </w:p>
    <w:p w14:paraId="52DE5544" w14:textId="77777777" w:rsidR="00BC5219" w:rsidRDefault="00BC5219" w:rsidP="00BC5219">
      <w:pPr>
        <w:pStyle w:val="ACPPara"/>
        <w:spacing w:after="0"/>
      </w:pPr>
      <w:r w:rsidRPr="005575F1">
        <w:t>Lease liabilities are initially recognised at the present value of lease payments over the lease term that are not yet paid. The lease term includes any extension or renewal options that the department is reasonably certain to exercise. The future lease payments included in the calculation of the lease liability comprise the following:</w:t>
      </w:r>
      <w:r w:rsidRPr="001218C2">
        <w:t xml:space="preserve"> </w:t>
      </w:r>
    </w:p>
    <w:p w14:paraId="3679E3D3" w14:textId="77777777" w:rsidR="00BC5219" w:rsidRDefault="00BC5219" w:rsidP="00BC5219">
      <w:pPr>
        <w:pStyle w:val="ACPPara"/>
        <w:spacing w:after="0"/>
      </w:pPr>
      <w:r>
        <w:t>• fixed payments (including in-substance fixed payments), less any lease incentives receivable</w:t>
      </w:r>
    </w:p>
    <w:p w14:paraId="7D25F27C" w14:textId="77777777" w:rsidR="00BC5219" w:rsidRDefault="00BC5219" w:rsidP="00BC5219">
      <w:pPr>
        <w:pStyle w:val="ACPPara"/>
        <w:spacing w:after="0"/>
      </w:pPr>
      <w:r>
        <w:t xml:space="preserve">• variable lease payments that depend on an index or rate, initially measured using the index or rate as at the commencement date </w:t>
      </w:r>
    </w:p>
    <w:p w14:paraId="33D48146" w14:textId="77777777" w:rsidR="00BC5219" w:rsidRDefault="00BC5219" w:rsidP="00BC5219">
      <w:pPr>
        <w:pStyle w:val="ACPPara"/>
        <w:spacing w:after="0"/>
      </w:pPr>
      <w:r>
        <w:t>• amounts expected to be payable by the department under residual value guarantees</w:t>
      </w:r>
    </w:p>
    <w:p w14:paraId="7A702894" w14:textId="77777777" w:rsidR="00BC5219" w:rsidRDefault="00BC5219" w:rsidP="00BC5219">
      <w:pPr>
        <w:pStyle w:val="ACPPara"/>
        <w:spacing w:after="0"/>
      </w:pPr>
      <w:r>
        <w:t>• the exercise price of a purchase option that the department is reasonably certain to exercise</w:t>
      </w:r>
    </w:p>
    <w:p w14:paraId="3BD1A0EA" w14:textId="77777777" w:rsidR="00BC5219" w:rsidRPr="005575F1" w:rsidRDefault="00BC5219" w:rsidP="00BC5219">
      <w:pPr>
        <w:pStyle w:val="ACPPara"/>
      </w:pPr>
      <w:r>
        <w:t>• payments for termination penalties, if the lease term reflects the early termination.</w:t>
      </w:r>
    </w:p>
    <w:p w14:paraId="74170141" w14:textId="77777777" w:rsidR="00BC5219" w:rsidRPr="005575F1" w:rsidRDefault="00BC5219" w:rsidP="00BC5219">
      <w:pPr>
        <w:pStyle w:val="ACPPara"/>
        <w:spacing w:after="0"/>
      </w:pPr>
      <w:r w:rsidRPr="005575F1">
        <w:t xml:space="preserve">When measuring the lease liability, the department uses its incremental borrowing rate as the discount rate where the interest rate implicit in the lease cannot be readily determined, which is the case for all of the department's leases under AASB 16 </w:t>
      </w:r>
      <w:r w:rsidRPr="005575F1">
        <w:rPr>
          <w:i/>
          <w:iCs/>
        </w:rPr>
        <w:t>Leases</w:t>
      </w:r>
      <w:r w:rsidRPr="005575F1">
        <w:t xml:space="preserve">. To determine </w:t>
      </w:r>
      <w:r w:rsidRPr="005575F1">
        <w:lastRenderedPageBreak/>
        <w:t>the incremental borrowing rate, the department uses loan rates provided by Queensland Treasury Corporation that correspond to the commencement date and term of the lease.</w:t>
      </w:r>
    </w:p>
    <w:p w14:paraId="3198090F" w14:textId="77777777" w:rsidR="00BC5219" w:rsidRPr="008A2B8F" w:rsidRDefault="00BC5219" w:rsidP="00BC5219">
      <w:pPr>
        <w:pStyle w:val="ACPPara"/>
        <w:spacing w:after="0"/>
      </w:pPr>
    </w:p>
    <w:p w14:paraId="30A05466" w14:textId="77777777" w:rsidR="00BC5219" w:rsidRPr="008A2B8F" w:rsidRDefault="00BC5219" w:rsidP="00BC5219">
      <w:pPr>
        <w:spacing w:before="120" w:after="120"/>
        <w:rPr>
          <w:rFonts w:ascii="Meta Pro" w:hAnsi="Meta Pro"/>
          <w:b/>
          <w:bCs/>
          <w:szCs w:val="18"/>
          <w:lang w:eastAsia="en-AU"/>
        </w:rPr>
      </w:pPr>
      <w:r w:rsidRPr="008A2B8F">
        <w:rPr>
          <w:rFonts w:ascii="Meta Pro" w:hAnsi="Meta Pro"/>
          <w:b/>
          <w:bCs/>
          <w:szCs w:val="18"/>
          <w:lang w:eastAsia="en-AU"/>
        </w:rPr>
        <w:t>Details of leasing arrangements as lessee</w:t>
      </w:r>
    </w:p>
    <w:tbl>
      <w:tblPr>
        <w:tblW w:w="0" w:type="auto"/>
        <w:tblLayout w:type="fixed"/>
        <w:tblCellMar>
          <w:left w:w="57" w:type="dxa"/>
        </w:tblCellMar>
        <w:tblLook w:val="04A0" w:firstRow="1" w:lastRow="0" w:firstColumn="1" w:lastColumn="0" w:noHBand="0" w:noVBand="1"/>
      </w:tblPr>
      <w:tblGrid>
        <w:gridCol w:w="2268"/>
        <w:gridCol w:w="7938"/>
      </w:tblGrid>
      <w:tr w:rsidR="00BC5219" w:rsidRPr="008A2B8F" w14:paraId="0E9D8849" w14:textId="77777777" w:rsidTr="00E83802">
        <w:trPr>
          <w:trHeight w:val="701"/>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11D29FA1" w14:textId="77777777" w:rsidR="00BC5219" w:rsidRPr="008A2B8F" w:rsidRDefault="00BC5219" w:rsidP="00E83802">
            <w:pPr>
              <w:rPr>
                <w:rFonts w:ascii="Meta Pro" w:eastAsia="Times New Roman" w:hAnsi="Meta Pro" w:cs="Calibri"/>
                <w:szCs w:val="18"/>
                <w:lang w:eastAsia="en-AU"/>
              </w:rPr>
            </w:pPr>
            <w:r w:rsidRPr="008A2B8F">
              <w:rPr>
                <w:rFonts w:ascii="Meta Pro" w:eastAsia="Times New Roman" w:hAnsi="Meta Pro" w:cs="Calibri"/>
                <w:szCs w:val="18"/>
                <w:lang w:eastAsia="en-AU"/>
              </w:rPr>
              <w:t>Land</w:t>
            </w:r>
          </w:p>
        </w:tc>
        <w:tc>
          <w:tcPr>
            <w:tcW w:w="7938" w:type="dxa"/>
            <w:tcBorders>
              <w:top w:val="single" w:sz="4" w:space="0" w:color="auto"/>
              <w:left w:val="nil"/>
              <w:bottom w:val="single" w:sz="4" w:space="0" w:color="auto"/>
              <w:right w:val="single" w:sz="4" w:space="0" w:color="auto"/>
            </w:tcBorders>
            <w:shd w:val="clear" w:color="auto" w:fill="auto"/>
            <w:hideMark/>
          </w:tcPr>
          <w:p w14:paraId="58429D68" w14:textId="77777777" w:rsidR="00BC5219" w:rsidRPr="008A2B8F" w:rsidRDefault="00BC5219" w:rsidP="00E83802">
            <w:pPr>
              <w:rPr>
                <w:rFonts w:ascii="Meta Pro" w:eastAsia="Times New Roman" w:hAnsi="Meta Pro" w:cs="Calibri"/>
                <w:szCs w:val="18"/>
                <w:lang w:eastAsia="en-AU"/>
              </w:rPr>
            </w:pPr>
            <w:r w:rsidRPr="008A2B8F">
              <w:rPr>
                <w:rFonts w:ascii="Meta Pro" w:eastAsia="Times New Roman" w:hAnsi="Meta Pro" w:cs="Calibri"/>
                <w:szCs w:val="18"/>
                <w:lang w:eastAsia="en-AU"/>
              </w:rPr>
              <w:t xml:space="preserve">The department enters into land leases as a lessee at commercial terms in order to carry out its community objectives. The department also enters into legislative perpetual leases principally to further enhance the department's objectives. </w:t>
            </w:r>
          </w:p>
        </w:tc>
      </w:tr>
      <w:tr w:rsidR="00BC5219" w:rsidRPr="008A2B8F" w14:paraId="35D74916" w14:textId="77777777" w:rsidTr="00E83802">
        <w:trPr>
          <w:trHeight w:val="960"/>
        </w:trPr>
        <w:tc>
          <w:tcPr>
            <w:tcW w:w="2268" w:type="dxa"/>
            <w:tcBorders>
              <w:top w:val="nil"/>
              <w:left w:val="single" w:sz="4" w:space="0" w:color="auto"/>
              <w:bottom w:val="single" w:sz="4" w:space="0" w:color="auto"/>
              <w:right w:val="single" w:sz="4" w:space="0" w:color="auto"/>
            </w:tcBorders>
            <w:shd w:val="clear" w:color="auto" w:fill="auto"/>
            <w:hideMark/>
          </w:tcPr>
          <w:p w14:paraId="4C820267" w14:textId="77777777" w:rsidR="00BC5219" w:rsidRPr="008A2B8F" w:rsidRDefault="00BC5219" w:rsidP="00E83802">
            <w:pPr>
              <w:rPr>
                <w:rFonts w:ascii="Meta Pro" w:eastAsia="Times New Roman" w:hAnsi="Meta Pro" w:cs="Calibri"/>
                <w:szCs w:val="18"/>
                <w:lang w:eastAsia="en-AU"/>
              </w:rPr>
            </w:pPr>
            <w:r w:rsidRPr="008A2B8F">
              <w:rPr>
                <w:rFonts w:ascii="Meta Pro" w:eastAsia="Times New Roman" w:hAnsi="Meta Pro" w:cs="Calibri"/>
                <w:szCs w:val="18"/>
                <w:lang w:eastAsia="en-AU"/>
              </w:rPr>
              <w:t>Buildings</w:t>
            </w:r>
          </w:p>
        </w:tc>
        <w:tc>
          <w:tcPr>
            <w:tcW w:w="7938" w:type="dxa"/>
            <w:tcBorders>
              <w:top w:val="nil"/>
              <w:left w:val="nil"/>
              <w:bottom w:val="single" w:sz="4" w:space="0" w:color="auto"/>
              <w:right w:val="single" w:sz="4" w:space="0" w:color="auto"/>
            </w:tcBorders>
            <w:shd w:val="clear" w:color="auto" w:fill="auto"/>
            <w:hideMark/>
          </w:tcPr>
          <w:p w14:paraId="32A317DD" w14:textId="77777777" w:rsidR="00BC5219" w:rsidRPr="008A2B8F" w:rsidRDefault="00BC5219" w:rsidP="00E83802">
            <w:pPr>
              <w:rPr>
                <w:rFonts w:ascii="Meta Pro" w:eastAsia="Times New Roman" w:hAnsi="Meta Pro" w:cs="Calibri"/>
                <w:szCs w:val="18"/>
                <w:lang w:eastAsia="en-AU"/>
              </w:rPr>
            </w:pPr>
            <w:r w:rsidRPr="008A2B8F">
              <w:rPr>
                <w:rFonts w:ascii="Meta Pro" w:eastAsia="Times New Roman" w:hAnsi="Meta Pro" w:cs="Calibri"/>
                <w:szCs w:val="18"/>
                <w:lang w:eastAsia="en-AU"/>
              </w:rPr>
              <w:t xml:space="preserve">The department enters into residential property leases to accommodate its employees when government employee housing facilities are not readily available. The majority of staff accommodation is in regional Queensland. The lease terms range from 12 months to 2 years. The department has also entered into a commercial lease of </w:t>
            </w:r>
            <w:r>
              <w:rPr>
                <w:rFonts w:ascii="Meta Pro" w:eastAsia="Times New Roman" w:hAnsi="Meta Pro" w:cs="Calibri"/>
                <w:szCs w:val="18"/>
                <w:lang w:eastAsia="en-AU"/>
              </w:rPr>
              <w:t xml:space="preserve">a </w:t>
            </w:r>
            <w:r w:rsidRPr="008A2B8F">
              <w:rPr>
                <w:rFonts w:ascii="Meta Pro" w:eastAsia="Times New Roman" w:hAnsi="Meta Pro" w:cs="Calibri"/>
                <w:szCs w:val="18"/>
                <w:lang w:eastAsia="en-AU"/>
              </w:rPr>
              <w:t>data centre for the housing of information, communication and technology equipment.</w:t>
            </w:r>
          </w:p>
        </w:tc>
      </w:tr>
      <w:tr w:rsidR="00BC5219" w:rsidRPr="008A2B8F" w14:paraId="10F8728E" w14:textId="77777777" w:rsidTr="00E83802">
        <w:trPr>
          <w:trHeight w:val="720"/>
        </w:trPr>
        <w:tc>
          <w:tcPr>
            <w:tcW w:w="2268" w:type="dxa"/>
            <w:tcBorders>
              <w:top w:val="nil"/>
              <w:left w:val="single" w:sz="4" w:space="0" w:color="auto"/>
              <w:bottom w:val="single" w:sz="4" w:space="0" w:color="auto"/>
              <w:right w:val="single" w:sz="4" w:space="0" w:color="auto"/>
            </w:tcBorders>
            <w:shd w:val="clear" w:color="auto" w:fill="auto"/>
            <w:hideMark/>
          </w:tcPr>
          <w:p w14:paraId="1F1B95A1" w14:textId="77777777" w:rsidR="00BC5219" w:rsidRPr="008A2B8F" w:rsidRDefault="00BC5219" w:rsidP="00E83802">
            <w:pPr>
              <w:rPr>
                <w:rFonts w:ascii="Meta Pro" w:eastAsia="Times New Roman" w:hAnsi="Meta Pro" w:cs="Calibri"/>
                <w:szCs w:val="18"/>
                <w:lang w:eastAsia="en-AU"/>
              </w:rPr>
            </w:pPr>
            <w:r w:rsidRPr="008A2B8F">
              <w:rPr>
                <w:rFonts w:ascii="Meta Pro" w:eastAsia="Times New Roman" w:hAnsi="Meta Pro" w:cs="Calibri"/>
                <w:szCs w:val="18"/>
                <w:lang w:eastAsia="en-AU"/>
              </w:rPr>
              <w:t>Plant and equipment</w:t>
            </w:r>
          </w:p>
        </w:tc>
        <w:tc>
          <w:tcPr>
            <w:tcW w:w="7938" w:type="dxa"/>
            <w:tcBorders>
              <w:top w:val="nil"/>
              <w:left w:val="nil"/>
              <w:bottom w:val="single" w:sz="4" w:space="0" w:color="auto"/>
              <w:right w:val="single" w:sz="4" w:space="0" w:color="auto"/>
            </w:tcBorders>
            <w:shd w:val="clear" w:color="auto" w:fill="auto"/>
            <w:hideMark/>
          </w:tcPr>
          <w:p w14:paraId="004803A7" w14:textId="77777777" w:rsidR="00BC5219" w:rsidRPr="008A2B8F" w:rsidRDefault="00BC5219" w:rsidP="00E83802">
            <w:pPr>
              <w:rPr>
                <w:rFonts w:ascii="Meta Pro" w:eastAsia="Times New Roman" w:hAnsi="Meta Pro" w:cs="Calibri"/>
                <w:szCs w:val="18"/>
                <w:lang w:eastAsia="en-AU"/>
              </w:rPr>
            </w:pPr>
            <w:r>
              <w:rPr>
                <w:rFonts w:ascii="Meta Pro" w:eastAsia="Times New Roman" w:hAnsi="Meta Pro" w:cs="Calibri"/>
                <w:szCs w:val="18"/>
                <w:lang w:eastAsia="en-AU"/>
              </w:rPr>
              <w:t>Following the 18 May 2023 machinery-of-government change t</w:t>
            </w:r>
            <w:r w:rsidRPr="008A2B8F">
              <w:rPr>
                <w:rFonts w:ascii="Meta Pro" w:eastAsia="Times New Roman" w:hAnsi="Meta Pro" w:cs="Calibri"/>
                <w:szCs w:val="18"/>
                <w:lang w:eastAsia="en-AU"/>
              </w:rPr>
              <w:t xml:space="preserve">he department's leasing activities include the Government Wireless </w:t>
            </w:r>
            <w:r>
              <w:rPr>
                <w:rFonts w:ascii="Meta Pro" w:eastAsia="Times New Roman" w:hAnsi="Meta Pro" w:cs="Calibri"/>
                <w:szCs w:val="18"/>
                <w:lang w:eastAsia="en-AU"/>
              </w:rPr>
              <w:t>N</w:t>
            </w:r>
            <w:r w:rsidRPr="008A2B8F">
              <w:rPr>
                <w:rFonts w:ascii="Meta Pro" w:eastAsia="Times New Roman" w:hAnsi="Meta Pro" w:cs="Calibri"/>
                <w:szCs w:val="18"/>
                <w:lang w:eastAsia="en-AU"/>
              </w:rPr>
              <w:t xml:space="preserve">etwork, a digital radio network provisioned, operated and maintained by a telecommunication service provider under a service agreement </w:t>
            </w:r>
            <w:r>
              <w:rPr>
                <w:rFonts w:ascii="Meta Pro" w:eastAsia="Times New Roman" w:hAnsi="Meta Pro" w:cs="Calibri"/>
                <w:szCs w:val="18"/>
                <w:lang w:eastAsia="en-AU"/>
              </w:rPr>
              <w:t xml:space="preserve">created in </w:t>
            </w:r>
            <w:r w:rsidRPr="008A2B8F">
              <w:rPr>
                <w:rFonts w:ascii="Meta Pro" w:eastAsia="Times New Roman" w:hAnsi="Meta Pro" w:cs="Calibri"/>
                <w:szCs w:val="18"/>
                <w:lang w:eastAsia="en-AU"/>
              </w:rPr>
              <w:t xml:space="preserve">September 2013. The lease is a means of funding the acquisition and replacement of information and communication equipment. </w:t>
            </w:r>
          </w:p>
          <w:p w14:paraId="65C0E00D" w14:textId="77777777" w:rsidR="00BC5219" w:rsidRPr="008A2B8F" w:rsidRDefault="00BC5219" w:rsidP="00E83802">
            <w:pPr>
              <w:spacing w:line="60" w:lineRule="auto"/>
              <w:rPr>
                <w:rFonts w:ascii="Meta Pro" w:eastAsia="Times New Roman" w:hAnsi="Meta Pro" w:cs="Calibri"/>
                <w:szCs w:val="18"/>
                <w:lang w:eastAsia="en-AU"/>
              </w:rPr>
            </w:pPr>
          </w:p>
          <w:p w14:paraId="33605061" w14:textId="77777777" w:rsidR="00BC5219" w:rsidRPr="008A2B8F" w:rsidRDefault="00BC5219" w:rsidP="00E83802">
            <w:pPr>
              <w:rPr>
                <w:rFonts w:ascii="Meta Pro" w:eastAsia="Times New Roman" w:hAnsi="Meta Pro" w:cs="Calibri"/>
                <w:szCs w:val="18"/>
                <w:lang w:eastAsia="en-AU"/>
              </w:rPr>
            </w:pPr>
            <w:r w:rsidRPr="008A2B8F">
              <w:rPr>
                <w:rFonts w:ascii="Meta Pro" w:eastAsia="Times New Roman" w:hAnsi="Meta Pro" w:cs="Calibri"/>
                <w:szCs w:val="18"/>
                <w:lang w:eastAsia="en-AU"/>
              </w:rPr>
              <w:t xml:space="preserve">The department also enters into </w:t>
            </w:r>
            <w:r>
              <w:rPr>
                <w:rFonts w:ascii="Meta Pro" w:eastAsia="Times New Roman" w:hAnsi="Meta Pro" w:cs="Calibri"/>
                <w:szCs w:val="18"/>
                <w:lang w:eastAsia="en-AU"/>
              </w:rPr>
              <w:t xml:space="preserve">various </w:t>
            </w:r>
            <w:r w:rsidRPr="008A2B8F">
              <w:rPr>
                <w:rFonts w:ascii="Meta Pro" w:eastAsia="Times New Roman" w:hAnsi="Meta Pro" w:cs="Calibri"/>
                <w:szCs w:val="18"/>
                <w:lang w:eastAsia="en-AU"/>
              </w:rPr>
              <w:t>other plant and equipment lease agreements with external parties to fulfil its operational requirements. The lease terms range from 12 months to 5 years.</w:t>
            </w:r>
          </w:p>
        </w:tc>
      </w:tr>
    </w:tbl>
    <w:p w14:paraId="264F78D8" w14:textId="77777777" w:rsidR="00BC5219" w:rsidRPr="00CD1531" w:rsidRDefault="00BC5219" w:rsidP="00BC5219">
      <w:pPr>
        <w:spacing w:before="60" w:line="259" w:lineRule="auto"/>
        <w:rPr>
          <w:rFonts w:ascii="Meta Pro" w:eastAsia="Times New Roman" w:hAnsi="Meta Pro"/>
          <w:b/>
          <w:bCs/>
          <w:color w:val="000000" w:themeColor="text1"/>
          <w:szCs w:val="18"/>
          <w:lang w:eastAsia="en-AU"/>
        </w:rPr>
      </w:pPr>
      <w:r w:rsidRPr="00CD1531">
        <w:rPr>
          <w:rFonts w:ascii="Meta Pro" w:eastAsia="Times New Roman" w:hAnsi="Meta Pro"/>
          <w:b/>
          <w:bCs/>
          <w:color w:val="000000" w:themeColor="text1"/>
          <w:szCs w:val="18"/>
          <w:lang w:eastAsia="en-AU"/>
        </w:rPr>
        <w:t xml:space="preserve">Office accommodation, employee housing and motor vehicles </w:t>
      </w:r>
    </w:p>
    <w:p w14:paraId="51DBC657" w14:textId="77777777" w:rsidR="00BC5219" w:rsidRPr="001218C2" w:rsidRDefault="00BC5219" w:rsidP="00BC5219">
      <w:pPr>
        <w:spacing w:before="60" w:after="60" w:line="259" w:lineRule="auto"/>
        <w:rPr>
          <w:rFonts w:ascii="Meta Pro" w:eastAsia="Times New Roman" w:hAnsi="Meta Pro"/>
          <w:color w:val="000000" w:themeColor="text1"/>
          <w:szCs w:val="18"/>
          <w:lang w:eastAsia="en-AU"/>
        </w:rPr>
      </w:pPr>
      <w:r w:rsidRPr="00CD1531">
        <w:rPr>
          <w:rFonts w:ascii="Meta Pro" w:eastAsia="Times New Roman" w:hAnsi="Meta Pro"/>
          <w:color w:val="000000" w:themeColor="text1"/>
          <w:szCs w:val="18"/>
          <w:lang w:eastAsia="en-AU"/>
        </w:rPr>
        <w:t>The Department of Energy and Public Works (EPW) provides the department with access to office accommodation, employee housing and motor vehicles under government-wide frameworks. These arrangements are categorised as procurement of services rather than as leases because EPW has substantive substitution rights over the assets.</w:t>
      </w:r>
      <w:r>
        <w:rPr>
          <w:rFonts w:ascii="Meta Pro" w:eastAsia="Times New Roman" w:hAnsi="Meta Pro"/>
          <w:color w:val="000000" w:themeColor="text1"/>
          <w:szCs w:val="18"/>
          <w:lang w:eastAsia="en-AU"/>
        </w:rPr>
        <w:t xml:space="preserve"> Refer to Note 7.</w:t>
      </w:r>
    </w:p>
    <w:tbl>
      <w:tblPr>
        <w:tblW w:w="0" w:type="auto"/>
        <w:tblCellMar>
          <w:left w:w="0" w:type="dxa"/>
        </w:tblCellMar>
        <w:tblLook w:val="04A0" w:firstRow="1" w:lastRow="0" w:firstColumn="1" w:lastColumn="0" w:noHBand="0" w:noVBand="1"/>
      </w:tblPr>
      <w:tblGrid>
        <w:gridCol w:w="5780"/>
        <w:gridCol w:w="931"/>
        <w:gridCol w:w="1001"/>
        <w:gridCol w:w="199"/>
        <w:gridCol w:w="1047"/>
        <w:gridCol w:w="199"/>
        <w:gridCol w:w="1047"/>
      </w:tblGrid>
      <w:tr w:rsidR="00BC5219" w:rsidRPr="005575F1" w14:paraId="353F0B13" w14:textId="77777777" w:rsidTr="00E83802">
        <w:trPr>
          <w:trHeight w:val="198"/>
        </w:trPr>
        <w:tc>
          <w:tcPr>
            <w:tcW w:w="6116" w:type="dxa"/>
            <w:tcBorders>
              <w:top w:val="nil"/>
              <w:left w:val="nil"/>
              <w:bottom w:val="nil"/>
              <w:right w:val="nil"/>
            </w:tcBorders>
            <w:shd w:val="clear" w:color="auto" w:fill="auto"/>
            <w:noWrap/>
            <w:vAlign w:val="center"/>
            <w:hideMark/>
          </w:tcPr>
          <w:p w14:paraId="7754E991" w14:textId="77777777" w:rsidR="00BC5219" w:rsidRPr="005575F1" w:rsidRDefault="00BC5219" w:rsidP="00E83802">
            <w:pPr>
              <w:rPr>
                <w:rFonts w:ascii="Times New Roman" w:eastAsia="Times New Roman" w:hAnsi="Times New Roman" w:cs="Times New Roman"/>
                <w:sz w:val="24"/>
                <w:szCs w:val="24"/>
                <w:lang w:eastAsia="en-AU"/>
              </w:rPr>
            </w:pPr>
          </w:p>
        </w:tc>
        <w:tc>
          <w:tcPr>
            <w:tcW w:w="973" w:type="dxa"/>
            <w:tcBorders>
              <w:top w:val="nil"/>
              <w:left w:val="nil"/>
              <w:bottom w:val="nil"/>
              <w:right w:val="nil"/>
            </w:tcBorders>
            <w:shd w:val="clear" w:color="auto" w:fill="auto"/>
            <w:hideMark/>
          </w:tcPr>
          <w:p w14:paraId="0F916A72" w14:textId="77777777" w:rsidR="00BC5219" w:rsidRPr="005575F1" w:rsidRDefault="00BC5219" w:rsidP="00E83802">
            <w:pPr>
              <w:rPr>
                <w:rFonts w:ascii="Times New Roman" w:eastAsia="Times New Roman" w:hAnsi="Times New Roman" w:cs="Times New Roman"/>
                <w:sz w:val="20"/>
                <w:szCs w:val="20"/>
                <w:lang w:eastAsia="en-AU"/>
              </w:rPr>
            </w:pPr>
          </w:p>
        </w:tc>
        <w:tc>
          <w:tcPr>
            <w:tcW w:w="1047" w:type="dxa"/>
            <w:tcBorders>
              <w:top w:val="nil"/>
              <w:left w:val="nil"/>
              <w:bottom w:val="nil"/>
              <w:right w:val="nil"/>
            </w:tcBorders>
            <w:shd w:val="clear" w:color="auto" w:fill="auto"/>
            <w:hideMark/>
          </w:tcPr>
          <w:p w14:paraId="58AD5A2D" w14:textId="77777777" w:rsidR="00BC5219" w:rsidRPr="005575F1" w:rsidRDefault="00BC5219" w:rsidP="00E83802">
            <w:pPr>
              <w:jc w:val="center"/>
              <w:rPr>
                <w:rFonts w:ascii="Meta Pro" w:eastAsia="Times New Roman" w:hAnsi="Meta Pro"/>
                <w:b/>
                <w:bCs/>
                <w:sz w:val="20"/>
                <w:szCs w:val="20"/>
                <w:lang w:eastAsia="en-AU"/>
              </w:rPr>
            </w:pPr>
            <w:r w:rsidRPr="005575F1">
              <w:rPr>
                <w:rFonts w:ascii="Meta Pro" w:eastAsia="Times New Roman" w:hAnsi="Meta Pro"/>
                <w:b/>
                <w:bCs/>
                <w:sz w:val="20"/>
                <w:szCs w:val="20"/>
                <w:lang w:eastAsia="en-AU"/>
              </w:rPr>
              <w:t>Note</w:t>
            </w:r>
          </w:p>
        </w:tc>
        <w:tc>
          <w:tcPr>
            <w:tcW w:w="196" w:type="dxa"/>
            <w:tcBorders>
              <w:top w:val="nil"/>
              <w:left w:val="nil"/>
              <w:bottom w:val="nil"/>
              <w:right w:val="nil"/>
            </w:tcBorders>
            <w:shd w:val="clear" w:color="auto" w:fill="auto"/>
            <w:noWrap/>
            <w:hideMark/>
          </w:tcPr>
          <w:p w14:paraId="0D69441F" w14:textId="77777777" w:rsidR="00BC5219" w:rsidRPr="005575F1" w:rsidRDefault="00BC5219" w:rsidP="00E83802">
            <w:pPr>
              <w:jc w:val="center"/>
              <w:rPr>
                <w:rFonts w:ascii="Meta Pro" w:eastAsia="Times New Roman" w:hAnsi="Meta Pro"/>
                <w:b/>
                <w:bCs/>
                <w:sz w:val="20"/>
                <w:szCs w:val="20"/>
                <w:lang w:eastAsia="en-AU"/>
              </w:rPr>
            </w:pPr>
          </w:p>
        </w:tc>
        <w:tc>
          <w:tcPr>
            <w:tcW w:w="1096" w:type="dxa"/>
            <w:tcBorders>
              <w:top w:val="nil"/>
              <w:left w:val="nil"/>
              <w:bottom w:val="nil"/>
              <w:right w:val="nil"/>
            </w:tcBorders>
            <w:shd w:val="clear" w:color="auto" w:fill="auto"/>
            <w:noWrap/>
            <w:vAlign w:val="center"/>
            <w:hideMark/>
          </w:tcPr>
          <w:p w14:paraId="1A670F96" w14:textId="77777777" w:rsidR="00BC5219" w:rsidRPr="005575F1" w:rsidRDefault="00BC5219" w:rsidP="00E83802">
            <w:pPr>
              <w:jc w:val="center"/>
              <w:rPr>
                <w:rFonts w:ascii="Meta Pro" w:eastAsia="Times New Roman" w:hAnsi="Meta Pro"/>
                <w:b/>
                <w:bCs/>
                <w:color w:val="000000"/>
                <w:sz w:val="20"/>
                <w:szCs w:val="20"/>
                <w:lang w:eastAsia="en-AU"/>
              </w:rPr>
            </w:pPr>
            <w:r w:rsidRPr="005575F1">
              <w:rPr>
                <w:rFonts w:ascii="Meta Pro" w:eastAsia="Times New Roman" w:hAnsi="Meta Pro"/>
                <w:b/>
                <w:bCs/>
                <w:color w:val="000000"/>
                <w:sz w:val="20"/>
                <w:szCs w:val="20"/>
                <w:lang w:eastAsia="en-AU"/>
              </w:rPr>
              <w:t>2023</w:t>
            </w:r>
          </w:p>
        </w:tc>
        <w:tc>
          <w:tcPr>
            <w:tcW w:w="196" w:type="dxa"/>
            <w:tcBorders>
              <w:top w:val="nil"/>
              <w:left w:val="nil"/>
              <w:bottom w:val="nil"/>
              <w:right w:val="nil"/>
            </w:tcBorders>
            <w:shd w:val="clear" w:color="auto" w:fill="auto"/>
            <w:noWrap/>
            <w:hideMark/>
          </w:tcPr>
          <w:p w14:paraId="7ECDBB6A" w14:textId="77777777" w:rsidR="00BC5219" w:rsidRPr="005575F1" w:rsidRDefault="00BC5219" w:rsidP="00E83802">
            <w:pPr>
              <w:jc w:val="center"/>
              <w:rPr>
                <w:rFonts w:ascii="Meta Pro" w:eastAsia="Times New Roman" w:hAnsi="Meta Pro"/>
                <w:b/>
                <w:bCs/>
                <w:color w:val="000000"/>
                <w:sz w:val="20"/>
                <w:szCs w:val="20"/>
                <w:lang w:eastAsia="en-AU"/>
              </w:rPr>
            </w:pPr>
          </w:p>
        </w:tc>
        <w:tc>
          <w:tcPr>
            <w:tcW w:w="1096" w:type="dxa"/>
            <w:tcBorders>
              <w:top w:val="nil"/>
              <w:left w:val="nil"/>
              <w:bottom w:val="nil"/>
              <w:right w:val="nil"/>
            </w:tcBorders>
            <w:shd w:val="clear" w:color="auto" w:fill="auto"/>
            <w:noWrap/>
            <w:vAlign w:val="center"/>
            <w:hideMark/>
          </w:tcPr>
          <w:p w14:paraId="359BCE1D" w14:textId="77777777" w:rsidR="00BC5219" w:rsidRPr="005575F1" w:rsidRDefault="00BC5219" w:rsidP="00E83802">
            <w:pPr>
              <w:jc w:val="center"/>
              <w:rPr>
                <w:rFonts w:ascii="Meta Pro" w:eastAsia="Times New Roman" w:hAnsi="Meta Pro"/>
                <w:b/>
                <w:bCs/>
                <w:color w:val="000000"/>
                <w:sz w:val="20"/>
                <w:szCs w:val="20"/>
                <w:lang w:eastAsia="en-AU"/>
              </w:rPr>
            </w:pPr>
            <w:r w:rsidRPr="005575F1">
              <w:rPr>
                <w:rFonts w:ascii="Meta Pro" w:eastAsia="Times New Roman" w:hAnsi="Meta Pro"/>
                <w:b/>
                <w:bCs/>
                <w:color w:val="000000"/>
                <w:sz w:val="20"/>
                <w:szCs w:val="20"/>
                <w:lang w:eastAsia="en-AU"/>
              </w:rPr>
              <w:t>2022</w:t>
            </w:r>
          </w:p>
        </w:tc>
      </w:tr>
      <w:tr w:rsidR="00BC5219" w:rsidRPr="005575F1" w14:paraId="137CA9BA" w14:textId="77777777" w:rsidTr="00E83802">
        <w:trPr>
          <w:trHeight w:val="198"/>
        </w:trPr>
        <w:tc>
          <w:tcPr>
            <w:tcW w:w="6116" w:type="dxa"/>
            <w:tcBorders>
              <w:top w:val="nil"/>
              <w:left w:val="nil"/>
              <w:bottom w:val="nil"/>
              <w:right w:val="nil"/>
            </w:tcBorders>
            <w:shd w:val="clear" w:color="auto" w:fill="auto"/>
            <w:noWrap/>
            <w:vAlign w:val="center"/>
            <w:hideMark/>
          </w:tcPr>
          <w:p w14:paraId="4E9897E4" w14:textId="77777777" w:rsidR="00BC5219" w:rsidRPr="005575F1" w:rsidRDefault="00BC5219" w:rsidP="00E83802">
            <w:pPr>
              <w:jc w:val="center"/>
              <w:rPr>
                <w:rFonts w:ascii="Meta Pro" w:eastAsia="Times New Roman" w:hAnsi="Meta Pro"/>
                <w:b/>
                <w:bCs/>
                <w:color w:val="000000"/>
                <w:sz w:val="20"/>
                <w:szCs w:val="20"/>
                <w:lang w:eastAsia="en-AU"/>
              </w:rPr>
            </w:pPr>
          </w:p>
        </w:tc>
        <w:tc>
          <w:tcPr>
            <w:tcW w:w="973" w:type="dxa"/>
            <w:tcBorders>
              <w:top w:val="nil"/>
              <w:left w:val="nil"/>
              <w:bottom w:val="nil"/>
              <w:right w:val="nil"/>
            </w:tcBorders>
            <w:shd w:val="clear" w:color="auto" w:fill="auto"/>
            <w:vAlign w:val="center"/>
            <w:hideMark/>
          </w:tcPr>
          <w:p w14:paraId="4F07E450" w14:textId="77777777" w:rsidR="00BC5219" w:rsidRPr="005575F1" w:rsidRDefault="00BC5219" w:rsidP="00E83802">
            <w:pPr>
              <w:rPr>
                <w:rFonts w:ascii="Times New Roman" w:eastAsia="Times New Roman" w:hAnsi="Times New Roman" w:cs="Times New Roman"/>
                <w:sz w:val="20"/>
                <w:szCs w:val="20"/>
                <w:lang w:eastAsia="en-AU"/>
              </w:rPr>
            </w:pPr>
          </w:p>
        </w:tc>
        <w:tc>
          <w:tcPr>
            <w:tcW w:w="1047" w:type="dxa"/>
            <w:tcBorders>
              <w:top w:val="nil"/>
              <w:left w:val="nil"/>
              <w:bottom w:val="nil"/>
              <w:right w:val="nil"/>
            </w:tcBorders>
            <w:shd w:val="clear" w:color="auto" w:fill="auto"/>
            <w:vAlign w:val="center"/>
            <w:hideMark/>
          </w:tcPr>
          <w:p w14:paraId="7CCEACC5" w14:textId="77777777" w:rsidR="00BC5219" w:rsidRPr="005575F1" w:rsidRDefault="00BC5219" w:rsidP="00E83802">
            <w:pPr>
              <w:jc w:val="center"/>
              <w:rPr>
                <w:rFonts w:ascii="Times New Roman" w:eastAsia="Times New Roman" w:hAnsi="Times New Roman" w:cs="Times New Roman"/>
                <w:sz w:val="20"/>
                <w:szCs w:val="20"/>
                <w:lang w:eastAsia="en-AU"/>
              </w:rPr>
            </w:pPr>
          </w:p>
        </w:tc>
        <w:tc>
          <w:tcPr>
            <w:tcW w:w="196" w:type="dxa"/>
            <w:tcBorders>
              <w:top w:val="nil"/>
              <w:left w:val="nil"/>
              <w:bottom w:val="nil"/>
              <w:right w:val="nil"/>
            </w:tcBorders>
            <w:shd w:val="clear" w:color="auto" w:fill="auto"/>
            <w:noWrap/>
            <w:hideMark/>
          </w:tcPr>
          <w:p w14:paraId="1FC70E5C" w14:textId="77777777" w:rsidR="00BC5219" w:rsidRPr="005575F1" w:rsidRDefault="00BC5219" w:rsidP="00E83802">
            <w:pPr>
              <w:jc w:val="center"/>
              <w:rPr>
                <w:rFonts w:ascii="Times New Roman" w:eastAsia="Times New Roman" w:hAnsi="Times New Roman" w:cs="Times New Roman"/>
                <w:sz w:val="20"/>
                <w:szCs w:val="20"/>
                <w:lang w:eastAsia="en-AU"/>
              </w:rPr>
            </w:pPr>
          </w:p>
        </w:tc>
        <w:tc>
          <w:tcPr>
            <w:tcW w:w="1096" w:type="dxa"/>
            <w:tcBorders>
              <w:top w:val="nil"/>
              <w:left w:val="nil"/>
              <w:bottom w:val="nil"/>
              <w:right w:val="nil"/>
            </w:tcBorders>
            <w:shd w:val="clear" w:color="auto" w:fill="auto"/>
            <w:noWrap/>
            <w:vAlign w:val="center"/>
            <w:hideMark/>
          </w:tcPr>
          <w:p w14:paraId="327E9E96" w14:textId="77777777" w:rsidR="00BC5219" w:rsidRPr="005575F1" w:rsidRDefault="00BC5219" w:rsidP="00E83802">
            <w:pPr>
              <w:jc w:val="center"/>
              <w:rPr>
                <w:rFonts w:ascii="Meta Pro" w:eastAsia="Times New Roman" w:hAnsi="Meta Pro"/>
                <w:b/>
                <w:bCs/>
                <w:sz w:val="20"/>
                <w:szCs w:val="20"/>
                <w:lang w:eastAsia="en-AU"/>
              </w:rPr>
            </w:pPr>
            <w:r w:rsidRPr="005575F1">
              <w:rPr>
                <w:rFonts w:ascii="Meta Pro" w:eastAsia="Times New Roman" w:hAnsi="Meta Pro"/>
                <w:b/>
                <w:bCs/>
                <w:sz w:val="20"/>
                <w:szCs w:val="20"/>
                <w:lang w:eastAsia="en-AU"/>
              </w:rPr>
              <w:t>$'000</w:t>
            </w:r>
          </w:p>
        </w:tc>
        <w:tc>
          <w:tcPr>
            <w:tcW w:w="196" w:type="dxa"/>
            <w:tcBorders>
              <w:top w:val="nil"/>
              <w:left w:val="nil"/>
              <w:bottom w:val="nil"/>
              <w:right w:val="nil"/>
            </w:tcBorders>
            <w:shd w:val="clear" w:color="auto" w:fill="auto"/>
            <w:noWrap/>
            <w:hideMark/>
          </w:tcPr>
          <w:p w14:paraId="3E96BF0D" w14:textId="77777777" w:rsidR="00BC5219" w:rsidRPr="005575F1" w:rsidRDefault="00BC5219" w:rsidP="00E83802">
            <w:pPr>
              <w:jc w:val="center"/>
              <w:rPr>
                <w:rFonts w:ascii="Meta Pro" w:eastAsia="Times New Roman" w:hAnsi="Meta Pro"/>
                <w:b/>
                <w:bCs/>
                <w:sz w:val="20"/>
                <w:szCs w:val="20"/>
                <w:lang w:eastAsia="en-AU"/>
              </w:rPr>
            </w:pPr>
          </w:p>
        </w:tc>
        <w:tc>
          <w:tcPr>
            <w:tcW w:w="1096" w:type="dxa"/>
            <w:tcBorders>
              <w:top w:val="nil"/>
              <w:left w:val="nil"/>
              <w:bottom w:val="nil"/>
              <w:right w:val="nil"/>
            </w:tcBorders>
            <w:shd w:val="clear" w:color="auto" w:fill="auto"/>
            <w:noWrap/>
            <w:vAlign w:val="center"/>
            <w:hideMark/>
          </w:tcPr>
          <w:p w14:paraId="382C3867" w14:textId="77777777" w:rsidR="00BC5219" w:rsidRPr="005575F1" w:rsidRDefault="00BC5219" w:rsidP="00E83802">
            <w:pPr>
              <w:jc w:val="center"/>
              <w:rPr>
                <w:rFonts w:ascii="Meta Pro" w:eastAsia="Times New Roman" w:hAnsi="Meta Pro"/>
                <w:b/>
                <w:bCs/>
                <w:sz w:val="20"/>
                <w:szCs w:val="20"/>
                <w:lang w:eastAsia="en-AU"/>
              </w:rPr>
            </w:pPr>
            <w:r w:rsidRPr="005575F1">
              <w:rPr>
                <w:rFonts w:ascii="Meta Pro" w:eastAsia="Times New Roman" w:hAnsi="Meta Pro"/>
                <w:b/>
                <w:bCs/>
                <w:sz w:val="20"/>
                <w:szCs w:val="20"/>
                <w:lang w:eastAsia="en-AU"/>
              </w:rPr>
              <w:t>$'000</w:t>
            </w:r>
          </w:p>
        </w:tc>
      </w:tr>
      <w:tr w:rsidR="00BC5219" w:rsidRPr="005575F1" w14:paraId="2D10259B" w14:textId="77777777" w:rsidTr="00E83802">
        <w:trPr>
          <w:trHeight w:hRule="exact" w:val="40"/>
        </w:trPr>
        <w:tc>
          <w:tcPr>
            <w:tcW w:w="6116" w:type="dxa"/>
            <w:tcBorders>
              <w:top w:val="nil"/>
              <w:left w:val="nil"/>
              <w:bottom w:val="nil"/>
              <w:right w:val="nil"/>
            </w:tcBorders>
            <w:shd w:val="clear" w:color="auto" w:fill="auto"/>
            <w:noWrap/>
            <w:vAlign w:val="center"/>
            <w:hideMark/>
          </w:tcPr>
          <w:p w14:paraId="30880409" w14:textId="77777777" w:rsidR="00BC5219" w:rsidRPr="005575F1" w:rsidRDefault="00BC5219" w:rsidP="00E83802">
            <w:pPr>
              <w:jc w:val="center"/>
              <w:rPr>
                <w:rFonts w:ascii="Meta Pro" w:eastAsia="Times New Roman" w:hAnsi="Meta Pro"/>
                <w:b/>
                <w:bCs/>
                <w:sz w:val="20"/>
                <w:szCs w:val="20"/>
                <w:lang w:eastAsia="en-AU"/>
              </w:rPr>
            </w:pPr>
          </w:p>
        </w:tc>
        <w:tc>
          <w:tcPr>
            <w:tcW w:w="973" w:type="dxa"/>
            <w:tcBorders>
              <w:top w:val="nil"/>
              <w:left w:val="nil"/>
              <w:bottom w:val="nil"/>
              <w:right w:val="nil"/>
            </w:tcBorders>
            <w:shd w:val="clear" w:color="auto" w:fill="auto"/>
            <w:vAlign w:val="center"/>
            <w:hideMark/>
          </w:tcPr>
          <w:p w14:paraId="6D0FA156" w14:textId="77777777" w:rsidR="00BC5219" w:rsidRPr="005575F1" w:rsidRDefault="00BC5219" w:rsidP="00E83802">
            <w:pPr>
              <w:rPr>
                <w:rFonts w:ascii="Times New Roman" w:eastAsia="Times New Roman" w:hAnsi="Times New Roman" w:cs="Times New Roman"/>
                <w:sz w:val="20"/>
                <w:szCs w:val="20"/>
                <w:lang w:eastAsia="en-AU"/>
              </w:rPr>
            </w:pPr>
          </w:p>
        </w:tc>
        <w:tc>
          <w:tcPr>
            <w:tcW w:w="1047" w:type="dxa"/>
            <w:tcBorders>
              <w:top w:val="nil"/>
              <w:left w:val="nil"/>
              <w:bottom w:val="nil"/>
              <w:right w:val="nil"/>
            </w:tcBorders>
            <w:shd w:val="clear" w:color="auto" w:fill="auto"/>
            <w:vAlign w:val="center"/>
            <w:hideMark/>
          </w:tcPr>
          <w:p w14:paraId="0BAD58CE" w14:textId="77777777" w:rsidR="00BC5219" w:rsidRPr="005575F1" w:rsidRDefault="00BC5219" w:rsidP="00E83802">
            <w:pPr>
              <w:jc w:val="center"/>
              <w:rPr>
                <w:rFonts w:ascii="Times New Roman" w:eastAsia="Times New Roman" w:hAnsi="Times New Roman" w:cs="Times New Roman"/>
                <w:sz w:val="20"/>
                <w:szCs w:val="20"/>
                <w:lang w:eastAsia="en-AU"/>
              </w:rPr>
            </w:pPr>
          </w:p>
        </w:tc>
        <w:tc>
          <w:tcPr>
            <w:tcW w:w="196" w:type="dxa"/>
            <w:tcBorders>
              <w:top w:val="nil"/>
              <w:left w:val="nil"/>
              <w:bottom w:val="nil"/>
              <w:right w:val="nil"/>
            </w:tcBorders>
            <w:shd w:val="clear" w:color="auto" w:fill="auto"/>
            <w:noWrap/>
            <w:hideMark/>
          </w:tcPr>
          <w:p w14:paraId="1434945B" w14:textId="77777777" w:rsidR="00BC5219" w:rsidRPr="005575F1" w:rsidRDefault="00BC5219" w:rsidP="00E83802">
            <w:pPr>
              <w:jc w:val="center"/>
              <w:rPr>
                <w:rFonts w:ascii="Times New Roman" w:eastAsia="Times New Roman" w:hAnsi="Times New Roman" w:cs="Times New Roman"/>
                <w:sz w:val="20"/>
                <w:szCs w:val="20"/>
                <w:lang w:eastAsia="en-AU"/>
              </w:rPr>
            </w:pPr>
          </w:p>
        </w:tc>
        <w:tc>
          <w:tcPr>
            <w:tcW w:w="1096" w:type="dxa"/>
            <w:tcBorders>
              <w:top w:val="nil"/>
              <w:left w:val="nil"/>
              <w:bottom w:val="nil"/>
              <w:right w:val="nil"/>
            </w:tcBorders>
            <w:shd w:val="clear" w:color="auto" w:fill="auto"/>
            <w:vAlign w:val="center"/>
            <w:hideMark/>
          </w:tcPr>
          <w:p w14:paraId="402C1F68" w14:textId="77777777" w:rsidR="00BC5219" w:rsidRPr="005575F1" w:rsidRDefault="00BC5219" w:rsidP="00E83802">
            <w:pPr>
              <w:rPr>
                <w:rFonts w:ascii="Times New Roman" w:eastAsia="Times New Roman" w:hAnsi="Times New Roman"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77BDA308" w14:textId="77777777" w:rsidR="00BC5219" w:rsidRPr="005575F1" w:rsidRDefault="00BC5219" w:rsidP="00E83802">
            <w:pPr>
              <w:jc w:val="center"/>
              <w:rPr>
                <w:rFonts w:ascii="Times New Roman" w:eastAsia="Times New Roman" w:hAnsi="Times New Roman" w:cs="Times New Roman"/>
                <w:sz w:val="20"/>
                <w:szCs w:val="20"/>
                <w:lang w:eastAsia="en-AU"/>
              </w:rPr>
            </w:pPr>
          </w:p>
        </w:tc>
        <w:tc>
          <w:tcPr>
            <w:tcW w:w="1096" w:type="dxa"/>
            <w:tcBorders>
              <w:top w:val="nil"/>
              <w:left w:val="nil"/>
              <w:bottom w:val="nil"/>
              <w:right w:val="nil"/>
            </w:tcBorders>
            <w:shd w:val="clear" w:color="auto" w:fill="auto"/>
            <w:vAlign w:val="center"/>
            <w:hideMark/>
          </w:tcPr>
          <w:p w14:paraId="41246A55" w14:textId="77777777" w:rsidR="00BC5219" w:rsidRPr="005575F1" w:rsidRDefault="00BC5219" w:rsidP="00E83802">
            <w:pPr>
              <w:rPr>
                <w:rFonts w:ascii="Times New Roman" w:eastAsia="Times New Roman" w:hAnsi="Times New Roman" w:cs="Times New Roman"/>
                <w:sz w:val="20"/>
                <w:szCs w:val="20"/>
                <w:lang w:eastAsia="en-AU"/>
              </w:rPr>
            </w:pPr>
          </w:p>
        </w:tc>
      </w:tr>
      <w:tr w:rsidR="00BC5219" w:rsidRPr="005575F1" w14:paraId="49108083" w14:textId="77777777" w:rsidTr="00E83802">
        <w:trPr>
          <w:trHeight w:val="198"/>
        </w:trPr>
        <w:tc>
          <w:tcPr>
            <w:tcW w:w="6116" w:type="dxa"/>
            <w:tcBorders>
              <w:top w:val="nil"/>
              <w:left w:val="nil"/>
              <w:bottom w:val="nil"/>
              <w:right w:val="nil"/>
            </w:tcBorders>
            <w:shd w:val="clear" w:color="auto" w:fill="auto"/>
            <w:noWrap/>
            <w:vAlign w:val="center"/>
            <w:hideMark/>
          </w:tcPr>
          <w:p w14:paraId="5F7F8645" w14:textId="77777777" w:rsidR="00BC5219" w:rsidRPr="005575F1" w:rsidRDefault="00BC5219" w:rsidP="00E83802">
            <w:pPr>
              <w:rPr>
                <w:rFonts w:ascii="Meta Pro" w:eastAsia="Times New Roman" w:hAnsi="Meta Pro"/>
                <w:b/>
                <w:bCs/>
                <w:szCs w:val="18"/>
                <w:lang w:eastAsia="en-AU"/>
              </w:rPr>
            </w:pPr>
            <w:r w:rsidRPr="005575F1">
              <w:rPr>
                <w:rFonts w:ascii="Meta Pro" w:eastAsia="Times New Roman" w:hAnsi="Meta Pro"/>
                <w:b/>
                <w:bCs/>
                <w:szCs w:val="18"/>
                <w:lang w:eastAsia="en-AU"/>
              </w:rPr>
              <w:t>Operating statement impact</w:t>
            </w:r>
          </w:p>
        </w:tc>
        <w:tc>
          <w:tcPr>
            <w:tcW w:w="973" w:type="dxa"/>
            <w:tcBorders>
              <w:top w:val="nil"/>
              <w:left w:val="nil"/>
              <w:bottom w:val="nil"/>
              <w:right w:val="nil"/>
            </w:tcBorders>
            <w:shd w:val="clear" w:color="auto" w:fill="auto"/>
            <w:noWrap/>
            <w:vAlign w:val="center"/>
            <w:hideMark/>
          </w:tcPr>
          <w:p w14:paraId="3A4EF28A" w14:textId="77777777" w:rsidR="00BC5219" w:rsidRPr="005575F1" w:rsidRDefault="00BC5219" w:rsidP="00E83802">
            <w:pPr>
              <w:rPr>
                <w:rFonts w:ascii="Meta Pro" w:eastAsia="Times New Roman" w:hAnsi="Meta Pro"/>
                <w:b/>
                <w:bCs/>
                <w:szCs w:val="18"/>
                <w:lang w:eastAsia="en-AU"/>
              </w:rPr>
            </w:pPr>
          </w:p>
        </w:tc>
        <w:tc>
          <w:tcPr>
            <w:tcW w:w="1047" w:type="dxa"/>
            <w:tcBorders>
              <w:top w:val="nil"/>
              <w:left w:val="nil"/>
              <w:bottom w:val="nil"/>
              <w:right w:val="nil"/>
            </w:tcBorders>
            <w:shd w:val="clear" w:color="auto" w:fill="auto"/>
            <w:noWrap/>
            <w:vAlign w:val="center"/>
            <w:hideMark/>
          </w:tcPr>
          <w:p w14:paraId="01BB5A13" w14:textId="77777777" w:rsidR="00BC5219" w:rsidRPr="005575F1" w:rsidRDefault="00BC5219" w:rsidP="00E83802">
            <w:pPr>
              <w:jc w:val="center"/>
              <w:rPr>
                <w:rFonts w:ascii="Times New Roman" w:eastAsia="Times New Roman" w:hAnsi="Times New Roman"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0B7B3863" w14:textId="77777777" w:rsidR="00BC5219" w:rsidRPr="005575F1" w:rsidRDefault="00BC5219" w:rsidP="00E83802">
            <w:pPr>
              <w:jc w:val="center"/>
              <w:rPr>
                <w:rFonts w:ascii="Times New Roman" w:eastAsia="Times New Roman" w:hAnsi="Times New Roman" w:cs="Times New Roman"/>
                <w:sz w:val="20"/>
                <w:szCs w:val="20"/>
                <w:lang w:eastAsia="en-AU"/>
              </w:rPr>
            </w:pPr>
          </w:p>
        </w:tc>
        <w:tc>
          <w:tcPr>
            <w:tcW w:w="1096" w:type="dxa"/>
            <w:tcBorders>
              <w:top w:val="nil"/>
              <w:left w:val="nil"/>
              <w:bottom w:val="nil"/>
              <w:right w:val="nil"/>
            </w:tcBorders>
            <w:shd w:val="clear" w:color="auto" w:fill="auto"/>
            <w:noWrap/>
            <w:vAlign w:val="center"/>
            <w:hideMark/>
          </w:tcPr>
          <w:p w14:paraId="112EEB43" w14:textId="77777777" w:rsidR="00BC5219" w:rsidRPr="005575F1" w:rsidRDefault="00BC5219" w:rsidP="00E83802">
            <w:pPr>
              <w:rPr>
                <w:rFonts w:ascii="Times New Roman" w:eastAsia="Times New Roman" w:hAnsi="Times New Roman"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500423C6" w14:textId="77777777" w:rsidR="00BC5219" w:rsidRPr="005575F1" w:rsidRDefault="00BC5219" w:rsidP="00E83802">
            <w:pPr>
              <w:jc w:val="right"/>
              <w:rPr>
                <w:rFonts w:ascii="Times New Roman" w:eastAsia="Times New Roman" w:hAnsi="Times New Roman" w:cs="Times New Roman"/>
                <w:sz w:val="20"/>
                <w:szCs w:val="20"/>
                <w:lang w:eastAsia="en-AU"/>
              </w:rPr>
            </w:pPr>
          </w:p>
        </w:tc>
        <w:tc>
          <w:tcPr>
            <w:tcW w:w="1096" w:type="dxa"/>
            <w:tcBorders>
              <w:top w:val="nil"/>
              <w:left w:val="nil"/>
              <w:bottom w:val="nil"/>
              <w:right w:val="nil"/>
            </w:tcBorders>
            <w:shd w:val="clear" w:color="auto" w:fill="auto"/>
            <w:noWrap/>
            <w:hideMark/>
          </w:tcPr>
          <w:p w14:paraId="49DD4798" w14:textId="77777777" w:rsidR="00BC5219" w:rsidRPr="005575F1" w:rsidRDefault="00BC5219" w:rsidP="00E83802">
            <w:pPr>
              <w:rPr>
                <w:rFonts w:ascii="Times New Roman" w:eastAsia="Times New Roman" w:hAnsi="Times New Roman" w:cs="Times New Roman"/>
                <w:sz w:val="20"/>
                <w:szCs w:val="20"/>
                <w:lang w:eastAsia="en-AU"/>
              </w:rPr>
            </w:pPr>
          </w:p>
        </w:tc>
      </w:tr>
      <w:tr w:rsidR="00BC5219" w:rsidRPr="005575F1" w14:paraId="19D370BE" w14:textId="77777777" w:rsidTr="00E83802">
        <w:trPr>
          <w:trHeight w:val="198"/>
        </w:trPr>
        <w:tc>
          <w:tcPr>
            <w:tcW w:w="6116" w:type="dxa"/>
            <w:tcBorders>
              <w:top w:val="nil"/>
              <w:left w:val="nil"/>
              <w:bottom w:val="nil"/>
              <w:right w:val="nil"/>
            </w:tcBorders>
            <w:shd w:val="clear" w:color="auto" w:fill="auto"/>
            <w:noWrap/>
            <w:vAlign w:val="center"/>
            <w:hideMark/>
          </w:tcPr>
          <w:p w14:paraId="191F09D1" w14:textId="77777777" w:rsidR="00BC5219" w:rsidRPr="005575F1" w:rsidRDefault="00BC5219" w:rsidP="00E83802">
            <w:pPr>
              <w:rPr>
                <w:rFonts w:ascii="Meta Pro" w:eastAsia="Times New Roman" w:hAnsi="Meta Pro"/>
                <w:b/>
                <w:bCs/>
                <w:szCs w:val="18"/>
                <w:lang w:eastAsia="en-AU"/>
              </w:rPr>
            </w:pPr>
            <w:r w:rsidRPr="005575F1">
              <w:rPr>
                <w:rFonts w:ascii="Meta Pro" w:eastAsia="Times New Roman" w:hAnsi="Meta Pro"/>
                <w:b/>
                <w:bCs/>
                <w:szCs w:val="18"/>
                <w:lang w:eastAsia="en-AU"/>
              </w:rPr>
              <w:t>Revenue</w:t>
            </w:r>
          </w:p>
        </w:tc>
        <w:tc>
          <w:tcPr>
            <w:tcW w:w="973" w:type="dxa"/>
            <w:tcBorders>
              <w:top w:val="nil"/>
              <w:left w:val="nil"/>
              <w:bottom w:val="nil"/>
              <w:right w:val="nil"/>
            </w:tcBorders>
            <w:shd w:val="clear" w:color="auto" w:fill="auto"/>
            <w:noWrap/>
            <w:vAlign w:val="center"/>
            <w:hideMark/>
          </w:tcPr>
          <w:p w14:paraId="56C863CD" w14:textId="77777777" w:rsidR="00BC5219" w:rsidRPr="005575F1" w:rsidRDefault="00BC5219" w:rsidP="00E83802">
            <w:pPr>
              <w:rPr>
                <w:rFonts w:ascii="Meta Pro" w:eastAsia="Times New Roman" w:hAnsi="Meta Pro"/>
                <w:b/>
                <w:bCs/>
                <w:szCs w:val="18"/>
                <w:lang w:eastAsia="en-AU"/>
              </w:rPr>
            </w:pPr>
          </w:p>
        </w:tc>
        <w:tc>
          <w:tcPr>
            <w:tcW w:w="1047" w:type="dxa"/>
            <w:tcBorders>
              <w:top w:val="nil"/>
              <w:left w:val="nil"/>
              <w:bottom w:val="nil"/>
              <w:right w:val="nil"/>
            </w:tcBorders>
            <w:shd w:val="clear" w:color="auto" w:fill="auto"/>
            <w:noWrap/>
            <w:vAlign w:val="center"/>
            <w:hideMark/>
          </w:tcPr>
          <w:p w14:paraId="60A9973F" w14:textId="77777777" w:rsidR="00BC5219" w:rsidRPr="005575F1" w:rsidRDefault="00BC5219" w:rsidP="00E83802">
            <w:pPr>
              <w:jc w:val="center"/>
              <w:rPr>
                <w:rFonts w:ascii="Times New Roman" w:eastAsia="Times New Roman" w:hAnsi="Times New Roman"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651C3BAE" w14:textId="77777777" w:rsidR="00BC5219" w:rsidRPr="005575F1" w:rsidRDefault="00BC5219" w:rsidP="00E83802">
            <w:pPr>
              <w:jc w:val="center"/>
              <w:rPr>
                <w:rFonts w:ascii="Times New Roman" w:eastAsia="Times New Roman" w:hAnsi="Times New Roman" w:cs="Times New Roman"/>
                <w:sz w:val="20"/>
                <w:szCs w:val="20"/>
                <w:lang w:eastAsia="en-AU"/>
              </w:rPr>
            </w:pPr>
          </w:p>
        </w:tc>
        <w:tc>
          <w:tcPr>
            <w:tcW w:w="1096" w:type="dxa"/>
            <w:tcBorders>
              <w:top w:val="nil"/>
              <w:left w:val="nil"/>
              <w:bottom w:val="nil"/>
              <w:right w:val="nil"/>
            </w:tcBorders>
            <w:shd w:val="clear" w:color="auto" w:fill="auto"/>
            <w:noWrap/>
            <w:vAlign w:val="center"/>
            <w:hideMark/>
          </w:tcPr>
          <w:p w14:paraId="072A5C5A" w14:textId="77777777" w:rsidR="00BC5219" w:rsidRPr="005575F1" w:rsidRDefault="00BC5219" w:rsidP="00E83802">
            <w:pPr>
              <w:rPr>
                <w:rFonts w:ascii="Times New Roman" w:eastAsia="Times New Roman" w:hAnsi="Times New Roman"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7F25AFE0" w14:textId="77777777" w:rsidR="00BC5219" w:rsidRPr="005575F1" w:rsidRDefault="00BC5219" w:rsidP="00E83802">
            <w:pPr>
              <w:jc w:val="right"/>
              <w:rPr>
                <w:rFonts w:ascii="Times New Roman" w:eastAsia="Times New Roman" w:hAnsi="Times New Roman" w:cs="Times New Roman"/>
                <w:sz w:val="20"/>
                <w:szCs w:val="20"/>
                <w:lang w:eastAsia="en-AU"/>
              </w:rPr>
            </w:pPr>
          </w:p>
        </w:tc>
        <w:tc>
          <w:tcPr>
            <w:tcW w:w="1096" w:type="dxa"/>
            <w:tcBorders>
              <w:top w:val="nil"/>
              <w:left w:val="nil"/>
              <w:bottom w:val="nil"/>
              <w:right w:val="nil"/>
            </w:tcBorders>
            <w:shd w:val="clear" w:color="auto" w:fill="auto"/>
            <w:noWrap/>
            <w:hideMark/>
          </w:tcPr>
          <w:p w14:paraId="63D913A4" w14:textId="77777777" w:rsidR="00BC5219" w:rsidRPr="005575F1" w:rsidRDefault="00BC5219" w:rsidP="00E83802">
            <w:pPr>
              <w:rPr>
                <w:rFonts w:ascii="Times New Roman" w:eastAsia="Times New Roman" w:hAnsi="Times New Roman" w:cs="Times New Roman"/>
                <w:sz w:val="20"/>
                <w:szCs w:val="20"/>
                <w:lang w:eastAsia="en-AU"/>
              </w:rPr>
            </w:pPr>
          </w:p>
        </w:tc>
      </w:tr>
      <w:tr w:rsidR="00BC5219" w:rsidRPr="005575F1" w14:paraId="428B734C" w14:textId="77777777" w:rsidTr="00E83802">
        <w:trPr>
          <w:trHeight w:val="198"/>
        </w:trPr>
        <w:tc>
          <w:tcPr>
            <w:tcW w:w="6116" w:type="dxa"/>
            <w:tcBorders>
              <w:top w:val="nil"/>
              <w:left w:val="nil"/>
              <w:bottom w:val="nil"/>
              <w:right w:val="nil"/>
            </w:tcBorders>
            <w:shd w:val="clear" w:color="auto" w:fill="auto"/>
            <w:noWrap/>
            <w:vAlign w:val="center"/>
            <w:hideMark/>
          </w:tcPr>
          <w:p w14:paraId="5F98EDA8" w14:textId="77777777" w:rsidR="00BC5219" w:rsidRPr="005575F1" w:rsidRDefault="00BC5219" w:rsidP="00E83802">
            <w:pPr>
              <w:rPr>
                <w:rFonts w:ascii="Meta Pro" w:eastAsia="Times New Roman" w:hAnsi="Meta Pro"/>
                <w:szCs w:val="18"/>
                <w:lang w:eastAsia="en-AU"/>
              </w:rPr>
            </w:pPr>
            <w:r w:rsidRPr="005575F1">
              <w:rPr>
                <w:rFonts w:ascii="Meta Pro" w:eastAsia="Times New Roman" w:hAnsi="Meta Pro"/>
                <w:szCs w:val="18"/>
                <w:lang w:eastAsia="en-AU"/>
              </w:rPr>
              <w:t>Income from sublease of right-of-use assets</w:t>
            </w:r>
          </w:p>
        </w:tc>
        <w:tc>
          <w:tcPr>
            <w:tcW w:w="973" w:type="dxa"/>
            <w:tcBorders>
              <w:top w:val="nil"/>
              <w:left w:val="nil"/>
              <w:bottom w:val="nil"/>
              <w:right w:val="nil"/>
            </w:tcBorders>
            <w:shd w:val="clear" w:color="auto" w:fill="auto"/>
            <w:noWrap/>
            <w:vAlign w:val="center"/>
            <w:hideMark/>
          </w:tcPr>
          <w:p w14:paraId="08E22E8F" w14:textId="77777777" w:rsidR="00BC5219" w:rsidRPr="005575F1" w:rsidRDefault="00BC5219" w:rsidP="00E83802">
            <w:pPr>
              <w:rPr>
                <w:rFonts w:ascii="Meta Pro" w:eastAsia="Times New Roman" w:hAnsi="Meta Pro"/>
                <w:szCs w:val="18"/>
                <w:lang w:eastAsia="en-AU"/>
              </w:rPr>
            </w:pPr>
          </w:p>
        </w:tc>
        <w:tc>
          <w:tcPr>
            <w:tcW w:w="1047" w:type="dxa"/>
            <w:tcBorders>
              <w:top w:val="nil"/>
              <w:left w:val="nil"/>
              <w:bottom w:val="nil"/>
              <w:right w:val="nil"/>
            </w:tcBorders>
            <w:shd w:val="clear" w:color="auto" w:fill="auto"/>
            <w:noWrap/>
            <w:vAlign w:val="center"/>
            <w:hideMark/>
          </w:tcPr>
          <w:p w14:paraId="6820E655" w14:textId="77777777" w:rsidR="00BC5219" w:rsidRPr="005575F1" w:rsidRDefault="00BC5219" w:rsidP="00E83802">
            <w:pPr>
              <w:jc w:val="center"/>
              <w:rPr>
                <w:rFonts w:ascii="Times New Roman" w:eastAsia="Times New Roman" w:hAnsi="Times New Roman"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51314888" w14:textId="77777777" w:rsidR="00BC5219" w:rsidRPr="005575F1" w:rsidRDefault="00BC5219" w:rsidP="00E83802">
            <w:pPr>
              <w:jc w:val="center"/>
              <w:rPr>
                <w:rFonts w:ascii="Times New Roman" w:eastAsia="Times New Roman" w:hAnsi="Times New Roman" w:cs="Times New Roman"/>
                <w:sz w:val="20"/>
                <w:szCs w:val="20"/>
                <w:lang w:eastAsia="en-AU"/>
              </w:rPr>
            </w:pPr>
          </w:p>
        </w:tc>
        <w:tc>
          <w:tcPr>
            <w:tcW w:w="1096" w:type="dxa"/>
            <w:tcBorders>
              <w:top w:val="nil"/>
              <w:left w:val="nil"/>
              <w:bottom w:val="nil"/>
              <w:right w:val="nil"/>
            </w:tcBorders>
            <w:shd w:val="clear" w:color="000000" w:fill="C9E3B4"/>
            <w:noWrap/>
            <w:vAlign w:val="center"/>
            <w:hideMark/>
          </w:tcPr>
          <w:p w14:paraId="6AB87AB2" w14:textId="77777777" w:rsidR="00BC5219" w:rsidRPr="005575F1" w:rsidRDefault="00BC5219" w:rsidP="00E83802">
            <w:pPr>
              <w:jc w:val="right"/>
              <w:rPr>
                <w:rFonts w:ascii="Meta Pro" w:eastAsia="Times New Roman" w:hAnsi="Meta Pro"/>
                <w:szCs w:val="18"/>
                <w:lang w:eastAsia="en-AU"/>
              </w:rPr>
            </w:pPr>
            <w:r w:rsidRPr="005575F1">
              <w:rPr>
                <w:rFonts w:ascii="Meta Pro" w:eastAsia="Times New Roman" w:hAnsi="Meta Pro"/>
                <w:szCs w:val="18"/>
                <w:lang w:eastAsia="en-AU"/>
              </w:rPr>
              <w:t xml:space="preserve">193 </w:t>
            </w:r>
          </w:p>
        </w:tc>
        <w:tc>
          <w:tcPr>
            <w:tcW w:w="196" w:type="dxa"/>
            <w:tcBorders>
              <w:top w:val="nil"/>
              <w:left w:val="nil"/>
              <w:bottom w:val="nil"/>
              <w:right w:val="nil"/>
            </w:tcBorders>
            <w:shd w:val="clear" w:color="auto" w:fill="auto"/>
            <w:noWrap/>
            <w:vAlign w:val="center"/>
            <w:hideMark/>
          </w:tcPr>
          <w:p w14:paraId="4247F114" w14:textId="77777777" w:rsidR="00BC5219" w:rsidRPr="005575F1" w:rsidRDefault="00BC5219" w:rsidP="00E83802">
            <w:pPr>
              <w:jc w:val="right"/>
              <w:rPr>
                <w:rFonts w:ascii="Meta Pro" w:eastAsia="Times New Roman" w:hAnsi="Meta Pro"/>
                <w:szCs w:val="18"/>
                <w:lang w:eastAsia="en-AU"/>
              </w:rPr>
            </w:pPr>
          </w:p>
        </w:tc>
        <w:tc>
          <w:tcPr>
            <w:tcW w:w="1096" w:type="dxa"/>
            <w:tcBorders>
              <w:top w:val="nil"/>
              <w:left w:val="nil"/>
              <w:bottom w:val="nil"/>
              <w:right w:val="nil"/>
            </w:tcBorders>
            <w:shd w:val="clear" w:color="auto" w:fill="auto"/>
            <w:noWrap/>
            <w:vAlign w:val="center"/>
            <w:hideMark/>
          </w:tcPr>
          <w:p w14:paraId="5CF8741D" w14:textId="77777777" w:rsidR="00BC5219" w:rsidRPr="005575F1" w:rsidRDefault="00BC5219" w:rsidP="00E83802">
            <w:pPr>
              <w:jc w:val="right"/>
              <w:rPr>
                <w:rFonts w:ascii="Meta Pro" w:eastAsia="Times New Roman" w:hAnsi="Meta Pro"/>
                <w:szCs w:val="18"/>
                <w:lang w:eastAsia="en-AU"/>
              </w:rPr>
            </w:pPr>
            <w:r w:rsidRPr="005575F1">
              <w:rPr>
                <w:rFonts w:ascii="Meta Pro" w:eastAsia="Times New Roman" w:hAnsi="Meta Pro"/>
                <w:szCs w:val="18"/>
                <w:lang w:eastAsia="en-AU"/>
              </w:rPr>
              <w:t xml:space="preserve">145 </w:t>
            </w:r>
          </w:p>
        </w:tc>
      </w:tr>
      <w:tr w:rsidR="00BC5219" w:rsidRPr="005575F1" w14:paraId="72AF216D" w14:textId="77777777" w:rsidTr="00E83802">
        <w:trPr>
          <w:trHeight w:val="198"/>
        </w:trPr>
        <w:tc>
          <w:tcPr>
            <w:tcW w:w="6116" w:type="dxa"/>
            <w:tcBorders>
              <w:top w:val="nil"/>
              <w:left w:val="nil"/>
              <w:bottom w:val="nil"/>
              <w:right w:val="nil"/>
            </w:tcBorders>
            <w:shd w:val="clear" w:color="auto" w:fill="auto"/>
            <w:noWrap/>
            <w:vAlign w:val="center"/>
            <w:hideMark/>
          </w:tcPr>
          <w:p w14:paraId="7AD300A0" w14:textId="77777777" w:rsidR="00BC5219" w:rsidRPr="005575F1" w:rsidRDefault="00BC5219" w:rsidP="00E83802">
            <w:pPr>
              <w:jc w:val="right"/>
              <w:rPr>
                <w:rFonts w:ascii="Meta Pro" w:eastAsia="Times New Roman" w:hAnsi="Meta Pro"/>
                <w:szCs w:val="18"/>
                <w:lang w:eastAsia="en-AU"/>
              </w:rPr>
            </w:pPr>
          </w:p>
        </w:tc>
        <w:tc>
          <w:tcPr>
            <w:tcW w:w="973" w:type="dxa"/>
            <w:tcBorders>
              <w:top w:val="nil"/>
              <w:left w:val="nil"/>
              <w:bottom w:val="nil"/>
              <w:right w:val="nil"/>
            </w:tcBorders>
            <w:shd w:val="clear" w:color="auto" w:fill="auto"/>
            <w:noWrap/>
            <w:vAlign w:val="center"/>
            <w:hideMark/>
          </w:tcPr>
          <w:p w14:paraId="0BCBE80C" w14:textId="77777777" w:rsidR="00BC5219" w:rsidRPr="005575F1" w:rsidRDefault="00BC5219" w:rsidP="00E83802">
            <w:pPr>
              <w:rPr>
                <w:rFonts w:ascii="Times New Roman" w:eastAsia="Times New Roman" w:hAnsi="Times New Roman" w:cs="Times New Roman"/>
                <w:sz w:val="20"/>
                <w:szCs w:val="20"/>
                <w:lang w:eastAsia="en-AU"/>
              </w:rPr>
            </w:pPr>
          </w:p>
        </w:tc>
        <w:tc>
          <w:tcPr>
            <w:tcW w:w="1047" w:type="dxa"/>
            <w:tcBorders>
              <w:top w:val="nil"/>
              <w:left w:val="nil"/>
              <w:bottom w:val="nil"/>
              <w:right w:val="nil"/>
            </w:tcBorders>
            <w:shd w:val="clear" w:color="auto" w:fill="auto"/>
            <w:noWrap/>
            <w:vAlign w:val="center"/>
            <w:hideMark/>
          </w:tcPr>
          <w:p w14:paraId="2891D9D2" w14:textId="77777777" w:rsidR="00BC5219" w:rsidRPr="005575F1" w:rsidRDefault="00BC5219" w:rsidP="00E83802">
            <w:pPr>
              <w:jc w:val="center"/>
              <w:rPr>
                <w:rFonts w:ascii="Times New Roman" w:eastAsia="Times New Roman" w:hAnsi="Times New Roman" w:cs="Times New Roman"/>
                <w:sz w:val="20"/>
                <w:szCs w:val="20"/>
                <w:lang w:eastAsia="en-AU"/>
              </w:rPr>
            </w:pPr>
          </w:p>
        </w:tc>
        <w:tc>
          <w:tcPr>
            <w:tcW w:w="196" w:type="dxa"/>
            <w:tcBorders>
              <w:top w:val="nil"/>
              <w:left w:val="nil"/>
              <w:bottom w:val="nil"/>
              <w:right w:val="nil"/>
            </w:tcBorders>
            <w:shd w:val="clear" w:color="auto" w:fill="auto"/>
            <w:noWrap/>
            <w:hideMark/>
          </w:tcPr>
          <w:p w14:paraId="7E5E0F5F" w14:textId="77777777" w:rsidR="00BC5219" w:rsidRPr="005575F1" w:rsidRDefault="00BC5219" w:rsidP="00E83802">
            <w:pPr>
              <w:jc w:val="center"/>
              <w:rPr>
                <w:rFonts w:ascii="Times New Roman" w:eastAsia="Times New Roman" w:hAnsi="Times New Roman" w:cs="Times New Roman"/>
                <w:sz w:val="20"/>
                <w:szCs w:val="20"/>
                <w:lang w:eastAsia="en-AU"/>
              </w:rPr>
            </w:pPr>
          </w:p>
        </w:tc>
        <w:tc>
          <w:tcPr>
            <w:tcW w:w="1096" w:type="dxa"/>
            <w:tcBorders>
              <w:top w:val="nil"/>
              <w:left w:val="nil"/>
              <w:bottom w:val="nil"/>
              <w:right w:val="nil"/>
            </w:tcBorders>
            <w:shd w:val="clear" w:color="000000" w:fill="C9E3B4"/>
            <w:noWrap/>
            <w:vAlign w:val="center"/>
            <w:hideMark/>
          </w:tcPr>
          <w:p w14:paraId="7980B7A7" w14:textId="77777777" w:rsidR="00BC5219" w:rsidRPr="005575F1" w:rsidRDefault="00BC5219" w:rsidP="00E83802">
            <w:pPr>
              <w:rPr>
                <w:rFonts w:ascii="Meta Pro" w:eastAsia="Times New Roman" w:hAnsi="Meta Pro"/>
                <w:szCs w:val="18"/>
                <w:lang w:eastAsia="en-AU"/>
              </w:rPr>
            </w:pPr>
            <w:r w:rsidRPr="005575F1">
              <w:rPr>
                <w:rFonts w:ascii="Meta Pro" w:eastAsia="Times New Roman" w:hAnsi="Meta Pro"/>
                <w:szCs w:val="18"/>
                <w:lang w:eastAsia="en-AU"/>
              </w:rPr>
              <w:t> </w:t>
            </w:r>
          </w:p>
        </w:tc>
        <w:tc>
          <w:tcPr>
            <w:tcW w:w="196" w:type="dxa"/>
            <w:tcBorders>
              <w:top w:val="nil"/>
              <w:left w:val="nil"/>
              <w:bottom w:val="nil"/>
              <w:right w:val="nil"/>
            </w:tcBorders>
            <w:shd w:val="clear" w:color="auto" w:fill="auto"/>
            <w:noWrap/>
            <w:vAlign w:val="center"/>
            <w:hideMark/>
          </w:tcPr>
          <w:p w14:paraId="5A128384" w14:textId="77777777" w:rsidR="00BC5219" w:rsidRPr="005575F1" w:rsidRDefault="00BC5219" w:rsidP="00E83802">
            <w:pPr>
              <w:rPr>
                <w:rFonts w:ascii="Meta Pro" w:eastAsia="Times New Roman" w:hAnsi="Meta Pro"/>
                <w:szCs w:val="18"/>
                <w:lang w:eastAsia="en-AU"/>
              </w:rPr>
            </w:pPr>
          </w:p>
        </w:tc>
        <w:tc>
          <w:tcPr>
            <w:tcW w:w="1096" w:type="dxa"/>
            <w:tcBorders>
              <w:top w:val="nil"/>
              <w:left w:val="nil"/>
              <w:bottom w:val="nil"/>
              <w:right w:val="nil"/>
            </w:tcBorders>
            <w:shd w:val="clear" w:color="auto" w:fill="auto"/>
            <w:noWrap/>
            <w:vAlign w:val="center"/>
            <w:hideMark/>
          </w:tcPr>
          <w:p w14:paraId="134C56EB" w14:textId="77777777" w:rsidR="00BC5219" w:rsidRPr="005575F1" w:rsidRDefault="00BC5219" w:rsidP="00E83802">
            <w:pPr>
              <w:jc w:val="right"/>
              <w:rPr>
                <w:rFonts w:ascii="Times New Roman" w:eastAsia="Times New Roman" w:hAnsi="Times New Roman" w:cs="Times New Roman"/>
                <w:sz w:val="20"/>
                <w:szCs w:val="20"/>
                <w:lang w:eastAsia="en-AU"/>
              </w:rPr>
            </w:pPr>
          </w:p>
        </w:tc>
      </w:tr>
      <w:tr w:rsidR="00BC5219" w:rsidRPr="005575F1" w14:paraId="53D62929" w14:textId="77777777" w:rsidTr="00E83802">
        <w:trPr>
          <w:trHeight w:val="198"/>
        </w:trPr>
        <w:tc>
          <w:tcPr>
            <w:tcW w:w="6116" w:type="dxa"/>
            <w:tcBorders>
              <w:top w:val="nil"/>
              <w:left w:val="nil"/>
              <w:bottom w:val="nil"/>
              <w:right w:val="nil"/>
            </w:tcBorders>
            <w:shd w:val="clear" w:color="auto" w:fill="auto"/>
            <w:noWrap/>
            <w:vAlign w:val="center"/>
            <w:hideMark/>
          </w:tcPr>
          <w:p w14:paraId="43A24B4F" w14:textId="77777777" w:rsidR="00BC5219" w:rsidRPr="005575F1" w:rsidRDefault="00BC5219" w:rsidP="00E83802">
            <w:pPr>
              <w:rPr>
                <w:rFonts w:ascii="Meta Pro" w:eastAsia="Times New Roman" w:hAnsi="Meta Pro"/>
                <w:b/>
                <w:bCs/>
                <w:szCs w:val="18"/>
                <w:lang w:eastAsia="en-AU"/>
              </w:rPr>
            </w:pPr>
            <w:r w:rsidRPr="005575F1">
              <w:rPr>
                <w:rFonts w:ascii="Meta Pro" w:eastAsia="Times New Roman" w:hAnsi="Meta Pro"/>
                <w:b/>
                <w:bCs/>
                <w:szCs w:val="18"/>
                <w:lang w:eastAsia="en-AU"/>
              </w:rPr>
              <w:t>Expenses</w:t>
            </w:r>
          </w:p>
        </w:tc>
        <w:tc>
          <w:tcPr>
            <w:tcW w:w="973" w:type="dxa"/>
            <w:tcBorders>
              <w:top w:val="nil"/>
              <w:left w:val="nil"/>
              <w:bottom w:val="nil"/>
              <w:right w:val="nil"/>
            </w:tcBorders>
            <w:shd w:val="clear" w:color="auto" w:fill="auto"/>
            <w:vAlign w:val="center"/>
            <w:hideMark/>
          </w:tcPr>
          <w:p w14:paraId="442FE127" w14:textId="77777777" w:rsidR="00BC5219" w:rsidRPr="005575F1" w:rsidRDefault="00BC5219" w:rsidP="00E83802">
            <w:pPr>
              <w:rPr>
                <w:rFonts w:ascii="Meta Pro" w:eastAsia="Times New Roman" w:hAnsi="Meta Pro"/>
                <w:b/>
                <w:bCs/>
                <w:szCs w:val="18"/>
                <w:lang w:eastAsia="en-AU"/>
              </w:rPr>
            </w:pPr>
          </w:p>
        </w:tc>
        <w:tc>
          <w:tcPr>
            <w:tcW w:w="1047" w:type="dxa"/>
            <w:tcBorders>
              <w:top w:val="nil"/>
              <w:left w:val="nil"/>
              <w:bottom w:val="nil"/>
              <w:right w:val="nil"/>
            </w:tcBorders>
            <w:shd w:val="clear" w:color="auto" w:fill="auto"/>
            <w:noWrap/>
            <w:vAlign w:val="center"/>
            <w:hideMark/>
          </w:tcPr>
          <w:p w14:paraId="7BDD6BA2" w14:textId="77777777" w:rsidR="00BC5219" w:rsidRPr="005575F1" w:rsidRDefault="00BC5219" w:rsidP="00E83802">
            <w:pPr>
              <w:jc w:val="center"/>
              <w:rPr>
                <w:rFonts w:ascii="Times New Roman" w:eastAsia="Times New Roman" w:hAnsi="Times New Roman"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78771737" w14:textId="77777777" w:rsidR="00BC5219" w:rsidRPr="005575F1" w:rsidRDefault="00BC5219" w:rsidP="00E83802">
            <w:pPr>
              <w:jc w:val="center"/>
              <w:rPr>
                <w:rFonts w:ascii="Times New Roman" w:eastAsia="Times New Roman" w:hAnsi="Times New Roman" w:cs="Times New Roman"/>
                <w:sz w:val="20"/>
                <w:szCs w:val="20"/>
                <w:lang w:eastAsia="en-AU"/>
              </w:rPr>
            </w:pPr>
          </w:p>
        </w:tc>
        <w:tc>
          <w:tcPr>
            <w:tcW w:w="1096" w:type="dxa"/>
            <w:tcBorders>
              <w:top w:val="nil"/>
              <w:left w:val="nil"/>
              <w:bottom w:val="nil"/>
              <w:right w:val="nil"/>
            </w:tcBorders>
            <w:shd w:val="clear" w:color="000000" w:fill="C9E3B4"/>
            <w:noWrap/>
            <w:vAlign w:val="center"/>
            <w:hideMark/>
          </w:tcPr>
          <w:p w14:paraId="0BC29271" w14:textId="77777777" w:rsidR="00BC5219" w:rsidRPr="005575F1" w:rsidRDefault="00BC5219" w:rsidP="00E83802">
            <w:pPr>
              <w:rPr>
                <w:rFonts w:ascii="Meta Pro" w:eastAsia="Times New Roman" w:hAnsi="Meta Pro"/>
                <w:szCs w:val="18"/>
                <w:lang w:eastAsia="en-AU"/>
              </w:rPr>
            </w:pPr>
            <w:r w:rsidRPr="005575F1">
              <w:rPr>
                <w:rFonts w:ascii="Meta Pro" w:eastAsia="Times New Roman" w:hAnsi="Meta Pro"/>
                <w:szCs w:val="18"/>
                <w:lang w:eastAsia="en-AU"/>
              </w:rPr>
              <w:t> </w:t>
            </w:r>
          </w:p>
        </w:tc>
        <w:tc>
          <w:tcPr>
            <w:tcW w:w="196" w:type="dxa"/>
            <w:tcBorders>
              <w:top w:val="nil"/>
              <w:left w:val="nil"/>
              <w:bottom w:val="nil"/>
              <w:right w:val="nil"/>
            </w:tcBorders>
            <w:shd w:val="clear" w:color="auto" w:fill="auto"/>
            <w:noWrap/>
            <w:vAlign w:val="center"/>
            <w:hideMark/>
          </w:tcPr>
          <w:p w14:paraId="4278BD76" w14:textId="77777777" w:rsidR="00BC5219" w:rsidRPr="005575F1" w:rsidRDefault="00BC5219" w:rsidP="00E83802">
            <w:pPr>
              <w:rPr>
                <w:rFonts w:ascii="Meta Pro" w:eastAsia="Times New Roman" w:hAnsi="Meta Pro"/>
                <w:szCs w:val="18"/>
                <w:lang w:eastAsia="en-AU"/>
              </w:rPr>
            </w:pPr>
          </w:p>
        </w:tc>
        <w:tc>
          <w:tcPr>
            <w:tcW w:w="1096" w:type="dxa"/>
            <w:tcBorders>
              <w:top w:val="nil"/>
              <w:left w:val="nil"/>
              <w:bottom w:val="nil"/>
              <w:right w:val="nil"/>
            </w:tcBorders>
            <w:shd w:val="clear" w:color="auto" w:fill="auto"/>
            <w:noWrap/>
            <w:vAlign w:val="center"/>
            <w:hideMark/>
          </w:tcPr>
          <w:p w14:paraId="2D092B7D" w14:textId="77777777" w:rsidR="00BC5219" w:rsidRPr="005575F1" w:rsidRDefault="00BC5219" w:rsidP="00E83802">
            <w:pPr>
              <w:jc w:val="right"/>
              <w:rPr>
                <w:rFonts w:ascii="Times New Roman" w:eastAsia="Times New Roman" w:hAnsi="Times New Roman" w:cs="Times New Roman"/>
                <w:sz w:val="20"/>
                <w:szCs w:val="20"/>
                <w:lang w:eastAsia="en-AU"/>
              </w:rPr>
            </w:pPr>
          </w:p>
        </w:tc>
      </w:tr>
      <w:tr w:rsidR="00BC5219" w:rsidRPr="005575F1" w14:paraId="3BAF16CD" w14:textId="77777777" w:rsidTr="00E83802">
        <w:trPr>
          <w:trHeight w:val="198"/>
        </w:trPr>
        <w:tc>
          <w:tcPr>
            <w:tcW w:w="6116" w:type="dxa"/>
            <w:tcBorders>
              <w:top w:val="nil"/>
              <w:left w:val="nil"/>
              <w:bottom w:val="nil"/>
              <w:right w:val="nil"/>
            </w:tcBorders>
            <w:shd w:val="clear" w:color="auto" w:fill="auto"/>
            <w:noWrap/>
            <w:vAlign w:val="center"/>
            <w:hideMark/>
          </w:tcPr>
          <w:p w14:paraId="59F5E010" w14:textId="77777777" w:rsidR="00BC5219" w:rsidRPr="005575F1" w:rsidRDefault="00BC5219" w:rsidP="00E83802">
            <w:pPr>
              <w:rPr>
                <w:rFonts w:ascii="Meta Pro" w:eastAsia="Times New Roman" w:hAnsi="Meta Pro"/>
                <w:szCs w:val="18"/>
                <w:lang w:eastAsia="en-AU"/>
              </w:rPr>
            </w:pPr>
            <w:r w:rsidRPr="005575F1">
              <w:rPr>
                <w:rFonts w:ascii="Meta Pro" w:eastAsia="Times New Roman" w:hAnsi="Meta Pro"/>
                <w:szCs w:val="18"/>
                <w:lang w:eastAsia="en-AU"/>
              </w:rPr>
              <w:t>Depreciation of right-of-use assets</w:t>
            </w:r>
          </w:p>
        </w:tc>
        <w:tc>
          <w:tcPr>
            <w:tcW w:w="973" w:type="dxa"/>
            <w:tcBorders>
              <w:top w:val="nil"/>
              <w:left w:val="nil"/>
              <w:bottom w:val="nil"/>
              <w:right w:val="nil"/>
            </w:tcBorders>
            <w:shd w:val="clear" w:color="auto" w:fill="auto"/>
            <w:vAlign w:val="center"/>
            <w:hideMark/>
          </w:tcPr>
          <w:p w14:paraId="48A19B4E" w14:textId="77777777" w:rsidR="00BC5219" w:rsidRPr="005575F1" w:rsidRDefault="00BC5219" w:rsidP="00E83802">
            <w:pPr>
              <w:rPr>
                <w:rFonts w:ascii="Meta Pro" w:eastAsia="Times New Roman" w:hAnsi="Meta Pro"/>
                <w:szCs w:val="18"/>
                <w:lang w:eastAsia="en-AU"/>
              </w:rPr>
            </w:pPr>
          </w:p>
        </w:tc>
        <w:tc>
          <w:tcPr>
            <w:tcW w:w="1047" w:type="dxa"/>
            <w:tcBorders>
              <w:top w:val="nil"/>
              <w:left w:val="nil"/>
              <w:bottom w:val="nil"/>
              <w:right w:val="nil"/>
            </w:tcBorders>
            <w:shd w:val="clear" w:color="auto" w:fill="auto"/>
            <w:noWrap/>
            <w:vAlign w:val="center"/>
            <w:hideMark/>
          </w:tcPr>
          <w:p w14:paraId="7ACFE2D6" w14:textId="77777777" w:rsidR="00BC5219" w:rsidRPr="005575F1" w:rsidRDefault="00BC5219" w:rsidP="00E83802">
            <w:pPr>
              <w:jc w:val="center"/>
              <w:rPr>
                <w:rFonts w:ascii="Meta Pro" w:eastAsia="Times New Roman" w:hAnsi="Meta Pro"/>
                <w:szCs w:val="18"/>
                <w:lang w:eastAsia="en-AU"/>
              </w:rPr>
            </w:pPr>
            <w:r w:rsidRPr="005575F1">
              <w:rPr>
                <w:rFonts w:ascii="Meta Pro" w:eastAsia="Times New Roman" w:hAnsi="Meta Pro"/>
                <w:szCs w:val="18"/>
                <w:lang w:eastAsia="en-AU"/>
              </w:rPr>
              <w:t>10</w:t>
            </w:r>
          </w:p>
        </w:tc>
        <w:tc>
          <w:tcPr>
            <w:tcW w:w="196" w:type="dxa"/>
            <w:tcBorders>
              <w:top w:val="nil"/>
              <w:left w:val="nil"/>
              <w:bottom w:val="nil"/>
              <w:right w:val="nil"/>
            </w:tcBorders>
            <w:shd w:val="clear" w:color="auto" w:fill="auto"/>
            <w:noWrap/>
            <w:vAlign w:val="center"/>
            <w:hideMark/>
          </w:tcPr>
          <w:p w14:paraId="143E3457" w14:textId="77777777" w:rsidR="00BC5219" w:rsidRPr="005575F1" w:rsidRDefault="00BC5219" w:rsidP="00E83802">
            <w:pPr>
              <w:jc w:val="center"/>
              <w:rPr>
                <w:rFonts w:ascii="Meta Pro" w:eastAsia="Times New Roman" w:hAnsi="Meta Pro"/>
                <w:szCs w:val="18"/>
                <w:lang w:eastAsia="en-AU"/>
              </w:rPr>
            </w:pPr>
          </w:p>
        </w:tc>
        <w:tc>
          <w:tcPr>
            <w:tcW w:w="1096" w:type="dxa"/>
            <w:tcBorders>
              <w:top w:val="nil"/>
              <w:left w:val="nil"/>
              <w:bottom w:val="nil"/>
              <w:right w:val="nil"/>
            </w:tcBorders>
            <w:shd w:val="clear" w:color="000000" w:fill="C9E3B4"/>
            <w:noWrap/>
            <w:vAlign w:val="center"/>
            <w:hideMark/>
          </w:tcPr>
          <w:p w14:paraId="316AA62D" w14:textId="77777777" w:rsidR="00BC5219" w:rsidRPr="005575F1" w:rsidRDefault="00BC5219" w:rsidP="00E83802">
            <w:pPr>
              <w:jc w:val="right"/>
              <w:rPr>
                <w:rFonts w:ascii="Meta Pro" w:eastAsia="Times New Roman" w:hAnsi="Meta Pro"/>
                <w:szCs w:val="18"/>
                <w:lang w:eastAsia="en-AU"/>
              </w:rPr>
            </w:pPr>
            <w:r w:rsidRPr="005575F1">
              <w:rPr>
                <w:rFonts w:ascii="Meta Pro" w:eastAsia="Times New Roman" w:hAnsi="Meta Pro"/>
                <w:szCs w:val="18"/>
                <w:lang w:eastAsia="en-AU"/>
              </w:rPr>
              <w:t>(2,304)</w:t>
            </w:r>
          </w:p>
        </w:tc>
        <w:tc>
          <w:tcPr>
            <w:tcW w:w="196" w:type="dxa"/>
            <w:tcBorders>
              <w:top w:val="nil"/>
              <w:left w:val="nil"/>
              <w:bottom w:val="nil"/>
              <w:right w:val="nil"/>
            </w:tcBorders>
            <w:shd w:val="clear" w:color="auto" w:fill="auto"/>
            <w:noWrap/>
            <w:vAlign w:val="center"/>
            <w:hideMark/>
          </w:tcPr>
          <w:p w14:paraId="6375EB81" w14:textId="77777777" w:rsidR="00BC5219" w:rsidRPr="005575F1" w:rsidRDefault="00BC5219" w:rsidP="00E83802">
            <w:pPr>
              <w:jc w:val="right"/>
              <w:rPr>
                <w:rFonts w:ascii="Meta Pro" w:eastAsia="Times New Roman" w:hAnsi="Meta Pro"/>
                <w:szCs w:val="18"/>
                <w:lang w:eastAsia="en-AU"/>
              </w:rPr>
            </w:pPr>
          </w:p>
        </w:tc>
        <w:tc>
          <w:tcPr>
            <w:tcW w:w="1096" w:type="dxa"/>
            <w:tcBorders>
              <w:top w:val="nil"/>
              <w:left w:val="nil"/>
              <w:bottom w:val="nil"/>
              <w:right w:val="nil"/>
            </w:tcBorders>
            <w:shd w:val="clear" w:color="auto" w:fill="auto"/>
            <w:noWrap/>
            <w:vAlign w:val="center"/>
            <w:hideMark/>
          </w:tcPr>
          <w:p w14:paraId="3DD8A7ED" w14:textId="77777777" w:rsidR="00BC5219" w:rsidRPr="005575F1" w:rsidRDefault="00BC5219" w:rsidP="00E83802">
            <w:pPr>
              <w:jc w:val="right"/>
              <w:rPr>
                <w:rFonts w:ascii="Meta Pro" w:eastAsia="Times New Roman" w:hAnsi="Meta Pro"/>
                <w:szCs w:val="18"/>
                <w:lang w:eastAsia="en-AU"/>
              </w:rPr>
            </w:pPr>
            <w:r w:rsidRPr="005575F1">
              <w:rPr>
                <w:rFonts w:ascii="Meta Pro" w:eastAsia="Times New Roman" w:hAnsi="Meta Pro"/>
                <w:szCs w:val="18"/>
                <w:lang w:eastAsia="en-AU"/>
              </w:rPr>
              <w:t>(167)</w:t>
            </w:r>
          </w:p>
        </w:tc>
      </w:tr>
      <w:tr w:rsidR="00BC5219" w:rsidRPr="005575F1" w14:paraId="73DFAB46" w14:textId="77777777" w:rsidTr="00E83802">
        <w:trPr>
          <w:trHeight w:val="198"/>
        </w:trPr>
        <w:tc>
          <w:tcPr>
            <w:tcW w:w="6116" w:type="dxa"/>
            <w:tcBorders>
              <w:top w:val="nil"/>
              <w:left w:val="nil"/>
              <w:bottom w:val="nil"/>
              <w:right w:val="nil"/>
            </w:tcBorders>
            <w:shd w:val="clear" w:color="auto" w:fill="auto"/>
            <w:noWrap/>
            <w:vAlign w:val="center"/>
            <w:hideMark/>
          </w:tcPr>
          <w:p w14:paraId="470A78EF" w14:textId="77777777" w:rsidR="00BC5219" w:rsidRPr="005575F1" w:rsidRDefault="00BC5219" w:rsidP="00E83802">
            <w:pPr>
              <w:rPr>
                <w:rFonts w:ascii="Meta Pro" w:eastAsia="Times New Roman" w:hAnsi="Meta Pro"/>
                <w:szCs w:val="18"/>
                <w:lang w:eastAsia="en-AU"/>
              </w:rPr>
            </w:pPr>
            <w:r w:rsidRPr="005575F1">
              <w:rPr>
                <w:rFonts w:ascii="Meta Pro" w:eastAsia="Times New Roman" w:hAnsi="Meta Pro"/>
                <w:szCs w:val="18"/>
                <w:lang w:eastAsia="en-AU"/>
              </w:rPr>
              <w:t>Interest on lease liabilities</w:t>
            </w:r>
          </w:p>
        </w:tc>
        <w:tc>
          <w:tcPr>
            <w:tcW w:w="973" w:type="dxa"/>
            <w:tcBorders>
              <w:top w:val="nil"/>
              <w:left w:val="nil"/>
              <w:bottom w:val="nil"/>
              <w:right w:val="nil"/>
            </w:tcBorders>
            <w:shd w:val="clear" w:color="auto" w:fill="auto"/>
            <w:vAlign w:val="center"/>
            <w:hideMark/>
          </w:tcPr>
          <w:p w14:paraId="77CE4715" w14:textId="77777777" w:rsidR="00BC5219" w:rsidRPr="005575F1" w:rsidRDefault="00BC5219" w:rsidP="00E83802">
            <w:pPr>
              <w:rPr>
                <w:rFonts w:ascii="Meta Pro" w:eastAsia="Times New Roman" w:hAnsi="Meta Pro"/>
                <w:szCs w:val="18"/>
                <w:lang w:eastAsia="en-AU"/>
              </w:rPr>
            </w:pPr>
          </w:p>
        </w:tc>
        <w:tc>
          <w:tcPr>
            <w:tcW w:w="1047" w:type="dxa"/>
            <w:tcBorders>
              <w:top w:val="nil"/>
              <w:left w:val="nil"/>
              <w:bottom w:val="nil"/>
              <w:right w:val="nil"/>
            </w:tcBorders>
            <w:shd w:val="clear" w:color="auto" w:fill="auto"/>
            <w:noWrap/>
            <w:vAlign w:val="center"/>
            <w:hideMark/>
          </w:tcPr>
          <w:p w14:paraId="3F89DDCD" w14:textId="77777777" w:rsidR="00BC5219" w:rsidRPr="005575F1" w:rsidRDefault="00BC5219" w:rsidP="00E83802">
            <w:pPr>
              <w:jc w:val="center"/>
              <w:rPr>
                <w:rFonts w:ascii="Meta Pro" w:eastAsia="Times New Roman" w:hAnsi="Meta Pro"/>
                <w:szCs w:val="18"/>
                <w:lang w:eastAsia="en-AU"/>
              </w:rPr>
            </w:pPr>
            <w:r w:rsidRPr="005575F1">
              <w:rPr>
                <w:rFonts w:ascii="Meta Pro" w:eastAsia="Times New Roman" w:hAnsi="Meta Pro"/>
                <w:szCs w:val="18"/>
                <w:lang w:eastAsia="en-AU"/>
              </w:rPr>
              <w:t>9</w:t>
            </w:r>
          </w:p>
        </w:tc>
        <w:tc>
          <w:tcPr>
            <w:tcW w:w="196" w:type="dxa"/>
            <w:tcBorders>
              <w:top w:val="nil"/>
              <w:left w:val="nil"/>
              <w:bottom w:val="nil"/>
              <w:right w:val="nil"/>
            </w:tcBorders>
            <w:shd w:val="clear" w:color="auto" w:fill="auto"/>
            <w:noWrap/>
            <w:vAlign w:val="center"/>
            <w:hideMark/>
          </w:tcPr>
          <w:p w14:paraId="270ECDFA" w14:textId="77777777" w:rsidR="00BC5219" w:rsidRPr="005575F1" w:rsidRDefault="00BC5219" w:rsidP="00E83802">
            <w:pPr>
              <w:jc w:val="center"/>
              <w:rPr>
                <w:rFonts w:ascii="Meta Pro" w:eastAsia="Times New Roman" w:hAnsi="Meta Pro"/>
                <w:szCs w:val="18"/>
                <w:lang w:eastAsia="en-AU"/>
              </w:rPr>
            </w:pPr>
          </w:p>
        </w:tc>
        <w:tc>
          <w:tcPr>
            <w:tcW w:w="1096" w:type="dxa"/>
            <w:tcBorders>
              <w:top w:val="nil"/>
              <w:left w:val="nil"/>
              <w:bottom w:val="nil"/>
              <w:right w:val="nil"/>
            </w:tcBorders>
            <w:shd w:val="clear" w:color="000000" w:fill="C9E3B4"/>
            <w:noWrap/>
            <w:vAlign w:val="center"/>
            <w:hideMark/>
          </w:tcPr>
          <w:p w14:paraId="7E00B4C0" w14:textId="77777777" w:rsidR="00BC5219" w:rsidRPr="005575F1" w:rsidRDefault="00BC5219" w:rsidP="00E83802">
            <w:pPr>
              <w:jc w:val="right"/>
              <w:rPr>
                <w:rFonts w:ascii="Meta Pro" w:eastAsia="Times New Roman" w:hAnsi="Meta Pro"/>
                <w:szCs w:val="18"/>
                <w:lang w:eastAsia="en-AU"/>
              </w:rPr>
            </w:pPr>
            <w:r w:rsidRPr="005575F1">
              <w:rPr>
                <w:rFonts w:ascii="Meta Pro" w:eastAsia="Times New Roman" w:hAnsi="Meta Pro"/>
                <w:szCs w:val="18"/>
                <w:lang w:eastAsia="en-AU"/>
              </w:rPr>
              <w:t>(376)</w:t>
            </w:r>
          </w:p>
        </w:tc>
        <w:tc>
          <w:tcPr>
            <w:tcW w:w="196" w:type="dxa"/>
            <w:tcBorders>
              <w:top w:val="nil"/>
              <w:left w:val="nil"/>
              <w:bottom w:val="nil"/>
              <w:right w:val="nil"/>
            </w:tcBorders>
            <w:shd w:val="clear" w:color="auto" w:fill="auto"/>
            <w:noWrap/>
            <w:vAlign w:val="center"/>
            <w:hideMark/>
          </w:tcPr>
          <w:p w14:paraId="7C232E25" w14:textId="77777777" w:rsidR="00BC5219" w:rsidRPr="005575F1" w:rsidRDefault="00BC5219" w:rsidP="00E83802">
            <w:pPr>
              <w:jc w:val="right"/>
              <w:rPr>
                <w:rFonts w:ascii="Meta Pro" w:eastAsia="Times New Roman" w:hAnsi="Meta Pro"/>
                <w:szCs w:val="18"/>
                <w:lang w:eastAsia="en-AU"/>
              </w:rPr>
            </w:pPr>
          </w:p>
        </w:tc>
        <w:tc>
          <w:tcPr>
            <w:tcW w:w="1096" w:type="dxa"/>
            <w:tcBorders>
              <w:top w:val="nil"/>
              <w:left w:val="nil"/>
              <w:bottom w:val="nil"/>
              <w:right w:val="nil"/>
            </w:tcBorders>
            <w:shd w:val="clear" w:color="auto" w:fill="auto"/>
            <w:noWrap/>
            <w:vAlign w:val="center"/>
            <w:hideMark/>
          </w:tcPr>
          <w:p w14:paraId="6CAE4025" w14:textId="77777777" w:rsidR="00BC5219" w:rsidRPr="005575F1" w:rsidRDefault="00BC5219" w:rsidP="00E83802">
            <w:pPr>
              <w:jc w:val="right"/>
              <w:rPr>
                <w:rFonts w:ascii="Meta Pro" w:eastAsia="Times New Roman" w:hAnsi="Meta Pro"/>
                <w:szCs w:val="18"/>
                <w:lang w:eastAsia="en-AU"/>
              </w:rPr>
            </w:pPr>
            <w:r w:rsidRPr="005575F1">
              <w:rPr>
                <w:rFonts w:ascii="Meta Pro" w:eastAsia="Times New Roman" w:hAnsi="Meta Pro"/>
                <w:szCs w:val="18"/>
                <w:lang w:eastAsia="en-AU"/>
              </w:rPr>
              <w:t>(90)</w:t>
            </w:r>
          </w:p>
        </w:tc>
      </w:tr>
      <w:tr w:rsidR="00BC5219" w:rsidRPr="005575F1" w14:paraId="125AB39D" w14:textId="77777777" w:rsidTr="00E83802">
        <w:trPr>
          <w:trHeight w:val="198"/>
        </w:trPr>
        <w:tc>
          <w:tcPr>
            <w:tcW w:w="6116" w:type="dxa"/>
            <w:tcBorders>
              <w:top w:val="nil"/>
              <w:left w:val="nil"/>
              <w:bottom w:val="nil"/>
              <w:right w:val="nil"/>
            </w:tcBorders>
            <w:shd w:val="clear" w:color="auto" w:fill="auto"/>
            <w:noWrap/>
            <w:vAlign w:val="center"/>
            <w:hideMark/>
          </w:tcPr>
          <w:p w14:paraId="66BA828E" w14:textId="77777777" w:rsidR="00BC5219" w:rsidRPr="005575F1" w:rsidRDefault="00BC5219" w:rsidP="00E83802">
            <w:pPr>
              <w:rPr>
                <w:rFonts w:ascii="Meta Pro" w:eastAsia="Times New Roman" w:hAnsi="Meta Pro"/>
                <w:szCs w:val="18"/>
                <w:lang w:eastAsia="en-AU"/>
              </w:rPr>
            </w:pPr>
            <w:r w:rsidRPr="005575F1">
              <w:rPr>
                <w:rFonts w:ascii="Meta Pro" w:eastAsia="Times New Roman" w:hAnsi="Meta Pro"/>
                <w:szCs w:val="18"/>
                <w:lang w:eastAsia="en-AU"/>
              </w:rPr>
              <w:t>Short-term and low value leases</w:t>
            </w:r>
          </w:p>
        </w:tc>
        <w:tc>
          <w:tcPr>
            <w:tcW w:w="973" w:type="dxa"/>
            <w:tcBorders>
              <w:top w:val="nil"/>
              <w:left w:val="nil"/>
              <w:bottom w:val="nil"/>
              <w:right w:val="nil"/>
            </w:tcBorders>
            <w:shd w:val="clear" w:color="auto" w:fill="auto"/>
            <w:noWrap/>
            <w:vAlign w:val="center"/>
            <w:hideMark/>
          </w:tcPr>
          <w:p w14:paraId="1C2F719B" w14:textId="77777777" w:rsidR="00BC5219" w:rsidRPr="005575F1" w:rsidRDefault="00BC5219" w:rsidP="00E83802">
            <w:pPr>
              <w:rPr>
                <w:rFonts w:ascii="Meta Pro" w:eastAsia="Times New Roman" w:hAnsi="Meta Pro"/>
                <w:szCs w:val="18"/>
                <w:lang w:eastAsia="en-AU"/>
              </w:rPr>
            </w:pPr>
          </w:p>
        </w:tc>
        <w:tc>
          <w:tcPr>
            <w:tcW w:w="1047" w:type="dxa"/>
            <w:tcBorders>
              <w:top w:val="nil"/>
              <w:left w:val="nil"/>
              <w:bottom w:val="nil"/>
              <w:right w:val="nil"/>
            </w:tcBorders>
            <w:shd w:val="clear" w:color="auto" w:fill="auto"/>
            <w:noWrap/>
            <w:vAlign w:val="center"/>
            <w:hideMark/>
          </w:tcPr>
          <w:p w14:paraId="63260FFD" w14:textId="77777777" w:rsidR="00BC5219" w:rsidRPr="005575F1" w:rsidRDefault="00BC5219" w:rsidP="00E83802">
            <w:pPr>
              <w:jc w:val="center"/>
              <w:rPr>
                <w:rFonts w:ascii="Meta Pro" w:eastAsia="Times New Roman" w:hAnsi="Meta Pro"/>
                <w:szCs w:val="18"/>
                <w:lang w:eastAsia="en-AU"/>
              </w:rPr>
            </w:pPr>
            <w:r w:rsidRPr="005575F1">
              <w:rPr>
                <w:rFonts w:ascii="Meta Pro" w:eastAsia="Times New Roman" w:hAnsi="Meta Pro"/>
                <w:szCs w:val="18"/>
                <w:lang w:eastAsia="en-AU"/>
              </w:rPr>
              <w:t>7</w:t>
            </w:r>
          </w:p>
        </w:tc>
        <w:tc>
          <w:tcPr>
            <w:tcW w:w="196" w:type="dxa"/>
            <w:tcBorders>
              <w:top w:val="nil"/>
              <w:left w:val="nil"/>
              <w:bottom w:val="nil"/>
              <w:right w:val="nil"/>
            </w:tcBorders>
            <w:shd w:val="clear" w:color="auto" w:fill="auto"/>
            <w:noWrap/>
            <w:vAlign w:val="center"/>
            <w:hideMark/>
          </w:tcPr>
          <w:p w14:paraId="46403E18" w14:textId="77777777" w:rsidR="00BC5219" w:rsidRPr="005575F1" w:rsidRDefault="00BC5219" w:rsidP="00E83802">
            <w:pPr>
              <w:jc w:val="center"/>
              <w:rPr>
                <w:rFonts w:ascii="Meta Pro" w:eastAsia="Times New Roman" w:hAnsi="Meta Pro"/>
                <w:szCs w:val="18"/>
                <w:lang w:eastAsia="en-AU"/>
              </w:rPr>
            </w:pPr>
          </w:p>
        </w:tc>
        <w:tc>
          <w:tcPr>
            <w:tcW w:w="1096" w:type="dxa"/>
            <w:tcBorders>
              <w:top w:val="nil"/>
              <w:left w:val="nil"/>
              <w:bottom w:val="nil"/>
              <w:right w:val="nil"/>
            </w:tcBorders>
            <w:shd w:val="clear" w:color="000000" w:fill="C9E3B4"/>
            <w:noWrap/>
            <w:vAlign w:val="center"/>
            <w:hideMark/>
          </w:tcPr>
          <w:p w14:paraId="299AE8C0" w14:textId="77777777" w:rsidR="00BC5219" w:rsidRPr="005575F1" w:rsidRDefault="00BC5219" w:rsidP="00E83802">
            <w:pPr>
              <w:jc w:val="right"/>
              <w:rPr>
                <w:rFonts w:ascii="Meta Pro" w:eastAsia="Times New Roman" w:hAnsi="Meta Pro"/>
                <w:szCs w:val="18"/>
                <w:lang w:eastAsia="en-AU"/>
              </w:rPr>
            </w:pPr>
            <w:r w:rsidRPr="005575F1">
              <w:rPr>
                <w:rFonts w:ascii="Meta Pro" w:eastAsia="Times New Roman" w:hAnsi="Meta Pro"/>
                <w:szCs w:val="18"/>
                <w:lang w:eastAsia="en-AU"/>
              </w:rPr>
              <w:t>(1,001)</w:t>
            </w:r>
          </w:p>
        </w:tc>
        <w:tc>
          <w:tcPr>
            <w:tcW w:w="196" w:type="dxa"/>
            <w:tcBorders>
              <w:top w:val="nil"/>
              <w:left w:val="nil"/>
              <w:bottom w:val="nil"/>
              <w:right w:val="nil"/>
            </w:tcBorders>
            <w:shd w:val="clear" w:color="auto" w:fill="auto"/>
            <w:noWrap/>
            <w:vAlign w:val="center"/>
            <w:hideMark/>
          </w:tcPr>
          <w:p w14:paraId="36DFD2E9" w14:textId="77777777" w:rsidR="00BC5219" w:rsidRPr="005575F1" w:rsidRDefault="00BC5219" w:rsidP="00E83802">
            <w:pPr>
              <w:jc w:val="right"/>
              <w:rPr>
                <w:rFonts w:ascii="Meta Pro" w:eastAsia="Times New Roman" w:hAnsi="Meta Pro"/>
                <w:szCs w:val="18"/>
                <w:lang w:eastAsia="en-AU"/>
              </w:rPr>
            </w:pPr>
          </w:p>
        </w:tc>
        <w:tc>
          <w:tcPr>
            <w:tcW w:w="1096" w:type="dxa"/>
            <w:tcBorders>
              <w:top w:val="nil"/>
              <w:left w:val="nil"/>
              <w:bottom w:val="nil"/>
              <w:right w:val="nil"/>
            </w:tcBorders>
            <w:shd w:val="clear" w:color="auto" w:fill="auto"/>
            <w:noWrap/>
            <w:vAlign w:val="center"/>
            <w:hideMark/>
          </w:tcPr>
          <w:p w14:paraId="43AB0139" w14:textId="77777777" w:rsidR="00BC5219" w:rsidRPr="005575F1" w:rsidRDefault="00BC5219" w:rsidP="00E83802">
            <w:pPr>
              <w:jc w:val="right"/>
              <w:rPr>
                <w:rFonts w:ascii="Meta Pro" w:eastAsia="Times New Roman" w:hAnsi="Meta Pro"/>
                <w:szCs w:val="18"/>
                <w:lang w:eastAsia="en-AU"/>
              </w:rPr>
            </w:pPr>
            <w:r w:rsidRPr="005575F1">
              <w:rPr>
                <w:rFonts w:ascii="Meta Pro" w:eastAsia="Times New Roman" w:hAnsi="Meta Pro"/>
                <w:szCs w:val="18"/>
                <w:lang w:eastAsia="en-AU"/>
              </w:rPr>
              <w:t>(750)</w:t>
            </w:r>
          </w:p>
        </w:tc>
      </w:tr>
      <w:tr w:rsidR="00BC5219" w:rsidRPr="005575F1" w14:paraId="1699B577" w14:textId="77777777" w:rsidTr="00E83802">
        <w:trPr>
          <w:trHeight w:val="198"/>
        </w:trPr>
        <w:tc>
          <w:tcPr>
            <w:tcW w:w="6116" w:type="dxa"/>
            <w:tcBorders>
              <w:top w:val="single" w:sz="4" w:space="0" w:color="auto"/>
              <w:left w:val="nil"/>
              <w:bottom w:val="double" w:sz="6" w:space="0" w:color="auto"/>
              <w:right w:val="nil"/>
            </w:tcBorders>
            <w:shd w:val="clear" w:color="auto" w:fill="auto"/>
            <w:noWrap/>
            <w:vAlign w:val="center"/>
            <w:hideMark/>
          </w:tcPr>
          <w:p w14:paraId="3CA94196" w14:textId="77777777" w:rsidR="00BC5219" w:rsidRPr="005575F1" w:rsidRDefault="00BC5219" w:rsidP="00E83802">
            <w:pPr>
              <w:rPr>
                <w:rFonts w:ascii="Meta Pro" w:eastAsia="Times New Roman" w:hAnsi="Meta Pro"/>
                <w:b/>
                <w:bCs/>
                <w:szCs w:val="18"/>
                <w:lang w:eastAsia="en-AU"/>
              </w:rPr>
            </w:pPr>
            <w:r w:rsidRPr="005575F1">
              <w:rPr>
                <w:rFonts w:ascii="Meta Pro" w:eastAsia="Times New Roman" w:hAnsi="Meta Pro"/>
                <w:b/>
                <w:bCs/>
                <w:szCs w:val="18"/>
                <w:lang w:eastAsia="en-AU"/>
              </w:rPr>
              <w:t>Net impact on operating result</w:t>
            </w:r>
          </w:p>
        </w:tc>
        <w:tc>
          <w:tcPr>
            <w:tcW w:w="973" w:type="dxa"/>
            <w:tcBorders>
              <w:top w:val="single" w:sz="4" w:space="0" w:color="auto"/>
              <w:left w:val="nil"/>
              <w:bottom w:val="double" w:sz="6" w:space="0" w:color="auto"/>
              <w:right w:val="nil"/>
            </w:tcBorders>
            <w:shd w:val="clear" w:color="auto" w:fill="auto"/>
            <w:noWrap/>
            <w:vAlign w:val="center"/>
            <w:hideMark/>
          </w:tcPr>
          <w:p w14:paraId="4445F022" w14:textId="77777777" w:rsidR="00BC5219" w:rsidRPr="005575F1" w:rsidRDefault="00BC5219" w:rsidP="00E83802">
            <w:pPr>
              <w:jc w:val="center"/>
              <w:rPr>
                <w:rFonts w:ascii="Meta Pro" w:eastAsia="Times New Roman" w:hAnsi="Meta Pro"/>
                <w:szCs w:val="18"/>
                <w:lang w:eastAsia="en-AU"/>
              </w:rPr>
            </w:pPr>
            <w:r w:rsidRPr="005575F1">
              <w:rPr>
                <w:rFonts w:ascii="Meta Pro" w:eastAsia="Times New Roman" w:hAnsi="Meta Pro"/>
                <w:szCs w:val="18"/>
                <w:lang w:eastAsia="en-AU"/>
              </w:rPr>
              <w:t> </w:t>
            </w:r>
          </w:p>
        </w:tc>
        <w:tc>
          <w:tcPr>
            <w:tcW w:w="1047" w:type="dxa"/>
            <w:tcBorders>
              <w:top w:val="single" w:sz="4" w:space="0" w:color="auto"/>
              <w:left w:val="nil"/>
              <w:bottom w:val="double" w:sz="6" w:space="0" w:color="auto"/>
              <w:right w:val="nil"/>
            </w:tcBorders>
            <w:shd w:val="clear" w:color="auto" w:fill="auto"/>
            <w:noWrap/>
            <w:vAlign w:val="center"/>
            <w:hideMark/>
          </w:tcPr>
          <w:p w14:paraId="4A1A1D9F" w14:textId="77777777" w:rsidR="00BC5219" w:rsidRPr="005575F1" w:rsidRDefault="00BC5219" w:rsidP="00E83802">
            <w:pPr>
              <w:jc w:val="center"/>
              <w:rPr>
                <w:rFonts w:ascii="Meta Pro" w:eastAsia="Times New Roman" w:hAnsi="Meta Pro"/>
                <w:szCs w:val="18"/>
                <w:lang w:eastAsia="en-AU"/>
              </w:rPr>
            </w:pPr>
            <w:r w:rsidRPr="005575F1">
              <w:rPr>
                <w:rFonts w:ascii="Meta Pro" w:eastAsia="Times New Roman" w:hAnsi="Meta Pro"/>
                <w:szCs w:val="18"/>
                <w:lang w:eastAsia="en-AU"/>
              </w:rPr>
              <w:t> </w:t>
            </w:r>
          </w:p>
        </w:tc>
        <w:tc>
          <w:tcPr>
            <w:tcW w:w="196" w:type="dxa"/>
            <w:tcBorders>
              <w:top w:val="single" w:sz="4" w:space="0" w:color="auto"/>
              <w:left w:val="nil"/>
              <w:bottom w:val="double" w:sz="6" w:space="0" w:color="auto"/>
              <w:right w:val="nil"/>
            </w:tcBorders>
            <w:shd w:val="clear" w:color="auto" w:fill="auto"/>
            <w:noWrap/>
            <w:vAlign w:val="center"/>
            <w:hideMark/>
          </w:tcPr>
          <w:p w14:paraId="66EF2B5C" w14:textId="77777777" w:rsidR="00BC5219" w:rsidRPr="005575F1" w:rsidRDefault="00BC5219" w:rsidP="00E83802">
            <w:pPr>
              <w:rPr>
                <w:rFonts w:ascii="Meta Pro" w:eastAsia="Times New Roman" w:hAnsi="Meta Pro"/>
                <w:sz w:val="20"/>
                <w:szCs w:val="20"/>
                <w:lang w:eastAsia="en-AU"/>
              </w:rPr>
            </w:pPr>
            <w:r w:rsidRPr="005575F1">
              <w:rPr>
                <w:rFonts w:ascii="Meta Pro" w:eastAsia="Times New Roman" w:hAnsi="Meta Pro"/>
                <w:sz w:val="20"/>
                <w:szCs w:val="20"/>
                <w:lang w:eastAsia="en-AU"/>
              </w:rPr>
              <w:t> </w:t>
            </w:r>
          </w:p>
        </w:tc>
        <w:tc>
          <w:tcPr>
            <w:tcW w:w="1096" w:type="dxa"/>
            <w:tcBorders>
              <w:top w:val="single" w:sz="4" w:space="0" w:color="auto"/>
              <w:left w:val="nil"/>
              <w:bottom w:val="double" w:sz="6" w:space="0" w:color="auto"/>
              <w:right w:val="nil"/>
            </w:tcBorders>
            <w:shd w:val="clear" w:color="000000" w:fill="C9E3B4"/>
            <w:noWrap/>
            <w:vAlign w:val="center"/>
            <w:hideMark/>
          </w:tcPr>
          <w:p w14:paraId="005F5705" w14:textId="77777777" w:rsidR="00BC5219" w:rsidRPr="005575F1" w:rsidRDefault="00BC5219" w:rsidP="00E83802">
            <w:pPr>
              <w:jc w:val="right"/>
              <w:rPr>
                <w:rFonts w:ascii="Meta Pro" w:eastAsia="Times New Roman" w:hAnsi="Meta Pro"/>
                <w:b/>
                <w:bCs/>
                <w:szCs w:val="18"/>
                <w:lang w:eastAsia="en-AU"/>
              </w:rPr>
            </w:pPr>
            <w:r w:rsidRPr="005575F1">
              <w:rPr>
                <w:rFonts w:ascii="Meta Pro" w:eastAsia="Times New Roman" w:hAnsi="Meta Pro"/>
                <w:b/>
                <w:bCs/>
                <w:szCs w:val="18"/>
                <w:lang w:eastAsia="en-AU"/>
              </w:rPr>
              <w:t>(3,488)</w:t>
            </w:r>
          </w:p>
        </w:tc>
        <w:tc>
          <w:tcPr>
            <w:tcW w:w="196" w:type="dxa"/>
            <w:tcBorders>
              <w:top w:val="single" w:sz="4" w:space="0" w:color="auto"/>
              <w:left w:val="nil"/>
              <w:bottom w:val="double" w:sz="6" w:space="0" w:color="auto"/>
              <w:right w:val="nil"/>
            </w:tcBorders>
            <w:shd w:val="clear" w:color="auto" w:fill="auto"/>
            <w:vAlign w:val="center"/>
            <w:hideMark/>
          </w:tcPr>
          <w:p w14:paraId="649A1230" w14:textId="77777777" w:rsidR="00BC5219" w:rsidRPr="005575F1" w:rsidRDefault="00BC5219" w:rsidP="00E83802">
            <w:pPr>
              <w:rPr>
                <w:rFonts w:ascii="Meta Pro" w:eastAsia="Times New Roman" w:hAnsi="Meta Pro"/>
                <w:szCs w:val="18"/>
                <w:lang w:eastAsia="en-AU"/>
              </w:rPr>
            </w:pPr>
            <w:r w:rsidRPr="005575F1">
              <w:rPr>
                <w:rFonts w:ascii="Meta Pro" w:eastAsia="Times New Roman" w:hAnsi="Meta Pro"/>
                <w:szCs w:val="18"/>
                <w:lang w:eastAsia="en-AU"/>
              </w:rPr>
              <w:t> </w:t>
            </w:r>
          </w:p>
        </w:tc>
        <w:tc>
          <w:tcPr>
            <w:tcW w:w="1096" w:type="dxa"/>
            <w:tcBorders>
              <w:top w:val="single" w:sz="4" w:space="0" w:color="auto"/>
              <w:left w:val="nil"/>
              <w:bottom w:val="double" w:sz="6" w:space="0" w:color="auto"/>
              <w:right w:val="nil"/>
            </w:tcBorders>
            <w:shd w:val="clear" w:color="auto" w:fill="auto"/>
            <w:noWrap/>
            <w:vAlign w:val="center"/>
            <w:hideMark/>
          </w:tcPr>
          <w:p w14:paraId="05B89E33" w14:textId="77777777" w:rsidR="00BC5219" w:rsidRPr="005575F1" w:rsidRDefault="00BC5219" w:rsidP="00E83802">
            <w:pPr>
              <w:jc w:val="right"/>
              <w:rPr>
                <w:rFonts w:ascii="Meta Pro" w:eastAsia="Times New Roman" w:hAnsi="Meta Pro"/>
                <w:b/>
                <w:bCs/>
                <w:szCs w:val="18"/>
                <w:lang w:eastAsia="en-AU"/>
              </w:rPr>
            </w:pPr>
            <w:r w:rsidRPr="005575F1">
              <w:rPr>
                <w:rFonts w:ascii="Meta Pro" w:eastAsia="Times New Roman" w:hAnsi="Meta Pro"/>
                <w:b/>
                <w:bCs/>
                <w:szCs w:val="18"/>
                <w:lang w:eastAsia="en-AU"/>
              </w:rPr>
              <w:t>(862)</w:t>
            </w:r>
          </w:p>
        </w:tc>
      </w:tr>
      <w:tr w:rsidR="00BC5219" w:rsidRPr="005575F1" w14:paraId="3106C640" w14:textId="77777777" w:rsidTr="00E83802">
        <w:trPr>
          <w:trHeight w:val="198"/>
        </w:trPr>
        <w:tc>
          <w:tcPr>
            <w:tcW w:w="6116" w:type="dxa"/>
            <w:tcBorders>
              <w:top w:val="nil"/>
              <w:left w:val="nil"/>
              <w:bottom w:val="nil"/>
              <w:right w:val="nil"/>
            </w:tcBorders>
            <w:shd w:val="clear" w:color="auto" w:fill="auto"/>
            <w:noWrap/>
            <w:vAlign w:val="center"/>
            <w:hideMark/>
          </w:tcPr>
          <w:p w14:paraId="21D34CC8" w14:textId="77777777" w:rsidR="00BC5219" w:rsidRPr="005575F1" w:rsidRDefault="00BC5219" w:rsidP="00E83802">
            <w:pPr>
              <w:jc w:val="right"/>
              <w:rPr>
                <w:rFonts w:ascii="Meta Pro" w:eastAsia="Times New Roman" w:hAnsi="Meta Pro"/>
                <w:b/>
                <w:bCs/>
                <w:szCs w:val="18"/>
                <w:lang w:eastAsia="en-AU"/>
              </w:rPr>
            </w:pPr>
          </w:p>
        </w:tc>
        <w:tc>
          <w:tcPr>
            <w:tcW w:w="973" w:type="dxa"/>
            <w:tcBorders>
              <w:top w:val="single" w:sz="4" w:space="0" w:color="auto"/>
              <w:left w:val="nil"/>
              <w:bottom w:val="nil"/>
              <w:right w:val="nil"/>
            </w:tcBorders>
            <w:shd w:val="clear" w:color="auto" w:fill="auto"/>
            <w:noWrap/>
            <w:vAlign w:val="center"/>
            <w:hideMark/>
          </w:tcPr>
          <w:p w14:paraId="42355120" w14:textId="77777777" w:rsidR="00BC5219" w:rsidRPr="005575F1" w:rsidRDefault="00BC5219" w:rsidP="00E83802">
            <w:pPr>
              <w:jc w:val="center"/>
              <w:rPr>
                <w:rFonts w:ascii="Meta Pro" w:eastAsia="Times New Roman" w:hAnsi="Meta Pro"/>
                <w:szCs w:val="18"/>
                <w:lang w:eastAsia="en-AU"/>
              </w:rPr>
            </w:pPr>
            <w:r w:rsidRPr="005575F1">
              <w:rPr>
                <w:rFonts w:ascii="Meta Pro" w:eastAsia="Times New Roman" w:hAnsi="Meta Pro"/>
                <w:szCs w:val="18"/>
                <w:lang w:eastAsia="en-AU"/>
              </w:rPr>
              <w:t> </w:t>
            </w:r>
          </w:p>
        </w:tc>
        <w:tc>
          <w:tcPr>
            <w:tcW w:w="1047" w:type="dxa"/>
            <w:tcBorders>
              <w:top w:val="nil"/>
              <w:left w:val="nil"/>
              <w:bottom w:val="nil"/>
              <w:right w:val="nil"/>
            </w:tcBorders>
            <w:shd w:val="clear" w:color="auto" w:fill="auto"/>
            <w:noWrap/>
            <w:vAlign w:val="center"/>
            <w:hideMark/>
          </w:tcPr>
          <w:p w14:paraId="12760282" w14:textId="77777777" w:rsidR="00BC5219" w:rsidRPr="005575F1" w:rsidRDefault="00BC5219" w:rsidP="00E83802">
            <w:pPr>
              <w:jc w:val="center"/>
              <w:rPr>
                <w:rFonts w:ascii="Meta Pro" w:eastAsia="Times New Roman" w:hAnsi="Meta Pro"/>
                <w:szCs w:val="18"/>
                <w:lang w:eastAsia="en-AU"/>
              </w:rPr>
            </w:pPr>
          </w:p>
        </w:tc>
        <w:tc>
          <w:tcPr>
            <w:tcW w:w="196" w:type="dxa"/>
            <w:tcBorders>
              <w:top w:val="nil"/>
              <w:left w:val="nil"/>
              <w:bottom w:val="nil"/>
              <w:right w:val="nil"/>
            </w:tcBorders>
            <w:shd w:val="clear" w:color="auto" w:fill="auto"/>
            <w:noWrap/>
            <w:vAlign w:val="center"/>
            <w:hideMark/>
          </w:tcPr>
          <w:p w14:paraId="544AEC73" w14:textId="77777777" w:rsidR="00BC5219" w:rsidRPr="005575F1" w:rsidRDefault="00BC5219" w:rsidP="00E83802">
            <w:pPr>
              <w:jc w:val="right"/>
              <w:rPr>
                <w:rFonts w:ascii="Times New Roman" w:eastAsia="Times New Roman" w:hAnsi="Times New Roman" w:cs="Times New Roman"/>
                <w:sz w:val="20"/>
                <w:szCs w:val="20"/>
                <w:lang w:eastAsia="en-AU"/>
              </w:rPr>
            </w:pPr>
          </w:p>
        </w:tc>
        <w:tc>
          <w:tcPr>
            <w:tcW w:w="1096" w:type="dxa"/>
            <w:tcBorders>
              <w:top w:val="nil"/>
              <w:left w:val="nil"/>
              <w:bottom w:val="nil"/>
              <w:right w:val="nil"/>
            </w:tcBorders>
            <w:shd w:val="clear" w:color="auto" w:fill="auto"/>
            <w:noWrap/>
            <w:vAlign w:val="center"/>
            <w:hideMark/>
          </w:tcPr>
          <w:p w14:paraId="595DCC98" w14:textId="77777777" w:rsidR="00BC5219" w:rsidRPr="005575F1" w:rsidRDefault="00BC5219" w:rsidP="00E83802">
            <w:pPr>
              <w:rPr>
                <w:rFonts w:ascii="Times New Roman" w:eastAsia="Times New Roman" w:hAnsi="Times New Roman"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7E7ED4BB" w14:textId="77777777" w:rsidR="00BC5219" w:rsidRPr="005575F1" w:rsidRDefault="00BC5219" w:rsidP="00E83802">
            <w:pPr>
              <w:jc w:val="right"/>
              <w:rPr>
                <w:rFonts w:ascii="Times New Roman" w:eastAsia="Times New Roman" w:hAnsi="Times New Roman" w:cs="Times New Roman"/>
                <w:sz w:val="20"/>
                <w:szCs w:val="20"/>
                <w:lang w:eastAsia="en-AU"/>
              </w:rPr>
            </w:pPr>
          </w:p>
        </w:tc>
        <w:tc>
          <w:tcPr>
            <w:tcW w:w="1096" w:type="dxa"/>
            <w:tcBorders>
              <w:top w:val="nil"/>
              <w:left w:val="nil"/>
              <w:bottom w:val="nil"/>
              <w:right w:val="nil"/>
            </w:tcBorders>
            <w:shd w:val="clear" w:color="auto" w:fill="auto"/>
            <w:noWrap/>
            <w:vAlign w:val="center"/>
            <w:hideMark/>
          </w:tcPr>
          <w:p w14:paraId="62B41141" w14:textId="77777777" w:rsidR="00BC5219" w:rsidRPr="005575F1" w:rsidRDefault="00BC5219" w:rsidP="00E83802">
            <w:pPr>
              <w:rPr>
                <w:rFonts w:ascii="Times New Roman" w:eastAsia="Times New Roman" w:hAnsi="Times New Roman" w:cs="Times New Roman"/>
                <w:sz w:val="20"/>
                <w:szCs w:val="20"/>
                <w:lang w:eastAsia="en-AU"/>
              </w:rPr>
            </w:pPr>
          </w:p>
        </w:tc>
      </w:tr>
      <w:tr w:rsidR="00BC5219" w:rsidRPr="005575F1" w14:paraId="5BBFE61A" w14:textId="77777777" w:rsidTr="00E83802">
        <w:trPr>
          <w:trHeight w:val="198"/>
        </w:trPr>
        <w:tc>
          <w:tcPr>
            <w:tcW w:w="6116" w:type="dxa"/>
            <w:tcBorders>
              <w:top w:val="nil"/>
              <w:left w:val="nil"/>
              <w:bottom w:val="nil"/>
              <w:right w:val="nil"/>
            </w:tcBorders>
            <w:shd w:val="clear" w:color="auto" w:fill="auto"/>
            <w:noWrap/>
            <w:vAlign w:val="center"/>
            <w:hideMark/>
          </w:tcPr>
          <w:p w14:paraId="6BF064B5" w14:textId="77777777" w:rsidR="00BC5219" w:rsidRPr="005575F1" w:rsidRDefault="00BC5219" w:rsidP="00E83802">
            <w:pPr>
              <w:rPr>
                <w:rFonts w:ascii="Meta Pro" w:eastAsia="Times New Roman" w:hAnsi="Meta Pro"/>
                <w:b/>
                <w:bCs/>
                <w:color w:val="000000"/>
                <w:szCs w:val="18"/>
                <w:lang w:eastAsia="en-AU"/>
              </w:rPr>
            </w:pPr>
            <w:r w:rsidRPr="005575F1">
              <w:rPr>
                <w:rFonts w:ascii="Meta Pro" w:eastAsia="Times New Roman" w:hAnsi="Meta Pro"/>
                <w:b/>
                <w:bCs/>
                <w:color w:val="000000"/>
                <w:szCs w:val="18"/>
                <w:lang w:eastAsia="en-AU"/>
              </w:rPr>
              <w:t>Amounts recognised in Statement of cash flows</w:t>
            </w:r>
          </w:p>
        </w:tc>
        <w:tc>
          <w:tcPr>
            <w:tcW w:w="973" w:type="dxa"/>
            <w:tcBorders>
              <w:top w:val="nil"/>
              <w:left w:val="nil"/>
              <w:bottom w:val="nil"/>
              <w:right w:val="nil"/>
            </w:tcBorders>
            <w:shd w:val="clear" w:color="auto" w:fill="auto"/>
            <w:noWrap/>
            <w:vAlign w:val="center"/>
            <w:hideMark/>
          </w:tcPr>
          <w:p w14:paraId="00545D55" w14:textId="77777777" w:rsidR="00BC5219" w:rsidRPr="005575F1" w:rsidRDefault="00BC5219" w:rsidP="00E83802">
            <w:pPr>
              <w:rPr>
                <w:rFonts w:ascii="Meta Pro" w:eastAsia="Times New Roman" w:hAnsi="Meta Pro"/>
                <w:b/>
                <w:bCs/>
                <w:color w:val="000000"/>
                <w:szCs w:val="18"/>
                <w:lang w:eastAsia="en-AU"/>
              </w:rPr>
            </w:pPr>
          </w:p>
        </w:tc>
        <w:tc>
          <w:tcPr>
            <w:tcW w:w="1047" w:type="dxa"/>
            <w:tcBorders>
              <w:top w:val="nil"/>
              <w:left w:val="nil"/>
              <w:bottom w:val="nil"/>
              <w:right w:val="nil"/>
            </w:tcBorders>
            <w:shd w:val="clear" w:color="auto" w:fill="auto"/>
            <w:noWrap/>
            <w:vAlign w:val="center"/>
            <w:hideMark/>
          </w:tcPr>
          <w:p w14:paraId="3F8D36CF" w14:textId="77777777" w:rsidR="00BC5219" w:rsidRPr="005575F1" w:rsidRDefault="00BC5219" w:rsidP="00E83802">
            <w:pPr>
              <w:jc w:val="center"/>
              <w:rPr>
                <w:rFonts w:ascii="Times New Roman" w:eastAsia="Times New Roman" w:hAnsi="Times New Roman"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277C6E21" w14:textId="77777777" w:rsidR="00BC5219" w:rsidRPr="005575F1" w:rsidRDefault="00BC5219" w:rsidP="00E83802">
            <w:pPr>
              <w:jc w:val="right"/>
              <w:rPr>
                <w:rFonts w:ascii="Times New Roman" w:eastAsia="Times New Roman" w:hAnsi="Times New Roman" w:cs="Times New Roman"/>
                <w:sz w:val="20"/>
                <w:szCs w:val="20"/>
                <w:lang w:eastAsia="en-AU"/>
              </w:rPr>
            </w:pPr>
          </w:p>
        </w:tc>
        <w:tc>
          <w:tcPr>
            <w:tcW w:w="1096" w:type="dxa"/>
            <w:tcBorders>
              <w:top w:val="nil"/>
              <w:left w:val="nil"/>
              <w:bottom w:val="nil"/>
              <w:right w:val="nil"/>
            </w:tcBorders>
            <w:shd w:val="clear" w:color="auto" w:fill="auto"/>
            <w:noWrap/>
            <w:vAlign w:val="center"/>
            <w:hideMark/>
          </w:tcPr>
          <w:p w14:paraId="6B99C26D" w14:textId="77777777" w:rsidR="00BC5219" w:rsidRPr="005575F1" w:rsidRDefault="00BC5219" w:rsidP="00E83802">
            <w:pPr>
              <w:rPr>
                <w:rFonts w:ascii="Times New Roman" w:eastAsia="Times New Roman" w:hAnsi="Times New Roman"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04C4B2A8" w14:textId="77777777" w:rsidR="00BC5219" w:rsidRPr="005575F1" w:rsidRDefault="00BC5219" w:rsidP="00E83802">
            <w:pPr>
              <w:rPr>
                <w:rFonts w:ascii="Times New Roman" w:eastAsia="Times New Roman" w:hAnsi="Times New Roman" w:cs="Times New Roman"/>
                <w:sz w:val="20"/>
                <w:szCs w:val="20"/>
                <w:lang w:eastAsia="en-AU"/>
              </w:rPr>
            </w:pPr>
          </w:p>
        </w:tc>
        <w:tc>
          <w:tcPr>
            <w:tcW w:w="1096" w:type="dxa"/>
            <w:tcBorders>
              <w:top w:val="nil"/>
              <w:left w:val="nil"/>
              <w:bottom w:val="nil"/>
              <w:right w:val="nil"/>
            </w:tcBorders>
            <w:shd w:val="clear" w:color="auto" w:fill="auto"/>
            <w:noWrap/>
            <w:vAlign w:val="center"/>
            <w:hideMark/>
          </w:tcPr>
          <w:p w14:paraId="09068F9B" w14:textId="77777777" w:rsidR="00BC5219" w:rsidRPr="005575F1" w:rsidRDefault="00BC5219" w:rsidP="00E83802">
            <w:pPr>
              <w:rPr>
                <w:rFonts w:ascii="Times New Roman" w:eastAsia="Times New Roman" w:hAnsi="Times New Roman" w:cs="Times New Roman"/>
                <w:sz w:val="20"/>
                <w:szCs w:val="20"/>
                <w:lang w:eastAsia="en-AU"/>
              </w:rPr>
            </w:pPr>
          </w:p>
        </w:tc>
      </w:tr>
      <w:tr w:rsidR="00BC5219" w:rsidRPr="005575F1" w14:paraId="4605767B" w14:textId="77777777" w:rsidTr="00E83802">
        <w:trPr>
          <w:trHeight w:val="198"/>
        </w:trPr>
        <w:tc>
          <w:tcPr>
            <w:tcW w:w="6116" w:type="dxa"/>
            <w:tcBorders>
              <w:top w:val="nil"/>
              <w:left w:val="nil"/>
              <w:bottom w:val="nil"/>
              <w:right w:val="nil"/>
            </w:tcBorders>
            <w:shd w:val="clear" w:color="auto" w:fill="auto"/>
            <w:noWrap/>
            <w:vAlign w:val="center"/>
            <w:hideMark/>
          </w:tcPr>
          <w:p w14:paraId="6BEB6782" w14:textId="77777777" w:rsidR="00BC5219" w:rsidRPr="005575F1" w:rsidRDefault="00BC5219" w:rsidP="00E83802">
            <w:pPr>
              <w:rPr>
                <w:rFonts w:ascii="Meta Pro" w:eastAsia="Times New Roman" w:hAnsi="Meta Pro"/>
                <w:color w:val="000000"/>
                <w:szCs w:val="18"/>
                <w:lang w:eastAsia="en-AU"/>
              </w:rPr>
            </w:pPr>
            <w:r w:rsidRPr="005575F1">
              <w:rPr>
                <w:rFonts w:ascii="Meta Pro" w:eastAsia="Times New Roman" w:hAnsi="Meta Pro"/>
                <w:color w:val="000000"/>
                <w:szCs w:val="18"/>
                <w:lang w:eastAsia="en-AU"/>
              </w:rPr>
              <w:t>Total cash outflow for leases</w:t>
            </w:r>
          </w:p>
        </w:tc>
        <w:tc>
          <w:tcPr>
            <w:tcW w:w="973" w:type="dxa"/>
            <w:tcBorders>
              <w:top w:val="nil"/>
              <w:left w:val="nil"/>
              <w:bottom w:val="nil"/>
              <w:right w:val="nil"/>
            </w:tcBorders>
            <w:shd w:val="clear" w:color="auto" w:fill="auto"/>
            <w:noWrap/>
            <w:vAlign w:val="center"/>
            <w:hideMark/>
          </w:tcPr>
          <w:p w14:paraId="40EECDED" w14:textId="77777777" w:rsidR="00BC5219" w:rsidRPr="005575F1" w:rsidRDefault="00BC5219" w:rsidP="00E83802">
            <w:pPr>
              <w:rPr>
                <w:rFonts w:ascii="Meta Pro" w:eastAsia="Times New Roman" w:hAnsi="Meta Pro"/>
                <w:color w:val="000000"/>
                <w:szCs w:val="18"/>
                <w:lang w:eastAsia="en-AU"/>
              </w:rPr>
            </w:pPr>
          </w:p>
        </w:tc>
        <w:tc>
          <w:tcPr>
            <w:tcW w:w="1047" w:type="dxa"/>
            <w:tcBorders>
              <w:top w:val="nil"/>
              <w:left w:val="nil"/>
              <w:bottom w:val="nil"/>
              <w:right w:val="nil"/>
            </w:tcBorders>
            <w:shd w:val="clear" w:color="auto" w:fill="auto"/>
            <w:noWrap/>
            <w:vAlign w:val="center"/>
            <w:hideMark/>
          </w:tcPr>
          <w:p w14:paraId="245EE5ED" w14:textId="77777777" w:rsidR="00BC5219" w:rsidRPr="005575F1" w:rsidRDefault="00BC5219" w:rsidP="00E83802">
            <w:pPr>
              <w:jc w:val="center"/>
              <w:rPr>
                <w:rFonts w:ascii="Times New Roman" w:eastAsia="Times New Roman" w:hAnsi="Times New Roman" w:cs="Times New Roman"/>
                <w:sz w:val="20"/>
                <w:szCs w:val="20"/>
                <w:lang w:eastAsia="en-AU"/>
              </w:rPr>
            </w:pPr>
          </w:p>
        </w:tc>
        <w:tc>
          <w:tcPr>
            <w:tcW w:w="196" w:type="dxa"/>
            <w:tcBorders>
              <w:top w:val="nil"/>
              <w:left w:val="nil"/>
              <w:bottom w:val="nil"/>
              <w:right w:val="nil"/>
            </w:tcBorders>
            <w:shd w:val="clear" w:color="auto" w:fill="auto"/>
            <w:noWrap/>
            <w:vAlign w:val="center"/>
            <w:hideMark/>
          </w:tcPr>
          <w:p w14:paraId="67A76CFE" w14:textId="77777777" w:rsidR="00BC5219" w:rsidRPr="005575F1" w:rsidRDefault="00BC5219" w:rsidP="00E83802">
            <w:pPr>
              <w:jc w:val="right"/>
              <w:rPr>
                <w:rFonts w:ascii="Times New Roman" w:eastAsia="Times New Roman" w:hAnsi="Times New Roman" w:cs="Times New Roman"/>
                <w:sz w:val="20"/>
                <w:szCs w:val="20"/>
                <w:lang w:eastAsia="en-AU"/>
              </w:rPr>
            </w:pPr>
          </w:p>
        </w:tc>
        <w:tc>
          <w:tcPr>
            <w:tcW w:w="1096" w:type="dxa"/>
            <w:tcBorders>
              <w:top w:val="nil"/>
              <w:left w:val="nil"/>
              <w:bottom w:val="nil"/>
              <w:right w:val="nil"/>
            </w:tcBorders>
            <w:shd w:val="clear" w:color="000000" w:fill="C9E3B4"/>
            <w:noWrap/>
            <w:vAlign w:val="center"/>
            <w:hideMark/>
          </w:tcPr>
          <w:p w14:paraId="1D0D3972" w14:textId="77777777" w:rsidR="00BC5219" w:rsidRPr="005575F1" w:rsidRDefault="00BC5219" w:rsidP="00E83802">
            <w:pPr>
              <w:jc w:val="right"/>
              <w:rPr>
                <w:rFonts w:ascii="Meta Pro" w:eastAsia="Times New Roman" w:hAnsi="Meta Pro"/>
                <w:szCs w:val="18"/>
                <w:lang w:eastAsia="en-AU"/>
              </w:rPr>
            </w:pPr>
            <w:r w:rsidRPr="005575F1">
              <w:rPr>
                <w:rFonts w:ascii="Meta Pro" w:eastAsia="Times New Roman" w:hAnsi="Meta Pro"/>
                <w:szCs w:val="18"/>
                <w:lang w:eastAsia="en-AU"/>
              </w:rPr>
              <w:t xml:space="preserve">2,710 </w:t>
            </w:r>
          </w:p>
        </w:tc>
        <w:tc>
          <w:tcPr>
            <w:tcW w:w="196" w:type="dxa"/>
            <w:tcBorders>
              <w:top w:val="nil"/>
              <w:left w:val="nil"/>
              <w:bottom w:val="nil"/>
              <w:right w:val="nil"/>
            </w:tcBorders>
            <w:shd w:val="clear" w:color="auto" w:fill="auto"/>
            <w:noWrap/>
            <w:vAlign w:val="bottom"/>
            <w:hideMark/>
          </w:tcPr>
          <w:p w14:paraId="1F6196D8" w14:textId="77777777" w:rsidR="00BC5219" w:rsidRPr="005575F1" w:rsidRDefault="00BC5219" w:rsidP="00E83802">
            <w:pPr>
              <w:jc w:val="right"/>
              <w:rPr>
                <w:rFonts w:ascii="Meta Pro" w:eastAsia="Times New Roman" w:hAnsi="Meta Pro"/>
                <w:szCs w:val="18"/>
                <w:lang w:eastAsia="en-AU"/>
              </w:rPr>
            </w:pPr>
          </w:p>
        </w:tc>
        <w:tc>
          <w:tcPr>
            <w:tcW w:w="1096" w:type="dxa"/>
            <w:tcBorders>
              <w:top w:val="nil"/>
              <w:left w:val="nil"/>
              <w:bottom w:val="nil"/>
              <w:right w:val="nil"/>
            </w:tcBorders>
            <w:shd w:val="clear" w:color="auto" w:fill="auto"/>
            <w:noWrap/>
            <w:vAlign w:val="bottom"/>
            <w:hideMark/>
          </w:tcPr>
          <w:p w14:paraId="7DE49A6E" w14:textId="77777777" w:rsidR="00BC5219" w:rsidRPr="005575F1" w:rsidRDefault="00BC5219" w:rsidP="00E83802">
            <w:pPr>
              <w:jc w:val="right"/>
              <w:rPr>
                <w:rFonts w:ascii="Meta Pro" w:eastAsia="Times New Roman" w:hAnsi="Meta Pro"/>
                <w:szCs w:val="18"/>
                <w:lang w:eastAsia="en-AU"/>
              </w:rPr>
            </w:pPr>
            <w:r w:rsidRPr="005575F1">
              <w:rPr>
                <w:rFonts w:ascii="Meta Pro" w:eastAsia="Times New Roman" w:hAnsi="Meta Pro"/>
                <w:szCs w:val="18"/>
                <w:lang w:eastAsia="en-AU"/>
              </w:rPr>
              <w:t xml:space="preserve">223 </w:t>
            </w:r>
          </w:p>
        </w:tc>
      </w:tr>
    </w:tbl>
    <w:p w14:paraId="5A9F24B9" w14:textId="77777777" w:rsidR="00BC5219" w:rsidRPr="008A2B8F" w:rsidRDefault="00BC5219" w:rsidP="00BC5219">
      <w:pPr>
        <w:spacing w:line="259" w:lineRule="auto"/>
        <w:rPr>
          <w:rFonts w:ascii="Meta Pro" w:eastAsia="Times New Roman" w:hAnsi="Meta Pro"/>
          <w:i/>
          <w:iCs/>
          <w:color w:val="000000" w:themeColor="text1"/>
          <w:lang w:eastAsia="en-AU"/>
        </w:rPr>
      </w:pPr>
      <w:r w:rsidRPr="008A2B8F">
        <w:rPr>
          <w:rFonts w:ascii="Meta Pro" w:eastAsia="Times New Roman" w:hAnsi="Meta Pro"/>
          <w:i/>
          <w:iCs/>
          <w:color w:val="000000" w:themeColor="text1"/>
          <w:lang w:eastAsia="en-AU"/>
        </w:rPr>
        <w:t>Department of Transport and Main Roads</w:t>
      </w:r>
    </w:p>
    <w:p w14:paraId="2650B775"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lastRenderedPageBreak/>
        <w:t>Notes to the financial statements 2022–23 (continued)</w:t>
      </w:r>
    </w:p>
    <w:p w14:paraId="019ACCB7" w14:textId="77777777" w:rsidR="00BC5219" w:rsidRPr="008A2B8F" w:rsidRDefault="00BC5219" w:rsidP="00BC5219">
      <w:pPr>
        <w:spacing w:line="17" w:lineRule="auto"/>
        <w:rPr>
          <w:rFonts w:ascii="Meta Pro" w:hAnsi="Meta Pro"/>
          <w:lang w:eastAsia="en-AU"/>
        </w:rPr>
      </w:pPr>
    </w:p>
    <w:p w14:paraId="2AAC275A" w14:textId="77777777" w:rsidR="00BC5219" w:rsidRDefault="00BC5219" w:rsidP="00BC5219">
      <w:pPr>
        <w:spacing w:line="17" w:lineRule="auto"/>
        <w:rPr>
          <w:rFonts w:ascii="Meta Pro" w:hAnsi="Meta Pro"/>
          <w:lang w:eastAsia="en-AU"/>
        </w:rPr>
      </w:pPr>
    </w:p>
    <w:p w14:paraId="296E7B3E" w14:textId="77777777" w:rsidR="00BC5219" w:rsidRDefault="00BC5219" w:rsidP="00BC5219">
      <w:pPr>
        <w:spacing w:line="17" w:lineRule="auto"/>
        <w:rPr>
          <w:rFonts w:ascii="Meta Pro" w:hAnsi="Meta Pro"/>
          <w:lang w:eastAsia="en-AU"/>
        </w:rPr>
      </w:pPr>
    </w:p>
    <w:p w14:paraId="0E7ACCCF" w14:textId="77777777" w:rsidR="00BC5219" w:rsidRDefault="00BC5219" w:rsidP="00BC5219">
      <w:pPr>
        <w:spacing w:line="17" w:lineRule="auto"/>
        <w:rPr>
          <w:rFonts w:ascii="Meta Pro" w:hAnsi="Meta Pro"/>
          <w:lang w:eastAsia="en-AU"/>
        </w:rPr>
      </w:pPr>
    </w:p>
    <w:p w14:paraId="180FE3C7" w14:textId="77777777" w:rsidR="00BC5219" w:rsidRDefault="00BC5219" w:rsidP="00BC5219">
      <w:pPr>
        <w:spacing w:line="17" w:lineRule="auto"/>
        <w:rPr>
          <w:rFonts w:ascii="Meta Pro" w:hAnsi="Meta Pro"/>
          <w:lang w:eastAsia="en-AU"/>
        </w:rPr>
      </w:pPr>
    </w:p>
    <w:p w14:paraId="34A1F876" w14:textId="77777777" w:rsidR="00BC5219" w:rsidRDefault="00BC5219" w:rsidP="00BC5219">
      <w:pPr>
        <w:rPr>
          <w:rFonts w:ascii="Meta Pro" w:hAnsi="Meta Pro"/>
          <w:b/>
          <w:bCs/>
          <w:lang w:eastAsia="en-AU"/>
        </w:rPr>
      </w:pPr>
    </w:p>
    <w:p w14:paraId="44C59AAD" w14:textId="77777777" w:rsidR="00BC5219" w:rsidRPr="005575F1" w:rsidRDefault="00BC5219" w:rsidP="00BC5219">
      <w:pPr>
        <w:rPr>
          <w:rFonts w:ascii="Meta Pro" w:hAnsi="Meta Pro"/>
          <w:b/>
          <w:bCs/>
          <w:lang w:eastAsia="en-AU"/>
        </w:rPr>
      </w:pPr>
      <w:r w:rsidRPr="005575F1">
        <w:rPr>
          <w:rFonts w:ascii="Meta Pro" w:hAnsi="Meta Pro"/>
          <w:b/>
          <w:bCs/>
          <w:lang w:eastAsia="en-AU"/>
        </w:rPr>
        <w:t>17     LEASES (continued)</w:t>
      </w:r>
    </w:p>
    <w:p w14:paraId="6BCBABD6" w14:textId="77777777" w:rsidR="00BC5219" w:rsidRPr="002674DF" w:rsidRDefault="00BC5219" w:rsidP="00BC5219">
      <w:pPr>
        <w:spacing w:before="120" w:after="120"/>
        <w:rPr>
          <w:rFonts w:ascii="Meta Pro" w:hAnsi="Meta Pro"/>
          <w:b/>
          <w:bCs/>
          <w:sz w:val="20"/>
          <w:szCs w:val="20"/>
          <w:lang w:eastAsia="en-AU"/>
        </w:rPr>
      </w:pPr>
      <w:r w:rsidRPr="002674DF">
        <w:rPr>
          <w:rFonts w:ascii="Meta Pro" w:hAnsi="Meta Pro"/>
          <w:b/>
          <w:bCs/>
          <w:sz w:val="20"/>
          <w:szCs w:val="20"/>
          <w:lang w:eastAsia="en-AU"/>
        </w:rPr>
        <w:t>LEASES AS LESSOR</w:t>
      </w:r>
    </w:p>
    <w:p w14:paraId="7F8C0FBF" w14:textId="77777777" w:rsidR="00BC5219" w:rsidRPr="008A2B8F" w:rsidRDefault="00BC5219" w:rsidP="00BC5219">
      <w:pPr>
        <w:spacing w:before="120" w:after="120"/>
        <w:rPr>
          <w:rFonts w:ascii="Meta Pro" w:hAnsi="Meta Pro"/>
          <w:b/>
          <w:bCs/>
          <w:szCs w:val="18"/>
          <w:lang w:eastAsia="en-AU"/>
        </w:rPr>
      </w:pPr>
      <w:r w:rsidRPr="008A2B8F">
        <w:rPr>
          <w:rFonts w:ascii="Meta Pro" w:hAnsi="Meta Pro"/>
          <w:b/>
          <w:bCs/>
          <w:szCs w:val="18"/>
          <w:lang w:eastAsia="en-AU"/>
        </w:rPr>
        <w:t>Details of leasing arrangements as lessor</w:t>
      </w:r>
    </w:p>
    <w:tbl>
      <w:tblPr>
        <w:tblW w:w="0" w:type="auto"/>
        <w:tblLayout w:type="fixed"/>
        <w:tblCellMar>
          <w:left w:w="57" w:type="dxa"/>
        </w:tblCellMar>
        <w:tblLook w:val="04A0" w:firstRow="1" w:lastRow="0" w:firstColumn="1" w:lastColumn="0" w:noHBand="0" w:noVBand="1"/>
      </w:tblPr>
      <w:tblGrid>
        <w:gridCol w:w="2268"/>
        <w:gridCol w:w="7938"/>
      </w:tblGrid>
      <w:tr w:rsidR="00BC5219" w:rsidRPr="008A2B8F" w14:paraId="5491565F" w14:textId="77777777" w:rsidTr="00E83802">
        <w:trPr>
          <w:trHeight w:val="1421"/>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3B451EE1" w14:textId="77777777" w:rsidR="00BC5219" w:rsidRPr="008A2B8F" w:rsidRDefault="00BC5219" w:rsidP="00E83802">
            <w:pPr>
              <w:rPr>
                <w:rFonts w:ascii="Meta Pro" w:eastAsia="Times New Roman" w:hAnsi="Meta Pro" w:cs="Calibri"/>
                <w:szCs w:val="18"/>
                <w:lang w:eastAsia="en-AU"/>
              </w:rPr>
            </w:pPr>
            <w:r w:rsidRPr="008A2B8F">
              <w:rPr>
                <w:rFonts w:ascii="Meta Pro" w:eastAsia="Times New Roman" w:hAnsi="Meta Pro" w:cs="Calibri"/>
                <w:szCs w:val="18"/>
                <w:lang w:eastAsia="en-AU"/>
              </w:rPr>
              <w:t>State-owned boat harbours</w:t>
            </w:r>
          </w:p>
        </w:tc>
        <w:tc>
          <w:tcPr>
            <w:tcW w:w="7938" w:type="dxa"/>
            <w:tcBorders>
              <w:top w:val="single" w:sz="4" w:space="0" w:color="auto"/>
              <w:left w:val="nil"/>
              <w:bottom w:val="single" w:sz="4" w:space="0" w:color="auto"/>
              <w:right w:val="single" w:sz="4" w:space="0" w:color="auto"/>
            </w:tcBorders>
            <w:shd w:val="clear" w:color="auto" w:fill="auto"/>
            <w:hideMark/>
          </w:tcPr>
          <w:p w14:paraId="65BE6764" w14:textId="77777777" w:rsidR="00BC5219" w:rsidRPr="008A2B8F" w:rsidRDefault="00BC5219" w:rsidP="00E83802">
            <w:pPr>
              <w:rPr>
                <w:rFonts w:ascii="Meta Pro" w:eastAsia="Times New Roman" w:hAnsi="Meta Pro" w:cs="Calibri"/>
                <w:szCs w:val="18"/>
                <w:lang w:eastAsia="en-AU"/>
              </w:rPr>
            </w:pPr>
            <w:r w:rsidRPr="008A2B8F">
              <w:rPr>
                <w:rFonts w:ascii="Meta Pro" w:eastAsia="Times New Roman" w:hAnsi="Meta Pro" w:cs="Calibri"/>
                <w:szCs w:val="18"/>
                <w:lang w:eastAsia="en-AU"/>
              </w:rPr>
              <w:t>The department owns and maintains public boating infrastructure in Queensland such as boat ramps, floating walkways, pontoons, jetties and breakwaters. The department is also responsible for maintaining the entrance and internal public navigation channels to those facilities. These facilities are leased to commercial operators and boat clubs to promote boating activities along the Queensland coast. Lease income from state-owned boat harbours is reported as Property rental in Note 3.</w:t>
            </w:r>
          </w:p>
        </w:tc>
      </w:tr>
      <w:tr w:rsidR="00BC5219" w:rsidRPr="008A2B8F" w14:paraId="57BAC2D2" w14:textId="77777777" w:rsidTr="00E83802">
        <w:trPr>
          <w:trHeight w:val="704"/>
        </w:trPr>
        <w:tc>
          <w:tcPr>
            <w:tcW w:w="2268" w:type="dxa"/>
            <w:tcBorders>
              <w:top w:val="nil"/>
              <w:left w:val="single" w:sz="4" w:space="0" w:color="auto"/>
              <w:bottom w:val="single" w:sz="4" w:space="0" w:color="auto"/>
              <w:right w:val="single" w:sz="4" w:space="0" w:color="auto"/>
            </w:tcBorders>
            <w:shd w:val="clear" w:color="auto" w:fill="auto"/>
            <w:hideMark/>
          </w:tcPr>
          <w:p w14:paraId="66AB5BB1" w14:textId="77777777" w:rsidR="00BC5219" w:rsidRPr="008A2B8F" w:rsidRDefault="00BC5219" w:rsidP="00E83802">
            <w:pPr>
              <w:rPr>
                <w:rFonts w:ascii="Meta Pro" w:eastAsia="Times New Roman" w:hAnsi="Meta Pro" w:cs="Calibri"/>
                <w:szCs w:val="18"/>
                <w:lang w:eastAsia="en-AU"/>
              </w:rPr>
            </w:pPr>
            <w:r w:rsidRPr="008A2B8F">
              <w:rPr>
                <w:rFonts w:ascii="Meta Pro" w:eastAsia="Times New Roman" w:hAnsi="Meta Pro" w:cs="Calibri"/>
                <w:szCs w:val="18"/>
                <w:lang w:eastAsia="en-AU"/>
              </w:rPr>
              <w:t>Sublease of land</w:t>
            </w:r>
          </w:p>
        </w:tc>
        <w:tc>
          <w:tcPr>
            <w:tcW w:w="7938" w:type="dxa"/>
            <w:tcBorders>
              <w:top w:val="nil"/>
              <w:left w:val="nil"/>
              <w:bottom w:val="single" w:sz="4" w:space="0" w:color="auto"/>
              <w:right w:val="single" w:sz="4" w:space="0" w:color="auto"/>
            </w:tcBorders>
            <w:shd w:val="clear" w:color="auto" w:fill="auto"/>
            <w:hideMark/>
          </w:tcPr>
          <w:p w14:paraId="56E985B1" w14:textId="77777777" w:rsidR="00BC5219" w:rsidRPr="008A2B8F" w:rsidRDefault="00BC5219" w:rsidP="00E83802">
            <w:pPr>
              <w:rPr>
                <w:rFonts w:ascii="Meta Pro" w:eastAsia="Times New Roman" w:hAnsi="Meta Pro" w:cs="Calibri"/>
                <w:szCs w:val="18"/>
                <w:lang w:eastAsia="en-AU"/>
              </w:rPr>
            </w:pPr>
            <w:r w:rsidRPr="008A2B8F">
              <w:rPr>
                <w:rFonts w:ascii="Meta Pro" w:eastAsia="Times New Roman" w:hAnsi="Meta Pro" w:cs="Calibri"/>
                <w:szCs w:val="18"/>
                <w:lang w:eastAsia="en-AU"/>
              </w:rPr>
              <w:t>The department's lease with Brisbane Airport Corporation Limited is subleased to Airtrain Citylink Limited (Airtrain) for the design, construction, operation and maintenance of the Brisbane Airport Rail Link</w:t>
            </w:r>
            <w:r>
              <w:rPr>
                <w:rFonts w:ascii="Meta Pro" w:eastAsia="Times New Roman" w:hAnsi="Meta Pro" w:cs="Calibri"/>
                <w:szCs w:val="18"/>
                <w:lang w:eastAsia="en-AU"/>
              </w:rPr>
              <w:t>. Refer to Note 12.</w:t>
            </w:r>
          </w:p>
        </w:tc>
      </w:tr>
    </w:tbl>
    <w:p w14:paraId="32D0E53B" w14:textId="77777777" w:rsidR="00BC5219" w:rsidRPr="008A2B8F" w:rsidRDefault="00BC5219" w:rsidP="00BC5219">
      <w:pPr>
        <w:rPr>
          <w:rFonts w:ascii="Meta Pro" w:hAnsi="Meta Pro"/>
          <w:lang w:eastAsia="en-AU"/>
        </w:rPr>
      </w:pPr>
    </w:p>
    <w:p w14:paraId="12F6D457" w14:textId="77777777" w:rsidR="00BC5219" w:rsidRPr="008A2B8F" w:rsidRDefault="00BC5219" w:rsidP="00BC5219">
      <w:pPr>
        <w:spacing w:after="120"/>
        <w:rPr>
          <w:rFonts w:ascii="Meta Pro" w:eastAsia="Times New Roman" w:hAnsi="Meta Pro"/>
          <w:b/>
          <w:bCs/>
          <w:szCs w:val="18"/>
          <w:lang w:eastAsia="en-AU"/>
        </w:rPr>
      </w:pPr>
      <w:r w:rsidRPr="008A2B8F">
        <w:rPr>
          <w:rFonts w:ascii="Meta Pro" w:eastAsia="Times New Roman" w:hAnsi="Meta Pro"/>
          <w:b/>
          <w:bCs/>
          <w:szCs w:val="18"/>
          <w:lang w:eastAsia="en-AU"/>
        </w:rPr>
        <w:t>Maturity analysis</w:t>
      </w:r>
    </w:p>
    <w:p w14:paraId="223CC129" w14:textId="77777777" w:rsidR="00BC5219" w:rsidRPr="008E6A4D" w:rsidRDefault="00BC5219" w:rsidP="00BC5219">
      <w:pPr>
        <w:rPr>
          <w:rFonts w:ascii="Meta Pro" w:eastAsia="Times New Roman" w:hAnsi="Meta Pro"/>
          <w:szCs w:val="18"/>
          <w:lang w:eastAsia="en-AU"/>
        </w:rPr>
      </w:pPr>
      <w:r w:rsidRPr="008A2B8F">
        <w:rPr>
          <w:rFonts w:ascii="Meta Pro" w:eastAsia="Times New Roman" w:hAnsi="Meta Pro"/>
          <w:szCs w:val="18"/>
          <w:lang w:eastAsia="en-AU"/>
        </w:rPr>
        <w:t xml:space="preserve">The following table sets out a maturity analysis of future undiscounted lease payments receivable </w:t>
      </w:r>
      <w:r>
        <w:rPr>
          <w:rFonts w:ascii="Meta Pro" w:eastAsia="Times New Roman" w:hAnsi="Meta Pro"/>
          <w:szCs w:val="18"/>
          <w:lang w:eastAsia="en-AU"/>
        </w:rPr>
        <w:t>by</w:t>
      </w:r>
      <w:r w:rsidRPr="008A2B8F">
        <w:rPr>
          <w:rFonts w:ascii="Meta Pro" w:eastAsia="Times New Roman" w:hAnsi="Meta Pro"/>
          <w:szCs w:val="18"/>
          <w:lang w:eastAsia="en-AU"/>
        </w:rPr>
        <w:t xml:space="preserve"> the department from </w:t>
      </w:r>
      <w:r>
        <w:rPr>
          <w:rFonts w:ascii="Meta Pro" w:eastAsia="Times New Roman" w:hAnsi="Meta Pro"/>
          <w:szCs w:val="18"/>
          <w:lang w:eastAsia="en-AU"/>
        </w:rPr>
        <w:t>s</w:t>
      </w:r>
      <w:r w:rsidRPr="008A2B8F">
        <w:rPr>
          <w:rFonts w:ascii="Meta Pro" w:eastAsia="Times New Roman" w:hAnsi="Meta Pro"/>
          <w:szCs w:val="18"/>
          <w:lang w:eastAsia="en-AU"/>
        </w:rPr>
        <w:t>tate-owned boat harbours and Airtrain.</w:t>
      </w:r>
    </w:p>
    <w:tbl>
      <w:tblPr>
        <w:tblW w:w="0" w:type="auto"/>
        <w:tblCellMar>
          <w:left w:w="0" w:type="dxa"/>
        </w:tblCellMar>
        <w:tblLook w:val="04A0" w:firstRow="1" w:lastRow="0" w:firstColumn="1" w:lastColumn="0" w:noHBand="0" w:noVBand="1"/>
      </w:tblPr>
      <w:tblGrid>
        <w:gridCol w:w="5446"/>
        <w:gridCol w:w="575"/>
        <w:gridCol w:w="575"/>
        <w:gridCol w:w="575"/>
        <w:gridCol w:w="1165"/>
        <w:gridCol w:w="223"/>
        <w:gridCol w:w="1165"/>
      </w:tblGrid>
      <w:tr w:rsidR="00BC5219" w:rsidRPr="008E6A4D" w14:paraId="0374A7CD" w14:textId="77777777" w:rsidTr="00E83802">
        <w:trPr>
          <w:trHeight w:val="198"/>
        </w:trPr>
        <w:tc>
          <w:tcPr>
            <w:tcW w:w="5438" w:type="dxa"/>
            <w:tcBorders>
              <w:top w:val="nil"/>
              <w:left w:val="nil"/>
              <w:bottom w:val="nil"/>
              <w:right w:val="nil"/>
            </w:tcBorders>
            <w:shd w:val="clear" w:color="auto" w:fill="auto"/>
            <w:noWrap/>
            <w:vAlign w:val="center"/>
            <w:hideMark/>
          </w:tcPr>
          <w:p w14:paraId="0FCAF42D" w14:textId="77777777" w:rsidR="00BC5219" w:rsidRPr="008E6A4D" w:rsidRDefault="00BC5219" w:rsidP="00E83802">
            <w:pPr>
              <w:rPr>
                <w:rFonts w:ascii="Times New Roman" w:eastAsia="Times New Roman" w:hAnsi="Times New Roman" w:cs="Times New Roman"/>
                <w:sz w:val="24"/>
                <w:szCs w:val="24"/>
                <w:lang w:eastAsia="en-AU"/>
              </w:rPr>
            </w:pPr>
          </w:p>
        </w:tc>
        <w:tc>
          <w:tcPr>
            <w:tcW w:w="567" w:type="dxa"/>
            <w:tcBorders>
              <w:top w:val="nil"/>
              <w:left w:val="nil"/>
              <w:bottom w:val="nil"/>
              <w:right w:val="nil"/>
            </w:tcBorders>
            <w:shd w:val="clear" w:color="auto" w:fill="auto"/>
            <w:hideMark/>
          </w:tcPr>
          <w:p w14:paraId="78061140" w14:textId="77777777" w:rsidR="00BC5219" w:rsidRPr="008E6A4D" w:rsidRDefault="00BC5219" w:rsidP="00E83802">
            <w:pPr>
              <w:rPr>
                <w:rFonts w:ascii="Times New Roman" w:eastAsia="Times New Roman" w:hAnsi="Times New Roman" w:cs="Times New Roman"/>
                <w:sz w:val="20"/>
                <w:szCs w:val="20"/>
                <w:lang w:eastAsia="en-AU"/>
              </w:rPr>
            </w:pPr>
          </w:p>
        </w:tc>
        <w:tc>
          <w:tcPr>
            <w:tcW w:w="567" w:type="dxa"/>
            <w:tcBorders>
              <w:top w:val="nil"/>
              <w:left w:val="nil"/>
              <w:bottom w:val="nil"/>
              <w:right w:val="nil"/>
            </w:tcBorders>
            <w:shd w:val="clear" w:color="auto" w:fill="auto"/>
            <w:hideMark/>
          </w:tcPr>
          <w:p w14:paraId="1BD0B937" w14:textId="77777777" w:rsidR="00BC5219" w:rsidRPr="008E6A4D" w:rsidRDefault="00BC5219" w:rsidP="00E83802">
            <w:pPr>
              <w:jc w:val="center"/>
              <w:rPr>
                <w:rFonts w:ascii="Times New Roman" w:eastAsia="Times New Roman" w:hAnsi="Times New Roman" w:cs="Times New Roman"/>
                <w:sz w:val="20"/>
                <w:szCs w:val="20"/>
                <w:lang w:eastAsia="en-AU"/>
              </w:rPr>
            </w:pPr>
          </w:p>
        </w:tc>
        <w:tc>
          <w:tcPr>
            <w:tcW w:w="567" w:type="dxa"/>
            <w:tcBorders>
              <w:top w:val="nil"/>
              <w:left w:val="nil"/>
              <w:bottom w:val="nil"/>
              <w:right w:val="nil"/>
            </w:tcBorders>
            <w:shd w:val="clear" w:color="auto" w:fill="auto"/>
            <w:noWrap/>
            <w:hideMark/>
          </w:tcPr>
          <w:p w14:paraId="315E3B4A" w14:textId="77777777" w:rsidR="00BC5219" w:rsidRPr="008E6A4D" w:rsidRDefault="00BC5219" w:rsidP="00E83802">
            <w:pPr>
              <w:jc w:val="center"/>
              <w:rPr>
                <w:rFonts w:ascii="Times New Roman" w:eastAsia="Times New Roman" w:hAnsi="Times New Roman" w:cs="Times New Roman"/>
                <w:sz w:val="20"/>
                <w:szCs w:val="20"/>
                <w:lang w:eastAsia="en-AU"/>
              </w:rPr>
            </w:pPr>
          </w:p>
        </w:tc>
        <w:tc>
          <w:tcPr>
            <w:tcW w:w="1157" w:type="dxa"/>
            <w:tcBorders>
              <w:top w:val="nil"/>
              <w:left w:val="nil"/>
              <w:bottom w:val="nil"/>
              <w:right w:val="nil"/>
            </w:tcBorders>
            <w:shd w:val="clear" w:color="auto" w:fill="auto"/>
            <w:noWrap/>
            <w:vAlign w:val="center"/>
            <w:hideMark/>
          </w:tcPr>
          <w:p w14:paraId="0715443A" w14:textId="77777777" w:rsidR="00BC5219" w:rsidRPr="008E6A4D" w:rsidRDefault="00BC5219" w:rsidP="00E83802">
            <w:pPr>
              <w:jc w:val="center"/>
              <w:rPr>
                <w:rFonts w:ascii="Meta Pro" w:eastAsia="Times New Roman" w:hAnsi="Meta Pro"/>
                <w:b/>
                <w:bCs/>
                <w:color w:val="000000"/>
                <w:sz w:val="20"/>
                <w:szCs w:val="20"/>
                <w:lang w:eastAsia="en-AU"/>
              </w:rPr>
            </w:pPr>
            <w:r w:rsidRPr="008E6A4D">
              <w:rPr>
                <w:rFonts w:ascii="Meta Pro" w:eastAsia="Times New Roman" w:hAnsi="Meta Pro"/>
                <w:b/>
                <w:bCs/>
                <w:color w:val="000000"/>
                <w:sz w:val="20"/>
                <w:szCs w:val="20"/>
                <w:lang w:eastAsia="en-AU"/>
              </w:rPr>
              <w:t>2023</w:t>
            </w:r>
          </w:p>
        </w:tc>
        <w:tc>
          <w:tcPr>
            <w:tcW w:w="215" w:type="dxa"/>
            <w:tcBorders>
              <w:top w:val="nil"/>
              <w:left w:val="nil"/>
              <w:bottom w:val="nil"/>
              <w:right w:val="nil"/>
            </w:tcBorders>
            <w:shd w:val="clear" w:color="auto" w:fill="auto"/>
            <w:noWrap/>
            <w:hideMark/>
          </w:tcPr>
          <w:p w14:paraId="55E71D57" w14:textId="77777777" w:rsidR="00BC5219" w:rsidRPr="008E6A4D" w:rsidRDefault="00BC5219" w:rsidP="00E83802">
            <w:pPr>
              <w:jc w:val="center"/>
              <w:rPr>
                <w:rFonts w:ascii="Meta Pro" w:eastAsia="Times New Roman" w:hAnsi="Meta Pro"/>
                <w:b/>
                <w:bCs/>
                <w:color w:val="000000"/>
                <w:sz w:val="20"/>
                <w:szCs w:val="20"/>
                <w:lang w:eastAsia="en-AU"/>
              </w:rPr>
            </w:pPr>
          </w:p>
        </w:tc>
        <w:tc>
          <w:tcPr>
            <w:tcW w:w="1157" w:type="dxa"/>
            <w:tcBorders>
              <w:top w:val="nil"/>
              <w:left w:val="nil"/>
              <w:bottom w:val="nil"/>
              <w:right w:val="nil"/>
            </w:tcBorders>
            <w:shd w:val="clear" w:color="auto" w:fill="auto"/>
            <w:noWrap/>
            <w:vAlign w:val="center"/>
            <w:hideMark/>
          </w:tcPr>
          <w:p w14:paraId="1E5D7C42" w14:textId="77777777" w:rsidR="00BC5219" w:rsidRPr="008E6A4D" w:rsidRDefault="00BC5219" w:rsidP="00E83802">
            <w:pPr>
              <w:jc w:val="center"/>
              <w:rPr>
                <w:rFonts w:ascii="Meta Pro" w:eastAsia="Times New Roman" w:hAnsi="Meta Pro"/>
                <w:b/>
                <w:bCs/>
                <w:color w:val="000000"/>
                <w:sz w:val="20"/>
                <w:szCs w:val="20"/>
                <w:lang w:eastAsia="en-AU"/>
              </w:rPr>
            </w:pPr>
            <w:r w:rsidRPr="008E6A4D">
              <w:rPr>
                <w:rFonts w:ascii="Meta Pro" w:eastAsia="Times New Roman" w:hAnsi="Meta Pro"/>
                <w:b/>
                <w:bCs/>
                <w:color w:val="000000"/>
                <w:sz w:val="20"/>
                <w:szCs w:val="20"/>
                <w:lang w:eastAsia="en-AU"/>
              </w:rPr>
              <w:t>2022</w:t>
            </w:r>
          </w:p>
        </w:tc>
      </w:tr>
      <w:tr w:rsidR="00BC5219" w:rsidRPr="008E6A4D" w14:paraId="6BFBD0DA" w14:textId="77777777" w:rsidTr="00E83802">
        <w:trPr>
          <w:trHeight w:val="198"/>
        </w:trPr>
        <w:tc>
          <w:tcPr>
            <w:tcW w:w="5438" w:type="dxa"/>
            <w:tcBorders>
              <w:top w:val="nil"/>
              <w:left w:val="nil"/>
              <w:bottom w:val="nil"/>
              <w:right w:val="nil"/>
            </w:tcBorders>
            <w:shd w:val="clear" w:color="auto" w:fill="auto"/>
            <w:noWrap/>
            <w:vAlign w:val="center"/>
            <w:hideMark/>
          </w:tcPr>
          <w:p w14:paraId="2D562350" w14:textId="77777777" w:rsidR="00BC5219" w:rsidRPr="008E6A4D" w:rsidRDefault="00BC5219" w:rsidP="00E83802">
            <w:pPr>
              <w:jc w:val="center"/>
              <w:rPr>
                <w:rFonts w:ascii="Meta Pro" w:eastAsia="Times New Roman" w:hAnsi="Meta Pro"/>
                <w:b/>
                <w:bCs/>
                <w:color w:val="000000"/>
                <w:sz w:val="20"/>
                <w:szCs w:val="20"/>
                <w:lang w:eastAsia="en-AU"/>
              </w:rPr>
            </w:pPr>
          </w:p>
        </w:tc>
        <w:tc>
          <w:tcPr>
            <w:tcW w:w="567" w:type="dxa"/>
            <w:tcBorders>
              <w:top w:val="nil"/>
              <w:left w:val="nil"/>
              <w:bottom w:val="nil"/>
              <w:right w:val="nil"/>
            </w:tcBorders>
            <w:shd w:val="clear" w:color="auto" w:fill="auto"/>
            <w:vAlign w:val="center"/>
            <w:hideMark/>
          </w:tcPr>
          <w:p w14:paraId="5C95849C" w14:textId="77777777" w:rsidR="00BC5219" w:rsidRPr="008E6A4D" w:rsidRDefault="00BC5219" w:rsidP="00E83802">
            <w:pPr>
              <w:rPr>
                <w:rFonts w:ascii="Times New Roman" w:eastAsia="Times New Roman" w:hAnsi="Times New Roman" w:cs="Times New Roman"/>
                <w:sz w:val="20"/>
                <w:szCs w:val="20"/>
                <w:lang w:eastAsia="en-AU"/>
              </w:rPr>
            </w:pPr>
          </w:p>
        </w:tc>
        <w:tc>
          <w:tcPr>
            <w:tcW w:w="567" w:type="dxa"/>
            <w:tcBorders>
              <w:top w:val="nil"/>
              <w:left w:val="nil"/>
              <w:bottom w:val="nil"/>
              <w:right w:val="nil"/>
            </w:tcBorders>
            <w:shd w:val="clear" w:color="auto" w:fill="auto"/>
            <w:vAlign w:val="center"/>
            <w:hideMark/>
          </w:tcPr>
          <w:p w14:paraId="6F0D38A0" w14:textId="77777777" w:rsidR="00BC5219" w:rsidRPr="008E6A4D" w:rsidRDefault="00BC5219" w:rsidP="00E83802">
            <w:pPr>
              <w:jc w:val="center"/>
              <w:rPr>
                <w:rFonts w:ascii="Times New Roman" w:eastAsia="Times New Roman" w:hAnsi="Times New Roman" w:cs="Times New Roman"/>
                <w:sz w:val="20"/>
                <w:szCs w:val="20"/>
                <w:lang w:eastAsia="en-AU"/>
              </w:rPr>
            </w:pPr>
          </w:p>
        </w:tc>
        <w:tc>
          <w:tcPr>
            <w:tcW w:w="567" w:type="dxa"/>
            <w:tcBorders>
              <w:top w:val="nil"/>
              <w:left w:val="nil"/>
              <w:bottom w:val="nil"/>
              <w:right w:val="nil"/>
            </w:tcBorders>
            <w:shd w:val="clear" w:color="auto" w:fill="auto"/>
            <w:noWrap/>
            <w:hideMark/>
          </w:tcPr>
          <w:p w14:paraId="694237CD" w14:textId="77777777" w:rsidR="00BC5219" w:rsidRPr="008E6A4D" w:rsidRDefault="00BC5219" w:rsidP="00E83802">
            <w:pPr>
              <w:jc w:val="center"/>
              <w:rPr>
                <w:rFonts w:ascii="Times New Roman" w:eastAsia="Times New Roman" w:hAnsi="Times New Roman" w:cs="Times New Roman"/>
                <w:sz w:val="20"/>
                <w:szCs w:val="20"/>
                <w:lang w:eastAsia="en-AU"/>
              </w:rPr>
            </w:pPr>
          </w:p>
        </w:tc>
        <w:tc>
          <w:tcPr>
            <w:tcW w:w="1157" w:type="dxa"/>
            <w:tcBorders>
              <w:top w:val="nil"/>
              <w:left w:val="nil"/>
              <w:bottom w:val="nil"/>
              <w:right w:val="nil"/>
            </w:tcBorders>
            <w:shd w:val="clear" w:color="auto" w:fill="auto"/>
            <w:noWrap/>
            <w:vAlign w:val="center"/>
            <w:hideMark/>
          </w:tcPr>
          <w:p w14:paraId="2C63A00C" w14:textId="77777777" w:rsidR="00BC5219" w:rsidRPr="008E6A4D" w:rsidRDefault="00BC5219" w:rsidP="00E83802">
            <w:pPr>
              <w:jc w:val="center"/>
              <w:rPr>
                <w:rFonts w:ascii="Meta Pro" w:eastAsia="Times New Roman" w:hAnsi="Meta Pro"/>
                <w:b/>
                <w:bCs/>
                <w:sz w:val="20"/>
                <w:szCs w:val="20"/>
                <w:lang w:eastAsia="en-AU"/>
              </w:rPr>
            </w:pPr>
            <w:r w:rsidRPr="008E6A4D">
              <w:rPr>
                <w:rFonts w:ascii="Meta Pro" w:eastAsia="Times New Roman" w:hAnsi="Meta Pro"/>
                <w:b/>
                <w:bCs/>
                <w:sz w:val="20"/>
                <w:szCs w:val="20"/>
                <w:lang w:eastAsia="en-AU"/>
              </w:rPr>
              <w:t>$'000</w:t>
            </w:r>
          </w:p>
        </w:tc>
        <w:tc>
          <w:tcPr>
            <w:tcW w:w="215" w:type="dxa"/>
            <w:tcBorders>
              <w:top w:val="nil"/>
              <w:left w:val="nil"/>
              <w:bottom w:val="nil"/>
              <w:right w:val="nil"/>
            </w:tcBorders>
            <w:shd w:val="clear" w:color="auto" w:fill="auto"/>
            <w:noWrap/>
            <w:hideMark/>
          </w:tcPr>
          <w:p w14:paraId="04FFA768" w14:textId="77777777" w:rsidR="00BC5219" w:rsidRPr="008E6A4D" w:rsidRDefault="00BC5219" w:rsidP="00E83802">
            <w:pPr>
              <w:jc w:val="center"/>
              <w:rPr>
                <w:rFonts w:ascii="Meta Pro" w:eastAsia="Times New Roman" w:hAnsi="Meta Pro"/>
                <w:b/>
                <w:bCs/>
                <w:sz w:val="20"/>
                <w:szCs w:val="20"/>
                <w:lang w:eastAsia="en-AU"/>
              </w:rPr>
            </w:pPr>
          </w:p>
        </w:tc>
        <w:tc>
          <w:tcPr>
            <w:tcW w:w="1157" w:type="dxa"/>
            <w:tcBorders>
              <w:top w:val="nil"/>
              <w:left w:val="nil"/>
              <w:bottom w:val="nil"/>
              <w:right w:val="nil"/>
            </w:tcBorders>
            <w:shd w:val="clear" w:color="auto" w:fill="auto"/>
            <w:noWrap/>
            <w:vAlign w:val="center"/>
            <w:hideMark/>
          </w:tcPr>
          <w:p w14:paraId="5EC5F95A" w14:textId="77777777" w:rsidR="00BC5219" w:rsidRPr="008E6A4D" w:rsidRDefault="00BC5219" w:rsidP="00E83802">
            <w:pPr>
              <w:jc w:val="center"/>
              <w:rPr>
                <w:rFonts w:ascii="Meta Pro" w:eastAsia="Times New Roman" w:hAnsi="Meta Pro"/>
                <w:b/>
                <w:bCs/>
                <w:sz w:val="20"/>
                <w:szCs w:val="20"/>
                <w:lang w:eastAsia="en-AU"/>
              </w:rPr>
            </w:pPr>
            <w:r w:rsidRPr="008E6A4D">
              <w:rPr>
                <w:rFonts w:ascii="Meta Pro" w:eastAsia="Times New Roman" w:hAnsi="Meta Pro"/>
                <w:b/>
                <w:bCs/>
                <w:sz w:val="20"/>
                <w:szCs w:val="20"/>
                <w:lang w:eastAsia="en-AU"/>
              </w:rPr>
              <w:t>$'000</w:t>
            </w:r>
          </w:p>
        </w:tc>
      </w:tr>
      <w:tr w:rsidR="00BC5219" w:rsidRPr="008E6A4D" w14:paraId="619DB941" w14:textId="77777777" w:rsidTr="00E83802">
        <w:trPr>
          <w:trHeight w:hRule="exact" w:val="40"/>
        </w:trPr>
        <w:tc>
          <w:tcPr>
            <w:tcW w:w="5438" w:type="dxa"/>
            <w:tcBorders>
              <w:top w:val="nil"/>
              <w:left w:val="nil"/>
              <w:bottom w:val="nil"/>
              <w:right w:val="nil"/>
            </w:tcBorders>
            <w:shd w:val="clear" w:color="auto" w:fill="auto"/>
            <w:noWrap/>
            <w:vAlign w:val="center"/>
            <w:hideMark/>
          </w:tcPr>
          <w:p w14:paraId="36882F43" w14:textId="77777777" w:rsidR="00BC5219" w:rsidRPr="008E6A4D" w:rsidRDefault="00BC5219" w:rsidP="00E83802">
            <w:pPr>
              <w:jc w:val="center"/>
              <w:rPr>
                <w:rFonts w:ascii="Meta Pro" w:eastAsia="Times New Roman" w:hAnsi="Meta Pro"/>
                <w:b/>
                <w:bCs/>
                <w:sz w:val="20"/>
                <w:szCs w:val="20"/>
                <w:lang w:eastAsia="en-AU"/>
              </w:rPr>
            </w:pPr>
          </w:p>
        </w:tc>
        <w:tc>
          <w:tcPr>
            <w:tcW w:w="567" w:type="dxa"/>
            <w:tcBorders>
              <w:top w:val="nil"/>
              <w:left w:val="nil"/>
              <w:bottom w:val="nil"/>
              <w:right w:val="nil"/>
            </w:tcBorders>
            <w:shd w:val="clear" w:color="auto" w:fill="auto"/>
            <w:vAlign w:val="center"/>
            <w:hideMark/>
          </w:tcPr>
          <w:p w14:paraId="2189DEC1" w14:textId="77777777" w:rsidR="00BC5219" w:rsidRPr="008E6A4D" w:rsidRDefault="00BC5219" w:rsidP="00E83802">
            <w:pPr>
              <w:rPr>
                <w:rFonts w:ascii="Times New Roman" w:eastAsia="Times New Roman" w:hAnsi="Times New Roman" w:cs="Times New Roman"/>
                <w:sz w:val="20"/>
                <w:szCs w:val="20"/>
                <w:lang w:eastAsia="en-AU"/>
              </w:rPr>
            </w:pPr>
          </w:p>
        </w:tc>
        <w:tc>
          <w:tcPr>
            <w:tcW w:w="567" w:type="dxa"/>
            <w:tcBorders>
              <w:top w:val="nil"/>
              <w:left w:val="nil"/>
              <w:bottom w:val="nil"/>
              <w:right w:val="nil"/>
            </w:tcBorders>
            <w:shd w:val="clear" w:color="auto" w:fill="auto"/>
            <w:vAlign w:val="center"/>
            <w:hideMark/>
          </w:tcPr>
          <w:p w14:paraId="41335B8B" w14:textId="77777777" w:rsidR="00BC5219" w:rsidRPr="008E6A4D" w:rsidRDefault="00BC5219" w:rsidP="00E83802">
            <w:pPr>
              <w:jc w:val="center"/>
              <w:rPr>
                <w:rFonts w:ascii="Times New Roman" w:eastAsia="Times New Roman" w:hAnsi="Times New Roman" w:cs="Times New Roman"/>
                <w:sz w:val="20"/>
                <w:szCs w:val="20"/>
                <w:lang w:eastAsia="en-AU"/>
              </w:rPr>
            </w:pPr>
          </w:p>
        </w:tc>
        <w:tc>
          <w:tcPr>
            <w:tcW w:w="567" w:type="dxa"/>
            <w:tcBorders>
              <w:top w:val="nil"/>
              <w:left w:val="nil"/>
              <w:bottom w:val="nil"/>
              <w:right w:val="nil"/>
            </w:tcBorders>
            <w:shd w:val="clear" w:color="auto" w:fill="auto"/>
            <w:noWrap/>
            <w:hideMark/>
          </w:tcPr>
          <w:p w14:paraId="6A4BBDA2" w14:textId="77777777" w:rsidR="00BC5219" w:rsidRPr="008E6A4D" w:rsidRDefault="00BC5219" w:rsidP="00E83802">
            <w:pPr>
              <w:jc w:val="center"/>
              <w:rPr>
                <w:rFonts w:ascii="Times New Roman" w:eastAsia="Times New Roman" w:hAnsi="Times New Roman" w:cs="Times New Roman"/>
                <w:sz w:val="20"/>
                <w:szCs w:val="20"/>
                <w:lang w:eastAsia="en-AU"/>
              </w:rPr>
            </w:pPr>
          </w:p>
        </w:tc>
        <w:tc>
          <w:tcPr>
            <w:tcW w:w="1157" w:type="dxa"/>
            <w:tcBorders>
              <w:top w:val="nil"/>
              <w:left w:val="nil"/>
              <w:bottom w:val="nil"/>
              <w:right w:val="nil"/>
            </w:tcBorders>
            <w:shd w:val="clear" w:color="auto" w:fill="auto"/>
            <w:vAlign w:val="center"/>
            <w:hideMark/>
          </w:tcPr>
          <w:p w14:paraId="76B6DD65" w14:textId="77777777" w:rsidR="00BC5219" w:rsidRPr="008E6A4D" w:rsidRDefault="00BC5219" w:rsidP="00E83802">
            <w:pPr>
              <w:rPr>
                <w:rFonts w:ascii="Times New Roman" w:eastAsia="Times New Roman" w:hAnsi="Times New Roman"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60585AF5" w14:textId="77777777" w:rsidR="00BC5219" w:rsidRPr="008E6A4D" w:rsidRDefault="00BC5219" w:rsidP="00E83802">
            <w:pPr>
              <w:jc w:val="center"/>
              <w:rPr>
                <w:rFonts w:ascii="Times New Roman" w:eastAsia="Times New Roman" w:hAnsi="Times New Roman" w:cs="Times New Roman"/>
                <w:sz w:val="20"/>
                <w:szCs w:val="20"/>
                <w:lang w:eastAsia="en-AU"/>
              </w:rPr>
            </w:pPr>
          </w:p>
        </w:tc>
        <w:tc>
          <w:tcPr>
            <w:tcW w:w="1157" w:type="dxa"/>
            <w:tcBorders>
              <w:top w:val="nil"/>
              <w:left w:val="nil"/>
              <w:bottom w:val="nil"/>
              <w:right w:val="nil"/>
            </w:tcBorders>
            <w:shd w:val="clear" w:color="auto" w:fill="auto"/>
            <w:vAlign w:val="center"/>
            <w:hideMark/>
          </w:tcPr>
          <w:p w14:paraId="38A65F2B" w14:textId="77777777" w:rsidR="00BC5219" w:rsidRPr="008E6A4D" w:rsidRDefault="00BC5219" w:rsidP="00E83802">
            <w:pPr>
              <w:rPr>
                <w:rFonts w:ascii="Times New Roman" w:eastAsia="Times New Roman" w:hAnsi="Times New Roman" w:cs="Times New Roman"/>
                <w:sz w:val="20"/>
                <w:szCs w:val="20"/>
                <w:lang w:eastAsia="en-AU"/>
              </w:rPr>
            </w:pPr>
          </w:p>
        </w:tc>
      </w:tr>
      <w:tr w:rsidR="00BC5219" w:rsidRPr="008E6A4D" w14:paraId="323E8108" w14:textId="77777777" w:rsidTr="00E83802">
        <w:trPr>
          <w:trHeight w:val="198"/>
        </w:trPr>
        <w:tc>
          <w:tcPr>
            <w:tcW w:w="5438" w:type="dxa"/>
            <w:tcBorders>
              <w:top w:val="nil"/>
              <w:left w:val="nil"/>
              <w:bottom w:val="nil"/>
              <w:right w:val="nil"/>
            </w:tcBorders>
            <w:shd w:val="clear" w:color="auto" w:fill="auto"/>
            <w:noWrap/>
            <w:vAlign w:val="bottom"/>
            <w:hideMark/>
          </w:tcPr>
          <w:p w14:paraId="7AD8DB23" w14:textId="77777777" w:rsidR="00BC5219" w:rsidRPr="008E6A4D" w:rsidRDefault="00BC5219" w:rsidP="00E83802">
            <w:pPr>
              <w:rPr>
                <w:rFonts w:ascii="Meta Pro" w:eastAsia="Times New Roman" w:hAnsi="Meta Pro"/>
                <w:b/>
                <w:bCs/>
                <w:sz w:val="20"/>
                <w:szCs w:val="20"/>
                <w:lang w:eastAsia="en-AU"/>
              </w:rPr>
            </w:pPr>
            <w:r w:rsidRPr="008E6A4D">
              <w:rPr>
                <w:rFonts w:ascii="Meta Pro" w:eastAsia="Times New Roman" w:hAnsi="Meta Pro"/>
                <w:b/>
                <w:bCs/>
                <w:sz w:val="20"/>
                <w:szCs w:val="20"/>
                <w:lang w:eastAsia="en-AU"/>
              </w:rPr>
              <w:t>Maturity analysis</w:t>
            </w:r>
          </w:p>
        </w:tc>
        <w:tc>
          <w:tcPr>
            <w:tcW w:w="567" w:type="dxa"/>
            <w:tcBorders>
              <w:top w:val="nil"/>
              <w:left w:val="nil"/>
              <w:bottom w:val="nil"/>
              <w:right w:val="nil"/>
            </w:tcBorders>
            <w:shd w:val="clear" w:color="auto" w:fill="auto"/>
            <w:noWrap/>
            <w:vAlign w:val="center"/>
            <w:hideMark/>
          </w:tcPr>
          <w:p w14:paraId="6C5BB676" w14:textId="77777777" w:rsidR="00BC5219" w:rsidRPr="008E6A4D" w:rsidRDefault="00BC5219" w:rsidP="00E83802">
            <w:pPr>
              <w:rPr>
                <w:rFonts w:ascii="Meta Pro" w:eastAsia="Times New Roman" w:hAnsi="Meta Pro"/>
                <w:b/>
                <w:bCs/>
                <w:sz w:val="20"/>
                <w:szCs w:val="20"/>
                <w:lang w:eastAsia="en-AU"/>
              </w:rPr>
            </w:pPr>
          </w:p>
        </w:tc>
        <w:tc>
          <w:tcPr>
            <w:tcW w:w="567" w:type="dxa"/>
            <w:tcBorders>
              <w:top w:val="nil"/>
              <w:left w:val="nil"/>
              <w:bottom w:val="nil"/>
              <w:right w:val="nil"/>
            </w:tcBorders>
            <w:shd w:val="clear" w:color="auto" w:fill="auto"/>
            <w:noWrap/>
            <w:hideMark/>
          </w:tcPr>
          <w:p w14:paraId="1573CAAD" w14:textId="77777777" w:rsidR="00BC5219" w:rsidRPr="008E6A4D" w:rsidRDefault="00BC5219" w:rsidP="00E83802">
            <w:pPr>
              <w:jc w:val="center"/>
              <w:rPr>
                <w:rFonts w:ascii="Times New Roman" w:eastAsia="Times New Roman" w:hAnsi="Times New Roman" w:cs="Times New Roman"/>
                <w:sz w:val="20"/>
                <w:szCs w:val="20"/>
                <w:lang w:eastAsia="en-AU"/>
              </w:rPr>
            </w:pPr>
          </w:p>
        </w:tc>
        <w:tc>
          <w:tcPr>
            <w:tcW w:w="567" w:type="dxa"/>
            <w:tcBorders>
              <w:top w:val="nil"/>
              <w:left w:val="nil"/>
              <w:bottom w:val="nil"/>
              <w:right w:val="nil"/>
            </w:tcBorders>
            <w:shd w:val="clear" w:color="auto" w:fill="auto"/>
            <w:noWrap/>
            <w:hideMark/>
          </w:tcPr>
          <w:p w14:paraId="1633016D" w14:textId="77777777" w:rsidR="00BC5219" w:rsidRPr="008E6A4D" w:rsidRDefault="00BC5219" w:rsidP="00E83802">
            <w:pPr>
              <w:rPr>
                <w:rFonts w:ascii="Times New Roman" w:eastAsia="Times New Roman" w:hAnsi="Times New Roman" w:cs="Times New Roman"/>
                <w:sz w:val="20"/>
                <w:szCs w:val="20"/>
                <w:lang w:eastAsia="en-AU"/>
              </w:rPr>
            </w:pPr>
          </w:p>
        </w:tc>
        <w:tc>
          <w:tcPr>
            <w:tcW w:w="1157" w:type="dxa"/>
            <w:tcBorders>
              <w:top w:val="nil"/>
              <w:left w:val="nil"/>
              <w:bottom w:val="nil"/>
              <w:right w:val="nil"/>
            </w:tcBorders>
            <w:shd w:val="clear" w:color="auto" w:fill="auto"/>
            <w:vAlign w:val="center"/>
            <w:hideMark/>
          </w:tcPr>
          <w:p w14:paraId="3DCA7D60" w14:textId="77777777" w:rsidR="00BC5219" w:rsidRPr="008E6A4D" w:rsidRDefault="00BC5219" w:rsidP="00E83802">
            <w:pPr>
              <w:rPr>
                <w:rFonts w:ascii="Times New Roman" w:eastAsia="Times New Roman" w:hAnsi="Times New Roman"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1C38B05B" w14:textId="77777777" w:rsidR="00BC5219" w:rsidRPr="008E6A4D" w:rsidRDefault="00BC5219" w:rsidP="00E83802">
            <w:pPr>
              <w:rPr>
                <w:rFonts w:ascii="Times New Roman" w:eastAsia="Times New Roman" w:hAnsi="Times New Roman" w:cs="Times New Roman"/>
                <w:sz w:val="20"/>
                <w:szCs w:val="20"/>
                <w:lang w:eastAsia="en-AU"/>
              </w:rPr>
            </w:pPr>
          </w:p>
        </w:tc>
        <w:tc>
          <w:tcPr>
            <w:tcW w:w="1157" w:type="dxa"/>
            <w:tcBorders>
              <w:top w:val="nil"/>
              <w:left w:val="nil"/>
              <w:bottom w:val="nil"/>
              <w:right w:val="nil"/>
            </w:tcBorders>
            <w:shd w:val="clear" w:color="auto" w:fill="auto"/>
            <w:vAlign w:val="center"/>
            <w:hideMark/>
          </w:tcPr>
          <w:p w14:paraId="45D25CCA" w14:textId="77777777" w:rsidR="00BC5219" w:rsidRPr="008E6A4D" w:rsidRDefault="00BC5219" w:rsidP="00E83802">
            <w:pPr>
              <w:jc w:val="right"/>
              <w:rPr>
                <w:rFonts w:ascii="Times New Roman" w:eastAsia="Times New Roman" w:hAnsi="Times New Roman" w:cs="Times New Roman"/>
                <w:sz w:val="20"/>
                <w:szCs w:val="20"/>
                <w:lang w:eastAsia="en-AU"/>
              </w:rPr>
            </w:pPr>
          </w:p>
        </w:tc>
      </w:tr>
      <w:tr w:rsidR="00BC5219" w:rsidRPr="008E6A4D" w14:paraId="295236A4" w14:textId="77777777" w:rsidTr="00E83802">
        <w:trPr>
          <w:trHeight w:val="198"/>
        </w:trPr>
        <w:tc>
          <w:tcPr>
            <w:tcW w:w="5438" w:type="dxa"/>
            <w:tcBorders>
              <w:top w:val="nil"/>
              <w:left w:val="nil"/>
              <w:bottom w:val="nil"/>
              <w:right w:val="nil"/>
            </w:tcBorders>
            <w:shd w:val="clear" w:color="auto" w:fill="auto"/>
            <w:noWrap/>
            <w:vAlign w:val="center"/>
            <w:hideMark/>
          </w:tcPr>
          <w:p w14:paraId="22E8ECF8" w14:textId="77777777" w:rsidR="00BC5219" w:rsidRPr="008E6A4D" w:rsidRDefault="00BC5219" w:rsidP="00E83802">
            <w:pPr>
              <w:rPr>
                <w:rFonts w:ascii="Times New Roman" w:eastAsia="Times New Roman" w:hAnsi="Times New Roman" w:cs="Times New Roman"/>
                <w:sz w:val="20"/>
                <w:szCs w:val="20"/>
                <w:lang w:eastAsia="en-AU"/>
              </w:rPr>
            </w:pPr>
          </w:p>
        </w:tc>
        <w:tc>
          <w:tcPr>
            <w:tcW w:w="567" w:type="dxa"/>
            <w:tcBorders>
              <w:top w:val="nil"/>
              <w:left w:val="nil"/>
              <w:bottom w:val="nil"/>
              <w:right w:val="nil"/>
            </w:tcBorders>
            <w:shd w:val="clear" w:color="auto" w:fill="auto"/>
            <w:noWrap/>
            <w:vAlign w:val="center"/>
            <w:hideMark/>
          </w:tcPr>
          <w:p w14:paraId="5CD7B07F" w14:textId="77777777" w:rsidR="00BC5219" w:rsidRPr="008E6A4D" w:rsidRDefault="00BC5219" w:rsidP="00E83802">
            <w:pPr>
              <w:rPr>
                <w:rFonts w:ascii="Times New Roman" w:eastAsia="Times New Roman" w:hAnsi="Times New Roman" w:cs="Times New Roman"/>
                <w:sz w:val="20"/>
                <w:szCs w:val="20"/>
                <w:lang w:eastAsia="en-AU"/>
              </w:rPr>
            </w:pPr>
          </w:p>
        </w:tc>
        <w:tc>
          <w:tcPr>
            <w:tcW w:w="567" w:type="dxa"/>
            <w:tcBorders>
              <w:top w:val="nil"/>
              <w:left w:val="nil"/>
              <w:bottom w:val="nil"/>
              <w:right w:val="nil"/>
            </w:tcBorders>
            <w:shd w:val="clear" w:color="auto" w:fill="auto"/>
            <w:noWrap/>
            <w:hideMark/>
          </w:tcPr>
          <w:p w14:paraId="599AE023" w14:textId="77777777" w:rsidR="00BC5219" w:rsidRPr="008E6A4D" w:rsidRDefault="00BC5219" w:rsidP="00E83802">
            <w:pPr>
              <w:jc w:val="center"/>
              <w:rPr>
                <w:rFonts w:ascii="Times New Roman" w:eastAsia="Times New Roman" w:hAnsi="Times New Roman" w:cs="Times New Roman"/>
                <w:sz w:val="20"/>
                <w:szCs w:val="20"/>
                <w:lang w:eastAsia="en-AU"/>
              </w:rPr>
            </w:pPr>
          </w:p>
        </w:tc>
        <w:tc>
          <w:tcPr>
            <w:tcW w:w="567" w:type="dxa"/>
            <w:tcBorders>
              <w:top w:val="nil"/>
              <w:left w:val="nil"/>
              <w:bottom w:val="nil"/>
              <w:right w:val="nil"/>
            </w:tcBorders>
            <w:shd w:val="clear" w:color="auto" w:fill="auto"/>
            <w:noWrap/>
            <w:hideMark/>
          </w:tcPr>
          <w:p w14:paraId="25957D0D" w14:textId="77777777" w:rsidR="00BC5219" w:rsidRPr="008E6A4D" w:rsidRDefault="00BC5219" w:rsidP="00E83802">
            <w:pPr>
              <w:rPr>
                <w:rFonts w:ascii="Times New Roman" w:eastAsia="Times New Roman" w:hAnsi="Times New Roman" w:cs="Times New Roman"/>
                <w:sz w:val="20"/>
                <w:szCs w:val="20"/>
                <w:lang w:eastAsia="en-AU"/>
              </w:rPr>
            </w:pPr>
          </w:p>
        </w:tc>
        <w:tc>
          <w:tcPr>
            <w:tcW w:w="1157" w:type="dxa"/>
            <w:tcBorders>
              <w:top w:val="nil"/>
              <w:left w:val="nil"/>
              <w:bottom w:val="nil"/>
              <w:right w:val="nil"/>
            </w:tcBorders>
            <w:shd w:val="clear" w:color="auto" w:fill="auto"/>
            <w:vAlign w:val="center"/>
            <w:hideMark/>
          </w:tcPr>
          <w:p w14:paraId="72EB297F" w14:textId="77777777" w:rsidR="00BC5219" w:rsidRPr="008E6A4D" w:rsidRDefault="00BC5219" w:rsidP="00E83802">
            <w:pPr>
              <w:rPr>
                <w:rFonts w:ascii="Times New Roman" w:eastAsia="Times New Roman" w:hAnsi="Times New Roman"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42A3DBCE" w14:textId="77777777" w:rsidR="00BC5219" w:rsidRPr="008E6A4D" w:rsidRDefault="00BC5219" w:rsidP="00E83802">
            <w:pPr>
              <w:jc w:val="center"/>
              <w:rPr>
                <w:rFonts w:ascii="Times New Roman" w:eastAsia="Times New Roman" w:hAnsi="Times New Roman" w:cs="Times New Roman"/>
                <w:sz w:val="20"/>
                <w:szCs w:val="20"/>
                <w:lang w:eastAsia="en-AU"/>
              </w:rPr>
            </w:pPr>
          </w:p>
        </w:tc>
        <w:tc>
          <w:tcPr>
            <w:tcW w:w="1157" w:type="dxa"/>
            <w:tcBorders>
              <w:top w:val="nil"/>
              <w:left w:val="nil"/>
              <w:bottom w:val="nil"/>
              <w:right w:val="nil"/>
            </w:tcBorders>
            <w:shd w:val="clear" w:color="auto" w:fill="auto"/>
            <w:vAlign w:val="center"/>
            <w:hideMark/>
          </w:tcPr>
          <w:p w14:paraId="2334529E" w14:textId="77777777" w:rsidR="00BC5219" w:rsidRPr="008E6A4D" w:rsidRDefault="00BC5219" w:rsidP="00E83802">
            <w:pPr>
              <w:rPr>
                <w:rFonts w:ascii="Times New Roman" w:eastAsia="Times New Roman" w:hAnsi="Times New Roman" w:cs="Times New Roman"/>
                <w:sz w:val="20"/>
                <w:szCs w:val="20"/>
                <w:lang w:eastAsia="en-AU"/>
              </w:rPr>
            </w:pPr>
          </w:p>
        </w:tc>
      </w:tr>
      <w:tr w:rsidR="00BC5219" w:rsidRPr="008E6A4D" w14:paraId="3E5E80EE" w14:textId="77777777" w:rsidTr="00E83802">
        <w:trPr>
          <w:trHeight w:val="198"/>
        </w:trPr>
        <w:tc>
          <w:tcPr>
            <w:tcW w:w="5438" w:type="dxa"/>
            <w:tcBorders>
              <w:top w:val="nil"/>
              <w:left w:val="nil"/>
              <w:bottom w:val="nil"/>
              <w:right w:val="nil"/>
            </w:tcBorders>
            <w:shd w:val="clear" w:color="auto" w:fill="auto"/>
            <w:noWrap/>
            <w:vAlign w:val="center"/>
            <w:hideMark/>
          </w:tcPr>
          <w:p w14:paraId="5206F0BE" w14:textId="77777777" w:rsidR="00BC5219" w:rsidRPr="008E6A4D" w:rsidRDefault="00BC5219" w:rsidP="00E83802">
            <w:pPr>
              <w:rPr>
                <w:rFonts w:ascii="Meta Pro" w:eastAsia="Times New Roman" w:hAnsi="Meta Pro"/>
                <w:szCs w:val="18"/>
                <w:lang w:eastAsia="en-AU"/>
              </w:rPr>
            </w:pPr>
            <w:r w:rsidRPr="008E6A4D">
              <w:rPr>
                <w:rFonts w:ascii="Meta Pro" w:eastAsia="Times New Roman" w:hAnsi="Meta Pro"/>
                <w:szCs w:val="18"/>
                <w:lang w:eastAsia="en-AU"/>
              </w:rPr>
              <w:t>Less than one year</w:t>
            </w:r>
          </w:p>
        </w:tc>
        <w:tc>
          <w:tcPr>
            <w:tcW w:w="567" w:type="dxa"/>
            <w:tcBorders>
              <w:top w:val="nil"/>
              <w:left w:val="nil"/>
              <w:bottom w:val="nil"/>
              <w:right w:val="nil"/>
            </w:tcBorders>
            <w:shd w:val="clear" w:color="auto" w:fill="auto"/>
            <w:noWrap/>
            <w:vAlign w:val="center"/>
            <w:hideMark/>
          </w:tcPr>
          <w:p w14:paraId="6F4E8795" w14:textId="77777777" w:rsidR="00BC5219" w:rsidRPr="008E6A4D" w:rsidRDefault="00BC5219" w:rsidP="00E83802">
            <w:pPr>
              <w:rPr>
                <w:rFonts w:ascii="Meta Pro" w:eastAsia="Times New Roman" w:hAnsi="Meta Pro"/>
                <w:szCs w:val="18"/>
                <w:lang w:eastAsia="en-AU"/>
              </w:rPr>
            </w:pPr>
          </w:p>
        </w:tc>
        <w:tc>
          <w:tcPr>
            <w:tcW w:w="567" w:type="dxa"/>
            <w:tcBorders>
              <w:top w:val="nil"/>
              <w:left w:val="nil"/>
              <w:bottom w:val="nil"/>
              <w:right w:val="nil"/>
            </w:tcBorders>
            <w:shd w:val="clear" w:color="auto" w:fill="auto"/>
            <w:noWrap/>
            <w:vAlign w:val="center"/>
            <w:hideMark/>
          </w:tcPr>
          <w:p w14:paraId="32B441D0" w14:textId="77777777" w:rsidR="00BC5219" w:rsidRPr="008E6A4D" w:rsidRDefault="00BC5219" w:rsidP="00E83802">
            <w:pPr>
              <w:jc w:val="center"/>
              <w:rPr>
                <w:rFonts w:ascii="Times New Roman" w:eastAsia="Times New Roman" w:hAnsi="Times New Roman" w:cs="Times New Roman"/>
                <w:sz w:val="20"/>
                <w:szCs w:val="20"/>
                <w:lang w:eastAsia="en-AU"/>
              </w:rPr>
            </w:pPr>
          </w:p>
        </w:tc>
        <w:tc>
          <w:tcPr>
            <w:tcW w:w="567" w:type="dxa"/>
            <w:tcBorders>
              <w:top w:val="nil"/>
              <w:left w:val="nil"/>
              <w:bottom w:val="nil"/>
              <w:right w:val="nil"/>
            </w:tcBorders>
            <w:shd w:val="clear" w:color="auto" w:fill="auto"/>
            <w:noWrap/>
            <w:vAlign w:val="center"/>
            <w:hideMark/>
          </w:tcPr>
          <w:p w14:paraId="484D8494" w14:textId="77777777" w:rsidR="00BC5219" w:rsidRPr="008E6A4D" w:rsidRDefault="00BC5219" w:rsidP="00E83802">
            <w:pPr>
              <w:jc w:val="right"/>
              <w:rPr>
                <w:rFonts w:ascii="Times New Roman" w:eastAsia="Times New Roman" w:hAnsi="Times New Roman" w:cs="Times New Roman"/>
                <w:sz w:val="20"/>
                <w:szCs w:val="20"/>
                <w:lang w:eastAsia="en-AU"/>
              </w:rPr>
            </w:pPr>
          </w:p>
        </w:tc>
        <w:tc>
          <w:tcPr>
            <w:tcW w:w="1157" w:type="dxa"/>
            <w:tcBorders>
              <w:top w:val="nil"/>
              <w:left w:val="nil"/>
              <w:bottom w:val="nil"/>
              <w:right w:val="nil"/>
            </w:tcBorders>
            <w:shd w:val="clear" w:color="000000" w:fill="C9E3B4"/>
            <w:noWrap/>
            <w:vAlign w:val="center"/>
            <w:hideMark/>
          </w:tcPr>
          <w:p w14:paraId="60E40E8F" w14:textId="77777777" w:rsidR="00BC5219" w:rsidRPr="008E6A4D" w:rsidRDefault="00BC5219" w:rsidP="00E83802">
            <w:pPr>
              <w:jc w:val="right"/>
              <w:rPr>
                <w:rFonts w:ascii="Meta Pro" w:eastAsia="Times New Roman" w:hAnsi="Meta Pro"/>
                <w:szCs w:val="18"/>
                <w:lang w:eastAsia="en-AU"/>
              </w:rPr>
            </w:pPr>
            <w:r w:rsidRPr="008E6A4D">
              <w:rPr>
                <w:rFonts w:ascii="Meta Pro" w:eastAsia="Times New Roman" w:hAnsi="Meta Pro"/>
                <w:szCs w:val="18"/>
                <w:lang w:eastAsia="en-AU"/>
              </w:rPr>
              <w:t xml:space="preserve">4,431 </w:t>
            </w:r>
          </w:p>
        </w:tc>
        <w:tc>
          <w:tcPr>
            <w:tcW w:w="215" w:type="dxa"/>
            <w:tcBorders>
              <w:top w:val="nil"/>
              <w:left w:val="nil"/>
              <w:bottom w:val="nil"/>
              <w:right w:val="nil"/>
            </w:tcBorders>
            <w:shd w:val="clear" w:color="auto" w:fill="auto"/>
            <w:noWrap/>
            <w:vAlign w:val="center"/>
            <w:hideMark/>
          </w:tcPr>
          <w:p w14:paraId="280F7A43" w14:textId="77777777" w:rsidR="00BC5219" w:rsidRPr="008E6A4D"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74D22EE8" w14:textId="77777777" w:rsidR="00BC5219" w:rsidRPr="008E6A4D" w:rsidRDefault="00BC5219" w:rsidP="00E83802">
            <w:pPr>
              <w:jc w:val="right"/>
              <w:rPr>
                <w:rFonts w:ascii="Meta Pro" w:eastAsia="Times New Roman" w:hAnsi="Meta Pro"/>
                <w:szCs w:val="18"/>
                <w:lang w:eastAsia="en-AU"/>
              </w:rPr>
            </w:pPr>
            <w:r w:rsidRPr="008E6A4D">
              <w:rPr>
                <w:rFonts w:ascii="Meta Pro" w:eastAsia="Times New Roman" w:hAnsi="Meta Pro"/>
                <w:szCs w:val="18"/>
                <w:lang w:eastAsia="en-AU"/>
              </w:rPr>
              <w:t xml:space="preserve">4,206 </w:t>
            </w:r>
          </w:p>
        </w:tc>
      </w:tr>
      <w:tr w:rsidR="00BC5219" w:rsidRPr="008E6A4D" w14:paraId="6075B5D6" w14:textId="77777777" w:rsidTr="00E83802">
        <w:trPr>
          <w:trHeight w:val="198"/>
        </w:trPr>
        <w:tc>
          <w:tcPr>
            <w:tcW w:w="5438" w:type="dxa"/>
            <w:tcBorders>
              <w:top w:val="nil"/>
              <w:left w:val="nil"/>
              <w:bottom w:val="nil"/>
              <w:right w:val="nil"/>
            </w:tcBorders>
            <w:shd w:val="clear" w:color="auto" w:fill="auto"/>
            <w:noWrap/>
            <w:vAlign w:val="center"/>
            <w:hideMark/>
          </w:tcPr>
          <w:p w14:paraId="4A84EDAC" w14:textId="77777777" w:rsidR="00BC5219" w:rsidRPr="008E6A4D" w:rsidRDefault="00BC5219" w:rsidP="00E83802">
            <w:pPr>
              <w:rPr>
                <w:rFonts w:ascii="Meta Pro" w:eastAsia="Times New Roman" w:hAnsi="Meta Pro"/>
                <w:szCs w:val="18"/>
                <w:lang w:eastAsia="en-AU"/>
              </w:rPr>
            </w:pPr>
            <w:r w:rsidRPr="008E6A4D">
              <w:rPr>
                <w:rFonts w:ascii="Meta Pro" w:eastAsia="Times New Roman" w:hAnsi="Meta Pro"/>
                <w:szCs w:val="18"/>
                <w:lang w:eastAsia="en-AU"/>
              </w:rPr>
              <w:t>One to two years</w:t>
            </w:r>
          </w:p>
        </w:tc>
        <w:tc>
          <w:tcPr>
            <w:tcW w:w="567" w:type="dxa"/>
            <w:tcBorders>
              <w:top w:val="nil"/>
              <w:left w:val="nil"/>
              <w:bottom w:val="nil"/>
              <w:right w:val="nil"/>
            </w:tcBorders>
            <w:shd w:val="clear" w:color="auto" w:fill="auto"/>
            <w:noWrap/>
            <w:vAlign w:val="center"/>
            <w:hideMark/>
          </w:tcPr>
          <w:p w14:paraId="689EB6B3" w14:textId="77777777" w:rsidR="00BC5219" w:rsidRPr="008E6A4D" w:rsidRDefault="00BC5219" w:rsidP="00E83802">
            <w:pPr>
              <w:rPr>
                <w:rFonts w:ascii="Meta Pro" w:eastAsia="Times New Roman" w:hAnsi="Meta Pro"/>
                <w:szCs w:val="18"/>
                <w:lang w:eastAsia="en-AU"/>
              </w:rPr>
            </w:pPr>
          </w:p>
        </w:tc>
        <w:tc>
          <w:tcPr>
            <w:tcW w:w="567" w:type="dxa"/>
            <w:tcBorders>
              <w:top w:val="nil"/>
              <w:left w:val="nil"/>
              <w:bottom w:val="nil"/>
              <w:right w:val="nil"/>
            </w:tcBorders>
            <w:shd w:val="clear" w:color="auto" w:fill="auto"/>
            <w:noWrap/>
            <w:vAlign w:val="center"/>
            <w:hideMark/>
          </w:tcPr>
          <w:p w14:paraId="2BD3DB5A" w14:textId="77777777" w:rsidR="00BC5219" w:rsidRPr="008E6A4D" w:rsidRDefault="00BC5219" w:rsidP="00E83802">
            <w:pPr>
              <w:jc w:val="center"/>
              <w:rPr>
                <w:rFonts w:ascii="Times New Roman" w:eastAsia="Times New Roman" w:hAnsi="Times New Roman" w:cs="Times New Roman"/>
                <w:sz w:val="20"/>
                <w:szCs w:val="20"/>
                <w:lang w:eastAsia="en-AU"/>
              </w:rPr>
            </w:pPr>
          </w:p>
        </w:tc>
        <w:tc>
          <w:tcPr>
            <w:tcW w:w="567" w:type="dxa"/>
            <w:tcBorders>
              <w:top w:val="nil"/>
              <w:left w:val="nil"/>
              <w:bottom w:val="nil"/>
              <w:right w:val="nil"/>
            </w:tcBorders>
            <w:shd w:val="clear" w:color="auto" w:fill="auto"/>
            <w:noWrap/>
            <w:vAlign w:val="center"/>
            <w:hideMark/>
          </w:tcPr>
          <w:p w14:paraId="7992DBDE" w14:textId="77777777" w:rsidR="00BC5219" w:rsidRPr="008E6A4D" w:rsidRDefault="00BC5219" w:rsidP="00E83802">
            <w:pPr>
              <w:jc w:val="right"/>
              <w:rPr>
                <w:rFonts w:ascii="Times New Roman" w:eastAsia="Times New Roman" w:hAnsi="Times New Roman" w:cs="Times New Roman"/>
                <w:sz w:val="20"/>
                <w:szCs w:val="20"/>
                <w:lang w:eastAsia="en-AU"/>
              </w:rPr>
            </w:pPr>
          </w:p>
        </w:tc>
        <w:tc>
          <w:tcPr>
            <w:tcW w:w="1157" w:type="dxa"/>
            <w:tcBorders>
              <w:top w:val="nil"/>
              <w:left w:val="nil"/>
              <w:bottom w:val="nil"/>
              <w:right w:val="nil"/>
            </w:tcBorders>
            <w:shd w:val="clear" w:color="000000" w:fill="C9E3B4"/>
            <w:noWrap/>
            <w:vAlign w:val="center"/>
            <w:hideMark/>
          </w:tcPr>
          <w:p w14:paraId="1209BB21" w14:textId="77777777" w:rsidR="00BC5219" w:rsidRPr="008E6A4D" w:rsidRDefault="00BC5219" w:rsidP="00E83802">
            <w:pPr>
              <w:jc w:val="right"/>
              <w:rPr>
                <w:rFonts w:ascii="Meta Pro" w:eastAsia="Times New Roman" w:hAnsi="Meta Pro"/>
                <w:szCs w:val="18"/>
                <w:lang w:eastAsia="en-AU"/>
              </w:rPr>
            </w:pPr>
            <w:r w:rsidRPr="008E6A4D">
              <w:rPr>
                <w:rFonts w:ascii="Meta Pro" w:eastAsia="Times New Roman" w:hAnsi="Meta Pro"/>
                <w:szCs w:val="18"/>
                <w:lang w:eastAsia="en-AU"/>
              </w:rPr>
              <w:t xml:space="preserve">3,859 </w:t>
            </w:r>
          </w:p>
        </w:tc>
        <w:tc>
          <w:tcPr>
            <w:tcW w:w="215" w:type="dxa"/>
            <w:tcBorders>
              <w:top w:val="nil"/>
              <w:left w:val="nil"/>
              <w:bottom w:val="nil"/>
              <w:right w:val="nil"/>
            </w:tcBorders>
            <w:shd w:val="clear" w:color="auto" w:fill="auto"/>
            <w:noWrap/>
            <w:vAlign w:val="center"/>
            <w:hideMark/>
          </w:tcPr>
          <w:p w14:paraId="1A5C8E9F" w14:textId="77777777" w:rsidR="00BC5219" w:rsidRPr="008E6A4D"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6BD834FD" w14:textId="77777777" w:rsidR="00BC5219" w:rsidRPr="008E6A4D" w:rsidRDefault="00BC5219" w:rsidP="00E83802">
            <w:pPr>
              <w:jc w:val="right"/>
              <w:rPr>
                <w:rFonts w:ascii="Meta Pro" w:eastAsia="Times New Roman" w:hAnsi="Meta Pro"/>
                <w:szCs w:val="18"/>
                <w:lang w:eastAsia="en-AU"/>
              </w:rPr>
            </w:pPr>
            <w:r w:rsidRPr="008E6A4D">
              <w:rPr>
                <w:rFonts w:ascii="Meta Pro" w:eastAsia="Times New Roman" w:hAnsi="Meta Pro"/>
                <w:szCs w:val="18"/>
                <w:lang w:eastAsia="en-AU"/>
              </w:rPr>
              <w:t xml:space="preserve">3,598 </w:t>
            </w:r>
          </w:p>
        </w:tc>
      </w:tr>
      <w:tr w:rsidR="00BC5219" w:rsidRPr="008E6A4D" w14:paraId="0CE21CFC" w14:textId="77777777" w:rsidTr="00E83802">
        <w:trPr>
          <w:trHeight w:val="198"/>
        </w:trPr>
        <w:tc>
          <w:tcPr>
            <w:tcW w:w="5438" w:type="dxa"/>
            <w:tcBorders>
              <w:top w:val="nil"/>
              <w:left w:val="nil"/>
              <w:bottom w:val="nil"/>
              <w:right w:val="nil"/>
            </w:tcBorders>
            <w:shd w:val="clear" w:color="auto" w:fill="auto"/>
            <w:noWrap/>
            <w:vAlign w:val="center"/>
            <w:hideMark/>
          </w:tcPr>
          <w:p w14:paraId="1ECDAA30" w14:textId="77777777" w:rsidR="00BC5219" w:rsidRPr="008E6A4D" w:rsidRDefault="00BC5219" w:rsidP="00E83802">
            <w:pPr>
              <w:rPr>
                <w:rFonts w:ascii="Meta Pro" w:eastAsia="Times New Roman" w:hAnsi="Meta Pro"/>
                <w:szCs w:val="18"/>
                <w:lang w:eastAsia="en-AU"/>
              </w:rPr>
            </w:pPr>
            <w:r w:rsidRPr="008E6A4D">
              <w:rPr>
                <w:rFonts w:ascii="Meta Pro" w:eastAsia="Times New Roman" w:hAnsi="Meta Pro"/>
                <w:szCs w:val="18"/>
                <w:lang w:eastAsia="en-AU"/>
              </w:rPr>
              <w:t>Two to three years</w:t>
            </w:r>
          </w:p>
        </w:tc>
        <w:tc>
          <w:tcPr>
            <w:tcW w:w="567" w:type="dxa"/>
            <w:tcBorders>
              <w:top w:val="nil"/>
              <w:left w:val="nil"/>
              <w:bottom w:val="nil"/>
              <w:right w:val="nil"/>
            </w:tcBorders>
            <w:shd w:val="clear" w:color="auto" w:fill="auto"/>
            <w:noWrap/>
            <w:vAlign w:val="center"/>
            <w:hideMark/>
          </w:tcPr>
          <w:p w14:paraId="5306A5F0" w14:textId="77777777" w:rsidR="00BC5219" w:rsidRPr="008E6A4D" w:rsidRDefault="00BC5219" w:rsidP="00E83802">
            <w:pPr>
              <w:rPr>
                <w:rFonts w:ascii="Meta Pro" w:eastAsia="Times New Roman" w:hAnsi="Meta Pro"/>
                <w:szCs w:val="18"/>
                <w:lang w:eastAsia="en-AU"/>
              </w:rPr>
            </w:pPr>
          </w:p>
        </w:tc>
        <w:tc>
          <w:tcPr>
            <w:tcW w:w="567" w:type="dxa"/>
            <w:tcBorders>
              <w:top w:val="nil"/>
              <w:left w:val="nil"/>
              <w:bottom w:val="nil"/>
              <w:right w:val="nil"/>
            </w:tcBorders>
            <w:shd w:val="clear" w:color="auto" w:fill="auto"/>
            <w:noWrap/>
            <w:vAlign w:val="center"/>
            <w:hideMark/>
          </w:tcPr>
          <w:p w14:paraId="4118D25C" w14:textId="77777777" w:rsidR="00BC5219" w:rsidRPr="008E6A4D" w:rsidRDefault="00BC5219" w:rsidP="00E83802">
            <w:pPr>
              <w:jc w:val="center"/>
              <w:rPr>
                <w:rFonts w:ascii="Times New Roman" w:eastAsia="Times New Roman" w:hAnsi="Times New Roman" w:cs="Times New Roman"/>
                <w:sz w:val="20"/>
                <w:szCs w:val="20"/>
                <w:lang w:eastAsia="en-AU"/>
              </w:rPr>
            </w:pPr>
          </w:p>
        </w:tc>
        <w:tc>
          <w:tcPr>
            <w:tcW w:w="567" w:type="dxa"/>
            <w:tcBorders>
              <w:top w:val="nil"/>
              <w:left w:val="nil"/>
              <w:bottom w:val="nil"/>
              <w:right w:val="nil"/>
            </w:tcBorders>
            <w:shd w:val="clear" w:color="auto" w:fill="auto"/>
            <w:noWrap/>
            <w:vAlign w:val="center"/>
            <w:hideMark/>
          </w:tcPr>
          <w:p w14:paraId="704AFC05" w14:textId="77777777" w:rsidR="00BC5219" w:rsidRPr="008E6A4D" w:rsidRDefault="00BC5219" w:rsidP="00E83802">
            <w:pPr>
              <w:jc w:val="right"/>
              <w:rPr>
                <w:rFonts w:ascii="Times New Roman" w:eastAsia="Times New Roman" w:hAnsi="Times New Roman" w:cs="Times New Roman"/>
                <w:sz w:val="20"/>
                <w:szCs w:val="20"/>
                <w:lang w:eastAsia="en-AU"/>
              </w:rPr>
            </w:pPr>
          </w:p>
        </w:tc>
        <w:tc>
          <w:tcPr>
            <w:tcW w:w="1157" w:type="dxa"/>
            <w:tcBorders>
              <w:top w:val="nil"/>
              <w:left w:val="nil"/>
              <w:bottom w:val="nil"/>
              <w:right w:val="nil"/>
            </w:tcBorders>
            <w:shd w:val="clear" w:color="000000" w:fill="C9E3B4"/>
            <w:noWrap/>
            <w:vAlign w:val="center"/>
            <w:hideMark/>
          </w:tcPr>
          <w:p w14:paraId="07B33B8A" w14:textId="77777777" w:rsidR="00BC5219" w:rsidRPr="008E6A4D" w:rsidRDefault="00BC5219" w:rsidP="00E83802">
            <w:pPr>
              <w:jc w:val="right"/>
              <w:rPr>
                <w:rFonts w:ascii="Meta Pro" w:eastAsia="Times New Roman" w:hAnsi="Meta Pro"/>
                <w:szCs w:val="18"/>
                <w:lang w:eastAsia="en-AU"/>
              </w:rPr>
            </w:pPr>
            <w:r w:rsidRPr="008E6A4D">
              <w:rPr>
                <w:rFonts w:ascii="Meta Pro" w:eastAsia="Times New Roman" w:hAnsi="Meta Pro"/>
                <w:szCs w:val="18"/>
                <w:lang w:eastAsia="en-AU"/>
              </w:rPr>
              <w:t xml:space="preserve">3,722 </w:t>
            </w:r>
          </w:p>
        </w:tc>
        <w:tc>
          <w:tcPr>
            <w:tcW w:w="215" w:type="dxa"/>
            <w:tcBorders>
              <w:top w:val="nil"/>
              <w:left w:val="nil"/>
              <w:bottom w:val="nil"/>
              <w:right w:val="nil"/>
            </w:tcBorders>
            <w:shd w:val="clear" w:color="auto" w:fill="auto"/>
            <w:noWrap/>
            <w:vAlign w:val="center"/>
            <w:hideMark/>
          </w:tcPr>
          <w:p w14:paraId="01FFCA05" w14:textId="77777777" w:rsidR="00BC5219" w:rsidRPr="008E6A4D"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4CF5CDB9" w14:textId="77777777" w:rsidR="00BC5219" w:rsidRPr="008E6A4D" w:rsidRDefault="00BC5219" w:rsidP="00E83802">
            <w:pPr>
              <w:jc w:val="right"/>
              <w:rPr>
                <w:rFonts w:ascii="Meta Pro" w:eastAsia="Times New Roman" w:hAnsi="Meta Pro"/>
                <w:szCs w:val="18"/>
                <w:lang w:eastAsia="en-AU"/>
              </w:rPr>
            </w:pPr>
            <w:r w:rsidRPr="008E6A4D">
              <w:rPr>
                <w:rFonts w:ascii="Meta Pro" w:eastAsia="Times New Roman" w:hAnsi="Meta Pro"/>
                <w:szCs w:val="18"/>
                <w:lang w:eastAsia="en-AU"/>
              </w:rPr>
              <w:t xml:space="preserve">3,585 </w:t>
            </w:r>
          </w:p>
        </w:tc>
      </w:tr>
      <w:tr w:rsidR="00BC5219" w:rsidRPr="008E6A4D" w14:paraId="72FA8D0A" w14:textId="77777777" w:rsidTr="00E83802">
        <w:trPr>
          <w:trHeight w:val="198"/>
        </w:trPr>
        <w:tc>
          <w:tcPr>
            <w:tcW w:w="5438" w:type="dxa"/>
            <w:tcBorders>
              <w:top w:val="nil"/>
              <w:left w:val="nil"/>
              <w:bottom w:val="nil"/>
              <w:right w:val="nil"/>
            </w:tcBorders>
            <w:shd w:val="clear" w:color="auto" w:fill="auto"/>
            <w:noWrap/>
            <w:vAlign w:val="center"/>
            <w:hideMark/>
          </w:tcPr>
          <w:p w14:paraId="597EB3CE" w14:textId="77777777" w:rsidR="00BC5219" w:rsidRPr="008E6A4D" w:rsidRDefault="00BC5219" w:rsidP="00E83802">
            <w:pPr>
              <w:rPr>
                <w:rFonts w:ascii="Meta Pro" w:eastAsia="Times New Roman" w:hAnsi="Meta Pro"/>
                <w:szCs w:val="18"/>
                <w:lang w:eastAsia="en-AU"/>
              </w:rPr>
            </w:pPr>
            <w:r w:rsidRPr="008E6A4D">
              <w:rPr>
                <w:rFonts w:ascii="Meta Pro" w:eastAsia="Times New Roman" w:hAnsi="Meta Pro"/>
                <w:szCs w:val="18"/>
                <w:lang w:eastAsia="en-AU"/>
              </w:rPr>
              <w:t>Three to four years</w:t>
            </w:r>
          </w:p>
        </w:tc>
        <w:tc>
          <w:tcPr>
            <w:tcW w:w="567" w:type="dxa"/>
            <w:tcBorders>
              <w:top w:val="nil"/>
              <w:left w:val="nil"/>
              <w:bottom w:val="nil"/>
              <w:right w:val="nil"/>
            </w:tcBorders>
            <w:shd w:val="clear" w:color="auto" w:fill="auto"/>
            <w:noWrap/>
            <w:vAlign w:val="center"/>
            <w:hideMark/>
          </w:tcPr>
          <w:p w14:paraId="6CC4D1E1" w14:textId="77777777" w:rsidR="00BC5219" w:rsidRPr="008E6A4D" w:rsidRDefault="00BC5219" w:rsidP="00E83802">
            <w:pPr>
              <w:rPr>
                <w:rFonts w:ascii="Meta Pro" w:eastAsia="Times New Roman" w:hAnsi="Meta Pro"/>
                <w:szCs w:val="18"/>
                <w:lang w:eastAsia="en-AU"/>
              </w:rPr>
            </w:pPr>
          </w:p>
        </w:tc>
        <w:tc>
          <w:tcPr>
            <w:tcW w:w="567" w:type="dxa"/>
            <w:tcBorders>
              <w:top w:val="nil"/>
              <w:left w:val="nil"/>
              <w:bottom w:val="nil"/>
              <w:right w:val="nil"/>
            </w:tcBorders>
            <w:shd w:val="clear" w:color="auto" w:fill="auto"/>
            <w:noWrap/>
            <w:vAlign w:val="center"/>
            <w:hideMark/>
          </w:tcPr>
          <w:p w14:paraId="55B4A218" w14:textId="77777777" w:rsidR="00BC5219" w:rsidRPr="008E6A4D" w:rsidRDefault="00BC5219" w:rsidP="00E83802">
            <w:pPr>
              <w:jc w:val="center"/>
              <w:rPr>
                <w:rFonts w:ascii="Times New Roman" w:eastAsia="Times New Roman" w:hAnsi="Times New Roman" w:cs="Times New Roman"/>
                <w:sz w:val="20"/>
                <w:szCs w:val="20"/>
                <w:lang w:eastAsia="en-AU"/>
              </w:rPr>
            </w:pPr>
          </w:p>
        </w:tc>
        <w:tc>
          <w:tcPr>
            <w:tcW w:w="567" w:type="dxa"/>
            <w:tcBorders>
              <w:top w:val="nil"/>
              <w:left w:val="nil"/>
              <w:bottom w:val="nil"/>
              <w:right w:val="nil"/>
            </w:tcBorders>
            <w:shd w:val="clear" w:color="auto" w:fill="auto"/>
            <w:noWrap/>
            <w:vAlign w:val="center"/>
            <w:hideMark/>
          </w:tcPr>
          <w:p w14:paraId="0DBB4837" w14:textId="77777777" w:rsidR="00BC5219" w:rsidRPr="008E6A4D" w:rsidRDefault="00BC5219" w:rsidP="00E83802">
            <w:pPr>
              <w:jc w:val="right"/>
              <w:rPr>
                <w:rFonts w:ascii="Times New Roman" w:eastAsia="Times New Roman" w:hAnsi="Times New Roman" w:cs="Times New Roman"/>
                <w:sz w:val="20"/>
                <w:szCs w:val="20"/>
                <w:lang w:eastAsia="en-AU"/>
              </w:rPr>
            </w:pPr>
          </w:p>
        </w:tc>
        <w:tc>
          <w:tcPr>
            <w:tcW w:w="1157" w:type="dxa"/>
            <w:tcBorders>
              <w:top w:val="nil"/>
              <w:left w:val="nil"/>
              <w:bottom w:val="nil"/>
              <w:right w:val="nil"/>
            </w:tcBorders>
            <w:shd w:val="clear" w:color="000000" w:fill="C9E3B4"/>
            <w:noWrap/>
            <w:vAlign w:val="center"/>
            <w:hideMark/>
          </w:tcPr>
          <w:p w14:paraId="64CE231F" w14:textId="77777777" w:rsidR="00BC5219" w:rsidRPr="008E6A4D" w:rsidRDefault="00BC5219" w:rsidP="00E83802">
            <w:pPr>
              <w:jc w:val="right"/>
              <w:rPr>
                <w:rFonts w:ascii="Meta Pro" w:eastAsia="Times New Roman" w:hAnsi="Meta Pro"/>
                <w:szCs w:val="18"/>
                <w:lang w:eastAsia="en-AU"/>
              </w:rPr>
            </w:pPr>
            <w:r w:rsidRPr="008E6A4D">
              <w:rPr>
                <w:rFonts w:ascii="Meta Pro" w:eastAsia="Times New Roman" w:hAnsi="Meta Pro"/>
                <w:szCs w:val="18"/>
                <w:lang w:eastAsia="en-AU"/>
              </w:rPr>
              <w:t xml:space="preserve">3,344 </w:t>
            </w:r>
          </w:p>
        </w:tc>
        <w:tc>
          <w:tcPr>
            <w:tcW w:w="215" w:type="dxa"/>
            <w:tcBorders>
              <w:top w:val="nil"/>
              <w:left w:val="nil"/>
              <w:bottom w:val="nil"/>
              <w:right w:val="nil"/>
            </w:tcBorders>
            <w:shd w:val="clear" w:color="auto" w:fill="auto"/>
            <w:noWrap/>
            <w:vAlign w:val="center"/>
            <w:hideMark/>
          </w:tcPr>
          <w:p w14:paraId="53263E7E" w14:textId="77777777" w:rsidR="00BC5219" w:rsidRPr="008E6A4D"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7D3846A1" w14:textId="77777777" w:rsidR="00BC5219" w:rsidRPr="008E6A4D" w:rsidRDefault="00BC5219" w:rsidP="00E83802">
            <w:pPr>
              <w:jc w:val="right"/>
              <w:rPr>
                <w:rFonts w:ascii="Meta Pro" w:eastAsia="Times New Roman" w:hAnsi="Meta Pro"/>
                <w:szCs w:val="18"/>
                <w:lang w:eastAsia="en-AU"/>
              </w:rPr>
            </w:pPr>
            <w:r w:rsidRPr="008E6A4D">
              <w:rPr>
                <w:rFonts w:ascii="Meta Pro" w:eastAsia="Times New Roman" w:hAnsi="Meta Pro"/>
                <w:szCs w:val="18"/>
                <w:lang w:eastAsia="en-AU"/>
              </w:rPr>
              <w:t xml:space="preserve">3,449 </w:t>
            </w:r>
          </w:p>
        </w:tc>
      </w:tr>
      <w:tr w:rsidR="00BC5219" w:rsidRPr="008E6A4D" w14:paraId="3B425B0C" w14:textId="77777777" w:rsidTr="00E83802">
        <w:trPr>
          <w:trHeight w:val="198"/>
        </w:trPr>
        <w:tc>
          <w:tcPr>
            <w:tcW w:w="5438" w:type="dxa"/>
            <w:tcBorders>
              <w:top w:val="nil"/>
              <w:left w:val="nil"/>
              <w:bottom w:val="nil"/>
              <w:right w:val="nil"/>
            </w:tcBorders>
            <w:shd w:val="clear" w:color="auto" w:fill="auto"/>
            <w:noWrap/>
            <w:vAlign w:val="center"/>
            <w:hideMark/>
          </w:tcPr>
          <w:p w14:paraId="1101B0E5" w14:textId="77777777" w:rsidR="00BC5219" w:rsidRPr="008E6A4D" w:rsidRDefault="00BC5219" w:rsidP="00E83802">
            <w:pPr>
              <w:rPr>
                <w:rFonts w:ascii="Meta Pro" w:eastAsia="Times New Roman" w:hAnsi="Meta Pro"/>
                <w:szCs w:val="18"/>
                <w:lang w:eastAsia="en-AU"/>
              </w:rPr>
            </w:pPr>
            <w:r w:rsidRPr="008E6A4D">
              <w:rPr>
                <w:rFonts w:ascii="Meta Pro" w:eastAsia="Times New Roman" w:hAnsi="Meta Pro"/>
                <w:szCs w:val="18"/>
                <w:lang w:eastAsia="en-AU"/>
              </w:rPr>
              <w:t>Four to five years</w:t>
            </w:r>
          </w:p>
        </w:tc>
        <w:tc>
          <w:tcPr>
            <w:tcW w:w="567" w:type="dxa"/>
            <w:tcBorders>
              <w:top w:val="nil"/>
              <w:left w:val="nil"/>
              <w:bottom w:val="nil"/>
              <w:right w:val="nil"/>
            </w:tcBorders>
            <w:shd w:val="clear" w:color="auto" w:fill="auto"/>
            <w:noWrap/>
            <w:vAlign w:val="center"/>
            <w:hideMark/>
          </w:tcPr>
          <w:p w14:paraId="08EC0934" w14:textId="77777777" w:rsidR="00BC5219" w:rsidRPr="008E6A4D" w:rsidRDefault="00BC5219" w:rsidP="00E83802">
            <w:pPr>
              <w:rPr>
                <w:rFonts w:ascii="Meta Pro" w:eastAsia="Times New Roman" w:hAnsi="Meta Pro"/>
                <w:szCs w:val="18"/>
                <w:lang w:eastAsia="en-AU"/>
              </w:rPr>
            </w:pPr>
          </w:p>
        </w:tc>
        <w:tc>
          <w:tcPr>
            <w:tcW w:w="567" w:type="dxa"/>
            <w:tcBorders>
              <w:top w:val="nil"/>
              <w:left w:val="nil"/>
              <w:bottom w:val="nil"/>
              <w:right w:val="nil"/>
            </w:tcBorders>
            <w:shd w:val="clear" w:color="auto" w:fill="auto"/>
            <w:noWrap/>
            <w:vAlign w:val="center"/>
            <w:hideMark/>
          </w:tcPr>
          <w:p w14:paraId="6229B25B" w14:textId="77777777" w:rsidR="00BC5219" w:rsidRPr="008E6A4D" w:rsidRDefault="00BC5219" w:rsidP="00E83802">
            <w:pPr>
              <w:jc w:val="center"/>
              <w:rPr>
                <w:rFonts w:ascii="Times New Roman" w:eastAsia="Times New Roman" w:hAnsi="Times New Roman" w:cs="Times New Roman"/>
                <w:sz w:val="20"/>
                <w:szCs w:val="20"/>
                <w:lang w:eastAsia="en-AU"/>
              </w:rPr>
            </w:pPr>
          </w:p>
        </w:tc>
        <w:tc>
          <w:tcPr>
            <w:tcW w:w="567" w:type="dxa"/>
            <w:tcBorders>
              <w:top w:val="nil"/>
              <w:left w:val="nil"/>
              <w:bottom w:val="nil"/>
              <w:right w:val="nil"/>
            </w:tcBorders>
            <w:shd w:val="clear" w:color="auto" w:fill="auto"/>
            <w:noWrap/>
            <w:vAlign w:val="center"/>
            <w:hideMark/>
          </w:tcPr>
          <w:p w14:paraId="74AC3C2D" w14:textId="77777777" w:rsidR="00BC5219" w:rsidRPr="008E6A4D" w:rsidRDefault="00BC5219" w:rsidP="00E83802">
            <w:pPr>
              <w:jc w:val="right"/>
              <w:rPr>
                <w:rFonts w:ascii="Times New Roman" w:eastAsia="Times New Roman" w:hAnsi="Times New Roman" w:cs="Times New Roman"/>
                <w:sz w:val="20"/>
                <w:szCs w:val="20"/>
                <w:lang w:eastAsia="en-AU"/>
              </w:rPr>
            </w:pPr>
          </w:p>
        </w:tc>
        <w:tc>
          <w:tcPr>
            <w:tcW w:w="1157" w:type="dxa"/>
            <w:tcBorders>
              <w:top w:val="nil"/>
              <w:left w:val="nil"/>
              <w:bottom w:val="nil"/>
              <w:right w:val="nil"/>
            </w:tcBorders>
            <w:shd w:val="clear" w:color="000000" w:fill="C9E3B4"/>
            <w:noWrap/>
            <w:vAlign w:val="center"/>
            <w:hideMark/>
          </w:tcPr>
          <w:p w14:paraId="0E8D7280" w14:textId="77777777" w:rsidR="00BC5219" w:rsidRPr="008E6A4D" w:rsidRDefault="00BC5219" w:rsidP="00E83802">
            <w:pPr>
              <w:jc w:val="right"/>
              <w:rPr>
                <w:rFonts w:ascii="Meta Pro" w:eastAsia="Times New Roman" w:hAnsi="Meta Pro"/>
                <w:szCs w:val="18"/>
                <w:lang w:eastAsia="en-AU"/>
              </w:rPr>
            </w:pPr>
            <w:r w:rsidRPr="008E6A4D">
              <w:rPr>
                <w:rFonts w:ascii="Meta Pro" w:eastAsia="Times New Roman" w:hAnsi="Meta Pro"/>
                <w:szCs w:val="18"/>
                <w:lang w:eastAsia="en-AU"/>
              </w:rPr>
              <w:t xml:space="preserve">3,277 </w:t>
            </w:r>
          </w:p>
        </w:tc>
        <w:tc>
          <w:tcPr>
            <w:tcW w:w="215" w:type="dxa"/>
            <w:tcBorders>
              <w:top w:val="nil"/>
              <w:left w:val="nil"/>
              <w:bottom w:val="nil"/>
              <w:right w:val="nil"/>
            </w:tcBorders>
            <w:shd w:val="clear" w:color="auto" w:fill="auto"/>
            <w:noWrap/>
            <w:vAlign w:val="center"/>
            <w:hideMark/>
          </w:tcPr>
          <w:p w14:paraId="636E5E8E" w14:textId="77777777" w:rsidR="00BC5219" w:rsidRPr="008E6A4D"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1C2E676C" w14:textId="77777777" w:rsidR="00BC5219" w:rsidRPr="008E6A4D" w:rsidRDefault="00BC5219" w:rsidP="00E83802">
            <w:pPr>
              <w:jc w:val="right"/>
              <w:rPr>
                <w:rFonts w:ascii="Meta Pro" w:eastAsia="Times New Roman" w:hAnsi="Meta Pro"/>
                <w:szCs w:val="18"/>
                <w:lang w:eastAsia="en-AU"/>
              </w:rPr>
            </w:pPr>
            <w:r w:rsidRPr="008E6A4D">
              <w:rPr>
                <w:rFonts w:ascii="Meta Pro" w:eastAsia="Times New Roman" w:hAnsi="Meta Pro"/>
                <w:szCs w:val="18"/>
                <w:lang w:eastAsia="en-AU"/>
              </w:rPr>
              <w:t xml:space="preserve">3,109 </w:t>
            </w:r>
          </w:p>
        </w:tc>
      </w:tr>
      <w:tr w:rsidR="00BC5219" w:rsidRPr="008E6A4D" w14:paraId="59D9A8B2" w14:textId="77777777" w:rsidTr="00E83802">
        <w:trPr>
          <w:trHeight w:val="198"/>
        </w:trPr>
        <w:tc>
          <w:tcPr>
            <w:tcW w:w="5438" w:type="dxa"/>
            <w:tcBorders>
              <w:top w:val="nil"/>
              <w:left w:val="nil"/>
              <w:bottom w:val="nil"/>
              <w:right w:val="nil"/>
            </w:tcBorders>
            <w:shd w:val="clear" w:color="auto" w:fill="auto"/>
            <w:noWrap/>
            <w:vAlign w:val="center"/>
            <w:hideMark/>
          </w:tcPr>
          <w:p w14:paraId="7BABB9C4" w14:textId="77777777" w:rsidR="00BC5219" w:rsidRPr="008E6A4D" w:rsidRDefault="00BC5219" w:rsidP="00E83802">
            <w:pPr>
              <w:rPr>
                <w:rFonts w:ascii="Meta Pro" w:eastAsia="Times New Roman" w:hAnsi="Meta Pro"/>
                <w:szCs w:val="18"/>
                <w:lang w:eastAsia="en-AU"/>
              </w:rPr>
            </w:pPr>
            <w:r w:rsidRPr="008E6A4D">
              <w:rPr>
                <w:rFonts w:ascii="Meta Pro" w:eastAsia="Times New Roman" w:hAnsi="Meta Pro"/>
                <w:szCs w:val="18"/>
                <w:lang w:eastAsia="en-AU"/>
              </w:rPr>
              <w:t>More than five years</w:t>
            </w:r>
          </w:p>
        </w:tc>
        <w:tc>
          <w:tcPr>
            <w:tcW w:w="567" w:type="dxa"/>
            <w:tcBorders>
              <w:top w:val="nil"/>
              <w:left w:val="nil"/>
              <w:bottom w:val="nil"/>
              <w:right w:val="nil"/>
            </w:tcBorders>
            <w:shd w:val="clear" w:color="auto" w:fill="auto"/>
            <w:vAlign w:val="center"/>
            <w:hideMark/>
          </w:tcPr>
          <w:p w14:paraId="06028F50" w14:textId="77777777" w:rsidR="00BC5219" w:rsidRPr="008E6A4D" w:rsidRDefault="00BC5219" w:rsidP="00E83802">
            <w:pPr>
              <w:rPr>
                <w:rFonts w:ascii="Meta Pro" w:eastAsia="Times New Roman" w:hAnsi="Meta Pro"/>
                <w:szCs w:val="18"/>
                <w:lang w:eastAsia="en-AU"/>
              </w:rPr>
            </w:pPr>
          </w:p>
        </w:tc>
        <w:tc>
          <w:tcPr>
            <w:tcW w:w="567" w:type="dxa"/>
            <w:tcBorders>
              <w:top w:val="nil"/>
              <w:left w:val="nil"/>
              <w:bottom w:val="nil"/>
              <w:right w:val="nil"/>
            </w:tcBorders>
            <w:shd w:val="clear" w:color="auto" w:fill="auto"/>
            <w:noWrap/>
            <w:vAlign w:val="center"/>
            <w:hideMark/>
          </w:tcPr>
          <w:p w14:paraId="2B40B453" w14:textId="77777777" w:rsidR="00BC5219" w:rsidRPr="008E6A4D" w:rsidRDefault="00BC5219" w:rsidP="00E83802">
            <w:pPr>
              <w:jc w:val="center"/>
              <w:rPr>
                <w:rFonts w:ascii="Times New Roman" w:eastAsia="Times New Roman" w:hAnsi="Times New Roman" w:cs="Times New Roman"/>
                <w:sz w:val="20"/>
                <w:szCs w:val="20"/>
                <w:lang w:eastAsia="en-AU"/>
              </w:rPr>
            </w:pPr>
          </w:p>
        </w:tc>
        <w:tc>
          <w:tcPr>
            <w:tcW w:w="567" w:type="dxa"/>
            <w:tcBorders>
              <w:top w:val="nil"/>
              <w:left w:val="nil"/>
              <w:bottom w:val="nil"/>
              <w:right w:val="nil"/>
            </w:tcBorders>
            <w:shd w:val="clear" w:color="auto" w:fill="auto"/>
            <w:noWrap/>
            <w:vAlign w:val="center"/>
            <w:hideMark/>
          </w:tcPr>
          <w:p w14:paraId="6C5299D5" w14:textId="77777777" w:rsidR="00BC5219" w:rsidRPr="008E6A4D" w:rsidRDefault="00BC5219" w:rsidP="00E83802">
            <w:pPr>
              <w:jc w:val="right"/>
              <w:rPr>
                <w:rFonts w:ascii="Times New Roman" w:eastAsia="Times New Roman" w:hAnsi="Times New Roman" w:cs="Times New Roman"/>
                <w:sz w:val="20"/>
                <w:szCs w:val="20"/>
                <w:lang w:eastAsia="en-AU"/>
              </w:rPr>
            </w:pPr>
          </w:p>
        </w:tc>
        <w:tc>
          <w:tcPr>
            <w:tcW w:w="1157" w:type="dxa"/>
            <w:tcBorders>
              <w:top w:val="nil"/>
              <w:left w:val="nil"/>
              <w:bottom w:val="nil"/>
              <w:right w:val="nil"/>
            </w:tcBorders>
            <w:shd w:val="clear" w:color="000000" w:fill="C9E3B4"/>
            <w:noWrap/>
            <w:vAlign w:val="center"/>
            <w:hideMark/>
          </w:tcPr>
          <w:p w14:paraId="37E47DBC" w14:textId="77777777" w:rsidR="00BC5219" w:rsidRPr="008E6A4D" w:rsidRDefault="00BC5219" w:rsidP="00E83802">
            <w:pPr>
              <w:jc w:val="right"/>
              <w:rPr>
                <w:rFonts w:ascii="Meta Pro" w:eastAsia="Times New Roman" w:hAnsi="Meta Pro"/>
                <w:szCs w:val="18"/>
                <w:lang w:eastAsia="en-AU"/>
              </w:rPr>
            </w:pPr>
            <w:r w:rsidRPr="008E6A4D">
              <w:rPr>
                <w:rFonts w:ascii="Meta Pro" w:eastAsia="Times New Roman" w:hAnsi="Meta Pro"/>
                <w:szCs w:val="18"/>
                <w:lang w:eastAsia="en-AU"/>
              </w:rPr>
              <w:t xml:space="preserve">30,141 </w:t>
            </w:r>
          </w:p>
        </w:tc>
        <w:tc>
          <w:tcPr>
            <w:tcW w:w="215" w:type="dxa"/>
            <w:tcBorders>
              <w:top w:val="nil"/>
              <w:left w:val="nil"/>
              <w:bottom w:val="nil"/>
              <w:right w:val="nil"/>
            </w:tcBorders>
            <w:shd w:val="clear" w:color="auto" w:fill="auto"/>
            <w:noWrap/>
            <w:vAlign w:val="center"/>
            <w:hideMark/>
          </w:tcPr>
          <w:p w14:paraId="53B86ACA" w14:textId="77777777" w:rsidR="00BC5219" w:rsidRPr="008E6A4D"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64E5AAE3" w14:textId="77777777" w:rsidR="00BC5219" w:rsidRPr="008E6A4D" w:rsidRDefault="00BC5219" w:rsidP="00E83802">
            <w:pPr>
              <w:jc w:val="right"/>
              <w:rPr>
                <w:rFonts w:ascii="Meta Pro" w:eastAsia="Times New Roman" w:hAnsi="Meta Pro"/>
                <w:szCs w:val="18"/>
                <w:lang w:eastAsia="en-AU"/>
              </w:rPr>
            </w:pPr>
            <w:r w:rsidRPr="008E6A4D">
              <w:rPr>
                <w:rFonts w:ascii="Meta Pro" w:eastAsia="Times New Roman" w:hAnsi="Meta Pro"/>
                <w:szCs w:val="18"/>
                <w:lang w:eastAsia="en-AU"/>
              </w:rPr>
              <w:t xml:space="preserve">30,410 </w:t>
            </w:r>
          </w:p>
        </w:tc>
      </w:tr>
      <w:tr w:rsidR="00BC5219" w:rsidRPr="008E6A4D" w14:paraId="4179C29E" w14:textId="77777777" w:rsidTr="00E83802">
        <w:trPr>
          <w:trHeight w:val="198"/>
        </w:trPr>
        <w:tc>
          <w:tcPr>
            <w:tcW w:w="5438" w:type="dxa"/>
            <w:tcBorders>
              <w:top w:val="single" w:sz="4" w:space="0" w:color="auto"/>
              <w:left w:val="nil"/>
              <w:bottom w:val="double" w:sz="6" w:space="0" w:color="auto"/>
              <w:right w:val="nil"/>
            </w:tcBorders>
            <w:shd w:val="clear" w:color="auto" w:fill="auto"/>
            <w:noWrap/>
            <w:vAlign w:val="center"/>
            <w:hideMark/>
          </w:tcPr>
          <w:p w14:paraId="0E299387" w14:textId="77777777" w:rsidR="00BC5219" w:rsidRPr="008E6A4D" w:rsidRDefault="00BC5219" w:rsidP="00E83802">
            <w:pPr>
              <w:rPr>
                <w:rFonts w:ascii="Meta Pro" w:eastAsia="Times New Roman" w:hAnsi="Meta Pro"/>
                <w:b/>
                <w:bCs/>
                <w:szCs w:val="18"/>
                <w:lang w:eastAsia="en-AU"/>
              </w:rPr>
            </w:pPr>
            <w:r w:rsidRPr="008E6A4D">
              <w:rPr>
                <w:rFonts w:ascii="Meta Pro" w:eastAsia="Times New Roman" w:hAnsi="Meta Pro"/>
                <w:b/>
                <w:bCs/>
                <w:szCs w:val="18"/>
                <w:lang w:eastAsia="en-AU"/>
              </w:rPr>
              <w:t>Total</w:t>
            </w:r>
          </w:p>
        </w:tc>
        <w:tc>
          <w:tcPr>
            <w:tcW w:w="567" w:type="dxa"/>
            <w:tcBorders>
              <w:top w:val="single" w:sz="4" w:space="0" w:color="auto"/>
              <w:left w:val="nil"/>
              <w:bottom w:val="double" w:sz="6" w:space="0" w:color="auto"/>
              <w:right w:val="nil"/>
            </w:tcBorders>
            <w:shd w:val="clear" w:color="auto" w:fill="auto"/>
            <w:noWrap/>
            <w:vAlign w:val="center"/>
            <w:hideMark/>
          </w:tcPr>
          <w:p w14:paraId="6C0D53DE" w14:textId="77777777" w:rsidR="00BC5219" w:rsidRPr="008E6A4D" w:rsidRDefault="00BC5219" w:rsidP="00E83802">
            <w:pPr>
              <w:jc w:val="center"/>
              <w:rPr>
                <w:rFonts w:ascii="Meta Pro" w:eastAsia="Times New Roman" w:hAnsi="Meta Pro"/>
                <w:szCs w:val="18"/>
                <w:lang w:eastAsia="en-AU"/>
              </w:rPr>
            </w:pPr>
            <w:r w:rsidRPr="008E6A4D">
              <w:rPr>
                <w:rFonts w:ascii="Meta Pro" w:eastAsia="Times New Roman" w:hAnsi="Meta Pro"/>
                <w:szCs w:val="18"/>
                <w:lang w:eastAsia="en-AU"/>
              </w:rPr>
              <w:t> </w:t>
            </w:r>
          </w:p>
        </w:tc>
        <w:tc>
          <w:tcPr>
            <w:tcW w:w="567" w:type="dxa"/>
            <w:tcBorders>
              <w:top w:val="single" w:sz="4" w:space="0" w:color="auto"/>
              <w:left w:val="nil"/>
              <w:bottom w:val="double" w:sz="6" w:space="0" w:color="auto"/>
              <w:right w:val="nil"/>
            </w:tcBorders>
            <w:shd w:val="clear" w:color="auto" w:fill="auto"/>
            <w:noWrap/>
            <w:vAlign w:val="center"/>
            <w:hideMark/>
          </w:tcPr>
          <w:p w14:paraId="565763D5" w14:textId="77777777" w:rsidR="00BC5219" w:rsidRPr="008E6A4D" w:rsidRDefault="00BC5219" w:rsidP="00E83802">
            <w:pPr>
              <w:jc w:val="right"/>
              <w:rPr>
                <w:rFonts w:ascii="Meta Pro" w:eastAsia="Times New Roman" w:hAnsi="Meta Pro"/>
                <w:sz w:val="20"/>
                <w:szCs w:val="20"/>
                <w:lang w:eastAsia="en-AU"/>
              </w:rPr>
            </w:pPr>
            <w:r w:rsidRPr="008E6A4D">
              <w:rPr>
                <w:rFonts w:ascii="Meta Pro" w:eastAsia="Times New Roman" w:hAnsi="Meta Pro"/>
                <w:sz w:val="20"/>
                <w:szCs w:val="20"/>
                <w:lang w:eastAsia="en-AU"/>
              </w:rPr>
              <w:t> </w:t>
            </w:r>
          </w:p>
        </w:tc>
        <w:tc>
          <w:tcPr>
            <w:tcW w:w="567" w:type="dxa"/>
            <w:tcBorders>
              <w:top w:val="single" w:sz="4" w:space="0" w:color="auto"/>
              <w:left w:val="nil"/>
              <w:bottom w:val="double" w:sz="6" w:space="0" w:color="auto"/>
              <w:right w:val="nil"/>
            </w:tcBorders>
            <w:shd w:val="clear" w:color="auto" w:fill="auto"/>
            <w:noWrap/>
            <w:vAlign w:val="center"/>
            <w:hideMark/>
          </w:tcPr>
          <w:p w14:paraId="719DC9B4" w14:textId="77777777" w:rsidR="00BC5219" w:rsidRPr="008E6A4D" w:rsidRDefault="00BC5219" w:rsidP="00E83802">
            <w:pPr>
              <w:rPr>
                <w:rFonts w:ascii="Meta Pro" w:eastAsia="Times New Roman" w:hAnsi="Meta Pro"/>
                <w:sz w:val="20"/>
                <w:szCs w:val="20"/>
                <w:lang w:eastAsia="en-AU"/>
              </w:rPr>
            </w:pPr>
            <w:r w:rsidRPr="008E6A4D">
              <w:rPr>
                <w:rFonts w:ascii="Meta Pro" w:eastAsia="Times New Roman" w:hAnsi="Meta Pro"/>
                <w:sz w:val="20"/>
                <w:szCs w:val="20"/>
                <w:lang w:eastAsia="en-AU"/>
              </w:rPr>
              <w:t> </w:t>
            </w:r>
          </w:p>
        </w:tc>
        <w:tc>
          <w:tcPr>
            <w:tcW w:w="1157" w:type="dxa"/>
            <w:tcBorders>
              <w:top w:val="single" w:sz="4" w:space="0" w:color="auto"/>
              <w:left w:val="nil"/>
              <w:bottom w:val="double" w:sz="6" w:space="0" w:color="auto"/>
              <w:right w:val="nil"/>
            </w:tcBorders>
            <w:shd w:val="clear" w:color="000000" w:fill="C9E3B4"/>
            <w:noWrap/>
            <w:vAlign w:val="center"/>
            <w:hideMark/>
          </w:tcPr>
          <w:p w14:paraId="4D4FEABD" w14:textId="77777777" w:rsidR="00BC5219" w:rsidRPr="008E6A4D" w:rsidRDefault="00BC5219" w:rsidP="00E83802">
            <w:pPr>
              <w:jc w:val="right"/>
              <w:rPr>
                <w:rFonts w:ascii="Meta Pro" w:eastAsia="Times New Roman" w:hAnsi="Meta Pro"/>
                <w:b/>
                <w:bCs/>
                <w:szCs w:val="18"/>
                <w:lang w:eastAsia="en-AU"/>
              </w:rPr>
            </w:pPr>
            <w:r w:rsidRPr="008E6A4D">
              <w:rPr>
                <w:rFonts w:ascii="Meta Pro" w:eastAsia="Times New Roman" w:hAnsi="Meta Pro"/>
                <w:b/>
                <w:bCs/>
                <w:szCs w:val="18"/>
                <w:lang w:eastAsia="en-AU"/>
              </w:rPr>
              <w:t xml:space="preserve">48,774 </w:t>
            </w:r>
          </w:p>
        </w:tc>
        <w:tc>
          <w:tcPr>
            <w:tcW w:w="215" w:type="dxa"/>
            <w:tcBorders>
              <w:top w:val="single" w:sz="4" w:space="0" w:color="auto"/>
              <w:left w:val="nil"/>
              <w:bottom w:val="double" w:sz="6" w:space="0" w:color="auto"/>
              <w:right w:val="nil"/>
            </w:tcBorders>
            <w:shd w:val="clear" w:color="auto" w:fill="auto"/>
            <w:vAlign w:val="center"/>
            <w:hideMark/>
          </w:tcPr>
          <w:p w14:paraId="0DED2151" w14:textId="77777777" w:rsidR="00BC5219" w:rsidRPr="008E6A4D" w:rsidRDefault="00BC5219" w:rsidP="00E83802">
            <w:pPr>
              <w:rPr>
                <w:rFonts w:ascii="Meta Pro" w:eastAsia="Times New Roman" w:hAnsi="Meta Pro"/>
                <w:szCs w:val="18"/>
                <w:lang w:eastAsia="en-AU"/>
              </w:rPr>
            </w:pPr>
            <w:r w:rsidRPr="008E6A4D">
              <w:rPr>
                <w:rFonts w:ascii="Meta Pro" w:eastAsia="Times New Roman" w:hAnsi="Meta Pro"/>
                <w:szCs w:val="18"/>
                <w:lang w:eastAsia="en-AU"/>
              </w:rPr>
              <w:t> </w:t>
            </w:r>
          </w:p>
        </w:tc>
        <w:tc>
          <w:tcPr>
            <w:tcW w:w="1157" w:type="dxa"/>
            <w:tcBorders>
              <w:top w:val="single" w:sz="4" w:space="0" w:color="auto"/>
              <w:left w:val="nil"/>
              <w:bottom w:val="double" w:sz="6" w:space="0" w:color="auto"/>
              <w:right w:val="nil"/>
            </w:tcBorders>
            <w:shd w:val="clear" w:color="auto" w:fill="auto"/>
            <w:noWrap/>
            <w:vAlign w:val="center"/>
            <w:hideMark/>
          </w:tcPr>
          <w:p w14:paraId="5D23CCEF" w14:textId="77777777" w:rsidR="00BC5219" w:rsidRPr="008E6A4D" w:rsidRDefault="00BC5219" w:rsidP="00E83802">
            <w:pPr>
              <w:jc w:val="right"/>
              <w:rPr>
                <w:rFonts w:ascii="Meta Pro" w:eastAsia="Times New Roman" w:hAnsi="Meta Pro"/>
                <w:b/>
                <w:bCs/>
                <w:szCs w:val="18"/>
                <w:lang w:eastAsia="en-AU"/>
              </w:rPr>
            </w:pPr>
            <w:r w:rsidRPr="008E6A4D">
              <w:rPr>
                <w:rFonts w:ascii="Meta Pro" w:eastAsia="Times New Roman" w:hAnsi="Meta Pro"/>
                <w:b/>
                <w:bCs/>
                <w:szCs w:val="18"/>
                <w:lang w:eastAsia="en-AU"/>
              </w:rPr>
              <w:t xml:space="preserve">48,357 </w:t>
            </w:r>
          </w:p>
        </w:tc>
      </w:tr>
    </w:tbl>
    <w:p w14:paraId="772C0069" w14:textId="77777777" w:rsidR="00BC5219" w:rsidRPr="008A2B8F" w:rsidRDefault="00BC5219" w:rsidP="00BC5219">
      <w:pPr>
        <w:spacing w:after="120"/>
        <w:rPr>
          <w:rFonts w:ascii="Meta Pro" w:eastAsia="Times New Roman" w:hAnsi="Meta Pro"/>
          <w:szCs w:val="18"/>
          <w:lang w:eastAsia="en-AU"/>
        </w:rPr>
      </w:pPr>
    </w:p>
    <w:p w14:paraId="6E18B441" w14:textId="77777777" w:rsidR="00BC5219" w:rsidRPr="008A2B8F" w:rsidRDefault="00BC5219" w:rsidP="00BC5219">
      <w:pPr>
        <w:pStyle w:val="ACPHeading"/>
        <w:spacing w:before="120"/>
      </w:pPr>
      <w:r w:rsidRPr="008A2B8F">
        <w:t>Accounting policy</w:t>
      </w:r>
    </w:p>
    <w:p w14:paraId="44C8020C" w14:textId="77777777" w:rsidR="00BC5219" w:rsidRPr="008A2B8F" w:rsidRDefault="00BC5219" w:rsidP="00BC5219">
      <w:pPr>
        <w:pStyle w:val="ACPPara"/>
        <w:spacing w:after="0"/>
      </w:pPr>
      <w:r w:rsidRPr="008A2B8F">
        <w:t>The department recognises lease payments from operating leases as income on a straight-line basis over the lease term.</w:t>
      </w:r>
    </w:p>
    <w:p w14:paraId="48035782" w14:textId="77777777" w:rsidR="00BC5219" w:rsidRDefault="00BC5219" w:rsidP="00BC5219">
      <w:pPr>
        <w:rPr>
          <w:rFonts w:ascii="Meta Pro" w:eastAsia="Times New Roman" w:hAnsi="Meta Pro"/>
          <w:szCs w:val="18"/>
          <w:lang w:eastAsia="en-AU"/>
        </w:rPr>
      </w:pPr>
    </w:p>
    <w:p w14:paraId="4340E533" w14:textId="77777777" w:rsidR="00BC5219" w:rsidRDefault="00BC5219" w:rsidP="00BC5219">
      <w:pPr>
        <w:rPr>
          <w:rFonts w:asciiTheme="minorHAnsi" w:hAnsiTheme="minorHAnsi" w:cstheme="minorBidi"/>
        </w:rPr>
      </w:pPr>
    </w:p>
    <w:tbl>
      <w:tblPr>
        <w:tblW w:w="0" w:type="auto"/>
        <w:tblCellMar>
          <w:left w:w="0" w:type="dxa"/>
        </w:tblCellMar>
        <w:tblLook w:val="04A0" w:firstRow="1" w:lastRow="0" w:firstColumn="1" w:lastColumn="0" w:noHBand="0" w:noVBand="1"/>
      </w:tblPr>
      <w:tblGrid>
        <w:gridCol w:w="7144"/>
        <w:gridCol w:w="1164"/>
        <w:gridCol w:w="224"/>
        <w:gridCol w:w="1164"/>
      </w:tblGrid>
      <w:tr w:rsidR="00BC5219" w:rsidRPr="00CC1D79" w14:paraId="4B68CB4F" w14:textId="77777777" w:rsidTr="00E83802">
        <w:trPr>
          <w:trHeight w:val="240"/>
        </w:trPr>
        <w:tc>
          <w:tcPr>
            <w:tcW w:w="7136" w:type="dxa"/>
            <w:tcBorders>
              <w:top w:val="nil"/>
              <w:left w:val="nil"/>
              <w:bottom w:val="nil"/>
              <w:right w:val="nil"/>
            </w:tcBorders>
            <w:shd w:val="clear" w:color="auto" w:fill="auto"/>
            <w:noWrap/>
            <w:vAlign w:val="center"/>
            <w:hideMark/>
          </w:tcPr>
          <w:p w14:paraId="2BA5C09A" w14:textId="77777777" w:rsidR="00BC5219" w:rsidRPr="00CC1D79" w:rsidRDefault="00BC5219" w:rsidP="00E83802">
            <w:pPr>
              <w:rPr>
                <w:rFonts w:ascii="Meta Pro" w:eastAsia="Times New Roman" w:hAnsi="Meta Pro"/>
                <w:b/>
                <w:bCs/>
                <w:lang w:eastAsia="en-AU"/>
              </w:rPr>
            </w:pPr>
            <w:r w:rsidRPr="00CC1D79">
              <w:rPr>
                <w:rFonts w:ascii="Meta Pro" w:eastAsia="Times New Roman" w:hAnsi="Meta Pro"/>
                <w:b/>
                <w:bCs/>
                <w:lang w:eastAsia="en-AU"/>
              </w:rPr>
              <w:t>18     PAYABLES</w:t>
            </w:r>
          </w:p>
        </w:tc>
        <w:tc>
          <w:tcPr>
            <w:tcW w:w="1156" w:type="dxa"/>
            <w:tcBorders>
              <w:top w:val="nil"/>
              <w:left w:val="nil"/>
              <w:bottom w:val="nil"/>
              <w:right w:val="nil"/>
            </w:tcBorders>
            <w:shd w:val="clear" w:color="auto" w:fill="auto"/>
            <w:noWrap/>
            <w:vAlign w:val="center"/>
            <w:hideMark/>
          </w:tcPr>
          <w:p w14:paraId="10DA9D14" w14:textId="77777777" w:rsidR="00BC5219" w:rsidRPr="00CC1D79" w:rsidRDefault="00BC5219" w:rsidP="00E83802">
            <w:pPr>
              <w:rPr>
                <w:rFonts w:ascii="Meta Pro" w:eastAsia="Times New Roman" w:hAnsi="Meta Pro"/>
                <w:b/>
                <w:bCs/>
                <w:lang w:eastAsia="en-AU"/>
              </w:rPr>
            </w:pPr>
          </w:p>
        </w:tc>
        <w:tc>
          <w:tcPr>
            <w:tcW w:w="216" w:type="dxa"/>
            <w:tcBorders>
              <w:top w:val="nil"/>
              <w:left w:val="nil"/>
              <w:bottom w:val="nil"/>
              <w:right w:val="nil"/>
            </w:tcBorders>
            <w:shd w:val="clear" w:color="auto" w:fill="auto"/>
            <w:noWrap/>
            <w:vAlign w:val="center"/>
            <w:hideMark/>
          </w:tcPr>
          <w:p w14:paraId="2DC8C688" w14:textId="77777777" w:rsidR="00BC5219" w:rsidRPr="00CC1D79"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0A752713" w14:textId="77777777" w:rsidR="00BC5219" w:rsidRPr="00CC1D79" w:rsidRDefault="00BC5219" w:rsidP="00E83802">
            <w:pPr>
              <w:jc w:val="right"/>
              <w:rPr>
                <w:rFonts w:ascii="Times New Roman" w:eastAsia="Times New Roman" w:hAnsi="Times New Roman" w:cs="Times New Roman"/>
                <w:sz w:val="20"/>
                <w:szCs w:val="20"/>
                <w:lang w:eastAsia="en-AU"/>
              </w:rPr>
            </w:pPr>
          </w:p>
        </w:tc>
      </w:tr>
      <w:tr w:rsidR="00BC5219" w:rsidRPr="00CC1D79" w14:paraId="13287AEC" w14:textId="77777777" w:rsidTr="00E83802">
        <w:trPr>
          <w:trHeight w:val="90"/>
        </w:trPr>
        <w:tc>
          <w:tcPr>
            <w:tcW w:w="7136" w:type="dxa"/>
            <w:tcBorders>
              <w:top w:val="nil"/>
              <w:left w:val="nil"/>
              <w:bottom w:val="nil"/>
              <w:right w:val="nil"/>
            </w:tcBorders>
            <w:shd w:val="clear" w:color="auto" w:fill="auto"/>
            <w:noWrap/>
            <w:vAlign w:val="center"/>
            <w:hideMark/>
          </w:tcPr>
          <w:p w14:paraId="0E4C7383" w14:textId="77777777" w:rsidR="00BC5219" w:rsidRPr="00CC1D79"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25F82BF4" w14:textId="77777777" w:rsidR="00BC5219" w:rsidRPr="00CC1D79" w:rsidRDefault="00BC5219" w:rsidP="00E83802">
            <w:pPr>
              <w:rPr>
                <w:rFonts w:ascii="Times New Roman" w:eastAsia="Times New Roman" w:hAnsi="Times New Roman"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3CBAEE6E" w14:textId="77777777" w:rsidR="00BC5219" w:rsidRPr="00CC1D79"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6A59D40A" w14:textId="77777777" w:rsidR="00BC5219" w:rsidRPr="00CC1D79" w:rsidRDefault="00BC5219" w:rsidP="00E83802">
            <w:pPr>
              <w:jc w:val="right"/>
              <w:rPr>
                <w:rFonts w:ascii="Times New Roman" w:eastAsia="Times New Roman" w:hAnsi="Times New Roman" w:cs="Times New Roman"/>
                <w:sz w:val="20"/>
                <w:szCs w:val="20"/>
                <w:lang w:eastAsia="en-AU"/>
              </w:rPr>
            </w:pPr>
          </w:p>
        </w:tc>
      </w:tr>
      <w:tr w:rsidR="00BC5219" w:rsidRPr="00CC1D79" w14:paraId="249A1042" w14:textId="77777777" w:rsidTr="00E83802">
        <w:trPr>
          <w:trHeight w:val="240"/>
        </w:trPr>
        <w:tc>
          <w:tcPr>
            <w:tcW w:w="7136" w:type="dxa"/>
            <w:tcBorders>
              <w:top w:val="nil"/>
              <w:left w:val="nil"/>
              <w:bottom w:val="nil"/>
              <w:right w:val="nil"/>
            </w:tcBorders>
            <w:shd w:val="clear" w:color="auto" w:fill="auto"/>
            <w:noWrap/>
            <w:vAlign w:val="center"/>
            <w:hideMark/>
          </w:tcPr>
          <w:p w14:paraId="130069CF" w14:textId="77777777" w:rsidR="00BC5219" w:rsidRPr="00CC1D79" w:rsidRDefault="00BC5219" w:rsidP="00E83802">
            <w:pPr>
              <w:rPr>
                <w:rFonts w:ascii="Meta Pro" w:eastAsia="Times New Roman" w:hAnsi="Meta Pro"/>
                <w:b/>
                <w:bCs/>
                <w:szCs w:val="18"/>
                <w:lang w:eastAsia="en-AU"/>
              </w:rPr>
            </w:pPr>
            <w:r w:rsidRPr="00CC1D79">
              <w:rPr>
                <w:rFonts w:ascii="Meta Pro" w:eastAsia="Times New Roman" w:hAnsi="Meta Pro"/>
                <w:b/>
                <w:bCs/>
                <w:szCs w:val="18"/>
                <w:lang w:eastAsia="en-AU"/>
              </w:rPr>
              <w:t>Current</w:t>
            </w:r>
          </w:p>
        </w:tc>
        <w:tc>
          <w:tcPr>
            <w:tcW w:w="1156" w:type="dxa"/>
            <w:tcBorders>
              <w:top w:val="nil"/>
              <w:left w:val="nil"/>
              <w:bottom w:val="nil"/>
              <w:right w:val="nil"/>
            </w:tcBorders>
            <w:shd w:val="clear" w:color="auto" w:fill="auto"/>
            <w:noWrap/>
            <w:vAlign w:val="center"/>
            <w:hideMark/>
          </w:tcPr>
          <w:p w14:paraId="11E7D4E9" w14:textId="77777777" w:rsidR="00BC5219" w:rsidRPr="00CC1D79" w:rsidRDefault="00BC5219" w:rsidP="00E83802">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05DFB6A8" w14:textId="77777777" w:rsidR="00BC5219" w:rsidRPr="00CC1D79"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726EED7F" w14:textId="77777777" w:rsidR="00BC5219" w:rsidRPr="00CC1D79" w:rsidRDefault="00BC5219" w:rsidP="00E83802">
            <w:pPr>
              <w:jc w:val="right"/>
              <w:rPr>
                <w:rFonts w:ascii="Times New Roman" w:eastAsia="Times New Roman" w:hAnsi="Times New Roman" w:cs="Times New Roman"/>
                <w:sz w:val="20"/>
                <w:szCs w:val="20"/>
                <w:lang w:eastAsia="en-AU"/>
              </w:rPr>
            </w:pPr>
          </w:p>
        </w:tc>
      </w:tr>
      <w:tr w:rsidR="00BC5219" w:rsidRPr="00CC1D79" w14:paraId="3C37F740" w14:textId="77777777" w:rsidTr="00E83802">
        <w:trPr>
          <w:trHeight w:val="240"/>
        </w:trPr>
        <w:tc>
          <w:tcPr>
            <w:tcW w:w="7136" w:type="dxa"/>
            <w:tcBorders>
              <w:top w:val="nil"/>
              <w:left w:val="nil"/>
              <w:bottom w:val="nil"/>
              <w:right w:val="nil"/>
            </w:tcBorders>
            <w:shd w:val="clear" w:color="auto" w:fill="auto"/>
            <w:noWrap/>
            <w:vAlign w:val="center"/>
            <w:hideMark/>
          </w:tcPr>
          <w:p w14:paraId="456E75D7" w14:textId="77777777" w:rsidR="00BC5219" w:rsidRPr="00CC1D79" w:rsidRDefault="00BC5219" w:rsidP="00E83802">
            <w:pPr>
              <w:rPr>
                <w:rFonts w:ascii="Meta Pro" w:eastAsia="Times New Roman" w:hAnsi="Meta Pro"/>
                <w:szCs w:val="18"/>
                <w:lang w:eastAsia="en-AU"/>
              </w:rPr>
            </w:pPr>
            <w:r w:rsidRPr="00CC1D79">
              <w:rPr>
                <w:rFonts w:ascii="Meta Pro" w:eastAsia="Times New Roman" w:hAnsi="Meta Pro"/>
                <w:szCs w:val="18"/>
                <w:lang w:eastAsia="en-AU"/>
              </w:rPr>
              <w:t>Deferred appropriation payable to Consolidated Fund</w:t>
            </w:r>
          </w:p>
        </w:tc>
        <w:tc>
          <w:tcPr>
            <w:tcW w:w="1156" w:type="dxa"/>
            <w:tcBorders>
              <w:top w:val="nil"/>
              <w:left w:val="nil"/>
              <w:bottom w:val="nil"/>
              <w:right w:val="nil"/>
            </w:tcBorders>
            <w:shd w:val="clear" w:color="000000" w:fill="C9E3B4"/>
            <w:noWrap/>
            <w:vAlign w:val="center"/>
            <w:hideMark/>
          </w:tcPr>
          <w:p w14:paraId="39AB85FC" w14:textId="77777777" w:rsidR="00BC5219" w:rsidRPr="00CC1D79" w:rsidRDefault="00BC5219" w:rsidP="00E83802">
            <w:pPr>
              <w:jc w:val="right"/>
              <w:rPr>
                <w:rFonts w:ascii="Meta Pro" w:eastAsia="Times New Roman" w:hAnsi="Meta Pro"/>
                <w:szCs w:val="18"/>
                <w:lang w:eastAsia="en-AU"/>
              </w:rPr>
            </w:pPr>
            <w:r w:rsidRPr="00CC1D79">
              <w:rPr>
                <w:rFonts w:ascii="Meta Pro" w:eastAsia="Times New Roman" w:hAnsi="Meta Pro"/>
                <w:szCs w:val="18"/>
                <w:lang w:eastAsia="en-AU"/>
              </w:rPr>
              <w:t xml:space="preserve">1,720 </w:t>
            </w:r>
          </w:p>
        </w:tc>
        <w:tc>
          <w:tcPr>
            <w:tcW w:w="216" w:type="dxa"/>
            <w:tcBorders>
              <w:top w:val="nil"/>
              <w:left w:val="nil"/>
              <w:bottom w:val="nil"/>
              <w:right w:val="nil"/>
            </w:tcBorders>
            <w:shd w:val="clear" w:color="auto" w:fill="auto"/>
            <w:noWrap/>
            <w:vAlign w:val="center"/>
            <w:hideMark/>
          </w:tcPr>
          <w:p w14:paraId="043FD5F7" w14:textId="77777777" w:rsidR="00BC5219" w:rsidRPr="00CC1D79"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200007CD" w14:textId="77777777" w:rsidR="00BC5219" w:rsidRPr="00CC1D79" w:rsidRDefault="00BC5219" w:rsidP="00E83802">
            <w:pPr>
              <w:jc w:val="right"/>
              <w:rPr>
                <w:rFonts w:ascii="Meta Pro" w:eastAsia="Times New Roman" w:hAnsi="Meta Pro"/>
                <w:szCs w:val="18"/>
                <w:lang w:eastAsia="en-AU"/>
              </w:rPr>
            </w:pPr>
            <w:r w:rsidRPr="00CC1D79">
              <w:rPr>
                <w:rFonts w:ascii="Meta Pro" w:eastAsia="Times New Roman" w:hAnsi="Meta Pro"/>
                <w:szCs w:val="18"/>
                <w:lang w:eastAsia="en-AU"/>
              </w:rPr>
              <w:t xml:space="preserve">- </w:t>
            </w:r>
          </w:p>
        </w:tc>
      </w:tr>
      <w:tr w:rsidR="00BC5219" w:rsidRPr="00CC1D79" w14:paraId="64491398" w14:textId="77777777" w:rsidTr="00E83802">
        <w:trPr>
          <w:trHeight w:val="240"/>
        </w:trPr>
        <w:tc>
          <w:tcPr>
            <w:tcW w:w="7136" w:type="dxa"/>
            <w:tcBorders>
              <w:top w:val="nil"/>
              <w:left w:val="nil"/>
              <w:bottom w:val="nil"/>
              <w:right w:val="nil"/>
            </w:tcBorders>
            <w:shd w:val="clear" w:color="auto" w:fill="auto"/>
            <w:noWrap/>
            <w:vAlign w:val="center"/>
            <w:hideMark/>
          </w:tcPr>
          <w:p w14:paraId="4A15196E" w14:textId="77777777" w:rsidR="00BC5219" w:rsidRPr="00CC1D79" w:rsidRDefault="00BC5219" w:rsidP="00E83802">
            <w:pPr>
              <w:rPr>
                <w:rFonts w:ascii="Meta Pro" w:eastAsia="Times New Roman" w:hAnsi="Meta Pro"/>
                <w:szCs w:val="18"/>
                <w:lang w:eastAsia="en-AU"/>
              </w:rPr>
            </w:pPr>
            <w:r w:rsidRPr="00CC1D79">
              <w:rPr>
                <w:rFonts w:ascii="Meta Pro" w:eastAsia="Times New Roman" w:hAnsi="Meta Pro"/>
                <w:szCs w:val="18"/>
                <w:lang w:eastAsia="en-AU"/>
              </w:rPr>
              <w:t>Equity adjustment payable</w:t>
            </w:r>
          </w:p>
        </w:tc>
        <w:tc>
          <w:tcPr>
            <w:tcW w:w="1156" w:type="dxa"/>
            <w:tcBorders>
              <w:top w:val="nil"/>
              <w:left w:val="nil"/>
              <w:bottom w:val="nil"/>
              <w:right w:val="nil"/>
            </w:tcBorders>
            <w:shd w:val="clear" w:color="000000" w:fill="C9E3B4"/>
            <w:noWrap/>
            <w:vAlign w:val="center"/>
            <w:hideMark/>
          </w:tcPr>
          <w:p w14:paraId="267D803B" w14:textId="77777777" w:rsidR="00BC5219" w:rsidRPr="00CC1D79" w:rsidRDefault="00BC5219" w:rsidP="00E83802">
            <w:pPr>
              <w:jc w:val="right"/>
              <w:rPr>
                <w:rFonts w:ascii="Meta Pro" w:eastAsia="Times New Roman" w:hAnsi="Meta Pro"/>
                <w:szCs w:val="18"/>
                <w:lang w:eastAsia="en-AU"/>
              </w:rPr>
            </w:pPr>
            <w:r w:rsidRPr="00CC1D79">
              <w:rPr>
                <w:rFonts w:ascii="Meta Pro" w:eastAsia="Times New Roman" w:hAnsi="Meta Pro"/>
                <w:szCs w:val="18"/>
                <w:lang w:eastAsia="en-AU"/>
              </w:rPr>
              <w:t xml:space="preserve">6,523 </w:t>
            </w:r>
          </w:p>
        </w:tc>
        <w:tc>
          <w:tcPr>
            <w:tcW w:w="216" w:type="dxa"/>
            <w:tcBorders>
              <w:top w:val="nil"/>
              <w:left w:val="nil"/>
              <w:bottom w:val="nil"/>
              <w:right w:val="nil"/>
            </w:tcBorders>
            <w:shd w:val="clear" w:color="auto" w:fill="auto"/>
            <w:noWrap/>
            <w:vAlign w:val="center"/>
            <w:hideMark/>
          </w:tcPr>
          <w:p w14:paraId="37AD2728" w14:textId="77777777" w:rsidR="00BC5219" w:rsidRPr="00CC1D79"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08C40D90" w14:textId="77777777" w:rsidR="00BC5219" w:rsidRPr="00CC1D79" w:rsidRDefault="00BC5219" w:rsidP="00E83802">
            <w:pPr>
              <w:jc w:val="right"/>
              <w:rPr>
                <w:rFonts w:ascii="Meta Pro" w:eastAsia="Times New Roman" w:hAnsi="Meta Pro"/>
                <w:szCs w:val="18"/>
                <w:lang w:eastAsia="en-AU"/>
              </w:rPr>
            </w:pPr>
            <w:r w:rsidRPr="00CC1D79">
              <w:rPr>
                <w:rFonts w:ascii="Meta Pro" w:eastAsia="Times New Roman" w:hAnsi="Meta Pro"/>
                <w:szCs w:val="18"/>
                <w:lang w:eastAsia="en-AU"/>
              </w:rPr>
              <w:t xml:space="preserve">- </w:t>
            </w:r>
          </w:p>
        </w:tc>
      </w:tr>
      <w:tr w:rsidR="00BC5219" w:rsidRPr="00CC1D79" w14:paraId="2115A188" w14:textId="77777777" w:rsidTr="00E83802">
        <w:trPr>
          <w:trHeight w:val="240"/>
        </w:trPr>
        <w:tc>
          <w:tcPr>
            <w:tcW w:w="7136" w:type="dxa"/>
            <w:tcBorders>
              <w:top w:val="nil"/>
              <w:left w:val="nil"/>
              <w:bottom w:val="nil"/>
              <w:right w:val="nil"/>
            </w:tcBorders>
            <w:shd w:val="clear" w:color="auto" w:fill="auto"/>
            <w:noWrap/>
            <w:vAlign w:val="center"/>
            <w:hideMark/>
          </w:tcPr>
          <w:p w14:paraId="62819698" w14:textId="77777777" w:rsidR="00BC5219" w:rsidRPr="00CC1D79" w:rsidRDefault="00BC5219" w:rsidP="00E83802">
            <w:pPr>
              <w:rPr>
                <w:rFonts w:ascii="Meta Pro" w:eastAsia="Times New Roman" w:hAnsi="Meta Pro"/>
                <w:szCs w:val="18"/>
                <w:lang w:eastAsia="en-AU"/>
              </w:rPr>
            </w:pPr>
            <w:r w:rsidRPr="00CC1D79">
              <w:rPr>
                <w:rFonts w:ascii="Meta Pro" w:eastAsia="Times New Roman" w:hAnsi="Meta Pro"/>
                <w:szCs w:val="18"/>
                <w:lang w:eastAsia="en-AU"/>
              </w:rPr>
              <w:t xml:space="preserve">Grants and subsidies payable </w:t>
            </w:r>
          </w:p>
        </w:tc>
        <w:tc>
          <w:tcPr>
            <w:tcW w:w="1156" w:type="dxa"/>
            <w:tcBorders>
              <w:top w:val="nil"/>
              <w:left w:val="nil"/>
              <w:bottom w:val="nil"/>
              <w:right w:val="nil"/>
            </w:tcBorders>
            <w:shd w:val="clear" w:color="000000" w:fill="C9E3B4"/>
            <w:noWrap/>
            <w:vAlign w:val="center"/>
            <w:hideMark/>
          </w:tcPr>
          <w:p w14:paraId="207B2009" w14:textId="77777777" w:rsidR="00BC5219" w:rsidRPr="00CC1D79" w:rsidRDefault="00BC5219" w:rsidP="00E83802">
            <w:pPr>
              <w:jc w:val="right"/>
              <w:rPr>
                <w:rFonts w:ascii="Meta Pro" w:eastAsia="Times New Roman" w:hAnsi="Meta Pro"/>
                <w:szCs w:val="18"/>
                <w:lang w:eastAsia="en-AU"/>
              </w:rPr>
            </w:pPr>
            <w:r w:rsidRPr="00CC1D79">
              <w:rPr>
                <w:rFonts w:ascii="Meta Pro" w:eastAsia="Times New Roman" w:hAnsi="Meta Pro"/>
                <w:szCs w:val="18"/>
                <w:lang w:eastAsia="en-AU"/>
              </w:rPr>
              <w:t xml:space="preserve">87,793 </w:t>
            </w:r>
          </w:p>
        </w:tc>
        <w:tc>
          <w:tcPr>
            <w:tcW w:w="216" w:type="dxa"/>
            <w:tcBorders>
              <w:top w:val="nil"/>
              <w:left w:val="nil"/>
              <w:bottom w:val="nil"/>
              <w:right w:val="nil"/>
            </w:tcBorders>
            <w:shd w:val="clear" w:color="auto" w:fill="auto"/>
            <w:noWrap/>
            <w:vAlign w:val="center"/>
            <w:hideMark/>
          </w:tcPr>
          <w:p w14:paraId="2E88B271" w14:textId="77777777" w:rsidR="00BC5219" w:rsidRPr="00CC1D79"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4D32633B" w14:textId="77777777" w:rsidR="00BC5219" w:rsidRPr="00CC1D79" w:rsidRDefault="00BC5219" w:rsidP="00E83802">
            <w:pPr>
              <w:jc w:val="right"/>
              <w:rPr>
                <w:rFonts w:ascii="Meta Pro" w:eastAsia="Times New Roman" w:hAnsi="Meta Pro"/>
                <w:szCs w:val="18"/>
                <w:lang w:eastAsia="en-AU"/>
              </w:rPr>
            </w:pPr>
            <w:r w:rsidRPr="00CC1D79">
              <w:rPr>
                <w:rFonts w:ascii="Meta Pro" w:eastAsia="Times New Roman" w:hAnsi="Meta Pro"/>
                <w:szCs w:val="18"/>
                <w:lang w:eastAsia="en-AU"/>
              </w:rPr>
              <w:t xml:space="preserve">75,092 </w:t>
            </w:r>
          </w:p>
        </w:tc>
      </w:tr>
      <w:tr w:rsidR="00BC5219" w:rsidRPr="00CC1D79" w14:paraId="17A25FF9" w14:textId="77777777" w:rsidTr="00E83802">
        <w:trPr>
          <w:trHeight w:val="240"/>
        </w:trPr>
        <w:tc>
          <w:tcPr>
            <w:tcW w:w="7136" w:type="dxa"/>
            <w:tcBorders>
              <w:top w:val="nil"/>
              <w:left w:val="nil"/>
              <w:bottom w:val="nil"/>
              <w:right w:val="nil"/>
            </w:tcBorders>
            <w:shd w:val="clear" w:color="auto" w:fill="auto"/>
            <w:noWrap/>
            <w:vAlign w:val="center"/>
            <w:hideMark/>
          </w:tcPr>
          <w:p w14:paraId="55E2A2BD" w14:textId="77777777" w:rsidR="00BC5219" w:rsidRPr="00CC1D79" w:rsidRDefault="00BC5219" w:rsidP="00E83802">
            <w:pPr>
              <w:rPr>
                <w:rFonts w:ascii="Meta Pro" w:eastAsia="Times New Roman" w:hAnsi="Meta Pro"/>
                <w:szCs w:val="18"/>
                <w:lang w:eastAsia="en-AU"/>
              </w:rPr>
            </w:pPr>
            <w:r w:rsidRPr="00CC1D79">
              <w:rPr>
                <w:rFonts w:ascii="Meta Pro" w:eastAsia="Times New Roman" w:hAnsi="Meta Pro"/>
                <w:szCs w:val="18"/>
                <w:lang w:eastAsia="en-AU"/>
              </w:rPr>
              <w:t xml:space="preserve">Trade creditors </w:t>
            </w:r>
          </w:p>
        </w:tc>
        <w:tc>
          <w:tcPr>
            <w:tcW w:w="1156" w:type="dxa"/>
            <w:tcBorders>
              <w:top w:val="nil"/>
              <w:left w:val="nil"/>
              <w:bottom w:val="nil"/>
              <w:right w:val="nil"/>
            </w:tcBorders>
            <w:shd w:val="clear" w:color="000000" w:fill="C9E3B4"/>
            <w:noWrap/>
            <w:vAlign w:val="center"/>
            <w:hideMark/>
          </w:tcPr>
          <w:p w14:paraId="728A1FAC" w14:textId="77777777" w:rsidR="00BC5219" w:rsidRPr="00CC1D79" w:rsidRDefault="00BC5219" w:rsidP="00E83802">
            <w:pPr>
              <w:jc w:val="right"/>
              <w:rPr>
                <w:rFonts w:ascii="Meta Pro" w:eastAsia="Times New Roman" w:hAnsi="Meta Pro"/>
                <w:szCs w:val="18"/>
                <w:lang w:eastAsia="en-AU"/>
              </w:rPr>
            </w:pPr>
            <w:r w:rsidRPr="00CC1D79">
              <w:rPr>
                <w:rFonts w:ascii="Meta Pro" w:eastAsia="Times New Roman" w:hAnsi="Meta Pro"/>
                <w:szCs w:val="18"/>
                <w:lang w:eastAsia="en-AU"/>
              </w:rPr>
              <w:t xml:space="preserve">814,986 </w:t>
            </w:r>
          </w:p>
        </w:tc>
        <w:tc>
          <w:tcPr>
            <w:tcW w:w="216" w:type="dxa"/>
            <w:tcBorders>
              <w:top w:val="nil"/>
              <w:left w:val="nil"/>
              <w:bottom w:val="nil"/>
              <w:right w:val="nil"/>
            </w:tcBorders>
            <w:shd w:val="clear" w:color="auto" w:fill="auto"/>
            <w:noWrap/>
            <w:vAlign w:val="center"/>
            <w:hideMark/>
          </w:tcPr>
          <w:p w14:paraId="37EE02B8" w14:textId="77777777" w:rsidR="00BC5219" w:rsidRPr="00CC1D79"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40EB22C9" w14:textId="77777777" w:rsidR="00BC5219" w:rsidRPr="00CC1D79" w:rsidRDefault="00BC5219" w:rsidP="00E83802">
            <w:pPr>
              <w:jc w:val="right"/>
              <w:rPr>
                <w:rFonts w:ascii="Meta Pro" w:eastAsia="Times New Roman" w:hAnsi="Meta Pro"/>
                <w:szCs w:val="18"/>
                <w:lang w:eastAsia="en-AU"/>
              </w:rPr>
            </w:pPr>
            <w:r w:rsidRPr="00CC1D79">
              <w:rPr>
                <w:rFonts w:ascii="Meta Pro" w:eastAsia="Times New Roman" w:hAnsi="Meta Pro"/>
                <w:szCs w:val="18"/>
                <w:lang w:eastAsia="en-AU"/>
              </w:rPr>
              <w:t xml:space="preserve">575,496 </w:t>
            </w:r>
          </w:p>
        </w:tc>
      </w:tr>
      <w:tr w:rsidR="00BC5219" w:rsidRPr="00CC1D79" w14:paraId="1EEBF775" w14:textId="77777777" w:rsidTr="00E83802">
        <w:trPr>
          <w:trHeight w:val="240"/>
        </w:trPr>
        <w:tc>
          <w:tcPr>
            <w:tcW w:w="7136" w:type="dxa"/>
            <w:tcBorders>
              <w:top w:val="nil"/>
              <w:left w:val="nil"/>
              <w:bottom w:val="nil"/>
              <w:right w:val="nil"/>
            </w:tcBorders>
            <w:shd w:val="clear" w:color="auto" w:fill="auto"/>
            <w:noWrap/>
            <w:vAlign w:val="center"/>
            <w:hideMark/>
          </w:tcPr>
          <w:p w14:paraId="4B489CF6" w14:textId="77777777" w:rsidR="00BC5219" w:rsidRPr="00CC1D79" w:rsidRDefault="00BC5219" w:rsidP="00E83802">
            <w:pPr>
              <w:rPr>
                <w:rFonts w:ascii="Meta Pro" w:eastAsia="Times New Roman" w:hAnsi="Meta Pro"/>
                <w:szCs w:val="18"/>
                <w:lang w:eastAsia="en-AU"/>
              </w:rPr>
            </w:pPr>
            <w:r w:rsidRPr="00CC1D79">
              <w:rPr>
                <w:rFonts w:ascii="Meta Pro" w:eastAsia="Times New Roman" w:hAnsi="Meta Pro"/>
                <w:szCs w:val="18"/>
                <w:lang w:eastAsia="en-AU"/>
              </w:rPr>
              <w:t xml:space="preserve">Other </w:t>
            </w:r>
          </w:p>
        </w:tc>
        <w:tc>
          <w:tcPr>
            <w:tcW w:w="1156" w:type="dxa"/>
            <w:tcBorders>
              <w:top w:val="nil"/>
              <w:left w:val="nil"/>
              <w:bottom w:val="nil"/>
              <w:right w:val="nil"/>
            </w:tcBorders>
            <w:shd w:val="clear" w:color="000000" w:fill="C9E3B4"/>
            <w:noWrap/>
            <w:vAlign w:val="center"/>
            <w:hideMark/>
          </w:tcPr>
          <w:p w14:paraId="3BBA6A7A" w14:textId="77777777" w:rsidR="00BC5219" w:rsidRPr="00CC1D79" w:rsidRDefault="00BC5219" w:rsidP="00E83802">
            <w:pPr>
              <w:jc w:val="right"/>
              <w:rPr>
                <w:rFonts w:ascii="Meta Pro" w:eastAsia="Times New Roman" w:hAnsi="Meta Pro"/>
                <w:szCs w:val="18"/>
                <w:lang w:eastAsia="en-AU"/>
              </w:rPr>
            </w:pPr>
            <w:r w:rsidRPr="00CC1D79">
              <w:rPr>
                <w:rFonts w:ascii="Meta Pro" w:eastAsia="Times New Roman" w:hAnsi="Meta Pro"/>
                <w:szCs w:val="18"/>
                <w:lang w:eastAsia="en-AU"/>
              </w:rPr>
              <w:t xml:space="preserve">31,252 </w:t>
            </w:r>
          </w:p>
        </w:tc>
        <w:tc>
          <w:tcPr>
            <w:tcW w:w="216" w:type="dxa"/>
            <w:tcBorders>
              <w:top w:val="nil"/>
              <w:left w:val="nil"/>
              <w:bottom w:val="nil"/>
              <w:right w:val="nil"/>
            </w:tcBorders>
            <w:shd w:val="clear" w:color="auto" w:fill="auto"/>
            <w:noWrap/>
            <w:vAlign w:val="center"/>
            <w:hideMark/>
          </w:tcPr>
          <w:p w14:paraId="79938D61" w14:textId="77777777" w:rsidR="00BC5219" w:rsidRPr="00CC1D79"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2CA3B1E2" w14:textId="77777777" w:rsidR="00BC5219" w:rsidRPr="00CC1D79" w:rsidRDefault="00BC5219" w:rsidP="00E83802">
            <w:pPr>
              <w:jc w:val="right"/>
              <w:rPr>
                <w:rFonts w:ascii="Meta Pro" w:eastAsia="Times New Roman" w:hAnsi="Meta Pro"/>
                <w:szCs w:val="18"/>
                <w:lang w:eastAsia="en-AU"/>
              </w:rPr>
            </w:pPr>
            <w:r w:rsidRPr="00CC1D79">
              <w:rPr>
                <w:rFonts w:ascii="Meta Pro" w:eastAsia="Times New Roman" w:hAnsi="Meta Pro"/>
                <w:szCs w:val="18"/>
                <w:lang w:eastAsia="en-AU"/>
              </w:rPr>
              <w:t xml:space="preserve">32,649 </w:t>
            </w:r>
          </w:p>
        </w:tc>
      </w:tr>
      <w:tr w:rsidR="00BC5219" w:rsidRPr="00CC1D79" w14:paraId="766478F5" w14:textId="77777777" w:rsidTr="00E83802">
        <w:trPr>
          <w:trHeight w:val="240"/>
        </w:trPr>
        <w:tc>
          <w:tcPr>
            <w:tcW w:w="7136" w:type="dxa"/>
            <w:tcBorders>
              <w:top w:val="single" w:sz="4" w:space="0" w:color="auto"/>
              <w:left w:val="nil"/>
              <w:bottom w:val="double" w:sz="6" w:space="0" w:color="auto"/>
              <w:right w:val="nil"/>
            </w:tcBorders>
            <w:shd w:val="clear" w:color="auto" w:fill="auto"/>
            <w:noWrap/>
            <w:vAlign w:val="center"/>
            <w:hideMark/>
          </w:tcPr>
          <w:p w14:paraId="5D80FA80" w14:textId="77777777" w:rsidR="00BC5219" w:rsidRPr="00CC1D79" w:rsidRDefault="00BC5219" w:rsidP="00E83802">
            <w:pPr>
              <w:rPr>
                <w:rFonts w:ascii="Meta Pro" w:eastAsia="Times New Roman" w:hAnsi="Meta Pro"/>
                <w:b/>
                <w:bCs/>
                <w:szCs w:val="18"/>
                <w:lang w:eastAsia="en-AU"/>
              </w:rPr>
            </w:pPr>
            <w:r w:rsidRPr="00CC1D79">
              <w:rPr>
                <w:rFonts w:ascii="Meta Pro" w:eastAsia="Times New Roman" w:hAnsi="Meta Pro"/>
                <w:b/>
                <w:bCs/>
                <w:szCs w:val="18"/>
                <w:lang w:eastAsia="en-AU"/>
              </w:rPr>
              <w:t>Total</w:t>
            </w:r>
          </w:p>
        </w:tc>
        <w:tc>
          <w:tcPr>
            <w:tcW w:w="1156" w:type="dxa"/>
            <w:tcBorders>
              <w:top w:val="single" w:sz="4" w:space="0" w:color="auto"/>
              <w:left w:val="nil"/>
              <w:bottom w:val="double" w:sz="6" w:space="0" w:color="auto"/>
              <w:right w:val="nil"/>
            </w:tcBorders>
            <w:shd w:val="clear" w:color="000000" w:fill="C9E3B4"/>
            <w:noWrap/>
            <w:vAlign w:val="center"/>
            <w:hideMark/>
          </w:tcPr>
          <w:p w14:paraId="3816E6C7" w14:textId="77777777" w:rsidR="00BC5219" w:rsidRPr="00CC1D79" w:rsidRDefault="00BC5219" w:rsidP="00E83802">
            <w:pPr>
              <w:jc w:val="right"/>
              <w:rPr>
                <w:rFonts w:ascii="Meta Pro" w:eastAsia="Times New Roman" w:hAnsi="Meta Pro"/>
                <w:b/>
                <w:bCs/>
                <w:szCs w:val="18"/>
                <w:lang w:eastAsia="en-AU"/>
              </w:rPr>
            </w:pPr>
            <w:r w:rsidRPr="00CC1D79">
              <w:rPr>
                <w:rFonts w:ascii="Meta Pro" w:eastAsia="Times New Roman" w:hAnsi="Meta Pro"/>
                <w:b/>
                <w:bCs/>
                <w:szCs w:val="18"/>
                <w:lang w:eastAsia="en-AU"/>
              </w:rPr>
              <w:t xml:space="preserve">942,274 </w:t>
            </w:r>
          </w:p>
        </w:tc>
        <w:tc>
          <w:tcPr>
            <w:tcW w:w="216" w:type="dxa"/>
            <w:tcBorders>
              <w:top w:val="single" w:sz="4" w:space="0" w:color="auto"/>
              <w:left w:val="nil"/>
              <w:bottom w:val="double" w:sz="6" w:space="0" w:color="auto"/>
              <w:right w:val="nil"/>
            </w:tcBorders>
            <w:shd w:val="clear" w:color="auto" w:fill="auto"/>
            <w:noWrap/>
            <w:vAlign w:val="center"/>
            <w:hideMark/>
          </w:tcPr>
          <w:p w14:paraId="61A037CF" w14:textId="77777777" w:rsidR="00BC5219" w:rsidRPr="00CC1D79" w:rsidRDefault="00BC5219" w:rsidP="00E83802">
            <w:pPr>
              <w:jc w:val="right"/>
              <w:rPr>
                <w:rFonts w:ascii="Meta Pro" w:eastAsia="Times New Roman" w:hAnsi="Meta Pro"/>
                <w:b/>
                <w:bCs/>
                <w:szCs w:val="18"/>
                <w:lang w:eastAsia="en-AU"/>
              </w:rPr>
            </w:pPr>
            <w:r w:rsidRPr="00CC1D79">
              <w:rPr>
                <w:rFonts w:ascii="Meta Pro" w:eastAsia="Times New Roman" w:hAnsi="Meta Pro"/>
                <w:b/>
                <w:bCs/>
                <w:szCs w:val="18"/>
                <w:lang w:eastAsia="en-AU"/>
              </w:rPr>
              <w:t> </w:t>
            </w:r>
          </w:p>
        </w:tc>
        <w:tc>
          <w:tcPr>
            <w:tcW w:w="1156" w:type="dxa"/>
            <w:tcBorders>
              <w:top w:val="single" w:sz="4" w:space="0" w:color="auto"/>
              <w:left w:val="nil"/>
              <w:bottom w:val="double" w:sz="6" w:space="0" w:color="auto"/>
              <w:right w:val="nil"/>
            </w:tcBorders>
            <w:shd w:val="clear" w:color="auto" w:fill="auto"/>
            <w:noWrap/>
            <w:vAlign w:val="center"/>
            <w:hideMark/>
          </w:tcPr>
          <w:p w14:paraId="5A89E008" w14:textId="77777777" w:rsidR="00BC5219" w:rsidRPr="00CC1D79" w:rsidRDefault="00BC5219" w:rsidP="00E83802">
            <w:pPr>
              <w:jc w:val="right"/>
              <w:rPr>
                <w:rFonts w:ascii="Meta Pro" w:eastAsia="Times New Roman" w:hAnsi="Meta Pro"/>
                <w:b/>
                <w:bCs/>
                <w:szCs w:val="18"/>
                <w:lang w:eastAsia="en-AU"/>
              </w:rPr>
            </w:pPr>
            <w:r w:rsidRPr="00CC1D79">
              <w:rPr>
                <w:rFonts w:ascii="Meta Pro" w:eastAsia="Times New Roman" w:hAnsi="Meta Pro"/>
                <w:b/>
                <w:bCs/>
                <w:szCs w:val="18"/>
                <w:lang w:eastAsia="en-AU"/>
              </w:rPr>
              <w:t xml:space="preserve">683,237 </w:t>
            </w:r>
          </w:p>
        </w:tc>
      </w:tr>
    </w:tbl>
    <w:p w14:paraId="078137FB" w14:textId="77777777" w:rsidR="00BC5219" w:rsidRPr="008A2B8F" w:rsidRDefault="00BC5219" w:rsidP="00BC5219">
      <w:pPr>
        <w:rPr>
          <w:rFonts w:ascii="Meta Pro" w:eastAsia="Times New Roman" w:hAnsi="Meta Pro"/>
          <w:color w:val="000000"/>
          <w:szCs w:val="18"/>
          <w:lang w:eastAsia="en-AU"/>
        </w:rPr>
      </w:pPr>
      <w:r w:rsidRPr="008A2B8F">
        <w:rPr>
          <w:rFonts w:ascii="Meta Pro" w:eastAsia="Times New Roman" w:hAnsi="Meta Pro"/>
          <w:color w:val="000000"/>
          <w:szCs w:val="18"/>
          <w:lang w:eastAsia="en-AU"/>
        </w:rPr>
        <w:t xml:space="preserve"> </w:t>
      </w:r>
    </w:p>
    <w:p w14:paraId="034D5E19" w14:textId="77777777" w:rsidR="00BC5219" w:rsidRPr="008A2B8F" w:rsidRDefault="00BC5219" w:rsidP="00BC5219">
      <w:pPr>
        <w:pStyle w:val="ACPHeading"/>
      </w:pPr>
      <w:r w:rsidRPr="008A2B8F">
        <w:t>Accounting policy</w:t>
      </w:r>
    </w:p>
    <w:p w14:paraId="4A1F8440" w14:textId="77777777" w:rsidR="00BC5219" w:rsidRPr="008A2B8F" w:rsidRDefault="00BC5219" w:rsidP="00BC5219">
      <w:pPr>
        <w:pStyle w:val="ACPPara"/>
        <w:spacing w:after="0"/>
      </w:pPr>
      <w:r w:rsidRPr="008A2B8F">
        <w:t xml:space="preserve">The department's standard payment terms are 28 days from vendor invoice date where the business is not a registered small business. Where the vendor is registered as a small business, the </w:t>
      </w:r>
      <w:r w:rsidRPr="008A2B8F">
        <w:rPr>
          <w:i/>
          <w:iCs/>
        </w:rPr>
        <w:t>Queensland Government On-Time Payment Policy</w:t>
      </w:r>
      <w:r w:rsidRPr="008A2B8F">
        <w:t xml:space="preserve"> applies, and the standard terms offered will be 20 days from vendor invoice date. Standard terms may be varied where there is a benefit to the department, or where there is a legislative or contractual requirement. </w:t>
      </w:r>
    </w:p>
    <w:p w14:paraId="36217AAC" w14:textId="77777777" w:rsidR="00BC5219" w:rsidRDefault="00BC5219" w:rsidP="00BC5219">
      <w:pPr>
        <w:spacing w:after="160" w:line="259" w:lineRule="auto"/>
        <w:rPr>
          <w:rFonts w:ascii="Meta Pro" w:eastAsia="Times New Roman" w:hAnsi="Meta Pro"/>
          <w:szCs w:val="18"/>
          <w:lang w:eastAsia="en-AU"/>
        </w:rPr>
      </w:pPr>
      <w:r>
        <w:rPr>
          <w:rFonts w:ascii="Meta Pro" w:eastAsia="Times New Roman" w:hAnsi="Meta Pro"/>
          <w:szCs w:val="18"/>
          <w:lang w:eastAsia="en-AU"/>
        </w:rPr>
        <w:br w:type="page"/>
      </w:r>
    </w:p>
    <w:p w14:paraId="3D6BE6C9" w14:textId="77777777" w:rsidR="00BC5219" w:rsidRPr="008A2B8F" w:rsidRDefault="00BC5219" w:rsidP="00BC5219">
      <w:pPr>
        <w:spacing w:line="259" w:lineRule="auto"/>
        <w:rPr>
          <w:rFonts w:ascii="Meta Pro" w:eastAsia="Times New Roman" w:hAnsi="Meta Pro"/>
          <w:i/>
          <w:iCs/>
          <w:color w:val="000000" w:themeColor="text1"/>
          <w:lang w:eastAsia="en-AU"/>
        </w:rPr>
      </w:pPr>
      <w:r w:rsidRPr="008A2B8F">
        <w:rPr>
          <w:rFonts w:ascii="Meta Pro" w:eastAsia="Times New Roman" w:hAnsi="Meta Pro"/>
          <w:i/>
          <w:iCs/>
          <w:color w:val="000000" w:themeColor="text1"/>
          <w:lang w:eastAsia="en-AU"/>
        </w:rPr>
        <w:lastRenderedPageBreak/>
        <w:t>Department of Transport and Main Roads</w:t>
      </w:r>
    </w:p>
    <w:p w14:paraId="6F817FBD"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Notes to the financial statements 2022–23 (continued)</w:t>
      </w:r>
    </w:p>
    <w:tbl>
      <w:tblPr>
        <w:tblW w:w="0" w:type="auto"/>
        <w:tblLook w:val="04A0" w:firstRow="1" w:lastRow="0" w:firstColumn="1" w:lastColumn="0" w:noHBand="0" w:noVBand="1"/>
      </w:tblPr>
      <w:tblGrid>
        <w:gridCol w:w="6096"/>
        <w:gridCol w:w="992"/>
        <w:gridCol w:w="1134"/>
        <w:gridCol w:w="327"/>
        <w:gridCol w:w="1089"/>
      </w:tblGrid>
      <w:tr w:rsidR="00BC5219" w:rsidRPr="008A2B8F" w14:paraId="09030862" w14:textId="77777777" w:rsidTr="00E83802">
        <w:trPr>
          <w:trHeight w:val="240"/>
        </w:trPr>
        <w:tc>
          <w:tcPr>
            <w:tcW w:w="6096" w:type="dxa"/>
            <w:tcBorders>
              <w:top w:val="nil"/>
              <w:left w:val="nil"/>
              <w:bottom w:val="nil"/>
              <w:right w:val="nil"/>
            </w:tcBorders>
            <w:shd w:val="clear" w:color="auto" w:fill="auto"/>
            <w:noWrap/>
            <w:vAlign w:val="center"/>
            <w:hideMark/>
          </w:tcPr>
          <w:p w14:paraId="560E63E1" w14:textId="77777777" w:rsidR="00BC5219" w:rsidRPr="008A2B8F" w:rsidRDefault="00BC5219" w:rsidP="00E83802">
            <w:pPr>
              <w:rPr>
                <w:rFonts w:ascii="Meta Pro" w:eastAsia="Times New Roman" w:hAnsi="Meta Pro" w:cs="Times New Roman"/>
                <w:sz w:val="24"/>
                <w:szCs w:val="24"/>
                <w:lang w:eastAsia="en-AU"/>
              </w:rPr>
            </w:pPr>
            <w:bookmarkStart w:id="52" w:name="_Hlk141121004"/>
          </w:p>
        </w:tc>
        <w:tc>
          <w:tcPr>
            <w:tcW w:w="992" w:type="dxa"/>
            <w:tcBorders>
              <w:top w:val="nil"/>
              <w:left w:val="nil"/>
              <w:bottom w:val="nil"/>
              <w:right w:val="nil"/>
            </w:tcBorders>
            <w:shd w:val="clear" w:color="auto" w:fill="auto"/>
            <w:noWrap/>
            <w:vAlign w:val="center"/>
            <w:hideMark/>
          </w:tcPr>
          <w:p w14:paraId="011A9013" w14:textId="77777777" w:rsidR="00BC5219" w:rsidRPr="008A2B8F" w:rsidRDefault="00BC5219" w:rsidP="00E83802">
            <w:pPr>
              <w:jc w:val="center"/>
              <w:rPr>
                <w:rFonts w:ascii="Meta Pro" w:eastAsia="Times New Roman" w:hAnsi="Meta Pro"/>
                <w:b/>
                <w:bCs/>
                <w:color w:val="000000"/>
                <w:lang w:eastAsia="en-AU"/>
              </w:rPr>
            </w:pPr>
          </w:p>
        </w:tc>
        <w:tc>
          <w:tcPr>
            <w:tcW w:w="1134" w:type="dxa"/>
            <w:tcBorders>
              <w:top w:val="nil"/>
              <w:left w:val="nil"/>
              <w:bottom w:val="nil"/>
              <w:right w:val="nil"/>
            </w:tcBorders>
            <w:shd w:val="clear" w:color="auto" w:fill="auto"/>
            <w:noWrap/>
            <w:vAlign w:val="center"/>
            <w:hideMark/>
          </w:tcPr>
          <w:p w14:paraId="7315DA81" w14:textId="77777777" w:rsidR="00BC5219" w:rsidRPr="008A2B8F" w:rsidRDefault="00BC5219" w:rsidP="00E83802">
            <w:pPr>
              <w:jc w:val="center"/>
              <w:rPr>
                <w:rFonts w:ascii="Meta Pro" w:eastAsia="Times New Roman" w:hAnsi="Meta Pro"/>
                <w:b/>
                <w:bCs/>
                <w:color w:val="000000"/>
                <w:lang w:eastAsia="en-AU"/>
              </w:rPr>
            </w:pPr>
            <w:r w:rsidRPr="008A2B8F">
              <w:rPr>
                <w:rFonts w:ascii="Meta Pro" w:eastAsia="Times New Roman" w:hAnsi="Meta Pro"/>
                <w:b/>
                <w:bCs/>
                <w:color w:val="000000"/>
                <w:lang w:eastAsia="en-AU"/>
              </w:rPr>
              <w:t>2023</w:t>
            </w:r>
          </w:p>
        </w:tc>
        <w:tc>
          <w:tcPr>
            <w:tcW w:w="327" w:type="dxa"/>
            <w:tcBorders>
              <w:top w:val="nil"/>
              <w:left w:val="nil"/>
              <w:bottom w:val="nil"/>
              <w:right w:val="nil"/>
            </w:tcBorders>
            <w:shd w:val="clear" w:color="auto" w:fill="auto"/>
            <w:noWrap/>
            <w:vAlign w:val="center"/>
            <w:hideMark/>
          </w:tcPr>
          <w:p w14:paraId="286C6A25" w14:textId="77777777" w:rsidR="00BC5219" w:rsidRPr="008A2B8F" w:rsidRDefault="00BC5219" w:rsidP="00E83802">
            <w:pPr>
              <w:jc w:val="center"/>
              <w:rPr>
                <w:rFonts w:ascii="Meta Pro" w:eastAsia="Times New Roman" w:hAnsi="Meta Pro"/>
                <w:b/>
                <w:bCs/>
                <w:color w:val="000000"/>
                <w:lang w:eastAsia="en-AU"/>
              </w:rPr>
            </w:pPr>
          </w:p>
        </w:tc>
        <w:tc>
          <w:tcPr>
            <w:tcW w:w="1089" w:type="dxa"/>
            <w:tcBorders>
              <w:top w:val="nil"/>
              <w:left w:val="nil"/>
              <w:bottom w:val="nil"/>
              <w:right w:val="nil"/>
            </w:tcBorders>
            <w:shd w:val="clear" w:color="auto" w:fill="auto"/>
            <w:noWrap/>
            <w:vAlign w:val="center"/>
            <w:hideMark/>
          </w:tcPr>
          <w:p w14:paraId="6230E661" w14:textId="77777777" w:rsidR="00BC5219" w:rsidRPr="008A2B8F" w:rsidRDefault="00BC5219" w:rsidP="00E83802">
            <w:pPr>
              <w:jc w:val="center"/>
              <w:rPr>
                <w:rFonts w:ascii="Meta Pro" w:eastAsia="Times New Roman" w:hAnsi="Meta Pro"/>
                <w:b/>
                <w:bCs/>
                <w:lang w:eastAsia="en-AU"/>
              </w:rPr>
            </w:pPr>
            <w:r w:rsidRPr="008A2B8F">
              <w:rPr>
                <w:rFonts w:ascii="Meta Pro" w:eastAsia="Times New Roman" w:hAnsi="Meta Pro"/>
                <w:b/>
                <w:bCs/>
                <w:lang w:eastAsia="en-AU"/>
              </w:rPr>
              <w:t>2022</w:t>
            </w:r>
          </w:p>
        </w:tc>
      </w:tr>
      <w:tr w:rsidR="00BC5219" w:rsidRPr="008A2B8F" w14:paraId="269C02FA" w14:textId="77777777" w:rsidTr="00E83802">
        <w:trPr>
          <w:trHeight w:val="240"/>
        </w:trPr>
        <w:tc>
          <w:tcPr>
            <w:tcW w:w="6096" w:type="dxa"/>
            <w:tcBorders>
              <w:top w:val="nil"/>
              <w:left w:val="nil"/>
              <w:bottom w:val="nil"/>
              <w:right w:val="nil"/>
            </w:tcBorders>
            <w:shd w:val="clear" w:color="auto" w:fill="auto"/>
            <w:noWrap/>
            <w:vAlign w:val="center"/>
            <w:hideMark/>
          </w:tcPr>
          <w:p w14:paraId="546555B7" w14:textId="77777777" w:rsidR="00BC5219" w:rsidRPr="008A2B8F" w:rsidRDefault="00BC5219" w:rsidP="00E83802">
            <w:pPr>
              <w:rPr>
                <w:rFonts w:ascii="Meta Pro" w:eastAsia="Times New Roman" w:hAnsi="Meta Pro"/>
                <w:b/>
                <w:bCs/>
                <w:lang w:eastAsia="en-AU"/>
              </w:rPr>
            </w:pPr>
          </w:p>
        </w:tc>
        <w:tc>
          <w:tcPr>
            <w:tcW w:w="992" w:type="dxa"/>
            <w:tcBorders>
              <w:top w:val="nil"/>
              <w:left w:val="nil"/>
              <w:bottom w:val="nil"/>
              <w:right w:val="nil"/>
            </w:tcBorders>
            <w:shd w:val="clear" w:color="auto" w:fill="auto"/>
            <w:noWrap/>
            <w:vAlign w:val="center"/>
            <w:hideMark/>
          </w:tcPr>
          <w:p w14:paraId="4E963D93" w14:textId="77777777" w:rsidR="00BC5219" w:rsidRPr="008A2B8F" w:rsidRDefault="00BC5219" w:rsidP="00E83802">
            <w:pPr>
              <w:rPr>
                <w:rFonts w:ascii="Meta Pro" w:eastAsia="Times New Roman" w:hAnsi="Meta Pro" w:cs="Times New Roman"/>
                <w:sz w:val="20"/>
                <w:szCs w:val="20"/>
                <w:lang w:eastAsia="en-AU"/>
              </w:rPr>
            </w:pPr>
          </w:p>
        </w:tc>
        <w:tc>
          <w:tcPr>
            <w:tcW w:w="1134" w:type="dxa"/>
            <w:tcBorders>
              <w:top w:val="nil"/>
              <w:left w:val="nil"/>
              <w:bottom w:val="nil"/>
              <w:right w:val="nil"/>
            </w:tcBorders>
            <w:shd w:val="clear" w:color="auto" w:fill="auto"/>
            <w:noWrap/>
            <w:vAlign w:val="center"/>
            <w:hideMark/>
          </w:tcPr>
          <w:p w14:paraId="74C5000C" w14:textId="77777777" w:rsidR="00BC5219" w:rsidRPr="008A2B8F" w:rsidRDefault="00BC5219" w:rsidP="00E83802">
            <w:pPr>
              <w:jc w:val="center"/>
              <w:rPr>
                <w:rFonts w:ascii="Meta Pro" w:eastAsia="Times New Roman" w:hAnsi="Meta Pro"/>
                <w:b/>
                <w:bCs/>
                <w:lang w:eastAsia="en-AU"/>
              </w:rPr>
            </w:pPr>
            <w:r w:rsidRPr="008A2B8F">
              <w:rPr>
                <w:rFonts w:ascii="Meta Pro" w:eastAsia="Times New Roman" w:hAnsi="Meta Pro"/>
                <w:b/>
                <w:bCs/>
                <w:lang w:eastAsia="en-AU"/>
              </w:rPr>
              <w:t>$'000</w:t>
            </w:r>
          </w:p>
        </w:tc>
        <w:tc>
          <w:tcPr>
            <w:tcW w:w="327" w:type="dxa"/>
            <w:tcBorders>
              <w:top w:val="nil"/>
              <w:left w:val="nil"/>
              <w:bottom w:val="nil"/>
              <w:right w:val="nil"/>
            </w:tcBorders>
            <w:shd w:val="clear" w:color="auto" w:fill="auto"/>
            <w:noWrap/>
            <w:vAlign w:val="center"/>
            <w:hideMark/>
          </w:tcPr>
          <w:p w14:paraId="449FCFC9" w14:textId="77777777" w:rsidR="00BC5219" w:rsidRPr="008A2B8F" w:rsidRDefault="00BC5219" w:rsidP="00E83802">
            <w:pPr>
              <w:jc w:val="center"/>
              <w:rPr>
                <w:rFonts w:ascii="Meta Pro" w:eastAsia="Times New Roman" w:hAnsi="Meta Pro"/>
                <w:b/>
                <w:bCs/>
                <w:lang w:eastAsia="en-AU"/>
              </w:rPr>
            </w:pPr>
          </w:p>
        </w:tc>
        <w:tc>
          <w:tcPr>
            <w:tcW w:w="1089" w:type="dxa"/>
            <w:tcBorders>
              <w:top w:val="nil"/>
              <w:left w:val="nil"/>
              <w:bottom w:val="nil"/>
              <w:right w:val="nil"/>
            </w:tcBorders>
            <w:shd w:val="clear" w:color="auto" w:fill="auto"/>
            <w:noWrap/>
            <w:vAlign w:val="center"/>
            <w:hideMark/>
          </w:tcPr>
          <w:p w14:paraId="41F31C93" w14:textId="77777777" w:rsidR="00BC5219" w:rsidRPr="008A2B8F" w:rsidRDefault="00BC5219" w:rsidP="00E83802">
            <w:pPr>
              <w:jc w:val="center"/>
              <w:rPr>
                <w:rFonts w:ascii="Meta Pro" w:eastAsia="Times New Roman" w:hAnsi="Meta Pro"/>
                <w:b/>
                <w:bCs/>
                <w:lang w:eastAsia="en-AU"/>
              </w:rPr>
            </w:pPr>
            <w:r w:rsidRPr="008A2B8F">
              <w:rPr>
                <w:rFonts w:ascii="Meta Pro" w:eastAsia="Times New Roman" w:hAnsi="Meta Pro"/>
                <w:b/>
                <w:bCs/>
                <w:lang w:eastAsia="en-AU"/>
              </w:rPr>
              <w:t>$'000</w:t>
            </w:r>
          </w:p>
        </w:tc>
      </w:tr>
      <w:bookmarkEnd w:id="52"/>
    </w:tbl>
    <w:p w14:paraId="4A2B06EA" w14:textId="77777777" w:rsidR="00BC5219" w:rsidRPr="008A2B8F" w:rsidRDefault="00BC5219" w:rsidP="00BC5219">
      <w:pPr>
        <w:rPr>
          <w:rFonts w:ascii="Meta Pro" w:hAnsi="Meta Pro" w:cstheme="minorBidi"/>
        </w:rPr>
      </w:pPr>
    </w:p>
    <w:tbl>
      <w:tblPr>
        <w:tblW w:w="0" w:type="auto"/>
        <w:tblCellMar>
          <w:left w:w="0" w:type="dxa"/>
        </w:tblCellMar>
        <w:tblLook w:val="04A0" w:firstRow="1" w:lastRow="0" w:firstColumn="1" w:lastColumn="0" w:noHBand="0" w:noVBand="1"/>
      </w:tblPr>
      <w:tblGrid>
        <w:gridCol w:w="7144"/>
        <w:gridCol w:w="1164"/>
        <w:gridCol w:w="224"/>
        <w:gridCol w:w="1164"/>
      </w:tblGrid>
      <w:tr w:rsidR="00BC5219" w:rsidRPr="008A2B8F" w14:paraId="1534482F" w14:textId="77777777" w:rsidTr="00E83802">
        <w:trPr>
          <w:trHeight w:val="240"/>
        </w:trPr>
        <w:tc>
          <w:tcPr>
            <w:tcW w:w="7136" w:type="dxa"/>
            <w:tcBorders>
              <w:top w:val="nil"/>
              <w:left w:val="nil"/>
              <w:bottom w:val="nil"/>
              <w:right w:val="nil"/>
            </w:tcBorders>
            <w:shd w:val="clear" w:color="auto" w:fill="auto"/>
            <w:noWrap/>
            <w:vAlign w:val="center"/>
            <w:hideMark/>
          </w:tcPr>
          <w:p w14:paraId="6FB50D88" w14:textId="77777777" w:rsidR="00BC5219" w:rsidRPr="008A2B8F" w:rsidRDefault="00BC5219" w:rsidP="00E83802">
            <w:pPr>
              <w:rPr>
                <w:rFonts w:ascii="Meta Pro" w:eastAsia="Times New Roman" w:hAnsi="Meta Pro"/>
                <w:b/>
                <w:bCs/>
                <w:lang w:eastAsia="en-AU"/>
              </w:rPr>
            </w:pPr>
            <w:r w:rsidRPr="008A2B8F">
              <w:rPr>
                <w:rFonts w:ascii="Meta Pro" w:eastAsia="Times New Roman" w:hAnsi="Meta Pro"/>
                <w:b/>
                <w:bCs/>
                <w:lang w:eastAsia="en-AU"/>
              </w:rPr>
              <w:t>19     BORROWINGS</w:t>
            </w:r>
          </w:p>
        </w:tc>
        <w:tc>
          <w:tcPr>
            <w:tcW w:w="1156" w:type="dxa"/>
            <w:tcBorders>
              <w:top w:val="nil"/>
              <w:left w:val="nil"/>
              <w:bottom w:val="nil"/>
              <w:right w:val="nil"/>
            </w:tcBorders>
            <w:shd w:val="clear" w:color="auto" w:fill="auto"/>
            <w:noWrap/>
            <w:vAlign w:val="center"/>
            <w:hideMark/>
          </w:tcPr>
          <w:p w14:paraId="0FD50209" w14:textId="77777777" w:rsidR="00BC5219" w:rsidRPr="008A2B8F" w:rsidRDefault="00BC5219" w:rsidP="00E83802">
            <w:pPr>
              <w:rPr>
                <w:rFonts w:ascii="Meta Pro" w:eastAsia="Times New Roman" w:hAnsi="Meta Pro"/>
                <w:b/>
                <w:bCs/>
                <w:lang w:eastAsia="en-AU"/>
              </w:rPr>
            </w:pPr>
          </w:p>
        </w:tc>
        <w:tc>
          <w:tcPr>
            <w:tcW w:w="216" w:type="dxa"/>
            <w:tcBorders>
              <w:top w:val="nil"/>
              <w:left w:val="nil"/>
              <w:bottom w:val="nil"/>
              <w:right w:val="nil"/>
            </w:tcBorders>
            <w:shd w:val="clear" w:color="auto" w:fill="auto"/>
            <w:noWrap/>
            <w:vAlign w:val="center"/>
            <w:hideMark/>
          </w:tcPr>
          <w:p w14:paraId="79BBCED6" w14:textId="77777777" w:rsidR="00BC5219" w:rsidRPr="008A2B8F"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34FAD118"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7A95E594" w14:textId="77777777" w:rsidTr="00E83802">
        <w:trPr>
          <w:trHeight w:val="90"/>
        </w:trPr>
        <w:tc>
          <w:tcPr>
            <w:tcW w:w="7136" w:type="dxa"/>
            <w:tcBorders>
              <w:top w:val="nil"/>
              <w:left w:val="nil"/>
              <w:bottom w:val="nil"/>
              <w:right w:val="nil"/>
            </w:tcBorders>
            <w:shd w:val="clear" w:color="auto" w:fill="auto"/>
            <w:noWrap/>
            <w:vAlign w:val="center"/>
            <w:hideMark/>
          </w:tcPr>
          <w:p w14:paraId="11C1EAF9" w14:textId="77777777" w:rsidR="00BC5219" w:rsidRPr="008A2B8F"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57601943" w14:textId="77777777" w:rsidR="00BC5219" w:rsidRPr="008A2B8F" w:rsidRDefault="00BC5219" w:rsidP="00E83802">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1CB61222" w14:textId="77777777" w:rsidR="00BC5219" w:rsidRPr="008A2B8F" w:rsidRDefault="00BC5219" w:rsidP="00E83802">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0FE26052" w14:textId="77777777" w:rsidR="00BC5219" w:rsidRPr="008A2B8F" w:rsidRDefault="00BC5219" w:rsidP="00E83802">
            <w:pPr>
              <w:rPr>
                <w:rFonts w:ascii="Meta Pro" w:eastAsia="Times New Roman" w:hAnsi="Meta Pro" w:cs="Times New Roman"/>
                <w:sz w:val="20"/>
                <w:szCs w:val="20"/>
                <w:lang w:eastAsia="en-AU"/>
              </w:rPr>
            </w:pPr>
          </w:p>
        </w:tc>
      </w:tr>
      <w:tr w:rsidR="00BC5219" w:rsidRPr="008A2B8F" w14:paraId="78730FC6" w14:textId="77777777" w:rsidTr="00E83802">
        <w:trPr>
          <w:trHeight w:val="240"/>
        </w:trPr>
        <w:tc>
          <w:tcPr>
            <w:tcW w:w="7136" w:type="dxa"/>
            <w:tcBorders>
              <w:top w:val="nil"/>
              <w:left w:val="nil"/>
              <w:bottom w:val="nil"/>
              <w:right w:val="nil"/>
            </w:tcBorders>
            <w:shd w:val="clear" w:color="auto" w:fill="auto"/>
            <w:noWrap/>
            <w:vAlign w:val="center"/>
            <w:hideMark/>
          </w:tcPr>
          <w:p w14:paraId="63955D05"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Current</w:t>
            </w:r>
          </w:p>
        </w:tc>
        <w:tc>
          <w:tcPr>
            <w:tcW w:w="1156" w:type="dxa"/>
            <w:tcBorders>
              <w:top w:val="nil"/>
              <w:left w:val="nil"/>
              <w:bottom w:val="nil"/>
              <w:right w:val="nil"/>
            </w:tcBorders>
            <w:shd w:val="clear" w:color="auto" w:fill="auto"/>
            <w:noWrap/>
            <w:vAlign w:val="center"/>
            <w:hideMark/>
          </w:tcPr>
          <w:p w14:paraId="741E6533" w14:textId="77777777" w:rsidR="00BC5219" w:rsidRPr="008A2B8F" w:rsidRDefault="00BC5219" w:rsidP="00E83802">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4D1D544E" w14:textId="77777777" w:rsidR="00BC5219" w:rsidRPr="008A2B8F"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79381B0F"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77F79507" w14:textId="77777777" w:rsidTr="00E83802">
        <w:trPr>
          <w:trHeight w:val="240"/>
        </w:trPr>
        <w:tc>
          <w:tcPr>
            <w:tcW w:w="7136" w:type="dxa"/>
            <w:tcBorders>
              <w:top w:val="nil"/>
              <w:left w:val="nil"/>
              <w:bottom w:val="nil"/>
              <w:right w:val="nil"/>
            </w:tcBorders>
            <w:shd w:val="clear" w:color="auto" w:fill="auto"/>
            <w:noWrap/>
            <w:vAlign w:val="center"/>
            <w:hideMark/>
          </w:tcPr>
          <w:p w14:paraId="71310C8C"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Financial liabilities – service concession arrangements</w:t>
            </w:r>
          </w:p>
        </w:tc>
        <w:tc>
          <w:tcPr>
            <w:tcW w:w="1156" w:type="dxa"/>
            <w:tcBorders>
              <w:top w:val="nil"/>
              <w:left w:val="nil"/>
              <w:bottom w:val="nil"/>
              <w:right w:val="nil"/>
            </w:tcBorders>
            <w:shd w:val="clear" w:color="000000" w:fill="C9E3B4"/>
            <w:noWrap/>
            <w:vAlign w:val="center"/>
            <w:hideMark/>
          </w:tcPr>
          <w:p w14:paraId="01BB4D2D"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40,472 </w:t>
            </w:r>
          </w:p>
        </w:tc>
        <w:tc>
          <w:tcPr>
            <w:tcW w:w="216" w:type="dxa"/>
            <w:tcBorders>
              <w:top w:val="nil"/>
              <w:left w:val="nil"/>
              <w:bottom w:val="nil"/>
              <w:right w:val="nil"/>
            </w:tcBorders>
            <w:shd w:val="clear" w:color="auto" w:fill="auto"/>
            <w:noWrap/>
            <w:vAlign w:val="center"/>
            <w:hideMark/>
          </w:tcPr>
          <w:p w14:paraId="098C63A2"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69D6FEBD"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36,775 </w:t>
            </w:r>
          </w:p>
        </w:tc>
      </w:tr>
      <w:tr w:rsidR="00BC5219" w:rsidRPr="008A2B8F" w14:paraId="7EB71256" w14:textId="77777777" w:rsidTr="00E83802">
        <w:trPr>
          <w:trHeight w:val="240"/>
        </w:trPr>
        <w:tc>
          <w:tcPr>
            <w:tcW w:w="7136" w:type="dxa"/>
            <w:tcBorders>
              <w:top w:val="nil"/>
              <w:left w:val="nil"/>
              <w:bottom w:val="nil"/>
              <w:right w:val="nil"/>
            </w:tcBorders>
            <w:shd w:val="clear" w:color="auto" w:fill="auto"/>
            <w:noWrap/>
            <w:vAlign w:val="center"/>
            <w:hideMark/>
          </w:tcPr>
          <w:p w14:paraId="701D328A"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New Generation Rollingstock arrangement</w:t>
            </w:r>
          </w:p>
        </w:tc>
        <w:tc>
          <w:tcPr>
            <w:tcW w:w="1156" w:type="dxa"/>
            <w:tcBorders>
              <w:top w:val="nil"/>
              <w:left w:val="nil"/>
              <w:bottom w:val="nil"/>
              <w:right w:val="nil"/>
            </w:tcBorders>
            <w:shd w:val="clear" w:color="000000" w:fill="C9E3B4"/>
            <w:noWrap/>
            <w:vAlign w:val="center"/>
            <w:hideMark/>
          </w:tcPr>
          <w:p w14:paraId="2B28C1DC"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3,732 </w:t>
            </w:r>
          </w:p>
        </w:tc>
        <w:tc>
          <w:tcPr>
            <w:tcW w:w="216" w:type="dxa"/>
            <w:tcBorders>
              <w:top w:val="nil"/>
              <w:left w:val="nil"/>
              <w:bottom w:val="nil"/>
              <w:right w:val="nil"/>
            </w:tcBorders>
            <w:shd w:val="clear" w:color="auto" w:fill="auto"/>
            <w:noWrap/>
            <w:vAlign w:val="center"/>
            <w:hideMark/>
          </w:tcPr>
          <w:p w14:paraId="55A1D3C9"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3C46AF12"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3,501 </w:t>
            </w:r>
          </w:p>
        </w:tc>
      </w:tr>
      <w:tr w:rsidR="00BC5219" w:rsidRPr="008A2B8F" w14:paraId="675BC415" w14:textId="77777777" w:rsidTr="00E83802">
        <w:trPr>
          <w:trHeight w:val="240"/>
        </w:trPr>
        <w:tc>
          <w:tcPr>
            <w:tcW w:w="7136" w:type="dxa"/>
            <w:tcBorders>
              <w:top w:val="single" w:sz="4" w:space="0" w:color="auto"/>
              <w:left w:val="nil"/>
              <w:bottom w:val="double" w:sz="6" w:space="0" w:color="auto"/>
              <w:right w:val="nil"/>
            </w:tcBorders>
            <w:shd w:val="clear" w:color="auto" w:fill="auto"/>
            <w:noWrap/>
            <w:vAlign w:val="center"/>
            <w:hideMark/>
          </w:tcPr>
          <w:p w14:paraId="5047746A"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Total</w:t>
            </w:r>
          </w:p>
        </w:tc>
        <w:tc>
          <w:tcPr>
            <w:tcW w:w="1156" w:type="dxa"/>
            <w:tcBorders>
              <w:top w:val="single" w:sz="4" w:space="0" w:color="auto"/>
              <w:left w:val="nil"/>
              <w:bottom w:val="double" w:sz="6" w:space="0" w:color="auto"/>
              <w:right w:val="nil"/>
            </w:tcBorders>
            <w:shd w:val="clear" w:color="000000" w:fill="C9E3B4"/>
            <w:noWrap/>
            <w:vAlign w:val="center"/>
            <w:hideMark/>
          </w:tcPr>
          <w:p w14:paraId="6049D40F"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44,204 </w:t>
            </w:r>
          </w:p>
        </w:tc>
        <w:tc>
          <w:tcPr>
            <w:tcW w:w="216" w:type="dxa"/>
            <w:tcBorders>
              <w:top w:val="single" w:sz="4" w:space="0" w:color="auto"/>
              <w:left w:val="nil"/>
              <w:bottom w:val="double" w:sz="6" w:space="0" w:color="auto"/>
              <w:right w:val="nil"/>
            </w:tcBorders>
            <w:shd w:val="clear" w:color="auto" w:fill="auto"/>
            <w:noWrap/>
            <w:vAlign w:val="center"/>
            <w:hideMark/>
          </w:tcPr>
          <w:p w14:paraId="0B591D38"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w:t>
            </w:r>
          </w:p>
        </w:tc>
        <w:tc>
          <w:tcPr>
            <w:tcW w:w="1156" w:type="dxa"/>
            <w:tcBorders>
              <w:top w:val="single" w:sz="4" w:space="0" w:color="auto"/>
              <w:left w:val="nil"/>
              <w:bottom w:val="double" w:sz="6" w:space="0" w:color="auto"/>
              <w:right w:val="nil"/>
            </w:tcBorders>
            <w:shd w:val="clear" w:color="auto" w:fill="auto"/>
            <w:noWrap/>
            <w:vAlign w:val="center"/>
            <w:hideMark/>
          </w:tcPr>
          <w:p w14:paraId="74C291AE"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40,276 </w:t>
            </w:r>
          </w:p>
        </w:tc>
      </w:tr>
      <w:tr w:rsidR="00BC5219" w:rsidRPr="008A2B8F" w14:paraId="7C3C9D6C" w14:textId="77777777" w:rsidTr="00E83802">
        <w:trPr>
          <w:trHeight w:val="90"/>
        </w:trPr>
        <w:tc>
          <w:tcPr>
            <w:tcW w:w="7136" w:type="dxa"/>
            <w:tcBorders>
              <w:top w:val="nil"/>
              <w:left w:val="nil"/>
              <w:bottom w:val="nil"/>
              <w:right w:val="nil"/>
            </w:tcBorders>
            <w:shd w:val="clear" w:color="auto" w:fill="auto"/>
            <w:noWrap/>
            <w:vAlign w:val="center"/>
            <w:hideMark/>
          </w:tcPr>
          <w:p w14:paraId="467E4DD8" w14:textId="77777777" w:rsidR="00BC5219" w:rsidRPr="008A2B8F" w:rsidRDefault="00BC5219" w:rsidP="00E83802">
            <w:pPr>
              <w:jc w:val="right"/>
              <w:rPr>
                <w:rFonts w:ascii="Meta Pro" w:eastAsia="Times New Roman" w:hAnsi="Meta Pro"/>
                <w:b/>
                <w:bCs/>
                <w:szCs w:val="18"/>
                <w:lang w:eastAsia="en-AU"/>
              </w:rPr>
            </w:pPr>
          </w:p>
        </w:tc>
        <w:tc>
          <w:tcPr>
            <w:tcW w:w="1156" w:type="dxa"/>
            <w:tcBorders>
              <w:top w:val="nil"/>
              <w:left w:val="nil"/>
              <w:bottom w:val="nil"/>
              <w:right w:val="nil"/>
            </w:tcBorders>
            <w:shd w:val="clear" w:color="auto" w:fill="auto"/>
            <w:noWrap/>
            <w:vAlign w:val="center"/>
            <w:hideMark/>
          </w:tcPr>
          <w:p w14:paraId="767D26BD" w14:textId="77777777" w:rsidR="00BC5219" w:rsidRPr="008A2B8F" w:rsidRDefault="00BC5219" w:rsidP="00E83802">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3A44279B" w14:textId="77777777" w:rsidR="00BC5219" w:rsidRPr="008A2B8F" w:rsidRDefault="00BC5219" w:rsidP="00E83802">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63B04464" w14:textId="77777777" w:rsidR="00BC5219" w:rsidRPr="008A2B8F" w:rsidRDefault="00BC5219" w:rsidP="00E83802">
            <w:pPr>
              <w:rPr>
                <w:rFonts w:ascii="Meta Pro" w:eastAsia="Times New Roman" w:hAnsi="Meta Pro" w:cs="Times New Roman"/>
                <w:sz w:val="20"/>
                <w:szCs w:val="20"/>
                <w:lang w:eastAsia="en-AU"/>
              </w:rPr>
            </w:pPr>
          </w:p>
        </w:tc>
      </w:tr>
      <w:tr w:rsidR="00BC5219" w:rsidRPr="008A2B8F" w14:paraId="5D0EEDF8" w14:textId="77777777" w:rsidTr="00E83802">
        <w:trPr>
          <w:trHeight w:val="240"/>
        </w:trPr>
        <w:tc>
          <w:tcPr>
            <w:tcW w:w="7136" w:type="dxa"/>
            <w:tcBorders>
              <w:top w:val="nil"/>
              <w:left w:val="nil"/>
              <w:bottom w:val="nil"/>
              <w:right w:val="nil"/>
            </w:tcBorders>
            <w:shd w:val="clear" w:color="auto" w:fill="auto"/>
            <w:noWrap/>
            <w:vAlign w:val="center"/>
            <w:hideMark/>
          </w:tcPr>
          <w:p w14:paraId="3C70240F"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Non-current</w:t>
            </w:r>
          </w:p>
        </w:tc>
        <w:tc>
          <w:tcPr>
            <w:tcW w:w="1156" w:type="dxa"/>
            <w:tcBorders>
              <w:top w:val="nil"/>
              <w:left w:val="nil"/>
              <w:bottom w:val="nil"/>
              <w:right w:val="nil"/>
            </w:tcBorders>
            <w:shd w:val="clear" w:color="auto" w:fill="auto"/>
            <w:noWrap/>
            <w:vAlign w:val="center"/>
            <w:hideMark/>
          </w:tcPr>
          <w:p w14:paraId="3524159D" w14:textId="77777777" w:rsidR="00BC5219" w:rsidRPr="008A2B8F" w:rsidRDefault="00BC5219" w:rsidP="00E83802">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445DEA6C" w14:textId="77777777" w:rsidR="00BC5219" w:rsidRPr="008A2B8F"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61F70886"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021007DB" w14:textId="77777777" w:rsidTr="00E83802">
        <w:trPr>
          <w:trHeight w:val="240"/>
        </w:trPr>
        <w:tc>
          <w:tcPr>
            <w:tcW w:w="7136" w:type="dxa"/>
            <w:tcBorders>
              <w:top w:val="nil"/>
              <w:left w:val="nil"/>
              <w:bottom w:val="nil"/>
              <w:right w:val="nil"/>
            </w:tcBorders>
            <w:shd w:val="clear" w:color="auto" w:fill="auto"/>
            <w:noWrap/>
            <w:vAlign w:val="center"/>
            <w:hideMark/>
          </w:tcPr>
          <w:p w14:paraId="20CC3583"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Financial liabilities – service concession arrangements</w:t>
            </w:r>
          </w:p>
        </w:tc>
        <w:tc>
          <w:tcPr>
            <w:tcW w:w="1156" w:type="dxa"/>
            <w:tcBorders>
              <w:top w:val="nil"/>
              <w:left w:val="nil"/>
              <w:bottom w:val="nil"/>
              <w:right w:val="nil"/>
            </w:tcBorders>
            <w:shd w:val="clear" w:color="000000" w:fill="C9E3B4"/>
            <w:noWrap/>
            <w:vAlign w:val="center"/>
            <w:hideMark/>
          </w:tcPr>
          <w:p w14:paraId="552DA414"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589,594 </w:t>
            </w:r>
          </w:p>
        </w:tc>
        <w:tc>
          <w:tcPr>
            <w:tcW w:w="216" w:type="dxa"/>
            <w:tcBorders>
              <w:top w:val="nil"/>
              <w:left w:val="nil"/>
              <w:bottom w:val="nil"/>
              <w:right w:val="nil"/>
            </w:tcBorders>
            <w:shd w:val="clear" w:color="auto" w:fill="auto"/>
            <w:noWrap/>
            <w:vAlign w:val="center"/>
            <w:hideMark/>
          </w:tcPr>
          <w:p w14:paraId="52FC63AA"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378846C7"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700,583 </w:t>
            </w:r>
          </w:p>
        </w:tc>
      </w:tr>
      <w:tr w:rsidR="00BC5219" w:rsidRPr="008A2B8F" w14:paraId="3B8A55E5" w14:textId="77777777" w:rsidTr="00E83802">
        <w:trPr>
          <w:trHeight w:val="240"/>
        </w:trPr>
        <w:tc>
          <w:tcPr>
            <w:tcW w:w="7136" w:type="dxa"/>
            <w:tcBorders>
              <w:top w:val="nil"/>
              <w:left w:val="nil"/>
              <w:bottom w:val="nil"/>
              <w:right w:val="nil"/>
            </w:tcBorders>
            <w:shd w:val="clear" w:color="auto" w:fill="auto"/>
            <w:noWrap/>
            <w:vAlign w:val="center"/>
            <w:hideMark/>
          </w:tcPr>
          <w:p w14:paraId="3C09FB94"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New Generation Rollingstock arrangement</w:t>
            </w:r>
          </w:p>
        </w:tc>
        <w:tc>
          <w:tcPr>
            <w:tcW w:w="1156" w:type="dxa"/>
            <w:tcBorders>
              <w:top w:val="nil"/>
              <w:left w:val="nil"/>
              <w:bottom w:val="nil"/>
              <w:right w:val="nil"/>
            </w:tcBorders>
            <w:shd w:val="clear" w:color="000000" w:fill="C9E3B4"/>
            <w:noWrap/>
            <w:vAlign w:val="center"/>
            <w:hideMark/>
          </w:tcPr>
          <w:p w14:paraId="66053E3F"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547,649 </w:t>
            </w:r>
          </w:p>
        </w:tc>
        <w:tc>
          <w:tcPr>
            <w:tcW w:w="216" w:type="dxa"/>
            <w:tcBorders>
              <w:top w:val="nil"/>
              <w:left w:val="nil"/>
              <w:bottom w:val="nil"/>
              <w:right w:val="nil"/>
            </w:tcBorders>
            <w:shd w:val="clear" w:color="auto" w:fill="auto"/>
            <w:noWrap/>
            <w:vAlign w:val="center"/>
            <w:hideMark/>
          </w:tcPr>
          <w:p w14:paraId="7231F3CA"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016284B9"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551,372 </w:t>
            </w:r>
          </w:p>
        </w:tc>
      </w:tr>
      <w:tr w:rsidR="00BC5219" w:rsidRPr="008A2B8F" w14:paraId="00804784" w14:textId="77777777" w:rsidTr="00E83802">
        <w:trPr>
          <w:trHeight w:val="240"/>
        </w:trPr>
        <w:tc>
          <w:tcPr>
            <w:tcW w:w="7136" w:type="dxa"/>
            <w:tcBorders>
              <w:top w:val="single" w:sz="4" w:space="0" w:color="auto"/>
              <w:left w:val="nil"/>
              <w:bottom w:val="double" w:sz="6" w:space="0" w:color="auto"/>
              <w:right w:val="nil"/>
            </w:tcBorders>
            <w:shd w:val="clear" w:color="auto" w:fill="auto"/>
            <w:noWrap/>
            <w:vAlign w:val="center"/>
            <w:hideMark/>
          </w:tcPr>
          <w:p w14:paraId="450DFDDF"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Total</w:t>
            </w:r>
          </w:p>
        </w:tc>
        <w:tc>
          <w:tcPr>
            <w:tcW w:w="1156" w:type="dxa"/>
            <w:tcBorders>
              <w:top w:val="single" w:sz="4" w:space="0" w:color="auto"/>
              <w:left w:val="nil"/>
              <w:bottom w:val="double" w:sz="6" w:space="0" w:color="auto"/>
              <w:right w:val="nil"/>
            </w:tcBorders>
            <w:shd w:val="clear" w:color="000000" w:fill="C9E3B4"/>
            <w:noWrap/>
            <w:vAlign w:val="center"/>
            <w:hideMark/>
          </w:tcPr>
          <w:p w14:paraId="44D1247C"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1,137,243 </w:t>
            </w:r>
          </w:p>
        </w:tc>
        <w:tc>
          <w:tcPr>
            <w:tcW w:w="216" w:type="dxa"/>
            <w:tcBorders>
              <w:top w:val="single" w:sz="4" w:space="0" w:color="auto"/>
              <w:left w:val="nil"/>
              <w:bottom w:val="double" w:sz="6" w:space="0" w:color="auto"/>
              <w:right w:val="nil"/>
            </w:tcBorders>
            <w:shd w:val="clear" w:color="auto" w:fill="auto"/>
            <w:noWrap/>
            <w:vAlign w:val="center"/>
            <w:hideMark/>
          </w:tcPr>
          <w:p w14:paraId="26718609"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w:t>
            </w:r>
          </w:p>
        </w:tc>
        <w:tc>
          <w:tcPr>
            <w:tcW w:w="1156" w:type="dxa"/>
            <w:tcBorders>
              <w:top w:val="single" w:sz="4" w:space="0" w:color="auto"/>
              <w:left w:val="nil"/>
              <w:bottom w:val="double" w:sz="6" w:space="0" w:color="auto"/>
              <w:right w:val="nil"/>
            </w:tcBorders>
            <w:shd w:val="clear" w:color="auto" w:fill="auto"/>
            <w:noWrap/>
            <w:vAlign w:val="center"/>
            <w:hideMark/>
          </w:tcPr>
          <w:p w14:paraId="6C2FCAB4"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1,251,955 </w:t>
            </w:r>
          </w:p>
        </w:tc>
      </w:tr>
    </w:tbl>
    <w:p w14:paraId="54444AA0" w14:textId="77777777" w:rsidR="00BC5219" w:rsidRPr="009612C6" w:rsidRDefault="00BC5219" w:rsidP="00BC5219">
      <w:pPr>
        <w:rPr>
          <w:rFonts w:ascii="Meta Pro" w:hAnsi="Meta Pro" w:cstheme="minorBidi"/>
        </w:rPr>
      </w:pPr>
    </w:p>
    <w:tbl>
      <w:tblPr>
        <w:tblW w:w="0" w:type="auto"/>
        <w:tblCellMar>
          <w:left w:w="0" w:type="dxa"/>
        </w:tblCellMar>
        <w:tblLook w:val="04A0" w:firstRow="1" w:lastRow="0" w:firstColumn="1" w:lastColumn="0" w:noHBand="0" w:noVBand="1"/>
      </w:tblPr>
      <w:tblGrid>
        <w:gridCol w:w="7144"/>
        <w:gridCol w:w="1164"/>
        <w:gridCol w:w="224"/>
        <w:gridCol w:w="1164"/>
      </w:tblGrid>
      <w:tr w:rsidR="00BC5219" w:rsidRPr="009612C6" w14:paraId="200882A0" w14:textId="77777777" w:rsidTr="00E83802">
        <w:trPr>
          <w:trHeight w:val="240"/>
        </w:trPr>
        <w:tc>
          <w:tcPr>
            <w:tcW w:w="7136" w:type="dxa"/>
            <w:tcBorders>
              <w:top w:val="nil"/>
              <w:left w:val="nil"/>
              <w:bottom w:val="nil"/>
              <w:right w:val="nil"/>
            </w:tcBorders>
            <w:shd w:val="clear" w:color="auto" w:fill="auto"/>
            <w:noWrap/>
            <w:vAlign w:val="center"/>
            <w:hideMark/>
          </w:tcPr>
          <w:p w14:paraId="5AEFB464" w14:textId="77777777" w:rsidR="00BC5219" w:rsidRPr="009612C6" w:rsidRDefault="00BC5219" w:rsidP="00E83802">
            <w:pPr>
              <w:rPr>
                <w:rFonts w:ascii="Meta Pro" w:eastAsia="Times New Roman" w:hAnsi="Meta Pro"/>
                <w:b/>
                <w:bCs/>
                <w:lang w:eastAsia="en-AU"/>
              </w:rPr>
            </w:pPr>
            <w:r w:rsidRPr="009612C6">
              <w:rPr>
                <w:rFonts w:ascii="Meta Pro" w:eastAsia="Times New Roman" w:hAnsi="Meta Pro"/>
                <w:b/>
                <w:bCs/>
                <w:lang w:eastAsia="en-AU"/>
              </w:rPr>
              <w:t>20     PROVISIONS</w:t>
            </w:r>
          </w:p>
        </w:tc>
        <w:tc>
          <w:tcPr>
            <w:tcW w:w="1156" w:type="dxa"/>
            <w:tcBorders>
              <w:top w:val="nil"/>
              <w:left w:val="nil"/>
              <w:bottom w:val="nil"/>
              <w:right w:val="nil"/>
            </w:tcBorders>
            <w:shd w:val="clear" w:color="auto" w:fill="auto"/>
            <w:noWrap/>
            <w:vAlign w:val="center"/>
            <w:hideMark/>
          </w:tcPr>
          <w:p w14:paraId="38E84495" w14:textId="77777777" w:rsidR="00BC5219" w:rsidRPr="009612C6" w:rsidRDefault="00BC5219" w:rsidP="00E83802">
            <w:pPr>
              <w:rPr>
                <w:rFonts w:ascii="Meta Pro" w:eastAsia="Times New Roman" w:hAnsi="Meta Pro"/>
                <w:b/>
                <w:bCs/>
                <w:lang w:eastAsia="en-AU"/>
              </w:rPr>
            </w:pPr>
          </w:p>
        </w:tc>
        <w:tc>
          <w:tcPr>
            <w:tcW w:w="216" w:type="dxa"/>
            <w:tcBorders>
              <w:top w:val="nil"/>
              <w:left w:val="nil"/>
              <w:bottom w:val="nil"/>
              <w:right w:val="nil"/>
            </w:tcBorders>
            <w:shd w:val="clear" w:color="auto" w:fill="auto"/>
            <w:noWrap/>
            <w:vAlign w:val="center"/>
            <w:hideMark/>
          </w:tcPr>
          <w:p w14:paraId="419BE351" w14:textId="77777777" w:rsidR="00BC5219" w:rsidRPr="009612C6"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146C7671" w14:textId="77777777" w:rsidR="00BC5219" w:rsidRPr="009612C6" w:rsidRDefault="00BC5219" w:rsidP="00E83802">
            <w:pPr>
              <w:jc w:val="right"/>
              <w:rPr>
                <w:rFonts w:ascii="Meta Pro" w:eastAsia="Times New Roman" w:hAnsi="Meta Pro" w:cs="Times New Roman"/>
                <w:sz w:val="20"/>
                <w:szCs w:val="20"/>
                <w:lang w:eastAsia="en-AU"/>
              </w:rPr>
            </w:pPr>
          </w:p>
        </w:tc>
      </w:tr>
      <w:tr w:rsidR="00BC5219" w:rsidRPr="009612C6" w14:paraId="53473394" w14:textId="77777777" w:rsidTr="00E83802">
        <w:trPr>
          <w:trHeight w:val="90"/>
        </w:trPr>
        <w:tc>
          <w:tcPr>
            <w:tcW w:w="7136" w:type="dxa"/>
            <w:tcBorders>
              <w:top w:val="nil"/>
              <w:left w:val="nil"/>
              <w:bottom w:val="nil"/>
              <w:right w:val="nil"/>
            </w:tcBorders>
            <w:shd w:val="clear" w:color="auto" w:fill="auto"/>
            <w:noWrap/>
            <w:vAlign w:val="center"/>
            <w:hideMark/>
          </w:tcPr>
          <w:p w14:paraId="01880919" w14:textId="77777777" w:rsidR="00BC5219" w:rsidRPr="009612C6"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5AD1B6CF" w14:textId="77777777" w:rsidR="00BC5219" w:rsidRPr="009612C6" w:rsidRDefault="00BC5219" w:rsidP="00E83802">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3A5EFBEB" w14:textId="77777777" w:rsidR="00BC5219" w:rsidRPr="009612C6"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68F327B5" w14:textId="77777777" w:rsidR="00BC5219" w:rsidRPr="009612C6" w:rsidRDefault="00BC5219" w:rsidP="00E83802">
            <w:pPr>
              <w:jc w:val="right"/>
              <w:rPr>
                <w:rFonts w:ascii="Meta Pro" w:eastAsia="Times New Roman" w:hAnsi="Meta Pro" w:cs="Times New Roman"/>
                <w:sz w:val="20"/>
                <w:szCs w:val="20"/>
                <w:lang w:eastAsia="en-AU"/>
              </w:rPr>
            </w:pPr>
          </w:p>
        </w:tc>
      </w:tr>
      <w:tr w:rsidR="00BC5219" w:rsidRPr="009612C6" w14:paraId="2A9324E7" w14:textId="77777777" w:rsidTr="00E83802">
        <w:trPr>
          <w:trHeight w:val="240"/>
        </w:trPr>
        <w:tc>
          <w:tcPr>
            <w:tcW w:w="7136" w:type="dxa"/>
            <w:tcBorders>
              <w:top w:val="nil"/>
              <w:left w:val="nil"/>
              <w:bottom w:val="nil"/>
              <w:right w:val="nil"/>
            </w:tcBorders>
            <w:shd w:val="clear" w:color="auto" w:fill="auto"/>
            <w:noWrap/>
            <w:vAlign w:val="center"/>
            <w:hideMark/>
          </w:tcPr>
          <w:p w14:paraId="6D929306" w14:textId="77777777" w:rsidR="00BC5219" w:rsidRPr="009612C6" w:rsidRDefault="00BC5219" w:rsidP="00E83802">
            <w:pPr>
              <w:rPr>
                <w:rFonts w:ascii="Meta Pro" w:eastAsia="Times New Roman" w:hAnsi="Meta Pro"/>
                <w:b/>
                <w:bCs/>
                <w:szCs w:val="18"/>
                <w:lang w:eastAsia="en-AU"/>
              </w:rPr>
            </w:pPr>
            <w:r w:rsidRPr="009612C6">
              <w:rPr>
                <w:rFonts w:ascii="Meta Pro" w:eastAsia="Times New Roman" w:hAnsi="Meta Pro"/>
                <w:b/>
                <w:bCs/>
                <w:szCs w:val="18"/>
                <w:lang w:eastAsia="en-AU"/>
              </w:rPr>
              <w:t>Current</w:t>
            </w:r>
          </w:p>
        </w:tc>
        <w:tc>
          <w:tcPr>
            <w:tcW w:w="1156" w:type="dxa"/>
            <w:tcBorders>
              <w:top w:val="nil"/>
              <w:left w:val="nil"/>
              <w:bottom w:val="nil"/>
              <w:right w:val="nil"/>
            </w:tcBorders>
            <w:shd w:val="clear" w:color="auto" w:fill="auto"/>
            <w:noWrap/>
            <w:vAlign w:val="center"/>
            <w:hideMark/>
          </w:tcPr>
          <w:p w14:paraId="2B1F3A5A" w14:textId="77777777" w:rsidR="00BC5219" w:rsidRPr="009612C6" w:rsidRDefault="00BC5219" w:rsidP="00E83802">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680E5B32" w14:textId="77777777" w:rsidR="00BC5219" w:rsidRPr="009612C6"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09CD7877" w14:textId="77777777" w:rsidR="00BC5219" w:rsidRPr="009612C6" w:rsidRDefault="00BC5219" w:rsidP="00E83802">
            <w:pPr>
              <w:jc w:val="right"/>
              <w:rPr>
                <w:rFonts w:ascii="Meta Pro" w:eastAsia="Times New Roman" w:hAnsi="Meta Pro" w:cs="Times New Roman"/>
                <w:sz w:val="20"/>
                <w:szCs w:val="20"/>
                <w:lang w:eastAsia="en-AU"/>
              </w:rPr>
            </w:pPr>
          </w:p>
        </w:tc>
      </w:tr>
      <w:tr w:rsidR="00BC5219" w:rsidRPr="009612C6" w14:paraId="59FACB55" w14:textId="77777777" w:rsidTr="00E83802">
        <w:trPr>
          <w:trHeight w:val="240"/>
        </w:trPr>
        <w:tc>
          <w:tcPr>
            <w:tcW w:w="7136" w:type="dxa"/>
            <w:tcBorders>
              <w:top w:val="nil"/>
              <w:left w:val="nil"/>
              <w:bottom w:val="nil"/>
              <w:right w:val="nil"/>
            </w:tcBorders>
            <w:shd w:val="clear" w:color="auto" w:fill="auto"/>
            <w:noWrap/>
            <w:vAlign w:val="center"/>
            <w:hideMark/>
          </w:tcPr>
          <w:p w14:paraId="69FB8A2E" w14:textId="77777777" w:rsidR="00BC5219" w:rsidRPr="009612C6" w:rsidRDefault="00BC5219" w:rsidP="00E83802">
            <w:pPr>
              <w:rPr>
                <w:rFonts w:ascii="Meta Pro" w:eastAsia="Times New Roman" w:hAnsi="Meta Pro"/>
                <w:szCs w:val="18"/>
                <w:lang w:eastAsia="en-AU"/>
              </w:rPr>
            </w:pPr>
            <w:r w:rsidRPr="009612C6">
              <w:rPr>
                <w:rFonts w:ascii="Meta Pro" w:eastAsia="Times New Roman" w:hAnsi="Meta Pro"/>
                <w:szCs w:val="18"/>
                <w:lang w:eastAsia="en-AU"/>
              </w:rPr>
              <w:t>Print and Imaging as a Service contract</w:t>
            </w:r>
          </w:p>
        </w:tc>
        <w:tc>
          <w:tcPr>
            <w:tcW w:w="1156" w:type="dxa"/>
            <w:tcBorders>
              <w:top w:val="nil"/>
              <w:left w:val="nil"/>
              <w:bottom w:val="nil"/>
              <w:right w:val="nil"/>
            </w:tcBorders>
            <w:shd w:val="clear" w:color="000000" w:fill="C9E3B4"/>
            <w:noWrap/>
            <w:vAlign w:val="center"/>
            <w:hideMark/>
          </w:tcPr>
          <w:p w14:paraId="71F105DD" w14:textId="77777777" w:rsidR="00BC5219" w:rsidRPr="009612C6" w:rsidRDefault="00BC5219" w:rsidP="00E83802">
            <w:pPr>
              <w:jc w:val="right"/>
              <w:rPr>
                <w:rFonts w:ascii="Meta Pro" w:eastAsia="Times New Roman" w:hAnsi="Meta Pro"/>
                <w:szCs w:val="18"/>
                <w:lang w:eastAsia="en-AU"/>
              </w:rPr>
            </w:pPr>
            <w:r w:rsidRPr="009612C6">
              <w:rPr>
                <w:rFonts w:ascii="Meta Pro" w:eastAsia="Times New Roman" w:hAnsi="Meta Pro"/>
                <w:szCs w:val="18"/>
                <w:lang w:eastAsia="en-AU"/>
              </w:rPr>
              <w:t xml:space="preserve">964 </w:t>
            </w:r>
          </w:p>
        </w:tc>
        <w:tc>
          <w:tcPr>
            <w:tcW w:w="216" w:type="dxa"/>
            <w:tcBorders>
              <w:top w:val="nil"/>
              <w:left w:val="nil"/>
              <w:bottom w:val="nil"/>
              <w:right w:val="nil"/>
            </w:tcBorders>
            <w:shd w:val="clear" w:color="auto" w:fill="auto"/>
            <w:noWrap/>
            <w:vAlign w:val="center"/>
            <w:hideMark/>
          </w:tcPr>
          <w:p w14:paraId="467AD27D" w14:textId="77777777" w:rsidR="00BC5219" w:rsidRPr="009612C6"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70E9F221" w14:textId="77777777" w:rsidR="00BC5219" w:rsidRPr="009612C6" w:rsidRDefault="00BC5219" w:rsidP="00E83802">
            <w:pPr>
              <w:jc w:val="right"/>
              <w:rPr>
                <w:rFonts w:ascii="Meta Pro" w:eastAsia="Times New Roman" w:hAnsi="Meta Pro"/>
                <w:szCs w:val="18"/>
                <w:lang w:eastAsia="en-AU"/>
              </w:rPr>
            </w:pPr>
            <w:r w:rsidRPr="009612C6">
              <w:rPr>
                <w:rFonts w:ascii="Meta Pro" w:eastAsia="Times New Roman" w:hAnsi="Meta Pro"/>
                <w:szCs w:val="18"/>
                <w:lang w:eastAsia="en-AU"/>
              </w:rPr>
              <w:t xml:space="preserve">- </w:t>
            </w:r>
          </w:p>
        </w:tc>
      </w:tr>
      <w:tr w:rsidR="00BC5219" w:rsidRPr="009612C6" w14:paraId="69FCC228" w14:textId="77777777" w:rsidTr="00E83802">
        <w:trPr>
          <w:trHeight w:val="240"/>
        </w:trPr>
        <w:tc>
          <w:tcPr>
            <w:tcW w:w="7136" w:type="dxa"/>
            <w:tcBorders>
              <w:top w:val="nil"/>
              <w:left w:val="nil"/>
              <w:bottom w:val="nil"/>
              <w:right w:val="nil"/>
            </w:tcBorders>
            <w:shd w:val="clear" w:color="auto" w:fill="auto"/>
            <w:noWrap/>
            <w:vAlign w:val="center"/>
            <w:hideMark/>
          </w:tcPr>
          <w:p w14:paraId="055752BA" w14:textId="77777777" w:rsidR="00BC5219" w:rsidRPr="009612C6" w:rsidRDefault="00BC5219" w:rsidP="00E83802">
            <w:pPr>
              <w:rPr>
                <w:rFonts w:ascii="Meta Pro" w:eastAsia="Times New Roman" w:hAnsi="Meta Pro"/>
                <w:szCs w:val="18"/>
                <w:lang w:eastAsia="en-AU"/>
              </w:rPr>
            </w:pPr>
            <w:r w:rsidRPr="009612C6">
              <w:rPr>
                <w:rFonts w:ascii="Meta Pro" w:eastAsia="Times New Roman" w:hAnsi="Meta Pro"/>
                <w:szCs w:val="18"/>
                <w:lang w:eastAsia="en-AU"/>
              </w:rPr>
              <w:t>Property resumptions</w:t>
            </w:r>
          </w:p>
        </w:tc>
        <w:tc>
          <w:tcPr>
            <w:tcW w:w="1156" w:type="dxa"/>
            <w:tcBorders>
              <w:top w:val="nil"/>
              <w:left w:val="nil"/>
              <w:bottom w:val="nil"/>
              <w:right w:val="nil"/>
            </w:tcBorders>
            <w:shd w:val="clear" w:color="000000" w:fill="C9E3B4"/>
            <w:noWrap/>
            <w:vAlign w:val="center"/>
            <w:hideMark/>
          </w:tcPr>
          <w:p w14:paraId="020D4AB1" w14:textId="77777777" w:rsidR="00BC5219" w:rsidRPr="009612C6" w:rsidRDefault="00BC5219" w:rsidP="00E83802">
            <w:pPr>
              <w:jc w:val="right"/>
              <w:rPr>
                <w:rFonts w:ascii="Meta Pro" w:eastAsia="Times New Roman" w:hAnsi="Meta Pro"/>
                <w:szCs w:val="18"/>
                <w:lang w:eastAsia="en-AU"/>
              </w:rPr>
            </w:pPr>
            <w:r w:rsidRPr="009612C6">
              <w:rPr>
                <w:rFonts w:ascii="Meta Pro" w:eastAsia="Times New Roman" w:hAnsi="Meta Pro"/>
                <w:szCs w:val="18"/>
                <w:lang w:eastAsia="en-AU"/>
              </w:rPr>
              <w:t xml:space="preserve">264,877 </w:t>
            </w:r>
          </w:p>
        </w:tc>
        <w:tc>
          <w:tcPr>
            <w:tcW w:w="216" w:type="dxa"/>
            <w:tcBorders>
              <w:top w:val="nil"/>
              <w:left w:val="nil"/>
              <w:bottom w:val="nil"/>
              <w:right w:val="nil"/>
            </w:tcBorders>
            <w:shd w:val="clear" w:color="auto" w:fill="auto"/>
            <w:noWrap/>
            <w:vAlign w:val="center"/>
            <w:hideMark/>
          </w:tcPr>
          <w:p w14:paraId="52F726B7" w14:textId="77777777" w:rsidR="00BC5219" w:rsidRPr="009612C6"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6E952015" w14:textId="77777777" w:rsidR="00BC5219" w:rsidRPr="009612C6" w:rsidRDefault="00BC5219" w:rsidP="00E83802">
            <w:pPr>
              <w:jc w:val="right"/>
              <w:rPr>
                <w:rFonts w:ascii="Meta Pro" w:eastAsia="Times New Roman" w:hAnsi="Meta Pro"/>
                <w:szCs w:val="18"/>
                <w:lang w:eastAsia="en-AU"/>
              </w:rPr>
            </w:pPr>
            <w:r w:rsidRPr="009612C6">
              <w:rPr>
                <w:rFonts w:ascii="Meta Pro" w:eastAsia="Times New Roman" w:hAnsi="Meta Pro"/>
                <w:szCs w:val="18"/>
                <w:lang w:eastAsia="en-AU"/>
              </w:rPr>
              <w:t xml:space="preserve">182,203 </w:t>
            </w:r>
          </w:p>
        </w:tc>
      </w:tr>
      <w:tr w:rsidR="00BC5219" w:rsidRPr="009612C6" w14:paraId="5B1C6784" w14:textId="77777777" w:rsidTr="00E83802">
        <w:trPr>
          <w:trHeight w:val="240"/>
        </w:trPr>
        <w:tc>
          <w:tcPr>
            <w:tcW w:w="7136" w:type="dxa"/>
            <w:tcBorders>
              <w:top w:val="nil"/>
              <w:left w:val="nil"/>
              <w:bottom w:val="nil"/>
              <w:right w:val="nil"/>
            </w:tcBorders>
            <w:shd w:val="clear" w:color="auto" w:fill="auto"/>
            <w:noWrap/>
            <w:vAlign w:val="center"/>
            <w:hideMark/>
          </w:tcPr>
          <w:p w14:paraId="20B1748A" w14:textId="77777777" w:rsidR="00BC5219" w:rsidRPr="009612C6" w:rsidRDefault="00BC5219" w:rsidP="00E83802">
            <w:pPr>
              <w:rPr>
                <w:rFonts w:ascii="Meta Pro" w:eastAsia="Times New Roman" w:hAnsi="Meta Pro"/>
                <w:szCs w:val="18"/>
                <w:lang w:eastAsia="en-AU"/>
              </w:rPr>
            </w:pPr>
            <w:r w:rsidRPr="009612C6">
              <w:rPr>
                <w:rFonts w:ascii="Meta Pro" w:eastAsia="Times New Roman" w:hAnsi="Meta Pro"/>
                <w:szCs w:val="18"/>
                <w:lang w:eastAsia="en-AU"/>
              </w:rPr>
              <w:t>New Generation Rollingstock rectification works</w:t>
            </w:r>
          </w:p>
        </w:tc>
        <w:tc>
          <w:tcPr>
            <w:tcW w:w="1156" w:type="dxa"/>
            <w:tcBorders>
              <w:top w:val="nil"/>
              <w:left w:val="nil"/>
              <w:bottom w:val="nil"/>
              <w:right w:val="nil"/>
            </w:tcBorders>
            <w:shd w:val="clear" w:color="000000" w:fill="C9E3B4"/>
            <w:noWrap/>
            <w:vAlign w:val="center"/>
            <w:hideMark/>
          </w:tcPr>
          <w:p w14:paraId="52D09D36" w14:textId="77777777" w:rsidR="00BC5219" w:rsidRPr="009612C6" w:rsidRDefault="00BC5219" w:rsidP="00E83802">
            <w:pPr>
              <w:jc w:val="right"/>
              <w:rPr>
                <w:rFonts w:ascii="Meta Pro" w:eastAsia="Times New Roman" w:hAnsi="Meta Pro"/>
                <w:szCs w:val="18"/>
                <w:lang w:eastAsia="en-AU"/>
              </w:rPr>
            </w:pPr>
            <w:r w:rsidRPr="009612C6">
              <w:rPr>
                <w:rFonts w:ascii="Meta Pro" w:eastAsia="Times New Roman" w:hAnsi="Meta Pro"/>
                <w:szCs w:val="18"/>
                <w:lang w:eastAsia="en-AU"/>
              </w:rPr>
              <w:t xml:space="preserve">52,096 </w:t>
            </w:r>
          </w:p>
        </w:tc>
        <w:tc>
          <w:tcPr>
            <w:tcW w:w="216" w:type="dxa"/>
            <w:tcBorders>
              <w:top w:val="nil"/>
              <w:left w:val="nil"/>
              <w:bottom w:val="nil"/>
              <w:right w:val="nil"/>
            </w:tcBorders>
            <w:shd w:val="clear" w:color="auto" w:fill="auto"/>
            <w:noWrap/>
            <w:vAlign w:val="center"/>
            <w:hideMark/>
          </w:tcPr>
          <w:p w14:paraId="282BFA9C" w14:textId="77777777" w:rsidR="00BC5219" w:rsidRPr="009612C6"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3A39EBEB" w14:textId="77777777" w:rsidR="00BC5219" w:rsidRPr="009612C6" w:rsidRDefault="00BC5219" w:rsidP="00E83802">
            <w:pPr>
              <w:jc w:val="right"/>
              <w:rPr>
                <w:rFonts w:ascii="Meta Pro" w:eastAsia="Times New Roman" w:hAnsi="Meta Pro"/>
                <w:szCs w:val="18"/>
                <w:lang w:eastAsia="en-AU"/>
              </w:rPr>
            </w:pPr>
            <w:r w:rsidRPr="009612C6">
              <w:rPr>
                <w:rFonts w:ascii="Meta Pro" w:eastAsia="Times New Roman" w:hAnsi="Meta Pro"/>
                <w:szCs w:val="18"/>
                <w:lang w:eastAsia="en-AU"/>
              </w:rPr>
              <w:t xml:space="preserve">46,515 </w:t>
            </w:r>
          </w:p>
        </w:tc>
      </w:tr>
      <w:tr w:rsidR="00BC5219" w:rsidRPr="009612C6" w14:paraId="33BB97BE" w14:textId="77777777" w:rsidTr="00E83802">
        <w:trPr>
          <w:trHeight w:val="240"/>
        </w:trPr>
        <w:tc>
          <w:tcPr>
            <w:tcW w:w="7136" w:type="dxa"/>
            <w:tcBorders>
              <w:top w:val="single" w:sz="4" w:space="0" w:color="auto"/>
              <w:left w:val="nil"/>
              <w:bottom w:val="double" w:sz="6" w:space="0" w:color="auto"/>
              <w:right w:val="nil"/>
            </w:tcBorders>
            <w:shd w:val="clear" w:color="auto" w:fill="auto"/>
            <w:noWrap/>
            <w:vAlign w:val="center"/>
            <w:hideMark/>
          </w:tcPr>
          <w:p w14:paraId="6BBC284A" w14:textId="77777777" w:rsidR="00BC5219" w:rsidRPr="009612C6" w:rsidRDefault="00BC5219" w:rsidP="00E83802">
            <w:pPr>
              <w:rPr>
                <w:rFonts w:ascii="Meta Pro" w:eastAsia="Times New Roman" w:hAnsi="Meta Pro"/>
                <w:b/>
                <w:bCs/>
                <w:szCs w:val="18"/>
                <w:lang w:eastAsia="en-AU"/>
              </w:rPr>
            </w:pPr>
            <w:r w:rsidRPr="009612C6">
              <w:rPr>
                <w:rFonts w:ascii="Meta Pro" w:eastAsia="Times New Roman" w:hAnsi="Meta Pro"/>
                <w:b/>
                <w:bCs/>
                <w:szCs w:val="18"/>
                <w:lang w:eastAsia="en-AU"/>
              </w:rPr>
              <w:t>Total</w:t>
            </w:r>
          </w:p>
        </w:tc>
        <w:tc>
          <w:tcPr>
            <w:tcW w:w="1156" w:type="dxa"/>
            <w:tcBorders>
              <w:top w:val="single" w:sz="4" w:space="0" w:color="auto"/>
              <w:left w:val="nil"/>
              <w:bottom w:val="double" w:sz="6" w:space="0" w:color="auto"/>
              <w:right w:val="nil"/>
            </w:tcBorders>
            <w:shd w:val="clear" w:color="000000" w:fill="C9E3B4"/>
            <w:noWrap/>
            <w:vAlign w:val="center"/>
            <w:hideMark/>
          </w:tcPr>
          <w:p w14:paraId="2C6289F5" w14:textId="77777777" w:rsidR="00BC5219" w:rsidRPr="009612C6" w:rsidRDefault="00BC5219" w:rsidP="00E83802">
            <w:pPr>
              <w:jc w:val="right"/>
              <w:rPr>
                <w:rFonts w:ascii="Meta Pro" w:eastAsia="Times New Roman" w:hAnsi="Meta Pro"/>
                <w:b/>
                <w:bCs/>
                <w:szCs w:val="18"/>
                <w:lang w:eastAsia="en-AU"/>
              </w:rPr>
            </w:pPr>
            <w:r w:rsidRPr="009612C6">
              <w:rPr>
                <w:rFonts w:ascii="Meta Pro" w:eastAsia="Times New Roman" w:hAnsi="Meta Pro"/>
                <w:b/>
                <w:bCs/>
                <w:szCs w:val="18"/>
                <w:lang w:eastAsia="en-AU"/>
              </w:rPr>
              <w:t xml:space="preserve">317,937 </w:t>
            </w:r>
          </w:p>
        </w:tc>
        <w:tc>
          <w:tcPr>
            <w:tcW w:w="216" w:type="dxa"/>
            <w:tcBorders>
              <w:top w:val="single" w:sz="4" w:space="0" w:color="auto"/>
              <w:left w:val="nil"/>
              <w:bottom w:val="double" w:sz="6" w:space="0" w:color="auto"/>
              <w:right w:val="nil"/>
            </w:tcBorders>
            <w:shd w:val="clear" w:color="auto" w:fill="auto"/>
            <w:noWrap/>
            <w:vAlign w:val="center"/>
            <w:hideMark/>
          </w:tcPr>
          <w:p w14:paraId="5B534535" w14:textId="77777777" w:rsidR="00BC5219" w:rsidRPr="009612C6" w:rsidRDefault="00BC5219" w:rsidP="00E83802">
            <w:pPr>
              <w:jc w:val="right"/>
              <w:rPr>
                <w:rFonts w:ascii="Meta Pro" w:eastAsia="Times New Roman" w:hAnsi="Meta Pro"/>
                <w:b/>
                <w:bCs/>
                <w:szCs w:val="18"/>
                <w:lang w:eastAsia="en-AU"/>
              </w:rPr>
            </w:pPr>
            <w:r w:rsidRPr="009612C6">
              <w:rPr>
                <w:rFonts w:ascii="Meta Pro" w:eastAsia="Times New Roman" w:hAnsi="Meta Pro"/>
                <w:b/>
                <w:bCs/>
                <w:szCs w:val="18"/>
                <w:lang w:eastAsia="en-AU"/>
              </w:rPr>
              <w:t> </w:t>
            </w:r>
          </w:p>
        </w:tc>
        <w:tc>
          <w:tcPr>
            <w:tcW w:w="1156" w:type="dxa"/>
            <w:tcBorders>
              <w:top w:val="single" w:sz="4" w:space="0" w:color="auto"/>
              <w:left w:val="nil"/>
              <w:bottom w:val="double" w:sz="6" w:space="0" w:color="auto"/>
              <w:right w:val="nil"/>
            </w:tcBorders>
            <w:shd w:val="clear" w:color="auto" w:fill="auto"/>
            <w:noWrap/>
            <w:vAlign w:val="center"/>
            <w:hideMark/>
          </w:tcPr>
          <w:p w14:paraId="2492EDDA" w14:textId="77777777" w:rsidR="00BC5219" w:rsidRPr="009612C6" w:rsidRDefault="00BC5219" w:rsidP="00E83802">
            <w:pPr>
              <w:jc w:val="right"/>
              <w:rPr>
                <w:rFonts w:ascii="Meta Pro" w:eastAsia="Times New Roman" w:hAnsi="Meta Pro"/>
                <w:b/>
                <w:bCs/>
                <w:szCs w:val="18"/>
                <w:lang w:eastAsia="en-AU"/>
              </w:rPr>
            </w:pPr>
            <w:r w:rsidRPr="009612C6">
              <w:rPr>
                <w:rFonts w:ascii="Meta Pro" w:eastAsia="Times New Roman" w:hAnsi="Meta Pro"/>
                <w:b/>
                <w:bCs/>
                <w:szCs w:val="18"/>
                <w:lang w:eastAsia="en-AU"/>
              </w:rPr>
              <w:t xml:space="preserve">228,718 </w:t>
            </w:r>
          </w:p>
        </w:tc>
      </w:tr>
      <w:tr w:rsidR="00BC5219" w:rsidRPr="009612C6" w14:paraId="7BABEB31" w14:textId="77777777" w:rsidTr="00E83802">
        <w:trPr>
          <w:trHeight w:val="90"/>
        </w:trPr>
        <w:tc>
          <w:tcPr>
            <w:tcW w:w="7136" w:type="dxa"/>
            <w:tcBorders>
              <w:top w:val="nil"/>
              <w:left w:val="nil"/>
              <w:bottom w:val="nil"/>
              <w:right w:val="nil"/>
            </w:tcBorders>
            <w:shd w:val="clear" w:color="auto" w:fill="auto"/>
            <w:noWrap/>
            <w:vAlign w:val="center"/>
            <w:hideMark/>
          </w:tcPr>
          <w:p w14:paraId="3EB91BCE" w14:textId="77777777" w:rsidR="00BC5219" w:rsidRPr="009612C6" w:rsidRDefault="00BC5219" w:rsidP="00E83802">
            <w:pPr>
              <w:jc w:val="right"/>
              <w:rPr>
                <w:rFonts w:ascii="Meta Pro" w:eastAsia="Times New Roman" w:hAnsi="Meta Pro"/>
                <w:b/>
                <w:bCs/>
                <w:szCs w:val="18"/>
                <w:lang w:eastAsia="en-AU"/>
              </w:rPr>
            </w:pPr>
          </w:p>
        </w:tc>
        <w:tc>
          <w:tcPr>
            <w:tcW w:w="1156" w:type="dxa"/>
            <w:tcBorders>
              <w:top w:val="nil"/>
              <w:left w:val="nil"/>
              <w:bottom w:val="nil"/>
              <w:right w:val="nil"/>
            </w:tcBorders>
            <w:shd w:val="clear" w:color="auto" w:fill="auto"/>
            <w:noWrap/>
            <w:vAlign w:val="center"/>
            <w:hideMark/>
          </w:tcPr>
          <w:p w14:paraId="5E6C881F" w14:textId="77777777" w:rsidR="00BC5219" w:rsidRPr="009612C6" w:rsidRDefault="00BC5219" w:rsidP="00E83802">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04AF08BF" w14:textId="77777777" w:rsidR="00BC5219" w:rsidRPr="009612C6" w:rsidRDefault="00BC5219" w:rsidP="00E83802">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49EF480D" w14:textId="77777777" w:rsidR="00BC5219" w:rsidRPr="009612C6" w:rsidRDefault="00BC5219" w:rsidP="00E83802">
            <w:pPr>
              <w:jc w:val="right"/>
              <w:rPr>
                <w:rFonts w:ascii="Meta Pro" w:eastAsia="Times New Roman" w:hAnsi="Meta Pro" w:cs="Times New Roman"/>
                <w:sz w:val="20"/>
                <w:szCs w:val="20"/>
                <w:lang w:eastAsia="en-AU"/>
              </w:rPr>
            </w:pPr>
          </w:p>
        </w:tc>
      </w:tr>
      <w:tr w:rsidR="00BC5219" w:rsidRPr="009612C6" w14:paraId="1664C338" w14:textId="77777777" w:rsidTr="00E83802">
        <w:trPr>
          <w:trHeight w:val="240"/>
        </w:trPr>
        <w:tc>
          <w:tcPr>
            <w:tcW w:w="7136" w:type="dxa"/>
            <w:tcBorders>
              <w:top w:val="nil"/>
              <w:left w:val="nil"/>
              <w:bottom w:val="nil"/>
              <w:right w:val="nil"/>
            </w:tcBorders>
            <w:shd w:val="clear" w:color="auto" w:fill="auto"/>
            <w:noWrap/>
            <w:vAlign w:val="center"/>
            <w:hideMark/>
          </w:tcPr>
          <w:p w14:paraId="0D6ABA27" w14:textId="77777777" w:rsidR="00BC5219" w:rsidRPr="009612C6" w:rsidRDefault="00BC5219" w:rsidP="00E83802">
            <w:pPr>
              <w:rPr>
                <w:rFonts w:ascii="Meta Pro" w:eastAsia="Times New Roman" w:hAnsi="Meta Pro"/>
                <w:b/>
                <w:bCs/>
                <w:szCs w:val="18"/>
                <w:lang w:eastAsia="en-AU"/>
              </w:rPr>
            </w:pPr>
            <w:r w:rsidRPr="009612C6">
              <w:rPr>
                <w:rFonts w:ascii="Meta Pro" w:eastAsia="Times New Roman" w:hAnsi="Meta Pro"/>
                <w:b/>
                <w:bCs/>
                <w:szCs w:val="18"/>
                <w:lang w:eastAsia="en-AU"/>
              </w:rPr>
              <w:t>Non-current</w:t>
            </w:r>
          </w:p>
        </w:tc>
        <w:tc>
          <w:tcPr>
            <w:tcW w:w="1156" w:type="dxa"/>
            <w:tcBorders>
              <w:top w:val="nil"/>
              <w:left w:val="nil"/>
              <w:bottom w:val="nil"/>
              <w:right w:val="nil"/>
            </w:tcBorders>
            <w:shd w:val="clear" w:color="auto" w:fill="auto"/>
            <w:noWrap/>
            <w:vAlign w:val="center"/>
            <w:hideMark/>
          </w:tcPr>
          <w:p w14:paraId="52742DAD" w14:textId="77777777" w:rsidR="00BC5219" w:rsidRPr="009612C6" w:rsidRDefault="00BC5219" w:rsidP="00E83802">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4E0938F0" w14:textId="77777777" w:rsidR="00BC5219" w:rsidRPr="009612C6"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52DA2907" w14:textId="77777777" w:rsidR="00BC5219" w:rsidRPr="009612C6" w:rsidRDefault="00BC5219" w:rsidP="00E83802">
            <w:pPr>
              <w:jc w:val="right"/>
              <w:rPr>
                <w:rFonts w:ascii="Meta Pro" w:eastAsia="Times New Roman" w:hAnsi="Meta Pro" w:cs="Times New Roman"/>
                <w:sz w:val="20"/>
                <w:szCs w:val="20"/>
                <w:lang w:eastAsia="en-AU"/>
              </w:rPr>
            </w:pPr>
          </w:p>
        </w:tc>
      </w:tr>
      <w:tr w:rsidR="00BC5219" w:rsidRPr="009612C6" w14:paraId="6919B9ED" w14:textId="77777777" w:rsidTr="00E83802">
        <w:trPr>
          <w:trHeight w:val="240"/>
        </w:trPr>
        <w:tc>
          <w:tcPr>
            <w:tcW w:w="7136" w:type="dxa"/>
            <w:tcBorders>
              <w:top w:val="nil"/>
              <w:left w:val="nil"/>
              <w:bottom w:val="nil"/>
              <w:right w:val="nil"/>
            </w:tcBorders>
            <w:shd w:val="clear" w:color="auto" w:fill="auto"/>
            <w:noWrap/>
            <w:vAlign w:val="center"/>
            <w:hideMark/>
          </w:tcPr>
          <w:p w14:paraId="32A1EE5F" w14:textId="77777777" w:rsidR="00BC5219" w:rsidRPr="009612C6" w:rsidRDefault="00BC5219" w:rsidP="00E83802">
            <w:pPr>
              <w:rPr>
                <w:rFonts w:ascii="Meta Pro" w:eastAsia="Times New Roman" w:hAnsi="Meta Pro"/>
                <w:szCs w:val="18"/>
                <w:lang w:eastAsia="en-AU"/>
              </w:rPr>
            </w:pPr>
            <w:r w:rsidRPr="009612C6">
              <w:rPr>
                <w:rFonts w:ascii="Meta Pro" w:eastAsia="Times New Roman" w:hAnsi="Meta Pro"/>
                <w:szCs w:val="18"/>
                <w:lang w:eastAsia="en-AU"/>
              </w:rPr>
              <w:t>Property resumptions</w:t>
            </w:r>
          </w:p>
        </w:tc>
        <w:tc>
          <w:tcPr>
            <w:tcW w:w="1156" w:type="dxa"/>
            <w:tcBorders>
              <w:top w:val="nil"/>
              <w:left w:val="nil"/>
              <w:bottom w:val="nil"/>
              <w:right w:val="nil"/>
            </w:tcBorders>
            <w:shd w:val="clear" w:color="000000" w:fill="C9E3B4"/>
            <w:noWrap/>
            <w:vAlign w:val="center"/>
            <w:hideMark/>
          </w:tcPr>
          <w:p w14:paraId="094280BE" w14:textId="77777777" w:rsidR="00BC5219" w:rsidRPr="009612C6" w:rsidRDefault="00BC5219" w:rsidP="00E83802">
            <w:pPr>
              <w:jc w:val="right"/>
              <w:rPr>
                <w:rFonts w:ascii="Meta Pro" w:eastAsia="Times New Roman" w:hAnsi="Meta Pro"/>
                <w:szCs w:val="18"/>
                <w:lang w:eastAsia="en-AU"/>
              </w:rPr>
            </w:pPr>
            <w:r w:rsidRPr="009612C6">
              <w:rPr>
                <w:rFonts w:ascii="Meta Pro" w:eastAsia="Times New Roman" w:hAnsi="Meta Pro"/>
                <w:szCs w:val="18"/>
                <w:lang w:eastAsia="en-AU"/>
              </w:rPr>
              <w:t xml:space="preserve">190,548 </w:t>
            </w:r>
          </w:p>
        </w:tc>
        <w:tc>
          <w:tcPr>
            <w:tcW w:w="216" w:type="dxa"/>
            <w:tcBorders>
              <w:top w:val="nil"/>
              <w:left w:val="nil"/>
              <w:bottom w:val="nil"/>
              <w:right w:val="nil"/>
            </w:tcBorders>
            <w:shd w:val="clear" w:color="auto" w:fill="auto"/>
            <w:noWrap/>
            <w:vAlign w:val="center"/>
            <w:hideMark/>
          </w:tcPr>
          <w:p w14:paraId="57519E69" w14:textId="77777777" w:rsidR="00BC5219" w:rsidRPr="009612C6"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7137147C" w14:textId="77777777" w:rsidR="00BC5219" w:rsidRPr="009612C6" w:rsidRDefault="00BC5219" w:rsidP="00E83802">
            <w:pPr>
              <w:jc w:val="right"/>
              <w:rPr>
                <w:rFonts w:ascii="Meta Pro" w:eastAsia="Times New Roman" w:hAnsi="Meta Pro"/>
                <w:szCs w:val="18"/>
                <w:lang w:eastAsia="en-AU"/>
              </w:rPr>
            </w:pPr>
            <w:r w:rsidRPr="009612C6">
              <w:rPr>
                <w:rFonts w:ascii="Meta Pro" w:eastAsia="Times New Roman" w:hAnsi="Meta Pro"/>
                <w:szCs w:val="18"/>
                <w:lang w:eastAsia="en-AU"/>
              </w:rPr>
              <w:t xml:space="preserve">122,271 </w:t>
            </w:r>
          </w:p>
        </w:tc>
      </w:tr>
      <w:tr w:rsidR="00BC5219" w:rsidRPr="009612C6" w14:paraId="5EFCADBB" w14:textId="77777777" w:rsidTr="00E83802">
        <w:trPr>
          <w:trHeight w:val="240"/>
        </w:trPr>
        <w:tc>
          <w:tcPr>
            <w:tcW w:w="7136" w:type="dxa"/>
            <w:tcBorders>
              <w:top w:val="nil"/>
              <w:left w:val="nil"/>
              <w:bottom w:val="nil"/>
              <w:right w:val="nil"/>
            </w:tcBorders>
            <w:shd w:val="clear" w:color="auto" w:fill="auto"/>
            <w:noWrap/>
            <w:vAlign w:val="center"/>
            <w:hideMark/>
          </w:tcPr>
          <w:p w14:paraId="1AFEB40F" w14:textId="77777777" w:rsidR="00BC5219" w:rsidRPr="009612C6" w:rsidRDefault="00BC5219" w:rsidP="00E83802">
            <w:pPr>
              <w:rPr>
                <w:rFonts w:ascii="Meta Pro" w:eastAsia="Times New Roman" w:hAnsi="Meta Pro"/>
                <w:szCs w:val="18"/>
                <w:lang w:eastAsia="en-AU"/>
              </w:rPr>
            </w:pPr>
            <w:r w:rsidRPr="009612C6">
              <w:rPr>
                <w:rFonts w:ascii="Meta Pro" w:eastAsia="Times New Roman" w:hAnsi="Meta Pro"/>
                <w:szCs w:val="18"/>
                <w:lang w:eastAsia="en-AU"/>
              </w:rPr>
              <w:t>New Generation Rollingstock rectification works</w:t>
            </w:r>
          </w:p>
        </w:tc>
        <w:tc>
          <w:tcPr>
            <w:tcW w:w="1156" w:type="dxa"/>
            <w:tcBorders>
              <w:top w:val="nil"/>
              <w:left w:val="nil"/>
              <w:bottom w:val="nil"/>
              <w:right w:val="nil"/>
            </w:tcBorders>
            <w:shd w:val="clear" w:color="000000" w:fill="C9E3B4"/>
            <w:noWrap/>
            <w:vAlign w:val="center"/>
            <w:hideMark/>
          </w:tcPr>
          <w:p w14:paraId="384E59B3" w14:textId="77777777" w:rsidR="00BC5219" w:rsidRPr="009612C6" w:rsidRDefault="00BC5219" w:rsidP="00E83802">
            <w:pPr>
              <w:jc w:val="right"/>
              <w:rPr>
                <w:rFonts w:ascii="Meta Pro" w:eastAsia="Times New Roman" w:hAnsi="Meta Pro"/>
                <w:szCs w:val="18"/>
                <w:lang w:eastAsia="en-AU"/>
              </w:rPr>
            </w:pPr>
            <w:r w:rsidRPr="009612C6">
              <w:rPr>
                <w:rFonts w:ascii="Meta Pro" w:eastAsia="Times New Roman" w:hAnsi="Meta Pro"/>
                <w:szCs w:val="18"/>
                <w:lang w:eastAsia="en-AU"/>
              </w:rPr>
              <w:t xml:space="preserve">5,582 </w:t>
            </w:r>
          </w:p>
        </w:tc>
        <w:tc>
          <w:tcPr>
            <w:tcW w:w="216" w:type="dxa"/>
            <w:tcBorders>
              <w:top w:val="nil"/>
              <w:left w:val="nil"/>
              <w:bottom w:val="nil"/>
              <w:right w:val="nil"/>
            </w:tcBorders>
            <w:shd w:val="clear" w:color="auto" w:fill="auto"/>
            <w:noWrap/>
            <w:vAlign w:val="center"/>
            <w:hideMark/>
          </w:tcPr>
          <w:p w14:paraId="30D3EEFC" w14:textId="77777777" w:rsidR="00BC5219" w:rsidRPr="009612C6"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4D8413E9" w14:textId="77777777" w:rsidR="00BC5219" w:rsidRPr="009612C6" w:rsidRDefault="00BC5219" w:rsidP="00E83802">
            <w:pPr>
              <w:jc w:val="right"/>
              <w:rPr>
                <w:rFonts w:ascii="Meta Pro" w:eastAsia="Times New Roman" w:hAnsi="Meta Pro"/>
                <w:szCs w:val="18"/>
                <w:lang w:eastAsia="en-AU"/>
              </w:rPr>
            </w:pPr>
            <w:r w:rsidRPr="009612C6">
              <w:rPr>
                <w:rFonts w:ascii="Meta Pro" w:eastAsia="Times New Roman" w:hAnsi="Meta Pro"/>
                <w:szCs w:val="18"/>
                <w:lang w:eastAsia="en-AU"/>
              </w:rPr>
              <w:t xml:space="preserve">59,539 </w:t>
            </w:r>
          </w:p>
        </w:tc>
      </w:tr>
      <w:tr w:rsidR="00BC5219" w:rsidRPr="009612C6" w14:paraId="61799DFE" w14:textId="77777777" w:rsidTr="00E83802">
        <w:trPr>
          <w:trHeight w:val="240"/>
        </w:trPr>
        <w:tc>
          <w:tcPr>
            <w:tcW w:w="7136" w:type="dxa"/>
            <w:tcBorders>
              <w:top w:val="single" w:sz="4" w:space="0" w:color="auto"/>
              <w:left w:val="nil"/>
              <w:bottom w:val="double" w:sz="6" w:space="0" w:color="auto"/>
              <w:right w:val="nil"/>
            </w:tcBorders>
            <w:shd w:val="clear" w:color="auto" w:fill="auto"/>
            <w:noWrap/>
            <w:vAlign w:val="center"/>
            <w:hideMark/>
          </w:tcPr>
          <w:p w14:paraId="1EA1C1D7" w14:textId="77777777" w:rsidR="00BC5219" w:rsidRPr="009612C6" w:rsidRDefault="00BC5219" w:rsidP="00E83802">
            <w:pPr>
              <w:rPr>
                <w:rFonts w:ascii="Meta Pro" w:eastAsia="Times New Roman" w:hAnsi="Meta Pro"/>
                <w:b/>
                <w:bCs/>
                <w:szCs w:val="18"/>
                <w:lang w:eastAsia="en-AU"/>
              </w:rPr>
            </w:pPr>
            <w:r w:rsidRPr="009612C6">
              <w:rPr>
                <w:rFonts w:ascii="Meta Pro" w:eastAsia="Times New Roman" w:hAnsi="Meta Pro"/>
                <w:b/>
                <w:bCs/>
                <w:szCs w:val="18"/>
                <w:lang w:eastAsia="en-AU"/>
              </w:rPr>
              <w:t>Total</w:t>
            </w:r>
          </w:p>
        </w:tc>
        <w:tc>
          <w:tcPr>
            <w:tcW w:w="1156" w:type="dxa"/>
            <w:tcBorders>
              <w:top w:val="single" w:sz="4" w:space="0" w:color="auto"/>
              <w:left w:val="nil"/>
              <w:bottom w:val="double" w:sz="6" w:space="0" w:color="auto"/>
              <w:right w:val="nil"/>
            </w:tcBorders>
            <w:shd w:val="clear" w:color="000000" w:fill="C9E3B4"/>
            <w:noWrap/>
            <w:vAlign w:val="center"/>
            <w:hideMark/>
          </w:tcPr>
          <w:p w14:paraId="3E9625F4" w14:textId="77777777" w:rsidR="00BC5219" w:rsidRPr="009612C6" w:rsidRDefault="00BC5219" w:rsidP="00E83802">
            <w:pPr>
              <w:jc w:val="right"/>
              <w:rPr>
                <w:rFonts w:ascii="Meta Pro" w:eastAsia="Times New Roman" w:hAnsi="Meta Pro"/>
                <w:b/>
                <w:bCs/>
                <w:szCs w:val="18"/>
                <w:lang w:eastAsia="en-AU"/>
              </w:rPr>
            </w:pPr>
            <w:r w:rsidRPr="009612C6">
              <w:rPr>
                <w:rFonts w:ascii="Meta Pro" w:eastAsia="Times New Roman" w:hAnsi="Meta Pro"/>
                <w:b/>
                <w:bCs/>
                <w:szCs w:val="18"/>
                <w:lang w:eastAsia="en-AU"/>
              </w:rPr>
              <w:t xml:space="preserve">196,130 </w:t>
            </w:r>
          </w:p>
        </w:tc>
        <w:tc>
          <w:tcPr>
            <w:tcW w:w="216" w:type="dxa"/>
            <w:tcBorders>
              <w:top w:val="single" w:sz="4" w:space="0" w:color="auto"/>
              <w:left w:val="nil"/>
              <w:bottom w:val="double" w:sz="6" w:space="0" w:color="auto"/>
              <w:right w:val="nil"/>
            </w:tcBorders>
            <w:shd w:val="clear" w:color="auto" w:fill="auto"/>
            <w:noWrap/>
            <w:vAlign w:val="center"/>
            <w:hideMark/>
          </w:tcPr>
          <w:p w14:paraId="213ADB1B" w14:textId="77777777" w:rsidR="00BC5219" w:rsidRPr="009612C6" w:rsidRDefault="00BC5219" w:rsidP="00E83802">
            <w:pPr>
              <w:jc w:val="right"/>
              <w:rPr>
                <w:rFonts w:ascii="Meta Pro" w:eastAsia="Times New Roman" w:hAnsi="Meta Pro"/>
                <w:b/>
                <w:bCs/>
                <w:szCs w:val="18"/>
                <w:lang w:eastAsia="en-AU"/>
              </w:rPr>
            </w:pPr>
            <w:r w:rsidRPr="009612C6">
              <w:rPr>
                <w:rFonts w:ascii="Meta Pro" w:eastAsia="Times New Roman" w:hAnsi="Meta Pro"/>
                <w:b/>
                <w:bCs/>
                <w:szCs w:val="18"/>
                <w:lang w:eastAsia="en-AU"/>
              </w:rPr>
              <w:t> </w:t>
            </w:r>
          </w:p>
        </w:tc>
        <w:tc>
          <w:tcPr>
            <w:tcW w:w="1156" w:type="dxa"/>
            <w:tcBorders>
              <w:top w:val="single" w:sz="4" w:space="0" w:color="auto"/>
              <w:left w:val="nil"/>
              <w:bottom w:val="double" w:sz="6" w:space="0" w:color="auto"/>
              <w:right w:val="nil"/>
            </w:tcBorders>
            <w:shd w:val="clear" w:color="auto" w:fill="auto"/>
            <w:noWrap/>
            <w:vAlign w:val="center"/>
            <w:hideMark/>
          </w:tcPr>
          <w:p w14:paraId="69F47000" w14:textId="77777777" w:rsidR="00BC5219" w:rsidRPr="009612C6" w:rsidRDefault="00BC5219" w:rsidP="00E83802">
            <w:pPr>
              <w:jc w:val="right"/>
              <w:rPr>
                <w:rFonts w:ascii="Meta Pro" w:eastAsia="Times New Roman" w:hAnsi="Meta Pro"/>
                <w:b/>
                <w:bCs/>
                <w:szCs w:val="18"/>
                <w:lang w:eastAsia="en-AU"/>
              </w:rPr>
            </w:pPr>
            <w:r w:rsidRPr="009612C6">
              <w:rPr>
                <w:rFonts w:ascii="Meta Pro" w:eastAsia="Times New Roman" w:hAnsi="Meta Pro"/>
                <w:b/>
                <w:bCs/>
                <w:szCs w:val="18"/>
                <w:lang w:eastAsia="en-AU"/>
              </w:rPr>
              <w:t xml:space="preserve">181,810 </w:t>
            </w:r>
          </w:p>
        </w:tc>
      </w:tr>
    </w:tbl>
    <w:p w14:paraId="11AF0BFE" w14:textId="77777777" w:rsidR="00BC5219" w:rsidRPr="00751151" w:rsidRDefault="00BC5219" w:rsidP="00BC5219">
      <w:pPr>
        <w:rPr>
          <w:rFonts w:ascii="Meta Pro" w:hAnsi="Meta Pro" w:cstheme="minorBidi"/>
        </w:rPr>
      </w:pPr>
    </w:p>
    <w:tbl>
      <w:tblPr>
        <w:tblW w:w="0" w:type="auto"/>
        <w:tblCellMar>
          <w:left w:w="0" w:type="dxa"/>
        </w:tblCellMar>
        <w:tblLook w:val="04A0" w:firstRow="1" w:lastRow="0" w:firstColumn="1" w:lastColumn="0" w:noHBand="0" w:noVBand="1"/>
      </w:tblPr>
      <w:tblGrid>
        <w:gridCol w:w="7144"/>
        <w:gridCol w:w="1164"/>
        <w:gridCol w:w="224"/>
        <w:gridCol w:w="1164"/>
      </w:tblGrid>
      <w:tr w:rsidR="00BC5219" w:rsidRPr="00751151" w14:paraId="363117CB" w14:textId="77777777" w:rsidTr="00E83802">
        <w:trPr>
          <w:trHeight w:val="240"/>
        </w:trPr>
        <w:tc>
          <w:tcPr>
            <w:tcW w:w="7136" w:type="dxa"/>
            <w:tcBorders>
              <w:top w:val="nil"/>
              <w:left w:val="nil"/>
              <w:bottom w:val="nil"/>
              <w:right w:val="nil"/>
            </w:tcBorders>
            <w:shd w:val="clear" w:color="auto" w:fill="auto"/>
            <w:noWrap/>
            <w:vAlign w:val="center"/>
            <w:hideMark/>
          </w:tcPr>
          <w:p w14:paraId="036BC646" w14:textId="77777777" w:rsidR="00BC5219" w:rsidRPr="00751151" w:rsidRDefault="00BC5219" w:rsidP="00E83802">
            <w:pPr>
              <w:rPr>
                <w:rFonts w:ascii="Meta Pro" w:eastAsia="Times New Roman" w:hAnsi="Meta Pro"/>
                <w:b/>
                <w:bCs/>
                <w:szCs w:val="18"/>
                <w:lang w:eastAsia="en-AU"/>
              </w:rPr>
            </w:pPr>
            <w:r w:rsidRPr="00751151">
              <w:rPr>
                <w:rFonts w:ascii="Meta Pro" w:eastAsia="Times New Roman" w:hAnsi="Meta Pro"/>
                <w:b/>
                <w:bCs/>
                <w:szCs w:val="18"/>
                <w:lang w:eastAsia="en-AU"/>
              </w:rPr>
              <w:t>Movements in provision for Print and Imaging as a Service contract</w:t>
            </w:r>
          </w:p>
        </w:tc>
        <w:tc>
          <w:tcPr>
            <w:tcW w:w="1156" w:type="dxa"/>
            <w:tcBorders>
              <w:top w:val="nil"/>
              <w:left w:val="nil"/>
              <w:bottom w:val="nil"/>
              <w:right w:val="nil"/>
            </w:tcBorders>
            <w:shd w:val="clear" w:color="auto" w:fill="auto"/>
            <w:noWrap/>
            <w:vAlign w:val="center"/>
            <w:hideMark/>
          </w:tcPr>
          <w:p w14:paraId="58A22B58" w14:textId="77777777" w:rsidR="00BC5219" w:rsidRPr="00751151" w:rsidRDefault="00BC5219" w:rsidP="00E83802">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6065A67C" w14:textId="77777777" w:rsidR="00BC5219" w:rsidRPr="00751151"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36B0C2E2" w14:textId="77777777" w:rsidR="00BC5219" w:rsidRPr="00751151" w:rsidRDefault="00BC5219" w:rsidP="00E83802">
            <w:pPr>
              <w:jc w:val="right"/>
              <w:rPr>
                <w:rFonts w:ascii="Meta Pro" w:eastAsia="Times New Roman" w:hAnsi="Meta Pro" w:cs="Times New Roman"/>
                <w:sz w:val="20"/>
                <w:szCs w:val="20"/>
                <w:lang w:eastAsia="en-AU"/>
              </w:rPr>
            </w:pPr>
          </w:p>
        </w:tc>
      </w:tr>
      <w:tr w:rsidR="00BC5219" w:rsidRPr="00751151" w14:paraId="18F8F6C6" w14:textId="77777777" w:rsidTr="00E83802">
        <w:trPr>
          <w:trHeight w:val="90"/>
        </w:trPr>
        <w:tc>
          <w:tcPr>
            <w:tcW w:w="7136" w:type="dxa"/>
            <w:tcBorders>
              <w:top w:val="nil"/>
              <w:left w:val="nil"/>
              <w:bottom w:val="nil"/>
              <w:right w:val="nil"/>
            </w:tcBorders>
            <w:shd w:val="clear" w:color="auto" w:fill="auto"/>
            <w:noWrap/>
            <w:vAlign w:val="center"/>
            <w:hideMark/>
          </w:tcPr>
          <w:p w14:paraId="146A895C" w14:textId="77777777" w:rsidR="00BC5219" w:rsidRPr="00751151"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56245441" w14:textId="77777777" w:rsidR="00BC5219" w:rsidRPr="00751151" w:rsidRDefault="00BC5219" w:rsidP="00E83802">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4AC1268B" w14:textId="77777777" w:rsidR="00BC5219" w:rsidRPr="00751151"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6EF06FAB" w14:textId="77777777" w:rsidR="00BC5219" w:rsidRPr="00751151" w:rsidRDefault="00BC5219" w:rsidP="00E83802">
            <w:pPr>
              <w:jc w:val="right"/>
              <w:rPr>
                <w:rFonts w:ascii="Meta Pro" w:eastAsia="Times New Roman" w:hAnsi="Meta Pro" w:cs="Times New Roman"/>
                <w:sz w:val="20"/>
                <w:szCs w:val="20"/>
                <w:lang w:eastAsia="en-AU"/>
              </w:rPr>
            </w:pPr>
          </w:p>
        </w:tc>
      </w:tr>
      <w:tr w:rsidR="00BC5219" w:rsidRPr="00751151" w14:paraId="4CF109E9" w14:textId="77777777" w:rsidTr="00E83802">
        <w:trPr>
          <w:trHeight w:val="240"/>
        </w:trPr>
        <w:tc>
          <w:tcPr>
            <w:tcW w:w="7136" w:type="dxa"/>
            <w:tcBorders>
              <w:top w:val="nil"/>
              <w:left w:val="nil"/>
              <w:bottom w:val="nil"/>
              <w:right w:val="nil"/>
            </w:tcBorders>
            <w:shd w:val="clear" w:color="auto" w:fill="auto"/>
            <w:noWrap/>
            <w:vAlign w:val="center"/>
            <w:hideMark/>
          </w:tcPr>
          <w:p w14:paraId="221FC2F4" w14:textId="77777777" w:rsidR="00BC5219" w:rsidRPr="00751151" w:rsidRDefault="00BC5219" w:rsidP="00E83802">
            <w:pPr>
              <w:rPr>
                <w:rFonts w:ascii="Meta Pro" w:eastAsia="Times New Roman" w:hAnsi="Meta Pro"/>
                <w:b/>
                <w:bCs/>
                <w:szCs w:val="18"/>
                <w:lang w:eastAsia="en-AU"/>
              </w:rPr>
            </w:pPr>
            <w:r w:rsidRPr="00751151">
              <w:rPr>
                <w:rFonts w:ascii="Meta Pro" w:eastAsia="Times New Roman" w:hAnsi="Meta Pro"/>
                <w:b/>
                <w:bCs/>
                <w:szCs w:val="18"/>
                <w:lang w:eastAsia="en-AU"/>
              </w:rPr>
              <w:t>Current</w:t>
            </w:r>
          </w:p>
        </w:tc>
        <w:tc>
          <w:tcPr>
            <w:tcW w:w="1156" w:type="dxa"/>
            <w:tcBorders>
              <w:top w:val="nil"/>
              <w:left w:val="nil"/>
              <w:bottom w:val="nil"/>
              <w:right w:val="nil"/>
            </w:tcBorders>
            <w:shd w:val="clear" w:color="auto" w:fill="auto"/>
            <w:noWrap/>
            <w:vAlign w:val="center"/>
            <w:hideMark/>
          </w:tcPr>
          <w:p w14:paraId="3786C6E2" w14:textId="77777777" w:rsidR="00BC5219" w:rsidRPr="00751151" w:rsidRDefault="00BC5219" w:rsidP="00E83802">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4888A770" w14:textId="77777777" w:rsidR="00BC5219" w:rsidRPr="00751151"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3D8C5DA3" w14:textId="77777777" w:rsidR="00BC5219" w:rsidRPr="00751151" w:rsidRDefault="00BC5219" w:rsidP="00E83802">
            <w:pPr>
              <w:jc w:val="right"/>
              <w:rPr>
                <w:rFonts w:ascii="Meta Pro" w:eastAsia="Times New Roman" w:hAnsi="Meta Pro" w:cs="Times New Roman"/>
                <w:sz w:val="20"/>
                <w:szCs w:val="20"/>
                <w:lang w:eastAsia="en-AU"/>
              </w:rPr>
            </w:pPr>
          </w:p>
        </w:tc>
      </w:tr>
      <w:tr w:rsidR="00BC5219" w:rsidRPr="00751151" w14:paraId="6714ABA3" w14:textId="77777777" w:rsidTr="00E83802">
        <w:trPr>
          <w:trHeight w:val="240"/>
        </w:trPr>
        <w:tc>
          <w:tcPr>
            <w:tcW w:w="7136" w:type="dxa"/>
            <w:tcBorders>
              <w:top w:val="nil"/>
              <w:left w:val="nil"/>
              <w:bottom w:val="nil"/>
              <w:right w:val="nil"/>
            </w:tcBorders>
            <w:shd w:val="clear" w:color="auto" w:fill="auto"/>
            <w:noWrap/>
            <w:vAlign w:val="center"/>
            <w:hideMark/>
          </w:tcPr>
          <w:p w14:paraId="5616055D" w14:textId="77777777" w:rsidR="00BC5219" w:rsidRPr="00751151" w:rsidRDefault="00BC5219" w:rsidP="00E83802">
            <w:pPr>
              <w:rPr>
                <w:rFonts w:ascii="Meta Pro" w:eastAsia="Times New Roman" w:hAnsi="Meta Pro"/>
                <w:szCs w:val="18"/>
                <w:lang w:eastAsia="en-AU"/>
              </w:rPr>
            </w:pPr>
            <w:r w:rsidRPr="00751151">
              <w:rPr>
                <w:rFonts w:ascii="Meta Pro" w:eastAsia="Times New Roman" w:hAnsi="Meta Pro"/>
                <w:szCs w:val="18"/>
                <w:lang w:eastAsia="en-AU"/>
              </w:rPr>
              <w:t>Transfers from machinery-of-government change</w:t>
            </w:r>
          </w:p>
        </w:tc>
        <w:tc>
          <w:tcPr>
            <w:tcW w:w="1156" w:type="dxa"/>
            <w:tcBorders>
              <w:top w:val="nil"/>
              <w:left w:val="nil"/>
              <w:bottom w:val="nil"/>
              <w:right w:val="nil"/>
            </w:tcBorders>
            <w:shd w:val="clear" w:color="000000" w:fill="C9E3B4"/>
            <w:noWrap/>
            <w:vAlign w:val="center"/>
            <w:hideMark/>
          </w:tcPr>
          <w:p w14:paraId="25D892D5" w14:textId="77777777" w:rsidR="00BC5219" w:rsidRPr="00751151" w:rsidRDefault="00BC5219" w:rsidP="00E83802">
            <w:pPr>
              <w:jc w:val="right"/>
              <w:rPr>
                <w:rFonts w:ascii="Meta Pro" w:eastAsia="Times New Roman" w:hAnsi="Meta Pro"/>
                <w:szCs w:val="18"/>
                <w:lang w:eastAsia="en-AU"/>
              </w:rPr>
            </w:pPr>
            <w:r w:rsidRPr="00751151">
              <w:rPr>
                <w:rFonts w:ascii="Meta Pro" w:eastAsia="Times New Roman" w:hAnsi="Meta Pro"/>
                <w:szCs w:val="18"/>
                <w:lang w:eastAsia="en-AU"/>
              </w:rPr>
              <w:t xml:space="preserve">964 </w:t>
            </w:r>
          </w:p>
        </w:tc>
        <w:tc>
          <w:tcPr>
            <w:tcW w:w="216" w:type="dxa"/>
            <w:tcBorders>
              <w:top w:val="nil"/>
              <w:left w:val="nil"/>
              <w:bottom w:val="nil"/>
              <w:right w:val="nil"/>
            </w:tcBorders>
            <w:shd w:val="clear" w:color="auto" w:fill="auto"/>
            <w:noWrap/>
            <w:vAlign w:val="center"/>
            <w:hideMark/>
          </w:tcPr>
          <w:p w14:paraId="0085CB40" w14:textId="77777777" w:rsidR="00BC5219" w:rsidRPr="00751151"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27D30FDF" w14:textId="77777777" w:rsidR="00BC5219" w:rsidRPr="00751151" w:rsidRDefault="00BC5219" w:rsidP="00E83802">
            <w:pPr>
              <w:jc w:val="right"/>
              <w:rPr>
                <w:rFonts w:ascii="Meta Pro" w:eastAsia="Times New Roman" w:hAnsi="Meta Pro"/>
                <w:szCs w:val="18"/>
                <w:lang w:eastAsia="en-AU"/>
              </w:rPr>
            </w:pPr>
            <w:r w:rsidRPr="00751151">
              <w:rPr>
                <w:rFonts w:ascii="Meta Pro" w:eastAsia="Times New Roman" w:hAnsi="Meta Pro"/>
                <w:szCs w:val="18"/>
                <w:lang w:eastAsia="en-AU"/>
              </w:rPr>
              <w:t xml:space="preserve">- </w:t>
            </w:r>
          </w:p>
        </w:tc>
      </w:tr>
      <w:tr w:rsidR="00BC5219" w:rsidRPr="00751151" w14:paraId="74B4F350" w14:textId="77777777" w:rsidTr="00E83802">
        <w:trPr>
          <w:trHeight w:val="240"/>
        </w:trPr>
        <w:tc>
          <w:tcPr>
            <w:tcW w:w="7136" w:type="dxa"/>
            <w:tcBorders>
              <w:top w:val="single" w:sz="4" w:space="0" w:color="auto"/>
              <w:left w:val="nil"/>
              <w:bottom w:val="double" w:sz="6" w:space="0" w:color="auto"/>
              <w:right w:val="nil"/>
            </w:tcBorders>
            <w:shd w:val="clear" w:color="auto" w:fill="auto"/>
            <w:noWrap/>
            <w:vAlign w:val="center"/>
            <w:hideMark/>
          </w:tcPr>
          <w:p w14:paraId="1F097873" w14:textId="77777777" w:rsidR="00BC5219" w:rsidRPr="00751151" w:rsidRDefault="00BC5219" w:rsidP="00E83802">
            <w:pPr>
              <w:rPr>
                <w:rFonts w:ascii="Meta Pro" w:eastAsia="Times New Roman" w:hAnsi="Meta Pro"/>
                <w:szCs w:val="18"/>
                <w:lang w:eastAsia="en-AU"/>
              </w:rPr>
            </w:pPr>
            <w:r w:rsidRPr="00751151">
              <w:rPr>
                <w:rFonts w:ascii="Meta Pro" w:eastAsia="Times New Roman" w:hAnsi="Meta Pro"/>
                <w:szCs w:val="18"/>
                <w:lang w:eastAsia="en-AU"/>
              </w:rPr>
              <w:t>Closing balance</w:t>
            </w:r>
          </w:p>
        </w:tc>
        <w:tc>
          <w:tcPr>
            <w:tcW w:w="1156" w:type="dxa"/>
            <w:tcBorders>
              <w:top w:val="single" w:sz="4" w:space="0" w:color="auto"/>
              <w:left w:val="nil"/>
              <w:bottom w:val="double" w:sz="6" w:space="0" w:color="auto"/>
              <w:right w:val="nil"/>
            </w:tcBorders>
            <w:shd w:val="clear" w:color="000000" w:fill="C9E3B4"/>
            <w:noWrap/>
            <w:vAlign w:val="center"/>
            <w:hideMark/>
          </w:tcPr>
          <w:p w14:paraId="495EA90C" w14:textId="77777777" w:rsidR="00BC5219" w:rsidRPr="00751151" w:rsidRDefault="00BC5219" w:rsidP="00E83802">
            <w:pPr>
              <w:jc w:val="right"/>
              <w:rPr>
                <w:rFonts w:ascii="Meta Pro" w:eastAsia="Times New Roman" w:hAnsi="Meta Pro"/>
                <w:szCs w:val="18"/>
                <w:lang w:eastAsia="en-AU"/>
              </w:rPr>
            </w:pPr>
            <w:r w:rsidRPr="00751151">
              <w:rPr>
                <w:rFonts w:ascii="Meta Pro" w:eastAsia="Times New Roman" w:hAnsi="Meta Pro"/>
                <w:szCs w:val="18"/>
                <w:lang w:eastAsia="en-AU"/>
              </w:rPr>
              <w:t xml:space="preserve">964 </w:t>
            </w:r>
          </w:p>
        </w:tc>
        <w:tc>
          <w:tcPr>
            <w:tcW w:w="216" w:type="dxa"/>
            <w:tcBorders>
              <w:top w:val="single" w:sz="4" w:space="0" w:color="auto"/>
              <w:left w:val="nil"/>
              <w:bottom w:val="double" w:sz="6" w:space="0" w:color="auto"/>
              <w:right w:val="nil"/>
            </w:tcBorders>
            <w:shd w:val="clear" w:color="auto" w:fill="auto"/>
            <w:noWrap/>
            <w:vAlign w:val="center"/>
            <w:hideMark/>
          </w:tcPr>
          <w:p w14:paraId="4F87FFF5" w14:textId="77777777" w:rsidR="00BC5219" w:rsidRPr="00751151" w:rsidRDefault="00BC5219" w:rsidP="00E83802">
            <w:pPr>
              <w:jc w:val="right"/>
              <w:rPr>
                <w:rFonts w:ascii="Meta Pro" w:eastAsia="Times New Roman" w:hAnsi="Meta Pro"/>
                <w:b/>
                <w:bCs/>
                <w:szCs w:val="18"/>
                <w:lang w:eastAsia="en-AU"/>
              </w:rPr>
            </w:pPr>
            <w:r w:rsidRPr="00751151">
              <w:rPr>
                <w:rFonts w:ascii="Meta Pro" w:eastAsia="Times New Roman" w:hAnsi="Meta Pro"/>
                <w:b/>
                <w:bCs/>
                <w:szCs w:val="18"/>
                <w:lang w:eastAsia="en-AU"/>
              </w:rPr>
              <w:t> </w:t>
            </w:r>
          </w:p>
        </w:tc>
        <w:tc>
          <w:tcPr>
            <w:tcW w:w="1156" w:type="dxa"/>
            <w:tcBorders>
              <w:top w:val="single" w:sz="4" w:space="0" w:color="auto"/>
              <w:left w:val="nil"/>
              <w:bottom w:val="double" w:sz="6" w:space="0" w:color="auto"/>
              <w:right w:val="nil"/>
            </w:tcBorders>
            <w:shd w:val="clear" w:color="auto" w:fill="auto"/>
            <w:noWrap/>
            <w:vAlign w:val="center"/>
            <w:hideMark/>
          </w:tcPr>
          <w:p w14:paraId="2F734899" w14:textId="77777777" w:rsidR="00BC5219" w:rsidRPr="00751151" w:rsidRDefault="00BC5219" w:rsidP="00E83802">
            <w:pPr>
              <w:jc w:val="right"/>
              <w:rPr>
                <w:rFonts w:ascii="Meta Pro" w:eastAsia="Times New Roman" w:hAnsi="Meta Pro"/>
                <w:szCs w:val="18"/>
                <w:lang w:eastAsia="en-AU"/>
              </w:rPr>
            </w:pPr>
            <w:r w:rsidRPr="00751151">
              <w:rPr>
                <w:rFonts w:ascii="Meta Pro" w:eastAsia="Times New Roman" w:hAnsi="Meta Pro"/>
                <w:szCs w:val="18"/>
                <w:lang w:eastAsia="en-AU"/>
              </w:rPr>
              <w:t xml:space="preserve">- </w:t>
            </w:r>
          </w:p>
        </w:tc>
      </w:tr>
    </w:tbl>
    <w:p w14:paraId="5CE74D2E" w14:textId="77777777" w:rsidR="00BC5219" w:rsidRPr="008A2B8F" w:rsidRDefault="00BC5219" w:rsidP="00BC5219">
      <w:pPr>
        <w:spacing w:before="120" w:after="60" w:line="259" w:lineRule="auto"/>
        <w:rPr>
          <w:rFonts w:ascii="Meta Pro" w:eastAsia="Times New Roman" w:hAnsi="Meta Pro"/>
          <w:b/>
          <w:bCs/>
          <w:szCs w:val="18"/>
          <w:lang w:eastAsia="en-AU"/>
        </w:rPr>
      </w:pPr>
      <w:r w:rsidRPr="008A2B8F">
        <w:rPr>
          <w:rFonts w:ascii="Meta Pro" w:eastAsia="Times New Roman" w:hAnsi="Meta Pro"/>
          <w:b/>
          <w:bCs/>
          <w:szCs w:val="18"/>
          <w:lang w:eastAsia="en-AU"/>
        </w:rPr>
        <w:t>Provision for Print and Imaging as a Service contract</w:t>
      </w:r>
    </w:p>
    <w:p w14:paraId="3088C723" w14:textId="77777777" w:rsidR="00BC5219" w:rsidRPr="009612C6" w:rsidRDefault="00BC5219" w:rsidP="00BC5219">
      <w:pPr>
        <w:spacing w:after="120" w:line="259" w:lineRule="auto"/>
        <w:rPr>
          <w:rFonts w:ascii="Meta Pro" w:eastAsia="Times New Roman" w:hAnsi="Meta Pro"/>
          <w:szCs w:val="18"/>
          <w:lang w:eastAsia="en-AU"/>
        </w:rPr>
      </w:pPr>
      <w:r w:rsidRPr="008A2B8F">
        <w:rPr>
          <w:rFonts w:ascii="Meta Pro" w:eastAsia="Times New Roman" w:hAnsi="Meta Pro"/>
          <w:szCs w:val="18"/>
          <w:lang w:eastAsia="en-AU"/>
        </w:rPr>
        <w:t>The Print and Imaging as a Service (PIAAS) provision represents the estimated balloon payment related to the PIAAS contract</w:t>
      </w:r>
      <w:r>
        <w:rPr>
          <w:rFonts w:ascii="Meta Pro" w:eastAsia="Times New Roman" w:hAnsi="Meta Pro"/>
          <w:szCs w:val="18"/>
          <w:lang w:eastAsia="en-AU"/>
        </w:rPr>
        <w:t xml:space="preserve"> with </w:t>
      </w:r>
      <w:r w:rsidRPr="008A2B8F">
        <w:rPr>
          <w:rFonts w:ascii="Meta Pro" w:eastAsia="Times New Roman" w:hAnsi="Meta Pro"/>
          <w:szCs w:val="18"/>
          <w:lang w:eastAsia="en-AU"/>
        </w:rPr>
        <w:t>the payment due in 2023–24. This provision was transferred to the department as a result of the machinery-of-government change dated 18 May 2023. Refer to Note 1.</w:t>
      </w:r>
    </w:p>
    <w:tbl>
      <w:tblPr>
        <w:tblW w:w="0" w:type="auto"/>
        <w:tblCellMar>
          <w:left w:w="0" w:type="dxa"/>
        </w:tblCellMar>
        <w:tblLook w:val="04A0" w:firstRow="1" w:lastRow="0" w:firstColumn="1" w:lastColumn="0" w:noHBand="0" w:noVBand="1"/>
      </w:tblPr>
      <w:tblGrid>
        <w:gridCol w:w="7144"/>
        <w:gridCol w:w="1164"/>
        <w:gridCol w:w="224"/>
        <w:gridCol w:w="1164"/>
      </w:tblGrid>
      <w:tr w:rsidR="00BC5219" w:rsidRPr="009612C6" w14:paraId="14A5CB15" w14:textId="77777777" w:rsidTr="00E83802">
        <w:trPr>
          <w:trHeight w:val="198"/>
        </w:trPr>
        <w:tc>
          <w:tcPr>
            <w:tcW w:w="7136" w:type="dxa"/>
            <w:tcBorders>
              <w:top w:val="nil"/>
              <w:left w:val="nil"/>
              <w:bottom w:val="nil"/>
              <w:right w:val="nil"/>
            </w:tcBorders>
            <w:shd w:val="clear" w:color="auto" w:fill="auto"/>
            <w:noWrap/>
            <w:vAlign w:val="center"/>
            <w:hideMark/>
          </w:tcPr>
          <w:p w14:paraId="0A4C5300" w14:textId="77777777" w:rsidR="00BC5219" w:rsidRPr="009612C6" w:rsidRDefault="00BC5219" w:rsidP="00E83802">
            <w:pPr>
              <w:rPr>
                <w:rFonts w:ascii="Meta Pro" w:eastAsia="Times New Roman" w:hAnsi="Meta Pro"/>
                <w:b/>
                <w:bCs/>
                <w:szCs w:val="18"/>
                <w:lang w:eastAsia="en-AU"/>
              </w:rPr>
            </w:pPr>
            <w:r w:rsidRPr="009612C6">
              <w:rPr>
                <w:rFonts w:ascii="Meta Pro" w:eastAsia="Times New Roman" w:hAnsi="Meta Pro"/>
                <w:b/>
                <w:bCs/>
                <w:szCs w:val="18"/>
                <w:lang w:eastAsia="en-AU"/>
              </w:rPr>
              <w:t>Movements in provision for property resumptions</w:t>
            </w:r>
          </w:p>
        </w:tc>
        <w:tc>
          <w:tcPr>
            <w:tcW w:w="1156" w:type="dxa"/>
            <w:tcBorders>
              <w:top w:val="nil"/>
              <w:left w:val="nil"/>
              <w:bottom w:val="nil"/>
              <w:right w:val="nil"/>
            </w:tcBorders>
            <w:shd w:val="clear" w:color="auto" w:fill="auto"/>
            <w:noWrap/>
            <w:vAlign w:val="center"/>
            <w:hideMark/>
          </w:tcPr>
          <w:p w14:paraId="2D18CCD7" w14:textId="77777777" w:rsidR="00BC5219" w:rsidRPr="009612C6" w:rsidRDefault="00BC5219" w:rsidP="00E83802">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2B772388" w14:textId="77777777" w:rsidR="00BC5219" w:rsidRPr="009612C6"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149AE091" w14:textId="77777777" w:rsidR="00BC5219" w:rsidRPr="009612C6" w:rsidRDefault="00BC5219" w:rsidP="00E83802">
            <w:pPr>
              <w:jc w:val="right"/>
              <w:rPr>
                <w:rFonts w:ascii="Times New Roman" w:eastAsia="Times New Roman" w:hAnsi="Times New Roman" w:cs="Times New Roman"/>
                <w:sz w:val="20"/>
                <w:szCs w:val="20"/>
                <w:lang w:eastAsia="en-AU"/>
              </w:rPr>
            </w:pPr>
          </w:p>
        </w:tc>
      </w:tr>
      <w:tr w:rsidR="00BC5219" w:rsidRPr="009612C6" w14:paraId="2B61BC19" w14:textId="77777777" w:rsidTr="00E83802">
        <w:trPr>
          <w:trHeight w:val="198"/>
        </w:trPr>
        <w:tc>
          <w:tcPr>
            <w:tcW w:w="7136" w:type="dxa"/>
            <w:tcBorders>
              <w:top w:val="nil"/>
              <w:left w:val="nil"/>
              <w:bottom w:val="nil"/>
              <w:right w:val="nil"/>
            </w:tcBorders>
            <w:shd w:val="clear" w:color="auto" w:fill="auto"/>
            <w:noWrap/>
            <w:vAlign w:val="center"/>
            <w:hideMark/>
          </w:tcPr>
          <w:p w14:paraId="376CA525" w14:textId="77777777" w:rsidR="00BC5219" w:rsidRPr="009612C6"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5E083EFA" w14:textId="77777777" w:rsidR="00BC5219" w:rsidRPr="009612C6" w:rsidRDefault="00BC5219" w:rsidP="00E83802">
            <w:pPr>
              <w:rPr>
                <w:rFonts w:ascii="Times New Roman" w:eastAsia="Times New Roman" w:hAnsi="Times New Roman"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7D64E20C" w14:textId="77777777" w:rsidR="00BC5219" w:rsidRPr="009612C6"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2240CF69" w14:textId="77777777" w:rsidR="00BC5219" w:rsidRPr="009612C6" w:rsidRDefault="00BC5219" w:rsidP="00E83802">
            <w:pPr>
              <w:jc w:val="right"/>
              <w:rPr>
                <w:rFonts w:ascii="Times New Roman" w:eastAsia="Times New Roman" w:hAnsi="Times New Roman" w:cs="Times New Roman"/>
                <w:sz w:val="20"/>
                <w:szCs w:val="20"/>
                <w:lang w:eastAsia="en-AU"/>
              </w:rPr>
            </w:pPr>
          </w:p>
        </w:tc>
      </w:tr>
      <w:tr w:rsidR="00BC5219" w:rsidRPr="009612C6" w14:paraId="490F2265" w14:textId="77777777" w:rsidTr="00E83802">
        <w:trPr>
          <w:trHeight w:val="198"/>
        </w:trPr>
        <w:tc>
          <w:tcPr>
            <w:tcW w:w="7136" w:type="dxa"/>
            <w:tcBorders>
              <w:top w:val="nil"/>
              <w:left w:val="nil"/>
              <w:bottom w:val="nil"/>
              <w:right w:val="nil"/>
            </w:tcBorders>
            <w:shd w:val="clear" w:color="auto" w:fill="auto"/>
            <w:noWrap/>
            <w:vAlign w:val="center"/>
            <w:hideMark/>
          </w:tcPr>
          <w:p w14:paraId="5F79D376" w14:textId="77777777" w:rsidR="00BC5219" w:rsidRPr="009612C6" w:rsidRDefault="00BC5219" w:rsidP="00E83802">
            <w:pPr>
              <w:rPr>
                <w:rFonts w:ascii="Meta Pro" w:eastAsia="Times New Roman" w:hAnsi="Meta Pro"/>
                <w:b/>
                <w:bCs/>
                <w:szCs w:val="18"/>
                <w:lang w:eastAsia="en-AU"/>
              </w:rPr>
            </w:pPr>
            <w:r w:rsidRPr="009612C6">
              <w:rPr>
                <w:rFonts w:ascii="Meta Pro" w:eastAsia="Times New Roman" w:hAnsi="Meta Pro"/>
                <w:b/>
                <w:bCs/>
                <w:szCs w:val="18"/>
                <w:lang w:eastAsia="en-AU"/>
              </w:rPr>
              <w:t>Current</w:t>
            </w:r>
          </w:p>
        </w:tc>
        <w:tc>
          <w:tcPr>
            <w:tcW w:w="1156" w:type="dxa"/>
            <w:tcBorders>
              <w:top w:val="nil"/>
              <w:left w:val="nil"/>
              <w:bottom w:val="nil"/>
              <w:right w:val="nil"/>
            </w:tcBorders>
            <w:shd w:val="clear" w:color="auto" w:fill="auto"/>
            <w:noWrap/>
            <w:vAlign w:val="center"/>
            <w:hideMark/>
          </w:tcPr>
          <w:p w14:paraId="5FB2418A" w14:textId="77777777" w:rsidR="00BC5219" w:rsidRPr="009612C6" w:rsidRDefault="00BC5219" w:rsidP="00E83802">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548925A5" w14:textId="77777777" w:rsidR="00BC5219" w:rsidRPr="009612C6"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2C7614F7" w14:textId="77777777" w:rsidR="00BC5219" w:rsidRPr="009612C6" w:rsidRDefault="00BC5219" w:rsidP="00E83802">
            <w:pPr>
              <w:jc w:val="right"/>
              <w:rPr>
                <w:rFonts w:ascii="Times New Roman" w:eastAsia="Times New Roman" w:hAnsi="Times New Roman" w:cs="Times New Roman"/>
                <w:sz w:val="20"/>
                <w:szCs w:val="20"/>
                <w:lang w:eastAsia="en-AU"/>
              </w:rPr>
            </w:pPr>
          </w:p>
        </w:tc>
      </w:tr>
      <w:tr w:rsidR="00BC5219" w:rsidRPr="009612C6" w14:paraId="1CA62C9B" w14:textId="77777777" w:rsidTr="00E83802">
        <w:trPr>
          <w:trHeight w:val="198"/>
        </w:trPr>
        <w:tc>
          <w:tcPr>
            <w:tcW w:w="7136" w:type="dxa"/>
            <w:tcBorders>
              <w:top w:val="nil"/>
              <w:left w:val="nil"/>
              <w:bottom w:val="nil"/>
              <w:right w:val="nil"/>
            </w:tcBorders>
            <w:shd w:val="clear" w:color="auto" w:fill="auto"/>
            <w:noWrap/>
            <w:vAlign w:val="center"/>
            <w:hideMark/>
          </w:tcPr>
          <w:p w14:paraId="64A74E49" w14:textId="77777777" w:rsidR="00BC5219" w:rsidRPr="009612C6" w:rsidRDefault="00BC5219" w:rsidP="00E83802">
            <w:pPr>
              <w:rPr>
                <w:rFonts w:ascii="Meta Pro" w:eastAsia="Times New Roman" w:hAnsi="Meta Pro"/>
                <w:szCs w:val="18"/>
                <w:lang w:eastAsia="en-AU"/>
              </w:rPr>
            </w:pPr>
            <w:r w:rsidRPr="009612C6">
              <w:rPr>
                <w:rFonts w:ascii="Meta Pro" w:eastAsia="Times New Roman" w:hAnsi="Meta Pro"/>
                <w:szCs w:val="18"/>
                <w:lang w:eastAsia="en-AU"/>
              </w:rPr>
              <w:t>Opening balance</w:t>
            </w:r>
          </w:p>
        </w:tc>
        <w:tc>
          <w:tcPr>
            <w:tcW w:w="1156" w:type="dxa"/>
            <w:tcBorders>
              <w:top w:val="nil"/>
              <w:left w:val="nil"/>
              <w:bottom w:val="nil"/>
              <w:right w:val="nil"/>
            </w:tcBorders>
            <w:shd w:val="clear" w:color="000000" w:fill="C9E3B4"/>
            <w:noWrap/>
            <w:vAlign w:val="center"/>
            <w:hideMark/>
          </w:tcPr>
          <w:p w14:paraId="01733F4F" w14:textId="77777777" w:rsidR="00BC5219" w:rsidRPr="009612C6" w:rsidRDefault="00BC5219" w:rsidP="00E83802">
            <w:pPr>
              <w:jc w:val="right"/>
              <w:rPr>
                <w:rFonts w:ascii="Meta Pro" w:eastAsia="Times New Roman" w:hAnsi="Meta Pro"/>
                <w:szCs w:val="18"/>
                <w:lang w:eastAsia="en-AU"/>
              </w:rPr>
            </w:pPr>
            <w:r w:rsidRPr="009612C6">
              <w:rPr>
                <w:rFonts w:ascii="Meta Pro" w:eastAsia="Times New Roman" w:hAnsi="Meta Pro"/>
                <w:szCs w:val="18"/>
                <w:lang w:eastAsia="en-AU"/>
              </w:rPr>
              <w:t xml:space="preserve">182,203 </w:t>
            </w:r>
          </w:p>
        </w:tc>
        <w:tc>
          <w:tcPr>
            <w:tcW w:w="216" w:type="dxa"/>
            <w:tcBorders>
              <w:top w:val="nil"/>
              <w:left w:val="nil"/>
              <w:bottom w:val="nil"/>
              <w:right w:val="nil"/>
            </w:tcBorders>
            <w:shd w:val="clear" w:color="auto" w:fill="auto"/>
            <w:noWrap/>
            <w:vAlign w:val="center"/>
            <w:hideMark/>
          </w:tcPr>
          <w:p w14:paraId="3D5065AF" w14:textId="77777777" w:rsidR="00BC5219" w:rsidRPr="009612C6"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5059B5F4" w14:textId="77777777" w:rsidR="00BC5219" w:rsidRPr="009612C6" w:rsidRDefault="00BC5219" w:rsidP="00E83802">
            <w:pPr>
              <w:jc w:val="right"/>
              <w:rPr>
                <w:rFonts w:ascii="Meta Pro" w:eastAsia="Times New Roman" w:hAnsi="Meta Pro"/>
                <w:szCs w:val="18"/>
                <w:lang w:eastAsia="en-AU"/>
              </w:rPr>
            </w:pPr>
            <w:r w:rsidRPr="009612C6">
              <w:rPr>
                <w:rFonts w:ascii="Meta Pro" w:eastAsia="Times New Roman" w:hAnsi="Meta Pro"/>
                <w:szCs w:val="18"/>
                <w:lang w:eastAsia="en-AU"/>
              </w:rPr>
              <w:t xml:space="preserve">148,582 </w:t>
            </w:r>
          </w:p>
        </w:tc>
      </w:tr>
      <w:tr w:rsidR="00BC5219" w:rsidRPr="009612C6" w14:paraId="71B87579" w14:textId="77777777" w:rsidTr="00E83802">
        <w:trPr>
          <w:trHeight w:val="198"/>
        </w:trPr>
        <w:tc>
          <w:tcPr>
            <w:tcW w:w="7136" w:type="dxa"/>
            <w:tcBorders>
              <w:top w:val="nil"/>
              <w:left w:val="nil"/>
              <w:bottom w:val="nil"/>
              <w:right w:val="nil"/>
            </w:tcBorders>
            <w:shd w:val="clear" w:color="auto" w:fill="auto"/>
            <w:noWrap/>
            <w:vAlign w:val="center"/>
            <w:hideMark/>
          </w:tcPr>
          <w:p w14:paraId="2E09FD6B" w14:textId="77777777" w:rsidR="00BC5219" w:rsidRPr="009612C6" w:rsidRDefault="00BC5219" w:rsidP="00E83802">
            <w:pPr>
              <w:rPr>
                <w:rFonts w:ascii="Meta Pro" w:eastAsia="Times New Roman" w:hAnsi="Meta Pro"/>
                <w:szCs w:val="18"/>
                <w:lang w:eastAsia="en-AU"/>
              </w:rPr>
            </w:pPr>
            <w:r w:rsidRPr="009612C6">
              <w:rPr>
                <w:rFonts w:ascii="Meta Pro" w:eastAsia="Times New Roman" w:hAnsi="Meta Pro"/>
                <w:szCs w:val="18"/>
                <w:lang w:eastAsia="en-AU"/>
              </w:rPr>
              <w:t>Restatement of provision</w:t>
            </w:r>
          </w:p>
        </w:tc>
        <w:tc>
          <w:tcPr>
            <w:tcW w:w="1156" w:type="dxa"/>
            <w:tcBorders>
              <w:top w:val="nil"/>
              <w:left w:val="nil"/>
              <w:bottom w:val="nil"/>
              <w:right w:val="nil"/>
            </w:tcBorders>
            <w:shd w:val="clear" w:color="000000" w:fill="C9E3B4"/>
            <w:noWrap/>
            <w:vAlign w:val="center"/>
            <w:hideMark/>
          </w:tcPr>
          <w:p w14:paraId="504BB3CF" w14:textId="77777777" w:rsidR="00BC5219" w:rsidRPr="009612C6" w:rsidRDefault="00BC5219" w:rsidP="00E83802">
            <w:pPr>
              <w:jc w:val="right"/>
              <w:rPr>
                <w:rFonts w:ascii="Meta Pro" w:eastAsia="Times New Roman" w:hAnsi="Meta Pro"/>
                <w:szCs w:val="18"/>
                <w:lang w:eastAsia="en-AU"/>
              </w:rPr>
            </w:pPr>
            <w:r w:rsidRPr="009612C6">
              <w:rPr>
                <w:rFonts w:ascii="Meta Pro" w:eastAsia="Times New Roman" w:hAnsi="Meta Pro"/>
                <w:szCs w:val="18"/>
                <w:lang w:eastAsia="en-AU"/>
              </w:rPr>
              <w:t xml:space="preserve">31,116 </w:t>
            </w:r>
          </w:p>
        </w:tc>
        <w:tc>
          <w:tcPr>
            <w:tcW w:w="216" w:type="dxa"/>
            <w:tcBorders>
              <w:top w:val="nil"/>
              <w:left w:val="nil"/>
              <w:bottom w:val="nil"/>
              <w:right w:val="nil"/>
            </w:tcBorders>
            <w:shd w:val="clear" w:color="auto" w:fill="auto"/>
            <w:noWrap/>
            <w:vAlign w:val="center"/>
            <w:hideMark/>
          </w:tcPr>
          <w:p w14:paraId="033DE00C" w14:textId="77777777" w:rsidR="00BC5219" w:rsidRPr="009612C6"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77C8E9A6" w14:textId="77777777" w:rsidR="00BC5219" w:rsidRPr="009612C6" w:rsidRDefault="00BC5219" w:rsidP="00E83802">
            <w:pPr>
              <w:jc w:val="right"/>
              <w:rPr>
                <w:rFonts w:ascii="Meta Pro" w:eastAsia="Times New Roman" w:hAnsi="Meta Pro"/>
                <w:szCs w:val="18"/>
                <w:lang w:eastAsia="en-AU"/>
              </w:rPr>
            </w:pPr>
            <w:r w:rsidRPr="009612C6">
              <w:rPr>
                <w:rFonts w:ascii="Meta Pro" w:eastAsia="Times New Roman" w:hAnsi="Meta Pro"/>
                <w:szCs w:val="18"/>
                <w:lang w:eastAsia="en-AU"/>
              </w:rPr>
              <w:t xml:space="preserve">6,009 </w:t>
            </w:r>
          </w:p>
        </w:tc>
      </w:tr>
      <w:tr w:rsidR="00BC5219" w:rsidRPr="009612C6" w14:paraId="5849AEDC" w14:textId="77777777" w:rsidTr="00E83802">
        <w:trPr>
          <w:trHeight w:val="198"/>
        </w:trPr>
        <w:tc>
          <w:tcPr>
            <w:tcW w:w="7136" w:type="dxa"/>
            <w:tcBorders>
              <w:top w:val="nil"/>
              <w:left w:val="nil"/>
              <w:bottom w:val="nil"/>
              <w:right w:val="nil"/>
            </w:tcBorders>
            <w:shd w:val="clear" w:color="auto" w:fill="auto"/>
            <w:noWrap/>
            <w:vAlign w:val="center"/>
            <w:hideMark/>
          </w:tcPr>
          <w:p w14:paraId="4C7F9094" w14:textId="77777777" w:rsidR="00BC5219" w:rsidRPr="009612C6" w:rsidRDefault="00BC5219" w:rsidP="00E83802">
            <w:pPr>
              <w:rPr>
                <w:rFonts w:ascii="Meta Pro" w:eastAsia="Times New Roman" w:hAnsi="Meta Pro"/>
                <w:szCs w:val="18"/>
                <w:lang w:eastAsia="en-AU"/>
              </w:rPr>
            </w:pPr>
            <w:r w:rsidRPr="009612C6">
              <w:rPr>
                <w:rFonts w:ascii="Meta Pro" w:eastAsia="Times New Roman" w:hAnsi="Meta Pro"/>
                <w:szCs w:val="18"/>
                <w:lang w:eastAsia="en-AU"/>
              </w:rPr>
              <w:t>Additional provision recognised</w:t>
            </w:r>
          </w:p>
        </w:tc>
        <w:tc>
          <w:tcPr>
            <w:tcW w:w="1156" w:type="dxa"/>
            <w:tcBorders>
              <w:top w:val="nil"/>
              <w:left w:val="nil"/>
              <w:bottom w:val="nil"/>
              <w:right w:val="nil"/>
            </w:tcBorders>
            <w:shd w:val="clear" w:color="000000" w:fill="C9E3B4"/>
            <w:noWrap/>
            <w:vAlign w:val="center"/>
            <w:hideMark/>
          </w:tcPr>
          <w:p w14:paraId="54DA4DB7" w14:textId="77777777" w:rsidR="00BC5219" w:rsidRPr="009612C6" w:rsidRDefault="00BC5219" w:rsidP="00E83802">
            <w:pPr>
              <w:jc w:val="right"/>
              <w:rPr>
                <w:rFonts w:ascii="Meta Pro" w:eastAsia="Times New Roman" w:hAnsi="Meta Pro"/>
                <w:szCs w:val="18"/>
                <w:lang w:eastAsia="en-AU"/>
              </w:rPr>
            </w:pPr>
            <w:r w:rsidRPr="009612C6">
              <w:rPr>
                <w:rFonts w:ascii="Meta Pro" w:eastAsia="Times New Roman" w:hAnsi="Meta Pro"/>
                <w:szCs w:val="18"/>
                <w:lang w:eastAsia="en-AU"/>
              </w:rPr>
              <w:t xml:space="preserve">136,814 </w:t>
            </w:r>
          </w:p>
        </w:tc>
        <w:tc>
          <w:tcPr>
            <w:tcW w:w="216" w:type="dxa"/>
            <w:tcBorders>
              <w:top w:val="nil"/>
              <w:left w:val="nil"/>
              <w:bottom w:val="nil"/>
              <w:right w:val="nil"/>
            </w:tcBorders>
            <w:shd w:val="clear" w:color="auto" w:fill="auto"/>
            <w:noWrap/>
            <w:vAlign w:val="center"/>
            <w:hideMark/>
          </w:tcPr>
          <w:p w14:paraId="55E4380D" w14:textId="77777777" w:rsidR="00BC5219" w:rsidRPr="009612C6"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2F472B02" w14:textId="77777777" w:rsidR="00BC5219" w:rsidRPr="009612C6" w:rsidRDefault="00BC5219" w:rsidP="00E83802">
            <w:pPr>
              <w:jc w:val="right"/>
              <w:rPr>
                <w:rFonts w:ascii="Meta Pro" w:eastAsia="Times New Roman" w:hAnsi="Meta Pro"/>
                <w:szCs w:val="18"/>
                <w:lang w:eastAsia="en-AU"/>
              </w:rPr>
            </w:pPr>
            <w:r w:rsidRPr="009612C6">
              <w:rPr>
                <w:rFonts w:ascii="Meta Pro" w:eastAsia="Times New Roman" w:hAnsi="Meta Pro"/>
                <w:szCs w:val="18"/>
                <w:lang w:eastAsia="en-AU"/>
              </w:rPr>
              <w:t xml:space="preserve">11,686 </w:t>
            </w:r>
          </w:p>
        </w:tc>
      </w:tr>
      <w:tr w:rsidR="00BC5219" w:rsidRPr="009612C6" w14:paraId="2F432798" w14:textId="77777777" w:rsidTr="00E83802">
        <w:trPr>
          <w:trHeight w:val="198"/>
        </w:trPr>
        <w:tc>
          <w:tcPr>
            <w:tcW w:w="7136" w:type="dxa"/>
            <w:tcBorders>
              <w:top w:val="nil"/>
              <w:left w:val="nil"/>
              <w:bottom w:val="nil"/>
              <w:right w:val="nil"/>
            </w:tcBorders>
            <w:shd w:val="clear" w:color="auto" w:fill="auto"/>
            <w:noWrap/>
            <w:vAlign w:val="center"/>
            <w:hideMark/>
          </w:tcPr>
          <w:p w14:paraId="1DC62489" w14:textId="77777777" w:rsidR="00BC5219" w:rsidRPr="009612C6" w:rsidRDefault="00BC5219" w:rsidP="00E83802">
            <w:pPr>
              <w:rPr>
                <w:rFonts w:ascii="Meta Pro" w:eastAsia="Times New Roman" w:hAnsi="Meta Pro"/>
                <w:szCs w:val="18"/>
                <w:lang w:eastAsia="en-AU"/>
              </w:rPr>
            </w:pPr>
            <w:r w:rsidRPr="009612C6">
              <w:rPr>
                <w:rFonts w:ascii="Meta Pro" w:eastAsia="Times New Roman" w:hAnsi="Meta Pro"/>
                <w:szCs w:val="18"/>
                <w:lang w:eastAsia="en-AU"/>
              </w:rPr>
              <w:t>Reduction in provision as a result of payments</w:t>
            </w:r>
          </w:p>
        </w:tc>
        <w:tc>
          <w:tcPr>
            <w:tcW w:w="1156" w:type="dxa"/>
            <w:tcBorders>
              <w:top w:val="nil"/>
              <w:left w:val="nil"/>
              <w:bottom w:val="nil"/>
              <w:right w:val="nil"/>
            </w:tcBorders>
            <w:shd w:val="clear" w:color="000000" w:fill="C9E3B4"/>
            <w:noWrap/>
            <w:vAlign w:val="center"/>
            <w:hideMark/>
          </w:tcPr>
          <w:p w14:paraId="557463D9" w14:textId="77777777" w:rsidR="00BC5219" w:rsidRPr="009612C6" w:rsidRDefault="00BC5219" w:rsidP="00E83802">
            <w:pPr>
              <w:jc w:val="right"/>
              <w:rPr>
                <w:rFonts w:ascii="Meta Pro" w:eastAsia="Times New Roman" w:hAnsi="Meta Pro"/>
                <w:szCs w:val="18"/>
                <w:lang w:eastAsia="en-AU"/>
              </w:rPr>
            </w:pPr>
            <w:r w:rsidRPr="009612C6">
              <w:rPr>
                <w:rFonts w:ascii="Meta Pro" w:eastAsia="Times New Roman" w:hAnsi="Meta Pro"/>
                <w:szCs w:val="18"/>
                <w:lang w:eastAsia="en-AU"/>
              </w:rPr>
              <w:t>(49,430)</w:t>
            </w:r>
          </w:p>
        </w:tc>
        <w:tc>
          <w:tcPr>
            <w:tcW w:w="216" w:type="dxa"/>
            <w:tcBorders>
              <w:top w:val="nil"/>
              <w:left w:val="nil"/>
              <w:bottom w:val="nil"/>
              <w:right w:val="nil"/>
            </w:tcBorders>
            <w:shd w:val="clear" w:color="auto" w:fill="auto"/>
            <w:noWrap/>
            <w:vAlign w:val="center"/>
            <w:hideMark/>
          </w:tcPr>
          <w:p w14:paraId="6D2771FE" w14:textId="77777777" w:rsidR="00BC5219" w:rsidRPr="009612C6"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1D4D0846" w14:textId="77777777" w:rsidR="00BC5219" w:rsidRPr="009612C6" w:rsidRDefault="00BC5219" w:rsidP="00E83802">
            <w:pPr>
              <w:jc w:val="right"/>
              <w:rPr>
                <w:rFonts w:ascii="Meta Pro" w:eastAsia="Times New Roman" w:hAnsi="Meta Pro"/>
                <w:szCs w:val="18"/>
                <w:lang w:eastAsia="en-AU"/>
              </w:rPr>
            </w:pPr>
            <w:r w:rsidRPr="009612C6">
              <w:rPr>
                <w:rFonts w:ascii="Meta Pro" w:eastAsia="Times New Roman" w:hAnsi="Meta Pro"/>
                <w:szCs w:val="18"/>
                <w:lang w:eastAsia="en-AU"/>
              </w:rPr>
              <w:t>(29,857)</w:t>
            </w:r>
          </w:p>
        </w:tc>
      </w:tr>
      <w:tr w:rsidR="00BC5219" w:rsidRPr="009612C6" w14:paraId="28BF9D73" w14:textId="77777777" w:rsidTr="00E83802">
        <w:trPr>
          <w:trHeight w:val="198"/>
        </w:trPr>
        <w:tc>
          <w:tcPr>
            <w:tcW w:w="7136" w:type="dxa"/>
            <w:tcBorders>
              <w:top w:val="nil"/>
              <w:left w:val="nil"/>
              <w:bottom w:val="nil"/>
              <w:right w:val="nil"/>
            </w:tcBorders>
            <w:shd w:val="clear" w:color="auto" w:fill="auto"/>
            <w:noWrap/>
            <w:vAlign w:val="center"/>
            <w:hideMark/>
          </w:tcPr>
          <w:p w14:paraId="3E52B49B" w14:textId="77777777" w:rsidR="00BC5219" w:rsidRPr="009612C6" w:rsidRDefault="00BC5219" w:rsidP="00E83802">
            <w:pPr>
              <w:rPr>
                <w:rFonts w:ascii="Meta Pro" w:eastAsia="Times New Roman" w:hAnsi="Meta Pro"/>
                <w:szCs w:val="18"/>
                <w:lang w:eastAsia="en-AU"/>
              </w:rPr>
            </w:pPr>
            <w:r w:rsidRPr="009612C6">
              <w:rPr>
                <w:rFonts w:ascii="Meta Pro" w:eastAsia="Times New Roman" w:hAnsi="Meta Pro"/>
                <w:szCs w:val="18"/>
                <w:lang w:eastAsia="en-AU"/>
              </w:rPr>
              <w:t>Reclassification from/(to) non-current provision</w:t>
            </w:r>
          </w:p>
        </w:tc>
        <w:tc>
          <w:tcPr>
            <w:tcW w:w="1156" w:type="dxa"/>
            <w:tcBorders>
              <w:top w:val="nil"/>
              <w:left w:val="nil"/>
              <w:bottom w:val="single" w:sz="4" w:space="0" w:color="auto"/>
              <w:right w:val="nil"/>
            </w:tcBorders>
            <w:shd w:val="clear" w:color="000000" w:fill="C9E3B4"/>
            <w:noWrap/>
            <w:vAlign w:val="center"/>
            <w:hideMark/>
          </w:tcPr>
          <w:p w14:paraId="05E7759B" w14:textId="77777777" w:rsidR="00BC5219" w:rsidRPr="009612C6" w:rsidRDefault="00BC5219" w:rsidP="00E83802">
            <w:pPr>
              <w:jc w:val="right"/>
              <w:rPr>
                <w:rFonts w:ascii="Meta Pro" w:eastAsia="Times New Roman" w:hAnsi="Meta Pro"/>
                <w:szCs w:val="18"/>
                <w:lang w:eastAsia="en-AU"/>
              </w:rPr>
            </w:pPr>
            <w:r w:rsidRPr="009612C6">
              <w:rPr>
                <w:rFonts w:ascii="Meta Pro" w:eastAsia="Times New Roman" w:hAnsi="Meta Pro"/>
                <w:szCs w:val="18"/>
                <w:lang w:eastAsia="en-AU"/>
              </w:rPr>
              <w:t>(35,826)</w:t>
            </w:r>
          </w:p>
        </w:tc>
        <w:tc>
          <w:tcPr>
            <w:tcW w:w="216" w:type="dxa"/>
            <w:tcBorders>
              <w:top w:val="nil"/>
              <w:left w:val="nil"/>
              <w:bottom w:val="nil"/>
              <w:right w:val="nil"/>
            </w:tcBorders>
            <w:shd w:val="clear" w:color="auto" w:fill="auto"/>
            <w:noWrap/>
            <w:vAlign w:val="center"/>
            <w:hideMark/>
          </w:tcPr>
          <w:p w14:paraId="1B975FE0" w14:textId="77777777" w:rsidR="00BC5219" w:rsidRPr="009612C6"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1945E06E" w14:textId="77777777" w:rsidR="00BC5219" w:rsidRPr="009612C6" w:rsidRDefault="00BC5219" w:rsidP="00E83802">
            <w:pPr>
              <w:jc w:val="right"/>
              <w:rPr>
                <w:rFonts w:ascii="Meta Pro" w:eastAsia="Times New Roman" w:hAnsi="Meta Pro"/>
                <w:szCs w:val="18"/>
                <w:lang w:eastAsia="en-AU"/>
              </w:rPr>
            </w:pPr>
            <w:r w:rsidRPr="009612C6">
              <w:rPr>
                <w:rFonts w:ascii="Meta Pro" w:eastAsia="Times New Roman" w:hAnsi="Meta Pro"/>
                <w:szCs w:val="18"/>
                <w:lang w:eastAsia="en-AU"/>
              </w:rPr>
              <w:t xml:space="preserve">45,783 </w:t>
            </w:r>
          </w:p>
        </w:tc>
      </w:tr>
      <w:tr w:rsidR="00BC5219" w:rsidRPr="009612C6" w14:paraId="14DCF634" w14:textId="77777777" w:rsidTr="00E83802">
        <w:trPr>
          <w:trHeight w:val="198"/>
        </w:trPr>
        <w:tc>
          <w:tcPr>
            <w:tcW w:w="7136" w:type="dxa"/>
            <w:tcBorders>
              <w:top w:val="single" w:sz="4" w:space="0" w:color="auto"/>
              <w:left w:val="nil"/>
              <w:bottom w:val="double" w:sz="6" w:space="0" w:color="auto"/>
              <w:right w:val="nil"/>
            </w:tcBorders>
            <w:shd w:val="clear" w:color="auto" w:fill="auto"/>
            <w:noWrap/>
            <w:vAlign w:val="center"/>
            <w:hideMark/>
          </w:tcPr>
          <w:p w14:paraId="5A08152D" w14:textId="77777777" w:rsidR="00BC5219" w:rsidRPr="009612C6" w:rsidRDefault="00BC5219" w:rsidP="00E83802">
            <w:pPr>
              <w:rPr>
                <w:rFonts w:ascii="Meta Pro" w:eastAsia="Times New Roman" w:hAnsi="Meta Pro"/>
                <w:szCs w:val="18"/>
                <w:lang w:eastAsia="en-AU"/>
              </w:rPr>
            </w:pPr>
            <w:r w:rsidRPr="009612C6">
              <w:rPr>
                <w:rFonts w:ascii="Meta Pro" w:eastAsia="Times New Roman" w:hAnsi="Meta Pro"/>
                <w:szCs w:val="18"/>
                <w:lang w:eastAsia="en-AU"/>
              </w:rPr>
              <w:t>Closing balance</w:t>
            </w:r>
          </w:p>
        </w:tc>
        <w:tc>
          <w:tcPr>
            <w:tcW w:w="1156" w:type="dxa"/>
            <w:tcBorders>
              <w:top w:val="nil"/>
              <w:left w:val="nil"/>
              <w:bottom w:val="double" w:sz="6" w:space="0" w:color="auto"/>
              <w:right w:val="nil"/>
            </w:tcBorders>
            <w:shd w:val="clear" w:color="000000" w:fill="C9E3B4"/>
            <w:noWrap/>
            <w:vAlign w:val="center"/>
            <w:hideMark/>
          </w:tcPr>
          <w:p w14:paraId="0321355F" w14:textId="77777777" w:rsidR="00BC5219" w:rsidRPr="009612C6" w:rsidRDefault="00BC5219" w:rsidP="00E83802">
            <w:pPr>
              <w:jc w:val="right"/>
              <w:rPr>
                <w:rFonts w:ascii="Meta Pro" w:eastAsia="Times New Roman" w:hAnsi="Meta Pro"/>
                <w:szCs w:val="18"/>
                <w:lang w:eastAsia="en-AU"/>
              </w:rPr>
            </w:pPr>
            <w:r w:rsidRPr="009612C6">
              <w:rPr>
                <w:rFonts w:ascii="Meta Pro" w:eastAsia="Times New Roman" w:hAnsi="Meta Pro"/>
                <w:szCs w:val="18"/>
                <w:lang w:eastAsia="en-AU"/>
              </w:rPr>
              <w:t xml:space="preserve">264,877 </w:t>
            </w:r>
          </w:p>
        </w:tc>
        <w:tc>
          <w:tcPr>
            <w:tcW w:w="216" w:type="dxa"/>
            <w:tcBorders>
              <w:top w:val="single" w:sz="4" w:space="0" w:color="auto"/>
              <w:left w:val="nil"/>
              <w:bottom w:val="double" w:sz="6" w:space="0" w:color="auto"/>
              <w:right w:val="nil"/>
            </w:tcBorders>
            <w:shd w:val="clear" w:color="auto" w:fill="auto"/>
            <w:noWrap/>
            <w:vAlign w:val="center"/>
            <w:hideMark/>
          </w:tcPr>
          <w:p w14:paraId="2C091EB5" w14:textId="77777777" w:rsidR="00BC5219" w:rsidRPr="009612C6" w:rsidRDefault="00BC5219" w:rsidP="00E83802">
            <w:pPr>
              <w:jc w:val="right"/>
              <w:rPr>
                <w:rFonts w:ascii="Meta Pro" w:eastAsia="Times New Roman" w:hAnsi="Meta Pro"/>
                <w:b/>
                <w:bCs/>
                <w:szCs w:val="18"/>
                <w:lang w:eastAsia="en-AU"/>
              </w:rPr>
            </w:pPr>
            <w:r w:rsidRPr="009612C6">
              <w:rPr>
                <w:rFonts w:ascii="Meta Pro" w:eastAsia="Times New Roman" w:hAnsi="Meta Pro"/>
                <w:b/>
                <w:bCs/>
                <w:szCs w:val="18"/>
                <w:lang w:eastAsia="en-AU"/>
              </w:rPr>
              <w:t> </w:t>
            </w:r>
          </w:p>
        </w:tc>
        <w:tc>
          <w:tcPr>
            <w:tcW w:w="1156" w:type="dxa"/>
            <w:tcBorders>
              <w:top w:val="single" w:sz="4" w:space="0" w:color="auto"/>
              <w:left w:val="nil"/>
              <w:bottom w:val="double" w:sz="6" w:space="0" w:color="auto"/>
              <w:right w:val="nil"/>
            </w:tcBorders>
            <w:shd w:val="clear" w:color="auto" w:fill="auto"/>
            <w:noWrap/>
            <w:vAlign w:val="center"/>
            <w:hideMark/>
          </w:tcPr>
          <w:p w14:paraId="74EBCB23" w14:textId="77777777" w:rsidR="00BC5219" w:rsidRPr="009612C6" w:rsidRDefault="00BC5219" w:rsidP="00E83802">
            <w:pPr>
              <w:jc w:val="right"/>
              <w:rPr>
                <w:rFonts w:ascii="Meta Pro" w:eastAsia="Times New Roman" w:hAnsi="Meta Pro"/>
                <w:szCs w:val="18"/>
                <w:lang w:eastAsia="en-AU"/>
              </w:rPr>
            </w:pPr>
            <w:r w:rsidRPr="009612C6">
              <w:rPr>
                <w:rFonts w:ascii="Meta Pro" w:eastAsia="Times New Roman" w:hAnsi="Meta Pro"/>
                <w:szCs w:val="18"/>
                <w:lang w:eastAsia="en-AU"/>
              </w:rPr>
              <w:t xml:space="preserve">182,203 </w:t>
            </w:r>
          </w:p>
        </w:tc>
      </w:tr>
      <w:tr w:rsidR="00BC5219" w:rsidRPr="009612C6" w14:paraId="748D83FA" w14:textId="77777777" w:rsidTr="00E83802">
        <w:trPr>
          <w:trHeight w:val="198"/>
        </w:trPr>
        <w:tc>
          <w:tcPr>
            <w:tcW w:w="7136" w:type="dxa"/>
            <w:tcBorders>
              <w:top w:val="nil"/>
              <w:left w:val="nil"/>
              <w:bottom w:val="nil"/>
              <w:right w:val="nil"/>
            </w:tcBorders>
            <w:shd w:val="clear" w:color="auto" w:fill="auto"/>
            <w:noWrap/>
            <w:vAlign w:val="center"/>
            <w:hideMark/>
          </w:tcPr>
          <w:p w14:paraId="7BDDDF5C" w14:textId="77777777" w:rsidR="00BC5219" w:rsidRPr="009612C6"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09CECEA7" w14:textId="77777777" w:rsidR="00BC5219" w:rsidRPr="009612C6" w:rsidRDefault="00BC5219" w:rsidP="00E83802">
            <w:pPr>
              <w:rPr>
                <w:rFonts w:ascii="Times New Roman" w:eastAsia="Times New Roman" w:hAnsi="Times New Roman"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5DDA8474" w14:textId="77777777" w:rsidR="00BC5219" w:rsidRPr="009612C6" w:rsidRDefault="00BC5219" w:rsidP="00E83802">
            <w:pPr>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2318414A" w14:textId="77777777" w:rsidR="00BC5219" w:rsidRPr="009612C6" w:rsidRDefault="00BC5219" w:rsidP="00E83802">
            <w:pPr>
              <w:jc w:val="right"/>
              <w:rPr>
                <w:rFonts w:ascii="Times New Roman" w:eastAsia="Times New Roman" w:hAnsi="Times New Roman" w:cs="Times New Roman"/>
                <w:sz w:val="20"/>
                <w:szCs w:val="20"/>
                <w:lang w:eastAsia="en-AU"/>
              </w:rPr>
            </w:pPr>
          </w:p>
        </w:tc>
      </w:tr>
      <w:tr w:rsidR="00BC5219" w:rsidRPr="009612C6" w14:paraId="2F927555" w14:textId="77777777" w:rsidTr="00E83802">
        <w:trPr>
          <w:trHeight w:val="198"/>
        </w:trPr>
        <w:tc>
          <w:tcPr>
            <w:tcW w:w="7136" w:type="dxa"/>
            <w:tcBorders>
              <w:top w:val="nil"/>
              <w:left w:val="nil"/>
              <w:bottom w:val="nil"/>
              <w:right w:val="nil"/>
            </w:tcBorders>
            <w:shd w:val="clear" w:color="auto" w:fill="auto"/>
            <w:noWrap/>
            <w:vAlign w:val="center"/>
            <w:hideMark/>
          </w:tcPr>
          <w:p w14:paraId="740D14B0" w14:textId="77777777" w:rsidR="00BC5219" w:rsidRPr="009612C6" w:rsidRDefault="00BC5219" w:rsidP="00E83802">
            <w:pPr>
              <w:rPr>
                <w:rFonts w:ascii="Meta Pro" w:eastAsia="Times New Roman" w:hAnsi="Meta Pro"/>
                <w:b/>
                <w:bCs/>
                <w:szCs w:val="18"/>
                <w:lang w:eastAsia="en-AU"/>
              </w:rPr>
            </w:pPr>
            <w:r w:rsidRPr="009612C6">
              <w:rPr>
                <w:rFonts w:ascii="Meta Pro" w:eastAsia="Times New Roman" w:hAnsi="Meta Pro"/>
                <w:b/>
                <w:bCs/>
                <w:szCs w:val="18"/>
                <w:lang w:eastAsia="en-AU"/>
              </w:rPr>
              <w:t>Non-current</w:t>
            </w:r>
          </w:p>
        </w:tc>
        <w:tc>
          <w:tcPr>
            <w:tcW w:w="1156" w:type="dxa"/>
            <w:tcBorders>
              <w:top w:val="nil"/>
              <w:left w:val="nil"/>
              <w:bottom w:val="nil"/>
              <w:right w:val="nil"/>
            </w:tcBorders>
            <w:shd w:val="clear" w:color="auto" w:fill="auto"/>
            <w:noWrap/>
            <w:vAlign w:val="center"/>
            <w:hideMark/>
          </w:tcPr>
          <w:p w14:paraId="34DFA258" w14:textId="77777777" w:rsidR="00BC5219" w:rsidRPr="009612C6" w:rsidRDefault="00BC5219" w:rsidP="00E83802">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0263CDEF" w14:textId="77777777" w:rsidR="00BC5219" w:rsidRPr="009612C6"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49DFF3A2" w14:textId="77777777" w:rsidR="00BC5219" w:rsidRPr="009612C6" w:rsidRDefault="00BC5219" w:rsidP="00E83802">
            <w:pPr>
              <w:jc w:val="right"/>
              <w:rPr>
                <w:rFonts w:ascii="Times New Roman" w:eastAsia="Times New Roman" w:hAnsi="Times New Roman" w:cs="Times New Roman"/>
                <w:sz w:val="20"/>
                <w:szCs w:val="20"/>
                <w:lang w:eastAsia="en-AU"/>
              </w:rPr>
            </w:pPr>
          </w:p>
        </w:tc>
      </w:tr>
      <w:tr w:rsidR="00BC5219" w:rsidRPr="009612C6" w14:paraId="42EFDE33" w14:textId="77777777" w:rsidTr="00E83802">
        <w:trPr>
          <w:trHeight w:val="198"/>
        </w:trPr>
        <w:tc>
          <w:tcPr>
            <w:tcW w:w="7136" w:type="dxa"/>
            <w:tcBorders>
              <w:top w:val="nil"/>
              <w:left w:val="nil"/>
              <w:bottom w:val="nil"/>
              <w:right w:val="nil"/>
            </w:tcBorders>
            <w:shd w:val="clear" w:color="auto" w:fill="auto"/>
            <w:noWrap/>
            <w:vAlign w:val="center"/>
            <w:hideMark/>
          </w:tcPr>
          <w:p w14:paraId="20AC0271" w14:textId="77777777" w:rsidR="00BC5219" w:rsidRPr="009612C6" w:rsidRDefault="00BC5219" w:rsidP="00E83802">
            <w:pPr>
              <w:rPr>
                <w:rFonts w:ascii="Meta Pro" w:eastAsia="Times New Roman" w:hAnsi="Meta Pro"/>
                <w:szCs w:val="18"/>
                <w:lang w:eastAsia="en-AU"/>
              </w:rPr>
            </w:pPr>
            <w:r w:rsidRPr="009612C6">
              <w:rPr>
                <w:rFonts w:ascii="Meta Pro" w:eastAsia="Times New Roman" w:hAnsi="Meta Pro"/>
                <w:szCs w:val="18"/>
                <w:lang w:eastAsia="en-AU"/>
              </w:rPr>
              <w:t>Opening balance</w:t>
            </w:r>
          </w:p>
        </w:tc>
        <w:tc>
          <w:tcPr>
            <w:tcW w:w="1156" w:type="dxa"/>
            <w:tcBorders>
              <w:top w:val="nil"/>
              <w:left w:val="nil"/>
              <w:bottom w:val="nil"/>
              <w:right w:val="nil"/>
            </w:tcBorders>
            <w:shd w:val="clear" w:color="000000" w:fill="C9E3B4"/>
            <w:noWrap/>
            <w:vAlign w:val="center"/>
            <w:hideMark/>
          </w:tcPr>
          <w:p w14:paraId="01E66440" w14:textId="77777777" w:rsidR="00BC5219" w:rsidRPr="009612C6" w:rsidRDefault="00BC5219" w:rsidP="00E83802">
            <w:pPr>
              <w:jc w:val="right"/>
              <w:rPr>
                <w:rFonts w:ascii="Meta Pro" w:eastAsia="Times New Roman" w:hAnsi="Meta Pro"/>
                <w:szCs w:val="18"/>
                <w:lang w:eastAsia="en-AU"/>
              </w:rPr>
            </w:pPr>
            <w:r w:rsidRPr="009612C6">
              <w:rPr>
                <w:rFonts w:ascii="Meta Pro" w:eastAsia="Times New Roman" w:hAnsi="Meta Pro"/>
                <w:szCs w:val="18"/>
                <w:lang w:eastAsia="en-AU"/>
              </w:rPr>
              <w:t xml:space="preserve">122,271 </w:t>
            </w:r>
          </w:p>
        </w:tc>
        <w:tc>
          <w:tcPr>
            <w:tcW w:w="216" w:type="dxa"/>
            <w:tcBorders>
              <w:top w:val="nil"/>
              <w:left w:val="nil"/>
              <w:bottom w:val="nil"/>
              <w:right w:val="nil"/>
            </w:tcBorders>
            <w:shd w:val="clear" w:color="auto" w:fill="auto"/>
            <w:noWrap/>
            <w:vAlign w:val="center"/>
            <w:hideMark/>
          </w:tcPr>
          <w:p w14:paraId="7EA08B64" w14:textId="77777777" w:rsidR="00BC5219" w:rsidRPr="009612C6"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7010789C" w14:textId="77777777" w:rsidR="00BC5219" w:rsidRPr="009612C6" w:rsidRDefault="00BC5219" w:rsidP="00E83802">
            <w:pPr>
              <w:jc w:val="right"/>
              <w:rPr>
                <w:rFonts w:ascii="Meta Pro" w:eastAsia="Times New Roman" w:hAnsi="Meta Pro"/>
                <w:szCs w:val="18"/>
                <w:lang w:eastAsia="en-AU"/>
              </w:rPr>
            </w:pPr>
            <w:r w:rsidRPr="009612C6">
              <w:rPr>
                <w:rFonts w:ascii="Meta Pro" w:eastAsia="Times New Roman" w:hAnsi="Meta Pro"/>
                <w:szCs w:val="18"/>
                <w:lang w:eastAsia="en-AU"/>
              </w:rPr>
              <w:t xml:space="preserve">151,027 </w:t>
            </w:r>
          </w:p>
        </w:tc>
      </w:tr>
      <w:tr w:rsidR="00BC5219" w:rsidRPr="009612C6" w14:paraId="70F5A90E" w14:textId="77777777" w:rsidTr="00E83802">
        <w:trPr>
          <w:trHeight w:val="198"/>
        </w:trPr>
        <w:tc>
          <w:tcPr>
            <w:tcW w:w="7136" w:type="dxa"/>
            <w:tcBorders>
              <w:top w:val="nil"/>
              <w:left w:val="nil"/>
              <w:bottom w:val="nil"/>
              <w:right w:val="nil"/>
            </w:tcBorders>
            <w:shd w:val="clear" w:color="auto" w:fill="auto"/>
            <w:noWrap/>
            <w:vAlign w:val="center"/>
            <w:hideMark/>
          </w:tcPr>
          <w:p w14:paraId="072C292A" w14:textId="77777777" w:rsidR="00BC5219" w:rsidRPr="009612C6" w:rsidRDefault="00BC5219" w:rsidP="00E83802">
            <w:pPr>
              <w:rPr>
                <w:rFonts w:ascii="Meta Pro" w:eastAsia="Times New Roman" w:hAnsi="Meta Pro"/>
                <w:szCs w:val="18"/>
                <w:lang w:eastAsia="en-AU"/>
              </w:rPr>
            </w:pPr>
            <w:r w:rsidRPr="009612C6">
              <w:rPr>
                <w:rFonts w:ascii="Meta Pro" w:eastAsia="Times New Roman" w:hAnsi="Meta Pro"/>
                <w:szCs w:val="18"/>
                <w:lang w:eastAsia="en-AU"/>
              </w:rPr>
              <w:t>Restatement of provision</w:t>
            </w:r>
          </w:p>
        </w:tc>
        <w:tc>
          <w:tcPr>
            <w:tcW w:w="1156" w:type="dxa"/>
            <w:tcBorders>
              <w:top w:val="nil"/>
              <w:left w:val="nil"/>
              <w:bottom w:val="nil"/>
              <w:right w:val="nil"/>
            </w:tcBorders>
            <w:shd w:val="clear" w:color="000000" w:fill="C9E3B4"/>
            <w:noWrap/>
            <w:vAlign w:val="center"/>
            <w:hideMark/>
          </w:tcPr>
          <w:p w14:paraId="4433F38B" w14:textId="77777777" w:rsidR="00BC5219" w:rsidRPr="009612C6" w:rsidRDefault="00BC5219" w:rsidP="00E83802">
            <w:pPr>
              <w:jc w:val="right"/>
              <w:rPr>
                <w:rFonts w:ascii="Meta Pro" w:eastAsia="Times New Roman" w:hAnsi="Meta Pro"/>
                <w:szCs w:val="18"/>
                <w:lang w:eastAsia="en-AU"/>
              </w:rPr>
            </w:pPr>
            <w:r w:rsidRPr="009612C6">
              <w:rPr>
                <w:rFonts w:ascii="Meta Pro" w:eastAsia="Times New Roman" w:hAnsi="Meta Pro"/>
                <w:szCs w:val="18"/>
                <w:lang w:eastAsia="en-AU"/>
              </w:rPr>
              <w:t>(308)</w:t>
            </w:r>
          </w:p>
        </w:tc>
        <w:tc>
          <w:tcPr>
            <w:tcW w:w="216" w:type="dxa"/>
            <w:tcBorders>
              <w:top w:val="nil"/>
              <w:left w:val="nil"/>
              <w:bottom w:val="nil"/>
              <w:right w:val="nil"/>
            </w:tcBorders>
            <w:shd w:val="clear" w:color="auto" w:fill="auto"/>
            <w:noWrap/>
            <w:vAlign w:val="center"/>
            <w:hideMark/>
          </w:tcPr>
          <w:p w14:paraId="1812F9AF" w14:textId="77777777" w:rsidR="00BC5219" w:rsidRPr="009612C6"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2B016E6A" w14:textId="77777777" w:rsidR="00BC5219" w:rsidRPr="009612C6" w:rsidRDefault="00BC5219" w:rsidP="00E83802">
            <w:pPr>
              <w:jc w:val="right"/>
              <w:rPr>
                <w:rFonts w:ascii="Meta Pro" w:eastAsia="Times New Roman" w:hAnsi="Meta Pro"/>
                <w:szCs w:val="18"/>
                <w:lang w:eastAsia="en-AU"/>
              </w:rPr>
            </w:pPr>
            <w:r w:rsidRPr="009612C6">
              <w:rPr>
                <w:rFonts w:ascii="Meta Pro" w:eastAsia="Times New Roman" w:hAnsi="Meta Pro"/>
                <w:szCs w:val="18"/>
                <w:lang w:eastAsia="en-AU"/>
              </w:rPr>
              <w:t>(9,584)</w:t>
            </w:r>
          </w:p>
        </w:tc>
      </w:tr>
      <w:tr w:rsidR="00BC5219" w:rsidRPr="009612C6" w14:paraId="2659A568" w14:textId="77777777" w:rsidTr="00E83802">
        <w:trPr>
          <w:trHeight w:val="198"/>
        </w:trPr>
        <w:tc>
          <w:tcPr>
            <w:tcW w:w="7136" w:type="dxa"/>
            <w:tcBorders>
              <w:top w:val="nil"/>
              <w:left w:val="nil"/>
              <w:bottom w:val="nil"/>
              <w:right w:val="nil"/>
            </w:tcBorders>
            <w:shd w:val="clear" w:color="auto" w:fill="auto"/>
            <w:noWrap/>
            <w:vAlign w:val="center"/>
            <w:hideMark/>
          </w:tcPr>
          <w:p w14:paraId="1B63620B" w14:textId="77777777" w:rsidR="00BC5219" w:rsidRPr="009612C6" w:rsidRDefault="00BC5219" w:rsidP="00E83802">
            <w:pPr>
              <w:rPr>
                <w:rFonts w:ascii="Meta Pro" w:eastAsia="Times New Roman" w:hAnsi="Meta Pro"/>
                <w:szCs w:val="18"/>
                <w:lang w:eastAsia="en-AU"/>
              </w:rPr>
            </w:pPr>
            <w:r w:rsidRPr="009612C6">
              <w:rPr>
                <w:rFonts w:ascii="Meta Pro" w:eastAsia="Times New Roman" w:hAnsi="Meta Pro"/>
                <w:szCs w:val="18"/>
                <w:lang w:eastAsia="en-AU"/>
              </w:rPr>
              <w:t>Additional provision recognised</w:t>
            </w:r>
          </w:p>
        </w:tc>
        <w:tc>
          <w:tcPr>
            <w:tcW w:w="1156" w:type="dxa"/>
            <w:tcBorders>
              <w:top w:val="nil"/>
              <w:left w:val="nil"/>
              <w:bottom w:val="nil"/>
              <w:right w:val="nil"/>
            </w:tcBorders>
            <w:shd w:val="clear" w:color="000000" w:fill="C9E3B4"/>
            <w:noWrap/>
            <w:vAlign w:val="center"/>
            <w:hideMark/>
          </w:tcPr>
          <w:p w14:paraId="4EB4FF76" w14:textId="77777777" w:rsidR="00BC5219" w:rsidRPr="009612C6" w:rsidRDefault="00BC5219" w:rsidP="00E83802">
            <w:pPr>
              <w:jc w:val="right"/>
              <w:rPr>
                <w:rFonts w:ascii="Meta Pro" w:eastAsia="Times New Roman" w:hAnsi="Meta Pro"/>
                <w:szCs w:val="18"/>
                <w:lang w:eastAsia="en-AU"/>
              </w:rPr>
            </w:pPr>
            <w:r w:rsidRPr="009612C6">
              <w:rPr>
                <w:rFonts w:ascii="Meta Pro" w:eastAsia="Times New Roman" w:hAnsi="Meta Pro"/>
                <w:szCs w:val="18"/>
                <w:lang w:eastAsia="en-AU"/>
              </w:rPr>
              <w:t xml:space="preserve">39,189 </w:t>
            </w:r>
          </w:p>
        </w:tc>
        <w:tc>
          <w:tcPr>
            <w:tcW w:w="216" w:type="dxa"/>
            <w:tcBorders>
              <w:top w:val="nil"/>
              <w:left w:val="nil"/>
              <w:bottom w:val="nil"/>
              <w:right w:val="nil"/>
            </w:tcBorders>
            <w:shd w:val="clear" w:color="auto" w:fill="auto"/>
            <w:noWrap/>
            <w:vAlign w:val="center"/>
            <w:hideMark/>
          </w:tcPr>
          <w:p w14:paraId="10B925F1" w14:textId="77777777" w:rsidR="00BC5219" w:rsidRPr="009612C6"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29F13A63" w14:textId="77777777" w:rsidR="00BC5219" w:rsidRPr="009612C6" w:rsidRDefault="00BC5219" w:rsidP="00E83802">
            <w:pPr>
              <w:jc w:val="right"/>
              <w:rPr>
                <w:rFonts w:ascii="Meta Pro" w:eastAsia="Times New Roman" w:hAnsi="Meta Pro"/>
                <w:szCs w:val="18"/>
                <w:lang w:eastAsia="en-AU"/>
              </w:rPr>
            </w:pPr>
            <w:r w:rsidRPr="009612C6">
              <w:rPr>
                <w:rFonts w:ascii="Meta Pro" w:eastAsia="Times New Roman" w:hAnsi="Meta Pro"/>
                <w:szCs w:val="18"/>
                <w:lang w:eastAsia="en-AU"/>
              </w:rPr>
              <w:t xml:space="preserve">27,269 </w:t>
            </w:r>
          </w:p>
        </w:tc>
      </w:tr>
      <w:tr w:rsidR="00BC5219" w:rsidRPr="009612C6" w14:paraId="21669B2D" w14:textId="77777777" w:rsidTr="00E83802">
        <w:trPr>
          <w:trHeight w:val="198"/>
        </w:trPr>
        <w:tc>
          <w:tcPr>
            <w:tcW w:w="7136" w:type="dxa"/>
            <w:tcBorders>
              <w:top w:val="nil"/>
              <w:left w:val="nil"/>
              <w:bottom w:val="nil"/>
              <w:right w:val="nil"/>
            </w:tcBorders>
            <w:shd w:val="clear" w:color="auto" w:fill="auto"/>
            <w:noWrap/>
            <w:vAlign w:val="center"/>
            <w:hideMark/>
          </w:tcPr>
          <w:p w14:paraId="582B5E85" w14:textId="77777777" w:rsidR="00BC5219" w:rsidRPr="009612C6" w:rsidRDefault="00BC5219" w:rsidP="00E83802">
            <w:pPr>
              <w:rPr>
                <w:rFonts w:ascii="Meta Pro" w:eastAsia="Times New Roman" w:hAnsi="Meta Pro"/>
                <w:szCs w:val="18"/>
                <w:lang w:eastAsia="en-AU"/>
              </w:rPr>
            </w:pPr>
            <w:r w:rsidRPr="009612C6">
              <w:rPr>
                <w:rFonts w:ascii="Meta Pro" w:eastAsia="Times New Roman" w:hAnsi="Meta Pro"/>
                <w:szCs w:val="18"/>
                <w:lang w:eastAsia="en-AU"/>
              </w:rPr>
              <w:t>Reduction in provision as a result of payments</w:t>
            </w:r>
          </w:p>
        </w:tc>
        <w:tc>
          <w:tcPr>
            <w:tcW w:w="1156" w:type="dxa"/>
            <w:tcBorders>
              <w:top w:val="nil"/>
              <w:left w:val="nil"/>
              <w:bottom w:val="nil"/>
              <w:right w:val="nil"/>
            </w:tcBorders>
            <w:shd w:val="clear" w:color="000000" w:fill="C9E3B4"/>
            <w:noWrap/>
            <w:vAlign w:val="center"/>
            <w:hideMark/>
          </w:tcPr>
          <w:p w14:paraId="12D6090F" w14:textId="77777777" w:rsidR="00BC5219" w:rsidRPr="009612C6" w:rsidRDefault="00BC5219" w:rsidP="00E83802">
            <w:pPr>
              <w:jc w:val="right"/>
              <w:rPr>
                <w:rFonts w:ascii="Meta Pro" w:eastAsia="Times New Roman" w:hAnsi="Meta Pro"/>
                <w:szCs w:val="18"/>
                <w:lang w:eastAsia="en-AU"/>
              </w:rPr>
            </w:pPr>
            <w:r w:rsidRPr="009612C6">
              <w:rPr>
                <w:rFonts w:ascii="Meta Pro" w:eastAsia="Times New Roman" w:hAnsi="Meta Pro"/>
                <w:szCs w:val="18"/>
                <w:lang w:eastAsia="en-AU"/>
              </w:rPr>
              <w:t>(6,430)</w:t>
            </w:r>
          </w:p>
        </w:tc>
        <w:tc>
          <w:tcPr>
            <w:tcW w:w="216" w:type="dxa"/>
            <w:tcBorders>
              <w:top w:val="nil"/>
              <w:left w:val="nil"/>
              <w:bottom w:val="nil"/>
              <w:right w:val="nil"/>
            </w:tcBorders>
            <w:shd w:val="clear" w:color="auto" w:fill="auto"/>
            <w:noWrap/>
            <w:vAlign w:val="center"/>
            <w:hideMark/>
          </w:tcPr>
          <w:p w14:paraId="382637C7" w14:textId="77777777" w:rsidR="00BC5219" w:rsidRPr="009612C6"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2D369108" w14:textId="77777777" w:rsidR="00BC5219" w:rsidRPr="009612C6" w:rsidRDefault="00BC5219" w:rsidP="00E83802">
            <w:pPr>
              <w:jc w:val="right"/>
              <w:rPr>
                <w:rFonts w:ascii="Meta Pro" w:eastAsia="Times New Roman" w:hAnsi="Meta Pro"/>
                <w:szCs w:val="18"/>
                <w:lang w:eastAsia="en-AU"/>
              </w:rPr>
            </w:pPr>
            <w:r w:rsidRPr="009612C6">
              <w:rPr>
                <w:rFonts w:ascii="Meta Pro" w:eastAsia="Times New Roman" w:hAnsi="Meta Pro"/>
                <w:szCs w:val="18"/>
                <w:lang w:eastAsia="en-AU"/>
              </w:rPr>
              <w:t>(658)</w:t>
            </w:r>
          </w:p>
        </w:tc>
      </w:tr>
      <w:tr w:rsidR="00BC5219" w:rsidRPr="009612C6" w14:paraId="03FED6C4" w14:textId="77777777" w:rsidTr="00E83802">
        <w:trPr>
          <w:trHeight w:val="198"/>
        </w:trPr>
        <w:tc>
          <w:tcPr>
            <w:tcW w:w="7136" w:type="dxa"/>
            <w:tcBorders>
              <w:top w:val="nil"/>
              <w:left w:val="nil"/>
              <w:bottom w:val="nil"/>
              <w:right w:val="nil"/>
            </w:tcBorders>
            <w:shd w:val="clear" w:color="auto" w:fill="auto"/>
            <w:noWrap/>
            <w:vAlign w:val="center"/>
            <w:hideMark/>
          </w:tcPr>
          <w:p w14:paraId="785BDAD2" w14:textId="77777777" w:rsidR="00BC5219" w:rsidRPr="009612C6" w:rsidRDefault="00BC5219" w:rsidP="00E83802">
            <w:pPr>
              <w:rPr>
                <w:rFonts w:ascii="Meta Pro" w:eastAsia="Times New Roman" w:hAnsi="Meta Pro"/>
                <w:szCs w:val="18"/>
                <w:lang w:eastAsia="en-AU"/>
              </w:rPr>
            </w:pPr>
            <w:r w:rsidRPr="009612C6">
              <w:rPr>
                <w:rFonts w:ascii="Meta Pro" w:eastAsia="Times New Roman" w:hAnsi="Meta Pro"/>
                <w:szCs w:val="18"/>
                <w:lang w:eastAsia="en-AU"/>
              </w:rPr>
              <w:t>Reclassification (to)/from current provision</w:t>
            </w:r>
          </w:p>
        </w:tc>
        <w:tc>
          <w:tcPr>
            <w:tcW w:w="1156" w:type="dxa"/>
            <w:tcBorders>
              <w:top w:val="nil"/>
              <w:left w:val="nil"/>
              <w:bottom w:val="nil"/>
              <w:right w:val="nil"/>
            </w:tcBorders>
            <w:shd w:val="clear" w:color="000000" w:fill="C9E3B4"/>
            <w:noWrap/>
            <w:vAlign w:val="center"/>
            <w:hideMark/>
          </w:tcPr>
          <w:p w14:paraId="76E6A372" w14:textId="77777777" w:rsidR="00BC5219" w:rsidRPr="009612C6" w:rsidRDefault="00BC5219" w:rsidP="00E83802">
            <w:pPr>
              <w:jc w:val="right"/>
              <w:rPr>
                <w:rFonts w:ascii="Meta Pro" w:eastAsia="Times New Roman" w:hAnsi="Meta Pro"/>
                <w:szCs w:val="18"/>
                <w:lang w:eastAsia="en-AU"/>
              </w:rPr>
            </w:pPr>
            <w:r w:rsidRPr="009612C6">
              <w:rPr>
                <w:rFonts w:ascii="Meta Pro" w:eastAsia="Times New Roman" w:hAnsi="Meta Pro"/>
                <w:szCs w:val="18"/>
                <w:lang w:eastAsia="en-AU"/>
              </w:rPr>
              <w:t xml:space="preserve">35,826 </w:t>
            </w:r>
          </w:p>
        </w:tc>
        <w:tc>
          <w:tcPr>
            <w:tcW w:w="216" w:type="dxa"/>
            <w:tcBorders>
              <w:top w:val="nil"/>
              <w:left w:val="nil"/>
              <w:bottom w:val="nil"/>
              <w:right w:val="nil"/>
            </w:tcBorders>
            <w:shd w:val="clear" w:color="auto" w:fill="auto"/>
            <w:noWrap/>
            <w:vAlign w:val="center"/>
            <w:hideMark/>
          </w:tcPr>
          <w:p w14:paraId="091941AE" w14:textId="77777777" w:rsidR="00BC5219" w:rsidRPr="009612C6"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28F96E07" w14:textId="77777777" w:rsidR="00BC5219" w:rsidRPr="009612C6" w:rsidRDefault="00BC5219" w:rsidP="00E83802">
            <w:pPr>
              <w:jc w:val="right"/>
              <w:rPr>
                <w:rFonts w:ascii="Meta Pro" w:eastAsia="Times New Roman" w:hAnsi="Meta Pro"/>
                <w:szCs w:val="18"/>
                <w:lang w:eastAsia="en-AU"/>
              </w:rPr>
            </w:pPr>
            <w:r w:rsidRPr="009612C6">
              <w:rPr>
                <w:rFonts w:ascii="Meta Pro" w:eastAsia="Times New Roman" w:hAnsi="Meta Pro"/>
                <w:szCs w:val="18"/>
                <w:lang w:eastAsia="en-AU"/>
              </w:rPr>
              <w:t>(45,783)</w:t>
            </w:r>
          </w:p>
        </w:tc>
      </w:tr>
      <w:tr w:rsidR="00BC5219" w:rsidRPr="009612C6" w14:paraId="30CC59C0" w14:textId="77777777" w:rsidTr="00E83802">
        <w:trPr>
          <w:trHeight w:val="198"/>
        </w:trPr>
        <w:tc>
          <w:tcPr>
            <w:tcW w:w="7136" w:type="dxa"/>
            <w:tcBorders>
              <w:top w:val="single" w:sz="4" w:space="0" w:color="auto"/>
              <w:left w:val="nil"/>
              <w:bottom w:val="double" w:sz="6" w:space="0" w:color="auto"/>
              <w:right w:val="nil"/>
            </w:tcBorders>
            <w:shd w:val="clear" w:color="auto" w:fill="auto"/>
            <w:noWrap/>
            <w:vAlign w:val="center"/>
            <w:hideMark/>
          </w:tcPr>
          <w:p w14:paraId="6281D6F9" w14:textId="77777777" w:rsidR="00BC5219" w:rsidRPr="009612C6" w:rsidRDefault="00BC5219" w:rsidP="00E83802">
            <w:pPr>
              <w:rPr>
                <w:rFonts w:ascii="Meta Pro" w:eastAsia="Times New Roman" w:hAnsi="Meta Pro"/>
                <w:szCs w:val="18"/>
                <w:lang w:eastAsia="en-AU"/>
              </w:rPr>
            </w:pPr>
            <w:r w:rsidRPr="009612C6">
              <w:rPr>
                <w:rFonts w:ascii="Meta Pro" w:eastAsia="Times New Roman" w:hAnsi="Meta Pro"/>
                <w:szCs w:val="18"/>
                <w:lang w:eastAsia="en-AU"/>
              </w:rPr>
              <w:t>Closing balance</w:t>
            </w:r>
          </w:p>
        </w:tc>
        <w:tc>
          <w:tcPr>
            <w:tcW w:w="1156" w:type="dxa"/>
            <w:tcBorders>
              <w:top w:val="single" w:sz="4" w:space="0" w:color="auto"/>
              <w:left w:val="nil"/>
              <w:bottom w:val="double" w:sz="6" w:space="0" w:color="auto"/>
              <w:right w:val="nil"/>
            </w:tcBorders>
            <w:shd w:val="clear" w:color="000000" w:fill="C9E3B4"/>
            <w:noWrap/>
            <w:vAlign w:val="center"/>
            <w:hideMark/>
          </w:tcPr>
          <w:p w14:paraId="2A20EA05" w14:textId="77777777" w:rsidR="00BC5219" w:rsidRPr="009612C6" w:rsidRDefault="00BC5219" w:rsidP="00E83802">
            <w:pPr>
              <w:jc w:val="right"/>
              <w:rPr>
                <w:rFonts w:ascii="Meta Pro" w:eastAsia="Times New Roman" w:hAnsi="Meta Pro"/>
                <w:szCs w:val="18"/>
                <w:lang w:eastAsia="en-AU"/>
              </w:rPr>
            </w:pPr>
            <w:r w:rsidRPr="009612C6">
              <w:rPr>
                <w:rFonts w:ascii="Meta Pro" w:eastAsia="Times New Roman" w:hAnsi="Meta Pro"/>
                <w:szCs w:val="18"/>
                <w:lang w:eastAsia="en-AU"/>
              </w:rPr>
              <w:t xml:space="preserve">190,548 </w:t>
            </w:r>
          </w:p>
        </w:tc>
        <w:tc>
          <w:tcPr>
            <w:tcW w:w="216" w:type="dxa"/>
            <w:tcBorders>
              <w:top w:val="single" w:sz="4" w:space="0" w:color="auto"/>
              <w:left w:val="nil"/>
              <w:bottom w:val="double" w:sz="6" w:space="0" w:color="auto"/>
              <w:right w:val="nil"/>
            </w:tcBorders>
            <w:shd w:val="clear" w:color="auto" w:fill="auto"/>
            <w:noWrap/>
            <w:vAlign w:val="center"/>
            <w:hideMark/>
          </w:tcPr>
          <w:p w14:paraId="4BBE9A4E" w14:textId="77777777" w:rsidR="00BC5219" w:rsidRPr="009612C6" w:rsidRDefault="00BC5219" w:rsidP="00E83802">
            <w:pPr>
              <w:jc w:val="right"/>
              <w:rPr>
                <w:rFonts w:ascii="Meta Pro" w:eastAsia="Times New Roman" w:hAnsi="Meta Pro"/>
                <w:b/>
                <w:bCs/>
                <w:szCs w:val="18"/>
                <w:lang w:eastAsia="en-AU"/>
              </w:rPr>
            </w:pPr>
            <w:r w:rsidRPr="009612C6">
              <w:rPr>
                <w:rFonts w:ascii="Meta Pro" w:eastAsia="Times New Roman" w:hAnsi="Meta Pro"/>
                <w:b/>
                <w:bCs/>
                <w:szCs w:val="18"/>
                <w:lang w:eastAsia="en-AU"/>
              </w:rPr>
              <w:t> </w:t>
            </w:r>
          </w:p>
        </w:tc>
        <w:tc>
          <w:tcPr>
            <w:tcW w:w="1156" w:type="dxa"/>
            <w:tcBorders>
              <w:top w:val="single" w:sz="4" w:space="0" w:color="auto"/>
              <w:left w:val="nil"/>
              <w:bottom w:val="double" w:sz="6" w:space="0" w:color="auto"/>
              <w:right w:val="nil"/>
            </w:tcBorders>
            <w:shd w:val="clear" w:color="auto" w:fill="auto"/>
            <w:noWrap/>
            <w:vAlign w:val="center"/>
            <w:hideMark/>
          </w:tcPr>
          <w:p w14:paraId="6A329007" w14:textId="77777777" w:rsidR="00BC5219" w:rsidRPr="009612C6" w:rsidRDefault="00BC5219" w:rsidP="00E83802">
            <w:pPr>
              <w:jc w:val="right"/>
              <w:rPr>
                <w:rFonts w:ascii="Meta Pro" w:eastAsia="Times New Roman" w:hAnsi="Meta Pro"/>
                <w:szCs w:val="18"/>
                <w:lang w:eastAsia="en-AU"/>
              </w:rPr>
            </w:pPr>
            <w:r w:rsidRPr="009612C6">
              <w:rPr>
                <w:rFonts w:ascii="Meta Pro" w:eastAsia="Times New Roman" w:hAnsi="Meta Pro"/>
                <w:szCs w:val="18"/>
                <w:lang w:eastAsia="en-AU"/>
              </w:rPr>
              <w:t xml:space="preserve">122,271 </w:t>
            </w:r>
          </w:p>
        </w:tc>
      </w:tr>
    </w:tbl>
    <w:p w14:paraId="2A9BE23C" w14:textId="77777777" w:rsidR="00BC5219" w:rsidRPr="005460DB" w:rsidRDefault="00BC5219" w:rsidP="00BC5219">
      <w:pPr>
        <w:spacing w:line="259" w:lineRule="auto"/>
        <w:rPr>
          <w:rFonts w:ascii="Meta Pro" w:hAnsi="Meta Pro"/>
          <w:b/>
          <w:bCs/>
          <w:lang w:eastAsia="en-AU"/>
        </w:rPr>
        <w:sectPr w:rsidR="00BC5219" w:rsidRPr="005460DB" w:rsidSect="00A7220B">
          <w:headerReference w:type="default" r:id="rId120"/>
          <w:footerReference w:type="default" r:id="rId121"/>
          <w:type w:val="continuous"/>
          <w:pgSz w:w="11906" w:h="16838"/>
          <w:pgMar w:top="1701" w:right="851" w:bottom="1134" w:left="851" w:header="454" w:footer="454" w:gutter="0"/>
          <w:pgNumType w:start="30"/>
          <w:cols w:space="708"/>
          <w:docGrid w:linePitch="360"/>
        </w:sectPr>
      </w:pPr>
    </w:p>
    <w:p w14:paraId="3942D636"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r w:rsidRPr="008A2B8F">
        <w:rPr>
          <w:rFonts w:ascii="Meta Pro" w:eastAsia="Times New Roman" w:hAnsi="Meta Pro"/>
          <w:i/>
          <w:iCs/>
          <w:color w:val="000000" w:themeColor="text1"/>
          <w:lang w:eastAsia="en-AU"/>
        </w:rPr>
        <w:lastRenderedPageBreak/>
        <w:t>Department of Transport and Main Roads</w:t>
      </w:r>
    </w:p>
    <w:p w14:paraId="5420BB38"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Notes to the financial statements 2022–23 (continued)</w:t>
      </w:r>
    </w:p>
    <w:p w14:paraId="06BB38E0" w14:textId="77777777" w:rsidR="00BC5219" w:rsidRDefault="00BC5219" w:rsidP="00BC5219">
      <w:pPr>
        <w:rPr>
          <w:rFonts w:asciiTheme="minorHAnsi" w:hAnsiTheme="minorHAnsi" w:cstheme="minorBidi"/>
        </w:rPr>
      </w:pPr>
    </w:p>
    <w:tbl>
      <w:tblPr>
        <w:tblW w:w="0" w:type="auto"/>
        <w:tblCellMar>
          <w:left w:w="0" w:type="dxa"/>
        </w:tblCellMar>
        <w:tblLook w:val="04A0" w:firstRow="1" w:lastRow="0" w:firstColumn="1" w:lastColumn="0" w:noHBand="0" w:noVBand="1"/>
      </w:tblPr>
      <w:tblGrid>
        <w:gridCol w:w="7144"/>
        <w:gridCol w:w="1164"/>
        <w:gridCol w:w="224"/>
        <w:gridCol w:w="1164"/>
      </w:tblGrid>
      <w:tr w:rsidR="00BC5219" w:rsidRPr="00DD3F7D" w14:paraId="511612EC" w14:textId="77777777" w:rsidTr="00E83802">
        <w:trPr>
          <w:trHeight w:val="240"/>
        </w:trPr>
        <w:tc>
          <w:tcPr>
            <w:tcW w:w="7136" w:type="dxa"/>
            <w:tcBorders>
              <w:top w:val="nil"/>
              <w:left w:val="nil"/>
              <w:bottom w:val="nil"/>
              <w:right w:val="nil"/>
            </w:tcBorders>
            <w:shd w:val="clear" w:color="auto" w:fill="auto"/>
            <w:noWrap/>
            <w:vAlign w:val="center"/>
            <w:hideMark/>
          </w:tcPr>
          <w:p w14:paraId="5781A192" w14:textId="77777777" w:rsidR="00BC5219" w:rsidRPr="00DD3F7D" w:rsidRDefault="00BC5219" w:rsidP="00E83802">
            <w:pPr>
              <w:rPr>
                <w:rFonts w:ascii="Times New Roman" w:eastAsia="Times New Roman" w:hAnsi="Times New Roman" w:cs="Times New Roman"/>
                <w:sz w:val="24"/>
                <w:szCs w:val="24"/>
                <w:lang w:eastAsia="en-AU"/>
              </w:rPr>
            </w:pPr>
          </w:p>
        </w:tc>
        <w:tc>
          <w:tcPr>
            <w:tcW w:w="1156" w:type="dxa"/>
            <w:tcBorders>
              <w:top w:val="nil"/>
              <w:left w:val="nil"/>
              <w:bottom w:val="nil"/>
              <w:right w:val="nil"/>
            </w:tcBorders>
            <w:shd w:val="clear" w:color="auto" w:fill="auto"/>
            <w:noWrap/>
            <w:vAlign w:val="center"/>
            <w:hideMark/>
          </w:tcPr>
          <w:p w14:paraId="232040B9" w14:textId="77777777" w:rsidR="00BC5219" w:rsidRPr="00DD3F7D" w:rsidRDefault="00BC5219" w:rsidP="00E83802">
            <w:pPr>
              <w:jc w:val="center"/>
              <w:rPr>
                <w:rFonts w:ascii="Meta Pro" w:eastAsia="Times New Roman" w:hAnsi="Meta Pro"/>
                <w:b/>
                <w:bCs/>
                <w:lang w:eastAsia="en-AU"/>
              </w:rPr>
            </w:pPr>
            <w:r w:rsidRPr="00DD3F7D">
              <w:rPr>
                <w:rFonts w:ascii="Meta Pro" w:eastAsia="Times New Roman" w:hAnsi="Meta Pro"/>
                <w:b/>
                <w:bCs/>
                <w:lang w:eastAsia="en-AU"/>
              </w:rPr>
              <w:t>2023</w:t>
            </w:r>
          </w:p>
        </w:tc>
        <w:tc>
          <w:tcPr>
            <w:tcW w:w="216" w:type="dxa"/>
            <w:tcBorders>
              <w:top w:val="nil"/>
              <w:left w:val="nil"/>
              <w:bottom w:val="nil"/>
              <w:right w:val="nil"/>
            </w:tcBorders>
            <w:shd w:val="clear" w:color="auto" w:fill="auto"/>
            <w:noWrap/>
            <w:vAlign w:val="center"/>
            <w:hideMark/>
          </w:tcPr>
          <w:p w14:paraId="275FB527" w14:textId="77777777" w:rsidR="00BC5219" w:rsidRPr="00DD3F7D" w:rsidRDefault="00BC5219" w:rsidP="00E83802">
            <w:pPr>
              <w:jc w:val="center"/>
              <w:rPr>
                <w:rFonts w:ascii="Meta Pro" w:eastAsia="Times New Roman" w:hAnsi="Meta Pro"/>
                <w:b/>
                <w:bCs/>
                <w:lang w:eastAsia="en-AU"/>
              </w:rPr>
            </w:pPr>
          </w:p>
        </w:tc>
        <w:tc>
          <w:tcPr>
            <w:tcW w:w="1156" w:type="dxa"/>
            <w:tcBorders>
              <w:top w:val="nil"/>
              <w:left w:val="nil"/>
              <w:bottom w:val="nil"/>
              <w:right w:val="nil"/>
            </w:tcBorders>
            <w:shd w:val="clear" w:color="auto" w:fill="auto"/>
            <w:noWrap/>
            <w:vAlign w:val="center"/>
            <w:hideMark/>
          </w:tcPr>
          <w:p w14:paraId="1DB558A2" w14:textId="77777777" w:rsidR="00BC5219" w:rsidRPr="00DD3F7D" w:rsidRDefault="00BC5219" w:rsidP="00E83802">
            <w:pPr>
              <w:jc w:val="center"/>
              <w:rPr>
                <w:rFonts w:ascii="Meta Pro" w:eastAsia="Times New Roman" w:hAnsi="Meta Pro"/>
                <w:b/>
                <w:bCs/>
                <w:lang w:eastAsia="en-AU"/>
              </w:rPr>
            </w:pPr>
            <w:r w:rsidRPr="00DD3F7D">
              <w:rPr>
                <w:rFonts w:ascii="Meta Pro" w:eastAsia="Times New Roman" w:hAnsi="Meta Pro"/>
                <w:b/>
                <w:bCs/>
                <w:lang w:eastAsia="en-AU"/>
              </w:rPr>
              <w:t>2022</w:t>
            </w:r>
          </w:p>
        </w:tc>
      </w:tr>
      <w:tr w:rsidR="00BC5219" w:rsidRPr="00DD3F7D" w14:paraId="1B7EAD13" w14:textId="77777777" w:rsidTr="00E83802">
        <w:trPr>
          <w:trHeight w:val="240"/>
        </w:trPr>
        <w:tc>
          <w:tcPr>
            <w:tcW w:w="7136" w:type="dxa"/>
            <w:tcBorders>
              <w:top w:val="nil"/>
              <w:left w:val="nil"/>
              <w:bottom w:val="nil"/>
              <w:right w:val="nil"/>
            </w:tcBorders>
            <w:shd w:val="clear" w:color="auto" w:fill="auto"/>
            <w:noWrap/>
            <w:vAlign w:val="center"/>
            <w:hideMark/>
          </w:tcPr>
          <w:p w14:paraId="56E0B9EE" w14:textId="77777777" w:rsidR="00BC5219" w:rsidRPr="00DD3F7D" w:rsidRDefault="00BC5219" w:rsidP="00E83802">
            <w:pPr>
              <w:jc w:val="center"/>
              <w:rPr>
                <w:rFonts w:ascii="Meta Pro" w:eastAsia="Times New Roman" w:hAnsi="Meta Pro"/>
                <w:b/>
                <w:bCs/>
                <w:lang w:eastAsia="en-AU"/>
              </w:rPr>
            </w:pPr>
          </w:p>
        </w:tc>
        <w:tc>
          <w:tcPr>
            <w:tcW w:w="1156" w:type="dxa"/>
            <w:tcBorders>
              <w:top w:val="nil"/>
              <w:left w:val="nil"/>
              <w:bottom w:val="nil"/>
              <w:right w:val="nil"/>
            </w:tcBorders>
            <w:shd w:val="clear" w:color="auto" w:fill="auto"/>
            <w:noWrap/>
            <w:vAlign w:val="center"/>
            <w:hideMark/>
          </w:tcPr>
          <w:p w14:paraId="0649C345" w14:textId="77777777" w:rsidR="00BC5219" w:rsidRPr="00DD3F7D" w:rsidRDefault="00BC5219" w:rsidP="00E83802">
            <w:pPr>
              <w:jc w:val="center"/>
              <w:rPr>
                <w:rFonts w:ascii="Meta Pro" w:eastAsia="Times New Roman" w:hAnsi="Meta Pro"/>
                <w:b/>
                <w:bCs/>
                <w:lang w:eastAsia="en-AU"/>
              </w:rPr>
            </w:pPr>
            <w:r w:rsidRPr="00DD3F7D">
              <w:rPr>
                <w:rFonts w:ascii="Meta Pro" w:eastAsia="Times New Roman" w:hAnsi="Meta Pro"/>
                <w:b/>
                <w:bCs/>
                <w:lang w:eastAsia="en-AU"/>
              </w:rPr>
              <w:t>$'000</w:t>
            </w:r>
          </w:p>
        </w:tc>
        <w:tc>
          <w:tcPr>
            <w:tcW w:w="216" w:type="dxa"/>
            <w:tcBorders>
              <w:top w:val="nil"/>
              <w:left w:val="nil"/>
              <w:bottom w:val="nil"/>
              <w:right w:val="nil"/>
            </w:tcBorders>
            <w:shd w:val="clear" w:color="auto" w:fill="auto"/>
            <w:noWrap/>
            <w:vAlign w:val="center"/>
            <w:hideMark/>
          </w:tcPr>
          <w:p w14:paraId="56D4DF71" w14:textId="77777777" w:rsidR="00BC5219" w:rsidRPr="00DD3F7D" w:rsidRDefault="00BC5219" w:rsidP="00E83802">
            <w:pPr>
              <w:jc w:val="center"/>
              <w:rPr>
                <w:rFonts w:ascii="Meta Pro" w:eastAsia="Times New Roman" w:hAnsi="Meta Pro"/>
                <w:b/>
                <w:bCs/>
                <w:lang w:eastAsia="en-AU"/>
              </w:rPr>
            </w:pPr>
          </w:p>
        </w:tc>
        <w:tc>
          <w:tcPr>
            <w:tcW w:w="1156" w:type="dxa"/>
            <w:tcBorders>
              <w:top w:val="nil"/>
              <w:left w:val="nil"/>
              <w:bottom w:val="nil"/>
              <w:right w:val="nil"/>
            </w:tcBorders>
            <w:shd w:val="clear" w:color="auto" w:fill="auto"/>
            <w:noWrap/>
            <w:vAlign w:val="center"/>
            <w:hideMark/>
          </w:tcPr>
          <w:p w14:paraId="3F8CE6CA" w14:textId="77777777" w:rsidR="00BC5219" w:rsidRPr="00DD3F7D" w:rsidRDefault="00BC5219" w:rsidP="00E83802">
            <w:pPr>
              <w:jc w:val="center"/>
              <w:rPr>
                <w:rFonts w:ascii="Meta Pro" w:eastAsia="Times New Roman" w:hAnsi="Meta Pro"/>
                <w:b/>
                <w:bCs/>
                <w:lang w:eastAsia="en-AU"/>
              </w:rPr>
            </w:pPr>
            <w:r w:rsidRPr="00DD3F7D">
              <w:rPr>
                <w:rFonts w:ascii="Meta Pro" w:eastAsia="Times New Roman" w:hAnsi="Meta Pro"/>
                <w:b/>
                <w:bCs/>
                <w:lang w:eastAsia="en-AU"/>
              </w:rPr>
              <w:t>$'000</w:t>
            </w:r>
          </w:p>
        </w:tc>
      </w:tr>
      <w:tr w:rsidR="00BC5219" w:rsidRPr="00DD3F7D" w14:paraId="7DCF68B3" w14:textId="77777777" w:rsidTr="00E83802">
        <w:trPr>
          <w:trHeight w:val="240"/>
        </w:trPr>
        <w:tc>
          <w:tcPr>
            <w:tcW w:w="7136" w:type="dxa"/>
            <w:tcBorders>
              <w:top w:val="nil"/>
              <w:left w:val="nil"/>
              <w:bottom w:val="nil"/>
              <w:right w:val="nil"/>
            </w:tcBorders>
            <w:shd w:val="clear" w:color="auto" w:fill="auto"/>
            <w:noWrap/>
            <w:vAlign w:val="center"/>
            <w:hideMark/>
          </w:tcPr>
          <w:p w14:paraId="65C275A3" w14:textId="77777777" w:rsidR="00BC5219" w:rsidRPr="00DD3F7D" w:rsidRDefault="00BC5219" w:rsidP="00E83802">
            <w:pPr>
              <w:spacing w:after="120"/>
              <w:rPr>
                <w:rFonts w:ascii="Meta Pro" w:eastAsia="Times New Roman" w:hAnsi="Meta Pro"/>
                <w:b/>
                <w:bCs/>
                <w:lang w:eastAsia="en-AU"/>
              </w:rPr>
            </w:pPr>
            <w:r w:rsidRPr="00DD3F7D">
              <w:rPr>
                <w:rFonts w:ascii="Meta Pro" w:eastAsia="Times New Roman" w:hAnsi="Meta Pro"/>
                <w:b/>
                <w:bCs/>
                <w:lang w:eastAsia="en-AU"/>
              </w:rPr>
              <w:t>20     PROVISIONS</w:t>
            </w:r>
          </w:p>
        </w:tc>
        <w:tc>
          <w:tcPr>
            <w:tcW w:w="1156" w:type="dxa"/>
            <w:tcBorders>
              <w:top w:val="nil"/>
              <w:left w:val="nil"/>
              <w:bottom w:val="nil"/>
              <w:right w:val="nil"/>
            </w:tcBorders>
            <w:shd w:val="clear" w:color="auto" w:fill="auto"/>
            <w:noWrap/>
            <w:vAlign w:val="center"/>
            <w:hideMark/>
          </w:tcPr>
          <w:p w14:paraId="7027CFD8" w14:textId="77777777" w:rsidR="00BC5219" w:rsidRPr="00DD3F7D" w:rsidRDefault="00BC5219" w:rsidP="00E83802">
            <w:pPr>
              <w:rPr>
                <w:rFonts w:ascii="Meta Pro" w:eastAsia="Times New Roman" w:hAnsi="Meta Pro"/>
                <w:b/>
                <w:bCs/>
                <w:lang w:eastAsia="en-AU"/>
              </w:rPr>
            </w:pPr>
          </w:p>
        </w:tc>
        <w:tc>
          <w:tcPr>
            <w:tcW w:w="216" w:type="dxa"/>
            <w:tcBorders>
              <w:top w:val="nil"/>
              <w:left w:val="nil"/>
              <w:bottom w:val="nil"/>
              <w:right w:val="nil"/>
            </w:tcBorders>
            <w:shd w:val="clear" w:color="auto" w:fill="auto"/>
            <w:noWrap/>
            <w:vAlign w:val="center"/>
            <w:hideMark/>
          </w:tcPr>
          <w:p w14:paraId="425D854F" w14:textId="77777777" w:rsidR="00BC5219" w:rsidRPr="00DD3F7D"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18CFFAA6" w14:textId="77777777" w:rsidR="00BC5219" w:rsidRPr="00DD3F7D" w:rsidRDefault="00BC5219" w:rsidP="00E83802">
            <w:pPr>
              <w:jc w:val="right"/>
              <w:rPr>
                <w:rFonts w:ascii="Times New Roman" w:eastAsia="Times New Roman" w:hAnsi="Times New Roman" w:cs="Times New Roman"/>
                <w:sz w:val="20"/>
                <w:szCs w:val="20"/>
                <w:lang w:eastAsia="en-AU"/>
              </w:rPr>
            </w:pPr>
          </w:p>
        </w:tc>
      </w:tr>
    </w:tbl>
    <w:p w14:paraId="18F09649" w14:textId="77777777" w:rsidR="00BC5219" w:rsidRPr="008A2B8F" w:rsidRDefault="00BC5219" w:rsidP="00BC5219">
      <w:pPr>
        <w:rPr>
          <w:rFonts w:ascii="Meta Pro" w:eastAsia="Times New Roman" w:hAnsi="Meta Pro"/>
          <w:b/>
          <w:bCs/>
          <w:szCs w:val="18"/>
          <w:lang w:eastAsia="en-AU"/>
        </w:rPr>
      </w:pPr>
      <w:r w:rsidRPr="008A2B8F">
        <w:rPr>
          <w:rFonts w:ascii="Meta Pro" w:eastAsia="Times New Roman" w:hAnsi="Meta Pro"/>
          <w:b/>
          <w:bCs/>
          <w:szCs w:val="18"/>
          <w:lang w:eastAsia="en-AU"/>
        </w:rPr>
        <w:t>Provision for property resumptions</w:t>
      </w:r>
    </w:p>
    <w:p w14:paraId="60C240B7" w14:textId="77777777" w:rsidR="00BC5219" w:rsidRPr="008A2B8F" w:rsidRDefault="00BC5219" w:rsidP="00BC5219">
      <w:pPr>
        <w:spacing w:before="120" w:after="120" w:line="259" w:lineRule="auto"/>
        <w:rPr>
          <w:rFonts w:ascii="Meta Pro" w:hAnsi="Meta Pro" w:cstheme="minorBidi"/>
        </w:rPr>
      </w:pPr>
      <w:r w:rsidRPr="008A2B8F">
        <w:rPr>
          <w:rFonts w:ascii="Meta Pro" w:eastAsia="Times New Roman" w:hAnsi="Meta Pro"/>
          <w:szCs w:val="18"/>
          <w:lang w:eastAsia="en-AU"/>
        </w:rPr>
        <w:t xml:space="preserve">The department acquires property through compulsory acquisition in accordance with the </w:t>
      </w:r>
      <w:r w:rsidRPr="008A2B8F">
        <w:rPr>
          <w:rFonts w:ascii="Meta Pro" w:eastAsia="Times New Roman" w:hAnsi="Meta Pro"/>
          <w:i/>
          <w:iCs/>
          <w:szCs w:val="18"/>
          <w:lang w:eastAsia="en-AU"/>
        </w:rPr>
        <w:t>Acquisition of Land Act 1967</w:t>
      </w:r>
      <w:r w:rsidRPr="008A2B8F">
        <w:rPr>
          <w:rFonts w:ascii="Meta Pro" w:eastAsia="Times New Roman" w:hAnsi="Meta Pro"/>
          <w:szCs w:val="18"/>
          <w:lang w:eastAsia="en-AU"/>
        </w:rPr>
        <w:t xml:space="preserve">, the </w:t>
      </w:r>
      <w:r w:rsidRPr="008A2B8F">
        <w:rPr>
          <w:rFonts w:ascii="Meta Pro" w:eastAsia="Times New Roman" w:hAnsi="Meta Pro"/>
          <w:i/>
          <w:iCs/>
          <w:szCs w:val="18"/>
          <w:lang w:eastAsia="en-AU"/>
        </w:rPr>
        <w:t>Transport Infrastructure Act 1994</w:t>
      </w:r>
      <w:r w:rsidRPr="008A2B8F">
        <w:rPr>
          <w:rFonts w:ascii="Meta Pro" w:eastAsia="Times New Roman" w:hAnsi="Meta Pro"/>
          <w:szCs w:val="18"/>
          <w:lang w:eastAsia="en-AU"/>
        </w:rPr>
        <w:t xml:space="preserve"> and the </w:t>
      </w:r>
      <w:r w:rsidRPr="008A2B8F">
        <w:rPr>
          <w:rFonts w:ascii="Meta Pro" w:eastAsia="Times New Roman" w:hAnsi="Meta Pro"/>
          <w:i/>
          <w:iCs/>
          <w:szCs w:val="18"/>
          <w:lang w:eastAsia="en-AU"/>
        </w:rPr>
        <w:t>Transport Planning and Coordination Act 1994</w:t>
      </w:r>
      <w:r w:rsidRPr="008A2B8F">
        <w:rPr>
          <w:rFonts w:ascii="Meta Pro" w:eastAsia="Times New Roman" w:hAnsi="Meta Pro"/>
          <w:szCs w:val="18"/>
          <w:lang w:eastAsia="en-AU"/>
        </w:rPr>
        <w:t>. The department recognises a provision to account for compensation it expects to pay for all property resumptions, with the exception of hardship resumptions which are recognised immediately as a payable. The department's advisors determine a value for the acquisition amount which, with timing of the settlement, is dependent on the outcome of negotiation between both parties.</w:t>
      </w:r>
    </w:p>
    <w:tbl>
      <w:tblPr>
        <w:tblW w:w="0" w:type="auto"/>
        <w:tblCellMar>
          <w:left w:w="0" w:type="dxa"/>
        </w:tblCellMar>
        <w:tblLook w:val="04A0" w:firstRow="1" w:lastRow="0" w:firstColumn="1" w:lastColumn="0" w:noHBand="0" w:noVBand="1"/>
      </w:tblPr>
      <w:tblGrid>
        <w:gridCol w:w="7144"/>
        <w:gridCol w:w="1164"/>
        <w:gridCol w:w="224"/>
        <w:gridCol w:w="1164"/>
      </w:tblGrid>
      <w:tr w:rsidR="00BC5219" w:rsidRPr="008A2B8F" w14:paraId="5025D9B8" w14:textId="77777777" w:rsidTr="00E83802">
        <w:trPr>
          <w:trHeight w:val="240"/>
        </w:trPr>
        <w:tc>
          <w:tcPr>
            <w:tcW w:w="7136" w:type="dxa"/>
            <w:tcBorders>
              <w:top w:val="nil"/>
              <w:left w:val="nil"/>
              <w:bottom w:val="nil"/>
              <w:right w:val="nil"/>
            </w:tcBorders>
            <w:shd w:val="clear" w:color="auto" w:fill="auto"/>
            <w:noWrap/>
            <w:vAlign w:val="center"/>
            <w:hideMark/>
          </w:tcPr>
          <w:p w14:paraId="1739904A"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Movements in provision for New Generation Rollingstock rectification works</w:t>
            </w:r>
          </w:p>
        </w:tc>
        <w:tc>
          <w:tcPr>
            <w:tcW w:w="1156" w:type="dxa"/>
            <w:tcBorders>
              <w:top w:val="nil"/>
              <w:left w:val="nil"/>
              <w:bottom w:val="nil"/>
              <w:right w:val="nil"/>
            </w:tcBorders>
            <w:shd w:val="clear" w:color="auto" w:fill="auto"/>
            <w:noWrap/>
            <w:vAlign w:val="center"/>
            <w:hideMark/>
          </w:tcPr>
          <w:p w14:paraId="16611843" w14:textId="77777777" w:rsidR="00BC5219" w:rsidRPr="008A2B8F" w:rsidRDefault="00BC5219" w:rsidP="00E83802">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25EC90B7" w14:textId="77777777" w:rsidR="00BC5219" w:rsidRPr="008A2B8F"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7F78962B"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132CD5F3" w14:textId="77777777" w:rsidTr="00E83802">
        <w:trPr>
          <w:trHeight w:val="90"/>
        </w:trPr>
        <w:tc>
          <w:tcPr>
            <w:tcW w:w="7136" w:type="dxa"/>
            <w:tcBorders>
              <w:top w:val="nil"/>
              <w:left w:val="nil"/>
              <w:bottom w:val="nil"/>
              <w:right w:val="nil"/>
            </w:tcBorders>
            <w:shd w:val="clear" w:color="auto" w:fill="auto"/>
            <w:noWrap/>
            <w:vAlign w:val="center"/>
            <w:hideMark/>
          </w:tcPr>
          <w:p w14:paraId="571E4979" w14:textId="77777777" w:rsidR="00BC5219" w:rsidRPr="008A2B8F"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3FF59ACC" w14:textId="77777777" w:rsidR="00BC5219" w:rsidRPr="008A2B8F" w:rsidRDefault="00BC5219" w:rsidP="00E83802">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4C4056E8" w14:textId="77777777" w:rsidR="00BC5219" w:rsidRPr="008A2B8F"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5B52D11B"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4CF46091" w14:textId="77777777" w:rsidTr="00E83802">
        <w:trPr>
          <w:trHeight w:val="240"/>
        </w:trPr>
        <w:tc>
          <w:tcPr>
            <w:tcW w:w="7136" w:type="dxa"/>
            <w:tcBorders>
              <w:top w:val="nil"/>
              <w:left w:val="nil"/>
              <w:bottom w:val="nil"/>
              <w:right w:val="nil"/>
            </w:tcBorders>
            <w:shd w:val="clear" w:color="auto" w:fill="auto"/>
            <w:noWrap/>
            <w:vAlign w:val="center"/>
            <w:hideMark/>
          </w:tcPr>
          <w:p w14:paraId="3A187649"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Current</w:t>
            </w:r>
          </w:p>
        </w:tc>
        <w:tc>
          <w:tcPr>
            <w:tcW w:w="1156" w:type="dxa"/>
            <w:tcBorders>
              <w:top w:val="nil"/>
              <w:left w:val="nil"/>
              <w:bottom w:val="nil"/>
              <w:right w:val="nil"/>
            </w:tcBorders>
            <w:shd w:val="clear" w:color="auto" w:fill="auto"/>
            <w:noWrap/>
            <w:vAlign w:val="center"/>
            <w:hideMark/>
          </w:tcPr>
          <w:p w14:paraId="577EB266" w14:textId="77777777" w:rsidR="00BC5219" w:rsidRPr="008A2B8F" w:rsidRDefault="00BC5219" w:rsidP="00E83802">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328ED1C4" w14:textId="77777777" w:rsidR="00BC5219" w:rsidRPr="008A2B8F"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2C121675"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3F5C8F31" w14:textId="77777777" w:rsidTr="00E83802">
        <w:trPr>
          <w:trHeight w:val="240"/>
        </w:trPr>
        <w:tc>
          <w:tcPr>
            <w:tcW w:w="7136" w:type="dxa"/>
            <w:tcBorders>
              <w:top w:val="nil"/>
              <w:left w:val="nil"/>
              <w:bottom w:val="nil"/>
              <w:right w:val="nil"/>
            </w:tcBorders>
            <w:shd w:val="clear" w:color="auto" w:fill="auto"/>
            <w:noWrap/>
            <w:vAlign w:val="center"/>
            <w:hideMark/>
          </w:tcPr>
          <w:p w14:paraId="56298140"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Opening balance</w:t>
            </w:r>
          </w:p>
        </w:tc>
        <w:tc>
          <w:tcPr>
            <w:tcW w:w="1156" w:type="dxa"/>
            <w:tcBorders>
              <w:top w:val="nil"/>
              <w:left w:val="nil"/>
              <w:bottom w:val="nil"/>
              <w:right w:val="nil"/>
            </w:tcBorders>
            <w:shd w:val="clear" w:color="000000" w:fill="C9E3B4"/>
            <w:noWrap/>
            <w:vAlign w:val="center"/>
            <w:hideMark/>
          </w:tcPr>
          <w:p w14:paraId="115067A5"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46,515 </w:t>
            </w:r>
          </w:p>
        </w:tc>
        <w:tc>
          <w:tcPr>
            <w:tcW w:w="216" w:type="dxa"/>
            <w:tcBorders>
              <w:top w:val="nil"/>
              <w:left w:val="nil"/>
              <w:bottom w:val="nil"/>
              <w:right w:val="nil"/>
            </w:tcBorders>
            <w:shd w:val="clear" w:color="auto" w:fill="auto"/>
            <w:noWrap/>
            <w:vAlign w:val="center"/>
            <w:hideMark/>
          </w:tcPr>
          <w:p w14:paraId="54A4CDED"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517CE4A6"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46,515 </w:t>
            </w:r>
          </w:p>
        </w:tc>
      </w:tr>
      <w:tr w:rsidR="00BC5219" w:rsidRPr="008A2B8F" w14:paraId="762C6205" w14:textId="77777777" w:rsidTr="00E83802">
        <w:trPr>
          <w:trHeight w:val="240"/>
        </w:trPr>
        <w:tc>
          <w:tcPr>
            <w:tcW w:w="7136" w:type="dxa"/>
            <w:tcBorders>
              <w:top w:val="nil"/>
              <w:left w:val="nil"/>
              <w:bottom w:val="nil"/>
              <w:right w:val="nil"/>
            </w:tcBorders>
            <w:shd w:val="clear" w:color="auto" w:fill="auto"/>
            <w:noWrap/>
            <w:vAlign w:val="center"/>
            <w:hideMark/>
          </w:tcPr>
          <w:p w14:paraId="5CEE314D"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Reduction in provision as a result of payments</w:t>
            </w:r>
          </w:p>
        </w:tc>
        <w:tc>
          <w:tcPr>
            <w:tcW w:w="1156" w:type="dxa"/>
            <w:tcBorders>
              <w:top w:val="nil"/>
              <w:left w:val="nil"/>
              <w:bottom w:val="nil"/>
              <w:right w:val="nil"/>
            </w:tcBorders>
            <w:shd w:val="clear" w:color="000000" w:fill="C9E3B4"/>
            <w:noWrap/>
            <w:vAlign w:val="center"/>
            <w:hideMark/>
          </w:tcPr>
          <w:p w14:paraId="38E64365"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(48,376)</w:t>
            </w:r>
          </w:p>
        </w:tc>
        <w:tc>
          <w:tcPr>
            <w:tcW w:w="216" w:type="dxa"/>
            <w:tcBorders>
              <w:top w:val="nil"/>
              <w:left w:val="nil"/>
              <w:bottom w:val="nil"/>
              <w:right w:val="nil"/>
            </w:tcBorders>
            <w:shd w:val="clear" w:color="auto" w:fill="auto"/>
            <w:noWrap/>
            <w:vAlign w:val="center"/>
            <w:hideMark/>
          </w:tcPr>
          <w:p w14:paraId="74B44D29"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44010512"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(27,908)</w:t>
            </w:r>
          </w:p>
        </w:tc>
      </w:tr>
      <w:tr w:rsidR="00BC5219" w:rsidRPr="008A2B8F" w14:paraId="7AB3D800" w14:textId="77777777" w:rsidTr="00E83802">
        <w:trPr>
          <w:trHeight w:val="240"/>
        </w:trPr>
        <w:tc>
          <w:tcPr>
            <w:tcW w:w="7136" w:type="dxa"/>
            <w:tcBorders>
              <w:top w:val="nil"/>
              <w:left w:val="nil"/>
              <w:bottom w:val="nil"/>
              <w:right w:val="nil"/>
            </w:tcBorders>
            <w:shd w:val="clear" w:color="auto" w:fill="auto"/>
            <w:noWrap/>
            <w:vAlign w:val="center"/>
            <w:hideMark/>
          </w:tcPr>
          <w:p w14:paraId="1FB95BE5"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Reclassification from non-current provision</w:t>
            </w:r>
          </w:p>
        </w:tc>
        <w:tc>
          <w:tcPr>
            <w:tcW w:w="1156" w:type="dxa"/>
            <w:tcBorders>
              <w:top w:val="nil"/>
              <w:left w:val="nil"/>
              <w:bottom w:val="nil"/>
              <w:right w:val="nil"/>
            </w:tcBorders>
            <w:shd w:val="clear" w:color="000000" w:fill="C9E3B4"/>
            <w:noWrap/>
            <w:vAlign w:val="center"/>
            <w:hideMark/>
          </w:tcPr>
          <w:p w14:paraId="25072042"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53,957 </w:t>
            </w:r>
          </w:p>
        </w:tc>
        <w:tc>
          <w:tcPr>
            <w:tcW w:w="216" w:type="dxa"/>
            <w:tcBorders>
              <w:top w:val="nil"/>
              <w:left w:val="nil"/>
              <w:bottom w:val="nil"/>
              <w:right w:val="nil"/>
            </w:tcBorders>
            <w:shd w:val="clear" w:color="auto" w:fill="auto"/>
            <w:noWrap/>
            <w:vAlign w:val="center"/>
            <w:hideMark/>
          </w:tcPr>
          <w:p w14:paraId="1D6D4312"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03B2BAC5"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27,908 </w:t>
            </w:r>
          </w:p>
        </w:tc>
      </w:tr>
      <w:tr w:rsidR="00BC5219" w:rsidRPr="008A2B8F" w14:paraId="3BCC8935" w14:textId="77777777" w:rsidTr="00E83802">
        <w:trPr>
          <w:trHeight w:val="240"/>
        </w:trPr>
        <w:tc>
          <w:tcPr>
            <w:tcW w:w="7136" w:type="dxa"/>
            <w:tcBorders>
              <w:top w:val="single" w:sz="4" w:space="0" w:color="auto"/>
              <w:left w:val="nil"/>
              <w:bottom w:val="double" w:sz="6" w:space="0" w:color="auto"/>
              <w:right w:val="nil"/>
            </w:tcBorders>
            <w:shd w:val="clear" w:color="auto" w:fill="auto"/>
            <w:noWrap/>
            <w:vAlign w:val="center"/>
            <w:hideMark/>
          </w:tcPr>
          <w:p w14:paraId="6072804B"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Closing balance</w:t>
            </w:r>
          </w:p>
        </w:tc>
        <w:tc>
          <w:tcPr>
            <w:tcW w:w="1156" w:type="dxa"/>
            <w:tcBorders>
              <w:top w:val="single" w:sz="4" w:space="0" w:color="auto"/>
              <w:left w:val="nil"/>
              <w:bottom w:val="double" w:sz="6" w:space="0" w:color="auto"/>
              <w:right w:val="nil"/>
            </w:tcBorders>
            <w:shd w:val="clear" w:color="000000" w:fill="C9E3B4"/>
            <w:noWrap/>
            <w:vAlign w:val="center"/>
            <w:hideMark/>
          </w:tcPr>
          <w:p w14:paraId="23B0A6AC"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52,096 </w:t>
            </w:r>
          </w:p>
        </w:tc>
        <w:tc>
          <w:tcPr>
            <w:tcW w:w="216" w:type="dxa"/>
            <w:tcBorders>
              <w:top w:val="single" w:sz="4" w:space="0" w:color="auto"/>
              <w:left w:val="nil"/>
              <w:bottom w:val="double" w:sz="6" w:space="0" w:color="auto"/>
              <w:right w:val="nil"/>
            </w:tcBorders>
            <w:shd w:val="clear" w:color="auto" w:fill="auto"/>
            <w:noWrap/>
            <w:vAlign w:val="center"/>
            <w:hideMark/>
          </w:tcPr>
          <w:p w14:paraId="4AF6DDC4"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w:t>
            </w:r>
          </w:p>
        </w:tc>
        <w:tc>
          <w:tcPr>
            <w:tcW w:w="1156" w:type="dxa"/>
            <w:tcBorders>
              <w:top w:val="single" w:sz="4" w:space="0" w:color="auto"/>
              <w:left w:val="nil"/>
              <w:bottom w:val="double" w:sz="6" w:space="0" w:color="auto"/>
              <w:right w:val="nil"/>
            </w:tcBorders>
            <w:shd w:val="clear" w:color="auto" w:fill="auto"/>
            <w:noWrap/>
            <w:vAlign w:val="center"/>
            <w:hideMark/>
          </w:tcPr>
          <w:p w14:paraId="7BA67467"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46,515 </w:t>
            </w:r>
          </w:p>
        </w:tc>
      </w:tr>
      <w:tr w:rsidR="00BC5219" w:rsidRPr="008A2B8F" w14:paraId="5BB50F35" w14:textId="77777777" w:rsidTr="00E83802">
        <w:trPr>
          <w:trHeight w:val="90"/>
        </w:trPr>
        <w:tc>
          <w:tcPr>
            <w:tcW w:w="7136" w:type="dxa"/>
            <w:tcBorders>
              <w:top w:val="nil"/>
              <w:left w:val="nil"/>
              <w:bottom w:val="nil"/>
              <w:right w:val="nil"/>
            </w:tcBorders>
            <w:shd w:val="clear" w:color="auto" w:fill="auto"/>
            <w:noWrap/>
            <w:vAlign w:val="center"/>
            <w:hideMark/>
          </w:tcPr>
          <w:p w14:paraId="30B87E69"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30D658EA" w14:textId="77777777" w:rsidR="00BC5219" w:rsidRPr="008A2B8F" w:rsidRDefault="00BC5219" w:rsidP="00E83802">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2A1DC986" w14:textId="77777777" w:rsidR="00BC5219" w:rsidRPr="008A2B8F" w:rsidRDefault="00BC5219" w:rsidP="00E83802">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53C8DC37"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1A327046" w14:textId="77777777" w:rsidTr="00E83802">
        <w:trPr>
          <w:trHeight w:val="240"/>
        </w:trPr>
        <w:tc>
          <w:tcPr>
            <w:tcW w:w="7136" w:type="dxa"/>
            <w:tcBorders>
              <w:top w:val="nil"/>
              <w:left w:val="nil"/>
              <w:bottom w:val="nil"/>
              <w:right w:val="nil"/>
            </w:tcBorders>
            <w:shd w:val="clear" w:color="auto" w:fill="auto"/>
            <w:noWrap/>
            <w:vAlign w:val="center"/>
            <w:hideMark/>
          </w:tcPr>
          <w:p w14:paraId="4C154D4E"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Non-current</w:t>
            </w:r>
          </w:p>
        </w:tc>
        <w:tc>
          <w:tcPr>
            <w:tcW w:w="1156" w:type="dxa"/>
            <w:tcBorders>
              <w:top w:val="nil"/>
              <w:left w:val="nil"/>
              <w:bottom w:val="nil"/>
              <w:right w:val="nil"/>
            </w:tcBorders>
            <w:shd w:val="clear" w:color="auto" w:fill="auto"/>
            <w:noWrap/>
            <w:vAlign w:val="center"/>
            <w:hideMark/>
          </w:tcPr>
          <w:p w14:paraId="68437623" w14:textId="77777777" w:rsidR="00BC5219" w:rsidRPr="008A2B8F" w:rsidRDefault="00BC5219" w:rsidP="00E83802">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7F17FD85" w14:textId="77777777" w:rsidR="00BC5219" w:rsidRPr="008A2B8F"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5665CB3B"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3E154DCF" w14:textId="77777777" w:rsidTr="00E83802">
        <w:trPr>
          <w:trHeight w:val="240"/>
        </w:trPr>
        <w:tc>
          <w:tcPr>
            <w:tcW w:w="7136" w:type="dxa"/>
            <w:tcBorders>
              <w:top w:val="nil"/>
              <w:left w:val="nil"/>
              <w:bottom w:val="nil"/>
              <w:right w:val="nil"/>
            </w:tcBorders>
            <w:shd w:val="clear" w:color="auto" w:fill="auto"/>
            <w:noWrap/>
            <w:vAlign w:val="center"/>
            <w:hideMark/>
          </w:tcPr>
          <w:p w14:paraId="1C09FF1B"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Opening balance</w:t>
            </w:r>
          </w:p>
        </w:tc>
        <w:tc>
          <w:tcPr>
            <w:tcW w:w="1156" w:type="dxa"/>
            <w:tcBorders>
              <w:top w:val="nil"/>
              <w:left w:val="nil"/>
              <w:bottom w:val="nil"/>
              <w:right w:val="nil"/>
            </w:tcBorders>
            <w:shd w:val="clear" w:color="000000" w:fill="C9E3B4"/>
            <w:noWrap/>
            <w:vAlign w:val="center"/>
            <w:hideMark/>
          </w:tcPr>
          <w:p w14:paraId="468C61D6"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59,539 </w:t>
            </w:r>
          </w:p>
        </w:tc>
        <w:tc>
          <w:tcPr>
            <w:tcW w:w="216" w:type="dxa"/>
            <w:tcBorders>
              <w:top w:val="nil"/>
              <w:left w:val="nil"/>
              <w:bottom w:val="nil"/>
              <w:right w:val="nil"/>
            </w:tcBorders>
            <w:shd w:val="clear" w:color="auto" w:fill="auto"/>
            <w:noWrap/>
            <w:vAlign w:val="center"/>
            <w:hideMark/>
          </w:tcPr>
          <w:p w14:paraId="12921CF8"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0A6E21DA"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87,447 </w:t>
            </w:r>
          </w:p>
        </w:tc>
      </w:tr>
      <w:tr w:rsidR="00BC5219" w:rsidRPr="008A2B8F" w14:paraId="2F75C9B3" w14:textId="77777777" w:rsidTr="00E83802">
        <w:trPr>
          <w:trHeight w:val="240"/>
        </w:trPr>
        <w:tc>
          <w:tcPr>
            <w:tcW w:w="7136" w:type="dxa"/>
            <w:tcBorders>
              <w:top w:val="nil"/>
              <w:left w:val="nil"/>
              <w:bottom w:val="nil"/>
              <w:right w:val="nil"/>
            </w:tcBorders>
            <w:shd w:val="clear" w:color="auto" w:fill="auto"/>
            <w:noWrap/>
            <w:vAlign w:val="center"/>
            <w:hideMark/>
          </w:tcPr>
          <w:p w14:paraId="5256DF15"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Reclassification to current provision</w:t>
            </w:r>
          </w:p>
        </w:tc>
        <w:tc>
          <w:tcPr>
            <w:tcW w:w="1156" w:type="dxa"/>
            <w:tcBorders>
              <w:top w:val="nil"/>
              <w:left w:val="nil"/>
              <w:bottom w:val="nil"/>
              <w:right w:val="nil"/>
            </w:tcBorders>
            <w:shd w:val="clear" w:color="000000" w:fill="C9E3B4"/>
            <w:noWrap/>
            <w:vAlign w:val="center"/>
            <w:hideMark/>
          </w:tcPr>
          <w:p w14:paraId="69B8FD25"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(53,957)</w:t>
            </w:r>
          </w:p>
        </w:tc>
        <w:tc>
          <w:tcPr>
            <w:tcW w:w="216" w:type="dxa"/>
            <w:tcBorders>
              <w:top w:val="nil"/>
              <w:left w:val="nil"/>
              <w:bottom w:val="nil"/>
              <w:right w:val="nil"/>
            </w:tcBorders>
            <w:shd w:val="clear" w:color="auto" w:fill="auto"/>
            <w:noWrap/>
            <w:vAlign w:val="center"/>
            <w:hideMark/>
          </w:tcPr>
          <w:p w14:paraId="78D47072"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08EAB6DC"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(27,908)</w:t>
            </w:r>
          </w:p>
        </w:tc>
      </w:tr>
      <w:tr w:rsidR="00BC5219" w:rsidRPr="008A2B8F" w14:paraId="383B5C10" w14:textId="77777777" w:rsidTr="00E83802">
        <w:trPr>
          <w:trHeight w:val="240"/>
        </w:trPr>
        <w:tc>
          <w:tcPr>
            <w:tcW w:w="7136" w:type="dxa"/>
            <w:tcBorders>
              <w:top w:val="single" w:sz="4" w:space="0" w:color="auto"/>
              <w:left w:val="nil"/>
              <w:bottom w:val="double" w:sz="6" w:space="0" w:color="auto"/>
              <w:right w:val="nil"/>
            </w:tcBorders>
            <w:shd w:val="clear" w:color="auto" w:fill="auto"/>
            <w:noWrap/>
            <w:vAlign w:val="center"/>
            <w:hideMark/>
          </w:tcPr>
          <w:p w14:paraId="54C79F35"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Closing balance</w:t>
            </w:r>
          </w:p>
        </w:tc>
        <w:tc>
          <w:tcPr>
            <w:tcW w:w="1156" w:type="dxa"/>
            <w:tcBorders>
              <w:top w:val="single" w:sz="4" w:space="0" w:color="auto"/>
              <w:left w:val="nil"/>
              <w:bottom w:val="double" w:sz="6" w:space="0" w:color="auto"/>
              <w:right w:val="nil"/>
            </w:tcBorders>
            <w:shd w:val="clear" w:color="000000" w:fill="C9E3B4"/>
            <w:noWrap/>
            <w:vAlign w:val="center"/>
            <w:hideMark/>
          </w:tcPr>
          <w:p w14:paraId="0933A387"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5,582 </w:t>
            </w:r>
          </w:p>
        </w:tc>
        <w:tc>
          <w:tcPr>
            <w:tcW w:w="216" w:type="dxa"/>
            <w:tcBorders>
              <w:top w:val="single" w:sz="4" w:space="0" w:color="auto"/>
              <w:left w:val="nil"/>
              <w:bottom w:val="double" w:sz="6" w:space="0" w:color="auto"/>
              <w:right w:val="nil"/>
            </w:tcBorders>
            <w:shd w:val="clear" w:color="auto" w:fill="auto"/>
            <w:noWrap/>
            <w:vAlign w:val="center"/>
            <w:hideMark/>
          </w:tcPr>
          <w:p w14:paraId="1D151B68"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w:t>
            </w:r>
          </w:p>
        </w:tc>
        <w:tc>
          <w:tcPr>
            <w:tcW w:w="1156" w:type="dxa"/>
            <w:tcBorders>
              <w:top w:val="single" w:sz="4" w:space="0" w:color="auto"/>
              <w:left w:val="nil"/>
              <w:bottom w:val="double" w:sz="6" w:space="0" w:color="auto"/>
              <w:right w:val="nil"/>
            </w:tcBorders>
            <w:shd w:val="clear" w:color="auto" w:fill="auto"/>
            <w:noWrap/>
            <w:vAlign w:val="center"/>
            <w:hideMark/>
          </w:tcPr>
          <w:p w14:paraId="4DC92272"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59,539 </w:t>
            </w:r>
          </w:p>
        </w:tc>
      </w:tr>
    </w:tbl>
    <w:p w14:paraId="584793D3" w14:textId="77777777" w:rsidR="00BC5219" w:rsidRPr="008A2B8F" w:rsidRDefault="00BC5219" w:rsidP="00BC5219">
      <w:pPr>
        <w:spacing w:before="120" w:after="120" w:line="259" w:lineRule="auto"/>
        <w:rPr>
          <w:rFonts w:ascii="Meta Pro" w:eastAsia="Times New Roman" w:hAnsi="Meta Pro"/>
          <w:b/>
          <w:bCs/>
          <w:szCs w:val="18"/>
          <w:lang w:eastAsia="en-AU"/>
        </w:rPr>
      </w:pPr>
      <w:r w:rsidRPr="008A2B8F">
        <w:rPr>
          <w:rFonts w:ascii="Meta Pro" w:eastAsia="Times New Roman" w:hAnsi="Meta Pro"/>
          <w:b/>
          <w:bCs/>
          <w:szCs w:val="18"/>
          <w:lang w:eastAsia="en-AU"/>
        </w:rPr>
        <w:t xml:space="preserve">Provision for New Generation Rollingstock rectification works </w:t>
      </w:r>
    </w:p>
    <w:p w14:paraId="4CFEE077" w14:textId="77777777" w:rsidR="00BC5219" w:rsidRPr="008A2B8F" w:rsidRDefault="00BC5219" w:rsidP="00BC5219">
      <w:pPr>
        <w:rPr>
          <w:rFonts w:ascii="Meta Pro" w:eastAsia="Times New Roman" w:hAnsi="Meta Pro"/>
          <w:szCs w:val="18"/>
          <w:lang w:eastAsia="en-AU"/>
        </w:rPr>
      </w:pPr>
      <w:r w:rsidRPr="008A2B8F">
        <w:rPr>
          <w:rFonts w:ascii="Meta Pro" w:eastAsia="Times New Roman" w:hAnsi="Meta Pro"/>
          <w:szCs w:val="18"/>
          <w:lang w:eastAsia="en-AU"/>
        </w:rPr>
        <w:t xml:space="preserve">The department undertook a review of the New Generation Rollingstock (NGR) train sets’ compliance with the disability legislation and functional requirements in June 2017 and it was identified that the train sets required rectification works to be undertaken to ensure compliance with the </w:t>
      </w:r>
      <w:r w:rsidRPr="008A2B8F">
        <w:rPr>
          <w:rFonts w:ascii="Meta Pro" w:eastAsia="Times New Roman" w:hAnsi="Meta Pro"/>
          <w:i/>
          <w:iCs/>
          <w:szCs w:val="18"/>
          <w:lang w:eastAsia="en-AU"/>
        </w:rPr>
        <w:t>Disability Standards for Accessible Public Transport 2002 (Cth)</w:t>
      </w:r>
      <w:r w:rsidRPr="008A2B8F">
        <w:rPr>
          <w:rFonts w:ascii="Meta Pro" w:eastAsia="Times New Roman" w:hAnsi="Meta Pro"/>
          <w:szCs w:val="18"/>
          <w:lang w:eastAsia="en-AU"/>
        </w:rPr>
        <w:t>. In 2018 the Minister for Transport and Main Roads committed to working with the disability sector to modify the trains. Rectification works are scheduled to be completed by 2024. This gives rise to a constructive obligation as there is an expectation that the department will honour this commitment. The department recognises a provision to account for the remainder of the rectification works it expects to pay for NGR train sets based on the variation deed entered into with the vendor.</w:t>
      </w:r>
    </w:p>
    <w:p w14:paraId="68F614C3" w14:textId="77777777" w:rsidR="00BC5219" w:rsidRPr="008A2B8F" w:rsidRDefault="00BC5219" w:rsidP="00BC5219">
      <w:pPr>
        <w:rPr>
          <w:rFonts w:ascii="Meta Pro" w:eastAsia="Times New Roman" w:hAnsi="Meta Pro"/>
          <w:szCs w:val="18"/>
          <w:lang w:eastAsia="en-AU"/>
        </w:rPr>
      </w:pPr>
    </w:p>
    <w:p w14:paraId="43876D62" w14:textId="77777777" w:rsidR="00BC5219" w:rsidRPr="008A2B8F" w:rsidRDefault="00BC5219" w:rsidP="00BC5219">
      <w:pPr>
        <w:pStyle w:val="ACPHeading"/>
      </w:pPr>
      <w:r w:rsidRPr="008A2B8F">
        <w:t>Accounting policy</w:t>
      </w:r>
    </w:p>
    <w:p w14:paraId="3D7C1BB3" w14:textId="77777777" w:rsidR="00BC5219" w:rsidRPr="008A2B8F" w:rsidRDefault="00BC5219" w:rsidP="00BC5219">
      <w:pPr>
        <w:pStyle w:val="ACPPara"/>
        <w:spacing w:after="60"/>
      </w:pPr>
      <w:r w:rsidRPr="008A2B8F">
        <w:lastRenderedPageBreak/>
        <w:t>Provisions are recorded when the department has a present obligation, either legal or constructive as a result of a past event. They are recognised at the amount expected at reporting date for which the obligation will be settled in a future period. Provisions are reviewed at each reporting date to ensure the amounts accurately reflect the best estimate available.</w:t>
      </w:r>
    </w:p>
    <w:p w14:paraId="5D3F665C" w14:textId="77777777" w:rsidR="00BC5219" w:rsidRPr="008A2B8F" w:rsidRDefault="00BC5219" w:rsidP="00BC5219">
      <w:pPr>
        <w:rPr>
          <w:rFonts w:ascii="Meta Pro" w:hAnsi="Meta Pro" w:cstheme="minorBidi"/>
        </w:rPr>
      </w:pPr>
    </w:p>
    <w:p w14:paraId="6446CA6F" w14:textId="77777777" w:rsidR="00BC5219" w:rsidRDefault="00BC5219" w:rsidP="00BC5219">
      <w:pPr>
        <w:rPr>
          <w:rFonts w:asciiTheme="minorHAnsi" w:hAnsiTheme="minorHAnsi" w:cstheme="minorBidi"/>
        </w:rPr>
      </w:pPr>
    </w:p>
    <w:tbl>
      <w:tblPr>
        <w:tblW w:w="0" w:type="auto"/>
        <w:tblCellMar>
          <w:left w:w="0" w:type="dxa"/>
        </w:tblCellMar>
        <w:tblLook w:val="04A0" w:firstRow="1" w:lastRow="0" w:firstColumn="1" w:lastColumn="0" w:noHBand="0" w:noVBand="1"/>
      </w:tblPr>
      <w:tblGrid>
        <w:gridCol w:w="7144"/>
        <w:gridCol w:w="1164"/>
        <w:gridCol w:w="224"/>
        <w:gridCol w:w="1164"/>
      </w:tblGrid>
      <w:tr w:rsidR="00BC5219" w:rsidRPr="00931C21" w14:paraId="21BD1499" w14:textId="77777777" w:rsidTr="00E83802">
        <w:trPr>
          <w:trHeight w:val="240"/>
        </w:trPr>
        <w:tc>
          <w:tcPr>
            <w:tcW w:w="7136" w:type="dxa"/>
            <w:tcBorders>
              <w:top w:val="nil"/>
              <w:left w:val="nil"/>
              <w:bottom w:val="nil"/>
              <w:right w:val="nil"/>
            </w:tcBorders>
            <w:shd w:val="clear" w:color="auto" w:fill="auto"/>
            <w:noWrap/>
            <w:vAlign w:val="center"/>
            <w:hideMark/>
          </w:tcPr>
          <w:p w14:paraId="0AD0FD90" w14:textId="77777777" w:rsidR="00BC5219" w:rsidRPr="00931C21" w:rsidRDefault="00BC5219" w:rsidP="00E83802">
            <w:pPr>
              <w:rPr>
                <w:rFonts w:ascii="Meta Pro" w:eastAsia="Times New Roman" w:hAnsi="Meta Pro"/>
                <w:b/>
                <w:bCs/>
                <w:lang w:eastAsia="en-AU"/>
              </w:rPr>
            </w:pPr>
            <w:r w:rsidRPr="00931C21">
              <w:rPr>
                <w:rFonts w:ascii="Meta Pro" w:eastAsia="Times New Roman" w:hAnsi="Meta Pro"/>
                <w:b/>
                <w:bCs/>
                <w:lang w:eastAsia="en-AU"/>
              </w:rPr>
              <w:t>21     ACCRUED EMPLOYEE BENEFITS</w:t>
            </w:r>
          </w:p>
        </w:tc>
        <w:tc>
          <w:tcPr>
            <w:tcW w:w="1156" w:type="dxa"/>
            <w:tcBorders>
              <w:top w:val="nil"/>
              <w:left w:val="nil"/>
              <w:bottom w:val="nil"/>
              <w:right w:val="nil"/>
            </w:tcBorders>
            <w:shd w:val="clear" w:color="auto" w:fill="auto"/>
            <w:noWrap/>
            <w:vAlign w:val="center"/>
            <w:hideMark/>
          </w:tcPr>
          <w:p w14:paraId="0E9C2CBF" w14:textId="77777777" w:rsidR="00BC5219" w:rsidRPr="00931C21" w:rsidRDefault="00BC5219" w:rsidP="00E83802">
            <w:pPr>
              <w:rPr>
                <w:rFonts w:ascii="Meta Pro" w:eastAsia="Times New Roman" w:hAnsi="Meta Pro"/>
                <w:b/>
                <w:bCs/>
                <w:lang w:eastAsia="en-AU"/>
              </w:rPr>
            </w:pPr>
          </w:p>
        </w:tc>
        <w:tc>
          <w:tcPr>
            <w:tcW w:w="216" w:type="dxa"/>
            <w:tcBorders>
              <w:top w:val="nil"/>
              <w:left w:val="nil"/>
              <w:bottom w:val="nil"/>
              <w:right w:val="nil"/>
            </w:tcBorders>
            <w:shd w:val="clear" w:color="auto" w:fill="auto"/>
            <w:noWrap/>
            <w:vAlign w:val="center"/>
            <w:hideMark/>
          </w:tcPr>
          <w:p w14:paraId="186D4E0A" w14:textId="77777777" w:rsidR="00BC5219" w:rsidRPr="00931C21" w:rsidRDefault="00BC5219" w:rsidP="00E83802">
            <w:pPr>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3457A761" w14:textId="77777777" w:rsidR="00BC5219" w:rsidRPr="00931C21" w:rsidRDefault="00BC5219" w:rsidP="00E83802">
            <w:pPr>
              <w:rPr>
                <w:rFonts w:ascii="Times New Roman" w:eastAsia="Times New Roman" w:hAnsi="Times New Roman" w:cs="Times New Roman"/>
                <w:sz w:val="20"/>
                <w:szCs w:val="20"/>
                <w:lang w:eastAsia="en-AU"/>
              </w:rPr>
            </w:pPr>
          </w:p>
        </w:tc>
      </w:tr>
      <w:tr w:rsidR="00BC5219" w:rsidRPr="00931C21" w14:paraId="30116A62" w14:textId="77777777" w:rsidTr="00E83802">
        <w:trPr>
          <w:trHeight w:val="90"/>
        </w:trPr>
        <w:tc>
          <w:tcPr>
            <w:tcW w:w="7136" w:type="dxa"/>
            <w:tcBorders>
              <w:top w:val="nil"/>
              <w:left w:val="nil"/>
              <w:bottom w:val="nil"/>
              <w:right w:val="nil"/>
            </w:tcBorders>
            <w:shd w:val="clear" w:color="auto" w:fill="auto"/>
            <w:noWrap/>
            <w:vAlign w:val="center"/>
            <w:hideMark/>
          </w:tcPr>
          <w:p w14:paraId="6DCBFBAF" w14:textId="77777777" w:rsidR="00BC5219" w:rsidRPr="00931C21" w:rsidRDefault="00BC5219" w:rsidP="00E83802">
            <w:pPr>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45835B11" w14:textId="77777777" w:rsidR="00BC5219" w:rsidRPr="00931C21" w:rsidRDefault="00BC5219" w:rsidP="00E83802">
            <w:pPr>
              <w:rPr>
                <w:rFonts w:ascii="Times New Roman" w:eastAsia="Times New Roman" w:hAnsi="Times New Roman"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5B4963A1" w14:textId="77777777" w:rsidR="00BC5219" w:rsidRPr="00931C21"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29800A21" w14:textId="77777777" w:rsidR="00BC5219" w:rsidRPr="00931C21" w:rsidRDefault="00BC5219" w:rsidP="00E83802">
            <w:pPr>
              <w:jc w:val="right"/>
              <w:rPr>
                <w:rFonts w:ascii="Times New Roman" w:eastAsia="Times New Roman" w:hAnsi="Times New Roman" w:cs="Times New Roman"/>
                <w:sz w:val="20"/>
                <w:szCs w:val="20"/>
                <w:lang w:eastAsia="en-AU"/>
              </w:rPr>
            </w:pPr>
          </w:p>
        </w:tc>
      </w:tr>
      <w:tr w:rsidR="00BC5219" w:rsidRPr="00931C21" w14:paraId="21DE4C93" w14:textId="77777777" w:rsidTr="00E83802">
        <w:trPr>
          <w:trHeight w:val="240"/>
        </w:trPr>
        <w:tc>
          <w:tcPr>
            <w:tcW w:w="7136" w:type="dxa"/>
            <w:tcBorders>
              <w:top w:val="nil"/>
              <w:left w:val="nil"/>
              <w:bottom w:val="nil"/>
              <w:right w:val="nil"/>
            </w:tcBorders>
            <w:shd w:val="clear" w:color="auto" w:fill="auto"/>
            <w:noWrap/>
            <w:vAlign w:val="center"/>
            <w:hideMark/>
          </w:tcPr>
          <w:p w14:paraId="272AF5A3" w14:textId="77777777" w:rsidR="00BC5219" w:rsidRPr="00931C21" w:rsidRDefault="00BC5219" w:rsidP="00E83802">
            <w:pPr>
              <w:rPr>
                <w:rFonts w:ascii="Meta Pro" w:eastAsia="Times New Roman" w:hAnsi="Meta Pro"/>
                <w:b/>
                <w:bCs/>
                <w:szCs w:val="18"/>
                <w:lang w:eastAsia="en-AU"/>
              </w:rPr>
            </w:pPr>
            <w:r w:rsidRPr="00931C21">
              <w:rPr>
                <w:rFonts w:ascii="Meta Pro" w:eastAsia="Times New Roman" w:hAnsi="Meta Pro"/>
                <w:b/>
                <w:bCs/>
                <w:szCs w:val="18"/>
                <w:lang w:eastAsia="en-AU"/>
              </w:rPr>
              <w:t>Current</w:t>
            </w:r>
          </w:p>
        </w:tc>
        <w:tc>
          <w:tcPr>
            <w:tcW w:w="1156" w:type="dxa"/>
            <w:tcBorders>
              <w:top w:val="nil"/>
              <w:left w:val="nil"/>
              <w:bottom w:val="nil"/>
              <w:right w:val="nil"/>
            </w:tcBorders>
            <w:shd w:val="clear" w:color="auto" w:fill="auto"/>
            <w:noWrap/>
            <w:vAlign w:val="center"/>
            <w:hideMark/>
          </w:tcPr>
          <w:p w14:paraId="361E455B" w14:textId="77777777" w:rsidR="00BC5219" w:rsidRPr="00931C21" w:rsidRDefault="00BC5219" w:rsidP="00E83802">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4257976A" w14:textId="77777777" w:rsidR="00BC5219" w:rsidRPr="00931C21"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355891CE" w14:textId="77777777" w:rsidR="00BC5219" w:rsidRPr="00931C21" w:rsidRDefault="00BC5219" w:rsidP="00E83802">
            <w:pPr>
              <w:jc w:val="right"/>
              <w:rPr>
                <w:rFonts w:ascii="Times New Roman" w:eastAsia="Times New Roman" w:hAnsi="Times New Roman" w:cs="Times New Roman"/>
                <w:sz w:val="20"/>
                <w:szCs w:val="20"/>
                <w:lang w:eastAsia="en-AU"/>
              </w:rPr>
            </w:pPr>
          </w:p>
        </w:tc>
      </w:tr>
      <w:tr w:rsidR="00BC5219" w:rsidRPr="00931C21" w14:paraId="55AF9482" w14:textId="77777777" w:rsidTr="00E83802">
        <w:trPr>
          <w:trHeight w:val="240"/>
        </w:trPr>
        <w:tc>
          <w:tcPr>
            <w:tcW w:w="7136" w:type="dxa"/>
            <w:tcBorders>
              <w:top w:val="nil"/>
              <w:left w:val="nil"/>
              <w:bottom w:val="nil"/>
              <w:right w:val="nil"/>
            </w:tcBorders>
            <w:shd w:val="clear" w:color="auto" w:fill="auto"/>
            <w:noWrap/>
            <w:vAlign w:val="center"/>
            <w:hideMark/>
          </w:tcPr>
          <w:p w14:paraId="682C7AD7" w14:textId="77777777" w:rsidR="00BC5219" w:rsidRPr="00931C21" w:rsidRDefault="00BC5219" w:rsidP="00E83802">
            <w:pPr>
              <w:rPr>
                <w:rFonts w:ascii="Meta Pro" w:eastAsia="Times New Roman" w:hAnsi="Meta Pro"/>
                <w:szCs w:val="18"/>
                <w:lang w:eastAsia="en-AU"/>
              </w:rPr>
            </w:pPr>
            <w:r w:rsidRPr="00931C21">
              <w:rPr>
                <w:rFonts w:ascii="Meta Pro" w:eastAsia="Times New Roman" w:hAnsi="Meta Pro"/>
                <w:szCs w:val="18"/>
                <w:lang w:eastAsia="en-AU"/>
              </w:rPr>
              <w:t>Annual leave levy payable</w:t>
            </w:r>
          </w:p>
        </w:tc>
        <w:tc>
          <w:tcPr>
            <w:tcW w:w="1156" w:type="dxa"/>
            <w:tcBorders>
              <w:top w:val="nil"/>
              <w:left w:val="nil"/>
              <w:bottom w:val="nil"/>
              <w:right w:val="nil"/>
            </w:tcBorders>
            <w:shd w:val="clear" w:color="000000" w:fill="C9E3B4"/>
            <w:noWrap/>
            <w:vAlign w:val="center"/>
            <w:hideMark/>
          </w:tcPr>
          <w:p w14:paraId="0D718956" w14:textId="77777777" w:rsidR="00BC5219" w:rsidRPr="00931C21" w:rsidRDefault="00BC5219" w:rsidP="00E83802">
            <w:pPr>
              <w:jc w:val="right"/>
              <w:rPr>
                <w:rFonts w:ascii="Meta Pro" w:eastAsia="Times New Roman" w:hAnsi="Meta Pro"/>
                <w:szCs w:val="18"/>
                <w:lang w:eastAsia="en-AU"/>
              </w:rPr>
            </w:pPr>
            <w:r w:rsidRPr="00931C21">
              <w:rPr>
                <w:rFonts w:ascii="Meta Pro" w:eastAsia="Times New Roman" w:hAnsi="Meta Pro"/>
                <w:szCs w:val="18"/>
                <w:lang w:eastAsia="en-AU"/>
              </w:rPr>
              <w:t xml:space="preserve">25,103 </w:t>
            </w:r>
          </w:p>
        </w:tc>
        <w:tc>
          <w:tcPr>
            <w:tcW w:w="216" w:type="dxa"/>
            <w:tcBorders>
              <w:top w:val="nil"/>
              <w:left w:val="nil"/>
              <w:bottom w:val="nil"/>
              <w:right w:val="nil"/>
            </w:tcBorders>
            <w:shd w:val="clear" w:color="auto" w:fill="auto"/>
            <w:noWrap/>
            <w:vAlign w:val="center"/>
            <w:hideMark/>
          </w:tcPr>
          <w:p w14:paraId="57AE6C0D" w14:textId="77777777" w:rsidR="00BC5219" w:rsidRPr="00931C21"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59741752" w14:textId="77777777" w:rsidR="00BC5219" w:rsidRPr="00931C21" w:rsidRDefault="00BC5219" w:rsidP="00E83802">
            <w:pPr>
              <w:jc w:val="right"/>
              <w:rPr>
                <w:rFonts w:ascii="Meta Pro" w:eastAsia="Times New Roman" w:hAnsi="Meta Pro"/>
                <w:szCs w:val="18"/>
                <w:lang w:eastAsia="en-AU"/>
              </w:rPr>
            </w:pPr>
            <w:r w:rsidRPr="00931C21">
              <w:rPr>
                <w:rFonts w:ascii="Meta Pro" w:eastAsia="Times New Roman" w:hAnsi="Meta Pro"/>
                <w:szCs w:val="18"/>
                <w:lang w:eastAsia="en-AU"/>
              </w:rPr>
              <w:t xml:space="preserve">18,078 </w:t>
            </w:r>
          </w:p>
        </w:tc>
      </w:tr>
      <w:tr w:rsidR="00BC5219" w:rsidRPr="00931C21" w14:paraId="18E4BCBD" w14:textId="77777777" w:rsidTr="00E83802">
        <w:trPr>
          <w:trHeight w:val="240"/>
        </w:trPr>
        <w:tc>
          <w:tcPr>
            <w:tcW w:w="7136" w:type="dxa"/>
            <w:tcBorders>
              <w:top w:val="nil"/>
              <w:left w:val="nil"/>
              <w:bottom w:val="nil"/>
              <w:right w:val="nil"/>
            </w:tcBorders>
            <w:shd w:val="clear" w:color="auto" w:fill="auto"/>
            <w:noWrap/>
            <w:vAlign w:val="center"/>
            <w:hideMark/>
          </w:tcPr>
          <w:p w14:paraId="4BE11266" w14:textId="77777777" w:rsidR="00BC5219" w:rsidRPr="00931C21" w:rsidRDefault="00BC5219" w:rsidP="00E83802">
            <w:pPr>
              <w:rPr>
                <w:rFonts w:ascii="Meta Pro" w:eastAsia="Times New Roman" w:hAnsi="Meta Pro"/>
                <w:szCs w:val="18"/>
                <w:lang w:eastAsia="en-AU"/>
              </w:rPr>
            </w:pPr>
            <w:r w:rsidRPr="00931C21">
              <w:rPr>
                <w:rFonts w:ascii="Meta Pro" w:eastAsia="Times New Roman" w:hAnsi="Meta Pro"/>
                <w:szCs w:val="18"/>
                <w:lang w:eastAsia="en-AU"/>
              </w:rPr>
              <w:t>Long service leave levy payable</w:t>
            </w:r>
          </w:p>
        </w:tc>
        <w:tc>
          <w:tcPr>
            <w:tcW w:w="1156" w:type="dxa"/>
            <w:tcBorders>
              <w:top w:val="nil"/>
              <w:left w:val="nil"/>
              <w:bottom w:val="nil"/>
              <w:right w:val="nil"/>
            </w:tcBorders>
            <w:shd w:val="clear" w:color="000000" w:fill="C9E3B4"/>
            <w:noWrap/>
            <w:vAlign w:val="center"/>
            <w:hideMark/>
          </w:tcPr>
          <w:p w14:paraId="148B9E5C" w14:textId="77777777" w:rsidR="00BC5219" w:rsidRPr="00931C21" w:rsidRDefault="00BC5219" w:rsidP="00E83802">
            <w:pPr>
              <w:jc w:val="right"/>
              <w:rPr>
                <w:rFonts w:ascii="Meta Pro" w:eastAsia="Times New Roman" w:hAnsi="Meta Pro"/>
                <w:szCs w:val="18"/>
                <w:lang w:eastAsia="en-AU"/>
              </w:rPr>
            </w:pPr>
            <w:r w:rsidRPr="00931C21">
              <w:rPr>
                <w:rFonts w:ascii="Meta Pro" w:eastAsia="Times New Roman" w:hAnsi="Meta Pro"/>
                <w:szCs w:val="18"/>
                <w:lang w:eastAsia="en-AU"/>
              </w:rPr>
              <w:t xml:space="preserve">6,324 </w:t>
            </w:r>
          </w:p>
        </w:tc>
        <w:tc>
          <w:tcPr>
            <w:tcW w:w="216" w:type="dxa"/>
            <w:tcBorders>
              <w:top w:val="nil"/>
              <w:left w:val="nil"/>
              <w:bottom w:val="nil"/>
              <w:right w:val="nil"/>
            </w:tcBorders>
            <w:shd w:val="clear" w:color="auto" w:fill="auto"/>
            <w:noWrap/>
            <w:vAlign w:val="center"/>
            <w:hideMark/>
          </w:tcPr>
          <w:p w14:paraId="4B46F7F4" w14:textId="77777777" w:rsidR="00BC5219" w:rsidRPr="00931C21"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7CA31EE2" w14:textId="77777777" w:rsidR="00BC5219" w:rsidRPr="00931C21" w:rsidRDefault="00BC5219" w:rsidP="00E83802">
            <w:pPr>
              <w:jc w:val="right"/>
              <w:rPr>
                <w:rFonts w:ascii="Meta Pro" w:eastAsia="Times New Roman" w:hAnsi="Meta Pro"/>
                <w:szCs w:val="18"/>
                <w:lang w:eastAsia="en-AU"/>
              </w:rPr>
            </w:pPr>
            <w:r w:rsidRPr="00931C21">
              <w:rPr>
                <w:rFonts w:ascii="Meta Pro" w:eastAsia="Times New Roman" w:hAnsi="Meta Pro"/>
                <w:szCs w:val="18"/>
                <w:lang w:eastAsia="en-AU"/>
              </w:rPr>
              <w:t xml:space="preserve">5,078 </w:t>
            </w:r>
          </w:p>
        </w:tc>
      </w:tr>
      <w:tr w:rsidR="00BC5219" w:rsidRPr="00931C21" w14:paraId="213C4268" w14:textId="77777777" w:rsidTr="00E83802">
        <w:trPr>
          <w:trHeight w:val="240"/>
        </w:trPr>
        <w:tc>
          <w:tcPr>
            <w:tcW w:w="7136" w:type="dxa"/>
            <w:tcBorders>
              <w:top w:val="nil"/>
              <w:left w:val="nil"/>
              <w:bottom w:val="nil"/>
              <w:right w:val="nil"/>
            </w:tcBorders>
            <w:shd w:val="clear" w:color="auto" w:fill="auto"/>
            <w:noWrap/>
            <w:vAlign w:val="center"/>
            <w:hideMark/>
          </w:tcPr>
          <w:p w14:paraId="1A296339" w14:textId="77777777" w:rsidR="00BC5219" w:rsidRPr="00931C21" w:rsidRDefault="00BC5219" w:rsidP="00E83802">
            <w:pPr>
              <w:rPr>
                <w:rFonts w:ascii="Meta Pro" w:eastAsia="Times New Roman" w:hAnsi="Meta Pro"/>
                <w:szCs w:val="18"/>
                <w:lang w:eastAsia="en-AU"/>
              </w:rPr>
            </w:pPr>
            <w:r w:rsidRPr="00931C21">
              <w:rPr>
                <w:rFonts w:ascii="Meta Pro" w:eastAsia="Times New Roman" w:hAnsi="Meta Pro"/>
                <w:szCs w:val="18"/>
                <w:lang w:eastAsia="en-AU"/>
              </w:rPr>
              <w:t>Salaries and wages outstanding</w:t>
            </w:r>
          </w:p>
        </w:tc>
        <w:tc>
          <w:tcPr>
            <w:tcW w:w="1156" w:type="dxa"/>
            <w:tcBorders>
              <w:top w:val="nil"/>
              <w:left w:val="nil"/>
              <w:bottom w:val="nil"/>
              <w:right w:val="nil"/>
            </w:tcBorders>
            <w:shd w:val="clear" w:color="000000" w:fill="C9E3B4"/>
            <w:noWrap/>
            <w:vAlign w:val="center"/>
            <w:hideMark/>
          </w:tcPr>
          <w:p w14:paraId="40D03CE7" w14:textId="77777777" w:rsidR="00BC5219" w:rsidRPr="00931C21" w:rsidRDefault="00BC5219" w:rsidP="00E83802">
            <w:pPr>
              <w:jc w:val="right"/>
              <w:rPr>
                <w:rFonts w:ascii="Meta Pro" w:eastAsia="Times New Roman" w:hAnsi="Meta Pro"/>
                <w:szCs w:val="18"/>
                <w:lang w:eastAsia="en-AU"/>
              </w:rPr>
            </w:pPr>
            <w:r w:rsidRPr="00931C21">
              <w:rPr>
                <w:rFonts w:ascii="Meta Pro" w:eastAsia="Times New Roman" w:hAnsi="Meta Pro"/>
                <w:szCs w:val="18"/>
                <w:lang w:eastAsia="en-AU"/>
              </w:rPr>
              <w:t xml:space="preserve">6,487 </w:t>
            </w:r>
          </w:p>
        </w:tc>
        <w:tc>
          <w:tcPr>
            <w:tcW w:w="216" w:type="dxa"/>
            <w:tcBorders>
              <w:top w:val="nil"/>
              <w:left w:val="nil"/>
              <w:bottom w:val="nil"/>
              <w:right w:val="nil"/>
            </w:tcBorders>
            <w:shd w:val="clear" w:color="auto" w:fill="auto"/>
            <w:noWrap/>
            <w:vAlign w:val="center"/>
            <w:hideMark/>
          </w:tcPr>
          <w:p w14:paraId="0FBD306E" w14:textId="77777777" w:rsidR="00BC5219" w:rsidRPr="00931C21"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67F79C83" w14:textId="77777777" w:rsidR="00BC5219" w:rsidRPr="00931C21" w:rsidRDefault="00BC5219" w:rsidP="00E83802">
            <w:pPr>
              <w:jc w:val="right"/>
              <w:rPr>
                <w:rFonts w:ascii="Meta Pro" w:eastAsia="Times New Roman" w:hAnsi="Meta Pro"/>
                <w:szCs w:val="18"/>
                <w:lang w:eastAsia="en-AU"/>
              </w:rPr>
            </w:pPr>
            <w:r w:rsidRPr="00931C21">
              <w:rPr>
                <w:rFonts w:ascii="Meta Pro" w:eastAsia="Times New Roman" w:hAnsi="Meta Pro"/>
                <w:szCs w:val="18"/>
                <w:lang w:eastAsia="en-AU"/>
              </w:rPr>
              <w:t xml:space="preserve">6,087 </w:t>
            </w:r>
          </w:p>
        </w:tc>
      </w:tr>
      <w:tr w:rsidR="00BC5219" w:rsidRPr="00931C21" w14:paraId="59935428" w14:textId="77777777" w:rsidTr="00E83802">
        <w:trPr>
          <w:trHeight w:val="240"/>
        </w:trPr>
        <w:tc>
          <w:tcPr>
            <w:tcW w:w="7136" w:type="dxa"/>
            <w:tcBorders>
              <w:top w:val="nil"/>
              <w:left w:val="nil"/>
              <w:bottom w:val="nil"/>
              <w:right w:val="nil"/>
            </w:tcBorders>
            <w:shd w:val="clear" w:color="auto" w:fill="auto"/>
            <w:noWrap/>
            <w:vAlign w:val="center"/>
            <w:hideMark/>
          </w:tcPr>
          <w:p w14:paraId="1FCC4A14" w14:textId="77777777" w:rsidR="00BC5219" w:rsidRPr="00931C21" w:rsidRDefault="00BC5219" w:rsidP="00E83802">
            <w:pPr>
              <w:rPr>
                <w:rFonts w:ascii="Meta Pro" w:eastAsia="Times New Roman" w:hAnsi="Meta Pro"/>
                <w:szCs w:val="18"/>
                <w:lang w:eastAsia="en-AU"/>
              </w:rPr>
            </w:pPr>
            <w:r w:rsidRPr="00931C21">
              <w:rPr>
                <w:rFonts w:ascii="Meta Pro" w:eastAsia="Times New Roman" w:hAnsi="Meta Pro"/>
                <w:szCs w:val="18"/>
                <w:lang w:eastAsia="en-AU"/>
              </w:rPr>
              <w:t>Other</w:t>
            </w:r>
          </w:p>
        </w:tc>
        <w:tc>
          <w:tcPr>
            <w:tcW w:w="1156" w:type="dxa"/>
            <w:tcBorders>
              <w:top w:val="nil"/>
              <w:left w:val="nil"/>
              <w:bottom w:val="nil"/>
              <w:right w:val="nil"/>
            </w:tcBorders>
            <w:shd w:val="clear" w:color="000000" w:fill="C9E3B4"/>
            <w:noWrap/>
            <w:vAlign w:val="center"/>
            <w:hideMark/>
          </w:tcPr>
          <w:p w14:paraId="7B42A0E0" w14:textId="77777777" w:rsidR="00BC5219" w:rsidRPr="00931C21" w:rsidRDefault="00BC5219" w:rsidP="00E83802">
            <w:pPr>
              <w:jc w:val="right"/>
              <w:rPr>
                <w:rFonts w:ascii="Meta Pro" w:eastAsia="Times New Roman" w:hAnsi="Meta Pro"/>
                <w:szCs w:val="18"/>
                <w:lang w:eastAsia="en-AU"/>
              </w:rPr>
            </w:pPr>
            <w:r w:rsidRPr="00931C21">
              <w:rPr>
                <w:rFonts w:ascii="Meta Pro" w:eastAsia="Times New Roman" w:hAnsi="Meta Pro"/>
                <w:szCs w:val="18"/>
                <w:lang w:eastAsia="en-AU"/>
              </w:rPr>
              <w:t xml:space="preserve">2,531 </w:t>
            </w:r>
          </w:p>
        </w:tc>
        <w:tc>
          <w:tcPr>
            <w:tcW w:w="216" w:type="dxa"/>
            <w:tcBorders>
              <w:top w:val="nil"/>
              <w:left w:val="nil"/>
              <w:bottom w:val="nil"/>
              <w:right w:val="nil"/>
            </w:tcBorders>
            <w:shd w:val="clear" w:color="auto" w:fill="auto"/>
            <w:noWrap/>
            <w:vAlign w:val="center"/>
            <w:hideMark/>
          </w:tcPr>
          <w:p w14:paraId="4622B9BF" w14:textId="77777777" w:rsidR="00BC5219" w:rsidRPr="00931C21"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3D3C9E57" w14:textId="77777777" w:rsidR="00BC5219" w:rsidRPr="00931C21" w:rsidRDefault="00BC5219" w:rsidP="00E83802">
            <w:pPr>
              <w:jc w:val="right"/>
              <w:rPr>
                <w:rFonts w:ascii="Meta Pro" w:eastAsia="Times New Roman" w:hAnsi="Meta Pro"/>
                <w:szCs w:val="18"/>
                <w:lang w:eastAsia="en-AU"/>
              </w:rPr>
            </w:pPr>
            <w:r w:rsidRPr="00931C21">
              <w:rPr>
                <w:rFonts w:ascii="Meta Pro" w:eastAsia="Times New Roman" w:hAnsi="Meta Pro"/>
                <w:szCs w:val="18"/>
                <w:lang w:eastAsia="en-AU"/>
              </w:rPr>
              <w:t xml:space="preserve">2,616 </w:t>
            </w:r>
          </w:p>
        </w:tc>
      </w:tr>
      <w:tr w:rsidR="00BC5219" w:rsidRPr="00931C21" w14:paraId="43420B2A" w14:textId="77777777" w:rsidTr="00E83802">
        <w:trPr>
          <w:trHeight w:val="240"/>
        </w:trPr>
        <w:tc>
          <w:tcPr>
            <w:tcW w:w="7136" w:type="dxa"/>
            <w:tcBorders>
              <w:top w:val="single" w:sz="4" w:space="0" w:color="auto"/>
              <w:left w:val="nil"/>
              <w:bottom w:val="double" w:sz="6" w:space="0" w:color="auto"/>
              <w:right w:val="nil"/>
            </w:tcBorders>
            <w:shd w:val="clear" w:color="auto" w:fill="auto"/>
            <w:noWrap/>
            <w:vAlign w:val="center"/>
            <w:hideMark/>
          </w:tcPr>
          <w:p w14:paraId="04107999" w14:textId="77777777" w:rsidR="00BC5219" w:rsidRPr="00931C21" w:rsidRDefault="00BC5219" w:rsidP="00E83802">
            <w:pPr>
              <w:rPr>
                <w:rFonts w:ascii="Meta Pro" w:eastAsia="Times New Roman" w:hAnsi="Meta Pro"/>
                <w:b/>
                <w:bCs/>
                <w:szCs w:val="18"/>
                <w:lang w:eastAsia="en-AU"/>
              </w:rPr>
            </w:pPr>
            <w:r w:rsidRPr="00931C21">
              <w:rPr>
                <w:rFonts w:ascii="Meta Pro" w:eastAsia="Times New Roman" w:hAnsi="Meta Pro"/>
                <w:b/>
                <w:bCs/>
                <w:szCs w:val="18"/>
                <w:lang w:eastAsia="en-AU"/>
              </w:rPr>
              <w:t>Total</w:t>
            </w:r>
          </w:p>
        </w:tc>
        <w:tc>
          <w:tcPr>
            <w:tcW w:w="1156" w:type="dxa"/>
            <w:tcBorders>
              <w:top w:val="single" w:sz="4" w:space="0" w:color="auto"/>
              <w:left w:val="nil"/>
              <w:bottom w:val="double" w:sz="6" w:space="0" w:color="auto"/>
              <w:right w:val="nil"/>
            </w:tcBorders>
            <w:shd w:val="clear" w:color="000000" w:fill="C9E3B4"/>
            <w:noWrap/>
            <w:vAlign w:val="center"/>
            <w:hideMark/>
          </w:tcPr>
          <w:p w14:paraId="071587C0" w14:textId="77777777" w:rsidR="00BC5219" w:rsidRPr="00931C21" w:rsidRDefault="00BC5219" w:rsidP="00E83802">
            <w:pPr>
              <w:jc w:val="right"/>
              <w:rPr>
                <w:rFonts w:ascii="Meta Pro" w:eastAsia="Times New Roman" w:hAnsi="Meta Pro"/>
                <w:b/>
                <w:bCs/>
                <w:szCs w:val="18"/>
                <w:lang w:eastAsia="en-AU"/>
              </w:rPr>
            </w:pPr>
            <w:r w:rsidRPr="00931C21">
              <w:rPr>
                <w:rFonts w:ascii="Meta Pro" w:eastAsia="Times New Roman" w:hAnsi="Meta Pro"/>
                <w:b/>
                <w:bCs/>
                <w:szCs w:val="18"/>
                <w:lang w:eastAsia="en-AU"/>
              </w:rPr>
              <w:t xml:space="preserve">40,445 </w:t>
            </w:r>
          </w:p>
        </w:tc>
        <w:tc>
          <w:tcPr>
            <w:tcW w:w="216" w:type="dxa"/>
            <w:tcBorders>
              <w:top w:val="single" w:sz="4" w:space="0" w:color="auto"/>
              <w:left w:val="nil"/>
              <w:bottom w:val="double" w:sz="6" w:space="0" w:color="auto"/>
              <w:right w:val="nil"/>
            </w:tcBorders>
            <w:shd w:val="clear" w:color="auto" w:fill="auto"/>
            <w:noWrap/>
            <w:vAlign w:val="center"/>
            <w:hideMark/>
          </w:tcPr>
          <w:p w14:paraId="600587D2" w14:textId="77777777" w:rsidR="00BC5219" w:rsidRPr="00931C21" w:rsidRDefault="00BC5219" w:rsidP="00E83802">
            <w:pPr>
              <w:jc w:val="right"/>
              <w:rPr>
                <w:rFonts w:ascii="Meta Pro" w:eastAsia="Times New Roman" w:hAnsi="Meta Pro"/>
                <w:b/>
                <w:bCs/>
                <w:szCs w:val="18"/>
                <w:lang w:eastAsia="en-AU"/>
              </w:rPr>
            </w:pPr>
            <w:r w:rsidRPr="00931C21">
              <w:rPr>
                <w:rFonts w:ascii="Meta Pro" w:eastAsia="Times New Roman" w:hAnsi="Meta Pro"/>
                <w:b/>
                <w:bCs/>
                <w:szCs w:val="18"/>
                <w:lang w:eastAsia="en-AU"/>
              </w:rPr>
              <w:t> </w:t>
            </w:r>
          </w:p>
        </w:tc>
        <w:tc>
          <w:tcPr>
            <w:tcW w:w="1156" w:type="dxa"/>
            <w:tcBorders>
              <w:top w:val="single" w:sz="4" w:space="0" w:color="auto"/>
              <w:left w:val="nil"/>
              <w:bottom w:val="double" w:sz="6" w:space="0" w:color="auto"/>
              <w:right w:val="nil"/>
            </w:tcBorders>
            <w:shd w:val="clear" w:color="auto" w:fill="auto"/>
            <w:noWrap/>
            <w:vAlign w:val="center"/>
            <w:hideMark/>
          </w:tcPr>
          <w:p w14:paraId="4F387089" w14:textId="77777777" w:rsidR="00BC5219" w:rsidRPr="00931C21" w:rsidRDefault="00BC5219" w:rsidP="00E83802">
            <w:pPr>
              <w:jc w:val="right"/>
              <w:rPr>
                <w:rFonts w:ascii="Meta Pro" w:eastAsia="Times New Roman" w:hAnsi="Meta Pro"/>
                <w:b/>
                <w:bCs/>
                <w:szCs w:val="18"/>
                <w:lang w:eastAsia="en-AU"/>
              </w:rPr>
            </w:pPr>
            <w:r w:rsidRPr="00931C21">
              <w:rPr>
                <w:rFonts w:ascii="Meta Pro" w:eastAsia="Times New Roman" w:hAnsi="Meta Pro"/>
                <w:b/>
                <w:bCs/>
                <w:szCs w:val="18"/>
                <w:lang w:eastAsia="en-AU"/>
              </w:rPr>
              <w:t xml:space="preserve">31,859 </w:t>
            </w:r>
          </w:p>
        </w:tc>
      </w:tr>
    </w:tbl>
    <w:p w14:paraId="57B32A77" w14:textId="77777777" w:rsidR="00BC5219" w:rsidRPr="008A2B8F" w:rsidRDefault="00BC5219" w:rsidP="00BC5219">
      <w:pPr>
        <w:rPr>
          <w:rFonts w:ascii="Meta Pro" w:eastAsia="Times New Roman" w:hAnsi="Meta Pro"/>
          <w:szCs w:val="18"/>
          <w:lang w:eastAsia="en-AU"/>
        </w:rPr>
      </w:pPr>
    </w:p>
    <w:p w14:paraId="0F70F9C4" w14:textId="77777777" w:rsidR="00BC5219" w:rsidRPr="008A2B8F" w:rsidRDefault="00BC5219" w:rsidP="00BC5219">
      <w:pPr>
        <w:spacing w:before="60"/>
        <w:rPr>
          <w:rFonts w:ascii="Meta Pro" w:hAnsi="Meta Pro" w:cstheme="minorBidi"/>
        </w:rPr>
      </w:pPr>
    </w:p>
    <w:p w14:paraId="7C2A8235" w14:textId="77777777" w:rsidR="00BC5219" w:rsidRPr="008A2B8F" w:rsidRDefault="00BC5219" w:rsidP="00BC5219">
      <w:pPr>
        <w:spacing w:after="160" w:line="259" w:lineRule="auto"/>
        <w:rPr>
          <w:rFonts w:ascii="Meta Pro" w:eastAsia="Times New Roman" w:hAnsi="Meta Pro"/>
          <w:b/>
          <w:bCs/>
          <w:lang w:eastAsia="en-AU"/>
        </w:rPr>
        <w:sectPr w:rsidR="00BC5219" w:rsidRPr="008A2B8F" w:rsidSect="00B21FCC">
          <w:headerReference w:type="default" r:id="rId122"/>
          <w:footerReference w:type="default" r:id="rId123"/>
          <w:pgSz w:w="11906" w:h="16838"/>
          <w:pgMar w:top="1701" w:right="851" w:bottom="1134" w:left="851" w:header="454" w:footer="454" w:gutter="0"/>
          <w:pgNumType w:start="30"/>
          <w:cols w:space="708"/>
          <w:docGrid w:linePitch="360"/>
        </w:sectPr>
      </w:pPr>
    </w:p>
    <w:p w14:paraId="05D21954"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r w:rsidRPr="008A2B8F">
        <w:rPr>
          <w:rFonts w:ascii="Meta Pro" w:eastAsia="Times New Roman" w:hAnsi="Meta Pro"/>
          <w:i/>
          <w:iCs/>
          <w:color w:val="000000" w:themeColor="text1"/>
          <w:lang w:eastAsia="en-AU"/>
        </w:rPr>
        <w:lastRenderedPageBreak/>
        <w:t>Department of Transport and Main Roads</w:t>
      </w:r>
    </w:p>
    <w:p w14:paraId="6822588C"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Notes to the financial statements 2022–23 (continued)</w:t>
      </w:r>
    </w:p>
    <w:p w14:paraId="08ABD312" w14:textId="77777777" w:rsidR="00BC5219" w:rsidRDefault="00BC5219" w:rsidP="00BC5219">
      <w:pPr>
        <w:rPr>
          <w:rFonts w:ascii="Meta Pro" w:hAnsi="Meta Pro"/>
          <w:lang w:eastAsia="en-AU"/>
        </w:rPr>
      </w:pPr>
    </w:p>
    <w:p w14:paraId="42CD15B5" w14:textId="77777777" w:rsidR="00BC5219" w:rsidRPr="00FC6671" w:rsidRDefault="00BC5219" w:rsidP="00BC5219">
      <w:pPr>
        <w:spacing w:after="120"/>
        <w:rPr>
          <w:rFonts w:ascii="Meta Pro" w:hAnsi="Meta Pro"/>
          <w:b/>
          <w:bCs/>
          <w:lang w:eastAsia="en-AU"/>
        </w:rPr>
      </w:pPr>
      <w:r>
        <w:rPr>
          <w:rFonts w:ascii="Meta Pro" w:hAnsi="Meta Pro"/>
          <w:b/>
          <w:bCs/>
          <w:lang w:eastAsia="en-AU"/>
        </w:rPr>
        <w:t>2</w:t>
      </w:r>
      <w:r w:rsidRPr="005575F1">
        <w:rPr>
          <w:rFonts w:ascii="Meta Pro" w:hAnsi="Meta Pro"/>
          <w:b/>
          <w:bCs/>
          <w:lang w:eastAsia="en-AU"/>
        </w:rPr>
        <w:t xml:space="preserve">1     </w:t>
      </w:r>
      <w:r>
        <w:rPr>
          <w:rFonts w:ascii="Meta Pro" w:hAnsi="Meta Pro"/>
          <w:b/>
          <w:bCs/>
          <w:lang w:eastAsia="en-AU"/>
        </w:rPr>
        <w:t>ACCRUED EMPLOYEE BENEFITS</w:t>
      </w:r>
      <w:r w:rsidRPr="005575F1">
        <w:rPr>
          <w:rFonts w:ascii="Meta Pro" w:hAnsi="Meta Pro"/>
          <w:b/>
          <w:bCs/>
          <w:lang w:eastAsia="en-AU"/>
        </w:rPr>
        <w:t xml:space="preserve"> (continued)</w:t>
      </w:r>
    </w:p>
    <w:p w14:paraId="50C6951F" w14:textId="77777777" w:rsidR="00BC5219" w:rsidRPr="008A2B8F" w:rsidRDefault="00BC5219" w:rsidP="00BC5219">
      <w:pPr>
        <w:pStyle w:val="ACPHeading"/>
        <w:spacing w:after="60"/>
      </w:pPr>
      <w:r w:rsidRPr="00FC6671">
        <w:t xml:space="preserve"> </w:t>
      </w:r>
      <w:r w:rsidRPr="008A2B8F">
        <w:t xml:space="preserve">Accounting policy </w:t>
      </w:r>
    </w:p>
    <w:p w14:paraId="6D53B454" w14:textId="77777777" w:rsidR="00BC5219" w:rsidRPr="008A2B8F" w:rsidRDefault="00BC5219" w:rsidP="00BC5219">
      <w:pPr>
        <w:shd w:val="clear" w:color="auto" w:fill="EBEBEB"/>
        <w:spacing w:after="60"/>
        <w:ind w:left="113" w:hanging="113"/>
        <w:rPr>
          <w:rFonts w:ascii="Meta Pro" w:eastAsia="Times New Roman" w:hAnsi="Meta Pro"/>
          <w:b/>
          <w:bCs/>
          <w:i/>
          <w:iCs/>
          <w:color w:val="000000"/>
          <w:szCs w:val="18"/>
          <w:lang w:eastAsia="en-AU"/>
        </w:rPr>
      </w:pPr>
      <w:r w:rsidRPr="008A2B8F">
        <w:rPr>
          <w:rFonts w:ascii="Meta Pro" w:eastAsia="Times New Roman" w:hAnsi="Meta Pro"/>
          <w:b/>
          <w:bCs/>
          <w:i/>
          <w:iCs/>
          <w:color w:val="000000"/>
          <w:szCs w:val="18"/>
          <w:lang w:eastAsia="en-AU"/>
        </w:rPr>
        <w:t>Annual leave and long service leave</w:t>
      </w:r>
    </w:p>
    <w:p w14:paraId="3F39F433" w14:textId="77777777" w:rsidR="00BC5219" w:rsidRPr="008A2B8F" w:rsidRDefault="00BC5219" w:rsidP="00BC5219">
      <w:pPr>
        <w:pStyle w:val="ACPPara"/>
        <w:spacing w:after="60"/>
      </w:pPr>
      <w:r w:rsidRPr="008A2B8F">
        <w:t xml:space="preserve">Under the Queensland Government’s Annual Leave Central Scheme and Long Service Leave Central Scheme, a levy is made on the department to cover the cost of employees' annual leave and long service leave entitlements. The levies are expensed in the period in which they are payable. Amounts paid to employees for annual leave and long service leave are claimed from the schemes quarterly in arrears. </w:t>
      </w:r>
    </w:p>
    <w:p w14:paraId="2D5A21C5" w14:textId="77777777" w:rsidR="00BC5219" w:rsidRPr="008A2B8F" w:rsidRDefault="00BC5219" w:rsidP="00BC5219">
      <w:pPr>
        <w:pStyle w:val="ACPPara"/>
        <w:spacing w:after="60"/>
      </w:pPr>
      <w:r w:rsidRPr="008A2B8F">
        <w:t>No provision for annual leave or long service leave is recognised in these financial statements. The liabilities are held on a whole</w:t>
      </w:r>
      <w:r>
        <w:t>-</w:t>
      </w:r>
      <w:r w:rsidRPr="008A2B8F">
        <w:t>of-government basis and are reported by Queensland Treasury.</w:t>
      </w:r>
    </w:p>
    <w:p w14:paraId="75CE42DA" w14:textId="77777777" w:rsidR="00BC5219" w:rsidRPr="008A2B8F" w:rsidRDefault="00BC5219" w:rsidP="00BC5219">
      <w:pPr>
        <w:shd w:val="clear" w:color="auto" w:fill="EBEBEB"/>
        <w:spacing w:after="60"/>
        <w:rPr>
          <w:rFonts w:ascii="Meta Pro" w:eastAsia="Times New Roman" w:hAnsi="Meta Pro"/>
          <w:b/>
          <w:bCs/>
          <w:i/>
          <w:iCs/>
          <w:color w:val="000000"/>
          <w:szCs w:val="18"/>
          <w:lang w:eastAsia="en-AU"/>
        </w:rPr>
      </w:pPr>
      <w:r w:rsidRPr="008A2B8F">
        <w:rPr>
          <w:rFonts w:ascii="Meta Pro" w:eastAsia="Times New Roman" w:hAnsi="Meta Pro"/>
          <w:b/>
          <w:bCs/>
          <w:i/>
          <w:iCs/>
          <w:color w:val="000000"/>
          <w:szCs w:val="18"/>
          <w:lang w:eastAsia="en-AU"/>
        </w:rPr>
        <w:t>Sick leave</w:t>
      </w:r>
    </w:p>
    <w:p w14:paraId="04E79F8F" w14:textId="77777777" w:rsidR="00BC5219" w:rsidRPr="008A2B8F" w:rsidRDefault="00BC5219" w:rsidP="00BC5219">
      <w:pPr>
        <w:pStyle w:val="ACPPara"/>
        <w:spacing w:after="60"/>
      </w:pPr>
      <w:r w:rsidRPr="008A2B8F">
        <w:t>Prior history indicates that on average, sick leave taken each reporting period is less than the entitlement accrued. This is expected to continue in future periods. Accordingly, it is unlikely that existing accumulated entitlements will be used by employees and no liability for unused sick leave entitlements is recognised.</w:t>
      </w:r>
    </w:p>
    <w:p w14:paraId="44E0D5E4" w14:textId="77777777" w:rsidR="00BC5219" w:rsidRPr="008A2B8F" w:rsidRDefault="00BC5219" w:rsidP="00BC5219">
      <w:pPr>
        <w:pStyle w:val="ACPPara"/>
        <w:spacing w:after="60"/>
      </w:pPr>
      <w:r w:rsidRPr="008A2B8F">
        <w:t>As sick leave is non-vesting, an expense is recognised for this leave as it is taken.</w:t>
      </w:r>
    </w:p>
    <w:p w14:paraId="007A545D" w14:textId="77777777" w:rsidR="00BC5219" w:rsidRPr="008A2B8F" w:rsidRDefault="00BC5219" w:rsidP="00BC5219">
      <w:pPr>
        <w:shd w:val="clear" w:color="auto" w:fill="EBEBEB"/>
        <w:spacing w:after="60"/>
        <w:ind w:left="113" w:hanging="113"/>
        <w:rPr>
          <w:rFonts w:ascii="Meta Pro" w:eastAsia="Times New Roman" w:hAnsi="Meta Pro"/>
          <w:b/>
          <w:bCs/>
          <w:i/>
          <w:iCs/>
          <w:color w:val="000000"/>
          <w:szCs w:val="18"/>
          <w:lang w:eastAsia="en-AU"/>
        </w:rPr>
      </w:pPr>
      <w:r w:rsidRPr="008A2B8F">
        <w:rPr>
          <w:rFonts w:ascii="Meta Pro" w:eastAsia="Times New Roman" w:hAnsi="Meta Pro"/>
          <w:b/>
          <w:bCs/>
          <w:i/>
          <w:iCs/>
          <w:color w:val="000000"/>
          <w:szCs w:val="18"/>
          <w:lang w:eastAsia="en-AU"/>
        </w:rPr>
        <w:t>Superannuation</w:t>
      </w:r>
    </w:p>
    <w:p w14:paraId="700320AA" w14:textId="77777777" w:rsidR="00BC5219" w:rsidRPr="008A2B8F" w:rsidRDefault="00BC5219" w:rsidP="00BC5219">
      <w:pPr>
        <w:pStyle w:val="ACPPara"/>
        <w:spacing w:after="60"/>
      </w:pPr>
      <w:r w:rsidRPr="008A2B8F">
        <w:t>Post-employment benefits for superannuation are provided through defined contribution (accumulation) plans or the Queensland Government's QSuper defined benefit plan as determined by the employee's conditions of employment. The former QSuper defined benefit categories are now administered by the Government Division of the Australian Retirement Trust.</w:t>
      </w:r>
    </w:p>
    <w:p w14:paraId="43091265" w14:textId="77777777" w:rsidR="00BC5219" w:rsidRPr="008A2B8F" w:rsidRDefault="00BC5219" w:rsidP="00BC5219">
      <w:pPr>
        <w:pStyle w:val="ACPPara"/>
        <w:spacing w:after="60"/>
      </w:pPr>
      <w:r w:rsidRPr="008A2B8F">
        <w:t>Contributions are made to eligible complying superannuation funds based on the rates specified in the relevant enterprise bargaining agreement or other conditions of employment. Contributions are expensed when they are paid or become payable following completion of the employee's service each pay period.</w:t>
      </w:r>
    </w:p>
    <w:p w14:paraId="4E137CA4" w14:textId="77777777" w:rsidR="00BC5219" w:rsidRPr="008A2B8F" w:rsidRDefault="00BC5219" w:rsidP="00BC5219">
      <w:pPr>
        <w:pStyle w:val="ACPPara"/>
        <w:spacing w:after="0"/>
      </w:pPr>
      <w:r w:rsidRPr="008A2B8F">
        <w:t xml:space="preserve">The liability for defined benefits is held on a whole-of-government basis and reported in those financial statements pursuant to AASB 1049 </w:t>
      </w:r>
      <w:r w:rsidRPr="008A2B8F">
        <w:rPr>
          <w:i/>
          <w:iCs/>
        </w:rPr>
        <w:t>Whole of Government and General Government Sector Financial Reporting</w:t>
      </w:r>
      <w:r w:rsidRPr="008A2B8F">
        <w:t xml:space="preserve">. The amount of contributions for defined benefit plan obligations is based upon the rates determined on the advice of the State Actuary. Contributions are paid by the department at the specified rate following completion of the employee's service each pay period. The department's obligations are limited to those contributions paid. </w:t>
      </w:r>
    </w:p>
    <w:p w14:paraId="5CA17226" w14:textId="77777777" w:rsidR="00BC5219" w:rsidRDefault="00BC5219" w:rsidP="00BC5219">
      <w:pPr>
        <w:rPr>
          <w:rFonts w:asciiTheme="minorHAnsi" w:hAnsiTheme="minorHAnsi" w:cstheme="minorBidi"/>
        </w:rPr>
      </w:pPr>
    </w:p>
    <w:tbl>
      <w:tblPr>
        <w:tblW w:w="0" w:type="auto"/>
        <w:tblCellMar>
          <w:left w:w="0" w:type="dxa"/>
        </w:tblCellMar>
        <w:tblLook w:val="04A0" w:firstRow="1" w:lastRow="0" w:firstColumn="1" w:lastColumn="0" w:noHBand="0" w:noVBand="1"/>
      </w:tblPr>
      <w:tblGrid>
        <w:gridCol w:w="7144"/>
        <w:gridCol w:w="1164"/>
        <w:gridCol w:w="224"/>
        <w:gridCol w:w="1164"/>
      </w:tblGrid>
      <w:tr w:rsidR="00BC5219" w:rsidRPr="00FC6671" w14:paraId="76FE9723" w14:textId="77777777" w:rsidTr="00E83802">
        <w:trPr>
          <w:trHeight w:val="240"/>
        </w:trPr>
        <w:tc>
          <w:tcPr>
            <w:tcW w:w="7136" w:type="dxa"/>
            <w:tcBorders>
              <w:top w:val="nil"/>
              <w:left w:val="nil"/>
              <w:bottom w:val="nil"/>
              <w:right w:val="nil"/>
            </w:tcBorders>
            <w:shd w:val="clear" w:color="auto" w:fill="auto"/>
            <w:noWrap/>
            <w:vAlign w:val="center"/>
            <w:hideMark/>
          </w:tcPr>
          <w:p w14:paraId="38A4FC17" w14:textId="77777777" w:rsidR="00BC5219" w:rsidRPr="00FC6671" w:rsidRDefault="00BC5219" w:rsidP="00E83802">
            <w:pPr>
              <w:rPr>
                <w:rFonts w:ascii="Times New Roman" w:eastAsia="Times New Roman" w:hAnsi="Times New Roman" w:cs="Times New Roman"/>
                <w:sz w:val="24"/>
                <w:szCs w:val="24"/>
                <w:lang w:eastAsia="en-AU"/>
              </w:rPr>
            </w:pPr>
          </w:p>
        </w:tc>
        <w:tc>
          <w:tcPr>
            <w:tcW w:w="1156" w:type="dxa"/>
            <w:tcBorders>
              <w:top w:val="nil"/>
              <w:left w:val="nil"/>
              <w:bottom w:val="nil"/>
              <w:right w:val="nil"/>
            </w:tcBorders>
            <w:shd w:val="clear" w:color="auto" w:fill="auto"/>
            <w:noWrap/>
            <w:vAlign w:val="center"/>
            <w:hideMark/>
          </w:tcPr>
          <w:p w14:paraId="2C67C17E" w14:textId="77777777" w:rsidR="00BC5219" w:rsidRPr="00FC6671" w:rsidRDefault="00BC5219" w:rsidP="00E83802">
            <w:pPr>
              <w:jc w:val="center"/>
              <w:rPr>
                <w:rFonts w:ascii="Meta Pro" w:eastAsia="Times New Roman" w:hAnsi="Meta Pro"/>
                <w:b/>
                <w:bCs/>
                <w:lang w:eastAsia="en-AU"/>
              </w:rPr>
            </w:pPr>
            <w:r w:rsidRPr="00FC6671">
              <w:rPr>
                <w:rFonts w:ascii="Meta Pro" w:eastAsia="Times New Roman" w:hAnsi="Meta Pro"/>
                <w:b/>
                <w:bCs/>
                <w:lang w:eastAsia="en-AU"/>
              </w:rPr>
              <w:t>2023</w:t>
            </w:r>
          </w:p>
        </w:tc>
        <w:tc>
          <w:tcPr>
            <w:tcW w:w="216" w:type="dxa"/>
            <w:tcBorders>
              <w:top w:val="nil"/>
              <w:left w:val="nil"/>
              <w:bottom w:val="nil"/>
              <w:right w:val="nil"/>
            </w:tcBorders>
            <w:shd w:val="clear" w:color="auto" w:fill="auto"/>
            <w:noWrap/>
            <w:vAlign w:val="center"/>
            <w:hideMark/>
          </w:tcPr>
          <w:p w14:paraId="2376CF06" w14:textId="77777777" w:rsidR="00BC5219" w:rsidRPr="00FC6671" w:rsidRDefault="00BC5219" w:rsidP="00E83802">
            <w:pPr>
              <w:jc w:val="center"/>
              <w:rPr>
                <w:rFonts w:ascii="Meta Pro" w:eastAsia="Times New Roman" w:hAnsi="Meta Pro"/>
                <w:b/>
                <w:bCs/>
                <w:lang w:eastAsia="en-AU"/>
              </w:rPr>
            </w:pPr>
          </w:p>
        </w:tc>
        <w:tc>
          <w:tcPr>
            <w:tcW w:w="1156" w:type="dxa"/>
            <w:tcBorders>
              <w:top w:val="nil"/>
              <w:left w:val="nil"/>
              <w:bottom w:val="nil"/>
              <w:right w:val="nil"/>
            </w:tcBorders>
            <w:shd w:val="clear" w:color="auto" w:fill="auto"/>
            <w:noWrap/>
            <w:vAlign w:val="center"/>
            <w:hideMark/>
          </w:tcPr>
          <w:p w14:paraId="1FF0E143" w14:textId="77777777" w:rsidR="00BC5219" w:rsidRPr="00FC6671" w:rsidRDefault="00BC5219" w:rsidP="00E83802">
            <w:pPr>
              <w:jc w:val="center"/>
              <w:rPr>
                <w:rFonts w:ascii="Meta Pro" w:eastAsia="Times New Roman" w:hAnsi="Meta Pro"/>
                <w:b/>
                <w:bCs/>
                <w:lang w:eastAsia="en-AU"/>
              </w:rPr>
            </w:pPr>
            <w:r w:rsidRPr="00FC6671">
              <w:rPr>
                <w:rFonts w:ascii="Meta Pro" w:eastAsia="Times New Roman" w:hAnsi="Meta Pro"/>
                <w:b/>
                <w:bCs/>
                <w:lang w:eastAsia="en-AU"/>
              </w:rPr>
              <w:t>2022</w:t>
            </w:r>
          </w:p>
        </w:tc>
      </w:tr>
      <w:tr w:rsidR="00BC5219" w:rsidRPr="00FC6671" w14:paraId="5B31EF20" w14:textId="77777777" w:rsidTr="00E83802">
        <w:trPr>
          <w:trHeight w:val="240"/>
        </w:trPr>
        <w:tc>
          <w:tcPr>
            <w:tcW w:w="7136" w:type="dxa"/>
            <w:tcBorders>
              <w:top w:val="nil"/>
              <w:left w:val="nil"/>
              <w:bottom w:val="nil"/>
              <w:right w:val="nil"/>
            </w:tcBorders>
            <w:shd w:val="clear" w:color="auto" w:fill="auto"/>
            <w:noWrap/>
            <w:vAlign w:val="center"/>
            <w:hideMark/>
          </w:tcPr>
          <w:p w14:paraId="1FF904B7" w14:textId="77777777" w:rsidR="00BC5219" w:rsidRPr="00FC6671" w:rsidRDefault="00BC5219" w:rsidP="00E83802">
            <w:pPr>
              <w:jc w:val="center"/>
              <w:rPr>
                <w:rFonts w:ascii="Meta Pro" w:eastAsia="Times New Roman" w:hAnsi="Meta Pro"/>
                <w:b/>
                <w:bCs/>
                <w:lang w:eastAsia="en-AU"/>
              </w:rPr>
            </w:pPr>
          </w:p>
        </w:tc>
        <w:tc>
          <w:tcPr>
            <w:tcW w:w="1156" w:type="dxa"/>
            <w:tcBorders>
              <w:top w:val="nil"/>
              <w:left w:val="nil"/>
              <w:bottom w:val="nil"/>
              <w:right w:val="nil"/>
            </w:tcBorders>
            <w:shd w:val="clear" w:color="auto" w:fill="auto"/>
            <w:noWrap/>
            <w:vAlign w:val="center"/>
            <w:hideMark/>
          </w:tcPr>
          <w:p w14:paraId="2F36A2A5" w14:textId="77777777" w:rsidR="00BC5219" w:rsidRPr="00FC6671" w:rsidRDefault="00BC5219" w:rsidP="00E83802">
            <w:pPr>
              <w:jc w:val="center"/>
              <w:rPr>
                <w:rFonts w:ascii="Meta Pro" w:eastAsia="Times New Roman" w:hAnsi="Meta Pro"/>
                <w:b/>
                <w:bCs/>
                <w:lang w:eastAsia="en-AU"/>
              </w:rPr>
            </w:pPr>
            <w:r w:rsidRPr="00FC6671">
              <w:rPr>
                <w:rFonts w:ascii="Meta Pro" w:eastAsia="Times New Roman" w:hAnsi="Meta Pro"/>
                <w:b/>
                <w:bCs/>
                <w:lang w:eastAsia="en-AU"/>
              </w:rPr>
              <w:t>$'000</w:t>
            </w:r>
          </w:p>
        </w:tc>
        <w:tc>
          <w:tcPr>
            <w:tcW w:w="216" w:type="dxa"/>
            <w:tcBorders>
              <w:top w:val="nil"/>
              <w:left w:val="nil"/>
              <w:bottom w:val="nil"/>
              <w:right w:val="nil"/>
            </w:tcBorders>
            <w:shd w:val="clear" w:color="auto" w:fill="auto"/>
            <w:noWrap/>
            <w:vAlign w:val="center"/>
            <w:hideMark/>
          </w:tcPr>
          <w:p w14:paraId="5E0A5654" w14:textId="77777777" w:rsidR="00BC5219" w:rsidRPr="00FC6671" w:rsidRDefault="00BC5219" w:rsidP="00E83802">
            <w:pPr>
              <w:jc w:val="center"/>
              <w:rPr>
                <w:rFonts w:ascii="Meta Pro" w:eastAsia="Times New Roman" w:hAnsi="Meta Pro"/>
                <w:b/>
                <w:bCs/>
                <w:lang w:eastAsia="en-AU"/>
              </w:rPr>
            </w:pPr>
          </w:p>
        </w:tc>
        <w:tc>
          <w:tcPr>
            <w:tcW w:w="1156" w:type="dxa"/>
            <w:tcBorders>
              <w:top w:val="nil"/>
              <w:left w:val="nil"/>
              <w:bottom w:val="nil"/>
              <w:right w:val="nil"/>
            </w:tcBorders>
            <w:shd w:val="clear" w:color="auto" w:fill="auto"/>
            <w:noWrap/>
            <w:vAlign w:val="center"/>
            <w:hideMark/>
          </w:tcPr>
          <w:p w14:paraId="4D9EABCE" w14:textId="77777777" w:rsidR="00BC5219" w:rsidRPr="00FC6671" w:rsidRDefault="00BC5219" w:rsidP="00E83802">
            <w:pPr>
              <w:jc w:val="center"/>
              <w:rPr>
                <w:rFonts w:ascii="Meta Pro" w:eastAsia="Times New Roman" w:hAnsi="Meta Pro"/>
                <w:b/>
                <w:bCs/>
                <w:lang w:eastAsia="en-AU"/>
              </w:rPr>
            </w:pPr>
            <w:r w:rsidRPr="00FC6671">
              <w:rPr>
                <w:rFonts w:ascii="Meta Pro" w:eastAsia="Times New Roman" w:hAnsi="Meta Pro"/>
                <w:b/>
                <w:bCs/>
                <w:lang w:eastAsia="en-AU"/>
              </w:rPr>
              <w:t>$'000</w:t>
            </w:r>
          </w:p>
        </w:tc>
      </w:tr>
      <w:tr w:rsidR="00BC5219" w:rsidRPr="00FC6671" w14:paraId="6E8179E1" w14:textId="77777777" w:rsidTr="00E83802">
        <w:trPr>
          <w:trHeight w:val="240"/>
        </w:trPr>
        <w:tc>
          <w:tcPr>
            <w:tcW w:w="7136" w:type="dxa"/>
            <w:tcBorders>
              <w:top w:val="nil"/>
              <w:left w:val="nil"/>
              <w:bottom w:val="nil"/>
              <w:right w:val="nil"/>
            </w:tcBorders>
            <w:shd w:val="clear" w:color="auto" w:fill="auto"/>
            <w:noWrap/>
            <w:vAlign w:val="center"/>
            <w:hideMark/>
          </w:tcPr>
          <w:p w14:paraId="25AF910B" w14:textId="77777777" w:rsidR="00BC5219" w:rsidRPr="00FC6671" w:rsidRDefault="00BC5219" w:rsidP="00E83802">
            <w:pPr>
              <w:rPr>
                <w:rFonts w:ascii="Meta Pro" w:eastAsia="Times New Roman" w:hAnsi="Meta Pro"/>
                <w:b/>
                <w:bCs/>
                <w:lang w:eastAsia="en-AU"/>
              </w:rPr>
            </w:pPr>
            <w:r w:rsidRPr="00FC6671">
              <w:rPr>
                <w:rFonts w:ascii="Meta Pro" w:eastAsia="Times New Roman" w:hAnsi="Meta Pro"/>
                <w:b/>
                <w:bCs/>
                <w:lang w:eastAsia="en-AU"/>
              </w:rPr>
              <w:t>22     OTHER LIABILITIES</w:t>
            </w:r>
          </w:p>
        </w:tc>
        <w:tc>
          <w:tcPr>
            <w:tcW w:w="1156" w:type="dxa"/>
            <w:tcBorders>
              <w:top w:val="nil"/>
              <w:left w:val="nil"/>
              <w:bottom w:val="nil"/>
              <w:right w:val="nil"/>
            </w:tcBorders>
            <w:shd w:val="clear" w:color="auto" w:fill="auto"/>
            <w:noWrap/>
            <w:vAlign w:val="center"/>
            <w:hideMark/>
          </w:tcPr>
          <w:p w14:paraId="5B5C147B" w14:textId="77777777" w:rsidR="00BC5219" w:rsidRPr="00FC6671" w:rsidRDefault="00BC5219" w:rsidP="00E83802">
            <w:pPr>
              <w:rPr>
                <w:rFonts w:ascii="Meta Pro" w:eastAsia="Times New Roman" w:hAnsi="Meta Pro"/>
                <w:b/>
                <w:bCs/>
                <w:lang w:eastAsia="en-AU"/>
              </w:rPr>
            </w:pPr>
          </w:p>
        </w:tc>
        <w:tc>
          <w:tcPr>
            <w:tcW w:w="216" w:type="dxa"/>
            <w:tcBorders>
              <w:top w:val="nil"/>
              <w:left w:val="nil"/>
              <w:bottom w:val="nil"/>
              <w:right w:val="nil"/>
            </w:tcBorders>
            <w:shd w:val="clear" w:color="auto" w:fill="auto"/>
            <w:noWrap/>
            <w:vAlign w:val="center"/>
            <w:hideMark/>
          </w:tcPr>
          <w:p w14:paraId="768AA971" w14:textId="77777777" w:rsidR="00BC5219" w:rsidRPr="00FC6671"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4093506F" w14:textId="77777777" w:rsidR="00BC5219" w:rsidRPr="00FC6671" w:rsidRDefault="00BC5219" w:rsidP="00E83802">
            <w:pPr>
              <w:jc w:val="right"/>
              <w:rPr>
                <w:rFonts w:ascii="Times New Roman" w:eastAsia="Times New Roman" w:hAnsi="Times New Roman" w:cs="Times New Roman"/>
                <w:sz w:val="20"/>
                <w:szCs w:val="20"/>
                <w:lang w:eastAsia="en-AU"/>
              </w:rPr>
            </w:pPr>
          </w:p>
        </w:tc>
      </w:tr>
      <w:tr w:rsidR="00BC5219" w:rsidRPr="00FC6671" w14:paraId="302CD503" w14:textId="77777777" w:rsidTr="00E83802">
        <w:trPr>
          <w:trHeight w:val="90"/>
        </w:trPr>
        <w:tc>
          <w:tcPr>
            <w:tcW w:w="7136" w:type="dxa"/>
            <w:tcBorders>
              <w:top w:val="nil"/>
              <w:left w:val="nil"/>
              <w:bottom w:val="nil"/>
              <w:right w:val="nil"/>
            </w:tcBorders>
            <w:shd w:val="clear" w:color="auto" w:fill="auto"/>
            <w:noWrap/>
            <w:vAlign w:val="center"/>
            <w:hideMark/>
          </w:tcPr>
          <w:p w14:paraId="782D987B" w14:textId="77777777" w:rsidR="00BC5219" w:rsidRPr="00FC6671"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083FAEAF" w14:textId="77777777" w:rsidR="00BC5219" w:rsidRPr="00FC6671" w:rsidRDefault="00BC5219" w:rsidP="00E83802">
            <w:pPr>
              <w:rPr>
                <w:rFonts w:ascii="Times New Roman" w:eastAsia="Times New Roman" w:hAnsi="Times New Roman"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0E1D16C4" w14:textId="77777777" w:rsidR="00BC5219" w:rsidRPr="00FC6671"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0CFF109B" w14:textId="77777777" w:rsidR="00BC5219" w:rsidRPr="00FC6671" w:rsidRDefault="00BC5219" w:rsidP="00E83802">
            <w:pPr>
              <w:jc w:val="right"/>
              <w:rPr>
                <w:rFonts w:ascii="Times New Roman" w:eastAsia="Times New Roman" w:hAnsi="Times New Roman" w:cs="Times New Roman"/>
                <w:sz w:val="20"/>
                <w:szCs w:val="20"/>
                <w:lang w:eastAsia="en-AU"/>
              </w:rPr>
            </w:pPr>
          </w:p>
        </w:tc>
      </w:tr>
      <w:tr w:rsidR="00BC5219" w:rsidRPr="00FC6671" w14:paraId="059A4916" w14:textId="77777777" w:rsidTr="00E83802">
        <w:trPr>
          <w:trHeight w:val="240"/>
        </w:trPr>
        <w:tc>
          <w:tcPr>
            <w:tcW w:w="7136" w:type="dxa"/>
            <w:tcBorders>
              <w:top w:val="nil"/>
              <w:left w:val="nil"/>
              <w:bottom w:val="nil"/>
              <w:right w:val="nil"/>
            </w:tcBorders>
            <w:shd w:val="clear" w:color="auto" w:fill="auto"/>
            <w:noWrap/>
            <w:vAlign w:val="center"/>
            <w:hideMark/>
          </w:tcPr>
          <w:p w14:paraId="42F4B19A" w14:textId="77777777" w:rsidR="00BC5219" w:rsidRPr="00FC6671" w:rsidRDefault="00BC5219" w:rsidP="00E83802">
            <w:pPr>
              <w:rPr>
                <w:rFonts w:ascii="Meta Pro" w:eastAsia="Times New Roman" w:hAnsi="Meta Pro"/>
                <w:b/>
                <w:bCs/>
                <w:szCs w:val="18"/>
                <w:lang w:eastAsia="en-AU"/>
              </w:rPr>
            </w:pPr>
            <w:r w:rsidRPr="00FC6671">
              <w:rPr>
                <w:rFonts w:ascii="Meta Pro" w:eastAsia="Times New Roman" w:hAnsi="Meta Pro"/>
                <w:b/>
                <w:bCs/>
                <w:szCs w:val="18"/>
                <w:lang w:eastAsia="en-AU"/>
              </w:rPr>
              <w:t>Current</w:t>
            </w:r>
          </w:p>
        </w:tc>
        <w:tc>
          <w:tcPr>
            <w:tcW w:w="1156" w:type="dxa"/>
            <w:tcBorders>
              <w:top w:val="nil"/>
              <w:left w:val="nil"/>
              <w:bottom w:val="nil"/>
              <w:right w:val="nil"/>
            </w:tcBorders>
            <w:shd w:val="clear" w:color="auto" w:fill="auto"/>
            <w:noWrap/>
            <w:vAlign w:val="center"/>
            <w:hideMark/>
          </w:tcPr>
          <w:p w14:paraId="404E2ECC" w14:textId="77777777" w:rsidR="00BC5219" w:rsidRPr="00FC6671" w:rsidRDefault="00BC5219" w:rsidP="00E83802">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12661763" w14:textId="77777777" w:rsidR="00BC5219" w:rsidRPr="00FC6671" w:rsidRDefault="00BC5219" w:rsidP="00E83802">
            <w:pPr>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719BEB2E" w14:textId="77777777" w:rsidR="00BC5219" w:rsidRPr="00FC6671" w:rsidRDefault="00BC5219" w:rsidP="00E83802">
            <w:pPr>
              <w:jc w:val="right"/>
              <w:rPr>
                <w:rFonts w:ascii="Times New Roman" w:eastAsia="Times New Roman" w:hAnsi="Times New Roman" w:cs="Times New Roman"/>
                <w:sz w:val="20"/>
                <w:szCs w:val="20"/>
                <w:lang w:eastAsia="en-AU"/>
              </w:rPr>
            </w:pPr>
          </w:p>
        </w:tc>
      </w:tr>
      <w:tr w:rsidR="00BC5219" w:rsidRPr="00FC6671" w14:paraId="6DA8B52E" w14:textId="77777777" w:rsidTr="00E83802">
        <w:trPr>
          <w:trHeight w:val="240"/>
        </w:trPr>
        <w:tc>
          <w:tcPr>
            <w:tcW w:w="7136" w:type="dxa"/>
            <w:tcBorders>
              <w:top w:val="nil"/>
              <w:left w:val="nil"/>
              <w:bottom w:val="nil"/>
              <w:right w:val="nil"/>
            </w:tcBorders>
            <w:shd w:val="clear" w:color="auto" w:fill="auto"/>
            <w:noWrap/>
            <w:vAlign w:val="center"/>
            <w:hideMark/>
          </w:tcPr>
          <w:p w14:paraId="0AF290C2" w14:textId="77777777" w:rsidR="00BC5219" w:rsidRPr="00FC6671" w:rsidRDefault="00BC5219" w:rsidP="00E83802">
            <w:pPr>
              <w:rPr>
                <w:rFonts w:ascii="Meta Pro" w:eastAsia="Times New Roman" w:hAnsi="Meta Pro"/>
                <w:szCs w:val="18"/>
                <w:lang w:eastAsia="en-AU"/>
              </w:rPr>
            </w:pPr>
            <w:r w:rsidRPr="00FC6671">
              <w:rPr>
                <w:rFonts w:ascii="Meta Pro" w:eastAsia="Times New Roman" w:hAnsi="Meta Pro"/>
                <w:szCs w:val="18"/>
                <w:lang w:eastAsia="en-AU"/>
              </w:rPr>
              <w:t>Advance payments from Queensland Reconstruction Authority *</w:t>
            </w:r>
          </w:p>
        </w:tc>
        <w:tc>
          <w:tcPr>
            <w:tcW w:w="1156" w:type="dxa"/>
            <w:tcBorders>
              <w:top w:val="nil"/>
              <w:left w:val="nil"/>
              <w:bottom w:val="nil"/>
              <w:right w:val="nil"/>
            </w:tcBorders>
            <w:shd w:val="clear" w:color="000000" w:fill="C9E3B4"/>
            <w:noWrap/>
            <w:vAlign w:val="center"/>
            <w:hideMark/>
          </w:tcPr>
          <w:p w14:paraId="16A82C0F" w14:textId="77777777" w:rsidR="00BC5219" w:rsidRPr="00FC6671" w:rsidRDefault="00BC5219" w:rsidP="00E83802">
            <w:pPr>
              <w:jc w:val="right"/>
              <w:rPr>
                <w:rFonts w:ascii="Meta Pro" w:eastAsia="Times New Roman" w:hAnsi="Meta Pro"/>
                <w:szCs w:val="18"/>
                <w:lang w:eastAsia="en-AU"/>
              </w:rPr>
            </w:pPr>
            <w:r w:rsidRPr="00FC6671">
              <w:rPr>
                <w:rFonts w:ascii="Meta Pro" w:eastAsia="Times New Roman" w:hAnsi="Meta Pro"/>
                <w:szCs w:val="18"/>
                <w:lang w:eastAsia="en-AU"/>
              </w:rPr>
              <w:t xml:space="preserve">27,884 </w:t>
            </w:r>
          </w:p>
        </w:tc>
        <w:tc>
          <w:tcPr>
            <w:tcW w:w="216" w:type="dxa"/>
            <w:tcBorders>
              <w:top w:val="nil"/>
              <w:left w:val="nil"/>
              <w:bottom w:val="nil"/>
              <w:right w:val="nil"/>
            </w:tcBorders>
            <w:shd w:val="clear" w:color="auto" w:fill="auto"/>
            <w:noWrap/>
            <w:vAlign w:val="center"/>
            <w:hideMark/>
          </w:tcPr>
          <w:p w14:paraId="4CAEFD29" w14:textId="77777777" w:rsidR="00BC5219" w:rsidRPr="00FC6671"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7032F332" w14:textId="77777777" w:rsidR="00BC5219" w:rsidRPr="00FC6671" w:rsidRDefault="00BC5219" w:rsidP="00E83802">
            <w:pPr>
              <w:jc w:val="right"/>
              <w:rPr>
                <w:rFonts w:ascii="Meta Pro" w:eastAsia="Times New Roman" w:hAnsi="Meta Pro"/>
                <w:szCs w:val="18"/>
                <w:lang w:eastAsia="en-AU"/>
              </w:rPr>
            </w:pPr>
            <w:r w:rsidRPr="00FC6671">
              <w:rPr>
                <w:rFonts w:ascii="Meta Pro" w:eastAsia="Times New Roman" w:hAnsi="Meta Pro"/>
                <w:szCs w:val="18"/>
                <w:lang w:eastAsia="en-AU"/>
              </w:rPr>
              <w:t xml:space="preserve">29,286 </w:t>
            </w:r>
          </w:p>
        </w:tc>
      </w:tr>
      <w:tr w:rsidR="00BC5219" w:rsidRPr="00FC6671" w14:paraId="395AD2B3" w14:textId="77777777" w:rsidTr="00E83802">
        <w:trPr>
          <w:trHeight w:val="240"/>
        </w:trPr>
        <w:tc>
          <w:tcPr>
            <w:tcW w:w="7136" w:type="dxa"/>
            <w:tcBorders>
              <w:top w:val="nil"/>
              <w:left w:val="nil"/>
              <w:bottom w:val="nil"/>
              <w:right w:val="nil"/>
            </w:tcBorders>
            <w:shd w:val="clear" w:color="auto" w:fill="auto"/>
            <w:noWrap/>
            <w:vAlign w:val="center"/>
            <w:hideMark/>
          </w:tcPr>
          <w:p w14:paraId="7C3B94D4" w14:textId="77777777" w:rsidR="00BC5219" w:rsidRPr="00FC6671" w:rsidRDefault="00BC5219" w:rsidP="00E83802">
            <w:pPr>
              <w:rPr>
                <w:rFonts w:ascii="Meta Pro" w:eastAsia="Times New Roman" w:hAnsi="Meta Pro"/>
                <w:szCs w:val="18"/>
                <w:lang w:eastAsia="en-AU"/>
              </w:rPr>
            </w:pPr>
            <w:r w:rsidRPr="00FC6671">
              <w:rPr>
                <w:rFonts w:ascii="Meta Pro" w:eastAsia="Times New Roman" w:hAnsi="Meta Pro"/>
                <w:szCs w:val="18"/>
                <w:lang w:eastAsia="en-AU"/>
              </w:rPr>
              <w:t>Advance payments from Australian Rail Track Corporation **</w:t>
            </w:r>
          </w:p>
        </w:tc>
        <w:tc>
          <w:tcPr>
            <w:tcW w:w="1156" w:type="dxa"/>
            <w:tcBorders>
              <w:top w:val="nil"/>
              <w:left w:val="nil"/>
              <w:bottom w:val="nil"/>
              <w:right w:val="nil"/>
            </w:tcBorders>
            <w:shd w:val="clear" w:color="000000" w:fill="C9E3B4"/>
            <w:noWrap/>
            <w:vAlign w:val="center"/>
            <w:hideMark/>
          </w:tcPr>
          <w:p w14:paraId="14C9713E" w14:textId="77777777" w:rsidR="00BC5219" w:rsidRPr="00FC6671" w:rsidRDefault="00BC5219" w:rsidP="00E83802">
            <w:pPr>
              <w:jc w:val="right"/>
              <w:rPr>
                <w:rFonts w:ascii="Meta Pro" w:eastAsia="Times New Roman" w:hAnsi="Meta Pro"/>
                <w:szCs w:val="18"/>
                <w:lang w:eastAsia="en-AU"/>
              </w:rPr>
            </w:pPr>
            <w:r w:rsidRPr="00FC6671">
              <w:rPr>
                <w:rFonts w:ascii="Meta Pro" w:eastAsia="Times New Roman" w:hAnsi="Meta Pro"/>
                <w:szCs w:val="18"/>
                <w:lang w:eastAsia="en-AU"/>
              </w:rPr>
              <w:t xml:space="preserve">105,479 </w:t>
            </w:r>
          </w:p>
        </w:tc>
        <w:tc>
          <w:tcPr>
            <w:tcW w:w="216" w:type="dxa"/>
            <w:tcBorders>
              <w:top w:val="nil"/>
              <w:left w:val="nil"/>
              <w:bottom w:val="nil"/>
              <w:right w:val="nil"/>
            </w:tcBorders>
            <w:shd w:val="clear" w:color="auto" w:fill="auto"/>
            <w:noWrap/>
            <w:vAlign w:val="center"/>
            <w:hideMark/>
          </w:tcPr>
          <w:p w14:paraId="0F0A247A" w14:textId="77777777" w:rsidR="00BC5219" w:rsidRPr="00FC6671"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132624B4" w14:textId="77777777" w:rsidR="00BC5219" w:rsidRPr="00FC6671" w:rsidRDefault="00BC5219" w:rsidP="00E83802">
            <w:pPr>
              <w:jc w:val="right"/>
              <w:rPr>
                <w:rFonts w:ascii="Meta Pro" w:eastAsia="Times New Roman" w:hAnsi="Meta Pro"/>
                <w:szCs w:val="18"/>
                <w:lang w:eastAsia="en-AU"/>
              </w:rPr>
            </w:pPr>
            <w:r w:rsidRPr="00FC6671">
              <w:rPr>
                <w:rFonts w:ascii="Meta Pro" w:eastAsia="Times New Roman" w:hAnsi="Meta Pro"/>
                <w:szCs w:val="18"/>
                <w:lang w:eastAsia="en-AU"/>
              </w:rPr>
              <w:t xml:space="preserve">103,740 </w:t>
            </w:r>
          </w:p>
        </w:tc>
      </w:tr>
      <w:tr w:rsidR="00BC5219" w:rsidRPr="00FC6671" w14:paraId="4E402827" w14:textId="77777777" w:rsidTr="00E83802">
        <w:trPr>
          <w:trHeight w:val="240"/>
        </w:trPr>
        <w:tc>
          <w:tcPr>
            <w:tcW w:w="7136" w:type="dxa"/>
            <w:tcBorders>
              <w:top w:val="nil"/>
              <w:left w:val="nil"/>
              <w:bottom w:val="nil"/>
              <w:right w:val="nil"/>
            </w:tcBorders>
            <w:shd w:val="clear" w:color="auto" w:fill="auto"/>
            <w:noWrap/>
            <w:vAlign w:val="center"/>
            <w:hideMark/>
          </w:tcPr>
          <w:p w14:paraId="6C51F78A" w14:textId="77777777" w:rsidR="00BC5219" w:rsidRPr="00FC6671" w:rsidRDefault="00BC5219" w:rsidP="00E83802">
            <w:pPr>
              <w:rPr>
                <w:rFonts w:ascii="Meta Pro" w:eastAsia="Times New Roman" w:hAnsi="Meta Pro"/>
                <w:szCs w:val="18"/>
                <w:lang w:eastAsia="en-AU"/>
              </w:rPr>
            </w:pPr>
            <w:r w:rsidRPr="00FC6671">
              <w:rPr>
                <w:rFonts w:ascii="Meta Pro" w:eastAsia="Times New Roman" w:hAnsi="Meta Pro"/>
                <w:i/>
                <w:iCs/>
                <w:szCs w:val="18"/>
                <w:lang w:eastAsia="en-AU"/>
              </w:rPr>
              <w:t>go</w:t>
            </w:r>
            <w:r w:rsidRPr="00FC6671">
              <w:rPr>
                <w:rFonts w:ascii="Meta Pro" w:eastAsia="Times New Roman" w:hAnsi="Meta Pro"/>
                <w:szCs w:val="18"/>
                <w:lang w:eastAsia="en-AU"/>
              </w:rPr>
              <w:t xml:space="preserve"> card deposits held </w:t>
            </w:r>
          </w:p>
        </w:tc>
        <w:tc>
          <w:tcPr>
            <w:tcW w:w="1156" w:type="dxa"/>
            <w:tcBorders>
              <w:top w:val="nil"/>
              <w:left w:val="nil"/>
              <w:bottom w:val="nil"/>
              <w:right w:val="nil"/>
            </w:tcBorders>
            <w:shd w:val="clear" w:color="000000" w:fill="C9E3B4"/>
            <w:noWrap/>
            <w:vAlign w:val="center"/>
            <w:hideMark/>
          </w:tcPr>
          <w:p w14:paraId="1F925329" w14:textId="77777777" w:rsidR="00BC5219" w:rsidRPr="00FC6671" w:rsidRDefault="00BC5219" w:rsidP="00E83802">
            <w:pPr>
              <w:jc w:val="right"/>
              <w:rPr>
                <w:rFonts w:ascii="Meta Pro" w:eastAsia="Times New Roman" w:hAnsi="Meta Pro"/>
                <w:szCs w:val="18"/>
                <w:lang w:eastAsia="en-AU"/>
              </w:rPr>
            </w:pPr>
            <w:r w:rsidRPr="00FC6671">
              <w:rPr>
                <w:rFonts w:ascii="Meta Pro" w:eastAsia="Times New Roman" w:hAnsi="Meta Pro"/>
                <w:szCs w:val="18"/>
                <w:lang w:eastAsia="en-AU"/>
              </w:rPr>
              <w:t xml:space="preserve">46,499 </w:t>
            </w:r>
          </w:p>
        </w:tc>
        <w:tc>
          <w:tcPr>
            <w:tcW w:w="216" w:type="dxa"/>
            <w:tcBorders>
              <w:top w:val="nil"/>
              <w:left w:val="nil"/>
              <w:bottom w:val="nil"/>
              <w:right w:val="nil"/>
            </w:tcBorders>
            <w:shd w:val="clear" w:color="auto" w:fill="auto"/>
            <w:noWrap/>
            <w:vAlign w:val="center"/>
            <w:hideMark/>
          </w:tcPr>
          <w:p w14:paraId="4B8D0045" w14:textId="77777777" w:rsidR="00BC5219" w:rsidRPr="00FC6671"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7B502FA1" w14:textId="77777777" w:rsidR="00BC5219" w:rsidRPr="00FC6671" w:rsidRDefault="00BC5219" w:rsidP="00E83802">
            <w:pPr>
              <w:jc w:val="right"/>
              <w:rPr>
                <w:rFonts w:ascii="Meta Pro" w:eastAsia="Times New Roman" w:hAnsi="Meta Pro"/>
                <w:szCs w:val="18"/>
                <w:lang w:eastAsia="en-AU"/>
              </w:rPr>
            </w:pPr>
            <w:r w:rsidRPr="00FC6671">
              <w:rPr>
                <w:rFonts w:ascii="Meta Pro" w:eastAsia="Times New Roman" w:hAnsi="Meta Pro"/>
                <w:szCs w:val="18"/>
                <w:lang w:eastAsia="en-AU"/>
              </w:rPr>
              <w:t xml:space="preserve">43,940 </w:t>
            </w:r>
          </w:p>
        </w:tc>
      </w:tr>
      <w:tr w:rsidR="00BC5219" w:rsidRPr="00FC6671" w14:paraId="012C63A6" w14:textId="77777777" w:rsidTr="00E83802">
        <w:trPr>
          <w:trHeight w:val="240"/>
        </w:trPr>
        <w:tc>
          <w:tcPr>
            <w:tcW w:w="7136" w:type="dxa"/>
            <w:tcBorders>
              <w:top w:val="nil"/>
              <w:left w:val="nil"/>
              <w:bottom w:val="nil"/>
              <w:right w:val="nil"/>
            </w:tcBorders>
            <w:shd w:val="clear" w:color="auto" w:fill="auto"/>
            <w:noWrap/>
            <w:vAlign w:val="center"/>
            <w:hideMark/>
          </w:tcPr>
          <w:p w14:paraId="0E5132F8" w14:textId="77777777" w:rsidR="00BC5219" w:rsidRPr="00FC6671" w:rsidRDefault="00BC5219" w:rsidP="00E83802">
            <w:pPr>
              <w:rPr>
                <w:rFonts w:ascii="Meta Pro" w:eastAsia="Times New Roman" w:hAnsi="Meta Pro"/>
                <w:szCs w:val="18"/>
                <w:lang w:eastAsia="en-AU"/>
              </w:rPr>
            </w:pPr>
            <w:r w:rsidRPr="00FC6671">
              <w:rPr>
                <w:rFonts w:ascii="Meta Pro" w:eastAsia="Times New Roman" w:hAnsi="Meta Pro"/>
                <w:i/>
                <w:iCs/>
                <w:szCs w:val="18"/>
                <w:lang w:eastAsia="en-AU"/>
              </w:rPr>
              <w:t>go</w:t>
            </w:r>
            <w:r w:rsidRPr="00FC6671">
              <w:rPr>
                <w:rFonts w:ascii="Meta Pro" w:eastAsia="Times New Roman" w:hAnsi="Meta Pro"/>
                <w:szCs w:val="18"/>
                <w:lang w:eastAsia="en-AU"/>
              </w:rPr>
              <w:t xml:space="preserve"> card stored value – unearned revenue ***</w:t>
            </w:r>
          </w:p>
        </w:tc>
        <w:tc>
          <w:tcPr>
            <w:tcW w:w="1156" w:type="dxa"/>
            <w:tcBorders>
              <w:top w:val="nil"/>
              <w:left w:val="nil"/>
              <w:bottom w:val="nil"/>
              <w:right w:val="nil"/>
            </w:tcBorders>
            <w:shd w:val="clear" w:color="000000" w:fill="C9E3B4"/>
            <w:noWrap/>
            <w:vAlign w:val="center"/>
            <w:hideMark/>
          </w:tcPr>
          <w:p w14:paraId="5C1CFC8E" w14:textId="77777777" w:rsidR="00BC5219" w:rsidRPr="00FC6671" w:rsidRDefault="00BC5219" w:rsidP="00E83802">
            <w:pPr>
              <w:jc w:val="right"/>
              <w:rPr>
                <w:rFonts w:ascii="Meta Pro" w:eastAsia="Times New Roman" w:hAnsi="Meta Pro"/>
                <w:szCs w:val="18"/>
                <w:lang w:eastAsia="en-AU"/>
              </w:rPr>
            </w:pPr>
            <w:r w:rsidRPr="00FC6671">
              <w:rPr>
                <w:rFonts w:ascii="Meta Pro" w:eastAsia="Times New Roman" w:hAnsi="Meta Pro"/>
                <w:szCs w:val="18"/>
                <w:lang w:eastAsia="en-AU"/>
              </w:rPr>
              <w:t xml:space="preserve">54,190 </w:t>
            </w:r>
          </w:p>
        </w:tc>
        <w:tc>
          <w:tcPr>
            <w:tcW w:w="216" w:type="dxa"/>
            <w:tcBorders>
              <w:top w:val="nil"/>
              <w:left w:val="nil"/>
              <w:bottom w:val="nil"/>
              <w:right w:val="nil"/>
            </w:tcBorders>
            <w:shd w:val="clear" w:color="auto" w:fill="auto"/>
            <w:noWrap/>
            <w:vAlign w:val="center"/>
            <w:hideMark/>
          </w:tcPr>
          <w:p w14:paraId="5F11B0B8" w14:textId="77777777" w:rsidR="00BC5219" w:rsidRPr="00FC6671"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44B57A94" w14:textId="77777777" w:rsidR="00BC5219" w:rsidRPr="00FC6671" w:rsidRDefault="00BC5219" w:rsidP="00E83802">
            <w:pPr>
              <w:jc w:val="right"/>
              <w:rPr>
                <w:rFonts w:ascii="Meta Pro" w:eastAsia="Times New Roman" w:hAnsi="Meta Pro"/>
                <w:szCs w:val="18"/>
                <w:lang w:eastAsia="en-AU"/>
              </w:rPr>
            </w:pPr>
            <w:r w:rsidRPr="00FC6671">
              <w:rPr>
                <w:rFonts w:ascii="Meta Pro" w:eastAsia="Times New Roman" w:hAnsi="Meta Pro"/>
                <w:szCs w:val="18"/>
                <w:lang w:eastAsia="en-AU"/>
              </w:rPr>
              <w:t xml:space="preserve">51,005 </w:t>
            </w:r>
          </w:p>
        </w:tc>
      </w:tr>
      <w:tr w:rsidR="00BC5219" w:rsidRPr="00FC6671" w14:paraId="4C524138" w14:textId="77777777" w:rsidTr="00E83802">
        <w:trPr>
          <w:trHeight w:val="240"/>
        </w:trPr>
        <w:tc>
          <w:tcPr>
            <w:tcW w:w="7136" w:type="dxa"/>
            <w:tcBorders>
              <w:top w:val="nil"/>
              <w:left w:val="nil"/>
              <w:bottom w:val="nil"/>
              <w:right w:val="nil"/>
            </w:tcBorders>
            <w:shd w:val="clear" w:color="auto" w:fill="auto"/>
            <w:noWrap/>
            <w:vAlign w:val="center"/>
            <w:hideMark/>
          </w:tcPr>
          <w:p w14:paraId="1EF78FA7" w14:textId="77777777" w:rsidR="00BC5219" w:rsidRPr="00FC6671" w:rsidRDefault="00BC5219" w:rsidP="00E83802">
            <w:pPr>
              <w:rPr>
                <w:rFonts w:ascii="Meta Pro" w:eastAsia="Times New Roman" w:hAnsi="Meta Pro"/>
                <w:szCs w:val="18"/>
                <w:lang w:eastAsia="en-AU"/>
              </w:rPr>
            </w:pPr>
            <w:r w:rsidRPr="00FC6671">
              <w:rPr>
                <w:rFonts w:ascii="Meta Pro" w:eastAsia="Times New Roman" w:hAnsi="Meta Pro"/>
                <w:szCs w:val="18"/>
                <w:lang w:eastAsia="en-AU"/>
              </w:rPr>
              <w:t>Other</w:t>
            </w:r>
          </w:p>
        </w:tc>
        <w:tc>
          <w:tcPr>
            <w:tcW w:w="1156" w:type="dxa"/>
            <w:tcBorders>
              <w:top w:val="nil"/>
              <w:left w:val="nil"/>
              <w:bottom w:val="nil"/>
              <w:right w:val="nil"/>
            </w:tcBorders>
            <w:shd w:val="clear" w:color="000000" w:fill="C9E3B4"/>
            <w:noWrap/>
            <w:vAlign w:val="center"/>
            <w:hideMark/>
          </w:tcPr>
          <w:p w14:paraId="1A4EC3ED" w14:textId="77777777" w:rsidR="00BC5219" w:rsidRPr="00FC6671" w:rsidRDefault="00BC5219" w:rsidP="00E83802">
            <w:pPr>
              <w:jc w:val="right"/>
              <w:rPr>
                <w:rFonts w:ascii="Meta Pro" w:eastAsia="Times New Roman" w:hAnsi="Meta Pro"/>
                <w:szCs w:val="18"/>
                <w:lang w:eastAsia="en-AU"/>
              </w:rPr>
            </w:pPr>
            <w:r w:rsidRPr="00FC6671">
              <w:rPr>
                <w:rFonts w:ascii="Meta Pro" w:eastAsia="Times New Roman" w:hAnsi="Meta Pro"/>
                <w:szCs w:val="18"/>
                <w:lang w:eastAsia="en-AU"/>
              </w:rPr>
              <w:t xml:space="preserve">7,547 </w:t>
            </w:r>
          </w:p>
        </w:tc>
        <w:tc>
          <w:tcPr>
            <w:tcW w:w="216" w:type="dxa"/>
            <w:tcBorders>
              <w:top w:val="nil"/>
              <w:left w:val="nil"/>
              <w:bottom w:val="nil"/>
              <w:right w:val="nil"/>
            </w:tcBorders>
            <w:shd w:val="clear" w:color="auto" w:fill="auto"/>
            <w:noWrap/>
            <w:vAlign w:val="center"/>
            <w:hideMark/>
          </w:tcPr>
          <w:p w14:paraId="5ABF1A4C" w14:textId="77777777" w:rsidR="00BC5219" w:rsidRPr="00FC6671" w:rsidRDefault="00BC5219" w:rsidP="00E83802">
            <w:pPr>
              <w:jc w:val="right"/>
              <w:rPr>
                <w:rFonts w:ascii="Meta Pro" w:eastAsia="Times New Roman" w:hAnsi="Meta Pro"/>
                <w:szCs w:val="18"/>
                <w:lang w:eastAsia="en-AU"/>
              </w:rPr>
            </w:pPr>
          </w:p>
        </w:tc>
        <w:tc>
          <w:tcPr>
            <w:tcW w:w="1156" w:type="dxa"/>
            <w:tcBorders>
              <w:top w:val="nil"/>
              <w:left w:val="nil"/>
              <w:bottom w:val="single" w:sz="4" w:space="0" w:color="auto"/>
              <w:right w:val="nil"/>
            </w:tcBorders>
            <w:shd w:val="clear" w:color="auto" w:fill="auto"/>
            <w:noWrap/>
            <w:vAlign w:val="center"/>
            <w:hideMark/>
          </w:tcPr>
          <w:p w14:paraId="7060CAD5" w14:textId="77777777" w:rsidR="00BC5219" w:rsidRPr="00FC6671" w:rsidRDefault="00BC5219" w:rsidP="00E83802">
            <w:pPr>
              <w:jc w:val="right"/>
              <w:rPr>
                <w:rFonts w:ascii="Meta Pro" w:eastAsia="Times New Roman" w:hAnsi="Meta Pro"/>
                <w:szCs w:val="18"/>
                <w:lang w:eastAsia="en-AU"/>
              </w:rPr>
            </w:pPr>
            <w:r w:rsidRPr="00FC6671">
              <w:rPr>
                <w:rFonts w:ascii="Meta Pro" w:eastAsia="Times New Roman" w:hAnsi="Meta Pro"/>
                <w:szCs w:val="18"/>
                <w:lang w:eastAsia="en-AU"/>
              </w:rPr>
              <w:t xml:space="preserve">6,223 </w:t>
            </w:r>
          </w:p>
        </w:tc>
      </w:tr>
      <w:tr w:rsidR="00BC5219" w:rsidRPr="00FC6671" w14:paraId="6A25C31E" w14:textId="77777777" w:rsidTr="00E83802">
        <w:trPr>
          <w:trHeight w:val="240"/>
        </w:trPr>
        <w:tc>
          <w:tcPr>
            <w:tcW w:w="7136" w:type="dxa"/>
            <w:tcBorders>
              <w:top w:val="single" w:sz="4" w:space="0" w:color="auto"/>
              <w:left w:val="nil"/>
              <w:bottom w:val="double" w:sz="6" w:space="0" w:color="auto"/>
              <w:right w:val="nil"/>
            </w:tcBorders>
            <w:shd w:val="clear" w:color="auto" w:fill="auto"/>
            <w:noWrap/>
            <w:vAlign w:val="center"/>
            <w:hideMark/>
          </w:tcPr>
          <w:p w14:paraId="0A9CD44B" w14:textId="77777777" w:rsidR="00BC5219" w:rsidRPr="00FC6671" w:rsidRDefault="00BC5219" w:rsidP="00E83802">
            <w:pPr>
              <w:rPr>
                <w:rFonts w:ascii="Meta Pro" w:eastAsia="Times New Roman" w:hAnsi="Meta Pro"/>
                <w:b/>
                <w:bCs/>
                <w:szCs w:val="18"/>
                <w:lang w:eastAsia="en-AU"/>
              </w:rPr>
            </w:pPr>
            <w:r w:rsidRPr="00FC6671">
              <w:rPr>
                <w:rFonts w:ascii="Meta Pro" w:eastAsia="Times New Roman" w:hAnsi="Meta Pro"/>
                <w:b/>
                <w:bCs/>
                <w:szCs w:val="18"/>
                <w:lang w:eastAsia="en-AU"/>
              </w:rPr>
              <w:lastRenderedPageBreak/>
              <w:t>Total</w:t>
            </w:r>
          </w:p>
        </w:tc>
        <w:tc>
          <w:tcPr>
            <w:tcW w:w="1156" w:type="dxa"/>
            <w:tcBorders>
              <w:top w:val="single" w:sz="4" w:space="0" w:color="auto"/>
              <w:left w:val="nil"/>
              <w:bottom w:val="double" w:sz="6" w:space="0" w:color="auto"/>
              <w:right w:val="nil"/>
            </w:tcBorders>
            <w:shd w:val="clear" w:color="000000" w:fill="C9E3B4"/>
            <w:noWrap/>
            <w:vAlign w:val="center"/>
            <w:hideMark/>
          </w:tcPr>
          <w:p w14:paraId="3D88F7A5" w14:textId="77777777" w:rsidR="00BC5219" w:rsidRPr="00FC6671" w:rsidRDefault="00BC5219" w:rsidP="00E83802">
            <w:pPr>
              <w:jc w:val="right"/>
              <w:rPr>
                <w:rFonts w:ascii="Meta Pro" w:eastAsia="Times New Roman" w:hAnsi="Meta Pro"/>
                <w:b/>
                <w:bCs/>
                <w:szCs w:val="18"/>
                <w:lang w:eastAsia="en-AU"/>
              </w:rPr>
            </w:pPr>
            <w:r w:rsidRPr="00FC6671">
              <w:rPr>
                <w:rFonts w:ascii="Meta Pro" w:eastAsia="Times New Roman" w:hAnsi="Meta Pro"/>
                <w:b/>
                <w:bCs/>
                <w:szCs w:val="18"/>
                <w:lang w:eastAsia="en-AU"/>
              </w:rPr>
              <w:t xml:space="preserve">241,599 </w:t>
            </w:r>
          </w:p>
        </w:tc>
        <w:tc>
          <w:tcPr>
            <w:tcW w:w="216" w:type="dxa"/>
            <w:tcBorders>
              <w:top w:val="single" w:sz="4" w:space="0" w:color="auto"/>
              <w:left w:val="nil"/>
              <w:bottom w:val="double" w:sz="6" w:space="0" w:color="auto"/>
              <w:right w:val="nil"/>
            </w:tcBorders>
            <w:shd w:val="clear" w:color="auto" w:fill="auto"/>
            <w:noWrap/>
            <w:vAlign w:val="center"/>
            <w:hideMark/>
          </w:tcPr>
          <w:p w14:paraId="4A9149D6" w14:textId="77777777" w:rsidR="00BC5219" w:rsidRPr="00FC6671" w:rsidRDefault="00BC5219" w:rsidP="00E83802">
            <w:pPr>
              <w:jc w:val="right"/>
              <w:rPr>
                <w:rFonts w:ascii="Meta Pro" w:eastAsia="Times New Roman" w:hAnsi="Meta Pro"/>
                <w:szCs w:val="18"/>
                <w:lang w:eastAsia="en-AU"/>
              </w:rPr>
            </w:pPr>
            <w:r w:rsidRPr="00FC6671">
              <w:rPr>
                <w:rFonts w:ascii="Meta Pro" w:eastAsia="Times New Roman" w:hAnsi="Meta Pro"/>
                <w:szCs w:val="18"/>
                <w:lang w:eastAsia="en-AU"/>
              </w:rPr>
              <w:t> </w:t>
            </w:r>
          </w:p>
        </w:tc>
        <w:tc>
          <w:tcPr>
            <w:tcW w:w="1156" w:type="dxa"/>
            <w:tcBorders>
              <w:top w:val="nil"/>
              <w:left w:val="nil"/>
              <w:bottom w:val="double" w:sz="6" w:space="0" w:color="auto"/>
              <w:right w:val="nil"/>
            </w:tcBorders>
            <w:shd w:val="clear" w:color="auto" w:fill="auto"/>
            <w:noWrap/>
            <w:vAlign w:val="center"/>
            <w:hideMark/>
          </w:tcPr>
          <w:p w14:paraId="42CA68DD" w14:textId="77777777" w:rsidR="00BC5219" w:rsidRPr="00FC6671" w:rsidRDefault="00BC5219" w:rsidP="00E83802">
            <w:pPr>
              <w:jc w:val="right"/>
              <w:rPr>
                <w:rFonts w:ascii="Meta Pro" w:eastAsia="Times New Roman" w:hAnsi="Meta Pro"/>
                <w:b/>
                <w:bCs/>
                <w:szCs w:val="18"/>
                <w:lang w:eastAsia="en-AU"/>
              </w:rPr>
            </w:pPr>
            <w:r w:rsidRPr="00FC6671">
              <w:rPr>
                <w:rFonts w:ascii="Meta Pro" w:eastAsia="Times New Roman" w:hAnsi="Meta Pro"/>
                <w:b/>
                <w:bCs/>
                <w:szCs w:val="18"/>
                <w:lang w:eastAsia="en-AU"/>
              </w:rPr>
              <w:t xml:space="preserve">234,194 </w:t>
            </w:r>
          </w:p>
        </w:tc>
      </w:tr>
      <w:tr w:rsidR="00BC5219" w:rsidRPr="00FC6671" w14:paraId="6120C6E3" w14:textId="77777777" w:rsidTr="00E83802">
        <w:trPr>
          <w:trHeight w:val="90"/>
        </w:trPr>
        <w:tc>
          <w:tcPr>
            <w:tcW w:w="7136" w:type="dxa"/>
            <w:tcBorders>
              <w:top w:val="nil"/>
              <w:left w:val="nil"/>
              <w:bottom w:val="nil"/>
              <w:right w:val="nil"/>
            </w:tcBorders>
            <w:shd w:val="clear" w:color="auto" w:fill="auto"/>
            <w:noWrap/>
            <w:vAlign w:val="center"/>
            <w:hideMark/>
          </w:tcPr>
          <w:p w14:paraId="45BB5820" w14:textId="77777777" w:rsidR="00BC5219" w:rsidRPr="00FC6671" w:rsidRDefault="00BC5219" w:rsidP="00E83802">
            <w:pPr>
              <w:jc w:val="right"/>
              <w:rPr>
                <w:rFonts w:ascii="Meta Pro" w:eastAsia="Times New Roman" w:hAnsi="Meta Pro"/>
                <w:b/>
                <w:bCs/>
                <w:szCs w:val="18"/>
                <w:lang w:eastAsia="en-AU"/>
              </w:rPr>
            </w:pPr>
          </w:p>
        </w:tc>
        <w:tc>
          <w:tcPr>
            <w:tcW w:w="1156" w:type="dxa"/>
            <w:tcBorders>
              <w:top w:val="nil"/>
              <w:left w:val="nil"/>
              <w:bottom w:val="nil"/>
              <w:right w:val="nil"/>
            </w:tcBorders>
            <w:shd w:val="clear" w:color="auto" w:fill="auto"/>
            <w:noWrap/>
            <w:vAlign w:val="center"/>
            <w:hideMark/>
          </w:tcPr>
          <w:p w14:paraId="3F3091A0" w14:textId="77777777" w:rsidR="00BC5219" w:rsidRPr="00FC6671" w:rsidRDefault="00BC5219" w:rsidP="00E83802">
            <w:pPr>
              <w:rPr>
                <w:rFonts w:ascii="Times New Roman" w:eastAsia="Times New Roman" w:hAnsi="Times New Roman"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454F8456" w14:textId="77777777" w:rsidR="00BC5219" w:rsidRPr="00FC6671"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1694AF96" w14:textId="77777777" w:rsidR="00BC5219" w:rsidRPr="00FC6671" w:rsidRDefault="00BC5219" w:rsidP="00E83802">
            <w:pPr>
              <w:jc w:val="right"/>
              <w:rPr>
                <w:rFonts w:ascii="Times New Roman" w:eastAsia="Times New Roman" w:hAnsi="Times New Roman" w:cs="Times New Roman"/>
                <w:sz w:val="20"/>
                <w:szCs w:val="20"/>
                <w:lang w:eastAsia="en-AU"/>
              </w:rPr>
            </w:pPr>
          </w:p>
        </w:tc>
      </w:tr>
      <w:tr w:rsidR="00BC5219" w:rsidRPr="00FC6671" w14:paraId="4E836035" w14:textId="77777777" w:rsidTr="00E83802">
        <w:trPr>
          <w:trHeight w:val="240"/>
        </w:trPr>
        <w:tc>
          <w:tcPr>
            <w:tcW w:w="7136" w:type="dxa"/>
            <w:tcBorders>
              <w:top w:val="nil"/>
              <w:left w:val="nil"/>
              <w:bottom w:val="nil"/>
              <w:right w:val="nil"/>
            </w:tcBorders>
            <w:shd w:val="clear" w:color="auto" w:fill="auto"/>
            <w:noWrap/>
            <w:vAlign w:val="center"/>
            <w:hideMark/>
          </w:tcPr>
          <w:p w14:paraId="417AD18D" w14:textId="77777777" w:rsidR="00BC5219" w:rsidRPr="00FC6671" w:rsidRDefault="00BC5219" w:rsidP="00E83802">
            <w:pPr>
              <w:rPr>
                <w:rFonts w:ascii="Meta Pro" w:eastAsia="Times New Roman" w:hAnsi="Meta Pro"/>
                <w:b/>
                <w:bCs/>
                <w:szCs w:val="18"/>
                <w:lang w:eastAsia="en-AU"/>
              </w:rPr>
            </w:pPr>
            <w:r w:rsidRPr="00FC6671">
              <w:rPr>
                <w:rFonts w:ascii="Meta Pro" w:eastAsia="Times New Roman" w:hAnsi="Meta Pro"/>
                <w:b/>
                <w:bCs/>
                <w:szCs w:val="18"/>
                <w:lang w:eastAsia="en-AU"/>
              </w:rPr>
              <w:t>Non-current</w:t>
            </w:r>
          </w:p>
        </w:tc>
        <w:tc>
          <w:tcPr>
            <w:tcW w:w="1156" w:type="dxa"/>
            <w:tcBorders>
              <w:top w:val="nil"/>
              <w:left w:val="nil"/>
              <w:bottom w:val="nil"/>
              <w:right w:val="nil"/>
            </w:tcBorders>
            <w:shd w:val="clear" w:color="auto" w:fill="auto"/>
            <w:noWrap/>
            <w:vAlign w:val="center"/>
            <w:hideMark/>
          </w:tcPr>
          <w:p w14:paraId="1FC5D4F5" w14:textId="77777777" w:rsidR="00BC5219" w:rsidRPr="00FC6671" w:rsidRDefault="00BC5219" w:rsidP="00E83802">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03878077" w14:textId="77777777" w:rsidR="00BC5219" w:rsidRPr="00FC6671"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00581752" w14:textId="77777777" w:rsidR="00BC5219" w:rsidRPr="00FC6671" w:rsidRDefault="00BC5219" w:rsidP="00E83802">
            <w:pPr>
              <w:jc w:val="right"/>
              <w:rPr>
                <w:rFonts w:ascii="Times New Roman" w:eastAsia="Times New Roman" w:hAnsi="Times New Roman" w:cs="Times New Roman"/>
                <w:sz w:val="20"/>
                <w:szCs w:val="20"/>
                <w:lang w:eastAsia="en-AU"/>
              </w:rPr>
            </w:pPr>
          </w:p>
        </w:tc>
      </w:tr>
      <w:tr w:rsidR="00BC5219" w:rsidRPr="00FC6671" w14:paraId="379276F9" w14:textId="77777777" w:rsidTr="00E83802">
        <w:trPr>
          <w:trHeight w:val="240"/>
        </w:trPr>
        <w:tc>
          <w:tcPr>
            <w:tcW w:w="7136" w:type="dxa"/>
            <w:tcBorders>
              <w:top w:val="nil"/>
              <w:left w:val="nil"/>
              <w:bottom w:val="nil"/>
              <w:right w:val="nil"/>
            </w:tcBorders>
            <w:shd w:val="clear" w:color="auto" w:fill="auto"/>
            <w:noWrap/>
            <w:vAlign w:val="center"/>
            <w:hideMark/>
          </w:tcPr>
          <w:p w14:paraId="210EACAC" w14:textId="77777777" w:rsidR="00BC5219" w:rsidRPr="00FC6671" w:rsidRDefault="00BC5219" w:rsidP="00E83802">
            <w:pPr>
              <w:rPr>
                <w:rFonts w:ascii="Meta Pro" w:eastAsia="Times New Roman" w:hAnsi="Meta Pro"/>
                <w:szCs w:val="18"/>
                <w:lang w:eastAsia="en-AU"/>
              </w:rPr>
            </w:pPr>
            <w:r w:rsidRPr="00FC6671">
              <w:rPr>
                <w:rFonts w:ascii="Meta Pro" w:eastAsia="Times New Roman" w:hAnsi="Meta Pro"/>
                <w:szCs w:val="18"/>
                <w:lang w:eastAsia="en-AU"/>
              </w:rPr>
              <w:t>Other</w:t>
            </w:r>
          </w:p>
        </w:tc>
        <w:tc>
          <w:tcPr>
            <w:tcW w:w="1156" w:type="dxa"/>
            <w:tcBorders>
              <w:top w:val="nil"/>
              <w:left w:val="nil"/>
              <w:bottom w:val="nil"/>
              <w:right w:val="nil"/>
            </w:tcBorders>
            <w:shd w:val="clear" w:color="000000" w:fill="C9E3B4"/>
            <w:noWrap/>
            <w:vAlign w:val="center"/>
            <w:hideMark/>
          </w:tcPr>
          <w:p w14:paraId="4B02F510" w14:textId="77777777" w:rsidR="00BC5219" w:rsidRPr="00FC6671" w:rsidRDefault="00BC5219" w:rsidP="00E83802">
            <w:pPr>
              <w:jc w:val="right"/>
              <w:rPr>
                <w:rFonts w:ascii="Meta Pro" w:eastAsia="Times New Roman" w:hAnsi="Meta Pro"/>
                <w:szCs w:val="18"/>
                <w:lang w:eastAsia="en-AU"/>
              </w:rPr>
            </w:pPr>
            <w:r w:rsidRPr="00FC6671">
              <w:rPr>
                <w:rFonts w:ascii="Meta Pro" w:eastAsia="Times New Roman" w:hAnsi="Meta Pro"/>
                <w:szCs w:val="18"/>
                <w:lang w:eastAsia="en-AU"/>
              </w:rPr>
              <w:t xml:space="preserve">108 </w:t>
            </w:r>
          </w:p>
        </w:tc>
        <w:tc>
          <w:tcPr>
            <w:tcW w:w="216" w:type="dxa"/>
            <w:tcBorders>
              <w:top w:val="nil"/>
              <w:left w:val="nil"/>
              <w:bottom w:val="nil"/>
              <w:right w:val="nil"/>
            </w:tcBorders>
            <w:shd w:val="clear" w:color="auto" w:fill="auto"/>
            <w:noWrap/>
            <w:vAlign w:val="center"/>
            <w:hideMark/>
          </w:tcPr>
          <w:p w14:paraId="4B803197" w14:textId="77777777" w:rsidR="00BC5219" w:rsidRPr="00FC6671"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0FFB5256" w14:textId="77777777" w:rsidR="00BC5219" w:rsidRPr="00FC6671" w:rsidRDefault="00BC5219" w:rsidP="00E83802">
            <w:pPr>
              <w:jc w:val="right"/>
              <w:rPr>
                <w:rFonts w:ascii="Meta Pro" w:eastAsia="Times New Roman" w:hAnsi="Meta Pro"/>
                <w:szCs w:val="18"/>
                <w:lang w:eastAsia="en-AU"/>
              </w:rPr>
            </w:pPr>
            <w:r w:rsidRPr="00FC6671">
              <w:rPr>
                <w:rFonts w:ascii="Meta Pro" w:eastAsia="Times New Roman" w:hAnsi="Meta Pro"/>
                <w:szCs w:val="18"/>
                <w:lang w:eastAsia="en-AU"/>
              </w:rPr>
              <w:t xml:space="preserve">- </w:t>
            </w:r>
          </w:p>
        </w:tc>
      </w:tr>
      <w:tr w:rsidR="00BC5219" w:rsidRPr="00FC6671" w14:paraId="429A3E90" w14:textId="77777777" w:rsidTr="00E83802">
        <w:trPr>
          <w:trHeight w:val="240"/>
        </w:trPr>
        <w:tc>
          <w:tcPr>
            <w:tcW w:w="7136" w:type="dxa"/>
            <w:tcBorders>
              <w:top w:val="single" w:sz="4" w:space="0" w:color="auto"/>
              <w:left w:val="nil"/>
              <w:bottom w:val="double" w:sz="6" w:space="0" w:color="auto"/>
              <w:right w:val="nil"/>
            </w:tcBorders>
            <w:shd w:val="clear" w:color="auto" w:fill="auto"/>
            <w:noWrap/>
            <w:vAlign w:val="center"/>
            <w:hideMark/>
          </w:tcPr>
          <w:p w14:paraId="08EAFE1C" w14:textId="77777777" w:rsidR="00BC5219" w:rsidRPr="00FC6671" w:rsidRDefault="00BC5219" w:rsidP="00E83802">
            <w:pPr>
              <w:rPr>
                <w:rFonts w:ascii="Meta Pro" w:eastAsia="Times New Roman" w:hAnsi="Meta Pro"/>
                <w:b/>
                <w:bCs/>
                <w:szCs w:val="18"/>
                <w:lang w:eastAsia="en-AU"/>
              </w:rPr>
            </w:pPr>
            <w:r w:rsidRPr="00FC6671">
              <w:rPr>
                <w:rFonts w:ascii="Meta Pro" w:eastAsia="Times New Roman" w:hAnsi="Meta Pro"/>
                <w:b/>
                <w:bCs/>
                <w:szCs w:val="18"/>
                <w:lang w:eastAsia="en-AU"/>
              </w:rPr>
              <w:t>Total</w:t>
            </w:r>
          </w:p>
        </w:tc>
        <w:tc>
          <w:tcPr>
            <w:tcW w:w="1156" w:type="dxa"/>
            <w:tcBorders>
              <w:top w:val="single" w:sz="4" w:space="0" w:color="auto"/>
              <w:left w:val="nil"/>
              <w:bottom w:val="double" w:sz="6" w:space="0" w:color="auto"/>
              <w:right w:val="nil"/>
            </w:tcBorders>
            <w:shd w:val="clear" w:color="000000" w:fill="C9E3B4"/>
            <w:noWrap/>
            <w:vAlign w:val="center"/>
            <w:hideMark/>
          </w:tcPr>
          <w:p w14:paraId="3A232EDF" w14:textId="77777777" w:rsidR="00BC5219" w:rsidRPr="00FC6671" w:rsidRDefault="00BC5219" w:rsidP="00E83802">
            <w:pPr>
              <w:jc w:val="right"/>
              <w:rPr>
                <w:rFonts w:ascii="Meta Pro" w:eastAsia="Times New Roman" w:hAnsi="Meta Pro"/>
                <w:b/>
                <w:bCs/>
                <w:szCs w:val="18"/>
                <w:lang w:eastAsia="en-AU"/>
              </w:rPr>
            </w:pPr>
            <w:r w:rsidRPr="00FC6671">
              <w:rPr>
                <w:rFonts w:ascii="Meta Pro" w:eastAsia="Times New Roman" w:hAnsi="Meta Pro"/>
                <w:b/>
                <w:bCs/>
                <w:szCs w:val="18"/>
                <w:lang w:eastAsia="en-AU"/>
              </w:rPr>
              <w:t xml:space="preserve">108 </w:t>
            </w:r>
          </w:p>
        </w:tc>
        <w:tc>
          <w:tcPr>
            <w:tcW w:w="216" w:type="dxa"/>
            <w:tcBorders>
              <w:top w:val="single" w:sz="4" w:space="0" w:color="auto"/>
              <w:left w:val="nil"/>
              <w:bottom w:val="double" w:sz="6" w:space="0" w:color="auto"/>
              <w:right w:val="nil"/>
            </w:tcBorders>
            <w:shd w:val="clear" w:color="auto" w:fill="auto"/>
            <w:noWrap/>
            <w:vAlign w:val="center"/>
            <w:hideMark/>
          </w:tcPr>
          <w:p w14:paraId="72C9EB6A" w14:textId="77777777" w:rsidR="00BC5219" w:rsidRPr="00FC6671" w:rsidRDefault="00BC5219" w:rsidP="00E83802">
            <w:pPr>
              <w:jc w:val="right"/>
              <w:rPr>
                <w:rFonts w:ascii="Meta Pro" w:eastAsia="Times New Roman" w:hAnsi="Meta Pro"/>
                <w:b/>
                <w:bCs/>
                <w:szCs w:val="18"/>
                <w:lang w:eastAsia="en-AU"/>
              </w:rPr>
            </w:pPr>
            <w:r w:rsidRPr="00FC6671">
              <w:rPr>
                <w:rFonts w:ascii="Meta Pro" w:eastAsia="Times New Roman" w:hAnsi="Meta Pro"/>
                <w:b/>
                <w:bCs/>
                <w:szCs w:val="18"/>
                <w:lang w:eastAsia="en-AU"/>
              </w:rPr>
              <w:t> </w:t>
            </w:r>
          </w:p>
        </w:tc>
        <w:tc>
          <w:tcPr>
            <w:tcW w:w="1156" w:type="dxa"/>
            <w:tcBorders>
              <w:top w:val="single" w:sz="4" w:space="0" w:color="auto"/>
              <w:left w:val="nil"/>
              <w:bottom w:val="double" w:sz="6" w:space="0" w:color="auto"/>
              <w:right w:val="nil"/>
            </w:tcBorders>
            <w:shd w:val="clear" w:color="auto" w:fill="auto"/>
            <w:noWrap/>
            <w:vAlign w:val="center"/>
            <w:hideMark/>
          </w:tcPr>
          <w:p w14:paraId="47592982" w14:textId="77777777" w:rsidR="00BC5219" w:rsidRPr="00FC6671" w:rsidRDefault="00BC5219" w:rsidP="00E83802">
            <w:pPr>
              <w:jc w:val="right"/>
              <w:rPr>
                <w:rFonts w:ascii="Meta Pro" w:eastAsia="Times New Roman" w:hAnsi="Meta Pro"/>
                <w:b/>
                <w:bCs/>
                <w:szCs w:val="18"/>
                <w:lang w:eastAsia="en-AU"/>
              </w:rPr>
            </w:pPr>
            <w:r w:rsidRPr="00FC6671">
              <w:rPr>
                <w:rFonts w:ascii="Meta Pro" w:eastAsia="Times New Roman" w:hAnsi="Meta Pro"/>
                <w:b/>
                <w:bCs/>
                <w:szCs w:val="18"/>
                <w:lang w:eastAsia="en-AU"/>
              </w:rPr>
              <w:t xml:space="preserve">- </w:t>
            </w:r>
          </w:p>
        </w:tc>
      </w:tr>
    </w:tbl>
    <w:p w14:paraId="325EE817" w14:textId="77777777" w:rsidR="00BC5219" w:rsidRPr="008A2B8F" w:rsidRDefault="00BC5219" w:rsidP="00BC5219">
      <w:pPr>
        <w:spacing w:before="120" w:after="120"/>
        <w:rPr>
          <w:rFonts w:ascii="Meta Pro" w:eastAsia="Times New Roman" w:hAnsi="Meta Pro"/>
          <w:sz w:val="16"/>
          <w:szCs w:val="16"/>
          <w:lang w:eastAsia="en-AU"/>
        </w:rPr>
      </w:pPr>
      <w:r w:rsidRPr="008A2B8F">
        <w:rPr>
          <w:rFonts w:ascii="Meta Pro" w:eastAsia="Times New Roman" w:hAnsi="Meta Pro"/>
          <w:sz w:val="16"/>
          <w:szCs w:val="16"/>
          <w:lang w:eastAsia="en-AU"/>
        </w:rPr>
        <w:t>* Advance payments received from the Queensland Reconstruction Authority for projects relating to natural disasters.</w:t>
      </w:r>
    </w:p>
    <w:p w14:paraId="7DFA82A8" w14:textId="77777777" w:rsidR="00BC5219" w:rsidRPr="008A2B8F" w:rsidRDefault="00BC5219" w:rsidP="00BC5219">
      <w:pPr>
        <w:spacing w:before="60" w:after="60"/>
        <w:rPr>
          <w:rFonts w:ascii="Meta Pro" w:eastAsia="Times New Roman" w:hAnsi="Meta Pro"/>
          <w:sz w:val="16"/>
          <w:szCs w:val="16"/>
          <w:lang w:eastAsia="en-AU"/>
        </w:rPr>
      </w:pPr>
      <w:r w:rsidRPr="008A2B8F">
        <w:rPr>
          <w:rFonts w:ascii="Meta Pro" w:eastAsia="Times New Roman" w:hAnsi="Meta Pro"/>
          <w:sz w:val="16"/>
          <w:szCs w:val="16"/>
          <w:lang w:eastAsia="en-AU"/>
        </w:rPr>
        <w:t>** Land acquisition payments received from the Australian Rail Track Corporation for the Inland Rail project.</w:t>
      </w:r>
    </w:p>
    <w:p w14:paraId="0E73721A" w14:textId="77777777" w:rsidR="00BC5219" w:rsidRPr="008A2B8F" w:rsidRDefault="00BC5219" w:rsidP="00BC5219">
      <w:pPr>
        <w:spacing w:before="120"/>
        <w:rPr>
          <w:rFonts w:ascii="Meta Pro" w:hAnsi="Meta Pro" w:cstheme="minorBidi"/>
        </w:rPr>
      </w:pPr>
      <w:r w:rsidRPr="008A2B8F">
        <w:rPr>
          <w:rFonts w:ascii="Meta Pro" w:eastAsia="Times New Roman" w:hAnsi="Meta Pro"/>
          <w:sz w:val="16"/>
          <w:szCs w:val="16"/>
          <w:lang w:eastAsia="en-AU"/>
        </w:rPr>
        <w:t xml:space="preserve">*** Represents unused </w:t>
      </w:r>
      <w:r w:rsidRPr="008A2B8F">
        <w:rPr>
          <w:rFonts w:ascii="Meta Pro" w:eastAsia="Times New Roman" w:hAnsi="Meta Pro"/>
          <w:i/>
          <w:iCs/>
          <w:sz w:val="16"/>
          <w:szCs w:val="16"/>
          <w:lang w:eastAsia="en-AU"/>
        </w:rPr>
        <w:t>go</w:t>
      </w:r>
      <w:r w:rsidRPr="008A2B8F">
        <w:rPr>
          <w:rFonts w:ascii="Meta Pro" w:eastAsia="Times New Roman" w:hAnsi="Meta Pro"/>
          <w:sz w:val="16"/>
          <w:szCs w:val="16"/>
          <w:lang w:eastAsia="en-AU"/>
        </w:rPr>
        <w:t xml:space="preserve"> card balances which are recognised as revenue as patrons undertake travel.</w:t>
      </w:r>
    </w:p>
    <w:p w14:paraId="7DED07B7" w14:textId="77777777" w:rsidR="00BC5219" w:rsidRDefault="00BC5219" w:rsidP="00BC5219">
      <w:pPr>
        <w:spacing w:after="160" w:line="259" w:lineRule="auto"/>
        <w:rPr>
          <w:rFonts w:ascii="Meta Pro" w:eastAsia="Times New Roman" w:hAnsi="Meta Pro"/>
          <w:b/>
          <w:bCs/>
          <w:color w:val="000000"/>
          <w:szCs w:val="18"/>
          <w:lang w:eastAsia="en-AU"/>
        </w:rPr>
      </w:pPr>
      <w:r>
        <w:br w:type="page"/>
      </w:r>
    </w:p>
    <w:p w14:paraId="094DE122" w14:textId="77777777" w:rsidR="00BC5219" w:rsidRPr="008A2B8F" w:rsidRDefault="00BC5219" w:rsidP="00BC5219">
      <w:pPr>
        <w:spacing w:after="160" w:line="259" w:lineRule="auto"/>
        <w:rPr>
          <w:rFonts w:ascii="Meta Pro" w:eastAsia="Times New Roman" w:hAnsi="Meta Pro"/>
          <w:b/>
          <w:bCs/>
          <w:lang w:eastAsia="en-AU"/>
        </w:rPr>
        <w:sectPr w:rsidR="00BC5219" w:rsidRPr="008A2B8F" w:rsidSect="00B21FCC">
          <w:headerReference w:type="default" r:id="rId124"/>
          <w:footerReference w:type="default" r:id="rId125"/>
          <w:pgSz w:w="11906" w:h="16838"/>
          <w:pgMar w:top="1701" w:right="851" w:bottom="1134" w:left="851" w:header="454" w:footer="454" w:gutter="0"/>
          <w:pgNumType w:start="30"/>
          <w:cols w:space="708"/>
          <w:docGrid w:linePitch="360"/>
        </w:sectPr>
      </w:pPr>
    </w:p>
    <w:p w14:paraId="0BC28D54"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r w:rsidRPr="008A2B8F">
        <w:rPr>
          <w:rFonts w:ascii="Meta Pro" w:eastAsia="Times New Roman" w:hAnsi="Meta Pro"/>
          <w:i/>
          <w:iCs/>
          <w:color w:val="000000" w:themeColor="text1"/>
          <w:lang w:eastAsia="en-AU"/>
        </w:rPr>
        <w:lastRenderedPageBreak/>
        <w:t>Department of Transport and Main Roads</w:t>
      </w:r>
    </w:p>
    <w:p w14:paraId="41B476EE"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Notes to the financial statements 2022–23 (continued)</w:t>
      </w:r>
    </w:p>
    <w:p w14:paraId="434350C4" w14:textId="77777777" w:rsidR="00BC5219" w:rsidRDefault="00BC5219" w:rsidP="00BC5219">
      <w:pPr>
        <w:rPr>
          <w:rFonts w:asciiTheme="minorHAnsi" w:hAnsiTheme="minorHAnsi" w:cstheme="minorBidi"/>
        </w:rPr>
      </w:pPr>
    </w:p>
    <w:tbl>
      <w:tblPr>
        <w:tblW w:w="0" w:type="auto"/>
        <w:tblCellMar>
          <w:left w:w="0" w:type="dxa"/>
        </w:tblCellMar>
        <w:tblLook w:val="04A0" w:firstRow="1" w:lastRow="0" w:firstColumn="1" w:lastColumn="0" w:noHBand="0" w:noVBand="1"/>
      </w:tblPr>
      <w:tblGrid>
        <w:gridCol w:w="7144"/>
        <w:gridCol w:w="1164"/>
        <w:gridCol w:w="224"/>
        <w:gridCol w:w="1164"/>
      </w:tblGrid>
      <w:tr w:rsidR="00BC5219" w:rsidRPr="00EB1781" w14:paraId="4ED119EC" w14:textId="77777777" w:rsidTr="00E83802">
        <w:trPr>
          <w:trHeight w:val="240"/>
        </w:trPr>
        <w:tc>
          <w:tcPr>
            <w:tcW w:w="7136" w:type="dxa"/>
            <w:tcBorders>
              <w:top w:val="nil"/>
              <w:left w:val="nil"/>
              <w:bottom w:val="nil"/>
              <w:right w:val="nil"/>
            </w:tcBorders>
            <w:shd w:val="clear" w:color="auto" w:fill="auto"/>
            <w:noWrap/>
            <w:vAlign w:val="center"/>
            <w:hideMark/>
          </w:tcPr>
          <w:p w14:paraId="087E53E9" w14:textId="77777777" w:rsidR="00BC5219" w:rsidRPr="00EB1781" w:rsidRDefault="00BC5219" w:rsidP="00E83802">
            <w:pPr>
              <w:rPr>
                <w:rFonts w:ascii="Times New Roman" w:eastAsia="Times New Roman" w:hAnsi="Times New Roman" w:cs="Times New Roman"/>
                <w:sz w:val="24"/>
                <w:szCs w:val="24"/>
                <w:lang w:eastAsia="en-AU"/>
              </w:rPr>
            </w:pPr>
          </w:p>
        </w:tc>
        <w:tc>
          <w:tcPr>
            <w:tcW w:w="1156" w:type="dxa"/>
            <w:tcBorders>
              <w:top w:val="nil"/>
              <w:left w:val="nil"/>
              <w:bottom w:val="nil"/>
              <w:right w:val="nil"/>
            </w:tcBorders>
            <w:shd w:val="clear" w:color="auto" w:fill="auto"/>
            <w:noWrap/>
            <w:vAlign w:val="center"/>
            <w:hideMark/>
          </w:tcPr>
          <w:p w14:paraId="7165C9EA" w14:textId="77777777" w:rsidR="00BC5219" w:rsidRPr="00EB1781" w:rsidRDefault="00BC5219" w:rsidP="00E83802">
            <w:pPr>
              <w:jc w:val="center"/>
              <w:rPr>
                <w:rFonts w:ascii="Meta Pro" w:eastAsia="Times New Roman" w:hAnsi="Meta Pro"/>
                <w:b/>
                <w:bCs/>
                <w:lang w:eastAsia="en-AU"/>
              </w:rPr>
            </w:pPr>
            <w:r w:rsidRPr="00EB1781">
              <w:rPr>
                <w:rFonts w:ascii="Meta Pro" w:eastAsia="Times New Roman" w:hAnsi="Meta Pro"/>
                <w:b/>
                <w:bCs/>
                <w:lang w:eastAsia="en-AU"/>
              </w:rPr>
              <w:t>2023</w:t>
            </w:r>
          </w:p>
        </w:tc>
        <w:tc>
          <w:tcPr>
            <w:tcW w:w="216" w:type="dxa"/>
            <w:tcBorders>
              <w:top w:val="nil"/>
              <w:left w:val="nil"/>
              <w:bottom w:val="nil"/>
              <w:right w:val="nil"/>
            </w:tcBorders>
            <w:shd w:val="clear" w:color="auto" w:fill="auto"/>
            <w:noWrap/>
            <w:vAlign w:val="center"/>
            <w:hideMark/>
          </w:tcPr>
          <w:p w14:paraId="68FFFFA8" w14:textId="77777777" w:rsidR="00BC5219" w:rsidRPr="00EB1781" w:rsidRDefault="00BC5219" w:rsidP="00E83802">
            <w:pPr>
              <w:jc w:val="center"/>
              <w:rPr>
                <w:rFonts w:ascii="Meta Pro" w:eastAsia="Times New Roman" w:hAnsi="Meta Pro"/>
                <w:b/>
                <w:bCs/>
                <w:lang w:eastAsia="en-AU"/>
              </w:rPr>
            </w:pPr>
          </w:p>
        </w:tc>
        <w:tc>
          <w:tcPr>
            <w:tcW w:w="1156" w:type="dxa"/>
            <w:tcBorders>
              <w:top w:val="nil"/>
              <w:left w:val="nil"/>
              <w:bottom w:val="nil"/>
              <w:right w:val="nil"/>
            </w:tcBorders>
            <w:shd w:val="clear" w:color="auto" w:fill="auto"/>
            <w:noWrap/>
            <w:vAlign w:val="center"/>
            <w:hideMark/>
          </w:tcPr>
          <w:p w14:paraId="3FFFAE5E" w14:textId="77777777" w:rsidR="00BC5219" w:rsidRPr="00EB1781" w:rsidRDefault="00BC5219" w:rsidP="00E83802">
            <w:pPr>
              <w:jc w:val="center"/>
              <w:rPr>
                <w:rFonts w:ascii="Meta Pro" w:eastAsia="Times New Roman" w:hAnsi="Meta Pro"/>
                <w:b/>
                <w:bCs/>
                <w:lang w:eastAsia="en-AU"/>
              </w:rPr>
            </w:pPr>
            <w:r w:rsidRPr="00EB1781">
              <w:rPr>
                <w:rFonts w:ascii="Meta Pro" w:eastAsia="Times New Roman" w:hAnsi="Meta Pro"/>
                <w:b/>
                <w:bCs/>
                <w:lang w:eastAsia="en-AU"/>
              </w:rPr>
              <w:t>2022</w:t>
            </w:r>
          </w:p>
        </w:tc>
      </w:tr>
      <w:tr w:rsidR="00BC5219" w:rsidRPr="00EB1781" w14:paraId="7387D84A" w14:textId="77777777" w:rsidTr="00E83802">
        <w:trPr>
          <w:trHeight w:val="240"/>
        </w:trPr>
        <w:tc>
          <w:tcPr>
            <w:tcW w:w="7136" w:type="dxa"/>
            <w:tcBorders>
              <w:top w:val="nil"/>
              <w:left w:val="nil"/>
              <w:bottom w:val="nil"/>
              <w:right w:val="nil"/>
            </w:tcBorders>
            <w:shd w:val="clear" w:color="auto" w:fill="auto"/>
            <w:noWrap/>
            <w:vAlign w:val="center"/>
            <w:hideMark/>
          </w:tcPr>
          <w:p w14:paraId="46DC6167" w14:textId="77777777" w:rsidR="00BC5219" w:rsidRPr="00EB1781" w:rsidRDefault="00BC5219" w:rsidP="00E83802">
            <w:pPr>
              <w:jc w:val="center"/>
              <w:rPr>
                <w:rFonts w:ascii="Meta Pro" w:eastAsia="Times New Roman" w:hAnsi="Meta Pro"/>
                <w:b/>
                <w:bCs/>
                <w:lang w:eastAsia="en-AU"/>
              </w:rPr>
            </w:pPr>
          </w:p>
        </w:tc>
        <w:tc>
          <w:tcPr>
            <w:tcW w:w="1156" w:type="dxa"/>
            <w:tcBorders>
              <w:top w:val="nil"/>
              <w:left w:val="nil"/>
              <w:bottom w:val="nil"/>
              <w:right w:val="nil"/>
            </w:tcBorders>
            <w:shd w:val="clear" w:color="auto" w:fill="auto"/>
            <w:noWrap/>
            <w:vAlign w:val="center"/>
            <w:hideMark/>
          </w:tcPr>
          <w:p w14:paraId="0F919120" w14:textId="77777777" w:rsidR="00BC5219" w:rsidRPr="00EB1781" w:rsidRDefault="00BC5219" w:rsidP="00E83802">
            <w:pPr>
              <w:jc w:val="center"/>
              <w:rPr>
                <w:rFonts w:ascii="Meta Pro" w:eastAsia="Times New Roman" w:hAnsi="Meta Pro"/>
                <w:b/>
                <w:bCs/>
                <w:lang w:eastAsia="en-AU"/>
              </w:rPr>
            </w:pPr>
            <w:r w:rsidRPr="00EB1781">
              <w:rPr>
                <w:rFonts w:ascii="Meta Pro" w:eastAsia="Times New Roman" w:hAnsi="Meta Pro"/>
                <w:b/>
                <w:bCs/>
                <w:lang w:eastAsia="en-AU"/>
              </w:rPr>
              <w:t>$'000</w:t>
            </w:r>
          </w:p>
        </w:tc>
        <w:tc>
          <w:tcPr>
            <w:tcW w:w="216" w:type="dxa"/>
            <w:tcBorders>
              <w:top w:val="nil"/>
              <w:left w:val="nil"/>
              <w:bottom w:val="nil"/>
              <w:right w:val="nil"/>
            </w:tcBorders>
            <w:shd w:val="clear" w:color="auto" w:fill="auto"/>
            <w:noWrap/>
            <w:vAlign w:val="center"/>
            <w:hideMark/>
          </w:tcPr>
          <w:p w14:paraId="5E7930E5" w14:textId="77777777" w:rsidR="00BC5219" w:rsidRPr="00EB1781" w:rsidRDefault="00BC5219" w:rsidP="00E83802">
            <w:pPr>
              <w:jc w:val="center"/>
              <w:rPr>
                <w:rFonts w:ascii="Meta Pro" w:eastAsia="Times New Roman" w:hAnsi="Meta Pro"/>
                <w:b/>
                <w:bCs/>
                <w:lang w:eastAsia="en-AU"/>
              </w:rPr>
            </w:pPr>
          </w:p>
        </w:tc>
        <w:tc>
          <w:tcPr>
            <w:tcW w:w="1156" w:type="dxa"/>
            <w:tcBorders>
              <w:top w:val="nil"/>
              <w:left w:val="nil"/>
              <w:bottom w:val="nil"/>
              <w:right w:val="nil"/>
            </w:tcBorders>
            <w:shd w:val="clear" w:color="auto" w:fill="auto"/>
            <w:noWrap/>
            <w:vAlign w:val="center"/>
            <w:hideMark/>
          </w:tcPr>
          <w:p w14:paraId="6A55AAD7" w14:textId="77777777" w:rsidR="00BC5219" w:rsidRPr="00EB1781" w:rsidRDefault="00BC5219" w:rsidP="00E83802">
            <w:pPr>
              <w:jc w:val="center"/>
              <w:rPr>
                <w:rFonts w:ascii="Meta Pro" w:eastAsia="Times New Roman" w:hAnsi="Meta Pro"/>
                <w:b/>
                <w:bCs/>
                <w:lang w:eastAsia="en-AU"/>
              </w:rPr>
            </w:pPr>
            <w:r w:rsidRPr="00EB1781">
              <w:rPr>
                <w:rFonts w:ascii="Meta Pro" w:eastAsia="Times New Roman" w:hAnsi="Meta Pro"/>
                <w:b/>
                <w:bCs/>
                <w:lang w:eastAsia="en-AU"/>
              </w:rPr>
              <w:t>$'000</w:t>
            </w:r>
          </w:p>
        </w:tc>
      </w:tr>
      <w:tr w:rsidR="00BC5219" w:rsidRPr="00EB1781" w14:paraId="79680CB0" w14:textId="77777777" w:rsidTr="00E83802">
        <w:trPr>
          <w:trHeight w:val="240"/>
        </w:trPr>
        <w:tc>
          <w:tcPr>
            <w:tcW w:w="7136" w:type="dxa"/>
            <w:tcBorders>
              <w:top w:val="nil"/>
              <w:left w:val="nil"/>
              <w:bottom w:val="nil"/>
              <w:right w:val="nil"/>
            </w:tcBorders>
            <w:shd w:val="clear" w:color="auto" w:fill="auto"/>
            <w:noWrap/>
            <w:vAlign w:val="center"/>
            <w:hideMark/>
          </w:tcPr>
          <w:p w14:paraId="3D817516" w14:textId="77777777" w:rsidR="00BC5219" w:rsidRPr="00EB1781" w:rsidRDefault="00BC5219" w:rsidP="00E83802">
            <w:pPr>
              <w:rPr>
                <w:rFonts w:ascii="Meta Pro" w:eastAsia="Times New Roman" w:hAnsi="Meta Pro"/>
                <w:b/>
                <w:bCs/>
                <w:lang w:eastAsia="en-AU"/>
              </w:rPr>
            </w:pPr>
            <w:r w:rsidRPr="00EB1781">
              <w:rPr>
                <w:rFonts w:ascii="Meta Pro" w:eastAsia="Times New Roman" w:hAnsi="Meta Pro"/>
                <w:b/>
                <w:bCs/>
                <w:lang w:eastAsia="en-AU"/>
              </w:rPr>
              <w:t>23    INCOME TAX EQUIVALENTS</w:t>
            </w:r>
          </w:p>
        </w:tc>
        <w:tc>
          <w:tcPr>
            <w:tcW w:w="1156" w:type="dxa"/>
            <w:tcBorders>
              <w:top w:val="nil"/>
              <w:left w:val="nil"/>
              <w:bottom w:val="nil"/>
              <w:right w:val="nil"/>
            </w:tcBorders>
            <w:shd w:val="clear" w:color="auto" w:fill="auto"/>
            <w:noWrap/>
            <w:vAlign w:val="center"/>
            <w:hideMark/>
          </w:tcPr>
          <w:p w14:paraId="2A759D8B" w14:textId="77777777" w:rsidR="00BC5219" w:rsidRPr="00EB1781" w:rsidRDefault="00BC5219" w:rsidP="00E83802">
            <w:pPr>
              <w:rPr>
                <w:rFonts w:ascii="Meta Pro" w:eastAsia="Times New Roman" w:hAnsi="Meta Pro"/>
                <w:b/>
                <w:bCs/>
                <w:lang w:eastAsia="en-AU"/>
              </w:rPr>
            </w:pPr>
          </w:p>
        </w:tc>
        <w:tc>
          <w:tcPr>
            <w:tcW w:w="216" w:type="dxa"/>
            <w:tcBorders>
              <w:top w:val="nil"/>
              <w:left w:val="nil"/>
              <w:bottom w:val="nil"/>
              <w:right w:val="nil"/>
            </w:tcBorders>
            <w:shd w:val="clear" w:color="auto" w:fill="auto"/>
            <w:noWrap/>
            <w:vAlign w:val="center"/>
            <w:hideMark/>
          </w:tcPr>
          <w:p w14:paraId="7D299B15" w14:textId="77777777" w:rsidR="00BC5219" w:rsidRPr="00EB1781" w:rsidRDefault="00BC5219" w:rsidP="00E83802">
            <w:pPr>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402F80AC" w14:textId="77777777" w:rsidR="00BC5219" w:rsidRPr="00EB1781" w:rsidRDefault="00BC5219" w:rsidP="00E83802">
            <w:pPr>
              <w:rPr>
                <w:rFonts w:ascii="Times New Roman" w:eastAsia="Times New Roman" w:hAnsi="Times New Roman" w:cs="Times New Roman"/>
                <w:sz w:val="20"/>
                <w:szCs w:val="20"/>
                <w:lang w:eastAsia="en-AU"/>
              </w:rPr>
            </w:pPr>
          </w:p>
        </w:tc>
      </w:tr>
      <w:tr w:rsidR="00BC5219" w:rsidRPr="00EB1781" w14:paraId="2D405C5C" w14:textId="77777777" w:rsidTr="00E83802">
        <w:trPr>
          <w:trHeight w:val="90"/>
        </w:trPr>
        <w:tc>
          <w:tcPr>
            <w:tcW w:w="7136" w:type="dxa"/>
            <w:tcBorders>
              <w:top w:val="nil"/>
              <w:left w:val="nil"/>
              <w:bottom w:val="nil"/>
              <w:right w:val="nil"/>
            </w:tcBorders>
            <w:shd w:val="clear" w:color="auto" w:fill="auto"/>
            <w:noWrap/>
            <w:vAlign w:val="center"/>
            <w:hideMark/>
          </w:tcPr>
          <w:p w14:paraId="27BBC3B6" w14:textId="77777777" w:rsidR="00BC5219" w:rsidRPr="00EB1781" w:rsidRDefault="00BC5219" w:rsidP="00E83802">
            <w:pPr>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694FD5B0" w14:textId="77777777" w:rsidR="00BC5219" w:rsidRPr="00EB1781" w:rsidRDefault="00BC5219" w:rsidP="00E83802">
            <w:pPr>
              <w:rPr>
                <w:rFonts w:ascii="Times New Roman" w:eastAsia="Times New Roman" w:hAnsi="Times New Roman"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36C5A019" w14:textId="77777777" w:rsidR="00BC5219" w:rsidRPr="00EB1781" w:rsidRDefault="00BC5219" w:rsidP="00E83802">
            <w:pPr>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569BACC8" w14:textId="77777777" w:rsidR="00BC5219" w:rsidRPr="00EB1781" w:rsidRDefault="00BC5219" w:rsidP="00E83802">
            <w:pPr>
              <w:rPr>
                <w:rFonts w:ascii="Times New Roman" w:eastAsia="Times New Roman" w:hAnsi="Times New Roman" w:cs="Times New Roman"/>
                <w:sz w:val="20"/>
                <w:szCs w:val="20"/>
                <w:lang w:eastAsia="en-AU"/>
              </w:rPr>
            </w:pPr>
          </w:p>
        </w:tc>
      </w:tr>
      <w:tr w:rsidR="00BC5219" w:rsidRPr="00EB1781" w14:paraId="66C23E45" w14:textId="77777777" w:rsidTr="00E83802">
        <w:trPr>
          <w:trHeight w:val="240"/>
        </w:trPr>
        <w:tc>
          <w:tcPr>
            <w:tcW w:w="7136" w:type="dxa"/>
            <w:tcBorders>
              <w:top w:val="nil"/>
              <w:left w:val="nil"/>
              <w:bottom w:val="nil"/>
              <w:right w:val="nil"/>
            </w:tcBorders>
            <w:shd w:val="clear" w:color="auto" w:fill="auto"/>
            <w:noWrap/>
            <w:vAlign w:val="center"/>
            <w:hideMark/>
          </w:tcPr>
          <w:p w14:paraId="1923F7E3" w14:textId="77777777" w:rsidR="00BC5219" w:rsidRPr="00EB1781" w:rsidRDefault="00BC5219" w:rsidP="00E83802">
            <w:pPr>
              <w:rPr>
                <w:rFonts w:ascii="Meta Pro" w:eastAsia="Times New Roman" w:hAnsi="Meta Pro"/>
                <w:b/>
                <w:bCs/>
                <w:szCs w:val="18"/>
                <w:lang w:eastAsia="en-AU"/>
              </w:rPr>
            </w:pPr>
            <w:r w:rsidRPr="00EB1781">
              <w:rPr>
                <w:rFonts w:ascii="Meta Pro" w:eastAsia="Times New Roman" w:hAnsi="Meta Pro"/>
                <w:b/>
                <w:bCs/>
                <w:szCs w:val="18"/>
                <w:lang w:eastAsia="en-AU"/>
              </w:rPr>
              <w:t>Income tax equivalent expense</w:t>
            </w:r>
          </w:p>
        </w:tc>
        <w:tc>
          <w:tcPr>
            <w:tcW w:w="1156" w:type="dxa"/>
            <w:tcBorders>
              <w:top w:val="nil"/>
              <w:left w:val="nil"/>
              <w:bottom w:val="nil"/>
              <w:right w:val="nil"/>
            </w:tcBorders>
            <w:shd w:val="clear" w:color="auto" w:fill="auto"/>
            <w:noWrap/>
            <w:vAlign w:val="center"/>
            <w:hideMark/>
          </w:tcPr>
          <w:p w14:paraId="13E9775D" w14:textId="77777777" w:rsidR="00BC5219" w:rsidRPr="00EB1781" w:rsidRDefault="00BC5219" w:rsidP="00E83802">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7E94F197" w14:textId="77777777" w:rsidR="00BC5219" w:rsidRPr="00EB1781"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330520A6" w14:textId="77777777" w:rsidR="00BC5219" w:rsidRPr="00EB1781" w:rsidRDefault="00BC5219" w:rsidP="00E83802">
            <w:pPr>
              <w:jc w:val="right"/>
              <w:rPr>
                <w:rFonts w:ascii="Times New Roman" w:eastAsia="Times New Roman" w:hAnsi="Times New Roman" w:cs="Times New Roman"/>
                <w:sz w:val="20"/>
                <w:szCs w:val="20"/>
                <w:lang w:eastAsia="en-AU"/>
              </w:rPr>
            </w:pPr>
          </w:p>
        </w:tc>
      </w:tr>
      <w:tr w:rsidR="00BC5219" w:rsidRPr="00EB1781" w14:paraId="2F095C24" w14:textId="77777777" w:rsidTr="00E83802">
        <w:trPr>
          <w:trHeight w:val="90"/>
        </w:trPr>
        <w:tc>
          <w:tcPr>
            <w:tcW w:w="7136" w:type="dxa"/>
            <w:tcBorders>
              <w:top w:val="nil"/>
              <w:left w:val="nil"/>
              <w:bottom w:val="nil"/>
              <w:right w:val="nil"/>
            </w:tcBorders>
            <w:shd w:val="clear" w:color="auto" w:fill="auto"/>
            <w:noWrap/>
            <w:vAlign w:val="center"/>
            <w:hideMark/>
          </w:tcPr>
          <w:p w14:paraId="44DBBF39" w14:textId="77777777" w:rsidR="00BC5219" w:rsidRPr="00EB1781"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3D43C599" w14:textId="77777777" w:rsidR="00BC5219" w:rsidRPr="00EB1781" w:rsidRDefault="00BC5219" w:rsidP="00E83802">
            <w:pPr>
              <w:rPr>
                <w:rFonts w:ascii="Times New Roman" w:eastAsia="Times New Roman" w:hAnsi="Times New Roman"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6C005AE4" w14:textId="77777777" w:rsidR="00BC5219" w:rsidRPr="00EB1781"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64ABD4A3" w14:textId="77777777" w:rsidR="00BC5219" w:rsidRPr="00EB1781" w:rsidRDefault="00BC5219" w:rsidP="00E83802">
            <w:pPr>
              <w:jc w:val="right"/>
              <w:rPr>
                <w:rFonts w:ascii="Times New Roman" w:eastAsia="Times New Roman" w:hAnsi="Times New Roman" w:cs="Times New Roman"/>
                <w:sz w:val="20"/>
                <w:szCs w:val="20"/>
                <w:lang w:eastAsia="en-AU"/>
              </w:rPr>
            </w:pPr>
          </w:p>
        </w:tc>
      </w:tr>
      <w:tr w:rsidR="00BC5219" w:rsidRPr="00EB1781" w14:paraId="48AC4FB5" w14:textId="77777777" w:rsidTr="00E83802">
        <w:trPr>
          <w:trHeight w:val="240"/>
        </w:trPr>
        <w:tc>
          <w:tcPr>
            <w:tcW w:w="7136" w:type="dxa"/>
            <w:tcBorders>
              <w:top w:val="nil"/>
              <w:left w:val="nil"/>
              <w:bottom w:val="nil"/>
              <w:right w:val="nil"/>
            </w:tcBorders>
            <w:shd w:val="clear" w:color="auto" w:fill="auto"/>
            <w:noWrap/>
            <w:vAlign w:val="center"/>
            <w:hideMark/>
          </w:tcPr>
          <w:p w14:paraId="15208C46" w14:textId="77777777" w:rsidR="00BC5219" w:rsidRPr="00EB1781" w:rsidRDefault="00BC5219" w:rsidP="00E83802">
            <w:pPr>
              <w:rPr>
                <w:rFonts w:ascii="Meta Pro" w:eastAsia="Times New Roman" w:hAnsi="Meta Pro"/>
                <w:szCs w:val="18"/>
                <w:lang w:eastAsia="en-AU"/>
              </w:rPr>
            </w:pPr>
            <w:r w:rsidRPr="00EB1781">
              <w:rPr>
                <w:rFonts w:ascii="Meta Pro" w:eastAsia="Times New Roman" w:hAnsi="Meta Pro"/>
                <w:szCs w:val="18"/>
                <w:lang w:eastAsia="en-AU"/>
              </w:rPr>
              <w:t xml:space="preserve">Current tax equivalents </w:t>
            </w:r>
          </w:p>
        </w:tc>
        <w:tc>
          <w:tcPr>
            <w:tcW w:w="1156" w:type="dxa"/>
            <w:tcBorders>
              <w:top w:val="nil"/>
              <w:left w:val="nil"/>
              <w:bottom w:val="nil"/>
              <w:right w:val="nil"/>
            </w:tcBorders>
            <w:shd w:val="clear" w:color="000000" w:fill="C9E3B4"/>
            <w:noWrap/>
            <w:vAlign w:val="center"/>
            <w:hideMark/>
          </w:tcPr>
          <w:p w14:paraId="1CB21FF1" w14:textId="77777777" w:rsidR="00BC5219" w:rsidRPr="00EB1781" w:rsidRDefault="00BC5219" w:rsidP="00E83802">
            <w:pPr>
              <w:jc w:val="right"/>
              <w:rPr>
                <w:rFonts w:ascii="Meta Pro" w:eastAsia="Times New Roman" w:hAnsi="Meta Pro"/>
                <w:szCs w:val="18"/>
                <w:lang w:eastAsia="en-AU"/>
              </w:rPr>
            </w:pPr>
            <w:r w:rsidRPr="00EB1781">
              <w:rPr>
                <w:rFonts w:ascii="Meta Pro" w:eastAsia="Times New Roman" w:hAnsi="Meta Pro"/>
                <w:szCs w:val="18"/>
                <w:lang w:eastAsia="en-AU"/>
              </w:rPr>
              <w:t xml:space="preserve">7,252 </w:t>
            </w:r>
          </w:p>
        </w:tc>
        <w:tc>
          <w:tcPr>
            <w:tcW w:w="216" w:type="dxa"/>
            <w:tcBorders>
              <w:top w:val="nil"/>
              <w:left w:val="nil"/>
              <w:bottom w:val="nil"/>
              <w:right w:val="nil"/>
            </w:tcBorders>
            <w:shd w:val="clear" w:color="auto" w:fill="auto"/>
            <w:noWrap/>
            <w:vAlign w:val="center"/>
            <w:hideMark/>
          </w:tcPr>
          <w:p w14:paraId="7880111A" w14:textId="77777777" w:rsidR="00BC5219" w:rsidRPr="00EB1781"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641D0742" w14:textId="77777777" w:rsidR="00BC5219" w:rsidRPr="00EB1781" w:rsidRDefault="00BC5219" w:rsidP="00E83802">
            <w:pPr>
              <w:jc w:val="right"/>
              <w:rPr>
                <w:rFonts w:ascii="Meta Pro" w:eastAsia="Times New Roman" w:hAnsi="Meta Pro"/>
                <w:szCs w:val="18"/>
                <w:lang w:eastAsia="en-AU"/>
              </w:rPr>
            </w:pPr>
            <w:r w:rsidRPr="00EB1781">
              <w:rPr>
                <w:rFonts w:ascii="Meta Pro" w:eastAsia="Times New Roman" w:hAnsi="Meta Pro"/>
                <w:szCs w:val="18"/>
                <w:lang w:eastAsia="en-AU"/>
              </w:rPr>
              <w:t xml:space="preserve">9,500 </w:t>
            </w:r>
          </w:p>
        </w:tc>
      </w:tr>
      <w:tr w:rsidR="00BC5219" w:rsidRPr="00EB1781" w14:paraId="3E22E5E3" w14:textId="77777777" w:rsidTr="00E83802">
        <w:trPr>
          <w:trHeight w:val="240"/>
        </w:trPr>
        <w:tc>
          <w:tcPr>
            <w:tcW w:w="7136" w:type="dxa"/>
            <w:tcBorders>
              <w:top w:val="nil"/>
              <w:left w:val="nil"/>
              <w:bottom w:val="nil"/>
              <w:right w:val="nil"/>
            </w:tcBorders>
            <w:shd w:val="clear" w:color="auto" w:fill="auto"/>
            <w:noWrap/>
            <w:vAlign w:val="center"/>
            <w:hideMark/>
          </w:tcPr>
          <w:p w14:paraId="157ABFB4" w14:textId="77777777" w:rsidR="00BC5219" w:rsidRPr="00EB1781" w:rsidRDefault="00BC5219" w:rsidP="00E83802">
            <w:pPr>
              <w:rPr>
                <w:rFonts w:ascii="Meta Pro" w:eastAsia="Times New Roman" w:hAnsi="Meta Pro"/>
                <w:szCs w:val="18"/>
                <w:lang w:eastAsia="en-AU"/>
              </w:rPr>
            </w:pPr>
            <w:r w:rsidRPr="00EB1781">
              <w:rPr>
                <w:rFonts w:ascii="Meta Pro" w:eastAsia="Times New Roman" w:hAnsi="Meta Pro"/>
                <w:szCs w:val="18"/>
                <w:lang w:eastAsia="en-AU"/>
              </w:rPr>
              <w:t>Deferred tax equivalent expense relating to temporary differences</w:t>
            </w:r>
          </w:p>
        </w:tc>
        <w:tc>
          <w:tcPr>
            <w:tcW w:w="1156" w:type="dxa"/>
            <w:tcBorders>
              <w:top w:val="nil"/>
              <w:left w:val="nil"/>
              <w:bottom w:val="nil"/>
              <w:right w:val="nil"/>
            </w:tcBorders>
            <w:shd w:val="clear" w:color="000000" w:fill="C9E3B4"/>
            <w:noWrap/>
            <w:vAlign w:val="center"/>
            <w:hideMark/>
          </w:tcPr>
          <w:p w14:paraId="211913EA" w14:textId="77777777" w:rsidR="00BC5219" w:rsidRPr="00EB1781" w:rsidRDefault="00BC5219" w:rsidP="00E83802">
            <w:pPr>
              <w:jc w:val="right"/>
              <w:rPr>
                <w:rFonts w:ascii="Meta Pro" w:eastAsia="Times New Roman" w:hAnsi="Meta Pro"/>
                <w:szCs w:val="18"/>
                <w:lang w:eastAsia="en-AU"/>
              </w:rPr>
            </w:pPr>
            <w:r w:rsidRPr="00EB1781">
              <w:rPr>
                <w:rFonts w:ascii="Meta Pro" w:eastAsia="Times New Roman" w:hAnsi="Meta Pro"/>
                <w:szCs w:val="18"/>
                <w:lang w:eastAsia="en-AU"/>
              </w:rPr>
              <w:t xml:space="preserve">290 </w:t>
            </w:r>
          </w:p>
        </w:tc>
        <w:tc>
          <w:tcPr>
            <w:tcW w:w="216" w:type="dxa"/>
            <w:tcBorders>
              <w:top w:val="nil"/>
              <w:left w:val="nil"/>
              <w:bottom w:val="nil"/>
              <w:right w:val="nil"/>
            </w:tcBorders>
            <w:shd w:val="clear" w:color="auto" w:fill="auto"/>
            <w:noWrap/>
            <w:vAlign w:val="center"/>
            <w:hideMark/>
          </w:tcPr>
          <w:p w14:paraId="5A1DC256" w14:textId="77777777" w:rsidR="00BC5219" w:rsidRPr="00EB1781"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42B53E46" w14:textId="77777777" w:rsidR="00BC5219" w:rsidRPr="00EB1781" w:rsidRDefault="00BC5219" w:rsidP="00E83802">
            <w:pPr>
              <w:jc w:val="right"/>
              <w:rPr>
                <w:rFonts w:ascii="Meta Pro" w:eastAsia="Times New Roman" w:hAnsi="Meta Pro"/>
                <w:szCs w:val="18"/>
                <w:lang w:eastAsia="en-AU"/>
              </w:rPr>
            </w:pPr>
            <w:r w:rsidRPr="00EB1781">
              <w:rPr>
                <w:rFonts w:ascii="Meta Pro" w:eastAsia="Times New Roman" w:hAnsi="Meta Pro"/>
                <w:szCs w:val="18"/>
                <w:lang w:eastAsia="en-AU"/>
              </w:rPr>
              <w:t xml:space="preserve">556 </w:t>
            </w:r>
          </w:p>
        </w:tc>
      </w:tr>
      <w:tr w:rsidR="00BC5219" w:rsidRPr="00EB1781" w14:paraId="6DF7881F" w14:textId="77777777" w:rsidTr="00E83802">
        <w:trPr>
          <w:trHeight w:val="240"/>
        </w:trPr>
        <w:tc>
          <w:tcPr>
            <w:tcW w:w="7136" w:type="dxa"/>
            <w:tcBorders>
              <w:top w:val="nil"/>
              <w:left w:val="nil"/>
              <w:bottom w:val="nil"/>
              <w:right w:val="nil"/>
            </w:tcBorders>
            <w:shd w:val="clear" w:color="auto" w:fill="auto"/>
            <w:noWrap/>
            <w:vAlign w:val="center"/>
            <w:hideMark/>
          </w:tcPr>
          <w:p w14:paraId="5BDA02DD" w14:textId="77777777" w:rsidR="00BC5219" w:rsidRPr="00EB1781" w:rsidRDefault="00BC5219" w:rsidP="00E83802">
            <w:pPr>
              <w:rPr>
                <w:rFonts w:ascii="Meta Pro" w:eastAsia="Times New Roman" w:hAnsi="Meta Pro"/>
                <w:szCs w:val="18"/>
                <w:lang w:eastAsia="en-AU"/>
              </w:rPr>
            </w:pPr>
            <w:r w:rsidRPr="00EB1781">
              <w:rPr>
                <w:rFonts w:ascii="Meta Pro" w:eastAsia="Times New Roman" w:hAnsi="Meta Pro"/>
                <w:szCs w:val="18"/>
                <w:lang w:eastAsia="en-AU"/>
              </w:rPr>
              <w:t>Under provision in previous years</w:t>
            </w:r>
          </w:p>
        </w:tc>
        <w:tc>
          <w:tcPr>
            <w:tcW w:w="1156" w:type="dxa"/>
            <w:tcBorders>
              <w:top w:val="nil"/>
              <w:left w:val="nil"/>
              <w:bottom w:val="nil"/>
              <w:right w:val="nil"/>
            </w:tcBorders>
            <w:shd w:val="clear" w:color="000000" w:fill="C9E3B4"/>
            <w:noWrap/>
            <w:vAlign w:val="center"/>
            <w:hideMark/>
          </w:tcPr>
          <w:p w14:paraId="55ACCA7A" w14:textId="77777777" w:rsidR="00BC5219" w:rsidRPr="00EB1781" w:rsidRDefault="00BC5219" w:rsidP="00E83802">
            <w:pPr>
              <w:jc w:val="right"/>
              <w:rPr>
                <w:rFonts w:ascii="Meta Pro" w:eastAsia="Times New Roman" w:hAnsi="Meta Pro"/>
                <w:szCs w:val="18"/>
                <w:lang w:eastAsia="en-AU"/>
              </w:rPr>
            </w:pPr>
            <w:r w:rsidRPr="00EB1781">
              <w:rPr>
                <w:rFonts w:ascii="Meta Pro" w:eastAsia="Times New Roman" w:hAnsi="Meta Pro"/>
                <w:szCs w:val="18"/>
                <w:lang w:eastAsia="en-AU"/>
              </w:rPr>
              <w:t xml:space="preserve">160 </w:t>
            </w:r>
          </w:p>
        </w:tc>
        <w:tc>
          <w:tcPr>
            <w:tcW w:w="216" w:type="dxa"/>
            <w:tcBorders>
              <w:top w:val="nil"/>
              <w:left w:val="nil"/>
              <w:bottom w:val="nil"/>
              <w:right w:val="nil"/>
            </w:tcBorders>
            <w:shd w:val="clear" w:color="auto" w:fill="auto"/>
            <w:noWrap/>
            <w:vAlign w:val="center"/>
            <w:hideMark/>
          </w:tcPr>
          <w:p w14:paraId="60E07D44" w14:textId="77777777" w:rsidR="00BC5219" w:rsidRPr="00EB1781"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1F327677" w14:textId="77777777" w:rsidR="00BC5219" w:rsidRPr="00EB1781" w:rsidRDefault="00BC5219" w:rsidP="00E83802">
            <w:pPr>
              <w:jc w:val="right"/>
              <w:rPr>
                <w:rFonts w:ascii="Meta Pro" w:eastAsia="Times New Roman" w:hAnsi="Meta Pro"/>
                <w:szCs w:val="18"/>
                <w:lang w:eastAsia="en-AU"/>
              </w:rPr>
            </w:pPr>
            <w:r w:rsidRPr="00EB1781">
              <w:rPr>
                <w:rFonts w:ascii="Meta Pro" w:eastAsia="Times New Roman" w:hAnsi="Meta Pro"/>
                <w:szCs w:val="18"/>
                <w:lang w:eastAsia="en-AU"/>
              </w:rPr>
              <w:t xml:space="preserve">6,204 </w:t>
            </w:r>
          </w:p>
        </w:tc>
      </w:tr>
      <w:tr w:rsidR="00BC5219" w:rsidRPr="00EB1781" w14:paraId="410186D8" w14:textId="77777777" w:rsidTr="00E83802">
        <w:trPr>
          <w:trHeight w:val="240"/>
        </w:trPr>
        <w:tc>
          <w:tcPr>
            <w:tcW w:w="7136" w:type="dxa"/>
            <w:tcBorders>
              <w:top w:val="single" w:sz="4" w:space="0" w:color="auto"/>
              <w:left w:val="nil"/>
              <w:bottom w:val="double" w:sz="6" w:space="0" w:color="auto"/>
              <w:right w:val="nil"/>
            </w:tcBorders>
            <w:shd w:val="clear" w:color="auto" w:fill="auto"/>
            <w:noWrap/>
            <w:vAlign w:val="center"/>
            <w:hideMark/>
          </w:tcPr>
          <w:p w14:paraId="4C2E05BF" w14:textId="77777777" w:rsidR="00BC5219" w:rsidRPr="00EB1781" w:rsidRDefault="00BC5219" w:rsidP="00E83802">
            <w:pPr>
              <w:rPr>
                <w:rFonts w:ascii="Meta Pro" w:eastAsia="Times New Roman" w:hAnsi="Meta Pro"/>
                <w:b/>
                <w:bCs/>
                <w:szCs w:val="18"/>
                <w:lang w:eastAsia="en-AU"/>
              </w:rPr>
            </w:pPr>
            <w:r w:rsidRPr="00EB1781">
              <w:rPr>
                <w:rFonts w:ascii="Meta Pro" w:eastAsia="Times New Roman" w:hAnsi="Meta Pro"/>
                <w:b/>
                <w:bCs/>
                <w:szCs w:val="18"/>
                <w:lang w:eastAsia="en-AU"/>
              </w:rPr>
              <w:t xml:space="preserve">Income tax equivalent expense attributable to profit from ordinary activities </w:t>
            </w:r>
          </w:p>
        </w:tc>
        <w:tc>
          <w:tcPr>
            <w:tcW w:w="1156" w:type="dxa"/>
            <w:tcBorders>
              <w:top w:val="single" w:sz="4" w:space="0" w:color="auto"/>
              <w:left w:val="nil"/>
              <w:bottom w:val="double" w:sz="6" w:space="0" w:color="auto"/>
              <w:right w:val="nil"/>
            </w:tcBorders>
            <w:shd w:val="clear" w:color="000000" w:fill="C9E3B4"/>
            <w:noWrap/>
            <w:vAlign w:val="center"/>
            <w:hideMark/>
          </w:tcPr>
          <w:p w14:paraId="1C9F4D3A" w14:textId="77777777" w:rsidR="00BC5219" w:rsidRPr="00EB1781" w:rsidRDefault="00BC5219" w:rsidP="00E83802">
            <w:pPr>
              <w:jc w:val="right"/>
              <w:rPr>
                <w:rFonts w:ascii="Meta Pro" w:eastAsia="Times New Roman" w:hAnsi="Meta Pro"/>
                <w:b/>
                <w:bCs/>
                <w:szCs w:val="18"/>
                <w:lang w:eastAsia="en-AU"/>
              </w:rPr>
            </w:pPr>
            <w:r w:rsidRPr="00EB1781">
              <w:rPr>
                <w:rFonts w:ascii="Meta Pro" w:eastAsia="Times New Roman" w:hAnsi="Meta Pro"/>
                <w:b/>
                <w:bCs/>
                <w:szCs w:val="18"/>
                <w:lang w:eastAsia="en-AU"/>
              </w:rPr>
              <w:t xml:space="preserve">7,702 </w:t>
            </w:r>
          </w:p>
        </w:tc>
        <w:tc>
          <w:tcPr>
            <w:tcW w:w="216" w:type="dxa"/>
            <w:tcBorders>
              <w:top w:val="single" w:sz="4" w:space="0" w:color="auto"/>
              <w:left w:val="nil"/>
              <w:bottom w:val="double" w:sz="6" w:space="0" w:color="auto"/>
              <w:right w:val="nil"/>
            </w:tcBorders>
            <w:shd w:val="clear" w:color="auto" w:fill="auto"/>
            <w:noWrap/>
            <w:vAlign w:val="center"/>
            <w:hideMark/>
          </w:tcPr>
          <w:p w14:paraId="26625F92" w14:textId="77777777" w:rsidR="00BC5219" w:rsidRPr="00EB1781" w:rsidRDefault="00BC5219" w:rsidP="00E83802">
            <w:pPr>
              <w:jc w:val="right"/>
              <w:rPr>
                <w:rFonts w:ascii="Meta Pro" w:eastAsia="Times New Roman" w:hAnsi="Meta Pro"/>
                <w:b/>
                <w:bCs/>
                <w:szCs w:val="18"/>
                <w:lang w:eastAsia="en-AU"/>
              </w:rPr>
            </w:pPr>
            <w:r w:rsidRPr="00EB1781">
              <w:rPr>
                <w:rFonts w:ascii="Meta Pro" w:eastAsia="Times New Roman" w:hAnsi="Meta Pro"/>
                <w:b/>
                <w:bCs/>
                <w:szCs w:val="18"/>
                <w:lang w:eastAsia="en-AU"/>
              </w:rPr>
              <w:t> </w:t>
            </w:r>
          </w:p>
        </w:tc>
        <w:tc>
          <w:tcPr>
            <w:tcW w:w="1156" w:type="dxa"/>
            <w:tcBorders>
              <w:top w:val="single" w:sz="4" w:space="0" w:color="auto"/>
              <w:left w:val="nil"/>
              <w:bottom w:val="double" w:sz="6" w:space="0" w:color="auto"/>
              <w:right w:val="nil"/>
            </w:tcBorders>
            <w:shd w:val="clear" w:color="auto" w:fill="auto"/>
            <w:noWrap/>
            <w:vAlign w:val="center"/>
            <w:hideMark/>
          </w:tcPr>
          <w:p w14:paraId="26F9320B" w14:textId="77777777" w:rsidR="00BC5219" w:rsidRPr="00EB1781" w:rsidRDefault="00BC5219" w:rsidP="00E83802">
            <w:pPr>
              <w:jc w:val="right"/>
              <w:rPr>
                <w:rFonts w:ascii="Meta Pro" w:eastAsia="Times New Roman" w:hAnsi="Meta Pro"/>
                <w:b/>
                <w:bCs/>
                <w:szCs w:val="18"/>
                <w:lang w:eastAsia="en-AU"/>
              </w:rPr>
            </w:pPr>
            <w:r w:rsidRPr="00EB1781">
              <w:rPr>
                <w:rFonts w:ascii="Meta Pro" w:eastAsia="Times New Roman" w:hAnsi="Meta Pro"/>
                <w:b/>
                <w:bCs/>
                <w:szCs w:val="18"/>
                <w:lang w:eastAsia="en-AU"/>
              </w:rPr>
              <w:t xml:space="preserve">16,260 </w:t>
            </w:r>
          </w:p>
        </w:tc>
      </w:tr>
      <w:tr w:rsidR="00BC5219" w:rsidRPr="00EB1781" w14:paraId="54141E98" w14:textId="77777777" w:rsidTr="00E83802">
        <w:trPr>
          <w:trHeight w:val="240"/>
        </w:trPr>
        <w:tc>
          <w:tcPr>
            <w:tcW w:w="7136" w:type="dxa"/>
            <w:tcBorders>
              <w:top w:val="nil"/>
              <w:left w:val="nil"/>
              <w:bottom w:val="nil"/>
              <w:right w:val="nil"/>
            </w:tcBorders>
            <w:shd w:val="clear" w:color="auto" w:fill="auto"/>
            <w:noWrap/>
            <w:vAlign w:val="center"/>
            <w:hideMark/>
          </w:tcPr>
          <w:p w14:paraId="729EE4CE" w14:textId="77777777" w:rsidR="00BC5219" w:rsidRPr="00EB1781" w:rsidRDefault="00BC5219" w:rsidP="00E83802">
            <w:pPr>
              <w:jc w:val="right"/>
              <w:rPr>
                <w:rFonts w:ascii="Meta Pro" w:eastAsia="Times New Roman" w:hAnsi="Meta Pro"/>
                <w:b/>
                <w:bCs/>
                <w:szCs w:val="18"/>
                <w:lang w:eastAsia="en-AU"/>
              </w:rPr>
            </w:pPr>
          </w:p>
        </w:tc>
        <w:tc>
          <w:tcPr>
            <w:tcW w:w="1156" w:type="dxa"/>
            <w:tcBorders>
              <w:top w:val="nil"/>
              <w:left w:val="nil"/>
              <w:bottom w:val="nil"/>
              <w:right w:val="nil"/>
            </w:tcBorders>
            <w:shd w:val="clear" w:color="auto" w:fill="auto"/>
            <w:noWrap/>
            <w:vAlign w:val="center"/>
            <w:hideMark/>
          </w:tcPr>
          <w:p w14:paraId="54BCB8F5" w14:textId="77777777" w:rsidR="00BC5219" w:rsidRPr="00EB1781" w:rsidRDefault="00BC5219" w:rsidP="00E83802">
            <w:pPr>
              <w:rPr>
                <w:rFonts w:ascii="Times New Roman" w:eastAsia="Times New Roman" w:hAnsi="Times New Roman"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67106E3C" w14:textId="77777777" w:rsidR="00BC5219" w:rsidRPr="00EB1781"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7C61EED3" w14:textId="77777777" w:rsidR="00BC5219" w:rsidRPr="00EB1781" w:rsidRDefault="00BC5219" w:rsidP="00E83802">
            <w:pPr>
              <w:jc w:val="right"/>
              <w:rPr>
                <w:rFonts w:ascii="Times New Roman" w:eastAsia="Times New Roman" w:hAnsi="Times New Roman" w:cs="Times New Roman"/>
                <w:sz w:val="20"/>
                <w:szCs w:val="20"/>
                <w:lang w:eastAsia="en-AU"/>
              </w:rPr>
            </w:pPr>
          </w:p>
        </w:tc>
      </w:tr>
      <w:tr w:rsidR="00BC5219" w:rsidRPr="00EB1781" w14:paraId="05ACFFF7" w14:textId="77777777" w:rsidTr="00E83802">
        <w:trPr>
          <w:trHeight w:val="240"/>
        </w:trPr>
        <w:tc>
          <w:tcPr>
            <w:tcW w:w="7136" w:type="dxa"/>
            <w:tcBorders>
              <w:top w:val="nil"/>
              <w:left w:val="nil"/>
              <w:bottom w:val="nil"/>
              <w:right w:val="nil"/>
            </w:tcBorders>
            <w:shd w:val="clear" w:color="auto" w:fill="auto"/>
            <w:noWrap/>
            <w:vAlign w:val="center"/>
            <w:hideMark/>
          </w:tcPr>
          <w:p w14:paraId="22E6967F" w14:textId="77777777" w:rsidR="00BC5219" w:rsidRPr="00EB1781" w:rsidRDefault="00BC5219" w:rsidP="00E83802">
            <w:pPr>
              <w:rPr>
                <w:rFonts w:ascii="Meta Pro" w:eastAsia="Times New Roman" w:hAnsi="Meta Pro"/>
                <w:b/>
                <w:bCs/>
                <w:szCs w:val="18"/>
                <w:lang w:eastAsia="en-AU"/>
              </w:rPr>
            </w:pPr>
            <w:r w:rsidRPr="00EB1781">
              <w:rPr>
                <w:rFonts w:ascii="Meta Pro" w:eastAsia="Times New Roman" w:hAnsi="Meta Pro"/>
                <w:b/>
                <w:bCs/>
                <w:szCs w:val="18"/>
                <w:lang w:eastAsia="en-AU"/>
              </w:rPr>
              <w:t>Numerical reconciliation of income tax equivalent expense to</w:t>
            </w:r>
          </w:p>
        </w:tc>
        <w:tc>
          <w:tcPr>
            <w:tcW w:w="1156" w:type="dxa"/>
            <w:tcBorders>
              <w:top w:val="nil"/>
              <w:left w:val="nil"/>
              <w:bottom w:val="nil"/>
              <w:right w:val="nil"/>
            </w:tcBorders>
            <w:shd w:val="clear" w:color="auto" w:fill="auto"/>
            <w:noWrap/>
            <w:vAlign w:val="center"/>
            <w:hideMark/>
          </w:tcPr>
          <w:p w14:paraId="0328417C" w14:textId="77777777" w:rsidR="00BC5219" w:rsidRPr="00EB1781" w:rsidRDefault="00BC5219" w:rsidP="00E83802">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3A64E021" w14:textId="77777777" w:rsidR="00BC5219" w:rsidRPr="00EB1781" w:rsidRDefault="00BC5219" w:rsidP="00E83802">
            <w:pPr>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4AF720AA" w14:textId="77777777" w:rsidR="00BC5219" w:rsidRPr="00EB1781" w:rsidRDefault="00BC5219" w:rsidP="00E83802">
            <w:pPr>
              <w:rPr>
                <w:rFonts w:ascii="Times New Roman" w:eastAsia="Times New Roman" w:hAnsi="Times New Roman" w:cs="Times New Roman"/>
                <w:sz w:val="20"/>
                <w:szCs w:val="20"/>
                <w:lang w:eastAsia="en-AU"/>
              </w:rPr>
            </w:pPr>
          </w:p>
        </w:tc>
      </w:tr>
      <w:tr w:rsidR="00BC5219" w:rsidRPr="00EB1781" w14:paraId="3644F536" w14:textId="77777777" w:rsidTr="00E83802">
        <w:trPr>
          <w:trHeight w:val="240"/>
        </w:trPr>
        <w:tc>
          <w:tcPr>
            <w:tcW w:w="7136" w:type="dxa"/>
            <w:tcBorders>
              <w:top w:val="nil"/>
              <w:left w:val="nil"/>
              <w:bottom w:val="nil"/>
              <w:right w:val="nil"/>
            </w:tcBorders>
            <w:shd w:val="clear" w:color="auto" w:fill="auto"/>
            <w:noWrap/>
            <w:vAlign w:val="center"/>
            <w:hideMark/>
          </w:tcPr>
          <w:p w14:paraId="58E450EA" w14:textId="77777777" w:rsidR="00BC5219" w:rsidRPr="00EB1781" w:rsidRDefault="00BC5219" w:rsidP="00E83802">
            <w:pPr>
              <w:rPr>
                <w:rFonts w:ascii="Meta Pro" w:eastAsia="Times New Roman" w:hAnsi="Meta Pro"/>
                <w:b/>
                <w:bCs/>
                <w:szCs w:val="18"/>
                <w:lang w:eastAsia="en-AU"/>
              </w:rPr>
            </w:pPr>
            <w:r w:rsidRPr="00EB1781">
              <w:rPr>
                <w:rFonts w:ascii="Meta Pro" w:eastAsia="Times New Roman" w:hAnsi="Meta Pro"/>
                <w:b/>
                <w:bCs/>
                <w:szCs w:val="18"/>
                <w:lang w:eastAsia="en-AU"/>
              </w:rPr>
              <w:t>prima facie tax payable</w:t>
            </w:r>
          </w:p>
        </w:tc>
        <w:tc>
          <w:tcPr>
            <w:tcW w:w="1156" w:type="dxa"/>
            <w:tcBorders>
              <w:top w:val="nil"/>
              <w:left w:val="nil"/>
              <w:bottom w:val="nil"/>
              <w:right w:val="nil"/>
            </w:tcBorders>
            <w:shd w:val="clear" w:color="auto" w:fill="auto"/>
            <w:noWrap/>
            <w:vAlign w:val="center"/>
            <w:hideMark/>
          </w:tcPr>
          <w:p w14:paraId="4A0104F6" w14:textId="77777777" w:rsidR="00BC5219" w:rsidRPr="00EB1781" w:rsidRDefault="00BC5219" w:rsidP="00E83802">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2428370C" w14:textId="77777777" w:rsidR="00BC5219" w:rsidRPr="00EB1781"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35D48D7E" w14:textId="77777777" w:rsidR="00BC5219" w:rsidRPr="00EB1781" w:rsidRDefault="00BC5219" w:rsidP="00E83802">
            <w:pPr>
              <w:rPr>
                <w:rFonts w:ascii="Times New Roman" w:eastAsia="Times New Roman" w:hAnsi="Times New Roman" w:cs="Times New Roman"/>
                <w:sz w:val="20"/>
                <w:szCs w:val="20"/>
                <w:lang w:eastAsia="en-AU"/>
              </w:rPr>
            </w:pPr>
          </w:p>
        </w:tc>
      </w:tr>
      <w:tr w:rsidR="00BC5219" w:rsidRPr="00EB1781" w14:paraId="21BDCD9B" w14:textId="77777777" w:rsidTr="00E83802">
        <w:trPr>
          <w:trHeight w:val="90"/>
        </w:trPr>
        <w:tc>
          <w:tcPr>
            <w:tcW w:w="7136" w:type="dxa"/>
            <w:tcBorders>
              <w:top w:val="nil"/>
              <w:left w:val="nil"/>
              <w:bottom w:val="nil"/>
              <w:right w:val="nil"/>
            </w:tcBorders>
            <w:shd w:val="clear" w:color="auto" w:fill="auto"/>
            <w:noWrap/>
            <w:vAlign w:val="center"/>
            <w:hideMark/>
          </w:tcPr>
          <w:p w14:paraId="0E7FFBAD" w14:textId="77777777" w:rsidR="00BC5219" w:rsidRPr="00EB1781" w:rsidRDefault="00BC5219" w:rsidP="00E83802">
            <w:pPr>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5EE6D444" w14:textId="77777777" w:rsidR="00BC5219" w:rsidRPr="00EB1781" w:rsidRDefault="00BC5219" w:rsidP="00E83802">
            <w:pPr>
              <w:rPr>
                <w:rFonts w:ascii="Times New Roman" w:eastAsia="Times New Roman" w:hAnsi="Times New Roman"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586A2C4A" w14:textId="77777777" w:rsidR="00BC5219" w:rsidRPr="00EB1781"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7C31E8D2" w14:textId="77777777" w:rsidR="00BC5219" w:rsidRPr="00EB1781" w:rsidRDefault="00BC5219" w:rsidP="00E83802">
            <w:pPr>
              <w:jc w:val="right"/>
              <w:rPr>
                <w:rFonts w:ascii="Times New Roman" w:eastAsia="Times New Roman" w:hAnsi="Times New Roman" w:cs="Times New Roman"/>
                <w:sz w:val="20"/>
                <w:szCs w:val="20"/>
                <w:lang w:eastAsia="en-AU"/>
              </w:rPr>
            </w:pPr>
          </w:p>
        </w:tc>
      </w:tr>
      <w:tr w:rsidR="00BC5219" w:rsidRPr="00EB1781" w14:paraId="52311D04" w14:textId="77777777" w:rsidTr="00E83802">
        <w:trPr>
          <w:trHeight w:val="240"/>
        </w:trPr>
        <w:tc>
          <w:tcPr>
            <w:tcW w:w="7136" w:type="dxa"/>
            <w:tcBorders>
              <w:top w:val="nil"/>
              <w:left w:val="nil"/>
              <w:bottom w:val="nil"/>
              <w:right w:val="nil"/>
            </w:tcBorders>
            <w:shd w:val="clear" w:color="auto" w:fill="auto"/>
            <w:noWrap/>
            <w:vAlign w:val="center"/>
            <w:hideMark/>
          </w:tcPr>
          <w:p w14:paraId="09857CF7" w14:textId="77777777" w:rsidR="00BC5219" w:rsidRPr="00EB1781" w:rsidRDefault="00BC5219" w:rsidP="00E83802">
            <w:pPr>
              <w:rPr>
                <w:rFonts w:ascii="Meta Pro" w:eastAsia="Times New Roman" w:hAnsi="Meta Pro"/>
                <w:szCs w:val="18"/>
                <w:lang w:eastAsia="en-AU"/>
              </w:rPr>
            </w:pPr>
            <w:r w:rsidRPr="00EB1781">
              <w:rPr>
                <w:rFonts w:ascii="Meta Pro" w:eastAsia="Times New Roman" w:hAnsi="Meta Pro"/>
                <w:szCs w:val="18"/>
                <w:lang w:eastAsia="en-AU"/>
              </w:rPr>
              <w:t xml:space="preserve">Accounting profit before tax </w:t>
            </w:r>
          </w:p>
        </w:tc>
        <w:tc>
          <w:tcPr>
            <w:tcW w:w="1156" w:type="dxa"/>
            <w:tcBorders>
              <w:top w:val="nil"/>
              <w:left w:val="nil"/>
              <w:bottom w:val="single" w:sz="4" w:space="0" w:color="auto"/>
              <w:right w:val="nil"/>
            </w:tcBorders>
            <w:shd w:val="clear" w:color="000000" w:fill="C9E3B4"/>
            <w:noWrap/>
            <w:vAlign w:val="center"/>
            <w:hideMark/>
          </w:tcPr>
          <w:p w14:paraId="6117D869" w14:textId="77777777" w:rsidR="00BC5219" w:rsidRPr="00EB1781" w:rsidRDefault="00BC5219" w:rsidP="00E83802">
            <w:pPr>
              <w:jc w:val="right"/>
              <w:rPr>
                <w:rFonts w:ascii="Meta Pro" w:eastAsia="Times New Roman" w:hAnsi="Meta Pro"/>
                <w:szCs w:val="18"/>
                <w:lang w:eastAsia="en-AU"/>
              </w:rPr>
            </w:pPr>
            <w:r w:rsidRPr="00EB1781">
              <w:rPr>
                <w:rFonts w:ascii="Meta Pro" w:eastAsia="Times New Roman" w:hAnsi="Meta Pro"/>
                <w:szCs w:val="18"/>
                <w:lang w:eastAsia="en-AU"/>
              </w:rPr>
              <w:t xml:space="preserve">29,893 </w:t>
            </w:r>
          </w:p>
        </w:tc>
        <w:tc>
          <w:tcPr>
            <w:tcW w:w="216" w:type="dxa"/>
            <w:tcBorders>
              <w:top w:val="nil"/>
              <w:left w:val="nil"/>
              <w:bottom w:val="nil"/>
              <w:right w:val="nil"/>
            </w:tcBorders>
            <w:shd w:val="clear" w:color="auto" w:fill="auto"/>
            <w:noWrap/>
            <w:vAlign w:val="center"/>
            <w:hideMark/>
          </w:tcPr>
          <w:p w14:paraId="6AD61553" w14:textId="77777777" w:rsidR="00BC5219" w:rsidRPr="00EB1781"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31FD018C" w14:textId="77777777" w:rsidR="00BC5219" w:rsidRPr="00EB1781" w:rsidRDefault="00BC5219" w:rsidP="00E83802">
            <w:pPr>
              <w:jc w:val="right"/>
              <w:rPr>
                <w:rFonts w:ascii="Meta Pro" w:eastAsia="Times New Roman" w:hAnsi="Meta Pro"/>
                <w:szCs w:val="18"/>
                <w:lang w:eastAsia="en-AU"/>
              </w:rPr>
            </w:pPr>
            <w:r w:rsidRPr="00EB1781">
              <w:rPr>
                <w:rFonts w:ascii="Meta Pro" w:eastAsia="Times New Roman" w:hAnsi="Meta Pro"/>
                <w:szCs w:val="18"/>
                <w:lang w:eastAsia="en-AU"/>
              </w:rPr>
              <w:t xml:space="preserve">33,580 </w:t>
            </w:r>
          </w:p>
        </w:tc>
      </w:tr>
      <w:tr w:rsidR="00BC5219" w:rsidRPr="00EB1781" w14:paraId="41D0498B" w14:textId="77777777" w:rsidTr="00E83802">
        <w:trPr>
          <w:trHeight w:val="240"/>
        </w:trPr>
        <w:tc>
          <w:tcPr>
            <w:tcW w:w="7136" w:type="dxa"/>
            <w:tcBorders>
              <w:top w:val="single" w:sz="4" w:space="0" w:color="auto"/>
              <w:left w:val="nil"/>
              <w:bottom w:val="nil"/>
              <w:right w:val="nil"/>
            </w:tcBorders>
            <w:shd w:val="clear" w:color="auto" w:fill="auto"/>
            <w:noWrap/>
            <w:vAlign w:val="center"/>
            <w:hideMark/>
          </w:tcPr>
          <w:p w14:paraId="41331565" w14:textId="77777777" w:rsidR="00BC5219" w:rsidRPr="00EB1781" w:rsidRDefault="00BC5219" w:rsidP="00E83802">
            <w:pPr>
              <w:rPr>
                <w:rFonts w:ascii="Meta Pro" w:eastAsia="Times New Roman" w:hAnsi="Meta Pro"/>
                <w:szCs w:val="18"/>
                <w:lang w:eastAsia="en-AU"/>
              </w:rPr>
            </w:pPr>
            <w:r w:rsidRPr="00EB1781">
              <w:rPr>
                <w:rFonts w:ascii="Meta Pro" w:eastAsia="Times New Roman" w:hAnsi="Meta Pro"/>
                <w:szCs w:val="18"/>
                <w:lang w:eastAsia="en-AU"/>
              </w:rPr>
              <w:t>Prima facie tax at applicable rate of 30%</w:t>
            </w:r>
          </w:p>
        </w:tc>
        <w:tc>
          <w:tcPr>
            <w:tcW w:w="1156" w:type="dxa"/>
            <w:tcBorders>
              <w:top w:val="nil"/>
              <w:left w:val="nil"/>
              <w:bottom w:val="nil"/>
              <w:right w:val="nil"/>
            </w:tcBorders>
            <w:shd w:val="clear" w:color="000000" w:fill="C9E3B4"/>
            <w:noWrap/>
            <w:vAlign w:val="center"/>
            <w:hideMark/>
          </w:tcPr>
          <w:p w14:paraId="5FC88F98" w14:textId="77777777" w:rsidR="00BC5219" w:rsidRPr="00EB1781" w:rsidRDefault="00BC5219" w:rsidP="00E83802">
            <w:pPr>
              <w:jc w:val="right"/>
              <w:rPr>
                <w:rFonts w:ascii="Meta Pro" w:eastAsia="Times New Roman" w:hAnsi="Meta Pro"/>
                <w:szCs w:val="18"/>
                <w:lang w:eastAsia="en-AU"/>
              </w:rPr>
            </w:pPr>
            <w:r w:rsidRPr="00EB1781">
              <w:rPr>
                <w:rFonts w:ascii="Meta Pro" w:eastAsia="Times New Roman" w:hAnsi="Meta Pro"/>
                <w:szCs w:val="18"/>
                <w:lang w:eastAsia="en-AU"/>
              </w:rPr>
              <w:t xml:space="preserve">8,968 </w:t>
            </w:r>
          </w:p>
        </w:tc>
        <w:tc>
          <w:tcPr>
            <w:tcW w:w="216" w:type="dxa"/>
            <w:tcBorders>
              <w:top w:val="single" w:sz="4" w:space="0" w:color="auto"/>
              <w:left w:val="nil"/>
              <w:bottom w:val="nil"/>
              <w:right w:val="nil"/>
            </w:tcBorders>
            <w:shd w:val="clear" w:color="auto" w:fill="auto"/>
            <w:noWrap/>
            <w:vAlign w:val="center"/>
            <w:hideMark/>
          </w:tcPr>
          <w:p w14:paraId="2C399422" w14:textId="77777777" w:rsidR="00BC5219" w:rsidRPr="00EB1781" w:rsidRDefault="00BC5219" w:rsidP="00E83802">
            <w:pPr>
              <w:jc w:val="right"/>
              <w:rPr>
                <w:rFonts w:ascii="Meta Pro" w:eastAsia="Times New Roman" w:hAnsi="Meta Pro"/>
                <w:szCs w:val="18"/>
                <w:lang w:eastAsia="en-AU"/>
              </w:rPr>
            </w:pPr>
            <w:r w:rsidRPr="00EB1781">
              <w:rPr>
                <w:rFonts w:ascii="Meta Pro" w:eastAsia="Times New Roman" w:hAnsi="Meta Pro"/>
                <w:szCs w:val="18"/>
                <w:lang w:eastAsia="en-AU"/>
              </w:rPr>
              <w:t> </w:t>
            </w:r>
          </w:p>
        </w:tc>
        <w:tc>
          <w:tcPr>
            <w:tcW w:w="1156" w:type="dxa"/>
            <w:tcBorders>
              <w:top w:val="single" w:sz="4" w:space="0" w:color="auto"/>
              <w:left w:val="nil"/>
              <w:bottom w:val="nil"/>
              <w:right w:val="nil"/>
            </w:tcBorders>
            <w:shd w:val="clear" w:color="auto" w:fill="auto"/>
            <w:noWrap/>
            <w:vAlign w:val="center"/>
            <w:hideMark/>
          </w:tcPr>
          <w:p w14:paraId="37F4B4FE" w14:textId="77777777" w:rsidR="00BC5219" w:rsidRPr="00EB1781" w:rsidRDefault="00BC5219" w:rsidP="00E83802">
            <w:pPr>
              <w:jc w:val="right"/>
              <w:rPr>
                <w:rFonts w:ascii="Meta Pro" w:eastAsia="Times New Roman" w:hAnsi="Meta Pro"/>
                <w:szCs w:val="18"/>
                <w:lang w:eastAsia="en-AU"/>
              </w:rPr>
            </w:pPr>
            <w:r w:rsidRPr="00EB1781">
              <w:rPr>
                <w:rFonts w:ascii="Meta Pro" w:eastAsia="Times New Roman" w:hAnsi="Meta Pro"/>
                <w:szCs w:val="18"/>
                <w:lang w:eastAsia="en-AU"/>
              </w:rPr>
              <w:t xml:space="preserve">10,074 </w:t>
            </w:r>
          </w:p>
        </w:tc>
      </w:tr>
      <w:tr w:rsidR="00BC5219" w:rsidRPr="00EB1781" w14:paraId="78E9A08E" w14:textId="77777777" w:rsidTr="00E83802">
        <w:trPr>
          <w:trHeight w:val="240"/>
        </w:trPr>
        <w:tc>
          <w:tcPr>
            <w:tcW w:w="7136" w:type="dxa"/>
            <w:tcBorders>
              <w:top w:val="nil"/>
              <w:left w:val="nil"/>
              <w:bottom w:val="nil"/>
              <w:right w:val="nil"/>
            </w:tcBorders>
            <w:shd w:val="clear" w:color="auto" w:fill="auto"/>
            <w:noWrap/>
            <w:vAlign w:val="center"/>
            <w:hideMark/>
          </w:tcPr>
          <w:p w14:paraId="6EA22818" w14:textId="77777777" w:rsidR="00BC5219" w:rsidRPr="00EB1781" w:rsidRDefault="00BC5219" w:rsidP="00E83802">
            <w:pPr>
              <w:rPr>
                <w:rFonts w:ascii="Meta Pro" w:eastAsia="Times New Roman" w:hAnsi="Meta Pro"/>
                <w:szCs w:val="18"/>
                <w:lang w:eastAsia="en-AU"/>
              </w:rPr>
            </w:pPr>
            <w:r w:rsidRPr="00EB1781">
              <w:rPr>
                <w:rFonts w:ascii="Meta Pro" w:eastAsia="Times New Roman" w:hAnsi="Meta Pro"/>
                <w:szCs w:val="18"/>
                <w:lang w:eastAsia="en-AU"/>
              </w:rPr>
              <w:t>Adjustments for non-temporary differences and excluded temporary differences:</w:t>
            </w:r>
          </w:p>
        </w:tc>
        <w:tc>
          <w:tcPr>
            <w:tcW w:w="1156" w:type="dxa"/>
            <w:tcBorders>
              <w:top w:val="nil"/>
              <w:left w:val="nil"/>
              <w:bottom w:val="nil"/>
              <w:right w:val="nil"/>
            </w:tcBorders>
            <w:shd w:val="clear" w:color="000000" w:fill="C9E3B4"/>
            <w:noWrap/>
            <w:vAlign w:val="center"/>
            <w:hideMark/>
          </w:tcPr>
          <w:p w14:paraId="5DE90F50" w14:textId="77777777" w:rsidR="00BC5219" w:rsidRPr="00EB1781" w:rsidRDefault="00BC5219" w:rsidP="00E83802">
            <w:pPr>
              <w:rPr>
                <w:rFonts w:ascii="Meta Pro" w:eastAsia="Times New Roman" w:hAnsi="Meta Pro"/>
                <w:szCs w:val="18"/>
                <w:lang w:eastAsia="en-AU"/>
              </w:rPr>
            </w:pPr>
            <w:r w:rsidRPr="00EB1781">
              <w:rPr>
                <w:rFonts w:ascii="Meta Pro" w:eastAsia="Times New Roman" w:hAnsi="Meta Pro"/>
                <w:szCs w:val="18"/>
                <w:lang w:eastAsia="en-AU"/>
              </w:rPr>
              <w:t> </w:t>
            </w:r>
          </w:p>
        </w:tc>
        <w:tc>
          <w:tcPr>
            <w:tcW w:w="216" w:type="dxa"/>
            <w:tcBorders>
              <w:top w:val="nil"/>
              <w:left w:val="nil"/>
              <w:bottom w:val="nil"/>
              <w:right w:val="nil"/>
            </w:tcBorders>
            <w:shd w:val="clear" w:color="auto" w:fill="auto"/>
            <w:noWrap/>
            <w:vAlign w:val="center"/>
            <w:hideMark/>
          </w:tcPr>
          <w:p w14:paraId="50FD4DCC" w14:textId="77777777" w:rsidR="00BC5219" w:rsidRPr="00EB1781" w:rsidRDefault="00BC5219" w:rsidP="00E83802">
            <w:pPr>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209E6DDE" w14:textId="77777777" w:rsidR="00BC5219" w:rsidRPr="00EB1781" w:rsidRDefault="00BC5219" w:rsidP="00E83802">
            <w:pPr>
              <w:jc w:val="right"/>
              <w:rPr>
                <w:rFonts w:ascii="Times New Roman" w:eastAsia="Times New Roman" w:hAnsi="Times New Roman" w:cs="Times New Roman"/>
                <w:sz w:val="20"/>
                <w:szCs w:val="20"/>
                <w:lang w:eastAsia="en-AU"/>
              </w:rPr>
            </w:pPr>
          </w:p>
        </w:tc>
      </w:tr>
      <w:tr w:rsidR="00BC5219" w:rsidRPr="00EB1781" w14:paraId="5A34A66E" w14:textId="77777777" w:rsidTr="00E83802">
        <w:trPr>
          <w:trHeight w:val="240"/>
        </w:trPr>
        <w:tc>
          <w:tcPr>
            <w:tcW w:w="7136" w:type="dxa"/>
            <w:tcBorders>
              <w:top w:val="nil"/>
              <w:left w:val="nil"/>
              <w:bottom w:val="nil"/>
              <w:right w:val="nil"/>
            </w:tcBorders>
            <w:shd w:val="clear" w:color="auto" w:fill="auto"/>
            <w:noWrap/>
            <w:vAlign w:val="center"/>
            <w:hideMark/>
          </w:tcPr>
          <w:p w14:paraId="35C16FA8" w14:textId="77777777" w:rsidR="00BC5219" w:rsidRPr="00EB1781" w:rsidRDefault="00BC5219" w:rsidP="00E83802">
            <w:pPr>
              <w:rPr>
                <w:rFonts w:ascii="Meta Pro" w:eastAsia="Times New Roman" w:hAnsi="Meta Pro"/>
                <w:szCs w:val="18"/>
                <w:lang w:eastAsia="en-AU"/>
              </w:rPr>
            </w:pPr>
            <w:r w:rsidRPr="00EB1781">
              <w:rPr>
                <w:rFonts w:ascii="Meta Pro" w:eastAsia="Times New Roman" w:hAnsi="Meta Pro"/>
                <w:szCs w:val="18"/>
                <w:lang w:eastAsia="en-AU"/>
              </w:rPr>
              <w:t xml:space="preserve">  Other non-deductible expenses</w:t>
            </w:r>
          </w:p>
        </w:tc>
        <w:tc>
          <w:tcPr>
            <w:tcW w:w="1156" w:type="dxa"/>
            <w:tcBorders>
              <w:top w:val="nil"/>
              <w:left w:val="nil"/>
              <w:bottom w:val="nil"/>
              <w:right w:val="nil"/>
            </w:tcBorders>
            <w:shd w:val="clear" w:color="000000" w:fill="C9E3B4"/>
            <w:noWrap/>
            <w:vAlign w:val="center"/>
            <w:hideMark/>
          </w:tcPr>
          <w:p w14:paraId="58E55479" w14:textId="77777777" w:rsidR="00BC5219" w:rsidRPr="00EB1781" w:rsidRDefault="00BC5219" w:rsidP="00E83802">
            <w:pPr>
              <w:jc w:val="right"/>
              <w:rPr>
                <w:rFonts w:ascii="Meta Pro" w:eastAsia="Times New Roman" w:hAnsi="Meta Pro"/>
                <w:szCs w:val="18"/>
                <w:lang w:eastAsia="en-AU"/>
              </w:rPr>
            </w:pPr>
            <w:r w:rsidRPr="00EB1781">
              <w:rPr>
                <w:rFonts w:ascii="Meta Pro" w:eastAsia="Times New Roman" w:hAnsi="Meta Pro"/>
                <w:szCs w:val="18"/>
                <w:lang w:eastAsia="en-AU"/>
              </w:rPr>
              <w:t xml:space="preserve">- </w:t>
            </w:r>
          </w:p>
        </w:tc>
        <w:tc>
          <w:tcPr>
            <w:tcW w:w="216" w:type="dxa"/>
            <w:tcBorders>
              <w:top w:val="nil"/>
              <w:left w:val="nil"/>
              <w:bottom w:val="nil"/>
              <w:right w:val="nil"/>
            </w:tcBorders>
            <w:shd w:val="clear" w:color="auto" w:fill="auto"/>
            <w:noWrap/>
            <w:vAlign w:val="center"/>
            <w:hideMark/>
          </w:tcPr>
          <w:p w14:paraId="70E69AFE" w14:textId="77777777" w:rsidR="00BC5219" w:rsidRPr="00EB1781"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59D4F7D6" w14:textId="77777777" w:rsidR="00BC5219" w:rsidRPr="00EB1781" w:rsidRDefault="00BC5219" w:rsidP="00E83802">
            <w:pPr>
              <w:jc w:val="right"/>
              <w:rPr>
                <w:rFonts w:ascii="Meta Pro" w:eastAsia="Times New Roman" w:hAnsi="Meta Pro"/>
                <w:szCs w:val="18"/>
                <w:lang w:eastAsia="en-AU"/>
              </w:rPr>
            </w:pPr>
            <w:r w:rsidRPr="00EB1781">
              <w:rPr>
                <w:rFonts w:ascii="Meta Pro" w:eastAsia="Times New Roman" w:hAnsi="Meta Pro"/>
                <w:szCs w:val="18"/>
                <w:lang w:eastAsia="en-AU"/>
              </w:rPr>
              <w:t>(18)</w:t>
            </w:r>
          </w:p>
        </w:tc>
      </w:tr>
      <w:tr w:rsidR="00BC5219" w:rsidRPr="00EB1781" w14:paraId="07E91336" w14:textId="77777777" w:rsidTr="00E83802">
        <w:trPr>
          <w:trHeight w:val="240"/>
        </w:trPr>
        <w:tc>
          <w:tcPr>
            <w:tcW w:w="7136" w:type="dxa"/>
            <w:tcBorders>
              <w:top w:val="nil"/>
              <w:left w:val="nil"/>
              <w:bottom w:val="nil"/>
              <w:right w:val="nil"/>
            </w:tcBorders>
            <w:shd w:val="clear" w:color="auto" w:fill="auto"/>
            <w:noWrap/>
            <w:vAlign w:val="center"/>
            <w:hideMark/>
          </w:tcPr>
          <w:p w14:paraId="30E1B410" w14:textId="77777777" w:rsidR="00BC5219" w:rsidRPr="00EB1781" w:rsidRDefault="00BC5219" w:rsidP="00E83802">
            <w:pPr>
              <w:rPr>
                <w:rFonts w:ascii="Meta Pro" w:eastAsia="Times New Roman" w:hAnsi="Meta Pro"/>
                <w:szCs w:val="18"/>
                <w:lang w:eastAsia="en-AU"/>
              </w:rPr>
            </w:pPr>
            <w:r w:rsidRPr="00EB1781">
              <w:rPr>
                <w:rFonts w:ascii="Meta Pro" w:eastAsia="Times New Roman" w:hAnsi="Meta Pro"/>
                <w:szCs w:val="18"/>
                <w:lang w:eastAsia="en-AU"/>
              </w:rPr>
              <w:t xml:space="preserve">  Deductible temporary differences not recognised</w:t>
            </w:r>
          </w:p>
        </w:tc>
        <w:tc>
          <w:tcPr>
            <w:tcW w:w="1156" w:type="dxa"/>
            <w:tcBorders>
              <w:top w:val="nil"/>
              <w:left w:val="nil"/>
              <w:bottom w:val="nil"/>
              <w:right w:val="nil"/>
            </w:tcBorders>
            <w:shd w:val="clear" w:color="000000" w:fill="C9E3B4"/>
            <w:noWrap/>
            <w:vAlign w:val="center"/>
            <w:hideMark/>
          </w:tcPr>
          <w:p w14:paraId="5DC58514" w14:textId="77777777" w:rsidR="00BC5219" w:rsidRPr="00EB1781" w:rsidRDefault="00BC5219" w:rsidP="00E83802">
            <w:pPr>
              <w:jc w:val="right"/>
              <w:rPr>
                <w:rFonts w:ascii="Meta Pro" w:eastAsia="Times New Roman" w:hAnsi="Meta Pro"/>
                <w:szCs w:val="18"/>
                <w:lang w:eastAsia="en-AU"/>
              </w:rPr>
            </w:pPr>
            <w:r w:rsidRPr="00EB1781">
              <w:rPr>
                <w:rFonts w:ascii="Meta Pro" w:eastAsia="Times New Roman" w:hAnsi="Meta Pro"/>
                <w:szCs w:val="18"/>
                <w:lang w:eastAsia="en-AU"/>
              </w:rPr>
              <w:t xml:space="preserve">249 </w:t>
            </w:r>
          </w:p>
        </w:tc>
        <w:tc>
          <w:tcPr>
            <w:tcW w:w="216" w:type="dxa"/>
            <w:tcBorders>
              <w:top w:val="nil"/>
              <w:left w:val="nil"/>
              <w:bottom w:val="nil"/>
              <w:right w:val="nil"/>
            </w:tcBorders>
            <w:shd w:val="clear" w:color="auto" w:fill="auto"/>
            <w:noWrap/>
            <w:vAlign w:val="center"/>
            <w:hideMark/>
          </w:tcPr>
          <w:p w14:paraId="7D8F441A" w14:textId="77777777" w:rsidR="00BC5219" w:rsidRPr="00EB1781"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7C34929A" w14:textId="77777777" w:rsidR="00BC5219" w:rsidRPr="00EB1781" w:rsidRDefault="00BC5219" w:rsidP="00E83802">
            <w:pPr>
              <w:jc w:val="right"/>
              <w:rPr>
                <w:rFonts w:ascii="Meta Pro" w:eastAsia="Times New Roman" w:hAnsi="Meta Pro"/>
                <w:szCs w:val="18"/>
                <w:lang w:eastAsia="en-AU"/>
              </w:rPr>
            </w:pPr>
            <w:r w:rsidRPr="00EB1781">
              <w:rPr>
                <w:rFonts w:ascii="Meta Pro" w:eastAsia="Times New Roman" w:hAnsi="Meta Pro"/>
                <w:szCs w:val="18"/>
                <w:lang w:eastAsia="en-AU"/>
              </w:rPr>
              <w:t>-</w:t>
            </w:r>
          </w:p>
        </w:tc>
      </w:tr>
      <w:tr w:rsidR="00BC5219" w:rsidRPr="00EB1781" w14:paraId="42765515" w14:textId="77777777" w:rsidTr="00E83802">
        <w:trPr>
          <w:trHeight w:val="240"/>
        </w:trPr>
        <w:tc>
          <w:tcPr>
            <w:tcW w:w="7136" w:type="dxa"/>
            <w:tcBorders>
              <w:top w:val="nil"/>
              <w:left w:val="nil"/>
              <w:bottom w:val="nil"/>
              <w:right w:val="nil"/>
            </w:tcBorders>
            <w:shd w:val="clear" w:color="auto" w:fill="auto"/>
            <w:noWrap/>
            <w:vAlign w:val="center"/>
            <w:hideMark/>
          </w:tcPr>
          <w:p w14:paraId="1392BC70" w14:textId="77777777" w:rsidR="00BC5219" w:rsidRPr="00EB1781" w:rsidRDefault="00BC5219" w:rsidP="00E83802">
            <w:pPr>
              <w:rPr>
                <w:rFonts w:ascii="Meta Pro" w:eastAsia="Times New Roman" w:hAnsi="Meta Pro"/>
                <w:szCs w:val="18"/>
                <w:lang w:eastAsia="en-AU"/>
              </w:rPr>
            </w:pPr>
            <w:r w:rsidRPr="00EB1781">
              <w:rPr>
                <w:rFonts w:ascii="Meta Pro" w:eastAsia="Times New Roman" w:hAnsi="Meta Pro"/>
                <w:szCs w:val="18"/>
                <w:lang w:eastAsia="en-AU"/>
              </w:rPr>
              <w:t xml:space="preserve">  Effect of tax losses recognised</w:t>
            </w:r>
          </w:p>
        </w:tc>
        <w:tc>
          <w:tcPr>
            <w:tcW w:w="1156" w:type="dxa"/>
            <w:tcBorders>
              <w:top w:val="nil"/>
              <w:left w:val="nil"/>
              <w:bottom w:val="nil"/>
              <w:right w:val="nil"/>
            </w:tcBorders>
            <w:shd w:val="clear" w:color="000000" w:fill="C9E3B4"/>
            <w:noWrap/>
            <w:vAlign w:val="center"/>
            <w:hideMark/>
          </w:tcPr>
          <w:p w14:paraId="7F53C28A" w14:textId="77777777" w:rsidR="00BC5219" w:rsidRPr="00EB1781" w:rsidRDefault="00BC5219" w:rsidP="00E83802">
            <w:pPr>
              <w:jc w:val="right"/>
              <w:rPr>
                <w:rFonts w:ascii="Meta Pro" w:eastAsia="Times New Roman" w:hAnsi="Meta Pro"/>
                <w:szCs w:val="18"/>
                <w:lang w:eastAsia="en-AU"/>
              </w:rPr>
            </w:pPr>
            <w:r w:rsidRPr="00EB1781">
              <w:rPr>
                <w:rFonts w:ascii="Meta Pro" w:eastAsia="Times New Roman" w:hAnsi="Meta Pro"/>
                <w:szCs w:val="18"/>
                <w:lang w:eastAsia="en-AU"/>
              </w:rPr>
              <w:t>(1,675)</w:t>
            </w:r>
          </w:p>
        </w:tc>
        <w:tc>
          <w:tcPr>
            <w:tcW w:w="216" w:type="dxa"/>
            <w:tcBorders>
              <w:top w:val="nil"/>
              <w:left w:val="nil"/>
              <w:bottom w:val="nil"/>
              <w:right w:val="nil"/>
            </w:tcBorders>
            <w:shd w:val="clear" w:color="auto" w:fill="auto"/>
            <w:noWrap/>
            <w:vAlign w:val="center"/>
            <w:hideMark/>
          </w:tcPr>
          <w:p w14:paraId="4B5B2EA1" w14:textId="77777777" w:rsidR="00BC5219" w:rsidRPr="00EB1781"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0418B221" w14:textId="77777777" w:rsidR="00BC5219" w:rsidRPr="00EB1781" w:rsidRDefault="00BC5219" w:rsidP="00E83802">
            <w:pPr>
              <w:jc w:val="right"/>
              <w:rPr>
                <w:rFonts w:ascii="Meta Pro" w:eastAsia="Times New Roman" w:hAnsi="Meta Pro"/>
                <w:szCs w:val="18"/>
                <w:lang w:eastAsia="en-AU"/>
              </w:rPr>
            </w:pPr>
            <w:r w:rsidRPr="00EB1781">
              <w:rPr>
                <w:rFonts w:ascii="Meta Pro" w:eastAsia="Times New Roman" w:hAnsi="Meta Pro"/>
                <w:szCs w:val="18"/>
                <w:lang w:eastAsia="en-AU"/>
              </w:rPr>
              <w:t xml:space="preserve">- </w:t>
            </w:r>
          </w:p>
        </w:tc>
      </w:tr>
      <w:tr w:rsidR="00BC5219" w:rsidRPr="00EB1781" w14:paraId="37168428" w14:textId="77777777" w:rsidTr="00E83802">
        <w:trPr>
          <w:trHeight w:val="240"/>
        </w:trPr>
        <w:tc>
          <w:tcPr>
            <w:tcW w:w="7136" w:type="dxa"/>
            <w:tcBorders>
              <w:top w:val="nil"/>
              <w:left w:val="nil"/>
              <w:bottom w:val="nil"/>
              <w:right w:val="nil"/>
            </w:tcBorders>
            <w:shd w:val="clear" w:color="auto" w:fill="auto"/>
            <w:noWrap/>
            <w:vAlign w:val="center"/>
            <w:hideMark/>
          </w:tcPr>
          <w:p w14:paraId="50AAF034" w14:textId="77777777" w:rsidR="00BC5219" w:rsidRPr="00EB1781" w:rsidRDefault="00BC5219" w:rsidP="00E83802">
            <w:pPr>
              <w:rPr>
                <w:rFonts w:ascii="Meta Pro" w:eastAsia="Times New Roman" w:hAnsi="Meta Pro"/>
                <w:szCs w:val="18"/>
                <w:lang w:eastAsia="en-AU"/>
              </w:rPr>
            </w:pPr>
            <w:r w:rsidRPr="00EB1781">
              <w:rPr>
                <w:rFonts w:ascii="Meta Pro" w:eastAsia="Times New Roman" w:hAnsi="Meta Pro"/>
                <w:szCs w:val="18"/>
                <w:lang w:eastAsia="en-AU"/>
              </w:rPr>
              <w:t xml:space="preserve">  Under provision in previous years</w:t>
            </w:r>
          </w:p>
        </w:tc>
        <w:tc>
          <w:tcPr>
            <w:tcW w:w="1156" w:type="dxa"/>
            <w:tcBorders>
              <w:top w:val="nil"/>
              <w:left w:val="nil"/>
              <w:bottom w:val="nil"/>
              <w:right w:val="nil"/>
            </w:tcBorders>
            <w:shd w:val="clear" w:color="000000" w:fill="C9E3B4"/>
            <w:noWrap/>
            <w:vAlign w:val="center"/>
            <w:hideMark/>
          </w:tcPr>
          <w:p w14:paraId="48CDD21B" w14:textId="77777777" w:rsidR="00BC5219" w:rsidRPr="00EB1781" w:rsidRDefault="00BC5219" w:rsidP="00E83802">
            <w:pPr>
              <w:jc w:val="right"/>
              <w:rPr>
                <w:rFonts w:ascii="Meta Pro" w:eastAsia="Times New Roman" w:hAnsi="Meta Pro"/>
                <w:szCs w:val="18"/>
                <w:lang w:eastAsia="en-AU"/>
              </w:rPr>
            </w:pPr>
            <w:r w:rsidRPr="00EB1781">
              <w:rPr>
                <w:rFonts w:ascii="Meta Pro" w:eastAsia="Times New Roman" w:hAnsi="Meta Pro"/>
                <w:szCs w:val="18"/>
                <w:lang w:eastAsia="en-AU"/>
              </w:rPr>
              <w:t xml:space="preserve">160 </w:t>
            </w:r>
          </w:p>
        </w:tc>
        <w:tc>
          <w:tcPr>
            <w:tcW w:w="216" w:type="dxa"/>
            <w:tcBorders>
              <w:top w:val="nil"/>
              <w:left w:val="nil"/>
              <w:bottom w:val="nil"/>
              <w:right w:val="nil"/>
            </w:tcBorders>
            <w:shd w:val="clear" w:color="auto" w:fill="auto"/>
            <w:noWrap/>
            <w:vAlign w:val="center"/>
            <w:hideMark/>
          </w:tcPr>
          <w:p w14:paraId="1B024022" w14:textId="77777777" w:rsidR="00BC5219" w:rsidRPr="00EB1781"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40632886" w14:textId="77777777" w:rsidR="00BC5219" w:rsidRPr="00EB1781" w:rsidRDefault="00BC5219" w:rsidP="00E83802">
            <w:pPr>
              <w:jc w:val="right"/>
              <w:rPr>
                <w:rFonts w:ascii="Meta Pro" w:eastAsia="Times New Roman" w:hAnsi="Meta Pro"/>
                <w:szCs w:val="18"/>
                <w:lang w:eastAsia="en-AU"/>
              </w:rPr>
            </w:pPr>
            <w:r w:rsidRPr="00EB1781">
              <w:rPr>
                <w:rFonts w:ascii="Meta Pro" w:eastAsia="Times New Roman" w:hAnsi="Meta Pro"/>
                <w:szCs w:val="18"/>
                <w:lang w:eastAsia="en-AU"/>
              </w:rPr>
              <w:t xml:space="preserve">6,204 </w:t>
            </w:r>
          </w:p>
        </w:tc>
      </w:tr>
      <w:tr w:rsidR="00BC5219" w:rsidRPr="00EB1781" w14:paraId="16915500" w14:textId="77777777" w:rsidTr="00E83802">
        <w:trPr>
          <w:trHeight w:val="240"/>
        </w:trPr>
        <w:tc>
          <w:tcPr>
            <w:tcW w:w="7136" w:type="dxa"/>
            <w:tcBorders>
              <w:top w:val="single" w:sz="4" w:space="0" w:color="auto"/>
              <w:left w:val="nil"/>
              <w:bottom w:val="double" w:sz="6" w:space="0" w:color="auto"/>
              <w:right w:val="nil"/>
            </w:tcBorders>
            <w:shd w:val="clear" w:color="auto" w:fill="auto"/>
            <w:noWrap/>
            <w:vAlign w:val="center"/>
            <w:hideMark/>
          </w:tcPr>
          <w:p w14:paraId="75D8C673" w14:textId="77777777" w:rsidR="00BC5219" w:rsidRPr="00EB1781" w:rsidRDefault="00BC5219" w:rsidP="00E83802">
            <w:pPr>
              <w:rPr>
                <w:rFonts w:ascii="Meta Pro" w:eastAsia="Times New Roman" w:hAnsi="Meta Pro"/>
                <w:b/>
                <w:bCs/>
                <w:szCs w:val="18"/>
                <w:lang w:eastAsia="en-AU"/>
              </w:rPr>
            </w:pPr>
            <w:r w:rsidRPr="00EB1781">
              <w:rPr>
                <w:rFonts w:ascii="Meta Pro" w:eastAsia="Times New Roman" w:hAnsi="Meta Pro"/>
                <w:b/>
                <w:bCs/>
                <w:szCs w:val="18"/>
                <w:lang w:eastAsia="en-AU"/>
              </w:rPr>
              <w:t xml:space="preserve">Income tax equivalent expense attributable to profit from ordinary activities </w:t>
            </w:r>
          </w:p>
        </w:tc>
        <w:tc>
          <w:tcPr>
            <w:tcW w:w="1156" w:type="dxa"/>
            <w:tcBorders>
              <w:top w:val="single" w:sz="4" w:space="0" w:color="auto"/>
              <w:left w:val="nil"/>
              <w:bottom w:val="double" w:sz="6" w:space="0" w:color="auto"/>
              <w:right w:val="nil"/>
            </w:tcBorders>
            <w:shd w:val="clear" w:color="000000" w:fill="C9E3B4"/>
            <w:noWrap/>
            <w:vAlign w:val="center"/>
            <w:hideMark/>
          </w:tcPr>
          <w:p w14:paraId="18421467" w14:textId="77777777" w:rsidR="00BC5219" w:rsidRPr="00EB1781" w:rsidRDefault="00BC5219" w:rsidP="00E83802">
            <w:pPr>
              <w:jc w:val="right"/>
              <w:rPr>
                <w:rFonts w:ascii="Meta Pro" w:eastAsia="Times New Roman" w:hAnsi="Meta Pro"/>
                <w:b/>
                <w:bCs/>
                <w:szCs w:val="18"/>
                <w:lang w:eastAsia="en-AU"/>
              </w:rPr>
            </w:pPr>
            <w:r w:rsidRPr="00EB1781">
              <w:rPr>
                <w:rFonts w:ascii="Meta Pro" w:eastAsia="Times New Roman" w:hAnsi="Meta Pro"/>
                <w:b/>
                <w:bCs/>
                <w:szCs w:val="18"/>
                <w:lang w:eastAsia="en-AU"/>
              </w:rPr>
              <w:t xml:space="preserve">7,702 </w:t>
            </w:r>
          </w:p>
        </w:tc>
        <w:tc>
          <w:tcPr>
            <w:tcW w:w="216" w:type="dxa"/>
            <w:tcBorders>
              <w:top w:val="single" w:sz="4" w:space="0" w:color="auto"/>
              <w:left w:val="nil"/>
              <w:bottom w:val="double" w:sz="6" w:space="0" w:color="auto"/>
              <w:right w:val="nil"/>
            </w:tcBorders>
            <w:shd w:val="clear" w:color="auto" w:fill="auto"/>
            <w:noWrap/>
            <w:vAlign w:val="center"/>
            <w:hideMark/>
          </w:tcPr>
          <w:p w14:paraId="3A15792D" w14:textId="77777777" w:rsidR="00BC5219" w:rsidRPr="00EB1781" w:rsidRDefault="00BC5219" w:rsidP="00E83802">
            <w:pPr>
              <w:jc w:val="right"/>
              <w:rPr>
                <w:rFonts w:ascii="Meta Pro" w:eastAsia="Times New Roman" w:hAnsi="Meta Pro"/>
                <w:szCs w:val="18"/>
                <w:lang w:eastAsia="en-AU"/>
              </w:rPr>
            </w:pPr>
            <w:r w:rsidRPr="00EB1781">
              <w:rPr>
                <w:rFonts w:ascii="Meta Pro" w:eastAsia="Times New Roman" w:hAnsi="Meta Pro"/>
                <w:szCs w:val="18"/>
                <w:lang w:eastAsia="en-AU"/>
              </w:rPr>
              <w:t> </w:t>
            </w:r>
          </w:p>
        </w:tc>
        <w:tc>
          <w:tcPr>
            <w:tcW w:w="1156" w:type="dxa"/>
            <w:tcBorders>
              <w:top w:val="single" w:sz="4" w:space="0" w:color="auto"/>
              <w:left w:val="nil"/>
              <w:bottom w:val="double" w:sz="6" w:space="0" w:color="auto"/>
              <w:right w:val="nil"/>
            </w:tcBorders>
            <w:shd w:val="clear" w:color="auto" w:fill="auto"/>
            <w:noWrap/>
            <w:vAlign w:val="center"/>
            <w:hideMark/>
          </w:tcPr>
          <w:p w14:paraId="64D6914E" w14:textId="77777777" w:rsidR="00BC5219" w:rsidRPr="00EB1781" w:rsidRDefault="00BC5219" w:rsidP="00E83802">
            <w:pPr>
              <w:jc w:val="right"/>
              <w:rPr>
                <w:rFonts w:ascii="Meta Pro" w:eastAsia="Times New Roman" w:hAnsi="Meta Pro"/>
                <w:b/>
                <w:bCs/>
                <w:szCs w:val="18"/>
                <w:lang w:eastAsia="en-AU"/>
              </w:rPr>
            </w:pPr>
            <w:r w:rsidRPr="00EB1781">
              <w:rPr>
                <w:rFonts w:ascii="Meta Pro" w:eastAsia="Times New Roman" w:hAnsi="Meta Pro"/>
                <w:b/>
                <w:bCs/>
                <w:szCs w:val="18"/>
                <w:lang w:eastAsia="en-AU"/>
              </w:rPr>
              <w:t xml:space="preserve">16,260 </w:t>
            </w:r>
          </w:p>
        </w:tc>
      </w:tr>
      <w:tr w:rsidR="00BC5219" w:rsidRPr="00EB1781" w14:paraId="62E31A80" w14:textId="77777777" w:rsidTr="00E83802">
        <w:trPr>
          <w:trHeight w:val="240"/>
        </w:trPr>
        <w:tc>
          <w:tcPr>
            <w:tcW w:w="7136" w:type="dxa"/>
            <w:tcBorders>
              <w:top w:val="nil"/>
              <w:left w:val="nil"/>
              <w:bottom w:val="nil"/>
              <w:right w:val="nil"/>
            </w:tcBorders>
            <w:shd w:val="clear" w:color="auto" w:fill="auto"/>
            <w:noWrap/>
            <w:vAlign w:val="center"/>
            <w:hideMark/>
          </w:tcPr>
          <w:p w14:paraId="6076978C" w14:textId="77777777" w:rsidR="00BC5219" w:rsidRPr="00EB1781" w:rsidRDefault="00BC5219" w:rsidP="00E83802">
            <w:pPr>
              <w:jc w:val="right"/>
              <w:rPr>
                <w:rFonts w:ascii="Meta Pro" w:eastAsia="Times New Roman" w:hAnsi="Meta Pro"/>
                <w:b/>
                <w:bCs/>
                <w:szCs w:val="18"/>
                <w:lang w:eastAsia="en-AU"/>
              </w:rPr>
            </w:pPr>
          </w:p>
        </w:tc>
        <w:tc>
          <w:tcPr>
            <w:tcW w:w="1156" w:type="dxa"/>
            <w:tcBorders>
              <w:top w:val="nil"/>
              <w:left w:val="nil"/>
              <w:bottom w:val="nil"/>
              <w:right w:val="nil"/>
            </w:tcBorders>
            <w:shd w:val="clear" w:color="auto" w:fill="auto"/>
            <w:noWrap/>
            <w:vAlign w:val="center"/>
            <w:hideMark/>
          </w:tcPr>
          <w:p w14:paraId="40A0B8B1" w14:textId="77777777" w:rsidR="00BC5219" w:rsidRPr="00EB1781" w:rsidRDefault="00BC5219" w:rsidP="00E83802">
            <w:pPr>
              <w:rPr>
                <w:rFonts w:ascii="Times New Roman" w:eastAsia="Times New Roman" w:hAnsi="Times New Roman"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70DA282D" w14:textId="77777777" w:rsidR="00BC5219" w:rsidRPr="00EB1781"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7C444A4B" w14:textId="77777777" w:rsidR="00BC5219" w:rsidRPr="00EB1781" w:rsidRDefault="00BC5219" w:rsidP="00E83802">
            <w:pPr>
              <w:jc w:val="right"/>
              <w:rPr>
                <w:rFonts w:ascii="Times New Roman" w:eastAsia="Times New Roman" w:hAnsi="Times New Roman" w:cs="Times New Roman"/>
                <w:sz w:val="20"/>
                <w:szCs w:val="20"/>
                <w:lang w:eastAsia="en-AU"/>
              </w:rPr>
            </w:pPr>
          </w:p>
        </w:tc>
      </w:tr>
      <w:tr w:rsidR="00BC5219" w:rsidRPr="00EB1781" w14:paraId="2428FDE3" w14:textId="77777777" w:rsidTr="00E83802">
        <w:trPr>
          <w:trHeight w:val="240"/>
        </w:trPr>
        <w:tc>
          <w:tcPr>
            <w:tcW w:w="7136" w:type="dxa"/>
            <w:tcBorders>
              <w:top w:val="nil"/>
              <w:left w:val="nil"/>
              <w:bottom w:val="nil"/>
              <w:right w:val="nil"/>
            </w:tcBorders>
            <w:shd w:val="clear" w:color="auto" w:fill="auto"/>
            <w:noWrap/>
            <w:vAlign w:val="center"/>
            <w:hideMark/>
          </w:tcPr>
          <w:p w14:paraId="3D7C990F" w14:textId="77777777" w:rsidR="00BC5219" w:rsidRPr="00EB1781" w:rsidRDefault="00BC5219" w:rsidP="00E83802">
            <w:pPr>
              <w:rPr>
                <w:rFonts w:ascii="Meta Pro" w:eastAsia="Times New Roman" w:hAnsi="Meta Pro"/>
                <w:b/>
                <w:bCs/>
                <w:szCs w:val="18"/>
                <w:lang w:eastAsia="en-AU"/>
              </w:rPr>
            </w:pPr>
            <w:r w:rsidRPr="00EB1781">
              <w:rPr>
                <w:rFonts w:ascii="Meta Pro" w:eastAsia="Times New Roman" w:hAnsi="Meta Pro"/>
                <w:b/>
                <w:bCs/>
                <w:szCs w:val="18"/>
                <w:lang w:eastAsia="en-AU"/>
              </w:rPr>
              <w:t>Deferred tax equivalent expense/(income) included in income tax</w:t>
            </w:r>
          </w:p>
        </w:tc>
        <w:tc>
          <w:tcPr>
            <w:tcW w:w="1156" w:type="dxa"/>
            <w:tcBorders>
              <w:top w:val="nil"/>
              <w:left w:val="nil"/>
              <w:bottom w:val="nil"/>
              <w:right w:val="nil"/>
            </w:tcBorders>
            <w:shd w:val="clear" w:color="auto" w:fill="auto"/>
            <w:noWrap/>
            <w:vAlign w:val="center"/>
            <w:hideMark/>
          </w:tcPr>
          <w:p w14:paraId="7008B840" w14:textId="77777777" w:rsidR="00BC5219" w:rsidRPr="00EB1781" w:rsidRDefault="00BC5219" w:rsidP="00E83802">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19916D5B" w14:textId="77777777" w:rsidR="00BC5219" w:rsidRPr="00EB1781"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7B1D0A81" w14:textId="77777777" w:rsidR="00BC5219" w:rsidRPr="00EB1781" w:rsidRDefault="00BC5219" w:rsidP="00E83802">
            <w:pPr>
              <w:jc w:val="right"/>
              <w:rPr>
                <w:rFonts w:ascii="Times New Roman" w:eastAsia="Times New Roman" w:hAnsi="Times New Roman" w:cs="Times New Roman"/>
                <w:sz w:val="20"/>
                <w:szCs w:val="20"/>
                <w:lang w:eastAsia="en-AU"/>
              </w:rPr>
            </w:pPr>
          </w:p>
        </w:tc>
      </w:tr>
      <w:tr w:rsidR="00BC5219" w:rsidRPr="00EB1781" w14:paraId="74E2A2F7" w14:textId="77777777" w:rsidTr="00E83802">
        <w:trPr>
          <w:trHeight w:val="240"/>
        </w:trPr>
        <w:tc>
          <w:tcPr>
            <w:tcW w:w="7136" w:type="dxa"/>
            <w:tcBorders>
              <w:top w:val="nil"/>
              <w:left w:val="nil"/>
              <w:bottom w:val="nil"/>
              <w:right w:val="nil"/>
            </w:tcBorders>
            <w:shd w:val="clear" w:color="auto" w:fill="auto"/>
            <w:noWrap/>
            <w:vAlign w:val="center"/>
            <w:hideMark/>
          </w:tcPr>
          <w:p w14:paraId="53A0AD3A" w14:textId="77777777" w:rsidR="00BC5219" w:rsidRPr="00EB1781" w:rsidRDefault="00BC5219" w:rsidP="00E83802">
            <w:pPr>
              <w:rPr>
                <w:rFonts w:ascii="Meta Pro" w:eastAsia="Times New Roman" w:hAnsi="Meta Pro"/>
                <w:b/>
                <w:bCs/>
                <w:szCs w:val="18"/>
                <w:lang w:eastAsia="en-AU"/>
              </w:rPr>
            </w:pPr>
            <w:r w:rsidRPr="00EB1781">
              <w:rPr>
                <w:rFonts w:ascii="Meta Pro" w:eastAsia="Times New Roman" w:hAnsi="Meta Pro"/>
                <w:b/>
                <w:bCs/>
                <w:szCs w:val="18"/>
                <w:lang w:eastAsia="en-AU"/>
              </w:rPr>
              <w:t>equivalent expense comprises:</w:t>
            </w:r>
          </w:p>
        </w:tc>
        <w:tc>
          <w:tcPr>
            <w:tcW w:w="1156" w:type="dxa"/>
            <w:tcBorders>
              <w:top w:val="nil"/>
              <w:left w:val="nil"/>
              <w:bottom w:val="nil"/>
              <w:right w:val="nil"/>
            </w:tcBorders>
            <w:shd w:val="clear" w:color="auto" w:fill="auto"/>
            <w:noWrap/>
            <w:vAlign w:val="center"/>
            <w:hideMark/>
          </w:tcPr>
          <w:p w14:paraId="56227A03" w14:textId="77777777" w:rsidR="00BC5219" w:rsidRPr="00EB1781" w:rsidRDefault="00BC5219" w:rsidP="00E83802">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03AFAD2B" w14:textId="77777777" w:rsidR="00BC5219" w:rsidRPr="00EB1781"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05930991" w14:textId="77777777" w:rsidR="00BC5219" w:rsidRPr="00EB1781" w:rsidRDefault="00BC5219" w:rsidP="00E83802">
            <w:pPr>
              <w:jc w:val="right"/>
              <w:rPr>
                <w:rFonts w:ascii="Times New Roman" w:eastAsia="Times New Roman" w:hAnsi="Times New Roman" w:cs="Times New Roman"/>
                <w:sz w:val="20"/>
                <w:szCs w:val="20"/>
                <w:lang w:eastAsia="en-AU"/>
              </w:rPr>
            </w:pPr>
          </w:p>
        </w:tc>
      </w:tr>
      <w:tr w:rsidR="00BC5219" w:rsidRPr="00EB1781" w14:paraId="2A9EA0CD" w14:textId="77777777" w:rsidTr="00E83802">
        <w:trPr>
          <w:trHeight w:val="90"/>
        </w:trPr>
        <w:tc>
          <w:tcPr>
            <w:tcW w:w="7136" w:type="dxa"/>
            <w:tcBorders>
              <w:top w:val="nil"/>
              <w:left w:val="nil"/>
              <w:bottom w:val="nil"/>
              <w:right w:val="nil"/>
            </w:tcBorders>
            <w:shd w:val="clear" w:color="auto" w:fill="auto"/>
            <w:noWrap/>
            <w:vAlign w:val="center"/>
            <w:hideMark/>
          </w:tcPr>
          <w:p w14:paraId="3592CCC6" w14:textId="77777777" w:rsidR="00BC5219" w:rsidRPr="00EB1781"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5BC6A943" w14:textId="77777777" w:rsidR="00BC5219" w:rsidRPr="00EB1781" w:rsidRDefault="00BC5219" w:rsidP="00E83802">
            <w:pPr>
              <w:rPr>
                <w:rFonts w:ascii="Times New Roman" w:eastAsia="Times New Roman" w:hAnsi="Times New Roman"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6F58474E" w14:textId="77777777" w:rsidR="00BC5219" w:rsidRPr="00EB1781"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28B45E9E" w14:textId="77777777" w:rsidR="00BC5219" w:rsidRPr="00EB1781" w:rsidRDefault="00BC5219" w:rsidP="00E83802">
            <w:pPr>
              <w:jc w:val="right"/>
              <w:rPr>
                <w:rFonts w:ascii="Times New Roman" w:eastAsia="Times New Roman" w:hAnsi="Times New Roman" w:cs="Times New Roman"/>
                <w:sz w:val="20"/>
                <w:szCs w:val="20"/>
                <w:lang w:eastAsia="en-AU"/>
              </w:rPr>
            </w:pPr>
          </w:p>
        </w:tc>
      </w:tr>
      <w:tr w:rsidR="00BC5219" w:rsidRPr="00EB1781" w14:paraId="23A1C003" w14:textId="77777777" w:rsidTr="00E83802">
        <w:trPr>
          <w:trHeight w:val="240"/>
        </w:trPr>
        <w:tc>
          <w:tcPr>
            <w:tcW w:w="7136" w:type="dxa"/>
            <w:tcBorders>
              <w:top w:val="nil"/>
              <w:left w:val="nil"/>
              <w:bottom w:val="nil"/>
              <w:right w:val="nil"/>
            </w:tcBorders>
            <w:shd w:val="clear" w:color="auto" w:fill="auto"/>
            <w:noWrap/>
            <w:vAlign w:val="center"/>
            <w:hideMark/>
          </w:tcPr>
          <w:p w14:paraId="228BA44D" w14:textId="77777777" w:rsidR="00BC5219" w:rsidRPr="00EB1781" w:rsidRDefault="00BC5219" w:rsidP="00E83802">
            <w:pPr>
              <w:rPr>
                <w:rFonts w:ascii="Meta Pro" w:eastAsia="Times New Roman" w:hAnsi="Meta Pro"/>
                <w:szCs w:val="18"/>
                <w:lang w:eastAsia="en-AU"/>
              </w:rPr>
            </w:pPr>
            <w:r w:rsidRPr="00EB1781">
              <w:rPr>
                <w:rFonts w:ascii="Meta Pro" w:eastAsia="Times New Roman" w:hAnsi="Meta Pro"/>
                <w:szCs w:val="18"/>
                <w:lang w:eastAsia="en-AU"/>
              </w:rPr>
              <w:lastRenderedPageBreak/>
              <w:t>Deferred tax assets opening balance</w:t>
            </w:r>
          </w:p>
        </w:tc>
        <w:tc>
          <w:tcPr>
            <w:tcW w:w="1156" w:type="dxa"/>
            <w:tcBorders>
              <w:top w:val="nil"/>
              <w:left w:val="nil"/>
              <w:bottom w:val="nil"/>
              <w:right w:val="nil"/>
            </w:tcBorders>
            <w:shd w:val="clear" w:color="000000" w:fill="C9E3B4"/>
            <w:noWrap/>
            <w:vAlign w:val="center"/>
            <w:hideMark/>
          </w:tcPr>
          <w:p w14:paraId="622AF0EB" w14:textId="77777777" w:rsidR="00BC5219" w:rsidRPr="00EB1781" w:rsidRDefault="00BC5219" w:rsidP="00E83802">
            <w:pPr>
              <w:jc w:val="right"/>
              <w:rPr>
                <w:rFonts w:ascii="Meta Pro" w:eastAsia="Times New Roman" w:hAnsi="Meta Pro"/>
                <w:szCs w:val="18"/>
                <w:lang w:eastAsia="en-AU"/>
              </w:rPr>
            </w:pPr>
            <w:r w:rsidRPr="00EB1781">
              <w:rPr>
                <w:rFonts w:ascii="Meta Pro" w:eastAsia="Times New Roman" w:hAnsi="Meta Pro"/>
                <w:szCs w:val="18"/>
                <w:lang w:eastAsia="en-AU"/>
              </w:rPr>
              <w:t xml:space="preserve">3,296 </w:t>
            </w:r>
          </w:p>
        </w:tc>
        <w:tc>
          <w:tcPr>
            <w:tcW w:w="216" w:type="dxa"/>
            <w:tcBorders>
              <w:top w:val="nil"/>
              <w:left w:val="nil"/>
              <w:bottom w:val="nil"/>
              <w:right w:val="nil"/>
            </w:tcBorders>
            <w:shd w:val="clear" w:color="auto" w:fill="auto"/>
            <w:noWrap/>
            <w:vAlign w:val="center"/>
            <w:hideMark/>
          </w:tcPr>
          <w:p w14:paraId="24694422" w14:textId="77777777" w:rsidR="00BC5219" w:rsidRPr="00EB1781"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7567A13E" w14:textId="77777777" w:rsidR="00BC5219" w:rsidRPr="00EB1781" w:rsidRDefault="00BC5219" w:rsidP="00E83802">
            <w:pPr>
              <w:jc w:val="right"/>
              <w:rPr>
                <w:rFonts w:ascii="Meta Pro" w:eastAsia="Times New Roman" w:hAnsi="Meta Pro"/>
                <w:szCs w:val="18"/>
                <w:lang w:eastAsia="en-AU"/>
              </w:rPr>
            </w:pPr>
            <w:r w:rsidRPr="00EB1781">
              <w:rPr>
                <w:rFonts w:ascii="Meta Pro" w:eastAsia="Times New Roman" w:hAnsi="Meta Pro"/>
                <w:szCs w:val="18"/>
                <w:lang w:eastAsia="en-AU"/>
              </w:rPr>
              <w:t xml:space="preserve">3,852 </w:t>
            </w:r>
          </w:p>
        </w:tc>
      </w:tr>
      <w:tr w:rsidR="00BC5219" w:rsidRPr="00EB1781" w14:paraId="021588D7" w14:textId="77777777" w:rsidTr="00E83802">
        <w:trPr>
          <w:trHeight w:val="240"/>
        </w:trPr>
        <w:tc>
          <w:tcPr>
            <w:tcW w:w="7136" w:type="dxa"/>
            <w:tcBorders>
              <w:top w:val="nil"/>
              <w:left w:val="nil"/>
              <w:bottom w:val="nil"/>
              <w:right w:val="nil"/>
            </w:tcBorders>
            <w:shd w:val="clear" w:color="auto" w:fill="auto"/>
            <w:noWrap/>
            <w:vAlign w:val="center"/>
            <w:hideMark/>
          </w:tcPr>
          <w:p w14:paraId="0F4FE991" w14:textId="77777777" w:rsidR="00BC5219" w:rsidRPr="00EB1781" w:rsidRDefault="00BC5219" w:rsidP="00E83802">
            <w:pPr>
              <w:rPr>
                <w:rFonts w:ascii="Meta Pro" w:eastAsia="Times New Roman" w:hAnsi="Meta Pro"/>
                <w:szCs w:val="18"/>
                <w:lang w:eastAsia="en-AU"/>
              </w:rPr>
            </w:pPr>
            <w:r w:rsidRPr="00EB1781">
              <w:rPr>
                <w:rFonts w:ascii="Meta Pro" w:eastAsia="Times New Roman" w:hAnsi="Meta Pro"/>
                <w:szCs w:val="18"/>
                <w:lang w:eastAsia="en-AU"/>
              </w:rPr>
              <w:t>Transfer in due to machinery-of-government change</w:t>
            </w:r>
          </w:p>
        </w:tc>
        <w:tc>
          <w:tcPr>
            <w:tcW w:w="1156" w:type="dxa"/>
            <w:tcBorders>
              <w:top w:val="nil"/>
              <w:left w:val="nil"/>
              <w:bottom w:val="nil"/>
              <w:right w:val="nil"/>
            </w:tcBorders>
            <w:shd w:val="clear" w:color="000000" w:fill="C9E3B4"/>
            <w:noWrap/>
            <w:vAlign w:val="center"/>
            <w:hideMark/>
          </w:tcPr>
          <w:p w14:paraId="07C0152E" w14:textId="77777777" w:rsidR="00BC5219" w:rsidRPr="00EB1781" w:rsidRDefault="00BC5219" w:rsidP="00E83802">
            <w:pPr>
              <w:jc w:val="right"/>
              <w:rPr>
                <w:rFonts w:ascii="Meta Pro" w:eastAsia="Times New Roman" w:hAnsi="Meta Pro"/>
                <w:szCs w:val="18"/>
                <w:lang w:eastAsia="en-AU"/>
              </w:rPr>
            </w:pPr>
            <w:r w:rsidRPr="00EB1781">
              <w:rPr>
                <w:rFonts w:ascii="Meta Pro" w:eastAsia="Times New Roman" w:hAnsi="Meta Pro"/>
                <w:szCs w:val="18"/>
                <w:lang w:eastAsia="en-AU"/>
              </w:rPr>
              <w:t>(4)</w:t>
            </w:r>
          </w:p>
        </w:tc>
        <w:tc>
          <w:tcPr>
            <w:tcW w:w="216" w:type="dxa"/>
            <w:tcBorders>
              <w:top w:val="nil"/>
              <w:left w:val="nil"/>
              <w:bottom w:val="nil"/>
              <w:right w:val="nil"/>
            </w:tcBorders>
            <w:shd w:val="clear" w:color="auto" w:fill="auto"/>
            <w:noWrap/>
            <w:vAlign w:val="center"/>
            <w:hideMark/>
          </w:tcPr>
          <w:p w14:paraId="6EF92D58" w14:textId="77777777" w:rsidR="00BC5219" w:rsidRPr="00EB1781"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684D8C8A" w14:textId="77777777" w:rsidR="00BC5219" w:rsidRPr="00EB1781" w:rsidRDefault="00BC5219" w:rsidP="00E83802">
            <w:pPr>
              <w:jc w:val="right"/>
              <w:rPr>
                <w:rFonts w:ascii="Meta Pro" w:eastAsia="Times New Roman" w:hAnsi="Meta Pro"/>
                <w:szCs w:val="18"/>
                <w:lang w:eastAsia="en-AU"/>
              </w:rPr>
            </w:pPr>
            <w:r w:rsidRPr="00EB1781">
              <w:rPr>
                <w:rFonts w:ascii="Meta Pro" w:eastAsia="Times New Roman" w:hAnsi="Meta Pro"/>
                <w:szCs w:val="18"/>
                <w:lang w:eastAsia="en-AU"/>
              </w:rPr>
              <w:t xml:space="preserve">- </w:t>
            </w:r>
          </w:p>
        </w:tc>
      </w:tr>
      <w:tr w:rsidR="00BC5219" w:rsidRPr="00EB1781" w14:paraId="0FCBF114" w14:textId="77777777" w:rsidTr="00E83802">
        <w:trPr>
          <w:trHeight w:val="240"/>
        </w:trPr>
        <w:tc>
          <w:tcPr>
            <w:tcW w:w="7136" w:type="dxa"/>
            <w:tcBorders>
              <w:top w:val="nil"/>
              <w:left w:val="nil"/>
              <w:bottom w:val="nil"/>
              <w:right w:val="nil"/>
            </w:tcBorders>
            <w:shd w:val="clear" w:color="auto" w:fill="auto"/>
            <w:noWrap/>
            <w:vAlign w:val="center"/>
            <w:hideMark/>
          </w:tcPr>
          <w:p w14:paraId="0F2F5981" w14:textId="77777777" w:rsidR="00BC5219" w:rsidRPr="00EB1781" w:rsidRDefault="00BC5219" w:rsidP="00E83802">
            <w:pPr>
              <w:rPr>
                <w:rFonts w:ascii="Meta Pro" w:eastAsia="Times New Roman" w:hAnsi="Meta Pro"/>
                <w:szCs w:val="18"/>
                <w:lang w:eastAsia="en-AU"/>
              </w:rPr>
            </w:pPr>
            <w:r w:rsidRPr="00EB1781">
              <w:rPr>
                <w:rFonts w:ascii="Meta Pro" w:eastAsia="Times New Roman" w:hAnsi="Meta Pro"/>
                <w:szCs w:val="18"/>
                <w:lang w:eastAsia="en-AU"/>
              </w:rPr>
              <w:t>Decrease in deferred tax assets</w:t>
            </w:r>
          </w:p>
        </w:tc>
        <w:tc>
          <w:tcPr>
            <w:tcW w:w="1156" w:type="dxa"/>
            <w:tcBorders>
              <w:top w:val="nil"/>
              <w:left w:val="nil"/>
              <w:bottom w:val="nil"/>
              <w:right w:val="nil"/>
            </w:tcBorders>
            <w:shd w:val="clear" w:color="000000" w:fill="C9E3B4"/>
            <w:noWrap/>
            <w:vAlign w:val="center"/>
            <w:hideMark/>
          </w:tcPr>
          <w:p w14:paraId="26896297" w14:textId="77777777" w:rsidR="00BC5219" w:rsidRPr="00EB1781" w:rsidRDefault="00BC5219" w:rsidP="00E83802">
            <w:pPr>
              <w:jc w:val="right"/>
              <w:rPr>
                <w:rFonts w:ascii="Meta Pro" w:eastAsia="Times New Roman" w:hAnsi="Meta Pro"/>
                <w:szCs w:val="18"/>
                <w:lang w:eastAsia="en-AU"/>
              </w:rPr>
            </w:pPr>
            <w:r w:rsidRPr="00EB1781">
              <w:rPr>
                <w:rFonts w:ascii="Meta Pro" w:eastAsia="Times New Roman" w:hAnsi="Meta Pro"/>
                <w:szCs w:val="18"/>
                <w:lang w:eastAsia="en-AU"/>
              </w:rPr>
              <w:t>(291)</w:t>
            </w:r>
          </w:p>
        </w:tc>
        <w:tc>
          <w:tcPr>
            <w:tcW w:w="216" w:type="dxa"/>
            <w:tcBorders>
              <w:top w:val="nil"/>
              <w:left w:val="nil"/>
              <w:bottom w:val="nil"/>
              <w:right w:val="nil"/>
            </w:tcBorders>
            <w:shd w:val="clear" w:color="auto" w:fill="auto"/>
            <w:noWrap/>
            <w:vAlign w:val="center"/>
            <w:hideMark/>
          </w:tcPr>
          <w:p w14:paraId="7F97F239" w14:textId="77777777" w:rsidR="00BC5219" w:rsidRPr="00EB1781"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03347DD4" w14:textId="77777777" w:rsidR="00BC5219" w:rsidRPr="00EB1781" w:rsidRDefault="00BC5219" w:rsidP="00E83802">
            <w:pPr>
              <w:jc w:val="right"/>
              <w:rPr>
                <w:rFonts w:ascii="Meta Pro" w:eastAsia="Times New Roman" w:hAnsi="Meta Pro"/>
                <w:szCs w:val="18"/>
                <w:lang w:eastAsia="en-AU"/>
              </w:rPr>
            </w:pPr>
            <w:r w:rsidRPr="00EB1781">
              <w:rPr>
                <w:rFonts w:ascii="Meta Pro" w:eastAsia="Times New Roman" w:hAnsi="Meta Pro"/>
                <w:szCs w:val="18"/>
                <w:lang w:eastAsia="en-AU"/>
              </w:rPr>
              <w:t>(556)</w:t>
            </w:r>
          </w:p>
        </w:tc>
      </w:tr>
      <w:tr w:rsidR="00BC5219" w:rsidRPr="00EB1781" w14:paraId="3FF2C971" w14:textId="77777777" w:rsidTr="00E83802">
        <w:trPr>
          <w:trHeight w:val="240"/>
        </w:trPr>
        <w:tc>
          <w:tcPr>
            <w:tcW w:w="7136" w:type="dxa"/>
            <w:tcBorders>
              <w:top w:val="single" w:sz="4" w:space="0" w:color="auto"/>
              <w:left w:val="nil"/>
              <w:bottom w:val="double" w:sz="6" w:space="0" w:color="auto"/>
              <w:right w:val="nil"/>
            </w:tcBorders>
            <w:shd w:val="clear" w:color="auto" w:fill="auto"/>
            <w:noWrap/>
            <w:vAlign w:val="center"/>
            <w:hideMark/>
          </w:tcPr>
          <w:p w14:paraId="1DEC558D" w14:textId="77777777" w:rsidR="00BC5219" w:rsidRPr="00EB1781" w:rsidRDefault="00BC5219" w:rsidP="00E83802">
            <w:pPr>
              <w:rPr>
                <w:rFonts w:ascii="Meta Pro" w:eastAsia="Times New Roman" w:hAnsi="Meta Pro"/>
                <w:b/>
                <w:bCs/>
                <w:szCs w:val="18"/>
                <w:lang w:eastAsia="en-AU"/>
              </w:rPr>
            </w:pPr>
            <w:r w:rsidRPr="00EB1781">
              <w:rPr>
                <w:rFonts w:ascii="Meta Pro" w:eastAsia="Times New Roman" w:hAnsi="Meta Pro"/>
                <w:b/>
                <w:bCs/>
                <w:szCs w:val="18"/>
                <w:lang w:eastAsia="en-AU"/>
              </w:rPr>
              <w:t xml:space="preserve">Deferred tax assets at 30 June </w:t>
            </w:r>
          </w:p>
        </w:tc>
        <w:tc>
          <w:tcPr>
            <w:tcW w:w="1156" w:type="dxa"/>
            <w:tcBorders>
              <w:top w:val="single" w:sz="4" w:space="0" w:color="auto"/>
              <w:left w:val="nil"/>
              <w:bottom w:val="double" w:sz="6" w:space="0" w:color="auto"/>
              <w:right w:val="nil"/>
            </w:tcBorders>
            <w:shd w:val="clear" w:color="000000" w:fill="C9E3B4"/>
            <w:noWrap/>
            <w:vAlign w:val="center"/>
            <w:hideMark/>
          </w:tcPr>
          <w:p w14:paraId="0E9ABF11" w14:textId="77777777" w:rsidR="00BC5219" w:rsidRPr="00EB1781" w:rsidRDefault="00BC5219" w:rsidP="00E83802">
            <w:pPr>
              <w:jc w:val="right"/>
              <w:rPr>
                <w:rFonts w:ascii="Meta Pro" w:eastAsia="Times New Roman" w:hAnsi="Meta Pro"/>
                <w:b/>
                <w:bCs/>
                <w:szCs w:val="18"/>
                <w:lang w:eastAsia="en-AU"/>
              </w:rPr>
            </w:pPr>
            <w:r w:rsidRPr="00EB1781">
              <w:rPr>
                <w:rFonts w:ascii="Meta Pro" w:eastAsia="Times New Roman" w:hAnsi="Meta Pro"/>
                <w:b/>
                <w:bCs/>
                <w:szCs w:val="18"/>
                <w:lang w:eastAsia="en-AU"/>
              </w:rPr>
              <w:t xml:space="preserve">3,001 </w:t>
            </w:r>
          </w:p>
        </w:tc>
        <w:tc>
          <w:tcPr>
            <w:tcW w:w="216" w:type="dxa"/>
            <w:tcBorders>
              <w:top w:val="single" w:sz="4" w:space="0" w:color="auto"/>
              <w:left w:val="nil"/>
              <w:bottom w:val="double" w:sz="6" w:space="0" w:color="auto"/>
              <w:right w:val="nil"/>
            </w:tcBorders>
            <w:shd w:val="clear" w:color="auto" w:fill="auto"/>
            <w:noWrap/>
            <w:vAlign w:val="center"/>
            <w:hideMark/>
          </w:tcPr>
          <w:p w14:paraId="61A0B588" w14:textId="77777777" w:rsidR="00BC5219" w:rsidRPr="00EB1781" w:rsidRDefault="00BC5219" w:rsidP="00E83802">
            <w:pPr>
              <w:jc w:val="right"/>
              <w:rPr>
                <w:rFonts w:ascii="Meta Pro" w:eastAsia="Times New Roman" w:hAnsi="Meta Pro"/>
                <w:b/>
                <w:bCs/>
                <w:szCs w:val="18"/>
                <w:lang w:eastAsia="en-AU"/>
              </w:rPr>
            </w:pPr>
            <w:r w:rsidRPr="00EB1781">
              <w:rPr>
                <w:rFonts w:ascii="Meta Pro" w:eastAsia="Times New Roman" w:hAnsi="Meta Pro"/>
                <w:b/>
                <w:bCs/>
                <w:szCs w:val="18"/>
                <w:lang w:eastAsia="en-AU"/>
              </w:rPr>
              <w:t> </w:t>
            </w:r>
          </w:p>
        </w:tc>
        <w:tc>
          <w:tcPr>
            <w:tcW w:w="1156" w:type="dxa"/>
            <w:tcBorders>
              <w:top w:val="single" w:sz="4" w:space="0" w:color="auto"/>
              <w:left w:val="nil"/>
              <w:bottom w:val="double" w:sz="6" w:space="0" w:color="auto"/>
              <w:right w:val="nil"/>
            </w:tcBorders>
            <w:shd w:val="clear" w:color="auto" w:fill="auto"/>
            <w:noWrap/>
            <w:vAlign w:val="center"/>
            <w:hideMark/>
          </w:tcPr>
          <w:p w14:paraId="6D6111BF" w14:textId="77777777" w:rsidR="00BC5219" w:rsidRPr="00EB1781" w:rsidRDefault="00BC5219" w:rsidP="00E83802">
            <w:pPr>
              <w:jc w:val="right"/>
              <w:rPr>
                <w:rFonts w:ascii="Meta Pro" w:eastAsia="Times New Roman" w:hAnsi="Meta Pro"/>
                <w:b/>
                <w:bCs/>
                <w:szCs w:val="18"/>
                <w:lang w:eastAsia="en-AU"/>
              </w:rPr>
            </w:pPr>
            <w:r w:rsidRPr="00EB1781">
              <w:rPr>
                <w:rFonts w:ascii="Meta Pro" w:eastAsia="Times New Roman" w:hAnsi="Meta Pro"/>
                <w:b/>
                <w:bCs/>
                <w:szCs w:val="18"/>
                <w:lang w:eastAsia="en-AU"/>
              </w:rPr>
              <w:t xml:space="preserve">3,296 </w:t>
            </w:r>
          </w:p>
        </w:tc>
      </w:tr>
      <w:tr w:rsidR="00BC5219" w:rsidRPr="00EB1781" w14:paraId="6ADE1E18" w14:textId="77777777" w:rsidTr="00E83802">
        <w:trPr>
          <w:trHeight w:val="240"/>
        </w:trPr>
        <w:tc>
          <w:tcPr>
            <w:tcW w:w="7136" w:type="dxa"/>
            <w:tcBorders>
              <w:top w:val="nil"/>
              <w:left w:val="nil"/>
              <w:bottom w:val="nil"/>
              <w:right w:val="nil"/>
            </w:tcBorders>
            <w:shd w:val="clear" w:color="auto" w:fill="auto"/>
            <w:noWrap/>
            <w:vAlign w:val="center"/>
            <w:hideMark/>
          </w:tcPr>
          <w:p w14:paraId="6026D408" w14:textId="77777777" w:rsidR="00BC5219" w:rsidRPr="00EB1781" w:rsidRDefault="00BC5219" w:rsidP="00E83802">
            <w:pPr>
              <w:jc w:val="right"/>
              <w:rPr>
                <w:rFonts w:ascii="Meta Pro" w:eastAsia="Times New Roman" w:hAnsi="Meta Pro"/>
                <w:b/>
                <w:bCs/>
                <w:szCs w:val="18"/>
                <w:lang w:eastAsia="en-AU"/>
              </w:rPr>
            </w:pPr>
          </w:p>
        </w:tc>
        <w:tc>
          <w:tcPr>
            <w:tcW w:w="1156" w:type="dxa"/>
            <w:tcBorders>
              <w:top w:val="nil"/>
              <w:left w:val="nil"/>
              <w:bottom w:val="nil"/>
              <w:right w:val="nil"/>
            </w:tcBorders>
            <w:shd w:val="clear" w:color="auto" w:fill="auto"/>
            <w:noWrap/>
            <w:vAlign w:val="center"/>
            <w:hideMark/>
          </w:tcPr>
          <w:p w14:paraId="4CA12AE5" w14:textId="77777777" w:rsidR="00BC5219" w:rsidRPr="00EB1781" w:rsidRDefault="00BC5219" w:rsidP="00E83802">
            <w:pPr>
              <w:rPr>
                <w:rFonts w:ascii="Times New Roman" w:eastAsia="Times New Roman" w:hAnsi="Times New Roman"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5DF773EC" w14:textId="77777777" w:rsidR="00BC5219" w:rsidRPr="00EB1781"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792711AD" w14:textId="77777777" w:rsidR="00BC5219" w:rsidRPr="00EB1781" w:rsidRDefault="00BC5219" w:rsidP="00E83802">
            <w:pPr>
              <w:jc w:val="right"/>
              <w:rPr>
                <w:rFonts w:ascii="Times New Roman" w:eastAsia="Times New Roman" w:hAnsi="Times New Roman" w:cs="Times New Roman"/>
                <w:sz w:val="20"/>
                <w:szCs w:val="20"/>
                <w:lang w:eastAsia="en-AU"/>
              </w:rPr>
            </w:pPr>
          </w:p>
        </w:tc>
      </w:tr>
      <w:tr w:rsidR="00BC5219" w:rsidRPr="00EB1781" w14:paraId="3970E38F" w14:textId="77777777" w:rsidTr="00E83802">
        <w:trPr>
          <w:trHeight w:val="240"/>
        </w:trPr>
        <w:tc>
          <w:tcPr>
            <w:tcW w:w="7136" w:type="dxa"/>
            <w:tcBorders>
              <w:top w:val="nil"/>
              <w:left w:val="nil"/>
              <w:bottom w:val="nil"/>
              <w:right w:val="nil"/>
            </w:tcBorders>
            <w:shd w:val="clear" w:color="auto" w:fill="auto"/>
            <w:noWrap/>
            <w:vAlign w:val="center"/>
            <w:hideMark/>
          </w:tcPr>
          <w:p w14:paraId="66356F7C" w14:textId="77777777" w:rsidR="00BC5219" w:rsidRPr="00EB1781" w:rsidRDefault="00BC5219" w:rsidP="00E83802">
            <w:pPr>
              <w:rPr>
                <w:rFonts w:ascii="Meta Pro" w:eastAsia="Times New Roman" w:hAnsi="Meta Pro"/>
                <w:b/>
                <w:bCs/>
                <w:szCs w:val="18"/>
                <w:lang w:eastAsia="en-AU"/>
              </w:rPr>
            </w:pPr>
            <w:r w:rsidRPr="00EB1781">
              <w:rPr>
                <w:rFonts w:ascii="Meta Pro" w:eastAsia="Times New Roman" w:hAnsi="Meta Pro"/>
                <w:b/>
                <w:bCs/>
                <w:szCs w:val="18"/>
                <w:lang w:eastAsia="en-AU"/>
              </w:rPr>
              <w:t>Proof of deferred tax assets</w:t>
            </w:r>
          </w:p>
        </w:tc>
        <w:tc>
          <w:tcPr>
            <w:tcW w:w="1156" w:type="dxa"/>
            <w:tcBorders>
              <w:top w:val="nil"/>
              <w:left w:val="nil"/>
              <w:bottom w:val="nil"/>
              <w:right w:val="nil"/>
            </w:tcBorders>
            <w:shd w:val="clear" w:color="auto" w:fill="auto"/>
            <w:noWrap/>
            <w:vAlign w:val="center"/>
            <w:hideMark/>
          </w:tcPr>
          <w:p w14:paraId="2B02D020" w14:textId="77777777" w:rsidR="00BC5219" w:rsidRPr="00EB1781" w:rsidRDefault="00BC5219" w:rsidP="00E83802">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25F71A91" w14:textId="77777777" w:rsidR="00BC5219" w:rsidRPr="00EB1781"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13C2F655" w14:textId="77777777" w:rsidR="00BC5219" w:rsidRPr="00EB1781" w:rsidRDefault="00BC5219" w:rsidP="00E83802">
            <w:pPr>
              <w:jc w:val="right"/>
              <w:rPr>
                <w:rFonts w:ascii="Times New Roman" w:eastAsia="Times New Roman" w:hAnsi="Times New Roman" w:cs="Times New Roman"/>
                <w:sz w:val="20"/>
                <w:szCs w:val="20"/>
                <w:lang w:eastAsia="en-AU"/>
              </w:rPr>
            </w:pPr>
          </w:p>
        </w:tc>
      </w:tr>
      <w:tr w:rsidR="00BC5219" w:rsidRPr="00EB1781" w14:paraId="483BC9C6" w14:textId="77777777" w:rsidTr="00E83802">
        <w:trPr>
          <w:trHeight w:val="90"/>
        </w:trPr>
        <w:tc>
          <w:tcPr>
            <w:tcW w:w="7136" w:type="dxa"/>
            <w:tcBorders>
              <w:top w:val="nil"/>
              <w:left w:val="nil"/>
              <w:bottom w:val="nil"/>
              <w:right w:val="nil"/>
            </w:tcBorders>
            <w:shd w:val="clear" w:color="auto" w:fill="auto"/>
            <w:noWrap/>
            <w:vAlign w:val="center"/>
            <w:hideMark/>
          </w:tcPr>
          <w:p w14:paraId="3AD6C622" w14:textId="77777777" w:rsidR="00BC5219" w:rsidRPr="00EB1781"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5C7BD061" w14:textId="77777777" w:rsidR="00BC5219" w:rsidRPr="00EB1781" w:rsidRDefault="00BC5219" w:rsidP="00E83802">
            <w:pPr>
              <w:rPr>
                <w:rFonts w:ascii="Times New Roman" w:eastAsia="Times New Roman" w:hAnsi="Times New Roman"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14F604C3" w14:textId="77777777" w:rsidR="00BC5219" w:rsidRPr="00EB1781"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3D21796B" w14:textId="77777777" w:rsidR="00BC5219" w:rsidRPr="00EB1781" w:rsidRDefault="00BC5219" w:rsidP="00E83802">
            <w:pPr>
              <w:jc w:val="right"/>
              <w:rPr>
                <w:rFonts w:ascii="Times New Roman" w:eastAsia="Times New Roman" w:hAnsi="Times New Roman" w:cs="Times New Roman"/>
                <w:sz w:val="20"/>
                <w:szCs w:val="20"/>
                <w:lang w:eastAsia="en-AU"/>
              </w:rPr>
            </w:pPr>
          </w:p>
        </w:tc>
      </w:tr>
      <w:tr w:rsidR="00BC5219" w:rsidRPr="00EB1781" w14:paraId="6893B3F9" w14:textId="77777777" w:rsidTr="00E83802">
        <w:trPr>
          <w:trHeight w:val="240"/>
        </w:trPr>
        <w:tc>
          <w:tcPr>
            <w:tcW w:w="7136" w:type="dxa"/>
            <w:tcBorders>
              <w:top w:val="nil"/>
              <w:left w:val="nil"/>
              <w:bottom w:val="nil"/>
              <w:right w:val="nil"/>
            </w:tcBorders>
            <w:shd w:val="clear" w:color="auto" w:fill="auto"/>
            <w:noWrap/>
            <w:vAlign w:val="center"/>
            <w:hideMark/>
          </w:tcPr>
          <w:p w14:paraId="38B88AD8" w14:textId="77777777" w:rsidR="00BC5219" w:rsidRPr="00EB1781" w:rsidRDefault="00BC5219" w:rsidP="00E83802">
            <w:pPr>
              <w:rPr>
                <w:rFonts w:ascii="Meta Pro" w:eastAsia="Times New Roman" w:hAnsi="Meta Pro"/>
                <w:szCs w:val="18"/>
                <w:lang w:eastAsia="en-AU"/>
              </w:rPr>
            </w:pPr>
            <w:r w:rsidRPr="00EB1781">
              <w:rPr>
                <w:rFonts w:ascii="Meta Pro" w:eastAsia="Times New Roman" w:hAnsi="Meta Pro"/>
                <w:szCs w:val="18"/>
                <w:lang w:eastAsia="en-AU"/>
              </w:rPr>
              <w:t>Deferred tax assets:</w:t>
            </w:r>
          </w:p>
        </w:tc>
        <w:tc>
          <w:tcPr>
            <w:tcW w:w="1156" w:type="dxa"/>
            <w:tcBorders>
              <w:top w:val="nil"/>
              <w:left w:val="nil"/>
              <w:bottom w:val="nil"/>
              <w:right w:val="nil"/>
            </w:tcBorders>
            <w:shd w:val="clear" w:color="auto" w:fill="auto"/>
            <w:noWrap/>
            <w:vAlign w:val="center"/>
            <w:hideMark/>
          </w:tcPr>
          <w:p w14:paraId="1AB3591D" w14:textId="77777777" w:rsidR="00BC5219" w:rsidRPr="00EB1781" w:rsidRDefault="00BC5219" w:rsidP="00E83802">
            <w:pPr>
              <w:rPr>
                <w:rFonts w:ascii="Meta Pro" w:eastAsia="Times New Roman" w:hAnsi="Meta Pro"/>
                <w:szCs w:val="18"/>
                <w:lang w:eastAsia="en-AU"/>
              </w:rPr>
            </w:pPr>
          </w:p>
        </w:tc>
        <w:tc>
          <w:tcPr>
            <w:tcW w:w="216" w:type="dxa"/>
            <w:tcBorders>
              <w:top w:val="nil"/>
              <w:left w:val="nil"/>
              <w:bottom w:val="nil"/>
              <w:right w:val="nil"/>
            </w:tcBorders>
            <w:shd w:val="clear" w:color="auto" w:fill="auto"/>
            <w:noWrap/>
            <w:vAlign w:val="center"/>
            <w:hideMark/>
          </w:tcPr>
          <w:p w14:paraId="6D6E5C70" w14:textId="77777777" w:rsidR="00BC5219" w:rsidRPr="00EB1781" w:rsidRDefault="00BC5219" w:rsidP="00E83802">
            <w:pPr>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3DDD29A7" w14:textId="77777777" w:rsidR="00BC5219" w:rsidRPr="00EB1781" w:rsidRDefault="00BC5219" w:rsidP="00E83802">
            <w:pPr>
              <w:jc w:val="right"/>
              <w:rPr>
                <w:rFonts w:ascii="Times New Roman" w:eastAsia="Times New Roman" w:hAnsi="Times New Roman" w:cs="Times New Roman"/>
                <w:sz w:val="20"/>
                <w:szCs w:val="20"/>
                <w:lang w:eastAsia="en-AU"/>
              </w:rPr>
            </w:pPr>
          </w:p>
        </w:tc>
      </w:tr>
      <w:tr w:rsidR="00BC5219" w:rsidRPr="00EB1781" w14:paraId="46181E40" w14:textId="77777777" w:rsidTr="00E83802">
        <w:trPr>
          <w:trHeight w:val="240"/>
        </w:trPr>
        <w:tc>
          <w:tcPr>
            <w:tcW w:w="7136" w:type="dxa"/>
            <w:tcBorders>
              <w:top w:val="nil"/>
              <w:left w:val="nil"/>
              <w:bottom w:val="nil"/>
              <w:right w:val="nil"/>
            </w:tcBorders>
            <w:shd w:val="clear" w:color="auto" w:fill="auto"/>
            <w:noWrap/>
            <w:vAlign w:val="center"/>
            <w:hideMark/>
          </w:tcPr>
          <w:p w14:paraId="056C3C2A" w14:textId="77777777" w:rsidR="00BC5219" w:rsidRPr="00EB1781" w:rsidRDefault="00BC5219" w:rsidP="00E83802">
            <w:pPr>
              <w:rPr>
                <w:rFonts w:ascii="Meta Pro" w:eastAsia="Times New Roman" w:hAnsi="Meta Pro"/>
                <w:szCs w:val="18"/>
                <w:lang w:eastAsia="en-AU"/>
              </w:rPr>
            </w:pPr>
            <w:r w:rsidRPr="00EB1781">
              <w:rPr>
                <w:rFonts w:ascii="Meta Pro" w:eastAsia="Times New Roman" w:hAnsi="Meta Pro"/>
                <w:szCs w:val="18"/>
                <w:lang w:eastAsia="en-AU"/>
              </w:rPr>
              <w:t xml:space="preserve">  Property, plant and equipment</w:t>
            </w:r>
          </w:p>
        </w:tc>
        <w:tc>
          <w:tcPr>
            <w:tcW w:w="1156" w:type="dxa"/>
            <w:tcBorders>
              <w:top w:val="nil"/>
              <w:left w:val="nil"/>
              <w:bottom w:val="nil"/>
              <w:right w:val="nil"/>
            </w:tcBorders>
            <w:shd w:val="clear" w:color="000000" w:fill="C9E3B4"/>
            <w:noWrap/>
            <w:vAlign w:val="center"/>
            <w:hideMark/>
          </w:tcPr>
          <w:p w14:paraId="244CCF88" w14:textId="77777777" w:rsidR="00BC5219" w:rsidRPr="00EB1781" w:rsidRDefault="00BC5219" w:rsidP="00E83802">
            <w:pPr>
              <w:jc w:val="right"/>
              <w:rPr>
                <w:rFonts w:ascii="Meta Pro" w:eastAsia="Times New Roman" w:hAnsi="Meta Pro"/>
                <w:szCs w:val="18"/>
                <w:lang w:eastAsia="en-AU"/>
              </w:rPr>
            </w:pPr>
            <w:r w:rsidRPr="00EB1781">
              <w:rPr>
                <w:rFonts w:ascii="Meta Pro" w:eastAsia="Times New Roman" w:hAnsi="Meta Pro"/>
                <w:szCs w:val="18"/>
                <w:lang w:eastAsia="en-AU"/>
              </w:rPr>
              <w:t xml:space="preserve">3,070 </w:t>
            </w:r>
          </w:p>
        </w:tc>
        <w:tc>
          <w:tcPr>
            <w:tcW w:w="216" w:type="dxa"/>
            <w:tcBorders>
              <w:top w:val="nil"/>
              <w:left w:val="nil"/>
              <w:bottom w:val="nil"/>
              <w:right w:val="nil"/>
            </w:tcBorders>
            <w:shd w:val="clear" w:color="auto" w:fill="auto"/>
            <w:noWrap/>
            <w:vAlign w:val="center"/>
            <w:hideMark/>
          </w:tcPr>
          <w:p w14:paraId="31C257B1" w14:textId="77777777" w:rsidR="00BC5219" w:rsidRPr="00EB1781"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07AAFF7D" w14:textId="77777777" w:rsidR="00BC5219" w:rsidRPr="00EB1781" w:rsidRDefault="00BC5219" w:rsidP="00E83802">
            <w:pPr>
              <w:jc w:val="right"/>
              <w:rPr>
                <w:rFonts w:ascii="Meta Pro" w:eastAsia="Times New Roman" w:hAnsi="Meta Pro"/>
                <w:szCs w:val="18"/>
                <w:lang w:eastAsia="en-AU"/>
              </w:rPr>
            </w:pPr>
            <w:r w:rsidRPr="00EB1781">
              <w:rPr>
                <w:rFonts w:ascii="Meta Pro" w:eastAsia="Times New Roman" w:hAnsi="Meta Pro"/>
                <w:szCs w:val="18"/>
                <w:lang w:eastAsia="en-AU"/>
              </w:rPr>
              <w:t xml:space="preserve">3,153 </w:t>
            </w:r>
          </w:p>
        </w:tc>
      </w:tr>
      <w:tr w:rsidR="00BC5219" w:rsidRPr="00EB1781" w14:paraId="63FD3797" w14:textId="77777777" w:rsidTr="00E83802">
        <w:trPr>
          <w:trHeight w:val="240"/>
        </w:trPr>
        <w:tc>
          <w:tcPr>
            <w:tcW w:w="7136" w:type="dxa"/>
            <w:tcBorders>
              <w:top w:val="nil"/>
              <w:left w:val="nil"/>
              <w:bottom w:val="nil"/>
              <w:right w:val="nil"/>
            </w:tcBorders>
            <w:shd w:val="clear" w:color="auto" w:fill="auto"/>
            <w:noWrap/>
            <w:vAlign w:val="center"/>
            <w:hideMark/>
          </w:tcPr>
          <w:p w14:paraId="264D4DCD" w14:textId="77777777" w:rsidR="00BC5219" w:rsidRPr="00EB1781" w:rsidRDefault="00BC5219" w:rsidP="00E83802">
            <w:pPr>
              <w:rPr>
                <w:rFonts w:ascii="Meta Pro" w:eastAsia="Times New Roman" w:hAnsi="Meta Pro"/>
                <w:szCs w:val="18"/>
                <w:lang w:eastAsia="en-AU"/>
              </w:rPr>
            </w:pPr>
            <w:r w:rsidRPr="00EB1781">
              <w:rPr>
                <w:rFonts w:ascii="Meta Pro" w:eastAsia="Times New Roman" w:hAnsi="Meta Pro"/>
                <w:szCs w:val="18"/>
                <w:lang w:eastAsia="en-AU"/>
              </w:rPr>
              <w:t xml:space="preserve">  Other items</w:t>
            </w:r>
          </w:p>
        </w:tc>
        <w:tc>
          <w:tcPr>
            <w:tcW w:w="1156" w:type="dxa"/>
            <w:tcBorders>
              <w:top w:val="nil"/>
              <w:left w:val="nil"/>
              <w:bottom w:val="nil"/>
              <w:right w:val="nil"/>
            </w:tcBorders>
            <w:shd w:val="clear" w:color="000000" w:fill="C9E3B4"/>
            <w:noWrap/>
            <w:vAlign w:val="center"/>
            <w:hideMark/>
          </w:tcPr>
          <w:p w14:paraId="7EAE6F0F" w14:textId="77777777" w:rsidR="00BC5219" w:rsidRPr="00EB1781" w:rsidRDefault="00BC5219" w:rsidP="00E83802">
            <w:pPr>
              <w:jc w:val="right"/>
              <w:rPr>
                <w:rFonts w:ascii="Meta Pro" w:eastAsia="Times New Roman" w:hAnsi="Meta Pro"/>
                <w:szCs w:val="18"/>
                <w:lang w:eastAsia="en-AU"/>
              </w:rPr>
            </w:pPr>
            <w:r w:rsidRPr="00EB1781">
              <w:rPr>
                <w:rFonts w:ascii="Meta Pro" w:eastAsia="Times New Roman" w:hAnsi="Meta Pro"/>
                <w:szCs w:val="18"/>
                <w:lang w:eastAsia="en-AU"/>
              </w:rPr>
              <w:t>(69)</w:t>
            </w:r>
          </w:p>
        </w:tc>
        <w:tc>
          <w:tcPr>
            <w:tcW w:w="216" w:type="dxa"/>
            <w:tcBorders>
              <w:top w:val="nil"/>
              <w:left w:val="nil"/>
              <w:bottom w:val="nil"/>
              <w:right w:val="nil"/>
            </w:tcBorders>
            <w:shd w:val="clear" w:color="auto" w:fill="auto"/>
            <w:noWrap/>
            <w:vAlign w:val="center"/>
            <w:hideMark/>
          </w:tcPr>
          <w:p w14:paraId="04E79E7E" w14:textId="77777777" w:rsidR="00BC5219" w:rsidRPr="00EB1781"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44B80DFB" w14:textId="77777777" w:rsidR="00BC5219" w:rsidRPr="00EB1781" w:rsidRDefault="00BC5219" w:rsidP="00E83802">
            <w:pPr>
              <w:jc w:val="right"/>
              <w:rPr>
                <w:rFonts w:ascii="Meta Pro" w:eastAsia="Times New Roman" w:hAnsi="Meta Pro"/>
                <w:szCs w:val="18"/>
                <w:lang w:eastAsia="en-AU"/>
              </w:rPr>
            </w:pPr>
            <w:r w:rsidRPr="00EB1781">
              <w:rPr>
                <w:rFonts w:ascii="Meta Pro" w:eastAsia="Times New Roman" w:hAnsi="Meta Pro"/>
                <w:szCs w:val="18"/>
                <w:lang w:eastAsia="en-AU"/>
              </w:rPr>
              <w:t xml:space="preserve">143 </w:t>
            </w:r>
          </w:p>
        </w:tc>
      </w:tr>
      <w:tr w:rsidR="00BC5219" w:rsidRPr="00EB1781" w14:paraId="1872381D" w14:textId="77777777" w:rsidTr="00E83802">
        <w:trPr>
          <w:trHeight w:val="240"/>
        </w:trPr>
        <w:tc>
          <w:tcPr>
            <w:tcW w:w="7136" w:type="dxa"/>
            <w:tcBorders>
              <w:top w:val="single" w:sz="4" w:space="0" w:color="auto"/>
              <w:left w:val="nil"/>
              <w:bottom w:val="double" w:sz="6" w:space="0" w:color="auto"/>
              <w:right w:val="nil"/>
            </w:tcBorders>
            <w:shd w:val="clear" w:color="auto" w:fill="auto"/>
            <w:noWrap/>
            <w:vAlign w:val="center"/>
            <w:hideMark/>
          </w:tcPr>
          <w:p w14:paraId="044A7ACB" w14:textId="77777777" w:rsidR="00BC5219" w:rsidRPr="00EB1781" w:rsidRDefault="00BC5219" w:rsidP="00E83802">
            <w:pPr>
              <w:rPr>
                <w:rFonts w:ascii="Meta Pro" w:eastAsia="Times New Roman" w:hAnsi="Meta Pro"/>
                <w:b/>
                <w:bCs/>
                <w:szCs w:val="18"/>
                <w:lang w:eastAsia="en-AU"/>
              </w:rPr>
            </w:pPr>
            <w:r w:rsidRPr="00EB1781">
              <w:rPr>
                <w:rFonts w:ascii="Meta Pro" w:eastAsia="Times New Roman" w:hAnsi="Meta Pro"/>
                <w:b/>
                <w:bCs/>
                <w:szCs w:val="18"/>
                <w:lang w:eastAsia="en-AU"/>
              </w:rPr>
              <w:t xml:space="preserve">Net deferred tax assets at 30 June </w:t>
            </w:r>
          </w:p>
        </w:tc>
        <w:tc>
          <w:tcPr>
            <w:tcW w:w="1156" w:type="dxa"/>
            <w:tcBorders>
              <w:top w:val="single" w:sz="4" w:space="0" w:color="auto"/>
              <w:left w:val="nil"/>
              <w:bottom w:val="double" w:sz="6" w:space="0" w:color="auto"/>
              <w:right w:val="nil"/>
            </w:tcBorders>
            <w:shd w:val="clear" w:color="000000" w:fill="C9E3B4"/>
            <w:noWrap/>
            <w:vAlign w:val="center"/>
            <w:hideMark/>
          </w:tcPr>
          <w:p w14:paraId="3855768B" w14:textId="77777777" w:rsidR="00BC5219" w:rsidRPr="00EB1781" w:rsidRDefault="00BC5219" w:rsidP="00E83802">
            <w:pPr>
              <w:jc w:val="right"/>
              <w:rPr>
                <w:rFonts w:ascii="Meta Pro" w:eastAsia="Times New Roman" w:hAnsi="Meta Pro"/>
                <w:b/>
                <w:bCs/>
                <w:szCs w:val="18"/>
                <w:lang w:eastAsia="en-AU"/>
              </w:rPr>
            </w:pPr>
            <w:r w:rsidRPr="00EB1781">
              <w:rPr>
                <w:rFonts w:ascii="Meta Pro" w:eastAsia="Times New Roman" w:hAnsi="Meta Pro"/>
                <w:b/>
                <w:bCs/>
                <w:szCs w:val="18"/>
                <w:lang w:eastAsia="en-AU"/>
              </w:rPr>
              <w:t xml:space="preserve">3,001 </w:t>
            </w:r>
          </w:p>
        </w:tc>
        <w:tc>
          <w:tcPr>
            <w:tcW w:w="216" w:type="dxa"/>
            <w:tcBorders>
              <w:top w:val="single" w:sz="4" w:space="0" w:color="auto"/>
              <w:left w:val="nil"/>
              <w:bottom w:val="double" w:sz="6" w:space="0" w:color="auto"/>
              <w:right w:val="nil"/>
            </w:tcBorders>
            <w:shd w:val="clear" w:color="auto" w:fill="auto"/>
            <w:noWrap/>
            <w:vAlign w:val="center"/>
            <w:hideMark/>
          </w:tcPr>
          <w:p w14:paraId="41B18032" w14:textId="77777777" w:rsidR="00BC5219" w:rsidRPr="00EB1781" w:rsidRDefault="00BC5219" w:rsidP="00E83802">
            <w:pPr>
              <w:jc w:val="right"/>
              <w:rPr>
                <w:rFonts w:ascii="Meta Pro" w:eastAsia="Times New Roman" w:hAnsi="Meta Pro"/>
                <w:b/>
                <w:bCs/>
                <w:szCs w:val="18"/>
                <w:lang w:eastAsia="en-AU"/>
              </w:rPr>
            </w:pPr>
            <w:r w:rsidRPr="00EB1781">
              <w:rPr>
                <w:rFonts w:ascii="Meta Pro" w:eastAsia="Times New Roman" w:hAnsi="Meta Pro"/>
                <w:b/>
                <w:bCs/>
                <w:szCs w:val="18"/>
                <w:lang w:eastAsia="en-AU"/>
              </w:rPr>
              <w:t> </w:t>
            </w:r>
          </w:p>
        </w:tc>
        <w:tc>
          <w:tcPr>
            <w:tcW w:w="1156" w:type="dxa"/>
            <w:tcBorders>
              <w:top w:val="single" w:sz="4" w:space="0" w:color="auto"/>
              <w:left w:val="nil"/>
              <w:bottom w:val="double" w:sz="6" w:space="0" w:color="auto"/>
              <w:right w:val="nil"/>
            </w:tcBorders>
            <w:shd w:val="clear" w:color="auto" w:fill="auto"/>
            <w:noWrap/>
            <w:vAlign w:val="center"/>
            <w:hideMark/>
          </w:tcPr>
          <w:p w14:paraId="518FE5DD" w14:textId="77777777" w:rsidR="00BC5219" w:rsidRPr="00EB1781" w:rsidRDefault="00BC5219" w:rsidP="00E83802">
            <w:pPr>
              <w:jc w:val="right"/>
              <w:rPr>
                <w:rFonts w:ascii="Meta Pro" w:eastAsia="Times New Roman" w:hAnsi="Meta Pro"/>
                <w:b/>
                <w:bCs/>
                <w:szCs w:val="18"/>
                <w:lang w:eastAsia="en-AU"/>
              </w:rPr>
            </w:pPr>
            <w:r w:rsidRPr="00EB1781">
              <w:rPr>
                <w:rFonts w:ascii="Meta Pro" w:eastAsia="Times New Roman" w:hAnsi="Meta Pro"/>
                <w:b/>
                <w:bCs/>
                <w:szCs w:val="18"/>
                <w:lang w:eastAsia="en-AU"/>
              </w:rPr>
              <w:t xml:space="preserve">3,296 </w:t>
            </w:r>
          </w:p>
        </w:tc>
      </w:tr>
      <w:tr w:rsidR="00BC5219" w:rsidRPr="00EB1781" w14:paraId="672A36CE" w14:textId="77777777" w:rsidTr="00E83802">
        <w:trPr>
          <w:trHeight w:val="240"/>
        </w:trPr>
        <w:tc>
          <w:tcPr>
            <w:tcW w:w="7136" w:type="dxa"/>
            <w:tcBorders>
              <w:top w:val="nil"/>
              <w:left w:val="nil"/>
              <w:bottom w:val="nil"/>
              <w:right w:val="nil"/>
            </w:tcBorders>
            <w:shd w:val="clear" w:color="auto" w:fill="auto"/>
            <w:noWrap/>
            <w:vAlign w:val="center"/>
            <w:hideMark/>
          </w:tcPr>
          <w:p w14:paraId="70DF686E" w14:textId="77777777" w:rsidR="00BC5219" w:rsidRPr="00EB1781" w:rsidRDefault="00BC5219" w:rsidP="00E83802">
            <w:pPr>
              <w:jc w:val="right"/>
              <w:rPr>
                <w:rFonts w:ascii="Meta Pro" w:eastAsia="Times New Roman" w:hAnsi="Meta Pro"/>
                <w:b/>
                <w:bCs/>
                <w:szCs w:val="18"/>
                <w:lang w:eastAsia="en-AU"/>
              </w:rPr>
            </w:pPr>
          </w:p>
        </w:tc>
        <w:tc>
          <w:tcPr>
            <w:tcW w:w="1156" w:type="dxa"/>
            <w:tcBorders>
              <w:top w:val="nil"/>
              <w:left w:val="nil"/>
              <w:bottom w:val="nil"/>
              <w:right w:val="nil"/>
            </w:tcBorders>
            <w:shd w:val="clear" w:color="auto" w:fill="auto"/>
            <w:noWrap/>
            <w:vAlign w:val="center"/>
            <w:hideMark/>
          </w:tcPr>
          <w:p w14:paraId="45B63122" w14:textId="77777777" w:rsidR="00BC5219" w:rsidRPr="00EB1781" w:rsidRDefault="00BC5219" w:rsidP="00E83802">
            <w:pPr>
              <w:rPr>
                <w:rFonts w:ascii="Times New Roman" w:eastAsia="Times New Roman" w:hAnsi="Times New Roman"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7987B1DA" w14:textId="77777777" w:rsidR="00BC5219" w:rsidRPr="00EB1781"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65BEE37E" w14:textId="77777777" w:rsidR="00BC5219" w:rsidRPr="00EB1781" w:rsidRDefault="00BC5219" w:rsidP="00E83802">
            <w:pPr>
              <w:jc w:val="right"/>
              <w:rPr>
                <w:rFonts w:ascii="Times New Roman" w:eastAsia="Times New Roman" w:hAnsi="Times New Roman" w:cs="Times New Roman"/>
                <w:sz w:val="20"/>
                <w:szCs w:val="20"/>
                <w:lang w:eastAsia="en-AU"/>
              </w:rPr>
            </w:pPr>
          </w:p>
        </w:tc>
      </w:tr>
      <w:tr w:rsidR="00BC5219" w:rsidRPr="00EB1781" w14:paraId="76ACBF1C" w14:textId="77777777" w:rsidTr="00E83802">
        <w:trPr>
          <w:trHeight w:val="240"/>
        </w:trPr>
        <w:tc>
          <w:tcPr>
            <w:tcW w:w="7136" w:type="dxa"/>
            <w:tcBorders>
              <w:top w:val="nil"/>
              <w:left w:val="nil"/>
              <w:bottom w:val="nil"/>
              <w:right w:val="nil"/>
            </w:tcBorders>
            <w:shd w:val="clear" w:color="auto" w:fill="auto"/>
            <w:noWrap/>
            <w:vAlign w:val="center"/>
            <w:hideMark/>
          </w:tcPr>
          <w:p w14:paraId="59857B77" w14:textId="77777777" w:rsidR="00BC5219" w:rsidRPr="00EB1781" w:rsidRDefault="00BC5219" w:rsidP="00E83802">
            <w:pPr>
              <w:rPr>
                <w:rFonts w:ascii="Meta Pro" w:eastAsia="Times New Roman" w:hAnsi="Meta Pro"/>
                <w:b/>
                <w:bCs/>
                <w:szCs w:val="18"/>
                <w:lang w:eastAsia="en-AU"/>
              </w:rPr>
            </w:pPr>
            <w:r w:rsidRPr="00EB1781">
              <w:rPr>
                <w:rFonts w:ascii="Meta Pro" w:eastAsia="Times New Roman" w:hAnsi="Meta Pro"/>
                <w:b/>
                <w:bCs/>
                <w:szCs w:val="18"/>
                <w:lang w:eastAsia="en-AU"/>
              </w:rPr>
              <w:t>Reconciliation of current tax (receivable)/payable</w:t>
            </w:r>
          </w:p>
        </w:tc>
        <w:tc>
          <w:tcPr>
            <w:tcW w:w="1156" w:type="dxa"/>
            <w:tcBorders>
              <w:top w:val="nil"/>
              <w:left w:val="nil"/>
              <w:bottom w:val="nil"/>
              <w:right w:val="nil"/>
            </w:tcBorders>
            <w:shd w:val="clear" w:color="auto" w:fill="auto"/>
            <w:noWrap/>
            <w:vAlign w:val="center"/>
            <w:hideMark/>
          </w:tcPr>
          <w:p w14:paraId="70DE5D05" w14:textId="77777777" w:rsidR="00BC5219" w:rsidRPr="00EB1781" w:rsidRDefault="00BC5219" w:rsidP="00E83802">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1DA36C06" w14:textId="77777777" w:rsidR="00BC5219" w:rsidRPr="00EB1781"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2173E88A" w14:textId="77777777" w:rsidR="00BC5219" w:rsidRPr="00EB1781" w:rsidRDefault="00BC5219" w:rsidP="00E83802">
            <w:pPr>
              <w:jc w:val="right"/>
              <w:rPr>
                <w:rFonts w:ascii="Times New Roman" w:eastAsia="Times New Roman" w:hAnsi="Times New Roman" w:cs="Times New Roman"/>
                <w:sz w:val="20"/>
                <w:szCs w:val="20"/>
                <w:lang w:eastAsia="en-AU"/>
              </w:rPr>
            </w:pPr>
          </w:p>
        </w:tc>
      </w:tr>
      <w:tr w:rsidR="00BC5219" w:rsidRPr="00EB1781" w14:paraId="19BCDCC8" w14:textId="77777777" w:rsidTr="00E83802">
        <w:trPr>
          <w:trHeight w:val="90"/>
        </w:trPr>
        <w:tc>
          <w:tcPr>
            <w:tcW w:w="7136" w:type="dxa"/>
            <w:tcBorders>
              <w:top w:val="nil"/>
              <w:left w:val="nil"/>
              <w:bottom w:val="nil"/>
              <w:right w:val="nil"/>
            </w:tcBorders>
            <w:shd w:val="clear" w:color="auto" w:fill="auto"/>
            <w:noWrap/>
            <w:vAlign w:val="center"/>
            <w:hideMark/>
          </w:tcPr>
          <w:p w14:paraId="5C2C923A" w14:textId="77777777" w:rsidR="00BC5219" w:rsidRPr="00EB1781"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34F29B0E" w14:textId="77777777" w:rsidR="00BC5219" w:rsidRPr="00EB1781" w:rsidRDefault="00BC5219" w:rsidP="00E83802">
            <w:pPr>
              <w:rPr>
                <w:rFonts w:ascii="Times New Roman" w:eastAsia="Times New Roman" w:hAnsi="Times New Roman"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5A3335B6" w14:textId="77777777" w:rsidR="00BC5219" w:rsidRPr="00EB1781"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79A067D9" w14:textId="77777777" w:rsidR="00BC5219" w:rsidRPr="00EB1781" w:rsidRDefault="00BC5219" w:rsidP="00E83802">
            <w:pPr>
              <w:jc w:val="right"/>
              <w:rPr>
                <w:rFonts w:ascii="Times New Roman" w:eastAsia="Times New Roman" w:hAnsi="Times New Roman" w:cs="Times New Roman"/>
                <w:sz w:val="20"/>
                <w:szCs w:val="20"/>
                <w:lang w:eastAsia="en-AU"/>
              </w:rPr>
            </w:pPr>
          </w:p>
        </w:tc>
      </w:tr>
      <w:tr w:rsidR="00BC5219" w:rsidRPr="00EB1781" w14:paraId="1BD020E7" w14:textId="77777777" w:rsidTr="00E83802">
        <w:trPr>
          <w:trHeight w:val="240"/>
        </w:trPr>
        <w:tc>
          <w:tcPr>
            <w:tcW w:w="7136" w:type="dxa"/>
            <w:tcBorders>
              <w:top w:val="nil"/>
              <w:left w:val="nil"/>
              <w:bottom w:val="nil"/>
              <w:right w:val="nil"/>
            </w:tcBorders>
            <w:shd w:val="clear" w:color="auto" w:fill="auto"/>
            <w:noWrap/>
            <w:vAlign w:val="center"/>
            <w:hideMark/>
          </w:tcPr>
          <w:p w14:paraId="7D6E9C53" w14:textId="77777777" w:rsidR="00BC5219" w:rsidRPr="00EB1781" w:rsidRDefault="00BC5219" w:rsidP="00E83802">
            <w:pPr>
              <w:rPr>
                <w:rFonts w:ascii="Meta Pro" w:eastAsia="Times New Roman" w:hAnsi="Meta Pro"/>
                <w:szCs w:val="18"/>
                <w:lang w:eastAsia="en-AU"/>
              </w:rPr>
            </w:pPr>
            <w:r w:rsidRPr="00EB1781">
              <w:rPr>
                <w:rFonts w:ascii="Meta Pro" w:eastAsia="Times New Roman" w:hAnsi="Meta Pro"/>
                <w:szCs w:val="18"/>
                <w:lang w:eastAsia="en-AU"/>
              </w:rPr>
              <w:t>Opening balance</w:t>
            </w:r>
          </w:p>
        </w:tc>
        <w:tc>
          <w:tcPr>
            <w:tcW w:w="1156" w:type="dxa"/>
            <w:tcBorders>
              <w:top w:val="nil"/>
              <w:left w:val="nil"/>
              <w:bottom w:val="nil"/>
              <w:right w:val="nil"/>
            </w:tcBorders>
            <w:shd w:val="clear" w:color="000000" w:fill="C9E3B4"/>
            <w:noWrap/>
            <w:vAlign w:val="center"/>
            <w:hideMark/>
          </w:tcPr>
          <w:p w14:paraId="17701AC9" w14:textId="77777777" w:rsidR="00BC5219" w:rsidRPr="00EB1781" w:rsidRDefault="00BC5219" w:rsidP="00E83802">
            <w:pPr>
              <w:jc w:val="right"/>
              <w:rPr>
                <w:rFonts w:ascii="Meta Pro" w:eastAsia="Times New Roman" w:hAnsi="Meta Pro"/>
                <w:szCs w:val="18"/>
                <w:lang w:eastAsia="en-AU"/>
              </w:rPr>
            </w:pPr>
            <w:r w:rsidRPr="00EB1781">
              <w:rPr>
                <w:rFonts w:ascii="Meta Pro" w:eastAsia="Times New Roman" w:hAnsi="Meta Pro"/>
                <w:szCs w:val="18"/>
                <w:lang w:eastAsia="en-AU"/>
              </w:rPr>
              <w:t>(1,301)</w:t>
            </w:r>
          </w:p>
        </w:tc>
        <w:tc>
          <w:tcPr>
            <w:tcW w:w="216" w:type="dxa"/>
            <w:tcBorders>
              <w:top w:val="nil"/>
              <w:left w:val="nil"/>
              <w:bottom w:val="nil"/>
              <w:right w:val="nil"/>
            </w:tcBorders>
            <w:shd w:val="clear" w:color="auto" w:fill="auto"/>
            <w:noWrap/>
            <w:vAlign w:val="center"/>
            <w:hideMark/>
          </w:tcPr>
          <w:p w14:paraId="42C04399" w14:textId="77777777" w:rsidR="00BC5219" w:rsidRPr="00EB1781"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64EE0F5C" w14:textId="77777777" w:rsidR="00BC5219" w:rsidRPr="00EB1781" w:rsidRDefault="00BC5219" w:rsidP="00E83802">
            <w:pPr>
              <w:jc w:val="right"/>
              <w:rPr>
                <w:rFonts w:ascii="Meta Pro" w:eastAsia="Times New Roman" w:hAnsi="Meta Pro"/>
                <w:szCs w:val="18"/>
                <w:lang w:eastAsia="en-AU"/>
              </w:rPr>
            </w:pPr>
            <w:r w:rsidRPr="00EB1781">
              <w:rPr>
                <w:rFonts w:ascii="Meta Pro" w:eastAsia="Times New Roman" w:hAnsi="Meta Pro"/>
                <w:szCs w:val="18"/>
                <w:lang w:eastAsia="en-AU"/>
              </w:rPr>
              <w:t>(2,486)</w:t>
            </w:r>
          </w:p>
        </w:tc>
      </w:tr>
      <w:tr w:rsidR="00BC5219" w:rsidRPr="00EB1781" w14:paraId="3A9CE1BF" w14:textId="77777777" w:rsidTr="00E83802">
        <w:trPr>
          <w:trHeight w:val="240"/>
        </w:trPr>
        <w:tc>
          <w:tcPr>
            <w:tcW w:w="7136" w:type="dxa"/>
            <w:tcBorders>
              <w:top w:val="nil"/>
              <w:left w:val="nil"/>
              <w:bottom w:val="nil"/>
              <w:right w:val="nil"/>
            </w:tcBorders>
            <w:shd w:val="clear" w:color="auto" w:fill="auto"/>
            <w:noWrap/>
            <w:vAlign w:val="center"/>
            <w:hideMark/>
          </w:tcPr>
          <w:p w14:paraId="1A8B07A6" w14:textId="77777777" w:rsidR="00BC5219" w:rsidRPr="00EB1781" w:rsidRDefault="00BC5219" w:rsidP="00E83802">
            <w:pPr>
              <w:rPr>
                <w:rFonts w:ascii="Meta Pro" w:eastAsia="Times New Roman" w:hAnsi="Meta Pro"/>
                <w:szCs w:val="18"/>
                <w:lang w:eastAsia="en-AU"/>
              </w:rPr>
            </w:pPr>
            <w:r w:rsidRPr="00EB1781">
              <w:rPr>
                <w:rFonts w:ascii="Meta Pro" w:eastAsia="Times New Roman" w:hAnsi="Meta Pro"/>
                <w:szCs w:val="18"/>
                <w:lang w:eastAsia="en-AU"/>
              </w:rPr>
              <w:t>Net movements</w:t>
            </w:r>
          </w:p>
        </w:tc>
        <w:tc>
          <w:tcPr>
            <w:tcW w:w="1156" w:type="dxa"/>
            <w:tcBorders>
              <w:top w:val="nil"/>
              <w:left w:val="nil"/>
              <w:bottom w:val="nil"/>
              <w:right w:val="nil"/>
            </w:tcBorders>
            <w:shd w:val="clear" w:color="000000" w:fill="C9E3B4"/>
            <w:noWrap/>
            <w:vAlign w:val="center"/>
            <w:hideMark/>
          </w:tcPr>
          <w:p w14:paraId="62B13AF4" w14:textId="77777777" w:rsidR="00BC5219" w:rsidRPr="00EB1781" w:rsidRDefault="00BC5219" w:rsidP="00E83802">
            <w:pPr>
              <w:jc w:val="right"/>
              <w:rPr>
                <w:rFonts w:ascii="Meta Pro" w:eastAsia="Times New Roman" w:hAnsi="Meta Pro"/>
                <w:szCs w:val="18"/>
                <w:lang w:eastAsia="en-AU"/>
              </w:rPr>
            </w:pPr>
            <w:r w:rsidRPr="00EB1781">
              <w:rPr>
                <w:rFonts w:ascii="Meta Pro" w:eastAsia="Times New Roman" w:hAnsi="Meta Pro"/>
                <w:szCs w:val="18"/>
                <w:lang w:eastAsia="en-AU"/>
              </w:rPr>
              <w:t>(1,526)</w:t>
            </w:r>
          </w:p>
        </w:tc>
        <w:tc>
          <w:tcPr>
            <w:tcW w:w="216" w:type="dxa"/>
            <w:tcBorders>
              <w:top w:val="nil"/>
              <w:left w:val="nil"/>
              <w:bottom w:val="nil"/>
              <w:right w:val="nil"/>
            </w:tcBorders>
            <w:shd w:val="clear" w:color="auto" w:fill="auto"/>
            <w:noWrap/>
            <w:vAlign w:val="center"/>
            <w:hideMark/>
          </w:tcPr>
          <w:p w14:paraId="442F7FB4" w14:textId="77777777" w:rsidR="00BC5219" w:rsidRPr="00EB1781"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6D42E6CB" w14:textId="77777777" w:rsidR="00BC5219" w:rsidRPr="00EB1781" w:rsidRDefault="00BC5219" w:rsidP="00E83802">
            <w:pPr>
              <w:jc w:val="right"/>
              <w:rPr>
                <w:rFonts w:ascii="Meta Pro" w:eastAsia="Times New Roman" w:hAnsi="Meta Pro"/>
                <w:szCs w:val="18"/>
                <w:lang w:eastAsia="en-AU"/>
              </w:rPr>
            </w:pPr>
            <w:r w:rsidRPr="00EB1781">
              <w:rPr>
                <w:rFonts w:ascii="Meta Pro" w:eastAsia="Times New Roman" w:hAnsi="Meta Pro"/>
                <w:szCs w:val="18"/>
                <w:lang w:eastAsia="en-AU"/>
              </w:rPr>
              <w:t xml:space="preserve">1,185 </w:t>
            </w:r>
          </w:p>
        </w:tc>
      </w:tr>
      <w:tr w:rsidR="00BC5219" w:rsidRPr="00EB1781" w14:paraId="25616431" w14:textId="77777777" w:rsidTr="00E83802">
        <w:trPr>
          <w:trHeight w:val="240"/>
        </w:trPr>
        <w:tc>
          <w:tcPr>
            <w:tcW w:w="7136" w:type="dxa"/>
            <w:tcBorders>
              <w:top w:val="single" w:sz="4" w:space="0" w:color="auto"/>
              <w:left w:val="nil"/>
              <w:bottom w:val="double" w:sz="6" w:space="0" w:color="auto"/>
              <w:right w:val="nil"/>
            </w:tcBorders>
            <w:shd w:val="clear" w:color="auto" w:fill="auto"/>
            <w:noWrap/>
            <w:vAlign w:val="center"/>
            <w:hideMark/>
          </w:tcPr>
          <w:p w14:paraId="2F8D3AB9" w14:textId="77777777" w:rsidR="00BC5219" w:rsidRPr="00EB1781" w:rsidRDefault="00BC5219" w:rsidP="00E83802">
            <w:pPr>
              <w:rPr>
                <w:rFonts w:ascii="Meta Pro" w:eastAsia="Times New Roman" w:hAnsi="Meta Pro"/>
                <w:b/>
                <w:bCs/>
                <w:szCs w:val="18"/>
                <w:lang w:eastAsia="en-AU"/>
              </w:rPr>
            </w:pPr>
            <w:r w:rsidRPr="00EB1781">
              <w:rPr>
                <w:rFonts w:ascii="Meta Pro" w:eastAsia="Times New Roman" w:hAnsi="Meta Pro"/>
                <w:b/>
                <w:bCs/>
                <w:szCs w:val="18"/>
                <w:lang w:eastAsia="en-AU"/>
              </w:rPr>
              <w:t>Current tax receivable at 30 June</w:t>
            </w:r>
          </w:p>
        </w:tc>
        <w:tc>
          <w:tcPr>
            <w:tcW w:w="1156" w:type="dxa"/>
            <w:tcBorders>
              <w:top w:val="single" w:sz="4" w:space="0" w:color="auto"/>
              <w:left w:val="nil"/>
              <w:bottom w:val="double" w:sz="6" w:space="0" w:color="auto"/>
              <w:right w:val="nil"/>
            </w:tcBorders>
            <w:shd w:val="clear" w:color="000000" w:fill="C9E3B4"/>
            <w:noWrap/>
            <w:vAlign w:val="center"/>
            <w:hideMark/>
          </w:tcPr>
          <w:p w14:paraId="581298FB" w14:textId="77777777" w:rsidR="00BC5219" w:rsidRPr="00EB1781" w:rsidRDefault="00BC5219" w:rsidP="00E83802">
            <w:pPr>
              <w:jc w:val="right"/>
              <w:rPr>
                <w:rFonts w:ascii="Meta Pro" w:eastAsia="Times New Roman" w:hAnsi="Meta Pro"/>
                <w:b/>
                <w:bCs/>
                <w:szCs w:val="18"/>
                <w:lang w:eastAsia="en-AU"/>
              </w:rPr>
            </w:pPr>
            <w:r w:rsidRPr="00EB1781">
              <w:rPr>
                <w:rFonts w:ascii="Meta Pro" w:eastAsia="Times New Roman" w:hAnsi="Meta Pro"/>
                <w:b/>
                <w:bCs/>
                <w:szCs w:val="18"/>
                <w:lang w:eastAsia="en-AU"/>
              </w:rPr>
              <w:t>(2,827)</w:t>
            </w:r>
          </w:p>
        </w:tc>
        <w:tc>
          <w:tcPr>
            <w:tcW w:w="216" w:type="dxa"/>
            <w:tcBorders>
              <w:top w:val="single" w:sz="4" w:space="0" w:color="auto"/>
              <w:left w:val="nil"/>
              <w:bottom w:val="double" w:sz="6" w:space="0" w:color="auto"/>
              <w:right w:val="nil"/>
            </w:tcBorders>
            <w:shd w:val="clear" w:color="auto" w:fill="auto"/>
            <w:noWrap/>
            <w:vAlign w:val="center"/>
            <w:hideMark/>
          </w:tcPr>
          <w:p w14:paraId="5C83C3DA" w14:textId="77777777" w:rsidR="00BC5219" w:rsidRPr="00EB1781" w:rsidRDefault="00BC5219" w:rsidP="00E83802">
            <w:pPr>
              <w:jc w:val="right"/>
              <w:rPr>
                <w:rFonts w:ascii="Meta Pro" w:eastAsia="Times New Roman" w:hAnsi="Meta Pro"/>
                <w:szCs w:val="18"/>
                <w:lang w:eastAsia="en-AU"/>
              </w:rPr>
            </w:pPr>
            <w:r w:rsidRPr="00EB1781">
              <w:rPr>
                <w:rFonts w:ascii="Meta Pro" w:eastAsia="Times New Roman" w:hAnsi="Meta Pro"/>
                <w:szCs w:val="18"/>
                <w:lang w:eastAsia="en-AU"/>
              </w:rPr>
              <w:t> </w:t>
            </w:r>
          </w:p>
        </w:tc>
        <w:tc>
          <w:tcPr>
            <w:tcW w:w="1156" w:type="dxa"/>
            <w:tcBorders>
              <w:top w:val="single" w:sz="4" w:space="0" w:color="auto"/>
              <w:left w:val="nil"/>
              <w:bottom w:val="double" w:sz="6" w:space="0" w:color="auto"/>
              <w:right w:val="nil"/>
            </w:tcBorders>
            <w:shd w:val="clear" w:color="auto" w:fill="auto"/>
            <w:noWrap/>
            <w:vAlign w:val="center"/>
            <w:hideMark/>
          </w:tcPr>
          <w:p w14:paraId="45FD66E6" w14:textId="77777777" w:rsidR="00BC5219" w:rsidRPr="00EB1781" w:rsidRDefault="00BC5219" w:rsidP="00E83802">
            <w:pPr>
              <w:jc w:val="right"/>
              <w:rPr>
                <w:rFonts w:ascii="Meta Pro" w:eastAsia="Times New Roman" w:hAnsi="Meta Pro"/>
                <w:b/>
                <w:bCs/>
                <w:szCs w:val="18"/>
                <w:lang w:eastAsia="en-AU"/>
              </w:rPr>
            </w:pPr>
            <w:r w:rsidRPr="00EB1781">
              <w:rPr>
                <w:rFonts w:ascii="Meta Pro" w:eastAsia="Times New Roman" w:hAnsi="Meta Pro"/>
                <w:b/>
                <w:bCs/>
                <w:szCs w:val="18"/>
                <w:lang w:eastAsia="en-AU"/>
              </w:rPr>
              <w:t>(1,301)</w:t>
            </w:r>
          </w:p>
        </w:tc>
      </w:tr>
    </w:tbl>
    <w:p w14:paraId="244D6F17" w14:textId="77777777" w:rsidR="00BC5219" w:rsidRPr="008A2B8F" w:rsidRDefault="00BC5219" w:rsidP="00BC5219">
      <w:pPr>
        <w:rPr>
          <w:rFonts w:ascii="Meta Pro" w:eastAsia="Times New Roman" w:hAnsi="Meta Pro"/>
          <w:sz w:val="16"/>
          <w:szCs w:val="16"/>
          <w:lang w:eastAsia="en-AU"/>
        </w:rPr>
      </w:pPr>
    </w:p>
    <w:p w14:paraId="49AB7D2D" w14:textId="77777777" w:rsidR="00BC5219" w:rsidRPr="008A2B8F" w:rsidRDefault="00BC5219" w:rsidP="00BC5219">
      <w:pPr>
        <w:pStyle w:val="ACPHeading"/>
      </w:pPr>
      <w:r w:rsidRPr="008A2B8F">
        <w:t xml:space="preserve">Accounting policy </w:t>
      </w:r>
    </w:p>
    <w:p w14:paraId="52EE0D8D" w14:textId="77777777" w:rsidR="00BC5219" w:rsidRPr="008A2B8F" w:rsidRDefault="00BC5219" w:rsidP="00BC5219">
      <w:pPr>
        <w:pStyle w:val="ACPPara"/>
        <w:spacing w:after="60"/>
      </w:pPr>
      <w:r w:rsidRPr="008A2B8F">
        <w:t xml:space="preserve">The department is a State body as defined under the </w:t>
      </w:r>
      <w:r w:rsidRPr="008A2B8F">
        <w:rPr>
          <w:i/>
          <w:iCs/>
        </w:rPr>
        <w:t>Income Tax Assessment Act 1936</w:t>
      </w:r>
      <w:r w:rsidRPr="008A2B8F">
        <w:t xml:space="preserve"> and is generally exempt from Australian Government taxation with the exception of Fringe Benefits Tax (FBT) and Goods and Services Tax (GST). </w:t>
      </w:r>
    </w:p>
    <w:p w14:paraId="118AAAC6" w14:textId="77777777" w:rsidR="00BC5219" w:rsidRPr="008A2B8F" w:rsidRDefault="00BC5219" w:rsidP="00BC5219">
      <w:pPr>
        <w:pStyle w:val="ACPPara"/>
        <w:spacing w:after="60"/>
      </w:pPr>
      <w:r w:rsidRPr="008A2B8F">
        <w:t xml:space="preserve">The RoadTek </w:t>
      </w:r>
      <w:r>
        <w:t xml:space="preserve">and CITEC </w:t>
      </w:r>
      <w:r w:rsidRPr="008A2B8F">
        <w:t>business unit</w:t>
      </w:r>
      <w:r>
        <w:t>s are</w:t>
      </w:r>
      <w:r w:rsidRPr="008A2B8F">
        <w:t xml:space="preserve"> subject to the requirements of the National Tax Equivalents Regime (NTER). The liability for income tax equivalents under NTER is calculated substantially on the same basis as a corporate tax payer. The department remits its tax equivalents to Queensland Treasury in accordance with NTER arrangements.</w:t>
      </w:r>
    </w:p>
    <w:p w14:paraId="0FC62B86" w14:textId="77777777" w:rsidR="00BC5219" w:rsidRPr="008A2B8F" w:rsidRDefault="00BC5219" w:rsidP="00BC5219">
      <w:pPr>
        <w:pStyle w:val="ACPPara"/>
        <w:spacing w:after="60"/>
      </w:pPr>
      <w:r w:rsidRPr="008A2B8F">
        <w:t>The amount of deferred tax provided is based on the expected manner of realisation or settlement of the carrying amount of assets and liabilities compared to their respective tax bases, in the ordinary course of business.</w:t>
      </w:r>
    </w:p>
    <w:p w14:paraId="408072FF" w14:textId="77777777" w:rsidR="00BC5219" w:rsidRPr="008A2B8F" w:rsidRDefault="00BC5219" w:rsidP="00BC5219">
      <w:pPr>
        <w:pStyle w:val="ACPPara"/>
        <w:spacing w:after="60"/>
        <w:sectPr w:rsidR="00BC5219" w:rsidRPr="008A2B8F" w:rsidSect="005A0792">
          <w:footerReference w:type="default" r:id="rId126"/>
          <w:type w:val="continuous"/>
          <w:pgSz w:w="11906" w:h="16838"/>
          <w:pgMar w:top="1701" w:right="851" w:bottom="1134" w:left="851" w:header="454" w:footer="454" w:gutter="0"/>
          <w:pgNumType w:start="30"/>
          <w:cols w:space="708"/>
          <w:docGrid w:linePitch="360"/>
        </w:sectPr>
      </w:pPr>
      <w:r w:rsidRPr="008A2B8F">
        <w:t>A deferred tax asset is recognised only to the extent that it is probable that future taxable profits will be available against which the tax asset can be used.  Deferred tax assets and liabilities are set off on the basis that they relate to income taxes levied by the same taxation authority and the department has a legally enforceable right to set off current tax assets against current tax liabilities.</w:t>
      </w:r>
    </w:p>
    <w:p w14:paraId="1AC866C6"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r w:rsidRPr="008A2B8F">
        <w:rPr>
          <w:rFonts w:ascii="Meta Pro" w:eastAsia="Times New Roman" w:hAnsi="Meta Pro"/>
          <w:i/>
          <w:iCs/>
          <w:color w:val="000000" w:themeColor="text1"/>
          <w:lang w:eastAsia="en-AU"/>
        </w:rPr>
        <w:lastRenderedPageBreak/>
        <w:t>Department of Transport and Main Roads</w:t>
      </w:r>
    </w:p>
    <w:p w14:paraId="151B6E02" w14:textId="77777777" w:rsidR="00BC5219" w:rsidRPr="00450B68"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Notes to the financial statements 2022–23 (continued)</w:t>
      </w:r>
    </w:p>
    <w:tbl>
      <w:tblPr>
        <w:tblW w:w="0" w:type="auto"/>
        <w:tblCellMar>
          <w:left w:w="0" w:type="dxa"/>
        </w:tblCellMar>
        <w:tblLook w:val="04A0" w:firstRow="1" w:lastRow="0" w:firstColumn="1" w:lastColumn="0" w:noHBand="0" w:noVBand="1"/>
      </w:tblPr>
      <w:tblGrid>
        <w:gridCol w:w="7144"/>
        <w:gridCol w:w="1164"/>
        <w:gridCol w:w="224"/>
        <w:gridCol w:w="1164"/>
      </w:tblGrid>
      <w:tr w:rsidR="00BC5219" w:rsidRPr="00450B68" w14:paraId="13FAB58A" w14:textId="77777777" w:rsidTr="00E83802">
        <w:trPr>
          <w:trHeight w:val="240"/>
        </w:trPr>
        <w:tc>
          <w:tcPr>
            <w:tcW w:w="7136" w:type="dxa"/>
            <w:tcBorders>
              <w:top w:val="nil"/>
              <w:left w:val="nil"/>
              <w:bottom w:val="nil"/>
              <w:right w:val="nil"/>
            </w:tcBorders>
            <w:shd w:val="clear" w:color="auto" w:fill="auto"/>
            <w:noWrap/>
            <w:vAlign w:val="center"/>
            <w:hideMark/>
          </w:tcPr>
          <w:p w14:paraId="5857FF6B" w14:textId="77777777" w:rsidR="00BC5219" w:rsidRPr="00450B68" w:rsidRDefault="00BC5219" w:rsidP="00E83802">
            <w:pPr>
              <w:rPr>
                <w:rFonts w:ascii="Meta Pro" w:eastAsia="Times New Roman" w:hAnsi="Meta Pro" w:cs="Times New Roman"/>
                <w:sz w:val="24"/>
                <w:szCs w:val="24"/>
                <w:lang w:eastAsia="en-AU"/>
              </w:rPr>
            </w:pPr>
          </w:p>
        </w:tc>
        <w:tc>
          <w:tcPr>
            <w:tcW w:w="1156" w:type="dxa"/>
            <w:tcBorders>
              <w:top w:val="nil"/>
              <w:left w:val="nil"/>
              <w:bottom w:val="nil"/>
              <w:right w:val="nil"/>
            </w:tcBorders>
            <w:shd w:val="clear" w:color="auto" w:fill="auto"/>
            <w:noWrap/>
            <w:vAlign w:val="center"/>
            <w:hideMark/>
          </w:tcPr>
          <w:p w14:paraId="42EE8AA8" w14:textId="77777777" w:rsidR="00BC5219" w:rsidRPr="00450B68" w:rsidRDefault="00BC5219" w:rsidP="00E83802">
            <w:pPr>
              <w:jc w:val="center"/>
              <w:rPr>
                <w:rFonts w:ascii="Meta Pro" w:eastAsia="Times New Roman" w:hAnsi="Meta Pro"/>
                <w:b/>
                <w:bCs/>
                <w:lang w:eastAsia="en-AU"/>
              </w:rPr>
            </w:pPr>
            <w:r w:rsidRPr="00450B68">
              <w:rPr>
                <w:rFonts w:ascii="Meta Pro" w:eastAsia="Times New Roman" w:hAnsi="Meta Pro"/>
                <w:b/>
                <w:bCs/>
                <w:lang w:eastAsia="en-AU"/>
              </w:rPr>
              <w:t>2023</w:t>
            </w:r>
          </w:p>
        </w:tc>
        <w:tc>
          <w:tcPr>
            <w:tcW w:w="216" w:type="dxa"/>
            <w:tcBorders>
              <w:top w:val="nil"/>
              <w:left w:val="nil"/>
              <w:bottom w:val="nil"/>
              <w:right w:val="nil"/>
            </w:tcBorders>
            <w:shd w:val="clear" w:color="auto" w:fill="auto"/>
            <w:noWrap/>
            <w:vAlign w:val="center"/>
            <w:hideMark/>
          </w:tcPr>
          <w:p w14:paraId="544A2041" w14:textId="77777777" w:rsidR="00BC5219" w:rsidRPr="00450B68" w:rsidRDefault="00BC5219" w:rsidP="00E83802">
            <w:pPr>
              <w:jc w:val="center"/>
              <w:rPr>
                <w:rFonts w:ascii="Meta Pro" w:eastAsia="Times New Roman" w:hAnsi="Meta Pro"/>
                <w:b/>
                <w:bCs/>
                <w:lang w:eastAsia="en-AU"/>
              </w:rPr>
            </w:pPr>
          </w:p>
        </w:tc>
        <w:tc>
          <w:tcPr>
            <w:tcW w:w="1156" w:type="dxa"/>
            <w:tcBorders>
              <w:top w:val="nil"/>
              <w:left w:val="nil"/>
              <w:bottom w:val="nil"/>
              <w:right w:val="nil"/>
            </w:tcBorders>
            <w:shd w:val="clear" w:color="auto" w:fill="auto"/>
            <w:noWrap/>
            <w:vAlign w:val="center"/>
            <w:hideMark/>
          </w:tcPr>
          <w:p w14:paraId="3AC4338F" w14:textId="77777777" w:rsidR="00BC5219" w:rsidRPr="00450B68" w:rsidRDefault="00BC5219" w:rsidP="00E83802">
            <w:pPr>
              <w:jc w:val="center"/>
              <w:rPr>
                <w:rFonts w:ascii="Meta Pro" w:eastAsia="Times New Roman" w:hAnsi="Meta Pro"/>
                <w:b/>
                <w:bCs/>
                <w:lang w:eastAsia="en-AU"/>
              </w:rPr>
            </w:pPr>
            <w:r w:rsidRPr="00450B68">
              <w:rPr>
                <w:rFonts w:ascii="Meta Pro" w:eastAsia="Times New Roman" w:hAnsi="Meta Pro"/>
                <w:b/>
                <w:bCs/>
                <w:lang w:eastAsia="en-AU"/>
              </w:rPr>
              <w:t>2022</w:t>
            </w:r>
          </w:p>
        </w:tc>
      </w:tr>
      <w:tr w:rsidR="00BC5219" w:rsidRPr="00450B68" w14:paraId="1517AA8B" w14:textId="77777777" w:rsidTr="00E83802">
        <w:trPr>
          <w:trHeight w:val="240"/>
        </w:trPr>
        <w:tc>
          <w:tcPr>
            <w:tcW w:w="7136" w:type="dxa"/>
            <w:tcBorders>
              <w:top w:val="nil"/>
              <w:left w:val="nil"/>
              <w:bottom w:val="nil"/>
              <w:right w:val="nil"/>
            </w:tcBorders>
            <w:shd w:val="clear" w:color="auto" w:fill="auto"/>
            <w:noWrap/>
            <w:vAlign w:val="center"/>
            <w:hideMark/>
          </w:tcPr>
          <w:p w14:paraId="141338A4" w14:textId="77777777" w:rsidR="00BC5219" w:rsidRPr="00450B68" w:rsidRDefault="00BC5219" w:rsidP="00E83802">
            <w:pPr>
              <w:jc w:val="center"/>
              <w:rPr>
                <w:rFonts w:ascii="Meta Pro" w:eastAsia="Times New Roman" w:hAnsi="Meta Pro"/>
                <w:b/>
                <w:bCs/>
                <w:lang w:eastAsia="en-AU"/>
              </w:rPr>
            </w:pPr>
          </w:p>
        </w:tc>
        <w:tc>
          <w:tcPr>
            <w:tcW w:w="1156" w:type="dxa"/>
            <w:tcBorders>
              <w:top w:val="nil"/>
              <w:left w:val="nil"/>
              <w:bottom w:val="nil"/>
              <w:right w:val="nil"/>
            </w:tcBorders>
            <w:shd w:val="clear" w:color="auto" w:fill="auto"/>
            <w:noWrap/>
            <w:vAlign w:val="center"/>
            <w:hideMark/>
          </w:tcPr>
          <w:p w14:paraId="4070A652" w14:textId="77777777" w:rsidR="00BC5219" w:rsidRPr="00450B68" w:rsidRDefault="00BC5219" w:rsidP="00E83802">
            <w:pPr>
              <w:jc w:val="center"/>
              <w:rPr>
                <w:rFonts w:ascii="Meta Pro" w:eastAsia="Times New Roman" w:hAnsi="Meta Pro"/>
                <w:b/>
                <w:bCs/>
                <w:lang w:eastAsia="en-AU"/>
              </w:rPr>
            </w:pPr>
            <w:r w:rsidRPr="00450B68">
              <w:rPr>
                <w:rFonts w:ascii="Meta Pro" w:eastAsia="Times New Roman" w:hAnsi="Meta Pro"/>
                <w:b/>
                <w:bCs/>
                <w:lang w:eastAsia="en-AU"/>
              </w:rPr>
              <w:t>$'000</w:t>
            </w:r>
          </w:p>
        </w:tc>
        <w:tc>
          <w:tcPr>
            <w:tcW w:w="216" w:type="dxa"/>
            <w:tcBorders>
              <w:top w:val="nil"/>
              <w:left w:val="nil"/>
              <w:bottom w:val="nil"/>
              <w:right w:val="nil"/>
            </w:tcBorders>
            <w:shd w:val="clear" w:color="auto" w:fill="auto"/>
            <w:noWrap/>
            <w:vAlign w:val="center"/>
            <w:hideMark/>
          </w:tcPr>
          <w:p w14:paraId="3CA98137" w14:textId="77777777" w:rsidR="00BC5219" w:rsidRPr="00450B68" w:rsidRDefault="00BC5219" w:rsidP="00E83802">
            <w:pPr>
              <w:jc w:val="center"/>
              <w:rPr>
                <w:rFonts w:ascii="Meta Pro" w:eastAsia="Times New Roman" w:hAnsi="Meta Pro"/>
                <w:b/>
                <w:bCs/>
                <w:lang w:eastAsia="en-AU"/>
              </w:rPr>
            </w:pPr>
          </w:p>
        </w:tc>
        <w:tc>
          <w:tcPr>
            <w:tcW w:w="1156" w:type="dxa"/>
            <w:tcBorders>
              <w:top w:val="nil"/>
              <w:left w:val="nil"/>
              <w:bottom w:val="nil"/>
              <w:right w:val="nil"/>
            </w:tcBorders>
            <w:shd w:val="clear" w:color="auto" w:fill="auto"/>
            <w:noWrap/>
            <w:vAlign w:val="center"/>
            <w:hideMark/>
          </w:tcPr>
          <w:p w14:paraId="4DCEE443" w14:textId="77777777" w:rsidR="00BC5219" w:rsidRPr="00450B68" w:rsidRDefault="00BC5219" w:rsidP="00E83802">
            <w:pPr>
              <w:jc w:val="center"/>
              <w:rPr>
                <w:rFonts w:ascii="Meta Pro" w:eastAsia="Times New Roman" w:hAnsi="Meta Pro"/>
                <w:b/>
                <w:bCs/>
                <w:lang w:eastAsia="en-AU"/>
              </w:rPr>
            </w:pPr>
            <w:r w:rsidRPr="00450B68">
              <w:rPr>
                <w:rFonts w:ascii="Meta Pro" w:eastAsia="Times New Roman" w:hAnsi="Meta Pro"/>
                <w:b/>
                <w:bCs/>
                <w:lang w:eastAsia="en-AU"/>
              </w:rPr>
              <w:t>$'000</w:t>
            </w:r>
          </w:p>
        </w:tc>
      </w:tr>
      <w:tr w:rsidR="00BC5219" w:rsidRPr="00450B68" w14:paraId="3423AE9F" w14:textId="77777777" w:rsidTr="00E83802">
        <w:trPr>
          <w:trHeight w:val="240"/>
        </w:trPr>
        <w:tc>
          <w:tcPr>
            <w:tcW w:w="7136" w:type="dxa"/>
            <w:tcBorders>
              <w:top w:val="nil"/>
              <w:left w:val="nil"/>
              <w:bottom w:val="nil"/>
              <w:right w:val="nil"/>
            </w:tcBorders>
            <w:shd w:val="clear" w:color="auto" w:fill="auto"/>
            <w:noWrap/>
            <w:vAlign w:val="center"/>
            <w:hideMark/>
          </w:tcPr>
          <w:p w14:paraId="47F665EC" w14:textId="77777777" w:rsidR="00BC5219" w:rsidRPr="00450B68" w:rsidRDefault="00BC5219" w:rsidP="00E83802">
            <w:pPr>
              <w:rPr>
                <w:rFonts w:ascii="Meta Pro" w:eastAsia="Times New Roman" w:hAnsi="Meta Pro"/>
                <w:b/>
                <w:bCs/>
                <w:lang w:eastAsia="en-AU"/>
              </w:rPr>
            </w:pPr>
            <w:r w:rsidRPr="00450B68">
              <w:rPr>
                <w:rFonts w:ascii="Meta Pro" w:eastAsia="Times New Roman" w:hAnsi="Meta Pro"/>
                <w:b/>
                <w:bCs/>
                <w:lang w:eastAsia="en-AU"/>
              </w:rPr>
              <w:t>24     COMMITMENTS FOR EXPENDITURE</w:t>
            </w:r>
          </w:p>
        </w:tc>
        <w:tc>
          <w:tcPr>
            <w:tcW w:w="1156" w:type="dxa"/>
            <w:tcBorders>
              <w:top w:val="nil"/>
              <w:left w:val="nil"/>
              <w:bottom w:val="nil"/>
              <w:right w:val="nil"/>
            </w:tcBorders>
            <w:shd w:val="clear" w:color="auto" w:fill="auto"/>
            <w:noWrap/>
            <w:vAlign w:val="center"/>
            <w:hideMark/>
          </w:tcPr>
          <w:p w14:paraId="52B0D6E4" w14:textId="77777777" w:rsidR="00BC5219" w:rsidRPr="00450B68" w:rsidRDefault="00BC5219" w:rsidP="00E83802">
            <w:pPr>
              <w:rPr>
                <w:rFonts w:ascii="Meta Pro" w:eastAsia="Times New Roman" w:hAnsi="Meta Pro"/>
                <w:b/>
                <w:bCs/>
                <w:lang w:eastAsia="en-AU"/>
              </w:rPr>
            </w:pPr>
          </w:p>
        </w:tc>
        <w:tc>
          <w:tcPr>
            <w:tcW w:w="216" w:type="dxa"/>
            <w:tcBorders>
              <w:top w:val="nil"/>
              <w:left w:val="nil"/>
              <w:bottom w:val="nil"/>
              <w:right w:val="nil"/>
            </w:tcBorders>
            <w:shd w:val="clear" w:color="auto" w:fill="auto"/>
            <w:noWrap/>
            <w:vAlign w:val="center"/>
            <w:hideMark/>
          </w:tcPr>
          <w:p w14:paraId="6530BF98" w14:textId="77777777" w:rsidR="00BC5219" w:rsidRPr="00450B68"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1A331119" w14:textId="77777777" w:rsidR="00BC5219" w:rsidRPr="00450B68" w:rsidRDefault="00BC5219" w:rsidP="00E83802">
            <w:pPr>
              <w:jc w:val="right"/>
              <w:rPr>
                <w:rFonts w:ascii="Meta Pro" w:eastAsia="Times New Roman" w:hAnsi="Meta Pro" w:cs="Times New Roman"/>
                <w:sz w:val="20"/>
                <w:szCs w:val="20"/>
                <w:lang w:eastAsia="en-AU"/>
              </w:rPr>
            </w:pPr>
          </w:p>
        </w:tc>
      </w:tr>
      <w:tr w:rsidR="00BC5219" w:rsidRPr="00450B68" w14:paraId="66031888" w14:textId="77777777" w:rsidTr="00E83802">
        <w:trPr>
          <w:trHeight w:val="90"/>
        </w:trPr>
        <w:tc>
          <w:tcPr>
            <w:tcW w:w="7136" w:type="dxa"/>
            <w:tcBorders>
              <w:top w:val="nil"/>
              <w:left w:val="nil"/>
              <w:bottom w:val="nil"/>
              <w:right w:val="nil"/>
            </w:tcBorders>
            <w:shd w:val="clear" w:color="auto" w:fill="auto"/>
            <w:noWrap/>
            <w:vAlign w:val="center"/>
            <w:hideMark/>
          </w:tcPr>
          <w:p w14:paraId="57EEC8A0" w14:textId="77777777" w:rsidR="00BC5219" w:rsidRPr="00450B68"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7E938B2C" w14:textId="77777777" w:rsidR="00BC5219" w:rsidRPr="00450B68" w:rsidRDefault="00BC5219" w:rsidP="00E83802">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7D4F0A25" w14:textId="77777777" w:rsidR="00BC5219" w:rsidRPr="00450B68"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5C4534B0" w14:textId="77777777" w:rsidR="00BC5219" w:rsidRPr="00450B68" w:rsidRDefault="00BC5219" w:rsidP="00E83802">
            <w:pPr>
              <w:jc w:val="right"/>
              <w:rPr>
                <w:rFonts w:ascii="Meta Pro" w:eastAsia="Times New Roman" w:hAnsi="Meta Pro" w:cs="Times New Roman"/>
                <w:sz w:val="20"/>
                <w:szCs w:val="20"/>
                <w:lang w:eastAsia="en-AU"/>
              </w:rPr>
            </w:pPr>
          </w:p>
        </w:tc>
      </w:tr>
      <w:tr w:rsidR="00BC5219" w:rsidRPr="00450B68" w14:paraId="10685ECA" w14:textId="77777777" w:rsidTr="00E83802">
        <w:trPr>
          <w:trHeight w:val="240"/>
        </w:trPr>
        <w:tc>
          <w:tcPr>
            <w:tcW w:w="7136" w:type="dxa"/>
            <w:tcBorders>
              <w:top w:val="nil"/>
              <w:left w:val="nil"/>
              <w:bottom w:val="nil"/>
              <w:right w:val="nil"/>
            </w:tcBorders>
            <w:shd w:val="clear" w:color="auto" w:fill="auto"/>
            <w:noWrap/>
            <w:vAlign w:val="center"/>
            <w:hideMark/>
          </w:tcPr>
          <w:p w14:paraId="1FD0F605" w14:textId="77777777" w:rsidR="00BC5219" w:rsidRPr="00450B68" w:rsidRDefault="00BC5219" w:rsidP="00E83802">
            <w:pPr>
              <w:rPr>
                <w:rFonts w:ascii="Meta Pro" w:eastAsia="Times New Roman" w:hAnsi="Meta Pro"/>
                <w:szCs w:val="18"/>
                <w:lang w:eastAsia="en-AU"/>
              </w:rPr>
            </w:pPr>
            <w:r w:rsidRPr="00450B68">
              <w:rPr>
                <w:rFonts w:ascii="Meta Pro" w:eastAsia="Times New Roman" w:hAnsi="Meta Pro"/>
                <w:szCs w:val="18"/>
                <w:lang w:eastAsia="en-AU"/>
              </w:rPr>
              <w:t>Commitments inclusive of non-recoverable GST input tax credits are payable as follows:</w:t>
            </w:r>
          </w:p>
        </w:tc>
        <w:tc>
          <w:tcPr>
            <w:tcW w:w="1156" w:type="dxa"/>
            <w:tcBorders>
              <w:top w:val="nil"/>
              <w:left w:val="nil"/>
              <w:bottom w:val="nil"/>
              <w:right w:val="nil"/>
            </w:tcBorders>
            <w:shd w:val="clear" w:color="auto" w:fill="auto"/>
            <w:noWrap/>
            <w:vAlign w:val="center"/>
            <w:hideMark/>
          </w:tcPr>
          <w:p w14:paraId="2E7AE4C6" w14:textId="77777777" w:rsidR="00BC5219" w:rsidRPr="00450B68" w:rsidRDefault="00BC5219" w:rsidP="00E83802">
            <w:pPr>
              <w:rPr>
                <w:rFonts w:ascii="Meta Pro" w:eastAsia="Times New Roman" w:hAnsi="Meta Pro"/>
                <w:szCs w:val="18"/>
                <w:lang w:eastAsia="en-AU"/>
              </w:rPr>
            </w:pPr>
          </w:p>
        </w:tc>
        <w:tc>
          <w:tcPr>
            <w:tcW w:w="216" w:type="dxa"/>
            <w:tcBorders>
              <w:top w:val="nil"/>
              <w:left w:val="nil"/>
              <w:bottom w:val="nil"/>
              <w:right w:val="nil"/>
            </w:tcBorders>
            <w:shd w:val="clear" w:color="auto" w:fill="auto"/>
            <w:noWrap/>
            <w:vAlign w:val="center"/>
            <w:hideMark/>
          </w:tcPr>
          <w:p w14:paraId="3BA75A4B" w14:textId="77777777" w:rsidR="00BC5219" w:rsidRPr="00450B68" w:rsidRDefault="00BC5219" w:rsidP="00E83802">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1E3FCB56" w14:textId="77777777" w:rsidR="00BC5219" w:rsidRPr="00450B68" w:rsidRDefault="00BC5219" w:rsidP="00E83802">
            <w:pPr>
              <w:rPr>
                <w:rFonts w:ascii="Meta Pro" w:eastAsia="Times New Roman" w:hAnsi="Meta Pro" w:cs="Times New Roman"/>
                <w:sz w:val="20"/>
                <w:szCs w:val="20"/>
                <w:lang w:eastAsia="en-AU"/>
              </w:rPr>
            </w:pPr>
          </w:p>
        </w:tc>
      </w:tr>
      <w:tr w:rsidR="00BC5219" w:rsidRPr="00450B68" w14:paraId="604C1007" w14:textId="77777777" w:rsidTr="00E83802">
        <w:trPr>
          <w:trHeight w:val="90"/>
        </w:trPr>
        <w:tc>
          <w:tcPr>
            <w:tcW w:w="7136" w:type="dxa"/>
            <w:tcBorders>
              <w:top w:val="nil"/>
              <w:left w:val="nil"/>
              <w:bottom w:val="nil"/>
              <w:right w:val="nil"/>
            </w:tcBorders>
            <w:shd w:val="clear" w:color="auto" w:fill="auto"/>
            <w:noWrap/>
            <w:vAlign w:val="center"/>
            <w:hideMark/>
          </w:tcPr>
          <w:p w14:paraId="0F0915DF" w14:textId="77777777" w:rsidR="00BC5219" w:rsidRPr="00450B68" w:rsidRDefault="00BC5219" w:rsidP="00E83802">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6A98BF1C" w14:textId="77777777" w:rsidR="00BC5219" w:rsidRPr="00450B68" w:rsidRDefault="00BC5219" w:rsidP="00E83802">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00E890BC" w14:textId="77777777" w:rsidR="00BC5219" w:rsidRPr="00450B68"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75051D90" w14:textId="77777777" w:rsidR="00BC5219" w:rsidRPr="00450B68" w:rsidRDefault="00BC5219" w:rsidP="00E83802">
            <w:pPr>
              <w:jc w:val="right"/>
              <w:rPr>
                <w:rFonts w:ascii="Meta Pro" w:eastAsia="Times New Roman" w:hAnsi="Meta Pro" w:cs="Times New Roman"/>
                <w:sz w:val="20"/>
                <w:szCs w:val="20"/>
                <w:lang w:eastAsia="en-AU"/>
              </w:rPr>
            </w:pPr>
          </w:p>
        </w:tc>
      </w:tr>
      <w:tr w:rsidR="00BC5219" w:rsidRPr="00450B68" w14:paraId="18B3933F" w14:textId="77777777" w:rsidTr="00E83802">
        <w:trPr>
          <w:trHeight w:val="240"/>
        </w:trPr>
        <w:tc>
          <w:tcPr>
            <w:tcW w:w="7136" w:type="dxa"/>
            <w:tcBorders>
              <w:top w:val="nil"/>
              <w:left w:val="nil"/>
              <w:bottom w:val="nil"/>
              <w:right w:val="nil"/>
            </w:tcBorders>
            <w:shd w:val="clear" w:color="auto" w:fill="auto"/>
            <w:noWrap/>
            <w:vAlign w:val="center"/>
            <w:hideMark/>
          </w:tcPr>
          <w:p w14:paraId="610FC584" w14:textId="77777777" w:rsidR="00BC5219" w:rsidRPr="00450B68" w:rsidRDefault="00BC5219" w:rsidP="00E83802">
            <w:pPr>
              <w:rPr>
                <w:rFonts w:ascii="Meta Pro" w:eastAsia="Times New Roman" w:hAnsi="Meta Pro"/>
                <w:szCs w:val="18"/>
                <w:lang w:eastAsia="en-AU"/>
              </w:rPr>
            </w:pPr>
            <w:r w:rsidRPr="00450B68">
              <w:rPr>
                <w:rFonts w:ascii="Meta Pro" w:eastAsia="Times New Roman" w:hAnsi="Meta Pro"/>
                <w:szCs w:val="18"/>
                <w:lang w:eastAsia="en-AU"/>
              </w:rPr>
              <w:t>Refer to Note 16 for commitments related to service concession arrangements.</w:t>
            </w:r>
          </w:p>
        </w:tc>
        <w:tc>
          <w:tcPr>
            <w:tcW w:w="1156" w:type="dxa"/>
            <w:tcBorders>
              <w:top w:val="nil"/>
              <w:left w:val="nil"/>
              <w:bottom w:val="nil"/>
              <w:right w:val="nil"/>
            </w:tcBorders>
            <w:shd w:val="clear" w:color="auto" w:fill="auto"/>
            <w:noWrap/>
            <w:vAlign w:val="center"/>
            <w:hideMark/>
          </w:tcPr>
          <w:p w14:paraId="35194527" w14:textId="77777777" w:rsidR="00BC5219" w:rsidRPr="00450B68" w:rsidRDefault="00BC5219" w:rsidP="00E83802">
            <w:pPr>
              <w:rPr>
                <w:rFonts w:ascii="Meta Pro" w:eastAsia="Times New Roman" w:hAnsi="Meta Pro"/>
                <w:szCs w:val="18"/>
                <w:lang w:eastAsia="en-AU"/>
              </w:rPr>
            </w:pPr>
          </w:p>
        </w:tc>
        <w:tc>
          <w:tcPr>
            <w:tcW w:w="216" w:type="dxa"/>
            <w:tcBorders>
              <w:top w:val="nil"/>
              <w:left w:val="nil"/>
              <w:bottom w:val="nil"/>
              <w:right w:val="nil"/>
            </w:tcBorders>
            <w:shd w:val="clear" w:color="auto" w:fill="auto"/>
            <w:noWrap/>
            <w:vAlign w:val="center"/>
            <w:hideMark/>
          </w:tcPr>
          <w:p w14:paraId="257EA7BC" w14:textId="77777777" w:rsidR="00BC5219" w:rsidRPr="00450B68" w:rsidRDefault="00BC5219" w:rsidP="00E83802">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06F5A47A" w14:textId="77777777" w:rsidR="00BC5219" w:rsidRPr="00450B68" w:rsidRDefault="00BC5219" w:rsidP="00E83802">
            <w:pPr>
              <w:rPr>
                <w:rFonts w:ascii="Meta Pro" w:eastAsia="Times New Roman" w:hAnsi="Meta Pro" w:cs="Times New Roman"/>
                <w:sz w:val="20"/>
                <w:szCs w:val="20"/>
                <w:lang w:eastAsia="en-AU"/>
              </w:rPr>
            </w:pPr>
          </w:p>
        </w:tc>
      </w:tr>
      <w:tr w:rsidR="00BC5219" w:rsidRPr="00450B68" w14:paraId="2439EA90" w14:textId="77777777" w:rsidTr="00E83802">
        <w:trPr>
          <w:trHeight w:val="240"/>
        </w:trPr>
        <w:tc>
          <w:tcPr>
            <w:tcW w:w="7136" w:type="dxa"/>
            <w:tcBorders>
              <w:top w:val="nil"/>
              <w:left w:val="nil"/>
              <w:bottom w:val="nil"/>
              <w:right w:val="nil"/>
            </w:tcBorders>
            <w:shd w:val="clear" w:color="auto" w:fill="auto"/>
            <w:noWrap/>
            <w:vAlign w:val="center"/>
            <w:hideMark/>
          </w:tcPr>
          <w:p w14:paraId="3C2490D5" w14:textId="77777777" w:rsidR="00BC5219" w:rsidRPr="00450B68" w:rsidRDefault="00BC5219" w:rsidP="00E83802">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61D51704" w14:textId="77777777" w:rsidR="00BC5219" w:rsidRPr="00450B68" w:rsidRDefault="00BC5219" w:rsidP="00E83802">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46E0D3E9" w14:textId="77777777" w:rsidR="00BC5219" w:rsidRPr="00450B68"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3A2E7B38" w14:textId="77777777" w:rsidR="00BC5219" w:rsidRPr="00450B68" w:rsidRDefault="00BC5219" w:rsidP="00E83802">
            <w:pPr>
              <w:jc w:val="right"/>
              <w:rPr>
                <w:rFonts w:ascii="Meta Pro" w:eastAsia="Times New Roman" w:hAnsi="Meta Pro" w:cs="Times New Roman"/>
                <w:sz w:val="20"/>
                <w:szCs w:val="20"/>
                <w:lang w:eastAsia="en-AU"/>
              </w:rPr>
            </w:pPr>
          </w:p>
        </w:tc>
      </w:tr>
      <w:tr w:rsidR="00BC5219" w:rsidRPr="00450B68" w14:paraId="3021E7CB" w14:textId="77777777" w:rsidTr="00E83802">
        <w:trPr>
          <w:trHeight w:val="240"/>
        </w:trPr>
        <w:tc>
          <w:tcPr>
            <w:tcW w:w="7136" w:type="dxa"/>
            <w:tcBorders>
              <w:top w:val="nil"/>
              <w:left w:val="nil"/>
              <w:bottom w:val="nil"/>
              <w:right w:val="nil"/>
            </w:tcBorders>
            <w:shd w:val="clear" w:color="auto" w:fill="auto"/>
            <w:noWrap/>
            <w:vAlign w:val="center"/>
            <w:hideMark/>
          </w:tcPr>
          <w:p w14:paraId="5CE85A45" w14:textId="77777777" w:rsidR="00BC5219" w:rsidRPr="00450B68" w:rsidRDefault="00BC5219" w:rsidP="00E83802">
            <w:pPr>
              <w:rPr>
                <w:rFonts w:ascii="Meta Pro" w:eastAsia="Times New Roman" w:hAnsi="Meta Pro"/>
                <w:b/>
                <w:bCs/>
                <w:szCs w:val="18"/>
                <w:lang w:eastAsia="en-AU"/>
              </w:rPr>
            </w:pPr>
            <w:r w:rsidRPr="00450B68">
              <w:rPr>
                <w:rFonts w:ascii="Meta Pro" w:eastAsia="Times New Roman" w:hAnsi="Meta Pro"/>
                <w:b/>
                <w:bCs/>
                <w:szCs w:val="18"/>
                <w:lang w:eastAsia="en-AU"/>
              </w:rPr>
              <w:t xml:space="preserve">Property, plant and equipment * </w:t>
            </w:r>
          </w:p>
        </w:tc>
        <w:tc>
          <w:tcPr>
            <w:tcW w:w="1156" w:type="dxa"/>
            <w:tcBorders>
              <w:top w:val="nil"/>
              <w:left w:val="nil"/>
              <w:bottom w:val="nil"/>
              <w:right w:val="nil"/>
            </w:tcBorders>
            <w:shd w:val="clear" w:color="auto" w:fill="auto"/>
            <w:noWrap/>
            <w:vAlign w:val="center"/>
            <w:hideMark/>
          </w:tcPr>
          <w:p w14:paraId="58DBFF9A" w14:textId="77777777" w:rsidR="00BC5219" w:rsidRPr="00450B68" w:rsidRDefault="00BC5219" w:rsidP="00E83802">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0AE99E6D" w14:textId="77777777" w:rsidR="00BC5219" w:rsidRPr="00450B68"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3F6F6928" w14:textId="77777777" w:rsidR="00BC5219" w:rsidRPr="00450B68" w:rsidRDefault="00BC5219" w:rsidP="00E83802">
            <w:pPr>
              <w:rPr>
                <w:rFonts w:ascii="Meta Pro" w:eastAsia="Times New Roman" w:hAnsi="Meta Pro" w:cs="Times New Roman"/>
                <w:sz w:val="20"/>
                <w:szCs w:val="20"/>
                <w:lang w:eastAsia="en-AU"/>
              </w:rPr>
            </w:pPr>
          </w:p>
        </w:tc>
      </w:tr>
      <w:tr w:rsidR="00BC5219" w:rsidRPr="00450B68" w14:paraId="456C04E6" w14:textId="77777777" w:rsidTr="00E83802">
        <w:trPr>
          <w:trHeight w:val="90"/>
        </w:trPr>
        <w:tc>
          <w:tcPr>
            <w:tcW w:w="7136" w:type="dxa"/>
            <w:tcBorders>
              <w:top w:val="nil"/>
              <w:left w:val="nil"/>
              <w:bottom w:val="nil"/>
              <w:right w:val="nil"/>
            </w:tcBorders>
            <w:shd w:val="clear" w:color="auto" w:fill="auto"/>
            <w:noWrap/>
            <w:vAlign w:val="center"/>
            <w:hideMark/>
          </w:tcPr>
          <w:p w14:paraId="1FC61C6F" w14:textId="77777777" w:rsidR="00BC5219" w:rsidRPr="00450B68" w:rsidRDefault="00BC5219" w:rsidP="00E83802">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0E3D7EF5" w14:textId="77777777" w:rsidR="00BC5219" w:rsidRPr="00450B68" w:rsidRDefault="00BC5219" w:rsidP="00E83802">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683C2C0F" w14:textId="77777777" w:rsidR="00BC5219" w:rsidRPr="00450B68"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677317FC" w14:textId="77777777" w:rsidR="00BC5219" w:rsidRPr="00450B68" w:rsidRDefault="00BC5219" w:rsidP="00E83802">
            <w:pPr>
              <w:jc w:val="right"/>
              <w:rPr>
                <w:rFonts w:ascii="Meta Pro" w:eastAsia="Times New Roman" w:hAnsi="Meta Pro" w:cs="Times New Roman"/>
                <w:sz w:val="20"/>
                <w:szCs w:val="20"/>
                <w:lang w:eastAsia="en-AU"/>
              </w:rPr>
            </w:pPr>
          </w:p>
        </w:tc>
      </w:tr>
      <w:tr w:rsidR="00BC5219" w:rsidRPr="00450B68" w14:paraId="1DB94209" w14:textId="77777777" w:rsidTr="00E83802">
        <w:trPr>
          <w:trHeight w:val="240"/>
        </w:trPr>
        <w:tc>
          <w:tcPr>
            <w:tcW w:w="7136" w:type="dxa"/>
            <w:tcBorders>
              <w:top w:val="nil"/>
              <w:left w:val="nil"/>
              <w:bottom w:val="nil"/>
              <w:right w:val="nil"/>
            </w:tcBorders>
            <w:shd w:val="clear" w:color="auto" w:fill="auto"/>
            <w:noWrap/>
            <w:vAlign w:val="center"/>
            <w:hideMark/>
          </w:tcPr>
          <w:p w14:paraId="5C04CA0A" w14:textId="77777777" w:rsidR="00BC5219" w:rsidRPr="00450B68" w:rsidRDefault="00BC5219" w:rsidP="00E83802">
            <w:pPr>
              <w:rPr>
                <w:rFonts w:ascii="Meta Pro" w:eastAsia="Times New Roman" w:hAnsi="Meta Pro"/>
                <w:szCs w:val="18"/>
                <w:lang w:eastAsia="en-AU"/>
              </w:rPr>
            </w:pPr>
            <w:r w:rsidRPr="00450B68">
              <w:rPr>
                <w:rFonts w:ascii="Meta Pro" w:eastAsia="Times New Roman" w:hAnsi="Meta Pro"/>
                <w:szCs w:val="18"/>
                <w:lang w:eastAsia="en-AU"/>
              </w:rPr>
              <w:t>Not later than one year</w:t>
            </w:r>
          </w:p>
        </w:tc>
        <w:tc>
          <w:tcPr>
            <w:tcW w:w="1156" w:type="dxa"/>
            <w:tcBorders>
              <w:top w:val="nil"/>
              <w:left w:val="nil"/>
              <w:bottom w:val="nil"/>
              <w:right w:val="nil"/>
            </w:tcBorders>
            <w:shd w:val="clear" w:color="000000" w:fill="C9E3B4"/>
            <w:noWrap/>
            <w:vAlign w:val="center"/>
            <w:hideMark/>
          </w:tcPr>
          <w:p w14:paraId="3EC7BD58" w14:textId="77777777" w:rsidR="00BC5219" w:rsidRPr="00450B68" w:rsidRDefault="00BC5219" w:rsidP="00E83802">
            <w:pPr>
              <w:jc w:val="right"/>
              <w:rPr>
                <w:rFonts w:ascii="Meta Pro" w:eastAsia="Times New Roman" w:hAnsi="Meta Pro"/>
                <w:szCs w:val="18"/>
                <w:lang w:eastAsia="en-AU"/>
              </w:rPr>
            </w:pPr>
            <w:r w:rsidRPr="00450B68">
              <w:rPr>
                <w:rFonts w:ascii="Meta Pro" w:eastAsia="Times New Roman" w:hAnsi="Meta Pro"/>
                <w:szCs w:val="18"/>
                <w:lang w:eastAsia="en-AU"/>
              </w:rPr>
              <w:t xml:space="preserve">1,080,840 </w:t>
            </w:r>
          </w:p>
        </w:tc>
        <w:tc>
          <w:tcPr>
            <w:tcW w:w="216" w:type="dxa"/>
            <w:tcBorders>
              <w:top w:val="nil"/>
              <w:left w:val="nil"/>
              <w:bottom w:val="nil"/>
              <w:right w:val="nil"/>
            </w:tcBorders>
            <w:shd w:val="clear" w:color="auto" w:fill="auto"/>
            <w:noWrap/>
            <w:vAlign w:val="center"/>
            <w:hideMark/>
          </w:tcPr>
          <w:p w14:paraId="0FB7BF66" w14:textId="77777777" w:rsidR="00BC5219" w:rsidRPr="00450B68"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17366B26" w14:textId="77777777" w:rsidR="00BC5219" w:rsidRPr="00450B68" w:rsidRDefault="00BC5219" w:rsidP="00E83802">
            <w:pPr>
              <w:jc w:val="right"/>
              <w:rPr>
                <w:rFonts w:ascii="Meta Pro" w:eastAsia="Times New Roman" w:hAnsi="Meta Pro"/>
                <w:szCs w:val="18"/>
                <w:lang w:eastAsia="en-AU"/>
              </w:rPr>
            </w:pPr>
            <w:r w:rsidRPr="00450B68">
              <w:rPr>
                <w:rFonts w:ascii="Meta Pro" w:eastAsia="Times New Roman" w:hAnsi="Meta Pro"/>
                <w:szCs w:val="18"/>
                <w:lang w:eastAsia="en-AU"/>
              </w:rPr>
              <w:t xml:space="preserve">1,242,285 </w:t>
            </w:r>
          </w:p>
        </w:tc>
      </w:tr>
      <w:tr w:rsidR="00BC5219" w:rsidRPr="00450B68" w14:paraId="24F9348B" w14:textId="77777777" w:rsidTr="00E83802">
        <w:trPr>
          <w:trHeight w:val="240"/>
        </w:trPr>
        <w:tc>
          <w:tcPr>
            <w:tcW w:w="7136" w:type="dxa"/>
            <w:tcBorders>
              <w:top w:val="nil"/>
              <w:left w:val="nil"/>
              <w:bottom w:val="nil"/>
              <w:right w:val="nil"/>
            </w:tcBorders>
            <w:shd w:val="clear" w:color="auto" w:fill="auto"/>
            <w:noWrap/>
            <w:vAlign w:val="center"/>
            <w:hideMark/>
          </w:tcPr>
          <w:p w14:paraId="672713B5" w14:textId="77777777" w:rsidR="00BC5219" w:rsidRPr="00450B68" w:rsidRDefault="00BC5219" w:rsidP="00E83802">
            <w:pPr>
              <w:rPr>
                <w:rFonts w:ascii="Meta Pro" w:eastAsia="Times New Roman" w:hAnsi="Meta Pro"/>
                <w:szCs w:val="18"/>
                <w:lang w:eastAsia="en-AU"/>
              </w:rPr>
            </w:pPr>
            <w:r w:rsidRPr="00450B68">
              <w:rPr>
                <w:rFonts w:ascii="Meta Pro" w:eastAsia="Times New Roman" w:hAnsi="Meta Pro"/>
                <w:szCs w:val="18"/>
                <w:lang w:eastAsia="en-AU"/>
              </w:rPr>
              <w:t>Later than one year and not later than five years</w:t>
            </w:r>
          </w:p>
        </w:tc>
        <w:tc>
          <w:tcPr>
            <w:tcW w:w="1156" w:type="dxa"/>
            <w:tcBorders>
              <w:top w:val="nil"/>
              <w:left w:val="nil"/>
              <w:bottom w:val="nil"/>
              <w:right w:val="nil"/>
            </w:tcBorders>
            <w:shd w:val="clear" w:color="000000" w:fill="C9E3B4"/>
            <w:noWrap/>
            <w:vAlign w:val="center"/>
            <w:hideMark/>
          </w:tcPr>
          <w:p w14:paraId="612BE8AF" w14:textId="77777777" w:rsidR="00BC5219" w:rsidRPr="00450B68" w:rsidRDefault="00BC5219" w:rsidP="00E83802">
            <w:pPr>
              <w:jc w:val="right"/>
              <w:rPr>
                <w:rFonts w:ascii="Meta Pro" w:eastAsia="Times New Roman" w:hAnsi="Meta Pro"/>
                <w:szCs w:val="18"/>
                <w:lang w:eastAsia="en-AU"/>
              </w:rPr>
            </w:pPr>
            <w:r w:rsidRPr="00450B68">
              <w:rPr>
                <w:rFonts w:ascii="Meta Pro" w:eastAsia="Times New Roman" w:hAnsi="Meta Pro"/>
                <w:szCs w:val="18"/>
                <w:lang w:eastAsia="en-AU"/>
              </w:rPr>
              <w:t xml:space="preserve">4,874,364 </w:t>
            </w:r>
          </w:p>
        </w:tc>
        <w:tc>
          <w:tcPr>
            <w:tcW w:w="216" w:type="dxa"/>
            <w:tcBorders>
              <w:top w:val="nil"/>
              <w:left w:val="nil"/>
              <w:bottom w:val="nil"/>
              <w:right w:val="nil"/>
            </w:tcBorders>
            <w:shd w:val="clear" w:color="auto" w:fill="auto"/>
            <w:noWrap/>
            <w:vAlign w:val="center"/>
            <w:hideMark/>
          </w:tcPr>
          <w:p w14:paraId="6C8A6AEC" w14:textId="77777777" w:rsidR="00BC5219" w:rsidRPr="00450B68"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1534C86A" w14:textId="77777777" w:rsidR="00BC5219" w:rsidRPr="00450B68" w:rsidRDefault="00BC5219" w:rsidP="00E83802">
            <w:pPr>
              <w:jc w:val="right"/>
              <w:rPr>
                <w:rFonts w:ascii="Meta Pro" w:eastAsia="Times New Roman" w:hAnsi="Meta Pro"/>
                <w:szCs w:val="18"/>
                <w:lang w:eastAsia="en-AU"/>
              </w:rPr>
            </w:pPr>
            <w:r w:rsidRPr="00450B68">
              <w:rPr>
                <w:rFonts w:ascii="Meta Pro" w:eastAsia="Times New Roman" w:hAnsi="Meta Pro"/>
                <w:szCs w:val="18"/>
                <w:lang w:eastAsia="en-AU"/>
              </w:rPr>
              <w:t xml:space="preserve">2,761,947 </w:t>
            </w:r>
          </w:p>
        </w:tc>
      </w:tr>
      <w:tr w:rsidR="00BC5219" w:rsidRPr="00450B68" w14:paraId="1C927918" w14:textId="77777777" w:rsidTr="00E83802">
        <w:trPr>
          <w:trHeight w:val="240"/>
        </w:trPr>
        <w:tc>
          <w:tcPr>
            <w:tcW w:w="7136" w:type="dxa"/>
            <w:tcBorders>
              <w:top w:val="nil"/>
              <w:left w:val="nil"/>
              <w:bottom w:val="nil"/>
              <w:right w:val="nil"/>
            </w:tcBorders>
            <w:shd w:val="clear" w:color="auto" w:fill="auto"/>
            <w:noWrap/>
            <w:vAlign w:val="center"/>
            <w:hideMark/>
          </w:tcPr>
          <w:p w14:paraId="07618E84" w14:textId="77777777" w:rsidR="00BC5219" w:rsidRPr="00450B68" w:rsidRDefault="00BC5219" w:rsidP="00E83802">
            <w:pPr>
              <w:rPr>
                <w:rFonts w:ascii="Meta Pro" w:eastAsia="Times New Roman" w:hAnsi="Meta Pro"/>
                <w:szCs w:val="18"/>
                <w:lang w:eastAsia="en-AU"/>
              </w:rPr>
            </w:pPr>
            <w:r w:rsidRPr="00450B68">
              <w:rPr>
                <w:rFonts w:ascii="Meta Pro" w:eastAsia="Times New Roman" w:hAnsi="Meta Pro"/>
                <w:szCs w:val="18"/>
                <w:lang w:eastAsia="en-AU"/>
              </w:rPr>
              <w:t>Later than five years</w:t>
            </w:r>
          </w:p>
        </w:tc>
        <w:tc>
          <w:tcPr>
            <w:tcW w:w="1156" w:type="dxa"/>
            <w:tcBorders>
              <w:top w:val="nil"/>
              <w:left w:val="nil"/>
              <w:bottom w:val="nil"/>
              <w:right w:val="nil"/>
            </w:tcBorders>
            <w:shd w:val="clear" w:color="000000" w:fill="C9E3B4"/>
            <w:noWrap/>
            <w:vAlign w:val="center"/>
            <w:hideMark/>
          </w:tcPr>
          <w:p w14:paraId="44A52582" w14:textId="77777777" w:rsidR="00BC5219" w:rsidRPr="00450B68" w:rsidRDefault="00BC5219" w:rsidP="00E83802">
            <w:pPr>
              <w:jc w:val="right"/>
              <w:rPr>
                <w:rFonts w:ascii="Meta Pro" w:eastAsia="Times New Roman" w:hAnsi="Meta Pro"/>
                <w:szCs w:val="18"/>
                <w:lang w:eastAsia="en-AU"/>
              </w:rPr>
            </w:pPr>
            <w:r w:rsidRPr="00450B68">
              <w:rPr>
                <w:rFonts w:ascii="Meta Pro" w:eastAsia="Times New Roman" w:hAnsi="Meta Pro"/>
                <w:szCs w:val="18"/>
                <w:lang w:eastAsia="en-AU"/>
              </w:rPr>
              <w:t xml:space="preserve">889,171 </w:t>
            </w:r>
          </w:p>
        </w:tc>
        <w:tc>
          <w:tcPr>
            <w:tcW w:w="216" w:type="dxa"/>
            <w:tcBorders>
              <w:top w:val="nil"/>
              <w:left w:val="nil"/>
              <w:bottom w:val="nil"/>
              <w:right w:val="nil"/>
            </w:tcBorders>
            <w:shd w:val="clear" w:color="auto" w:fill="auto"/>
            <w:noWrap/>
            <w:vAlign w:val="center"/>
            <w:hideMark/>
          </w:tcPr>
          <w:p w14:paraId="0E9CD7FA" w14:textId="77777777" w:rsidR="00BC5219" w:rsidRPr="00450B68"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32164CF1" w14:textId="77777777" w:rsidR="00BC5219" w:rsidRPr="00450B68" w:rsidRDefault="00BC5219" w:rsidP="00E83802">
            <w:pPr>
              <w:jc w:val="right"/>
              <w:rPr>
                <w:rFonts w:ascii="Meta Pro" w:eastAsia="Times New Roman" w:hAnsi="Meta Pro"/>
                <w:szCs w:val="18"/>
                <w:lang w:eastAsia="en-AU"/>
              </w:rPr>
            </w:pPr>
            <w:r w:rsidRPr="00450B68">
              <w:rPr>
                <w:rFonts w:ascii="Meta Pro" w:eastAsia="Times New Roman" w:hAnsi="Meta Pro"/>
                <w:szCs w:val="18"/>
                <w:lang w:eastAsia="en-AU"/>
              </w:rPr>
              <w:t xml:space="preserve">- </w:t>
            </w:r>
          </w:p>
        </w:tc>
      </w:tr>
      <w:tr w:rsidR="00BC5219" w:rsidRPr="00450B68" w14:paraId="430E1C6C" w14:textId="77777777" w:rsidTr="00E83802">
        <w:trPr>
          <w:trHeight w:val="240"/>
        </w:trPr>
        <w:tc>
          <w:tcPr>
            <w:tcW w:w="7136" w:type="dxa"/>
            <w:tcBorders>
              <w:top w:val="single" w:sz="4" w:space="0" w:color="auto"/>
              <w:left w:val="nil"/>
              <w:bottom w:val="double" w:sz="6" w:space="0" w:color="auto"/>
              <w:right w:val="nil"/>
            </w:tcBorders>
            <w:shd w:val="clear" w:color="auto" w:fill="auto"/>
            <w:noWrap/>
            <w:vAlign w:val="center"/>
            <w:hideMark/>
          </w:tcPr>
          <w:p w14:paraId="3A3C4265" w14:textId="77777777" w:rsidR="00BC5219" w:rsidRPr="00450B68" w:rsidRDefault="00BC5219" w:rsidP="00E83802">
            <w:pPr>
              <w:rPr>
                <w:rFonts w:ascii="Meta Pro" w:eastAsia="Times New Roman" w:hAnsi="Meta Pro"/>
                <w:b/>
                <w:bCs/>
                <w:szCs w:val="18"/>
                <w:lang w:eastAsia="en-AU"/>
              </w:rPr>
            </w:pPr>
            <w:r w:rsidRPr="00450B68">
              <w:rPr>
                <w:rFonts w:ascii="Meta Pro" w:eastAsia="Times New Roman" w:hAnsi="Meta Pro"/>
                <w:b/>
                <w:bCs/>
                <w:szCs w:val="18"/>
                <w:lang w:eastAsia="en-AU"/>
              </w:rPr>
              <w:t>Total</w:t>
            </w:r>
          </w:p>
        </w:tc>
        <w:tc>
          <w:tcPr>
            <w:tcW w:w="1156" w:type="dxa"/>
            <w:tcBorders>
              <w:top w:val="single" w:sz="4" w:space="0" w:color="auto"/>
              <w:left w:val="nil"/>
              <w:bottom w:val="double" w:sz="6" w:space="0" w:color="auto"/>
              <w:right w:val="nil"/>
            </w:tcBorders>
            <w:shd w:val="clear" w:color="000000" w:fill="C9E3B4"/>
            <w:noWrap/>
            <w:vAlign w:val="center"/>
            <w:hideMark/>
          </w:tcPr>
          <w:p w14:paraId="34CBEAC5" w14:textId="77777777" w:rsidR="00BC5219" w:rsidRPr="00450B68" w:rsidRDefault="00BC5219" w:rsidP="00E83802">
            <w:pPr>
              <w:jc w:val="right"/>
              <w:rPr>
                <w:rFonts w:ascii="Meta Pro" w:eastAsia="Times New Roman" w:hAnsi="Meta Pro"/>
                <w:b/>
                <w:bCs/>
                <w:szCs w:val="18"/>
                <w:lang w:eastAsia="en-AU"/>
              </w:rPr>
            </w:pPr>
            <w:r w:rsidRPr="00450B68">
              <w:rPr>
                <w:rFonts w:ascii="Meta Pro" w:eastAsia="Times New Roman" w:hAnsi="Meta Pro"/>
                <w:b/>
                <w:bCs/>
                <w:szCs w:val="18"/>
                <w:lang w:eastAsia="en-AU"/>
              </w:rPr>
              <w:t xml:space="preserve">6,844,375 </w:t>
            </w:r>
          </w:p>
        </w:tc>
        <w:tc>
          <w:tcPr>
            <w:tcW w:w="216" w:type="dxa"/>
            <w:tcBorders>
              <w:top w:val="single" w:sz="4" w:space="0" w:color="auto"/>
              <w:left w:val="nil"/>
              <w:bottom w:val="double" w:sz="6" w:space="0" w:color="auto"/>
              <w:right w:val="nil"/>
            </w:tcBorders>
            <w:shd w:val="clear" w:color="auto" w:fill="auto"/>
            <w:noWrap/>
            <w:vAlign w:val="center"/>
            <w:hideMark/>
          </w:tcPr>
          <w:p w14:paraId="0DFA4563" w14:textId="77777777" w:rsidR="00BC5219" w:rsidRPr="00450B68" w:rsidRDefault="00BC5219" w:rsidP="00E83802">
            <w:pPr>
              <w:jc w:val="right"/>
              <w:rPr>
                <w:rFonts w:ascii="Meta Pro" w:eastAsia="Times New Roman" w:hAnsi="Meta Pro"/>
                <w:szCs w:val="18"/>
                <w:lang w:eastAsia="en-AU"/>
              </w:rPr>
            </w:pPr>
            <w:r w:rsidRPr="00450B68">
              <w:rPr>
                <w:rFonts w:ascii="Meta Pro" w:eastAsia="Times New Roman" w:hAnsi="Meta Pro"/>
                <w:szCs w:val="18"/>
                <w:lang w:eastAsia="en-AU"/>
              </w:rPr>
              <w:t> </w:t>
            </w:r>
          </w:p>
        </w:tc>
        <w:tc>
          <w:tcPr>
            <w:tcW w:w="1156" w:type="dxa"/>
            <w:tcBorders>
              <w:top w:val="single" w:sz="4" w:space="0" w:color="auto"/>
              <w:left w:val="nil"/>
              <w:bottom w:val="double" w:sz="6" w:space="0" w:color="auto"/>
              <w:right w:val="nil"/>
            </w:tcBorders>
            <w:shd w:val="clear" w:color="auto" w:fill="auto"/>
            <w:noWrap/>
            <w:vAlign w:val="center"/>
            <w:hideMark/>
          </w:tcPr>
          <w:p w14:paraId="554494D2" w14:textId="77777777" w:rsidR="00BC5219" w:rsidRPr="00450B68" w:rsidRDefault="00BC5219" w:rsidP="00E83802">
            <w:pPr>
              <w:jc w:val="right"/>
              <w:rPr>
                <w:rFonts w:ascii="Meta Pro" w:eastAsia="Times New Roman" w:hAnsi="Meta Pro"/>
                <w:b/>
                <w:bCs/>
                <w:szCs w:val="18"/>
                <w:lang w:eastAsia="en-AU"/>
              </w:rPr>
            </w:pPr>
            <w:r w:rsidRPr="00450B68">
              <w:rPr>
                <w:rFonts w:ascii="Meta Pro" w:eastAsia="Times New Roman" w:hAnsi="Meta Pro"/>
                <w:b/>
                <w:bCs/>
                <w:szCs w:val="18"/>
                <w:lang w:eastAsia="en-AU"/>
              </w:rPr>
              <w:t xml:space="preserve">4,004,232 </w:t>
            </w:r>
          </w:p>
        </w:tc>
      </w:tr>
      <w:tr w:rsidR="00BC5219" w:rsidRPr="00450B68" w14:paraId="76A2A1B2" w14:textId="77777777" w:rsidTr="00E83802">
        <w:trPr>
          <w:trHeight w:val="240"/>
        </w:trPr>
        <w:tc>
          <w:tcPr>
            <w:tcW w:w="7136" w:type="dxa"/>
            <w:tcBorders>
              <w:top w:val="nil"/>
              <w:left w:val="nil"/>
              <w:bottom w:val="nil"/>
              <w:right w:val="nil"/>
            </w:tcBorders>
            <w:shd w:val="clear" w:color="auto" w:fill="auto"/>
            <w:noWrap/>
            <w:vAlign w:val="center"/>
            <w:hideMark/>
          </w:tcPr>
          <w:p w14:paraId="0F6536CD" w14:textId="77777777" w:rsidR="00BC5219" w:rsidRPr="00450B68" w:rsidRDefault="00BC5219" w:rsidP="00E83802">
            <w:pPr>
              <w:jc w:val="right"/>
              <w:rPr>
                <w:rFonts w:ascii="Meta Pro" w:eastAsia="Times New Roman" w:hAnsi="Meta Pro"/>
                <w:b/>
                <w:bCs/>
                <w:szCs w:val="18"/>
                <w:lang w:eastAsia="en-AU"/>
              </w:rPr>
            </w:pPr>
          </w:p>
        </w:tc>
        <w:tc>
          <w:tcPr>
            <w:tcW w:w="1156" w:type="dxa"/>
            <w:tcBorders>
              <w:top w:val="nil"/>
              <w:left w:val="nil"/>
              <w:bottom w:val="nil"/>
              <w:right w:val="nil"/>
            </w:tcBorders>
            <w:shd w:val="clear" w:color="auto" w:fill="auto"/>
            <w:noWrap/>
            <w:vAlign w:val="center"/>
            <w:hideMark/>
          </w:tcPr>
          <w:p w14:paraId="38F4089A" w14:textId="77777777" w:rsidR="00BC5219" w:rsidRPr="00450B68" w:rsidRDefault="00BC5219" w:rsidP="00E83802">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04FAC348" w14:textId="77777777" w:rsidR="00BC5219" w:rsidRPr="00450B68"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232251A3" w14:textId="77777777" w:rsidR="00BC5219" w:rsidRPr="00450B68" w:rsidRDefault="00BC5219" w:rsidP="00E83802">
            <w:pPr>
              <w:jc w:val="right"/>
              <w:rPr>
                <w:rFonts w:ascii="Meta Pro" w:eastAsia="Times New Roman" w:hAnsi="Meta Pro" w:cs="Times New Roman"/>
                <w:sz w:val="20"/>
                <w:szCs w:val="20"/>
                <w:lang w:eastAsia="en-AU"/>
              </w:rPr>
            </w:pPr>
          </w:p>
        </w:tc>
      </w:tr>
      <w:tr w:rsidR="00BC5219" w:rsidRPr="00450B68" w14:paraId="57293617" w14:textId="77777777" w:rsidTr="00E83802">
        <w:trPr>
          <w:trHeight w:val="240"/>
        </w:trPr>
        <w:tc>
          <w:tcPr>
            <w:tcW w:w="7136" w:type="dxa"/>
            <w:tcBorders>
              <w:top w:val="nil"/>
              <w:left w:val="nil"/>
              <w:bottom w:val="nil"/>
              <w:right w:val="nil"/>
            </w:tcBorders>
            <w:shd w:val="clear" w:color="auto" w:fill="auto"/>
            <w:noWrap/>
            <w:vAlign w:val="center"/>
            <w:hideMark/>
          </w:tcPr>
          <w:p w14:paraId="58220E71" w14:textId="77777777" w:rsidR="00BC5219" w:rsidRPr="00450B68" w:rsidRDefault="00BC5219" w:rsidP="00E83802">
            <w:pPr>
              <w:rPr>
                <w:rFonts w:ascii="Meta Pro" w:eastAsia="Times New Roman" w:hAnsi="Meta Pro"/>
                <w:b/>
                <w:bCs/>
                <w:szCs w:val="18"/>
                <w:lang w:eastAsia="en-AU"/>
              </w:rPr>
            </w:pPr>
            <w:r w:rsidRPr="00450B68">
              <w:rPr>
                <w:rFonts w:ascii="Meta Pro" w:eastAsia="Times New Roman" w:hAnsi="Meta Pro"/>
                <w:b/>
                <w:bCs/>
                <w:szCs w:val="18"/>
                <w:lang w:eastAsia="en-AU"/>
              </w:rPr>
              <w:t xml:space="preserve">Grants and subsidies </w:t>
            </w:r>
          </w:p>
        </w:tc>
        <w:tc>
          <w:tcPr>
            <w:tcW w:w="1156" w:type="dxa"/>
            <w:tcBorders>
              <w:top w:val="nil"/>
              <w:left w:val="nil"/>
              <w:bottom w:val="nil"/>
              <w:right w:val="nil"/>
            </w:tcBorders>
            <w:shd w:val="clear" w:color="auto" w:fill="auto"/>
            <w:noWrap/>
            <w:vAlign w:val="center"/>
            <w:hideMark/>
          </w:tcPr>
          <w:p w14:paraId="2D90EABB" w14:textId="77777777" w:rsidR="00BC5219" w:rsidRPr="00450B68" w:rsidRDefault="00BC5219" w:rsidP="00E83802">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2B89CE11" w14:textId="77777777" w:rsidR="00BC5219" w:rsidRPr="00450B68" w:rsidRDefault="00BC5219" w:rsidP="00E83802">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60B33C9D" w14:textId="77777777" w:rsidR="00BC5219" w:rsidRPr="00450B68" w:rsidRDefault="00BC5219" w:rsidP="00E83802">
            <w:pPr>
              <w:rPr>
                <w:rFonts w:ascii="Meta Pro" w:eastAsia="Times New Roman" w:hAnsi="Meta Pro" w:cs="Times New Roman"/>
                <w:sz w:val="20"/>
                <w:szCs w:val="20"/>
                <w:lang w:eastAsia="en-AU"/>
              </w:rPr>
            </w:pPr>
          </w:p>
        </w:tc>
      </w:tr>
      <w:tr w:rsidR="00BC5219" w:rsidRPr="00450B68" w14:paraId="74D13CDF" w14:textId="77777777" w:rsidTr="00E83802">
        <w:trPr>
          <w:trHeight w:val="90"/>
        </w:trPr>
        <w:tc>
          <w:tcPr>
            <w:tcW w:w="7136" w:type="dxa"/>
            <w:tcBorders>
              <w:top w:val="nil"/>
              <w:left w:val="nil"/>
              <w:bottom w:val="nil"/>
              <w:right w:val="nil"/>
            </w:tcBorders>
            <w:shd w:val="clear" w:color="auto" w:fill="auto"/>
            <w:noWrap/>
            <w:vAlign w:val="center"/>
            <w:hideMark/>
          </w:tcPr>
          <w:p w14:paraId="630CEF23" w14:textId="77777777" w:rsidR="00BC5219" w:rsidRPr="00450B68" w:rsidRDefault="00BC5219" w:rsidP="00E83802">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023F094E" w14:textId="77777777" w:rsidR="00BC5219" w:rsidRPr="00450B68" w:rsidRDefault="00BC5219" w:rsidP="00E83802">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4754A4EA" w14:textId="77777777" w:rsidR="00BC5219" w:rsidRPr="00450B68" w:rsidRDefault="00BC5219" w:rsidP="00E83802">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15478BF7" w14:textId="77777777" w:rsidR="00BC5219" w:rsidRPr="00450B68" w:rsidRDefault="00BC5219" w:rsidP="00E83802">
            <w:pPr>
              <w:rPr>
                <w:rFonts w:ascii="Meta Pro" w:eastAsia="Times New Roman" w:hAnsi="Meta Pro" w:cs="Times New Roman"/>
                <w:sz w:val="20"/>
                <w:szCs w:val="20"/>
                <w:lang w:eastAsia="en-AU"/>
              </w:rPr>
            </w:pPr>
          </w:p>
        </w:tc>
      </w:tr>
      <w:tr w:rsidR="00BC5219" w:rsidRPr="00450B68" w14:paraId="22B9A2F3" w14:textId="77777777" w:rsidTr="00E83802">
        <w:trPr>
          <w:trHeight w:val="240"/>
        </w:trPr>
        <w:tc>
          <w:tcPr>
            <w:tcW w:w="7136" w:type="dxa"/>
            <w:tcBorders>
              <w:top w:val="nil"/>
              <w:left w:val="nil"/>
              <w:bottom w:val="nil"/>
              <w:right w:val="nil"/>
            </w:tcBorders>
            <w:shd w:val="clear" w:color="auto" w:fill="auto"/>
            <w:noWrap/>
            <w:vAlign w:val="center"/>
            <w:hideMark/>
          </w:tcPr>
          <w:p w14:paraId="1A19356B" w14:textId="77777777" w:rsidR="00BC5219" w:rsidRPr="00450B68" w:rsidRDefault="00BC5219" w:rsidP="00E83802">
            <w:pPr>
              <w:rPr>
                <w:rFonts w:ascii="Meta Pro" w:eastAsia="Times New Roman" w:hAnsi="Meta Pro"/>
                <w:szCs w:val="18"/>
                <w:lang w:eastAsia="en-AU"/>
              </w:rPr>
            </w:pPr>
            <w:r w:rsidRPr="00450B68">
              <w:rPr>
                <w:rFonts w:ascii="Meta Pro" w:eastAsia="Times New Roman" w:hAnsi="Meta Pro"/>
                <w:szCs w:val="18"/>
                <w:lang w:eastAsia="en-AU"/>
              </w:rPr>
              <w:t>Not later than one year</w:t>
            </w:r>
          </w:p>
        </w:tc>
        <w:tc>
          <w:tcPr>
            <w:tcW w:w="1156" w:type="dxa"/>
            <w:tcBorders>
              <w:top w:val="nil"/>
              <w:left w:val="nil"/>
              <w:bottom w:val="nil"/>
              <w:right w:val="nil"/>
            </w:tcBorders>
            <w:shd w:val="clear" w:color="000000" w:fill="C9E3B4"/>
            <w:noWrap/>
            <w:vAlign w:val="center"/>
            <w:hideMark/>
          </w:tcPr>
          <w:p w14:paraId="54230DD5" w14:textId="77777777" w:rsidR="00BC5219" w:rsidRPr="00450B68" w:rsidRDefault="00BC5219" w:rsidP="00E83802">
            <w:pPr>
              <w:jc w:val="right"/>
              <w:rPr>
                <w:rFonts w:ascii="Meta Pro" w:eastAsia="Times New Roman" w:hAnsi="Meta Pro"/>
                <w:szCs w:val="18"/>
                <w:lang w:eastAsia="en-AU"/>
              </w:rPr>
            </w:pPr>
            <w:r w:rsidRPr="00450B68">
              <w:rPr>
                <w:rFonts w:ascii="Meta Pro" w:eastAsia="Times New Roman" w:hAnsi="Meta Pro"/>
                <w:szCs w:val="18"/>
                <w:lang w:eastAsia="en-AU"/>
              </w:rPr>
              <w:t xml:space="preserve">522,318 </w:t>
            </w:r>
          </w:p>
        </w:tc>
        <w:tc>
          <w:tcPr>
            <w:tcW w:w="216" w:type="dxa"/>
            <w:tcBorders>
              <w:top w:val="nil"/>
              <w:left w:val="nil"/>
              <w:bottom w:val="nil"/>
              <w:right w:val="nil"/>
            </w:tcBorders>
            <w:shd w:val="clear" w:color="auto" w:fill="auto"/>
            <w:noWrap/>
            <w:vAlign w:val="center"/>
            <w:hideMark/>
          </w:tcPr>
          <w:p w14:paraId="5FD6748D" w14:textId="77777777" w:rsidR="00BC5219" w:rsidRPr="00450B68"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41422CB3" w14:textId="77777777" w:rsidR="00BC5219" w:rsidRPr="00450B68" w:rsidRDefault="00BC5219" w:rsidP="00E83802">
            <w:pPr>
              <w:jc w:val="right"/>
              <w:rPr>
                <w:rFonts w:ascii="Meta Pro" w:eastAsia="Times New Roman" w:hAnsi="Meta Pro"/>
                <w:szCs w:val="18"/>
                <w:lang w:eastAsia="en-AU"/>
              </w:rPr>
            </w:pPr>
            <w:r w:rsidRPr="00450B68">
              <w:rPr>
                <w:rFonts w:ascii="Meta Pro" w:eastAsia="Times New Roman" w:hAnsi="Meta Pro"/>
                <w:szCs w:val="18"/>
                <w:lang w:eastAsia="en-AU"/>
              </w:rPr>
              <w:t xml:space="preserve">580,511 </w:t>
            </w:r>
          </w:p>
        </w:tc>
      </w:tr>
      <w:tr w:rsidR="00BC5219" w:rsidRPr="00450B68" w14:paraId="28988CCB" w14:textId="77777777" w:rsidTr="00E83802">
        <w:trPr>
          <w:trHeight w:val="240"/>
        </w:trPr>
        <w:tc>
          <w:tcPr>
            <w:tcW w:w="7136" w:type="dxa"/>
            <w:tcBorders>
              <w:top w:val="nil"/>
              <w:left w:val="nil"/>
              <w:bottom w:val="nil"/>
              <w:right w:val="nil"/>
            </w:tcBorders>
            <w:shd w:val="clear" w:color="auto" w:fill="auto"/>
            <w:noWrap/>
            <w:vAlign w:val="center"/>
            <w:hideMark/>
          </w:tcPr>
          <w:p w14:paraId="46AD0889" w14:textId="77777777" w:rsidR="00BC5219" w:rsidRPr="00450B68" w:rsidRDefault="00BC5219" w:rsidP="00E83802">
            <w:pPr>
              <w:rPr>
                <w:rFonts w:ascii="Meta Pro" w:eastAsia="Times New Roman" w:hAnsi="Meta Pro"/>
                <w:szCs w:val="18"/>
                <w:lang w:eastAsia="en-AU"/>
              </w:rPr>
            </w:pPr>
            <w:r w:rsidRPr="00450B68">
              <w:rPr>
                <w:rFonts w:ascii="Meta Pro" w:eastAsia="Times New Roman" w:hAnsi="Meta Pro"/>
                <w:szCs w:val="18"/>
                <w:lang w:eastAsia="en-AU"/>
              </w:rPr>
              <w:t>Later than one year and not later than five years</w:t>
            </w:r>
          </w:p>
        </w:tc>
        <w:tc>
          <w:tcPr>
            <w:tcW w:w="1156" w:type="dxa"/>
            <w:tcBorders>
              <w:top w:val="nil"/>
              <w:left w:val="nil"/>
              <w:bottom w:val="nil"/>
              <w:right w:val="nil"/>
            </w:tcBorders>
            <w:shd w:val="clear" w:color="000000" w:fill="C9E3B4"/>
            <w:noWrap/>
            <w:vAlign w:val="center"/>
            <w:hideMark/>
          </w:tcPr>
          <w:p w14:paraId="772D5BD0" w14:textId="77777777" w:rsidR="00BC5219" w:rsidRPr="00450B68" w:rsidRDefault="00BC5219" w:rsidP="00E83802">
            <w:pPr>
              <w:jc w:val="right"/>
              <w:rPr>
                <w:rFonts w:ascii="Meta Pro" w:eastAsia="Times New Roman" w:hAnsi="Meta Pro"/>
                <w:szCs w:val="18"/>
                <w:lang w:eastAsia="en-AU"/>
              </w:rPr>
            </w:pPr>
            <w:r w:rsidRPr="00450B68">
              <w:rPr>
                <w:rFonts w:ascii="Meta Pro" w:eastAsia="Times New Roman" w:hAnsi="Meta Pro"/>
                <w:szCs w:val="18"/>
                <w:lang w:eastAsia="en-AU"/>
              </w:rPr>
              <w:t xml:space="preserve">1,513,871 </w:t>
            </w:r>
          </w:p>
        </w:tc>
        <w:tc>
          <w:tcPr>
            <w:tcW w:w="216" w:type="dxa"/>
            <w:tcBorders>
              <w:top w:val="nil"/>
              <w:left w:val="nil"/>
              <w:bottom w:val="nil"/>
              <w:right w:val="nil"/>
            </w:tcBorders>
            <w:shd w:val="clear" w:color="auto" w:fill="auto"/>
            <w:noWrap/>
            <w:vAlign w:val="center"/>
            <w:hideMark/>
          </w:tcPr>
          <w:p w14:paraId="222837EB" w14:textId="77777777" w:rsidR="00BC5219" w:rsidRPr="00450B68"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7BF607DC" w14:textId="77777777" w:rsidR="00BC5219" w:rsidRPr="00450B68" w:rsidRDefault="00BC5219" w:rsidP="00E83802">
            <w:pPr>
              <w:jc w:val="right"/>
              <w:rPr>
                <w:rFonts w:ascii="Meta Pro" w:eastAsia="Times New Roman" w:hAnsi="Meta Pro"/>
                <w:szCs w:val="18"/>
                <w:lang w:eastAsia="en-AU"/>
              </w:rPr>
            </w:pPr>
            <w:r w:rsidRPr="00450B68">
              <w:rPr>
                <w:rFonts w:ascii="Meta Pro" w:eastAsia="Times New Roman" w:hAnsi="Meta Pro"/>
                <w:szCs w:val="18"/>
                <w:lang w:eastAsia="en-AU"/>
              </w:rPr>
              <w:t xml:space="preserve">1,427,412 </w:t>
            </w:r>
          </w:p>
        </w:tc>
      </w:tr>
      <w:tr w:rsidR="00BC5219" w:rsidRPr="00450B68" w14:paraId="0AAD6458" w14:textId="77777777" w:rsidTr="00E83802">
        <w:trPr>
          <w:trHeight w:val="240"/>
        </w:trPr>
        <w:tc>
          <w:tcPr>
            <w:tcW w:w="7136" w:type="dxa"/>
            <w:tcBorders>
              <w:top w:val="nil"/>
              <w:left w:val="nil"/>
              <w:bottom w:val="nil"/>
              <w:right w:val="nil"/>
            </w:tcBorders>
            <w:shd w:val="clear" w:color="auto" w:fill="auto"/>
            <w:noWrap/>
            <w:vAlign w:val="center"/>
            <w:hideMark/>
          </w:tcPr>
          <w:p w14:paraId="7F5E039C" w14:textId="77777777" w:rsidR="00BC5219" w:rsidRPr="00450B68" w:rsidRDefault="00BC5219" w:rsidP="00E83802">
            <w:pPr>
              <w:rPr>
                <w:rFonts w:ascii="Meta Pro" w:eastAsia="Times New Roman" w:hAnsi="Meta Pro"/>
                <w:szCs w:val="18"/>
                <w:lang w:eastAsia="en-AU"/>
              </w:rPr>
            </w:pPr>
            <w:r w:rsidRPr="00450B68">
              <w:rPr>
                <w:rFonts w:ascii="Meta Pro" w:eastAsia="Times New Roman" w:hAnsi="Meta Pro"/>
                <w:szCs w:val="18"/>
                <w:lang w:eastAsia="en-AU"/>
              </w:rPr>
              <w:t>Later than five years</w:t>
            </w:r>
          </w:p>
        </w:tc>
        <w:tc>
          <w:tcPr>
            <w:tcW w:w="1156" w:type="dxa"/>
            <w:tcBorders>
              <w:top w:val="nil"/>
              <w:left w:val="nil"/>
              <w:bottom w:val="nil"/>
              <w:right w:val="nil"/>
            </w:tcBorders>
            <w:shd w:val="clear" w:color="000000" w:fill="C9E3B4"/>
            <w:noWrap/>
            <w:vAlign w:val="center"/>
            <w:hideMark/>
          </w:tcPr>
          <w:p w14:paraId="54BD7CE5" w14:textId="77777777" w:rsidR="00BC5219" w:rsidRPr="00450B68" w:rsidRDefault="00BC5219" w:rsidP="00E83802">
            <w:pPr>
              <w:jc w:val="right"/>
              <w:rPr>
                <w:rFonts w:ascii="Meta Pro" w:eastAsia="Times New Roman" w:hAnsi="Meta Pro"/>
                <w:szCs w:val="18"/>
                <w:lang w:eastAsia="en-AU"/>
              </w:rPr>
            </w:pPr>
            <w:r w:rsidRPr="00450B68">
              <w:rPr>
                <w:rFonts w:ascii="Meta Pro" w:eastAsia="Times New Roman" w:hAnsi="Meta Pro"/>
                <w:szCs w:val="18"/>
                <w:lang w:eastAsia="en-AU"/>
              </w:rPr>
              <w:t xml:space="preserve">- </w:t>
            </w:r>
          </w:p>
        </w:tc>
        <w:tc>
          <w:tcPr>
            <w:tcW w:w="216" w:type="dxa"/>
            <w:tcBorders>
              <w:top w:val="nil"/>
              <w:left w:val="nil"/>
              <w:bottom w:val="nil"/>
              <w:right w:val="nil"/>
            </w:tcBorders>
            <w:shd w:val="clear" w:color="auto" w:fill="auto"/>
            <w:noWrap/>
            <w:vAlign w:val="center"/>
            <w:hideMark/>
          </w:tcPr>
          <w:p w14:paraId="046D3589" w14:textId="77777777" w:rsidR="00BC5219" w:rsidRPr="00450B68"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6CAB822A" w14:textId="77777777" w:rsidR="00BC5219" w:rsidRPr="00450B68" w:rsidRDefault="00BC5219" w:rsidP="00E83802">
            <w:pPr>
              <w:jc w:val="right"/>
              <w:rPr>
                <w:rFonts w:ascii="Meta Pro" w:eastAsia="Times New Roman" w:hAnsi="Meta Pro"/>
                <w:szCs w:val="18"/>
                <w:lang w:eastAsia="en-AU"/>
              </w:rPr>
            </w:pPr>
            <w:r w:rsidRPr="00450B68">
              <w:rPr>
                <w:rFonts w:ascii="Meta Pro" w:eastAsia="Times New Roman" w:hAnsi="Meta Pro"/>
                <w:szCs w:val="18"/>
                <w:lang w:eastAsia="en-AU"/>
              </w:rPr>
              <w:t xml:space="preserve">32,500 </w:t>
            </w:r>
          </w:p>
        </w:tc>
      </w:tr>
      <w:tr w:rsidR="00BC5219" w:rsidRPr="00450B68" w14:paraId="60487DF8" w14:textId="77777777" w:rsidTr="00E83802">
        <w:trPr>
          <w:trHeight w:val="240"/>
        </w:trPr>
        <w:tc>
          <w:tcPr>
            <w:tcW w:w="7136" w:type="dxa"/>
            <w:tcBorders>
              <w:top w:val="single" w:sz="4" w:space="0" w:color="auto"/>
              <w:left w:val="nil"/>
              <w:bottom w:val="double" w:sz="6" w:space="0" w:color="auto"/>
              <w:right w:val="nil"/>
            </w:tcBorders>
            <w:shd w:val="clear" w:color="auto" w:fill="auto"/>
            <w:noWrap/>
            <w:vAlign w:val="center"/>
            <w:hideMark/>
          </w:tcPr>
          <w:p w14:paraId="38EF4AC7" w14:textId="77777777" w:rsidR="00BC5219" w:rsidRPr="00450B68" w:rsidRDefault="00BC5219" w:rsidP="00E83802">
            <w:pPr>
              <w:rPr>
                <w:rFonts w:ascii="Meta Pro" w:eastAsia="Times New Roman" w:hAnsi="Meta Pro"/>
                <w:b/>
                <w:bCs/>
                <w:szCs w:val="18"/>
                <w:lang w:eastAsia="en-AU"/>
              </w:rPr>
            </w:pPr>
            <w:r w:rsidRPr="00450B68">
              <w:rPr>
                <w:rFonts w:ascii="Meta Pro" w:eastAsia="Times New Roman" w:hAnsi="Meta Pro"/>
                <w:b/>
                <w:bCs/>
                <w:szCs w:val="18"/>
                <w:lang w:eastAsia="en-AU"/>
              </w:rPr>
              <w:t xml:space="preserve">Total </w:t>
            </w:r>
          </w:p>
        </w:tc>
        <w:tc>
          <w:tcPr>
            <w:tcW w:w="1156" w:type="dxa"/>
            <w:tcBorders>
              <w:top w:val="single" w:sz="4" w:space="0" w:color="auto"/>
              <w:left w:val="nil"/>
              <w:bottom w:val="double" w:sz="6" w:space="0" w:color="auto"/>
              <w:right w:val="nil"/>
            </w:tcBorders>
            <w:shd w:val="clear" w:color="000000" w:fill="C9E3B4"/>
            <w:noWrap/>
            <w:vAlign w:val="center"/>
            <w:hideMark/>
          </w:tcPr>
          <w:p w14:paraId="4F1480B8" w14:textId="77777777" w:rsidR="00BC5219" w:rsidRPr="00450B68" w:rsidRDefault="00BC5219" w:rsidP="00E83802">
            <w:pPr>
              <w:jc w:val="right"/>
              <w:rPr>
                <w:rFonts w:ascii="Meta Pro" w:eastAsia="Times New Roman" w:hAnsi="Meta Pro"/>
                <w:b/>
                <w:bCs/>
                <w:szCs w:val="18"/>
                <w:lang w:eastAsia="en-AU"/>
              </w:rPr>
            </w:pPr>
            <w:r w:rsidRPr="00450B68">
              <w:rPr>
                <w:rFonts w:ascii="Meta Pro" w:eastAsia="Times New Roman" w:hAnsi="Meta Pro"/>
                <w:b/>
                <w:bCs/>
                <w:szCs w:val="18"/>
                <w:lang w:eastAsia="en-AU"/>
              </w:rPr>
              <w:t xml:space="preserve">2,036,189 </w:t>
            </w:r>
          </w:p>
        </w:tc>
        <w:tc>
          <w:tcPr>
            <w:tcW w:w="216" w:type="dxa"/>
            <w:tcBorders>
              <w:top w:val="single" w:sz="4" w:space="0" w:color="auto"/>
              <w:left w:val="nil"/>
              <w:bottom w:val="double" w:sz="6" w:space="0" w:color="auto"/>
              <w:right w:val="nil"/>
            </w:tcBorders>
            <w:shd w:val="clear" w:color="auto" w:fill="auto"/>
            <w:noWrap/>
            <w:vAlign w:val="center"/>
            <w:hideMark/>
          </w:tcPr>
          <w:p w14:paraId="609AF72C" w14:textId="77777777" w:rsidR="00BC5219" w:rsidRPr="00450B68" w:rsidRDefault="00BC5219" w:rsidP="00E83802">
            <w:pPr>
              <w:jc w:val="right"/>
              <w:rPr>
                <w:rFonts w:ascii="Meta Pro" w:eastAsia="Times New Roman" w:hAnsi="Meta Pro"/>
                <w:szCs w:val="18"/>
                <w:lang w:eastAsia="en-AU"/>
              </w:rPr>
            </w:pPr>
            <w:r w:rsidRPr="00450B68">
              <w:rPr>
                <w:rFonts w:ascii="Meta Pro" w:eastAsia="Times New Roman" w:hAnsi="Meta Pro"/>
                <w:szCs w:val="18"/>
                <w:lang w:eastAsia="en-AU"/>
              </w:rPr>
              <w:t> </w:t>
            </w:r>
          </w:p>
        </w:tc>
        <w:tc>
          <w:tcPr>
            <w:tcW w:w="1156" w:type="dxa"/>
            <w:tcBorders>
              <w:top w:val="single" w:sz="4" w:space="0" w:color="auto"/>
              <w:left w:val="nil"/>
              <w:bottom w:val="double" w:sz="6" w:space="0" w:color="auto"/>
              <w:right w:val="nil"/>
            </w:tcBorders>
            <w:shd w:val="clear" w:color="auto" w:fill="auto"/>
            <w:noWrap/>
            <w:vAlign w:val="center"/>
            <w:hideMark/>
          </w:tcPr>
          <w:p w14:paraId="34093524" w14:textId="77777777" w:rsidR="00BC5219" w:rsidRPr="00450B68" w:rsidRDefault="00BC5219" w:rsidP="00E83802">
            <w:pPr>
              <w:jc w:val="right"/>
              <w:rPr>
                <w:rFonts w:ascii="Meta Pro" w:eastAsia="Times New Roman" w:hAnsi="Meta Pro"/>
                <w:b/>
                <w:bCs/>
                <w:szCs w:val="18"/>
                <w:lang w:eastAsia="en-AU"/>
              </w:rPr>
            </w:pPr>
            <w:r w:rsidRPr="00450B68">
              <w:rPr>
                <w:rFonts w:ascii="Meta Pro" w:eastAsia="Times New Roman" w:hAnsi="Meta Pro"/>
                <w:b/>
                <w:bCs/>
                <w:szCs w:val="18"/>
                <w:lang w:eastAsia="en-AU"/>
              </w:rPr>
              <w:t xml:space="preserve">2,040,423 </w:t>
            </w:r>
          </w:p>
        </w:tc>
      </w:tr>
      <w:tr w:rsidR="00BC5219" w:rsidRPr="00450B68" w14:paraId="00C22A13" w14:textId="77777777" w:rsidTr="00E83802">
        <w:trPr>
          <w:trHeight w:val="240"/>
        </w:trPr>
        <w:tc>
          <w:tcPr>
            <w:tcW w:w="7136" w:type="dxa"/>
            <w:tcBorders>
              <w:top w:val="nil"/>
              <w:left w:val="nil"/>
              <w:bottom w:val="nil"/>
              <w:right w:val="nil"/>
            </w:tcBorders>
            <w:shd w:val="clear" w:color="auto" w:fill="auto"/>
            <w:noWrap/>
            <w:vAlign w:val="center"/>
            <w:hideMark/>
          </w:tcPr>
          <w:p w14:paraId="58156F67" w14:textId="77777777" w:rsidR="00BC5219" w:rsidRPr="00450B68" w:rsidRDefault="00BC5219" w:rsidP="00E83802">
            <w:pPr>
              <w:jc w:val="right"/>
              <w:rPr>
                <w:rFonts w:ascii="Meta Pro" w:eastAsia="Times New Roman" w:hAnsi="Meta Pro"/>
                <w:b/>
                <w:bCs/>
                <w:szCs w:val="18"/>
                <w:lang w:eastAsia="en-AU"/>
              </w:rPr>
            </w:pPr>
          </w:p>
        </w:tc>
        <w:tc>
          <w:tcPr>
            <w:tcW w:w="1156" w:type="dxa"/>
            <w:tcBorders>
              <w:top w:val="nil"/>
              <w:left w:val="nil"/>
              <w:bottom w:val="nil"/>
              <w:right w:val="nil"/>
            </w:tcBorders>
            <w:shd w:val="clear" w:color="auto" w:fill="auto"/>
            <w:noWrap/>
            <w:vAlign w:val="center"/>
            <w:hideMark/>
          </w:tcPr>
          <w:p w14:paraId="495FBA3A" w14:textId="77777777" w:rsidR="00BC5219" w:rsidRPr="00450B68" w:rsidRDefault="00BC5219" w:rsidP="00E83802">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78782DEA" w14:textId="77777777" w:rsidR="00BC5219" w:rsidRPr="00450B68"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35866AF6" w14:textId="77777777" w:rsidR="00BC5219" w:rsidRPr="00450B68" w:rsidRDefault="00BC5219" w:rsidP="00E83802">
            <w:pPr>
              <w:jc w:val="right"/>
              <w:rPr>
                <w:rFonts w:ascii="Meta Pro" w:eastAsia="Times New Roman" w:hAnsi="Meta Pro" w:cs="Times New Roman"/>
                <w:sz w:val="20"/>
                <w:szCs w:val="20"/>
                <w:lang w:eastAsia="en-AU"/>
              </w:rPr>
            </w:pPr>
          </w:p>
        </w:tc>
      </w:tr>
      <w:tr w:rsidR="00BC5219" w:rsidRPr="00450B68" w14:paraId="08BB8A31" w14:textId="77777777" w:rsidTr="00E83802">
        <w:trPr>
          <w:trHeight w:val="240"/>
        </w:trPr>
        <w:tc>
          <w:tcPr>
            <w:tcW w:w="7136" w:type="dxa"/>
            <w:tcBorders>
              <w:top w:val="nil"/>
              <w:left w:val="nil"/>
              <w:bottom w:val="nil"/>
              <w:right w:val="nil"/>
            </w:tcBorders>
            <w:shd w:val="clear" w:color="auto" w:fill="auto"/>
            <w:noWrap/>
            <w:vAlign w:val="center"/>
            <w:hideMark/>
          </w:tcPr>
          <w:p w14:paraId="33D4D20D" w14:textId="77777777" w:rsidR="00BC5219" w:rsidRPr="00450B68" w:rsidRDefault="00BC5219" w:rsidP="00E83802">
            <w:pPr>
              <w:rPr>
                <w:rFonts w:ascii="Meta Pro" w:eastAsia="Times New Roman" w:hAnsi="Meta Pro"/>
                <w:b/>
                <w:bCs/>
                <w:szCs w:val="18"/>
                <w:lang w:eastAsia="en-AU"/>
              </w:rPr>
            </w:pPr>
            <w:r w:rsidRPr="00450B68">
              <w:rPr>
                <w:rFonts w:ascii="Meta Pro" w:eastAsia="Times New Roman" w:hAnsi="Meta Pro"/>
                <w:b/>
                <w:bCs/>
                <w:szCs w:val="18"/>
                <w:lang w:eastAsia="en-AU"/>
              </w:rPr>
              <w:t xml:space="preserve">Other commitments </w:t>
            </w:r>
          </w:p>
        </w:tc>
        <w:tc>
          <w:tcPr>
            <w:tcW w:w="1156" w:type="dxa"/>
            <w:tcBorders>
              <w:top w:val="nil"/>
              <w:left w:val="nil"/>
              <w:bottom w:val="nil"/>
              <w:right w:val="nil"/>
            </w:tcBorders>
            <w:shd w:val="clear" w:color="auto" w:fill="auto"/>
            <w:noWrap/>
            <w:vAlign w:val="center"/>
            <w:hideMark/>
          </w:tcPr>
          <w:p w14:paraId="068B0A94" w14:textId="77777777" w:rsidR="00BC5219" w:rsidRPr="00450B68" w:rsidRDefault="00BC5219" w:rsidP="00E83802">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1F21842E" w14:textId="77777777" w:rsidR="00BC5219" w:rsidRPr="00450B68" w:rsidRDefault="00BC5219" w:rsidP="00E83802">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63D8A194" w14:textId="77777777" w:rsidR="00BC5219" w:rsidRPr="00450B68" w:rsidRDefault="00BC5219" w:rsidP="00E83802">
            <w:pPr>
              <w:rPr>
                <w:rFonts w:ascii="Meta Pro" w:eastAsia="Times New Roman" w:hAnsi="Meta Pro" w:cs="Times New Roman"/>
                <w:sz w:val="20"/>
                <w:szCs w:val="20"/>
                <w:lang w:eastAsia="en-AU"/>
              </w:rPr>
            </w:pPr>
          </w:p>
        </w:tc>
      </w:tr>
      <w:tr w:rsidR="00BC5219" w:rsidRPr="00450B68" w14:paraId="33239959" w14:textId="77777777" w:rsidTr="00E83802">
        <w:trPr>
          <w:trHeight w:val="90"/>
        </w:trPr>
        <w:tc>
          <w:tcPr>
            <w:tcW w:w="7136" w:type="dxa"/>
            <w:tcBorders>
              <w:top w:val="nil"/>
              <w:left w:val="nil"/>
              <w:bottom w:val="nil"/>
              <w:right w:val="nil"/>
            </w:tcBorders>
            <w:shd w:val="clear" w:color="auto" w:fill="auto"/>
            <w:noWrap/>
            <w:vAlign w:val="center"/>
            <w:hideMark/>
          </w:tcPr>
          <w:p w14:paraId="1DB12650" w14:textId="77777777" w:rsidR="00BC5219" w:rsidRPr="00450B68" w:rsidRDefault="00BC5219" w:rsidP="00E83802">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30177A7E" w14:textId="77777777" w:rsidR="00BC5219" w:rsidRPr="00450B68" w:rsidRDefault="00BC5219" w:rsidP="00E83802">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0FC30CCB" w14:textId="77777777" w:rsidR="00BC5219" w:rsidRPr="00450B68" w:rsidRDefault="00BC5219" w:rsidP="00E83802">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48CE7321" w14:textId="77777777" w:rsidR="00BC5219" w:rsidRPr="00450B68" w:rsidRDefault="00BC5219" w:rsidP="00E83802">
            <w:pPr>
              <w:rPr>
                <w:rFonts w:ascii="Meta Pro" w:eastAsia="Times New Roman" w:hAnsi="Meta Pro" w:cs="Times New Roman"/>
                <w:sz w:val="20"/>
                <w:szCs w:val="20"/>
                <w:lang w:eastAsia="en-AU"/>
              </w:rPr>
            </w:pPr>
          </w:p>
        </w:tc>
      </w:tr>
      <w:tr w:rsidR="00BC5219" w:rsidRPr="00450B68" w14:paraId="0FF75022" w14:textId="77777777" w:rsidTr="00E83802">
        <w:trPr>
          <w:trHeight w:val="240"/>
        </w:trPr>
        <w:tc>
          <w:tcPr>
            <w:tcW w:w="7136" w:type="dxa"/>
            <w:tcBorders>
              <w:top w:val="nil"/>
              <w:left w:val="nil"/>
              <w:bottom w:val="nil"/>
              <w:right w:val="nil"/>
            </w:tcBorders>
            <w:shd w:val="clear" w:color="auto" w:fill="auto"/>
            <w:noWrap/>
            <w:vAlign w:val="center"/>
            <w:hideMark/>
          </w:tcPr>
          <w:p w14:paraId="77BEB56F" w14:textId="77777777" w:rsidR="00BC5219" w:rsidRPr="00450B68" w:rsidRDefault="00BC5219" w:rsidP="00E83802">
            <w:pPr>
              <w:rPr>
                <w:rFonts w:ascii="Meta Pro" w:eastAsia="Times New Roman" w:hAnsi="Meta Pro"/>
                <w:szCs w:val="18"/>
                <w:lang w:eastAsia="en-AU"/>
              </w:rPr>
            </w:pPr>
            <w:r w:rsidRPr="00450B68">
              <w:rPr>
                <w:rFonts w:ascii="Meta Pro" w:eastAsia="Times New Roman" w:hAnsi="Meta Pro"/>
                <w:szCs w:val="18"/>
                <w:lang w:eastAsia="en-AU"/>
              </w:rPr>
              <w:t>Not later than one year</w:t>
            </w:r>
          </w:p>
        </w:tc>
        <w:tc>
          <w:tcPr>
            <w:tcW w:w="1156" w:type="dxa"/>
            <w:tcBorders>
              <w:top w:val="nil"/>
              <w:left w:val="nil"/>
              <w:bottom w:val="nil"/>
              <w:right w:val="nil"/>
            </w:tcBorders>
            <w:shd w:val="clear" w:color="000000" w:fill="C9E3B4"/>
            <w:noWrap/>
            <w:vAlign w:val="center"/>
            <w:hideMark/>
          </w:tcPr>
          <w:p w14:paraId="6A4355D0" w14:textId="77777777" w:rsidR="00BC5219" w:rsidRPr="00450B68" w:rsidRDefault="00BC5219" w:rsidP="00E83802">
            <w:pPr>
              <w:jc w:val="right"/>
              <w:rPr>
                <w:rFonts w:ascii="Meta Pro" w:eastAsia="Times New Roman" w:hAnsi="Meta Pro"/>
                <w:szCs w:val="18"/>
                <w:lang w:eastAsia="en-AU"/>
              </w:rPr>
            </w:pPr>
            <w:r w:rsidRPr="00450B68">
              <w:rPr>
                <w:rFonts w:ascii="Meta Pro" w:eastAsia="Times New Roman" w:hAnsi="Meta Pro"/>
                <w:szCs w:val="18"/>
                <w:lang w:eastAsia="en-AU"/>
              </w:rPr>
              <w:t xml:space="preserve">1,393,501 </w:t>
            </w:r>
          </w:p>
        </w:tc>
        <w:tc>
          <w:tcPr>
            <w:tcW w:w="216" w:type="dxa"/>
            <w:tcBorders>
              <w:top w:val="nil"/>
              <w:left w:val="nil"/>
              <w:bottom w:val="nil"/>
              <w:right w:val="nil"/>
            </w:tcBorders>
            <w:shd w:val="clear" w:color="auto" w:fill="auto"/>
            <w:noWrap/>
            <w:vAlign w:val="center"/>
            <w:hideMark/>
          </w:tcPr>
          <w:p w14:paraId="343FFB62" w14:textId="77777777" w:rsidR="00BC5219" w:rsidRPr="00450B68"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159BAAE2" w14:textId="77777777" w:rsidR="00BC5219" w:rsidRPr="00450B68" w:rsidRDefault="00BC5219" w:rsidP="00E83802">
            <w:pPr>
              <w:jc w:val="right"/>
              <w:rPr>
                <w:rFonts w:ascii="Meta Pro" w:eastAsia="Times New Roman" w:hAnsi="Meta Pro"/>
                <w:szCs w:val="18"/>
                <w:lang w:eastAsia="en-AU"/>
              </w:rPr>
            </w:pPr>
            <w:r w:rsidRPr="00450B68">
              <w:rPr>
                <w:rFonts w:ascii="Meta Pro" w:eastAsia="Times New Roman" w:hAnsi="Meta Pro"/>
                <w:szCs w:val="18"/>
                <w:lang w:eastAsia="en-AU"/>
              </w:rPr>
              <w:t xml:space="preserve">4,135,391 </w:t>
            </w:r>
          </w:p>
        </w:tc>
      </w:tr>
      <w:tr w:rsidR="00BC5219" w:rsidRPr="00450B68" w14:paraId="26ECFF53" w14:textId="77777777" w:rsidTr="00E83802">
        <w:trPr>
          <w:trHeight w:val="240"/>
        </w:trPr>
        <w:tc>
          <w:tcPr>
            <w:tcW w:w="7136" w:type="dxa"/>
            <w:tcBorders>
              <w:top w:val="nil"/>
              <w:left w:val="nil"/>
              <w:bottom w:val="nil"/>
              <w:right w:val="nil"/>
            </w:tcBorders>
            <w:shd w:val="clear" w:color="auto" w:fill="auto"/>
            <w:noWrap/>
            <w:vAlign w:val="center"/>
            <w:hideMark/>
          </w:tcPr>
          <w:p w14:paraId="1DC9EC64" w14:textId="77777777" w:rsidR="00BC5219" w:rsidRPr="00450B68" w:rsidRDefault="00BC5219" w:rsidP="00E83802">
            <w:pPr>
              <w:rPr>
                <w:rFonts w:ascii="Meta Pro" w:eastAsia="Times New Roman" w:hAnsi="Meta Pro"/>
                <w:szCs w:val="18"/>
                <w:lang w:eastAsia="en-AU"/>
              </w:rPr>
            </w:pPr>
            <w:r w:rsidRPr="00450B68">
              <w:rPr>
                <w:rFonts w:ascii="Meta Pro" w:eastAsia="Times New Roman" w:hAnsi="Meta Pro"/>
                <w:szCs w:val="18"/>
                <w:lang w:eastAsia="en-AU"/>
              </w:rPr>
              <w:t>Later than one year and not later than five years</w:t>
            </w:r>
          </w:p>
        </w:tc>
        <w:tc>
          <w:tcPr>
            <w:tcW w:w="1156" w:type="dxa"/>
            <w:tcBorders>
              <w:top w:val="nil"/>
              <w:left w:val="nil"/>
              <w:bottom w:val="nil"/>
              <w:right w:val="nil"/>
            </w:tcBorders>
            <w:shd w:val="clear" w:color="000000" w:fill="C9E3B4"/>
            <w:noWrap/>
            <w:vAlign w:val="center"/>
            <w:hideMark/>
          </w:tcPr>
          <w:p w14:paraId="667E691B" w14:textId="77777777" w:rsidR="00BC5219" w:rsidRPr="00450B68" w:rsidRDefault="00BC5219" w:rsidP="00E83802">
            <w:pPr>
              <w:jc w:val="right"/>
              <w:rPr>
                <w:rFonts w:ascii="Meta Pro" w:eastAsia="Times New Roman" w:hAnsi="Meta Pro"/>
                <w:szCs w:val="18"/>
                <w:lang w:eastAsia="en-AU"/>
              </w:rPr>
            </w:pPr>
            <w:r w:rsidRPr="00450B68">
              <w:rPr>
                <w:rFonts w:ascii="Meta Pro" w:eastAsia="Times New Roman" w:hAnsi="Meta Pro"/>
                <w:szCs w:val="18"/>
                <w:lang w:eastAsia="en-AU"/>
              </w:rPr>
              <w:t xml:space="preserve">10,668,229 </w:t>
            </w:r>
          </w:p>
        </w:tc>
        <w:tc>
          <w:tcPr>
            <w:tcW w:w="216" w:type="dxa"/>
            <w:tcBorders>
              <w:top w:val="nil"/>
              <w:left w:val="nil"/>
              <w:bottom w:val="nil"/>
              <w:right w:val="nil"/>
            </w:tcBorders>
            <w:shd w:val="clear" w:color="auto" w:fill="auto"/>
            <w:noWrap/>
            <w:vAlign w:val="center"/>
            <w:hideMark/>
          </w:tcPr>
          <w:p w14:paraId="1A93142B" w14:textId="77777777" w:rsidR="00BC5219" w:rsidRPr="00450B68"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1779638E" w14:textId="77777777" w:rsidR="00BC5219" w:rsidRPr="00450B68" w:rsidRDefault="00BC5219" w:rsidP="00E83802">
            <w:pPr>
              <w:jc w:val="right"/>
              <w:rPr>
                <w:rFonts w:ascii="Meta Pro" w:eastAsia="Times New Roman" w:hAnsi="Meta Pro"/>
                <w:szCs w:val="18"/>
                <w:lang w:eastAsia="en-AU"/>
              </w:rPr>
            </w:pPr>
            <w:r w:rsidRPr="00450B68">
              <w:rPr>
                <w:rFonts w:ascii="Meta Pro" w:eastAsia="Times New Roman" w:hAnsi="Meta Pro"/>
                <w:szCs w:val="18"/>
                <w:lang w:eastAsia="en-AU"/>
              </w:rPr>
              <w:t xml:space="preserve">9,488,934 </w:t>
            </w:r>
          </w:p>
        </w:tc>
      </w:tr>
      <w:tr w:rsidR="00BC5219" w:rsidRPr="00450B68" w14:paraId="6A9FC3E8" w14:textId="77777777" w:rsidTr="00E83802">
        <w:trPr>
          <w:trHeight w:val="240"/>
        </w:trPr>
        <w:tc>
          <w:tcPr>
            <w:tcW w:w="7136" w:type="dxa"/>
            <w:tcBorders>
              <w:top w:val="nil"/>
              <w:left w:val="nil"/>
              <w:bottom w:val="nil"/>
              <w:right w:val="nil"/>
            </w:tcBorders>
            <w:shd w:val="clear" w:color="auto" w:fill="auto"/>
            <w:noWrap/>
            <w:vAlign w:val="center"/>
            <w:hideMark/>
          </w:tcPr>
          <w:p w14:paraId="6D0BEA97" w14:textId="77777777" w:rsidR="00BC5219" w:rsidRPr="00450B68" w:rsidRDefault="00BC5219" w:rsidP="00E83802">
            <w:pPr>
              <w:rPr>
                <w:rFonts w:ascii="Meta Pro" w:eastAsia="Times New Roman" w:hAnsi="Meta Pro"/>
                <w:szCs w:val="18"/>
                <w:lang w:eastAsia="en-AU"/>
              </w:rPr>
            </w:pPr>
            <w:r w:rsidRPr="00450B68">
              <w:rPr>
                <w:rFonts w:ascii="Meta Pro" w:eastAsia="Times New Roman" w:hAnsi="Meta Pro"/>
                <w:szCs w:val="18"/>
                <w:lang w:eastAsia="en-AU"/>
              </w:rPr>
              <w:t>Later than five years</w:t>
            </w:r>
          </w:p>
        </w:tc>
        <w:tc>
          <w:tcPr>
            <w:tcW w:w="1156" w:type="dxa"/>
            <w:tcBorders>
              <w:top w:val="nil"/>
              <w:left w:val="nil"/>
              <w:bottom w:val="nil"/>
              <w:right w:val="nil"/>
            </w:tcBorders>
            <w:shd w:val="clear" w:color="000000" w:fill="C9E3B4"/>
            <w:noWrap/>
            <w:vAlign w:val="center"/>
            <w:hideMark/>
          </w:tcPr>
          <w:p w14:paraId="7D33A215" w14:textId="77777777" w:rsidR="00BC5219" w:rsidRPr="00450B68" w:rsidRDefault="00BC5219" w:rsidP="00E83802">
            <w:pPr>
              <w:jc w:val="right"/>
              <w:rPr>
                <w:rFonts w:ascii="Meta Pro" w:eastAsia="Times New Roman" w:hAnsi="Meta Pro"/>
                <w:szCs w:val="18"/>
                <w:lang w:eastAsia="en-AU"/>
              </w:rPr>
            </w:pPr>
            <w:r w:rsidRPr="00450B68">
              <w:rPr>
                <w:rFonts w:ascii="Meta Pro" w:eastAsia="Times New Roman" w:hAnsi="Meta Pro"/>
                <w:szCs w:val="18"/>
                <w:lang w:eastAsia="en-AU"/>
              </w:rPr>
              <w:t xml:space="preserve">3,252,981 </w:t>
            </w:r>
          </w:p>
        </w:tc>
        <w:tc>
          <w:tcPr>
            <w:tcW w:w="216" w:type="dxa"/>
            <w:tcBorders>
              <w:top w:val="nil"/>
              <w:left w:val="nil"/>
              <w:bottom w:val="nil"/>
              <w:right w:val="nil"/>
            </w:tcBorders>
            <w:shd w:val="clear" w:color="auto" w:fill="auto"/>
            <w:noWrap/>
            <w:vAlign w:val="center"/>
            <w:hideMark/>
          </w:tcPr>
          <w:p w14:paraId="40DDE9F4" w14:textId="77777777" w:rsidR="00BC5219" w:rsidRPr="00450B68"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1C6505E4" w14:textId="77777777" w:rsidR="00BC5219" w:rsidRPr="00450B68" w:rsidRDefault="00BC5219" w:rsidP="00E83802">
            <w:pPr>
              <w:jc w:val="right"/>
              <w:rPr>
                <w:rFonts w:ascii="Meta Pro" w:eastAsia="Times New Roman" w:hAnsi="Meta Pro"/>
                <w:szCs w:val="18"/>
                <w:lang w:eastAsia="en-AU"/>
              </w:rPr>
            </w:pPr>
            <w:r w:rsidRPr="00450B68">
              <w:rPr>
                <w:rFonts w:ascii="Meta Pro" w:eastAsia="Times New Roman" w:hAnsi="Meta Pro"/>
                <w:szCs w:val="18"/>
                <w:lang w:eastAsia="en-AU"/>
              </w:rPr>
              <w:t xml:space="preserve">3,485,431 </w:t>
            </w:r>
          </w:p>
        </w:tc>
      </w:tr>
      <w:tr w:rsidR="00BC5219" w:rsidRPr="00450B68" w14:paraId="12CC677D" w14:textId="77777777" w:rsidTr="00E83802">
        <w:trPr>
          <w:trHeight w:val="240"/>
        </w:trPr>
        <w:tc>
          <w:tcPr>
            <w:tcW w:w="7136" w:type="dxa"/>
            <w:tcBorders>
              <w:top w:val="single" w:sz="4" w:space="0" w:color="auto"/>
              <w:left w:val="nil"/>
              <w:bottom w:val="double" w:sz="6" w:space="0" w:color="auto"/>
              <w:right w:val="nil"/>
            </w:tcBorders>
            <w:shd w:val="clear" w:color="auto" w:fill="auto"/>
            <w:noWrap/>
            <w:vAlign w:val="center"/>
            <w:hideMark/>
          </w:tcPr>
          <w:p w14:paraId="0E2B9172" w14:textId="77777777" w:rsidR="00BC5219" w:rsidRPr="00450B68" w:rsidRDefault="00BC5219" w:rsidP="00E83802">
            <w:pPr>
              <w:rPr>
                <w:rFonts w:ascii="Meta Pro" w:eastAsia="Times New Roman" w:hAnsi="Meta Pro"/>
                <w:b/>
                <w:bCs/>
                <w:szCs w:val="18"/>
                <w:lang w:eastAsia="en-AU"/>
              </w:rPr>
            </w:pPr>
            <w:r w:rsidRPr="00450B68">
              <w:rPr>
                <w:rFonts w:ascii="Meta Pro" w:eastAsia="Times New Roman" w:hAnsi="Meta Pro"/>
                <w:b/>
                <w:bCs/>
                <w:szCs w:val="18"/>
                <w:lang w:eastAsia="en-AU"/>
              </w:rPr>
              <w:lastRenderedPageBreak/>
              <w:t>Total</w:t>
            </w:r>
          </w:p>
        </w:tc>
        <w:tc>
          <w:tcPr>
            <w:tcW w:w="1156" w:type="dxa"/>
            <w:tcBorders>
              <w:top w:val="single" w:sz="4" w:space="0" w:color="auto"/>
              <w:left w:val="nil"/>
              <w:bottom w:val="double" w:sz="6" w:space="0" w:color="auto"/>
              <w:right w:val="nil"/>
            </w:tcBorders>
            <w:shd w:val="clear" w:color="000000" w:fill="C9E3B4"/>
            <w:noWrap/>
            <w:vAlign w:val="center"/>
            <w:hideMark/>
          </w:tcPr>
          <w:p w14:paraId="3877870D" w14:textId="77777777" w:rsidR="00BC5219" w:rsidRPr="00450B68" w:rsidRDefault="00BC5219" w:rsidP="00E83802">
            <w:pPr>
              <w:jc w:val="right"/>
              <w:rPr>
                <w:rFonts w:ascii="Meta Pro" w:eastAsia="Times New Roman" w:hAnsi="Meta Pro"/>
                <w:b/>
                <w:bCs/>
                <w:szCs w:val="18"/>
                <w:lang w:eastAsia="en-AU"/>
              </w:rPr>
            </w:pPr>
            <w:r w:rsidRPr="00450B68">
              <w:rPr>
                <w:rFonts w:ascii="Meta Pro" w:eastAsia="Times New Roman" w:hAnsi="Meta Pro"/>
                <w:b/>
                <w:bCs/>
                <w:szCs w:val="18"/>
                <w:lang w:eastAsia="en-AU"/>
              </w:rPr>
              <w:t xml:space="preserve">15,314,711 </w:t>
            </w:r>
          </w:p>
        </w:tc>
        <w:tc>
          <w:tcPr>
            <w:tcW w:w="216" w:type="dxa"/>
            <w:tcBorders>
              <w:top w:val="single" w:sz="4" w:space="0" w:color="auto"/>
              <w:left w:val="nil"/>
              <w:bottom w:val="double" w:sz="6" w:space="0" w:color="auto"/>
              <w:right w:val="nil"/>
            </w:tcBorders>
            <w:shd w:val="clear" w:color="auto" w:fill="auto"/>
            <w:noWrap/>
            <w:vAlign w:val="center"/>
            <w:hideMark/>
          </w:tcPr>
          <w:p w14:paraId="5C84BFE2" w14:textId="77777777" w:rsidR="00BC5219" w:rsidRPr="00450B68" w:rsidRDefault="00BC5219" w:rsidP="00E83802">
            <w:pPr>
              <w:jc w:val="right"/>
              <w:rPr>
                <w:rFonts w:ascii="Meta Pro" w:eastAsia="Times New Roman" w:hAnsi="Meta Pro"/>
                <w:szCs w:val="18"/>
                <w:lang w:eastAsia="en-AU"/>
              </w:rPr>
            </w:pPr>
            <w:r w:rsidRPr="00450B68">
              <w:rPr>
                <w:rFonts w:ascii="Meta Pro" w:eastAsia="Times New Roman" w:hAnsi="Meta Pro"/>
                <w:szCs w:val="18"/>
                <w:lang w:eastAsia="en-AU"/>
              </w:rPr>
              <w:t> </w:t>
            </w:r>
          </w:p>
        </w:tc>
        <w:tc>
          <w:tcPr>
            <w:tcW w:w="1156" w:type="dxa"/>
            <w:tcBorders>
              <w:top w:val="single" w:sz="4" w:space="0" w:color="auto"/>
              <w:left w:val="nil"/>
              <w:bottom w:val="double" w:sz="6" w:space="0" w:color="auto"/>
              <w:right w:val="nil"/>
            </w:tcBorders>
            <w:shd w:val="clear" w:color="auto" w:fill="auto"/>
            <w:noWrap/>
            <w:vAlign w:val="center"/>
            <w:hideMark/>
          </w:tcPr>
          <w:p w14:paraId="6BC229D9" w14:textId="77777777" w:rsidR="00BC5219" w:rsidRPr="00450B68" w:rsidRDefault="00BC5219" w:rsidP="00E83802">
            <w:pPr>
              <w:jc w:val="right"/>
              <w:rPr>
                <w:rFonts w:ascii="Meta Pro" w:eastAsia="Times New Roman" w:hAnsi="Meta Pro"/>
                <w:b/>
                <w:bCs/>
                <w:szCs w:val="18"/>
                <w:lang w:eastAsia="en-AU"/>
              </w:rPr>
            </w:pPr>
            <w:r w:rsidRPr="00450B68">
              <w:rPr>
                <w:rFonts w:ascii="Meta Pro" w:eastAsia="Times New Roman" w:hAnsi="Meta Pro"/>
                <w:b/>
                <w:bCs/>
                <w:szCs w:val="18"/>
                <w:lang w:eastAsia="en-AU"/>
              </w:rPr>
              <w:t xml:space="preserve">17,109,756 </w:t>
            </w:r>
          </w:p>
        </w:tc>
      </w:tr>
    </w:tbl>
    <w:p w14:paraId="46AAF16A" w14:textId="77777777" w:rsidR="00BC5219" w:rsidRPr="008A2B8F" w:rsidRDefault="00BC5219" w:rsidP="00BC5219">
      <w:pPr>
        <w:spacing w:before="120" w:line="259" w:lineRule="auto"/>
        <w:rPr>
          <w:rFonts w:ascii="Meta Pro" w:eastAsia="Times New Roman" w:hAnsi="Meta Pro"/>
          <w:color w:val="000000"/>
          <w:sz w:val="16"/>
          <w:szCs w:val="16"/>
          <w:lang w:eastAsia="en-AU"/>
        </w:rPr>
      </w:pPr>
      <w:r w:rsidRPr="008A2B8F">
        <w:rPr>
          <w:rFonts w:ascii="Meta Pro" w:eastAsia="Times New Roman" w:hAnsi="Meta Pro"/>
          <w:color w:val="000000"/>
          <w:sz w:val="16"/>
          <w:szCs w:val="16"/>
          <w:lang w:eastAsia="en-AU"/>
        </w:rPr>
        <w:t xml:space="preserve">* Increase in 2023 relates mainly to the Queensland Train Manufacturing Program. </w:t>
      </w:r>
    </w:p>
    <w:p w14:paraId="26FC4288" w14:textId="77777777" w:rsidR="00BC5219" w:rsidRPr="008A2B8F" w:rsidRDefault="00BC5219" w:rsidP="00BC5219">
      <w:pPr>
        <w:spacing w:after="120" w:line="259" w:lineRule="auto"/>
        <w:rPr>
          <w:rFonts w:ascii="Meta Pro" w:eastAsia="Times New Roman" w:hAnsi="Meta Pro"/>
          <w:color w:val="000000"/>
          <w:sz w:val="16"/>
          <w:szCs w:val="16"/>
          <w:lang w:eastAsia="en-AU"/>
        </w:rPr>
      </w:pPr>
    </w:p>
    <w:p w14:paraId="369118C6" w14:textId="77777777" w:rsidR="00BC5219" w:rsidRPr="008A2B8F" w:rsidRDefault="00BC5219" w:rsidP="00BC5219">
      <w:pPr>
        <w:spacing w:line="259" w:lineRule="auto"/>
        <w:rPr>
          <w:rFonts w:ascii="Meta Pro" w:eastAsia="Times New Roman" w:hAnsi="Meta Pro"/>
          <w:b/>
          <w:bCs/>
          <w:color w:val="000000"/>
          <w:lang w:eastAsia="en-AU"/>
        </w:rPr>
      </w:pPr>
      <w:r w:rsidRPr="008A2B8F">
        <w:rPr>
          <w:rFonts w:ascii="Meta Pro" w:eastAsia="Times New Roman" w:hAnsi="Meta Pro"/>
          <w:b/>
          <w:bCs/>
          <w:color w:val="000000"/>
          <w:lang w:eastAsia="en-AU"/>
        </w:rPr>
        <w:t>25     CONTINGENCIES</w:t>
      </w:r>
    </w:p>
    <w:p w14:paraId="777034B3" w14:textId="77777777" w:rsidR="00BC5219" w:rsidRPr="008A2B8F" w:rsidRDefault="00BC5219" w:rsidP="00BC5219">
      <w:pPr>
        <w:spacing w:before="120" w:line="259" w:lineRule="auto"/>
        <w:rPr>
          <w:rFonts w:ascii="Meta Pro" w:eastAsia="Times New Roman" w:hAnsi="Meta Pro"/>
          <w:b/>
          <w:bCs/>
          <w:color w:val="000000"/>
          <w:szCs w:val="18"/>
          <w:lang w:eastAsia="en-AU"/>
        </w:rPr>
      </w:pPr>
      <w:r w:rsidRPr="008A2B8F">
        <w:rPr>
          <w:rFonts w:ascii="Meta Pro" w:eastAsia="Times New Roman" w:hAnsi="Meta Pro"/>
          <w:b/>
          <w:bCs/>
          <w:color w:val="000000"/>
          <w:szCs w:val="18"/>
          <w:lang w:eastAsia="en-AU"/>
        </w:rPr>
        <w:t>Contingent assets</w:t>
      </w:r>
    </w:p>
    <w:p w14:paraId="26A2AFE3" w14:textId="77777777" w:rsidR="00BC5219" w:rsidRPr="008A2B8F" w:rsidRDefault="00BC5219" w:rsidP="00BC5219">
      <w:pPr>
        <w:spacing w:before="120" w:line="259" w:lineRule="auto"/>
        <w:rPr>
          <w:rFonts w:ascii="Meta Pro" w:eastAsia="Times New Roman" w:hAnsi="Meta Pro"/>
          <w:color w:val="000000"/>
          <w:szCs w:val="18"/>
          <w:lang w:eastAsia="en-AU"/>
        </w:rPr>
      </w:pPr>
      <w:r w:rsidRPr="008A2B8F">
        <w:rPr>
          <w:rFonts w:ascii="Meta Pro" w:eastAsia="Times New Roman" w:hAnsi="Meta Pro"/>
          <w:color w:val="000000"/>
          <w:szCs w:val="18"/>
          <w:lang w:eastAsia="en-AU"/>
        </w:rPr>
        <w:t xml:space="preserve">The department holds securities amounting to $770m (2022: $498m) provided by contractors in the event of non-performance with the agreed contract terms. These securities are not recognised as assets in the Statement of financial position due to the probability of realisation being remote.   </w:t>
      </w:r>
    </w:p>
    <w:p w14:paraId="4A4270DB" w14:textId="77777777" w:rsidR="00BC5219" w:rsidRPr="008A2B8F" w:rsidRDefault="00BC5219" w:rsidP="00BC5219">
      <w:pPr>
        <w:spacing w:before="120" w:line="259" w:lineRule="auto"/>
        <w:rPr>
          <w:rFonts w:ascii="Meta Pro" w:eastAsia="Times New Roman" w:hAnsi="Meta Pro"/>
          <w:b/>
          <w:bCs/>
          <w:color w:val="000000"/>
          <w:szCs w:val="18"/>
          <w:lang w:eastAsia="en-AU"/>
        </w:rPr>
      </w:pPr>
      <w:r w:rsidRPr="008A2B8F">
        <w:rPr>
          <w:rFonts w:ascii="Meta Pro" w:eastAsia="Times New Roman" w:hAnsi="Meta Pro"/>
          <w:b/>
          <w:bCs/>
          <w:color w:val="000000"/>
          <w:szCs w:val="18"/>
          <w:lang w:eastAsia="en-AU"/>
        </w:rPr>
        <w:t>Contingent liabilities</w:t>
      </w:r>
    </w:p>
    <w:p w14:paraId="71F04FC8" w14:textId="77777777" w:rsidR="00BC5219" w:rsidRPr="008A2B8F" w:rsidRDefault="00BC5219" w:rsidP="00BC5219">
      <w:pPr>
        <w:spacing w:before="120" w:after="60"/>
        <w:rPr>
          <w:rFonts w:ascii="Meta Pro" w:eastAsia="Times New Roman" w:hAnsi="Meta Pro"/>
          <w:color w:val="000000"/>
          <w:szCs w:val="18"/>
          <w:lang w:eastAsia="en-AU"/>
        </w:rPr>
      </w:pPr>
      <w:r w:rsidRPr="008A2B8F">
        <w:rPr>
          <w:rFonts w:ascii="Meta Pro" w:eastAsia="Times New Roman" w:hAnsi="Meta Pro"/>
          <w:color w:val="000000"/>
          <w:szCs w:val="18"/>
          <w:lang w:eastAsia="en-AU"/>
        </w:rPr>
        <w:t>At balance date the department has been named as defendant in four cases and 82 other claims not yet subject to court action. The department's legal advisers and management believe it would be misleading to estimate the final amounts payable for litigation filed in the courts.</w:t>
      </w:r>
    </w:p>
    <w:p w14:paraId="2B319DC6" w14:textId="77777777" w:rsidR="00BC5219" w:rsidRPr="008A2B8F" w:rsidRDefault="00BC5219" w:rsidP="00BC5219">
      <w:pPr>
        <w:spacing w:before="120"/>
        <w:rPr>
          <w:rFonts w:ascii="Meta Pro" w:eastAsia="Times New Roman" w:hAnsi="Meta Pro"/>
          <w:color w:val="000000"/>
          <w:szCs w:val="18"/>
          <w:lang w:eastAsia="en-AU"/>
        </w:rPr>
      </w:pPr>
      <w:r w:rsidRPr="008A2B8F">
        <w:rPr>
          <w:rFonts w:ascii="Meta Pro" w:eastAsia="Times New Roman" w:hAnsi="Meta Pro"/>
          <w:color w:val="000000"/>
          <w:szCs w:val="18"/>
          <w:lang w:eastAsia="en-AU"/>
        </w:rPr>
        <w:t>The Queensland Government Insurance Fund limits the department's liability in a majority of these cases to $10,000.</w:t>
      </w:r>
    </w:p>
    <w:p w14:paraId="297E80FC" w14:textId="77777777" w:rsidR="00BC5219" w:rsidRPr="008A2B8F" w:rsidRDefault="00BC5219" w:rsidP="00BC5219">
      <w:pPr>
        <w:spacing w:line="259" w:lineRule="auto"/>
        <w:rPr>
          <w:rFonts w:ascii="Meta Pro" w:eastAsia="Times New Roman" w:hAnsi="Meta Pro"/>
          <w:color w:val="000000"/>
          <w:szCs w:val="18"/>
          <w:lang w:eastAsia="en-AU"/>
        </w:rPr>
        <w:sectPr w:rsidR="00BC5219" w:rsidRPr="008A2B8F" w:rsidSect="00F43C3A">
          <w:headerReference w:type="default" r:id="rId127"/>
          <w:footerReference w:type="default" r:id="rId128"/>
          <w:pgSz w:w="11906" w:h="16838"/>
          <w:pgMar w:top="1701" w:right="851" w:bottom="1134" w:left="851" w:header="454" w:footer="454" w:gutter="0"/>
          <w:pgNumType w:start="30"/>
          <w:cols w:space="708"/>
          <w:docGrid w:linePitch="360"/>
        </w:sectPr>
      </w:pPr>
    </w:p>
    <w:p w14:paraId="75270508"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p>
    <w:p w14:paraId="74F8FAAA"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p>
    <w:p w14:paraId="0EB54838"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p>
    <w:p w14:paraId="5BA03494"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p>
    <w:p w14:paraId="2C0E005C"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p>
    <w:p w14:paraId="3030A729"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p>
    <w:p w14:paraId="55898C49"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p>
    <w:p w14:paraId="18D7B5CC"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p>
    <w:p w14:paraId="26660E74"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p>
    <w:p w14:paraId="34454C96"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p>
    <w:p w14:paraId="6197E52A"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r w:rsidRPr="008A2B8F">
        <w:rPr>
          <w:rFonts w:ascii="Meta Pro" w:eastAsia="Times New Roman" w:hAnsi="Meta Pro"/>
          <w:i/>
          <w:iCs/>
          <w:color w:val="000000" w:themeColor="text1"/>
          <w:lang w:eastAsia="en-AU"/>
        </w:rPr>
        <w:t>Department of Transport and Main Roads</w:t>
      </w:r>
    </w:p>
    <w:p w14:paraId="1B3F71D3"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Notes to the financial statements 2022–23 (continued)</w:t>
      </w:r>
    </w:p>
    <w:p w14:paraId="6BFE5EE7" w14:textId="77777777" w:rsidR="00BC5219" w:rsidRPr="008A2B8F" w:rsidRDefault="00BC5219" w:rsidP="00BC5219">
      <w:pPr>
        <w:spacing w:line="259" w:lineRule="auto"/>
        <w:rPr>
          <w:rFonts w:ascii="Meta Pro" w:eastAsia="Times New Roman" w:hAnsi="Meta Pro"/>
          <w:b/>
          <w:bCs/>
          <w:color w:val="000000"/>
          <w:lang w:eastAsia="en-AU"/>
        </w:rPr>
      </w:pPr>
    </w:p>
    <w:p w14:paraId="188BA70D" w14:textId="77777777" w:rsidR="00BC5219" w:rsidRPr="008A2B8F" w:rsidRDefault="00BC5219" w:rsidP="00BC5219">
      <w:pPr>
        <w:spacing w:line="259" w:lineRule="auto"/>
        <w:rPr>
          <w:rFonts w:ascii="Meta Pro" w:eastAsia="Times New Roman" w:hAnsi="Meta Pro"/>
          <w:b/>
          <w:bCs/>
          <w:color w:val="000000"/>
          <w:lang w:eastAsia="en-AU"/>
        </w:rPr>
      </w:pPr>
      <w:r w:rsidRPr="008A2B8F">
        <w:rPr>
          <w:rFonts w:ascii="Meta Pro" w:eastAsia="Times New Roman" w:hAnsi="Meta Pro"/>
          <w:b/>
          <w:bCs/>
          <w:color w:val="000000"/>
          <w:lang w:eastAsia="en-AU"/>
        </w:rPr>
        <w:t xml:space="preserve">26     INVESTMENT IN SUBSIDIARY </w:t>
      </w:r>
    </w:p>
    <w:p w14:paraId="40945D30" w14:textId="77777777" w:rsidR="00BC5219" w:rsidRPr="008A2B8F" w:rsidRDefault="00BC5219" w:rsidP="00BC5219">
      <w:pPr>
        <w:spacing w:before="120" w:line="259" w:lineRule="auto"/>
        <w:rPr>
          <w:rFonts w:ascii="Meta Pro" w:eastAsia="Times New Roman" w:hAnsi="Meta Pro"/>
          <w:b/>
          <w:bCs/>
          <w:color w:val="000000"/>
          <w:szCs w:val="18"/>
          <w:lang w:eastAsia="en-AU"/>
        </w:rPr>
      </w:pPr>
      <w:r w:rsidRPr="008A2B8F">
        <w:rPr>
          <w:rFonts w:ascii="Meta Pro" w:eastAsia="Times New Roman" w:hAnsi="Meta Pro"/>
          <w:b/>
          <w:bCs/>
          <w:color w:val="000000"/>
          <w:szCs w:val="18"/>
          <w:lang w:eastAsia="en-AU"/>
        </w:rPr>
        <w:t xml:space="preserve">Transmax Pty Ltd </w:t>
      </w:r>
    </w:p>
    <w:p w14:paraId="16C7CE83" w14:textId="77777777" w:rsidR="00BC5219" w:rsidRPr="008A2B8F" w:rsidRDefault="00BC5219" w:rsidP="00BC5219">
      <w:pPr>
        <w:spacing w:before="120"/>
        <w:rPr>
          <w:rFonts w:ascii="Meta Pro" w:eastAsia="Times New Roman" w:hAnsi="Meta Pro"/>
          <w:color w:val="000000"/>
          <w:szCs w:val="18"/>
          <w:lang w:eastAsia="en-AU"/>
        </w:rPr>
      </w:pPr>
      <w:r w:rsidRPr="008A2B8F">
        <w:rPr>
          <w:rFonts w:ascii="Meta Pro" w:eastAsia="Times New Roman" w:hAnsi="Meta Pro"/>
          <w:color w:val="000000"/>
          <w:szCs w:val="18"/>
          <w:lang w:eastAsia="en-AU"/>
        </w:rPr>
        <w:t>Transmax Pty Ltd (Transmax) was established to enhance and market the STREAMS traffic management system. STREAMS is a multifunctional intelligent transport system that provides freeway, traffic signal and incident management as well as driver and passenger information capabilities.</w:t>
      </w:r>
    </w:p>
    <w:p w14:paraId="0A4A236D" w14:textId="77777777" w:rsidR="00BC5219" w:rsidRPr="008A2B8F" w:rsidRDefault="00BC5219" w:rsidP="00BC5219">
      <w:pPr>
        <w:spacing w:before="120"/>
        <w:rPr>
          <w:rFonts w:ascii="Meta Pro" w:eastAsia="Times New Roman" w:hAnsi="Meta Pro"/>
          <w:color w:val="000000"/>
          <w:szCs w:val="18"/>
          <w:lang w:eastAsia="en-AU"/>
        </w:rPr>
      </w:pPr>
      <w:r w:rsidRPr="008A2B8F">
        <w:rPr>
          <w:rFonts w:ascii="Meta Pro" w:eastAsia="Times New Roman" w:hAnsi="Meta Pro"/>
          <w:color w:val="000000"/>
          <w:szCs w:val="18"/>
          <w:lang w:eastAsia="en-AU"/>
        </w:rPr>
        <w:t xml:space="preserve">The department exercises control over Transmax through 100 percent ownership of all its issued shares. This investment is recognised at cost and is valued at $15.601m (2022: $5.601m). </w:t>
      </w:r>
      <w:bookmarkStart w:id="53" w:name="_Hlk141259218"/>
      <w:r w:rsidRPr="008A2B8F">
        <w:rPr>
          <w:rFonts w:ascii="Meta Pro" w:eastAsia="Times New Roman" w:hAnsi="Meta Pro"/>
          <w:color w:val="000000"/>
          <w:szCs w:val="18"/>
          <w:lang w:eastAsia="en-AU"/>
        </w:rPr>
        <w:t xml:space="preserve">The department made an equity injection of $10.0m in 2023 for Transmax’s STREAMS Next Generation Mobility Platform. </w:t>
      </w:r>
    </w:p>
    <w:bookmarkEnd w:id="53"/>
    <w:p w14:paraId="593DCA0A" w14:textId="77777777" w:rsidR="00BC5219" w:rsidRPr="008A2B8F" w:rsidRDefault="00BC5219" w:rsidP="00BC5219">
      <w:pPr>
        <w:spacing w:before="120"/>
        <w:rPr>
          <w:rFonts w:ascii="Meta Pro" w:eastAsia="Times New Roman" w:hAnsi="Meta Pro"/>
          <w:i/>
          <w:iCs/>
          <w:color w:val="000000"/>
          <w:szCs w:val="18"/>
          <w:lang w:eastAsia="en-AU"/>
        </w:rPr>
      </w:pPr>
      <w:r w:rsidRPr="008A2B8F">
        <w:rPr>
          <w:rFonts w:ascii="Meta Pro" w:eastAsia="Times New Roman" w:hAnsi="Meta Pro"/>
          <w:color w:val="000000"/>
          <w:szCs w:val="18"/>
          <w:lang w:eastAsia="en-AU"/>
        </w:rPr>
        <w:t xml:space="preserve">The amount of the investment and transactions relating to Transmax are not material to these financial statements, and the department has elected not to prepare consolidated financial statements in accordance with AASB 127 </w:t>
      </w:r>
      <w:r w:rsidRPr="008A2B8F">
        <w:rPr>
          <w:rFonts w:ascii="Meta Pro" w:eastAsia="Times New Roman" w:hAnsi="Meta Pro"/>
          <w:i/>
          <w:iCs/>
          <w:color w:val="000000"/>
          <w:szCs w:val="18"/>
          <w:lang w:eastAsia="en-AU"/>
        </w:rPr>
        <w:t>Separate Financial Statements.</w:t>
      </w:r>
    </w:p>
    <w:p w14:paraId="327CB960" w14:textId="77777777" w:rsidR="00BC5219" w:rsidRPr="008A2B8F" w:rsidRDefault="00BC5219" w:rsidP="00BC5219">
      <w:pPr>
        <w:spacing w:before="120"/>
        <w:rPr>
          <w:rFonts w:ascii="Meta Pro" w:eastAsia="Times New Roman" w:hAnsi="Meta Pro"/>
          <w:color w:val="000000"/>
          <w:szCs w:val="18"/>
          <w:lang w:eastAsia="en-AU"/>
        </w:rPr>
      </w:pPr>
      <w:r w:rsidRPr="008A2B8F">
        <w:rPr>
          <w:rFonts w:ascii="Meta Pro" w:eastAsia="Times New Roman" w:hAnsi="Meta Pro"/>
          <w:color w:val="000000"/>
          <w:szCs w:val="18"/>
          <w:lang w:eastAsia="en-AU"/>
        </w:rPr>
        <w:lastRenderedPageBreak/>
        <w:t>The department engaged Transmax for the provision of software licencing, technical support and related professional services to the value of $33.210m (2022: $23.240m) GST inclusive during the financial year.</w:t>
      </w:r>
    </w:p>
    <w:p w14:paraId="75E0663F" w14:textId="77777777" w:rsidR="00BC5219" w:rsidRPr="008A2B8F" w:rsidRDefault="00BC5219" w:rsidP="00BC5219">
      <w:pPr>
        <w:spacing w:before="120"/>
        <w:rPr>
          <w:rFonts w:ascii="Meta Pro" w:eastAsia="Times New Roman" w:hAnsi="Meta Pro"/>
          <w:color w:val="000000"/>
          <w:szCs w:val="18"/>
          <w:lang w:eastAsia="en-AU"/>
        </w:rPr>
      </w:pPr>
      <w:r w:rsidRPr="008A2B8F">
        <w:rPr>
          <w:rFonts w:ascii="Meta Pro" w:eastAsia="Times New Roman" w:hAnsi="Meta Pro"/>
          <w:color w:val="000000"/>
          <w:szCs w:val="18"/>
          <w:lang w:eastAsia="en-AU"/>
        </w:rPr>
        <w:t>Transmax prepares separate financial statements which are audited by the Queensland Audit Office and are tabled in parliament in accordance with government policy.</w:t>
      </w:r>
    </w:p>
    <w:p w14:paraId="3CBF7EF1" w14:textId="77777777" w:rsidR="00BC5219" w:rsidRPr="008A2B8F" w:rsidRDefault="00BC5219" w:rsidP="00BC5219">
      <w:pPr>
        <w:rPr>
          <w:rFonts w:ascii="Meta Pro" w:eastAsia="Times New Roman" w:hAnsi="Meta Pro"/>
          <w:color w:val="000000"/>
          <w:szCs w:val="18"/>
          <w:lang w:eastAsia="en-AU"/>
        </w:rPr>
      </w:pPr>
    </w:p>
    <w:p w14:paraId="1975A75D" w14:textId="77777777" w:rsidR="00BC5219" w:rsidRPr="009A4248" w:rsidRDefault="00BC5219" w:rsidP="00BC5219">
      <w:pPr>
        <w:spacing w:line="168" w:lineRule="auto"/>
        <w:rPr>
          <w:rFonts w:ascii="Meta Pro" w:hAnsi="Meta Pro" w:cstheme="minorBidi"/>
        </w:rPr>
      </w:pPr>
    </w:p>
    <w:tbl>
      <w:tblPr>
        <w:tblW w:w="0" w:type="auto"/>
        <w:tblCellMar>
          <w:left w:w="0" w:type="dxa"/>
        </w:tblCellMar>
        <w:tblLook w:val="04A0" w:firstRow="1" w:lastRow="0" w:firstColumn="1" w:lastColumn="0" w:noHBand="0" w:noVBand="1"/>
      </w:tblPr>
      <w:tblGrid>
        <w:gridCol w:w="6184"/>
        <w:gridCol w:w="1044"/>
        <w:gridCol w:w="1164"/>
        <w:gridCol w:w="224"/>
        <w:gridCol w:w="1164"/>
      </w:tblGrid>
      <w:tr w:rsidR="00BC5219" w:rsidRPr="009A4248" w14:paraId="0D53199B" w14:textId="77777777" w:rsidTr="00E83802">
        <w:trPr>
          <w:trHeight w:val="240"/>
        </w:trPr>
        <w:tc>
          <w:tcPr>
            <w:tcW w:w="6176" w:type="dxa"/>
            <w:tcBorders>
              <w:top w:val="nil"/>
              <w:left w:val="nil"/>
              <w:bottom w:val="nil"/>
              <w:right w:val="nil"/>
            </w:tcBorders>
            <w:shd w:val="clear" w:color="auto" w:fill="auto"/>
            <w:noWrap/>
            <w:vAlign w:val="center"/>
            <w:hideMark/>
          </w:tcPr>
          <w:p w14:paraId="51A25D05" w14:textId="77777777" w:rsidR="00BC5219" w:rsidRPr="009A4248" w:rsidRDefault="00BC5219" w:rsidP="00E83802">
            <w:pPr>
              <w:rPr>
                <w:rFonts w:ascii="Meta Pro" w:eastAsia="Times New Roman" w:hAnsi="Meta Pro" w:cs="Times New Roman"/>
                <w:sz w:val="24"/>
                <w:szCs w:val="24"/>
                <w:lang w:eastAsia="en-AU"/>
              </w:rPr>
            </w:pPr>
          </w:p>
        </w:tc>
        <w:tc>
          <w:tcPr>
            <w:tcW w:w="1036" w:type="dxa"/>
            <w:tcBorders>
              <w:top w:val="nil"/>
              <w:left w:val="nil"/>
              <w:bottom w:val="nil"/>
              <w:right w:val="nil"/>
            </w:tcBorders>
            <w:shd w:val="clear" w:color="auto" w:fill="auto"/>
            <w:noWrap/>
            <w:vAlign w:val="center"/>
            <w:hideMark/>
          </w:tcPr>
          <w:p w14:paraId="5CD77888" w14:textId="77777777" w:rsidR="00BC5219" w:rsidRPr="009A4248" w:rsidRDefault="00BC5219" w:rsidP="00E83802">
            <w:pPr>
              <w:jc w:val="center"/>
              <w:rPr>
                <w:rFonts w:ascii="Meta Pro" w:eastAsia="Times New Roman" w:hAnsi="Meta Pro"/>
                <w:b/>
                <w:bCs/>
                <w:color w:val="000000"/>
                <w:lang w:eastAsia="en-AU"/>
              </w:rPr>
            </w:pPr>
            <w:r w:rsidRPr="009A4248">
              <w:rPr>
                <w:rFonts w:ascii="Meta Pro" w:eastAsia="Times New Roman" w:hAnsi="Meta Pro"/>
                <w:b/>
                <w:bCs/>
                <w:color w:val="000000"/>
                <w:lang w:eastAsia="en-AU"/>
              </w:rPr>
              <w:t>Note</w:t>
            </w:r>
          </w:p>
        </w:tc>
        <w:tc>
          <w:tcPr>
            <w:tcW w:w="1156" w:type="dxa"/>
            <w:tcBorders>
              <w:top w:val="nil"/>
              <w:left w:val="nil"/>
              <w:bottom w:val="nil"/>
              <w:right w:val="nil"/>
            </w:tcBorders>
            <w:shd w:val="clear" w:color="auto" w:fill="auto"/>
            <w:noWrap/>
            <w:vAlign w:val="center"/>
            <w:hideMark/>
          </w:tcPr>
          <w:p w14:paraId="5137F2F0" w14:textId="77777777" w:rsidR="00BC5219" w:rsidRPr="009A4248" w:rsidRDefault="00BC5219" w:rsidP="00E83802">
            <w:pPr>
              <w:jc w:val="center"/>
              <w:rPr>
                <w:rFonts w:ascii="Meta Pro" w:eastAsia="Times New Roman" w:hAnsi="Meta Pro"/>
                <w:b/>
                <w:bCs/>
                <w:lang w:eastAsia="en-AU"/>
              </w:rPr>
            </w:pPr>
            <w:r w:rsidRPr="009A4248">
              <w:rPr>
                <w:rFonts w:ascii="Meta Pro" w:eastAsia="Times New Roman" w:hAnsi="Meta Pro"/>
                <w:b/>
                <w:bCs/>
                <w:lang w:eastAsia="en-AU"/>
              </w:rPr>
              <w:t>2023</w:t>
            </w:r>
          </w:p>
        </w:tc>
        <w:tc>
          <w:tcPr>
            <w:tcW w:w="216" w:type="dxa"/>
            <w:tcBorders>
              <w:top w:val="nil"/>
              <w:left w:val="nil"/>
              <w:bottom w:val="nil"/>
              <w:right w:val="nil"/>
            </w:tcBorders>
            <w:shd w:val="clear" w:color="auto" w:fill="auto"/>
            <w:noWrap/>
            <w:vAlign w:val="center"/>
            <w:hideMark/>
          </w:tcPr>
          <w:p w14:paraId="6A6FD2DA" w14:textId="77777777" w:rsidR="00BC5219" w:rsidRPr="009A4248" w:rsidRDefault="00BC5219" w:rsidP="00E83802">
            <w:pPr>
              <w:jc w:val="center"/>
              <w:rPr>
                <w:rFonts w:ascii="Meta Pro" w:eastAsia="Times New Roman" w:hAnsi="Meta Pro"/>
                <w:b/>
                <w:bCs/>
                <w:lang w:eastAsia="en-AU"/>
              </w:rPr>
            </w:pPr>
          </w:p>
        </w:tc>
        <w:tc>
          <w:tcPr>
            <w:tcW w:w="1156" w:type="dxa"/>
            <w:tcBorders>
              <w:top w:val="nil"/>
              <w:left w:val="nil"/>
              <w:bottom w:val="nil"/>
              <w:right w:val="nil"/>
            </w:tcBorders>
            <w:shd w:val="clear" w:color="auto" w:fill="auto"/>
            <w:noWrap/>
            <w:vAlign w:val="center"/>
            <w:hideMark/>
          </w:tcPr>
          <w:p w14:paraId="5EF8E416" w14:textId="77777777" w:rsidR="00BC5219" w:rsidRPr="009A4248" w:rsidRDefault="00BC5219" w:rsidP="00E83802">
            <w:pPr>
              <w:jc w:val="center"/>
              <w:rPr>
                <w:rFonts w:ascii="Meta Pro" w:eastAsia="Times New Roman" w:hAnsi="Meta Pro"/>
                <w:b/>
                <w:bCs/>
                <w:lang w:eastAsia="en-AU"/>
              </w:rPr>
            </w:pPr>
            <w:r w:rsidRPr="009A4248">
              <w:rPr>
                <w:rFonts w:ascii="Meta Pro" w:eastAsia="Times New Roman" w:hAnsi="Meta Pro"/>
                <w:b/>
                <w:bCs/>
                <w:lang w:eastAsia="en-AU"/>
              </w:rPr>
              <w:t>2022</w:t>
            </w:r>
          </w:p>
        </w:tc>
      </w:tr>
      <w:tr w:rsidR="00BC5219" w:rsidRPr="009A4248" w14:paraId="45F1BFB0" w14:textId="77777777" w:rsidTr="00E83802">
        <w:trPr>
          <w:trHeight w:val="240"/>
        </w:trPr>
        <w:tc>
          <w:tcPr>
            <w:tcW w:w="6176" w:type="dxa"/>
            <w:tcBorders>
              <w:top w:val="nil"/>
              <w:left w:val="nil"/>
              <w:bottom w:val="nil"/>
              <w:right w:val="nil"/>
            </w:tcBorders>
            <w:shd w:val="clear" w:color="auto" w:fill="auto"/>
            <w:noWrap/>
            <w:vAlign w:val="center"/>
            <w:hideMark/>
          </w:tcPr>
          <w:p w14:paraId="4809FB37" w14:textId="77777777" w:rsidR="00BC5219" w:rsidRPr="009A4248" w:rsidRDefault="00BC5219" w:rsidP="00E83802">
            <w:pPr>
              <w:jc w:val="center"/>
              <w:rPr>
                <w:rFonts w:ascii="Meta Pro" w:eastAsia="Times New Roman" w:hAnsi="Meta Pro"/>
                <w:b/>
                <w:bCs/>
                <w:lang w:eastAsia="en-AU"/>
              </w:rPr>
            </w:pPr>
          </w:p>
        </w:tc>
        <w:tc>
          <w:tcPr>
            <w:tcW w:w="1036" w:type="dxa"/>
            <w:tcBorders>
              <w:top w:val="nil"/>
              <w:left w:val="nil"/>
              <w:bottom w:val="nil"/>
              <w:right w:val="nil"/>
            </w:tcBorders>
            <w:shd w:val="clear" w:color="auto" w:fill="auto"/>
            <w:noWrap/>
            <w:vAlign w:val="center"/>
            <w:hideMark/>
          </w:tcPr>
          <w:p w14:paraId="41F757C1" w14:textId="77777777" w:rsidR="00BC5219" w:rsidRPr="009A4248" w:rsidRDefault="00BC5219" w:rsidP="00E83802">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48EE5ABC" w14:textId="77777777" w:rsidR="00BC5219" w:rsidRPr="009A4248" w:rsidRDefault="00BC5219" w:rsidP="00E83802">
            <w:pPr>
              <w:jc w:val="center"/>
              <w:rPr>
                <w:rFonts w:ascii="Meta Pro" w:eastAsia="Times New Roman" w:hAnsi="Meta Pro"/>
                <w:b/>
                <w:bCs/>
                <w:lang w:eastAsia="en-AU"/>
              </w:rPr>
            </w:pPr>
            <w:r w:rsidRPr="009A4248">
              <w:rPr>
                <w:rFonts w:ascii="Meta Pro" w:eastAsia="Times New Roman" w:hAnsi="Meta Pro"/>
                <w:b/>
                <w:bCs/>
                <w:lang w:eastAsia="en-AU"/>
              </w:rPr>
              <w:t>$'000</w:t>
            </w:r>
          </w:p>
        </w:tc>
        <w:tc>
          <w:tcPr>
            <w:tcW w:w="216" w:type="dxa"/>
            <w:tcBorders>
              <w:top w:val="nil"/>
              <w:left w:val="nil"/>
              <w:bottom w:val="nil"/>
              <w:right w:val="nil"/>
            </w:tcBorders>
            <w:shd w:val="clear" w:color="auto" w:fill="auto"/>
            <w:noWrap/>
            <w:vAlign w:val="center"/>
            <w:hideMark/>
          </w:tcPr>
          <w:p w14:paraId="7B1BAD0B" w14:textId="77777777" w:rsidR="00BC5219" w:rsidRPr="009A4248" w:rsidRDefault="00BC5219" w:rsidP="00E83802">
            <w:pPr>
              <w:jc w:val="center"/>
              <w:rPr>
                <w:rFonts w:ascii="Meta Pro" w:eastAsia="Times New Roman" w:hAnsi="Meta Pro"/>
                <w:b/>
                <w:bCs/>
                <w:lang w:eastAsia="en-AU"/>
              </w:rPr>
            </w:pPr>
          </w:p>
        </w:tc>
        <w:tc>
          <w:tcPr>
            <w:tcW w:w="1156" w:type="dxa"/>
            <w:tcBorders>
              <w:top w:val="nil"/>
              <w:left w:val="nil"/>
              <w:bottom w:val="nil"/>
              <w:right w:val="nil"/>
            </w:tcBorders>
            <w:shd w:val="clear" w:color="auto" w:fill="auto"/>
            <w:noWrap/>
            <w:vAlign w:val="center"/>
            <w:hideMark/>
          </w:tcPr>
          <w:p w14:paraId="6FCA7B86" w14:textId="77777777" w:rsidR="00BC5219" w:rsidRPr="009A4248" w:rsidRDefault="00BC5219" w:rsidP="00E83802">
            <w:pPr>
              <w:jc w:val="center"/>
              <w:rPr>
                <w:rFonts w:ascii="Meta Pro" w:eastAsia="Times New Roman" w:hAnsi="Meta Pro"/>
                <w:b/>
                <w:bCs/>
                <w:lang w:eastAsia="en-AU"/>
              </w:rPr>
            </w:pPr>
            <w:r w:rsidRPr="009A4248">
              <w:rPr>
                <w:rFonts w:ascii="Meta Pro" w:eastAsia="Times New Roman" w:hAnsi="Meta Pro"/>
                <w:b/>
                <w:bCs/>
                <w:lang w:eastAsia="en-AU"/>
              </w:rPr>
              <w:t>$'000</w:t>
            </w:r>
          </w:p>
        </w:tc>
      </w:tr>
      <w:tr w:rsidR="00BC5219" w:rsidRPr="009A4248" w14:paraId="27DD0393" w14:textId="77777777" w:rsidTr="00E83802">
        <w:trPr>
          <w:trHeight w:val="240"/>
        </w:trPr>
        <w:tc>
          <w:tcPr>
            <w:tcW w:w="6176" w:type="dxa"/>
            <w:tcBorders>
              <w:top w:val="nil"/>
              <w:left w:val="nil"/>
              <w:bottom w:val="nil"/>
              <w:right w:val="nil"/>
            </w:tcBorders>
            <w:shd w:val="clear" w:color="auto" w:fill="auto"/>
            <w:noWrap/>
            <w:vAlign w:val="center"/>
            <w:hideMark/>
          </w:tcPr>
          <w:p w14:paraId="66538E17" w14:textId="77777777" w:rsidR="00BC5219" w:rsidRPr="009A4248" w:rsidRDefault="00BC5219" w:rsidP="00E83802">
            <w:pPr>
              <w:rPr>
                <w:rFonts w:ascii="Meta Pro" w:eastAsia="Times New Roman" w:hAnsi="Meta Pro"/>
                <w:b/>
                <w:bCs/>
                <w:lang w:eastAsia="en-AU"/>
              </w:rPr>
            </w:pPr>
            <w:r w:rsidRPr="009A4248">
              <w:rPr>
                <w:rFonts w:ascii="Meta Pro" w:eastAsia="Times New Roman" w:hAnsi="Meta Pro"/>
                <w:b/>
                <w:bCs/>
                <w:lang w:eastAsia="en-AU"/>
              </w:rPr>
              <w:t>27     FINANCIAL INSTRUMENTS</w:t>
            </w:r>
          </w:p>
        </w:tc>
        <w:tc>
          <w:tcPr>
            <w:tcW w:w="1036" w:type="dxa"/>
            <w:tcBorders>
              <w:top w:val="nil"/>
              <w:left w:val="nil"/>
              <w:bottom w:val="nil"/>
              <w:right w:val="nil"/>
            </w:tcBorders>
            <w:shd w:val="clear" w:color="auto" w:fill="auto"/>
            <w:noWrap/>
            <w:vAlign w:val="center"/>
            <w:hideMark/>
          </w:tcPr>
          <w:p w14:paraId="2E7EE950" w14:textId="77777777" w:rsidR="00BC5219" w:rsidRPr="009A4248" w:rsidRDefault="00BC5219" w:rsidP="00E83802">
            <w:pPr>
              <w:rPr>
                <w:rFonts w:ascii="Meta Pro" w:eastAsia="Times New Roman" w:hAnsi="Meta Pro"/>
                <w:b/>
                <w:bCs/>
                <w:lang w:eastAsia="en-AU"/>
              </w:rPr>
            </w:pPr>
          </w:p>
        </w:tc>
        <w:tc>
          <w:tcPr>
            <w:tcW w:w="1156" w:type="dxa"/>
            <w:tcBorders>
              <w:top w:val="nil"/>
              <w:left w:val="nil"/>
              <w:bottom w:val="nil"/>
              <w:right w:val="nil"/>
            </w:tcBorders>
            <w:shd w:val="clear" w:color="auto" w:fill="auto"/>
            <w:noWrap/>
            <w:vAlign w:val="center"/>
            <w:hideMark/>
          </w:tcPr>
          <w:p w14:paraId="55C97D8D" w14:textId="77777777" w:rsidR="00BC5219" w:rsidRPr="009A4248" w:rsidRDefault="00BC5219" w:rsidP="00E83802">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2DE25BBF" w14:textId="77777777" w:rsidR="00BC5219" w:rsidRPr="009A4248"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5FE679D6" w14:textId="77777777" w:rsidR="00BC5219" w:rsidRPr="009A4248" w:rsidRDefault="00BC5219" w:rsidP="00E83802">
            <w:pPr>
              <w:jc w:val="right"/>
              <w:rPr>
                <w:rFonts w:ascii="Meta Pro" w:eastAsia="Times New Roman" w:hAnsi="Meta Pro" w:cs="Times New Roman"/>
                <w:sz w:val="20"/>
                <w:szCs w:val="20"/>
                <w:lang w:eastAsia="en-AU"/>
              </w:rPr>
            </w:pPr>
          </w:p>
        </w:tc>
      </w:tr>
      <w:tr w:rsidR="00BC5219" w:rsidRPr="009A4248" w14:paraId="77218F00" w14:textId="77777777" w:rsidTr="00E83802">
        <w:trPr>
          <w:trHeight w:val="90"/>
        </w:trPr>
        <w:tc>
          <w:tcPr>
            <w:tcW w:w="6176" w:type="dxa"/>
            <w:tcBorders>
              <w:top w:val="nil"/>
              <w:left w:val="nil"/>
              <w:bottom w:val="nil"/>
              <w:right w:val="nil"/>
            </w:tcBorders>
            <w:shd w:val="clear" w:color="auto" w:fill="auto"/>
            <w:noWrap/>
            <w:vAlign w:val="center"/>
            <w:hideMark/>
          </w:tcPr>
          <w:p w14:paraId="64DEE967" w14:textId="77777777" w:rsidR="00BC5219" w:rsidRPr="009A4248" w:rsidRDefault="00BC5219" w:rsidP="00E83802">
            <w:pPr>
              <w:jc w:val="right"/>
              <w:rPr>
                <w:rFonts w:ascii="Meta Pro" w:eastAsia="Times New Roman" w:hAnsi="Meta Pro" w:cs="Times New Roman"/>
                <w:sz w:val="20"/>
                <w:szCs w:val="20"/>
                <w:lang w:eastAsia="en-AU"/>
              </w:rPr>
            </w:pPr>
          </w:p>
        </w:tc>
        <w:tc>
          <w:tcPr>
            <w:tcW w:w="1036" w:type="dxa"/>
            <w:tcBorders>
              <w:top w:val="nil"/>
              <w:left w:val="nil"/>
              <w:bottom w:val="nil"/>
              <w:right w:val="nil"/>
            </w:tcBorders>
            <w:shd w:val="clear" w:color="auto" w:fill="auto"/>
            <w:noWrap/>
            <w:vAlign w:val="center"/>
            <w:hideMark/>
          </w:tcPr>
          <w:p w14:paraId="56AD0DCD" w14:textId="77777777" w:rsidR="00BC5219" w:rsidRPr="009A4248" w:rsidRDefault="00BC5219" w:rsidP="00E83802">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47F75534" w14:textId="77777777" w:rsidR="00BC5219" w:rsidRPr="009A4248" w:rsidRDefault="00BC5219" w:rsidP="00E83802">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768C7CA9" w14:textId="77777777" w:rsidR="00BC5219" w:rsidRPr="009A4248"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06975842" w14:textId="77777777" w:rsidR="00BC5219" w:rsidRPr="009A4248" w:rsidRDefault="00BC5219" w:rsidP="00E83802">
            <w:pPr>
              <w:jc w:val="right"/>
              <w:rPr>
                <w:rFonts w:ascii="Meta Pro" w:eastAsia="Times New Roman" w:hAnsi="Meta Pro" w:cs="Times New Roman"/>
                <w:sz w:val="20"/>
                <w:szCs w:val="20"/>
                <w:lang w:eastAsia="en-AU"/>
              </w:rPr>
            </w:pPr>
          </w:p>
        </w:tc>
      </w:tr>
      <w:tr w:rsidR="00BC5219" w:rsidRPr="009A4248" w14:paraId="5BFC579B" w14:textId="77777777" w:rsidTr="00E83802">
        <w:trPr>
          <w:trHeight w:val="480"/>
        </w:trPr>
        <w:tc>
          <w:tcPr>
            <w:tcW w:w="9740" w:type="dxa"/>
            <w:gridSpan w:val="5"/>
            <w:tcBorders>
              <w:top w:val="nil"/>
              <w:left w:val="nil"/>
              <w:bottom w:val="nil"/>
              <w:right w:val="nil"/>
            </w:tcBorders>
            <w:shd w:val="clear" w:color="auto" w:fill="auto"/>
            <w:vAlign w:val="center"/>
            <w:hideMark/>
          </w:tcPr>
          <w:p w14:paraId="5D77E796" w14:textId="77777777" w:rsidR="00BC5219" w:rsidRPr="009A4248" w:rsidRDefault="00BC5219" w:rsidP="00E83802">
            <w:pPr>
              <w:rPr>
                <w:rFonts w:ascii="Meta Pro" w:eastAsia="Times New Roman" w:hAnsi="Meta Pro"/>
                <w:szCs w:val="18"/>
                <w:lang w:eastAsia="en-AU"/>
              </w:rPr>
            </w:pPr>
            <w:r w:rsidRPr="009A4248">
              <w:rPr>
                <w:rFonts w:ascii="Meta Pro" w:eastAsia="Times New Roman" w:hAnsi="Meta Pro"/>
                <w:szCs w:val="18"/>
                <w:lang w:eastAsia="en-AU"/>
              </w:rPr>
              <w:t>Financial assets and financial liabilities are recognised in the Statement of financial position when the department becomes party to the contractual provisions of the financial instrument.</w:t>
            </w:r>
          </w:p>
        </w:tc>
      </w:tr>
      <w:tr w:rsidR="00BC5219" w:rsidRPr="009A4248" w14:paraId="07A2C9CC" w14:textId="77777777" w:rsidTr="00E83802">
        <w:trPr>
          <w:trHeight w:val="240"/>
        </w:trPr>
        <w:tc>
          <w:tcPr>
            <w:tcW w:w="6176" w:type="dxa"/>
            <w:tcBorders>
              <w:top w:val="nil"/>
              <w:left w:val="nil"/>
              <w:bottom w:val="nil"/>
              <w:right w:val="nil"/>
            </w:tcBorders>
            <w:shd w:val="clear" w:color="auto" w:fill="auto"/>
            <w:noWrap/>
            <w:vAlign w:val="center"/>
            <w:hideMark/>
          </w:tcPr>
          <w:p w14:paraId="7AB9C7A5" w14:textId="77777777" w:rsidR="00BC5219" w:rsidRPr="009A4248" w:rsidRDefault="00BC5219" w:rsidP="00E83802">
            <w:pPr>
              <w:rPr>
                <w:rFonts w:ascii="Meta Pro" w:eastAsia="Times New Roman" w:hAnsi="Meta Pro"/>
                <w:szCs w:val="18"/>
                <w:lang w:eastAsia="en-AU"/>
              </w:rPr>
            </w:pPr>
          </w:p>
        </w:tc>
        <w:tc>
          <w:tcPr>
            <w:tcW w:w="1036" w:type="dxa"/>
            <w:tcBorders>
              <w:top w:val="nil"/>
              <w:left w:val="nil"/>
              <w:bottom w:val="nil"/>
              <w:right w:val="nil"/>
            </w:tcBorders>
            <w:shd w:val="clear" w:color="auto" w:fill="auto"/>
            <w:noWrap/>
            <w:vAlign w:val="center"/>
            <w:hideMark/>
          </w:tcPr>
          <w:p w14:paraId="442D0C30" w14:textId="77777777" w:rsidR="00BC5219" w:rsidRPr="009A4248" w:rsidRDefault="00BC5219" w:rsidP="00E83802">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0F396209" w14:textId="77777777" w:rsidR="00BC5219" w:rsidRPr="009A4248" w:rsidRDefault="00BC5219" w:rsidP="00E83802">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2772A985" w14:textId="77777777" w:rsidR="00BC5219" w:rsidRPr="009A4248"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74DE1A45" w14:textId="77777777" w:rsidR="00BC5219" w:rsidRPr="009A4248" w:rsidRDefault="00BC5219" w:rsidP="00E83802">
            <w:pPr>
              <w:jc w:val="right"/>
              <w:rPr>
                <w:rFonts w:ascii="Meta Pro" w:eastAsia="Times New Roman" w:hAnsi="Meta Pro" w:cs="Times New Roman"/>
                <w:sz w:val="20"/>
                <w:szCs w:val="20"/>
                <w:lang w:eastAsia="en-AU"/>
              </w:rPr>
            </w:pPr>
          </w:p>
        </w:tc>
      </w:tr>
      <w:tr w:rsidR="00BC5219" w:rsidRPr="009A4248" w14:paraId="297786E1" w14:textId="77777777" w:rsidTr="00E83802">
        <w:trPr>
          <w:trHeight w:val="240"/>
        </w:trPr>
        <w:tc>
          <w:tcPr>
            <w:tcW w:w="6176" w:type="dxa"/>
            <w:tcBorders>
              <w:top w:val="nil"/>
              <w:left w:val="nil"/>
              <w:bottom w:val="nil"/>
              <w:right w:val="nil"/>
            </w:tcBorders>
            <w:shd w:val="clear" w:color="auto" w:fill="auto"/>
            <w:noWrap/>
            <w:vAlign w:val="center"/>
            <w:hideMark/>
          </w:tcPr>
          <w:p w14:paraId="0B244CFD" w14:textId="77777777" w:rsidR="00BC5219" w:rsidRPr="009A4248" w:rsidRDefault="00BC5219" w:rsidP="00E83802">
            <w:pPr>
              <w:rPr>
                <w:rFonts w:ascii="Meta Pro" w:eastAsia="Times New Roman" w:hAnsi="Meta Pro"/>
                <w:b/>
                <w:bCs/>
                <w:szCs w:val="18"/>
                <w:lang w:eastAsia="en-AU"/>
              </w:rPr>
            </w:pPr>
            <w:r w:rsidRPr="009A4248">
              <w:rPr>
                <w:rFonts w:ascii="Meta Pro" w:eastAsia="Times New Roman" w:hAnsi="Meta Pro"/>
                <w:b/>
                <w:bCs/>
                <w:szCs w:val="18"/>
                <w:lang w:eastAsia="en-AU"/>
              </w:rPr>
              <w:t>CATEGORISATION OF FINANCIAL INSTRUMENTS</w:t>
            </w:r>
          </w:p>
        </w:tc>
        <w:tc>
          <w:tcPr>
            <w:tcW w:w="1036" w:type="dxa"/>
            <w:tcBorders>
              <w:top w:val="nil"/>
              <w:left w:val="nil"/>
              <w:bottom w:val="nil"/>
              <w:right w:val="nil"/>
            </w:tcBorders>
            <w:shd w:val="clear" w:color="auto" w:fill="auto"/>
            <w:noWrap/>
            <w:vAlign w:val="center"/>
            <w:hideMark/>
          </w:tcPr>
          <w:p w14:paraId="0AAA2A07" w14:textId="77777777" w:rsidR="00BC5219" w:rsidRPr="009A4248" w:rsidRDefault="00BC5219" w:rsidP="00E83802">
            <w:pPr>
              <w:rPr>
                <w:rFonts w:ascii="Meta Pro" w:eastAsia="Times New Roman" w:hAnsi="Meta Pro"/>
                <w:b/>
                <w:bCs/>
                <w:szCs w:val="18"/>
                <w:lang w:eastAsia="en-AU"/>
              </w:rPr>
            </w:pPr>
          </w:p>
        </w:tc>
        <w:tc>
          <w:tcPr>
            <w:tcW w:w="1156" w:type="dxa"/>
            <w:tcBorders>
              <w:top w:val="nil"/>
              <w:left w:val="nil"/>
              <w:bottom w:val="nil"/>
              <w:right w:val="nil"/>
            </w:tcBorders>
            <w:shd w:val="clear" w:color="auto" w:fill="auto"/>
            <w:noWrap/>
            <w:vAlign w:val="center"/>
            <w:hideMark/>
          </w:tcPr>
          <w:p w14:paraId="3D1B1726" w14:textId="77777777" w:rsidR="00BC5219" w:rsidRPr="009A4248" w:rsidRDefault="00BC5219" w:rsidP="00E83802">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5353E704" w14:textId="77777777" w:rsidR="00BC5219" w:rsidRPr="009A4248"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54D278F7" w14:textId="77777777" w:rsidR="00BC5219" w:rsidRPr="009A4248" w:rsidRDefault="00BC5219" w:rsidP="00E83802">
            <w:pPr>
              <w:jc w:val="right"/>
              <w:rPr>
                <w:rFonts w:ascii="Meta Pro" w:eastAsia="Times New Roman" w:hAnsi="Meta Pro" w:cs="Times New Roman"/>
                <w:sz w:val="20"/>
                <w:szCs w:val="20"/>
                <w:lang w:eastAsia="en-AU"/>
              </w:rPr>
            </w:pPr>
          </w:p>
        </w:tc>
      </w:tr>
      <w:tr w:rsidR="00BC5219" w:rsidRPr="009A4248" w14:paraId="4497872F" w14:textId="77777777" w:rsidTr="00E83802">
        <w:trPr>
          <w:trHeight w:val="90"/>
        </w:trPr>
        <w:tc>
          <w:tcPr>
            <w:tcW w:w="6176" w:type="dxa"/>
            <w:tcBorders>
              <w:top w:val="nil"/>
              <w:left w:val="nil"/>
              <w:bottom w:val="nil"/>
              <w:right w:val="nil"/>
            </w:tcBorders>
            <w:shd w:val="clear" w:color="auto" w:fill="auto"/>
            <w:noWrap/>
            <w:vAlign w:val="center"/>
            <w:hideMark/>
          </w:tcPr>
          <w:p w14:paraId="697E35D6" w14:textId="77777777" w:rsidR="00BC5219" w:rsidRPr="009A4248" w:rsidRDefault="00BC5219" w:rsidP="00E83802">
            <w:pPr>
              <w:jc w:val="right"/>
              <w:rPr>
                <w:rFonts w:ascii="Meta Pro" w:eastAsia="Times New Roman" w:hAnsi="Meta Pro" w:cs="Times New Roman"/>
                <w:sz w:val="20"/>
                <w:szCs w:val="20"/>
                <w:lang w:eastAsia="en-AU"/>
              </w:rPr>
            </w:pPr>
          </w:p>
        </w:tc>
        <w:tc>
          <w:tcPr>
            <w:tcW w:w="1036" w:type="dxa"/>
            <w:tcBorders>
              <w:top w:val="nil"/>
              <w:left w:val="nil"/>
              <w:bottom w:val="nil"/>
              <w:right w:val="nil"/>
            </w:tcBorders>
            <w:shd w:val="clear" w:color="auto" w:fill="auto"/>
            <w:noWrap/>
            <w:vAlign w:val="center"/>
            <w:hideMark/>
          </w:tcPr>
          <w:p w14:paraId="29E43340" w14:textId="77777777" w:rsidR="00BC5219" w:rsidRPr="009A4248" w:rsidRDefault="00BC5219" w:rsidP="00E83802">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328EF64B" w14:textId="77777777" w:rsidR="00BC5219" w:rsidRPr="009A4248" w:rsidRDefault="00BC5219" w:rsidP="00E83802">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318B5F22" w14:textId="77777777" w:rsidR="00BC5219" w:rsidRPr="009A4248"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4ACD648E" w14:textId="77777777" w:rsidR="00BC5219" w:rsidRPr="009A4248" w:rsidRDefault="00BC5219" w:rsidP="00E83802">
            <w:pPr>
              <w:jc w:val="right"/>
              <w:rPr>
                <w:rFonts w:ascii="Meta Pro" w:eastAsia="Times New Roman" w:hAnsi="Meta Pro" w:cs="Times New Roman"/>
                <w:sz w:val="20"/>
                <w:szCs w:val="20"/>
                <w:lang w:eastAsia="en-AU"/>
              </w:rPr>
            </w:pPr>
          </w:p>
        </w:tc>
      </w:tr>
      <w:tr w:rsidR="00BC5219" w:rsidRPr="009A4248" w14:paraId="1B91A7BE" w14:textId="77777777" w:rsidTr="00E83802">
        <w:trPr>
          <w:trHeight w:val="240"/>
        </w:trPr>
        <w:tc>
          <w:tcPr>
            <w:tcW w:w="7212" w:type="dxa"/>
            <w:gridSpan w:val="2"/>
            <w:tcBorders>
              <w:top w:val="nil"/>
              <w:left w:val="nil"/>
              <w:bottom w:val="nil"/>
              <w:right w:val="nil"/>
            </w:tcBorders>
            <w:shd w:val="clear" w:color="auto" w:fill="auto"/>
            <w:noWrap/>
            <w:vAlign w:val="center"/>
            <w:hideMark/>
          </w:tcPr>
          <w:p w14:paraId="0429E9A0" w14:textId="77777777" w:rsidR="00BC5219" w:rsidRPr="009A4248" w:rsidRDefault="00BC5219" w:rsidP="00E83802">
            <w:pPr>
              <w:rPr>
                <w:rFonts w:ascii="Meta Pro" w:eastAsia="Times New Roman" w:hAnsi="Meta Pro"/>
                <w:szCs w:val="18"/>
                <w:lang w:eastAsia="en-AU"/>
              </w:rPr>
            </w:pPr>
            <w:r w:rsidRPr="009A4248">
              <w:rPr>
                <w:rFonts w:ascii="Meta Pro" w:eastAsia="Times New Roman" w:hAnsi="Meta Pro"/>
                <w:szCs w:val="18"/>
                <w:lang w:eastAsia="en-AU"/>
              </w:rPr>
              <w:t>The department has the following categories of financial assets and financial liabilities:</w:t>
            </w:r>
          </w:p>
        </w:tc>
        <w:tc>
          <w:tcPr>
            <w:tcW w:w="1156" w:type="dxa"/>
            <w:tcBorders>
              <w:top w:val="nil"/>
              <w:left w:val="nil"/>
              <w:bottom w:val="nil"/>
              <w:right w:val="nil"/>
            </w:tcBorders>
            <w:shd w:val="clear" w:color="auto" w:fill="auto"/>
            <w:noWrap/>
            <w:vAlign w:val="center"/>
            <w:hideMark/>
          </w:tcPr>
          <w:p w14:paraId="56F4408B" w14:textId="77777777" w:rsidR="00BC5219" w:rsidRPr="009A4248" w:rsidRDefault="00BC5219" w:rsidP="00E83802">
            <w:pPr>
              <w:rPr>
                <w:rFonts w:ascii="Meta Pro" w:eastAsia="Times New Roman" w:hAnsi="Meta Pro"/>
                <w:szCs w:val="18"/>
                <w:lang w:eastAsia="en-AU"/>
              </w:rPr>
            </w:pPr>
          </w:p>
        </w:tc>
        <w:tc>
          <w:tcPr>
            <w:tcW w:w="216" w:type="dxa"/>
            <w:tcBorders>
              <w:top w:val="nil"/>
              <w:left w:val="nil"/>
              <w:bottom w:val="nil"/>
              <w:right w:val="nil"/>
            </w:tcBorders>
            <w:shd w:val="clear" w:color="auto" w:fill="auto"/>
            <w:noWrap/>
            <w:vAlign w:val="center"/>
            <w:hideMark/>
          </w:tcPr>
          <w:p w14:paraId="735CEEC8" w14:textId="77777777" w:rsidR="00BC5219" w:rsidRPr="009A4248" w:rsidRDefault="00BC5219" w:rsidP="00E83802">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4F416A23" w14:textId="77777777" w:rsidR="00BC5219" w:rsidRPr="009A4248" w:rsidRDefault="00BC5219" w:rsidP="00E83802">
            <w:pPr>
              <w:rPr>
                <w:rFonts w:ascii="Meta Pro" w:eastAsia="Times New Roman" w:hAnsi="Meta Pro" w:cs="Times New Roman"/>
                <w:sz w:val="20"/>
                <w:szCs w:val="20"/>
                <w:lang w:eastAsia="en-AU"/>
              </w:rPr>
            </w:pPr>
          </w:p>
        </w:tc>
      </w:tr>
      <w:tr w:rsidR="00BC5219" w:rsidRPr="009A4248" w14:paraId="3CAB7B2B" w14:textId="77777777" w:rsidTr="00E83802">
        <w:trPr>
          <w:trHeight w:val="90"/>
        </w:trPr>
        <w:tc>
          <w:tcPr>
            <w:tcW w:w="6176" w:type="dxa"/>
            <w:tcBorders>
              <w:top w:val="nil"/>
              <w:left w:val="nil"/>
              <w:bottom w:val="nil"/>
              <w:right w:val="nil"/>
            </w:tcBorders>
            <w:shd w:val="clear" w:color="auto" w:fill="auto"/>
            <w:noWrap/>
            <w:vAlign w:val="center"/>
            <w:hideMark/>
          </w:tcPr>
          <w:p w14:paraId="3DDCF47F" w14:textId="77777777" w:rsidR="00BC5219" w:rsidRPr="009A4248" w:rsidRDefault="00BC5219" w:rsidP="00E83802">
            <w:pPr>
              <w:rPr>
                <w:rFonts w:ascii="Meta Pro" w:eastAsia="Times New Roman" w:hAnsi="Meta Pro" w:cs="Times New Roman"/>
                <w:sz w:val="20"/>
                <w:szCs w:val="20"/>
                <w:lang w:eastAsia="en-AU"/>
              </w:rPr>
            </w:pPr>
          </w:p>
        </w:tc>
        <w:tc>
          <w:tcPr>
            <w:tcW w:w="1036" w:type="dxa"/>
            <w:tcBorders>
              <w:top w:val="nil"/>
              <w:left w:val="nil"/>
              <w:bottom w:val="nil"/>
              <w:right w:val="nil"/>
            </w:tcBorders>
            <w:shd w:val="clear" w:color="auto" w:fill="auto"/>
            <w:noWrap/>
            <w:vAlign w:val="center"/>
            <w:hideMark/>
          </w:tcPr>
          <w:p w14:paraId="609C891F" w14:textId="77777777" w:rsidR="00BC5219" w:rsidRPr="009A4248" w:rsidRDefault="00BC5219" w:rsidP="00E83802">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7045540F" w14:textId="77777777" w:rsidR="00BC5219" w:rsidRPr="009A4248" w:rsidRDefault="00BC5219" w:rsidP="00E83802">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2EB6AF92" w14:textId="77777777" w:rsidR="00BC5219" w:rsidRPr="009A4248" w:rsidRDefault="00BC5219" w:rsidP="00E83802">
            <w:pPr>
              <w:jc w:val="right"/>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317A5213" w14:textId="77777777" w:rsidR="00BC5219" w:rsidRPr="009A4248" w:rsidRDefault="00BC5219" w:rsidP="00E83802">
            <w:pPr>
              <w:jc w:val="right"/>
              <w:rPr>
                <w:rFonts w:ascii="Meta Pro" w:eastAsia="Times New Roman" w:hAnsi="Meta Pro" w:cs="Times New Roman"/>
                <w:sz w:val="20"/>
                <w:szCs w:val="20"/>
                <w:lang w:eastAsia="en-AU"/>
              </w:rPr>
            </w:pPr>
          </w:p>
        </w:tc>
      </w:tr>
      <w:tr w:rsidR="00BC5219" w:rsidRPr="009A4248" w14:paraId="0BF4934D" w14:textId="77777777" w:rsidTr="00E83802">
        <w:trPr>
          <w:trHeight w:val="240"/>
        </w:trPr>
        <w:tc>
          <w:tcPr>
            <w:tcW w:w="6176" w:type="dxa"/>
            <w:tcBorders>
              <w:top w:val="nil"/>
              <w:left w:val="nil"/>
              <w:bottom w:val="nil"/>
              <w:right w:val="nil"/>
            </w:tcBorders>
            <w:shd w:val="clear" w:color="auto" w:fill="auto"/>
            <w:noWrap/>
            <w:vAlign w:val="center"/>
            <w:hideMark/>
          </w:tcPr>
          <w:p w14:paraId="19A0F96A" w14:textId="77777777" w:rsidR="00BC5219" w:rsidRPr="009A4248" w:rsidRDefault="00BC5219" w:rsidP="00E83802">
            <w:pPr>
              <w:rPr>
                <w:rFonts w:ascii="Meta Pro" w:eastAsia="Times New Roman" w:hAnsi="Meta Pro"/>
                <w:b/>
                <w:bCs/>
                <w:szCs w:val="18"/>
                <w:lang w:eastAsia="en-AU"/>
              </w:rPr>
            </w:pPr>
            <w:r w:rsidRPr="009A4248">
              <w:rPr>
                <w:rFonts w:ascii="Meta Pro" w:eastAsia="Times New Roman" w:hAnsi="Meta Pro"/>
                <w:b/>
                <w:bCs/>
                <w:szCs w:val="18"/>
                <w:lang w:eastAsia="en-AU"/>
              </w:rPr>
              <w:t>Financial assets</w:t>
            </w:r>
          </w:p>
        </w:tc>
        <w:tc>
          <w:tcPr>
            <w:tcW w:w="1036" w:type="dxa"/>
            <w:tcBorders>
              <w:top w:val="nil"/>
              <w:left w:val="nil"/>
              <w:bottom w:val="nil"/>
              <w:right w:val="nil"/>
            </w:tcBorders>
            <w:shd w:val="clear" w:color="auto" w:fill="auto"/>
            <w:noWrap/>
            <w:vAlign w:val="center"/>
            <w:hideMark/>
          </w:tcPr>
          <w:p w14:paraId="4F8D1459" w14:textId="77777777" w:rsidR="00BC5219" w:rsidRPr="009A4248" w:rsidRDefault="00BC5219" w:rsidP="00E83802">
            <w:pPr>
              <w:rPr>
                <w:rFonts w:ascii="Meta Pro" w:eastAsia="Times New Roman" w:hAnsi="Meta Pro"/>
                <w:b/>
                <w:bCs/>
                <w:szCs w:val="18"/>
                <w:lang w:eastAsia="en-AU"/>
              </w:rPr>
            </w:pPr>
          </w:p>
        </w:tc>
        <w:tc>
          <w:tcPr>
            <w:tcW w:w="1156" w:type="dxa"/>
            <w:tcBorders>
              <w:top w:val="nil"/>
              <w:left w:val="nil"/>
              <w:bottom w:val="nil"/>
              <w:right w:val="nil"/>
            </w:tcBorders>
            <w:shd w:val="clear" w:color="auto" w:fill="auto"/>
            <w:noWrap/>
            <w:vAlign w:val="center"/>
            <w:hideMark/>
          </w:tcPr>
          <w:p w14:paraId="7252870D" w14:textId="77777777" w:rsidR="00BC5219" w:rsidRPr="009A4248" w:rsidRDefault="00BC5219" w:rsidP="00E83802">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6313ED10" w14:textId="77777777" w:rsidR="00BC5219" w:rsidRPr="009A4248" w:rsidRDefault="00BC5219" w:rsidP="00E83802">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0E7A7C05" w14:textId="77777777" w:rsidR="00BC5219" w:rsidRPr="009A4248" w:rsidRDefault="00BC5219" w:rsidP="00E83802">
            <w:pPr>
              <w:jc w:val="right"/>
              <w:rPr>
                <w:rFonts w:ascii="Meta Pro" w:eastAsia="Times New Roman" w:hAnsi="Meta Pro" w:cs="Times New Roman"/>
                <w:sz w:val="20"/>
                <w:szCs w:val="20"/>
                <w:lang w:eastAsia="en-AU"/>
              </w:rPr>
            </w:pPr>
          </w:p>
        </w:tc>
      </w:tr>
      <w:tr w:rsidR="00BC5219" w:rsidRPr="009A4248" w14:paraId="42C18F8D" w14:textId="77777777" w:rsidTr="00E83802">
        <w:trPr>
          <w:trHeight w:val="240"/>
        </w:trPr>
        <w:tc>
          <w:tcPr>
            <w:tcW w:w="6176" w:type="dxa"/>
            <w:tcBorders>
              <w:top w:val="nil"/>
              <w:left w:val="nil"/>
              <w:bottom w:val="nil"/>
              <w:right w:val="nil"/>
            </w:tcBorders>
            <w:shd w:val="clear" w:color="auto" w:fill="auto"/>
            <w:noWrap/>
            <w:vAlign w:val="center"/>
            <w:hideMark/>
          </w:tcPr>
          <w:p w14:paraId="40C3AF63" w14:textId="77777777" w:rsidR="00BC5219" w:rsidRPr="009A4248" w:rsidRDefault="00BC5219" w:rsidP="00E83802">
            <w:pPr>
              <w:rPr>
                <w:rFonts w:ascii="Meta Pro" w:eastAsia="Times New Roman" w:hAnsi="Meta Pro"/>
                <w:szCs w:val="18"/>
                <w:lang w:eastAsia="en-AU"/>
              </w:rPr>
            </w:pPr>
            <w:r w:rsidRPr="009A4248">
              <w:rPr>
                <w:rFonts w:ascii="Meta Pro" w:eastAsia="Times New Roman" w:hAnsi="Meta Pro"/>
                <w:szCs w:val="18"/>
                <w:lang w:eastAsia="en-AU"/>
              </w:rPr>
              <w:t>Cash</w:t>
            </w:r>
          </w:p>
        </w:tc>
        <w:tc>
          <w:tcPr>
            <w:tcW w:w="1036" w:type="dxa"/>
            <w:tcBorders>
              <w:top w:val="nil"/>
              <w:left w:val="nil"/>
              <w:bottom w:val="nil"/>
              <w:right w:val="nil"/>
            </w:tcBorders>
            <w:shd w:val="clear" w:color="auto" w:fill="auto"/>
            <w:noWrap/>
            <w:vAlign w:val="center"/>
            <w:hideMark/>
          </w:tcPr>
          <w:p w14:paraId="2E2C4E92" w14:textId="77777777" w:rsidR="00BC5219" w:rsidRPr="009A4248" w:rsidRDefault="00BC5219" w:rsidP="00E83802">
            <w:pPr>
              <w:rPr>
                <w:rFonts w:ascii="Meta Pro" w:eastAsia="Times New Roman" w:hAnsi="Meta Pro"/>
                <w:szCs w:val="18"/>
                <w:lang w:eastAsia="en-AU"/>
              </w:rPr>
            </w:pPr>
          </w:p>
        </w:tc>
        <w:tc>
          <w:tcPr>
            <w:tcW w:w="1156" w:type="dxa"/>
            <w:tcBorders>
              <w:top w:val="nil"/>
              <w:left w:val="nil"/>
              <w:bottom w:val="nil"/>
              <w:right w:val="nil"/>
            </w:tcBorders>
            <w:shd w:val="clear" w:color="000000" w:fill="C9E3B4"/>
            <w:noWrap/>
            <w:vAlign w:val="center"/>
            <w:hideMark/>
          </w:tcPr>
          <w:p w14:paraId="74CEF633" w14:textId="77777777" w:rsidR="00BC5219" w:rsidRPr="009A4248" w:rsidRDefault="00BC5219" w:rsidP="00E83802">
            <w:pPr>
              <w:jc w:val="right"/>
              <w:rPr>
                <w:rFonts w:ascii="Meta Pro" w:eastAsia="Times New Roman" w:hAnsi="Meta Pro"/>
                <w:szCs w:val="18"/>
                <w:lang w:eastAsia="en-AU"/>
              </w:rPr>
            </w:pPr>
            <w:r w:rsidRPr="009A4248">
              <w:rPr>
                <w:rFonts w:ascii="Meta Pro" w:eastAsia="Times New Roman" w:hAnsi="Meta Pro"/>
                <w:szCs w:val="18"/>
                <w:lang w:eastAsia="en-AU"/>
              </w:rPr>
              <w:t xml:space="preserve">670,102 </w:t>
            </w:r>
          </w:p>
        </w:tc>
        <w:tc>
          <w:tcPr>
            <w:tcW w:w="216" w:type="dxa"/>
            <w:tcBorders>
              <w:top w:val="nil"/>
              <w:left w:val="nil"/>
              <w:bottom w:val="nil"/>
              <w:right w:val="nil"/>
            </w:tcBorders>
            <w:shd w:val="clear" w:color="auto" w:fill="auto"/>
            <w:noWrap/>
            <w:vAlign w:val="center"/>
            <w:hideMark/>
          </w:tcPr>
          <w:p w14:paraId="42C80773" w14:textId="77777777" w:rsidR="00BC5219" w:rsidRPr="009A4248"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0ED2A99C" w14:textId="77777777" w:rsidR="00BC5219" w:rsidRPr="009A4248" w:rsidRDefault="00BC5219" w:rsidP="00E83802">
            <w:pPr>
              <w:jc w:val="right"/>
              <w:rPr>
                <w:rFonts w:ascii="Meta Pro" w:eastAsia="Times New Roman" w:hAnsi="Meta Pro"/>
                <w:szCs w:val="18"/>
                <w:lang w:eastAsia="en-AU"/>
              </w:rPr>
            </w:pPr>
            <w:r w:rsidRPr="009A4248">
              <w:rPr>
                <w:rFonts w:ascii="Meta Pro" w:eastAsia="Times New Roman" w:hAnsi="Meta Pro"/>
                <w:szCs w:val="18"/>
                <w:lang w:eastAsia="en-AU"/>
              </w:rPr>
              <w:t xml:space="preserve">245,430 </w:t>
            </w:r>
          </w:p>
        </w:tc>
      </w:tr>
      <w:tr w:rsidR="00BC5219" w:rsidRPr="009A4248" w14:paraId="5D212B36" w14:textId="77777777" w:rsidTr="00E83802">
        <w:trPr>
          <w:trHeight w:val="240"/>
        </w:trPr>
        <w:tc>
          <w:tcPr>
            <w:tcW w:w="6176" w:type="dxa"/>
            <w:tcBorders>
              <w:top w:val="nil"/>
              <w:left w:val="nil"/>
              <w:bottom w:val="nil"/>
              <w:right w:val="nil"/>
            </w:tcBorders>
            <w:shd w:val="clear" w:color="auto" w:fill="auto"/>
            <w:noWrap/>
            <w:vAlign w:val="center"/>
            <w:hideMark/>
          </w:tcPr>
          <w:p w14:paraId="16ACF1D0" w14:textId="77777777" w:rsidR="00BC5219" w:rsidRPr="009A4248" w:rsidRDefault="00BC5219" w:rsidP="00E83802">
            <w:pPr>
              <w:rPr>
                <w:rFonts w:ascii="Meta Pro" w:eastAsia="Times New Roman" w:hAnsi="Meta Pro"/>
                <w:szCs w:val="18"/>
                <w:lang w:eastAsia="en-AU"/>
              </w:rPr>
            </w:pPr>
            <w:r w:rsidRPr="009A4248">
              <w:rPr>
                <w:rFonts w:ascii="Meta Pro" w:eastAsia="Times New Roman" w:hAnsi="Meta Pro"/>
                <w:szCs w:val="18"/>
                <w:lang w:eastAsia="en-AU"/>
              </w:rPr>
              <w:t>Financial assets at amortised cost:</w:t>
            </w:r>
          </w:p>
        </w:tc>
        <w:tc>
          <w:tcPr>
            <w:tcW w:w="1036" w:type="dxa"/>
            <w:tcBorders>
              <w:top w:val="nil"/>
              <w:left w:val="nil"/>
              <w:bottom w:val="nil"/>
              <w:right w:val="nil"/>
            </w:tcBorders>
            <w:shd w:val="clear" w:color="auto" w:fill="auto"/>
            <w:noWrap/>
            <w:vAlign w:val="center"/>
            <w:hideMark/>
          </w:tcPr>
          <w:p w14:paraId="03C56706" w14:textId="77777777" w:rsidR="00BC5219" w:rsidRPr="009A4248" w:rsidRDefault="00BC5219" w:rsidP="00E83802">
            <w:pPr>
              <w:rPr>
                <w:rFonts w:ascii="Meta Pro" w:eastAsia="Times New Roman" w:hAnsi="Meta Pro"/>
                <w:szCs w:val="18"/>
                <w:lang w:eastAsia="en-AU"/>
              </w:rPr>
            </w:pPr>
          </w:p>
        </w:tc>
        <w:tc>
          <w:tcPr>
            <w:tcW w:w="1156" w:type="dxa"/>
            <w:tcBorders>
              <w:top w:val="nil"/>
              <w:left w:val="nil"/>
              <w:bottom w:val="nil"/>
              <w:right w:val="nil"/>
            </w:tcBorders>
            <w:shd w:val="clear" w:color="000000" w:fill="C9E3B4"/>
            <w:noWrap/>
            <w:vAlign w:val="center"/>
            <w:hideMark/>
          </w:tcPr>
          <w:p w14:paraId="470DF5F8" w14:textId="77777777" w:rsidR="00BC5219" w:rsidRPr="009A4248" w:rsidRDefault="00BC5219" w:rsidP="00E83802">
            <w:pPr>
              <w:jc w:val="right"/>
              <w:rPr>
                <w:rFonts w:ascii="Meta Pro" w:eastAsia="Times New Roman" w:hAnsi="Meta Pro"/>
                <w:szCs w:val="18"/>
                <w:lang w:eastAsia="en-AU"/>
              </w:rPr>
            </w:pPr>
            <w:r w:rsidRPr="009A4248">
              <w:rPr>
                <w:rFonts w:ascii="Meta Pro" w:eastAsia="Times New Roman" w:hAnsi="Meta Pro"/>
                <w:szCs w:val="18"/>
                <w:lang w:eastAsia="en-AU"/>
              </w:rPr>
              <w:t> </w:t>
            </w:r>
          </w:p>
        </w:tc>
        <w:tc>
          <w:tcPr>
            <w:tcW w:w="216" w:type="dxa"/>
            <w:tcBorders>
              <w:top w:val="nil"/>
              <w:left w:val="nil"/>
              <w:bottom w:val="nil"/>
              <w:right w:val="nil"/>
            </w:tcBorders>
            <w:shd w:val="clear" w:color="auto" w:fill="auto"/>
            <w:noWrap/>
            <w:vAlign w:val="center"/>
            <w:hideMark/>
          </w:tcPr>
          <w:p w14:paraId="7DA20C0C" w14:textId="77777777" w:rsidR="00BC5219" w:rsidRPr="009A4248"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4CB52A36" w14:textId="77777777" w:rsidR="00BC5219" w:rsidRPr="009A4248" w:rsidRDefault="00BC5219" w:rsidP="00E83802">
            <w:pPr>
              <w:jc w:val="right"/>
              <w:rPr>
                <w:rFonts w:ascii="Meta Pro" w:eastAsia="Times New Roman" w:hAnsi="Meta Pro" w:cs="Times New Roman"/>
                <w:sz w:val="20"/>
                <w:szCs w:val="20"/>
                <w:lang w:eastAsia="en-AU"/>
              </w:rPr>
            </w:pPr>
          </w:p>
        </w:tc>
      </w:tr>
      <w:tr w:rsidR="00BC5219" w:rsidRPr="009A4248" w14:paraId="52BE8DAE" w14:textId="77777777" w:rsidTr="00E83802">
        <w:trPr>
          <w:trHeight w:val="240"/>
        </w:trPr>
        <w:tc>
          <w:tcPr>
            <w:tcW w:w="6176" w:type="dxa"/>
            <w:tcBorders>
              <w:top w:val="nil"/>
              <w:left w:val="nil"/>
              <w:bottom w:val="nil"/>
              <w:right w:val="nil"/>
            </w:tcBorders>
            <w:shd w:val="clear" w:color="auto" w:fill="auto"/>
            <w:noWrap/>
            <w:vAlign w:val="center"/>
            <w:hideMark/>
          </w:tcPr>
          <w:p w14:paraId="5C83AF66" w14:textId="77777777" w:rsidR="00BC5219" w:rsidRPr="009A4248" w:rsidRDefault="00BC5219" w:rsidP="00E83802">
            <w:pPr>
              <w:rPr>
                <w:rFonts w:ascii="Meta Pro" w:eastAsia="Times New Roman" w:hAnsi="Meta Pro"/>
                <w:szCs w:val="18"/>
                <w:lang w:eastAsia="en-AU"/>
              </w:rPr>
            </w:pPr>
            <w:r w:rsidRPr="009A4248">
              <w:rPr>
                <w:rFonts w:ascii="Meta Pro" w:eastAsia="Times New Roman" w:hAnsi="Meta Pro"/>
                <w:szCs w:val="18"/>
                <w:lang w:eastAsia="en-AU"/>
              </w:rPr>
              <w:t xml:space="preserve">  Receivables</w:t>
            </w:r>
          </w:p>
        </w:tc>
        <w:tc>
          <w:tcPr>
            <w:tcW w:w="1036" w:type="dxa"/>
            <w:tcBorders>
              <w:top w:val="nil"/>
              <w:left w:val="nil"/>
              <w:bottom w:val="nil"/>
              <w:right w:val="nil"/>
            </w:tcBorders>
            <w:shd w:val="clear" w:color="auto" w:fill="auto"/>
            <w:noWrap/>
            <w:vAlign w:val="center"/>
            <w:hideMark/>
          </w:tcPr>
          <w:p w14:paraId="42ECD4C4" w14:textId="77777777" w:rsidR="00BC5219" w:rsidRPr="009A4248" w:rsidRDefault="00BC5219" w:rsidP="00E83802">
            <w:pPr>
              <w:jc w:val="center"/>
              <w:rPr>
                <w:rFonts w:ascii="Meta Pro" w:eastAsia="Times New Roman" w:hAnsi="Meta Pro"/>
                <w:szCs w:val="18"/>
                <w:lang w:eastAsia="en-AU"/>
              </w:rPr>
            </w:pPr>
            <w:r w:rsidRPr="009A4248">
              <w:rPr>
                <w:rFonts w:ascii="Meta Pro" w:eastAsia="Times New Roman" w:hAnsi="Meta Pro"/>
                <w:szCs w:val="18"/>
                <w:lang w:eastAsia="en-AU"/>
              </w:rPr>
              <w:t>12</w:t>
            </w:r>
          </w:p>
        </w:tc>
        <w:tc>
          <w:tcPr>
            <w:tcW w:w="1156" w:type="dxa"/>
            <w:tcBorders>
              <w:top w:val="nil"/>
              <w:left w:val="nil"/>
              <w:bottom w:val="single" w:sz="4" w:space="0" w:color="auto"/>
              <w:right w:val="nil"/>
            </w:tcBorders>
            <w:shd w:val="clear" w:color="000000" w:fill="C9E3B4"/>
            <w:noWrap/>
            <w:vAlign w:val="center"/>
            <w:hideMark/>
          </w:tcPr>
          <w:p w14:paraId="12AB2E96" w14:textId="77777777" w:rsidR="00BC5219" w:rsidRPr="009A4248" w:rsidRDefault="00BC5219" w:rsidP="00E83802">
            <w:pPr>
              <w:jc w:val="right"/>
              <w:rPr>
                <w:rFonts w:ascii="Meta Pro" w:eastAsia="Times New Roman" w:hAnsi="Meta Pro"/>
                <w:szCs w:val="18"/>
                <w:lang w:eastAsia="en-AU"/>
              </w:rPr>
            </w:pPr>
            <w:r w:rsidRPr="009A4248">
              <w:rPr>
                <w:rFonts w:ascii="Meta Pro" w:eastAsia="Times New Roman" w:hAnsi="Meta Pro"/>
                <w:szCs w:val="18"/>
                <w:lang w:eastAsia="en-AU"/>
              </w:rPr>
              <w:t xml:space="preserve">248,485 </w:t>
            </w:r>
          </w:p>
        </w:tc>
        <w:tc>
          <w:tcPr>
            <w:tcW w:w="216" w:type="dxa"/>
            <w:tcBorders>
              <w:top w:val="nil"/>
              <w:left w:val="nil"/>
              <w:bottom w:val="nil"/>
              <w:right w:val="nil"/>
            </w:tcBorders>
            <w:shd w:val="clear" w:color="auto" w:fill="auto"/>
            <w:noWrap/>
            <w:vAlign w:val="center"/>
            <w:hideMark/>
          </w:tcPr>
          <w:p w14:paraId="4C26D9A1" w14:textId="77777777" w:rsidR="00BC5219" w:rsidRPr="009A4248" w:rsidRDefault="00BC5219" w:rsidP="00E83802">
            <w:pPr>
              <w:jc w:val="right"/>
              <w:rPr>
                <w:rFonts w:ascii="Meta Pro" w:eastAsia="Times New Roman" w:hAnsi="Meta Pro"/>
                <w:szCs w:val="18"/>
                <w:lang w:eastAsia="en-AU"/>
              </w:rPr>
            </w:pPr>
          </w:p>
        </w:tc>
        <w:tc>
          <w:tcPr>
            <w:tcW w:w="1156" w:type="dxa"/>
            <w:tcBorders>
              <w:top w:val="nil"/>
              <w:left w:val="nil"/>
              <w:bottom w:val="single" w:sz="4" w:space="0" w:color="auto"/>
              <w:right w:val="nil"/>
            </w:tcBorders>
            <w:shd w:val="clear" w:color="auto" w:fill="auto"/>
            <w:noWrap/>
            <w:vAlign w:val="center"/>
            <w:hideMark/>
          </w:tcPr>
          <w:p w14:paraId="0977C49E" w14:textId="77777777" w:rsidR="00BC5219" w:rsidRPr="009A4248" w:rsidRDefault="00BC5219" w:rsidP="00E83802">
            <w:pPr>
              <w:jc w:val="right"/>
              <w:rPr>
                <w:rFonts w:ascii="Meta Pro" w:eastAsia="Times New Roman" w:hAnsi="Meta Pro"/>
                <w:szCs w:val="18"/>
                <w:lang w:eastAsia="en-AU"/>
              </w:rPr>
            </w:pPr>
            <w:r w:rsidRPr="009A4248">
              <w:rPr>
                <w:rFonts w:ascii="Meta Pro" w:eastAsia="Times New Roman" w:hAnsi="Meta Pro"/>
                <w:szCs w:val="18"/>
                <w:lang w:eastAsia="en-AU"/>
              </w:rPr>
              <w:t xml:space="preserve">229,987 </w:t>
            </w:r>
          </w:p>
        </w:tc>
      </w:tr>
      <w:tr w:rsidR="00BC5219" w:rsidRPr="009A4248" w14:paraId="4D49D392" w14:textId="77777777" w:rsidTr="00E83802">
        <w:trPr>
          <w:trHeight w:val="240"/>
        </w:trPr>
        <w:tc>
          <w:tcPr>
            <w:tcW w:w="6176" w:type="dxa"/>
            <w:tcBorders>
              <w:top w:val="single" w:sz="4" w:space="0" w:color="auto"/>
              <w:left w:val="nil"/>
              <w:bottom w:val="double" w:sz="6" w:space="0" w:color="auto"/>
              <w:right w:val="nil"/>
            </w:tcBorders>
            <w:shd w:val="clear" w:color="auto" w:fill="auto"/>
            <w:noWrap/>
            <w:vAlign w:val="center"/>
            <w:hideMark/>
          </w:tcPr>
          <w:p w14:paraId="734E3376" w14:textId="77777777" w:rsidR="00BC5219" w:rsidRPr="009A4248" w:rsidRDefault="00BC5219" w:rsidP="00E83802">
            <w:pPr>
              <w:rPr>
                <w:rFonts w:ascii="Meta Pro" w:eastAsia="Times New Roman" w:hAnsi="Meta Pro"/>
                <w:b/>
                <w:bCs/>
                <w:szCs w:val="18"/>
                <w:lang w:eastAsia="en-AU"/>
              </w:rPr>
            </w:pPr>
            <w:r w:rsidRPr="009A4248">
              <w:rPr>
                <w:rFonts w:ascii="Meta Pro" w:eastAsia="Times New Roman" w:hAnsi="Meta Pro"/>
                <w:b/>
                <w:bCs/>
                <w:szCs w:val="18"/>
                <w:lang w:eastAsia="en-AU"/>
              </w:rPr>
              <w:t>Total</w:t>
            </w:r>
          </w:p>
        </w:tc>
        <w:tc>
          <w:tcPr>
            <w:tcW w:w="1036" w:type="dxa"/>
            <w:tcBorders>
              <w:top w:val="single" w:sz="4" w:space="0" w:color="auto"/>
              <w:left w:val="nil"/>
              <w:bottom w:val="double" w:sz="6" w:space="0" w:color="auto"/>
              <w:right w:val="nil"/>
            </w:tcBorders>
            <w:shd w:val="clear" w:color="auto" w:fill="auto"/>
            <w:noWrap/>
            <w:vAlign w:val="center"/>
            <w:hideMark/>
          </w:tcPr>
          <w:p w14:paraId="1A191B3F" w14:textId="77777777" w:rsidR="00BC5219" w:rsidRPr="009A4248" w:rsidRDefault="00BC5219" w:rsidP="00E83802">
            <w:pPr>
              <w:rPr>
                <w:rFonts w:ascii="Meta Pro" w:eastAsia="Times New Roman" w:hAnsi="Meta Pro"/>
                <w:b/>
                <w:bCs/>
                <w:szCs w:val="18"/>
                <w:lang w:eastAsia="en-AU"/>
              </w:rPr>
            </w:pPr>
            <w:r w:rsidRPr="009A4248">
              <w:rPr>
                <w:rFonts w:ascii="Meta Pro" w:eastAsia="Times New Roman" w:hAnsi="Meta Pro"/>
                <w:b/>
                <w:bCs/>
                <w:szCs w:val="18"/>
                <w:lang w:eastAsia="en-AU"/>
              </w:rPr>
              <w:t> </w:t>
            </w:r>
          </w:p>
        </w:tc>
        <w:tc>
          <w:tcPr>
            <w:tcW w:w="1156" w:type="dxa"/>
            <w:tcBorders>
              <w:top w:val="nil"/>
              <w:left w:val="nil"/>
              <w:bottom w:val="double" w:sz="6" w:space="0" w:color="auto"/>
              <w:right w:val="nil"/>
            </w:tcBorders>
            <w:shd w:val="clear" w:color="000000" w:fill="C9E3B4"/>
            <w:noWrap/>
            <w:vAlign w:val="center"/>
            <w:hideMark/>
          </w:tcPr>
          <w:p w14:paraId="50371095" w14:textId="77777777" w:rsidR="00BC5219" w:rsidRPr="009A4248" w:rsidRDefault="00BC5219" w:rsidP="00E83802">
            <w:pPr>
              <w:jc w:val="right"/>
              <w:rPr>
                <w:rFonts w:ascii="Meta Pro" w:eastAsia="Times New Roman" w:hAnsi="Meta Pro"/>
                <w:b/>
                <w:bCs/>
                <w:szCs w:val="18"/>
                <w:lang w:eastAsia="en-AU"/>
              </w:rPr>
            </w:pPr>
            <w:r w:rsidRPr="009A4248">
              <w:rPr>
                <w:rFonts w:ascii="Meta Pro" w:eastAsia="Times New Roman" w:hAnsi="Meta Pro"/>
                <w:b/>
                <w:bCs/>
                <w:szCs w:val="18"/>
                <w:lang w:eastAsia="en-AU"/>
              </w:rPr>
              <w:t xml:space="preserve">918,587 </w:t>
            </w:r>
          </w:p>
        </w:tc>
        <w:tc>
          <w:tcPr>
            <w:tcW w:w="216" w:type="dxa"/>
            <w:tcBorders>
              <w:top w:val="single" w:sz="4" w:space="0" w:color="auto"/>
              <w:left w:val="nil"/>
              <w:bottom w:val="double" w:sz="6" w:space="0" w:color="auto"/>
              <w:right w:val="nil"/>
            </w:tcBorders>
            <w:shd w:val="clear" w:color="auto" w:fill="auto"/>
            <w:noWrap/>
            <w:vAlign w:val="center"/>
            <w:hideMark/>
          </w:tcPr>
          <w:p w14:paraId="6B841604" w14:textId="77777777" w:rsidR="00BC5219" w:rsidRPr="009A4248" w:rsidRDefault="00BC5219" w:rsidP="00E83802">
            <w:pPr>
              <w:jc w:val="right"/>
              <w:rPr>
                <w:rFonts w:ascii="Meta Pro" w:eastAsia="Times New Roman" w:hAnsi="Meta Pro"/>
                <w:b/>
                <w:bCs/>
                <w:szCs w:val="18"/>
                <w:lang w:eastAsia="en-AU"/>
              </w:rPr>
            </w:pPr>
            <w:r w:rsidRPr="009A4248">
              <w:rPr>
                <w:rFonts w:ascii="Meta Pro" w:eastAsia="Times New Roman" w:hAnsi="Meta Pro"/>
                <w:b/>
                <w:bCs/>
                <w:szCs w:val="18"/>
                <w:lang w:eastAsia="en-AU"/>
              </w:rPr>
              <w:t> </w:t>
            </w:r>
          </w:p>
        </w:tc>
        <w:tc>
          <w:tcPr>
            <w:tcW w:w="1156" w:type="dxa"/>
            <w:tcBorders>
              <w:top w:val="nil"/>
              <w:left w:val="nil"/>
              <w:bottom w:val="double" w:sz="6" w:space="0" w:color="auto"/>
              <w:right w:val="nil"/>
            </w:tcBorders>
            <w:shd w:val="clear" w:color="auto" w:fill="auto"/>
            <w:noWrap/>
            <w:vAlign w:val="center"/>
            <w:hideMark/>
          </w:tcPr>
          <w:p w14:paraId="454D9B41" w14:textId="77777777" w:rsidR="00BC5219" w:rsidRPr="009A4248" w:rsidRDefault="00BC5219" w:rsidP="00E83802">
            <w:pPr>
              <w:jc w:val="right"/>
              <w:rPr>
                <w:rFonts w:ascii="Meta Pro" w:eastAsia="Times New Roman" w:hAnsi="Meta Pro"/>
                <w:b/>
                <w:bCs/>
                <w:szCs w:val="18"/>
                <w:lang w:eastAsia="en-AU"/>
              </w:rPr>
            </w:pPr>
            <w:r w:rsidRPr="009A4248">
              <w:rPr>
                <w:rFonts w:ascii="Meta Pro" w:eastAsia="Times New Roman" w:hAnsi="Meta Pro"/>
                <w:b/>
                <w:bCs/>
                <w:szCs w:val="18"/>
                <w:lang w:eastAsia="en-AU"/>
              </w:rPr>
              <w:t xml:space="preserve">475,417 </w:t>
            </w:r>
          </w:p>
        </w:tc>
      </w:tr>
      <w:tr w:rsidR="00BC5219" w:rsidRPr="009A4248" w14:paraId="451FA2A7" w14:textId="77777777" w:rsidTr="00E83802">
        <w:trPr>
          <w:trHeight w:val="240"/>
        </w:trPr>
        <w:tc>
          <w:tcPr>
            <w:tcW w:w="6176" w:type="dxa"/>
            <w:tcBorders>
              <w:top w:val="nil"/>
              <w:left w:val="nil"/>
              <w:bottom w:val="nil"/>
              <w:right w:val="nil"/>
            </w:tcBorders>
            <w:shd w:val="clear" w:color="auto" w:fill="auto"/>
            <w:noWrap/>
            <w:vAlign w:val="center"/>
            <w:hideMark/>
          </w:tcPr>
          <w:p w14:paraId="24466268" w14:textId="77777777" w:rsidR="00BC5219" w:rsidRPr="009A4248" w:rsidRDefault="00BC5219" w:rsidP="00E83802">
            <w:pPr>
              <w:jc w:val="right"/>
              <w:rPr>
                <w:rFonts w:ascii="Meta Pro" w:eastAsia="Times New Roman" w:hAnsi="Meta Pro"/>
                <w:b/>
                <w:bCs/>
                <w:szCs w:val="18"/>
                <w:lang w:eastAsia="en-AU"/>
              </w:rPr>
            </w:pPr>
          </w:p>
        </w:tc>
        <w:tc>
          <w:tcPr>
            <w:tcW w:w="1036" w:type="dxa"/>
            <w:tcBorders>
              <w:top w:val="nil"/>
              <w:left w:val="nil"/>
              <w:bottom w:val="nil"/>
              <w:right w:val="nil"/>
            </w:tcBorders>
            <w:shd w:val="clear" w:color="auto" w:fill="auto"/>
            <w:noWrap/>
            <w:vAlign w:val="center"/>
            <w:hideMark/>
          </w:tcPr>
          <w:p w14:paraId="3B39E581" w14:textId="77777777" w:rsidR="00BC5219" w:rsidRPr="009A4248" w:rsidRDefault="00BC5219" w:rsidP="00E83802">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372668C5" w14:textId="77777777" w:rsidR="00BC5219" w:rsidRPr="009A4248" w:rsidRDefault="00BC5219" w:rsidP="00E83802">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578E1E6A" w14:textId="77777777" w:rsidR="00BC5219" w:rsidRPr="009A4248" w:rsidRDefault="00BC5219" w:rsidP="00E83802">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0231A1FA" w14:textId="77777777" w:rsidR="00BC5219" w:rsidRPr="009A4248" w:rsidRDefault="00BC5219" w:rsidP="00E83802">
            <w:pPr>
              <w:jc w:val="right"/>
              <w:rPr>
                <w:rFonts w:ascii="Meta Pro" w:eastAsia="Times New Roman" w:hAnsi="Meta Pro" w:cs="Times New Roman"/>
                <w:sz w:val="20"/>
                <w:szCs w:val="20"/>
                <w:lang w:eastAsia="en-AU"/>
              </w:rPr>
            </w:pPr>
          </w:p>
        </w:tc>
      </w:tr>
      <w:tr w:rsidR="00BC5219" w:rsidRPr="009A4248" w14:paraId="422FDB5F" w14:textId="77777777" w:rsidTr="00E83802">
        <w:trPr>
          <w:trHeight w:val="240"/>
        </w:trPr>
        <w:tc>
          <w:tcPr>
            <w:tcW w:w="6176" w:type="dxa"/>
            <w:tcBorders>
              <w:top w:val="nil"/>
              <w:left w:val="nil"/>
              <w:bottom w:val="nil"/>
              <w:right w:val="nil"/>
            </w:tcBorders>
            <w:shd w:val="clear" w:color="auto" w:fill="auto"/>
            <w:noWrap/>
            <w:vAlign w:val="center"/>
            <w:hideMark/>
          </w:tcPr>
          <w:p w14:paraId="69AFA84D" w14:textId="77777777" w:rsidR="00BC5219" w:rsidRPr="009A4248" w:rsidRDefault="00BC5219" w:rsidP="00E83802">
            <w:pPr>
              <w:rPr>
                <w:rFonts w:ascii="Meta Pro" w:eastAsia="Times New Roman" w:hAnsi="Meta Pro"/>
                <w:b/>
                <w:bCs/>
                <w:szCs w:val="18"/>
                <w:lang w:eastAsia="en-AU"/>
              </w:rPr>
            </w:pPr>
            <w:r w:rsidRPr="009A4248">
              <w:rPr>
                <w:rFonts w:ascii="Meta Pro" w:eastAsia="Times New Roman" w:hAnsi="Meta Pro"/>
                <w:b/>
                <w:bCs/>
                <w:szCs w:val="18"/>
                <w:lang w:eastAsia="en-AU"/>
              </w:rPr>
              <w:t>Financial liabilities</w:t>
            </w:r>
          </w:p>
        </w:tc>
        <w:tc>
          <w:tcPr>
            <w:tcW w:w="1036" w:type="dxa"/>
            <w:tcBorders>
              <w:top w:val="nil"/>
              <w:left w:val="nil"/>
              <w:bottom w:val="nil"/>
              <w:right w:val="nil"/>
            </w:tcBorders>
            <w:shd w:val="clear" w:color="auto" w:fill="auto"/>
            <w:noWrap/>
            <w:vAlign w:val="center"/>
            <w:hideMark/>
          </w:tcPr>
          <w:p w14:paraId="12D87555" w14:textId="77777777" w:rsidR="00BC5219" w:rsidRPr="009A4248" w:rsidRDefault="00BC5219" w:rsidP="00E83802">
            <w:pPr>
              <w:rPr>
                <w:rFonts w:ascii="Meta Pro" w:eastAsia="Times New Roman" w:hAnsi="Meta Pro"/>
                <w:b/>
                <w:bCs/>
                <w:szCs w:val="18"/>
                <w:lang w:eastAsia="en-AU"/>
              </w:rPr>
            </w:pPr>
          </w:p>
        </w:tc>
        <w:tc>
          <w:tcPr>
            <w:tcW w:w="1156" w:type="dxa"/>
            <w:tcBorders>
              <w:top w:val="nil"/>
              <w:left w:val="nil"/>
              <w:bottom w:val="nil"/>
              <w:right w:val="nil"/>
            </w:tcBorders>
            <w:shd w:val="clear" w:color="auto" w:fill="auto"/>
            <w:noWrap/>
            <w:vAlign w:val="center"/>
            <w:hideMark/>
          </w:tcPr>
          <w:p w14:paraId="1519EBD0" w14:textId="77777777" w:rsidR="00BC5219" w:rsidRPr="009A4248" w:rsidRDefault="00BC5219" w:rsidP="00E83802">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1E784B4E" w14:textId="77777777" w:rsidR="00BC5219" w:rsidRPr="009A4248" w:rsidRDefault="00BC5219" w:rsidP="00E83802">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07EDA06B" w14:textId="77777777" w:rsidR="00BC5219" w:rsidRPr="009A4248" w:rsidRDefault="00BC5219" w:rsidP="00E83802">
            <w:pPr>
              <w:jc w:val="right"/>
              <w:rPr>
                <w:rFonts w:ascii="Meta Pro" w:eastAsia="Times New Roman" w:hAnsi="Meta Pro" w:cs="Times New Roman"/>
                <w:sz w:val="20"/>
                <w:szCs w:val="20"/>
                <w:lang w:eastAsia="en-AU"/>
              </w:rPr>
            </w:pPr>
          </w:p>
        </w:tc>
      </w:tr>
      <w:tr w:rsidR="00BC5219" w:rsidRPr="009A4248" w14:paraId="2BB71AEE" w14:textId="77777777" w:rsidTr="00E83802">
        <w:trPr>
          <w:trHeight w:val="240"/>
        </w:trPr>
        <w:tc>
          <w:tcPr>
            <w:tcW w:w="6176" w:type="dxa"/>
            <w:tcBorders>
              <w:top w:val="nil"/>
              <w:left w:val="nil"/>
              <w:bottom w:val="nil"/>
              <w:right w:val="nil"/>
            </w:tcBorders>
            <w:shd w:val="clear" w:color="auto" w:fill="auto"/>
            <w:noWrap/>
            <w:vAlign w:val="center"/>
            <w:hideMark/>
          </w:tcPr>
          <w:p w14:paraId="40FFB5AF" w14:textId="77777777" w:rsidR="00BC5219" w:rsidRPr="009A4248" w:rsidRDefault="00BC5219" w:rsidP="00E83802">
            <w:pPr>
              <w:rPr>
                <w:rFonts w:ascii="Meta Pro" w:eastAsia="Times New Roman" w:hAnsi="Meta Pro"/>
                <w:szCs w:val="18"/>
                <w:lang w:eastAsia="en-AU"/>
              </w:rPr>
            </w:pPr>
            <w:r w:rsidRPr="009A4248">
              <w:rPr>
                <w:rFonts w:ascii="Meta Pro" w:eastAsia="Times New Roman" w:hAnsi="Meta Pro"/>
                <w:szCs w:val="18"/>
                <w:lang w:eastAsia="en-AU"/>
              </w:rPr>
              <w:t>Financial liabilities measured at amortised cost:</w:t>
            </w:r>
          </w:p>
        </w:tc>
        <w:tc>
          <w:tcPr>
            <w:tcW w:w="1036" w:type="dxa"/>
            <w:tcBorders>
              <w:top w:val="nil"/>
              <w:left w:val="nil"/>
              <w:bottom w:val="nil"/>
              <w:right w:val="nil"/>
            </w:tcBorders>
            <w:shd w:val="clear" w:color="auto" w:fill="auto"/>
            <w:noWrap/>
            <w:vAlign w:val="center"/>
            <w:hideMark/>
          </w:tcPr>
          <w:p w14:paraId="2CE9E32D" w14:textId="77777777" w:rsidR="00BC5219" w:rsidRPr="009A4248" w:rsidRDefault="00BC5219" w:rsidP="00E83802">
            <w:pPr>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23BCFEB4" w14:textId="77777777" w:rsidR="00BC5219" w:rsidRPr="009A4248" w:rsidRDefault="00BC5219" w:rsidP="00E83802">
            <w:pPr>
              <w:rPr>
                <w:rFonts w:ascii="Meta Pro" w:eastAsia="Times New Roman" w:hAnsi="Meta Pro"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24841290" w14:textId="77777777" w:rsidR="00BC5219" w:rsidRPr="009A4248" w:rsidRDefault="00BC5219" w:rsidP="00E83802">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79C8E99D" w14:textId="77777777" w:rsidR="00BC5219" w:rsidRPr="009A4248" w:rsidRDefault="00BC5219" w:rsidP="00E83802">
            <w:pPr>
              <w:jc w:val="right"/>
              <w:rPr>
                <w:rFonts w:ascii="Meta Pro" w:eastAsia="Times New Roman" w:hAnsi="Meta Pro" w:cs="Times New Roman"/>
                <w:sz w:val="20"/>
                <w:szCs w:val="20"/>
                <w:lang w:eastAsia="en-AU"/>
              </w:rPr>
            </w:pPr>
          </w:p>
        </w:tc>
      </w:tr>
      <w:tr w:rsidR="00BC5219" w:rsidRPr="009A4248" w14:paraId="4C9F8686" w14:textId="77777777" w:rsidTr="00E83802">
        <w:trPr>
          <w:trHeight w:val="240"/>
        </w:trPr>
        <w:tc>
          <w:tcPr>
            <w:tcW w:w="6176" w:type="dxa"/>
            <w:tcBorders>
              <w:top w:val="nil"/>
              <w:left w:val="nil"/>
              <w:bottom w:val="nil"/>
              <w:right w:val="nil"/>
            </w:tcBorders>
            <w:shd w:val="clear" w:color="auto" w:fill="auto"/>
            <w:noWrap/>
            <w:vAlign w:val="center"/>
            <w:hideMark/>
          </w:tcPr>
          <w:p w14:paraId="2A90EFB5" w14:textId="77777777" w:rsidR="00BC5219" w:rsidRPr="009A4248" w:rsidRDefault="00BC5219" w:rsidP="00E83802">
            <w:pPr>
              <w:rPr>
                <w:rFonts w:ascii="Meta Pro" w:eastAsia="Times New Roman" w:hAnsi="Meta Pro"/>
                <w:szCs w:val="18"/>
                <w:lang w:eastAsia="en-AU"/>
              </w:rPr>
            </w:pPr>
            <w:r w:rsidRPr="009A4248">
              <w:rPr>
                <w:rFonts w:ascii="Meta Pro" w:eastAsia="Times New Roman" w:hAnsi="Meta Pro"/>
                <w:szCs w:val="18"/>
                <w:lang w:eastAsia="en-AU"/>
              </w:rPr>
              <w:t xml:space="preserve">  Payables</w:t>
            </w:r>
          </w:p>
        </w:tc>
        <w:tc>
          <w:tcPr>
            <w:tcW w:w="1036" w:type="dxa"/>
            <w:tcBorders>
              <w:top w:val="nil"/>
              <w:left w:val="nil"/>
              <w:bottom w:val="nil"/>
              <w:right w:val="nil"/>
            </w:tcBorders>
            <w:shd w:val="clear" w:color="auto" w:fill="auto"/>
            <w:noWrap/>
            <w:vAlign w:val="center"/>
            <w:hideMark/>
          </w:tcPr>
          <w:p w14:paraId="1548C507" w14:textId="77777777" w:rsidR="00BC5219" w:rsidRPr="009A4248" w:rsidRDefault="00BC5219" w:rsidP="00E83802">
            <w:pPr>
              <w:jc w:val="center"/>
              <w:rPr>
                <w:rFonts w:ascii="Meta Pro" w:eastAsia="Times New Roman" w:hAnsi="Meta Pro"/>
                <w:szCs w:val="18"/>
                <w:lang w:eastAsia="en-AU"/>
              </w:rPr>
            </w:pPr>
            <w:r w:rsidRPr="009A4248">
              <w:rPr>
                <w:rFonts w:ascii="Meta Pro" w:eastAsia="Times New Roman" w:hAnsi="Meta Pro"/>
                <w:szCs w:val="18"/>
                <w:lang w:eastAsia="en-AU"/>
              </w:rPr>
              <w:t>18</w:t>
            </w:r>
          </w:p>
        </w:tc>
        <w:tc>
          <w:tcPr>
            <w:tcW w:w="1156" w:type="dxa"/>
            <w:tcBorders>
              <w:top w:val="nil"/>
              <w:left w:val="nil"/>
              <w:bottom w:val="nil"/>
              <w:right w:val="nil"/>
            </w:tcBorders>
            <w:shd w:val="clear" w:color="000000" w:fill="C9E3B4"/>
            <w:noWrap/>
            <w:vAlign w:val="center"/>
            <w:hideMark/>
          </w:tcPr>
          <w:p w14:paraId="23BB61F4" w14:textId="77777777" w:rsidR="00BC5219" w:rsidRPr="009A4248" w:rsidRDefault="00BC5219" w:rsidP="00E83802">
            <w:pPr>
              <w:jc w:val="right"/>
              <w:rPr>
                <w:rFonts w:ascii="Meta Pro" w:eastAsia="Times New Roman" w:hAnsi="Meta Pro"/>
                <w:szCs w:val="18"/>
                <w:lang w:eastAsia="en-AU"/>
              </w:rPr>
            </w:pPr>
            <w:r w:rsidRPr="009A4248">
              <w:rPr>
                <w:rFonts w:ascii="Meta Pro" w:eastAsia="Times New Roman" w:hAnsi="Meta Pro"/>
                <w:szCs w:val="18"/>
                <w:lang w:eastAsia="en-AU"/>
              </w:rPr>
              <w:t xml:space="preserve">942,274 </w:t>
            </w:r>
          </w:p>
        </w:tc>
        <w:tc>
          <w:tcPr>
            <w:tcW w:w="216" w:type="dxa"/>
            <w:tcBorders>
              <w:top w:val="nil"/>
              <w:left w:val="nil"/>
              <w:bottom w:val="nil"/>
              <w:right w:val="nil"/>
            </w:tcBorders>
            <w:shd w:val="clear" w:color="auto" w:fill="auto"/>
            <w:noWrap/>
            <w:vAlign w:val="center"/>
            <w:hideMark/>
          </w:tcPr>
          <w:p w14:paraId="66A9A142" w14:textId="77777777" w:rsidR="00BC5219" w:rsidRPr="009A4248"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149C5618" w14:textId="77777777" w:rsidR="00BC5219" w:rsidRPr="009A4248" w:rsidRDefault="00BC5219" w:rsidP="00E83802">
            <w:pPr>
              <w:jc w:val="right"/>
              <w:rPr>
                <w:rFonts w:ascii="Meta Pro" w:eastAsia="Times New Roman" w:hAnsi="Meta Pro"/>
                <w:szCs w:val="18"/>
                <w:lang w:eastAsia="en-AU"/>
              </w:rPr>
            </w:pPr>
            <w:r w:rsidRPr="009A4248">
              <w:rPr>
                <w:rFonts w:ascii="Meta Pro" w:eastAsia="Times New Roman" w:hAnsi="Meta Pro"/>
                <w:szCs w:val="18"/>
                <w:lang w:eastAsia="en-AU"/>
              </w:rPr>
              <w:t xml:space="preserve">683,237 </w:t>
            </w:r>
          </w:p>
        </w:tc>
      </w:tr>
      <w:tr w:rsidR="00BC5219" w:rsidRPr="009A4248" w14:paraId="5CB15F8F" w14:textId="77777777" w:rsidTr="00E83802">
        <w:trPr>
          <w:trHeight w:val="240"/>
        </w:trPr>
        <w:tc>
          <w:tcPr>
            <w:tcW w:w="6176" w:type="dxa"/>
            <w:tcBorders>
              <w:top w:val="nil"/>
              <w:left w:val="nil"/>
              <w:bottom w:val="nil"/>
              <w:right w:val="nil"/>
            </w:tcBorders>
            <w:shd w:val="clear" w:color="auto" w:fill="auto"/>
            <w:noWrap/>
            <w:vAlign w:val="center"/>
            <w:hideMark/>
          </w:tcPr>
          <w:p w14:paraId="1EF8982D" w14:textId="77777777" w:rsidR="00BC5219" w:rsidRPr="009A4248" w:rsidRDefault="00BC5219" w:rsidP="00E83802">
            <w:pPr>
              <w:rPr>
                <w:rFonts w:ascii="Meta Pro" w:eastAsia="Times New Roman" w:hAnsi="Meta Pro"/>
                <w:szCs w:val="18"/>
                <w:lang w:eastAsia="en-AU"/>
              </w:rPr>
            </w:pPr>
            <w:r w:rsidRPr="009A4248">
              <w:rPr>
                <w:rFonts w:ascii="Meta Pro" w:eastAsia="Times New Roman" w:hAnsi="Meta Pro"/>
                <w:szCs w:val="18"/>
                <w:lang w:eastAsia="en-AU"/>
              </w:rPr>
              <w:t xml:space="preserve">  Lease liabilities</w:t>
            </w:r>
          </w:p>
        </w:tc>
        <w:tc>
          <w:tcPr>
            <w:tcW w:w="1036" w:type="dxa"/>
            <w:tcBorders>
              <w:top w:val="nil"/>
              <w:left w:val="nil"/>
              <w:bottom w:val="nil"/>
              <w:right w:val="nil"/>
            </w:tcBorders>
            <w:shd w:val="clear" w:color="auto" w:fill="auto"/>
            <w:noWrap/>
            <w:vAlign w:val="center"/>
            <w:hideMark/>
          </w:tcPr>
          <w:p w14:paraId="41F2B37D" w14:textId="77777777" w:rsidR="00BC5219" w:rsidRPr="009A4248" w:rsidRDefault="00BC5219" w:rsidP="00E83802">
            <w:pPr>
              <w:jc w:val="center"/>
              <w:rPr>
                <w:rFonts w:ascii="Meta Pro" w:eastAsia="Times New Roman" w:hAnsi="Meta Pro"/>
                <w:szCs w:val="18"/>
                <w:lang w:eastAsia="en-AU"/>
              </w:rPr>
            </w:pPr>
            <w:r w:rsidRPr="009A4248">
              <w:rPr>
                <w:rFonts w:ascii="Meta Pro" w:eastAsia="Times New Roman" w:hAnsi="Meta Pro"/>
                <w:szCs w:val="18"/>
                <w:lang w:eastAsia="en-AU"/>
              </w:rPr>
              <w:t>17</w:t>
            </w:r>
          </w:p>
        </w:tc>
        <w:tc>
          <w:tcPr>
            <w:tcW w:w="1156" w:type="dxa"/>
            <w:tcBorders>
              <w:top w:val="nil"/>
              <w:left w:val="nil"/>
              <w:bottom w:val="nil"/>
              <w:right w:val="nil"/>
            </w:tcBorders>
            <w:shd w:val="clear" w:color="000000" w:fill="C9E3B4"/>
            <w:noWrap/>
            <w:vAlign w:val="center"/>
            <w:hideMark/>
          </w:tcPr>
          <w:p w14:paraId="16DCA4A5" w14:textId="77777777" w:rsidR="00BC5219" w:rsidRPr="009A4248" w:rsidRDefault="00BC5219" w:rsidP="00E83802">
            <w:pPr>
              <w:jc w:val="right"/>
              <w:rPr>
                <w:rFonts w:ascii="Meta Pro" w:eastAsia="Times New Roman" w:hAnsi="Meta Pro"/>
                <w:szCs w:val="18"/>
                <w:lang w:eastAsia="en-AU"/>
              </w:rPr>
            </w:pPr>
            <w:r w:rsidRPr="009A4248">
              <w:rPr>
                <w:rFonts w:ascii="Meta Pro" w:eastAsia="Times New Roman" w:hAnsi="Meta Pro"/>
                <w:szCs w:val="18"/>
                <w:lang w:eastAsia="en-AU"/>
              </w:rPr>
              <w:t xml:space="preserve">110,742 </w:t>
            </w:r>
          </w:p>
        </w:tc>
        <w:tc>
          <w:tcPr>
            <w:tcW w:w="216" w:type="dxa"/>
            <w:tcBorders>
              <w:top w:val="nil"/>
              <w:left w:val="nil"/>
              <w:bottom w:val="nil"/>
              <w:right w:val="nil"/>
            </w:tcBorders>
            <w:shd w:val="clear" w:color="auto" w:fill="auto"/>
            <w:noWrap/>
            <w:vAlign w:val="center"/>
            <w:hideMark/>
          </w:tcPr>
          <w:p w14:paraId="29A50670" w14:textId="77777777" w:rsidR="00BC5219" w:rsidRPr="009A4248"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3AF4CEE1" w14:textId="77777777" w:rsidR="00BC5219" w:rsidRPr="009A4248" w:rsidRDefault="00BC5219" w:rsidP="00E83802">
            <w:pPr>
              <w:jc w:val="right"/>
              <w:rPr>
                <w:rFonts w:ascii="Meta Pro" w:eastAsia="Times New Roman" w:hAnsi="Meta Pro"/>
                <w:szCs w:val="18"/>
                <w:lang w:eastAsia="en-AU"/>
              </w:rPr>
            </w:pPr>
            <w:r w:rsidRPr="009A4248">
              <w:rPr>
                <w:rFonts w:ascii="Meta Pro" w:eastAsia="Times New Roman" w:hAnsi="Meta Pro"/>
                <w:szCs w:val="18"/>
                <w:lang w:eastAsia="en-AU"/>
              </w:rPr>
              <w:t xml:space="preserve">3,370 </w:t>
            </w:r>
          </w:p>
        </w:tc>
      </w:tr>
      <w:tr w:rsidR="00BC5219" w:rsidRPr="009A4248" w14:paraId="2B86152C" w14:textId="77777777" w:rsidTr="00E83802">
        <w:trPr>
          <w:trHeight w:val="240"/>
        </w:trPr>
        <w:tc>
          <w:tcPr>
            <w:tcW w:w="6176" w:type="dxa"/>
            <w:tcBorders>
              <w:top w:val="nil"/>
              <w:left w:val="nil"/>
              <w:bottom w:val="nil"/>
              <w:right w:val="nil"/>
            </w:tcBorders>
            <w:shd w:val="clear" w:color="auto" w:fill="auto"/>
            <w:noWrap/>
            <w:vAlign w:val="center"/>
            <w:hideMark/>
          </w:tcPr>
          <w:p w14:paraId="1BABD847" w14:textId="77777777" w:rsidR="00BC5219" w:rsidRPr="009A4248" w:rsidRDefault="00BC5219" w:rsidP="00E83802">
            <w:pPr>
              <w:rPr>
                <w:rFonts w:ascii="Meta Pro" w:eastAsia="Times New Roman" w:hAnsi="Meta Pro"/>
                <w:szCs w:val="18"/>
                <w:lang w:eastAsia="en-AU"/>
              </w:rPr>
            </w:pPr>
            <w:r w:rsidRPr="009A4248">
              <w:rPr>
                <w:rFonts w:ascii="Meta Pro" w:eastAsia="Times New Roman" w:hAnsi="Meta Pro"/>
                <w:szCs w:val="18"/>
                <w:lang w:eastAsia="en-AU"/>
              </w:rPr>
              <w:t xml:space="preserve">  Service concession arrangements</w:t>
            </w:r>
          </w:p>
        </w:tc>
        <w:tc>
          <w:tcPr>
            <w:tcW w:w="1036" w:type="dxa"/>
            <w:tcBorders>
              <w:top w:val="nil"/>
              <w:left w:val="nil"/>
              <w:bottom w:val="nil"/>
              <w:right w:val="nil"/>
            </w:tcBorders>
            <w:shd w:val="clear" w:color="auto" w:fill="auto"/>
            <w:noWrap/>
            <w:vAlign w:val="center"/>
            <w:hideMark/>
          </w:tcPr>
          <w:p w14:paraId="2A94E1C7" w14:textId="77777777" w:rsidR="00BC5219" w:rsidRPr="009A4248" w:rsidRDefault="00BC5219" w:rsidP="00E83802">
            <w:pPr>
              <w:jc w:val="center"/>
              <w:rPr>
                <w:rFonts w:ascii="Meta Pro" w:eastAsia="Times New Roman" w:hAnsi="Meta Pro"/>
                <w:szCs w:val="18"/>
                <w:lang w:eastAsia="en-AU"/>
              </w:rPr>
            </w:pPr>
            <w:r w:rsidRPr="009A4248">
              <w:rPr>
                <w:rFonts w:ascii="Meta Pro" w:eastAsia="Times New Roman" w:hAnsi="Meta Pro"/>
                <w:szCs w:val="18"/>
                <w:lang w:eastAsia="en-AU"/>
              </w:rPr>
              <w:t>19</w:t>
            </w:r>
          </w:p>
        </w:tc>
        <w:tc>
          <w:tcPr>
            <w:tcW w:w="1156" w:type="dxa"/>
            <w:tcBorders>
              <w:top w:val="nil"/>
              <w:left w:val="nil"/>
              <w:bottom w:val="nil"/>
              <w:right w:val="nil"/>
            </w:tcBorders>
            <w:shd w:val="clear" w:color="000000" w:fill="C9E3B4"/>
            <w:noWrap/>
            <w:vAlign w:val="center"/>
            <w:hideMark/>
          </w:tcPr>
          <w:p w14:paraId="2CA65BCC" w14:textId="77777777" w:rsidR="00BC5219" w:rsidRPr="009A4248" w:rsidRDefault="00BC5219" w:rsidP="00E83802">
            <w:pPr>
              <w:jc w:val="right"/>
              <w:rPr>
                <w:rFonts w:ascii="Meta Pro" w:eastAsia="Times New Roman" w:hAnsi="Meta Pro"/>
                <w:szCs w:val="18"/>
                <w:lang w:eastAsia="en-AU"/>
              </w:rPr>
            </w:pPr>
            <w:r w:rsidRPr="009A4248">
              <w:rPr>
                <w:rFonts w:ascii="Meta Pro" w:eastAsia="Times New Roman" w:hAnsi="Meta Pro"/>
                <w:szCs w:val="18"/>
                <w:lang w:eastAsia="en-AU"/>
              </w:rPr>
              <w:t xml:space="preserve">630,066 </w:t>
            </w:r>
          </w:p>
        </w:tc>
        <w:tc>
          <w:tcPr>
            <w:tcW w:w="216" w:type="dxa"/>
            <w:tcBorders>
              <w:top w:val="nil"/>
              <w:left w:val="nil"/>
              <w:bottom w:val="nil"/>
              <w:right w:val="nil"/>
            </w:tcBorders>
            <w:shd w:val="clear" w:color="auto" w:fill="auto"/>
            <w:noWrap/>
            <w:vAlign w:val="center"/>
            <w:hideMark/>
          </w:tcPr>
          <w:p w14:paraId="051C660C" w14:textId="77777777" w:rsidR="00BC5219" w:rsidRPr="009A4248"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2D839208" w14:textId="77777777" w:rsidR="00BC5219" w:rsidRPr="009A4248" w:rsidRDefault="00BC5219" w:rsidP="00E83802">
            <w:pPr>
              <w:jc w:val="right"/>
              <w:rPr>
                <w:rFonts w:ascii="Meta Pro" w:eastAsia="Times New Roman" w:hAnsi="Meta Pro"/>
                <w:szCs w:val="18"/>
                <w:lang w:eastAsia="en-AU"/>
              </w:rPr>
            </w:pPr>
            <w:r w:rsidRPr="009A4248">
              <w:rPr>
                <w:rFonts w:ascii="Meta Pro" w:eastAsia="Times New Roman" w:hAnsi="Meta Pro"/>
                <w:szCs w:val="18"/>
                <w:lang w:eastAsia="en-AU"/>
              </w:rPr>
              <w:t xml:space="preserve">737,358 </w:t>
            </w:r>
          </w:p>
        </w:tc>
      </w:tr>
      <w:tr w:rsidR="00BC5219" w:rsidRPr="009A4248" w14:paraId="4AEDADA7" w14:textId="77777777" w:rsidTr="00E83802">
        <w:trPr>
          <w:trHeight w:val="240"/>
        </w:trPr>
        <w:tc>
          <w:tcPr>
            <w:tcW w:w="6176" w:type="dxa"/>
            <w:tcBorders>
              <w:top w:val="nil"/>
              <w:left w:val="nil"/>
              <w:bottom w:val="nil"/>
              <w:right w:val="nil"/>
            </w:tcBorders>
            <w:shd w:val="clear" w:color="auto" w:fill="auto"/>
            <w:noWrap/>
            <w:vAlign w:val="center"/>
            <w:hideMark/>
          </w:tcPr>
          <w:p w14:paraId="51E711C6" w14:textId="77777777" w:rsidR="00BC5219" w:rsidRPr="009A4248" w:rsidRDefault="00BC5219" w:rsidP="00E83802">
            <w:pPr>
              <w:rPr>
                <w:rFonts w:ascii="Meta Pro" w:eastAsia="Times New Roman" w:hAnsi="Meta Pro"/>
                <w:szCs w:val="18"/>
                <w:lang w:eastAsia="en-AU"/>
              </w:rPr>
            </w:pPr>
            <w:r w:rsidRPr="009A4248">
              <w:rPr>
                <w:rFonts w:ascii="Meta Pro" w:eastAsia="Times New Roman" w:hAnsi="Meta Pro"/>
                <w:szCs w:val="18"/>
                <w:lang w:eastAsia="en-AU"/>
              </w:rPr>
              <w:t xml:space="preserve">  New Generation Rollingstock arrangement</w:t>
            </w:r>
          </w:p>
        </w:tc>
        <w:tc>
          <w:tcPr>
            <w:tcW w:w="1036" w:type="dxa"/>
            <w:tcBorders>
              <w:top w:val="nil"/>
              <w:left w:val="nil"/>
              <w:bottom w:val="nil"/>
              <w:right w:val="nil"/>
            </w:tcBorders>
            <w:shd w:val="clear" w:color="auto" w:fill="auto"/>
            <w:noWrap/>
            <w:vAlign w:val="center"/>
            <w:hideMark/>
          </w:tcPr>
          <w:p w14:paraId="28A1BC23" w14:textId="77777777" w:rsidR="00BC5219" w:rsidRPr="009A4248" w:rsidRDefault="00BC5219" w:rsidP="00E83802">
            <w:pPr>
              <w:jc w:val="center"/>
              <w:rPr>
                <w:rFonts w:ascii="Meta Pro" w:eastAsia="Times New Roman" w:hAnsi="Meta Pro"/>
                <w:szCs w:val="18"/>
                <w:lang w:eastAsia="en-AU"/>
              </w:rPr>
            </w:pPr>
            <w:r w:rsidRPr="009A4248">
              <w:rPr>
                <w:rFonts w:ascii="Meta Pro" w:eastAsia="Times New Roman" w:hAnsi="Meta Pro"/>
                <w:szCs w:val="18"/>
                <w:lang w:eastAsia="en-AU"/>
              </w:rPr>
              <w:t>19</w:t>
            </w:r>
          </w:p>
        </w:tc>
        <w:tc>
          <w:tcPr>
            <w:tcW w:w="1156" w:type="dxa"/>
            <w:tcBorders>
              <w:top w:val="nil"/>
              <w:left w:val="nil"/>
              <w:bottom w:val="nil"/>
              <w:right w:val="nil"/>
            </w:tcBorders>
            <w:shd w:val="clear" w:color="000000" w:fill="C9E3B4"/>
            <w:noWrap/>
            <w:vAlign w:val="center"/>
            <w:hideMark/>
          </w:tcPr>
          <w:p w14:paraId="5FBB5112" w14:textId="77777777" w:rsidR="00BC5219" w:rsidRPr="009A4248" w:rsidRDefault="00BC5219" w:rsidP="00E83802">
            <w:pPr>
              <w:jc w:val="right"/>
              <w:rPr>
                <w:rFonts w:ascii="Meta Pro" w:eastAsia="Times New Roman" w:hAnsi="Meta Pro"/>
                <w:szCs w:val="18"/>
                <w:lang w:eastAsia="en-AU"/>
              </w:rPr>
            </w:pPr>
            <w:r w:rsidRPr="009A4248">
              <w:rPr>
                <w:rFonts w:ascii="Meta Pro" w:eastAsia="Times New Roman" w:hAnsi="Meta Pro"/>
                <w:szCs w:val="18"/>
                <w:lang w:eastAsia="en-AU"/>
              </w:rPr>
              <w:t xml:space="preserve">551,381 </w:t>
            </w:r>
          </w:p>
        </w:tc>
        <w:tc>
          <w:tcPr>
            <w:tcW w:w="216" w:type="dxa"/>
            <w:tcBorders>
              <w:top w:val="nil"/>
              <w:left w:val="nil"/>
              <w:bottom w:val="nil"/>
              <w:right w:val="nil"/>
            </w:tcBorders>
            <w:shd w:val="clear" w:color="auto" w:fill="auto"/>
            <w:noWrap/>
            <w:vAlign w:val="center"/>
            <w:hideMark/>
          </w:tcPr>
          <w:p w14:paraId="30220EE2" w14:textId="77777777" w:rsidR="00BC5219" w:rsidRPr="009A4248"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25A1CACC" w14:textId="77777777" w:rsidR="00BC5219" w:rsidRPr="009A4248" w:rsidRDefault="00BC5219" w:rsidP="00E83802">
            <w:pPr>
              <w:jc w:val="right"/>
              <w:rPr>
                <w:rFonts w:ascii="Meta Pro" w:eastAsia="Times New Roman" w:hAnsi="Meta Pro"/>
                <w:szCs w:val="18"/>
                <w:lang w:eastAsia="en-AU"/>
              </w:rPr>
            </w:pPr>
            <w:r w:rsidRPr="009A4248">
              <w:rPr>
                <w:rFonts w:ascii="Meta Pro" w:eastAsia="Times New Roman" w:hAnsi="Meta Pro"/>
                <w:szCs w:val="18"/>
                <w:lang w:eastAsia="en-AU"/>
              </w:rPr>
              <w:t xml:space="preserve">554,873 </w:t>
            </w:r>
          </w:p>
        </w:tc>
      </w:tr>
      <w:tr w:rsidR="00BC5219" w:rsidRPr="009A4248" w14:paraId="0DF77C4D" w14:textId="77777777" w:rsidTr="00E83802">
        <w:trPr>
          <w:trHeight w:val="240"/>
        </w:trPr>
        <w:tc>
          <w:tcPr>
            <w:tcW w:w="6176" w:type="dxa"/>
            <w:tcBorders>
              <w:top w:val="single" w:sz="4" w:space="0" w:color="auto"/>
              <w:left w:val="nil"/>
              <w:bottom w:val="double" w:sz="6" w:space="0" w:color="auto"/>
              <w:right w:val="nil"/>
            </w:tcBorders>
            <w:shd w:val="clear" w:color="auto" w:fill="auto"/>
            <w:noWrap/>
            <w:vAlign w:val="center"/>
            <w:hideMark/>
          </w:tcPr>
          <w:p w14:paraId="1B2BCCB1" w14:textId="77777777" w:rsidR="00BC5219" w:rsidRPr="009A4248" w:rsidRDefault="00BC5219" w:rsidP="00E83802">
            <w:pPr>
              <w:rPr>
                <w:rFonts w:ascii="Meta Pro" w:eastAsia="Times New Roman" w:hAnsi="Meta Pro"/>
                <w:b/>
                <w:bCs/>
                <w:szCs w:val="18"/>
                <w:lang w:eastAsia="en-AU"/>
              </w:rPr>
            </w:pPr>
            <w:r w:rsidRPr="009A4248">
              <w:rPr>
                <w:rFonts w:ascii="Meta Pro" w:eastAsia="Times New Roman" w:hAnsi="Meta Pro"/>
                <w:b/>
                <w:bCs/>
                <w:szCs w:val="18"/>
                <w:lang w:eastAsia="en-AU"/>
              </w:rPr>
              <w:t>Total</w:t>
            </w:r>
          </w:p>
        </w:tc>
        <w:tc>
          <w:tcPr>
            <w:tcW w:w="1036" w:type="dxa"/>
            <w:tcBorders>
              <w:top w:val="single" w:sz="4" w:space="0" w:color="auto"/>
              <w:left w:val="nil"/>
              <w:bottom w:val="double" w:sz="6" w:space="0" w:color="auto"/>
              <w:right w:val="nil"/>
            </w:tcBorders>
            <w:shd w:val="clear" w:color="auto" w:fill="auto"/>
            <w:noWrap/>
            <w:vAlign w:val="center"/>
            <w:hideMark/>
          </w:tcPr>
          <w:p w14:paraId="7A5860CA" w14:textId="77777777" w:rsidR="00BC5219" w:rsidRPr="009A4248" w:rsidRDefault="00BC5219" w:rsidP="00E83802">
            <w:pPr>
              <w:rPr>
                <w:rFonts w:ascii="Meta Pro" w:eastAsia="Times New Roman" w:hAnsi="Meta Pro"/>
                <w:b/>
                <w:bCs/>
                <w:szCs w:val="18"/>
                <w:lang w:eastAsia="en-AU"/>
              </w:rPr>
            </w:pPr>
            <w:r w:rsidRPr="009A4248">
              <w:rPr>
                <w:rFonts w:ascii="Meta Pro" w:eastAsia="Times New Roman" w:hAnsi="Meta Pro"/>
                <w:b/>
                <w:bCs/>
                <w:szCs w:val="18"/>
                <w:lang w:eastAsia="en-AU"/>
              </w:rPr>
              <w:t> </w:t>
            </w:r>
          </w:p>
        </w:tc>
        <w:tc>
          <w:tcPr>
            <w:tcW w:w="1156" w:type="dxa"/>
            <w:tcBorders>
              <w:top w:val="single" w:sz="4" w:space="0" w:color="auto"/>
              <w:left w:val="nil"/>
              <w:bottom w:val="double" w:sz="6" w:space="0" w:color="auto"/>
              <w:right w:val="nil"/>
            </w:tcBorders>
            <w:shd w:val="clear" w:color="000000" w:fill="C9E3B4"/>
            <w:noWrap/>
            <w:vAlign w:val="center"/>
            <w:hideMark/>
          </w:tcPr>
          <w:p w14:paraId="2B8611F5" w14:textId="77777777" w:rsidR="00BC5219" w:rsidRPr="009A4248" w:rsidRDefault="00BC5219" w:rsidP="00E83802">
            <w:pPr>
              <w:jc w:val="right"/>
              <w:rPr>
                <w:rFonts w:ascii="Meta Pro" w:eastAsia="Times New Roman" w:hAnsi="Meta Pro"/>
                <w:b/>
                <w:bCs/>
                <w:szCs w:val="18"/>
                <w:lang w:eastAsia="en-AU"/>
              </w:rPr>
            </w:pPr>
            <w:r w:rsidRPr="009A4248">
              <w:rPr>
                <w:rFonts w:ascii="Meta Pro" w:eastAsia="Times New Roman" w:hAnsi="Meta Pro"/>
                <w:b/>
                <w:bCs/>
                <w:szCs w:val="18"/>
                <w:lang w:eastAsia="en-AU"/>
              </w:rPr>
              <w:t xml:space="preserve">2,234,463 </w:t>
            </w:r>
          </w:p>
        </w:tc>
        <w:tc>
          <w:tcPr>
            <w:tcW w:w="216" w:type="dxa"/>
            <w:tcBorders>
              <w:top w:val="single" w:sz="4" w:space="0" w:color="auto"/>
              <w:left w:val="nil"/>
              <w:bottom w:val="double" w:sz="6" w:space="0" w:color="auto"/>
              <w:right w:val="nil"/>
            </w:tcBorders>
            <w:shd w:val="clear" w:color="auto" w:fill="auto"/>
            <w:noWrap/>
            <w:vAlign w:val="center"/>
            <w:hideMark/>
          </w:tcPr>
          <w:p w14:paraId="516B9F1F" w14:textId="77777777" w:rsidR="00BC5219" w:rsidRPr="009A4248" w:rsidRDefault="00BC5219" w:rsidP="00E83802">
            <w:pPr>
              <w:jc w:val="right"/>
              <w:rPr>
                <w:rFonts w:ascii="Meta Pro" w:eastAsia="Times New Roman" w:hAnsi="Meta Pro"/>
                <w:b/>
                <w:bCs/>
                <w:szCs w:val="18"/>
                <w:lang w:eastAsia="en-AU"/>
              </w:rPr>
            </w:pPr>
            <w:r w:rsidRPr="009A4248">
              <w:rPr>
                <w:rFonts w:ascii="Meta Pro" w:eastAsia="Times New Roman" w:hAnsi="Meta Pro"/>
                <w:b/>
                <w:bCs/>
                <w:szCs w:val="18"/>
                <w:lang w:eastAsia="en-AU"/>
              </w:rPr>
              <w:t> </w:t>
            </w:r>
          </w:p>
        </w:tc>
        <w:tc>
          <w:tcPr>
            <w:tcW w:w="1156" w:type="dxa"/>
            <w:tcBorders>
              <w:top w:val="single" w:sz="4" w:space="0" w:color="auto"/>
              <w:left w:val="nil"/>
              <w:bottom w:val="double" w:sz="6" w:space="0" w:color="auto"/>
              <w:right w:val="nil"/>
            </w:tcBorders>
            <w:shd w:val="clear" w:color="auto" w:fill="auto"/>
            <w:noWrap/>
            <w:vAlign w:val="center"/>
            <w:hideMark/>
          </w:tcPr>
          <w:p w14:paraId="28C44E2A" w14:textId="77777777" w:rsidR="00BC5219" w:rsidRPr="009A4248" w:rsidRDefault="00BC5219" w:rsidP="00E83802">
            <w:pPr>
              <w:jc w:val="right"/>
              <w:rPr>
                <w:rFonts w:ascii="Meta Pro" w:eastAsia="Times New Roman" w:hAnsi="Meta Pro"/>
                <w:b/>
                <w:bCs/>
                <w:szCs w:val="18"/>
                <w:lang w:eastAsia="en-AU"/>
              </w:rPr>
            </w:pPr>
            <w:r w:rsidRPr="009A4248">
              <w:rPr>
                <w:rFonts w:ascii="Meta Pro" w:eastAsia="Times New Roman" w:hAnsi="Meta Pro"/>
                <w:b/>
                <w:bCs/>
                <w:szCs w:val="18"/>
                <w:lang w:eastAsia="en-AU"/>
              </w:rPr>
              <w:t xml:space="preserve">1,978,838 </w:t>
            </w:r>
          </w:p>
        </w:tc>
      </w:tr>
    </w:tbl>
    <w:p w14:paraId="6A683DAF" w14:textId="77777777" w:rsidR="00BC5219" w:rsidRPr="008A2B8F" w:rsidRDefault="00BC5219" w:rsidP="00BC5219">
      <w:pPr>
        <w:spacing w:after="60" w:line="168" w:lineRule="auto"/>
        <w:rPr>
          <w:rFonts w:ascii="Meta Pro" w:hAnsi="Meta Pro"/>
          <w:i/>
          <w:iCs/>
          <w:sz w:val="24"/>
          <w:szCs w:val="24"/>
        </w:rPr>
      </w:pPr>
      <w:r w:rsidRPr="008A2B8F">
        <w:rPr>
          <w:rFonts w:ascii="Meta Pro" w:hAnsi="Meta Pro"/>
          <w:i/>
          <w:iCs/>
          <w:sz w:val="24"/>
          <w:szCs w:val="24"/>
        </w:rPr>
        <w:t xml:space="preserve"> </w:t>
      </w:r>
    </w:p>
    <w:p w14:paraId="3C1346C1" w14:textId="77777777" w:rsidR="00BC5219" w:rsidRPr="008A2B8F" w:rsidRDefault="00BC5219" w:rsidP="00BC5219">
      <w:pPr>
        <w:spacing w:before="120"/>
        <w:rPr>
          <w:rFonts w:ascii="Meta Pro" w:eastAsia="Times New Roman" w:hAnsi="Meta Pro"/>
          <w:b/>
          <w:bCs/>
          <w:szCs w:val="18"/>
          <w:lang w:eastAsia="en-AU"/>
        </w:rPr>
      </w:pPr>
      <w:r w:rsidRPr="008A2B8F">
        <w:rPr>
          <w:rFonts w:ascii="Meta Pro" w:eastAsia="Times New Roman" w:hAnsi="Meta Pro"/>
          <w:b/>
          <w:bCs/>
          <w:szCs w:val="18"/>
          <w:lang w:eastAsia="en-AU"/>
        </w:rPr>
        <w:lastRenderedPageBreak/>
        <w:t>FINANCIAL RISK MANAGEMENT</w:t>
      </w:r>
    </w:p>
    <w:p w14:paraId="4A8E2E55" w14:textId="77777777" w:rsidR="00BC5219" w:rsidRPr="008A2B8F" w:rsidRDefault="00BC5219" w:rsidP="00BC5219">
      <w:pPr>
        <w:spacing w:before="120" w:after="60"/>
        <w:rPr>
          <w:rFonts w:ascii="Meta Pro" w:eastAsia="Times New Roman" w:hAnsi="Meta Pro"/>
          <w:color w:val="000000"/>
          <w:szCs w:val="18"/>
          <w:lang w:eastAsia="en-AU"/>
        </w:rPr>
      </w:pPr>
      <w:r w:rsidRPr="008A2B8F">
        <w:rPr>
          <w:rFonts w:ascii="Meta Pro" w:eastAsia="Times New Roman" w:hAnsi="Meta Pro"/>
          <w:szCs w:val="18"/>
          <w:lang w:eastAsia="en-AU"/>
        </w:rPr>
        <w:t>The department's activities have the potential to expose it to a variety of financial risks such as interest rate risk, credit risk, liquidity risk and market risk. Financial risk management is implemented pursuant to government and departmental policy and seeks to minimise possible adverse effects on the financial performance of the department</w:t>
      </w:r>
      <w:r w:rsidRPr="008A2B8F">
        <w:rPr>
          <w:rFonts w:ascii="Meta Pro" w:eastAsia="Times New Roman" w:hAnsi="Meta Pro"/>
          <w:color w:val="000000"/>
          <w:szCs w:val="18"/>
          <w:lang w:eastAsia="en-AU"/>
        </w:rPr>
        <w:t>.</w:t>
      </w:r>
    </w:p>
    <w:p w14:paraId="4B945303" w14:textId="77777777" w:rsidR="00BC5219" w:rsidRPr="008A2B8F" w:rsidRDefault="00BC5219" w:rsidP="00BC5219">
      <w:pPr>
        <w:spacing w:before="120" w:after="60"/>
        <w:rPr>
          <w:rFonts w:ascii="Meta Pro" w:eastAsia="Times New Roman" w:hAnsi="Meta Pro"/>
          <w:szCs w:val="18"/>
          <w:lang w:eastAsia="en-AU"/>
        </w:rPr>
      </w:pPr>
      <w:r w:rsidRPr="008A2B8F">
        <w:rPr>
          <w:rFonts w:ascii="Meta Pro" w:eastAsia="Times New Roman" w:hAnsi="Meta Pro"/>
          <w:color w:val="000000"/>
          <w:szCs w:val="18"/>
          <w:lang w:eastAsia="en-AU"/>
        </w:rPr>
        <w:t>All financial risk is managed by each division under policy established by the Finance and Procurement Branch</w:t>
      </w:r>
      <w:r w:rsidRPr="008A2B8F">
        <w:rPr>
          <w:rFonts w:ascii="Meta Pro" w:eastAsia="Times New Roman" w:hAnsi="Meta Pro"/>
          <w:szCs w:val="18"/>
          <w:lang w:eastAsia="en-AU"/>
        </w:rPr>
        <w:t>.</w:t>
      </w:r>
    </w:p>
    <w:p w14:paraId="144175A8" w14:textId="77777777" w:rsidR="00BC5219" w:rsidRPr="008A2B8F" w:rsidRDefault="00BC5219" w:rsidP="00BC5219">
      <w:pPr>
        <w:spacing w:before="120" w:after="60"/>
        <w:rPr>
          <w:rFonts w:ascii="Meta Pro" w:eastAsia="Times New Roman" w:hAnsi="Meta Pro"/>
          <w:szCs w:val="18"/>
          <w:lang w:eastAsia="en-AU"/>
        </w:rPr>
      </w:pPr>
    </w:p>
    <w:p w14:paraId="2E4B6029" w14:textId="77777777" w:rsidR="00BC5219" w:rsidRPr="008A2B8F" w:rsidRDefault="00BC5219" w:rsidP="00BC5219">
      <w:pPr>
        <w:spacing w:before="120" w:after="60"/>
        <w:rPr>
          <w:rFonts w:ascii="Meta Pro" w:eastAsia="Times New Roman" w:hAnsi="Meta Pro"/>
          <w:szCs w:val="18"/>
          <w:lang w:eastAsia="en-AU"/>
        </w:rPr>
      </w:pPr>
    </w:p>
    <w:p w14:paraId="1CB4CC3B" w14:textId="77777777" w:rsidR="00BC5219" w:rsidRPr="008A2B8F" w:rsidRDefault="00BC5219" w:rsidP="00BC5219">
      <w:pPr>
        <w:spacing w:before="120" w:after="60"/>
        <w:rPr>
          <w:rFonts w:ascii="Meta Pro" w:eastAsia="Times New Roman" w:hAnsi="Meta Pro"/>
          <w:szCs w:val="18"/>
          <w:lang w:eastAsia="en-AU"/>
        </w:rPr>
      </w:pPr>
    </w:p>
    <w:p w14:paraId="5F0BA3E9"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r w:rsidRPr="008A2B8F">
        <w:rPr>
          <w:rFonts w:ascii="Meta Pro" w:eastAsia="Times New Roman" w:hAnsi="Meta Pro"/>
          <w:i/>
          <w:iCs/>
          <w:color w:val="000000" w:themeColor="text1"/>
          <w:lang w:eastAsia="en-AU"/>
        </w:rPr>
        <w:t>Department of Transport and Main Roads</w:t>
      </w:r>
    </w:p>
    <w:p w14:paraId="5C9C0F7D"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Notes to the financial statements 2022–23 (continued)</w:t>
      </w:r>
    </w:p>
    <w:p w14:paraId="6A0B1330" w14:textId="77777777" w:rsidR="00BC5219" w:rsidRDefault="00BC5219" w:rsidP="00BC5219">
      <w:pPr>
        <w:spacing w:line="259" w:lineRule="auto"/>
        <w:rPr>
          <w:rFonts w:ascii="Meta Pro" w:eastAsia="Times New Roman" w:hAnsi="Meta Pro"/>
          <w:b/>
          <w:bCs/>
          <w:lang w:eastAsia="en-AU"/>
        </w:rPr>
      </w:pPr>
    </w:p>
    <w:p w14:paraId="45EBFE0A" w14:textId="77777777" w:rsidR="00BC5219" w:rsidRPr="008A2B8F" w:rsidRDefault="00BC5219" w:rsidP="00BC5219">
      <w:pPr>
        <w:spacing w:line="259" w:lineRule="auto"/>
        <w:rPr>
          <w:rFonts w:ascii="Meta Pro" w:eastAsia="Times New Roman" w:hAnsi="Meta Pro"/>
          <w:b/>
          <w:bCs/>
          <w:lang w:eastAsia="en-AU"/>
        </w:rPr>
      </w:pPr>
      <w:r w:rsidRPr="008A2B8F">
        <w:rPr>
          <w:rFonts w:ascii="Meta Pro" w:eastAsia="Times New Roman" w:hAnsi="Meta Pro"/>
          <w:b/>
          <w:bCs/>
          <w:lang w:eastAsia="en-AU"/>
        </w:rPr>
        <w:t>27     FINANCIAL INSTRUMENTS (continued)</w:t>
      </w:r>
    </w:p>
    <w:p w14:paraId="097DAB2A" w14:textId="77777777" w:rsidR="00BC5219" w:rsidRPr="008A2B8F" w:rsidRDefault="00BC5219" w:rsidP="00BC5219">
      <w:pPr>
        <w:spacing w:before="120"/>
        <w:rPr>
          <w:rFonts w:ascii="Meta Pro" w:eastAsia="Times New Roman" w:hAnsi="Meta Pro"/>
          <w:b/>
          <w:bCs/>
          <w:szCs w:val="18"/>
          <w:lang w:eastAsia="en-AU"/>
        </w:rPr>
      </w:pPr>
      <w:r w:rsidRPr="008A2B8F">
        <w:rPr>
          <w:rFonts w:ascii="Meta Pro" w:eastAsia="Times New Roman" w:hAnsi="Meta Pro"/>
          <w:b/>
          <w:bCs/>
          <w:szCs w:val="18"/>
          <w:lang w:eastAsia="en-AU"/>
        </w:rPr>
        <w:t>CREDIT RISK EXPOSURE</w:t>
      </w:r>
    </w:p>
    <w:p w14:paraId="351C2274" w14:textId="77777777" w:rsidR="00BC5219" w:rsidRPr="008A2B8F" w:rsidRDefault="00BC5219" w:rsidP="00BC5219">
      <w:pPr>
        <w:spacing w:before="120" w:after="60"/>
        <w:rPr>
          <w:rFonts w:ascii="Meta Pro" w:eastAsia="Times New Roman" w:hAnsi="Meta Pro"/>
          <w:color w:val="000000"/>
          <w:szCs w:val="18"/>
          <w:lang w:eastAsia="en-AU"/>
        </w:rPr>
      </w:pPr>
      <w:r w:rsidRPr="008A2B8F">
        <w:rPr>
          <w:rFonts w:ascii="Meta Pro" w:eastAsia="Times New Roman" w:hAnsi="Meta Pro"/>
          <w:color w:val="000000"/>
          <w:szCs w:val="18"/>
          <w:lang w:eastAsia="en-AU"/>
        </w:rPr>
        <w:t>Credit risk exposure refers to the situation where the department may incur financial loss as a result of another party to a financial instrument failing to discharge their obligation.</w:t>
      </w:r>
    </w:p>
    <w:p w14:paraId="13629ED3" w14:textId="77777777" w:rsidR="00BC5219" w:rsidRPr="008A2B8F" w:rsidRDefault="00BC5219" w:rsidP="00BC5219">
      <w:pPr>
        <w:spacing w:before="120" w:after="60"/>
        <w:rPr>
          <w:rFonts w:ascii="Meta Pro" w:eastAsia="Times New Roman" w:hAnsi="Meta Pro"/>
          <w:color w:val="000000"/>
          <w:szCs w:val="18"/>
          <w:lang w:eastAsia="en-AU"/>
        </w:rPr>
      </w:pPr>
      <w:r w:rsidRPr="008A2B8F">
        <w:rPr>
          <w:rFonts w:ascii="Meta Pro" w:eastAsia="Times New Roman" w:hAnsi="Meta Pro"/>
          <w:color w:val="000000"/>
          <w:szCs w:val="18"/>
          <w:lang w:eastAsia="en-AU"/>
        </w:rPr>
        <w:t>The maximum exposure to credit risk at balance date in relation to each class of recognised financial asset is the gross carrying amount of those assets inclusive of any provision for impairment less any collateral held as security, such as deposits.</w:t>
      </w:r>
    </w:p>
    <w:p w14:paraId="4973C098" w14:textId="77777777" w:rsidR="00BC5219" w:rsidRPr="008A2B8F" w:rsidRDefault="00BC5219" w:rsidP="00BC5219">
      <w:pPr>
        <w:spacing w:before="120" w:after="60"/>
        <w:rPr>
          <w:rFonts w:ascii="Meta Pro" w:eastAsia="Times New Roman" w:hAnsi="Meta Pro"/>
          <w:color w:val="000000"/>
          <w:szCs w:val="18"/>
          <w:lang w:eastAsia="en-AU"/>
        </w:rPr>
      </w:pPr>
      <w:r w:rsidRPr="008A2B8F">
        <w:rPr>
          <w:rFonts w:ascii="Meta Pro" w:eastAsia="Times New Roman" w:hAnsi="Meta Pro"/>
          <w:color w:val="000000"/>
          <w:szCs w:val="18"/>
          <w:lang w:eastAsia="en-AU"/>
        </w:rPr>
        <w:t>The department manages credit risk through the use of a credit management strategy. This strategy aims to reduce the exposure to credit default by ensuring the department invests in secure assets and monitors all funds owed. Exposure to credit risk is monitored on an ongoing basis. Refer to Note 12 for receivables credit risk ageing analysis.</w:t>
      </w:r>
    </w:p>
    <w:p w14:paraId="78B06D0B" w14:textId="77777777" w:rsidR="00BC5219" w:rsidRPr="008A2B8F" w:rsidRDefault="00BC5219" w:rsidP="00BC5219">
      <w:pPr>
        <w:spacing w:before="120"/>
        <w:rPr>
          <w:rFonts w:ascii="Meta Pro" w:eastAsia="Times New Roman" w:hAnsi="Meta Pro"/>
          <w:b/>
          <w:bCs/>
          <w:szCs w:val="18"/>
          <w:lang w:eastAsia="en-AU"/>
        </w:rPr>
      </w:pPr>
      <w:r w:rsidRPr="008A2B8F">
        <w:rPr>
          <w:rFonts w:ascii="Meta Pro" w:eastAsia="Times New Roman" w:hAnsi="Meta Pro"/>
          <w:b/>
          <w:bCs/>
          <w:szCs w:val="18"/>
          <w:lang w:eastAsia="en-AU"/>
        </w:rPr>
        <w:t>LIQUIDITY RISK</w:t>
      </w:r>
    </w:p>
    <w:p w14:paraId="2354396E" w14:textId="77777777" w:rsidR="00BC5219" w:rsidRPr="008A2B8F" w:rsidRDefault="00BC5219" w:rsidP="00BC5219">
      <w:pPr>
        <w:spacing w:before="120" w:afterLines="60" w:after="144"/>
        <w:rPr>
          <w:rFonts w:ascii="Meta Pro" w:eastAsia="Times New Roman" w:hAnsi="Meta Pro"/>
          <w:color w:val="000000"/>
          <w:szCs w:val="18"/>
          <w:lang w:eastAsia="en-AU"/>
        </w:rPr>
        <w:sectPr w:rsidR="00BC5219" w:rsidRPr="008A2B8F" w:rsidSect="007E00DB">
          <w:footerReference w:type="default" r:id="rId129"/>
          <w:type w:val="continuous"/>
          <w:pgSz w:w="11906" w:h="16838"/>
          <w:pgMar w:top="1701" w:right="851" w:bottom="1134" w:left="851" w:header="454" w:footer="454" w:gutter="0"/>
          <w:pgNumType w:start="30"/>
          <w:cols w:space="708"/>
          <w:docGrid w:linePitch="360"/>
        </w:sectPr>
      </w:pPr>
      <w:r w:rsidRPr="008A2B8F">
        <w:rPr>
          <w:rFonts w:ascii="Meta Pro" w:eastAsia="Times New Roman" w:hAnsi="Meta Pro"/>
          <w:color w:val="000000"/>
          <w:szCs w:val="18"/>
          <w:lang w:eastAsia="en-AU"/>
        </w:rPr>
        <w:t>The department manages liquidity risk through regular fortnightly appropriation payments from the Consolidated Fund. This strategy reduces the exposure to liquidity risk by ensuring the department has sufficient funds available to meet its obligations when they fall due.</w:t>
      </w:r>
    </w:p>
    <w:p w14:paraId="712C034E" w14:textId="77777777" w:rsidR="00BC5219" w:rsidRDefault="00BC5219" w:rsidP="00BC5219">
      <w:pPr>
        <w:spacing w:after="120"/>
        <w:rPr>
          <w:rFonts w:asciiTheme="minorHAnsi" w:hAnsiTheme="minorHAnsi" w:cstheme="minorBidi"/>
        </w:rPr>
      </w:pPr>
      <w:r w:rsidRPr="008A2B8F">
        <w:rPr>
          <w:rFonts w:ascii="Meta Pro" w:eastAsia="Times New Roman" w:hAnsi="Meta Pro"/>
          <w:color w:val="000000"/>
          <w:szCs w:val="18"/>
          <w:lang w:eastAsia="en-AU"/>
        </w:rPr>
        <w:t>The following maturity analysis measures the liquidity risk of financial liabilities held by the department:</w:t>
      </w:r>
    </w:p>
    <w:tbl>
      <w:tblPr>
        <w:tblW w:w="0" w:type="auto"/>
        <w:tblCellMar>
          <w:left w:w="0" w:type="dxa"/>
        </w:tblCellMar>
        <w:tblLook w:val="04A0" w:firstRow="1" w:lastRow="0" w:firstColumn="1" w:lastColumn="0" w:noHBand="0" w:noVBand="1"/>
      </w:tblPr>
      <w:tblGrid>
        <w:gridCol w:w="3402"/>
        <w:gridCol w:w="1247"/>
        <w:gridCol w:w="1247"/>
        <w:gridCol w:w="1247"/>
        <w:gridCol w:w="1247"/>
        <w:gridCol w:w="1247"/>
      </w:tblGrid>
      <w:tr w:rsidR="00BC5219" w:rsidRPr="009A4248" w14:paraId="7B7A4DF1" w14:textId="77777777" w:rsidTr="00E83802">
        <w:trPr>
          <w:trHeight w:val="240"/>
        </w:trPr>
        <w:tc>
          <w:tcPr>
            <w:tcW w:w="3402" w:type="dxa"/>
            <w:tcBorders>
              <w:top w:val="single" w:sz="4" w:space="0" w:color="auto"/>
              <w:left w:val="single" w:sz="4" w:space="0" w:color="auto"/>
              <w:bottom w:val="nil"/>
              <w:right w:val="nil"/>
            </w:tcBorders>
            <w:shd w:val="clear" w:color="auto" w:fill="auto"/>
            <w:noWrap/>
            <w:vAlign w:val="center"/>
            <w:hideMark/>
          </w:tcPr>
          <w:p w14:paraId="4087B914" w14:textId="77777777" w:rsidR="00BC5219" w:rsidRPr="009A4248" w:rsidRDefault="00BC5219" w:rsidP="00E83802">
            <w:pPr>
              <w:rPr>
                <w:rFonts w:ascii="Meta Pro" w:eastAsia="Times New Roman" w:hAnsi="Meta Pro"/>
                <w:b/>
                <w:bCs/>
                <w:szCs w:val="18"/>
                <w:lang w:eastAsia="en-AU"/>
              </w:rPr>
            </w:pPr>
            <w:r w:rsidRPr="009A4248">
              <w:rPr>
                <w:rFonts w:ascii="Meta Pro" w:eastAsia="Times New Roman" w:hAnsi="Meta Pro"/>
                <w:b/>
                <w:bCs/>
                <w:szCs w:val="18"/>
                <w:lang w:eastAsia="en-AU"/>
              </w:rPr>
              <w:t> </w:t>
            </w:r>
          </w:p>
        </w:tc>
        <w:tc>
          <w:tcPr>
            <w:tcW w:w="124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1D403EA" w14:textId="77777777" w:rsidR="00BC5219" w:rsidRPr="009A4248" w:rsidRDefault="00BC5219" w:rsidP="00E83802">
            <w:pPr>
              <w:jc w:val="center"/>
              <w:rPr>
                <w:rFonts w:ascii="Meta Pro" w:eastAsia="Times New Roman" w:hAnsi="Meta Pro"/>
                <w:b/>
                <w:bCs/>
                <w:szCs w:val="18"/>
                <w:lang w:eastAsia="en-AU"/>
              </w:rPr>
            </w:pPr>
            <w:r w:rsidRPr="009A4248">
              <w:rPr>
                <w:rFonts w:ascii="Meta Pro" w:eastAsia="Times New Roman" w:hAnsi="Meta Pro"/>
                <w:b/>
                <w:bCs/>
                <w:szCs w:val="18"/>
                <w:lang w:eastAsia="en-AU"/>
              </w:rPr>
              <w:t>Note</w:t>
            </w:r>
          </w:p>
        </w:tc>
        <w:tc>
          <w:tcPr>
            <w:tcW w:w="1247" w:type="dxa"/>
            <w:gridSpan w:val="4"/>
            <w:tcBorders>
              <w:top w:val="single" w:sz="4" w:space="0" w:color="auto"/>
              <w:left w:val="nil"/>
              <w:bottom w:val="single" w:sz="4" w:space="0" w:color="auto"/>
              <w:right w:val="single" w:sz="4" w:space="0" w:color="auto"/>
            </w:tcBorders>
            <w:shd w:val="clear" w:color="auto" w:fill="auto"/>
            <w:noWrap/>
            <w:vAlign w:val="center"/>
            <w:hideMark/>
          </w:tcPr>
          <w:p w14:paraId="2DA70512" w14:textId="77777777" w:rsidR="00BC5219" w:rsidRPr="009A4248" w:rsidRDefault="00BC5219" w:rsidP="00E83802">
            <w:pPr>
              <w:jc w:val="center"/>
              <w:rPr>
                <w:rFonts w:ascii="Meta Pro" w:eastAsia="Times New Roman" w:hAnsi="Meta Pro"/>
                <w:b/>
                <w:bCs/>
                <w:szCs w:val="18"/>
                <w:lang w:eastAsia="en-AU"/>
              </w:rPr>
            </w:pPr>
            <w:r w:rsidRPr="009A4248">
              <w:rPr>
                <w:rFonts w:ascii="Meta Pro" w:eastAsia="Times New Roman" w:hAnsi="Meta Pro"/>
                <w:b/>
                <w:bCs/>
                <w:szCs w:val="18"/>
                <w:lang w:eastAsia="en-AU"/>
              </w:rPr>
              <w:t>Payable in</w:t>
            </w:r>
          </w:p>
        </w:tc>
      </w:tr>
      <w:tr w:rsidR="00BC5219" w:rsidRPr="009A4248" w14:paraId="17463F9D" w14:textId="77777777" w:rsidTr="00E83802">
        <w:trPr>
          <w:trHeight w:val="240"/>
        </w:trPr>
        <w:tc>
          <w:tcPr>
            <w:tcW w:w="3402" w:type="dxa"/>
            <w:tcBorders>
              <w:top w:val="nil"/>
              <w:left w:val="single" w:sz="4" w:space="0" w:color="auto"/>
              <w:bottom w:val="nil"/>
              <w:right w:val="nil"/>
            </w:tcBorders>
            <w:shd w:val="clear" w:color="auto" w:fill="auto"/>
            <w:noWrap/>
            <w:vAlign w:val="center"/>
            <w:hideMark/>
          </w:tcPr>
          <w:p w14:paraId="1E0CFE8E" w14:textId="77777777" w:rsidR="00BC5219" w:rsidRPr="009A4248" w:rsidRDefault="00BC5219" w:rsidP="00E83802">
            <w:pPr>
              <w:rPr>
                <w:rFonts w:ascii="Meta Pro" w:eastAsia="Times New Roman" w:hAnsi="Meta Pro"/>
                <w:b/>
                <w:bCs/>
                <w:szCs w:val="18"/>
                <w:lang w:eastAsia="en-AU"/>
              </w:rPr>
            </w:pPr>
            <w:r w:rsidRPr="009A4248">
              <w:rPr>
                <w:rFonts w:ascii="Meta Pro" w:eastAsia="Times New Roman" w:hAnsi="Meta Pro"/>
                <w:b/>
                <w:bCs/>
                <w:szCs w:val="18"/>
                <w:lang w:eastAsia="en-AU"/>
              </w:rPr>
              <w:t>Financial liabilities</w:t>
            </w:r>
          </w:p>
        </w:tc>
        <w:tc>
          <w:tcPr>
            <w:tcW w:w="1247" w:type="dxa"/>
            <w:vMerge/>
            <w:tcBorders>
              <w:top w:val="single" w:sz="4" w:space="0" w:color="auto"/>
              <w:left w:val="single" w:sz="4" w:space="0" w:color="auto"/>
              <w:bottom w:val="single" w:sz="4" w:space="0" w:color="000000"/>
              <w:right w:val="single" w:sz="4" w:space="0" w:color="auto"/>
            </w:tcBorders>
            <w:vAlign w:val="center"/>
            <w:hideMark/>
          </w:tcPr>
          <w:p w14:paraId="738E458E" w14:textId="77777777" w:rsidR="00BC5219" w:rsidRPr="009A4248" w:rsidRDefault="00BC5219" w:rsidP="00E83802">
            <w:pPr>
              <w:rPr>
                <w:rFonts w:ascii="Meta Pro" w:eastAsia="Times New Roman" w:hAnsi="Meta Pro"/>
                <w:b/>
                <w:bCs/>
                <w:szCs w:val="18"/>
                <w:lang w:eastAsia="en-AU"/>
              </w:rPr>
            </w:pPr>
          </w:p>
        </w:tc>
        <w:tc>
          <w:tcPr>
            <w:tcW w:w="1247" w:type="dxa"/>
            <w:tcBorders>
              <w:top w:val="nil"/>
              <w:left w:val="nil"/>
              <w:bottom w:val="nil"/>
              <w:right w:val="single" w:sz="4" w:space="0" w:color="auto"/>
            </w:tcBorders>
            <w:shd w:val="clear" w:color="auto" w:fill="auto"/>
            <w:vAlign w:val="center"/>
            <w:hideMark/>
          </w:tcPr>
          <w:p w14:paraId="340F4CBA" w14:textId="77777777" w:rsidR="00BC5219" w:rsidRPr="009A4248" w:rsidRDefault="00BC5219" w:rsidP="00E83802">
            <w:pPr>
              <w:jc w:val="center"/>
              <w:rPr>
                <w:rFonts w:ascii="Meta Pro" w:eastAsia="Times New Roman" w:hAnsi="Meta Pro"/>
                <w:b/>
                <w:bCs/>
                <w:szCs w:val="18"/>
                <w:lang w:eastAsia="en-AU"/>
              </w:rPr>
            </w:pPr>
            <w:r w:rsidRPr="009A4248">
              <w:rPr>
                <w:rFonts w:ascii="Meta Pro" w:eastAsia="Times New Roman" w:hAnsi="Meta Pro"/>
                <w:b/>
                <w:bCs/>
                <w:szCs w:val="18"/>
                <w:lang w:eastAsia="en-AU"/>
              </w:rPr>
              <w:t>&lt;1 year</w:t>
            </w:r>
          </w:p>
        </w:tc>
        <w:tc>
          <w:tcPr>
            <w:tcW w:w="1247" w:type="dxa"/>
            <w:tcBorders>
              <w:top w:val="nil"/>
              <w:left w:val="nil"/>
              <w:bottom w:val="nil"/>
              <w:right w:val="single" w:sz="4" w:space="0" w:color="auto"/>
            </w:tcBorders>
            <w:shd w:val="clear" w:color="auto" w:fill="auto"/>
            <w:vAlign w:val="center"/>
            <w:hideMark/>
          </w:tcPr>
          <w:p w14:paraId="49FF4407" w14:textId="77777777" w:rsidR="00BC5219" w:rsidRPr="009A4248" w:rsidRDefault="00BC5219" w:rsidP="00E83802">
            <w:pPr>
              <w:jc w:val="center"/>
              <w:rPr>
                <w:rFonts w:ascii="Meta Pro" w:eastAsia="Times New Roman" w:hAnsi="Meta Pro"/>
                <w:b/>
                <w:bCs/>
                <w:szCs w:val="18"/>
                <w:lang w:eastAsia="en-AU"/>
              </w:rPr>
            </w:pPr>
            <w:r w:rsidRPr="009A4248">
              <w:rPr>
                <w:rFonts w:ascii="Meta Pro" w:eastAsia="Times New Roman" w:hAnsi="Meta Pro"/>
                <w:b/>
                <w:bCs/>
                <w:szCs w:val="18"/>
                <w:lang w:eastAsia="en-AU"/>
              </w:rPr>
              <w:t>1-5 years</w:t>
            </w:r>
          </w:p>
        </w:tc>
        <w:tc>
          <w:tcPr>
            <w:tcW w:w="1247" w:type="dxa"/>
            <w:tcBorders>
              <w:top w:val="nil"/>
              <w:left w:val="nil"/>
              <w:bottom w:val="nil"/>
              <w:right w:val="single" w:sz="4" w:space="0" w:color="auto"/>
            </w:tcBorders>
            <w:shd w:val="clear" w:color="auto" w:fill="auto"/>
            <w:vAlign w:val="center"/>
            <w:hideMark/>
          </w:tcPr>
          <w:p w14:paraId="60E18CD1" w14:textId="77777777" w:rsidR="00BC5219" w:rsidRPr="009A4248" w:rsidRDefault="00BC5219" w:rsidP="00E83802">
            <w:pPr>
              <w:jc w:val="center"/>
              <w:rPr>
                <w:rFonts w:ascii="Meta Pro" w:eastAsia="Times New Roman" w:hAnsi="Meta Pro"/>
                <w:b/>
                <w:bCs/>
                <w:szCs w:val="18"/>
                <w:lang w:eastAsia="en-AU"/>
              </w:rPr>
            </w:pPr>
            <w:r w:rsidRPr="009A4248">
              <w:rPr>
                <w:rFonts w:ascii="Meta Pro" w:eastAsia="Times New Roman" w:hAnsi="Meta Pro"/>
                <w:b/>
                <w:bCs/>
                <w:szCs w:val="18"/>
                <w:lang w:eastAsia="en-AU"/>
              </w:rPr>
              <w:t>&gt;5 years</w:t>
            </w:r>
          </w:p>
        </w:tc>
        <w:tc>
          <w:tcPr>
            <w:tcW w:w="1247" w:type="dxa"/>
            <w:tcBorders>
              <w:top w:val="nil"/>
              <w:left w:val="nil"/>
              <w:bottom w:val="nil"/>
              <w:right w:val="single" w:sz="4" w:space="0" w:color="auto"/>
            </w:tcBorders>
            <w:shd w:val="clear" w:color="auto" w:fill="auto"/>
            <w:vAlign w:val="center"/>
            <w:hideMark/>
          </w:tcPr>
          <w:p w14:paraId="47E42AAE" w14:textId="77777777" w:rsidR="00BC5219" w:rsidRPr="009A4248" w:rsidRDefault="00BC5219" w:rsidP="00E83802">
            <w:pPr>
              <w:jc w:val="center"/>
              <w:rPr>
                <w:rFonts w:ascii="Meta Pro" w:eastAsia="Times New Roman" w:hAnsi="Meta Pro"/>
                <w:b/>
                <w:bCs/>
                <w:szCs w:val="18"/>
                <w:lang w:eastAsia="en-AU"/>
              </w:rPr>
            </w:pPr>
            <w:r w:rsidRPr="009A4248">
              <w:rPr>
                <w:rFonts w:ascii="Meta Pro" w:eastAsia="Times New Roman" w:hAnsi="Meta Pro"/>
                <w:b/>
                <w:bCs/>
                <w:szCs w:val="18"/>
                <w:lang w:eastAsia="en-AU"/>
              </w:rPr>
              <w:t>Total</w:t>
            </w:r>
          </w:p>
        </w:tc>
      </w:tr>
      <w:tr w:rsidR="00BC5219" w:rsidRPr="009A4248" w14:paraId="63CD536B" w14:textId="77777777" w:rsidTr="00E83802">
        <w:trPr>
          <w:trHeight w:val="240"/>
        </w:trPr>
        <w:tc>
          <w:tcPr>
            <w:tcW w:w="3402" w:type="dxa"/>
            <w:tcBorders>
              <w:top w:val="nil"/>
              <w:left w:val="single" w:sz="4" w:space="0" w:color="auto"/>
              <w:bottom w:val="single" w:sz="4" w:space="0" w:color="auto"/>
              <w:right w:val="nil"/>
            </w:tcBorders>
            <w:shd w:val="clear" w:color="auto" w:fill="auto"/>
            <w:noWrap/>
            <w:vAlign w:val="center"/>
            <w:hideMark/>
          </w:tcPr>
          <w:p w14:paraId="7D031ACF" w14:textId="77777777" w:rsidR="00BC5219" w:rsidRPr="009A4248" w:rsidRDefault="00BC5219" w:rsidP="00E83802">
            <w:pPr>
              <w:rPr>
                <w:rFonts w:ascii="Meta Pro" w:eastAsia="Times New Roman" w:hAnsi="Meta Pro"/>
                <w:b/>
                <w:bCs/>
                <w:szCs w:val="18"/>
                <w:lang w:eastAsia="en-AU"/>
              </w:rPr>
            </w:pPr>
            <w:r w:rsidRPr="009A4248">
              <w:rPr>
                <w:rFonts w:ascii="Meta Pro" w:eastAsia="Times New Roman" w:hAnsi="Meta Pro"/>
                <w:b/>
                <w:bCs/>
                <w:szCs w:val="18"/>
                <w:lang w:eastAsia="en-AU"/>
              </w:rPr>
              <w:t> </w:t>
            </w:r>
          </w:p>
        </w:tc>
        <w:tc>
          <w:tcPr>
            <w:tcW w:w="1247" w:type="dxa"/>
            <w:vMerge/>
            <w:tcBorders>
              <w:top w:val="single" w:sz="4" w:space="0" w:color="auto"/>
              <w:left w:val="single" w:sz="4" w:space="0" w:color="auto"/>
              <w:bottom w:val="single" w:sz="4" w:space="0" w:color="000000"/>
              <w:right w:val="single" w:sz="4" w:space="0" w:color="auto"/>
            </w:tcBorders>
            <w:vAlign w:val="center"/>
            <w:hideMark/>
          </w:tcPr>
          <w:p w14:paraId="7B2880EA" w14:textId="77777777" w:rsidR="00BC5219" w:rsidRPr="009A4248" w:rsidRDefault="00BC5219" w:rsidP="00E83802">
            <w:pPr>
              <w:rPr>
                <w:rFonts w:ascii="Meta Pro" w:eastAsia="Times New Roman" w:hAnsi="Meta Pro"/>
                <w:b/>
                <w:bCs/>
                <w:szCs w:val="18"/>
                <w:lang w:eastAsia="en-AU"/>
              </w:rPr>
            </w:pPr>
          </w:p>
        </w:tc>
        <w:tc>
          <w:tcPr>
            <w:tcW w:w="1247" w:type="dxa"/>
            <w:tcBorders>
              <w:top w:val="nil"/>
              <w:left w:val="nil"/>
              <w:bottom w:val="single" w:sz="4" w:space="0" w:color="auto"/>
              <w:right w:val="single" w:sz="4" w:space="0" w:color="auto"/>
            </w:tcBorders>
            <w:shd w:val="clear" w:color="auto" w:fill="auto"/>
            <w:vAlign w:val="center"/>
            <w:hideMark/>
          </w:tcPr>
          <w:p w14:paraId="5BE68BD0" w14:textId="77777777" w:rsidR="00BC5219" w:rsidRPr="009A4248" w:rsidRDefault="00BC5219" w:rsidP="00E83802">
            <w:pPr>
              <w:jc w:val="center"/>
              <w:rPr>
                <w:rFonts w:ascii="Meta Pro" w:eastAsia="Times New Roman" w:hAnsi="Meta Pro"/>
                <w:b/>
                <w:bCs/>
                <w:szCs w:val="18"/>
                <w:lang w:eastAsia="en-AU"/>
              </w:rPr>
            </w:pPr>
            <w:r w:rsidRPr="009A4248">
              <w:rPr>
                <w:rFonts w:ascii="Meta Pro" w:eastAsia="Times New Roman" w:hAnsi="Meta Pro"/>
                <w:b/>
                <w:bCs/>
                <w:szCs w:val="18"/>
                <w:lang w:eastAsia="en-AU"/>
              </w:rPr>
              <w:t>$'000</w:t>
            </w:r>
          </w:p>
        </w:tc>
        <w:tc>
          <w:tcPr>
            <w:tcW w:w="1247" w:type="dxa"/>
            <w:tcBorders>
              <w:top w:val="nil"/>
              <w:left w:val="nil"/>
              <w:bottom w:val="single" w:sz="4" w:space="0" w:color="auto"/>
              <w:right w:val="single" w:sz="4" w:space="0" w:color="auto"/>
            </w:tcBorders>
            <w:shd w:val="clear" w:color="auto" w:fill="auto"/>
            <w:vAlign w:val="center"/>
            <w:hideMark/>
          </w:tcPr>
          <w:p w14:paraId="368E9FAD" w14:textId="77777777" w:rsidR="00BC5219" w:rsidRPr="009A4248" w:rsidRDefault="00BC5219" w:rsidP="00E83802">
            <w:pPr>
              <w:jc w:val="center"/>
              <w:rPr>
                <w:rFonts w:ascii="Meta Pro" w:eastAsia="Times New Roman" w:hAnsi="Meta Pro"/>
                <w:b/>
                <w:bCs/>
                <w:szCs w:val="18"/>
                <w:lang w:eastAsia="en-AU"/>
              </w:rPr>
            </w:pPr>
            <w:r w:rsidRPr="009A4248">
              <w:rPr>
                <w:rFonts w:ascii="Meta Pro" w:eastAsia="Times New Roman" w:hAnsi="Meta Pro"/>
                <w:b/>
                <w:bCs/>
                <w:szCs w:val="18"/>
                <w:lang w:eastAsia="en-AU"/>
              </w:rPr>
              <w:t>$'000</w:t>
            </w:r>
          </w:p>
        </w:tc>
        <w:tc>
          <w:tcPr>
            <w:tcW w:w="1247" w:type="dxa"/>
            <w:tcBorders>
              <w:top w:val="nil"/>
              <w:left w:val="nil"/>
              <w:bottom w:val="single" w:sz="4" w:space="0" w:color="auto"/>
              <w:right w:val="single" w:sz="4" w:space="0" w:color="auto"/>
            </w:tcBorders>
            <w:shd w:val="clear" w:color="auto" w:fill="auto"/>
            <w:vAlign w:val="center"/>
            <w:hideMark/>
          </w:tcPr>
          <w:p w14:paraId="18908605" w14:textId="77777777" w:rsidR="00BC5219" w:rsidRPr="009A4248" w:rsidRDefault="00BC5219" w:rsidP="00E83802">
            <w:pPr>
              <w:jc w:val="center"/>
              <w:rPr>
                <w:rFonts w:ascii="Meta Pro" w:eastAsia="Times New Roman" w:hAnsi="Meta Pro"/>
                <w:b/>
                <w:bCs/>
                <w:szCs w:val="18"/>
                <w:lang w:eastAsia="en-AU"/>
              </w:rPr>
            </w:pPr>
            <w:r w:rsidRPr="009A4248">
              <w:rPr>
                <w:rFonts w:ascii="Meta Pro" w:eastAsia="Times New Roman" w:hAnsi="Meta Pro"/>
                <w:b/>
                <w:bCs/>
                <w:szCs w:val="18"/>
                <w:lang w:eastAsia="en-AU"/>
              </w:rPr>
              <w:t>$'000</w:t>
            </w:r>
          </w:p>
        </w:tc>
        <w:tc>
          <w:tcPr>
            <w:tcW w:w="1247" w:type="dxa"/>
            <w:tcBorders>
              <w:top w:val="nil"/>
              <w:left w:val="nil"/>
              <w:bottom w:val="single" w:sz="4" w:space="0" w:color="auto"/>
              <w:right w:val="single" w:sz="4" w:space="0" w:color="auto"/>
            </w:tcBorders>
            <w:shd w:val="clear" w:color="auto" w:fill="auto"/>
            <w:vAlign w:val="center"/>
            <w:hideMark/>
          </w:tcPr>
          <w:p w14:paraId="7B721CF1" w14:textId="77777777" w:rsidR="00BC5219" w:rsidRPr="009A4248" w:rsidRDefault="00BC5219" w:rsidP="00E83802">
            <w:pPr>
              <w:jc w:val="center"/>
              <w:rPr>
                <w:rFonts w:ascii="Meta Pro" w:eastAsia="Times New Roman" w:hAnsi="Meta Pro"/>
                <w:b/>
                <w:bCs/>
                <w:szCs w:val="18"/>
                <w:lang w:eastAsia="en-AU"/>
              </w:rPr>
            </w:pPr>
            <w:r w:rsidRPr="009A4248">
              <w:rPr>
                <w:rFonts w:ascii="Meta Pro" w:eastAsia="Times New Roman" w:hAnsi="Meta Pro"/>
                <w:b/>
                <w:bCs/>
                <w:szCs w:val="18"/>
                <w:lang w:eastAsia="en-AU"/>
              </w:rPr>
              <w:t>$'000</w:t>
            </w:r>
          </w:p>
        </w:tc>
      </w:tr>
      <w:tr w:rsidR="00BC5219" w:rsidRPr="009A4248" w14:paraId="3B46B2DE" w14:textId="77777777" w:rsidTr="00E83802">
        <w:trPr>
          <w:trHeight w:val="240"/>
        </w:trPr>
        <w:tc>
          <w:tcPr>
            <w:tcW w:w="3402" w:type="dxa"/>
            <w:tcBorders>
              <w:top w:val="nil"/>
              <w:left w:val="single" w:sz="4" w:space="0" w:color="auto"/>
              <w:bottom w:val="nil"/>
              <w:right w:val="nil"/>
            </w:tcBorders>
            <w:shd w:val="clear" w:color="auto" w:fill="auto"/>
            <w:noWrap/>
            <w:vAlign w:val="center"/>
            <w:hideMark/>
          </w:tcPr>
          <w:p w14:paraId="5706121A" w14:textId="77777777" w:rsidR="00BC5219" w:rsidRPr="009A4248" w:rsidRDefault="00BC5219" w:rsidP="00E83802">
            <w:pPr>
              <w:rPr>
                <w:rFonts w:ascii="Meta Pro" w:eastAsia="Times New Roman" w:hAnsi="Meta Pro"/>
                <w:b/>
                <w:bCs/>
                <w:szCs w:val="18"/>
                <w:lang w:eastAsia="en-AU"/>
              </w:rPr>
            </w:pPr>
            <w:r w:rsidRPr="009A4248">
              <w:rPr>
                <w:rFonts w:ascii="Meta Pro" w:eastAsia="Times New Roman" w:hAnsi="Meta Pro"/>
                <w:b/>
                <w:bCs/>
                <w:szCs w:val="18"/>
                <w:lang w:eastAsia="en-AU"/>
              </w:rPr>
              <w:t>2023</w:t>
            </w:r>
          </w:p>
        </w:tc>
        <w:tc>
          <w:tcPr>
            <w:tcW w:w="1247" w:type="dxa"/>
            <w:tcBorders>
              <w:top w:val="nil"/>
              <w:left w:val="single" w:sz="4" w:space="0" w:color="auto"/>
              <w:bottom w:val="nil"/>
              <w:right w:val="single" w:sz="4" w:space="0" w:color="auto"/>
            </w:tcBorders>
            <w:shd w:val="clear" w:color="auto" w:fill="auto"/>
            <w:noWrap/>
            <w:vAlign w:val="center"/>
            <w:hideMark/>
          </w:tcPr>
          <w:p w14:paraId="1EF14E4F" w14:textId="77777777" w:rsidR="00BC5219" w:rsidRPr="009A4248" w:rsidRDefault="00BC5219" w:rsidP="00E83802">
            <w:pPr>
              <w:jc w:val="center"/>
              <w:rPr>
                <w:rFonts w:ascii="Meta Pro" w:eastAsia="Times New Roman" w:hAnsi="Meta Pro"/>
                <w:szCs w:val="18"/>
                <w:lang w:eastAsia="en-AU"/>
              </w:rPr>
            </w:pPr>
            <w:r w:rsidRPr="009A4248">
              <w:rPr>
                <w:rFonts w:ascii="Meta Pro" w:eastAsia="Times New Roman" w:hAnsi="Meta Pro"/>
                <w:szCs w:val="18"/>
                <w:lang w:eastAsia="en-AU"/>
              </w:rPr>
              <w:t> </w:t>
            </w:r>
          </w:p>
        </w:tc>
        <w:tc>
          <w:tcPr>
            <w:tcW w:w="1247" w:type="dxa"/>
            <w:gridSpan w:val="4"/>
            <w:tcBorders>
              <w:top w:val="single" w:sz="4" w:space="0" w:color="auto"/>
              <w:left w:val="nil"/>
              <w:bottom w:val="single" w:sz="4" w:space="0" w:color="auto"/>
              <w:right w:val="single" w:sz="4" w:space="0" w:color="000000"/>
            </w:tcBorders>
            <w:shd w:val="clear" w:color="000000" w:fill="FFFFFF"/>
            <w:noWrap/>
            <w:vAlign w:val="center"/>
            <w:hideMark/>
          </w:tcPr>
          <w:p w14:paraId="2A55DE87" w14:textId="77777777" w:rsidR="00BC5219" w:rsidRPr="009A4248" w:rsidRDefault="00BC5219" w:rsidP="00E83802">
            <w:pPr>
              <w:jc w:val="right"/>
              <w:rPr>
                <w:rFonts w:ascii="Meta Pro" w:eastAsia="Times New Roman" w:hAnsi="Meta Pro"/>
                <w:szCs w:val="18"/>
                <w:lang w:eastAsia="en-AU"/>
              </w:rPr>
            </w:pPr>
            <w:r w:rsidRPr="009A4248">
              <w:rPr>
                <w:rFonts w:ascii="Meta Pro" w:eastAsia="Times New Roman" w:hAnsi="Meta Pro"/>
                <w:szCs w:val="18"/>
                <w:lang w:eastAsia="en-AU"/>
              </w:rPr>
              <w:t> </w:t>
            </w:r>
          </w:p>
        </w:tc>
      </w:tr>
      <w:tr w:rsidR="00BC5219" w:rsidRPr="009A4248" w14:paraId="4DDBF92C" w14:textId="77777777" w:rsidTr="00E83802">
        <w:trPr>
          <w:trHeight w:val="240"/>
        </w:trPr>
        <w:tc>
          <w:tcPr>
            <w:tcW w:w="3402" w:type="dxa"/>
            <w:tcBorders>
              <w:top w:val="nil"/>
              <w:left w:val="single" w:sz="4" w:space="0" w:color="auto"/>
              <w:bottom w:val="nil"/>
              <w:right w:val="nil"/>
            </w:tcBorders>
            <w:shd w:val="clear" w:color="auto" w:fill="auto"/>
            <w:noWrap/>
            <w:vAlign w:val="center"/>
            <w:hideMark/>
          </w:tcPr>
          <w:p w14:paraId="2248AF9D" w14:textId="77777777" w:rsidR="00BC5219" w:rsidRPr="009A4248" w:rsidRDefault="00BC5219" w:rsidP="00E83802">
            <w:pPr>
              <w:rPr>
                <w:rFonts w:ascii="Meta Pro" w:eastAsia="Times New Roman" w:hAnsi="Meta Pro"/>
                <w:szCs w:val="18"/>
                <w:lang w:eastAsia="en-AU"/>
              </w:rPr>
            </w:pPr>
            <w:r w:rsidRPr="009A4248">
              <w:rPr>
                <w:rFonts w:ascii="Meta Pro" w:eastAsia="Times New Roman" w:hAnsi="Meta Pro"/>
                <w:szCs w:val="18"/>
                <w:lang w:eastAsia="en-AU"/>
              </w:rPr>
              <w:t>Payables</w:t>
            </w:r>
          </w:p>
        </w:tc>
        <w:tc>
          <w:tcPr>
            <w:tcW w:w="1247" w:type="dxa"/>
            <w:tcBorders>
              <w:top w:val="nil"/>
              <w:left w:val="single" w:sz="4" w:space="0" w:color="auto"/>
              <w:bottom w:val="nil"/>
              <w:right w:val="single" w:sz="4" w:space="0" w:color="auto"/>
            </w:tcBorders>
            <w:shd w:val="clear" w:color="auto" w:fill="auto"/>
            <w:noWrap/>
            <w:vAlign w:val="center"/>
            <w:hideMark/>
          </w:tcPr>
          <w:p w14:paraId="5985E004" w14:textId="77777777" w:rsidR="00BC5219" w:rsidRPr="009A4248" w:rsidRDefault="00BC5219" w:rsidP="00E83802">
            <w:pPr>
              <w:jc w:val="center"/>
              <w:rPr>
                <w:rFonts w:ascii="Meta Pro" w:eastAsia="Times New Roman" w:hAnsi="Meta Pro"/>
                <w:szCs w:val="18"/>
                <w:lang w:eastAsia="en-AU"/>
              </w:rPr>
            </w:pPr>
            <w:r w:rsidRPr="009A4248">
              <w:rPr>
                <w:rFonts w:ascii="Meta Pro" w:eastAsia="Times New Roman" w:hAnsi="Meta Pro"/>
                <w:szCs w:val="18"/>
                <w:lang w:eastAsia="en-AU"/>
              </w:rPr>
              <w:t>18</w:t>
            </w:r>
          </w:p>
        </w:tc>
        <w:tc>
          <w:tcPr>
            <w:tcW w:w="1247" w:type="dxa"/>
            <w:tcBorders>
              <w:top w:val="nil"/>
              <w:left w:val="nil"/>
              <w:bottom w:val="single" w:sz="4" w:space="0" w:color="auto"/>
              <w:right w:val="single" w:sz="4" w:space="0" w:color="auto"/>
            </w:tcBorders>
            <w:shd w:val="clear" w:color="000000" w:fill="C9E3B4"/>
            <w:noWrap/>
            <w:vAlign w:val="center"/>
            <w:hideMark/>
          </w:tcPr>
          <w:p w14:paraId="7FEFEC51" w14:textId="77777777" w:rsidR="00BC5219" w:rsidRPr="009A4248" w:rsidRDefault="00BC5219" w:rsidP="00E83802">
            <w:pPr>
              <w:jc w:val="right"/>
              <w:rPr>
                <w:rFonts w:ascii="Meta Pro" w:eastAsia="Times New Roman" w:hAnsi="Meta Pro"/>
                <w:szCs w:val="18"/>
                <w:lang w:eastAsia="en-AU"/>
              </w:rPr>
            </w:pPr>
            <w:r w:rsidRPr="009A4248">
              <w:rPr>
                <w:rFonts w:ascii="Meta Pro" w:eastAsia="Times New Roman" w:hAnsi="Meta Pro"/>
                <w:szCs w:val="18"/>
                <w:lang w:eastAsia="en-AU"/>
              </w:rPr>
              <w:t xml:space="preserve">942,274 </w:t>
            </w:r>
          </w:p>
        </w:tc>
        <w:tc>
          <w:tcPr>
            <w:tcW w:w="1247" w:type="dxa"/>
            <w:tcBorders>
              <w:top w:val="nil"/>
              <w:left w:val="nil"/>
              <w:bottom w:val="single" w:sz="4" w:space="0" w:color="auto"/>
              <w:right w:val="single" w:sz="4" w:space="0" w:color="auto"/>
            </w:tcBorders>
            <w:shd w:val="clear" w:color="000000" w:fill="C9E3B4"/>
            <w:noWrap/>
            <w:vAlign w:val="center"/>
            <w:hideMark/>
          </w:tcPr>
          <w:p w14:paraId="3249CAB9" w14:textId="77777777" w:rsidR="00BC5219" w:rsidRPr="009A4248" w:rsidRDefault="00BC5219" w:rsidP="00E83802">
            <w:pPr>
              <w:jc w:val="right"/>
              <w:rPr>
                <w:rFonts w:ascii="Meta Pro" w:eastAsia="Times New Roman" w:hAnsi="Meta Pro"/>
                <w:szCs w:val="18"/>
                <w:lang w:eastAsia="en-AU"/>
              </w:rPr>
            </w:pPr>
            <w:r w:rsidRPr="009A4248">
              <w:rPr>
                <w:rFonts w:ascii="Meta Pro" w:eastAsia="Times New Roman" w:hAnsi="Meta Pro"/>
                <w:szCs w:val="18"/>
                <w:lang w:eastAsia="en-AU"/>
              </w:rPr>
              <w:t xml:space="preserve">- </w:t>
            </w:r>
          </w:p>
        </w:tc>
        <w:tc>
          <w:tcPr>
            <w:tcW w:w="1247" w:type="dxa"/>
            <w:tcBorders>
              <w:top w:val="nil"/>
              <w:left w:val="nil"/>
              <w:bottom w:val="single" w:sz="4" w:space="0" w:color="auto"/>
              <w:right w:val="single" w:sz="4" w:space="0" w:color="auto"/>
            </w:tcBorders>
            <w:shd w:val="clear" w:color="000000" w:fill="C9E3B4"/>
            <w:noWrap/>
            <w:vAlign w:val="center"/>
            <w:hideMark/>
          </w:tcPr>
          <w:p w14:paraId="53F2F93E" w14:textId="77777777" w:rsidR="00BC5219" w:rsidRPr="009A4248" w:rsidRDefault="00BC5219" w:rsidP="00E83802">
            <w:pPr>
              <w:jc w:val="right"/>
              <w:rPr>
                <w:rFonts w:ascii="Meta Pro" w:eastAsia="Times New Roman" w:hAnsi="Meta Pro"/>
                <w:szCs w:val="18"/>
                <w:lang w:eastAsia="en-AU"/>
              </w:rPr>
            </w:pPr>
            <w:r w:rsidRPr="009A4248">
              <w:rPr>
                <w:rFonts w:ascii="Meta Pro" w:eastAsia="Times New Roman" w:hAnsi="Meta Pro"/>
                <w:szCs w:val="18"/>
                <w:lang w:eastAsia="en-AU"/>
              </w:rPr>
              <w:t xml:space="preserve">- </w:t>
            </w:r>
          </w:p>
        </w:tc>
        <w:tc>
          <w:tcPr>
            <w:tcW w:w="1247" w:type="dxa"/>
            <w:tcBorders>
              <w:top w:val="nil"/>
              <w:left w:val="nil"/>
              <w:bottom w:val="single" w:sz="4" w:space="0" w:color="auto"/>
              <w:right w:val="single" w:sz="4" w:space="0" w:color="auto"/>
            </w:tcBorders>
            <w:shd w:val="clear" w:color="000000" w:fill="C6E0B4"/>
            <w:noWrap/>
            <w:vAlign w:val="center"/>
            <w:hideMark/>
          </w:tcPr>
          <w:p w14:paraId="2B5097CA" w14:textId="77777777" w:rsidR="00BC5219" w:rsidRPr="009A4248" w:rsidRDefault="00BC5219" w:rsidP="00E83802">
            <w:pPr>
              <w:jc w:val="right"/>
              <w:rPr>
                <w:rFonts w:ascii="Meta Pro" w:eastAsia="Times New Roman" w:hAnsi="Meta Pro"/>
                <w:b/>
                <w:bCs/>
                <w:szCs w:val="18"/>
                <w:lang w:eastAsia="en-AU"/>
              </w:rPr>
            </w:pPr>
            <w:r w:rsidRPr="009A4248">
              <w:rPr>
                <w:rFonts w:ascii="Meta Pro" w:eastAsia="Times New Roman" w:hAnsi="Meta Pro"/>
                <w:b/>
                <w:bCs/>
                <w:szCs w:val="18"/>
                <w:lang w:eastAsia="en-AU"/>
              </w:rPr>
              <w:t>942,274</w:t>
            </w:r>
          </w:p>
        </w:tc>
      </w:tr>
      <w:tr w:rsidR="00BC5219" w:rsidRPr="009A4248" w14:paraId="301E400D" w14:textId="77777777" w:rsidTr="00E83802">
        <w:trPr>
          <w:trHeight w:val="240"/>
        </w:trPr>
        <w:tc>
          <w:tcPr>
            <w:tcW w:w="3402" w:type="dxa"/>
            <w:tcBorders>
              <w:top w:val="nil"/>
              <w:left w:val="single" w:sz="4" w:space="0" w:color="auto"/>
              <w:bottom w:val="nil"/>
              <w:right w:val="nil"/>
            </w:tcBorders>
            <w:shd w:val="clear" w:color="auto" w:fill="auto"/>
            <w:noWrap/>
            <w:vAlign w:val="center"/>
            <w:hideMark/>
          </w:tcPr>
          <w:p w14:paraId="0AF2F031" w14:textId="77777777" w:rsidR="00BC5219" w:rsidRPr="009A4248" w:rsidRDefault="00BC5219" w:rsidP="00E83802">
            <w:pPr>
              <w:rPr>
                <w:rFonts w:ascii="Meta Pro" w:eastAsia="Times New Roman" w:hAnsi="Meta Pro"/>
                <w:szCs w:val="18"/>
                <w:lang w:eastAsia="en-AU"/>
              </w:rPr>
            </w:pPr>
            <w:r w:rsidRPr="009A4248">
              <w:rPr>
                <w:rFonts w:ascii="Meta Pro" w:eastAsia="Times New Roman" w:hAnsi="Meta Pro"/>
                <w:szCs w:val="18"/>
                <w:lang w:eastAsia="en-AU"/>
              </w:rPr>
              <w:t>Lease liabilities</w:t>
            </w:r>
          </w:p>
        </w:tc>
        <w:tc>
          <w:tcPr>
            <w:tcW w:w="1247" w:type="dxa"/>
            <w:tcBorders>
              <w:top w:val="nil"/>
              <w:left w:val="single" w:sz="4" w:space="0" w:color="auto"/>
              <w:bottom w:val="nil"/>
              <w:right w:val="single" w:sz="4" w:space="0" w:color="auto"/>
            </w:tcBorders>
            <w:shd w:val="clear" w:color="auto" w:fill="auto"/>
            <w:noWrap/>
            <w:vAlign w:val="center"/>
            <w:hideMark/>
          </w:tcPr>
          <w:p w14:paraId="24F54E29" w14:textId="77777777" w:rsidR="00BC5219" w:rsidRPr="009A4248" w:rsidRDefault="00BC5219" w:rsidP="00E83802">
            <w:pPr>
              <w:jc w:val="center"/>
              <w:rPr>
                <w:rFonts w:ascii="Meta Pro" w:eastAsia="Times New Roman" w:hAnsi="Meta Pro"/>
                <w:szCs w:val="18"/>
                <w:lang w:eastAsia="en-AU"/>
              </w:rPr>
            </w:pPr>
            <w:r w:rsidRPr="009A4248">
              <w:rPr>
                <w:rFonts w:ascii="Meta Pro" w:eastAsia="Times New Roman" w:hAnsi="Meta Pro"/>
                <w:szCs w:val="18"/>
                <w:lang w:eastAsia="en-AU"/>
              </w:rPr>
              <w:t> </w:t>
            </w:r>
          </w:p>
        </w:tc>
        <w:tc>
          <w:tcPr>
            <w:tcW w:w="1247" w:type="dxa"/>
            <w:tcBorders>
              <w:top w:val="nil"/>
              <w:left w:val="nil"/>
              <w:bottom w:val="single" w:sz="4" w:space="0" w:color="auto"/>
              <w:right w:val="single" w:sz="4" w:space="0" w:color="auto"/>
            </w:tcBorders>
            <w:shd w:val="clear" w:color="000000" w:fill="C9E3B4"/>
            <w:noWrap/>
            <w:vAlign w:val="center"/>
            <w:hideMark/>
          </w:tcPr>
          <w:p w14:paraId="71C443DF" w14:textId="77777777" w:rsidR="00BC5219" w:rsidRPr="009A4248" w:rsidRDefault="00BC5219" w:rsidP="00E83802">
            <w:pPr>
              <w:jc w:val="right"/>
              <w:rPr>
                <w:rFonts w:ascii="Meta Pro" w:eastAsia="Times New Roman" w:hAnsi="Meta Pro"/>
                <w:szCs w:val="18"/>
                <w:lang w:eastAsia="en-AU"/>
              </w:rPr>
            </w:pPr>
            <w:r w:rsidRPr="009A4248">
              <w:rPr>
                <w:rFonts w:ascii="Meta Pro" w:eastAsia="Times New Roman" w:hAnsi="Meta Pro"/>
                <w:szCs w:val="18"/>
                <w:lang w:eastAsia="en-AU"/>
              </w:rPr>
              <w:t xml:space="preserve">28,030 </w:t>
            </w:r>
          </w:p>
        </w:tc>
        <w:tc>
          <w:tcPr>
            <w:tcW w:w="1247" w:type="dxa"/>
            <w:tcBorders>
              <w:top w:val="nil"/>
              <w:left w:val="nil"/>
              <w:bottom w:val="single" w:sz="4" w:space="0" w:color="auto"/>
              <w:right w:val="single" w:sz="4" w:space="0" w:color="auto"/>
            </w:tcBorders>
            <w:shd w:val="clear" w:color="000000" w:fill="C9E3B4"/>
            <w:noWrap/>
            <w:vAlign w:val="center"/>
            <w:hideMark/>
          </w:tcPr>
          <w:p w14:paraId="116CBF12" w14:textId="77777777" w:rsidR="00BC5219" w:rsidRPr="009A4248" w:rsidRDefault="00BC5219" w:rsidP="00E83802">
            <w:pPr>
              <w:jc w:val="right"/>
              <w:rPr>
                <w:rFonts w:ascii="Meta Pro" w:eastAsia="Times New Roman" w:hAnsi="Meta Pro"/>
                <w:szCs w:val="18"/>
                <w:lang w:eastAsia="en-AU"/>
              </w:rPr>
            </w:pPr>
            <w:r w:rsidRPr="009A4248">
              <w:rPr>
                <w:rFonts w:ascii="Meta Pro" w:eastAsia="Times New Roman" w:hAnsi="Meta Pro"/>
                <w:szCs w:val="18"/>
                <w:lang w:eastAsia="en-AU"/>
              </w:rPr>
              <w:t xml:space="preserve">83,974 </w:t>
            </w:r>
          </w:p>
        </w:tc>
        <w:tc>
          <w:tcPr>
            <w:tcW w:w="1247" w:type="dxa"/>
            <w:tcBorders>
              <w:top w:val="nil"/>
              <w:left w:val="nil"/>
              <w:bottom w:val="single" w:sz="4" w:space="0" w:color="auto"/>
              <w:right w:val="single" w:sz="4" w:space="0" w:color="auto"/>
            </w:tcBorders>
            <w:shd w:val="clear" w:color="000000" w:fill="C9E3B4"/>
            <w:noWrap/>
            <w:vAlign w:val="center"/>
            <w:hideMark/>
          </w:tcPr>
          <w:p w14:paraId="13EACF29" w14:textId="77777777" w:rsidR="00BC5219" w:rsidRPr="009A4248" w:rsidRDefault="00BC5219" w:rsidP="00E83802">
            <w:pPr>
              <w:jc w:val="right"/>
              <w:rPr>
                <w:rFonts w:ascii="Meta Pro" w:eastAsia="Times New Roman" w:hAnsi="Meta Pro"/>
                <w:szCs w:val="18"/>
                <w:lang w:eastAsia="en-AU"/>
              </w:rPr>
            </w:pPr>
            <w:r w:rsidRPr="009A4248">
              <w:rPr>
                <w:rFonts w:ascii="Meta Pro" w:eastAsia="Times New Roman" w:hAnsi="Meta Pro"/>
                <w:szCs w:val="18"/>
                <w:lang w:eastAsia="en-AU"/>
              </w:rPr>
              <w:t xml:space="preserve">8,748 </w:t>
            </w:r>
          </w:p>
        </w:tc>
        <w:tc>
          <w:tcPr>
            <w:tcW w:w="1247" w:type="dxa"/>
            <w:tcBorders>
              <w:top w:val="nil"/>
              <w:left w:val="nil"/>
              <w:bottom w:val="single" w:sz="4" w:space="0" w:color="auto"/>
              <w:right w:val="single" w:sz="4" w:space="0" w:color="auto"/>
            </w:tcBorders>
            <w:shd w:val="clear" w:color="000000" w:fill="C6E0B4"/>
            <w:noWrap/>
            <w:vAlign w:val="center"/>
            <w:hideMark/>
          </w:tcPr>
          <w:p w14:paraId="321A2585" w14:textId="77777777" w:rsidR="00BC5219" w:rsidRPr="009A4248" w:rsidRDefault="00BC5219" w:rsidP="00E83802">
            <w:pPr>
              <w:jc w:val="right"/>
              <w:rPr>
                <w:rFonts w:ascii="Meta Pro" w:eastAsia="Times New Roman" w:hAnsi="Meta Pro"/>
                <w:b/>
                <w:bCs/>
                <w:szCs w:val="18"/>
                <w:lang w:eastAsia="en-AU"/>
              </w:rPr>
            </w:pPr>
            <w:r w:rsidRPr="009A4248">
              <w:rPr>
                <w:rFonts w:ascii="Meta Pro" w:eastAsia="Times New Roman" w:hAnsi="Meta Pro"/>
                <w:b/>
                <w:bCs/>
                <w:szCs w:val="18"/>
                <w:lang w:eastAsia="en-AU"/>
              </w:rPr>
              <w:t>120,752</w:t>
            </w:r>
          </w:p>
        </w:tc>
      </w:tr>
      <w:tr w:rsidR="00BC5219" w:rsidRPr="009A4248" w14:paraId="15B61A5B" w14:textId="77777777" w:rsidTr="00E83802">
        <w:trPr>
          <w:trHeight w:val="240"/>
        </w:trPr>
        <w:tc>
          <w:tcPr>
            <w:tcW w:w="3402" w:type="dxa"/>
            <w:tcBorders>
              <w:top w:val="nil"/>
              <w:left w:val="single" w:sz="4" w:space="0" w:color="auto"/>
              <w:bottom w:val="nil"/>
              <w:right w:val="nil"/>
            </w:tcBorders>
            <w:shd w:val="clear" w:color="auto" w:fill="auto"/>
            <w:noWrap/>
            <w:vAlign w:val="center"/>
            <w:hideMark/>
          </w:tcPr>
          <w:p w14:paraId="138BF94F" w14:textId="77777777" w:rsidR="00BC5219" w:rsidRPr="009A4248" w:rsidRDefault="00BC5219" w:rsidP="00E83802">
            <w:pPr>
              <w:rPr>
                <w:rFonts w:ascii="Meta Pro" w:eastAsia="Times New Roman" w:hAnsi="Meta Pro"/>
                <w:szCs w:val="18"/>
                <w:lang w:eastAsia="en-AU"/>
              </w:rPr>
            </w:pPr>
            <w:r w:rsidRPr="009A4248">
              <w:rPr>
                <w:rFonts w:ascii="Meta Pro" w:eastAsia="Times New Roman" w:hAnsi="Meta Pro"/>
                <w:szCs w:val="18"/>
                <w:lang w:eastAsia="en-AU"/>
              </w:rPr>
              <w:t>Service concession arrangements</w:t>
            </w:r>
          </w:p>
        </w:tc>
        <w:tc>
          <w:tcPr>
            <w:tcW w:w="1247" w:type="dxa"/>
            <w:tcBorders>
              <w:top w:val="nil"/>
              <w:left w:val="single" w:sz="4" w:space="0" w:color="auto"/>
              <w:bottom w:val="nil"/>
              <w:right w:val="single" w:sz="4" w:space="0" w:color="auto"/>
            </w:tcBorders>
            <w:shd w:val="clear" w:color="auto" w:fill="auto"/>
            <w:noWrap/>
            <w:vAlign w:val="center"/>
            <w:hideMark/>
          </w:tcPr>
          <w:p w14:paraId="7BE80338" w14:textId="77777777" w:rsidR="00BC5219" w:rsidRPr="009A4248" w:rsidRDefault="00BC5219" w:rsidP="00E83802">
            <w:pPr>
              <w:jc w:val="center"/>
              <w:rPr>
                <w:rFonts w:ascii="Meta Pro" w:eastAsia="Times New Roman" w:hAnsi="Meta Pro"/>
                <w:szCs w:val="18"/>
                <w:lang w:eastAsia="en-AU"/>
              </w:rPr>
            </w:pPr>
            <w:r w:rsidRPr="009A4248">
              <w:rPr>
                <w:rFonts w:ascii="Meta Pro" w:eastAsia="Times New Roman" w:hAnsi="Meta Pro"/>
                <w:szCs w:val="18"/>
                <w:lang w:eastAsia="en-AU"/>
              </w:rPr>
              <w:t> </w:t>
            </w:r>
          </w:p>
        </w:tc>
        <w:tc>
          <w:tcPr>
            <w:tcW w:w="1247" w:type="dxa"/>
            <w:tcBorders>
              <w:top w:val="nil"/>
              <w:left w:val="nil"/>
              <w:bottom w:val="single" w:sz="4" w:space="0" w:color="auto"/>
              <w:right w:val="single" w:sz="4" w:space="0" w:color="auto"/>
            </w:tcBorders>
            <w:shd w:val="clear" w:color="000000" w:fill="C9E3B4"/>
            <w:noWrap/>
            <w:vAlign w:val="center"/>
            <w:hideMark/>
          </w:tcPr>
          <w:p w14:paraId="0ED06C0A" w14:textId="77777777" w:rsidR="00BC5219" w:rsidRPr="009A4248" w:rsidRDefault="00BC5219" w:rsidP="00E83802">
            <w:pPr>
              <w:jc w:val="right"/>
              <w:rPr>
                <w:rFonts w:ascii="Meta Pro" w:eastAsia="Times New Roman" w:hAnsi="Meta Pro"/>
                <w:szCs w:val="18"/>
                <w:lang w:eastAsia="en-AU"/>
              </w:rPr>
            </w:pPr>
            <w:r w:rsidRPr="009A4248">
              <w:rPr>
                <w:rFonts w:ascii="Meta Pro" w:eastAsia="Times New Roman" w:hAnsi="Meta Pro"/>
                <w:szCs w:val="18"/>
                <w:lang w:eastAsia="en-AU"/>
              </w:rPr>
              <w:t xml:space="preserve">86,371 </w:t>
            </w:r>
          </w:p>
        </w:tc>
        <w:tc>
          <w:tcPr>
            <w:tcW w:w="1247" w:type="dxa"/>
            <w:tcBorders>
              <w:top w:val="nil"/>
              <w:left w:val="nil"/>
              <w:bottom w:val="single" w:sz="4" w:space="0" w:color="auto"/>
              <w:right w:val="single" w:sz="4" w:space="0" w:color="auto"/>
            </w:tcBorders>
            <w:shd w:val="clear" w:color="000000" w:fill="C9E3B4"/>
            <w:noWrap/>
            <w:vAlign w:val="center"/>
            <w:hideMark/>
          </w:tcPr>
          <w:p w14:paraId="6CCD764D" w14:textId="77777777" w:rsidR="00BC5219" w:rsidRPr="009A4248" w:rsidRDefault="00BC5219" w:rsidP="00E83802">
            <w:pPr>
              <w:jc w:val="right"/>
              <w:rPr>
                <w:rFonts w:ascii="Meta Pro" w:eastAsia="Times New Roman" w:hAnsi="Meta Pro"/>
                <w:szCs w:val="18"/>
                <w:lang w:eastAsia="en-AU"/>
              </w:rPr>
            </w:pPr>
            <w:r w:rsidRPr="009A4248">
              <w:rPr>
                <w:rFonts w:ascii="Meta Pro" w:eastAsia="Times New Roman" w:hAnsi="Meta Pro"/>
                <w:szCs w:val="18"/>
                <w:lang w:eastAsia="en-AU"/>
              </w:rPr>
              <w:t xml:space="preserve">326,938 </w:t>
            </w:r>
          </w:p>
        </w:tc>
        <w:tc>
          <w:tcPr>
            <w:tcW w:w="1247" w:type="dxa"/>
            <w:tcBorders>
              <w:top w:val="nil"/>
              <w:left w:val="nil"/>
              <w:bottom w:val="single" w:sz="4" w:space="0" w:color="auto"/>
              <w:right w:val="single" w:sz="4" w:space="0" w:color="auto"/>
            </w:tcBorders>
            <w:shd w:val="clear" w:color="000000" w:fill="C9E3B4"/>
            <w:noWrap/>
            <w:vAlign w:val="center"/>
            <w:hideMark/>
          </w:tcPr>
          <w:p w14:paraId="21404A6E" w14:textId="77777777" w:rsidR="00BC5219" w:rsidRPr="009A4248" w:rsidRDefault="00BC5219" w:rsidP="00E83802">
            <w:pPr>
              <w:jc w:val="right"/>
              <w:rPr>
                <w:rFonts w:ascii="Meta Pro" w:eastAsia="Times New Roman" w:hAnsi="Meta Pro"/>
                <w:szCs w:val="18"/>
                <w:lang w:eastAsia="en-AU"/>
              </w:rPr>
            </w:pPr>
            <w:r w:rsidRPr="009A4248">
              <w:rPr>
                <w:rFonts w:ascii="Meta Pro" w:eastAsia="Times New Roman" w:hAnsi="Meta Pro"/>
                <w:szCs w:val="18"/>
                <w:lang w:eastAsia="en-AU"/>
              </w:rPr>
              <w:t xml:space="preserve">538,691 </w:t>
            </w:r>
          </w:p>
        </w:tc>
        <w:tc>
          <w:tcPr>
            <w:tcW w:w="1247" w:type="dxa"/>
            <w:tcBorders>
              <w:top w:val="nil"/>
              <w:left w:val="nil"/>
              <w:bottom w:val="single" w:sz="4" w:space="0" w:color="auto"/>
              <w:right w:val="single" w:sz="4" w:space="0" w:color="auto"/>
            </w:tcBorders>
            <w:shd w:val="clear" w:color="000000" w:fill="C6E0B4"/>
            <w:noWrap/>
            <w:vAlign w:val="center"/>
            <w:hideMark/>
          </w:tcPr>
          <w:p w14:paraId="3A742B83" w14:textId="77777777" w:rsidR="00BC5219" w:rsidRPr="009A4248" w:rsidRDefault="00BC5219" w:rsidP="00E83802">
            <w:pPr>
              <w:jc w:val="right"/>
              <w:rPr>
                <w:rFonts w:ascii="Meta Pro" w:eastAsia="Times New Roman" w:hAnsi="Meta Pro"/>
                <w:b/>
                <w:bCs/>
                <w:szCs w:val="18"/>
                <w:lang w:eastAsia="en-AU"/>
              </w:rPr>
            </w:pPr>
            <w:r w:rsidRPr="009A4248">
              <w:rPr>
                <w:rFonts w:ascii="Meta Pro" w:eastAsia="Times New Roman" w:hAnsi="Meta Pro"/>
                <w:b/>
                <w:bCs/>
                <w:szCs w:val="18"/>
                <w:lang w:eastAsia="en-AU"/>
              </w:rPr>
              <w:t>952,000</w:t>
            </w:r>
          </w:p>
        </w:tc>
      </w:tr>
      <w:tr w:rsidR="00BC5219" w:rsidRPr="009A4248" w14:paraId="3A885129" w14:textId="77777777" w:rsidTr="00E83802">
        <w:trPr>
          <w:trHeight w:val="240"/>
        </w:trPr>
        <w:tc>
          <w:tcPr>
            <w:tcW w:w="3402" w:type="dxa"/>
            <w:tcBorders>
              <w:top w:val="nil"/>
              <w:left w:val="single" w:sz="4" w:space="0" w:color="auto"/>
              <w:bottom w:val="nil"/>
              <w:right w:val="nil"/>
            </w:tcBorders>
            <w:shd w:val="clear" w:color="auto" w:fill="auto"/>
            <w:noWrap/>
            <w:vAlign w:val="center"/>
            <w:hideMark/>
          </w:tcPr>
          <w:p w14:paraId="061DDFC4" w14:textId="77777777" w:rsidR="00BC5219" w:rsidRPr="009A4248" w:rsidRDefault="00BC5219" w:rsidP="00E83802">
            <w:pPr>
              <w:rPr>
                <w:rFonts w:ascii="Meta Pro" w:eastAsia="Times New Roman" w:hAnsi="Meta Pro"/>
                <w:szCs w:val="18"/>
                <w:lang w:eastAsia="en-AU"/>
              </w:rPr>
            </w:pPr>
            <w:r w:rsidRPr="009A4248">
              <w:rPr>
                <w:rFonts w:ascii="Meta Pro" w:eastAsia="Times New Roman" w:hAnsi="Meta Pro"/>
                <w:szCs w:val="18"/>
                <w:lang w:eastAsia="en-AU"/>
              </w:rPr>
              <w:t>New Generation Rollingstock arrangement</w:t>
            </w:r>
          </w:p>
        </w:tc>
        <w:tc>
          <w:tcPr>
            <w:tcW w:w="1247" w:type="dxa"/>
            <w:tcBorders>
              <w:top w:val="nil"/>
              <w:left w:val="single" w:sz="4" w:space="0" w:color="auto"/>
              <w:bottom w:val="nil"/>
              <w:right w:val="single" w:sz="4" w:space="0" w:color="auto"/>
            </w:tcBorders>
            <w:shd w:val="clear" w:color="auto" w:fill="auto"/>
            <w:noWrap/>
            <w:vAlign w:val="center"/>
            <w:hideMark/>
          </w:tcPr>
          <w:p w14:paraId="431E195A" w14:textId="77777777" w:rsidR="00BC5219" w:rsidRPr="009A4248" w:rsidRDefault="00BC5219" w:rsidP="00E83802">
            <w:pPr>
              <w:jc w:val="center"/>
              <w:rPr>
                <w:rFonts w:ascii="Meta Pro" w:eastAsia="Times New Roman" w:hAnsi="Meta Pro"/>
                <w:szCs w:val="18"/>
                <w:lang w:eastAsia="en-AU"/>
              </w:rPr>
            </w:pPr>
            <w:r w:rsidRPr="009A4248">
              <w:rPr>
                <w:rFonts w:ascii="Meta Pro" w:eastAsia="Times New Roman" w:hAnsi="Meta Pro"/>
                <w:szCs w:val="18"/>
                <w:lang w:eastAsia="en-AU"/>
              </w:rPr>
              <w:t> </w:t>
            </w:r>
          </w:p>
        </w:tc>
        <w:tc>
          <w:tcPr>
            <w:tcW w:w="1247" w:type="dxa"/>
            <w:tcBorders>
              <w:top w:val="nil"/>
              <w:left w:val="nil"/>
              <w:bottom w:val="single" w:sz="4" w:space="0" w:color="auto"/>
              <w:right w:val="single" w:sz="4" w:space="0" w:color="auto"/>
            </w:tcBorders>
            <w:shd w:val="clear" w:color="000000" w:fill="C9E3B4"/>
            <w:noWrap/>
            <w:vAlign w:val="center"/>
            <w:hideMark/>
          </w:tcPr>
          <w:p w14:paraId="74BF5F8B" w14:textId="77777777" w:rsidR="00BC5219" w:rsidRPr="009A4248" w:rsidRDefault="00BC5219" w:rsidP="00E83802">
            <w:pPr>
              <w:jc w:val="right"/>
              <w:rPr>
                <w:rFonts w:ascii="Meta Pro" w:eastAsia="Times New Roman" w:hAnsi="Meta Pro"/>
                <w:szCs w:val="18"/>
                <w:lang w:eastAsia="en-AU"/>
              </w:rPr>
            </w:pPr>
            <w:r w:rsidRPr="009A4248">
              <w:rPr>
                <w:rFonts w:ascii="Meta Pro" w:eastAsia="Times New Roman" w:hAnsi="Meta Pro"/>
                <w:szCs w:val="18"/>
                <w:lang w:eastAsia="en-AU"/>
              </w:rPr>
              <w:t xml:space="preserve">69,888 </w:t>
            </w:r>
          </w:p>
        </w:tc>
        <w:tc>
          <w:tcPr>
            <w:tcW w:w="1247" w:type="dxa"/>
            <w:tcBorders>
              <w:top w:val="nil"/>
              <w:left w:val="nil"/>
              <w:bottom w:val="single" w:sz="4" w:space="0" w:color="auto"/>
              <w:right w:val="single" w:sz="4" w:space="0" w:color="auto"/>
            </w:tcBorders>
            <w:shd w:val="clear" w:color="000000" w:fill="C9E3B4"/>
            <w:noWrap/>
            <w:vAlign w:val="center"/>
            <w:hideMark/>
          </w:tcPr>
          <w:p w14:paraId="6CC14D22" w14:textId="77777777" w:rsidR="00BC5219" w:rsidRPr="009A4248" w:rsidRDefault="00BC5219" w:rsidP="00E83802">
            <w:pPr>
              <w:jc w:val="right"/>
              <w:rPr>
                <w:rFonts w:ascii="Meta Pro" w:eastAsia="Times New Roman" w:hAnsi="Meta Pro"/>
                <w:szCs w:val="18"/>
                <w:lang w:eastAsia="en-AU"/>
              </w:rPr>
            </w:pPr>
            <w:r w:rsidRPr="009A4248">
              <w:rPr>
                <w:rFonts w:ascii="Meta Pro" w:eastAsia="Times New Roman" w:hAnsi="Meta Pro"/>
                <w:szCs w:val="18"/>
                <w:lang w:eastAsia="en-AU"/>
              </w:rPr>
              <w:t xml:space="preserve">285,319 </w:t>
            </w:r>
          </w:p>
        </w:tc>
        <w:tc>
          <w:tcPr>
            <w:tcW w:w="1247" w:type="dxa"/>
            <w:tcBorders>
              <w:top w:val="nil"/>
              <w:left w:val="nil"/>
              <w:bottom w:val="single" w:sz="4" w:space="0" w:color="auto"/>
              <w:right w:val="single" w:sz="4" w:space="0" w:color="auto"/>
            </w:tcBorders>
            <w:shd w:val="clear" w:color="000000" w:fill="C9E3B4"/>
            <w:noWrap/>
            <w:vAlign w:val="center"/>
            <w:hideMark/>
          </w:tcPr>
          <w:p w14:paraId="4EB8F215" w14:textId="77777777" w:rsidR="00BC5219" w:rsidRPr="009A4248" w:rsidRDefault="00BC5219" w:rsidP="00E83802">
            <w:pPr>
              <w:jc w:val="right"/>
              <w:rPr>
                <w:rFonts w:ascii="Meta Pro" w:eastAsia="Times New Roman" w:hAnsi="Meta Pro"/>
                <w:szCs w:val="18"/>
                <w:lang w:eastAsia="en-AU"/>
              </w:rPr>
            </w:pPr>
            <w:r w:rsidRPr="009A4248">
              <w:rPr>
                <w:rFonts w:ascii="Meta Pro" w:eastAsia="Times New Roman" w:hAnsi="Meta Pro"/>
                <w:szCs w:val="18"/>
                <w:lang w:eastAsia="en-AU"/>
              </w:rPr>
              <w:t xml:space="preserve">1,277,892 </w:t>
            </w:r>
          </w:p>
        </w:tc>
        <w:tc>
          <w:tcPr>
            <w:tcW w:w="1247" w:type="dxa"/>
            <w:tcBorders>
              <w:top w:val="nil"/>
              <w:left w:val="nil"/>
              <w:bottom w:val="single" w:sz="4" w:space="0" w:color="auto"/>
              <w:right w:val="single" w:sz="4" w:space="0" w:color="auto"/>
            </w:tcBorders>
            <w:shd w:val="clear" w:color="000000" w:fill="C6E0B4"/>
            <w:noWrap/>
            <w:vAlign w:val="center"/>
            <w:hideMark/>
          </w:tcPr>
          <w:p w14:paraId="282BFCA7" w14:textId="77777777" w:rsidR="00BC5219" w:rsidRPr="009A4248" w:rsidRDefault="00BC5219" w:rsidP="00E83802">
            <w:pPr>
              <w:jc w:val="right"/>
              <w:rPr>
                <w:rFonts w:ascii="Meta Pro" w:eastAsia="Times New Roman" w:hAnsi="Meta Pro"/>
                <w:b/>
                <w:bCs/>
                <w:szCs w:val="18"/>
                <w:lang w:eastAsia="en-AU"/>
              </w:rPr>
            </w:pPr>
            <w:r w:rsidRPr="009A4248">
              <w:rPr>
                <w:rFonts w:ascii="Meta Pro" w:eastAsia="Times New Roman" w:hAnsi="Meta Pro"/>
                <w:b/>
                <w:bCs/>
                <w:szCs w:val="18"/>
                <w:lang w:eastAsia="en-AU"/>
              </w:rPr>
              <w:t>1,633,099</w:t>
            </w:r>
          </w:p>
        </w:tc>
      </w:tr>
      <w:tr w:rsidR="00BC5219" w:rsidRPr="009A4248" w14:paraId="4E43A523" w14:textId="77777777" w:rsidTr="00E83802">
        <w:trPr>
          <w:trHeight w:val="240"/>
        </w:trPr>
        <w:tc>
          <w:tcPr>
            <w:tcW w:w="3402" w:type="dxa"/>
            <w:tcBorders>
              <w:top w:val="nil"/>
              <w:left w:val="single" w:sz="4" w:space="0" w:color="auto"/>
              <w:bottom w:val="single" w:sz="4" w:space="0" w:color="auto"/>
              <w:right w:val="nil"/>
            </w:tcBorders>
            <w:shd w:val="clear" w:color="auto" w:fill="auto"/>
            <w:noWrap/>
            <w:vAlign w:val="center"/>
            <w:hideMark/>
          </w:tcPr>
          <w:p w14:paraId="1A9E581B" w14:textId="77777777" w:rsidR="00BC5219" w:rsidRPr="009A4248" w:rsidRDefault="00BC5219" w:rsidP="00E83802">
            <w:pPr>
              <w:rPr>
                <w:rFonts w:ascii="Meta Pro" w:eastAsia="Times New Roman" w:hAnsi="Meta Pro"/>
                <w:b/>
                <w:bCs/>
                <w:szCs w:val="18"/>
                <w:lang w:eastAsia="en-AU"/>
              </w:rPr>
            </w:pPr>
            <w:r w:rsidRPr="009A4248">
              <w:rPr>
                <w:rFonts w:ascii="Meta Pro" w:eastAsia="Times New Roman" w:hAnsi="Meta Pro"/>
                <w:b/>
                <w:bCs/>
                <w:szCs w:val="18"/>
                <w:lang w:eastAsia="en-AU"/>
              </w:rPr>
              <w:t>Total</w:t>
            </w:r>
          </w:p>
        </w:tc>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47A6BEDA" w14:textId="77777777" w:rsidR="00BC5219" w:rsidRPr="009A4248" w:rsidRDefault="00BC5219" w:rsidP="00E83802">
            <w:pPr>
              <w:jc w:val="center"/>
              <w:rPr>
                <w:rFonts w:ascii="Meta Pro" w:eastAsia="Times New Roman" w:hAnsi="Meta Pro"/>
                <w:szCs w:val="18"/>
                <w:lang w:eastAsia="en-AU"/>
              </w:rPr>
            </w:pPr>
            <w:r w:rsidRPr="009A4248">
              <w:rPr>
                <w:rFonts w:ascii="Meta Pro" w:eastAsia="Times New Roman" w:hAnsi="Meta Pro"/>
                <w:szCs w:val="18"/>
                <w:lang w:eastAsia="en-AU"/>
              </w:rPr>
              <w:t> </w:t>
            </w:r>
          </w:p>
        </w:tc>
        <w:tc>
          <w:tcPr>
            <w:tcW w:w="1247" w:type="dxa"/>
            <w:tcBorders>
              <w:top w:val="nil"/>
              <w:left w:val="nil"/>
              <w:bottom w:val="double" w:sz="6" w:space="0" w:color="auto"/>
              <w:right w:val="single" w:sz="4" w:space="0" w:color="auto"/>
            </w:tcBorders>
            <w:shd w:val="clear" w:color="000000" w:fill="C6E0B4"/>
            <w:noWrap/>
            <w:vAlign w:val="center"/>
            <w:hideMark/>
          </w:tcPr>
          <w:p w14:paraId="62F49021" w14:textId="77777777" w:rsidR="00BC5219" w:rsidRPr="009A4248" w:rsidRDefault="00BC5219" w:rsidP="00E83802">
            <w:pPr>
              <w:jc w:val="right"/>
              <w:rPr>
                <w:rFonts w:ascii="Meta Pro" w:eastAsia="Times New Roman" w:hAnsi="Meta Pro"/>
                <w:b/>
                <w:bCs/>
                <w:szCs w:val="18"/>
                <w:lang w:eastAsia="en-AU"/>
              </w:rPr>
            </w:pPr>
            <w:r w:rsidRPr="009A4248">
              <w:rPr>
                <w:rFonts w:ascii="Meta Pro" w:eastAsia="Times New Roman" w:hAnsi="Meta Pro"/>
                <w:b/>
                <w:bCs/>
                <w:szCs w:val="18"/>
                <w:lang w:eastAsia="en-AU"/>
              </w:rPr>
              <w:t>1,126,563</w:t>
            </w:r>
          </w:p>
        </w:tc>
        <w:tc>
          <w:tcPr>
            <w:tcW w:w="1247" w:type="dxa"/>
            <w:tcBorders>
              <w:top w:val="single" w:sz="4" w:space="0" w:color="auto"/>
              <w:left w:val="nil"/>
              <w:bottom w:val="double" w:sz="6" w:space="0" w:color="auto"/>
              <w:right w:val="single" w:sz="4" w:space="0" w:color="auto"/>
            </w:tcBorders>
            <w:shd w:val="clear" w:color="000000" w:fill="C6E0B4"/>
            <w:noWrap/>
            <w:vAlign w:val="center"/>
            <w:hideMark/>
          </w:tcPr>
          <w:p w14:paraId="5B4A2125" w14:textId="77777777" w:rsidR="00BC5219" w:rsidRPr="009A4248" w:rsidRDefault="00BC5219" w:rsidP="00E83802">
            <w:pPr>
              <w:jc w:val="right"/>
              <w:rPr>
                <w:rFonts w:ascii="Meta Pro" w:eastAsia="Times New Roman" w:hAnsi="Meta Pro"/>
                <w:b/>
                <w:bCs/>
                <w:szCs w:val="18"/>
                <w:lang w:eastAsia="en-AU"/>
              </w:rPr>
            </w:pPr>
            <w:r w:rsidRPr="009A4248">
              <w:rPr>
                <w:rFonts w:ascii="Meta Pro" w:eastAsia="Times New Roman" w:hAnsi="Meta Pro"/>
                <w:b/>
                <w:bCs/>
                <w:szCs w:val="18"/>
                <w:lang w:eastAsia="en-AU"/>
              </w:rPr>
              <w:t>696,231</w:t>
            </w:r>
          </w:p>
        </w:tc>
        <w:tc>
          <w:tcPr>
            <w:tcW w:w="1247" w:type="dxa"/>
            <w:tcBorders>
              <w:top w:val="single" w:sz="4" w:space="0" w:color="auto"/>
              <w:left w:val="nil"/>
              <w:bottom w:val="double" w:sz="6" w:space="0" w:color="auto"/>
              <w:right w:val="single" w:sz="4" w:space="0" w:color="auto"/>
            </w:tcBorders>
            <w:shd w:val="clear" w:color="000000" w:fill="C6E0B4"/>
            <w:noWrap/>
            <w:vAlign w:val="center"/>
            <w:hideMark/>
          </w:tcPr>
          <w:p w14:paraId="45E67C81" w14:textId="77777777" w:rsidR="00BC5219" w:rsidRPr="009A4248" w:rsidRDefault="00BC5219" w:rsidP="00E83802">
            <w:pPr>
              <w:jc w:val="right"/>
              <w:rPr>
                <w:rFonts w:ascii="Meta Pro" w:eastAsia="Times New Roman" w:hAnsi="Meta Pro"/>
                <w:b/>
                <w:bCs/>
                <w:szCs w:val="18"/>
                <w:lang w:eastAsia="en-AU"/>
              </w:rPr>
            </w:pPr>
            <w:r w:rsidRPr="009A4248">
              <w:rPr>
                <w:rFonts w:ascii="Meta Pro" w:eastAsia="Times New Roman" w:hAnsi="Meta Pro"/>
                <w:b/>
                <w:bCs/>
                <w:szCs w:val="18"/>
                <w:lang w:eastAsia="en-AU"/>
              </w:rPr>
              <w:t>1,825,331</w:t>
            </w:r>
          </w:p>
        </w:tc>
        <w:tc>
          <w:tcPr>
            <w:tcW w:w="1247" w:type="dxa"/>
            <w:tcBorders>
              <w:top w:val="nil"/>
              <w:left w:val="single" w:sz="4" w:space="0" w:color="auto"/>
              <w:bottom w:val="double" w:sz="6" w:space="0" w:color="auto"/>
              <w:right w:val="single" w:sz="4" w:space="0" w:color="auto"/>
            </w:tcBorders>
            <w:shd w:val="clear" w:color="000000" w:fill="C6E0B4"/>
            <w:noWrap/>
            <w:vAlign w:val="center"/>
            <w:hideMark/>
          </w:tcPr>
          <w:p w14:paraId="36434891" w14:textId="77777777" w:rsidR="00BC5219" w:rsidRPr="009A4248" w:rsidRDefault="00BC5219" w:rsidP="00E83802">
            <w:pPr>
              <w:jc w:val="right"/>
              <w:rPr>
                <w:rFonts w:ascii="Meta Pro" w:eastAsia="Times New Roman" w:hAnsi="Meta Pro"/>
                <w:b/>
                <w:bCs/>
                <w:szCs w:val="18"/>
                <w:lang w:eastAsia="en-AU"/>
              </w:rPr>
            </w:pPr>
            <w:r w:rsidRPr="009A4248">
              <w:rPr>
                <w:rFonts w:ascii="Meta Pro" w:eastAsia="Times New Roman" w:hAnsi="Meta Pro"/>
                <w:b/>
                <w:bCs/>
                <w:szCs w:val="18"/>
                <w:lang w:eastAsia="en-AU"/>
              </w:rPr>
              <w:t>3,648,125</w:t>
            </w:r>
          </w:p>
        </w:tc>
      </w:tr>
      <w:tr w:rsidR="00BC5219" w:rsidRPr="009A4248" w14:paraId="64F3D756" w14:textId="77777777" w:rsidTr="00E83802">
        <w:trPr>
          <w:trHeight w:val="240"/>
        </w:trPr>
        <w:tc>
          <w:tcPr>
            <w:tcW w:w="3402" w:type="dxa"/>
            <w:tcBorders>
              <w:top w:val="nil"/>
              <w:left w:val="single" w:sz="4" w:space="0" w:color="auto"/>
              <w:bottom w:val="nil"/>
              <w:right w:val="nil"/>
            </w:tcBorders>
            <w:shd w:val="clear" w:color="auto" w:fill="auto"/>
            <w:noWrap/>
            <w:vAlign w:val="center"/>
            <w:hideMark/>
          </w:tcPr>
          <w:p w14:paraId="14230DFA" w14:textId="77777777" w:rsidR="00BC5219" w:rsidRPr="009A4248" w:rsidRDefault="00BC5219" w:rsidP="00E83802">
            <w:pPr>
              <w:rPr>
                <w:rFonts w:ascii="Meta Pro" w:eastAsia="Times New Roman" w:hAnsi="Meta Pro"/>
                <w:b/>
                <w:bCs/>
                <w:szCs w:val="18"/>
                <w:lang w:eastAsia="en-AU"/>
              </w:rPr>
            </w:pPr>
            <w:r w:rsidRPr="009A4248">
              <w:rPr>
                <w:rFonts w:ascii="Meta Pro" w:eastAsia="Times New Roman" w:hAnsi="Meta Pro"/>
                <w:b/>
                <w:bCs/>
                <w:szCs w:val="18"/>
                <w:lang w:eastAsia="en-AU"/>
              </w:rPr>
              <w:t>2022</w:t>
            </w:r>
          </w:p>
        </w:tc>
        <w:tc>
          <w:tcPr>
            <w:tcW w:w="1247" w:type="dxa"/>
            <w:tcBorders>
              <w:top w:val="nil"/>
              <w:left w:val="single" w:sz="4" w:space="0" w:color="auto"/>
              <w:bottom w:val="nil"/>
              <w:right w:val="single" w:sz="4" w:space="0" w:color="auto"/>
            </w:tcBorders>
            <w:shd w:val="clear" w:color="auto" w:fill="auto"/>
            <w:noWrap/>
            <w:vAlign w:val="center"/>
            <w:hideMark/>
          </w:tcPr>
          <w:p w14:paraId="1FDBF6A1" w14:textId="77777777" w:rsidR="00BC5219" w:rsidRPr="009A4248" w:rsidRDefault="00BC5219" w:rsidP="00E83802">
            <w:pPr>
              <w:jc w:val="center"/>
              <w:rPr>
                <w:rFonts w:ascii="Meta Pro" w:eastAsia="Times New Roman" w:hAnsi="Meta Pro"/>
                <w:szCs w:val="18"/>
                <w:lang w:eastAsia="en-AU"/>
              </w:rPr>
            </w:pPr>
            <w:r w:rsidRPr="009A4248">
              <w:rPr>
                <w:rFonts w:ascii="Meta Pro" w:eastAsia="Times New Roman" w:hAnsi="Meta Pro"/>
                <w:szCs w:val="18"/>
                <w:lang w:eastAsia="en-AU"/>
              </w:rPr>
              <w:t> </w:t>
            </w:r>
          </w:p>
        </w:tc>
        <w:tc>
          <w:tcPr>
            <w:tcW w:w="1247" w:type="dxa"/>
            <w:gridSpan w:val="4"/>
            <w:tcBorders>
              <w:top w:val="double" w:sz="6" w:space="0" w:color="auto"/>
              <w:left w:val="nil"/>
              <w:bottom w:val="single" w:sz="4" w:space="0" w:color="auto"/>
              <w:right w:val="single" w:sz="4" w:space="0" w:color="000000"/>
            </w:tcBorders>
            <w:shd w:val="clear" w:color="000000" w:fill="FFFFFF"/>
            <w:noWrap/>
            <w:vAlign w:val="center"/>
            <w:hideMark/>
          </w:tcPr>
          <w:p w14:paraId="54914AEA" w14:textId="77777777" w:rsidR="00BC5219" w:rsidRPr="009A4248" w:rsidRDefault="00BC5219" w:rsidP="00E83802">
            <w:pPr>
              <w:jc w:val="right"/>
              <w:rPr>
                <w:rFonts w:ascii="Meta Pro" w:eastAsia="Times New Roman" w:hAnsi="Meta Pro"/>
                <w:szCs w:val="18"/>
                <w:lang w:eastAsia="en-AU"/>
              </w:rPr>
            </w:pPr>
            <w:r w:rsidRPr="009A4248">
              <w:rPr>
                <w:rFonts w:ascii="Meta Pro" w:eastAsia="Times New Roman" w:hAnsi="Meta Pro"/>
                <w:szCs w:val="18"/>
                <w:lang w:eastAsia="en-AU"/>
              </w:rPr>
              <w:t> </w:t>
            </w:r>
          </w:p>
        </w:tc>
      </w:tr>
      <w:tr w:rsidR="00BC5219" w:rsidRPr="009A4248" w14:paraId="2226AB04" w14:textId="77777777" w:rsidTr="00E83802">
        <w:trPr>
          <w:trHeight w:val="240"/>
        </w:trPr>
        <w:tc>
          <w:tcPr>
            <w:tcW w:w="3402" w:type="dxa"/>
            <w:tcBorders>
              <w:top w:val="nil"/>
              <w:left w:val="single" w:sz="4" w:space="0" w:color="auto"/>
              <w:bottom w:val="nil"/>
              <w:right w:val="nil"/>
            </w:tcBorders>
            <w:shd w:val="clear" w:color="auto" w:fill="auto"/>
            <w:noWrap/>
            <w:vAlign w:val="center"/>
            <w:hideMark/>
          </w:tcPr>
          <w:p w14:paraId="7998E065" w14:textId="77777777" w:rsidR="00BC5219" w:rsidRPr="009A4248" w:rsidRDefault="00BC5219" w:rsidP="00E83802">
            <w:pPr>
              <w:rPr>
                <w:rFonts w:ascii="Meta Pro" w:eastAsia="Times New Roman" w:hAnsi="Meta Pro"/>
                <w:szCs w:val="18"/>
                <w:lang w:eastAsia="en-AU"/>
              </w:rPr>
            </w:pPr>
            <w:r w:rsidRPr="009A4248">
              <w:rPr>
                <w:rFonts w:ascii="Meta Pro" w:eastAsia="Times New Roman" w:hAnsi="Meta Pro"/>
                <w:szCs w:val="18"/>
                <w:lang w:eastAsia="en-AU"/>
              </w:rPr>
              <w:t xml:space="preserve">Payables </w:t>
            </w:r>
          </w:p>
        </w:tc>
        <w:tc>
          <w:tcPr>
            <w:tcW w:w="1247" w:type="dxa"/>
            <w:tcBorders>
              <w:top w:val="nil"/>
              <w:left w:val="single" w:sz="4" w:space="0" w:color="auto"/>
              <w:bottom w:val="nil"/>
              <w:right w:val="single" w:sz="4" w:space="0" w:color="auto"/>
            </w:tcBorders>
            <w:shd w:val="clear" w:color="auto" w:fill="auto"/>
            <w:noWrap/>
            <w:vAlign w:val="center"/>
            <w:hideMark/>
          </w:tcPr>
          <w:p w14:paraId="78E580F1" w14:textId="77777777" w:rsidR="00BC5219" w:rsidRPr="009A4248" w:rsidRDefault="00BC5219" w:rsidP="00E83802">
            <w:pPr>
              <w:jc w:val="center"/>
              <w:rPr>
                <w:rFonts w:ascii="Meta Pro" w:eastAsia="Times New Roman" w:hAnsi="Meta Pro"/>
                <w:szCs w:val="18"/>
                <w:lang w:eastAsia="en-AU"/>
              </w:rPr>
            </w:pPr>
            <w:r w:rsidRPr="009A4248">
              <w:rPr>
                <w:rFonts w:ascii="Meta Pro" w:eastAsia="Times New Roman" w:hAnsi="Meta Pro"/>
                <w:szCs w:val="18"/>
                <w:lang w:eastAsia="en-AU"/>
              </w:rPr>
              <w:t>18</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1790A04E" w14:textId="77777777" w:rsidR="00BC5219" w:rsidRPr="009A4248" w:rsidRDefault="00BC5219" w:rsidP="00E83802">
            <w:pPr>
              <w:jc w:val="right"/>
              <w:rPr>
                <w:rFonts w:ascii="Meta Pro" w:eastAsia="Times New Roman" w:hAnsi="Meta Pro"/>
                <w:szCs w:val="18"/>
                <w:lang w:eastAsia="en-AU"/>
              </w:rPr>
            </w:pPr>
            <w:r w:rsidRPr="009A4248">
              <w:rPr>
                <w:rFonts w:ascii="Meta Pro" w:eastAsia="Times New Roman" w:hAnsi="Meta Pro"/>
                <w:szCs w:val="18"/>
                <w:lang w:eastAsia="en-AU"/>
              </w:rPr>
              <w:t>683,237</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22628277" w14:textId="77777777" w:rsidR="00BC5219" w:rsidRPr="009A4248" w:rsidRDefault="00BC5219" w:rsidP="00E83802">
            <w:pPr>
              <w:jc w:val="right"/>
              <w:rPr>
                <w:rFonts w:ascii="Meta Pro" w:eastAsia="Times New Roman" w:hAnsi="Meta Pro"/>
                <w:szCs w:val="18"/>
                <w:lang w:eastAsia="en-AU"/>
              </w:rPr>
            </w:pPr>
            <w:r w:rsidRPr="009A4248">
              <w:rPr>
                <w:rFonts w:ascii="Meta Pro" w:eastAsia="Times New Roman" w:hAnsi="Meta Pro"/>
                <w:szCs w:val="18"/>
                <w:lang w:eastAsia="en-AU"/>
              </w:rPr>
              <w:t xml:space="preserve">- </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3833D690" w14:textId="77777777" w:rsidR="00BC5219" w:rsidRPr="009A4248" w:rsidRDefault="00BC5219" w:rsidP="00E83802">
            <w:pPr>
              <w:jc w:val="right"/>
              <w:rPr>
                <w:rFonts w:ascii="Meta Pro" w:eastAsia="Times New Roman" w:hAnsi="Meta Pro"/>
                <w:szCs w:val="18"/>
                <w:lang w:eastAsia="en-AU"/>
              </w:rPr>
            </w:pPr>
            <w:r w:rsidRPr="009A4248">
              <w:rPr>
                <w:rFonts w:ascii="Meta Pro" w:eastAsia="Times New Roman" w:hAnsi="Meta Pro"/>
                <w:szCs w:val="18"/>
                <w:lang w:eastAsia="en-AU"/>
              </w:rPr>
              <w:t xml:space="preserve">- </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37BB2928" w14:textId="77777777" w:rsidR="00BC5219" w:rsidRPr="009A4248" w:rsidRDefault="00BC5219" w:rsidP="00E83802">
            <w:pPr>
              <w:jc w:val="right"/>
              <w:rPr>
                <w:rFonts w:ascii="Meta Pro" w:eastAsia="Times New Roman" w:hAnsi="Meta Pro"/>
                <w:szCs w:val="18"/>
                <w:lang w:eastAsia="en-AU"/>
              </w:rPr>
            </w:pPr>
            <w:r w:rsidRPr="009A4248">
              <w:rPr>
                <w:rFonts w:ascii="Meta Pro" w:eastAsia="Times New Roman" w:hAnsi="Meta Pro"/>
                <w:szCs w:val="18"/>
                <w:lang w:eastAsia="en-AU"/>
              </w:rPr>
              <w:t>683,237</w:t>
            </w:r>
          </w:p>
        </w:tc>
      </w:tr>
      <w:tr w:rsidR="00BC5219" w:rsidRPr="009A4248" w14:paraId="2C0D890A" w14:textId="77777777" w:rsidTr="00E83802">
        <w:trPr>
          <w:trHeight w:val="240"/>
        </w:trPr>
        <w:tc>
          <w:tcPr>
            <w:tcW w:w="3402" w:type="dxa"/>
            <w:tcBorders>
              <w:top w:val="nil"/>
              <w:left w:val="single" w:sz="4" w:space="0" w:color="auto"/>
              <w:bottom w:val="nil"/>
              <w:right w:val="nil"/>
            </w:tcBorders>
            <w:shd w:val="clear" w:color="auto" w:fill="auto"/>
            <w:noWrap/>
            <w:vAlign w:val="center"/>
            <w:hideMark/>
          </w:tcPr>
          <w:p w14:paraId="407B76DE" w14:textId="77777777" w:rsidR="00BC5219" w:rsidRPr="009A4248" w:rsidRDefault="00BC5219" w:rsidP="00E83802">
            <w:pPr>
              <w:rPr>
                <w:rFonts w:ascii="Meta Pro" w:eastAsia="Times New Roman" w:hAnsi="Meta Pro"/>
                <w:szCs w:val="18"/>
                <w:lang w:eastAsia="en-AU"/>
              </w:rPr>
            </w:pPr>
            <w:r w:rsidRPr="009A4248">
              <w:rPr>
                <w:rFonts w:ascii="Meta Pro" w:eastAsia="Times New Roman" w:hAnsi="Meta Pro"/>
                <w:szCs w:val="18"/>
                <w:lang w:eastAsia="en-AU"/>
              </w:rPr>
              <w:t>Lease liabilities</w:t>
            </w:r>
          </w:p>
        </w:tc>
        <w:tc>
          <w:tcPr>
            <w:tcW w:w="1247" w:type="dxa"/>
            <w:tcBorders>
              <w:top w:val="nil"/>
              <w:left w:val="single" w:sz="4" w:space="0" w:color="auto"/>
              <w:bottom w:val="nil"/>
              <w:right w:val="nil"/>
            </w:tcBorders>
            <w:shd w:val="clear" w:color="auto" w:fill="auto"/>
            <w:noWrap/>
            <w:vAlign w:val="center"/>
            <w:hideMark/>
          </w:tcPr>
          <w:p w14:paraId="5B8C0840" w14:textId="77777777" w:rsidR="00BC5219" w:rsidRPr="009A4248" w:rsidRDefault="00BC5219" w:rsidP="00E83802">
            <w:pPr>
              <w:jc w:val="center"/>
              <w:rPr>
                <w:rFonts w:ascii="Meta Pro" w:eastAsia="Times New Roman" w:hAnsi="Meta Pro"/>
                <w:szCs w:val="18"/>
                <w:lang w:eastAsia="en-AU"/>
              </w:rPr>
            </w:pPr>
            <w:r w:rsidRPr="009A4248">
              <w:rPr>
                <w:rFonts w:ascii="Meta Pro" w:eastAsia="Times New Roman" w:hAnsi="Meta Pro"/>
                <w:szCs w:val="18"/>
                <w:lang w:eastAsia="en-AU"/>
              </w:rPr>
              <w:t> </w:t>
            </w:r>
          </w:p>
        </w:tc>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62564C8" w14:textId="77777777" w:rsidR="00BC5219" w:rsidRPr="009A4248" w:rsidRDefault="00BC5219" w:rsidP="00E83802">
            <w:pPr>
              <w:jc w:val="right"/>
              <w:rPr>
                <w:rFonts w:ascii="Meta Pro" w:eastAsia="Times New Roman" w:hAnsi="Meta Pro"/>
                <w:szCs w:val="18"/>
                <w:lang w:eastAsia="en-AU"/>
              </w:rPr>
            </w:pPr>
            <w:r w:rsidRPr="009A4248">
              <w:rPr>
                <w:rFonts w:ascii="Meta Pro" w:eastAsia="Times New Roman" w:hAnsi="Meta Pro"/>
                <w:szCs w:val="18"/>
                <w:lang w:eastAsia="en-AU"/>
              </w:rPr>
              <w:t>185</w:t>
            </w:r>
          </w:p>
        </w:tc>
        <w:tc>
          <w:tcPr>
            <w:tcW w:w="1247" w:type="dxa"/>
            <w:tcBorders>
              <w:top w:val="nil"/>
              <w:left w:val="nil"/>
              <w:bottom w:val="single" w:sz="4" w:space="0" w:color="auto"/>
              <w:right w:val="single" w:sz="4" w:space="0" w:color="auto"/>
            </w:tcBorders>
            <w:shd w:val="clear" w:color="auto" w:fill="auto"/>
            <w:noWrap/>
            <w:vAlign w:val="center"/>
            <w:hideMark/>
          </w:tcPr>
          <w:p w14:paraId="039804DB" w14:textId="77777777" w:rsidR="00BC5219" w:rsidRPr="009A4248" w:rsidRDefault="00BC5219" w:rsidP="00E83802">
            <w:pPr>
              <w:jc w:val="right"/>
              <w:rPr>
                <w:rFonts w:ascii="Meta Pro" w:eastAsia="Times New Roman" w:hAnsi="Meta Pro"/>
                <w:szCs w:val="18"/>
                <w:lang w:eastAsia="en-AU"/>
              </w:rPr>
            </w:pPr>
            <w:r w:rsidRPr="009A4248">
              <w:rPr>
                <w:rFonts w:ascii="Meta Pro" w:eastAsia="Times New Roman" w:hAnsi="Meta Pro"/>
                <w:szCs w:val="18"/>
                <w:lang w:eastAsia="en-AU"/>
              </w:rPr>
              <w:t>924</w:t>
            </w:r>
          </w:p>
        </w:tc>
        <w:tc>
          <w:tcPr>
            <w:tcW w:w="1247" w:type="dxa"/>
            <w:tcBorders>
              <w:top w:val="nil"/>
              <w:left w:val="nil"/>
              <w:bottom w:val="single" w:sz="4" w:space="0" w:color="auto"/>
              <w:right w:val="single" w:sz="4" w:space="0" w:color="auto"/>
            </w:tcBorders>
            <w:shd w:val="clear" w:color="auto" w:fill="auto"/>
            <w:noWrap/>
            <w:vAlign w:val="center"/>
            <w:hideMark/>
          </w:tcPr>
          <w:p w14:paraId="79FF01DF" w14:textId="77777777" w:rsidR="00BC5219" w:rsidRPr="009A4248" w:rsidRDefault="00BC5219" w:rsidP="00E83802">
            <w:pPr>
              <w:jc w:val="right"/>
              <w:rPr>
                <w:rFonts w:ascii="Meta Pro" w:eastAsia="Times New Roman" w:hAnsi="Meta Pro"/>
                <w:szCs w:val="18"/>
                <w:lang w:eastAsia="en-AU"/>
              </w:rPr>
            </w:pPr>
            <w:r w:rsidRPr="009A4248">
              <w:rPr>
                <w:rFonts w:ascii="Meta Pro" w:eastAsia="Times New Roman" w:hAnsi="Meta Pro"/>
                <w:szCs w:val="18"/>
                <w:lang w:eastAsia="en-AU"/>
              </w:rPr>
              <w:t>3,492</w:t>
            </w:r>
          </w:p>
        </w:tc>
        <w:tc>
          <w:tcPr>
            <w:tcW w:w="1247" w:type="dxa"/>
            <w:tcBorders>
              <w:top w:val="nil"/>
              <w:left w:val="nil"/>
              <w:bottom w:val="single" w:sz="4" w:space="0" w:color="auto"/>
              <w:right w:val="single" w:sz="4" w:space="0" w:color="auto"/>
            </w:tcBorders>
            <w:shd w:val="clear" w:color="auto" w:fill="auto"/>
            <w:noWrap/>
            <w:vAlign w:val="center"/>
            <w:hideMark/>
          </w:tcPr>
          <w:p w14:paraId="46F7D0AE" w14:textId="77777777" w:rsidR="00BC5219" w:rsidRPr="009A4248" w:rsidRDefault="00BC5219" w:rsidP="00E83802">
            <w:pPr>
              <w:jc w:val="right"/>
              <w:rPr>
                <w:rFonts w:ascii="Meta Pro" w:eastAsia="Times New Roman" w:hAnsi="Meta Pro"/>
                <w:szCs w:val="18"/>
                <w:lang w:eastAsia="en-AU"/>
              </w:rPr>
            </w:pPr>
            <w:r w:rsidRPr="009A4248">
              <w:rPr>
                <w:rFonts w:ascii="Meta Pro" w:eastAsia="Times New Roman" w:hAnsi="Meta Pro"/>
                <w:szCs w:val="18"/>
                <w:lang w:eastAsia="en-AU"/>
              </w:rPr>
              <w:t>4,601</w:t>
            </w:r>
          </w:p>
        </w:tc>
      </w:tr>
      <w:tr w:rsidR="00BC5219" w:rsidRPr="009A4248" w14:paraId="1434F010" w14:textId="77777777" w:rsidTr="00E83802">
        <w:trPr>
          <w:trHeight w:val="240"/>
        </w:trPr>
        <w:tc>
          <w:tcPr>
            <w:tcW w:w="3402" w:type="dxa"/>
            <w:tcBorders>
              <w:top w:val="nil"/>
              <w:left w:val="single" w:sz="4" w:space="0" w:color="auto"/>
              <w:bottom w:val="nil"/>
              <w:right w:val="nil"/>
            </w:tcBorders>
            <w:shd w:val="clear" w:color="auto" w:fill="auto"/>
            <w:noWrap/>
            <w:vAlign w:val="center"/>
            <w:hideMark/>
          </w:tcPr>
          <w:p w14:paraId="1E4F18B4" w14:textId="77777777" w:rsidR="00BC5219" w:rsidRPr="009A4248" w:rsidRDefault="00BC5219" w:rsidP="00E83802">
            <w:pPr>
              <w:rPr>
                <w:rFonts w:ascii="Meta Pro" w:eastAsia="Times New Roman" w:hAnsi="Meta Pro"/>
                <w:szCs w:val="18"/>
                <w:lang w:eastAsia="en-AU"/>
              </w:rPr>
            </w:pPr>
            <w:r w:rsidRPr="009A4248">
              <w:rPr>
                <w:rFonts w:ascii="Meta Pro" w:eastAsia="Times New Roman" w:hAnsi="Meta Pro"/>
                <w:szCs w:val="18"/>
                <w:lang w:eastAsia="en-AU"/>
              </w:rPr>
              <w:lastRenderedPageBreak/>
              <w:t>Service concession arrangements</w:t>
            </w:r>
          </w:p>
        </w:tc>
        <w:tc>
          <w:tcPr>
            <w:tcW w:w="1247" w:type="dxa"/>
            <w:tcBorders>
              <w:top w:val="nil"/>
              <w:left w:val="single" w:sz="4" w:space="0" w:color="auto"/>
              <w:bottom w:val="nil"/>
              <w:right w:val="single" w:sz="4" w:space="0" w:color="auto"/>
            </w:tcBorders>
            <w:shd w:val="clear" w:color="auto" w:fill="auto"/>
            <w:noWrap/>
            <w:vAlign w:val="center"/>
            <w:hideMark/>
          </w:tcPr>
          <w:p w14:paraId="5B738396" w14:textId="77777777" w:rsidR="00BC5219" w:rsidRPr="009A4248" w:rsidRDefault="00BC5219" w:rsidP="00E83802">
            <w:pPr>
              <w:jc w:val="center"/>
              <w:rPr>
                <w:rFonts w:ascii="Meta Pro" w:eastAsia="Times New Roman" w:hAnsi="Meta Pro"/>
                <w:szCs w:val="18"/>
                <w:lang w:eastAsia="en-AU"/>
              </w:rPr>
            </w:pPr>
            <w:r w:rsidRPr="009A4248">
              <w:rPr>
                <w:rFonts w:ascii="Meta Pro" w:eastAsia="Times New Roman" w:hAnsi="Meta Pro"/>
                <w:szCs w:val="18"/>
                <w:lang w:eastAsia="en-AU"/>
              </w:rPr>
              <w:t> </w:t>
            </w:r>
          </w:p>
        </w:tc>
        <w:tc>
          <w:tcPr>
            <w:tcW w:w="1247" w:type="dxa"/>
            <w:tcBorders>
              <w:top w:val="nil"/>
              <w:left w:val="nil"/>
              <w:bottom w:val="single" w:sz="4" w:space="0" w:color="auto"/>
              <w:right w:val="single" w:sz="4" w:space="0" w:color="auto"/>
            </w:tcBorders>
            <w:shd w:val="clear" w:color="auto" w:fill="auto"/>
            <w:noWrap/>
            <w:vAlign w:val="center"/>
            <w:hideMark/>
          </w:tcPr>
          <w:p w14:paraId="798BF54B" w14:textId="77777777" w:rsidR="00BC5219" w:rsidRPr="009A4248" w:rsidRDefault="00BC5219" w:rsidP="00E83802">
            <w:pPr>
              <w:jc w:val="right"/>
              <w:rPr>
                <w:rFonts w:ascii="Meta Pro" w:eastAsia="Times New Roman" w:hAnsi="Meta Pro"/>
                <w:szCs w:val="18"/>
                <w:lang w:eastAsia="en-AU"/>
              </w:rPr>
            </w:pPr>
            <w:r w:rsidRPr="009A4248">
              <w:rPr>
                <w:rFonts w:ascii="Meta Pro" w:eastAsia="Times New Roman" w:hAnsi="Meta Pro"/>
                <w:szCs w:val="18"/>
                <w:lang w:eastAsia="en-AU"/>
              </w:rPr>
              <w:t>155,483</w:t>
            </w:r>
          </w:p>
        </w:tc>
        <w:tc>
          <w:tcPr>
            <w:tcW w:w="1247" w:type="dxa"/>
            <w:tcBorders>
              <w:top w:val="nil"/>
              <w:left w:val="nil"/>
              <w:bottom w:val="single" w:sz="4" w:space="0" w:color="auto"/>
              <w:right w:val="single" w:sz="4" w:space="0" w:color="auto"/>
            </w:tcBorders>
            <w:shd w:val="clear" w:color="auto" w:fill="auto"/>
            <w:noWrap/>
            <w:vAlign w:val="center"/>
            <w:hideMark/>
          </w:tcPr>
          <w:p w14:paraId="094E3C5B" w14:textId="77777777" w:rsidR="00BC5219" w:rsidRPr="009A4248" w:rsidRDefault="00BC5219" w:rsidP="00E83802">
            <w:pPr>
              <w:jc w:val="right"/>
              <w:rPr>
                <w:rFonts w:ascii="Meta Pro" w:eastAsia="Times New Roman" w:hAnsi="Meta Pro"/>
                <w:szCs w:val="18"/>
                <w:lang w:eastAsia="en-AU"/>
              </w:rPr>
            </w:pPr>
            <w:r w:rsidRPr="009A4248">
              <w:rPr>
                <w:rFonts w:ascii="Meta Pro" w:eastAsia="Times New Roman" w:hAnsi="Meta Pro"/>
                <w:szCs w:val="18"/>
                <w:lang w:eastAsia="en-AU"/>
              </w:rPr>
              <w:t>324,932</w:t>
            </w:r>
          </w:p>
        </w:tc>
        <w:tc>
          <w:tcPr>
            <w:tcW w:w="1247" w:type="dxa"/>
            <w:tcBorders>
              <w:top w:val="nil"/>
              <w:left w:val="nil"/>
              <w:bottom w:val="single" w:sz="4" w:space="0" w:color="auto"/>
              <w:right w:val="single" w:sz="4" w:space="0" w:color="auto"/>
            </w:tcBorders>
            <w:shd w:val="clear" w:color="auto" w:fill="auto"/>
            <w:noWrap/>
            <w:vAlign w:val="center"/>
            <w:hideMark/>
          </w:tcPr>
          <w:p w14:paraId="196E1726" w14:textId="77777777" w:rsidR="00BC5219" w:rsidRPr="009A4248" w:rsidRDefault="00BC5219" w:rsidP="00E83802">
            <w:pPr>
              <w:jc w:val="right"/>
              <w:rPr>
                <w:rFonts w:ascii="Meta Pro" w:eastAsia="Times New Roman" w:hAnsi="Meta Pro"/>
                <w:szCs w:val="18"/>
                <w:lang w:eastAsia="en-AU"/>
              </w:rPr>
            </w:pPr>
            <w:r w:rsidRPr="009A4248">
              <w:rPr>
                <w:rFonts w:ascii="Meta Pro" w:eastAsia="Times New Roman" w:hAnsi="Meta Pro"/>
                <w:szCs w:val="18"/>
                <w:lang w:eastAsia="en-AU"/>
              </w:rPr>
              <w:t>621,218</w:t>
            </w:r>
          </w:p>
        </w:tc>
        <w:tc>
          <w:tcPr>
            <w:tcW w:w="1247" w:type="dxa"/>
            <w:tcBorders>
              <w:top w:val="nil"/>
              <w:left w:val="nil"/>
              <w:bottom w:val="single" w:sz="4" w:space="0" w:color="auto"/>
              <w:right w:val="single" w:sz="4" w:space="0" w:color="auto"/>
            </w:tcBorders>
            <w:shd w:val="clear" w:color="auto" w:fill="auto"/>
            <w:noWrap/>
            <w:vAlign w:val="center"/>
            <w:hideMark/>
          </w:tcPr>
          <w:p w14:paraId="2F7AC71A" w14:textId="77777777" w:rsidR="00BC5219" w:rsidRPr="009A4248" w:rsidRDefault="00BC5219" w:rsidP="00E83802">
            <w:pPr>
              <w:jc w:val="right"/>
              <w:rPr>
                <w:rFonts w:ascii="Meta Pro" w:eastAsia="Times New Roman" w:hAnsi="Meta Pro"/>
                <w:szCs w:val="18"/>
                <w:lang w:eastAsia="en-AU"/>
              </w:rPr>
            </w:pPr>
            <w:r w:rsidRPr="009A4248">
              <w:rPr>
                <w:rFonts w:ascii="Meta Pro" w:eastAsia="Times New Roman" w:hAnsi="Meta Pro"/>
                <w:szCs w:val="18"/>
                <w:lang w:eastAsia="en-AU"/>
              </w:rPr>
              <w:t>1,101,633</w:t>
            </w:r>
          </w:p>
        </w:tc>
      </w:tr>
      <w:tr w:rsidR="00BC5219" w:rsidRPr="009A4248" w14:paraId="16882150" w14:textId="77777777" w:rsidTr="00E83802">
        <w:trPr>
          <w:trHeight w:val="240"/>
        </w:trPr>
        <w:tc>
          <w:tcPr>
            <w:tcW w:w="3402" w:type="dxa"/>
            <w:tcBorders>
              <w:top w:val="nil"/>
              <w:left w:val="single" w:sz="4" w:space="0" w:color="auto"/>
              <w:bottom w:val="nil"/>
              <w:right w:val="nil"/>
            </w:tcBorders>
            <w:shd w:val="clear" w:color="auto" w:fill="auto"/>
            <w:noWrap/>
            <w:vAlign w:val="center"/>
            <w:hideMark/>
          </w:tcPr>
          <w:p w14:paraId="4DEA5174" w14:textId="77777777" w:rsidR="00BC5219" w:rsidRPr="009A4248" w:rsidRDefault="00BC5219" w:rsidP="00E83802">
            <w:pPr>
              <w:rPr>
                <w:rFonts w:ascii="Meta Pro" w:eastAsia="Times New Roman" w:hAnsi="Meta Pro"/>
                <w:szCs w:val="18"/>
                <w:lang w:eastAsia="en-AU"/>
              </w:rPr>
            </w:pPr>
            <w:r w:rsidRPr="009A4248">
              <w:rPr>
                <w:rFonts w:ascii="Meta Pro" w:eastAsia="Times New Roman" w:hAnsi="Meta Pro"/>
                <w:szCs w:val="18"/>
                <w:lang w:eastAsia="en-AU"/>
              </w:rPr>
              <w:t>New Generation Rollingstock arrangement</w:t>
            </w:r>
          </w:p>
        </w:tc>
        <w:tc>
          <w:tcPr>
            <w:tcW w:w="1247" w:type="dxa"/>
            <w:tcBorders>
              <w:top w:val="nil"/>
              <w:left w:val="single" w:sz="4" w:space="0" w:color="auto"/>
              <w:bottom w:val="nil"/>
              <w:right w:val="single" w:sz="4" w:space="0" w:color="auto"/>
            </w:tcBorders>
            <w:shd w:val="clear" w:color="auto" w:fill="auto"/>
            <w:noWrap/>
            <w:vAlign w:val="center"/>
            <w:hideMark/>
          </w:tcPr>
          <w:p w14:paraId="3143BF76" w14:textId="77777777" w:rsidR="00BC5219" w:rsidRPr="009A4248" w:rsidRDefault="00BC5219" w:rsidP="00E83802">
            <w:pPr>
              <w:jc w:val="center"/>
              <w:rPr>
                <w:rFonts w:ascii="Meta Pro" w:eastAsia="Times New Roman" w:hAnsi="Meta Pro"/>
                <w:szCs w:val="18"/>
                <w:lang w:eastAsia="en-AU"/>
              </w:rPr>
            </w:pPr>
            <w:r w:rsidRPr="009A4248">
              <w:rPr>
                <w:rFonts w:ascii="Meta Pro" w:eastAsia="Times New Roman" w:hAnsi="Meta Pro"/>
                <w:szCs w:val="18"/>
                <w:lang w:eastAsia="en-AU"/>
              </w:rPr>
              <w:t> </w:t>
            </w:r>
          </w:p>
        </w:tc>
        <w:tc>
          <w:tcPr>
            <w:tcW w:w="1247" w:type="dxa"/>
            <w:tcBorders>
              <w:top w:val="nil"/>
              <w:left w:val="nil"/>
              <w:bottom w:val="single" w:sz="4" w:space="0" w:color="auto"/>
              <w:right w:val="single" w:sz="4" w:space="0" w:color="auto"/>
            </w:tcBorders>
            <w:shd w:val="clear" w:color="auto" w:fill="auto"/>
            <w:noWrap/>
            <w:vAlign w:val="center"/>
            <w:hideMark/>
          </w:tcPr>
          <w:p w14:paraId="0F14D010" w14:textId="77777777" w:rsidR="00BC5219" w:rsidRPr="009A4248" w:rsidRDefault="00BC5219" w:rsidP="00E83802">
            <w:pPr>
              <w:jc w:val="right"/>
              <w:rPr>
                <w:rFonts w:ascii="Meta Pro" w:eastAsia="Times New Roman" w:hAnsi="Meta Pro"/>
                <w:szCs w:val="18"/>
                <w:lang w:eastAsia="en-AU"/>
              </w:rPr>
            </w:pPr>
            <w:r w:rsidRPr="009A4248">
              <w:rPr>
                <w:rFonts w:ascii="Meta Pro" w:eastAsia="Times New Roman" w:hAnsi="Meta Pro"/>
                <w:szCs w:val="18"/>
                <w:lang w:eastAsia="en-AU"/>
              </w:rPr>
              <w:t>35,870</w:t>
            </w:r>
          </w:p>
        </w:tc>
        <w:tc>
          <w:tcPr>
            <w:tcW w:w="1247" w:type="dxa"/>
            <w:tcBorders>
              <w:top w:val="nil"/>
              <w:left w:val="nil"/>
              <w:bottom w:val="single" w:sz="4" w:space="0" w:color="auto"/>
              <w:right w:val="single" w:sz="4" w:space="0" w:color="auto"/>
            </w:tcBorders>
            <w:shd w:val="clear" w:color="auto" w:fill="auto"/>
            <w:noWrap/>
            <w:vAlign w:val="center"/>
            <w:hideMark/>
          </w:tcPr>
          <w:p w14:paraId="2C7EA026" w14:textId="77777777" w:rsidR="00BC5219" w:rsidRPr="009A4248" w:rsidRDefault="00BC5219" w:rsidP="00E83802">
            <w:pPr>
              <w:jc w:val="right"/>
              <w:rPr>
                <w:rFonts w:ascii="Meta Pro" w:eastAsia="Times New Roman" w:hAnsi="Meta Pro"/>
                <w:szCs w:val="18"/>
                <w:lang w:eastAsia="en-AU"/>
              </w:rPr>
            </w:pPr>
            <w:r w:rsidRPr="009A4248">
              <w:rPr>
                <w:rFonts w:ascii="Meta Pro" w:eastAsia="Times New Roman" w:hAnsi="Meta Pro"/>
                <w:szCs w:val="18"/>
                <w:lang w:eastAsia="en-AU"/>
              </w:rPr>
              <w:t>181,619</w:t>
            </w:r>
          </w:p>
        </w:tc>
        <w:tc>
          <w:tcPr>
            <w:tcW w:w="1247" w:type="dxa"/>
            <w:tcBorders>
              <w:top w:val="nil"/>
              <w:left w:val="nil"/>
              <w:bottom w:val="single" w:sz="4" w:space="0" w:color="auto"/>
              <w:right w:val="single" w:sz="4" w:space="0" w:color="auto"/>
            </w:tcBorders>
            <w:shd w:val="clear" w:color="auto" w:fill="auto"/>
            <w:noWrap/>
            <w:vAlign w:val="center"/>
            <w:hideMark/>
          </w:tcPr>
          <w:p w14:paraId="10D29D56" w14:textId="77777777" w:rsidR="00BC5219" w:rsidRPr="009A4248" w:rsidRDefault="00BC5219" w:rsidP="00E83802">
            <w:pPr>
              <w:jc w:val="right"/>
              <w:rPr>
                <w:rFonts w:ascii="Meta Pro" w:eastAsia="Times New Roman" w:hAnsi="Meta Pro"/>
                <w:szCs w:val="18"/>
                <w:lang w:eastAsia="en-AU"/>
              </w:rPr>
            </w:pPr>
            <w:r w:rsidRPr="009A4248">
              <w:rPr>
                <w:rFonts w:ascii="Meta Pro" w:eastAsia="Times New Roman" w:hAnsi="Meta Pro"/>
                <w:szCs w:val="18"/>
                <w:lang w:eastAsia="en-AU"/>
              </w:rPr>
              <w:t>1,346,314</w:t>
            </w:r>
          </w:p>
        </w:tc>
        <w:tc>
          <w:tcPr>
            <w:tcW w:w="1247" w:type="dxa"/>
            <w:tcBorders>
              <w:top w:val="nil"/>
              <w:left w:val="nil"/>
              <w:bottom w:val="single" w:sz="4" w:space="0" w:color="auto"/>
              <w:right w:val="single" w:sz="4" w:space="0" w:color="auto"/>
            </w:tcBorders>
            <w:shd w:val="clear" w:color="auto" w:fill="auto"/>
            <w:noWrap/>
            <w:vAlign w:val="center"/>
            <w:hideMark/>
          </w:tcPr>
          <w:p w14:paraId="7AEAA350" w14:textId="77777777" w:rsidR="00BC5219" w:rsidRPr="009A4248" w:rsidRDefault="00BC5219" w:rsidP="00E83802">
            <w:pPr>
              <w:jc w:val="right"/>
              <w:rPr>
                <w:rFonts w:ascii="Meta Pro" w:eastAsia="Times New Roman" w:hAnsi="Meta Pro"/>
                <w:szCs w:val="18"/>
                <w:lang w:eastAsia="en-AU"/>
              </w:rPr>
            </w:pPr>
            <w:r w:rsidRPr="009A4248">
              <w:rPr>
                <w:rFonts w:ascii="Meta Pro" w:eastAsia="Times New Roman" w:hAnsi="Meta Pro"/>
                <w:szCs w:val="18"/>
                <w:lang w:eastAsia="en-AU"/>
              </w:rPr>
              <w:t>1,563,803</w:t>
            </w:r>
          </w:p>
        </w:tc>
      </w:tr>
      <w:tr w:rsidR="00BC5219" w:rsidRPr="009A4248" w14:paraId="19770CB1" w14:textId="77777777" w:rsidTr="00E83802">
        <w:trPr>
          <w:trHeight w:val="240"/>
        </w:trPr>
        <w:tc>
          <w:tcPr>
            <w:tcW w:w="3402" w:type="dxa"/>
            <w:tcBorders>
              <w:top w:val="nil"/>
              <w:left w:val="single" w:sz="4" w:space="0" w:color="auto"/>
              <w:bottom w:val="single" w:sz="4" w:space="0" w:color="auto"/>
              <w:right w:val="nil"/>
            </w:tcBorders>
            <w:shd w:val="clear" w:color="auto" w:fill="auto"/>
            <w:noWrap/>
            <w:vAlign w:val="center"/>
            <w:hideMark/>
          </w:tcPr>
          <w:p w14:paraId="7F72A73E" w14:textId="77777777" w:rsidR="00BC5219" w:rsidRPr="009A4248" w:rsidRDefault="00BC5219" w:rsidP="00E83802">
            <w:pPr>
              <w:rPr>
                <w:rFonts w:ascii="Meta Pro" w:eastAsia="Times New Roman" w:hAnsi="Meta Pro"/>
                <w:b/>
                <w:bCs/>
                <w:szCs w:val="18"/>
                <w:lang w:eastAsia="en-AU"/>
              </w:rPr>
            </w:pPr>
            <w:r w:rsidRPr="009A4248">
              <w:rPr>
                <w:rFonts w:ascii="Meta Pro" w:eastAsia="Times New Roman" w:hAnsi="Meta Pro"/>
                <w:b/>
                <w:bCs/>
                <w:szCs w:val="18"/>
                <w:lang w:eastAsia="en-AU"/>
              </w:rPr>
              <w:t>Total</w:t>
            </w:r>
          </w:p>
        </w:tc>
        <w:tc>
          <w:tcPr>
            <w:tcW w:w="1247" w:type="dxa"/>
            <w:tcBorders>
              <w:top w:val="nil"/>
              <w:left w:val="single" w:sz="4" w:space="0" w:color="auto"/>
              <w:bottom w:val="single" w:sz="4" w:space="0" w:color="auto"/>
              <w:right w:val="nil"/>
            </w:tcBorders>
            <w:shd w:val="clear" w:color="auto" w:fill="auto"/>
            <w:noWrap/>
            <w:vAlign w:val="center"/>
            <w:hideMark/>
          </w:tcPr>
          <w:p w14:paraId="6C86E3AA" w14:textId="77777777" w:rsidR="00BC5219" w:rsidRPr="009A4248" w:rsidRDefault="00BC5219" w:rsidP="00E83802">
            <w:pPr>
              <w:jc w:val="center"/>
              <w:rPr>
                <w:rFonts w:ascii="Meta Pro" w:eastAsia="Times New Roman" w:hAnsi="Meta Pro"/>
                <w:szCs w:val="18"/>
                <w:lang w:eastAsia="en-AU"/>
              </w:rPr>
            </w:pPr>
            <w:r w:rsidRPr="009A4248">
              <w:rPr>
                <w:rFonts w:ascii="Meta Pro" w:eastAsia="Times New Roman" w:hAnsi="Meta Pro"/>
                <w:szCs w:val="18"/>
                <w:lang w:eastAsia="en-AU"/>
              </w:rPr>
              <w:t> </w:t>
            </w:r>
          </w:p>
        </w:tc>
        <w:tc>
          <w:tcPr>
            <w:tcW w:w="1247" w:type="dxa"/>
            <w:tcBorders>
              <w:top w:val="nil"/>
              <w:left w:val="single" w:sz="4" w:space="0" w:color="auto"/>
              <w:bottom w:val="double" w:sz="6" w:space="0" w:color="auto"/>
              <w:right w:val="single" w:sz="4" w:space="0" w:color="auto"/>
            </w:tcBorders>
            <w:shd w:val="clear" w:color="auto" w:fill="auto"/>
            <w:noWrap/>
            <w:vAlign w:val="center"/>
            <w:hideMark/>
          </w:tcPr>
          <w:p w14:paraId="0DD8F190" w14:textId="77777777" w:rsidR="00BC5219" w:rsidRPr="009A4248" w:rsidRDefault="00BC5219" w:rsidP="00E83802">
            <w:pPr>
              <w:jc w:val="right"/>
              <w:rPr>
                <w:rFonts w:ascii="Meta Pro" w:eastAsia="Times New Roman" w:hAnsi="Meta Pro"/>
                <w:b/>
                <w:bCs/>
                <w:szCs w:val="18"/>
                <w:lang w:eastAsia="en-AU"/>
              </w:rPr>
            </w:pPr>
            <w:r w:rsidRPr="009A4248">
              <w:rPr>
                <w:rFonts w:ascii="Meta Pro" w:eastAsia="Times New Roman" w:hAnsi="Meta Pro"/>
                <w:b/>
                <w:bCs/>
                <w:szCs w:val="18"/>
                <w:lang w:eastAsia="en-AU"/>
              </w:rPr>
              <w:t>874,775</w:t>
            </w:r>
          </w:p>
        </w:tc>
        <w:tc>
          <w:tcPr>
            <w:tcW w:w="1247" w:type="dxa"/>
            <w:tcBorders>
              <w:top w:val="nil"/>
              <w:left w:val="nil"/>
              <w:bottom w:val="double" w:sz="6" w:space="0" w:color="auto"/>
              <w:right w:val="single" w:sz="4" w:space="0" w:color="auto"/>
            </w:tcBorders>
            <w:shd w:val="clear" w:color="auto" w:fill="auto"/>
            <w:noWrap/>
            <w:vAlign w:val="center"/>
            <w:hideMark/>
          </w:tcPr>
          <w:p w14:paraId="56B7DE14" w14:textId="77777777" w:rsidR="00BC5219" w:rsidRPr="009A4248" w:rsidRDefault="00BC5219" w:rsidP="00E83802">
            <w:pPr>
              <w:jc w:val="right"/>
              <w:rPr>
                <w:rFonts w:ascii="Meta Pro" w:eastAsia="Times New Roman" w:hAnsi="Meta Pro"/>
                <w:b/>
                <w:bCs/>
                <w:szCs w:val="18"/>
                <w:lang w:eastAsia="en-AU"/>
              </w:rPr>
            </w:pPr>
            <w:r w:rsidRPr="009A4248">
              <w:rPr>
                <w:rFonts w:ascii="Meta Pro" w:eastAsia="Times New Roman" w:hAnsi="Meta Pro"/>
                <w:b/>
                <w:bCs/>
                <w:szCs w:val="18"/>
                <w:lang w:eastAsia="en-AU"/>
              </w:rPr>
              <w:t>507,475</w:t>
            </w:r>
          </w:p>
        </w:tc>
        <w:tc>
          <w:tcPr>
            <w:tcW w:w="1247" w:type="dxa"/>
            <w:tcBorders>
              <w:top w:val="nil"/>
              <w:left w:val="nil"/>
              <w:bottom w:val="double" w:sz="6" w:space="0" w:color="auto"/>
              <w:right w:val="single" w:sz="4" w:space="0" w:color="auto"/>
            </w:tcBorders>
            <w:shd w:val="clear" w:color="auto" w:fill="auto"/>
            <w:noWrap/>
            <w:vAlign w:val="center"/>
            <w:hideMark/>
          </w:tcPr>
          <w:p w14:paraId="66CF8B04" w14:textId="77777777" w:rsidR="00BC5219" w:rsidRPr="009A4248" w:rsidRDefault="00BC5219" w:rsidP="00E83802">
            <w:pPr>
              <w:jc w:val="right"/>
              <w:rPr>
                <w:rFonts w:ascii="Meta Pro" w:eastAsia="Times New Roman" w:hAnsi="Meta Pro"/>
                <w:b/>
                <w:bCs/>
                <w:szCs w:val="18"/>
                <w:lang w:eastAsia="en-AU"/>
              </w:rPr>
            </w:pPr>
            <w:r w:rsidRPr="009A4248">
              <w:rPr>
                <w:rFonts w:ascii="Meta Pro" w:eastAsia="Times New Roman" w:hAnsi="Meta Pro"/>
                <w:b/>
                <w:bCs/>
                <w:szCs w:val="18"/>
                <w:lang w:eastAsia="en-AU"/>
              </w:rPr>
              <w:t>1,971,024</w:t>
            </w:r>
          </w:p>
        </w:tc>
        <w:tc>
          <w:tcPr>
            <w:tcW w:w="1247" w:type="dxa"/>
            <w:tcBorders>
              <w:top w:val="nil"/>
              <w:left w:val="nil"/>
              <w:bottom w:val="double" w:sz="6" w:space="0" w:color="auto"/>
              <w:right w:val="single" w:sz="4" w:space="0" w:color="auto"/>
            </w:tcBorders>
            <w:shd w:val="clear" w:color="auto" w:fill="auto"/>
            <w:noWrap/>
            <w:vAlign w:val="center"/>
            <w:hideMark/>
          </w:tcPr>
          <w:p w14:paraId="43150BEB" w14:textId="77777777" w:rsidR="00BC5219" w:rsidRPr="009A4248" w:rsidRDefault="00BC5219" w:rsidP="00E83802">
            <w:pPr>
              <w:jc w:val="right"/>
              <w:rPr>
                <w:rFonts w:ascii="Meta Pro" w:eastAsia="Times New Roman" w:hAnsi="Meta Pro"/>
                <w:b/>
                <w:bCs/>
                <w:szCs w:val="18"/>
                <w:lang w:eastAsia="en-AU"/>
              </w:rPr>
            </w:pPr>
            <w:r w:rsidRPr="009A4248">
              <w:rPr>
                <w:rFonts w:ascii="Meta Pro" w:eastAsia="Times New Roman" w:hAnsi="Meta Pro"/>
                <w:b/>
                <w:bCs/>
                <w:szCs w:val="18"/>
                <w:lang w:eastAsia="en-AU"/>
              </w:rPr>
              <w:t>3,353,274</w:t>
            </w:r>
          </w:p>
        </w:tc>
      </w:tr>
    </w:tbl>
    <w:p w14:paraId="072E9F5F" w14:textId="77777777" w:rsidR="00BC5219" w:rsidRPr="008A2B8F" w:rsidRDefault="00BC5219" w:rsidP="00BC5219">
      <w:pPr>
        <w:rPr>
          <w:rFonts w:ascii="Meta Pro" w:eastAsia="Times New Roman" w:hAnsi="Meta Pro"/>
          <w:b/>
          <w:bCs/>
          <w:szCs w:val="18"/>
          <w:lang w:eastAsia="en-AU"/>
        </w:rPr>
      </w:pPr>
      <w:r w:rsidRPr="008A2B8F">
        <w:rPr>
          <w:rFonts w:ascii="Meta Pro" w:eastAsia="Times New Roman" w:hAnsi="Meta Pro"/>
          <w:b/>
          <w:bCs/>
          <w:szCs w:val="18"/>
          <w:lang w:eastAsia="en-AU"/>
        </w:rPr>
        <w:tab/>
      </w:r>
    </w:p>
    <w:p w14:paraId="22A4B46A" w14:textId="77777777" w:rsidR="00BC5219" w:rsidRPr="008A2B8F" w:rsidRDefault="00BC5219" w:rsidP="00BC5219">
      <w:pPr>
        <w:rPr>
          <w:rFonts w:ascii="Meta Pro" w:eastAsia="Times New Roman" w:hAnsi="Meta Pro"/>
          <w:b/>
          <w:bCs/>
          <w:szCs w:val="18"/>
          <w:lang w:eastAsia="en-AU"/>
        </w:rPr>
      </w:pPr>
      <w:r w:rsidRPr="008A2B8F">
        <w:rPr>
          <w:rFonts w:ascii="Meta Pro" w:eastAsia="Times New Roman" w:hAnsi="Meta Pro"/>
          <w:b/>
          <w:bCs/>
          <w:szCs w:val="18"/>
          <w:lang w:eastAsia="en-AU"/>
        </w:rPr>
        <w:t>MARKET RISK</w:t>
      </w:r>
    </w:p>
    <w:p w14:paraId="23AA0320" w14:textId="77777777" w:rsidR="00BC5219" w:rsidRPr="008A2B8F" w:rsidRDefault="00BC5219" w:rsidP="00BC5219">
      <w:pPr>
        <w:rPr>
          <w:rFonts w:ascii="Meta Pro" w:eastAsia="Times New Roman" w:hAnsi="Meta Pro"/>
          <w:szCs w:val="18"/>
          <w:lang w:eastAsia="en-AU"/>
        </w:rPr>
      </w:pPr>
      <w:r w:rsidRPr="008A2B8F">
        <w:rPr>
          <w:rFonts w:ascii="Meta Pro" w:eastAsia="Times New Roman" w:hAnsi="Meta Pro"/>
          <w:szCs w:val="18"/>
          <w:lang w:eastAsia="en-AU"/>
        </w:rPr>
        <w:t>The department does not trade in foreign currency and is not materially exposed to commodity price changes.</w:t>
      </w:r>
    </w:p>
    <w:p w14:paraId="4C46BA71" w14:textId="77777777" w:rsidR="00BC5219" w:rsidRPr="008A2B8F" w:rsidRDefault="00BC5219" w:rsidP="00BC5219">
      <w:pPr>
        <w:rPr>
          <w:rFonts w:ascii="Meta Pro" w:eastAsia="Times New Roman" w:hAnsi="Meta Pro"/>
          <w:szCs w:val="18"/>
          <w:lang w:eastAsia="en-AU"/>
        </w:rPr>
      </w:pPr>
    </w:p>
    <w:p w14:paraId="506B5665" w14:textId="77777777" w:rsidR="00BC5219" w:rsidRPr="008A2B8F" w:rsidRDefault="00BC5219" w:rsidP="00BC5219">
      <w:pPr>
        <w:spacing w:after="120"/>
        <w:rPr>
          <w:rFonts w:ascii="Meta Pro" w:eastAsia="Times New Roman" w:hAnsi="Meta Pro"/>
          <w:b/>
          <w:bCs/>
          <w:szCs w:val="18"/>
          <w:lang w:eastAsia="en-AU"/>
        </w:rPr>
      </w:pPr>
      <w:r w:rsidRPr="008A2B8F">
        <w:rPr>
          <w:rFonts w:ascii="Meta Pro" w:eastAsia="Times New Roman" w:hAnsi="Meta Pro"/>
          <w:b/>
          <w:bCs/>
          <w:szCs w:val="18"/>
          <w:lang w:eastAsia="en-AU"/>
        </w:rPr>
        <w:t>INTEREST RATE SENSITIVITY ANALYSIS</w:t>
      </w:r>
    </w:p>
    <w:p w14:paraId="40DE3643" w14:textId="77777777" w:rsidR="00BC5219" w:rsidRPr="008A2B8F" w:rsidRDefault="00BC5219" w:rsidP="00BC5219">
      <w:pPr>
        <w:spacing w:after="60"/>
        <w:rPr>
          <w:rFonts w:ascii="Meta Pro" w:eastAsia="Times New Roman" w:hAnsi="Meta Pro"/>
          <w:szCs w:val="18"/>
          <w:lang w:eastAsia="en-AU"/>
        </w:rPr>
      </w:pPr>
      <w:r w:rsidRPr="008A2B8F">
        <w:rPr>
          <w:rFonts w:ascii="Meta Pro" w:eastAsia="Times New Roman" w:hAnsi="Meta Pro"/>
          <w:szCs w:val="18"/>
          <w:lang w:eastAsia="en-AU"/>
        </w:rPr>
        <w:t>The department is exposed to interest rate risk through floating interest rate components for the Toowoomba Bypass and New Generation Rollingstock public private partnerships.</w:t>
      </w:r>
    </w:p>
    <w:p w14:paraId="27D46C74" w14:textId="77777777" w:rsidR="00BC5219" w:rsidRPr="008A2B8F" w:rsidRDefault="00BC5219" w:rsidP="00BC5219">
      <w:pPr>
        <w:spacing w:after="120"/>
        <w:rPr>
          <w:rFonts w:ascii="Meta Pro" w:eastAsia="Times New Roman" w:hAnsi="Meta Pro"/>
          <w:szCs w:val="18"/>
          <w:lang w:eastAsia="en-AU"/>
        </w:rPr>
      </w:pPr>
      <w:r w:rsidRPr="008A2B8F">
        <w:rPr>
          <w:rFonts w:ascii="Meta Pro" w:eastAsia="Times New Roman" w:hAnsi="Meta Pro"/>
          <w:szCs w:val="18"/>
          <w:lang w:eastAsia="en-AU"/>
        </w:rPr>
        <w:t>The following interest rate sensitivity analysis depicts the outcome on net income if the interest rates would change by +/-1 percent from the year-end rates applicable to the department's financial liabilities. The department would have a surplus and equity increase/(decrease) of $9.461m.</w:t>
      </w:r>
    </w:p>
    <w:p w14:paraId="1B5155E4" w14:textId="77777777" w:rsidR="00BC5219" w:rsidRPr="008A2B8F" w:rsidRDefault="00BC5219" w:rsidP="00BC5219">
      <w:pPr>
        <w:spacing w:after="120"/>
        <w:rPr>
          <w:rFonts w:ascii="Meta Pro" w:hAnsi="Meta Pro"/>
          <w:szCs w:val="18"/>
          <w:lang w:eastAsia="en-AU"/>
        </w:rPr>
      </w:pPr>
    </w:p>
    <w:p w14:paraId="1A58C4B4" w14:textId="77777777" w:rsidR="00BC5219" w:rsidRPr="008A2B8F" w:rsidRDefault="00BC5219" w:rsidP="00BC5219">
      <w:pPr>
        <w:spacing w:after="120"/>
        <w:rPr>
          <w:rFonts w:ascii="Meta Pro" w:hAnsi="Meta Pro"/>
          <w:szCs w:val="18"/>
          <w:lang w:eastAsia="en-AU"/>
        </w:rPr>
      </w:pPr>
    </w:p>
    <w:p w14:paraId="5A7EDBB2" w14:textId="77777777" w:rsidR="00BC5219" w:rsidRPr="008A2B8F" w:rsidRDefault="00BC5219" w:rsidP="00BC5219">
      <w:pPr>
        <w:spacing w:after="120"/>
        <w:rPr>
          <w:rFonts w:ascii="Meta Pro" w:hAnsi="Meta Pro"/>
          <w:szCs w:val="18"/>
          <w:lang w:eastAsia="en-AU"/>
        </w:rPr>
      </w:pPr>
    </w:p>
    <w:p w14:paraId="4FBF1F3E" w14:textId="77777777" w:rsidR="00BC5219" w:rsidRPr="008A2B8F" w:rsidRDefault="00BC5219" w:rsidP="00BC5219">
      <w:pPr>
        <w:spacing w:after="120"/>
        <w:rPr>
          <w:rFonts w:ascii="Meta Pro" w:hAnsi="Meta Pro"/>
          <w:szCs w:val="18"/>
          <w:lang w:eastAsia="en-AU"/>
        </w:rPr>
      </w:pPr>
    </w:p>
    <w:p w14:paraId="721E76B8" w14:textId="77777777" w:rsidR="00BC5219" w:rsidRPr="008A2B8F" w:rsidRDefault="00BC5219" w:rsidP="00BC5219">
      <w:pPr>
        <w:spacing w:after="120"/>
        <w:rPr>
          <w:rFonts w:ascii="Meta Pro" w:hAnsi="Meta Pro"/>
          <w:szCs w:val="18"/>
          <w:lang w:eastAsia="en-AU"/>
        </w:rPr>
      </w:pPr>
    </w:p>
    <w:p w14:paraId="15BD71F3" w14:textId="77777777" w:rsidR="00BC5219" w:rsidRPr="008A2B8F" w:rsidRDefault="00BC5219" w:rsidP="00BC5219">
      <w:pPr>
        <w:spacing w:after="120"/>
        <w:rPr>
          <w:rFonts w:ascii="Meta Pro" w:hAnsi="Meta Pro"/>
          <w:szCs w:val="18"/>
          <w:lang w:eastAsia="en-AU"/>
        </w:rPr>
      </w:pPr>
    </w:p>
    <w:p w14:paraId="1FC9298E" w14:textId="77777777" w:rsidR="00BC5219" w:rsidRPr="008A2B8F" w:rsidRDefault="00BC5219" w:rsidP="00BC5219">
      <w:pPr>
        <w:spacing w:after="120"/>
        <w:rPr>
          <w:rFonts w:ascii="Meta Pro" w:hAnsi="Meta Pro"/>
          <w:szCs w:val="18"/>
          <w:lang w:eastAsia="en-AU"/>
        </w:rPr>
      </w:pPr>
    </w:p>
    <w:p w14:paraId="034C01DC"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r w:rsidRPr="008A2B8F">
        <w:rPr>
          <w:rFonts w:ascii="Meta Pro" w:eastAsia="Times New Roman" w:hAnsi="Meta Pro"/>
          <w:i/>
          <w:iCs/>
          <w:color w:val="000000" w:themeColor="text1"/>
          <w:lang w:eastAsia="en-AU"/>
        </w:rPr>
        <w:t>Department of Transport and Main Roads</w:t>
      </w:r>
    </w:p>
    <w:p w14:paraId="15EFFD29"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Notes to the financial statements 2022–23 (continued)</w:t>
      </w:r>
    </w:p>
    <w:p w14:paraId="32CFD621" w14:textId="77777777" w:rsidR="00BC5219" w:rsidRDefault="00BC5219" w:rsidP="00BC5219">
      <w:pPr>
        <w:spacing w:line="259" w:lineRule="auto"/>
        <w:rPr>
          <w:rFonts w:ascii="Meta Pro" w:eastAsia="Times New Roman" w:hAnsi="Meta Pro"/>
          <w:b/>
          <w:bCs/>
          <w:lang w:eastAsia="en-AU"/>
        </w:rPr>
      </w:pPr>
    </w:p>
    <w:p w14:paraId="6A567E5C" w14:textId="77777777" w:rsidR="00BC5219" w:rsidRPr="008A2B8F" w:rsidRDefault="00BC5219" w:rsidP="00BC5219">
      <w:pPr>
        <w:spacing w:after="120" w:line="259" w:lineRule="auto"/>
        <w:rPr>
          <w:rFonts w:ascii="Meta Pro" w:eastAsia="Times New Roman" w:hAnsi="Meta Pro"/>
          <w:b/>
          <w:bCs/>
          <w:lang w:eastAsia="en-AU"/>
        </w:rPr>
      </w:pPr>
      <w:r w:rsidRPr="008A2B8F">
        <w:rPr>
          <w:rFonts w:ascii="Meta Pro" w:eastAsia="Times New Roman" w:hAnsi="Meta Pro"/>
          <w:b/>
          <w:bCs/>
          <w:lang w:eastAsia="en-AU"/>
        </w:rPr>
        <w:t>27     FINANCIAL INSTRUMENTS (continued)</w:t>
      </w:r>
    </w:p>
    <w:p w14:paraId="133A8F7A" w14:textId="77777777" w:rsidR="00BC5219" w:rsidRPr="008A2B8F" w:rsidRDefault="00BC5219" w:rsidP="00BC5219">
      <w:pPr>
        <w:spacing w:after="120"/>
        <w:rPr>
          <w:rFonts w:ascii="Meta Pro" w:hAnsi="Meta Pro" w:cstheme="minorBidi"/>
        </w:rPr>
      </w:pPr>
      <w:r w:rsidRPr="008A2B8F">
        <w:rPr>
          <w:rFonts w:ascii="Meta Pro" w:eastAsia="Times New Roman" w:hAnsi="Meta Pro"/>
          <w:b/>
          <w:bCs/>
          <w:szCs w:val="18"/>
          <w:lang w:eastAsia="en-AU"/>
        </w:rPr>
        <w:t>INTEREST RATE SENSITIVITY ANALYSIS (continued)</w:t>
      </w:r>
    </w:p>
    <w:tbl>
      <w:tblPr>
        <w:tblW w:w="0" w:type="auto"/>
        <w:tblCellMar>
          <w:left w:w="0" w:type="dxa"/>
        </w:tblCellMar>
        <w:tblLook w:val="04A0" w:firstRow="1" w:lastRow="0" w:firstColumn="1" w:lastColumn="0" w:noHBand="0" w:noVBand="1"/>
      </w:tblPr>
      <w:tblGrid>
        <w:gridCol w:w="3402"/>
        <w:gridCol w:w="1247"/>
        <w:gridCol w:w="1247"/>
        <w:gridCol w:w="1247"/>
        <w:gridCol w:w="1247"/>
        <w:gridCol w:w="1247"/>
      </w:tblGrid>
      <w:tr w:rsidR="00BC5219" w:rsidRPr="008A2B8F" w14:paraId="19AB4196" w14:textId="77777777" w:rsidTr="00E83802">
        <w:trPr>
          <w:trHeight w:val="23"/>
        </w:trPr>
        <w:tc>
          <w:tcPr>
            <w:tcW w:w="3402" w:type="dxa"/>
            <w:tcBorders>
              <w:top w:val="single" w:sz="4" w:space="0" w:color="auto"/>
              <w:left w:val="single" w:sz="4" w:space="0" w:color="auto"/>
              <w:bottom w:val="nil"/>
              <w:right w:val="nil"/>
            </w:tcBorders>
            <w:shd w:val="clear" w:color="auto" w:fill="auto"/>
            <w:noWrap/>
            <w:vAlign w:val="center"/>
            <w:hideMark/>
          </w:tcPr>
          <w:p w14:paraId="489EFF0E"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 </w:t>
            </w:r>
          </w:p>
        </w:tc>
        <w:tc>
          <w:tcPr>
            <w:tcW w:w="1247" w:type="dxa"/>
            <w:tcBorders>
              <w:top w:val="single" w:sz="4" w:space="0" w:color="auto"/>
              <w:left w:val="single" w:sz="4" w:space="0" w:color="auto"/>
              <w:bottom w:val="nil"/>
              <w:right w:val="single" w:sz="4" w:space="0" w:color="auto"/>
            </w:tcBorders>
            <w:shd w:val="clear" w:color="auto" w:fill="auto"/>
            <w:noWrap/>
            <w:vAlign w:val="center"/>
            <w:hideMark/>
          </w:tcPr>
          <w:p w14:paraId="16AB9DB8"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 </w:t>
            </w:r>
          </w:p>
        </w:tc>
        <w:tc>
          <w:tcPr>
            <w:tcW w:w="4988" w:type="dxa"/>
            <w:gridSpan w:val="4"/>
            <w:tcBorders>
              <w:top w:val="single" w:sz="4" w:space="0" w:color="auto"/>
              <w:left w:val="nil"/>
              <w:bottom w:val="single" w:sz="4" w:space="0" w:color="auto"/>
              <w:right w:val="single" w:sz="4" w:space="0" w:color="auto"/>
            </w:tcBorders>
            <w:shd w:val="clear" w:color="auto" w:fill="auto"/>
            <w:noWrap/>
            <w:vAlign w:val="center"/>
            <w:hideMark/>
          </w:tcPr>
          <w:p w14:paraId="50CE6952"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Interest rate risk</w:t>
            </w:r>
          </w:p>
        </w:tc>
      </w:tr>
      <w:tr w:rsidR="00BC5219" w:rsidRPr="008A2B8F" w14:paraId="1325DCDA" w14:textId="77777777" w:rsidTr="00E83802">
        <w:trPr>
          <w:trHeight w:val="23"/>
        </w:trPr>
        <w:tc>
          <w:tcPr>
            <w:tcW w:w="3402" w:type="dxa"/>
            <w:vMerge w:val="restart"/>
            <w:tcBorders>
              <w:top w:val="nil"/>
              <w:left w:val="single" w:sz="4" w:space="0" w:color="auto"/>
              <w:bottom w:val="single" w:sz="4" w:space="0" w:color="000000"/>
              <w:right w:val="nil"/>
            </w:tcBorders>
            <w:shd w:val="clear" w:color="auto" w:fill="auto"/>
            <w:noWrap/>
            <w:vAlign w:val="center"/>
            <w:hideMark/>
          </w:tcPr>
          <w:p w14:paraId="59FFE651"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Financial liabilities</w:t>
            </w:r>
          </w:p>
        </w:tc>
        <w:tc>
          <w:tcPr>
            <w:tcW w:w="1247" w:type="dxa"/>
            <w:vMerge w:val="restart"/>
            <w:tcBorders>
              <w:top w:val="nil"/>
              <w:left w:val="single" w:sz="4" w:space="0" w:color="auto"/>
              <w:bottom w:val="single" w:sz="4" w:space="0" w:color="000000"/>
              <w:right w:val="single" w:sz="4" w:space="0" w:color="auto"/>
            </w:tcBorders>
            <w:shd w:val="clear" w:color="auto" w:fill="auto"/>
            <w:vAlign w:val="center"/>
            <w:hideMark/>
          </w:tcPr>
          <w:p w14:paraId="49338E90"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Carrying amount</w:t>
            </w:r>
          </w:p>
        </w:tc>
        <w:tc>
          <w:tcPr>
            <w:tcW w:w="2494" w:type="dxa"/>
            <w:gridSpan w:val="2"/>
            <w:tcBorders>
              <w:top w:val="single" w:sz="4" w:space="0" w:color="auto"/>
              <w:left w:val="nil"/>
              <w:bottom w:val="single" w:sz="4" w:space="0" w:color="auto"/>
              <w:right w:val="single" w:sz="4" w:space="0" w:color="auto"/>
            </w:tcBorders>
            <w:shd w:val="clear" w:color="auto" w:fill="auto"/>
            <w:vAlign w:val="center"/>
            <w:hideMark/>
          </w:tcPr>
          <w:p w14:paraId="59F0FBAF"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-1%</w:t>
            </w:r>
          </w:p>
        </w:tc>
        <w:tc>
          <w:tcPr>
            <w:tcW w:w="2494" w:type="dxa"/>
            <w:gridSpan w:val="2"/>
            <w:tcBorders>
              <w:top w:val="single" w:sz="4" w:space="0" w:color="auto"/>
              <w:left w:val="nil"/>
              <w:bottom w:val="single" w:sz="4" w:space="0" w:color="auto"/>
              <w:right w:val="single" w:sz="4" w:space="0" w:color="auto"/>
            </w:tcBorders>
            <w:shd w:val="clear" w:color="auto" w:fill="auto"/>
            <w:vAlign w:val="center"/>
            <w:hideMark/>
          </w:tcPr>
          <w:p w14:paraId="0CF44C75"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1%</w:t>
            </w:r>
          </w:p>
        </w:tc>
      </w:tr>
      <w:tr w:rsidR="00BC5219" w:rsidRPr="008A2B8F" w14:paraId="592C41FF" w14:textId="77777777" w:rsidTr="00E83802">
        <w:trPr>
          <w:trHeight w:val="23"/>
        </w:trPr>
        <w:tc>
          <w:tcPr>
            <w:tcW w:w="3402" w:type="dxa"/>
            <w:vMerge/>
            <w:tcBorders>
              <w:top w:val="nil"/>
              <w:left w:val="single" w:sz="4" w:space="0" w:color="auto"/>
              <w:bottom w:val="single" w:sz="4" w:space="0" w:color="000000"/>
              <w:right w:val="nil"/>
            </w:tcBorders>
            <w:vAlign w:val="center"/>
            <w:hideMark/>
          </w:tcPr>
          <w:p w14:paraId="2E966173" w14:textId="77777777" w:rsidR="00BC5219" w:rsidRPr="008A2B8F" w:rsidRDefault="00BC5219" w:rsidP="00E83802">
            <w:pPr>
              <w:rPr>
                <w:rFonts w:ascii="Meta Pro" w:eastAsia="Times New Roman" w:hAnsi="Meta Pro"/>
                <w:b/>
                <w:bCs/>
                <w:szCs w:val="18"/>
                <w:lang w:eastAsia="en-AU"/>
              </w:rPr>
            </w:pPr>
          </w:p>
        </w:tc>
        <w:tc>
          <w:tcPr>
            <w:tcW w:w="1247" w:type="dxa"/>
            <w:vMerge/>
            <w:tcBorders>
              <w:top w:val="nil"/>
              <w:left w:val="single" w:sz="4" w:space="0" w:color="auto"/>
              <w:bottom w:val="single" w:sz="4" w:space="0" w:color="000000"/>
              <w:right w:val="single" w:sz="4" w:space="0" w:color="auto"/>
            </w:tcBorders>
            <w:vAlign w:val="center"/>
            <w:hideMark/>
          </w:tcPr>
          <w:p w14:paraId="5A2552D7" w14:textId="77777777" w:rsidR="00BC5219" w:rsidRPr="008A2B8F" w:rsidRDefault="00BC5219" w:rsidP="00E83802">
            <w:pPr>
              <w:rPr>
                <w:rFonts w:ascii="Meta Pro" w:eastAsia="Times New Roman" w:hAnsi="Meta Pro"/>
                <w:b/>
                <w:bCs/>
                <w:szCs w:val="18"/>
                <w:lang w:eastAsia="en-AU"/>
              </w:rPr>
            </w:pPr>
          </w:p>
        </w:tc>
        <w:tc>
          <w:tcPr>
            <w:tcW w:w="1247" w:type="dxa"/>
            <w:tcBorders>
              <w:top w:val="nil"/>
              <w:left w:val="nil"/>
              <w:bottom w:val="nil"/>
              <w:right w:val="single" w:sz="4" w:space="0" w:color="auto"/>
            </w:tcBorders>
            <w:shd w:val="clear" w:color="auto" w:fill="auto"/>
            <w:vAlign w:val="center"/>
            <w:hideMark/>
          </w:tcPr>
          <w:p w14:paraId="64E7E8AE"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Profit</w:t>
            </w:r>
          </w:p>
        </w:tc>
        <w:tc>
          <w:tcPr>
            <w:tcW w:w="1247" w:type="dxa"/>
            <w:tcBorders>
              <w:top w:val="nil"/>
              <w:left w:val="nil"/>
              <w:bottom w:val="nil"/>
              <w:right w:val="single" w:sz="4" w:space="0" w:color="auto"/>
            </w:tcBorders>
            <w:shd w:val="clear" w:color="auto" w:fill="auto"/>
            <w:vAlign w:val="center"/>
            <w:hideMark/>
          </w:tcPr>
          <w:p w14:paraId="2FD64E9A"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Equity</w:t>
            </w:r>
          </w:p>
        </w:tc>
        <w:tc>
          <w:tcPr>
            <w:tcW w:w="1247" w:type="dxa"/>
            <w:tcBorders>
              <w:top w:val="nil"/>
              <w:left w:val="nil"/>
              <w:bottom w:val="nil"/>
              <w:right w:val="single" w:sz="4" w:space="0" w:color="auto"/>
            </w:tcBorders>
            <w:shd w:val="clear" w:color="auto" w:fill="auto"/>
            <w:vAlign w:val="center"/>
            <w:hideMark/>
          </w:tcPr>
          <w:p w14:paraId="4B92394B"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Profit</w:t>
            </w:r>
          </w:p>
        </w:tc>
        <w:tc>
          <w:tcPr>
            <w:tcW w:w="1247" w:type="dxa"/>
            <w:tcBorders>
              <w:top w:val="nil"/>
              <w:left w:val="nil"/>
              <w:bottom w:val="nil"/>
              <w:right w:val="single" w:sz="4" w:space="0" w:color="auto"/>
            </w:tcBorders>
            <w:shd w:val="clear" w:color="auto" w:fill="auto"/>
            <w:vAlign w:val="center"/>
            <w:hideMark/>
          </w:tcPr>
          <w:p w14:paraId="43ACD9CC"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Equity</w:t>
            </w:r>
          </w:p>
        </w:tc>
      </w:tr>
      <w:tr w:rsidR="00BC5219" w:rsidRPr="008A2B8F" w14:paraId="51F7F343" w14:textId="77777777" w:rsidTr="00E83802">
        <w:trPr>
          <w:trHeight w:val="23"/>
        </w:trPr>
        <w:tc>
          <w:tcPr>
            <w:tcW w:w="3402" w:type="dxa"/>
            <w:vMerge/>
            <w:tcBorders>
              <w:top w:val="nil"/>
              <w:left w:val="single" w:sz="4" w:space="0" w:color="auto"/>
              <w:bottom w:val="single" w:sz="4" w:space="0" w:color="000000"/>
              <w:right w:val="nil"/>
            </w:tcBorders>
            <w:vAlign w:val="center"/>
            <w:hideMark/>
          </w:tcPr>
          <w:p w14:paraId="11ECBA24" w14:textId="77777777" w:rsidR="00BC5219" w:rsidRPr="008A2B8F" w:rsidRDefault="00BC5219" w:rsidP="00E83802">
            <w:pPr>
              <w:rPr>
                <w:rFonts w:ascii="Meta Pro" w:eastAsia="Times New Roman" w:hAnsi="Meta Pro"/>
                <w:b/>
                <w:bCs/>
                <w:szCs w:val="18"/>
                <w:lang w:eastAsia="en-AU"/>
              </w:rPr>
            </w:pPr>
          </w:p>
        </w:tc>
        <w:tc>
          <w:tcPr>
            <w:tcW w:w="1247" w:type="dxa"/>
            <w:vMerge/>
            <w:tcBorders>
              <w:top w:val="nil"/>
              <w:left w:val="single" w:sz="4" w:space="0" w:color="auto"/>
              <w:bottom w:val="single" w:sz="4" w:space="0" w:color="000000"/>
              <w:right w:val="single" w:sz="4" w:space="0" w:color="auto"/>
            </w:tcBorders>
            <w:vAlign w:val="center"/>
            <w:hideMark/>
          </w:tcPr>
          <w:p w14:paraId="41ADBD23" w14:textId="77777777" w:rsidR="00BC5219" w:rsidRPr="008A2B8F" w:rsidRDefault="00BC5219" w:rsidP="00E83802">
            <w:pPr>
              <w:rPr>
                <w:rFonts w:ascii="Meta Pro" w:eastAsia="Times New Roman" w:hAnsi="Meta Pro"/>
                <w:b/>
                <w:bCs/>
                <w:szCs w:val="18"/>
                <w:lang w:eastAsia="en-AU"/>
              </w:rPr>
            </w:pPr>
          </w:p>
        </w:tc>
        <w:tc>
          <w:tcPr>
            <w:tcW w:w="1247" w:type="dxa"/>
            <w:tcBorders>
              <w:top w:val="nil"/>
              <w:left w:val="nil"/>
              <w:bottom w:val="single" w:sz="4" w:space="0" w:color="auto"/>
              <w:right w:val="single" w:sz="4" w:space="0" w:color="auto"/>
            </w:tcBorders>
            <w:shd w:val="clear" w:color="auto" w:fill="auto"/>
            <w:vAlign w:val="center"/>
            <w:hideMark/>
          </w:tcPr>
          <w:p w14:paraId="413DBB2F"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$'000</w:t>
            </w:r>
          </w:p>
        </w:tc>
        <w:tc>
          <w:tcPr>
            <w:tcW w:w="1247" w:type="dxa"/>
            <w:tcBorders>
              <w:top w:val="nil"/>
              <w:left w:val="nil"/>
              <w:bottom w:val="single" w:sz="4" w:space="0" w:color="auto"/>
              <w:right w:val="single" w:sz="4" w:space="0" w:color="auto"/>
            </w:tcBorders>
            <w:shd w:val="clear" w:color="auto" w:fill="auto"/>
            <w:vAlign w:val="center"/>
            <w:hideMark/>
          </w:tcPr>
          <w:p w14:paraId="7842E13F"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$'000</w:t>
            </w:r>
          </w:p>
        </w:tc>
        <w:tc>
          <w:tcPr>
            <w:tcW w:w="1247" w:type="dxa"/>
            <w:tcBorders>
              <w:top w:val="nil"/>
              <w:left w:val="nil"/>
              <w:bottom w:val="single" w:sz="4" w:space="0" w:color="auto"/>
              <w:right w:val="single" w:sz="4" w:space="0" w:color="auto"/>
            </w:tcBorders>
            <w:shd w:val="clear" w:color="auto" w:fill="auto"/>
            <w:vAlign w:val="center"/>
            <w:hideMark/>
          </w:tcPr>
          <w:p w14:paraId="38C832A9"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$'000</w:t>
            </w:r>
          </w:p>
        </w:tc>
        <w:tc>
          <w:tcPr>
            <w:tcW w:w="1247" w:type="dxa"/>
            <w:tcBorders>
              <w:top w:val="nil"/>
              <w:left w:val="nil"/>
              <w:bottom w:val="single" w:sz="4" w:space="0" w:color="auto"/>
              <w:right w:val="single" w:sz="4" w:space="0" w:color="auto"/>
            </w:tcBorders>
            <w:shd w:val="clear" w:color="auto" w:fill="auto"/>
            <w:vAlign w:val="center"/>
            <w:hideMark/>
          </w:tcPr>
          <w:p w14:paraId="734C5223"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$'000</w:t>
            </w:r>
          </w:p>
        </w:tc>
      </w:tr>
      <w:tr w:rsidR="00BC5219" w:rsidRPr="008A2B8F" w14:paraId="7D4FA251" w14:textId="77777777" w:rsidTr="00E83802">
        <w:trPr>
          <w:trHeight w:val="23"/>
        </w:trPr>
        <w:tc>
          <w:tcPr>
            <w:tcW w:w="3402" w:type="dxa"/>
            <w:tcBorders>
              <w:top w:val="nil"/>
              <w:left w:val="single" w:sz="4" w:space="0" w:color="auto"/>
              <w:bottom w:val="nil"/>
              <w:right w:val="nil"/>
            </w:tcBorders>
            <w:shd w:val="clear" w:color="auto" w:fill="auto"/>
            <w:noWrap/>
            <w:vAlign w:val="center"/>
            <w:hideMark/>
          </w:tcPr>
          <w:p w14:paraId="303C3692"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2023</w:t>
            </w:r>
          </w:p>
        </w:tc>
        <w:tc>
          <w:tcPr>
            <w:tcW w:w="1247" w:type="dxa"/>
            <w:tcBorders>
              <w:top w:val="nil"/>
              <w:left w:val="single" w:sz="4" w:space="0" w:color="auto"/>
              <w:bottom w:val="nil"/>
              <w:right w:val="single" w:sz="4" w:space="0" w:color="auto"/>
            </w:tcBorders>
            <w:shd w:val="clear" w:color="auto" w:fill="auto"/>
            <w:noWrap/>
            <w:vAlign w:val="center"/>
            <w:hideMark/>
          </w:tcPr>
          <w:p w14:paraId="110641BA" w14:textId="77777777" w:rsidR="00BC5219" w:rsidRPr="008A2B8F" w:rsidRDefault="00BC5219" w:rsidP="00E83802">
            <w:pPr>
              <w:jc w:val="center"/>
              <w:rPr>
                <w:rFonts w:ascii="Meta Pro" w:eastAsia="Times New Roman" w:hAnsi="Meta Pro"/>
                <w:szCs w:val="18"/>
                <w:lang w:eastAsia="en-AU"/>
              </w:rPr>
            </w:pPr>
            <w:r w:rsidRPr="008A2B8F">
              <w:rPr>
                <w:rFonts w:ascii="Meta Pro" w:eastAsia="Times New Roman" w:hAnsi="Meta Pro"/>
                <w:szCs w:val="18"/>
                <w:lang w:eastAsia="en-AU"/>
              </w:rPr>
              <w:t> </w:t>
            </w:r>
          </w:p>
        </w:tc>
        <w:tc>
          <w:tcPr>
            <w:tcW w:w="4988" w:type="dxa"/>
            <w:gridSpan w:val="4"/>
            <w:tcBorders>
              <w:top w:val="single" w:sz="4" w:space="0" w:color="auto"/>
              <w:left w:val="nil"/>
              <w:bottom w:val="nil"/>
              <w:right w:val="single" w:sz="4" w:space="0" w:color="000000"/>
            </w:tcBorders>
            <w:shd w:val="clear" w:color="000000" w:fill="FFFFFF"/>
            <w:noWrap/>
            <w:vAlign w:val="center"/>
            <w:hideMark/>
          </w:tcPr>
          <w:p w14:paraId="3814495F"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w:t>
            </w:r>
          </w:p>
        </w:tc>
      </w:tr>
      <w:tr w:rsidR="00BC5219" w:rsidRPr="008A2B8F" w14:paraId="39AE71B2" w14:textId="77777777" w:rsidTr="00E83802">
        <w:trPr>
          <w:trHeight w:val="23"/>
        </w:trPr>
        <w:tc>
          <w:tcPr>
            <w:tcW w:w="3402" w:type="dxa"/>
            <w:tcBorders>
              <w:top w:val="nil"/>
              <w:left w:val="single" w:sz="4" w:space="0" w:color="auto"/>
              <w:bottom w:val="nil"/>
              <w:right w:val="nil"/>
            </w:tcBorders>
            <w:shd w:val="clear" w:color="auto" w:fill="auto"/>
            <w:noWrap/>
            <w:vAlign w:val="center"/>
            <w:hideMark/>
          </w:tcPr>
          <w:p w14:paraId="7312F156"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Toowoomba Bypass</w:t>
            </w:r>
          </w:p>
        </w:tc>
        <w:tc>
          <w:tcPr>
            <w:tcW w:w="1247" w:type="dxa"/>
            <w:tcBorders>
              <w:top w:val="single" w:sz="4" w:space="0" w:color="auto"/>
              <w:left w:val="single" w:sz="4" w:space="0" w:color="auto"/>
              <w:bottom w:val="single" w:sz="4" w:space="0" w:color="auto"/>
              <w:right w:val="single" w:sz="4" w:space="0" w:color="auto"/>
            </w:tcBorders>
            <w:shd w:val="clear" w:color="000000" w:fill="C9E3B4"/>
            <w:noWrap/>
            <w:vAlign w:val="center"/>
            <w:hideMark/>
          </w:tcPr>
          <w:p w14:paraId="38C17072"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394,693 </w:t>
            </w:r>
          </w:p>
        </w:tc>
        <w:tc>
          <w:tcPr>
            <w:tcW w:w="1247" w:type="dxa"/>
            <w:tcBorders>
              <w:top w:val="single" w:sz="4" w:space="0" w:color="auto"/>
              <w:left w:val="nil"/>
              <w:bottom w:val="single" w:sz="4" w:space="0" w:color="auto"/>
              <w:right w:val="single" w:sz="4" w:space="0" w:color="auto"/>
            </w:tcBorders>
            <w:shd w:val="clear" w:color="000000" w:fill="C9E3B4"/>
            <w:noWrap/>
            <w:vAlign w:val="center"/>
            <w:hideMark/>
          </w:tcPr>
          <w:p w14:paraId="70039729"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(3,947)</w:t>
            </w:r>
          </w:p>
        </w:tc>
        <w:tc>
          <w:tcPr>
            <w:tcW w:w="1247" w:type="dxa"/>
            <w:tcBorders>
              <w:top w:val="single" w:sz="4" w:space="0" w:color="auto"/>
              <w:left w:val="nil"/>
              <w:bottom w:val="single" w:sz="4" w:space="0" w:color="auto"/>
              <w:right w:val="single" w:sz="4" w:space="0" w:color="auto"/>
            </w:tcBorders>
            <w:shd w:val="clear" w:color="000000" w:fill="C9E3B4"/>
            <w:noWrap/>
            <w:vAlign w:val="center"/>
            <w:hideMark/>
          </w:tcPr>
          <w:p w14:paraId="54CAE040"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(3,947)</w:t>
            </w:r>
          </w:p>
        </w:tc>
        <w:tc>
          <w:tcPr>
            <w:tcW w:w="1247" w:type="dxa"/>
            <w:tcBorders>
              <w:top w:val="single" w:sz="4" w:space="0" w:color="auto"/>
              <w:left w:val="nil"/>
              <w:bottom w:val="single" w:sz="4" w:space="0" w:color="auto"/>
              <w:right w:val="single" w:sz="4" w:space="0" w:color="auto"/>
            </w:tcBorders>
            <w:shd w:val="clear" w:color="000000" w:fill="C9E3B4"/>
            <w:noWrap/>
            <w:vAlign w:val="center"/>
            <w:hideMark/>
          </w:tcPr>
          <w:p w14:paraId="0609E7DF"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3,947 </w:t>
            </w:r>
          </w:p>
        </w:tc>
        <w:tc>
          <w:tcPr>
            <w:tcW w:w="1247" w:type="dxa"/>
            <w:tcBorders>
              <w:top w:val="single" w:sz="4" w:space="0" w:color="auto"/>
              <w:left w:val="nil"/>
              <w:bottom w:val="single" w:sz="4" w:space="0" w:color="auto"/>
              <w:right w:val="single" w:sz="4" w:space="0" w:color="auto"/>
            </w:tcBorders>
            <w:shd w:val="clear" w:color="000000" w:fill="C9E3B4"/>
            <w:noWrap/>
            <w:vAlign w:val="center"/>
            <w:hideMark/>
          </w:tcPr>
          <w:p w14:paraId="451109B6"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3,947 </w:t>
            </w:r>
          </w:p>
        </w:tc>
      </w:tr>
      <w:tr w:rsidR="00BC5219" w:rsidRPr="008A2B8F" w14:paraId="7CEFBCCC" w14:textId="77777777" w:rsidTr="00E83802">
        <w:trPr>
          <w:trHeight w:val="23"/>
        </w:trPr>
        <w:tc>
          <w:tcPr>
            <w:tcW w:w="3402" w:type="dxa"/>
            <w:tcBorders>
              <w:top w:val="nil"/>
              <w:left w:val="single" w:sz="4" w:space="0" w:color="auto"/>
              <w:bottom w:val="nil"/>
              <w:right w:val="nil"/>
            </w:tcBorders>
            <w:shd w:val="clear" w:color="auto" w:fill="auto"/>
            <w:noWrap/>
            <w:vAlign w:val="center"/>
            <w:hideMark/>
          </w:tcPr>
          <w:p w14:paraId="744C86B0"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lastRenderedPageBreak/>
              <w:t>New Generation Rollingstock arrangement</w:t>
            </w:r>
          </w:p>
        </w:tc>
        <w:tc>
          <w:tcPr>
            <w:tcW w:w="1247" w:type="dxa"/>
            <w:tcBorders>
              <w:top w:val="nil"/>
              <w:left w:val="single" w:sz="4" w:space="0" w:color="auto"/>
              <w:bottom w:val="single" w:sz="4" w:space="0" w:color="auto"/>
              <w:right w:val="single" w:sz="4" w:space="0" w:color="auto"/>
            </w:tcBorders>
            <w:shd w:val="clear" w:color="000000" w:fill="C9E3B4"/>
            <w:noWrap/>
            <w:vAlign w:val="center"/>
            <w:hideMark/>
          </w:tcPr>
          <w:p w14:paraId="36D803A7"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551,381 </w:t>
            </w:r>
          </w:p>
        </w:tc>
        <w:tc>
          <w:tcPr>
            <w:tcW w:w="1247" w:type="dxa"/>
            <w:tcBorders>
              <w:top w:val="nil"/>
              <w:left w:val="nil"/>
              <w:bottom w:val="single" w:sz="4" w:space="0" w:color="auto"/>
              <w:right w:val="single" w:sz="4" w:space="0" w:color="auto"/>
            </w:tcBorders>
            <w:shd w:val="clear" w:color="000000" w:fill="C9E3B4"/>
            <w:noWrap/>
            <w:vAlign w:val="center"/>
            <w:hideMark/>
          </w:tcPr>
          <w:p w14:paraId="1810DEEF"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(5,514)</w:t>
            </w:r>
          </w:p>
        </w:tc>
        <w:tc>
          <w:tcPr>
            <w:tcW w:w="1247" w:type="dxa"/>
            <w:tcBorders>
              <w:top w:val="nil"/>
              <w:left w:val="nil"/>
              <w:bottom w:val="single" w:sz="4" w:space="0" w:color="auto"/>
              <w:right w:val="single" w:sz="4" w:space="0" w:color="auto"/>
            </w:tcBorders>
            <w:shd w:val="clear" w:color="000000" w:fill="C9E3B4"/>
            <w:noWrap/>
            <w:vAlign w:val="center"/>
            <w:hideMark/>
          </w:tcPr>
          <w:p w14:paraId="5A453251"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(5,514)</w:t>
            </w:r>
          </w:p>
        </w:tc>
        <w:tc>
          <w:tcPr>
            <w:tcW w:w="1247" w:type="dxa"/>
            <w:tcBorders>
              <w:top w:val="nil"/>
              <w:left w:val="nil"/>
              <w:bottom w:val="single" w:sz="4" w:space="0" w:color="auto"/>
              <w:right w:val="single" w:sz="4" w:space="0" w:color="auto"/>
            </w:tcBorders>
            <w:shd w:val="clear" w:color="000000" w:fill="C9E3B4"/>
            <w:noWrap/>
            <w:vAlign w:val="center"/>
            <w:hideMark/>
          </w:tcPr>
          <w:p w14:paraId="2BA82FCF"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5,514 </w:t>
            </w:r>
          </w:p>
        </w:tc>
        <w:tc>
          <w:tcPr>
            <w:tcW w:w="1247" w:type="dxa"/>
            <w:tcBorders>
              <w:top w:val="nil"/>
              <w:left w:val="nil"/>
              <w:bottom w:val="single" w:sz="4" w:space="0" w:color="auto"/>
              <w:right w:val="single" w:sz="4" w:space="0" w:color="auto"/>
            </w:tcBorders>
            <w:shd w:val="clear" w:color="000000" w:fill="C9E3B4"/>
            <w:noWrap/>
            <w:vAlign w:val="center"/>
            <w:hideMark/>
          </w:tcPr>
          <w:p w14:paraId="6E3EDEA1"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5,514 </w:t>
            </w:r>
          </w:p>
        </w:tc>
      </w:tr>
      <w:tr w:rsidR="00BC5219" w:rsidRPr="008A2B8F" w14:paraId="58D1F223" w14:textId="77777777" w:rsidTr="00E83802">
        <w:trPr>
          <w:trHeight w:val="23"/>
        </w:trPr>
        <w:tc>
          <w:tcPr>
            <w:tcW w:w="3402" w:type="dxa"/>
            <w:tcBorders>
              <w:top w:val="nil"/>
              <w:left w:val="single" w:sz="4" w:space="0" w:color="auto"/>
              <w:bottom w:val="single" w:sz="4" w:space="0" w:color="auto"/>
              <w:right w:val="nil"/>
            </w:tcBorders>
            <w:shd w:val="clear" w:color="auto" w:fill="auto"/>
            <w:noWrap/>
            <w:vAlign w:val="center"/>
            <w:hideMark/>
          </w:tcPr>
          <w:p w14:paraId="142AD71F"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Potential impact</w:t>
            </w:r>
          </w:p>
        </w:tc>
        <w:tc>
          <w:tcPr>
            <w:tcW w:w="1247" w:type="dxa"/>
            <w:tcBorders>
              <w:top w:val="nil"/>
              <w:left w:val="single" w:sz="4" w:space="0" w:color="auto"/>
              <w:bottom w:val="single" w:sz="4" w:space="0" w:color="auto"/>
              <w:right w:val="single" w:sz="4" w:space="0" w:color="auto"/>
            </w:tcBorders>
            <w:shd w:val="clear" w:color="000000" w:fill="C9E3B4"/>
            <w:noWrap/>
            <w:vAlign w:val="center"/>
            <w:hideMark/>
          </w:tcPr>
          <w:p w14:paraId="4A8B8139"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w:t>
            </w:r>
          </w:p>
        </w:tc>
        <w:tc>
          <w:tcPr>
            <w:tcW w:w="1247" w:type="dxa"/>
            <w:tcBorders>
              <w:top w:val="nil"/>
              <w:left w:val="nil"/>
              <w:bottom w:val="single" w:sz="4" w:space="0" w:color="auto"/>
              <w:right w:val="single" w:sz="4" w:space="0" w:color="auto"/>
            </w:tcBorders>
            <w:shd w:val="clear" w:color="000000" w:fill="C9E3B4"/>
            <w:noWrap/>
            <w:vAlign w:val="center"/>
            <w:hideMark/>
          </w:tcPr>
          <w:p w14:paraId="64E9540D"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(9,461)</w:t>
            </w:r>
          </w:p>
        </w:tc>
        <w:tc>
          <w:tcPr>
            <w:tcW w:w="1247" w:type="dxa"/>
            <w:tcBorders>
              <w:top w:val="nil"/>
              <w:left w:val="nil"/>
              <w:bottom w:val="single" w:sz="4" w:space="0" w:color="auto"/>
              <w:right w:val="single" w:sz="4" w:space="0" w:color="auto"/>
            </w:tcBorders>
            <w:shd w:val="clear" w:color="000000" w:fill="C9E3B4"/>
            <w:noWrap/>
            <w:vAlign w:val="center"/>
            <w:hideMark/>
          </w:tcPr>
          <w:p w14:paraId="664A6996"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(9,461)</w:t>
            </w:r>
          </w:p>
        </w:tc>
        <w:tc>
          <w:tcPr>
            <w:tcW w:w="1247" w:type="dxa"/>
            <w:tcBorders>
              <w:top w:val="nil"/>
              <w:left w:val="nil"/>
              <w:bottom w:val="single" w:sz="4" w:space="0" w:color="auto"/>
              <w:right w:val="single" w:sz="4" w:space="0" w:color="auto"/>
            </w:tcBorders>
            <w:shd w:val="clear" w:color="000000" w:fill="C9E3B4"/>
            <w:noWrap/>
            <w:vAlign w:val="center"/>
            <w:hideMark/>
          </w:tcPr>
          <w:p w14:paraId="4FC18ACA"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9,461 </w:t>
            </w:r>
          </w:p>
        </w:tc>
        <w:tc>
          <w:tcPr>
            <w:tcW w:w="1247" w:type="dxa"/>
            <w:tcBorders>
              <w:top w:val="nil"/>
              <w:left w:val="nil"/>
              <w:bottom w:val="single" w:sz="4" w:space="0" w:color="auto"/>
              <w:right w:val="single" w:sz="4" w:space="0" w:color="auto"/>
            </w:tcBorders>
            <w:shd w:val="clear" w:color="000000" w:fill="C9E3B4"/>
            <w:noWrap/>
            <w:vAlign w:val="center"/>
            <w:hideMark/>
          </w:tcPr>
          <w:p w14:paraId="4EF6456B"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9,461 </w:t>
            </w:r>
          </w:p>
        </w:tc>
      </w:tr>
      <w:tr w:rsidR="00BC5219" w:rsidRPr="008A2B8F" w14:paraId="7358D588" w14:textId="77777777" w:rsidTr="00E83802">
        <w:trPr>
          <w:trHeight w:val="23"/>
        </w:trPr>
        <w:tc>
          <w:tcPr>
            <w:tcW w:w="3402" w:type="dxa"/>
            <w:tcBorders>
              <w:top w:val="nil"/>
              <w:left w:val="single" w:sz="4" w:space="0" w:color="auto"/>
              <w:bottom w:val="nil"/>
              <w:right w:val="nil"/>
            </w:tcBorders>
            <w:shd w:val="clear" w:color="auto" w:fill="auto"/>
            <w:noWrap/>
            <w:vAlign w:val="center"/>
            <w:hideMark/>
          </w:tcPr>
          <w:p w14:paraId="09430182"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2022</w:t>
            </w:r>
          </w:p>
        </w:tc>
        <w:tc>
          <w:tcPr>
            <w:tcW w:w="1247" w:type="dxa"/>
            <w:tcBorders>
              <w:top w:val="nil"/>
              <w:left w:val="single" w:sz="4" w:space="0" w:color="auto"/>
              <w:bottom w:val="nil"/>
              <w:right w:val="single" w:sz="4" w:space="0" w:color="auto"/>
            </w:tcBorders>
            <w:shd w:val="clear" w:color="auto" w:fill="auto"/>
            <w:noWrap/>
            <w:vAlign w:val="center"/>
            <w:hideMark/>
          </w:tcPr>
          <w:p w14:paraId="6A9D9511" w14:textId="77777777" w:rsidR="00BC5219" w:rsidRPr="008A2B8F" w:rsidRDefault="00BC5219" w:rsidP="00E83802">
            <w:pPr>
              <w:jc w:val="center"/>
              <w:rPr>
                <w:rFonts w:ascii="Meta Pro" w:eastAsia="Times New Roman" w:hAnsi="Meta Pro"/>
                <w:szCs w:val="18"/>
                <w:lang w:eastAsia="en-AU"/>
              </w:rPr>
            </w:pPr>
            <w:r w:rsidRPr="008A2B8F">
              <w:rPr>
                <w:rFonts w:ascii="Meta Pro" w:eastAsia="Times New Roman" w:hAnsi="Meta Pro"/>
                <w:szCs w:val="18"/>
                <w:lang w:eastAsia="en-AU"/>
              </w:rPr>
              <w:t> </w:t>
            </w:r>
          </w:p>
        </w:tc>
        <w:tc>
          <w:tcPr>
            <w:tcW w:w="4988" w:type="dxa"/>
            <w:gridSpan w:val="4"/>
            <w:tcBorders>
              <w:top w:val="double" w:sz="6" w:space="0" w:color="auto"/>
              <w:left w:val="nil"/>
              <w:bottom w:val="nil"/>
              <w:right w:val="single" w:sz="4" w:space="0" w:color="000000"/>
            </w:tcBorders>
            <w:shd w:val="clear" w:color="auto" w:fill="auto"/>
            <w:noWrap/>
            <w:vAlign w:val="center"/>
            <w:hideMark/>
          </w:tcPr>
          <w:p w14:paraId="3A6C99E6"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w:t>
            </w:r>
          </w:p>
        </w:tc>
      </w:tr>
      <w:tr w:rsidR="00BC5219" w:rsidRPr="008A2B8F" w14:paraId="6E7385E6" w14:textId="77777777" w:rsidTr="00E83802">
        <w:trPr>
          <w:trHeight w:val="23"/>
        </w:trPr>
        <w:tc>
          <w:tcPr>
            <w:tcW w:w="3402" w:type="dxa"/>
            <w:tcBorders>
              <w:top w:val="nil"/>
              <w:left w:val="single" w:sz="4" w:space="0" w:color="auto"/>
              <w:bottom w:val="nil"/>
              <w:right w:val="nil"/>
            </w:tcBorders>
            <w:shd w:val="clear" w:color="auto" w:fill="auto"/>
            <w:noWrap/>
            <w:vAlign w:val="center"/>
            <w:hideMark/>
          </w:tcPr>
          <w:p w14:paraId="3204BF76"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Toowoomba Bypass</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1F1D9"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404,922 </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461805D2"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(4,049)</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22A42A06"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(4,049)</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0EECEEC4"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4,049 </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32908CBA"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4,049 </w:t>
            </w:r>
          </w:p>
        </w:tc>
      </w:tr>
      <w:tr w:rsidR="00BC5219" w:rsidRPr="008A2B8F" w14:paraId="30C045D8" w14:textId="77777777" w:rsidTr="00E83802">
        <w:trPr>
          <w:trHeight w:val="23"/>
        </w:trPr>
        <w:tc>
          <w:tcPr>
            <w:tcW w:w="3402" w:type="dxa"/>
            <w:tcBorders>
              <w:top w:val="nil"/>
              <w:left w:val="single" w:sz="4" w:space="0" w:color="auto"/>
              <w:bottom w:val="nil"/>
              <w:right w:val="nil"/>
            </w:tcBorders>
            <w:shd w:val="clear" w:color="auto" w:fill="auto"/>
            <w:noWrap/>
            <w:vAlign w:val="center"/>
            <w:hideMark/>
          </w:tcPr>
          <w:p w14:paraId="60E4A996"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New Generation Rollingstock arrangement</w:t>
            </w:r>
          </w:p>
        </w:tc>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F4AC206"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554,873 </w:t>
            </w:r>
          </w:p>
        </w:tc>
        <w:tc>
          <w:tcPr>
            <w:tcW w:w="1247" w:type="dxa"/>
            <w:tcBorders>
              <w:top w:val="nil"/>
              <w:left w:val="nil"/>
              <w:bottom w:val="single" w:sz="4" w:space="0" w:color="auto"/>
              <w:right w:val="single" w:sz="4" w:space="0" w:color="auto"/>
            </w:tcBorders>
            <w:shd w:val="clear" w:color="auto" w:fill="auto"/>
            <w:noWrap/>
            <w:vAlign w:val="center"/>
            <w:hideMark/>
          </w:tcPr>
          <w:p w14:paraId="3202348D"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(5,549)</w:t>
            </w:r>
          </w:p>
        </w:tc>
        <w:tc>
          <w:tcPr>
            <w:tcW w:w="1247" w:type="dxa"/>
            <w:tcBorders>
              <w:top w:val="nil"/>
              <w:left w:val="nil"/>
              <w:bottom w:val="single" w:sz="4" w:space="0" w:color="auto"/>
              <w:right w:val="single" w:sz="4" w:space="0" w:color="auto"/>
            </w:tcBorders>
            <w:shd w:val="clear" w:color="auto" w:fill="auto"/>
            <w:noWrap/>
            <w:vAlign w:val="center"/>
            <w:hideMark/>
          </w:tcPr>
          <w:p w14:paraId="19A6CCEF"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(5,549)</w:t>
            </w:r>
          </w:p>
        </w:tc>
        <w:tc>
          <w:tcPr>
            <w:tcW w:w="1247" w:type="dxa"/>
            <w:tcBorders>
              <w:top w:val="nil"/>
              <w:left w:val="nil"/>
              <w:bottom w:val="single" w:sz="4" w:space="0" w:color="auto"/>
              <w:right w:val="single" w:sz="4" w:space="0" w:color="auto"/>
            </w:tcBorders>
            <w:shd w:val="clear" w:color="auto" w:fill="auto"/>
            <w:noWrap/>
            <w:vAlign w:val="center"/>
            <w:hideMark/>
          </w:tcPr>
          <w:p w14:paraId="2F1099C8"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5,549 </w:t>
            </w:r>
          </w:p>
        </w:tc>
        <w:tc>
          <w:tcPr>
            <w:tcW w:w="1247" w:type="dxa"/>
            <w:tcBorders>
              <w:top w:val="nil"/>
              <w:left w:val="nil"/>
              <w:bottom w:val="single" w:sz="4" w:space="0" w:color="auto"/>
              <w:right w:val="single" w:sz="4" w:space="0" w:color="auto"/>
            </w:tcBorders>
            <w:shd w:val="clear" w:color="auto" w:fill="auto"/>
            <w:noWrap/>
            <w:vAlign w:val="center"/>
            <w:hideMark/>
          </w:tcPr>
          <w:p w14:paraId="2AE866E6"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5,549 </w:t>
            </w:r>
          </w:p>
        </w:tc>
      </w:tr>
      <w:tr w:rsidR="00BC5219" w:rsidRPr="008A2B8F" w14:paraId="1AC6D4EA" w14:textId="77777777" w:rsidTr="00E83802">
        <w:trPr>
          <w:trHeight w:val="23"/>
        </w:trPr>
        <w:tc>
          <w:tcPr>
            <w:tcW w:w="3402" w:type="dxa"/>
            <w:tcBorders>
              <w:top w:val="nil"/>
              <w:left w:val="single" w:sz="4" w:space="0" w:color="auto"/>
              <w:bottom w:val="single" w:sz="4" w:space="0" w:color="auto"/>
              <w:right w:val="nil"/>
            </w:tcBorders>
            <w:shd w:val="clear" w:color="auto" w:fill="auto"/>
            <w:noWrap/>
            <w:vAlign w:val="center"/>
            <w:hideMark/>
          </w:tcPr>
          <w:p w14:paraId="5B444376"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Potential impact</w:t>
            </w:r>
          </w:p>
        </w:tc>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64DCF775"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w:t>
            </w:r>
          </w:p>
        </w:tc>
        <w:tc>
          <w:tcPr>
            <w:tcW w:w="1247" w:type="dxa"/>
            <w:tcBorders>
              <w:top w:val="nil"/>
              <w:left w:val="nil"/>
              <w:bottom w:val="double" w:sz="6" w:space="0" w:color="auto"/>
              <w:right w:val="single" w:sz="4" w:space="0" w:color="auto"/>
            </w:tcBorders>
            <w:shd w:val="clear" w:color="auto" w:fill="auto"/>
            <w:noWrap/>
            <w:vAlign w:val="center"/>
            <w:hideMark/>
          </w:tcPr>
          <w:p w14:paraId="0C0E2B6F"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(9,598)</w:t>
            </w:r>
          </w:p>
        </w:tc>
        <w:tc>
          <w:tcPr>
            <w:tcW w:w="1247" w:type="dxa"/>
            <w:tcBorders>
              <w:top w:val="nil"/>
              <w:left w:val="nil"/>
              <w:bottom w:val="double" w:sz="6" w:space="0" w:color="auto"/>
              <w:right w:val="single" w:sz="4" w:space="0" w:color="auto"/>
            </w:tcBorders>
            <w:shd w:val="clear" w:color="auto" w:fill="auto"/>
            <w:noWrap/>
            <w:vAlign w:val="center"/>
            <w:hideMark/>
          </w:tcPr>
          <w:p w14:paraId="16A4F255"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(9,598)</w:t>
            </w:r>
          </w:p>
        </w:tc>
        <w:tc>
          <w:tcPr>
            <w:tcW w:w="1247" w:type="dxa"/>
            <w:tcBorders>
              <w:top w:val="nil"/>
              <w:left w:val="nil"/>
              <w:bottom w:val="double" w:sz="6" w:space="0" w:color="auto"/>
              <w:right w:val="single" w:sz="4" w:space="0" w:color="auto"/>
            </w:tcBorders>
            <w:shd w:val="clear" w:color="auto" w:fill="auto"/>
            <w:noWrap/>
            <w:vAlign w:val="center"/>
            <w:hideMark/>
          </w:tcPr>
          <w:p w14:paraId="50F15269"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9,598 </w:t>
            </w:r>
          </w:p>
        </w:tc>
        <w:tc>
          <w:tcPr>
            <w:tcW w:w="1247" w:type="dxa"/>
            <w:tcBorders>
              <w:top w:val="nil"/>
              <w:left w:val="nil"/>
              <w:bottom w:val="double" w:sz="6" w:space="0" w:color="auto"/>
              <w:right w:val="single" w:sz="4" w:space="0" w:color="auto"/>
            </w:tcBorders>
            <w:shd w:val="clear" w:color="auto" w:fill="auto"/>
            <w:noWrap/>
            <w:vAlign w:val="center"/>
            <w:hideMark/>
          </w:tcPr>
          <w:p w14:paraId="54F37470"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9,598 </w:t>
            </w:r>
          </w:p>
        </w:tc>
      </w:tr>
    </w:tbl>
    <w:p w14:paraId="58E2E1E2" w14:textId="77777777" w:rsidR="00BC5219" w:rsidRPr="008A2B8F" w:rsidRDefault="00BC5219" w:rsidP="00BC5219">
      <w:pPr>
        <w:spacing w:before="120"/>
        <w:ind w:left="-284" w:firstLine="284"/>
        <w:rPr>
          <w:rFonts w:ascii="Meta Pro" w:eastAsia="Times New Roman" w:hAnsi="Meta Pro"/>
          <w:b/>
          <w:bCs/>
          <w:szCs w:val="18"/>
          <w:lang w:eastAsia="en-AU"/>
        </w:rPr>
      </w:pPr>
      <w:r w:rsidRPr="008A2B8F">
        <w:rPr>
          <w:rFonts w:ascii="Meta Pro" w:eastAsia="Times New Roman" w:hAnsi="Meta Pro"/>
          <w:b/>
          <w:bCs/>
          <w:szCs w:val="18"/>
          <w:lang w:eastAsia="en-AU"/>
        </w:rPr>
        <w:t>FAIR VALUE</w:t>
      </w:r>
    </w:p>
    <w:p w14:paraId="130082E1" w14:textId="77777777" w:rsidR="00BC5219" w:rsidRPr="008A2B8F" w:rsidRDefault="00BC5219" w:rsidP="00BC5219">
      <w:pPr>
        <w:rPr>
          <w:rFonts w:ascii="Meta Pro" w:eastAsia="Times New Roman" w:hAnsi="Meta Pro"/>
          <w:szCs w:val="18"/>
          <w:lang w:eastAsia="en-AU"/>
        </w:rPr>
      </w:pPr>
      <w:r w:rsidRPr="008A2B8F">
        <w:rPr>
          <w:rFonts w:ascii="Meta Pro" w:eastAsia="Times New Roman" w:hAnsi="Meta Pro"/>
          <w:szCs w:val="18"/>
          <w:lang w:eastAsia="en-AU"/>
        </w:rPr>
        <w:t>The department does not recognise any financial assets or financial liabilities at fair value. The fair value of trade receivables and payables is assumed to approximate the value of the original transaction, less any allowance for impairment.</w:t>
      </w:r>
    </w:p>
    <w:p w14:paraId="15A9BB2C" w14:textId="77777777" w:rsidR="00BC5219" w:rsidRPr="008A2B8F" w:rsidRDefault="00BC5219" w:rsidP="00BC5219">
      <w:pPr>
        <w:rPr>
          <w:rFonts w:ascii="Meta Pro" w:eastAsia="Times New Roman" w:hAnsi="Meta Pro"/>
          <w:szCs w:val="18"/>
          <w:lang w:eastAsia="en-AU"/>
        </w:rPr>
      </w:pPr>
    </w:p>
    <w:p w14:paraId="2B7E3AC3" w14:textId="77777777" w:rsidR="00BC5219" w:rsidRPr="008A2B8F" w:rsidRDefault="00BC5219" w:rsidP="00BC5219">
      <w:pPr>
        <w:rPr>
          <w:rFonts w:ascii="Meta Pro" w:eastAsia="Times New Roman" w:hAnsi="Meta Pro"/>
          <w:szCs w:val="18"/>
          <w:lang w:eastAsia="en-AU"/>
        </w:rPr>
      </w:pPr>
    </w:p>
    <w:p w14:paraId="24A11206" w14:textId="77777777" w:rsidR="00BC5219" w:rsidRPr="008A2B8F" w:rsidRDefault="00BC5219" w:rsidP="00BC5219">
      <w:pPr>
        <w:rPr>
          <w:rFonts w:ascii="Meta Pro" w:eastAsia="Times New Roman" w:hAnsi="Meta Pro"/>
          <w:szCs w:val="18"/>
          <w:lang w:eastAsia="en-AU"/>
        </w:rPr>
        <w:sectPr w:rsidR="00BC5219" w:rsidRPr="008A2B8F" w:rsidSect="00AB50F9">
          <w:headerReference w:type="default" r:id="rId130"/>
          <w:footerReference w:type="default" r:id="rId131"/>
          <w:type w:val="continuous"/>
          <w:pgSz w:w="11906" w:h="16838"/>
          <w:pgMar w:top="1701" w:right="851" w:bottom="1134" w:left="851" w:header="454" w:footer="454" w:gutter="0"/>
          <w:pgNumType w:start="30"/>
          <w:cols w:space="708"/>
          <w:docGrid w:linePitch="360"/>
        </w:sectPr>
      </w:pPr>
    </w:p>
    <w:tbl>
      <w:tblPr>
        <w:tblW w:w="0" w:type="auto"/>
        <w:tblCellMar>
          <w:left w:w="0" w:type="dxa"/>
        </w:tblCellMar>
        <w:tblLook w:val="04A0" w:firstRow="1" w:lastRow="0" w:firstColumn="1" w:lastColumn="0" w:noHBand="0" w:noVBand="1"/>
      </w:tblPr>
      <w:tblGrid>
        <w:gridCol w:w="7147"/>
        <w:gridCol w:w="1165"/>
        <w:gridCol w:w="223"/>
        <w:gridCol w:w="1165"/>
      </w:tblGrid>
      <w:tr w:rsidR="00BC5219" w:rsidRPr="008A2B8F" w14:paraId="4E479E63" w14:textId="77777777" w:rsidTr="00E83802">
        <w:trPr>
          <w:trHeight w:val="242"/>
        </w:trPr>
        <w:tc>
          <w:tcPr>
            <w:tcW w:w="7139" w:type="dxa"/>
            <w:tcBorders>
              <w:top w:val="nil"/>
              <w:left w:val="nil"/>
              <w:bottom w:val="nil"/>
              <w:right w:val="nil"/>
            </w:tcBorders>
            <w:shd w:val="clear" w:color="auto" w:fill="auto"/>
            <w:noWrap/>
            <w:vAlign w:val="center"/>
            <w:hideMark/>
          </w:tcPr>
          <w:p w14:paraId="523D3916" w14:textId="77777777" w:rsidR="00BC5219" w:rsidRPr="008A2B8F" w:rsidRDefault="00BC5219" w:rsidP="00E83802">
            <w:pPr>
              <w:rPr>
                <w:rFonts w:ascii="Meta Pro" w:eastAsia="Times New Roman" w:hAnsi="Meta Pro" w:cs="Times New Roman"/>
                <w:sz w:val="24"/>
                <w:szCs w:val="24"/>
                <w:lang w:eastAsia="en-AU"/>
              </w:rPr>
            </w:pPr>
          </w:p>
        </w:tc>
        <w:tc>
          <w:tcPr>
            <w:tcW w:w="1157" w:type="dxa"/>
            <w:tcBorders>
              <w:top w:val="nil"/>
              <w:left w:val="nil"/>
              <w:bottom w:val="nil"/>
              <w:right w:val="nil"/>
            </w:tcBorders>
            <w:shd w:val="clear" w:color="auto" w:fill="auto"/>
            <w:noWrap/>
            <w:vAlign w:val="center"/>
            <w:hideMark/>
          </w:tcPr>
          <w:p w14:paraId="11C3D0B8" w14:textId="77777777" w:rsidR="00BC5219" w:rsidRPr="008A2B8F" w:rsidRDefault="00BC5219" w:rsidP="00E83802">
            <w:pPr>
              <w:jc w:val="center"/>
              <w:rPr>
                <w:rFonts w:ascii="Meta Pro" w:eastAsia="Times New Roman" w:hAnsi="Meta Pro"/>
                <w:b/>
                <w:bCs/>
                <w:color w:val="000000"/>
                <w:lang w:eastAsia="en-AU"/>
              </w:rPr>
            </w:pPr>
            <w:r w:rsidRPr="008A2B8F">
              <w:rPr>
                <w:rFonts w:ascii="Meta Pro" w:eastAsia="Times New Roman" w:hAnsi="Meta Pro"/>
                <w:b/>
                <w:bCs/>
                <w:color w:val="000000"/>
                <w:lang w:eastAsia="en-AU"/>
              </w:rPr>
              <w:t>2023</w:t>
            </w:r>
          </w:p>
        </w:tc>
        <w:tc>
          <w:tcPr>
            <w:tcW w:w="215" w:type="dxa"/>
            <w:tcBorders>
              <w:top w:val="nil"/>
              <w:left w:val="nil"/>
              <w:bottom w:val="nil"/>
              <w:right w:val="nil"/>
            </w:tcBorders>
            <w:shd w:val="clear" w:color="auto" w:fill="auto"/>
            <w:noWrap/>
            <w:vAlign w:val="center"/>
            <w:hideMark/>
          </w:tcPr>
          <w:p w14:paraId="202AE083" w14:textId="77777777" w:rsidR="00BC5219" w:rsidRPr="008A2B8F" w:rsidRDefault="00BC5219" w:rsidP="00E83802">
            <w:pPr>
              <w:jc w:val="center"/>
              <w:rPr>
                <w:rFonts w:ascii="Meta Pro" w:eastAsia="Times New Roman" w:hAnsi="Meta Pro"/>
                <w:b/>
                <w:bCs/>
                <w:color w:val="000000"/>
                <w:lang w:eastAsia="en-AU"/>
              </w:rPr>
            </w:pPr>
          </w:p>
        </w:tc>
        <w:tc>
          <w:tcPr>
            <w:tcW w:w="1157" w:type="dxa"/>
            <w:tcBorders>
              <w:top w:val="nil"/>
              <w:left w:val="nil"/>
              <w:bottom w:val="nil"/>
              <w:right w:val="nil"/>
            </w:tcBorders>
            <w:shd w:val="clear" w:color="auto" w:fill="auto"/>
            <w:noWrap/>
            <w:vAlign w:val="center"/>
            <w:hideMark/>
          </w:tcPr>
          <w:p w14:paraId="27F3C7E0" w14:textId="77777777" w:rsidR="00BC5219" w:rsidRPr="008A2B8F" w:rsidRDefault="00BC5219" w:rsidP="00E83802">
            <w:pPr>
              <w:jc w:val="center"/>
              <w:rPr>
                <w:rFonts w:ascii="Meta Pro" w:eastAsia="Times New Roman" w:hAnsi="Meta Pro"/>
                <w:b/>
                <w:bCs/>
                <w:lang w:eastAsia="en-AU"/>
              </w:rPr>
            </w:pPr>
            <w:r w:rsidRPr="008A2B8F">
              <w:rPr>
                <w:rFonts w:ascii="Meta Pro" w:eastAsia="Times New Roman" w:hAnsi="Meta Pro"/>
                <w:b/>
                <w:bCs/>
                <w:lang w:eastAsia="en-AU"/>
              </w:rPr>
              <w:t>2022</w:t>
            </w:r>
          </w:p>
        </w:tc>
      </w:tr>
      <w:tr w:rsidR="00BC5219" w:rsidRPr="008A2B8F" w14:paraId="60EAEDAC" w14:textId="77777777" w:rsidTr="00E83802">
        <w:trPr>
          <w:trHeight w:val="242"/>
        </w:trPr>
        <w:tc>
          <w:tcPr>
            <w:tcW w:w="7139" w:type="dxa"/>
            <w:tcBorders>
              <w:top w:val="nil"/>
              <w:left w:val="nil"/>
              <w:bottom w:val="nil"/>
              <w:right w:val="nil"/>
            </w:tcBorders>
            <w:shd w:val="clear" w:color="auto" w:fill="auto"/>
            <w:noWrap/>
            <w:vAlign w:val="center"/>
            <w:hideMark/>
          </w:tcPr>
          <w:p w14:paraId="2C9416C8" w14:textId="77777777" w:rsidR="00BC5219" w:rsidRPr="008A2B8F" w:rsidRDefault="00BC5219" w:rsidP="00E83802">
            <w:pPr>
              <w:jc w:val="center"/>
              <w:rPr>
                <w:rFonts w:ascii="Meta Pro" w:eastAsia="Times New Roman" w:hAnsi="Meta Pro"/>
                <w:b/>
                <w:bCs/>
                <w:lang w:eastAsia="en-AU"/>
              </w:rPr>
            </w:pPr>
          </w:p>
        </w:tc>
        <w:tc>
          <w:tcPr>
            <w:tcW w:w="1157" w:type="dxa"/>
            <w:tcBorders>
              <w:top w:val="nil"/>
              <w:left w:val="nil"/>
              <w:bottom w:val="nil"/>
              <w:right w:val="nil"/>
            </w:tcBorders>
            <w:shd w:val="clear" w:color="auto" w:fill="auto"/>
            <w:noWrap/>
            <w:vAlign w:val="center"/>
            <w:hideMark/>
          </w:tcPr>
          <w:p w14:paraId="483AAFD4" w14:textId="77777777" w:rsidR="00BC5219" w:rsidRPr="008A2B8F" w:rsidRDefault="00BC5219" w:rsidP="00E83802">
            <w:pPr>
              <w:jc w:val="center"/>
              <w:rPr>
                <w:rFonts w:ascii="Meta Pro" w:eastAsia="Times New Roman" w:hAnsi="Meta Pro"/>
                <w:b/>
                <w:bCs/>
                <w:lang w:eastAsia="en-AU"/>
              </w:rPr>
            </w:pPr>
            <w:r w:rsidRPr="008A2B8F">
              <w:rPr>
                <w:rFonts w:ascii="Meta Pro" w:eastAsia="Times New Roman" w:hAnsi="Meta Pro"/>
                <w:b/>
                <w:bCs/>
                <w:lang w:eastAsia="en-AU"/>
              </w:rPr>
              <w:t>$'000</w:t>
            </w:r>
          </w:p>
        </w:tc>
        <w:tc>
          <w:tcPr>
            <w:tcW w:w="215" w:type="dxa"/>
            <w:tcBorders>
              <w:top w:val="nil"/>
              <w:left w:val="nil"/>
              <w:bottom w:val="nil"/>
              <w:right w:val="nil"/>
            </w:tcBorders>
            <w:shd w:val="clear" w:color="auto" w:fill="auto"/>
            <w:noWrap/>
            <w:vAlign w:val="center"/>
            <w:hideMark/>
          </w:tcPr>
          <w:p w14:paraId="0E782233" w14:textId="77777777" w:rsidR="00BC5219" w:rsidRPr="008A2B8F" w:rsidRDefault="00BC5219" w:rsidP="00E83802">
            <w:pPr>
              <w:jc w:val="center"/>
              <w:rPr>
                <w:rFonts w:ascii="Meta Pro" w:eastAsia="Times New Roman" w:hAnsi="Meta Pro"/>
                <w:b/>
                <w:bCs/>
                <w:lang w:eastAsia="en-AU"/>
              </w:rPr>
            </w:pPr>
          </w:p>
        </w:tc>
        <w:tc>
          <w:tcPr>
            <w:tcW w:w="1157" w:type="dxa"/>
            <w:tcBorders>
              <w:top w:val="nil"/>
              <w:left w:val="nil"/>
              <w:bottom w:val="nil"/>
              <w:right w:val="nil"/>
            </w:tcBorders>
            <w:shd w:val="clear" w:color="auto" w:fill="auto"/>
            <w:noWrap/>
            <w:vAlign w:val="center"/>
            <w:hideMark/>
          </w:tcPr>
          <w:p w14:paraId="31C4AB43" w14:textId="77777777" w:rsidR="00BC5219" w:rsidRPr="008A2B8F" w:rsidRDefault="00BC5219" w:rsidP="00E83802">
            <w:pPr>
              <w:jc w:val="center"/>
              <w:rPr>
                <w:rFonts w:ascii="Meta Pro" w:eastAsia="Times New Roman" w:hAnsi="Meta Pro"/>
                <w:b/>
                <w:bCs/>
                <w:lang w:eastAsia="en-AU"/>
              </w:rPr>
            </w:pPr>
            <w:r w:rsidRPr="008A2B8F">
              <w:rPr>
                <w:rFonts w:ascii="Meta Pro" w:eastAsia="Times New Roman" w:hAnsi="Meta Pro"/>
                <w:b/>
                <w:bCs/>
                <w:lang w:eastAsia="en-AU"/>
              </w:rPr>
              <w:t>$'000</w:t>
            </w:r>
          </w:p>
        </w:tc>
      </w:tr>
    </w:tbl>
    <w:p w14:paraId="2FACD280" w14:textId="77777777" w:rsidR="00BC5219" w:rsidRPr="008A2B8F" w:rsidRDefault="00BC5219" w:rsidP="00BC5219">
      <w:pPr>
        <w:spacing w:after="120"/>
        <w:rPr>
          <w:rFonts w:ascii="Meta Pro" w:eastAsia="Times New Roman" w:hAnsi="Meta Pro"/>
          <w:b/>
          <w:bCs/>
          <w:lang w:eastAsia="en-AU"/>
        </w:rPr>
      </w:pPr>
      <w:r w:rsidRPr="008A2B8F">
        <w:rPr>
          <w:rFonts w:ascii="Meta Pro" w:eastAsia="Times New Roman" w:hAnsi="Meta Pro"/>
          <w:b/>
          <w:bCs/>
          <w:lang w:eastAsia="en-AU"/>
        </w:rPr>
        <w:t xml:space="preserve">28     SCHEDULE OF ADMINISTERED ITEMS </w:t>
      </w:r>
    </w:p>
    <w:p w14:paraId="14144B60" w14:textId="77777777" w:rsidR="00BC5219" w:rsidRPr="008A2B8F" w:rsidRDefault="00BC5219" w:rsidP="00BC5219">
      <w:pPr>
        <w:spacing w:after="120" w:line="259" w:lineRule="auto"/>
        <w:rPr>
          <w:rFonts w:ascii="Meta Pro" w:eastAsia="Times New Roman" w:hAnsi="Meta Pro"/>
          <w:color w:val="000000"/>
          <w:szCs w:val="18"/>
          <w:lang w:eastAsia="en-AU"/>
        </w:rPr>
      </w:pPr>
      <w:r w:rsidRPr="008A2B8F">
        <w:rPr>
          <w:rFonts w:ascii="Meta Pro" w:eastAsia="Times New Roman" w:hAnsi="Meta Pro"/>
          <w:color w:val="000000"/>
          <w:szCs w:val="18"/>
          <w:lang w:eastAsia="en-AU"/>
        </w:rPr>
        <w:t>The department administers, but does not control, certain resources on behalf of the government. In doing so, it has responsibility and is accountable for administering related transactions and balances but does not have the discretion to deploy these resources for the achievement of the department’s objectives.</w:t>
      </w:r>
    </w:p>
    <w:p w14:paraId="699C514D" w14:textId="77777777" w:rsidR="00BC5219" w:rsidRPr="008A2B8F" w:rsidRDefault="00BC5219" w:rsidP="00BC5219">
      <w:pPr>
        <w:spacing w:before="120" w:after="120"/>
        <w:rPr>
          <w:rFonts w:ascii="Meta Pro" w:hAnsi="Meta Pro" w:cstheme="minorBidi"/>
        </w:rPr>
      </w:pPr>
      <w:r w:rsidRPr="008A2B8F">
        <w:rPr>
          <w:rFonts w:ascii="Meta Pro" w:eastAsia="Times New Roman" w:hAnsi="Meta Pro"/>
          <w:color w:val="000000"/>
          <w:szCs w:val="18"/>
          <w:lang w:eastAsia="en-AU"/>
        </w:rPr>
        <w:t>The department also performs the following certain agency transactions which are not recognised in the department's financial statements:</w:t>
      </w:r>
    </w:p>
    <w:tbl>
      <w:tblPr>
        <w:tblW w:w="0" w:type="auto"/>
        <w:tblCellMar>
          <w:left w:w="0" w:type="dxa"/>
        </w:tblCellMar>
        <w:tblLook w:val="04A0" w:firstRow="1" w:lastRow="0" w:firstColumn="1" w:lastColumn="0" w:noHBand="0" w:noVBand="1"/>
      </w:tblPr>
      <w:tblGrid>
        <w:gridCol w:w="7144"/>
        <w:gridCol w:w="1164"/>
        <w:gridCol w:w="224"/>
        <w:gridCol w:w="1164"/>
      </w:tblGrid>
      <w:tr w:rsidR="00BC5219" w:rsidRPr="008A2B8F" w14:paraId="095EF461" w14:textId="77777777" w:rsidTr="00E83802">
        <w:trPr>
          <w:trHeight w:val="198"/>
        </w:trPr>
        <w:tc>
          <w:tcPr>
            <w:tcW w:w="7136" w:type="dxa"/>
            <w:tcBorders>
              <w:top w:val="nil"/>
              <w:left w:val="nil"/>
              <w:bottom w:val="nil"/>
              <w:right w:val="nil"/>
            </w:tcBorders>
            <w:shd w:val="clear" w:color="auto" w:fill="auto"/>
            <w:noWrap/>
            <w:vAlign w:val="center"/>
            <w:hideMark/>
          </w:tcPr>
          <w:p w14:paraId="2CE7F65A"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Agency</w:t>
            </w:r>
          </w:p>
        </w:tc>
        <w:tc>
          <w:tcPr>
            <w:tcW w:w="1156" w:type="dxa"/>
            <w:tcBorders>
              <w:top w:val="nil"/>
              <w:left w:val="nil"/>
              <w:bottom w:val="nil"/>
              <w:right w:val="nil"/>
            </w:tcBorders>
            <w:shd w:val="clear" w:color="auto" w:fill="auto"/>
            <w:noWrap/>
            <w:vAlign w:val="center"/>
            <w:hideMark/>
          </w:tcPr>
          <w:p w14:paraId="59E2AC71" w14:textId="77777777" w:rsidR="00BC5219" w:rsidRPr="008A2B8F" w:rsidRDefault="00BC5219" w:rsidP="00E83802">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67FE4B68" w14:textId="77777777" w:rsidR="00BC5219" w:rsidRPr="008A2B8F" w:rsidRDefault="00BC5219" w:rsidP="00E83802">
            <w:pPr>
              <w:rPr>
                <w:rFonts w:ascii="Meta Pro" w:eastAsia="Times New Roman" w:hAnsi="Meta Pro"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219FC540" w14:textId="77777777" w:rsidR="00BC5219" w:rsidRPr="008A2B8F" w:rsidRDefault="00BC5219" w:rsidP="00E83802">
            <w:pPr>
              <w:jc w:val="right"/>
              <w:rPr>
                <w:rFonts w:ascii="Meta Pro" w:eastAsia="Times New Roman" w:hAnsi="Meta Pro" w:cs="Times New Roman"/>
                <w:sz w:val="20"/>
                <w:szCs w:val="20"/>
                <w:lang w:eastAsia="en-AU"/>
              </w:rPr>
            </w:pPr>
          </w:p>
        </w:tc>
      </w:tr>
      <w:tr w:rsidR="00BC5219" w:rsidRPr="008A2B8F" w14:paraId="5161F46B" w14:textId="77777777" w:rsidTr="00E83802">
        <w:trPr>
          <w:trHeight w:val="198"/>
        </w:trPr>
        <w:tc>
          <w:tcPr>
            <w:tcW w:w="7136" w:type="dxa"/>
            <w:tcBorders>
              <w:top w:val="nil"/>
              <w:left w:val="nil"/>
              <w:bottom w:val="nil"/>
              <w:right w:val="nil"/>
            </w:tcBorders>
            <w:shd w:val="clear" w:color="auto" w:fill="auto"/>
            <w:noWrap/>
            <w:vAlign w:val="center"/>
            <w:hideMark/>
          </w:tcPr>
          <w:p w14:paraId="1AD1F5B2"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Compulsory Third Party (CTP) insurers – premiums</w:t>
            </w:r>
          </w:p>
        </w:tc>
        <w:tc>
          <w:tcPr>
            <w:tcW w:w="1156" w:type="dxa"/>
            <w:tcBorders>
              <w:top w:val="nil"/>
              <w:left w:val="nil"/>
              <w:bottom w:val="nil"/>
              <w:right w:val="nil"/>
            </w:tcBorders>
            <w:shd w:val="clear" w:color="000000" w:fill="C9E3B4"/>
            <w:noWrap/>
            <w:vAlign w:val="center"/>
            <w:hideMark/>
          </w:tcPr>
          <w:p w14:paraId="03CB79F2"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1,119,979 </w:t>
            </w:r>
          </w:p>
        </w:tc>
        <w:tc>
          <w:tcPr>
            <w:tcW w:w="216" w:type="dxa"/>
            <w:tcBorders>
              <w:top w:val="nil"/>
              <w:left w:val="nil"/>
              <w:bottom w:val="nil"/>
              <w:right w:val="nil"/>
            </w:tcBorders>
            <w:shd w:val="clear" w:color="auto" w:fill="auto"/>
            <w:noWrap/>
            <w:vAlign w:val="center"/>
            <w:hideMark/>
          </w:tcPr>
          <w:p w14:paraId="3011E8F2"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3A224FF3"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1,061,188 </w:t>
            </w:r>
          </w:p>
        </w:tc>
      </w:tr>
      <w:tr w:rsidR="00BC5219" w:rsidRPr="008A2B8F" w14:paraId="0C8A7227" w14:textId="77777777" w:rsidTr="00E83802">
        <w:trPr>
          <w:trHeight w:val="198"/>
        </w:trPr>
        <w:tc>
          <w:tcPr>
            <w:tcW w:w="7136" w:type="dxa"/>
            <w:tcBorders>
              <w:top w:val="nil"/>
              <w:left w:val="nil"/>
              <w:bottom w:val="nil"/>
              <w:right w:val="nil"/>
            </w:tcBorders>
            <w:shd w:val="clear" w:color="auto" w:fill="auto"/>
            <w:noWrap/>
            <w:vAlign w:val="center"/>
            <w:hideMark/>
          </w:tcPr>
          <w:p w14:paraId="35EA903A"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Motor Accident Insurance Commission – levy</w:t>
            </w:r>
          </w:p>
        </w:tc>
        <w:tc>
          <w:tcPr>
            <w:tcW w:w="1156" w:type="dxa"/>
            <w:tcBorders>
              <w:top w:val="nil"/>
              <w:left w:val="nil"/>
              <w:bottom w:val="nil"/>
              <w:right w:val="nil"/>
            </w:tcBorders>
            <w:shd w:val="clear" w:color="000000" w:fill="C9E3B4"/>
            <w:noWrap/>
            <w:vAlign w:val="center"/>
            <w:hideMark/>
          </w:tcPr>
          <w:p w14:paraId="02ABD55E"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94,802 </w:t>
            </w:r>
          </w:p>
        </w:tc>
        <w:tc>
          <w:tcPr>
            <w:tcW w:w="216" w:type="dxa"/>
            <w:tcBorders>
              <w:top w:val="nil"/>
              <w:left w:val="nil"/>
              <w:bottom w:val="nil"/>
              <w:right w:val="nil"/>
            </w:tcBorders>
            <w:shd w:val="clear" w:color="auto" w:fill="auto"/>
            <w:noWrap/>
            <w:vAlign w:val="center"/>
            <w:hideMark/>
          </w:tcPr>
          <w:p w14:paraId="152537E4"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4FDDD6E8"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130,547 </w:t>
            </w:r>
          </w:p>
        </w:tc>
      </w:tr>
      <w:tr w:rsidR="00BC5219" w:rsidRPr="008A2B8F" w14:paraId="369CD833" w14:textId="77777777" w:rsidTr="00E83802">
        <w:trPr>
          <w:trHeight w:val="198"/>
        </w:trPr>
        <w:tc>
          <w:tcPr>
            <w:tcW w:w="7136" w:type="dxa"/>
            <w:tcBorders>
              <w:top w:val="nil"/>
              <w:left w:val="nil"/>
              <w:bottom w:val="nil"/>
              <w:right w:val="nil"/>
            </w:tcBorders>
            <w:shd w:val="clear" w:color="auto" w:fill="auto"/>
            <w:noWrap/>
            <w:vAlign w:val="center"/>
            <w:hideMark/>
          </w:tcPr>
          <w:p w14:paraId="3649FCEA"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 xml:space="preserve">National Injury Insurance Agency Queensland – levy </w:t>
            </w:r>
          </w:p>
        </w:tc>
        <w:tc>
          <w:tcPr>
            <w:tcW w:w="1156" w:type="dxa"/>
            <w:tcBorders>
              <w:top w:val="nil"/>
              <w:left w:val="nil"/>
              <w:bottom w:val="nil"/>
              <w:right w:val="nil"/>
            </w:tcBorders>
            <w:shd w:val="clear" w:color="000000" w:fill="C9E3B4"/>
            <w:noWrap/>
            <w:vAlign w:val="center"/>
            <w:hideMark/>
          </w:tcPr>
          <w:p w14:paraId="4F786011"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565,943 </w:t>
            </w:r>
          </w:p>
        </w:tc>
        <w:tc>
          <w:tcPr>
            <w:tcW w:w="216" w:type="dxa"/>
            <w:tcBorders>
              <w:top w:val="nil"/>
              <w:left w:val="nil"/>
              <w:bottom w:val="nil"/>
              <w:right w:val="nil"/>
            </w:tcBorders>
            <w:shd w:val="clear" w:color="auto" w:fill="auto"/>
            <w:noWrap/>
            <w:vAlign w:val="center"/>
            <w:hideMark/>
          </w:tcPr>
          <w:p w14:paraId="580A5BD1"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2071537E"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505,164 </w:t>
            </w:r>
          </w:p>
        </w:tc>
      </w:tr>
      <w:tr w:rsidR="00BC5219" w:rsidRPr="008A2B8F" w14:paraId="3734B85C" w14:textId="77777777" w:rsidTr="00E83802">
        <w:trPr>
          <w:trHeight w:val="198"/>
        </w:trPr>
        <w:tc>
          <w:tcPr>
            <w:tcW w:w="7136" w:type="dxa"/>
            <w:tcBorders>
              <w:top w:val="nil"/>
              <w:left w:val="nil"/>
              <w:bottom w:val="nil"/>
              <w:right w:val="nil"/>
            </w:tcBorders>
            <w:shd w:val="clear" w:color="auto" w:fill="auto"/>
            <w:noWrap/>
            <w:vAlign w:val="center"/>
            <w:hideMark/>
          </w:tcPr>
          <w:p w14:paraId="3A1EE4AF"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Queensland Revenue Office – stamp duty, fines and penalties</w:t>
            </w:r>
          </w:p>
        </w:tc>
        <w:tc>
          <w:tcPr>
            <w:tcW w:w="1156" w:type="dxa"/>
            <w:tcBorders>
              <w:top w:val="nil"/>
              <w:left w:val="nil"/>
              <w:bottom w:val="nil"/>
              <w:right w:val="nil"/>
            </w:tcBorders>
            <w:shd w:val="clear" w:color="000000" w:fill="C9E3B4"/>
            <w:noWrap/>
            <w:vAlign w:val="center"/>
            <w:hideMark/>
          </w:tcPr>
          <w:p w14:paraId="4E37E457"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793,082 </w:t>
            </w:r>
          </w:p>
        </w:tc>
        <w:tc>
          <w:tcPr>
            <w:tcW w:w="216" w:type="dxa"/>
            <w:tcBorders>
              <w:top w:val="nil"/>
              <w:left w:val="nil"/>
              <w:bottom w:val="nil"/>
              <w:right w:val="nil"/>
            </w:tcBorders>
            <w:shd w:val="clear" w:color="auto" w:fill="auto"/>
            <w:noWrap/>
            <w:vAlign w:val="center"/>
            <w:hideMark/>
          </w:tcPr>
          <w:p w14:paraId="513FC47B"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16618B96"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779,967 </w:t>
            </w:r>
          </w:p>
        </w:tc>
      </w:tr>
      <w:tr w:rsidR="00BC5219" w:rsidRPr="008A2B8F" w14:paraId="1BB73A24" w14:textId="77777777" w:rsidTr="00E83802">
        <w:trPr>
          <w:trHeight w:val="198"/>
        </w:trPr>
        <w:tc>
          <w:tcPr>
            <w:tcW w:w="7136" w:type="dxa"/>
            <w:tcBorders>
              <w:top w:val="nil"/>
              <w:left w:val="nil"/>
              <w:bottom w:val="nil"/>
              <w:right w:val="nil"/>
            </w:tcBorders>
            <w:shd w:val="clear" w:color="auto" w:fill="auto"/>
            <w:noWrap/>
            <w:vAlign w:val="center"/>
            <w:hideMark/>
          </w:tcPr>
          <w:p w14:paraId="7C91641B" w14:textId="77777777" w:rsidR="00BC5219" w:rsidRPr="008A2B8F" w:rsidRDefault="00BC5219" w:rsidP="00E83802">
            <w:pPr>
              <w:rPr>
                <w:rFonts w:ascii="Meta Pro" w:eastAsia="Times New Roman" w:hAnsi="Meta Pro"/>
                <w:szCs w:val="18"/>
                <w:lang w:eastAsia="en-AU"/>
              </w:rPr>
            </w:pPr>
            <w:r w:rsidRPr="008A2B8F">
              <w:rPr>
                <w:rFonts w:ascii="Meta Pro" w:eastAsia="Times New Roman" w:hAnsi="Meta Pro"/>
                <w:szCs w:val="18"/>
                <w:lang w:eastAsia="en-AU"/>
              </w:rPr>
              <w:t>National Heavy Vehicle Regulator – registration fee</w:t>
            </w:r>
          </w:p>
        </w:tc>
        <w:tc>
          <w:tcPr>
            <w:tcW w:w="1156" w:type="dxa"/>
            <w:tcBorders>
              <w:top w:val="nil"/>
              <w:left w:val="nil"/>
              <w:bottom w:val="nil"/>
              <w:right w:val="nil"/>
            </w:tcBorders>
            <w:shd w:val="clear" w:color="000000" w:fill="C9E3B4"/>
            <w:noWrap/>
            <w:vAlign w:val="center"/>
            <w:hideMark/>
          </w:tcPr>
          <w:p w14:paraId="70BA52F9"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48,074 </w:t>
            </w:r>
          </w:p>
        </w:tc>
        <w:tc>
          <w:tcPr>
            <w:tcW w:w="216" w:type="dxa"/>
            <w:tcBorders>
              <w:top w:val="nil"/>
              <w:left w:val="nil"/>
              <w:bottom w:val="nil"/>
              <w:right w:val="nil"/>
            </w:tcBorders>
            <w:shd w:val="clear" w:color="auto" w:fill="auto"/>
            <w:noWrap/>
            <w:vAlign w:val="center"/>
            <w:hideMark/>
          </w:tcPr>
          <w:p w14:paraId="370DFB57" w14:textId="77777777" w:rsidR="00BC5219" w:rsidRPr="008A2B8F"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2E700D33"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xml:space="preserve">46,125 </w:t>
            </w:r>
          </w:p>
        </w:tc>
      </w:tr>
      <w:tr w:rsidR="00BC5219" w:rsidRPr="008A2B8F" w14:paraId="0951CA71" w14:textId="77777777" w:rsidTr="00E83802">
        <w:trPr>
          <w:trHeight w:val="198"/>
        </w:trPr>
        <w:tc>
          <w:tcPr>
            <w:tcW w:w="7136" w:type="dxa"/>
            <w:tcBorders>
              <w:top w:val="single" w:sz="4" w:space="0" w:color="auto"/>
              <w:left w:val="nil"/>
              <w:bottom w:val="double" w:sz="6" w:space="0" w:color="auto"/>
              <w:right w:val="nil"/>
            </w:tcBorders>
            <w:shd w:val="clear" w:color="auto" w:fill="auto"/>
            <w:noWrap/>
            <w:vAlign w:val="center"/>
            <w:hideMark/>
          </w:tcPr>
          <w:p w14:paraId="5F3E3E09"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Total</w:t>
            </w:r>
          </w:p>
        </w:tc>
        <w:tc>
          <w:tcPr>
            <w:tcW w:w="1156" w:type="dxa"/>
            <w:tcBorders>
              <w:top w:val="single" w:sz="4" w:space="0" w:color="auto"/>
              <w:left w:val="nil"/>
              <w:bottom w:val="double" w:sz="6" w:space="0" w:color="auto"/>
              <w:right w:val="nil"/>
            </w:tcBorders>
            <w:shd w:val="clear" w:color="000000" w:fill="C9E3B4"/>
            <w:noWrap/>
            <w:vAlign w:val="center"/>
            <w:hideMark/>
          </w:tcPr>
          <w:p w14:paraId="71DEB9A1"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2,621,880 </w:t>
            </w:r>
          </w:p>
        </w:tc>
        <w:tc>
          <w:tcPr>
            <w:tcW w:w="216" w:type="dxa"/>
            <w:tcBorders>
              <w:top w:val="single" w:sz="4" w:space="0" w:color="auto"/>
              <w:left w:val="nil"/>
              <w:bottom w:val="double" w:sz="6" w:space="0" w:color="auto"/>
              <w:right w:val="nil"/>
            </w:tcBorders>
            <w:shd w:val="clear" w:color="auto" w:fill="auto"/>
            <w:noWrap/>
            <w:vAlign w:val="center"/>
            <w:hideMark/>
          </w:tcPr>
          <w:p w14:paraId="088457F1" w14:textId="77777777" w:rsidR="00BC5219" w:rsidRPr="008A2B8F" w:rsidRDefault="00BC5219" w:rsidP="00E83802">
            <w:pPr>
              <w:jc w:val="right"/>
              <w:rPr>
                <w:rFonts w:ascii="Meta Pro" w:eastAsia="Times New Roman" w:hAnsi="Meta Pro"/>
                <w:szCs w:val="18"/>
                <w:lang w:eastAsia="en-AU"/>
              </w:rPr>
            </w:pPr>
            <w:r w:rsidRPr="008A2B8F">
              <w:rPr>
                <w:rFonts w:ascii="Meta Pro" w:eastAsia="Times New Roman" w:hAnsi="Meta Pro"/>
                <w:szCs w:val="18"/>
                <w:lang w:eastAsia="en-AU"/>
              </w:rPr>
              <w:t> </w:t>
            </w:r>
          </w:p>
        </w:tc>
        <w:tc>
          <w:tcPr>
            <w:tcW w:w="1156" w:type="dxa"/>
            <w:tcBorders>
              <w:top w:val="single" w:sz="4" w:space="0" w:color="auto"/>
              <w:left w:val="nil"/>
              <w:bottom w:val="double" w:sz="6" w:space="0" w:color="auto"/>
              <w:right w:val="nil"/>
            </w:tcBorders>
            <w:shd w:val="clear" w:color="auto" w:fill="auto"/>
            <w:noWrap/>
            <w:vAlign w:val="center"/>
            <w:hideMark/>
          </w:tcPr>
          <w:p w14:paraId="582E752B" w14:textId="77777777" w:rsidR="00BC5219" w:rsidRPr="008A2B8F" w:rsidRDefault="00BC5219" w:rsidP="00E83802">
            <w:pPr>
              <w:jc w:val="right"/>
              <w:rPr>
                <w:rFonts w:ascii="Meta Pro" w:eastAsia="Times New Roman" w:hAnsi="Meta Pro"/>
                <w:b/>
                <w:bCs/>
                <w:szCs w:val="18"/>
                <w:lang w:eastAsia="en-AU"/>
              </w:rPr>
            </w:pPr>
            <w:r w:rsidRPr="008A2B8F">
              <w:rPr>
                <w:rFonts w:ascii="Meta Pro" w:eastAsia="Times New Roman" w:hAnsi="Meta Pro"/>
                <w:b/>
                <w:bCs/>
                <w:szCs w:val="18"/>
                <w:lang w:eastAsia="en-AU"/>
              </w:rPr>
              <w:t xml:space="preserve">2,522,991 </w:t>
            </w:r>
          </w:p>
        </w:tc>
      </w:tr>
    </w:tbl>
    <w:p w14:paraId="21D00008" w14:textId="77777777" w:rsidR="00BC5219" w:rsidRPr="008A2B8F" w:rsidRDefault="00BC5219" w:rsidP="00BC5219">
      <w:pPr>
        <w:spacing w:before="120" w:after="120"/>
        <w:rPr>
          <w:rFonts w:ascii="Meta Pro" w:eastAsia="Times New Roman" w:hAnsi="Meta Pro"/>
          <w:color w:val="000000"/>
          <w:szCs w:val="18"/>
          <w:lang w:eastAsia="en-AU"/>
        </w:rPr>
      </w:pPr>
      <w:r w:rsidRPr="008A2B8F">
        <w:rPr>
          <w:rFonts w:ascii="Meta Pro" w:eastAsia="Times New Roman" w:hAnsi="Meta Pro"/>
          <w:color w:val="000000"/>
          <w:szCs w:val="18"/>
          <w:lang w:eastAsia="en-AU"/>
        </w:rPr>
        <w:t xml:space="preserve">Administered revenue is recognised upon receipt. </w:t>
      </w:r>
    </w:p>
    <w:p w14:paraId="439E0879" w14:textId="77777777" w:rsidR="00BC5219" w:rsidRDefault="00BC5219" w:rsidP="00BC5219">
      <w:pPr>
        <w:spacing w:after="120"/>
        <w:rPr>
          <w:rFonts w:ascii="Meta Pro" w:eastAsia="Times New Roman" w:hAnsi="Meta Pro"/>
          <w:color w:val="000000"/>
          <w:szCs w:val="18"/>
          <w:lang w:eastAsia="en-AU"/>
        </w:rPr>
      </w:pPr>
      <w:r w:rsidRPr="008A2B8F">
        <w:rPr>
          <w:rFonts w:ascii="Meta Pro" w:eastAsia="Times New Roman" w:hAnsi="Meta Pro"/>
          <w:color w:val="000000"/>
          <w:szCs w:val="18"/>
          <w:lang w:eastAsia="en-AU"/>
        </w:rPr>
        <w:t xml:space="preserve">In July 2022 stage two of the Public Service Departmental Arrangements Notice (No. 1) 2022 was gazetted to transfer the fines and penalty debt administration functions of the department associated with mobile phone and seatbelt offences to the Queensland Revenue Office within Queensland Treasury, effective from 1 December 2022.  Refer to Note 1. </w:t>
      </w:r>
    </w:p>
    <w:p w14:paraId="20B7F46F" w14:textId="77777777" w:rsidR="00BC5219" w:rsidRPr="00F444F0" w:rsidRDefault="00BC5219" w:rsidP="00BC5219">
      <w:pPr>
        <w:spacing w:before="120"/>
        <w:rPr>
          <w:rFonts w:ascii="Meta Pro" w:eastAsia="Times New Roman" w:hAnsi="Meta Pro"/>
          <w:szCs w:val="18"/>
          <w:lang w:eastAsia="en-AU"/>
        </w:rPr>
      </w:pPr>
      <w:r w:rsidRPr="008A2B8F">
        <w:rPr>
          <w:rFonts w:ascii="Meta Pro" w:eastAsia="Times New Roman" w:hAnsi="Meta Pro"/>
          <w:szCs w:val="18"/>
          <w:lang w:eastAsia="en-AU"/>
        </w:rPr>
        <w:t>Public Service Departmental Arrangements Notice (No.2) 2023 dated 18 May 2023 transferred the functions</w:t>
      </w:r>
      <w:r>
        <w:rPr>
          <w:rFonts w:ascii="Meta Pro" w:eastAsia="Times New Roman" w:hAnsi="Meta Pro"/>
          <w:szCs w:val="18"/>
          <w:lang w:eastAsia="en-AU"/>
        </w:rPr>
        <w:t>,</w:t>
      </w:r>
      <w:r w:rsidRPr="008A2B8F">
        <w:rPr>
          <w:rFonts w:ascii="Meta Pro" w:eastAsia="Times New Roman" w:hAnsi="Meta Pro"/>
          <w:szCs w:val="18"/>
          <w:lang w:eastAsia="en-AU"/>
        </w:rPr>
        <w:t xml:space="preserve"> </w:t>
      </w:r>
      <w:r>
        <w:rPr>
          <w:rFonts w:ascii="Meta Pro" w:eastAsia="Times New Roman" w:hAnsi="Meta Pro"/>
          <w:szCs w:val="18"/>
          <w:lang w:eastAsia="en-AU"/>
        </w:rPr>
        <w:t xml:space="preserve">including administered items, </w:t>
      </w:r>
      <w:r w:rsidRPr="008A2B8F">
        <w:rPr>
          <w:rFonts w:ascii="Meta Pro" w:eastAsia="Times New Roman" w:hAnsi="Meta Pro"/>
          <w:szCs w:val="18"/>
          <w:lang w:eastAsia="en-AU"/>
        </w:rPr>
        <w:t xml:space="preserve">of the Queensland Government Customer and Digital </w:t>
      </w:r>
      <w:r>
        <w:rPr>
          <w:rFonts w:ascii="Meta Pro" w:eastAsia="Times New Roman" w:hAnsi="Meta Pro"/>
          <w:szCs w:val="18"/>
          <w:lang w:eastAsia="en-AU"/>
        </w:rPr>
        <w:t>Group (QGCDG)</w:t>
      </w:r>
      <w:r w:rsidRPr="008A2B8F">
        <w:rPr>
          <w:rFonts w:ascii="Meta Pro" w:eastAsia="Times New Roman" w:hAnsi="Meta Pro"/>
          <w:szCs w:val="18"/>
          <w:lang w:eastAsia="en-AU"/>
        </w:rPr>
        <w:t xml:space="preserve"> </w:t>
      </w:r>
      <w:r>
        <w:rPr>
          <w:rFonts w:ascii="Meta Pro" w:eastAsia="Times New Roman" w:hAnsi="Meta Pro"/>
          <w:szCs w:val="18"/>
          <w:lang w:eastAsia="en-AU"/>
        </w:rPr>
        <w:t xml:space="preserve">from </w:t>
      </w:r>
      <w:r w:rsidRPr="008A2B8F">
        <w:rPr>
          <w:rFonts w:ascii="Meta Pro" w:eastAsia="Times New Roman" w:hAnsi="Meta Pro"/>
          <w:szCs w:val="18"/>
          <w:lang w:eastAsia="en-AU"/>
        </w:rPr>
        <w:t xml:space="preserve">the former Department of Communities, Housing and Digital Economy (DCHDE) to the Department of </w:t>
      </w:r>
      <w:r w:rsidRPr="0052304F">
        <w:rPr>
          <w:rFonts w:ascii="Meta Pro" w:eastAsia="Times New Roman" w:hAnsi="Meta Pro"/>
          <w:szCs w:val="18"/>
          <w:lang w:eastAsia="en-AU"/>
        </w:rPr>
        <w:t>Transport and Main Roads.</w:t>
      </w:r>
      <w:r w:rsidRPr="008A2B8F">
        <w:rPr>
          <w:rFonts w:ascii="Meta Pro" w:eastAsia="Times New Roman" w:hAnsi="Meta Pro"/>
          <w:szCs w:val="18"/>
          <w:lang w:eastAsia="en-AU"/>
        </w:rPr>
        <w:t xml:space="preserve"> </w:t>
      </w:r>
      <w:r>
        <w:rPr>
          <w:rFonts w:ascii="Meta Pro" w:eastAsia="Times New Roman" w:hAnsi="Meta Pro"/>
          <w:szCs w:val="18"/>
          <w:lang w:eastAsia="en-AU"/>
        </w:rPr>
        <w:t>Refer to Note 1.</w:t>
      </w:r>
    </w:p>
    <w:p w14:paraId="4C28FE12" w14:textId="77777777" w:rsidR="00BC5219" w:rsidRPr="008A2B8F" w:rsidRDefault="00BC5219" w:rsidP="00BC5219">
      <w:pPr>
        <w:spacing w:before="120" w:after="120"/>
        <w:rPr>
          <w:rFonts w:ascii="Meta Pro" w:eastAsia="Times New Roman" w:hAnsi="Meta Pro"/>
          <w:i/>
          <w:iCs/>
          <w:color w:val="000000" w:themeColor="text1"/>
          <w:lang w:eastAsia="en-AU"/>
        </w:rPr>
      </w:pPr>
      <w:r w:rsidRPr="008A2B8F">
        <w:rPr>
          <w:rFonts w:ascii="Meta Pro" w:eastAsia="Times New Roman" w:hAnsi="Meta Pro"/>
          <w:color w:val="000000"/>
          <w:szCs w:val="18"/>
          <w:lang w:eastAsia="en-AU"/>
        </w:rPr>
        <w:t xml:space="preserve">The following balances are administered by the department on behalf of the state and </w:t>
      </w:r>
      <w:r>
        <w:rPr>
          <w:rFonts w:ascii="Meta Pro" w:eastAsia="Times New Roman" w:hAnsi="Meta Pro"/>
          <w:color w:val="000000"/>
          <w:szCs w:val="18"/>
          <w:lang w:eastAsia="en-AU"/>
        </w:rPr>
        <w:t>mainly</w:t>
      </w:r>
      <w:r w:rsidRPr="008A2B8F">
        <w:rPr>
          <w:rFonts w:ascii="Meta Pro" w:eastAsia="Times New Roman" w:hAnsi="Meta Pro"/>
          <w:color w:val="000000"/>
          <w:szCs w:val="18"/>
          <w:lang w:eastAsia="en-AU"/>
        </w:rPr>
        <w:t xml:space="preserve"> relate to the Transport Safety and Regulation departmental service area</w:t>
      </w:r>
      <w:r>
        <w:rPr>
          <w:rFonts w:ascii="Meta Pro" w:eastAsia="Times New Roman" w:hAnsi="Meta Pro"/>
          <w:color w:val="000000"/>
          <w:szCs w:val="18"/>
          <w:lang w:eastAsia="en-AU"/>
        </w:rPr>
        <w:t>.</w:t>
      </w:r>
    </w:p>
    <w:p w14:paraId="5BA7D7C6"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p>
    <w:p w14:paraId="510D9B99"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p>
    <w:p w14:paraId="1217202A"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p>
    <w:p w14:paraId="1C39AE19" w14:textId="77777777" w:rsidR="00BC5219" w:rsidRDefault="00BC5219" w:rsidP="00BC5219">
      <w:pPr>
        <w:pBdr>
          <w:bottom w:val="single" w:sz="4" w:space="1" w:color="auto"/>
        </w:pBdr>
        <w:rPr>
          <w:rFonts w:ascii="Meta Pro" w:eastAsia="Times New Roman" w:hAnsi="Meta Pro"/>
          <w:i/>
          <w:iCs/>
          <w:color w:val="000000" w:themeColor="text1"/>
          <w:lang w:eastAsia="en-AU"/>
        </w:rPr>
      </w:pPr>
    </w:p>
    <w:p w14:paraId="6BD8A974"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r w:rsidRPr="008A2B8F">
        <w:rPr>
          <w:rFonts w:ascii="Meta Pro" w:eastAsia="Times New Roman" w:hAnsi="Meta Pro"/>
          <w:i/>
          <w:iCs/>
          <w:color w:val="000000" w:themeColor="text1"/>
          <w:lang w:eastAsia="en-AU"/>
        </w:rPr>
        <w:t>Department of Transport and Main Roads</w:t>
      </w:r>
    </w:p>
    <w:p w14:paraId="71E9C611"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Notes to the financial statements 2022–23 (continued)</w:t>
      </w:r>
    </w:p>
    <w:p w14:paraId="30606EFE" w14:textId="77777777" w:rsidR="00BC5219" w:rsidRDefault="00BC5219" w:rsidP="00BC5219">
      <w:pPr>
        <w:rPr>
          <w:rFonts w:asciiTheme="minorHAnsi" w:hAnsiTheme="minorHAnsi" w:cstheme="minorBidi"/>
        </w:rPr>
      </w:pPr>
    </w:p>
    <w:tbl>
      <w:tblPr>
        <w:tblW w:w="0" w:type="auto"/>
        <w:tblCellMar>
          <w:left w:w="0" w:type="dxa"/>
        </w:tblCellMar>
        <w:tblLook w:val="04A0" w:firstRow="1" w:lastRow="0" w:firstColumn="1" w:lastColumn="0" w:noHBand="0" w:noVBand="1"/>
      </w:tblPr>
      <w:tblGrid>
        <w:gridCol w:w="7667"/>
        <w:gridCol w:w="1157"/>
        <w:gridCol w:w="223"/>
        <w:gridCol w:w="1157"/>
      </w:tblGrid>
      <w:tr w:rsidR="00BC5219" w:rsidRPr="00910399" w14:paraId="35F06E2D" w14:textId="77777777" w:rsidTr="00E83802">
        <w:trPr>
          <w:trHeight w:val="240"/>
        </w:trPr>
        <w:tc>
          <w:tcPr>
            <w:tcW w:w="7711" w:type="dxa"/>
            <w:tcBorders>
              <w:top w:val="nil"/>
              <w:left w:val="nil"/>
              <w:bottom w:val="nil"/>
              <w:right w:val="nil"/>
            </w:tcBorders>
            <w:shd w:val="clear" w:color="auto" w:fill="auto"/>
            <w:noWrap/>
            <w:vAlign w:val="center"/>
            <w:hideMark/>
          </w:tcPr>
          <w:p w14:paraId="7E8EC0A4" w14:textId="77777777" w:rsidR="00BC5219" w:rsidRPr="00910399" w:rsidRDefault="00BC5219" w:rsidP="00E83802">
            <w:pPr>
              <w:rPr>
                <w:rFonts w:ascii="Times New Roman" w:eastAsia="Times New Roman" w:hAnsi="Times New Roman" w:cs="Times New Roman"/>
                <w:sz w:val="24"/>
                <w:szCs w:val="24"/>
                <w:lang w:eastAsia="en-AU"/>
              </w:rPr>
            </w:pPr>
          </w:p>
        </w:tc>
        <w:tc>
          <w:tcPr>
            <w:tcW w:w="1156" w:type="dxa"/>
            <w:tcBorders>
              <w:top w:val="nil"/>
              <w:left w:val="nil"/>
              <w:bottom w:val="nil"/>
              <w:right w:val="nil"/>
            </w:tcBorders>
            <w:shd w:val="clear" w:color="auto" w:fill="auto"/>
            <w:noWrap/>
            <w:vAlign w:val="center"/>
            <w:hideMark/>
          </w:tcPr>
          <w:p w14:paraId="45814086" w14:textId="77777777" w:rsidR="00BC5219" w:rsidRPr="00910399" w:rsidRDefault="00BC5219" w:rsidP="00E83802">
            <w:pPr>
              <w:jc w:val="center"/>
              <w:rPr>
                <w:rFonts w:ascii="Meta Pro" w:eastAsia="Times New Roman" w:hAnsi="Meta Pro"/>
                <w:b/>
                <w:bCs/>
                <w:lang w:eastAsia="en-AU"/>
              </w:rPr>
            </w:pPr>
            <w:r w:rsidRPr="00910399">
              <w:rPr>
                <w:rFonts w:ascii="Meta Pro" w:eastAsia="Times New Roman" w:hAnsi="Meta Pro"/>
                <w:b/>
                <w:bCs/>
                <w:lang w:eastAsia="en-AU"/>
              </w:rPr>
              <w:t>2023</w:t>
            </w:r>
          </w:p>
        </w:tc>
        <w:tc>
          <w:tcPr>
            <w:tcW w:w="216" w:type="dxa"/>
            <w:tcBorders>
              <w:top w:val="nil"/>
              <w:left w:val="nil"/>
              <w:bottom w:val="nil"/>
              <w:right w:val="nil"/>
            </w:tcBorders>
            <w:shd w:val="clear" w:color="auto" w:fill="auto"/>
            <w:noWrap/>
            <w:vAlign w:val="center"/>
            <w:hideMark/>
          </w:tcPr>
          <w:p w14:paraId="0A9532B8" w14:textId="77777777" w:rsidR="00BC5219" w:rsidRPr="00910399" w:rsidRDefault="00BC5219" w:rsidP="00E83802">
            <w:pPr>
              <w:jc w:val="center"/>
              <w:rPr>
                <w:rFonts w:ascii="Meta Pro" w:eastAsia="Times New Roman" w:hAnsi="Meta Pro"/>
                <w:b/>
                <w:bCs/>
                <w:lang w:eastAsia="en-AU"/>
              </w:rPr>
            </w:pPr>
          </w:p>
        </w:tc>
        <w:tc>
          <w:tcPr>
            <w:tcW w:w="1156" w:type="dxa"/>
            <w:tcBorders>
              <w:top w:val="nil"/>
              <w:left w:val="nil"/>
              <w:bottom w:val="nil"/>
              <w:right w:val="nil"/>
            </w:tcBorders>
            <w:shd w:val="clear" w:color="auto" w:fill="auto"/>
            <w:noWrap/>
            <w:vAlign w:val="center"/>
            <w:hideMark/>
          </w:tcPr>
          <w:p w14:paraId="18C76EC0" w14:textId="77777777" w:rsidR="00BC5219" w:rsidRPr="00910399" w:rsidRDefault="00BC5219" w:rsidP="00E83802">
            <w:pPr>
              <w:jc w:val="center"/>
              <w:rPr>
                <w:rFonts w:ascii="Meta Pro" w:eastAsia="Times New Roman" w:hAnsi="Meta Pro"/>
                <w:b/>
                <w:bCs/>
                <w:lang w:eastAsia="en-AU"/>
              </w:rPr>
            </w:pPr>
            <w:r w:rsidRPr="00910399">
              <w:rPr>
                <w:rFonts w:ascii="Meta Pro" w:eastAsia="Times New Roman" w:hAnsi="Meta Pro"/>
                <w:b/>
                <w:bCs/>
                <w:lang w:eastAsia="en-AU"/>
              </w:rPr>
              <w:t>2022</w:t>
            </w:r>
          </w:p>
        </w:tc>
      </w:tr>
      <w:tr w:rsidR="00BC5219" w:rsidRPr="00910399" w14:paraId="3C75DD16" w14:textId="77777777" w:rsidTr="00E83802">
        <w:trPr>
          <w:trHeight w:val="240"/>
        </w:trPr>
        <w:tc>
          <w:tcPr>
            <w:tcW w:w="7711" w:type="dxa"/>
            <w:tcBorders>
              <w:top w:val="nil"/>
              <w:left w:val="nil"/>
              <w:bottom w:val="nil"/>
              <w:right w:val="nil"/>
            </w:tcBorders>
            <w:shd w:val="clear" w:color="auto" w:fill="auto"/>
            <w:noWrap/>
            <w:vAlign w:val="center"/>
            <w:hideMark/>
          </w:tcPr>
          <w:p w14:paraId="63BF978D" w14:textId="77777777" w:rsidR="00BC5219" w:rsidRPr="00910399" w:rsidRDefault="00BC5219" w:rsidP="00E83802">
            <w:pPr>
              <w:jc w:val="center"/>
              <w:rPr>
                <w:rFonts w:ascii="Meta Pro" w:eastAsia="Times New Roman" w:hAnsi="Meta Pro"/>
                <w:b/>
                <w:bCs/>
                <w:lang w:eastAsia="en-AU"/>
              </w:rPr>
            </w:pPr>
          </w:p>
        </w:tc>
        <w:tc>
          <w:tcPr>
            <w:tcW w:w="1156" w:type="dxa"/>
            <w:tcBorders>
              <w:top w:val="nil"/>
              <w:left w:val="nil"/>
              <w:bottom w:val="nil"/>
              <w:right w:val="nil"/>
            </w:tcBorders>
            <w:shd w:val="clear" w:color="auto" w:fill="auto"/>
            <w:noWrap/>
            <w:vAlign w:val="center"/>
            <w:hideMark/>
          </w:tcPr>
          <w:p w14:paraId="4825E8F2" w14:textId="77777777" w:rsidR="00BC5219" w:rsidRPr="00910399" w:rsidRDefault="00BC5219" w:rsidP="00E83802">
            <w:pPr>
              <w:jc w:val="center"/>
              <w:rPr>
                <w:rFonts w:ascii="Meta Pro" w:eastAsia="Times New Roman" w:hAnsi="Meta Pro"/>
                <w:b/>
                <w:bCs/>
                <w:lang w:eastAsia="en-AU"/>
              </w:rPr>
            </w:pPr>
            <w:r w:rsidRPr="00910399">
              <w:rPr>
                <w:rFonts w:ascii="Meta Pro" w:eastAsia="Times New Roman" w:hAnsi="Meta Pro"/>
                <w:b/>
                <w:bCs/>
                <w:lang w:eastAsia="en-AU"/>
              </w:rPr>
              <w:t>$'000</w:t>
            </w:r>
          </w:p>
        </w:tc>
        <w:tc>
          <w:tcPr>
            <w:tcW w:w="216" w:type="dxa"/>
            <w:tcBorders>
              <w:top w:val="nil"/>
              <w:left w:val="nil"/>
              <w:bottom w:val="nil"/>
              <w:right w:val="nil"/>
            </w:tcBorders>
            <w:shd w:val="clear" w:color="auto" w:fill="auto"/>
            <w:noWrap/>
            <w:vAlign w:val="center"/>
            <w:hideMark/>
          </w:tcPr>
          <w:p w14:paraId="716654E4" w14:textId="77777777" w:rsidR="00BC5219" w:rsidRPr="00910399" w:rsidRDefault="00BC5219" w:rsidP="00E83802">
            <w:pPr>
              <w:jc w:val="center"/>
              <w:rPr>
                <w:rFonts w:ascii="Meta Pro" w:eastAsia="Times New Roman" w:hAnsi="Meta Pro"/>
                <w:b/>
                <w:bCs/>
                <w:lang w:eastAsia="en-AU"/>
              </w:rPr>
            </w:pPr>
          </w:p>
        </w:tc>
        <w:tc>
          <w:tcPr>
            <w:tcW w:w="1156" w:type="dxa"/>
            <w:tcBorders>
              <w:top w:val="nil"/>
              <w:left w:val="nil"/>
              <w:bottom w:val="nil"/>
              <w:right w:val="nil"/>
            </w:tcBorders>
            <w:shd w:val="clear" w:color="auto" w:fill="auto"/>
            <w:noWrap/>
            <w:vAlign w:val="center"/>
            <w:hideMark/>
          </w:tcPr>
          <w:p w14:paraId="7DD3ABE1" w14:textId="77777777" w:rsidR="00BC5219" w:rsidRPr="00910399" w:rsidRDefault="00BC5219" w:rsidP="00E83802">
            <w:pPr>
              <w:jc w:val="center"/>
              <w:rPr>
                <w:rFonts w:ascii="Meta Pro" w:eastAsia="Times New Roman" w:hAnsi="Meta Pro"/>
                <w:b/>
                <w:bCs/>
                <w:lang w:eastAsia="en-AU"/>
              </w:rPr>
            </w:pPr>
            <w:r w:rsidRPr="00910399">
              <w:rPr>
                <w:rFonts w:ascii="Meta Pro" w:eastAsia="Times New Roman" w:hAnsi="Meta Pro"/>
                <w:b/>
                <w:bCs/>
                <w:lang w:eastAsia="en-AU"/>
              </w:rPr>
              <w:t>$'000</w:t>
            </w:r>
          </w:p>
        </w:tc>
      </w:tr>
      <w:tr w:rsidR="00BC5219" w:rsidRPr="00910399" w14:paraId="607D33D0" w14:textId="77777777" w:rsidTr="00E83802">
        <w:trPr>
          <w:trHeight w:val="240"/>
        </w:trPr>
        <w:tc>
          <w:tcPr>
            <w:tcW w:w="7711" w:type="dxa"/>
            <w:tcBorders>
              <w:top w:val="nil"/>
              <w:left w:val="nil"/>
              <w:bottom w:val="nil"/>
              <w:right w:val="nil"/>
            </w:tcBorders>
            <w:shd w:val="clear" w:color="auto" w:fill="auto"/>
            <w:noWrap/>
            <w:vAlign w:val="center"/>
            <w:hideMark/>
          </w:tcPr>
          <w:p w14:paraId="10AF62B2" w14:textId="77777777" w:rsidR="00BC5219" w:rsidRPr="00910399" w:rsidRDefault="00BC5219" w:rsidP="00E83802">
            <w:pPr>
              <w:rPr>
                <w:rFonts w:ascii="Meta Pro" w:eastAsia="Times New Roman" w:hAnsi="Meta Pro"/>
                <w:b/>
                <w:bCs/>
                <w:lang w:eastAsia="en-AU"/>
              </w:rPr>
            </w:pPr>
            <w:r w:rsidRPr="00910399">
              <w:rPr>
                <w:rFonts w:ascii="Meta Pro" w:eastAsia="Times New Roman" w:hAnsi="Meta Pro"/>
                <w:b/>
                <w:bCs/>
                <w:lang w:eastAsia="en-AU"/>
              </w:rPr>
              <w:t>28     SCHEDULE OF ADMINISTERED ITEMS (continued)</w:t>
            </w:r>
          </w:p>
        </w:tc>
        <w:tc>
          <w:tcPr>
            <w:tcW w:w="1156" w:type="dxa"/>
            <w:tcBorders>
              <w:top w:val="nil"/>
              <w:left w:val="nil"/>
              <w:bottom w:val="nil"/>
              <w:right w:val="nil"/>
            </w:tcBorders>
            <w:shd w:val="clear" w:color="auto" w:fill="auto"/>
            <w:noWrap/>
            <w:vAlign w:val="center"/>
            <w:hideMark/>
          </w:tcPr>
          <w:p w14:paraId="336A0801" w14:textId="77777777" w:rsidR="00BC5219" w:rsidRPr="00910399" w:rsidRDefault="00BC5219" w:rsidP="00E83802">
            <w:pPr>
              <w:rPr>
                <w:rFonts w:ascii="Meta Pro" w:eastAsia="Times New Roman" w:hAnsi="Meta Pro"/>
                <w:b/>
                <w:bCs/>
                <w:lang w:eastAsia="en-AU"/>
              </w:rPr>
            </w:pPr>
          </w:p>
        </w:tc>
        <w:tc>
          <w:tcPr>
            <w:tcW w:w="216" w:type="dxa"/>
            <w:tcBorders>
              <w:top w:val="nil"/>
              <w:left w:val="nil"/>
              <w:bottom w:val="nil"/>
              <w:right w:val="nil"/>
            </w:tcBorders>
            <w:shd w:val="clear" w:color="auto" w:fill="auto"/>
            <w:noWrap/>
            <w:vAlign w:val="center"/>
            <w:hideMark/>
          </w:tcPr>
          <w:p w14:paraId="05C1D0D4" w14:textId="77777777" w:rsidR="00BC5219" w:rsidRPr="00910399"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77750CE9" w14:textId="77777777" w:rsidR="00BC5219" w:rsidRPr="00910399" w:rsidRDefault="00BC5219" w:rsidP="00E83802">
            <w:pPr>
              <w:jc w:val="right"/>
              <w:rPr>
                <w:rFonts w:ascii="Times New Roman" w:eastAsia="Times New Roman" w:hAnsi="Times New Roman" w:cs="Times New Roman"/>
                <w:sz w:val="20"/>
                <w:szCs w:val="20"/>
                <w:lang w:eastAsia="en-AU"/>
              </w:rPr>
            </w:pPr>
          </w:p>
        </w:tc>
      </w:tr>
      <w:tr w:rsidR="00BC5219" w:rsidRPr="00910399" w14:paraId="23065D09" w14:textId="77777777" w:rsidTr="00E83802">
        <w:trPr>
          <w:trHeight w:val="90"/>
        </w:trPr>
        <w:tc>
          <w:tcPr>
            <w:tcW w:w="7711" w:type="dxa"/>
            <w:tcBorders>
              <w:top w:val="nil"/>
              <w:left w:val="nil"/>
              <w:bottom w:val="nil"/>
              <w:right w:val="nil"/>
            </w:tcBorders>
            <w:shd w:val="clear" w:color="auto" w:fill="auto"/>
            <w:noWrap/>
            <w:vAlign w:val="center"/>
            <w:hideMark/>
          </w:tcPr>
          <w:p w14:paraId="3E39A56E" w14:textId="77777777" w:rsidR="00BC5219" w:rsidRPr="00910399"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448C31E5" w14:textId="77777777" w:rsidR="00BC5219" w:rsidRPr="00910399" w:rsidRDefault="00BC5219" w:rsidP="00E83802">
            <w:pPr>
              <w:rPr>
                <w:rFonts w:ascii="Times New Roman" w:eastAsia="Times New Roman" w:hAnsi="Times New Roman"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5162FC3A" w14:textId="77777777" w:rsidR="00BC5219" w:rsidRPr="00910399"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5D731556" w14:textId="77777777" w:rsidR="00BC5219" w:rsidRPr="00910399" w:rsidRDefault="00BC5219" w:rsidP="00E83802">
            <w:pPr>
              <w:jc w:val="right"/>
              <w:rPr>
                <w:rFonts w:ascii="Times New Roman" w:eastAsia="Times New Roman" w:hAnsi="Times New Roman" w:cs="Times New Roman"/>
                <w:sz w:val="20"/>
                <w:szCs w:val="20"/>
                <w:lang w:eastAsia="en-AU"/>
              </w:rPr>
            </w:pPr>
          </w:p>
        </w:tc>
      </w:tr>
      <w:tr w:rsidR="00BC5219" w:rsidRPr="00910399" w14:paraId="4906D1C1" w14:textId="77777777" w:rsidTr="00E83802">
        <w:trPr>
          <w:trHeight w:val="240"/>
        </w:trPr>
        <w:tc>
          <w:tcPr>
            <w:tcW w:w="7711" w:type="dxa"/>
            <w:tcBorders>
              <w:top w:val="nil"/>
              <w:left w:val="nil"/>
              <w:bottom w:val="nil"/>
              <w:right w:val="nil"/>
            </w:tcBorders>
            <w:shd w:val="clear" w:color="auto" w:fill="auto"/>
            <w:noWrap/>
            <w:vAlign w:val="center"/>
            <w:hideMark/>
          </w:tcPr>
          <w:p w14:paraId="462BDF1C" w14:textId="77777777" w:rsidR="00BC5219" w:rsidRPr="00910399" w:rsidRDefault="00BC5219" w:rsidP="00E83802">
            <w:pPr>
              <w:rPr>
                <w:rFonts w:ascii="Meta Pro" w:eastAsia="Times New Roman" w:hAnsi="Meta Pro"/>
                <w:b/>
                <w:bCs/>
                <w:szCs w:val="18"/>
                <w:lang w:eastAsia="en-AU"/>
              </w:rPr>
            </w:pPr>
            <w:r w:rsidRPr="00910399">
              <w:rPr>
                <w:rFonts w:ascii="Meta Pro" w:eastAsia="Times New Roman" w:hAnsi="Meta Pro"/>
                <w:b/>
                <w:bCs/>
                <w:szCs w:val="18"/>
                <w:lang w:eastAsia="en-AU"/>
              </w:rPr>
              <w:t>Administered income</w:t>
            </w:r>
          </w:p>
        </w:tc>
        <w:tc>
          <w:tcPr>
            <w:tcW w:w="1156" w:type="dxa"/>
            <w:tcBorders>
              <w:top w:val="nil"/>
              <w:left w:val="nil"/>
              <w:bottom w:val="nil"/>
              <w:right w:val="nil"/>
            </w:tcBorders>
            <w:shd w:val="clear" w:color="auto" w:fill="auto"/>
            <w:noWrap/>
            <w:vAlign w:val="center"/>
            <w:hideMark/>
          </w:tcPr>
          <w:p w14:paraId="1C1B21E5" w14:textId="77777777" w:rsidR="00BC5219" w:rsidRPr="00910399" w:rsidRDefault="00BC5219" w:rsidP="00E83802">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57F0172C" w14:textId="77777777" w:rsidR="00BC5219" w:rsidRPr="00910399" w:rsidRDefault="00BC5219" w:rsidP="00E83802">
            <w:pPr>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30B5C9AD" w14:textId="77777777" w:rsidR="00BC5219" w:rsidRPr="00910399" w:rsidRDefault="00BC5219" w:rsidP="00E83802">
            <w:pPr>
              <w:rPr>
                <w:rFonts w:ascii="Times New Roman" w:eastAsia="Times New Roman" w:hAnsi="Times New Roman" w:cs="Times New Roman"/>
                <w:sz w:val="20"/>
                <w:szCs w:val="20"/>
                <w:lang w:eastAsia="en-AU"/>
              </w:rPr>
            </w:pPr>
          </w:p>
        </w:tc>
      </w:tr>
      <w:tr w:rsidR="00BC5219" w:rsidRPr="00910399" w14:paraId="0039D23D" w14:textId="77777777" w:rsidTr="00E83802">
        <w:trPr>
          <w:trHeight w:val="240"/>
        </w:trPr>
        <w:tc>
          <w:tcPr>
            <w:tcW w:w="7711" w:type="dxa"/>
            <w:tcBorders>
              <w:top w:val="nil"/>
              <w:left w:val="nil"/>
              <w:bottom w:val="nil"/>
              <w:right w:val="nil"/>
            </w:tcBorders>
            <w:shd w:val="clear" w:color="auto" w:fill="auto"/>
            <w:noWrap/>
            <w:vAlign w:val="center"/>
            <w:hideMark/>
          </w:tcPr>
          <w:p w14:paraId="25A9C623" w14:textId="77777777" w:rsidR="00BC5219" w:rsidRPr="00910399" w:rsidRDefault="00BC5219" w:rsidP="00E83802">
            <w:pPr>
              <w:rPr>
                <w:rFonts w:ascii="Meta Pro" w:eastAsia="Times New Roman" w:hAnsi="Meta Pro"/>
                <w:szCs w:val="18"/>
                <w:lang w:eastAsia="en-AU"/>
              </w:rPr>
            </w:pPr>
            <w:r w:rsidRPr="00910399">
              <w:rPr>
                <w:rFonts w:ascii="Meta Pro" w:eastAsia="Times New Roman" w:hAnsi="Meta Pro"/>
                <w:szCs w:val="18"/>
                <w:lang w:eastAsia="en-AU"/>
              </w:rPr>
              <w:t>Appropriation revenue</w:t>
            </w:r>
          </w:p>
        </w:tc>
        <w:tc>
          <w:tcPr>
            <w:tcW w:w="1156" w:type="dxa"/>
            <w:tcBorders>
              <w:top w:val="nil"/>
              <w:left w:val="nil"/>
              <w:bottom w:val="nil"/>
              <w:right w:val="nil"/>
            </w:tcBorders>
            <w:shd w:val="clear" w:color="000000" w:fill="C9E3B4"/>
            <w:noWrap/>
            <w:vAlign w:val="center"/>
            <w:hideMark/>
          </w:tcPr>
          <w:p w14:paraId="7D22EB34" w14:textId="77777777" w:rsidR="00BC5219" w:rsidRPr="00910399" w:rsidRDefault="00BC5219" w:rsidP="00E83802">
            <w:pPr>
              <w:jc w:val="right"/>
              <w:rPr>
                <w:rFonts w:ascii="Meta Pro" w:eastAsia="Times New Roman" w:hAnsi="Meta Pro"/>
                <w:szCs w:val="18"/>
                <w:lang w:eastAsia="en-AU"/>
              </w:rPr>
            </w:pPr>
            <w:r w:rsidRPr="00910399">
              <w:rPr>
                <w:rFonts w:ascii="Meta Pro" w:eastAsia="Times New Roman" w:hAnsi="Meta Pro"/>
                <w:szCs w:val="18"/>
                <w:lang w:eastAsia="en-AU"/>
              </w:rPr>
              <w:t xml:space="preserve">81,170 </w:t>
            </w:r>
          </w:p>
        </w:tc>
        <w:tc>
          <w:tcPr>
            <w:tcW w:w="216" w:type="dxa"/>
            <w:tcBorders>
              <w:top w:val="nil"/>
              <w:left w:val="nil"/>
              <w:bottom w:val="nil"/>
              <w:right w:val="nil"/>
            </w:tcBorders>
            <w:shd w:val="clear" w:color="auto" w:fill="auto"/>
            <w:noWrap/>
            <w:vAlign w:val="center"/>
            <w:hideMark/>
          </w:tcPr>
          <w:p w14:paraId="3FA61676" w14:textId="77777777" w:rsidR="00BC5219" w:rsidRPr="00910399"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61B88E59" w14:textId="77777777" w:rsidR="00BC5219" w:rsidRPr="00910399" w:rsidRDefault="00BC5219" w:rsidP="00E83802">
            <w:pPr>
              <w:jc w:val="right"/>
              <w:rPr>
                <w:rFonts w:ascii="Meta Pro" w:eastAsia="Times New Roman" w:hAnsi="Meta Pro"/>
                <w:szCs w:val="18"/>
                <w:lang w:eastAsia="en-AU"/>
              </w:rPr>
            </w:pPr>
            <w:r w:rsidRPr="00910399">
              <w:rPr>
                <w:rFonts w:ascii="Meta Pro" w:eastAsia="Times New Roman" w:hAnsi="Meta Pro"/>
                <w:szCs w:val="18"/>
                <w:lang w:eastAsia="en-AU"/>
              </w:rPr>
              <w:t xml:space="preserve">77,841 </w:t>
            </w:r>
          </w:p>
        </w:tc>
      </w:tr>
      <w:tr w:rsidR="00BC5219" w:rsidRPr="00910399" w14:paraId="1B683AB0" w14:textId="77777777" w:rsidTr="00E83802">
        <w:trPr>
          <w:trHeight w:val="240"/>
        </w:trPr>
        <w:tc>
          <w:tcPr>
            <w:tcW w:w="7711" w:type="dxa"/>
            <w:tcBorders>
              <w:top w:val="nil"/>
              <w:left w:val="nil"/>
              <w:bottom w:val="nil"/>
              <w:right w:val="nil"/>
            </w:tcBorders>
            <w:shd w:val="clear" w:color="auto" w:fill="auto"/>
            <w:noWrap/>
            <w:vAlign w:val="center"/>
            <w:hideMark/>
          </w:tcPr>
          <w:p w14:paraId="454322D6" w14:textId="77777777" w:rsidR="00BC5219" w:rsidRPr="00910399" w:rsidRDefault="00BC5219" w:rsidP="00E83802">
            <w:pPr>
              <w:rPr>
                <w:rFonts w:ascii="Meta Pro" w:eastAsia="Times New Roman" w:hAnsi="Meta Pro"/>
                <w:szCs w:val="18"/>
                <w:lang w:eastAsia="en-AU"/>
              </w:rPr>
            </w:pPr>
            <w:r w:rsidRPr="00910399">
              <w:rPr>
                <w:rFonts w:ascii="Meta Pro" w:eastAsia="Times New Roman" w:hAnsi="Meta Pro"/>
                <w:szCs w:val="18"/>
                <w:lang w:eastAsia="en-AU"/>
              </w:rPr>
              <w:t>Grants and other contributions</w:t>
            </w:r>
          </w:p>
        </w:tc>
        <w:tc>
          <w:tcPr>
            <w:tcW w:w="1156" w:type="dxa"/>
            <w:tcBorders>
              <w:top w:val="nil"/>
              <w:left w:val="nil"/>
              <w:bottom w:val="nil"/>
              <w:right w:val="nil"/>
            </w:tcBorders>
            <w:shd w:val="clear" w:color="000000" w:fill="C9E3B4"/>
            <w:noWrap/>
            <w:vAlign w:val="center"/>
            <w:hideMark/>
          </w:tcPr>
          <w:p w14:paraId="3B9C39D2" w14:textId="77777777" w:rsidR="00BC5219" w:rsidRPr="00910399" w:rsidRDefault="00BC5219" w:rsidP="00E83802">
            <w:pPr>
              <w:jc w:val="right"/>
              <w:rPr>
                <w:rFonts w:ascii="Meta Pro" w:eastAsia="Times New Roman" w:hAnsi="Meta Pro"/>
                <w:szCs w:val="18"/>
                <w:lang w:eastAsia="en-AU"/>
              </w:rPr>
            </w:pPr>
            <w:r w:rsidRPr="00910399">
              <w:rPr>
                <w:rFonts w:ascii="Meta Pro" w:eastAsia="Times New Roman" w:hAnsi="Meta Pro"/>
                <w:szCs w:val="18"/>
                <w:lang w:eastAsia="en-AU"/>
              </w:rPr>
              <w:t xml:space="preserve">381 </w:t>
            </w:r>
          </w:p>
        </w:tc>
        <w:tc>
          <w:tcPr>
            <w:tcW w:w="216" w:type="dxa"/>
            <w:tcBorders>
              <w:top w:val="nil"/>
              <w:left w:val="nil"/>
              <w:bottom w:val="nil"/>
              <w:right w:val="nil"/>
            </w:tcBorders>
            <w:shd w:val="clear" w:color="auto" w:fill="auto"/>
            <w:noWrap/>
            <w:vAlign w:val="center"/>
            <w:hideMark/>
          </w:tcPr>
          <w:p w14:paraId="7362F97D" w14:textId="77777777" w:rsidR="00BC5219" w:rsidRPr="00910399"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370A2633" w14:textId="77777777" w:rsidR="00BC5219" w:rsidRPr="00910399" w:rsidRDefault="00BC5219" w:rsidP="00E83802">
            <w:pPr>
              <w:jc w:val="right"/>
              <w:rPr>
                <w:rFonts w:ascii="Meta Pro" w:eastAsia="Times New Roman" w:hAnsi="Meta Pro"/>
                <w:szCs w:val="18"/>
                <w:lang w:eastAsia="en-AU"/>
              </w:rPr>
            </w:pPr>
            <w:r w:rsidRPr="00910399">
              <w:rPr>
                <w:rFonts w:ascii="Meta Pro" w:eastAsia="Times New Roman" w:hAnsi="Meta Pro"/>
                <w:szCs w:val="18"/>
                <w:lang w:eastAsia="en-AU"/>
              </w:rPr>
              <w:t xml:space="preserve">11,397 </w:t>
            </w:r>
          </w:p>
        </w:tc>
      </w:tr>
      <w:tr w:rsidR="00BC5219" w:rsidRPr="00910399" w14:paraId="5C9E191C" w14:textId="77777777" w:rsidTr="00E83802">
        <w:trPr>
          <w:trHeight w:val="240"/>
        </w:trPr>
        <w:tc>
          <w:tcPr>
            <w:tcW w:w="7711" w:type="dxa"/>
            <w:tcBorders>
              <w:top w:val="nil"/>
              <w:left w:val="nil"/>
              <w:bottom w:val="nil"/>
              <w:right w:val="nil"/>
            </w:tcBorders>
            <w:shd w:val="clear" w:color="auto" w:fill="auto"/>
            <w:noWrap/>
            <w:vAlign w:val="center"/>
            <w:hideMark/>
          </w:tcPr>
          <w:p w14:paraId="08A02258" w14:textId="77777777" w:rsidR="00BC5219" w:rsidRPr="00910399" w:rsidRDefault="00BC5219" w:rsidP="00E83802">
            <w:pPr>
              <w:rPr>
                <w:rFonts w:ascii="Meta Pro" w:eastAsia="Times New Roman" w:hAnsi="Meta Pro"/>
                <w:szCs w:val="18"/>
                <w:lang w:eastAsia="en-AU"/>
              </w:rPr>
            </w:pPr>
            <w:r w:rsidRPr="00910399">
              <w:rPr>
                <w:rFonts w:ascii="Meta Pro" w:eastAsia="Times New Roman" w:hAnsi="Meta Pro"/>
                <w:szCs w:val="18"/>
                <w:lang w:eastAsia="en-AU"/>
              </w:rPr>
              <w:t>User charges, fees and fines *</w:t>
            </w:r>
          </w:p>
        </w:tc>
        <w:tc>
          <w:tcPr>
            <w:tcW w:w="1156" w:type="dxa"/>
            <w:tcBorders>
              <w:top w:val="nil"/>
              <w:left w:val="nil"/>
              <w:bottom w:val="nil"/>
              <w:right w:val="nil"/>
            </w:tcBorders>
            <w:shd w:val="clear" w:color="000000" w:fill="C9E3B4"/>
            <w:noWrap/>
            <w:vAlign w:val="center"/>
            <w:hideMark/>
          </w:tcPr>
          <w:p w14:paraId="02524A7C" w14:textId="77777777" w:rsidR="00BC5219" w:rsidRPr="00910399" w:rsidRDefault="00BC5219" w:rsidP="00E83802">
            <w:pPr>
              <w:jc w:val="right"/>
              <w:rPr>
                <w:rFonts w:ascii="Meta Pro" w:eastAsia="Times New Roman" w:hAnsi="Meta Pro"/>
                <w:szCs w:val="18"/>
                <w:lang w:eastAsia="en-AU"/>
              </w:rPr>
            </w:pPr>
            <w:r w:rsidRPr="00910399">
              <w:rPr>
                <w:rFonts w:ascii="Meta Pro" w:eastAsia="Times New Roman" w:hAnsi="Meta Pro"/>
                <w:szCs w:val="18"/>
                <w:lang w:eastAsia="en-AU"/>
              </w:rPr>
              <w:t xml:space="preserve">2,989,422 </w:t>
            </w:r>
          </w:p>
        </w:tc>
        <w:tc>
          <w:tcPr>
            <w:tcW w:w="216" w:type="dxa"/>
            <w:tcBorders>
              <w:top w:val="nil"/>
              <w:left w:val="nil"/>
              <w:bottom w:val="nil"/>
              <w:right w:val="nil"/>
            </w:tcBorders>
            <w:shd w:val="clear" w:color="auto" w:fill="auto"/>
            <w:noWrap/>
            <w:vAlign w:val="center"/>
            <w:hideMark/>
          </w:tcPr>
          <w:p w14:paraId="2A003996" w14:textId="77777777" w:rsidR="00BC5219" w:rsidRPr="00910399"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65ADEE5B" w14:textId="77777777" w:rsidR="00BC5219" w:rsidRPr="00910399" w:rsidRDefault="00BC5219" w:rsidP="00E83802">
            <w:pPr>
              <w:jc w:val="right"/>
              <w:rPr>
                <w:rFonts w:ascii="Meta Pro" w:eastAsia="Times New Roman" w:hAnsi="Meta Pro"/>
                <w:szCs w:val="18"/>
                <w:lang w:eastAsia="en-AU"/>
              </w:rPr>
            </w:pPr>
            <w:r w:rsidRPr="00910399">
              <w:rPr>
                <w:rFonts w:ascii="Meta Pro" w:eastAsia="Times New Roman" w:hAnsi="Meta Pro"/>
                <w:szCs w:val="18"/>
                <w:lang w:eastAsia="en-AU"/>
              </w:rPr>
              <w:t xml:space="preserve">2,909,272 </w:t>
            </w:r>
          </w:p>
        </w:tc>
      </w:tr>
      <w:tr w:rsidR="00BC5219" w:rsidRPr="00910399" w14:paraId="54040638" w14:textId="77777777" w:rsidTr="00E83802">
        <w:trPr>
          <w:trHeight w:val="240"/>
        </w:trPr>
        <w:tc>
          <w:tcPr>
            <w:tcW w:w="7711" w:type="dxa"/>
            <w:tcBorders>
              <w:top w:val="nil"/>
              <w:left w:val="nil"/>
              <w:bottom w:val="nil"/>
              <w:right w:val="nil"/>
            </w:tcBorders>
            <w:shd w:val="clear" w:color="auto" w:fill="auto"/>
            <w:noWrap/>
            <w:vAlign w:val="center"/>
            <w:hideMark/>
          </w:tcPr>
          <w:p w14:paraId="38363145" w14:textId="77777777" w:rsidR="00BC5219" w:rsidRPr="00910399" w:rsidRDefault="00BC5219" w:rsidP="00E83802">
            <w:pPr>
              <w:rPr>
                <w:rFonts w:ascii="Meta Pro" w:eastAsia="Times New Roman" w:hAnsi="Meta Pro"/>
                <w:szCs w:val="18"/>
                <w:lang w:eastAsia="en-AU"/>
              </w:rPr>
            </w:pPr>
            <w:r w:rsidRPr="00910399">
              <w:rPr>
                <w:rFonts w:ascii="Meta Pro" w:eastAsia="Times New Roman" w:hAnsi="Meta Pro"/>
                <w:szCs w:val="18"/>
                <w:lang w:eastAsia="en-AU"/>
              </w:rPr>
              <w:t>Other</w:t>
            </w:r>
          </w:p>
        </w:tc>
        <w:tc>
          <w:tcPr>
            <w:tcW w:w="1156" w:type="dxa"/>
            <w:tcBorders>
              <w:top w:val="nil"/>
              <w:left w:val="nil"/>
              <w:bottom w:val="nil"/>
              <w:right w:val="nil"/>
            </w:tcBorders>
            <w:shd w:val="clear" w:color="000000" w:fill="C9E3B4"/>
            <w:noWrap/>
            <w:vAlign w:val="center"/>
            <w:hideMark/>
          </w:tcPr>
          <w:p w14:paraId="120D05B3" w14:textId="77777777" w:rsidR="00BC5219" w:rsidRPr="00910399" w:rsidRDefault="00BC5219" w:rsidP="00E83802">
            <w:pPr>
              <w:jc w:val="right"/>
              <w:rPr>
                <w:rFonts w:ascii="Meta Pro" w:eastAsia="Times New Roman" w:hAnsi="Meta Pro"/>
                <w:szCs w:val="18"/>
                <w:lang w:eastAsia="en-AU"/>
              </w:rPr>
            </w:pPr>
            <w:r w:rsidRPr="00910399">
              <w:rPr>
                <w:rFonts w:ascii="Meta Pro" w:eastAsia="Times New Roman" w:hAnsi="Meta Pro"/>
                <w:szCs w:val="18"/>
                <w:lang w:eastAsia="en-AU"/>
              </w:rPr>
              <w:t xml:space="preserve">10,410 </w:t>
            </w:r>
          </w:p>
        </w:tc>
        <w:tc>
          <w:tcPr>
            <w:tcW w:w="216" w:type="dxa"/>
            <w:tcBorders>
              <w:top w:val="nil"/>
              <w:left w:val="nil"/>
              <w:bottom w:val="nil"/>
              <w:right w:val="nil"/>
            </w:tcBorders>
            <w:shd w:val="clear" w:color="auto" w:fill="auto"/>
            <w:noWrap/>
            <w:vAlign w:val="center"/>
            <w:hideMark/>
          </w:tcPr>
          <w:p w14:paraId="18A07182" w14:textId="77777777" w:rsidR="00BC5219" w:rsidRPr="00910399"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5E2F34A8" w14:textId="77777777" w:rsidR="00BC5219" w:rsidRPr="00910399" w:rsidRDefault="00BC5219" w:rsidP="00E83802">
            <w:pPr>
              <w:jc w:val="right"/>
              <w:rPr>
                <w:rFonts w:ascii="Meta Pro" w:eastAsia="Times New Roman" w:hAnsi="Meta Pro"/>
                <w:szCs w:val="18"/>
                <w:lang w:eastAsia="en-AU"/>
              </w:rPr>
            </w:pPr>
            <w:r w:rsidRPr="00910399">
              <w:rPr>
                <w:rFonts w:ascii="Meta Pro" w:eastAsia="Times New Roman" w:hAnsi="Meta Pro"/>
                <w:szCs w:val="18"/>
                <w:lang w:eastAsia="en-AU"/>
              </w:rPr>
              <w:t xml:space="preserve">9,812 </w:t>
            </w:r>
          </w:p>
        </w:tc>
      </w:tr>
      <w:tr w:rsidR="00BC5219" w:rsidRPr="00910399" w14:paraId="01D7A550" w14:textId="77777777" w:rsidTr="00E83802">
        <w:trPr>
          <w:trHeight w:val="240"/>
        </w:trPr>
        <w:tc>
          <w:tcPr>
            <w:tcW w:w="7711" w:type="dxa"/>
            <w:tcBorders>
              <w:top w:val="single" w:sz="4" w:space="0" w:color="auto"/>
              <w:left w:val="nil"/>
              <w:bottom w:val="nil"/>
              <w:right w:val="nil"/>
            </w:tcBorders>
            <w:shd w:val="clear" w:color="auto" w:fill="auto"/>
            <w:noWrap/>
            <w:vAlign w:val="center"/>
            <w:hideMark/>
          </w:tcPr>
          <w:p w14:paraId="396F6F7B" w14:textId="77777777" w:rsidR="00BC5219" w:rsidRPr="00910399" w:rsidRDefault="00BC5219" w:rsidP="00E83802">
            <w:pPr>
              <w:rPr>
                <w:rFonts w:ascii="Meta Pro" w:eastAsia="Times New Roman" w:hAnsi="Meta Pro"/>
                <w:b/>
                <w:bCs/>
                <w:szCs w:val="18"/>
                <w:lang w:eastAsia="en-AU"/>
              </w:rPr>
            </w:pPr>
            <w:r w:rsidRPr="00910399">
              <w:rPr>
                <w:rFonts w:ascii="Meta Pro" w:eastAsia="Times New Roman" w:hAnsi="Meta Pro"/>
                <w:b/>
                <w:bCs/>
                <w:szCs w:val="18"/>
                <w:lang w:eastAsia="en-AU"/>
              </w:rPr>
              <w:t>Total income</w:t>
            </w:r>
          </w:p>
        </w:tc>
        <w:tc>
          <w:tcPr>
            <w:tcW w:w="1156" w:type="dxa"/>
            <w:tcBorders>
              <w:top w:val="single" w:sz="4" w:space="0" w:color="auto"/>
              <w:left w:val="nil"/>
              <w:bottom w:val="nil"/>
              <w:right w:val="nil"/>
            </w:tcBorders>
            <w:shd w:val="clear" w:color="000000" w:fill="C9E3B4"/>
            <w:noWrap/>
            <w:vAlign w:val="center"/>
            <w:hideMark/>
          </w:tcPr>
          <w:p w14:paraId="0314930F" w14:textId="77777777" w:rsidR="00BC5219" w:rsidRPr="00910399" w:rsidRDefault="00BC5219" w:rsidP="00E83802">
            <w:pPr>
              <w:jc w:val="right"/>
              <w:rPr>
                <w:rFonts w:ascii="Meta Pro" w:eastAsia="Times New Roman" w:hAnsi="Meta Pro"/>
                <w:b/>
                <w:bCs/>
                <w:szCs w:val="18"/>
                <w:lang w:eastAsia="en-AU"/>
              </w:rPr>
            </w:pPr>
            <w:r w:rsidRPr="00910399">
              <w:rPr>
                <w:rFonts w:ascii="Meta Pro" w:eastAsia="Times New Roman" w:hAnsi="Meta Pro"/>
                <w:b/>
                <w:bCs/>
                <w:szCs w:val="18"/>
                <w:lang w:eastAsia="en-AU"/>
              </w:rPr>
              <w:t xml:space="preserve">3,081,383 </w:t>
            </w:r>
          </w:p>
        </w:tc>
        <w:tc>
          <w:tcPr>
            <w:tcW w:w="216" w:type="dxa"/>
            <w:tcBorders>
              <w:top w:val="single" w:sz="4" w:space="0" w:color="auto"/>
              <w:left w:val="nil"/>
              <w:bottom w:val="nil"/>
              <w:right w:val="nil"/>
            </w:tcBorders>
            <w:shd w:val="clear" w:color="auto" w:fill="auto"/>
            <w:noWrap/>
            <w:vAlign w:val="center"/>
            <w:hideMark/>
          </w:tcPr>
          <w:p w14:paraId="475A63F7" w14:textId="77777777" w:rsidR="00BC5219" w:rsidRPr="00910399" w:rsidRDefault="00BC5219" w:rsidP="00E83802">
            <w:pPr>
              <w:rPr>
                <w:rFonts w:ascii="Meta Pro" w:eastAsia="Times New Roman" w:hAnsi="Meta Pro"/>
                <w:b/>
                <w:bCs/>
                <w:szCs w:val="18"/>
                <w:lang w:eastAsia="en-AU"/>
              </w:rPr>
            </w:pPr>
            <w:r w:rsidRPr="00910399">
              <w:rPr>
                <w:rFonts w:ascii="Meta Pro" w:eastAsia="Times New Roman" w:hAnsi="Meta Pro"/>
                <w:b/>
                <w:bCs/>
                <w:szCs w:val="18"/>
                <w:lang w:eastAsia="en-AU"/>
              </w:rPr>
              <w:t> </w:t>
            </w:r>
          </w:p>
        </w:tc>
        <w:tc>
          <w:tcPr>
            <w:tcW w:w="1156" w:type="dxa"/>
            <w:tcBorders>
              <w:top w:val="single" w:sz="4" w:space="0" w:color="auto"/>
              <w:left w:val="nil"/>
              <w:bottom w:val="nil"/>
              <w:right w:val="nil"/>
            </w:tcBorders>
            <w:shd w:val="clear" w:color="auto" w:fill="auto"/>
            <w:noWrap/>
            <w:vAlign w:val="center"/>
            <w:hideMark/>
          </w:tcPr>
          <w:p w14:paraId="71B9D971" w14:textId="77777777" w:rsidR="00BC5219" w:rsidRPr="00910399" w:rsidRDefault="00BC5219" w:rsidP="00E83802">
            <w:pPr>
              <w:jc w:val="right"/>
              <w:rPr>
                <w:rFonts w:ascii="Meta Pro" w:eastAsia="Times New Roman" w:hAnsi="Meta Pro"/>
                <w:b/>
                <w:bCs/>
                <w:szCs w:val="18"/>
                <w:lang w:eastAsia="en-AU"/>
              </w:rPr>
            </w:pPr>
            <w:r w:rsidRPr="00910399">
              <w:rPr>
                <w:rFonts w:ascii="Meta Pro" w:eastAsia="Times New Roman" w:hAnsi="Meta Pro"/>
                <w:b/>
                <w:bCs/>
                <w:szCs w:val="18"/>
                <w:lang w:eastAsia="en-AU"/>
              </w:rPr>
              <w:t xml:space="preserve">3,008,322 </w:t>
            </w:r>
          </w:p>
        </w:tc>
      </w:tr>
      <w:tr w:rsidR="00BC5219" w:rsidRPr="00910399" w14:paraId="6A231BFD" w14:textId="77777777" w:rsidTr="00E83802">
        <w:trPr>
          <w:trHeight w:val="90"/>
        </w:trPr>
        <w:tc>
          <w:tcPr>
            <w:tcW w:w="7711" w:type="dxa"/>
            <w:tcBorders>
              <w:top w:val="nil"/>
              <w:left w:val="nil"/>
              <w:bottom w:val="nil"/>
              <w:right w:val="nil"/>
            </w:tcBorders>
            <w:shd w:val="clear" w:color="auto" w:fill="auto"/>
            <w:noWrap/>
            <w:vAlign w:val="center"/>
            <w:hideMark/>
          </w:tcPr>
          <w:p w14:paraId="48ED98D9" w14:textId="77777777" w:rsidR="00BC5219" w:rsidRPr="00910399" w:rsidRDefault="00BC5219" w:rsidP="00E83802">
            <w:pPr>
              <w:jc w:val="right"/>
              <w:rPr>
                <w:rFonts w:ascii="Meta Pro" w:eastAsia="Times New Roman" w:hAnsi="Meta Pro"/>
                <w:b/>
                <w:bCs/>
                <w:szCs w:val="18"/>
                <w:lang w:eastAsia="en-AU"/>
              </w:rPr>
            </w:pPr>
          </w:p>
        </w:tc>
        <w:tc>
          <w:tcPr>
            <w:tcW w:w="1156" w:type="dxa"/>
            <w:tcBorders>
              <w:top w:val="nil"/>
              <w:left w:val="nil"/>
              <w:bottom w:val="nil"/>
              <w:right w:val="nil"/>
            </w:tcBorders>
            <w:shd w:val="clear" w:color="000000" w:fill="C9E3B4"/>
            <w:noWrap/>
            <w:vAlign w:val="center"/>
            <w:hideMark/>
          </w:tcPr>
          <w:p w14:paraId="5E0D8BCF" w14:textId="77777777" w:rsidR="00BC5219" w:rsidRPr="00910399" w:rsidRDefault="00BC5219" w:rsidP="00E83802">
            <w:pPr>
              <w:rPr>
                <w:rFonts w:ascii="Meta Pro" w:eastAsia="Times New Roman" w:hAnsi="Meta Pro"/>
                <w:szCs w:val="18"/>
                <w:lang w:eastAsia="en-AU"/>
              </w:rPr>
            </w:pPr>
            <w:r w:rsidRPr="00910399">
              <w:rPr>
                <w:rFonts w:ascii="Meta Pro" w:eastAsia="Times New Roman" w:hAnsi="Meta Pro"/>
                <w:szCs w:val="18"/>
                <w:lang w:eastAsia="en-AU"/>
              </w:rPr>
              <w:t> </w:t>
            </w:r>
          </w:p>
        </w:tc>
        <w:tc>
          <w:tcPr>
            <w:tcW w:w="216" w:type="dxa"/>
            <w:tcBorders>
              <w:top w:val="nil"/>
              <w:left w:val="nil"/>
              <w:bottom w:val="nil"/>
              <w:right w:val="nil"/>
            </w:tcBorders>
            <w:shd w:val="clear" w:color="auto" w:fill="auto"/>
            <w:noWrap/>
            <w:vAlign w:val="center"/>
            <w:hideMark/>
          </w:tcPr>
          <w:p w14:paraId="48B95FE9" w14:textId="77777777" w:rsidR="00BC5219" w:rsidRPr="00910399" w:rsidRDefault="00BC5219" w:rsidP="00E83802">
            <w:pPr>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0AA15413" w14:textId="77777777" w:rsidR="00BC5219" w:rsidRPr="00910399" w:rsidRDefault="00BC5219" w:rsidP="00E83802">
            <w:pPr>
              <w:rPr>
                <w:rFonts w:ascii="Times New Roman" w:eastAsia="Times New Roman" w:hAnsi="Times New Roman" w:cs="Times New Roman"/>
                <w:sz w:val="20"/>
                <w:szCs w:val="20"/>
                <w:lang w:eastAsia="en-AU"/>
              </w:rPr>
            </w:pPr>
          </w:p>
        </w:tc>
      </w:tr>
      <w:tr w:rsidR="00BC5219" w:rsidRPr="00910399" w14:paraId="78B4BD2C" w14:textId="77777777" w:rsidTr="00E83802">
        <w:trPr>
          <w:trHeight w:val="240"/>
        </w:trPr>
        <w:tc>
          <w:tcPr>
            <w:tcW w:w="7711" w:type="dxa"/>
            <w:tcBorders>
              <w:top w:val="nil"/>
              <w:left w:val="nil"/>
              <w:bottom w:val="nil"/>
              <w:right w:val="nil"/>
            </w:tcBorders>
            <w:shd w:val="clear" w:color="auto" w:fill="auto"/>
            <w:noWrap/>
            <w:vAlign w:val="center"/>
            <w:hideMark/>
          </w:tcPr>
          <w:p w14:paraId="5FF5B6DD" w14:textId="77777777" w:rsidR="00BC5219" w:rsidRPr="00910399" w:rsidRDefault="00BC5219" w:rsidP="00E83802">
            <w:pPr>
              <w:rPr>
                <w:rFonts w:ascii="Meta Pro" w:eastAsia="Times New Roman" w:hAnsi="Meta Pro"/>
                <w:b/>
                <w:bCs/>
                <w:szCs w:val="18"/>
                <w:lang w:eastAsia="en-AU"/>
              </w:rPr>
            </w:pPr>
            <w:r w:rsidRPr="00910399">
              <w:rPr>
                <w:rFonts w:ascii="Meta Pro" w:eastAsia="Times New Roman" w:hAnsi="Meta Pro"/>
                <w:b/>
                <w:bCs/>
                <w:szCs w:val="18"/>
                <w:lang w:eastAsia="en-AU"/>
              </w:rPr>
              <w:t>Administered expenses</w:t>
            </w:r>
          </w:p>
        </w:tc>
        <w:tc>
          <w:tcPr>
            <w:tcW w:w="1156" w:type="dxa"/>
            <w:tcBorders>
              <w:top w:val="nil"/>
              <w:left w:val="nil"/>
              <w:bottom w:val="nil"/>
              <w:right w:val="nil"/>
            </w:tcBorders>
            <w:shd w:val="clear" w:color="000000" w:fill="C9E3B4"/>
            <w:noWrap/>
            <w:vAlign w:val="center"/>
            <w:hideMark/>
          </w:tcPr>
          <w:p w14:paraId="70752316" w14:textId="77777777" w:rsidR="00BC5219" w:rsidRPr="00910399" w:rsidRDefault="00BC5219" w:rsidP="00E83802">
            <w:pPr>
              <w:rPr>
                <w:rFonts w:ascii="Meta Pro" w:eastAsia="Times New Roman" w:hAnsi="Meta Pro"/>
                <w:szCs w:val="18"/>
                <w:lang w:eastAsia="en-AU"/>
              </w:rPr>
            </w:pPr>
            <w:r w:rsidRPr="00910399">
              <w:rPr>
                <w:rFonts w:ascii="Meta Pro" w:eastAsia="Times New Roman" w:hAnsi="Meta Pro"/>
                <w:szCs w:val="18"/>
                <w:lang w:eastAsia="en-AU"/>
              </w:rPr>
              <w:t> </w:t>
            </w:r>
          </w:p>
        </w:tc>
        <w:tc>
          <w:tcPr>
            <w:tcW w:w="216" w:type="dxa"/>
            <w:tcBorders>
              <w:top w:val="nil"/>
              <w:left w:val="nil"/>
              <w:bottom w:val="nil"/>
              <w:right w:val="nil"/>
            </w:tcBorders>
            <w:shd w:val="clear" w:color="auto" w:fill="auto"/>
            <w:noWrap/>
            <w:vAlign w:val="center"/>
            <w:hideMark/>
          </w:tcPr>
          <w:p w14:paraId="58CFE4EC" w14:textId="77777777" w:rsidR="00BC5219" w:rsidRPr="00910399" w:rsidRDefault="00BC5219" w:rsidP="00E83802">
            <w:pPr>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3A8E1B29" w14:textId="77777777" w:rsidR="00BC5219" w:rsidRPr="00910399" w:rsidRDefault="00BC5219" w:rsidP="00E83802">
            <w:pPr>
              <w:rPr>
                <w:rFonts w:ascii="Times New Roman" w:eastAsia="Times New Roman" w:hAnsi="Times New Roman" w:cs="Times New Roman"/>
                <w:sz w:val="20"/>
                <w:szCs w:val="20"/>
                <w:lang w:eastAsia="en-AU"/>
              </w:rPr>
            </w:pPr>
          </w:p>
        </w:tc>
      </w:tr>
      <w:tr w:rsidR="00BC5219" w:rsidRPr="00910399" w14:paraId="78A10A01" w14:textId="77777777" w:rsidTr="00E83802">
        <w:trPr>
          <w:trHeight w:val="240"/>
        </w:trPr>
        <w:tc>
          <w:tcPr>
            <w:tcW w:w="7711" w:type="dxa"/>
            <w:tcBorders>
              <w:top w:val="nil"/>
              <w:left w:val="nil"/>
              <w:bottom w:val="nil"/>
              <w:right w:val="nil"/>
            </w:tcBorders>
            <w:shd w:val="clear" w:color="auto" w:fill="auto"/>
            <w:noWrap/>
            <w:vAlign w:val="center"/>
            <w:hideMark/>
          </w:tcPr>
          <w:p w14:paraId="48CA338D" w14:textId="77777777" w:rsidR="00BC5219" w:rsidRPr="00910399" w:rsidRDefault="00BC5219" w:rsidP="00E83802">
            <w:pPr>
              <w:rPr>
                <w:rFonts w:ascii="Meta Pro" w:eastAsia="Times New Roman" w:hAnsi="Meta Pro"/>
                <w:szCs w:val="18"/>
                <w:lang w:eastAsia="en-AU"/>
              </w:rPr>
            </w:pPr>
            <w:r w:rsidRPr="00910399">
              <w:rPr>
                <w:rFonts w:ascii="Meta Pro" w:eastAsia="Times New Roman" w:hAnsi="Meta Pro"/>
                <w:szCs w:val="18"/>
                <w:lang w:eastAsia="en-AU"/>
              </w:rPr>
              <w:t>Supplies and services</w:t>
            </w:r>
          </w:p>
        </w:tc>
        <w:tc>
          <w:tcPr>
            <w:tcW w:w="1156" w:type="dxa"/>
            <w:tcBorders>
              <w:top w:val="nil"/>
              <w:left w:val="nil"/>
              <w:bottom w:val="nil"/>
              <w:right w:val="nil"/>
            </w:tcBorders>
            <w:shd w:val="clear" w:color="000000" w:fill="C9E3B4"/>
            <w:noWrap/>
            <w:vAlign w:val="center"/>
            <w:hideMark/>
          </w:tcPr>
          <w:p w14:paraId="102877BA" w14:textId="77777777" w:rsidR="00BC5219" w:rsidRPr="00910399" w:rsidRDefault="00BC5219" w:rsidP="00E83802">
            <w:pPr>
              <w:jc w:val="right"/>
              <w:rPr>
                <w:rFonts w:ascii="Meta Pro" w:eastAsia="Times New Roman" w:hAnsi="Meta Pro"/>
                <w:szCs w:val="18"/>
                <w:lang w:eastAsia="en-AU"/>
              </w:rPr>
            </w:pPr>
            <w:r w:rsidRPr="00910399">
              <w:rPr>
                <w:rFonts w:ascii="Meta Pro" w:eastAsia="Times New Roman" w:hAnsi="Meta Pro"/>
                <w:szCs w:val="18"/>
                <w:lang w:eastAsia="en-AU"/>
              </w:rPr>
              <w:t xml:space="preserve">95 </w:t>
            </w:r>
          </w:p>
        </w:tc>
        <w:tc>
          <w:tcPr>
            <w:tcW w:w="216" w:type="dxa"/>
            <w:tcBorders>
              <w:top w:val="nil"/>
              <w:left w:val="nil"/>
              <w:bottom w:val="nil"/>
              <w:right w:val="nil"/>
            </w:tcBorders>
            <w:shd w:val="clear" w:color="auto" w:fill="auto"/>
            <w:noWrap/>
            <w:vAlign w:val="center"/>
            <w:hideMark/>
          </w:tcPr>
          <w:p w14:paraId="7B85C354" w14:textId="77777777" w:rsidR="00BC5219" w:rsidRPr="00910399"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55A36686" w14:textId="77777777" w:rsidR="00BC5219" w:rsidRPr="00910399" w:rsidRDefault="00BC5219" w:rsidP="00E83802">
            <w:pPr>
              <w:jc w:val="right"/>
              <w:rPr>
                <w:rFonts w:ascii="Meta Pro" w:eastAsia="Times New Roman" w:hAnsi="Meta Pro"/>
                <w:szCs w:val="18"/>
                <w:lang w:eastAsia="en-AU"/>
              </w:rPr>
            </w:pPr>
            <w:r w:rsidRPr="00910399">
              <w:rPr>
                <w:rFonts w:ascii="Meta Pro" w:eastAsia="Times New Roman" w:hAnsi="Meta Pro"/>
                <w:szCs w:val="18"/>
                <w:lang w:eastAsia="en-AU"/>
              </w:rPr>
              <w:t xml:space="preserve">- </w:t>
            </w:r>
          </w:p>
        </w:tc>
      </w:tr>
      <w:tr w:rsidR="00BC5219" w:rsidRPr="00910399" w14:paraId="19C2D371" w14:textId="77777777" w:rsidTr="00E83802">
        <w:trPr>
          <w:trHeight w:val="240"/>
        </w:trPr>
        <w:tc>
          <w:tcPr>
            <w:tcW w:w="7711" w:type="dxa"/>
            <w:tcBorders>
              <w:top w:val="nil"/>
              <w:left w:val="nil"/>
              <w:bottom w:val="nil"/>
              <w:right w:val="nil"/>
            </w:tcBorders>
            <w:shd w:val="clear" w:color="auto" w:fill="auto"/>
            <w:noWrap/>
            <w:vAlign w:val="center"/>
            <w:hideMark/>
          </w:tcPr>
          <w:p w14:paraId="5509B4B5" w14:textId="77777777" w:rsidR="00BC5219" w:rsidRPr="00910399" w:rsidRDefault="00BC5219" w:rsidP="00E83802">
            <w:pPr>
              <w:rPr>
                <w:rFonts w:ascii="Meta Pro" w:eastAsia="Times New Roman" w:hAnsi="Meta Pro"/>
                <w:szCs w:val="18"/>
                <w:lang w:eastAsia="en-AU"/>
              </w:rPr>
            </w:pPr>
            <w:r w:rsidRPr="00910399">
              <w:rPr>
                <w:rFonts w:ascii="Meta Pro" w:eastAsia="Times New Roman" w:hAnsi="Meta Pro"/>
                <w:szCs w:val="18"/>
                <w:lang w:eastAsia="en-AU"/>
              </w:rPr>
              <w:t>Grants and subsidies</w:t>
            </w:r>
          </w:p>
        </w:tc>
        <w:tc>
          <w:tcPr>
            <w:tcW w:w="1156" w:type="dxa"/>
            <w:tcBorders>
              <w:top w:val="nil"/>
              <w:left w:val="nil"/>
              <w:bottom w:val="nil"/>
              <w:right w:val="nil"/>
            </w:tcBorders>
            <w:shd w:val="clear" w:color="000000" w:fill="C9E3B4"/>
            <w:noWrap/>
            <w:vAlign w:val="center"/>
            <w:hideMark/>
          </w:tcPr>
          <w:p w14:paraId="706676C4" w14:textId="77777777" w:rsidR="00BC5219" w:rsidRPr="00910399" w:rsidRDefault="00BC5219" w:rsidP="00E83802">
            <w:pPr>
              <w:jc w:val="right"/>
              <w:rPr>
                <w:rFonts w:ascii="Meta Pro" w:eastAsia="Times New Roman" w:hAnsi="Meta Pro"/>
                <w:szCs w:val="18"/>
                <w:lang w:eastAsia="en-AU"/>
              </w:rPr>
            </w:pPr>
            <w:r w:rsidRPr="00910399">
              <w:rPr>
                <w:rFonts w:ascii="Meta Pro" w:eastAsia="Times New Roman" w:hAnsi="Meta Pro"/>
                <w:szCs w:val="18"/>
                <w:lang w:eastAsia="en-AU"/>
              </w:rPr>
              <w:t xml:space="preserve">81,615 </w:t>
            </w:r>
          </w:p>
        </w:tc>
        <w:tc>
          <w:tcPr>
            <w:tcW w:w="216" w:type="dxa"/>
            <w:tcBorders>
              <w:top w:val="nil"/>
              <w:left w:val="nil"/>
              <w:bottom w:val="nil"/>
              <w:right w:val="nil"/>
            </w:tcBorders>
            <w:shd w:val="clear" w:color="auto" w:fill="auto"/>
            <w:noWrap/>
            <w:vAlign w:val="center"/>
            <w:hideMark/>
          </w:tcPr>
          <w:p w14:paraId="25E73670" w14:textId="77777777" w:rsidR="00BC5219" w:rsidRPr="00910399"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32203CA2" w14:textId="77777777" w:rsidR="00BC5219" w:rsidRPr="00910399" w:rsidRDefault="00BC5219" w:rsidP="00E83802">
            <w:pPr>
              <w:jc w:val="right"/>
              <w:rPr>
                <w:rFonts w:ascii="Meta Pro" w:eastAsia="Times New Roman" w:hAnsi="Meta Pro"/>
                <w:szCs w:val="18"/>
                <w:lang w:eastAsia="en-AU"/>
              </w:rPr>
            </w:pPr>
            <w:r w:rsidRPr="00910399">
              <w:rPr>
                <w:rFonts w:ascii="Meta Pro" w:eastAsia="Times New Roman" w:hAnsi="Meta Pro"/>
                <w:szCs w:val="18"/>
                <w:lang w:eastAsia="en-AU"/>
              </w:rPr>
              <w:t xml:space="preserve">86,385 </w:t>
            </w:r>
          </w:p>
        </w:tc>
      </w:tr>
      <w:tr w:rsidR="00BC5219" w:rsidRPr="00910399" w14:paraId="5F52FD65" w14:textId="77777777" w:rsidTr="00E83802">
        <w:trPr>
          <w:trHeight w:val="240"/>
        </w:trPr>
        <w:tc>
          <w:tcPr>
            <w:tcW w:w="7711" w:type="dxa"/>
            <w:tcBorders>
              <w:top w:val="nil"/>
              <w:left w:val="nil"/>
              <w:bottom w:val="nil"/>
              <w:right w:val="nil"/>
            </w:tcBorders>
            <w:shd w:val="clear" w:color="auto" w:fill="auto"/>
            <w:noWrap/>
            <w:vAlign w:val="center"/>
            <w:hideMark/>
          </w:tcPr>
          <w:p w14:paraId="62365F8E" w14:textId="77777777" w:rsidR="00BC5219" w:rsidRPr="00910399" w:rsidRDefault="00BC5219" w:rsidP="00E83802">
            <w:pPr>
              <w:rPr>
                <w:rFonts w:ascii="Meta Pro" w:eastAsia="Times New Roman" w:hAnsi="Meta Pro"/>
                <w:szCs w:val="18"/>
                <w:lang w:eastAsia="en-AU"/>
              </w:rPr>
            </w:pPr>
            <w:r w:rsidRPr="00910399">
              <w:rPr>
                <w:rFonts w:ascii="Meta Pro" w:eastAsia="Times New Roman" w:hAnsi="Meta Pro"/>
                <w:szCs w:val="18"/>
                <w:lang w:eastAsia="en-AU"/>
              </w:rPr>
              <w:t>Impairment losses on trade receivables</w:t>
            </w:r>
          </w:p>
        </w:tc>
        <w:tc>
          <w:tcPr>
            <w:tcW w:w="1156" w:type="dxa"/>
            <w:tcBorders>
              <w:top w:val="nil"/>
              <w:left w:val="nil"/>
              <w:bottom w:val="nil"/>
              <w:right w:val="nil"/>
            </w:tcBorders>
            <w:shd w:val="clear" w:color="000000" w:fill="C9E3B4"/>
            <w:noWrap/>
            <w:vAlign w:val="center"/>
            <w:hideMark/>
          </w:tcPr>
          <w:p w14:paraId="5AFCABB1" w14:textId="77777777" w:rsidR="00BC5219" w:rsidRPr="00910399" w:rsidRDefault="00BC5219" w:rsidP="00E83802">
            <w:pPr>
              <w:jc w:val="right"/>
              <w:rPr>
                <w:rFonts w:ascii="Meta Pro" w:eastAsia="Times New Roman" w:hAnsi="Meta Pro"/>
                <w:szCs w:val="18"/>
                <w:lang w:eastAsia="en-AU"/>
              </w:rPr>
            </w:pPr>
            <w:r w:rsidRPr="00910399">
              <w:rPr>
                <w:rFonts w:ascii="Meta Pro" w:eastAsia="Times New Roman" w:hAnsi="Meta Pro"/>
                <w:szCs w:val="18"/>
                <w:lang w:eastAsia="en-AU"/>
              </w:rPr>
              <w:t xml:space="preserve">8 </w:t>
            </w:r>
          </w:p>
        </w:tc>
        <w:tc>
          <w:tcPr>
            <w:tcW w:w="216" w:type="dxa"/>
            <w:tcBorders>
              <w:top w:val="nil"/>
              <w:left w:val="nil"/>
              <w:bottom w:val="nil"/>
              <w:right w:val="nil"/>
            </w:tcBorders>
            <w:shd w:val="clear" w:color="auto" w:fill="auto"/>
            <w:noWrap/>
            <w:vAlign w:val="center"/>
            <w:hideMark/>
          </w:tcPr>
          <w:p w14:paraId="2A538EBA" w14:textId="77777777" w:rsidR="00BC5219" w:rsidRPr="00910399"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62973ED9" w14:textId="77777777" w:rsidR="00BC5219" w:rsidRPr="00910399" w:rsidRDefault="00BC5219" w:rsidP="00E83802">
            <w:pPr>
              <w:jc w:val="right"/>
              <w:rPr>
                <w:rFonts w:ascii="Meta Pro" w:eastAsia="Times New Roman" w:hAnsi="Meta Pro"/>
                <w:szCs w:val="18"/>
                <w:lang w:eastAsia="en-AU"/>
              </w:rPr>
            </w:pPr>
            <w:r w:rsidRPr="00910399">
              <w:rPr>
                <w:rFonts w:ascii="Meta Pro" w:eastAsia="Times New Roman" w:hAnsi="Meta Pro"/>
                <w:szCs w:val="18"/>
                <w:lang w:eastAsia="en-AU"/>
              </w:rPr>
              <w:t xml:space="preserve">27 </w:t>
            </w:r>
          </w:p>
        </w:tc>
      </w:tr>
      <w:tr w:rsidR="00BC5219" w:rsidRPr="00910399" w14:paraId="69C7F71B" w14:textId="77777777" w:rsidTr="00E83802">
        <w:trPr>
          <w:trHeight w:val="240"/>
        </w:trPr>
        <w:tc>
          <w:tcPr>
            <w:tcW w:w="7711" w:type="dxa"/>
            <w:tcBorders>
              <w:top w:val="nil"/>
              <w:left w:val="nil"/>
              <w:bottom w:val="nil"/>
              <w:right w:val="nil"/>
            </w:tcBorders>
            <w:shd w:val="clear" w:color="auto" w:fill="auto"/>
            <w:noWrap/>
            <w:vAlign w:val="center"/>
            <w:hideMark/>
          </w:tcPr>
          <w:p w14:paraId="0DD0017B" w14:textId="77777777" w:rsidR="00BC5219" w:rsidRPr="00910399" w:rsidRDefault="00BC5219" w:rsidP="00E83802">
            <w:pPr>
              <w:rPr>
                <w:rFonts w:ascii="Meta Pro" w:eastAsia="Times New Roman" w:hAnsi="Meta Pro"/>
                <w:szCs w:val="18"/>
                <w:lang w:eastAsia="en-AU"/>
              </w:rPr>
            </w:pPr>
            <w:r w:rsidRPr="00910399">
              <w:rPr>
                <w:rFonts w:ascii="Meta Pro" w:eastAsia="Times New Roman" w:hAnsi="Meta Pro"/>
                <w:szCs w:val="18"/>
                <w:lang w:eastAsia="en-AU"/>
              </w:rPr>
              <w:t>Transfers of administered revenue to government</w:t>
            </w:r>
          </w:p>
        </w:tc>
        <w:tc>
          <w:tcPr>
            <w:tcW w:w="1156" w:type="dxa"/>
            <w:tcBorders>
              <w:top w:val="nil"/>
              <w:left w:val="nil"/>
              <w:bottom w:val="nil"/>
              <w:right w:val="nil"/>
            </w:tcBorders>
            <w:shd w:val="clear" w:color="000000" w:fill="C9E3B4"/>
            <w:noWrap/>
            <w:vAlign w:val="center"/>
            <w:hideMark/>
          </w:tcPr>
          <w:p w14:paraId="7FD593D6" w14:textId="77777777" w:rsidR="00BC5219" w:rsidRPr="00910399" w:rsidRDefault="00BC5219" w:rsidP="00E83802">
            <w:pPr>
              <w:jc w:val="right"/>
              <w:rPr>
                <w:rFonts w:ascii="Meta Pro" w:eastAsia="Times New Roman" w:hAnsi="Meta Pro"/>
                <w:szCs w:val="18"/>
                <w:lang w:eastAsia="en-AU"/>
              </w:rPr>
            </w:pPr>
            <w:r w:rsidRPr="00910399">
              <w:rPr>
                <w:rFonts w:ascii="Meta Pro" w:eastAsia="Times New Roman" w:hAnsi="Meta Pro"/>
                <w:szCs w:val="18"/>
                <w:lang w:eastAsia="en-AU"/>
              </w:rPr>
              <w:t xml:space="preserve">2,999,791 </w:t>
            </w:r>
          </w:p>
        </w:tc>
        <w:tc>
          <w:tcPr>
            <w:tcW w:w="216" w:type="dxa"/>
            <w:tcBorders>
              <w:top w:val="nil"/>
              <w:left w:val="nil"/>
              <w:bottom w:val="nil"/>
              <w:right w:val="nil"/>
            </w:tcBorders>
            <w:shd w:val="clear" w:color="auto" w:fill="auto"/>
            <w:noWrap/>
            <w:vAlign w:val="center"/>
            <w:hideMark/>
          </w:tcPr>
          <w:p w14:paraId="3F9575DF" w14:textId="77777777" w:rsidR="00BC5219" w:rsidRPr="00910399"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63D7D309" w14:textId="77777777" w:rsidR="00BC5219" w:rsidRPr="00910399" w:rsidRDefault="00BC5219" w:rsidP="00E83802">
            <w:pPr>
              <w:jc w:val="right"/>
              <w:rPr>
                <w:rFonts w:ascii="Meta Pro" w:eastAsia="Times New Roman" w:hAnsi="Meta Pro"/>
                <w:szCs w:val="18"/>
                <w:lang w:eastAsia="en-AU"/>
              </w:rPr>
            </w:pPr>
            <w:r w:rsidRPr="00910399">
              <w:rPr>
                <w:rFonts w:ascii="Meta Pro" w:eastAsia="Times New Roman" w:hAnsi="Meta Pro"/>
                <w:szCs w:val="18"/>
                <w:lang w:eastAsia="en-AU"/>
              </w:rPr>
              <w:t xml:space="preserve">2,919,052 </w:t>
            </w:r>
          </w:p>
        </w:tc>
      </w:tr>
      <w:tr w:rsidR="00BC5219" w:rsidRPr="00910399" w14:paraId="5D2F7597" w14:textId="77777777" w:rsidTr="00E83802">
        <w:trPr>
          <w:trHeight w:val="240"/>
        </w:trPr>
        <w:tc>
          <w:tcPr>
            <w:tcW w:w="7711" w:type="dxa"/>
            <w:tcBorders>
              <w:top w:val="nil"/>
              <w:left w:val="nil"/>
              <w:bottom w:val="nil"/>
              <w:right w:val="nil"/>
            </w:tcBorders>
            <w:shd w:val="clear" w:color="auto" w:fill="auto"/>
            <w:noWrap/>
            <w:vAlign w:val="center"/>
            <w:hideMark/>
          </w:tcPr>
          <w:p w14:paraId="375FA3CC" w14:textId="77777777" w:rsidR="00BC5219" w:rsidRPr="00910399" w:rsidRDefault="00BC5219" w:rsidP="00E83802">
            <w:pPr>
              <w:rPr>
                <w:rFonts w:ascii="Meta Pro" w:eastAsia="Times New Roman" w:hAnsi="Meta Pro"/>
                <w:szCs w:val="18"/>
                <w:lang w:eastAsia="en-AU"/>
              </w:rPr>
            </w:pPr>
            <w:r w:rsidRPr="00910399">
              <w:rPr>
                <w:rFonts w:ascii="Meta Pro" w:eastAsia="Times New Roman" w:hAnsi="Meta Pro"/>
                <w:szCs w:val="18"/>
                <w:lang w:eastAsia="en-AU"/>
              </w:rPr>
              <w:t>Other</w:t>
            </w:r>
          </w:p>
        </w:tc>
        <w:tc>
          <w:tcPr>
            <w:tcW w:w="1156" w:type="dxa"/>
            <w:tcBorders>
              <w:top w:val="nil"/>
              <w:left w:val="nil"/>
              <w:bottom w:val="nil"/>
              <w:right w:val="nil"/>
            </w:tcBorders>
            <w:shd w:val="clear" w:color="000000" w:fill="C9E3B4"/>
            <w:noWrap/>
            <w:vAlign w:val="center"/>
            <w:hideMark/>
          </w:tcPr>
          <w:p w14:paraId="6B1B8C8B" w14:textId="77777777" w:rsidR="00BC5219" w:rsidRPr="00910399" w:rsidRDefault="00BC5219" w:rsidP="00E83802">
            <w:pPr>
              <w:jc w:val="right"/>
              <w:rPr>
                <w:rFonts w:ascii="Meta Pro" w:eastAsia="Times New Roman" w:hAnsi="Meta Pro"/>
                <w:szCs w:val="18"/>
                <w:lang w:eastAsia="en-AU"/>
              </w:rPr>
            </w:pPr>
            <w:r w:rsidRPr="00910399">
              <w:rPr>
                <w:rFonts w:ascii="Meta Pro" w:eastAsia="Times New Roman" w:hAnsi="Meta Pro"/>
                <w:szCs w:val="18"/>
                <w:lang w:eastAsia="en-AU"/>
              </w:rPr>
              <w:t xml:space="preserve">466 </w:t>
            </w:r>
          </w:p>
        </w:tc>
        <w:tc>
          <w:tcPr>
            <w:tcW w:w="216" w:type="dxa"/>
            <w:tcBorders>
              <w:top w:val="nil"/>
              <w:left w:val="nil"/>
              <w:bottom w:val="nil"/>
              <w:right w:val="nil"/>
            </w:tcBorders>
            <w:shd w:val="clear" w:color="auto" w:fill="auto"/>
            <w:noWrap/>
            <w:vAlign w:val="center"/>
            <w:hideMark/>
          </w:tcPr>
          <w:p w14:paraId="1AEB9C9F" w14:textId="77777777" w:rsidR="00BC5219" w:rsidRPr="00910399"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5BE4376F" w14:textId="77777777" w:rsidR="00BC5219" w:rsidRPr="00910399" w:rsidRDefault="00BC5219" w:rsidP="00E83802">
            <w:pPr>
              <w:jc w:val="right"/>
              <w:rPr>
                <w:rFonts w:ascii="Meta Pro" w:eastAsia="Times New Roman" w:hAnsi="Meta Pro"/>
                <w:szCs w:val="18"/>
                <w:lang w:eastAsia="en-AU"/>
              </w:rPr>
            </w:pPr>
            <w:r w:rsidRPr="00910399">
              <w:rPr>
                <w:rFonts w:ascii="Meta Pro" w:eastAsia="Times New Roman" w:hAnsi="Meta Pro"/>
                <w:szCs w:val="18"/>
                <w:lang w:eastAsia="en-AU"/>
              </w:rPr>
              <w:t xml:space="preserve">505 </w:t>
            </w:r>
          </w:p>
        </w:tc>
      </w:tr>
      <w:tr w:rsidR="00BC5219" w:rsidRPr="00910399" w14:paraId="37B06E11" w14:textId="77777777" w:rsidTr="00E83802">
        <w:trPr>
          <w:trHeight w:val="240"/>
        </w:trPr>
        <w:tc>
          <w:tcPr>
            <w:tcW w:w="7711" w:type="dxa"/>
            <w:tcBorders>
              <w:top w:val="single" w:sz="4" w:space="0" w:color="auto"/>
              <w:left w:val="nil"/>
              <w:bottom w:val="single" w:sz="4" w:space="0" w:color="auto"/>
              <w:right w:val="nil"/>
            </w:tcBorders>
            <w:shd w:val="clear" w:color="auto" w:fill="auto"/>
            <w:noWrap/>
            <w:vAlign w:val="center"/>
            <w:hideMark/>
          </w:tcPr>
          <w:p w14:paraId="00BEFAA6" w14:textId="77777777" w:rsidR="00BC5219" w:rsidRPr="00910399" w:rsidRDefault="00BC5219" w:rsidP="00E83802">
            <w:pPr>
              <w:rPr>
                <w:rFonts w:ascii="Meta Pro" w:eastAsia="Times New Roman" w:hAnsi="Meta Pro"/>
                <w:b/>
                <w:bCs/>
                <w:szCs w:val="18"/>
                <w:lang w:eastAsia="en-AU"/>
              </w:rPr>
            </w:pPr>
            <w:r w:rsidRPr="00910399">
              <w:rPr>
                <w:rFonts w:ascii="Meta Pro" w:eastAsia="Times New Roman" w:hAnsi="Meta Pro"/>
                <w:b/>
                <w:bCs/>
                <w:szCs w:val="18"/>
                <w:lang w:eastAsia="en-AU"/>
              </w:rPr>
              <w:t>Total expenses</w:t>
            </w:r>
          </w:p>
        </w:tc>
        <w:tc>
          <w:tcPr>
            <w:tcW w:w="1156" w:type="dxa"/>
            <w:tcBorders>
              <w:top w:val="single" w:sz="4" w:space="0" w:color="auto"/>
              <w:left w:val="nil"/>
              <w:bottom w:val="single" w:sz="4" w:space="0" w:color="auto"/>
              <w:right w:val="nil"/>
            </w:tcBorders>
            <w:shd w:val="clear" w:color="000000" w:fill="C9E3B4"/>
            <w:noWrap/>
            <w:vAlign w:val="center"/>
            <w:hideMark/>
          </w:tcPr>
          <w:p w14:paraId="39A26F26" w14:textId="77777777" w:rsidR="00BC5219" w:rsidRPr="00910399" w:rsidRDefault="00BC5219" w:rsidP="00E83802">
            <w:pPr>
              <w:jc w:val="right"/>
              <w:rPr>
                <w:rFonts w:ascii="Meta Pro" w:eastAsia="Times New Roman" w:hAnsi="Meta Pro"/>
                <w:b/>
                <w:bCs/>
                <w:szCs w:val="18"/>
                <w:lang w:eastAsia="en-AU"/>
              </w:rPr>
            </w:pPr>
            <w:r w:rsidRPr="00910399">
              <w:rPr>
                <w:rFonts w:ascii="Meta Pro" w:eastAsia="Times New Roman" w:hAnsi="Meta Pro"/>
                <w:b/>
                <w:bCs/>
                <w:szCs w:val="18"/>
                <w:lang w:eastAsia="en-AU"/>
              </w:rPr>
              <w:t xml:space="preserve">3,081,975 </w:t>
            </w:r>
          </w:p>
        </w:tc>
        <w:tc>
          <w:tcPr>
            <w:tcW w:w="216" w:type="dxa"/>
            <w:tcBorders>
              <w:top w:val="single" w:sz="4" w:space="0" w:color="auto"/>
              <w:left w:val="nil"/>
              <w:bottom w:val="single" w:sz="4" w:space="0" w:color="auto"/>
              <w:right w:val="nil"/>
            </w:tcBorders>
            <w:shd w:val="clear" w:color="auto" w:fill="auto"/>
            <w:noWrap/>
            <w:vAlign w:val="center"/>
            <w:hideMark/>
          </w:tcPr>
          <w:p w14:paraId="278ECB2A" w14:textId="77777777" w:rsidR="00BC5219" w:rsidRPr="00910399" w:rsidRDefault="00BC5219" w:rsidP="00E83802">
            <w:pPr>
              <w:rPr>
                <w:rFonts w:ascii="Meta Pro" w:eastAsia="Times New Roman" w:hAnsi="Meta Pro"/>
                <w:b/>
                <w:bCs/>
                <w:szCs w:val="18"/>
                <w:lang w:eastAsia="en-AU"/>
              </w:rPr>
            </w:pPr>
            <w:r w:rsidRPr="00910399">
              <w:rPr>
                <w:rFonts w:ascii="Meta Pro" w:eastAsia="Times New Roman" w:hAnsi="Meta Pro"/>
                <w:b/>
                <w:bCs/>
                <w:szCs w:val="18"/>
                <w:lang w:eastAsia="en-AU"/>
              </w:rPr>
              <w:t> </w:t>
            </w:r>
          </w:p>
        </w:tc>
        <w:tc>
          <w:tcPr>
            <w:tcW w:w="1156" w:type="dxa"/>
            <w:tcBorders>
              <w:top w:val="single" w:sz="4" w:space="0" w:color="auto"/>
              <w:left w:val="nil"/>
              <w:bottom w:val="single" w:sz="4" w:space="0" w:color="auto"/>
              <w:right w:val="nil"/>
            </w:tcBorders>
            <w:shd w:val="clear" w:color="auto" w:fill="auto"/>
            <w:noWrap/>
            <w:vAlign w:val="center"/>
            <w:hideMark/>
          </w:tcPr>
          <w:p w14:paraId="2C14DEB4" w14:textId="77777777" w:rsidR="00BC5219" w:rsidRPr="00910399" w:rsidRDefault="00BC5219" w:rsidP="00E83802">
            <w:pPr>
              <w:jc w:val="right"/>
              <w:rPr>
                <w:rFonts w:ascii="Meta Pro" w:eastAsia="Times New Roman" w:hAnsi="Meta Pro"/>
                <w:b/>
                <w:bCs/>
                <w:szCs w:val="18"/>
                <w:lang w:eastAsia="en-AU"/>
              </w:rPr>
            </w:pPr>
            <w:r w:rsidRPr="00910399">
              <w:rPr>
                <w:rFonts w:ascii="Meta Pro" w:eastAsia="Times New Roman" w:hAnsi="Meta Pro"/>
                <w:b/>
                <w:bCs/>
                <w:szCs w:val="18"/>
                <w:lang w:eastAsia="en-AU"/>
              </w:rPr>
              <w:t xml:space="preserve">3,005,969 </w:t>
            </w:r>
          </w:p>
        </w:tc>
      </w:tr>
      <w:tr w:rsidR="00BC5219" w:rsidRPr="00910399" w14:paraId="42589391" w14:textId="77777777" w:rsidTr="00E83802">
        <w:trPr>
          <w:trHeight w:val="90"/>
        </w:trPr>
        <w:tc>
          <w:tcPr>
            <w:tcW w:w="7711" w:type="dxa"/>
            <w:tcBorders>
              <w:top w:val="nil"/>
              <w:left w:val="nil"/>
              <w:bottom w:val="nil"/>
              <w:right w:val="nil"/>
            </w:tcBorders>
            <w:shd w:val="clear" w:color="auto" w:fill="auto"/>
            <w:noWrap/>
            <w:vAlign w:val="center"/>
            <w:hideMark/>
          </w:tcPr>
          <w:p w14:paraId="067B5161" w14:textId="77777777" w:rsidR="00BC5219" w:rsidRPr="00910399" w:rsidRDefault="00BC5219" w:rsidP="00E83802">
            <w:pPr>
              <w:jc w:val="right"/>
              <w:rPr>
                <w:rFonts w:ascii="Meta Pro" w:eastAsia="Times New Roman" w:hAnsi="Meta Pro"/>
                <w:b/>
                <w:bCs/>
                <w:szCs w:val="18"/>
                <w:lang w:eastAsia="en-AU"/>
              </w:rPr>
            </w:pPr>
          </w:p>
        </w:tc>
        <w:tc>
          <w:tcPr>
            <w:tcW w:w="1156" w:type="dxa"/>
            <w:tcBorders>
              <w:top w:val="nil"/>
              <w:left w:val="nil"/>
              <w:bottom w:val="nil"/>
              <w:right w:val="nil"/>
            </w:tcBorders>
            <w:shd w:val="clear" w:color="000000" w:fill="C9E3B4"/>
            <w:noWrap/>
            <w:vAlign w:val="center"/>
            <w:hideMark/>
          </w:tcPr>
          <w:p w14:paraId="43EDA97D" w14:textId="77777777" w:rsidR="00BC5219" w:rsidRPr="00910399" w:rsidRDefault="00BC5219" w:rsidP="00E83802">
            <w:pPr>
              <w:jc w:val="right"/>
              <w:rPr>
                <w:rFonts w:ascii="Meta Pro" w:eastAsia="Times New Roman" w:hAnsi="Meta Pro"/>
                <w:szCs w:val="18"/>
                <w:lang w:eastAsia="en-AU"/>
              </w:rPr>
            </w:pPr>
            <w:r w:rsidRPr="00910399">
              <w:rPr>
                <w:rFonts w:ascii="Meta Pro" w:eastAsia="Times New Roman" w:hAnsi="Meta Pro"/>
                <w:szCs w:val="18"/>
                <w:lang w:eastAsia="en-AU"/>
              </w:rPr>
              <w:t> </w:t>
            </w:r>
          </w:p>
        </w:tc>
        <w:tc>
          <w:tcPr>
            <w:tcW w:w="216" w:type="dxa"/>
            <w:tcBorders>
              <w:top w:val="nil"/>
              <w:left w:val="nil"/>
              <w:bottom w:val="nil"/>
              <w:right w:val="nil"/>
            </w:tcBorders>
            <w:shd w:val="clear" w:color="auto" w:fill="auto"/>
            <w:noWrap/>
            <w:vAlign w:val="center"/>
            <w:hideMark/>
          </w:tcPr>
          <w:p w14:paraId="0F8C038B" w14:textId="77777777" w:rsidR="00BC5219" w:rsidRPr="00910399"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0970AAE4" w14:textId="77777777" w:rsidR="00BC5219" w:rsidRPr="00910399" w:rsidRDefault="00BC5219" w:rsidP="00E83802">
            <w:pPr>
              <w:rPr>
                <w:rFonts w:ascii="Times New Roman" w:eastAsia="Times New Roman" w:hAnsi="Times New Roman" w:cs="Times New Roman"/>
                <w:sz w:val="20"/>
                <w:szCs w:val="20"/>
                <w:lang w:eastAsia="en-AU"/>
              </w:rPr>
            </w:pPr>
          </w:p>
        </w:tc>
      </w:tr>
      <w:tr w:rsidR="00BC5219" w:rsidRPr="00910399" w14:paraId="0E3D3733" w14:textId="77777777" w:rsidTr="00E83802">
        <w:trPr>
          <w:trHeight w:val="240"/>
        </w:trPr>
        <w:tc>
          <w:tcPr>
            <w:tcW w:w="7711" w:type="dxa"/>
            <w:tcBorders>
              <w:top w:val="nil"/>
              <w:left w:val="nil"/>
              <w:bottom w:val="double" w:sz="6" w:space="0" w:color="auto"/>
              <w:right w:val="nil"/>
            </w:tcBorders>
            <w:shd w:val="clear" w:color="auto" w:fill="auto"/>
            <w:noWrap/>
            <w:vAlign w:val="center"/>
            <w:hideMark/>
          </w:tcPr>
          <w:p w14:paraId="5B21F7FE" w14:textId="77777777" w:rsidR="00BC5219" w:rsidRPr="00910399" w:rsidRDefault="00BC5219" w:rsidP="00E83802">
            <w:pPr>
              <w:rPr>
                <w:rFonts w:ascii="Meta Pro" w:eastAsia="Times New Roman" w:hAnsi="Meta Pro"/>
                <w:b/>
                <w:bCs/>
                <w:szCs w:val="18"/>
                <w:lang w:eastAsia="en-AU"/>
              </w:rPr>
            </w:pPr>
            <w:r w:rsidRPr="00910399">
              <w:rPr>
                <w:rFonts w:ascii="Meta Pro" w:eastAsia="Times New Roman" w:hAnsi="Meta Pro"/>
                <w:b/>
                <w:bCs/>
                <w:szCs w:val="18"/>
                <w:lang w:eastAsia="en-AU"/>
              </w:rPr>
              <w:t>OPERATING RESULT FOR THE YEAR</w:t>
            </w:r>
          </w:p>
        </w:tc>
        <w:tc>
          <w:tcPr>
            <w:tcW w:w="1156" w:type="dxa"/>
            <w:tcBorders>
              <w:top w:val="nil"/>
              <w:left w:val="nil"/>
              <w:bottom w:val="double" w:sz="6" w:space="0" w:color="auto"/>
              <w:right w:val="nil"/>
            </w:tcBorders>
            <w:shd w:val="clear" w:color="000000" w:fill="C9E3B4"/>
            <w:noWrap/>
            <w:vAlign w:val="center"/>
            <w:hideMark/>
          </w:tcPr>
          <w:p w14:paraId="4133AEB4" w14:textId="77777777" w:rsidR="00BC5219" w:rsidRPr="00910399" w:rsidRDefault="00BC5219" w:rsidP="00E83802">
            <w:pPr>
              <w:jc w:val="right"/>
              <w:rPr>
                <w:rFonts w:ascii="Meta Pro" w:eastAsia="Times New Roman" w:hAnsi="Meta Pro"/>
                <w:b/>
                <w:bCs/>
                <w:szCs w:val="18"/>
                <w:lang w:eastAsia="en-AU"/>
              </w:rPr>
            </w:pPr>
            <w:r w:rsidRPr="00910399">
              <w:rPr>
                <w:rFonts w:ascii="Meta Pro" w:eastAsia="Times New Roman" w:hAnsi="Meta Pro"/>
                <w:b/>
                <w:bCs/>
                <w:szCs w:val="18"/>
                <w:lang w:eastAsia="en-AU"/>
              </w:rPr>
              <w:t>(592)</w:t>
            </w:r>
          </w:p>
        </w:tc>
        <w:tc>
          <w:tcPr>
            <w:tcW w:w="216" w:type="dxa"/>
            <w:tcBorders>
              <w:top w:val="nil"/>
              <w:left w:val="nil"/>
              <w:bottom w:val="double" w:sz="6" w:space="0" w:color="auto"/>
              <w:right w:val="nil"/>
            </w:tcBorders>
            <w:shd w:val="clear" w:color="auto" w:fill="auto"/>
            <w:noWrap/>
            <w:vAlign w:val="center"/>
            <w:hideMark/>
          </w:tcPr>
          <w:p w14:paraId="76C20AA6" w14:textId="77777777" w:rsidR="00BC5219" w:rsidRPr="00910399" w:rsidRDefault="00BC5219" w:rsidP="00E83802">
            <w:pPr>
              <w:rPr>
                <w:rFonts w:ascii="Meta Pro" w:eastAsia="Times New Roman" w:hAnsi="Meta Pro"/>
                <w:szCs w:val="18"/>
                <w:lang w:eastAsia="en-AU"/>
              </w:rPr>
            </w:pPr>
            <w:r w:rsidRPr="00910399">
              <w:rPr>
                <w:rFonts w:ascii="Meta Pro" w:eastAsia="Times New Roman" w:hAnsi="Meta Pro"/>
                <w:szCs w:val="18"/>
                <w:lang w:eastAsia="en-AU"/>
              </w:rPr>
              <w:t> </w:t>
            </w:r>
          </w:p>
        </w:tc>
        <w:tc>
          <w:tcPr>
            <w:tcW w:w="1156" w:type="dxa"/>
            <w:tcBorders>
              <w:top w:val="nil"/>
              <w:left w:val="nil"/>
              <w:bottom w:val="double" w:sz="6" w:space="0" w:color="auto"/>
              <w:right w:val="nil"/>
            </w:tcBorders>
            <w:shd w:val="clear" w:color="auto" w:fill="auto"/>
            <w:noWrap/>
            <w:vAlign w:val="center"/>
            <w:hideMark/>
          </w:tcPr>
          <w:p w14:paraId="0D1F8BA7" w14:textId="77777777" w:rsidR="00BC5219" w:rsidRPr="00910399" w:rsidRDefault="00BC5219" w:rsidP="00E83802">
            <w:pPr>
              <w:jc w:val="right"/>
              <w:rPr>
                <w:rFonts w:ascii="Meta Pro" w:eastAsia="Times New Roman" w:hAnsi="Meta Pro"/>
                <w:b/>
                <w:bCs/>
                <w:szCs w:val="18"/>
                <w:lang w:eastAsia="en-AU"/>
              </w:rPr>
            </w:pPr>
            <w:r w:rsidRPr="00910399">
              <w:rPr>
                <w:rFonts w:ascii="Meta Pro" w:eastAsia="Times New Roman" w:hAnsi="Meta Pro"/>
                <w:b/>
                <w:bCs/>
                <w:szCs w:val="18"/>
                <w:lang w:eastAsia="en-AU"/>
              </w:rPr>
              <w:t xml:space="preserve">2,353 </w:t>
            </w:r>
          </w:p>
        </w:tc>
      </w:tr>
      <w:tr w:rsidR="00BC5219" w:rsidRPr="00910399" w14:paraId="63C43CC4" w14:textId="77777777" w:rsidTr="00E83802">
        <w:trPr>
          <w:trHeight w:val="90"/>
        </w:trPr>
        <w:tc>
          <w:tcPr>
            <w:tcW w:w="7711" w:type="dxa"/>
            <w:tcBorders>
              <w:top w:val="nil"/>
              <w:left w:val="nil"/>
              <w:bottom w:val="nil"/>
              <w:right w:val="nil"/>
            </w:tcBorders>
            <w:shd w:val="clear" w:color="auto" w:fill="auto"/>
            <w:noWrap/>
            <w:vAlign w:val="center"/>
            <w:hideMark/>
          </w:tcPr>
          <w:p w14:paraId="5D7B5579" w14:textId="77777777" w:rsidR="00BC5219" w:rsidRPr="00910399" w:rsidRDefault="00BC5219" w:rsidP="00E83802">
            <w:pPr>
              <w:jc w:val="right"/>
              <w:rPr>
                <w:rFonts w:ascii="Meta Pro" w:eastAsia="Times New Roman" w:hAnsi="Meta Pro"/>
                <w:b/>
                <w:bCs/>
                <w:szCs w:val="18"/>
                <w:lang w:eastAsia="en-AU"/>
              </w:rPr>
            </w:pPr>
          </w:p>
        </w:tc>
        <w:tc>
          <w:tcPr>
            <w:tcW w:w="1156" w:type="dxa"/>
            <w:tcBorders>
              <w:top w:val="nil"/>
              <w:left w:val="nil"/>
              <w:bottom w:val="nil"/>
              <w:right w:val="nil"/>
            </w:tcBorders>
            <w:shd w:val="clear" w:color="auto" w:fill="auto"/>
            <w:noWrap/>
            <w:vAlign w:val="center"/>
            <w:hideMark/>
          </w:tcPr>
          <w:p w14:paraId="5F8AFAC4" w14:textId="77777777" w:rsidR="00BC5219" w:rsidRPr="00910399" w:rsidRDefault="00BC5219" w:rsidP="00E83802">
            <w:pPr>
              <w:rPr>
                <w:rFonts w:ascii="Times New Roman" w:eastAsia="Times New Roman" w:hAnsi="Times New Roman"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71C31C0C" w14:textId="77777777" w:rsidR="00BC5219" w:rsidRPr="00910399"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6517F94F" w14:textId="77777777" w:rsidR="00BC5219" w:rsidRPr="00910399" w:rsidRDefault="00BC5219" w:rsidP="00E83802">
            <w:pPr>
              <w:jc w:val="right"/>
              <w:rPr>
                <w:rFonts w:ascii="Times New Roman" w:eastAsia="Times New Roman" w:hAnsi="Times New Roman" w:cs="Times New Roman"/>
                <w:sz w:val="20"/>
                <w:szCs w:val="20"/>
                <w:lang w:eastAsia="en-AU"/>
              </w:rPr>
            </w:pPr>
          </w:p>
        </w:tc>
      </w:tr>
      <w:tr w:rsidR="00BC5219" w:rsidRPr="00910399" w14:paraId="6D6B7CCC" w14:textId="77777777" w:rsidTr="00E83802">
        <w:trPr>
          <w:trHeight w:val="240"/>
        </w:trPr>
        <w:tc>
          <w:tcPr>
            <w:tcW w:w="7711" w:type="dxa"/>
            <w:tcBorders>
              <w:top w:val="nil"/>
              <w:left w:val="nil"/>
              <w:bottom w:val="nil"/>
              <w:right w:val="nil"/>
            </w:tcBorders>
            <w:shd w:val="clear" w:color="auto" w:fill="auto"/>
            <w:noWrap/>
            <w:vAlign w:val="center"/>
            <w:hideMark/>
          </w:tcPr>
          <w:p w14:paraId="7A5C08B6" w14:textId="77777777" w:rsidR="00BC5219" w:rsidRPr="00910399" w:rsidRDefault="00BC5219" w:rsidP="00E83802">
            <w:pPr>
              <w:rPr>
                <w:rFonts w:ascii="Meta Pro" w:eastAsia="Times New Roman" w:hAnsi="Meta Pro"/>
                <w:szCs w:val="18"/>
                <w:lang w:eastAsia="en-AU"/>
              </w:rPr>
            </w:pPr>
            <w:r w:rsidRPr="00910399">
              <w:rPr>
                <w:rFonts w:ascii="Meta Pro" w:eastAsia="Times New Roman" w:hAnsi="Meta Pro"/>
                <w:szCs w:val="18"/>
                <w:lang w:eastAsia="en-AU"/>
              </w:rPr>
              <w:t>* User charges, fees and fines includes:</w:t>
            </w:r>
          </w:p>
        </w:tc>
        <w:tc>
          <w:tcPr>
            <w:tcW w:w="1156" w:type="dxa"/>
            <w:tcBorders>
              <w:top w:val="nil"/>
              <w:left w:val="nil"/>
              <w:bottom w:val="nil"/>
              <w:right w:val="nil"/>
            </w:tcBorders>
            <w:shd w:val="clear" w:color="auto" w:fill="auto"/>
            <w:noWrap/>
            <w:vAlign w:val="center"/>
            <w:hideMark/>
          </w:tcPr>
          <w:p w14:paraId="37C72255" w14:textId="77777777" w:rsidR="00BC5219" w:rsidRPr="00910399" w:rsidRDefault="00BC5219" w:rsidP="00E83802">
            <w:pPr>
              <w:rPr>
                <w:rFonts w:ascii="Meta Pro" w:eastAsia="Times New Roman" w:hAnsi="Meta Pro"/>
                <w:szCs w:val="18"/>
                <w:lang w:eastAsia="en-AU"/>
              </w:rPr>
            </w:pPr>
          </w:p>
        </w:tc>
        <w:tc>
          <w:tcPr>
            <w:tcW w:w="216" w:type="dxa"/>
            <w:tcBorders>
              <w:top w:val="nil"/>
              <w:left w:val="nil"/>
              <w:bottom w:val="nil"/>
              <w:right w:val="nil"/>
            </w:tcBorders>
            <w:shd w:val="clear" w:color="auto" w:fill="auto"/>
            <w:noWrap/>
            <w:vAlign w:val="center"/>
            <w:hideMark/>
          </w:tcPr>
          <w:p w14:paraId="6D7CE63A" w14:textId="77777777" w:rsidR="00BC5219" w:rsidRPr="00910399"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6B99269E" w14:textId="77777777" w:rsidR="00BC5219" w:rsidRPr="00910399" w:rsidRDefault="00BC5219" w:rsidP="00E83802">
            <w:pPr>
              <w:jc w:val="right"/>
              <w:rPr>
                <w:rFonts w:ascii="Times New Roman" w:eastAsia="Times New Roman" w:hAnsi="Times New Roman" w:cs="Times New Roman"/>
                <w:sz w:val="20"/>
                <w:szCs w:val="20"/>
                <w:lang w:eastAsia="en-AU"/>
              </w:rPr>
            </w:pPr>
          </w:p>
        </w:tc>
      </w:tr>
      <w:tr w:rsidR="00BC5219" w:rsidRPr="00910399" w14:paraId="459FD0A6" w14:textId="77777777" w:rsidTr="00E83802">
        <w:trPr>
          <w:trHeight w:val="240"/>
        </w:trPr>
        <w:tc>
          <w:tcPr>
            <w:tcW w:w="7711" w:type="dxa"/>
            <w:tcBorders>
              <w:top w:val="nil"/>
              <w:left w:val="nil"/>
              <w:bottom w:val="nil"/>
              <w:right w:val="nil"/>
            </w:tcBorders>
            <w:shd w:val="clear" w:color="auto" w:fill="auto"/>
            <w:noWrap/>
            <w:vAlign w:val="center"/>
            <w:hideMark/>
          </w:tcPr>
          <w:p w14:paraId="4F9F929F" w14:textId="77777777" w:rsidR="00BC5219" w:rsidRPr="00910399" w:rsidRDefault="00BC5219" w:rsidP="00E83802">
            <w:pPr>
              <w:rPr>
                <w:rFonts w:ascii="Meta Pro" w:eastAsia="Times New Roman" w:hAnsi="Meta Pro"/>
                <w:szCs w:val="18"/>
                <w:lang w:eastAsia="en-AU"/>
              </w:rPr>
            </w:pPr>
            <w:r w:rsidRPr="00910399">
              <w:rPr>
                <w:rFonts w:ascii="Meta Pro" w:eastAsia="Times New Roman" w:hAnsi="Meta Pro"/>
                <w:szCs w:val="18"/>
                <w:lang w:eastAsia="en-AU"/>
              </w:rPr>
              <w:t>Fines and forfeiture</w:t>
            </w:r>
          </w:p>
        </w:tc>
        <w:tc>
          <w:tcPr>
            <w:tcW w:w="1156" w:type="dxa"/>
            <w:tcBorders>
              <w:top w:val="nil"/>
              <w:left w:val="nil"/>
              <w:bottom w:val="nil"/>
              <w:right w:val="nil"/>
            </w:tcBorders>
            <w:shd w:val="clear" w:color="000000" w:fill="C9E3B4"/>
            <w:noWrap/>
            <w:vAlign w:val="center"/>
            <w:hideMark/>
          </w:tcPr>
          <w:p w14:paraId="37C8C8FC" w14:textId="77777777" w:rsidR="00BC5219" w:rsidRPr="00910399" w:rsidRDefault="00BC5219" w:rsidP="00E83802">
            <w:pPr>
              <w:jc w:val="right"/>
              <w:rPr>
                <w:rFonts w:ascii="Meta Pro" w:eastAsia="Times New Roman" w:hAnsi="Meta Pro"/>
                <w:szCs w:val="18"/>
                <w:lang w:eastAsia="en-AU"/>
              </w:rPr>
            </w:pPr>
            <w:r w:rsidRPr="00910399">
              <w:rPr>
                <w:rFonts w:ascii="Meta Pro" w:eastAsia="Times New Roman" w:hAnsi="Meta Pro"/>
                <w:szCs w:val="18"/>
                <w:lang w:eastAsia="en-AU"/>
              </w:rPr>
              <w:t xml:space="preserve">32,171 </w:t>
            </w:r>
          </w:p>
        </w:tc>
        <w:tc>
          <w:tcPr>
            <w:tcW w:w="216" w:type="dxa"/>
            <w:tcBorders>
              <w:top w:val="nil"/>
              <w:left w:val="nil"/>
              <w:bottom w:val="nil"/>
              <w:right w:val="nil"/>
            </w:tcBorders>
            <w:shd w:val="clear" w:color="auto" w:fill="auto"/>
            <w:noWrap/>
            <w:vAlign w:val="center"/>
            <w:hideMark/>
          </w:tcPr>
          <w:p w14:paraId="2CD3429D" w14:textId="77777777" w:rsidR="00BC5219" w:rsidRPr="00910399"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3FAF5D6C" w14:textId="77777777" w:rsidR="00BC5219" w:rsidRPr="00910399" w:rsidRDefault="00BC5219" w:rsidP="00E83802">
            <w:pPr>
              <w:jc w:val="right"/>
              <w:rPr>
                <w:rFonts w:ascii="Meta Pro" w:eastAsia="Times New Roman" w:hAnsi="Meta Pro"/>
                <w:szCs w:val="18"/>
                <w:lang w:eastAsia="en-AU"/>
              </w:rPr>
            </w:pPr>
            <w:r w:rsidRPr="00910399">
              <w:rPr>
                <w:rFonts w:ascii="Meta Pro" w:eastAsia="Times New Roman" w:hAnsi="Meta Pro"/>
                <w:szCs w:val="18"/>
                <w:lang w:eastAsia="en-AU"/>
              </w:rPr>
              <w:t xml:space="preserve">107,853 </w:t>
            </w:r>
          </w:p>
        </w:tc>
      </w:tr>
      <w:tr w:rsidR="00BC5219" w:rsidRPr="00910399" w14:paraId="6CEA6D5F" w14:textId="77777777" w:rsidTr="00E83802">
        <w:trPr>
          <w:trHeight w:val="240"/>
        </w:trPr>
        <w:tc>
          <w:tcPr>
            <w:tcW w:w="7711" w:type="dxa"/>
            <w:tcBorders>
              <w:top w:val="nil"/>
              <w:left w:val="nil"/>
              <w:bottom w:val="nil"/>
              <w:right w:val="nil"/>
            </w:tcBorders>
            <w:shd w:val="clear" w:color="auto" w:fill="auto"/>
            <w:noWrap/>
            <w:vAlign w:val="center"/>
            <w:hideMark/>
          </w:tcPr>
          <w:p w14:paraId="1F145709" w14:textId="77777777" w:rsidR="00BC5219" w:rsidRPr="00910399" w:rsidRDefault="00BC5219" w:rsidP="00E83802">
            <w:pPr>
              <w:rPr>
                <w:rFonts w:ascii="Meta Pro" w:eastAsia="Times New Roman" w:hAnsi="Meta Pro"/>
                <w:szCs w:val="18"/>
                <w:lang w:eastAsia="en-AU"/>
              </w:rPr>
            </w:pPr>
            <w:r w:rsidRPr="00910399">
              <w:rPr>
                <w:rFonts w:ascii="Meta Pro" w:eastAsia="Times New Roman" w:hAnsi="Meta Pro"/>
                <w:szCs w:val="18"/>
                <w:lang w:eastAsia="en-AU"/>
              </w:rPr>
              <w:lastRenderedPageBreak/>
              <w:t>Motor vehicle registration</w:t>
            </w:r>
          </w:p>
        </w:tc>
        <w:tc>
          <w:tcPr>
            <w:tcW w:w="1156" w:type="dxa"/>
            <w:tcBorders>
              <w:top w:val="nil"/>
              <w:left w:val="nil"/>
              <w:bottom w:val="nil"/>
              <w:right w:val="nil"/>
            </w:tcBorders>
            <w:shd w:val="clear" w:color="000000" w:fill="C9E3B4"/>
            <w:noWrap/>
            <w:vAlign w:val="center"/>
            <w:hideMark/>
          </w:tcPr>
          <w:p w14:paraId="6A5BA8DE" w14:textId="77777777" w:rsidR="00BC5219" w:rsidRPr="00910399" w:rsidRDefault="00BC5219" w:rsidP="00E83802">
            <w:pPr>
              <w:jc w:val="right"/>
              <w:rPr>
                <w:rFonts w:ascii="Meta Pro" w:eastAsia="Times New Roman" w:hAnsi="Meta Pro"/>
                <w:szCs w:val="18"/>
                <w:lang w:eastAsia="en-AU"/>
              </w:rPr>
            </w:pPr>
            <w:r w:rsidRPr="00910399">
              <w:rPr>
                <w:rFonts w:ascii="Meta Pro" w:eastAsia="Times New Roman" w:hAnsi="Meta Pro"/>
                <w:szCs w:val="18"/>
                <w:lang w:eastAsia="en-AU"/>
              </w:rPr>
              <w:t xml:space="preserve">2,230,061 </w:t>
            </w:r>
          </w:p>
        </w:tc>
        <w:tc>
          <w:tcPr>
            <w:tcW w:w="216" w:type="dxa"/>
            <w:tcBorders>
              <w:top w:val="nil"/>
              <w:left w:val="nil"/>
              <w:bottom w:val="nil"/>
              <w:right w:val="nil"/>
            </w:tcBorders>
            <w:shd w:val="clear" w:color="auto" w:fill="auto"/>
            <w:noWrap/>
            <w:vAlign w:val="center"/>
            <w:hideMark/>
          </w:tcPr>
          <w:p w14:paraId="596A3A1E" w14:textId="77777777" w:rsidR="00BC5219" w:rsidRPr="00910399"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5B447933" w14:textId="77777777" w:rsidR="00BC5219" w:rsidRPr="00910399" w:rsidRDefault="00BC5219" w:rsidP="00E83802">
            <w:pPr>
              <w:jc w:val="right"/>
              <w:rPr>
                <w:rFonts w:ascii="Meta Pro" w:eastAsia="Times New Roman" w:hAnsi="Meta Pro"/>
                <w:szCs w:val="18"/>
                <w:lang w:eastAsia="en-AU"/>
              </w:rPr>
            </w:pPr>
            <w:r w:rsidRPr="00910399">
              <w:rPr>
                <w:rFonts w:ascii="Meta Pro" w:eastAsia="Times New Roman" w:hAnsi="Meta Pro"/>
                <w:szCs w:val="18"/>
                <w:lang w:eastAsia="en-AU"/>
              </w:rPr>
              <w:t xml:space="preserve">2,108,230 </w:t>
            </w:r>
          </w:p>
        </w:tc>
      </w:tr>
      <w:tr w:rsidR="00BC5219" w:rsidRPr="00910399" w14:paraId="7BEFECCE" w14:textId="77777777" w:rsidTr="00E83802">
        <w:trPr>
          <w:trHeight w:val="240"/>
        </w:trPr>
        <w:tc>
          <w:tcPr>
            <w:tcW w:w="7711" w:type="dxa"/>
            <w:tcBorders>
              <w:top w:val="nil"/>
              <w:left w:val="nil"/>
              <w:bottom w:val="nil"/>
              <w:right w:val="nil"/>
            </w:tcBorders>
            <w:shd w:val="clear" w:color="auto" w:fill="auto"/>
            <w:noWrap/>
            <w:vAlign w:val="center"/>
            <w:hideMark/>
          </w:tcPr>
          <w:p w14:paraId="7872B92A" w14:textId="77777777" w:rsidR="00BC5219" w:rsidRPr="00910399" w:rsidRDefault="00BC5219" w:rsidP="00E83802">
            <w:pPr>
              <w:rPr>
                <w:rFonts w:ascii="Meta Pro" w:eastAsia="Times New Roman" w:hAnsi="Meta Pro"/>
                <w:szCs w:val="18"/>
                <w:lang w:eastAsia="en-AU"/>
              </w:rPr>
            </w:pPr>
            <w:r w:rsidRPr="00910399">
              <w:rPr>
                <w:rFonts w:ascii="Meta Pro" w:eastAsia="Times New Roman" w:hAnsi="Meta Pro"/>
                <w:szCs w:val="18"/>
                <w:lang w:eastAsia="en-AU"/>
              </w:rPr>
              <w:t>Transport and traffic fees</w:t>
            </w:r>
          </w:p>
        </w:tc>
        <w:tc>
          <w:tcPr>
            <w:tcW w:w="1156" w:type="dxa"/>
            <w:tcBorders>
              <w:top w:val="nil"/>
              <w:left w:val="nil"/>
              <w:bottom w:val="nil"/>
              <w:right w:val="nil"/>
            </w:tcBorders>
            <w:shd w:val="clear" w:color="000000" w:fill="C9E3B4"/>
            <w:noWrap/>
            <w:vAlign w:val="center"/>
            <w:hideMark/>
          </w:tcPr>
          <w:p w14:paraId="64367093" w14:textId="77777777" w:rsidR="00BC5219" w:rsidRPr="00910399" w:rsidRDefault="00BC5219" w:rsidP="00E83802">
            <w:pPr>
              <w:jc w:val="right"/>
              <w:rPr>
                <w:rFonts w:ascii="Meta Pro" w:eastAsia="Times New Roman" w:hAnsi="Meta Pro"/>
                <w:szCs w:val="18"/>
                <w:lang w:eastAsia="en-AU"/>
              </w:rPr>
            </w:pPr>
            <w:r w:rsidRPr="00910399">
              <w:rPr>
                <w:rFonts w:ascii="Meta Pro" w:eastAsia="Times New Roman" w:hAnsi="Meta Pro"/>
                <w:szCs w:val="18"/>
                <w:lang w:eastAsia="en-AU"/>
              </w:rPr>
              <w:t xml:space="preserve">553,512 </w:t>
            </w:r>
          </w:p>
        </w:tc>
        <w:tc>
          <w:tcPr>
            <w:tcW w:w="216" w:type="dxa"/>
            <w:tcBorders>
              <w:top w:val="nil"/>
              <w:left w:val="nil"/>
              <w:bottom w:val="nil"/>
              <w:right w:val="nil"/>
            </w:tcBorders>
            <w:shd w:val="clear" w:color="auto" w:fill="auto"/>
            <w:noWrap/>
            <w:vAlign w:val="center"/>
            <w:hideMark/>
          </w:tcPr>
          <w:p w14:paraId="17899C09" w14:textId="77777777" w:rsidR="00BC5219" w:rsidRPr="00910399"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1533B693" w14:textId="77777777" w:rsidR="00BC5219" w:rsidRPr="00910399" w:rsidRDefault="00BC5219" w:rsidP="00E83802">
            <w:pPr>
              <w:jc w:val="right"/>
              <w:rPr>
                <w:rFonts w:ascii="Meta Pro" w:eastAsia="Times New Roman" w:hAnsi="Meta Pro"/>
                <w:szCs w:val="18"/>
                <w:lang w:eastAsia="en-AU"/>
              </w:rPr>
            </w:pPr>
            <w:r w:rsidRPr="00910399">
              <w:rPr>
                <w:rFonts w:ascii="Meta Pro" w:eastAsia="Times New Roman" w:hAnsi="Meta Pro"/>
                <w:szCs w:val="18"/>
                <w:lang w:eastAsia="en-AU"/>
              </w:rPr>
              <w:t xml:space="preserve">532,758 </w:t>
            </w:r>
          </w:p>
        </w:tc>
      </w:tr>
      <w:tr w:rsidR="00BC5219" w:rsidRPr="00910399" w14:paraId="01DC956D" w14:textId="77777777" w:rsidTr="00E83802">
        <w:trPr>
          <w:trHeight w:val="240"/>
        </w:trPr>
        <w:tc>
          <w:tcPr>
            <w:tcW w:w="7711" w:type="dxa"/>
            <w:tcBorders>
              <w:top w:val="nil"/>
              <w:left w:val="nil"/>
              <w:bottom w:val="nil"/>
              <w:right w:val="nil"/>
            </w:tcBorders>
            <w:shd w:val="clear" w:color="auto" w:fill="auto"/>
            <w:noWrap/>
            <w:vAlign w:val="center"/>
            <w:hideMark/>
          </w:tcPr>
          <w:p w14:paraId="3E5C9F03" w14:textId="77777777" w:rsidR="00BC5219" w:rsidRPr="00910399" w:rsidRDefault="00BC5219" w:rsidP="00E83802">
            <w:pPr>
              <w:rPr>
                <w:rFonts w:ascii="Meta Pro" w:eastAsia="Times New Roman" w:hAnsi="Meta Pro"/>
                <w:szCs w:val="18"/>
                <w:lang w:eastAsia="en-AU"/>
              </w:rPr>
            </w:pPr>
            <w:r w:rsidRPr="00910399">
              <w:rPr>
                <w:rFonts w:ascii="Meta Pro" w:eastAsia="Times New Roman" w:hAnsi="Meta Pro"/>
                <w:szCs w:val="18"/>
                <w:lang w:eastAsia="en-AU"/>
              </w:rPr>
              <w:t>Other registration</w:t>
            </w:r>
          </w:p>
        </w:tc>
        <w:tc>
          <w:tcPr>
            <w:tcW w:w="1156" w:type="dxa"/>
            <w:tcBorders>
              <w:top w:val="nil"/>
              <w:left w:val="nil"/>
              <w:bottom w:val="nil"/>
              <w:right w:val="nil"/>
            </w:tcBorders>
            <w:shd w:val="clear" w:color="000000" w:fill="C9E3B4"/>
            <w:noWrap/>
            <w:vAlign w:val="center"/>
            <w:hideMark/>
          </w:tcPr>
          <w:p w14:paraId="024CF974" w14:textId="77777777" w:rsidR="00BC5219" w:rsidRPr="00910399" w:rsidRDefault="00BC5219" w:rsidP="00E83802">
            <w:pPr>
              <w:jc w:val="right"/>
              <w:rPr>
                <w:rFonts w:ascii="Meta Pro" w:eastAsia="Times New Roman" w:hAnsi="Meta Pro"/>
                <w:szCs w:val="18"/>
                <w:lang w:eastAsia="en-AU"/>
              </w:rPr>
            </w:pPr>
            <w:r w:rsidRPr="00910399">
              <w:rPr>
                <w:rFonts w:ascii="Meta Pro" w:eastAsia="Times New Roman" w:hAnsi="Meta Pro"/>
                <w:szCs w:val="18"/>
                <w:lang w:eastAsia="en-AU"/>
              </w:rPr>
              <w:t xml:space="preserve">91,270 </w:t>
            </w:r>
          </w:p>
        </w:tc>
        <w:tc>
          <w:tcPr>
            <w:tcW w:w="216" w:type="dxa"/>
            <w:tcBorders>
              <w:top w:val="nil"/>
              <w:left w:val="nil"/>
              <w:bottom w:val="nil"/>
              <w:right w:val="nil"/>
            </w:tcBorders>
            <w:shd w:val="clear" w:color="auto" w:fill="auto"/>
            <w:noWrap/>
            <w:vAlign w:val="center"/>
            <w:hideMark/>
          </w:tcPr>
          <w:p w14:paraId="5E0A95EE" w14:textId="77777777" w:rsidR="00BC5219" w:rsidRPr="00910399"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5726AD8B" w14:textId="77777777" w:rsidR="00BC5219" w:rsidRPr="00910399" w:rsidRDefault="00BC5219" w:rsidP="00E83802">
            <w:pPr>
              <w:jc w:val="right"/>
              <w:rPr>
                <w:rFonts w:ascii="Meta Pro" w:eastAsia="Times New Roman" w:hAnsi="Meta Pro"/>
                <w:szCs w:val="18"/>
                <w:lang w:eastAsia="en-AU"/>
              </w:rPr>
            </w:pPr>
            <w:r w:rsidRPr="00910399">
              <w:rPr>
                <w:rFonts w:ascii="Meta Pro" w:eastAsia="Times New Roman" w:hAnsi="Meta Pro"/>
                <w:szCs w:val="18"/>
                <w:lang w:eastAsia="en-AU"/>
              </w:rPr>
              <w:t xml:space="preserve">83,059 </w:t>
            </w:r>
          </w:p>
        </w:tc>
      </w:tr>
      <w:tr w:rsidR="00BC5219" w:rsidRPr="00910399" w14:paraId="381CA547" w14:textId="77777777" w:rsidTr="00E83802">
        <w:trPr>
          <w:trHeight w:val="240"/>
        </w:trPr>
        <w:tc>
          <w:tcPr>
            <w:tcW w:w="7711" w:type="dxa"/>
            <w:tcBorders>
              <w:top w:val="nil"/>
              <w:left w:val="nil"/>
              <w:bottom w:val="nil"/>
              <w:right w:val="nil"/>
            </w:tcBorders>
            <w:shd w:val="clear" w:color="auto" w:fill="auto"/>
            <w:noWrap/>
            <w:vAlign w:val="center"/>
            <w:hideMark/>
          </w:tcPr>
          <w:p w14:paraId="065D279B" w14:textId="77777777" w:rsidR="00BC5219" w:rsidRPr="00910399" w:rsidRDefault="00BC5219" w:rsidP="00E83802">
            <w:pPr>
              <w:rPr>
                <w:rFonts w:ascii="Meta Pro" w:eastAsia="Times New Roman" w:hAnsi="Meta Pro"/>
                <w:szCs w:val="18"/>
                <w:lang w:eastAsia="en-AU"/>
              </w:rPr>
            </w:pPr>
            <w:r w:rsidRPr="00910399">
              <w:rPr>
                <w:rFonts w:ascii="Meta Pro" w:eastAsia="Times New Roman" w:hAnsi="Meta Pro"/>
                <w:szCs w:val="18"/>
                <w:lang w:eastAsia="en-AU"/>
              </w:rPr>
              <w:t>Other regulatory fees</w:t>
            </w:r>
          </w:p>
        </w:tc>
        <w:tc>
          <w:tcPr>
            <w:tcW w:w="1156" w:type="dxa"/>
            <w:tcBorders>
              <w:top w:val="nil"/>
              <w:left w:val="nil"/>
              <w:bottom w:val="nil"/>
              <w:right w:val="nil"/>
            </w:tcBorders>
            <w:shd w:val="clear" w:color="000000" w:fill="C9E3B4"/>
            <w:noWrap/>
            <w:vAlign w:val="center"/>
            <w:hideMark/>
          </w:tcPr>
          <w:p w14:paraId="3EC510D8" w14:textId="77777777" w:rsidR="00BC5219" w:rsidRPr="00910399" w:rsidRDefault="00BC5219" w:rsidP="00E83802">
            <w:pPr>
              <w:jc w:val="right"/>
              <w:rPr>
                <w:rFonts w:ascii="Meta Pro" w:eastAsia="Times New Roman" w:hAnsi="Meta Pro"/>
                <w:szCs w:val="18"/>
                <w:lang w:eastAsia="en-AU"/>
              </w:rPr>
            </w:pPr>
            <w:r w:rsidRPr="00910399">
              <w:rPr>
                <w:rFonts w:ascii="Meta Pro" w:eastAsia="Times New Roman" w:hAnsi="Meta Pro"/>
                <w:szCs w:val="18"/>
                <w:lang w:eastAsia="en-AU"/>
              </w:rPr>
              <w:t xml:space="preserve">81,318 </w:t>
            </w:r>
          </w:p>
        </w:tc>
        <w:tc>
          <w:tcPr>
            <w:tcW w:w="216" w:type="dxa"/>
            <w:tcBorders>
              <w:top w:val="nil"/>
              <w:left w:val="nil"/>
              <w:bottom w:val="nil"/>
              <w:right w:val="nil"/>
            </w:tcBorders>
            <w:shd w:val="clear" w:color="auto" w:fill="auto"/>
            <w:noWrap/>
            <w:vAlign w:val="center"/>
            <w:hideMark/>
          </w:tcPr>
          <w:p w14:paraId="29240D65" w14:textId="77777777" w:rsidR="00BC5219" w:rsidRPr="00910399"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6722AB90" w14:textId="77777777" w:rsidR="00BC5219" w:rsidRPr="00910399" w:rsidRDefault="00BC5219" w:rsidP="00E83802">
            <w:pPr>
              <w:jc w:val="right"/>
              <w:rPr>
                <w:rFonts w:ascii="Meta Pro" w:eastAsia="Times New Roman" w:hAnsi="Meta Pro"/>
                <w:szCs w:val="18"/>
                <w:lang w:eastAsia="en-AU"/>
              </w:rPr>
            </w:pPr>
            <w:r w:rsidRPr="00910399">
              <w:rPr>
                <w:rFonts w:ascii="Meta Pro" w:eastAsia="Times New Roman" w:hAnsi="Meta Pro"/>
                <w:szCs w:val="18"/>
                <w:lang w:eastAsia="en-AU"/>
              </w:rPr>
              <w:t xml:space="preserve">76,348 </w:t>
            </w:r>
          </w:p>
        </w:tc>
      </w:tr>
      <w:tr w:rsidR="00BC5219" w:rsidRPr="00910399" w14:paraId="2F956DFC" w14:textId="77777777" w:rsidTr="00E83802">
        <w:trPr>
          <w:trHeight w:val="240"/>
        </w:trPr>
        <w:tc>
          <w:tcPr>
            <w:tcW w:w="7711" w:type="dxa"/>
            <w:tcBorders>
              <w:top w:val="nil"/>
              <w:left w:val="nil"/>
              <w:bottom w:val="nil"/>
              <w:right w:val="nil"/>
            </w:tcBorders>
            <w:shd w:val="clear" w:color="auto" w:fill="auto"/>
            <w:noWrap/>
            <w:vAlign w:val="center"/>
            <w:hideMark/>
          </w:tcPr>
          <w:p w14:paraId="3DFD7933" w14:textId="77777777" w:rsidR="00BC5219" w:rsidRPr="00910399" w:rsidRDefault="00BC5219" w:rsidP="00E83802">
            <w:pPr>
              <w:rPr>
                <w:rFonts w:ascii="Meta Pro" w:eastAsia="Times New Roman" w:hAnsi="Meta Pro"/>
                <w:szCs w:val="18"/>
                <w:lang w:eastAsia="en-AU"/>
              </w:rPr>
            </w:pPr>
            <w:r w:rsidRPr="00910399">
              <w:rPr>
                <w:rFonts w:ascii="Meta Pro" w:eastAsia="Times New Roman" w:hAnsi="Meta Pro"/>
                <w:szCs w:val="18"/>
                <w:lang w:eastAsia="en-AU"/>
              </w:rPr>
              <w:t>Other</w:t>
            </w:r>
          </w:p>
        </w:tc>
        <w:tc>
          <w:tcPr>
            <w:tcW w:w="1156" w:type="dxa"/>
            <w:tcBorders>
              <w:top w:val="nil"/>
              <w:left w:val="nil"/>
              <w:bottom w:val="nil"/>
              <w:right w:val="nil"/>
            </w:tcBorders>
            <w:shd w:val="clear" w:color="000000" w:fill="C9E3B4"/>
            <w:noWrap/>
            <w:vAlign w:val="center"/>
            <w:hideMark/>
          </w:tcPr>
          <w:p w14:paraId="401F5C4A" w14:textId="77777777" w:rsidR="00BC5219" w:rsidRPr="00910399" w:rsidRDefault="00BC5219" w:rsidP="00E83802">
            <w:pPr>
              <w:jc w:val="right"/>
              <w:rPr>
                <w:rFonts w:ascii="Meta Pro" w:eastAsia="Times New Roman" w:hAnsi="Meta Pro"/>
                <w:szCs w:val="18"/>
                <w:lang w:eastAsia="en-AU"/>
              </w:rPr>
            </w:pPr>
            <w:r w:rsidRPr="00910399">
              <w:rPr>
                <w:rFonts w:ascii="Meta Pro" w:eastAsia="Times New Roman" w:hAnsi="Meta Pro"/>
                <w:szCs w:val="18"/>
                <w:lang w:eastAsia="en-AU"/>
              </w:rPr>
              <w:t xml:space="preserve">1,090 </w:t>
            </w:r>
          </w:p>
        </w:tc>
        <w:tc>
          <w:tcPr>
            <w:tcW w:w="216" w:type="dxa"/>
            <w:tcBorders>
              <w:top w:val="nil"/>
              <w:left w:val="nil"/>
              <w:bottom w:val="nil"/>
              <w:right w:val="nil"/>
            </w:tcBorders>
            <w:shd w:val="clear" w:color="auto" w:fill="auto"/>
            <w:noWrap/>
            <w:vAlign w:val="center"/>
            <w:hideMark/>
          </w:tcPr>
          <w:p w14:paraId="0E2456A8" w14:textId="77777777" w:rsidR="00BC5219" w:rsidRPr="00910399"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231D215B" w14:textId="77777777" w:rsidR="00BC5219" w:rsidRPr="00910399" w:rsidRDefault="00BC5219" w:rsidP="00E83802">
            <w:pPr>
              <w:jc w:val="right"/>
              <w:rPr>
                <w:rFonts w:ascii="Meta Pro" w:eastAsia="Times New Roman" w:hAnsi="Meta Pro"/>
                <w:szCs w:val="18"/>
                <w:lang w:eastAsia="en-AU"/>
              </w:rPr>
            </w:pPr>
            <w:r w:rsidRPr="00910399">
              <w:rPr>
                <w:rFonts w:ascii="Meta Pro" w:eastAsia="Times New Roman" w:hAnsi="Meta Pro"/>
                <w:szCs w:val="18"/>
                <w:lang w:eastAsia="en-AU"/>
              </w:rPr>
              <w:t xml:space="preserve">1,024 </w:t>
            </w:r>
          </w:p>
        </w:tc>
      </w:tr>
      <w:tr w:rsidR="00BC5219" w:rsidRPr="00910399" w14:paraId="79133672" w14:textId="77777777" w:rsidTr="00E83802">
        <w:trPr>
          <w:trHeight w:val="240"/>
        </w:trPr>
        <w:tc>
          <w:tcPr>
            <w:tcW w:w="7711" w:type="dxa"/>
            <w:tcBorders>
              <w:top w:val="single" w:sz="4" w:space="0" w:color="auto"/>
              <w:left w:val="nil"/>
              <w:bottom w:val="double" w:sz="6" w:space="0" w:color="auto"/>
              <w:right w:val="nil"/>
            </w:tcBorders>
            <w:shd w:val="clear" w:color="auto" w:fill="auto"/>
            <w:noWrap/>
            <w:vAlign w:val="center"/>
            <w:hideMark/>
          </w:tcPr>
          <w:p w14:paraId="12A932CB" w14:textId="77777777" w:rsidR="00BC5219" w:rsidRPr="00910399" w:rsidRDefault="00BC5219" w:rsidP="00E83802">
            <w:pPr>
              <w:rPr>
                <w:rFonts w:ascii="Meta Pro" w:eastAsia="Times New Roman" w:hAnsi="Meta Pro"/>
                <w:szCs w:val="18"/>
                <w:lang w:eastAsia="en-AU"/>
              </w:rPr>
            </w:pPr>
            <w:r w:rsidRPr="00910399">
              <w:rPr>
                <w:rFonts w:ascii="Meta Pro" w:eastAsia="Times New Roman" w:hAnsi="Meta Pro"/>
                <w:szCs w:val="18"/>
                <w:lang w:eastAsia="en-AU"/>
              </w:rPr>
              <w:t>Total</w:t>
            </w:r>
          </w:p>
        </w:tc>
        <w:tc>
          <w:tcPr>
            <w:tcW w:w="1156" w:type="dxa"/>
            <w:tcBorders>
              <w:top w:val="single" w:sz="4" w:space="0" w:color="auto"/>
              <w:left w:val="nil"/>
              <w:bottom w:val="double" w:sz="6" w:space="0" w:color="auto"/>
              <w:right w:val="nil"/>
            </w:tcBorders>
            <w:shd w:val="clear" w:color="000000" w:fill="C9E3B4"/>
            <w:noWrap/>
            <w:vAlign w:val="center"/>
            <w:hideMark/>
          </w:tcPr>
          <w:p w14:paraId="000E4BD9" w14:textId="77777777" w:rsidR="00BC5219" w:rsidRPr="00910399" w:rsidRDefault="00BC5219" w:rsidP="00E83802">
            <w:pPr>
              <w:jc w:val="right"/>
              <w:rPr>
                <w:rFonts w:ascii="Meta Pro" w:eastAsia="Times New Roman" w:hAnsi="Meta Pro"/>
                <w:szCs w:val="18"/>
                <w:lang w:eastAsia="en-AU"/>
              </w:rPr>
            </w:pPr>
            <w:r w:rsidRPr="00910399">
              <w:rPr>
                <w:rFonts w:ascii="Meta Pro" w:eastAsia="Times New Roman" w:hAnsi="Meta Pro"/>
                <w:szCs w:val="18"/>
                <w:lang w:eastAsia="en-AU"/>
              </w:rPr>
              <w:t xml:space="preserve">2,989,422 </w:t>
            </w:r>
          </w:p>
        </w:tc>
        <w:tc>
          <w:tcPr>
            <w:tcW w:w="216" w:type="dxa"/>
            <w:tcBorders>
              <w:top w:val="single" w:sz="4" w:space="0" w:color="auto"/>
              <w:left w:val="nil"/>
              <w:bottom w:val="double" w:sz="6" w:space="0" w:color="auto"/>
              <w:right w:val="nil"/>
            </w:tcBorders>
            <w:shd w:val="clear" w:color="auto" w:fill="auto"/>
            <w:noWrap/>
            <w:vAlign w:val="center"/>
            <w:hideMark/>
          </w:tcPr>
          <w:p w14:paraId="3F807CDA" w14:textId="77777777" w:rsidR="00BC5219" w:rsidRPr="00910399" w:rsidRDefault="00BC5219" w:rsidP="00E83802">
            <w:pPr>
              <w:rPr>
                <w:rFonts w:ascii="Meta Pro" w:eastAsia="Times New Roman" w:hAnsi="Meta Pro"/>
                <w:szCs w:val="18"/>
                <w:lang w:eastAsia="en-AU"/>
              </w:rPr>
            </w:pPr>
            <w:r w:rsidRPr="00910399">
              <w:rPr>
                <w:rFonts w:ascii="Meta Pro" w:eastAsia="Times New Roman" w:hAnsi="Meta Pro"/>
                <w:szCs w:val="18"/>
                <w:lang w:eastAsia="en-AU"/>
              </w:rPr>
              <w:t> </w:t>
            </w:r>
          </w:p>
        </w:tc>
        <w:tc>
          <w:tcPr>
            <w:tcW w:w="1156" w:type="dxa"/>
            <w:tcBorders>
              <w:top w:val="single" w:sz="4" w:space="0" w:color="auto"/>
              <w:left w:val="nil"/>
              <w:bottom w:val="double" w:sz="6" w:space="0" w:color="auto"/>
              <w:right w:val="nil"/>
            </w:tcBorders>
            <w:shd w:val="clear" w:color="auto" w:fill="auto"/>
            <w:noWrap/>
            <w:vAlign w:val="center"/>
            <w:hideMark/>
          </w:tcPr>
          <w:p w14:paraId="3F4299CD" w14:textId="77777777" w:rsidR="00BC5219" w:rsidRPr="00910399" w:rsidRDefault="00BC5219" w:rsidP="00E83802">
            <w:pPr>
              <w:jc w:val="right"/>
              <w:rPr>
                <w:rFonts w:ascii="Meta Pro" w:eastAsia="Times New Roman" w:hAnsi="Meta Pro"/>
                <w:szCs w:val="18"/>
                <w:lang w:eastAsia="en-AU"/>
              </w:rPr>
            </w:pPr>
            <w:r w:rsidRPr="00910399">
              <w:rPr>
                <w:rFonts w:ascii="Meta Pro" w:eastAsia="Times New Roman" w:hAnsi="Meta Pro"/>
                <w:szCs w:val="18"/>
                <w:lang w:eastAsia="en-AU"/>
              </w:rPr>
              <w:t xml:space="preserve">2,909,272 </w:t>
            </w:r>
          </w:p>
        </w:tc>
      </w:tr>
      <w:tr w:rsidR="00BC5219" w:rsidRPr="00910399" w14:paraId="1C502F02" w14:textId="77777777" w:rsidTr="00E83802">
        <w:trPr>
          <w:trHeight w:val="240"/>
        </w:trPr>
        <w:tc>
          <w:tcPr>
            <w:tcW w:w="7711" w:type="dxa"/>
            <w:tcBorders>
              <w:top w:val="nil"/>
              <w:left w:val="nil"/>
              <w:bottom w:val="nil"/>
              <w:right w:val="nil"/>
            </w:tcBorders>
            <w:shd w:val="clear" w:color="auto" w:fill="auto"/>
            <w:noWrap/>
            <w:vAlign w:val="center"/>
            <w:hideMark/>
          </w:tcPr>
          <w:p w14:paraId="711C9F9C" w14:textId="77777777" w:rsidR="00BC5219" w:rsidRPr="00910399"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72240899" w14:textId="77777777" w:rsidR="00BC5219" w:rsidRPr="00910399" w:rsidRDefault="00BC5219" w:rsidP="00E83802">
            <w:pPr>
              <w:rPr>
                <w:rFonts w:ascii="Times New Roman" w:eastAsia="Times New Roman" w:hAnsi="Times New Roman"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6B6AC932" w14:textId="77777777" w:rsidR="00BC5219" w:rsidRPr="00910399"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7AB5677D" w14:textId="77777777" w:rsidR="00BC5219" w:rsidRPr="00910399" w:rsidRDefault="00BC5219" w:rsidP="00E83802">
            <w:pPr>
              <w:rPr>
                <w:rFonts w:ascii="Times New Roman" w:eastAsia="Times New Roman" w:hAnsi="Times New Roman" w:cs="Times New Roman"/>
                <w:sz w:val="20"/>
                <w:szCs w:val="20"/>
                <w:lang w:eastAsia="en-AU"/>
              </w:rPr>
            </w:pPr>
          </w:p>
        </w:tc>
      </w:tr>
      <w:tr w:rsidR="00BC5219" w:rsidRPr="00910399" w14:paraId="3EFF1D3E" w14:textId="77777777" w:rsidTr="00E83802">
        <w:trPr>
          <w:trHeight w:val="240"/>
        </w:trPr>
        <w:tc>
          <w:tcPr>
            <w:tcW w:w="7711" w:type="dxa"/>
            <w:tcBorders>
              <w:top w:val="nil"/>
              <w:left w:val="nil"/>
              <w:bottom w:val="nil"/>
              <w:right w:val="nil"/>
            </w:tcBorders>
            <w:shd w:val="clear" w:color="auto" w:fill="auto"/>
            <w:noWrap/>
            <w:vAlign w:val="center"/>
            <w:hideMark/>
          </w:tcPr>
          <w:p w14:paraId="4B28184C" w14:textId="77777777" w:rsidR="00BC5219" w:rsidRPr="00910399" w:rsidRDefault="00BC5219" w:rsidP="00E83802">
            <w:pPr>
              <w:rPr>
                <w:rFonts w:ascii="Meta Pro" w:eastAsia="Times New Roman" w:hAnsi="Meta Pro"/>
                <w:b/>
                <w:bCs/>
                <w:szCs w:val="18"/>
                <w:lang w:eastAsia="en-AU"/>
              </w:rPr>
            </w:pPr>
            <w:r w:rsidRPr="00910399">
              <w:rPr>
                <w:rFonts w:ascii="Meta Pro" w:eastAsia="Times New Roman" w:hAnsi="Meta Pro"/>
                <w:b/>
                <w:bCs/>
                <w:szCs w:val="18"/>
                <w:lang w:eastAsia="en-AU"/>
              </w:rPr>
              <w:t>Administered assets</w:t>
            </w:r>
          </w:p>
        </w:tc>
        <w:tc>
          <w:tcPr>
            <w:tcW w:w="1156" w:type="dxa"/>
            <w:tcBorders>
              <w:top w:val="nil"/>
              <w:left w:val="nil"/>
              <w:bottom w:val="nil"/>
              <w:right w:val="nil"/>
            </w:tcBorders>
            <w:shd w:val="clear" w:color="auto" w:fill="auto"/>
            <w:noWrap/>
            <w:vAlign w:val="center"/>
            <w:hideMark/>
          </w:tcPr>
          <w:p w14:paraId="5C38FAC4" w14:textId="77777777" w:rsidR="00BC5219" w:rsidRPr="00910399" w:rsidRDefault="00BC5219" w:rsidP="00E83802">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10F92545" w14:textId="77777777" w:rsidR="00BC5219" w:rsidRPr="00910399"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41178967" w14:textId="77777777" w:rsidR="00BC5219" w:rsidRPr="00910399" w:rsidRDefault="00BC5219" w:rsidP="00E83802">
            <w:pPr>
              <w:jc w:val="right"/>
              <w:rPr>
                <w:rFonts w:ascii="Times New Roman" w:eastAsia="Times New Roman" w:hAnsi="Times New Roman" w:cs="Times New Roman"/>
                <w:sz w:val="20"/>
                <w:szCs w:val="20"/>
                <w:lang w:eastAsia="en-AU"/>
              </w:rPr>
            </w:pPr>
          </w:p>
        </w:tc>
      </w:tr>
      <w:tr w:rsidR="00BC5219" w:rsidRPr="00910399" w14:paraId="00B4E566" w14:textId="77777777" w:rsidTr="00E83802">
        <w:trPr>
          <w:trHeight w:val="240"/>
        </w:trPr>
        <w:tc>
          <w:tcPr>
            <w:tcW w:w="7711" w:type="dxa"/>
            <w:tcBorders>
              <w:top w:val="nil"/>
              <w:left w:val="nil"/>
              <w:bottom w:val="nil"/>
              <w:right w:val="nil"/>
            </w:tcBorders>
            <w:shd w:val="clear" w:color="auto" w:fill="auto"/>
            <w:noWrap/>
            <w:vAlign w:val="center"/>
            <w:hideMark/>
          </w:tcPr>
          <w:p w14:paraId="5C11B1C8" w14:textId="77777777" w:rsidR="00BC5219" w:rsidRPr="00910399" w:rsidRDefault="00BC5219" w:rsidP="00E83802">
            <w:pPr>
              <w:rPr>
                <w:rFonts w:ascii="Meta Pro" w:eastAsia="Times New Roman" w:hAnsi="Meta Pro"/>
                <w:i/>
                <w:iCs/>
                <w:szCs w:val="18"/>
                <w:lang w:eastAsia="en-AU"/>
              </w:rPr>
            </w:pPr>
            <w:r w:rsidRPr="00910399">
              <w:rPr>
                <w:rFonts w:ascii="Meta Pro" w:eastAsia="Times New Roman" w:hAnsi="Meta Pro"/>
                <w:i/>
                <w:iCs/>
                <w:szCs w:val="18"/>
                <w:lang w:eastAsia="en-AU"/>
              </w:rPr>
              <w:t xml:space="preserve">Current </w:t>
            </w:r>
          </w:p>
        </w:tc>
        <w:tc>
          <w:tcPr>
            <w:tcW w:w="1156" w:type="dxa"/>
            <w:tcBorders>
              <w:top w:val="nil"/>
              <w:left w:val="nil"/>
              <w:bottom w:val="nil"/>
              <w:right w:val="nil"/>
            </w:tcBorders>
            <w:shd w:val="clear" w:color="auto" w:fill="auto"/>
            <w:noWrap/>
            <w:vAlign w:val="center"/>
            <w:hideMark/>
          </w:tcPr>
          <w:p w14:paraId="2DDE32D4" w14:textId="77777777" w:rsidR="00BC5219" w:rsidRPr="00910399" w:rsidRDefault="00BC5219" w:rsidP="00E83802">
            <w:pPr>
              <w:rPr>
                <w:rFonts w:ascii="Meta Pro" w:eastAsia="Times New Roman" w:hAnsi="Meta Pro"/>
                <w:i/>
                <w:iCs/>
                <w:szCs w:val="18"/>
                <w:lang w:eastAsia="en-AU"/>
              </w:rPr>
            </w:pPr>
          </w:p>
        </w:tc>
        <w:tc>
          <w:tcPr>
            <w:tcW w:w="216" w:type="dxa"/>
            <w:tcBorders>
              <w:top w:val="nil"/>
              <w:left w:val="nil"/>
              <w:bottom w:val="nil"/>
              <w:right w:val="nil"/>
            </w:tcBorders>
            <w:shd w:val="clear" w:color="auto" w:fill="auto"/>
            <w:noWrap/>
            <w:vAlign w:val="center"/>
            <w:hideMark/>
          </w:tcPr>
          <w:p w14:paraId="4050BB71" w14:textId="77777777" w:rsidR="00BC5219" w:rsidRPr="00910399"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7433C260" w14:textId="77777777" w:rsidR="00BC5219" w:rsidRPr="00910399" w:rsidRDefault="00BC5219" w:rsidP="00E83802">
            <w:pPr>
              <w:jc w:val="right"/>
              <w:rPr>
                <w:rFonts w:ascii="Times New Roman" w:eastAsia="Times New Roman" w:hAnsi="Times New Roman" w:cs="Times New Roman"/>
                <w:sz w:val="20"/>
                <w:szCs w:val="20"/>
                <w:lang w:eastAsia="en-AU"/>
              </w:rPr>
            </w:pPr>
          </w:p>
        </w:tc>
      </w:tr>
      <w:tr w:rsidR="00BC5219" w:rsidRPr="00910399" w14:paraId="086D4B26" w14:textId="77777777" w:rsidTr="00E83802">
        <w:trPr>
          <w:trHeight w:val="240"/>
        </w:trPr>
        <w:tc>
          <w:tcPr>
            <w:tcW w:w="7711" w:type="dxa"/>
            <w:tcBorders>
              <w:top w:val="nil"/>
              <w:left w:val="nil"/>
              <w:bottom w:val="nil"/>
              <w:right w:val="nil"/>
            </w:tcBorders>
            <w:shd w:val="clear" w:color="auto" w:fill="auto"/>
            <w:noWrap/>
            <w:vAlign w:val="center"/>
            <w:hideMark/>
          </w:tcPr>
          <w:p w14:paraId="36D12BBC" w14:textId="77777777" w:rsidR="00BC5219" w:rsidRPr="00910399" w:rsidRDefault="00BC5219" w:rsidP="00E83802">
            <w:pPr>
              <w:rPr>
                <w:rFonts w:ascii="Meta Pro" w:eastAsia="Times New Roman" w:hAnsi="Meta Pro"/>
                <w:szCs w:val="18"/>
                <w:lang w:eastAsia="en-AU"/>
              </w:rPr>
            </w:pPr>
            <w:r w:rsidRPr="00910399">
              <w:rPr>
                <w:rFonts w:ascii="Meta Pro" w:eastAsia="Times New Roman" w:hAnsi="Meta Pro"/>
                <w:szCs w:val="18"/>
                <w:lang w:eastAsia="en-AU"/>
              </w:rPr>
              <w:t>Cash</w:t>
            </w:r>
          </w:p>
        </w:tc>
        <w:tc>
          <w:tcPr>
            <w:tcW w:w="1156" w:type="dxa"/>
            <w:tcBorders>
              <w:top w:val="nil"/>
              <w:left w:val="nil"/>
              <w:bottom w:val="nil"/>
              <w:right w:val="nil"/>
            </w:tcBorders>
            <w:shd w:val="clear" w:color="000000" w:fill="C9E3B4"/>
            <w:noWrap/>
            <w:vAlign w:val="center"/>
            <w:hideMark/>
          </w:tcPr>
          <w:p w14:paraId="11878F30" w14:textId="77777777" w:rsidR="00BC5219" w:rsidRPr="00910399" w:rsidRDefault="00BC5219" w:rsidP="00E83802">
            <w:pPr>
              <w:jc w:val="right"/>
              <w:rPr>
                <w:rFonts w:ascii="Meta Pro" w:eastAsia="Times New Roman" w:hAnsi="Meta Pro"/>
                <w:szCs w:val="18"/>
                <w:lang w:eastAsia="en-AU"/>
              </w:rPr>
            </w:pPr>
            <w:r w:rsidRPr="00910399">
              <w:rPr>
                <w:rFonts w:ascii="Meta Pro" w:eastAsia="Times New Roman" w:hAnsi="Meta Pro"/>
                <w:szCs w:val="18"/>
                <w:lang w:eastAsia="en-AU"/>
              </w:rPr>
              <w:t xml:space="preserve">18,402 </w:t>
            </w:r>
          </w:p>
        </w:tc>
        <w:tc>
          <w:tcPr>
            <w:tcW w:w="216" w:type="dxa"/>
            <w:tcBorders>
              <w:top w:val="nil"/>
              <w:left w:val="nil"/>
              <w:bottom w:val="nil"/>
              <w:right w:val="nil"/>
            </w:tcBorders>
            <w:shd w:val="clear" w:color="auto" w:fill="auto"/>
            <w:noWrap/>
            <w:vAlign w:val="center"/>
            <w:hideMark/>
          </w:tcPr>
          <w:p w14:paraId="188CD2BF" w14:textId="77777777" w:rsidR="00BC5219" w:rsidRPr="00910399"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6D7DA69A" w14:textId="77777777" w:rsidR="00BC5219" w:rsidRPr="00910399" w:rsidRDefault="00BC5219" w:rsidP="00E83802">
            <w:pPr>
              <w:jc w:val="right"/>
              <w:rPr>
                <w:rFonts w:ascii="Meta Pro" w:eastAsia="Times New Roman" w:hAnsi="Meta Pro"/>
                <w:szCs w:val="18"/>
                <w:lang w:eastAsia="en-AU"/>
              </w:rPr>
            </w:pPr>
            <w:r w:rsidRPr="00910399">
              <w:rPr>
                <w:rFonts w:ascii="Meta Pro" w:eastAsia="Times New Roman" w:hAnsi="Meta Pro"/>
                <w:szCs w:val="18"/>
                <w:lang w:eastAsia="en-AU"/>
              </w:rPr>
              <w:t xml:space="preserve">19,849 </w:t>
            </w:r>
          </w:p>
        </w:tc>
      </w:tr>
      <w:tr w:rsidR="00BC5219" w:rsidRPr="00910399" w14:paraId="07E85DC8" w14:textId="77777777" w:rsidTr="00E83802">
        <w:trPr>
          <w:trHeight w:val="240"/>
        </w:trPr>
        <w:tc>
          <w:tcPr>
            <w:tcW w:w="7711" w:type="dxa"/>
            <w:tcBorders>
              <w:top w:val="nil"/>
              <w:left w:val="nil"/>
              <w:bottom w:val="nil"/>
              <w:right w:val="nil"/>
            </w:tcBorders>
            <w:shd w:val="clear" w:color="auto" w:fill="auto"/>
            <w:noWrap/>
            <w:vAlign w:val="center"/>
            <w:hideMark/>
          </w:tcPr>
          <w:p w14:paraId="63E8A52D" w14:textId="77777777" w:rsidR="00BC5219" w:rsidRPr="00910399" w:rsidRDefault="00BC5219" w:rsidP="00E83802">
            <w:pPr>
              <w:rPr>
                <w:rFonts w:ascii="Meta Pro" w:eastAsia="Times New Roman" w:hAnsi="Meta Pro"/>
                <w:szCs w:val="18"/>
                <w:lang w:eastAsia="en-AU"/>
              </w:rPr>
            </w:pPr>
            <w:r w:rsidRPr="00910399">
              <w:rPr>
                <w:rFonts w:ascii="Meta Pro" w:eastAsia="Times New Roman" w:hAnsi="Meta Pro"/>
                <w:szCs w:val="18"/>
                <w:lang w:eastAsia="en-AU"/>
              </w:rPr>
              <w:t>Receivables</w:t>
            </w:r>
          </w:p>
        </w:tc>
        <w:tc>
          <w:tcPr>
            <w:tcW w:w="1156" w:type="dxa"/>
            <w:tcBorders>
              <w:top w:val="nil"/>
              <w:left w:val="nil"/>
              <w:bottom w:val="nil"/>
              <w:right w:val="nil"/>
            </w:tcBorders>
            <w:shd w:val="clear" w:color="000000" w:fill="C9E3B4"/>
            <w:noWrap/>
            <w:vAlign w:val="center"/>
            <w:hideMark/>
          </w:tcPr>
          <w:p w14:paraId="6F15AE46" w14:textId="77777777" w:rsidR="00BC5219" w:rsidRPr="00910399" w:rsidRDefault="00BC5219" w:rsidP="00E83802">
            <w:pPr>
              <w:jc w:val="right"/>
              <w:rPr>
                <w:rFonts w:ascii="Meta Pro" w:eastAsia="Times New Roman" w:hAnsi="Meta Pro"/>
                <w:szCs w:val="18"/>
                <w:lang w:eastAsia="en-AU"/>
              </w:rPr>
            </w:pPr>
            <w:r w:rsidRPr="00910399">
              <w:rPr>
                <w:rFonts w:ascii="Meta Pro" w:eastAsia="Times New Roman" w:hAnsi="Meta Pro"/>
                <w:szCs w:val="18"/>
                <w:lang w:eastAsia="en-AU"/>
              </w:rPr>
              <w:t xml:space="preserve">29,706 </w:t>
            </w:r>
          </w:p>
        </w:tc>
        <w:tc>
          <w:tcPr>
            <w:tcW w:w="216" w:type="dxa"/>
            <w:tcBorders>
              <w:top w:val="nil"/>
              <w:left w:val="nil"/>
              <w:bottom w:val="nil"/>
              <w:right w:val="nil"/>
            </w:tcBorders>
            <w:shd w:val="clear" w:color="auto" w:fill="auto"/>
            <w:noWrap/>
            <w:vAlign w:val="center"/>
            <w:hideMark/>
          </w:tcPr>
          <w:p w14:paraId="2DCBA818" w14:textId="77777777" w:rsidR="00BC5219" w:rsidRPr="00910399"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78FC7383" w14:textId="77777777" w:rsidR="00BC5219" w:rsidRPr="00910399" w:rsidRDefault="00BC5219" w:rsidP="00E83802">
            <w:pPr>
              <w:jc w:val="right"/>
              <w:rPr>
                <w:rFonts w:ascii="Meta Pro" w:eastAsia="Times New Roman" w:hAnsi="Meta Pro"/>
                <w:szCs w:val="18"/>
                <w:lang w:eastAsia="en-AU"/>
              </w:rPr>
            </w:pPr>
            <w:r w:rsidRPr="00910399">
              <w:rPr>
                <w:rFonts w:ascii="Meta Pro" w:eastAsia="Times New Roman" w:hAnsi="Meta Pro"/>
                <w:szCs w:val="18"/>
                <w:lang w:eastAsia="en-AU"/>
              </w:rPr>
              <w:t xml:space="preserve">30,883 </w:t>
            </w:r>
          </w:p>
        </w:tc>
      </w:tr>
      <w:tr w:rsidR="00BC5219" w:rsidRPr="00910399" w14:paraId="6B4B5557" w14:textId="77777777" w:rsidTr="00E83802">
        <w:trPr>
          <w:trHeight w:val="240"/>
        </w:trPr>
        <w:tc>
          <w:tcPr>
            <w:tcW w:w="7711" w:type="dxa"/>
            <w:tcBorders>
              <w:top w:val="single" w:sz="4" w:space="0" w:color="auto"/>
              <w:left w:val="nil"/>
              <w:bottom w:val="nil"/>
              <w:right w:val="nil"/>
            </w:tcBorders>
            <w:shd w:val="clear" w:color="auto" w:fill="auto"/>
            <w:noWrap/>
            <w:vAlign w:val="center"/>
            <w:hideMark/>
          </w:tcPr>
          <w:p w14:paraId="7862786D" w14:textId="77777777" w:rsidR="00BC5219" w:rsidRPr="00910399" w:rsidRDefault="00BC5219" w:rsidP="00E83802">
            <w:pPr>
              <w:rPr>
                <w:rFonts w:ascii="Meta Pro" w:eastAsia="Times New Roman" w:hAnsi="Meta Pro"/>
                <w:b/>
                <w:bCs/>
                <w:szCs w:val="18"/>
                <w:lang w:eastAsia="en-AU"/>
              </w:rPr>
            </w:pPr>
            <w:r w:rsidRPr="00910399">
              <w:rPr>
                <w:rFonts w:ascii="Meta Pro" w:eastAsia="Times New Roman" w:hAnsi="Meta Pro"/>
                <w:b/>
                <w:bCs/>
                <w:szCs w:val="18"/>
                <w:lang w:eastAsia="en-AU"/>
              </w:rPr>
              <w:t>Total current assets</w:t>
            </w:r>
          </w:p>
        </w:tc>
        <w:tc>
          <w:tcPr>
            <w:tcW w:w="1156" w:type="dxa"/>
            <w:tcBorders>
              <w:top w:val="single" w:sz="4" w:space="0" w:color="auto"/>
              <w:left w:val="nil"/>
              <w:bottom w:val="nil"/>
              <w:right w:val="nil"/>
            </w:tcBorders>
            <w:shd w:val="clear" w:color="000000" w:fill="C9E3B4"/>
            <w:noWrap/>
            <w:vAlign w:val="center"/>
            <w:hideMark/>
          </w:tcPr>
          <w:p w14:paraId="74B2E555" w14:textId="77777777" w:rsidR="00BC5219" w:rsidRPr="00910399" w:rsidRDefault="00BC5219" w:rsidP="00E83802">
            <w:pPr>
              <w:jc w:val="right"/>
              <w:rPr>
                <w:rFonts w:ascii="Meta Pro" w:eastAsia="Times New Roman" w:hAnsi="Meta Pro"/>
                <w:b/>
                <w:bCs/>
                <w:szCs w:val="18"/>
                <w:lang w:eastAsia="en-AU"/>
              </w:rPr>
            </w:pPr>
            <w:r w:rsidRPr="00910399">
              <w:rPr>
                <w:rFonts w:ascii="Meta Pro" w:eastAsia="Times New Roman" w:hAnsi="Meta Pro"/>
                <w:b/>
                <w:bCs/>
                <w:szCs w:val="18"/>
                <w:lang w:eastAsia="en-AU"/>
              </w:rPr>
              <w:t xml:space="preserve">48,108 </w:t>
            </w:r>
          </w:p>
        </w:tc>
        <w:tc>
          <w:tcPr>
            <w:tcW w:w="216" w:type="dxa"/>
            <w:tcBorders>
              <w:top w:val="single" w:sz="4" w:space="0" w:color="auto"/>
              <w:left w:val="nil"/>
              <w:bottom w:val="nil"/>
              <w:right w:val="nil"/>
            </w:tcBorders>
            <w:shd w:val="clear" w:color="auto" w:fill="auto"/>
            <w:noWrap/>
            <w:vAlign w:val="center"/>
            <w:hideMark/>
          </w:tcPr>
          <w:p w14:paraId="0E14D1E9" w14:textId="77777777" w:rsidR="00BC5219" w:rsidRPr="00910399" w:rsidRDefault="00BC5219" w:rsidP="00E83802">
            <w:pPr>
              <w:rPr>
                <w:rFonts w:ascii="Meta Pro" w:eastAsia="Times New Roman" w:hAnsi="Meta Pro"/>
                <w:b/>
                <w:bCs/>
                <w:szCs w:val="18"/>
                <w:lang w:eastAsia="en-AU"/>
              </w:rPr>
            </w:pPr>
            <w:r w:rsidRPr="00910399">
              <w:rPr>
                <w:rFonts w:ascii="Meta Pro" w:eastAsia="Times New Roman" w:hAnsi="Meta Pro"/>
                <w:b/>
                <w:bCs/>
                <w:szCs w:val="18"/>
                <w:lang w:eastAsia="en-AU"/>
              </w:rPr>
              <w:t> </w:t>
            </w:r>
          </w:p>
        </w:tc>
        <w:tc>
          <w:tcPr>
            <w:tcW w:w="1156" w:type="dxa"/>
            <w:tcBorders>
              <w:top w:val="single" w:sz="4" w:space="0" w:color="auto"/>
              <w:left w:val="nil"/>
              <w:bottom w:val="nil"/>
              <w:right w:val="nil"/>
            </w:tcBorders>
            <w:shd w:val="clear" w:color="auto" w:fill="auto"/>
            <w:noWrap/>
            <w:vAlign w:val="center"/>
            <w:hideMark/>
          </w:tcPr>
          <w:p w14:paraId="4FC59E00" w14:textId="77777777" w:rsidR="00BC5219" w:rsidRPr="00910399" w:rsidRDefault="00BC5219" w:rsidP="00E83802">
            <w:pPr>
              <w:jc w:val="right"/>
              <w:rPr>
                <w:rFonts w:ascii="Meta Pro" w:eastAsia="Times New Roman" w:hAnsi="Meta Pro"/>
                <w:b/>
                <w:bCs/>
                <w:szCs w:val="18"/>
                <w:lang w:eastAsia="en-AU"/>
              </w:rPr>
            </w:pPr>
            <w:r w:rsidRPr="00910399">
              <w:rPr>
                <w:rFonts w:ascii="Meta Pro" w:eastAsia="Times New Roman" w:hAnsi="Meta Pro"/>
                <w:b/>
                <w:bCs/>
                <w:szCs w:val="18"/>
                <w:lang w:eastAsia="en-AU"/>
              </w:rPr>
              <w:t xml:space="preserve">50,732 </w:t>
            </w:r>
          </w:p>
        </w:tc>
      </w:tr>
      <w:tr w:rsidR="00BC5219" w:rsidRPr="00910399" w14:paraId="1DFB4567" w14:textId="77777777" w:rsidTr="00E83802">
        <w:trPr>
          <w:trHeight w:val="240"/>
        </w:trPr>
        <w:tc>
          <w:tcPr>
            <w:tcW w:w="7711" w:type="dxa"/>
            <w:tcBorders>
              <w:top w:val="nil"/>
              <w:left w:val="nil"/>
              <w:bottom w:val="nil"/>
              <w:right w:val="nil"/>
            </w:tcBorders>
            <w:shd w:val="clear" w:color="auto" w:fill="auto"/>
            <w:noWrap/>
            <w:vAlign w:val="center"/>
            <w:hideMark/>
          </w:tcPr>
          <w:p w14:paraId="4415E7A9" w14:textId="77777777" w:rsidR="00BC5219" w:rsidRPr="00910399" w:rsidRDefault="00BC5219" w:rsidP="00E83802">
            <w:pPr>
              <w:rPr>
                <w:rFonts w:ascii="Meta Pro" w:eastAsia="Times New Roman" w:hAnsi="Meta Pro"/>
                <w:i/>
                <w:iCs/>
                <w:szCs w:val="18"/>
                <w:lang w:eastAsia="en-AU"/>
              </w:rPr>
            </w:pPr>
            <w:r w:rsidRPr="00910399">
              <w:rPr>
                <w:rFonts w:ascii="Meta Pro" w:eastAsia="Times New Roman" w:hAnsi="Meta Pro"/>
                <w:i/>
                <w:iCs/>
                <w:szCs w:val="18"/>
                <w:lang w:eastAsia="en-AU"/>
              </w:rPr>
              <w:t xml:space="preserve">Non-current </w:t>
            </w:r>
          </w:p>
        </w:tc>
        <w:tc>
          <w:tcPr>
            <w:tcW w:w="1156" w:type="dxa"/>
            <w:tcBorders>
              <w:top w:val="nil"/>
              <w:left w:val="nil"/>
              <w:bottom w:val="nil"/>
              <w:right w:val="nil"/>
            </w:tcBorders>
            <w:shd w:val="clear" w:color="000000" w:fill="C9E3B4"/>
            <w:noWrap/>
            <w:vAlign w:val="center"/>
            <w:hideMark/>
          </w:tcPr>
          <w:p w14:paraId="17651E61" w14:textId="77777777" w:rsidR="00BC5219" w:rsidRPr="00910399" w:rsidRDefault="00BC5219" w:rsidP="00E83802">
            <w:pPr>
              <w:rPr>
                <w:rFonts w:ascii="Meta Pro" w:eastAsia="Times New Roman" w:hAnsi="Meta Pro"/>
                <w:szCs w:val="18"/>
                <w:lang w:eastAsia="en-AU"/>
              </w:rPr>
            </w:pPr>
            <w:r w:rsidRPr="00910399">
              <w:rPr>
                <w:rFonts w:ascii="Meta Pro" w:eastAsia="Times New Roman" w:hAnsi="Meta Pro"/>
                <w:szCs w:val="18"/>
                <w:lang w:eastAsia="en-AU"/>
              </w:rPr>
              <w:t> </w:t>
            </w:r>
          </w:p>
        </w:tc>
        <w:tc>
          <w:tcPr>
            <w:tcW w:w="216" w:type="dxa"/>
            <w:tcBorders>
              <w:top w:val="nil"/>
              <w:left w:val="nil"/>
              <w:bottom w:val="nil"/>
              <w:right w:val="nil"/>
            </w:tcBorders>
            <w:shd w:val="clear" w:color="auto" w:fill="auto"/>
            <w:noWrap/>
            <w:vAlign w:val="center"/>
            <w:hideMark/>
          </w:tcPr>
          <w:p w14:paraId="1D4B3CDE" w14:textId="77777777" w:rsidR="00BC5219" w:rsidRPr="00910399" w:rsidRDefault="00BC5219" w:rsidP="00E83802">
            <w:pPr>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6A6ACB04" w14:textId="77777777" w:rsidR="00BC5219" w:rsidRPr="00910399" w:rsidRDefault="00BC5219" w:rsidP="00E83802">
            <w:pPr>
              <w:jc w:val="right"/>
              <w:rPr>
                <w:rFonts w:ascii="Times New Roman" w:eastAsia="Times New Roman" w:hAnsi="Times New Roman" w:cs="Times New Roman"/>
                <w:sz w:val="20"/>
                <w:szCs w:val="20"/>
                <w:lang w:eastAsia="en-AU"/>
              </w:rPr>
            </w:pPr>
          </w:p>
        </w:tc>
      </w:tr>
      <w:tr w:rsidR="00BC5219" w:rsidRPr="00910399" w14:paraId="6FAF3DBA" w14:textId="77777777" w:rsidTr="00E83802">
        <w:trPr>
          <w:trHeight w:val="240"/>
        </w:trPr>
        <w:tc>
          <w:tcPr>
            <w:tcW w:w="7711" w:type="dxa"/>
            <w:tcBorders>
              <w:top w:val="nil"/>
              <w:left w:val="nil"/>
              <w:bottom w:val="nil"/>
              <w:right w:val="nil"/>
            </w:tcBorders>
            <w:shd w:val="clear" w:color="auto" w:fill="auto"/>
            <w:noWrap/>
            <w:vAlign w:val="center"/>
            <w:hideMark/>
          </w:tcPr>
          <w:p w14:paraId="4BA237F0" w14:textId="77777777" w:rsidR="00BC5219" w:rsidRPr="00910399" w:rsidRDefault="00BC5219" w:rsidP="00E83802">
            <w:pPr>
              <w:rPr>
                <w:rFonts w:ascii="Meta Pro" w:eastAsia="Times New Roman" w:hAnsi="Meta Pro"/>
                <w:szCs w:val="18"/>
                <w:lang w:eastAsia="en-AU"/>
              </w:rPr>
            </w:pPr>
            <w:r w:rsidRPr="00910399">
              <w:rPr>
                <w:rFonts w:ascii="Meta Pro" w:eastAsia="Times New Roman" w:hAnsi="Meta Pro"/>
                <w:szCs w:val="18"/>
                <w:lang w:eastAsia="en-AU"/>
              </w:rPr>
              <w:t>Land</w:t>
            </w:r>
          </w:p>
        </w:tc>
        <w:tc>
          <w:tcPr>
            <w:tcW w:w="1156" w:type="dxa"/>
            <w:tcBorders>
              <w:top w:val="nil"/>
              <w:left w:val="nil"/>
              <w:bottom w:val="nil"/>
              <w:right w:val="nil"/>
            </w:tcBorders>
            <w:shd w:val="clear" w:color="000000" w:fill="C9E3B4"/>
            <w:noWrap/>
            <w:vAlign w:val="center"/>
            <w:hideMark/>
          </w:tcPr>
          <w:p w14:paraId="2948E2E2" w14:textId="77777777" w:rsidR="00BC5219" w:rsidRPr="00910399" w:rsidRDefault="00BC5219" w:rsidP="00E83802">
            <w:pPr>
              <w:jc w:val="right"/>
              <w:rPr>
                <w:rFonts w:ascii="Meta Pro" w:eastAsia="Times New Roman" w:hAnsi="Meta Pro"/>
                <w:szCs w:val="18"/>
                <w:lang w:eastAsia="en-AU"/>
              </w:rPr>
            </w:pPr>
            <w:r w:rsidRPr="00910399">
              <w:rPr>
                <w:rFonts w:ascii="Meta Pro" w:eastAsia="Times New Roman" w:hAnsi="Meta Pro"/>
                <w:szCs w:val="18"/>
                <w:lang w:eastAsia="en-AU"/>
              </w:rPr>
              <w:t xml:space="preserve">134,327 </w:t>
            </w:r>
          </w:p>
        </w:tc>
        <w:tc>
          <w:tcPr>
            <w:tcW w:w="216" w:type="dxa"/>
            <w:tcBorders>
              <w:top w:val="nil"/>
              <w:left w:val="nil"/>
              <w:bottom w:val="nil"/>
              <w:right w:val="nil"/>
            </w:tcBorders>
            <w:shd w:val="clear" w:color="auto" w:fill="auto"/>
            <w:noWrap/>
            <w:vAlign w:val="center"/>
            <w:hideMark/>
          </w:tcPr>
          <w:p w14:paraId="6C34B2C5" w14:textId="77777777" w:rsidR="00BC5219" w:rsidRPr="00910399"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3CBB1206" w14:textId="77777777" w:rsidR="00BC5219" w:rsidRPr="00910399" w:rsidRDefault="00BC5219" w:rsidP="00E83802">
            <w:pPr>
              <w:jc w:val="right"/>
              <w:rPr>
                <w:rFonts w:ascii="Meta Pro" w:eastAsia="Times New Roman" w:hAnsi="Meta Pro"/>
                <w:szCs w:val="18"/>
                <w:lang w:eastAsia="en-AU"/>
              </w:rPr>
            </w:pPr>
            <w:r w:rsidRPr="00910399">
              <w:rPr>
                <w:rFonts w:ascii="Meta Pro" w:eastAsia="Times New Roman" w:hAnsi="Meta Pro"/>
                <w:szCs w:val="18"/>
                <w:lang w:eastAsia="en-AU"/>
              </w:rPr>
              <w:t xml:space="preserve">123,279 </w:t>
            </w:r>
          </w:p>
        </w:tc>
      </w:tr>
      <w:tr w:rsidR="00BC5219" w:rsidRPr="00910399" w14:paraId="367AEB62" w14:textId="77777777" w:rsidTr="00E83802">
        <w:trPr>
          <w:trHeight w:val="240"/>
        </w:trPr>
        <w:tc>
          <w:tcPr>
            <w:tcW w:w="7711" w:type="dxa"/>
            <w:tcBorders>
              <w:top w:val="nil"/>
              <w:left w:val="nil"/>
              <w:bottom w:val="nil"/>
              <w:right w:val="nil"/>
            </w:tcBorders>
            <w:shd w:val="clear" w:color="auto" w:fill="auto"/>
            <w:noWrap/>
            <w:vAlign w:val="center"/>
            <w:hideMark/>
          </w:tcPr>
          <w:p w14:paraId="30E008B3" w14:textId="77777777" w:rsidR="00BC5219" w:rsidRPr="00910399" w:rsidRDefault="00BC5219" w:rsidP="00E83802">
            <w:pPr>
              <w:rPr>
                <w:rFonts w:ascii="Meta Pro" w:eastAsia="Times New Roman" w:hAnsi="Meta Pro"/>
                <w:szCs w:val="18"/>
                <w:lang w:eastAsia="en-AU"/>
              </w:rPr>
            </w:pPr>
            <w:r w:rsidRPr="00910399">
              <w:rPr>
                <w:rFonts w:ascii="Meta Pro" w:eastAsia="Times New Roman" w:hAnsi="Meta Pro"/>
                <w:szCs w:val="18"/>
                <w:lang w:eastAsia="en-AU"/>
              </w:rPr>
              <w:t>Receivables *</w:t>
            </w:r>
          </w:p>
        </w:tc>
        <w:tc>
          <w:tcPr>
            <w:tcW w:w="1156" w:type="dxa"/>
            <w:tcBorders>
              <w:top w:val="nil"/>
              <w:left w:val="nil"/>
              <w:bottom w:val="nil"/>
              <w:right w:val="nil"/>
            </w:tcBorders>
            <w:shd w:val="clear" w:color="000000" w:fill="C9E3B4"/>
            <w:noWrap/>
            <w:vAlign w:val="center"/>
            <w:hideMark/>
          </w:tcPr>
          <w:p w14:paraId="1DBA85E2" w14:textId="77777777" w:rsidR="00BC5219" w:rsidRPr="00910399" w:rsidRDefault="00BC5219" w:rsidP="00E83802">
            <w:pPr>
              <w:jc w:val="right"/>
              <w:rPr>
                <w:rFonts w:ascii="Meta Pro" w:eastAsia="Times New Roman" w:hAnsi="Meta Pro"/>
                <w:szCs w:val="18"/>
                <w:lang w:eastAsia="en-AU"/>
              </w:rPr>
            </w:pPr>
            <w:r w:rsidRPr="00910399">
              <w:rPr>
                <w:rFonts w:ascii="Meta Pro" w:eastAsia="Times New Roman" w:hAnsi="Meta Pro"/>
                <w:szCs w:val="18"/>
                <w:lang w:eastAsia="en-AU"/>
              </w:rPr>
              <w:t xml:space="preserve">197,033 </w:t>
            </w:r>
          </w:p>
        </w:tc>
        <w:tc>
          <w:tcPr>
            <w:tcW w:w="216" w:type="dxa"/>
            <w:tcBorders>
              <w:top w:val="nil"/>
              <w:left w:val="nil"/>
              <w:bottom w:val="nil"/>
              <w:right w:val="nil"/>
            </w:tcBorders>
            <w:shd w:val="clear" w:color="auto" w:fill="auto"/>
            <w:noWrap/>
            <w:vAlign w:val="center"/>
            <w:hideMark/>
          </w:tcPr>
          <w:p w14:paraId="17AEF430" w14:textId="77777777" w:rsidR="00BC5219" w:rsidRPr="00910399"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2DDA9B0C" w14:textId="77777777" w:rsidR="00BC5219" w:rsidRPr="00910399" w:rsidRDefault="00BC5219" w:rsidP="00E83802">
            <w:pPr>
              <w:jc w:val="right"/>
              <w:rPr>
                <w:rFonts w:ascii="Meta Pro" w:eastAsia="Times New Roman" w:hAnsi="Meta Pro"/>
                <w:szCs w:val="18"/>
                <w:lang w:eastAsia="en-AU"/>
              </w:rPr>
            </w:pPr>
            <w:r w:rsidRPr="00910399">
              <w:rPr>
                <w:rFonts w:ascii="Meta Pro" w:eastAsia="Times New Roman" w:hAnsi="Meta Pro"/>
                <w:szCs w:val="18"/>
                <w:lang w:eastAsia="en-AU"/>
              </w:rPr>
              <w:t xml:space="preserve">127,101 </w:t>
            </w:r>
          </w:p>
        </w:tc>
      </w:tr>
      <w:tr w:rsidR="00BC5219" w:rsidRPr="00910399" w14:paraId="28982C7A" w14:textId="77777777" w:rsidTr="00E83802">
        <w:trPr>
          <w:trHeight w:val="240"/>
        </w:trPr>
        <w:tc>
          <w:tcPr>
            <w:tcW w:w="7711" w:type="dxa"/>
            <w:tcBorders>
              <w:top w:val="single" w:sz="4" w:space="0" w:color="auto"/>
              <w:left w:val="nil"/>
              <w:bottom w:val="single" w:sz="4" w:space="0" w:color="auto"/>
              <w:right w:val="nil"/>
            </w:tcBorders>
            <w:shd w:val="clear" w:color="auto" w:fill="auto"/>
            <w:noWrap/>
            <w:vAlign w:val="center"/>
            <w:hideMark/>
          </w:tcPr>
          <w:p w14:paraId="24A4E825" w14:textId="77777777" w:rsidR="00BC5219" w:rsidRPr="00910399" w:rsidRDefault="00BC5219" w:rsidP="00E83802">
            <w:pPr>
              <w:rPr>
                <w:rFonts w:ascii="Meta Pro" w:eastAsia="Times New Roman" w:hAnsi="Meta Pro"/>
                <w:b/>
                <w:bCs/>
                <w:szCs w:val="18"/>
                <w:lang w:eastAsia="en-AU"/>
              </w:rPr>
            </w:pPr>
            <w:r w:rsidRPr="00910399">
              <w:rPr>
                <w:rFonts w:ascii="Meta Pro" w:eastAsia="Times New Roman" w:hAnsi="Meta Pro"/>
                <w:b/>
                <w:bCs/>
                <w:szCs w:val="18"/>
                <w:lang w:eastAsia="en-AU"/>
              </w:rPr>
              <w:t>Total non-current assets</w:t>
            </w:r>
          </w:p>
        </w:tc>
        <w:tc>
          <w:tcPr>
            <w:tcW w:w="1156" w:type="dxa"/>
            <w:tcBorders>
              <w:top w:val="single" w:sz="4" w:space="0" w:color="auto"/>
              <w:left w:val="nil"/>
              <w:bottom w:val="single" w:sz="4" w:space="0" w:color="auto"/>
              <w:right w:val="nil"/>
            </w:tcBorders>
            <w:shd w:val="clear" w:color="000000" w:fill="C9E3B4"/>
            <w:noWrap/>
            <w:vAlign w:val="center"/>
            <w:hideMark/>
          </w:tcPr>
          <w:p w14:paraId="656A893D" w14:textId="77777777" w:rsidR="00BC5219" w:rsidRPr="00910399" w:rsidRDefault="00BC5219" w:rsidP="00E83802">
            <w:pPr>
              <w:jc w:val="right"/>
              <w:rPr>
                <w:rFonts w:ascii="Meta Pro" w:eastAsia="Times New Roman" w:hAnsi="Meta Pro"/>
                <w:b/>
                <w:bCs/>
                <w:szCs w:val="18"/>
                <w:lang w:eastAsia="en-AU"/>
              </w:rPr>
            </w:pPr>
            <w:r w:rsidRPr="00910399">
              <w:rPr>
                <w:rFonts w:ascii="Meta Pro" w:eastAsia="Times New Roman" w:hAnsi="Meta Pro"/>
                <w:b/>
                <w:bCs/>
                <w:szCs w:val="18"/>
                <w:lang w:eastAsia="en-AU"/>
              </w:rPr>
              <w:t xml:space="preserve">331,360 </w:t>
            </w:r>
          </w:p>
        </w:tc>
        <w:tc>
          <w:tcPr>
            <w:tcW w:w="216" w:type="dxa"/>
            <w:tcBorders>
              <w:top w:val="single" w:sz="4" w:space="0" w:color="auto"/>
              <w:left w:val="nil"/>
              <w:bottom w:val="single" w:sz="4" w:space="0" w:color="auto"/>
              <w:right w:val="nil"/>
            </w:tcBorders>
            <w:shd w:val="clear" w:color="auto" w:fill="auto"/>
            <w:noWrap/>
            <w:vAlign w:val="center"/>
            <w:hideMark/>
          </w:tcPr>
          <w:p w14:paraId="431FD309" w14:textId="77777777" w:rsidR="00BC5219" w:rsidRPr="00910399" w:rsidRDefault="00BC5219" w:rsidP="00E83802">
            <w:pPr>
              <w:rPr>
                <w:rFonts w:ascii="Meta Pro" w:eastAsia="Times New Roman" w:hAnsi="Meta Pro"/>
                <w:b/>
                <w:bCs/>
                <w:szCs w:val="18"/>
                <w:lang w:eastAsia="en-AU"/>
              </w:rPr>
            </w:pPr>
            <w:r w:rsidRPr="00910399">
              <w:rPr>
                <w:rFonts w:ascii="Meta Pro" w:eastAsia="Times New Roman" w:hAnsi="Meta Pro"/>
                <w:b/>
                <w:bCs/>
                <w:szCs w:val="18"/>
                <w:lang w:eastAsia="en-AU"/>
              </w:rPr>
              <w:t> </w:t>
            </w:r>
          </w:p>
        </w:tc>
        <w:tc>
          <w:tcPr>
            <w:tcW w:w="1156" w:type="dxa"/>
            <w:tcBorders>
              <w:top w:val="single" w:sz="4" w:space="0" w:color="auto"/>
              <w:left w:val="nil"/>
              <w:bottom w:val="single" w:sz="4" w:space="0" w:color="auto"/>
              <w:right w:val="nil"/>
            </w:tcBorders>
            <w:shd w:val="clear" w:color="auto" w:fill="auto"/>
            <w:noWrap/>
            <w:vAlign w:val="center"/>
            <w:hideMark/>
          </w:tcPr>
          <w:p w14:paraId="36EFCCFF" w14:textId="77777777" w:rsidR="00BC5219" w:rsidRPr="00910399" w:rsidRDefault="00BC5219" w:rsidP="00E83802">
            <w:pPr>
              <w:jc w:val="right"/>
              <w:rPr>
                <w:rFonts w:ascii="Meta Pro" w:eastAsia="Times New Roman" w:hAnsi="Meta Pro"/>
                <w:b/>
                <w:bCs/>
                <w:szCs w:val="18"/>
                <w:lang w:eastAsia="en-AU"/>
              </w:rPr>
            </w:pPr>
            <w:r w:rsidRPr="00910399">
              <w:rPr>
                <w:rFonts w:ascii="Meta Pro" w:eastAsia="Times New Roman" w:hAnsi="Meta Pro"/>
                <w:b/>
                <w:bCs/>
                <w:szCs w:val="18"/>
                <w:lang w:eastAsia="en-AU"/>
              </w:rPr>
              <w:t xml:space="preserve">250,380 </w:t>
            </w:r>
          </w:p>
        </w:tc>
      </w:tr>
      <w:tr w:rsidR="00BC5219" w:rsidRPr="00910399" w14:paraId="561923D7" w14:textId="77777777" w:rsidTr="00E83802">
        <w:trPr>
          <w:trHeight w:val="240"/>
        </w:trPr>
        <w:tc>
          <w:tcPr>
            <w:tcW w:w="7711" w:type="dxa"/>
            <w:tcBorders>
              <w:top w:val="nil"/>
              <w:left w:val="nil"/>
              <w:bottom w:val="single" w:sz="4" w:space="0" w:color="auto"/>
              <w:right w:val="nil"/>
            </w:tcBorders>
            <w:shd w:val="clear" w:color="auto" w:fill="auto"/>
            <w:noWrap/>
            <w:vAlign w:val="center"/>
            <w:hideMark/>
          </w:tcPr>
          <w:p w14:paraId="70EF15FD" w14:textId="77777777" w:rsidR="00BC5219" w:rsidRPr="00910399" w:rsidRDefault="00BC5219" w:rsidP="00E83802">
            <w:pPr>
              <w:rPr>
                <w:rFonts w:ascii="Meta Pro" w:eastAsia="Times New Roman" w:hAnsi="Meta Pro"/>
                <w:b/>
                <w:bCs/>
                <w:szCs w:val="18"/>
                <w:lang w:eastAsia="en-AU"/>
              </w:rPr>
            </w:pPr>
            <w:r w:rsidRPr="00910399">
              <w:rPr>
                <w:rFonts w:ascii="Meta Pro" w:eastAsia="Times New Roman" w:hAnsi="Meta Pro"/>
                <w:b/>
                <w:bCs/>
                <w:szCs w:val="18"/>
                <w:lang w:eastAsia="en-AU"/>
              </w:rPr>
              <w:t>Total assets</w:t>
            </w:r>
          </w:p>
        </w:tc>
        <w:tc>
          <w:tcPr>
            <w:tcW w:w="1156" w:type="dxa"/>
            <w:tcBorders>
              <w:top w:val="nil"/>
              <w:left w:val="nil"/>
              <w:bottom w:val="single" w:sz="4" w:space="0" w:color="auto"/>
              <w:right w:val="nil"/>
            </w:tcBorders>
            <w:shd w:val="clear" w:color="000000" w:fill="C9E3B4"/>
            <w:noWrap/>
            <w:vAlign w:val="center"/>
            <w:hideMark/>
          </w:tcPr>
          <w:p w14:paraId="1F2B8AAA" w14:textId="77777777" w:rsidR="00BC5219" w:rsidRPr="00910399" w:rsidRDefault="00BC5219" w:rsidP="00E83802">
            <w:pPr>
              <w:jc w:val="right"/>
              <w:rPr>
                <w:rFonts w:ascii="Meta Pro" w:eastAsia="Times New Roman" w:hAnsi="Meta Pro"/>
                <w:b/>
                <w:bCs/>
                <w:szCs w:val="18"/>
                <w:lang w:eastAsia="en-AU"/>
              </w:rPr>
            </w:pPr>
            <w:r w:rsidRPr="00910399">
              <w:rPr>
                <w:rFonts w:ascii="Meta Pro" w:eastAsia="Times New Roman" w:hAnsi="Meta Pro"/>
                <w:b/>
                <w:bCs/>
                <w:szCs w:val="18"/>
                <w:lang w:eastAsia="en-AU"/>
              </w:rPr>
              <w:t xml:space="preserve">379,468 </w:t>
            </w:r>
          </w:p>
        </w:tc>
        <w:tc>
          <w:tcPr>
            <w:tcW w:w="216" w:type="dxa"/>
            <w:tcBorders>
              <w:top w:val="nil"/>
              <w:left w:val="nil"/>
              <w:bottom w:val="single" w:sz="4" w:space="0" w:color="auto"/>
              <w:right w:val="nil"/>
            </w:tcBorders>
            <w:shd w:val="clear" w:color="auto" w:fill="auto"/>
            <w:noWrap/>
            <w:vAlign w:val="center"/>
            <w:hideMark/>
          </w:tcPr>
          <w:p w14:paraId="64736A0E" w14:textId="77777777" w:rsidR="00BC5219" w:rsidRPr="00910399" w:rsidRDefault="00BC5219" w:rsidP="00E83802">
            <w:pPr>
              <w:rPr>
                <w:rFonts w:ascii="Meta Pro" w:eastAsia="Times New Roman" w:hAnsi="Meta Pro"/>
                <w:b/>
                <w:bCs/>
                <w:szCs w:val="18"/>
                <w:lang w:eastAsia="en-AU"/>
              </w:rPr>
            </w:pPr>
            <w:r w:rsidRPr="00910399">
              <w:rPr>
                <w:rFonts w:ascii="Meta Pro" w:eastAsia="Times New Roman" w:hAnsi="Meta Pro"/>
                <w:b/>
                <w:bCs/>
                <w:szCs w:val="18"/>
                <w:lang w:eastAsia="en-AU"/>
              </w:rPr>
              <w:t> </w:t>
            </w:r>
          </w:p>
        </w:tc>
        <w:tc>
          <w:tcPr>
            <w:tcW w:w="1156" w:type="dxa"/>
            <w:tcBorders>
              <w:top w:val="nil"/>
              <w:left w:val="nil"/>
              <w:bottom w:val="single" w:sz="4" w:space="0" w:color="auto"/>
              <w:right w:val="nil"/>
            </w:tcBorders>
            <w:shd w:val="clear" w:color="auto" w:fill="auto"/>
            <w:noWrap/>
            <w:vAlign w:val="center"/>
            <w:hideMark/>
          </w:tcPr>
          <w:p w14:paraId="3AB8942C" w14:textId="77777777" w:rsidR="00BC5219" w:rsidRPr="00910399" w:rsidRDefault="00BC5219" w:rsidP="00E83802">
            <w:pPr>
              <w:jc w:val="right"/>
              <w:rPr>
                <w:rFonts w:ascii="Meta Pro" w:eastAsia="Times New Roman" w:hAnsi="Meta Pro"/>
                <w:b/>
                <w:bCs/>
                <w:szCs w:val="18"/>
                <w:lang w:eastAsia="en-AU"/>
              </w:rPr>
            </w:pPr>
            <w:r w:rsidRPr="00910399">
              <w:rPr>
                <w:rFonts w:ascii="Meta Pro" w:eastAsia="Times New Roman" w:hAnsi="Meta Pro"/>
                <w:b/>
                <w:bCs/>
                <w:szCs w:val="18"/>
                <w:lang w:eastAsia="en-AU"/>
              </w:rPr>
              <w:t xml:space="preserve">301,112 </w:t>
            </w:r>
          </w:p>
        </w:tc>
      </w:tr>
      <w:tr w:rsidR="00BC5219" w:rsidRPr="00910399" w14:paraId="5EC503CC" w14:textId="77777777" w:rsidTr="00E83802">
        <w:trPr>
          <w:trHeight w:val="240"/>
        </w:trPr>
        <w:tc>
          <w:tcPr>
            <w:tcW w:w="7711" w:type="dxa"/>
            <w:tcBorders>
              <w:top w:val="nil"/>
              <w:left w:val="nil"/>
              <w:bottom w:val="nil"/>
              <w:right w:val="nil"/>
            </w:tcBorders>
            <w:shd w:val="clear" w:color="auto" w:fill="auto"/>
            <w:noWrap/>
            <w:vAlign w:val="center"/>
            <w:hideMark/>
          </w:tcPr>
          <w:p w14:paraId="1D80D05D" w14:textId="77777777" w:rsidR="00BC5219" w:rsidRPr="00910399" w:rsidRDefault="00BC5219" w:rsidP="00E83802">
            <w:pPr>
              <w:jc w:val="right"/>
              <w:rPr>
                <w:rFonts w:ascii="Meta Pro" w:eastAsia="Times New Roman" w:hAnsi="Meta Pro"/>
                <w:b/>
                <w:bCs/>
                <w:szCs w:val="18"/>
                <w:lang w:eastAsia="en-AU"/>
              </w:rPr>
            </w:pPr>
          </w:p>
        </w:tc>
        <w:tc>
          <w:tcPr>
            <w:tcW w:w="1156" w:type="dxa"/>
            <w:tcBorders>
              <w:top w:val="nil"/>
              <w:left w:val="nil"/>
              <w:bottom w:val="nil"/>
              <w:right w:val="nil"/>
            </w:tcBorders>
            <w:shd w:val="clear" w:color="auto" w:fill="auto"/>
            <w:noWrap/>
            <w:vAlign w:val="center"/>
            <w:hideMark/>
          </w:tcPr>
          <w:p w14:paraId="71C650C8" w14:textId="77777777" w:rsidR="00BC5219" w:rsidRPr="00910399" w:rsidRDefault="00BC5219" w:rsidP="00E83802">
            <w:pPr>
              <w:rPr>
                <w:rFonts w:ascii="Times New Roman" w:eastAsia="Times New Roman" w:hAnsi="Times New Roman"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6015F00E" w14:textId="77777777" w:rsidR="00BC5219" w:rsidRPr="00910399"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44A73C67" w14:textId="77777777" w:rsidR="00BC5219" w:rsidRPr="00910399" w:rsidRDefault="00BC5219" w:rsidP="00E83802">
            <w:pPr>
              <w:rPr>
                <w:rFonts w:ascii="Times New Roman" w:eastAsia="Times New Roman" w:hAnsi="Times New Roman" w:cs="Times New Roman"/>
                <w:sz w:val="20"/>
                <w:szCs w:val="20"/>
                <w:lang w:eastAsia="en-AU"/>
              </w:rPr>
            </w:pPr>
          </w:p>
        </w:tc>
      </w:tr>
      <w:tr w:rsidR="00BC5219" w:rsidRPr="00910399" w14:paraId="253635E8" w14:textId="77777777" w:rsidTr="00E83802">
        <w:trPr>
          <w:trHeight w:val="240"/>
        </w:trPr>
        <w:tc>
          <w:tcPr>
            <w:tcW w:w="7711" w:type="dxa"/>
            <w:tcBorders>
              <w:top w:val="nil"/>
              <w:left w:val="nil"/>
              <w:bottom w:val="nil"/>
              <w:right w:val="nil"/>
            </w:tcBorders>
            <w:shd w:val="clear" w:color="auto" w:fill="auto"/>
            <w:noWrap/>
            <w:vAlign w:val="center"/>
            <w:hideMark/>
          </w:tcPr>
          <w:p w14:paraId="472F94C8" w14:textId="77777777" w:rsidR="00BC5219" w:rsidRPr="00910399" w:rsidRDefault="00BC5219" w:rsidP="00E83802">
            <w:pPr>
              <w:rPr>
                <w:rFonts w:ascii="Meta Pro" w:eastAsia="Times New Roman" w:hAnsi="Meta Pro"/>
                <w:b/>
                <w:bCs/>
                <w:szCs w:val="18"/>
                <w:lang w:eastAsia="en-AU"/>
              </w:rPr>
            </w:pPr>
            <w:r w:rsidRPr="00910399">
              <w:rPr>
                <w:rFonts w:ascii="Meta Pro" w:eastAsia="Times New Roman" w:hAnsi="Meta Pro"/>
                <w:b/>
                <w:bCs/>
                <w:szCs w:val="18"/>
                <w:lang w:eastAsia="en-AU"/>
              </w:rPr>
              <w:t>Administered liabilities</w:t>
            </w:r>
          </w:p>
        </w:tc>
        <w:tc>
          <w:tcPr>
            <w:tcW w:w="1156" w:type="dxa"/>
            <w:tcBorders>
              <w:top w:val="nil"/>
              <w:left w:val="nil"/>
              <w:bottom w:val="nil"/>
              <w:right w:val="nil"/>
            </w:tcBorders>
            <w:shd w:val="clear" w:color="auto" w:fill="auto"/>
            <w:noWrap/>
            <w:vAlign w:val="center"/>
            <w:hideMark/>
          </w:tcPr>
          <w:p w14:paraId="076B972C" w14:textId="77777777" w:rsidR="00BC5219" w:rsidRPr="00910399" w:rsidRDefault="00BC5219" w:rsidP="00E83802">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459336A5" w14:textId="77777777" w:rsidR="00BC5219" w:rsidRPr="00910399"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3BA4329B" w14:textId="77777777" w:rsidR="00BC5219" w:rsidRPr="00910399" w:rsidRDefault="00BC5219" w:rsidP="00E83802">
            <w:pPr>
              <w:jc w:val="right"/>
              <w:rPr>
                <w:rFonts w:ascii="Times New Roman" w:eastAsia="Times New Roman" w:hAnsi="Times New Roman" w:cs="Times New Roman"/>
                <w:sz w:val="20"/>
                <w:szCs w:val="20"/>
                <w:lang w:eastAsia="en-AU"/>
              </w:rPr>
            </w:pPr>
          </w:p>
        </w:tc>
      </w:tr>
      <w:tr w:rsidR="00BC5219" w:rsidRPr="00910399" w14:paraId="6E1AA679" w14:textId="77777777" w:rsidTr="00E83802">
        <w:trPr>
          <w:trHeight w:val="240"/>
        </w:trPr>
        <w:tc>
          <w:tcPr>
            <w:tcW w:w="7711" w:type="dxa"/>
            <w:tcBorders>
              <w:top w:val="nil"/>
              <w:left w:val="nil"/>
              <w:bottom w:val="nil"/>
              <w:right w:val="nil"/>
            </w:tcBorders>
            <w:shd w:val="clear" w:color="auto" w:fill="auto"/>
            <w:noWrap/>
            <w:vAlign w:val="center"/>
            <w:hideMark/>
          </w:tcPr>
          <w:p w14:paraId="2BBED7B4" w14:textId="77777777" w:rsidR="00BC5219" w:rsidRPr="00910399" w:rsidRDefault="00BC5219" w:rsidP="00E83802">
            <w:pPr>
              <w:rPr>
                <w:rFonts w:ascii="Meta Pro" w:eastAsia="Times New Roman" w:hAnsi="Meta Pro"/>
                <w:i/>
                <w:iCs/>
                <w:szCs w:val="18"/>
                <w:lang w:eastAsia="en-AU"/>
              </w:rPr>
            </w:pPr>
            <w:r w:rsidRPr="00910399">
              <w:rPr>
                <w:rFonts w:ascii="Meta Pro" w:eastAsia="Times New Roman" w:hAnsi="Meta Pro"/>
                <w:i/>
                <w:iCs/>
                <w:szCs w:val="18"/>
                <w:lang w:eastAsia="en-AU"/>
              </w:rPr>
              <w:t>Current</w:t>
            </w:r>
          </w:p>
        </w:tc>
        <w:tc>
          <w:tcPr>
            <w:tcW w:w="1156" w:type="dxa"/>
            <w:tcBorders>
              <w:top w:val="nil"/>
              <w:left w:val="nil"/>
              <w:bottom w:val="nil"/>
              <w:right w:val="nil"/>
            </w:tcBorders>
            <w:shd w:val="clear" w:color="auto" w:fill="auto"/>
            <w:noWrap/>
            <w:vAlign w:val="center"/>
            <w:hideMark/>
          </w:tcPr>
          <w:p w14:paraId="5365E6BC" w14:textId="77777777" w:rsidR="00BC5219" w:rsidRPr="00910399" w:rsidRDefault="00BC5219" w:rsidP="00E83802">
            <w:pPr>
              <w:rPr>
                <w:rFonts w:ascii="Meta Pro" w:eastAsia="Times New Roman" w:hAnsi="Meta Pro"/>
                <w:i/>
                <w:iCs/>
                <w:szCs w:val="18"/>
                <w:lang w:eastAsia="en-AU"/>
              </w:rPr>
            </w:pPr>
          </w:p>
        </w:tc>
        <w:tc>
          <w:tcPr>
            <w:tcW w:w="216" w:type="dxa"/>
            <w:tcBorders>
              <w:top w:val="nil"/>
              <w:left w:val="nil"/>
              <w:bottom w:val="nil"/>
              <w:right w:val="nil"/>
            </w:tcBorders>
            <w:shd w:val="clear" w:color="auto" w:fill="auto"/>
            <w:noWrap/>
            <w:vAlign w:val="center"/>
            <w:hideMark/>
          </w:tcPr>
          <w:p w14:paraId="0751AC0B" w14:textId="77777777" w:rsidR="00BC5219" w:rsidRPr="00910399"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6341CB21" w14:textId="77777777" w:rsidR="00BC5219" w:rsidRPr="00910399" w:rsidRDefault="00BC5219" w:rsidP="00E83802">
            <w:pPr>
              <w:jc w:val="right"/>
              <w:rPr>
                <w:rFonts w:ascii="Times New Roman" w:eastAsia="Times New Roman" w:hAnsi="Times New Roman" w:cs="Times New Roman"/>
                <w:sz w:val="20"/>
                <w:szCs w:val="20"/>
                <w:lang w:eastAsia="en-AU"/>
              </w:rPr>
            </w:pPr>
          </w:p>
        </w:tc>
      </w:tr>
      <w:tr w:rsidR="00BC5219" w:rsidRPr="00910399" w14:paraId="58ACEBF3" w14:textId="77777777" w:rsidTr="00E83802">
        <w:trPr>
          <w:trHeight w:val="240"/>
        </w:trPr>
        <w:tc>
          <w:tcPr>
            <w:tcW w:w="7711" w:type="dxa"/>
            <w:tcBorders>
              <w:top w:val="nil"/>
              <w:left w:val="nil"/>
              <w:bottom w:val="nil"/>
              <w:right w:val="nil"/>
            </w:tcBorders>
            <w:shd w:val="clear" w:color="auto" w:fill="auto"/>
            <w:noWrap/>
            <w:vAlign w:val="center"/>
            <w:hideMark/>
          </w:tcPr>
          <w:p w14:paraId="0F7168F8" w14:textId="77777777" w:rsidR="00BC5219" w:rsidRPr="00910399" w:rsidRDefault="00BC5219" w:rsidP="00E83802">
            <w:pPr>
              <w:rPr>
                <w:rFonts w:ascii="Meta Pro" w:eastAsia="Times New Roman" w:hAnsi="Meta Pro"/>
                <w:szCs w:val="18"/>
                <w:lang w:eastAsia="en-AU"/>
              </w:rPr>
            </w:pPr>
            <w:r w:rsidRPr="00910399">
              <w:rPr>
                <w:rFonts w:ascii="Meta Pro" w:eastAsia="Times New Roman" w:hAnsi="Meta Pro"/>
                <w:szCs w:val="18"/>
                <w:lang w:eastAsia="en-AU"/>
              </w:rPr>
              <w:t xml:space="preserve">Payables </w:t>
            </w:r>
          </w:p>
        </w:tc>
        <w:tc>
          <w:tcPr>
            <w:tcW w:w="1156" w:type="dxa"/>
            <w:tcBorders>
              <w:top w:val="nil"/>
              <w:left w:val="nil"/>
              <w:bottom w:val="nil"/>
              <w:right w:val="nil"/>
            </w:tcBorders>
            <w:shd w:val="clear" w:color="000000" w:fill="C9E3B4"/>
            <w:noWrap/>
            <w:vAlign w:val="center"/>
            <w:hideMark/>
          </w:tcPr>
          <w:p w14:paraId="0CD4B30F" w14:textId="77777777" w:rsidR="00BC5219" w:rsidRPr="00910399" w:rsidRDefault="00BC5219" w:rsidP="00E83802">
            <w:pPr>
              <w:jc w:val="right"/>
              <w:rPr>
                <w:rFonts w:ascii="Meta Pro" w:eastAsia="Times New Roman" w:hAnsi="Meta Pro"/>
                <w:szCs w:val="18"/>
                <w:lang w:eastAsia="en-AU"/>
              </w:rPr>
            </w:pPr>
            <w:r w:rsidRPr="00910399">
              <w:rPr>
                <w:rFonts w:ascii="Meta Pro" w:eastAsia="Times New Roman" w:hAnsi="Meta Pro"/>
                <w:szCs w:val="18"/>
                <w:lang w:eastAsia="en-AU"/>
              </w:rPr>
              <w:t xml:space="preserve">38,383 </w:t>
            </w:r>
          </w:p>
        </w:tc>
        <w:tc>
          <w:tcPr>
            <w:tcW w:w="216" w:type="dxa"/>
            <w:tcBorders>
              <w:top w:val="nil"/>
              <w:left w:val="nil"/>
              <w:bottom w:val="nil"/>
              <w:right w:val="nil"/>
            </w:tcBorders>
            <w:shd w:val="clear" w:color="auto" w:fill="auto"/>
            <w:noWrap/>
            <w:vAlign w:val="center"/>
            <w:hideMark/>
          </w:tcPr>
          <w:p w14:paraId="56E60C6E" w14:textId="77777777" w:rsidR="00BC5219" w:rsidRPr="00910399"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5277CAD3" w14:textId="77777777" w:rsidR="00BC5219" w:rsidRPr="00910399" w:rsidRDefault="00BC5219" w:rsidP="00E83802">
            <w:pPr>
              <w:jc w:val="right"/>
              <w:rPr>
                <w:rFonts w:ascii="Meta Pro" w:eastAsia="Times New Roman" w:hAnsi="Meta Pro"/>
                <w:szCs w:val="18"/>
                <w:lang w:eastAsia="en-AU"/>
              </w:rPr>
            </w:pPr>
            <w:r w:rsidRPr="00910399">
              <w:rPr>
                <w:rFonts w:ascii="Meta Pro" w:eastAsia="Times New Roman" w:hAnsi="Meta Pro"/>
                <w:szCs w:val="18"/>
                <w:lang w:eastAsia="en-AU"/>
              </w:rPr>
              <w:t xml:space="preserve">44,379 </w:t>
            </w:r>
          </w:p>
        </w:tc>
      </w:tr>
      <w:tr w:rsidR="00BC5219" w:rsidRPr="00910399" w14:paraId="271D5C82" w14:textId="77777777" w:rsidTr="00E83802">
        <w:trPr>
          <w:trHeight w:val="240"/>
        </w:trPr>
        <w:tc>
          <w:tcPr>
            <w:tcW w:w="7711" w:type="dxa"/>
            <w:tcBorders>
              <w:top w:val="nil"/>
              <w:left w:val="nil"/>
              <w:bottom w:val="nil"/>
              <w:right w:val="nil"/>
            </w:tcBorders>
            <w:shd w:val="clear" w:color="auto" w:fill="auto"/>
            <w:noWrap/>
            <w:vAlign w:val="center"/>
            <w:hideMark/>
          </w:tcPr>
          <w:p w14:paraId="7CE4A74F" w14:textId="77777777" w:rsidR="00BC5219" w:rsidRPr="00910399" w:rsidRDefault="00BC5219" w:rsidP="00E83802">
            <w:pPr>
              <w:rPr>
                <w:rFonts w:ascii="Meta Pro" w:eastAsia="Times New Roman" w:hAnsi="Meta Pro"/>
                <w:szCs w:val="18"/>
                <w:lang w:eastAsia="en-AU"/>
              </w:rPr>
            </w:pPr>
            <w:r w:rsidRPr="00910399">
              <w:rPr>
                <w:rFonts w:ascii="Meta Pro" w:eastAsia="Times New Roman" w:hAnsi="Meta Pro"/>
                <w:szCs w:val="18"/>
                <w:lang w:eastAsia="en-AU"/>
              </w:rPr>
              <w:t>Unearned revenue</w:t>
            </w:r>
          </w:p>
        </w:tc>
        <w:tc>
          <w:tcPr>
            <w:tcW w:w="1156" w:type="dxa"/>
            <w:tcBorders>
              <w:top w:val="nil"/>
              <w:left w:val="nil"/>
              <w:bottom w:val="nil"/>
              <w:right w:val="nil"/>
            </w:tcBorders>
            <w:shd w:val="clear" w:color="000000" w:fill="C9E3B4"/>
            <w:noWrap/>
            <w:vAlign w:val="center"/>
            <w:hideMark/>
          </w:tcPr>
          <w:p w14:paraId="6AF38053" w14:textId="77777777" w:rsidR="00BC5219" w:rsidRPr="00910399" w:rsidRDefault="00BC5219" w:rsidP="00E83802">
            <w:pPr>
              <w:jc w:val="right"/>
              <w:rPr>
                <w:rFonts w:ascii="Meta Pro" w:eastAsia="Times New Roman" w:hAnsi="Meta Pro"/>
                <w:szCs w:val="18"/>
                <w:lang w:eastAsia="en-AU"/>
              </w:rPr>
            </w:pPr>
            <w:r w:rsidRPr="00910399">
              <w:rPr>
                <w:rFonts w:ascii="Meta Pro" w:eastAsia="Times New Roman" w:hAnsi="Meta Pro"/>
                <w:szCs w:val="18"/>
                <w:lang w:eastAsia="en-AU"/>
              </w:rPr>
              <w:t xml:space="preserve">5,789 </w:t>
            </w:r>
          </w:p>
        </w:tc>
        <w:tc>
          <w:tcPr>
            <w:tcW w:w="216" w:type="dxa"/>
            <w:tcBorders>
              <w:top w:val="nil"/>
              <w:left w:val="nil"/>
              <w:bottom w:val="nil"/>
              <w:right w:val="nil"/>
            </w:tcBorders>
            <w:shd w:val="clear" w:color="auto" w:fill="auto"/>
            <w:noWrap/>
            <w:vAlign w:val="center"/>
            <w:hideMark/>
          </w:tcPr>
          <w:p w14:paraId="1A8EEF75" w14:textId="77777777" w:rsidR="00BC5219" w:rsidRPr="00910399"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7885265B" w14:textId="77777777" w:rsidR="00BC5219" w:rsidRPr="00910399" w:rsidRDefault="00BC5219" w:rsidP="00E83802">
            <w:pPr>
              <w:jc w:val="right"/>
              <w:rPr>
                <w:rFonts w:ascii="Meta Pro" w:eastAsia="Times New Roman" w:hAnsi="Meta Pro"/>
                <w:szCs w:val="18"/>
                <w:lang w:eastAsia="en-AU"/>
              </w:rPr>
            </w:pPr>
            <w:r w:rsidRPr="00910399">
              <w:rPr>
                <w:rFonts w:ascii="Meta Pro" w:eastAsia="Times New Roman" w:hAnsi="Meta Pro"/>
                <w:szCs w:val="18"/>
                <w:lang w:eastAsia="en-AU"/>
              </w:rPr>
              <w:t xml:space="preserve">6,119 </w:t>
            </w:r>
          </w:p>
        </w:tc>
      </w:tr>
      <w:tr w:rsidR="00BC5219" w:rsidRPr="00910399" w14:paraId="67F04DAF" w14:textId="77777777" w:rsidTr="00E83802">
        <w:trPr>
          <w:trHeight w:val="240"/>
        </w:trPr>
        <w:tc>
          <w:tcPr>
            <w:tcW w:w="7711" w:type="dxa"/>
            <w:tcBorders>
              <w:top w:val="single" w:sz="4" w:space="0" w:color="auto"/>
              <w:left w:val="nil"/>
              <w:bottom w:val="single" w:sz="4" w:space="0" w:color="auto"/>
              <w:right w:val="nil"/>
            </w:tcBorders>
            <w:shd w:val="clear" w:color="auto" w:fill="auto"/>
            <w:noWrap/>
            <w:vAlign w:val="center"/>
            <w:hideMark/>
          </w:tcPr>
          <w:p w14:paraId="2C72ACFC" w14:textId="77777777" w:rsidR="00BC5219" w:rsidRPr="00910399" w:rsidRDefault="00BC5219" w:rsidP="00E83802">
            <w:pPr>
              <w:rPr>
                <w:rFonts w:ascii="Meta Pro" w:eastAsia="Times New Roman" w:hAnsi="Meta Pro"/>
                <w:b/>
                <w:bCs/>
                <w:szCs w:val="18"/>
                <w:lang w:eastAsia="en-AU"/>
              </w:rPr>
            </w:pPr>
            <w:r w:rsidRPr="00910399">
              <w:rPr>
                <w:rFonts w:ascii="Meta Pro" w:eastAsia="Times New Roman" w:hAnsi="Meta Pro"/>
                <w:b/>
                <w:bCs/>
                <w:szCs w:val="18"/>
                <w:lang w:eastAsia="en-AU"/>
              </w:rPr>
              <w:t>Total current liabilities</w:t>
            </w:r>
          </w:p>
        </w:tc>
        <w:tc>
          <w:tcPr>
            <w:tcW w:w="1156" w:type="dxa"/>
            <w:tcBorders>
              <w:top w:val="single" w:sz="4" w:space="0" w:color="auto"/>
              <w:left w:val="nil"/>
              <w:bottom w:val="single" w:sz="4" w:space="0" w:color="auto"/>
              <w:right w:val="nil"/>
            </w:tcBorders>
            <w:shd w:val="clear" w:color="000000" w:fill="C9E3B4"/>
            <w:noWrap/>
            <w:vAlign w:val="center"/>
            <w:hideMark/>
          </w:tcPr>
          <w:p w14:paraId="46631D82" w14:textId="77777777" w:rsidR="00BC5219" w:rsidRPr="00910399" w:rsidRDefault="00BC5219" w:rsidP="00E83802">
            <w:pPr>
              <w:jc w:val="right"/>
              <w:rPr>
                <w:rFonts w:ascii="Meta Pro" w:eastAsia="Times New Roman" w:hAnsi="Meta Pro"/>
                <w:b/>
                <w:bCs/>
                <w:szCs w:val="18"/>
                <w:lang w:eastAsia="en-AU"/>
              </w:rPr>
            </w:pPr>
            <w:r w:rsidRPr="00910399">
              <w:rPr>
                <w:rFonts w:ascii="Meta Pro" w:eastAsia="Times New Roman" w:hAnsi="Meta Pro"/>
                <w:b/>
                <w:bCs/>
                <w:szCs w:val="18"/>
                <w:lang w:eastAsia="en-AU"/>
              </w:rPr>
              <w:t xml:space="preserve">44,172 </w:t>
            </w:r>
          </w:p>
        </w:tc>
        <w:tc>
          <w:tcPr>
            <w:tcW w:w="216" w:type="dxa"/>
            <w:tcBorders>
              <w:top w:val="single" w:sz="4" w:space="0" w:color="auto"/>
              <w:left w:val="nil"/>
              <w:bottom w:val="single" w:sz="4" w:space="0" w:color="auto"/>
              <w:right w:val="nil"/>
            </w:tcBorders>
            <w:shd w:val="clear" w:color="auto" w:fill="auto"/>
            <w:noWrap/>
            <w:vAlign w:val="center"/>
            <w:hideMark/>
          </w:tcPr>
          <w:p w14:paraId="636FD586" w14:textId="77777777" w:rsidR="00BC5219" w:rsidRPr="00910399" w:rsidRDefault="00BC5219" w:rsidP="00E83802">
            <w:pPr>
              <w:rPr>
                <w:rFonts w:ascii="Meta Pro" w:eastAsia="Times New Roman" w:hAnsi="Meta Pro"/>
                <w:b/>
                <w:bCs/>
                <w:szCs w:val="18"/>
                <w:lang w:eastAsia="en-AU"/>
              </w:rPr>
            </w:pPr>
            <w:r w:rsidRPr="00910399">
              <w:rPr>
                <w:rFonts w:ascii="Meta Pro" w:eastAsia="Times New Roman" w:hAnsi="Meta Pro"/>
                <w:b/>
                <w:bCs/>
                <w:szCs w:val="18"/>
                <w:lang w:eastAsia="en-AU"/>
              </w:rPr>
              <w:t> </w:t>
            </w:r>
          </w:p>
        </w:tc>
        <w:tc>
          <w:tcPr>
            <w:tcW w:w="1156" w:type="dxa"/>
            <w:tcBorders>
              <w:top w:val="single" w:sz="4" w:space="0" w:color="auto"/>
              <w:left w:val="nil"/>
              <w:bottom w:val="single" w:sz="4" w:space="0" w:color="auto"/>
              <w:right w:val="nil"/>
            </w:tcBorders>
            <w:shd w:val="clear" w:color="auto" w:fill="auto"/>
            <w:noWrap/>
            <w:vAlign w:val="center"/>
            <w:hideMark/>
          </w:tcPr>
          <w:p w14:paraId="545F5297" w14:textId="77777777" w:rsidR="00BC5219" w:rsidRPr="00910399" w:rsidRDefault="00BC5219" w:rsidP="00E83802">
            <w:pPr>
              <w:jc w:val="right"/>
              <w:rPr>
                <w:rFonts w:ascii="Meta Pro" w:eastAsia="Times New Roman" w:hAnsi="Meta Pro"/>
                <w:b/>
                <w:bCs/>
                <w:szCs w:val="18"/>
                <w:lang w:eastAsia="en-AU"/>
              </w:rPr>
            </w:pPr>
            <w:r w:rsidRPr="00910399">
              <w:rPr>
                <w:rFonts w:ascii="Meta Pro" w:eastAsia="Times New Roman" w:hAnsi="Meta Pro"/>
                <w:b/>
                <w:bCs/>
                <w:szCs w:val="18"/>
                <w:lang w:eastAsia="en-AU"/>
              </w:rPr>
              <w:t xml:space="preserve">50,498 </w:t>
            </w:r>
          </w:p>
        </w:tc>
      </w:tr>
      <w:tr w:rsidR="00BC5219" w:rsidRPr="00910399" w14:paraId="5C29A291" w14:textId="77777777" w:rsidTr="00E83802">
        <w:trPr>
          <w:trHeight w:val="240"/>
        </w:trPr>
        <w:tc>
          <w:tcPr>
            <w:tcW w:w="7711" w:type="dxa"/>
            <w:tcBorders>
              <w:top w:val="nil"/>
              <w:left w:val="nil"/>
              <w:bottom w:val="nil"/>
              <w:right w:val="nil"/>
            </w:tcBorders>
            <w:shd w:val="clear" w:color="auto" w:fill="auto"/>
            <w:noWrap/>
            <w:vAlign w:val="center"/>
            <w:hideMark/>
          </w:tcPr>
          <w:p w14:paraId="08E122D2" w14:textId="77777777" w:rsidR="00BC5219" w:rsidRPr="00910399" w:rsidRDefault="00BC5219" w:rsidP="00E83802">
            <w:pPr>
              <w:rPr>
                <w:rFonts w:ascii="Meta Pro" w:eastAsia="Times New Roman" w:hAnsi="Meta Pro"/>
                <w:i/>
                <w:iCs/>
                <w:szCs w:val="18"/>
                <w:lang w:eastAsia="en-AU"/>
              </w:rPr>
            </w:pPr>
            <w:r w:rsidRPr="00910399">
              <w:rPr>
                <w:rFonts w:ascii="Meta Pro" w:eastAsia="Times New Roman" w:hAnsi="Meta Pro"/>
                <w:i/>
                <w:iCs/>
                <w:szCs w:val="18"/>
                <w:lang w:eastAsia="en-AU"/>
              </w:rPr>
              <w:t xml:space="preserve">Non-current </w:t>
            </w:r>
          </w:p>
        </w:tc>
        <w:tc>
          <w:tcPr>
            <w:tcW w:w="1156" w:type="dxa"/>
            <w:tcBorders>
              <w:top w:val="nil"/>
              <w:left w:val="nil"/>
              <w:bottom w:val="nil"/>
              <w:right w:val="nil"/>
            </w:tcBorders>
            <w:shd w:val="clear" w:color="000000" w:fill="C9E3B4"/>
            <w:noWrap/>
            <w:vAlign w:val="center"/>
            <w:hideMark/>
          </w:tcPr>
          <w:p w14:paraId="40018983" w14:textId="77777777" w:rsidR="00BC5219" w:rsidRPr="00910399" w:rsidRDefault="00BC5219" w:rsidP="00E83802">
            <w:pPr>
              <w:rPr>
                <w:rFonts w:ascii="Meta Pro" w:eastAsia="Times New Roman" w:hAnsi="Meta Pro"/>
                <w:b/>
                <w:bCs/>
                <w:szCs w:val="18"/>
                <w:lang w:eastAsia="en-AU"/>
              </w:rPr>
            </w:pPr>
            <w:r w:rsidRPr="00910399">
              <w:rPr>
                <w:rFonts w:ascii="Meta Pro" w:eastAsia="Times New Roman" w:hAnsi="Meta Pro"/>
                <w:b/>
                <w:bCs/>
                <w:szCs w:val="18"/>
                <w:lang w:eastAsia="en-AU"/>
              </w:rPr>
              <w:t> </w:t>
            </w:r>
          </w:p>
        </w:tc>
        <w:tc>
          <w:tcPr>
            <w:tcW w:w="216" w:type="dxa"/>
            <w:tcBorders>
              <w:top w:val="nil"/>
              <w:left w:val="nil"/>
              <w:bottom w:val="nil"/>
              <w:right w:val="nil"/>
            </w:tcBorders>
            <w:shd w:val="clear" w:color="auto" w:fill="auto"/>
            <w:noWrap/>
            <w:vAlign w:val="center"/>
            <w:hideMark/>
          </w:tcPr>
          <w:p w14:paraId="16053B69" w14:textId="77777777" w:rsidR="00BC5219" w:rsidRPr="00910399" w:rsidRDefault="00BC5219" w:rsidP="00E83802">
            <w:pPr>
              <w:rPr>
                <w:rFonts w:ascii="Meta Pro" w:eastAsia="Times New Roman" w:hAnsi="Meta Pro"/>
                <w:b/>
                <w:bCs/>
                <w:szCs w:val="18"/>
                <w:lang w:eastAsia="en-AU"/>
              </w:rPr>
            </w:pPr>
          </w:p>
        </w:tc>
        <w:tc>
          <w:tcPr>
            <w:tcW w:w="1156" w:type="dxa"/>
            <w:tcBorders>
              <w:top w:val="nil"/>
              <w:left w:val="nil"/>
              <w:bottom w:val="nil"/>
              <w:right w:val="nil"/>
            </w:tcBorders>
            <w:shd w:val="clear" w:color="auto" w:fill="auto"/>
            <w:noWrap/>
            <w:vAlign w:val="center"/>
            <w:hideMark/>
          </w:tcPr>
          <w:p w14:paraId="61C4F64C" w14:textId="77777777" w:rsidR="00BC5219" w:rsidRPr="00910399" w:rsidRDefault="00BC5219" w:rsidP="00E83802">
            <w:pPr>
              <w:rPr>
                <w:rFonts w:ascii="Times New Roman" w:eastAsia="Times New Roman" w:hAnsi="Times New Roman" w:cs="Times New Roman"/>
                <w:sz w:val="20"/>
                <w:szCs w:val="20"/>
                <w:lang w:eastAsia="en-AU"/>
              </w:rPr>
            </w:pPr>
          </w:p>
        </w:tc>
      </w:tr>
      <w:tr w:rsidR="00BC5219" w:rsidRPr="00910399" w14:paraId="77262694" w14:textId="77777777" w:rsidTr="00E83802">
        <w:trPr>
          <w:trHeight w:val="240"/>
        </w:trPr>
        <w:tc>
          <w:tcPr>
            <w:tcW w:w="7711" w:type="dxa"/>
            <w:tcBorders>
              <w:top w:val="nil"/>
              <w:left w:val="nil"/>
              <w:bottom w:val="nil"/>
              <w:right w:val="nil"/>
            </w:tcBorders>
            <w:shd w:val="clear" w:color="auto" w:fill="auto"/>
            <w:noWrap/>
            <w:vAlign w:val="center"/>
            <w:hideMark/>
          </w:tcPr>
          <w:p w14:paraId="444E702A" w14:textId="77777777" w:rsidR="00BC5219" w:rsidRPr="00910399" w:rsidRDefault="00BC5219" w:rsidP="00E83802">
            <w:pPr>
              <w:rPr>
                <w:rFonts w:ascii="Meta Pro" w:eastAsia="Times New Roman" w:hAnsi="Meta Pro"/>
                <w:szCs w:val="18"/>
                <w:lang w:eastAsia="en-AU"/>
              </w:rPr>
            </w:pPr>
            <w:r w:rsidRPr="00910399">
              <w:rPr>
                <w:rFonts w:ascii="Meta Pro" w:eastAsia="Times New Roman" w:hAnsi="Meta Pro"/>
                <w:szCs w:val="18"/>
                <w:lang w:eastAsia="en-AU"/>
              </w:rPr>
              <w:t>Payables *</w:t>
            </w:r>
          </w:p>
        </w:tc>
        <w:tc>
          <w:tcPr>
            <w:tcW w:w="1156" w:type="dxa"/>
            <w:tcBorders>
              <w:top w:val="nil"/>
              <w:left w:val="nil"/>
              <w:bottom w:val="nil"/>
              <w:right w:val="nil"/>
            </w:tcBorders>
            <w:shd w:val="clear" w:color="000000" w:fill="C9E3B4"/>
            <w:noWrap/>
            <w:vAlign w:val="center"/>
            <w:hideMark/>
          </w:tcPr>
          <w:p w14:paraId="1031CCC8" w14:textId="77777777" w:rsidR="00BC5219" w:rsidRPr="00910399" w:rsidRDefault="00BC5219" w:rsidP="00E83802">
            <w:pPr>
              <w:jc w:val="right"/>
              <w:rPr>
                <w:rFonts w:ascii="Meta Pro" w:eastAsia="Times New Roman" w:hAnsi="Meta Pro"/>
                <w:szCs w:val="18"/>
                <w:lang w:eastAsia="en-AU"/>
              </w:rPr>
            </w:pPr>
            <w:r w:rsidRPr="00910399">
              <w:rPr>
                <w:rFonts w:ascii="Meta Pro" w:eastAsia="Times New Roman" w:hAnsi="Meta Pro"/>
                <w:szCs w:val="18"/>
                <w:lang w:eastAsia="en-AU"/>
              </w:rPr>
              <w:t xml:space="preserve">197,033 </w:t>
            </w:r>
          </w:p>
        </w:tc>
        <w:tc>
          <w:tcPr>
            <w:tcW w:w="216" w:type="dxa"/>
            <w:tcBorders>
              <w:top w:val="nil"/>
              <w:left w:val="nil"/>
              <w:bottom w:val="nil"/>
              <w:right w:val="nil"/>
            </w:tcBorders>
            <w:shd w:val="clear" w:color="auto" w:fill="auto"/>
            <w:noWrap/>
            <w:vAlign w:val="center"/>
            <w:hideMark/>
          </w:tcPr>
          <w:p w14:paraId="6189E01B" w14:textId="77777777" w:rsidR="00BC5219" w:rsidRPr="00910399"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016768A5" w14:textId="77777777" w:rsidR="00BC5219" w:rsidRPr="00910399" w:rsidRDefault="00BC5219" w:rsidP="00E83802">
            <w:pPr>
              <w:jc w:val="right"/>
              <w:rPr>
                <w:rFonts w:ascii="Meta Pro" w:eastAsia="Times New Roman" w:hAnsi="Meta Pro"/>
                <w:szCs w:val="18"/>
                <w:lang w:eastAsia="en-AU"/>
              </w:rPr>
            </w:pPr>
            <w:r w:rsidRPr="00910399">
              <w:rPr>
                <w:rFonts w:ascii="Meta Pro" w:eastAsia="Times New Roman" w:hAnsi="Meta Pro"/>
                <w:szCs w:val="18"/>
                <w:lang w:eastAsia="en-AU"/>
              </w:rPr>
              <w:t xml:space="preserve">127,101 </w:t>
            </w:r>
          </w:p>
        </w:tc>
      </w:tr>
      <w:tr w:rsidR="00BC5219" w:rsidRPr="00910399" w14:paraId="31807CD1" w14:textId="77777777" w:rsidTr="00E83802">
        <w:trPr>
          <w:trHeight w:val="240"/>
        </w:trPr>
        <w:tc>
          <w:tcPr>
            <w:tcW w:w="7711" w:type="dxa"/>
            <w:tcBorders>
              <w:top w:val="single" w:sz="4" w:space="0" w:color="auto"/>
              <w:left w:val="nil"/>
              <w:bottom w:val="single" w:sz="4" w:space="0" w:color="auto"/>
              <w:right w:val="nil"/>
            </w:tcBorders>
            <w:shd w:val="clear" w:color="auto" w:fill="auto"/>
            <w:noWrap/>
            <w:vAlign w:val="center"/>
            <w:hideMark/>
          </w:tcPr>
          <w:p w14:paraId="0DA2F527" w14:textId="77777777" w:rsidR="00BC5219" w:rsidRPr="00910399" w:rsidRDefault="00BC5219" w:rsidP="00E83802">
            <w:pPr>
              <w:rPr>
                <w:rFonts w:ascii="Meta Pro" w:eastAsia="Times New Roman" w:hAnsi="Meta Pro"/>
                <w:b/>
                <w:bCs/>
                <w:szCs w:val="18"/>
                <w:lang w:eastAsia="en-AU"/>
              </w:rPr>
            </w:pPr>
            <w:r w:rsidRPr="00910399">
              <w:rPr>
                <w:rFonts w:ascii="Meta Pro" w:eastAsia="Times New Roman" w:hAnsi="Meta Pro"/>
                <w:b/>
                <w:bCs/>
                <w:szCs w:val="18"/>
                <w:lang w:eastAsia="en-AU"/>
              </w:rPr>
              <w:t>Total non-current liabilities</w:t>
            </w:r>
          </w:p>
        </w:tc>
        <w:tc>
          <w:tcPr>
            <w:tcW w:w="1156" w:type="dxa"/>
            <w:tcBorders>
              <w:top w:val="single" w:sz="4" w:space="0" w:color="auto"/>
              <w:left w:val="nil"/>
              <w:bottom w:val="single" w:sz="4" w:space="0" w:color="auto"/>
              <w:right w:val="nil"/>
            </w:tcBorders>
            <w:shd w:val="clear" w:color="000000" w:fill="C9E3B4"/>
            <w:noWrap/>
            <w:vAlign w:val="center"/>
            <w:hideMark/>
          </w:tcPr>
          <w:p w14:paraId="3FA3A213" w14:textId="77777777" w:rsidR="00BC5219" w:rsidRPr="00910399" w:rsidRDefault="00BC5219" w:rsidP="00E83802">
            <w:pPr>
              <w:jc w:val="right"/>
              <w:rPr>
                <w:rFonts w:ascii="Meta Pro" w:eastAsia="Times New Roman" w:hAnsi="Meta Pro"/>
                <w:b/>
                <w:bCs/>
                <w:szCs w:val="18"/>
                <w:lang w:eastAsia="en-AU"/>
              </w:rPr>
            </w:pPr>
            <w:r w:rsidRPr="00910399">
              <w:rPr>
                <w:rFonts w:ascii="Meta Pro" w:eastAsia="Times New Roman" w:hAnsi="Meta Pro"/>
                <w:b/>
                <w:bCs/>
                <w:szCs w:val="18"/>
                <w:lang w:eastAsia="en-AU"/>
              </w:rPr>
              <w:t xml:space="preserve">197,033 </w:t>
            </w:r>
          </w:p>
        </w:tc>
        <w:tc>
          <w:tcPr>
            <w:tcW w:w="216" w:type="dxa"/>
            <w:tcBorders>
              <w:top w:val="single" w:sz="4" w:space="0" w:color="auto"/>
              <w:left w:val="nil"/>
              <w:bottom w:val="single" w:sz="4" w:space="0" w:color="auto"/>
              <w:right w:val="nil"/>
            </w:tcBorders>
            <w:shd w:val="clear" w:color="auto" w:fill="auto"/>
            <w:noWrap/>
            <w:vAlign w:val="center"/>
            <w:hideMark/>
          </w:tcPr>
          <w:p w14:paraId="038D82A1" w14:textId="77777777" w:rsidR="00BC5219" w:rsidRPr="00910399" w:rsidRDefault="00BC5219" w:rsidP="00E83802">
            <w:pPr>
              <w:rPr>
                <w:rFonts w:ascii="Meta Pro" w:eastAsia="Times New Roman" w:hAnsi="Meta Pro"/>
                <w:b/>
                <w:bCs/>
                <w:szCs w:val="18"/>
                <w:lang w:eastAsia="en-AU"/>
              </w:rPr>
            </w:pPr>
            <w:r w:rsidRPr="00910399">
              <w:rPr>
                <w:rFonts w:ascii="Meta Pro" w:eastAsia="Times New Roman" w:hAnsi="Meta Pro"/>
                <w:b/>
                <w:bCs/>
                <w:szCs w:val="18"/>
                <w:lang w:eastAsia="en-AU"/>
              </w:rPr>
              <w:t> </w:t>
            </w:r>
          </w:p>
        </w:tc>
        <w:tc>
          <w:tcPr>
            <w:tcW w:w="1156" w:type="dxa"/>
            <w:tcBorders>
              <w:top w:val="single" w:sz="4" w:space="0" w:color="auto"/>
              <w:left w:val="nil"/>
              <w:bottom w:val="single" w:sz="4" w:space="0" w:color="auto"/>
              <w:right w:val="nil"/>
            </w:tcBorders>
            <w:shd w:val="clear" w:color="auto" w:fill="auto"/>
            <w:noWrap/>
            <w:vAlign w:val="center"/>
            <w:hideMark/>
          </w:tcPr>
          <w:p w14:paraId="66D91827" w14:textId="77777777" w:rsidR="00BC5219" w:rsidRPr="00910399" w:rsidRDefault="00BC5219" w:rsidP="00E83802">
            <w:pPr>
              <w:jc w:val="right"/>
              <w:rPr>
                <w:rFonts w:ascii="Meta Pro" w:eastAsia="Times New Roman" w:hAnsi="Meta Pro"/>
                <w:b/>
                <w:bCs/>
                <w:szCs w:val="18"/>
                <w:lang w:eastAsia="en-AU"/>
              </w:rPr>
            </w:pPr>
            <w:r w:rsidRPr="00910399">
              <w:rPr>
                <w:rFonts w:ascii="Meta Pro" w:eastAsia="Times New Roman" w:hAnsi="Meta Pro"/>
                <w:b/>
                <w:bCs/>
                <w:szCs w:val="18"/>
                <w:lang w:eastAsia="en-AU"/>
              </w:rPr>
              <w:t xml:space="preserve">127,101 </w:t>
            </w:r>
          </w:p>
        </w:tc>
      </w:tr>
      <w:tr w:rsidR="00BC5219" w:rsidRPr="00910399" w14:paraId="0AB72A60" w14:textId="77777777" w:rsidTr="00E83802">
        <w:trPr>
          <w:trHeight w:val="240"/>
        </w:trPr>
        <w:tc>
          <w:tcPr>
            <w:tcW w:w="7711" w:type="dxa"/>
            <w:tcBorders>
              <w:top w:val="nil"/>
              <w:left w:val="nil"/>
              <w:bottom w:val="single" w:sz="4" w:space="0" w:color="auto"/>
              <w:right w:val="nil"/>
            </w:tcBorders>
            <w:shd w:val="clear" w:color="auto" w:fill="auto"/>
            <w:noWrap/>
            <w:vAlign w:val="center"/>
            <w:hideMark/>
          </w:tcPr>
          <w:p w14:paraId="29411FF0" w14:textId="77777777" w:rsidR="00BC5219" w:rsidRPr="00910399" w:rsidRDefault="00BC5219" w:rsidP="00E83802">
            <w:pPr>
              <w:rPr>
                <w:rFonts w:ascii="Meta Pro" w:eastAsia="Times New Roman" w:hAnsi="Meta Pro"/>
                <w:b/>
                <w:bCs/>
                <w:szCs w:val="18"/>
                <w:lang w:eastAsia="en-AU"/>
              </w:rPr>
            </w:pPr>
            <w:r w:rsidRPr="00910399">
              <w:rPr>
                <w:rFonts w:ascii="Meta Pro" w:eastAsia="Times New Roman" w:hAnsi="Meta Pro"/>
                <w:b/>
                <w:bCs/>
                <w:szCs w:val="18"/>
                <w:lang w:eastAsia="en-AU"/>
              </w:rPr>
              <w:t>Total liabilities</w:t>
            </w:r>
          </w:p>
        </w:tc>
        <w:tc>
          <w:tcPr>
            <w:tcW w:w="1156" w:type="dxa"/>
            <w:tcBorders>
              <w:top w:val="nil"/>
              <w:left w:val="nil"/>
              <w:bottom w:val="single" w:sz="4" w:space="0" w:color="auto"/>
              <w:right w:val="nil"/>
            </w:tcBorders>
            <w:shd w:val="clear" w:color="000000" w:fill="C9E3B4"/>
            <w:noWrap/>
            <w:vAlign w:val="center"/>
            <w:hideMark/>
          </w:tcPr>
          <w:p w14:paraId="42731500" w14:textId="77777777" w:rsidR="00BC5219" w:rsidRPr="00910399" w:rsidRDefault="00BC5219" w:rsidP="00E83802">
            <w:pPr>
              <w:jc w:val="right"/>
              <w:rPr>
                <w:rFonts w:ascii="Meta Pro" w:eastAsia="Times New Roman" w:hAnsi="Meta Pro"/>
                <w:b/>
                <w:bCs/>
                <w:szCs w:val="18"/>
                <w:lang w:eastAsia="en-AU"/>
              </w:rPr>
            </w:pPr>
            <w:r w:rsidRPr="00910399">
              <w:rPr>
                <w:rFonts w:ascii="Meta Pro" w:eastAsia="Times New Roman" w:hAnsi="Meta Pro"/>
                <w:b/>
                <w:bCs/>
                <w:szCs w:val="18"/>
                <w:lang w:eastAsia="en-AU"/>
              </w:rPr>
              <w:t xml:space="preserve">241,205 </w:t>
            </w:r>
          </w:p>
        </w:tc>
        <w:tc>
          <w:tcPr>
            <w:tcW w:w="216" w:type="dxa"/>
            <w:tcBorders>
              <w:top w:val="nil"/>
              <w:left w:val="nil"/>
              <w:bottom w:val="single" w:sz="4" w:space="0" w:color="auto"/>
              <w:right w:val="nil"/>
            </w:tcBorders>
            <w:shd w:val="clear" w:color="auto" w:fill="auto"/>
            <w:noWrap/>
            <w:vAlign w:val="center"/>
            <w:hideMark/>
          </w:tcPr>
          <w:p w14:paraId="53F98088" w14:textId="77777777" w:rsidR="00BC5219" w:rsidRPr="00910399" w:rsidRDefault="00BC5219" w:rsidP="00E83802">
            <w:pPr>
              <w:rPr>
                <w:rFonts w:ascii="Meta Pro" w:eastAsia="Times New Roman" w:hAnsi="Meta Pro"/>
                <w:b/>
                <w:bCs/>
                <w:szCs w:val="18"/>
                <w:lang w:eastAsia="en-AU"/>
              </w:rPr>
            </w:pPr>
            <w:r w:rsidRPr="00910399">
              <w:rPr>
                <w:rFonts w:ascii="Meta Pro" w:eastAsia="Times New Roman" w:hAnsi="Meta Pro"/>
                <w:b/>
                <w:bCs/>
                <w:szCs w:val="18"/>
                <w:lang w:eastAsia="en-AU"/>
              </w:rPr>
              <w:t> </w:t>
            </w:r>
          </w:p>
        </w:tc>
        <w:tc>
          <w:tcPr>
            <w:tcW w:w="1156" w:type="dxa"/>
            <w:tcBorders>
              <w:top w:val="nil"/>
              <w:left w:val="nil"/>
              <w:bottom w:val="single" w:sz="4" w:space="0" w:color="auto"/>
              <w:right w:val="nil"/>
            </w:tcBorders>
            <w:shd w:val="clear" w:color="auto" w:fill="auto"/>
            <w:noWrap/>
            <w:vAlign w:val="center"/>
            <w:hideMark/>
          </w:tcPr>
          <w:p w14:paraId="25C4D1F3" w14:textId="77777777" w:rsidR="00BC5219" w:rsidRPr="00910399" w:rsidRDefault="00BC5219" w:rsidP="00E83802">
            <w:pPr>
              <w:jc w:val="right"/>
              <w:rPr>
                <w:rFonts w:ascii="Meta Pro" w:eastAsia="Times New Roman" w:hAnsi="Meta Pro"/>
                <w:b/>
                <w:bCs/>
                <w:szCs w:val="18"/>
                <w:lang w:eastAsia="en-AU"/>
              </w:rPr>
            </w:pPr>
            <w:r w:rsidRPr="00910399">
              <w:rPr>
                <w:rFonts w:ascii="Meta Pro" w:eastAsia="Times New Roman" w:hAnsi="Meta Pro"/>
                <w:b/>
                <w:bCs/>
                <w:szCs w:val="18"/>
                <w:lang w:eastAsia="en-AU"/>
              </w:rPr>
              <w:t xml:space="preserve">177,599 </w:t>
            </w:r>
          </w:p>
        </w:tc>
      </w:tr>
      <w:tr w:rsidR="00BC5219" w:rsidRPr="00910399" w14:paraId="5D7CAFF0" w14:textId="77777777" w:rsidTr="00E83802">
        <w:trPr>
          <w:trHeight w:val="240"/>
        </w:trPr>
        <w:tc>
          <w:tcPr>
            <w:tcW w:w="7711" w:type="dxa"/>
            <w:tcBorders>
              <w:top w:val="nil"/>
              <w:left w:val="nil"/>
              <w:bottom w:val="nil"/>
              <w:right w:val="nil"/>
            </w:tcBorders>
            <w:shd w:val="clear" w:color="auto" w:fill="auto"/>
            <w:noWrap/>
            <w:vAlign w:val="center"/>
            <w:hideMark/>
          </w:tcPr>
          <w:p w14:paraId="2FE16936" w14:textId="77777777" w:rsidR="00BC5219" w:rsidRPr="00910399" w:rsidRDefault="00BC5219" w:rsidP="00E83802">
            <w:pPr>
              <w:jc w:val="right"/>
              <w:rPr>
                <w:rFonts w:ascii="Meta Pro" w:eastAsia="Times New Roman" w:hAnsi="Meta Pro"/>
                <w:b/>
                <w:bCs/>
                <w:szCs w:val="18"/>
                <w:lang w:eastAsia="en-AU"/>
              </w:rPr>
            </w:pPr>
          </w:p>
        </w:tc>
        <w:tc>
          <w:tcPr>
            <w:tcW w:w="1156" w:type="dxa"/>
            <w:tcBorders>
              <w:top w:val="nil"/>
              <w:left w:val="nil"/>
              <w:bottom w:val="nil"/>
              <w:right w:val="nil"/>
            </w:tcBorders>
            <w:shd w:val="clear" w:color="000000" w:fill="C9E3B4"/>
            <w:noWrap/>
            <w:vAlign w:val="center"/>
            <w:hideMark/>
          </w:tcPr>
          <w:p w14:paraId="758E0944" w14:textId="77777777" w:rsidR="00BC5219" w:rsidRPr="00910399" w:rsidRDefault="00BC5219" w:rsidP="00E83802">
            <w:pPr>
              <w:rPr>
                <w:rFonts w:ascii="Meta Pro" w:eastAsia="Times New Roman" w:hAnsi="Meta Pro"/>
                <w:szCs w:val="18"/>
                <w:lang w:eastAsia="en-AU"/>
              </w:rPr>
            </w:pPr>
            <w:r w:rsidRPr="00910399">
              <w:rPr>
                <w:rFonts w:ascii="Meta Pro" w:eastAsia="Times New Roman" w:hAnsi="Meta Pro"/>
                <w:szCs w:val="18"/>
                <w:lang w:eastAsia="en-AU"/>
              </w:rPr>
              <w:t> </w:t>
            </w:r>
          </w:p>
        </w:tc>
        <w:tc>
          <w:tcPr>
            <w:tcW w:w="216" w:type="dxa"/>
            <w:tcBorders>
              <w:top w:val="nil"/>
              <w:left w:val="nil"/>
              <w:bottom w:val="nil"/>
              <w:right w:val="nil"/>
            </w:tcBorders>
            <w:shd w:val="clear" w:color="auto" w:fill="auto"/>
            <w:noWrap/>
            <w:vAlign w:val="center"/>
            <w:hideMark/>
          </w:tcPr>
          <w:p w14:paraId="65066EEF" w14:textId="77777777" w:rsidR="00BC5219" w:rsidRPr="00910399" w:rsidRDefault="00BC5219" w:rsidP="00E83802">
            <w:pPr>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42DAC321" w14:textId="77777777" w:rsidR="00BC5219" w:rsidRPr="00910399" w:rsidRDefault="00BC5219" w:rsidP="00E83802">
            <w:pPr>
              <w:rPr>
                <w:rFonts w:ascii="Times New Roman" w:eastAsia="Times New Roman" w:hAnsi="Times New Roman" w:cs="Times New Roman"/>
                <w:sz w:val="20"/>
                <w:szCs w:val="20"/>
                <w:lang w:eastAsia="en-AU"/>
              </w:rPr>
            </w:pPr>
          </w:p>
        </w:tc>
      </w:tr>
      <w:tr w:rsidR="00BC5219" w:rsidRPr="00910399" w14:paraId="6F52200B" w14:textId="77777777" w:rsidTr="00E83802">
        <w:trPr>
          <w:trHeight w:val="240"/>
        </w:trPr>
        <w:tc>
          <w:tcPr>
            <w:tcW w:w="7711" w:type="dxa"/>
            <w:tcBorders>
              <w:top w:val="single" w:sz="4" w:space="0" w:color="auto"/>
              <w:left w:val="nil"/>
              <w:bottom w:val="double" w:sz="6" w:space="0" w:color="auto"/>
              <w:right w:val="nil"/>
            </w:tcBorders>
            <w:shd w:val="clear" w:color="auto" w:fill="auto"/>
            <w:noWrap/>
            <w:vAlign w:val="center"/>
            <w:hideMark/>
          </w:tcPr>
          <w:p w14:paraId="13767A0F" w14:textId="77777777" w:rsidR="00BC5219" w:rsidRPr="00910399" w:rsidRDefault="00BC5219" w:rsidP="00E83802">
            <w:pPr>
              <w:rPr>
                <w:rFonts w:ascii="Meta Pro" w:eastAsia="Times New Roman" w:hAnsi="Meta Pro"/>
                <w:b/>
                <w:bCs/>
                <w:szCs w:val="18"/>
                <w:lang w:eastAsia="en-AU"/>
              </w:rPr>
            </w:pPr>
            <w:r w:rsidRPr="00910399">
              <w:rPr>
                <w:rFonts w:ascii="Meta Pro" w:eastAsia="Times New Roman" w:hAnsi="Meta Pro"/>
                <w:b/>
                <w:bCs/>
                <w:szCs w:val="18"/>
                <w:lang w:eastAsia="en-AU"/>
              </w:rPr>
              <w:t>NET ADMINISTERED ASSETS</w:t>
            </w:r>
          </w:p>
        </w:tc>
        <w:tc>
          <w:tcPr>
            <w:tcW w:w="1156" w:type="dxa"/>
            <w:tcBorders>
              <w:top w:val="single" w:sz="4" w:space="0" w:color="auto"/>
              <w:left w:val="nil"/>
              <w:bottom w:val="double" w:sz="6" w:space="0" w:color="auto"/>
              <w:right w:val="nil"/>
            </w:tcBorders>
            <w:shd w:val="clear" w:color="000000" w:fill="C9E3B4"/>
            <w:noWrap/>
            <w:vAlign w:val="center"/>
            <w:hideMark/>
          </w:tcPr>
          <w:p w14:paraId="43354C31" w14:textId="77777777" w:rsidR="00BC5219" w:rsidRPr="00910399" w:rsidRDefault="00BC5219" w:rsidP="00E83802">
            <w:pPr>
              <w:jc w:val="right"/>
              <w:rPr>
                <w:rFonts w:ascii="Meta Pro" w:eastAsia="Times New Roman" w:hAnsi="Meta Pro"/>
                <w:b/>
                <w:bCs/>
                <w:szCs w:val="18"/>
                <w:lang w:eastAsia="en-AU"/>
              </w:rPr>
            </w:pPr>
            <w:r w:rsidRPr="00910399">
              <w:rPr>
                <w:rFonts w:ascii="Meta Pro" w:eastAsia="Times New Roman" w:hAnsi="Meta Pro"/>
                <w:b/>
                <w:bCs/>
                <w:szCs w:val="18"/>
                <w:lang w:eastAsia="en-AU"/>
              </w:rPr>
              <w:t xml:space="preserve">138,263 </w:t>
            </w:r>
          </w:p>
        </w:tc>
        <w:tc>
          <w:tcPr>
            <w:tcW w:w="216" w:type="dxa"/>
            <w:tcBorders>
              <w:top w:val="single" w:sz="4" w:space="0" w:color="auto"/>
              <w:left w:val="nil"/>
              <w:bottom w:val="double" w:sz="6" w:space="0" w:color="auto"/>
              <w:right w:val="nil"/>
            </w:tcBorders>
            <w:shd w:val="clear" w:color="auto" w:fill="auto"/>
            <w:noWrap/>
            <w:vAlign w:val="center"/>
            <w:hideMark/>
          </w:tcPr>
          <w:p w14:paraId="6EB8DD39" w14:textId="77777777" w:rsidR="00BC5219" w:rsidRPr="00910399" w:rsidRDefault="00BC5219" w:rsidP="00E83802">
            <w:pPr>
              <w:rPr>
                <w:rFonts w:ascii="Meta Pro" w:eastAsia="Times New Roman" w:hAnsi="Meta Pro"/>
                <w:b/>
                <w:bCs/>
                <w:szCs w:val="18"/>
                <w:lang w:eastAsia="en-AU"/>
              </w:rPr>
            </w:pPr>
            <w:r w:rsidRPr="00910399">
              <w:rPr>
                <w:rFonts w:ascii="Meta Pro" w:eastAsia="Times New Roman" w:hAnsi="Meta Pro"/>
                <w:b/>
                <w:bCs/>
                <w:szCs w:val="18"/>
                <w:lang w:eastAsia="en-AU"/>
              </w:rPr>
              <w:t> </w:t>
            </w:r>
          </w:p>
        </w:tc>
        <w:tc>
          <w:tcPr>
            <w:tcW w:w="1156" w:type="dxa"/>
            <w:tcBorders>
              <w:top w:val="single" w:sz="4" w:space="0" w:color="auto"/>
              <w:left w:val="nil"/>
              <w:bottom w:val="double" w:sz="6" w:space="0" w:color="auto"/>
              <w:right w:val="nil"/>
            </w:tcBorders>
            <w:shd w:val="clear" w:color="auto" w:fill="auto"/>
            <w:noWrap/>
            <w:vAlign w:val="center"/>
            <w:hideMark/>
          </w:tcPr>
          <w:p w14:paraId="450BC35A" w14:textId="77777777" w:rsidR="00BC5219" w:rsidRPr="00910399" w:rsidRDefault="00BC5219" w:rsidP="00E83802">
            <w:pPr>
              <w:jc w:val="right"/>
              <w:rPr>
                <w:rFonts w:ascii="Meta Pro" w:eastAsia="Times New Roman" w:hAnsi="Meta Pro"/>
                <w:b/>
                <w:bCs/>
                <w:szCs w:val="18"/>
                <w:lang w:eastAsia="en-AU"/>
              </w:rPr>
            </w:pPr>
            <w:r w:rsidRPr="00910399">
              <w:rPr>
                <w:rFonts w:ascii="Meta Pro" w:eastAsia="Times New Roman" w:hAnsi="Meta Pro"/>
                <w:b/>
                <w:bCs/>
                <w:szCs w:val="18"/>
                <w:lang w:eastAsia="en-AU"/>
              </w:rPr>
              <w:t xml:space="preserve">123,513 </w:t>
            </w:r>
          </w:p>
        </w:tc>
      </w:tr>
    </w:tbl>
    <w:p w14:paraId="3CA449B8" w14:textId="77777777" w:rsidR="00BC5219" w:rsidRDefault="00BC5219" w:rsidP="00BC5219">
      <w:pPr>
        <w:spacing w:before="60"/>
        <w:rPr>
          <w:rFonts w:asciiTheme="minorHAnsi" w:hAnsiTheme="minorHAnsi" w:cstheme="minorBidi"/>
        </w:rPr>
      </w:pPr>
    </w:p>
    <w:p w14:paraId="05ACFE46" w14:textId="77777777" w:rsidR="00BC5219" w:rsidRPr="008A2B8F" w:rsidRDefault="00BC5219" w:rsidP="00BC5219">
      <w:pPr>
        <w:spacing w:before="60"/>
        <w:rPr>
          <w:rFonts w:ascii="Meta Pro" w:eastAsia="Times New Roman" w:hAnsi="Meta Pro"/>
          <w:i/>
          <w:iCs/>
          <w:color w:val="000000" w:themeColor="text1"/>
          <w:lang w:eastAsia="en-AU"/>
        </w:rPr>
      </w:pPr>
      <w:r w:rsidRPr="008A2B8F">
        <w:rPr>
          <w:rFonts w:ascii="Meta Pro" w:eastAsia="Times New Roman" w:hAnsi="Meta Pro"/>
          <w:i/>
          <w:iCs/>
          <w:color w:val="000000" w:themeColor="text1"/>
          <w:lang w:eastAsia="en-AU"/>
        </w:rPr>
        <w:lastRenderedPageBreak/>
        <w:t>Department of Transport and Main Roads</w:t>
      </w:r>
    </w:p>
    <w:p w14:paraId="58A38285"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Notes to the financial statements 2022–23 (continued)</w:t>
      </w:r>
    </w:p>
    <w:p w14:paraId="13D2FFE9" w14:textId="77777777" w:rsidR="00BC5219" w:rsidRDefault="00BC5219" w:rsidP="00BC5219">
      <w:pPr>
        <w:rPr>
          <w:rFonts w:asciiTheme="minorHAnsi" w:hAnsiTheme="minorHAnsi" w:cstheme="minorBidi"/>
        </w:rPr>
      </w:pPr>
      <w:bookmarkStart w:id="54" w:name="_Hlk101962715"/>
    </w:p>
    <w:tbl>
      <w:tblPr>
        <w:tblW w:w="0" w:type="auto"/>
        <w:tblLayout w:type="fixed"/>
        <w:tblCellMar>
          <w:left w:w="0" w:type="dxa"/>
        </w:tblCellMar>
        <w:tblLook w:val="04A0" w:firstRow="1" w:lastRow="0" w:firstColumn="1" w:lastColumn="0" w:noHBand="0" w:noVBand="1"/>
      </w:tblPr>
      <w:tblGrid>
        <w:gridCol w:w="7711"/>
        <w:gridCol w:w="1156"/>
        <w:gridCol w:w="216"/>
        <w:gridCol w:w="1156"/>
      </w:tblGrid>
      <w:tr w:rsidR="00BC5219" w:rsidRPr="000F5D5E" w14:paraId="507E7CD8" w14:textId="77777777" w:rsidTr="00E83802">
        <w:trPr>
          <w:trHeight w:val="240"/>
        </w:trPr>
        <w:tc>
          <w:tcPr>
            <w:tcW w:w="7711" w:type="dxa"/>
            <w:tcBorders>
              <w:top w:val="nil"/>
              <w:left w:val="nil"/>
              <w:bottom w:val="nil"/>
              <w:right w:val="nil"/>
            </w:tcBorders>
            <w:shd w:val="clear" w:color="auto" w:fill="auto"/>
            <w:noWrap/>
            <w:vAlign w:val="center"/>
            <w:hideMark/>
          </w:tcPr>
          <w:p w14:paraId="20B04E16" w14:textId="77777777" w:rsidR="00BC5219" w:rsidRPr="000F5D5E" w:rsidRDefault="00BC5219" w:rsidP="00E83802">
            <w:pPr>
              <w:rPr>
                <w:rFonts w:ascii="Times New Roman" w:eastAsia="Times New Roman" w:hAnsi="Times New Roman" w:cs="Times New Roman"/>
                <w:sz w:val="24"/>
                <w:szCs w:val="24"/>
                <w:lang w:eastAsia="en-AU"/>
              </w:rPr>
            </w:pPr>
          </w:p>
        </w:tc>
        <w:tc>
          <w:tcPr>
            <w:tcW w:w="1156" w:type="dxa"/>
            <w:tcBorders>
              <w:top w:val="nil"/>
              <w:left w:val="nil"/>
              <w:bottom w:val="nil"/>
              <w:right w:val="nil"/>
            </w:tcBorders>
            <w:shd w:val="clear" w:color="auto" w:fill="auto"/>
            <w:noWrap/>
            <w:vAlign w:val="center"/>
            <w:hideMark/>
          </w:tcPr>
          <w:p w14:paraId="26B05D90" w14:textId="77777777" w:rsidR="00BC5219" w:rsidRPr="000F5D5E" w:rsidRDefault="00BC5219" w:rsidP="00E83802">
            <w:pPr>
              <w:jc w:val="center"/>
              <w:rPr>
                <w:rFonts w:ascii="Meta Pro" w:eastAsia="Times New Roman" w:hAnsi="Meta Pro"/>
                <w:b/>
                <w:bCs/>
                <w:lang w:eastAsia="en-AU"/>
              </w:rPr>
            </w:pPr>
            <w:r w:rsidRPr="000F5D5E">
              <w:rPr>
                <w:rFonts w:ascii="Meta Pro" w:eastAsia="Times New Roman" w:hAnsi="Meta Pro"/>
                <w:b/>
                <w:bCs/>
                <w:lang w:eastAsia="en-AU"/>
              </w:rPr>
              <w:t>2023</w:t>
            </w:r>
          </w:p>
        </w:tc>
        <w:tc>
          <w:tcPr>
            <w:tcW w:w="216" w:type="dxa"/>
            <w:tcBorders>
              <w:top w:val="nil"/>
              <w:left w:val="nil"/>
              <w:bottom w:val="nil"/>
              <w:right w:val="nil"/>
            </w:tcBorders>
            <w:shd w:val="clear" w:color="auto" w:fill="auto"/>
            <w:noWrap/>
            <w:vAlign w:val="center"/>
            <w:hideMark/>
          </w:tcPr>
          <w:p w14:paraId="5702204C" w14:textId="77777777" w:rsidR="00BC5219" w:rsidRPr="000F5D5E" w:rsidRDefault="00BC5219" w:rsidP="00E83802">
            <w:pPr>
              <w:jc w:val="center"/>
              <w:rPr>
                <w:rFonts w:ascii="Meta Pro" w:eastAsia="Times New Roman" w:hAnsi="Meta Pro"/>
                <w:b/>
                <w:bCs/>
                <w:lang w:eastAsia="en-AU"/>
              </w:rPr>
            </w:pPr>
          </w:p>
        </w:tc>
        <w:tc>
          <w:tcPr>
            <w:tcW w:w="1156" w:type="dxa"/>
            <w:tcBorders>
              <w:top w:val="nil"/>
              <w:left w:val="nil"/>
              <w:bottom w:val="nil"/>
              <w:right w:val="nil"/>
            </w:tcBorders>
            <w:shd w:val="clear" w:color="auto" w:fill="auto"/>
            <w:noWrap/>
            <w:vAlign w:val="center"/>
            <w:hideMark/>
          </w:tcPr>
          <w:p w14:paraId="079DEC4A" w14:textId="77777777" w:rsidR="00BC5219" w:rsidRPr="000F5D5E" w:rsidRDefault="00BC5219" w:rsidP="00E83802">
            <w:pPr>
              <w:jc w:val="center"/>
              <w:rPr>
                <w:rFonts w:ascii="Meta Pro" w:eastAsia="Times New Roman" w:hAnsi="Meta Pro"/>
                <w:b/>
                <w:bCs/>
                <w:lang w:eastAsia="en-AU"/>
              </w:rPr>
            </w:pPr>
            <w:r w:rsidRPr="000F5D5E">
              <w:rPr>
                <w:rFonts w:ascii="Meta Pro" w:eastAsia="Times New Roman" w:hAnsi="Meta Pro"/>
                <w:b/>
                <w:bCs/>
                <w:lang w:eastAsia="en-AU"/>
              </w:rPr>
              <w:t>2022</w:t>
            </w:r>
          </w:p>
        </w:tc>
      </w:tr>
      <w:tr w:rsidR="00BC5219" w:rsidRPr="000F5D5E" w14:paraId="10F6B710" w14:textId="77777777" w:rsidTr="00E83802">
        <w:trPr>
          <w:trHeight w:val="240"/>
        </w:trPr>
        <w:tc>
          <w:tcPr>
            <w:tcW w:w="7711" w:type="dxa"/>
            <w:tcBorders>
              <w:top w:val="nil"/>
              <w:left w:val="nil"/>
              <w:bottom w:val="nil"/>
              <w:right w:val="nil"/>
            </w:tcBorders>
            <w:shd w:val="clear" w:color="auto" w:fill="auto"/>
            <w:noWrap/>
            <w:vAlign w:val="center"/>
            <w:hideMark/>
          </w:tcPr>
          <w:p w14:paraId="1F883985" w14:textId="77777777" w:rsidR="00BC5219" w:rsidRPr="000F5D5E" w:rsidRDefault="00BC5219" w:rsidP="00E83802">
            <w:pPr>
              <w:jc w:val="center"/>
              <w:rPr>
                <w:rFonts w:ascii="Meta Pro" w:eastAsia="Times New Roman" w:hAnsi="Meta Pro"/>
                <w:b/>
                <w:bCs/>
                <w:lang w:eastAsia="en-AU"/>
              </w:rPr>
            </w:pPr>
          </w:p>
        </w:tc>
        <w:tc>
          <w:tcPr>
            <w:tcW w:w="1156" w:type="dxa"/>
            <w:tcBorders>
              <w:top w:val="nil"/>
              <w:left w:val="nil"/>
              <w:bottom w:val="nil"/>
              <w:right w:val="nil"/>
            </w:tcBorders>
            <w:shd w:val="clear" w:color="auto" w:fill="auto"/>
            <w:noWrap/>
            <w:vAlign w:val="center"/>
            <w:hideMark/>
          </w:tcPr>
          <w:p w14:paraId="48136EFE" w14:textId="77777777" w:rsidR="00BC5219" w:rsidRPr="000F5D5E" w:rsidRDefault="00BC5219" w:rsidP="00E83802">
            <w:pPr>
              <w:jc w:val="center"/>
              <w:rPr>
                <w:rFonts w:ascii="Meta Pro" w:eastAsia="Times New Roman" w:hAnsi="Meta Pro"/>
                <w:b/>
                <w:bCs/>
                <w:lang w:eastAsia="en-AU"/>
              </w:rPr>
            </w:pPr>
            <w:r w:rsidRPr="000F5D5E">
              <w:rPr>
                <w:rFonts w:ascii="Meta Pro" w:eastAsia="Times New Roman" w:hAnsi="Meta Pro"/>
                <w:b/>
                <w:bCs/>
                <w:lang w:eastAsia="en-AU"/>
              </w:rPr>
              <w:t>$'000</w:t>
            </w:r>
          </w:p>
        </w:tc>
        <w:tc>
          <w:tcPr>
            <w:tcW w:w="216" w:type="dxa"/>
            <w:tcBorders>
              <w:top w:val="nil"/>
              <w:left w:val="nil"/>
              <w:bottom w:val="nil"/>
              <w:right w:val="nil"/>
            </w:tcBorders>
            <w:shd w:val="clear" w:color="auto" w:fill="auto"/>
            <w:noWrap/>
            <w:vAlign w:val="center"/>
            <w:hideMark/>
          </w:tcPr>
          <w:p w14:paraId="2C95F1A6" w14:textId="77777777" w:rsidR="00BC5219" w:rsidRPr="000F5D5E" w:rsidRDefault="00BC5219" w:rsidP="00E83802">
            <w:pPr>
              <w:jc w:val="center"/>
              <w:rPr>
                <w:rFonts w:ascii="Meta Pro" w:eastAsia="Times New Roman" w:hAnsi="Meta Pro"/>
                <w:b/>
                <w:bCs/>
                <w:lang w:eastAsia="en-AU"/>
              </w:rPr>
            </w:pPr>
          </w:p>
        </w:tc>
        <w:tc>
          <w:tcPr>
            <w:tcW w:w="1156" w:type="dxa"/>
            <w:tcBorders>
              <w:top w:val="nil"/>
              <w:left w:val="nil"/>
              <w:bottom w:val="nil"/>
              <w:right w:val="nil"/>
            </w:tcBorders>
            <w:shd w:val="clear" w:color="auto" w:fill="auto"/>
            <w:noWrap/>
            <w:vAlign w:val="center"/>
            <w:hideMark/>
          </w:tcPr>
          <w:p w14:paraId="0F642BF3" w14:textId="77777777" w:rsidR="00BC5219" w:rsidRPr="000F5D5E" w:rsidRDefault="00BC5219" w:rsidP="00E83802">
            <w:pPr>
              <w:jc w:val="center"/>
              <w:rPr>
                <w:rFonts w:ascii="Meta Pro" w:eastAsia="Times New Roman" w:hAnsi="Meta Pro"/>
                <w:b/>
                <w:bCs/>
                <w:lang w:eastAsia="en-AU"/>
              </w:rPr>
            </w:pPr>
            <w:r w:rsidRPr="000F5D5E">
              <w:rPr>
                <w:rFonts w:ascii="Meta Pro" w:eastAsia="Times New Roman" w:hAnsi="Meta Pro"/>
                <w:b/>
                <w:bCs/>
                <w:lang w:eastAsia="en-AU"/>
              </w:rPr>
              <w:t>$'000</w:t>
            </w:r>
          </w:p>
        </w:tc>
      </w:tr>
      <w:tr w:rsidR="00BC5219" w:rsidRPr="000F5D5E" w14:paraId="123892CB" w14:textId="77777777" w:rsidTr="00E83802">
        <w:trPr>
          <w:trHeight w:val="240"/>
        </w:trPr>
        <w:tc>
          <w:tcPr>
            <w:tcW w:w="7711" w:type="dxa"/>
            <w:tcBorders>
              <w:top w:val="nil"/>
              <w:left w:val="nil"/>
              <w:bottom w:val="nil"/>
              <w:right w:val="nil"/>
            </w:tcBorders>
            <w:shd w:val="clear" w:color="auto" w:fill="auto"/>
            <w:noWrap/>
            <w:vAlign w:val="center"/>
            <w:hideMark/>
          </w:tcPr>
          <w:p w14:paraId="63D9939D" w14:textId="77777777" w:rsidR="00BC5219" w:rsidRPr="000F5D5E" w:rsidRDefault="00BC5219" w:rsidP="00E83802">
            <w:pPr>
              <w:rPr>
                <w:rFonts w:ascii="Meta Pro" w:eastAsia="Times New Roman" w:hAnsi="Meta Pro"/>
                <w:b/>
                <w:bCs/>
                <w:lang w:eastAsia="en-AU"/>
              </w:rPr>
            </w:pPr>
            <w:r w:rsidRPr="000F5D5E">
              <w:rPr>
                <w:rFonts w:ascii="Meta Pro" w:eastAsia="Times New Roman" w:hAnsi="Meta Pro"/>
                <w:b/>
                <w:bCs/>
                <w:lang w:eastAsia="en-AU"/>
              </w:rPr>
              <w:t>28     SCHEDULE OF ADMINISTERED ITEMS (continued)</w:t>
            </w:r>
          </w:p>
        </w:tc>
        <w:tc>
          <w:tcPr>
            <w:tcW w:w="1156" w:type="dxa"/>
            <w:tcBorders>
              <w:top w:val="nil"/>
              <w:left w:val="nil"/>
              <w:bottom w:val="nil"/>
              <w:right w:val="nil"/>
            </w:tcBorders>
            <w:shd w:val="clear" w:color="auto" w:fill="auto"/>
            <w:noWrap/>
            <w:vAlign w:val="center"/>
            <w:hideMark/>
          </w:tcPr>
          <w:p w14:paraId="2D00CDB8" w14:textId="77777777" w:rsidR="00BC5219" w:rsidRPr="000F5D5E" w:rsidRDefault="00BC5219" w:rsidP="00E83802">
            <w:pPr>
              <w:rPr>
                <w:rFonts w:ascii="Meta Pro" w:eastAsia="Times New Roman" w:hAnsi="Meta Pro"/>
                <w:b/>
                <w:bCs/>
                <w:lang w:eastAsia="en-AU"/>
              </w:rPr>
            </w:pPr>
          </w:p>
        </w:tc>
        <w:tc>
          <w:tcPr>
            <w:tcW w:w="216" w:type="dxa"/>
            <w:tcBorders>
              <w:top w:val="nil"/>
              <w:left w:val="nil"/>
              <w:bottom w:val="nil"/>
              <w:right w:val="nil"/>
            </w:tcBorders>
            <w:shd w:val="clear" w:color="auto" w:fill="auto"/>
            <w:noWrap/>
            <w:vAlign w:val="center"/>
            <w:hideMark/>
          </w:tcPr>
          <w:p w14:paraId="12E0E3F6" w14:textId="77777777" w:rsidR="00BC5219" w:rsidRPr="000F5D5E"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58961F38" w14:textId="77777777" w:rsidR="00BC5219" w:rsidRPr="000F5D5E" w:rsidRDefault="00BC5219" w:rsidP="00E83802">
            <w:pPr>
              <w:jc w:val="right"/>
              <w:rPr>
                <w:rFonts w:ascii="Times New Roman" w:eastAsia="Times New Roman" w:hAnsi="Times New Roman" w:cs="Times New Roman"/>
                <w:sz w:val="20"/>
                <w:szCs w:val="20"/>
                <w:lang w:eastAsia="en-AU"/>
              </w:rPr>
            </w:pPr>
          </w:p>
        </w:tc>
      </w:tr>
    </w:tbl>
    <w:p w14:paraId="1F643B5B" w14:textId="77777777" w:rsidR="00BC5219" w:rsidRDefault="00BC5219" w:rsidP="00BC5219">
      <w:pPr>
        <w:rPr>
          <w:rFonts w:asciiTheme="minorHAnsi" w:hAnsiTheme="minorHAnsi" w:cstheme="minorBidi"/>
        </w:rPr>
      </w:pPr>
    </w:p>
    <w:tbl>
      <w:tblPr>
        <w:tblW w:w="0" w:type="auto"/>
        <w:tblLayout w:type="fixed"/>
        <w:tblCellMar>
          <w:left w:w="0" w:type="dxa"/>
        </w:tblCellMar>
        <w:tblLook w:val="04A0" w:firstRow="1" w:lastRow="0" w:firstColumn="1" w:lastColumn="0" w:noHBand="0" w:noVBand="1"/>
      </w:tblPr>
      <w:tblGrid>
        <w:gridCol w:w="7711"/>
        <w:gridCol w:w="1156"/>
        <w:gridCol w:w="216"/>
        <w:gridCol w:w="1156"/>
      </w:tblGrid>
      <w:tr w:rsidR="00BC5219" w:rsidRPr="00532782" w14:paraId="69C53A35" w14:textId="77777777" w:rsidTr="00E83802">
        <w:trPr>
          <w:trHeight w:val="240"/>
        </w:trPr>
        <w:tc>
          <w:tcPr>
            <w:tcW w:w="7711" w:type="dxa"/>
            <w:tcBorders>
              <w:top w:val="nil"/>
              <w:left w:val="nil"/>
              <w:bottom w:val="nil"/>
              <w:right w:val="nil"/>
            </w:tcBorders>
            <w:shd w:val="clear" w:color="auto" w:fill="auto"/>
            <w:noWrap/>
            <w:vAlign w:val="center"/>
            <w:hideMark/>
          </w:tcPr>
          <w:p w14:paraId="6345E215" w14:textId="77777777" w:rsidR="00BC5219" w:rsidRPr="00532782" w:rsidRDefault="00BC5219" w:rsidP="00E83802">
            <w:pPr>
              <w:rPr>
                <w:rFonts w:ascii="Meta Pro" w:eastAsia="Times New Roman" w:hAnsi="Meta Pro"/>
                <w:b/>
                <w:bCs/>
                <w:szCs w:val="18"/>
                <w:lang w:eastAsia="en-AU"/>
              </w:rPr>
            </w:pPr>
            <w:r w:rsidRPr="00532782">
              <w:rPr>
                <w:rFonts w:ascii="Meta Pro" w:eastAsia="Times New Roman" w:hAnsi="Meta Pro"/>
                <w:b/>
                <w:bCs/>
                <w:szCs w:val="18"/>
                <w:lang w:eastAsia="en-AU"/>
              </w:rPr>
              <w:t>Administered equity</w:t>
            </w:r>
          </w:p>
        </w:tc>
        <w:tc>
          <w:tcPr>
            <w:tcW w:w="1156" w:type="dxa"/>
            <w:tcBorders>
              <w:top w:val="nil"/>
              <w:left w:val="nil"/>
              <w:bottom w:val="nil"/>
              <w:right w:val="nil"/>
            </w:tcBorders>
            <w:shd w:val="clear" w:color="auto" w:fill="auto"/>
            <w:noWrap/>
            <w:vAlign w:val="center"/>
            <w:hideMark/>
          </w:tcPr>
          <w:p w14:paraId="0AFF192C" w14:textId="77777777" w:rsidR="00BC5219" w:rsidRPr="00532782" w:rsidRDefault="00BC5219" w:rsidP="00E83802">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777562C8" w14:textId="77777777" w:rsidR="00BC5219" w:rsidRPr="00532782"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6D5B7C87" w14:textId="77777777" w:rsidR="00BC5219" w:rsidRPr="00532782" w:rsidRDefault="00BC5219" w:rsidP="00E83802">
            <w:pPr>
              <w:jc w:val="right"/>
              <w:rPr>
                <w:rFonts w:ascii="Times New Roman" w:eastAsia="Times New Roman" w:hAnsi="Times New Roman" w:cs="Times New Roman"/>
                <w:sz w:val="20"/>
                <w:szCs w:val="20"/>
                <w:lang w:eastAsia="en-AU"/>
              </w:rPr>
            </w:pPr>
          </w:p>
        </w:tc>
      </w:tr>
      <w:tr w:rsidR="00BC5219" w:rsidRPr="00532782" w14:paraId="66456BD9" w14:textId="77777777" w:rsidTr="00E83802">
        <w:trPr>
          <w:trHeight w:val="240"/>
        </w:trPr>
        <w:tc>
          <w:tcPr>
            <w:tcW w:w="7711" w:type="dxa"/>
            <w:tcBorders>
              <w:top w:val="nil"/>
              <w:left w:val="nil"/>
              <w:bottom w:val="nil"/>
              <w:right w:val="nil"/>
            </w:tcBorders>
            <w:shd w:val="clear" w:color="auto" w:fill="auto"/>
            <w:noWrap/>
            <w:vAlign w:val="center"/>
            <w:hideMark/>
          </w:tcPr>
          <w:p w14:paraId="4E56E423" w14:textId="77777777" w:rsidR="00BC5219" w:rsidRPr="00532782" w:rsidRDefault="00BC5219" w:rsidP="00E83802">
            <w:pPr>
              <w:rPr>
                <w:rFonts w:ascii="Meta Pro" w:eastAsia="Times New Roman" w:hAnsi="Meta Pro"/>
                <w:szCs w:val="18"/>
                <w:lang w:eastAsia="en-AU"/>
              </w:rPr>
            </w:pPr>
            <w:r w:rsidRPr="00532782">
              <w:rPr>
                <w:rFonts w:ascii="Meta Pro" w:eastAsia="Times New Roman" w:hAnsi="Meta Pro"/>
                <w:szCs w:val="18"/>
                <w:lang w:eastAsia="en-AU"/>
              </w:rPr>
              <w:t>Contributed equity</w:t>
            </w:r>
          </w:p>
        </w:tc>
        <w:tc>
          <w:tcPr>
            <w:tcW w:w="1156" w:type="dxa"/>
            <w:tcBorders>
              <w:top w:val="nil"/>
              <w:left w:val="nil"/>
              <w:bottom w:val="nil"/>
              <w:right w:val="nil"/>
            </w:tcBorders>
            <w:shd w:val="clear" w:color="000000" w:fill="C9E3B4"/>
            <w:noWrap/>
            <w:vAlign w:val="center"/>
            <w:hideMark/>
          </w:tcPr>
          <w:p w14:paraId="767AE73B" w14:textId="77777777" w:rsidR="00BC5219" w:rsidRPr="00532782" w:rsidRDefault="00BC5219" w:rsidP="00E83802">
            <w:pPr>
              <w:jc w:val="right"/>
              <w:rPr>
                <w:rFonts w:ascii="Meta Pro" w:eastAsia="Times New Roman" w:hAnsi="Meta Pro"/>
                <w:szCs w:val="18"/>
                <w:lang w:eastAsia="en-AU"/>
              </w:rPr>
            </w:pPr>
            <w:r w:rsidRPr="00532782">
              <w:rPr>
                <w:rFonts w:ascii="Meta Pro" w:eastAsia="Times New Roman" w:hAnsi="Meta Pro"/>
                <w:szCs w:val="18"/>
                <w:lang w:eastAsia="en-AU"/>
              </w:rPr>
              <w:t xml:space="preserve">3,648 </w:t>
            </w:r>
          </w:p>
        </w:tc>
        <w:tc>
          <w:tcPr>
            <w:tcW w:w="216" w:type="dxa"/>
            <w:tcBorders>
              <w:top w:val="nil"/>
              <w:left w:val="nil"/>
              <w:bottom w:val="nil"/>
              <w:right w:val="nil"/>
            </w:tcBorders>
            <w:shd w:val="clear" w:color="auto" w:fill="auto"/>
            <w:noWrap/>
            <w:vAlign w:val="center"/>
            <w:hideMark/>
          </w:tcPr>
          <w:p w14:paraId="6405BE70" w14:textId="77777777" w:rsidR="00BC5219" w:rsidRPr="00532782"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4B67C034" w14:textId="77777777" w:rsidR="00BC5219" w:rsidRPr="00532782" w:rsidRDefault="00BC5219" w:rsidP="00E83802">
            <w:pPr>
              <w:jc w:val="right"/>
              <w:rPr>
                <w:rFonts w:ascii="Meta Pro" w:eastAsia="Times New Roman" w:hAnsi="Meta Pro"/>
                <w:szCs w:val="18"/>
                <w:lang w:eastAsia="en-AU"/>
              </w:rPr>
            </w:pPr>
            <w:r w:rsidRPr="00532782">
              <w:rPr>
                <w:rFonts w:ascii="Meta Pro" w:eastAsia="Times New Roman" w:hAnsi="Meta Pro"/>
                <w:szCs w:val="18"/>
                <w:lang w:eastAsia="en-AU"/>
              </w:rPr>
              <w:t xml:space="preserve">9,939 </w:t>
            </w:r>
          </w:p>
        </w:tc>
      </w:tr>
      <w:tr w:rsidR="00BC5219" w:rsidRPr="00532782" w14:paraId="51A05E3D" w14:textId="77777777" w:rsidTr="00E83802">
        <w:trPr>
          <w:trHeight w:val="240"/>
        </w:trPr>
        <w:tc>
          <w:tcPr>
            <w:tcW w:w="7711" w:type="dxa"/>
            <w:tcBorders>
              <w:top w:val="nil"/>
              <w:left w:val="nil"/>
              <w:bottom w:val="nil"/>
              <w:right w:val="nil"/>
            </w:tcBorders>
            <w:shd w:val="clear" w:color="auto" w:fill="auto"/>
            <w:noWrap/>
            <w:vAlign w:val="center"/>
            <w:hideMark/>
          </w:tcPr>
          <w:p w14:paraId="10473F53" w14:textId="77777777" w:rsidR="00BC5219" w:rsidRPr="00532782" w:rsidRDefault="00BC5219" w:rsidP="00E83802">
            <w:pPr>
              <w:rPr>
                <w:rFonts w:ascii="Meta Pro" w:eastAsia="Times New Roman" w:hAnsi="Meta Pro"/>
                <w:szCs w:val="18"/>
                <w:lang w:eastAsia="en-AU"/>
              </w:rPr>
            </w:pPr>
            <w:r w:rsidRPr="00532782">
              <w:rPr>
                <w:rFonts w:ascii="Meta Pro" w:eastAsia="Times New Roman" w:hAnsi="Meta Pro"/>
                <w:szCs w:val="18"/>
                <w:lang w:eastAsia="en-AU"/>
              </w:rPr>
              <w:t>Accumulated deficit</w:t>
            </w:r>
          </w:p>
        </w:tc>
        <w:tc>
          <w:tcPr>
            <w:tcW w:w="1156" w:type="dxa"/>
            <w:tcBorders>
              <w:top w:val="nil"/>
              <w:left w:val="nil"/>
              <w:bottom w:val="nil"/>
              <w:right w:val="nil"/>
            </w:tcBorders>
            <w:shd w:val="clear" w:color="000000" w:fill="C9E3B4"/>
            <w:noWrap/>
            <w:vAlign w:val="center"/>
            <w:hideMark/>
          </w:tcPr>
          <w:p w14:paraId="1854FE50" w14:textId="77777777" w:rsidR="00BC5219" w:rsidRPr="00532782" w:rsidRDefault="00BC5219" w:rsidP="00E83802">
            <w:pPr>
              <w:jc w:val="right"/>
              <w:rPr>
                <w:rFonts w:ascii="Meta Pro" w:eastAsia="Times New Roman" w:hAnsi="Meta Pro"/>
                <w:szCs w:val="18"/>
                <w:lang w:eastAsia="en-AU"/>
              </w:rPr>
            </w:pPr>
            <w:r w:rsidRPr="00532782">
              <w:rPr>
                <w:rFonts w:ascii="Meta Pro" w:eastAsia="Times New Roman" w:hAnsi="Meta Pro"/>
                <w:szCs w:val="18"/>
                <w:lang w:eastAsia="en-AU"/>
              </w:rPr>
              <w:t>(76,460)</w:t>
            </w:r>
          </w:p>
        </w:tc>
        <w:tc>
          <w:tcPr>
            <w:tcW w:w="216" w:type="dxa"/>
            <w:tcBorders>
              <w:top w:val="nil"/>
              <w:left w:val="nil"/>
              <w:bottom w:val="nil"/>
              <w:right w:val="nil"/>
            </w:tcBorders>
            <w:shd w:val="clear" w:color="auto" w:fill="auto"/>
            <w:noWrap/>
            <w:vAlign w:val="center"/>
            <w:hideMark/>
          </w:tcPr>
          <w:p w14:paraId="0FAD0E85" w14:textId="77777777" w:rsidR="00BC5219" w:rsidRPr="00532782"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7D12B46B" w14:textId="77777777" w:rsidR="00BC5219" w:rsidRPr="00532782" w:rsidRDefault="00BC5219" w:rsidP="00E83802">
            <w:pPr>
              <w:jc w:val="right"/>
              <w:rPr>
                <w:rFonts w:ascii="Meta Pro" w:eastAsia="Times New Roman" w:hAnsi="Meta Pro"/>
                <w:szCs w:val="18"/>
                <w:lang w:eastAsia="en-AU"/>
              </w:rPr>
            </w:pPr>
            <w:r w:rsidRPr="00532782">
              <w:rPr>
                <w:rFonts w:ascii="Meta Pro" w:eastAsia="Times New Roman" w:hAnsi="Meta Pro"/>
                <w:szCs w:val="18"/>
                <w:lang w:eastAsia="en-AU"/>
              </w:rPr>
              <w:t>(75,868)</w:t>
            </w:r>
          </w:p>
        </w:tc>
      </w:tr>
      <w:tr w:rsidR="00BC5219" w:rsidRPr="00532782" w14:paraId="3C6DFBA3" w14:textId="77777777" w:rsidTr="00E83802">
        <w:trPr>
          <w:trHeight w:val="240"/>
        </w:trPr>
        <w:tc>
          <w:tcPr>
            <w:tcW w:w="7711" w:type="dxa"/>
            <w:tcBorders>
              <w:top w:val="nil"/>
              <w:left w:val="nil"/>
              <w:bottom w:val="nil"/>
              <w:right w:val="nil"/>
            </w:tcBorders>
            <w:shd w:val="clear" w:color="auto" w:fill="auto"/>
            <w:noWrap/>
            <w:vAlign w:val="center"/>
            <w:hideMark/>
          </w:tcPr>
          <w:p w14:paraId="104C1D42" w14:textId="77777777" w:rsidR="00BC5219" w:rsidRPr="00532782" w:rsidRDefault="00BC5219" w:rsidP="00E83802">
            <w:pPr>
              <w:rPr>
                <w:rFonts w:ascii="Meta Pro" w:eastAsia="Times New Roman" w:hAnsi="Meta Pro"/>
                <w:szCs w:val="18"/>
                <w:lang w:eastAsia="en-AU"/>
              </w:rPr>
            </w:pPr>
            <w:r w:rsidRPr="00532782">
              <w:rPr>
                <w:rFonts w:ascii="Meta Pro" w:eastAsia="Times New Roman" w:hAnsi="Meta Pro"/>
                <w:szCs w:val="18"/>
                <w:lang w:eastAsia="en-AU"/>
              </w:rPr>
              <w:t>Asset revaluation surplus</w:t>
            </w:r>
          </w:p>
        </w:tc>
        <w:tc>
          <w:tcPr>
            <w:tcW w:w="1156" w:type="dxa"/>
            <w:tcBorders>
              <w:top w:val="nil"/>
              <w:left w:val="nil"/>
              <w:bottom w:val="nil"/>
              <w:right w:val="nil"/>
            </w:tcBorders>
            <w:shd w:val="clear" w:color="000000" w:fill="C9E3B4"/>
            <w:noWrap/>
            <w:vAlign w:val="center"/>
            <w:hideMark/>
          </w:tcPr>
          <w:p w14:paraId="530B314F" w14:textId="77777777" w:rsidR="00BC5219" w:rsidRPr="00532782" w:rsidRDefault="00BC5219" w:rsidP="00E83802">
            <w:pPr>
              <w:jc w:val="right"/>
              <w:rPr>
                <w:rFonts w:ascii="Meta Pro" w:eastAsia="Times New Roman" w:hAnsi="Meta Pro"/>
                <w:szCs w:val="18"/>
                <w:lang w:eastAsia="en-AU"/>
              </w:rPr>
            </w:pPr>
            <w:r w:rsidRPr="00532782">
              <w:rPr>
                <w:rFonts w:ascii="Meta Pro" w:eastAsia="Times New Roman" w:hAnsi="Meta Pro"/>
                <w:szCs w:val="18"/>
                <w:lang w:eastAsia="en-AU"/>
              </w:rPr>
              <w:t xml:space="preserve">211,075 </w:t>
            </w:r>
          </w:p>
        </w:tc>
        <w:tc>
          <w:tcPr>
            <w:tcW w:w="216" w:type="dxa"/>
            <w:tcBorders>
              <w:top w:val="nil"/>
              <w:left w:val="nil"/>
              <w:bottom w:val="nil"/>
              <w:right w:val="nil"/>
            </w:tcBorders>
            <w:shd w:val="clear" w:color="auto" w:fill="auto"/>
            <w:noWrap/>
            <w:vAlign w:val="center"/>
            <w:hideMark/>
          </w:tcPr>
          <w:p w14:paraId="6F6F96B6" w14:textId="77777777" w:rsidR="00BC5219" w:rsidRPr="00532782"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26F5BD5A" w14:textId="77777777" w:rsidR="00BC5219" w:rsidRPr="00532782" w:rsidRDefault="00BC5219" w:rsidP="00E83802">
            <w:pPr>
              <w:jc w:val="right"/>
              <w:rPr>
                <w:rFonts w:ascii="Meta Pro" w:eastAsia="Times New Roman" w:hAnsi="Meta Pro"/>
                <w:szCs w:val="18"/>
                <w:lang w:eastAsia="en-AU"/>
              </w:rPr>
            </w:pPr>
            <w:r w:rsidRPr="00532782">
              <w:rPr>
                <w:rFonts w:ascii="Meta Pro" w:eastAsia="Times New Roman" w:hAnsi="Meta Pro"/>
                <w:szCs w:val="18"/>
                <w:lang w:eastAsia="en-AU"/>
              </w:rPr>
              <w:t xml:space="preserve">189,442 </w:t>
            </w:r>
          </w:p>
        </w:tc>
      </w:tr>
      <w:tr w:rsidR="00BC5219" w:rsidRPr="00532782" w14:paraId="5A328BB3" w14:textId="77777777" w:rsidTr="00E83802">
        <w:trPr>
          <w:trHeight w:val="240"/>
        </w:trPr>
        <w:tc>
          <w:tcPr>
            <w:tcW w:w="7711" w:type="dxa"/>
            <w:tcBorders>
              <w:top w:val="single" w:sz="4" w:space="0" w:color="auto"/>
              <w:left w:val="nil"/>
              <w:bottom w:val="double" w:sz="6" w:space="0" w:color="auto"/>
              <w:right w:val="nil"/>
            </w:tcBorders>
            <w:shd w:val="clear" w:color="auto" w:fill="auto"/>
            <w:noWrap/>
            <w:vAlign w:val="center"/>
            <w:hideMark/>
          </w:tcPr>
          <w:p w14:paraId="625B832A" w14:textId="77777777" w:rsidR="00BC5219" w:rsidRPr="00532782" w:rsidRDefault="00BC5219" w:rsidP="00E83802">
            <w:pPr>
              <w:rPr>
                <w:rFonts w:ascii="Meta Pro" w:eastAsia="Times New Roman" w:hAnsi="Meta Pro"/>
                <w:b/>
                <w:bCs/>
                <w:szCs w:val="18"/>
                <w:lang w:eastAsia="en-AU"/>
              </w:rPr>
            </w:pPr>
            <w:r w:rsidRPr="00532782">
              <w:rPr>
                <w:rFonts w:ascii="Meta Pro" w:eastAsia="Times New Roman" w:hAnsi="Meta Pro"/>
                <w:b/>
                <w:bCs/>
                <w:szCs w:val="18"/>
                <w:lang w:eastAsia="en-AU"/>
              </w:rPr>
              <w:t>TOTAL ADMINISTERED EQUITY</w:t>
            </w:r>
          </w:p>
        </w:tc>
        <w:tc>
          <w:tcPr>
            <w:tcW w:w="1156" w:type="dxa"/>
            <w:tcBorders>
              <w:top w:val="single" w:sz="4" w:space="0" w:color="auto"/>
              <w:left w:val="nil"/>
              <w:bottom w:val="double" w:sz="6" w:space="0" w:color="auto"/>
              <w:right w:val="nil"/>
            </w:tcBorders>
            <w:shd w:val="clear" w:color="000000" w:fill="C9E3B4"/>
            <w:noWrap/>
            <w:vAlign w:val="center"/>
            <w:hideMark/>
          </w:tcPr>
          <w:p w14:paraId="6BC3D220" w14:textId="77777777" w:rsidR="00BC5219" w:rsidRPr="00532782" w:rsidRDefault="00BC5219" w:rsidP="00E83802">
            <w:pPr>
              <w:jc w:val="right"/>
              <w:rPr>
                <w:rFonts w:ascii="Meta Pro" w:eastAsia="Times New Roman" w:hAnsi="Meta Pro"/>
                <w:b/>
                <w:bCs/>
                <w:szCs w:val="18"/>
                <w:lang w:eastAsia="en-AU"/>
              </w:rPr>
            </w:pPr>
            <w:r w:rsidRPr="00532782">
              <w:rPr>
                <w:rFonts w:ascii="Meta Pro" w:eastAsia="Times New Roman" w:hAnsi="Meta Pro"/>
                <w:b/>
                <w:bCs/>
                <w:szCs w:val="18"/>
                <w:lang w:eastAsia="en-AU"/>
              </w:rPr>
              <w:t xml:space="preserve">138,263 </w:t>
            </w:r>
          </w:p>
        </w:tc>
        <w:tc>
          <w:tcPr>
            <w:tcW w:w="216" w:type="dxa"/>
            <w:tcBorders>
              <w:top w:val="single" w:sz="4" w:space="0" w:color="auto"/>
              <w:left w:val="nil"/>
              <w:bottom w:val="double" w:sz="6" w:space="0" w:color="auto"/>
              <w:right w:val="nil"/>
            </w:tcBorders>
            <w:shd w:val="clear" w:color="auto" w:fill="auto"/>
            <w:noWrap/>
            <w:vAlign w:val="center"/>
            <w:hideMark/>
          </w:tcPr>
          <w:p w14:paraId="5260F6BB" w14:textId="77777777" w:rsidR="00BC5219" w:rsidRPr="00532782" w:rsidRDefault="00BC5219" w:rsidP="00E83802">
            <w:pPr>
              <w:rPr>
                <w:rFonts w:ascii="Meta Pro" w:eastAsia="Times New Roman" w:hAnsi="Meta Pro"/>
                <w:b/>
                <w:bCs/>
                <w:szCs w:val="18"/>
                <w:lang w:eastAsia="en-AU"/>
              </w:rPr>
            </w:pPr>
            <w:r w:rsidRPr="00532782">
              <w:rPr>
                <w:rFonts w:ascii="Meta Pro" w:eastAsia="Times New Roman" w:hAnsi="Meta Pro"/>
                <w:b/>
                <w:bCs/>
                <w:szCs w:val="18"/>
                <w:lang w:eastAsia="en-AU"/>
              </w:rPr>
              <w:t> </w:t>
            </w:r>
          </w:p>
        </w:tc>
        <w:tc>
          <w:tcPr>
            <w:tcW w:w="1156" w:type="dxa"/>
            <w:tcBorders>
              <w:top w:val="single" w:sz="4" w:space="0" w:color="auto"/>
              <w:left w:val="nil"/>
              <w:bottom w:val="double" w:sz="6" w:space="0" w:color="auto"/>
              <w:right w:val="nil"/>
            </w:tcBorders>
            <w:shd w:val="clear" w:color="auto" w:fill="auto"/>
            <w:noWrap/>
            <w:vAlign w:val="center"/>
            <w:hideMark/>
          </w:tcPr>
          <w:p w14:paraId="6CE64D5B" w14:textId="77777777" w:rsidR="00BC5219" w:rsidRPr="00532782" w:rsidRDefault="00BC5219" w:rsidP="00E83802">
            <w:pPr>
              <w:jc w:val="right"/>
              <w:rPr>
                <w:rFonts w:ascii="Meta Pro" w:eastAsia="Times New Roman" w:hAnsi="Meta Pro"/>
                <w:b/>
                <w:bCs/>
                <w:szCs w:val="18"/>
                <w:lang w:eastAsia="en-AU"/>
              </w:rPr>
            </w:pPr>
            <w:r w:rsidRPr="00532782">
              <w:rPr>
                <w:rFonts w:ascii="Meta Pro" w:eastAsia="Times New Roman" w:hAnsi="Meta Pro"/>
                <w:b/>
                <w:bCs/>
                <w:szCs w:val="18"/>
                <w:lang w:eastAsia="en-AU"/>
              </w:rPr>
              <w:t xml:space="preserve">123,513 </w:t>
            </w:r>
          </w:p>
        </w:tc>
      </w:tr>
    </w:tbl>
    <w:p w14:paraId="602644BE" w14:textId="77777777" w:rsidR="00BC5219" w:rsidRDefault="00BC5219" w:rsidP="00BC5219">
      <w:pPr>
        <w:spacing w:before="120"/>
        <w:rPr>
          <w:rFonts w:ascii="Meta Pro" w:hAnsi="Meta Pro"/>
          <w:sz w:val="16"/>
          <w:szCs w:val="16"/>
          <w:lang w:eastAsia="en-AU"/>
        </w:rPr>
      </w:pPr>
      <w:r w:rsidRPr="008A2B8F">
        <w:rPr>
          <w:rFonts w:ascii="Meta Pro" w:hAnsi="Meta Pro"/>
          <w:sz w:val="16"/>
          <w:szCs w:val="16"/>
          <w:lang w:eastAsia="en-AU"/>
        </w:rPr>
        <w:t xml:space="preserve">* </w:t>
      </w:r>
      <w:r>
        <w:rPr>
          <w:rStyle w:val="ui-provider"/>
        </w:rPr>
        <w:t xml:space="preserve">Represents </w:t>
      </w:r>
      <w:r w:rsidRPr="001F1262">
        <w:rPr>
          <w:rStyle w:val="ui-provider"/>
        </w:rPr>
        <w:t>$197.033m of payables in 2023 (2022: $127.101m) relating to grant funding for the Cross River Rail Delivery Authority.</w:t>
      </w:r>
      <w:r>
        <w:rPr>
          <w:rFonts w:ascii="Meta Pro" w:hAnsi="Meta Pro"/>
          <w:sz w:val="16"/>
          <w:szCs w:val="16"/>
          <w:lang w:eastAsia="en-AU"/>
        </w:rPr>
        <w:t xml:space="preserve"> The comparative </w:t>
      </w:r>
    </w:p>
    <w:p w14:paraId="37280A63" w14:textId="77777777" w:rsidR="00BC5219" w:rsidRDefault="00BC5219" w:rsidP="00BC5219">
      <w:r>
        <w:rPr>
          <w:rFonts w:ascii="Meta Pro" w:hAnsi="Meta Pro"/>
          <w:sz w:val="16"/>
          <w:szCs w:val="16"/>
          <w:lang w:eastAsia="en-AU"/>
        </w:rPr>
        <w:t xml:space="preserve">   amount including the receivable from government has been restated from current to non-current.</w:t>
      </w:r>
    </w:p>
    <w:p w14:paraId="162337E2" w14:textId="77777777" w:rsidR="00BC5219" w:rsidRDefault="00BC5219" w:rsidP="00BC5219">
      <w:pPr>
        <w:rPr>
          <w:rFonts w:asciiTheme="minorHAnsi" w:hAnsiTheme="minorHAnsi" w:cstheme="minorBidi"/>
        </w:rPr>
      </w:pPr>
    </w:p>
    <w:tbl>
      <w:tblPr>
        <w:tblW w:w="0" w:type="auto"/>
        <w:tblLayout w:type="fixed"/>
        <w:tblCellMar>
          <w:left w:w="0" w:type="dxa"/>
        </w:tblCellMar>
        <w:tblLook w:val="04A0" w:firstRow="1" w:lastRow="0" w:firstColumn="1" w:lastColumn="0" w:noHBand="0" w:noVBand="1"/>
      </w:tblPr>
      <w:tblGrid>
        <w:gridCol w:w="7711"/>
        <w:gridCol w:w="1156"/>
        <w:gridCol w:w="216"/>
        <w:gridCol w:w="1156"/>
      </w:tblGrid>
      <w:tr w:rsidR="00BC5219" w:rsidRPr="00532782" w14:paraId="59EF8B29" w14:textId="77777777" w:rsidTr="00E83802">
        <w:trPr>
          <w:trHeight w:val="240"/>
        </w:trPr>
        <w:tc>
          <w:tcPr>
            <w:tcW w:w="7711" w:type="dxa"/>
            <w:tcBorders>
              <w:top w:val="nil"/>
              <w:left w:val="nil"/>
              <w:bottom w:val="nil"/>
              <w:right w:val="nil"/>
            </w:tcBorders>
            <w:shd w:val="clear" w:color="auto" w:fill="auto"/>
            <w:noWrap/>
            <w:vAlign w:val="center"/>
            <w:hideMark/>
          </w:tcPr>
          <w:p w14:paraId="60238A41" w14:textId="77777777" w:rsidR="00BC5219" w:rsidRPr="00532782" w:rsidRDefault="00BC5219" w:rsidP="00E83802">
            <w:pPr>
              <w:rPr>
                <w:rFonts w:ascii="Meta Pro" w:eastAsia="Times New Roman" w:hAnsi="Meta Pro"/>
                <w:b/>
                <w:bCs/>
                <w:lang w:eastAsia="en-AU"/>
              </w:rPr>
            </w:pPr>
            <w:r w:rsidRPr="00532782">
              <w:rPr>
                <w:rFonts w:ascii="Meta Pro" w:eastAsia="Times New Roman" w:hAnsi="Meta Pro"/>
                <w:b/>
                <w:bCs/>
                <w:lang w:eastAsia="en-AU"/>
              </w:rPr>
              <w:t>29     ADMINISTERED APPROPRIATIONS</w:t>
            </w:r>
          </w:p>
        </w:tc>
        <w:tc>
          <w:tcPr>
            <w:tcW w:w="1156" w:type="dxa"/>
            <w:tcBorders>
              <w:top w:val="nil"/>
              <w:left w:val="nil"/>
              <w:bottom w:val="nil"/>
              <w:right w:val="nil"/>
            </w:tcBorders>
            <w:shd w:val="clear" w:color="auto" w:fill="auto"/>
            <w:noWrap/>
            <w:vAlign w:val="center"/>
            <w:hideMark/>
          </w:tcPr>
          <w:p w14:paraId="4E7BBF72" w14:textId="77777777" w:rsidR="00BC5219" w:rsidRPr="00532782" w:rsidRDefault="00BC5219" w:rsidP="00E83802">
            <w:pPr>
              <w:rPr>
                <w:rFonts w:ascii="Meta Pro" w:eastAsia="Times New Roman" w:hAnsi="Meta Pro"/>
                <w:b/>
                <w:bCs/>
                <w:lang w:eastAsia="en-AU"/>
              </w:rPr>
            </w:pPr>
          </w:p>
        </w:tc>
        <w:tc>
          <w:tcPr>
            <w:tcW w:w="216" w:type="dxa"/>
            <w:tcBorders>
              <w:top w:val="nil"/>
              <w:left w:val="nil"/>
              <w:bottom w:val="nil"/>
              <w:right w:val="nil"/>
            </w:tcBorders>
            <w:shd w:val="clear" w:color="auto" w:fill="auto"/>
            <w:noWrap/>
            <w:vAlign w:val="center"/>
            <w:hideMark/>
          </w:tcPr>
          <w:p w14:paraId="7C6C5E77" w14:textId="77777777" w:rsidR="00BC5219" w:rsidRPr="00532782"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6470E434" w14:textId="77777777" w:rsidR="00BC5219" w:rsidRPr="00532782" w:rsidRDefault="00BC5219" w:rsidP="00E83802">
            <w:pPr>
              <w:jc w:val="right"/>
              <w:rPr>
                <w:rFonts w:ascii="Times New Roman" w:eastAsia="Times New Roman" w:hAnsi="Times New Roman" w:cs="Times New Roman"/>
                <w:sz w:val="20"/>
                <w:szCs w:val="20"/>
                <w:lang w:eastAsia="en-AU"/>
              </w:rPr>
            </w:pPr>
          </w:p>
        </w:tc>
      </w:tr>
      <w:tr w:rsidR="00BC5219" w:rsidRPr="00532782" w14:paraId="191C18DB" w14:textId="77777777" w:rsidTr="00E83802">
        <w:trPr>
          <w:trHeight w:val="90"/>
        </w:trPr>
        <w:tc>
          <w:tcPr>
            <w:tcW w:w="7711" w:type="dxa"/>
            <w:tcBorders>
              <w:top w:val="nil"/>
              <w:left w:val="nil"/>
              <w:bottom w:val="nil"/>
              <w:right w:val="nil"/>
            </w:tcBorders>
            <w:shd w:val="clear" w:color="auto" w:fill="auto"/>
            <w:noWrap/>
            <w:vAlign w:val="center"/>
            <w:hideMark/>
          </w:tcPr>
          <w:p w14:paraId="55BA8FCA" w14:textId="77777777" w:rsidR="00BC5219" w:rsidRPr="00532782"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712B27CC" w14:textId="77777777" w:rsidR="00BC5219" w:rsidRPr="00532782" w:rsidRDefault="00BC5219" w:rsidP="00E83802">
            <w:pPr>
              <w:rPr>
                <w:rFonts w:ascii="Times New Roman" w:eastAsia="Times New Roman" w:hAnsi="Times New Roman"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1FA2C123" w14:textId="77777777" w:rsidR="00BC5219" w:rsidRPr="00532782"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41D8114A" w14:textId="77777777" w:rsidR="00BC5219" w:rsidRPr="00532782" w:rsidRDefault="00BC5219" w:rsidP="00E83802">
            <w:pPr>
              <w:jc w:val="right"/>
              <w:rPr>
                <w:rFonts w:ascii="Times New Roman" w:eastAsia="Times New Roman" w:hAnsi="Times New Roman" w:cs="Times New Roman"/>
                <w:sz w:val="20"/>
                <w:szCs w:val="20"/>
                <w:lang w:eastAsia="en-AU"/>
              </w:rPr>
            </w:pPr>
          </w:p>
        </w:tc>
      </w:tr>
      <w:tr w:rsidR="00BC5219" w:rsidRPr="00532782" w14:paraId="0CFE585C" w14:textId="77777777" w:rsidTr="00E83802">
        <w:trPr>
          <w:trHeight w:val="240"/>
        </w:trPr>
        <w:tc>
          <w:tcPr>
            <w:tcW w:w="7711" w:type="dxa"/>
            <w:tcBorders>
              <w:top w:val="nil"/>
              <w:left w:val="nil"/>
              <w:bottom w:val="nil"/>
              <w:right w:val="nil"/>
            </w:tcBorders>
            <w:shd w:val="clear" w:color="auto" w:fill="auto"/>
            <w:noWrap/>
            <w:vAlign w:val="center"/>
            <w:hideMark/>
          </w:tcPr>
          <w:p w14:paraId="65F23C48" w14:textId="77777777" w:rsidR="00BC5219" w:rsidRPr="00532782" w:rsidRDefault="00BC5219" w:rsidP="00E83802">
            <w:pPr>
              <w:rPr>
                <w:rFonts w:ascii="Meta Pro" w:eastAsia="Times New Roman" w:hAnsi="Meta Pro"/>
                <w:b/>
                <w:bCs/>
                <w:szCs w:val="18"/>
                <w:lang w:eastAsia="en-AU"/>
              </w:rPr>
            </w:pPr>
            <w:r w:rsidRPr="00532782">
              <w:rPr>
                <w:rFonts w:ascii="Meta Pro" w:eastAsia="Times New Roman" w:hAnsi="Meta Pro"/>
                <w:b/>
                <w:bCs/>
                <w:szCs w:val="18"/>
                <w:lang w:eastAsia="en-AU"/>
              </w:rPr>
              <w:t>Reconciliation of payments from Consolidated Fund to administered income</w:t>
            </w:r>
          </w:p>
        </w:tc>
        <w:tc>
          <w:tcPr>
            <w:tcW w:w="1156" w:type="dxa"/>
            <w:tcBorders>
              <w:top w:val="nil"/>
              <w:left w:val="nil"/>
              <w:bottom w:val="nil"/>
              <w:right w:val="nil"/>
            </w:tcBorders>
            <w:shd w:val="clear" w:color="auto" w:fill="auto"/>
            <w:noWrap/>
            <w:vAlign w:val="center"/>
            <w:hideMark/>
          </w:tcPr>
          <w:p w14:paraId="18FF953D" w14:textId="77777777" w:rsidR="00BC5219" w:rsidRPr="00532782" w:rsidRDefault="00BC5219" w:rsidP="00E83802">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200CFB09" w14:textId="77777777" w:rsidR="00BC5219" w:rsidRPr="00532782"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2D0752C0" w14:textId="77777777" w:rsidR="00BC5219" w:rsidRPr="00532782" w:rsidRDefault="00BC5219" w:rsidP="00E83802">
            <w:pPr>
              <w:jc w:val="right"/>
              <w:rPr>
                <w:rFonts w:ascii="Times New Roman" w:eastAsia="Times New Roman" w:hAnsi="Times New Roman" w:cs="Times New Roman"/>
                <w:sz w:val="20"/>
                <w:szCs w:val="20"/>
                <w:lang w:eastAsia="en-AU"/>
              </w:rPr>
            </w:pPr>
          </w:p>
        </w:tc>
      </w:tr>
      <w:tr w:rsidR="00BC5219" w:rsidRPr="00532782" w14:paraId="4A307D64" w14:textId="77777777" w:rsidTr="00E83802">
        <w:trPr>
          <w:trHeight w:val="240"/>
        </w:trPr>
        <w:tc>
          <w:tcPr>
            <w:tcW w:w="7711" w:type="dxa"/>
            <w:tcBorders>
              <w:top w:val="nil"/>
              <w:left w:val="nil"/>
              <w:bottom w:val="nil"/>
              <w:right w:val="nil"/>
            </w:tcBorders>
            <w:shd w:val="clear" w:color="auto" w:fill="auto"/>
            <w:noWrap/>
            <w:vAlign w:val="center"/>
            <w:hideMark/>
          </w:tcPr>
          <w:p w14:paraId="14907546" w14:textId="77777777" w:rsidR="00BC5219" w:rsidRPr="00532782" w:rsidRDefault="00BC5219" w:rsidP="00E83802">
            <w:pPr>
              <w:rPr>
                <w:rFonts w:ascii="Meta Pro" w:eastAsia="Times New Roman" w:hAnsi="Meta Pro"/>
                <w:szCs w:val="18"/>
                <w:lang w:eastAsia="en-AU"/>
              </w:rPr>
            </w:pPr>
            <w:r w:rsidRPr="00532782">
              <w:rPr>
                <w:rFonts w:ascii="Meta Pro" w:eastAsia="Times New Roman" w:hAnsi="Meta Pro"/>
                <w:szCs w:val="18"/>
                <w:lang w:eastAsia="en-AU"/>
              </w:rPr>
              <w:t>Budgeted administered appropriation revenue</w:t>
            </w:r>
          </w:p>
        </w:tc>
        <w:tc>
          <w:tcPr>
            <w:tcW w:w="1156" w:type="dxa"/>
            <w:tcBorders>
              <w:top w:val="nil"/>
              <w:left w:val="nil"/>
              <w:bottom w:val="nil"/>
              <w:right w:val="nil"/>
            </w:tcBorders>
            <w:shd w:val="clear" w:color="000000" w:fill="C9E3B4"/>
            <w:noWrap/>
            <w:vAlign w:val="center"/>
            <w:hideMark/>
          </w:tcPr>
          <w:p w14:paraId="04EFCC95" w14:textId="77777777" w:rsidR="00BC5219" w:rsidRPr="00532782" w:rsidRDefault="00BC5219" w:rsidP="00E83802">
            <w:pPr>
              <w:jc w:val="right"/>
              <w:rPr>
                <w:rFonts w:ascii="Meta Pro" w:eastAsia="Times New Roman" w:hAnsi="Meta Pro"/>
                <w:szCs w:val="18"/>
                <w:lang w:eastAsia="en-AU"/>
              </w:rPr>
            </w:pPr>
            <w:r w:rsidRPr="00532782">
              <w:rPr>
                <w:rFonts w:ascii="Meta Pro" w:eastAsia="Times New Roman" w:hAnsi="Meta Pro"/>
                <w:szCs w:val="18"/>
                <w:lang w:eastAsia="en-AU"/>
              </w:rPr>
              <w:t xml:space="preserve">111,437 </w:t>
            </w:r>
          </w:p>
        </w:tc>
        <w:tc>
          <w:tcPr>
            <w:tcW w:w="216" w:type="dxa"/>
            <w:tcBorders>
              <w:top w:val="nil"/>
              <w:left w:val="nil"/>
              <w:bottom w:val="nil"/>
              <w:right w:val="nil"/>
            </w:tcBorders>
            <w:shd w:val="clear" w:color="auto" w:fill="auto"/>
            <w:noWrap/>
            <w:vAlign w:val="center"/>
            <w:hideMark/>
          </w:tcPr>
          <w:p w14:paraId="7E8834E9" w14:textId="77777777" w:rsidR="00BC5219" w:rsidRPr="00532782"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4A62C51B" w14:textId="77777777" w:rsidR="00BC5219" w:rsidRPr="00532782" w:rsidRDefault="00BC5219" w:rsidP="00E83802">
            <w:pPr>
              <w:jc w:val="right"/>
              <w:rPr>
                <w:rFonts w:ascii="Meta Pro" w:eastAsia="Times New Roman" w:hAnsi="Meta Pro"/>
                <w:szCs w:val="18"/>
                <w:lang w:eastAsia="en-AU"/>
              </w:rPr>
            </w:pPr>
            <w:r w:rsidRPr="00532782">
              <w:rPr>
                <w:rFonts w:ascii="Meta Pro" w:eastAsia="Times New Roman" w:hAnsi="Meta Pro"/>
                <w:szCs w:val="18"/>
                <w:lang w:eastAsia="en-AU"/>
              </w:rPr>
              <w:t xml:space="preserve">44,930 </w:t>
            </w:r>
          </w:p>
        </w:tc>
      </w:tr>
      <w:tr w:rsidR="00BC5219" w:rsidRPr="00532782" w14:paraId="62233A43" w14:textId="77777777" w:rsidTr="00E83802">
        <w:trPr>
          <w:trHeight w:val="240"/>
        </w:trPr>
        <w:tc>
          <w:tcPr>
            <w:tcW w:w="7711" w:type="dxa"/>
            <w:tcBorders>
              <w:top w:val="nil"/>
              <w:left w:val="nil"/>
              <w:bottom w:val="single" w:sz="4" w:space="0" w:color="auto"/>
              <w:right w:val="nil"/>
            </w:tcBorders>
            <w:shd w:val="clear" w:color="auto" w:fill="auto"/>
            <w:noWrap/>
            <w:vAlign w:val="center"/>
            <w:hideMark/>
          </w:tcPr>
          <w:p w14:paraId="41474456" w14:textId="77777777" w:rsidR="00BC5219" w:rsidRPr="00532782" w:rsidRDefault="00BC5219" w:rsidP="00E83802">
            <w:pPr>
              <w:rPr>
                <w:rFonts w:ascii="Meta Pro" w:eastAsia="Times New Roman" w:hAnsi="Meta Pro"/>
                <w:szCs w:val="18"/>
                <w:lang w:eastAsia="en-AU"/>
              </w:rPr>
            </w:pPr>
            <w:r w:rsidRPr="00532782">
              <w:rPr>
                <w:rFonts w:ascii="Meta Pro" w:eastAsia="Times New Roman" w:hAnsi="Meta Pro"/>
                <w:szCs w:val="18"/>
                <w:lang w:eastAsia="en-AU"/>
              </w:rPr>
              <w:t>Transfers to other headings</w:t>
            </w:r>
          </w:p>
        </w:tc>
        <w:tc>
          <w:tcPr>
            <w:tcW w:w="1156" w:type="dxa"/>
            <w:tcBorders>
              <w:top w:val="nil"/>
              <w:left w:val="nil"/>
              <w:bottom w:val="single" w:sz="4" w:space="0" w:color="auto"/>
              <w:right w:val="nil"/>
            </w:tcBorders>
            <w:shd w:val="clear" w:color="000000" w:fill="C9E3B4"/>
            <w:noWrap/>
            <w:vAlign w:val="center"/>
            <w:hideMark/>
          </w:tcPr>
          <w:p w14:paraId="66157D5E" w14:textId="77777777" w:rsidR="00BC5219" w:rsidRPr="00532782" w:rsidRDefault="00BC5219" w:rsidP="00E83802">
            <w:pPr>
              <w:jc w:val="right"/>
              <w:rPr>
                <w:rFonts w:ascii="Meta Pro" w:eastAsia="Times New Roman" w:hAnsi="Meta Pro"/>
                <w:szCs w:val="18"/>
                <w:lang w:eastAsia="en-AU"/>
              </w:rPr>
            </w:pPr>
            <w:r w:rsidRPr="00532782">
              <w:rPr>
                <w:rFonts w:ascii="Meta Pro" w:eastAsia="Times New Roman" w:hAnsi="Meta Pro"/>
                <w:szCs w:val="18"/>
                <w:lang w:eastAsia="en-AU"/>
              </w:rPr>
              <w:t>(99,844)</w:t>
            </w:r>
          </w:p>
        </w:tc>
        <w:tc>
          <w:tcPr>
            <w:tcW w:w="216" w:type="dxa"/>
            <w:tcBorders>
              <w:top w:val="nil"/>
              <w:left w:val="nil"/>
              <w:bottom w:val="single" w:sz="4" w:space="0" w:color="auto"/>
              <w:right w:val="nil"/>
            </w:tcBorders>
            <w:shd w:val="clear" w:color="auto" w:fill="auto"/>
            <w:noWrap/>
            <w:vAlign w:val="center"/>
            <w:hideMark/>
          </w:tcPr>
          <w:p w14:paraId="61776F17" w14:textId="77777777" w:rsidR="00BC5219" w:rsidRPr="00532782" w:rsidRDefault="00BC5219" w:rsidP="00E83802">
            <w:pPr>
              <w:jc w:val="right"/>
              <w:rPr>
                <w:rFonts w:ascii="Meta Pro" w:eastAsia="Times New Roman" w:hAnsi="Meta Pro"/>
                <w:b/>
                <w:bCs/>
                <w:szCs w:val="18"/>
                <w:lang w:eastAsia="en-AU"/>
              </w:rPr>
            </w:pPr>
            <w:r w:rsidRPr="00532782">
              <w:rPr>
                <w:rFonts w:ascii="Meta Pro" w:eastAsia="Times New Roman" w:hAnsi="Meta Pro"/>
                <w:b/>
                <w:bCs/>
                <w:szCs w:val="18"/>
                <w:lang w:eastAsia="en-AU"/>
              </w:rPr>
              <w:t> </w:t>
            </w:r>
          </w:p>
        </w:tc>
        <w:tc>
          <w:tcPr>
            <w:tcW w:w="1156" w:type="dxa"/>
            <w:tcBorders>
              <w:top w:val="nil"/>
              <w:left w:val="nil"/>
              <w:bottom w:val="single" w:sz="4" w:space="0" w:color="auto"/>
              <w:right w:val="nil"/>
            </w:tcBorders>
            <w:shd w:val="clear" w:color="auto" w:fill="auto"/>
            <w:noWrap/>
            <w:vAlign w:val="center"/>
            <w:hideMark/>
          </w:tcPr>
          <w:p w14:paraId="3DEDAD6E" w14:textId="77777777" w:rsidR="00BC5219" w:rsidRPr="00532782" w:rsidRDefault="00BC5219" w:rsidP="00E83802">
            <w:pPr>
              <w:jc w:val="right"/>
              <w:rPr>
                <w:rFonts w:ascii="Meta Pro" w:eastAsia="Times New Roman" w:hAnsi="Meta Pro"/>
                <w:szCs w:val="18"/>
                <w:lang w:eastAsia="en-AU"/>
              </w:rPr>
            </w:pPr>
            <w:r w:rsidRPr="00532782">
              <w:rPr>
                <w:rFonts w:ascii="Meta Pro" w:eastAsia="Times New Roman" w:hAnsi="Meta Pro"/>
                <w:szCs w:val="18"/>
                <w:lang w:eastAsia="en-AU"/>
              </w:rPr>
              <w:t>(33,950)</w:t>
            </w:r>
          </w:p>
        </w:tc>
      </w:tr>
      <w:tr w:rsidR="00BC5219" w:rsidRPr="00532782" w14:paraId="0C4DA543" w14:textId="77777777" w:rsidTr="00E83802">
        <w:trPr>
          <w:trHeight w:val="240"/>
        </w:trPr>
        <w:tc>
          <w:tcPr>
            <w:tcW w:w="7711" w:type="dxa"/>
            <w:tcBorders>
              <w:top w:val="nil"/>
              <w:left w:val="nil"/>
              <w:bottom w:val="nil"/>
              <w:right w:val="nil"/>
            </w:tcBorders>
            <w:shd w:val="clear" w:color="auto" w:fill="auto"/>
            <w:noWrap/>
            <w:vAlign w:val="center"/>
            <w:hideMark/>
          </w:tcPr>
          <w:p w14:paraId="7C7F0C5B" w14:textId="77777777" w:rsidR="00BC5219" w:rsidRPr="00532782" w:rsidRDefault="00BC5219" w:rsidP="00E83802">
            <w:pPr>
              <w:rPr>
                <w:rFonts w:ascii="Meta Pro" w:eastAsia="Times New Roman" w:hAnsi="Meta Pro"/>
                <w:szCs w:val="18"/>
                <w:lang w:eastAsia="en-AU"/>
              </w:rPr>
            </w:pPr>
            <w:r w:rsidRPr="00532782">
              <w:rPr>
                <w:rFonts w:ascii="Meta Pro" w:eastAsia="Times New Roman" w:hAnsi="Meta Pro"/>
                <w:szCs w:val="18"/>
                <w:lang w:eastAsia="en-AU"/>
              </w:rPr>
              <w:t>Total administered revenue</w:t>
            </w:r>
          </w:p>
        </w:tc>
        <w:tc>
          <w:tcPr>
            <w:tcW w:w="1156" w:type="dxa"/>
            <w:tcBorders>
              <w:top w:val="nil"/>
              <w:left w:val="nil"/>
              <w:bottom w:val="nil"/>
              <w:right w:val="nil"/>
            </w:tcBorders>
            <w:shd w:val="clear" w:color="000000" w:fill="C9E3B4"/>
            <w:noWrap/>
            <w:vAlign w:val="center"/>
            <w:hideMark/>
          </w:tcPr>
          <w:p w14:paraId="3109EE1B" w14:textId="77777777" w:rsidR="00BC5219" w:rsidRPr="00532782" w:rsidRDefault="00BC5219" w:rsidP="00E83802">
            <w:pPr>
              <w:jc w:val="right"/>
              <w:rPr>
                <w:rFonts w:ascii="Meta Pro" w:eastAsia="Times New Roman" w:hAnsi="Meta Pro"/>
                <w:szCs w:val="18"/>
                <w:lang w:eastAsia="en-AU"/>
              </w:rPr>
            </w:pPr>
            <w:r w:rsidRPr="00532782">
              <w:rPr>
                <w:rFonts w:ascii="Meta Pro" w:eastAsia="Times New Roman" w:hAnsi="Meta Pro"/>
                <w:szCs w:val="18"/>
                <w:lang w:eastAsia="en-AU"/>
              </w:rPr>
              <w:t xml:space="preserve">11,593 </w:t>
            </w:r>
          </w:p>
        </w:tc>
        <w:tc>
          <w:tcPr>
            <w:tcW w:w="216" w:type="dxa"/>
            <w:tcBorders>
              <w:top w:val="nil"/>
              <w:left w:val="nil"/>
              <w:bottom w:val="nil"/>
              <w:right w:val="nil"/>
            </w:tcBorders>
            <w:shd w:val="clear" w:color="auto" w:fill="auto"/>
            <w:noWrap/>
            <w:vAlign w:val="center"/>
            <w:hideMark/>
          </w:tcPr>
          <w:p w14:paraId="65003CC6" w14:textId="77777777" w:rsidR="00BC5219" w:rsidRPr="00532782"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55287642" w14:textId="77777777" w:rsidR="00BC5219" w:rsidRPr="00532782" w:rsidRDefault="00BC5219" w:rsidP="00E83802">
            <w:pPr>
              <w:jc w:val="right"/>
              <w:rPr>
                <w:rFonts w:ascii="Meta Pro" w:eastAsia="Times New Roman" w:hAnsi="Meta Pro"/>
                <w:szCs w:val="18"/>
                <w:lang w:eastAsia="en-AU"/>
              </w:rPr>
            </w:pPr>
            <w:r w:rsidRPr="00532782">
              <w:rPr>
                <w:rFonts w:ascii="Meta Pro" w:eastAsia="Times New Roman" w:hAnsi="Meta Pro"/>
                <w:szCs w:val="18"/>
                <w:lang w:eastAsia="en-AU"/>
              </w:rPr>
              <w:t xml:space="preserve">10,980 </w:t>
            </w:r>
          </w:p>
        </w:tc>
      </w:tr>
      <w:tr w:rsidR="00BC5219" w:rsidRPr="00532782" w14:paraId="5B059FB4" w14:textId="77777777" w:rsidTr="00E83802">
        <w:trPr>
          <w:trHeight w:val="240"/>
        </w:trPr>
        <w:tc>
          <w:tcPr>
            <w:tcW w:w="7711" w:type="dxa"/>
            <w:tcBorders>
              <w:top w:val="nil"/>
              <w:left w:val="nil"/>
              <w:bottom w:val="nil"/>
              <w:right w:val="nil"/>
            </w:tcBorders>
            <w:shd w:val="clear" w:color="auto" w:fill="auto"/>
            <w:noWrap/>
            <w:vAlign w:val="center"/>
            <w:hideMark/>
          </w:tcPr>
          <w:p w14:paraId="19C9A24E" w14:textId="77777777" w:rsidR="00BC5219" w:rsidRPr="00532782" w:rsidRDefault="00BC5219" w:rsidP="00E83802">
            <w:pPr>
              <w:rPr>
                <w:rFonts w:ascii="Meta Pro" w:eastAsia="Times New Roman" w:hAnsi="Meta Pro"/>
                <w:szCs w:val="18"/>
                <w:lang w:eastAsia="en-AU"/>
              </w:rPr>
            </w:pPr>
            <w:r w:rsidRPr="00532782">
              <w:rPr>
                <w:rFonts w:ascii="Meta Pro" w:eastAsia="Times New Roman" w:hAnsi="Meta Pro"/>
                <w:szCs w:val="18"/>
                <w:lang w:eastAsia="en-AU"/>
              </w:rPr>
              <w:t xml:space="preserve">Transfer of appropriation receivable from other department * </w:t>
            </w:r>
          </w:p>
        </w:tc>
        <w:tc>
          <w:tcPr>
            <w:tcW w:w="1156" w:type="dxa"/>
            <w:tcBorders>
              <w:top w:val="nil"/>
              <w:left w:val="nil"/>
              <w:bottom w:val="nil"/>
              <w:right w:val="nil"/>
            </w:tcBorders>
            <w:shd w:val="clear" w:color="000000" w:fill="C9E3B4"/>
            <w:noWrap/>
            <w:vAlign w:val="center"/>
            <w:hideMark/>
          </w:tcPr>
          <w:p w14:paraId="67644F31" w14:textId="77777777" w:rsidR="00BC5219" w:rsidRPr="00532782" w:rsidRDefault="00BC5219" w:rsidP="00E83802">
            <w:pPr>
              <w:jc w:val="right"/>
              <w:rPr>
                <w:rFonts w:ascii="Meta Pro" w:eastAsia="Times New Roman" w:hAnsi="Meta Pro"/>
                <w:szCs w:val="18"/>
                <w:lang w:eastAsia="en-AU"/>
              </w:rPr>
            </w:pPr>
            <w:r w:rsidRPr="00532782">
              <w:rPr>
                <w:rFonts w:ascii="Meta Pro" w:eastAsia="Times New Roman" w:hAnsi="Meta Pro"/>
                <w:szCs w:val="18"/>
                <w:lang w:eastAsia="en-AU"/>
              </w:rPr>
              <w:t xml:space="preserve">- </w:t>
            </w:r>
          </w:p>
        </w:tc>
        <w:tc>
          <w:tcPr>
            <w:tcW w:w="216" w:type="dxa"/>
            <w:tcBorders>
              <w:top w:val="nil"/>
              <w:left w:val="nil"/>
              <w:bottom w:val="nil"/>
              <w:right w:val="nil"/>
            </w:tcBorders>
            <w:shd w:val="clear" w:color="auto" w:fill="auto"/>
            <w:noWrap/>
            <w:vAlign w:val="center"/>
            <w:hideMark/>
          </w:tcPr>
          <w:p w14:paraId="0E3F083C" w14:textId="77777777" w:rsidR="00BC5219" w:rsidRPr="00532782"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232B9BD2" w14:textId="77777777" w:rsidR="00BC5219" w:rsidRPr="00532782" w:rsidRDefault="00BC5219" w:rsidP="00E83802">
            <w:pPr>
              <w:jc w:val="right"/>
              <w:rPr>
                <w:rFonts w:ascii="Meta Pro" w:eastAsia="Times New Roman" w:hAnsi="Meta Pro"/>
                <w:szCs w:val="18"/>
                <w:lang w:eastAsia="en-AU"/>
              </w:rPr>
            </w:pPr>
            <w:r w:rsidRPr="00532782">
              <w:rPr>
                <w:rFonts w:ascii="Meta Pro" w:eastAsia="Times New Roman" w:hAnsi="Meta Pro"/>
                <w:szCs w:val="18"/>
                <w:lang w:eastAsia="en-AU"/>
              </w:rPr>
              <w:t>(34,867)</w:t>
            </w:r>
          </w:p>
        </w:tc>
      </w:tr>
      <w:tr w:rsidR="00BC5219" w:rsidRPr="00532782" w14:paraId="4D2FDDA1" w14:textId="77777777" w:rsidTr="00E83802">
        <w:trPr>
          <w:trHeight w:val="240"/>
        </w:trPr>
        <w:tc>
          <w:tcPr>
            <w:tcW w:w="7711" w:type="dxa"/>
            <w:tcBorders>
              <w:top w:val="nil"/>
              <w:left w:val="nil"/>
              <w:bottom w:val="nil"/>
              <w:right w:val="nil"/>
            </w:tcBorders>
            <w:shd w:val="clear" w:color="auto" w:fill="auto"/>
            <w:noWrap/>
            <w:vAlign w:val="center"/>
            <w:hideMark/>
          </w:tcPr>
          <w:p w14:paraId="01CCA31F" w14:textId="77777777" w:rsidR="00BC5219" w:rsidRPr="00532782" w:rsidRDefault="00BC5219" w:rsidP="00E83802">
            <w:pPr>
              <w:rPr>
                <w:rFonts w:ascii="Meta Pro" w:eastAsia="Times New Roman" w:hAnsi="Meta Pro"/>
                <w:szCs w:val="18"/>
                <w:lang w:eastAsia="en-AU"/>
              </w:rPr>
            </w:pPr>
            <w:r w:rsidRPr="00532782">
              <w:rPr>
                <w:rFonts w:ascii="Meta Pro" w:eastAsia="Times New Roman" w:hAnsi="Meta Pro"/>
                <w:szCs w:val="18"/>
                <w:lang w:eastAsia="en-AU"/>
              </w:rPr>
              <w:t>Less: Opening balance of administered revenue receivable</w:t>
            </w:r>
          </w:p>
        </w:tc>
        <w:tc>
          <w:tcPr>
            <w:tcW w:w="1156" w:type="dxa"/>
            <w:tcBorders>
              <w:top w:val="nil"/>
              <w:left w:val="nil"/>
              <w:bottom w:val="nil"/>
              <w:right w:val="nil"/>
            </w:tcBorders>
            <w:shd w:val="clear" w:color="000000" w:fill="C9E3B4"/>
            <w:noWrap/>
            <w:vAlign w:val="center"/>
            <w:hideMark/>
          </w:tcPr>
          <w:p w14:paraId="229A90DD" w14:textId="77777777" w:rsidR="00BC5219" w:rsidRPr="00532782" w:rsidRDefault="00BC5219" w:rsidP="00E83802">
            <w:pPr>
              <w:jc w:val="right"/>
              <w:rPr>
                <w:rFonts w:ascii="Meta Pro" w:eastAsia="Times New Roman" w:hAnsi="Meta Pro"/>
                <w:szCs w:val="18"/>
                <w:lang w:eastAsia="en-AU"/>
              </w:rPr>
            </w:pPr>
            <w:r w:rsidRPr="00532782">
              <w:rPr>
                <w:rFonts w:ascii="Meta Pro" w:eastAsia="Times New Roman" w:hAnsi="Meta Pro"/>
                <w:szCs w:val="18"/>
                <w:lang w:eastAsia="en-AU"/>
              </w:rPr>
              <w:t>(127,101)</w:t>
            </w:r>
          </w:p>
        </w:tc>
        <w:tc>
          <w:tcPr>
            <w:tcW w:w="216" w:type="dxa"/>
            <w:tcBorders>
              <w:top w:val="nil"/>
              <w:left w:val="nil"/>
              <w:bottom w:val="nil"/>
              <w:right w:val="nil"/>
            </w:tcBorders>
            <w:shd w:val="clear" w:color="auto" w:fill="auto"/>
            <w:noWrap/>
            <w:vAlign w:val="center"/>
            <w:hideMark/>
          </w:tcPr>
          <w:p w14:paraId="1EB43566" w14:textId="77777777" w:rsidR="00BC5219" w:rsidRPr="00532782"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02713CA3" w14:textId="77777777" w:rsidR="00BC5219" w:rsidRPr="00532782" w:rsidRDefault="00BC5219" w:rsidP="00E83802">
            <w:pPr>
              <w:jc w:val="right"/>
              <w:rPr>
                <w:rFonts w:ascii="Meta Pro" w:eastAsia="Times New Roman" w:hAnsi="Meta Pro"/>
                <w:szCs w:val="18"/>
                <w:lang w:eastAsia="en-AU"/>
              </w:rPr>
            </w:pPr>
            <w:r w:rsidRPr="00532782">
              <w:rPr>
                <w:rFonts w:ascii="Meta Pro" w:eastAsia="Times New Roman" w:hAnsi="Meta Pro"/>
                <w:szCs w:val="18"/>
                <w:lang w:eastAsia="en-AU"/>
              </w:rPr>
              <w:t>(25,373)</w:t>
            </w:r>
          </w:p>
        </w:tc>
      </w:tr>
      <w:tr w:rsidR="00BC5219" w:rsidRPr="00532782" w14:paraId="7213B6EB" w14:textId="77777777" w:rsidTr="00E83802">
        <w:trPr>
          <w:trHeight w:val="240"/>
        </w:trPr>
        <w:tc>
          <w:tcPr>
            <w:tcW w:w="7711" w:type="dxa"/>
            <w:tcBorders>
              <w:top w:val="nil"/>
              <w:left w:val="nil"/>
              <w:bottom w:val="nil"/>
              <w:right w:val="nil"/>
            </w:tcBorders>
            <w:shd w:val="clear" w:color="auto" w:fill="auto"/>
            <w:noWrap/>
            <w:vAlign w:val="center"/>
            <w:hideMark/>
          </w:tcPr>
          <w:p w14:paraId="40564DF8" w14:textId="77777777" w:rsidR="00BC5219" w:rsidRPr="00532782" w:rsidRDefault="00BC5219" w:rsidP="00E83802">
            <w:pPr>
              <w:rPr>
                <w:rFonts w:ascii="Meta Pro" w:eastAsia="Times New Roman" w:hAnsi="Meta Pro"/>
                <w:szCs w:val="18"/>
                <w:lang w:eastAsia="en-AU"/>
              </w:rPr>
            </w:pPr>
            <w:r w:rsidRPr="00532782">
              <w:rPr>
                <w:rFonts w:ascii="Meta Pro" w:eastAsia="Times New Roman" w:hAnsi="Meta Pro"/>
                <w:szCs w:val="18"/>
                <w:lang w:eastAsia="en-AU"/>
              </w:rPr>
              <w:t>Plus: Closing balance of administered revenue receivable</w:t>
            </w:r>
          </w:p>
        </w:tc>
        <w:tc>
          <w:tcPr>
            <w:tcW w:w="1156" w:type="dxa"/>
            <w:tcBorders>
              <w:top w:val="nil"/>
              <w:left w:val="nil"/>
              <w:bottom w:val="nil"/>
              <w:right w:val="nil"/>
            </w:tcBorders>
            <w:shd w:val="clear" w:color="000000" w:fill="C9E3B4"/>
            <w:noWrap/>
            <w:vAlign w:val="center"/>
            <w:hideMark/>
          </w:tcPr>
          <w:p w14:paraId="49FA03D3" w14:textId="77777777" w:rsidR="00BC5219" w:rsidRPr="00532782" w:rsidRDefault="00BC5219" w:rsidP="00E83802">
            <w:pPr>
              <w:jc w:val="right"/>
              <w:rPr>
                <w:rFonts w:ascii="Meta Pro" w:eastAsia="Times New Roman" w:hAnsi="Meta Pro"/>
                <w:szCs w:val="18"/>
                <w:lang w:eastAsia="en-AU"/>
              </w:rPr>
            </w:pPr>
            <w:r w:rsidRPr="00532782">
              <w:rPr>
                <w:rFonts w:ascii="Meta Pro" w:eastAsia="Times New Roman" w:hAnsi="Meta Pro"/>
                <w:szCs w:val="18"/>
                <w:lang w:eastAsia="en-AU"/>
              </w:rPr>
              <w:t xml:space="preserve">196,678 </w:t>
            </w:r>
          </w:p>
        </w:tc>
        <w:tc>
          <w:tcPr>
            <w:tcW w:w="216" w:type="dxa"/>
            <w:tcBorders>
              <w:top w:val="nil"/>
              <w:left w:val="nil"/>
              <w:bottom w:val="nil"/>
              <w:right w:val="nil"/>
            </w:tcBorders>
            <w:shd w:val="clear" w:color="auto" w:fill="auto"/>
            <w:noWrap/>
            <w:vAlign w:val="center"/>
            <w:hideMark/>
          </w:tcPr>
          <w:p w14:paraId="1771A29A" w14:textId="77777777" w:rsidR="00BC5219" w:rsidRPr="00532782"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7D77A577" w14:textId="77777777" w:rsidR="00BC5219" w:rsidRPr="00532782" w:rsidRDefault="00BC5219" w:rsidP="00E83802">
            <w:pPr>
              <w:jc w:val="right"/>
              <w:rPr>
                <w:rFonts w:ascii="Meta Pro" w:eastAsia="Times New Roman" w:hAnsi="Meta Pro"/>
                <w:szCs w:val="18"/>
                <w:lang w:eastAsia="en-AU"/>
              </w:rPr>
            </w:pPr>
            <w:r w:rsidRPr="00532782">
              <w:rPr>
                <w:rFonts w:ascii="Meta Pro" w:eastAsia="Times New Roman" w:hAnsi="Meta Pro"/>
                <w:szCs w:val="18"/>
                <w:lang w:eastAsia="en-AU"/>
              </w:rPr>
              <w:t xml:space="preserve">127,101 </w:t>
            </w:r>
          </w:p>
        </w:tc>
      </w:tr>
      <w:tr w:rsidR="00BC5219" w:rsidRPr="00532782" w14:paraId="74B8CE39" w14:textId="77777777" w:rsidTr="00E83802">
        <w:trPr>
          <w:trHeight w:val="240"/>
        </w:trPr>
        <w:tc>
          <w:tcPr>
            <w:tcW w:w="7711" w:type="dxa"/>
            <w:tcBorders>
              <w:top w:val="single" w:sz="4" w:space="0" w:color="auto"/>
              <w:left w:val="nil"/>
              <w:bottom w:val="double" w:sz="6" w:space="0" w:color="auto"/>
              <w:right w:val="nil"/>
            </w:tcBorders>
            <w:shd w:val="clear" w:color="auto" w:fill="auto"/>
            <w:noWrap/>
            <w:vAlign w:val="center"/>
            <w:hideMark/>
          </w:tcPr>
          <w:p w14:paraId="795D5CC3" w14:textId="77777777" w:rsidR="00BC5219" w:rsidRPr="00532782" w:rsidRDefault="00BC5219" w:rsidP="00E83802">
            <w:pPr>
              <w:rPr>
                <w:rFonts w:ascii="Meta Pro" w:eastAsia="Times New Roman" w:hAnsi="Meta Pro"/>
                <w:b/>
                <w:bCs/>
                <w:szCs w:val="18"/>
                <w:lang w:eastAsia="en-AU"/>
              </w:rPr>
            </w:pPr>
            <w:r w:rsidRPr="00532782">
              <w:rPr>
                <w:rFonts w:ascii="Meta Pro" w:eastAsia="Times New Roman" w:hAnsi="Meta Pro"/>
                <w:b/>
                <w:bCs/>
                <w:szCs w:val="18"/>
                <w:lang w:eastAsia="en-AU"/>
              </w:rPr>
              <w:t>Administered income recognised in Note 28</w:t>
            </w:r>
          </w:p>
        </w:tc>
        <w:tc>
          <w:tcPr>
            <w:tcW w:w="1156" w:type="dxa"/>
            <w:tcBorders>
              <w:top w:val="single" w:sz="4" w:space="0" w:color="auto"/>
              <w:left w:val="nil"/>
              <w:bottom w:val="double" w:sz="6" w:space="0" w:color="auto"/>
              <w:right w:val="nil"/>
            </w:tcBorders>
            <w:shd w:val="clear" w:color="000000" w:fill="C9E3B4"/>
            <w:noWrap/>
            <w:vAlign w:val="center"/>
            <w:hideMark/>
          </w:tcPr>
          <w:p w14:paraId="0DBCADBD" w14:textId="77777777" w:rsidR="00BC5219" w:rsidRPr="00532782" w:rsidRDefault="00BC5219" w:rsidP="00E83802">
            <w:pPr>
              <w:jc w:val="right"/>
              <w:rPr>
                <w:rFonts w:ascii="Meta Pro" w:eastAsia="Times New Roman" w:hAnsi="Meta Pro"/>
                <w:b/>
                <w:bCs/>
                <w:szCs w:val="18"/>
                <w:lang w:eastAsia="en-AU"/>
              </w:rPr>
            </w:pPr>
            <w:r w:rsidRPr="00532782">
              <w:rPr>
                <w:rFonts w:ascii="Meta Pro" w:eastAsia="Times New Roman" w:hAnsi="Meta Pro"/>
                <w:b/>
                <w:bCs/>
                <w:szCs w:val="18"/>
                <w:lang w:eastAsia="en-AU"/>
              </w:rPr>
              <w:t xml:space="preserve">81,170 </w:t>
            </w:r>
          </w:p>
        </w:tc>
        <w:tc>
          <w:tcPr>
            <w:tcW w:w="216" w:type="dxa"/>
            <w:tcBorders>
              <w:top w:val="single" w:sz="4" w:space="0" w:color="auto"/>
              <w:left w:val="nil"/>
              <w:bottom w:val="double" w:sz="6" w:space="0" w:color="auto"/>
              <w:right w:val="nil"/>
            </w:tcBorders>
            <w:shd w:val="clear" w:color="auto" w:fill="auto"/>
            <w:noWrap/>
            <w:vAlign w:val="center"/>
            <w:hideMark/>
          </w:tcPr>
          <w:p w14:paraId="1A61D9BE" w14:textId="77777777" w:rsidR="00BC5219" w:rsidRPr="00532782" w:rsidRDefault="00BC5219" w:rsidP="00E83802">
            <w:pPr>
              <w:jc w:val="right"/>
              <w:rPr>
                <w:rFonts w:ascii="Meta Pro" w:eastAsia="Times New Roman" w:hAnsi="Meta Pro"/>
                <w:b/>
                <w:bCs/>
                <w:szCs w:val="18"/>
                <w:lang w:eastAsia="en-AU"/>
              </w:rPr>
            </w:pPr>
            <w:r w:rsidRPr="00532782">
              <w:rPr>
                <w:rFonts w:ascii="Meta Pro" w:eastAsia="Times New Roman" w:hAnsi="Meta Pro"/>
                <w:b/>
                <w:bCs/>
                <w:szCs w:val="18"/>
                <w:lang w:eastAsia="en-AU"/>
              </w:rPr>
              <w:t> </w:t>
            </w:r>
          </w:p>
        </w:tc>
        <w:tc>
          <w:tcPr>
            <w:tcW w:w="1156" w:type="dxa"/>
            <w:tcBorders>
              <w:top w:val="single" w:sz="4" w:space="0" w:color="auto"/>
              <w:left w:val="nil"/>
              <w:bottom w:val="double" w:sz="6" w:space="0" w:color="auto"/>
              <w:right w:val="nil"/>
            </w:tcBorders>
            <w:shd w:val="clear" w:color="auto" w:fill="auto"/>
            <w:noWrap/>
            <w:vAlign w:val="center"/>
            <w:hideMark/>
          </w:tcPr>
          <w:p w14:paraId="36EB1CB3" w14:textId="77777777" w:rsidR="00BC5219" w:rsidRPr="00532782" w:rsidRDefault="00BC5219" w:rsidP="00E83802">
            <w:pPr>
              <w:jc w:val="right"/>
              <w:rPr>
                <w:rFonts w:ascii="Meta Pro" w:eastAsia="Times New Roman" w:hAnsi="Meta Pro"/>
                <w:b/>
                <w:bCs/>
                <w:szCs w:val="18"/>
                <w:lang w:eastAsia="en-AU"/>
              </w:rPr>
            </w:pPr>
            <w:r w:rsidRPr="00532782">
              <w:rPr>
                <w:rFonts w:ascii="Meta Pro" w:eastAsia="Times New Roman" w:hAnsi="Meta Pro"/>
                <w:b/>
                <w:bCs/>
                <w:szCs w:val="18"/>
                <w:lang w:eastAsia="en-AU"/>
              </w:rPr>
              <w:t xml:space="preserve">77,841 </w:t>
            </w:r>
          </w:p>
        </w:tc>
      </w:tr>
      <w:tr w:rsidR="00BC5219" w:rsidRPr="00532782" w14:paraId="3633EF93" w14:textId="77777777" w:rsidTr="00E83802">
        <w:trPr>
          <w:trHeight w:val="240"/>
        </w:trPr>
        <w:tc>
          <w:tcPr>
            <w:tcW w:w="7711" w:type="dxa"/>
            <w:tcBorders>
              <w:top w:val="nil"/>
              <w:left w:val="nil"/>
              <w:bottom w:val="nil"/>
              <w:right w:val="nil"/>
            </w:tcBorders>
            <w:shd w:val="clear" w:color="auto" w:fill="auto"/>
            <w:noWrap/>
            <w:vAlign w:val="center"/>
            <w:hideMark/>
          </w:tcPr>
          <w:p w14:paraId="70CC60AF" w14:textId="77777777" w:rsidR="00BC5219" w:rsidRPr="00532782" w:rsidRDefault="00BC5219" w:rsidP="00E83802">
            <w:pPr>
              <w:jc w:val="right"/>
              <w:rPr>
                <w:rFonts w:ascii="Meta Pro" w:eastAsia="Times New Roman" w:hAnsi="Meta Pro"/>
                <w:b/>
                <w:bCs/>
                <w:szCs w:val="18"/>
                <w:lang w:eastAsia="en-AU"/>
              </w:rPr>
            </w:pPr>
          </w:p>
        </w:tc>
        <w:tc>
          <w:tcPr>
            <w:tcW w:w="1156" w:type="dxa"/>
            <w:tcBorders>
              <w:top w:val="nil"/>
              <w:left w:val="nil"/>
              <w:bottom w:val="nil"/>
              <w:right w:val="nil"/>
            </w:tcBorders>
            <w:shd w:val="clear" w:color="auto" w:fill="auto"/>
            <w:noWrap/>
            <w:vAlign w:val="center"/>
            <w:hideMark/>
          </w:tcPr>
          <w:p w14:paraId="6BA5FCB4" w14:textId="77777777" w:rsidR="00BC5219" w:rsidRPr="00532782" w:rsidRDefault="00BC5219" w:rsidP="00E83802">
            <w:pPr>
              <w:rPr>
                <w:rFonts w:ascii="Times New Roman" w:eastAsia="Times New Roman" w:hAnsi="Times New Roman"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59DC6B38" w14:textId="77777777" w:rsidR="00BC5219" w:rsidRPr="00532782"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780A177C" w14:textId="77777777" w:rsidR="00BC5219" w:rsidRPr="00532782" w:rsidRDefault="00BC5219" w:rsidP="00E83802">
            <w:pPr>
              <w:jc w:val="right"/>
              <w:rPr>
                <w:rFonts w:ascii="Times New Roman" w:eastAsia="Times New Roman" w:hAnsi="Times New Roman" w:cs="Times New Roman"/>
                <w:sz w:val="20"/>
                <w:szCs w:val="20"/>
                <w:lang w:eastAsia="en-AU"/>
              </w:rPr>
            </w:pPr>
          </w:p>
        </w:tc>
      </w:tr>
      <w:tr w:rsidR="00BC5219" w:rsidRPr="00532782" w14:paraId="3EC1810C" w14:textId="77777777" w:rsidTr="00E83802">
        <w:trPr>
          <w:trHeight w:val="240"/>
        </w:trPr>
        <w:tc>
          <w:tcPr>
            <w:tcW w:w="7711" w:type="dxa"/>
            <w:tcBorders>
              <w:top w:val="nil"/>
              <w:left w:val="nil"/>
              <w:bottom w:val="nil"/>
              <w:right w:val="nil"/>
            </w:tcBorders>
            <w:shd w:val="clear" w:color="auto" w:fill="auto"/>
            <w:noWrap/>
            <w:vAlign w:val="center"/>
            <w:hideMark/>
          </w:tcPr>
          <w:p w14:paraId="017ABA3D" w14:textId="77777777" w:rsidR="00BC5219" w:rsidRPr="00532782" w:rsidRDefault="00BC5219" w:rsidP="00E83802">
            <w:pPr>
              <w:rPr>
                <w:rFonts w:ascii="Meta Pro" w:eastAsia="Times New Roman" w:hAnsi="Meta Pro"/>
                <w:b/>
                <w:bCs/>
                <w:szCs w:val="18"/>
                <w:lang w:eastAsia="en-AU"/>
              </w:rPr>
            </w:pPr>
            <w:r w:rsidRPr="00532782">
              <w:rPr>
                <w:rFonts w:ascii="Meta Pro" w:eastAsia="Times New Roman" w:hAnsi="Meta Pro"/>
                <w:b/>
                <w:bCs/>
                <w:szCs w:val="18"/>
                <w:lang w:eastAsia="en-AU"/>
              </w:rPr>
              <w:t>Reconciliation of payments from Consolidated Fund to administered equity adjustment</w:t>
            </w:r>
          </w:p>
        </w:tc>
        <w:tc>
          <w:tcPr>
            <w:tcW w:w="1156" w:type="dxa"/>
            <w:tcBorders>
              <w:top w:val="nil"/>
              <w:left w:val="nil"/>
              <w:bottom w:val="nil"/>
              <w:right w:val="nil"/>
            </w:tcBorders>
            <w:shd w:val="clear" w:color="auto" w:fill="auto"/>
            <w:noWrap/>
            <w:vAlign w:val="center"/>
            <w:hideMark/>
          </w:tcPr>
          <w:p w14:paraId="5C4775D9" w14:textId="77777777" w:rsidR="00BC5219" w:rsidRPr="00532782" w:rsidRDefault="00BC5219" w:rsidP="00E83802">
            <w:pPr>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3C80EECF" w14:textId="77777777" w:rsidR="00BC5219" w:rsidRPr="00532782"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39564C7F" w14:textId="77777777" w:rsidR="00BC5219" w:rsidRPr="00532782" w:rsidRDefault="00BC5219" w:rsidP="00E83802">
            <w:pPr>
              <w:jc w:val="right"/>
              <w:rPr>
                <w:rFonts w:ascii="Times New Roman" w:eastAsia="Times New Roman" w:hAnsi="Times New Roman" w:cs="Times New Roman"/>
                <w:sz w:val="20"/>
                <w:szCs w:val="20"/>
                <w:lang w:eastAsia="en-AU"/>
              </w:rPr>
            </w:pPr>
          </w:p>
        </w:tc>
      </w:tr>
      <w:tr w:rsidR="00BC5219" w:rsidRPr="00532782" w14:paraId="4150C47C" w14:textId="77777777" w:rsidTr="00E83802">
        <w:trPr>
          <w:trHeight w:val="240"/>
        </w:trPr>
        <w:tc>
          <w:tcPr>
            <w:tcW w:w="7711" w:type="dxa"/>
            <w:tcBorders>
              <w:top w:val="nil"/>
              <w:left w:val="nil"/>
              <w:right w:val="nil"/>
            </w:tcBorders>
            <w:shd w:val="clear" w:color="auto" w:fill="auto"/>
            <w:noWrap/>
            <w:vAlign w:val="center"/>
            <w:hideMark/>
          </w:tcPr>
          <w:p w14:paraId="20808C31" w14:textId="77777777" w:rsidR="00BC5219" w:rsidRPr="00532782" w:rsidRDefault="00BC5219" w:rsidP="00E83802">
            <w:pPr>
              <w:rPr>
                <w:rFonts w:ascii="Meta Pro" w:eastAsia="Times New Roman" w:hAnsi="Meta Pro"/>
                <w:szCs w:val="18"/>
                <w:lang w:eastAsia="en-AU"/>
              </w:rPr>
            </w:pPr>
            <w:r w:rsidRPr="00532782">
              <w:rPr>
                <w:rFonts w:ascii="Meta Pro" w:eastAsia="Times New Roman" w:hAnsi="Meta Pro"/>
                <w:szCs w:val="18"/>
                <w:lang w:eastAsia="en-AU"/>
              </w:rPr>
              <w:t>Budgeted administered equity adjustment appropriation</w:t>
            </w:r>
          </w:p>
        </w:tc>
        <w:tc>
          <w:tcPr>
            <w:tcW w:w="1156" w:type="dxa"/>
            <w:tcBorders>
              <w:top w:val="nil"/>
              <w:left w:val="nil"/>
              <w:right w:val="nil"/>
            </w:tcBorders>
            <w:shd w:val="clear" w:color="000000" w:fill="C9E3B4"/>
            <w:noWrap/>
            <w:vAlign w:val="center"/>
            <w:hideMark/>
          </w:tcPr>
          <w:p w14:paraId="7E8EFDAD" w14:textId="77777777" w:rsidR="00BC5219" w:rsidRPr="00532782" w:rsidRDefault="00BC5219" w:rsidP="00E83802">
            <w:pPr>
              <w:jc w:val="right"/>
              <w:rPr>
                <w:rFonts w:ascii="Meta Pro" w:eastAsia="Times New Roman" w:hAnsi="Meta Pro"/>
                <w:szCs w:val="18"/>
                <w:lang w:eastAsia="en-AU"/>
              </w:rPr>
            </w:pPr>
            <w:r w:rsidRPr="00532782">
              <w:rPr>
                <w:rFonts w:ascii="Meta Pro" w:eastAsia="Times New Roman" w:hAnsi="Meta Pro"/>
                <w:szCs w:val="18"/>
                <w:lang w:eastAsia="en-AU"/>
              </w:rPr>
              <w:t xml:space="preserve">1,116,746 </w:t>
            </w:r>
          </w:p>
        </w:tc>
        <w:tc>
          <w:tcPr>
            <w:tcW w:w="216" w:type="dxa"/>
            <w:tcBorders>
              <w:top w:val="nil"/>
              <w:left w:val="nil"/>
              <w:right w:val="nil"/>
            </w:tcBorders>
            <w:shd w:val="clear" w:color="auto" w:fill="auto"/>
            <w:noWrap/>
            <w:vAlign w:val="center"/>
            <w:hideMark/>
          </w:tcPr>
          <w:p w14:paraId="4EA6D9CC" w14:textId="77777777" w:rsidR="00BC5219" w:rsidRPr="00532782" w:rsidRDefault="00BC5219" w:rsidP="00E83802">
            <w:pPr>
              <w:jc w:val="right"/>
              <w:rPr>
                <w:rFonts w:ascii="Meta Pro" w:eastAsia="Times New Roman" w:hAnsi="Meta Pro"/>
                <w:szCs w:val="18"/>
                <w:lang w:eastAsia="en-AU"/>
              </w:rPr>
            </w:pPr>
          </w:p>
        </w:tc>
        <w:tc>
          <w:tcPr>
            <w:tcW w:w="1156" w:type="dxa"/>
            <w:tcBorders>
              <w:top w:val="nil"/>
              <w:left w:val="nil"/>
              <w:right w:val="nil"/>
            </w:tcBorders>
            <w:shd w:val="clear" w:color="auto" w:fill="auto"/>
            <w:noWrap/>
            <w:vAlign w:val="center"/>
            <w:hideMark/>
          </w:tcPr>
          <w:p w14:paraId="71FE3C00" w14:textId="77777777" w:rsidR="00BC5219" w:rsidRPr="00532782" w:rsidRDefault="00BC5219" w:rsidP="00E83802">
            <w:pPr>
              <w:jc w:val="right"/>
              <w:rPr>
                <w:rFonts w:ascii="Meta Pro" w:eastAsia="Times New Roman" w:hAnsi="Meta Pro"/>
                <w:szCs w:val="18"/>
                <w:lang w:eastAsia="en-AU"/>
              </w:rPr>
            </w:pPr>
            <w:r w:rsidRPr="00532782">
              <w:rPr>
                <w:rFonts w:ascii="Meta Pro" w:eastAsia="Times New Roman" w:hAnsi="Meta Pro"/>
                <w:szCs w:val="18"/>
                <w:lang w:eastAsia="en-AU"/>
              </w:rPr>
              <w:t xml:space="preserve">1,544,448 </w:t>
            </w:r>
          </w:p>
        </w:tc>
      </w:tr>
      <w:tr w:rsidR="00BC5219" w:rsidRPr="00532782" w14:paraId="095245C9" w14:textId="77777777" w:rsidTr="00E83802">
        <w:trPr>
          <w:trHeight w:val="240"/>
        </w:trPr>
        <w:tc>
          <w:tcPr>
            <w:tcW w:w="7711" w:type="dxa"/>
            <w:tcBorders>
              <w:top w:val="nil"/>
              <w:left w:val="nil"/>
              <w:bottom w:val="single" w:sz="4" w:space="0" w:color="auto"/>
              <w:right w:val="nil"/>
            </w:tcBorders>
            <w:shd w:val="clear" w:color="auto" w:fill="auto"/>
            <w:noWrap/>
            <w:vAlign w:val="center"/>
            <w:hideMark/>
          </w:tcPr>
          <w:p w14:paraId="528EA5E2" w14:textId="77777777" w:rsidR="00BC5219" w:rsidRPr="00532782" w:rsidRDefault="00BC5219" w:rsidP="00E83802">
            <w:pPr>
              <w:rPr>
                <w:rFonts w:ascii="Meta Pro" w:eastAsia="Times New Roman" w:hAnsi="Meta Pro"/>
                <w:szCs w:val="18"/>
                <w:lang w:eastAsia="en-AU"/>
              </w:rPr>
            </w:pPr>
            <w:r w:rsidRPr="00532782">
              <w:rPr>
                <w:rFonts w:ascii="Meta Pro" w:eastAsia="Times New Roman" w:hAnsi="Meta Pro"/>
                <w:szCs w:val="18"/>
                <w:lang w:eastAsia="en-AU"/>
              </w:rPr>
              <w:t>Transfers to other headings</w:t>
            </w:r>
          </w:p>
        </w:tc>
        <w:tc>
          <w:tcPr>
            <w:tcW w:w="1156" w:type="dxa"/>
            <w:tcBorders>
              <w:top w:val="nil"/>
              <w:left w:val="nil"/>
              <w:bottom w:val="single" w:sz="4" w:space="0" w:color="auto"/>
              <w:right w:val="nil"/>
            </w:tcBorders>
            <w:shd w:val="clear" w:color="000000" w:fill="C9E3B4"/>
            <w:noWrap/>
            <w:vAlign w:val="center"/>
            <w:hideMark/>
          </w:tcPr>
          <w:p w14:paraId="457EAAF7" w14:textId="77777777" w:rsidR="00BC5219" w:rsidRPr="00532782" w:rsidRDefault="00BC5219" w:rsidP="00E83802">
            <w:pPr>
              <w:jc w:val="right"/>
              <w:rPr>
                <w:rFonts w:ascii="Meta Pro" w:eastAsia="Times New Roman" w:hAnsi="Meta Pro"/>
                <w:szCs w:val="18"/>
                <w:lang w:eastAsia="en-AU"/>
              </w:rPr>
            </w:pPr>
            <w:r w:rsidRPr="00532782">
              <w:rPr>
                <w:rFonts w:ascii="Meta Pro" w:eastAsia="Times New Roman" w:hAnsi="Meta Pro"/>
                <w:szCs w:val="18"/>
                <w:lang w:eastAsia="en-AU"/>
              </w:rPr>
              <w:t>(246,000)</w:t>
            </w:r>
          </w:p>
        </w:tc>
        <w:tc>
          <w:tcPr>
            <w:tcW w:w="216" w:type="dxa"/>
            <w:tcBorders>
              <w:top w:val="nil"/>
              <w:left w:val="nil"/>
              <w:bottom w:val="single" w:sz="4" w:space="0" w:color="auto"/>
              <w:right w:val="nil"/>
            </w:tcBorders>
            <w:shd w:val="clear" w:color="auto" w:fill="auto"/>
            <w:noWrap/>
            <w:vAlign w:val="center"/>
            <w:hideMark/>
          </w:tcPr>
          <w:p w14:paraId="277193BC" w14:textId="77777777" w:rsidR="00BC5219" w:rsidRPr="00532782" w:rsidRDefault="00BC5219" w:rsidP="00E83802">
            <w:pPr>
              <w:jc w:val="right"/>
              <w:rPr>
                <w:rFonts w:ascii="Meta Pro" w:eastAsia="Times New Roman" w:hAnsi="Meta Pro"/>
                <w:szCs w:val="18"/>
                <w:lang w:eastAsia="en-AU"/>
              </w:rPr>
            </w:pPr>
          </w:p>
        </w:tc>
        <w:tc>
          <w:tcPr>
            <w:tcW w:w="1156" w:type="dxa"/>
            <w:tcBorders>
              <w:top w:val="nil"/>
              <w:left w:val="nil"/>
              <w:bottom w:val="single" w:sz="4" w:space="0" w:color="auto"/>
              <w:right w:val="nil"/>
            </w:tcBorders>
            <w:shd w:val="clear" w:color="auto" w:fill="auto"/>
            <w:noWrap/>
            <w:vAlign w:val="center"/>
            <w:hideMark/>
          </w:tcPr>
          <w:p w14:paraId="4B3D4A25" w14:textId="77777777" w:rsidR="00BC5219" w:rsidRPr="00532782" w:rsidRDefault="00BC5219" w:rsidP="00E83802">
            <w:pPr>
              <w:jc w:val="right"/>
              <w:rPr>
                <w:rFonts w:ascii="Meta Pro" w:eastAsia="Times New Roman" w:hAnsi="Meta Pro"/>
                <w:szCs w:val="18"/>
                <w:lang w:eastAsia="en-AU"/>
              </w:rPr>
            </w:pPr>
            <w:r w:rsidRPr="00532782">
              <w:rPr>
                <w:rFonts w:ascii="Meta Pro" w:eastAsia="Times New Roman" w:hAnsi="Meta Pro"/>
                <w:szCs w:val="18"/>
                <w:lang w:eastAsia="en-AU"/>
              </w:rPr>
              <w:t>(55,594)</w:t>
            </w:r>
          </w:p>
        </w:tc>
      </w:tr>
      <w:tr w:rsidR="00BC5219" w:rsidRPr="00532782" w14:paraId="7DD39887" w14:textId="77777777" w:rsidTr="00E83802">
        <w:trPr>
          <w:trHeight w:val="240"/>
        </w:trPr>
        <w:tc>
          <w:tcPr>
            <w:tcW w:w="7711" w:type="dxa"/>
            <w:tcBorders>
              <w:top w:val="single" w:sz="4" w:space="0" w:color="auto"/>
              <w:left w:val="nil"/>
              <w:bottom w:val="nil"/>
              <w:right w:val="nil"/>
            </w:tcBorders>
            <w:shd w:val="clear" w:color="auto" w:fill="auto"/>
            <w:noWrap/>
            <w:vAlign w:val="center"/>
            <w:hideMark/>
          </w:tcPr>
          <w:p w14:paraId="344BE96A" w14:textId="77777777" w:rsidR="00BC5219" w:rsidRPr="00532782" w:rsidRDefault="00BC5219" w:rsidP="00E83802">
            <w:pPr>
              <w:rPr>
                <w:rFonts w:ascii="Meta Pro" w:eastAsia="Times New Roman" w:hAnsi="Meta Pro"/>
                <w:szCs w:val="18"/>
                <w:lang w:eastAsia="en-AU"/>
              </w:rPr>
            </w:pPr>
            <w:r w:rsidRPr="00532782">
              <w:rPr>
                <w:rFonts w:ascii="Meta Pro" w:eastAsia="Times New Roman" w:hAnsi="Meta Pro"/>
                <w:szCs w:val="18"/>
                <w:lang w:eastAsia="en-AU"/>
              </w:rPr>
              <w:t>Total administered equity adjustment receipts</w:t>
            </w:r>
          </w:p>
        </w:tc>
        <w:tc>
          <w:tcPr>
            <w:tcW w:w="1156" w:type="dxa"/>
            <w:tcBorders>
              <w:top w:val="single" w:sz="4" w:space="0" w:color="auto"/>
              <w:left w:val="nil"/>
              <w:bottom w:val="nil"/>
              <w:right w:val="nil"/>
            </w:tcBorders>
            <w:shd w:val="clear" w:color="000000" w:fill="C9E3B4"/>
            <w:noWrap/>
            <w:vAlign w:val="center"/>
            <w:hideMark/>
          </w:tcPr>
          <w:p w14:paraId="5F466697" w14:textId="77777777" w:rsidR="00BC5219" w:rsidRPr="00532782" w:rsidRDefault="00BC5219" w:rsidP="00E83802">
            <w:pPr>
              <w:jc w:val="right"/>
              <w:rPr>
                <w:rFonts w:ascii="Meta Pro" w:eastAsia="Times New Roman" w:hAnsi="Meta Pro"/>
                <w:szCs w:val="18"/>
                <w:lang w:eastAsia="en-AU"/>
              </w:rPr>
            </w:pPr>
            <w:r w:rsidRPr="00532782">
              <w:rPr>
                <w:rFonts w:ascii="Meta Pro" w:eastAsia="Times New Roman" w:hAnsi="Meta Pro"/>
                <w:szCs w:val="18"/>
                <w:lang w:eastAsia="en-AU"/>
              </w:rPr>
              <w:t xml:space="preserve">870,746 </w:t>
            </w:r>
          </w:p>
        </w:tc>
        <w:tc>
          <w:tcPr>
            <w:tcW w:w="216" w:type="dxa"/>
            <w:tcBorders>
              <w:top w:val="single" w:sz="4" w:space="0" w:color="auto"/>
              <w:left w:val="nil"/>
              <w:bottom w:val="nil"/>
              <w:right w:val="nil"/>
            </w:tcBorders>
            <w:shd w:val="clear" w:color="auto" w:fill="auto"/>
            <w:noWrap/>
            <w:vAlign w:val="center"/>
            <w:hideMark/>
          </w:tcPr>
          <w:p w14:paraId="2ADA9BF4" w14:textId="77777777" w:rsidR="00BC5219" w:rsidRPr="00532782" w:rsidRDefault="00BC5219" w:rsidP="00E83802">
            <w:pPr>
              <w:jc w:val="right"/>
              <w:rPr>
                <w:rFonts w:ascii="Meta Pro" w:eastAsia="Times New Roman" w:hAnsi="Meta Pro"/>
                <w:szCs w:val="18"/>
                <w:lang w:eastAsia="en-AU"/>
              </w:rPr>
            </w:pPr>
          </w:p>
        </w:tc>
        <w:tc>
          <w:tcPr>
            <w:tcW w:w="1156" w:type="dxa"/>
            <w:tcBorders>
              <w:top w:val="single" w:sz="4" w:space="0" w:color="auto"/>
              <w:left w:val="nil"/>
              <w:bottom w:val="nil"/>
              <w:right w:val="nil"/>
            </w:tcBorders>
            <w:shd w:val="clear" w:color="auto" w:fill="auto"/>
            <w:noWrap/>
            <w:vAlign w:val="center"/>
            <w:hideMark/>
          </w:tcPr>
          <w:p w14:paraId="1F9DA51A" w14:textId="77777777" w:rsidR="00BC5219" w:rsidRPr="00532782" w:rsidRDefault="00BC5219" w:rsidP="00E83802">
            <w:pPr>
              <w:jc w:val="right"/>
              <w:rPr>
                <w:rFonts w:ascii="Meta Pro" w:eastAsia="Times New Roman" w:hAnsi="Meta Pro"/>
                <w:szCs w:val="18"/>
                <w:lang w:eastAsia="en-AU"/>
              </w:rPr>
            </w:pPr>
            <w:r w:rsidRPr="00532782">
              <w:rPr>
                <w:rFonts w:ascii="Meta Pro" w:eastAsia="Times New Roman" w:hAnsi="Meta Pro"/>
                <w:szCs w:val="18"/>
                <w:lang w:eastAsia="en-AU"/>
              </w:rPr>
              <w:t xml:space="preserve">1,488,854 </w:t>
            </w:r>
          </w:p>
        </w:tc>
      </w:tr>
      <w:tr w:rsidR="00BC5219" w:rsidRPr="00532782" w14:paraId="07153B74" w14:textId="77777777" w:rsidTr="00E83802">
        <w:trPr>
          <w:trHeight w:val="240"/>
        </w:trPr>
        <w:tc>
          <w:tcPr>
            <w:tcW w:w="7711" w:type="dxa"/>
            <w:tcBorders>
              <w:top w:val="nil"/>
              <w:left w:val="nil"/>
              <w:bottom w:val="nil"/>
              <w:right w:val="nil"/>
            </w:tcBorders>
            <w:shd w:val="clear" w:color="auto" w:fill="auto"/>
            <w:noWrap/>
            <w:vAlign w:val="center"/>
            <w:hideMark/>
          </w:tcPr>
          <w:p w14:paraId="398F7B30" w14:textId="77777777" w:rsidR="00BC5219" w:rsidRPr="00532782" w:rsidRDefault="00BC5219" w:rsidP="00E83802">
            <w:pPr>
              <w:rPr>
                <w:rFonts w:ascii="Meta Pro" w:eastAsia="Times New Roman" w:hAnsi="Meta Pro"/>
                <w:szCs w:val="18"/>
                <w:lang w:eastAsia="en-AU"/>
              </w:rPr>
            </w:pPr>
            <w:r w:rsidRPr="00532782">
              <w:rPr>
                <w:rFonts w:ascii="Meta Pro" w:eastAsia="Times New Roman" w:hAnsi="Meta Pro"/>
                <w:szCs w:val="18"/>
                <w:lang w:eastAsia="en-AU"/>
              </w:rPr>
              <w:lastRenderedPageBreak/>
              <w:t>Plus: Opening balance of administered equity adjustment payable</w:t>
            </w:r>
          </w:p>
        </w:tc>
        <w:tc>
          <w:tcPr>
            <w:tcW w:w="1156" w:type="dxa"/>
            <w:tcBorders>
              <w:top w:val="nil"/>
              <w:left w:val="nil"/>
              <w:bottom w:val="nil"/>
              <w:right w:val="nil"/>
            </w:tcBorders>
            <w:shd w:val="clear" w:color="000000" w:fill="C9E3B4"/>
            <w:noWrap/>
            <w:vAlign w:val="center"/>
            <w:hideMark/>
          </w:tcPr>
          <w:p w14:paraId="5075BBED" w14:textId="77777777" w:rsidR="00BC5219" w:rsidRPr="00532782" w:rsidRDefault="00BC5219" w:rsidP="00E83802">
            <w:pPr>
              <w:jc w:val="right"/>
              <w:rPr>
                <w:rFonts w:ascii="Meta Pro" w:eastAsia="Times New Roman" w:hAnsi="Meta Pro"/>
                <w:szCs w:val="18"/>
                <w:lang w:eastAsia="en-AU"/>
              </w:rPr>
            </w:pPr>
            <w:r w:rsidRPr="00532782">
              <w:rPr>
                <w:rFonts w:ascii="Meta Pro" w:eastAsia="Times New Roman" w:hAnsi="Meta Pro"/>
                <w:szCs w:val="18"/>
                <w:lang w:eastAsia="en-AU"/>
              </w:rPr>
              <w:t xml:space="preserve">- </w:t>
            </w:r>
          </w:p>
        </w:tc>
        <w:tc>
          <w:tcPr>
            <w:tcW w:w="216" w:type="dxa"/>
            <w:tcBorders>
              <w:top w:val="nil"/>
              <w:left w:val="nil"/>
              <w:bottom w:val="nil"/>
              <w:right w:val="nil"/>
            </w:tcBorders>
            <w:shd w:val="clear" w:color="auto" w:fill="auto"/>
            <w:noWrap/>
            <w:vAlign w:val="center"/>
            <w:hideMark/>
          </w:tcPr>
          <w:p w14:paraId="4FB7449E" w14:textId="77777777" w:rsidR="00BC5219" w:rsidRPr="00532782"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44D05337" w14:textId="77777777" w:rsidR="00BC5219" w:rsidRPr="00532782" w:rsidRDefault="00BC5219" w:rsidP="00E83802">
            <w:pPr>
              <w:jc w:val="right"/>
              <w:rPr>
                <w:rFonts w:ascii="Meta Pro" w:eastAsia="Times New Roman" w:hAnsi="Meta Pro"/>
                <w:szCs w:val="18"/>
                <w:lang w:eastAsia="en-AU"/>
              </w:rPr>
            </w:pPr>
            <w:r w:rsidRPr="00532782">
              <w:rPr>
                <w:rFonts w:ascii="Meta Pro" w:eastAsia="Times New Roman" w:hAnsi="Meta Pro"/>
                <w:szCs w:val="18"/>
                <w:lang w:eastAsia="en-AU"/>
              </w:rPr>
              <w:t xml:space="preserve">1,000 </w:t>
            </w:r>
          </w:p>
        </w:tc>
      </w:tr>
      <w:tr w:rsidR="00BC5219" w:rsidRPr="00532782" w14:paraId="50EB92A1" w14:textId="77777777" w:rsidTr="00E83802">
        <w:trPr>
          <w:trHeight w:val="240"/>
        </w:trPr>
        <w:tc>
          <w:tcPr>
            <w:tcW w:w="7711" w:type="dxa"/>
            <w:tcBorders>
              <w:top w:val="nil"/>
              <w:left w:val="nil"/>
              <w:bottom w:val="nil"/>
              <w:right w:val="nil"/>
            </w:tcBorders>
            <w:shd w:val="clear" w:color="auto" w:fill="auto"/>
            <w:noWrap/>
            <w:vAlign w:val="center"/>
            <w:hideMark/>
          </w:tcPr>
          <w:p w14:paraId="549675C8" w14:textId="77777777" w:rsidR="00BC5219" w:rsidRPr="00532782" w:rsidRDefault="00BC5219" w:rsidP="00E83802">
            <w:pPr>
              <w:rPr>
                <w:rFonts w:ascii="Meta Pro" w:eastAsia="Times New Roman" w:hAnsi="Meta Pro"/>
                <w:szCs w:val="18"/>
                <w:lang w:eastAsia="en-AU"/>
              </w:rPr>
            </w:pPr>
            <w:r w:rsidRPr="00532782">
              <w:rPr>
                <w:rFonts w:ascii="Meta Pro" w:eastAsia="Times New Roman" w:hAnsi="Meta Pro"/>
                <w:szCs w:val="18"/>
                <w:lang w:eastAsia="en-AU"/>
              </w:rPr>
              <w:t>Less: Closing balance of administered equity adjustment payable</w:t>
            </w:r>
          </w:p>
        </w:tc>
        <w:tc>
          <w:tcPr>
            <w:tcW w:w="1156" w:type="dxa"/>
            <w:tcBorders>
              <w:top w:val="nil"/>
              <w:left w:val="nil"/>
              <w:bottom w:val="nil"/>
              <w:right w:val="nil"/>
            </w:tcBorders>
            <w:shd w:val="clear" w:color="000000" w:fill="C9E3B4"/>
            <w:noWrap/>
            <w:vAlign w:val="center"/>
            <w:hideMark/>
          </w:tcPr>
          <w:p w14:paraId="2B314CAE" w14:textId="77777777" w:rsidR="00BC5219" w:rsidRPr="00532782" w:rsidRDefault="00BC5219" w:rsidP="00E83802">
            <w:pPr>
              <w:jc w:val="right"/>
              <w:rPr>
                <w:rFonts w:ascii="Meta Pro" w:eastAsia="Times New Roman" w:hAnsi="Meta Pro"/>
                <w:szCs w:val="18"/>
                <w:lang w:eastAsia="en-AU"/>
              </w:rPr>
            </w:pPr>
            <w:r w:rsidRPr="00532782">
              <w:rPr>
                <w:rFonts w:ascii="Meta Pro" w:eastAsia="Times New Roman" w:hAnsi="Meta Pro"/>
                <w:szCs w:val="18"/>
                <w:lang w:eastAsia="en-AU"/>
              </w:rPr>
              <w:t xml:space="preserve">- </w:t>
            </w:r>
          </w:p>
        </w:tc>
        <w:tc>
          <w:tcPr>
            <w:tcW w:w="216" w:type="dxa"/>
            <w:tcBorders>
              <w:top w:val="nil"/>
              <w:left w:val="nil"/>
              <w:bottom w:val="nil"/>
              <w:right w:val="nil"/>
            </w:tcBorders>
            <w:shd w:val="clear" w:color="auto" w:fill="auto"/>
            <w:noWrap/>
            <w:vAlign w:val="center"/>
            <w:hideMark/>
          </w:tcPr>
          <w:p w14:paraId="1D576C94" w14:textId="77777777" w:rsidR="00BC5219" w:rsidRPr="00532782"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3DED3A8A" w14:textId="77777777" w:rsidR="00BC5219" w:rsidRPr="00532782" w:rsidRDefault="00BC5219" w:rsidP="00E83802">
            <w:pPr>
              <w:jc w:val="right"/>
              <w:rPr>
                <w:rFonts w:ascii="Meta Pro" w:eastAsia="Times New Roman" w:hAnsi="Meta Pro"/>
                <w:szCs w:val="18"/>
                <w:lang w:eastAsia="en-AU"/>
              </w:rPr>
            </w:pPr>
            <w:r w:rsidRPr="00532782">
              <w:rPr>
                <w:rFonts w:ascii="Meta Pro" w:eastAsia="Times New Roman" w:hAnsi="Meta Pro"/>
                <w:szCs w:val="18"/>
                <w:lang w:eastAsia="en-AU"/>
              </w:rPr>
              <w:t xml:space="preserve">- </w:t>
            </w:r>
          </w:p>
        </w:tc>
      </w:tr>
      <w:tr w:rsidR="00BC5219" w:rsidRPr="00532782" w14:paraId="63EB2995" w14:textId="77777777" w:rsidTr="00E83802">
        <w:trPr>
          <w:trHeight w:val="240"/>
        </w:trPr>
        <w:tc>
          <w:tcPr>
            <w:tcW w:w="7711" w:type="dxa"/>
            <w:tcBorders>
              <w:top w:val="single" w:sz="4" w:space="0" w:color="auto"/>
              <w:left w:val="nil"/>
              <w:bottom w:val="double" w:sz="6" w:space="0" w:color="auto"/>
              <w:right w:val="nil"/>
            </w:tcBorders>
            <w:shd w:val="clear" w:color="auto" w:fill="auto"/>
            <w:noWrap/>
            <w:vAlign w:val="center"/>
            <w:hideMark/>
          </w:tcPr>
          <w:p w14:paraId="786503CD" w14:textId="77777777" w:rsidR="00BC5219" w:rsidRPr="00532782" w:rsidRDefault="00BC5219" w:rsidP="00E83802">
            <w:pPr>
              <w:rPr>
                <w:rFonts w:ascii="Meta Pro" w:eastAsia="Times New Roman" w:hAnsi="Meta Pro"/>
                <w:b/>
                <w:bCs/>
                <w:szCs w:val="18"/>
                <w:lang w:eastAsia="en-AU"/>
              </w:rPr>
            </w:pPr>
            <w:r w:rsidRPr="00532782">
              <w:rPr>
                <w:rFonts w:ascii="Meta Pro" w:eastAsia="Times New Roman" w:hAnsi="Meta Pro"/>
                <w:b/>
                <w:bCs/>
                <w:szCs w:val="18"/>
                <w:lang w:eastAsia="en-AU"/>
              </w:rPr>
              <w:t>Administered equity adjustment recognised in contributed equity</w:t>
            </w:r>
          </w:p>
        </w:tc>
        <w:tc>
          <w:tcPr>
            <w:tcW w:w="1156" w:type="dxa"/>
            <w:tcBorders>
              <w:top w:val="single" w:sz="4" w:space="0" w:color="auto"/>
              <w:left w:val="nil"/>
              <w:bottom w:val="double" w:sz="6" w:space="0" w:color="auto"/>
              <w:right w:val="nil"/>
            </w:tcBorders>
            <w:shd w:val="clear" w:color="000000" w:fill="C9E3B4"/>
            <w:noWrap/>
            <w:vAlign w:val="center"/>
            <w:hideMark/>
          </w:tcPr>
          <w:p w14:paraId="564FBD17" w14:textId="77777777" w:rsidR="00BC5219" w:rsidRPr="00532782" w:rsidRDefault="00BC5219" w:rsidP="00E83802">
            <w:pPr>
              <w:jc w:val="right"/>
              <w:rPr>
                <w:rFonts w:ascii="Meta Pro" w:eastAsia="Times New Roman" w:hAnsi="Meta Pro"/>
                <w:b/>
                <w:bCs/>
                <w:szCs w:val="18"/>
                <w:lang w:eastAsia="en-AU"/>
              </w:rPr>
            </w:pPr>
            <w:r w:rsidRPr="00532782">
              <w:rPr>
                <w:rFonts w:ascii="Meta Pro" w:eastAsia="Times New Roman" w:hAnsi="Meta Pro"/>
                <w:b/>
                <w:bCs/>
                <w:szCs w:val="18"/>
                <w:lang w:eastAsia="en-AU"/>
              </w:rPr>
              <w:t xml:space="preserve">870,746 </w:t>
            </w:r>
          </w:p>
        </w:tc>
        <w:tc>
          <w:tcPr>
            <w:tcW w:w="216" w:type="dxa"/>
            <w:tcBorders>
              <w:top w:val="single" w:sz="4" w:space="0" w:color="auto"/>
              <w:left w:val="nil"/>
              <w:bottom w:val="double" w:sz="6" w:space="0" w:color="auto"/>
              <w:right w:val="nil"/>
            </w:tcBorders>
            <w:shd w:val="clear" w:color="auto" w:fill="auto"/>
            <w:noWrap/>
            <w:vAlign w:val="center"/>
            <w:hideMark/>
          </w:tcPr>
          <w:p w14:paraId="4C1611AB" w14:textId="77777777" w:rsidR="00BC5219" w:rsidRPr="00532782" w:rsidRDefault="00BC5219" w:rsidP="00E83802">
            <w:pPr>
              <w:jc w:val="right"/>
              <w:rPr>
                <w:rFonts w:ascii="Meta Pro" w:eastAsia="Times New Roman" w:hAnsi="Meta Pro"/>
                <w:b/>
                <w:bCs/>
                <w:szCs w:val="18"/>
                <w:lang w:eastAsia="en-AU"/>
              </w:rPr>
            </w:pPr>
            <w:r w:rsidRPr="00532782">
              <w:rPr>
                <w:rFonts w:ascii="Meta Pro" w:eastAsia="Times New Roman" w:hAnsi="Meta Pro"/>
                <w:b/>
                <w:bCs/>
                <w:szCs w:val="18"/>
                <w:lang w:eastAsia="en-AU"/>
              </w:rPr>
              <w:t> </w:t>
            </w:r>
          </w:p>
        </w:tc>
        <w:tc>
          <w:tcPr>
            <w:tcW w:w="1156" w:type="dxa"/>
            <w:tcBorders>
              <w:top w:val="single" w:sz="4" w:space="0" w:color="auto"/>
              <w:left w:val="nil"/>
              <w:bottom w:val="double" w:sz="6" w:space="0" w:color="auto"/>
              <w:right w:val="nil"/>
            </w:tcBorders>
            <w:shd w:val="clear" w:color="auto" w:fill="auto"/>
            <w:noWrap/>
            <w:vAlign w:val="center"/>
            <w:hideMark/>
          </w:tcPr>
          <w:p w14:paraId="05B09FB2" w14:textId="77777777" w:rsidR="00BC5219" w:rsidRPr="00532782" w:rsidRDefault="00BC5219" w:rsidP="00E83802">
            <w:pPr>
              <w:jc w:val="right"/>
              <w:rPr>
                <w:rFonts w:ascii="Meta Pro" w:eastAsia="Times New Roman" w:hAnsi="Meta Pro"/>
                <w:b/>
                <w:bCs/>
                <w:szCs w:val="18"/>
                <w:lang w:eastAsia="en-AU"/>
              </w:rPr>
            </w:pPr>
            <w:r w:rsidRPr="00532782">
              <w:rPr>
                <w:rFonts w:ascii="Meta Pro" w:eastAsia="Times New Roman" w:hAnsi="Meta Pro"/>
                <w:b/>
                <w:bCs/>
                <w:szCs w:val="18"/>
                <w:lang w:eastAsia="en-AU"/>
              </w:rPr>
              <w:t xml:space="preserve">1,489,854 </w:t>
            </w:r>
          </w:p>
        </w:tc>
      </w:tr>
    </w:tbl>
    <w:p w14:paraId="4FA722A1" w14:textId="77777777" w:rsidR="00BC5219" w:rsidRDefault="00BC5219" w:rsidP="00BC5219">
      <w:pPr>
        <w:spacing w:before="120"/>
        <w:rPr>
          <w:rFonts w:ascii="Meta Pro" w:hAnsi="Meta Pro"/>
          <w:sz w:val="16"/>
          <w:szCs w:val="16"/>
          <w:lang w:eastAsia="en-AU"/>
        </w:rPr>
      </w:pPr>
      <w:r w:rsidRPr="008A2B8F">
        <w:rPr>
          <w:rFonts w:ascii="Meta Pro" w:hAnsi="Meta Pro"/>
          <w:sz w:val="16"/>
          <w:szCs w:val="16"/>
          <w:lang w:eastAsia="en-AU"/>
        </w:rPr>
        <w:t xml:space="preserve">* Transfer of appropriation receivable relates to the transfer of funding arrangements for the Cross River Rail Delivery Authority from the Department </w:t>
      </w:r>
    </w:p>
    <w:p w14:paraId="59E84ABC" w14:textId="77777777" w:rsidR="00BC5219" w:rsidRDefault="00BC5219" w:rsidP="00BC5219">
      <w:pPr>
        <w:rPr>
          <w:rFonts w:ascii="Meta Pro" w:hAnsi="Meta Pro"/>
          <w:sz w:val="16"/>
          <w:szCs w:val="16"/>
          <w:lang w:eastAsia="en-AU"/>
        </w:rPr>
      </w:pPr>
      <w:r>
        <w:rPr>
          <w:rFonts w:ascii="Meta Pro" w:hAnsi="Meta Pro"/>
          <w:sz w:val="16"/>
          <w:szCs w:val="16"/>
          <w:lang w:eastAsia="en-AU"/>
        </w:rPr>
        <w:t xml:space="preserve">   </w:t>
      </w:r>
      <w:r w:rsidRPr="008A2B8F">
        <w:rPr>
          <w:rFonts w:ascii="Meta Pro" w:hAnsi="Meta Pro"/>
          <w:sz w:val="16"/>
          <w:szCs w:val="16"/>
          <w:lang w:eastAsia="en-AU"/>
        </w:rPr>
        <w:t>of Tourism, Innovation and Sport to the department in November 2020.</w:t>
      </w:r>
    </w:p>
    <w:p w14:paraId="3F87FCBE" w14:textId="77777777" w:rsidR="00BC5219" w:rsidRPr="00727CEF" w:rsidRDefault="00BC5219" w:rsidP="00BC5219">
      <w:pPr>
        <w:rPr>
          <w:rFonts w:ascii="Meta Pro" w:hAnsi="Meta Pro"/>
          <w:sz w:val="16"/>
          <w:szCs w:val="16"/>
          <w:lang w:eastAsia="en-AU"/>
        </w:rPr>
      </w:pPr>
    </w:p>
    <w:p w14:paraId="5EF7D4D2" w14:textId="77777777" w:rsidR="00BC5219" w:rsidRDefault="00BC5219" w:rsidP="00BC5219">
      <w:pPr>
        <w:rPr>
          <w:rFonts w:asciiTheme="minorHAnsi" w:hAnsiTheme="minorHAnsi" w:cstheme="minorBidi"/>
        </w:rPr>
      </w:pPr>
    </w:p>
    <w:tbl>
      <w:tblPr>
        <w:tblW w:w="0" w:type="auto"/>
        <w:tblCellMar>
          <w:left w:w="0" w:type="dxa"/>
        </w:tblCellMar>
        <w:tblLook w:val="04A0" w:firstRow="1" w:lastRow="0" w:firstColumn="1" w:lastColumn="0" w:noHBand="0" w:noVBand="1"/>
      </w:tblPr>
      <w:tblGrid>
        <w:gridCol w:w="6256"/>
        <w:gridCol w:w="1164"/>
        <w:gridCol w:w="224"/>
        <w:gridCol w:w="1164"/>
        <w:gridCol w:w="224"/>
        <w:gridCol w:w="1165"/>
      </w:tblGrid>
      <w:tr w:rsidR="00BC5219" w:rsidRPr="00BA1D33" w14:paraId="2B5724D8" w14:textId="77777777" w:rsidTr="00E83802">
        <w:trPr>
          <w:trHeight w:val="238"/>
        </w:trPr>
        <w:tc>
          <w:tcPr>
            <w:tcW w:w="6248" w:type="dxa"/>
            <w:tcBorders>
              <w:top w:val="nil"/>
              <w:left w:val="nil"/>
              <w:bottom w:val="nil"/>
              <w:right w:val="nil"/>
            </w:tcBorders>
            <w:shd w:val="clear" w:color="auto" w:fill="auto"/>
            <w:noWrap/>
            <w:vAlign w:val="center"/>
            <w:hideMark/>
          </w:tcPr>
          <w:p w14:paraId="64AC6749" w14:textId="77777777" w:rsidR="00BC5219" w:rsidRPr="00BA1D33" w:rsidRDefault="00BC5219" w:rsidP="00E83802">
            <w:pPr>
              <w:rPr>
                <w:rFonts w:ascii="Meta Pro" w:eastAsia="Times New Roman" w:hAnsi="Meta Pro"/>
                <w:b/>
                <w:bCs/>
                <w:lang w:eastAsia="en-AU"/>
              </w:rPr>
            </w:pPr>
            <w:r w:rsidRPr="00BA1D33">
              <w:rPr>
                <w:rFonts w:ascii="Meta Pro" w:eastAsia="Times New Roman" w:hAnsi="Meta Pro"/>
                <w:b/>
                <w:bCs/>
                <w:lang w:eastAsia="en-AU"/>
              </w:rPr>
              <w:t>30     BUDGETARY REPORTING</w:t>
            </w:r>
          </w:p>
        </w:tc>
        <w:tc>
          <w:tcPr>
            <w:tcW w:w="1156" w:type="dxa"/>
            <w:tcBorders>
              <w:top w:val="nil"/>
              <w:left w:val="nil"/>
              <w:bottom w:val="nil"/>
              <w:right w:val="nil"/>
            </w:tcBorders>
            <w:shd w:val="clear" w:color="auto" w:fill="auto"/>
            <w:noWrap/>
            <w:vAlign w:val="center"/>
            <w:hideMark/>
          </w:tcPr>
          <w:p w14:paraId="4503440B" w14:textId="77777777" w:rsidR="00BC5219" w:rsidRPr="00BA1D33" w:rsidRDefault="00BC5219" w:rsidP="00E83802">
            <w:pPr>
              <w:rPr>
                <w:rFonts w:ascii="Meta Pro" w:eastAsia="Times New Roman" w:hAnsi="Meta Pro"/>
                <w:b/>
                <w:bCs/>
                <w:lang w:eastAsia="en-AU"/>
              </w:rPr>
            </w:pPr>
          </w:p>
        </w:tc>
        <w:tc>
          <w:tcPr>
            <w:tcW w:w="216" w:type="dxa"/>
            <w:tcBorders>
              <w:top w:val="nil"/>
              <w:left w:val="nil"/>
              <w:bottom w:val="nil"/>
              <w:right w:val="nil"/>
            </w:tcBorders>
            <w:shd w:val="clear" w:color="auto" w:fill="auto"/>
            <w:noWrap/>
            <w:vAlign w:val="center"/>
            <w:hideMark/>
          </w:tcPr>
          <w:p w14:paraId="295642BF" w14:textId="77777777" w:rsidR="00BC5219" w:rsidRPr="00BA1D33" w:rsidRDefault="00BC5219" w:rsidP="00E83802">
            <w:pPr>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6D4B70AD" w14:textId="77777777" w:rsidR="00BC5219" w:rsidRPr="00BA1D33" w:rsidRDefault="00BC5219" w:rsidP="00E83802">
            <w:pPr>
              <w:jc w:val="right"/>
              <w:rPr>
                <w:rFonts w:ascii="Times New Roman" w:eastAsia="Times New Roman" w:hAnsi="Times New Roman"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022E8E25" w14:textId="77777777" w:rsidR="00BC5219" w:rsidRPr="00BA1D33" w:rsidRDefault="00BC5219" w:rsidP="00E83802">
            <w:pPr>
              <w:jc w:val="right"/>
              <w:rPr>
                <w:rFonts w:ascii="Times New Roman" w:eastAsia="Times New Roman" w:hAnsi="Times New Roman" w:cs="Times New Roman"/>
                <w:sz w:val="20"/>
                <w:szCs w:val="20"/>
                <w:lang w:eastAsia="en-AU"/>
              </w:rPr>
            </w:pPr>
          </w:p>
        </w:tc>
        <w:tc>
          <w:tcPr>
            <w:tcW w:w="1157" w:type="dxa"/>
            <w:tcBorders>
              <w:top w:val="nil"/>
              <w:left w:val="nil"/>
              <w:bottom w:val="nil"/>
              <w:right w:val="nil"/>
            </w:tcBorders>
            <w:shd w:val="clear" w:color="auto" w:fill="auto"/>
            <w:noWrap/>
            <w:vAlign w:val="center"/>
            <w:hideMark/>
          </w:tcPr>
          <w:p w14:paraId="4F0FC721" w14:textId="77777777" w:rsidR="00BC5219" w:rsidRPr="00BA1D33" w:rsidRDefault="00BC5219" w:rsidP="00E83802">
            <w:pPr>
              <w:jc w:val="right"/>
              <w:rPr>
                <w:rFonts w:ascii="Times New Roman" w:eastAsia="Times New Roman" w:hAnsi="Times New Roman" w:cs="Times New Roman"/>
                <w:sz w:val="20"/>
                <w:szCs w:val="20"/>
                <w:lang w:eastAsia="en-AU"/>
              </w:rPr>
            </w:pPr>
          </w:p>
        </w:tc>
      </w:tr>
      <w:tr w:rsidR="00BC5219" w:rsidRPr="00BA1D33" w14:paraId="147638D7" w14:textId="77777777" w:rsidTr="00E83802">
        <w:trPr>
          <w:trHeight w:val="90"/>
        </w:trPr>
        <w:tc>
          <w:tcPr>
            <w:tcW w:w="6248" w:type="dxa"/>
            <w:tcBorders>
              <w:top w:val="nil"/>
              <w:left w:val="nil"/>
              <w:bottom w:val="nil"/>
              <w:right w:val="nil"/>
            </w:tcBorders>
            <w:shd w:val="clear" w:color="auto" w:fill="auto"/>
            <w:noWrap/>
            <w:vAlign w:val="center"/>
            <w:hideMark/>
          </w:tcPr>
          <w:p w14:paraId="492D3382" w14:textId="77777777" w:rsidR="00BC5219" w:rsidRPr="00BA1D33" w:rsidRDefault="00BC5219" w:rsidP="00E83802">
            <w:pPr>
              <w:jc w:val="right"/>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661DCF2D" w14:textId="77777777" w:rsidR="00BC5219" w:rsidRPr="00BA1D33" w:rsidRDefault="00BC5219" w:rsidP="00E83802">
            <w:pPr>
              <w:rPr>
                <w:rFonts w:ascii="Times New Roman" w:eastAsia="Times New Roman" w:hAnsi="Times New Roman"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20A1E018" w14:textId="77777777" w:rsidR="00BC5219" w:rsidRPr="00BA1D33" w:rsidRDefault="00BC5219" w:rsidP="00E83802">
            <w:pPr>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7D1EBE06" w14:textId="77777777" w:rsidR="00BC5219" w:rsidRPr="00BA1D33" w:rsidRDefault="00BC5219" w:rsidP="00E83802">
            <w:pPr>
              <w:jc w:val="right"/>
              <w:rPr>
                <w:rFonts w:ascii="Times New Roman" w:eastAsia="Times New Roman" w:hAnsi="Times New Roman"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1F6CED0F" w14:textId="77777777" w:rsidR="00BC5219" w:rsidRPr="00BA1D33" w:rsidRDefault="00BC5219" w:rsidP="00E83802">
            <w:pPr>
              <w:jc w:val="right"/>
              <w:rPr>
                <w:rFonts w:ascii="Times New Roman" w:eastAsia="Times New Roman" w:hAnsi="Times New Roman" w:cs="Times New Roman"/>
                <w:sz w:val="20"/>
                <w:szCs w:val="20"/>
                <w:lang w:eastAsia="en-AU"/>
              </w:rPr>
            </w:pPr>
          </w:p>
        </w:tc>
        <w:tc>
          <w:tcPr>
            <w:tcW w:w="1157" w:type="dxa"/>
            <w:tcBorders>
              <w:top w:val="nil"/>
              <w:left w:val="nil"/>
              <w:bottom w:val="nil"/>
              <w:right w:val="nil"/>
            </w:tcBorders>
            <w:shd w:val="clear" w:color="auto" w:fill="auto"/>
            <w:noWrap/>
            <w:vAlign w:val="center"/>
            <w:hideMark/>
          </w:tcPr>
          <w:p w14:paraId="30CF1C1C" w14:textId="77777777" w:rsidR="00BC5219" w:rsidRPr="00BA1D33" w:rsidRDefault="00BC5219" w:rsidP="00E83802">
            <w:pPr>
              <w:jc w:val="right"/>
              <w:rPr>
                <w:rFonts w:ascii="Times New Roman" w:eastAsia="Times New Roman" w:hAnsi="Times New Roman" w:cs="Times New Roman"/>
                <w:sz w:val="20"/>
                <w:szCs w:val="20"/>
                <w:lang w:eastAsia="en-AU"/>
              </w:rPr>
            </w:pPr>
          </w:p>
        </w:tc>
      </w:tr>
      <w:tr w:rsidR="00BC5219" w:rsidRPr="00BA1D33" w14:paraId="391B00AD" w14:textId="77777777" w:rsidTr="00E83802">
        <w:trPr>
          <w:trHeight w:val="540"/>
        </w:trPr>
        <w:tc>
          <w:tcPr>
            <w:tcW w:w="6248" w:type="dxa"/>
            <w:tcBorders>
              <w:top w:val="nil"/>
              <w:left w:val="nil"/>
              <w:bottom w:val="nil"/>
              <w:right w:val="nil"/>
            </w:tcBorders>
            <w:shd w:val="clear" w:color="auto" w:fill="auto"/>
            <w:noWrap/>
            <w:hideMark/>
          </w:tcPr>
          <w:p w14:paraId="166F3B58" w14:textId="77777777" w:rsidR="00BC5219" w:rsidRPr="00BA1D33" w:rsidRDefault="00BC5219" w:rsidP="00E83802">
            <w:pPr>
              <w:rPr>
                <w:rFonts w:ascii="Meta Pro" w:eastAsia="Times New Roman" w:hAnsi="Meta Pro"/>
                <w:b/>
                <w:bCs/>
                <w:szCs w:val="18"/>
                <w:lang w:eastAsia="en-AU"/>
              </w:rPr>
            </w:pPr>
            <w:r w:rsidRPr="00BA1D33">
              <w:rPr>
                <w:rFonts w:ascii="Meta Pro" w:eastAsia="Times New Roman" w:hAnsi="Meta Pro"/>
                <w:b/>
                <w:bCs/>
                <w:szCs w:val="18"/>
                <w:lang w:eastAsia="en-AU"/>
              </w:rPr>
              <w:t>STATEMENT OF COMPREHENSIVE INCOME</w:t>
            </w:r>
          </w:p>
        </w:tc>
        <w:tc>
          <w:tcPr>
            <w:tcW w:w="1156" w:type="dxa"/>
            <w:tcBorders>
              <w:top w:val="nil"/>
              <w:left w:val="nil"/>
              <w:bottom w:val="nil"/>
              <w:right w:val="nil"/>
            </w:tcBorders>
            <w:shd w:val="clear" w:color="auto" w:fill="auto"/>
            <w:hideMark/>
          </w:tcPr>
          <w:p w14:paraId="44444B07" w14:textId="77777777" w:rsidR="00BC5219" w:rsidRPr="00BA1D33" w:rsidRDefault="00BC5219" w:rsidP="00E83802">
            <w:pPr>
              <w:jc w:val="center"/>
              <w:rPr>
                <w:rFonts w:ascii="Meta Pro" w:eastAsia="Times New Roman" w:hAnsi="Meta Pro"/>
                <w:b/>
                <w:bCs/>
                <w:szCs w:val="18"/>
                <w:lang w:eastAsia="en-AU"/>
              </w:rPr>
            </w:pPr>
            <w:r w:rsidRPr="00BA1D33">
              <w:rPr>
                <w:rFonts w:ascii="Meta Pro" w:eastAsia="Times New Roman" w:hAnsi="Meta Pro"/>
                <w:b/>
                <w:bCs/>
                <w:szCs w:val="18"/>
                <w:lang w:eastAsia="en-AU"/>
              </w:rPr>
              <w:t xml:space="preserve">Original budget </w:t>
            </w:r>
          </w:p>
        </w:tc>
        <w:tc>
          <w:tcPr>
            <w:tcW w:w="216" w:type="dxa"/>
            <w:tcBorders>
              <w:top w:val="nil"/>
              <w:left w:val="nil"/>
              <w:bottom w:val="nil"/>
              <w:right w:val="nil"/>
            </w:tcBorders>
            <w:shd w:val="clear" w:color="auto" w:fill="auto"/>
            <w:hideMark/>
          </w:tcPr>
          <w:p w14:paraId="0AFF1DE5" w14:textId="77777777" w:rsidR="00BC5219" w:rsidRPr="00BA1D33" w:rsidRDefault="00BC5219" w:rsidP="00E83802">
            <w:pPr>
              <w:jc w:val="center"/>
              <w:rPr>
                <w:rFonts w:ascii="Meta Pro" w:eastAsia="Times New Roman" w:hAnsi="Meta Pro"/>
                <w:b/>
                <w:bCs/>
                <w:szCs w:val="18"/>
                <w:lang w:eastAsia="en-AU"/>
              </w:rPr>
            </w:pPr>
          </w:p>
        </w:tc>
        <w:tc>
          <w:tcPr>
            <w:tcW w:w="1156" w:type="dxa"/>
            <w:tcBorders>
              <w:top w:val="nil"/>
              <w:left w:val="nil"/>
              <w:bottom w:val="nil"/>
              <w:right w:val="nil"/>
            </w:tcBorders>
            <w:shd w:val="clear" w:color="auto" w:fill="auto"/>
            <w:hideMark/>
          </w:tcPr>
          <w:p w14:paraId="782A7F34" w14:textId="77777777" w:rsidR="00BC5219" w:rsidRPr="00BA1D33" w:rsidRDefault="00BC5219" w:rsidP="00E83802">
            <w:pPr>
              <w:jc w:val="center"/>
              <w:rPr>
                <w:rFonts w:ascii="Meta Pro" w:eastAsia="Times New Roman" w:hAnsi="Meta Pro"/>
                <w:b/>
                <w:bCs/>
                <w:szCs w:val="18"/>
                <w:lang w:eastAsia="en-AU"/>
              </w:rPr>
            </w:pPr>
            <w:r w:rsidRPr="00BA1D33">
              <w:rPr>
                <w:rFonts w:ascii="Meta Pro" w:eastAsia="Times New Roman" w:hAnsi="Meta Pro"/>
                <w:b/>
                <w:bCs/>
                <w:szCs w:val="18"/>
                <w:lang w:eastAsia="en-AU"/>
              </w:rPr>
              <w:t>Actual</w:t>
            </w:r>
            <w:r w:rsidRPr="00BA1D33">
              <w:rPr>
                <w:rFonts w:ascii="Meta Pro" w:eastAsia="Times New Roman" w:hAnsi="Meta Pro"/>
                <w:b/>
                <w:bCs/>
                <w:szCs w:val="18"/>
                <w:lang w:eastAsia="en-AU"/>
              </w:rPr>
              <w:br/>
              <w:t>result</w:t>
            </w:r>
          </w:p>
        </w:tc>
        <w:tc>
          <w:tcPr>
            <w:tcW w:w="216" w:type="dxa"/>
            <w:tcBorders>
              <w:top w:val="nil"/>
              <w:left w:val="nil"/>
              <w:bottom w:val="nil"/>
              <w:right w:val="nil"/>
            </w:tcBorders>
            <w:shd w:val="clear" w:color="auto" w:fill="auto"/>
            <w:hideMark/>
          </w:tcPr>
          <w:p w14:paraId="115EE3C2" w14:textId="77777777" w:rsidR="00BC5219" w:rsidRPr="00BA1D33" w:rsidRDefault="00BC5219" w:rsidP="00E83802">
            <w:pPr>
              <w:jc w:val="center"/>
              <w:rPr>
                <w:rFonts w:ascii="Meta Pro" w:eastAsia="Times New Roman" w:hAnsi="Meta Pro"/>
                <w:b/>
                <w:bCs/>
                <w:szCs w:val="18"/>
                <w:lang w:eastAsia="en-AU"/>
              </w:rPr>
            </w:pPr>
          </w:p>
        </w:tc>
        <w:tc>
          <w:tcPr>
            <w:tcW w:w="1157" w:type="dxa"/>
            <w:tcBorders>
              <w:top w:val="nil"/>
              <w:left w:val="nil"/>
              <w:bottom w:val="nil"/>
              <w:right w:val="nil"/>
            </w:tcBorders>
            <w:shd w:val="clear" w:color="auto" w:fill="auto"/>
            <w:hideMark/>
          </w:tcPr>
          <w:p w14:paraId="00543251" w14:textId="77777777" w:rsidR="00BC5219" w:rsidRPr="00BA1D33" w:rsidRDefault="00BC5219" w:rsidP="00E83802">
            <w:pPr>
              <w:jc w:val="center"/>
              <w:rPr>
                <w:rFonts w:ascii="Meta Pro" w:eastAsia="Times New Roman" w:hAnsi="Meta Pro"/>
                <w:b/>
                <w:bCs/>
                <w:szCs w:val="18"/>
                <w:lang w:eastAsia="en-AU"/>
              </w:rPr>
            </w:pPr>
            <w:r w:rsidRPr="00BA1D33">
              <w:rPr>
                <w:rFonts w:ascii="Meta Pro" w:eastAsia="Times New Roman" w:hAnsi="Meta Pro"/>
                <w:b/>
                <w:bCs/>
                <w:szCs w:val="18"/>
                <w:lang w:eastAsia="en-AU"/>
              </w:rPr>
              <w:t>Variance</w:t>
            </w:r>
          </w:p>
        </w:tc>
      </w:tr>
      <w:tr w:rsidR="00BC5219" w:rsidRPr="00BA1D33" w14:paraId="55B03933" w14:textId="77777777" w:rsidTr="00E83802">
        <w:trPr>
          <w:trHeight w:val="480"/>
        </w:trPr>
        <w:tc>
          <w:tcPr>
            <w:tcW w:w="6248" w:type="dxa"/>
            <w:tcBorders>
              <w:top w:val="nil"/>
              <w:left w:val="nil"/>
              <w:bottom w:val="nil"/>
              <w:right w:val="nil"/>
            </w:tcBorders>
            <w:shd w:val="clear" w:color="auto" w:fill="auto"/>
            <w:noWrap/>
            <w:vAlign w:val="center"/>
            <w:hideMark/>
          </w:tcPr>
          <w:p w14:paraId="5BF5CFFA" w14:textId="77777777" w:rsidR="00BC5219" w:rsidRPr="00BA1D33" w:rsidRDefault="00BC5219" w:rsidP="00E83802">
            <w:pPr>
              <w:jc w:val="center"/>
              <w:rPr>
                <w:rFonts w:ascii="Meta Pro" w:eastAsia="Times New Roman" w:hAnsi="Meta Pro"/>
                <w:b/>
                <w:bCs/>
                <w:szCs w:val="18"/>
                <w:lang w:eastAsia="en-AU"/>
              </w:rPr>
            </w:pPr>
          </w:p>
        </w:tc>
        <w:tc>
          <w:tcPr>
            <w:tcW w:w="1156" w:type="dxa"/>
            <w:tcBorders>
              <w:top w:val="nil"/>
              <w:left w:val="nil"/>
              <w:bottom w:val="nil"/>
              <w:right w:val="nil"/>
            </w:tcBorders>
            <w:shd w:val="clear" w:color="auto" w:fill="auto"/>
            <w:hideMark/>
          </w:tcPr>
          <w:p w14:paraId="00389DF7" w14:textId="77777777" w:rsidR="00BC5219" w:rsidRPr="00BA1D33" w:rsidRDefault="00BC5219" w:rsidP="00E83802">
            <w:pPr>
              <w:jc w:val="center"/>
              <w:rPr>
                <w:rFonts w:ascii="Meta Pro" w:eastAsia="Times New Roman" w:hAnsi="Meta Pro"/>
                <w:b/>
                <w:bCs/>
                <w:szCs w:val="18"/>
                <w:lang w:eastAsia="en-AU"/>
              </w:rPr>
            </w:pPr>
            <w:r w:rsidRPr="00BA1D33">
              <w:rPr>
                <w:rFonts w:ascii="Meta Pro" w:eastAsia="Times New Roman" w:hAnsi="Meta Pro"/>
                <w:b/>
                <w:bCs/>
                <w:szCs w:val="18"/>
                <w:lang w:eastAsia="en-AU"/>
              </w:rPr>
              <w:t>2023</w:t>
            </w:r>
            <w:r w:rsidRPr="00BA1D33">
              <w:rPr>
                <w:rFonts w:ascii="Meta Pro" w:eastAsia="Times New Roman" w:hAnsi="Meta Pro"/>
                <w:b/>
                <w:bCs/>
                <w:szCs w:val="18"/>
                <w:lang w:eastAsia="en-AU"/>
              </w:rPr>
              <w:br/>
              <w:t>$'000</w:t>
            </w:r>
          </w:p>
        </w:tc>
        <w:tc>
          <w:tcPr>
            <w:tcW w:w="216" w:type="dxa"/>
            <w:tcBorders>
              <w:top w:val="nil"/>
              <w:left w:val="nil"/>
              <w:bottom w:val="nil"/>
              <w:right w:val="nil"/>
            </w:tcBorders>
            <w:shd w:val="clear" w:color="auto" w:fill="auto"/>
            <w:hideMark/>
          </w:tcPr>
          <w:p w14:paraId="1710AEAD" w14:textId="77777777" w:rsidR="00BC5219" w:rsidRPr="00BA1D33" w:rsidRDefault="00BC5219" w:rsidP="00E83802">
            <w:pPr>
              <w:jc w:val="center"/>
              <w:rPr>
                <w:rFonts w:ascii="Meta Pro" w:eastAsia="Times New Roman" w:hAnsi="Meta Pro"/>
                <w:b/>
                <w:bCs/>
                <w:szCs w:val="18"/>
                <w:lang w:eastAsia="en-AU"/>
              </w:rPr>
            </w:pPr>
          </w:p>
        </w:tc>
        <w:tc>
          <w:tcPr>
            <w:tcW w:w="1156" w:type="dxa"/>
            <w:tcBorders>
              <w:top w:val="nil"/>
              <w:left w:val="nil"/>
              <w:bottom w:val="nil"/>
              <w:right w:val="nil"/>
            </w:tcBorders>
            <w:shd w:val="clear" w:color="auto" w:fill="auto"/>
            <w:hideMark/>
          </w:tcPr>
          <w:p w14:paraId="7609E130" w14:textId="77777777" w:rsidR="00BC5219" w:rsidRPr="00BA1D33" w:rsidRDefault="00BC5219" w:rsidP="00E83802">
            <w:pPr>
              <w:jc w:val="center"/>
              <w:rPr>
                <w:rFonts w:ascii="Meta Pro" w:eastAsia="Times New Roman" w:hAnsi="Meta Pro"/>
                <w:b/>
                <w:bCs/>
                <w:szCs w:val="18"/>
                <w:lang w:eastAsia="en-AU"/>
              </w:rPr>
            </w:pPr>
            <w:r w:rsidRPr="00BA1D33">
              <w:rPr>
                <w:rFonts w:ascii="Meta Pro" w:eastAsia="Times New Roman" w:hAnsi="Meta Pro"/>
                <w:b/>
                <w:bCs/>
                <w:szCs w:val="18"/>
                <w:lang w:eastAsia="en-AU"/>
              </w:rPr>
              <w:t>2023</w:t>
            </w:r>
            <w:r w:rsidRPr="00BA1D33">
              <w:rPr>
                <w:rFonts w:ascii="Meta Pro" w:eastAsia="Times New Roman" w:hAnsi="Meta Pro"/>
                <w:b/>
                <w:bCs/>
                <w:szCs w:val="18"/>
                <w:lang w:eastAsia="en-AU"/>
              </w:rPr>
              <w:br/>
              <w:t>$'000</w:t>
            </w:r>
          </w:p>
        </w:tc>
        <w:tc>
          <w:tcPr>
            <w:tcW w:w="216" w:type="dxa"/>
            <w:tcBorders>
              <w:top w:val="nil"/>
              <w:left w:val="nil"/>
              <w:bottom w:val="nil"/>
              <w:right w:val="nil"/>
            </w:tcBorders>
            <w:shd w:val="clear" w:color="auto" w:fill="auto"/>
            <w:hideMark/>
          </w:tcPr>
          <w:p w14:paraId="7410DB70" w14:textId="77777777" w:rsidR="00BC5219" w:rsidRPr="00BA1D33" w:rsidRDefault="00BC5219" w:rsidP="00E83802">
            <w:pPr>
              <w:jc w:val="center"/>
              <w:rPr>
                <w:rFonts w:ascii="Meta Pro" w:eastAsia="Times New Roman" w:hAnsi="Meta Pro"/>
                <w:b/>
                <w:bCs/>
                <w:szCs w:val="18"/>
                <w:lang w:eastAsia="en-AU"/>
              </w:rPr>
            </w:pPr>
          </w:p>
        </w:tc>
        <w:tc>
          <w:tcPr>
            <w:tcW w:w="1157" w:type="dxa"/>
            <w:tcBorders>
              <w:top w:val="nil"/>
              <w:left w:val="nil"/>
              <w:bottom w:val="nil"/>
              <w:right w:val="nil"/>
            </w:tcBorders>
            <w:shd w:val="clear" w:color="auto" w:fill="auto"/>
            <w:hideMark/>
          </w:tcPr>
          <w:p w14:paraId="45BF4469" w14:textId="77777777" w:rsidR="00BC5219" w:rsidRPr="00BA1D33" w:rsidRDefault="00BC5219" w:rsidP="00E83802">
            <w:pPr>
              <w:jc w:val="center"/>
              <w:rPr>
                <w:rFonts w:ascii="Meta Pro" w:eastAsia="Times New Roman" w:hAnsi="Meta Pro"/>
                <w:b/>
                <w:bCs/>
                <w:szCs w:val="18"/>
                <w:lang w:eastAsia="en-AU"/>
              </w:rPr>
            </w:pPr>
            <w:r w:rsidRPr="00BA1D33">
              <w:rPr>
                <w:rFonts w:ascii="Meta Pro" w:eastAsia="Times New Roman" w:hAnsi="Meta Pro"/>
                <w:b/>
                <w:bCs/>
                <w:szCs w:val="18"/>
                <w:lang w:eastAsia="en-AU"/>
              </w:rPr>
              <w:t>2023</w:t>
            </w:r>
            <w:r w:rsidRPr="00BA1D33">
              <w:rPr>
                <w:rFonts w:ascii="Meta Pro" w:eastAsia="Times New Roman" w:hAnsi="Meta Pro"/>
                <w:b/>
                <w:bCs/>
                <w:szCs w:val="18"/>
                <w:lang w:eastAsia="en-AU"/>
              </w:rPr>
              <w:br/>
              <w:t>$'000</w:t>
            </w:r>
          </w:p>
        </w:tc>
      </w:tr>
      <w:tr w:rsidR="00BC5219" w:rsidRPr="00BA1D33" w14:paraId="7483B44D" w14:textId="77777777" w:rsidTr="00E83802">
        <w:trPr>
          <w:trHeight w:val="238"/>
        </w:trPr>
        <w:tc>
          <w:tcPr>
            <w:tcW w:w="6248" w:type="dxa"/>
            <w:tcBorders>
              <w:top w:val="nil"/>
              <w:left w:val="nil"/>
              <w:bottom w:val="nil"/>
              <w:right w:val="nil"/>
            </w:tcBorders>
            <w:shd w:val="clear" w:color="auto" w:fill="auto"/>
            <w:noWrap/>
            <w:vAlign w:val="center"/>
            <w:hideMark/>
          </w:tcPr>
          <w:p w14:paraId="648F3730" w14:textId="77777777" w:rsidR="00BC5219" w:rsidRPr="00BA1D33" w:rsidRDefault="00BC5219" w:rsidP="00E83802">
            <w:pPr>
              <w:rPr>
                <w:rFonts w:ascii="Meta Pro" w:eastAsia="Times New Roman" w:hAnsi="Meta Pro"/>
                <w:b/>
                <w:bCs/>
                <w:szCs w:val="18"/>
                <w:lang w:eastAsia="en-AU"/>
              </w:rPr>
            </w:pPr>
            <w:r w:rsidRPr="00BA1D33">
              <w:rPr>
                <w:rFonts w:ascii="Meta Pro" w:eastAsia="Times New Roman" w:hAnsi="Meta Pro"/>
                <w:b/>
                <w:bCs/>
                <w:szCs w:val="18"/>
                <w:lang w:eastAsia="en-AU"/>
              </w:rPr>
              <w:t>Income</w:t>
            </w:r>
          </w:p>
        </w:tc>
        <w:tc>
          <w:tcPr>
            <w:tcW w:w="1156" w:type="dxa"/>
            <w:tcBorders>
              <w:top w:val="nil"/>
              <w:left w:val="nil"/>
              <w:bottom w:val="nil"/>
              <w:right w:val="nil"/>
            </w:tcBorders>
            <w:shd w:val="clear" w:color="auto" w:fill="auto"/>
            <w:vAlign w:val="center"/>
            <w:hideMark/>
          </w:tcPr>
          <w:p w14:paraId="65450839" w14:textId="77777777" w:rsidR="00BC5219" w:rsidRPr="00BA1D33" w:rsidRDefault="00BC5219" w:rsidP="00E83802">
            <w:pPr>
              <w:rPr>
                <w:rFonts w:ascii="Meta Pro" w:eastAsia="Times New Roman" w:hAnsi="Meta Pro"/>
                <w:b/>
                <w:bCs/>
                <w:szCs w:val="18"/>
                <w:lang w:eastAsia="en-AU"/>
              </w:rPr>
            </w:pPr>
          </w:p>
        </w:tc>
        <w:tc>
          <w:tcPr>
            <w:tcW w:w="216" w:type="dxa"/>
            <w:tcBorders>
              <w:top w:val="nil"/>
              <w:left w:val="nil"/>
              <w:bottom w:val="nil"/>
              <w:right w:val="nil"/>
            </w:tcBorders>
            <w:shd w:val="clear" w:color="auto" w:fill="auto"/>
            <w:vAlign w:val="center"/>
            <w:hideMark/>
          </w:tcPr>
          <w:p w14:paraId="2459601B" w14:textId="77777777" w:rsidR="00BC5219" w:rsidRPr="00BA1D33" w:rsidRDefault="00BC5219" w:rsidP="00E83802">
            <w:pPr>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vAlign w:val="center"/>
            <w:hideMark/>
          </w:tcPr>
          <w:p w14:paraId="13C8A6C8" w14:textId="77777777" w:rsidR="00BC5219" w:rsidRPr="00BA1D33" w:rsidRDefault="00BC5219" w:rsidP="00E83802">
            <w:pPr>
              <w:jc w:val="center"/>
              <w:rPr>
                <w:rFonts w:ascii="Times New Roman" w:eastAsia="Times New Roman" w:hAnsi="Times New Roman" w:cs="Times New Roman"/>
                <w:sz w:val="20"/>
                <w:szCs w:val="20"/>
                <w:lang w:eastAsia="en-AU"/>
              </w:rPr>
            </w:pPr>
          </w:p>
        </w:tc>
        <w:tc>
          <w:tcPr>
            <w:tcW w:w="216" w:type="dxa"/>
            <w:tcBorders>
              <w:top w:val="nil"/>
              <w:left w:val="nil"/>
              <w:bottom w:val="nil"/>
              <w:right w:val="nil"/>
            </w:tcBorders>
            <w:shd w:val="clear" w:color="auto" w:fill="auto"/>
            <w:vAlign w:val="center"/>
            <w:hideMark/>
          </w:tcPr>
          <w:p w14:paraId="13B2F843" w14:textId="77777777" w:rsidR="00BC5219" w:rsidRPr="00BA1D33" w:rsidRDefault="00BC5219" w:rsidP="00E83802">
            <w:pPr>
              <w:rPr>
                <w:rFonts w:ascii="Times New Roman" w:eastAsia="Times New Roman" w:hAnsi="Times New Roman" w:cs="Times New Roman"/>
                <w:sz w:val="20"/>
                <w:szCs w:val="20"/>
                <w:lang w:eastAsia="en-AU"/>
              </w:rPr>
            </w:pPr>
          </w:p>
        </w:tc>
        <w:tc>
          <w:tcPr>
            <w:tcW w:w="1157" w:type="dxa"/>
            <w:tcBorders>
              <w:top w:val="nil"/>
              <w:left w:val="nil"/>
              <w:bottom w:val="nil"/>
              <w:right w:val="nil"/>
            </w:tcBorders>
            <w:shd w:val="clear" w:color="auto" w:fill="auto"/>
            <w:noWrap/>
            <w:vAlign w:val="center"/>
            <w:hideMark/>
          </w:tcPr>
          <w:p w14:paraId="53EADF41" w14:textId="77777777" w:rsidR="00BC5219" w:rsidRPr="00BA1D33" w:rsidRDefault="00BC5219" w:rsidP="00E83802">
            <w:pPr>
              <w:jc w:val="center"/>
              <w:rPr>
                <w:rFonts w:ascii="Times New Roman" w:eastAsia="Times New Roman" w:hAnsi="Times New Roman" w:cs="Times New Roman"/>
                <w:sz w:val="20"/>
                <w:szCs w:val="20"/>
                <w:lang w:eastAsia="en-AU"/>
              </w:rPr>
            </w:pPr>
          </w:p>
        </w:tc>
      </w:tr>
      <w:tr w:rsidR="00BC5219" w:rsidRPr="00BA1D33" w14:paraId="4A8FA98A" w14:textId="77777777" w:rsidTr="00E83802">
        <w:trPr>
          <w:trHeight w:val="238"/>
        </w:trPr>
        <w:tc>
          <w:tcPr>
            <w:tcW w:w="6248" w:type="dxa"/>
            <w:tcBorders>
              <w:top w:val="nil"/>
              <w:left w:val="nil"/>
              <w:bottom w:val="nil"/>
              <w:right w:val="nil"/>
            </w:tcBorders>
            <w:shd w:val="clear" w:color="auto" w:fill="auto"/>
            <w:noWrap/>
            <w:vAlign w:val="center"/>
            <w:hideMark/>
          </w:tcPr>
          <w:p w14:paraId="7BA8D931" w14:textId="77777777" w:rsidR="00BC5219" w:rsidRPr="00BA1D33" w:rsidRDefault="00BC5219" w:rsidP="00E83802">
            <w:pPr>
              <w:rPr>
                <w:rFonts w:ascii="Meta Pro" w:eastAsia="Times New Roman" w:hAnsi="Meta Pro"/>
                <w:szCs w:val="18"/>
                <w:lang w:eastAsia="en-AU"/>
              </w:rPr>
            </w:pPr>
            <w:r w:rsidRPr="00BA1D33">
              <w:rPr>
                <w:rFonts w:ascii="Meta Pro" w:eastAsia="Times New Roman" w:hAnsi="Meta Pro"/>
                <w:szCs w:val="18"/>
                <w:lang w:eastAsia="en-AU"/>
              </w:rPr>
              <w:t>Appropriation revenue</w:t>
            </w:r>
          </w:p>
        </w:tc>
        <w:tc>
          <w:tcPr>
            <w:tcW w:w="1156" w:type="dxa"/>
            <w:tcBorders>
              <w:top w:val="nil"/>
              <w:left w:val="nil"/>
              <w:bottom w:val="nil"/>
              <w:right w:val="nil"/>
            </w:tcBorders>
            <w:shd w:val="clear" w:color="auto" w:fill="auto"/>
            <w:noWrap/>
            <w:vAlign w:val="center"/>
            <w:hideMark/>
          </w:tcPr>
          <w:p w14:paraId="17A12A4F"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6,228,502 </w:t>
            </w:r>
          </w:p>
        </w:tc>
        <w:tc>
          <w:tcPr>
            <w:tcW w:w="216" w:type="dxa"/>
            <w:tcBorders>
              <w:top w:val="nil"/>
              <w:left w:val="nil"/>
              <w:bottom w:val="nil"/>
              <w:right w:val="nil"/>
            </w:tcBorders>
            <w:shd w:val="clear" w:color="auto" w:fill="auto"/>
            <w:noWrap/>
            <w:vAlign w:val="center"/>
            <w:hideMark/>
          </w:tcPr>
          <w:p w14:paraId="1CE0D5C5" w14:textId="77777777" w:rsidR="00BC5219" w:rsidRPr="00BA1D33"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78759B76"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6,371,614 </w:t>
            </w:r>
          </w:p>
        </w:tc>
        <w:tc>
          <w:tcPr>
            <w:tcW w:w="216" w:type="dxa"/>
            <w:tcBorders>
              <w:top w:val="nil"/>
              <w:left w:val="nil"/>
              <w:bottom w:val="nil"/>
              <w:right w:val="nil"/>
            </w:tcBorders>
            <w:shd w:val="clear" w:color="auto" w:fill="auto"/>
            <w:noWrap/>
            <w:vAlign w:val="center"/>
            <w:hideMark/>
          </w:tcPr>
          <w:p w14:paraId="52DA0736" w14:textId="77777777" w:rsidR="00BC5219" w:rsidRPr="00BA1D33"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11537A83"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143,112 </w:t>
            </w:r>
          </w:p>
        </w:tc>
      </w:tr>
      <w:tr w:rsidR="00BC5219" w:rsidRPr="00BA1D33" w14:paraId="3ACC6B43" w14:textId="77777777" w:rsidTr="00E83802">
        <w:trPr>
          <w:trHeight w:val="238"/>
        </w:trPr>
        <w:tc>
          <w:tcPr>
            <w:tcW w:w="6248" w:type="dxa"/>
            <w:tcBorders>
              <w:top w:val="nil"/>
              <w:left w:val="nil"/>
              <w:bottom w:val="nil"/>
              <w:right w:val="nil"/>
            </w:tcBorders>
            <w:shd w:val="clear" w:color="auto" w:fill="auto"/>
            <w:noWrap/>
            <w:vAlign w:val="center"/>
            <w:hideMark/>
          </w:tcPr>
          <w:p w14:paraId="0467E495" w14:textId="77777777" w:rsidR="00BC5219" w:rsidRPr="00BA1D33" w:rsidRDefault="00BC5219" w:rsidP="00E83802">
            <w:pPr>
              <w:rPr>
                <w:rFonts w:ascii="Meta Pro" w:eastAsia="Times New Roman" w:hAnsi="Meta Pro"/>
                <w:szCs w:val="18"/>
                <w:lang w:eastAsia="en-AU"/>
              </w:rPr>
            </w:pPr>
            <w:r w:rsidRPr="00BA1D33">
              <w:rPr>
                <w:rFonts w:ascii="Meta Pro" w:eastAsia="Times New Roman" w:hAnsi="Meta Pro"/>
                <w:szCs w:val="18"/>
                <w:lang w:eastAsia="en-AU"/>
              </w:rPr>
              <w:t>User charges and fees</w:t>
            </w:r>
          </w:p>
        </w:tc>
        <w:tc>
          <w:tcPr>
            <w:tcW w:w="1156" w:type="dxa"/>
            <w:tcBorders>
              <w:top w:val="nil"/>
              <w:left w:val="nil"/>
              <w:bottom w:val="nil"/>
              <w:right w:val="nil"/>
            </w:tcBorders>
            <w:shd w:val="clear" w:color="auto" w:fill="auto"/>
            <w:noWrap/>
            <w:vAlign w:val="center"/>
            <w:hideMark/>
          </w:tcPr>
          <w:p w14:paraId="20B8EC9E"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663,432 </w:t>
            </w:r>
          </w:p>
        </w:tc>
        <w:tc>
          <w:tcPr>
            <w:tcW w:w="216" w:type="dxa"/>
            <w:tcBorders>
              <w:top w:val="nil"/>
              <w:left w:val="nil"/>
              <w:bottom w:val="nil"/>
              <w:right w:val="nil"/>
            </w:tcBorders>
            <w:shd w:val="clear" w:color="auto" w:fill="auto"/>
            <w:noWrap/>
            <w:vAlign w:val="center"/>
            <w:hideMark/>
          </w:tcPr>
          <w:p w14:paraId="715A1D9F" w14:textId="77777777" w:rsidR="00BC5219" w:rsidRPr="00BA1D33"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292F4DC1"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778,843 </w:t>
            </w:r>
          </w:p>
        </w:tc>
        <w:tc>
          <w:tcPr>
            <w:tcW w:w="216" w:type="dxa"/>
            <w:tcBorders>
              <w:top w:val="nil"/>
              <w:left w:val="nil"/>
              <w:bottom w:val="nil"/>
              <w:right w:val="nil"/>
            </w:tcBorders>
            <w:shd w:val="clear" w:color="auto" w:fill="auto"/>
            <w:noWrap/>
            <w:vAlign w:val="center"/>
            <w:hideMark/>
          </w:tcPr>
          <w:p w14:paraId="16C6BBA9" w14:textId="77777777" w:rsidR="00BC5219" w:rsidRPr="00BA1D33"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6119EE00"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115,411 </w:t>
            </w:r>
          </w:p>
        </w:tc>
      </w:tr>
      <w:tr w:rsidR="00BC5219" w:rsidRPr="00BA1D33" w14:paraId="643F4CE6" w14:textId="77777777" w:rsidTr="00E83802">
        <w:trPr>
          <w:trHeight w:val="238"/>
        </w:trPr>
        <w:tc>
          <w:tcPr>
            <w:tcW w:w="6248" w:type="dxa"/>
            <w:tcBorders>
              <w:top w:val="nil"/>
              <w:left w:val="nil"/>
              <w:bottom w:val="nil"/>
              <w:right w:val="nil"/>
            </w:tcBorders>
            <w:shd w:val="clear" w:color="auto" w:fill="auto"/>
            <w:noWrap/>
            <w:vAlign w:val="center"/>
            <w:hideMark/>
          </w:tcPr>
          <w:p w14:paraId="4F3BCD72" w14:textId="77777777" w:rsidR="00BC5219" w:rsidRPr="00BA1D33" w:rsidRDefault="00BC5219" w:rsidP="00E83802">
            <w:pPr>
              <w:rPr>
                <w:rFonts w:ascii="Meta Pro" w:eastAsia="Times New Roman" w:hAnsi="Meta Pro"/>
                <w:szCs w:val="18"/>
                <w:lang w:eastAsia="en-AU"/>
              </w:rPr>
            </w:pPr>
            <w:r w:rsidRPr="00BA1D33">
              <w:rPr>
                <w:rFonts w:ascii="Meta Pro" w:eastAsia="Times New Roman" w:hAnsi="Meta Pro"/>
                <w:szCs w:val="18"/>
                <w:lang w:eastAsia="en-AU"/>
              </w:rPr>
              <w:t>Grants and other contributions</w:t>
            </w:r>
          </w:p>
        </w:tc>
        <w:tc>
          <w:tcPr>
            <w:tcW w:w="1156" w:type="dxa"/>
            <w:tcBorders>
              <w:top w:val="nil"/>
              <w:left w:val="nil"/>
              <w:bottom w:val="nil"/>
              <w:right w:val="nil"/>
            </w:tcBorders>
            <w:shd w:val="clear" w:color="auto" w:fill="auto"/>
            <w:noWrap/>
            <w:vAlign w:val="center"/>
            <w:hideMark/>
          </w:tcPr>
          <w:p w14:paraId="44455BAA"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189,096 </w:t>
            </w:r>
          </w:p>
        </w:tc>
        <w:tc>
          <w:tcPr>
            <w:tcW w:w="216" w:type="dxa"/>
            <w:tcBorders>
              <w:top w:val="nil"/>
              <w:left w:val="nil"/>
              <w:bottom w:val="nil"/>
              <w:right w:val="nil"/>
            </w:tcBorders>
            <w:shd w:val="clear" w:color="auto" w:fill="auto"/>
            <w:noWrap/>
            <w:vAlign w:val="center"/>
            <w:hideMark/>
          </w:tcPr>
          <w:p w14:paraId="33DA6D03" w14:textId="77777777" w:rsidR="00BC5219" w:rsidRPr="00BA1D33"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5D94E747"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276,088 </w:t>
            </w:r>
          </w:p>
        </w:tc>
        <w:tc>
          <w:tcPr>
            <w:tcW w:w="216" w:type="dxa"/>
            <w:tcBorders>
              <w:top w:val="nil"/>
              <w:left w:val="nil"/>
              <w:bottom w:val="nil"/>
              <w:right w:val="nil"/>
            </w:tcBorders>
            <w:shd w:val="clear" w:color="auto" w:fill="auto"/>
            <w:noWrap/>
            <w:vAlign w:val="center"/>
            <w:hideMark/>
          </w:tcPr>
          <w:p w14:paraId="34796ACE" w14:textId="77777777" w:rsidR="00BC5219" w:rsidRPr="00BA1D33"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31033CC6"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86,992 </w:t>
            </w:r>
          </w:p>
        </w:tc>
      </w:tr>
      <w:tr w:rsidR="00BC5219" w:rsidRPr="00BA1D33" w14:paraId="7DE2C590" w14:textId="77777777" w:rsidTr="00E83802">
        <w:trPr>
          <w:trHeight w:val="238"/>
        </w:trPr>
        <w:tc>
          <w:tcPr>
            <w:tcW w:w="6248" w:type="dxa"/>
            <w:tcBorders>
              <w:top w:val="nil"/>
              <w:left w:val="nil"/>
              <w:bottom w:val="nil"/>
              <w:right w:val="nil"/>
            </w:tcBorders>
            <w:shd w:val="clear" w:color="auto" w:fill="auto"/>
            <w:noWrap/>
            <w:vAlign w:val="center"/>
            <w:hideMark/>
          </w:tcPr>
          <w:p w14:paraId="6B75ECA4" w14:textId="77777777" w:rsidR="00BC5219" w:rsidRPr="00BA1D33" w:rsidRDefault="00BC5219" w:rsidP="00E83802">
            <w:pPr>
              <w:rPr>
                <w:rFonts w:ascii="Meta Pro" w:eastAsia="Times New Roman" w:hAnsi="Meta Pro"/>
                <w:szCs w:val="18"/>
                <w:lang w:eastAsia="en-AU"/>
              </w:rPr>
            </w:pPr>
            <w:r w:rsidRPr="00BA1D33">
              <w:rPr>
                <w:rFonts w:ascii="Meta Pro" w:eastAsia="Times New Roman" w:hAnsi="Meta Pro"/>
                <w:szCs w:val="18"/>
                <w:lang w:eastAsia="en-AU"/>
              </w:rPr>
              <w:t>Service concession arrangements revenue</w:t>
            </w:r>
          </w:p>
        </w:tc>
        <w:tc>
          <w:tcPr>
            <w:tcW w:w="1156" w:type="dxa"/>
            <w:tcBorders>
              <w:top w:val="nil"/>
              <w:left w:val="nil"/>
              <w:bottom w:val="nil"/>
              <w:right w:val="nil"/>
            </w:tcBorders>
            <w:shd w:val="clear" w:color="auto" w:fill="auto"/>
            <w:noWrap/>
            <w:vAlign w:val="center"/>
            <w:hideMark/>
          </w:tcPr>
          <w:p w14:paraId="26044EA9"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232,180 </w:t>
            </w:r>
          </w:p>
        </w:tc>
        <w:tc>
          <w:tcPr>
            <w:tcW w:w="216" w:type="dxa"/>
            <w:tcBorders>
              <w:top w:val="nil"/>
              <w:left w:val="nil"/>
              <w:bottom w:val="nil"/>
              <w:right w:val="nil"/>
            </w:tcBorders>
            <w:shd w:val="clear" w:color="auto" w:fill="auto"/>
            <w:noWrap/>
            <w:vAlign w:val="center"/>
            <w:hideMark/>
          </w:tcPr>
          <w:p w14:paraId="0E4A5F45" w14:textId="77777777" w:rsidR="00BC5219" w:rsidRPr="00BA1D33"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5635A48B"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232,180 </w:t>
            </w:r>
          </w:p>
        </w:tc>
        <w:tc>
          <w:tcPr>
            <w:tcW w:w="216" w:type="dxa"/>
            <w:tcBorders>
              <w:top w:val="nil"/>
              <w:left w:val="nil"/>
              <w:bottom w:val="nil"/>
              <w:right w:val="nil"/>
            </w:tcBorders>
            <w:shd w:val="clear" w:color="auto" w:fill="auto"/>
            <w:noWrap/>
            <w:vAlign w:val="center"/>
            <w:hideMark/>
          </w:tcPr>
          <w:p w14:paraId="62F65777" w14:textId="77777777" w:rsidR="00BC5219" w:rsidRPr="00BA1D33"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1F864A72"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 </w:t>
            </w:r>
          </w:p>
        </w:tc>
      </w:tr>
      <w:tr w:rsidR="00BC5219" w:rsidRPr="00BA1D33" w14:paraId="11363022" w14:textId="77777777" w:rsidTr="00E83802">
        <w:trPr>
          <w:trHeight w:val="238"/>
        </w:trPr>
        <w:tc>
          <w:tcPr>
            <w:tcW w:w="6248" w:type="dxa"/>
            <w:tcBorders>
              <w:top w:val="nil"/>
              <w:left w:val="nil"/>
              <w:bottom w:val="nil"/>
              <w:right w:val="nil"/>
            </w:tcBorders>
            <w:shd w:val="clear" w:color="auto" w:fill="auto"/>
            <w:noWrap/>
            <w:vAlign w:val="center"/>
            <w:hideMark/>
          </w:tcPr>
          <w:p w14:paraId="7FC21075" w14:textId="77777777" w:rsidR="00BC5219" w:rsidRPr="00BA1D33" w:rsidRDefault="00BC5219" w:rsidP="00E83802">
            <w:pPr>
              <w:rPr>
                <w:rFonts w:ascii="Meta Pro" w:eastAsia="Times New Roman" w:hAnsi="Meta Pro"/>
                <w:szCs w:val="18"/>
                <w:lang w:eastAsia="en-AU"/>
              </w:rPr>
            </w:pPr>
            <w:r w:rsidRPr="00BA1D33">
              <w:rPr>
                <w:rFonts w:ascii="Meta Pro" w:eastAsia="Times New Roman" w:hAnsi="Meta Pro"/>
                <w:szCs w:val="18"/>
                <w:lang w:eastAsia="en-AU"/>
              </w:rPr>
              <w:t>Other revenue</w:t>
            </w:r>
          </w:p>
        </w:tc>
        <w:tc>
          <w:tcPr>
            <w:tcW w:w="1156" w:type="dxa"/>
            <w:tcBorders>
              <w:top w:val="nil"/>
              <w:left w:val="nil"/>
              <w:bottom w:val="nil"/>
              <w:right w:val="nil"/>
            </w:tcBorders>
            <w:shd w:val="clear" w:color="auto" w:fill="auto"/>
            <w:noWrap/>
            <w:vAlign w:val="center"/>
            <w:hideMark/>
          </w:tcPr>
          <w:p w14:paraId="52FE4F1D"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13,676 </w:t>
            </w:r>
          </w:p>
        </w:tc>
        <w:tc>
          <w:tcPr>
            <w:tcW w:w="216" w:type="dxa"/>
            <w:tcBorders>
              <w:top w:val="nil"/>
              <w:left w:val="nil"/>
              <w:bottom w:val="nil"/>
              <w:right w:val="nil"/>
            </w:tcBorders>
            <w:shd w:val="clear" w:color="auto" w:fill="auto"/>
            <w:noWrap/>
            <w:vAlign w:val="center"/>
            <w:hideMark/>
          </w:tcPr>
          <w:p w14:paraId="012DFA0F" w14:textId="77777777" w:rsidR="00BC5219" w:rsidRPr="00BA1D33"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5BDEC1DA"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31,784 </w:t>
            </w:r>
          </w:p>
        </w:tc>
        <w:tc>
          <w:tcPr>
            <w:tcW w:w="216" w:type="dxa"/>
            <w:tcBorders>
              <w:top w:val="nil"/>
              <w:left w:val="nil"/>
              <w:bottom w:val="nil"/>
              <w:right w:val="nil"/>
            </w:tcBorders>
            <w:shd w:val="clear" w:color="auto" w:fill="auto"/>
            <w:noWrap/>
            <w:vAlign w:val="center"/>
            <w:hideMark/>
          </w:tcPr>
          <w:p w14:paraId="0BBFAF14" w14:textId="77777777" w:rsidR="00BC5219" w:rsidRPr="00BA1D33"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53AC39E7"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18,108 </w:t>
            </w:r>
          </w:p>
        </w:tc>
      </w:tr>
      <w:tr w:rsidR="00BC5219" w:rsidRPr="00BA1D33" w14:paraId="1FF31D03" w14:textId="77777777" w:rsidTr="00E83802">
        <w:trPr>
          <w:trHeight w:val="238"/>
        </w:trPr>
        <w:tc>
          <w:tcPr>
            <w:tcW w:w="6248" w:type="dxa"/>
            <w:tcBorders>
              <w:top w:val="single" w:sz="4" w:space="0" w:color="auto"/>
              <w:left w:val="nil"/>
              <w:bottom w:val="nil"/>
              <w:right w:val="nil"/>
            </w:tcBorders>
            <w:shd w:val="clear" w:color="auto" w:fill="auto"/>
            <w:noWrap/>
            <w:vAlign w:val="center"/>
            <w:hideMark/>
          </w:tcPr>
          <w:p w14:paraId="66E13A54" w14:textId="77777777" w:rsidR="00BC5219" w:rsidRPr="00BA1D33" w:rsidRDefault="00BC5219" w:rsidP="00E83802">
            <w:pPr>
              <w:rPr>
                <w:rFonts w:ascii="Meta Pro" w:eastAsia="Times New Roman" w:hAnsi="Meta Pro"/>
                <w:b/>
                <w:bCs/>
                <w:szCs w:val="18"/>
                <w:lang w:eastAsia="en-AU"/>
              </w:rPr>
            </w:pPr>
            <w:r w:rsidRPr="00BA1D33">
              <w:rPr>
                <w:rFonts w:ascii="Meta Pro" w:eastAsia="Times New Roman" w:hAnsi="Meta Pro"/>
                <w:b/>
                <w:bCs/>
                <w:szCs w:val="18"/>
                <w:lang w:eastAsia="en-AU"/>
              </w:rPr>
              <w:t>Total revenue</w:t>
            </w:r>
          </w:p>
        </w:tc>
        <w:tc>
          <w:tcPr>
            <w:tcW w:w="1156" w:type="dxa"/>
            <w:tcBorders>
              <w:top w:val="single" w:sz="4" w:space="0" w:color="auto"/>
              <w:left w:val="nil"/>
              <w:bottom w:val="nil"/>
              <w:right w:val="nil"/>
            </w:tcBorders>
            <w:shd w:val="clear" w:color="auto" w:fill="auto"/>
            <w:noWrap/>
            <w:vAlign w:val="center"/>
            <w:hideMark/>
          </w:tcPr>
          <w:p w14:paraId="69878846" w14:textId="77777777" w:rsidR="00BC5219" w:rsidRPr="00BA1D33" w:rsidRDefault="00BC5219" w:rsidP="00E83802">
            <w:pPr>
              <w:jc w:val="right"/>
              <w:rPr>
                <w:rFonts w:ascii="Meta Pro" w:eastAsia="Times New Roman" w:hAnsi="Meta Pro"/>
                <w:b/>
                <w:bCs/>
                <w:szCs w:val="18"/>
                <w:lang w:eastAsia="en-AU"/>
              </w:rPr>
            </w:pPr>
            <w:r w:rsidRPr="00BA1D33">
              <w:rPr>
                <w:rFonts w:ascii="Meta Pro" w:eastAsia="Times New Roman" w:hAnsi="Meta Pro"/>
                <w:b/>
                <w:bCs/>
                <w:szCs w:val="18"/>
                <w:lang w:eastAsia="en-AU"/>
              </w:rPr>
              <w:t xml:space="preserve">7,326,886 </w:t>
            </w:r>
          </w:p>
        </w:tc>
        <w:tc>
          <w:tcPr>
            <w:tcW w:w="216" w:type="dxa"/>
            <w:tcBorders>
              <w:top w:val="single" w:sz="4" w:space="0" w:color="auto"/>
              <w:left w:val="nil"/>
              <w:bottom w:val="nil"/>
              <w:right w:val="nil"/>
            </w:tcBorders>
            <w:shd w:val="clear" w:color="auto" w:fill="auto"/>
            <w:noWrap/>
            <w:vAlign w:val="center"/>
            <w:hideMark/>
          </w:tcPr>
          <w:p w14:paraId="0F83C484" w14:textId="77777777" w:rsidR="00BC5219" w:rsidRPr="00BA1D33" w:rsidRDefault="00BC5219" w:rsidP="00E83802">
            <w:pPr>
              <w:jc w:val="right"/>
              <w:rPr>
                <w:rFonts w:ascii="Meta Pro" w:eastAsia="Times New Roman" w:hAnsi="Meta Pro"/>
                <w:b/>
                <w:bCs/>
                <w:szCs w:val="18"/>
                <w:lang w:eastAsia="en-AU"/>
              </w:rPr>
            </w:pPr>
            <w:r w:rsidRPr="00BA1D33">
              <w:rPr>
                <w:rFonts w:ascii="Meta Pro" w:eastAsia="Times New Roman" w:hAnsi="Meta Pro"/>
                <w:b/>
                <w:bCs/>
                <w:szCs w:val="18"/>
                <w:lang w:eastAsia="en-AU"/>
              </w:rPr>
              <w:t> </w:t>
            </w:r>
          </w:p>
        </w:tc>
        <w:tc>
          <w:tcPr>
            <w:tcW w:w="1156" w:type="dxa"/>
            <w:tcBorders>
              <w:top w:val="single" w:sz="4" w:space="0" w:color="auto"/>
              <w:left w:val="nil"/>
              <w:bottom w:val="nil"/>
              <w:right w:val="nil"/>
            </w:tcBorders>
            <w:shd w:val="clear" w:color="auto" w:fill="auto"/>
            <w:noWrap/>
            <w:vAlign w:val="center"/>
            <w:hideMark/>
          </w:tcPr>
          <w:p w14:paraId="4D16C2AF" w14:textId="77777777" w:rsidR="00BC5219" w:rsidRPr="00BA1D33" w:rsidRDefault="00BC5219" w:rsidP="00E83802">
            <w:pPr>
              <w:jc w:val="right"/>
              <w:rPr>
                <w:rFonts w:ascii="Meta Pro" w:eastAsia="Times New Roman" w:hAnsi="Meta Pro"/>
                <w:b/>
                <w:bCs/>
                <w:szCs w:val="18"/>
                <w:lang w:eastAsia="en-AU"/>
              </w:rPr>
            </w:pPr>
            <w:r w:rsidRPr="00BA1D33">
              <w:rPr>
                <w:rFonts w:ascii="Meta Pro" w:eastAsia="Times New Roman" w:hAnsi="Meta Pro"/>
                <w:b/>
                <w:bCs/>
                <w:szCs w:val="18"/>
                <w:lang w:eastAsia="en-AU"/>
              </w:rPr>
              <w:t xml:space="preserve">7,690,509 </w:t>
            </w:r>
          </w:p>
        </w:tc>
        <w:tc>
          <w:tcPr>
            <w:tcW w:w="216" w:type="dxa"/>
            <w:tcBorders>
              <w:top w:val="single" w:sz="4" w:space="0" w:color="auto"/>
              <w:left w:val="nil"/>
              <w:bottom w:val="nil"/>
              <w:right w:val="nil"/>
            </w:tcBorders>
            <w:shd w:val="clear" w:color="auto" w:fill="auto"/>
            <w:noWrap/>
            <w:vAlign w:val="center"/>
            <w:hideMark/>
          </w:tcPr>
          <w:p w14:paraId="7D379F65" w14:textId="77777777" w:rsidR="00BC5219" w:rsidRPr="00BA1D33" w:rsidRDefault="00BC5219" w:rsidP="00E83802">
            <w:pPr>
              <w:jc w:val="right"/>
              <w:rPr>
                <w:rFonts w:ascii="Meta Pro" w:eastAsia="Times New Roman" w:hAnsi="Meta Pro"/>
                <w:b/>
                <w:bCs/>
                <w:szCs w:val="18"/>
                <w:lang w:eastAsia="en-AU"/>
              </w:rPr>
            </w:pPr>
            <w:r w:rsidRPr="00BA1D33">
              <w:rPr>
                <w:rFonts w:ascii="Meta Pro" w:eastAsia="Times New Roman" w:hAnsi="Meta Pro"/>
                <w:b/>
                <w:bCs/>
                <w:szCs w:val="18"/>
                <w:lang w:eastAsia="en-AU"/>
              </w:rPr>
              <w:t> </w:t>
            </w:r>
          </w:p>
        </w:tc>
        <w:tc>
          <w:tcPr>
            <w:tcW w:w="1157" w:type="dxa"/>
            <w:tcBorders>
              <w:top w:val="single" w:sz="4" w:space="0" w:color="auto"/>
              <w:left w:val="nil"/>
              <w:bottom w:val="nil"/>
              <w:right w:val="nil"/>
            </w:tcBorders>
            <w:shd w:val="clear" w:color="auto" w:fill="auto"/>
            <w:noWrap/>
            <w:vAlign w:val="center"/>
            <w:hideMark/>
          </w:tcPr>
          <w:p w14:paraId="59EACE24" w14:textId="77777777" w:rsidR="00BC5219" w:rsidRPr="00BA1D33" w:rsidRDefault="00BC5219" w:rsidP="00E83802">
            <w:pPr>
              <w:jc w:val="right"/>
              <w:rPr>
                <w:rFonts w:ascii="Meta Pro" w:eastAsia="Times New Roman" w:hAnsi="Meta Pro"/>
                <w:b/>
                <w:bCs/>
                <w:szCs w:val="18"/>
                <w:lang w:eastAsia="en-AU"/>
              </w:rPr>
            </w:pPr>
            <w:r w:rsidRPr="00BA1D33">
              <w:rPr>
                <w:rFonts w:ascii="Meta Pro" w:eastAsia="Times New Roman" w:hAnsi="Meta Pro"/>
                <w:b/>
                <w:bCs/>
                <w:szCs w:val="18"/>
                <w:lang w:eastAsia="en-AU"/>
              </w:rPr>
              <w:t xml:space="preserve">363,623 </w:t>
            </w:r>
          </w:p>
        </w:tc>
      </w:tr>
      <w:tr w:rsidR="00BC5219" w:rsidRPr="00BA1D33" w14:paraId="3F725D61" w14:textId="77777777" w:rsidTr="00E83802">
        <w:trPr>
          <w:trHeight w:val="238"/>
        </w:trPr>
        <w:tc>
          <w:tcPr>
            <w:tcW w:w="6248" w:type="dxa"/>
            <w:tcBorders>
              <w:top w:val="nil"/>
              <w:left w:val="nil"/>
              <w:bottom w:val="nil"/>
              <w:right w:val="nil"/>
            </w:tcBorders>
            <w:shd w:val="clear" w:color="auto" w:fill="auto"/>
            <w:noWrap/>
            <w:vAlign w:val="center"/>
            <w:hideMark/>
          </w:tcPr>
          <w:p w14:paraId="4CACBF13" w14:textId="77777777" w:rsidR="00BC5219" w:rsidRPr="00BA1D33" w:rsidRDefault="00BC5219" w:rsidP="00E83802">
            <w:pPr>
              <w:jc w:val="right"/>
              <w:rPr>
                <w:rFonts w:ascii="Meta Pro" w:eastAsia="Times New Roman" w:hAnsi="Meta Pro"/>
                <w:b/>
                <w:bCs/>
                <w:szCs w:val="18"/>
                <w:lang w:eastAsia="en-AU"/>
              </w:rPr>
            </w:pPr>
          </w:p>
        </w:tc>
        <w:tc>
          <w:tcPr>
            <w:tcW w:w="1156" w:type="dxa"/>
            <w:tcBorders>
              <w:top w:val="nil"/>
              <w:left w:val="nil"/>
              <w:bottom w:val="nil"/>
              <w:right w:val="nil"/>
            </w:tcBorders>
            <w:shd w:val="clear" w:color="auto" w:fill="auto"/>
            <w:noWrap/>
            <w:vAlign w:val="center"/>
            <w:hideMark/>
          </w:tcPr>
          <w:p w14:paraId="1A2B2494" w14:textId="77777777" w:rsidR="00BC5219" w:rsidRPr="00BA1D33" w:rsidRDefault="00BC5219" w:rsidP="00E83802">
            <w:pPr>
              <w:rPr>
                <w:rFonts w:ascii="Times New Roman" w:eastAsia="Times New Roman" w:hAnsi="Times New Roman"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04271218" w14:textId="77777777" w:rsidR="00BC5219" w:rsidRPr="00BA1D33" w:rsidRDefault="00BC5219" w:rsidP="00E83802">
            <w:pPr>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69EDCB67" w14:textId="77777777" w:rsidR="00BC5219" w:rsidRPr="00BA1D33" w:rsidRDefault="00BC5219" w:rsidP="00E83802">
            <w:pPr>
              <w:jc w:val="right"/>
              <w:rPr>
                <w:rFonts w:ascii="Times New Roman" w:eastAsia="Times New Roman" w:hAnsi="Times New Roman"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62A12075" w14:textId="77777777" w:rsidR="00BC5219" w:rsidRPr="00BA1D33" w:rsidRDefault="00BC5219" w:rsidP="00E83802">
            <w:pPr>
              <w:rPr>
                <w:rFonts w:ascii="Times New Roman" w:eastAsia="Times New Roman" w:hAnsi="Times New Roman" w:cs="Times New Roman"/>
                <w:sz w:val="20"/>
                <w:szCs w:val="20"/>
                <w:lang w:eastAsia="en-AU"/>
              </w:rPr>
            </w:pPr>
          </w:p>
        </w:tc>
        <w:tc>
          <w:tcPr>
            <w:tcW w:w="1157" w:type="dxa"/>
            <w:tcBorders>
              <w:top w:val="nil"/>
              <w:left w:val="nil"/>
              <w:bottom w:val="nil"/>
              <w:right w:val="nil"/>
            </w:tcBorders>
            <w:shd w:val="clear" w:color="auto" w:fill="auto"/>
            <w:noWrap/>
            <w:vAlign w:val="center"/>
            <w:hideMark/>
          </w:tcPr>
          <w:p w14:paraId="5A6713E0" w14:textId="77777777" w:rsidR="00BC5219" w:rsidRPr="00BA1D33" w:rsidRDefault="00BC5219" w:rsidP="00E83802">
            <w:pPr>
              <w:jc w:val="right"/>
              <w:rPr>
                <w:rFonts w:ascii="Times New Roman" w:eastAsia="Times New Roman" w:hAnsi="Times New Roman" w:cs="Times New Roman"/>
                <w:sz w:val="20"/>
                <w:szCs w:val="20"/>
                <w:lang w:eastAsia="en-AU"/>
              </w:rPr>
            </w:pPr>
          </w:p>
        </w:tc>
      </w:tr>
      <w:tr w:rsidR="00BC5219" w:rsidRPr="00BA1D33" w14:paraId="704F8A75" w14:textId="77777777" w:rsidTr="00E83802">
        <w:trPr>
          <w:trHeight w:val="238"/>
        </w:trPr>
        <w:tc>
          <w:tcPr>
            <w:tcW w:w="6248" w:type="dxa"/>
            <w:tcBorders>
              <w:top w:val="nil"/>
              <w:left w:val="nil"/>
              <w:bottom w:val="nil"/>
              <w:right w:val="nil"/>
            </w:tcBorders>
            <w:shd w:val="clear" w:color="auto" w:fill="auto"/>
            <w:noWrap/>
            <w:vAlign w:val="center"/>
            <w:hideMark/>
          </w:tcPr>
          <w:p w14:paraId="21752663" w14:textId="77777777" w:rsidR="00BC5219" w:rsidRPr="00BA1D33" w:rsidRDefault="00BC5219" w:rsidP="00E83802">
            <w:pPr>
              <w:rPr>
                <w:rFonts w:ascii="Meta Pro" w:eastAsia="Times New Roman" w:hAnsi="Meta Pro"/>
                <w:szCs w:val="18"/>
                <w:lang w:eastAsia="en-AU"/>
              </w:rPr>
            </w:pPr>
            <w:r w:rsidRPr="00BA1D33">
              <w:rPr>
                <w:rFonts w:ascii="Meta Pro" w:eastAsia="Times New Roman" w:hAnsi="Meta Pro"/>
                <w:szCs w:val="18"/>
                <w:lang w:eastAsia="en-AU"/>
              </w:rPr>
              <w:t>Gains on disposal of assets</w:t>
            </w:r>
          </w:p>
        </w:tc>
        <w:tc>
          <w:tcPr>
            <w:tcW w:w="1156" w:type="dxa"/>
            <w:tcBorders>
              <w:top w:val="nil"/>
              <w:left w:val="nil"/>
              <w:bottom w:val="nil"/>
              <w:right w:val="nil"/>
            </w:tcBorders>
            <w:shd w:val="clear" w:color="auto" w:fill="auto"/>
            <w:noWrap/>
            <w:vAlign w:val="center"/>
            <w:hideMark/>
          </w:tcPr>
          <w:p w14:paraId="264E56C5"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4,727 </w:t>
            </w:r>
          </w:p>
        </w:tc>
        <w:tc>
          <w:tcPr>
            <w:tcW w:w="216" w:type="dxa"/>
            <w:tcBorders>
              <w:top w:val="nil"/>
              <w:left w:val="nil"/>
              <w:bottom w:val="nil"/>
              <w:right w:val="nil"/>
            </w:tcBorders>
            <w:shd w:val="clear" w:color="auto" w:fill="auto"/>
            <w:noWrap/>
            <w:vAlign w:val="center"/>
            <w:hideMark/>
          </w:tcPr>
          <w:p w14:paraId="26637CE3" w14:textId="77777777" w:rsidR="00BC5219" w:rsidRPr="00BA1D33" w:rsidRDefault="00BC5219" w:rsidP="00E83802">
            <w:pPr>
              <w:jc w:val="right"/>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51BAE894"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2,642 </w:t>
            </w:r>
          </w:p>
        </w:tc>
        <w:tc>
          <w:tcPr>
            <w:tcW w:w="216" w:type="dxa"/>
            <w:tcBorders>
              <w:top w:val="nil"/>
              <w:left w:val="nil"/>
              <w:bottom w:val="nil"/>
              <w:right w:val="nil"/>
            </w:tcBorders>
            <w:shd w:val="clear" w:color="auto" w:fill="auto"/>
            <w:noWrap/>
            <w:vAlign w:val="center"/>
            <w:hideMark/>
          </w:tcPr>
          <w:p w14:paraId="0A7966FC" w14:textId="77777777" w:rsidR="00BC5219" w:rsidRPr="00BA1D33"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6E7096A1"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(2,085)</w:t>
            </w:r>
          </w:p>
        </w:tc>
      </w:tr>
      <w:tr w:rsidR="00BC5219" w:rsidRPr="00BA1D33" w14:paraId="6CE372BF" w14:textId="77777777" w:rsidTr="00E83802">
        <w:trPr>
          <w:trHeight w:val="238"/>
        </w:trPr>
        <w:tc>
          <w:tcPr>
            <w:tcW w:w="6248" w:type="dxa"/>
            <w:tcBorders>
              <w:top w:val="single" w:sz="4" w:space="0" w:color="auto"/>
              <w:left w:val="nil"/>
              <w:bottom w:val="nil"/>
              <w:right w:val="nil"/>
            </w:tcBorders>
            <w:shd w:val="clear" w:color="auto" w:fill="auto"/>
            <w:noWrap/>
            <w:vAlign w:val="center"/>
            <w:hideMark/>
          </w:tcPr>
          <w:p w14:paraId="367FA0F7" w14:textId="77777777" w:rsidR="00BC5219" w:rsidRPr="00BA1D33" w:rsidRDefault="00BC5219" w:rsidP="00E83802">
            <w:pPr>
              <w:rPr>
                <w:rFonts w:ascii="Meta Pro" w:eastAsia="Times New Roman" w:hAnsi="Meta Pro"/>
                <w:b/>
                <w:bCs/>
                <w:szCs w:val="18"/>
                <w:lang w:eastAsia="en-AU"/>
              </w:rPr>
            </w:pPr>
            <w:r w:rsidRPr="00BA1D33">
              <w:rPr>
                <w:rFonts w:ascii="Meta Pro" w:eastAsia="Times New Roman" w:hAnsi="Meta Pro"/>
                <w:b/>
                <w:bCs/>
                <w:szCs w:val="18"/>
                <w:lang w:eastAsia="en-AU"/>
              </w:rPr>
              <w:t>Total income</w:t>
            </w:r>
          </w:p>
        </w:tc>
        <w:tc>
          <w:tcPr>
            <w:tcW w:w="1156" w:type="dxa"/>
            <w:tcBorders>
              <w:top w:val="single" w:sz="4" w:space="0" w:color="auto"/>
              <w:left w:val="nil"/>
              <w:bottom w:val="nil"/>
              <w:right w:val="nil"/>
            </w:tcBorders>
            <w:shd w:val="clear" w:color="auto" w:fill="auto"/>
            <w:noWrap/>
            <w:vAlign w:val="center"/>
            <w:hideMark/>
          </w:tcPr>
          <w:p w14:paraId="594F0450" w14:textId="77777777" w:rsidR="00BC5219" w:rsidRPr="00BA1D33" w:rsidRDefault="00BC5219" w:rsidP="00E83802">
            <w:pPr>
              <w:jc w:val="right"/>
              <w:rPr>
                <w:rFonts w:ascii="Meta Pro" w:eastAsia="Times New Roman" w:hAnsi="Meta Pro"/>
                <w:b/>
                <w:bCs/>
                <w:szCs w:val="18"/>
                <w:lang w:eastAsia="en-AU"/>
              </w:rPr>
            </w:pPr>
            <w:r w:rsidRPr="00BA1D33">
              <w:rPr>
                <w:rFonts w:ascii="Meta Pro" w:eastAsia="Times New Roman" w:hAnsi="Meta Pro"/>
                <w:b/>
                <w:bCs/>
                <w:szCs w:val="18"/>
                <w:lang w:eastAsia="en-AU"/>
              </w:rPr>
              <w:t xml:space="preserve">7,331,613 </w:t>
            </w:r>
          </w:p>
        </w:tc>
        <w:tc>
          <w:tcPr>
            <w:tcW w:w="216" w:type="dxa"/>
            <w:tcBorders>
              <w:top w:val="single" w:sz="4" w:space="0" w:color="auto"/>
              <w:left w:val="nil"/>
              <w:bottom w:val="nil"/>
              <w:right w:val="nil"/>
            </w:tcBorders>
            <w:shd w:val="clear" w:color="auto" w:fill="auto"/>
            <w:noWrap/>
            <w:vAlign w:val="center"/>
            <w:hideMark/>
          </w:tcPr>
          <w:p w14:paraId="47655012" w14:textId="77777777" w:rsidR="00BC5219" w:rsidRPr="00BA1D33" w:rsidRDefault="00BC5219" w:rsidP="00E83802">
            <w:pPr>
              <w:jc w:val="right"/>
              <w:rPr>
                <w:rFonts w:ascii="Meta Pro" w:eastAsia="Times New Roman" w:hAnsi="Meta Pro"/>
                <w:b/>
                <w:bCs/>
                <w:szCs w:val="18"/>
                <w:lang w:eastAsia="en-AU"/>
              </w:rPr>
            </w:pPr>
            <w:r w:rsidRPr="00BA1D33">
              <w:rPr>
                <w:rFonts w:ascii="Meta Pro" w:eastAsia="Times New Roman" w:hAnsi="Meta Pro"/>
                <w:b/>
                <w:bCs/>
                <w:szCs w:val="18"/>
                <w:lang w:eastAsia="en-AU"/>
              </w:rPr>
              <w:t> </w:t>
            </w:r>
          </w:p>
        </w:tc>
        <w:tc>
          <w:tcPr>
            <w:tcW w:w="1156" w:type="dxa"/>
            <w:tcBorders>
              <w:top w:val="single" w:sz="4" w:space="0" w:color="auto"/>
              <w:left w:val="nil"/>
              <w:bottom w:val="nil"/>
              <w:right w:val="nil"/>
            </w:tcBorders>
            <w:shd w:val="clear" w:color="auto" w:fill="auto"/>
            <w:noWrap/>
            <w:vAlign w:val="center"/>
            <w:hideMark/>
          </w:tcPr>
          <w:p w14:paraId="14BDA8AB" w14:textId="77777777" w:rsidR="00BC5219" w:rsidRPr="00BA1D33" w:rsidRDefault="00BC5219" w:rsidP="00E83802">
            <w:pPr>
              <w:jc w:val="right"/>
              <w:rPr>
                <w:rFonts w:ascii="Meta Pro" w:eastAsia="Times New Roman" w:hAnsi="Meta Pro"/>
                <w:b/>
                <w:bCs/>
                <w:szCs w:val="18"/>
                <w:lang w:eastAsia="en-AU"/>
              </w:rPr>
            </w:pPr>
            <w:r w:rsidRPr="00BA1D33">
              <w:rPr>
                <w:rFonts w:ascii="Meta Pro" w:eastAsia="Times New Roman" w:hAnsi="Meta Pro"/>
                <w:b/>
                <w:bCs/>
                <w:szCs w:val="18"/>
                <w:lang w:eastAsia="en-AU"/>
              </w:rPr>
              <w:t xml:space="preserve">7,693,151 </w:t>
            </w:r>
          </w:p>
        </w:tc>
        <w:tc>
          <w:tcPr>
            <w:tcW w:w="216" w:type="dxa"/>
            <w:tcBorders>
              <w:top w:val="single" w:sz="4" w:space="0" w:color="auto"/>
              <w:left w:val="nil"/>
              <w:bottom w:val="nil"/>
              <w:right w:val="nil"/>
            </w:tcBorders>
            <w:shd w:val="clear" w:color="auto" w:fill="auto"/>
            <w:noWrap/>
            <w:vAlign w:val="center"/>
            <w:hideMark/>
          </w:tcPr>
          <w:p w14:paraId="4AFC71B3" w14:textId="77777777" w:rsidR="00BC5219" w:rsidRPr="00BA1D33" w:rsidRDefault="00BC5219" w:rsidP="00E83802">
            <w:pPr>
              <w:jc w:val="right"/>
              <w:rPr>
                <w:rFonts w:ascii="Meta Pro" w:eastAsia="Times New Roman" w:hAnsi="Meta Pro"/>
                <w:b/>
                <w:bCs/>
                <w:szCs w:val="18"/>
                <w:lang w:eastAsia="en-AU"/>
              </w:rPr>
            </w:pPr>
            <w:r w:rsidRPr="00BA1D33">
              <w:rPr>
                <w:rFonts w:ascii="Meta Pro" w:eastAsia="Times New Roman" w:hAnsi="Meta Pro"/>
                <w:b/>
                <w:bCs/>
                <w:szCs w:val="18"/>
                <w:lang w:eastAsia="en-AU"/>
              </w:rPr>
              <w:t> </w:t>
            </w:r>
          </w:p>
        </w:tc>
        <w:tc>
          <w:tcPr>
            <w:tcW w:w="1157" w:type="dxa"/>
            <w:tcBorders>
              <w:top w:val="single" w:sz="4" w:space="0" w:color="auto"/>
              <w:left w:val="nil"/>
              <w:bottom w:val="nil"/>
              <w:right w:val="nil"/>
            </w:tcBorders>
            <w:shd w:val="clear" w:color="auto" w:fill="auto"/>
            <w:noWrap/>
            <w:vAlign w:val="center"/>
            <w:hideMark/>
          </w:tcPr>
          <w:p w14:paraId="51A2C81A" w14:textId="77777777" w:rsidR="00BC5219" w:rsidRPr="00BA1D33" w:rsidRDefault="00BC5219" w:rsidP="00E83802">
            <w:pPr>
              <w:jc w:val="right"/>
              <w:rPr>
                <w:rFonts w:ascii="Meta Pro" w:eastAsia="Times New Roman" w:hAnsi="Meta Pro"/>
                <w:b/>
                <w:bCs/>
                <w:szCs w:val="18"/>
                <w:lang w:eastAsia="en-AU"/>
              </w:rPr>
            </w:pPr>
            <w:r w:rsidRPr="00BA1D33">
              <w:rPr>
                <w:rFonts w:ascii="Meta Pro" w:eastAsia="Times New Roman" w:hAnsi="Meta Pro"/>
                <w:b/>
                <w:bCs/>
                <w:szCs w:val="18"/>
                <w:lang w:eastAsia="en-AU"/>
              </w:rPr>
              <w:t xml:space="preserve">361,538 </w:t>
            </w:r>
          </w:p>
        </w:tc>
      </w:tr>
    </w:tbl>
    <w:p w14:paraId="6CB5F967" w14:textId="77777777" w:rsidR="00BC5219" w:rsidRPr="008A2B8F" w:rsidRDefault="00BC5219" w:rsidP="00BC5219">
      <w:pPr>
        <w:rPr>
          <w:rFonts w:ascii="Meta Pro" w:hAnsi="Meta Pro"/>
          <w:sz w:val="16"/>
          <w:szCs w:val="16"/>
          <w:lang w:eastAsia="en-AU"/>
        </w:rPr>
        <w:sectPr w:rsidR="00BC5219" w:rsidRPr="008A2B8F" w:rsidSect="005F1311">
          <w:headerReference w:type="default" r:id="rId132"/>
          <w:footerReference w:type="default" r:id="rId133"/>
          <w:type w:val="continuous"/>
          <w:pgSz w:w="11906" w:h="16838"/>
          <w:pgMar w:top="1701" w:right="851" w:bottom="1134" w:left="851" w:header="454" w:footer="454" w:gutter="0"/>
          <w:pgNumType w:start="30"/>
          <w:cols w:space="708"/>
          <w:docGrid w:linePitch="360"/>
        </w:sectPr>
      </w:pPr>
    </w:p>
    <w:p w14:paraId="1C2DD38A"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r w:rsidRPr="008A2B8F">
        <w:rPr>
          <w:rFonts w:ascii="Meta Pro" w:eastAsia="Times New Roman" w:hAnsi="Meta Pro"/>
          <w:i/>
          <w:iCs/>
          <w:color w:val="000000" w:themeColor="text1"/>
          <w:lang w:eastAsia="en-AU"/>
        </w:rPr>
        <w:lastRenderedPageBreak/>
        <w:t>Department of Transport and Main Roads</w:t>
      </w:r>
    </w:p>
    <w:p w14:paraId="251916FF"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Notes to the financial statements 2022–23 (continued)</w:t>
      </w:r>
    </w:p>
    <w:p w14:paraId="4E940183" w14:textId="77777777" w:rsidR="00BC5219" w:rsidRPr="004F0A1B" w:rsidRDefault="00BC5219" w:rsidP="00BC5219">
      <w:pPr>
        <w:pStyle w:val="BodyText"/>
        <w:rPr>
          <w:rFonts w:ascii="Meta Pro" w:eastAsia="Times New Roman" w:hAnsi="Meta Pro"/>
          <w:b/>
          <w:bCs/>
          <w:color w:val="000000"/>
          <w:szCs w:val="18"/>
          <w:lang w:eastAsia="en-AU"/>
        </w:rPr>
      </w:pPr>
    </w:p>
    <w:p w14:paraId="1F0AE65E" w14:textId="77777777" w:rsidR="00BC5219" w:rsidRPr="008A2B8F" w:rsidRDefault="00BC5219" w:rsidP="00BC5219">
      <w:pPr>
        <w:pStyle w:val="BodyText"/>
        <w:rPr>
          <w:rFonts w:ascii="Meta Pro" w:eastAsia="Times New Roman" w:hAnsi="Meta Pro"/>
          <w:b/>
          <w:bCs/>
          <w:color w:val="000000"/>
          <w:lang w:eastAsia="en-AU"/>
        </w:rPr>
      </w:pPr>
      <w:r w:rsidRPr="008A2B8F">
        <w:rPr>
          <w:rFonts w:ascii="Meta Pro" w:eastAsia="Times New Roman" w:hAnsi="Meta Pro"/>
          <w:b/>
          <w:bCs/>
          <w:color w:val="000000"/>
          <w:lang w:eastAsia="en-AU"/>
        </w:rPr>
        <w:t>30     BUDGETARY REPORTING (continued)</w:t>
      </w:r>
    </w:p>
    <w:tbl>
      <w:tblPr>
        <w:tblW w:w="0" w:type="auto"/>
        <w:tblLayout w:type="fixed"/>
        <w:tblCellMar>
          <w:left w:w="0" w:type="dxa"/>
        </w:tblCellMar>
        <w:tblLook w:val="04A0" w:firstRow="1" w:lastRow="0" w:firstColumn="1" w:lastColumn="0" w:noHBand="0" w:noVBand="1"/>
      </w:tblPr>
      <w:tblGrid>
        <w:gridCol w:w="6350"/>
        <w:gridCol w:w="1157"/>
        <w:gridCol w:w="216"/>
        <w:gridCol w:w="1157"/>
        <w:gridCol w:w="216"/>
        <w:gridCol w:w="1157"/>
      </w:tblGrid>
      <w:tr w:rsidR="00BC5219" w:rsidRPr="008A2B8F" w14:paraId="163DAB0F" w14:textId="77777777" w:rsidTr="00E83802">
        <w:trPr>
          <w:trHeight w:val="170"/>
        </w:trPr>
        <w:tc>
          <w:tcPr>
            <w:tcW w:w="6350" w:type="dxa"/>
            <w:tcBorders>
              <w:top w:val="nil"/>
              <w:left w:val="nil"/>
              <w:bottom w:val="nil"/>
              <w:right w:val="nil"/>
            </w:tcBorders>
            <w:shd w:val="clear" w:color="auto" w:fill="auto"/>
            <w:noWrap/>
            <w:hideMark/>
          </w:tcPr>
          <w:p w14:paraId="00346D95" w14:textId="77777777" w:rsidR="00BC5219" w:rsidRPr="008A2B8F" w:rsidRDefault="00BC5219" w:rsidP="00E83802">
            <w:pPr>
              <w:rPr>
                <w:rFonts w:ascii="Meta Pro" w:eastAsia="Times New Roman" w:hAnsi="Meta Pro"/>
                <w:b/>
                <w:bCs/>
                <w:szCs w:val="18"/>
                <w:lang w:eastAsia="en-AU"/>
              </w:rPr>
            </w:pPr>
            <w:r w:rsidRPr="008A2B8F">
              <w:rPr>
                <w:rFonts w:ascii="Meta Pro" w:eastAsia="Times New Roman" w:hAnsi="Meta Pro"/>
                <w:b/>
                <w:bCs/>
                <w:szCs w:val="18"/>
                <w:lang w:eastAsia="en-AU"/>
              </w:rPr>
              <w:t>STATEMENT OF COMPREHENSIVE INCOME</w:t>
            </w:r>
            <w:r>
              <w:rPr>
                <w:rFonts w:ascii="Meta Pro" w:eastAsia="Times New Roman" w:hAnsi="Meta Pro"/>
                <w:b/>
                <w:bCs/>
                <w:szCs w:val="18"/>
                <w:lang w:eastAsia="en-AU"/>
              </w:rPr>
              <w:t xml:space="preserve"> (continued)</w:t>
            </w:r>
          </w:p>
        </w:tc>
        <w:tc>
          <w:tcPr>
            <w:tcW w:w="1157" w:type="dxa"/>
            <w:tcBorders>
              <w:top w:val="nil"/>
              <w:left w:val="nil"/>
              <w:bottom w:val="nil"/>
              <w:right w:val="nil"/>
            </w:tcBorders>
            <w:shd w:val="clear" w:color="auto" w:fill="auto"/>
            <w:hideMark/>
          </w:tcPr>
          <w:p w14:paraId="765CA0E7"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 xml:space="preserve">Original budget </w:t>
            </w:r>
          </w:p>
        </w:tc>
        <w:tc>
          <w:tcPr>
            <w:tcW w:w="216" w:type="dxa"/>
            <w:tcBorders>
              <w:top w:val="nil"/>
              <w:left w:val="nil"/>
              <w:bottom w:val="nil"/>
              <w:right w:val="nil"/>
            </w:tcBorders>
            <w:shd w:val="clear" w:color="auto" w:fill="auto"/>
            <w:hideMark/>
          </w:tcPr>
          <w:p w14:paraId="5A95AB77" w14:textId="77777777" w:rsidR="00BC5219" w:rsidRPr="008A2B8F" w:rsidRDefault="00BC5219" w:rsidP="00E83802">
            <w:pPr>
              <w:jc w:val="center"/>
              <w:rPr>
                <w:rFonts w:ascii="Meta Pro" w:eastAsia="Times New Roman" w:hAnsi="Meta Pro"/>
                <w:b/>
                <w:bCs/>
                <w:szCs w:val="18"/>
                <w:lang w:eastAsia="en-AU"/>
              </w:rPr>
            </w:pPr>
          </w:p>
        </w:tc>
        <w:tc>
          <w:tcPr>
            <w:tcW w:w="1157" w:type="dxa"/>
            <w:tcBorders>
              <w:top w:val="nil"/>
              <w:left w:val="nil"/>
              <w:bottom w:val="nil"/>
              <w:right w:val="nil"/>
            </w:tcBorders>
            <w:shd w:val="clear" w:color="auto" w:fill="auto"/>
            <w:hideMark/>
          </w:tcPr>
          <w:p w14:paraId="3ADFCB86"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Actual</w:t>
            </w:r>
            <w:r w:rsidRPr="008A2B8F">
              <w:rPr>
                <w:rFonts w:ascii="Meta Pro" w:eastAsia="Times New Roman" w:hAnsi="Meta Pro"/>
                <w:b/>
                <w:bCs/>
                <w:szCs w:val="18"/>
                <w:lang w:eastAsia="en-AU"/>
              </w:rPr>
              <w:br/>
              <w:t>result</w:t>
            </w:r>
          </w:p>
        </w:tc>
        <w:tc>
          <w:tcPr>
            <w:tcW w:w="216" w:type="dxa"/>
            <w:tcBorders>
              <w:top w:val="nil"/>
              <w:left w:val="nil"/>
              <w:bottom w:val="nil"/>
              <w:right w:val="nil"/>
            </w:tcBorders>
            <w:shd w:val="clear" w:color="auto" w:fill="auto"/>
            <w:hideMark/>
          </w:tcPr>
          <w:p w14:paraId="368F9E9C" w14:textId="77777777" w:rsidR="00BC5219" w:rsidRPr="008A2B8F" w:rsidRDefault="00BC5219" w:rsidP="00E83802">
            <w:pPr>
              <w:jc w:val="center"/>
              <w:rPr>
                <w:rFonts w:ascii="Meta Pro" w:eastAsia="Times New Roman" w:hAnsi="Meta Pro"/>
                <w:b/>
                <w:bCs/>
                <w:szCs w:val="18"/>
                <w:lang w:eastAsia="en-AU"/>
              </w:rPr>
            </w:pPr>
          </w:p>
        </w:tc>
        <w:tc>
          <w:tcPr>
            <w:tcW w:w="1157" w:type="dxa"/>
            <w:tcBorders>
              <w:top w:val="nil"/>
              <w:left w:val="nil"/>
              <w:bottom w:val="nil"/>
              <w:right w:val="nil"/>
            </w:tcBorders>
            <w:shd w:val="clear" w:color="auto" w:fill="auto"/>
            <w:hideMark/>
          </w:tcPr>
          <w:p w14:paraId="3EC492B9"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Variance</w:t>
            </w:r>
          </w:p>
        </w:tc>
      </w:tr>
      <w:tr w:rsidR="00BC5219" w:rsidRPr="008A2B8F" w14:paraId="76E81402" w14:textId="77777777" w:rsidTr="00E83802">
        <w:trPr>
          <w:trHeight w:val="170"/>
        </w:trPr>
        <w:tc>
          <w:tcPr>
            <w:tcW w:w="6350" w:type="dxa"/>
            <w:tcBorders>
              <w:top w:val="nil"/>
              <w:left w:val="nil"/>
              <w:bottom w:val="nil"/>
              <w:right w:val="nil"/>
            </w:tcBorders>
            <w:shd w:val="clear" w:color="auto" w:fill="auto"/>
            <w:noWrap/>
            <w:vAlign w:val="center"/>
            <w:hideMark/>
          </w:tcPr>
          <w:p w14:paraId="56D82ED9" w14:textId="77777777" w:rsidR="00BC5219" w:rsidRPr="008A2B8F" w:rsidRDefault="00BC5219" w:rsidP="00E83802">
            <w:pPr>
              <w:jc w:val="center"/>
              <w:rPr>
                <w:rFonts w:ascii="Meta Pro" w:eastAsia="Times New Roman" w:hAnsi="Meta Pro"/>
                <w:b/>
                <w:bCs/>
                <w:szCs w:val="18"/>
                <w:lang w:eastAsia="en-AU"/>
              </w:rPr>
            </w:pPr>
          </w:p>
        </w:tc>
        <w:tc>
          <w:tcPr>
            <w:tcW w:w="1157" w:type="dxa"/>
            <w:tcBorders>
              <w:top w:val="nil"/>
              <w:left w:val="nil"/>
              <w:bottom w:val="nil"/>
              <w:right w:val="nil"/>
            </w:tcBorders>
            <w:shd w:val="clear" w:color="auto" w:fill="auto"/>
            <w:hideMark/>
          </w:tcPr>
          <w:p w14:paraId="3E8A10DA"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2023</w:t>
            </w:r>
            <w:r w:rsidRPr="008A2B8F">
              <w:rPr>
                <w:rFonts w:ascii="Meta Pro" w:eastAsia="Times New Roman" w:hAnsi="Meta Pro"/>
                <w:b/>
                <w:bCs/>
                <w:szCs w:val="18"/>
                <w:lang w:eastAsia="en-AU"/>
              </w:rPr>
              <w:br/>
              <w:t>$'000</w:t>
            </w:r>
          </w:p>
        </w:tc>
        <w:tc>
          <w:tcPr>
            <w:tcW w:w="216" w:type="dxa"/>
            <w:tcBorders>
              <w:top w:val="nil"/>
              <w:left w:val="nil"/>
              <w:bottom w:val="nil"/>
              <w:right w:val="nil"/>
            </w:tcBorders>
            <w:shd w:val="clear" w:color="auto" w:fill="auto"/>
            <w:hideMark/>
          </w:tcPr>
          <w:p w14:paraId="51B542C0" w14:textId="77777777" w:rsidR="00BC5219" w:rsidRPr="008A2B8F" w:rsidRDefault="00BC5219" w:rsidP="00E83802">
            <w:pPr>
              <w:jc w:val="center"/>
              <w:rPr>
                <w:rFonts w:ascii="Meta Pro" w:eastAsia="Times New Roman" w:hAnsi="Meta Pro"/>
                <w:b/>
                <w:bCs/>
                <w:szCs w:val="18"/>
                <w:lang w:eastAsia="en-AU"/>
              </w:rPr>
            </w:pPr>
          </w:p>
        </w:tc>
        <w:tc>
          <w:tcPr>
            <w:tcW w:w="1157" w:type="dxa"/>
            <w:tcBorders>
              <w:top w:val="nil"/>
              <w:left w:val="nil"/>
              <w:bottom w:val="nil"/>
              <w:right w:val="nil"/>
            </w:tcBorders>
            <w:shd w:val="clear" w:color="auto" w:fill="auto"/>
            <w:hideMark/>
          </w:tcPr>
          <w:p w14:paraId="31CEAB80"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2023</w:t>
            </w:r>
            <w:r w:rsidRPr="008A2B8F">
              <w:rPr>
                <w:rFonts w:ascii="Meta Pro" w:eastAsia="Times New Roman" w:hAnsi="Meta Pro"/>
                <w:b/>
                <w:bCs/>
                <w:szCs w:val="18"/>
                <w:lang w:eastAsia="en-AU"/>
              </w:rPr>
              <w:br/>
              <w:t>$'000</w:t>
            </w:r>
          </w:p>
        </w:tc>
        <w:tc>
          <w:tcPr>
            <w:tcW w:w="216" w:type="dxa"/>
            <w:tcBorders>
              <w:top w:val="nil"/>
              <w:left w:val="nil"/>
              <w:bottom w:val="nil"/>
              <w:right w:val="nil"/>
            </w:tcBorders>
            <w:shd w:val="clear" w:color="auto" w:fill="auto"/>
            <w:hideMark/>
          </w:tcPr>
          <w:p w14:paraId="6096089E" w14:textId="77777777" w:rsidR="00BC5219" w:rsidRPr="008A2B8F" w:rsidRDefault="00BC5219" w:rsidP="00E83802">
            <w:pPr>
              <w:jc w:val="center"/>
              <w:rPr>
                <w:rFonts w:ascii="Meta Pro" w:eastAsia="Times New Roman" w:hAnsi="Meta Pro"/>
                <w:b/>
                <w:bCs/>
                <w:szCs w:val="18"/>
                <w:lang w:eastAsia="en-AU"/>
              </w:rPr>
            </w:pPr>
          </w:p>
        </w:tc>
        <w:tc>
          <w:tcPr>
            <w:tcW w:w="1157" w:type="dxa"/>
            <w:tcBorders>
              <w:top w:val="nil"/>
              <w:left w:val="nil"/>
              <w:bottom w:val="nil"/>
              <w:right w:val="nil"/>
            </w:tcBorders>
            <w:shd w:val="clear" w:color="auto" w:fill="auto"/>
            <w:hideMark/>
          </w:tcPr>
          <w:p w14:paraId="76D57B4C" w14:textId="77777777" w:rsidR="00BC5219" w:rsidRPr="008A2B8F" w:rsidRDefault="00BC5219" w:rsidP="00E83802">
            <w:pPr>
              <w:jc w:val="center"/>
              <w:rPr>
                <w:rFonts w:ascii="Meta Pro" w:eastAsia="Times New Roman" w:hAnsi="Meta Pro"/>
                <w:b/>
                <w:bCs/>
                <w:szCs w:val="18"/>
                <w:lang w:eastAsia="en-AU"/>
              </w:rPr>
            </w:pPr>
            <w:r w:rsidRPr="008A2B8F">
              <w:rPr>
                <w:rFonts w:ascii="Meta Pro" w:eastAsia="Times New Roman" w:hAnsi="Meta Pro"/>
                <w:b/>
                <w:bCs/>
                <w:szCs w:val="18"/>
                <w:lang w:eastAsia="en-AU"/>
              </w:rPr>
              <w:t>2023</w:t>
            </w:r>
            <w:r w:rsidRPr="008A2B8F">
              <w:rPr>
                <w:rFonts w:ascii="Meta Pro" w:eastAsia="Times New Roman" w:hAnsi="Meta Pro"/>
                <w:b/>
                <w:bCs/>
                <w:szCs w:val="18"/>
                <w:lang w:eastAsia="en-AU"/>
              </w:rPr>
              <w:br/>
              <w:t>$'000</w:t>
            </w:r>
          </w:p>
        </w:tc>
      </w:tr>
    </w:tbl>
    <w:p w14:paraId="4054853E" w14:textId="77777777" w:rsidR="00BC5219" w:rsidRDefault="00BC5219" w:rsidP="00BC5219">
      <w:pPr>
        <w:spacing w:line="20" w:lineRule="exact"/>
        <w:rPr>
          <w:rFonts w:asciiTheme="minorHAnsi" w:hAnsiTheme="minorHAnsi" w:cstheme="minorBidi"/>
        </w:rPr>
      </w:pPr>
    </w:p>
    <w:tbl>
      <w:tblPr>
        <w:tblW w:w="0" w:type="auto"/>
        <w:tblCellMar>
          <w:left w:w="0" w:type="dxa"/>
        </w:tblCellMar>
        <w:tblLook w:val="04A0" w:firstRow="1" w:lastRow="0" w:firstColumn="1" w:lastColumn="0" w:noHBand="0" w:noVBand="1"/>
      </w:tblPr>
      <w:tblGrid>
        <w:gridCol w:w="6358"/>
        <w:gridCol w:w="1165"/>
        <w:gridCol w:w="203"/>
        <w:gridCol w:w="1165"/>
        <w:gridCol w:w="203"/>
        <w:gridCol w:w="1148"/>
      </w:tblGrid>
      <w:tr w:rsidR="00BC5219" w:rsidRPr="00BA1D33" w14:paraId="0C20E315" w14:textId="77777777" w:rsidTr="00E83802">
        <w:trPr>
          <w:trHeight w:val="198"/>
        </w:trPr>
        <w:tc>
          <w:tcPr>
            <w:tcW w:w="6350" w:type="dxa"/>
            <w:tcBorders>
              <w:top w:val="nil"/>
              <w:left w:val="nil"/>
              <w:bottom w:val="nil"/>
              <w:right w:val="nil"/>
            </w:tcBorders>
            <w:shd w:val="clear" w:color="auto" w:fill="auto"/>
            <w:noWrap/>
            <w:vAlign w:val="center"/>
            <w:hideMark/>
          </w:tcPr>
          <w:p w14:paraId="05886063" w14:textId="77777777" w:rsidR="00BC5219" w:rsidRPr="00BA1D33" w:rsidRDefault="00BC5219" w:rsidP="00E83802">
            <w:pPr>
              <w:rPr>
                <w:rFonts w:ascii="Meta Pro" w:eastAsia="Times New Roman" w:hAnsi="Meta Pro"/>
                <w:b/>
                <w:bCs/>
                <w:szCs w:val="18"/>
                <w:lang w:eastAsia="en-AU"/>
              </w:rPr>
            </w:pPr>
            <w:r w:rsidRPr="00BA1D33">
              <w:rPr>
                <w:rFonts w:ascii="Meta Pro" w:eastAsia="Times New Roman" w:hAnsi="Meta Pro"/>
                <w:b/>
                <w:bCs/>
                <w:szCs w:val="18"/>
                <w:lang w:eastAsia="en-AU"/>
              </w:rPr>
              <w:t>Expenses</w:t>
            </w:r>
          </w:p>
        </w:tc>
        <w:tc>
          <w:tcPr>
            <w:tcW w:w="1157" w:type="dxa"/>
            <w:tcBorders>
              <w:top w:val="nil"/>
              <w:left w:val="nil"/>
              <w:bottom w:val="nil"/>
              <w:right w:val="nil"/>
            </w:tcBorders>
            <w:shd w:val="clear" w:color="auto" w:fill="auto"/>
            <w:vAlign w:val="center"/>
            <w:hideMark/>
          </w:tcPr>
          <w:p w14:paraId="5BE666AB" w14:textId="77777777" w:rsidR="00BC5219" w:rsidRPr="00BA1D33" w:rsidRDefault="00BC5219" w:rsidP="00E83802">
            <w:pPr>
              <w:rPr>
                <w:rFonts w:ascii="Meta Pro" w:eastAsia="Times New Roman" w:hAnsi="Meta Pro"/>
                <w:b/>
                <w:bCs/>
                <w:szCs w:val="18"/>
                <w:lang w:eastAsia="en-AU"/>
              </w:rPr>
            </w:pPr>
          </w:p>
        </w:tc>
        <w:tc>
          <w:tcPr>
            <w:tcW w:w="195" w:type="dxa"/>
            <w:tcBorders>
              <w:top w:val="nil"/>
              <w:left w:val="nil"/>
              <w:bottom w:val="nil"/>
              <w:right w:val="nil"/>
            </w:tcBorders>
            <w:shd w:val="clear" w:color="auto" w:fill="auto"/>
            <w:vAlign w:val="center"/>
            <w:hideMark/>
          </w:tcPr>
          <w:p w14:paraId="30FD8A82" w14:textId="77777777" w:rsidR="00BC5219" w:rsidRPr="00BA1D33" w:rsidRDefault="00BC5219" w:rsidP="00E83802">
            <w:pPr>
              <w:rPr>
                <w:rFonts w:ascii="Times New Roman" w:eastAsia="Times New Roman" w:hAnsi="Times New Roman" w:cs="Times New Roman"/>
                <w:sz w:val="20"/>
                <w:szCs w:val="20"/>
                <w:lang w:eastAsia="en-AU"/>
              </w:rPr>
            </w:pPr>
          </w:p>
        </w:tc>
        <w:tc>
          <w:tcPr>
            <w:tcW w:w="1157" w:type="dxa"/>
            <w:tcBorders>
              <w:top w:val="nil"/>
              <w:left w:val="nil"/>
              <w:bottom w:val="nil"/>
              <w:right w:val="nil"/>
            </w:tcBorders>
            <w:shd w:val="clear" w:color="auto" w:fill="auto"/>
            <w:vAlign w:val="center"/>
            <w:hideMark/>
          </w:tcPr>
          <w:p w14:paraId="09B775A5" w14:textId="77777777" w:rsidR="00BC5219" w:rsidRPr="00BA1D33" w:rsidRDefault="00BC5219" w:rsidP="00E83802">
            <w:pPr>
              <w:jc w:val="center"/>
              <w:rPr>
                <w:rFonts w:ascii="Times New Roman" w:eastAsia="Times New Roman" w:hAnsi="Times New Roman" w:cs="Times New Roman"/>
                <w:sz w:val="20"/>
                <w:szCs w:val="20"/>
                <w:lang w:eastAsia="en-AU"/>
              </w:rPr>
            </w:pPr>
          </w:p>
        </w:tc>
        <w:tc>
          <w:tcPr>
            <w:tcW w:w="195" w:type="dxa"/>
            <w:tcBorders>
              <w:top w:val="nil"/>
              <w:left w:val="nil"/>
              <w:bottom w:val="nil"/>
              <w:right w:val="nil"/>
            </w:tcBorders>
            <w:shd w:val="clear" w:color="auto" w:fill="auto"/>
            <w:vAlign w:val="center"/>
            <w:hideMark/>
          </w:tcPr>
          <w:p w14:paraId="5E28FB4E" w14:textId="77777777" w:rsidR="00BC5219" w:rsidRPr="00BA1D33" w:rsidRDefault="00BC5219" w:rsidP="00E83802">
            <w:pPr>
              <w:rPr>
                <w:rFonts w:ascii="Times New Roman" w:eastAsia="Times New Roman" w:hAnsi="Times New Roman" w:cs="Times New Roman"/>
                <w:sz w:val="20"/>
                <w:szCs w:val="20"/>
                <w:lang w:eastAsia="en-AU"/>
              </w:rPr>
            </w:pPr>
          </w:p>
        </w:tc>
        <w:tc>
          <w:tcPr>
            <w:tcW w:w="1140" w:type="dxa"/>
            <w:tcBorders>
              <w:top w:val="nil"/>
              <w:left w:val="nil"/>
              <w:bottom w:val="nil"/>
              <w:right w:val="nil"/>
            </w:tcBorders>
            <w:shd w:val="clear" w:color="auto" w:fill="auto"/>
            <w:noWrap/>
            <w:vAlign w:val="center"/>
            <w:hideMark/>
          </w:tcPr>
          <w:p w14:paraId="653DBA4C" w14:textId="77777777" w:rsidR="00BC5219" w:rsidRPr="00BA1D33" w:rsidRDefault="00BC5219" w:rsidP="00E83802">
            <w:pPr>
              <w:jc w:val="center"/>
              <w:rPr>
                <w:rFonts w:ascii="Times New Roman" w:eastAsia="Times New Roman" w:hAnsi="Times New Roman" w:cs="Times New Roman"/>
                <w:sz w:val="20"/>
                <w:szCs w:val="20"/>
                <w:lang w:eastAsia="en-AU"/>
              </w:rPr>
            </w:pPr>
          </w:p>
        </w:tc>
      </w:tr>
      <w:tr w:rsidR="00BC5219" w:rsidRPr="00BA1D33" w14:paraId="641292EF" w14:textId="77777777" w:rsidTr="00E83802">
        <w:trPr>
          <w:trHeight w:val="198"/>
        </w:trPr>
        <w:tc>
          <w:tcPr>
            <w:tcW w:w="6350" w:type="dxa"/>
            <w:tcBorders>
              <w:top w:val="nil"/>
              <w:left w:val="nil"/>
              <w:bottom w:val="nil"/>
              <w:right w:val="nil"/>
            </w:tcBorders>
            <w:shd w:val="clear" w:color="auto" w:fill="auto"/>
            <w:noWrap/>
            <w:vAlign w:val="center"/>
            <w:hideMark/>
          </w:tcPr>
          <w:p w14:paraId="64B45E90" w14:textId="77777777" w:rsidR="00BC5219" w:rsidRPr="00BA1D33" w:rsidRDefault="00BC5219" w:rsidP="00E83802">
            <w:pPr>
              <w:rPr>
                <w:rFonts w:ascii="Meta Pro" w:eastAsia="Times New Roman" w:hAnsi="Meta Pro"/>
                <w:szCs w:val="18"/>
                <w:lang w:eastAsia="en-AU"/>
              </w:rPr>
            </w:pPr>
            <w:r w:rsidRPr="00BA1D33">
              <w:rPr>
                <w:rFonts w:ascii="Meta Pro" w:eastAsia="Times New Roman" w:hAnsi="Meta Pro"/>
                <w:szCs w:val="18"/>
                <w:lang w:eastAsia="en-AU"/>
              </w:rPr>
              <w:t>Employee expenses</w:t>
            </w:r>
          </w:p>
        </w:tc>
        <w:tc>
          <w:tcPr>
            <w:tcW w:w="1157" w:type="dxa"/>
            <w:tcBorders>
              <w:top w:val="nil"/>
              <w:left w:val="nil"/>
              <w:bottom w:val="nil"/>
              <w:right w:val="nil"/>
            </w:tcBorders>
            <w:shd w:val="clear" w:color="auto" w:fill="auto"/>
            <w:noWrap/>
            <w:vAlign w:val="center"/>
            <w:hideMark/>
          </w:tcPr>
          <w:p w14:paraId="769CB484"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646,718 </w:t>
            </w:r>
          </w:p>
        </w:tc>
        <w:tc>
          <w:tcPr>
            <w:tcW w:w="195" w:type="dxa"/>
            <w:tcBorders>
              <w:top w:val="nil"/>
              <w:left w:val="nil"/>
              <w:bottom w:val="nil"/>
              <w:right w:val="nil"/>
            </w:tcBorders>
            <w:shd w:val="clear" w:color="auto" w:fill="auto"/>
            <w:noWrap/>
            <w:vAlign w:val="center"/>
            <w:hideMark/>
          </w:tcPr>
          <w:p w14:paraId="74C635F8" w14:textId="77777777" w:rsidR="00BC5219" w:rsidRPr="00BA1D33"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73115B69"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709,747 </w:t>
            </w:r>
          </w:p>
        </w:tc>
        <w:tc>
          <w:tcPr>
            <w:tcW w:w="195" w:type="dxa"/>
            <w:tcBorders>
              <w:top w:val="nil"/>
              <w:left w:val="nil"/>
              <w:bottom w:val="nil"/>
              <w:right w:val="nil"/>
            </w:tcBorders>
            <w:shd w:val="clear" w:color="auto" w:fill="auto"/>
            <w:noWrap/>
            <w:vAlign w:val="center"/>
            <w:hideMark/>
          </w:tcPr>
          <w:p w14:paraId="7BECAFC5" w14:textId="77777777" w:rsidR="00BC5219" w:rsidRPr="00BA1D33" w:rsidRDefault="00BC5219" w:rsidP="00E83802">
            <w:pPr>
              <w:jc w:val="right"/>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422016AC"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63,029 </w:t>
            </w:r>
          </w:p>
        </w:tc>
      </w:tr>
      <w:tr w:rsidR="00BC5219" w:rsidRPr="00BA1D33" w14:paraId="31841AE7" w14:textId="77777777" w:rsidTr="00E83802">
        <w:trPr>
          <w:trHeight w:val="198"/>
        </w:trPr>
        <w:tc>
          <w:tcPr>
            <w:tcW w:w="6350" w:type="dxa"/>
            <w:tcBorders>
              <w:top w:val="nil"/>
              <w:left w:val="nil"/>
              <w:bottom w:val="nil"/>
              <w:right w:val="nil"/>
            </w:tcBorders>
            <w:shd w:val="clear" w:color="auto" w:fill="auto"/>
            <w:noWrap/>
            <w:vAlign w:val="center"/>
            <w:hideMark/>
          </w:tcPr>
          <w:p w14:paraId="379BBB7C" w14:textId="77777777" w:rsidR="00BC5219" w:rsidRPr="00BA1D33" w:rsidRDefault="00BC5219" w:rsidP="00E83802">
            <w:pPr>
              <w:rPr>
                <w:rFonts w:ascii="Meta Pro" w:eastAsia="Times New Roman" w:hAnsi="Meta Pro"/>
                <w:szCs w:val="18"/>
                <w:lang w:eastAsia="en-AU"/>
              </w:rPr>
            </w:pPr>
            <w:r w:rsidRPr="00BA1D33">
              <w:rPr>
                <w:rFonts w:ascii="Meta Pro" w:eastAsia="Times New Roman" w:hAnsi="Meta Pro"/>
                <w:szCs w:val="18"/>
                <w:lang w:eastAsia="en-AU"/>
              </w:rPr>
              <w:t>Supplies and services</w:t>
            </w:r>
          </w:p>
        </w:tc>
        <w:tc>
          <w:tcPr>
            <w:tcW w:w="1157" w:type="dxa"/>
            <w:tcBorders>
              <w:top w:val="nil"/>
              <w:left w:val="nil"/>
              <w:bottom w:val="nil"/>
              <w:right w:val="nil"/>
            </w:tcBorders>
            <w:shd w:val="clear" w:color="auto" w:fill="auto"/>
            <w:noWrap/>
            <w:vAlign w:val="center"/>
            <w:hideMark/>
          </w:tcPr>
          <w:p w14:paraId="6C7443A9"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4,339,612 </w:t>
            </w:r>
          </w:p>
        </w:tc>
        <w:tc>
          <w:tcPr>
            <w:tcW w:w="195" w:type="dxa"/>
            <w:tcBorders>
              <w:top w:val="nil"/>
              <w:left w:val="nil"/>
              <w:bottom w:val="nil"/>
              <w:right w:val="nil"/>
            </w:tcBorders>
            <w:shd w:val="clear" w:color="auto" w:fill="auto"/>
            <w:noWrap/>
            <w:vAlign w:val="center"/>
            <w:hideMark/>
          </w:tcPr>
          <w:p w14:paraId="43548C67" w14:textId="77777777" w:rsidR="00BC5219" w:rsidRPr="00BA1D33"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1D9B1560"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4,536,142 </w:t>
            </w:r>
          </w:p>
        </w:tc>
        <w:tc>
          <w:tcPr>
            <w:tcW w:w="195" w:type="dxa"/>
            <w:tcBorders>
              <w:top w:val="nil"/>
              <w:left w:val="nil"/>
              <w:bottom w:val="nil"/>
              <w:right w:val="nil"/>
            </w:tcBorders>
            <w:shd w:val="clear" w:color="auto" w:fill="auto"/>
            <w:noWrap/>
            <w:vAlign w:val="center"/>
            <w:hideMark/>
          </w:tcPr>
          <w:p w14:paraId="618FC210" w14:textId="77777777" w:rsidR="00BC5219" w:rsidRPr="00BA1D33" w:rsidRDefault="00BC5219" w:rsidP="00E83802">
            <w:pPr>
              <w:jc w:val="right"/>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6314D6DF"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196,530 </w:t>
            </w:r>
          </w:p>
        </w:tc>
      </w:tr>
      <w:tr w:rsidR="00BC5219" w:rsidRPr="00BA1D33" w14:paraId="1C4D839B" w14:textId="77777777" w:rsidTr="00E83802">
        <w:trPr>
          <w:trHeight w:val="198"/>
        </w:trPr>
        <w:tc>
          <w:tcPr>
            <w:tcW w:w="6350" w:type="dxa"/>
            <w:tcBorders>
              <w:top w:val="nil"/>
              <w:left w:val="nil"/>
              <w:bottom w:val="nil"/>
              <w:right w:val="nil"/>
            </w:tcBorders>
            <w:shd w:val="clear" w:color="auto" w:fill="auto"/>
            <w:noWrap/>
            <w:vAlign w:val="center"/>
            <w:hideMark/>
          </w:tcPr>
          <w:p w14:paraId="3408ED5B" w14:textId="77777777" w:rsidR="00BC5219" w:rsidRPr="00BA1D33" w:rsidRDefault="00BC5219" w:rsidP="00E83802">
            <w:pPr>
              <w:rPr>
                <w:rFonts w:ascii="Meta Pro" w:eastAsia="Times New Roman" w:hAnsi="Meta Pro"/>
                <w:szCs w:val="18"/>
                <w:lang w:eastAsia="en-AU"/>
              </w:rPr>
            </w:pPr>
            <w:r w:rsidRPr="00BA1D33">
              <w:rPr>
                <w:rFonts w:ascii="Meta Pro" w:eastAsia="Times New Roman" w:hAnsi="Meta Pro"/>
                <w:szCs w:val="18"/>
                <w:lang w:eastAsia="en-AU"/>
              </w:rPr>
              <w:t xml:space="preserve">Grants and subsidies </w:t>
            </w:r>
          </w:p>
        </w:tc>
        <w:tc>
          <w:tcPr>
            <w:tcW w:w="1157" w:type="dxa"/>
            <w:tcBorders>
              <w:top w:val="nil"/>
              <w:left w:val="nil"/>
              <w:bottom w:val="nil"/>
              <w:right w:val="nil"/>
            </w:tcBorders>
            <w:shd w:val="clear" w:color="auto" w:fill="auto"/>
            <w:noWrap/>
            <w:vAlign w:val="center"/>
            <w:hideMark/>
          </w:tcPr>
          <w:p w14:paraId="558682F1"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777,369 </w:t>
            </w:r>
          </w:p>
        </w:tc>
        <w:tc>
          <w:tcPr>
            <w:tcW w:w="195" w:type="dxa"/>
            <w:tcBorders>
              <w:top w:val="nil"/>
              <w:left w:val="nil"/>
              <w:bottom w:val="nil"/>
              <w:right w:val="nil"/>
            </w:tcBorders>
            <w:shd w:val="clear" w:color="auto" w:fill="auto"/>
            <w:noWrap/>
            <w:vAlign w:val="center"/>
            <w:hideMark/>
          </w:tcPr>
          <w:p w14:paraId="245A2AF3" w14:textId="77777777" w:rsidR="00BC5219" w:rsidRPr="00BA1D33"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322E6620"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796,688 </w:t>
            </w:r>
          </w:p>
        </w:tc>
        <w:tc>
          <w:tcPr>
            <w:tcW w:w="195" w:type="dxa"/>
            <w:tcBorders>
              <w:top w:val="nil"/>
              <w:left w:val="nil"/>
              <w:bottom w:val="nil"/>
              <w:right w:val="nil"/>
            </w:tcBorders>
            <w:shd w:val="clear" w:color="auto" w:fill="auto"/>
            <w:noWrap/>
            <w:vAlign w:val="center"/>
            <w:hideMark/>
          </w:tcPr>
          <w:p w14:paraId="391095CB" w14:textId="77777777" w:rsidR="00BC5219" w:rsidRPr="00BA1D33" w:rsidRDefault="00BC5219" w:rsidP="00E83802">
            <w:pPr>
              <w:jc w:val="right"/>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4C4F611D"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19,319 </w:t>
            </w:r>
          </w:p>
        </w:tc>
      </w:tr>
      <w:tr w:rsidR="00BC5219" w:rsidRPr="00BA1D33" w14:paraId="6B6B3FAB" w14:textId="77777777" w:rsidTr="00E83802">
        <w:trPr>
          <w:trHeight w:val="198"/>
        </w:trPr>
        <w:tc>
          <w:tcPr>
            <w:tcW w:w="6350" w:type="dxa"/>
            <w:tcBorders>
              <w:top w:val="nil"/>
              <w:left w:val="nil"/>
              <w:bottom w:val="nil"/>
              <w:right w:val="nil"/>
            </w:tcBorders>
            <w:shd w:val="clear" w:color="auto" w:fill="auto"/>
            <w:noWrap/>
            <w:vAlign w:val="center"/>
            <w:hideMark/>
          </w:tcPr>
          <w:p w14:paraId="64BEA4A0" w14:textId="77777777" w:rsidR="00BC5219" w:rsidRPr="00BA1D33" w:rsidRDefault="00BC5219" w:rsidP="00E83802">
            <w:pPr>
              <w:rPr>
                <w:rFonts w:ascii="Meta Pro" w:eastAsia="Times New Roman" w:hAnsi="Meta Pro"/>
                <w:szCs w:val="18"/>
                <w:lang w:eastAsia="en-AU"/>
              </w:rPr>
            </w:pPr>
            <w:r w:rsidRPr="00BA1D33">
              <w:rPr>
                <w:rFonts w:ascii="Meta Pro" w:eastAsia="Times New Roman" w:hAnsi="Meta Pro"/>
                <w:szCs w:val="18"/>
                <w:lang w:eastAsia="en-AU"/>
              </w:rPr>
              <w:t>Finance and borrowing costs</w:t>
            </w:r>
          </w:p>
        </w:tc>
        <w:tc>
          <w:tcPr>
            <w:tcW w:w="1157" w:type="dxa"/>
            <w:tcBorders>
              <w:top w:val="nil"/>
              <w:left w:val="nil"/>
              <w:bottom w:val="nil"/>
              <w:right w:val="nil"/>
            </w:tcBorders>
            <w:shd w:val="clear" w:color="auto" w:fill="auto"/>
            <w:noWrap/>
            <w:vAlign w:val="center"/>
            <w:hideMark/>
          </w:tcPr>
          <w:p w14:paraId="00BE8DBB"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75,656 </w:t>
            </w:r>
          </w:p>
        </w:tc>
        <w:tc>
          <w:tcPr>
            <w:tcW w:w="195" w:type="dxa"/>
            <w:tcBorders>
              <w:top w:val="nil"/>
              <w:left w:val="nil"/>
              <w:bottom w:val="nil"/>
              <w:right w:val="nil"/>
            </w:tcBorders>
            <w:shd w:val="clear" w:color="auto" w:fill="auto"/>
            <w:noWrap/>
            <w:vAlign w:val="center"/>
            <w:hideMark/>
          </w:tcPr>
          <w:p w14:paraId="294FFF39" w14:textId="77777777" w:rsidR="00BC5219" w:rsidRPr="00BA1D33"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7CFF01B3"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97,277 </w:t>
            </w:r>
          </w:p>
        </w:tc>
        <w:tc>
          <w:tcPr>
            <w:tcW w:w="195" w:type="dxa"/>
            <w:tcBorders>
              <w:top w:val="nil"/>
              <w:left w:val="nil"/>
              <w:bottom w:val="nil"/>
              <w:right w:val="nil"/>
            </w:tcBorders>
            <w:shd w:val="clear" w:color="auto" w:fill="auto"/>
            <w:noWrap/>
            <w:vAlign w:val="center"/>
            <w:hideMark/>
          </w:tcPr>
          <w:p w14:paraId="5DF12D1E" w14:textId="77777777" w:rsidR="00BC5219" w:rsidRPr="00BA1D33" w:rsidRDefault="00BC5219" w:rsidP="00E83802">
            <w:pPr>
              <w:jc w:val="right"/>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085CCE83"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21,621 </w:t>
            </w:r>
          </w:p>
        </w:tc>
      </w:tr>
      <w:tr w:rsidR="00BC5219" w:rsidRPr="00BA1D33" w14:paraId="56086EEA" w14:textId="77777777" w:rsidTr="00E83802">
        <w:trPr>
          <w:trHeight w:val="198"/>
        </w:trPr>
        <w:tc>
          <w:tcPr>
            <w:tcW w:w="6350" w:type="dxa"/>
            <w:tcBorders>
              <w:top w:val="nil"/>
              <w:left w:val="nil"/>
              <w:bottom w:val="nil"/>
              <w:right w:val="nil"/>
            </w:tcBorders>
            <w:shd w:val="clear" w:color="auto" w:fill="auto"/>
            <w:noWrap/>
            <w:vAlign w:val="center"/>
            <w:hideMark/>
          </w:tcPr>
          <w:p w14:paraId="0C767949" w14:textId="77777777" w:rsidR="00BC5219" w:rsidRPr="00BA1D33" w:rsidRDefault="00BC5219" w:rsidP="00E83802">
            <w:pPr>
              <w:rPr>
                <w:rFonts w:ascii="Meta Pro" w:eastAsia="Times New Roman" w:hAnsi="Meta Pro"/>
                <w:szCs w:val="18"/>
                <w:lang w:eastAsia="en-AU"/>
              </w:rPr>
            </w:pPr>
            <w:r w:rsidRPr="00BA1D33">
              <w:rPr>
                <w:rFonts w:ascii="Meta Pro" w:eastAsia="Times New Roman" w:hAnsi="Meta Pro"/>
                <w:szCs w:val="18"/>
                <w:lang w:eastAsia="en-AU"/>
              </w:rPr>
              <w:t>Depreciation and amortisation</w:t>
            </w:r>
          </w:p>
        </w:tc>
        <w:tc>
          <w:tcPr>
            <w:tcW w:w="1157" w:type="dxa"/>
            <w:tcBorders>
              <w:top w:val="nil"/>
              <w:left w:val="nil"/>
              <w:bottom w:val="nil"/>
              <w:right w:val="nil"/>
            </w:tcBorders>
            <w:shd w:val="clear" w:color="auto" w:fill="auto"/>
            <w:noWrap/>
            <w:vAlign w:val="center"/>
            <w:hideMark/>
          </w:tcPr>
          <w:p w14:paraId="3817AA3B"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1,388,878 </w:t>
            </w:r>
          </w:p>
        </w:tc>
        <w:tc>
          <w:tcPr>
            <w:tcW w:w="195" w:type="dxa"/>
            <w:tcBorders>
              <w:top w:val="nil"/>
              <w:left w:val="nil"/>
              <w:bottom w:val="nil"/>
              <w:right w:val="nil"/>
            </w:tcBorders>
            <w:shd w:val="clear" w:color="auto" w:fill="auto"/>
            <w:noWrap/>
            <w:vAlign w:val="center"/>
            <w:hideMark/>
          </w:tcPr>
          <w:p w14:paraId="7EEA628F" w14:textId="77777777" w:rsidR="00BC5219" w:rsidRPr="00BA1D33"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00D412F2"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1,506,325 </w:t>
            </w:r>
          </w:p>
        </w:tc>
        <w:tc>
          <w:tcPr>
            <w:tcW w:w="195" w:type="dxa"/>
            <w:tcBorders>
              <w:top w:val="nil"/>
              <w:left w:val="nil"/>
              <w:bottom w:val="nil"/>
              <w:right w:val="nil"/>
            </w:tcBorders>
            <w:shd w:val="clear" w:color="auto" w:fill="auto"/>
            <w:noWrap/>
            <w:vAlign w:val="center"/>
            <w:hideMark/>
          </w:tcPr>
          <w:p w14:paraId="62E77F4A" w14:textId="77777777" w:rsidR="00BC5219" w:rsidRPr="00BA1D33" w:rsidRDefault="00BC5219" w:rsidP="00E83802">
            <w:pPr>
              <w:jc w:val="right"/>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660B2E9F"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117,447 </w:t>
            </w:r>
          </w:p>
        </w:tc>
      </w:tr>
      <w:tr w:rsidR="00BC5219" w:rsidRPr="00BA1D33" w14:paraId="3FE82EA1" w14:textId="77777777" w:rsidTr="00E83802">
        <w:trPr>
          <w:trHeight w:val="198"/>
        </w:trPr>
        <w:tc>
          <w:tcPr>
            <w:tcW w:w="6350" w:type="dxa"/>
            <w:tcBorders>
              <w:top w:val="nil"/>
              <w:left w:val="nil"/>
              <w:bottom w:val="nil"/>
              <w:right w:val="nil"/>
            </w:tcBorders>
            <w:shd w:val="clear" w:color="auto" w:fill="auto"/>
            <w:noWrap/>
            <w:vAlign w:val="center"/>
            <w:hideMark/>
          </w:tcPr>
          <w:p w14:paraId="1C93E917" w14:textId="77777777" w:rsidR="00BC5219" w:rsidRPr="00BA1D33" w:rsidRDefault="00BC5219" w:rsidP="00E83802">
            <w:pPr>
              <w:rPr>
                <w:rFonts w:ascii="Meta Pro" w:eastAsia="Times New Roman" w:hAnsi="Meta Pro"/>
                <w:szCs w:val="18"/>
                <w:lang w:eastAsia="en-AU"/>
              </w:rPr>
            </w:pPr>
            <w:r w:rsidRPr="00BA1D33">
              <w:rPr>
                <w:rFonts w:ascii="Meta Pro" w:eastAsia="Times New Roman" w:hAnsi="Meta Pro"/>
                <w:szCs w:val="18"/>
                <w:lang w:eastAsia="en-AU"/>
              </w:rPr>
              <w:t>Impairment losses</w:t>
            </w:r>
          </w:p>
        </w:tc>
        <w:tc>
          <w:tcPr>
            <w:tcW w:w="1157" w:type="dxa"/>
            <w:tcBorders>
              <w:top w:val="nil"/>
              <w:left w:val="nil"/>
              <w:bottom w:val="nil"/>
              <w:right w:val="nil"/>
            </w:tcBorders>
            <w:shd w:val="clear" w:color="auto" w:fill="auto"/>
            <w:noWrap/>
            <w:vAlign w:val="center"/>
            <w:hideMark/>
          </w:tcPr>
          <w:p w14:paraId="7161E846"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1,671 </w:t>
            </w:r>
          </w:p>
        </w:tc>
        <w:tc>
          <w:tcPr>
            <w:tcW w:w="195" w:type="dxa"/>
            <w:tcBorders>
              <w:top w:val="nil"/>
              <w:left w:val="nil"/>
              <w:bottom w:val="nil"/>
              <w:right w:val="nil"/>
            </w:tcBorders>
            <w:shd w:val="clear" w:color="auto" w:fill="auto"/>
            <w:noWrap/>
            <w:vAlign w:val="center"/>
            <w:hideMark/>
          </w:tcPr>
          <w:p w14:paraId="5418CC3A" w14:textId="77777777" w:rsidR="00BC5219" w:rsidRPr="00BA1D33"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565F9E37"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1,409 </w:t>
            </w:r>
          </w:p>
        </w:tc>
        <w:tc>
          <w:tcPr>
            <w:tcW w:w="195" w:type="dxa"/>
            <w:tcBorders>
              <w:top w:val="nil"/>
              <w:left w:val="nil"/>
              <w:bottom w:val="nil"/>
              <w:right w:val="nil"/>
            </w:tcBorders>
            <w:shd w:val="clear" w:color="auto" w:fill="auto"/>
            <w:noWrap/>
            <w:vAlign w:val="center"/>
            <w:hideMark/>
          </w:tcPr>
          <w:p w14:paraId="2D459952" w14:textId="77777777" w:rsidR="00BC5219" w:rsidRPr="00BA1D33" w:rsidRDefault="00BC5219" w:rsidP="00E83802">
            <w:pPr>
              <w:jc w:val="right"/>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6217A37F"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(262)</w:t>
            </w:r>
          </w:p>
        </w:tc>
      </w:tr>
      <w:tr w:rsidR="00BC5219" w:rsidRPr="00BA1D33" w14:paraId="7B6196B0" w14:textId="77777777" w:rsidTr="00E83802">
        <w:trPr>
          <w:trHeight w:val="198"/>
        </w:trPr>
        <w:tc>
          <w:tcPr>
            <w:tcW w:w="6350" w:type="dxa"/>
            <w:tcBorders>
              <w:top w:val="nil"/>
              <w:left w:val="nil"/>
              <w:bottom w:val="nil"/>
              <w:right w:val="nil"/>
            </w:tcBorders>
            <w:shd w:val="clear" w:color="auto" w:fill="auto"/>
            <w:noWrap/>
            <w:vAlign w:val="center"/>
            <w:hideMark/>
          </w:tcPr>
          <w:p w14:paraId="4951BB1E" w14:textId="77777777" w:rsidR="00BC5219" w:rsidRPr="00BA1D33" w:rsidRDefault="00BC5219" w:rsidP="00E83802">
            <w:pPr>
              <w:rPr>
                <w:rFonts w:ascii="Meta Pro" w:eastAsia="Times New Roman" w:hAnsi="Meta Pro"/>
                <w:szCs w:val="18"/>
                <w:lang w:eastAsia="en-AU"/>
              </w:rPr>
            </w:pPr>
            <w:r w:rsidRPr="00BA1D33">
              <w:rPr>
                <w:rFonts w:ascii="Meta Pro" w:eastAsia="Times New Roman" w:hAnsi="Meta Pro"/>
                <w:szCs w:val="18"/>
                <w:lang w:eastAsia="en-AU"/>
              </w:rPr>
              <w:t>Other expenses</w:t>
            </w:r>
          </w:p>
        </w:tc>
        <w:tc>
          <w:tcPr>
            <w:tcW w:w="1157" w:type="dxa"/>
            <w:tcBorders>
              <w:top w:val="nil"/>
              <w:left w:val="nil"/>
              <w:bottom w:val="nil"/>
              <w:right w:val="nil"/>
            </w:tcBorders>
            <w:shd w:val="clear" w:color="auto" w:fill="auto"/>
            <w:noWrap/>
            <w:vAlign w:val="center"/>
            <w:hideMark/>
          </w:tcPr>
          <w:p w14:paraId="5F844590"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19,926 </w:t>
            </w:r>
          </w:p>
        </w:tc>
        <w:tc>
          <w:tcPr>
            <w:tcW w:w="195" w:type="dxa"/>
            <w:tcBorders>
              <w:top w:val="nil"/>
              <w:left w:val="nil"/>
              <w:bottom w:val="nil"/>
              <w:right w:val="nil"/>
            </w:tcBorders>
            <w:shd w:val="clear" w:color="auto" w:fill="auto"/>
            <w:noWrap/>
            <w:vAlign w:val="center"/>
            <w:hideMark/>
          </w:tcPr>
          <w:p w14:paraId="706D9314" w14:textId="77777777" w:rsidR="00BC5219" w:rsidRPr="00BA1D33"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36B06A71"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32,865 </w:t>
            </w:r>
          </w:p>
        </w:tc>
        <w:tc>
          <w:tcPr>
            <w:tcW w:w="195" w:type="dxa"/>
            <w:tcBorders>
              <w:top w:val="nil"/>
              <w:left w:val="nil"/>
              <w:bottom w:val="nil"/>
              <w:right w:val="nil"/>
            </w:tcBorders>
            <w:shd w:val="clear" w:color="auto" w:fill="auto"/>
            <w:noWrap/>
            <w:vAlign w:val="center"/>
            <w:hideMark/>
          </w:tcPr>
          <w:p w14:paraId="28F0346A" w14:textId="77777777" w:rsidR="00BC5219" w:rsidRPr="00BA1D33" w:rsidRDefault="00BC5219" w:rsidP="00E83802">
            <w:pPr>
              <w:jc w:val="right"/>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2217854D"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12,939 </w:t>
            </w:r>
          </w:p>
        </w:tc>
      </w:tr>
      <w:tr w:rsidR="00BC5219" w:rsidRPr="00BA1D33" w14:paraId="7922A761" w14:textId="77777777" w:rsidTr="00E83802">
        <w:trPr>
          <w:trHeight w:val="198"/>
        </w:trPr>
        <w:tc>
          <w:tcPr>
            <w:tcW w:w="6350" w:type="dxa"/>
            <w:tcBorders>
              <w:top w:val="single" w:sz="4" w:space="0" w:color="auto"/>
              <w:left w:val="nil"/>
              <w:bottom w:val="nil"/>
              <w:right w:val="nil"/>
            </w:tcBorders>
            <w:shd w:val="clear" w:color="auto" w:fill="auto"/>
            <w:noWrap/>
            <w:vAlign w:val="center"/>
            <w:hideMark/>
          </w:tcPr>
          <w:p w14:paraId="69DED539" w14:textId="77777777" w:rsidR="00BC5219" w:rsidRPr="00BA1D33" w:rsidRDefault="00BC5219" w:rsidP="00E83802">
            <w:pPr>
              <w:rPr>
                <w:rFonts w:ascii="Meta Pro" w:eastAsia="Times New Roman" w:hAnsi="Meta Pro"/>
                <w:b/>
                <w:bCs/>
                <w:szCs w:val="18"/>
                <w:lang w:eastAsia="en-AU"/>
              </w:rPr>
            </w:pPr>
            <w:r w:rsidRPr="00BA1D33">
              <w:rPr>
                <w:rFonts w:ascii="Meta Pro" w:eastAsia="Times New Roman" w:hAnsi="Meta Pro"/>
                <w:b/>
                <w:bCs/>
                <w:szCs w:val="18"/>
                <w:lang w:eastAsia="en-AU"/>
              </w:rPr>
              <w:t>Total expenses</w:t>
            </w:r>
          </w:p>
        </w:tc>
        <w:tc>
          <w:tcPr>
            <w:tcW w:w="1157" w:type="dxa"/>
            <w:tcBorders>
              <w:top w:val="single" w:sz="4" w:space="0" w:color="auto"/>
              <w:left w:val="nil"/>
              <w:bottom w:val="nil"/>
              <w:right w:val="nil"/>
            </w:tcBorders>
            <w:shd w:val="clear" w:color="auto" w:fill="auto"/>
            <w:noWrap/>
            <w:vAlign w:val="center"/>
            <w:hideMark/>
          </w:tcPr>
          <w:p w14:paraId="24A6CC24" w14:textId="77777777" w:rsidR="00BC5219" w:rsidRPr="00BA1D33" w:rsidRDefault="00BC5219" w:rsidP="00E83802">
            <w:pPr>
              <w:jc w:val="right"/>
              <w:rPr>
                <w:rFonts w:ascii="Meta Pro" w:eastAsia="Times New Roman" w:hAnsi="Meta Pro"/>
                <w:b/>
                <w:bCs/>
                <w:szCs w:val="18"/>
                <w:lang w:eastAsia="en-AU"/>
              </w:rPr>
            </w:pPr>
            <w:r w:rsidRPr="00BA1D33">
              <w:rPr>
                <w:rFonts w:ascii="Meta Pro" w:eastAsia="Times New Roman" w:hAnsi="Meta Pro"/>
                <w:b/>
                <w:bCs/>
                <w:szCs w:val="18"/>
                <w:lang w:eastAsia="en-AU"/>
              </w:rPr>
              <w:t xml:space="preserve">7,249,830 </w:t>
            </w:r>
          </w:p>
        </w:tc>
        <w:tc>
          <w:tcPr>
            <w:tcW w:w="195" w:type="dxa"/>
            <w:tcBorders>
              <w:top w:val="single" w:sz="4" w:space="0" w:color="auto"/>
              <w:left w:val="nil"/>
              <w:bottom w:val="nil"/>
              <w:right w:val="nil"/>
            </w:tcBorders>
            <w:shd w:val="clear" w:color="auto" w:fill="auto"/>
            <w:noWrap/>
            <w:vAlign w:val="center"/>
            <w:hideMark/>
          </w:tcPr>
          <w:p w14:paraId="2DF25227" w14:textId="77777777" w:rsidR="00BC5219" w:rsidRPr="00BA1D33" w:rsidRDefault="00BC5219" w:rsidP="00E83802">
            <w:pPr>
              <w:jc w:val="right"/>
              <w:rPr>
                <w:rFonts w:ascii="Meta Pro" w:eastAsia="Times New Roman" w:hAnsi="Meta Pro"/>
                <w:b/>
                <w:bCs/>
                <w:szCs w:val="18"/>
                <w:lang w:eastAsia="en-AU"/>
              </w:rPr>
            </w:pPr>
            <w:r w:rsidRPr="00BA1D33">
              <w:rPr>
                <w:rFonts w:ascii="Meta Pro" w:eastAsia="Times New Roman" w:hAnsi="Meta Pro"/>
                <w:b/>
                <w:bCs/>
                <w:szCs w:val="18"/>
                <w:lang w:eastAsia="en-AU"/>
              </w:rPr>
              <w:t> </w:t>
            </w:r>
          </w:p>
        </w:tc>
        <w:tc>
          <w:tcPr>
            <w:tcW w:w="1157" w:type="dxa"/>
            <w:tcBorders>
              <w:top w:val="single" w:sz="4" w:space="0" w:color="auto"/>
              <w:left w:val="nil"/>
              <w:bottom w:val="nil"/>
              <w:right w:val="nil"/>
            </w:tcBorders>
            <w:shd w:val="clear" w:color="auto" w:fill="auto"/>
            <w:noWrap/>
            <w:vAlign w:val="center"/>
            <w:hideMark/>
          </w:tcPr>
          <w:p w14:paraId="44466A2D" w14:textId="77777777" w:rsidR="00BC5219" w:rsidRPr="00BA1D33" w:rsidRDefault="00BC5219" w:rsidP="00E83802">
            <w:pPr>
              <w:jc w:val="right"/>
              <w:rPr>
                <w:rFonts w:ascii="Meta Pro" w:eastAsia="Times New Roman" w:hAnsi="Meta Pro"/>
                <w:b/>
                <w:bCs/>
                <w:szCs w:val="18"/>
                <w:lang w:eastAsia="en-AU"/>
              </w:rPr>
            </w:pPr>
            <w:r w:rsidRPr="00BA1D33">
              <w:rPr>
                <w:rFonts w:ascii="Meta Pro" w:eastAsia="Times New Roman" w:hAnsi="Meta Pro"/>
                <w:b/>
                <w:bCs/>
                <w:szCs w:val="18"/>
                <w:lang w:eastAsia="en-AU"/>
              </w:rPr>
              <w:t xml:space="preserve">7,680,453 </w:t>
            </w:r>
          </w:p>
        </w:tc>
        <w:tc>
          <w:tcPr>
            <w:tcW w:w="195" w:type="dxa"/>
            <w:tcBorders>
              <w:top w:val="single" w:sz="4" w:space="0" w:color="auto"/>
              <w:left w:val="nil"/>
              <w:bottom w:val="nil"/>
              <w:right w:val="nil"/>
            </w:tcBorders>
            <w:shd w:val="clear" w:color="auto" w:fill="auto"/>
            <w:noWrap/>
            <w:vAlign w:val="center"/>
            <w:hideMark/>
          </w:tcPr>
          <w:p w14:paraId="5C64092D" w14:textId="77777777" w:rsidR="00BC5219" w:rsidRPr="00BA1D33" w:rsidRDefault="00BC5219" w:rsidP="00E83802">
            <w:pPr>
              <w:jc w:val="right"/>
              <w:rPr>
                <w:rFonts w:ascii="Meta Pro" w:eastAsia="Times New Roman" w:hAnsi="Meta Pro"/>
                <w:b/>
                <w:bCs/>
                <w:szCs w:val="18"/>
                <w:lang w:eastAsia="en-AU"/>
              </w:rPr>
            </w:pPr>
            <w:r w:rsidRPr="00BA1D33">
              <w:rPr>
                <w:rFonts w:ascii="Meta Pro" w:eastAsia="Times New Roman" w:hAnsi="Meta Pro"/>
                <w:b/>
                <w:bCs/>
                <w:szCs w:val="18"/>
                <w:lang w:eastAsia="en-AU"/>
              </w:rPr>
              <w:t> </w:t>
            </w:r>
          </w:p>
        </w:tc>
        <w:tc>
          <w:tcPr>
            <w:tcW w:w="1140" w:type="dxa"/>
            <w:tcBorders>
              <w:top w:val="single" w:sz="4" w:space="0" w:color="auto"/>
              <w:left w:val="nil"/>
              <w:bottom w:val="nil"/>
              <w:right w:val="nil"/>
            </w:tcBorders>
            <w:shd w:val="clear" w:color="auto" w:fill="auto"/>
            <w:noWrap/>
            <w:vAlign w:val="center"/>
            <w:hideMark/>
          </w:tcPr>
          <w:p w14:paraId="04C0F278" w14:textId="77777777" w:rsidR="00BC5219" w:rsidRPr="00BA1D33" w:rsidRDefault="00BC5219" w:rsidP="00E83802">
            <w:pPr>
              <w:jc w:val="right"/>
              <w:rPr>
                <w:rFonts w:ascii="Meta Pro" w:eastAsia="Times New Roman" w:hAnsi="Meta Pro"/>
                <w:b/>
                <w:bCs/>
                <w:szCs w:val="18"/>
                <w:lang w:eastAsia="en-AU"/>
              </w:rPr>
            </w:pPr>
            <w:r w:rsidRPr="00BA1D33">
              <w:rPr>
                <w:rFonts w:ascii="Meta Pro" w:eastAsia="Times New Roman" w:hAnsi="Meta Pro"/>
                <w:b/>
                <w:bCs/>
                <w:szCs w:val="18"/>
                <w:lang w:eastAsia="en-AU"/>
              </w:rPr>
              <w:t xml:space="preserve">430,623 </w:t>
            </w:r>
          </w:p>
        </w:tc>
      </w:tr>
      <w:tr w:rsidR="00BC5219" w:rsidRPr="00BA1D33" w14:paraId="2B1B911A" w14:textId="77777777" w:rsidTr="00E83802">
        <w:trPr>
          <w:trHeight w:hRule="exact" w:val="198"/>
        </w:trPr>
        <w:tc>
          <w:tcPr>
            <w:tcW w:w="6350" w:type="dxa"/>
            <w:tcBorders>
              <w:top w:val="nil"/>
              <w:left w:val="nil"/>
              <w:bottom w:val="nil"/>
              <w:right w:val="nil"/>
            </w:tcBorders>
            <w:shd w:val="clear" w:color="auto" w:fill="auto"/>
            <w:noWrap/>
            <w:vAlign w:val="center"/>
            <w:hideMark/>
          </w:tcPr>
          <w:p w14:paraId="417C2083" w14:textId="77777777" w:rsidR="00BC5219" w:rsidRPr="00BA1D33" w:rsidRDefault="00BC5219" w:rsidP="00E83802">
            <w:pPr>
              <w:jc w:val="right"/>
              <w:rPr>
                <w:rFonts w:ascii="Meta Pro" w:eastAsia="Times New Roman" w:hAnsi="Meta Pro"/>
                <w:b/>
                <w:bCs/>
                <w:szCs w:val="18"/>
                <w:lang w:eastAsia="en-AU"/>
              </w:rPr>
            </w:pPr>
          </w:p>
        </w:tc>
        <w:tc>
          <w:tcPr>
            <w:tcW w:w="1157" w:type="dxa"/>
            <w:tcBorders>
              <w:top w:val="nil"/>
              <w:left w:val="nil"/>
              <w:bottom w:val="nil"/>
              <w:right w:val="nil"/>
            </w:tcBorders>
            <w:shd w:val="clear" w:color="auto" w:fill="auto"/>
            <w:vAlign w:val="center"/>
            <w:hideMark/>
          </w:tcPr>
          <w:p w14:paraId="51F80733" w14:textId="77777777" w:rsidR="00BC5219" w:rsidRPr="00BA1D33" w:rsidRDefault="00BC5219" w:rsidP="00E83802">
            <w:pPr>
              <w:rPr>
                <w:rFonts w:ascii="Times New Roman" w:eastAsia="Times New Roman" w:hAnsi="Times New Roman" w:cs="Times New Roman"/>
                <w:sz w:val="20"/>
                <w:szCs w:val="20"/>
                <w:lang w:eastAsia="en-AU"/>
              </w:rPr>
            </w:pPr>
          </w:p>
        </w:tc>
        <w:tc>
          <w:tcPr>
            <w:tcW w:w="195" w:type="dxa"/>
            <w:tcBorders>
              <w:top w:val="nil"/>
              <w:left w:val="nil"/>
              <w:bottom w:val="nil"/>
              <w:right w:val="nil"/>
            </w:tcBorders>
            <w:shd w:val="clear" w:color="auto" w:fill="auto"/>
            <w:vAlign w:val="center"/>
            <w:hideMark/>
          </w:tcPr>
          <w:p w14:paraId="3338FF8D" w14:textId="77777777" w:rsidR="00BC5219" w:rsidRPr="00BA1D33" w:rsidRDefault="00BC5219" w:rsidP="00E83802">
            <w:pPr>
              <w:rPr>
                <w:rFonts w:ascii="Times New Roman" w:eastAsia="Times New Roman" w:hAnsi="Times New Roman" w:cs="Times New Roman"/>
                <w:sz w:val="20"/>
                <w:szCs w:val="20"/>
                <w:lang w:eastAsia="en-AU"/>
              </w:rPr>
            </w:pPr>
          </w:p>
        </w:tc>
        <w:tc>
          <w:tcPr>
            <w:tcW w:w="1157" w:type="dxa"/>
            <w:tcBorders>
              <w:top w:val="nil"/>
              <w:left w:val="nil"/>
              <w:bottom w:val="nil"/>
              <w:right w:val="nil"/>
            </w:tcBorders>
            <w:shd w:val="clear" w:color="auto" w:fill="auto"/>
            <w:vAlign w:val="center"/>
            <w:hideMark/>
          </w:tcPr>
          <w:p w14:paraId="2CB09DC3" w14:textId="77777777" w:rsidR="00BC5219" w:rsidRPr="00BA1D33" w:rsidRDefault="00BC5219" w:rsidP="00E83802">
            <w:pPr>
              <w:rPr>
                <w:rFonts w:ascii="Times New Roman" w:eastAsia="Times New Roman" w:hAnsi="Times New Roman" w:cs="Times New Roman"/>
                <w:sz w:val="20"/>
                <w:szCs w:val="20"/>
                <w:lang w:eastAsia="en-AU"/>
              </w:rPr>
            </w:pPr>
          </w:p>
        </w:tc>
        <w:tc>
          <w:tcPr>
            <w:tcW w:w="195" w:type="dxa"/>
            <w:tcBorders>
              <w:top w:val="nil"/>
              <w:left w:val="nil"/>
              <w:bottom w:val="nil"/>
              <w:right w:val="nil"/>
            </w:tcBorders>
            <w:shd w:val="clear" w:color="auto" w:fill="auto"/>
            <w:vAlign w:val="center"/>
            <w:hideMark/>
          </w:tcPr>
          <w:p w14:paraId="0EA11E01" w14:textId="77777777" w:rsidR="00BC5219" w:rsidRPr="00BA1D33" w:rsidRDefault="00BC5219" w:rsidP="00E83802">
            <w:pPr>
              <w:rPr>
                <w:rFonts w:ascii="Times New Roman" w:eastAsia="Times New Roman" w:hAnsi="Times New Roman" w:cs="Times New Roman"/>
                <w:sz w:val="20"/>
                <w:szCs w:val="20"/>
                <w:lang w:eastAsia="en-AU"/>
              </w:rPr>
            </w:pPr>
          </w:p>
        </w:tc>
        <w:tc>
          <w:tcPr>
            <w:tcW w:w="1140" w:type="dxa"/>
            <w:tcBorders>
              <w:top w:val="nil"/>
              <w:left w:val="nil"/>
              <w:bottom w:val="nil"/>
              <w:right w:val="nil"/>
            </w:tcBorders>
            <w:shd w:val="clear" w:color="auto" w:fill="auto"/>
            <w:vAlign w:val="center"/>
            <w:hideMark/>
          </w:tcPr>
          <w:p w14:paraId="5608CFDF" w14:textId="77777777" w:rsidR="00BC5219" w:rsidRPr="00BA1D33" w:rsidRDefault="00BC5219" w:rsidP="00E83802">
            <w:pPr>
              <w:rPr>
                <w:rFonts w:ascii="Times New Roman" w:eastAsia="Times New Roman" w:hAnsi="Times New Roman" w:cs="Times New Roman"/>
                <w:sz w:val="20"/>
                <w:szCs w:val="20"/>
                <w:lang w:eastAsia="en-AU"/>
              </w:rPr>
            </w:pPr>
          </w:p>
        </w:tc>
      </w:tr>
      <w:tr w:rsidR="00BC5219" w:rsidRPr="00BA1D33" w14:paraId="03D2CB40" w14:textId="77777777" w:rsidTr="00E83802">
        <w:trPr>
          <w:trHeight w:val="198"/>
        </w:trPr>
        <w:tc>
          <w:tcPr>
            <w:tcW w:w="6350" w:type="dxa"/>
            <w:tcBorders>
              <w:top w:val="nil"/>
              <w:left w:val="nil"/>
              <w:bottom w:val="nil"/>
              <w:right w:val="nil"/>
            </w:tcBorders>
            <w:shd w:val="clear" w:color="auto" w:fill="auto"/>
            <w:noWrap/>
            <w:vAlign w:val="center"/>
            <w:hideMark/>
          </w:tcPr>
          <w:p w14:paraId="5B9A6C48" w14:textId="77777777" w:rsidR="00BC5219" w:rsidRPr="00BA1D33" w:rsidRDefault="00BC5219" w:rsidP="00E83802">
            <w:pPr>
              <w:rPr>
                <w:rFonts w:ascii="Meta Pro" w:eastAsia="Times New Roman" w:hAnsi="Meta Pro"/>
                <w:b/>
                <w:bCs/>
                <w:szCs w:val="18"/>
                <w:lang w:eastAsia="en-AU"/>
              </w:rPr>
            </w:pPr>
            <w:r w:rsidRPr="00BA1D33">
              <w:rPr>
                <w:rFonts w:ascii="Meta Pro" w:eastAsia="Times New Roman" w:hAnsi="Meta Pro"/>
                <w:b/>
                <w:bCs/>
                <w:szCs w:val="18"/>
                <w:lang w:eastAsia="en-AU"/>
              </w:rPr>
              <w:t>Operating result before income tax equivalent expense</w:t>
            </w:r>
          </w:p>
        </w:tc>
        <w:tc>
          <w:tcPr>
            <w:tcW w:w="1157" w:type="dxa"/>
            <w:tcBorders>
              <w:top w:val="nil"/>
              <w:left w:val="nil"/>
              <w:bottom w:val="nil"/>
              <w:right w:val="nil"/>
            </w:tcBorders>
            <w:shd w:val="clear" w:color="auto" w:fill="auto"/>
            <w:noWrap/>
            <w:vAlign w:val="center"/>
            <w:hideMark/>
          </w:tcPr>
          <w:p w14:paraId="4E38FE31" w14:textId="77777777" w:rsidR="00BC5219" w:rsidRPr="00BA1D33" w:rsidRDefault="00BC5219" w:rsidP="00E83802">
            <w:pPr>
              <w:jc w:val="right"/>
              <w:rPr>
                <w:rFonts w:ascii="Meta Pro" w:eastAsia="Times New Roman" w:hAnsi="Meta Pro"/>
                <w:b/>
                <w:bCs/>
                <w:szCs w:val="18"/>
                <w:lang w:eastAsia="en-AU"/>
              </w:rPr>
            </w:pPr>
            <w:r w:rsidRPr="00BA1D33">
              <w:rPr>
                <w:rFonts w:ascii="Meta Pro" w:eastAsia="Times New Roman" w:hAnsi="Meta Pro"/>
                <w:b/>
                <w:bCs/>
                <w:szCs w:val="18"/>
                <w:lang w:eastAsia="en-AU"/>
              </w:rPr>
              <w:t xml:space="preserve">81,783 </w:t>
            </w:r>
          </w:p>
        </w:tc>
        <w:tc>
          <w:tcPr>
            <w:tcW w:w="195" w:type="dxa"/>
            <w:tcBorders>
              <w:top w:val="nil"/>
              <w:left w:val="nil"/>
              <w:bottom w:val="nil"/>
              <w:right w:val="nil"/>
            </w:tcBorders>
            <w:shd w:val="clear" w:color="auto" w:fill="auto"/>
            <w:noWrap/>
            <w:vAlign w:val="center"/>
            <w:hideMark/>
          </w:tcPr>
          <w:p w14:paraId="7B7C7730" w14:textId="77777777" w:rsidR="00BC5219" w:rsidRPr="00BA1D33" w:rsidRDefault="00BC5219" w:rsidP="00E83802">
            <w:pPr>
              <w:jc w:val="right"/>
              <w:rPr>
                <w:rFonts w:ascii="Meta Pro" w:eastAsia="Times New Roman" w:hAnsi="Meta Pro"/>
                <w:b/>
                <w:bCs/>
                <w:szCs w:val="18"/>
                <w:lang w:eastAsia="en-AU"/>
              </w:rPr>
            </w:pPr>
          </w:p>
        </w:tc>
        <w:tc>
          <w:tcPr>
            <w:tcW w:w="1157" w:type="dxa"/>
            <w:tcBorders>
              <w:top w:val="nil"/>
              <w:left w:val="nil"/>
              <w:bottom w:val="nil"/>
              <w:right w:val="nil"/>
            </w:tcBorders>
            <w:shd w:val="clear" w:color="auto" w:fill="auto"/>
            <w:noWrap/>
            <w:vAlign w:val="center"/>
            <w:hideMark/>
          </w:tcPr>
          <w:p w14:paraId="70F56106" w14:textId="77777777" w:rsidR="00BC5219" w:rsidRPr="00BA1D33" w:rsidRDefault="00BC5219" w:rsidP="00E83802">
            <w:pPr>
              <w:jc w:val="right"/>
              <w:rPr>
                <w:rFonts w:ascii="Meta Pro" w:eastAsia="Times New Roman" w:hAnsi="Meta Pro"/>
                <w:b/>
                <w:bCs/>
                <w:szCs w:val="18"/>
                <w:lang w:eastAsia="en-AU"/>
              </w:rPr>
            </w:pPr>
            <w:r w:rsidRPr="00BA1D33">
              <w:rPr>
                <w:rFonts w:ascii="Meta Pro" w:eastAsia="Times New Roman" w:hAnsi="Meta Pro"/>
                <w:b/>
                <w:bCs/>
                <w:szCs w:val="18"/>
                <w:lang w:eastAsia="en-AU"/>
              </w:rPr>
              <w:t xml:space="preserve">12,698 </w:t>
            </w:r>
          </w:p>
        </w:tc>
        <w:tc>
          <w:tcPr>
            <w:tcW w:w="195" w:type="dxa"/>
            <w:tcBorders>
              <w:top w:val="nil"/>
              <w:left w:val="nil"/>
              <w:bottom w:val="nil"/>
              <w:right w:val="nil"/>
            </w:tcBorders>
            <w:shd w:val="clear" w:color="auto" w:fill="auto"/>
            <w:noWrap/>
            <w:vAlign w:val="center"/>
            <w:hideMark/>
          </w:tcPr>
          <w:p w14:paraId="1098154C" w14:textId="77777777" w:rsidR="00BC5219" w:rsidRPr="00BA1D33" w:rsidRDefault="00BC5219" w:rsidP="00E83802">
            <w:pPr>
              <w:jc w:val="right"/>
              <w:rPr>
                <w:rFonts w:ascii="Meta Pro" w:eastAsia="Times New Roman" w:hAnsi="Meta Pro"/>
                <w:b/>
                <w:bCs/>
                <w:szCs w:val="18"/>
                <w:lang w:eastAsia="en-AU"/>
              </w:rPr>
            </w:pPr>
          </w:p>
        </w:tc>
        <w:tc>
          <w:tcPr>
            <w:tcW w:w="1140" w:type="dxa"/>
            <w:tcBorders>
              <w:top w:val="nil"/>
              <w:left w:val="nil"/>
              <w:bottom w:val="nil"/>
              <w:right w:val="nil"/>
            </w:tcBorders>
            <w:shd w:val="clear" w:color="auto" w:fill="auto"/>
            <w:noWrap/>
            <w:vAlign w:val="center"/>
            <w:hideMark/>
          </w:tcPr>
          <w:p w14:paraId="3575D0AA" w14:textId="77777777" w:rsidR="00BC5219" w:rsidRPr="00BA1D33" w:rsidRDefault="00BC5219" w:rsidP="00E83802">
            <w:pPr>
              <w:jc w:val="right"/>
              <w:rPr>
                <w:rFonts w:ascii="Meta Pro" w:eastAsia="Times New Roman" w:hAnsi="Meta Pro"/>
                <w:b/>
                <w:bCs/>
                <w:szCs w:val="18"/>
                <w:lang w:eastAsia="en-AU"/>
              </w:rPr>
            </w:pPr>
            <w:r w:rsidRPr="00BA1D33">
              <w:rPr>
                <w:rFonts w:ascii="Meta Pro" w:eastAsia="Times New Roman" w:hAnsi="Meta Pro"/>
                <w:b/>
                <w:bCs/>
                <w:szCs w:val="18"/>
                <w:lang w:eastAsia="en-AU"/>
              </w:rPr>
              <w:t>(69,085)</w:t>
            </w:r>
          </w:p>
        </w:tc>
      </w:tr>
      <w:tr w:rsidR="00BC5219" w:rsidRPr="00BA1D33" w14:paraId="411287F3" w14:textId="77777777" w:rsidTr="00E83802">
        <w:trPr>
          <w:trHeight w:val="198"/>
        </w:trPr>
        <w:tc>
          <w:tcPr>
            <w:tcW w:w="6350" w:type="dxa"/>
            <w:tcBorders>
              <w:top w:val="nil"/>
              <w:left w:val="nil"/>
              <w:bottom w:val="single" w:sz="4" w:space="0" w:color="auto"/>
              <w:right w:val="nil"/>
            </w:tcBorders>
            <w:shd w:val="clear" w:color="auto" w:fill="auto"/>
            <w:noWrap/>
            <w:vAlign w:val="center"/>
            <w:hideMark/>
          </w:tcPr>
          <w:p w14:paraId="48CC0049" w14:textId="77777777" w:rsidR="00BC5219" w:rsidRPr="00BA1D33" w:rsidRDefault="00BC5219" w:rsidP="00E83802">
            <w:pPr>
              <w:rPr>
                <w:rFonts w:ascii="Meta Pro" w:eastAsia="Times New Roman" w:hAnsi="Meta Pro"/>
                <w:szCs w:val="18"/>
                <w:lang w:eastAsia="en-AU"/>
              </w:rPr>
            </w:pPr>
            <w:r w:rsidRPr="00BA1D33">
              <w:rPr>
                <w:rFonts w:ascii="Meta Pro" w:eastAsia="Times New Roman" w:hAnsi="Meta Pro"/>
                <w:szCs w:val="18"/>
                <w:lang w:eastAsia="en-AU"/>
              </w:rPr>
              <w:t>Income tax equivalent expense</w:t>
            </w:r>
          </w:p>
        </w:tc>
        <w:tc>
          <w:tcPr>
            <w:tcW w:w="1157" w:type="dxa"/>
            <w:tcBorders>
              <w:top w:val="nil"/>
              <w:left w:val="nil"/>
              <w:bottom w:val="single" w:sz="4" w:space="0" w:color="auto"/>
              <w:right w:val="nil"/>
            </w:tcBorders>
            <w:shd w:val="clear" w:color="auto" w:fill="auto"/>
            <w:noWrap/>
            <w:vAlign w:val="center"/>
            <w:hideMark/>
          </w:tcPr>
          <w:p w14:paraId="5533C689"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8,598 </w:t>
            </w:r>
          </w:p>
        </w:tc>
        <w:tc>
          <w:tcPr>
            <w:tcW w:w="195" w:type="dxa"/>
            <w:tcBorders>
              <w:top w:val="nil"/>
              <w:left w:val="nil"/>
              <w:bottom w:val="single" w:sz="4" w:space="0" w:color="auto"/>
              <w:right w:val="nil"/>
            </w:tcBorders>
            <w:shd w:val="clear" w:color="auto" w:fill="auto"/>
            <w:noWrap/>
            <w:vAlign w:val="center"/>
            <w:hideMark/>
          </w:tcPr>
          <w:p w14:paraId="3E5463B1"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w:t>
            </w:r>
          </w:p>
        </w:tc>
        <w:tc>
          <w:tcPr>
            <w:tcW w:w="1157" w:type="dxa"/>
            <w:tcBorders>
              <w:top w:val="nil"/>
              <w:left w:val="nil"/>
              <w:bottom w:val="single" w:sz="4" w:space="0" w:color="auto"/>
              <w:right w:val="nil"/>
            </w:tcBorders>
            <w:shd w:val="clear" w:color="auto" w:fill="auto"/>
            <w:noWrap/>
            <w:vAlign w:val="center"/>
            <w:hideMark/>
          </w:tcPr>
          <w:p w14:paraId="468142AF"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7,702 </w:t>
            </w:r>
          </w:p>
        </w:tc>
        <w:tc>
          <w:tcPr>
            <w:tcW w:w="195" w:type="dxa"/>
            <w:tcBorders>
              <w:top w:val="nil"/>
              <w:left w:val="nil"/>
              <w:bottom w:val="single" w:sz="4" w:space="0" w:color="auto"/>
              <w:right w:val="nil"/>
            </w:tcBorders>
            <w:shd w:val="clear" w:color="auto" w:fill="auto"/>
            <w:noWrap/>
            <w:vAlign w:val="center"/>
            <w:hideMark/>
          </w:tcPr>
          <w:p w14:paraId="67E8150E"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w:t>
            </w:r>
          </w:p>
        </w:tc>
        <w:tc>
          <w:tcPr>
            <w:tcW w:w="1140" w:type="dxa"/>
            <w:tcBorders>
              <w:top w:val="nil"/>
              <w:left w:val="nil"/>
              <w:bottom w:val="single" w:sz="4" w:space="0" w:color="auto"/>
              <w:right w:val="nil"/>
            </w:tcBorders>
            <w:shd w:val="clear" w:color="auto" w:fill="auto"/>
            <w:noWrap/>
            <w:vAlign w:val="center"/>
            <w:hideMark/>
          </w:tcPr>
          <w:p w14:paraId="4D7C9FFD"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(896)</w:t>
            </w:r>
          </w:p>
        </w:tc>
      </w:tr>
      <w:tr w:rsidR="00BC5219" w:rsidRPr="00BA1D33" w14:paraId="3FA6214C" w14:textId="77777777" w:rsidTr="00E83802">
        <w:trPr>
          <w:trHeight w:hRule="exact" w:val="198"/>
        </w:trPr>
        <w:tc>
          <w:tcPr>
            <w:tcW w:w="6350" w:type="dxa"/>
            <w:tcBorders>
              <w:top w:val="nil"/>
              <w:left w:val="nil"/>
              <w:bottom w:val="nil"/>
              <w:right w:val="nil"/>
            </w:tcBorders>
            <w:shd w:val="clear" w:color="auto" w:fill="auto"/>
            <w:noWrap/>
            <w:vAlign w:val="center"/>
            <w:hideMark/>
          </w:tcPr>
          <w:p w14:paraId="7EF64359" w14:textId="77777777" w:rsidR="00BC5219" w:rsidRPr="00BA1D33" w:rsidRDefault="00BC5219" w:rsidP="00E83802">
            <w:pPr>
              <w:jc w:val="right"/>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4882B7E0" w14:textId="77777777" w:rsidR="00BC5219" w:rsidRPr="00BA1D33" w:rsidRDefault="00BC5219" w:rsidP="00E83802">
            <w:pPr>
              <w:rPr>
                <w:rFonts w:ascii="Times New Roman" w:eastAsia="Times New Roman" w:hAnsi="Times New Roman" w:cs="Times New Roman"/>
                <w:sz w:val="20"/>
                <w:szCs w:val="20"/>
                <w:lang w:eastAsia="en-AU"/>
              </w:rPr>
            </w:pPr>
          </w:p>
        </w:tc>
        <w:tc>
          <w:tcPr>
            <w:tcW w:w="195" w:type="dxa"/>
            <w:tcBorders>
              <w:top w:val="nil"/>
              <w:left w:val="nil"/>
              <w:bottom w:val="nil"/>
              <w:right w:val="nil"/>
            </w:tcBorders>
            <w:shd w:val="clear" w:color="auto" w:fill="auto"/>
            <w:noWrap/>
            <w:vAlign w:val="center"/>
            <w:hideMark/>
          </w:tcPr>
          <w:p w14:paraId="59D4E0AB" w14:textId="77777777" w:rsidR="00BC5219" w:rsidRPr="00BA1D33" w:rsidRDefault="00BC5219" w:rsidP="00E83802">
            <w:pPr>
              <w:jc w:val="right"/>
              <w:rPr>
                <w:rFonts w:ascii="Times New Roman" w:eastAsia="Times New Roman" w:hAnsi="Times New Roman" w:cs="Times New Roman"/>
                <w:sz w:val="20"/>
                <w:szCs w:val="20"/>
                <w:lang w:eastAsia="en-AU"/>
              </w:rPr>
            </w:pPr>
          </w:p>
        </w:tc>
        <w:tc>
          <w:tcPr>
            <w:tcW w:w="1157" w:type="dxa"/>
            <w:tcBorders>
              <w:top w:val="nil"/>
              <w:left w:val="nil"/>
              <w:bottom w:val="nil"/>
              <w:right w:val="nil"/>
            </w:tcBorders>
            <w:shd w:val="clear" w:color="auto" w:fill="auto"/>
            <w:noWrap/>
            <w:vAlign w:val="center"/>
            <w:hideMark/>
          </w:tcPr>
          <w:p w14:paraId="56BBE739" w14:textId="77777777" w:rsidR="00BC5219" w:rsidRPr="00BA1D33" w:rsidRDefault="00BC5219" w:rsidP="00E83802">
            <w:pPr>
              <w:jc w:val="right"/>
              <w:rPr>
                <w:rFonts w:ascii="Times New Roman" w:eastAsia="Times New Roman" w:hAnsi="Times New Roman" w:cs="Times New Roman"/>
                <w:sz w:val="20"/>
                <w:szCs w:val="20"/>
                <w:lang w:eastAsia="en-AU"/>
              </w:rPr>
            </w:pPr>
          </w:p>
        </w:tc>
        <w:tc>
          <w:tcPr>
            <w:tcW w:w="195" w:type="dxa"/>
            <w:tcBorders>
              <w:top w:val="nil"/>
              <w:left w:val="nil"/>
              <w:bottom w:val="nil"/>
              <w:right w:val="nil"/>
            </w:tcBorders>
            <w:shd w:val="clear" w:color="auto" w:fill="auto"/>
            <w:noWrap/>
            <w:vAlign w:val="center"/>
            <w:hideMark/>
          </w:tcPr>
          <w:p w14:paraId="01A24D27" w14:textId="77777777" w:rsidR="00BC5219" w:rsidRPr="00BA1D33" w:rsidRDefault="00BC5219" w:rsidP="00E83802">
            <w:pPr>
              <w:jc w:val="right"/>
              <w:rPr>
                <w:rFonts w:ascii="Times New Roman" w:eastAsia="Times New Roman" w:hAnsi="Times New Roman" w:cs="Times New Roman"/>
                <w:sz w:val="20"/>
                <w:szCs w:val="20"/>
                <w:lang w:eastAsia="en-AU"/>
              </w:rPr>
            </w:pPr>
          </w:p>
        </w:tc>
        <w:tc>
          <w:tcPr>
            <w:tcW w:w="1140" w:type="dxa"/>
            <w:tcBorders>
              <w:top w:val="nil"/>
              <w:left w:val="nil"/>
              <w:bottom w:val="nil"/>
              <w:right w:val="nil"/>
            </w:tcBorders>
            <w:shd w:val="clear" w:color="auto" w:fill="auto"/>
            <w:noWrap/>
            <w:vAlign w:val="center"/>
            <w:hideMark/>
          </w:tcPr>
          <w:p w14:paraId="4A7683AB" w14:textId="77777777" w:rsidR="00BC5219" w:rsidRPr="00BA1D33" w:rsidRDefault="00BC5219" w:rsidP="00E83802">
            <w:pPr>
              <w:jc w:val="right"/>
              <w:rPr>
                <w:rFonts w:ascii="Times New Roman" w:eastAsia="Times New Roman" w:hAnsi="Times New Roman" w:cs="Times New Roman"/>
                <w:sz w:val="20"/>
                <w:szCs w:val="20"/>
                <w:lang w:eastAsia="en-AU"/>
              </w:rPr>
            </w:pPr>
          </w:p>
        </w:tc>
      </w:tr>
      <w:tr w:rsidR="00BC5219" w:rsidRPr="00BA1D33" w14:paraId="2D8B9475" w14:textId="77777777" w:rsidTr="00E83802">
        <w:trPr>
          <w:trHeight w:val="198"/>
        </w:trPr>
        <w:tc>
          <w:tcPr>
            <w:tcW w:w="6350" w:type="dxa"/>
            <w:tcBorders>
              <w:top w:val="nil"/>
              <w:left w:val="nil"/>
              <w:bottom w:val="single" w:sz="4" w:space="0" w:color="auto"/>
              <w:right w:val="nil"/>
            </w:tcBorders>
            <w:shd w:val="clear" w:color="auto" w:fill="auto"/>
            <w:noWrap/>
            <w:vAlign w:val="center"/>
            <w:hideMark/>
          </w:tcPr>
          <w:p w14:paraId="63582E4F" w14:textId="77777777" w:rsidR="00BC5219" w:rsidRPr="00BA1D33" w:rsidRDefault="00BC5219" w:rsidP="00E83802">
            <w:pPr>
              <w:rPr>
                <w:rFonts w:ascii="Meta Pro" w:eastAsia="Times New Roman" w:hAnsi="Meta Pro"/>
                <w:b/>
                <w:bCs/>
                <w:color w:val="000000"/>
                <w:szCs w:val="18"/>
                <w:lang w:eastAsia="en-AU"/>
              </w:rPr>
            </w:pPr>
            <w:r w:rsidRPr="00BA1D33">
              <w:rPr>
                <w:rFonts w:ascii="Meta Pro" w:eastAsia="Times New Roman" w:hAnsi="Meta Pro"/>
                <w:b/>
                <w:bCs/>
                <w:color w:val="000000"/>
                <w:szCs w:val="18"/>
                <w:lang w:eastAsia="en-AU"/>
              </w:rPr>
              <w:t>OPERATING RESULT FOR THE YEAR</w:t>
            </w:r>
          </w:p>
        </w:tc>
        <w:tc>
          <w:tcPr>
            <w:tcW w:w="1157" w:type="dxa"/>
            <w:tcBorders>
              <w:top w:val="nil"/>
              <w:left w:val="nil"/>
              <w:bottom w:val="single" w:sz="4" w:space="0" w:color="auto"/>
              <w:right w:val="nil"/>
            </w:tcBorders>
            <w:shd w:val="clear" w:color="auto" w:fill="auto"/>
            <w:noWrap/>
            <w:vAlign w:val="center"/>
            <w:hideMark/>
          </w:tcPr>
          <w:p w14:paraId="48F57466" w14:textId="77777777" w:rsidR="00BC5219" w:rsidRPr="00BA1D33" w:rsidRDefault="00BC5219" w:rsidP="00E83802">
            <w:pPr>
              <w:jc w:val="right"/>
              <w:rPr>
                <w:rFonts w:ascii="Meta Pro" w:eastAsia="Times New Roman" w:hAnsi="Meta Pro"/>
                <w:b/>
                <w:bCs/>
                <w:szCs w:val="18"/>
                <w:lang w:eastAsia="en-AU"/>
              </w:rPr>
            </w:pPr>
            <w:r w:rsidRPr="00BA1D33">
              <w:rPr>
                <w:rFonts w:ascii="Meta Pro" w:eastAsia="Times New Roman" w:hAnsi="Meta Pro"/>
                <w:b/>
                <w:bCs/>
                <w:szCs w:val="18"/>
                <w:lang w:eastAsia="en-AU"/>
              </w:rPr>
              <w:t xml:space="preserve">73,185 </w:t>
            </w:r>
          </w:p>
        </w:tc>
        <w:tc>
          <w:tcPr>
            <w:tcW w:w="195" w:type="dxa"/>
            <w:tcBorders>
              <w:top w:val="nil"/>
              <w:left w:val="nil"/>
              <w:bottom w:val="single" w:sz="4" w:space="0" w:color="auto"/>
              <w:right w:val="nil"/>
            </w:tcBorders>
            <w:shd w:val="clear" w:color="auto" w:fill="auto"/>
            <w:noWrap/>
            <w:vAlign w:val="center"/>
            <w:hideMark/>
          </w:tcPr>
          <w:p w14:paraId="0B7F55E2" w14:textId="77777777" w:rsidR="00BC5219" w:rsidRPr="00BA1D33" w:rsidRDefault="00BC5219" w:rsidP="00E83802">
            <w:pPr>
              <w:jc w:val="right"/>
              <w:rPr>
                <w:rFonts w:ascii="Meta Pro" w:eastAsia="Times New Roman" w:hAnsi="Meta Pro"/>
                <w:b/>
                <w:bCs/>
                <w:szCs w:val="18"/>
                <w:lang w:eastAsia="en-AU"/>
              </w:rPr>
            </w:pPr>
            <w:r w:rsidRPr="00BA1D33">
              <w:rPr>
                <w:rFonts w:ascii="Meta Pro" w:eastAsia="Times New Roman" w:hAnsi="Meta Pro"/>
                <w:b/>
                <w:bCs/>
                <w:szCs w:val="18"/>
                <w:lang w:eastAsia="en-AU"/>
              </w:rPr>
              <w:t> </w:t>
            </w:r>
          </w:p>
        </w:tc>
        <w:tc>
          <w:tcPr>
            <w:tcW w:w="1157" w:type="dxa"/>
            <w:tcBorders>
              <w:top w:val="nil"/>
              <w:left w:val="nil"/>
              <w:bottom w:val="single" w:sz="4" w:space="0" w:color="auto"/>
              <w:right w:val="nil"/>
            </w:tcBorders>
            <w:shd w:val="clear" w:color="auto" w:fill="auto"/>
            <w:noWrap/>
            <w:vAlign w:val="center"/>
            <w:hideMark/>
          </w:tcPr>
          <w:p w14:paraId="2F0E7700" w14:textId="77777777" w:rsidR="00BC5219" w:rsidRPr="00BA1D33" w:rsidRDefault="00BC5219" w:rsidP="00E83802">
            <w:pPr>
              <w:jc w:val="right"/>
              <w:rPr>
                <w:rFonts w:ascii="Meta Pro" w:eastAsia="Times New Roman" w:hAnsi="Meta Pro"/>
                <w:b/>
                <w:bCs/>
                <w:szCs w:val="18"/>
                <w:lang w:eastAsia="en-AU"/>
              </w:rPr>
            </w:pPr>
            <w:r w:rsidRPr="00BA1D33">
              <w:rPr>
                <w:rFonts w:ascii="Meta Pro" w:eastAsia="Times New Roman" w:hAnsi="Meta Pro"/>
                <w:b/>
                <w:bCs/>
                <w:szCs w:val="18"/>
                <w:lang w:eastAsia="en-AU"/>
              </w:rPr>
              <w:t xml:space="preserve">4,996 </w:t>
            </w:r>
          </w:p>
        </w:tc>
        <w:tc>
          <w:tcPr>
            <w:tcW w:w="195" w:type="dxa"/>
            <w:tcBorders>
              <w:top w:val="nil"/>
              <w:left w:val="nil"/>
              <w:bottom w:val="single" w:sz="4" w:space="0" w:color="auto"/>
              <w:right w:val="nil"/>
            </w:tcBorders>
            <w:shd w:val="clear" w:color="auto" w:fill="auto"/>
            <w:noWrap/>
            <w:vAlign w:val="center"/>
            <w:hideMark/>
          </w:tcPr>
          <w:p w14:paraId="58F801CE" w14:textId="77777777" w:rsidR="00BC5219" w:rsidRPr="00BA1D33" w:rsidRDefault="00BC5219" w:rsidP="00E83802">
            <w:pPr>
              <w:jc w:val="right"/>
              <w:rPr>
                <w:rFonts w:ascii="Meta Pro" w:eastAsia="Times New Roman" w:hAnsi="Meta Pro"/>
                <w:b/>
                <w:bCs/>
                <w:szCs w:val="18"/>
                <w:lang w:eastAsia="en-AU"/>
              </w:rPr>
            </w:pPr>
            <w:r w:rsidRPr="00BA1D33">
              <w:rPr>
                <w:rFonts w:ascii="Meta Pro" w:eastAsia="Times New Roman" w:hAnsi="Meta Pro"/>
                <w:b/>
                <w:bCs/>
                <w:szCs w:val="18"/>
                <w:lang w:eastAsia="en-AU"/>
              </w:rPr>
              <w:t> </w:t>
            </w:r>
          </w:p>
        </w:tc>
        <w:tc>
          <w:tcPr>
            <w:tcW w:w="1140" w:type="dxa"/>
            <w:tcBorders>
              <w:top w:val="nil"/>
              <w:left w:val="nil"/>
              <w:bottom w:val="single" w:sz="4" w:space="0" w:color="auto"/>
              <w:right w:val="nil"/>
            </w:tcBorders>
            <w:shd w:val="clear" w:color="auto" w:fill="auto"/>
            <w:noWrap/>
            <w:vAlign w:val="center"/>
            <w:hideMark/>
          </w:tcPr>
          <w:p w14:paraId="3D6A2EA0" w14:textId="77777777" w:rsidR="00BC5219" w:rsidRPr="00BA1D33" w:rsidRDefault="00BC5219" w:rsidP="00E83802">
            <w:pPr>
              <w:jc w:val="right"/>
              <w:rPr>
                <w:rFonts w:ascii="Meta Pro" w:eastAsia="Times New Roman" w:hAnsi="Meta Pro"/>
                <w:b/>
                <w:bCs/>
                <w:szCs w:val="18"/>
                <w:lang w:eastAsia="en-AU"/>
              </w:rPr>
            </w:pPr>
            <w:r w:rsidRPr="00BA1D33">
              <w:rPr>
                <w:rFonts w:ascii="Meta Pro" w:eastAsia="Times New Roman" w:hAnsi="Meta Pro"/>
                <w:b/>
                <w:bCs/>
                <w:szCs w:val="18"/>
                <w:lang w:eastAsia="en-AU"/>
              </w:rPr>
              <w:t>(68,189)</w:t>
            </w:r>
          </w:p>
        </w:tc>
      </w:tr>
      <w:tr w:rsidR="00BC5219" w:rsidRPr="00BA1D33" w14:paraId="3D0E08A5" w14:textId="77777777" w:rsidTr="00E83802">
        <w:trPr>
          <w:trHeight w:hRule="exact" w:val="198"/>
        </w:trPr>
        <w:tc>
          <w:tcPr>
            <w:tcW w:w="6350" w:type="dxa"/>
            <w:tcBorders>
              <w:top w:val="nil"/>
              <w:left w:val="nil"/>
              <w:bottom w:val="nil"/>
              <w:right w:val="nil"/>
            </w:tcBorders>
            <w:shd w:val="clear" w:color="auto" w:fill="auto"/>
            <w:noWrap/>
            <w:vAlign w:val="center"/>
            <w:hideMark/>
          </w:tcPr>
          <w:p w14:paraId="5ECB084C" w14:textId="77777777" w:rsidR="00BC5219" w:rsidRPr="00BA1D33" w:rsidRDefault="00BC5219" w:rsidP="00E83802">
            <w:pPr>
              <w:jc w:val="right"/>
              <w:rPr>
                <w:rFonts w:ascii="Meta Pro" w:eastAsia="Times New Roman" w:hAnsi="Meta Pro"/>
                <w:b/>
                <w:bCs/>
                <w:szCs w:val="18"/>
                <w:lang w:eastAsia="en-AU"/>
              </w:rPr>
            </w:pPr>
          </w:p>
        </w:tc>
        <w:tc>
          <w:tcPr>
            <w:tcW w:w="1157" w:type="dxa"/>
            <w:tcBorders>
              <w:top w:val="nil"/>
              <w:left w:val="nil"/>
              <w:bottom w:val="nil"/>
              <w:right w:val="nil"/>
            </w:tcBorders>
            <w:shd w:val="clear" w:color="auto" w:fill="auto"/>
            <w:noWrap/>
            <w:vAlign w:val="center"/>
            <w:hideMark/>
          </w:tcPr>
          <w:p w14:paraId="2E0A2380" w14:textId="77777777" w:rsidR="00BC5219" w:rsidRPr="00BA1D33" w:rsidRDefault="00BC5219" w:rsidP="00E83802">
            <w:pPr>
              <w:rPr>
                <w:rFonts w:ascii="Times New Roman" w:eastAsia="Times New Roman" w:hAnsi="Times New Roman" w:cs="Times New Roman"/>
                <w:sz w:val="20"/>
                <w:szCs w:val="20"/>
                <w:lang w:eastAsia="en-AU"/>
              </w:rPr>
            </w:pPr>
          </w:p>
        </w:tc>
        <w:tc>
          <w:tcPr>
            <w:tcW w:w="195" w:type="dxa"/>
            <w:tcBorders>
              <w:top w:val="nil"/>
              <w:left w:val="nil"/>
              <w:bottom w:val="nil"/>
              <w:right w:val="nil"/>
            </w:tcBorders>
            <w:shd w:val="clear" w:color="auto" w:fill="auto"/>
            <w:noWrap/>
            <w:vAlign w:val="center"/>
            <w:hideMark/>
          </w:tcPr>
          <w:p w14:paraId="5600C1D0" w14:textId="77777777" w:rsidR="00BC5219" w:rsidRPr="00BA1D33" w:rsidRDefault="00BC5219" w:rsidP="00E83802">
            <w:pPr>
              <w:jc w:val="right"/>
              <w:rPr>
                <w:rFonts w:ascii="Times New Roman" w:eastAsia="Times New Roman" w:hAnsi="Times New Roman" w:cs="Times New Roman"/>
                <w:sz w:val="20"/>
                <w:szCs w:val="20"/>
                <w:lang w:eastAsia="en-AU"/>
              </w:rPr>
            </w:pPr>
          </w:p>
        </w:tc>
        <w:tc>
          <w:tcPr>
            <w:tcW w:w="1157" w:type="dxa"/>
            <w:tcBorders>
              <w:top w:val="nil"/>
              <w:left w:val="nil"/>
              <w:bottom w:val="nil"/>
              <w:right w:val="nil"/>
            </w:tcBorders>
            <w:shd w:val="clear" w:color="auto" w:fill="auto"/>
            <w:noWrap/>
            <w:vAlign w:val="center"/>
            <w:hideMark/>
          </w:tcPr>
          <w:p w14:paraId="76181A02" w14:textId="77777777" w:rsidR="00BC5219" w:rsidRPr="00BA1D33" w:rsidRDefault="00BC5219" w:rsidP="00E83802">
            <w:pPr>
              <w:jc w:val="right"/>
              <w:rPr>
                <w:rFonts w:ascii="Times New Roman" w:eastAsia="Times New Roman" w:hAnsi="Times New Roman" w:cs="Times New Roman"/>
                <w:sz w:val="20"/>
                <w:szCs w:val="20"/>
                <w:lang w:eastAsia="en-AU"/>
              </w:rPr>
            </w:pPr>
          </w:p>
        </w:tc>
        <w:tc>
          <w:tcPr>
            <w:tcW w:w="195" w:type="dxa"/>
            <w:tcBorders>
              <w:top w:val="nil"/>
              <w:left w:val="nil"/>
              <w:bottom w:val="nil"/>
              <w:right w:val="nil"/>
            </w:tcBorders>
            <w:shd w:val="clear" w:color="auto" w:fill="auto"/>
            <w:noWrap/>
            <w:vAlign w:val="center"/>
            <w:hideMark/>
          </w:tcPr>
          <w:p w14:paraId="15AAA994" w14:textId="77777777" w:rsidR="00BC5219" w:rsidRPr="00BA1D33" w:rsidRDefault="00BC5219" w:rsidP="00E83802">
            <w:pPr>
              <w:jc w:val="right"/>
              <w:rPr>
                <w:rFonts w:ascii="Times New Roman" w:eastAsia="Times New Roman" w:hAnsi="Times New Roman" w:cs="Times New Roman"/>
                <w:sz w:val="20"/>
                <w:szCs w:val="20"/>
                <w:lang w:eastAsia="en-AU"/>
              </w:rPr>
            </w:pPr>
          </w:p>
        </w:tc>
        <w:tc>
          <w:tcPr>
            <w:tcW w:w="1140" w:type="dxa"/>
            <w:tcBorders>
              <w:top w:val="nil"/>
              <w:left w:val="nil"/>
              <w:bottom w:val="nil"/>
              <w:right w:val="nil"/>
            </w:tcBorders>
            <w:shd w:val="clear" w:color="auto" w:fill="auto"/>
            <w:noWrap/>
            <w:vAlign w:val="center"/>
            <w:hideMark/>
          </w:tcPr>
          <w:p w14:paraId="4F384724" w14:textId="77777777" w:rsidR="00BC5219" w:rsidRPr="00BA1D33" w:rsidRDefault="00BC5219" w:rsidP="00E83802">
            <w:pPr>
              <w:jc w:val="right"/>
              <w:rPr>
                <w:rFonts w:ascii="Times New Roman" w:eastAsia="Times New Roman" w:hAnsi="Times New Roman" w:cs="Times New Roman"/>
                <w:sz w:val="20"/>
                <w:szCs w:val="20"/>
                <w:lang w:eastAsia="en-AU"/>
              </w:rPr>
            </w:pPr>
          </w:p>
        </w:tc>
      </w:tr>
      <w:tr w:rsidR="00BC5219" w:rsidRPr="00BA1D33" w14:paraId="2A28DAC6" w14:textId="77777777" w:rsidTr="00E83802">
        <w:trPr>
          <w:trHeight w:val="198"/>
        </w:trPr>
        <w:tc>
          <w:tcPr>
            <w:tcW w:w="6350" w:type="dxa"/>
            <w:tcBorders>
              <w:top w:val="nil"/>
              <w:left w:val="nil"/>
              <w:bottom w:val="nil"/>
              <w:right w:val="nil"/>
            </w:tcBorders>
            <w:shd w:val="clear" w:color="auto" w:fill="auto"/>
            <w:noWrap/>
            <w:vAlign w:val="center"/>
            <w:hideMark/>
          </w:tcPr>
          <w:p w14:paraId="5E6E703D" w14:textId="77777777" w:rsidR="00BC5219" w:rsidRPr="00BA1D33" w:rsidRDefault="00BC5219" w:rsidP="00E83802">
            <w:pPr>
              <w:rPr>
                <w:rFonts w:ascii="Meta Pro" w:eastAsia="Times New Roman" w:hAnsi="Meta Pro"/>
                <w:b/>
                <w:bCs/>
                <w:szCs w:val="18"/>
                <w:lang w:eastAsia="en-AU"/>
              </w:rPr>
            </w:pPr>
            <w:r w:rsidRPr="00BA1D33">
              <w:rPr>
                <w:rFonts w:ascii="Meta Pro" w:eastAsia="Times New Roman" w:hAnsi="Meta Pro"/>
                <w:b/>
                <w:bCs/>
                <w:szCs w:val="18"/>
                <w:lang w:eastAsia="en-AU"/>
              </w:rPr>
              <w:t>Items not reclassified to operating result</w:t>
            </w:r>
          </w:p>
        </w:tc>
        <w:tc>
          <w:tcPr>
            <w:tcW w:w="1157" w:type="dxa"/>
            <w:tcBorders>
              <w:top w:val="nil"/>
              <w:left w:val="nil"/>
              <w:bottom w:val="nil"/>
              <w:right w:val="nil"/>
            </w:tcBorders>
            <w:shd w:val="clear" w:color="auto" w:fill="auto"/>
            <w:noWrap/>
            <w:vAlign w:val="center"/>
            <w:hideMark/>
          </w:tcPr>
          <w:p w14:paraId="4DD4CD3E" w14:textId="77777777" w:rsidR="00BC5219" w:rsidRPr="00BA1D33" w:rsidRDefault="00BC5219" w:rsidP="00E83802">
            <w:pPr>
              <w:rPr>
                <w:rFonts w:ascii="Meta Pro" w:eastAsia="Times New Roman" w:hAnsi="Meta Pro"/>
                <w:b/>
                <w:bCs/>
                <w:szCs w:val="18"/>
                <w:lang w:eastAsia="en-AU"/>
              </w:rPr>
            </w:pPr>
          </w:p>
        </w:tc>
        <w:tc>
          <w:tcPr>
            <w:tcW w:w="195" w:type="dxa"/>
            <w:tcBorders>
              <w:top w:val="nil"/>
              <w:left w:val="nil"/>
              <w:bottom w:val="nil"/>
              <w:right w:val="nil"/>
            </w:tcBorders>
            <w:shd w:val="clear" w:color="auto" w:fill="auto"/>
            <w:noWrap/>
            <w:vAlign w:val="center"/>
            <w:hideMark/>
          </w:tcPr>
          <w:p w14:paraId="77D2B1BD" w14:textId="77777777" w:rsidR="00BC5219" w:rsidRPr="00BA1D33" w:rsidRDefault="00BC5219" w:rsidP="00E83802">
            <w:pPr>
              <w:rPr>
                <w:rFonts w:ascii="Times New Roman" w:eastAsia="Times New Roman" w:hAnsi="Times New Roman" w:cs="Times New Roman"/>
                <w:sz w:val="20"/>
                <w:szCs w:val="20"/>
                <w:lang w:eastAsia="en-AU"/>
              </w:rPr>
            </w:pPr>
          </w:p>
        </w:tc>
        <w:tc>
          <w:tcPr>
            <w:tcW w:w="1157" w:type="dxa"/>
            <w:tcBorders>
              <w:top w:val="nil"/>
              <w:left w:val="nil"/>
              <w:bottom w:val="nil"/>
              <w:right w:val="nil"/>
            </w:tcBorders>
            <w:shd w:val="clear" w:color="auto" w:fill="auto"/>
            <w:noWrap/>
            <w:vAlign w:val="center"/>
            <w:hideMark/>
          </w:tcPr>
          <w:p w14:paraId="68F9A747" w14:textId="77777777" w:rsidR="00BC5219" w:rsidRPr="00BA1D33" w:rsidRDefault="00BC5219" w:rsidP="00E83802">
            <w:pPr>
              <w:jc w:val="right"/>
              <w:rPr>
                <w:rFonts w:ascii="Times New Roman" w:eastAsia="Times New Roman" w:hAnsi="Times New Roman" w:cs="Times New Roman"/>
                <w:sz w:val="20"/>
                <w:szCs w:val="20"/>
                <w:lang w:eastAsia="en-AU"/>
              </w:rPr>
            </w:pPr>
          </w:p>
        </w:tc>
        <w:tc>
          <w:tcPr>
            <w:tcW w:w="195" w:type="dxa"/>
            <w:tcBorders>
              <w:top w:val="nil"/>
              <w:left w:val="nil"/>
              <w:bottom w:val="nil"/>
              <w:right w:val="nil"/>
            </w:tcBorders>
            <w:shd w:val="clear" w:color="auto" w:fill="auto"/>
            <w:noWrap/>
            <w:vAlign w:val="center"/>
            <w:hideMark/>
          </w:tcPr>
          <w:p w14:paraId="4C93464E" w14:textId="77777777" w:rsidR="00BC5219" w:rsidRPr="00BA1D33" w:rsidRDefault="00BC5219" w:rsidP="00E83802">
            <w:pPr>
              <w:rPr>
                <w:rFonts w:ascii="Times New Roman" w:eastAsia="Times New Roman" w:hAnsi="Times New Roman" w:cs="Times New Roman"/>
                <w:sz w:val="20"/>
                <w:szCs w:val="20"/>
                <w:lang w:eastAsia="en-AU"/>
              </w:rPr>
            </w:pPr>
          </w:p>
        </w:tc>
        <w:tc>
          <w:tcPr>
            <w:tcW w:w="1140" w:type="dxa"/>
            <w:tcBorders>
              <w:top w:val="nil"/>
              <w:left w:val="nil"/>
              <w:bottom w:val="nil"/>
              <w:right w:val="nil"/>
            </w:tcBorders>
            <w:shd w:val="clear" w:color="auto" w:fill="auto"/>
            <w:noWrap/>
            <w:vAlign w:val="center"/>
            <w:hideMark/>
          </w:tcPr>
          <w:p w14:paraId="48FCED4F" w14:textId="77777777" w:rsidR="00BC5219" w:rsidRPr="00BA1D33" w:rsidRDefault="00BC5219" w:rsidP="00E83802">
            <w:pPr>
              <w:jc w:val="right"/>
              <w:rPr>
                <w:rFonts w:ascii="Times New Roman" w:eastAsia="Times New Roman" w:hAnsi="Times New Roman" w:cs="Times New Roman"/>
                <w:sz w:val="20"/>
                <w:szCs w:val="20"/>
                <w:lang w:eastAsia="en-AU"/>
              </w:rPr>
            </w:pPr>
          </w:p>
        </w:tc>
      </w:tr>
      <w:tr w:rsidR="00BC5219" w:rsidRPr="00BA1D33" w14:paraId="3B307F69" w14:textId="77777777" w:rsidTr="00E83802">
        <w:trPr>
          <w:trHeight w:val="198"/>
        </w:trPr>
        <w:tc>
          <w:tcPr>
            <w:tcW w:w="6350" w:type="dxa"/>
            <w:tcBorders>
              <w:top w:val="nil"/>
              <w:left w:val="nil"/>
              <w:bottom w:val="single" w:sz="4" w:space="0" w:color="auto"/>
              <w:right w:val="nil"/>
            </w:tcBorders>
            <w:shd w:val="clear" w:color="auto" w:fill="auto"/>
            <w:noWrap/>
            <w:vAlign w:val="center"/>
            <w:hideMark/>
          </w:tcPr>
          <w:p w14:paraId="7C5DA70E" w14:textId="77777777" w:rsidR="00BC5219" w:rsidRPr="00BA1D33" w:rsidRDefault="00BC5219" w:rsidP="00E83802">
            <w:pPr>
              <w:rPr>
                <w:rFonts w:ascii="Meta Pro" w:eastAsia="Times New Roman" w:hAnsi="Meta Pro"/>
                <w:szCs w:val="18"/>
                <w:lang w:eastAsia="en-AU"/>
              </w:rPr>
            </w:pPr>
            <w:r w:rsidRPr="00BA1D33">
              <w:rPr>
                <w:rFonts w:ascii="Meta Pro" w:eastAsia="Times New Roman" w:hAnsi="Meta Pro"/>
                <w:szCs w:val="18"/>
                <w:lang w:eastAsia="en-AU"/>
              </w:rPr>
              <w:t>Increase in asset revaluation surplus</w:t>
            </w:r>
          </w:p>
        </w:tc>
        <w:tc>
          <w:tcPr>
            <w:tcW w:w="1157" w:type="dxa"/>
            <w:tcBorders>
              <w:top w:val="nil"/>
              <w:left w:val="nil"/>
              <w:bottom w:val="single" w:sz="4" w:space="0" w:color="auto"/>
              <w:right w:val="nil"/>
            </w:tcBorders>
            <w:shd w:val="clear" w:color="auto" w:fill="auto"/>
            <w:noWrap/>
            <w:vAlign w:val="center"/>
            <w:hideMark/>
          </w:tcPr>
          <w:p w14:paraId="2FDECF14"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 </w:t>
            </w:r>
          </w:p>
        </w:tc>
        <w:tc>
          <w:tcPr>
            <w:tcW w:w="195" w:type="dxa"/>
            <w:tcBorders>
              <w:top w:val="nil"/>
              <w:left w:val="nil"/>
              <w:bottom w:val="single" w:sz="4" w:space="0" w:color="auto"/>
              <w:right w:val="nil"/>
            </w:tcBorders>
            <w:shd w:val="clear" w:color="auto" w:fill="auto"/>
            <w:noWrap/>
            <w:vAlign w:val="center"/>
            <w:hideMark/>
          </w:tcPr>
          <w:p w14:paraId="11BB0A03"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w:t>
            </w:r>
          </w:p>
        </w:tc>
        <w:tc>
          <w:tcPr>
            <w:tcW w:w="1157" w:type="dxa"/>
            <w:tcBorders>
              <w:top w:val="nil"/>
              <w:left w:val="nil"/>
              <w:bottom w:val="single" w:sz="4" w:space="0" w:color="auto"/>
              <w:right w:val="nil"/>
            </w:tcBorders>
            <w:shd w:val="clear" w:color="auto" w:fill="auto"/>
            <w:noWrap/>
            <w:vAlign w:val="center"/>
            <w:hideMark/>
          </w:tcPr>
          <w:p w14:paraId="4F7BBD1A"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15,103,128 </w:t>
            </w:r>
          </w:p>
        </w:tc>
        <w:tc>
          <w:tcPr>
            <w:tcW w:w="195" w:type="dxa"/>
            <w:tcBorders>
              <w:top w:val="nil"/>
              <w:left w:val="nil"/>
              <w:bottom w:val="single" w:sz="4" w:space="0" w:color="auto"/>
              <w:right w:val="nil"/>
            </w:tcBorders>
            <w:shd w:val="clear" w:color="auto" w:fill="auto"/>
            <w:noWrap/>
            <w:vAlign w:val="center"/>
            <w:hideMark/>
          </w:tcPr>
          <w:p w14:paraId="59126822"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w:t>
            </w:r>
          </w:p>
        </w:tc>
        <w:tc>
          <w:tcPr>
            <w:tcW w:w="1140" w:type="dxa"/>
            <w:tcBorders>
              <w:top w:val="nil"/>
              <w:left w:val="nil"/>
              <w:bottom w:val="single" w:sz="4" w:space="0" w:color="auto"/>
              <w:right w:val="nil"/>
            </w:tcBorders>
            <w:shd w:val="clear" w:color="auto" w:fill="auto"/>
            <w:noWrap/>
            <w:vAlign w:val="center"/>
            <w:hideMark/>
          </w:tcPr>
          <w:p w14:paraId="3231CA74" w14:textId="77777777" w:rsidR="00BC5219" w:rsidRPr="00BA1D33" w:rsidRDefault="00BC5219" w:rsidP="00E83802">
            <w:pPr>
              <w:jc w:val="right"/>
              <w:rPr>
                <w:rFonts w:ascii="Meta Pro" w:eastAsia="Times New Roman" w:hAnsi="Meta Pro"/>
                <w:szCs w:val="18"/>
                <w:lang w:eastAsia="en-AU"/>
              </w:rPr>
            </w:pPr>
            <w:r w:rsidRPr="00BA1D33">
              <w:rPr>
                <w:rFonts w:ascii="Meta Pro" w:eastAsia="Times New Roman" w:hAnsi="Meta Pro"/>
                <w:szCs w:val="18"/>
                <w:lang w:eastAsia="en-AU"/>
              </w:rPr>
              <w:t xml:space="preserve">15,103,128 </w:t>
            </w:r>
          </w:p>
        </w:tc>
      </w:tr>
      <w:tr w:rsidR="00BC5219" w:rsidRPr="00BA1D33" w14:paraId="4531FF5F" w14:textId="77777777" w:rsidTr="00E83802">
        <w:trPr>
          <w:trHeight w:val="198"/>
        </w:trPr>
        <w:tc>
          <w:tcPr>
            <w:tcW w:w="6350" w:type="dxa"/>
            <w:tcBorders>
              <w:top w:val="nil"/>
              <w:left w:val="nil"/>
              <w:bottom w:val="single" w:sz="4" w:space="0" w:color="auto"/>
              <w:right w:val="nil"/>
            </w:tcBorders>
            <w:shd w:val="clear" w:color="auto" w:fill="auto"/>
            <w:noWrap/>
            <w:vAlign w:val="center"/>
            <w:hideMark/>
          </w:tcPr>
          <w:p w14:paraId="4E94AC9F" w14:textId="77777777" w:rsidR="00BC5219" w:rsidRPr="00BA1D33" w:rsidRDefault="00BC5219" w:rsidP="00E83802">
            <w:pPr>
              <w:rPr>
                <w:rFonts w:ascii="Meta Pro" w:eastAsia="Times New Roman" w:hAnsi="Meta Pro"/>
                <w:b/>
                <w:bCs/>
                <w:color w:val="000000"/>
                <w:szCs w:val="18"/>
                <w:lang w:eastAsia="en-AU"/>
              </w:rPr>
            </w:pPr>
            <w:r w:rsidRPr="00BA1D33">
              <w:rPr>
                <w:rFonts w:ascii="Meta Pro" w:eastAsia="Times New Roman" w:hAnsi="Meta Pro"/>
                <w:b/>
                <w:bCs/>
                <w:color w:val="000000"/>
                <w:szCs w:val="18"/>
                <w:lang w:eastAsia="en-AU"/>
              </w:rPr>
              <w:t>Total other comprehensive income</w:t>
            </w:r>
          </w:p>
        </w:tc>
        <w:tc>
          <w:tcPr>
            <w:tcW w:w="1157" w:type="dxa"/>
            <w:tcBorders>
              <w:top w:val="nil"/>
              <w:left w:val="nil"/>
              <w:bottom w:val="single" w:sz="4" w:space="0" w:color="auto"/>
              <w:right w:val="nil"/>
            </w:tcBorders>
            <w:shd w:val="clear" w:color="auto" w:fill="auto"/>
            <w:noWrap/>
            <w:vAlign w:val="center"/>
            <w:hideMark/>
          </w:tcPr>
          <w:p w14:paraId="38AF228F" w14:textId="77777777" w:rsidR="00BC5219" w:rsidRPr="00BA1D33" w:rsidRDefault="00BC5219" w:rsidP="00E83802">
            <w:pPr>
              <w:jc w:val="right"/>
              <w:rPr>
                <w:rFonts w:ascii="Meta Pro" w:eastAsia="Times New Roman" w:hAnsi="Meta Pro"/>
                <w:b/>
                <w:bCs/>
                <w:szCs w:val="18"/>
                <w:lang w:eastAsia="en-AU"/>
              </w:rPr>
            </w:pPr>
            <w:r w:rsidRPr="00BA1D33">
              <w:rPr>
                <w:rFonts w:ascii="Meta Pro" w:eastAsia="Times New Roman" w:hAnsi="Meta Pro"/>
                <w:b/>
                <w:bCs/>
                <w:szCs w:val="18"/>
                <w:lang w:eastAsia="en-AU"/>
              </w:rPr>
              <w:t xml:space="preserve">- </w:t>
            </w:r>
          </w:p>
        </w:tc>
        <w:tc>
          <w:tcPr>
            <w:tcW w:w="195" w:type="dxa"/>
            <w:tcBorders>
              <w:top w:val="nil"/>
              <w:left w:val="nil"/>
              <w:bottom w:val="single" w:sz="4" w:space="0" w:color="auto"/>
              <w:right w:val="nil"/>
            </w:tcBorders>
            <w:shd w:val="clear" w:color="auto" w:fill="auto"/>
            <w:noWrap/>
            <w:vAlign w:val="center"/>
            <w:hideMark/>
          </w:tcPr>
          <w:p w14:paraId="31CD96C6" w14:textId="77777777" w:rsidR="00BC5219" w:rsidRPr="00BA1D33" w:rsidRDefault="00BC5219" w:rsidP="00E83802">
            <w:pPr>
              <w:jc w:val="right"/>
              <w:rPr>
                <w:rFonts w:ascii="Meta Pro" w:eastAsia="Times New Roman" w:hAnsi="Meta Pro"/>
                <w:b/>
                <w:bCs/>
                <w:szCs w:val="18"/>
                <w:lang w:eastAsia="en-AU"/>
              </w:rPr>
            </w:pPr>
            <w:r w:rsidRPr="00BA1D33">
              <w:rPr>
                <w:rFonts w:ascii="Meta Pro" w:eastAsia="Times New Roman" w:hAnsi="Meta Pro"/>
                <w:b/>
                <w:bCs/>
                <w:szCs w:val="18"/>
                <w:lang w:eastAsia="en-AU"/>
              </w:rPr>
              <w:t> </w:t>
            </w:r>
          </w:p>
        </w:tc>
        <w:tc>
          <w:tcPr>
            <w:tcW w:w="1157" w:type="dxa"/>
            <w:tcBorders>
              <w:top w:val="nil"/>
              <w:left w:val="nil"/>
              <w:bottom w:val="single" w:sz="4" w:space="0" w:color="auto"/>
              <w:right w:val="nil"/>
            </w:tcBorders>
            <w:shd w:val="clear" w:color="auto" w:fill="auto"/>
            <w:noWrap/>
            <w:vAlign w:val="center"/>
            <w:hideMark/>
          </w:tcPr>
          <w:p w14:paraId="371E0711" w14:textId="77777777" w:rsidR="00BC5219" w:rsidRPr="00BA1D33" w:rsidRDefault="00BC5219" w:rsidP="00E83802">
            <w:pPr>
              <w:jc w:val="right"/>
              <w:rPr>
                <w:rFonts w:ascii="Meta Pro" w:eastAsia="Times New Roman" w:hAnsi="Meta Pro"/>
                <w:b/>
                <w:bCs/>
                <w:szCs w:val="18"/>
                <w:lang w:eastAsia="en-AU"/>
              </w:rPr>
            </w:pPr>
            <w:r w:rsidRPr="00BA1D33">
              <w:rPr>
                <w:rFonts w:ascii="Meta Pro" w:eastAsia="Times New Roman" w:hAnsi="Meta Pro"/>
                <w:b/>
                <w:bCs/>
                <w:szCs w:val="18"/>
                <w:lang w:eastAsia="en-AU"/>
              </w:rPr>
              <w:t xml:space="preserve">15,103,128 </w:t>
            </w:r>
          </w:p>
        </w:tc>
        <w:tc>
          <w:tcPr>
            <w:tcW w:w="195" w:type="dxa"/>
            <w:tcBorders>
              <w:top w:val="nil"/>
              <w:left w:val="nil"/>
              <w:bottom w:val="single" w:sz="4" w:space="0" w:color="auto"/>
              <w:right w:val="nil"/>
            </w:tcBorders>
            <w:shd w:val="clear" w:color="auto" w:fill="auto"/>
            <w:noWrap/>
            <w:vAlign w:val="center"/>
            <w:hideMark/>
          </w:tcPr>
          <w:p w14:paraId="1601E88D" w14:textId="77777777" w:rsidR="00BC5219" w:rsidRPr="00BA1D33" w:rsidRDefault="00BC5219" w:rsidP="00E83802">
            <w:pPr>
              <w:jc w:val="right"/>
              <w:rPr>
                <w:rFonts w:ascii="Meta Pro" w:eastAsia="Times New Roman" w:hAnsi="Meta Pro"/>
                <w:b/>
                <w:bCs/>
                <w:szCs w:val="18"/>
                <w:lang w:eastAsia="en-AU"/>
              </w:rPr>
            </w:pPr>
            <w:r w:rsidRPr="00BA1D33">
              <w:rPr>
                <w:rFonts w:ascii="Meta Pro" w:eastAsia="Times New Roman" w:hAnsi="Meta Pro"/>
                <w:b/>
                <w:bCs/>
                <w:szCs w:val="18"/>
                <w:lang w:eastAsia="en-AU"/>
              </w:rPr>
              <w:t> </w:t>
            </w:r>
          </w:p>
        </w:tc>
        <w:tc>
          <w:tcPr>
            <w:tcW w:w="1140" w:type="dxa"/>
            <w:tcBorders>
              <w:top w:val="nil"/>
              <w:left w:val="nil"/>
              <w:bottom w:val="single" w:sz="4" w:space="0" w:color="auto"/>
              <w:right w:val="nil"/>
            </w:tcBorders>
            <w:shd w:val="clear" w:color="auto" w:fill="auto"/>
            <w:noWrap/>
            <w:vAlign w:val="center"/>
            <w:hideMark/>
          </w:tcPr>
          <w:p w14:paraId="624326BD" w14:textId="77777777" w:rsidR="00BC5219" w:rsidRPr="00BA1D33" w:rsidRDefault="00BC5219" w:rsidP="00E83802">
            <w:pPr>
              <w:jc w:val="right"/>
              <w:rPr>
                <w:rFonts w:ascii="Meta Pro" w:eastAsia="Times New Roman" w:hAnsi="Meta Pro"/>
                <w:b/>
                <w:bCs/>
                <w:szCs w:val="18"/>
                <w:lang w:eastAsia="en-AU"/>
              </w:rPr>
            </w:pPr>
            <w:r w:rsidRPr="00BA1D33">
              <w:rPr>
                <w:rFonts w:ascii="Meta Pro" w:eastAsia="Times New Roman" w:hAnsi="Meta Pro"/>
                <w:b/>
                <w:bCs/>
                <w:szCs w:val="18"/>
                <w:lang w:eastAsia="en-AU"/>
              </w:rPr>
              <w:t xml:space="preserve">15,103,128 </w:t>
            </w:r>
          </w:p>
        </w:tc>
      </w:tr>
      <w:tr w:rsidR="00BC5219" w:rsidRPr="00BA1D33" w14:paraId="459E721C" w14:textId="77777777" w:rsidTr="00E83802">
        <w:trPr>
          <w:trHeight w:hRule="exact" w:val="198"/>
        </w:trPr>
        <w:tc>
          <w:tcPr>
            <w:tcW w:w="6350" w:type="dxa"/>
            <w:tcBorders>
              <w:top w:val="nil"/>
              <w:left w:val="nil"/>
              <w:bottom w:val="nil"/>
              <w:right w:val="nil"/>
            </w:tcBorders>
            <w:shd w:val="clear" w:color="auto" w:fill="auto"/>
            <w:noWrap/>
            <w:vAlign w:val="center"/>
            <w:hideMark/>
          </w:tcPr>
          <w:p w14:paraId="2A1EA9C4" w14:textId="77777777" w:rsidR="00BC5219" w:rsidRPr="00BA1D33" w:rsidRDefault="00BC5219" w:rsidP="00E83802">
            <w:pPr>
              <w:jc w:val="right"/>
              <w:rPr>
                <w:rFonts w:ascii="Meta Pro" w:eastAsia="Times New Roman" w:hAnsi="Meta Pro"/>
                <w:b/>
                <w:bCs/>
                <w:szCs w:val="18"/>
                <w:lang w:eastAsia="en-AU"/>
              </w:rPr>
            </w:pPr>
          </w:p>
        </w:tc>
        <w:tc>
          <w:tcPr>
            <w:tcW w:w="1157" w:type="dxa"/>
            <w:tcBorders>
              <w:top w:val="nil"/>
              <w:left w:val="nil"/>
              <w:bottom w:val="nil"/>
              <w:right w:val="nil"/>
            </w:tcBorders>
            <w:shd w:val="clear" w:color="auto" w:fill="auto"/>
            <w:noWrap/>
            <w:vAlign w:val="center"/>
            <w:hideMark/>
          </w:tcPr>
          <w:p w14:paraId="75639E44" w14:textId="77777777" w:rsidR="00BC5219" w:rsidRPr="00BA1D33" w:rsidRDefault="00BC5219" w:rsidP="00E83802">
            <w:pPr>
              <w:rPr>
                <w:rFonts w:ascii="Times New Roman" w:eastAsia="Times New Roman" w:hAnsi="Times New Roman" w:cs="Times New Roman"/>
                <w:sz w:val="20"/>
                <w:szCs w:val="20"/>
                <w:lang w:eastAsia="en-AU"/>
              </w:rPr>
            </w:pPr>
          </w:p>
        </w:tc>
        <w:tc>
          <w:tcPr>
            <w:tcW w:w="195" w:type="dxa"/>
            <w:tcBorders>
              <w:top w:val="nil"/>
              <w:left w:val="nil"/>
              <w:bottom w:val="nil"/>
              <w:right w:val="nil"/>
            </w:tcBorders>
            <w:shd w:val="clear" w:color="auto" w:fill="auto"/>
            <w:noWrap/>
            <w:vAlign w:val="center"/>
            <w:hideMark/>
          </w:tcPr>
          <w:p w14:paraId="09BB7D49" w14:textId="77777777" w:rsidR="00BC5219" w:rsidRPr="00BA1D33" w:rsidRDefault="00BC5219" w:rsidP="00E83802">
            <w:pPr>
              <w:rPr>
                <w:rFonts w:ascii="Times New Roman" w:eastAsia="Times New Roman" w:hAnsi="Times New Roman" w:cs="Times New Roman"/>
                <w:sz w:val="20"/>
                <w:szCs w:val="20"/>
                <w:lang w:eastAsia="en-AU"/>
              </w:rPr>
            </w:pPr>
          </w:p>
        </w:tc>
        <w:tc>
          <w:tcPr>
            <w:tcW w:w="1157" w:type="dxa"/>
            <w:tcBorders>
              <w:top w:val="nil"/>
              <w:left w:val="nil"/>
              <w:bottom w:val="nil"/>
              <w:right w:val="nil"/>
            </w:tcBorders>
            <w:shd w:val="clear" w:color="auto" w:fill="auto"/>
            <w:noWrap/>
            <w:vAlign w:val="center"/>
            <w:hideMark/>
          </w:tcPr>
          <w:p w14:paraId="78C20041" w14:textId="77777777" w:rsidR="00BC5219" w:rsidRPr="00BA1D33" w:rsidRDefault="00BC5219" w:rsidP="00E83802">
            <w:pPr>
              <w:jc w:val="right"/>
              <w:rPr>
                <w:rFonts w:ascii="Times New Roman" w:eastAsia="Times New Roman" w:hAnsi="Times New Roman" w:cs="Times New Roman"/>
                <w:sz w:val="20"/>
                <w:szCs w:val="20"/>
                <w:lang w:eastAsia="en-AU"/>
              </w:rPr>
            </w:pPr>
          </w:p>
        </w:tc>
        <w:tc>
          <w:tcPr>
            <w:tcW w:w="195" w:type="dxa"/>
            <w:tcBorders>
              <w:top w:val="nil"/>
              <w:left w:val="nil"/>
              <w:bottom w:val="nil"/>
              <w:right w:val="nil"/>
            </w:tcBorders>
            <w:shd w:val="clear" w:color="auto" w:fill="auto"/>
            <w:noWrap/>
            <w:vAlign w:val="center"/>
            <w:hideMark/>
          </w:tcPr>
          <w:p w14:paraId="4590BA4B" w14:textId="77777777" w:rsidR="00BC5219" w:rsidRPr="00BA1D33" w:rsidRDefault="00BC5219" w:rsidP="00E83802">
            <w:pPr>
              <w:rPr>
                <w:rFonts w:ascii="Times New Roman" w:eastAsia="Times New Roman" w:hAnsi="Times New Roman" w:cs="Times New Roman"/>
                <w:sz w:val="20"/>
                <w:szCs w:val="20"/>
                <w:lang w:eastAsia="en-AU"/>
              </w:rPr>
            </w:pPr>
          </w:p>
        </w:tc>
        <w:tc>
          <w:tcPr>
            <w:tcW w:w="1140" w:type="dxa"/>
            <w:tcBorders>
              <w:top w:val="nil"/>
              <w:left w:val="nil"/>
              <w:bottom w:val="nil"/>
              <w:right w:val="nil"/>
            </w:tcBorders>
            <w:shd w:val="clear" w:color="auto" w:fill="auto"/>
            <w:noWrap/>
            <w:vAlign w:val="center"/>
            <w:hideMark/>
          </w:tcPr>
          <w:p w14:paraId="5C47B2AD" w14:textId="77777777" w:rsidR="00BC5219" w:rsidRPr="00BA1D33" w:rsidRDefault="00BC5219" w:rsidP="00E83802">
            <w:pPr>
              <w:jc w:val="right"/>
              <w:rPr>
                <w:rFonts w:ascii="Times New Roman" w:eastAsia="Times New Roman" w:hAnsi="Times New Roman" w:cs="Times New Roman"/>
                <w:sz w:val="20"/>
                <w:szCs w:val="20"/>
                <w:lang w:eastAsia="en-AU"/>
              </w:rPr>
            </w:pPr>
          </w:p>
        </w:tc>
      </w:tr>
      <w:tr w:rsidR="00BC5219" w:rsidRPr="00BA1D33" w14:paraId="0EDF9163" w14:textId="77777777" w:rsidTr="00E83802">
        <w:trPr>
          <w:trHeight w:val="198"/>
        </w:trPr>
        <w:tc>
          <w:tcPr>
            <w:tcW w:w="6350" w:type="dxa"/>
            <w:tcBorders>
              <w:top w:val="nil"/>
              <w:left w:val="nil"/>
              <w:bottom w:val="double" w:sz="6" w:space="0" w:color="auto"/>
              <w:right w:val="nil"/>
            </w:tcBorders>
            <w:shd w:val="clear" w:color="auto" w:fill="auto"/>
            <w:noWrap/>
            <w:vAlign w:val="center"/>
            <w:hideMark/>
          </w:tcPr>
          <w:p w14:paraId="6A8C7F26" w14:textId="77777777" w:rsidR="00BC5219" w:rsidRPr="00BA1D33" w:rsidRDefault="00BC5219" w:rsidP="00E83802">
            <w:pPr>
              <w:rPr>
                <w:rFonts w:ascii="Meta Pro" w:eastAsia="Times New Roman" w:hAnsi="Meta Pro"/>
                <w:b/>
                <w:bCs/>
                <w:color w:val="000000"/>
                <w:szCs w:val="18"/>
                <w:lang w:eastAsia="en-AU"/>
              </w:rPr>
            </w:pPr>
            <w:r w:rsidRPr="00BA1D33">
              <w:rPr>
                <w:rFonts w:ascii="Meta Pro" w:eastAsia="Times New Roman" w:hAnsi="Meta Pro"/>
                <w:b/>
                <w:bCs/>
                <w:color w:val="000000"/>
                <w:szCs w:val="18"/>
                <w:lang w:eastAsia="en-AU"/>
              </w:rPr>
              <w:t>TOTAL COMPREHENSIVE INCOME</w:t>
            </w:r>
          </w:p>
        </w:tc>
        <w:tc>
          <w:tcPr>
            <w:tcW w:w="1157" w:type="dxa"/>
            <w:tcBorders>
              <w:top w:val="nil"/>
              <w:left w:val="nil"/>
              <w:bottom w:val="double" w:sz="6" w:space="0" w:color="auto"/>
              <w:right w:val="nil"/>
            </w:tcBorders>
            <w:shd w:val="clear" w:color="auto" w:fill="auto"/>
            <w:noWrap/>
            <w:vAlign w:val="center"/>
            <w:hideMark/>
          </w:tcPr>
          <w:p w14:paraId="2AF6D2FC" w14:textId="77777777" w:rsidR="00BC5219" w:rsidRPr="00BA1D33" w:rsidRDefault="00BC5219" w:rsidP="00E83802">
            <w:pPr>
              <w:jc w:val="right"/>
              <w:rPr>
                <w:rFonts w:ascii="Meta Pro" w:eastAsia="Times New Roman" w:hAnsi="Meta Pro"/>
                <w:b/>
                <w:bCs/>
                <w:szCs w:val="18"/>
                <w:lang w:eastAsia="en-AU"/>
              </w:rPr>
            </w:pPr>
            <w:r w:rsidRPr="00BA1D33">
              <w:rPr>
                <w:rFonts w:ascii="Meta Pro" w:eastAsia="Times New Roman" w:hAnsi="Meta Pro"/>
                <w:b/>
                <w:bCs/>
                <w:szCs w:val="18"/>
                <w:lang w:eastAsia="en-AU"/>
              </w:rPr>
              <w:t xml:space="preserve">73,185 </w:t>
            </w:r>
          </w:p>
        </w:tc>
        <w:tc>
          <w:tcPr>
            <w:tcW w:w="195" w:type="dxa"/>
            <w:tcBorders>
              <w:top w:val="nil"/>
              <w:left w:val="nil"/>
              <w:bottom w:val="double" w:sz="6" w:space="0" w:color="auto"/>
              <w:right w:val="nil"/>
            </w:tcBorders>
            <w:shd w:val="clear" w:color="auto" w:fill="auto"/>
            <w:noWrap/>
            <w:vAlign w:val="center"/>
            <w:hideMark/>
          </w:tcPr>
          <w:p w14:paraId="5A08E2E4" w14:textId="77777777" w:rsidR="00BC5219" w:rsidRPr="00BA1D33" w:rsidRDefault="00BC5219" w:rsidP="00E83802">
            <w:pPr>
              <w:jc w:val="right"/>
              <w:rPr>
                <w:rFonts w:ascii="Meta Pro" w:eastAsia="Times New Roman" w:hAnsi="Meta Pro"/>
                <w:b/>
                <w:bCs/>
                <w:szCs w:val="18"/>
                <w:lang w:eastAsia="en-AU"/>
              </w:rPr>
            </w:pPr>
            <w:r w:rsidRPr="00BA1D33">
              <w:rPr>
                <w:rFonts w:ascii="Meta Pro" w:eastAsia="Times New Roman" w:hAnsi="Meta Pro"/>
                <w:b/>
                <w:bCs/>
                <w:szCs w:val="18"/>
                <w:lang w:eastAsia="en-AU"/>
              </w:rPr>
              <w:t> </w:t>
            </w:r>
          </w:p>
        </w:tc>
        <w:tc>
          <w:tcPr>
            <w:tcW w:w="1157" w:type="dxa"/>
            <w:tcBorders>
              <w:top w:val="nil"/>
              <w:left w:val="nil"/>
              <w:bottom w:val="double" w:sz="6" w:space="0" w:color="auto"/>
              <w:right w:val="nil"/>
            </w:tcBorders>
            <w:shd w:val="clear" w:color="auto" w:fill="auto"/>
            <w:noWrap/>
            <w:vAlign w:val="center"/>
            <w:hideMark/>
          </w:tcPr>
          <w:p w14:paraId="21F51A66" w14:textId="77777777" w:rsidR="00BC5219" w:rsidRPr="00BA1D33" w:rsidRDefault="00BC5219" w:rsidP="00E83802">
            <w:pPr>
              <w:jc w:val="right"/>
              <w:rPr>
                <w:rFonts w:ascii="Meta Pro" w:eastAsia="Times New Roman" w:hAnsi="Meta Pro"/>
                <w:b/>
                <w:bCs/>
                <w:szCs w:val="18"/>
                <w:lang w:eastAsia="en-AU"/>
              </w:rPr>
            </w:pPr>
            <w:r w:rsidRPr="00BA1D33">
              <w:rPr>
                <w:rFonts w:ascii="Meta Pro" w:eastAsia="Times New Roman" w:hAnsi="Meta Pro"/>
                <w:b/>
                <w:bCs/>
                <w:szCs w:val="18"/>
                <w:lang w:eastAsia="en-AU"/>
              </w:rPr>
              <w:t xml:space="preserve">15,108,124 </w:t>
            </w:r>
          </w:p>
        </w:tc>
        <w:tc>
          <w:tcPr>
            <w:tcW w:w="195" w:type="dxa"/>
            <w:tcBorders>
              <w:top w:val="nil"/>
              <w:left w:val="nil"/>
              <w:bottom w:val="double" w:sz="6" w:space="0" w:color="auto"/>
              <w:right w:val="nil"/>
            </w:tcBorders>
            <w:shd w:val="clear" w:color="auto" w:fill="auto"/>
            <w:noWrap/>
            <w:vAlign w:val="center"/>
            <w:hideMark/>
          </w:tcPr>
          <w:p w14:paraId="53027F2A" w14:textId="77777777" w:rsidR="00BC5219" w:rsidRPr="00BA1D33" w:rsidRDefault="00BC5219" w:rsidP="00E83802">
            <w:pPr>
              <w:jc w:val="right"/>
              <w:rPr>
                <w:rFonts w:ascii="Meta Pro" w:eastAsia="Times New Roman" w:hAnsi="Meta Pro"/>
                <w:b/>
                <w:bCs/>
                <w:szCs w:val="18"/>
                <w:lang w:eastAsia="en-AU"/>
              </w:rPr>
            </w:pPr>
            <w:r w:rsidRPr="00BA1D33">
              <w:rPr>
                <w:rFonts w:ascii="Meta Pro" w:eastAsia="Times New Roman" w:hAnsi="Meta Pro"/>
                <w:b/>
                <w:bCs/>
                <w:szCs w:val="18"/>
                <w:lang w:eastAsia="en-AU"/>
              </w:rPr>
              <w:t> </w:t>
            </w:r>
          </w:p>
        </w:tc>
        <w:tc>
          <w:tcPr>
            <w:tcW w:w="1140" w:type="dxa"/>
            <w:tcBorders>
              <w:top w:val="nil"/>
              <w:left w:val="nil"/>
              <w:bottom w:val="double" w:sz="6" w:space="0" w:color="auto"/>
              <w:right w:val="nil"/>
            </w:tcBorders>
            <w:shd w:val="clear" w:color="auto" w:fill="auto"/>
            <w:noWrap/>
            <w:vAlign w:val="center"/>
            <w:hideMark/>
          </w:tcPr>
          <w:p w14:paraId="21D54C5F" w14:textId="77777777" w:rsidR="00BC5219" w:rsidRPr="00BA1D33" w:rsidRDefault="00BC5219" w:rsidP="00E83802">
            <w:pPr>
              <w:jc w:val="right"/>
              <w:rPr>
                <w:rFonts w:ascii="Meta Pro" w:eastAsia="Times New Roman" w:hAnsi="Meta Pro"/>
                <w:b/>
                <w:bCs/>
                <w:szCs w:val="18"/>
                <w:lang w:eastAsia="en-AU"/>
              </w:rPr>
            </w:pPr>
            <w:r w:rsidRPr="00BA1D33">
              <w:rPr>
                <w:rFonts w:ascii="Meta Pro" w:eastAsia="Times New Roman" w:hAnsi="Meta Pro"/>
                <w:b/>
                <w:bCs/>
                <w:szCs w:val="18"/>
                <w:lang w:eastAsia="en-AU"/>
              </w:rPr>
              <w:t xml:space="preserve">15,034,939 </w:t>
            </w:r>
          </w:p>
        </w:tc>
      </w:tr>
    </w:tbl>
    <w:p w14:paraId="31D93146" w14:textId="77777777" w:rsidR="00BC5219" w:rsidRPr="008A2B8F" w:rsidRDefault="00BC5219" w:rsidP="00BC5219">
      <w:pPr>
        <w:spacing w:before="120" w:line="259" w:lineRule="auto"/>
        <w:rPr>
          <w:rFonts w:ascii="Meta Pro" w:eastAsia="Times New Roman" w:hAnsi="Meta Pro"/>
          <w:b/>
          <w:bCs/>
          <w:color w:val="000000"/>
          <w:szCs w:val="18"/>
          <w:lang w:eastAsia="en-AU"/>
        </w:rPr>
      </w:pPr>
      <w:r w:rsidRPr="008A2B8F">
        <w:rPr>
          <w:rFonts w:ascii="Meta Pro" w:eastAsia="Times New Roman" w:hAnsi="Meta Pro"/>
          <w:b/>
          <w:bCs/>
          <w:color w:val="000000"/>
          <w:szCs w:val="18"/>
          <w:lang w:eastAsia="en-AU"/>
        </w:rPr>
        <w:t>Explanation of major variances</w:t>
      </w:r>
    </w:p>
    <w:p w14:paraId="744407A5" w14:textId="77777777" w:rsidR="00BC5219" w:rsidRPr="008A2B8F" w:rsidRDefault="00BC5219" w:rsidP="00BC5219">
      <w:pPr>
        <w:spacing w:before="60" w:line="259" w:lineRule="auto"/>
        <w:rPr>
          <w:rFonts w:ascii="Meta Pro" w:eastAsia="Times New Roman" w:hAnsi="Meta Pro"/>
          <w:b/>
          <w:bCs/>
          <w:i/>
          <w:iCs/>
          <w:color w:val="000000"/>
          <w:szCs w:val="18"/>
          <w:lang w:eastAsia="en-AU"/>
        </w:rPr>
      </w:pPr>
      <w:r w:rsidRPr="008A2B8F">
        <w:rPr>
          <w:rFonts w:ascii="Meta Pro" w:eastAsia="Times New Roman" w:hAnsi="Meta Pro"/>
          <w:b/>
          <w:bCs/>
          <w:i/>
          <w:iCs/>
          <w:color w:val="000000"/>
          <w:szCs w:val="18"/>
          <w:lang w:eastAsia="en-AU"/>
        </w:rPr>
        <w:t>User charges and fees</w:t>
      </w:r>
    </w:p>
    <w:p w14:paraId="70E62E23" w14:textId="77777777" w:rsidR="00BC5219" w:rsidRPr="008A2B8F" w:rsidRDefault="00BC5219" w:rsidP="00BC5219">
      <w:pPr>
        <w:rPr>
          <w:rFonts w:ascii="Meta Pro" w:eastAsia="Times New Roman" w:hAnsi="Meta Pro"/>
          <w:color w:val="000000"/>
          <w:szCs w:val="18"/>
          <w:lang w:eastAsia="en-AU"/>
        </w:rPr>
      </w:pPr>
      <w:r w:rsidRPr="008A2B8F">
        <w:rPr>
          <w:rFonts w:ascii="Meta Pro" w:eastAsia="Times New Roman" w:hAnsi="Meta Pro"/>
          <w:color w:val="000000"/>
          <w:szCs w:val="18"/>
          <w:lang w:eastAsia="en-AU"/>
        </w:rPr>
        <w:t xml:space="preserve">Variance of </w:t>
      </w:r>
      <w:r w:rsidRPr="008A2B8F">
        <w:rPr>
          <w:rFonts w:ascii="Meta Pro" w:eastAsia="Times New Roman" w:hAnsi="Meta Pro"/>
          <w:szCs w:val="18"/>
          <w:lang w:eastAsia="en-AU"/>
        </w:rPr>
        <w:t>$</w:t>
      </w:r>
      <w:r w:rsidRPr="008A2B8F">
        <w:rPr>
          <w:rFonts w:ascii="Meta Pro" w:eastAsia="Times New Roman" w:hAnsi="Meta Pro"/>
          <w:color w:val="000000"/>
          <w:szCs w:val="18"/>
          <w:lang w:eastAsia="en-AU"/>
        </w:rPr>
        <w:t>115.411m to budget is mainly explained by the following:</w:t>
      </w:r>
    </w:p>
    <w:p w14:paraId="4984F5D1" w14:textId="77777777" w:rsidR="00BC5219" w:rsidRPr="008A2B8F" w:rsidRDefault="00BC5219" w:rsidP="00BC5219">
      <w:pPr>
        <w:rPr>
          <w:rFonts w:ascii="Meta Pro" w:eastAsia="Times New Roman" w:hAnsi="Meta Pro"/>
          <w:color w:val="000000"/>
          <w:szCs w:val="18"/>
          <w:lang w:eastAsia="en-AU"/>
        </w:rPr>
      </w:pPr>
      <w:r w:rsidRPr="008A2B8F">
        <w:rPr>
          <w:rFonts w:ascii="Meta Pro" w:eastAsia="Times New Roman" w:hAnsi="Meta Pro"/>
          <w:szCs w:val="18"/>
          <w:lang w:eastAsia="en-AU"/>
        </w:rPr>
        <w:t>•</w:t>
      </w:r>
      <w:r w:rsidRPr="008A2B8F">
        <w:rPr>
          <w:rFonts w:ascii="Meta Pro" w:eastAsia="Times New Roman" w:hAnsi="Meta Pro"/>
          <w:color w:val="000000"/>
          <w:szCs w:val="18"/>
          <w:lang w:eastAsia="en-AU"/>
        </w:rPr>
        <w:t xml:space="preserve"> $21.517m higher than anticipated </w:t>
      </w:r>
      <w:bookmarkStart w:id="55" w:name="_Hlk133261221"/>
      <w:r w:rsidRPr="008A2B8F">
        <w:rPr>
          <w:rFonts w:ascii="Meta Pro" w:eastAsia="Times New Roman" w:hAnsi="Meta Pro"/>
          <w:color w:val="000000"/>
          <w:szCs w:val="18"/>
          <w:lang w:eastAsia="en-AU"/>
        </w:rPr>
        <w:t xml:space="preserve">personalised plates </w:t>
      </w:r>
      <w:bookmarkEnd w:id="55"/>
      <w:r w:rsidRPr="008A2B8F">
        <w:rPr>
          <w:rFonts w:ascii="Meta Pro" w:eastAsia="Times New Roman" w:hAnsi="Meta Pro"/>
          <w:color w:val="000000"/>
          <w:szCs w:val="18"/>
          <w:lang w:eastAsia="en-AU"/>
        </w:rPr>
        <w:t>sales</w:t>
      </w:r>
    </w:p>
    <w:p w14:paraId="0CD72B92" w14:textId="77777777" w:rsidR="00BC5219" w:rsidRPr="008A2B8F" w:rsidRDefault="00BC5219" w:rsidP="00BC5219">
      <w:pPr>
        <w:rPr>
          <w:rFonts w:ascii="Meta Pro" w:eastAsia="Times New Roman" w:hAnsi="Meta Pro"/>
          <w:color w:val="000000"/>
          <w:szCs w:val="18"/>
          <w:lang w:eastAsia="en-AU"/>
        </w:rPr>
      </w:pPr>
      <w:r w:rsidRPr="008A2B8F">
        <w:rPr>
          <w:rFonts w:ascii="Meta Pro" w:eastAsia="Times New Roman" w:hAnsi="Meta Pro"/>
          <w:szCs w:val="18"/>
          <w:lang w:eastAsia="en-AU"/>
        </w:rPr>
        <w:t xml:space="preserve">• </w:t>
      </w:r>
      <w:bookmarkStart w:id="56" w:name="_Hlk133261628"/>
      <w:r w:rsidRPr="008A2B8F">
        <w:rPr>
          <w:rFonts w:ascii="Meta Pro" w:eastAsia="Times New Roman" w:hAnsi="Meta Pro"/>
          <w:szCs w:val="18"/>
          <w:lang w:eastAsia="en-AU"/>
        </w:rPr>
        <w:t>$</w:t>
      </w:r>
      <w:r w:rsidRPr="008A2B8F">
        <w:rPr>
          <w:rFonts w:ascii="Meta Pro" w:eastAsia="Times New Roman" w:hAnsi="Meta Pro"/>
          <w:color w:val="000000"/>
          <w:szCs w:val="18"/>
          <w:lang w:eastAsia="en-AU"/>
        </w:rPr>
        <w:t>19.367m higher than anticipated fare revenue due to increase in patronage after COVID-19 pandemic</w:t>
      </w:r>
    </w:p>
    <w:bookmarkEnd w:id="56"/>
    <w:p w14:paraId="35AF2EF2" w14:textId="77777777" w:rsidR="00BC5219" w:rsidRPr="008A2B8F" w:rsidRDefault="00BC5219" w:rsidP="00BC5219">
      <w:pPr>
        <w:rPr>
          <w:rFonts w:ascii="Meta Pro" w:eastAsia="Times New Roman" w:hAnsi="Meta Pro"/>
          <w:color w:val="000000"/>
          <w:szCs w:val="18"/>
          <w:lang w:eastAsia="en-AU"/>
        </w:rPr>
      </w:pPr>
      <w:r w:rsidRPr="008A2B8F">
        <w:rPr>
          <w:rFonts w:ascii="Meta Pro" w:eastAsia="Times New Roman" w:hAnsi="Meta Pro"/>
          <w:szCs w:val="18"/>
          <w:lang w:eastAsia="en-AU"/>
        </w:rPr>
        <w:t>•</w:t>
      </w:r>
      <w:r w:rsidRPr="008A2B8F">
        <w:rPr>
          <w:rFonts w:ascii="Meta Pro" w:eastAsia="Times New Roman" w:hAnsi="Meta Pro"/>
          <w:color w:val="000000"/>
          <w:szCs w:val="18"/>
          <w:lang w:eastAsia="en-AU"/>
        </w:rPr>
        <w:t xml:space="preserve"> $7.416m higher than anticipated for </w:t>
      </w:r>
      <w:bookmarkStart w:id="57" w:name="_Hlk133261277"/>
      <w:r w:rsidRPr="008A2B8F">
        <w:rPr>
          <w:rFonts w:ascii="Meta Pro" w:eastAsia="Times New Roman" w:hAnsi="Meta Pro"/>
          <w:color w:val="000000"/>
          <w:szCs w:val="18"/>
          <w:lang w:eastAsia="en-AU"/>
        </w:rPr>
        <w:t>pilotage</w:t>
      </w:r>
      <w:bookmarkEnd w:id="57"/>
      <w:r w:rsidRPr="008A2B8F">
        <w:rPr>
          <w:rFonts w:ascii="Meta Pro" w:eastAsia="Times New Roman" w:hAnsi="Meta Pro"/>
          <w:color w:val="000000"/>
          <w:szCs w:val="18"/>
          <w:lang w:eastAsia="en-AU"/>
        </w:rPr>
        <w:t xml:space="preserve"> fees received</w:t>
      </w:r>
    </w:p>
    <w:p w14:paraId="1CA8C884" w14:textId="77777777" w:rsidR="00BC5219" w:rsidRPr="008A2B8F" w:rsidRDefault="00BC5219" w:rsidP="00BC5219">
      <w:pPr>
        <w:rPr>
          <w:rFonts w:ascii="Meta Pro" w:eastAsia="Times New Roman" w:hAnsi="Meta Pro"/>
          <w:color w:val="000000"/>
          <w:szCs w:val="18"/>
          <w:lang w:eastAsia="en-AU"/>
        </w:rPr>
      </w:pPr>
      <w:r w:rsidRPr="008A2B8F">
        <w:rPr>
          <w:rFonts w:ascii="Meta Pro" w:eastAsia="Times New Roman" w:hAnsi="Meta Pro"/>
          <w:szCs w:val="18"/>
          <w:lang w:eastAsia="en-AU"/>
        </w:rPr>
        <w:t>• $</w:t>
      </w:r>
      <w:r w:rsidRPr="008A2B8F">
        <w:rPr>
          <w:rFonts w:ascii="Meta Pro" w:eastAsia="Times New Roman" w:hAnsi="Meta Pro"/>
          <w:color w:val="000000"/>
          <w:szCs w:val="18"/>
          <w:lang w:eastAsia="en-AU"/>
        </w:rPr>
        <w:t>5.715m</w:t>
      </w:r>
      <w:r w:rsidRPr="008A2B8F">
        <w:rPr>
          <w:rFonts w:ascii="Meta Pro" w:eastAsia="Times New Roman" w:hAnsi="Meta Pro"/>
          <w:szCs w:val="18"/>
          <w:lang w:eastAsia="en-AU"/>
        </w:rPr>
        <w:t xml:space="preserve"> for Inland Rail project land acquisition contributions and cost recovery</w:t>
      </w:r>
    </w:p>
    <w:p w14:paraId="12213830" w14:textId="77777777" w:rsidR="00BC5219" w:rsidRPr="008A2B8F" w:rsidRDefault="00BC5219" w:rsidP="00BC5219">
      <w:pPr>
        <w:rPr>
          <w:rFonts w:ascii="Meta Pro" w:eastAsia="Times New Roman" w:hAnsi="Meta Pro"/>
          <w:color w:val="000000"/>
          <w:szCs w:val="18"/>
          <w:lang w:eastAsia="en-AU"/>
        </w:rPr>
      </w:pPr>
      <w:r w:rsidRPr="008A2B8F">
        <w:rPr>
          <w:rFonts w:ascii="Meta Pro" w:eastAsia="Times New Roman" w:hAnsi="Meta Pro"/>
          <w:szCs w:val="18"/>
          <w:lang w:eastAsia="en-AU"/>
        </w:rPr>
        <w:t>• $4</w:t>
      </w:r>
      <w:r w:rsidRPr="008A2B8F">
        <w:rPr>
          <w:rFonts w:ascii="Meta Pro" w:eastAsia="Times New Roman" w:hAnsi="Meta Pro"/>
          <w:color w:val="000000"/>
          <w:szCs w:val="18"/>
          <w:lang w:eastAsia="en-AU"/>
        </w:rPr>
        <w:t xml:space="preserve">.277m higher than anticipated revenue for recoverable works including cash contributions from local government for the </w:t>
      </w:r>
    </w:p>
    <w:p w14:paraId="1F7540D0" w14:textId="77777777" w:rsidR="00BC5219" w:rsidRPr="008A2B8F" w:rsidRDefault="00BC5219" w:rsidP="00BC5219">
      <w:pPr>
        <w:rPr>
          <w:rFonts w:ascii="Meta Pro" w:eastAsia="Times New Roman" w:hAnsi="Meta Pro"/>
          <w:color w:val="000000"/>
          <w:szCs w:val="18"/>
          <w:lang w:eastAsia="en-AU"/>
        </w:rPr>
      </w:pPr>
      <w:r w:rsidRPr="008A2B8F">
        <w:rPr>
          <w:rFonts w:ascii="Meta Pro" w:eastAsia="Times New Roman" w:hAnsi="Meta Pro"/>
          <w:color w:val="000000"/>
          <w:szCs w:val="18"/>
          <w:lang w:eastAsia="en-AU"/>
        </w:rPr>
        <w:lastRenderedPageBreak/>
        <w:t xml:space="preserve">   </w:t>
      </w:r>
      <w:bookmarkStart w:id="58" w:name="_Hlk133261351"/>
      <w:r w:rsidRPr="008A2B8F">
        <w:rPr>
          <w:rFonts w:ascii="Meta Pro" w:eastAsia="Times New Roman" w:hAnsi="Meta Pro"/>
          <w:color w:val="000000"/>
          <w:szCs w:val="18"/>
          <w:lang w:eastAsia="en-AU"/>
        </w:rPr>
        <w:t xml:space="preserve"> Gold Coast Light Rail Stage </w:t>
      </w:r>
      <w:bookmarkEnd w:id="58"/>
      <w:r w:rsidRPr="008A2B8F">
        <w:rPr>
          <w:rFonts w:ascii="Meta Pro" w:eastAsia="Times New Roman" w:hAnsi="Meta Pro"/>
          <w:color w:val="000000"/>
          <w:szCs w:val="18"/>
          <w:lang w:eastAsia="en-AU"/>
        </w:rPr>
        <w:t>3 project and various transport infrastructure projects</w:t>
      </w:r>
    </w:p>
    <w:p w14:paraId="704427F4" w14:textId="77777777" w:rsidR="00BC5219" w:rsidRPr="008A2B8F" w:rsidRDefault="00BC5219" w:rsidP="00BC5219">
      <w:pPr>
        <w:rPr>
          <w:rFonts w:ascii="Meta Pro" w:eastAsia="Times New Roman" w:hAnsi="Meta Pro"/>
          <w:color w:val="000000"/>
          <w:szCs w:val="18"/>
          <w:lang w:eastAsia="en-AU"/>
        </w:rPr>
      </w:pPr>
      <w:r w:rsidRPr="008A2B8F">
        <w:rPr>
          <w:rFonts w:ascii="Meta Pro" w:eastAsia="Times New Roman" w:hAnsi="Meta Pro"/>
          <w:szCs w:val="18"/>
          <w:lang w:eastAsia="en-AU"/>
        </w:rPr>
        <w:t>•</w:t>
      </w:r>
      <w:r w:rsidRPr="008A2B8F">
        <w:rPr>
          <w:rFonts w:ascii="Meta Pro" w:eastAsia="Times New Roman" w:hAnsi="Meta Pro"/>
          <w:color w:val="000000"/>
          <w:szCs w:val="18"/>
          <w:lang w:eastAsia="en-AU"/>
        </w:rPr>
        <w:t xml:space="preserve"> $2.730m for Brisbane Metro project cost recoveries</w:t>
      </w:r>
    </w:p>
    <w:p w14:paraId="01BDA4EB" w14:textId="77777777" w:rsidR="00BC5219" w:rsidRDefault="00BC5219" w:rsidP="00BC5219">
      <w:pPr>
        <w:rPr>
          <w:rFonts w:ascii="Meta Pro" w:eastAsia="Times New Roman" w:hAnsi="Meta Pro"/>
          <w:color w:val="000000"/>
          <w:szCs w:val="18"/>
          <w:lang w:eastAsia="en-AU"/>
        </w:rPr>
      </w:pPr>
      <w:r w:rsidRPr="008A2B8F">
        <w:rPr>
          <w:rFonts w:ascii="Meta Pro" w:eastAsia="Times New Roman" w:hAnsi="Meta Pro"/>
          <w:szCs w:val="18"/>
          <w:lang w:eastAsia="en-AU"/>
        </w:rPr>
        <w:t>•</w:t>
      </w:r>
      <w:r w:rsidRPr="008A2B8F">
        <w:rPr>
          <w:rFonts w:ascii="Meta Pro" w:eastAsia="Times New Roman" w:hAnsi="Meta Pro"/>
          <w:color w:val="000000"/>
          <w:szCs w:val="18"/>
          <w:lang w:eastAsia="en-AU"/>
        </w:rPr>
        <w:t xml:space="preserve"> $32.258m </w:t>
      </w:r>
      <w:bookmarkStart w:id="59" w:name="_Hlk142319029"/>
      <w:r w:rsidRPr="008A2B8F">
        <w:rPr>
          <w:rFonts w:ascii="Meta Pro" w:eastAsia="Times New Roman" w:hAnsi="Meta Pro"/>
          <w:color w:val="000000"/>
          <w:szCs w:val="18"/>
          <w:lang w:eastAsia="en-AU"/>
        </w:rPr>
        <w:t>relating to QGCDG revenues which had not been allocated in the original Department of Transport and Main Roads</w:t>
      </w:r>
    </w:p>
    <w:p w14:paraId="636C86CA" w14:textId="77777777" w:rsidR="00BC5219" w:rsidRPr="008A2B8F" w:rsidRDefault="00BC5219" w:rsidP="00BC5219">
      <w:pPr>
        <w:rPr>
          <w:rFonts w:ascii="Meta Pro" w:eastAsia="Times New Roman" w:hAnsi="Meta Pro"/>
          <w:color w:val="000000"/>
          <w:szCs w:val="18"/>
          <w:lang w:eastAsia="en-AU"/>
        </w:rPr>
      </w:pPr>
      <w:r>
        <w:rPr>
          <w:rFonts w:ascii="Meta Pro" w:eastAsia="Times New Roman" w:hAnsi="Meta Pro"/>
          <w:color w:val="000000"/>
          <w:szCs w:val="18"/>
          <w:lang w:eastAsia="en-AU"/>
        </w:rPr>
        <w:t xml:space="preserve">    </w:t>
      </w:r>
      <w:r w:rsidRPr="008A2B8F">
        <w:rPr>
          <w:rFonts w:ascii="Meta Pro" w:eastAsia="Times New Roman" w:hAnsi="Meta Pro"/>
          <w:color w:val="000000"/>
          <w:szCs w:val="18"/>
          <w:lang w:eastAsia="en-AU"/>
        </w:rPr>
        <w:t xml:space="preserve">budget due to budget development occurring prior to the 18 May 2023 machinery-of-government change. </w:t>
      </w:r>
    </w:p>
    <w:bookmarkEnd w:id="59"/>
    <w:p w14:paraId="557BCECC" w14:textId="77777777" w:rsidR="00BC5219" w:rsidRPr="008A2B8F" w:rsidRDefault="00BC5219" w:rsidP="00BC5219">
      <w:pPr>
        <w:spacing w:before="60"/>
        <w:rPr>
          <w:rFonts w:ascii="Meta Pro" w:eastAsia="Times New Roman" w:hAnsi="Meta Pro"/>
          <w:b/>
          <w:bCs/>
          <w:i/>
          <w:iCs/>
          <w:color w:val="000000"/>
          <w:szCs w:val="18"/>
          <w:lang w:eastAsia="en-AU"/>
        </w:rPr>
      </w:pPr>
      <w:r w:rsidRPr="008A2B8F">
        <w:rPr>
          <w:rFonts w:ascii="Meta Pro" w:eastAsia="Times New Roman" w:hAnsi="Meta Pro"/>
          <w:b/>
          <w:bCs/>
          <w:i/>
          <w:iCs/>
          <w:color w:val="000000"/>
          <w:szCs w:val="18"/>
          <w:lang w:eastAsia="en-AU"/>
        </w:rPr>
        <w:t xml:space="preserve">Grants and other contributions </w:t>
      </w:r>
    </w:p>
    <w:p w14:paraId="09B949AB" w14:textId="77777777" w:rsidR="00BC5219" w:rsidRPr="008A2B8F" w:rsidRDefault="00BC5219" w:rsidP="00BC5219">
      <w:pPr>
        <w:rPr>
          <w:rFonts w:ascii="Meta Pro" w:eastAsia="Times New Roman" w:hAnsi="Meta Pro"/>
          <w:color w:val="000000"/>
          <w:szCs w:val="18"/>
          <w:lang w:eastAsia="en-AU"/>
        </w:rPr>
      </w:pPr>
      <w:r w:rsidRPr="008A2B8F">
        <w:rPr>
          <w:rFonts w:ascii="Meta Pro" w:eastAsia="Times New Roman" w:hAnsi="Meta Pro"/>
          <w:color w:val="000000"/>
          <w:szCs w:val="18"/>
          <w:lang w:eastAsia="en-AU"/>
        </w:rPr>
        <w:t>Variance of</w:t>
      </w:r>
      <w:r w:rsidRPr="008A2B8F">
        <w:rPr>
          <w:rFonts w:ascii="Meta Pro" w:eastAsia="Times New Roman" w:hAnsi="Meta Pro"/>
          <w:color w:val="FF0000"/>
          <w:szCs w:val="18"/>
          <w:lang w:eastAsia="en-AU"/>
        </w:rPr>
        <w:t xml:space="preserve"> </w:t>
      </w:r>
      <w:r w:rsidRPr="008A2B8F">
        <w:rPr>
          <w:rFonts w:ascii="Meta Pro" w:eastAsia="Times New Roman" w:hAnsi="Meta Pro"/>
          <w:color w:val="000000"/>
          <w:szCs w:val="18"/>
          <w:lang w:eastAsia="en-AU"/>
        </w:rPr>
        <w:t>$86.992m mainly reflects:</w:t>
      </w:r>
    </w:p>
    <w:p w14:paraId="244BEBA1" w14:textId="77777777" w:rsidR="00BC5219" w:rsidRPr="008A2B8F" w:rsidRDefault="00BC5219" w:rsidP="00BC5219">
      <w:pPr>
        <w:rPr>
          <w:rFonts w:ascii="Meta Pro" w:eastAsia="Times New Roman" w:hAnsi="Meta Pro"/>
          <w:color w:val="000000"/>
          <w:szCs w:val="18"/>
          <w:lang w:eastAsia="en-AU"/>
        </w:rPr>
      </w:pPr>
      <w:r w:rsidRPr="008A2B8F">
        <w:rPr>
          <w:rFonts w:ascii="Meta Pro" w:eastAsia="Times New Roman" w:hAnsi="Meta Pro"/>
          <w:szCs w:val="18"/>
          <w:lang w:eastAsia="en-AU"/>
        </w:rPr>
        <w:t xml:space="preserve">• </w:t>
      </w:r>
      <w:r w:rsidRPr="008A2B8F">
        <w:rPr>
          <w:rFonts w:ascii="Meta Pro" w:eastAsia="Times New Roman" w:hAnsi="Meta Pro"/>
          <w:color w:val="000000"/>
          <w:szCs w:val="18"/>
          <w:lang w:eastAsia="en-AU"/>
        </w:rPr>
        <w:t>$48.974m for the recognition of Coomera Link Road at Coomera received from the City of Gold Coast. This asset transfer was not</w:t>
      </w:r>
    </w:p>
    <w:p w14:paraId="0F9B5669" w14:textId="77777777" w:rsidR="00BC5219" w:rsidRPr="008A2B8F" w:rsidRDefault="00BC5219" w:rsidP="00BC5219">
      <w:pPr>
        <w:rPr>
          <w:rFonts w:ascii="Meta Pro" w:eastAsia="Times New Roman" w:hAnsi="Meta Pro"/>
          <w:color w:val="000000"/>
          <w:szCs w:val="18"/>
          <w:lang w:eastAsia="en-AU"/>
        </w:rPr>
      </w:pPr>
      <w:r w:rsidRPr="008A2B8F">
        <w:rPr>
          <w:rFonts w:ascii="Meta Pro" w:eastAsia="Times New Roman" w:hAnsi="Meta Pro"/>
          <w:color w:val="000000"/>
          <w:szCs w:val="18"/>
          <w:lang w:eastAsia="en-AU"/>
        </w:rPr>
        <w:t xml:space="preserve">   taken in account at the time of preparing the 2022–23 budget.</w:t>
      </w:r>
    </w:p>
    <w:p w14:paraId="554EA23B" w14:textId="77777777" w:rsidR="00BC5219" w:rsidRPr="008A2B8F" w:rsidRDefault="00BC5219" w:rsidP="00BC5219">
      <w:pPr>
        <w:rPr>
          <w:rFonts w:ascii="Meta Pro" w:eastAsia="Times New Roman" w:hAnsi="Meta Pro"/>
          <w:color w:val="000000"/>
          <w:szCs w:val="18"/>
          <w:lang w:eastAsia="en-AU"/>
        </w:rPr>
      </w:pPr>
      <w:r w:rsidRPr="008A2B8F">
        <w:rPr>
          <w:rFonts w:ascii="Meta Pro" w:eastAsia="Times New Roman" w:hAnsi="Meta Pro"/>
          <w:szCs w:val="18"/>
          <w:lang w:eastAsia="en-AU"/>
        </w:rPr>
        <w:t xml:space="preserve">• </w:t>
      </w:r>
      <w:r w:rsidRPr="008A2B8F">
        <w:rPr>
          <w:rFonts w:ascii="Meta Pro" w:eastAsia="Times New Roman" w:hAnsi="Meta Pro"/>
          <w:color w:val="000000"/>
          <w:szCs w:val="18"/>
          <w:lang w:eastAsia="en-AU"/>
        </w:rPr>
        <w:t xml:space="preserve">$27.462m higher than anticipated reimbursements from the Queensland Reconstruction Authority related to rebuilding of </w:t>
      </w:r>
    </w:p>
    <w:p w14:paraId="44B29217" w14:textId="77777777" w:rsidR="00BC5219" w:rsidRPr="008A2B8F" w:rsidRDefault="00BC5219" w:rsidP="00BC5219">
      <w:pPr>
        <w:pStyle w:val="ListParagraph"/>
        <w:ind w:left="142"/>
        <w:rPr>
          <w:rFonts w:ascii="Meta Pro" w:eastAsia="Times New Roman" w:hAnsi="Meta Pro"/>
          <w:color w:val="000000"/>
          <w:szCs w:val="18"/>
          <w:lang w:eastAsia="en-AU"/>
        </w:rPr>
      </w:pPr>
      <w:r w:rsidRPr="008A2B8F">
        <w:rPr>
          <w:rFonts w:ascii="Meta Pro" w:eastAsia="Times New Roman" w:hAnsi="Meta Pro"/>
          <w:color w:val="000000"/>
          <w:szCs w:val="18"/>
          <w:lang w:eastAsia="en-AU"/>
        </w:rPr>
        <w:t>transport infrastructure following natural disasters, resulting in a timing issue.</w:t>
      </w:r>
    </w:p>
    <w:p w14:paraId="119B6256" w14:textId="77777777" w:rsidR="00BC5219" w:rsidRPr="008A2B8F" w:rsidRDefault="00BC5219" w:rsidP="00BC5219">
      <w:pPr>
        <w:spacing w:before="60" w:line="259" w:lineRule="auto"/>
        <w:rPr>
          <w:rFonts w:ascii="Meta Pro" w:eastAsia="Times New Roman" w:hAnsi="Meta Pro"/>
          <w:b/>
          <w:bCs/>
          <w:i/>
          <w:iCs/>
          <w:color w:val="000000"/>
          <w:szCs w:val="18"/>
          <w:lang w:eastAsia="en-AU"/>
        </w:rPr>
      </w:pPr>
      <w:r w:rsidRPr="008A2B8F">
        <w:rPr>
          <w:rFonts w:ascii="Meta Pro" w:eastAsia="Times New Roman" w:hAnsi="Meta Pro"/>
          <w:b/>
          <w:bCs/>
          <w:i/>
          <w:iCs/>
          <w:color w:val="000000"/>
          <w:szCs w:val="18"/>
          <w:lang w:eastAsia="en-AU"/>
        </w:rPr>
        <w:t>Employee expenses</w:t>
      </w:r>
    </w:p>
    <w:p w14:paraId="111838E3" w14:textId="77777777" w:rsidR="00BC5219" w:rsidRPr="008A2B8F" w:rsidRDefault="00BC5219" w:rsidP="00BC5219">
      <w:pPr>
        <w:rPr>
          <w:rFonts w:ascii="Meta Pro" w:eastAsia="Times New Roman" w:hAnsi="Meta Pro"/>
          <w:color w:val="000000"/>
          <w:szCs w:val="18"/>
          <w:lang w:eastAsia="en-AU"/>
        </w:rPr>
      </w:pPr>
      <w:r w:rsidRPr="008A2B8F">
        <w:rPr>
          <w:rFonts w:ascii="Meta Pro" w:eastAsia="Times New Roman" w:hAnsi="Meta Pro"/>
          <w:color w:val="000000"/>
          <w:szCs w:val="18"/>
          <w:lang w:eastAsia="en-AU"/>
        </w:rPr>
        <w:t xml:space="preserve">Variance </w:t>
      </w:r>
      <w:r w:rsidRPr="008A2B8F">
        <w:rPr>
          <w:rFonts w:ascii="Meta Pro" w:eastAsia="Times New Roman" w:hAnsi="Meta Pro"/>
          <w:szCs w:val="18"/>
          <w:lang w:eastAsia="en-AU"/>
        </w:rPr>
        <w:t>of $63.029m</w:t>
      </w:r>
      <w:r>
        <w:rPr>
          <w:rFonts w:ascii="Meta Pro" w:eastAsia="Times New Roman" w:hAnsi="Meta Pro"/>
          <w:szCs w:val="18"/>
          <w:lang w:eastAsia="en-AU"/>
        </w:rPr>
        <w:t xml:space="preserve"> mainly </w:t>
      </w:r>
      <w:r w:rsidRPr="008A2B8F">
        <w:rPr>
          <w:rFonts w:ascii="Meta Pro" w:eastAsia="Times New Roman" w:hAnsi="Meta Pro"/>
          <w:szCs w:val="18"/>
          <w:lang w:eastAsia="en-AU"/>
        </w:rPr>
        <w:t>reflects</w:t>
      </w:r>
      <w:r w:rsidRPr="008A2B8F">
        <w:rPr>
          <w:rFonts w:ascii="Meta Pro" w:hAnsi="Meta Pro"/>
        </w:rPr>
        <w:t>:</w:t>
      </w:r>
    </w:p>
    <w:p w14:paraId="694B266B" w14:textId="77777777" w:rsidR="00BC5219" w:rsidRPr="008A2B8F" w:rsidRDefault="00BC5219" w:rsidP="00BC5219">
      <w:pPr>
        <w:spacing w:line="259" w:lineRule="auto"/>
        <w:rPr>
          <w:rFonts w:ascii="Meta Pro" w:eastAsia="Times New Roman" w:hAnsi="Meta Pro"/>
          <w:color w:val="000000"/>
          <w:szCs w:val="18"/>
          <w:lang w:eastAsia="en-AU"/>
        </w:rPr>
      </w:pPr>
      <w:r w:rsidRPr="008A2B8F">
        <w:rPr>
          <w:rFonts w:ascii="Meta Pro" w:eastAsia="Times New Roman" w:hAnsi="Meta Pro"/>
          <w:color w:val="000000"/>
          <w:szCs w:val="18"/>
          <w:lang w:eastAsia="en-AU"/>
        </w:rPr>
        <w:t>• $44.472m increase in full-time equivalent employee costs compared to published budget to ensure customer service standards</w:t>
      </w:r>
    </w:p>
    <w:p w14:paraId="030DBB6E" w14:textId="77777777" w:rsidR="00BC5219" w:rsidRPr="008A2B8F" w:rsidRDefault="00BC5219" w:rsidP="00BC5219">
      <w:pPr>
        <w:spacing w:line="259" w:lineRule="auto"/>
        <w:rPr>
          <w:rFonts w:ascii="Meta Pro" w:eastAsia="Times New Roman" w:hAnsi="Meta Pro"/>
          <w:color w:val="000000"/>
          <w:szCs w:val="18"/>
          <w:lang w:eastAsia="en-AU"/>
        </w:rPr>
      </w:pPr>
      <w:r w:rsidRPr="008A2B8F">
        <w:rPr>
          <w:rFonts w:ascii="Meta Pro" w:eastAsia="Times New Roman" w:hAnsi="Meta Pro"/>
          <w:color w:val="000000"/>
          <w:szCs w:val="18"/>
          <w:lang w:eastAsia="en-AU"/>
        </w:rPr>
        <w:t xml:space="preserve">   are maintained in Customer Service Centres and RoadTek continuing to deliver an increasing infrastructure program</w:t>
      </w:r>
    </w:p>
    <w:p w14:paraId="40DC154C" w14:textId="77777777" w:rsidR="00BC5219" w:rsidRPr="008A2B8F" w:rsidRDefault="00BC5219" w:rsidP="00BC5219">
      <w:pPr>
        <w:spacing w:line="259" w:lineRule="auto"/>
        <w:rPr>
          <w:rFonts w:ascii="Meta Pro" w:eastAsia="Times New Roman" w:hAnsi="Meta Pro"/>
          <w:color w:val="000000"/>
          <w:szCs w:val="18"/>
          <w:lang w:eastAsia="en-AU"/>
        </w:rPr>
      </w:pPr>
      <w:r w:rsidRPr="008A2B8F">
        <w:rPr>
          <w:rFonts w:ascii="Meta Pro" w:eastAsia="Times New Roman" w:hAnsi="Meta Pro"/>
          <w:color w:val="000000"/>
          <w:szCs w:val="18"/>
          <w:lang w:eastAsia="en-AU"/>
        </w:rPr>
        <w:t>• $17.660m lower than budgeted employee costs being charged to capital programs leading to these costs being reported in the</w:t>
      </w:r>
    </w:p>
    <w:p w14:paraId="5629D023" w14:textId="77777777" w:rsidR="00BC5219" w:rsidRPr="008A2B8F" w:rsidRDefault="00BC5219" w:rsidP="00BC5219">
      <w:pPr>
        <w:spacing w:line="259" w:lineRule="auto"/>
        <w:rPr>
          <w:rFonts w:ascii="Meta Pro" w:eastAsia="Times New Roman" w:hAnsi="Meta Pro"/>
          <w:color w:val="000000"/>
          <w:szCs w:val="18"/>
          <w:lang w:eastAsia="en-AU"/>
        </w:rPr>
      </w:pPr>
      <w:r w:rsidRPr="008A2B8F">
        <w:rPr>
          <w:rFonts w:ascii="Meta Pro" w:eastAsia="Times New Roman" w:hAnsi="Meta Pro"/>
          <w:color w:val="000000"/>
          <w:szCs w:val="18"/>
          <w:lang w:eastAsia="en-AU"/>
        </w:rPr>
        <w:t xml:space="preserve">   Statement of comprehensive income</w:t>
      </w:r>
    </w:p>
    <w:p w14:paraId="1D22C328" w14:textId="77777777" w:rsidR="00BC5219" w:rsidRPr="008A2B8F" w:rsidRDefault="00BC5219" w:rsidP="00BC5219">
      <w:pPr>
        <w:rPr>
          <w:rFonts w:ascii="Meta Pro" w:eastAsia="Times New Roman" w:hAnsi="Meta Pro"/>
          <w:color w:val="000000"/>
          <w:szCs w:val="18"/>
          <w:lang w:eastAsia="en-AU"/>
        </w:rPr>
      </w:pPr>
      <w:r w:rsidRPr="008A2B8F">
        <w:rPr>
          <w:rFonts w:ascii="Meta Pro" w:eastAsia="Times New Roman" w:hAnsi="Meta Pro"/>
          <w:szCs w:val="18"/>
          <w:lang w:eastAsia="en-AU"/>
        </w:rPr>
        <w:t>•</w:t>
      </w:r>
      <w:r w:rsidRPr="008A2B8F">
        <w:rPr>
          <w:rFonts w:ascii="Meta Pro" w:eastAsia="Times New Roman" w:hAnsi="Meta Pro"/>
          <w:color w:val="000000"/>
          <w:szCs w:val="18"/>
          <w:lang w:eastAsia="en-AU"/>
        </w:rPr>
        <w:t xml:space="preserve"> $17.615m </w:t>
      </w:r>
      <w:r>
        <w:rPr>
          <w:rFonts w:ascii="Meta Pro" w:eastAsia="Times New Roman" w:hAnsi="Meta Pro"/>
          <w:color w:val="000000"/>
          <w:szCs w:val="18"/>
          <w:lang w:eastAsia="en-AU"/>
        </w:rPr>
        <w:t xml:space="preserve">of </w:t>
      </w:r>
      <w:r w:rsidRPr="008A2B8F">
        <w:rPr>
          <w:rFonts w:ascii="Meta Pro" w:eastAsia="Times New Roman" w:hAnsi="Meta Pro"/>
          <w:color w:val="000000"/>
          <w:szCs w:val="18"/>
          <w:lang w:eastAsia="en-AU"/>
        </w:rPr>
        <w:t xml:space="preserve">QGCDG expenses which had not been allocated in the original Department of Transport and Main Roads </w:t>
      </w:r>
    </w:p>
    <w:p w14:paraId="59A59359" w14:textId="77777777" w:rsidR="00BC5219" w:rsidRDefault="00BC5219" w:rsidP="00BC5219">
      <w:pPr>
        <w:rPr>
          <w:rFonts w:ascii="Meta Pro" w:eastAsia="Times New Roman" w:hAnsi="Meta Pro"/>
          <w:color w:val="000000"/>
          <w:szCs w:val="18"/>
          <w:lang w:eastAsia="en-AU"/>
        </w:rPr>
      </w:pPr>
      <w:r w:rsidRPr="008A2B8F">
        <w:rPr>
          <w:rFonts w:ascii="Meta Pro" w:eastAsia="Times New Roman" w:hAnsi="Meta Pro"/>
          <w:color w:val="000000"/>
          <w:szCs w:val="18"/>
          <w:lang w:eastAsia="en-AU"/>
        </w:rPr>
        <w:t xml:space="preserve">    budget due to budget development occurring prior to the 18 May 2023 machinery-of-government change</w:t>
      </w:r>
    </w:p>
    <w:p w14:paraId="4012918D" w14:textId="77777777" w:rsidR="00BC5219" w:rsidRPr="00422482" w:rsidRDefault="00BC5219" w:rsidP="00BC5219">
      <w:pPr>
        <w:pStyle w:val="ListParagraph"/>
        <w:numPr>
          <w:ilvl w:val="0"/>
          <w:numId w:val="5"/>
        </w:numPr>
        <w:spacing w:before="0" w:line="259" w:lineRule="auto"/>
        <w:ind w:left="142" w:hanging="142"/>
        <w:rPr>
          <w:rFonts w:ascii="Meta Pro" w:eastAsia="Times New Roman" w:hAnsi="Meta Pro"/>
          <w:color w:val="000000"/>
          <w:szCs w:val="18"/>
          <w:lang w:eastAsia="en-AU"/>
        </w:rPr>
      </w:pPr>
      <w:r w:rsidRPr="00422482">
        <w:rPr>
          <w:rFonts w:ascii="Meta Pro" w:eastAsia="Times New Roman" w:hAnsi="Meta Pro"/>
          <w:color w:val="000000"/>
          <w:szCs w:val="18"/>
          <w:lang w:eastAsia="en-AU"/>
        </w:rPr>
        <w:t>Offset by ($16.718m) relating to Enterprise Bargaining Agreement funding included in the published budget, which was not</w:t>
      </w:r>
    </w:p>
    <w:p w14:paraId="2366AE5C" w14:textId="77777777" w:rsidR="00BC5219" w:rsidRPr="008A2B8F" w:rsidRDefault="00BC5219" w:rsidP="00BC5219">
      <w:pPr>
        <w:spacing w:line="259" w:lineRule="auto"/>
        <w:rPr>
          <w:rFonts w:ascii="Meta Pro" w:eastAsia="Times New Roman" w:hAnsi="Meta Pro"/>
          <w:color w:val="000000"/>
          <w:szCs w:val="18"/>
          <w:lang w:eastAsia="en-AU"/>
        </w:rPr>
      </w:pPr>
      <w:r w:rsidRPr="008A2B8F">
        <w:rPr>
          <w:rFonts w:ascii="Meta Pro" w:eastAsia="Times New Roman" w:hAnsi="Meta Pro"/>
          <w:color w:val="000000"/>
          <w:szCs w:val="18"/>
          <w:lang w:eastAsia="en-AU"/>
        </w:rPr>
        <w:t xml:space="preserve">    incurred as the enterprise agreement was not ratified during the financial year.</w:t>
      </w:r>
    </w:p>
    <w:p w14:paraId="353BB49F" w14:textId="77777777" w:rsidR="00BC5219" w:rsidRPr="008A2B8F" w:rsidRDefault="00BC5219" w:rsidP="00BC5219">
      <w:pPr>
        <w:spacing w:before="60"/>
        <w:rPr>
          <w:rFonts w:ascii="Meta Pro" w:eastAsia="Times New Roman" w:hAnsi="Meta Pro"/>
          <w:i/>
          <w:iCs/>
          <w:color w:val="000000" w:themeColor="text1"/>
          <w:lang w:eastAsia="en-AU"/>
        </w:rPr>
      </w:pPr>
      <w:r w:rsidRPr="008A2B8F">
        <w:rPr>
          <w:rFonts w:ascii="Meta Pro" w:eastAsia="Times New Roman" w:hAnsi="Meta Pro"/>
          <w:i/>
          <w:iCs/>
          <w:color w:val="000000" w:themeColor="text1"/>
          <w:lang w:eastAsia="en-AU"/>
        </w:rPr>
        <w:t>Department of Transport and Main Roads</w:t>
      </w:r>
    </w:p>
    <w:p w14:paraId="4E8D1040"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Notes to the financial statements 2022–23 (continued)</w:t>
      </w:r>
    </w:p>
    <w:p w14:paraId="14B554F3" w14:textId="77777777" w:rsidR="00BC5219" w:rsidRDefault="00BC5219" w:rsidP="00BC5219">
      <w:pPr>
        <w:spacing w:line="259" w:lineRule="auto"/>
        <w:rPr>
          <w:rFonts w:ascii="Meta Pro" w:eastAsia="Times New Roman" w:hAnsi="Meta Pro"/>
          <w:b/>
          <w:bCs/>
          <w:color w:val="000000"/>
          <w:lang w:eastAsia="en-AU"/>
        </w:rPr>
      </w:pPr>
    </w:p>
    <w:p w14:paraId="0B889EC2" w14:textId="77777777" w:rsidR="00BC5219" w:rsidRDefault="00BC5219" w:rsidP="00BC5219">
      <w:pPr>
        <w:spacing w:after="120" w:line="259" w:lineRule="auto"/>
        <w:rPr>
          <w:rFonts w:ascii="Meta Pro" w:eastAsia="Times New Roman" w:hAnsi="Meta Pro"/>
          <w:b/>
          <w:bCs/>
          <w:color w:val="000000"/>
          <w:lang w:eastAsia="en-AU"/>
        </w:rPr>
      </w:pPr>
      <w:r w:rsidRPr="008A2B8F">
        <w:rPr>
          <w:rFonts w:ascii="Meta Pro" w:eastAsia="Times New Roman" w:hAnsi="Meta Pro"/>
          <w:b/>
          <w:bCs/>
          <w:color w:val="000000"/>
          <w:lang w:eastAsia="en-AU"/>
        </w:rPr>
        <w:t>30     BUDGETARY REPORTING (continued)</w:t>
      </w:r>
    </w:p>
    <w:p w14:paraId="133F3FF6" w14:textId="77777777" w:rsidR="00BC5219" w:rsidRDefault="00BC5219" w:rsidP="00BC5219">
      <w:pPr>
        <w:spacing w:after="120" w:line="259" w:lineRule="auto"/>
        <w:rPr>
          <w:rFonts w:ascii="Meta Pro" w:eastAsia="Times New Roman" w:hAnsi="Meta Pro"/>
          <w:b/>
          <w:bCs/>
          <w:szCs w:val="18"/>
          <w:lang w:eastAsia="en-AU"/>
        </w:rPr>
      </w:pPr>
      <w:r w:rsidRPr="008A2B8F">
        <w:rPr>
          <w:rFonts w:ascii="Meta Pro" w:eastAsia="Times New Roman" w:hAnsi="Meta Pro"/>
          <w:b/>
          <w:bCs/>
          <w:szCs w:val="18"/>
          <w:lang w:eastAsia="en-AU"/>
        </w:rPr>
        <w:t>STATEMENT OF COMPREHENSIVE INCOME</w:t>
      </w:r>
      <w:r>
        <w:rPr>
          <w:rFonts w:ascii="Meta Pro" w:eastAsia="Times New Roman" w:hAnsi="Meta Pro"/>
          <w:b/>
          <w:bCs/>
          <w:szCs w:val="18"/>
          <w:lang w:eastAsia="en-AU"/>
        </w:rPr>
        <w:t xml:space="preserve"> (continued)</w:t>
      </w:r>
    </w:p>
    <w:p w14:paraId="7C857EC7" w14:textId="77777777" w:rsidR="00BC5219" w:rsidRDefault="00BC5219" w:rsidP="00BC5219">
      <w:pPr>
        <w:spacing w:before="120" w:line="259" w:lineRule="auto"/>
        <w:rPr>
          <w:rFonts w:ascii="Meta Pro" w:eastAsia="Times New Roman" w:hAnsi="Meta Pro"/>
          <w:b/>
          <w:bCs/>
          <w:color w:val="000000"/>
          <w:szCs w:val="18"/>
          <w:lang w:eastAsia="en-AU"/>
        </w:rPr>
      </w:pPr>
      <w:r w:rsidRPr="008A2B8F">
        <w:rPr>
          <w:rFonts w:ascii="Meta Pro" w:eastAsia="Times New Roman" w:hAnsi="Meta Pro"/>
          <w:b/>
          <w:bCs/>
          <w:color w:val="000000"/>
          <w:szCs w:val="18"/>
          <w:lang w:eastAsia="en-AU"/>
        </w:rPr>
        <w:t>Explanation of major variances</w:t>
      </w:r>
      <w:r>
        <w:rPr>
          <w:rFonts w:ascii="Meta Pro" w:eastAsia="Times New Roman" w:hAnsi="Meta Pro"/>
          <w:b/>
          <w:bCs/>
          <w:color w:val="000000"/>
          <w:szCs w:val="18"/>
          <w:lang w:eastAsia="en-AU"/>
        </w:rPr>
        <w:t xml:space="preserve"> (continued)</w:t>
      </w:r>
    </w:p>
    <w:p w14:paraId="285DA443" w14:textId="77777777" w:rsidR="00BC5219" w:rsidRPr="008A2B8F" w:rsidRDefault="00BC5219" w:rsidP="00BC5219">
      <w:pPr>
        <w:spacing w:before="60" w:line="259" w:lineRule="auto"/>
        <w:rPr>
          <w:rFonts w:ascii="Meta Pro" w:eastAsia="Times New Roman" w:hAnsi="Meta Pro"/>
          <w:b/>
          <w:bCs/>
          <w:i/>
          <w:iCs/>
          <w:color w:val="000000"/>
          <w:szCs w:val="18"/>
          <w:lang w:eastAsia="en-AU"/>
        </w:rPr>
      </w:pPr>
      <w:r w:rsidRPr="008A2B8F">
        <w:rPr>
          <w:rFonts w:ascii="Meta Pro" w:eastAsia="Times New Roman" w:hAnsi="Meta Pro"/>
          <w:b/>
          <w:bCs/>
          <w:i/>
          <w:iCs/>
          <w:color w:val="000000"/>
          <w:szCs w:val="18"/>
          <w:lang w:eastAsia="en-AU"/>
        </w:rPr>
        <w:t>Finance and borrowing costs</w:t>
      </w:r>
    </w:p>
    <w:p w14:paraId="2B735D82" w14:textId="77777777" w:rsidR="00BC5219" w:rsidRPr="008A2B8F" w:rsidRDefault="00BC5219" w:rsidP="00BC5219">
      <w:pPr>
        <w:spacing w:line="259" w:lineRule="auto"/>
        <w:rPr>
          <w:rFonts w:ascii="Meta Pro" w:eastAsia="Times New Roman" w:hAnsi="Meta Pro"/>
          <w:color w:val="000000"/>
          <w:szCs w:val="18"/>
          <w:lang w:eastAsia="en-AU"/>
        </w:rPr>
      </w:pPr>
      <w:r w:rsidRPr="008A2B8F">
        <w:rPr>
          <w:rFonts w:ascii="Meta Pro" w:eastAsia="Times New Roman" w:hAnsi="Meta Pro"/>
          <w:color w:val="000000"/>
          <w:szCs w:val="18"/>
          <w:lang w:eastAsia="en-AU"/>
        </w:rPr>
        <w:t>Variance of</w:t>
      </w:r>
      <w:r w:rsidRPr="008A2B8F">
        <w:rPr>
          <w:rFonts w:ascii="Meta Pro" w:eastAsia="Times New Roman" w:hAnsi="Meta Pro"/>
          <w:color w:val="FF0000"/>
          <w:szCs w:val="18"/>
          <w:lang w:eastAsia="en-AU"/>
        </w:rPr>
        <w:t xml:space="preserve"> </w:t>
      </w:r>
      <w:r w:rsidRPr="008A2B8F">
        <w:rPr>
          <w:rFonts w:ascii="Meta Pro" w:eastAsia="Times New Roman" w:hAnsi="Meta Pro"/>
          <w:color w:val="000000"/>
          <w:szCs w:val="18"/>
          <w:lang w:eastAsia="en-AU"/>
        </w:rPr>
        <w:t>$21.621m mainly reflects $17.756m over budget due to the floating interest rate experiencing a significant increase for the New Generation Rollingstock borrowing arrangement and $3.490m related to recognition of the service concession arrangement interest cost for Gold Coast Light Rail Stage 3.</w:t>
      </w:r>
    </w:p>
    <w:p w14:paraId="03D6FC6D" w14:textId="77777777" w:rsidR="00BC5219" w:rsidRPr="008A2B8F" w:rsidRDefault="00BC5219" w:rsidP="00BC5219">
      <w:pPr>
        <w:spacing w:before="60" w:line="259" w:lineRule="auto"/>
        <w:rPr>
          <w:rFonts w:ascii="Meta Pro" w:eastAsia="Times New Roman" w:hAnsi="Meta Pro"/>
          <w:b/>
          <w:bCs/>
          <w:i/>
          <w:iCs/>
          <w:color w:val="000000"/>
          <w:szCs w:val="18"/>
          <w:lang w:eastAsia="en-AU"/>
        </w:rPr>
      </w:pPr>
      <w:r w:rsidRPr="008A2B8F">
        <w:rPr>
          <w:rFonts w:ascii="Meta Pro" w:eastAsia="Times New Roman" w:hAnsi="Meta Pro"/>
          <w:b/>
          <w:bCs/>
          <w:i/>
          <w:iCs/>
          <w:color w:val="000000"/>
          <w:szCs w:val="18"/>
          <w:lang w:eastAsia="en-AU"/>
        </w:rPr>
        <w:t>Increase in asset revaluation surplus</w:t>
      </w:r>
    </w:p>
    <w:p w14:paraId="699E9DEA" w14:textId="77777777" w:rsidR="00BC5219" w:rsidRDefault="00BC5219" w:rsidP="00BC5219">
      <w:pPr>
        <w:spacing w:before="60" w:line="259" w:lineRule="auto"/>
        <w:rPr>
          <w:rFonts w:ascii="Meta Pro" w:eastAsia="Times New Roman" w:hAnsi="Meta Pro"/>
          <w:color w:val="000000"/>
          <w:szCs w:val="18"/>
          <w:lang w:eastAsia="en-AU"/>
        </w:rPr>
      </w:pPr>
      <w:r w:rsidRPr="008A2B8F">
        <w:rPr>
          <w:rFonts w:ascii="Meta Pro" w:eastAsia="Times New Roman" w:hAnsi="Meta Pro"/>
          <w:color w:val="000000"/>
          <w:szCs w:val="18"/>
          <w:lang w:eastAsia="en-AU"/>
        </w:rPr>
        <w:t>Variance of $15,103m mainly consists of a revaluation increment for infrastructure assets as a result of the annual revaluation for 2022–23. A budget was not allocated due to the unavailability of reliable measures for future movement in replacement costs of existing and new infrastructure assets.</w:t>
      </w:r>
    </w:p>
    <w:p w14:paraId="051CFC51" w14:textId="77777777" w:rsidR="00BC5219" w:rsidRDefault="00BC5219" w:rsidP="00BC5219">
      <w:pPr>
        <w:spacing w:after="120" w:line="259" w:lineRule="auto"/>
        <w:rPr>
          <w:rFonts w:asciiTheme="minorHAnsi" w:hAnsiTheme="minorHAnsi" w:cstheme="minorBidi"/>
        </w:rPr>
      </w:pPr>
    </w:p>
    <w:tbl>
      <w:tblPr>
        <w:tblW w:w="0" w:type="auto"/>
        <w:tblCellMar>
          <w:left w:w="0" w:type="dxa"/>
        </w:tblCellMar>
        <w:tblLook w:val="04A0" w:firstRow="1" w:lastRow="0" w:firstColumn="1" w:lastColumn="0" w:noHBand="0" w:noVBand="1"/>
      </w:tblPr>
      <w:tblGrid>
        <w:gridCol w:w="6358"/>
        <w:gridCol w:w="1165"/>
        <w:gridCol w:w="206"/>
        <w:gridCol w:w="1146"/>
        <w:gridCol w:w="206"/>
        <w:gridCol w:w="1165"/>
      </w:tblGrid>
      <w:tr w:rsidR="00BC5219" w:rsidRPr="00F07C24" w14:paraId="03FB7985" w14:textId="77777777" w:rsidTr="00E83802">
        <w:trPr>
          <w:trHeight w:val="198"/>
        </w:trPr>
        <w:tc>
          <w:tcPr>
            <w:tcW w:w="6350" w:type="dxa"/>
            <w:tcBorders>
              <w:top w:val="nil"/>
              <w:left w:val="nil"/>
              <w:bottom w:val="nil"/>
              <w:right w:val="nil"/>
            </w:tcBorders>
            <w:shd w:val="clear" w:color="auto" w:fill="auto"/>
            <w:noWrap/>
            <w:hideMark/>
          </w:tcPr>
          <w:p w14:paraId="44086EE4" w14:textId="77777777" w:rsidR="00BC5219" w:rsidRPr="00F07C24" w:rsidRDefault="00BC5219" w:rsidP="00E83802">
            <w:pPr>
              <w:rPr>
                <w:rFonts w:ascii="Meta Pro" w:eastAsia="Times New Roman" w:hAnsi="Meta Pro"/>
                <w:b/>
                <w:bCs/>
                <w:szCs w:val="18"/>
                <w:lang w:eastAsia="en-AU"/>
              </w:rPr>
            </w:pPr>
            <w:r w:rsidRPr="00F07C24">
              <w:rPr>
                <w:rFonts w:ascii="Meta Pro" w:eastAsia="Times New Roman" w:hAnsi="Meta Pro"/>
                <w:b/>
                <w:bCs/>
                <w:szCs w:val="18"/>
                <w:lang w:eastAsia="en-AU"/>
              </w:rPr>
              <w:t>STATEMENT OF FINANCIAL POSITION</w:t>
            </w:r>
          </w:p>
        </w:tc>
        <w:tc>
          <w:tcPr>
            <w:tcW w:w="1157" w:type="dxa"/>
            <w:tcBorders>
              <w:top w:val="nil"/>
              <w:left w:val="nil"/>
              <w:bottom w:val="nil"/>
              <w:right w:val="nil"/>
            </w:tcBorders>
            <w:shd w:val="clear" w:color="auto" w:fill="auto"/>
            <w:hideMark/>
          </w:tcPr>
          <w:p w14:paraId="1292F4E7" w14:textId="77777777" w:rsidR="00BC5219" w:rsidRPr="00F07C24" w:rsidRDefault="00BC5219" w:rsidP="00E83802">
            <w:pPr>
              <w:jc w:val="center"/>
              <w:rPr>
                <w:rFonts w:ascii="Meta Pro" w:eastAsia="Times New Roman" w:hAnsi="Meta Pro"/>
                <w:b/>
                <w:bCs/>
                <w:szCs w:val="18"/>
                <w:lang w:eastAsia="en-AU"/>
              </w:rPr>
            </w:pPr>
            <w:r w:rsidRPr="00F07C24">
              <w:rPr>
                <w:rFonts w:ascii="Meta Pro" w:eastAsia="Times New Roman" w:hAnsi="Meta Pro"/>
                <w:b/>
                <w:bCs/>
                <w:szCs w:val="18"/>
                <w:lang w:eastAsia="en-AU"/>
              </w:rPr>
              <w:t xml:space="preserve">Original budget </w:t>
            </w:r>
          </w:p>
        </w:tc>
        <w:tc>
          <w:tcPr>
            <w:tcW w:w="198" w:type="dxa"/>
            <w:tcBorders>
              <w:top w:val="nil"/>
              <w:left w:val="nil"/>
              <w:bottom w:val="nil"/>
              <w:right w:val="nil"/>
            </w:tcBorders>
            <w:shd w:val="clear" w:color="auto" w:fill="auto"/>
            <w:hideMark/>
          </w:tcPr>
          <w:p w14:paraId="2AC9EDC1" w14:textId="77777777" w:rsidR="00BC5219" w:rsidRPr="00F07C24" w:rsidRDefault="00BC5219" w:rsidP="00E83802">
            <w:pPr>
              <w:jc w:val="center"/>
              <w:rPr>
                <w:rFonts w:ascii="Meta Pro" w:eastAsia="Times New Roman" w:hAnsi="Meta Pro"/>
                <w:b/>
                <w:bCs/>
                <w:szCs w:val="18"/>
                <w:lang w:eastAsia="en-AU"/>
              </w:rPr>
            </w:pPr>
          </w:p>
        </w:tc>
        <w:tc>
          <w:tcPr>
            <w:tcW w:w="1138" w:type="dxa"/>
            <w:tcBorders>
              <w:top w:val="nil"/>
              <w:left w:val="nil"/>
              <w:bottom w:val="nil"/>
              <w:right w:val="nil"/>
            </w:tcBorders>
            <w:shd w:val="clear" w:color="auto" w:fill="auto"/>
            <w:hideMark/>
          </w:tcPr>
          <w:p w14:paraId="1FB2C28F" w14:textId="77777777" w:rsidR="00BC5219" w:rsidRPr="00F07C24" w:rsidRDefault="00BC5219" w:rsidP="00E83802">
            <w:pPr>
              <w:jc w:val="center"/>
              <w:rPr>
                <w:rFonts w:ascii="Meta Pro" w:eastAsia="Times New Roman" w:hAnsi="Meta Pro"/>
                <w:b/>
                <w:bCs/>
                <w:szCs w:val="18"/>
                <w:lang w:eastAsia="en-AU"/>
              </w:rPr>
            </w:pPr>
            <w:r w:rsidRPr="00F07C24">
              <w:rPr>
                <w:rFonts w:ascii="Meta Pro" w:eastAsia="Times New Roman" w:hAnsi="Meta Pro"/>
                <w:b/>
                <w:bCs/>
                <w:szCs w:val="18"/>
                <w:lang w:eastAsia="en-AU"/>
              </w:rPr>
              <w:t>Actual</w:t>
            </w:r>
            <w:r w:rsidRPr="00F07C24">
              <w:rPr>
                <w:rFonts w:ascii="Meta Pro" w:eastAsia="Times New Roman" w:hAnsi="Meta Pro"/>
                <w:b/>
                <w:bCs/>
                <w:szCs w:val="18"/>
                <w:lang w:eastAsia="en-AU"/>
              </w:rPr>
              <w:br/>
              <w:t>result</w:t>
            </w:r>
          </w:p>
        </w:tc>
        <w:tc>
          <w:tcPr>
            <w:tcW w:w="198" w:type="dxa"/>
            <w:tcBorders>
              <w:top w:val="nil"/>
              <w:left w:val="nil"/>
              <w:bottom w:val="nil"/>
              <w:right w:val="nil"/>
            </w:tcBorders>
            <w:shd w:val="clear" w:color="auto" w:fill="auto"/>
            <w:hideMark/>
          </w:tcPr>
          <w:p w14:paraId="27DE9954" w14:textId="77777777" w:rsidR="00BC5219" w:rsidRPr="00F07C24" w:rsidRDefault="00BC5219" w:rsidP="00E83802">
            <w:pPr>
              <w:jc w:val="center"/>
              <w:rPr>
                <w:rFonts w:ascii="Meta Pro" w:eastAsia="Times New Roman" w:hAnsi="Meta Pro"/>
                <w:b/>
                <w:bCs/>
                <w:szCs w:val="18"/>
                <w:lang w:eastAsia="en-AU"/>
              </w:rPr>
            </w:pPr>
          </w:p>
        </w:tc>
        <w:tc>
          <w:tcPr>
            <w:tcW w:w="1157" w:type="dxa"/>
            <w:tcBorders>
              <w:top w:val="nil"/>
              <w:left w:val="nil"/>
              <w:bottom w:val="nil"/>
              <w:right w:val="nil"/>
            </w:tcBorders>
            <w:shd w:val="clear" w:color="auto" w:fill="auto"/>
            <w:hideMark/>
          </w:tcPr>
          <w:p w14:paraId="21ACF9E5" w14:textId="77777777" w:rsidR="00BC5219" w:rsidRPr="00F07C24" w:rsidRDefault="00BC5219" w:rsidP="00E83802">
            <w:pPr>
              <w:jc w:val="center"/>
              <w:rPr>
                <w:rFonts w:ascii="Meta Pro" w:eastAsia="Times New Roman" w:hAnsi="Meta Pro"/>
                <w:b/>
                <w:bCs/>
                <w:szCs w:val="18"/>
                <w:lang w:eastAsia="en-AU"/>
              </w:rPr>
            </w:pPr>
            <w:r w:rsidRPr="00F07C24">
              <w:rPr>
                <w:rFonts w:ascii="Meta Pro" w:eastAsia="Times New Roman" w:hAnsi="Meta Pro"/>
                <w:b/>
                <w:bCs/>
                <w:szCs w:val="18"/>
                <w:lang w:eastAsia="en-AU"/>
              </w:rPr>
              <w:t>Variance</w:t>
            </w:r>
          </w:p>
        </w:tc>
      </w:tr>
      <w:tr w:rsidR="00BC5219" w:rsidRPr="00F07C24" w14:paraId="6A7D9396" w14:textId="77777777" w:rsidTr="00E83802">
        <w:trPr>
          <w:trHeight w:val="198"/>
        </w:trPr>
        <w:tc>
          <w:tcPr>
            <w:tcW w:w="6350" w:type="dxa"/>
            <w:tcBorders>
              <w:top w:val="nil"/>
              <w:left w:val="nil"/>
              <w:bottom w:val="nil"/>
              <w:right w:val="nil"/>
            </w:tcBorders>
            <w:shd w:val="clear" w:color="auto" w:fill="auto"/>
            <w:noWrap/>
            <w:vAlign w:val="center"/>
            <w:hideMark/>
          </w:tcPr>
          <w:p w14:paraId="6171A70D" w14:textId="77777777" w:rsidR="00BC5219" w:rsidRPr="00F07C24" w:rsidRDefault="00BC5219" w:rsidP="00E83802">
            <w:pPr>
              <w:jc w:val="center"/>
              <w:rPr>
                <w:rFonts w:ascii="Meta Pro" w:eastAsia="Times New Roman" w:hAnsi="Meta Pro"/>
                <w:b/>
                <w:bCs/>
                <w:szCs w:val="18"/>
                <w:lang w:eastAsia="en-AU"/>
              </w:rPr>
            </w:pPr>
          </w:p>
        </w:tc>
        <w:tc>
          <w:tcPr>
            <w:tcW w:w="1157" w:type="dxa"/>
            <w:tcBorders>
              <w:top w:val="nil"/>
              <w:left w:val="nil"/>
              <w:bottom w:val="nil"/>
              <w:right w:val="nil"/>
            </w:tcBorders>
            <w:shd w:val="clear" w:color="auto" w:fill="auto"/>
            <w:hideMark/>
          </w:tcPr>
          <w:p w14:paraId="60227F5A" w14:textId="77777777" w:rsidR="00BC5219" w:rsidRPr="00F07C24" w:rsidRDefault="00BC5219" w:rsidP="00E83802">
            <w:pPr>
              <w:jc w:val="center"/>
              <w:rPr>
                <w:rFonts w:ascii="Meta Pro" w:eastAsia="Times New Roman" w:hAnsi="Meta Pro"/>
                <w:b/>
                <w:bCs/>
                <w:szCs w:val="18"/>
                <w:lang w:eastAsia="en-AU"/>
              </w:rPr>
            </w:pPr>
            <w:r w:rsidRPr="00F07C24">
              <w:rPr>
                <w:rFonts w:ascii="Meta Pro" w:eastAsia="Times New Roman" w:hAnsi="Meta Pro"/>
                <w:b/>
                <w:bCs/>
                <w:szCs w:val="18"/>
                <w:lang w:eastAsia="en-AU"/>
              </w:rPr>
              <w:t>2023</w:t>
            </w:r>
            <w:r w:rsidRPr="00F07C24">
              <w:rPr>
                <w:rFonts w:ascii="Meta Pro" w:eastAsia="Times New Roman" w:hAnsi="Meta Pro"/>
                <w:b/>
                <w:bCs/>
                <w:szCs w:val="18"/>
                <w:lang w:eastAsia="en-AU"/>
              </w:rPr>
              <w:br/>
              <w:t>$'000</w:t>
            </w:r>
          </w:p>
        </w:tc>
        <w:tc>
          <w:tcPr>
            <w:tcW w:w="198" w:type="dxa"/>
            <w:tcBorders>
              <w:top w:val="nil"/>
              <w:left w:val="nil"/>
              <w:bottom w:val="nil"/>
              <w:right w:val="nil"/>
            </w:tcBorders>
            <w:shd w:val="clear" w:color="auto" w:fill="auto"/>
            <w:hideMark/>
          </w:tcPr>
          <w:p w14:paraId="267C9389" w14:textId="77777777" w:rsidR="00BC5219" w:rsidRPr="00F07C24" w:rsidRDefault="00BC5219" w:rsidP="00E83802">
            <w:pPr>
              <w:jc w:val="center"/>
              <w:rPr>
                <w:rFonts w:ascii="Meta Pro" w:eastAsia="Times New Roman" w:hAnsi="Meta Pro"/>
                <w:b/>
                <w:bCs/>
                <w:szCs w:val="18"/>
                <w:lang w:eastAsia="en-AU"/>
              </w:rPr>
            </w:pPr>
          </w:p>
        </w:tc>
        <w:tc>
          <w:tcPr>
            <w:tcW w:w="1138" w:type="dxa"/>
            <w:tcBorders>
              <w:top w:val="nil"/>
              <w:left w:val="nil"/>
              <w:bottom w:val="nil"/>
              <w:right w:val="nil"/>
            </w:tcBorders>
            <w:shd w:val="clear" w:color="auto" w:fill="auto"/>
            <w:hideMark/>
          </w:tcPr>
          <w:p w14:paraId="1434C191" w14:textId="77777777" w:rsidR="00BC5219" w:rsidRPr="00F07C24" w:rsidRDefault="00BC5219" w:rsidP="00E83802">
            <w:pPr>
              <w:jc w:val="center"/>
              <w:rPr>
                <w:rFonts w:ascii="Meta Pro" w:eastAsia="Times New Roman" w:hAnsi="Meta Pro"/>
                <w:b/>
                <w:bCs/>
                <w:szCs w:val="18"/>
                <w:lang w:eastAsia="en-AU"/>
              </w:rPr>
            </w:pPr>
            <w:r w:rsidRPr="00F07C24">
              <w:rPr>
                <w:rFonts w:ascii="Meta Pro" w:eastAsia="Times New Roman" w:hAnsi="Meta Pro"/>
                <w:b/>
                <w:bCs/>
                <w:szCs w:val="18"/>
                <w:lang w:eastAsia="en-AU"/>
              </w:rPr>
              <w:t>2023</w:t>
            </w:r>
            <w:r w:rsidRPr="00F07C24">
              <w:rPr>
                <w:rFonts w:ascii="Meta Pro" w:eastAsia="Times New Roman" w:hAnsi="Meta Pro"/>
                <w:b/>
                <w:bCs/>
                <w:szCs w:val="18"/>
                <w:lang w:eastAsia="en-AU"/>
              </w:rPr>
              <w:br/>
              <w:t>$'000</w:t>
            </w:r>
          </w:p>
        </w:tc>
        <w:tc>
          <w:tcPr>
            <w:tcW w:w="198" w:type="dxa"/>
            <w:tcBorders>
              <w:top w:val="nil"/>
              <w:left w:val="nil"/>
              <w:bottom w:val="nil"/>
              <w:right w:val="nil"/>
            </w:tcBorders>
            <w:shd w:val="clear" w:color="auto" w:fill="auto"/>
            <w:hideMark/>
          </w:tcPr>
          <w:p w14:paraId="46F2A680" w14:textId="77777777" w:rsidR="00BC5219" w:rsidRPr="00F07C24" w:rsidRDefault="00BC5219" w:rsidP="00E83802">
            <w:pPr>
              <w:jc w:val="center"/>
              <w:rPr>
                <w:rFonts w:ascii="Meta Pro" w:eastAsia="Times New Roman" w:hAnsi="Meta Pro"/>
                <w:b/>
                <w:bCs/>
                <w:szCs w:val="18"/>
                <w:lang w:eastAsia="en-AU"/>
              </w:rPr>
            </w:pPr>
          </w:p>
        </w:tc>
        <w:tc>
          <w:tcPr>
            <w:tcW w:w="1157" w:type="dxa"/>
            <w:tcBorders>
              <w:top w:val="nil"/>
              <w:left w:val="nil"/>
              <w:bottom w:val="nil"/>
              <w:right w:val="nil"/>
            </w:tcBorders>
            <w:shd w:val="clear" w:color="auto" w:fill="auto"/>
            <w:hideMark/>
          </w:tcPr>
          <w:p w14:paraId="65EA59A2" w14:textId="77777777" w:rsidR="00BC5219" w:rsidRPr="00F07C24" w:rsidRDefault="00BC5219" w:rsidP="00E83802">
            <w:pPr>
              <w:jc w:val="center"/>
              <w:rPr>
                <w:rFonts w:ascii="Meta Pro" w:eastAsia="Times New Roman" w:hAnsi="Meta Pro"/>
                <w:b/>
                <w:bCs/>
                <w:szCs w:val="18"/>
                <w:lang w:eastAsia="en-AU"/>
              </w:rPr>
            </w:pPr>
            <w:r w:rsidRPr="00F07C24">
              <w:rPr>
                <w:rFonts w:ascii="Meta Pro" w:eastAsia="Times New Roman" w:hAnsi="Meta Pro"/>
                <w:b/>
                <w:bCs/>
                <w:szCs w:val="18"/>
                <w:lang w:eastAsia="en-AU"/>
              </w:rPr>
              <w:t>2023</w:t>
            </w:r>
            <w:r w:rsidRPr="00F07C24">
              <w:rPr>
                <w:rFonts w:ascii="Meta Pro" w:eastAsia="Times New Roman" w:hAnsi="Meta Pro"/>
                <w:b/>
                <w:bCs/>
                <w:szCs w:val="18"/>
                <w:lang w:eastAsia="en-AU"/>
              </w:rPr>
              <w:br/>
              <w:t>$'000</w:t>
            </w:r>
          </w:p>
        </w:tc>
      </w:tr>
      <w:tr w:rsidR="00BC5219" w:rsidRPr="00F07C24" w14:paraId="7C7AF83D" w14:textId="77777777" w:rsidTr="00E83802">
        <w:trPr>
          <w:trHeight w:val="198"/>
        </w:trPr>
        <w:tc>
          <w:tcPr>
            <w:tcW w:w="6350" w:type="dxa"/>
            <w:tcBorders>
              <w:top w:val="nil"/>
              <w:left w:val="nil"/>
              <w:bottom w:val="nil"/>
              <w:right w:val="nil"/>
            </w:tcBorders>
            <w:shd w:val="clear" w:color="auto" w:fill="auto"/>
            <w:noWrap/>
            <w:vAlign w:val="center"/>
            <w:hideMark/>
          </w:tcPr>
          <w:p w14:paraId="6E93C55E" w14:textId="77777777" w:rsidR="00BC5219" w:rsidRPr="00F07C24" w:rsidRDefault="00BC5219" w:rsidP="00E83802">
            <w:pPr>
              <w:outlineLvl w:val="0"/>
              <w:rPr>
                <w:rFonts w:ascii="Meta Pro" w:eastAsia="Times New Roman" w:hAnsi="Meta Pro"/>
                <w:b/>
                <w:bCs/>
                <w:szCs w:val="18"/>
                <w:lang w:eastAsia="en-AU"/>
              </w:rPr>
            </w:pPr>
            <w:r w:rsidRPr="00F07C24">
              <w:rPr>
                <w:rFonts w:ascii="Meta Pro" w:eastAsia="Times New Roman" w:hAnsi="Meta Pro"/>
                <w:b/>
                <w:bCs/>
                <w:szCs w:val="18"/>
                <w:lang w:eastAsia="en-AU"/>
              </w:rPr>
              <w:t>Assets</w:t>
            </w:r>
          </w:p>
        </w:tc>
        <w:tc>
          <w:tcPr>
            <w:tcW w:w="1157" w:type="dxa"/>
            <w:tcBorders>
              <w:top w:val="nil"/>
              <w:left w:val="nil"/>
              <w:bottom w:val="nil"/>
              <w:right w:val="nil"/>
            </w:tcBorders>
            <w:shd w:val="clear" w:color="auto" w:fill="auto"/>
            <w:vAlign w:val="center"/>
            <w:hideMark/>
          </w:tcPr>
          <w:p w14:paraId="3607AC39" w14:textId="77777777" w:rsidR="00BC5219" w:rsidRPr="00F07C24" w:rsidRDefault="00BC5219" w:rsidP="00E83802">
            <w:pPr>
              <w:outlineLvl w:val="0"/>
              <w:rPr>
                <w:rFonts w:ascii="Meta Pro" w:eastAsia="Times New Roman" w:hAnsi="Meta Pro"/>
                <w:b/>
                <w:bCs/>
                <w:szCs w:val="18"/>
                <w:lang w:eastAsia="en-AU"/>
              </w:rPr>
            </w:pPr>
          </w:p>
        </w:tc>
        <w:tc>
          <w:tcPr>
            <w:tcW w:w="198" w:type="dxa"/>
            <w:tcBorders>
              <w:top w:val="nil"/>
              <w:left w:val="nil"/>
              <w:bottom w:val="nil"/>
              <w:right w:val="nil"/>
            </w:tcBorders>
            <w:shd w:val="clear" w:color="auto" w:fill="auto"/>
            <w:vAlign w:val="center"/>
            <w:hideMark/>
          </w:tcPr>
          <w:p w14:paraId="5F66D0F6" w14:textId="77777777" w:rsidR="00BC5219" w:rsidRPr="00F07C24" w:rsidRDefault="00BC5219" w:rsidP="00E83802">
            <w:pPr>
              <w:outlineLvl w:val="0"/>
              <w:rPr>
                <w:rFonts w:ascii="Times New Roman" w:eastAsia="Times New Roman" w:hAnsi="Times New Roman" w:cs="Times New Roman"/>
                <w:sz w:val="20"/>
                <w:szCs w:val="20"/>
                <w:lang w:eastAsia="en-AU"/>
              </w:rPr>
            </w:pPr>
          </w:p>
        </w:tc>
        <w:tc>
          <w:tcPr>
            <w:tcW w:w="1138" w:type="dxa"/>
            <w:tcBorders>
              <w:top w:val="nil"/>
              <w:left w:val="nil"/>
              <w:bottom w:val="nil"/>
              <w:right w:val="nil"/>
            </w:tcBorders>
            <w:shd w:val="clear" w:color="auto" w:fill="auto"/>
            <w:vAlign w:val="center"/>
            <w:hideMark/>
          </w:tcPr>
          <w:p w14:paraId="066B476F" w14:textId="77777777" w:rsidR="00BC5219" w:rsidRPr="00F07C24" w:rsidRDefault="00BC5219" w:rsidP="00E83802">
            <w:pPr>
              <w:jc w:val="center"/>
              <w:outlineLvl w:val="0"/>
              <w:rPr>
                <w:rFonts w:ascii="Times New Roman" w:eastAsia="Times New Roman" w:hAnsi="Times New Roman" w:cs="Times New Roman"/>
                <w:sz w:val="20"/>
                <w:szCs w:val="20"/>
                <w:lang w:eastAsia="en-AU"/>
              </w:rPr>
            </w:pPr>
          </w:p>
        </w:tc>
        <w:tc>
          <w:tcPr>
            <w:tcW w:w="198" w:type="dxa"/>
            <w:tcBorders>
              <w:top w:val="nil"/>
              <w:left w:val="nil"/>
              <w:bottom w:val="nil"/>
              <w:right w:val="nil"/>
            </w:tcBorders>
            <w:shd w:val="clear" w:color="auto" w:fill="auto"/>
            <w:vAlign w:val="center"/>
            <w:hideMark/>
          </w:tcPr>
          <w:p w14:paraId="5CA02D89" w14:textId="77777777" w:rsidR="00BC5219" w:rsidRPr="00F07C24" w:rsidRDefault="00BC5219" w:rsidP="00E83802">
            <w:pPr>
              <w:outlineLvl w:val="0"/>
              <w:rPr>
                <w:rFonts w:ascii="Times New Roman" w:eastAsia="Times New Roman" w:hAnsi="Times New Roman" w:cs="Times New Roman"/>
                <w:sz w:val="20"/>
                <w:szCs w:val="20"/>
                <w:lang w:eastAsia="en-AU"/>
              </w:rPr>
            </w:pPr>
          </w:p>
        </w:tc>
        <w:tc>
          <w:tcPr>
            <w:tcW w:w="1157" w:type="dxa"/>
            <w:tcBorders>
              <w:top w:val="nil"/>
              <w:left w:val="nil"/>
              <w:bottom w:val="nil"/>
              <w:right w:val="nil"/>
            </w:tcBorders>
            <w:shd w:val="clear" w:color="auto" w:fill="auto"/>
            <w:noWrap/>
            <w:vAlign w:val="center"/>
            <w:hideMark/>
          </w:tcPr>
          <w:p w14:paraId="07FFD42A" w14:textId="77777777" w:rsidR="00BC5219" w:rsidRPr="00F07C24" w:rsidRDefault="00BC5219" w:rsidP="00E83802">
            <w:pPr>
              <w:jc w:val="center"/>
              <w:outlineLvl w:val="0"/>
              <w:rPr>
                <w:rFonts w:ascii="Times New Roman" w:eastAsia="Times New Roman" w:hAnsi="Times New Roman" w:cs="Times New Roman"/>
                <w:sz w:val="20"/>
                <w:szCs w:val="20"/>
                <w:lang w:eastAsia="en-AU"/>
              </w:rPr>
            </w:pPr>
          </w:p>
        </w:tc>
      </w:tr>
      <w:tr w:rsidR="00BC5219" w:rsidRPr="00F07C24" w14:paraId="04195F7C" w14:textId="77777777" w:rsidTr="00E83802">
        <w:trPr>
          <w:trHeight w:val="198"/>
        </w:trPr>
        <w:tc>
          <w:tcPr>
            <w:tcW w:w="6350" w:type="dxa"/>
            <w:tcBorders>
              <w:top w:val="nil"/>
              <w:left w:val="nil"/>
              <w:bottom w:val="nil"/>
              <w:right w:val="nil"/>
            </w:tcBorders>
            <w:shd w:val="clear" w:color="auto" w:fill="auto"/>
            <w:noWrap/>
            <w:vAlign w:val="center"/>
            <w:hideMark/>
          </w:tcPr>
          <w:p w14:paraId="14924A14" w14:textId="77777777" w:rsidR="00BC5219" w:rsidRPr="00F07C24" w:rsidRDefault="00BC5219" w:rsidP="00E83802">
            <w:pPr>
              <w:outlineLvl w:val="0"/>
              <w:rPr>
                <w:rFonts w:ascii="Meta Pro" w:eastAsia="Times New Roman" w:hAnsi="Meta Pro"/>
                <w:b/>
                <w:bCs/>
                <w:szCs w:val="18"/>
                <w:lang w:eastAsia="en-AU"/>
              </w:rPr>
            </w:pPr>
            <w:r w:rsidRPr="00F07C24">
              <w:rPr>
                <w:rFonts w:ascii="Meta Pro" w:eastAsia="Times New Roman" w:hAnsi="Meta Pro"/>
                <w:b/>
                <w:bCs/>
                <w:szCs w:val="18"/>
                <w:lang w:eastAsia="en-AU"/>
              </w:rPr>
              <w:t>Current assets</w:t>
            </w:r>
          </w:p>
        </w:tc>
        <w:tc>
          <w:tcPr>
            <w:tcW w:w="1157" w:type="dxa"/>
            <w:tcBorders>
              <w:top w:val="nil"/>
              <w:left w:val="nil"/>
              <w:bottom w:val="nil"/>
              <w:right w:val="nil"/>
            </w:tcBorders>
            <w:shd w:val="clear" w:color="auto" w:fill="auto"/>
            <w:vAlign w:val="center"/>
            <w:hideMark/>
          </w:tcPr>
          <w:p w14:paraId="4B3095F1" w14:textId="77777777" w:rsidR="00BC5219" w:rsidRPr="00F07C24" w:rsidRDefault="00BC5219" w:rsidP="00E83802">
            <w:pPr>
              <w:outlineLvl w:val="0"/>
              <w:rPr>
                <w:rFonts w:ascii="Meta Pro" w:eastAsia="Times New Roman" w:hAnsi="Meta Pro"/>
                <w:b/>
                <w:bCs/>
                <w:szCs w:val="18"/>
                <w:lang w:eastAsia="en-AU"/>
              </w:rPr>
            </w:pPr>
          </w:p>
        </w:tc>
        <w:tc>
          <w:tcPr>
            <w:tcW w:w="198" w:type="dxa"/>
            <w:tcBorders>
              <w:top w:val="nil"/>
              <w:left w:val="nil"/>
              <w:bottom w:val="nil"/>
              <w:right w:val="nil"/>
            </w:tcBorders>
            <w:shd w:val="clear" w:color="auto" w:fill="auto"/>
            <w:vAlign w:val="center"/>
            <w:hideMark/>
          </w:tcPr>
          <w:p w14:paraId="21F50CA1" w14:textId="77777777" w:rsidR="00BC5219" w:rsidRPr="00F07C24" w:rsidRDefault="00BC5219" w:rsidP="00E83802">
            <w:pPr>
              <w:outlineLvl w:val="0"/>
              <w:rPr>
                <w:rFonts w:ascii="Times New Roman" w:eastAsia="Times New Roman" w:hAnsi="Times New Roman" w:cs="Times New Roman"/>
                <w:sz w:val="20"/>
                <w:szCs w:val="20"/>
                <w:lang w:eastAsia="en-AU"/>
              </w:rPr>
            </w:pPr>
          </w:p>
        </w:tc>
        <w:tc>
          <w:tcPr>
            <w:tcW w:w="1138" w:type="dxa"/>
            <w:tcBorders>
              <w:top w:val="nil"/>
              <w:left w:val="nil"/>
              <w:bottom w:val="nil"/>
              <w:right w:val="nil"/>
            </w:tcBorders>
            <w:shd w:val="clear" w:color="auto" w:fill="auto"/>
            <w:vAlign w:val="center"/>
            <w:hideMark/>
          </w:tcPr>
          <w:p w14:paraId="50F23A4E" w14:textId="77777777" w:rsidR="00BC5219" w:rsidRPr="00F07C24" w:rsidRDefault="00BC5219" w:rsidP="00E83802">
            <w:pPr>
              <w:jc w:val="center"/>
              <w:outlineLvl w:val="0"/>
              <w:rPr>
                <w:rFonts w:ascii="Times New Roman" w:eastAsia="Times New Roman" w:hAnsi="Times New Roman" w:cs="Times New Roman"/>
                <w:sz w:val="20"/>
                <w:szCs w:val="20"/>
                <w:lang w:eastAsia="en-AU"/>
              </w:rPr>
            </w:pPr>
          </w:p>
        </w:tc>
        <w:tc>
          <w:tcPr>
            <w:tcW w:w="198" w:type="dxa"/>
            <w:tcBorders>
              <w:top w:val="nil"/>
              <w:left w:val="nil"/>
              <w:bottom w:val="nil"/>
              <w:right w:val="nil"/>
            </w:tcBorders>
            <w:shd w:val="clear" w:color="auto" w:fill="auto"/>
            <w:vAlign w:val="center"/>
            <w:hideMark/>
          </w:tcPr>
          <w:p w14:paraId="77B3968D" w14:textId="77777777" w:rsidR="00BC5219" w:rsidRPr="00F07C24" w:rsidRDefault="00BC5219" w:rsidP="00E83802">
            <w:pPr>
              <w:outlineLvl w:val="0"/>
              <w:rPr>
                <w:rFonts w:ascii="Times New Roman" w:eastAsia="Times New Roman" w:hAnsi="Times New Roman" w:cs="Times New Roman"/>
                <w:sz w:val="20"/>
                <w:szCs w:val="20"/>
                <w:lang w:eastAsia="en-AU"/>
              </w:rPr>
            </w:pPr>
          </w:p>
        </w:tc>
        <w:tc>
          <w:tcPr>
            <w:tcW w:w="1157" w:type="dxa"/>
            <w:tcBorders>
              <w:top w:val="nil"/>
              <w:left w:val="nil"/>
              <w:bottom w:val="nil"/>
              <w:right w:val="nil"/>
            </w:tcBorders>
            <w:shd w:val="clear" w:color="auto" w:fill="auto"/>
            <w:noWrap/>
            <w:vAlign w:val="center"/>
            <w:hideMark/>
          </w:tcPr>
          <w:p w14:paraId="3FA3A5B8" w14:textId="77777777" w:rsidR="00BC5219" w:rsidRPr="00F07C24" w:rsidRDefault="00BC5219" w:rsidP="00E83802">
            <w:pPr>
              <w:jc w:val="center"/>
              <w:outlineLvl w:val="0"/>
              <w:rPr>
                <w:rFonts w:ascii="Times New Roman" w:eastAsia="Times New Roman" w:hAnsi="Times New Roman" w:cs="Times New Roman"/>
                <w:sz w:val="20"/>
                <w:szCs w:val="20"/>
                <w:lang w:eastAsia="en-AU"/>
              </w:rPr>
            </w:pPr>
          </w:p>
        </w:tc>
      </w:tr>
      <w:tr w:rsidR="00BC5219" w:rsidRPr="00F07C24" w14:paraId="5A2C7DCE" w14:textId="77777777" w:rsidTr="00E83802">
        <w:trPr>
          <w:trHeight w:val="198"/>
        </w:trPr>
        <w:tc>
          <w:tcPr>
            <w:tcW w:w="6350" w:type="dxa"/>
            <w:tcBorders>
              <w:top w:val="nil"/>
              <w:left w:val="nil"/>
              <w:bottom w:val="nil"/>
              <w:right w:val="nil"/>
            </w:tcBorders>
            <w:shd w:val="clear" w:color="auto" w:fill="auto"/>
            <w:noWrap/>
            <w:vAlign w:val="center"/>
            <w:hideMark/>
          </w:tcPr>
          <w:p w14:paraId="5C70D124" w14:textId="77777777" w:rsidR="00BC5219" w:rsidRPr="00F07C24" w:rsidRDefault="00BC5219" w:rsidP="00E83802">
            <w:pPr>
              <w:outlineLvl w:val="0"/>
              <w:rPr>
                <w:rFonts w:ascii="Meta Pro" w:eastAsia="Times New Roman" w:hAnsi="Meta Pro"/>
                <w:szCs w:val="18"/>
                <w:lang w:eastAsia="en-AU"/>
              </w:rPr>
            </w:pPr>
            <w:r w:rsidRPr="00F07C24">
              <w:rPr>
                <w:rFonts w:ascii="Meta Pro" w:eastAsia="Times New Roman" w:hAnsi="Meta Pro"/>
                <w:szCs w:val="18"/>
                <w:lang w:eastAsia="en-AU"/>
              </w:rPr>
              <w:t>Cash</w:t>
            </w:r>
          </w:p>
        </w:tc>
        <w:tc>
          <w:tcPr>
            <w:tcW w:w="1157" w:type="dxa"/>
            <w:tcBorders>
              <w:top w:val="nil"/>
              <w:left w:val="nil"/>
              <w:bottom w:val="nil"/>
              <w:right w:val="nil"/>
            </w:tcBorders>
            <w:shd w:val="clear" w:color="auto" w:fill="auto"/>
            <w:noWrap/>
            <w:vAlign w:val="center"/>
            <w:hideMark/>
          </w:tcPr>
          <w:p w14:paraId="6F143BA6"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88,508 </w:t>
            </w:r>
          </w:p>
        </w:tc>
        <w:tc>
          <w:tcPr>
            <w:tcW w:w="198" w:type="dxa"/>
            <w:tcBorders>
              <w:top w:val="nil"/>
              <w:left w:val="nil"/>
              <w:bottom w:val="nil"/>
              <w:right w:val="nil"/>
            </w:tcBorders>
            <w:shd w:val="clear" w:color="auto" w:fill="auto"/>
            <w:noWrap/>
            <w:vAlign w:val="center"/>
            <w:hideMark/>
          </w:tcPr>
          <w:p w14:paraId="76414CE2" w14:textId="77777777" w:rsidR="00BC5219" w:rsidRPr="00F07C24" w:rsidRDefault="00BC5219" w:rsidP="00E83802">
            <w:pPr>
              <w:jc w:val="right"/>
              <w:outlineLvl w:val="0"/>
              <w:rPr>
                <w:rFonts w:ascii="Meta Pro" w:eastAsia="Times New Roman" w:hAnsi="Meta Pro"/>
                <w:szCs w:val="18"/>
                <w:lang w:eastAsia="en-AU"/>
              </w:rPr>
            </w:pPr>
          </w:p>
        </w:tc>
        <w:tc>
          <w:tcPr>
            <w:tcW w:w="1138" w:type="dxa"/>
            <w:tcBorders>
              <w:top w:val="nil"/>
              <w:left w:val="nil"/>
              <w:bottom w:val="nil"/>
              <w:right w:val="nil"/>
            </w:tcBorders>
            <w:shd w:val="clear" w:color="auto" w:fill="auto"/>
            <w:noWrap/>
            <w:vAlign w:val="center"/>
            <w:hideMark/>
          </w:tcPr>
          <w:p w14:paraId="422F646D"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670,102 </w:t>
            </w:r>
          </w:p>
        </w:tc>
        <w:tc>
          <w:tcPr>
            <w:tcW w:w="198" w:type="dxa"/>
            <w:tcBorders>
              <w:top w:val="nil"/>
              <w:left w:val="nil"/>
              <w:bottom w:val="nil"/>
              <w:right w:val="nil"/>
            </w:tcBorders>
            <w:shd w:val="clear" w:color="auto" w:fill="auto"/>
            <w:noWrap/>
            <w:vAlign w:val="center"/>
            <w:hideMark/>
          </w:tcPr>
          <w:p w14:paraId="2F2C79D9" w14:textId="77777777" w:rsidR="00BC5219" w:rsidRPr="00F07C24" w:rsidRDefault="00BC5219" w:rsidP="00E83802">
            <w:pPr>
              <w:jc w:val="right"/>
              <w:outlineLvl w:val="0"/>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584B41E9"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581,594 </w:t>
            </w:r>
          </w:p>
        </w:tc>
      </w:tr>
      <w:tr w:rsidR="00BC5219" w:rsidRPr="00F07C24" w14:paraId="67727CC0" w14:textId="77777777" w:rsidTr="00E83802">
        <w:trPr>
          <w:trHeight w:val="198"/>
        </w:trPr>
        <w:tc>
          <w:tcPr>
            <w:tcW w:w="6350" w:type="dxa"/>
            <w:tcBorders>
              <w:top w:val="nil"/>
              <w:left w:val="nil"/>
              <w:bottom w:val="nil"/>
              <w:right w:val="nil"/>
            </w:tcBorders>
            <w:shd w:val="clear" w:color="auto" w:fill="auto"/>
            <w:noWrap/>
            <w:vAlign w:val="center"/>
            <w:hideMark/>
          </w:tcPr>
          <w:p w14:paraId="77E332D5" w14:textId="77777777" w:rsidR="00BC5219" w:rsidRPr="00F07C24" w:rsidRDefault="00BC5219" w:rsidP="00E83802">
            <w:pPr>
              <w:outlineLvl w:val="0"/>
              <w:rPr>
                <w:rFonts w:ascii="Meta Pro" w:eastAsia="Times New Roman" w:hAnsi="Meta Pro"/>
                <w:szCs w:val="18"/>
                <w:lang w:eastAsia="en-AU"/>
              </w:rPr>
            </w:pPr>
            <w:r w:rsidRPr="00F07C24">
              <w:rPr>
                <w:rFonts w:ascii="Meta Pro" w:eastAsia="Times New Roman" w:hAnsi="Meta Pro"/>
                <w:szCs w:val="18"/>
                <w:lang w:eastAsia="en-AU"/>
              </w:rPr>
              <w:t>Receivables</w:t>
            </w:r>
          </w:p>
        </w:tc>
        <w:tc>
          <w:tcPr>
            <w:tcW w:w="1157" w:type="dxa"/>
            <w:tcBorders>
              <w:top w:val="nil"/>
              <w:left w:val="nil"/>
              <w:bottom w:val="nil"/>
              <w:right w:val="nil"/>
            </w:tcBorders>
            <w:shd w:val="clear" w:color="auto" w:fill="auto"/>
            <w:noWrap/>
            <w:vAlign w:val="center"/>
            <w:hideMark/>
          </w:tcPr>
          <w:p w14:paraId="6221FDE7"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166,561 </w:t>
            </w:r>
          </w:p>
        </w:tc>
        <w:tc>
          <w:tcPr>
            <w:tcW w:w="198" w:type="dxa"/>
            <w:tcBorders>
              <w:top w:val="nil"/>
              <w:left w:val="nil"/>
              <w:bottom w:val="nil"/>
              <w:right w:val="nil"/>
            </w:tcBorders>
            <w:shd w:val="clear" w:color="auto" w:fill="auto"/>
            <w:noWrap/>
            <w:vAlign w:val="center"/>
            <w:hideMark/>
          </w:tcPr>
          <w:p w14:paraId="4D166FBE" w14:textId="77777777" w:rsidR="00BC5219" w:rsidRPr="00F07C24" w:rsidRDefault="00BC5219" w:rsidP="00E83802">
            <w:pPr>
              <w:jc w:val="right"/>
              <w:outlineLvl w:val="0"/>
              <w:rPr>
                <w:rFonts w:ascii="Meta Pro" w:eastAsia="Times New Roman" w:hAnsi="Meta Pro"/>
                <w:szCs w:val="18"/>
                <w:lang w:eastAsia="en-AU"/>
              </w:rPr>
            </w:pPr>
          </w:p>
        </w:tc>
        <w:tc>
          <w:tcPr>
            <w:tcW w:w="1138" w:type="dxa"/>
            <w:tcBorders>
              <w:top w:val="nil"/>
              <w:left w:val="nil"/>
              <w:bottom w:val="nil"/>
              <w:right w:val="nil"/>
            </w:tcBorders>
            <w:shd w:val="clear" w:color="auto" w:fill="auto"/>
            <w:noWrap/>
            <w:vAlign w:val="center"/>
            <w:hideMark/>
          </w:tcPr>
          <w:p w14:paraId="70C9AA48"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245,064 </w:t>
            </w:r>
          </w:p>
        </w:tc>
        <w:tc>
          <w:tcPr>
            <w:tcW w:w="198" w:type="dxa"/>
            <w:tcBorders>
              <w:top w:val="nil"/>
              <w:left w:val="nil"/>
              <w:bottom w:val="nil"/>
              <w:right w:val="nil"/>
            </w:tcBorders>
            <w:shd w:val="clear" w:color="auto" w:fill="auto"/>
            <w:noWrap/>
            <w:vAlign w:val="center"/>
            <w:hideMark/>
          </w:tcPr>
          <w:p w14:paraId="03967955" w14:textId="77777777" w:rsidR="00BC5219" w:rsidRPr="00F07C24" w:rsidRDefault="00BC5219" w:rsidP="00E83802">
            <w:pPr>
              <w:jc w:val="right"/>
              <w:outlineLvl w:val="0"/>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3EB95805"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78,503 </w:t>
            </w:r>
          </w:p>
        </w:tc>
      </w:tr>
      <w:tr w:rsidR="00BC5219" w:rsidRPr="00F07C24" w14:paraId="1F3382A5" w14:textId="77777777" w:rsidTr="00E83802">
        <w:trPr>
          <w:trHeight w:val="198"/>
        </w:trPr>
        <w:tc>
          <w:tcPr>
            <w:tcW w:w="6350" w:type="dxa"/>
            <w:tcBorders>
              <w:top w:val="nil"/>
              <w:left w:val="nil"/>
              <w:bottom w:val="nil"/>
              <w:right w:val="nil"/>
            </w:tcBorders>
            <w:shd w:val="clear" w:color="auto" w:fill="auto"/>
            <w:noWrap/>
            <w:vAlign w:val="center"/>
            <w:hideMark/>
          </w:tcPr>
          <w:p w14:paraId="2E28AFC9" w14:textId="77777777" w:rsidR="00BC5219" w:rsidRPr="00F07C24" w:rsidRDefault="00BC5219" w:rsidP="00E83802">
            <w:pPr>
              <w:outlineLvl w:val="0"/>
              <w:rPr>
                <w:rFonts w:ascii="Meta Pro" w:eastAsia="Times New Roman" w:hAnsi="Meta Pro"/>
                <w:szCs w:val="18"/>
                <w:lang w:eastAsia="en-AU"/>
              </w:rPr>
            </w:pPr>
            <w:r w:rsidRPr="00F07C24">
              <w:rPr>
                <w:rFonts w:ascii="Meta Pro" w:eastAsia="Times New Roman" w:hAnsi="Meta Pro"/>
                <w:szCs w:val="18"/>
                <w:lang w:eastAsia="en-AU"/>
              </w:rPr>
              <w:t>Inventories</w:t>
            </w:r>
          </w:p>
        </w:tc>
        <w:tc>
          <w:tcPr>
            <w:tcW w:w="1157" w:type="dxa"/>
            <w:tcBorders>
              <w:top w:val="nil"/>
              <w:left w:val="nil"/>
              <w:bottom w:val="nil"/>
              <w:right w:val="nil"/>
            </w:tcBorders>
            <w:shd w:val="clear" w:color="auto" w:fill="auto"/>
            <w:noWrap/>
            <w:vAlign w:val="center"/>
            <w:hideMark/>
          </w:tcPr>
          <w:p w14:paraId="69EC8A48"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17,210 </w:t>
            </w:r>
          </w:p>
        </w:tc>
        <w:tc>
          <w:tcPr>
            <w:tcW w:w="198" w:type="dxa"/>
            <w:tcBorders>
              <w:top w:val="nil"/>
              <w:left w:val="nil"/>
              <w:bottom w:val="nil"/>
              <w:right w:val="nil"/>
            </w:tcBorders>
            <w:shd w:val="clear" w:color="auto" w:fill="auto"/>
            <w:noWrap/>
            <w:vAlign w:val="center"/>
            <w:hideMark/>
          </w:tcPr>
          <w:p w14:paraId="3281EB50" w14:textId="77777777" w:rsidR="00BC5219" w:rsidRPr="00F07C24" w:rsidRDefault="00BC5219" w:rsidP="00E83802">
            <w:pPr>
              <w:jc w:val="right"/>
              <w:outlineLvl w:val="0"/>
              <w:rPr>
                <w:rFonts w:ascii="Meta Pro" w:eastAsia="Times New Roman" w:hAnsi="Meta Pro"/>
                <w:szCs w:val="18"/>
                <w:lang w:eastAsia="en-AU"/>
              </w:rPr>
            </w:pPr>
          </w:p>
        </w:tc>
        <w:tc>
          <w:tcPr>
            <w:tcW w:w="1138" w:type="dxa"/>
            <w:tcBorders>
              <w:top w:val="nil"/>
              <w:left w:val="nil"/>
              <w:bottom w:val="nil"/>
              <w:right w:val="nil"/>
            </w:tcBorders>
            <w:shd w:val="clear" w:color="auto" w:fill="auto"/>
            <w:noWrap/>
            <w:vAlign w:val="center"/>
            <w:hideMark/>
          </w:tcPr>
          <w:p w14:paraId="3D2D18E8"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21,716 </w:t>
            </w:r>
          </w:p>
        </w:tc>
        <w:tc>
          <w:tcPr>
            <w:tcW w:w="198" w:type="dxa"/>
            <w:tcBorders>
              <w:top w:val="nil"/>
              <w:left w:val="nil"/>
              <w:bottom w:val="nil"/>
              <w:right w:val="nil"/>
            </w:tcBorders>
            <w:shd w:val="clear" w:color="auto" w:fill="auto"/>
            <w:noWrap/>
            <w:vAlign w:val="center"/>
            <w:hideMark/>
          </w:tcPr>
          <w:p w14:paraId="062142A5" w14:textId="77777777" w:rsidR="00BC5219" w:rsidRPr="00F07C24" w:rsidRDefault="00BC5219" w:rsidP="00E83802">
            <w:pPr>
              <w:jc w:val="right"/>
              <w:outlineLvl w:val="0"/>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4506568F"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4,506 </w:t>
            </w:r>
          </w:p>
        </w:tc>
      </w:tr>
      <w:tr w:rsidR="00BC5219" w:rsidRPr="00F07C24" w14:paraId="3DE11E48" w14:textId="77777777" w:rsidTr="00E83802">
        <w:trPr>
          <w:trHeight w:val="198"/>
        </w:trPr>
        <w:tc>
          <w:tcPr>
            <w:tcW w:w="6350" w:type="dxa"/>
            <w:tcBorders>
              <w:top w:val="nil"/>
              <w:left w:val="nil"/>
              <w:bottom w:val="nil"/>
              <w:right w:val="nil"/>
            </w:tcBorders>
            <w:shd w:val="clear" w:color="auto" w:fill="auto"/>
            <w:noWrap/>
            <w:vAlign w:val="center"/>
            <w:hideMark/>
          </w:tcPr>
          <w:p w14:paraId="1627AD7D" w14:textId="77777777" w:rsidR="00BC5219" w:rsidRPr="00F07C24" w:rsidRDefault="00BC5219" w:rsidP="00E83802">
            <w:pPr>
              <w:outlineLvl w:val="0"/>
              <w:rPr>
                <w:rFonts w:ascii="Meta Pro" w:eastAsia="Times New Roman" w:hAnsi="Meta Pro"/>
                <w:szCs w:val="18"/>
                <w:lang w:eastAsia="en-AU"/>
              </w:rPr>
            </w:pPr>
            <w:r w:rsidRPr="00F07C24">
              <w:rPr>
                <w:rFonts w:ascii="Meta Pro" w:eastAsia="Times New Roman" w:hAnsi="Meta Pro"/>
                <w:szCs w:val="18"/>
                <w:lang w:eastAsia="en-AU"/>
              </w:rPr>
              <w:t>Prepayments</w:t>
            </w:r>
          </w:p>
        </w:tc>
        <w:tc>
          <w:tcPr>
            <w:tcW w:w="1157" w:type="dxa"/>
            <w:tcBorders>
              <w:top w:val="nil"/>
              <w:left w:val="nil"/>
              <w:bottom w:val="nil"/>
              <w:right w:val="nil"/>
            </w:tcBorders>
            <w:shd w:val="clear" w:color="auto" w:fill="auto"/>
            <w:noWrap/>
            <w:vAlign w:val="center"/>
            <w:hideMark/>
          </w:tcPr>
          <w:p w14:paraId="0B375B12"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100,883 </w:t>
            </w:r>
          </w:p>
        </w:tc>
        <w:tc>
          <w:tcPr>
            <w:tcW w:w="198" w:type="dxa"/>
            <w:tcBorders>
              <w:top w:val="nil"/>
              <w:left w:val="nil"/>
              <w:bottom w:val="nil"/>
              <w:right w:val="nil"/>
            </w:tcBorders>
            <w:shd w:val="clear" w:color="auto" w:fill="auto"/>
            <w:noWrap/>
            <w:vAlign w:val="center"/>
            <w:hideMark/>
          </w:tcPr>
          <w:p w14:paraId="65AD8007" w14:textId="77777777" w:rsidR="00BC5219" w:rsidRPr="00F07C24" w:rsidRDefault="00BC5219" w:rsidP="00E83802">
            <w:pPr>
              <w:jc w:val="right"/>
              <w:outlineLvl w:val="0"/>
              <w:rPr>
                <w:rFonts w:ascii="Meta Pro" w:eastAsia="Times New Roman" w:hAnsi="Meta Pro"/>
                <w:szCs w:val="18"/>
                <w:lang w:eastAsia="en-AU"/>
              </w:rPr>
            </w:pPr>
          </w:p>
        </w:tc>
        <w:tc>
          <w:tcPr>
            <w:tcW w:w="1138" w:type="dxa"/>
            <w:tcBorders>
              <w:top w:val="nil"/>
              <w:left w:val="nil"/>
              <w:bottom w:val="nil"/>
              <w:right w:val="nil"/>
            </w:tcBorders>
            <w:shd w:val="clear" w:color="auto" w:fill="auto"/>
            <w:noWrap/>
            <w:vAlign w:val="center"/>
            <w:hideMark/>
          </w:tcPr>
          <w:p w14:paraId="4C15791D"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113,085 </w:t>
            </w:r>
          </w:p>
        </w:tc>
        <w:tc>
          <w:tcPr>
            <w:tcW w:w="198" w:type="dxa"/>
            <w:tcBorders>
              <w:top w:val="nil"/>
              <w:left w:val="nil"/>
              <w:bottom w:val="nil"/>
              <w:right w:val="nil"/>
            </w:tcBorders>
            <w:shd w:val="clear" w:color="auto" w:fill="auto"/>
            <w:noWrap/>
            <w:vAlign w:val="center"/>
            <w:hideMark/>
          </w:tcPr>
          <w:p w14:paraId="6ED42EF0" w14:textId="77777777" w:rsidR="00BC5219" w:rsidRPr="00F07C24" w:rsidRDefault="00BC5219" w:rsidP="00E83802">
            <w:pPr>
              <w:jc w:val="right"/>
              <w:outlineLvl w:val="0"/>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5D19B27C"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12,202 </w:t>
            </w:r>
          </w:p>
        </w:tc>
      </w:tr>
      <w:tr w:rsidR="00BC5219" w:rsidRPr="00F07C24" w14:paraId="34807850" w14:textId="77777777" w:rsidTr="00E83802">
        <w:trPr>
          <w:trHeight w:val="198"/>
        </w:trPr>
        <w:tc>
          <w:tcPr>
            <w:tcW w:w="6350" w:type="dxa"/>
            <w:tcBorders>
              <w:top w:val="nil"/>
              <w:left w:val="nil"/>
              <w:bottom w:val="nil"/>
              <w:right w:val="nil"/>
            </w:tcBorders>
            <w:shd w:val="clear" w:color="auto" w:fill="auto"/>
            <w:noWrap/>
            <w:vAlign w:val="center"/>
            <w:hideMark/>
          </w:tcPr>
          <w:p w14:paraId="005384D4" w14:textId="77777777" w:rsidR="00BC5219" w:rsidRPr="00F07C24" w:rsidRDefault="00BC5219" w:rsidP="00E83802">
            <w:pPr>
              <w:outlineLvl w:val="0"/>
              <w:rPr>
                <w:rFonts w:ascii="Meta Pro" w:eastAsia="Times New Roman" w:hAnsi="Meta Pro"/>
                <w:szCs w:val="18"/>
                <w:lang w:eastAsia="en-AU"/>
              </w:rPr>
            </w:pPr>
            <w:r w:rsidRPr="00F07C24">
              <w:rPr>
                <w:rFonts w:ascii="Meta Pro" w:eastAsia="Times New Roman" w:hAnsi="Meta Pro"/>
                <w:szCs w:val="18"/>
                <w:lang w:eastAsia="en-AU"/>
              </w:rPr>
              <w:t>Non-current assets classified as held for sale</w:t>
            </w:r>
          </w:p>
        </w:tc>
        <w:tc>
          <w:tcPr>
            <w:tcW w:w="1157" w:type="dxa"/>
            <w:tcBorders>
              <w:top w:val="nil"/>
              <w:left w:val="nil"/>
              <w:bottom w:val="nil"/>
              <w:right w:val="nil"/>
            </w:tcBorders>
            <w:shd w:val="clear" w:color="auto" w:fill="auto"/>
            <w:noWrap/>
            <w:vAlign w:val="center"/>
            <w:hideMark/>
          </w:tcPr>
          <w:p w14:paraId="1F1B763C"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4,514 </w:t>
            </w:r>
          </w:p>
        </w:tc>
        <w:tc>
          <w:tcPr>
            <w:tcW w:w="198" w:type="dxa"/>
            <w:tcBorders>
              <w:top w:val="nil"/>
              <w:left w:val="nil"/>
              <w:bottom w:val="nil"/>
              <w:right w:val="nil"/>
            </w:tcBorders>
            <w:shd w:val="clear" w:color="auto" w:fill="auto"/>
            <w:noWrap/>
            <w:vAlign w:val="center"/>
            <w:hideMark/>
          </w:tcPr>
          <w:p w14:paraId="7B939EA2" w14:textId="77777777" w:rsidR="00BC5219" w:rsidRPr="00F07C24" w:rsidRDefault="00BC5219" w:rsidP="00E83802">
            <w:pPr>
              <w:jc w:val="right"/>
              <w:outlineLvl w:val="0"/>
              <w:rPr>
                <w:rFonts w:ascii="Meta Pro" w:eastAsia="Times New Roman" w:hAnsi="Meta Pro"/>
                <w:szCs w:val="18"/>
                <w:lang w:eastAsia="en-AU"/>
              </w:rPr>
            </w:pPr>
          </w:p>
        </w:tc>
        <w:tc>
          <w:tcPr>
            <w:tcW w:w="1138" w:type="dxa"/>
            <w:tcBorders>
              <w:top w:val="nil"/>
              <w:left w:val="nil"/>
              <w:bottom w:val="nil"/>
              <w:right w:val="nil"/>
            </w:tcBorders>
            <w:shd w:val="clear" w:color="auto" w:fill="auto"/>
            <w:noWrap/>
            <w:vAlign w:val="center"/>
            <w:hideMark/>
          </w:tcPr>
          <w:p w14:paraId="693995F9"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3,562 </w:t>
            </w:r>
          </w:p>
        </w:tc>
        <w:tc>
          <w:tcPr>
            <w:tcW w:w="198" w:type="dxa"/>
            <w:tcBorders>
              <w:top w:val="nil"/>
              <w:left w:val="nil"/>
              <w:bottom w:val="nil"/>
              <w:right w:val="nil"/>
            </w:tcBorders>
            <w:shd w:val="clear" w:color="auto" w:fill="auto"/>
            <w:noWrap/>
            <w:vAlign w:val="center"/>
            <w:hideMark/>
          </w:tcPr>
          <w:p w14:paraId="613B6BAA" w14:textId="77777777" w:rsidR="00BC5219" w:rsidRPr="00F07C24" w:rsidRDefault="00BC5219" w:rsidP="00E83802">
            <w:pPr>
              <w:jc w:val="right"/>
              <w:outlineLvl w:val="0"/>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3F9E3C6A"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(952)</w:t>
            </w:r>
          </w:p>
        </w:tc>
      </w:tr>
      <w:tr w:rsidR="00BC5219" w:rsidRPr="00F07C24" w14:paraId="00F4462B" w14:textId="77777777" w:rsidTr="00E83802">
        <w:trPr>
          <w:trHeight w:val="198"/>
        </w:trPr>
        <w:tc>
          <w:tcPr>
            <w:tcW w:w="6350" w:type="dxa"/>
            <w:tcBorders>
              <w:top w:val="single" w:sz="4" w:space="0" w:color="auto"/>
              <w:left w:val="nil"/>
              <w:bottom w:val="nil"/>
              <w:right w:val="nil"/>
            </w:tcBorders>
            <w:shd w:val="clear" w:color="auto" w:fill="auto"/>
            <w:noWrap/>
            <w:vAlign w:val="center"/>
            <w:hideMark/>
          </w:tcPr>
          <w:p w14:paraId="3F946BAE" w14:textId="77777777" w:rsidR="00BC5219" w:rsidRPr="00F07C24" w:rsidRDefault="00BC5219" w:rsidP="00E83802">
            <w:pPr>
              <w:outlineLvl w:val="0"/>
              <w:rPr>
                <w:rFonts w:ascii="Meta Pro" w:eastAsia="Times New Roman" w:hAnsi="Meta Pro"/>
                <w:b/>
                <w:bCs/>
                <w:szCs w:val="18"/>
                <w:lang w:eastAsia="en-AU"/>
              </w:rPr>
            </w:pPr>
            <w:r w:rsidRPr="00F07C24">
              <w:rPr>
                <w:rFonts w:ascii="Meta Pro" w:eastAsia="Times New Roman" w:hAnsi="Meta Pro"/>
                <w:b/>
                <w:bCs/>
                <w:szCs w:val="18"/>
                <w:lang w:eastAsia="en-AU"/>
              </w:rPr>
              <w:t>Total current assets</w:t>
            </w:r>
          </w:p>
        </w:tc>
        <w:tc>
          <w:tcPr>
            <w:tcW w:w="1157" w:type="dxa"/>
            <w:tcBorders>
              <w:top w:val="single" w:sz="4" w:space="0" w:color="auto"/>
              <w:left w:val="nil"/>
              <w:bottom w:val="nil"/>
              <w:right w:val="nil"/>
            </w:tcBorders>
            <w:shd w:val="clear" w:color="auto" w:fill="auto"/>
            <w:noWrap/>
            <w:vAlign w:val="center"/>
            <w:hideMark/>
          </w:tcPr>
          <w:p w14:paraId="3BF3CB27" w14:textId="77777777" w:rsidR="00BC5219" w:rsidRPr="00F07C24" w:rsidRDefault="00BC5219" w:rsidP="00E83802">
            <w:pPr>
              <w:jc w:val="right"/>
              <w:outlineLvl w:val="0"/>
              <w:rPr>
                <w:rFonts w:ascii="Meta Pro" w:eastAsia="Times New Roman" w:hAnsi="Meta Pro"/>
                <w:b/>
                <w:bCs/>
                <w:szCs w:val="18"/>
                <w:lang w:eastAsia="en-AU"/>
              </w:rPr>
            </w:pPr>
            <w:r w:rsidRPr="00F07C24">
              <w:rPr>
                <w:rFonts w:ascii="Meta Pro" w:eastAsia="Times New Roman" w:hAnsi="Meta Pro"/>
                <w:b/>
                <w:bCs/>
                <w:szCs w:val="18"/>
                <w:lang w:eastAsia="en-AU"/>
              </w:rPr>
              <w:t xml:space="preserve">377,676 </w:t>
            </w:r>
          </w:p>
        </w:tc>
        <w:tc>
          <w:tcPr>
            <w:tcW w:w="198" w:type="dxa"/>
            <w:tcBorders>
              <w:top w:val="single" w:sz="4" w:space="0" w:color="auto"/>
              <w:left w:val="nil"/>
              <w:bottom w:val="nil"/>
              <w:right w:val="nil"/>
            </w:tcBorders>
            <w:shd w:val="clear" w:color="auto" w:fill="auto"/>
            <w:noWrap/>
            <w:vAlign w:val="center"/>
            <w:hideMark/>
          </w:tcPr>
          <w:p w14:paraId="12C561F3" w14:textId="77777777" w:rsidR="00BC5219" w:rsidRPr="00F07C24" w:rsidRDefault="00BC5219" w:rsidP="00E83802">
            <w:pPr>
              <w:jc w:val="right"/>
              <w:outlineLvl w:val="0"/>
              <w:rPr>
                <w:rFonts w:ascii="Meta Pro" w:eastAsia="Times New Roman" w:hAnsi="Meta Pro"/>
                <w:b/>
                <w:bCs/>
                <w:szCs w:val="18"/>
                <w:lang w:eastAsia="en-AU"/>
              </w:rPr>
            </w:pPr>
            <w:r w:rsidRPr="00F07C24">
              <w:rPr>
                <w:rFonts w:ascii="Meta Pro" w:eastAsia="Times New Roman" w:hAnsi="Meta Pro"/>
                <w:b/>
                <w:bCs/>
                <w:szCs w:val="18"/>
                <w:lang w:eastAsia="en-AU"/>
              </w:rPr>
              <w:t> </w:t>
            </w:r>
          </w:p>
        </w:tc>
        <w:tc>
          <w:tcPr>
            <w:tcW w:w="1138" w:type="dxa"/>
            <w:tcBorders>
              <w:top w:val="single" w:sz="4" w:space="0" w:color="auto"/>
              <w:left w:val="nil"/>
              <w:bottom w:val="nil"/>
              <w:right w:val="nil"/>
            </w:tcBorders>
            <w:shd w:val="clear" w:color="auto" w:fill="auto"/>
            <w:noWrap/>
            <w:vAlign w:val="center"/>
            <w:hideMark/>
          </w:tcPr>
          <w:p w14:paraId="394B6565" w14:textId="77777777" w:rsidR="00BC5219" w:rsidRPr="00F07C24" w:rsidRDefault="00BC5219" w:rsidP="00E83802">
            <w:pPr>
              <w:jc w:val="right"/>
              <w:outlineLvl w:val="0"/>
              <w:rPr>
                <w:rFonts w:ascii="Meta Pro" w:eastAsia="Times New Roman" w:hAnsi="Meta Pro"/>
                <w:b/>
                <w:bCs/>
                <w:szCs w:val="18"/>
                <w:lang w:eastAsia="en-AU"/>
              </w:rPr>
            </w:pPr>
            <w:r w:rsidRPr="00F07C24">
              <w:rPr>
                <w:rFonts w:ascii="Meta Pro" w:eastAsia="Times New Roman" w:hAnsi="Meta Pro"/>
                <w:b/>
                <w:bCs/>
                <w:szCs w:val="18"/>
                <w:lang w:eastAsia="en-AU"/>
              </w:rPr>
              <w:t xml:space="preserve">1,053,529 </w:t>
            </w:r>
          </w:p>
        </w:tc>
        <w:tc>
          <w:tcPr>
            <w:tcW w:w="198" w:type="dxa"/>
            <w:tcBorders>
              <w:top w:val="single" w:sz="4" w:space="0" w:color="auto"/>
              <w:left w:val="nil"/>
              <w:bottom w:val="nil"/>
              <w:right w:val="nil"/>
            </w:tcBorders>
            <w:shd w:val="clear" w:color="auto" w:fill="auto"/>
            <w:noWrap/>
            <w:vAlign w:val="center"/>
            <w:hideMark/>
          </w:tcPr>
          <w:p w14:paraId="1C7D9D6C" w14:textId="77777777" w:rsidR="00BC5219" w:rsidRPr="00F07C24" w:rsidRDefault="00BC5219" w:rsidP="00E83802">
            <w:pPr>
              <w:jc w:val="right"/>
              <w:outlineLvl w:val="0"/>
              <w:rPr>
                <w:rFonts w:ascii="Meta Pro" w:eastAsia="Times New Roman" w:hAnsi="Meta Pro"/>
                <w:b/>
                <w:bCs/>
                <w:szCs w:val="18"/>
                <w:lang w:eastAsia="en-AU"/>
              </w:rPr>
            </w:pPr>
            <w:r w:rsidRPr="00F07C24">
              <w:rPr>
                <w:rFonts w:ascii="Meta Pro" w:eastAsia="Times New Roman" w:hAnsi="Meta Pro"/>
                <w:b/>
                <w:bCs/>
                <w:szCs w:val="18"/>
                <w:lang w:eastAsia="en-AU"/>
              </w:rPr>
              <w:t> </w:t>
            </w:r>
          </w:p>
        </w:tc>
        <w:tc>
          <w:tcPr>
            <w:tcW w:w="1157" w:type="dxa"/>
            <w:tcBorders>
              <w:top w:val="single" w:sz="4" w:space="0" w:color="auto"/>
              <w:left w:val="nil"/>
              <w:bottom w:val="nil"/>
              <w:right w:val="nil"/>
            </w:tcBorders>
            <w:shd w:val="clear" w:color="auto" w:fill="auto"/>
            <w:noWrap/>
            <w:vAlign w:val="center"/>
            <w:hideMark/>
          </w:tcPr>
          <w:p w14:paraId="1A0D07E3" w14:textId="77777777" w:rsidR="00BC5219" w:rsidRPr="00F07C24" w:rsidRDefault="00BC5219" w:rsidP="00E83802">
            <w:pPr>
              <w:jc w:val="right"/>
              <w:outlineLvl w:val="0"/>
              <w:rPr>
                <w:rFonts w:ascii="Meta Pro" w:eastAsia="Times New Roman" w:hAnsi="Meta Pro"/>
                <w:b/>
                <w:bCs/>
                <w:szCs w:val="18"/>
                <w:lang w:eastAsia="en-AU"/>
              </w:rPr>
            </w:pPr>
            <w:r w:rsidRPr="00F07C24">
              <w:rPr>
                <w:rFonts w:ascii="Meta Pro" w:eastAsia="Times New Roman" w:hAnsi="Meta Pro"/>
                <w:b/>
                <w:bCs/>
                <w:szCs w:val="18"/>
                <w:lang w:eastAsia="en-AU"/>
              </w:rPr>
              <w:t xml:space="preserve">675,853 </w:t>
            </w:r>
          </w:p>
        </w:tc>
      </w:tr>
      <w:tr w:rsidR="00BC5219" w:rsidRPr="00F07C24" w14:paraId="71E4CD53" w14:textId="77777777" w:rsidTr="00E83802">
        <w:trPr>
          <w:trHeight w:val="198"/>
        </w:trPr>
        <w:tc>
          <w:tcPr>
            <w:tcW w:w="6350" w:type="dxa"/>
            <w:tcBorders>
              <w:top w:val="nil"/>
              <w:left w:val="nil"/>
              <w:bottom w:val="nil"/>
              <w:right w:val="nil"/>
            </w:tcBorders>
            <w:shd w:val="clear" w:color="auto" w:fill="auto"/>
            <w:noWrap/>
            <w:vAlign w:val="center"/>
            <w:hideMark/>
          </w:tcPr>
          <w:p w14:paraId="363483AA" w14:textId="77777777" w:rsidR="00BC5219" w:rsidRPr="00F07C24" w:rsidRDefault="00BC5219" w:rsidP="00E83802">
            <w:pPr>
              <w:jc w:val="right"/>
              <w:outlineLvl w:val="0"/>
              <w:rPr>
                <w:rFonts w:ascii="Meta Pro" w:eastAsia="Times New Roman" w:hAnsi="Meta Pro"/>
                <w:b/>
                <w:bCs/>
                <w:szCs w:val="18"/>
                <w:lang w:eastAsia="en-AU"/>
              </w:rPr>
            </w:pPr>
          </w:p>
        </w:tc>
        <w:tc>
          <w:tcPr>
            <w:tcW w:w="1157" w:type="dxa"/>
            <w:tcBorders>
              <w:top w:val="nil"/>
              <w:left w:val="nil"/>
              <w:bottom w:val="nil"/>
              <w:right w:val="nil"/>
            </w:tcBorders>
            <w:shd w:val="clear" w:color="auto" w:fill="auto"/>
            <w:noWrap/>
            <w:vAlign w:val="center"/>
            <w:hideMark/>
          </w:tcPr>
          <w:p w14:paraId="17ABD266" w14:textId="77777777" w:rsidR="00BC5219" w:rsidRPr="00F07C24" w:rsidRDefault="00BC5219" w:rsidP="00E83802">
            <w:pPr>
              <w:outlineLvl w:val="0"/>
              <w:rPr>
                <w:rFonts w:ascii="Times New Roman" w:eastAsia="Times New Roman" w:hAnsi="Times New Roman"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35B3567E" w14:textId="77777777" w:rsidR="00BC5219" w:rsidRPr="00F07C24" w:rsidRDefault="00BC5219" w:rsidP="00E83802">
            <w:pPr>
              <w:outlineLvl w:val="0"/>
              <w:rPr>
                <w:rFonts w:ascii="Times New Roman" w:eastAsia="Times New Roman" w:hAnsi="Times New Roman" w:cs="Times New Roman"/>
                <w:sz w:val="20"/>
                <w:szCs w:val="20"/>
                <w:lang w:eastAsia="en-AU"/>
              </w:rPr>
            </w:pPr>
          </w:p>
        </w:tc>
        <w:tc>
          <w:tcPr>
            <w:tcW w:w="1138" w:type="dxa"/>
            <w:tcBorders>
              <w:top w:val="nil"/>
              <w:left w:val="nil"/>
              <w:bottom w:val="nil"/>
              <w:right w:val="nil"/>
            </w:tcBorders>
            <w:shd w:val="clear" w:color="auto" w:fill="auto"/>
            <w:noWrap/>
            <w:vAlign w:val="center"/>
            <w:hideMark/>
          </w:tcPr>
          <w:p w14:paraId="3C09E588" w14:textId="77777777" w:rsidR="00BC5219" w:rsidRPr="00F07C24" w:rsidRDefault="00BC5219" w:rsidP="00E83802">
            <w:pPr>
              <w:jc w:val="right"/>
              <w:outlineLvl w:val="0"/>
              <w:rPr>
                <w:rFonts w:ascii="Times New Roman" w:eastAsia="Times New Roman" w:hAnsi="Times New Roman"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62B7705D" w14:textId="77777777" w:rsidR="00BC5219" w:rsidRPr="00F07C24" w:rsidRDefault="00BC5219" w:rsidP="00E83802">
            <w:pPr>
              <w:outlineLvl w:val="0"/>
              <w:rPr>
                <w:rFonts w:ascii="Times New Roman" w:eastAsia="Times New Roman" w:hAnsi="Times New Roman" w:cs="Times New Roman"/>
                <w:sz w:val="20"/>
                <w:szCs w:val="20"/>
                <w:lang w:eastAsia="en-AU"/>
              </w:rPr>
            </w:pPr>
          </w:p>
        </w:tc>
        <w:tc>
          <w:tcPr>
            <w:tcW w:w="1157" w:type="dxa"/>
            <w:tcBorders>
              <w:top w:val="nil"/>
              <w:left w:val="nil"/>
              <w:bottom w:val="nil"/>
              <w:right w:val="nil"/>
            </w:tcBorders>
            <w:shd w:val="clear" w:color="auto" w:fill="auto"/>
            <w:noWrap/>
            <w:vAlign w:val="center"/>
            <w:hideMark/>
          </w:tcPr>
          <w:p w14:paraId="325E9772" w14:textId="77777777" w:rsidR="00BC5219" w:rsidRPr="00F07C24" w:rsidRDefault="00BC5219" w:rsidP="00E83802">
            <w:pPr>
              <w:jc w:val="right"/>
              <w:outlineLvl w:val="0"/>
              <w:rPr>
                <w:rFonts w:ascii="Times New Roman" w:eastAsia="Times New Roman" w:hAnsi="Times New Roman" w:cs="Times New Roman"/>
                <w:sz w:val="20"/>
                <w:szCs w:val="20"/>
                <w:lang w:eastAsia="en-AU"/>
              </w:rPr>
            </w:pPr>
          </w:p>
        </w:tc>
      </w:tr>
      <w:tr w:rsidR="00BC5219" w:rsidRPr="00F07C24" w14:paraId="49611E0A" w14:textId="77777777" w:rsidTr="00E83802">
        <w:trPr>
          <w:trHeight w:val="198"/>
        </w:trPr>
        <w:tc>
          <w:tcPr>
            <w:tcW w:w="6350" w:type="dxa"/>
            <w:tcBorders>
              <w:top w:val="nil"/>
              <w:left w:val="nil"/>
              <w:bottom w:val="nil"/>
              <w:right w:val="nil"/>
            </w:tcBorders>
            <w:shd w:val="clear" w:color="auto" w:fill="auto"/>
            <w:noWrap/>
            <w:vAlign w:val="center"/>
            <w:hideMark/>
          </w:tcPr>
          <w:p w14:paraId="71A5CBFB" w14:textId="77777777" w:rsidR="00BC5219" w:rsidRPr="00F07C24" w:rsidRDefault="00BC5219" w:rsidP="00E83802">
            <w:pPr>
              <w:outlineLvl w:val="0"/>
              <w:rPr>
                <w:rFonts w:ascii="Meta Pro" w:eastAsia="Times New Roman" w:hAnsi="Meta Pro"/>
                <w:b/>
                <w:bCs/>
                <w:szCs w:val="18"/>
                <w:lang w:eastAsia="en-AU"/>
              </w:rPr>
            </w:pPr>
            <w:r w:rsidRPr="00F07C24">
              <w:rPr>
                <w:rFonts w:ascii="Meta Pro" w:eastAsia="Times New Roman" w:hAnsi="Meta Pro"/>
                <w:b/>
                <w:bCs/>
                <w:szCs w:val="18"/>
                <w:lang w:eastAsia="en-AU"/>
              </w:rPr>
              <w:t>Non-current assets</w:t>
            </w:r>
          </w:p>
        </w:tc>
        <w:tc>
          <w:tcPr>
            <w:tcW w:w="1157" w:type="dxa"/>
            <w:tcBorders>
              <w:top w:val="nil"/>
              <w:left w:val="nil"/>
              <w:bottom w:val="nil"/>
              <w:right w:val="nil"/>
            </w:tcBorders>
            <w:shd w:val="clear" w:color="auto" w:fill="auto"/>
            <w:noWrap/>
            <w:vAlign w:val="center"/>
            <w:hideMark/>
          </w:tcPr>
          <w:p w14:paraId="008F4C81" w14:textId="77777777" w:rsidR="00BC5219" w:rsidRPr="00F07C24" w:rsidRDefault="00BC5219" w:rsidP="00E83802">
            <w:pPr>
              <w:outlineLvl w:val="0"/>
              <w:rPr>
                <w:rFonts w:ascii="Meta Pro" w:eastAsia="Times New Roman" w:hAnsi="Meta Pro"/>
                <w:b/>
                <w:bCs/>
                <w:szCs w:val="18"/>
                <w:lang w:eastAsia="en-AU"/>
              </w:rPr>
            </w:pPr>
          </w:p>
        </w:tc>
        <w:tc>
          <w:tcPr>
            <w:tcW w:w="198" w:type="dxa"/>
            <w:tcBorders>
              <w:top w:val="nil"/>
              <w:left w:val="nil"/>
              <w:bottom w:val="nil"/>
              <w:right w:val="nil"/>
            </w:tcBorders>
            <w:shd w:val="clear" w:color="auto" w:fill="auto"/>
            <w:noWrap/>
            <w:vAlign w:val="center"/>
            <w:hideMark/>
          </w:tcPr>
          <w:p w14:paraId="1476AF22" w14:textId="77777777" w:rsidR="00BC5219" w:rsidRPr="00F07C24" w:rsidRDefault="00BC5219" w:rsidP="00E83802">
            <w:pPr>
              <w:outlineLvl w:val="0"/>
              <w:rPr>
                <w:rFonts w:ascii="Times New Roman" w:eastAsia="Times New Roman" w:hAnsi="Times New Roman" w:cs="Times New Roman"/>
                <w:sz w:val="20"/>
                <w:szCs w:val="20"/>
                <w:lang w:eastAsia="en-AU"/>
              </w:rPr>
            </w:pPr>
          </w:p>
        </w:tc>
        <w:tc>
          <w:tcPr>
            <w:tcW w:w="1138" w:type="dxa"/>
            <w:tcBorders>
              <w:top w:val="nil"/>
              <w:left w:val="nil"/>
              <w:bottom w:val="nil"/>
              <w:right w:val="nil"/>
            </w:tcBorders>
            <w:shd w:val="clear" w:color="auto" w:fill="auto"/>
            <w:noWrap/>
            <w:vAlign w:val="center"/>
            <w:hideMark/>
          </w:tcPr>
          <w:p w14:paraId="28295CA8" w14:textId="77777777" w:rsidR="00BC5219" w:rsidRPr="00F07C24" w:rsidRDefault="00BC5219" w:rsidP="00E83802">
            <w:pPr>
              <w:jc w:val="right"/>
              <w:outlineLvl w:val="0"/>
              <w:rPr>
                <w:rFonts w:ascii="Times New Roman" w:eastAsia="Times New Roman" w:hAnsi="Times New Roman"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55D46BF0" w14:textId="77777777" w:rsidR="00BC5219" w:rsidRPr="00F07C24" w:rsidRDefault="00BC5219" w:rsidP="00E83802">
            <w:pPr>
              <w:outlineLvl w:val="0"/>
              <w:rPr>
                <w:rFonts w:ascii="Times New Roman" w:eastAsia="Times New Roman" w:hAnsi="Times New Roman" w:cs="Times New Roman"/>
                <w:sz w:val="20"/>
                <w:szCs w:val="20"/>
                <w:lang w:eastAsia="en-AU"/>
              </w:rPr>
            </w:pPr>
          </w:p>
        </w:tc>
        <w:tc>
          <w:tcPr>
            <w:tcW w:w="1157" w:type="dxa"/>
            <w:tcBorders>
              <w:top w:val="nil"/>
              <w:left w:val="nil"/>
              <w:bottom w:val="nil"/>
              <w:right w:val="nil"/>
            </w:tcBorders>
            <w:shd w:val="clear" w:color="auto" w:fill="auto"/>
            <w:noWrap/>
            <w:vAlign w:val="center"/>
            <w:hideMark/>
          </w:tcPr>
          <w:p w14:paraId="513DC2A5" w14:textId="77777777" w:rsidR="00BC5219" w:rsidRPr="00F07C24" w:rsidRDefault="00BC5219" w:rsidP="00E83802">
            <w:pPr>
              <w:jc w:val="right"/>
              <w:outlineLvl w:val="0"/>
              <w:rPr>
                <w:rFonts w:ascii="Times New Roman" w:eastAsia="Times New Roman" w:hAnsi="Times New Roman" w:cs="Times New Roman"/>
                <w:sz w:val="20"/>
                <w:szCs w:val="20"/>
                <w:lang w:eastAsia="en-AU"/>
              </w:rPr>
            </w:pPr>
          </w:p>
        </w:tc>
      </w:tr>
      <w:tr w:rsidR="00BC5219" w:rsidRPr="00F07C24" w14:paraId="5E709B20" w14:textId="77777777" w:rsidTr="00E83802">
        <w:trPr>
          <w:trHeight w:val="198"/>
        </w:trPr>
        <w:tc>
          <w:tcPr>
            <w:tcW w:w="6350" w:type="dxa"/>
            <w:tcBorders>
              <w:top w:val="nil"/>
              <w:left w:val="nil"/>
              <w:bottom w:val="nil"/>
              <w:right w:val="nil"/>
            </w:tcBorders>
            <w:shd w:val="clear" w:color="auto" w:fill="auto"/>
            <w:noWrap/>
            <w:vAlign w:val="center"/>
            <w:hideMark/>
          </w:tcPr>
          <w:p w14:paraId="2DCA4744" w14:textId="77777777" w:rsidR="00BC5219" w:rsidRPr="00F07C24" w:rsidRDefault="00BC5219" w:rsidP="00E83802">
            <w:pPr>
              <w:outlineLvl w:val="0"/>
              <w:rPr>
                <w:rFonts w:ascii="Meta Pro" w:eastAsia="Times New Roman" w:hAnsi="Meta Pro"/>
                <w:szCs w:val="18"/>
                <w:lang w:eastAsia="en-AU"/>
              </w:rPr>
            </w:pPr>
            <w:r w:rsidRPr="00F07C24">
              <w:rPr>
                <w:rFonts w:ascii="Meta Pro" w:eastAsia="Times New Roman" w:hAnsi="Meta Pro"/>
                <w:szCs w:val="18"/>
                <w:lang w:eastAsia="en-AU"/>
              </w:rPr>
              <w:t>Receivables</w:t>
            </w:r>
          </w:p>
        </w:tc>
        <w:tc>
          <w:tcPr>
            <w:tcW w:w="1157" w:type="dxa"/>
            <w:tcBorders>
              <w:top w:val="nil"/>
              <w:left w:val="nil"/>
              <w:bottom w:val="nil"/>
              <w:right w:val="nil"/>
            </w:tcBorders>
            <w:shd w:val="clear" w:color="auto" w:fill="auto"/>
            <w:noWrap/>
            <w:vAlign w:val="center"/>
            <w:hideMark/>
          </w:tcPr>
          <w:p w14:paraId="441CC92E"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3,229 </w:t>
            </w:r>
          </w:p>
        </w:tc>
        <w:tc>
          <w:tcPr>
            <w:tcW w:w="198" w:type="dxa"/>
            <w:tcBorders>
              <w:top w:val="nil"/>
              <w:left w:val="nil"/>
              <w:bottom w:val="nil"/>
              <w:right w:val="nil"/>
            </w:tcBorders>
            <w:shd w:val="clear" w:color="auto" w:fill="auto"/>
            <w:noWrap/>
            <w:vAlign w:val="center"/>
            <w:hideMark/>
          </w:tcPr>
          <w:p w14:paraId="1F5EBC82" w14:textId="77777777" w:rsidR="00BC5219" w:rsidRPr="00F07C24" w:rsidRDefault="00BC5219" w:rsidP="00E83802">
            <w:pPr>
              <w:jc w:val="right"/>
              <w:outlineLvl w:val="0"/>
              <w:rPr>
                <w:rFonts w:ascii="Meta Pro" w:eastAsia="Times New Roman" w:hAnsi="Meta Pro"/>
                <w:szCs w:val="18"/>
                <w:lang w:eastAsia="en-AU"/>
              </w:rPr>
            </w:pPr>
          </w:p>
        </w:tc>
        <w:tc>
          <w:tcPr>
            <w:tcW w:w="1138" w:type="dxa"/>
            <w:tcBorders>
              <w:top w:val="nil"/>
              <w:left w:val="nil"/>
              <w:bottom w:val="nil"/>
              <w:right w:val="nil"/>
            </w:tcBorders>
            <w:shd w:val="clear" w:color="auto" w:fill="auto"/>
            <w:noWrap/>
            <w:vAlign w:val="center"/>
            <w:hideMark/>
          </w:tcPr>
          <w:p w14:paraId="1072960E"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3,421 </w:t>
            </w:r>
          </w:p>
        </w:tc>
        <w:tc>
          <w:tcPr>
            <w:tcW w:w="198" w:type="dxa"/>
            <w:tcBorders>
              <w:top w:val="nil"/>
              <w:left w:val="nil"/>
              <w:bottom w:val="nil"/>
              <w:right w:val="nil"/>
            </w:tcBorders>
            <w:shd w:val="clear" w:color="auto" w:fill="auto"/>
            <w:noWrap/>
            <w:vAlign w:val="center"/>
            <w:hideMark/>
          </w:tcPr>
          <w:p w14:paraId="16F34DDD" w14:textId="77777777" w:rsidR="00BC5219" w:rsidRPr="00F07C24" w:rsidRDefault="00BC5219" w:rsidP="00E83802">
            <w:pPr>
              <w:jc w:val="right"/>
              <w:outlineLvl w:val="0"/>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0EFEC24C"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192 </w:t>
            </w:r>
          </w:p>
        </w:tc>
      </w:tr>
      <w:tr w:rsidR="00BC5219" w:rsidRPr="00F07C24" w14:paraId="26056C34" w14:textId="77777777" w:rsidTr="00E83802">
        <w:trPr>
          <w:trHeight w:val="198"/>
        </w:trPr>
        <w:tc>
          <w:tcPr>
            <w:tcW w:w="6350" w:type="dxa"/>
            <w:tcBorders>
              <w:top w:val="nil"/>
              <w:left w:val="nil"/>
              <w:bottom w:val="nil"/>
              <w:right w:val="nil"/>
            </w:tcBorders>
            <w:shd w:val="clear" w:color="auto" w:fill="auto"/>
            <w:noWrap/>
            <w:vAlign w:val="center"/>
            <w:hideMark/>
          </w:tcPr>
          <w:p w14:paraId="20FBF956" w14:textId="77777777" w:rsidR="00BC5219" w:rsidRPr="00F07C24" w:rsidRDefault="00BC5219" w:rsidP="00E83802">
            <w:pPr>
              <w:outlineLvl w:val="0"/>
              <w:rPr>
                <w:rFonts w:ascii="Meta Pro" w:eastAsia="Times New Roman" w:hAnsi="Meta Pro"/>
                <w:szCs w:val="18"/>
                <w:lang w:eastAsia="en-AU"/>
              </w:rPr>
            </w:pPr>
            <w:r w:rsidRPr="00F07C24">
              <w:rPr>
                <w:rFonts w:ascii="Meta Pro" w:eastAsia="Times New Roman" w:hAnsi="Meta Pro"/>
                <w:szCs w:val="18"/>
                <w:lang w:eastAsia="en-AU"/>
              </w:rPr>
              <w:t>Prepayments</w:t>
            </w:r>
          </w:p>
        </w:tc>
        <w:tc>
          <w:tcPr>
            <w:tcW w:w="1157" w:type="dxa"/>
            <w:tcBorders>
              <w:top w:val="nil"/>
              <w:left w:val="nil"/>
              <w:bottom w:val="nil"/>
              <w:right w:val="nil"/>
            </w:tcBorders>
            <w:shd w:val="clear" w:color="auto" w:fill="auto"/>
            <w:noWrap/>
            <w:vAlign w:val="center"/>
            <w:hideMark/>
          </w:tcPr>
          <w:p w14:paraId="7D99227E"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91,594 </w:t>
            </w:r>
          </w:p>
        </w:tc>
        <w:tc>
          <w:tcPr>
            <w:tcW w:w="198" w:type="dxa"/>
            <w:tcBorders>
              <w:top w:val="nil"/>
              <w:left w:val="nil"/>
              <w:bottom w:val="nil"/>
              <w:right w:val="nil"/>
            </w:tcBorders>
            <w:shd w:val="clear" w:color="auto" w:fill="auto"/>
            <w:noWrap/>
            <w:vAlign w:val="center"/>
            <w:hideMark/>
          </w:tcPr>
          <w:p w14:paraId="76CD3C33" w14:textId="77777777" w:rsidR="00BC5219" w:rsidRPr="00F07C24" w:rsidRDefault="00BC5219" w:rsidP="00E83802">
            <w:pPr>
              <w:jc w:val="right"/>
              <w:outlineLvl w:val="0"/>
              <w:rPr>
                <w:rFonts w:ascii="Meta Pro" w:eastAsia="Times New Roman" w:hAnsi="Meta Pro"/>
                <w:szCs w:val="18"/>
                <w:lang w:eastAsia="en-AU"/>
              </w:rPr>
            </w:pPr>
          </w:p>
        </w:tc>
        <w:tc>
          <w:tcPr>
            <w:tcW w:w="1138" w:type="dxa"/>
            <w:tcBorders>
              <w:top w:val="nil"/>
              <w:left w:val="nil"/>
              <w:bottom w:val="nil"/>
              <w:right w:val="nil"/>
            </w:tcBorders>
            <w:shd w:val="clear" w:color="auto" w:fill="auto"/>
            <w:noWrap/>
            <w:vAlign w:val="center"/>
            <w:hideMark/>
          </w:tcPr>
          <w:p w14:paraId="3A8B5741"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80,550 </w:t>
            </w:r>
          </w:p>
        </w:tc>
        <w:tc>
          <w:tcPr>
            <w:tcW w:w="198" w:type="dxa"/>
            <w:tcBorders>
              <w:top w:val="nil"/>
              <w:left w:val="nil"/>
              <w:bottom w:val="nil"/>
              <w:right w:val="nil"/>
            </w:tcBorders>
            <w:shd w:val="clear" w:color="auto" w:fill="auto"/>
            <w:noWrap/>
            <w:vAlign w:val="center"/>
            <w:hideMark/>
          </w:tcPr>
          <w:p w14:paraId="0E9F33A8" w14:textId="77777777" w:rsidR="00BC5219" w:rsidRPr="00F07C24" w:rsidRDefault="00BC5219" w:rsidP="00E83802">
            <w:pPr>
              <w:jc w:val="right"/>
              <w:outlineLvl w:val="0"/>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0C8D5BBF"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(11,044)</w:t>
            </w:r>
          </w:p>
        </w:tc>
      </w:tr>
      <w:tr w:rsidR="00BC5219" w:rsidRPr="00F07C24" w14:paraId="72203F53" w14:textId="77777777" w:rsidTr="00E83802">
        <w:trPr>
          <w:trHeight w:val="198"/>
        </w:trPr>
        <w:tc>
          <w:tcPr>
            <w:tcW w:w="6350" w:type="dxa"/>
            <w:tcBorders>
              <w:top w:val="nil"/>
              <w:left w:val="nil"/>
              <w:bottom w:val="nil"/>
              <w:right w:val="nil"/>
            </w:tcBorders>
            <w:shd w:val="clear" w:color="auto" w:fill="auto"/>
            <w:noWrap/>
            <w:vAlign w:val="center"/>
            <w:hideMark/>
          </w:tcPr>
          <w:p w14:paraId="3914DB1C" w14:textId="77777777" w:rsidR="00BC5219" w:rsidRPr="00F07C24" w:rsidRDefault="00BC5219" w:rsidP="00E83802">
            <w:pPr>
              <w:outlineLvl w:val="0"/>
              <w:rPr>
                <w:rFonts w:ascii="Meta Pro" w:eastAsia="Times New Roman" w:hAnsi="Meta Pro"/>
                <w:szCs w:val="18"/>
                <w:lang w:eastAsia="en-AU"/>
              </w:rPr>
            </w:pPr>
            <w:r w:rsidRPr="00F07C24">
              <w:rPr>
                <w:rFonts w:ascii="Meta Pro" w:eastAsia="Times New Roman" w:hAnsi="Meta Pro"/>
                <w:szCs w:val="18"/>
                <w:lang w:eastAsia="en-AU"/>
              </w:rPr>
              <w:t>Intangible assets</w:t>
            </w:r>
          </w:p>
        </w:tc>
        <w:tc>
          <w:tcPr>
            <w:tcW w:w="1157" w:type="dxa"/>
            <w:tcBorders>
              <w:top w:val="nil"/>
              <w:left w:val="nil"/>
              <w:bottom w:val="nil"/>
              <w:right w:val="nil"/>
            </w:tcBorders>
            <w:shd w:val="clear" w:color="auto" w:fill="auto"/>
            <w:noWrap/>
            <w:vAlign w:val="center"/>
            <w:hideMark/>
          </w:tcPr>
          <w:p w14:paraId="7026A14D"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212,471 </w:t>
            </w:r>
          </w:p>
        </w:tc>
        <w:tc>
          <w:tcPr>
            <w:tcW w:w="198" w:type="dxa"/>
            <w:tcBorders>
              <w:top w:val="nil"/>
              <w:left w:val="nil"/>
              <w:bottom w:val="nil"/>
              <w:right w:val="nil"/>
            </w:tcBorders>
            <w:shd w:val="clear" w:color="auto" w:fill="auto"/>
            <w:noWrap/>
            <w:vAlign w:val="center"/>
            <w:hideMark/>
          </w:tcPr>
          <w:p w14:paraId="150708E7" w14:textId="77777777" w:rsidR="00BC5219" w:rsidRPr="00F07C24" w:rsidRDefault="00BC5219" w:rsidP="00E83802">
            <w:pPr>
              <w:jc w:val="right"/>
              <w:outlineLvl w:val="0"/>
              <w:rPr>
                <w:rFonts w:ascii="Meta Pro" w:eastAsia="Times New Roman" w:hAnsi="Meta Pro"/>
                <w:szCs w:val="18"/>
                <w:lang w:eastAsia="en-AU"/>
              </w:rPr>
            </w:pPr>
          </w:p>
        </w:tc>
        <w:tc>
          <w:tcPr>
            <w:tcW w:w="1138" w:type="dxa"/>
            <w:tcBorders>
              <w:top w:val="nil"/>
              <w:left w:val="nil"/>
              <w:bottom w:val="nil"/>
              <w:right w:val="nil"/>
            </w:tcBorders>
            <w:shd w:val="clear" w:color="auto" w:fill="auto"/>
            <w:noWrap/>
            <w:vAlign w:val="center"/>
            <w:hideMark/>
          </w:tcPr>
          <w:p w14:paraId="49ED3832"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69,214 </w:t>
            </w:r>
          </w:p>
        </w:tc>
        <w:tc>
          <w:tcPr>
            <w:tcW w:w="198" w:type="dxa"/>
            <w:tcBorders>
              <w:top w:val="nil"/>
              <w:left w:val="nil"/>
              <w:bottom w:val="nil"/>
              <w:right w:val="nil"/>
            </w:tcBorders>
            <w:shd w:val="clear" w:color="auto" w:fill="auto"/>
            <w:noWrap/>
            <w:vAlign w:val="center"/>
            <w:hideMark/>
          </w:tcPr>
          <w:p w14:paraId="2C91AB6F" w14:textId="77777777" w:rsidR="00BC5219" w:rsidRPr="00F07C24" w:rsidRDefault="00BC5219" w:rsidP="00E83802">
            <w:pPr>
              <w:jc w:val="right"/>
              <w:outlineLvl w:val="0"/>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6B6A8FEC"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(143,257)</w:t>
            </w:r>
          </w:p>
        </w:tc>
      </w:tr>
      <w:tr w:rsidR="00BC5219" w:rsidRPr="00F07C24" w14:paraId="78936711" w14:textId="77777777" w:rsidTr="00E83802">
        <w:trPr>
          <w:trHeight w:val="198"/>
        </w:trPr>
        <w:tc>
          <w:tcPr>
            <w:tcW w:w="6350" w:type="dxa"/>
            <w:tcBorders>
              <w:top w:val="nil"/>
              <w:left w:val="nil"/>
              <w:bottom w:val="nil"/>
              <w:right w:val="nil"/>
            </w:tcBorders>
            <w:shd w:val="clear" w:color="auto" w:fill="auto"/>
            <w:noWrap/>
            <w:vAlign w:val="center"/>
            <w:hideMark/>
          </w:tcPr>
          <w:p w14:paraId="5A2A5740" w14:textId="77777777" w:rsidR="00BC5219" w:rsidRPr="00F07C24" w:rsidRDefault="00BC5219" w:rsidP="00E83802">
            <w:pPr>
              <w:outlineLvl w:val="0"/>
              <w:rPr>
                <w:rFonts w:ascii="Meta Pro" w:eastAsia="Times New Roman" w:hAnsi="Meta Pro"/>
                <w:szCs w:val="18"/>
                <w:lang w:eastAsia="en-AU"/>
              </w:rPr>
            </w:pPr>
            <w:r w:rsidRPr="00F07C24">
              <w:rPr>
                <w:rFonts w:ascii="Meta Pro" w:eastAsia="Times New Roman" w:hAnsi="Meta Pro"/>
                <w:szCs w:val="18"/>
                <w:lang w:eastAsia="en-AU"/>
              </w:rPr>
              <w:t>Property, plant and equipment</w:t>
            </w:r>
          </w:p>
        </w:tc>
        <w:tc>
          <w:tcPr>
            <w:tcW w:w="1157" w:type="dxa"/>
            <w:tcBorders>
              <w:top w:val="nil"/>
              <w:left w:val="nil"/>
              <w:bottom w:val="nil"/>
              <w:right w:val="nil"/>
            </w:tcBorders>
            <w:shd w:val="clear" w:color="auto" w:fill="auto"/>
            <w:noWrap/>
            <w:vAlign w:val="center"/>
            <w:hideMark/>
          </w:tcPr>
          <w:p w14:paraId="25621515"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80,737,926 </w:t>
            </w:r>
          </w:p>
        </w:tc>
        <w:tc>
          <w:tcPr>
            <w:tcW w:w="198" w:type="dxa"/>
            <w:tcBorders>
              <w:top w:val="nil"/>
              <w:left w:val="nil"/>
              <w:bottom w:val="nil"/>
              <w:right w:val="nil"/>
            </w:tcBorders>
            <w:shd w:val="clear" w:color="auto" w:fill="auto"/>
            <w:noWrap/>
            <w:vAlign w:val="center"/>
            <w:hideMark/>
          </w:tcPr>
          <w:p w14:paraId="3ECF9082" w14:textId="77777777" w:rsidR="00BC5219" w:rsidRPr="00F07C24" w:rsidRDefault="00BC5219" w:rsidP="00E83802">
            <w:pPr>
              <w:jc w:val="right"/>
              <w:outlineLvl w:val="0"/>
              <w:rPr>
                <w:rFonts w:ascii="Meta Pro" w:eastAsia="Times New Roman" w:hAnsi="Meta Pro"/>
                <w:szCs w:val="18"/>
                <w:lang w:eastAsia="en-AU"/>
              </w:rPr>
            </w:pPr>
          </w:p>
        </w:tc>
        <w:tc>
          <w:tcPr>
            <w:tcW w:w="1138" w:type="dxa"/>
            <w:tcBorders>
              <w:top w:val="nil"/>
              <w:left w:val="nil"/>
              <w:bottom w:val="nil"/>
              <w:right w:val="nil"/>
            </w:tcBorders>
            <w:shd w:val="clear" w:color="auto" w:fill="auto"/>
            <w:noWrap/>
            <w:vAlign w:val="center"/>
            <w:hideMark/>
          </w:tcPr>
          <w:p w14:paraId="3BE7A8D0"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104,496,070 </w:t>
            </w:r>
          </w:p>
        </w:tc>
        <w:tc>
          <w:tcPr>
            <w:tcW w:w="198" w:type="dxa"/>
            <w:tcBorders>
              <w:top w:val="nil"/>
              <w:left w:val="nil"/>
              <w:bottom w:val="nil"/>
              <w:right w:val="nil"/>
            </w:tcBorders>
            <w:shd w:val="clear" w:color="auto" w:fill="auto"/>
            <w:noWrap/>
            <w:vAlign w:val="center"/>
            <w:hideMark/>
          </w:tcPr>
          <w:p w14:paraId="41440862" w14:textId="77777777" w:rsidR="00BC5219" w:rsidRPr="00F07C24" w:rsidRDefault="00BC5219" w:rsidP="00E83802">
            <w:pPr>
              <w:jc w:val="right"/>
              <w:outlineLvl w:val="0"/>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6A0262C1"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23,758,144 </w:t>
            </w:r>
          </w:p>
        </w:tc>
      </w:tr>
      <w:tr w:rsidR="00BC5219" w:rsidRPr="00F07C24" w14:paraId="69DAC705" w14:textId="77777777" w:rsidTr="00E83802">
        <w:trPr>
          <w:trHeight w:val="198"/>
        </w:trPr>
        <w:tc>
          <w:tcPr>
            <w:tcW w:w="6350" w:type="dxa"/>
            <w:tcBorders>
              <w:top w:val="nil"/>
              <w:left w:val="nil"/>
              <w:bottom w:val="nil"/>
              <w:right w:val="nil"/>
            </w:tcBorders>
            <w:shd w:val="clear" w:color="auto" w:fill="auto"/>
            <w:noWrap/>
            <w:vAlign w:val="center"/>
            <w:hideMark/>
          </w:tcPr>
          <w:p w14:paraId="49E5F907" w14:textId="77777777" w:rsidR="00BC5219" w:rsidRPr="00F07C24" w:rsidRDefault="00BC5219" w:rsidP="00E83802">
            <w:pPr>
              <w:outlineLvl w:val="0"/>
              <w:rPr>
                <w:rFonts w:ascii="Meta Pro" w:eastAsia="Times New Roman" w:hAnsi="Meta Pro"/>
                <w:szCs w:val="18"/>
                <w:lang w:eastAsia="en-AU"/>
              </w:rPr>
            </w:pPr>
            <w:r w:rsidRPr="00F07C24">
              <w:rPr>
                <w:rFonts w:ascii="Meta Pro" w:eastAsia="Times New Roman" w:hAnsi="Meta Pro"/>
                <w:szCs w:val="18"/>
                <w:lang w:eastAsia="en-AU"/>
              </w:rPr>
              <w:t>Service concession assets</w:t>
            </w:r>
          </w:p>
        </w:tc>
        <w:tc>
          <w:tcPr>
            <w:tcW w:w="1157" w:type="dxa"/>
            <w:tcBorders>
              <w:top w:val="nil"/>
              <w:left w:val="nil"/>
              <w:bottom w:val="nil"/>
              <w:right w:val="nil"/>
            </w:tcBorders>
            <w:shd w:val="clear" w:color="auto" w:fill="auto"/>
            <w:noWrap/>
            <w:vAlign w:val="center"/>
            <w:hideMark/>
          </w:tcPr>
          <w:p w14:paraId="168F5325"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11,524,605 </w:t>
            </w:r>
          </w:p>
        </w:tc>
        <w:tc>
          <w:tcPr>
            <w:tcW w:w="198" w:type="dxa"/>
            <w:tcBorders>
              <w:top w:val="nil"/>
              <w:left w:val="nil"/>
              <w:bottom w:val="nil"/>
              <w:right w:val="nil"/>
            </w:tcBorders>
            <w:shd w:val="clear" w:color="auto" w:fill="auto"/>
            <w:noWrap/>
            <w:vAlign w:val="center"/>
            <w:hideMark/>
          </w:tcPr>
          <w:p w14:paraId="13755E81" w14:textId="77777777" w:rsidR="00BC5219" w:rsidRPr="00F07C24" w:rsidRDefault="00BC5219" w:rsidP="00E83802">
            <w:pPr>
              <w:jc w:val="right"/>
              <w:outlineLvl w:val="0"/>
              <w:rPr>
                <w:rFonts w:ascii="Meta Pro" w:eastAsia="Times New Roman" w:hAnsi="Meta Pro"/>
                <w:szCs w:val="18"/>
                <w:lang w:eastAsia="en-AU"/>
              </w:rPr>
            </w:pPr>
          </w:p>
        </w:tc>
        <w:tc>
          <w:tcPr>
            <w:tcW w:w="1138" w:type="dxa"/>
            <w:tcBorders>
              <w:top w:val="nil"/>
              <w:left w:val="nil"/>
              <w:bottom w:val="nil"/>
              <w:right w:val="nil"/>
            </w:tcBorders>
            <w:shd w:val="clear" w:color="auto" w:fill="auto"/>
            <w:noWrap/>
            <w:vAlign w:val="center"/>
            <w:hideMark/>
          </w:tcPr>
          <w:p w14:paraId="18B726D9"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14,097,645 </w:t>
            </w:r>
          </w:p>
        </w:tc>
        <w:tc>
          <w:tcPr>
            <w:tcW w:w="198" w:type="dxa"/>
            <w:tcBorders>
              <w:top w:val="nil"/>
              <w:left w:val="nil"/>
              <w:bottom w:val="nil"/>
              <w:right w:val="nil"/>
            </w:tcBorders>
            <w:shd w:val="clear" w:color="auto" w:fill="auto"/>
            <w:noWrap/>
            <w:vAlign w:val="center"/>
            <w:hideMark/>
          </w:tcPr>
          <w:p w14:paraId="455A1E36" w14:textId="77777777" w:rsidR="00BC5219" w:rsidRPr="00F07C24" w:rsidRDefault="00BC5219" w:rsidP="00E83802">
            <w:pPr>
              <w:jc w:val="right"/>
              <w:outlineLvl w:val="0"/>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2D45CD1E"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2,573,040 </w:t>
            </w:r>
          </w:p>
        </w:tc>
      </w:tr>
      <w:tr w:rsidR="00BC5219" w:rsidRPr="00F07C24" w14:paraId="455B1CE8" w14:textId="77777777" w:rsidTr="00E83802">
        <w:trPr>
          <w:trHeight w:val="198"/>
        </w:trPr>
        <w:tc>
          <w:tcPr>
            <w:tcW w:w="6350" w:type="dxa"/>
            <w:tcBorders>
              <w:top w:val="nil"/>
              <w:left w:val="nil"/>
              <w:bottom w:val="nil"/>
              <w:right w:val="nil"/>
            </w:tcBorders>
            <w:shd w:val="clear" w:color="auto" w:fill="auto"/>
            <w:noWrap/>
            <w:vAlign w:val="center"/>
            <w:hideMark/>
          </w:tcPr>
          <w:p w14:paraId="091203D4" w14:textId="77777777" w:rsidR="00BC5219" w:rsidRPr="00F07C24" w:rsidRDefault="00BC5219" w:rsidP="00E83802">
            <w:pPr>
              <w:outlineLvl w:val="0"/>
              <w:rPr>
                <w:rFonts w:ascii="Meta Pro" w:eastAsia="Times New Roman" w:hAnsi="Meta Pro"/>
                <w:szCs w:val="18"/>
                <w:lang w:eastAsia="en-AU"/>
              </w:rPr>
            </w:pPr>
            <w:r w:rsidRPr="00F07C24">
              <w:rPr>
                <w:rFonts w:ascii="Meta Pro" w:eastAsia="Times New Roman" w:hAnsi="Meta Pro"/>
                <w:szCs w:val="18"/>
                <w:lang w:eastAsia="en-AU"/>
              </w:rPr>
              <w:t>Deferred tax assets</w:t>
            </w:r>
          </w:p>
        </w:tc>
        <w:tc>
          <w:tcPr>
            <w:tcW w:w="1157" w:type="dxa"/>
            <w:tcBorders>
              <w:top w:val="nil"/>
              <w:left w:val="nil"/>
              <w:bottom w:val="nil"/>
              <w:right w:val="nil"/>
            </w:tcBorders>
            <w:shd w:val="clear" w:color="auto" w:fill="auto"/>
            <w:noWrap/>
            <w:vAlign w:val="center"/>
            <w:hideMark/>
          </w:tcPr>
          <w:p w14:paraId="13299CE8"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1,780 </w:t>
            </w:r>
          </w:p>
        </w:tc>
        <w:tc>
          <w:tcPr>
            <w:tcW w:w="198" w:type="dxa"/>
            <w:tcBorders>
              <w:top w:val="nil"/>
              <w:left w:val="nil"/>
              <w:bottom w:val="nil"/>
              <w:right w:val="nil"/>
            </w:tcBorders>
            <w:shd w:val="clear" w:color="auto" w:fill="auto"/>
            <w:noWrap/>
            <w:vAlign w:val="center"/>
            <w:hideMark/>
          </w:tcPr>
          <w:p w14:paraId="3E752F4C" w14:textId="77777777" w:rsidR="00BC5219" w:rsidRPr="00F07C24" w:rsidRDefault="00BC5219" w:rsidP="00E83802">
            <w:pPr>
              <w:jc w:val="right"/>
              <w:outlineLvl w:val="0"/>
              <w:rPr>
                <w:rFonts w:ascii="Meta Pro" w:eastAsia="Times New Roman" w:hAnsi="Meta Pro"/>
                <w:szCs w:val="18"/>
                <w:lang w:eastAsia="en-AU"/>
              </w:rPr>
            </w:pPr>
          </w:p>
        </w:tc>
        <w:tc>
          <w:tcPr>
            <w:tcW w:w="1138" w:type="dxa"/>
            <w:tcBorders>
              <w:top w:val="nil"/>
              <w:left w:val="nil"/>
              <w:bottom w:val="nil"/>
              <w:right w:val="nil"/>
            </w:tcBorders>
            <w:shd w:val="clear" w:color="auto" w:fill="auto"/>
            <w:noWrap/>
            <w:vAlign w:val="center"/>
            <w:hideMark/>
          </w:tcPr>
          <w:p w14:paraId="30A4473C"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3,001 </w:t>
            </w:r>
          </w:p>
        </w:tc>
        <w:tc>
          <w:tcPr>
            <w:tcW w:w="198" w:type="dxa"/>
            <w:tcBorders>
              <w:top w:val="nil"/>
              <w:left w:val="nil"/>
              <w:bottom w:val="nil"/>
              <w:right w:val="nil"/>
            </w:tcBorders>
            <w:shd w:val="clear" w:color="auto" w:fill="auto"/>
            <w:noWrap/>
            <w:vAlign w:val="center"/>
            <w:hideMark/>
          </w:tcPr>
          <w:p w14:paraId="294D8D5C" w14:textId="77777777" w:rsidR="00BC5219" w:rsidRPr="00F07C24" w:rsidRDefault="00BC5219" w:rsidP="00E83802">
            <w:pPr>
              <w:jc w:val="right"/>
              <w:outlineLvl w:val="0"/>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1F34BD9E"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1,221 </w:t>
            </w:r>
          </w:p>
        </w:tc>
      </w:tr>
      <w:tr w:rsidR="00BC5219" w:rsidRPr="00F07C24" w14:paraId="6C01AF3F" w14:textId="77777777" w:rsidTr="00E83802">
        <w:trPr>
          <w:trHeight w:val="198"/>
        </w:trPr>
        <w:tc>
          <w:tcPr>
            <w:tcW w:w="6350" w:type="dxa"/>
            <w:tcBorders>
              <w:top w:val="nil"/>
              <w:left w:val="nil"/>
              <w:bottom w:val="nil"/>
              <w:right w:val="nil"/>
            </w:tcBorders>
            <w:shd w:val="clear" w:color="auto" w:fill="auto"/>
            <w:noWrap/>
            <w:vAlign w:val="center"/>
            <w:hideMark/>
          </w:tcPr>
          <w:p w14:paraId="5370C732" w14:textId="77777777" w:rsidR="00BC5219" w:rsidRPr="00F07C24" w:rsidRDefault="00BC5219" w:rsidP="00E83802">
            <w:pPr>
              <w:outlineLvl w:val="0"/>
              <w:rPr>
                <w:rFonts w:ascii="Meta Pro" w:eastAsia="Times New Roman" w:hAnsi="Meta Pro"/>
                <w:szCs w:val="18"/>
                <w:lang w:eastAsia="en-AU"/>
              </w:rPr>
            </w:pPr>
            <w:r w:rsidRPr="00F07C24">
              <w:rPr>
                <w:rFonts w:ascii="Meta Pro" w:eastAsia="Times New Roman" w:hAnsi="Meta Pro"/>
                <w:szCs w:val="18"/>
                <w:lang w:eastAsia="en-AU"/>
              </w:rPr>
              <w:t>Right-of-use assets</w:t>
            </w:r>
          </w:p>
        </w:tc>
        <w:tc>
          <w:tcPr>
            <w:tcW w:w="1157" w:type="dxa"/>
            <w:tcBorders>
              <w:top w:val="nil"/>
              <w:left w:val="nil"/>
              <w:bottom w:val="nil"/>
              <w:right w:val="nil"/>
            </w:tcBorders>
            <w:shd w:val="clear" w:color="auto" w:fill="auto"/>
            <w:noWrap/>
            <w:vAlign w:val="center"/>
            <w:hideMark/>
          </w:tcPr>
          <w:p w14:paraId="2896BDFB"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4 </w:t>
            </w:r>
          </w:p>
        </w:tc>
        <w:tc>
          <w:tcPr>
            <w:tcW w:w="198" w:type="dxa"/>
            <w:tcBorders>
              <w:top w:val="nil"/>
              <w:left w:val="nil"/>
              <w:bottom w:val="nil"/>
              <w:right w:val="nil"/>
            </w:tcBorders>
            <w:shd w:val="clear" w:color="auto" w:fill="auto"/>
            <w:noWrap/>
            <w:vAlign w:val="center"/>
            <w:hideMark/>
          </w:tcPr>
          <w:p w14:paraId="3A03007A" w14:textId="77777777" w:rsidR="00BC5219" w:rsidRPr="00F07C24" w:rsidRDefault="00BC5219" w:rsidP="00E83802">
            <w:pPr>
              <w:jc w:val="right"/>
              <w:outlineLvl w:val="0"/>
              <w:rPr>
                <w:rFonts w:ascii="Meta Pro" w:eastAsia="Times New Roman" w:hAnsi="Meta Pro"/>
                <w:szCs w:val="18"/>
                <w:lang w:eastAsia="en-AU"/>
              </w:rPr>
            </w:pPr>
          </w:p>
        </w:tc>
        <w:tc>
          <w:tcPr>
            <w:tcW w:w="1138" w:type="dxa"/>
            <w:tcBorders>
              <w:top w:val="nil"/>
              <w:left w:val="nil"/>
              <w:bottom w:val="nil"/>
              <w:right w:val="nil"/>
            </w:tcBorders>
            <w:shd w:val="clear" w:color="auto" w:fill="auto"/>
            <w:noWrap/>
            <w:vAlign w:val="center"/>
            <w:hideMark/>
          </w:tcPr>
          <w:p w14:paraId="20362E4D"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98,871 </w:t>
            </w:r>
          </w:p>
        </w:tc>
        <w:tc>
          <w:tcPr>
            <w:tcW w:w="198" w:type="dxa"/>
            <w:tcBorders>
              <w:top w:val="nil"/>
              <w:left w:val="nil"/>
              <w:bottom w:val="nil"/>
              <w:right w:val="nil"/>
            </w:tcBorders>
            <w:shd w:val="clear" w:color="auto" w:fill="auto"/>
            <w:noWrap/>
            <w:vAlign w:val="center"/>
            <w:hideMark/>
          </w:tcPr>
          <w:p w14:paraId="599AFB9D" w14:textId="77777777" w:rsidR="00BC5219" w:rsidRPr="00F07C24" w:rsidRDefault="00BC5219" w:rsidP="00E83802">
            <w:pPr>
              <w:jc w:val="right"/>
              <w:outlineLvl w:val="0"/>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29B3A65B"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98,867 </w:t>
            </w:r>
          </w:p>
        </w:tc>
      </w:tr>
      <w:tr w:rsidR="00BC5219" w:rsidRPr="00F07C24" w14:paraId="2380CE8E" w14:textId="77777777" w:rsidTr="00E83802">
        <w:trPr>
          <w:trHeight w:val="198"/>
        </w:trPr>
        <w:tc>
          <w:tcPr>
            <w:tcW w:w="6350" w:type="dxa"/>
            <w:tcBorders>
              <w:top w:val="nil"/>
              <w:left w:val="nil"/>
              <w:bottom w:val="nil"/>
              <w:right w:val="nil"/>
            </w:tcBorders>
            <w:shd w:val="clear" w:color="auto" w:fill="auto"/>
            <w:noWrap/>
            <w:vAlign w:val="center"/>
            <w:hideMark/>
          </w:tcPr>
          <w:p w14:paraId="17ACFAF3" w14:textId="77777777" w:rsidR="00BC5219" w:rsidRPr="00F07C24" w:rsidRDefault="00BC5219" w:rsidP="00E83802">
            <w:pPr>
              <w:outlineLvl w:val="0"/>
              <w:rPr>
                <w:rFonts w:ascii="Meta Pro" w:eastAsia="Times New Roman" w:hAnsi="Meta Pro"/>
                <w:szCs w:val="18"/>
                <w:lang w:eastAsia="en-AU"/>
              </w:rPr>
            </w:pPr>
            <w:r w:rsidRPr="00F07C24">
              <w:rPr>
                <w:rFonts w:ascii="Meta Pro" w:eastAsia="Times New Roman" w:hAnsi="Meta Pro"/>
                <w:szCs w:val="18"/>
                <w:lang w:eastAsia="en-AU"/>
              </w:rPr>
              <w:t>Investment in subsidiary</w:t>
            </w:r>
          </w:p>
        </w:tc>
        <w:tc>
          <w:tcPr>
            <w:tcW w:w="1157" w:type="dxa"/>
            <w:tcBorders>
              <w:top w:val="nil"/>
              <w:left w:val="nil"/>
              <w:bottom w:val="nil"/>
              <w:right w:val="nil"/>
            </w:tcBorders>
            <w:shd w:val="clear" w:color="auto" w:fill="auto"/>
            <w:noWrap/>
            <w:vAlign w:val="center"/>
            <w:hideMark/>
          </w:tcPr>
          <w:p w14:paraId="622407E1"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5,601 </w:t>
            </w:r>
          </w:p>
        </w:tc>
        <w:tc>
          <w:tcPr>
            <w:tcW w:w="198" w:type="dxa"/>
            <w:tcBorders>
              <w:top w:val="nil"/>
              <w:left w:val="nil"/>
              <w:bottom w:val="nil"/>
              <w:right w:val="nil"/>
            </w:tcBorders>
            <w:shd w:val="clear" w:color="auto" w:fill="auto"/>
            <w:noWrap/>
            <w:vAlign w:val="center"/>
            <w:hideMark/>
          </w:tcPr>
          <w:p w14:paraId="1B4F2725" w14:textId="77777777" w:rsidR="00BC5219" w:rsidRPr="00F07C24" w:rsidRDefault="00BC5219" w:rsidP="00E83802">
            <w:pPr>
              <w:jc w:val="right"/>
              <w:outlineLvl w:val="0"/>
              <w:rPr>
                <w:rFonts w:ascii="Meta Pro" w:eastAsia="Times New Roman" w:hAnsi="Meta Pro"/>
                <w:szCs w:val="18"/>
                <w:lang w:eastAsia="en-AU"/>
              </w:rPr>
            </w:pPr>
          </w:p>
        </w:tc>
        <w:tc>
          <w:tcPr>
            <w:tcW w:w="1138" w:type="dxa"/>
            <w:tcBorders>
              <w:top w:val="nil"/>
              <w:left w:val="nil"/>
              <w:bottom w:val="nil"/>
              <w:right w:val="nil"/>
            </w:tcBorders>
            <w:shd w:val="clear" w:color="auto" w:fill="auto"/>
            <w:noWrap/>
            <w:vAlign w:val="center"/>
            <w:hideMark/>
          </w:tcPr>
          <w:p w14:paraId="469D7934"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15,601 </w:t>
            </w:r>
          </w:p>
        </w:tc>
        <w:tc>
          <w:tcPr>
            <w:tcW w:w="198" w:type="dxa"/>
            <w:tcBorders>
              <w:top w:val="nil"/>
              <w:left w:val="nil"/>
              <w:bottom w:val="nil"/>
              <w:right w:val="nil"/>
            </w:tcBorders>
            <w:shd w:val="clear" w:color="auto" w:fill="auto"/>
            <w:noWrap/>
            <w:vAlign w:val="center"/>
            <w:hideMark/>
          </w:tcPr>
          <w:p w14:paraId="223F93AA" w14:textId="77777777" w:rsidR="00BC5219" w:rsidRPr="00F07C24" w:rsidRDefault="00BC5219" w:rsidP="00E83802">
            <w:pPr>
              <w:jc w:val="right"/>
              <w:outlineLvl w:val="0"/>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7C109714"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10,000 </w:t>
            </w:r>
          </w:p>
        </w:tc>
      </w:tr>
      <w:tr w:rsidR="00BC5219" w:rsidRPr="00F07C24" w14:paraId="5C30BA7A" w14:textId="77777777" w:rsidTr="00E83802">
        <w:trPr>
          <w:trHeight w:val="198"/>
        </w:trPr>
        <w:tc>
          <w:tcPr>
            <w:tcW w:w="6350" w:type="dxa"/>
            <w:tcBorders>
              <w:top w:val="single" w:sz="4" w:space="0" w:color="auto"/>
              <w:left w:val="nil"/>
              <w:bottom w:val="nil"/>
              <w:right w:val="nil"/>
            </w:tcBorders>
            <w:shd w:val="clear" w:color="auto" w:fill="auto"/>
            <w:noWrap/>
            <w:vAlign w:val="center"/>
            <w:hideMark/>
          </w:tcPr>
          <w:p w14:paraId="1F80F3D5" w14:textId="77777777" w:rsidR="00BC5219" w:rsidRPr="00F07C24" w:rsidRDefault="00BC5219" w:rsidP="00E83802">
            <w:pPr>
              <w:outlineLvl w:val="0"/>
              <w:rPr>
                <w:rFonts w:ascii="Meta Pro" w:eastAsia="Times New Roman" w:hAnsi="Meta Pro"/>
                <w:b/>
                <w:bCs/>
                <w:szCs w:val="18"/>
                <w:lang w:eastAsia="en-AU"/>
              </w:rPr>
            </w:pPr>
            <w:r w:rsidRPr="00F07C24">
              <w:rPr>
                <w:rFonts w:ascii="Meta Pro" w:eastAsia="Times New Roman" w:hAnsi="Meta Pro"/>
                <w:b/>
                <w:bCs/>
                <w:szCs w:val="18"/>
                <w:lang w:eastAsia="en-AU"/>
              </w:rPr>
              <w:t>Total non-current assets</w:t>
            </w:r>
          </w:p>
        </w:tc>
        <w:tc>
          <w:tcPr>
            <w:tcW w:w="1157" w:type="dxa"/>
            <w:tcBorders>
              <w:top w:val="single" w:sz="4" w:space="0" w:color="auto"/>
              <w:left w:val="nil"/>
              <w:bottom w:val="nil"/>
              <w:right w:val="nil"/>
            </w:tcBorders>
            <w:shd w:val="clear" w:color="auto" w:fill="auto"/>
            <w:noWrap/>
            <w:vAlign w:val="center"/>
            <w:hideMark/>
          </w:tcPr>
          <w:p w14:paraId="3116E87A" w14:textId="77777777" w:rsidR="00BC5219" w:rsidRPr="00F07C24" w:rsidRDefault="00BC5219" w:rsidP="00E83802">
            <w:pPr>
              <w:jc w:val="right"/>
              <w:outlineLvl w:val="0"/>
              <w:rPr>
                <w:rFonts w:ascii="Meta Pro" w:eastAsia="Times New Roman" w:hAnsi="Meta Pro"/>
                <w:b/>
                <w:bCs/>
                <w:szCs w:val="18"/>
                <w:lang w:eastAsia="en-AU"/>
              </w:rPr>
            </w:pPr>
            <w:r w:rsidRPr="00F07C24">
              <w:rPr>
                <w:rFonts w:ascii="Meta Pro" w:eastAsia="Times New Roman" w:hAnsi="Meta Pro"/>
                <w:b/>
                <w:bCs/>
                <w:szCs w:val="18"/>
                <w:lang w:eastAsia="en-AU"/>
              </w:rPr>
              <w:t xml:space="preserve">92,577,210 </w:t>
            </w:r>
          </w:p>
        </w:tc>
        <w:tc>
          <w:tcPr>
            <w:tcW w:w="198" w:type="dxa"/>
            <w:tcBorders>
              <w:top w:val="single" w:sz="4" w:space="0" w:color="auto"/>
              <w:left w:val="nil"/>
              <w:bottom w:val="nil"/>
              <w:right w:val="nil"/>
            </w:tcBorders>
            <w:shd w:val="clear" w:color="auto" w:fill="auto"/>
            <w:noWrap/>
            <w:vAlign w:val="center"/>
            <w:hideMark/>
          </w:tcPr>
          <w:p w14:paraId="56E16FB4" w14:textId="77777777" w:rsidR="00BC5219" w:rsidRPr="00F07C24" w:rsidRDefault="00BC5219" w:rsidP="00E83802">
            <w:pPr>
              <w:jc w:val="right"/>
              <w:outlineLvl w:val="0"/>
              <w:rPr>
                <w:rFonts w:ascii="Meta Pro" w:eastAsia="Times New Roman" w:hAnsi="Meta Pro"/>
                <w:b/>
                <w:bCs/>
                <w:szCs w:val="18"/>
                <w:lang w:eastAsia="en-AU"/>
              </w:rPr>
            </w:pPr>
            <w:r w:rsidRPr="00F07C24">
              <w:rPr>
                <w:rFonts w:ascii="Meta Pro" w:eastAsia="Times New Roman" w:hAnsi="Meta Pro"/>
                <w:b/>
                <w:bCs/>
                <w:szCs w:val="18"/>
                <w:lang w:eastAsia="en-AU"/>
              </w:rPr>
              <w:t> </w:t>
            </w:r>
          </w:p>
        </w:tc>
        <w:tc>
          <w:tcPr>
            <w:tcW w:w="1138" w:type="dxa"/>
            <w:tcBorders>
              <w:top w:val="single" w:sz="4" w:space="0" w:color="auto"/>
              <w:left w:val="nil"/>
              <w:bottom w:val="nil"/>
              <w:right w:val="nil"/>
            </w:tcBorders>
            <w:shd w:val="clear" w:color="auto" w:fill="auto"/>
            <w:noWrap/>
            <w:vAlign w:val="center"/>
            <w:hideMark/>
          </w:tcPr>
          <w:p w14:paraId="21872F00" w14:textId="77777777" w:rsidR="00BC5219" w:rsidRPr="00F07C24" w:rsidRDefault="00BC5219" w:rsidP="00E83802">
            <w:pPr>
              <w:jc w:val="right"/>
              <w:outlineLvl w:val="0"/>
              <w:rPr>
                <w:rFonts w:ascii="Meta Pro" w:eastAsia="Times New Roman" w:hAnsi="Meta Pro"/>
                <w:b/>
                <w:bCs/>
                <w:szCs w:val="18"/>
                <w:lang w:eastAsia="en-AU"/>
              </w:rPr>
            </w:pPr>
            <w:r w:rsidRPr="00F07C24">
              <w:rPr>
                <w:rFonts w:ascii="Meta Pro" w:eastAsia="Times New Roman" w:hAnsi="Meta Pro"/>
                <w:b/>
                <w:bCs/>
                <w:szCs w:val="18"/>
                <w:lang w:eastAsia="en-AU"/>
              </w:rPr>
              <w:t xml:space="preserve">118,864,373 </w:t>
            </w:r>
          </w:p>
        </w:tc>
        <w:tc>
          <w:tcPr>
            <w:tcW w:w="198" w:type="dxa"/>
            <w:tcBorders>
              <w:top w:val="single" w:sz="4" w:space="0" w:color="auto"/>
              <w:left w:val="nil"/>
              <w:bottom w:val="nil"/>
              <w:right w:val="nil"/>
            </w:tcBorders>
            <w:shd w:val="clear" w:color="auto" w:fill="auto"/>
            <w:noWrap/>
            <w:vAlign w:val="center"/>
            <w:hideMark/>
          </w:tcPr>
          <w:p w14:paraId="5A22C7F9" w14:textId="77777777" w:rsidR="00BC5219" w:rsidRPr="00F07C24" w:rsidRDefault="00BC5219" w:rsidP="00E83802">
            <w:pPr>
              <w:jc w:val="right"/>
              <w:outlineLvl w:val="0"/>
              <w:rPr>
                <w:rFonts w:ascii="Meta Pro" w:eastAsia="Times New Roman" w:hAnsi="Meta Pro"/>
                <w:b/>
                <w:bCs/>
                <w:szCs w:val="18"/>
                <w:lang w:eastAsia="en-AU"/>
              </w:rPr>
            </w:pPr>
            <w:r w:rsidRPr="00F07C24">
              <w:rPr>
                <w:rFonts w:ascii="Meta Pro" w:eastAsia="Times New Roman" w:hAnsi="Meta Pro"/>
                <w:b/>
                <w:bCs/>
                <w:szCs w:val="18"/>
                <w:lang w:eastAsia="en-AU"/>
              </w:rPr>
              <w:t> </w:t>
            </w:r>
          </w:p>
        </w:tc>
        <w:tc>
          <w:tcPr>
            <w:tcW w:w="1157" w:type="dxa"/>
            <w:tcBorders>
              <w:top w:val="single" w:sz="4" w:space="0" w:color="auto"/>
              <w:left w:val="nil"/>
              <w:bottom w:val="nil"/>
              <w:right w:val="nil"/>
            </w:tcBorders>
            <w:shd w:val="clear" w:color="auto" w:fill="auto"/>
            <w:noWrap/>
            <w:vAlign w:val="center"/>
            <w:hideMark/>
          </w:tcPr>
          <w:p w14:paraId="035E8569" w14:textId="77777777" w:rsidR="00BC5219" w:rsidRPr="00F07C24" w:rsidRDefault="00BC5219" w:rsidP="00E83802">
            <w:pPr>
              <w:jc w:val="right"/>
              <w:outlineLvl w:val="0"/>
              <w:rPr>
                <w:rFonts w:ascii="Meta Pro" w:eastAsia="Times New Roman" w:hAnsi="Meta Pro"/>
                <w:b/>
                <w:bCs/>
                <w:szCs w:val="18"/>
                <w:lang w:eastAsia="en-AU"/>
              </w:rPr>
            </w:pPr>
            <w:r w:rsidRPr="00F07C24">
              <w:rPr>
                <w:rFonts w:ascii="Meta Pro" w:eastAsia="Times New Roman" w:hAnsi="Meta Pro"/>
                <w:b/>
                <w:bCs/>
                <w:szCs w:val="18"/>
                <w:lang w:eastAsia="en-AU"/>
              </w:rPr>
              <w:t xml:space="preserve">26,287,163 </w:t>
            </w:r>
          </w:p>
        </w:tc>
      </w:tr>
      <w:tr w:rsidR="00BC5219" w:rsidRPr="00F07C24" w14:paraId="30DBA7C1" w14:textId="77777777" w:rsidTr="00E83802">
        <w:trPr>
          <w:trHeight w:val="198"/>
        </w:trPr>
        <w:tc>
          <w:tcPr>
            <w:tcW w:w="6350" w:type="dxa"/>
            <w:tcBorders>
              <w:top w:val="nil"/>
              <w:left w:val="nil"/>
              <w:bottom w:val="nil"/>
              <w:right w:val="nil"/>
            </w:tcBorders>
            <w:shd w:val="clear" w:color="auto" w:fill="auto"/>
            <w:noWrap/>
            <w:vAlign w:val="center"/>
            <w:hideMark/>
          </w:tcPr>
          <w:p w14:paraId="546EB00A" w14:textId="77777777" w:rsidR="00BC5219" w:rsidRPr="00F07C24" w:rsidRDefault="00BC5219" w:rsidP="00E83802">
            <w:pPr>
              <w:jc w:val="right"/>
              <w:outlineLvl w:val="0"/>
              <w:rPr>
                <w:rFonts w:ascii="Meta Pro" w:eastAsia="Times New Roman" w:hAnsi="Meta Pro"/>
                <w:b/>
                <w:bCs/>
                <w:szCs w:val="18"/>
                <w:lang w:eastAsia="en-AU"/>
              </w:rPr>
            </w:pPr>
          </w:p>
        </w:tc>
        <w:tc>
          <w:tcPr>
            <w:tcW w:w="1157" w:type="dxa"/>
            <w:tcBorders>
              <w:top w:val="nil"/>
              <w:left w:val="nil"/>
              <w:bottom w:val="nil"/>
              <w:right w:val="nil"/>
            </w:tcBorders>
            <w:shd w:val="clear" w:color="auto" w:fill="auto"/>
            <w:noWrap/>
            <w:vAlign w:val="center"/>
            <w:hideMark/>
          </w:tcPr>
          <w:p w14:paraId="356441AE" w14:textId="77777777" w:rsidR="00BC5219" w:rsidRPr="00F07C24" w:rsidRDefault="00BC5219" w:rsidP="00E83802">
            <w:pPr>
              <w:outlineLvl w:val="0"/>
              <w:rPr>
                <w:rFonts w:ascii="Times New Roman" w:eastAsia="Times New Roman" w:hAnsi="Times New Roman"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62388614" w14:textId="77777777" w:rsidR="00BC5219" w:rsidRPr="00F07C24" w:rsidRDefault="00BC5219" w:rsidP="00E83802">
            <w:pPr>
              <w:jc w:val="right"/>
              <w:outlineLvl w:val="0"/>
              <w:rPr>
                <w:rFonts w:ascii="Times New Roman" w:eastAsia="Times New Roman" w:hAnsi="Times New Roman" w:cs="Times New Roman"/>
                <w:sz w:val="20"/>
                <w:szCs w:val="20"/>
                <w:lang w:eastAsia="en-AU"/>
              </w:rPr>
            </w:pPr>
          </w:p>
        </w:tc>
        <w:tc>
          <w:tcPr>
            <w:tcW w:w="1138" w:type="dxa"/>
            <w:tcBorders>
              <w:top w:val="nil"/>
              <w:left w:val="nil"/>
              <w:bottom w:val="nil"/>
              <w:right w:val="nil"/>
            </w:tcBorders>
            <w:shd w:val="clear" w:color="auto" w:fill="auto"/>
            <w:noWrap/>
            <w:vAlign w:val="center"/>
            <w:hideMark/>
          </w:tcPr>
          <w:p w14:paraId="2D7C8D40" w14:textId="77777777" w:rsidR="00BC5219" w:rsidRPr="00F07C24" w:rsidRDefault="00BC5219" w:rsidP="00E83802">
            <w:pPr>
              <w:jc w:val="right"/>
              <w:outlineLvl w:val="0"/>
              <w:rPr>
                <w:rFonts w:ascii="Times New Roman" w:eastAsia="Times New Roman" w:hAnsi="Times New Roman"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1E439DE1" w14:textId="77777777" w:rsidR="00BC5219" w:rsidRPr="00F07C24" w:rsidRDefault="00BC5219" w:rsidP="00E83802">
            <w:pPr>
              <w:jc w:val="right"/>
              <w:outlineLvl w:val="0"/>
              <w:rPr>
                <w:rFonts w:ascii="Times New Roman" w:eastAsia="Times New Roman" w:hAnsi="Times New Roman" w:cs="Times New Roman"/>
                <w:sz w:val="20"/>
                <w:szCs w:val="20"/>
                <w:lang w:eastAsia="en-AU"/>
              </w:rPr>
            </w:pPr>
          </w:p>
        </w:tc>
        <w:tc>
          <w:tcPr>
            <w:tcW w:w="1157" w:type="dxa"/>
            <w:tcBorders>
              <w:top w:val="nil"/>
              <w:left w:val="nil"/>
              <w:bottom w:val="nil"/>
              <w:right w:val="nil"/>
            </w:tcBorders>
            <w:shd w:val="clear" w:color="auto" w:fill="auto"/>
            <w:noWrap/>
            <w:vAlign w:val="center"/>
            <w:hideMark/>
          </w:tcPr>
          <w:p w14:paraId="230C7B1C" w14:textId="77777777" w:rsidR="00BC5219" w:rsidRPr="00F07C24" w:rsidRDefault="00BC5219" w:rsidP="00E83802">
            <w:pPr>
              <w:jc w:val="right"/>
              <w:outlineLvl w:val="0"/>
              <w:rPr>
                <w:rFonts w:ascii="Times New Roman" w:eastAsia="Times New Roman" w:hAnsi="Times New Roman" w:cs="Times New Roman"/>
                <w:sz w:val="20"/>
                <w:szCs w:val="20"/>
                <w:lang w:eastAsia="en-AU"/>
              </w:rPr>
            </w:pPr>
          </w:p>
        </w:tc>
      </w:tr>
      <w:tr w:rsidR="00BC5219" w:rsidRPr="00F07C24" w14:paraId="28FF8C11" w14:textId="77777777" w:rsidTr="00E83802">
        <w:trPr>
          <w:trHeight w:val="198"/>
        </w:trPr>
        <w:tc>
          <w:tcPr>
            <w:tcW w:w="6350" w:type="dxa"/>
            <w:tcBorders>
              <w:top w:val="nil"/>
              <w:left w:val="nil"/>
              <w:bottom w:val="single" w:sz="4" w:space="0" w:color="auto"/>
              <w:right w:val="nil"/>
            </w:tcBorders>
            <w:shd w:val="clear" w:color="auto" w:fill="auto"/>
            <w:noWrap/>
            <w:vAlign w:val="center"/>
            <w:hideMark/>
          </w:tcPr>
          <w:p w14:paraId="75BF74FF" w14:textId="77777777" w:rsidR="00BC5219" w:rsidRPr="00F07C24" w:rsidRDefault="00BC5219" w:rsidP="00E83802">
            <w:pPr>
              <w:outlineLvl w:val="0"/>
              <w:rPr>
                <w:rFonts w:ascii="Meta Pro" w:eastAsia="Times New Roman" w:hAnsi="Meta Pro"/>
                <w:b/>
                <w:bCs/>
                <w:szCs w:val="18"/>
                <w:lang w:eastAsia="en-AU"/>
              </w:rPr>
            </w:pPr>
            <w:r w:rsidRPr="00F07C24">
              <w:rPr>
                <w:rFonts w:ascii="Meta Pro" w:eastAsia="Times New Roman" w:hAnsi="Meta Pro"/>
                <w:b/>
                <w:bCs/>
                <w:szCs w:val="18"/>
                <w:lang w:eastAsia="en-AU"/>
              </w:rPr>
              <w:t>Total assets</w:t>
            </w:r>
          </w:p>
        </w:tc>
        <w:tc>
          <w:tcPr>
            <w:tcW w:w="1157" w:type="dxa"/>
            <w:tcBorders>
              <w:top w:val="nil"/>
              <w:left w:val="nil"/>
              <w:bottom w:val="single" w:sz="4" w:space="0" w:color="auto"/>
              <w:right w:val="nil"/>
            </w:tcBorders>
            <w:shd w:val="clear" w:color="auto" w:fill="auto"/>
            <w:noWrap/>
            <w:vAlign w:val="center"/>
            <w:hideMark/>
          </w:tcPr>
          <w:p w14:paraId="4CF84B54" w14:textId="77777777" w:rsidR="00BC5219" w:rsidRPr="00F07C24" w:rsidRDefault="00BC5219" w:rsidP="00E83802">
            <w:pPr>
              <w:jc w:val="right"/>
              <w:outlineLvl w:val="0"/>
              <w:rPr>
                <w:rFonts w:ascii="Meta Pro" w:eastAsia="Times New Roman" w:hAnsi="Meta Pro"/>
                <w:b/>
                <w:bCs/>
                <w:szCs w:val="18"/>
                <w:lang w:eastAsia="en-AU"/>
              </w:rPr>
            </w:pPr>
            <w:r w:rsidRPr="00F07C24">
              <w:rPr>
                <w:rFonts w:ascii="Meta Pro" w:eastAsia="Times New Roman" w:hAnsi="Meta Pro"/>
                <w:b/>
                <w:bCs/>
                <w:szCs w:val="18"/>
                <w:lang w:eastAsia="en-AU"/>
              </w:rPr>
              <w:t xml:space="preserve">92,954,886 </w:t>
            </w:r>
          </w:p>
        </w:tc>
        <w:tc>
          <w:tcPr>
            <w:tcW w:w="198" w:type="dxa"/>
            <w:tcBorders>
              <w:top w:val="nil"/>
              <w:left w:val="nil"/>
              <w:bottom w:val="single" w:sz="4" w:space="0" w:color="auto"/>
              <w:right w:val="nil"/>
            </w:tcBorders>
            <w:shd w:val="clear" w:color="auto" w:fill="auto"/>
            <w:noWrap/>
            <w:vAlign w:val="center"/>
            <w:hideMark/>
          </w:tcPr>
          <w:p w14:paraId="6C6EB68C" w14:textId="77777777" w:rsidR="00BC5219" w:rsidRPr="00F07C24" w:rsidRDefault="00BC5219" w:rsidP="00E83802">
            <w:pPr>
              <w:jc w:val="right"/>
              <w:outlineLvl w:val="0"/>
              <w:rPr>
                <w:rFonts w:ascii="Meta Pro" w:eastAsia="Times New Roman" w:hAnsi="Meta Pro"/>
                <w:b/>
                <w:bCs/>
                <w:szCs w:val="18"/>
                <w:lang w:eastAsia="en-AU"/>
              </w:rPr>
            </w:pPr>
            <w:r w:rsidRPr="00F07C24">
              <w:rPr>
                <w:rFonts w:ascii="Meta Pro" w:eastAsia="Times New Roman" w:hAnsi="Meta Pro"/>
                <w:b/>
                <w:bCs/>
                <w:szCs w:val="18"/>
                <w:lang w:eastAsia="en-AU"/>
              </w:rPr>
              <w:t> </w:t>
            </w:r>
          </w:p>
        </w:tc>
        <w:tc>
          <w:tcPr>
            <w:tcW w:w="1138" w:type="dxa"/>
            <w:tcBorders>
              <w:top w:val="nil"/>
              <w:left w:val="nil"/>
              <w:bottom w:val="single" w:sz="4" w:space="0" w:color="auto"/>
              <w:right w:val="nil"/>
            </w:tcBorders>
            <w:shd w:val="clear" w:color="auto" w:fill="auto"/>
            <w:noWrap/>
            <w:vAlign w:val="center"/>
            <w:hideMark/>
          </w:tcPr>
          <w:p w14:paraId="6E5DFB50" w14:textId="77777777" w:rsidR="00BC5219" w:rsidRPr="00F07C24" w:rsidRDefault="00BC5219" w:rsidP="00E83802">
            <w:pPr>
              <w:jc w:val="right"/>
              <w:outlineLvl w:val="0"/>
              <w:rPr>
                <w:rFonts w:ascii="Meta Pro" w:eastAsia="Times New Roman" w:hAnsi="Meta Pro"/>
                <w:b/>
                <w:bCs/>
                <w:szCs w:val="18"/>
                <w:lang w:eastAsia="en-AU"/>
              </w:rPr>
            </w:pPr>
            <w:r w:rsidRPr="00F07C24">
              <w:rPr>
                <w:rFonts w:ascii="Meta Pro" w:eastAsia="Times New Roman" w:hAnsi="Meta Pro"/>
                <w:b/>
                <w:bCs/>
                <w:szCs w:val="18"/>
                <w:lang w:eastAsia="en-AU"/>
              </w:rPr>
              <w:t xml:space="preserve">119,917,902 </w:t>
            </w:r>
          </w:p>
        </w:tc>
        <w:tc>
          <w:tcPr>
            <w:tcW w:w="198" w:type="dxa"/>
            <w:tcBorders>
              <w:top w:val="nil"/>
              <w:left w:val="nil"/>
              <w:bottom w:val="single" w:sz="4" w:space="0" w:color="auto"/>
              <w:right w:val="nil"/>
            </w:tcBorders>
            <w:shd w:val="clear" w:color="auto" w:fill="auto"/>
            <w:noWrap/>
            <w:vAlign w:val="center"/>
            <w:hideMark/>
          </w:tcPr>
          <w:p w14:paraId="267F1FFA" w14:textId="77777777" w:rsidR="00BC5219" w:rsidRPr="00F07C24" w:rsidRDefault="00BC5219" w:rsidP="00E83802">
            <w:pPr>
              <w:jc w:val="right"/>
              <w:outlineLvl w:val="0"/>
              <w:rPr>
                <w:rFonts w:ascii="Meta Pro" w:eastAsia="Times New Roman" w:hAnsi="Meta Pro"/>
                <w:b/>
                <w:bCs/>
                <w:szCs w:val="18"/>
                <w:lang w:eastAsia="en-AU"/>
              </w:rPr>
            </w:pPr>
            <w:r w:rsidRPr="00F07C24">
              <w:rPr>
                <w:rFonts w:ascii="Meta Pro" w:eastAsia="Times New Roman" w:hAnsi="Meta Pro"/>
                <w:b/>
                <w:bCs/>
                <w:szCs w:val="18"/>
                <w:lang w:eastAsia="en-AU"/>
              </w:rPr>
              <w:t> </w:t>
            </w:r>
          </w:p>
        </w:tc>
        <w:tc>
          <w:tcPr>
            <w:tcW w:w="1157" w:type="dxa"/>
            <w:tcBorders>
              <w:top w:val="nil"/>
              <w:left w:val="nil"/>
              <w:bottom w:val="single" w:sz="4" w:space="0" w:color="auto"/>
              <w:right w:val="nil"/>
            </w:tcBorders>
            <w:shd w:val="clear" w:color="auto" w:fill="auto"/>
            <w:noWrap/>
            <w:vAlign w:val="center"/>
            <w:hideMark/>
          </w:tcPr>
          <w:p w14:paraId="75FA93A8" w14:textId="77777777" w:rsidR="00BC5219" w:rsidRPr="00F07C24" w:rsidRDefault="00BC5219" w:rsidP="00E83802">
            <w:pPr>
              <w:jc w:val="right"/>
              <w:outlineLvl w:val="0"/>
              <w:rPr>
                <w:rFonts w:ascii="Meta Pro" w:eastAsia="Times New Roman" w:hAnsi="Meta Pro"/>
                <w:b/>
                <w:bCs/>
                <w:szCs w:val="18"/>
                <w:lang w:eastAsia="en-AU"/>
              </w:rPr>
            </w:pPr>
            <w:r w:rsidRPr="00F07C24">
              <w:rPr>
                <w:rFonts w:ascii="Meta Pro" w:eastAsia="Times New Roman" w:hAnsi="Meta Pro"/>
                <w:b/>
                <w:bCs/>
                <w:szCs w:val="18"/>
                <w:lang w:eastAsia="en-AU"/>
              </w:rPr>
              <w:t xml:space="preserve">26,963,016 </w:t>
            </w:r>
          </w:p>
        </w:tc>
      </w:tr>
      <w:tr w:rsidR="00BC5219" w:rsidRPr="00F07C24" w14:paraId="5D6468C1" w14:textId="77777777" w:rsidTr="00E83802">
        <w:trPr>
          <w:trHeight w:val="198"/>
        </w:trPr>
        <w:tc>
          <w:tcPr>
            <w:tcW w:w="6350" w:type="dxa"/>
            <w:tcBorders>
              <w:top w:val="nil"/>
              <w:left w:val="nil"/>
              <w:bottom w:val="nil"/>
              <w:right w:val="nil"/>
            </w:tcBorders>
            <w:shd w:val="clear" w:color="auto" w:fill="auto"/>
            <w:noWrap/>
            <w:vAlign w:val="center"/>
            <w:hideMark/>
          </w:tcPr>
          <w:p w14:paraId="6EAD41B6" w14:textId="77777777" w:rsidR="00BC5219" w:rsidRPr="00F07C24" w:rsidRDefault="00BC5219" w:rsidP="00E83802">
            <w:pPr>
              <w:jc w:val="right"/>
              <w:outlineLvl w:val="0"/>
              <w:rPr>
                <w:rFonts w:ascii="Meta Pro" w:eastAsia="Times New Roman" w:hAnsi="Meta Pro"/>
                <w:b/>
                <w:bCs/>
                <w:szCs w:val="18"/>
                <w:lang w:eastAsia="en-AU"/>
              </w:rPr>
            </w:pPr>
          </w:p>
        </w:tc>
        <w:tc>
          <w:tcPr>
            <w:tcW w:w="1157" w:type="dxa"/>
            <w:tcBorders>
              <w:top w:val="nil"/>
              <w:left w:val="nil"/>
              <w:bottom w:val="nil"/>
              <w:right w:val="nil"/>
            </w:tcBorders>
            <w:shd w:val="clear" w:color="auto" w:fill="auto"/>
            <w:noWrap/>
            <w:vAlign w:val="center"/>
            <w:hideMark/>
          </w:tcPr>
          <w:p w14:paraId="07BEE5A5" w14:textId="77777777" w:rsidR="00BC5219" w:rsidRPr="00F07C24" w:rsidRDefault="00BC5219" w:rsidP="00E83802">
            <w:pPr>
              <w:outlineLvl w:val="0"/>
              <w:rPr>
                <w:rFonts w:ascii="Times New Roman" w:eastAsia="Times New Roman" w:hAnsi="Times New Roman"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417CAE9A" w14:textId="77777777" w:rsidR="00BC5219" w:rsidRPr="00F07C24" w:rsidRDefault="00BC5219" w:rsidP="00E83802">
            <w:pPr>
              <w:jc w:val="right"/>
              <w:outlineLvl w:val="0"/>
              <w:rPr>
                <w:rFonts w:ascii="Times New Roman" w:eastAsia="Times New Roman" w:hAnsi="Times New Roman" w:cs="Times New Roman"/>
                <w:sz w:val="20"/>
                <w:szCs w:val="20"/>
                <w:lang w:eastAsia="en-AU"/>
              </w:rPr>
            </w:pPr>
          </w:p>
        </w:tc>
        <w:tc>
          <w:tcPr>
            <w:tcW w:w="1138" w:type="dxa"/>
            <w:tcBorders>
              <w:top w:val="nil"/>
              <w:left w:val="nil"/>
              <w:bottom w:val="nil"/>
              <w:right w:val="nil"/>
            </w:tcBorders>
            <w:shd w:val="clear" w:color="auto" w:fill="auto"/>
            <w:noWrap/>
            <w:vAlign w:val="center"/>
            <w:hideMark/>
          </w:tcPr>
          <w:p w14:paraId="6743249B" w14:textId="77777777" w:rsidR="00BC5219" w:rsidRPr="00F07C24" w:rsidRDefault="00BC5219" w:rsidP="00E83802">
            <w:pPr>
              <w:jc w:val="right"/>
              <w:outlineLvl w:val="0"/>
              <w:rPr>
                <w:rFonts w:ascii="Times New Roman" w:eastAsia="Times New Roman" w:hAnsi="Times New Roman"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15E04646" w14:textId="77777777" w:rsidR="00BC5219" w:rsidRPr="00F07C24" w:rsidRDefault="00BC5219" w:rsidP="00E83802">
            <w:pPr>
              <w:jc w:val="right"/>
              <w:outlineLvl w:val="0"/>
              <w:rPr>
                <w:rFonts w:ascii="Times New Roman" w:eastAsia="Times New Roman" w:hAnsi="Times New Roman" w:cs="Times New Roman"/>
                <w:sz w:val="20"/>
                <w:szCs w:val="20"/>
                <w:lang w:eastAsia="en-AU"/>
              </w:rPr>
            </w:pPr>
          </w:p>
        </w:tc>
        <w:tc>
          <w:tcPr>
            <w:tcW w:w="1157" w:type="dxa"/>
            <w:tcBorders>
              <w:top w:val="nil"/>
              <w:left w:val="nil"/>
              <w:bottom w:val="nil"/>
              <w:right w:val="nil"/>
            </w:tcBorders>
            <w:shd w:val="clear" w:color="auto" w:fill="auto"/>
            <w:noWrap/>
            <w:vAlign w:val="center"/>
            <w:hideMark/>
          </w:tcPr>
          <w:p w14:paraId="57F4977D" w14:textId="77777777" w:rsidR="00BC5219" w:rsidRPr="00F07C24" w:rsidRDefault="00BC5219" w:rsidP="00E83802">
            <w:pPr>
              <w:jc w:val="right"/>
              <w:outlineLvl w:val="0"/>
              <w:rPr>
                <w:rFonts w:ascii="Times New Roman" w:eastAsia="Times New Roman" w:hAnsi="Times New Roman" w:cs="Times New Roman"/>
                <w:sz w:val="20"/>
                <w:szCs w:val="20"/>
                <w:lang w:eastAsia="en-AU"/>
              </w:rPr>
            </w:pPr>
          </w:p>
        </w:tc>
      </w:tr>
      <w:tr w:rsidR="00BC5219" w:rsidRPr="00F07C24" w14:paraId="16526DB8" w14:textId="77777777" w:rsidTr="00E83802">
        <w:trPr>
          <w:trHeight w:val="198"/>
        </w:trPr>
        <w:tc>
          <w:tcPr>
            <w:tcW w:w="6350" w:type="dxa"/>
            <w:tcBorders>
              <w:top w:val="nil"/>
              <w:left w:val="nil"/>
              <w:bottom w:val="nil"/>
              <w:right w:val="nil"/>
            </w:tcBorders>
            <w:shd w:val="clear" w:color="auto" w:fill="auto"/>
            <w:noWrap/>
            <w:vAlign w:val="center"/>
            <w:hideMark/>
          </w:tcPr>
          <w:p w14:paraId="7013A5DA" w14:textId="77777777" w:rsidR="00BC5219" w:rsidRPr="00F07C24" w:rsidRDefault="00BC5219" w:rsidP="00E83802">
            <w:pPr>
              <w:outlineLvl w:val="0"/>
              <w:rPr>
                <w:rFonts w:ascii="Meta Pro" w:eastAsia="Times New Roman" w:hAnsi="Meta Pro"/>
                <w:b/>
                <w:bCs/>
                <w:szCs w:val="18"/>
                <w:lang w:eastAsia="en-AU"/>
              </w:rPr>
            </w:pPr>
            <w:r w:rsidRPr="00F07C24">
              <w:rPr>
                <w:rFonts w:ascii="Meta Pro" w:eastAsia="Times New Roman" w:hAnsi="Meta Pro"/>
                <w:b/>
                <w:bCs/>
                <w:szCs w:val="18"/>
                <w:lang w:eastAsia="en-AU"/>
              </w:rPr>
              <w:t>Liabilities</w:t>
            </w:r>
          </w:p>
        </w:tc>
        <w:tc>
          <w:tcPr>
            <w:tcW w:w="1157" w:type="dxa"/>
            <w:tcBorders>
              <w:top w:val="nil"/>
              <w:left w:val="nil"/>
              <w:bottom w:val="nil"/>
              <w:right w:val="nil"/>
            </w:tcBorders>
            <w:shd w:val="clear" w:color="auto" w:fill="auto"/>
            <w:vAlign w:val="center"/>
            <w:hideMark/>
          </w:tcPr>
          <w:p w14:paraId="3CCE920F" w14:textId="77777777" w:rsidR="00BC5219" w:rsidRPr="00F07C24" w:rsidRDefault="00BC5219" w:rsidP="00E83802">
            <w:pPr>
              <w:outlineLvl w:val="0"/>
              <w:rPr>
                <w:rFonts w:ascii="Meta Pro" w:eastAsia="Times New Roman" w:hAnsi="Meta Pro"/>
                <w:b/>
                <w:bCs/>
                <w:szCs w:val="18"/>
                <w:lang w:eastAsia="en-AU"/>
              </w:rPr>
            </w:pPr>
          </w:p>
        </w:tc>
        <w:tc>
          <w:tcPr>
            <w:tcW w:w="198" w:type="dxa"/>
            <w:tcBorders>
              <w:top w:val="nil"/>
              <w:left w:val="nil"/>
              <w:bottom w:val="nil"/>
              <w:right w:val="nil"/>
            </w:tcBorders>
            <w:shd w:val="clear" w:color="auto" w:fill="auto"/>
            <w:vAlign w:val="center"/>
            <w:hideMark/>
          </w:tcPr>
          <w:p w14:paraId="5BC618A6" w14:textId="77777777" w:rsidR="00BC5219" w:rsidRPr="00F07C24" w:rsidRDefault="00BC5219" w:rsidP="00E83802">
            <w:pPr>
              <w:outlineLvl w:val="0"/>
              <w:rPr>
                <w:rFonts w:ascii="Times New Roman" w:eastAsia="Times New Roman" w:hAnsi="Times New Roman" w:cs="Times New Roman"/>
                <w:sz w:val="20"/>
                <w:szCs w:val="20"/>
                <w:lang w:eastAsia="en-AU"/>
              </w:rPr>
            </w:pPr>
          </w:p>
        </w:tc>
        <w:tc>
          <w:tcPr>
            <w:tcW w:w="1138" w:type="dxa"/>
            <w:tcBorders>
              <w:top w:val="nil"/>
              <w:left w:val="nil"/>
              <w:bottom w:val="nil"/>
              <w:right w:val="nil"/>
            </w:tcBorders>
            <w:shd w:val="clear" w:color="auto" w:fill="auto"/>
            <w:vAlign w:val="center"/>
            <w:hideMark/>
          </w:tcPr>
          <w:p w14:paraId="59AC71EB" w14:textId="77777777" w:rsidR="00BC5219" w:rsidRPr="00F07C24" w:rsidRDefault="00BC5219" w:rsidP="00E83802">
            <w:pPr>
              <w:jc w:val="center"/>
              <w:outlineLvl w:val="0"/>
              <w:rPr>
                <w:rFonts w:ascii="Times New Roman" w:eastAsia="Times New Roman" w:hAnsi="Times New Roman" w:cs="Times New Roman"/>
                <w:sz w:val="20"/>
                <w:szCs w:val="20"/>
                <w:lang w:eastAsia="en-AU"/>
              </w:rPr>
            </w:pPr>
          </w:p>
        </w:tc>
        <w:tc>
          <w:tcPr>
            <w:tcW w:w="198" w:type="dxa"/>
            <w:tcBorders>
              <w:top w:val="nil"/>
              <w:left w:val="nil"/>
              <w:bottom w:val="nil"/>
              <w:right w:val="nil"/>
            </w:tcBorders>
            <w:shd w:val="clear" w:color="auto" w:fill="auto"/>
            <w:vAlign w:val="center"/>
            <w:hideMark/>
          </w:tcPr>
          <w:p w14:paraId="479B2780" w14:textId="77777777" w:rsidR="00BC5219" w:rsidRPr="00F07C24" w:rsidRDefault="00BC5219" w:rsidP="00E83802">
            <w:pPr>
              <w:outlineLvl w:val="0"/>
              <w:rPr>
                <w:rFonts w:ascii="Times New Roman" w:eastAsia="Times New Roman" w:hAnsi="Times New Roman" w:cs="Times New Roman"/>
                <w:sz w:val="20"/>
                <w:szCs w:val="20"/>
                <w:lang w:eastAsia="en-AU"/>
              </w:rPr>
            </w:pPr>
          </w:p>
        </w:tc>
        <w:tc>
          <w:tcPr>
            <w:tcW w:w="1157" w:type="dxa"/>
            <w:tcBorders>
              <w:top w:val="nil"/>
              <w:left w:val="nil"/>
              <w:bottom w:val="nil"/>
              <w:right w:val="nil"/>
            </w:tcBorders>
            <w:shd w:val="clear" w:color="auto" w:fill="auto"/>
            <w:vAlign w:val="center"/>
            <w:hideMark/>
          </w:tcPr>
          <w:p w14:paraId="26473F41" w14:textId="77777777" w:rsidR="00BC5219" w:rsidRPr="00F07C24" w:rsidRDefault="00BC5219" w:rsidP="00E83802">
            <w:pPr>
              <w:jc w:val="center"/>
              <w:outlineLvl w:val="0"/>
              <w:rPr>
                <w:rFonts w:ascii="Times New Roman" w:eastAsia="Times New Roman" w:hAnsi="Times New Roman" w:cs="Times New Roman"/>
                <w:sz w:val="20"/>
                <w:szCs w:val="20"/>
                <w:lang w:eastAsia="en-AU"/>
              </w:rPr>
            </w:pPr>
          </w:p>
        </w:tc>
      </w:tr>
      <w:tr w:rsidR="00BC5219" w:rsidRPr="00F07C24" w14:paraId="1EB6075E" w14:textId="77777777" w:rsidTr="00E83802">
        <w:trPr>
          <w:trHeight w:val="198"/>
        </w:trPr>
        <w:tc>
          <w:tcPr>
            <w:tcW w:w="6350" w:type="dxa"/>
            <w:tcBorders>
              <w:top w:val="nil"/>
              <w:left w:val="nil"/>
              <w:bottom w:val="nil"/>
              <w:right w:val="nil"/>
            </w:tcBorders>
            <w:shd w:val="clear" w:color="auto" w:fill="auto"/>
            <w:noWrap/>
            <w:vAlign w:val="center"/>
            <w:hideMark/>
          </w:tcPr>
          <w:p w14:paraId="7347DBCC" w14:textId="77777777" w:rsidR="00BC5219" w:rsidRPr="00F07C24" w:rsidRDefault="00BC5219" w:rsidP="00E83802">
            <w:pPr>
              <w:outlineLvl w:val="0"/>
              <w:rPr>
                <w:rFonts w:ascii="Meta Pro" w:eastAsia="Times New Roman" w:hAnsi="Meta Pro"/>
                <w:b/>
                <w:bCs/>
                <w:szCs w:val="18"/>
                <w:lang w:eastAsia="en-AU"/>
              </w:rPr>
            </w:pPr>
            <w:r w:rsidRPr="00F07C24">
              <w:rPr>
                <w:rFonts w:ascii="Meta Pro" w:eastAsia="Times New Roman" w:hAnsi="Meta Pro"/>
                <w:b/>
                <w:bCs/>
                <w:szCs w:val="18"/>
                <w:lang w:eastAsia="en-AU"/>
              </w:rPr>
              <w:t>Current liabilities</w:t>
            </w:r>
          </w:p>
        </w:tc>
        <w:tc>
          <w:tcPr>
            <w:tcW w:w="1157" w:type="dxa"/>
            <w:tcBorders>
              <w:top w:val="nil"/>
              <w:left w:val="nil"/>
              <w:bottom w:val="nil"/>
              <w:right w:val="nil"/>
            </w:tcBorders>
            <w:shd w:val="clear" w:color="auto" w:fill="auto"/>
            <w:vAlign w:val="center"/>
            <w:hideMark/>
          </w:tcPr>
          <w:p w14:paraId="26C8048B" w14:textId="77777777" w:rsidR="00BC5219" w:rsidRPr="00F07C24" w:rsidRDefault="00BC5219" w:rsidP="00E83802">
            <w:pPr>
              <w:outlineLvl w:val="0"/>
              <w:rPr>
                <w:rFonts w:ascii="Meta Pro" w:eastAsia="Times New Roman" w:hAnsi="Meta Pro"/>
                <w:b/>
                <w:bCs/>
                <w:szCs w:val="18"/>
                <w:lang w:eastAsia="en-AU"/>
              </w:rPr>
            </w:pPr>
          </w:p>
        </w:tc>
        <w:tc>
          <w:tcPr>
            <w:tcW w:w="198" w:type="dxa"/>
            <w:tcBorders>
              <w:top w:val="nil"/>
              <w:left w:val="nil"/>
              <w:bottom w:val="nil"/>
              <w:right w:val="nil"/>
            </w:tcBorders>
            <w:shd w:val="clear" w:color="auto" w:fill="auto"/>
            <w:vAlign w:val="center"/>
            <w:hideMark/>
          </w:tcPr>
          <w:p w14:paraId="6262FD78" w14:textId="77777777" w:rsidR="00BC5219" w:rsidRPr="00F07C24" w:rsidRDefault="00BC5219" w:rsidP="00E83802">
            <w:pPr>
              <w:outlineLvl w:val="0"/>
              <w:rPr>
                <w:rFonts w:ascii="Times New Roman" w:eastAsia="Times New Roman" w:hAnsi="Times New Roman" w:cs="Times New Roman"/>
                <w:sz w:val="20"/>
                <w:szCs w:val="20"/>
                <w:lang w:eastAsia="en-AU"/>
              </w:rPr>
            </w:pPr>
          </w:p>
        </w:tc>
        <w:tc>
          <w:tcPr>
            <w:tcW w:w="1138" w:type="dxa"/>
            <w:tcBorders>
              <w:top w:val="nil"/>
              <w:left w:val="nil"/>
              <w:bottom w:val="nil"/>
              <w:right w:val="nil"/>
            </w:tcBorders>
            <w:shd w:val="clear" w:color="auto" w:fill="auto"/>
            <w:vAlign w:val="center"/>
            <w:hideMark/>
          </w:tcPr>
          <w:p w14:paraId="0AA2CE8C" w14:textId="77777777" w:rsidR="00BC5219" w:rsidRPr="00F07C24" w:rsidRDefault="00BC5219" w:rsidP="00E83802">
            <w:pPr>
              <w:jc w:val="center"/>
              <w:outlineLvl w:val="0"/>
              <w:rPr>
                <w:rFonts w:ascii="Times New Roman" w:eastAsia="Times New Roman" w:hAnsi="Times New Roman" w:cs="Times New Roman"/>
                <w:sz w:val="20"/>
                <w:szCs w:val="20"/>
                <w:lang w:eastAsia="en-AU"/>
              </w:rPr>
            </w:pPr>
          </w:p>
        </w:tc>
        <w:tc>
          <w:tcPr>
            <w:tcW w:w="198" w:type="dxa"/>
            <w:tcBorders>
              <w:top w:val="nil"/>
              <w:left w:val="nil"/>
              <w:bottom w:val="nil"/>
              <w:right w:val="nil"/>
            </w:tcBorders>
            <w:shd w:val="clear" w:color="auto" w:fill="auto"/>
            <w:vAlign w:val="center"/>
            <w:hideMark/>
          </w:tcPr>
          <w:p w14:paraId="22DA7E31" w14:textId="77777777" w:rsidR="00BC5219" w:rsidRPr="00F07C24" w:rsidRDefault="00BC5219" w:rsidP="00E83802">
            <w:pPr>
              <w:outlineLvl w:val="0"/>
              <w:rPr>
                <w:rFonts w:ascii="Times New Roman" w:eastAsia="Times New Roman" w:hAnsi="Times New Roman" w:cs="Times New Roman"/>
                <w:sz w:val="20"/>
                <w:szCs w:val="20"/>
                <w:lang w:eastAsia="en-AU"/>
              </w:rPr>
            </w:pPr>
          </w:p>
        </w:tc>
        <w:tc>
          <w:tcPr>
            <w:tcW w:w="1157" w:type="dxa"/>
            <w:tcBorders>
              <w:top w:val="nil"/>
              <w:left w:val="nil"/>
              <w:bottom w:val="nil"/>
              <w:right w:val="nil"/>
            </w:tcBorders>
            <w:shd w:val="clear" w:color="auto" w:fill="auto"/>
            <w:vAlign w:val="center"/>
            <w:hideMark/>
          </w:tcPr>
          <w:p w14:paraId="3327F385" w14:textId="77777777" w:rsidR="00BC5219" w:rsidRPr="00F07C24" w:rsidRDefault="00BC5219" w:rsidP="00E83802">
            <w:pPr>
              <w:jc w:val="center"/>
              <w:outlineLvl w:val="0"/>
              <w:rPr>
                <w:rFonts w:ascii="Times New Roman" w:eastAsia="Times New Roman" w:hAnsi="Times New Roman" w:cs="Times New Roman"/>
                <w:sz w:val="20"/>
                <w:szCs w:val="20"/>
                <w:lang w:eastAsia="en-AU"/>
              </w:rPr>
            </w:pPr>
          </w:p>
        </w:tc>
      </w:tr>
      <w:tr w:rsidR="00BC5219" w:rsidRPr="00F07C24" w14:paraId="0B34436E" w14:textId="77777777" w:rsidTr="00E83802">
        <w:trPr>
          <w:trHeight w:val="198"/>
        </w:trPr>
        <w:tc>
          <w:tcPr>
            <w:tcW w:w="6350" w:type="dxa"/>
            <w:tcBorders>
              <w:top w:val="nil"/>
              <w:left w:val="nil"/>
              <w:bottom w:val="nil"/>
              <w:right w:val="nil"/>
            </w:tcBorders>
            <w:shd w:val="clear" w:color="auto" w:fill="auto"/>
            <w:noWrap/>
            <w:vAlign w:val="center"/>
            <w:hideMark/>
          </w:tcPr>
          <w:p w14:paraId="484550A7" w14:textId="77777777" w:rsidR="00BC5219" w:rsidRPr="00F07C24" w:rsidRDefault="00BC5219" w:rsidP="00E83802">
            <w:pPr>
              <w:outlineLvl w:val="0"/>
              <w:rPr>
                <w:rFonts w:ascii="Meta Pro" w:eastAsia="Times New Roman" w:hAnsi="Meta Pro"/>
                <w:szCs w:val="18"/>
                <w:lang w:eastAsia="en-AU"/>
              </w:rPr>
            </w:pPr>
            <w:r w:rsidRPr="00F07C24">
              <w:rPr>
                <w:rFonts w:ascii="Meta Pro" w:eastAsia="Times New Roman" w:hAnsi="Meta Pro"/>
                <w:szCs w:val="18"/>
                <w:lang w:eastAsia="en-AU"/>
              </w:rPr>
              <w:t>Payables</w:t>
            </w:r>
          </w:p>
        </w:tc>
        <w:tc>
          <w:tcPr>
            <w:tcW w:w="1157" w:type="dxa"/>
            <w:tcBorders>
              <w:top w:val="nil"/>
              <w:left w:val="nil"/>
              <w:bottom w:val="nil"/>
              <w:right w:val="nil"/>
            </w:tcBorders>
            <w:shd w:val="clear" w:color="auto" w:fill="auto"/>
            <w:noWrap/>
            <w:vAlign w:val="center"/>
            <w:hideMark/>
          </w:tcPr>
          <w:p w14:paraId="2633F6A7"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694,666 </w:t>
            </w:r>
          </w:p>
        </w:tc>
        <w:tc>
          <w:tcPr>
            <w:tcW w:w="198" w:type="dxa"/>
            <w:tcBorders>
              <w:top w:val="nil"/>
              <w:left w:val="nil"/>
              <w:bottom w:val="nil"/>
              <w:right w:val="nil"/>
            </w:tcBorders>
            <w:shd w:val="clear" w:color="auto" w:fill="auto"/>
            <w:noWrap/>
            <w:vAlign w:val="center"/>
            <w:hideMark/>
          </w:tcPr>
          <w:p w14:paraId="328A324B" w14:textId="77777777" w:rsidR="00BC5219" w:rsidRPr="00F07C24" w:rsidRDefault="00BC5219" w:rsidP="00E83802">
            <w:pPr>
              <w:jc w:val="right"/>
              <w:outlineLvl w:val="0"/>
              <w:rPr>
                <w:rFonts w:ascii="Meta Pro" w:eastAsia="Times New Roman" w:hAnsi="Meta Pro"/>
                <w:szCs w:val="18"/>
                <w:lang w:eastAsia="en-AU"/>
              </w:rPr>
            </w:pPr>
          </w:p>
        </w:tc>
        <w:tc>
          <w:tcPr>
            <w:tcW w:w="1138" w:type="dxa"/>
            <w:tcBorders>
              <w:top w:val="nil"/>
              <w:left w:val="nil"/>
              <w:bottom w:val="nil"/>
              <w:right w:val="nil"/>
            </w:tcBorders>
            <w:shd w:val="clear" w:color="auto" w:fill="auto"/>
            <w:noWrap/>
            <w:vAlign w:val="center"/>
            <w:hideMark/>
          </w:tcPr>
          <w:p w14:paraId="7AB847FA"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942,274 </w:t>
            </w:r>
          </w:p>
        </w:tc>
        <w:tc>
          <w:tcPr>
            <w:tcW w:w="198" w:type="dxa"/>
            <w:tcBorders>
              <w:top w:val="nil"/>
              <w:left w:val="nil"/>
              <w:bottom w:val="nil"/>
              <w:right w:val="nil"/>
            </w:tcBorders>
            <w:shd w:val="clear" w:color="auto" w:fill="auto"/>
            <w:noWrap/>
            <w:vAlign w:val="center"/>
            <w:hideMark/>
          </w:tcPr>
          <w:p w14:paraId="0AAE2EC5" w14:textId="77777777" w:rsidR="00BC5219" w:rsidRPr="00F07C24" w:rsidRDefault="00BC5219" w:rsidP="00E83802">
            <w:pPr>
              <w:jc w:val="right"/>
              <w:outlineLvl w:val="0"/>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5744F33D"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247,608 </w:t>
            </w:r>
          </w:p>
        </w:tc>
      </w:tr>
      <w:tr w:rsidR="00BC5219" w:rsidRPr="00F07C24" w14:paraId="1AC87ACE" w14:textId="77777777" w:rsidTr="00E83802">
        <w:trPr>
          <w:trHeight w:val="198"/>
        </w:trPr>
        <w:tc>
          <w:tcPr>
            <w:tcW w:w="6350" w:type="dxa"/>
            <w:tcBorders>
              <w:top w:val="nil"/>
              <w:left w:val="nil"/>
              <w:bottom w:val="nil"/>
              <w:right w:val="nil"/>
            </w:tcBorders>
            <w:shd w:val="clear" w:color="auto" w:fill="auto"/>
            <w:noWrap/>
            <w:vAlign w:val="center"/>
            <w:hideMark/>
          </w:tcPr>
          <w:p w14:paraId="6F0B8563" w14:textId="77777777" w:rsidR="00BC5219" w:rsidRPr="00F07C24" w:rsidRDefault="00BC5219" w:rsidP="00E83802">
            <w:pPr>
              <w:outlineLvl w:val="0"/>
              <w:rPr>
                <w:rFonts w:ascii="Meta Pro" w:eastAsia="Times New Roman" w:hAnsi="Meta Pro"/>
                <w:szCs w:val="18"/>
                <w:lang w:eastAsia="en-AU"/>
              </w:rPr>
            </w:pPr>
            <w:r w:rsidRPr="00F07C24">
              <w:rPr>
                <w:rFonts w:ascii="Meta Pro" w:eastAsia="Times New Roman" w:hAnsi="Meta Pro"/>
                <w:szCs w:val="18"/>
                <w:lang w:eastAsia="en-AU"/>
              </w:rPr>
              <w:t>Borrowings</w:t>
            </w:r>
          </w:p>
        </w:tc>
        <w:tc>
          <w:tcPr>
            <w:tcW w:w="1157" w:type="dxa"/>
            <w:tcBorders>
              <w:top w:val="nil"/>
              <w:left w:val="nil"/>
              <w:bottom w:val="nil"/>
              <w:right w:val="nil"/>
            </w:tcBorders>
            <w:shd w:val="clear" w:color="auto" w:fill="auto"/>
            <w:noWrap/>
            <w:vAlign w:val="center"/>
            <w:hideMark/>
          </w:tcPr>
          <w:p w14:paraId="28090A2C"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44,202 </w:t>
            </w:r>
          </w:p>
        </w:tc>
        <w:tc>
          <w:tcPr>
            <w:tcW w:w="198" w:type="dxa"/>
            <w:tcBorders>
              <w:top w:val="nil"/>
              <w:left w:val="nil"/>
              <w:bottom w:val="nil"/>
              <w:right w:val="nil"/>
            </w:tcBorders>
            <w:shd w:val="clear" w:color="auto" w:fill="auto"/>
            <w:noWrap/>
            <w:vAlign w:val="center"/>
            <w:hideMark/>
          </w:tcPr>
          <w:p w14:paraId="7DD80057" w14:textId="77777777" w:rsidR="00BC5219" w:rsidRPr="00F07C24" w:rsidRDefault="00BC5219" w:rsidP="00E83802">
            <w:pPr>
              <w:jc w:val="right"/>
              <w:outlineLvl w:val="0"/>
              <w:rPr>
                <w:rFonts w:ascii="Meta Pro" w:eastAsia="Times New Roman" w:hAnsi="Meta Pro"/>
                <w:szCs w:val="18"/>
                <w:lang w:eastAsia="en-AU"/>
              </w:rPr>
            </w:pPr>
          </w:p>
        </w:tc>
        <w:tc>
          <w:tcPr>
            <w:tcW w:w="1138" w:type="dxa"/>
            <w:tcBorders>
              <w:top w:val="nil"/>
              <w:left w:val="nil"/>
              <w:bottom w:val="nil"/>
              <w:right w:val="nil"/>
            </w:tcBorders>
            <w:shd w:val="clear" w:color="auto" w:fill="auto"/>
            <w:noWrap/>
            <w:vAlign w:val="center"/>
            <w:hideMark/>
          </w:tcPr>
          <w:p w14:paraId="6291F8F2"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44,204 </w:t>
            </w:r>
          </w:p>
        </w:tc>
        <w:tc>
          <w:tcPr>
            <w:tcW w:w="198" w:type="dxa"/>
            <w:tcBorders>
              <w:top w:val="nil"/>
              <w:left w:val="nil"/>
              <w:bottom w:val="nil"/>
              <w:right w:val="nil"/>
            </w:tcBorders>
            <w:shd w:val="clear" w:color="auto" w:fill="auto"/>
            <w:noWrap/>
            <w:vAlign w:val="center"/>
            <w:hideMark/>
          </w:tcPr>
          <w:p w14:paraId="1508591F" w14:textId="77777777" w:rsidR="00BC5219" w:rsidRPr="00F07C24" w:rsidRDefault="00BC5219" w:rsidP="00E83802">
            <w:pPr>
              <w:jc w:val="right"/>
              <w:outlineLvl w:val="0"/>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7C4FC1BD"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2 </w:t>
            </w:r>
          </w:p>
        </w:tc>
      </w:tr>
      <w:tr w:rsidR="00BC5219" w:rsidRPr="00F07C24" w14:paraId="42DCE8E5" w14:textId="77777777" w:rsidTr="00E83802">
        <w:trPr>
          <w:trHeight w:val="198"/>
        </w:trPr>
        <w:tc>
          <w:tcPr>
            <w:tcW w:w="6350" w:type="dxa"/>
            <w:tcBorders>
              <w:top w:val="nil"/>
              <w:left w:val="nil"/>
              <w:bottom w:val="nil"/>
              <w:right w:val="nil"/>
            </w:tcBorders>
            <w:shd w:val="clear" w:color="auto" w:fill="auto"/>
            <w:noWrap/>
            <w:vAlign w:val="center"/>
            <w:hideMark/>
          </w:tcPr>
          <w:p w14:paraId="181BF027" w14:textId="77777777" w:rsidR="00BC5219" w:rsidRPr="00F07C24" w:rsidRDefault="00BC5219" w:rsidP="00E83802">
            <w:pPr>
              <w:outlineLvl w:val="0"/>
              <w:rPr>
                <w:rFonts w:ascii="Meta Pro" w:eastAsia="Times New Roman" w:hAnsi="Meta Pro"/>
                <w:szCs w:val="18"/>
                <w:lang w:eastAsia="en-AU"/>
              </w:rPr>
            </w:pPr>
            <w:r w:rsidRPr="00F07C24">
              <w:rPr>
                <w:rFonts w:ascii="Meta Pro" w:eastAsia="Times New Roman" w:hAnsi="Meta Pro"/>
                <w:szCs w:val="18"/>
                <w:lang w:eastAsia="en-AU"/>
              </w:rPr>
              <w:t>Provisions</w:t>
            </w:r>
          </w:p>
        </w:tc>
        <w:tc>
          <w:tcPr>
            <w:tcW w:w="1157" w:type="dxa"/>
            <w:tcBorders>
              <w:top w:val="nil"/>
              <w:left w:val="nil"/>
              <w:bottom w:val="nil"/>
              <w:right w:val="nil"/>
            </w:tcBorders>
            <w:shd w:val="clear" w:color="auto" w:fill="auto"/>
            <w:noWrap/>
            <w:vAlign w:val="center"/>
            <w:hideMark/>
          </w:tcPr>
          <w:p w14:paraId="02D8CE4E"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200,678 </w:t>
            </w:r>
          </w:p>
        </w:tc>
        <w:tc>
          <w:tcPr>
            <w:tcW w:w="198" w:type="dxa"/>
            <w:tcBorders>
              <w:top w:val="nil"/>
              <w:left w:val="nil"/>
              <w:bottom w:val="nil"/>
              <w:right w:val="nil"/>
            </w:tcBorders>
            <w:shd w:val="clear" w:color="auto" w:fill="auto"/>
            <w:noWrap/>
            <w:vAlign w:val="center"/>
            <w:hideMark/>
          </w:tcPr>
          <w:p w14:paraId="526F3A69" w14:textId="77777777" w:rsidR="00BC5219" w:rsidRPr="00F07C24" w:rsidRDefault="00BC5219" w:rsidP="00E83802">
            <w:pPr>
              <w:jc w:val="right"/>
              <w:outlineLvl w:val="0"/>
              <w:rPr>
                <w:rFonts w:ascii="Meta Pro" w:eastAsia="Times New Roman" w:hAnsi="Meta Pro"/>
                <w:szCs w:val="18"/>
                <w:lang w:eastAsia="en-AU"/>
              </w:rPr>
            </w:pPr>
          </w:p>
        </w:tc>
        <w:tc>
          <w:tcPr>
            <w:tcW w:w="1138" w:type="dxa"/>
            <w:tcBorders>
              <w:top w:val="nil"/>
              <w:left w:val="nil"/>
              <w:bottom w:val="nil"/>
              <w:right w:val="nil"/>
            </w:tcBorders>
            <w:shd w:val="clear" w:color="auto" w:fill="auto"/>
            <w:noWrap/>
            <w:vAlign w:val="center"/>
            <w:hideMark/>
          </w:tcPr>
          <w:p w14:paraId="1020B135"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317,937 </w:t>
            </w:r>
          </w:p>
        </w:tc>
        <w:tc>
          <w:tcPr>
            <w:tcW w:w="198" w:type="dxa"/>
            <w:tcBorders>
              <w:top w:val="nil"/>
              <w:left w:val="nil"/>
              <w:bottom w:val="nil"/>
              <w:right w:val="nil"/>
            </w:tcBorders>
            <w:shd w:val="clear" w:color="auto" w:fill="auto"/>
            <w:noWrap/>
            <w:vAlign w:val="center"/>
            <w:hideMark/>
          </w:tcPr>
          <w:p w14:paraId="513AE750" w14:textId="77777777" w:rsidR="00BC5219" w:rsidRPr="00F07C24" w:rsidRDefault="00BC5219" w:rsidP="00E83802">
            <w:pPr>
              <w:jc w:val="right"/>
              <w:outlineLvl w:val="0"/>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5BC8D695"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117,259 </w:t>
            </w:r>
          </w:p>
        </w:tc>
      </w:tr>
      <w:tr w:rsidR="00BC5219" w:rsidRPr="00F07C24" w14:paraId="315E5EE7" w14:textId="77777777" w:rsidTr="00E83802">
        <w:trPr>
          <w:trHeight w:val="198"/>
        </w:trPr>
        <w:tc>
          <w:tcPr>
            <w:tcW w:w="6350" w:type="dxa"/>
            <w:tcBorders>
              <w:top w:val="nil"/>
              <w:left w:val="nil"/>
              <w:bottom w:val="nil"/>
              <w:right w:val="nil"/>
            </w:tcBorders>
            <w:shd w:val="clear" w:color="auto" w:fill="auto"/>
            <w:noWrap/>
            <w:vAlign w:val="center"/>
            <w:hideMark/>
          </w:tcPr>
          <w:p w14:paraId="2FDF8012" w14:textId="77777777" w:rsidR="00BC5219" w:rsidRPr="00F07C24" w:rsidRDefault="00BC5219" w:rsidP="00E83802">
            <w:pPr>
              <w:outlineLvl w:val="0"/>
              <w:rPr>
                <w:rFonts w:ascii="Meta Pro" w:eastAsia="Times New Roman" w:hAnsi="Meta Pro"/>
                <w:szCs w:val="18"/>
                <w:lang w:eastAsia="en-AU"/>
              </w:rPr>
            </w:pPr>
            <w:r w:rsidRPr="00F07C24">
              <w:rPr>
                <w:rFonts w:ascii="Meta Pro" w:eastAsia="Times New Roman" w:hAnsi="Meta Pro"/>
                <w:szCs w:val="18"/>
                <w:lang w:eastAsia="en-AU"/>
              </w:rPr>
              <w:t>Accrued employee benefits</w:t>
            </w:r>
          </w:p>
        </w:tc>
        <w:tc>
          <w:tcPr>
            <w:tcW w:w="1157" w:type="dxa"/>
            <w:tcBorders>
              <w:top w:val="nil"/>
              <w:left w:val="nil"/>
              <w:bottom w:val="nil"/>
              <w:right w:val="nil"/>
            </w:tcBorders>
            <w:shd w:val="clear" w:color="auto" w:fill="auto"/>
            <w:noWrap/>
            <w:vAlign w:val="center"/>
            <w:hideMark/>
          </w:tcPr>
          <w:p w14:paraId="2C40F514"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31,441 </w:t>
            </w:r>
          </w:p>
        </w:tc>
        <w:tc>
          <w:tcPr>
            <w:tcW w:w="198" w:type="dxa"/>
            <w:tcBorders>
              <w:top w:val="nil"/>
              <w:left w:val="nil"/>
              <w:bottom w:val="nil"/>
              <w:right w:val="nil"/>
            </w:tcBorders>
            <w:shd w:val="clear" w:color="auto" w:fill="auto"/>
            <w:noWrap/>
            <w:vAlign w:val="center"/>
            <w:hideMark/>
          </w:tcPr>
          <w:p w14:paraId="5306BF21" w14:textId="77777777" w:rsidR="00BC5219" w:rsidRPr="00F07C24" w:rsidRDefault="00BC5219" w:rsidP="00E83802">
            <w:pPr>
              <w:jc w:val="right"/>
              <w:outlineLvl w:val="0"/>
              <w:rPr>
                <w:rFonts w:ascii="Meta Pro" w:eastAsia="Times New Roman" w:hAnsi="Meta Pro"/>
                <w:szCs w:val="18"/>
                <w:lang w:eastAsia="en-AU"/>
              </w:rPr>
            </w:pPr>
          </w:p>
        </w:tc>
        <w:tc>
          <w:tcPr>
            <w:tcW w:w="1138" w:type="dxa"/>
            <w:tcBorders>
              <w:top w:val="nil"/>
              <w:left w:val="nil"/>
              <w:bottom w:val="nil"/>
              <w:right w:val="nil"/>
            </w:tcBorders>
            <w:shd w:val="clear" w:color="auto" w:fill="auto"/>
            <w:noWrap/>
            <w:vAlign w:val="center"/>
            <w:hideMark/>
          </w:tcPr>
          <w:p w14:paraId="44DF3E0A"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40,445 </w:t>
            </w:r>
          </w:p>
        </w:tc>
        <w:tc>
          <w:tcPr>
            <w:tcW w:w="198" w:type="dxa"/>
            <w:tcBorders>
              <w:top w:val="nil"/>
              <w:left w:val="nil"/>
              <w:bottom w:val="nil"/>
              <w:right w:val="nil"/>
            </w:tcBorders>
            <w:shd w:val="clear" w:color="auto" w:fill="auto"/>
            <w:noWrap/>
            <w:vAlign w:val="center"/>
            <w:hideMark/>
          </w:tcPr>
          <w:p w14:paraId="435BD26F" w14:textId="77777777" w:rsidR="00BC5219" w:rsidRPr="00F07C24" w:rsidRDefault="00BC5219" w:rsidP="00E83802">
            <w:pPr>
              <w:jc w:val="right"/>
              <w:outlineLvl w:val="0"/>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34A4CD22"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9,004 </w:t>
            </w:r>
          </w:p>
        </w:tc>
      </w:tr>
      <w:tr w:rsidR="00BC5219" w:rsidRPr="00F07C24" w14:paraId="65385009" w14:textId="77777777" w:rsidTr="00E83802">
        <w:trPr>
          <w:trHeight w:val="198"/>
        </w:trPr>
        <w:tc>
          <w:tcPr>
            <w:tcW w:w="6350" w:type="dxa"/>
            <w:tcBorders>
              <w:top w:val="nil"/>
              <w:left w:val="nil"/>
              <w:bottom w:val="nil"/>
              <w:right w:val="nil"/>
            </w:tcBorders>
            <w:shd w:val="clear" w:color="auto" w:fill="auto"/>
            <w:noWrap/>
            <w:vAlign w:val="center"/>
            <w:hideMark/>
          </w:tcPr>
          <w:p w14:paraId="0C6B9DAF" w14:textId="77777777" w:rsidR="00BC5219" w:rsidRPr="00F07C24" w:rsidRDefault="00BC5219" w:rsidP="00E83802">
            <w:pPr>
              <w:outlineLvl w:val="0"/>
              <w:rPr>
                <w:rFonts w:ascii="Meta Pro" w:eastAsia="Times New Roman" w:hAnsi="Meta Pro"/>
                <w:szCs w:val="18"/>
                <w:lang w:eastAsia="en-AU"/>
              </w:rPr>
            </w:pPr>
            <w:r w:rsidRPr="00F07C24">
              <w:rPr>
                <w:rFonts w:ascii="Meta Pro" w:eastAsia="Times New Roman" w:hAnsi="Meta Pro"/>
                <w:szCs w:val="18"/>
                <w:lang w:eastAsia="en-AU"/>
              </w:rPr>
              <w:t>Unearned revenue – service concession arrangements</w:t>
            </w:r>
          </w:p>
        </w:tc>
        <w:tc>
          <w:tcPr>
            <w:tcW w:w="1157" w:type="dxa"/>
            <w:tcBorders>
              <w:top w:val="nil"/>
              <w:left w:val="nil"/>
              <w:bottom w:val="nil"/>
              <w:right w:val="nil"/>
            </w:tcBorders>
            <w:shd w:val="clear" w:color="auto" w:fill="auto"/>
            <w:noWrap/>
            <w:vAlign w:val="center"/>
            <w:hideMark/>
          </w:tcPr>
          <w:p w14:paraId="178D0D48"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232,180 </w:t>
            </w:r>
          </w:p>
        </w:tc>
        <w:tc>
          <w:tcPr>
            <w:tcW w:w="198" w:type="dxa"/>
            <w:tcBorders>
              <w:top w:val="nil"/>
              <w:left w:val="nil"/>
              <w:bottom w:val="nil"/>
              <w:right w:val="nil"/>
            </w:tcBorders>
            <w:shd w:val="clear" w:color="auto" w:fill="auto"/>
            <w:noWrap/>
            <w:vAlign w:val="center"/>
            <w:hideMark/>
          </w:tcPr>
          <w:p w14:paraId="19433A4E" w14:textId="77777777" w:rsidR="00BC5219" w:rsidRPr="00F07C24" w:rsidRDefault="00BC5219" w:rsidP="00E83802">
            <w:pPr>
              <w:jc w:val="right"/>
              <w:outlineLvl w:val="0"/>
              <w:rPr>
                <w:rFonts w:ascii="Meta Pro" w:eastAsia="Times New Roman" w:hAnsi="Meta Pro"/>
                <w:szCs w:val="18"/>
                <w:lang w:eastAsia="en-AU"/>
              </w:rPr>
            </w:pPr>
          </w:p>
        </w:tc>
        <w:tc>
          <w:tcPr>
            <w:tcW w:w="1138" w:type="dxa"/>
            <w:tcBorders>
              <w:top w:val="nil"/>
              <w:left w:val="nil"/>
              <w:bottom w:val="nil"/>
              <w:right w:val="nil"/>
            </w:tcBorders>
            <w:shd w:val="clear" w:color="auto" w:fill="auto"/>
            <w:noWrap/>
            <w:vAlign w:val="center"/>
            <w:hideMark/>
          </w:tcPr>
          <w:p w14:paraId="43209030"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232,180 </w:t>
            </w:r>
          </w:p>
        </w:tc>
        <w:tc>
          <w:tcPr>
            <w:tcW w:w="198" w:type="dxa"/>
            <w:tcBorders>
              <w:top w:val="nil"/>
              <w:left w:val="nil"/>
              <w:bottom w:val="nil"/>
              <w:right w:val="nil"/>
            </w:tcBorders>
            <w:shd w:val="clear" w:color="auto" w:fill="auto"/>
            <w:noWrap/>
            <w:vAlign w:val="center"/>
            <w:hideMark/>
          </w:tcPr>
          <w:p w14:paraId="534850B6" w14:textId="77777777" w:rsidR="00BC5219" w:rsidRPr="00F07C24" w:rsidRDefault="00BC5219" w:rsidP="00E83802">
            <w:pPr>
              <w:jc w:val="right"/>
              <w:outlineLvl w:val="0"/>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184D36B4"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 </w:t>
            </w:r>
          </w:p>
        </w:tc>
      </w:tr>
      <w:tr w:rsidR="00BC5219" w:rsidRPr="00F07C24" w14:paraId="3EE26F50" w14:textId="77777777" w:rsidTr="00E83802">
        <w:trPr>
          <w:trHeight w:val="198"/>
        </w:trPr>
        <w:tc>
          <w:tcPr>
            <w:tcW w:w="6350" w:type="dxa"/>
            <w:tcBorders>
              <w:top w:val="nil"/>
              <w:left w:val="nil"/>
              <w:bottom w:val="nil"/>
              <w:right w:val="nil"/>
            </w:tcBorders>
            <w:shd w:val="clear" w:color="auto" w:fill="auto"/>
            <w:noWrap/>
            <w:vAlign w:val="center"/>
            <w:hideMark/>
          </w:tcPr>
          <w:p w14:paraId="3C634F66" w14:textId="77777777" w:rsidR="00BC5219" w:rsidRPr="00F07C24" w:rsidRDefault="00BC5219" w:rsidP="00E83802">
            <w:pPr>
              <w:outlineLvl w:val="0"/>
              <w:rPr>
                <w:rFonts w:ascii="Meta Pro" w:eastAsia="Times New Roman" w:hAnsi="Meta Pro"/>
                <w:szCs w:val="18"/>
                <w:lang w:eastAsia="en-AU"/>
              </w:rPr>
            </w:pPr>
            <w:r w:rsidRPr="00F07C24">
              <w:rPr>
                <w:rFonts w:ascii="Meta Pro" w:eastAsia="Times New Roman" w:hAnsi="Meta Pro"/>
                <w:szCs w:val="18"/>
                <w:lang w:eastAsia="en-AU"/>
              </w:rPr>
              <w:t>Lease liabilities</w:t>
            </w:r>
          </w:p>
        </w:tc>
        <w:tc>
          <w:tcPr>
            <w:tcW w:w="1157" w:type="dxa"/>
            <w:tcBorders>
              <w:top w:val="nil"/>
              <w:left w:val="nil"/>
              <w:bottom w:val="nil"/>
              <w:right w:val="nil"/>
            </w:tcBorders>
            <w:shd w:val="clear" w:color="auto" w:fill="auto"/>
            <w:noWrap/>
            <w:vAlign w:val="center"/>
            <w:hideMark/>
          </w:tcPr>
          <w:p w14:paraId="48E9C5A2"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244 </w:t>
            </w:r>
          </w:p>
        </w:tc>
        <w:tc>
          <w:tcPr>
            <w:tcW w:w="198" w:type="dxa"/>
            <w:tcBorders>
              <w:top w:val="nil"/>
              <w:left w:val="nil"/>
              <w:bottom w:val="nil"/>
              <w:right w:val="nil"/>
            </w:tcBorders>
            <w:shd w:val="clear" w:color="auto" w:fill="auto"/>
            <w:noWrap/>
            <w:vAlign w:val="center"/>
            <w:hideMark/>
          </w:tcPr>
          <w:p w14:paraId="4B4FBFED" w14:textId="77777777" w:rsidR="00BC5219" w:rsidRPr="00F07C24" w:rsidRDefault="00BC5219" w:rsidP="00E83802">
            <w:pPr>
              <w:jc w:val="right"/>
              <w:outlineLvl w:val="0"/>
              <w:rPr>
                <w:rFonts w:ascii="Meta Pro" w:eastAsia="Times New Roman" w:hAnsi="Meta Pro"/>
                <w:szCs w:val="18"/>
                <w:lang w:eastAsia="en-AU"/>
              </w:rPr>
            </w:pPr>
          </w:p>
        </w:tc>
        <w:tc>
          <w:tcPr>
            <w:tcW w:w="1138" w:type="dxa"/>
            <w:tcBorders>
              <w:top w:val="nil"/>
              <w:left w:val="nil"/>
              <w:bottom w:val="nil"/>
              <w:right w:val="nil"/>
            </w:tcBorders>
            <w:shd w:val="clear" w:color="auto" w:fill="auto"/>
            <w:noWrap/>
            <w:vAlign w:val="center"/>
            <w:hideMark/>
          </w:tcPr>
          <w:p w14:paraId="4D82CC66"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24,962 </w:t>
            </w:r>
          </w:p>
        </w:tc>
        <w:tc>
          <w:tcPr>
            <w:tcW w:w="198" w:type="dxa"/>
            <w:tcBorders>
              <w:top w:val="nil"/>
              <w:left w:val="nil"/>
              <w:bottom w:val="nil"/>
              <w:right w:val="nil"/>
            </w:tcBorders>
            <w:shd w:val="clear" w:color="auto" w:fill="auto"/>
            <w:noWrap/>
            <w:vAlign w:val="center"/>
            <w:hideMark/>
          </w:tcPr>
          <w:p w14:paraId="2DE85513" w14:textId="77777777" w:rsidR="00BC5219" w:rsidRPr="00F07C24" w:rsidRDefault="00BC5219" w:rsidP="00E83802">
            <w:pPr>
              <w:jc w:val="right"/>
              <w:outlineLvl w:val="0"/>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45148295"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24,718 </w:t>
            </w:r>
          </w:p>
        </w:tc>
      </w:tr>
      <w:tr w:rsidR="00BC5219" w:rsidRPr="00F07C24" w14:paraId="57310F9E" w14:textId="77777777" w:rsidTr="00E83802">
        <w:trPr>
          <w:trHeight w:val="198"/>
        </w:trPr>
        <w:tc>
          <w:tcPr>
            <w:tcW w:w="6350" w:type="dxa"/>
            <w:tcBorders>
              <w:top w:val="nil"/>
              <w:left w:val="nil"/>
              <w:bottom w:val="nil"/>
              <w:right w:val="nil"/>
            </w:tcBorders>
            <w:shd w:val="clear" w:color="auto" w:fill="auto"/>
            <w:noWrap/>
            <w:vAlign w:val="center"/>
            <w:hideMark/>
          </w:tcPr>
          <w:p w14:paraId="0FD51A18" w14:textId="77777777" w:rsidR="00BC5219" w:rsidRPr="00F07C24" w:rsidRDefault="00BC5219" w:rsidP="00E83802">
            <w:pPr>
              <w:outlineLvl w:val="0"/>
              <w:rPr>
                <w:rFonts w:ascii="Meta Pro" w:eastAsia="Times New Roman" w:hAnsi="Meta Pro"/>
                <w:szCs w:val="18"/>
                <w:lang w:eastAsia="en-AU"/>
              </w:rPr>
            </w:pPr>
            <w:r w:rsidRPr="00F07C24">
              <w:rPr>
                <w:rFonts w:ascii="Meta Pro" w:eastAsia="Times New Roman" w:hAnsi="Meta Pro"/>
                <w:szCs w:val="18"/>
                <w:lang w:eastAsia="en-AU"/>
              </w:rPr>
              <w:t>Other</w:t>
            </w:r>
          </w:p>
        </w:tc>
        <w:tc>
          <w:tcPr>
            <w:tcW w:w="1157" w:type="dxa"/>
            <w:tcBorders>
              <w:top w:val="nil"/>
              <w:left w:val="nil"/>
              <w:bottom w:val="nil"/>
              <w:right w:val="nil"/>
            </w:tcBorders>
            <w:shd w:val="clear" w:color="auto" w:fill="auto"/>
            <w:noWrap/>
            <w:vAlign w:val="center"/>
            <w:hideMark/>
          </w:tcPr>
          <w:p w14:paraId="7D56CFE0"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193,409 </w:t>
            </w:r>
          </w:p>
        </w:tc>
        <w:tc>
          <w:tcPr>
            <w:tcW w:w="198" w:type="dxa"/>
            <w:tcBorders>
              <w:top w:val="nil"/>
              <w:left w:val="nil"/>
              <w:bottom w:val="nil"/>
              <w:right w:val="nil"/>
            </w:tcBorders>
            <w:shd w:val="clear" w:color="auto" w:fill="auto"/>
            <w:noWrap/>
            <w:vAlign w:val="center"/>
            <w:hideMark/>
          </w:tcPr>
          <w:p w14:paraId="0671B752" w14:textId="77777777" w:rsidR="00BC5219" w:rsidRPr="00F07C24" w:rsidRDefault="00BC5219" w:rsidP="00E83802">
            <w:pPr>
              <w:jc w:val="right"/>
              <w:outlineLvl w:val="0"/>
              <w:rPr>
                <w:rFonts w:ascii="Meta Pro" w:eastAsia="Times New Roman" w:hAnsi="Meta Pro"/>
                <w:szCs w:val="18"/>
                <w:lang w:eastAsia="en-AU"/>
              </w:rPr>
            </w:pPr>
          </w:p>
        </w:tc>
        <w:tc>
          <w:tcPr>
            <w:tcW w:w="1138" w:type="dxa"/>
            <w:tcBorders>
              <w:top w:val="nil"/>
              <w:left w:val="nil"/>
              <w:bottom w:val="nil"/>
              <w:right w:val="nil"/>
            </w:tcBorders>
            <w:shd w:val="clear" w:color="auto" w:fill="auto"/>
            <w:noWrap/>
            <w:vAlign w:val="center"/>
            <w:hideMark/>
          </w:tcPr>
          <w:p w14:paraId="53926A7A"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241,599 </w:t>
            </w:r>
          </w:p>
        </w:tc>
        <w:tc>
          <w:tcPr>
            <w:tcW w:w="198" w:type="dxa"/>
            <w:tcBorders>
              <w:top w:val="nil"/>
              <w:left w:val="nil"/>
              <w:bottom w:val="nil"/>
              <w:right w:val="nil"/>
            </w:tcBorders>
            <w:shd w:val="clear" w:color="auto" w:fill="auto"/>
            <w:noWrap/>
            <w:vAlign w:val="center"/>
            <w:hideMark/>
          </w:tcPr>
          <w:p w14:paraId="330BB22C" w14:textId="77777777" w:rsidR="00BC5219" w:rsidRPr="00F07C24" w:rsidRDefault="00BC5219" w:rsidP="00E83802">
            <w:pPr>
              <w:jc w:val="right"/>
              <w:outlineLvl w:val="0"/>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62BF1261"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48,190 </w:t>
            </w:r>
          </w:p>
        </w:tc>
      </w:tr>
      <w:tr w:rsidR="00BC5219" w:rsidRPr="00F07C24" w14:paraId="035A1179" w14:textId="77777777" w:rsidTr="00E83802">
        <w:trPr>
          <w:trHeight w:val="198"/>
        </w:trPr>
        <w:tc>
          <w:tcPr>
            <w:tcW w:w="6350" w:type="dxa"/>
            <w:tcBorders>
              <w:top w:val="single" w:sz="4" w:space="0" w:color="auto"/>
              <w:left w:val="nil"/>
              <w:bottom w:val="nil"/>
              <w:right w:val="nil"/>
            </w:tcBorders>
            <w:shd w:val="clear" w:color="auto" w:fill="auto"/>
            <w:noWrap/>
            <w:vAlign w:val="center"/>
            <w:hideMark/>
          </w:tcPr>
          <w:p w14:paraId="10310E52" w14:textId="77777777" w:rsidR="00BC5219" w:rsidRPr="00F07C24" w:rsidRDefault="00BC5219" w:rsidP="00E83802">
            <w:pPr>
              <w:outlineLvl w:val="0"/>
              <w:rPr>
                <w:rFonts w:ascii="Meta Pro" w:eastAsia="Times New Roman" w:hAnsi="Meta Pro"/>
                <w:b/>
                <w:bCs/>
                <w:szCs w:val="18"/>
                <w:lang w:eastAsia="en-AU"/>
              </w:rPr>
            </w:pPr>
            <w:r w:rsidRPr="00F07C24">
              <w:rPr>
                <w:rFonts w:ascii="Meta Pro" w:eastAsia="Times New Roman" w:hAnsi="Meta Pro"/>
                <w:b/>
                <w:bCs/>
                <w:szCs w:val="18"/>
                <w:lang w:eastAsia="en-AU"/>
              </w:rPr>
              <w:lastRenderedPageBreak/>
              <w:t>Total current liabilities</w:t>
            </w:r>
          </w:p>
        </w:tc>
        <w:tc>
          <w:tcPr>
            <w:tcW w:w="1157" w:type="dxa"/>
            <w:tcBorders>
              <w:top w:val="single" w:sz="4" w:space="0" w:color="auto"/>
              <w:left w:val="nil"/>
              <w:bottom w:val="nil"/>
              <w:right w:val="nil"/>
            </w:tcBorders>
            <w:shd w:val="clear" w:color="auto" w:fill="auto"/>
            <w:noWrap/>
            <w:vAlign w:val="center"/>
            <w:hideMark/>
          </w:tcPr>
          <w:p w14:paraId="44FF252C" w14:textId="77777777" w:rsidR="00BC5219" w:rsidRPr="00F07C24" w:rsidRDefault="00BC5219" w:rsidP="00E83802">
            <w:pPr>
              <w:jc w:val="right"/>
              <w:outlineLvl w:val="0"/>
              <w:rPr>
                <w:rFonts w:ascii="Meta Pro" w:eastAsia="Times New Roman" w:hAnsi="Meta Pro"/>
                <w:b/>
                <w:bCs/>
                <w:szCs w:val="18"/>
                <w:lang w:eastAsia="en-AU"/>
              </w:rPr>
            </w:pPr>
            <w:r w:rsidRPr="00F07C24">
              <w:rPr>
                <w:rFonts w:ascii="Meta Pro" w:eastAsia="Times New Roman" w:hAnsi="Meta Pro"/>
                <w:b/>
                <w:bCs/>
                <w:szCs w:val="18"/>
                <w:lang w:eastAsia="en-AU"/>
              </w:rPr>
              <w:t xml:space="preserve">1,396,820 </w:t>
            </w:r>
          </w:p>
        </w:tc>
        <w:tc>
          <w:tcPr>
            <w:tcW w:w="198" w:type="dxa"/>
            <w:tcBorders>
              <w:top w:val="single" w:sz="4" w:space="0" w:color="auto"/>
              <w:left w:val="nil"/>
              <w:bottom w:val="nil"/>
              <w:right w:val="nil"/>
            </w:tcBorders>
            <w:shd w:val="clear" w:color="auto" w:fill="auto"/>
            <w:noWrap/>
            <w:vAlign w:val="center"/>
            <w:hideMark/>
          </w:tcPr>
          <w:p w14:paraId="0B41EA78" w14:textId="77777777" w:rsidR="00BC5219" w:rsidRPr="00F07C24" w:rsidRDefault="00BC5219" w:rsidP="00E83802">
            <w:pPr>
              <w:jc w:val="center"/>
              <w:outlineLvl w:val="0"/>
              <w:rPr>
                <w:rFonts w:ascii="Meta Pro" w:eastAsia="Times New Roman" w:hAnsi="Meta Pro"/>
                <w:b/>
                <w:bCs/>
                <w:szCs w:val="18"/>
                <w:lang w:eastAsia="en-AU"/>
              </w:rPr>
            </w:pPr>
            <w:r w:rsidRPr="00F07C24">
              <w:rPr>
                <w:rFonts w:ascii="Meta Pro" w:eastAsia="Times New Roman" w:hAnsi="Meta Pro"/>
                <w:b/>
                <w:bCs/>
                <w:szCs w:val="18"/>
                <w:lang w:eastAsia="en-AU"/>
              </w:rPr>
              <w:t> </w:t>
            </w:r>
          </w:p>
        </w:tc>
        <w:tc>
          <w:tcPr>
            <w:tcW w:w="1138" w:type="dxa"/>
            <w:tcBorders>
              <w:top w:val="single" w:sz="4" w:space="0" w:color="auto"/>
              <w:left w:val="nil"/>
              <w:bottom w:val="nil"/>
              <w:right w:val="nil"/>
            </w:tcBorders>
            <w:shd w:val="clear" w:color="auto" w:fill="auto"/>
            <w:noWrap/>
            <w:vAlign w:val="center"/>
            <w:hideMark/>
          </w:tcPr>
          <w:p w14:paraId="7ACCBD21" w14:textId="77777777" w:rsidR="00BC5219" w:rsidRPr="00F07C24" w:rsidRDefault="00BC5219" w:rsidP="00E83802">
            <w:pPr>
              <w:jc w:val="right"/>
              <w:outlineLvl w:val="0"/>
              <w:rPr>
                <w:rFonts w:ascii="Meta Pro" w:eastAsia="Times New Roman" w:hAnsi="Meta Pro"/>
                <w:b/>
                <w:bCs/>
                <w:szCs w:val="18"/>
                <w:lang w:eastAsia="en-AU"/>
              </w:rPr>
            </w:pPr>
            <w:r w:rsidRPr="00F07C24">
              <w:rPr>
                <w:rFonts w:ascii="Meta Pro" w:eastAsia="Times New Roman" w:hAnsi="Meta Pro"/>
                <w:b/>
                <w:bCs/>
                <w:szCs w:val="18"/>
                <w:lang w:eastAsia="en-AU"/>
              </w:rPr>
              <w:t xml:space="preserve">1,843,601 </w:t>
            </w:r>
          </w:p>
        </w:tc>
        <w:tc>
          <w:tcPr>
            <w:tcW w:w="198" w:type="dxa"/>
            <w:tcBorders>
              <w:top w:val="single" w:sz="4" w:space="0" w:color="auto"/>
              <w:left w:val="nil"/>
              <w:bottom w:val="nil"/>
              <w:right w:val="nil"/>
            </w:tcBorders>
            <w:shd w:val="clear" w:color="auto" w:fill="auto"/>
            <w:noWrap/>
            <w:vAlign w:val="center"/>
            <w:hideMark/>
          </w:tcPr>
          <w:p w14:paraId="1B809C64" w14:textId="77777777" w:rsidR="00BC5219" w:rsidRPr="00F07C24" w:rsidRDefault="00BC5219" w:rsidP="00E83802">
            <w:pPr>
              <w:jc w:val="center"/>
              <w:outlineLvl w:val="0"/>
              <w:rPr>
                <w:rFonts w:ascii="Meta Pro" w:eastAsia="Times New Roman" w:hAnsi="Meta Pro"/>
                <w:b/>
                <w:bCs/>
                <w:szCs w:val="18"/>
                <w:lang w:eastAsia="en-AU"/>
              </w:rPr>
            </w:pPr>
            <w:r w:rsidRPr="00F07C24">
              <w:rPr>
                <w:rFonts w:ascii="Meta Pro" w:eastAsia="Times New Roman" w:hAnsi="Meta Pro"/>
                <w:b/>
                <w:bCs/>
                <w:szCs w:val="18"/>
                <w:lang w:eastAsia="en-AU"/>
              </w:rPr>
              <w:t> </w:t>
            </w:r>
          </w:p>
        </w:tc>
        <w:tc>
          <w:tcPr>
            <w:tcW w:w="1157" w:type="dxa"/>
            <w:tcBorders>
              <w:top w:val="single" w:sz="4" w:space="0" w:color="auto"/>
              <w:left w:val="nil"/>
              <w:bottom w:val="nil"/>
              <w:right w:val="nil"/>
            </w:tcBorders>
            <w:shd w:val="clear" w:color="auto" w:fill="auto"/>
            <w:noWrap/>
            <w:vAlign w:val="center"/>
            <w:hideMark/>
          </w:tcPr>
          <w:p w14:paraId="2FFC767B" w14:textId="77777777" w:rsidR="00BC5219" w:rsidRPr="00F07C24" w:rsidRDefault="00BC5219" w:rsidP="00E83802">
            <w:pPr>
              <w:jc w:val="right"/>
              <w:outlineLvl w:val="0"/>
              <w:rPr>
                <w:rFonts w:ascii="Meta Pro" w:eastAsia="Times New Roman" w:hAnsi="Meta Pro"/>
                <w:b/>
                <w:bCs/>
                <w:szCs w:val="18"/>
                <w:lang w:eastAsia="en-AU"/>
              </w:rPr>
            </w:pPr>
            <w:r w:rsidRPr="00F07C24">
              <w:rPr>
                <w:rFonts w:ascii="Meta Pro" w:eastAsia="Times New Roman" w:hAnsi="Meta Pro"/>
                <w:b/>
                <w:bCs/>
                <w:szCs w:val="18"/>
                <w:lang w:eastAsia="en-AU"/>
              </w:rPr>
              <w:t xml:space="preserve">446,781 </w:t>
            </w:r>
          </w:p>
        </w:tc>
      </w:tr>
    </w:tbl>
    <w:p w14:paraId="315CF8B1" w14:textId="77777777" w:rsidR="00BC5219" w:rsidRDefault="00BC5219" w:rsidP="00BC5219">
      <w:pPr>
        <w:spacing w:after="120" w:line="259" w:lineRule="auto"/>
        <w:rPr>
          <w:rFonts w:ascii="Meta Pro" w:hAnsi="Meta Pro"/>
          <w:lang w:eastAsia="en-AU"/>
        </w:rPr>
      </w:pPr>
    </w:p>
    <w:p w14:paraId="56BD7ECF" w14:textId="77777777" w:rsidR="00BC5219" w:rsidRPr="008A2B8F" w:rsidRDefault="00BC5219" w:rsidP="00BC5219">
      <w:pPr>
        <w:spacing w:after="120" w:line="259" w:lineRule="auto"/>
        <w:rPr>
          <w:rFonts w:ascii="Meta Pro" w:eastAsia="Times New Roman" w:hAnsi="Meta Pro"/>
          <w:b/>
          <w:bCs/>
          <w:color w:val="000000"/>
          <w:lang w:eastAsia="en-AU"/>
        </w:rPr>
      </w:pPr>
    </w:p>
    <w:p w14:paraId="3EB6A33E" w14:textId="77777777" w:rsidR="00BC5219" w:rsidRPr="008A2B8F" w:rsidRDefault="00BC5219" w:rsidP="00BC5219">
      <w:pPr>
        <w:spacing w:before="120" w:line="259" w:lineRule="auto"/>
        <w:rPr>
          <w:rFonts w:ascii="Meta Pro" w:eastAsia="Times New Roman" w:hAnsi="Meta Pro"/>
          <w:b/>
          <w:bCs/>
          <w:color w:val="000000"/>
          <w:szCs w:val="18"/>
          <w:lang w:eastAsia="en-AU"/>
        </w:rPr>
      </w:pPr>
    </w:p>
    <w:p w14:paraId="7FA14568" w14:textId="77777777" w:rsidR="00BC5219" w:rsidRPr="008A2B8F" w:rsidRDefault="00BC5219" w:rsidP="00BC5219">
      <w:pPr>
        <w:spacing w:before="120" w:line="259" w:lineRule="auto"/>
        <w:rPr>
          <w:rFonts w:ascii="Meta Pro" w:eastAsia="Times New Roman" w:hAnsi="Meta Pro"/>
          <w:i/>
          <w:iCs/>
          <w:color w:val="000000" w:themeColor="text1"/>
          <w:lang w:eastAsia="en-AU"/>
        </w:rPr>
      </w:pPr>
      <w:r w:rsidRPr="008A2B8F">
        <w:rPr>
          <w:rFonts w:ascii="Meta Pro" w:eastAsia="Times New Roman" w:hAnsi="Meta Pro"/>
          <w:i/>
          <w:iCs/>
          <w:color w:val="000000" w:themeColor="text1"/>
          <w:lang w:eastAsia="en-AU"/>
        </w:rPr>
        <w:t>Department of Transport and Main Roads</w:t>
      </w:r>
    </w:p>
    <w:p w14:paraId="68F09659"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Notes to the financial statements 2022–23 (continued)</w:t>
      </w:r>
    </w:p>
    <w:p w14:paraId="70C4C000" w14:textId="77777777" w:rsidR="00BC5219" w:rsidRDefault="00BC5219" w:rsidP="00BC5219">
      <w:pPr>
        <w:pStyle w:val="BodyText"/>
        <w:rPr>
          <w:rFonts w:ascii="Meta Pro" w:eastAsia="Times New Roman" w:hAnsi="Meta Pro"/>
          <w:b/>
          <w:bCs/>
          <w:color w:val="000000"/>
          <w:lang w:eastAsia="en-AU"/>
        </w:rPr>
      </w:pPr>
    </w:p>
    <w:p w14:paraId="4706C0E0" w14:textId="77777777" w:rsidR="00BC5219" w:rsidRDefault="00BC5219" w:rsidP="00BC5219">
      <w:pPr>
        <w:pStyle w:val="BodyText"/>
        <w:rPr>
          <w:rFonts w:asciiTheme="minorHAnsi" w:hAnsiTheme="minorHAnsi" w:cstheme="minorBidi"/>
        </w:rPr>
      </w:pPr>
      <w:r w:rsidRPr="008A2B8F">
        <w:rPr>
          <w:rFonts w:ascii="Meta Pro" w:eastAsia="Times New Roman" w:hAnsi="Meta Pro"/>
          <w:b/>
          <w:bCs/>
          <w:color w:val="000000"/>
          <w:lang w:eastAsia="en-AU"/>
        </w:rPr>
        <w:t>30     BUDGETARY REPORTING (continued)</w:t>
      </w:r>
    </w:p>
    <w:tbl>
      <w:tblPr>
        <w:tblW w:w="0" w:type="auto"/>
        <w:tblLayout w:type="fixed"/>
        <w:tblCellMar>
          <w:left w:w="0" w:type="dxa"/>
        </w:tblCellMar>
        <w:tblLook w:val="04A0" w:firstRow="1" w:lastRow="0" w:firstColumn="1" w:lastColumn="0" w:noHBand="0" w:noVBand="1"/>
      </w:tblPr>
      <w:tblGrid>
        <w:gridCol w:w="6350"/>
        <w:gridCol w:w="1157"/>
        <w:gridCol w:w="199"/>
        <w:gridCol w:w="1157"/>
        <w:gridCol w:w="199"/>
        <w:gridCol w:w="1157"/>
      </w:tblGrid>
      <w:tr w:rsidR="00BC5219" w:rsidRPr="00E3143F" w14:paraId="545B1221" w14:textId="77777777" w:rsidTr="00E83802">
        <w:trPr>
          <w:trHeight w:val="198"/>
        </w:trPr>
        <w:tc>
          <w:tcPr>
            <w:tcW w:w="6350" w:type="dxa"/>
            <w:tcBorders>
              <w:top w:val="nil"/>
              <w:left w:val="nil"/>
              <w:bottom w:val="nil"/>
              <w:right w:val="nil"/>
            </w:tcBorders>
            <w:shd w:val="clear" w:color="auto" w:fill="auto"/>
            <w:noWrap/>
            <w:hideMark/>
          </w:tcPr>
          <w:p w14:paraId="69223B65" w14:textId="77777777" w:rsidR="00BC5219" w:rsidRPr="00E3143F" w:rsidRDefault="00BC5219" w:rsidP="00E83802">
            <w:pPr>
              <w:rPr>
                <w:rFonts w:ascii="Meta Pro" w:eastAsia="Times New Roman" w:hAnsi="Meta Pro"/>
                <w:b/>
                <w:bCs/>
                <w:szCs w:val="18"/>
                <w:lang w:eastAsia="en-AU"/>
              </w:rPr>
            </w:pPr>
            <w:r w:rsidRPr="00E3143F">
              <w:rPr>
                <w:rFonts w:ascii="Meta Pro" w:eastAsia="Times New Roman" w:hAnsi="Meta Pro"/>
                <w:b/>
                <w:bCs/>
                <w:szCs w:val="18"/>
                <w:lang w:eastAsia="en-AU"/>
              </w:rPr>
              <w:t xml:space="preserve">STATEMENT OF </w:t>
            </w:r>
            <w:r w:rsidRPr="005363B8">
              <w:rPr>
                <w:rFonts w:ascii="Meta Pro" w:eastAsia="Times New Roman" w:hAnsi="Meta Pro"/>
                <w:b/>
                <w:bCs/>
                <w:szCs w:val="18"/>
                <w:lang w:eastAsia="en-AU"/>
              </w:rPr>
              <w:t>FINANCIAL POSITION</w:t>
            </w:r>
            <w:r>
              <w:rPr>
                <w:rFonts w:ascii="Meta Pro" w:eastAsia="Times New Roman" w:hAnsi="Meta Pro"/>
                <w:b/>
                <w:bCs/>
                <w:szCs w:val="18"/>
                <w:lang w:eastAsia="en-AU"/>
              </w:rPr>
              <w:t xml:space="preserve"> (continued)</w:t>
            </w:r>
          </w:p>
        </w:tc>
        <w:tc>
          <w:tcPr>
            <w:tcW w:w="1157" w:type="dxa"/>
            <w:tcBorders>
              <w:top w:val="nil"/>
              <w:left w:val="nil"/>
              <w:bottom w:val="nil"/>
              <w:right w:val="nil"/>
            </w:tcBorders>
            <w:shd w:val="clear" w:color="auto" w:fill="auto"/>
            <w:hideMark/>
          </w:tcPr>
          <w:p w14:paraId="614D92B7" w14:textId="77777777" w:rsidR="00BC5219" w:rsidRPr="00E3143F" w:rsidRDefault="00BC5219" w:rsidP="00E83802">
            <w:pPr>
              <w:jc w:val="center"/>
              <w:rPr>
                <w:rFonts w:ascii="Meta Pro" w:eastAsia="Times New Roman" w:hAnsi="Meta Pro"/>
                <w:b/>
                <w:bCs/>
                <w:szCs w:val="18"/>
                <w:lang w:eastAsia="en-AU"/>
              </w:rPr>
            </w:pPr>
            <w:r w:rsidRPr="00E3143F">
              <w:rPr>
                <w:rFonts w:ascii="Meta Pro" w:eastAsia="Times New Roman" w:hAnsi="Meta Pro"/>
                <w:b/>
                <w:bCs/>
                <w:szCs w:val="18"/>
                <w:lang w:eastAsia="en-AU"/>
              </w:rPr>
              <w:t xml:space="preserve">Original budget </w:t>
            </w:r>
          </w:p>
        </w:tc>
        <w:tc>
          <w:tcPr>
            <w:tcW w:w="199" w:type="dxa"/>
            <w:tcBorders>
              <w:top w:val="nil"/>
              <w:left w:val="nil"/>
              <w:bottom w:val="nil"/>
              <w:right w:val="nil"/>
            </w:tcBorders>
            <w:shd w:val="clear" w:color="auto" w:fill="auto"/>
            <w:hideMark/>
          </w:tcPr>
          <w:p w14:paraId="78026E70" w14:textId="77777777" w:rsidR="00BC5219" w:rsidRPr="00E3143F" w:rsidRDefault="00BC5219" w:rsidP="00E83802">
            <w:pPr>
              <w:jc w:val="center"/>
              <w:rPr>
                <w:rFonts w:ascii="Meta Pro" w:eastAsia="Times New Roman" w:hAnsi="Meta Pro"/>
                <w:b/>
                <w:bCs/>
                <w:szCs w:val="18"/>
                <w:lang w:eastAsia="en-AU"/>
              </w:rPr>
            </w:pPr>
          </w:p>
        </w:tc>
        <w:tc>
          <w:tcPr>
            <w:tcW w:w="1157" w:type="dxa"/>
            <w:tcBorders>
              <w:top w:val="nil"/>
              <w:left w:val="nil"/>
              <w:bottom w:val="nil"/>
              <w:right w:val="nil"/>
            </w:tcBorders>
            <w:shd w:val="clear" w:color="auto" w:fill="auto"/>
            <w:hideMark/>
          </w:tcPr>
          <w:p w14:paraId="1053B77A" w14:textId="77777777" w:rsidR="00BC5219" w:rsidRPr="00E3143F" w:rsidRDefault="00BC5219" w:rsidP="00E83802">
            <w:pPr>
              <w:jc w:val="center"/>
              <w:rPr>
                <w:rFonts w:ascii="Meta Pro" w:eastAsia="Times New Roman" w:hAnsi="Meta Pro"/>
                <w:b/>
                <w:bCs/>
                <w:szCs w:val="18"/>
                <w:lang w:eastAsia="en-AU"/>
              </w:rPr>
            </w:pPr>
            <w:r w:rsidRPr="00E3143F">
              <w:rPr>
                <w:rFonts w:ascii="Meta Pro" w:eastAsia="Times New Roman" w:hAnsi="Meta Pro"/>
                <w:b/>
                <w:bCs/>
                <w:szCs w:val="18"/>
                <w:lang w:eastAsia="en-AU"/>
              </w:rPr>
              <w:t>Actual</w:t>
            </w:r>
            <w:r w:rsidRPr="00E3143F">
              <w:rPr>
                <w:rFonts w:ascii="Meta Pro" w:eastAsia="Times New Roman" w:hAnsi="Meta Pro"/>
                <w:b/>
                <w:bCs/>
                <w:szCs w:val="18"/>
                <w:lang w:eastAsia="en-AU"/>
              </w:rPr>
              <w:br/>
              <w:t>result</w:t>
            </w:r>
          </w:p>
        </w:tc>
        <w:tc>
          <w:tcPr>
            <w:tcW w:w="199" w:type="dxa"/>
            <w:tcBorders>
              <w:top w:val="nil"/>
              <w:left w:val="nil"/>
              <w:bottom w:val="nil"/>
              <w:right w:val="nil"/>
            </w:tcBorders>
            <w:shd w:val="clear" w:color="auto" w:fill="auto"/>
            <w:hideMark/>
          </w:tcPr>
          <w:p w14:paraId="76B26F4D" w14:textId="77777777" w:rsidR="00BC5219" w:rsidRPr="00E3143F" w:rsidRDefault="00BC5219" w:rsidP="00E83802">
            <w:pPr>
              <w:jc w:val="center"/>
              <w:rPr>
                <w:rFonts w:ascii="Meta Pro" w:eastAsia="Times New Roman" w:hAnsi="Meta Pro"/>
                <w:b/>
                <w:bCs/>
                <w:szCs w:val="18"/>
                <w:lang w:eastAsia="en-AU"/>
              </w:rPr>
            </w:pPr>
          </w:p>
        </w:tc>
        <w:tc>
          <w:tcPr>
            <w:tcW w:w="1157" w:type="dxa"/>
            <w:tcBorders>
              <w:top w:val="nil"/>
              <w:left w:val="nil"/>
              <w:bottom w:val="nil"/>
              <w:right w:val="nil"/>
            </w:tcBorders>
            <w:shd w:val="clear" w:color="auto" w:fill="auto"/>
            <w:hideMark/>
          </w:tcPr>
          <w:p w14:paraId="3664CEB7" w14:textId="77777777" w:rsidR="00BC5219" w:rsidRPr="00E3143F" w:rsidRDefault="00BC5219" w:rsidP="00E83802">
            <w:pPr>
              <w:jc w:val="center"/>
              <w:rPr>
                <w:rFonts w:ascii="Meta Pro" w:eastAsia="Times New Roman" w:hAnsi="Meta Pro"/>
                <w:b/>
                <w:bCs/>
                <w:szCs w:val="18"/>
                <w:lang w:eastAsia="en-AU"/>
              </w:rPr>
            </w:pPr>
            <w:r w:rsidRPr="00E3143F">
              <w:rPr>
                <w:rFonts w:ascii="Meta Pro" w:eastAsia="Times New Roman" w:hAnsi="Meta Pro"/>
                <w:b/>
                <w:bCs/>
                <w:szCs w:val="18"/>
                <w:lang w:eastAsia="en-AU"/>
              </w:rPr>
              <w:t>Variance</w:t>
            </w:r>
          </w:p>
        </w:tc>
      </w:tr>
      <w:tr w:rsidR="00BC5219" w:rsidRPr="00E3143F" w14:paraId="4DD2F0AA" w14:textId="77777777" w:rsidTr="00E83802">
        <w:trPr>
          <w:trHeight w:val="198"/>
        </w:trPr>
        <w:tc>
          <w:tcPr>
            <w:tcW w:w="6350" w:type="dxa"/>
            <w:tcBorders>
              <w:top w:val="nil"/>
              <w:left w:val="nil"/>
              <w:bottom w:val="nil"/>
              <w:right w:val="nil"/>
            </w:tcBorders>
            <w:shd w:val="clear" w:color="auto" w:fill="auto"/>
            <w:noWrap/>
            <w:vAlign w:val="center"/>
            <w:hideMark/>
          </w:tcPr>
          <w:p w14:paraId="44D3590D" w14:textId="77777777" w:rsidR="00BC5219" w:rsidRPr="00E3143F" w:rsidRDefault="00BC5219" w:rsidP="00E83802">
            <w:pPr>
              <w:jc w:val="center"/>
              <w:rPr>
                <w:rFonts w:ascii="Meta Pro" w:eastAsia="Times New Roman" w:hAnsi="Meta Pro"/>
                <w:b/>
                <w:bCs/>
                <w:szCs w:val="18"/>
                <w:lang w:eastAsia="en-AU"/>
              </w:rPr>
            </w:pPr>
          </w:p>
        </w:tc>
        <w:tc>
          <w:tcPr>
            <w:tcW w:w="1157" w:type="dxa"/>
            <w:tcBorders>
              <w:top w:val="nil"/>
              <w:left w:val="nil"/>
              <w:bottom w:val="nil"/>
              <w:right w:val="nil"/>
            </w:tcBorders>
            <w:shd w:val="clear" w:color="auto" w:fill="auto"/>
            <w:hideMark/>
          </w:tcPr>
          <w:p w14:paraId="7B0C1220" w14:textId="77777777" w:rsidR="00BC5219" w:rsidRPr="00E3143F" w:rsidRDefault="00BC5219" w:rsidP="00E83802">
            <w:pPr>
              <w:jc w:val="center"/>
              <w:rPr>
                <w:rFonts w:ascii="Meta Pro" w:eastAsia="Times New Roman" w:hAnsi="Meta Pro"/>
                <w:b/>
                <w:bCs/>
                <w:szCs w:val="18"/>
                <w:lang w:eastAsia="en-AU"/>
              </w:rPr>
            </w:pPr>
            <w:r w:rsidRPr="00E3143F">
              <w:rPr>
                <w:rFonts w:ascii="Meta Pro" w:eastAsia="Times New Roman" w:hAnsi="Meta Pro"/>
                <w:b/>
                <w:bCs/>
                <w:szCs w:val="18"/>
                <w:lang w:eastAsia="en-AU"/>
              </w:rPr>
              <w:t>2023</w:t>
            </w:r>
            <w:r w:rsidRPr="00E3143F">
              <w:rPr>
                <w:rFonts w:ascii="Meta Pro" w:eastAsia="Times New Roman" w:hAnsi="Meta Pro"/>
                <w:b/>
                <w:bCs/>
                <w:szCs w:val="18"/>
                <w:lang w:eastAsia="en-AU"/>
              </w:rPr>
              <w:br/>
              <w:t>$'000</w:t>
            </w:r>
          </w:p>
        </w:tc>
        <w:tc>
          <w:tcPr>
            <w:tcW w:w="199" w:type="dxa"/>
            <w:tcBorders>
              <w:top w:val="nil"/>
              <w:left w:val="nil"/>
              <w:bottom w:val="nil"/>
              <w:right w:val="nil"/>
            </w:tcBorders>
            <w:shd w:val="clear" w:color="auto" w:fill="auto"/>
            <w:hideMark/>
          </w:tcPr>
          <w:p w14:paraId="19203DA1" w14:textId="77777777" w:rsidR="00BC5219" w:rsidRPr="00E3143F" w:rsidRDefault="00BC5219" w:rsidP="00E83802">
            <w:pPr>
              <w:jc w:val="center"/>
              <w:rPr>
                <w:rFonts w:ascii="Meta Pro" w:eastAsia="Times New Roman" w:hAnsi="Meta Pro"/>
                <w:b/>
                <w:bCs/>
                <w:szCs w:val="18"/>
                <w:lang w:eastAsia="en-AU"/>
              </w:rPr>
            </w:pPr>
          </w:p>
        </w:tc>
        <w:tc>
          <w:tcPr>
            <w:tcW w:w="1157" w:type="dxa"/>
            <w:tcBorders>
              <w:top w:val="nil"/>
              <w:left w:val="nil"/>
              <w:bottom w:val="nil"/>
              <w:right w:val="nil"/>
            </w:tcBorders>
            <w:shd w:val="clear" w:color="auto" w:fill="auto"/>
            <w:hideMark/>
          </w:tcPr>
          <w:p w14:paraId="04E90177" w14:textId="77777777" w:rsidR="00BC5219" w:rsidRPr="00E3143F" w:rsidRDefault="00BC5219" w:rsidP="00E83802">
            <w:pPr>
              <w:jc w:val="center"/>
              <w:rPr>
                <w:rFonts w:ascii="Meta Pro" w:eastAsia="Times New Roman" w:hAnsi="Meta Pro"/>
                <w:b/>
                <w:bCs/>
                <w:szCs w:val="18"/>
                <w:lang w:eastAsia="en-AU"/>
              </w:rPr>
            </w:pPr>
            <w:r w:rsidRPr="00E3143F">
              <w:rPr>
                <w:rFonts w:ascii="Meta Pro" w:eastAsia="Times New Roman" w:hAnsi="Meta Pro"/>
                <w:b/>
                <w:bCs/>
                <w:szCs w:val="18"/>
                <w:lang w:eastAsia="en-AU"/>
              </w:rPr>
              <w:t>2023</w:t>
            </w:r>
            <w:r w:rsidRPr="00E3143F">
              <w:rPr>
                <w:rFonts w:ascii="Meta Pro" w:eastAsia="Times New Roman" w:hAnsi="Meta Pro"/>
                <w:b/>
                <w:bCs/>
                <w:szCs w:val="18"/>
                <w:lang w:eastAsia="en-AU"/>
              </w:rPr>
              <w:br/>
              <w:t>$'000</w:t>
            </w:r>
          </w:p>
        </w:tc>
        <w:tc>
          <w:tcPr>
            <w:tcW w:w="199" w:type="dxa"/>
            <w:tcBorders>
              <w:top w:val="nil"/>
              <w:left w:val="nil"/>
              <w:bottom w:val="nil"/>
              <w:right w:val="nil"/>
            </w:tcBorders>
            <w:shd w:val="clear" w:color="auto" w:fill="auto"/>
            <w:hideMark/>
          </w:tcPr>
          <w:p w14:paraId="79E9D9A4" w14:textId="77777777" w:rsidR="00BC5219" w:rsidRPr="00E3143F" w:rsidRDefault="00BC5219" w:rsidP="00E83802">
            <w:pPr>
              <w:jc w:val="center"/>
              <w:rPr>
                <w:rFonts w:ascii="Meta Pro" w:eastAsia="Times New Roman" w:hAnsi="Meta Pro"/>
                <w:b/>
                <w:bCs/>
                <w:szCs w:val="18"/>
                <w:lang w:eastAsia="en-AU"/>
              </w:rPr>
            </w:pPr>
          </w:p>
        </w:tc>
        <w:tc>
          <w:tcPr>
            <w:tcW w:w="1157" w:type="dxa"/>
            <w:tcBorders>
              <w:top w:val="nil"/>
              <w:left w:val="nil"/>
              <w:bottom w:val="nil"/>
              <w:right w:val="nil"/>
            </w:tcBorders>
            <w:shd w:val="clear" w:color="auto" w:fill="auto"/>
            <w:hideMark/>
          </w:tcPr>
          <w:p w14:paraId="1B4F5740" w14:textId="77777777" w:rsidR="00BC5219" w:rsidRPr="00E3143F" w:rsidRDefault="00BC5219" w:rsidP="00E83802">
            <w:pPr>
              <w:jc w:val="center"/>
              <w:rPr>
                <w:rFonts w:ascii="Meta Pro" w:eastAsia="Times New Roman" w:hAnsi="Meta Pro"/>
                <w:b/>
                <w:bCs/>
                <w:szCs w:val="18"/>
                <w:lang w:eastAsia="en-AU"/>
              </w:rPr>
            </w:pPr>
            <w:r w:rsidRPr="00E3143F">
              <w:rPr>
                <w:rFonts w:ascii="Meta Pro" w:eastAsia="Times New Roman" w:hAnsi="Meta Pro"/>
                <w:b/>
                <w:bCs/>
                <w:szCs w:val="18"/>
                <w:lang w:eastAsia="en-AU"/>
              </w:rPr>
              <w:t>2023</w:t>
            </w:r>
            <w:r w:rsidRPr="00E3143F">
              <w:rPr>
                <w:rFonts w:ascii="Meta Pro" w:eastAsia="Times New Roman" w:hAnsi="Meta Pro"/>
                <w:b/>
                <w:bCs/>
                <w:szCs w:val="18"/>
                <w:lang w:eastAsia="en-AU"/>
              </w:rPr>
              <w:br/>
              <w:t>$'000</w:t>
            </w:r>
          </w:p>
        </w:tc>
      </w:tr>
    </w:tbl>
    <w:p w14:paraId="30678F5D" w14:textId="77777777" w:rsidR="00BC5219" w:rsidRDefault="00BC5219" w:rsidP="00BC5219">
      <w:pPr>
        <w:spacing w:after="120" w:line="20" w:lineRule="exact"/>
        <w:rPr>
          <w:rFonts w:asciiTheme="minorHAnsi" w:hAnsiTheme="minorHAnsi" w:cstheme="minorBidi"/>
        </w:rPr>
      </w:pPr>
    </w:p>
    <w:tbl>
      <w:tblPr>
        <w:tblW w:w="0" w:type="auto"/>
        <w:tblCellMar>
          <w:left w:w="0" w:type="dxa"/>
        </w:tblCellMar>
        <w:tblLook w:val="04A0" w:firstRow="1" w:lastRow="0" w:firstColumn="1" w:lastColumn="0" w:noHBand="0" w:noVBand="1"/>
      </w:tblPr>
      <w:tblGrid>
        <w:gridCol w:w="6358"/>
        <w:gridCol w:w="1165"/>
        <w:gridCol w:w="223"/>
        <w:gridCol w:w="1165"/>
        <w:gridCol w:w="223"/>
        <w:gridCol w:w="1165"/>
      </w:tblGrid>
      <w:tr w:rsidR="00BC5219" w:rsidRPr="00F07C24" w14:paraId="1A2A1CC2" w14:textId="77777777" w:rsidTr="00E83802">
        <w:trPr>
          <w:trHeight w:val="198"/>
        </w:trPr>
        <w:tc>
          <w:tcPr>
            <w:tcW w:w="6350" w:type="dxa"/>
            <w:tcBorders>
              <w:top w:val="nil"/>
              <w:left w:val="nil"/>
              <w:bottom w:val="nil"/>
              <w:right w:val="nil"/>
            </w:tcBorders>
            <w:shd w:val="clear" w:color="auto" w:fill="auto"/>
            <w:noWrap/>
            <w:vAlign w:val="center"/>
            <w:hideMark/>
          </w:tcPr>
          <w:p w14:paraId="0FF3A1F4" w14:textId="77777777" w:rsidR="00BC5219" w:rsidRPr="00F07C24" w:rsidRDefault="00BC5219" w:rsidP="00E83802">
            <w:pPr>
              <w:outlineLvl w:val="0"/>
              <w:rPr>
                <w:rFonts w:ascii="Meta Pro" w:eastAsia="Times New Roman" w:hAnsi="Meta Pro"/>
                <w:b/>
                <w:bCs/>
                <w:szCs w:val="18"/>
                <w:lang w:eastAsia="en-AU"/>
              </w:rPr>
            </w:pPr>
            <w:r w:rsidRPr="00F07C24">
              <w:rPr>
                <w:rFonts w:ascii="Meta Pro" w:eastAsia="Times New Roman" w:hAnsi="Meta Pro"/>
                <w:b/>
                <w:bCs/>
                <w:szCs w:val="18"/>
                <w:lang w:eastAsia="en-AU"/>
              </w:rPr>
              <w:t>Non-current liabilities</w:t>
            </w:r>
          </w:p>
        </w:tc>
        <w:tc>
          <w:tcPr>
            <w:tcW w:w="1157" w:type="dxa"/>
            <w:tcBorders>
              <w:top w:val="nil"/>
              <w:left w:val="nil"/>
              <w:bottom w:val="nil"/>
              <w:right w:val="nil"/>
            </w:tcBorders>
            <w:shd w:val="clear" w:color="auto" w:fill="auto"/>
            <w:vAlign w:val="center"/>
            <w:hideMark/>
          </w:tcPr>
          <w:p w14:paraId="1098C5D7" w14:textId="77777777" w:rsidR="00BC5219" w:rsidRPr="00F07C24" w:rsidRDefault="00BC5219" w:rsidP="00E83802">
            <w:pPr>
              <w:outlineLvl w:val="0"/>
              <w:rPr>
                <w:rFonts w:ascii="Meta Pro" w:eastAsia="Times New Roman" w:hAnsi="Meta Pro"/>
                <w:b/>
                <w:bCs/>
                <w:szCs w:val="18"/>
                <w:lang w:eastAsia="en-AU"/>
              </w:rPr>
            </w:pPr>
          </w:p>
        </w:tc>
        <w:tc>
          <w:tcPr>
            <w:tcW w:w="215" w:type="dxa"/>
            <w:tcBorders>
              <w:top w:val="nil"/>
              <w:left w:val="nil"/>
              <w:bottom w:val="nil"/>
              <w:right w:val="nil"/>
            </w:tcBorders>
            <w:shd w:val="clear" w:color="auto" w:fill="auto"/>
            <w:vAlign w:val="center"/>
            <w:hideMark/>
          </w:tcPr>
          <w:p w14:paraId="4FEA856C" w14:textId="77777777" w:rsidR="00BC5219" w:rsidRPr="00F07C24" w:rsidRDefault="00BC5219" w:rsidP="00E83802">
            <w:pPr>
              <w:outlineLvl w:val="0"/>
              <w:rPr>
                <w:rFonts w:ascii="Times New Roman" w:eastAsia="Times New Roman" w:hAnsi="Times New Roman" w:cs="Times New Roman"/>
                <w:sz w:val="20"/>
                <w:szCs w:val="20"/>
                <w:lang w:eastAsia="en-AU"/>
              </w:rPr>
            </w:pPr>
          </w:p>
        </w:tc>
        <w:tc>
          <w:tcPr>
            <w:tcW w:w="1157" w:type="dxa"/>
            <w:tcBorders>
              <w:top w:val="nil"/>
              <w:left w:val="nil"/>
              <w:bottom w:val="nil"/>
              <w:right w:val="nil"/>
            </w:tcBorders>
            <w:shd w:val="clear" w:color="auto" w:fill="auto"/>
            <w:vAlign w:val="center"/>
            <w:hideMark/>
          </w:tcPr>
          <w:p w14:paraId="730D628A" w14:textId="77777777" w:rsidR="00BC5219" w:rsidRPr="00F07C24" w:rsidRDefault="00BC5219" w:rsidP="00E83802">
            <w:pPr>
              <w:jc w:val="center"/>
              <w:outlineLvl w:val="0"/>
              <w:rPr>
                <w:rFonts w:ascii="Times New Roman" w:eastAsia="Times New Roman" w:hAnsi="Times New Roman" w:cs="Times New Roman"/>
                <w:sz w:val="20"/>
                <w:szCs w:val="20"/>
                <w:lang w:eastAsia="en-AU"/>
              </w:rPr>
            </w:pPr>
          </w:p>
        </w:tc>
        <w:tc>
          <w:tcPr>
            <w:tcW w:w="215" w:type="dxa"/>
            <w:tcBorders>
              <w:top w:val="nil"/>
              <w:left w:val="nil"/>
              <w:bottom w:val="nil"/>
              <w:right w:val="nil"/>
            </w:tcBorders>
            <w:shd w:val="clear" w:color="auto" w:fill="auto"/>
            <w:vAlign w:val="center"/>
            <w:hideMark/>
          </w:tcPr>
          <w:p w14:paraId="638A2DF5" w14:textId="77777777" w:rsidR="00BC5219" w:rsidRPr="00F07C24" w:rsidRDefault="00BC5219" w:rsidP="00E83802">
            <w:pPr>
              <w:outlineLvl w:val="0"/>
              <w:rPr>
                <w:rFonts w:ascii="Times New Roman" w:eastAsia="Times New Roman" w:hAnsi="Times New Roman" w:cs="Times New Roman"/>
                <w:sz w:val="20"/>
                <w:szCs w:val="20"/>
                <w:lang w:eastAsia="en-AU"/>
              </w:rPr>
            </w:pPr>
          </w:p>
        </w:tc>
        <w:tc>
          <w:tcPr>
            <w:tcW w:w="1157" w:type="dxa"/>
            <w:tcBorders>
              <w:top w:val="nil"/>
              <w:left w:val="nil"/>
              <w:bottom w:val="nil"/>
              <w:right w:val="nil"/>
            </w:tcBorders>
            <w:shd w:val="clear" w:color="auto" w:fill="auto"/>
            <w:noWrap/>
            <w:vAlign w:val="center"/>
            <w:hideMark/>
          </w:tcPr>
          <w:p w14:paraId="47120A83" w14:textId="77777777" w:rsidR="00BC5219" w:rsidRPr="00F07C24" w:rsidRDefault="00BC5219" w:rsidP="00E83802">
            <w:pPr>
              <w:jc w:val="center"/>
              <w:outlineLvl w:val="0"/>
              <w:rPr>
                <w:rFonts w:ascii="Times New Roman" w:eastAsia="Times New Roman" w:hAnsi="Times New Roman" w:cs="Times New Roman"/>
                <w:sz w:val="20"/>
                <w:szCs w:val="20"/>
                <w:lang w:eastAsia="en-AU"/>
              </w:rPr>
            </w:pPr>
          </w:p>
        </w:tc>
      </w:tr>
      <w:tr w:rsidR="00BC5219" w:rsidRPr="00F07C24" w14:paraId="2FEC751F" w14:textId="77777777" w:rsidTr="00E83802">
        <w:trPr>
          <w:trHeight w:val="198"/>
        </w:trPr>
        <w:tc>
          <w:tcPr>
            <w:tcW w:w="6350" w:type="dxa"/>
            <w:tcBorders>
              <w:top w:val="nil"/>
              <w:left w:val="nil"/>
              <w:bottom w:val="nil"/>
              <w:right w:val="nil"/>
            </w:tcBorders>
            <w:shd w:val="clear" w:color="auto" w:fill="auto"/>
            <w:noWrap/>
            <w:vAlign w:val="center"/>
            <w:hideMark/>
          </w:tcPr>
          <w:p w14:paraId="5C9DF7CC" w14:textId="77777777" w:rsidR="00BC5219" w:rsidRPr="00F07C24" w:rsidRDefault="00BC5219" w:rsidP="00E83802">
            <w:pPr>
              <w:outlineLvl w:val="0"/>
              <w:rPr>
                <w:rFonts w:ascii="Meta Pro" w:eastAsia="Times New Roman" w:hAnsi="Meta Pro"/>
                <w:szCs w:val="18"/>
                <w:lang w:eastAsia="en-AU"/>
              </w:rPr>
            </w:pPr>
            <w:r w:rsidRPr="00F07C24">
              <w:rPr>
                <w:rFonts w:ascii="Meta Pro" w:eastAsia="Times New Roman" w:hAnsi="Meta Pro"/>
                <w:szCs w:val="18"/>
                <w:lang w:eastAsia="en-AU"/>
              </w:rPr>
              <w:t>Borrowings</w:t>
            </w:r>
          </w:p>
        </w:tc>
        <w:tc>
          <w:tcPr>
            <w:tcW w:w="1157" w:type="dxa"/>
            <w:tcBorders>
              <w:top w:val="nil"/>
              <w:left w:val="nil"/>
              <w:bottom w:val="nil"/>
              <w:right w:val="nil"/>
            </w:tcBorders>
            <w:shd w:val="clear" w:color="auto" w:fill="auto"/>
            <w:noWrap/>
            <w:vAlign w:val="center"/>
            <w:hideMark/>
          </w:tcPr>
          <w:p w14:paraId="3338253A"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1,131,388 </w:t>
            </w:r>
          </w:p>
        </w:tc>
        <w:tc>
          <w:tcPr>
            <w:tcW w:w="215" w:type="dxa"/>
            <w:tcBorders>
              <w:top w:val="nil"/>
              <w:left w:val="nil"/>
              <w:bottom w:val="nil"/>
              <w:right w:val="nil"/>
            </w:tcBorders>
            <w:shd w:val="clear" w:color="auto" w:fill="auto"/>
            <w:noWrap/>
            <w:vAlign w:val="center"/>
            <w:hideMark/>
          </w:tcPr>
          <w:p w14:paraId="0BF8ECED" w14:textId="77777777" w:rsidR="00BC5219" w:rsidRPr="00F07C24" w:rsidRDefault="00BC5219" w:rsidP="00E83802">
            <w:pPr>
              <w:jc w:val="right"/>
              <w:outlineLvl w:val="0"/>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67A6052E"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1,137,243 </w:t>
            </w:r>
          </w:p>
        </w:tc>
        <w:tc>
          <w:tcPr>
            <w:tcW w:w="215" w:type="dxa"/>
            <w:tcBorders>
              <w:top w:val="nil"/>
              <w:left w:val="nil"/>
              <w:bottom w:val="nil"/>
              <w:right w:val="nil"/>
            </w:tcBorders>
            <w:shd w:val="clear" w:color="auto" w:fill="auto"/>
            <w:noWrap/>
            <w:vAlign w:val="center"/>
            <w:hideMark/>
          </w:tcPr>
          <w:p w14:paraId="6721A1AE" w14:textId="77777777" w:rsidR="00BC5219" w:rsidRPr="00F07C24" w:rsidRDefault="00BC5219" w:rsidP="00E83802">
            <w:pPr>
              <w:jc w:val="right"/>
              <w:outlineLvl w:val="0"/>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1044869A"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5,855 </w:t>
            </w:r>
          </w:p>
        </w:tc>
      </w:tr>
      <w:tr w:rsidR="00BC5219" w:rsidRPr="00F07C24" w14:paraId="16536FA7" w14:textId="77777777" w:rsidTr="00E83802">
        <w:trPr>
          <w:trHeight w:val="198"/>
        </w:trPr>
        <w:tc>
          <w:tcPr>
            <w:tcW w:w="6350" w:type="dxa"/>
            <w:tcBorders>
              <w:top w:val="nil"/>
              <w:left w:val="nil"/>
              <w:bottom w:val="nil"/>
              <w:right w:val="nil"/>
            </w:tcBorders>
            <w:shd w:val="clear" w:color="auto" w:fill="auto"/>
            <w:noWrap/>
            <w:vAlign w:val="center"/>
            <w:hideMark/>
          </w:tcPr>
          <w:p w14:paraId="1D56026D" w14:textId="77777777" w:rsidR="00BC5219" w:rsidRPr="00F07C24" w:rsidRDefault="00BC5219" w:rsidP="00E83802">
            <w:pPr>
              <w:outlineLvl w:val="0"/>
              <w:rPr>
                <w:rFonts w:ascii="Meta Pro" w:eastAsia="Times New Roman" w:hAnsi="Meta Pro"/>
                <w:szCs w:val="18"/>
                <w:lang w:eastAsia="en-AU"/>
              </w:rPr>
            </w:pPr>
            <w:r w:rsidRPr="00F07C24">
              <w:rPr>
                <w:rFonts w:ascii="Meta Pro" w:eastAsia="Times New Roman" w:hAnsi="Meta Pro"/>
                <w:szCs w:val="18"/>
                <w:lang w:eastAsia="en-AU"/>
              </w:rPr>
              <w:t>Provisions</w:t>
            </w:r>
          </w:p>
        </w:tc>
        <w:tc>
          <w:tcPr>
            <w:tcW w:w="1157" w:type="dxa"/>
            <w:tcBorders>
              <w:top w:val="nil"/>
              <w:left w:val="nil"/>
              <w:bottom w:val="nil"/>
              <w:right w:val="nil"/>
            </w:tcBorders>
            <w:shd w:val="clear" w:color="auto" w:fill="auto"/>
            <w:noWrap/>
            <w:vAlign w:val="center"/>
            <w:hideMark/>
          </w:tcPr>
          <w:p w14:paraId="07A7D31D"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158,469 </w:t>
            </w:r>
          </w:p>
        </w:tc>
        <w:tc>
          <w:tcPr>
            <w:tcW w:w="215" w:type="dxa"/>
            <w:tcBorders>
              <w:top w:val="nil"/>
              <w:left w:val="nil"/>
              <w:bottom w:val="nil"/>
              <w:right w:val="nil"/>
            </w:tcBorders>
            <w:shd w:val="clear" w:color="auto" w:fill="auto"/>
            <w:noWrap/>
            <w:vAlign w:val="center"/>
            <w:hideMark/>
          </w:tcPr>
          <w:p w14:paraId="4C5AA5E6" w14:textId="77777777" w:rsidR="00BC5219" w:rsidRPr="00F07C24" w:rsidRDefault="00BC5219" w:rsidP="00E83802">
            <w:pPr>
              <w:jc w:val="right"/>
              <w:outlineLvl w:val="0"/>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4C9B4265"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196,130 </w:t>
            </w:r>
          </w:p>
        </w:tc>
        <w:tc>
          <w:tcPr>
            <w:tcW w:w="215" w:type="dxa"/>
            <w:tcBorders>
              <w:top w:val="nil"/>
              <w:left w:val="nil"/>
              <w:bottom w:val="nil"/>
              <w:right w:val="nil"/>
            </w:tcBorders>
            <w:shd w:val="clear" w:color="auto" w:fill="auto"/>
            <w:noWrap/>
            <w:vAlign w:val="center"/>
            <w:hideMark/>
          </w:tcPr>
          <w:p w14:paraId="7B4EEE5C" w14:textId="77777777" w:rsidR="00BC5219" w:rsidRPr="00F07C24" w:rsidRDefault="00BC5219" w:rsidP="00E83802">
            <w:pPr>
              <w:jc w:val="right"/>
              <w:outlineLvl w:val="0"/>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1E1B3F2D"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37,661 </w:t>
            </w:r>
          </w:p>
        </w:tc>
      </w:tr>
      <w:tr w:rsidR="00BC5219" w:rsidRPr="00F07C24" w14:paraId="50D2EE7D" w14:textId="77777777" w:rsidTr="00E83802">
        <w:trPr>
          <w:trHeight w:val="198"/>
        </w:trPr>
        <w:tc>
          <w:tcPr>
            <w:tcW w:w="6350" w:type="dxa"/>
            <w:tcBorders>
              <w:top w:val="nil"/>
              <w:left w:val="nil"/>
              <w:bottom w:val="nil"/>
              <w:right w:val="nil"/>
            </w:tcBorders>
            <w:shd w:val="clear" w:color="auto" w:fill="auto"/>
            <w:noWrap/>
            <w:vAlign w:val="center"/>
            <w:hideMark/>
          </w:tcPr>
          <w:p w14:paraId="19EF0607" w14:textId="77777777" w:rsidR="00BC5219" w:rsidRPr="00F07C24" w:rsidRDefault="00BC5219" w:rsidP="00E83802">
            <w:pPr>
              <w:outlineLvl w:val="0"/>
              <w:rPr>
                <w:rFonts w:ascii="Meta Pro" w:eastAsia="Times New Roman" w:hAnsi="Meta Pro"/>
                <w:szCs w:val="18"/>
                <w:lang w:eastAsia="en-AU"/>
              </w:rPr>
            </w:pPr>
            <w:r w:rsidRPr="00F07C24">
              <w:rPr>
                <w:rFonts w:ascii="Meta Pro" w:eastAsia="Times New Roman" w:hAnsi="Meta Pro"/>
                <w:szCs w:val="18"/>
                <w:lang w:eastAsia="en-AU"/>
              </w:rPr>
              <w:t xml:space="preserve">Unearned revenue – service concession arrangements </w:t>
            </w:r>
          </w:p>
        </w:tc>
        <w:tc>
          <w:tcPr>
            <w:tcW w:w="1157" w:type="dxa"/>
            <w:tcBorders>
              <w:top w:val="nil"/>
              <w:left w:val="nil"/>
              <w:bottom w:val="nil"/>
              <w:right w:val="nil"/>
            </w:tcBorders>
            <w:shd w:val="clear" w:color="auto" w:fill="auto"/>
            <w:noWrap/>
            <w:vAlign w:val="center"/>
            <w:hideMark/>
          </w:tcPr>
          <w:p w14:paraId="01C70267"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6,923,134 </w:t>
            </w:r>
          </w:p>
        </w:tc>
        <w:tc>
          <w:tcPr>
            <w:tcW w:w="215" w:type="dxa"/>
            <w:tcBorders>
              <w:top w:val="nil"/>
              <w:left w:val="nil"/>
              <w:bottom w:val="nil"/>
              <w:right w:val="nil"/>
            </w:tcBorders>
            <w:shd w:val="clear" w:color="auto" w:fill="auto"/>
            <w:noWrap/>
            <w:vAlign w:val="center"/>
            <w:hideMark/>
          </w:tcPr>
          <w:p w14:paraId="4AB3E450" w14:textId="77777777" w:rsidR="00BC5219" w:rsidRPr="00F07C24" w:rsidRDefault="00BC5219" w:rsidP="00E83802">
            <w:pPr>
              <w:jc w:val="right"/>
              <w:outlineLvl w:val="0"/>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724AA20F"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6,923,134 </w:t>
            </w:r>
          </w:p>
        </w:tc>
        <w:tc>
          <w:tcPr>
            <w:tcW w:w="215" w:type="dxa"/>
            <w:tcBorders>
              <w:top w:val="nil"/>
              <w:left w:val="nil"/>
              <w:bottom w:val="nil"/>
              <w:right w:val="nil"/>
            </w:tcBorders>
            <w:shd w:val="clear" w:color="auto" w:fill="auto"/>
            <w:noWrap/>
            <w:vAlign w:val="center"/>
            <w:hideMark/>
          </w:tcPr>
          <w:p w14:paraId="343817DB" w14:textId="77777777" w:rsidR="00BC5219" w:rsidRPr="00F07C24" w:rsidRDefault="00BC5219" w:rsidP="00E83802">
            <w:pPr>
              <w:jc w:val="right"/>
              <w:outlineLvl w:val="0"/>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66F7F084"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 </w:t>
            </w:r>
          </w:p>
        </w:tc>
      </w:tr>
      <w:tr w:rsidR="00BC5219" w:rsidRPr="00F07C24" w14:paraId="1B799FC7" w14:textId="77777777" w:rsidTr="00E83802">
        <w:trPr>
          <w:trHeight w:val="198"/>
        </w:trPr>
        <w:tc>
          <w:tcPr>
            <w:tcW w:w="6350" w:type="dxa"/>
            <w:tcBorders>
              <w:top w:val="nil"/>
              <w:left w:val="nil"/>
              <w:bottom w:val="nil"/>
              <w:right w:val="nil"/>
            </w:tcBorders>
            <w:shd w:val="clear" w:color="auto" w:fill="auto"/>
            <w:noWrap/>
            <w:vAlign w:val="center"/>
            <w:hideMark/>
          </w:tcPr>
          <w:p w14:paraId="471418E3" w14:textId="77777777" w:rsidR="00BC5219" w:rsidRPr="00F07C24" w:rsidRDefault="00BC5219" w:rsidP="00E83802">
            <w:pPr>
              <w:outlineLvl w:val="0"/>
              <w:rPr>
                <w:rFonts w:ascii="Meta Pro" w:eastAsia="Times New Roman" w:hAnsi="Meta Pro"/>
                <w:szCs w:val="18"/>
                <w:lang w:eastAsia="en-AU"/>
              </w:rPr>
            </w:pPr>
            <w:r w:rsidRPr="00F07C24">
              <w:rPr>
                <w:rFonts w:ascii="Meta Pro" w:eastAsia="Times New Roman" w:hAnsi="Meta Pro"/>
                <w:szCs w:val="18"/>
                <w:lang w:eastAsia="en-AU"/>
              </w:rPr>
              <w:t>Lease liabilities</w:t>
            </w:r>
          </w:p>
        </w:tc>
        <w:tc>
          <w:tcPr>
            <w:tcW w:w="1157" w:type="dxa"/>
            <w:tcBorders>
              <w:top w:val="nil"/>
              <w:left w:val="nil"/>
              <w:bottom w:val="nil"/>
              <w:right w:val="nil"/>
            </w:tcBorders>
            <w:shd w:val="clear" w:color="auto" w:fill="auto"/>
            <w:noWrap/>
            <w:vAlign w:val="center"/>
            <w:hideMark/>
          </w:tcPr>
          <w:p w14:paraId="690B9062"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3,228 </w:t>
            </w:r>
          </w:p>
        </w:tc>
        <w:tc>
          <w:tcPr>
            <w:tcW w:w="215" w:type="dxa"/>
            <w:tcBorders>
              <w:top w:val="nil"/>
              <w:left w:val="nil"/>
              <w:bottom w:val="nil"/>
              <w:right w:val="nil"/>
            </w:tcBorders>
            <w:shd w:val="clear" w:color="auto" w:fill="auto"/>
            <w:noWrap/>
            <w:vAlign w:val="center"/>
            <w:hideMark/>
          </w:tcPr>
          <w:p w14:paraId="7BAEEA39" w14:textId="77777777" w:rsidR="00BC5219" w:rsidRPr="00F07C24" w:rsidRDefault="00BC5219" w:rsidP="00E83802">
            <w:pPr>
              <w:jc w:val="right"/>
              <w:outlineLvl w:val="0"/>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005C78C2"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85,780 </w:t>
            </w:r>
          </w:p>
        </w:tc>
        <w:tc>
          <w:tcPr>
            <w:tcW w:w="215" w:type="dxa"/>
            <w:tcBorders>
              <w:top w:val="nil"/>
              <w:left w:val="nil"/>
              <w:bottom w:val="nil"/>
              <w:right w:val="nil"/>
            </w:tcBorders>
            <w:shd w:val="clear" w:color="auto" w:fill="auto"/>
            <w:noWrap/>
            <w:vAlign w:val="center"/>
            <w:hideMark/>
          </w:tcPr>
          <w:p w14:paraId="76915B40" w14:textId="77777777" w:rsidR="00BC5219" w:rsidRPr="00F07C24" w:rsidRDefault="00BC5219" w:rsidP="00E83802">
            <w:pPr>
              <w:jc w:val="right"/>
              <w:outlineLvl w:val="0"/>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4166AFF8"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82,552 </w:t>
            </w:r>
          </w:p>
        </w:tc>
      </w:tr>
      <w:tr w:rsidR="00BC5219" w:rsidRPr="00F07C24" w14:paraId="667D6ED3" w14:textId="77777777" w:rsidTr="00E83802">
        <w:trPr>
          <w:trHeight w:val="198"/>
        </w:trPr>
        <w:tc>
          <w:tcPr>
            <w:tcW w:w="6350" w:type="dxa"/>
            <w:tcBorders>
              <w:top w:val="nil"/>
              <w:left w:val="nil"/>
              <w:bottom w:val="nil"/>
              <w:right w:val="nil"/>
            </w:tcBorders>
            <w:shd w:val="clear" w:color="auto" w:fill="auto"/>
            <w:noWrap/>
            <w:vAlign w:val="center"/>
            <w:hideMark/>
          </w:tcPr>
          <w:p w14:paraId="23F3513D" w14:textId="77777777" w:rsidR="00BC5219" w:rsidRPr="00F07C24" w:rsidRDefault="00BC5219" w:rsidP="00E83802">
            <w:pPr>
              <w:outlineLvl w:val="0"/>
              <w:rPr>
                <w:rFonts w:ascii="Meta Pro" w:eastAsia="Times New Roman" w:hAnsi="Meta Pro"/>
                <w:szCs w:val="18"/>
                <w:lang w:eastAsia="en-AU"/>
              </w:rPr>
            </w:pPr>
            <w:r w:rsidRPr="00F07C24">
              <w:rPr>
                <w:rFonts w:ascii="Meta Pro" w:eastAsia="Times New Roman" w:hAnsi="Meta Pro"/>
                <w:szCs w:val="18"/>
                <w:lang w:eastAsia="en-AU"/>
              </w:rPr>
              <w:t>Other</w:t>
            </w:r>
          </w:p>
        </w:tc>
        <w:tc>
          <w:tcPr>
            <w:tcW w:w="1157" w:type="dxa"/>
            <w:tcBorders>
              <w:top w:val="nil"/>
              <w:left w:val="nil"/>
              <w:bottom w:val="nil"/>
              <w:right w:val="nil"/>
            </w:tcBorders>
            <w:shd w:val="clear" w:color="auto" w:fill="auto"/>
            <w:noWrap/>
            <w:vAlign w:val="center"/>
            <w:hideMark/>
          </w:tcPr>
          <w:p w14:paraId="488050A0"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 </w:t>
            </w:r>
          </w:p>
        </w:tc>
        <w:tc>
          <w:tcPr>
            <w:tcW w:w="215" w:type="dxa"/>
            <w:tcBorders>
              <w:top w:val="nil"/>
              <w:left w:val="nil"/>
              <w:bottom w:val="nil"/>
              <w:right w:val="nil"/>
            </w:tcBorders>
            <w:shd w:val="clear" w:color="auto" w:fill="auto"/>
            <w:noWrap/>
            <w:vAlign w:val="center"/>
            <w:hideMark/>
          </w:tcPr>
          <w:p w14:paraId="7DA1DE31" w14:textId="77777777" w:rsidR="00BC5219" w:rsidRPr="00F07C24" w:rsidRDefault="00BC5219" w:rsidP="00E83802">
            <w:pPr>
              <w:jc w:val="right"/>
              <w:outlineLvl w:val="0"/>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45D5F65C"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108 </w:t>
            </w:r>
          </w:p>
        </w:tc>
        <w:tc>
          <w:tcPr>
            <w:tcW w:w="215" w:type="dxa"/>
            <w:tcBorders>
              <w:top w:val="nil"/>
              <w:left w:val="nil"/>
              <w:bottom w:val="nil"/>
              <w:right w:val="nil"/>
            </w:tcBorders>
            <w:shd w:val="clear" w:color="auto" w:fill="auto"/>
            <w:noWrap/>
            <w:vAlign w:val="center"/>
            <w:hideMark/>
          </w:tcPr>
          <w:p w14:paraId="3C590B4D" w14:textId="77777777" w:rsidR="00BC5219" w:rsidRPr="00F07C24" w:rsidRDefault="00BC5219" w:rsidP="00E83802">
            <w:pPr>
              <w:jc w:val="right"/>
              <w:outlineLvl w:val="0"/>
              <w:rPr>
                <w:rFonts w:ascii="Meta Pro" w:eastAsia="Times New Roman" w:hAnsi="Meta Pro"/>
                <w:szCs w:val="18"/>
                <w:lang w:eastAsia="en-AU"/>
              </w:rPr>
            </w:pPr>
          </w:p>
        </w:tc>
        <w:tc>
          <w:tcPr>
            <w:tcW w:w="1157" w:type="dxa"/>
            <w:tcBorders>
              <w:top w:val="nil"/>
              <w:left w:val="nil"/>
              <w:bottom w:val="nil"/>
              <w:right w:val="nil"/>
            </w:tcBorders>
            <w:shd w:val="clear" w:color="auto" w:fill="auto"/>
            <w:noWrap/>
            <w:vAlign w:val="center"/>
            <w:hideMark/>
          </w:tcPr>
          <w:p w14:paraId="3F1367AF" w14:textId="77777777" w:rsidR="00BC5219" w:rsidRPr="00F07C24" w:rsidRDefault="00BC5219" w:rsidP="00E83802">
            <w:pPr>
              <w:jc w:val="right"/>
              <w:outlineLvl w:val="0"/>
              <w:rPr>
                <w:rFonts w:ascii="Meta Pro" w:eastAsia="Times New Roman" w:hAnsi="Meta Pro"/>
                <w:szCs w:val="18"/>
                <w:lang w:eastAsia="en-AU"/>
              </w:rPr>
            </w:pPr>
            <w:r w:rsidRPr="00F07C24">
              <w:rPr>
                <w:rFonts w:ascii="Meta Pro" w:eastAsia="Times New Roman" w:hAnsi="Meta Pro"/>
                <w:szCs w:val="18"/>
                <w:lang w:eastAsia="en-AU"/>
              </w:rPr>
              <w:t xml:space="preserve">108 </w:t>
            </w:r>
          </w:p>
        </w:tc>
      </w:tr>
      <w:tr w:rsidR="00BC5219" w:rsidRPr="00F07C24" w14:paraId="35229977" w14:textId="77777777" w:rsidTr="00E83802">
        <w:trPr>
          <w:trHeight w:val="198"/>
        </w:trPr>
        <w:tc>
          <w:tcPr>
            <w:tcW w:w="6350" w:type="dxa"/>
            <w:tcBorders>
              <w:top w:val="single" w:sz="4" w:space="0" w:color="auto"/>
              <w:left w:val="nil"/>
              <w:bottom w:val="nil"/>
              <w:right w:val="nil"/>
            </w:tcBorders>
            <w:shd w:val="clear" w:color="auto" w:fill="auto"/>
            <w:noWrap/>
            <w:vAlign w:val="center"/>
            <w:hideMark/>
          </w:tcPr>
          <w:p w14:paraId="75119514" w14:textId="77777777" w:rsidR="00BC5219" w:rsidRPr="00F07C24" w:rsidRDefault="00BC5219" w:rsidP="00E83802">
            <w:pPr>
              <w:outlineLvl w:val="0"/>
              <w:rPr>
                <w:rFonts w:ascii="Meta Pro" w:eastAsia="Times New Roman" w:hAnsi="Meta Pro"/>
                <w:b/>
                <w:bCs/>
                <w:szCs w:val="18"/>
                <w:lang w:eastAsia="en-AU"/>
              </w:rPr>
            </w:pPr>
            <w:r w:rsidRPr="00F07C24">
              <w:rPr>
                <w:rFonts w:ascii="Meta Pro" w:eastAsia="Times New Roman" w:hAnsi="Meta Pro"/>
                <w:b/>
                <w:bCs/>
                <w:szCs w:val="18"/>
                <w:lang w:eastAsia="en-AU"/>
              </w:rPr>
              <w:t>Total non-current liabilities</w:t>
            </w:r>
          </w:p>
        </w:tc>
        <w:tc>
          <w:tcPr>
            <w:tcW w:w="1157" w:type="dxa"/>
            <w:tcBorders>
              <w:top w:val="single" w:sz="4" w:space="0" w:color="auto"/>
              <w:left w:val="nil"/>
              <w:bottom w:val="nil"/>
              <w:right w:val="nil"/>
            </w:tcBorders>
            <w:shd w:val="clear" w:color="auto" w:fill="auto"/>
            <w:noWrap/>
            <w:vAlign w:val="center"/>
            <w:hideMark/>
          </w:tcPr>
          <w:p w14:paraId="3E9106D8" w14:textId="77777777" w:rsidR="00BC5219" w:rsidRPr="00F07C24" w:rsidRDefault="00BC5219" w:rsidP="00E83802">
            <w:pPr>
              <w:jc w:val="right"/>
              <w:outlineLvl w:val="0"/>
              <w:rPr>
                <w:rFonts w:ascii="Meta Pro" w:eastAsia="Times New Roman" w:hAnsi="Meta Pro"/>
                <w:b/>
                <w:bCs/>
                <w:szCs w:val="18"/>
                <w:lang w:eastAsia="en-AU"/>
              </w:rPr>
            </w:pPr>
            <w:r w:rsidRPr="00F07C24">
              <w:rPr>
                <w:rFonts w:ascii="Meta Pro" w:eastAsia="Times New Roman" w:hAnsi="Meta Pro"/>
                <w:b/>
                <w:bCs/>
                <w:szCs w:val="18"/>
                <w:lang w:eastAsia="en-AU"/>
              </w:rPr>
              <w:t xml:space="preserve">8,216,219 </w:t>
            </w:r>
          </w:p>
        </w:tc>
        <w:tc>
          <w:tcPr>
            <w:tcW w:w="215" w:type="dxa"/>
            <w:tcBorders>
              <w:top w:val="single" w:sz="4" w:space="0" w:color="auto"/>
              <w:left w:val="nil"/>
              <w:bottom w:val="nil"/>
              <w:right w:val="nil"/>
            </w:tcBorders>
            <w:shd w:val="clear" w:color="auto" w:fill="auto"/>
            <w:noWrap/>
            <w:vAlign w:val="center"/>
            <w:hideMark/>
          </w:tcPr>
          <w:p w14:paraId="5CC05992" w14:textId="77777777" w:rsidR="00BC5219" w:rsidRPr="00F07C24" w:rsidRDefault="00BC5219" w:rsidP="00E83802">
            <w:pPr>
              <w:jc w:val="right"/>
              <w:outlineLvl w:val="0"/>
              <w:rPr>
                <w:rFonts w:ascii="Meta Pro" w:eastAsia="Times New Roman" w:hAnsi="Meta Pro"/>
                <w:b/>
                <w:bCs/>
                <w:szCs w:val="18"/>
                <w:lang w:eastAsia="en-AU"/>
              </w:rPr>
            </w:pPr>
            <w:r w:rsidRPr="00F07C24">
              <w:rPr>
                <w:rFonts w:ascii="Meta Pro" w:eastAsia="Times New Roman" w:hAnsi="Meta Pro"/>
                <w:b/>
                <w:bCs/>
                <w:szCs w:val="18"/>
                <w:lang w:eastAsia="en-AU"/>
              </w:rPr>
              <w:t> </w:t>
            </w:r>
          </w:p>
        </w:tc>
        <w:tc>
          <w:tcPr>
            <w:tcW w:w="1157" w:type="dxa"/>
            <w:tcBorders>
              <w:top w:val="single" w:sz="4" w:space="0" w:color="auto"/>
              <w:left w:val="nil"/>
              <w:bottom w:val="nil"/>
              <w:right w:val="nil"/>
            </w:tcBorders>
            <w:shd w:val="clear" w:color="auto" w:fill="auto"/>
            <w:noWrap/>
            <w:vAlign w:val="center"/>
            <w:hideMark/>
          </w:tcPr>
          <w:p w14:paraId="5A390C5B" w14:textId="77777777" w:rsidR="00BC5219" w:rsidRPr="00F07C24" w:rsidRDefault="00BC5219" w:rsidP="00E83802">
            <w:pPr>
              <w:jc w:val="right"/>
              <w:outlineLvl w:val="0"/>
              <w:rPr>
                <w:rFonts w:ascii="Meta Pro" w:eastAsia="Times New Roman" w:hAnsi="Meta Pro"/>
                <w:b/>
                <w:bCs/>
                <w:szCs w:val="18"/>
                <w:lang w:eastAsia="en-AU"/>
              </w:rPr>
            </w:pPr>
            <w:r w:rsidRPr="00F07C24">
              <w:rPr>
                <w:rFonts w:ascii="Meta Pro" w:eastAsia="Times New Roman" w:hAnsi="Meta Pro"/>
                <w:b/>
                <w:bCs/>
                <w:szCs w:val="18"/>
                <w:lang w:eastAsia="en-AU"/>
              </w:rPr>
              <w:t xml:space="preserve">8,342,395 </w:t>
            </w:r>
          </w:p>
        </w:tc>
        <w:tc>
          <w:tcPr>
            <w:tcW w:w="215" w:type="dxa"/>
            <w:tcBorders>
              <w:top w:val="single" w:sz="4" w:space="0" w:color="auto"/>
              <w:left w:val="nil"/>
              <w:bottom w:val="nil"/>
              <w:right w:val="nil"/>
            </w:tcBorders>
            <w:shd w:val="clear" w:color="auto" w:fill="auto"/>
            <w:noWrap/>
            <w:vAlign w:val="center"/>
            <w:hideMark/>
          </w:tcPr>
          <w:p w14:paraId="599BE27D" w14:textId="77777777" w:rsidR="00BC5219" w:rsidRPr="00F07C24" w:rsidRDefault="00BC5219" w:rsidP="00E83802">
            <w:pPr>
              <w:jc w:val="right"/>
              <w:outlineLvl w:val="0"/>
              <w:rPr>
                <w:rFonts w:ascii="Meta Pro" w:eastAsia="Times New Roman" w:hAnsi="Meta Pro"/>
                <w:b/>
                <w:bCs/>
                <w:szCs w:val="18"/>
                <w:lang w:eastAsia="en-AU"/>
              </w:rPr>
            </w:pPr>
            <w:r w:rsidRPr="00F07C24">
              <w:rPr>
                <w:rFonts w:ascii="Meta Pro" w:eastAsia="Times New Roman" w:hAnsi="Meta Pro"/>
                <w:b/>
                <w:bCs/>
                <w:szCs w:val="18"/>
                <w:lang w:eastAsia="en-AU"/>
              </w:rPr>
              <w:t> </w:t>
            </w:r>
          </w:p>
        </w:tc>
        <w:tc>
          <w:tcPr>
            <w:tcW w:w="1157" w:type="dxa"/>
            <w:tcBorders>
              <w:top w:val="single" w:sz="4" w:space="0" w:color="auto"/>
              <w:left w:val="nil"/>
              <w:bottom w:val="nil"/>
              <w:right w:val="nil"/>
            </w:tcBorders>
            <w:shd w:val="clear" w:color="auto" w:fill="auto"/>
            <w:noWrap/>
            <w:vAlign w:val="center"/>
            <w:hideMark/>
          </w:tcPr>
          <w:p w14:paraId="4C4CB0AC" w14:textId="77777777" w:rsidR="00BC5219" w:rsidRPr="00F07C24" w:rsidRDefault="00BC5219" w:rsidP="00E83802">
            <w:pPr>
              <w:jc w:val="right"/>
              <w:outlineLvl w:val="0"/>
              <w:rPr>
                <w:rFonts w:ascii="Meta Pro" w:eastAsia="Times New Roman" w:hAnsi="Meta Pro"/>
                <w:b/>
                <w:bCs/>
                <w:szCs w:val="18"/>
                <w:lang w:eastAsia="en-AU"/>
              </w:rPr>
            </w:pPr>
            <w:r w:rsidRPr="00F07C24">
              <w:rPr>
                <w:rFonts w:ascii="Meta Pro" w:eastAsia="Times New Roman" w:hAnsi="Meta Pro"/>
                <w:b/>
                <w:bCs/>
                <w:szCs w:val="18"/>
                <w:lang w:eastAsia="en-AU"/>
              </w:rPr>
              <w:t xml:space="preserve">126,176 </w:t>
            </w:r>
          </w:p>
        </w:tc>
      </w:tr>
      <w:tr w:rsidR="00BC5219" w:rsidRPr="00F07C24" w14:paraId="20E0AA3E" w14:textId="77777777" w:rsidTr="00E83802">
        <w:trPr>
          <w:trHeight w:val="198"/>
        </w:trPr>
        <w:tc>
          <w:tcPr>
            <w:tcW w:w="6350" w:type="dxa"/>
            <w:tcBorders>
              <w:top w:val="nil"/>
              <w:left w:val="nil"/>
              <w:bottom w:val="nil"/>
              <w:right w:val="nil"/>
            </w:tcBorders>
            <w:shd w:val="clear" w:color="auto" w:fill="auto"/>
            <w:noWrap/>
            <w:vAlign w:val="center"/>
            <w:hideMark/>
          </w:tcPr>
          <w:p w14:paraId="0B66420D" w14:textId="77777777" w:rsidR="00BC5219" w:rsidRPr="00F07C24" w:rsidRDefault="00BC5219" w:rsidP="00E83802">
            <w:pPr>
              <w:jc w:val="right"/>
              <w:outlineLvl w:val="0"/>
              <w:rPr>
                <w:rFonts w:ascii="Meta Pro" w:eastAsia="Times New Roman" w:hAnsi="Meta Pro"/>
                <w:b/>
                <w:bCs/>
                <w:szCs w:val="18"/>
                <w:lang w:eastAsia="en-AU"/>
              </w:rPr>
            </w:pPr>
          </w:p>
        </w:tc>
        <w:tc>
          <w:tcPr>
            <w:tcW w:w="1157" w:type="dxa"/>
            <w:tcBorders>
              <w:top w:val="nil"/>
              <w:left w:val="nil"/>
              <w:bottom w:val="nil"/>
              <w:right w:val="nil"/>
            </w:tcBorders>
            <w:shd w:val="clear" w:color="auto" w:fill="auto"/>
            <w:noWrap/>
            <w:vAlign w:val="center"/>
            <w:hideMark/>
          </w:tcPr>
          <w:p w14:paraId="6D009BB3" w14:textId="77777777" w:rsidR="00BC5219" w:rsidRPr="00F07C24" w:rsidRDefault="00BC5219" w:rsidP="00E83802">
            <w:pPr>
              <w:outlineLvl w:val="0"/>
              <w:rPr>
                <w:rFonts w:ascii="Times New Roman" w:eastAsia="Times New Roman" w:hAnsi="Times New Roman"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4B621DF5" w14:textId="77777777" w:rsidR="00BC5219" w:rsidRPr="00F07C24" w:rsidRDefault="00BC5219" w:rsidP="00E83802">
            <w:pPr>
              <w:outlineLvl w:val="0"/>
              <w:rPr>
                <w:rFonts w:ascii="Times New Roman" w:eastAsia="Times New Roman" w:hAnsi="Times New Roman" w:cs="Times New Roman"/>
                <w:sz w:val="20"/>
                <w:szCs w:val="20"/>
                <w:lang w:eastAsia="en-AU"/>
              </w:rPr>
            </w:pPr>
          </w:p>
        </w:tc>
        <w:tc>
          <w:tcPr>
            <w:tcW w:w="1157" w:type="dxa"/>
            <w:tcBorders>
              <w:top w:val="nil"/>
              <w:left w:val="nil"/>
              <w:bottom w:val="nil"/>
              <w:right w:val="nil"/>
            </w:tcBorders>
            <w:shd w:val="clear" w:color="auto" w:fill="auto"/>
            <w:noWrap/>
            <w:vAlign w:val="center"/>
            <w:hideMark/>
          </w:tcPr>
          <w:p w14:paraId="0E242AA1" w14:textId="77777777" w:rsidR="00BC5219" w:rsidRPr="00F07C24" w:rsidRDefault="00BC5219" w:rsidP="00E83802">
            <w:pPr>
              <w:outlineLvl w:val="0"/>
              <w:rPr>
                <w:rFonts w:ascii="Times New Roman" w:eastAsia="Times New Roman" w:hAnsi="Times New Roman"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1C84282D" w14:textId="77777777" w:rsidR="00BC5219" w:rsidRPr="00F07C24" w:rsidRDefault="00BC5219" w:rsidP="00E83802">
            <w:pPr>
              <w:outlineLvl w:val="0"/>
              <w:rPr>
                <w:rFonts w:ascii="Times New Roman" w:eastAsia="Times New Roman" w:hAnsi="Times New Roman" w:cs="Times New Roman"/>
                <w:sz w:val="20"/>
                <w:szCs w:val="20"/>
                <w:lang w:eastAsia="en-AU"/>
              </w:rPr>
            </w:pPr>
          </w:p>
        </w:tc>
        <w:tc>
          <w:tcPr>
            <w:tcW w:w="1157" w:type="dxa"/>
            <w:tcBorders>
              <w:top w:val="nil"/>
              <w:left w:val="nil"/>
              <w:bottom w:val="nil"/>
              <w:right w:val="nil"/>
            </w:tcBorders>
            <w:shd w:val="clear" w:color="auto" w:fill="auto"/>
            <w:noWrap/>
            <w:vAlign w:val="center"/>
            <w:hideMark/>
          </w:tcPr>
          <w:p w14:paraId="1505F6FB" w14:textId="77777777" w:rsidR="00BC5219" w:rsidRPr="00F07C24" w:rsidRDefault="00BC5219" w:rsidP="00E83802">
            <w:pPr>
              <w:outlineLvl w:val="0"/>
              <w:rPr>
                <w:rFonts w:ascii="Times New Roman" w:eastAsia="Times New Roman" w:hAnsi="Times New Roman" w:cs="Times New Roman"/>
                <w:sz w:val="20"/>
                <w:szCs w:val="20"/>
                <w:lang w:eastAsia="en-AU"/>
              </w:rPr>
            </w:pPr>
          </w:p>
        </w:tc>
      </w:tr>
      <w:tr w:rsidR="00BC5219" w:rsidRPr="00F07C24" w14:paraId="7B27CDCE" w14:textId="77777777" w:rsidTr="00E83802">
        <w:trPr>
          <w:trHeight w:val="198"/>
        </w:trPr>
        <w:tc>
          <w:tcPr>
            <w:tcW w:w="6350" w:type="dxa"/>
            <w:tcBorders>
              <w:top w:val="nil"/>
              <w:left w:val="nil"/>
              <w:bottom w:val="single" w:sz="4" w:space="0" w:color="auto"/>
              <w:right w:val="nil"/>
            </w:tcBorders>
            <w:shd w:val="clear" w:color="auto" w:fill="auto"/>
            <w:noWrap/>
            <w:vAlign w:val="center"/>
            <w:hideMark/>
          </w:tcPr>
          <w:p w14:paraId="65EFC2B2" w14:textId="77777777" w:rsidR="00BC5219" w:rsidRPr="00F07C24" w:rsidRDefault="00BC5219" w:rsidP="00E83802">
            <w:pPr>
              <w:outlineLvl w:val="0"/>
              <w:rPr>
                <w:rFonts w:ascii="Meta Pro" w:eastAsia="Times New Roman" w:hAnsi="Meta Pro"/>
                <w:b/>
                <w:bCs/>
                <w:szCs w:val="18"/>
                <w:lang w:eastAsia="en-AU"/>
              </w:rPr>
            </w:pPr>
            <w:r w:rsidRPr="00F07C24">
              <w:rPr>
                <w:rFonts w:ascii="Meta Pro" w:eastAsia="Times New Roman" w:hAnsi="Meta Pro"/>
                <w:b/>
                <w:bCs/>
                <w:szCs w:val="18"/>
                <w:lang w:eastAsia="en-AU"/>
              </w:rPr>
              <w:t>Total liabilities</w:t>
            </w:r>
          </w:p>
        </w:tc>
        <w:tc>
          <w:tcPr>
            <w:tcW w:w="1157" w:type="dxa"/>
            <w:tcBorders>
              <w:top w:val="nil"/>
              <w:left w:val="nil"/>
              <w:bottom w:val="single" w:sz="4" w:space="0" w:color="auto"/>
              <w:right w:val="nil"/>
            </w:tcBorders>
            <w:shd w:val="clear" w:color="auto" w:fill="auto"/>
            <w:noWrap/>
            <w:vAlign w:val="center"/>
            <w:hideMark/>
          </w:tcPr>
          <w:p w14:paraId="3A0D0D04" w14:textId="77777777" w:rsidR="00BC5219" w:rsidRPr="00F07C24" w:rsidRDefault="00BC5219" w:rsidP="00E83802">
            <w:pPr>
              <w:jc w:val="right"/>
              <w:outlineLvl w:val="0"/>
              <w:rPr>
                <w:rFonts w:ascii="Meta Pro" w:eastAsia="Times New Roman" w:hAnsi="Meta Pro"/>
                <w:b/>
                <w:bCs/>
                <w:szCs w:val="18"/>
                <w:lang w:eastAsia="en-AU"/>
              </w:rPr>
            </w:pPr>
            <w:r w:rsidRPr="00F07C24">
              <w:rPr>
                <w:rFonts w:ascii="Meta Pro" w:eastAsia="Times New Roman" w:hAnsi="Meta Pro"/>
                <w:b/>
                <w:bCs/>
                <w:szCs w:val="18"/>
                <w:lang w:eastAsia="en-AU"/>
              </w:rPr>
              <w:t xml:space="preserve">9,613,039 </w:t>
            </w:r>
          </w:p>
        </w:tc>
        <w:tc>
          <w:tcPr>
            <w:tcW w:w="215" w:type="dxa"/>
            <w:tcBorders>
              <w:top w:val="nil"/>
              <w:left w:val="nil"/>
              <w:bottom w:val="single" w:sz="4" w:space="0" w:color="auto"/>
              <w:right w:val="nil"/>
            </w:tcBorders>
            <w:shd w:val="clear" w:color="auto" w:fill="auto"/>
            <w:noWrap/>
            <w:vAlign w:val="center"/>
            <w:hideMark/>
          </w:tcPr>
          <w:p w14:paraId="21B930F1" w14:textId="77777777" w:rsidR="00BC5219" w:rsidRPr="00F07C24" w:rsidRDefault="00BC5219" w:rsidP="00E83802">
            <w:pPr>
              <w:jc w:val="center"/>
              <w:outlineLvl w:val="0"/>
              <w:rPr>
                <w:rFonts w:ascii="Meta Pro" w:eastAsia="Times New Roman" w:hAnsi="Meta Pro"/>
                <w:b/>
                <w:bCs/>
                <w:szCs w:val="18"/>
                <w:lang w:eastAsia="en-AU"/>
              </w:rPr>
            </w:pPr>
            <w:r w:rsidRPr="00F07C24">
              <w:rPr>
                <w:rFonts w:ascii="Meta Pro" w:eastAsia="Times New Roman" w:hAnsi="Meta Pro"/>
                <w:b/>
                <w:bCs/>
                <w:szCs w:val="18"/>
                <w:lang w:eastAsia="en-AU"/>
              </w:rPr>
              <w:t> </w:t>
            </w:r>
          </w:p>
        </w:tc>
        <w:tc>
          <w:tcPr>
            <w:tcW w:w="1157" w:type="dxa"/>
            <w:tcBorders>
              <w:top w:val="nil"/>
              <w:left w:val="nil"/>
              <w:bottom w:val="single" w:sz="4" w:space="0" w:color="auto"/>
              <w:right w:val="nil"/>
            </w:tcBorders>
            <w:shd w:val="clear" w:color="auto" w:fill="auto"/>
            <w:noWrap/>
            <w:vAlign w:val="center"/>
            <w:hideMark/>
          </w:tcPr>
          <w:p w14:paraId="589742E6" w14:textId="77777777" w:rsidR="00BC5219" w:rsidRPr="00F07C24" w:rsidRDefault="00BC5219" w:rsidP="00E83802">
            <w:pPr>
              <w:jc w:val="right"/>
              <w:outlineLvl w:val="0"/>
              <w:rPr>
                <w:rFonts w:ascii="Meta Pro" w:eastAsia="Times New Roman" w:hAnsi="Meta Pro"/>
                <w:b/>
                <w:bCs/>
                <w:szCs w:val="18"/>
                <w:lang w:eastAsia="en-AU"/>
              </w:rPr>
            </w:pPr>
            <w:r w:rsidRPr="00F07C24">
              <w:rPr>
                <w:rFonts w:ascii="Meta Pro" w:eastAsia="Times New Roman" w:hAnsi="Meta Pro"/>
                <w:b/>
                <w:bCs/>
                <w:szCs w:val="18"/>
                <w:lang w:eastAsia="en-AU"/>
              </w:rPr>
              <w:t xml:space="preserve">10,185,996 </w:t>
            </w:r>
          </w:p>
        </w:tc>
        <w:tc>
          <w:tcPr>
            <w:tcW w:w="215" w:type="dxa"/>
            <w:tcBorders>
              <w:top w:val="nil"/>
              <w:left w:val="nil"/>
              <w:bottom w:val="single" w:sz="4" w:space="0" w:color="auto"/>
              <w:right w:val="nil"/>
            </w:tcBorders>
            <w:shd w:val="clear" w:color="auto" w:fill="auto"/>
            <w:noWrap/>
            <w:vAlign w:val="center"/>
            <w:hideMark/>
          </w:tcPr>
          <w:p w14:paraId="3DEE57FB" w14:textId="77777777" w:rsidR="00BC5219" w:rsidRPr="00F07C24" w:rsidRDefault="00BC5219" w:rsidP="00E83802">
            <w:pPr>
              <w:jc w:val="center"/>
              <w:outlineLvl w:val="0"/>
              <w:rPr>
                <w:rFonts w:ascii="Meta Pro" w:eastAsia="Times New Roman" w:hAnsi="Meta Pro"/>
                <w:b/>
                <w:bCs/>
                <w:szCs w:val="18"/>
                <w:lang w:eastAsia="en-AU"/>
              </w:rPr>
            </w:pPr>
            <w:r w:rsidRPr="00F07C24">
              <w:rPr>
                <w:rFonts w:ascii="Meta Pro" w:eastAsia="Times New Roman" w:hAnsi="Meta Pro"/>
                <w:b/>
                <w:bCs/>
                <w:szCs w:val="18"/>
                <w:lang w:eastAsia="en-AU"/>
              </w:rPr>
              <w:t> </w:t>
            </w:r>
          </w:p>
        </w:tc>
        <w:tc>
          <w:tcPr>
            <w:tcW w:w="1157" w:type="dxa"/>
            <w:tcBorders>
              <w:top w:val="nil"/>
              <w:left w:val="nil"/>
              <w:bottom w:val="single" w:sz="4" w:space="0" w:color="auto"/>
              <w:right w:val="nil"/>
            </w:tcBorders>
            <w:shd w:val="clear" w:color="auto" w:fill="auto"/>
            <w:noWrap/>
            <w:vAlign w:val="center"/>
            <w:hideMark/>
          </w:tcPr>
          <w:p w14:paraId="7BB21DA2" w14:textId="77777777" w:rsidR="00BC5219" w:rsidRPr="00F07C24" w:rsidRDefault="00BC5219" w:rsidP="00E83802">
            <w:pPr>
              <w:jc w:val="right"/>
              <w:outlineLvl w:val="0"/>
              <w:rPr>
                <w:rFonts w:ascii="Meta Pro" w:eastAsia="Times New Roman" w:hAnsi="Meta Pro"/>
                <w:b/>
                <w:bCs/>
                <w:szCs w:val="18"/>
                <w:lang w:eastAsia="en-AU"/>
              </w:rPr>
            </w:pPr>
            <w:r w:rsidRPr="00F07C24">
              <w:rPr>
                <w:rFonts w:ascii="Meta Pro" w:eastAsia="Times New Roman" w:hAnsi="Meta Pro"/>
                <w:b/>
                <w:bCs/>
                <w:szCs w:val="18"/>
                <w:lang w:eastAsia="en-AU"/>
              </w:rPr>
              <w:t xml:space="preserve">572,957 </w:t>
            </w:r>
          </w:p>
        </w:tc>
      </w:tr>
      <w:tr w:rsidR="00BC5219" w:rsidRPr="00F07C24" w14:paraId="1945CE24" w14:textId="77777777" w:rsidTr="00E83802">
        <w:trPr>
          <w:trHeight w:val="198"/>
        </w:trPr>
        <w:tc>
          <w:tcPr>
            <w:tcW w:w="6350" w:type="dxa"/>
            <w:tcBorders>
              <w:top w:val="nil"/>
              <w:left w:val="nil"/>
              <w:bottom w:val="nil"/>
              <w:right w:val="nil"/>
            </w:tcBorders>
            <w:shd w:val="clear" w:color="auto" w:fill="auto"/>
            <w:noWrap/>
            <w:vAlign w:val="center"/>
            <w:hideMark/>
          </w:tcPr>
          <w:p w14:paraId="410F3EB6" w14:textId="77777777" w:rsidR="00BC5219" w:rsidRPr="00F07C24" w:rsidRDefault="00BC5219" w:rsidP="00E83802">
            <w:pPr>
              <w:outlineLvl w:val="0"/>
              <w:rPr>
                <w:rFonts w:ascii="Meta Pro" w:eastAsia="Times New Roman" w:hAnsi="Meta Pro"/>
                <w:szCs w:val="18"/>
                <w:lang w:eastAsia="en-AU"/>
              </w:rPr>
            </w:pPr>
            <w:r w:rsidRPr="00F07C24">
              <w:rPr>
                <w:rFonts w:ascii="Meta Pro" w:eastAsia="Times New Roman" w:hAnsi="Meta Pro"/>
                <w:szCs w:val="18"/>
                <w:lang w:eastAsia="en-AU"/>
              </w:rPr>
              <w:t> </w:t>
            </w:r>
          </w:p>
        </w:tc>
        <w:tc>
          <w:tcPr>
            <w:tcW w:w="1157" w:type="dxa"/>
            <w:tcBorders>
              <w:top w:val="nil"/>
              <w:left w:val="nil"/>
              <w:bottom w:val="nil"/>
              <w:right w:val="nil"/>
            </w:tcBorders>
            <w:shd w:val="clear" w:color="auto" w:fill="auto"/>
            <w:noWrap/>
            <w:vAlign w:val="center"/>
            <w:hideMark/>
          </w:tcPr>
          <w:p w14:paraId="00E5B519" w14:textId="77777777" w:rsidR="00BC5219" w:rsidRPr="00F07C24" w:rsidRDefault="00BC5219" w:rsidP="00E83802">
            <w:pPr>
              <w:outlineLvl w:val="0"/>
              <w:rPr>
                <w:rFonts w:ascii="Meta Pro" w:eastAsia="Times New Roman" w:hAnsi="Meta Pro"/>
                <w:szCs w:val="18"/>
                <w:lang w:eastAsia="en-AU"/>
              </w:rPr>
            </w:pPr>
            <w:r w:rsidRPr="00F07C24">
              <w:rPr>
                <w:rFonts w:ascii="Meta Pro" w:eastAsia="Times New Roman" w:hAnsi="Meta Pro"/>
                <w:szCs w:val="18"/>
                <w:lang w:eastAsia="en-AU"/>
              </w:rPr>
              <w:t> </w:t>
            </w:r>
          </w:p>
        </w:tc>
        <w:tc>
          <w:tcPr>
            <w:tcW w:w="215" w:type="dxa"/>
            <w:tcBorders>
              <w:top w:val="nil"/>
              <w:left w:val="nil"/>
              <w:bottom w:val="nil"/>
              <w:right w:val="nil"/>
            </w:tcBorders>
            <w:shd w:val="clear" w:color="auto" w:fill="auto"/>
            <w:noWrap/>
            <w:vAlign w:val="center"/>
            <w:hideMark/>
          </w:tcPr>
          <w:p w14:paraId="07611F8E" w14:textId="77777777" w:rsidR="00BC5219" w:rsidRPr="00F07C24" w:rsidRDefault="00BC5219" w:rsidP="00E83802">
            <w:pPr>
              <w:outlineLvl w:val="0"/>
              <w:rPr>
                <w:rFonts w:ascii="Meta Pro" w:eastAsia="Times New Roman" w:hAnsi="Meta Pro"/>
                <w:szCs w:val="18"/>
                <w:lang w:eastAsia="en-AU"/>
              </w:rPr>
            </w:pPr>
            <w:r w:rsidRPr="00F07C24">
              <w:rPr>
                <w:rFonts w:ascii="Meta Pro" w:eastAsia="Times New Roman" w:hAnsi="Meta Pro"/>
                <w:szCs w:val="18"/>
                <w:lang w:eastAsia="en-AU"/>
              </w:rPr>
              <w:t> </w:t>
            </w:r>
          </w:p>
        </w:tc>
        <w:tc>
          <w:tcPr>
            <w:tcW w:w="1157" w:type="dxa"/>
            <w:tcBorders>
              <w:top w:val="nil"/>
              <w:left w:val="nil"/>
              <w:bottom w:val="nil"/>
              <w:right w:val="nil"/>
            </w:tcBorders>
            <w:shd w:val="clear" w:color="auto" w:fill="auto"/>
            <w:noWrap/>
            <w:vAlign w:val="center"/>
            <w:hideMark/>
          </w:tcPr>
          <w:p w14:paraId="34044927" w14:textId="77777777" w:rsidR="00BC5219" w:rsidRPr="00F07C24" w:rsidRDefault="00BC5219" w:rsidP="00E83802">
            <w:pPr>
              <w:outlineLvl w:val="0"/>
              <w:rPr>
                <w:rFonts w:ascii="Meta Pro" w:eastAsia="Times New Roman" w:hAnsi="Meta Pro"/>
                <w:szCs w:val="18"/>
                <w:lang w:eastAsia="en-AU"/>
              </w:rPr>
            </w:pPr>
            <w:r w:rsidRPr="00F07C24">
              <w:rPr>
                <w:rFonts w:ascii="Meta Pro" w:eastAsia="Times New Roman" w:hAnsi="Meta Pro"/>
                <w:szCs w:val="18"/>
                <w:lang w:eastAsia="en-AU"/>
              </w:rPr>
              <w:t> </w:t>
            </w:r>
          </w:p>
        </w:tc>
        <w:tc>
          <w:tcPr>
            <w:tcW w:w="215" w:type="dxa"/>
            <w:tcBorders>
              <w:top w:val="nil"/>
              <w:left w:val="nil"/>
              <w:bottom w:val="nil"/>
              <w:right w:val="nil"/>
            </w:tcBorders>
            <w:shd w:val="clear" w:color="auto" w:fill="auto"/>
            <w:noWrap/>
            <w:vAlign w:val="center"/>
            <w:hideMark/>
          </w:tcPr>
          <w:p w14:paraId="237735D9" w14:textId="77777777" w:rsidR="00BC5219" w:rsidRPr="00F07C24" w:rsidRDefault="00BC5219" w:rsidP="00E83802">
            <w:pPr>
              <w:outlineLvl w:val="0"/>
              <w:rPr>
                <w:rFonts w:ascii="Meta Pro" w:eastAsia="Times New Roman" w:hAnsi="Meta Pro"/>
                <w:szCs w:val="18"/>
                <w:lang w:eastAsia="en-AU"/>
              </w:rPr>
            </w:pPr>
            <w:r w:rsidRPr="00F07C24">
              <w:rPr>
                <w:rFonts w:ascii="Meta Pro" w:eastAsia="Times New Roman" w:hAnsi="Meta Pro"/>
                <w:szCs w:val="18"/>
                <w:lang w:eastAsia="en-AU"/>
              </w:rPr>
              <w:t> </w:t>
            </w:r>
          </w:p>
        </w:tc>
        <w:tc>
          <w:tcPr>
            <w:tcW w:w="1157" w:type="dxa"/>
            <w:tcBorders>
              <w:top w:val="nil"/>
              <w:left w:val="nil"/>
              <w:bottom w:val="nil"/>
              <w:right w:val="nil"/>
            </w:tcBorders>
            <w:shd w:val="clear" w:color="auto" w:fill="auto"/>
            <w:noWrap/>
            <w:vAlign w:val="center"/>
            <w:hideMark/>
          </w:tcPr>
          <w:p w14:paraId="2F598B67" w14:textId="77777777" w:rsidR="00BC5219" w:rsidRPr="00F07C24" w:rsidRDefault="00BC5219" w:rsidP="00E83802">
            <w:pPr>
              <w:outlineLvl w:val="0"/>
              <w:rPr>
                <w:rFonts w:ascii="Meta Pro" w:eastAsia="Times New Roman" w:hAnsi="Meta Pro"/>
                <w:szCs w:val="18"/>
                <w:lang w:eastAsia="en-AU"/>
              </w:rPr>
            </w:pPr>
            <w:r w:rsidRPr="00F07C24">
              <w:rPr>
                <w:rFonts w:ascii="Meta Pro" w:eastAsia="Times New Roman" w:hAnsi="Meta Pro"/>
                <w:szCs w:val="18"/>
                <w:lang w:eastAsia="en-AU"/>
              </w:rPr>
              <w:t> </w:t>
            </w:r>
          </w:p>
        </w:tc>
      </w:tr>
      <w:tr w:rsidR="00BC5219" w:rsidRPr="00F07C24" w14:paraId="2E6AA763" w14:textId="77777777" w:rsidTr="00E83802">
        <w:trPr>
          <w:trHeight w:val="198"/>
        </w:trPr>
        <w:tc>
          <w:tcPr>
            <w:tcW w:w="6350" w:type="dxa"/>
            <w:tcBorders>
              <w:top w:val="single" w:sz="4" w:space="0" w:color="auto"/>
              <w:left w:val="nil"/>
              <w:bottom w:val="double" w:sz="6" w:space="0" w:color="auto"/>
              <w:right w:val="nil"/>
            </w:tcBorders>
            <w:shd w:val="clear" w:color="auto" w:fill="auto"/>
            <w:noWrap/>
            <w:vAlign w:val="center"/>
            <w:hideMark/>
          </w:tcPr>
          <w:p w14:paraId="26020380" w14:textId="77777777" w:rsidR="00BC5219" w:rsidRPr="00F07C24" w:rsidRDefault="00BC5219" w:rsidP="00E83802">
            <w:pPr>
              <w:outlineLvl w:val="0"/>
              <w:rPr>
                <w:rFonts w:ascii="Meta Pro" w:eastAsia="Times New Roman" w:hAnsi="Meta Pro"/>
                <w:b/>
                <w:bCs/>
                <w:szCs w:val="18"/>
                <w:lang w:eastAsia="en-AU"/>
              </w:rPr>
            </w:pPr>
            <w:r w:rsidRPr="00F07C24">
              <w:rPr>
                <w:rFonts w:ascii="Meta Pro" w:eastAsia="Times New Roman" w:hAnsi="Meta Pro"/>
                <w:b/>
                <w:bCs/>
                <w:szCs w:val="18"/>
                <w:lang w:eastAsia="en-AU"/>
              </w:rPr>
              <w:t>NET ASSETS</w:t>
            </w:r>
          </w:p>
        </w:tc>
        <w:tc>
          <w:tcPr>
            <w:tcW w:w="1157" w:type="dxa"/>
            <w:tcBorders>
              <w:top w:val="single" w:sz="4" w:space="0" w:color="auto"/>
              <w:left w:val="nil"/>
              <w:bottom w:val="double" w:sz="6" w:space="0" w:color="auto"/>
              <w:right w:val="nil"/>
            </w:tcBorders>
            <w:shd w:val="clear" w:color="auto" w:fill="auto"/>
            <w:noWrap/>
            <w:vAlign w:val="center"/>
            <w:hideMark/>
          </w:tcPr>
          <w:p w14:paraId="364CFB1D" w14:textId="77777777" w:rsidR="00BC5219" w:rsidRPr="00F07C24" w:rsidRDefault="00BC5219" w:rsidP="00E83802">
            <w:pPr>
              <w:jc w:val="right"/>
              <w:outlineLvl w:val="0"/>
              <w:rPr>
                <w:rFonts w:ascii="Meta Pro" w:eastAsia="Times New Roman" w:hAnsi="Meta Pro"/>
                <w:b/>
                <w:bCs/>
                <w:szCs w:val="18"/>
                <w:lang w:eastAsia="en-AU"/>
              </w:rPr>
            </w:pPr>
            <w:r w:rsidRPr="00F07C24">
              <w:rPr>
                <w:rFonts w:ascii="Meta Pro" w:eastAsia="Times New Roman" w:hAnsi="Meta Pro"/>
                <w:b/>
                <w:bCs/>
                <w:szCs w:val="18"/>
                <w:lang w:eastAsia="en-AU"/>
              </w:rPr>
              <w:t xml:space="preserve">83,341,847 </w:t>
            </w:r>
          </w:p>
        </w:tc>
        <w:tc>
          <w:tcPr>
            <w:tcW w:w="215" w:type="dxa"/>
            <w:tcBorders>
              <w:top w:val="single" w:sz="4" w:space="0" w:color="auto"/>
              <w:left w:val="nil"/>
              <w:bottom w:val="double" w:sz="6" w:space="0" w:color="auto"/>
              <w:right w:val="nil"/>
            </w:tcBorders>
            <w:shd w:val="clear" w:color="auto" w:fill="auto"/>
            <w:noWrap/>
            <w:vAlign w:val="center"/>
            <w:hideMark/>
          </w:tcPr>
          <w:p w14:paraId="424A4CCE" w14:textId="77777777" w:rsidR="00BC5219" w:rsidRPr="00F07C24" w:rsidRDefault="00BC5219" w:rsidP="00E83802">
            <w:pPr>
              <w:jc w:val="right"/>
              <w:outlineLvl w:val="0"/>
              <w:rPr>
                <w:rFonts w:ascii="Meta Pro" w:eastAsia="Times New Roman" w:hAnsi="Meta Pro"/>
                <w:b/>
                <w:bCs/>
                <w:szCs w:val="18"/>
                <w:lang w:eastAsia="en-AU"/>
              </w:rPr>
            </w:pPr>
            <w:r w:rsidRPr="00F07C24">
              <w:rPr>
                <w:rFonts w:ascii="Meta Pro" w:eastAsia="Times New Roman" w:hAnsi="Meta Pro"/>
                <w:b/>
                <w:bCs/>
                <w:szCs w:val="18"/>
                <w:lang w:eastAsia="en-AU"/>
              </w:rPr>
              <w:t> </w:t>
            </w:r>
          </w:p>
        </w:tc>
        <w:tc>
          <w:tcPr>
            <w:tcW w:w="1157" w:type="dxa"/>
            <w:tcBorders>
              <w:top w:val="single" w:sz="4" w:space="0" w:color="auto"/>
              <w:left w:val="nil"/>
              <w:bottom w:val="double" w:sz="6" w:space="0" w:color="auto"/>
              <w:right w:val="nil"/>
            </w:tcBorders>
            <w:shd w:val="clear" w:color="auto" w:fill="auto"/>
            <w:noWrap/>
            <w:vAlign w:val="center"/>
            <w:hideMark/>
          </w:tcPr>
          <w:p w14:paraId="37716516" w14:textId="77777777" w:rsidR="00BC5219" w:rsidRPr="00F07C24" w:rsidRDefault="00BC5219" w:rsidP="00E83802">
            <w:pPr>
              <w:jc w:val="right"/>
              <w:outlineLvl w:val="0"/>
              <w:rPr>
                <w:rFonts w:ascii="Meta Pro" w:eastAsia="Times New Roman" w:hAnsi="Meta Pro"/>
                <w:b/>
                <w:bCs/>
                <w:szCs w:val="18"/>
                <w:lang w:eastAsia="en-AU"/>
              </w:rPr>
            </w:pPr>
            <w:r w:rsidRPr="00F07C24">
              <w:rPr>
                <w:rFonts w:ascii="Meta Pro" w:eastAsia="Times New Roman" w:hAnsi="Meta Pro"/>
                <w:b/>
                <w:bCs/>
                <w:szCs w:val="18"/>
                <w:lang w:eastAsia="en-AU"/>
              </w:rPr>
              <w:t xml:space="preserve">109,731,906 </w:t>
            </w:r>
          </w:p>
        </w:tc>
        <w:tc>
          <w:tcPr>
            <w:tcW w:w="215" w:type="dxa"/>
            <w:tcBorders>
              <w:top w:val="single" w:sz="4" w:space="0" w:color="auto"/>
              <w:left w:val="nil"/>
              <w:bottom w:val="double" w:sz="6" w:space="0" w:color="auto"/>
              <w:right w:val="nil"/>
            </w:tcBorders>
            <w:shd w:val="clear" w:color="auto" w:fill="auto"/>
            <w:noWrap/>
            <w:vAlign w:val="center"/>
            <w:hideMark/>
          </w:tcPr>
          <w:p w14:paraId="143FC633" w14:textId="77777777" w:rsidR="00BC5219" w:rsidRPr="00F07C24" w:rsidRDefault="00BC5219" w:rsidP="00E83802">
            <w:pPr>
              <w:jc w:val="right"/>
              <w:outlineLvl w:val="0"/>
              <w:rPr>
                <w:rFonts w:ascii="Meta Pro" w:eastAsia="Times New Roman" w:hAnsi="Meta Pro"/>
                <w:b/>
                <w:bCs/>
                <w:szCs w:val="18"/>
                <w:lang w:eastAsia="en-AU"/>
              </w:rPr>
            </w:pPr>
            <w:r w:rsidRPr="00F07C24">
              <w:rPr>
                <w:rFonts w:ascii="Meta Pro" w:eastAsia="Times New Roman" w:hAnsi="Meta Pro"/>
                <w:b/>
                <w:bCs/>
                <w:szCs w:val="18"/>
                <w:lang w:eastAsia="en-AU"/>
              </w:rPr>
              <w:t> </w:t>
            </w:r>
          </w:p>
        </w:tc>
        <w:tc>
          <w:tcPr>
            <w:tcW w:w="1157" w:type="dxa"/>
            <w:tcBorders>
              <w:top w:val="single" w:sz="4" w:space="0" w:color="auto"/>
              <w:left w:val="nil"/>
              <w:bottom w:val="double" w:sz="6" w:space="0" w:color="auto"/>
              <w:right w:val="nil"/>
            </w:tcBorders>
            <w:shd w:val="clear" w:color="auto" w:fill="auto"/>
            <w:noWrap/>
            <w:vAlign w:val="center"/>
            <w:hideMark/>
          </w:tcPr>
          <w:p w14:paraId="6DA357C2" w14:textId="77777777" w:rsidR="00BC5219" w:rsidRPr="00F07C24" w:rsidRDefault="00BC5219" w:rsidP="00E83802">
            <w:pPr>
              <w:jc w:val="right"/>
              <w:outlineLvl w:val="0"/>
              <w:rPr>
                <w:rFonts w:ascii="Meta Pro" w:eastAsia="Times New Roman" w:hAnsi="Meta Pro"/>
                <w:b/>
                <w:bCs/>
                <w:szCs w:val="18"/>
                <w:lang w:eastAsia="en-AU"/>
              </w:rPr>
            </w:pPr>
            <w:r w:rsidRPr="00F07C24">
              <w:rPr>
                <w:rFonts w:ascii="Meta Pro" w:eastAsia="Times New Roman" w:hAnsi="Meta Pro"/>
                <w:b/>
                <w:bCs/>
                <w:szCs w:val="18"/>
                <w:lang w:eastAsia="en-AU"/>
              </w:rPr>
              <w:t xml:space="preserve">26,390,059 </w:t>
            </w:r>
          </w:p>
        </w:tc>
      </w:tr>
      <w:tr w:rsidR="00BC5219" w:rsidRPr="00F07C24" w14:paraId="2339214C" w14:textId="77777777" w:rsidTr="00E83802">
        <w:trPr>
          <w:trHeight w:val="198"/>
        </w:trPr>
        <w:tc>
          <w:tcPr>
            <w:tcW w:w="6350" w:type="dxa"/>
            <w:tcBorders>
              <w:top w:val="nil"/>
              <w:left w:val="nil"/>
              <w:bottom w:val="nil"/>
              <w:right w:val="nil"/>
            </w:tcBorders>
            <w:shd w:val="clear" w:color="auto" w:fill="auto"/>
            <w:noWrap/>
            <w:vAlign w:val="center"/>
            <w:hideMark/>
          </w:tcPr>
          <w:p w14:paraId="4CA448D2" w14:textId="77777777" w:rsidR="00BC5219" w:rsidRPr="00F07C24" w:rsidRDefault="00BC5219" w:rsidP="00E83802">
            <w:pPr>
              <w:jc w:val="right"/>
              <w:outlineLvl w:val="0"/>
              <w:rPr>
                <w:rFonts w:ascii="Meta Pro" w:eastAsia="Times New Roman" w:hAnsi="Meta Pro"/>
                <w:b/>
                <w:bCs/>
                <w:szCs w:val="18"/>
                <w:lang w:eastAsia="en-AU"/>
              </w:rPr>
            </w:pPr>
          </w:p>
        </w:tc>
        <w:tc>
          <w:tcPr>
            <w:tcW w:w="1157" w:type="dxa"/>
            <w:tcBorders>
              <w:top w:val="nil"/>
              <w:left w:val="nil"/>
              <w:bottom w:val="nil"/>
              <w:right w:val="nil"/>
            </w:tcBorders>
            <w:shd w:val="clear" w:color="auto" w:fill="auto"/>
            <w:noWrap/>
            <w:vAlign w:val="center"/>
            <w:hideMark/>
          </w:tcPr>
          <w:p w14:paraId="558A818C" w14:textId="77777777" w:rsidR="00BC5219" w:rsidRPr="00F07C24" w:rsidRDefault="00BC5219" w:rsidP="00E83802">
            <w:pPr>
              <w:outlineLvl w:val="0"/>
              <w:rPr>
                <w:rFonts w:ascii="Times New Roman" w:eastAsia="Times New Roman" w:hAnsi="Times New Roman"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3D98A8DB" w14:textId="77777777" w:rsidR="00BC5219" w:rsidRPr="00F07C24" w:rsidRDefault="00BC5219" w:rsidP="00E83802">
            <w:pPr>
              <w:jc w:val="right"/>
              <w:outlineLvl w:val="0"/>
              <w:rPr>
                <w:rFonts w:ascii="Times New Roman" w:eastAsia="Times New Roman" w:hAnsi="Times New Roman" w:cs="Times New Roman"/>
                <w:sz w:val="20"/>
                <w:szCs w:val="20"/>
                <w:lang w:eastAsia="en-AU"/>
              </w:rPr>
            </w:pPr>
          </w:p>
        </w:tc>
        <w:tc>
          <w:tcPr>
            <w:tcW w:w="1157" w:type="dxa"/>
            <w:tcBorders>
              <w:top w:val="nil"/>
              <w:left w:val="nil"/>
              <w:bottom w:val="nil"/>
              <w:right w:val="nil"/>
            </w:tcBorders>
            <w:shd w:val="clear" w:color="auto" w:fill="auto"/>
            <w:noWrap/>
            <w:vAlign w:val="center"/>
            <w:hideMark/>
          </w:tcPr>
          <w:p w14:paraId="2492C0F6" w14:textId="77777777" w:rsidR="00BC5219" w:rsidRPr="00F07C24" w:rsidRDefault="00BC5219" w:rsidP="00E83802">
            <w:pPr>
              <w:jc w:val="right"/>
              <w:outlineLvl w:val="0"/>
              <w:rPr>
                <w:rFonts w:ascii="Times New Roman" w:eastAsia="Times New Roman" w:hAnsi="Times New Roman" w:cs="Times New Roman"/>
                <w:sz w:val="20"/>
                <w:szCs w:val="20"/>
                <w:lang w:eastAsia="en-AU"/>
              </w:rPr>
            </w:pPr>
          </w:p>
        </w:tc>
        <w:tc>
          <w:tcPr>
            <w:tcW w:w="215" w:type="dxa"/>
            <w:tcBorders>
              <w:top w:val="nil"/>
              <w:left w:val="nil"/>
              <w:bottom w:val="nil"/>
              <w:right w:val="nil"/>
            </w:tcBorders>
            <w:shd w:val="clear" w:color="auto" w:fill="auto"/>
            <w:noWrap/>
            <w:vAlign w:val="center"/>
            <w:hideMark/>
          </w:tcPr>
          <w:p w14:paraId="2D016A52" w14:textId="77777777" w:rsidR="00BC5219" w:rsidRPr="00F07C24" w:rsidRDefault="00BC5219" w:rsidP="00E83802">
            <w:pPr>
              <w:jc w:val="right"/>
              <w:outlineLvl w:val="0"/>
              <w:rPr>
                <w:rFonts w:ascii="Times New Roman" w:eastAsia="Times New Roman" w:hAnsi="Times New Roman" w:cs="Times New Roman"/>
                <w:sz w:val="20"/>
                <w:szCs w:val="20"/>
                <w:lang w:eastAsia="en-AU"/>
              </w:rPr>
            </w:pPr>
          </w:p>
        </w:tc>
        <w:tc>
          <w:tcPr>
            <w:tcW w:w="1157" w:type="dxa"/>
            <w:tcBorders>
              <w:top w:val="nil"/>
              <w:left w:val="nil"/>
              <w:bottom w:val="nil"/>
              <w:right w:val="nil"/>
            </w:tcBorders>
            <w:shd w:val="clear" w:color="auto" w:fill="auto"/>
            <w:noWrap/>
            <w:vAlign w:val="center"/>
            <w:hideMark/>
          </w:tcPr>
          <w:p w14:paraId="2A58942C" w14:textId="77777777" w:rsidR="00BC5219" w:rsidRPr="00F07C24" w:rsidRDefault="00BC5219" w:rsidP="00E83802">
            <w:pPr>
              <w:jc w:val="right"/>
              <w:outlineLvl w:val="0"/>
              <w:rPr>
                <w:rFonts w:ascii="Times New Roman" w:eastAsia="Times New Roman" w:hAnsi="Times New Roman" w:cs="Times New Roman"/>
                <w:sz w:val="20"/>
                <w:szCs w:val="20"/>
                <w:lang w:eastAsia="en-AU"/>
              </w:rPr>
            </w:pPr>
          </w:p>
        </w:tc>
      </w:tr>
      <w:tr w:rsidR="00BC5219" w:rsidRPr="00F07C24" w14:paraId="37D5AA15" w14:textId="77777777" w:rsidTr="00E83802">
        <w:trPr>
          <w:trHeight w:val="198"/>
        </w:trPr>
        <w:tc>
          <w:tcPr>
            <w:tcW w:w="6350" w:type="dxa"/>
            <w:tcBorders>
              <w:top w:val="single" w:sz="4" w:space="0" w:color="auto"/>
              <w:left w:val="nil"/>
              <w:bottom w:val="double" w:sz="6" w:space="0" w:color="auto"/>
              <w:right w:val="nil"/>
            </w:tcBorders>
            <w:shd w:val="clear" w:color="auto" w:fill="auto"/>
            <w:noWrap/>
            <w:vAlign w:val="center"/>
            <w:hideMark/>
          </w:tcPr>
          <w:p w14:paraId="61BF14C2" w14:textId="77777777" w:rsidR="00BC5219" w:rsidRPr="00F07C24" w:rsidRDefault="00BC5219" w:rsidP="00E83802">
            <w:pPr>
              <w:outlineLvl w:val="0"/>
              <w:rPr>
                <w:rFonts w:ascii="Meta Pro" w:eastAsia="Times New Roman" w:hAnsi="Meta Pro"/>
                <w:b/>
                <w:bCs/>
                <w:szCs w:val="18"/>
                <w:lang w:eastAsia="en-AU"/>
              </w:rPr>
            </w:pPr>
            <w:r w:rsidRPr="00F07C24">
              <w:rPr>
                <w:rFonts w:ascii="Meta Pro" w:eastAsia="Times New Roman" w:hAnsi="Meta Pro"/>
                <w:b/>
                <w:bCs/>
                <w:szCs w:val="18"/>
                <w:lang w:eastAsia="en-AU"/>
              </w:rPr>
              <w:t>TOTAL EQUITY</w:t>
            </w:r>
          </w:p>
        </w:tc>
        <w:tc>
          <w:tcPr>
            <w:tcW w:w="1157" w:type="dxa"/>
            <w:tcBorders>
              <w:top w:val="single" w:sz="4" w:space="0" w:color="auto"/>
              <w:left w:val="nil"/>
              <w:bottom w:val="double" w:sz="6" w:space="0" w:color="auto"/>
              <w:right w:val="nil"/>
            </w:tcBorders>
            <w:shd w:val="clear" w:color="auto" w:fill="auto"/>
            <w:noWrap/>
            <w:vAlign w:val="center"/>
            <w:hideMark/>
          </w:tcPr>
          <w:p w14:paraId="7A8C407F" w14:textId="77777777" w:rsidR="00BC5219" w:rsidRPr="00F07C24" w:rsidRDefault="00BC5219" w:rsidP="00E83802">
            <w:pPr>
              <w:jc w:val="right"/>
              <w:outlineLvl w:val="0"/>
              <w:rPr>
                <w:rFonts w:ascii="Meta Pro" w:eastAsia="Times New Roman" w:hAnsi="Meta Pro"/>
                <w:b/>
                <w:bCs/>
                <w:szCs w:val="18"/>
                <w:lang w:eastAsia="en-AU"/>
              </w:rPr>
            </w:pPr>
            <w:r w:rsidRPr="00F07C24">
              <w:rPr>
                <w:rFonts w:ascii="Meta Pro" w:eastAsia="Times New Roman" w:hAnsi="Meta Pro"/>
                <w:b/>
                <w:bCs/>
                <w:szCs w:val="18"/>
                <w:lang w:eastAsia="en-AU"/>
              </w:rPr>
              <w:t xml:space="preserve">83,341,847 </w:t>
            </w:r>
          </w:p>
        </w:tc>
        <w:tc>
          <w:tcPr>
            <w:tcW w:w="215" w:type="dxa"/>
            <w:tcBorders>
              <w:top w:val="single" w:sz="4" w:space="0" w:color="auto"/>
              <w:left w:val="nil"/>
              <w:bottom w:val="double" w:sz="6" w:space="0" w:color="auto"/>
              <w:right w:val="nil"/>
            </w:tcBorders>
            <w:shd w:val="clear" w:color="auto" w:fill="auto"/>
            <w:noWrap/>
            <w:vAlign w:val="center"/>
            <w:hideMark/>
          </w:tcPr>
          <w:p w14:paraId="71934929" w14:textId="77777777" w:rsidR="00BC5219" w:rsidRPr="00F07C24" w:rsidRDefault="00BC5219" w:rsidP="00E83802">
            <w:pPr>
              <w:jc w:val="right"/>
              <w:outlineLvl w:val="0"/>
              <w:rPr>
                <w:rFonts w:ascii="Meta Pro" w:eastAsia="Times New Roman" w:hAnsi="Meta Pro"/>
                <w:b/>
                <w:bCs/>
                <w:szCs w:val="18"/>
                <w:lang w:eastAsia="en-AU"/>
              </w:rPr>
            </w:pPr>
            <w:r w:rsidRPr="00F07C24">
              <w:rPr>
                <w:rFonts w:ascii="Meta Pro" w:eastAsia="Times New Roman" w:hAnsi="Meta Pro"/>
                <w:b/>
                <w:bCs/>
                <w:szCs w:val="18"/>
                <w:lang w:eastAsia="en-AU"/>
              </w:rPr>
              <w:t> </w:t>
            </w:r>
          </w:p>
        </w:tc>
        <w:tc>
          <w:tcPr>
            <w:tcW w:w="1157" w:type="dxa"/>
            <w:tcBorders>
              <w:top w:val="single" w:sz="4" w:space="0" w:color="auto"/>
              <w:left w:val="nil"/>
              <w:bottom w:val="double" w:sz="6" w:space="0" w:color="auto"/>
              <w:right w:val="nil"/>
            </w:tcBorders>
            <w:shd w:val="clear" w:color="auto" w:fill="auto"/>
            <w:noWrap/>
            <w:vAlign w:val="center"/>
            <w:hideMark/>
          </w:tcPr>
          <w:p w14:paraId="3A6AA201" w14:textId="77777777" w:rsidR="00BC5219" w:rsidRPr="00F07C24" w:rsidRDefault="00BC5219" w:rsidP="00E83802">
            <w:pPr>
              <w:jc w:val="right"/>
              <w:outlineLvl w:val="0"/>
              <w:rPr>
                <w:rFonts w:ascii="Meta Pro" w:eastAsia="Times New Roman" w:hAnsi="Meta Pro"/>
                <w:b/>
                <w:bCs/>
                <w:szCs w:val="18"/>
                <w:lang w:eastAsia="en-AU"/>
              </w:rPr>
            </w:pPr>
            <w:r w:rsidRPr="00F07C24">
              <w:rPr>
                <w:rFonts w:ascii="Meta Pro" w:eastAsia="Times New Roman" w:hAnsi="Meta Pro"/>
                <w:b/>
                <w:bCs/>
                <w:szCs w:val="18"/>
                <w:lang w:eastAsia="en-AU"/>
              </w:rPr>
              <w:t xml:space="preserve">109,731,906 </w:t>
            </w:r>
          </w:p>
        </w:tc>
        <w:tc>
          <w:tcPr>
            <w:tcW w:w="215" w:type="dxa"/>
            <w:tcBorders>
              <w:top w:val="single" w:sz="4" w:space="0" w:color="auto"/>
              <w:left w:val="nil"/>
              <w:bottom w:val="double" w:sz="6" w:space="0" w:color="auto"/>
              <w:right w:val="nil"/>
            </w:tcBorders>
            <w:shd w:val="clear" w:color="auto" w:fill="auto"/>
            <w:noWrap/>
            <w:vAlign w:val="center"/>
            <w:hideMark/>
          </w:tcPr>
          <w:p w14:paraId="27D5E0CC" w14:textId="77777777" w:rsidR="00BC5219" w:rsidRPr="00F07C24" w:rsidRDefault="00BC5219" w:rsidP="00E83802">
            <w:pPr>
              <w:jc w:val="right"/>
              <w:outlineLvl w:val="0"/>
              <w:rPr>
                <w:rFonts w:ascii="Meta Pro" w:eastAsia="Times New Roman" w:hAnsi="Meta Pro"/>
                <w:b/>
                <w:bCs/>
                <w:szCs w:val="18"/>
                <w:lang w:eastAsia="en-AU"/>
              </w:rPr>
            </w:pPr>
            <w:r w:rsidRPr="00F07C24">
              <w:rPr>
                <w:rFonts w:ascii="Meta Pro" w:eastAsia="Times New Roman" w:hAnsi="Meta Pro"/>
                <w:b/>
                <w:bCs/>
                <w:szCs w:val="18"/>
                <w:lang w:eastAsia="en-AU"/>
              </w:rPr>
              <w:t> </w:t>
            </w:r>
          </w:p>
        </w:tc>
        <w:tc>
          <w:tcPr>
            <w:tcW w:w="1157" w:type="dxa"/>
            <w:tcBorders>
              <w:top w:val="single" w:sz="4" w:space="0" w:color="auto"/>
              <w:left w:val="nil"/>
              <w:bottom w:val="double" w:sz="6" w:space="0" w:color="auto"/>
              <w:right w:val="nil"/>
            </w:tcBorders>
            <w:shd w:val="clear" w:color="auto" w:fill="auto"/>
            <w:noWrap/>
            <w:vAlign w:val="center"/>
            <w:hideMark/>
          </w:tcPr>
          <w:p w14:paraId="531DC32E" w14:textId="77777777" w:rsidR="00BC5219" w:rsidRPr="00F07C24" w:rsidRDefault="00BC5219" w:rsidP="00E83802">
            <w:pPr>
              <w:jc w:val="right"/>
              <w:outlineLvl w:val="0"/>
              <w:rPr>
                <w:rFonts w:ascii="Meta Pro" w:eastAsia="Times New Roman" w:hAnsi="Meta Pro"/>
                <w:b/>
                <w:bCs/>
                <w:szCs w:val="18"/>
                <w:lang w:eastAsia="en-AU"/>
              </w:rPr>
            </w:pPr>
            <w:r w:rsidRPr="00F07C24">
              <w:rPr>
                <w:rFonts w:ascii="Meta Pro" w:eastAsia="Times New Roman" w:hAnsi="Meta Pro"/>
                <w:b/>
                <w:bCs/>
                <w:szCs w:val="18"/>
                <w:lang w:eastAsia="en-AU"/>
              </w:rPr>
              <w:t xml:space="preserve">26,390,059 </w:t>
            </w:r>
          </w:p>
        </w:tc>
      </w:tr>
    </w:tbl>
    <w:p w14:paraId="1AEAB076" w14:textId="77777777" w:rsidR="00BC5219" w:rsidRPr="008A2B8F" w:rsidRDefault="00BC5219" w:rsidP="00BC5219">
      <w:pPr>
        <w:spacing w:before="120" w:line="259" w:lineRule="auto"/>
        <w:rPr>
          <w:rFonts w:ascii="Meta Pro" w:eastAsia="Times New Roman" w:hAnsi="Meta Pro"/>
          <w:b/>
          <w:bCs/>
          <w:color w:val="000000"/>
          <w:szCs w:val="18"/>
          <w:lang w:eastAsia="en-AU"/>
        </w:rPr>
      </w:pPr>
      <w:r w:rsidRPr="008A2B8F">
        <w:rPr>
          <w:rFonts w:ascii="Meta Pro" w:eastAsia="Times New Roman" w:hAnsi="Meta Pro"/>
          <w:b/>
          <w:bCs/>
          <w:color w:val="000000"/>
          <w:szCs w:val="18"/>
          <w:lang w:eastAsia="en-AU"/>
        </w:rPr>
        <w:t xml:space="preserve">Explanation of major variances </w:t>
      </w:r>
    </w:p>
    <w:p w14:paraId="388067A0" w14:textId="77777777" w:rsidR="00BC5219" w:rsidRPr="008A2B8F" w:rsidRDefault="00BC5219" w:rsidP="00BC5219">
      <w:pPr>
        <w:spacing w:before="60" w:line="259" w:lineRule="auto"/>
        <w:rPr>
          <w:rFonts w:ascii="Meta Pro" w:eastAsia="Times New Roman" w:hAnsi="Meta Pro"/>
          <w:b/>
          <w:bCs/>
          <w:i/>
          <w:iCs/>
          <w:color w:val="000000"/>
          <w:szCs w:val="18"/>
          <w:lang w:eastAsia="en-AU"/>
        </w:rPr>
      </w:pPr>
      <w:bookmarkStart w:id="60" w:name="_Hlk142490531"/>
      <w:r w:rsidRPr="008A2B8F">
        <w:rPr>
          <w:rFonts w:ascii="Meta Pro" w:eastAsia="Times New Roman" w:hAnsi="Meta Pro"/>
          <w:b/>
          <w:bCs/>
          <w:i/>
          <w:iCs/>
          <w:color w:val="000000"/>
          <w:szCs w:val="18"/>
          <w:lang w:eastAsia="en-AU"/>
        </w:rPr>
        <w:t>Cash</w:t>
      </w:r>
    </w:p>
    <w:p w14:paraId="311426EA" w14:textId="77777777" w:rsidR="00BC5219" w:rsidRPr="008A2B8F" w:rsidRDefault="00BC5219" w:rsidP="00BC5219">
      <w:pPr>
        <w:rPr>
          <w:rFonts w:ascii="Meta Pro" w:eastAsia="Times New Roman" w:hAnsi="Meta Pro"/>
          <w:color w:val="000000"/>
          <w:szCs w:val="18"/>
          <w:lang w:eastAsia="en-AU"/>
        </w:rPr>
      </w:pPr>
      <w:r w:rsidRPr="008A2B8F">
        <w:rPr>
          <w:rStyle w:val="ui-provider"/>
        </w:rPr>
        <w:t>Variance of</w:t>
      </w:r>
      <w:r w:rsidRPr="008A2B8F">
        <w:rPr>
          <w:rStyle w:val="ui-provider"/>
          <w:color w:val="FF0000"/>
        </w:rPr>
        <w:t xml:space="preserve"> </w:t>
      </w:r>
      <w:r w:rsidRPr="008A2B8F">
        <w:rPr>
          <w:rStyle w:val="ui-provider"/>
        </w:rPr>
        <w:t xml:space="preserve">$581.594m reflects an increase in cash of $526.513m largely due to the acceleration of equity funding to align with capital program delivery and timing of planned expenditure. This is slightly offset by a lower than anticipated opening balance of $13.777m due to the timing of future planned transport operations and maintenance expenditure. Additionally, $68.858m </w:t>
      </w:r>
      <w:r>
        <w:rPr>
          <w:rStyle w:val="ui-provider"/>
        </w:rPr>
        <w:t xml:space="preserve">in </w:t>
      </w:r>
      <w:r w:rsidRPr="008A2B8F">
        <w:rPr>
          <w:rStyle w:val="ui-provider"/>
        </w:rPr>
        <w:t xml:space="preserve">cash </w:t>
      </w:r>
      <w:r>
        <w:rPr>
          <w:rStyle w:val="ui-provider"/>
        </w:rPr>
        <w:t xml:space="preserve">held </w:t>
      </w:r>
      <w:r w:rsidRPr="008A2B8F">
        <w:rPr>
          <w:rFonts w:ascii="Meta Pro" w:eastAsia="Times New Roman" w:hAnsi="Meta Pro"/>
          <w:szCs w:val="18"/>
          <w:lang w:eastAsia="en-AU"/>
        </w:rPr>
        <w:t xml:space="preserve">relating to QGCDG had not been allocated in the original Department of Transport and Main Roads budget due </w:t>
      </w:r>
      <w:r w:rsidRPr="008A2B8F">
        <w:rPr>
          <w:rFonts w:ascii="Meta Pro" w:eastAsia="Times New Roman" w:hAnsi="Meta Pro"/>
          <w:color w:val="000000"/>
          <w:szCs w:val="18"/>
          <w:lang w:eastAsia="en-AU"/>
        </w:rPr>
        <w:t xml:space="preserve">to budget development occurring prior to the 18 May 2023 machinery-of-government change. </w:t>
      </w:r>
    </w:p>
    <w:bookmarkEnd w:id="60"/>
    <w:p w14:paraId="6D25A4EA" w14:textId="77777777" w:rsidR="00BC5219" w:rsidRPr="008A2B8F" w:rsidRDefault="00BC5219" w:rsidP="00BC5219">
      <w:pPr>
        <w:spacing w:before="120" w:line="259" w:lineRule="auto"/>
        <w:rPr>
          <w:rFonts w:ascii="Meta Pro" w:eastAsia="Times New Roman" w:hAnsi="Meta Pro"/>
          <w:b/>
          <w:bCs/>
          <w:i/>
          <w:iCs/>
          <w:color w:val="000000" w:themeColor="text1"/>
          <w:szCs w:val="18"/>
          <w:lang w:eastAsia="en-AU"/>
        </w:rPr>
      </w:pPr>
      <w:r w:rsidRPr="008A2B8F">
        <w:rPr>
          <w:rFonts w:ascii="Meta Pro" w:eastAsia="Times New Roman" w:hAnsi="Meta Pro"/>
          <w:b/>
          <w:bCs/>
          <w:i/>
          <w:iCs/>
          <w:color w:val="000000" w:themeColor="text1"/>
          <w:szCs w:val="18"/>
          <w:lang w:eastAsia="en-AU"/>
        </w:rPr>
        <w:t>Receivables – current</w:t>
      </w:r>
    </w:p>
    <w:p w14:paraId="583490E7" w14:textId="77777777" w:rsidR="00BC5219" w:rsidRPr="008A2B8F" w:rsidRDefault="00BC5219" w:rsidP="00BC5219">
      <w:pPr>
        <w:rPr>
          <w:rFonts w:ascii="Meta Pro" w:eastAsia="Times New Roman" w:hAnsi="Meta Pro"/>
          <w:color w:val="000000"/>
          <w:szCs w:val="18"/>
          <w:lang w:eastAsia="en-AU"/>
        </w:rPr>
      </w:pPr>
      <w:r w:rsidRPr="008A2B8F">
        <w:rPr>
          <w:rFonts w:ascii="Meta Pro" w:eastAsia="Times New Roman" w:hAnsi="Meta Pro"/>
          <w:color w:val="000000" w:themeColor="text1"/>
          <w:szCs w:val="18"/>
          <w:lang w:eastAsia="en-AU"/>
        </w:rPr>
        <w:t>Variance of $</w:t>
      </w:r>
      <w:r w:rsidRPr="008A2B8F">
        <w:rPr>
          <w:rFonts w:ascii="Meta Pro" w:eastAsia="Times New Roman" w:hAnsi="Meta Pro"/>
          <w:szCs w:val="18"/>
          <w:lang w:eastAsia="en-AU"/>
        </w:rPr>
        <w:t xml:space="preserve">78.503m </w:t>
      </w:r>
      <w:r w:rsidRPr="008A2B8F">
        <w:rPr>
          <w:rFonts w:ascii="Meta Pro" w:eastAsia="Times New Roman" w:hAnsi="Meta Pro"/>
          <w:color w:val="000000" w:themeColor="text1"/>
          <w:szCs w:val="18"/>
          <w:lang w:eastAsia="en-AU"/>
        </w:rPr>
        <w:t>reflects</w:t>
      </w:r>
      <w:r>
        <w:rPr>
          <w:rFonts w:ascii="Meta Pro" w:eastAsia="Times New Roman" w:hAnsi="Meta Pro"/>
          <w:color w:val="000000" w:themeColor="text1"/>
          <w:szCs w:val="18"/>
          <w:lang w:eastAsia="en-AU"/>
        </w:rPr>
        <w:t xml:space="preserve"> an</w:t>
      </w:r>
      <w:r w:rsidRPr="008A2B8F">
        <w:rPr>
          <w:rFonts w:ascii="Meta Pro" w:eastAsia="Times New Roman" w:hAnsi="Meta Pro"/>
          <w:color w:val="000000" w:themeColor="text1"/>
          <w:szCs w:val="18"/>
          <w:lang w:eastAsia="en-AU"/>
        </w:rPr>
        <w:t xml:space="preserve"> accrual of $26.965m relating to grant revenue from the Queensland Reconstruction Authority for the rebuilding of transport infrastructure following natural disaster events and </w:t>
      </w:r>
      <w:r w:rsidRPr="008A2B8F">
        <w:rPr>
          <w:rStyle w:val="ui-provider"/>
        </w:rPr>
        <w:t xml:space="preserve">$51.538m </w:t>
      </w:r>
      <w:r>
        <w:rPr>
          <w:rStyle w:val="ui-provider"/>
        </w:rPr>
        <w:t xml:space="preserve">of </w:t>
      </w:r>
      <w:r w:rsidRPr="008A2B8F">
        <w:rPr>
          <w:rStyle w:val="ui-provider"/>
        </w:rPr>
        <w:t xml:space="preserve">receivables relating to </w:t>
      </w:r>
      <w:r w:rsidRPr="008A2B8F">
        <w:rPr>
          <w:rFonts w:ascii="Meta Pro" w:eastAsia="Times New Roman" w:hAnsi="Meta Pro"/>
          <w:color w:val="000000"/>
          <w:szCs w:val="18"/>
          <w:lang w:eastAsia="en-AU"/>
        </w:rPr>
        <w:t xml:space="preserve">QGCDG which had not been allocated in the original Department of Transport and Main Roads budget due to budget development occurring prior to the 18 May 2023 machinery-of-government change. </w:t>
      </w:r>
    </w:p>
    <w:p w14:paraId="73A7DD55" w14:textId="77777777" w:rsidR="00BC5219" w:rsidRPr="008A2B8F" w:rsidRDefault="00BC5219" w:rsidP="00BC5219">
      <w:pPr>
        <w:pBdr>
          <w:bottom w:val="single" w:sz="4" w:space="1" w:color="auto"/>
        </w:pBdr>
        <w:spacing w:before="120"/>
        <w:rPr>
          <w:rFonts w:ascii="Meta Pro" w:eastAsia="Times New Roman" w:hAnsi="Meta Pro"/>
          <w:b/>
          <w:bCs/>
          <w:i/>
          <w:iCs/>
          <w:color w:val="000000" w:themeColor="text1"/>
          <w:szCs w:val="18"/>
          <w:lang w:eastAsia="en-AU"/>
        </w:rPr>
      </w:pPr>
      <w:r w:rsidRPr="008A2B8F">
        <w:rPr>
          <w:rFonts w:ascii="Meta Pro" w:eastAsia="Times New Roman" w:hAnsi="Meta Pro"/>
          <w:b/>
          <w:bCs/>
          <w:i/>
          <w:iCs/>
          <w:color w:val="000000" w:themeColor="text1"/>
          <w:szCs w:val="18"/>
          <w:lang w:eastAsia="en-AU"/>
        </w:rPr>
        <w:lastRenderedPageBreak/>
        <w:t>Intangible assets</w:t>
      </w:r>
    </w:p>
    <w:p w14:paraId="09E309E8" w14:textId="77777777" w:rsidR="00BC5219" w:rsidRPr="008A2B8F" w:rsidRDefault="00BC5219" w:rsidP="00BC5219">
      <w:pPr>
        <w:pBdr>
          <w:bottom w:val="single" w:sz="4" w:space="1" w:color="auto"/>
        </w:pBdr>
        <w:rPr>
          <w:rFonts w:ascii="Meta Pro" w:eastAsia="Times New Roman" w:hAnsi="Meta Pro"/>
          <w:color w:val="000000" w:themeColor="text1"/>
          <w:szCs w:val="18"/>
          <w:lang w:eastAsia="en-AU"/>
        </w:rPr>
      </w:pPr>
      <w:r w:rsidRPr="008A2B8F">
        <w:rPr>
          <w:rFonts w:ascii="Meta Pro" w:eastAsia="Times New Roman" w:hAnsi="Meta Pro"/>
          <w:color w:val="000000" w:themeColor="text1"/>
          <w:szCs w:val="18"/>
          <w:lang w:eastAsia="en-AU"/>
        </w:rPr>
        <w:t>The variance of</w:t>
      </w:r>
      <w:r w:rsidRPr="008A2B8F">
        <w:rPr>
          <w:rFonts w:ascii="Meta Pro" w:eastAsia="Times New Roman" w:hAnsi="Meta Pro"/>
          <w:color w:val="FF0000"/>
          <w:szCs w:val="18"/>
          <w:lang w:eastAsia="en-AU"/>
        </w:rPr>
        <w:t xml:space="preserve"> </w:t>
      </w:r>
      <w:r w:rsidRPr="008A2B8F">
        <w:rPr>
          <w:rFonts w:ascii="Meta Pro" w:eastAsia="Times New Roman" w:hAnsi="Meta Pro"/>
          <w:color w:val="000000" w:themeColor="text1"/>
          <w:szCs w:val="18"/>
          <w:lang w:eastAsia="en-AU"/>
        </w:rPr>
        <w:t xml:space="preserve">($143.257m) primarily reflects a reclassification of expenditure associated with departmental cloud computing arrangements due to a change in accounting policy in 2022 and </w:t>
      </w:r>
      <w:r w:rsidRPr="008A2B8F">
        <w:rPr>
          <w:rStyle w:val="ui-provider"/>
        </w:rPr>
        <w:t xml:space="preserve">$8.231m </w:t>
      </w:r>
      <w:r w:rsidRPr="008A2B8F">
        <w:rPr>
          <w:rFonts w:ascii="Meta Pro" w:eastAsia="Times New Roman" w:hAnsi="Meta Pro"/>
          <w:color w:val="000000"/>
          <w:szCs w:val="18"/>
          <w:lang w:eastAsia="en-AU"/>
        </w:rPr>
        <w:t xml:space="preserve">relating to intangible assets transferred </w:t>
      </w:r>
      <w:r>
        <w:rPr>
          <w:rFonts w:ascii="Meta Pro" w:eastAsia="Times New Roman" w:hAnsi="Meta Pro"/>
          <w:color w:val="000000"/>
          <w:szCs w:val="18"/>
          <w:lang w:eastAsia="en-AU"/>
        </w:rPr>
        <w:t xml:space="preserve">in due to the 18 May 2023 </w:t>
      </w:r>
      <w:r w:rsidRPr="008A2B8F">
        <w:rPr>
          <w:rFonts w:ascii="Meta Pro" w:eastAsia="Times New Roman" w:hAnsi="Meta Pro"/>
          <w:color w:val="000000"/>
          <w:szCs w:val="18"/>
          <w:lang w:eastAsia="en-AU"/>
        </w:rPr>
        <w:t>machinery-of-government change.</w:t>
      </w:r>
    </w:p>
    <w:p w14:paraId="65FFBEDA" w14:textId="77777777" w:rsidR="00BC5219" w:rsidRPr="00DA4519" w:rsidRDefault="00BC5219" w:rsidP="00BC5219">
      <w:pPr>
        <w:pBdr>
          <w:bottom w:val="single" w:sz="4" w:space="1" w:color="auto"/>
        </w:pBdr>
        <w:spacing w:before="120"/>
        <w:rPr>
          <w:rFonts w:ascii="Meta Pro" w:eastAsia="Times New Roman" w:hAnsi="Meta Pro"/>
          <w:b/>
          <w:bCs/>
          <w:i/>
          <w:iCs/>
          <w:color w:val="000000" w:themeColor="text1"/>
          <w:szCs w:val="18"/>
          <w:lang w:eastAsia="en-AU"/>
        </w:rPr>
      </w:pPr>
      <w:r w:rsidRPr="00DA4519">
        <w:rPr>
          <w:rFonts w:ascii="Meta Pro" w:eastAsia="Times New Roman" w:hAnsi="Meta Pro"/>
          <w:b/>
          <w:bCs/>
          <w:i/>
          <w:iCs/>
          <w:color w:val="000000" w:themeColor="text1"/>
          <w:szCs w:val="18"/>
          <w:lang w:eastAsia="en-AU"/>
        </w:rPr>
        <w:t>Property, plant and equipment</w:t>
      </w:r>
    </w:p>
    <w:p w14:paraId="1F49AC88" w14:textId="77777777" w:rsidR="00BC5219" w:rsidRPr="008A2B8F" w:rsidRDefault="00BC5219" w:rsidP="00BC5219">
      <w:pPr>
        <w:pBdr>
          <w:bottom w:val="single" w:sz="4" w:space="1" w:color="auto"/>
        </w:pBdr>
        <w:rPr>
          <w:rFonts w:ascii="Meta Pro" w:eastAsia="Times New Roman" w:hAnsi="Meta Pro"/>
          <w:i/>
          <w:iCs/>
          <w:color w:val="000000" w:themeColor="text1"/>
          <w:szCs w:val="18"/>
          <w:lang w:eastAsia="en-AU"/>
        </w:rPr>
      </w:pPr>
      <w:r w:rsidRPr="00DA4519">
        <w:rPr>
          <w:rFonts w:ascii="Meta Pro" w:eastAsia="Times New Roman" w:hAnsi="Meta Pro"/>
          <w:color w:val="000000" w:themeColor="text1"/>
          <w:szCs w:val="18"/>
          <w:lang w:eastAsia="en-AU"/>
        </w:rPr>
        <w:t xml:space="preserve">The variance of </w:t>
      </w:r>
      <w:r w:rsidRPr="00DA4519">
        <w:rPr>
          <w:rFonts w:ascii="Meta Pro" w:eastAsia="Times New Roman" w:hAnsi="Meta Pro"/>
          <w:szCs w:val="18"/>
          <w:lang w:eastAsia="en-AU"/>
        </w:rPr>
        <w:t xml:space="preserve">$23,758m is </w:t>
      </w:r>
      <w:r w:rsidRPr="00DA4519">
        <w:rPr>
          <w:rFonts w:ascii="Meta Pro" w:eastAsia="Times New Roman" w:hAnsi="Meta Pro"/>
          <w:color w:val="000000" w:themeColor="text1"/>
          <w:szCs w:val="18"/>
          <w:lang w:eastAsia="en-AU"/>
        </w:rPr>
        <w:t>mainly</w:t>
      </w:r>
      <w:r w:rsidRPr="008A2B8F">
        <w:rPr>
          <w:rFonts w:ascii="Meta Pro" w:eastAsia="Times New Roman" w:hAnsi="Meta Pro"/>
          <w:color w:val="000000" w:themeColor="text1"/>
          <w:szCs w:val="18"/>
          <w:lang w:eastAsia="en-AU"/>
        </w:rPr>
        <w:t xml:space="preserve"> due to the timing differences to obtain reliable measures for road infrastructure valuations to enable budget allocations. Actual asset revaluation increments were not able to be determined at the time of budget development</w:t>
      </w:r>
      <w:r w:rsidRPr="008A2B8F">
        <w:rPr>
          <w:rFonts w:ascii="Meta Pro" w:eastAsia="Times New Roman" w:hAnsi="Meta Pro"/>
          <w:i/>
          <w:iCs/>
          <w:color w:val="000000" w:themeColor="text1"/>
          <w:szCs w:val="18"/>
          <w:lang w:eastAsia="en-AU"/>
        </w:rPr>
        <w:t>.</w:t>
      </w:r>
    </w:p>
    <w:p w14:paraId="686C9021" w14:textId="77777777" w:rsidR="00BC5219" w:rsidRPr="008A2B8F" w:rsidRDefault="00BC5219" w:rsidP="00BC5219">
      <w:pPr>
        <w:pBdr>
          <w:bottom w:val="single" w:sz="4" w:space="1" w:color="auto"/>
        </w:pBdr>
        <w:spacing w:before="120"/>
        <w:rPr>
          <w:rFonts w:ascii="Meta Pro" w:eastAsia="Times New Roman" w:hAnsi="Meta Pro"/>
          <w:b/>
          <w:bCs/>
          <w:i/>
          <w:iCs/>
          <w:color w:val="000000" w:themeColor="text1"/>
          <w:szCs w:val="18"/>
          <w:lang w:eastAsia="en-AU"/>
        </w:rPr>
      </w:pPr>
      <w:r w:rsidRPr="008A2B8F">
        <w:rPr>
          <w:rFonts w:ascii="Meta Pro" w:eastAsia="Times New Roman" w:hAnsi="Meta Pro"/>
          <w:b/>
          <w:bCs/>
          <w:i/>
          <w:iCs/>
          <w:color w:val="000000" w:themeColor="text1"/>
          <w:szCs w:val="18"/>
          <w:lang w:eastAsia="en-AU"/>
        </w:rPr>
        <w:t>Service concession assets</w:t>
      </w:r>
    </w:p>
    <w:p w14:paraId="27E24112" w14:textId="77777777" w:rsidR="00BC5219" w:rsidRDefault="00BC5219" w:rsidP="00BC5219">
      <w:pPr>
        <w:pBdr>
          <w:bottom w:val="single" w:sz="4" w:space="1" w:color="auto"/>
        </w:pBdr>
        <w:rPr>
          <w:rFonts w:ascii="Meta Pro" w:eastAsia="Times New Roman" w:hAnsi="Meta Pro"/>
          <w:color w:val="000000" w:themeColor="text1"/>
          <w:szCs w:val="18"/>
          <w:lang w:eastAsia="en-AU"/>
        </w:rPr>
      </w:pPr>
      <w:r w:rsidRPr="008A2B8F">
        <w:rPr>
          <w:rFonts w:ascii="Meta Pro" w:eastAsia="Times New Roman" w:hAnsi="Meta Pro"/>
          <w:color w:val="000000" w:themeColor="text1"/>
          <w:szCs w:val="18"/>
          <w:lang w:eastAsia="en-AU"/>
        </w:rPr>
        <w:t>The variance of $2,573m is mainly due to the timing differences to obtain reliable measures for service concession asset valuations to enable budget allocations. Actual asset revaluation increments were not able to be determined at the time of budget development.</w:t>
      </w:r>
    </w:p>
    <w:p w14:paraId="2DE7056A" w14:textId="77777777" w:rsidR="00BC5219" w:rsidRPr="00943C1B" w:rsidRDefault="00BC5219" w:rsidP="00BC5219">
      <w:pPr>
        <w:pBdr>
          <w:bottom w:val="single" w:sz="4" w:space="1" w:color="auto"/>
        </w:pBdr>
        <w:rPr>
          <w:rFonts w:ascii="Meta Pro" w:eastAsia="Times New Roman" w:hAnsi="Meta Pro"/>
          <w:b/>
          <w:bCs/>
          <w:i/>
          <w:iCs/>
          <w:color w:val="000000" w:themeColor="text1"/>
          <w:szCs w:val="18"/>
          <w:lang w:eastAsia="en-AU"/>
        </w:rPr>
      </w:pPr>
    </w:p>
    <w:p w14:paraId="12C77DFD" w14:textId="77777777" w:rsidR="00BC5219" w:rsidRDefault="00BC5219" w:rsidP="00BC5219">
      <w:pPr>
        <w:pBdr>
          <w:bottom w:val="single" w:sz="4" w:space="1" w:color="auto"/>
        </w:pBdr>
        <w:rPr>
          <w:rFonts w:ascii="Meta Pro" w:eastAsia="Times New Roman" w:hAnsi="Meta Pro"/>
          <w:b/>
          <w:bCs/>
          <w:i/>
          <w:iCs/>
          <w:color w:val="000000" w:themeColor="text1"/>
          <w:szCs w:val="18"/>
          <w:lang w:eastAsia="en-AU"/>
        </w:rPr>
      </w:pPr>
      <w:r w:rsidRPr="00943C1B">
        <w:rPr>
          <w:rFonts w:ascii="Meta Pro" w:eastAsia="Times New Roman" w:hAnsi="Meta Pro"/>
          <w:b/>
          <w:bCs/>
          <w:i/>
          <w:iCs/>
          <w:color w:val="000000" w:themeColor="text1"/>
          <w:szCs w:val="18"/>
          <w:lang w:eastAsia="en-AU"/>
        </w:rPr>
        <w:t>Right-of-use assets</w:t>
      </w:r>
    </w:p>
    <w:p w14:paraId="0A391B85" w14:textId="77777777" w:rsidR="00BC5219" w:rsidRPr="008A2B8F" w:rsidRDefault="00BC5219" w:rsidP="00BC5219">
      <w:pPr>
        <w:pBdr>
          <w:bottom w:val="single" w:sz="4" w:space="1" w:color="auto"/>
        </w:pBdr>
        <w:rPr>
          <w:rFonts w:ascii="Meta Pro" w:eastAsia="Times New Roman" w:hAnsi="Meta Pro"/>
          <w:color w:val="000000" w:themeColor="text1"/>
          <w:szCs w:val="18"/>
          <w:lang w:eastAsia="en-AU"/>
        </w:rPr>
      </w:pPr>
      <w:r>
        <w:rPr>
          <w:rFonts w:ascii="Meta Pro" w:eastAsia="Times New Roman" w:hAnsi="Meta Pro"/>
          <w:color w:val="000000" w:themeColor="text1"/>
          <w:szCs w:val="18"/>
          <w:lang w:eastAsia="en-AU"/>
        </w:rPr>
        <w:t xml:space="preserve">The variance of </w:t>
      </w:r>
      <w:r w:rsidRPr="00943C1B">
        <w:rPr>
          <w:rFonts w:ascii="Meta Pro" w:eastAsia="Times New Roman" w:hAnsi="Meta Pro"/>
          <w:color w:val="000000" w:themeColor="text1"/>
          <w:szCs w:val="18"/>
          <w:lang w:eastAsia="en-AU"/>
        </w:rPr>
        <w:t>$98.867m</w:t>
      </w:r>
      <w:r>
        <w:rPr>
          <w:rFonts w:ascii="Meta Pro" w:eastAsia="Times New Roman" w:hAnsi="Meta Pro"/>
          <w:color w:val="000000" w:themeColor="text1"/>
          <w:szCs w:val="18"/>
          <w:lang w:eastAsia="en-AU"/>
        </w:rPr>
        <w:t xml:space="preserve"> relates</w:t>
      </w:r>
      <w:r w:rsidRPr="008A2B8F">
        <w:rPr>
          <w:rFonts w:ascii="Meta Pro" w:eastAsia="Times New Roman" w:hAnsi="Meta Pro"/>
          <w:color w:val="000000" w:themeColor="text1"/>
          <w:szCs w:val="18"/>
          <w:lang w:eastAsia="en-AU"/>
        </w:rPr>
        <w:t xml:space="preserve"> to QGCDG </w:t>
      </w:r>
      <w:r>
        <w:rPr>
          <w:rFonts w:ascii="Meta Pro" w:eastAsia="Times New Roman" w:hAnsi="Meta Pro"/>
          <w:color w:val="000000" w:themeColor="text1"/>
          <w:szCs w:val="18"/>
          <w:lang w:eastAsia="en-AU"/>
        </w:rPr>
        <w:t xml:space="preserve">right-of-use assets </w:t>
      </w:r>
      <w:r w:rsidRPr="008A2B8F">
        <w:rPr>
          <w:rFonts w:ascii="Meta Pro" w:eastAsia="Times New Roman" w:hAnsi="Meta Pro"/>
          <w:color w:val="000000" w:themeColor="text1"/>
          <w:szCs w:val="18"/>
          <w:lang w:eastAsia="en-AU"/>
        </w:rPr>
        <w:t>which had not been allocated in the original Department of Transport and Main Roads budget due to budget development occurring prior to the 18 May 2023 machinery-of-government change.</w:t>
      </w:r>
    </w:p>
    <w:p w14:paraId="4BE1712B" w14:textId="77777777" w:rsidR="00BC5219" w:rsidRPr="008A2B8F" w:rsidRDefault="00BC5219" w:rsidP="00BC5219">
      <w:pPr>
        <w:pBdr>
          <w:bottom w:val="single" w:sz="4" w:space="1" w:color="auto"/>
        </w:pBdr>
        <w:spacing w:before="120"/>
        <w:rPr>
          <w:rFonts w:ascii="Meta Pro" w:eastAsia="Times New Roman" w:hAnsi="Meta Pro"/>
          <w:b/>
          <w:bCs/>
          <w:i/>
          <w:iCs/>
          <w:color w:val="000000" w:themeColor="text1"/>
          <w:szCs w:val="18"/>
          <w:lang w:eastAsia="en-AU"/>
        </w:rPr>
      </w:pPr>
      <w:r w:rsidRPr="008A2B8F">
        <w:rPr>
          <w:rFonts w:ascii="Meta Pro" w:eastAsia="Times New Roman" w:hAnsi="Meta Pro"/>
          <w:b/>
          <w:bCs/>
          <w:i/>
          <w:iCs/>
          <w:color w:val="000000" w:themeColor="text1"/>
          <w:szCs w:val="18"/>
          <w:lang w:eastAsia="en-AU"/>
        </w:rPr>
        <w:t>Investment in subsidiary</w:t>
      </w:r>
    </w:p>
    <w:p w14:paraId="22BF4CC6" w14:textId="77777777" w:rsidR="00BC5219" w:rsidRPr="008A2B8F" w:rsidRDefault="00BC5219" w:rsidP="00BC5219">
      <w:pPr>
        <w:pBdr>
          <w:bottom w:val="single" w:sz="4" w:space="1" w:color="auto"/>
        </w:pBdr>
        <w:rPr>
          <w:rFonts w:ascii="Meta Pro" w:eastAsia="Times New Roman" w:hAnsi="Meta Pro"/>
          <w:color w:val="000000" w:themeColor="text1"/>
          <w:szCs w:val="18"/>
          <w:lang w:eastAsia="en-AU"/>
        </w:rPr>
      </w:pPr>
      <w:r w:rsidRPr="008A2B8F">
        <w:rPr>
          <w:rFonts w:ascii="Meta Pro" w:eastAsia="Times New Roman" w:hAnsi="Meta Pro"/>
          <w:color w:val="000000" w:themeColor="text1"/>
          <w:szCs w:val="18"/>
          <w:lang w:eastAsia="en-AU"/>
        </w:rPr>
        <w:t>Variance is due to</w:t>
      </w:r>
      <w:r w:rsidRPr="008A2B8F">
        <w:rPr>
          <w:rFonts w:ascii="Meta Pro" w:hAnsi="Meta Pro"/>
        </w:rPr>
        <w:t xml:space="preserve"> </w:t>
      </w:r>
      <w:r w:rsidRPr="008A2B8F">
        <w:rPr>
          <w:rFonts w:ascii="Meta Pro" w:hAnsi="Meta Pro"/>
          <w:szCs w:val="18"/>
        </w:rPr>
        <w:t>a</w:t>
      </w:r>
      <w:r w:rsidRPr="008A2B8F">
        <w:rPr>
          <w:rFonts w:ascii="Meta Pro" w:eastAsia="Times New Roman" w:hAnsi="Meta Pro"/>
          <w:color w:val="000000" w:themeColor="text1"/>
          <w:szCs w:val="18"/>
          <w:lang w:eastAsia="en-AU"/>
        </w:rPr>
        <w:t xml:space="preserve">n equity injection of $10.0m for Transmax’s STREAMS Next Generation Mobility Platform.  </w:t>
      </w:r>
    </w:p>
    <w:p w14:paraId="1FF10CB7" w14:textId="77777777" w:rsidR="00BC5219" w:rsidRDefault="00BC5219" w:rsidP="00BC5219">
      <w:pPr>
        <w:pBdr>
          <w:bottom w:val="single" w:sz="4" w:space="1" w:color="auto"/>
        </w:pBdr>
        <w:spacing w:before="120"/>
        <w:rPr>
          <w:rFonts w:ascii="Meta Pro" w:eastAsia="Times New Roman" w:hAnsi="Meta Pro"/>
          <w:b/>
          <w:bCs/>
          <w:i/>
          <w:iCs/>
          <w:color w:val="000000" w:themeColor="text1"/>
          <w:szCs w:val="18"/>
          <w:lang w:eastAsia="en-AU"/>
        </w:rPr>
      </w:pPr>
    </w:p>
    <w:p w14:paraId="7D819893" w14:textId="77777777" w:rsidR="00BC5219" w:rsidRDefault="00BC5219" w:rsidP="00BC5219">
      <w:pPr>
        <w:pBdr>
          <w:bottom w:val="single" w:sz="4" w:space="1" w:color="auto"/>
        </w:pBdr>
        <w:rPr>
          <w:rFonts w:ascii="Meta Pro" w:eastAsia="Times New Roman" w:hAnsi="Meta Pro"/>
          <w:i/>
          <w:iCs/>
          <w:color w:val="000000" w:themeColor="text1"/>
          <w:lang w:eastAsia="en-AU"/>
        </w:rPr>
      </w:pPr>
    </w:p>
    <w:p w14:paraId="6FC74645"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r w:rsidRPr="008A2B8F">
        <w:rPr>
          <w:rFonts w:ascii="Meta Pro" w:eastAsia="Times New Roman" w:hAnsi="Meta Pro"/>
          <w:i/>
          <w:iCs/>
          <w:color w:val="000000" w:themeColor="text1"/>
          <w:lang w:eastAsia="en-AU"/>
        </w:rPr>
        <w:t>Department of Transport and Main Roads</w:t>
      </w:r>
    </w:p>
    <w:p w14:paraId="4ADFC378"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Notes to the financial statements 2022–23 (continued)</w:t>
      </w:r>
    </w:p>
    <w:p w14:paraId="055ABCEC" w14:textId="77777777" w:rsidR="00BC5219" w:rsidRDefault="00BC5219" w:rsidP="00BC5219">
      <w:pPr>
        <w:pStyle w:val="BodyText"/>
        <w:rPr>
          <w:rFonts w:ascii="Meta Pro" w:eastAsia="Times New Roman" w:hAnsi="Meta Pro"/>
          <w:b/>
          <w:bCs/>
          <w:color w:val="000000"/>
          <w:lang w:eastAsia="en-AU"/>
        </w:rPr>
      </w:pPr>
    </w:p>
    <w:p w14:paraId="050E538C" w14:textId="77777777" w:rsidR="00BC5219" w:rsidRDefault="00BC5219" w:rsidP="00BC5219">
      <w:pPr>
        <w:pStyle w:val="BodyText"/>
        <w:rPr>
          <w:rFonts w:ascii="Meta Pro" w:eastAsia="Times New Roman" w:hAnsi="Meta Pro"/>
          <w:b/>
          <w:bCs/>
          <w:color w:val="000000"/>
          <w:lang w:eastAsia="en-AU"/>
        </w:rPr>
      </w:pPr>
      <w:r w:rsidRPr="008A2B8F">
        <w:rPr>
          <w:rFonts w:ascii="Meta Pro" w:eastAsia="Times New Roman" w:hAnsi="Meta Pro"/>
          <w:b/>
          <w:bCs/>
          <w:color w:val="000000"/>
          <w:lang w:eastAsia="en-AU"/>
        </w:rPr>
        <w:t>30     BUDGETARY REPORTING (continued)</w:t>
      </w:r>
    </w:p>
    <w:p w14:paraId="11A7E2FA" w14:textId="77777777" w:rsidR="00BC5219" w:rsidRPr="008A2B8F" w:rsidRDefault="00BC5219" w:rsidP="00BC5219">
      <w:pPr>
        <w:spacing w:before="60" w:after="60" w:line="259" w:lineRule="auto"/>
        <w:rPr>
          <w:rFonts w:ascii="Meta Pro" w:eastAsia="Times New Roman" w:hAnsi="Meta Pro"/>
          <w:b/>
          <w:bCs/>
          <w:color w:val="000000"/>
          <w:szCs w:val="18"/>
          <w:lang w:eastAsia="en-AU"/>
        </w:rPr>
      </w:pPr>
      <w:r w:rsidRPr="008A2B8F">
        <w:rPr>
          <w:rFonts w:ascii="Meta Pro" w:eastAsia="Times New Roman" w:hAnsi="Meta Pro"/>
          <w:b/>
          <w:bCs/>
          <w:color w:val="000000"/>
          <w:szCs w:val="18"/>
          <w:lang w:eastAsia="en-AU"/>
        </w:rPr>
        <w:t>STATEMENT OF FINANCIAL POSITION (continued)</w:t>
      </w:r>
    </w:p>
    <w:p w14:paraId="70BB3E60" w14:textId="77777777" w:rsidR="00BC5219" w:rsidRPr="00FC7CC9" w:rsidRDefault="00BC5219" w:rsidP="00BC5219">
      <w:pPr>
        <w:spacing w:before="60" w:line="259" w:lineRule="auto"/>
        <w:rPr>
          <w:rFonts w:ascii="Meta Pro" w:eastAsia="Times New Roman" w:hAnsi="Meta Pro"/>
          <w:b/>
          <w:bCs/>
          <w:color w:val="000000"/>
          <w:szCs w:val="18"/>
          <w:lang w:eastAsia="en-AU"/>
        </w:rPr>
      </w:pPr>
      <w:r w:rsidRPr="008A2B8F">
        <w:rPr>
          <w:rFonts w:ascii="Meta Pro" w:eastAsia="Times New Roman" w:hAnsi="Meta Pro"/>
          <w:b/>
          <w:bCs/>
          <w:color w:val="000000"/>
          <w:szCs w:val="18"/>
          <w:lang w:eastAsia="en-AU"/>
        </w:rPr>
        <w:t xml:space="preserve">Explanation of major variances </w:t>
      </w:r>
      <w:r>
        <w:rPr>
          <w:rFonts w:ascii="Meta Pro" w:eastAsia="Times New Roman" w:hAnsi="Meta Pro"/>
          <w:b/>
          <w:bCs/>
          <w:color w:val="000000"/>
          <w:szCs w:val="18"/>
          <w:lang w:eastAsia="en-AU"/>
        </w:rPr>
        <w:t>(continued)</w:t>
      </w:r>
    </w:p>
    <w:p w14:paraId="5A54D37F" w14:textId="77777777" w:rsidR="00BC5219" w:rsidRPr="00DA4519" w:rsidRDefault="00BC5219" w:rsidP="00BC5219">
      <w:pPr>
        <w:pStyle w:val="BodyText"/>
        <w:rPr>
          <w:rFonts w:ascii="Meta Pro" w:eastAsia="Times New Roman" w:hAnsi="Meta Pro"/>
          <w:b/>
          <w:bCs/>
          <w:i/>
          <w:iCs/>
          <w:color w:val="000000"/>
          <w:szCs w:val="18"/>
          <w:lang w:eastAsia="en-AU"/>
        </w:rPr>
      </w:pPr>
      <w:r w:rsidRPr="00DA4519">
        <w:rPr>
          <w:rFonts w:ascii="Meta Pro" w:eastAsia="Times New Roman" w:hAnsi="Meta Pro"/>
          <w:b/>
          <w:bCs/>
          <w:i/>
          <w:iCs/>
          <w:color w:val="000000"/>
          <w:szCs w:val="18"/>
          <w:lang w:eastAsia="en-AU"/>
        </w:rPr>
        <w:t>Payables</w:t>
      </w:r>
    </w:p>
    <w:p w14:paraId="03429B43" w14:textId="77777777" w:rsidR="00BC5219" w:rsidRPr="0038582F" w:rsidRDefault="00BC5219" w:rsidP="00BC5219">
      <w:pPr>
        <w:pStyle w:val="BodyText"/>
        <w:spacing w:line="240" w:lineRule="auto"/>
        <w:rPr>
          <w:rFonts w:ascii="Meta Pro" w:eastAsia="Times New Roman" w:hAnsi="Meta Pro"/>
          <w:color w:val="000000"/>
          <w:szCs w:val="18"/>
          <w:lang w:eastAsia="en-AU"/>
        </w:rPr>
      </w:pPr>
      <w:r w:rsidRPr="00DA4519">
        <w:rPr>
          <w:rFonts w:ascii="Meta Pro" w:eastAsia="Times New Roman" w:hAnsi="Meta Pro"/>
          <w:color w:val="000000"/>
          <w:szCs w:val="18"/>
          <w:lang w:eastAsia="en-AU"/>
        </w:rPr>
        <w:t>Variance of $247.608m is primarily due to higher than anticipated capital program delivery</w:t>
      </w:r>
      <w:r>
        <w:rPr>
          <w:rFonts w:ascii="Meta Pro" w:eastAsia="Times New Roman" w:hAnsi="Meta Pro"/>
          <w:color w:val="000000"/>
          <w:szCs w:val="18"/>
          <w:lang w:eastAsia="en-AU"/>
        </w:rPr>
        <w:t>,</w:t>
      </w:r>
      <w:r w:rsidRPr="003E0903">
        <w:rPr>
          <w:rFonts w:ascii="Meta Pro" w:eastAsia="Times New Roman" w:hAnsi="Meta Pro"/>
          <w:color w:val="000000"/>
          <w:szCs w:val="18"/>
          <w:lang w:eastAsia="en-AU"/>
        </w:rPr>
        <w:t xml:space="preserve"> </w:t>
      </w:r>
      <w:r w:rsidRPr="00DA4519">
        <w:rPr>
          <w:rFonts w:ascii="Meta Pro" w:eastAsia="Times New Roman" w:hAnsi="Meta Pro"/>
          <w:color w:val="000000"/>
          <w:szCs w:val="18"/>
          <w:lang w:eastAsia="en-AU"/>
        </w:rPr>
        <w:t>$96m relat</w:t>
      </w:r>
      <w:r>
        <w:rPr>
          <w:rFonts w:ascii="Meta Pro" w:eastAsia="Times New Roman" w:hAnsi="Meta Pro"/>
          <w:color w:val="000000"/>
          <w:szCs w:val="18"/>
          <w:lang w:eastAsia="en-AU"/>
        </w:rPr>
        <w:t>ing</w:t>
      </w:r>
      <w:r w:rsidRPr="00DA4519">
        <w:rPr>
          <w:rFonts w:ascii="Meta Pro" w:eastAsia="Times New Roman" w:hAnsi="Meta Pro"/>
          <w:color w:val="000000"/>
          <w:szCs w:val="18"/>
          <w:lang w:eastAsia="en-AU"/>
        </w:rPr>
        <w:t xml:space="preserve"> to the Queensland Train Manufacturing Program mob</w:t>
      </w:r>
      <w:r>
        <w:rPr>
          <w:rFonts w:ascii="Meta Pro" w:eastAsia="Times New Roman" w:hAnsi="Meta Pro"/>
          <w:color w:val="000000"/>
          <w:szCs w:val="18"/>
          <w:lang w:eastAsia="en-AU"/>
        </w:rPr>
        <w:t>i</w:t>
      </w:r>
      <w:r w:rsidRPr="00DA4519">
        <w:rPr>
          <w:rFonts w:ascii="Meta Pro" w:eastAsia="Times New Roman" w:hAnsi="Meta Pro"/>
          <w:color w:val="000000"/>
          <w:szCs w:val="18"/>
          <w:lang w:eastAsia="en-AU"/>
        </w:rPr>
        <w:t xml:space="preserve">lisation </w:t>
      </w:r>
      <w:r>
        <w:rPr>
          <w:rFonts w:ascii="Meta Pro" w:eastAsia="Times New Roman" w:hAnsi="Meta Pro"/>
          <w:color w:val="000000"/>
          <w:szCs w:val="18"/>
          <w:lang w:eastAsia="en-AU"/>
        </w:rPr>
        <w:t>milestone</w:t>
      </w:r>
      <w:r w:rsidRPr="00DA4519">
        <w:rPr>
          <w:rFonts w:ascii="Meta Pro" w:eastAsia="Times New Roman" w:hAnsi="Meta Pro"/>
          <w:color w:val="000000"/>
          <w:szCs w:val="18"/>
          <w:lang w:eastAsia="en-AU"/>
        </w:rPr>
        <w:t xml:space="preserve"> and $38.807m of payables relating to QGCDG which had not been allocated in the original Department of Transport and Main Roads budget due to budget development occurring prior to the 18 May 2023 machinery-of-government change.</w:t>
      </w:r>
    </w:p>
    <w:p w14:paraId="2D4B10F0" w14:textId="77777777" w:rsidR="00BC5219" w:rsidRPr="0038582F" w:rsidRDefault="00BC5219" w:rsidP="00BC5219">
      <w:pPr>
        <w:pStyle w:val="BodyText"/>
        <w:rPr>
          <w:rFonts w:ascii="Meta Pro" w:eastAsia="Times New Roman" w:hAnsi="Meta Pro"/>
          <w:b/>
          <w:bCs/>
          <w:i/>
          <w:iCs/>
          <w:color w:val="000000"/>
          <w:szCs w:val="18"/>
          <w:lang w:eastAsia="en-AU"/>
        </w:rPr>
      </w:pPr>
      <w:r w:rsidRPr="0038582F">
        <w:rPr>
          <w:rFonts w:ascii="Meta Pro" w:eastAsia="Times New Roman" w:hAnsi="Meta Pro"/>
          <w:b/>
          <w:bCs/>
          <w:i/>
          <w:iCs/>
          <w:color w:val="000000"/>
          <w:szCs w:val="18"/>
          <w:lang w:eastAsia="en-AU"/>
        </w:rPr>
        <w:t>Provisions –</w:t>
      </w:r>
      <w:r>
        <w:rPr>
          <w:rFonts w:ascii="Meta Pro" w:eastAsia="Times New Roman" w:hAnsi="Meta Pro"/>
          <w:b/>
          <w:bCs/>
          <w:i/>
          <w:iCs/>
          <w:color w:val="000000"/>
          <w:szCs w:val="18"/>
          <w:lang w:eastAsia="en-AU"/>
        </w:rPr>
        <w:t xml:space="preserve"> </w:t>
      </w:r>
      <w:r w:rsidRPr="0038582F">
        <w:rPr>
          <w:rFonts w:ascii="Meta Pro" w:eastAsia="Times New Roman" w:hAnsi="Meta Pro"/>
          <w:b/>
          <w:bCs/>
          <w:i/>
          <w:iCs/>
          <w:color w:val="000000"/>
          <w:szCs w:val="18"/>
          <w:lang w:eastAsia="en-AU"/>
        </w:rPr>
        <w:t>current</w:t>
      </w:r>
    </w:p>
    <w:p w14:paraId="33D5987D" w14:textId="77777777" w:rsidR="00BC5219" w:rsidRPr="0038582F" w:rsidRDefault="00BC5219" w:rsidP="00BC5219">
      <w:pPr>
        <w:pStyle w:val="BodyText"/>
        <w:spacing w:line="240" w:lineRule="auto"/>
        <w:rPr>
          <w:rFonts w:ascii="Meta Pro" w:eastAsia="Times New Roman" w:hAnsi="Meta Pro"/>
          <w:color w:val="000000"/>
          <w:szCs w:val="18"/>
          <w:lang w:eastAsia="en-AU"/>
        </w:rPr>
      </w:pPr>
      <w:r w:rsidRPr="00032350">
        <w:rPr>
          <w:rFonts w:ascii="Meta Pro" w:eastAsia="Times New Roman" w:hAnsi="Meta Pro"/>
          <w:color w:val="000000"/>
          <w:szCs w:val="18"/>
          <w:lang w:eastAsia="en-AU"/>
        </w:rPr>
        <w:t>Variance of $117.259m</w:t>
      </w:r>
      <w:r w:rsidRPr="0038582F">
        <w:rPr>
          <w:rFonts w:ascii="Meta Pro" w:eastAsia="Times New Roman" w:hAnsi="Meta Pro"/>
          <w:color w:val="000000"/>
          <w:szCs w:val="18"/>
          <w:lang w:eastAsia="en-AU"/>
        </w:rPr>
        <w:t xml:space="preserve"> reflects an increase in provision re-measurement of the value of land resumptions after the budget had been published. Actual re-measurement of the value of land resumptions was not budgeted for due to the unavailability of reliable estimates.</w:t>
      </w:r>
    </w:p>
    <w:p w14:paraId="2447C0F7" w14:textId="77777777" w:rsidR="00BC5219" w:rsidRPr="0038582F" w:rsidRDefault="00BC5219" w:rsidP="00BC5219">
      <w:pPr>
        <w:pStyle w:val="BodyText"/>
        <w:rPr>
          <w:rFonts w:ascii="Meta Pro" w:eastAsia="Times New Roman" w:hAnsi="Meta Pro"/>
          <w:b/>
          <w:bCs/>
          <w:i/>
          <w:iCs/>
          <w:color w:val="000000"/>
          <w:szCs w:val="18"/>
          <w:lang w:eastAsia="en-AU"/>
        </w:rPr>
      </w:pPr>
      <w:r w:rsidRPr="0038582F">
        <w:rPr>
          <w:rFonts w:ascii="Meta Pro" w:eastAsia="Times New Roman" w:hAnsi="Meta Pro"/>
          <w:b/>
          <w:bCs/>
          <w:i/>
          <w:iCs/>
          <w:color w:val="000000"/>
          <w:szCs w:val="18"/>
          <w:lang w:eastAsia="en-AU"/>
        </w:rPr>
        <w:t>Lease liabilities – current</w:t>
      </w:r>
    </w:p>
    <w:p w14:paraId="6FC27721" w14:textId="77777777" w:rsidR="00BC5219" w:rsidRPr="0038582F" w:rsidRDefault="00BC5219" w:rsidP="00BC5219">
      <w:pPr>
        <w:pStyle w:val="BodyText"/>
        <w:spacing w:line="240" w:lineRule="auto"/>
        <w:rPr>
          <w:rFonts w:ascii="Meta Pro" w:eastAsia="Times New Roman" w:hAnsi="Meta Pro"/>
          <w:color w:val="000000"/>
          <w:szCs w:val="18"/>
          <w:lang w:eastAsia="en-AU"/>
        </w:rPr>
      </w:pPr>
      <w:r w:rsidRPr="0038582F">
        <w:rPr>
          <w:rFonts w:ascii="Meta Pro" w:eastAsia="Times New Roman" w:hAnsi="Meta Pro"/>
          <w:color w:val="000000"/>
          <w:szCs w:val="18"/>
          <w:lang w:eastAsia="en-AU"/>
        </w:rPr>
        <w:t>Variance of $24.718m is mainly due to lease liabilities relating to QGCDG at 30 June 2023 which had not been allocated in the original Department of Transport and Main Roads budget due to budget development occurring prior to the 18 May 2023 machinery-of-government change.</w:t>
      </w:r>
    </w:p>
    <w:p w14:paraId="12611E0F" w14:textId="77777777" w:rsidR="00BC5219" w:rsidRPr="0038582F" w:rsidRDefault="00BC5219" w:rsidP="00BC5219">
      <w:pPr>
        <w:pStyle w:val="BodyText"/>
        <w:rPr>
          <w:rFonts w:ascii="Meta Pro" w:eastAsia="Times New Roman" w:hAnsi="Meta Pro"/>
          <w:b/>
          <w:bCs/>
          <w:i/>
          <w:iCs/>
          <w:color w:val="000000"/>
          <w:szCs w:val="18"/>
          <w:lang w:eastAsia="en-AU"/>
        </w:rPr>
      </w:pPr>
      <w:r w:rsidRPr="0038582F">
        <w:rPr>
          <w:rFonts w:ascii="Meta Pro" w:eastAsia="Times New Roman" w:hAnsi="Meta Pro"/>
          <w:b/>
          <w:bCs/>
          <w:i/>
          <w:iCs/>
          <w:color w:val="000000"/>
          <w:szCs w:val="18"/>
          <w:lang w:eastAsia="en-AU"/>
        </w:rPr>
        <w:t>Other liabilities – current</w:t>
      </w:r>
    </w:p>
    <w:p w14:paraId="32CADCAC" w14:textId="77777777" w:rsidR="00BC5219" w:rsidRPr="0038582F" w:rsidRDefault="00BC5219" w:rsidP="00BC5219">
      <w:pPr>
        <w:pStyle w:val="BodyText"/>
        <w:spacing w:line="240" w:lineRule="auto"/>
        <w:rPr>
          <w:rFonts w:ascii="Meta Pro" w:eastAsia="Times New Roman" w:hAnsi="Meta Pro"/>
          <w:b/>
          <w:bCs/>
          <w:i/>
          <w:iCs/>
          <w:color w:val="000000"/>
          <w:szCs w:val="18"/>
          <w:lang w:eastAsia="en-AU"/>
        </w:rPr>
      </w:pPr>
      <w:r w:rsidRPr="0038582F">
        <w:rPr>
          <w:rFonts w:ascii="Meta Pro" w:eastAsia="Times New Roman" w:hAnsi="Meta Pro"/>
          <w:color w:val="000000"/>
          <w:szCs w:val="18"/>
          <w:lang w:eastAsia="en-AU"/>
        </w:rPr>
        <w:t>Variance of $48.190m mainly comprises higher than anticipated land acquisition payments received from the Australian Rail Track Corporation for the Inland Rail project</w:t>
      </w:r>
      <w:r w:rsidRPr="0038582F">
        <w:rPr>
          <w:rFonts w:ascii="Meta Pro" w:eastAsia="Times New Roman" w:hAnsi="Meta Pro"/>
          <w:b/>
          <w:bCs/>
          <w:i/>
          <w:iCs/>
          <w:color w:val="000000"/>
          <w:szCs w:val="18"/>
          <w:lang w:eastAsia="en-AU"/>
        </w:rPr>
        <w:t>.</w:t>
      </w:r>
    </w:p>
    <w:p w14:paraId="2B80874E" w14:textId="77777777" w:rsidR="00BC5219" w:rsidRPr="00FC7CC9" w:rsidRDefault="00BC5219" w:rsidP="00BC5219">
      <w:pPr>
        <w:pStyle w:val="BodyText"/>
        <w:rPr>
          <w:rFonts w:ascii="Meta Pro" w:eastAsia="Times New Roman" w:hAnsi="Meta Pro"/>
          <w:b/>
          <w:bCs/>
          <w:i/>
          <w:iCs/>
          <w:color w:val="000000"/>
          <w:szCs w:val="18"/>
          <w:lang w:eastAsia="en-AU"/>
        </w:rPr>
      </w:pPr>
      <w:r w:rsidRPr="00FC7CC9">
        <w:rPr>
          <w:rFonts w:ascii="Meta Pro" w:eastAsia="Times New Roman" w:hAnsi="Meta Pro"/>
          <w:b/>
          <w:bCs/>
          <w:i/>
          <w:iCs/>
          <w:color w:val="000000"/>
          <w:szCs w:val="18"/>
          <w:lang w:eastAsia="en-AU"/>
        </w:rPr>
        <w:t>Lease liabilities – non-current</w:t>
      </w:r>
    </w:p>
    <w:p w14:paraId="7CD3867C" w14:textId="77777777" w:rsidR="00BC5219" w:rsidRPr="00FC7CC9" w:rsidRDefault="00BC5219" w:rsidP="00BC5219">
      <w:pPr>
        <w:pStyle w:val="BodyText"/>
        <w:spacing w:line="240" w:lineRule="auto"/>
        <w:rPr>
          <w:rFonts w:ascii="Meta Pro" w:eastAsia="Times New Roman" w:hAnsi="Meta Pro"/>
          <w:color w:val="000000"/>
          <w:szCs w:val="18"/>
          <w:lang w:eastAsia="en-AU"/>
        </w:rPr>
      </w:pPr>
      <w:r w:rsidRPr="00FC7CC9">
        <w:rPr>
          <w:rFonts w:ascii="Meta Pro" w:eastAsia="Times New Roman" w:hAnsi="Meta Pro"/>
          <w:color w:val="000000"/>
          <w:szCs w:val="18"/>
          <w:lang w:eastAsia="en-AU"/>
        </w:rPr>
        <w:lastRenderedPageBreak/>
        <w:t>Variance of $82.552m is mainly due to lease liabilities relating to QGCDG at 30 June 2023 which had not been allocated in the original Department of Transport and Main Roads budget due to budget development occurring prior to the 18 May 2023 machinery-of-government change.</w:t>
      </w:r>
    </w:p>
    <w:p w14:paraId="59DB4A5E" w14:textId="77777777" w:rsidR="00BC5219" w:rsidRPr="00FC7CC9" w:rsidRDefault="00BC5219" w:rsidP="00BC5219">
      <w:pPr>
        <w:pStyle w:val="BodyText"/>
        <w:rPr>
          <w:rFonts w:ascii="Meta Pro" w:eastAsia="Times New Roman" w:hAnsi="Meta Pro"/>
          <w:b/>
          <w:bCs/>
          <w:i/>
          <w:iCs/>
          <w:color w:val="000000"/>
          <w:szCs w:val="18"/>
          <w:lang w:eastAsia="en-AU"/>
        </w:rPr>
      </w:pPr>
      <w:r w:rsidRPr="00FC7CC9">
        <w:rPr>
          <w:rFonts w:ascii="Meta Pro" w:eastAsia="Times New Roman" w:hAnsi="Meta Pro"/>
          <w:b/>
          <w:bCs/>
          <w:i/>
          <w:iCs/>
          <w:color w:val="000000"/>
          <w:szCs w:val="18"/>
          <w:lang w:eastAsia="en-AU"/>
        </w:rPr>
        <w:t>Total equity</w:t>
      </w:r>
    </w:p>
    <w:p w14:paraId="4CC0D3C9" w14:textId="77777777" w:rsidR="00BC5219" w:rsidRDefault="00BC5219" w:rsidP="00BC5219">
      <w:pPr>
        <w:pStyle w:val="BodyText"/>
        <w:spacing w:line="240" w:lineRule="auto"/>
        <w:rPr>
          <w:rFonts w:ascii="Meta Pro" w:eastAsia="Times New Roman" w:hAnsi="Meta Pro"/>
          <w:color w:val="000000"/>
          <w:szCs w:val="18"/>
          <w:lang w:eastAsia="en-AU"/>
        </w:rPr>
      </w:pPr>
      <w:r w:rsidRPr="00FC7CC9">
        <w:rPr>
          <w:rFonts w:ascii="Meta Pro" w:eastAsia="Times New Roman" w:hAnsi="Meta Pro"/>
          <w:color w:val="000000"/>
          <w:szCs w:val="18"/>
          <w:lang w:eastAsia="en-AU"/>
        </w:rPr>
        <w:t>The variance of $26,390m is mainly due to the timing differences to obtain reliable measures for asset valuations to enable budget allocations. Asset revaluation increments were not able to be determined at the time of budget development.</w:t>
      </w:r>
    </w:p>
    <w:p w14:paraId="1C89A57B" w14:textId="77777777" w:rsidR="00BC5219" w:rsidRDefault="00BC5219" w:rsidP="00BC5219">
      <w:pPr>
        <w:pStyle w:val="BodyText"/>
        <w:rPr>
          <w:rFonts w:asciiTheme="minorHAnsi" w:hAnsiTheme="minorHAnsi" w:cstheme="minorBidi"/>
        </w:rPr>
      </w:pPr>
    </w:p>
    <w:tbl>
      <w:tblPr>
        <w:tblW w:w="0" w:type="auto"/>
        <w:tblCellMar>
          <w:left w:w="0" w:type="dxa"/>
        </w:tblCellMar>
        <w:tblLook w:val="04A0" w:firstRow="1" w:lastRow="0" w:firstColumn="1" w:lastColumn="0" w:noHBand="0" w:noVBand="1"/>
      </w:tblPr>
      <w:tblGrid>
        <w:gridCol w:w="6358"/>
        <w:gridCol w:w="1145"/>
        <w:gridCol w:w="206"/>
        <w:gridCol w:w="1145"/>
        <w:gridCol w:w="206"/>
        <w:gridCol w:w="1148"/>
      </w:tblGrid>
      <w:tr w:rsidR="00BC5219" w:rsidRPr="00500AF1" w14:paraId="2DB3AB78" w14:textId="77777777" w:rsidTr="00E83802">
        <w:trPr>
          <w:trHeight w:val="198"/>
        </w:trPr>
        <w:tc>
          <w:tcPr>
            <w:tcW w:w="6350" w:type="dxa"/>
            <w:tcBorders>
              <w:top w:val="nil"/>
              <w:left w:val="nil"/>
              <w:bottom w:val="nil"/>
              <w:right w:val="nil"/>
            </w:tcBorders>
            <w:shd w:val="clear" w:color="auto" w:fill="auto"/>
            <w:noWrap/>
            <w:hideMark/>
          </w:tcPr>
          <w:p w14:paraId="679E22E4" w14:textId="77777777" w:rsidR="00BC5219" w:rsidRPr="00500AF1" w:rsidRDefault="00BC5219" w:rsidP="00E83802">
            <w:pPr>
              <w:rPr>
                <w:rFonts w:ascii="Meta Pro" w:eastAsia="Times New Roman" w:hAnsi="Meta Pro"/>
                <w:b/>
                <w:bCs/>
                <w:szCs w:val="18"/>
                <w:lang w:eastAsia="en-AU"/>
              </w:rPr>
            </w:pPr>
            <w:r w:rsidRPr="00500AF1">
              <w:rPr>
                <w:rFonts w:ascii="Meta Pro" w:eastAsia="Times New Roman" w:hAnsi="Meta Pro"/>
                <w:b/>
                <w:bCs/>
                <w:szCs w:val="18"/>
                <w:lang w:eastAsia="en-AU"/>
              </w:rPr>
              <w:t>STATEMENT OF CASH FLOWS</w:t>
            </w:r>
          </w:p>
        </w:tc>
        <w:tc>
          <w:tcPr>
            <w:tcW w:w="1137" w:type="dxa"/>
            <w:tcBorders>
              <w:top w:val="nil"/>
              <w:left w:val="nil"/>
              <w:bottom w:val="nil"/>
              <w:right w:val="nil"/>
            </w:tcBorders>
            <w:shd w:val="clear" w:color="auto" w:fill="auto"/>
            <w:hideMark/>
          </w:tcPr>
          <w:p w14:paraId="38AD8269" w14:textId="77777777" w:rsidR="00BC5219" w:rsidRPr="00500AF1" w:rsidRDefault="00BC5219" w:rsidP="00E83802">
            <w:pPr>
              <w:jc w:val="center"/>
              <w:rPr>
                <w:rFonts w:ascii="Meta Pro" w:eastAsia="Times New Roman" w:hAnsi="Meta Pro"/>
                <w:b/>
                <w:bCs/>
                <w:szCs w:val="18"/>
                <w:lang w:eastAsia="en-AU"/>
              </w:rPr>
            </w:pPr>
            <w:r w:rsidRPr="00500AF1">
              <w:rPr>
                <w:rFonts w:ascii="Meta Pro" w:eastAsia="Times New Roman" w:hAnsi="Meta Pro"/>
                <w:b/>
                <w:bCs/>
                <w:szCs w:val="18"/>
                <w:lang w:eastAsia="en-AU"/>
              </w:rPr>
              <w:t xml:space="preserve">Original budget </w:t>
            </w:r>
          </w:p>
        </w:tc>
        <w:tc>
          <w:tcPr>
            <w:tcW w:w="198" w:type="dxa"/>
            <w:tcBorders>
              <w:top w:val="nil"/>
              <w:left w:val="nil"/>
              <w:bottom w:val="nil"/>
              <w:right w:val="nil"/>
            </w:tcBorders>
            <w:shd w:val="clear" w:color="auto" w:fill="auto"/>
            <w:hideMark/>
          </w:tcPr>
          <w:p w14:paraId="7370BA1A" w14:textId="77777777" w:rsidR="00BC5219" w:rsidRPr="00500AF1" w:rsidRDefault="00BC5219" w:rsidP="00E83802">
            <w:pPr>
              <w:jc w:val="center"/>
              <w:rPr>
                <w:rFonts w:ascii="Meta Pro" w:eastAsia="Times New Roman" w:hAnsi="Meta Pro"/>
                <w:b/>
                <w:bCs/>
                <w:szCs w:val="18"/>
                <w:lang w:eastAsia="en-AU"/>
              </w:rPr>
            </w:pPr>
          </w:p>
        </w:tc>
        <w:tc>
          <w:tcPr>
            <w:tcW w:w="1137" w:type="dxa"/>
            <w:tcBorders>
              <w:top w:val="nil"/>
              <w:left w:val="nil"/>
              <w:bottom w:val="nil"/>
              <w:right w:val="nil"/>
            </w:tcBorders>
            <w:shd w:val="clear" w:color="auto" w:fill="auto"/>
            <w:hideMark/>
          </w:tcPr>
          <w:p w14:paraId="46A06DFB" w14:textId="77777777" w:rsidR="00BC5219" w:rsidRPr="00500AF1" w:rsidRDefault="00BC5219" w:rsidP="00E83802">
            <w:pPr>
              <w:jc w:val="center"/>
              <w:rPr>
                <w:rFonts w:ascii="Meta Pro" w:eastAsia="Times New Roman" w:hAnsi="Meta Pro"/>
                <w:b/>
                <w:bCs/>
                <w:szCs w:val="18"/>
                <w:lang w:eastAsia="en-AU"/>
              </w:rPr>
            </w:pPr>
            <w:r w:rsidRPr="00500AF1">
              <w:rPr>
                <w:rFonts w:ascii="Meta Pro" w:eastAsia="Times New Roman" w:hAnsi="Meta Pro"/>
                <w:b/>
                <w:bCs/>
                <w:szCs w:val="18"/>
                <w:lang w:eastAsia="en-AU"/>
              </w:rPr>
              <w:t>Actual</w:t>
            </w:r>
            <w:r w:rsidRPr="00500AF1">
              <w:rPr>
                <w:rFonts w:ascii="Meta Pro" w:eastAsia="Times New Roman" w:hAnsi="Meta Pro"/>
                <w:b/>
                <w:bCs/>
                <w:szCs w:val="18"/>
                <w:lang w:eastAsia="en-AU"/>
              </w:rPr>
              <w:br/>
              <w:t>result</w:t>
            </w:r>
          </w:p>
        </w:tc>
        <w:tc>
          <w:tcPr>
            <w:tcW w:w="198" w:type="dxa"/>
            <w:tcBorders>
              <w:top w:val="nil"/>
              <w:left w:val="nil"/>
              <w:bottom w:val="nil"/>
              <w:right w:val="nil"/>
            </w:tcBorders>
            <w:shd w:val="clear" w:color="auto" w:fill="auto"/>
            <w:hideMark/>
          </w:tcPr>
          <w:p w14:paraId="13A81DD0" w14:textId="77777777" w:rsidR="00BC5219" w:rsidRPr="00500AF1" w:rsidRDefault="00BC5219" w:rsidP="00E83802">
            <w:pPr>
              <w:jc w:val="center"/>
              <w:rPr>
                <w:rFonts w:ascii="Meta Pro" w:eastAsia="Times New Roman" w:hAnsi="Meta Pro"/>
                <w:b/>
                <w:bCs/>
                <w:szCs w:val="18"/>
                <w:lang w:eastAsia="en-AU"/>
              </w:rPr>
            </w:pPr>
          </w:p>
        </w:tc>
        <w:tc>
          <w:tcPr>
            <w:tcW w:w="1140" w:type="dxa"/>
            <w:tcBorders>
              <w:top w:val="nil"/>
              <w:left w:val="nil"/>
              <w:bottom w:val="nil"/>
              <w:right w:val="nil"/>
            </w:tcBorders>
            <w:shd w:val="clear" w:color="auto" w:fill="auto"/>
            <w:hideMark/>
          </w:tcPr>
          <w:p w14:paraId="338C700F" w14:textId="77777777" w:rsidR="00BC5219" w:rsidRPr="00500AF1" w:rsidRDefault="00BC5219" w:rsidP="00E83802">
            <w:pPr>
              <w:jc w:val="center"/>
              <w:rPr>
                <w:rFonts w:ascii="Meta Pro" w:eastAsia="Times New Roman" w:hAnsi="Meta Pro"/>
                <w:b/>
                <w:bCs/>
                <w:szCs w:val="18"/>
                <w:lang w:eastAsia="en-AU"/>
              </w:rPr>
            </w:pPr>
            <w:r w:rsidRPr="00500AF1">
              <w:rPr>
                <w:rFonts w:ascii="Meta Pro" w:eastAsia="Times New Roman" w:hAnsi="Meta Pro"/>
                <w:b/>
                <w:bCs/>
                <w:szCs w:val="18"/>
                <w:lang w:eastAsia="en-AU"/>
              </w:rPr>
              <w:t>Variance</w:t>
            </w:r>
          </w:p>
        </w:tc>
      </w:tr>
      <w:tr w:rsidR="00BC5219" w:rsidRPr="00500AF1" w14:paraId="4FB518F9" w14:textId="77777777" w:rsidTr="00E83802">
        <w:trPr>
          <w:trHeight w:val="198"/>
        </w:trPr>
        <w:tc>
          <w:tcPr>
            <w:tcW w:w="6350" w:type="dxa"/>
            <w:tcBorders>
              <w:top w:val="nil"/>
              <w:left w:val="nil"/>
              <w:bottom w:val="nil"/>
              <w:right w:val="nil"/>
            </w:tcBorders>
            <w:shd w:val="clear" w:color="auto" w:fill="auto"/>
            <w:noWrap/>
            <w:vAlign w:val="center"/>
            <w:hideMark/>
          </w:tcPr>
          <w:p w14:paraId="60C5E106" w14:textId="77777777" w:rsidR="00BC5219" w:rsidRPr="00500AF1" w:rsidRDefault="00BC5219" w:rsidP="00E83802">
            <w:pPr>
              <w:jc w:val="center"/>
              <w:rPr>
                <w:rFonts w:ascii="Meta Pro" w:eastAsia="Times New Roman" w:hAnsi="Meta Pro"/>
                <w:b/>
                <w:bCs/>
                <w:szCs w:val="18"/>
                <w:lang w:eastAsia="en-AU"/>
              </w:rPr>
            </w:pPr>
          </w:p>
        </w:tc>
        <w:tc>
          <w:tcPr>
            <w:tcW w:w="1137" w:type="dxa"/>
            <w:tcBorders>
              <w:top w:val="nil"/>
              <w:left w:val="nil"/>
              <w:bottom w:val="nil"/>
              <w:right w:val="nil"/>
            </w:tcBorders>
            <w:shd w:val="clear" w:color="auto" w:fill="auto"/>
            <w:hideMark/>
          </w:tcPr>
          <w:p w14:paraId="2256997E" w14:textId="77777777" w:rsidR="00BC5219" w:rsidRPr="00500AF1" w:rsidRDefault="00BC5219" w:rsidP="00E83802">
            <w:pPr>
              <w:jc w:val="center"/>
              <w:rPr>
                <w:rFonts w:ascii="Meta Pro" w:eastAsia="Times New Roman" w:hAnsi="Meta Pro"/>
                <w:b/>
                <w:bCs/>
                <w:szCs w:val="18"/>
                <w:lang w:eastAsia="en-AU"/>
              </w:rPr>
            </w:pPr>
            <w:r w:rsidRPr="00500AF1">
              <w:rPr>
                <w:rFonts w:ascii="Meta Pro" w:eastAsia="Times New Roman" w:hAnsi="Meta Pro"/>
                <w:b/>
                <w:bCs/>
                <w:szCs w:val="18"/>
                <w:lang w:eastAsia="en-AU"/>
              </w:rPr>
              <w:t>2023</w:t>
            </w:r>
            <w:r w:rsidRPr="00500AF1">
              <w:rPr>
                <w:rFonts w:ascii="Meta Pro" w:eastAsia="Times New Roman" w:hAnsi="Meta Pro"/>
                <w:b/>
                <w:bCs/>
                <w:szCs w:val="18"/>
                <w:lang w:eastAsia="en-AU"/>
              </w:rPr>
              <w:br/>
              <w:t>$'000</w:t>
            </w:r>
          </w:p>
        </w:tc>
        <w:tc>
          <w:tcPr>
            <w:tcW w:w="198" w:type="dxa"/>
            <w:tcBorders>
              <w:top w:val="nil"/>
              <w:left w:val="nil"/>
              <w:bottom w:val="nil"/>
              <w:right w:val="nil"/>
            </w:tcBorders>
            <w:shd w:val="clear" w:color="auto" w:fill="auto"/>
            <w:hideMark/>
          </w:tcPr>
          <w:p w14:paraId="6F4B4958" w14:textId="77777777" w:rsidR="00BC5219" w:rsidRPr="00500AF1" w:rsidRDefault="00BC5219" w:rsidP="00E83802">
            <w:pPr>
              <w:jc w:val="center"/>
              <w:rPr>
                <w:rFonts w:ascii="Meta Pro" w:eastAsia="Times New Roman" w:hAnsi="Meta Pro"/>
                <w:b/>
                <w:bCs/>
                <w:szCs w:val="18"/>
                <w:lang w:eastAsia="en-AU"/>
              </w:rPr>
            </w:pPr>
          </w:p>
        </w:tc>
        <w:tc>
          <w:tcPr>
            <w:tcW w:w="1137" w:type="dxa"/>
            <w:tcBorders>
              <w:top w:val="nil"/>
              <w:left w:val="nil"/>
              <w:bottom w:val="nil"/>
              <w:right w:val="nil"/>
            </w:tcBorders>
            <w:shd w:val="clear" w:color="auto" w:fill="auto"/>
            <w:hideMark/>
          </w:tcPr>
          <w:p w14:paraId="36499541" w14:textId="77777777" w:rsidR="00BC5219" w:rsidRPr="00500AF1" w:rsidRDefault="00BC5219" w:rsidP="00E83802">
            <w:pPr>
              <w:jc w:val="center"/>
              <w:rPr>
                <w:rFonts w:ascii="Meta Pro" w:eastAsia="Times New Roman" w:hAnsi="Meta Pro"/>
                <w:b/>
                <w:bCs/>
                <w:szCs w:val="18"/>
                <w:lang w:eastAsia="en-AU"/>
              </w:rPr>
            </w:pPr>
            <w:r w:rsidRPr="00500AF1">
              <w:rPr>
                <w:rFonts w:ascii="Meta Pro" w:eastAsia="Times New Roman" w:hAnsi="Meta Pro"/>
                <w:b/>
                <w:bCs/>
                <w:szCs w:val="18"/>
                <w:lang w:eastAsia="en-AU"/>
              </w:rPr>
              <w:t>2023</w:t>
            </w:r>
            <w:r w:rsidRPr="00500AF1">
              <w:rPr>
                <w:rFonts w:ascii="Meta Pro" w:eastAsia="Times New Roman" w:hAnsi="Meta Pro"/>
                <w:b/>
                <w:bCs/>
                <w:szCs w:val="18"/>
                <w:lang w:eastAsia="en-AU"/>
              </w:rPr>
              <w:br/>
              <w:t>$'000</w:t>
            </w:r>
          </w:p>
        </w:tc>
        <w:tc>
          <w:tcPr>
            <w:tcW w:w="198" w:type="dxa"/>
            <w:tcBorders>
              <w:top w:val="nil"/>
              <w:left w:val="nil"/>
              <w:bottom w:val="nil"/>
              <w:right w:val="nil"/>
            </w:tcBorders>
            <w:shd w:val="clear" w:color="auto" w:fill="auto"/>
            <w:hideMark/>
          </w:tcPr>
          <w:p w14:paraId="3FEFA1D3" w14:textId="77777777" w:rsidR="00BC5219" w:rsidRPr="00500AF1" w:rsidRDefault="00BC5219" w:rsidP="00E83802">
            <w:pPr>
              <w:jc w:val="center"/>
              <w:rPr>
                <w:rFonts w:ascii="Meta Pro" w:eastAsia="Times New Roman" w:hAnsi="Meta Pro"/>
                <w:b/>
                <w:bCs/>
                <w:szCs w:val="18"/>
                <w:lang w:eastAsia="en-AU"/>
              </w:rPr>
            </w:pPr>
          </w:p>
        </w:tc>
        <w:tc>
          <w:tcPr>
            <w:tcW w:w="1140" w:type="dxa"/>
            <w:tcBorders>
              <w:top w:val="nil"/>
              <w:left w:val="nil"/>
              <w:bottom w:val="nil"/>
              <w:right w:val="nil"/>
            </w:tcBorders>
            <w:shd w:val="clear" w:color="auto" w:fill="auto"/>
            <w:hideMark/>
          </w:tcPr>
          <w:p w14:paraId="671FF2DE" w14:textId="77777777" w:rsidR="00BC5219" w:rsidRPr="00500AF1" w:rsidRDefault="00BC5219" w:rsidP="00E83802">
            <w:pPr>
              <w:jc w:val="center"/>
              <w:rPr>
                <w:rFonts w:ascii="Meta Pro" w:eastAsia="Times New Roman" w:hAnsi="Meta Pro"/>
                <w:b/>
                <w:bCs/>
                <w:szCs w:val="18"/>
                <w:lang w:eastAsia="en-AU"/>
              </w:rPr>
            </w:pPr>
            <w:r w:rsidRPr="00500AF1">
              <w:rPr>
                <w:rFonts w:ascii="Meta Pro" w:eastAsia="Times New Roman" w:hAnsi="Meta Pro"/>
                <w:b/>
                <w:bCs/>
                <w:szCs w:val="18"/>
                <w:lang w:eastAsia="en-AU"/>
              </w:rPr>
              <w:t>2023</w:t>
            </w:r>
            <w:r w:rsidRPr="00500AF1">
              <w:rPr>
                <w:rFonts w:ascii="Meta Pro" w:eastAsia="Times New Roman" w:hAnsi="Meta Pro"/>
                <w:b/>
                <w:bCs/>
                <w:szCs w:val="18"/>
                <w:lang w:eastAsia="en-AU"/>
              </w:rPr>
              <w:br/>
              <w:t>$'000</w:t>
            </w:r>
          </w:p>
        </w:tc>
      </w:tr>
      <w:tr w:rsidR="00BC5219" w:rsidRPr="00500AF1" w14:paraId="0D01E51D" w14:textId="77777777" w:rsidTr="00E83802">
        <w:trPr>
          <w:trHeight w:val="198"/>
        </w:trPr>
        <w:tc>
          <w:tcPr>
            <w:tcW w:w="6350" w:type="dxa"/>
            <w:tcBorders>
              <w:top w:val="nil"/>
              <w:left w:val="nil"/>
              <w:bottom w:val="nil"/>
              <w:right w:val="nil"/>
            </w:tcBorders>
            <w:shd w:val="clear" w:color="auto" w:fill="auto"/>
            <w:noWrap/>
            <w:vAlign w:val="center"/>
            <w:hideMark/>
          </w:tcPr>
          <w:p w14:paraId="718BD8A1" w14:textId="77777777" w:rsidR="00BC5219" w:rsidRPr="00500AF1" w:rsidRDefault="00BC5219" w:rsidP="00E83802">
            <w:pPr>
              <w:outlineLvl w:val="0"/>
              <w:rPr>
                <w:rFonts w:ascii="Meta Pro" w:eastAsia="Times New Roman" w:hAnsi="Meta Pro"/>
                <w:b/>
                <w:bCs/>
                <w:szCs w:val="18"/>
                <w:lang w:eastAsia="en-AU"/>
              </w:rPr>
            </w:pPr>
            <w:r w:rsidRPr="00500AF1">
              <w:rPr>
                <w:rFonts w:ascii="Meta Pro" w:eastAsia="Times New Roman" w:hAnsi="Meta Pro"/>
                <w:b/>
                <w:bCs/>
                <w:szCs w:val="18"/>
                <w:lang w:eastAsia="en-AU"/>
              </w:rPr>
              <w:t>Cash flows from operating activities</w:t>
            </w:r>
          </w:p>
        </w:tc>
        <w:tc>
          <w:tcPr>
            <w:tcW w:w="1137" w:type="dxa"/>
            <w:tcBorders>
              <w:top w:val="nil"/>
              <w:left w:val="nil"/>
              <w:bottom w:val="nil"/>
              <w:right w:val="nil"/>
            </w:tcBorders>
            <w:shd w:val="clear" w:color="auto" w:fill="auto"/>
            <w:vAlign w:val="center"/>
            <w:hideMark/>
          </w:tcPr>
          <w:p w14:paraId="1D027FF7" w14:textId="77777777" w:rsidR="00BC5219" w:rsidRPr="00500AF1" w:rsidRDefault="00BC5219" w:rsidP="00E83802">
            <w:pPr>
              <w:outlineLvl w:val="0"/>
              <w:rPr>
                <w:rFonts w:ascii="Meta Pro" w:eastAsia="Times New Roman" w:hAnsi="Meta Pro"/>
                <w:b/>
                <w:bCs/>
                <w:szCs w:val="18"/>
                <w:lang w:eastAsia="en-AU"/>
              </w:rPr>
            </w:pPr>
          </w:p>
        </w:tc>
        <w:tc>
          <w:tcPr>
            <w:tcW w:w="198" w:type="dxa"/>
            <w:tcBorders>
              <w:top w:val="nil"/>
              <w:left w:val="nil"/>
              <w:bottom w:val="nil"/>
              <w:right w:val="nil"/>
            </w:tcBorders>
            <w:shd w:val="clear" w:color="auto" w:fill="auto"/>
            <w:vAlign w:val="center"/>
            <w:hideMark/>
          </w:tcPr>
          <w:p w14:paraId="03F3FABB" w14:textId="77777777" w:rsidR="00BC5219" w:rsidRPr="00500AF1" w:rsidRDefault="00BC5219" w:rsidP="00E83802">
            <w:pPr>
              <w:outlineLvl w:val="0"/>
              <w:rPr>
                <w:rFonts w:ascii="Times New Roman" w:eastAsia="Times New Roman" w:hAnsi="Times New Roman" w:cs="Times New Roman"/>
                <w:sz w:val="20"/>
                <w:szCs w:val="20"/>
                <w:lang w:eastAsia="en-AU"/>
              </w:rPr>
            </w:pPr>
          </w:p>
        </w:tc>
        <w:tc>
          <w:tcPr>
            <w:tcW w:w="1137" w:type="dxa"/>
            <w:tcBorders>
              <w:top w:val="nil"/>
              <w:left w:val="nil"/>
              <w:bottom w:val="nil"/>
              <w:right w:val="nil"/>
            </w:tcBorders>
            <w:shd w:val="clear" w:color="auto" w:fill="auto"/>
            <w:vAlign w:val="center"/>
            <w:hideMark/>
          </w:tcPr>
          <w:p w14:paraId="41E67CCC" w14:textId="77777777" w:rsidR="00BC5219" w:rsidRPr="00500AF1" w:rsidRDefault="00BC5219" w:rsidP="00E83802">
            <w:pPr>
              <w:jc w:val="center"/>
              <w:outlineLvl w:val="0"/>
              <w:rPr>
                <w:rFonts w:ascii="Times New Roman" w:eastAsia="Times New Roman" w:hAnsi="Times New Roman" w:cs="Times New Roman"/>
                <w:sz w:val="20"/>
                <w:szCs w:val="20"/>
                <w:lang w:eastAsia="en-AU"/>
              </w:rPr>
            </w:pPr>
          </w:p>
        </w:tc>
        <w:tc>
          <w:tcPr>
            <w:tcW w:w="198" w:type="dxa"/>
            <w:tcBorders>
              <w:top w:val="nil"/>
              <w:left w:val="nil"/>
              <w:bottom w:val="nil"/>
              <w:right w:val="nil"/>
            </w:tcBorders>
            <w:shd w:val="clear" w:color="auto" w:fill="auto"/>
            <w:vAlign w:val="center"/>
            <w:hideMark/>
          </w:tcPr>
          <w:p w14:paraId="424E8609" w14:textId="77777777" w:rsidR="00BC5219" w:rsidRPr="00500AF1" w:rsidRDefault="00BC5219" w:rsidP="00E83802">
            <w:pPr>
              <w:outlineLvl w:val="0"/>
              <w:rPr>
                <w:rFonts w:ascii="Times New Roman" w:eastAsia="Times New Roman" w:hAnsi="Times New Roman" w:cs="Times New Roman"/>
                <w:sz w:val="20"/>
                <w:szCs w:val="20"/>
                <w:lang w:eastAsia="en-AU"/>
              </w:rPr>
            </w:pPr>
          </w:p>
        </w:tc>
        <w:tc>
          <w:tcPr>
            <w:tcW w:w="1140" w:type="dxa"/>
            <w:tcBorders>
              <w:top w:val="nil"/>
              <w:left w:val="nil"/>
              <w:bottom w:val="nil"/>
              <w:right w:val="nil"/>
            </w:tcBorders>
            <w:shd w:val="clear" w:color="auto" w:fill="auto"/>
            <w:noWrap/>
            <w:vAlign w:val="center"/>
            <w:hideMark/>
          </w:tcPr>
          <w:p w14:paraId="5978DEA2" w14:textId="77777777" w:rsidR="00BC5219" w:rsidRPr="00500AF1" w:rsidRDefault="00BC5219" w:rsidP="00E83802">
            <w:pPr>
              <w:jc w:val="center"/>
              <w:outlineLvl w:val="0"/>
              <w:rPr>
                <w:rFonts w:ascii="Times New Roman" w:eastAsia="Times New Roman" w:hAnsi="Times New Roman" w:cs="Times New Roman"/>
                <w:sz w:val="20"/>
                <w:szCs w:val="20"/>
                <w:lang w:eastAsia="en-AU"/>
              </w:rPr>
            </w:pPr>
          </w:p>
        </w:tc>
      </w:tr>
      <w:tr w:rsidR="00BC5219" w:rsidRPr="00500AF1" w14:paraId="3A5AF81D" w14:textId="77777777" w:rsidTr="00E83802">
        <w:trPr>
          <w:trHeight w:val="198"/>
        </w:trPr>
        <w:tc>
          <w:tcPr>
            <w:tcW w:w="6350" w:type="dxa"/>
            <w:tcBorders>
              <w:top w:val="nil"/>
              <w:left w:val="nil"/>
              <w:bottom w:val="nil"/>
              <w:right w:val="nil"/>
            </w:tcBorders>
            <w:shd w:val="clear" w:color="auto" w:fill="auto"/>
            <w:noWrap/>
            <w:vAlign w:val="center"/>
            <w:hideMark/>
          </w:tcPr>
          <w:p w14:paraId="1CBF5178" w14:textId="77777777" w:rsidR="00BC5219" w:rsidRPr="00500AF1" w:rsidRDefault="00BC5219" w:rsidP="00E83802">
            <w:pPr>
              <w:outlineLvl w:val="0"/>
              <w:rPr>
                <w:rFonts w:ascii="Meta Pro" w:eastAsia="Times New Roman" w:hAnsi="Meta Pro"/>
                <w:i/>
                <w:iCs/>
                <w:szCs w:val="18"/>
                <w:lang w:eastAsia="en-AU"/>
              </w:rPr>
            </w:pPr>
            <w:r w:rsidRPr="00500AF1">
              <w:rPr>
                <w:rFonts w:ascii="Meta Pro" w:eastAsia="Times New Roman" w:hAnsi="Meta Pro"/>
                <w:i/>
                <w:iCs/>
                <w:szCs w:val="18"/>
                <w:lang w:eastAsia="en-AU"/>
              </w:rPr>
              <w:t>Inflows:</w:t>
            </w:r>
          </w:p>
        </w:tc>
        <w:tc>
          <w:tcPr>
            <w:tcW w:w="1137" w:type="dxa"/>
            <w:tcBorders>
              <w:top w:val="nil"/>
              <w:left w:val="nil"/>
              <w:bottom w:val="nil"/>
              <w:right w:val="nil"/>
            </w:tcBorders>
            <w:shd w:val="clear" w:color="auto" w:fill="auto"/>
            <w:vAlign w:val="center"/>
            <w:hideMark/>
          </w:tcPr>
          <w:p w14:paraId="72A52A74" w14:textId="77777777" w:rsidR="00BC5219" w:rsidRPr="00500AF1" w:rsidRDefault="00BC5219" w:rsidP="00E83802">
            <w:pPr>
              <w:outlineLvl w:val="0"/>
              <w:rPr>
                <w:rFonts w:ascii="Meta Pro" w:eastAsia="Times New Roman" w:hAnsi="Meta Pro"/>
                <w:i/>
                <w:iCs/>
                <w:szCs w:val="18"/>
                <w:lang w:eastAsia="en-AU"/>
              </w:rPr>
            </w:pPr>
          </w:p>
        </w:tc>
        <w:tc>
          <w:tcPr>
            <w:tcW w:w="198" w:type="dxa"/>
            <w:tcBorders>
              <w:top w:val="nil"/>
              <w:left w:val="nil"/>
              <w:bottom w:val="nil"/>
              <w:right w:val="nil"/>
            </w:tcBorders>
            <w:shd w:val="clear" w:color="auto" w:fill="auto"/>
            <w:vAlign w:val="center"/>
            <w:hideMark/>
          </w:tcPr>
          <w:p w14:paraId="455A9761" w14:textId="77777777" w:rsidR="00BC5219" w:rsidRPr="00500AF1" w:rsidRDefault="00BC5219" w:rsidP="00E83802">
            <w:pPr>
              <w:outlineLvl w:val="0"/>
              <w:rPr>
                <w:rFonts w:ascii="Times New Roman" w:eastAsia="Times New Roman" w:hAnsi="Times New Roman" w:cs="Times New Roman"/>
                <w:sz w:val="20"/>
                <w:szCs w:val="20"/>
                <w:lang w:eastAsia="en-AU"/>
              </w:rPr>
            </w:pPr>
          </w:p>
        </w:tc>
        <w:tc>
          <w:tcPr>
            <w:tcW w:w="1137" w:type="dxa"/>
            <w:tcBorders>
              <w:top w:val="nil"/>
              <w:left w:val="nil"/>
              <w:bottom w:val="nil"/>
              <w:right w:val="nil"/>
            </w:tcBorders>
            <w:shd w:val="clear" w:color="auto" w:fill="auto"/>
            <w:vAlign w:val="center"/>
            <w:hideMark/>
          </w:tcPr>
          <w:p w14:paraId="3F6E4C2A" w14:textId="77777777" w:rsidR="00BC5219" w:rsidRPr="00500AF1" w:rsidRDefault="00BC5219" w:rsidP="00E83802">
            <w:pPr>
              <w:jc w:val="center"/>
              <w:outlineLvl w:val="0"/>
              <w:rPr>
                <w:rFonts w:ascii="Times New Roman" w:eastAsia="Times New Roman" w:hAnsi="Times New Roman" w:cs="Times New Roman"/>
                <w:sz w:val="20"/>
                <w:szCs w:val="20"/>
                <w:lang w:eastAsia="en-AU"/>
              </w:rPr>
            </w:pPr>
          </w:p>
        </w:tc>
        <w:tc>
          <w:tcPr>
            <w:tcW w:w="198" w:type="dxa"/>
            <w:tcBorders>
              <w:top w:val="nil"/>
              <w:left w:val="nil"/>
              <w:bottom w:val="nil"/>
              <w:right w:val="nil"/>
            </w:tcBorders>
            <w:shd w:val="clear" w:color="auto" w:fill="auto"/>
            <w:vAlign w:val="center"/>
            <w:hideMark/>
          </w:tcPr>
          <w:p w14:paraId="056CBEA1" w14:textId="77777777" w:rsidR="00BC5219" w:rsidRPr="00500AF1" w:rsidRDefault="00BC5219" w:rsidP="00E83802">
            <w:pPr>
              <w:outlineLvl w:val="0"/>
              <w:rPr>
                <w:rFonts w:ascii="Times New Roman" w:eastAsia="Times New Roman" w:hAnsi="Times New Roman" w:cs="Times New Roman"/>
                <w:sz w:val="20"/>
                <w:szCs w:val="20"/>
                <w:lang w:eastAsia="en-AU"/>
              </w:rPr>
            </w:pPr>
          </w:p>
        </w:tc>
        <w:tc>
          <w:tcPr>
            <w:tcW w:w="1140" w:type="dxa"/>
            <w:tcBorders>
              <w:top w:val="nil"/>
              <w:left w:val="nil"/>
              <w:bottom w:val="nil"/>
              <w:right w:val="nil"/>
            </w:tcBorders>
            <w:shd w:val="clear" w:color="auto" w:fill="auto"/>
            <w:noWrap/>
            <w:vAlign w:val="center"/>
            <w:hideMark/>
          </w:tcPr>
          <w:p w14:paraId="37D9D206" w14:textId="77777777" w:rsidR="00BC5219" w:rsidRPr="00500AF1" w:rsidRDefault="00BC5219" w:rsidP="00E83802">
            <w:pPr>
              <w:jc w:val="center"/>
              <w:outlineLvl w:val="0"/>
              <w:rPr>
                <w:rFonts w:ascii="Times New Roman" w:eastAsia="Times New Roman" w:hAnsi="Times New Roman" w:cs="Times New Roman"/>
                <w:sz w:val="20"/>
                <w:szCs w:val="20"/>
                <w:lang w:eastAsia="en-AU"/>
              </w:rPr>
            </w:pPr>
          </w:p>
        </w:tc>
      </w:tr>
      <w:tr w:rsidR="00BC5219" w:rsidRPr="00500AF1" w14:paraId="7AA96A65" w14:textId="77777777" w:rsidTr="00E83802">
        <w:trPr>
          <w:trHeight w:val="198"/>
        </w:trPr>
        <w:tc>
          <w:tcPr>
            <w:tcW w:w="6350" w:type="dxa"/>
            <w:tcBorders>
              <w:top w:val="nil"/>
              <w:left w:val="nil"/>
              <w:bottom w:val="nil"/>
              <w:right w:val="nil"/>
            </w:tcBorders>
            <w:shd w:val="clear" w:color="auto" w:fill="auto"/>
            <w:noWrap/>
            <w:vAlign w:val="center"/>
            <w:hideMark/>
          </w:tcPr>
          <w:p w14:paraId="4EED3266" w14:textId="77777777" w:rsidR="00BC5219" w:rsidRPr="00500AF1" w:rsidRDefault="00BC5219" w:rsidP="00E83802">
            <w:pPr>
              <w:outlineLvl w:val="0"/>
              <w:rPr>
                <w:rFonts w:ascii="Meta Pro" w:eastAsia="Times New Roman" w:hAnsi="Meta Pro"/>
                <w:szCs w:val="18"/>
                <w:lang w:eastAsia="en-AU"/>
              </w:rPr>
            </w:pPr>
            <w:r w:rsidRPr="00500AF1">
              <w:rPr>
                <w:rFonts w:ascii="Meta Pro" w:eastAsia="Times New Roman" w:hAnsi="Meta Pro"/>
                <w:szCs w:val="18"/>
                <w:lang w:eastAsia="en-AU"/>
              </w:rPr>
              <w:t>Service appropriation receipts</w:t>
            </w:r>
          </w:p>
        </w:tc>
        <w:tc>
          <w:tcPr>
            <w:tcW w:w="1137" w:type="dxa"/>
            <w:tcBorders>
              <w:top w:val="nil"/>
              <w:left w:val="nil"/>
              <w:bottom w:val="nil"/>
              <w:right w:val="nil"/>
            </w:tcBorders>
            <w:shd w:val="clear" w:color="auto" w:fill="auto"/>
            <w:noWrap/>
            <w:vAlign w:val="center"/>
            <w:hideMark/>
          </w:tcPr>
          <w:p w14:paraId="7CB33FEE" w14:textId="77777777" w:rsidR="00BC5219" w:rsidRPr="00500AF1" w:rsidRDefault="00BC5219" w:rsidP="00E83802">
            <w:pPr>
              <w:jc w:val="right"/>
              <w:outlineLvl w:val="0"/>
              <w:rPr>
                <w:rFonts w:ascii="Meta Pro" w:eastAsia="Times New Roman" w:hAnsi="Meta Pro"/>
                <w:szCs w:val="18"/>
                <w:lang w:eastAsia="en-AU"/>
              </w:rPr>
            </w:pPr>
            <w:r w:rsidRPr="00500AF1">
              <w:rPr>
                <w:rFonts w:ascii="Meta Pro" w:eastAsia="Times New Roman" w:hAnsi="Meta Pro"/>
                <w:szCs w:val="18"/>
                <w:lang w:eastAsia="en-AU"/>
              </w:rPr>
              <w:t xml:space="preserve">6,228,502 </w:t>
            </w:r>
          </w:p>
        </w:tc>
        <w:tc>
          <w:tcPr>
            <w:tcW w:w="198" w:type="dxa"/>
            <w:tcBorders>
              <w:top w:val="nil"/>
              <w:left w:val="nil"/>
              <w:bottom w:val="nil"/>
              <w:right w:val="nil"/>
            </w:tcBorders>
            <w:shd w:val="clear" w:color="auto" w:fill="auto"/>
            <w:noWrap/>
            <w:vAlign w:val="center"/>
            <w:hideMark/>
          </w:tcPr>
          <w:p w14:paraId="03A8753E" w14:textId="77777777" w:rsidR="00BC5219" w:rsidRPr="00500AF1" w:rsidRDefault="00BC5219" w:rsidP="00E83802">
            <w:pPr>
              <w:jc w:val="right"/>
              <w:outlineLvl w:val="0"/>
              <w:rPr>
                <w:rFonts w:ascii="Meta Pro" w:eastAsia="Times New Roman" w:hAnsi="Meta Pro"/>
                <w:szCs w:val="18"/>
                <w:lang w:eastAsia="en-AU"/>
              </w:rPr>
            </w:pPr>
          </w:p>
        </w:tc>
        <w:tc>
          <w:tcPr>
            <w:tcW w:w="1137" w:type="dxa"/>
            <w:tcBorders>
              <w:top w:val="nil"/>
              <w:left w:val="nil"/>
              <w:bottom w:val="nil"/>
              <w:right w:val="nil"/>
            </w:tcBorders>
            <w:shd w:val="clear" w:color="auto" w:fill="auto"/>
            <w:noWrap/>
            <w:vAlign w:val="center"/>
            <w:hideMark/>
          </w:tcPr>
          <w:p w14:paraId="70A66EAA" w14:textId="77777777" w:rsidR="00BC5219" w:rsidRPr="00500AF1" w:rsidRDefault="00BC5219" w:rsidP="00E83802">
            <w:pPr>
              <w:jc w:val="right"/>
              <w:outlineLvl w:val="0"/>
              <w:rPr>
                <w:rFonts w:ascii="Meta Pro" w:eastAsia="Times New Roman" w:hAnsi="Meta Pro"/>
                <w:szCs w:val="18"/>
                <w:lang w:eastAsia="en-AU"/>
              </w:rPr>
            </w:pPr>
            <w:r w:rsidRPr="00500AF1">
              <w:rPr>
                <w:rFonts w:ascii="Meta Pro" w:eastAsia="Times New Roman" w:hAnsi="Meta Pro"/>
                <w:szCs w:val="18"/>
                <w:lang w:eastAsia="en-AU"/>
              </w:rPr>
              <w:t xml:space="preserve">6,361,615 </w:t>
            </w:r>
          </w:p>
        </w:tc>
        <w:tc>
          <w:tcPr>
            <w:tcW w:w="198" w:type="dxa"/>
            <w:tcBorders>
              <w:top w:val="nil"/>
              <w:left w:val="nil"/>
              <w:bottom w:val="nil"/>
              <w:right w:val="nil"/>
            </w:tcBorders>
            <w:shd w:val="clear" w:color="auto" w:fill="auto"/>
            <w:noWrap/>
            <w:vAlign w:val="center"/>
            <w:hideMark/>
          </w:tcPr>
          <w:p w14:paraId="3BF050DE" w14:textId="77777777" w:rsidR="00BC5219" w:rsidRPr="00500AF1" w:rsidRDefault="00BC5219" w:rsidP="00E83802">
            <w:pPr>
              <w:jc w:val="right"/>
              <w:outlineLvl w:val="0"/>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0D5B17B6" w14:textId="77777777" w:rsidR="00BC5219" w:rsidRPr="00500AF1" w:rsidRDefault="00BC5219" w:rsidP="00E83802">
            <w:pPr>
              <w:jc w:val="right"/>
              <w:outlineLvl w:val="0"/>
              <w:rPr>
                <w:rFonts w:ascii="Meta Pro" w:eastAsia="Times New Roman" w:hAnsi="Meta Pro"/>
                <w:szCs w:val="18"/>
                <w:lang w:eastAsia="en-AU"/>
              </w:rPr>
            </w:pPr>
            <w:r w:rsidRPr="00500AF1">
              <w:rPr>
                <w:rFonts w:ascii="Meta Pro" w:eastAsia="Times New Roman" w:hAnsi="Meta Pro"/>
                <w:szCs w:val="18"/>
                <w:lang w:eastAsia="en-AU"/>
              </w:rPr>
              <w:t xml:space="preserve">133,113 </w:t>
            </w:r>
          </w:p>
        </w:tc>
      </w:tr>
      <w:tr w:rsidR="00BC5219" w:rsidRPr="00500AF1" w14:paraId="6A2C9925" w14:textId="77777777" w:rsidTr="00E83802">
        <w:trPr>
          <w:trHeight w:val="198"/>
        </w:trPr>
        <w:tc>
          <w:tcPr>
            <w:tcW w:w="6350" w:type="dxa"/>
            <w:tcBorders>
              <w:top w:val="nil"/>
              <w:left w:val="nil"/>
              <w:bottom w:val="nil"/>
              <w:right w:val="nil"/>
            </w:tcBorders>
            <w:shd w:val="clear" w:color="auto" w:fill="auto"/>
            <w:noWrap/>
            <w:vAlign w:val="center"/>
            <w:hideMark/>
          </w:tcPr>
          <w:p w14:paraId="50639742" w14:textId="77777777" w:rsidR="00BC5219" w:rsidRPr="00500AF1" w:rsidRDefault="00BC5219" w:rsidP="00E83802">
            <w:pPr>
              <w:outlineLvl w:val="0"/>
              <w:rPr>
                <w:rFonts w:ascii="Meta Pro" w:eastAsia="Times New Roman" w:hAnsi="Meta Pro"/>
                <w:szCs w:val="18"/>
                <w:lang w:eastAsia="en-AU"/>
              </w:rPr>
            </w:pPr>
            <w:r w:rsidRPr="00500AF1">
              <w:rPr>
                <w:rFonts w:ascii="Meta Pro" w:eastAsia="Times New Roman" w:hAnsi="Meta Pro"/>
                <w:szCs w:val="18"/>
                <w:lang w:eastAsia="en-AU"/>
              </w:rPr>
              <w:t>User charges and fees</w:t>
            </w:r>
          </w:p>
        </w:tc>
        <w:tc>
          <w:tcPr>
            <w:tcW w:w="1137" w:type="dxa"/>
            <w:tcBorders>
              <w:top w:val="nil"/>
              <w:left w:val="nil"/>
              <w:bottom w:val="nil"/>
              <w:right w:val="nil"/>
            </w:tcBorders>
            <w:shd w:val="clear" w:color="auto" w:fill="auto"/>
            <w:noWrap/>
            <w:vAlign w:val="center"/>
            <w:hideMark/>
          </w:tcPr>
          <w:p w14:paraId="17AE8E7A" w14:textId="77777777" w:rsidR="00BC5219" w:rsidRPr="00500AF1" w:rsidRDefault="00BC5219" w:rsidP="00E83802">
            <w:pPr>
              <w:jc w:val="right"/>
              <w:outlineLvl w:val="0"/>
              <w:rPr>
                <w:rFonts w:ascii="Meta Pro" w:eastAsia="Times New Roman" w:hAnsi="Meta Pro"/>
                <w:szCs w:val="18"/>
                <w:lang w:eastAsia="en-AU"/>
              </w:rPr>
            </w:pPr>
            <w:r w:rsidRPr="00500AF1">
              <w:rPr>
                <w:rFonts w:ascii="Meta Pro" w:eastAsia="Times New Roman" w:hAnsi="Meta Pro"/>
                <w:szCs w:val="18"/>
                <w:lang w:eastAsia="en-AU"/>
              </w:rPr>
              <w:t xml:space="preserve">672,936 </w:t>
            </w:r>
          </w:p>
        </w:tc>
        <w:tc>
          <w:tcPr>
            <w:tcW w:w="198" w:type="dxa"/>
            <w:tcBorders>
              <w:top w:val="nil"/>
              <w:left w:val="nil"/>
              <w:bottom w:val="nil"/>
              <w:right w:val="nil"/>
            </w:tcBorders>
            <w:shd w:val="clear" w:color="auto" w:fill="auto"/>
            <w:noWrap/>
            <w:vAlign w:val="center"/>
            <w:hideMark/>
          </w:tcPr>
          <w:p w14:paraId="1E9CAD72" w14:textId="77777777" w:rsidR="00BC5219" w:rsidRPr="00500AF1" w:rsidRDefault="00BC5219" w:rsidP="00E83802">
            <w:pPr>
              <w:jc w:val="right"/>
              <w:outlineLvl w:val="0"/>
              <w:rPr>
                <w:rFonts w:ascii="Meta Pro" w:eastAsia="Times New Roman" w:hAnsi="Meta Pro"/>
                <w:szCs w:val="18"/>
                <w:lang w:eastAsia="en-AU"/>
              </w:rPr>
            </w:pPr>
          </w:p>
        </w:tc>
        <w:tc>
          <w:tcPr>
            <w:tcW w:w="1137" w:type="dxa"/>
            <w:tcBorders>
              <w:top w:val="nil"/>
              <w:left w:val="nil"/>
              <w:bottom w:val="nil"/>
              <w:right w:val="nil"/>
            </w:tcBorders>
            <w:shd w:val="clear" w:color="auto" w:fill="auto"/>
            <w:noWrap/>
            <w:vAlign w:val="center"/>
            <w:hideMark/>
          </w:tcPr>
          <w:p w14:paraId="7BB6C10F" w14:textId="77777777" w:rsidR="00BC5219" w:rsidRPr="00500AF1" w:rsidRDefault="00BC5219" w:rsidP="00E83802">
            <w:pPr>
              <w:jc w:val="right"/>
              <w:outlineLvl w:val="0"/>
              <w:rPr>
                <w:rFonts w:ascii="Meta Pro" w:eastAsia="Times New Roman" w:hAnsi="Meta Pro"/>
                <w:szCs w:val="18"/>
                <w:lang w:eastAsia="en-AU"/>
              </w:rPr>
            </w:pPr>
            <w:r w:rsidRPr="00500AF1">
              <w:rPr>
                <w:rFonts w:ascii="Meta Pro" w:eastAsia="Times New Roman" w:hAnsi="Meta Pro"/>
                <w:szCs w:val="18"/>
                <w:lang w:eastAsia="en-AU"/>
              </w:rPr>
              <w:t xml:space="preserve">824,841 </w:t>
            </w:r>
          </w:p>
        </w:tc>
        <w:tc>
          <w:tcPr>
            <w:tcW w:w="198" w:type="dxa"/>
            <w:tcBorders>
              <w:top w:val="nil"/>
              <w:left w:val="nil"/>
              <w:bottom w:val="nil"/>
              <w:right w:val="nil"/>
            </w:tcBorders>
            <w:shd w:val="clear" w:color="auto" w:fill="auto"/>
            <w:noWrap/>
            <w:vAlign w:val="center"/>
            <w:hideMark/>
          </w:tcPr>
          <w:p w14:paraId="2D1943B4" w14:textId="77777777" w:rsidR="00BC5219" w:rsidRPr="00500AF1" w:rsidRDefault="00BC5219" w:rsidP="00E83802">
            <w:pPr>
              <w:jc w:val="right"/>
              <w:outlineLvl w:val="0"/>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3D470F8E" w14:textId="77777777" w:rsidR="00BC5219" w:rsidRPr="00500AF1" w:rsidRDefault="00BC5219" w:rsidP="00E83802">
            <w:pPr>
              <w:jc w:val="right"/>
              <w:outlineLvl w:val="0"/>
              <w:rPr>
                <w:rFonts w:ascii="Meta Pro" w:eastAsia="Times New Roman" w:hAnsi="Meta Pro"/>
                <w:szCs w:val="18"/>
                <w:lang w:eastAsia="en-AU"/>
              </w:rPr>
            </w:pPr>
            <w:r w:rsidRPr="00500AF1">
              <w:rPr>
                <w:rFonts w:ascii="Meta Pro" w:eastAsia="Times New Roman" w:hAnsi="Meta Pro"/>
                <w:szCs w:val="18"/>
                <w:lang w:eastAsia="en-AU"/>
              </w:rPr>
              <w:t xml:space="preserve">151,905 </w:t>
            </w:r>
          </w:p>
        </w:tc>
      </w:tr>
      <w:tr w:rsidR="00BC5219" w:rsidRPr="00500AF1" w14:paraId="524E5F49" w14:textId="77777777" w:rsidTr="00E83802">
        <w:trPr>
          <w:trHeight w:val="198"/>
        </w:trPr>
        <w:tc>
          <w:tcPr>
            <w:tcW w:w="6350" w:type="dxa"/>
            <w:tcBorders>
              <w:top w:val="nil"/>
              <w:left w:val="nil"/>
              <w:bottom w:val="nil"/>
              <w:right w:val="nil"/>
            </w:tcBorders>
            <w:shd w:val="clear" w:color="auto" w:fill="auto"/>
            <w:noWrap/>
            <w:vAlign w:val="center"/>
            <w:hideMark/>
          </w:tcPr>
          <w:p w14:paraId="4BFC031F" w14:textId="77777777" w:rsidR="00BC5219" w:rsidRPr="00500AF1" w:rsidRDefault="00BC5219" w:rsidP="00E83802">
            <w:pPr>
              <w:outlineLvl w:val="0"/>
              <w:rPr>
                <w:rFonts w:ascii="Meta Pro" w:eastAsia="Times New Roman" w:hAnsi="Meta Pro"/>
                <w:szCs w:val="18"/>
                <w:lang w:eastAsia="en-AU"/>
              </w:rPr>
            </w:pPr>
            <w:r w:rsidRPr="00500AF1">
              <w:rPr>
                <w:rFonts w:ascii="Meta Pro" w:eastAsia="Times New Roman" w:hAnsi="Meta Pro"/>
                <w:szCs w:val="18"/>
                <w:lang w:eastAsia="en-AU"/>
              </w:rPr>
              <w:t xml:space="preserve">Grants and other contributions </w:t>
            </w:r>
          </w:p>
        </w:tc>
        <w:tc>
          <w:tcPr>
            <w:tcW w:w="1137" w:type="dxa"/>
            <w:tcBorders>
              <w:top w:val="nil"/>
              <w:left w:val="nil"/>
              <w:bottom w:val="nil"/>
              <w:right w:val="nil"/>
            </w:tcBorders>
            <w:shd w:val="clear" w:color="auto" w:fill="auto"/>
            <w:noWrap/>
            <w:vAlign w:val="center"/>
            <w:hideMark/>
          </w:tcPr>
          <w:p w14:paraId="1E109E92" w14:textId="77777777" w:rsidR="00BC5219" w:rsidRPr="00500AF1" w:rsidRDefault="00BC5219" w:rsidP="00E83802">
            <w:pPr>
              <w:jc w:val="right"/>
              <w:outlineLvl w:val="0"/>
              <w:rPr>
                <w:rFonts w:ascii="Meta Pro" w:eastAsia="Times New Roman" w:hAnsi="Meta Pro"/>
                <w:szCs w:val="18"/>
                <w:lang w:eastAsia="en-AU"/>
              </w:rPr>
            </w:pPr>
            <w:r w:rsidRPr="00500AF1">
              <w:rPr>
                <w:rFonts w:ascii="Meta Pro" w:eastAsia="Times New Roman" w:hAnsi="Meta Pro"/>
                <w:szCs w:val="18"/>
                <w:lang w:eastAsia="en-AU"/>
              </w:rPr>
              <w:t xml:space="preserve">186,981 </w:t>
            </w:r>
          </w:p>
        </w:tc>
        <w:tc>
          <w:tcPr>
            <w:tcW w:w="198" w:type="dxa"/>
            <w:tcBorders>
              <w:top w:val="nil"/>
              <w:left w:val="nil"/>
              <w:bottom w:val="nil"/>
              <w:right w:val="nil"/>
            </w:tcBorders>
            <w:shd w:val="clear" w:color="auto" w:fill="auto"/>
            <w:noWrap/>
            <w:vAlign w:val="center"/>
            <w:hideMark/>
          </w:tcPr>
          <w:p w14:paraId="7EA00680" w14:textId="77777777" w:rsidR="00BC5219" w:rsidRPr="00500AF1" w:rsidRDefault="00BC5219" w:rsidP="00E83802">
            <w:pPr>
              <w:jc w:val="right"/>
              <w:outlineLvl w:val="0"/>
              <w:rPr>
                <w:rFonts w:ascii="Meta Pro" w:eastAsia="Times New Roman" w:hAnsi="Meta Pro"/>
                <w:szCs w:val="18"/>
                <w:lang w:eastAsia="en-AU"/>
              </w:rPr>
            </w:pPr>
          </w:p>
        </w:tc>
        <w:tc>
          <w:tcPr>
            <w:tcW w:w="1137" w:type="dxa"/>
            <w:tcBorders>
              <w:top w:val="nil"/>
              <w:left w:val="nil"/>
              <w:bottom w:val="nil"/>
              <w:right w:val="nil"/>
            </w:tcBorders>
            <w:shd w:val="clear" w:color="auto" w:fill="auto"/>
            <w:noWrap/>
            <w:vAlign w:val="center"/>
            <w:hideMark/>
          </w:tcPr>
          <w:p w14:paraId="5C2656EE" w14:textId="77777777" w:rsidR="00BC5219" w:rsidRPr="00500AF1" w:rsidRDefault="00BC5219" w:rsidP="00E83802">
            <w:pPr>
              <w:jc w:val="right"/>
              <w:outlineLvl w:val="0"/>
              <w:rPr>
                <w:rFonts w:ascii="Meta Pro" w:eastAsia="Times New Roman" w:hAnsi="Meta Pro"/>
                <w:szCs w:val="18"/>
                <w:lang w:eastAsia="en-AU"/>
              </w:rPr>
            </w:pPr>
            <w:r w:rsidRPr="00500AF1">
              <w:rPr>
                <w:rFonts w:ascii="Meta Pro" w:eastAsia="Times New Roman" w:hAnsi="Meta Pro"/>
                <w:szCs w:val="18"/>
                <w:lang w:eastAsia="en-AU"/>
              </w:rPr>
              <w:t xml:space="preserve">224,708 </w:t>
            </w:r>
          </w:p>
        </w:tc>
        <w:tc>
          <w:tcPr>
            <w:tcW w:w="198" w:type="dxa"/>
            <w:tcBorders>
              <w:top w:val="nil"/>
              <w:left w:val="nil"/>
              <w:bottom w:val="nil"/>
              <w:right w:val="nil"/>
            </w:tcBorders>
            <w:shd w:val="clear" w:color="auto" w:fill="auto"/>
            <w:noWrap/>
            <w:vAlign w:val="center"/>
            <w:hideMark/>
          </w:tcPr>
          <w:p w14:paraId="45E1E12C" w14:textId="77777777" w:rsidR="00BC5219" w:rsidRPr="00500AF1" w:rsidRDefault="00BC5219" w:rsidP="00E83802">
            <w:pPr>
              <w:jc w:val="right"/>
              <w:outlineLvl w:val="0"/>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0588205E" w14:textId="77777777" w:rsidR="00BC5219" w:rsidRPr="00500AF1" w:rsidRDefault="00BC5219" w:rsidP="00E83802">
            <w:pPr>
              <w:jc w:val="right"/>
              <w:outlineLvl w:val="0"/>
              <w:rPr>
                <w:rFonts w:ascii="Meta Pro" w:eastAsia="Times New Roman" w:hAnsi="Meta Pro"/>
                <w:szCs w:val="18"/>
                <w:lang w:eastAsia="en-AU"/>
              </w:rPr>
            </w:pPr>
            <w:r w:rsidRPr="00500AF1">
              <w:rPr>
                <w:rFonts w:ascii="Meta Pro" w:eastAsia="Times New Roman" w:hAnsi="Meta Pro"/>
                <w:szCs w:val="18"/>
                <w:lang w:eastAsia="en-AU"/>
              </w:rPr>
              <w:t xml:space="preserve">37,727 </w:t>
            </w:r>
          </w:p>
        </w:tc>
      </w:tr>
      <w:tr w:rsidR="00BC5219" w:rsidRPr="00500AF1" w14:paraId="34CA6A09" w14:textId="77777777" w:rsidTr="00E83802">
        <w:trPr>
          <w:trHeight w:val="198"/>
        </w:trPr>
        <w:tc>
          <w:tcPr>
            <w:tcW w:w="6350" w:type="dxa"/>
            <w:tcBorders>
              <w:top w:val="nil"/>
              <w:left w:val="nil"/>
              <w:bottom w:val="nil"/>
              <w:right w:val="nil"/>
            </w:tcBorders>
            <w:shd w:val="clear" w:color="auto" w:fill="auto"/>
            <w:noWrap/>
            <w:vAlign w:val="center"/>
            <w:hideMark/>
          </w:tcPr>
          <w:p w14:paraId="23AA42A5" w14:textId="77777777" w:rsidR="00BC5219" w:rsidRPr="00500AF1" w:rsidRDefault="00BC5219" w:rsidP="00E83802">
            <w:pPr>
              <w:outlineLvl w:val="0"/>
              <w:rPr>
                <w:rFonts w:ascii="Meta Pro" w:eastAsia="Times New Roman" w:hAnsi="Meta Pro"/>
                <w:szCs w:val="18"/>
                <w:lang w:eastAsia="en-AU"/>
              </w:rPr>
            </w:pPr>
            <w:r w:rsidRPr="00500AF1">
              <w:rPr>
                <w:rFonts w:ascii="Meta Pro" w:eastAsia="Times New Roman" w:hAnsi="Meta Pro"/>
                <w:szCs w:val="18"/>
                <w:lang w:eastAsia="en-AU"/>
              </w:rPr>
              <w:t>GST input tax credits from ATO</w:t>
            </w:r>
          </w:p>
        </w:tc>
        <w:tc>
          <w:tcPr>
            <w:tcW w:w="1137" w:type="dxa"/>
            <w:tcBorders>
              <w:top w:val="nil"/>
              <w:left w:val="nil"/>
              <w:bottom w:val="nil"/>
              <w:right w:val="nil"/>
            </w:tcBorders>
            <w:shd w:val="clear" w:color="auto" w:fill="auto"/>
            <w:noWrap/>
            <w:vAlign w:val="center"/>
            <w:hideMark/>
          </w:tcPr>
          <w:p w14:paraId="55CB8696" w14:textId="77777777" w:rsidR="00BC5219" w:rsidRPr="00500AF1" w:rsidRDefault="00BC5219" w:rsidP="00E83802">
            <w:pPr>
              <w:jc w:val="right"/>
              <w:outlineLvl w:val="0"/>
              <w:rPr>
                <w:rFonts w:ascii="Meta Pro" w:eastAsia="Times New Roman" w:hAnsi="Meta Pro"/>
                <w:szCs w:val="18"/>
                <w:lang w:eastAsia="en-AU"/>
              </w:rPr>
            </w:pPr>
            <w:r w:rsidRPr="00500AF1">
              <w:rPr>
                <w:rFonts w:ascii="Meta Pro" w:eastAsia="Times New Roman" w:hAnsi="Meta Pro"/>
                <w:szCs w:val="18"/>
                <w:lang w:eastAsia="en-AU"/>
              </w:rPr>
              <w:t xml:space="preserve">749,061 </w:t>
            </w:r>
          </w:p>
        </w:tc>
        <w:tc>
          <w:tcPr>
            <w:tcW w:w="198" w:type="dxa"/>
            <w:tcBorders>
              <w:top w:val="nil"/>
              <w:left w:val="nil"/>
              <w:bottom w:val="nil"/>
              <w:right w:val="nil"/>
            </w:tcBorders>
            <w:shd w:val="clear" w:color="auto" w:fill="auto"/>
            <w:noWrap/>
            <w:vAlign w:val="center"/>
            <w:hideMark/>
          </w:tcPr>
          <w:p w14:paraId="7BF70FBD" w14:textId="77777777" w:rsidR="00BC5219" w:rsidRPr="00500AF1" w:rsidRDefault="00BC5219" w:rsidP="00E83802">
            <w:pPr>
              <w:jc w:val="right"/>
              <w:outlineLvl w:val="0"/>
              <w:rPr>
                <w:rFonts w:ascii="Meta Pro" w:eastAsia="Times New Roman" w:hAnsi="Meta Pro"/>
                <w:szCs w:val="18"/>
                <w:lang w:eastAsia="en-AU"/>
              </w:rPr>
            </w:pPr>
          </w:p>
        </w:tc>
        <w:tc>
          <w:tcPr>
            <w:tcW w:w="1137" w:type="dxa"/>
            <w:tcBorders>
              <w:top w:val="nil"/>
              <w:left w:val="nil"/>
              <w:bottom w:val="nil"/>
              <w:right w:val="nil"/>
            </w:tcBorders>
            <w:shd w:val="clear" w:color="auto" w:fill="auto"/>
            <w:noWrap/>
            <w:vAlign w:val="center"/>
            <w:hideMark/>
          </w:tcPr>
          <w:p w14:paraId="5023D167" w14:textId="77777777" w:rsidR="00BC5219" w:rsidRPr="00500AF1" w:rsidRDefault="00BC5219" w:rsidP="00E83802">
            <w:pPr>
              <w:jc w:val="right"/>
              <w:outlineLvl w:val="0"/>
              <w:rPr>
                <w:rFonts w:ascii="Meta Pro" w:eastAsia="Times New Roman" w:hAnsi="Meta Pro"/>
                <w:szCs w:val="18"/>
                <w:lang w:eastAsia="en-AU"/>
              </w:rPr>
            </w:pPr>
            <w:r w:rsidRPr="00500AF1">
              <w:rPr>
                <w:rFonts w:ascii="Meta Pro" w:eastAsia="Times New Roman" w:hAnsi="Meta Pro"/>
                <w:szCs w:val="18"/>
                <w:lang w:eastAsia="en-AU"/>
              </w:rPr>
              <w:t xml:space="preserve">1,025,155 </w:t>
            </w:r>
          </w:p>
        </w:tc>
        <w:tc>
          <w:tcPr>
            <w:tcW w:w="198" w:type="dxa"/>
            <w:tcBorders>
              <w:top w:val="nil"/>
              <w:left w:val="nil"/>
              <w:bottom w:val="nil"/>
              <w:right w:val="nil"/>
            </w:tcBorders>
            <w:shd w:val="clear" w:color="auto" w:fill="auto"/>
            <w:noWrap/>
            <w:vAlign w:val="center"/>
            <w:hideMark/>
          </w:tcPr>
          <w:p w14:paraId="09252D1F" w14:textId="77777777" w:rsidR="00BC5219" w:rsidRPr="00500AF1" w:rsidRDefault="00BC5219" w:rsidP="00E83802">
            <w:pPr>
              <w:jc w:val="right"/>
              <w:outlineLvl w:val="0"/>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7240A36C" w14:textId="77777777" w:rsidR="00BC5219" w:rsidRPr="00500AF1" w:rsidRDefault="00BC5219" w:rsidP="00E83802">
            <w:pPr>
              <w:jc w:val="right"/>
              <w:outlineLvl w:val="0"/>
              <w:rPr>
                <w:rFonts w:ascii="Meta Pro" w:eastAsia="Times New Roman" w:hAnsi="Meta Pro"/>
                <w:szCs w:val="18"/>
                <w:lang w:eastAsia="en-AU"/>
              </w:rPr>
            </w:pPr>
            <w:r w:rsidRPr="00500AF1">
              <w:rPr>
                <w:rFonts w:ascii="Meta Pro" w:eastAsia="Times New Roman" w:hAnsi="Meta Pro"/>
                <w:szCs w:val="18"/>
                <w:lang w:eastAsia="en-AU"/>
              </w:rPr>
              <w:t xml:space="preserve">276,094 </w:t>
            </w:r>
          </w:p>
        </w:tc>
      </w:tr>
      <w:tr w:rsidR="00BC5219" w:rsidRPr="00500AF1" w14:paraId="42419A54" w14:textId="77777777" w:rsidTr="00E83802">
        <w:trPr>
          <w:trHeight w:val="198"/>
        </w:trPr>
        <w:tc>
          <w:tcPr>
            <w:tcW w:w="6350" w:type="dxa"/>
            <w:tcBorders>
              <w:top w:val="nil"/>
              <w:left w:val="nil"/>
              <w:bottom w:val="nil"/>
              <w:right w:val="nil"/>
            </w:tcBorders>
            <w:shd w:val="clear" w:color="auto" w:fill="auto"/>
            <w:noWrap/>
            <w:vAlign w:val="center"/>
            <w:hideMark/>
          </w:tcPr>
          <w:p w14:paraId="5452A23A" w14:textId="77777777" w:rsidR="00BC5219" w:rsidRPr="00500AF1" w:rsidRDefault="00BC5219" w:rsidP="00E83802">
            <w:pPr>
              <w:outlineLvl w:val="0"/>
              <w:rPr>
                <w:rFonts w:ascii="Meta Pro" w:eastAsia="Times New Roman" w:hAnsi="Meta Pro"/>
                <w:szCs w:val="18"/>
                <w:lang w:eastAsia="en-AU"/>
              </w:rPr>
            </w:pPr>
            <w:r w:rsidRPr="00500AF1">
              <w:rPr>
                <w:rFonts w:ascii="Meta Pro" w:eastAsia="Times New Roman" w:hAnsi="Meta Pro"/>
                <w:szCs w:val="18"/>
                <w:lang w:eastAsia="en-AU"/>
              </w:rPr>
              <w:t>GST collected from customers</w:t>
            </w:r>
          </w:p>
        </w:tc>
        <w:tc>
          <w:tcPr>
            <w:tcW w:w="1137" w:type="dxa"/>
            <w:tcBorders>
              <w:top w:val="nil"/>
              <w:left w:val="nil"/>
              <w:bottom w:val="nil"/>
              <w:right w:val="nil"/>
            </w:tcBorders>
            <w:shd w:val="clear" w:color="auto" w:fill="auto"/>
            <w:noWrap/>
            <w:vAlign w:val="center"/>
            <w:hideMark/>
          </w:tcPr>
          <w:p w14:paraId="01266570" w14:textId="77777777" w:rsidR="00BC5219" w:rsidRPr="00500AF1" w:rsidRDefault="00BC5219" w:rsidP="00E83802">
            <w:pPr>
              <w:jc w:val="right"/>
              <w:outlineLvl w:val="0"/>
              <w:rPr>
                <w:rFonts w:ascii="Meta Pro" w:eastAsia="Times New Roman" w:hAnsi="Meta Pro"/>
                <w:szCs w:val="18"/>
                <w:lang w:eastAsia="en-AU"/>
              </w:rPr>
            </w:pPr>
            <w:r w:rsidRPr="00500AF1">
              <w:rPr>
                <w:rFonts w:ascii="Meta Pro" w:eastAsia="Times New Roman" w:hAnsi="Meta Pro"/>
                <w:szCs w:val="18"/>
                <w:lang w:eastAsia="en-AU"/>
              </w:rPr>
              <w:t xml:space="preserve">69,778 </w:t>
            </w:r>
          </w:p>
        </w:tc>
        <w:tc>
          <w:tcPr>
            <w:tcW w:w="198" w:type="dxa"/>
            <w:tcBorders>
              <w:top w:val="nil"/>
              <w:left w:val="nil"/>
              <w:bottom w:val="nil"/>
              <w:right w:val="nil"/>
            </w:tcBorders>
            <w:shd w:val="clear" w:color="auto" w:fill="auto"/>
            <w:noWrap/>
            <w:vAlign w:val="center"/>
            <w:hideMark/>
          </w:tcPr>
          <w:p w14:paraId="390E2F69" w14:textId="77777777" w:rsidR="00BC5219" w:rsidRPr="00500AF1" w:rsidRDefault="00BC5219" w:rsidP="00E83802">
            <w:pPr>
              <w:jc w:val="right"/>
              <w:outlineLvl w:val="0"/>
              <w:rPr>
                <w:rFonts w:ascii="Meta Pro" w:eastAsia="Times New Roman" w:hAnsi="Meta Pro"/>
                <w:szCs w:val="18"/>
                <w:lang w:eastAsia="en-AU"/>
              </w:rPr>
            </w:pPr>
          </w:p>
        </w:tc>
        <w:tc>
          <w:tcPr>
            <w:tcW w:w="1137" w:type="dxa"/>
            <w:tcBorders>
              <w:top w:val="nil"/>
              <w:left w:val="nil"/>
              <w:bottom w:val="nil"/>
              <w:right w:val="nil"/>
            </w:tcBorders>
            <w:shd w:val="clear" w:color="auto" w:fill="auto"/>
            <w:noWrap/>
            <w:vAlign w:val="center"/>
            <w:hideMark/>
          </w:tcPr>
          <w:p w14:paraId="703DB20C" w14:textId="77777777" w:rsidR="00BC5219" w:rsidRPr="00500AF1" w:rsidRDefault="00BC5219" w:rsidP="00E83802">
            <w:pPr>
              <w:jc w:val="right"/>
              <w:outlineLvl w:val="0"/>
              <w:rPr>
                <w:rFonts w:ascii="Meta Pro" w:eastAsia="Times New Roman" w:hAnsi="Meta Pro"/>
                <w:szCs w:val="18"/>
                <w:lang w:eastAsia="en-AU"/>
              </w:rPr>
            </w:pPr>
            <w:r w:rsidRPr="00500AF1">
              <w:rPr>
                <w:rFonts w:ascii="Meta Pro" w:eastAsia="Times New Roman" w:hAnsi="Meta Pro"/>
                <w:szCs w:val="18"/>
                <w:lang w:eastAsia="en-AU"/>
              </w:rPr>
              <w:t xml:space="preserve">86,427 </w:t>
            </w:r>
          </w:p>
        </w:tc>
        <w:tc>
          <w:tcPr>
            <w:tcW w:w="198" w:type="dxa"/>
            <w:tcBorders>
              <w:top w:val="nil"/>
              <w:left w:val="nil"/>
              <w:bottom w:val="nil"/>
              <w:right w:val="nil"/>
            </w:tcBorders>
            <w:shd w:val="clear" w:color="auto" w:fill="auto"/>
            <w:noWrap/>
            <w:vAlign w:val="center"/>
            <w:hideMark/>
          </w:tcPr>
          <w:p w14:paraId="09E4790A" w14:textId="77777777" w:rsidR="00BC5219" w:rsidRPr="00500AF1" w:rsidRDefault="00BC5219" w:rsidP="00E83802">
            <w:pPr>
              <w:jc w:val="right"/>
              <w:outlineLvl w:val="0"/>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1D041FB8" w14:textId="77777777" w:rsidR="00BC5219" w:rsidRPr="00500AF1" w:rsidRDefault="00BC5219" w:rsidP="00E83802">
            <w:pPr>
              <w:jc w:val="right"/>
              <w:outlineLvl w:val="0"/>
              <w:rPr>
                <w:rFonts w:ascii="Meta Pro" w:eastAsia="Times New Roman" w:hAnsi="Meta Pro"/>
                <w:szCs w:val="18"/>
                <w:lang w:eastAsia="en-AU"/>
              </w:rPr>
            </w:pPr>
            <w:r w:rsidRPr="00500AF1">
              <w:rPr>
                <w:rFonts w:ascii="Meta Pro" w:eastAsia="Times New Roman" w:hAnsi="Meta Pro"/>
                <w:szCs w:val="18"/>
                <w:lang w:eastAsia="en-AU"/>
              </w:rPr>
              <w:t xml:space="preserve">16,649 </w:t>
            </w:r>
          </w:p>
        </w:tc>
      </w:tr>
      <w:tr w:rsidR="00BC5219" w:rsidRPr="00500AF1" w14:paraId="5C99F48C" w14:textId="77777777" w:rsidTr="00E83802">
        <w:trPr>
          <w:trHeight w:val="198"/>
        </w:trPr>
        <w:tc>
          <w:tcPr>
            <w:tcW w:w="6350" w:type="dxa"/>
            <w:tcBorders>
              <w:top w:val="nil"/>
              <w:left w:val="nil"/>
              <w:bottom w:val="nil"/>
              <w:right w:val="nil"/>
            </w:tcBorders>
            <w:shd w:val="clear" w:color="auto" w:fill="auto"/>
            <w:noWrap/>
            <w:vAlign w:val="center"/>
            <w:hideMark/>
          </w:tcPr>
          <w:p w14:paraId="69CA631A" w14:textId="77777777" w:rsidR="00BC5219" w:rsidRPr="00500AF1" w:rsidRDefault="00BC5219" w:rsidP="00E83802">
            <w:pPr>
              <w:outlineLvl w:val="0"/>
              <w:rPr>
                <w:rFonts w:ascii="Meta Pro" w:eastAsia="Times New Roman" w:hAnsi="Meta Pro"/>
                <w:szCs w:val="18"/>
                <w:lang w:eastAsia="en-AU"/>
              </w:rPr>
            </w:pPr>
            <w:r w:rsidRPr="00500AF1">
              <w:rPr>
                <w:rFonts w:ascii="Meta Pro" w:eastAsia="Times New Roman" w:hAnsi="Meta Pro"/>
                <w:szCs w:val="18"/>
                <w:lang w:eastAsia="en-AU"/>
              </w:rPr>
              <w:t xml:space="preserve">Other </w:t>
            </w:r>
          </w:p>
        </w:tc>
        <w:tc>
          <w:tcPr>
            <w:tcW w:w="1137" w:type="dxa"/>
            <w:tcBorders>
              <w:top w:val="nil"/>
              <w:left w:val="nil"/>
              <w:bottom w:val="nil"/>
              <w:right w:val="nil"/>
            </w:tcBorders>
            <w:shd w:val="clear" w:color="auto" w:fill="auto"/>
            <w:noWrap/>
            <w:vAlign w:val="center"/>
            <w:hideMark/>
          </w:tcPr>
          <w:p w14:paraId="1448CD71" w14:textId="77777777" w:rsidR="00BC5219" w:rsidRPr="00500AF1" w:rsidRDefault="00BC5219" w:rsidP="00E83802">
            <w:pPr>
              <w:jc w:val="right"/>
              <w:outlineLvl w:val="0"/>
              <w:rPr>
                <w:rFonts w:ascii="Meta Pro" w:eastAsia="Times New Roman" w:hAnsi="Meta Pro"/>
                <w:szCs w:val="18"/>
                <w:lang w:eastAsia="en-AU"/>
              </w:rPr>
            </w:pPr>
            <w:r w:rsidRPr="00500AF1">
              <w:rPr>
                <w:rFonts w:ascii="Meta Pro" w:eastAsia="Times New Roman" w:hAnsi="Meta Pro"/>
                <w:szCs w:val="18"/>
                <w:lang w:eastAsia="en-AU"/>
              </w:rPr>
              <w:t xml:space="preserve">13,676 </w:t>
            </w:r>
          </w:p>
        </w:tc>
        <w:tc>
          <w:tcPr>
            <w:tcW w:w="198" w:type="dxa"/>
            <w:tcBorders>
              <w:top w:val="nil"/>
              <w:left w:val="nil"/>
              <w:bottom w:val="nil"/>
              <w:right w:val="nil"/>
            </w:tcBorders>
            <w:shd w:val="clear" w:color="auto" w:fill="auto"/>
            <w:noWrap/>
            <w:vAlign w:val="center"/>
            <w:hideMark/>
          </w:tcPr>
          <w:p w14:paraId="47FE183B" w14:textId="77777777" w:rsidR="00BC5219" w:rsidRPr="00500AF1" w:rsidRDefault="00BC5219" w:rsidP="00E83802">
            <w:pPr>
              <w:jc w:val="right"/>
              <w:outlineLvl w:val="0"/>
              <w:rPr>
                <w:rFonts w:ascii="Meta Pro" w:eastAsia="Times New Roman" w:hAnsi="Meta Pro"/>
                <w:szCs w:val="18"/>
                <w:lang w:eastAsia="en-AU"/>
              </w:rPr>
            </w:pPr>
          </w:p>
        </w:tc>
        <w:tc>
          <w:tcPr>
            <w:tcW w:w="1137" w:type="dxa"/>
            <w:tcBorders>
              <w:top w:val="nil"/>
              <w:left w:val="nil"/>
              <w:bottom w:val="nil"/>
              <w:right w:val="nil"/>
            </w:tcBorders>
            <w:shd w:val="clear" w:color="auto" w:fill="auto"/>
            <w:noWrap/>
            <w:vAlign w:val="center"/>
            <w:hideMark/>
          </w:tcPr>
          <w:p w14:paraId="79F46167" w14:textId="77777777" w:rsidR="00BC5219" w:rsidRPr="00500AF1" w:rsidRDefault="00BC5219" w:rsidP="00E83802">
            <w:pPr>
              <w:jc w:val="right"/>
              <w:outlineLvl w:val="0"/>
              <w:rPr>
                <w:rFonts w:ascii="Meta Pro" w:eastAsia="Times New Roman" w:hAnsi="Meta Pro"/>
                <w:szCs w:val="18"/>
                <w:lang w:eastAsia="en-AU"/>
              </w:rPr>
            </w:pPr>
            <w:r w:rsidRPr="00500AF1">
              <w:rPr>
                <w:rFonts w:ascii="Meta Pro" w:eastAsia="Times New Roman" w:hAnsi="Meta Pro"/>
                <w:szCs w:val="18"/>
                <w:lang w:eastAsia="en-AU"/>
              </w:rPr>
              <w:t xml:space="preserve">32,532 </w:t>
            </w:r>
          </w:p>
        </w:tc>
        <w:tc>
          <w:tcPr>
            <w:tcW w:w="198" w:type="dxa"/>
            <w:tcBorders>
              <w:top w:val="nil"/>
              <w:left w:val="nil"/>
              <w:bottom w:val="nil"/>
              <w:right w:val="nil"/>
            </w:tcBorders>
            <w:shd w:val="clear" w:color="auto" w:fill="auto"/>
            <w:noWrap/>
            <w:vAlign w:val="center"/>
            <w:hideMark/>
          </w:tcPr>
          <w:p w14:paraId="2F49A1AF" w14:textId="77777777" w:rsidR="00BC5219" w:rsidRPr="00500AF1" w:rsidRDefault="00BC5219" w:rsidP="00E83802">
            <w:pPr>
              <w:jc w:val="right"/>
              <w:outlineLvl w:val="0"/>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36CC7464" w14:textId="77777777" w:rsidR="00BC5219" w:rsidRPr="00500AF1" w:rsidRDefault="00BC5219" w:rsidP="00E83802">
            <w:pPr>
              <w:jc w:val="right"/>
              <w:outlineLvl w:val="0"/>
              <w:rPr>
                <w:rFonts w:ascii="Meta Pro" w:eastAsia="Times New Roman" w:hAnsi="Meta Pro"/>
                <w:szCs w:val="18"/>
                <w:lang w:eastAsia="en-AU"/>
              </w:rPr>
            </w:pPr>
            <w:r w:rsidRPr="00500AF1">
              <w:rPr>
                <w:rFonts w:ascii="Meta Pro" w:eastAsia="Times New Roman" w:hAnsi="Meta Pro"/>
                <w:szCs w:val="18"/>
                <w:lang w:eastAsia="en-AU"/>
              </w:rPr>
              <w:t xml:space="preserve">18,856 </w:t>
            </w:r>
          </w:p>
        </w:tc>
      </w:tr>
      <w:tr w:rsidR="00BC5219" w:rsidRPr="00500AF1" w14:paraId="71AD4EB3" w14:textId="77777777" w:rsidTr="00E83802">
        <w:trPr>
          <w:trHeight w:val="198"/>
        </w:trPr>
        <w:tc>
          <w:tcPr>
            <w:tcW w:w="6350" w:type="dxa"/>
            <w:tcBorders>
              <w:top w:val="nil"/>
              <w:left w:val="nil"/>
              <w:bottom w:val="nil"/>
              <w:right w:val="nil"/>
            </w:tcBorders>
            <w:shd w:val="clear" w:color="auto" w:fill="auto"/>
            <w:noWrap/>
            <w:vAlign w:val="center"/>
            <w:hideMark/>
          </w:tcPr>
          <w:p w14:paraId="19477EFF" w14:textId="77777777" w:rsidR="00BC5219" w:rsidRPr="00500AF1" w:rsidRDefault="00BC5219" w:rsidP="00E83802">
            <w:pPr>
              <w:outlineLvl w:val="0"/>
              <w:rPr>
                <w:rFonts w:ascii="Meta Pro" w:eastAsia="Times New Roman" w:hAnsi="Meta Pro"/>
                <w:i/>
                <w:iCs/>
                <w:szCs w:val="18"/>
                <w:lang w:eastAsia="en-AU"/>
              </w:rPr>
            </w:pPr>
            <w:r w:rsidRPr="00500AF1">
              <w:rPr>
                <w:rFonts w:ascii="Meta Pro" w:eastAsia="Times New Roman" w:hAnsi="Meta Pro"/>
                <w:i/>
                <w:iCs/>
                <w:szCs w:val="18"/>
                <w:lang w:eastAsia="en-AU"/>
              </w:rPr>
              <w:t>Outflows:</w:t>
            </w:r>
          </w:p>
        </w:tc>
        <w:tc>
          <w:tcPr>
            <w:tcW w:w="1137" w:type="dxa"/>
            <w:tcBorders>
              <w:top w:val="nil"/>
              <w:left w:val="nil"/>
              <w:bottom w:val="nil"/>
              <w:right w:val="nil"/>
            </w:tcBorders>
            <w:shd w:val="clear" w:color="auto" w:fill="auto"/>
            <w:noWrap/>
            <w:vAlign w:val="center"/>
            <w:hideMark/>
          </w:tcPr>
          <w:p w14:paraId="66DFB1D5" w14:textId="77777777" w:rsidR="00BC5219" w:rsidRPr="00500AF1" w:rsidRDefault="00BC5219" w:rsidP="00E83802">
            <w:pPr>
              <w:outlineLvl w:val="0"/>
              <w:rPr>
                <w:rFonts w:ascii="Meta Pro" w:eastAsia="Times New Roman" w:hAnsi="Meta Pro"/>
                <w:i/>
                <w:iCs/>
                <w:szCs w:val="18"/>
                <w:lang w:eastAsia="en-AU"/>
              </w:rPr>
            </w:pPr>
          </w:p>
        </w:tc>
        <w:tc>
          <w:tcPr>
            <w:tcW w:w="198" w:type="dxa"/>
            <w:tcBorders>
              <w:top w:val="nil"/>
              <w:left w:val="nil"/>
              <w:bottom w:val="nil"/>
              <w:right w:val="nil"/>
            </w:tcBorders>
            <w:shd w:val="clear" w:color="auto" w:fill="auto"/>
            <w:noWrap/>
            <w:vAlign w:val="center"/>
            <w:hideMark/>
          </w:tcPr>
          <w:p w14:paraId="2EB6373C" w14:textId="77777777" w:rsidR="00BC5219" w:rsidRPr="00500AF1" w:rsidRDefault="00BC5219" w:rsidP="00E83802">
            <w:pPr>
              <w:outlineLvl w:val="0"/>
              <w:rPr>
                <w:rFonts w:ascii="Times New Roman" w:eastAsia="Times New Roman" w:hAnsi="Times New Roman" w:cs="Times New Roman"/>
                <w:sz w:val="20"/>
                <w:szCs w:val="20"/>
                <w:lang w:eastAsia="en-AU"/>
              </w:rPr>
            </w:pPr>
          </w:p>
        </w:tc>
        <w:tc>
          <w:tcPr>
            <w:tcW w:w="1137" w:type="dxa"/>
            <w:tcBorders>
              <w:top w:val="nil"/>
              <w:left w:val="nil"/>
              <w:bottom w:val="nil"/>
              <w:right w:val="nil"/>
            </w:tcBorders>
            <w:shd w:val="clear" w:color="auto" w:fill="auto"/>
            <w:noWrap/>
            <w:vAlign w:val="center"/>
            <w:hideMark/>
          </w:tcPr>
          <w:p w14:paraId="1F71C022" w14:textId="77777777" w:rsidR="00BC5219" w:rsidRPr="00500AF1" w:rsidRDefault="00BC5219" w:rsidP="00E83802">
            <w:pPr>
              <w:jc w:val="right"/>
              <w:outlineLvl w:val="0"/>
              <w:rPr>
                <w:rFonts w:ascii="Times New Roman" w:eastAsia="Times New Roman" w:hAnsi="Times New Roman"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69E488D4" w14:textId="77777777" w:rsidR="00BC5219" w:rsidRPr="00500AF1" w:rsidRDefault="00BC5219" w:rsidP="00E83802">
            <w:pPr>
              <w:outlineLvl w:val="0"/>
              <w:rPr>
                <w:rFonts w:ascii="Times New Roman" w:eastAsia="Times New Roman" w:hAnsi="Times New Roman" w:cs="Times New Roman"/>
                <w:sz w:val="20"/>
                <w:szCs w:val="20"/>
                <w:lang w:eastAsia="en-AU"/>
              </w:rPr>
            </w:pPr>
          </w:p>
        </w:tc>
        <w:tc>
          <w:tcPr>
            <w:tcW w:w="1140" w:type="dxa"/>
            <w:tcBorders>
              <w:top w:val="nil"/>
              <w:left w:val="nil"/>
              <w:bottom w:val="nil"/>
              <w:right w:val="nil"/>
            </w:tcBorders>
            <w:shd w:val="clear" w:color="auto" w:fill="auto"/>
            <w:noWrap/>
            <w:vAlign w:val="center"/>
            <w:hideMark/>
          </w:tcPr>
          <w:p w14:paraId="7F621ADB" w14:textId="77777777" w:rsidR="00BC5219" w:rsidRPr="00500AF1" w:rsidRDefault="00BC5219" w:rsidP="00E83802">
            <w:pPr>
              <w:jc w:val="right"/>
              <w:outlineLvl w:val="0"/>
              <w:rPr>
                <w:rFonts w:ascii="Times New Roman" w:eastAsia="Times New Roman" w:hAnsi="Times New Roman" w:cs="Times New Roman"/>
                <w:sz w:val="20"/>
                <w:szCs w:val="20"/>
                <w:lang w:eastAsia="en-AU"/>
              </w:rPr>
            </w:pPr>
          </w:p>
        </w:tc>
      </w:tr>
      <w:tr w:rsidR="00BC5219" w:rsidRPr="00500AF1" w14:paraId="53FB999F" w14:textId="77777777" w:rsidTr="00E83802">
        <w:trPr>
          <w:trHeight w:val="198"/>
        </w:trPr>
        <w:tc>
          <w:tcPr>
            <w:tcW w:w="6350" w:type="dxa"/>
            <w:tcBorders>
              <w:top w:val="nil"/>
              <w:left w:val="nil"/>
              <w:bottom w:val="nil"/>
              <w:right w:val="nil"/>
            </w:tcBorders>
            <w:shd w:val="clear" w:color="auto" w:fill="auto"/>
            <w:noWrap/>
            <w:vAlign w:val="center"/>
            <w:hideMark/>
          </w:tcPr>
          <w:p w14:paraId="20B10EB5" w14:textId="77777777" w:rsidR="00BC5219" w:rsidRPr="00500AF1" w:rsidRDefault="00BC5219" w:rsidP="00E83802">
            <w:pPr>
              <w:outlineLvl w:val="0"/>
              <w:rPr>
                <w:rFonts w:ascii="Meta Pro" w:eastAsia="Times New Roman" w:hAnsi="Meta Pro"/>
                <w:szCs w:val="18"/>
                <w:lang w:eastAsia="en-AU"/>
              </w:rPr>
            </w:pPr>
            <w:r w:rsidRPr="00500AF1">
              <w:rPr>
                <w:rFonts w:ascii="Meta Pro" w:eastAsia="Times New Roman" w:hAnsi="Meta Pro"/>
                <w:szCs w:val="18"/>
                <w:lang w:eastAsia="en-AU"/>
              </w:rPr>
              <w:t>Employee expenses</w:t>
            </w:r>
          </w:p>
        </w:tc>
        <w:tc>
          <w:tcPr>
            <w:tcW w:w="1137" w:type="dxa"/>
            <w:tcBorders>
              <w:top w:val="nil"/>
              <w:left w:val="nil"/>
              <w:bottom w:val="nil"/>
              <w:right w:val="nil"/>
            </w:tcBorders>
            <w:shd w:val="clear" w:color="auto" w:fill="auto"/>
            <w:noWrap/>
            <w:vAlign w:val="center"/>
            <w:hideMark/>
          </w:tcPr>
          <w:p w14:paraId="438DFBF6" w14:textId="77777777" w:rsidR="00BC5219" w:rsidRPr="00500AF1" w:rsidRDefault="00BC5219" w:rsidP="00E83802">
            <w:pPr>
              <w:jc w:val="right"/>
              <w:outlineLvl w:val="0"/>
              <w:rPr>
                <w:rFonts w:ascii="Meta Pro" w:eastAsia="Times New Roman" w:hAnsi="Meta Pro"/>
                <w:szCs w:val="18"/>
                <w:lang w:eastAsia="en-AU"/>
              </w:rPr>
            </w:pPr>
            <w:r w:rsidRPr="00500AF1">
              <w:rPr>
                <w:rFonts w:ascii="Meta Pro" w:eastAsia="Times New Roman" w:hAnsi="Meta Pro"/>
                <w:szCs w:val="18"/>
                <w:lang w:eastAsia="en-AU"/>
              </w:rPr>
              <w:t>(646,615)</w:t>
            </w:r>
          </w:p>
        </w:tc>
        <w:tc>
          <w:tcPr>
            <w:tcW w:w="198" w:type="dxa"/>
            <w:tcBorders>
              <w:top w:val="nil"/>
              <w:left w:val="nil"/>
              <w:bottom w:val="nil"/>
              <w:right w:val="nil"/>
            </w:tcBorders>
            <w:shd w:val="clear" w:color="auto" w:fill="auto"/>
            <w:noWrap/>
            <w:vAlign w:val="center"/>
            <w:hideMark/>
          </w:tcPr>
          <w:p w14:paraId="3907EDC6" w14:textId="77777777" w:rsidR="00BC5219" w:rsidRPr="00500AF1" w:rsidRDefault="00BC5219" w:rsidP="00E83802">
            <w:pPr>
              <w:jc w:val="right"/>
              <w:outlineLvl w:val="0"/>
              <w:rPr>
                <w:rFonts w:ascii="Meta Pro" w:eastAsia="Times New Roman" w:hAnsi="Meta Pro"/>
                <w:szCs w:val="18"/>
                <w:lang w:eastAsia="en-AU"/>
              </w:rPr>
            </w:pPr>
          </w:p>
        </w:tc>
        <w:tc>
          <w:tcPr>
            <w:tcW w:w="1137" w:type="dxa"/>
            <w:tcBorders>
              <w:top w:val="nil"/>
              <w:left w:val="nil"/>
              <w:bottom w:val="nil"/>
              <w:right w:val="nil"/>
            </w:tcBorders>
            <w:shd w:val="clear" w:color="auto" w:fill="auto"/>
            <w:noWrap/>
            <w:vAlign w:val="center"/>
            <w:hideMark/>
          </w:tcPr>
          <w:p w14:paraId="0039A3DE" w14:textId="77777777" w:rsidR="00BC5219" w:rsidRPr="00500AF1" w:rsidRDefault="00BC5219" w:rsidP="00E83802">
            <w:pPr>
              <w:jc w:val="right"/>
              <w:outlineLvl w:val="0"/>
              <w:rPr>
                <w:rFonts w:ascii="Meta Pro" w:eastAsia="Times New Roman" w:hAnsi="Meta Pro"/>
                <w:szCs w:val="18"/>
                <w:lang w:eastAsia="en-AU"/>
              </w:rPr>
            </w:pPr>
            <w:r w:rsidRPr="00500AF1">
              <w:rPr>
                <w:rFonts w:ascii="Meta Pro" w:eastAsia="Times New Roman" w:hAnsi="Meta Pro"/>
                <w:szCs w:val="18"/>
                <w:lang w:eastAsia="en-AU"/>
              </w:rPr>
              <w:t>(701,220)</w:t>
            </w:r>
          </w:p>
        </w:tc>
        <w:tc>
          <w:tcPr>
            <w:tcW w:w="198" w:type="dxa"/>
            <w:tcBorders>
              <w:top w:val="nil"/>
              <w:left w:val="nil"/>
              <w:bottom w:val="nil"/>
              <w:right w:val="nil"/>
            </w:tcBorders>
            <w:shd w:val="clear" w:color="auto" w:fill="auto"/>
            <w:noWrap/>
            <w:vAlign w:val="center"/>
            <w:hideMark/>
          </w:tcPr>
          <w:p w14:paraId="3E503472" w14:textId="77777777" w:rsidR="00BC5219" w:rsidRPr="00500AF1" w:rsidRDefault="00BC5219" w:rsidP="00E83802">
            <w:pPr>
              <w:jc w:val="right"/>
              <w:outlineLvl w:val="0"/>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25F8C71E" w14:textId="77777777" w:rsidR="00BC5219" w:rsidRPr="00500AF1" w:rsidRDefault="00BC5219" w:rsidP="00E83802">
            <w:pPr>
              <w:jc w:val="right"/>
              <w:outlineLvl w:val="0"/>
              <w:rPr>
                <w:rFonts w:ascii="Meta Pro" w:eastAsia="Times New Roman" w:hAnsi="Meta Pro"/>
                <w:szCs w:val="18"/>
                <w:lang w:eastAsia="en-AU"/>
              </w:rPr>
            </w:pPr>
            <w:r w:rsidRPr="00500AF1">
              <w:rPr>
                <w:rFonts w:ascii="Meta Pro" w:eastAsia="Times New Roman" w:hAnsi="Meta Pro"/>
                <w:szCs w:val="18"/>
                <w:lang w:eastAsia="en-AU"/>
              </w:rPr>
              <w:t>(54,605)</w:t>
            </w:r>
          </w:p>
        </w:tc>
      </w:tr>
      <w:tr w:rsidR="00BC5219" w:rsidRPr="00500AF1" w14:paraId="009C4CE7" w14:textId="77777777" w:rsidTr="00E83802">
        <w:trPr>
          <w:trHeight w:val="198"/>
        </w:trPr>
        <w:tc>
          <w:tcPr>
            <w:tcW w:w="6350" w:type="dxa"/>
            <w:tcBorders>
              <w:top w:val="nil"/>
              <w:left w:val="nil"/>
              <w:bottom w:val="nil"/>
              <w:right w:val="nil"/>
            </w:tcBorders>
            <w:shd w:val="clear" w:color="auto" w:fill="auto"/>
            <w:noWrap/>
            <w:vAlign w:val="center"/>
            <w:hideMark/>
          </w:tcPr>
          <w:p w14:paraId="76414CCA" w14:textId="77777777" w:rsidR="00BC5219" w:rsidRPr="00500AF1" w:rsidRDefault="00BC5219" w:rsidP="00E83802">
            <w:pPr>
              <w:outlineLvl w:val="0"/>
              <w:rPr>
                <w:rFonts w:ascii="Meta Pro" w:eastAsia="Times New Roman" w:hAnsi="Meta Pro"/>
                <w:szCs w:val="18"/>
                <w:lang w:eastAsia="en-AU"/>
              </w:rPr>
            </w:pPr>
            <w:r w:rsidRPr="00500AF1">
              <w:rPr>
                <w:rFonts w:ascii="Meta Pro" w:eastAsia="Times New Roman" w:hAnsi="Meta Pro"/>
                <w:szCs w:val="18"/>
                <w:lang w:eastAsia="en-AU"/>
              </w:rPr>
              <w:t xml:space="preserve">Supplies and services </w:t>
            </w:r>
          </w:p>
        </w:tc>
        <w:tc>
          <w:tcPr>
            <w:tcW w:w="1137" w:type="dxa"/>
            <w:tcBorders>
              <w:top w:val="nil"/>
              <w:left w:val="nil"/>
              <w:bottom w:val="nil"/>
              <w:right w:val="nil"/>
            </w:tcBorders>
            <w:shd w:val="clear" w:color="auto" w:fill="auto"/>
            <w:noWrap/>
            <w:vAlign w:val="center"/>
            <w:hideMark/>
          </w:tcPr>
          <w:p w14:paraId="422BCE07" w14:textId="77777777" w:rsidR="00BC5219" w:rsidRPr="00500AF1" w:rsidRDefault="00BC5219" w:rsidP="00E83802">
            <w:pPr>
              <w:jc w:val="right"/>
              <w:outlineLvl w:val="0"/>
              <w:rPr>
                <w:rFonts w:ascii="Meta Pro" w:eastAsia="Times New Roman" w:hAnsi="Meta Pro"/>
                <w:szCs w:val="18"/>
                <w:lang w:eastAsia="en-AU"/>
              </w:rPr>
            </w:pPr>
            <w:r w:rsidRPr="00500AF1">
              <w:rPr>
                <w:rFonts w:ascii="Meta Pro" w:eastAsia="Times New Roman" w:hAnsi="Meta Pro"/>
                <w:szCs w:val="18"/>
                <w:lang w:eastAsia="en-AU"/>
              </w:rPr>
              <w:t>(4,339,535)</w:t>
            </w:r>
          </w:p>
        </w:tc>
        <w:tc>
          <w:tcPr>
            <w:tcW w:w="198" w:type="dxa"/>
            <w:tcBorders>
              <w:top w:val="nil"/>
              <w:left w:val="nil"/>
              <w:bottom w:val="nil"/>
              <w:right w:val="nil"/>
            </w:tcBorders>
            <w:shd w:val="clear" w:color="auto" w:fill="auto"/>
            <w:noWrap/>
            <w:vAlign w:val="center"/>
            <w:hideMark/>
          </w:tcPr>
          <w:p w14:paraId="258BCB12" w14:textId="77777777" w:rsidR="00BC5219" w:rsidRPr="00500AF1" w:rsidRDefault="00BC5219" w:rsidP="00E83802">
            <w:pPr>
              <w:jc w:val="right"/>
              <w:outlineLvl w:val="0"/>
              <w:rPr>
                <w:rFonts w:ascii="Meta Pro" w:eastAsia="Times New Roman" w:hAnsi="Meta Pro"/>
                <w:szCs w:val="18"/>
                <w:lang w:eastAsia="en-AU"/>
              </w:rPr>
            </w:pPr>
          </w:p>
        </w:tc>
        <w:tc>
          <w:tcPr>
            <w:tcW w:w="1137" w:type="dxa"/>
            <w:tcBorders>
              <w:top w:val="nil"/>
              <w:left w:val="nil"/>
              <w:bottom w:val="nil"/>
              <w:right w:val="nil"/>
            </w:tcBorders>
            <w:shd w:val="clear" w:color="auto" w:fill="auto"/>
            <w:noWrap/>
            <w:vAlign w:val="center"/>
            <w:hideMark/>
          </w:tcPr>
          <w:p w14:paraId="7EFA33EC" w14:textId="77777777" w:rsidR="00BC5219" w:rsidRPr="00500AF1" w:rsidRDefault="00BC5219" w:rsidP="00E83802">
            <w:pPr>
              <w:jc w:val="right"/>
              <w:outlineLvl w:val="0"/>
              <w:rPr>
                <w:rFonts w:ascii="Meta Pro" w:eastAsia="Times New Roman" w:hAnsi="Meta Pro"/>
                <w:szCs w:val="18"/>
                <w:lang w:eastAsia="en-AU"/>
              </w:rPr>
            </w:pPr>
            <w:r w:rsidRPr="00500AF1">
              <w:rPr>
                <w:rFonts w:ascii="Meta Pro" w:eastAsia="Times New Roman" w:hAnsi="Meta Pro"/>
                <w:szCs w:val="18"/>
                <w:lang w:eastAsia="en-AU"/>
              </w:rPr>
              <w:t>(4,357,085)</w:t>
            </w:r>
          </w:p>
        </w:tc>
        <w:tc>
          <w:tcPr>
            <w:tcW w:w="198" w:type="dxa"/>
            <w:tcBorders>
              <w:top w:val="nil"/>
              <w:left w:val="nil"/>
              <w:bottom w:val="nil"/>
              <w:right w:val="nil"/>
            </w:tcBorders>
            <w:shd w:val="clear" w:color="auto" w:fill="auto"/>
            <w:noWrap/>
            <w:vAlign w:val="center"/>
            <w:hideMark/>
          </w:tcPr>
          <w:p w14:paraId="5FA6E263" w14:textId="77777777" w:rsidR="00BC5219" w:rsidRPr="00500AF1" w:rsidRDefault="00BC5219" w:rsidP="00E83802">
            <w:pPr>
              <w:jc w:val="right"/>
              <w:outlineLvl w:val="0"/>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2047E155" w14:textId="77777777" w:rsidR="00BC5219" w:rsidRPr="00500AF1" w:rsidRDefault="00BC5219" w:rsidP="00E83802">
            <w:pPr>
              <w:jc w:val="right"/>
              <w:outlineLvl w:val="0"/>
              <w:rPr>
                <w:rFonts w:ascii="Meta Pro" w:eastAsia="Times New Roman" w:hAnsi="Meta Pro"/>
                <w:szCs w:val="18"/>
                <w:lang w:eastAsia="en-AU"/>
              </w:rPr>
            </w:pPr>
            <w:r w:rsidRPr="00500AF1">
              <w:rPr>
                <w:rFonts w:ascii="Meta Pro" w:eastAsia="Times New Roman" w:hAnsi="Meta Pro"/>
                <w:szCs w:val="18"/>
                <w:lang w:eastAsia="en-AU"/>
              </w:rPr>
              <w:t>(17,550)</w:t>
            </w:r>
          </w:p>
        </w:tc>
      </w:tr>
      <w:tr w:rsidR="00BC5219" w:rsidRPr="00500AF1" w14:paraId="7A9AB395" w14:textId="77777777" w:rsidTr="00E83802">
        <w:trPr>
          <w:trHeight w:val="198"/>
        </w:trPr>
        <w:tc>
          <w:tcPr>
            <w:tcW w:w="6350" w:type="dxa"/>
            <w:tcBorders>
              <w:top w:val="nil"/>
              <w:left w:val="nil"/>
              <w:bottom w:val="nil"/>
              <w:right w:val="nil"/>
            </w:tcBorders>
            <w:shd w:val="clear" w:color="auto" w:fill="auto"/>
            <w:noWrap/>
            <w:vAlign w:val="center"/>
            <w:hideMark/>
          </w:tcPr>
          <w:p w14:paraId="073EF74A" w14:textId="77777777" w:rsidR="00BC5219" w:rsidRPr="00500AF1" w:rsidRDefault="00BC5219" w:rsidP="00E83802">
            <w:pPr>
              <w:outlineLvl w:val="0"/>
              <w:rPr>
                <w:rFonts w:ascii="Meta Pro" w:eastAsia="Times New Roman" w:hAnsi="Meta Pro"/>
                <w:szCs w:val="18"/>
                <w:lang w:eastAsia="en-AU"/>
              </w:rPr>
            </w:pPr>
            <w:r w:rsidRPr="00500AF1">
              <w:rPr>
                <w:rFonts w:ascii="Meta Pro" w:eastAsia="Times New Roman" w:hAnsi="Meta Pro"/>
                <w:szCs w:val="18"/>
                <w:lang w:eastAsia="en-AU"/>
              </w:rPr>
              <w:t>Grants and subsidies</w:t>
            </w:r>
          </w:p>
        </w:tc>
        <w:tc>
          <w:tcPr>
            <w:tcW w:w="1137" w:type="dxa"/>
            <w:tcBorders>
              <w:top w:val="nil"/>
              <w:left w:val="nil"/>
              <w:bottom w:val="nil"/>
              <w:right w:val="nil"/>
            </w:tcBorders>
            <w:shd w:val="clear" w:color="auto" w:fill="auto"/>
            <w:noWrap/>
            <w:vAlign w:val="center"/>
            <w:hideMark/>
          </w:tcPr>
          <w:p w14:paraId="15A17C4C" w14:textId="77777777" w:rsidR="00BC5219" w:rsidRPr="00500AF1" w:rsidRDefault="00BC5219" w:rsidP="00E83802">
            <w:pPr>
              <w:jc w:val="right"/>
              <w:outlineLvl w:val="0"/>
              <w:rPr>
                <w:rFonts w:ascii="Meta Pro" w:eastAsia="Times New Roman" w:hAnsi="Meta Pro"/>
                <w:szCs w:val="18"/>
                <w:lang w:eastAsia="en-AU"/>
              </w:rPr>
            </w:pPr>
            <w:r w:rsidRPr="00500AF1">
              <w:rPr>
                <w:rFonts w:ascii="Meta Pro" w:eastAsia="Times New Roman" w:hAnsi="Meta Pro"/>
                <w:szCs w:val="18"/>
                <w:lang w:eastAsia="en-AU"/>
              </w:rPr>
              <w:t>(777,369)</w:t>
            </w:r>
          </w:p>
        </w:tc>
        <w:tc>
          <w:tcPr>
            <w:tcW w:w="198" w:type="dxa"/>
            <w:tcBorders>
              <w:top w:val="nil"/>
              <w:left w:val="nil"/>
              <w:bottom w:val="nil"/>
              <w:right w:val="nil"/>
            </w:tcBorders>
            <w:shd w:val="clear" w:color="auto" w:fill="auto"/>
            <w:noWrap/>
            <w:vAlign w:val="center"/>
            <w:hideMark/>
          </w:tcPr>
          <w:p w14:paraId="6F2A273E" w14:textId="77777777" w:rsidR="00BC5219" w:rsidRPr="00500AF1" w:rsidRDefault="00BC5219" w:rsidP="00E83802">
            <w:pPr>
              <w:jc w:val="right"/>
              <w:outlineLvl w:val="0"/>
              <w:rPr>
                <w:rFonts w:ascii="Meta Pro" w:eastAsia="Times New Roman" w:hAnsi="Meta Pro"/>
                <w:szCs w:val="18"/>
                <w:lang w:eastAsia="en-AU"/>
              </w:rPr>
            </w:pPr>
          </w:p>
        </w:tc>
        <w:tc>
          <w:tcPr>
            <w:tcW w:w="1137" w:type="dxa"/>
            <w:tcBorders>
              <w:top w:val="nil"/>
              <w:left w:val="nil"/>
              <w:bottom w:val="nil"/>
              <w:right w:val="nil"/>
            </w:tcBorders>
            <w:shd w:val="clear" w:color="auto" w:fill="auto"/>
            <w:noWrap/>
            <w:vAlign w:val="center"/>
            <w:hideMark/>
          </w:tcPr>
          <w:p w14:paraId="3F305D7D" w14:textId="77777777" w:rsidR="00BC5219" w:rsidRPr="00500AF1" w:rsidRDefault="00BC5219" w:rsidP="00E83802">
            <w:pPr>
              <w:jc w:val="right"/>
              <w:outlineLvl w:val="0"/>
              <w:rPr>
                <w:rFonts w:ascii="Meta Pro" w:eastAsia="Times New Roman" w:hAnsi="Meta Pro"/>
                <w:szCs w:val="18"/>
                <w:lang w:eastAsia="en-AU"/>
              </w:rPr>
            </w:pPr>
            <w:r w:rsidRPr="00500AF1">
              <w:rPr>
                <w:rFonts w:ascii="Meta Pro" w:eastAsia="Times New Roman" w:hAnsi="Meta Pro"/>
                <w:szCs w:val="18"/>
                <w:lang w:eastAsia="en-AU"/>
              </w:rPr>
              <w:t>(776,813)</w:t>
            </w:r>
          </w:p>
        </w:tc>
        <w:tc>
          <w:tcPr>
            <w:tcW w:w="198" w:type="dxa"/>
            <w:tcBorders>
              <w:top w:val="nil"/>
              <w:left w:val="nil"/>
              <w:bottom w:val="nil"/>
              <w:right w:val="nil"/>
            </w:tcBorders>
            <w:shd w:val="clear" w:color="auto" w:fill="auto"/>
            <w:noWrap/>
            <w:vAlign w:val="center"/>
            <w:hideMark/>
          </w:tcPr>
          <w:p w14:paraId="3D7F4C1E" w14:textId="77777777" w:rsidR="00BC5219" w:rsidRPr="00500AF1" w:rsidRDefault="00BC5219" w:rsidP="00E83802">
            <w:pPr>
              <w:jc w:val="right"/>
              <w:outlineLvl w:val="0"/>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5797EE38" w14:textId="77777777" w:rsidR="00BC5219" w:rsidRPr="00500AF1" w:rsidRDefault="00BC5219" w:rsidP="00E83802">
            <w:pPr>
              <w:jc w:val="right"/>
              <w:outlineLvl w:val="0"/>
              <w:rPr>
                <w:rFonts w:ascii="Meta Pro" w:eastAsia="Times New Roman" w:hAnsi="Meta Pro"/>
                <w:szCs w:val="18"/>
                <w:lang w:eastAsia="en-AU"/>
              </w:rPr>
            </w:pPr>
            <w:r w:rsidRPr="00500AF1">
              <w:rPr>
                <w:rFonts w:ascii="Meta Pro" w:eastAsia="Times New Roman" w:hAnsi="Meta Pro"/>
                <w:szCs w:val="18"/>
                <w:lang w:eastAsia="en-AU"/>
              </w:rPr>
              <w:t xml:space="preserve">556 </w:t>
            </w:r>
          </w:p>
        </w:tc>
      </w:tr>
      <w:tr w:rsidR="00BC5219" w:rsidRPr="00500AF1" w14:paraId="7D0A94B0" w14:textId="77777777" w:rsidTr="00E83802">
        <w:trPr>
          <w:trHeight w:val="198"/>
        </w:trPr>
        <w:tc>
          <w:tcPr>
            <w:tcW w:w="6350" w:type="dxa"/>
            <w:tcBorders>
              <w:top w:val="nil"/>
              <w:left w:val="nil"/>
              <w:bottom w:val="nil"/>
              <w:right w:val="nil"/>
            </w:tcBorders>
            <w:shd w:val="clear" w:color="auto" w:fill="auto"/>
            <w:noWrap/>
            <w:vAlign w:val="center"/>
            <w:hideMark/>
          </w:tcPr>
          <w:p w14:paraId="1BE841C9" w14:textId="77777777" w:rsidR="00BC5219" w:rsidRPr="00500AF1" w:rsidRDefault="00BC5219" w:rsidP="00E83802">
            <w:pPr>
              <w:outlineLvl w:val="0"/>
              <w:rPr>
                <w:rFonts w:ascii="Meta Pro" w:eastAsia="Times New Roman" w:hAnsi="Meta Pro"/>
                <w:szCs w:val="18"/>
                <w:lang w:eastAsia="en-AU"/>
              </w:rPr>
            </w:pPr>
            <w:r w:rsidRPr="00500AF1">
              <w:rPr>
                <w:rFonts w:ascii="Meta Pro" w:eastAsia="Times New Roman" w:hAnsi="Meta Pro"/>
                <w:szCs w:val="18"/>
                <w:lang w:eastAsia="en-AU"/>
              </w:rPr>
              <w:t>Finance and borrowing costs</w:t>
            </w:r>
          </w:p>
        </w:tc>
        <w:tc>
          <w:tcPr>
            <w:tcW w:w="1137" w:type="dxa"/>
            <w:tcBorders>
              <w:top w:val="nil"/>
              <w:left w:val="nil"/>
              <w:bottom w:val="nil"/>
              <w:right w:val="nil"/>
            </w:tcBorders>
            <w:shd w:val="clear" w:color="auto" w:fill="auto"/>
            <w:noWrap/>
            <w:vAlign w:val="center"/>
            <w:hideMark/>
          </w:tcPr>
          <w:p w14:paraId="383069CD" w14:textId="77777777" w:rsidR="00BC5219" w:rsidRPr="00500AF1" w:rsidRDefault="00BC5219" w:rsidP="00E83802">
            <w:pPr>
              <w:jc w:val="right"/>
              <w:outlineLvl w:val="0"/>
              <w:rPr>
                <w:rFonts w:ascii="Meta Pro" w:eastAsia="Times New Roman" w:hAnsi="Meta Pro"/>
                <w:szCs w:val="18"/>
                <w:lang w:eastAsia="en-AU"/>
              </w:rPr>
            </w:pPr>
            <w:r w:rsidRPr="00500AF1">
              <w:rPr>
                <w:rFonts w:ascii="Meta Pro" w:eastAsia="Times New Roman" w:hAnsi="Meta Pro"/>
                <w:szCs w:val="18"/>
                <w:lang w:eastAsia="en-AU"/>
              </w:rPr>
              <w:t>(75,656)</w:t>
            </w:r>
          </w:p>
        </w:tc>
        <w:tc>
          <w:tcPr>
            <w:tcW w:w="198" w:type="dxa"/>
            <w:tcBorders>
              <w:top w:val="nil"/>
              <w:left w:val="nil"/>
              <w:bottom w:val="nil"/>
              <w:right w:val="nil"/>
            </w:tcBorders>
            <w:shd w:val="clear" w:color="auto" w:fill="auto"/>
            <w:noWrap/>
            <w:vAlign w:val="center"/>
            <w:hideMark/>
          </w:tcPr>
          <w:p w14:paraId="3457B6A3" w14:textId="77777777" w:rsidR="00BC5219" w:rsidRPr="00500AF1" w:rsidRDefault="00BC5219" w:rsidP="00E83802">
            <w:pPr>
              <w:jc w:val="right"/>
              <w:outlineLvl w:val="0"/>
              <w:rPr>
                <w:rFonts w:ascii="Meta Pro" w:eastAsia="Times New Roman" w:hAnsi="Meta Pro"/>
                <w:szCs w:val="18"/>
                <w:lang w:eastAsia="en-AU"/>
              </w:rPr>
            </w:pPr>
          </w:p>
        </w:tc>
        <w:tc>
          <w:tcPr>
            <w:tcW w:w="1137" w:type="dxa"/>
            <w:tcBorders>
              <w:top w:val="nil"/>
              <w:left w:val="nil"/>
              <w:bottom w:val="nil"/>
              <w:right w:val="nil"/>
            </w:tcBorders>
            <w:shd w:val="clear" w:color="auto" w:fill="auto"/>
            <w:noWrap/>
            <w:vAlign w:val="center"/>
            <w:hideMark/>
          </w:tcPr>
          <w:p w14:paraId="24066AE6" w14:textId="77777777" w:rsidR="00BC5219" w:rsidRPr="00500AF1" w:rsidRDefault="00BC5219" w:rsidP="00E83802">
            <w:pPr>
              <w:jc w:val="right"/>
              <w:outlineLvl w:val="0"/>
              <w:rPr>
                <w:rFonts w:ascii="Meta Pro" w:eastAsia="Times New Roman" w:hAnsi="Meta Pro"/>
                <w:szCs w:val="18"/>
                <w:lang w:eastAsia="en-AU"/>
              </w:rPr>
            </w:pPr>
            <w:r w:rsidRPr="00500AF1">
              <w:rPr>
                <w:rFonts w:ascii="Meta Pro" w:eastAsia="Times New Roman" w:hAnsi="Meta Pro"/>
                <w:szCs w:val="18"/>
                <w:lang w:eastAsia="en-AU"/>
              </w:rPr>
              <w:t>(92,208)</w:t>
            </w:r>
          </w:p>
        </w:tc>
        <w:tc>
          <w:tcPr>
            <w:tcW w:w="198" w:type="dxa"/>
            <w:tcBorders>
              <w:top w:val="nil"/>
              <w:left w:val="nil"/>
              <w:bottom w:val="nil"/>
              <w:right w:val="nil"/>
            </w:tcBorders>
            <w:shd w:val="clear" w:color="auto" w:fill="auto"/>
            <w:noWrap/>
            <w:vAlign w:val="center"/>
            <w:hideMark/>
          </w:tcPr>
          <w:p w14:paraId="253FD1AC" w14:textId="77777777" w:rsidR="00BC5219" w:rsidRPr="00500AF1" w:rsidRDefault="00BC5219" w:rsidP="00E83802">
            <w:pPr>
              <w:jc w:val="right"/>
              <w:outlineLvl w:val="0"/>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1C5B7E57" w14:textId="77777777" w:rsidR="00BC5219" w:rsidRPr="00500AF1" w:rsidRDefault="00BC5219" w:rsidP="00E83802">
            <w:pPr>
              <w:jc w:val="right"/>
              <w:outlineLvl w:val="0"/>
              <w:rPr>
                <w:rFonts w:ascii="Meta Pro" w:eastAsia="Times New Roman" w:hAnsi="Meta Pro"/>
                <w:szCs w:val="18"/>
                <w:lang w:eastAsia="en-AU"/>
              </w:rPr>
            </w:pPr>
            <w:r w:rsidRPr="00500AF1">
              <w:rPr>
                <w:rFonts w:ascii="Meta Pro" w:eastAsia="Times New Roman" w:hAnsi="Meta Pro"/>
                <w:szCs w:val="18"/>
                <w:lang w:eastAsia="en-AU"/>
              </w:rPr>
              <w:t>(16,552)</w:t>
            </w:r>
          </w:p>
        </w:tc>
      </w:tr>
      <w:tr w:rsidR="00BC5219" w:rsidRPr="00500AF1" w14:paraId="718A68F6" w14:textId="77777777" w:rsidTr="00E83802">
        <w:trPr>
          <w:trHeight w:val="198"/>
        </w:trPr>
        <w:tc>
          <w:tcPr>
            <w:tcW w:w="6350" w:type="dxa"/>
            <w:tcBorders>
              <w:top w:val="nil"/>
              <w:left w:val="nil"/>
              <w:bottom w:val="nil"/>
              <w:right w:val="nil"/>
            </w:tcBorders>
            <w:shd w:val="clear" w:color="auto" w:fill="auto"/>
            <w:noWrap/>
            <w:vAlign w:val="center"/>
            <w:hideMark/>
          </w:tcPr>
          <w:p w14:paraId="19F70FE9" w14:textId="77777777" w:rsidR="00BC5219" w:rsidRPr="00500AF1" w:rsidRDefault="00BC5219" w:rsidP="00E83802">
            <w:pPr>
              <w:outlineLvl w:val="0"/>
              <w:rPr>
                <w:rFonts w:ascii="Meta Pro" w:eastAsia="Times New Roman" w:hAnsi="Meta Pro"/>
                <w:szCs w:val="18"/>
                <w:lang w:eastAsia="en-AU"/>
              </w:rPr>
            </w:pPr>
            <w:r w:rsidRPr="00500AF1">
              <w:rPr>
                <w:rFonts w:ascii="Meta Pro" w:eastAsia="Times New Roman" w:hAnsi="Meta Pro"/>
                <w:szCs w:val="18"/>
                <w:lang w:eastAsia="en-AU"/>
              </w:rPr>
              <w:t>GST paid to suppliers</w:t>
            </w:r>
          </w:p>
        </w:tc>
        <w:tc>
          <w:tcPr>
            <w:tcW w:w="1137" w:type="dxa"/>
            <w:tcBorders>
              <w:top w:val="nil"/>
              <w:left w:val="nil"/>
              <w:bottom w:val="nil"/>
              <w:right w:val="nil"/>
            </w:tcBorders>
            <w:shd w:val="clear" w:color="auto" w:fill="auto"/>
            <w:noWrap/>
            <w:vAlign w:val="center"/>
            <w:hideMark/>
          </w:tcPr>
          <w:p w14:paraId="362A2DBE" w14:textId="77777777" w:rsidR="00BC5219" w:rsidRPr="00500AF1" w:rsidRDefault="00BC5219" w:rsidP="00E83802">
            <w:pPr>
              <w:jc w:val="right"/>
              <w:outlineLvl w:val="0"/>
              <w:rPr>
                <w:rFonts w:ascii="Meta Pro" w:eastAsia="Times New Roman" w:hAnsi="Meta Pro"/>
                <w:szCs w:val="18"/>
                <w:lang w:eastAsia="en-AU"/>
              </w:rPr>
            </w:pPr>
            <w:r w:rsidRPr="00500AF1">
              <w:rPr>
                <w:rFonts w:ascii="Meta Pro" w:eastAsia="Times New Roman" w:hAnsi="Meta Pro"/>
                <w:szCs w:val="18"/>
                <w:lang w:eastAsia="en-AU"/>
              </w:rPr>
              <w:t>(750,272)</w:t>
            </w:r>
          </w:p>
        </w:tc>
        <w:tc>
          <w:tcPr>
            <w:tcW w:w="198" w:type="dxa"/>
            <w:tcBorders>
              <w:top w:val="nil"/>
              <w:left w:val="nil"/>
              <w:bottom w:val="nil"/>
              <w:right w:val="nil"/>
            </w:tcBorders>
            <w:shd w:val="clear" w:color="auto" w:fill="auto"/>
            <w:noWrap/>
            <w:vAlign w:val="center"/>
            <w:hideMark/>
          </w:tcPr>
          <w:p w14:paraId="0B29B289" w14:textId="77777777" w:rsidR="00BC5219" w:rsidRPr="00500AF1" w:rsidRDefault="00BC5219" w:rsidP="00E83802">
            <w:pPr>
              <w:jc w:val="right"/>
              <w:outlineLvl w:val="0"/>
              <w:rPr>
                <w:rFonts w:ascii="Meta Pro" w:eastAsia="Times New Roman" w:hAnsi="Meta Pro"/>
                <w:szCs w:val="18"/>
                <w:lang w:eastAsia="en-AU"/>
              </w:rPr>
            </w:pPr>
          </w:p>
        </w:tc>
        <w:tc>
          <w:tcPr>
            <w:tcW w:w="1137" w:type="dxa"/>
            <w:tcBorders>
              <w:top w:val="nil"/>
              <w:left w:val="nil"/>
              <w:bottom w:val="nil"/>
              <w:right w:val="nil"/>
            </w:tcBorders>
            <w:shd w:val="clear" w:color="auto" w:fill="auto"/>
            <w:noWrap/>
            <w:vAlign w:val="center"/>
            <w:hideMark/>
          </w:tcPr>
          <w:p w14:paraId="59B2E372" w14:textId="77777777" w:rsidR="00BC5219" w:rsidRPr="00500AF1" w:rsidRDefault="00BC5219" w:rsidP="00E83802">
            <w:pPr>
              <w:jc w:val="right"/>
              <w:outlineLvl w:val="0"/>
              <w:rPr>
                <w:rFonts w:ascii="Meta Pro" w:eastAsia="Times New Roman" w:hAnsi="Meta Pro"/>
                <w:szCs w:val="18"/>
                <w:lang w:eastAsia="en-AU"/>
              </w:rPr>
            </w:pPr>
            <w:r w:rsidRPr="00500AF1">
              <w:rPr>
                <w:rFonts w:ascii="Meta Pro" w:eastAsia="Times New Roman" w:hAnsi="Meta Pro"/>
                <w:szCs w:val="18"/>
                <w:lang w:eastAsia="en-AU"/>
              </w:rPr>
              <w:t>(1,037,371)</w:t>
            </w:r>
          </w:p>
        </w:tc>
        <w:tc>
          <w:tcPr>
            <w:tcW w:w="198" w:type="dxa"/>
            <w:tcBorders>
              <w:top w:val="nil"/>
              <w:left w:val="nil"/>
              <w:bottom w:val="nil"/>
              <w:right w:val="nil"/>
            </w:tcBorders>
            <w:shd w:val="clear" w:color="auto" w:fill="auto"/>
            <w:noWrap/>
            <w:vAlign w:val="center"/>
            <w:hideMark/>
          </w:tcPr>
          <w:p w14:paraId="3ECC76AA" w14:textId="77777777" w:rsidR="00BC5219" w:rsidRPr="00500AF1" w:rsidRDefault="00BC5219" w:rsidP="00E83802">
            <w:pPr>
              <w:jc w:val="right"/>
              <w:outlineLvl w:val="0"/>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44F120F6" w14:textId="77777777" w:rsidR="00BC5219" w:rsidRPr="00500AF1" w:rsidRDefault="00BC5219" w:rsidP="00E83802">
            <w:pPr>
              <w:jc w:val="right"/>
              <w:outlineLvl w:val="0"/>
              <w:rPr>
                <w:rFonts w:ascii="Meta Pro" w:eastAsia="Times New Roman" w:hAnsi="Meta Pro"/>
                <w:szCs w:val="18"/>
                <w:lang w:eastAsia="en-AU"/>
              </w:rPr>
            </w:pPr>
            <w:r w:rsidRPr="00500AF1">
              <w:rPr>
                <w:rFonts w:ascii="Meta Pro" w:eastAsia="Times New Roman" w:hAnsi="Meta Pro"/>
                <w:szCs w:val="18"/>
                <w:lang w:eastAsia="en-AU"/>
              </w:rPr>
              <w:t>(287,099)</w:t>
            </w:r>
          </w:p>
        </w:tc>
      </w:tr>
      <w:tr w:rsidR="00BC5219" w:rsidRPr="00500AF1" w14:paraId="389C0970" w14:textId="77777777" w:rsidTr="00E83802">
        <w:trPr>
          <w:trHeight w:val="198"/>
        </w:trPr>
        <w:tc>
          <w:tcPr>
            <w:tcW w:w="6350" w:type="dxa"/>
            <w:tcBorders>
              <w:top w:val="nil"/>
              <w:left w:val="nil"/>
              <w:bottom w:val="nil"/>
              <w:right w:val="nil"/>
            </w:tcBorders>
            <w:shd w:val="clear" w:color="auto" w:fill="auto"/>
            <w:noWrap/>
            <w:vAlign w:val="center"/>
            <w:hideMark/>
          </w:tcPr>
          <w:p w14:paraId="65E99F46" w14:textId="77777777" w:rsidR="00BC5219" w:rsidRPr="00500AF1" w:rsidRDefault="00BC5219" w:rsidP="00E83802">
            <w:pPr>
              <w:outlineLvl w:val="0"/>
              <w:rPr>
                <w:rFonts w:ascii="Meta Pro" w:eastAsia="Times New Roman" w:hAnsi="Meta Pro"/>
                <w:szCs w:val="18"/>
                <w:lang w:eastAsia="en-AU"/>
              </w:rPr>
            </w:pPr>
            <w:r w:rsidRPr="00500AF1">
              <w:rPr>
                <w:rFonts w:ascii="Meta Pro" w:eastAsia="Times New Roman" w:hAnsi="Meta Pro"/>
                <w:szCs w:val="18"/>
                <w:lang w:eastAsia="en-AU"/>
              </w:rPr>
              <w:t>GST remitted to ATO</w:t>
            </w:r>
          </w:p>
        </w:tc>
        <w:tc>
          <w:tcPr>
            <w:tcW w:w="1137" w:type="dxa"/>
            <w:tcBorders>
              <w:top w:val="nil"/>
              <w:left w:val="nil"/>
              <w:bottom w:val="nil"/>
              <w:right w:val="nil"/>
            </w:tcBorders>
            <w:shd w:val="clear" w:color="auto" w:fill="auto"/>
            <w:noWrap/>
            <w:vAlign w:val="center"/>
            <w:hideMark/>
          </w:tcPr>
          <w:p w14:paraId="4E902EA6" w14:textId="77777777" w:rsidR="00BC5219" w:rsidRPr="00500AF1" w:rsidRDefault="00BC5219" w:rsidP="00E83802">
            <w:pPr>
              <w:jc w:val="right"/>
              <w:outlineLvl w:val="0"/>
              <w:rPr>
                <w:rFonts w:ascii="Meta Pro" w:eastAsia="Times New Roman" w:hAnsi="Meta Pro"/>
                <w:szCs w:val="18"/>
                <w:lang w:eastAsia="en-AU"/>
              </w:rPr>
            </w:pPr>
            <w:r w:rsidRPr="00500AF1">
              <w:rPr>
                <w:rFonts w:ascii="Meta Pro" w:eastAsia="Times New Roman" w:hAnsi="Meta Pro"/>
                <w:szCs w:val="18"/>
                <w:lang w:eastAsia="en-AU"/>
              </w:rPr>
              <w:t>(66,028)</w:t>
            </w:r>
          </w:p>
        </w:tc>
        <w:tc>
          <w:tcPr>
            <w:tcW w:w="198" w:type="dxa"/>
            <w:tcBorders>
              <w:top w:val="nil"/>
              <w:left w:val="nil"/>
              <w:bottom w:val="nil"/>
              <w:right w:val="nil"/>
            </w:tcBorders>
            <w:shd w:val="clear" w:color="auto" w:fill="auto"/>
            <w:noWrap/>
            <w:vAlign w:val="center"/>
            <w:hideMark/>
          </w:tcPr>
          <w:p w14:paraId="0C5A7791" w14:textId="77777777" w:rsidR="00BC5219" w:rsidRPr="00500AF1" w:rsidRDefault="00BC5219" w:rsidP="00E83802">
            <w:pPr>
              <w:jc w:val="right"/>
              <w:outlineLvl w:val="0"/>
              <w:rPr>
                <w:rFonts w:ascii="Meta Pro" w:eastAsia="Times New Roman" w:hAnsi="Meta Pro"/>
                <w:szCs w:val="18"/>
                <w:lang w:eastAsia="en-AU"/>
              </w:rPr>
            </w:pPr>
          </w:p>
        </w:tc>
        <w:tc>
          <w:tcPr>
            <w:tcW w:w="1137" w:type="dxa"/>
            <w:tcBorders>
              <w:top w:val="nil"/>
              <w:left w:val="nil"/>
              <w:bottom w:val="nil"/>
              <w:right w:val="nil"/>
            </w:tcBorders>
            <w:shd w:val="clear" w:color="auto" w:fill="auto"/>
            <w:noWrap/>
            <w:vAlign w:val="center"/>
            <w:hideMark/>
          </w:tcPr>
          <w:p w14:paraId="05A9A050" w14:textId="77777777" w:rsidR="00BC5219" w:rsidRPr="00500AF1" w:rsidRDefault="00BC5219" w:rsidP="00E83802">
            <w:pPr>
              <w:jc w:val="right"/>
              <w:outlineLvl w:val="0"/>
              <w:rPr>
                <w:rFonts w:ascii="Meta Pro" w:eastAsia="Times New Roman" w:hAnsi="Meta Pro"/>
                <w:szCs w:val="18"/>
                <w:lang w:eastAsia="en-AU"/>
              </w:rPr>
            </w:pPr>
            <w:r w:rsidRPr="00500AF1">
              <w:rPr>
                <w:rFonts w:ascii="Meta Pro" w:eastAsia="Times New Roman" w:hAnsi="Meta Pro"/>
                <w:szCs w:val="18"/>
                <w:lang w:eastAsia="en-AU"/>
              </w:rPr>
              <w:t>(84,310)</w:t>
            </w:r>
          </w:p>
        </w:tc>
        <w:tc>
          <w:tcPr>
            <w:tcW w:w="198" w:type="dxa"/>
            <w:tcBorders>
              <w:top w:val="nil"/>
              <w:left w:val="nil"/>
              <w:bottom w:val="nil"/>
              <w:right w:val="nil"/>
            </w:tcBorders>
            <w:shd w:val="clear" w:color="auto" w:fill="auto"/>
            <w:noWrap/>
            <w:vAlign w:val="center"/>
            <w:hideMark/>
          </w:tcPr>
          <w:p w14:paraId="5777DE19" w14:textId="77777777" w:rsidR="00BC5219" w:rsidRPr="00500AF1" w:rsidRDefault="00BC5219" w:rsidP="00E83802">
            <w:pPr>
              <w:jc w:val="right"/>
              <w:outlineLvl w:val="0"/>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2C905866" w14:textId="77777777" w:rsidR="00BC5219" w:rsidRPr="00500AF1" w:rsidRDefault="00BC5219" w:rsidP="00E83802">
            <w:pPr>
              <w:jc w:val="right"/>
              <w:outlineLvl w:val="0"/>
              <w:rPr>
                <w:rFonts w:ascii="Meta Pro" w:eastAsia="Times New Roman" w:hAnsi="Meta Pro"/>
                <w:szCs w:val="18"/>
                <w:lang w:eastAsia="en-AU"/>
              </w:rPr>
            </w:pPr>
            <w:r w:rsidRPr="00500AF1">
              <w:rPr>
                <w:rFonts w:ascii="Meta Pro" w:eastAsia="Times New Roman" w:hAnsi="Meta Pro"/>
                <w:szCs w:val="18"/>
                <w:lang w:eastAsia="en-AU"/>
              </w:rPr>
              <w:t>(18,282)</w:t>
            </w:r>
          </w:p>
        </w:tc>
      </w:tr>
      <w:tr w:rsidR="00BC5219" w:rsidRPr="00500AF1" w14:paraId="7946AA1B" w14:textId="77777777" w:rsidTr="00E83802">
        <w:trPr>
          <w:trHeight w:val="198"/>
        </w:trPr>
        <w:tc>
          <w:tcPr>
            <w:tcW w:w="6350" w:type="dxa"/>
            <w:tcBorders>
              <w:top w:val="nil"/>
              <w:left w:val="nil"/>
              <w:bottom w:val="nil"/>
              <w:right w:val="nil"/>
            </w:tcBorders>
            <w:shd w:val="clear" w:color="auto" w:fill="auto"/>
            <w:noWrap/>
            <w:vAlign w:val="center"/>
            <w:hideMark/>
          </w:tcPr>
          <w:p w14:paraId="5522D2FF" w14:textId="77777777" w:rsidR="00BC5219" w:rsidRPr="00500AF1" w:rsidRDefault="00BC5219" w:rsidP="00E83802">
            <w:pPr>
              <w:outlineLvl w:val="0"/>
              <w:rPr>
                <w:rFonts w:ascii="Meta Pro" w:eastAsia="Times New Roman" w:hAnsi="Meta Pro"/>
                <w:szCs w:val="18"/>
                <w:lang w:eastAsia="en-AU"/>
              </w:rPr>
            </w:pPr>
            <w:r w:rsidRPr="00500AF1">
              <w:rPr>
                <w:rFonts w:ascii="Meta Pro" w:eastAsia="Times New Roman" w:hAnsi="Meta Pro"/>
                <w:szCs w:val="18"/>
                <w:lang w:eastAsia="en-AU"/>
              </w:rPr>
              <w:t>Income tax equivalent paid</w:t>
            </w:r>
          </w:p>
        </w:tc>
        <w:tc>
          <w:tcPr>
            <w:tcW w:w="1137" w:type="dxa"/>
            <w:tcBorders>
              <w:top w:val="nil"/>
              <w:left w:val="nil"/>
              <w:bottom w:val="nil"/>
              <w:right w:val="nil"/>
            </w:tcBorders>
            <w:shd w:val="clear" w:color="auto" w:fill="auto"/>
            <w:noWrap/>
            <w:vAlign w:val="center"/>
            <w:hideMark/>
          </w:tcPr>
          <w:p w14:paraId="34055B27" w14:textId="77777777" w:rsidR="00BC5219" w:rsidRPr="00500AF1" w:rsidRDefault="00BC5219" w:rsidP="00E83802">
            <w:pPr>
              <w:jc w:val="right"/>
              <w:outlineLvl w:val="0"/>
              <w:rPr>
                <w:rFonts w:ascii="Meta Pro" w:eastAsia="Times New Roman" w:hAnsi="Meta Pro"/>
                <w:szCs w:val="18"/>
                <w:lang w:eastAsia="en-AU"/>
              </w:rPr>
            </w:pPr>
            <w:r w:rsidRPr="00500AF1">
              <w:rPr>
                <w:rFonts w:ascii="Meta Pro" w:eastAsia="Times New Roman" w:hAnsi="Meta Pro"/>
                <w:szCs w:val="18"/>
                <w:lang w:eastAsia="en-AU"/>
              </w:rPr>
              <w:t>(7,681)</w:t>
            </w:r>
          </w:p>
        </w:tc>
        <w:tc>
          <w:tcPr>
            <w:tcW w:w="198" w:type="dxa"/>
            <w:tcBorders>
              <w:top w:val="nil"/>
              <w:left w:val="nil"/>
              <w:bottom w:val="nil"/>
              <w:right w:val="nil"/>
            </w:tcBorders>
            <w:shd w:val="clear" w:color="auto" w:fill="auto"/>
            <w:noWrap/>
            <w:vAlign w:val="center"/>
            <w:hideMark/>
          </w:tcPr>
          <w:p w14:paraId="4C86AAD4" w14:textId="77777777" w:rsidR="00BC5219" w:rsidRPr="00500AF1" w:rsidRDefault="00BC5219" w:rsidP="00E83802">
            <w:pPr>
              <w:jc w:val="right"/>
              <w:outlineLvl w:val="0"/>
              <w:rPr>
                <w:rFonts w:ascii="Meta Pro" w:eastAsia="Times New Roman" w:hAnsi="Meta Pro"/>
                <w:szCs w:val="18"/>
                <w:lang w:eastAsia="en-AU"/>
              </w:rPr>
            </w:pPr>
          </w:p>
        </w:tc>
        <w:tc>
          <w:tcPr>
            <w:tcW w:w="1137" w:type="dxa"/>
            <w:tcBorders>
              <w:top w:val="nil"/>
              <w:left w:val="nil"/>
              <w:bottom w:val="nil"/>
              <w:right w:val="nil"/>
            </w:tcBorders>
            <w:shd w:val="clear" w:color="auto" w:fill="auto"/>
            <w:noWrap/>
            <w:vAlign w:val="center"/>
            <w:hideMark/>
          </w:tcPr>
          <w:p w14:paraId="655461AD" w14:textId="77777777" w:rsidR="00BC5219" w:rsidRPr="00500AF1" w:rsidRDefault="00BC5219" w:rsidP="00E83802">
            <w:pPr>
              <w:jc w:val="right"/>
              <w:outlineLvl w:val="0"/>
              <w:rPr>
                <w:rFonts w:ascii="Meta Pro" w:eastAsia="Times New Roman" w:hAnsi="Meta Pro"/>
                <w:szCs w:val="18"/>
                <w:lang w:eastAsia="en-AU"/>
              </w:rPr>
            </w:pPr>
            <w:r w:rsidRPr="00500AF1">
              <w:rPr>
                <w:rFonts w:ascii="Meta Pro" w:eastAsia="Times New Roman" w:hAnsi="Meta Pro"/>
                <w:szCs w:val="18"/>
                <w:lang w:eastAsia="en-AU"/>
              </w:rPr>
              <w:t>(8,937)</w:t>
            </w:r>
          </w:p>
        </w:tc>
        <w:tc>
          <w:tcPr>
            <w:tcW w:w="198" w:type="dxa"/>
            <w:tcBorders>
              <w:top w:val="nil"/>
              <w:left w:val="nil"/>
              <w:bottom w:val="nil"/>
              <w:right w:val="nil"/>
            </w:tcBorders>
            <w:shd w:val="clear" w:color="auto" w:fill="auto"/>
            <w:noWrap/>
            <w:vAlign w:val="center"/>
            <w:hideMark/>
          </w:tcPr>
          <w:p w14:paraId="713421CE" w14:textId="77777777" w:rsidR="00BC5219" w:rsidRPr="00500AF1" w:rsidRDefault="00BC5219" w:rsidP="00E83802">
            <w:pPr>
              <w:jc w:val="right"/>
              <w:outlineLvl w:val="0"/>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7801D49E" w14:textId="77777777" w:rsidR="00BC5219" w:rsidRPr="00500AF1" w:rsidRDefault="00BC5219" w:rsidP="00E83802">
            <w:pPr>
              <w:jc w:val="right"/>
              <w:outlineLvl w:val="0"/>
              <w:rPr>
                <w:rFonts w:ascii="Meta Pro" w:eastAsia="Times New Roman" w:hAnsi="Meta Pro"/>
                <w:szCs w:val="18"/>
                <w:lang w:eastAsia="en-AU"/>
              </w:rPr>
            </w:pPr>
            <w:r w:rsidRPr="00500AF1">
              <w:rPr>
                <w:rFonts w:ascii="Meta Pro" w:eastAsia="Times New Roman" w:hAnsi="Meta Pro"/>
                <w:szCs w:val="18"/>
                <w:lang w:eastAsia="en-AU"/>
              </w:rPr>
              <w:t>(1,256)</w:t>
            </w:r>
          </w:p>
        </w:tc>
      </w:tr>
      <w:tr w:rsidR="00BC5219" w:rsidRPr="00500AF1" w14:paraId="05E6BBCB" w14:textId="77777777" w:rsidTr="00E83802">
        <w:trPr>
          <w:trHeight w:val="198"/>
        </w:trPr>
        <w:tc>
          <w:tcPr>
            <w:tcW w:w="6350" w:type="dxa"/>
            <w:tcBorders>
              <w:top w:val="nil"/>
              <w:left w:val="nil"/>
              <w:bottom w:val="nil"/>
              <w:right w:val="nil"/>
            </w:tcBorders>
            <w:shd w:val="clear" w:color="auto" w:fill="auto"/>
            <w:noWrap/>
            <w:vAlign w:val="center"/>
            <w:hideMark/>
          </w:tcPr>
          <w:p w14:paraId="26F8BFA0" w14:textId="77777777" w:rsidR="00BC5219" w:rsidRPr="00500AF1" w:rsidRDefault="00BC5219" w:rsidP="00E83802">
            <w:pPr>
              <w:outlineLvl w:val="0"/>
              <w:rPr>
                <w:rFonts w:ascii="Meta Pro" w:eastAsia="Times New Roman" w:hAnsi="Meta Pro"/>
                <w:szCs w:val="18"/>
                <w:lang w:eastAsia="en-AU"/>
              </w:rPr>
            </w:pPr>
            <w:r w:rsidRPr="00500AF1">
              <w:rPr>
                <w:rFonts w:ascii="Meta Pro" w:eastAsia="Times New Roman" w:hAnsi="Meta Pro"/>
                <w:szCs w:val="18"/>
                <w:lang w:eastAsia="en-AU"/>
              </w:rPr>
              <w:t xml:space="preserve">Other </w:t>
            </w:r>
          </w:p>
        </w:tc>
        <w:tc>
          <w:tcPr>
            <w:tcW w:w="1137" w:type="dxa"/>
            <w:tcBorders>
              <w:top w:val="nil"/>
              <w:left w:val="nil"/>
              <w:bottom w:val="nil"/>
              <w:right w:val="nil"/>
            </w:tcBorders>
            <w:shd w:val="clear" w:color="auto" w:fill="auto"/>
            <w:noWrap/>
            <w:vAlign w:val="center"/>
            <w:hideMark/>
          </w:tcPr>
          <w:p w14:paraId="2FDC33AB" w14:textId="77777777" w:rsidR="00BC5219" w:rsidRPr="00500AF1" w:rsidRDefault="00BC5219" w:rsidP="00E83802">
            <w:pPr>
              <w:jc w:val="right"/>
              <w:outlineLvl w:val="0"/>
              <w:rPr>
                <w:rFonts w:ascii="Meta Pro" w:eastAsia="Times New Roman" w:hAnsi="Meta Pro"/>
                <w:szCs w:val="18"/>
                <w:lang w:eastAsia="en-AU"/>
              </w:rPr>
            </w:pPr>
            <w:r w:rsidRPr="00500AF1">
              <w:rPr>
                <w:rFonts w:ascii="Meta Pro" w:eastAsia="Times New Roman" w:hAnsi="Meta Pro"/>
                <w:szCs w:val="18"/>
                <w:lang w:eastAsia="en-AU"/>
              </w:rPr>
              <w:t>(15,654)</w:t>
            </w:r>
          </w:p>
        </w:tc>
        <w:tc>
          <w:tcPr>
            <w:tcW w:w="198" w:type="dxa"/>
            <w:tcBorders>
              <w:top w:val="nil"/>
              <w:left w:val="nil"/>
              <w:bottom w:val="nil"/>
              <w:right w:val="nil"/>
            </w:tcBorders>
            <w:shd w:val="clear" w:color="auto" w:fill="auto"/>
            <w:noWrap/>
            <w:vAlign w:val="center"/>
            <w:hideMark/>
          </w:tcPr>
          <w:p w14:paraId="2DB6F918" w14:textId="77777777" w:rsidR="00BC5219" w:rsidRPr="00500AF1" w:rsidRDefault="00BC5219" w:rsidP="00E83802">
            <w:pPr>
              <w:jc w:val="right"/>
              <w:outlineLvl w:val="0"/>
              <w:rPr>
                <w:rFonts w:ascii="Meta Pro" w:eastAsia="Times New Roman" w:hAnsi="Meta Pro"/>
                <w:szCs w:val="18"/>
                <w:lang w:eastAsia="en-AU"/>
              </w:rPr>
            </w:pPr>
          </w:p>
        </w:tc>
        <w:tc>
          <w:tcPr>
            <w:tcW w:w="1137" w:type="dxa"/>
            <w:tcBorders>
              <w:top w:val="nil"/>
              <w:left w:val="nil"/>
              <w:bottom w:val="nil"/>
              <w:right w:val="nil"/>
            </w:tcBorders>
            <w:shd w:val="clear" w:color="auto" w:fill="auto"/>
            <w:noWrap/>
            <w:vAlign w:val="center"/>
            <w:hideMark/>
          </w:tcPr>
          <w:p w14:paraId="5F7EDC9E" w14:textId="77777777" w:rsidR="00BC5219" w:rsidRPr="00500AF1" w:rsidRDefault="00BC5219" w:rsidP="00E83802">
            <w:pPr>
              <w:jc w:val="right"/>
              <w:outlineLvl w:val="0"/>
              <w:rPr>
                <w:rFonts w:ascii="Meta Pro" w:eastAsia="Times New Roman" w:hAnsi="Meta Pro"/>
                <w:szCs w:val="18"/>
                <w:lang w:eastAsia="en-AU"/>
              </w:rPr>
            </w:pPr>
            <w:r w:rsidRPr="00500AF1">
              <w:rPr>
                <w:rFonts w:ascii="Meta Pro" w:eastAsia="Times New Roman" w:hAnsi="Meta Pro"/>
                <w:szCs w:val="18"/>
                <w:lang w:eastAsia="en-AU"/>
              </w:rPr>
              <w:t>(17,165)</w:t>
            </w:r>
          </w:p>
        </w:tc>
        <w:tc>
          <w:tcPr>
            <w:tcW w:w="198" w:type="dxa"/>
            <w:tcBorders>
              <w:top w:val="nil"/>
              <w:left w:val="nil"/>
              <w:bottom w:val="nil"/>
              <w:right w:val="nil"/>
            </w:tcBorders>
            <w:shd w:val="clear" w:color="auto" w:fill="auto"/>
            <w:noWrap/>
            <w:vAlign w:val="center"/>
            <w:hideMark/>
          </w:tcPr>
          <w:p w14:paraId="20E27D81" w14:textId="77777777" w:rsidR="00BC5219" w:rsidRPr="00500AF1" w:rsidRDefault="00BC5219" w:rsidP="00E83802">
            <w:pPr>
              <w:jc w:val="right"/>
              <w:outlineLvl w:val="0"/>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2BF58B1E" w14:textId="77777777" w:rsidR="00BC5219" w:rsidRPr="00500AF1" w:rsidRDefault="00BC5219" w:rsidP="00E83802">
            <w:pPr>
              <w:jc w:val="right"/>
              <w:outlineLvl w:val="0"/>
              <w:rPr>
                <w:rFonts w:ascii="Meta Pro" w:eastAsia="Times New Roman" w:hAnsi="Meta Pro"/>
                <w:szCs w:val="18"/>
                <w:lang w:eastAsia="en-AU"/>
              </w:rPr>
            </w:pPr>
            <w:r w:rsidRPr="00500AF1">
              <w:rPr>
                <w:rFonts w:ascii="Meta Pro" w:eastAsia="Times New Roman" w:hAnsi="Meta Pro"/>
                <w:szCs w:val="18"/>
                <w:lang w:eastAsia="en-AU"/>
              </w:rPr>
              <w:t>(1,511)</w:t>
            </w:r>
          </w:p>
        </w:tc>
      </w:tr>
      <w:tr w:rsidR="00BC5219" w:rsidRPr="00500AF1" w14:paraId="581C3E97" w14:textId="77777777" w:rsidTr="00E83802">
        <w:trPr>
          <w:trHeight w:val="198"/>
        </w:trPr>
        <w:tc>
          <w:tcPr>
            <w:tcW w:w="6350" w:type="dxa"/>
            <w:tcBorders>
              <w:top w:val="single" w:sz="4" w:space="0" w:color="auto"/>
              <w:left w:val="nil"/>
              <w:bottom w:val="nil"/>
              <w:right w:val="nil"/>
            </w:tcBorders>
            <w:shd w:val="clear" w:color="auto" w:fill="auto"/>
            <w:noWrap/>
            <w:vAlign w:val="center"/>
            <w:hideMark/>
          </w:tcPr>
          <w:p w14:paraId="7FBF0F91" w14:textId="77777777" w:rsidR="00BC5219" w:rsidRPr="00500AF1" w:rsidRDefault="00BC5219" w:rsidP="00E83802">
            <w:pPr>
              <w:outlineLvl w:val="0"/>
              <w:rPr>
                <w:rFonts w:ascii="Meta Pro" w:eastAsia="Times New Roman" w:hAnsi="Meta Pro"/>
                <w:b/>
                <w:bCs/>
                <w:szCs w:val="18"/>
                <w:lang w:eastAsia="en-AU"/>
              </w:rPr>
            </w:pPr>
            <w:r w:rsidRPr="00500AF1">
              <w:rPr>
                <w:rFonts w:ascii="Meta Pro" w:eastAsia="Times New Roman" w:hAnsi="Meta Pro"/>
                <w:b/>
                <w:bCs/>
                <w:szCs w:val="18"/>
                <w:lang w:eastAsia="en-AU"/>
              </w:rPr>
              <w:t>Net cash provided by operating activities</w:t>
            </w:r>
          </w:p>
        </w:tc>
        <w:tc>
          <w:tcPr>
            <w:tcW w:w="1137" w:type="dxa"/>
            <w:tcBorders>
              <w:top w:val="single" w:sz="4" w:space="0" w:color="auto"/>
              <w:left w:val="nil"/>
              <w:bottom w:val="nil"/>
              <w:right w:val="nil"/>
            </w:tcBorders>
            <w:shd w:val="clear" w:color="auto" w:fill="auto"/>
            <w:noWrap/>
            <w:vAlign w:val="center"/>
            <w:hideMark/>
          </w:tcPr>
          <w:p w14:paraId="5FC5300D" w14:textId="77777777" w:rsidR="00BC5219" w:rsidRPr="00500AF1" w:rsidRDefault="00BC5219" w:rsidP="00E83802">
            <w:pPr>
              <w:jc w:val="right"/>
              <w:outlineLvl w:val="0"/>
              <w:rPr>
                <w:rFonts w:ascii="Meta Pro" w:eastAsia="Times New Roman" w:hAnsi="Meta Pro"/>
                <w:b/>
                <w:bCs/>
                <w:szCs w:val="18"/>
                <w:lang w:eastAsia="en-AU"/>
              </w:rPr>
            </w:pPr>
            <w:r w:rsidRPr="00500AF1">
              <w:rPr>
                <w:rFonts w:ascii="Meta Pro" w:eastAsia="Times New Roman" w:hAnsi="Meta Pro"/>
                <w:b/>
                <w:bCs/>
                <w:szCs w:val="18"/>
                <w:lang w:eastAsia="en-AU"/>
              </w:rPr>
              <w:t xml:space="preserve">1,242,124 </w:t>
            </w:r>
          </w:p>
        </w:tc>
        <w:tc>
          <w:tcPr>
            <w:tcW w:w="198" w:type="dxa"/>
            <w:tcBorders>
              <w:top w:val="single" w:sz="4" w:space="0" w:color="auto"/>
              <w:left w:val="nil"/>
              <w:bottom w:val="nil"/>
              <w:right w:val="nil"/>
            </w:tcBorders>
            <w:shd w:val="clear" w:color="auto" w:fill="auto"/>
            <w:noWrap/>
            <w:vAlign w:val="center"/>
            <w:hideMark/>
          </w:tcPr>
          <w:p w14:paraId="2AD13EA9" w14:textId="77777777" w:rsidR="00BC5219" w:rsidRPr="00500AF1" w:rsidRDefault="00BC5219" w:rsidP="00E83802">
            <w:pPr>
              <w:jc w:val="right"/>
              <w:outlineLvl w:val="0"/>
              <w:rPr>
                <w:rFonts w:ascii="Meta Pro" w:eastAsia="Times New Roman" w:hAnsi="Meta Pro"/>
                <w:b/>
                <w:bCs/>
                <w:szCs w:val="18"/>
                <w:lang w:eastAsia="en-AU"/>
              </w:rPr>
            </w:pPr>
            <w:r w:rsidRPr="00500AF1">
              <w:rPr>
                <w:rFonts w:ascii="Meta Pro" w:eastAsia="Times New Roman" w:hAnsi="Meta Pro"/>
                <w:b/>
                <w:bCs/>
                <w:szCs w:val="18"/>
                <w:lang w:eastAsia="en-AU"/>
              </w:rPr>
              <w:t> </w:t>
            </w:r>
          </w:p>
        </w:tc>
        <w:tc>
          <w:tcPr>
            <w:tcW w:w="1137" w:type="dxa"/>
            <w:tcBorders>
              <w:top w:val="single" w:sz="4" w:space="0" w:color="auto"/>
              <w:left w:val="nil"/>
              <w:bottom w:val="nil"/>
              <w:right w:val="nil"/>
            </w:tcBorders>
            <w:shd w:val="clear" w:color="auto" w:fill="auto"/>
            <w:noWrap/>
            <w:vAlign w:val="center"/>
            <w:hideMark/>
          </w:tcPr>
          <w:p w14:paraId="385DAE5D" w14:textId="77777777" w:rsidR="00BC5219" w:rsidRPr="00500AF1" w:rsidRDefault="00BC5219" w:rsidP="00E83802">
            <w:pPr>
              <w:jc w:val="right"/>
              <w:outlineLvl w:val="0"/>
              <w:rPr>
                <w:rFonts w:ascii="Meta Pro" w:eastAsia="Times New Roman" w:hAnsi="Meta Pro"/>
                <w:b/>
                <w:bCs/>
                <w:szCs w:val="18"/>
                <w:lang w:eastAsia="en-AU"/>
              </w:rPr>
            </w:pPr>
            <w:r w:rsidRPr="00500AF1">
              <w:rPr>
                <w:rFonts w:ascii="Meta Pro" w:eastAsia="Times New Roman" w:hAnsi="Meta Pro"/>
                <w:b/>
                <w:bCs/>
                <w:szCs w:val="18"/>
                <w:lang w:eastAsia="en-AU"/>
              </w:rPr>
              <w:t xml:space="preserve">1,480,169 </w:t>
            </w:r>
          </w:p>
        </w:tc>
        <w:tc>
          <w:tcPr>
            <w:tcW w:w="198" w:type="dxa"/>
            <w:tcBorders>
              <w:top w:val="single" w:sz="4" w:space="0" w:color="auto"/>
              <w:left w:val="nil"/>
              <w:bottom w:val="nil"/>
              <w:right w:val="nil"/>
            </w:tcBorders>
            <w:shd w:val="clear" w:color="auto" w:fill="auto"/>
            <w:noWrap/>
            <w:vAlign w:val="center"/>
            <w:hideMark/>
          </w:tcPr>
          <w:p w14:paraId="7CF6FEDF" w14:textId="77777777" w:rsidR="00BC5219" w:rsidRPr="00500AF1" w:rsidRDefault="00BC5219" w:rsidP="00E83802">
            <w:pPr>
              <w:jc w:val="right"/>
              <w:outlineLvl w:val="0"/>
              <w:rPr>
                <w:rFonts w:ascii="Meta Pro" w:eastAsia="Times New Roman" w:hAnsi="Meta Pro"/>
                <w:b/>
                <w:bCs/>
                <w:szCs w:val="18"/>
                <w:lang w:eastAsia="en-AU"/>
              </w:rPr>
            </w:pPr>
            <w:r w:rsidRPr="00500AF1">
              <w:rPr>
                <w:rFonts w:ascii="Meta Pro" w:eastAsia="Times New Roman" w:hAnsi="Meta Pro"/>
                <w:b/>
                <w:bCs/>
                <w:szCs w:val="18"/>
                <w:lang w:eastAsia="en-AU"/>
              </w:rPr>
              <w:t> </w:t>
            </w:r>
          </w:p>
        </w:tc>
        <w:tc>
          <w:tcPr>
            <w:tcW w:w="1140" w:type="dxa"/>
            <w:tcBorders>
              <w:top w:val="single" w:sz="4" w:space="0" w:color="auto"/>
              <w:left w:val="nil"/>
              <w:bottom w:val="nil"/>
              <w:right w:val="nil"/>
            </w:tcBorders>
            <w:shd w:val="clear" w:color="auto" w:fill="auto"/>
            <w:noWrap/>
            <w:vAlign w:val="center"/>
            <w:hideMark/>
          </w:tcPr>
          <w:p w14:paraId="2A9CB017" w14:textId="77777777" w:rsidR="00BC5219" w:rsidRPr="00500AF1" w:rsidRDefault="00BC5219" w:rsidP="00E83802">
            <w:pPr>
              <w:jc w:val="right"/>
              <w:outlineLvl w:val="0"/>
              <w:rPr>
                <w:rFonts w:ascii="Meta Pro" w:eastAsia="Times New Roman" w:hAnsi="Meta Pro"/>
                <w:b/>
                <w:bCs/>
                <w:szCs w:val="18"/>
                <w:lang w:eastAsia="en-AU"/>
              </w:rPr>
            </w:pPr>
            <w:r w:rsidRPr="00500AF1">
              <w:rPr>
                <w:rFonts w:ascii="Meta Pro" w:eastAsia="Times New Roman" w:hAnsi="Meta Pro"/>
                <w:b/>
                <w:bCs/>
                <w:szCs w:val="18"/>
                <w:lang w:eastAsia="en-AU"/>
              </w:rPr>
              <w:t xml:space="preserve">238,045 </w:t>
            </w:r>
          </w:p>
        </w:tc>
      </w:tr>
    </w:tbl>
    <w:p w14:paraId="4E9A17B2" w14:textId="77777777" w:rsidR="00BC5219" w:rsidRDefault="00BC5219" w:rsidP="00BC5219">
      <w:pPr>
        <w:pStyle w:val="BodyText"/>
        <w:rPr>
          <w:rFonts w:asciiTheme="minorHAnsi" w:hAnsiTheme="minorHAnsi" w:cstheme="minorBidi"/>
        </w:rPr>
      </w:pPr>
    </w:p>
    <w:p w14:paraId="088BF6A3" w14:textId="77777777" w:rsidR="00BC5219" w:rsidRDefault="00BC5219" w:rsidP="00BC5219">
      <w:pPr>
        <w:pStyle w:val="BodyText"/>
        <w:rPr>
          <w:rFonts w:ascii="Meta Pro" w:eastAsia="Times New Roman" w:hAnsi="Meta Pro"/>
          <w:b/>
          <w:bCs/>
          <w:color w:val="000000"/>
          <w:szCs w:val="18"/>
          <w:lang w:eastAsia="en-AU"/>
        </w:rPr>
      </w:pPr>
    </w:p>
    <w:p w14:paraId="7C817F10" w14:textId="77777777" w:rsidR="00BC5219" w:rsidRDefault="00BC5219" w:rsidP="00BC5219">
      <w:pPr>
        <w:pStyle w:val="BodyText"/>
        <w:rPr>
          <w:rFonts w:ascii="Meta Pro" w:eastAsia="Times New Roman" w:hAnsi="Meta Pro"/>
          <w:b/>
          <w:bCs/>
          <w:color w:val="000000"/>
          <w:szCs w:val="18"/>
          <w:lang w:eastAsia="en-AU"/>
        </w:rPr>
      </w:pPr>
    </w:p>
    <w:bookmarkEnd w:id="54"/>
    <w:p w14:paraId="0EF47D54" w14:textId="77777777" w:rsidR="00BC5219" w:rsidRPr="008A2B8F" w:rsidRDefault="00BC5219" w:rsidP="00BC5219">
      <w:pPr>
        <w:pStyle w:val="BodyText"/>
        <w:rPr>
          <w:rFonts w:ascii="Meta Pro" w:eastAsia="Times New Roman" w:hAnsi="Meta Pro"/>
          <w:i/>
          <w:iCs/>
          <w:color w:val="000000" w:themeColor="text1"/>
          <w:lang w:eastAsia="en-AU"/>
        </w:rPr>
      </w:pPr>
      <w:r w:rsidRPr="008A2B8F">
        <w:rPr>
          <w:rFonts w:ascii="Meta Pro" w:eastAsia="Times New Roman" w:hAnsi="Meta Pro"/>
          <w:i/>
          <w:iCs/>
          <w:color w:val="000000" w:themeColor="text1"/>
          <w:lang w:eastAsia="en-AU"/>
        </w:rPr>
        <w:t>Department of Transport and Main Roads</w:t>
      </w:r>
    </w:p>
    <w:p w14:paraId="5478C460"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Notes to the financial statements 2022–23 (continued)</w:t>
      </w:r>
    </w:p>
    <w:p w14:paraId="38126DF1" w14:textId="77777777" w:rsidR="00BC5219" w:rsidRDefault="00BC5219" w:rsidP="00BC5219">
      <w:pPr>
        <w:spacing w:line="259" w:lineRule="auto"/>
        <w:rPr>
          <w:rFonts w:ascii="Meta Pro" w:eastAsia="Times New Roman" w:hAnsi="Meta Pro"/>
          <w:b/>
          <w:bCs/>
          <w:color w:val="000000"/>
          <w:lang w:eastAsia="en-AU"/>
        </w:rPr>
      </w:pPr>
    </w:p>
    <w:p w14:paraId="361092F0" w14:textId="77777777" w:rsidR="00BC5219" w:rsidRDefault="00BC5219" w:rsidP="00BC5219">
      <w:pPr>
        <w:spacing w:after="120" w:line="300" w:lineRule="atLeast"/>
        <w:rPr>
          <w:rFonts w:asciiTheme="minorHAnsi" w:hAnsiTheme="minorHAnsi" w:cstheme="minorBidi"/>
        </w:rPr>
      </w:pPr>
      <w:r w:rsidRPr="008A2B8F">
        <w:rPr>
          <w:rFonts w:ascii="Meta Pro" w:eastAsia="Times New Roman" w:hAnsi="Meta Pro"/>
          <w:b/>
          <w:bCs/>
          <w:color w:val="000000"/>
          <w:lang w:eastAsia="en-AU"/>
        </w:rPr>
        <w:t>30     BUDGETARY REPORTING (continued)</w:t>
      </w:r>
    </w:p>
    <w:tbl>
      <w:tblPr>
        <w:tblW w:w="0" w:type="auto"/>
        <w:tblLayout w:type="fixed"/>
        <w:tblCellMar>
          <w:left w:w="0" w:type="dxa"/>
        </w:tblCellMar>
        <w:tblLook w:val="04A0" w:firstRow="1" w:lastRow="0" w:firstColumn="1" w:lastColumn="0" w:noHBand="0" w:noVBand="1"/>
      </w:tblPr>
      <w:tblGrid>
        <w:gridCol w:w="6350"/>
        <w:gridCol w:w="1157"/>
        <w:gridCol w:w="199"/>
        <w:gridCol w:w="1157"/>
        <w:gridCol w:w="199"/>
        <w:gridCol w:w="1157"/>
      </w:tblGrid>
      <w:tr w:rsidR="00BC5219" w:rsidRPr="0038582F" w14:paraId="023922C3" w14:textId="77777777" w:rsidTr="00E83802">
        <w:trPr>
          <w:trHeight w:val="198"/>
        </w:trPr>
        <w:tc>
          <w:tcPr>
            <w:tcW w:w="6350" w:type="dxa"/>
            <w:tcBorders>
              <w:top w:val="nil"/>
              <w:left w:val="nil"/>
              <w:bottom w:val="nil"/>
              <w:right w:val="nil"/>
            </w:tcBorders>
            <w:shd w:val="clear" w:color="auto" w:fill="auto"/>
            <w:noWrap/>
            <w:hideMark/>
          </w:tcPr>
          <w:p w14:paraId="34E1D99B" w14:textId="77777777" w:rsidR="00BC5219" w:rsidRPr="0038582F" w:rsidRDefault="00BC5219" w:rsidP="00E83802">
            <w:pPr>
              <w:rPr>
                <w:rFonts w:ascii="Meta Pro" w:eastAsia="Times New Roman" w:hAnsi="Meta Pro"/>
                <w:b/>
                <w:bCs/>
                <w:szCs w:val="18"/>
                <w:lang w:eastAsia="en-AU"/>
              </w:rPr>
            </w:pPr>
            <w:r w:rsidRPr="0038582F">
              <w:rPr>
                <w:rFonts w:ascii="Meta Pro" w:eastAsia="Times New Roman" w:hAnsi="Meta Pro"/>
                <w:b/>
                <w:bCs/>
                <w:szCs w:val="18"/>
                <w:lang w:eastAsia="en-AU"/>
              </w:rPr>
              <w:t>STATEMENT OF CASH FLOWS</w:t>
            </w:r>
            <w:r>
              <w:rPr>
                <w:rFonts w:ascii="Meta Pro" w:eastAsia="Times New Roman" w:hAnsi="Meta Pro"/>
                <w:b/>
                <w:bCs/>
                <w:szCs w:val="18"/>
                <w:lang w:eastAsia="en-AU"/>
              </w:rPr>
              <w:t xml:space="preserve"> (continued)</w:t>
            </w:r>
          </w:p>
        </w:tc>
        <w:tc>
          <w:tcPr>
            <w:tcW w:w="1157" w:type="dxa"/>
            <w:tcBorders>
              <w:top w:val="nil"/>
              <w:left w:val="nil"/>
              <w:bottom w:val="nil"/>
              <w:right w:val="nil"/>
            </w:tcBorders>
            <w:shd w:val="clear" w:color="auto" w:fill="auto"/>
            <w:hideMark/>
          </w:tcPr>
          <w:p w14:paraId="5765CFAC" w14:textId="77777777" w:rsidR="00BC5219" w:rsidRPr="0038582F" w:rsidRDefault="00BC5219" w:rsidP="00E83802">
            <w:pPr>
              <w:jc w:val="center"/>
              <w:rPr>
                <w:rFonts w:ascii="Meta Pro" w:eastAsia="Times New Roman" w:hAnsi="Meta Pro"/>
                <w:b/>
                <w:bCs/>
                <w:szCs w:val="18"/>
                <w:lang w:eastAsia="en-AU"/>
              </w:rPr>
            </w:pPr>
            <w:r w:rsidRPr="0038582F">
              <w:rPr>
                <w:rFonts w:ascii="Meta Pro" w:eastAsia="Times New Roman" w:hAnsi="Meta Pro"/>
                <w:b/>
                <w:bCs/>
                <w:szCs w:val="18"/>
                <w:lang w:eastAsia="en-AU"/>
              </w:rPr>
              <w:t xml:space="preserve">Original budget </w:t>
            </w:r>
          </w:p>
        </w:tc>
        <w:tc>
          <w:tcPr>
            <w:tcW w:w="199" w:type="dxa"/>
            <w:tcBorders>
              <w:top w:val="nil"/>
              <w:left w:val="nil"/>
              <w:bottom w:val="nil"/>
              <w:right w:val="nil"/>
            </w:tcBorders>
            <w:shd w:val="clear" w:color="auto" w:fill="auto"/>
            <w:hideMark/>
          </w:tcPr>
          <w:p w14:paraId="77DCD472" w14:textId="77777777" w:rsidR="00BC5219" w:rsidRPr="0038582F" w:rsidRDefault="00BC5219" w:rsidP="00E83802">
            <w:pPr>
              <w:jc w:val="center"/>
              <w:rPr>
                <w:rFonts w:ascii="Meta Pro" w:eastAsia="Times New Roman" w:hAnsi="Meta Pro"/>
                <w:b/>
                <w:bCs/>
                <w:szCs w:val="18"/>
                <w:lang w:eastAsia="en-AU"/>
              </w:rPr>
            </w:pPr>
          </w:p>
        </w:tc>
        <w:tc>
          <w:tcPr>
            <w:tcW w:w="1157" w:type="dxa"/>
            <w:tcBorders>
              <w:top w:val="nil"/>
              <w:left w:val="nil"/>
              <w:bottom w:val="nil"/>
              <w:right w:val="nil"/>
            </w:tcBorders>
            <w:shd w:val="clear" w:color="auto" w:fill="auto"/>
            <w:hideMark/>
          </w:tcPr>
          <w:p w14:paraId="6DCF06E2" w14:textId="77777777" w:rsidR="00BC5219" w:rsidRPr="0038582F" w:rsidRDefault="00BC5219" w:rsidP="00E83802">
            <w:pPr>
              <w:jc w:val="center"/>
              <w:rPr>
                <w:rFonts w:ascii="Meta Pro" w:eastAsia="Times New Roman" w:hAnsi="Meta Pro"/>
                <w:b/>
                <w:bCs/>
                <w:szCs w:val="18"/>
                <w:lang w:eastAsia="en-AU"/>
              </w:rPr>
            </w:pPr>
            <w:r w:rsidRPr="0038582F">
              <w:rPr>
                <w:rFonts w:ascii="Meta Pro" w:eastAsia="Times New Roman" w:hAnsi="Meta Pro"/>
                <w:b/>
                <w:bCs/>
                <w:szCs w:val="18"/>
                <w:lang w:eastAsia="en-AU"/>
              </w:rPr>
              <w:t>Actual</w:t>
            </w:r>
            <w:r w:rsidRPr="0038582F">
              <w:rPr>
                <w:rFonts w:ascii="Meta Pro" w:eastAsia="Times New Roman" w:hAnsi="Meta Pro"/>
                <w:b/>
                <w:bCs/>
                <w:szCs w:val="18"/>
                <w:lang w:eastAsia="en-AU"/>
              </w:rPr>
              <w:br/>
              <w:t>result</w:t>
            </w:r>
          </w:p>
        </w:tc>
        <w:tc>
          <w:tcPr>
            <w:tcW w:w="199" w:type="dxa"/>
            <w:tcBorders>
              <w:top w:val="nil"/>
              <w:left w:val="nil"/>
              <w:bottom w:val="nil"/>
              <w:right w:val="nil"/>
            </w:tcBorders>
            <w:shd w:val="clear" w:color="auto" w:fill="auto"/>
            <w:hideMark/>
          </w:tcPr>
          <w:p w14:paraId="3A47F47A" w14:textId="77777777" w:rsidR="00BC5219" w:rsidRPr="0038582F" w:rsidRDefault="00BC5219" w:rsidP="00E83802">
            <w:pPr>
              <w:jc w:val="center"/>
              <w:rPr>
                <w:rFonts w:ascii="Meta Pro" w:eastAsia="Times New Roman" w:hAnsi="Meta Pro"/>
                <w:b/>
                <w:bCs/>
                <w:szCs w:val="18"/>
                <w:lang w:eastAsia="en-AU"/>
              </w:rPr>
            </w:pPr>
          </w:p>
        </w:tc>
        <w:tc>
          <w:tcPr>
            <w:tcW w:w="1157" w:type="dxa"/>
            <w:tcBorders>
              <w:top w:val="nil"/>
              <w:left w:val="nil"/>
              <w:bottom w:val="nil"/>
              <w:right w:val="nil"/>
            </w:tcBorders>
            <w:shd w:val="clear" w:color="auto" w:fill="auto"/>
            <w:hideMark/>
          </w:tcPr>
          <w:p w14:paraId="757AC735" w14:textId="77777777" w:rsidR="00BC5219" w:rsidRPr="0038582F" w:rsidRDefault="00BC5219" w:rsidP="00E83802">
            <w:pPr>
              <w:jc w:val="center"/>
              <w:rPr>
                <w:rFonts w:ascii="Meta Pro" w:eastAsia="Times New Roman" w:hAnsi="Meta Pro"/>
                <w:b/>
                <w:bCs/>
                <w:szCs w:val="18"/>
                <w:lang w:eastAsia="en-AU"/>
              </w:rPr>
            </w:pPr>
            <w:r w:rsidRPr="0038582F">
              <w:rPr>
                <w:rFonts w:ascii="Meta Pro" w:eastAsia="Times New Roman" w:hAnsi="Meta Pro"/>
                <w:b/>
                <w:bCs/>
                <w:szCs w:val="18"/>
                <w:lang w:eastAsia="en-AU"/>
              </w:rPr>
              <w:t>Variance</w:t>
            </w:r>
          </w:p>
        </w:tc>
      </w:tr>
      <w:tr w:rsidR="00BC5219" w:rsidRPr="0038582F" w14:paraId="78F23DB3" w14:textId="77777777" w:rsidTr="00E83802">
        <w:trPr>
          <w:trHeight w:val="198"/>
        </w:trPr>
        <w:tc>
          <w:tcPr>
            <w:tcW w:w="6350" w:type="dxa"/>
            <w:tcBorders>
              <w:top w:val="nil"/>
              <w:left w:val="nil"/>
              <w:bottom w:val="nil"/>
              <w:right w:val="nil"/>
            </w:tcBorders>
            <w:shd w:val="clear" w:color="auto" w:fill="auto"/>
            <w:noWrap/>
            <w:vAlign w:val="center"/>
            <w:hideMark/>
          </w:tcPr>
          <w:p w14:paraId="64F73288" w14:textId="77777777" w:rsidR="00BC5219" w:rsidRPr="0038582F" w:rsidRDefault="00BC5219" w:rsidP="00E83802">
            <w:pPr>
              <w:jc w:val="center"/>
              <w:rPr>
                <w:rFonts w:ascii="Meta Pro" w:eastAsia="Times New Roman" w:hAnsi="Meta Pro"/>
                <w:b/>
                <w:bCs/>
                <w:szCs w:val="18"/>
                <w:lang w:eastAsia="en-AU"/>
              </w:rPr>
            </w:pPr>
          </w:p>
        </w:tc>
        <w:tc>
          <w:tcPr>
            <w:tcW w:w="1157" w:type="dxa"/>
            <w:tcBorders>
              <w:top w:val="nil"/>
              <w:left w:val="nil"/>
              <w:bottom w:val="nil"/>
              <w:right w:val="nil"/>
            </w:tcBorders>
            <w:shd w:val="clear" w:color="auto" w:fill="auto"/>
            <w:hideMark/>
          </w:tcPr>
          <w:p w14:paraId="7A5A853D" w14:textId="77777777" w:rsidR="00BC5219" w:rsidRPr="0038582F" w:rsidRDefault="00BC5219" w:rsidP="00E83802">
            <w:pPr>
              <w:jc w:val="center"/>
              <w:rPr>
                <w:rFonts w:ascii="Meta Pro" w:eastAsia="Times New Roman" w:hAnsi="Meta Pro"/>
                <w:b/>
                <w:bCs/>
                <w:szCs w:val="18"/>
                <w:lang w:eastAsia="en-AU"/>
              </w:rPr>
            </w:pPr>
            <w:r w:rsidRPr="0038582F">
              <w:rPr>
                <w:rFonts w:ascii="Meta Pro" w:eastAsia="Times New Roman" w:hAnsi="Meta Pro"/>
                <w:b/>
                <w:bCs/>
                <w:szCs w:val="18"/>
                <w:lang w:eastAsia="en-AU"/>
              </w:rPr>
              <w:t>2023</w:t>
            </w:r>
            <w:r w:rsidRPr="0038582F">
              <w:rPr>
                <w:rFonts w:ascii="Meta Pro" w:eastAsia="Times New Roman" w:hAnsi="Meta Pro"/>
                <w:b/>
                <w:bCs/>
                <w:szCs w:val="18"/>
                <w:lang w:eastAsia="en-AU"/>
              </w:rPr>
              <w:br/>
              <w:t>$'000</w:t>
            </w:r>
          </w:p>
        </w:tc>
        <w:tc>
          <w:tcPr>
            <w:tcW w:w="199" w:type="dxa"/>
            <w:tcBorders>
              <w:top w:val="nil"/>
              <w:left w:val="nil"/>
              <w:bottom w:val="nil"/>
              <w:right w:val="nil"/>
            </w:tcBorders>
            <w:shd w:val="clear" w:color="auto" w:fill="auto"/>
            <w:hideMark/>
          </w:tcPr>
          <w:p w14:paraId="7DB67356" w14:textId="77777777" w:rsidR="00BC5219" w:rsidRPr="0038582F" w:rsidRDefault="00BC5219" w:rsidP="00E83802">
            <w:pPr>
              <w:jc w:val="center"/>
              <w:rPr>
                <w:rFonts w:ascii="Meta Pro" w:eastAsia="Times New Roman" w:hAnsi="Meta Pro"/>
                <w:b/>
                <w:bCs/>
                <w:szCs w:val="18"/>
                <w:lang w:eastAsia="en-AU"/>
              </w:rPr>
            </w:pPr>
          </w:p>
        </w:tc>
        <w:tc>
          <w:tcPr>
            <w:tcW w:w="1157" w:type="dxa"/>
            <w:tcBorders>
              <w:top w:val="nil"/>
              <w:left w:val="nil"/>
              <w:bottom w:val="nil"/>
              <w:right w:val="nil"/>
            </w:tcBorders>
            <w:shd w:val="clear" w:color="auto" w:fill="auto"/>
            <w:hideMark/>
          </w:tcPr>
          <w:p w14:paraId="5B73A5F3" w14:textId="77777777" w:rsidR="00BC5219" w:rsidRPr="0038582F" w:rsidRDefault="00BC5219" w:rsidP="00E83802">
            <w:pPr>
              <w:jc w:val="center"/>
              <w:rPr>
                <w:rFonts w:ascii="Meta Pro" w:eastAsia="Times New Roman" w:hAnsi="Meta Pro"/>
                <w:b/>
                <w:bCs/>
                <w:szCs w:val="18"/>
                <w:lang w:eastAsia="en-AU"/>
              </w:rPr>
            </w:pPr>
            <w:r w:rsidRPr="0038582F">
              <w:rPr>
                <w:rFonts w:ascii="Meta Pro" w:eastAsia="Times New Roman" w:hAnsi="Meta Pro"/>
                <w:b/>
                <w:bCs/>
                <w:szCs w:val="18"/>
                <w:lang w:eastAsia="en-AU"/>
              </w:rPr>
              <w:t>2023</w:t>
            </w:r>
            <w:r w:rsidRPr="0038582F">
              <w:rPr>
                <w:rFonts w:ascii="Meta Pro" w:eastAsia="Times New Roman" w:hAnsi="Meta Pro"/>
                <w:b/>
                <w:bCs/>
                <w:szCs w:val="18"/>
                <w:lang w:eastAsia="en-AU"/>
              </w:rPr>
              <w:br/>
              <w:t>$'000</w:t>
            </w:r>
          </w:p>
        </w:tc>
        <w:tc>
          <w:tcPr>
            <w:tcW w:w="199" w:type="dxa"/>
            <w:tcBorders>
              <w:top w:val="nil"/>
              <w:left w:val="nil"/>
              <w:bottom w:val="nil"/>
              <w:right w:val="nil"/>
            </w:tcBorders>
            <w:shd w:val="clear" w:color="auto" w:fill="auto"/>
            <w:hideMark/>
          </w:tcPr>
          <w:p w14:paraId="7EB230EB" w14:textId="77777777" w:rsidR="00BC5219" w:rsidRPr="0038582F" w:rsidRDefault="00BC5219" w:rsidP="00E83802">
            <w:pPr>
              <w:jc w:val="center"/>
              <w:rPr>
                <w:rFonts w:ascii="Meta Pro" w:eastAsia="Times New Roman" w:hAnsi="Meta Pro"/>
                <w:b/>
                <w:bCs/>
                <w:szCs w:val="18"/>
                <w:lang w:eastAsia="en-AU"/>
              </w:rPr>
            </w:pPr>
          </w:p>
        </w:tc>
        <w:tc>
          <w:tcPr>
            <w:tcW w:w="1157" w:type="dxa"/>
            <w:tcBorders>
              <w:top w:val="nil"/>
              <w:left w:val="nil"/>
              <w:bottom w:val="nil"/>
              <w:right w:val="nil"/>
            </w:tcBorders>
            <w:shd w:val="clear" w:color="auto" w:fill="auto"/>
            <w:hideMark/>
          </w:tcPr>
          <w:p w14:paraId="150B98D1" w14:textId="77777777" w:rsidR="00BC5219" w:rsidRPr="0038582F" w:rsidRDefault="00BC5219" w:rsidP="00E83802">
            <w:pPr>
              <w:jc w:val="center"/>
              <w:rPr>
                <w:rFonts w:ascii="Meta Pro" w:eastAsia="Times New Roman" w:hAnsi="Meta Pro"/>
                <w:b/>
                <w:bCs/>
                <w:szCs w:val="18"/>
                <w:lang w:eastAsia="en-AU"/>
              </w:rPr>
            </w:pPr>
            <w:r w:rsidRPr="0038582F">
              <w:rPr>
                <w:rFonts w:ascii="Meta Pro" w:eastAsia="Times New Roman" w:hAnsi="Meta Pro"/>
                <w:b/>
                <w:bCs/>
                <w:szCs w:val="18"/>
                <w:lang w:eastAsia="en-AU"/>
              </w:rPr>
              <w:t>2023</w:t>
            </w:r>
            <w:r w:rsidRPr="0038582F">
              <w:rPr>
                <w:rFonts w:ascii="Meta Pro" w:eastAsia="Times New Roman" w:hAnsi="Meta Pro"/>
                <w:b/>
                <w:bCs/>
                <w:szCs w:val="18"/>
                <w:lang w:eastAsia="en-AU"/>
              </w:rPr>
              <w:br/>
              <w:t>$'000</w:t>
            </w:r>
          </w:p>
        </w:tc>
      </w:tr>
    </w:tbl>
    <w:p w14:paraId="0035E994" w14:textId="77777777" w:rsidR="00BC5219" w:rsidRDefault="00BC5219" w:rsidP="00BC5219">
      <w:pPr>
        <w:spacing w:line="17" w:lineRule="auto"/>
        <w:rPr>
          <w:rFonts w:asciiTheme="minorHAnsi" w:hAnsiTheme="minorHAnsi" w:cstheme="minorBidi"/>
        </w:rPr>
      </w:pPr>
    </w:p>
    <w:tbl>
      <w:tblPr>
        <w:tblW w:w="0" w:type="auto"/>
        <w:tblCellMar>
          <w:left w:w="0" w:type="dxa"/>
        </w:tblCellMar>
        <w:tblLook w:val="04A0" w:firstRow="1" w:lastRow="0" w:firstColumn="1" w:lastColumn="0" w:noHBand="0" w:noVBand="1"/>
      </w:tblPr>
      <w:tblGrid>
        <w:gridCol w:w="6358"/>
        <w:gridCol w:w="1148"/>
        <w:gridCol w:w="206"/>
        <w:gridCol w:w="1148"/>
        <w:gridCol w:w="206"/>
        <w:gridCol w:w="1148"/>
      </w:tblGrid>
      <w:tr w:rsidR="00BC5219" w:rsidRPr="006137A5" w14:paraId="078C38D5" w14:textId="77777777" w:rsidTr="00E83802">
        <w:trPr>
          <w:trHeight w:val="198"/>
        </w:trPr>
        <w:tc>
          <w:tcPr>
            <w:tcW w:w="6350" w:type="dxa"/>
            <w:tcBorders>
              <w:top w:val="nil"/>
              <w:left w:val="nil"/>
              <w:bottom w:val="nil"/>
              <w:right w:val="nil"/>
            </w:tcBorders>
            <w:shd w:val="clear" w:color="auto" w:fill="auto"/>
            <w:noWrap/>
            <w:vAlign w:val="center"/>
            <w:hideMark/>
          </w:tcPr>
          <w:p w14:paraId="2F4E7575" w14:textId="77777777" w:rsidR="00BC5219" w:rsidRPr="006137A5" w:rsidRDefault="00BC5219" w:rsidP="00E83802">
            <w:pPr>
              <w:outlineLvl w:val="0"/>
              <w:rPr>
                <w:rFonts w:ascii="Meta Pro" w:eastAsia="Times New Roman" w:hAnsi="Meta Pro"/>
                <w:b/>
                <w:bCs/>
                <w:szCs w:val="18"/>
                <w:lang w:eastAsia="en-AU"/>
              </w:rPr>
            </w:pPr>
            <w:r w:rsidRPr="006137A5">
              <w:rPr>
                <w:rFonts w:ascii="Meta Pro" w:eastAsia="Times New Roman" w:hAnsi="Meta Pro"/>
                <w:b/>
                <w:bCs/>
                <w:szCs w:val="18"/>
                <w:lang w:eastAsia="en-AU"/>
              </w:rPr>
              <w:t>Cash flows from investing activities</w:t>
            </w:r>
          </w:p>
        </w:tc>
        <w:tc>
          <w:tcPr>
            <w:tcW w:w="1140" w:type="dxa"/>
            <w:tcBorders>
              <w:top w:val="nil"/>
              <w:left w:val="nil"/>
              <w:bottom w:val="nil"/>
              <w:right w:val="nil"/>
            </w:tcBorders>
            <w:shd w:val="clear" w:color="auto" w:fill="auto"/>
            <w:noWrap/>
            <w:vAlign w:val="center"/>
            <w:hideMark/>
          </w:tcPr>
          <w:p w14:paraId="6FFCE72A" w14:textId="77777777" w:rsidR="00BC5219" w:rsidRPr="006137A5" w:rsidRDefault="00BC5219" w:rsidP="00E83802">
            <w:pPr>
              <w:outlineLvl w:val="0"/>
              <w:rPr>
                <w:rFonts w:ascii="Meta Pro" w:eastAsia="Times New Roman" w:hAnsi="Meta Pro"/>
                <w:b/>
                <w:bCs/>
                <w:szCs w:val="18"/>
                <w:lang w:eastAsia="en-AU"/>
              </w:rPr>
            </w:pPr>
          </w:p>
        </w:tc>
        <w:tc>
          <w:tcPr>
            <w:tcW w:w="198" w:type="dxa"/>
            <w:tcBorders>
              <w:top w:val="nil"/>
              <w:left w:val="nil"/>
              <w:bottom w:val="nil"/>
              <w:right w:val="nil"/>
            </w:tcBorders>
            <w:shd w:val="clear" w:color="auto" w:fill="auto"/>
            <w:noWrap/>
            <w:vAlign w:val="center"/>
            <w:hideMark/>
          </w:tcPr>
          <w:p w14:paraId="543D206E" w14:textId="77777777" w:rsidR="00BC5219" w:rsidRPr="006137A5" w:rsidRDefault="00BC5219" w:rsidP="00E83802">
            <w:pPr>
              <w:outlineLvl w:val="0"/>
              <w:rPr>
                <w:rFonts w:ascii="Times New Roman" w:eastAsia="Times New Roman" w:hAnsi="Times New Roman" w:cs="Times New Roman"/>
                <w:sz w:val="20"/>
                <w:szCs w:val="20"/>
                <w:lang w:eastAsia="en-AU"/>
              </w:rPr>
            </w:pPr>
          </w:p>
        </w:tc>
        <w:tc>
          <w:tcPr>
            <w:tcW w:w="1140" w:type="dxa"/>
            <w:tcBorders>
              <w:top w:val="nil"/>
              <w:left w:val="nil"/>
              <w:bottom w:val="nil"/>
              <w:right w:val="nil"/>
            </w:tcBorders>
            <w:shd w:val="clear" w:color="auto" w:fill="auto"/>
            <w:noWrap/>
            <w:vAlign w:val="center"/>
            <w:hideMark/>
          </w:tcPr>
          <w:p w14:paraId="481204A3" w14:textId="77777777" w:rsidR="00BC5219" w:rsidRPr="006137A5" w:rsidRDefault="00BC5219" w:rsidP="00E83802">
            <w:pPr>
              <w:jc w:val="right"/>
              <w:outlineLvl w:val="0"/>
              <w:rPr>
                <w:rFonts w:ascii="Times New Roman" w:eastAsia="Times New Roman" w:hAnsi="Times New Roman"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7648B189" w14:textId="77777777" w:rsidR="00BC5219" w:rsidRPr="006137A5" w:rsidRDefault="00BC5219" w:rsidP="00E83802">
            <w:pPr>
              <w:outlineLvl w:val="0"/>
              <w:rPr>
                <w:rFonts w:ascii="Times New Roman" w:eastAsia="Times New Roman" w:hAnsi="Times New Roman" w:cs="Times New Roman"/>
                <w:sz w:val="20"/>
                <w:szCs w:val="20"/>
                <w:lang w:eastAsia="en-AU"/>
              </w:rPr>
            </w:pPr>
          </w:p>
        </w:tc>
        <w:tc>
          <w:tcPr>
            <w:tcW w:w="1140" w:type="dxa"/>
            <w:tcBorders>
              <w:top w:val="nil"/>
              <w:left w:val="nil"/>
              <w:bottom w:val="nil"/>
              <w:right w:val="nil"/>
            </w:tcBorders>
            <w:shd w:val="clear" w:color="auto" w:fill="auto"/>
            <w:noWrap/>
            <w:vAlign w:val="center"/>
            <w:hideMark/>
          </w:tcPr>
          <w:p w14:paraId="5DCFCA2E" w14:textId="77777777" w:rsidR="00BC5219" w:rsidRPr="006137A5" w:rsidRDefault="00BC5219" w:rsidP="00E83802">
            <w:pPr>
              <w:jc w:val="right"/>
              <w:outlineLvl w:val="0"/>
              <w:rPr>
                <w:rFonts w:ascii="Times New Roman" w:eastAsia="Times New Roman" w:hAnsi="Times New Roman" w:cs="Times New Roman"/>
                <w:sz w:val="20"/>
                <w:szCs w:val="20"/>
                <w:lang w:eastAsia="en-AU"/>
              </w:rPr>
            </w:pPr>
          </w:p>
        </w:tc>
      </w:tr>
      <w:tr w:rsidR="00BC5219" w:rsidRPr="006137A5" w14:paraId="11D13710" w14:textId="77777777" w:rsidTr="00E83802">
        <w:trPr>
          <w:trHeight w:val="198"/>
        </w:trPr>
        <w:tc>
          <w:tcPr>
            <w:tcW w:w="6350" w:type="dxa"/>
            <w:tcBorders>
              <w:top w:val="nil"/>
              <w:left w:val="nil"/>
              <w:bottom w:val="nil"/>
              <w:right w:val="nil"/>
            </w:tcBorders>
            <w:shd w:val="clear" w:color="auto" w:fill="auto"/>
            <w:noWrap/>
            <w:vAlign w:val="center"/>
            <w:hideMark/>
          </w:tcPr>
          <w:p w14:paraId="296CE8FF" w14:textId="77777777" w:rsidR="00BC5219" w:rsidRPr="006137A5" w:rsidRDefault="00BC5219" w:rsidP="00E83802">
            <w:pPr>
              <w:outlineLvl w:val="0"/>
              <w:rPr>
                <w:rFonts w:ascii="Meta Pro" w:eastAsia="Times New Roman" w:hAnsi="Meta Pro"/>
                <w:i/>
                <w:iCs/>
                <w:szCs w:val="18"/>
                <w:lang w:eastAsia="en-AU"/>
              </w:rPr>
            </w:pPr>
            <w:r w:rsidRPr="006137A5">
              <w:rPr>
                <w:rFonts w:ascii="Meta Pro" w:eastAsia="Times New Roman" w:hAnsi="Meta Pro"/>
                <w:i/>
                <w:iCs/>
                <w:szCs w:val="18"/>
                <w:lang w:eastAsia="en-AU"/>
              </w:rPr>
              <w:t>Inflows:</w:t>
            </w:r>
          </w:p>
        </w:tc>
        <w:tc>
          <w:tcPr>
            <w:tcW w:w="1140" w:type="dxa"/>
            <w:tcBorders>
              <w:top w:val="nil"/>
              <w:left w:val="nil"/>
              <w:bottom w:val="nil"/>
              <w:right w:val="nil"/>
            </w:tcBorders>
            <w:shd w:val="clear" w:color="auto" w:fill="auto"/>
            <w:noWrap/>
            <w:vAlign w:val="center"/>
            <w:hideMark/>
          </w:tcPr>
          <w:p w14:paraId="52333928" w14:textId="77777777" w:rsidR="00BC5219" w:rsidRPr="006137A5" w:rsidRDefault="00BC5219" w:rsidP="00E83802">
            <w:pPr>
              <w:outlineLvl w:val="0"/>
              <w:rPr>
                <w:rFonts w:ascii="Meta Pro" w:eastAsia="Times New Roman" w:hAnsi="Meta Pro"/>
                <w:i/>
                <w:iCs/>
                <w:szCs w:val="18"/>
                <w:lang w:eastAsia="en-AU"/>
              </w:rPr>
            </w:pPr>
          </w:p>
        </w:tc>
        <w:tc>
          <w:tcPr>
            <w:tcW w:w="198" w:type="dxa"/>
            <w:tcBorders>
              <w:top w:val="nil"/>
              <w:left w:val="nil"/>
              <w:bottom w:val="nil"/>
              <w:right w:val="nil"/>
            </w:tcBorders>
            <w:shd w:val="clear" w:color="auto" w:fill="auto"/>
            <w:vAlign w:val="center"/>
            <w:hideMark/>
          </w:tcPr>
          <w:p w14:paraId="1224880E" w14:textId="77777777" w:rsidR="00BC5219" w:rsidRPr="006137A5" w:rsidRDefault="00BC5219" w:rsidP="00E83802">
            <w:pPr>
              <w:jc w:val="right"/>
              <w:outlineLvl w:val="0"/>
              <w:rPr>
                <w:rFonts w:ascii="Times New Roman" w:eastAsia="Times New Roman" w:hAnsi="Times New Roman" w:cs="Times New Roman"/>
                <w:sz w:val="20"/>
                <w:szCs w:val="20"/>
                <w:lang w:eastAsia="en-AU"/>
              </w:rPr>
            </w:pPr>
          </w:p>
        </w:tc>
        <w:tc>
          <w:tcPr>
            <w:tcW w:w="1140" w:type="dxa"/>
            <w:tcBorders>
              <w:top w:val="nil"/>
              <w:left w:val="nil"/>
              <w:bottom w:val="nil"/>
              <w:right w:val="nil"/>
            </w:tcBorders>
            <w:shd w:val="clear" w:color="auto" w:fill="auto"/>
            <w:noWrap/>
            <w:vAlign w:val="center"/>
            <w:hideMark/>
          </w:tcPr>
          <w:p w14:paraId="1E84305E" w14:textId="77777777" w:rsidR="00BC5219" w:rsidRPr="006137A5" w:rsidRDefault="00BC5219" w:rsidP="00E83802">
            <w:pPr>
              <w:jc w:val="center"/>
              <w:outlineLvl w:val="0"/>
              <w:rPr>
                <w:rFonts w:ascii="Times New Roman" w:eastAsia="Times New Roman" w:hAnsi="Times New Roman" w:cs="Times New Roman"/>
                <w:sz w:val="20"/>
                <w:szCs w:val="20"/>
                <w:lang w:eastAsia="en-AU"/>
              </w:rPr>
            </w:pPr>
          </w:p>
        </w:tc>
        <w:tc>
          <w:tcPr>
            <w:tcW w:w="198" w:type="dxa"/>
            <w:tcBorders>
              <w:top w:val="nil"/>
              <w:left w:val="nil"/>
              <w:bottom w:val="nil"/>
              <w:right w:val="nil"/>
            </w:tcBorders>
            <w:shd w:val="clear" w:color="auto" w:fill="auto"/>
            <w:vAlign w:val="center"/>
            <w:hideMark/>
          </w:tcPr>
          <w:p w14:paraId="5040513A" w14:textId="77777777" w:rsidR="00BC5219" w:rsidRPr="006137A5" w:rsidRDefault="00BC5219" w:rsidP="00E83802">
            <w:pPr>
              <w:jc w:val="right"/>
              <w:outlineLvl w:val="0"/>
              <w:rPr>
                <w:rFonts w:ascii="Times New Roman" w:eastAsia="Times New Roman" w:hAnsi="Times New Roman" w:cs="Times New Roman"/>
                <w:sz w:val="20"/>
                <w:szCs w:val="20"/>
                <w:lang w:eastAsia="en-AU"/>
              </w:rPr>
            </w:pPr>
          </w:p>
        </w:tc>
        <w:tc>
          <w:tcPr>
            <w:tcW w:w="1140" w:type="dxa"/>
            <w:tcBorders>
              <w:top w:val="nil"/>
              <w:left w:val="nil"/>
              <w:bottom w:val="nil"/>
              <w:right w:val="nil"/>
            </w:tcBorders>
            <w:shd w:val="clear" w:color="auto" w:fill="auto"/>
            <w:noWrap/>
            <w:vAlign w:val="center"/>
            <w:hideMark/>
          </w:tcPr>
          <w:p w14:paraId="4E78F80F" w14:textId="77777777" w:rsidR="00BC5219" w:rsidRPr="006137A5" w:rsidRDefault="00BC5219" w:rsidP="00E83802">
            <w:pPr>
              <w:jc w:val="center"/>
              <w:outlineLvl w:val="0"/>
              <w:rPr>
                <w:rFonts w:ascii="Times New Roman" w:eastAsia="Times New Roman" w:hAnsi="Times New Roman" w:cs="Times New Roman"/>
                <w:sz w:val="20"/>
                <w:szCs w:val="20"/>
                <w:lang w:eastAsia="en-AU"/>
              </w:rPr>
            </w:pPr>
          </w:p>
        </w:tc>
      </w:tr>
      <w:tr w:rsidR="00BC5219" w:rsidRPr="006137A5" w14:paraId="7106118D" w14:textId="77777777" w:rsidTr="00E83802">
        <w:trPr>
          <w:trHeight w:val="198"/>
        </w:trPr>
        <w:tc>
          <w:tcPr>
            <w:tcW w:w="6350" w:type="dxa"/>
            <w:tcBorders>
              <w:top w:val="nil"/>
              <w:left w:val="nil"/>
              <w:bottom w:val="nil"/>
              <w:right w:val="nil"/>
            </w:tcBorders>
            <w:shd w:val="clear" w:color="auto" w:fill="auto"/>
            <w:noWrap/>
            <w:vAlign w:val="center"/>
            <w:hideMark/>
          </w:tcPr>
          <w:p w14:paraId="223A0B99" w14:textId="77777777" w:rsidR="00BC5219" w:rsidRPr="006137A5" w:rsidRDefault="00BC5219" w:rsidP="00E83802">
            <w:pPr>
              <w:outlineLvl w:val="0"/>
              <w:rPr>
                <w:rFonts w:ascii="Meta Pro" w:eastAsia="Times New Roman" w:hAnsi="Meta Pro"/>
                <w:szCs w:val="18"/>
                <w:lang w:eastAsia="en-AU"/>
              </w:rPr>
            </w:pPr>
            <w:r w:rsidRPr="006137A5">
              <w:rPr>
                <w:rFonts w:ascii="Meta Pro" w:eastAsia="Times New Roman" w:hAnsi="Meta Pro"/>
                <w:szCs w:val="18"/>
                <w:lang w:eastAsia="en-AU"/>
              </w:rPr>
              <w:t>Sales of property, plant and equipment</w:t>
            </w:r>
          </w:p>
        </w:tc>
        <w:tc>
          <w:tcPr>
            <w:tcW w:w="1140" w:type="dxa"/>
            <w:tcBorders>
              <w:top w:val="nil"/>
              <w:left w:val="nil"/>
              <w:bottom w:val="nil"/>
              <w:right w:val="nil"/>
            </w:tcBorders>
            <w:shd w:val="clear" w:color="auto" w:fill="auto"/>
            <w:noWrap/>
            <w:vAlign w:val="center"/>
            <w:hideMark/>
          </w:tcPr>
          <w:p w14:paraId="27DBBB8F" w14:textId="77777777" w:rsidR="00BC5219" w:rsidRPr="006137A5" w:rsidRDefault="00BC5219" w:rsidP="00E83802">
            <w:pPr>
              <w:jc w:val="right"/>
              <w:outlineLvl w:val="0"/>
              <w:rPr>
                <w:rFonts w:ascii="Meta Pro" w:eastAsia="Times New Roman" w:hAnsi="Meta Pro"/>
                <w:szCs w:val="18"/>
                <w:lang w:eastAsia="en-AU"/>
              </w:rPr>
            </w:pPr>
            <w:r w:rsidRPr="006137A5">
              <w:rPr>
                <w:rFonts w:ascii="Meta Pro" w:eastAsia="Times New Roman" w:hAnsi="Meta Pro"/>
                <w:szCs w:val="18"/>
                <w:lang w:eastAsia="en-AU"/>
              </w:rPr>
              <w:t xml:space="preserve">23,977 </w:t>
            </w:r>
          </w:p>
        </w:tc>
        <w:tc>
          <w:tcPr>
            <w:tcW w:w="198" w:type="dxa"/>
            <w:tcBorders>
              <w:top w:val="nil"/>
              <w:left w:val="nil"/>
              <w:bottom w:val="nil"/>
              <w:right w:val="nil"/>
            </w:tcBorders>
            <w:shd w:val="clear" w:color="auto" w:fill="auto"/>
            <w:noWrap/>
            <w:vAlign w:val="center"/>
            <w:hideMark/>
          </w:tcPr>
          <w:p w14:paraId="33B721A9" w14:textId="77777777" w:rsidR="00BC5219" w:rsidRPr="006137A5" w:rsidRDefault="00BC5219" w:rsidP="00E83802">
            <w:pPr>
              <w:jc w:val="right"/>
              <w:outlineLvl w:val="0"/>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13931987" w14:textId="77777777" w:rsidR="00BC5219" w:rsidRPr="006137A5" w:rsidRDefault="00BC5219" w:rsidP="00E83802">
            <w:pPr>
              <w:jc w:val="right"/>
              <w:outlineLvl w:val="0"/>
              <w:rPr>
                <w:rFonts w:ascii="Meta Pro" w:eastAsia="Times New Roman" w:hAnsi="Meta Pro"/>
                <w:szCs w:val="18"/>
                <w:lang w:eastAsia="en-AU"/>
              </w:rPr>
            </w:pPr>
            <w:r w:rsidRPr="006137A5">
              <w:rPr>
                <w:rFonts w:ascii="Meta Pro" w:eastAsia="Times New Roman" w:hAnsi="Meta Pro"/>
                <w:szCs w:val="18"/>
                <w:lang w:eastAsia="en-AU"/>
              </w:rPr>
              <w:t xml:space="preserve">6,286 </w:t>
            </w:r>
          </w:p>
        </w:tc>
        <w:tc>
          <w:tcPr>
            <w:tcW w:w="198" w:type="dxa"/>
            <w:tcBorders>
              <w:top w:val="nil"/>
              <w:left w:val="nil"/>
              <w:bottom w:val="nil"/>
              <w:right w:val="nil"/>
            </w:tcBorders>
            <w:shd w:val="clear" w:color="auto" w:fill="auto"/>
            <w:noWrap/>
            <w:vAlign w:val="center"/>
            <w:hideMark/>
          </w:tcPr>
          <w:p w14:paraId="0D470E50" w14:textId="77777777" w:rsidR="00BC5219" w:rsidRPr="006137A5" w:rsidRDefault="00BC5219" w:rsidP="00E83802">
            <w:pPr>
              <w:jc w:val="right"/>
              <w:outlineLvl w:val="0"/>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79FCC45D" w14:textId="77777777" w:rsidR="00BC5219" w:rsidRPr="006137A5" w:rsidRDefault="00BC5219" w:rsidP="00E83802">
            <w:pPr>
              <w:jc w:val="right"/>
              <w:outlineLvl w:val="0"/>
              <w:rPr>
                <w:rFonts w:ascii="Meta Pro" w:eastAsia="Times New Roman" w:hAnsi="Meta Pro"/>
                <w:szCs w:val="18"/>
                <w:lang w:eastAsia="en-AU"/>
              </w:rPr>
            </w:pPr>
            <w:r w:rsidRPr="006137A5">
              <w:rPr>
                <w:rFonts w:ascii="Meta Pro" w:eastAsia="Times New Roman" w:hAnsi="Meta Pro"/>
                <w:szCs w:val="18"/>
                <w:lang w:eastAsia="en-AU"/>
              </w:rPr>
              <w:t>(17,691)</w:t>
            </w:r>
          </w:p>
        </w:tc>
      </w:tr>
      <w:tr w:rsidR="00BC5219" w:rsidRPr="006137A5" w14:paraId="2A770C24" w14:textId="77777777" w:rsidTr="00E83802">
        <w:trPr>
          <w:trHeight w:val="198"/>
        </w:trPr>
        <w:tc>
          <w:tcPr>
            <w:tcW w:w="6350" w:type="dxa"/>
            <w:tcBorders>
              <w:top w:val="nil"/>
              <w:left w:val="nil"/>
              <w:bottom w:val="nil"/>
              <w:right w:val="nil"/>
            </w:tcBorders>
            <w:shd w:val="clear" w:color="auto" w:fill="auto"/>
            <w:noWrap/>
            <w:vAlign w:val="center"/>
            <w:hideMark/>
          </w:tcPr>
          <w:p w14:paraId="10DC5279" w14:textId="77777777" w:rsidR="00BC5219" w:rsidRPr="006137A5" w:rsidRDefault="00BC5219" w:rsidP="00E83802">
            <w:pPr>
              <w:outlineLvl w:val="0"/>
              <w:rPr>
                <w:rFonts w:ascii="Meta Pro" w:eastAsia="Times New Roman" w:hAnsi="Meta Pro"/>
                <w:i/>
                <w:iCs/>
                <w:szCs w:val="18"/>
                <w:lang w:eastAsia="en-AU"/>
              </w:rPr>
            </w:pPr>
            <w:r w:rsidRPr="006137A5">
              <w:rPr>
                <w:rFonts w:ascii="Meta Pro" w:eastAsia="Times New Roman" w:hAnsi="Meta Pro"/>
                <w:i/>
                <w:iCs/>
                <w:szCs w:val="18"/>
                <w:lang w:eastAsia="en-AU"/>
              </w:rPr>
              <w:t>Outflows:</w:t>
            </w:r>
          </w:p>
        </w:tc>
        <w:tc>
          <w:tcPr>
            <w:tcW w:w="1140" w:type="dxa"/>
            <w:tcBorders>
              <w:top w:val="nil"/>
              <w:left w:val="nil"/>
              <w:bottom w:val="nil"/>
              <w:right w:val="nil"/>
            </w:tcBorders>
            <w:shd w:val="clear" w:color="auto" w:fill="auto"/>
            <w:noWrap/>
            <w:vAlign w:val="center"/>
            <w:hideMark/>
          </w:tcPr>
          <w:p w14:paraId="6F54B65C" w14:textId="77777777" w:rsidR="00BC5219" w:rsidRPr="006137A5" w:rsidRDefault="00BC5219" w:rsidP="00E83802">
            <w:pPr>
              <w:outlineLvl w:val="0"/>
              <w:rPr>
                <w:rFonts w:ascii="Meta Pro" w:eastAsia="Times New Roman" w:hAnsi="Meta Pro"/>
                <w:i/>
                <w:iCs/>
                <w:szCs w:val="18"/>
                <w:lang w:eastAsia="en-AU"/>
              </w:rPr>
            </w:pPr>
          </w:p>
        </w:tc>
        <w:tc>
          <w:tcPr>
            <w:tcW w:w="198" w:type="dxa"/>
            <w:tcBorders>
              <w:top w:val="nil"/>
              <w:left w:val="nil"/>
              <w:bottom w:val="nil"/>
              <w:right w:val="nil"/>
            </w:tcBorders>
            <w:shd w:val="clear" w:color="auto" w:fill="auto"/>
            <w:noWrap/>
            <w:vAlign w:val="center"/>
            <w:hideMark/>
          </w:tcPr>
          <w:p w14:paraId="1FE4CF6D" w14:textId="77777777" w:rsidR="00BC5219" w:rsidRPr="006137A5" w:rsidRDefault="00BC5219" w:rsidP="00E83802">
            <w:pPr>
              <w:outlineLvl w:val="0"/>
              <w:rPr>
                <w:rFonts w:ascii="Times New Roman" w:eastAsia="Times New Roman" w:hAnsi="Times New Roman" w:cs="Times New Roman"/>
                <w:sz w:val="20"/>
                <w:szCs w:val="20"/>
                <w:lang w:eastAsia="en-AU"/>
              </w:rPr>
            </w:pPr>
          </w:p>
        </w:tc>
        <w:tc>
          <w:tcPr>
            <w:tcW w:w="1140" w:type="dxa"/>
            <w:tcBorders>
              <w:top w:val="nil"/>
              <w:left w:val="nil"/>
              <w:bottom w:val="nil"/>
              <w:right w:val="nil"/>
            </w:tcBorders>
            <w:shd w:val="clear" w:color="auto" w:fill="auto"/>
            <w:noWrap/>
            <w:vAlign w:val="center"/>
            <w:hideMark/>
          </w:tcPr>
          <w:p w14:paraId="27F64092" w14:textId="77777777" w:rsidR="00BC5219" w:rsidRPr="006137A5" w:rsidRDefault="00BC5219" w:rsidP="00E83802">
            <w:pPr>
              <w:jc w:val="right"/>
              <w:outlineLvl w:val="0"/>
              <w:rPr>
                <w:rFonts w:ascii="Times New Roman" w:eastAsia="Times New Roman" w:hAnsi="Times New Roman"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2D17EED1" w14:textId="77777777" w:rsidR="00BC5219" w:rsidRPr="006137A5" w:rsidRDefault="00BC5219" w:rsidP="00E83802">
            <w:pPr>
              <w:outlineLvl w:val="0"/>
              <w:rPr>
                <w:rFonts w:ascii="Times New Roman" w:eastAsia="Times New Roman" w:hAnsi="Times New Roman" w:cs="Times New Roman"/>
                <w:sz w:val="20"/>
                <w:szCs w:val="20"/>
                <w:lang w:eastAsia="en-AU"/>
              </w:rPr>
            </w:pPr>
          </w:p>
        </w:tc>
        <w:tc>
          <w:tcPr>
            <w:tcW w:w="1140" w:type="dxa"/>
            <w:tcBorders>
              <w:top w:val="nil"/>
              <w:left w:val="nil"/>
              <w:bottom w:val="nil"/>
              <w:right w:val="nil"/>
            </w:tcBorders>
            <w:shd w:val="clear" w:color="auto" w:fill="auto"/>
            <w:noWrap/>
            <w:vAlign w:val="center"/>
            <w:hideMark/>
          </w:tcPr>
          <w:p w14:paraId="0A31903C" w14:textId="77777777" w:rsidR="00BC5219" w:rsidRPr="006137A5" w:rsidRDefault="00BC5219" w:rsidP="00E83802">
            <w:pPr>
              <w:jc w:val="right"/>
              <w:outlineLvl w:val="0"/>
              <w:rPr>
                <w:rFonts w:ascii="Times New Roman" w:eastAsia="Times New Roman" w:hAnsi="Times New Roman" w:cs="Times New Roman"/>
                <w:sz w:val="20"/>
                <w:szCs w:val="20"/>
                <w:lang w:eastAsia="en-AU"/>
              </w:rPr>
            </w:pPr>
          </w:p>
        </w:tc>
      </w:tr>
      <w:tr w:rsidR="00BC5219" w:rsidRPr="006137A5" w14:paraId="6BF8D3FF" w14:textId="77777777" w:rsidTr="00E83802">
        <w:trPr>
          <w:trHeight w:val="198"/>
        </w:trPr>
        <w:tc>
          <w:tcPr>
            <w:tcW w:w="6350" w:type="dxa"/>
            <w:tcBorders>
              <w:top w:val="nil"/>
              <w:left w:val="nil"/>
              <w:bottom w:val="nil"/>
              <w:right w:val="nil"/>
            </w:tcBorders>
            <w:shd w:val="clear" w:color="auto" w:fill="auto"/>
            <w:noWrap/>
            <w:vAlign w:val="center"/>
            <w:hideMark/>
          </w:tcPr>
          <w:p w14:paraId="3419795A" w14:textId="77777777" w:rsidR="00BC5219" w:rsidRPr="006137A5" w:rsidRDefault="00BC5219" w:rsidP="00E83802">
            <w:pPr>
              <w:outlineLvl w:val="0"/>
              <w:rPr>
                <w:rFonts w:ascii="Meta Pro" w:eastAsia="Times New Roman" w:hAnsi="Meta Pro"/>
                <w:szCs w:val="18"/>
                <w:lang w:eastAsia="en-AU"/>
              </w:rPr>
            </w:pPr>
            <w:r w:rsidRPr="006137A5">
              <w:rPr>
                <w:rFonts w:ascii="Meta Pro" w:eastAsia="Times New Roman" w:hAnsi="Meta Pro"/>
                <w:szCs w:val="18"/>
                <w:lang w:eastAsia="en-AU"/>
              </w:rPr>
              <w:t>Payments for property, plant and equipment</w:t>
            </w:r>
          </w:p>
        </w:tc>
        <w:tc>
          <w:tcPr>
            <w:tcW w:w="1140" w:type="dxa"/>
            <w:tcBorders>
              <w:top w:val="nil"/>
              <w:left w:val="nil"/>
              <w:bottom w:val="nil"/>
              <w:right w:val="nil"/>
            </w:tcBorders>
            <w:shd w:val="clear" w:color="auto" w:fill="auto"/>
            <w:noWrap/>
            <w:vAlign w:val="center"/>
            <w:hideMark/>
          </w:tcPr>
          <w:p w14:paraId="505134FB" w14:textId="77777777" w:rsidR="00BC5219" w:rsidRPr="006137A5" w:rsidRDefault="00BC5219" w:rsidP="00E83802">
            <w:pPr>
              <w:jc w:val="right"/>
              <w:outlineLvl w:val="0"/>
              <w:rPr>
                <w:rFonts w:ascii="Meta Pro" w:eastAsia="Times New Roman" w:hAnsi="Meta Pro"/>
                <w:szCs w:val="18"/>
                <w:lang w:eastAsia="en-AU"/>
              </w:rPr>
            </w:pPr>
            <w:r w:rsidRPr="006137A5">
              <w:rPr>
                <w:rFonts w:ascii="Meta Pro" w:eastAsia="Times New Roman" w:hAnsi="Meta Pro"/>
                <w:szCs w:val="18"/>
                <w:lang w:eastAsia="en-AU"/>
              </w:rPr>
              <w:t>(4,445,703)</w:t>
            </w:r>
          </w:p>
        </w:tc>
        <w:tc>
          <w:tcPr>
            <w:tcW w:w="198" w:type="dxa"/>
            <w:tcBorders>
              <w:top w:val="nil"/>
              <w:left w:val="nil"/>
              <w:bottom w:val="nil"/>
              <w:right w:val="nil"/>
            </w:tcBorders>
            <w:shd w:val="clear" w:color="auto" w:fill="auto"/>
            <w:noWrap/>
            <w:vAlign w:val="center"/>
            <w:hideMark/>
          </w:tcPr>
          <w:p w14:paraId="566A5F5E" w14:textId="77777777" w:rsidR="00BC5219" w:rsidRPr="006137A5" w:rsidRDefault="00BC5219" w:rsidP="00E83802">
            <w:pPr>
              <w:jc w:val="right"/>
              <w:outlineLvl w:val="0"/>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49D97F5A" w14:textId="77777777" w:rsidR="00BC5219" w:rsidRPr="006137A5" w:rsidRDefault="00BC5219" w:rsidP="00E83802">
            <w:pPr>
              <w:jc w:val="right"/>
              <w:outlineLvl w:val="0"/>
              <w:rPr>
                <w:rFonts w:ascii="Meta Pro" w:eastAsia="Times New Roman" w:hAnsi="Meta Pro"/>
                <w:szCs w:val="18"/>
                <w:lang w:eastAsia="en-AU"/>
              </w:rPr>
            </w:pPr>
            <w:r w:rsidRPr="006137A5">
              <w:rPr>
                <w:rFonts w:ascii="Meta Pro" w:eastAsia="Times New Roman" w:hAnsi="Meta Pro"/>
                <w:szCs w:val="18"/>
                <w:lang w:eastAsia="en-AU"/>
              </w:rPr>
              <w:t>(4,753,026)</w:t>
            </w:r>
          </w:p>
        </w:tc>
        <w:tc>
          <w:tcPr>
            <w:tcW w:w="198" w:type="dxa"/>
            <w:tcBorders>
              <w:top w:val="nil"/>
              <w:left w:val="nil"/>
              <w:bottom w:val="nil"/>
              <w:right w:val="nil"/>
            </w:tcBorders>
            <w:shd w:val="clear" w:color="auto" w:fill="auto"/>
            <w:noWrap/>
            <w:vAlign w:val="center"/>
            <w:hideMark/>
          </w:tcPr>
          <w:p w14:paraId="37F7703E" w14:textId="77777777" w:rsidR="00BC5219" w:rsidRPr="006137A5" w:rsidRDefault="00BC5219" w:rsidP="00E83802">
            <w:pPr>
              <w:jc w:val="right"/>
              <w:outlineLvl w:val="0"/>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2A99DE7B" w14:textId="77777777" w:rsidR="00BC5219" w:rsidRPr="006137A5" w:rsidRDefault="00BC5219" w:rsidP="00E83802">
            <w:pPr>
              <w:jc w:val="right"/>
              <w:outlineLvl w:val="0"/>
              <w:rPr>
                <w:rFonts w:ascii="Meta Pro" w:eastAsia="Times New Roman" w:hAnsi="Meta Pro"/>
                <w:szCs w:val="18"/>
                <w:lang w:eastAsia="en-AU"/>
              </w:rPr>
            </w:pPr>
            <w:r w:rsidRPr="006137A5">
              <w:rPr>
                <w:rFonts w:ascii="Meta Pro" w:eastAsia="Times New Roman" w:hAnsi="Meta Pro"/>
                <w:szCs w:val="18"/>
                <w:lang w:eastAsia="en-AU"/>
              </w:rPr>
              <w:t>(307,323)</w:t>
            </w:r>
          </w:p>
        </w:tc>
      </w:tr>
      <w:tr w:rsidR="00BC5219" w:rsidRPr="006137A5" w14:paraId="7AE29A06" w14:textId="77777777" w:rsidTr="00E83802">
        <w:trPr>
          <w:trHeight w:val="198"/>
        </w:trPr>
        <w:tc>
          <w:tcPr>
            <w:tcW w:w="6350" w:type="dxa"/>
            <w:tcBorders>
              <w:top w:val="nil"/>
              <w:left w:val="nil"/>
              <w:bottom w:val="nil"/>
              <w:right w:val="nil"/>
            </w:tcBorders>
            <w:shd w:val="clear" w:color="auto" w:fill="auto"/>
            <w:noWrap/>
            <w:vAlign w:val="center"/>
            <w:hideMark/>
          </w:tcPr>
          <w:p w14:paraId="43E9CA22" w14:textId="77777777" w:rsidR="00BC5219" w:rsidRPr="006137A5" w:rsidRDefault="00BC5219" w:rsidP="00E83802">
            <w:pPr>
              <w:outlineLvl w:val="0"/>
              <w:rPr>
                <w:rFonts w:ascii="Meta Pro" w:eastAsia="Times New Roman" w:hAnsi="Meta Pro"/>
                <w:szCs w:val="18"/>
                <w:lang w:eastAsia="en-AU"/>
              </w:rPr>
            </w:pPr>
            <w:r w:rsidRPr="006137A5">
              <w:rPr>
                <w:rFonts w:ascii="Meta Pro" w:eastAsia="Times New Roman" w:hAnsi="Meta Pro"/>
                <w:szCs w:val="18"/>
                <w:lang w:eastAsia="en-AU"/>
              </w:rPr>
              <w:t>Payments for intangibles</w:t>
            </w:r>
          </w:p>
        </w:tc>
        <w:tc>
          <w:tcPr>
            <w:tcW w:w="1140" w:type="dxa"/>
            <w:tcBorders>
              <w:top w:val="nil"/>
              <w:left w:val="nil"/>
              <w:bottom w:val="nil"/>
              <w:right w:val="nil"/>
            </w:tcBorders>
            <w:shd w:val="clear" w:color="auto" w:fill="auto"/>
            <w:noWrap/>
            <w:vAlign w:val="center"/>
            <w:hideMark/>
          </w:tcPr>
          <w:p w14:paraId="7AFC54C9" w14:textId="77777777" w:rsidR="00BC5219" w:rsidRPr="006137A5" w:rsidRDefault="00BC5219" w:rsidP="00E83802">
            <w:pPr>
              <w:jc w:val="right"/>
              <w:outlineLvl w:val="0"/>
              <w:rPr>
                <w:rFonts w:ascii="Meta Pro" w:eastAsia="Times New Roman" w:hAnsi="Meta Pro"/>
                <w:szCs w:val="18"/>
                <w:lang w:eastAsia="en-AU"/>
              </w:rPr>
            </w:pPr>
            <w:r w:rsidRPr="006137A5">
              <w:rPr>
                <w:rFonts w:ascii="Meta Pro" w:eastAsia="Times New Roman" w:hAnsi="Meta Pro"/>
                <w:szCs w:val="18"/>
                <w:lang w:eastAsia="en-AU"/>
              </w:rPr>
              <w:t>(32,066)</w:t>
            </w:r>
          </w:p>
        </w:tc>
        <w:tc>
          <w:tcPr>
            <w:tcW w:w="198" w:type="dxa"/>
            <w:tcBorders>
              <w:top w:val="nil"/>
              <w:left w:val="nil"/>
              <w:bottom w:val="nil"/>
              <w:right w:val="nil"/>
            </w:tcBorders>
            <w:shd w:val="clear" w:color="auto" w:fill="auto"/>
            <w:noWrap/>
            <w:vAlign w:val="center"/>
            <w:hideMark/>
          </w:tcPr>
          <w:p w14:paraId="3D4DAC70" w14:textId="77777777" w:rsidR="00BC5219" w:rsidRPr="006137A5" w:rsidRDefault="00BC5219" w:rsidP="00E83802">
            <w:pPr>
              <w:jc w:val="right"/>
              <w:outlineLvl w:val="0"/>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67DD239F" w14:textId="77777777" w:rsidR="00BC5219" w:rsidRPr="006137A5" w:rsidRDefault="00BC5219" w:rsidP="00E83802">
            <w:pPr>
              <w:jc w:val="right"/>
              <w:outlineLvl w:val="0"/>
              <w:rPr>
                <w:rFonts w:ascii="Meta Pro" w:eastAsia="Times New Roman" w:hAnsi="Meta Pro"/>
                <w:szCs w:val="18"/>
                <w:lang w:eastAsia="en-AU"/>
              </w:rPr>
            </w:pPr>
            <w:r w:rsidRPr="006137A5">
              <w:rPr>
                <w:rFonts w:ascii="Meta Pro" w:eastAsia="Times New Roman" w:hAnsi="Meta Pro"/>
                <w:szCs w:val="18"/>
                <w:lang w:eastAsia="en-AU"/>
              </w:rPr>
              <w:t>(22,756)</w:t>
            </w:r>
          </w:p>
        </w:tc>
        <w:tc>
          <w:tcPr>
            <w:tcW w:w="198" w:type="dxa"/>
            <w:tcBorders>
              <w:top w:val="nil"/>
              <w:left w:val="nil"/>
              <w:bottom w:val="nil"/>
              <w:right w:val="nil"/>
            </w:tcBorders>
            <w:shd w:val="clear" w:color="auto" w:fill="auto"/>
            <w:noWrap/>
            <w:vAlign w:val="center"/>
            <w:hideMark/>
          </w:tcPr>
          <w:p w14:paraId="29AC69EC" w14:textId="77777777" w:rsidR="00BC5219" w:rsidRPr="006137A5" w:rsidRDefault="00BC5219" w:rsidP="00E83802">
            <w:pPr>
              <w:jc w:val="right"/>
              <w:outlineLvl w:val="0"/>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5668506F" w14:textId="77777777" w:rsidR="00BC5219" w:rsidRPr="006137A5" w:rsidRDefault="00BC5219" w:rsidP="00E83802">
            <w:pPr>
              <w:jc w:val="right"/>
              <w:outlineLvl w:val="0"/>
              <w:rPr>
                <w:rFonts w:ascii="Meta Pro" w:eastAsia="Times New Roman" w:hAnsi="Meta Pro"/>
                <w:szCs w:val="18"/>
                <w:lang w:eastAsia="en-AU"/>
              </w:rPr>
            </w:pPr>
            <w:r w:rsidRPr="006137A5">
              <w:rPr>
                <w:rFonts w:ascii="Meta Pro" w:eastAsia="Times New Roman" w:hAnsi="Meta Pro"/>
                <w:szCs w:val="18"/>
                <w:lang w:eastAsia="en-AU"/>
              </w:rPr>
              <w:t xml:space="preserve">9,310 </w:t>
            </w:r>
          </w:p>
        </w:tc>
      </w:tr>
      <w:tr w:rsidR="00BC5219" w:rsidRPr="006137A5" w14:paraId="2D80DC88" w14:textId="77777777" w:rsidTr="00E83802">
        <w:trPr>
          <w:trHeight w:val="198"/>
        </w:trPr>
        <w:tc>
          <w:tcPr>
            <w:tcW w:w="6350" w:type="dxa"/>
            <w:tcBorders>
              <w:top w:val="nil"/>
              <w:left w:val="nil"/>
              <w:bottom w:val="nil"/>
              <w:right w:val="nil"/>
            </w:tcBorders>
            <w:shd w:val="clear" w:color="auto" w:fill="auto"/>
            <w:noWrap/>
            <w:vAlign w:val="center"/>
            <w:hideMark/>
          </w:tcPr>
          <w:p w14:paraId="623BC101" w14:textId="77777777" w:rsidR="00BC5219" w:rsidRPr="006137A5" w:rsidRDefault="00BC5219" w:rsidP="00E83802">
            <w:pPr>
              <w:outlineLvl w:val="0"/>
              <w:rPr>
                <w:rFonts w:ascii="Meta Pro" w:eastAsia="Times New Roman" w:hAnsi="Meta Pro"/>
                <w:szCs w:val="18"/>
                <w:lang w:eastAsia="en-AU"/>
              </w:rPr>
            </w:pPr>
            <w:r w:rsidRPr="006137A5">
              <w:rPr>
                <w:rFonts w:ascii="Meta Pro" w:eastAsia="Times New Roman" w:hAnsi="Meta Pro"/>
                <w:szCs w:val="18"/>
                <w:lang w:eastAsia="en-AU"/>
              </w:rPr>
              <w:t>Payments for investment in subsidiary</w:t>
            </w:r>
          </w:p>
        </w:tc>
        <w:tc>
          <w:tcPr>
            <w:tcW w:w="1140" w:type="dxa"/>
            <w:tcBorders>
              <w:top w:val="nil"/>
              <w:left w:val="nil"/>
              <w:bottom w:val="nil"/>
              <w:right w:val="nil"/>
            </w:tcBorders>
            <w:shd w:val="clear" w:color="auto" w:fill="auto"/>
            <w:noWrap/>
            <w:vAlign w:val="center"/>
            <w:hideMark/>
          </w:tcPr>
          <w:p w14:paraId="296821B3" w14:textId="77777777" w:rsidR="00BC5219" w:rsidRPr="006137A5" w:rsidRDefault="00BC5219" w:rsidP="00E83802">
            <w:pPr>
              <w:jc w:val="right"/>
              <w:outlineLvl w:val="0"/>
              <w:rPr>
                <w:rFonts w:ascii="Meta Pro" w:eastAsia="Times New Roman" w:hAnsi="Meta Pro"/>
                <w:szCs w:val="18"/>
                <w:lang w:eastAsia="en-AU"/>
              </w:rPr>
            </w:pPr>
            <w:r w:rsidRPr="006137A5">
              <w:rPr>
                <w:rFonts w:ascii="Meta Pro" w:eastAsia="Times New Roman" w:hAnsi="Meta Pro"/>
                <w:szCs w:val="18"/>
                <w:lang w:eastAsia="en-AU"/>
              </w:rPr>
              <w:t xml:space="preserve">- </w:t>
            </w:r>
          </w:p>
        </w:tc>
        <w:tc>
          <w:tcPr>
            <w:tcW w:w="198" w:type="dxa"/>
            <w:tcBorders>
              <w:top w:val="nil"/>
              <w:left w:val="nil"/>
              <w:bottom w:val="nil"/>
              <w:right w:val="nil"/>
            </w:tcBorders>
            <w:shd w:val="clear" w:color="auto" w:fill="auto"/>
            <w:noWrap/>
            <w:vAlign w:val="center"/>
            <w:hideMark/>
          </w:tcPr>
          <w:p w14:paraId="1AE19DCE" w14:textId="77777777" w:rsidR="00BC5219" w:rsidRPr="006137A5" w:rsidRDefault="00BC5219" w:rsidP="00E83802">
            <w:pPr>
              <w:jc w:val="right"/>
              <w:outlineLvl w:val="0"/>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5C6FB024" w14:textId="77777777" w:rsidR="00BC5219" w:rsidRPr="006137A5" w:rsidRDefault="00BC5219" w:rsidP="00E83802">
            <w:pPr>
              <w:jc w:val="right"/>
              <w:outlineLvl w:val="0"/>
              <w:rPr>
                <w:rFonts w:ascii="Meta Pro" w:eastAsia="Times New Roman" w:hAnsi="Meta Pro"/>
                <w:szCs w:val="18"/>
                <w:lang w:eastAsia="en-AU"/>
              </w:rPr>
            </w:pPr>
            <w:r w:rsidRPr="006137A5">
              <w:rPr>
                <w:rFonts w:ascii="Meta Pro" w:eastAsia="Times New Roman" w:hAnsi="Meta Pro"/>
                <w:szCs w:val="18"/>
                <w:lang w:eastAsia="en-AU"/>
              </w:rPr>
              <w:t>(10,000)</w:t>
            </w:r>
          </w:p>
        </w:tc>
        <w:tc>
          <w:tcPr>
            <w:tcW w:w="198" w:type="dxa"/>
            <w:tcBorders>
              <w:top w:val="nil"/>
              <w:left w:val="nil"/>
              <w:bottom w:val="nil"/>
              <w:right w:val="nil"/>
            </w:tcBorders>
            <w:shd w:val="clear" w:color="auto" w:fill="auto"/>
            <w:noWrap/>
            <w:vAlign w:val="center"/>
            <w:hideMark/>
          </w:tcPr>
          <w:p w14:paraId="43C539C8" w14:textId="77777777" w:rsidR="00BC5219" w:rsidRPr="006137A5" w:rsidRDefault="00BC5219" w:rsidP="00E83802">
            <w:pPr>
              <w:jc w:val="right"/>
              <w:outlineLvl w:val="0"/>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00468C4B" w14:textId="77777777" w:rsidR="00BC5219" w:rsidRPr="006137A5" w:rsidRDefault="00BC5219" w:rsidP="00E83802">
            <w:pPr>
              <w:jc w:val="right"/>
              <w:outlineLvl w:val="0"/>
              <w:rPr>
                <w:rFonts w:ascii="Meta Pro" w:eastAsia="Times New Roman" w:hAnsi="Meta Pro"/>
                <w:szCs w:val="18"/>
                <w:lang w:eastAsia="en-AU"/>
              </w:rPr>
            </w:pPr>
            <w:r w:rsidRPr="006137A5">
              <w:rPr>
                <w:rFonts w:ascii="Meta Pro" w:eastAsia="Times New Roman" w:hAnsi="Meta Pro"/>
                <w:szCs w:val="18"/>
                <w:lang w:eastAsia="en-AU"/>
              </w:rPr>
              <w:t>(10,000)</w:t>
            </w:r>
          </w:p>
        </w:tc>
      </w:tr>
      <w:tr w:rsidR="00BC5219" w:rsidRPr="006137A5" w14:paraId="5958982C" w14:textId="77777777" w:rsidTr="00E83802">
        <w:trPr>
          <w:trHeight w:val="198"/>
        </w:trPr>
        <w:tc>
          <w:tcPr>
            <w:tcW w:w="6350" w:type="dxa"/>
            <w:tcBorders>
              <w:top w:val="single" w:sz="4" w:space="0" w:color="auto"/>
              <w:left w:val="nil"/>
              <w:bottom w:val="nil"/>
              <w:right w:val="nil"/>
            </w:tcBorders>
            <w:shd w:val="clear" w:color="auto" w:fill="auto"/>
            <w:noWrap/>
            <w:vAlign w:val="center"/>
            <w:hideMark/>
          </w:tcPr>
          <w:p w14:paraId="43992B98" w14:textId="77777777" w:rsidR="00BC5219" w:rsidRPr="006137A5" w:rsidRDefault="00BC5219" w:rsidP="00E83802">
            <w:pPr>
              <w:outlineLvl w:val="0"/>
              <w:rPr>
                <w:rFonts w:ascii="Meta Pro" w:eastAsia="Times New Roman" w:hAnsi="Meta Pro"/>
                <w:b/>
                <w:bCs/>
                <w:szCs w:val="18"/>
                <w:lang w:eastAsia="en-AU"/>
              </w:rPr>
            </w:pPr>
            <w:r w:rsidRPr="006137A5">
              <w:rPr>
                <w:rFonts w:ascii="Meta Pro" w:eastAsia="Times New Roman" w:hAnsi="Meta Pro"/>
                <w:b/>
                <w:bCs/>
                <w:szCs w:val="18"/>
                <w:lang w:eastAsia="en-AU"/>
              </w:rPr>
              <w:t>Net cash used in investing activities</w:t>
            </w:r>
          </w:p>
        </w:tc>
        <w:tc>
          <w:tcPr>
            <w:tcW w:w="1140" w:type="dxa"/>
            <w:tcBorders>
              <w:top w:val="single" w:sz="4" w:space="0" w:color="auto"/>
              <w:left w:val="nil"/>
              <w:bottom w:val="nil"/>
              <w:right w:val="nil"/>
            </w:tcBorders>
            <w:shd w:val="clear" w:color="auto" w:fill="auto"/>
            <w:noWrap/>
            <w:vAlign w:val="center"/>
            <w:hideMark/>
          </w:tcPr>
          <w:p w14:paraId="662A3471" w14:textId="77777777" w:rsidR="00BC5219" w:rsidRPr="006137A5" w:rsidRDefault="00BC5219" w:rsidP="00E83802">
            <w:pPr>
              <w:jc w:val="right"/>
              <w:outlineLvl w:val="0"/>
              <w:rPr>
                <w:rFonts w:ascii="Meta Pro" w:eastAsia="Times New Roman" w:hAnsi="Meta Pro"/>
                <w:b/>
                <w:bCs/>
                <w:szCs w:val="18"/>
                <w:lang w:eastAsia="en-AU"/>
              </w:rPr>
            </w:pPr>
            <w:r w:rsidRPr="006137A5">
              <w:rPr>
                <w:rFonts w:ascii="Meta Pro" w:eastAsia="Times New Roman" w:hAnsi="Meta Pro"/>
                <w:b/>
                <w:bCs/>
                <w:szCs w:val="18"/>
                <w:lang w:eastAsia="en-AU"/>
              </w:rPr>
              <w:t>(4,453,792)</w:t>
            </w:r>
          </w:p>
        </w:tc>
        <w:tc>
          <w:tcPr>
            <w:tcW w:w="198" w:type="dxa"/>
            <w:tcBorders>
              <w:top w:val="single" w:sz="4" w:space="0" w:color="auto"/>
              <w:left w:val="nil"/>
              <w:bottom w:val="nil"/>
              <w:right w:val="nil"/>
            </w:tcBorders>
            <w:shd w:val="clear" w:color="auto" w:fill="auto"/>
            <w:noWrap/>
            <w:vAlign w:val="center"/>
            <w:hideMark/>
          </w:tcPr>
          <w:p w14:paraId="7C2AC52A" w14:textId="77777777" w:rsidR="00BC5219" w:rsidRPr="006137A5" w:rsidRDefault="00BC5219" w:rsidP="00E83802">
            <w:pPr>
              <w:jc w:val="right"/>
              <w:outlineLvl w:val="0"/>
              <w:rPr>
                <w:rFonts w:ascii="Meta Pro" w:eastAsia="Times New Roman" w:hAnsi="Meta Pro"/>
                <w:b/>
                <w:bCs/>
                <w:szCs w:val="18"/>
                <w:lang w:eastAsia="en-AU"/>
              </w:rPr>
            </w:pPr>
            <w:r w:rsidRPr="006137A5">
              <w:rPr>
                <w:rFonts w:ascii="Meta Pro" w:eastAsia="Times New Roman" w:hAnsi="Meta Pro"/>
                <w:b/>
                <w:bCs/>
                <w:szCs w:val="18"/>
                <w:lang w:eastAsia="en-AU"/>
              </w:rPr>
              <w:t> </w:t>
            </w:r>
          </w:p>
        </w:tc>
        <w:tc>
          <w:tcPr>
            <w:tcW w:w="1140" w:type="dxa"/>
            <w:tcBorders>
              <w:top w:val="single" w:sz="4" w:space="0" w:color="auto"/>
              <w:left w:val="nil"/>
              <w:bottom w:val="nil"/>
              <w:right w:val="nil"/>
            </w:tcBorders>
            <w:shd w:val="clear" w:color="auto" w:fill="auto"/>
            <w:noWrap/>
            <w:vAlign w:val="center"/>
            <w:hideMark/>
          </w:tcPr>
          <w:p w14:paraId="0FDACE9A" w14:textId="77777777" w:rsidR="00BC5219" w:rsidRPr="006137A5" w:rsidRDefault="00BC5219" w:rsidP="00E83802">
            <w:pPr>
              <w:jc w:val="right"/>
              <w:outlineLvl w:val="0"/>
              <w:rPr>
                <w:rFonts w:ascii="Meta Pro" w:eastAsia="Times New Roman" w:hAnsi="Meta Pro"/>
                <w:b/>
                <w:bCs/>
                <w:szCs w:val="18"/>
                <w:lang w:eastAsia="en-AU"/>
              </w:rPr>
            </w:pPr>
            <w:r w:rsidRPr="006137A5">
              <w:rPr>
                <w:rFonts w:ascii="Meta Pro" w:eastAsia="Times New Roman" w:hAnsi="Meta Pro"/>
                <w:b/>
                <w:bCs/>
                <w:szCs w:val="18"/>
                <w:lang w:eastAsia="en-AU"/>
              </w:rPr>
              <w:t>(4,779,496)</w:t>
            </w:r>
          </w:p>
        </w:tc>
        <w:tc>
          <w:tcPr>
            <w:tcW w:w="198" w:type="dxa"/>
            <w:tcBorders>
              <w:top w:val="single" w:sz="4" w:space="0" w:color="auto"/>
              <w:left w:val="nil"/>
              <w:bottom w:val="nil"/>
              <w:right w:val="nil"/>
            </w:tcBorders>
            <w:shd w:val="clear" w:color="auto" w:fill="auto"/>
            <w:noWrap/>
            <w:vAlign w:val="center"/>
            <w:hideMark/>
          </w:tcPr>
          <w:p w14:paraId="5834A49D" w14:textId="77777777" w:rsidR="00BC5219" w:rsidRPr="006137A5" w:rsidRDefault="00BC5219" w:rsidP="00E83802">
            <w:pPr>
              <w:jc w:val="right"/>
              <w:outlineLvl w:val="0"/>
              <w:rPr>
                <w:rFonts w:ascii="Meta Pro" w:eastAsia="Times New Roman" w:hAnsi="Meta Pro"/>
                <w:b/>
                <w:bCs/>
                <w:szCs w:val="18"/>
                <w:lang w:eastAsia="en-AU"/>
              </w:rPr>
            </w:pPr>
            <w:r w:rsidRPr="006137A5">
              <w:rPr>
                <w:rFonts w:ascii="Meta Pro" w:eastAsia="Times New Roman" w:hAnsi="Meta Pro"/>
                <w:b/>
                <w:bCs/>
                <w:szCs w:val="18"/>
                <w:lang w:eastAsia="en-AU"/>
              </w:rPr>
              <w:t> </w:t>
            </w:r>
          </w:p>
        </w:tc>
        <w:tc>
          <w:tcPr>
            <w:tcW w:w="1140" w:type="dxa"/>
            <w:tcBorders>
              <w:top w:val="single" w:sz="4" w:space="0" w:color="auto"/>
              <w:left w:val="nil"/>
              <w:bottom w:val="nil"/>
              <w:right w:val="nil"/>
            </w:tcBorders>
            <w:shd w:val="clear" w:color="auto" w:fill="auto"/>
            <w:noWrap/>
            <w:vAlign w:val="center"/>
            <w:hideMark/>
          </w:tcPr>
          <w:p w14:paraId="769BFD7D" w14:textId="77777777" w:rsidR="00BC5219" w:rsidRPr="006137A5" w:rsidRDefault="00BC5219" w:rsidP="00E83802">
            <w:pPr>
              <w:jc w:val="right"/>
              <w:outlineLvl w:val="0"/>
              <w:rPr>
                <w:rFonts w:ascii="Meta Pro" w:eastAsia="Times New Roman" w:hAnsi="Meta Pro"/>
                <w:b/>
                <w:bCs/>
                <w:szCs w:val="18"/>
                <w:lang w:eastAsia="en-AU"/>
              </w:rPr>
            </w:pPr>
            <w:r w:rsidRPr="006137A5">
              <w:rPr>
                <w:rFonts w:ascii="Meta Pro" w:eastAsia="Times New Roman" w:hAnsi="Meta Pro"/>
                <w:b/>
                <w:bCs/>
                <w:szCs w:val="18"/>
                <w:lang w:eastAsia="en-AU"/>
              </w:rPr>
              <w:t>(325,704)</w:t>
            </w:r>
          </w:p>
        </w:tc>
      </w:tr>
      <w:tr w:rsidR="00BC5219" w:rsidRPr="006137A5" w14:paraId="4B6CC034" w14:textId="77777777" w:rsidTr="00E83802">
        <w:trPr>
          <w:trHeight w:val="198"/>
        </w:trPr>
        <w:tc>
          <w:tcPr>
            <w:tcW w:w="6350" w:type="dxa"/>
            <w:tcBorders>
              <w:top w:val="nil"/>
              <w:left w:val="nil"/>
              <w:bottom w:val="nil"/>
              <w:right w:val="nil"/>
            </w:tcBorders>
            <w:shd w:val="clear" w:color="auto" w:fill="auto"/>
            <w:noWrap/>
            <w:vAlign w:val="center"/>
            <w:hideMark/>
          </w:tcPr>
          <w:p w14:paraId="36D2C240" w14:textId="77777777" w:rsidR="00BC5219" w:rsidRPr="006137A5" w:rsidRDefault="00BC5219" w:rsidP="00E83802">
            <w:pPr>
              <w:jc w:val="right"/>
              <w:outlineLvl w:val="0"/>
              <w:rPr>
                <w:rFonts w:ascii="Meta Pro" w:eastAsia="Times New Roman" w:hAnsi="Meta Pro"/>
                <w:b/>
                <w:bCs/>
                <w:szCs w:val="18"/>
                <w:lang w:eastAsia="en-AU"/>
              </w:rPr>
            </w:pPr>
          </w:p>
        </w:tc>
        <w:tc>
          <w:tcPr>
            <w:tcW w:w="1140" w:type="dxa"/>
            <w:tcBorders>
              <w:top w:val="nil"/>
              <w:left w:val="nil"/>
              <w:bottom w:val="nil"/>
              <w:right w:val="nil"/>
            </w:tcBorders>
            <w:shd w:val="clear" w:color="auto" w:fill="auto"/>
            <w:noWrap/>
            <w:vAlign w:val="center"/>
            <w:hideMark/>
          </w:tcPr>
          <w:p w14:paraId="4E72EB2A" w14:textId="77777777" w:rsidR="00BC5219" w:rsidRPr="006137A5" w:rsidRDefault="00BC5219" w:rsidP="00E83802">
            <w:pPr>
              <w:outlineLvl w:val="0"/>
              <w:rPr>
                <w:rFonts w:ascii="Times New Roman" w:eastAsia="Times New Roman" w:hAnsi="Times New Roman"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29B482E6" w14:textId="77777777" w:rsidR="00BC5219" w:rsidRPr="006137A5" w:rsidRDefault="00BC5219" w:rsidP="00E83802">
            <w:pPr>
              <w:jc w:val="right"/>
              <w:outlineLvl w:val="0"/>
              <w:rPr>
                <w:rFonts w:ascii="Times New Roman" w:eastAsia="Times New Roman" w:hAnsi="Times New Roman" w:cs="Times New Roman"/>
                <w:sz w:val="20"/>
                <w:szCs w:val="20"/>
                <w:lang w:eastAsia="en-AU"/>
              </w:rPr>
            </w:pPr>
          </w:p>
        </w:tc>
        <w:tc>
          <w:tcPr>
            <w:tcW w:w="1140" w:type="dxa"/>
            <w:tcBorders>
              <w:top w:val="nil"/>
              <w:left w:val="nil"/>
              <w:bottom w:val="nil"/>
              <w:right w:val="nil"/>
            </w:tcBorders>
            <w:shd w:val="clear" w:color="auto" w:fill="auto"/>
            <w:noWrap/>
            <w:vAlign w:val="center"/>
            <w:hideMark/>
          </w:tcPr>
          <w:p w14:paraId="0D0E86D4" w14:textId="77777777" w:rsidR="00BC5219" w:rsidRPr="006137A5" w:rsidRDefault="00BC5219" w:rsidP="00E83802">
            <w:pPr>
              <w:jc w:val="right"/>
              <w:outlineLvl w:val="0"/>
              <w:rPr>
                <w:rFonts w:ascii="Times New Roman" w:eastAsia="Times New Roman" w:hAnsi="Times New Roman"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01571B42" w14:textId="77777777" w:rsidR="00BC5219" w:rsidRPr="006137A5" w:rsidRDefault="00BC5219" w:rsidP="00E83802">
            <w:pPr>
              <w:jc w:val="right"/>
              <w:outlineLvl w:val="0"/>
              <w:rPr>
                <w:rFonts w:ascii="Times New Roman" w:eastAsia="Times New Roman" w:hAnsi="Times New Roman" w:cs="Times New Roman"/>
                <w:sz w:val="20"/>
                <w:szCs w:val="20"/>
                <w:lang w:eastAsia="en-AU"/>
              </w:rPr>
            </w:pPr>
          </w:p>
        </w:tc>
        <w:tc>
          <w:tcPr>
            <w:tcW w:w="1140" w:type="dxa"/>
            <w:tcBorders>
              <w:top w:val="nil"/>
              <w:left w:val="nil"/>
              <w:bottom w:val="nil"/>
              <w:right w:val="nil"/>
            </w:tcBorders>
            <w:shd w:val="clear" w:color="auto" w:fill="auto"/>
            <w:noWrap/>
            <w:vAlign w:val="center"/>
            <w:hideMark/>
          </w:tcPr>
          <w:p w14:paraId="05BD54D9" w14:textId="77777777" w:rsidR="00BC5219" w:rsidRPr="006137A5" w:rsidRDefault="00BC5219" w:rsidP="00E83802">
            <w:pPr>
              <w:jc w:val="right"/>
              <w:outlineLvl w:val="0"/>
              <w:rPr>
                <w:rFonts w:ascii="Times New Roman" w:eastAsia="Times New Roman" w:hAnsi="Times New Roman" w:cs="Times New Roman"/>
                <w:sz w:val="20"/>
                <w:szCs w:val="20"/>
                <w:lang w:eastAsia="en-AU"/>
              </w:rPr>
            </w:pPr>
          </w:p>
        </w:tc>
      </w:tr>
      <w:tr w:rsidR="00BC5219" w:rsidRPr="006137A5" w14:paraId="5FCD6B62" w14:textId="77777777" w:rsidTr="00E83802">
        <w:trPr>
          <w:trHeight w:val="198"/>
        </w:trPr>
        <w:tc>
          <w:tcPr>
            <w:tcW w:w="6350" w:type="dxa"/>
            <w:tcBorders>
              <w:top w:val="nil"/>
              <w:left w:val="nil"/>
              <w:bottom w:val="nil"/>
              <w:right w:val="nil"/>
            </w:tcBorders>
            <w:shd w:val="clear" w:color="auto" w:fill="auto"/>
            <w:noWrap/>
            <w:vAlign w:val="center"/>
            <w:hideMark/>
          </w:tcPr>
          <w:p w14:paraId="26167925" w14:textId="77777777" w:rsidR="00BC5219" w:rsidRPr="006137A5" w:rsidRDefault="00BC5219" w:rsidP="00E83802">
            <w:pPr>
              <w:outlineLvl w:val="0"/>
              <w:rPr>
                <w:rFonts w:ascii="Meta Pro" w:eastAsia="Times New Roman" w:hAnsi="Meta Pro"/>
                <w:b/>
                <w:bCs/>
                <w:szCs w:val="18"/>
                <w:lang w:eastAsia="en-AU"/>
              </w:rPr>
            </w:pPr>
            <w:r w:rsidRPr="006137A5">
              <w:rPr>
                <w:rFonts w:ascii="Meta Pro" w:eastAsia="Times New Roman" w:hAnsi="Meta Pro"/>
                <w:b/>
                <w:bCs/>
                <w:szCs w:val="18"/>
                <w:lang w:eastAsia="en-AU"/>
              </w:rPr>
              <w:t>Cash flows from financing activities</w:t>
            </w:r>
          </w:p>
        </w:tc>
        <w:tc>
          <w:tcPr>
            <w:tcW w:w="1140" w:type="dxa"/>
            <w:tcBorders>
              <w:top w:val="nil"/>
              <w:left w:val="nil"/>
              <w:bottom w:val="nil"/>
              <w:right w:val="nil"/>
            </w:tcBorders>
            <w:shd w:val="clear" w:color="auto" w:fill="auto"/>
            <w:noWrap/>
            <w:vAlign w:val="center"/>
            <w:hideMark/>
          </w:tcPr>
          <w:p w14:paraId="47324A65" w14:textId="77777777" w:rsidR="00BC5219" w:rsidRPr="006137A5" w:rsidRDefault="00BC5219" w:rsidP="00E83802">
            <w:pPr>
              <w:outlineLvl w:val="0"/>
              <w:rPr>
                <w:rFonts w:ascii="Meta Pro" w:eastAsia="Times New Roman" w:hAnsi="Meta Pro"/>
                <w:b/>
                <w:bCs/>
                <w:szCs w:val="18"/>
                <w:lang w:eastAsia="en-AU"/>
              </w:rPr>
            </w:pPr>
          </w:p>
        </w:tc>
        <w:tc>
          <w:tcPr>
            <w:tcW w:w="198" w:type="dxa"/>
            <w:tcBorders>
              <w:top w:val="nil"/>
              <w:left w:val="nil"/>
              <w:bottom w:val="nil"/>
              <w:right w:val="nil"/>
            </w:tcBorders>
            <w:shd w:val="clear" w:color="auto" w:fill="auto"/>
            <w:vAlign w:val="center"/>
            <w:hideMark/>
          </w:tcPr>
          <w:p w14:paraId="6F5CE93E" w14:textId="77777777" w:rsidR="00BC5219" w:rsidRPr="006137A5" w:rsidRDefault="00BC5219" w:rsidP="00E83802">
            <w:pPr>
              <w:jc w:val="right"/>
              <w:outlineLvl w:val="0"/>
              <w:rPr>
                <w:rFonts w:ascii="Times New Roman" w:eastAsia="Times New Roman" w:hAnsi="Times New Roman" w:cs="Times New Roman"/>
                <w:sz w:val="20"/>
                <w:szCs w:val="20"/>
                <w:lang w:eastAsia="en-AU"/>
              </w:rPr>
            </w:pPr>
          </w:p>
        </w:tc>
        <w:tc>
          <w:tcPr>
            <w:tcW w:w="1140" w:type="dxa"/>
            <w:tcBorders>
              <w:top w:val="nil"/>
              <w:left w:val="nil"/>
              <w:bottom w:val="nil"/>
              <w:right w:val="nil"/>
            </w:tcBorders>
            <w:shd w:val="clear" w:color="auto" w:fill="auto"/>
            <w:noWrap/>
            <w:vAlign w:val="center"/>
            <w:hideMark/>
          </w:tcPr>
          <w:p w14:paraId="5A6CE695" w14:textId="77777777" w:rsidR="00BC5219" w:rsidRPr="006137A5" w:rsidRDefault="00BC5219" w:rsidP="00E83802">
            <w:pPr>
              <w:jc w:val="center"/>
              <w:outlineLvl w:val="0"/>
              <w:rPr>
                <w:rFonts w:ascii="Times New Roman" w:eastAsia="Times New Roman" w:hAnsi="Times New Roman" w:cs="Times New Roman"/>
                <w:sz w:val="20"/>
                <w:szCs w:val="20"/>
                <w:lang w:eastAsia="en-AU"/>
              </w:rPr>
            </w:pPr>
          </w:p>
        </w:tc>
        <w:tc>
          <w:tcPr>
            <w:tcW w:w="198" w:type="dxa"/>
            <w:tcBorders>
              <w:top w:val="nil"/>
              <w:left w:val="nil"/>
              <w:bottom w:val="nil"/>
              <w:right w:val="nil"/>
            </w:tcBorders>
            <w:shd w:val="clear" w:color="auto" w:fill="auto"/>
            <w:vAlign w:val="center"/>
            <w:hideMark/>
          </w:tcPr>
          <w:p w14:paraId="1ED6D419" w14:textId="77777777" w:rsidR="00BC5219" w:rsidRPr="006137A5" w:rsidRDefault="00BC5219" w:rsidP="00E83802">
            <w:pPr>
              <w:jc w:val="right"/>
              <w:outlineLvl w:val="0"/>
              <w:rPr>
                <w:rFonts w:ascii="Times New Roman" w:eastAsia="Times New Roman" w:hAnsi="Times New Roman" w:cs="Times New Roman"/>
                <w:sz w:val="20"/>
                <w:szCs w:val="20"/>
                <w:lang w:eastAsia="en-AU"/>
              </w:rPr>
            </w:pPr>
          </w:p>
        </w:tc>
        <w:tc>
          <w:tcPr>
            <w:tcW w:w="1140" w:type="dxa"/>
            <w:tcBorders>
              <w:top w:val="nil"/>
              <w:left w:val="nil"/>
              <w:bottom w:val="nil"/>
              <w:right w:val="nil"/>
            </w:tcBorders>
            <w:shd w:val="clear" w:color="auto" w:fill="auto"/>
            <w:noWrap/>
            <w:vAlign w:val="center"/>
            <w:hideMark/>
          </w:tcPr>
          <w:p w14:paraId="32938120" w14:textId="77777777" w:rsidR="00BC5219" w:rsidRPr="006137A5" w:rsidRDefault="00BC5219" w:rsidP="00E83802">
            <w:pPr>
              <w:jc w:val="center"/>
              <w:outlineLvl w:val="0"/>
              <w:rPr>
                <w:rFonts w:ascii="Times New Roman" w:eastAsia="Times New Roman" w:hAnsi="Times New Roman" w:cs="Times New Roman"/>
                <w:sz w:val="20"/>
                <w:szCs w:val="20"/>
                <w:lang w:eastAsia="en-AU"/>
              </w:rPr>
            </w:pPr>
          </w:p>
        </w:tc>
      </w:tr>
      <w:tr w:rsidR="00BC5219" w:rsidRPr="006137A5" w14:paraId="1CB28DDB" w14:textId="77777777" w:rsidTr="00E83802">
        <w:trPr>
          <w:trHeight w:val="198"/>
        </w:trPr>
        <w:tc>
          <w:tcPr>
            <w:tcW w:w="6350" w:type="dxa"/>
            <w:tcBorders>
              <w:top w:val="nil"/>
              <w:left w:val="nil"/>
              <w:bottom w:val="nil"/>
              <w:right w:val="nil"/>
            </w:tcBorders>
            <w:shd w:val="clear" w:color="auto" w:fill="auto"/>
            <w:noWrap/>
            <w:vAlign w:val="center"/>
            <w:hideMark/>
          </w:tcPr>
          <w:p w14:paraId="669D88BC" w14:textId="77777777" w:rsidR="00BC5219" w:rsidRPr="006137A5" w:rsidRDefault="00BC5219" w:rsidP="00E83802">
            <w:pPr>
              <w:outlineLvl w:val="0"/>
              <w:rPr>
                <w:rFonts w:ascii="Meta Pro" w:eastAsia="Times New Roman" w:hAnsi="Meta Pro"/>
                <w:i/>
                <w:iCs/>
                <w:szCs w:val="18"/>
                <w:lang w:eastAsia="en-AU"/>
              </w:rPr>
            </w:pPr>
            <w:r w:rsidRPr="006137A5">
              <w:rPr>
                <w:rFonts w:ascii="Meta Pro" w:eastAsia="Times New Roman" w:hAnsi="Meta Pro"/>
                <w:i/>
                <w:iCs/>
                <w:szCs w:val="18"/>
                <w:lang w:eastAsia="en-AU"/>
              </w:rPr>
              <w:t>Inflows:</w:t>
            </w:r>
          </w:p>
        </w:tc>
        <w:tc>
          <w:tcPr>
            <w:tcW w:w="1140" w:type="dxa"/>
            <w:tcBorders>
              <w:top w:val="nil"/>
              <w:left w:val="nil"/>
              <w:bottom w:val="nil"/>
              <w:right w:val="nil"/>
            </w:tcBorders>
            <w:shd w:val="clear" w:color="auto" w:fill="auto"/>
            <w:noWrap/>
            <w:vAlign w:val="center"/>
            <w:hideMark/>
          </w:tcPr>
          <w:p w14:paraId="449370FC" w14:textId="77777777" w:rsidR="00BC5219" w:rsidRPr="006137A5" w:rsidRDefault="00BC5219" w:rsidP="00E83802">
            <w:pPr>
              <w:outlineLvl w:val="0"/>
              <w:rPr>
                <w:rFonts w:ascii="Meta Pro" w:eastAsia="Times New Roman" w:hAnsi="Meta Pro"/>
                <w:i/>
                <w:iCs/>
                <w:szCs w:val="18"/>
                <w:lang w:eastAsia="en-AU"/>
              </w:rPr>
            </w:pPr>
          </w:p>
        </w:tc>
        <w:tc>
          <w:tcPr>
            <w:tcW w:w="198" w:type="dxa"/>
            <w:tcBorders>
              <w:top w:val="nil"/>
              <w:left w:val="nil"/>
              <w:bottom w:val="nil"/>
              <w:right w:val="nil"/>
            </w:tcBorders>
            <w:shd w:val="clear" w:color="auto" w:fill="auto"/>
            <w:vAlign w:val="center"/>
            <w:hideMark/>
          </w:tcPr>
          <w:p w14:paraId="67624178" w14:textId="77777777" w:rsidR="00BC5219" w:rsidRPr="006137A5" w:rsidRDefault="00BC5219" w:rsidP="00E83802">
            <w:pPr>
              <w:jc w:val="right"/>
              <w:outlineLvl w:val="0"/>
              <w:rPr>
                <w:rFonts w:ascii="Times New Roman" w:eastAsia="Times New Roman" w:hAnsi="Times New Roman" w:cs="Times New Roman"/>
                <w:sz w:val="20"/>
                <w:szCs w:val="20"/>
                <w:lang w:eastAsia="en-AU"/>
              </w:rPr>
            </w:pPr>
          </w:p>
        </w:tc>
        <w:tc>
          <w:tcPr>
            <w:tcW w:w="1140" w:type="dxa"/>
            <w:tcBorders>
              <w:top w:val="nil"/>
              <w:left w:val="nil"/>
              <w:bottom w:val="nil"/>
              <w:right w:val="nil"/>
            </w:tcBorders>
            <w:shd w:val="clear" w:color="auto" w:fill="auto"/>
            <w:noWrap/>
            <w:vAlign w:val="center"/>
            <w:hideMark/>
          </w:tcPr>
          <w:p w14:paraId="3F769533" w14:textId="77777777" w:rsidR="00BC5219" w:rsidRPr="006137A5" w:rsidRDefault="00BC5219" w:rsidP="00E83802">
            <w:pPr>
              <w:jc w:val="center"/>
              <w:outlineLvl w:val="0"/>
              <w:rPr>
                <w:rFonts w:ascii="Times New Roman" w:eastAsia="Times New Roman" w:hAnsi="Times New Roman" w:cs="Times New Roman"/>
                <w:sz w:val="20"/>
                <w:szCs w:val="20"/>
                <w:lang w:eastAsia="en-AU"/>
              </w:rPr>
            </w:pPr>
          </w:p>
        </w:tc>
        <w:tc>
          <w:tcPr>
            <w:tcW w:w="198" w:type="dxa"/>
            <w:tcBorders>
              <w:top w:val="nil"/>
              <w:left w:val="nil"/>
              <w:bottom w:val="nil"/>
              <w:right w:val="nil"/>
            </w:tcBorders>
            <w:shd w:val="clear" w:color="auto" w:fill="auto"/>
            <w:vAlign w:val="center"/>
            <w:hideMark/>
          </w:tcPr>
          <w:p w14:paraId="4346A1FD" w14:textId="77777777" w:rsidR="00BC5219" w:rsidRPr="006137A5" w:rsidRDefault="00BC5219" w:rsidP="00E83802">
            <w:pPr>
              <w:jc w:val="right"/>
              <w:outlineLvl w:val="0"/>
              <w:rPr>
                <w:rFonts w:ascii="Times New Roman" w:eastAsia="Times New Roman" w:hAnsi="Times New Roman" w:cs="Times New Roman"/>
                <w:sz w:val="20"/>
                <w:szCs w:val="20"/>
                <w:lang w:eastAsia="en-AU"/>
              </w:rPr>
            </w:pPr>
          </w:p>
        </w:tc>
        <w:tc>
          <w:tcPr>
            <w:tcW w:w="1140" w:type="dxa"/>
            <w:tcBorders>
              <w:top w:val="nil"/>
              <w:left w:val="nil"/>
              <w:bottom w:val="nil"/>
              <w:right w:val="nil"/>
            </w:tcBorders>
            <w:shd w:val="clear" w:color="auto" w:fill="auto"/>
            <w:noWrap/>
            <w:vAlign w:val="center"/>
            <w:hideMark/>
          </w:tcPr>
          <w:p w14:paraId="07C1464C" w14:textId="77777777" w:rsidR="00BC5219" w:rsidRPr="006137A5" w:rsidRDefault="00BC5219" w:rsidP="00E83802">
            <w:pPr>
              <w:jc w:val="center"/>
              <w:outlineLvl w:val="0"/>
              <w:rPr>
                <w:rFonts w:ascii="Times New Roman" w:eastAsia="Times New Roman" w:hAnsi="Times New Roman" w:cs="Times New Roman"/>
                <w:sz w:val="20"/>
                <w:szCs w:val="20"/>
                <w:lang w:eastAsia="en-AU"/>
              </w:rPr>
            </w:pPr>
          </w:p>
        </w:tc>
      </w:tr>
      <w:tr w:rsidR="00BC5219" w:rsidRPr="006137A5" w14:paraId="2AD0EA37" w14:textId="77777777" w:rsidTr="00E83802">
        <w:trPr>
          <w:trHeight w:val="198"/>
        </w:trPr>
        <w:tc>
          <w:tcPr>
            <w:tcW w:w="6350" w:type="dxa"/>
            <w:tcBorders>
              <w:top w:val="nil"/>
              <w:left w:val="nil"/>
              <w:bottom w:val="nil"/>
              <w:right w:val="nil"/>
            </w:tcBorders>
            <w:shd w:val="clear" w:color="auto" w:fill="auto"/>
            <w:noWrap/>
            <w:vAlign w:val="center"/>
            <w:hideMark/>
          </w:tcPr>
          <w:p w14:paraId="08F8BF89" w14:textId="77777777" w:rsidR="00BC5219" w:rsidRPr="006137A5" w:rsidRDefault="00BC5219" w:rsidP="00E83802">
            <w:pPr>
              <w:outlineLvl w:val="0"/>
              <w:rPr>
                <w:rFonts w:ascii="Meta Pro" w:eastAsia="Times New Roman" w:hAnsi="Meta Pro"/>
                <w:szCs w:val="18"/>
                <w:lang w:eastAsia="en-AU"/>
              </w:rPr>
            </w:pPr>
            <w:r w:rsidRPr="006137A5">
              <w:rPr>
                <w:rFonts w:ascii="Meta Pro" w:eastAsia="Times New Roman" w:hAnsi="Meta Pro"/>
                <w:szCs w:val="18"/>
                <w:lang w:eastAsia="en-AU"/>
              </w:rPr>
              <w:t>Equity injections</w:t>
            </w:r>
          </w:p>
        </w:tc>
        <w:tc>
          <w:tcPr>
            <w:tcW w:w="1140" w:type="dxa"/>
            <w:tcBorders>
              <w:top w:val="nil"/>
              <w:left w:val="nil"/>
              <w:bottom w:val="nil"/>
              <w:right w:val="nil"/>
            </w:tcBorders>
            <w:shd w:val="clear" w:color="auto" w:fill="auto"/>
            <w:noWrap/>
            <w:vAlign w:val="center"/>
            <w:hideMark/>
          </w:tcPr>
          <w:p w14:paraId="49D8AE5B" w14:textId="77777777" w:rsidR="00BC5219" w:rsidRPr="006137A5" w:rsidRDefault="00BC5219" w:rsidP="00E83802">
            <w:pPr>
              <w:jc w:val="right"/>
              <w:outlineLvl w:val="0"/>
              <w:rPr>
                <w:rFonts w:ascii="Meta Pro" w:eastAsia="Times New Roman" w:hAnsi="Meta Pro"/>
                <w:szCs w:val="18"/>
                <w:lang w:eastAsia="en-AU"/>
              </w:rPr>
            </w:pPr>
            <w:r w:rsidRPr="006137A5">
              <w:rPr>
                <w:rFonts w:ascii="Meta Pro" w:eastAsia="Times New Roman" w:hAnsi="Meta Pro"/>
                <w:szCs w:val="18"/>
                <w:lang w:eastAsia="en-AU"/>
              </w:rPr>
              <w:t xml:space="preserve">4,280,532 </w:t>
            </w:r>
          </w:p>
        </w:tc>
        <w:tc>
          <w:tcPr>
            <w:tcW w:w="198" w:type="dxa"/>
            <w:tcBorders>
              <w:top w:val="nil"/>
              <w:left w:val="nil"/>
              <w:bottom w:val="nil"/>
              <w:right w:val="nil"/>
            </w:tcBorders>
            <w:shd w:val="clear" w:color="auto" w:fill="auto"/>
            <w:noWrap/>
            <w:vAlign w:val="center"/>
            <w:hideMark/>
          </w:tcPr>
          <w:p w14:paraId="18A5ACC2" w14:textId="77777777" w:rsidR="00BC5219" w:rsidRPr="006137A5" w:rsidRDefault="00BC5219" w:rsidP="00E83802">
            <w:pPr>
              <w:jc w:val="right"/>
              <w:outlineLvl w:val="0"/>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26E13DD5" w14:textId="77777777" w:rsidR="00BC5219" w:rsidRPr="006137A5" w:rsidRDefault="00BC5219" w:rsidP="00E83802">
            <w:pPr>
              <w:jc w:val="right"/>
              <w:outlineLvl w:val="0"/>
              <w:rPr>
                <w:rFonts w:ascii="Meta Pro" w:eastAsia="Times New Roman" w:hAnsi="Meta Pro"/>
                <w:szCs w:val="18"/>
                <w:lang w:eastAsia="en-AU"/>
              </w:rPr>
            </w:pPr>
            <w:r w:rsidRPr="006137A5">
              <w:rPr>
                <w:rFonts w:ascii="Meta Pro" w:eastAsia="Times New Roman" w:hAnsi="Meta Pro"/>
                <w:szCs w:val="18"/>
                <w:lang w:eastAsia="en-AU"/>
              </w:rPr>
              <w:t xml:space="preserve">5,098,665 </w:t>
            </w:r>
          </w:p>
        </w:tc>
        <w:tc>
          <w:tcPr>
            <w:tcW w:w="198" w:type="dxa"/>
            <w:tcBorders>
              <w:top w:val="nil"/>
              <w:left w:val="nil"/>
              <w:bottom w:val="nil"/>
              <w:right w:val="nil"/>
            </w:tcBorders>
            <w:shd w:val="clear" w:color="auto" w:fill="auto"/>
            <w:noWrap/>
            <w:vAlign w:val="center"/>
            <w:hideMark/>
          </w:tcPr>
          <w:p w14:paraId="2A0DE66D" w14:textId="77777777" w:rsidR="00BC5219" w:rsidRPr="006137A5" w:rsidRDefault="00BC5219" w:rsidP="00E83802">
            <w:pPr>
              <w:jc w:val="right"/>
              <w:outlineLvl w:val="0"/>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724DB976" w14:textId="77777777" w:rsidR="00BC5219" w:rsidRPr="006137A5" w:rsidRDefault="00BC5219" w:rsidP="00E83802">
            <w:pPr>
              <w:jc w:val="right"/>
              <w:outlineLvl w:val="0"/>
              <w:rPr>
                <w:rFonts w:ascii="Meta Pro" w:eastAsia="Times New Roman" w:hAnsi="Meta Pro"/>
                <w:szCs w:val="18"/>
                <w:lang w:eastAsia="en-AU"/>
              </w:rPr>
            </w:pPr>
            <w:r w:rsidRPr="006137A5">
              <w:rPr>
                <w:rFonts w:ascii="Meta Pro" w:eastAsia="Times New Roman" w:hAnsi="Meta Pro"/>
                <w:szCs w:val="18"/>
                <w:lang w:eastAsia="en-AU"/>
              </w:rPr>
              <w:t xml:space="preserve">818,133 </w:t>
            </w:r>
          </w:p>
        </w:tc>
      </w:tr>
      <w:tr w:rsidR="00BC5219" w:rsidRPr="006137A5" w14:paraId="02FF912B" w14:textId="77777777" w:rsidTr="00E83802">
        <w:trPr>
          <w:trHeight w:val="198"/>
        </w:trPr>
        <w:tc>
          <w:tcPr>
            <w:tcW w:w="6350" w:type="dxa"/>
            <w:tcBorders>
              <w:top w:val="nil"/>
              <w:left w:val="nil"/>
              <w:bottom w:val="nil"/>
              <w:right w:val="nil"/>
            </w:tcBorders>
            <w:shd w:val="clear" w:color="auto" w:fill="auto"/>
            <w:noWrap/>
            <w:vAlign w:val="center"/>
            <w:hideMark/>
          </w:tcPr>
          <w:p w14:paraId="2BB60DAF" w14:textId="77777777" w:rsidR="00BC5219" w:rsidRPr="006137A5" w:rsidRDefault="00BC5219" w:rsidP="00E83802">
            <w:pPr>
              <w:outlineLvl w:val="0"/>
              <w:rPr>
                <w:rFonts w:ascii="Meta Pro" w:eastAsia="Times New Roman" w:hAnsi="Meta Pro"/>
                <w:i/>
                <w:iCs/>
                <w:szCs w:val="18"/>
                <w:lang w:eastAsia="en-AU"/>
              </w:rPr>
            </w:pPr>
            <w:r w:rsidRPr="006137A5">
              <w:rPr>
                <w:rFonts w:ascii="Meta Pro" w:eastAsia="Times New Roman" w:hAnsi="Meta Pro"/>
                <w:i/>
                <w:iCs/>
                <w:szCs w:val="18"/>
                <w:lang w:eastAsia="en-AU"/>
              </w:rPr>
              <w:t>Outflows:</w:t>
            </w:r>
          </w:p>
        </w:tc>
        <w:tc>
          <w:tcPr>
            <w:tcW w:w="1140" w:type="dxa"/>
            <w:tcBorders>
              <w:top w:val="nil"/>
              <w:left w:val="nil"/>
              <w:bottom w:val="nil"/>
              <w:right w:val="nil"/>
            </w:tcBorders>
            <w:shd w:val="clear" w:color="auto" w:fill="auto"/>
            <w:noWrap/>
            <w:vAlign w:val="center"/>
            <w:hideMark/>
          </w:tcPr>
          <w:p w14:paraId="0237B3EA" w14:textId="77777777" w:rsidR="00BC5219" w:rsidRPr="006137A5" w:rsidRDefault="00BC5219" w:rsidP="00E83802">
            <w:pPr>
              <w:outlineLvl w:val="0"/>
              <w:rPr>
                <w:rFonts w:ascii="Meta Pro" w:eastAsia="Times New Roman" w:hAnsi="Meta Pro"/>
                <w:i/>
                <w:iCs/>
                <w:szCs w:val="18"/>
                <w:lang w:eastAsia="en-AU"/>
              </w:rPr>
            </w:pPr>
          </w:p>
        </w:tc>
        <w:tc>
          <w:tcPr>
            <w:tcW w:w="198" w:type="dxa"/>
            <w:tcBorders>
              <w:top w:val="nil"/>
              <w:left w:val="nil"/>
              <w:bottom w:val="nil"/>
              <w:right w:val="nil"/>
            </w:tcBorders>
            <w:shd w:val="clear" w:color="auto" w:fill="auto"/>
            <w:noWrap/>
            <w:vAlign w:val="center"/>
            <w:hideMark/>
          </w:tcPr>
          <w:p w14:paraId="2DFDDA78" w14:textId="77777777" w:rsidR="00BC5219" w:rsidRPr="006137A5" w:rsidRDefault="00BC5219" w:rsidP="00E83802">
            <w:pPr>
              <w:outlineLvl w:val="0"/>
              <w:rPr>
                <w:rFonts w:ascii="Times New Roman" w:eastAsia="Times New Roman" w:hAnsi="Times New Roman" w:cs="Times New Roman"/>
                <w:sz w:val="20"/>
                <w:szCs w:val="20"/>
                <w:lang w:eastAsia="en-AU"/>
              </w:rPr>
            </w:pPr>
          </w:p>
        </w:tc>
        <w:tc>
          <w:tcPr>
            <w:tcW w:w="1140" w:type="dxa"/>
            <w:tcBorders>
              <w:top w:val="nil"/>
              <w:left w:val="nil"/>
              <w:bottom w:val="nil"/>
              <w:right w:val="nil"/>
            </w:tcBorders>
            <w:shd w:val="clear" w:color="auto" w:fill="auto"/>
            <w:noWrap/>
            <w:vAlign w:val="center"/>
            <w:hideMark/>
          </w:tcPr>
          <w:p w14:paraId="7EB30BDA" w14:textId="77777777" w:rsidR="00BC5219" w:rsidRPr="006137A5" w:rsidRDefault="00BC5219" w:rsidP="00E83802">
            <w:pPr>
              <w:jc w:val="right"/>
              <w:outlineLvl w:val="0"/>
              <w:rPr>
                <w:rFonts w:ascii="Times New Roman" w:eastAsia="Times New Roman" w:hAnsi="Times New Roman"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35DAAE5F" w14:textId="77777777" w:rsidR="00BC5219" w:rsidRPr="006137A5" w:rsidRDefault="00BC5219" w:rsidP="00E83802">
            <w:pPr>
              <w:outlineLvl w:val="0"/>
              <w:rPr>
                <w:rFonts w:ascii="Times New Roman" w:eastAsia="Times New Roman" w:hAnsi="Times New Roman" w:cs="Times New Roman"/>
                <w:sz w:val="20"/>
                <w:szCs w:val="20"/>
                <w:lang w:eastAsia="en-AU"/>
              </w:rPr>
            </w:pPr>
          </w:p>
        </w:tc>
        <w:tc>
          <w:tcPr>
            <w:tcW w:w="1140" w:type="dxa"/>
            <w:tcBorders>
              <w:top w:val="nil"/>
              <w:left w:val="nil"/>
              <w:bottom w:val="nil"/>
              <w:right w:val="nil"/>
            </w:tcBorders>
            <w:shd w:val="clear" w:color="auto" w:fill="auto"/>
            <w:noWrap/>
            <w:vAlign w:val="center"/>
            <w:hideMark/>
          </w:tcPr>
          <w:p w14:paraId="216035E0" w14:textId="77777777" w:rsidR="00BC5219" w:rsidRPr="006137A5" w:rsidRDefault="00BC5219" w:rsidP="00E83802">
            <w:pPr>
              <w:jc w:val="right"/>
              <w:outlineLvl w:val="0"/>
              <w:rPr>
                <w:rFonts w:ascii="Times New Roman" w:eastAsia="Times New Roman" w:hAnsi="Times New Roman" w:cs="Times New Roman"/>
                <w:sz w:val="20"/>
                <w:szCs w:val="20"/>
                <w:lang w:eastAsia="en-AU"/>
              </w:rPr>
            </w:pPr>
          </w:p>
        </w:tc>
      </w:tr>
      <w:tr w:rsidR="00BC5219" w:rsidRPr="006137A5" w14:paraId="1F1D29D1" w14:textId="77777777" w:rsidTr="00E83802">
        <w:trPr>
          <w:trHeight w:val="198"/>
        </w:trPr>
        <w:tc>
          <w:tcPr>
            <w:tcW w:w="6350" w:type="dxa"/>
            <w:tcBorders>
              <w:top w:val="nil"/>
              <w:left w:val="nil"/>
              <w:bottom w:val="nil"/>
              <w:right w:val="nil"/>
            </w:tcBorders>
            <w:shd w:val="clear" w:color="auto" w:fill="auto"/>
            <w:noWrap/>
            <w:vAlign w:val="center"/>
            <w:hideMark/>
          </w:tcPr>
          <w:p w14:paraId="2170DA57" w14:textId="77777777" w:rsidR="00BC5219" w:rsidRPr="006137A5" w:rsidRDefault="00BC5219" w:rsidP="00E83802">
            <w:pPr>
              <w:outlineLvl w:val="0"/>
              <w:rPr>
                <w:rFonts w:ascii="Meta Pro" w:eastAsia="Times New Roman" w:hAnsi="Meta Pro"/>
                <w:szCs w:val="18"/>
                <w:lang w:eastAsia="en-AU"/>
              </w:rPr>
            </w:pPr>
            <w:r w:rsidRPr="006137A5">
              <w:rPr>
                <w:rFonts w:ascii="Meta Pro" w:eastAsia="Times New Roman" w:hAnsi="Meta Pro"/>
                <w:szCs w:val="18"/>
                <w:lang w:eastAsia="en-AU"/>
              </w:rPr>
              <w:t xml:space="preserve">Equity withdrawals </w:t>
            </w:r>
          </w:p>
        </w:tc>
        <w:tc>
          <w:tcPr>
            <w:tcW w:w="1140" w:type="dxa"/>
            <w:tcBorders>
              <w:top w:val="nil"/>
              <w:left w:val="nil"/>
              <w:bottom w:val="nil"/>
              <w:right w:val="nil"/>
            </w:tcBorders>
            <w:shd w:val="clear" w:color="auto" w:fill="auto"/>
            <w:noWrap/>
            <w:vAlign w:val="center"/>
            <w:hideMark/>
          </w:tcPr>
          <w:p w14:paraId="01750C89" w14:textId="77777777" w:rsidR="00BC5219" w:rsidRPr="006137A5" w:rsidRDefault="00BC5219" w:rsidP="00E83802">
            <w:pPr>
              <w:jc w:val="right"/>
              <w:outlineLvl w:val="0"/>
              <w:rPr>
                <w:rFonts w:ascii="Meta Pro" w:eastAsia="Times New Roman" w:hAnsi="Meta Pro"/>
                <w:szCs w:val="18"/>
                <w:lang w:eastAsia="en-AU"/>
              </w:rPr>
            </w:pPr>
            <w:r w:rsidRPr="006137A5">
              <w:rPr>
                <w:rFonts w:ascii="Meta Pro" w:eastAsia="Times New Roman" w:hAnsi="Meta Pro"/>
                <w:szCs w:val="18"/>
                <w:lang w:eastAsia="en-AU"/>
              </w:rPr>
              <w:t>(1,199,288)</w:t>
            </w:r>
          </w:p>
        </w:tc>
        <w:tc>
          <w:tcPr>
            <w:tcW w:w="198" w:type="dxa"/>
            <w:tcBorders>
              <w:top w:val="nil"/>
              <w:left w:val="nil"/>
              <w:bottom w:val="nil"/>
              <w:right w:val="nil"/>
            </w:tcBorders>
            <w:shd w:val="clear" w:color="auto" w:fill="auto"/>
            <w:noWrap/>
            <w:vAlign w:val="center"/>
            <w:hideMark/>
          </w:tcPr>
          <w:p w14:paraId="026E8E7C" w14:textId="77777777" w:rsidR="00BC5219" w:rsidRPr="006137A5" w:rsidRDefault="00BC5219" w:rsidP="00E83802">
            <w:pPr>
              <w:jc w:val="right"/>
              <w:outlineLvl w:val="0"/>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665CCCB0" w14:textId="77777777" w:rsidR="00BC5219" w:rsidRPr="006137A5" w:rsidRDefault="00BC5219" w:rsidP="00E83802">
            <w:pPr>
              <w:jc w:val="right"/>
              <w:outlineLvl w:val="0"/>
              <w:rPr>
                <w:rFonts w:ascii="Meta Pro" w:eastAsia="Times New Roman" w:hAnsi="Meta Pro"/>
                <w:szCs w:val="18"/>
                <w:lang w:eastAsia="en-AU"/>
              </w:rPr>
            </w:pPr>
            <w:r w:rsidRPr="006137A5">
              <w:rPr>
                <w:rFonts w:ascii="Meta Pro" w:eastAsia="Times New Roman" w:hAnsi="Meta Pro"/>
                <w:szCs w:val="18"/>
                <w:lang w:eastAsia="en-AU"/>
              </w:rPr>
              <w:t>(1,238,140)</w:t>
            </w:r>
          </w:p>
        </w:tc>
        <w:tc>
          <w:tcPr>
            <w:tcW w:w="198" w:type="dxa"/>
            <w:tcBorders>
              <w:top w:val="nil"/>
              <w:left w:val="nil"/>
              <w:bottom w:val="nil"/>
              <w:right w:val="nil"/>
            </w:tcBorders>
            <w:shd w:val="clear" w:color="auto" w:fill="auto"/>
            <w:noWrap/>
            <w:vAlign w:val="center"/>
            <w:hideMark/>
          </w:tcPr>
          <w:p w14:paraId="112576A2" w14:textId="77777777" w:rsidR="00BC5219" w:rsidRPr="006137A5" w:rsidRDefault="00BC5219" w:rsidP="00E83802">
            <w:pPr>
              <w:jc w:val="right"/>
              <w:outlineLvl w:val="0"/>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6544E54A" w14:textId="77777777" w:rsidR="00BC5219" w:rsidRPr="006137A5" w:rsidRDefault="00BC5219" w:rsidP="00E83802">
            <w:pPr>
              <w:jc w:val="right"/>
              <w:outlineLvl w:val="0"/>
              <w:rPr>
                <w:rFonts w:ascii="Meta Pro" w:eastAsia="Times New Roman" w:hAnsi="Meta Pro"/>
                <w:szCs w:val="18"/>
                <w:lang w:eastAsia="en-AU"/>
              </w:rPr>
            </w:pPr>
            <w:r w:rsidRPr="006137A5">
              <w:rPr>
                <w:rFonts w:ascii="Meta Pro" w:eastAsia="Times New Roman" w:hAnsi="Meta Pro"/>
                <w:szCs w:val="18"/>
                <w:lang w:eastAsia="en-AU"/>
              </w:rPr>
              <w:t>(38,852)</w:t>
            </w:r>
          </w:p>
        </w:tc>
      </w:tr>
      <w:tr w:rsidR="00BC5219" w:rsidRPr="006137A5" w14:paraId="0CDEBC19" w14:textId="77777777" w:rsidTr="00E83802">
        <w:trPr>
          <w:trHeight w:val="198"/>
        </w:trPr>
        <w:tc>
          <w:tcPr>
            <w:tcW w:w="6350" w:type="dxa"/>
            <w:tcBorders>
              <w:top w:val="nil"/>
              <w:left w:val="nil"/>
              <w:bottom w:val="nil"/>
              <w:right w:val="nil"/>
            </w:tcBorders>
            <w:shd w:val="clear" w:color="auto" w:fill="auto"/>
            <w:noWrap/>
            <w:vAlign w:val="center"/>
            <w:hideMark/>
          </w:tcPr>
          <w:p w14:paraId="3CD9F9EA" w14:textId="77777777" w:rsidR="00BC5219" w:rsidRPr="006137A5" w:rsidRDefault="00BC5219" w:rsidP="00E83802">
            <w:pPr>
              <w:outlineLvl w:val="0"/>
              <w:rPr>
                <w:rFonts w:ascii="Meta Pro" w:eastAsia="Times New Roman" w:hAnsi="Meta Pro"/>
                <w:szCs w:val="18"/>
                <w:lang w:eastAsia="en-AU"/>
              </w:rPr>
            </w:pPr>
            <w:r w:rsidRPr="006137A5">
              <w:rPr>
                <w:rFonts w:ascii="Meta Pro" w:eastAsia="Times New Roman" w:hAnsi="Meta Pro"/>
                <w:szCs w:val="18"/>
                <w:lang w:eastAsia="en-AU"/>
              </w:rPr>
              <w:t>Borrowing redemptions</w:t>
            </w:r>
          </w:p>
        </w:tc>
        <w:tc>
          <w:tcPr>
            <w:tcW w:w="1140" w:type="dxa"/>
            <w:tcBorders>
              <w:top w:val="nil"/>
              <w:left w:val="nil"/>
              <w:bottom w:val="nil"/>
              <w:right w:val="nil"/>
            </w:tcBorders>
            <w:shd w:val="clear" w:color="auto" w:fill="auto"/>
            <w:noWrap/>
            <w:vAlign w:val="center"/>
            <w:hideMark/>
          </w:tcPr>
          <w:p w14:paraId="11554853" w14:textId="77777777" w:rsidR="00BC5219" w:rsidRPr="006137A5" w:rsidRDefault="00BC5219" w:rsidP="00E83802">
            <w:pPr>
              <w:jc w:val="right"/>
              <w:outlineLvl w:val="0"/>
              <w:rPr>
                <w:rFonts w:ascii="Meta Pro" w:eastAsia="Times New Roman" w:hAnsi="Meta Pro"/>
                <w:szCs w:val="18"/>
                <w:lang w:eastAsia="en-AU"/>
              </w:rPr>
            </w:pPr>
            <w:r w:rsidRPr="006137A5">
              <w:rPr>
                <w:rFonts w:ascii="Meta Pro" w:eastAsia="Times New Roman" w:hAnsi="Meta Pro"/>
                <w:szCs w:val="18"/>
                <w:lang w:eastAsia="en-AU"/>
              </w:rPr>
              <w:t>(40,275)</w:t>
            </w:r>
          </w:p>
        </w:tc>
        <w:tc>
          <w:tcPr>
            <w:tcW w:w="198" w:type="dxa"/>
            <w:tcBorders>
              <w:top w:val="nil"/>
              <w:left w:val="nil"/>
              <w:bottom w:val="nil"/>
              <w:right w:val="nil"/>
            </w:tcBorders>
            <w:shd w:val="clear" w:color="auto" w:fill="auto"/>
            <w:noWrap/>
            <w:vAlign w:val="center"/>
            <w:hideMark/>
          </w:tcPr>
          <w:p w14:paraId="0FC4421E" w14:textId="77777777" w:rsidR="00BC5219" w:rsidRPr="006137A5" w:rsidRDefault="00BC5219" w:rsidP="00E83802">
            <w:pPr>
              <w:jc w:val="right"/>
              <w:outlineLvl w:val="0"/>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77292195" w14:textId="77777777" w:rsidR="00BC5219" w:rsidRPr="006137A5" w:rsidRDefault="00BC5219" w:rsidP="00E83802">
            <w:pPr>
              <w:jc w:val="right"/>
              <w:outlineLvl w:val="0"/>
              <w:rPr>
                <w:rFonts w:ascii="Meta Pro" w:eastAsia="Times New Roman" w:hAnsi="Meta Pro"/>
                <w:szCs w:val="18"/>
                <w:lang w:eastAsia="en-AU"/>
              </w:rPr>
            </w:pPr>
            <w:r w:rsidRPr="006137A5">
              <w:rPr>
                <w:rFonts w:ascii="Meta Pro" w:eastAsia="Times New Roman" w:hAnsi="Meta Pro"/>
                <w:szCs w:val="18"/>
                <w:lang w:eastAsia="en-AU"/>
              </w:rPr>
              <w:t>(205,288)</w:t>
            </w:r>
          </w:p>
        </w:tc>
        <w:tc>
          <w:tcPr>
            <w:tcW w:w="198" w:type="dxa"/>
            <w:tcBorders>
              <w:top w:val="nil"/>
              <w:left w:val="nil"/>
              <w:bottom w:val="nil"/>
              <w:right w:val="nil"/>
            </w:tcBorders>
            <w:shd w:val="clear" w:color="auto" w:fill="auto"/>
            <w:noWrap/>
            <w:vAlign w:val="center"/>
            <w:hideMark/>
          </w:tcPr>
          <w:p w14:paraId="7FFA432B" w14:textId="77777777" w:rsidR="00BC5219" w:rsidRPr="006137A5" w:rsidRDefault="00BC5219" w:rsidP="00E83802">
            <w:pPr>
              <w:jc w:val="right"/>
              <w:outlineLvl w:val="0"/>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3EEFB425" w14:textId="77777777" w:rsidR="00BC5219" w:rsidRPr="006137A5" w:rsidRDefault="00BC5219" w:rsidP="00E83802">
            <w:pPr>
              <w:jc w:val="right"/>
              <w:outlineLvl w:val="0"/>
              <w:rPr>
                <w:rFonts w:ascii="Meta Pro" w:eastAsia="Times New Roman" w:hAnsi="Meta Pro"/>
                <w:szCs w:val="18"/>
                <w:lang w:eastAsia="en-AU"/>
              </w:rPr>
            </w:pPr>
            <w:r w:rsidRPr="006137A5">
              <w:rPr>
                <w:rFonts w:ascii="Meta Pro" w:eastAsia="Times New Roman" w:hAnsi="Meta Pro"/>
                <w:szCs w:val="18"/>
                <w:lang w:eastAsia="en-AU"/>
              </w:rPr>
              <w:t>(165,013)</w:t>
            </w:r>
          </w:p>
        </w:tc>
      </w:tr>
      <w:tr w:rsidR="00BC5219" w:rsidRPr="006137A5" w14:paraId="398D05D9" w14:textId="77777777" w:rsidTr="00E83802">
        <w:trPr>
          <w:trHeight w:val="198"/>
        </w:trPr>
        <w:tc>
          <w:tcPr>
            <w:tcW w:w="6350" w:type="dxa"/>
            <w:tcBorders>
              <w:top w:val="nil"/>
              <w:left w:val="nil"/>
              <w:bottom w:val="nil"/>
              <w:right w:val="nil"/>
            </w:tcBorders>
            <w:shd w:val="clear" w:color="auto" w:fill="auto"/>
            <w:noWrap/>
            <w:vAlign w:val="center"/>
            <w:hideMark/>
          </w:tcPr>
          <w:p w14:paraId="57E2B797" w14:textId="77777777" w:rsidR="00BC5219" w:rsidRPr="006137A5" w:rsidRDefault="00BC5219" w:rsidP="00E83802">
            <w:pPr>
              <w:outlineLvl w:val="0"/>
              <w:rPr>
                <w:rFonts w:ascii="Meta Pro" w:eastAsia="Times New Roman" w:hAnsi="Meta Pro"/>
                <w:szCs w:val="18"/>
                <w:lang w:eastAsia="en-AU"/>
              </w:rPr>
            </w:pPr>
            <w:r w:rsidRPr="006137A5">
              <w:rPr>
                <w:rFonts w:ascii="Meta Pro" w:eastAsia="Times New Roman" w:hAnsi="Meta Pro"/>
                <w:szCs w:val="18"/>
                <w:lang w:eastAsia="en-AU"/>
              </w:rPr>
              <w:t>Lease payments</w:t>
            </w:r>
          </w:p>
        </w:tc>
        <w:tc>
          <w:tcPr>
            <w:tcW w:w="1140" w:type="dxa"/>
            <w:tcBorders>
              <w:top w:val="nil"/>
              <w:left w:val="nil"/>
              <w:bottom w:val="nil"/>
              <w:right w:val="nil"/>
            </w:tcBorders>
            <w:shd w:val="clear" w:color="auto" w:fill="auto"/>
            <w:noWrap/>
            <w:vAlign w:val="center"/>
            <w:hideMark/>
          </w:tcPr>
          <w:p w14:paraId="2FA9F1A6" w14:textId="77777777" w:rsidR="00BC5219" w:rsidRPr="006137A5" w:rsidRDefault="00BC5219" w:rsidP="00E83802">
            <w:pPr>
              <w:jc w:val="right"/>
              <w:outlineLvl w:val="0"/>
              <w:rPr>
                <w:rFonts w:ascii="Meta Pro" w:eastAsia="Times New Roman" w:hAnsi="Meta Pro"/>
                <w:szCs w:val="18"/>
                <w:lang w:eastAsia="en-AU"/>
              </w:rPr>
            </w:pPr>
            <w:r w:rsidRPr="006137A5">
              <w:rPr>
                <w:rFonts w:ascii="Meta Pro" w:eastAsia="Times New Roman" w:hAnsi="Meta Pro"/>
                <w:szCs w:val="18"/>
                <w:lang w:eastAsia="en-AU"/>
              </w:rPr>
              <w:t xml:space="preserve">- </w:t>
            </w:r>
          </w:p>
        </w:tc>
        <w:tc>
          <w:tcPr>
            <w:tcW w:w="198" w:type="dxa"/>
            <w:tcBorders>
              <w:top w:val="nil"/>
              <w:left w:val="nil"/>
              <w:bottom w:val="nil"/>
              <w:right w:val="nil"/>
            </w:tcBorders>
            <w:shd w:val="clear" w:color="auto" w:fill="auto"/>
            <w:noWrap/>
            <w:vAlign w:val="center"/>
            <w:hideMark/>
          </w:tcPr>
          <w:p w14:paraId="25A84652" w14:textId="77777777" w:rsidR="00BC5219" w:rsidRPr="006137A5" w:rsidRDefault="00BC5219" w:rsidP="00E83802">
            <w:pPr>
              <w:jc w:val="right"/>
              <w:outlineLvl w:val="0"/>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439E8989" w14:textId="77777777" w:rsidR="00BC5219" w:rsidRPr="006137A5" w:rsidRDefault="00BC5219" w:rsidP="00E83802">
            <w:pPr>
              <w:jc w:val="right"/>
              <w:outlineLvl w:val="0"/>
              <w:rPr>
                <w:rFonts w:ascii="Meta Pro" w:eastAsia="Times New Roman" w:hAnsi="Meta Pro"/>
                <w:szCs w:val="18"/>
                <w:lang w:eastAsia="en-AU"/>
              </w:rPr>
            </w:pPr>
            <w:r w:rsidRPr="006137A5">
              <w:rPr>
                <w:rFonts w:ascii="Meta Pro" w:eastAsia="Times New Roman" w:hAnsi="Meta Pro"/>
                <w:szCs w:val="18"/>
                <w:lang w:eastAsia="en-AU"/>
              </w:rPr>
              <w:t>(2,710)</w:t>
            </w:r>
          </w:p>
        </w:tc>
        <w:tc>
          <w:tcPr>
            <w:tcW w:w="198" w:type="dxa"/>
            <w:tcBorders>
              <w:top w:val="nil"/>
              <w:left w:val="nil"/>
              <w:bottom w:val="nil"/>
              <w:right w:val="nil"/>
            </w:tcBorders>
            <w:shd w:val="clear" w:color="auto" w:fill="auto"/>
            <w:noWrap/>
            <w:vAlign w:val="center"/>
            <w:hideMark/>
          </w:tcPr>
          <w:p w14:paraId="340F2D21" w14:textId="77777777" w:rsidR="00BC5219" w:rsidRPr="006137A5" w:rsidRDefault="00BC5219" w:rsidP="00E83802">
            <w:pPr>
              <w:jc w:val="right"/>
              <w:outlineLvl w:val="0"/>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45431518" w14:textId="77777777" w:rsidR="00BC5219" w:rsidRPr="006137A5" w:rsidRDefault="00BC5219" w:rsidP="00E83802">
            <w:pPr>
              <w:jc w:val="right"/>
              <w:outlineLvl w:val="0"/>
              <w:rPr>
                <w:rFonts w:ascii="Meta Pro" w:eastAsia="Times New Roman" w:hAnsi="Meta Pro"/>
                <w:szCs w:val="18"/>
                <w:lang w:eastAsia="en-AU"/>
              </w:rPr>
            </w:pPr>
            <w:r w:rsidRPr="006137A5">
              <w:rPr>
                <w:rFonts w:ascii="Meta Pro" w:eastAsia="Times New Roman" w:hAnsi="Meta Pro"/>
                <w:szCs w:val="18"/>
                <w:lang w:eastAsia="en-AU"/>
              </w:rPr>
              <w:t>(2,710)</w:t>
            </w:r>
          </w:p>
        </w:tc>
      </w:tr>
      <w:tr w:rsidR="00BC5219" w:rsidRPr="006137A5" w14:paraId="2F18FAF3" w14:textId="77777777" w:rsidTr="00E83802">
        <w:trPr>
          <w:trHeight w:val="198"/>
        </w:trPr>
        <w:tc>
          <w:tcPr>
            <w:tcW w:w="6350" w:type="dxa"/>
            <w:tcBorders>
              <w:top w:val="single" w:sz="4" w:space="0" w:color="auto"/>
              <w:left w:val="nil"/>
              <w:bottom w:val="nil"/>
              <w:right w:val="nil"/>
            </w:tcBorders>
            <w:shd w:val="clear" w:color="auto" w:fill="auto"/>
            <w:noWrap/>
            <w:vAlign w:val="center"/>
            <w:hideMark/>
          </w:tcPr>
          <w:p w14:paraId="72261E49" w14:textId="77777777" w:rsidR="00BC5219" w:rsidRPr="006137A5" w:rsidRDefault="00BC5219" w:rsidP="00E83802">
            <w:pPr>
              <w:outlineLvl w:val="0"/>
              <w:rPr>
                <w:rFonts w:ascii="Meta Pro" w:eastAsia="Times New Roman" w:hAnsi="Meta Pro"/>
                <w:b/>
                <w:bCs/>
                <w:szCs w:val="18"/>
                <w:lang w:eastAsia="en-AU"/>
              </w:rPr>
            </w:pPr>
            <w:r w:rsidRPr="006137A5">
              <w:rPr>
                <w:rFonts w:ascii="Meta Pro" w:eastAsia="Times New Roman" w:hAnsi="Meta Pro"/>
                <w:b/>
                <w:bCs/>
                <w:szCs w:val="18"/>
                <w:lang w:eastAsia="en-AU"/>
              </w:rPr>
              <w:t>Net cash provided by financing activities</w:t>
            </w:r>
          </w:p>
        </w:tc>
        <w:tc>
          <w:tcPr>
            <w:tcW w:w="1140" w:type="dxa"/>
            <w:tcBorders>
              <w:top w:val="single" w:sz="4" w:space="0" w:color="auto"/>
              <w:left w:val="nil"/>
              <w:bottom w:val="nil"/>
              <w:right w:val="nil"/>
            </w:tcBorders>
            <w:shd w:val="clear" w:color="auto" w:fill="auto"/>
            <w:noWrap/>
            <w:vAlign w:val="center"/>
            <w:hideMark/>
          </w:tcPr>
          <w:p w14:paraId="3B64C929" w14:textId="77777777" w:rsidR="00BC5219" w:rsidRPr="006137A5" w:rsidRDefault="00BC5219" w:rsidP="00E83802">
            <w:pPr>
              <w:jc w:val="right"/>
              <w:outlineLvl w:val="0"/>
              <w:rPr>
                <w:rFonts w:ascii="Meta Pro" w:eastAsia="Times New Roman" w:hAnsi="Meta Pro"/>
                <w:b/>
                <w:bCs/>
                <w:szCs w:val="18"/>
                <w:lang w:eastAsia="en-AU"/>
              </w:rPr>
            </w:pPr>
            <w:r w:rsidRPr="006137A5">
              <w:rPr>
                <w:rFonts w:ascii="Meta Pro" w:eastAsia="Times New Roman" w:hAnsi="Meta Pro"/>
                <w:b/>
                <w:bCs/>
                <w:szCs w:val="18"/>
                <w:lang w:eastAsia="en-AU"/>
              </w:rPr>
              <w:t xml:space="preserve">3,040,969 </w:t>
            </w:r>
          </w:p>
        </w:tc>
        <w:tc>
          <w:tcPr>
            <w:tcW w:w="198" w:type="dxa"/>
            <w:tcBorders>
              <w:top w:val="single" w:sz="4" w:space="0" w:color="auto"/>
              <w:left w:val="nil"/>
              <w:bottom w:val="nil"/>
              <w:right w:val="nil"/>
            </w:tcBorders>
            <w:shd w:val="clear" w:color="auto" w:fill="auto"/>
            <w:noWrap/>
            <w:vAlign w:val="center"/>
            <w:hideMark/>
          </w:tcPr>
          <w:p w14:paraId="24860070" w14:textId="77777777" w:rsidR="00BC5219" w:rsidRPr="006137A5" w:rsidRDefault="00BC5219" w:rsidP="00E83802">
            <w:pPr>
              <w:jc w:val="right"/>
              <w:outlineLvl w:val="0"/>
              <w:rPr>
                <w:rFonts w:ascii="Meta Pro" w:eastAsia="Times New Roman" w:hAnsi="Meta Pro"/>
                <w:b/>
                <w:bCs/>
                <w:szCs w:val="18"/>
                <w:lang w:eastAsia="en-AU"/>
              </w:rPr>
            </w:pPr>
            <w:r w:rsidRPr="006137A5">
              <w:rPr>
                <w:rFonts w:ascii="Meta Pro" w:eastAsia="Times New Roman" w:hAnsi="Meta Pro"/>
                <w:b/>
                <w:bCs/>
                <w:szCs w:val="18"/>
                <w:lang w:eastAsia="en-AU"/>
              </w:rPr>
              <w:t> </w:t>
            </w:r>
          </w:p>
        </w:tc>
        <w:tc>
          <w:tcPr>
            <w:tcW w:w="1140" w:type="dxa"/>
            <w:tcBorders>
              <w:top w:val="single" w:sz="4" w:space="0" w:color="auto"/>
              <w:left w:val="nil"/>
              <w:bottom w:val="nil"/>
              <w:right w:val="nil"/>
            </w:tcBorders>
            <w:shd w:val="clear" w:color="auto" w:fill="auto"/>
            <w:noWrap/>
            <w:vAlign w:val="center"/>
            <w:hideMark/>
          </w:tcPr>
          <w:p w14:paraId="43CB9AA9" w14:textId="77777777" w:rsidR="00BC5219" w:rsidRPr="006137A5" w:rsidRDefault="00BC5219" w:rsidP="00E83802">
            <w:pPr>
              <w:jc w:val="right"/>
              <w:outlineLvl w:val="0"/>
              <w:rPr>
                <w:rFonts w:ascii="Meta Pro" w:eastAsia="Times New Roman" w:hAnsi="Meta Pro"/>
                <w:b/>
                <w:bCs/>
                <w:szCs w:val="18"/>
                <w:lang w:eastAsia="en-AU"/>
              </w:rPr>
            </w:pPr>
            <w:r w:rsidRPr="006137A5">
              <w:rPr>
                <w:rFonts w:ascii="Meta Pro" w:eastAsia="Times New Roman" w:hAnsi="Meta Pro"/>
                <w:b/>
                <w:bCs/>
                <w:szCs w:val="18"/>
                <w:lang w:eastAsia="en-AU"/>
              </w:rPr>
              <w:t xml:space="preserve">3,652,527 </w:t>
            </w:r>
          </w:p>
        </w:tc>
        <w:tc>
          <w:tcPr>
            <w:tcW w:w="198" w:type="dxa"/>
            <w:tcBorders>
              <w:top w:val="single" w:sz="4" w:space="0" w:color="auto"/>
              <w:left w:val="nil"/>
              <w:bottom w:val="nil"/>
              <w:right w:val="nil"/>
            </w:tcBorders>
            <w:shd w:val="clear" w:color="auto" w:fill="auto"/>
            <w:noWrap/>
            <w:vAlign w:val="center"/>
            <w:hideMark/>
          </w:tcPr>
          <w:p w14:paraId="74F9144B" w14:textId="77777777" w:rsidR="00BC5219" w:rsidRPr="006137A5" w:rsidRDefault="00BC5219" w:rsidP="00E83802">
            <w:pPr>
              <w:jc w:val="right"/>
              <w:outlineLvl w:val="0"/>
              <w:rPr>
                <w:rFonts w:ascii="Meta Pro" w:eastAsia="Times New Roman" w:hAnsi="Meta Pro"/>
                <w:b/>
                <w:bCs/>
                <w:szCs w:val="18"/>
                <w:lang w:eastAsia="en-AU"/>
              </w:rPr>
            </w:pPr>
            <w:r w:rsidRPr="006137A5">
              <w:rPr>
                <w:rFonts w:ascii="Meta Pro" w:eastAsia="Times New Roman" w:hAnsi="Meta Pro"/>
                <w:b/>
                <w:bCs/>
                <w:szCs w:val="18"/>
                <w:lang w:eastAsia="en-AU"/>
              </w:rPr>
              <w:t> </w:t>
            </w:r>
          </w:p>
        </w:tc>
        <w:tc>
          <w:tcPr>
            <w:tcW w:w="1140" w:type="dxa"/>
            <w:tcBorders>
              <w:top w:val="single" w:sz="4" w:space="0" w:color="auto"/>
              <w:left w:val="nil"/>
              <w:bottom w:val="nil"/>
              <w:right w:val="nil"/>
            </w:tcBorders>
            <w:shd w:val="clear" w:color="auto" w:fill="auto"/>
            <w:noWrap/>
            <w:vAlign w:val="center"/>
            <w:hideMark/>
          </w:tcPr>
          <w:p w14:paraId="128C655A" w14:textId="77777777" w:rsidR="00BC5219" w:rsidRPr="006137A5" w:rsidRDefault="00BC5219" w:rsidP="00E83802">
            <w:pPr>
              <w:jc w:val="right"/>
              <w:outlineLvl w:val="0"/>
              <w:rPr>
                <w:rFonts w:ascii="Meta Pro" w:eastAsia="Times New Roman" w:hAnsi="Meta Pro"/>
                <w:b/>
                <w:bCs/>
                <w:szCs w:val="18"/>
                <w:lang w:eastAsia="en-AU"/>
              </w:rPr>
            </w:pPr>
            <w:r w:rsidRPr="006137A5">
              <w:rPr>
                <w:rFonts w:ascii="Meta Pro" w:eastAsia="Times New Roman" w:hAnsi="Meta Pro"/>
                <w:b/>
                <w:bCs/>
                <w:szCs w:val="18"/>
                <w:lang w:eastAsia="en-AU"/>
              </w:rPr>
              <w:t xml:space="preserve">611,558 </w:t>
            </w:r>
          </w:p>
        </w:tc>
      </w:tr>
      <w:tr w:rsidR="00BC5219" w:rsidRPr="006137A5" w14:paraId="6A286EEE" w14:textId="77777777" w:rsidTr="00E83802">
        <w:trPr>
          <w:trHeight w:val="198"/>
        </w:trPr>
        <w:tc>
          <w:tcPr>
            <w:tcW w:w="6350" w:type="dxa"/>
            <w:tcBorders>
              <w:top w:val="nil"/>
              <w:left w:val="nil"/>
              <w:bottom w:val="nil"/>
              <w:right w:val="nil"/>
            </w:tcBorders>
            <w:shd w:val="clear" w:color="auto" w:fill="auto"/>
            <w:noWrap/>
            <w:vAlign w:val="center"/>
            <w:hideMark/>
          </w:tcPr>
          <w:p w14:paraId="6C5FFA2A" w14:textId="77777777" w:rsidR="00BC5219" w:rsidRPr="006137A5" w:rsidRDefault="00BC5219" w:rsidP="00E83802">
            <w:pPr>
              <w:jc w:val="right"/>
              <w:outlineLvl w:val="0"/>
              <w:rPr>
                <w:rFonts w:ascii="Meta Pro" w:eastAsia="Times New Roman" w:hAnsi="Meta Pro"/>
                <w:b/>
                <w:bCs/>
                <w:szCs w:val="18"/>
                <w:lang w:eastAsia="en-AU"/>
              </w:rPr>
            </w:pPr>
          </w:p>
        </w:tc>
        <w:tc>
          <w:tcPr>
            <w:tcW w:w="1140" w:type="dxa"/>
            <w:tcBorders>
              <w:top w:val="nil"/>
              <w:left w:val="nil"/>
              <w:bottom w:val="nil"/>
              <w:right w:val="nil"/>
            </w:tcBorders>
            <w:shd w:val="clear" w:color="auto" w:fill="auto"/>
            <w:noWrap/>
            <w:vAlign w:val="center"/>
            <w:hideMark/>
          </w:tcPr>
          <w:p w14:paraId="390D1ECF" w14:textId="77777777" w:rsidR="00BC5219" w:rsidRPr="006137A5" w:rsidRDefault="00BC5219" w:rsidP="00E83802">
            <w:pPr>
              <w:outlineLvl w:val="0"/>
              <w:rPr>
                <w:rFonts w:ascii="Times New Roman" w:eastAsia="Times New Roman" w:hAnsi="Times New Roman"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4763C749" w14:textId="77777777" w:rsidR="00BC5219" w:rsidRPr="006137A5" w:rsidRDefault="00BC5219" w:rsidP="00E83802">
            <w:pPr>
              <w:outlineLvl w:val="0"/>
              <w:rPr>
                <w:rFonts w:ascii="Times New Roman" w:eastAsia="Times New Roman" w:hAnsi="Times New Roman" w:cs="Times New Roman"/>
                <w:sz w:val="20"/>
                <w:szCs w:val="20"/>
                <w:lang w:eastAsia="en-AU"/>
              </w:rPr>
            </w:pPr>
          </w:p>
        </w:tc>
        <w:tc>
          <w:tcPr>
            <w:tcW w:w="1140" w:type="dxa"/>
            <w:tcBorders>
              <w:top w:val="nil"/>
              <w:left w:val="nil"/>
              <w:bottom w:val="nil"/>
              <w:right w:val="nil"/>
            </w:tcBorders>
            <w:shd w:val="clear" w:color="auto" w:fill="auto"/>
            <w:noWrap/>
            <w:vAlign w:val="center"/>
            <w:hideMark/>
          </w:tcPr>
          <w:p w14:paraId="59E11E6C" w14:textId="77777777" w:rsidR="00BC5219" w:rsidRPr="006137A5" w:rsidRDefault="00BC5219" w:rsidP="00E83802">
            <w:pPr>
              <w:jc w:val="right"/>
              <w:outlineLvl w:val="0"/>
              <w:rPr>
                <w:rFonts w:ascii="Times New Roman" w:eastAsia="Times New Roman" w:hAnsi="Times New Roman"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2C590C72" w14:textId="77777777" w:rsidR="00BC5219" w:rsidRPr="006137A5" w:rsidRDefault="00BC5219" w:rsidP="00E83802">
            <w:pPr>
              <w:outlineLvl w:val="0"/>
              <w:rPr>
                <w:rFonts w:ascii="Times New Roman" w:eastAsia="Times New Roman" w:hAnsi="Times New Roman" w:cs="Times New Roman"/>
                <w:sz w:val="20"/>
                <w:szCs w:val="20"/>
                <w:lang w:eastAsia="en-AU"/>
              </w:rPr>
            </w:pPr>
          </w:p>
        </w:tc>
        <w:tc>
          <w:tcPr>
            <w:tcW w:w="1140" w:type="dxa"/>
            <w:tcBorders>
              <w:top w:val="nil"/>
              <w:left w:val="nil"/>
              <w:bottom w:val="nil"/>
              <w:right w:val="nil"/>
            </w:tcBorders>
            <w:shd w:val="clear" w:color="auto" w:fill="auto"/>
            <w:noWrap/>
            <w:vAlign w:val="center"/>
            <w:hideMark/>
          </w:tcPr>
          <w:p w14:paraId="6F3F4AE0" w14:textId="77777777" w:rsidR="00BC5219" w:rsidRPr="006137A5" w:rsidRDefault="00BC5219" w:rsidP="00E83802">
            <w:pPr>
              <w:jc w:val="right"/>
              <w:outlineLvl w:val="0"/>
              <w:rPr>
                <w:rFonts w:ascii="Times New Roman" w:eastAsia="Times New Roman" w:hAnsi="Times New Roman" w:cs="Times New Roman"/>
                <w:sz w:val="20"/>
                <w:szCs w:val="20"/>
                <w:lang w:eastAsia="en-AU"/>
              </w:rPr>
            </w:pPr>
          </w:p>
        </w:tc>
      </w:tr>
      <w:tr w:rsidR="00BC5219" w:rsidRPr="006137A5" w14:paraId="598183BF" w14:textId="77777777" w:rsidTr="00E83802">
        <w:trPr>
          <w:trHeight w:val="198"/>
        </w:trPr>
        <w:tc>
          <w:tcPr>
            <w:tcW w:w="6350" w:type="dxa"/>
            <w:tcBorders>
              <w:top w:val="nil"/>
              <w:left w:val="nil"/>
              <w:bottom w:val="nil"/>
              <w:right w:val="nil"/>
            </w:tcBorders>
            <w:shd w:val="clear" w:color="auto" w:fill="auto"/>
            <w:noWrap/>
            <w:vAlign w:val="center"/>
            <w:hideMark/>
          </w:tcPr>
          <w:p w14:paraId="2C348E88" w14:textId="77777777" w:rsidR="00BC5219" w:rsidRPr="006137A5" w:rsidRDefault="00BC5219" w:rsidP="00E83802">
            <w:pPr>
              <w:outlineLvl w:val="0"/>
              <w:rPr>
                <w:rFonts w:ascii="Meta Pro" w:eastAsia="Times New Roman" w:hAnsi="Meta Pro"/>
                <w:szCs w:val="18"/>
                <w:lang w:eastAsia="en-AU"/>
              </w:rPr>
            </w:pPr>
            <w:r w:rsidRPr="006137A5">
              <w:rPr>
                <w:rFonts w:ascii="Meta Pro" w:eastAsia="Times New Roman" w:hAnsi="Meta Pro"/>
                <w:szCs w:val="18"/>
                <w:lang w:eastAsia="en-AU"/>
              </w:rPr>
              <w:t xml:space="preserve">Net increase/(decrease) in cash </w:t>
            </w:r>
          </w:p>
        </w:tc>
        <w:tc>
          <w:tcPr>
            <w:tcW w:w="1140" w:type="dxa"/>
            <w:tcBorders>
              <w:top w:val="nil"/>
              <w:left w:val="nil"/>
              <w:bottom w:val="nil"/>
              <w:right w:val="nil"/>
            </w:tcBorders>
            <w:shd w:val="clear" w:color="auto" w:fill="auto"/>
            <w:noWrap/>
            <w:vAlign w:val="center"/>
            <w:hideMark/>
          </w:tcPr>
          <w:p w14:paraId="774CCAB9" w14:textId="77777777" w:rsidR="00BC5219" w:rsidRPr="006137A5" w:rsidRDefault="00BC5219" w:rsidP="00E83802">
            <w:pPr>
              <w:jc w:val="right"/>
              <w:outlineLvl w:val="0"/>
              <w:rPr>
                <w:rFonts w:ascii="Meta Pro" w:eastAsia="Times New Roman" w:hAnsi="Meta Pro"/>
                <w:szCs w:val="18"/>
                <w:lang w:eastAsia="en-AU"/>
              </w:rPr>
            </w:pPr>
            <w:r w:rsidRPr="006137A5">
              <w:rPr>
                <w:rFonts w:ascii="Meta Pro" w:eastAsia="Times New Roman" w:hAnsi="Meta Pro"/>
                <w:szCs w:val="18"/>
                <w:lang w:eastAsia="en-AU"/>
              </w:rPr>
              <w:t>(170,699)</w:t>
            </w:r>
          </w:p>
        </w:tc>
        <w:tc>
          <w:tcPr>
            <w:tcW w:w="198" w:type="dxa"/>
            <w:tcBorders>
              <w:top w:val="nil"/>
              <w:left w:val="nil"/>
              <w:bottom w:val="nil"/>
              <w:right w:val="nil"/>
            </w:tcBorders>
            <w:shd w:val="clear" w:color="auto" w:fill="auto"/>
            <w:noWrap/>
            <w:vAlign w:val="center"/>
            <w:hideMark/>
          </w:tcPr>
          <w:p w14:paraId="580A1ACF" w14:textId="77777777" w:rsidR="00BC5219" w:rsidRPr="006137A5" w:rsidRDefault="00BC5219" w:rsidP="00E83802">
            <w:pPr>
              <w:jc w:val="right"/>
              <w:outlineLvl w:val="0"/>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16B35DEE" w14:textId="77777777" w:rsidR="00BC5219" w:rsidRPr="006137A5" w:rsidRDefault="00BC5219" w:rsidP="00E83802">
            <w:pPr>
              <w:jc w:val="right"/>
              <w:outlineLvl w:val="0"/>
              <w:rPr>
                <w:rFonts w:ascii="Meta Pro" w:eastAsia="Times New Roman" w:hAnsi="Meta Pro"/>
                <w:szCs w:val="18"/>
                <w:lang w:eastAsia="en-AU"/>
              </w:rPr>
            </w:pPr>
            <w:r w:rsidRPr="006137A5">
              <w:rPr>
                <w:rFonts w:ascii="Meta Pro" w:eastAsia="Times New Roman" w:hAnsi="Meta Pro"/>
                <w:szCs w:val="18"/>
                <w:lang w:eastAsia="en-AU"/>
              </w:rPr>
              <w:t xml:space="preserve">353,200 </w:t>
            </w:r>
          </w:p>
        </w:tc>
        <w:tc>
          <w:tcPr>
            <w:tcW w:w="198" w:type="dxa"/>
            <w:tcBorders>
              <w:top w:val="nil"/>
              <w:left w:val="nil"/>
              <w:bottom w:val="nil"/>
              <w:right w:val="nil"/>
            </w:tcBorders>
            <w:shd w:val="clear" w:color="auto" w:fill="auto"/>
            <w:noWrap/>
            <w:vAlign w:val="center"/>
            <w:hideMark/>
          </w:tcPr>
          <w:p w14:paraId="7A27280F" w14:textId="77777777" w:rsidR="00BC5219" w:rsidRPr="006137A5" w:rsidRDefault="00BC5219" w:rsidP="00E83802">
            <w:pPr>
              <w:jc w:val="right"/>
              <w:outlineLvl w:val="0"/>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4B38B4EB" w14:textId="77777777" w:rsidR="00BC5219" w:rsidRPr="006137A5" w:rsidRDefault="00BC5219" w:rsidP="00E83802">
            <w:pPr>
              <w:jc w:val="right"/>
              <w:outlineLvl w:val="0"/>
              <w:rPr>
                <w:rFonts w:ascii="Meta Pro" w:eastAsia="Times New Roman" w:hAnsi="Meta Pro"/>
                <w:szCs w:val="18"/>
                <w:lang w:eastAsia="en-AU"/>
              </w:rPr>
            </w:pPr>
            <w:r w:rsidRPr="006137A5">
              <w:rPr>
                <w:rFonts w:ascii="Meta Pro" w:eastAsia="Times New Roman" w:hAnsi="Meta Pro"/>
                <w:szCs w:val="18"/>
                <w:lang w:eastAsia="en-AU"/>
              </w:rPr>
              <w:t xml:space="preserve">523,899 </w:t>
            </w:r>
          </w:p>
        </w:tc>
      </w:tr>
      <w:tr w:rsidR="00BC5219" w:rsidRPr="006137A5" w14:paraId="479B7FEB" w14:textId="77777777" w:rsidTr="00E83802">
        <w:trPr>
          <w:trHeight w:val="198"/>
        </w:trPr>
        <w:tc>
          <w:tcPr>
            <w:tcW w:w="6350" w:type="dxa"/>
            <w:tcBorders>
              <w:top w:val="nil"/>
              <w:left w:val="nil"/>
              <w:bottom w:val="nil"/>
              <w:right w:val="nil"/>
            </w:tcBorders>
            <w:shd w:val="clear" w:color="auto" w:fill="auto"/>
            <w:noWrap/>
            <w:vAlign w:val="center"/>
            <w:hideMark/>
          </w:tcPr>
          <w:p w14:paraId="58A81133" w14:textId="77777777" w:rsidR="00BC5219" w:rsidRPr="006137A5" w:rsidRDefault="00BC5219" w:rsidP="00E83802">
            <w:pPr>
              <w:outlineLvl w:val="0"/>
              <w:rPr>
                <w:rFonts w:ascii="Meta Pro" w:eastAsia="Times New Roman" w:hAnsi="Meta Pro"/>
                <w:szCs w:val="18"/>
                <w:lang w:eastAsia="en-AU"/>
              </w:rPr>
            </w:pPr>
            <w:r w:rsidRPr="006137A5">
              <w:rPr>
                <w:rFonts w:ascii="Meta Pro" w:eastAsia="Times New Roman" w:hAnsi="Meta Pro"/>
                <w:szCs w:val="18"/>
                <w:lang w:eastAsia="en-AU"/>
              </w:rPr>
              <w:t>Increase in cash due to machinery-of-government change</w:t>
            </w:r>
          </w:p>
        </w:tc>
        <w:tc>
          <w:tcPr>
            <w:tcW w:w="1140" w:type="dxa"/>
            <w:tcBorders>
              <w:top w:val="nil"/>
              <w:left w:val="nil"/>
              <w:bottom w:val="nil"/>
              <w:right w:val="nil"/>
            </w:tcBorders>
            <w:shd w:val="clear" w:color="auto" w:fill="auto"/>
            <w:noWrap/>
            <w:vAlign w:val="center"/>
            <w:hideMark/>
          </w:tcPr>
          <w:p w14:paraId="42A8B110" w14:textId="77777777" w:rsidR="00BC5219" w:rsidRPr="006137A5" w:rsidRDefault="00BC5219" w:rsidP="00E83802">
            <w:pPr>
              <w:jc w:val="right"/>
              <w:outlineLvl w:val="0"/>
              <w:rPr>
                <w:rFonts w:ascii="Meta Pro" w:eastAsia="Times New Roman" w:hAnsi="Meta Pro"/>
                <w:szCs w:val="18"/>
                <w:lang w:eastAsia="en-AU"/>
              </w:rPr>
            </w:pPr>
            <w:r w:rsidRPr="006137A5">
              <w:rPr>
                <w:rFonts w:ascii="Meta Pro" w:eastAsia="Times New Roman" w:hAnsi="Meta Pro"/>
                <w:szCs w:val="18"/>
                <w:lang w:eastAsia="en-AU"/>
              </w:rPr>
              <w:t xml:space="preserve">- </w:t>
            </w:r>
          </w:p>
        </w:tc>
        <w:tc>
          <w:tcPr>
            <w:tcW w:w="198" w:type="dxa"/>
            <w:tcBorders>
              <w:top w:val="nil"/>
              <w:left w:val="nil"/>
              <w:bottom w:val="nil"/>
              <w:right w:val="nil"/>
            </w:tcBorders>
            <w:shd w:val="clear" w:color="auto" w:fill="auto"/>
            <w:noWrap/>
            <w:vAlign w:val="center"/>
            <w:hideMark/>
          </w:tcPr>
          <w:p w14:paraId="5C9D7CFD" w14:textId="77777777" w:rsidR="00BC5219" w:rsidRPr="006137A5" w:rsidRDefault="00BC5219" w:rsidP="00E83802">
            <w:pPr>
              <w:jc w:val="right"/>
              <w:outlineLvl w:val="0"/>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20D0EF5F" w14:textId="77777777" w:rsidR="00BC5219" w:rsidRPr="006137A5" w:rsidRDefault="00BC5219" w:rsidP="00E83802">
            <w:pPr>
              <w:jc w:val="right"/>
              <w:outlineLvl w:val="0"/>
              <w:rPr>
                <w:rFonts w:ascii="Meta Pro" w:eastAsia="Times New Roman" w:hAnsi="Meta Pro"/>
                <w:szCs w:val="18"/>
                <w:lang w:eastAsia="en-AU"/>
              </w:rPr>
            </w:pPr>
            <w:r w:rsidRPr="006137A5">
              <w:rPr>
                <w:rFonts w:ascii="Meta Pro" w:eastAsia="Times New Roman" w:hAnsi="Meta Pro"/>
                <w:szCs w:val="18"/>
                <w:lang w:eastAsia="en-AU"/>
              </w:rPr>
              <w:t xml:space="preserve">71,472 </w:t>
            </w:r>
          </w:p>
        </w:tc>
        <w:tc>
          <w:tcPr>
            <w:tcW w:w="198" w:type="dxa"/>
            <w:tcBorders>
              <w:top w:val="nil"/>
              <w:left w:val="nil"/>
              <w:bottom w:val="nil"/>
              <w:right w:val="nil"/>
            </w:tcBorders>
            <w:shd w:val="clear" w:color="auto" w:fill="auto"/>
            <w:noWrap/>
            <w:vAlign w:val="center"/>
            <w:hideMark/>
          </w:tcPr>
          <w:p w14:paraId="0A7BD3DA" w14:textId="77777777" w:rsidR="00BC5219" w:rsidRPr="006137A5" w:rsidRDefault="00BC5219" w:rsidP="00E83802">
            <w:pPr>
              <w:jc w:val="right"/>
              <w:outlineLvl w:val="0"/>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4B7AF87C" w14:textId="77777777" w:rsidR="00BC5219" w:rsidRPr="006137A5" w:rsidRDefault="00BC5219" w:rsidP="00E83802">
            <w:pPr>
              <w:jc w:val="right"/>
              <w:outlineLvl w:val="0"/>
              <w:rPr>
                <w:rFonts w:ascii="Meta Pro" w:eastAsia="Times New Roman" w:hAnsi="Meta Pro"/>
                <w:szCs w:val="18"/>
                <w:lang w:eastAsia="en-AU"/>
              </w:rPr>
            </w:pPr>
            <w:r w:rsidRPr="006137A5">
              <w:rPr>
                <w:rFonts w:ascii="Meta Pro" w:eastAsia="Times New Roman" w:hAnsi="Meta Pro"/>
                <w:szCs w:val="18"/>
                <w:lang w:eastAsia="en-AU"/>
              </w:rPr>
              <w:t xml:space="preserve">71,472 </w:t>
            </w:r>
          </w:p>
        </w:tc>
      </w:tr>
      <w:tr w:rsidR="00BC5219" w:rsidRPr="006137A5" w14:paraId="4020792E" w14:textId="77777777" w:rsidTr="00E83802">
        <w:trPr>
          <w:trHeight w:val="198"/>
        </w:trPr>
        <w:tc>
          <w:tcPr>
            <w:tcW w:w="6350" w:type="dxa"/>
            <w:tcBorders>
              <w:top w:val="nil"/>
              <w:left w:val="nil"/>
              <w:bottom w:val="nil"/>
              <w:right w:val="nil"/>
            </w:tcBorders>
            <w:shd w:val="clear" w:color="auto" w:fill="auto"/>
            <w:noWrap/>
            <w:vAlign w:val="center"/>
            <w:hideMark/>
          </w:tcPr>
          <w:p w14:paraId="3387302A" w14:textId="77777777" w:rsidR="00BC5219" w:rsidRPr="006137A5" w:rsidRDefault="00BC5219" w:rsidP="00E83802">
            <w:pPr>
              <w:outlineLvl w:val="0"/>
              <w:rPr>
                <w:rFonts w:ascii="Meta Pro" w:eastAsia="Times New Roman" w:hAnsi="Meta Pro"/>
                <w:szCs w:val="18"/>
                <w:lang w:eastAsia="en-AU"/>
              </w:rPr>
            </w:pPr>
            <w:r w:rsidRPr="006137A5">
              <w:rPr>
                <w:rFonts w:ascii="Meta Pro" w:eastAsia="Times New Roman" w:hAnsi="Meta Pro"/>
                <w:szCs w:val="18"/>
                <w:lang w:eastAsia="en-AU"/>
              </w:rPr>
              <w:t>Cash – opening balance</w:t>
            </w:r>
          </w:p>
        </w:tc>
        <w:tc>
          <w:tcPr>
            <w:tcW w:w="1140" w:type="dxa"/>
            <w:tcBorders>
              <w:top w:val="nil"/>
              <w:left w:val="nil"/>
              <w:bottom w:val="nil"/>
              <w:right w:val="nil"/>
            </w:tcBorders>
            <w:shd w:val="clear" w:color="auto" w:fill="auto"/>
            <w:noWrap/>
            <w:vAlign w:val="center"/>
            <w:hideMark/>
          </w:tcPr>
          <w:p w14:paraId="644F9445" w14:textId="77777777" w:rsidR="00BC5219" w:rsidRPr="006137A5" w:rsidRDefault="00BC5219" w:rsidP="00E83802">
            <w:pPr>
              <w:jc w:val="right"/>
              <w:outlineLvl w:val="0"/>
              <w:rPr>
                <w:rFonts w:ascii="Meta Pro" w:eastAsia="Times New Roman" w:hAnsi="Meta Pro"/>
                <w:szCs w:val="18"/>
                <w:lang w:eastAsia="en-AU"/>
              </w:rPr>
            </w:pPr>
            <w:r w:rsidRPr="006137A5">
              <w:rPr>
                <w:rFonts w:ascii="Meta Pro" w:eastAsia="Times New Roman" w:hAnsi="Meta Pro"/>
                <w:szCs w:val="18"/>
                <w:lang w:eastAsia="en-AU"/>
              </w:rPr>
              <w:t xml:space="preserve">259,207 </w:t>
            </w:r>
          </w:p>
        </w:tc>
        <w:tc>
          <w:tcPr>
            <w:tcW w:w="198" w:type="dxa"/>
            <w:tcBorders>
              <w:top w:val="nil"/>
              <w:left w:val="nil"/>
              <w:bottom w:val="nil"/>
              <w:right w:val="nil"/>
            </w:tcBorders>
            <w:shd w:val="clear" w:color="auto" w:fill="auto"/>
            <w:noWrap/>
            <w:vAlign w:val="center"/>
            <w:hideMark/>
          </w:tcPr>
          <w:p w14:paraId="5BF8132D" w14:textId="77777777" w:rsidR="00BC5219" w:rsidRPr="006137A5" w:rsidRDefault="00BC5219" w:rsidP="00E83802">
            <w:pPr>
              <w:jc w:val="right"/>
              <w:outlineLvl w:val="0"/>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570485B4" w14:textId="77777777" w:rsidR="00BC5219" w:rsidRPr="006137A5" w:rsidRDefault="00BC5219" w:rsidP="00E83802">
            <w:pPr>
              <w:jc w:val="right"/>
              <w:outlineLvl w:val="0"/>
              <w:rPr>
                <w:rFonts w:ascii="Meta Pro" w:eastAsia="Times New Roman" w:hAnsi="Meta Pro"/>
                <w:szCs w:val="18"/>
                <w:lang w:eastAsia="en-AU"/>
              </w:rPr>
            </w:pPr>
            <w:r w:rsidRPr="006137A5">
              <w:rPr>
                <w:rFonts w:ascii="Meta Pro" w:eastAsia="Times New Roman" w:hAnsi="Meta Pro"/>
                <w:szCs w:val="18"/>
                <w:lang w:eastAsia="en-AU"/>
              </w:rPr>
              <w:t xml:space="preserve">245,430 </w:t>
            </w:r>
          </w:p>
        </w:tc>
        <w:tc>
          <w:tcPr>
            <w:tcW w:w="198" w:type="dxa"/>
            <w:tcBorders>
              <w:top w:val="nil"/>
              <w:left w:val="nil"/>
              <w:bottom w:val="nil"/>
              <w:right w:val="nil"/>
            </w:tcBorders>
            <w:shd w:val="clear" w:color="auto" w:fill="auto"/>
            <w:noWrap/>
            <w:vAlign w:val="center"/>
            <w:hideMark/>
          </w:tcPr>
          <w:p w14:paraId="638A3ADB" w14:textId="77777777" w:rsidR="00BC5219" w:rsidRPr="006137A5" w:rsidRDefault="00BC5219" w:rsidP="00E83802">
            <w:pPr>
              <w:jc w:val="right"/>
              <w:outlineLvl w:val="0"/>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4900D60C" w14:textId="77777777" w:rsidR="00BC5219" w:rsidRPr="006137A5" w:rsidRDefault="00BC5219" w:rsidP="00E83802">
            <w:pPr>
              <w:jc w:val="right"/>
              <w:outlineLvl w:val="0"/>
              <w:rPr>
                <w:rFonts w:ascii="Meta Pro" w:eastAsia="Times New Roman" w:hAnsi="Meta Pro"/>
                <w:szCs w:val="18"/>
                <w:lang w:eastAsia="en-AU"/>
              </w:rPr>
            </w:pPr>
            <w:r w:rsidRPr="006137A5">
              <w:rPr>
                <w:rFonts w:ascii="Meta Pro" w:eastAsia="Times New Roman" w:hAnsi="Meta Pro"/>
                <w:szCs w:val="18"/>
                <w:lang w:eastAsia="en-AU"/>
              </w:rPr>
              <w:t>(13,777)</w:t>
            </w:r>
          </w:p>
        </w:tc>
      </w:tr>
      <w:tr w:rsidR="00BC5219" w:rsidRPr="006137A5" w14:paraId="676FAEF2" w14:textId="77777777" w:rsidTr="00E83802">
        <w:trPr>
          <w:trHeight w:val="198"/>
        </w:trPr>
        <w:tc>
          <w:tcPr>
            <w:tcW w:w="6350" w:type="dxa"/>
            <w:tcBorders>
              <w:top w:val="single" w:sz="4" w:space="0" w:color="auto"/>
              <w:left w:val="nil"/>
              <w:bottom w:val="double" w:sz="6" w:space="0" w:color="auto"/>
              <w:right w:val="nil"/>
            </w:tcBorders>
            <w:shd w:val="clear" w:color="auto" w:fill="auto"/>
            <w:noWrap/>
            <w:vAlign w:val="center"/>
            <w:hideMark/>
          </w:tcPr>
          <w:p w14:paraId="38D5A5FD" w14:textId="77777777" w:rsidR="00BC5219" w:rsidRPr="006137A5" w:rsidRDefault="00BC5219" w:rsidP="00E83802">
            <w:pPr>
              <w:outlineLvl w:val="0"/>
              <w:rPr>
                <w:rFonts w:ascii="Meta Pro" w:eastAsia="Times New Roman" w:hAnsi="Meta Pro"/>
                <w:b/>
                <w:bCs/>
                <w:szCs w:val="18"/>
                <w:lang w:eastAsia="en-AU"/>
              </w:rPr>
            </w:pPr>
            <w:r w:rsidRPr="006137A5">
              <w:rPr>
                <w:rFonts w:ascii="Meta Pro" w:eastAsia="Times New Roman" w:hAnsi="Meta Pro"/>
                <w:b/>
                <w:bCs/>
                <w:szCs w:val="18"/>
                <w:lang w:eastAsia="en-AU"/>
              </w:rPr>
              <w:t>CASH – CLOSING BALANCE</w:t>
            </w:r>
          </w:p>
        </w:tc>
        <w:tc>
          <w:tcPr>
            <w:tcW w:w="1140" w:type="dxa"/>
            <w:tcBorders>
              <w:top w:val="single" w:sz="4" w:space="0" w:color="auto"/>
              <w:left w:val="nil"/>
              <w:bottom w:val="double" w:sz="6" w:space="0" w:color="auto"/>
              <w:right w:val="nil"/>
            </w:tcBorders>
            <w:shd w:val="clear" w:color="auto" w:fill="auto"/>
            <w:noWrap/>
            <w:vAlign w:val="center"/>
            <w:hideMark/>
          </w:tcPr>
          <w:p w14:paraId="774DB14D" w14:textId="77777777" w:rsidR="00BC5219" w:rsidRPr="006137A5" w:rsidRDefault="00BC5219" w:rsidP="00E83802">
            <w:pPr>
              <w:jc w:val="right"/>
              <w:outlineLvl w:val="0"/>
              <w:rPr>
                <w:rFonts w:ascii="Meta Pro" w:eastAsia="Times New Roman" w:hAnsi="Meta Pro"/>
                <w:b/>
                <w:bCs/>
                <w:szCs w:val="18"/>
                <w:lang w:eastAsia="en-AU"/>
              </w:rPr>
            </w:pPr>
            <w:r w:rsidRPr="006137A5">
              <w:rPr>
                <w:rFonts w:ascii="Meta Pro" w:eastAsia="Times New Roman" w:hAnsi="Meta Pro"/>
                <w:b/>
                <w:bCs/>
                <w:szCs w:val="18"/>
                <w:lang w:eastAsia="en-AU"/>
              </w:rPr>
              <w:t xml:space="preserve">88,508 </w:t>
            </w:r>
          </w:p>
        </w:tc>
        <w:tc>
          <w:tcPr>
            <w:tcW w:w="198" w:type="dxa"/>
            <w:tcBorders>
              <w:top w:val="single" w:sz="4" w:space="0" w:color="auto"/>
              <w:left w:val="nil"/>
              <w:bottom w:val="double" w:sz="6" w:space="0" w:color="auto"/>
              <w:right w:val="nil"/>
            </w:tcBorders>
            <w:shd w:val="clear" w:color="auto" w:fill="auto"/>
            <w:noWrap/>
            <w:vAlign w:val="center"/>
            <w:hideMark/>
          </w:tcPr>
          <w:p w14:paraId="7A97C15E" w14:textId="77777777" w:rsidR="00BC5219" w:rsidRPr="006137A5" w:rsidRDefault="00BC5219" w:rsidP="00E83802">
            <w:pPr>
              <w:jc w:val="right"/>
              <w:outlineLvl w:val="0"/>
              <w:rPr>
                <w:rFonts w:ascii="Meta Pro" w:eastAsia="Times New Roman" w:hAnsi="Meta Pro"/>
                <w:b/>
                <w:bCs/>
                <w:szCs w:val="18"/>
                <w:lang w:eastAsia="en-AU"/>
              </w:rPr>
            </w:pPr>
            <w:r w:rsidRPr="006137A5">
              <w:rPr>
                <w:rFonts w:ascii="Meta Pro" w:eastAsia="Times New Roman" w:hAnsi="Meta Pro"/>
                <w:b/>
                <w:bCs/>
                <w:szCs w:val="18"/>
                <w:lang w:eastAsia="en-AU"/>
              </w:rPr>
              <w:t> </w:t>
            </w:r>
          </w:p>
        </w:tc>
        <w:tc>
          <w:tcPr>
            <w:tcW w:w="1140" w:type="dxa"/>
            <w:tcBorders>
              <w:top w:val="single" w:sz="4" w:space="0" w:color="auto"/>
              <w:left w:val="nil"/>
              <w:bottom w:val="double" w:sz="6" w:space="0" w:color="auto"/>
              <w:right w:val="nil"/>
            </w:tcBorders>
            <w:shd w:val="clear" w:color="auto" w:fill="auto"/>
            <w:noWrap/>
            <w:vAlign w:val="center"/>
            <w:hideMark/>
          </w:tcPr>
          <w:p w14:paraId="2AE230A8" w14:textId="77777777" w:rsidR="00BC5219" w:rsidRPr="006137A5" w:rsidRDefault="00BC5219" w:rsidP="00E83802">
            <w:pPr>
              <w:jc w:val="right"/>
              <w:outlineLvl w:val="0"/>
              <w:rPr>
                <w:rFonts w:ascii="Meta Pro" w:eastAsia="Times New Roman" w:hAnsi="Meta Pro"/>
                <w:b/>
                <w:bCs/>
                <w:szCs w:val="18"/>
                <w:lang w:eastAsia="en-AU"/>
              </w:rPr>
            </w:pPr>
            <w:r w:rsidRPr="006137A5">
              <w:rPr>
                <w:rFonts w:ascii="Meta Pro" w:eastAsia="Times New Roman" w:hAnsi="Meta Pro"/>
                <w:b/>
                <w:bCs/>
                <w:szCs w:val="18"/>
                <w:lang w:eastAsia="en-AU"/>
              </w:rPr>
              <w:t xml:space="preserve">670,102 </w:t>
            </w:r>
          </w:p>
        </w:tc>
        <w:tc>
          <w:tcPr>
            <w:tcW w:w="198" w:type="dxa"/>
            <w:tcBorders>
              <w:top w:val="single" w:sz="4" w:space="0" w:color="auto"/>
              <w:left w:val="nil"/>
              <w:bottom w:val="double" w:sz="6" w:space="0" w:color="auto"/>
              <w:right w:val="nil"/>
            </w:tcBorders>
            <w:shd w:val="clear" w:color="auto" w:fill="auto"/>
            <w:noWrap/>
            <w:vAlign w:val="center"/>
            <w:hideMark/>
          </w:tcPr>
          <w:p w14:paraId="42715A19" w14:textId="77777777" w:rsidR="00BC5219" w:rsidRPr="006137A5" w:rsidRDefault="00BC5219" w:rsidP="00E83802">
            <w:pPr>
              <w:jc w:val="right"/>
              <w:outlineLvl w:val="0"/>
              <w:rPr>
                <w:rFonts w:ascii="Meta Pro" w:eastAsia="Times New Roman" w:hAnsi="Meta Pro"/>
                <w:b/>
                <w:bCs/>
                <w:szCs w:val="18"/>
                <w:lang w:eastAsia="en-AU"/>
              </w:rPr>
            </w:pPr>
            <w:r w:rsidRPr="006137A5">
              <w:rPr>
                <w:rFonts w:ascii="Meta Pro" w:eastAsia="Times New Roman" w:hAnsi="Meta Pro"/>
                <w:b/>
                <w:bCs/>
                <w:szCs w:val="18"/>
                <w:lang w:eastAsia="en-AU"/>
              </w:rPr>
              <w:t> </w:t>
            </w:r>
          </w:p>
        </w:tc>
        <w:tc>
          <w:tcPr>
            <w:tcW w:w="1140" w:type="dxa"/>
            <w:tcBorders>
              <w:top w:val="single" w:sz="4" w:space="0" w:color="auto"/>
              <w:left w:val="nil"/>
              <w:bottom w:val="double" w:sz="6" w:space="0" w:color="auto"/>
              <w:right w:val="nil"/>
            </w:tcBorders>
            <w:shd w:val="clear" w:color="auto" w:fill="auto"/>
            <w:noWrap/>
            <w:vAlign w:val="center"/>
            <w:hideMark/>
          </w:tcPr>
          <w:p w14:paraId="119A4C59" w14:textId="77777777" w:rsidR="00BC5219" w:rsidRPr="006137A5" w:rsidRDefault="00BC5219" w:rsidP="00E83802">
            <w:pPr>
              <w:jc w:val="right"/>
              <w:outlineLvl w:val="0"/>
              <w:rPr>
                <w:rFonts w:ascii="Meta Pro" w:eastAsia="Times New Roman" w:hAnsi="Meta Pro"/>
                <w:b/>
                <w:bCs/>
                <w:szCs w:val="18"/>
                <w:lang w:eastAsia="en-AU"/>
              </w:rPr>
            </w:pPr>
            <w:r w:rsidRPr="006137A5">
              <w:rPr>
                <w:rFonts w:ascii="Meta Pro" w:eastAsia="Times New Roman" w:hAnsi="Meta Pro"/>
                <w:b/>
                <w:bCs/>
                <w:szCs w:val="18"/>
                <w:lang w:eastAsia="en-AU"/>
              </w:rPr>
              <w:t xml:space="preserve">581,594 </w:t>
            </w:r>
          </w:p>
        </w:tc>
      </w:tr>
    </w:tbl>
    <w:p w14:paraId="42977818" w14:textId="77777777" w:rsidR="00BC5219" w:rsidRDefault="00BC5219" w:rsidP="00BC5219">
      <w:pPr>
        <w:spacing w:before="120" w:line="259" w:lineRule="auto"/>
        <w:rPr>
          <w:rFonts w:ascii="Meta Pro" w:eastAsia="Times New Roman" w:hAnsi="Meta Pro"/>
          <w:b/>
          <w:bCs/>
          <w:color w:val="000000"/>
          <w:szCs w:val="18"/>
          <w:lang w:eastAsia="en-AU"/>
        </w:rPr>
      </w:pPr>
      <w:r w:rsidRPr="008A2B8F">
        <w:rPr>
          <w:rFonts w:ascii="Meta Pro" w:eastAsia="Times New Roman" w:hAnsi="Meta Pro"/>
          <w:b/>
          <w:bCs/>
          <w:color w:val="000000"/>
          <w:szCs w:val="18"/>
          <w:lang w:eastAsia="en-AU"/>
        </w:rPr>
        <w:t>Explanation of major variances</w:t>
      </w:r>
    </w:p>
    <w:p w14:paraId="47E70610" w14:textId="77777777" w:rsidR="00BC5219" w:rsidRPr="00555E1F" w:rsidRDefault="00BC5219" w:rsidP="00BC5219">
      <w:pPr>
        <w:spacing w:before="120" w:line="259" w:lineRule="auto"/>
        <w:rPr>
          <w:rFonts w:ascii="Meta Pro" w:eastAsia="Times New Roman" w:hAnsi="Meta Pro"/>
          <w:b/>
          <w:bCs/>
          <w:i/>
          <w:iCs/>
          <w:color w:val="000000"/>
          <w:szCs w:val="18"/>
          <w:lang w:eastAsia="en-AU"/>
        </w:rPr>
      </w:pPr>
      <w:r w:rsidRPr="00555E1F">
        <w:rPr>
          <w:rFonts w:ascii="Meta Pro" w:eastAsia="Times New Roman" w:hAnsi="Meta Pro"/>
          <w:b/>
          <w:bCs/>
          <w:i/>
          <w:iCs/>
          <w:color w:val="000000"/>
          <w:szCs w:val="18"/>
          <w:lang w:eastAsia="en-AU"/>
        </w:rPr>
        <w:t>User charges and fees</w:t>
      </w:r>
    </w:p>
    <w:p w14:paraId="04E06962" w14:textId="77777777" w:rsidR="00BC5219" w:rsidRPr="00555E1F" w:rsidRDefault="00BC5219" w:rsidP="00BC5219">
      <w:pPr>
        <w:spacing w:line="259" w:lineRule="auto"/>
        <w:rPr>
          <w:rFonts w:ascii="Meta Pro" w:eastAsia="Times New Roman" w:hAnsi="Meta Pro"/>
          <w:color w:val="000000"/>
          <w:szCs w:val="18"/>
          <w:lang w:eastAsia="en-AU"/>
        </w:rPr>
      </w:pPr>
      <w:r w:rsidRPr="00555E1F">
        <w:rPr>
          <w:rFonts w:ascii="Meta Pro" w:eastAsia="Times New Roman" w:hAnsi="Meta Pro"/>
          <w:color w:val="000000"/>
          <w:szCs w:val="18"/>
          <w:lang w:eastAsia="en-AU"/>
        </w:rPr>
        <w:t>Variance of $1</w:t>
      </w:r>
      <w:r>
        <w:rPr>
          <w:rFonts w:ascii="Meta Pro" w:eastAsia="Times New Roman" w:hAnsi="Meta Pro"/>
          <w:color w:val="000000"/>
          <w:szCs w:val="18"/>
          <w:lang w:eastAsia="en-AU"/>
        </w:rPr>
        <w:t>51.905</w:t>
      </w:r>
      <w:r w:rsidRPr="00555E1F">
        <w:rPr>
          <w:rFonts w:ascii="Meta Pro" w:eastAsia="Times New Roman" w:hAnsi="Meta Pro"/>
          <w:color w:val="000000"/>
          <w:szCs w:val="18"/>
          <w:lang w:eastAsia="en-AU"/>
        </w:rPr>
        <w:t>m to budget is mainly explained by the following:</w:t>
      </w:r>
    </w:p>
    <w:p w14:paraId="303798B6" w14:textId="77777777" w:rsidR="00BC5219" w:rsidRPr="00555E1F" w:rsidRDefault="00BC5219" w:rsidP="00BC5219">
      <w:pPr>
        <w:rPr>
          <w:rFonts w:ascii="Meta Pro" w:eastAsia="Times New Roman" w:hAnsi="Meta Pro"/>
          <w:color w:val="000000"/>
          <w:szCs w:val="18"/>
          <w:lang w:eastAsia="en-AU"/>
        </w:rPr>
      </w:pPr>
      <w:r w:rsidRPr="00555E1F">
        <w:rPr>
          <w:rFonts w:ascii="Meta Pro" w:eastAsia="Times New Roman" w:hAnsi="Meta Pro"/>
          <w:color w:val="000000"/>
          <w:szCs w:val="18"/>
          <w:lang w:eastAsia="en-AU"/>
        </w:rPr>
        <w:t>• $41.400m reflects the accrual of grant revenue from Queensland Reconstruction Authority relating to the natural disaster events</w:t>
      </w:r>
    </w:p>
    <w:p w14:paraId="5FEA5C3A" w14:textId="77777777" w:rsidR="00BC5219" w:rsidRPr="00555E1F" w:rsidRDefault="00BC5219" w:rsidP="00BC5219">
      <w:pPr>
        <w:rPr>
          <w:rFonts w:ascii="Meta Pro" w:eastAsia="Times New Roman" w:hAnsi="Meta Pro"/>
          <w:color w:val="000000"/>
          <w:szCs w:val="18"/>
          <w:lang w:eastAsia="en-AU"/>
        </w:rPr>
      </w:pPr>
      <w:r w:rsidRPr="00555E1F">
        <w:rPr>
          <w:rFonts w:ascii="Meta Pro" w:eastAsia="Times New Roman" w:hAnsi="Meta Pro"/>
          <w:color w:val="000000"/>
          <w:szCs w:val="18"/>
          <w:lang w:eastAsia="en-AU"/>
        </w:rPr>
        <w:t>• $21.517m higher than anticipated personalised plates sales</w:t>
      </w:r>
    </w:p>
    <w:p w14:paraId="3CE0FC4E" w14:textId="77777777" w:rsidR="00BC5219" w:rsidRPr="00555E1F" w:rsidRDefault="00BC5219" w:rsidP="00BC5219">
      <w:pPr>
        <w:rPr>
          <w:rFonts w:ascii="Meta Pro" w:eastAsia="Times New Roman" w:hAnsi="Meta Pro"/>
          <w:color w:val="000000"/>
          <w:szCs w:val="18"/>
          <w:lang w:eastAsia="en-AU"/>
        </w:rPr>
      </w:pPr>
      <w:r w:rsidRPr="00555E1F">
        <w:rPr>
          <w:rFonts w:ascii="Meta Pro" w:eastAsia="Times New Roman" w:hAnsi="Meta Pro"/>
          <w:color w:val="000000"/>
          <w:szCs w:val="18"/>
          <w:lang w:eastAsia="en-AU"/>
        </w:rPr>
        <w:lastRenderedPageBreak/>
        <w:t>• $19.367m higher than anticipated fare revenue due to increase in patronage after the COVID-19 pandemic</w:t>
      </w:r>
    </w:p>
    <w:p w14:paraId="1E3C1102" w14:textId="77777777" w:rsidR="00BC5219" w:rsidRPr="00555E1F" w:rsidRDefault="00BC5219" w:rsidP="00BC5219">
      <w:pPr>
        <w:rPr>
          <w:rFonts w:ascii="Meta Pro" w:eastAsia="Times New Roman" w:hAnsi="Meta Pro"/>
          <w:color w:val="000000"/>
          <w:szCs w:val="18"/>
          <w:lang w:eastAsia="en-AU"/>
        </w:rPr>
      </w:pPr>
      <w:r w:rsidRPr="00555E1F">
        <w:rPr>
          <w:rFonts w:ascii="Meta Pro" w:eastAsia="Times New Roman" w:hAnsi="Meta Pro"/>
          <w:color w:val="000000"/>
          <w:szCs w:val="18"/>
          <w:lang w:eastAsia="en-AU"/>
        </w:rPr>
        <w:t>• $7.416m higher than anticipated pilotage fees received</w:t>
      </w:r>
    </w:p>
    <w:p w14:paraId="016536F2" w14:textId="77777777" w:rsidR="00BC5219" w:rsidRPr="00555E1F" w:rsidRDefault="00BC5219" w:rsidP="00BC5219">
      <w:pPr>
        <w:rPr>
          <w:rFonts w:ascii="Meta Pro" w:eastAsia="Times New Roman" w:hAnsi="Meta Pro"/>
          <w:color w:val="000000"/>
          <w:szCs w:val="18"/>
          <w:lang w:eastAsia="en-AU"/>
        </w:rPr>
      </w:pPr>
      <w:r w:rsidRPr="00555E1F">
        <w:rPr>
          <w:rFonts w:ascii="Meta Pro" w:eastAsia="Times New Roman" w:hAnsi="Meta Pro"/>
          <w:color w:val="000000"/>
          <w:szCs w:val="18"/>
          <w:lang w:eastAsia="en-AU"/>
        </w:rPr>
        <w:t>• $5.715m for Inland Rail project land acquisition contributions and cost recovery</w:t>
      </w:r>
    </w:p>
    <w:p w14:paraId="22F9A4C1" w14:textId="77777777" w:rsidR="00BC5219" w:rsidRDefault="00BC5219" w:rsidP="00BC5219">
      <w:pPr>
        <w:rPr>
          <w:rFonts w:ascii="Meta Pro" w:eastAsia="Times New Roman" w:hAnsi="Meta Pro"/>
          <w:color w:val="000000"/>
          <w:szCs w:val="18"/>
          <w:lang w:eastAsia="en-AU"/>
        </w:rPr>
      </w:pPr>
      <w:r w:rsidRPr="00555E1F">
        <w:rPr>
          <w:rFonts w:ascii="Meta Pro" w:eastAsia="Times New Roman" w:hAnsi="Meta Pro"/>
          <w:color w:val="000000"/>
          <w:szCs w:val="18"/>
          <w:lang w:eastAsia="en-AU"/>
        </w:rPr>
        <w:t>• $4.277m higher than anticipated revenue from recoverable works including cash contributions from local government for the Gold</w:t>
      </w:r>
    </w:p>
    <w:p w14:paraId="5E32347D" w14:textId="77777777" w:rsidR="00BC5219" w:rsidRPr="00555E1F" w:rsidRDefault="00BC5219" w:rsidP="00BC5219">
      <w:pPr>
        <w:rPr>
          <w:rFonts w:ascii="Meta Pro" w:eastAsia="Times New Roman" w:hAnsi="Meta Pro"/>
          <w:color w:val="000000"/>
          <w:szCs w:val="18"/>
          <w:lang w:eastAsia="en-AU"/>
        </w:rPr>
      </w:pPr>
      <w:r>
        <w:rPr>
          <w:rFonts w:ascii="Meta Pro" w:eastAsia="Times New Roman" w:hAnsi="Meta Pro"/>
          <w:color w:val="000000"/>
          <w:szCs w:val="18"/>
          <w:lang w:eastAsia="en-AU"/>
        </w:rPr>
        <w:t xml:space="preserve">    </w:t>
      </w:r>
      <w:r w:rsidRPr="00555E1F">
        <w:rPr>
          <w:rFonts w:ascii="Meta Pro" w:eastAsia="Times New Roman" w:hAnsi="Meta Pro"/>
          <w:color w:val="000000"/>
          <w:szCs w:val="18"/>
          <w:lang w:eastAsia="en-AU"/>
        </w:rPr>
        <w:t>Coast Light Rail Stage 3 project and various QTRIP projects</w:t>
      </w:r>
    </w:p>
    <w:p w14:paraId="4714837A" w14:textId="77777777" w:rsidR="00BC5219" w:rsidRPr="008A2B8F" w:rsidRDefault="00BC5219" w:rsidP="00BC5219">
      <w:pPr>
        <w:rPr>
          <w:rFonts w:ascii="Meta Pro" w:eastAsia="Times New Roman" w:hAnsi="Meta Pro"/>
          <w:color w:val="000000"/>
          <w:szCs w:val="18"/>
          <w:lang w:eastAsia="en-AU"/>
        </w:rPr>
      </w:pPr>
      <w:r w:rsidRPr="008A2B8F">
        <w:rPr>
          <w:rFonts w:ascii="Meta Pro" w:eastAsia="Times New Roman" w:hAnsi="Meta Pro"/>
          <w:color w:val="000000"/>
          <w:szCs w:val="18"/>
          <w:lang w:eastAsia="en-AU"/>
        </w:rPr>
        <w:t>• $2.730m for Brisbane Metro project cost recoveries</w:t>
      </w:r>
    </w:p>
    <w:p w14:paraId="7904BC3A" w14:textId="77777777" w:rsidR="00BC5219" w:rsidRDefault="00BC5219" w:rsidP="00BC5219">
      <w:pPr>
        <w:rPr>
          <w:rFonts w:ascii="Meta Pro" w:eastAsia="Times New Roman" w:hAnsi="Meta Pro"/>
          <w:color w:val="000000"/>
          <w:szCs w:val="18"/>
          <w:lang w:eastAsia="en-AU"/>
        </w:rPr>
      </w:pPr>
      <w:r w:rsidRPr="008A2B8F">
        <w:rPr>
          <w:rFonts w:ascii="Meta Pro" w:eastAsia="Times New Roman" w:hAnsi="Meta Pro"/>
          <w:color w:val="000000"/>
          <w:szCs w:val="18"/>
          <w:lang w:eastAsia="en-AU"/>
        </w:rPr>
        <w:t xml:space="preserve">• $32.258m relating to QGCDG revenues which had not been allocated in the original Department of Transport and Main Roads </w:t>
      </w:r>
    </w:p>
    <w:p w14:paraId="45B60644" w14:textId="77777777" w:rsidR="00BC5219" w:rsidRPr="008A2B8F" w:rsidRDefault="00BC5219" w:rsidP="00BC5219">
      <w:pPr>
        <w:rPr>
          <w:rFonts w:ascii="Meta Pro" w:eastAsia="Times New Roman" w:hAnsi="Meta Pro"/>
          <w:color w:val="000000"/>
          <w:szCs w:val="18"/>
          <w:lang w:eastAsia="en-AU"/>
        </w:rPr>
      </w:pPr>
      <w:r>
        <w:rPr>
          <w:rFonts w:ascii="Meta Pro" w:eastAsia="Times New Roman" w:hAnsi="Meta Pro"/>
          <w:color w:val="000000"/>
          <w:szCs w:val="18"/>
          <w:lang w:eastAsia="en-AU"/>
        </w:rPr>
        <w:t xml:space="preserve">    </w:t>
      </w:r>
      <w:r w:rsidRPr="008A2B8F">
        <w:rPr>
          <w:rFonts w:ascii="Meta Pro" w:eastAsia="Times New Roman" w:hAnsi="Meta Pro"/>
          <w:color w:val="000000"/>
          <w:szCs w:val="18"/>
          <w:lang w:eastAsia="en-AU"/>
        </w:rPr>
        <w:t xml:space="preserve">budget due to budget development occurring prior to the 18 May 2023 machinery-of-government change. </w:t>
      </w:r>
    </w:p>
    <w:p w14:paraId="731B28A8" w14:textId="77777777" w:rsidR="00BC5219" w:rsidRPr="008A2B8F" w:rsidRDefault="00BC5219" w:rsidP="00BC5219">
      <w:pPr>
        <w:spacing w:before="120" w:line="259" w:lineRule="auto"/>
        <w:rPr>
          <w:rFonts w:ascii="Meta Pro" w:eastAsia="Times New Roman" w:hAnsi="Meta Pro"/>
          <w:b/>
          <w:bCs/>
          <w:i/>
          <w:iCs/>
          <w:color w:val="000000"/>
          <w:szCs w:val="18"/>
          <w:lang w:eastAsia="en-AU"/>
        </w:rPr>
      </w:pPr>
      <w:r w:rsidRPr="008A2B8F">
        <w:rPr>
          <w:rFonts w:ascii="Meta Pro" w:eastAsia="Times New Roman" w:hAnsi="Meta Pro"/>
          <w:b/>
          <w:bCs/>
          <w:i/>
          <w:iCs/>
          <w:color w:val="000000"/>
          <w:szCs w:val="18"/>
          <w:lang w:eastAsia="en-AU"/>
        </w:rPr>
        <w:t>Grants and other contributions</w:t>
      </w:r>
    </w:p>
    <w:p w14:paraId="73F39995" w14:textId="77777777" w:rsidR="00BC5219" w:rsidRPr="008A2B8F" w:rsidRDefault="00BC5219" w:rsidP="00BC5219">
      <w:pPr>
        <w:spacing w:line="259" w:lineRule="auto"/>
        <w:rPr>
          <w:rFonts w:ascii="Meta Pro" w:eastAsia="Times New Roman" w:hAnsi="Meta Pro"/>
          <w:color w:val="000000"/>
          <w:szCs w:val="18"/>
          <w:lang w:eastAsia="en-AU"/>
        </w:rPr>
      </w:pPr>
      <w:r w:rsidRPr="008A2B8F">
        <w:rPr>
          <w:rFonts w:ascii="Meta Pro" w:eastAsia="Times New Roman" w:hAnsi="Meta Pro"/>
          <w:color w:val="000000"/>
          <w:szCs w:val="18"/>
          <w:lang w:eastAsia="en-AU"/>
        </w:rPr>
        <w:t>Variance of $37.727m mainly reflects:</w:t>
      </w:r>
    </w:p>
    <w:p w14:paraId="6357E057" w14:textId="77777777" w:rsidR="00BC5219" w:rsidRPr="008A2B8F" w:rsidRDefault="00BC5219" w:rsidP="00BC5219">
      <w:pPr>
        <w:spacing w:line="259" w:lineRule="auto"/>
        <w:rPr>
          <w:rFonts w:ascii="Meta Pro" w:eastAsia="Times New Roman" w:hAnsi="Meta Pro"/>
          <w:color w:val="000000"/>
          <w:szCs w:val="18"/>
          <w:lang w:eastAsia="en-AU"/>
        </w:rPr>
      </w:pPr>
      <w:r w:rsidRPr="008A2B8F">
        <w:rPr>
          <w:rFonts w:ascii="Meta Pro" w:eastAsia="Times New Roman" w:hAnsi="Meta Pro"/>
          <w:color w:val="000000"/>
          <w:szCs w:val="18"/>
          <w:lang w:eastAsia="en-AU"/>
        </w:rPr>
        <w:t>• $27.462m higher than anticipated reimbursements from the Queensland Reconstruction Authority relating to a timing issue</w:t>
      </w:r>
    </w:p>
    <w:p w14:paraId="3D464325" w14:textId="77777777" w:rsidR="00BC5219" w:rsidRPr="008A2B8F" w:rsidRDefault="00BC5219" w:rsidP="00BC5219">
      <w:pPr>
        <w:spacing w:line="259" w:lineRule="auto"/>
        <w:rPr>
          <w:rFonts w:ascii="Meta Pro" w:eastAsia="Times New Roman" w:hAnsi="Meta Pro"/>
          <w:color w:val="000000"/>
          <w:szCs w:val="18"/>
          <w:lang w:eastAsia="en-AU"/>
        </w:rPr>
      </w:pPr>
      <w:r w:rsidRPr="008A2B8F">
        <w:rPr>
          <w:rFonts w:ascii="Meta Pro" w:eastAsia="Times New Roman" w:hAnsi="Meta Pro"/>
          <w:color w:val="000000"/>
          <w:szCs w:val="18"/>
          <w:lang w:eastAsia="en-AU"/>
        </w:rPr>
        <w:t>• $6.688m for the National Partnership Agreement reimbursement for COVID-19 cleaning cost from Queensland Health.</w:t>
      </w:r>
    </w:p>
    <w:p w14:paraId="4B8ABE9A" w14:textId="77777777" w:rsidR="00BC5219" w:rsidRPr="008A2B8F" w:rsidRDefault="00BC5219" w:rsidP="00BC5219">
      <w:pPr>
        <w:spacing w:before="120" w:line="259" w:lineRule="auto"/>
        <w:rPr>
          <w:rFonts w:ascii="Meta Pro" w:eastAsia="Times New Roman" w:hAnsi="Meta Pro"/>
          <w:b/>
          <w:bCs/>
          <w:i/>
          <w:iCs/>
          <w:color w:val="000000"/>
          <w:szCs w:val="18"/>
          <w:lang w:eastAsia="en-AU"/>
        </w:rPr>
      </w:pPr>
      <w:r w:rsidRPr="008A2B8F">
        <w:rPr>
          <w:rFonts w:ascii="Meta Pro" w:eastAsia="Times New Roman" w:hAnsi="Meta Pro"/>
          <w:b/>
          <w:bCs/>
          <w:i/>
          <w:iCs/>
          <w:color w:val="000000"/>
          <w:szCs w:val="18"/>
          <w:lang w:eastAsia="en-AU"/>
        </w:rPr>
        <w:t>GST input tax credits from ATO</w:t>
      </w:r>
    </w:p>
    <w:p w14:paraId="24BF03D2" w14:textId="77777777" w:rsidR="00BC5219" w:rsidRPr="008A2B8F" w:rsidRDefault="00BC5219" w:rsidP="00BC5219">
      <w:pPr>
        <w:spacing w:line="259" w:lineRule="auto"/>
        <w:rPr>
          <w:rFonts w:ascii="Meta Pro" w:eastAsia="Times New Roman" w:hAnsi="Meta Pro"/>
          <w:color w:val="000000"/>
          <w:szCs w:val="18"/>
          <w:lang w:eastAsia="en-AU"/>
        </w:rPr>
      </w:pPr>
      <w:r w:rsidRPr="008A2B8F">
        <w:rPr>
          <w:rFonts w:ascii="Meta Pro" w:eastAsia="Times New Roman" w:hAnsi="Meta Pro"/>
          <w:color w:val="000000"/>
          <w:szCs w:val="18"/>
          <w:lang w:eastAsia="en-AU"/>
        </w:rPr>
        <w:t>Variance of $276.094m is mainly due to variability of the timing, value and payment of invoices issued to and received from external parties.</w:t>
      </w:r>
    </w:p>
    <w:p w14:paraId="4F025C04" w14:textId="77777777" w:rsidR="00BC5219" w:rsidRDefault="00BC5219" w:rsidP="00BC5219">
      <w:pPr>
        <w:spacing w:before="120" w:line="259" w:lineRule="auto"/>
        <w:rPr>
          <w:rFonts w:ascii="Meta Pro" w:eastAsia="Times New Roman" w:hAnsi="Meta Pro"/>
          <w:b/>
          <w:bCs/>
          <w:i/>
          <w:iCs/>
          <w:color w:val="000000"/>
          <w:szCs w:val="18"/>
          <w:lang w:eastAsia="en-AU"/>
        </w:rPr>
      </w:pPr>
    </w:p>
    <w:p w14:paraId="2890DF4B" w14:textId="77777777" w:rsidR="00BC5219" w:rsidRDefault="00BC5219" w:rsidP="00BC5219">
      <w:pPr>
        <w:spacing w:before="120" w:line="259" w:lineRule="auto"/>
        <w:rPr>
          <w:rFonts w:ascii="Meta Pro" w:eastAsia="Times New Roman" w:hAnsi="Meta Pro"/>
          <w:b/>
          <w:bCs/>
          <w:i/>
          <w:iCs/>
          <w:color w:val="000000"/>
          <w:szCs w:val="18"/>
          <w:lang w:eastAsia="en-AU"/>
        </w:rPr>
      </w:pPr>
    </w:p>
    <w:p w14:paraId="58D311EB" w14:textId="77777777" w:rsidR="00BC5219" w:rsidRDefault="00BC5219" w:rsidP="00BC5219">
      <w:pPr>
        <w:spacing w:line="259" w:lineRule="auto"/>
        <w:rPr>
          <w:rFonts w:ascii="Meta Pro" w:eastAsia="Times New Roman" w:hAnsi="Meta Pro"/>
          <w:i/>
          <w:iCs/>
          <w:color w:val="000000" w:themeColor="text1"/>
          <w:lang w:eastAsia="en-AU"/>
        </w:rPr>
      </w:pPr>
    </w:p>
    <w:p w14:paraId="34633DC3" w14:textId="77777777" w:rsidR="00BC5219" w:rsidRDefault="00BC5219" w:rsidP="00BC5219">
      <w:pPr>
        <w:spacing w:line="259" w:lineRule="auto"/>
        <w:rPr>
          <w:rFonts w:ascii="Meta Pro" w:eastAsia="Times New Roman" w:hAnsi="Meta Pro"/>
          <w:i/>
          <w:iCs/>
          <w:color w:val="000000" w:themeColor="text1"/>
          <w:lang w:eastAsia="en-AU"/>
        </w:rPr>
      </w:pPr>
    </w:p>
    <w:p w14:paraId="5E453010" w14:textId="77777777" w:rsidR="00BC5219" w:rsidRPr="008A2B8F" w:rsidRDefault="00BC5219" w:rsidP="00BC5219">
      <w:pPr>
        <w:spacing w:line="259" w:lineRule="auto"/>
        <w:rPr>
          <w:rFonts w:ascii="Meta Pro" w:eastAsia="Times New Roman" w:hAnsi="Meta Pro"/>
          <w:b/>
          <w:bCs/>
          <w:color w:val="000000"/>
          <w:lang w:eastAsia="en-AU"/>
        </w:rPr>
      </w:pPr>
      <w:r w:rsidRPr="008A2B8F">
        <w:rPr>
          <w:rFonts w:ascii="Meta Pro" w:eastAsia="Times New Roman" w:hAnsi="Meta Pro"/>
          <w:i/>
          <w:iCs/>
          <w:color w:val="000000" w:themeColor="text1"/>
          <w:lang w:eastAsia="en-AU"/>
        </w:rPr>
        <w:t>Department of Transport and Main Roads</w:t>
      </w:r>
    </w:p>
    <w:p w14:paraId="1F51C7EE"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Notes to the financial statements 2022–23 (continued)</w:t>
      </w:r>
      <w:r w:rsidRPr="008A2B8F">
        <w:rPr>
          <w:rFonts w:ascii="Meta Pro" w:hAnsi="Meta Pro"/>
        </w:rPr>
        <w:t xml:space="preserve"> </w:t>
      </w:r>
    </w:p>
    <w:p w14:paraId="1F6FC171" w14:textId="77777777" w:rsidR="00BC5219" w:rsidRDefault="00BC5219" w:rsidP="00BC5219">
      <w:pPr>
        <w:spacing w:line="259" w:lineRule="auto"/>
        <w:rPr>
          <w:rFonts w:ascii="Meta Pro" w:eastAsia="Times New Roman" w:hAnsi="Meta Pro"/>
          <w:b/>
          <w:bCs/>
          <w:color w:val="000000"/>
          <w:lang w:eastAsia="en-AU"/>
        </w:rPr>
      </w:pPr>
    </w:p>
    <w:p w14:paraId="1D5CC692" w14:textId="77777777" w:rsidR="00BC5219" w:rsidRPr="008A2B8F" w:rsidRDefault="00BC5219" w:rsidP="00BC5219">
      <w:pPr>
        <w:spacing w:after="120" w:line="259" w:lineRule="auto"/>
        <w:rPr>
          <w:rFonts w:ascii="Meta Pro" w:eastAsia="Times New Roman" w:hAnsi="Meta Pro"/>
          <w:b/>
          <w:bCs/>
          <w:color w:val="000000"/>
          <w:lang w:eastAsia="en-AU"/>
        </w:rPr>
      </w:pPr>
      <w:r w:rsidRPr="008A2B8F">
        <w:rPr>
          <w:rFonts w:ascii="Meta Pro" w:eastAsia="Times New Roman" w:hAnsi="Meta Pro"/>
          <w:b/>
          <w:bCs/>
          <w:color w:val="000000"/>
          <w:lang w:eastAsia="en-AU"/>
        </w:rPr>
        <w:t>30     BUDGETARY REPORTING (continued)</w:t>
      </w:r>
    </w:p>
    <w:p w14:paraId="0B3AA390" w14:textId="77777777" w:rsidR="00BC5219" w:rsidRPr="008A2B8F" w:rsidRDefault="00BC5219" w:rsidP="00BC5219">
      <w:pPr>
        <w:spacing w:before="120" w:line="259" w:lineRule="auto"/>
        <w:rPr>
          <w:rFonts w:ascii="Meta Pro" w:eastAsia="Times New Roman" w:hAnsi="Meta Pro"/>
          <w:b/>
          <w:bCs/>
          <w:color w:val="000000"/>
          <w:szCs w:val="18"/>
          <w:lang w:eastAsia="en-AU"/>
        </w:rPr>
      </w:pPr>
      <w:r w:rsidRPr="008A2B8F">
        <w:rPr>
          <w:rFonts w:ascii="Meta Pro" w:eastAsia="Times New Roman" w:hAnsi="Meta Pro"/>
          <w:b/>
          <w:bCs/>
          <w:color w:val="000000"/>
          <w:szCs w:val="18"/>
          <w:lang w:eastAsia="en-AU"/>
        </w:rPr>
        <w:t>STATEMENT OF CASH FLOWS (continued)</w:t>
      </w:r>
    </w:p>
    <w:p w14:paraId="63A17A97" w14:textId="77777777" w:rsidR="00BC5219" w:rsidRDefault="00BC5219" w:rsidP="00BC5219">
      <w:pPr>
        <w:spacing w:before="120" w:line="259" w:lineRule="auto"/>
        <w:rPr>
          <w:rFonts w:ascii="Meta Pro" w:eastAsia="Times New Roman" w:hAnsi="Meta Pro"/>
          <w:b/>
          <w:bCs/>
          <w:color w:val="000000"/>
          <w:szCs w:val="18"/>
          <w:lang w:eastAsia="en-AU"/>
        </w:rPr>
      </w:pPr>
      <w:r w:rsidRPr="008A2B8F">
        <w:rPr>
          <w:rFonts w:ascii="Meta Pro" w:eastAsia="Times New Roman" w:hAnsi="Meta Pro"/>
          <w:b/>
          <w:bCs/>
          <w:color w:val="000000"/>
          <w:szCs w:val="18"/>
          <w:lang w:eastAsia="en-AU"/>
        </w:rPr>
        <w:t>Explanation of major variances</w:t>
      </w:r>
      <w:r>
        <w:rPr>
          <w:rFonts w:ascii="Meta Pro" w:eastAsia="Times New Roman" w:hAnsi="Meta Pro"/>
          <w:b/>
          <w:bCs/>
          <w:color w:val="000000"/>
          <w:szCs w:val="18"/>
          <w:lang w:eastAsia="en-AU"/>
        </w:rPr>
        <w:t xml:space="preserve"> </w:t>
      </w:r>
      <w:r w:rsidRPr="008A2B8F">
        <w:rPr>
          <w:rFonts w:ascii="Meta Pro" w:eastAsia="Times New Roman" w:hAnsi="Meta Pro"/>
          <w:b/>
          <w:bCs/>
          <w:color w:val="000000"/>
          <w:szCs w:val="18"/>
          <w:lang w:eastAsia="en-AU"/>
        </w:rPr>
        <w:t>(continued)</w:t>
      </w:r>
    </w:p>
    <w:p w14:paraId="44E8E44C" w14:textId="77777777" w:rsidR="00BC5219" w:rsidRPr="008A2B8F" w:rsidRDefault="00BC5219" w:rsidP="00BC5219">
      <w:pPr>
        <w:spacing w:before="120" w:line="259" w:lineRule="auto"/>
        <w:rPr>
          <w:rFonts w:ascii="Meta Pro" w:eastAsia="Times New Roman" w:hAnsi="Meta Pro"/>
          <w:b/>
          <w:bCs/>
          <w:i/>
          <w:iCs/>
          <w:color w:val="000000"/>
          <w:szCs w:val="18"/>
          <w:lang w:eastAsia="en-AU"/>
        </w:rPr>
      </w:pPr>
      <w:r w:rsidRPr="008A2B8F">
        <w:rPr>
          <w:rFonts w:ascii="Meta Pro" w:eastAsia="Times New Roman" w:hAnsi="Meta Pro"/>
          <w:b/>
          <w:bCs/>
          <w:i/>
          <w:iCs/>
          <w:color w:val="000000"/>
          <w:szCs w:val="18"/>
          <w:lang w:eastAsia="en-AU"/>
        </w:rPr>
        <w:t>GST paid to suppliers</w:t>
      </w:r>
    </w:p>
    <w:p w14:paraId="358B1199" w14:textId="77777777" w:rsidR="00BC5219" w:rsidRPr="008A2B8F" w:rsidRDefault="00BC5219" w:rsidP="00BC5219">
      <w:pPr>
        <w:spacing w:line="259" w:lineRule="auto"/>
        <w:rPr>
          <w:rFonts w:ascii="Meta Pro" w:eastAsia="Times New Roman" w:hAnsi="Meta Pro"/>
          <w:color w:val="000000"/>
          <w:szCs w:val="18"/>
          <w:lang w:eastAsia="en-AU"/>
        </w:rPr>
      </w:pPr>
      <w:r w:rsidRPr="008A2B8F">
        <w:rPr>
          <w:rFonts w:ascii="Meta Pro" w:eastAsia="Times New Roman" w:hAnsi="Meta Pro"/>
          <w:color w:val="000000"/>
          <w:szCs w:val="18"/>
          <w:lang w:eastAsia="en-AU"/>
        </w:rPr>
        <w:t>Variance of ($287.099m) is mainly due to variability of the timing, value and payment of invoices issued to and received from external parties.</w:t>
      </w:r>
    </w:p>
    <w:p w14:paraId="332EFA31" w14:textId="77777777" w:rsidR="00BC5219" w:rsidRPr="008A2B8F" w:rsidRDefault="00BC5219" w:rsidP="00BC5219">
      <w:pPr>
        <w:spacing w:before="120" w:line="259" w:lineRule="auto"/>
        <w:rPr>
          <w:rFonts w:ascii="Meta Pro" w:eastAsia="Times New Roman" w:hAnsi="Meta Pro"/>
          <w:b/>
          <w:bCs/>
          <w:i/>
          <w:iCs/>
          <w:color w:val="000000"/>
          <w:szCs w:val="18"/>
          <w:lang w:eastAsia="en-AU"/>
        </w:rPr>
      </w:pPr>
      <w:r w:rsidRPr="008A2B8F">
        <w:rPr>
          <w:rFonts w:ascii="Meta Pro" w:eastAsia="Times New Roman" w:hAnsi="Meta Pro"/>
          <w:b/>
          <w:bCs/>
          <w:i/>
          <w:iCs/>
          <w:color w:val="000000"/>
          <w:szCs w:val="18"/>
          <w:lang w:eastAsia="en-AU"/>
        </w:rPr>
        <w:t>Payments for property, plant and equipment</w:t>
      </w:r>
    </w:p>
    <w:p w14:paraId="2C40FAF3" w14:textId="77777777" w:rsidR="00BC5219" w:rsidRPr="008A2B8F" w:rsidRDefault="00BC5219" w:rsidP="00BC5219">
      <w:pPr>
        <w:spacing w:line="259" w:lineRule="auto"/>
        <w:rPr>
          <w:rFonts w:ascii="Meta Pro" w:eastAsia="Times New Roman" w:hAnsi="Meta Pro"/>
          <w:color w:val="000000"/>
          <w:szCs w:val="18"/>
          <w:lang w:eastAsia="en-AU"/>
        </w:rPr>
      </w:pPr>
      <w:r w:rsidRPr="008A2B8F">
        <w:rPr>
          <w:rFonts w:ascii="Meta Pro" w:eastAsia="Times New Roman" w:hAnsi="Meta Pro"/>
          <w:color w:val="000000"/>
          <w:szCs w:val="18"/>
          <w:lang w:eastAsia="en-AU"/>
        </w:rPr>
        <w:t>Variance of ($307.32</w:t>
      </w:r>
      <w:r>
        <w:rPr>
          <w:rFonts w:ascii="Meta Pro" w:eastAsia="Times New Roman" w:hAnsi="Meta Pro"/>
          <w:color w:val="000000"/>
          <w:szCs w:val="18"/>
          <w:lang w:eastAsia="en-AU"/>
        </w:rPr>
        <w:t>3</w:t>
      </w:r>
      <w:r w:rsidRPr="008A2B8F">
        <w:rPr>
          <w:rFonts w:ascii="Meta Pro" w:eastAsia="Times New Roman" w:hAnsi="Meta Pro"/>
          <w:color w:val="000000"/>
          <w:szCs w:val="18"/>
          <w:lang w:eastAsia="en-AU"/>
        </w:rPr>
        <w:t>m) mainly reflects increased capital program delivery.</w:t>
      </w:r>
    </w:p>
    <w:p w14:paraId="53E80B40" w14:textId="77777777" w:rsidR="00BC5219" w:rsidRPr="008A2B8F" w:rsidRDefault="00BC5219" w:rsidP="00BC5219">
      <w:pPr>
        <w:spacing w:before="120" w:line="259" w:lineRule="auto"/>
        <w:rPr>
          <w:rFonts w:ascii="Meta Pro" w:eastAsia="Times New Roman" w:hAnsi="Meta Pro"/>
          <w:b/>
          <w:bCs/>
          <w:i/>
          <w:iCs/>
          <w:color w:val="000000"/>
          <w:szCs w:val="18"/>
          <w:lang w:eastAsia="en-AU"/>
        </w:rPr>
      </w:pPr>
      <w:r w:rsidRPr="008A2B8F">
        <w:rPr>
          <w:rFonts w:ascii="Meta Pro" w:eastAsia="Times New Roman" w:hAnsi="Meta Pro"/>
          <w:b/>
          <w:bCs/>
          <w:i/>
          <w:iCs/>
          <w:color w:val="000000"/>
          <w:szCs w:val="18"/>
          <w:lang w:eastAsia="en-AU"/>
        </w:rPr>
        <w:t>Equity injections</w:t>
      </w:r>
    </w:p>
    <w:p w14:paraId="08048154" w14:textId="77777777" w:rsidR="00BC5219" w:rsidRPr="008A2B8F" w:rsidRDefault="00BC5219" w:rsidP="00BC5219">
      <w:pPr>
        <w:spacing w:line="259" w:lineRule="auto"/>
        <w:rPr>
          <w:rFonts w:ascii="Meta Pro" w:eastAsia="Times New Roman" w:hAnsi="Meta Pro"/>
          <w:color w:val="000000"/>
          <w:szCs w:val="18"/>
          <w:lang w:eastAsia="en-AU"/>
        </w:rPr>
      </w:pPr>
      <w:r w:rsidRPr="008A2B8F">
        <w:rPr>
          <w:rFonts w:ascii="Meta Pro" w:eastAsia="Times New Roman" w:hAnsi="Meta Pro"/>
          <w:color w:val="000000"/>
          <w:szCs w:val="18"/>
          <w:lang w:eastAsia="en-AU"/>
        </w:rPr>
        <w:t>Variance of $818.1</w:t>
      </w:r>
      <w:r>
        <w:rPr>
          <w:rFonts w:ascii="Meta Pro" w:eastAsia="Times New Roman" w:hAnsi="Meta Pro"/>
          <w:color w:val="000000"/>
          <w:szCs w:val="18"/>
          <w:lang w:eastAsia="en-AU"/>
        </w:rPr>
        <w:t>33</w:t>
      </w:r>
      <w:r w:rsidRPr="008A2B8F">
        <w:rPr>
          <w:rFonts w:ascii="Meta Pro" w:eastAsia="Times New Roman" w:hAnsi="Meta Pro"/>
          <w:color w:val="000000"/>
          <w:szCs w:val="18"/>
          <w:lang w:eastAsia="en-AU"/>
        </w:rPr>
        <w:t>m mainly relates to Queensland and Australian Government funding brought forward from within the forward estimates to fund increased capital program delivery, and a cash injection to supplement working capital due to COVID-19 pandemic impacts.</w:t>
      </w:r>
    </w:p>
    <w:p w14:paraId="2FE21649" w14:textId="77777777" w:rsidR="00BC5219" w:rsidRPr="008A2B8F" w:rsidRDefault="00BC5219" w:rsidP="00BC5219">
      <w:pPr>
        <w:spacing w:before="120" w:line="259" w:lineRule="auto"/>
        <w:rPr>
          <w:rFonts w:ascii="Meta Pro" w:eastAsia="Times New Roman" w:hAnsi="Meta Pro"/>
          <w:b/>
          <w:bCs/>
          <w:i/>
          <w:iCs/>
          <w:color w:val="000000"/>
          <w:szCs w:val="18"/>
          <w:lang w:eastAsia="en-AU"/>
        </w:rPr>
      </w:pPr>
      <w:r w:rsidRPr="008A2B8F">
        <w:rPr>
          <w:rFonts w:ascii="Meta Pro" w:eastAsia="Times New Roman" w:hAnsi="Meta Pro"/>
          <w:b/>
          <w:bCs/>
          <w:i/>
          <w:iCs/>
          <w:color w:val="000000"/>
          <w:szCs w:val="18"/>
          <w:lang w:eastAsia="en-AU"/>
        </w:rPr>
        <w:t>Borrowing redemptions</w:t>
      </w:r>
    </w:p>
    <w:p w14:paraId="0F7DACCA" w14:textId="77777777" w:rsidR="00BC5219" w:rsidRPr="008A2B8F" w:rsidRDefault="00BC5219" w:rsidP="00BC5219">
      <w:pPr>
        <w:spacing w:line="259" w:lineRule="auto"/>
        <w:rPr>
          <w:rFonts w:ascii="Meta Pro" w:eastAsia="Times New Roman" w:hAnsi="Meta Pro"/>
          <w:color w:val="000000"/>
          <w:szCs w:val="18"/>
          <w:lang w:eastAsia="en-AU"/>
        </w:rPr>
      </w:pPr>
      <w:r w:rsidRPr="00555E1F">
        <w:rPr>
          <w:rFonts w:ascii="Meta Pro" w:eastAsia="Times New Roman" w:hAnsi="Meta Pro"/>
          <w:color w:val="000000"/>
          <w:szCs w:val="18"/>
          <w:lang w:eastAsia="en-AU"/>
        </w:rPr>
        <w:t>Variance of ($165.013m) mainly relates to cash payments made to GoldLinQ to reduce the service concession liability for the Gold Coast Light Rail Stage 3 project.</w:t>
      </w:r>
    </w:p>
    <w:p w14:paraId="635A72AF" w14:textId="77777777" w:rsidR="00BC5219" w:rsidRDefault="00BC5219" w:rsidP="00BC5219">
      <w:pPr>
        <w:spacing w:line="259" w:lineRule="auto"/>
        <w:rPr>
          <w:rFonts w:asciiTheme="minorHAnsi" w:hAnsiTheme="minorHAnsi" w:cstheme="minorBidi"/>
        </w:rPr>
      </w:pPr>
    </w:p>
    <w:tbl>
      <w:tblPr>
        <w:tblW w:w="0" w:type="auto"/>
        <w:tblLayout w:type="fixed"/>
        <w:tblCellMar>
          <w:left w:w="0" w:type="dxa"/>
        </w:tblCellMar>
        <w:tblLook w:val="04A0" w:firstRow="1" w:lastRow="0" w:firstColumn="1" w:lastColumn="0" w:noHBand="0" w:noVBand="1"/>
      </w:tblPr>
      <w:tblGrid>
        <w:gridCol w:w="6350"/>
        <w:gridCol w:w="1137"/>
        <w:gridCol w:w="198"/>
        <w:gridCol w:w="1137"/>
        <w:gridCol w:w="198"/>
        <w:gridCol w:w="1140"/>
      </w:tblGrid>
      <w:tr w:rsidR="00BC5219" w:rsidRPr="001B59E9" w14:paraId="13A510B0" w14:textId="77777777" w:rsidTr="00E83802">
        <w:trPr>
          <w:trHeight w:val="198"/>
        </w:trPr>
        <w:tc>
          <w:tcPr>
            <w:tcW w:w="6350" w:type="dxa"/>
            <w:tcBorders>
              <w:top w:val="nil"/>
              <w:left w:val="nil"/>
              <w:bottom w:val="nil"/>
              <w:right w:val="nil"/>
            </w:tcBorders>
            <w:shd w:val="clear" w:color="auto" w:fill="auto"/>
            <w:noWrap/>
            <w:hideMark/>
          </w:tcPr>
          <w:p w14:paraId="1FEE9159" w14:textId="77777777" w:rsidR="00BC5219" w:rsidRPr="001B59E9" w:rsidRDefault="00BC5219" w:rsidP="00E83802">
            <w:pPr>
              <w:rPr>
                <w:rFonts w:ascii="Meta Pro" w:eastAsia="Times New Roman" w:hAnsi="Meta Pro"/>
                <w:b/>
                <w:bCs/>
                <w:szCs w:val="18"/>
                <w:lang w:eastAsia="en-AU"/>
              </w:rPr>
            </w:pPr>
            <w:r w:rsidRPr="001B59E9">
              <w:rPr>
                <w:rFonts w:ascii="Meta Pro" w:eastAsia="Times New Roman" w:hAnsi="Meta Pro"/>
                <w:b/>
                <w:bCs/>
                <w:szCs w:val="18"/>
                <w:lang w:eastAsia="en-AU"/>
              </w:rPr>
              <w:lastRenderedPageBreak/>
              <w:t>SCHEDULE OF ADMINISTERED ITEMS</w:t>
            </w:r>
          </w:p>
        </w:tc>
        <w:tc>
          <w:tcPr>
            <w:tcW w:w="1137" w:type="dxa"/>
            <w:tcBorders>
              <w:top w:val="nil"/>
              <w:left w:val="nil"/>
              <w:bottom w:val="nil"/>
              <w:right w:val="nil"/>
            </w:tcBorders>
            <w:shd w:val="clear" w:color="auto" w:fill="auto"/>
            <w:hideMark/>
          </w:tcPr>
          <w:p w14:paraId="1E4ABAC8" w14:textId="77777777" w:rsidR="00BC5219" w:rsidRPr="001B59E9" w:rsidRDefault="00BC5219" w:rsidP="00E83802">
            <w:pPr>
              <w:jc w:val="center"/>
              <w:rPr>
                <w:rFonts w:ascii="Meta Pro" w:eastAsia="Times New Roman" w:hAnsi="Meta Pro"/>
                <w:b/>
                <w:bCs/>
                <w:szCs w:val="18"/>
                <w:lang w:eastAsia="en-AU"/>
              </w:rPr>
            </w:pPr>
            <w:r w:rsidRPr="001B59E9">
              <w:rPr>
                <w:rFonts w:ascii="Meta Pro" w:eastAsia="Times New Roman" w:hAnsi="Meta Pro"/>
                <w:b/>
                <w:bCs/>
                <w:szCs w:val="18"/>
                <w:lang w:eastAsia="en-AU"/>
              </w:rPr>
              <w:t xml:space="preserve">Original budget </w:t>
            </w:r>
          </w:p>
        </w:tc>
        <w:tc>
          <w:tcPr>
            <w:tcW w:w="198" w:type="dxa"/>
            <w:tcBorders>
              <w:top w:val="nil"/>
              <w:left w:val="nil"/>
              <w:bottom w:val="nil"/>
              <w:right w:val="nil"/>
            </w:tcBorders>
            <w:shd w:val="clear" w:color="auto" w:fill="auto"/>
            <w:hideMark/>
          </w:tcPr>
          <w:p w14:paraId="33EC4E05" w14:textId="77777777" w:rsidR="00BC5219" w:rsidRPr="001B59E9" w:rsidRDefault="00BC5219" w:rsidP="00E83802">
            <w:pPr>
              <w:jc w:val="center"/>
              <w:rPr>
                <w:rFonts w:ascii="Meta Pro" w:eastAsia="Times New Roman" w:hAnsi="Meta Pro"/>
                <w:b/>
                <w:bCs/>
                <w:szCs w:val="18"/>
                <w:lang w:eastAsia="en-AU"/>
              </w:rPr>
            </w:pPr>
          </w:p>
        </w:tc>
        <w:tc>
          <w:tcPr>
            <w:tcW w:w="1137" w:type="dxa"/>
            <w:tcBorders>
              <w:top w:val="nil"/>
              <w:left w:val="nil"/>
              <w:bottom w:val="nil"/>
              <w:right w:val="nil"/>
            </w:tcBorders>
            <w:shd w:val="clear" w:color="auto" w:fill="auto"/>
            <w:hideMark/>
          </w:tcPr>
          <w:p w14:paraId="0B79D49C" w14:textId="77777777" w:rsidR="00BC5219" w:rsidRPr="001B59E9" w:rsidRDefault="00BC5219" w:rsidP="00E83802">
            <w:pPr>
              <w:jc w:val="center"/>
              <w:rPr>
                <w:rFonts w:ascii="Meta Pro" w:eastAsia="Times New Roman" w:hAnsi="Meta Pro"/>
                <w:b/>
                <w:bCs/>
                <w:szCs w:val="18"/>
                <w:lang w:eastAsia="en-AU"/>
              </w:rPr>
            </w:pPr>
            <w:r w:rsidRPr="001B59E9">
              <w:rPr>
                <w:rFonts w:ascii="Meta Pro" w:eastAsia="Times New Roman" w:hAnsi="Meta Pro"/>
                <w:b/>
                <w:bCs/>
                <w:szCs w:val="18"/>
                <w:lang w:eastAsia="en-AU"/>
              </w:rPr>
              <w:t>Actual</w:t>
            </w:r>
            <w:r w:rsidRPr="001B59E9">
              <w:rPr>
                <w:rFonts w:ascii="Meta Pro" w:eastAsia="Times New Roman" w:hAnsi="Meta Pro"/>
                <w:b/>
                <w:bCs/>
                <w:szCs w:val="18"/>
                <w:lang w:eastAsia="en-AU"/>
              </w:rPr>
              <w:br/>
              <w:t>result</w:t>
            </w:r>
          </w:p>
        </w:tc>
        <w:tc>
          <w:tcPr>
            <w:tcW w:w="198" w:type="dxa"/>
            <w:tcBorders>
              <w:top w:val="nil"/>
              <w:left w:val="nil"/>
              <w:bottom w:val="nil"/>
              <w:right w:val="nil"/>
            </w:tcBorders>
            <w:shd w:val="clear" w:color="auto" w:fill="auto"/>
            <w:hideMark/>
          </w:tcPr>
          <w:p w14:paraId="5BDE2063" w14:textId="77777777" w:rsidR="00BC5219" w:rsidRPr="001B59E9" w:rsidRDefault="00BC5219" w:rsidP="00E83802">
            <w:pPr>
              <w:jc w:val="center"/>
              <w:rPr>
                <w:rFonts w:ascii="Meta Pro" w:eastAsia="Times New Roman" w:hAnsi="Meta Pro"/>
                <w:b/>
                <w:bCs/>
                <w:szCs w:val="18"/>
                <w:lang w:eastAsia="en-AU"/>
              </w:rPr>
            </w:pPr>
          </w:p>
        </w:tc>
        <w:tc>
          <w:tcPr>
            <w:tcW w:w="1140" w:type="dxa"/>
            <w:tcBorders>
              <w:top w:val="nil"/>
              <w:left w:val="nil"/>
              <w:bottom w:val="nil"/>
              <w:right w:val="nil"/>
            </w:tcBorders>
            <w:shd w:val="clear" w:color="auto" w:fill="auto"/>
            <w:hideMark/>
          </w:tcPr>
          <w:p w14:paraId="738D6D3F" w14:textId="77777777" w:rsidR="00BC5219" w:rsidRPr="001B59E9" w:rsidRDefault="00BC5219" w:rsidP="00E83802">
            <w:pPr>
              <w:jc w:val="center"/>
              <w:rPr>
                <w:rFonts w:ascii="Meta Pro" w:eastAsia="Times New Roman" w:hAnsi="Meta Pro"/>
                <w:b/>
                <w:bCs/>
                <w:szCs w:val="18"/>
                <w:lang w:eastAsia="en-AU"/>
              </w:rPr>
            </w:pPr>
            <w:r w:rsidRPr="001B59E9">
              <w:rPr>
                <w:rFonts w:ascii="Meta Pro" w:eastAsia="Times New Roman" w:hAnsi="Meta Pro"/>
                <w:b/>
                <w:bCs/>
                <w:szCs w:val="18"/>
                <w:lang w:eastAsia="en-AU"/>
              </w:rPr>
              <w:t>Variance</w:t>
            </w:r>
          </w:p>
        </w:tc>
      </w:tr>
      <w:tr w:rsidR="00BC5219" w:rsidRPr="001B59E9" w14:paraId="6ADB9BE1" w14:textId="77777777" w:rsidTr="00E83802">
        <w:trPr>
          <w:trHeight w:val="198"/>
        </w:trPr>
        <w:tc>
          <w:tcPr>
            <w:tcW w:w="6350" w:type="dxa"/>
            <w:tcBorders>
              <w:top w:val="nil"/>
              <w:left w:val="nil"/>
              <w:bottom w:val="nil"/>
              <w:right w:val="nil"/>
            </w:tcBorders>
            <w:shd w:val="clear" w:color="auto" w:fill="auto"/>
            <w:noWrap/>
            <w:vAlign w:val="center"/>
            <w:hideMark/>
          </w:tcPr>
          <w:p w14:paraId="3E7DDAB9" w14:textId="77777777" w:rsidR="00BC5219" w:rsidRPr="001B59E9" w:rsidRDefault="00BC5219" w:rsidP="00E83802">
            <w:pPr>
              <w:jc w:val="center"/>
              <w:rPr>
                <w:rFonts w:ascii="Meta Pro" w:eastAsia="Times New Roman" w:hAnsi="Meta Pro"/>
                <w:b/>
                <w:bCs/>
                <w:szCs w:val="18"/>
                <w:lang w:eastAsia="en-AU"/>
              </w:rPr>
            </w:pPr>
          </w:p>
        </w:tc>
        <w:tc>
          <w:tcPr>
            <w:tcW w:w="1137" w:type="dxa"/>
            <w:tcBorders>
              <w:top w:val="nil"/>
              <w:left w:val="nil"/>
              <w:bottom w:val="nil"/>
              <w:right w:val="nil"/>
            </w:tcBorders>
            <w:shd w:val="clear" w:color="auto" w:fill="auto"/>
            <w:hideMark/>
          </w:tcPr>
          <w:p w14:paraId="7D3CBA2E" w14:textId="77777777" w:rsidR="00BC5219" w:rsidRPr="001B59E9" w:rsidRDefault="00BC5219" w:rsidP="00E83802">
            <w:pPr>
              <w:jc w:val="center"/>
              <w:rPr>
                <w:rFonts w:ascii="Meta Pro" w:eastAsia="Times New Roman" w:hAnsi="Meta Pro"/>
                <w:b/>
                <w:bCs/>
                <w:szCs w:val="18"/>
                <w:lang w:eastAsia="en-AU"/>
              </w:rPr>
            </w:pPr>
            <w:r w:rsidRPr="001B59E9">
              <w:rPr>
                <w:rFonts w:ascii="Meta Pro" w:eastAsia="Times New Roman" w:hAnsi="Meta Pro"/>
                <w:b/>
                <w:bCs/>
                <w:szCs w:val="18"/>
                <w:lang w:eastAsia="en-AU"/>
              </w:rPr>
              <w:t>2023</w:t>
            </w:r>
            <w:r w:rsidRPr="001B59E9">
              <w:rPr>
                <w:rFonts w:ascii="Meta Pro" w:eastAsia="Times New Roman" w:hAnsi="Meta Pro"/>
                <w:b/>
                <w:bCs/>
                <w:szCs w:val="18"/>
                <w:lang w:eastAsia="en-AU"/>
              </w:rPr>
              <w:br/>
              <w:t>$'000</w:t>
            </w:r>
          </w:p>
        </w:tc>
        <w:tc>
          <w:tcPr>
            <w:tcW w:w="198" w:type="dxa"/>
            <w:tcBorders>
              <w:top w:val="nil"/>
              <w:left w:val="nil"/>
              <w:bottom w:val="nil"/>
              <w:right w:val="nil"/>
            </w:tcBorders>
            <w:shd w:val="clear" w:color="auto" w:fill="auto"/>
            <w:hideMark/>
          </w:tcPr>
          <w:p w14:paraId="1DBF61C9" w14:textId="77777777" w:rsidR="00BC5219" w:rsidRPr="001B59E9" w:rsidRDefault="00BC5219" w:rsidP="00E83802">
            <w:pPr>
              <w:jc w:val="center"/>
              <w:rPr>
                <w:rFonts w:ascii="Meta Pro" w:eastAsia="Times New Roman" w:hAnsi="Meta Pro"/>
                <w:b/>
                <w:bCs/>
                <w:szCs w:val="18"/>
                <w:lang w:eastAsia="en-AU"/>
              </w:rPr>
            </w:pPr>
          </w:p>
        </w:tc>
        <w:tc>
          <w:tcPr>
            <w:tcW w:w="1137" w:type="dxa"/>
            <w:tcBorders>
              <w:top w:val="nil"/>
              <w:left w:val="nil"/>
              <w:bottom w:val="nil"/>
              <w:right w:val="nil"/>
            </w:tcBorders>
            <w:shd w:val="clear" w:color="auto" w:fill="auto"/>
            <w:hideMark/>
          </w:tcPr>
          <w:p w14:paraId="52172539" w14:textId="77777777" w:rsidR="00BC5219" w:rsidRPr="001B59E9" w:rsidRDefault="00BC5219" w:rsidP="00E83802">
            <w:pPr>
              <w:jc w:val="center"/>
              <w:rPr>
                <w:rFonts w:ascii="Meta Pro" w:eastAsia="Times New Roman" w:hAnsi="Meta Pro"/>
                <w:b/>
                <w:bCs/>
                <w:szCs w:val="18"/>
                <w:lang w:eastAsia="en-AU"/>
              </w:rPr>
            </w:pPr>
            <w:r w:rsidRPr="001B59E9">
              <w:rPr>
                <w:rFonts w:ascii="Meta Pro" w:eastAsia="Times New Roman" w:hAnsi="Meta Pro"/>
                <w:b/>
                <w:bCs/>
                <w:szCs w:val="18"/>
                <w:lang w:eastAsia="en-AU"/>
              </w:rPr>
              <w:t>2023</w:t>
            </w:r>
            <w:r w:rsidRPr="001B59E9">
              <w:rPr>
                <w:rFonts w:ascii="Meta Pro" w:eastAsia="Times New Roman" w:hAnsi="Meta Pro"/>
                <w:b/>
                <w:bCs/>
                <w:szCs w:val="18"/>
                <w:lang w:eastAsia="en-AU"/>
              </w:rPr>
              <w:br/>
              <w:t>$'000</w:t>
            </w:r>
          </w:p>
        </w:tc>
        <w:tc>
          <w:tcPr>
            <w:tcW w:w="198" w:type="dxa"/>
            <w:tcBorders>
              <w:top w:val="nil"/>
              <w:left w:val="nil"/>
              <w:bottom w:val="nil"/>
              <w:right w:val="nil"/>
            </w:tcBorders>
            <w:shd w:val="clear" w:color="auto" w:fill="auto"/>
            <w:hideMark/>
          </w:tcPr>
          <w:p w14:paraId="5CFBE74D" w14:textId="77777777" w:rsidR="00BC5219" w:rsidRPr="001B59E9" w:rsidRDefault="00BC5219" w:rsidP="00E83802">
            <w:pPr>
              <w:jc w:val="center"/>
              <w:rPr>
                <w:rFonts w:ascii="Meta Pro" w:eastAsia="Times New Roman" w:hAnsi="Meta Pro"/>
                <w:b/>
                <w:bCs/>
                <w:szCs w:val="18"/>
                <w:lang w:eastAsia="en-AU"/>
              </w:rPr>
            </w:pPr>
          </w:p>
        </w:tc>
        <w:tc>
          <w:tcPr>
            <w:tcW w:w="1140" w:type="dxa"/>
            <w:tcBorders>
              <w:top w:val="nil"/>
              <w:left w:val="nil"/>
              <w:bottom w:val="nil"/>
              <w:right w:val="nil"/>
            </w:tcBorders>
            <w:shd w:val="clear" w:color="auto" w:fill="auto"/>
            <w:hideMark/>
          </w:tcPr>
          <w:p w14:paraId="46E56EE2" w14:textId="77777777" w:rsidR="00BC5219" w:rsidRPr="001B59E9" w:rsidRDefault="00BC5219" w:rsidP="00E83802">
            <w:pPr>
              <w:jc w:val="center"/>
              <w:rPr>
                <w:rFonts w:ascii="Meta Pro" w:eastAsia="Times New Roman" w:hAnsi="Meta Pro"/>
                <w:b/>
                <w:bCs/>
                <w:szCs w:val="18"/>
                <w:lang w:eastAsia="en-AU"/>
              </w:rPr>
            </w:pPr>
            <w:r w:rsidRPr="001B59E9">
              <w:rPr>
                <w:rFonts w:ascii="Meta Pro" w:eastAsia="Times New Roman" w:hAnsi="Meta Pro"/>
                <w:b/>
                <w:bCs/>
                <w:szCs w:val="18"/>
                <w:lang w:eastAsia="en-AU"/>
              </w:rPr>
              <w:t>2023</w:t>
            </w:r>
            <w:r w:rsidRPr="001B59E9">
              <w:rPr>
                <w:rFonts w:ascii="Meta Pro" w:eastAsia="Times New Roman" w:hAnsi="Meta Pro"/>
                <w:b/>
                <w:bCs/>
                <w:szCs w:val="18"/>
                <w:lang w:eastAsia="en-AU"/>
              </w:rPr>
              <w:br/>
              <w:t>$'000</w:t>
            </w:r>
          </w:p>
        </w:tc>
      </w:tr>
      <w:tr w:rsidR="00BC5219" w:rsidRPr="001B59E9" w14:paraId="18C7499E" w14:textId="77777777" w:rsidTr="00E83802">
        <w:trPr>
          <w:trHeight w:val="198"/>
        </w:trPr>
        <w:tc>
          <w:tcPr>
            <w:tcW w:w="6350" w:type="dxa"/>
            <w:tcBorders>
              <w:top w:val="nil"/>
              <w:left w:val="nil"/>
              <w:bottom w:val="nil"/>
              <w:right w:val="nil"/>
            </w:tcBorders>
            <w:shd w:val="clear" w:color="auto" w:fill="auto"/>
            <w:noWrap/>
            <w:vAlign w:val="center"/>
            <w:hideMark/>
          </w:tcPr>
          <w:p w14:paraId="05F80765" w14:textId="77777777" w:rsidR="00BC5219" w:rsidRPr="001B59E9" w:rsidRDefault="00BC5219" w:rsidP="00E83802">
            <w:pPr>
              <w:rPr>
                <w:rFonts w:ascii="Meta Pro" w:eastAsia="Times New Roman" w:hAnsi="Meta Pro"/>
                <w:b/>
                <w:bCs/>
                <w:szCs w:val="18"/>
                <w:lang w:eastAsia="en-AU"/>
              </w:rPr>
            </w:pPr>
            <w:r w:rsidRPr="001B59E9">
              <w:rPr>
                <w:rFonts w:ascii="Meta Pro" w:eastAsia="Times New Roman" w:hAnsi="Meta Pro"/>
                <w:b/>
                <w:bCs/>
                <w:szCs w:val="18"/>
                <w:lang w:eastAsia="en-AU"/>
              </w:rPr>
              <w:t>Administered income</w:t>
            </w:r>
          </w:p>
        </w:tc>
        <w:tc>
          <w:tcPr>
            <w:tcW w:w="1137" w:type="dxa"/>
            <w:tcBorders>
              <w:top w:val="nil"/>
              <w:left w:val="nil"/>
              <w:bottom w:val="nil"/>
              <w:right w:val="nil"/>
            </w:tcBorders>
            <w:shd w:val="clear" w:color="auto" w:fill="auto"/>
            <w:vAlign w:val="center"/>
            <w:hideMark/>
          </w:tcPr>
          <w:p w14:paraId="17405C86" w14:textId="77777777" w:rsidR="00BC5219" w:rsidRPr="001B59E9" w:rsidRDefault="00BC5219" w:rsidP="00E83802">
            <w:pPr>
              <w:rPr>
                <w:rFonts w:ascii="Meta Pro" w:eastAsia="Times New Roman" w:hAnsi="Meta Pro"/>
                <w:b/>
                <w:bCs/>
                <w:szCs w:val="18"/>
                <w:lang w:eastAsia="en-AU"/>
              </w:rPr>
            </w:pPr>
          </w:p>
        </w:tc>
        <w:tc>
          <w:tcPr>
            <w:tcW w:w="198" w:type="dxa"/>
            <w:tcBorders>
              <w:top w:val="nil"/>
              <w:left w:val="nil"/>
              <w:bottom w:val="nil"/>
              <w:right w:val="nil"/>
            </w:tcBorders>
            <w:shd w:val="clear" w:color="auto" w:fill="auto"/>
            <w:vAlign w:val="center"/>
            <w:hideMark/>
          </w:tcPr>
          <w:p w14:paraId="1B2A4850" w14:textId="77777777" w:rsidR="00BC5219" w:rsidRPr="001B59E9" w:rsidRDefault="00BC5219" w:rsidP="00E83802">
            <w:pPr>
              <w:rPr>
                <w:rFonts w:ascii="Times New Roman" w:eastAsia="Times New Roman" w:hAnsi="Times New Roman" w:cs="Times New Roman"/>
                <w:sz w:val="20"/>
                <w:szCs w:val="20"/>
                <w:lang w:eastAsia="en-AU"/>
              </w:rPr>
            </w:pPr>
          </w:p>
        </w:tc>
        <w:tc>
          <w:tcPr>
            <w:tcW w:w="1137" w:type="dxa"/>
            <w:tcBorders>
              <w:top w:val="nil"/>
              <w:left w:val="nil"/>
              <w:bottom w:val="nil"/>
              <w:right w:val="nil"/>
            </w:tcBorders>
            <w:shd w:val="clear" w:color="auto" w:fill="auto"/>
            <w:vAlign w:val="center"/>
            <w:hideMark/>
          </w:tcPr>
          <w:p w14:paraId="4024F16A" w14:textId="77777777" w:rsidR="00BC5219" w:rsidRPr="001B59E9" w:rsidRDefault="00BC5219" w:rsidP="00E83802">
            <w:pPr>
              <w:jc w:val="center"/>
              <w:rPr>
                <w:rFonts w:ascii="Times New Roman" w:eastAsia="Times New Roman" w:hAnsi="Times New Roman" w:cs="Times New Roman"/>
                <w:sz w:val="20"/>
                <w:szCs w:val="20"/>
                <w:lang w:eastAsia="en-AU"/>
              </w:rPr>
            </w:pPr>
          </w:p>
        </w:tc>
        <w:tc>
          <w:tcPr>
            <w:tcW w:w="198" w:type="dxa"/>
            <w:tcBorders>
              <w:top w:val="nil"/>
              <w:left w:val="nil"/>
              <w:bottom w:val="nil"/>
              <w:right w:val="nil"/>
            </w:tcBorders>
            <w:shd w:val="clear" w:color="auto" w:fill="auto"/>
            <w:vAlign w:val="center"/>
            <w:hideMark/>
          </w:tcPr>
          <w:p w14:paraId="644E4CDE" w14:textId="77777777" w:rsidR="00BC5219" w:rsidRPr="001B59E9" w:rsidRDefault="00BC5219" w:rsidP="00E83802">
            <w:pPr>
              <w:rPr>
                <w:rFonts w:ascii="Times New Roman" w:eastAsia="Times New Roman" w:hAnsi="Times New Roman" w:cs="Times New Roman"/>
                <w:sz w:val="20"/>
                <w:szCs w:val="20"/>
                <w:lang w:eastAsia="en-AU"/>
              </w:rPr>
            </w:pPr>
          </w:p>
        </w:tc>
        <w:tc>
          <w:tcPr>
            <w:tcW w:w="1140" w:type="dxa"/>
            <w:tcBorders>
              <w:top w:val="nil"/>
              <w:left w:val="nil"/>
              <w:bottom w:val="nil"/>
              <w:right w:val="nil"/>
            </w:tcBorders>
            <w:shd w:val="clear" w:color="auto" w:fill="auto"/>
            <w:noWrap/>
            <w:vAlign w:val="center"/>
            <w:hideMark/>
          </w:tcPr>
          <w:p w14:paraId="2AE7C6ED" w14:textId="77777777" w:rsidR="00BC5219" w:rsidRPr="001B59E9" w:rsidRDefault="00BC5219" w:rsidP="00E83802">
            <w:pPr>
              <w:jc w:val="center"/>
              <w:rPr>
                <w:rFonts w:ascii="Times New Roman" w:eastAsia="Times New Roman" w:hAnsi="Times New Roman" w:cs="Times New Roman"/>
                <w:sz w:val="20"/>
                <w:szCs w:val="20"/>
                <w:lang w:eastAsia="en-AU"/>
              </w:rPr>
            </w:pPr>
          </w:p>
        </w:tc>
      </w:tr>
      <w:tr w:rsidR="00BC5219" w:rsidRPr="001B59E9" w14:paraId="25654193" w14:textId="77777777" w:rsidTr="00E83802">
        <w:trPr>
          <w:trHeight w:val="198"/>
        </w:trPr>
        <w:tc>
          <w:tcPr>
            <w:tcW w:w="6350" w:type="dxa"/>
            <w:tcBorders>
              <w:top w:val="nil"/>
              <w:left w:val="nil"/>
              <w:bottom w:val="nil"/>
              <w:right w:val="nil"/>
            </w:tcBorders>
            <w:shd w:val="clear" w:color="auto" w:fill="auto"/>
            <w:noWrap/>
            <w:vAlign w:val="center"/>
            <w:hideMark/>
          </w:tcPr>
          <w:p w14:paraId="305FEBDF" w14:textId="77777777" w:rsidR="00BC5219" w:rsidRPr="001B59E9" w:rsidRDefault="00BC5219" w:rsidP="00E83802">
            <w:pPr>
              <w:rPr>
                <w:rFonts w:ascii="Meta Pro" w:eastAsia="Times New Roman" w:hAnsi="Meta Pro"/>
                <w:szCs w:val="18"/>
                <w:lang w:eastAsia="en-AU"/>
              </w:rPr>
            </w:pPr>
            <w:r w:rsidRPr="001B59E9">
              <w:rPr>
                <w:rFonts w:ascii="Meta Pro" w:eastAsia="Times New Roman" w:hAnsi="Meta Pro"/>
                <w:szCs w:val="18"/>
                <w:lang w:eastAsia="en-AU"/>
              </w:rPr>
              <w:t>Administered revenue</w:t>
            </w:r>
          </w:p>
        </w:tc>
        <w:tc>
          <w:tcPr>
            <w:tcW w:w="1137" w:type="dxa"/>
            <w:tcBorders>
              <w:top w:val="nil"/>
              <w:left w:val="nil"/>
              <w:bottom w:val="nil"/>
              <w:right w:val="nil"/>
            </w:tcBorders>
            <w:shd w:val="clear" w:color="auto" w:fill="auto"/>
            <w:noWrap/>
            <w:vAlign w:val="center"/>
            <w:hideMark/>
          </w:tcPr>
          <w:p w14:paraId="6AE889B3" w14:textId="77777777" w:rsidR="00BC5219" w:rsidRPr="001B59E9" w:rsidRDefault="00BC5219" w:rsidP="00E83802">
            <w:pPr>
              <w:jc w:val="right"/>
              <w:rPr>
                <w:rFonts w:ascii="Meta Pro" w:eastAsia="Times New Roman" w:hAnsi="Meta Pro"/>
                <w:szCs w:val="18"/>
                <w:lang w:eastAsia="en-AU"/>
              </w:rPr>
            </w:pPr>
            <w:r w:rsidRPr="001B59E9">
              <w:rPr>
                <w:rFonts w:ascii="Meta Pro" w:eastAsia="Times New Roman" w:hAnsi="Meta Pro"/>
                <w:szCs w:val="18"/>
                <w:lang w:eastAsia="en-AU"/>
              </w:rPr>
              <w:t xml:space="preserve">182,035 </w:t>
            </w:r>
          </w:p>
        </w:tc>
        <w:tc>
          <w:tcPr>
            <w:tcW w:w="198" w:type="dxa"/>
            <w:tcBorders>
              <w:top w:val="nil"/>
              <w:left w:val="nil"/>
              <w:bottom w:val="nil"/>
              <w:right w:val="nil"/>
            </w:tcBorders>
            <w:shd w:val="clear" w:color="auto" w:fill="auto"/>
            <w:noWrap/>
            <w:vAlign w:val="center"/>
            <w:hideMark/>
          </w:tcPr>
          <w:p w14:paraId="75F78100" w14:textId="77777777" w:rsidR="00BC5219" w:rsidRPr="001B59E9" w:rsidRDefault="00BC5219" w:rsidP="00E83802">
            <w:pPr>
              <w:jc w:val="right"/>
              <w:rPr>
                <w:rFonts w:ascii="Meta Pro" w:eastAsia="Times New Roman" w:hAnsi="Meta Pro"/>
                <w:szCs w:val="18"/>
                <w:lang w:eastAsia="en-AU"/>
              </w:rPr>
            </w:pPr>
          </w:p>
        </w:tc>
        <w:tc>
          <w:tcPr>
            <w:tcW w:w="1137" w:type="dxa"/>
            <w:tcBorders>
              <w:top w:val="nil"/>
              <w:left w:val="nil"/>
              <w:bottom w:val="nil"/>
              <w:right w:val="nil"/>
            </w:tcBorders>
            <w:shd w:val="clear" w:color="auto" w:fill="auto"/>
            <w:noWrap/>
            <w:vAlign w:val="center"/>
            <w:hideMark/>
          </w:tcPr>
          <w:p w14:paraId="331CC946" w14:textId="77777777" w:rsidR="00BC5219" w:rsidRPr="001B59E9" w:rsidRDefault="00BC5219" w:rsidP="00E83802">
            <w:pPr>
              <w:jc w:val="right"/>
              <w:rPr>
                <w:rFonts w:ascii="Meta Pro" w:eastAsia="Times New Roman" w:hAnsi="Meta Pro"/>
                <w:szCs w:val="18"/>
                <w:lang w:eastAsia="en-AU"/>
              </w:rPr>
            </w:pPr>
            <w:r w:rsidRPr="001B59E9">
              <w:rPr>
                <w:rFonts w:ascii="Meta Pro" w:eastAsia="Times New Roman" w:hAnsi="Meta Pro"/>
                <w:szCs w:val="18"/>
                <w:lang w:eastAsia="en-AU"/>
              </w:rPr>
              <w:t xml:space="preserve">81,170 </w:t>
            </w:r>
          </w:p>
        </w:tc>
        <w:tc>
          <w:tcPr>
            <w:tcW w:w="198" w:type="dxa"/>
            <w:tcBorders>
              <w:top w:val="nil"/>
              <w:left w:val="nil"/>
              <w:bottom w:val="nil"/>
              <w:right w:val="nil"/>
            </w:tcBorders>
            <w:shd w:val="clear" w:color="auto" w:fill="auto"/>
            <w:noWrap/>
            <w:vAlign w:val="center"/>
            <w:hideMark/>
          </w:tcPr>
          <w:p w14:paraId="72624809" w14:textId="77777777" w:rsidR="00BC5219" w:rsidRPr="001B59E9" w:rsidRDefault="00BC5219" w:rsidP="00E83802">
            <w:pPr>
              <w:jc w:val="right"/>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3F7277A8" w14:textId="77777777" w:rsidR="00BC5219" w:rsidRPr="001B59E9" w:rsidRDefault="00BC5219" w:rsidP="00E83802">
            <w:pPr>
              <w:jc w:val="right"/>
              <w:rPr>
                <w:rFonts w:ascii="Meta Pro" w:eastAsia="Times New Roman" w:hAnsi="Meta Pro"/>
                <w:szCs w:val="18"/>
                <w:lang w:eastAsia="en-AU"/>
              </w:rPr>
            </w:pPr>
            <w:r w:rsidRPr="001B59E9">
              <w:rPr>
                <w:rFonts w:ascii="Meta Pro" w:eastAsia="Times New Roman" w:hAnsi="Meta Pro"/>
                <w:szCs w:val="18"/>
                <w:lang w:eastAsia="en-AU"/>
              </w:rPr>
              <w:t>(100,865)</w:t>
            </w:r>
          </w:p>
        </w:tc>
      </w:tr>
      <w:tr w:rsidR="00BC5219" w:rsidRPr="001B59E9" w14:paraId="24D3B202" w14:textId="77777777" w:rsidTr="00E83802">
        <w:trPr>
          <w:trHeight w:val="198"/>
        </w:trPr>
        <w:tc>
          <w:tcPr>
            <w:tcW w:w="6350" w:type="dxa"/>
            <w:tcBorders>
              <w:top w:val="nil"/>
              <w:left w:val="nil"/>
              <w:bottom w:val="nil"/>
              <w:right w:val="nil"/>
            </w:tcBorders>
            <w:shd w:val="clear" w:color="auto" w:fill="auto"/>
            <w:noWrap/>
            <w:vAlign w:val="center"/>
            <w:hideMark/>
          </w:tcPr>
          <w:p w14:paraId="38915A34" w14:textId="77777777" w:rsidR="00BC5219" w:rsidRPr="001B59E9" w:rsidRDefault="00BC5219" w:rsidP="00E83802">
            <w:pPr>
              <w:rPr>
                <w:rFonts w:ascii="Meta Pro" w:eastAsia="Times New Roman" w:hAnsi="Meta Pro"/>
                <w:szCs w:val="18"/>
                <w:lang w:eastAsia="en-AU"/>
              </w:rPr>
            </w:pPr>
            <w:r w:rsidRPr="001B59E9">
              <w:rPr>
                <w:rFonts w:ascii="Meta Pro" w:eastAsia="Times New Roman" w:hAnsi="Meta Pro"/>
                <w:szCs w:val="18"/>
                <w:lang w:eastAsia="en-AU"/>
              </w:rPr>
              <w:t>Grants and other contributions</w:t>
            </w:r>
          </w:p>
        </w:tc>
        <w:tc>
          <w:tcPr>
            <w:tcW w:w="1137" w:type="dxa"/>
            <w:tcBorders>
              <w:top w:val="nil"/>
              <w:left w:val="nil"/>
              <w:bottom w:val="nil"/>
              <w:right w:val="nil"/>
            </w:tcBorders>
            <w:shd w:val="clear" w:color="auto" w:fill="auto"/>
            <w:noWrap/>
            <w:vAlign w:val="center"/>
            <w:hideMark/>
          </w:tcPr>
          <w:p w14:paraId="3B3E4067" w14:textId="77777777" w:rsidR="00BC5219" w:rsidRPr="001B59E9" w:rsidRDefault="00BC5219" w:rsidP="00E83802">
            <w:pPr>
              <w:jc w:val="right"/>
              <w:rPr>
                <w:rFonts w:ascii="Meta Pro" w:eastAsia="Times New Roman" w:hAnsi="Meta Pro"/>
                <w:szCs w:val="18"/>
                <w:lang w:eastAsia="en-AU"/>
              </w:rPr>
            </w:pPr>
            <w:r w:rsidRPr="001B59E9">
              <w:rPr>
                <w:rFonts w:ascii="Meta Pro" w:eastAsia="Times New Roman" w:hAnsi="Meta Pro"/>
                <w:szCs w:val="18"/>
                <w:lang w:eastAsia="en-AU"/>
              </w:rPr>
              <w:t xml:space="preserve">- </w:t>
            </w:r>
          </w:p>
        </w:tc>
        <w:tc>
          <w:tcPr>
            <w:tcW w:w="198" w:type="dxa"/>
            <w:tcBorders>
              <w:top w:val="nil"/>
              <w:left w:val="nil"/>
              <w:bottom w:val="nil"/>
              <w:right w:val="nil"/>
            </w:tcBorders>
            <w:shd w:val="clear" w:color="auto" w:fill="auto"/>
            <w:noWrap/>
            <w:vAlign w:val="center"/>
            <w:hideMark/>
          </w:tcPr>
          <w:p w14:paraId="5E397C25" w14:textId="77777777" w:rsidR="00BC5219" w:rsidRPr="001B59E9" w:rsidRDefault="00BC5219" w:rsidP="00E83802">
            <w:pPr>
              <w:jc w:val="right"/>
              <w:rPr>
                <w:rFonts w:ascii="Meta Pro" w:eastAsia="Times New Roman" w:hAnsi="Meta Pro"/>
                <w:szCs w:val="18"/>
                <w:lang w:eastAsia="en-AU"/>
              </w:rPr>
            </w:pPr>
          </w:p>
        </w:tc>
        <w:tc>
          <w:tcPr>
            <w:tcW w:w="1137" w:type="dxa"/>
            <w:tcBorders>
              <w:top w:val="nil"/>
              <w:left w:val="nil"/>
              <w:bottom w:val="nil"/>
              <w:right w:val="nil"/>
            </w:tcBorders>
            <w:shd w:val="clear" w:color="auto" w:fill="auto"/>
            <w:noWrap/>
            <w:vAlign w:val="center"/>
            <w:hideMark/>
          </w:tcPr>
          <w:p w14:paraId="5E5C7147" w14:textId="77777777" w:rsidR="00BC5219" w:rsidRPr="001B59E9" w:rsidRDefault="00BC5219" w:rsidP="00E83802">
            <w:pPr>
              <w:jc w:val="right"/>
              <w:rPr>
                <w:rFonts w:ascii="Meta Pro" w:eastAsia="Times New Roman" w:hAnsi="Meta Pro"/>
                <w:szCs w:val="18"/>
                <w:lang w:eastAsia="en-AU"/>
              </w:rPr>
            </w:pPr>
            <w:r w:rsidRPr="001B59E9">
              <w:rPr>
                <w:rFonts w:ascii="Meta Pro" w:eastAsia="Times New Roman" w:hAnsi="Meta Pro"/>
                <w:szCs w:val="18"/>
                <w:lang w:eastAsia="en-AU"/>
              </w:rPr>
              <w:t xml:space="preserve">381 </w:t>
            </w:r>
          </w:p>
        </w:tc>
        <w:tc>
          <w:tcPr>
            <w:tcW w:w="198" w:type="dxa"/>
            <w:tcBorders>
              <w:top w:val="nil"/>
              <w:left w:val="nil"/>
              <w:bottom w:val="nil"/>
              <w:right w:val="nil"/>
            </w:tcBorders>
            <w:shd w:val="clear" w:color="auto" w:fill="auto"/>
            <w:noWrap/>
            <w:vAlign w:val="center"/>
            <w:hideMark/>
          </w:tcPr>
          <w:p w14:paraId="1B72A8D5" w14:textId="77777777" w:rsidR="00BC5219" w:rsidRPr="001B59E9" w:rsidRDefault="00BC5219" w:rsidP="00E83802">
            <w:pPr>
              <w:jc w:val="right"/>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18C3A668" w14:textId="77777777" w:rsidR="00BC5219" w:rsidRPr="001B59E9" w:rsidRDefault="00BC5219" w:rsidP="00E83802">
            <w:pPr>
              <w:jc w:val="right"/>
              <w:rPr>
                <w:rFonts w:ascii="Meta Pro" w:eastAsia="Times New Roman" w:hAnsi="Meta Pro"/>
                <w:szCs w:val="18"/>
                <w:lang w:eastAsia="en-AU"/>
              </w:rPr>
            </w:pPr>
            <w:r w:rsidRPr="001B59E9">
              <w:rPr>
                <w:rFonts w:ascii="Meta Pro" w:eastAsia="Times New Roman" w:hAnsi="Meta Pro"/>
                <w:szCs w:val="18"/>
                <w:lang w:eastAsia="en-AU"/>
              </w:rPr>
              <w:t xml:space="preserve">381 </w:t>
            </w:r>
          </w:p>
        </w:tc>
      </w:tr>
      <w:tr w:rsidR="00BC5219" w:rsidRPr="001B59E9" w14:paraId="0AD5195F" w14:textId="77777777" w:rsidTr="00E83802">
        <w:trPr>
          <w:trHeight w:val="198"/>
        </w:trPr>
        <w:tc>
          <w:tcPr>
            <w:tcW w:w="6350" w:type="dxa"/>
            <w:tcBorders>
              <w:top w:val="nil"/>
              <w:left w:val="nil"/>
              <w:bottom w:val="nil"/>
              <w:right w:val="nil"/>
            </w:tcBorders>
            <w:shd w:val="clear" w:color="auto" w:fill="auto"/>
            <w:noWrap/>
            <w:vAlign w:val="center"/>
            <w:hideMark/>
          </w:tcPr>
          <w:p w14:paraId="6860C27A" w14:textId="77777777" w:rsidR="00BC5219" w:rsidRPr="001B59E9" w:rsidRDefault="00BC5219" w:rsidP="00E83802">
            <w:pPr>
              <w:rPr>
                <w:rFonts w:ascii="Meta Pro" w:eastAsia="Times New Roman" w:hAnsi="Meta Pro"/>
                <w:szCs w:val="18"/>
                <w:lang w:eastAsia="en-AU"/>
              </w:rPr>
            </w:pPr>
            <w:r w:rsidRPr="001B59E9">
              <w:rPr>
                <w:rFonts w:ascii="Meta Pro" w:eastAsia="Times New Roman" w:hAnsi="Meta Pro"/>
                <w:szCs w:val="18"/>
                <w:lang w:eastAsia="en-AU"/>
              </w:rPr>
              <w:t>User charges, fees and fines</w:t>
            </w:r>
          </w:p>
        </w:tc>
        <w:tc>
          <w:tcPr>
            <w:tcW w:w="1137" w:type="dxa"/>
            <w:tcBorders>
              <w:top w:val="nil"/>
              <w:left w:val="nil"/>
              <w:bottom w:val="nil"/>
              <w:right w:val="nil"/>
            </w:tcBorders>
            <w:shd w:val="clear" w:color="auto" w:fill="auto"/>
            <w:noWrap/>
            <w:vAlign w:val="center"/>
            <w:hideMark/>
          </w:tcPr>
          <w:p w14:paraId="6311B4A9" w14:textId="77777777" w:rsidR="00BC5219" w:rsidRPr="001B59E9" w:rsidRDefault="00BC5219" w:rsidP="00E83802">
            <w:pPr>
              <w:jc w:val="right"/>
              <w:rPr>
                <w:rFonts w:ascii="Meta Pro" w:eastAsia="Times New Roman" w:hAnsi="Meta Pro"/>
                <w:szCs w:val="18"/>
                <w:lang w:eastAsia="en-AU"/>
              </w:rPr>
            </w:pPr>
            <w:r w:rsidRPr="001B59E9">
              <w:rPr>
                <w:rFonts w:ascii="Meta Pro" w:eastAsia="Times New Roman" w:hAnsi="Meta Pro"/>
                <w:szCs w:val="18"/>
                <w:lang w:eastAsia="en-AU"/>
              </w:rPr>
              <w:t xml:space="preserve">2,871,201 </w:t>
            </w:r>
          </w:p>
        </w:tc>
        <w:tc>
          <w:tcPr>
            <w:tcW w:w="198" w:type="dxa"/>
            <w:tcBorders>
              <w:top w:val="nil"/>
              <w:left w:val="nil"/>
              <w:bottom w:val="nil"/>
              <w:right w:val="nil"/>
            </w:tcBorders>
            <w:shd w:val="clear" w:color="auto" w:fill="auto"/>
            <w:noWrap/>
            <w:vAlign w:val="center"/>
            <w:hideMark/>
          </w:tcPr>
          <w:p w14:paraId="394C9847" w14:textId="77777777" w:rsidR="00BC5219" w:rsidRPr="001B59E9" w:rsidRDefault="00BC5219" w:rsidP="00E83802">
            <w:pPr>
              <w:jc w:val="right"/>
              <w:rPr>
                <w:rFonts w:ascii="Meta Pro" w:eastAsia="Times New Roman" w:hAnsi="Meta Pro"/>
                <w:szCs w:val="18"/>
                <w:lang w:eastAsia="en-AU"/>
              </w:rPr>
            </w:pPr>
          </w:p>
        </w:tc>
        <w:tc>
          <w:tcPr>
            <w:tcW w:w="1137" w:type="dxa"/>
            <w:tcBorders>
              <w:top w:val="nil"/>
              <w:left w:val="nil"/>
              <w:bottom w:val="nil"/>
              <w:right w:val="nil"/>
            </w:tcBorders>
            <w:shd w:val="clear" w:color="auto" w:fill="auto"/>
            <w:noWrap/>
            <w:vAlign w:val="center"/>
            <w:hideMark/>
          </w:tcPr>
          <w:p w14:paraId="4A7AB050" w14:textId="77777777" w:rsidR="00BC5219" w:rsidRPr="001B59E9" w:rsidRDefault="00BC5219" w:rsidP="00E83802">
            <w:pPr>
              <w:jc w:val="right"/>
              <w:rPr>
                <w:rFonts w:ascii="Meta Pro" w:eastAsia="Times New Roman" w:hAnsi="Meta Pro"/>
                <w:szCs w:val="18"/>
                <w:lang w:eastAsia="en-AU"/>
              </w:rPr>
            </w:pPr>
            <w:r w:rsidRPr="001B59E9">
              <w:rPr>
                <w:rFonts w:ascii="Meta Pro" w:eastAsia="Times New Roman" w:hAnsi="Meta Pro"/>
                <w:szCs w:val="18"/>
                <w:lang w:eastAsia="en-AU"/>
              </w:rPr>
              <w:t xml:space="preserve">2,989,422 </w:t>
            </w:r>
          </w:p>
        </w:tc>
        <w:tc>
          <w:tcPr>
            <w:tcW w:w="198" w:type="dxa"/>
            <w:tcBorders>
              <w:top w:val="nil"/>
              <w:left w:val="nil"/>
              <w:bottom w:val="nil"/>
              <w:right w:val="nil"/>
            </w:tcBorders>
            <w:shd w:val="clear" w:color="auto" w:fill="auto"/>
            <w:noWrap/>
            <w:vAlign w:val="center"/>
            <w:hideMark/>
          </w:tcPr>
          <w:p w14:paraId="5FCAC2B4" w14:textId="77777777" w:rsidR="00BC5219" w:rsidRPr="001B59E9" w:rsidRDefault="00BC5219" w:rsidP="00E83802">
            <w:pPr>
              <w:jc w:val="right"/>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009C64D6" w14:textId="77777777" w:rsidR="00BC5219" w:rsidRPr="001B59E9" w:rsidRDefault="00BC5219" w:rsidP="00E83802">
            <w:pPr>
              <w:jc w:val="right"/>
              <w:rPr>
                <w:rFonts w:ascii="Meta Pro" w:eastAsia="Times New Roman" w:hAnsi="Meta Pro"/>
                <w:szCs w:val="18"/>
                <w:lang w:eastAsia="en-AU"/>
              </w:rPr>
            </w:pPr>
            <w:r w:rsidRPr="001B59E9">
              <w:rPr>
                <w:rFonts w:ascii="Meta Pro" w:eastAsia="Times New Roman" w:hAnsi="Meta Pro"/>
                <w:szCs w:val="18"/>
                <w:lang w:eastAsia="en-AU"/>
              </w:rPr>
              <w:t xml:space="preserve">118,221 </w:t>
            </w:r>
          </w:p>
        </w:tc>
      </w:tr>
      <w:tr w:rsidR="00BC5219" w:rsidRPr="001B59E9" w14:paraId="439090FA" w14:textId="77777777" w:rsidTr="00E83802">
        <w:trPr>
          <w:trHeight w:val="198"/>
        </w:trPr>
        <w:tc>
          <w:tcPr>
            <w:tcW w:w="6350" w:type="dxa"/>
            <w:tcBorders>
              <w:top w:val="nil"/>
              <w:left w:val="nil"/>
              <w:bottom w:val="nil"/>
              <w:right w:val="nil"/>
            </w:tcBorders>
            <w:shd w:val="clear" w:color="auto" w:fill="auto"/>
            <w:noWrap/>
            <w:vAlign w:val="center"/>
            <w:hideMark/>
          </w:tcPr>
          <w:p w14:paraId="2C3B0AC2" w14:textId="77777777" w:rsidR="00BC5219" w:rsidRPr="001B59E9" w:rsidRDefault="00BC5219" w:rsidP="00E83802">
            <w:pPr>
              <w:rPr>
                <w:rFonts w:ascii="Meta Pro" w:eastAsia="Times New Roman" w:hAnsi="Meta Pro"/>
                <w:szCs w:val="18"/>
                <w:lang w:eastAsia="en-AU"/>
              </w:rPr>
            </w:pPr>
            <w:r w:rsidRPr="001B59E9">
              <w:rPr>
                <w:rFonts w:ascii="Meta Pro" w:eastAsia="Times New Roman" w:hAnsi="Meta Pro"/>
                <w:szCs w:val="18"/>
                <w:lang w:eastAsia="en-AU"/>
              </w:rPr>
              <w:t>Other</w:t>
            </w:r>
          </w:p>
        </w:tc>
        <w:tc>
          <w:tcPr>
            <w:tcW w:w="1137" w:type="dxa"/>
            <w:tcBorders>
              <w:top w:val="nil"/>
              <w:left w:val="nil"/>
              <w:bottom w:val="nil"/>
              <w:right w:val="nil"/>
            </w:tcBorders>
            <w:shd w:val="clear" w:color="auto" w:fill="auto"/>
            <w:noWrap/>
            <w:vAlign w:val="center"/>
            <w:hideMark/>
          </w:tcPr>
          <w:p w14:paraId="7018911F" w14:textId="77777777" w:rsidR="00BC5219" w:rsidRPr="001B59E9" w:rsidRDefault="00BC5219" w:rsidP="00E83802">
            <w:pPr>
              <w:jc w:val="right"/>
              <w:rPr>
                <w:rFonts w:ascii="Meta Pro" w:eastAsia="Times New Roman" w:hAnsi="Meta Pro"/>
                <w:szCs w:val="18"/>
                <w:lang w:eastAsia="en-AU"/>
              </w:rPr>
            </w:pPr>
            <w:r w:rsidRPr="001B59E9">
              <w:rPr>
                <w:rFonts w:ascii="Meta Pro" w:eastAsia="Times New Roman" w:hAnsi="Meta Pro"/>
                <w:szCs w:val="18"/>
                <w:lang w:eastAsia="en-AU"/>
              </w:rPr>
              <w:t xml:space="preserve">9,757 </w:t>
            </w:r>
          </w:p>
        </w:tc>
        <w:tc>
          <w:tcPr>
            <w:tcW w:w="198" w:type="dxa"/>
            <w:tcBorders>
              <w:top w:val="nil"/>
              <w:left w:val="nil"/>
              <w:bottom w:val="nil"/>
              <w:right w:val="nil"/>
            </w:tcBorders>
            <w:shd w:val="clear" w:color="auto" w:fill="auto"/>
            <w:noWrap/>
            <w:vAlign w:val="center"/>
            <w:hideMark/>
          </w:tcPr>
          <w:p w14:paraId="7984563F" w14:textId="77777777" w:rsidR="00BC5219" w:rsidRPr="001B59E9" w:rsidRDefault="00BC5219" w:rsidP="00E83802">
            <w:pPr>
              <w:jc w:val="right"/>
              <w:rPr>
                <w:rFonts w:ascii="Meta Pro" w:eastAsia="Times New Roman" w:hAnsi="Meta Pro"/>
                <w:szCs w:val="18"/>
                <w:lang w:eastAsia="en-AU"/>
              </w:rPr>
            </w:pPr>
          </w:p>
        </w:tc>
        <w:tc>
          <w:tcPr>
            <w:tcW w:w="1137" w:type="dxa"/>
            <w:tcBorders>
              <w:top w:val="nil"/>
              <w:left w:val="nil"/>
              <w:bottom w:val="nil"/>
              <w:right w:val="nil"/>
            </w:tcBorders>
            <w:shd w:val="clear" w:color="auto" w:fill="auto"/>
            <w:noWrap/>
            <w:vAlign w:val="center"/>
            <w:hideMark/>
          </w:tcPr>
          <w:p w14:paraId="64ED9A68" w14:textId="77777777" w:rsidR="00BC5219" w:rsidRPr="001B59E9" w:rsidRDefault="00BC5219" w:rsidP="00E83802">
            <w:pPr>
              <w:jc w:val="right"/>
              <w:rPr>
                <w:rFonts w:ascii="Meta Pro" w:eastAsia="Times New Roman" w:hAnsi="Meta Pro"/>
                <w:szCs w:val="18"/>
                <w:lang w:eastAsia="en-AU"/>
              </w:rPr>
            </w:pPr>
            <w:r w:rsidRPr="001B59E9">
              <w:rPr>
                <w:rFonts w:ascii="Meta Pro" w:eastAsia="Times New Roman" w:hAnsi="Meta Pro"/>
                <w:szCs w:val="18"/>
                <w:lang w:eastAsia="en-AU"/>
              </w:rPr>
              <w:t xml:space="preserve">10,410 </w:t>
            </w:r>
          </w:p>
        </w:tc>
        <w:tc>
          <w:tcPr>
            <w:tcW w:w="198" w:type="dxa"/>
            <w:tcBorders>
              <w:top w:val="nil"/>
              <w:left w:val="nil"/>
              <w:bottom w:val="nil"/>
              <w:right w:val="nil"/>
            </w:tcBorders>
            <w:shd w:val="clear" w:color="auto" w:fill="auto"/>
            <w:noWrap/>
            <w:vAlign w:val="center"/>
            <w:hideMark/>
          </w:tcPr>
          <w:p w14:paraId="0A497ACD" w14:textId="77777777" w:rsidR="00BC5219" w:rsidRPr="001B59E9" w:rsidRDefault="00BC5219" w:rsidP="00E83802">
            <w:pPr>
              <w:jc w:val="right"/>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3FF8B6FB" w14:textId="77777777" w:rsidR="00BC5219" w:rsidRPr="001B59E9" w:rsidRDefault="00BC5219" w:rsidP="00E83802">
            <w:pPr>
              <w:jc w:val="right"/>
              <w:rPr>
                <w:rFonts w:ascii="Meta Pro" w:eastAsia="Times New Roman" w:hAnsi="Meta Pro"/>
                <w:szCs w:val="18"/>
                <w:lang w:eastAsia="en-AU"/>
              </w:rPr>
            </w:pPr>
            <w:r w:rsidRPr="001B59E9">
              <w:rPr>
                <w:rFonts w:ascii="Meta Pro" w:eastAsia="Times New Roman" w:hAnsi="Meta Pro"/>
                <w:szCs w:val="18"/>
                <w:lang w:eastAsia="en-AU"/>
              </w:rPr>
              <w:t xml:space="preserve">653 </w:t>
            </w:r>
          </w:p>
        </w:tc>
      </w:tr>
      <w:tr w:rsidR="00BC5219" w:rsidRPr="001B59E9" w14:paraId="267AC70D" w14:textId="77777777" w:rsidTr="00E83802">
        <w:trPr>
          <w:trHeight w:val="198"/>
        </w:trPr>
        <w:tc>
          <w:tcPr>
            <w:tcW w:w="6350" w:type="dxa"/>
            <w:tcBorders>
              <w:top w:val="single" w:sz="4" w:space="0" w:color="auto"/>
              <w:left w:val="nil"/>
              <w:bottom w:val="nil"/>
              <w:right w:val="nil"/>
            </w:tcBorders>
            <w:shd w:val="clear" w:color="auto" w:fill="auto"/>
            <w:noWrap/>
            <w:vAlign w:val="center"/>
            <w:hideMark/>
          </w:tcPr>
          <w:p w14:paraId="1C169FD6" w14:textId="77777777" w:rsidR="00BC5219" w:rsidRPr="001B59E9" w:rsidRDefault="00BC5219" w:rsidP="00E83802">
            <w:pPr>
              <w:rPr>
                <w:rFonts w:ascii="Meta Pro" w:eastAsia="Times New Roman" w:hAnsi="Meta Pro"/>
                <w:b/>
                <w:bCs/>
                <w:szCs w:val="18"/>
                <w:lang w:eastAsia="en-AU"/>
              </w:rPr>
            </w:pPr>
            <w:r w:rsidRPr="001B59E9">
              <w:rPr>
                <w:rFonts w:ascii="Meta Pro" w:eastAsia="Times New Roman" w:hAnsi="Meta Pro"/>
                <w:b/>
                <w:bCs/>
                <w:szCs w:val="18"/>
                <w:lang w:eastAsia="en-AU"/>
              </w:rPr>
              <w:t>Total income</w:t>
            </w:r>
          </w:p>
        </w:tc>
        <w:tc>
          <w:tcPr>
            <w:tcW w:w="1137" w:type="dxa"/>
            <w:tcBorders>
              <w:top w:val="single" w:sz="4" w:space="0" w:color="auto"/>
              <w:left w:val="nil"/>
              <w:bottom w:val="nil"/>
              <w:right w:val="nil"/>
            </w:tcBorders>
            <w:shd w:val="clear" w:color="auto" w:fill="auto"/>
            <w:noWrap/>
            <w:vAlign w:val="center"/>
            <w:hideMark/>
          </w:tcPr>
          <w:p w14:paraId="2AFEA67E" w14:textId="77777777" w:rsidR="00BC5219" w:rsidRPr="001B59E9" w:rsidRDefault="00BC5219" w:rsidP="00E83802">
            <w:pPr>
              <w:jc w:val="right"/>
              <w:rPr>
                <w:rFonts w:ascii="Meta Pro" w:eastAsia="Times New Roman" w:hAnsi="Meta Pro"/>
                <w:b/>
                <w:bCs/>
                <w:szCs w:val="18"/>
                <w:lang w:eastAsia="en-AU"/>
              </w:rPr>
            </w:pPr>
            <w:r w:rsidRPr="001B59E9">
              <w:rPr>
                <w:rFonts w:ascii="Meta Pro" w:eastAsia="Times New Roman" w:hAnsi="Meta Pro"/>
                <w:b/>
                <w:bCs/>
                <w:szCs w:val="18"/>
                <w:lang w:eastAsia="en-AU"/>
              </w:rPr>
              <w:t xml:space="preserve">3,062,993 </w:t>
            </w:r>
          </w:p>
        </w:tc>
        <w:tc>
          <w:tcPr>
            <w:tcW w:w="198" w:type="dxa"/>
            <w:tcBorders>
              <w:top w:val="single" w:sz="4" w:space="0" w:color="auto"/>
              <w:left w:val="nil"/>
              <w:bottom w:val="nil"/>
              <w:right w:val="nil"/>
            </w:tcBorders>
            <w:shd w:val="clear" w:color="auto" w:fill="auto"/>
            <w:noWrap/>
            <w:vAlign w:val="center"/>
            <w:hideMark/>
          </w:tcPr>
          <w:p w14:paraId="0645E9C6" w14:textId="77777777" w:rsidR="00BC5219" w:rsidRPr="001B59E9" w:rsidRDefault="00BC5219" w:rsidP="00E83802">
            <w:pPr>
              <w:jc w:val="right"/>
              <w:rPr>
                <w:rFonts w:ascii="Meta Pro" w:eastAsia="Times New Roman" w:hAnsi="Meta Pro"/>
                <w:b/>
                <w:bCs/>
                <w:szCs w:val="18"/>
                <w:lang w:eastAsia="en-AU"/>
              </w:rPr>
            </w:pPr>
            <w:r w:rsidRPr="001B59E9">
              <w:rPr>
                <w:rFonts w:ascii="Meta Pro" w:eastAsia="Times New Roman" w:hAnsi="Meta Pro"/>
                <w:b/>
                <w:bCs/>
                <w:szCs w:val="18"/>
                <w:lang w:eastAsia="en-AU"/>
              </w:rPr>
              <w:t> </w:t>
            </w:r>
          </w:p>
        </w:tc>
        <w:tc>
          <w:tcPr>
            <w:tcW w:w="1137" w:type="dxa"/>
            <w:tcBorders>
              <w:top w:val="single" w:sz="4" w:space="0" w:color="auto"/>
              <w:left w:val="nil"/>
              <w:bottom w:val="nil"/>
              <w:right w:val="nil"/>
            </w:tcBorders>
            <w:shd w:val="clear" w:color="auto" w:fill="auto"/>
            <w:noWrap/>
            <w:vAlign w:val="center"/>
            <w:hideMark/>
          </w:tcPr>
          <w:p w14:paraId="4325F4AC" w14:textId="77777777" w:rsidR="00BC5219" w:rsidRPr="001B59E9" w:rsidRDefault="00BC5219" w:rsidP="00E83802">
            <w:pPr>
              <w:jc w:val="right"/>
              <w:rPr>
                <w:rFonts w:ascii="Meta Pro" w:eastAsia="Times New Roman" w:hAnsi="Meta Pro"/>
                <w:b/>
                <w:bCs/>
                <w:szCs w:val="18"/>
                <w:lang w:eastAsia="en-AU"/>
              </w:rPr>
            </w:pPr>
            <w:r w:rsidRPr="001B59E9">
              <w:rPr>
                <w:rFonts w:ascii="Meta Pro" w:eastAsia="Times New Roman" w:hAnsi="Meta Pro"/>
                <w:b/>
                <w:bCs/>
                <w:szCs w:val="18"/>
                <w:lang w:eastAsia="en-AU"/>
              </w:rPr>
              <w:t xml:space="preserve">3,081,383 </w:t>
            </w:r>
          </w:p>
        </w:tc>
        <w:tc>
          <w:tcPr>
            <w:tcW w:w="198" w:type="dxa"/>
            <w:tcBorders>
              <w:top w:val="single" w:sz="4" w:space="0" w:color="auto"/>
              <w:left w:val="nil"/>
              <w:bottom w:val="nil"/>
              <w:right w:val="nil"/>
            </w:tcBorders>
            <w:shd w:val="clear" w:color="auto" w:fill="auto"/>
            <w:noWrap/>
            <w:vAlign w:val="center"/>
            <w:hideMark/>
          </w:tcPr>
          <w:p w14:paraId="2228369D" w14:textId="77777777" w:rsidR="00BC5219" w:rsidRPr="001B59E9" w:rsidRDefault="00BC5219" w:rsidP="00E83802">
            <w:pPr>
              <w:jc w:val="right"/>
              <w:rPr>
                <w:rFonts w:ascii="Meta Pro" w:eastAsia="Times New Roman" w:hAnsi="Meta Pro"/>
                <w:b/>
                <w:bCs/>
                <w:szCs w:val="18"/>
                <w:lang w:eastAsia="en-AU"/>
              </w:rPr>
            </w:pPr>
            <w:r w:rsidRPr="001B59E9">
              <w:rPr>
                <w:rFonts w:ascii="Meta Pro" w:eastAsia="Times New Roman" w:hAnsi="Meta Pro"/>
                <w:b/>
                <w:bCs/>
                <w:szCs w:val="18"/>
                <w:lang w:eastAsia="en-AU"/>
              </w:rPr>
              <w:t> </w:t>
            </w:r>
          </w:p>
        </w:tc>
        <w:tc>
          <w:tcPr>
            <w:tcW w:w="1140" w:type="dxa"/>
            <w:tcBorders>
              <w:top w:val="single" w:sz="4" w:space="0" w:color="auto"/>
              <w:left w:val="nil"/>
              <w:bottom w:val="nil"/>
              <w:right w:val="nil"/>
            </w:tcBorders>
            <w:shd w:val="clear" w:color="auto" w:fill="auto"/>
            <w:noWrap/>
            <w:vAlign w:val="center"/>
            <w:hideMark/>
          </w:tcPr>
          <w:p w14:paraId="7BC3ED7D" w14:textId="77777777" w:rsidR="00BC5219" w:rsidRPr="001B59E9" w:rsidRDefault="00BC5219" w:rsidP="00E83802">
            <w:pPr>
              <w:jc w:val="right"/>
              <w:rPr>
                <w:rFonts w:ascii="Meta Pro" w:eastAsia="Times New Roman" w:hAnsi="Meta Pro"/>
                <w:b/>
                <w:bCs/>
                <w:szCs w:val="18"/>
                <w:lang w:eastAsia="en-AU"/>
              </w:rPr>
            </w:pPr>
            <w:r w:rsidRPr="001B59E9">
              <w:rPr>
                <w:rFonts w:ascii="Meta Pro" w:eastAsia="Times New Roman" w:hAnsi="Meta Pro"/>
                <w:b/>
                <w:bCs/>
                <w:szCs w:val="18"/>
                <w:lang w:eastAsia="en-AU"/>
              </w:rPr>
              <w:t xml:space="preserve">18,390 </w:t>
            </w:r>
          </w:p>
        </w:tc>
      </w:tr>
      <w:tr w:rsidR="00BC5219" w:rsidRPr="001B59E9" w14:paraId="44809ECA" w14:textId="77777777" w:rsidTr="00E83802">
        <w:trPr>
          <w:trHeight w:val="198"/>
        </w:trPr>
        <w:tc>
          <w:tcPr>
            <w:tcW w:w="6350" w:type="dxa"/>
            <w:tcBorders>
              <w:top w:val="nil"/>
              <w:left w:val="nil"/>
              <w:bottom w:val="nil"/>
              <w:right w:val="nil"/>
            </w:tcBorders>
            <w:shd w:val="clear" w:color="auto" w:fill="auto"/>
            <w:noWrap/>
            <w:vAlign w:val="center"/>
            <w:hideMark/>
          </w:tcPr>
          <w:p w14:paraId="4F331444" w14:textId="77777777" w:rsidR="00BC5219" w:rsidRPr="001B59E9" w:rsidRDefault="00BC5219" w:rsidP="00E83802">
            <w:pPr>
              <w:jc w:val="right"/>
              <w:rPr>
                <w:rFonts w:ascii="Meta Pro" w:eastAsia="Times New Roman" w:hAnsi="Meta Pro"/>
                <w:b/>
                <w:bCs/>
                <w:szCs w:val="18"/>
                <w:lang w:eastAsia="en-AU"/>
              </w:rPr>
            </w:pPr>
          </w:p>
        </w:tc>
        <w:tc>
          <w:tcPr>
            <w:tcW w:w="1137" w:type="dxa"/>
            <w:tcBorders>
              <w:top w:val="nil"/>
              <w:left w:val="nil"/>
              <w:bottom w:val="nil"/>
              <w:right w:val="nil"/>
            </w:tcBorders>
            <w:shd w:val="clear" w:color="auto" w:fill="auto"/>
            <w:noWrap/>
            <w:vAlign w:val="center"/>
            <w:hideMark/>
          </w:tcPr>
          <w:p w14:paraId="759D46AC" w14:textId="77777777" w:rsidR="00BC5219" w:rsidRPr="001B59E9" w:rsidRDefault="00BC5219" w:rsidP="00E83802">
            <w:pPr>
              <w:rPr>
                <w:rFonts w:ascii="Times New Roman" w:eastAsia="Times New Roman" w:hAnsi="Times New Roman"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2DAD29C0" w14:textId="77777777" w:rsidR="00BC5219" w:rsidRPr="001B59E9" w:rsidRDefault="00BC5219" w:rsidP="00E83802">
            <w:pPr>
              <w:jc w:val="right"/>
              <w:rPr>
                <w:rFonts w:ascii="Times New Roman" w:eastAsia="Times New Roman" w:hAnsi="Times New Roman" w:cs="Times New Roman"/>
                <w:sz w:val="20"/>
                <w:szCs w:val="20"/>
                <w:lang w:eastAsia="en-AU"/>
              </w:rPr>
            </w:pPr>
          </w:p>
        </w:tc>
        <w:tc>
          <w:tcPr>
            <w:tcW w:w="1137" w:type="dxa"/>
            <w:tcBorders>
              <w:top w:val="nil"/>
              <w:left w:val="nil"/>
              <w:bottom w:val="nil"/>
              <w:right w:val="nil"/>
            </w:tcBorders>
            <w:shd w:val="clear" w:color="auto" w:fill="auto"/>
            <w:noWrap/>
            <w:vAlign w:val="center"/>
            <w:hideMark/>
          </w:tcPr>
          <w:p w14:paraId="67276890" w14:textId="77777777" w:rsidR="00BC5219" w:rsidRPr="001B59E9" w:rsidRDefault="00BC5219" w:rsidP="00E83802">
            <w:pPr>
              <w:jc w:val="right"/>
              <w:rPr>
                <w:rFonts w:ascii="Times New Roman" w:eastAsia="Times New Roman" w:hAnsi="Times New Roman"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6DE356E5" w14:textId="77777777" w:rsidR="00BC5219" w:rsidRPr="001B59E9" w:rsidRDefault="00BC5219" w:rsidP="00E83802">
            <w:pPr>
              <w:jc w:val="right"/>
              <w:rPr>
                <w:rFonts w:ascii="Times New Roman" w:eastAsia="Times New Roman" w:hAnsi="Times New Roman" w:cs="Times New Roman"/>
                <w:sz w:val="20"/>
                <w:szCs w:val="20"/>
                <w:lang w:eastAsia="en-AU"/>
              </w:rPr>
            </w:pPr>
          </w:p>
        </w:tc>
        <w:tc>
          <w:tcPr>
            <w:tcW w:w="1140" w:type="dxa"/>
            <w:tcBorders>
              <w:top w:val="nil"/>
              <w:left w:val="nil"/>
              <w:bottom w:val="nil"/>
              <w:right w:val="nil"/>
            </w:tcBorders>
            <w:shd w:val="clear" w:color="auto" w:fill="auto"/>
            <w:noWrap/>
            <w:vAlign w:val="center"/>
            <w:hideMark/>
          </w:tcPr>
          <w:p w14:paraId="45896F53" w14:textId="77777777" w:rsidR="00BC5219" w:rsidRPr="001B59E9" w:rsidRDefault="00BC5219" w:rsidP="00E83802">
            <w:pPr>
              <w:jc w:val="right"/>
              <w:rPr>
                <w:rFonts w:ascii="Times New Roman" w:eastAsia="Times New Roman" w:hAnsi="Times New Roman" w:cs="Times New Roman"/>
                <w:sz w:val="20"/>
                <w:szCs w:val="20"/>
                <w:lang w:eastAsia="en-AU"/>
              </w:rPr>
            </w:pPr>
          </w:p>
        </w:tc>
      </w:tr>
      <w:tr w:rsidR="00BC5219" w:rsidRPr="001B59E9" w14:paraId="477CEFAB" w14:textId="77777777" w:rsidTr="00E83802">
        <w:trPr>
          <w:trHeight w:val="198"/>
        </w:trPr>
        <w:tc>
          <w:tcPr>
            <w:tcW w:w="6350" w:type="dxa"/>
            <w:tcBorders>
              <w:top w:val="nil"/>
              <w:left w:val="nil"/>
              <w:bottom w:val="nil"/>
              <w:right w:val="nil"/>
            </w:tcBorders>
            <w:shd w:val="clear" w:color="auto" w:fill="auto"/>
            <w:noWrap/>
            <w:vAlign w:val="center"/>
            <w:hideMark/>
          </w:tcPr>
          <w:p w14:paraId="15588AD8" w14:textId="77777777" w:rsidR="00BC5219" w:rsidRPr="001B59E9" w:rsidRDefault="00BC5219" w:rsidP="00E83802">
            <w:pPr>
              <w:rPr>
                <w:rFonts w:ascii="Meta Pro" w:eastAsia="Times New Roman" w:hAnsi="Meta Pro"/>
                <w:b/>
                <w:bCs/>
                <w:szCs w:val="18"/>
                <w:lang w:eastAsia="en-AU"/>
              </w:rPr>
            </w:pPr>
            <w:r w:rsidRPr="001B59E9">
              <w:rPr>
                <w:rFonts w:ascii="Meta Pro" w:eastAsia="Times New Roman" w:hAnsi="Meta Pro"/>
                <w:b/>
                <w:bCs/>
                <w:szCs w:val="18"/>
                <w:lang w:eastAsia="en-AU"/>
              </w:rPr>
              <w:t>Administered expenses</w:t>
            </w:r>
          </w:p>
        </w:tc>
        <w:tc>
          <w:tcPr>
            <w:tcW w:w="1137" w:type="dxa"/>
            <w:tcBorders>
              <w:top w:val="nil"/>
              <w:left w:val="nil"/>
              <w:bottom w:val="nil"/>
              <w:right w:val="nil"/>
            </w:tcBorders>
            <w:shd w:val="clear" w:color="auto" w:fill="auto"/>
            <w:noWrap/>
            <w:vAlign w:val="center"/>
            <w:hideMark/>
          </w:tcPr>
          <w:p w14:paraId="00D343AF" w14:textId="77777777" w:rsidR="00BC5219" w:rsidRPr="001B59E9" w:rsidRDefault="00BC5219" w:rsidP="00E83802">
            <w:pPr>
              <w:rPr>
                <w:rFonts w:ascii="Meta Pro" w:eastAsia="Times New Roman" w:hAnsi="Meta Pro"/>
                <w:b/>
                <w:bCs/>
                <w:szCs w:val="18"/>
                <w:lang w:eastAsia="en-AU"/>
              </w:rPr>
            </w:pPr>
          </w:p>
        </w:tc>
        <w:tc>
          <w:tcPr>
            <w:tcW w:w="198" w:type="dxa"/>
            <w:tcBorders>
              <w:top w:val="nil"/>
              <w:left w:val="nil"/>
              <w:bottom w:val="nil"/>
              <w:right w:val="nil"/>
            </w:tcBorders>
            <w:shd w:val="clear" w:color="auto" w:fill="auto"/>
            <w:noWrap/>
            <w:vAlign w:val="center"/>
            <w:hideMark/>
          </w:tcPr>
          <w:p w14:paraId="43D8416D" w14:textId="77777777" w:rsidR="00BC5219" w:rsidRPr="001B59E9" w:rsidRDefault="00BC5219" w:rsidP="00E83802">
            <w:pPr>
              <w:rPr>
                <w:rFonts w:ascii="Times New Roman" w:eastAsia="Times New Roman" w:hAnsi="Times New Roman" w:cs="Times New Roman"/>
                <w:sz w:val="20"/>
                <w:szCs w:val="20"/>
                <w:lang w:eastAsia="en-AU"/>
              </w:rPr>
            </w:pPr>
          </w:p>
        </w:tc>
        <w:tc>
          <w:tcPr>
            <w:tcW w:w="1137" w:type="dxa"/>
            <w:tcBorders>
              <w:top w:val="nil"/>
              <w:left w:val="nil"/>
              <w:bottom w:val="nil"/>
              <w:right w:val="nil"/>
            </w:tcBorders>
            <w:shd w:val="clear" w:color="auto" w:fill="auto"/>
            <w:noWrap/>
            <w:vAlign w:val="center"/>
            <w:hideMark/>
          </w:tcPr>
          <w:p w14:paraId="5A52DCEC" w14:textId="77777777" w:rsidR="00BC5219" w:rsidRPr="001B59E9" w:rsidRDefault="00BC5219" w:rsidP="00E83802">
            <w:pPr>
              <w:jc w:val="center"/>
              <w:rPr>
                <w:rFonts w:ascii="Times New Roman" w:eastAsia="Times New Roman" w:hAnsi="Times New Roman"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37F2255F" w14:textId="77777777" w:rsidR="00BC5219" w:rsidRPr="001B59E9" w:rsidRDefault="00BC5219" w:rsidP="00E83802">
            <w:pPr>
              <w:rPr>
                <w:rFonts w:ascii="Times New Roman" w:eastAsia="Times New Roman" w:hAnsi="Times New Roman" w:cs="Times New Roman"/>
                <w:sz w:val="20"/>
                <w:szCs w:val="20"/>
                <w:lang w:eastAsia="en-AU"/>
              </w:rPr>
            </w:pPr>
          </w:p>
        </w:tc>
        <w:tc>
          <w:tcPr>
            <w:tcW w:w="1140" w:type="dxa"/>
            <w:tcBorders>
              <w:top w:val="nil"/>
              <w:left w:val="nil"/>
              <w:bottom w:val="nil"/>
              <w:right w:val="nil"/>
            </w:tcBorders>
            <w:shd w:val="clear" w:color="auto" w:fill="auto"/>
            <w:noWrap/>
            <w:vAlign w:val="center"/>
            <w:hideMark/>
          </w:tcPr>
          <w:p w14:paraId="5F908CF8" w14:textId="77777777" w:rsidR="00BC5219" w:rsidRPr="001B59E9" w:rsidRDefault="00BC5219" w:rsidP="00E83802">
            <w:pPr>
              <w:jc w:val="center"/>
              <w:rPr>
                <w:rFonts w:ascii="Times New Roman" w:eastAsia="Times New Roman" w:hAnsi="Times New Roman" w:cs="Times New Roman"/>
                <w:sz w:val="20"/>
                <w:szCs w:val="20"/>
                <w:lang w:eastAsia="en-AU"/>
              </w:rPr>
            </w:pPr>
          </w:p>
        </w:tc>
      </w:tr>
      <w:tr w:rsidR="00BC5219" w:rsidRPr="001B59E9" w14:paraId="11A526DE" w14:textId="77777777" w:rsidTr="00E83802">
        <w:trPr>
          <w:trHeight w:val="198"/>
        </w:trPr>
        <w:tc>
          <w:tcPr>
            <w:tcW w:w="6350" w:type="dxa"/>
            <w:tcBorders>
              <w:top w:val="nil"/>
              <w:left w:val="nil"/>
              <w:bottom w:val="nil"/>
              <w:right w:val="nil"/>
            </w:tcBorders>
            <w:shd w:val="clear" w:color="auto" w:fill="auto"/>
            <w:noWrap/>
            <w:vAlign w:val="center"/>
            <w:hideMark/>
          </w:tcPr>
          <w:p w14:paraId="1F034A57" w14:textId="77777777" w:rsidR="00BC5219" w:rsidRPr="001B59E9" w:rsidRDefault="00BC5219" w:rsidP="00E83802">
            <w:pPr>
              <w:rPr>
                <w:rFonts w:ascii="Meta Pro" w:eastAsia="Times New Roman" w:hAnsi="Meta Pro"/>
                <w:szCs w:val="18"/>
                <w:lang w:eastAsia="en-AU"/>
              </w:rPr>
            </w:pPr>
            <w:r w:rsidRPr="001B59E9">
              <w:rPr>
                <w:rFonts w:ascii="Meta Pro" w:eastAsia="Times New Roman" w:hAnsi="Meta Pro"/>
                <w:szCs w:val="18"/>
                <w:lang w:eastAsia="en-AU"/>
              </w:rPr>
              <w:t>Supplies and services</w:t>
            </w:r>
          </w:p>
        </w:tc>
        <w:tc>
          <w:tcPr>
            <w:tcW w:w="1137" w:type="dxa"/>
            <w:tcBorders>
              <w:top w:val="nil"/>
              <w:left w:val="nil"/>
              <w:bottom w:val="nil"/>
              <w:right w:val="nil"/>
            </w:tcBorders>
            <w:shd w:val="clear" w:color="auto" w:fill="auto"/>
            <w:noWrap/>
            <w:vAlign w:val="center"/>
            <w:hideMark/>
          </w:tcPr>
          <w:p w14:paraId="5C47AF90" w14:textId="77777777" w:rsidR="00BC5219" w:rsidRPr="001B59E9" w:rsidRDefault="00BC5219" w:rsidP="00E83802">
            <w:pPr>
              <w:jc w:val="right"/>
              <w:rPr>
                <w:rFonts w:ascii="Meta Pro" w:eastAsia="Times New Roman" w:hAnsi="Meta Pro"/>
                <w:szCs w:val="18"/>
                <w:lang w:eastAsia="en-AU"/>
              </w:rPr>
            </w:pPr>
            <w:r w:rsidRPr="001B59E9">
              <w:rPr>
                <w:rFonts w:ascii="Meta Pro" w:eastAsia="Times New Roman" w:hAnsi="Meta Pro"/>
                <w:szCs w:val="18"/>
                <w:lang w:eastAsia="en-AU"/>
              </w:rPr>
              <w:t xml:space="preserve">- </w:t>
            </w:r>
          </w:p>
        </w:tc>
        <w:tc>
          <w:tcPr>
            <w:tcW w:w="198" w:type="dxa"/>
            <w:tcBorders>
              <w:top w:val="nil"/>
              <w:left w:val="nil"/>
              <w:bottom w:val="nil"/>
              <w:right w:val="nil"/>
            </w:tcBorders>
            <w:shd w:val="clear" w:color="auto" w:fill="auto"/>
            <w:noWrap/>
            <w:vAlign w:val="center"/>
            <w:hideMark/>
          </w:tcPr>
          <w:p w14:paraId="45271DD9" w14:textId="77777777" w:rsidR="00BC5219" w:rsidRPr="001B59E9" w:rsidRDefault="00BC5219" w:rsidP="00E83802">
            <w:pPr>
              <w:jc w:val="right"/>
              <w:rPr>
                <w:rFonts w:ascii="Meta Pro" w:eastAsia="Times New Roman" w:hAnsi="Meta Pro"/>
                <w:szCs w:val="18"/>
                <w:lang w:eastAsia="en-AU"/>
              </w:rPr>
            </w:pPr>
          </w:p>
        </w:tc>
        <w:tc>
          <w:tcPr>
            <w:tcW w:w="1137" w:type="dxa"/>
            <w:tcBorders>
              <w:top w:val="nil"/>
              <w:left w:val="nil"/>
              <w:bottom w:val="nil"/>
              <w:right w:val="nil"/>
            </w:tcBorders>
            <w:shd w:val="clear" w:color="auto" w:fill="auto"/>
            <w:noWrap/>
            <w:vAlign w:val="center"/>
            <w:hideMark/>
          </w:tcPr>
          <w:p w14:paraId="08B0F550" w14:textId="77777777" w:rsidR="00BC5219" w:rsidRPr="001B59E9" w:rsidRDefault="00BC5219" w:rsidP="00E83802">
            <w:pPr>
              <w:jc w:val="right"/>
              <w:rPr>
                <w:rFonts w:ascii="Meta Pro" w:eastAsia="Times New Roman" w:hAnsi="Meta Pro"/>
                <w:szCs w:val="18"/>
                <w:lang w:eastAsia="en-AU"/>
              </w:rPr>
            </w:pPr>
            <w:r w:rsidRPr="001B59E9">
              <w:rPr>
                <w:rFonts w:ascii="Meta Pro" w:eastAsia="Times New Roman" w:hAnsi="Meta Pro"/>
                <w:szCs w:val="18"/>
                <w:lang w:eastAsia="en-AU"/>
              </w:rPr>
              <w:t xml:space="preserve">95 </w:t>
            </w:r>
          </w:p>
        </w:tc>
        <w:tc>
          <w:tcPr>
            <w:tcW w:w="198" w:type="dxa"/>
            <w:tcBorders>
              <w:top w:val="nil"/>
              <w:left w:val="nil"/>
              <w:bottom w:val="nil"/>
              <w:right w:val="nil"/>
            </w:tcBorders>
            <w:shd w:val="clear" w:color="auto" w:fill="auto"/>
            <w:noWrap/>
            <w:vAlign w:val="center"/>
            <w:hideMark/>
          </w:tcPr>
          <w:p w14:paraId="07BFAB9F" w14:textId="77777777" w:rsidR="00BC5219" w:rsidRPr="001B59E9" w:rsidRDefault="00BC5219" w:rsidP="00E83802">
            <w:pPr>
              <w:jc w:val="right"/>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5F27B705" w14:textId="77777777" w:rsidR="00BC5219" w:rsidRPr="001B59E9" w:rsidRDefault="00BC5219" w:rsidP="00E83802">
            <w:pPr>
              <w:jc w:val="right"/>
              <w:rPr>
                <w:rFonts w:ascii="Meta Pro" w:eastAsia="Times New Roman" w:hAnsi="Meta Pro"/>
                <w:szCs w:val="18"/>
                <w:lang w:eastAsia="en-AU"/>
              </w:rPr>
            </w:pPr>
            <w:r w:rsidRPr="001B59E9">
              <w:rPr>
                <w:rFonts w:ascii="Meta Pro" w:eastAsia="Times New Roman" w:hAnsi="Meta Pro"/>
                <w:szCs w:val="18"/>
                <w:lang w:eastAsia="en-AU"/>
              </w:rPr>
              <w:t xml:space="preserve">95 </w:t>
            </w:r>
          </w:p>
        </w:tc>
      </w:tr>
      <w:tr w:rsidR="00BC5219" w:rsidRPr="001B59E9" w14:paraId="3D082BB4" w14:textId="77777777" w:rsidTr="00E83802">
        <w:trPr>
          <w:trHeight w:val="198"/>
        </w:trPr>
        <w:tc>
          <w:tcPr>
            <w:tcW w:w="6350" w:type="dxa"/>
            <w:tcBorders>
              <w:top w:val="nil"/>
              <w:left w:val="nil"/>
              <w:bottom w:val="nil"/>
              <w:right w:val="nil"/>
            </w:tcBorders>
            <w:shd w:val="clear" w:color="auto" w:fill="auto"/>
            <w:noWrap/>
            <w:vAlign w:val="center"/>
            <w:hideMark/>
          </w:tcPr>
          <w:p w14:paraId="07D0C348" w14:textId="77777777" w:rsidR="00BC5219" w:rsidRPr="001B59E9" w:rsidRDefault="00BC5219" w:rsidP="00E83802">
            <w:pPr>
              <w:rPr>
                <w:rFonts w:ascii="Meta Pro" w:eastAsia="Times New Roman" w:hAnsi="Meta Pro"/>
                <w:szCs w:val="18"/>
                <w:lang w:eastAsia="en-AU"/>
              </w:rPr>
            </w:pPr>
            <w:r w:rsidRPr="001B59E9">
              <w:rPr>
                <w:rFonts w:ascii="Meta Pro" w:eastAsia="Times New Roman" w:hAnsi="Meta Pro"/>
                <w:szCs w:val="18"/>
                <w:lang w:eastAsia="en-AU"/>
              </w:rPr>
              <w:t>Grants and subsidies</w:t>
            </w:r>
          </w:p>
        </w:tc>
        <w:tc>
          <w:tcPr>
            <w:tcW w:w="1137" w:type="dxa"/>
            <w:tcBorders>
              <w:top w:val="nil"/>
              <w:left w:val="nil"/>
              <w:bottom w:val="nil"/>
              <w:right w:val="nil"/>
            </w:tcBorders>
            <w:shd w:val="clear" w:color="auto" w:fill="auto"/>
            <w:noWrap/>
            <w:vAlign w:val="center"/>
            <w:hideMark/>
          </w:tcPr>
          <w:p w14:paraId="6EE05035" w14:textId="77777777" w:rsidR="00BC5219" w:rsidRPr="001B59E9" w:rsidRDefault="00BC5219" w:rsidP="00E83802">
            <w:pPr>
              <w:jc w:val="right"/>
              <w:rPr>
                <w:rFonts w:ascii="Meta Pro" w:eastAsia="Times New Roman" w:hAnsi="Meta Pro"/>
                <w:szCs w:val="18"/>
                <w:lang w:eastAsia="en-AU"/>
              </w:rPr>
            </w:pPr>
            <w:r w:rsidRPr="001B59E9">
              <w:rPr>
                <w:rFonts w:ascii="Meta Pro" w:eastAsia="Times New Roman" w:hAnsi="Meta Pro"/>
                <w:szCs w:val="18"/>
                <w:lang w:eastAsia="en-AU"/>
              </w:rPr>
              <w:t xml:space="preserve">182,035 </w:t>
            </w:r>
          </w:p>
        </w:tc>
        <w:tc>
          <w:tcPr>
            <w:tcW w:w="198" w:type="dxa"/>
            <w:tcBorders>
              <w:top w:val="nil"/>
              <w:left w:val="nil"/>
              <w:bottom w:val="nil"/>
              <w:right w:val="nil"/>
            </w:tcBorders>
            <w:shd w:val="clear" w:color="auto" w:fill="auto"/>
            <w:noWrap/>
            <w:vAlign w:val="center"/>
            <w:hideMark/>
          </w:tcPr>
          <w:p w14:paraId="2E720428" w14:textId="77777777" w:rsidR="00BC5219" w:rsidRPr="001B59E9" w:rsidRDefault="00BC5219" w:rsidP="00E83802">
            <w:pPr>
              <w:jc w:val="right"/>
              <w:rPr>
                <w:rFonts w:ascii="Meta Pro" w:eastAsia="Times New Roman" w:hAnsi="Meta Pro"/>
                <w:szCs w:val="18"/>
                <w:lang w:eastAsia="en-AU"/>
              </w:rPr>
            </w:pPr>
          </w:p>
        </w:tc>
        <w:tc>
          <w:tcPr>
            <w:tcW w:w="1137" w:type="dxa"/>
            <w:tcBorders>
              <w:top w:val="nil"/>
              <w:left w:val="nil"/>
              <w:bottom w:val="nil"/>
              <w:right w:val="nil"/>
            </w:tcBorders>
            <w:shd w:val="clear" w:color="auto" w:fill="auto"/>
            <w:noWrap/>
            <w:vAlign w:val="center"/>
            <w:hideMark/>
          </w:tcPr>
          <w:p w14:paraId="67163298" w14:textId="77777777" w:rsidR="00BC5219" w:rsidRPr="001B59E9" w:rsidRDefault="00BC5219" w:rsidP="00E83802">
            <w:pPr>
              <w:jc w:val="right"/>
              <w:rPr>
                <w:rFonts w:ascii="Meta Pro" w:eastAsia="Times New Roman" w:hAnsi="Meta Pro"/>
                <w:szCs w:val="18"/>
                <w:lang w:eastAsia="en-AU"/>
              </w:rPr>
            </w:pPr>
            <w:r w:rsidRPr="001B59E9">
              <w:rPr>
                <w:rFonts w:ascii="Meta Pro" w:eastAsia="Times New Roman" w:hAnsi="Meta Pro"/>
                <w:szCs w:val="18"/>
                <w:lang w:eastAsia="en-AU"/>
              </w:rPr>
              <w:t xml:space="preserve">81,615 </w:t>
            </w:r>
          </w:p>
        </w:tc>
        <w:tc>
          <w:tcPr>
            <w:tcW w:w="198" w:type="dxa"/>
            <w:tcBorders>
              <w:top w:val="nil"/>
              <w:left w:val="nil"/>
              <w:bottom w:val="nil"/>
              <w:right w:val="nil"/>
            </w:tcBorders>
            <w:shd w:val="clear" w:color="auto" w:fill="auto"/>
            <w:noWrap/>
            <w:vAlign w:val="center"/>
            <w:hideMark/>
          </w:tcPr>
          <w:p w14:paraId="599FD6AC" w14:textId="77777777" w:rsidR="00BC5219" w:rsidRPr="001B59E9" w:rsidRDefault="00BC5219" w:rsidP="00E83802">
            <w:pPr>
              <w:jc w:val="right"/>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63FB5C13" w14:textId="77777777" w:rsidR="00BC5219" w:rsidRPr="001B59E9" w:rsidRDefault="00BC5219" w:rsidP="00E83802">
            <w:pPr>
              <w:jc w:val="right"/>
              <w:rPr>
                <w:rFonts w:ascii="Meta Pro" w:eastAsia="Times New Roman" w:hAnsi="Meta Pro"/>
                <w:szCs w:val="18"/>
                <w:lang w:eastAsia="en-AU"/>
              </w:rPr>
            </w:pPr>
            <w:r w:rsidRPr="001B59E9">
              <w:rPr>
                <w:rFonts w:ascii="Meta Pro" w:eastAsia="Times New Roman" w:hAnsi="Meta Pro"/>
                <w:szCs w:val="18"/>
                <w:lang w:eastAsia="en-AU"/>
              </w:rPr>
              <w:t>(100,420)</w:t>
            </w:r>
          </w:p>
        </w:tc>
      </w:tr>
      <w:tr w:rsidR="00BC5219" w:rsidRPr="001B59E9" w14:paraId="743D2FA0" w14:textId="77777777" w:rsidTr="00E83802">
        <w:trPr>
          <w:trHeight w:val="198"/>
        </w:trPr>
        <w:tc>
          <w:tcPr>
            <w:tcW w:w="6350" w:type="dxa"/>
            <w:tcBorders>
              <w:top w:val="nil"/>
              <w:left w:val="nil"/>
              <w:bottom w:val="nil"/>
              <w:right w:val="nil"/>
            </w:tcBorders>
            <w:shd w:val="clear" w:color="auto" w:fill="auto"/>
            <w:noWrap/>
            <w:vAlign w:val="center"/>
            <w:hideMark/>
          </w:tcPr>
          <w:p w14:paraId="7D817A52" w14:textId="77777777" w:rsidR="00BC5219" w:rsidRPr="001B59E9" w:rsidRDefault="00BC5219" w:rsidP="00E83802">
            <w:pPr>
              <w:rPr>
                <w:rFonts w:ascii="Meta Pro" w:eastAsia="Times New Roman" w:hAnsi="Meta Pro"/>
                <w:szCs w:val="18"/>
                <w:lang w:eastAsia="en-AU"/>
              </w:rPr>
            </w:pPr>
            <w:r w:rsidRPr="001B59E9">
              <w:rPr>
                <w:rFonts w:ascii="Meta Pro" w:eastAsia="Times New Roman" w:hAnsi="Meta Pro"/>
                <w:szCs w:val="18"/>
                <w:lang w:eastAsia="en-AU"/>
              </w:rPr>
              <w:t>Impairment losses on trade receivables</w:t>
            </w:r>
          </w:p>
        </w:tc>
        <w:tc>
          <w:tcPr>
            <w:tcW w:w="1137" w:type="dxa"/>
            <w:tcBorders>
              <w:top w:val="nil"/>
              <w:left w:val="nil"/>
              <w:bottom w:val="nil"/>
              <w:right w:val="nil"/>
            </w:tcBorders>
            <w:shd w:val="clear" w:color="auto" w:fill="auto"/>
            <w:noWrap/>
            <w:vAlign w:val="center"/>
            <w:hideMark/>
          </w:tcPr>
          <w:p w14:paraId="6B3E8523" w14:textId="77777777" w:rsidR="00BC5219" w:rsidRPr="001B59E9" w:rsidRDefault="00BC5219" w:rsidP="00E83802">
            <w:pPr>
              <w:jc w:val="right"/>
              <w:rPr>
                <w:rFonts w:ascii="Meta Pro" w:eastAsia="Times New Roman" w:hAnsi="Meta Pro"/>
                <w:szCs w:val="18"/>
                <w:lang w:eastAsia="en-AU"/>
              </w:rPr>
            </w:pPr>
            <w:r w:rsidRPr="001B59E9">
              <w:rPr>
                <w:rFonts w:ascii="Meta Pro" w:eastAsia="Times New Roman" w:hAnsi="Meta Pro"/>
                <w:szCs w:val="18"/>
                <w:lang w:eastAsia="en-AU"/>
              </w:rPr>
              <w:t xml:space="preserve">- </w:t>
            </w:r>
          </w:p>
        </w:tc>
        <w:tc>
          <w:tcPr>
            <w:tcW w:w="198" w:type="dxa"/>
            <w:tcBorders>
              <w:top w:val="nil"/>
              <w:left w:val="nil"/>
              <w:bottom w:val="nil"/>
              <w:right w:val="nil"/>
            </w:tcBorders>
            <w:shd w:val="clear" w:color="auto" w:fill="auto"/>
            <w:noWrap/>
            <w:vAlign w:val="center"/>
            <w:hideMark/>
          </w:tcPr>
          <w:p w14:paraId="5886788A" w14:textId="77777777" w:rsidR="00BC5219" w:rsidRPr="001B59E9" w:rsidRDefault="00BC5219" w:rsidP="00E83802">
            <w:pPr>
              <w:jc w:val="right"/>
              <w:rPr>
                <w:rFonts w:ascii="Meta Pro" w:eastAsia="Times New Roman" w:hAnsi="Meta Pro"/>
                <w:szCs w:val="18"/>
                <w:lang w:eastAsia="en-AU"/>
              </w:rPr>
            </w:pPr>
          </w:p>
        </w:tc>
        <w:tc>
          <w:tcPr>
            <w:tcW w:w="1137" w:type="dxa"/>
            <w:tcBorders>
              <w:top w:val="nil"/>
              <w:left w:val="nil"/>
              <w:bottom w:val="nil"/>
              <w:right w:val="nil"/>
            </w:tcBorders>
            <w:shd w:val="clear" w:color="auto" w:fill="auto"/>
            <w:noWrap/>
            <w:vAlign w:val="center"/>
            <w:hideMark/>
          </w:tcPr>
          <w:p w14:paraId="39CB2478" w14:textId="77777777" w:rsidR="00BC5219" w:rsidRPr="001B59E9" w:rsidRDefault="00BC5219" w:rsidP="00E83802">
            <w:pPr>
              <w:jc w:val="right"/>
              <w:rPr>
                <w:rFonts w:ascii="Meta Pro" w:eastAsia="Times New Roman" w:hAnsi="Meta Pro"/>
                <w:szCs w:val="18"/>
                <w:lang w:eastAsia="en-AU"/>
              </w:rPr>
            </w:pPr>
            <w:r w:rsidRPr="001B59E9">
              <w:rPr>
                <w:rFonts w:ascii="Meta Pro" w:eastAsia="Times New Roman" w:hAnsi="Meta Pro"/>
                <w:szCs w:val="18"/>
                <w:lang w:eastAsia="en-AU"/>
              </w:rPr>
              <w:t xml:space="preserve">8 </w:t>
            </w:r>
          </w:p>
        </w:tc>
        <w:tc>
          <w:tcPr>
            <w:tcW w:w="198" w:type="dxa"/>
            <w:tcBorders>
              <w:top w:val="nil"/>
              <w:left w:val="nil"/>
              <w:bottom w:val="nil"/>
              <w:right w:val="nil"/>
            </w:tcBorders>
            <w:shd w:val="clear" w:color="auto" w:fill="auto"/>
            <w:noWrap/>
            <w:vAlign w:val="center"/>
            <w:hideMark/>
          </w:tcPr>
          <w:p w14:paraId="4142DD5F" w14:textId="77777777" w:rsidR="00BC5219" w:rsidRPr="001B59E9" w:rsidRDefault="00BC5219" w:rsidP="00E83802">
            <w:pPr>
              <w:jc w:val="right"/>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3D334DD1" w14:textId="77777777" w:rsidR="00BC5219" w:rsidRPr="001B59E9" w:rsidRDefault="00BC5219" w:rsidP="00E83802">
            <w:pPr>
              <w:jc w:val="right"/>
              <w:rPr>
                <w:rFonts w:ascii="Meta Pro" w:eastAsia="Times New Roman" w:hAnsi="Meta Pro"/>
                <w:szCs w:val="18"/>
                <w:lang w:eastAsia="en-AU"/>
              </w:rPr>
            </w:pPr>
            <w:r w:rsidRPr="001B59E9">
              <w:rPr>
                <w:rFonts w:ascii="Meta Pro" w:eastAsia="Times New Roman" w:hAnsi="Meta Pro"/>
                <w:szCs w:val="18"/>
                <w:lang w:eastAsia="en-AU"/>
              </w:rPr>
              <w:t xml:space="preserve">8 </w:t>
            </w:r>
          </w:p>
        </w:tc>
      </w:tr>
      <w:tr w:rsidR="00BC5219" w:rsidRPr="001B59E9" w14:paraId="5A2C82A5" w14:textId="77777777" w:rsidTr="00E83802">
        <w:trPr>
          <w:trHeight w:val="198"/>
        </w:trPr>
        <w:tc>
          <w:tcPr>
            <w:tcW w:w="6350" w:type="dxa"/>
            <w:tcBorders>
              <w:top w:val="nil"/>
              <w:left w:val="nil"/>
              <w:bottom w:val="nil"/>
              <w:right w:val="nil"/>
            </w:tcBorders>
            <w:shd w:val="clear" w:color="auto" w:fill="auto"/>
            <w:noWrap/>
            <w:vAlign w:val="center"/>
            <w:hideMark/>
          </w:tcPr>
          <w:p w14:paraId="6A59121F" w14:textId="77777777" w:rsidR="00BC5219" w:rsidRPr="001B59E9" w:rsidRDefault="00BC5219" w:rsidP="00E83802">
            <w:pPr>
              <w:rPr>
                <w:rFonts w:ascii="Meta Pro" w:eastAsia="Times New Roman" w:hAnsi="Meta Pro"/>
                <w:szCs w:val="18"/>
                <w:lang w:eastAsia="en-AU"/>
              </w:rPr>
            </w:pPr>
            <w:r w:rsidRPr="001B59E9">
              <w:rPr>
                <w:rFonts w:ascii="Meta Pro" w:eastAsia="Times New Roman" w:hAnsi="Meta Pro"/>
                <w:szCs w:val="18"/>
                <w:lang w:eastAsia="en-AU"/>
              </w:rPr>
              <w:t>Transfers of administered revenue to government</w:t>
            </w:r>
          </w:p>
        </w:tc>
        <w:tc>
          <w:tcPr>
            <w:tcW w:w="1137" w:type="dxa"/>
            <w:tcBorders>
              <w:top w:val="nil"/>
              <w:left w:val="nil"/>
              <w:bottom w:val="nil"/>
              <w:right w:val="nil"/>
            </w:tcBorders>
            <w:shd w:val="clear" w:color="auto" w:fill="auto"/>
            <w:noWrap/>
            <w:vAlign w:val="center"/>
            <w:hideMark/>
          </w:tcPr>
          <w:p w14:paraId="761918FC" w14:textId="77777777" w:rsidR="00BC5219" w:rsidRPr="001B59E9" w:rsidRDefault="00BC5219" w:rsidP="00E83802">
            <w:pPr>
              <w:jc w:val="right"/>
              <w:rPr>
                <w:rFonts w:ascii="Meta Pro" w:eastAsia="Times New Roman" w:hAnsi="Meta Pro"/>
                <w:szCs w:val="18"/>
                <w:lang w:eastAsia="en-AU"/>
              </w:rPr>
            </w:pPr>
            <w:r w:rsidRPr="001B59E9">
              <w:rPr>
                <w:rFonts w:ascii="Meta Pro" w:eastAsia="Times New Roman" w:hAnsi="Meta Pro"/>
                <w:szCs w:val="18"/>
                <w:lang w:eastAsia="en-AU"/>
              </w:rPr>
              <w:t xml:space="preserve">2,880,958 </w:t>
            </w:r>
          </w:p>
        </w:tc>
        <w:tc>
          <w:tcPr>
            <w:tcW w:w="198" w:type="dxa"/>
            <w:tcBorders>
              <w:top w:val="nil"/>
              <w:left w:val="nil"/>
              <w:bottom w:val="nil"/>
              <w:right w:val="nil"/>
            </w:tcBorders>
            <w:shd w:val="clear" w:color="auto" w:fill="auto"/>
            <w:noWrap/>
            <w:vAlign w:val="center"/>
            <w:hideMark/>
          </w:tcPr>
          <w:p w14:paraId="3BE060B3" w14:textId="77777777" w:rsidR="00BC5219" w:rsidRPr="001B59E9" w:rsidRDefault="00BC5219" w:rsidP="00E83802">
            <w:pPr>
              <w:jc w:val="right"/>
              <w:rPr>
                <w:rFonts w:ascii="Meta Pro" w:eastAsia="Times New Roman" w:hAnsi="Meta Pro"/>
                <w:szCs w:val="18"/>
                <w:lang w:eastAsia="en-AU"/>
              </w:rPr>
            </w:pPr>
          </w:p>
        </w:tc>
        <w:tc>
          <w:tcPr>
            <w:tcW w:w="1137" w:type="dxa"/>
            <w:tcBorders>
              <w:top w:val="nil"/>
              <w:left w:val="nil"/>
              <w:bottom w:val="nil"/>
              <w:right w:val="nil"/>
            </w:tcBorders>
            <w:shd w:val="clear" w:color="auto" w:fill="auto"/>
            <w:noWrap/>
            <w:vAlign w:val="center"/>
            <w:hideMark/>
          </w:tcPr>
          <w:p w14:paraId="29EA9543" w14:textId="77777777" w:rsidR="00BC5219" w:rsidRPr="001B59E9" w:rsidRDefault="00BC5219" w:rsidP="00E83802">
            <w:pPr>
              <w:jc w:val="right"/>
              <w:rPr>
                <w:rFonts w:ascii="Meta Pro" w:eastAsia="Times New Roman" w:hAnsi="Meta Pro"/>
                <w:szCs w:val="18"/>
                <w:lang w:eastAsia="en-AU"/>
              </w:rPr>
            </w:pPr>
            <w:r w:rsidRPr="001B59E9">
              <w:rPr>
                <w:rFonts w:ascii="Meta Pro" w:eastAsia="Times New Roman" w:hAnsi="Meta Pro"/>
                <w:szCs w:val="18"/>
                <w:lang w:eastAsia="en-AU"/>
              </w:rPr>
              <w:t xml:space="preserve">2,999,791 </w:t>
            </w:r>
          </w:p>
        </w:tc>
        <w:tc>
          <w:tcPr>
            <w:tcW w:w="198" w:type="dxa"/>
            <w:tcBorders>
              <w:top w:val="nil"/>
              <w:left w:val="nil"/>
              <w:bottom w:val="nil"/>
              <w:right w:val="nil"/>
            </w:tcBorders>
            <w:shd w:val="clear" w:color="auto" w:fill="auto"/>
            <w:noWrap/>
            <w:vAlign w:val="center"/>
            <w:hideMark/>
          </w:tcPr>
          <w:p w14:paraId="276CE3D6" w14:textId="77777777" w:rsidR="00BC5219" w:rsidRPr="001B59E9" w:rsidRDefault="00BC5219" w:rsidP="00E83802">
            <w:pPr>
              <w:jc w:val="right"/>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176D60F0" w14:textId="77777777" w:rsidR="00BC5219" w:rsidRPr="001B59E9" w:rsidRDefault="00BC5219" w:rsidP="00E83802">
            <w:pPr>
              <w:jc w:val="right"/>
              <w:rPr>
                <w:rFonts w:ascii="Meta Pro" w:eastAsia="Times New Roman" w:hAnsi="Meta Pro"/>
                <w:szCs w:val="18"/>
                <w:lang w:eastAsia="en-AU"/>
              </w:rPr>
            </w:pPr>
            <w:r w:rsidRPr="001B59E9">
              <w:rPr>
                <w:rFonts w:ascii="Meta Pro" w:eastAsia="Times New Roman" w:hAnsi="Meta Pro"/>
                <w:szCs w:val="18"/>
                <w:lang w:eastAsia="en-AU"/>
              </w:rPr>
              <w:t xml:space="preserve">118,833 </w:t>
            </w:r>
          </w:p>
        </w:tc>
      </w:tr>
      <w:tr w:rsidR="00BC5219" w:rsidRPr="001B59E9" w14:paraId="3B194B30" w14:textId="77777777" w:rsidTr="00E83802">
        <w:trPr>
          <w:trHeight w:val="198"/>
        </w:trPr>
        <w:tc>
          <w:tcPr>
            <w:tcW w:w="6350" w:type="dxa"/>
            <w:tcBorders>
              <w:top w:val="nil"/>
              <w:left w:val="nil"/>
              <w:bottom w:val="nil"/>
              <w:right w:val="nil"/>
            </w:tcBorders>
            <w:shd w:val="clear" w:color="auto" w:fill="auto"/>
            <w:noWrap/>
            <w:vAlign w:val="center"/>
            <w:hideMark/>
          </w:tcPr>
          <w:p w14:paraId="789CDB44" w14:textId="77777777" w:rsidR="00BC5219" w:rsidRPr="001B59E9" w:rsidRDefault="00BC5219" w:rsidP="00E83802">
            <w:pPr>
              <w:rPr>
                <w:rFonts w:ascii="Meta Pro" w:eastAsia="Times New Roman" w:hAnsi="Meta Pro"/>
                <w:szCs w:val="18"/>
                <w:lang w:eastAsia="en-AU"/>
              </w:rPr>
            </w:pPr>
            <w:r w:rsidRPr="001B59E9">
              <w:rPr>
                <w:rFonts w:ascii="Meta Pro" w:eastAsia="Times New Roman" w:hAnsi="Meta Pro"/>
                <w:szCs w:val="18"/>
                <w:lang w:eastAsia="en-AU"/>
              </w:rPr>
              <w:t>Other</w:t>
            </w:r>
          </w:p>
        </w:tc>
        <w:tc>
          <w:tcPr>
            <w:tcW w:w="1137" w:type="dxa"/>
            <w:tcBorders>
              <w:top w:val="nil"/>
              <w:left w:val="nil"/>
              <w:bottom w:val="nil"/>
              <w:right w:val="nil"/>
            </w:tcBorders>
            <w:shd w:val="clear" w:color="auto" w:fill="auto"/>
            <w:noWrap/>
            <w:vAlign w:val="center"/>
            <w:hideMark/>
          </w:tcPr>
          <w:p w14:paraId="3494AC0D" w14:textId="77777777" w:rsidR="00BC5219" w:rsidRPr="001B59E9" w:rsidRDefault="00BC5219" w:rsidP="00E83802">
            <w:pPr>
              <w:jc w:val="right"/>
              <w:rPr>
                <w:rFonts w:ascii="Meta Pro" w:eastAsia="Times New Roman" w:hAnsi="Meta Pro"/>
                <w:szCs w:val="18"/>
                <w:lang w:eastAsia="en-AU"/>
              </w:rPr>
            </w:pPr>
            <w:r w:rsidRPr="001B59E9">
              <w:rPr>
                <w:rFonts w:ascii="Meta Pro" w:eastAsia="Times New Roman" w:hAnsi="Meta Pro"/>
                <w:szCs w:val="18"/>
                <w:lang w:eastAsia="en-AU"/>
              </w:rPr>
              <w:t xml:space="preserve">- </w:t>
            </w:r>
          </w:p>
        </w:tc>
        <w:tc>
          <w:tcPr>
            <w:tcW w:w="198" w:type="dxa"/>
            <w:tcBorders>
              <w:top w:val="nil"/>
              <w:left w:val="nil"/>
              <w:bottom w:val="nil"/>
              <w:right w:val="nil"/>
            </w:tcBorders>
            <w:shd w:val="clear" w:color="auto" w:fill="auto"/>
            <w:noWrap/>
            <w:vAlign w:val="center"/>
            <w:hideMark/>
          </w:tcPr>
          <w:p w14:paraId="46993B60" w14:textId="77777777" w:rsidR="00BC5219" w:rsidRPr="001B59E9" w:rsidRDefault="00BC5219" w:rsidP="00E83802">
            <w:pPr>
              <w:jc w:val="right"/>
              <w:rPr>
                <w:rFonts w:ascii="Meta Pro" w:eastAsia="Times New Roman" w:hAnsi="Meta Pro"/>
                <w:szCs w:val="18"/>
                <w:lang w:eastAsia="en-AU"/>
              </w:rPr>
            </w:pPr>
          </w:p>
        </w:tc>
        <w:tc>
          <w:tcPr>
            <w:tcW w:w="1137" w:type="dxa"/>
            <w:tcBorders>
              <w:top w:val="nil"/>
              <w:left w:val="nil"/>
              <w:bottom w:val="single" w:sz="4" w:space="0" w:color="auto"/>
              <w:right w:val="nil"/>
            </w:tcBorders>
            <w:shd w:val="clear" w:color="auto" w:fill="auto"/>
            <w:noWrap/>
            <w:vAlign w:val="center"/>
            <w:hideMark/>
          </w:tcPr>
          <w:p w14:paraId="7F87A4BE" w14:textId="77777777" w:rsidR="00BC5219" w:rsidRPr="001B59E9" w:rsidRDefault="00BC5219" w:rsidP="00E83802">
            <w:pPr>
              <w:jc w:val="right"/>
              <w:rPr>
                <w:rFonts w:ascii="Meta Pro" w:eastAsia="Times New Roman" w:hAnsi="Meta Pro"/>
                <w:szCs w:val="18"/>
                <w:lang w:eastAsia="en-AU"/>
              </w:rPr>
            </w:pPr>
            <w:r w:rsidRPr="001B59E9">
              <w:rPr>
                <w:rFonts w:ascii="Meta Pro" w:eastAsia="Times New Roman" w:hAnsi="Meta Pro"/>
                <w:szCs w:val="18"/>
                <w:lang w:eastAsia="en-AU"/>
              </w:rPr>
              <w:t xml:space="preserve">466 </w:t>
            </w:r>
          </w:p>
        </w:tc>
        <w:tc>
          <w:tcPr>
            <w:tcW w:w="198" w:type="dxa"/>
            <w:tcBorders>
              <w:top w:val="nil"/>
              <w:left w:val="nil"/>
              <w:bottom w:val="nil"/>
              <w:right w:val="nil"/>
            </w:tcBorders>
            <w:shd w:val="clear" w:color="auto" w:fill="auto"/>
            <w:noWrap/>
            <w:vAlign w:val="center"/>
            <w:hideMark/>
          </w:tcPr>
          <w:p w14:paraId="11C8092F" w14:textId="77777777" w:rsidR="00BC5219" w:rsidRPr="001B59E9" w:rsidRDefault="00BC5219" w:rsidP="00E83802">
            <w:pPr>
              <w:jc w:val="right"/>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421502CD" w14:textId="77777777" w:rsidR="00BC5219" w:rsidRPr="001B59E9" w:rsidRDefault="00BC5219" w:rsidP="00E83802">
            <w:pPr>
              <w:jc w:val="right"/>
              <w:rPr>
                <w:rFonts w:ascii="Meta Pro" w:eastAsia="Times New Roman" w:hAnsi="Meta Pro"/>
                <w:szCs w:val="18"/>
                <w:lang w:eastAsia="en-AU"/>
              </w:rPr>
            </w:pPr>
            <w:r w:rsidRPr="001B59E9">
              <w:rPr>
                <w:rFonts w:ascii="Meta Pro" w:eastAsia="Times New Roman" w:hAnsi="Meta Pro"/>
                <w:szCs w:val="18"/>
                <w:lang w:eastAsia="en-AU"/>
              </w:rPr>
              <w:t xml:space="preserve">466 </w:t>
            </w:r>
          </w:p>
        </w:tc>
      </w:tr>
      <w:tr w:rsidR="00BC5219" w:rsidRPr="001B59E9" w14:paraId="16F14E54" w14:textId="77777777" w:rsidTr="00E83802">
        <w:trPr>
          <w:trHeight w:val="198"/>
        </w:trPr>
        <w:tc>
          <w:tcPr>
            <w:tcW w:w="6350" w:type="dxa"/>
            <w:tcBorders>
              <w:top w:val="single" w:sz="4" w:space="0" w:color="auto"/>
              <w:left w:val="nil"/>
              <w:bottom w:val="single" w:sz="4" w:space="0" w:color="auto"/>
              <w:right w:val="nil"/>
            </w:tcBorders>
            <w:shd w:val="clear" w:color="auto" w:fill="auto"/>
            <w:noWrap/>
            <w:vAlign w:val="center"/>
            <w:hideMark/>
          </w:tcPr>
          <w:p w14:paraId="54664CAC" w14:textId="77777777" w:rsidR="00BC5219" w:rsidRPr="001B59E9" w:rsidRDefault="00BC5219" w:rsidP="00E83802">
            <w:pPr>
              <w:rPr>
                <w:rFonts w:ascii="Meta Pro" w:eastAsia="Times New Roman" w:hAnsi="Meta Pro"/>
                <w:b/>
                <w:bCs/>
                <w:szCs w:val="18"/>
                <w:lang w:eastAsia="en-AU"/>
              </w:rPr>
            </w:pPr>
            <w:r w:rsidRPr="001B59E9">
              <w:rPr>
                <w:rFonts w:ascii="Meta Pro" w:eastAsia="Times New Roman" w:hAnsi="Meta Pro"/>
                <w:b/>
                <w:bCs/>
                <w:szCs w:val="18"/>
                <w:lang w:eastAsia="en-AU"/>
              </w:rPr>
              <w:t>Total expenses</w:t>
            </w:r>
          </w:p>
        </w:tc>
        <w:tc>
          <w:tcPr>
            <w:tcW w:w="1137" w:type="dxa"/>
            <w:tcBorders>
              <w:top w:val="single" w:sz="4" w:space="0" w:color="auto"/>
              <w:left w:val="nil"/>
              <w:bottom w:val="single" w:sz="4" w:space="0" w:color="auto"/>
              <w:right w:val="nil"/>
            </w:tcBorders>
            <w:shd w:val="clear" w:color="auto" w:fill="auto"/>
            <w:noWrap/>
            <w:vAlign w:val="center"/>
            <w:hideMark/>
          </w:tcPr>
          <w:p w14:paraId="73985353" w14:textId="77777777" w:rsidR="00BC5219" w:rsidRPr="001B59E9" w:rsidRDefault="00BC5219" w:rsidP="00E83802">
            <w:pPr>
              <w:jc w:val="right"/>
              <w:rPr>
                <w:rFonts w:ascii="Meta Pro" w:eastAsia="Times New Roman" w:hAnsi="Meta Pro"/>
                <w:b/>
                <w:bCs/>
                <w:szCs w:val="18"/>
                <w:lang w:eastAsia="en-AU"/>
              </w:rPr>
            </w:pPr>
            <w:r w:rsidRPr="001B59E9">
              <w:rPr>
                <w:rFonts w:ascii="Meta Pro" w:eastAsia="Times New Roman" w:hAnsi="Meta Pro"/>
                <w:b/>
                <w:bCs/>
                <w:szCs w:val="18"/>
                <w:lang w:eastAsia="en-AU"/>
              </w:rPr>
              <w:t xml:space="preserve">3,062,993 </w:t>
            </w:r>
          </w:p>
        </w:tc>
        <w:tc>
          <w:tcPr>
            <w:tcW w:w="198" w:type="dxa"/>
            <w:tcBorders>
              <w:top w:val="single" w:sz="4" w:space="0" w:color="auto"/>
              <w:left w:val="nil"/>
              <w:bottom w:val="single" w:sz="4" w:space="0" w:color="auto"/>
              <w:right w:val="nil"/>
            </w:tcBorders>
            <w:shd w:val="clear" w:color="auto" w:fill="auto"/>
            <w:noWrap/>
            <w:vAlign w:val="center"/>
            <w:hideMark/>
          </w:tcPr>
          <w:p w14:paraId="35C1861F" w14:textId="77777777" w:rsidR="00BC5219" w:rsidRPr="001B59E9" w:rsidRDefault="00BC5219" w:rsidP="00E83802">
            <w:pPr>
              <w:jc w:val="right"/>
              <w:rPr>
                <w:rFonts w:ascii="Meta Pro" w:eastAsia="Times New Roman" w:hAnsi="Meta Pro"/>
                <w:b/>
                <w:bCs/>
                <w:szCs w:val="18"/>
                <w:lang w:eastAsia="en-AU"/>
              </w:rPr>
            </w:pPr>
            <w:r w:rsidRPr="001B59E9">
              <w:rPr>
                <w:rFonts w:ascii="Meta Pro" w:eastAsia="Times New Roman" w:hAnsi="Meta Pro"/>
                <w:b/>
                <w:bCs/>
                <w:szCs w:val="18"/>
                <w:lang w:eastAsia="en-AU"/>
              </w:rPr>
              <w:t> </w:t>
            </w:r>
          </w:p>
        </w:tc>
        <w:tc>
          <w:tcPr>
            <w:tcW w:w="1137" w:type="dxa"/>
            <w:tcBorders>
              <w:top w:val="nil"/>
              <w:left w:val="nil"/>
              <w:bottom w:val="single" w:sz="4" w:space="0" w:color="auto"/>
              <w:right w:val="nil"/>
            </w:tcBorders>
            <w:shd w:val="clear" w:color="auto" w:fill="auto"/>
            <w:noWrap/>
            <w:vAlign w:val="center"/>
            <w:hideMark/>
          </w:tcPr>
          <w:p w14:paraId="5C432D8D" w14:textId="77777777" w:rsidR="00BC5219" w:rsidRPr="001B59E9" w:rsidRDefault="00BC5219" w:rsidP="00E83802">
            <w:pPr>
              <w:jc w:val="right"/>
              <w:rPr>
                <w:rFonts w:ascii="Meta Pro" w:eastAsia="Times New Roman" w:hAnsi="Meta Pro"/>
                <w:b/>
                <w:bCs/>
                <w:szCs w:val="18"/>
                <w:lang w:eastAsia="en-AU"/>
              </w:rPr>
            </w:pPr>
            <w:r w:rsidRPr="001B59E9">
              <w:rPr>
                <w:rFonts w:ascii="Meta Pro" w:eastAsia="Times New Roman" w:hAnsi="Meta Pro"/>
                <w:b/>
                <w:bCs/>
                <w:szCs w:val="18"/>
                <w:lang w:eastAsia="en-AU"/>
              </w:rPr>
              <w:t xml:space="preserve">3,081,975 </w:t>
            </w:r>
          </w:p>
        </w:tc>
        <w:tc>
          <w:tcPr>
            <w:tcW w:w="198" w:type="dxa"/>
            <w:tcBorders>
              <w:top w:val="single" w:sz="4" w:space="0" w:color="auto"/>
              <w:left w:val="nil"/>
              <w:bottom w:val="single" w:sz="4" w:space="0" w:color="auto"/>
              <w:right w:val="nil"/>
            </w:tcBorders>
            <w:shd w:val="clear" w:color="auto" w:fill="auto"/>
            <w:noWrap/>
            <w:vAlign w:val="center"/>
            <w:hideMark/>
          </w:tcPr>
          <w:p w14:paraId="18374F58" w14:textId="77777777" w:rsidR="00BC5219" w:rsidRPr="001B59E9" w:rsidRDefault="00BC5219" w:rsidP="00E83802">
            <w:pPr>
              <w:jc w:val="right"/>
              <w:rPr>
                <w:rFonts w:ascii="Meta Pro" w:eastAsia="Times New Roman" w:hAnsi="Meta Pro"/>
                <w:b/>
                <w:bCs/>
                <w:szCs w:val="18"/>
                <w:lang w:eastAsia="en-AU"/>
              </w:rPr>
            </w:pPr>
            <w:r w:rsidRPr="001B59E9">
              <w:rPr>
                <w:rFonts w:ascii="Meta Pro" w:eastAsia="Times New Roman" w:hAnsi="Meta Pro"/>
                <w:b/>
                <w:bCs/>
                <w:szCs w:val="18"/>
                <w:lang w:eastAsia="en-AU"/>
              </w:rPr>
              <w:t> </w:t>
            </w:r>
          </w:p>
        </w:tc>
        <w:tc>
          <w:tcPr>
            <w:tcW w:w="1140" w:type="dxa"/>
            <w:tcBorders>
              <w:top w:val="single" w:sz="4" w:space="0" w:color="auto"/>
              <w:left w:val="nil"/>
              <w:bottom w:val="single" w:sz="4" w:space="0" w:color="auto"/>
              <w:right w:val="nil"/>
            </w:tcBorders>
            <w:shd w:val="clear" w:color="auto" w:fill="auto"/>
            <w:noWrap/>
            <w:vAlign w:val="center"/>
            <w:hideMark/>
          </w:tcPr>
          <w:p w14:paraId="1CEBA3A2" w14:textId="77777777" w:rsidR="00BC5219" w:rsidRPr="001B59E9" w:rsidRDefault="00BC5219" w:rsidP="00E83802">
            <w:pPr>
              <w:jc w:val="right"/>
              <w:rPr>
                <w:rFonts w:ascii="Meta Pro" w:eastAsia="Times New Roman" w:hAnsi="Meta Pro"/>
                <w:b/>
                <w:bCs/>
                <w:szCs w:val="18"/>
                <w:lang w:eastAsia="en-AU"/>
              </w:rPr>
            </w:pPr>
            <w:r w:rsidRPr="001B59E9">
              <w:rPr>
                <w:rFonts w:ascii="Meta Pro" w:eastAsia="Times New Roman" w:hAnsi="Meta Pro"/>
                <w:b/>
                <w:bCs/>
                <w:szCs w:val="18"/>
                <w:lang w:eastAsia="en-AU"/>
              </w:rPr>
              <w:t xml:space="preserve">18,982 </w:t>
            </w:r>
          </w:p>
        </w:tc>
      </w:tr>
      <w:tr w:rsidR="00BC5219" w:rsidRPr="001B59E9" w14:paraId="40A48E8A" w14:textId="77777777" w:rsidTr="00E83802">
        <w:trPr>
          <w:trHeight w:val="198"/>
        </w:trPr>
        <w:tc>
          <w:tcPr>
            <w:tcW w:w="6350" w:type="dxa"/>
            <w:tcBorders>
              <w:top w:val="nil"/>
              <w:left w:val="nil"/>
              <w:bottom w:val="nil"/>
              <w:right w:val="nil"/>
            </w:tcBorders>
            <w:shd w:val="clear" w:color="auto" w:fill="auto"/>
            <w:noWrap/>
            <w:vAlign w:val="center"/>
            <w:hideMark/>
          </w:tcPr>
          <w:p w14:paraId="4256A323" w14:textId="77777777" w:rsidR="00BC5219" w:rsidRPr="001B59E9" w:rsidRDefault="00BC5219" w:rsidP="00E83802">
            <w:pPr>
              <w:jc w:val="right"/>
              <w:rPr>
                <w:rFonts w:ascii="Meta Pro" w:eastAsia="Times New Roman" w:hAnsi="Meta Pro"/>
                <w:b/>
                <w:bCs/>
                <w:szCs w:val="18"/>
                <w:lang w:eastAsia="en-AU"/>
              </w:rPr>
            </w:pPr>
          </w:p>
        </w:tc>
        <w:tc>
          <w:tcPr>
            <w:tcW w:w="1137" w:type="dxa"/>
            <w:tcBorders>
              <w:top w:val="nil"/>
              <w:left w:val="nil"/>
              <w:bottom w:val="nil"/>
              <w:right w:val="nil"/>
            </w:tcBorders>
            <w:shd w:val="clear" w:color="auto" w:fill="auto"/>
            <w:noWrap/>
            <w:vAlign w:val="center"/>
            <w:hideMark/>
          </w:tcPr>
          <w:p w14:paraId="10BD5F84" w14:textId="77777777" w:rsidR="00BC5219" w:rsidRPr="001B59E9" w:rsidRDefault="00BC5219" w:rsidP="00E83802">
            <w:pPr>
              <w:rPr>
                <w:rFonts w:ascii="Times New Roman" w:eastAsia="Times New Roman" w:hAnsi="Times New Roman"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4C0610B6" w14:textId="77777777" w:rsidR="00BC5219" w:rsidRPr="001B59E9" w:rsidRDefault="00BC5219" w:rsidP="00E83802">
            <w:pPr>
              <w:jc w:val="right"/>
              <w:rPr>
                <w:rFonts w:ascii="Times New Roman" w:eastAsia="Times New Roman" w:hAnsi="Times New Roman" w:cs="Times New Roman"/>
                <w:sz w:val="20"/>
                <w:szCs w:val="20"/>
                <w:lang w:eastAsia="en-AU"/>
              </w:rPr>
            </w:pPr>
          </w:p>
        </w:tc>
        <w:tc>
          <w:tcPr>
            <w:tcW w:w="1137" w:type="dxa"/>
            <w:tcBorders>
              <w:top w:val="nil"/>
              <w:left w:val="nil"/>
              <w:bottom w:val="nil"/>
              <w:right w:val="nil"/>
            </w:tcBorders>
            <w:shd w:val="clear" w:color="auto" w:fill="auto"/>
            <w:noWrap/>
            <w:vAlign w:val="center"/>
            <w:hideMark/>
          </w:tcPr>
          <w:p w14:paraId="1FBBF414" w14:textId="77777777" w:rsidR="00BC5219" w:rsidRPr="001B59E9" w:rsidRDefault="00BC5219" w:rsidP="00E83802">
            <w:pPr>
              <w:jc w:val="right"/>
              <w:rPr>
                <w:rFonts w:ascii="Times New Roman" w:eastAsia="Times New Roman" w:hAnsi="Times New Roman" w:cs="Times New Roman"/>
                <w:sz w:val="20"/>
                <w:szCs w:val="20"/>
                <w:lang w:eastAsia="en-AU"/>
              </w:rPr>
            </w:pPr>
          </w:p>
        </w:tc>
        <w:tc>
          <w:tcPr>
            <w:tcW w:w="198" w:type="dxa"/>
            <w:tcBorders>
              <w:top w:val="nil"/>
              <w:left w:val="nil"/>
              <w:bottom w:val="nil"/>
              <w:right w:val="nil"/>
            </w:tcBorders>
            <w:shd w:val="clear" w:color="auto" w:fill="auto"/>
            <w:noWrap/>
            <w:vAlign w:val="center"/>
            <w:hideMark/>
          </w:tcPr>
          <w:p w14:paraId="088F7491" w14:textId="77777777" w:rsidR="00BC5219" w:rsidRPr="001B59E9" w:rsidRDefault="00BC5219" w:rsidP="00E83802">
            <w:pPr>
              <w:jc w:val="right"/>
              <w:rPr>
                <w:rFonts w:ascii="Times New Roman" w:eastAsia="Times New Roman" w:hAnsi="Times New Roman" w:cs="Times New Roman"/>
                <w:sz w:val="20"/>
                <w:szCs w:val="20"/>
                <w:lang w:eastAsia="en-AU"/>
              </w:rPr>
            </w:pPr>
          </w:p>
        </w:tc>
        <w:tc>
          <w:tcPr>
            <w:tcW w:w="1140" w:type="dxa"/>
            <w:tcBorders>
              <w:top w:val="nil"/>
              <w:left w:val="nil"/>
              <w:bottom w:val="nil"/>
              <w:right w:val="nil"/>
            </w:tcBorders>
            <w:shd w:val="clear" w:color="auto" w:fill="auto"/>
            <w:noWrap/>
            <w:vAlign w:val="center"/>
            <w:hideMark/>
          </w:tcPr>
          <w:p w14:paraId="0277953A" w14:textId="77777777" w:rsidR="00BC5219" w:rsidRPr="001B59E9" w:rsidRDefault="00BC5219" w:rsidP="00E83802">
            <w:pPr>
              <w:jc w:val="right"/>
              <w:rPr>
                <w:rFonts w:ascii="Times New Roman" w:eastAsia="Times New Roman" w:hAnsi="Times New Roman" w:cs="Times New Roman"/>
                <w:sz w:val="20"/>
                <w:szCs w:val="20"/>
                <w:lang w:eastAsia="en-AU"/>
              </w:rPr>
            </w:pPr>
          </w:p>
        </w:tc>
      </w:tr>
      <w:tr w:rsidR="00BC5219" w:rsidRPr="001B59E9" w14:paraId="20A0A0F1" w14:textId="77777777" w:rsidTr="00E83802">
        <w:trPr>
          <w:trHeight w:val="198"/>
        </w:trPr>
        <w:tc>
          <w:tcPr>
            <w:tcW w:w="6350" w:type="dxa"/>
            <w:tcBorders>
              <w:top w:val="nil"/>
              <w:left w:val="nil"/>
              <w:bottom w:val="double" w:sz="6" w:space="0" w:color="auto"/>
              <w:right w:val="nil"/>
            </w:tcBorders>
            <w:shd w:val="clear" w:color="auto" w:fill="auto"/>
            <w:noWrap/>
            <w:vAlign w:val="center"/>
            <w:hideMark/>
          </w:tcPr>
          <w:p w14:paraId="03FD0E05" w14:textId="77777777" w:rsidR="00BC5219" w:rsidRPr="001B59E9" w:rsidRDefault="00BC5219" w:rsidP="00E83802">
            <w:pPr>
              <w:rPr>
                <w:rFonts w:ascii="Meta Pro" w:eastAsia="Times New Roman" w:hAnsi="Meta Pro"/>
                <w:b/>
                <w:bCs/>
                <w:szCs w:val="18"/>
                <w:lang w:eastAsia="en-AU"/>
              </w:rPr>
            </w:pPr>
            <w:r w:rsidRPr="001B59E9">
              <w:rPr>
                <w:rFonts w:ascii="Meta Pro" w:eastAsia="Times New Roman" w:hAnsi="Meta Pro"/>
                <w:b/>
                <w:bCs/>
                <w:szCs w:val="18"/>
                <w:lang w:eastAsia="en-AU"/>
              </w:rPr>
              <w:t>OPERATING RESULT FOR THE YEAR</w:t>
            </w:r>
          </w:p>
        </w:tc>
        <w:tc>
          <w:tcPr>
            <w:tcW w:w="1137" w:type="dxa"/>
            <w:tcBorders>
              <w:top w:val="nil"/>
              <w:left w:val="nil"/>
              <w:bottom w:val="double" w:sz="6" w:space="0" w:color="auto"/>
              <w:right w:val="nil"/>
            </w:tcBorders>
            <w:shd w:val="clear" w:color="auto" w:fill="auto"/>
            <w:noWrap/>
            <w:vAlign w:val="center"/>
            <w:hideMark/>
          </w:tcPr>
          <w:p w14:paraId="1E0F7DAE" w14:textId="77777777" w:rsidR="00BC5219" w:rsidRPr="001B59E9" w:rsidRDefault="00BC5219" w:rsidP="00E83802">
            <w:pPr>
              <w:jc w:val="right"/>
              <w:rPr>
                <w:rFonts w:ascii="Meta Pro" w:eastAsia="Times New Roman" w:hAnsi="Meta Pro"/>
                <w:b/>
                <w:bCs/>
                <w:szCs w:val="18"/>
                <w:lang w:eastAsia="en-AU"/>
              </w:rPr>
            </w:pPr>
            <w:r w:rsidRPr="001B59E9">
              <w:rPr>
                <w:rFonts w:ascii="Meta Pro" w:eastAsia="Times New Roman" w:hAnsi="Meta Pro"/>
                <w:b/>
                <w:bCs/>
                <w:szCs w:val="18"/>
                <w:lang w:eastAsia="en-AU"/>
              </w:rPr>
              <w:t xml:space="preserve">- </w:t>
            </w:r>
          </w:p>
        </w:tc>
        <w:tc>
          <w:tcPr>
            <w:tcW w:w="198" w:type="dxa"/>
            <w:tcBorders>
              <w:top w:val="nil"/>
              <w:left w:val="nil"/>
              <w:bottom w:val="double" w:sz="6" w:space="0" w:color="auto"/>
              <w:right w:val="nil"/>
            </w:tcBorders>
            <w:shd w:val="clear" w:color="auto" w:fill="auto"/>
            <w:noWrap/>
            <w:vAlign w:val="center"/>
            <w:hideMark/>
          </w:tcPr>
          <w:p w14:paraId="535547F6" w14:textId="77777777" w:rsidR="00BC5219" w:rsidRPr="001B59E9" w:rsidRDefault="00BC5219" w:rsidP="00E83802">
            <w:pPr>
              <w:jc w:val="right"/>
              <w:rPr>
                <w:rFonts w:ascii="Meta Pro" w:eastAsia="Times New Roman" w:hAnsi="Meta Pro"/>
                <w:b/>
                <w:bCs/>
                <w:szCs w:val="18"/>
                <w:lang w:eastAsia="en-AU"/>
              </w:rPr>
            </w:pPr>
            <w:r w:rsidRPr="001B59E9">
              <w:rPr>
                <w:rFonts w:ascii="Meta Pro" w:eastAsia="Times New Roman" w:hAnsi="Meta Pro"/>
                <w:b/>
                <w:bCs/>
                <w:szCs w:val="18"/>
                <w:lang w:eastAsia="en-AU"/>
              </w:rPr>
              <w:t> </w:t>
            </w:r>
          </w:p>
        </w:tc>
        <w:tc>
          <w:tcPr>
            <w:tcW w:w="1137" w:type="dxa"/>
            <w:tcBorders>
              <w:top w:val="nil"/>
              <w:left w:val="nil"/>
              <w:bottom w:val="double" w:sz="6" w:space="0" w:color="auto"/>
              <w:right w:val="nil"/>
            </w:tcBorders>
            <w:shd w:val="clear" w:color="auto" w:fill="auto"/>
            <w:noWrap/>
            <w:vAlign w:val="center"/>
            <w:hideMark/>
          </w:tcPr>
          <w:p w14:paraId="09B69AB6" w14:textId="77777777" w:rsidR="00BC5219" w:rsidRPr="001B59E9" w:rsidRDefault="00BC5219" w:rsidP="00E83802">
            <w:pPr>
              <w:jc w:val="right"/>
              <w:rPr>
                <w:rFonts w:ascii="Meta Pro" w:eastAsia="Times New Roman" w:hAnsi="Meta Pro"/>
                <w:b/>
                <w:bCs/>
                <w:szCs w:val="18"/>
                <w:lang w:eastAsia="en-AU"/>
              </w:rPr>
            </w:pPr>
            <w:r w:rsidRPr="001B59E9">
              <w:rPr>
                <w:rFonts w:ascii="Meta Pro" w:eastAsia="Times New Roman" w:hAnsi="Meta Pro"/>
                <w:b/>
                <w:bCs/>
                <w:szCs w:val="18"/>
                <w:lang w:eastAsia="en-AU"/>
              </w:rPr>
              <w:t>(592)</w:t>
            </w:r>
          </w:p>
        </w:tc>
        <w:tc>
          <w:tcPr>
            <w:tcW w:w="198" w:type="dxa"/>
            <w:tcBorders>
              <w:top w:val="nil"/>
              <w:left w:val="nil"/>
              <w:bottom w:val="double" w:sz="6" w:space="0" w:color="auto"/>
              <w:right w:val="nil"/>
            </w:tcBorders>
            <w:shd w:val="clear" w:color="auto" w:fill="auto"/>
            <w:noWrap/>
            <w:vAlign w:val="center"/>
            <w:hideMark/>
          </w:tcPr>
          <w:p w14:paraId="3D59F2A3" w14:textId="77777777" w:rsidR="00BC5219" w:rsidRPr="001B59E9" w:rsidRDefault="00BC5219" w:rsidP="00E83802">
            <w:pPr>
              <w:jc w:val="right"/>
              <w:rPr>
                <w:rFonts w:ascii="Meta Pro" w:eastAsia="Times New Roman" w:hAnsi="Meta Pro"/>
                <w:b/>
                <w:bCs/>
                <w:szCs w:val="18"/>
                <w:lang w:eastAsia="en-AU"/>
              </w:rPr>
            </w:pPr>
            <w:r w:rsidRPr="001B59E9">
              <w:rPr>
                <w:rFonts w:ascii="Meta Pro" w:eastAsia="Times New Roman" w:hAnsi="Meta Pro"/>
                <w:b/>
                <w:bCs/>
                <w:szCs w:val="18"/>
                <w:lang w:eastAsia="en-AU"/>
              </w:rPr>
              <w:t> </w:t>
            </w:r>
          </w:p>
        </w:tc>
        <w:tc>
          <w:tcPr>
            <w:tcW w:w="1140" w:type="dxa"/>
            <w:tcBorders>
              <w:top w:val="nil"/>
              <w:left w:val="nil"/>
              <w:bottom w:val="double" w:sz="6" w:space="0" w:color="auto"/>
              <w:right w:val="nil"/>
            </w:tcBorders>
            <w:shd w:val="clear" w:color="auto" w:fill="auto"/>
            <w:noWrap/>
            <w:vAlign w:val="center"/>
            <w:hideMark/>
          </w:tcPr>
          <w:p w14:paraId="3EBE2BBC" w14:textId="77777777" w:rsidR="00BC5219" w:rsidRPr="001B59E9" w:rsidRDefault="00BC5219" w:rsidP="00E83802">
            <w:pPr>
              <w:jc w:val="right"/>
              <w:rPr>
                <w:rFonts w:ascii="Meta Pro" w:eastAsia="Times New Roman" w:hAnsi="Meta Pro"/>
                <w:b/>
                <w:bCs/>
                <w:szCs w:val="18"/>
                <w:lang w:eastAsia="en-AU"/>
              </w:rPr>
            </w:pPr>
            <w:r w:rsidRPr="001B59E9">
              <w:rPr>
                <w:rFonts w:ascii="Meta Pro" w:eastAsia="Times New Roman" w:hAnsi="Meta Pro"/>
                <w:b/>
                <w:bCs/>
                <w:szCs w:val="18"/>
                <w:lang w:eastAsia="en-AU"/>
              </w:rPr>
              <w:t>(592)</w:t>
            </w:r>
          </w:p>
        </w:tc>
      </w:tr>
    </w:tbl>
    <w:p w14:paraId="4D4B08A1" w14:textId="77777777" w:rsidR="00BC5219" w:rsidRPr="008A2B8F" w:rsidRDefault="00BC5219" w:rsidP="00BC5219">
      <w:pPr>
        <w:spacing w:line="259" w:lineRule="auto"/>
        <w:rPr>
          <w:rFonts w:ascii="Meta Pro" w:eastAsia="Times New Roman" w:hAnsi="Meta Pro"/>
          <w:b/>
          <w:bCs/>
          <w:color w:val="000000"/>
          <w:lang w:eastAsia="en-AU"/>
        </w:rPr>
      </w:pPr>
      <w:r w:rsidRPr="008A2B8F">
        <w:rPr>
          <w:rFonts w:ascii="Meta Pro" w:eastAsia="Times New Roman" w:hAnsi="Meta Pro"/>
          <w:b/>
          <w:bCs/>
          <w:color w:val="000000"/>
          <w:lang w:eastAsia="en-AU"/>
        </w:rPr>
        <w:br w:type="page"/>
      </w:r>
      <w:r w:rsidRPr="008A2B8F">
        <w:rPr>
          <w:rFonts w:ascii="Meta Pro" w:eastAsia="Times New Roman" w:hAnsi="Meta Pro"/>
          <w:i/>
          <w:iCs/>
          <w:color w:val="000000" w:themeColor="text1"/>
          <w:lang w:eastAsia="en-AU"/>
        </w:rPr>
        <w:lastRenderedPageBreak/>
        <w:t>Department of Transport and Main Roads</w:t>
      </w:r>
    </w:p>
    <w:p w14:paraId="5296E27A"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Notes to the financial statements 2022–23 (continued)</w:t>
      </w:r>
      <w:r w:rsidRPr="008A2B8F">
        <w:rPr>
          <w:rFonts w:ascii="Meta Pro" w:hAnsi="Meta Pro"/>
        </w:rPr>
        <w:t xml:space="preserve"> </w:t>
      </w:r>
    </w:p>
    <w:p w14:paraId="017B41EF" w14:textId="77777777" w:rsidR="00BC5219" w:rsidRDefault="00BC5219" w:rsidP="00BC5219">
      <w:pPr>
        <w:spacing w:line="259" w:lineRule="auto"/>
        <w:rPr>
          <w:rFonts w:ascii="Meta Pro" w:eastAsia="Times New Roman" w:hAnsi="Meta Pro"/>
          <w:b/>
          <w:bCs/>
          <w:color w:val="000000"/>
          <w:lang w:eastAsia="en-AU"/>
        </w:rPr>
      </w:pPr>
    </w:p>
    <w:p w14:paraId="709D189B" w14:textId="77777777" w:rsidR="00BC5219" w:rsidRDefault="00BC5219" w:rsidP="00BC5219">
      <w:pPr>
        <w:spacing w:after="120" w:line="300" w:lineRule="atLeast"/>
        <w:rPr>
          <w:rFonts w:asciiTheme="minorHAnsi" w:hAnsiTheme="minorHAnsi" w:cstheme="minorBidi"/>
        </w:rPr>
      </w:pPr>
      <w:r w:rsidRPr="008A2B8F">
        <w:rPr>
          <w:rFonts w:ascii="Meta Pro" w:eastAsia="Times New Roman" w:hAnsi="Meta Pro"/>
          <w:b/>
          <w:bCs/>
          <w:color w:val="000000"/>
          <w:lang w:eastAsia="en-AU"/>
        </w:rPr>
        <w:t>30     BUDGETARY REPORTING (continued)</w:t>
      </w:r>
    </w:p>
    <w:tbl>
      <w:tblPr>
        <w:tblW w:w="0" w:type="auto"/>
        <w:tblLayout w:type="fixed"/>
        <w:tblCellMar>
          <w:left w:w="0" w:type="dxa"/>
        </w:tblCellMar>
        <w:tblLook w:val="04A0" w:firstRow="1" w:lastRow="0" w:firstColumn="1" w:lastColumn="0" w:noHBand="0" w:noVBand="1"/>
      </w:tblPr>
      <w:tblGrid>
        <w:gridCol w:w="6350"/>
        <w:gridCol w:w="1157"/>
        <w:gridCol w:w="199"/>
        <w:gridCol w:w="1157"/>
        <w:gridCol w:w="199"/>
        <w:gridCol w:w="1140"/>
      </w:tblGrid>
      <w:tr w:rsidR="00BC5219" w:rsidRPr="001B59E9" w14:paraId="1A04903D" w14:textId="77777777" w:rsidTr="00E83802">
        <w:trPr>
          <w:trHeight w:val="198"/>
        </w:trPr>
        <w:tc>
          <w:tcPr>
            <w:tcW w:w="6350" w:type="dxa"/>
            <w:tcBorders>
              <w:top w:val="nil"/>
              <w:left w:val="nil"/>
              <w:bottom w:val="nil"/>
              <w:right w:val="nil"/>
            </w:tcBorders>
            <w:shd w:val="clear" w:color="auto" w:fill="auto"/>
            <w:noWrap/>
            <w:hideMark/>
          </w:tcPr>
          <w:p w14:paraId="55C5E7A5" w14:textId="77777777" w:rsidR="00BC5219" w:rsidRPr="001B59E9" w:rsidRDefault="00BC5219" w:rsidP="00E83802">
            <w:pPr>
              <w:rPr>
                <w:rFonts w:ascii="Meta Pro" w:eastAsia="Times New Roman" w:hAnsi="Meta Pro"/>
                <w:b/>
                <w:bCs/>
                <w:szCs w:val="18"/>
                <w:lang w:eastAsia="en-AU"/>
              </w:rPr>
            </w:pPr>
            <w:r w:rsidRPr="001B59E9">
              <w:rPr>
                <w:rFonts w:ascii="Meta Pro" w:eastAsia="Times New Roman" w:hAnsi="Meta Pro"/>
                <w:b/>
                <w:bCs/>
                <w:szCs w:val="18"/>
                <w:lang w:eastAsia="en-AU"/>
              </w:rPr>
              <w:t>SCHEDULE OF ADMINISTERED ITEMS</w:t>
            </w:r>
            <w:r>
              <w:rPr>
                <w:rFonts w:ascii="Meta Pro" w:eastAsia="Times New Roman" w:hAnsi="Meta Pro"/>
                <w:b/>
                <w:bCs/>
                <w:szCs w:val="18"/>
                <w:lang w:eastAsia="en-AU"/>
              </w:rPr>
              <w:t xml:space="preserve"> (continued)</w:t>
            </w:r>
          </w:p>
        </w:tc>
        <w:tc>
          <w:tcPr>
            <w:tcW w:w="1157" w:type="dxa"/>
            <w:tcBorders>
              <w:top w:val="nil"/>
              <w:left w:val="nil"/>
              <w:bottom w:val="nil"/>
              <w:right w:val="nil"/>
            </w:tcBorders>
            <w:shd w:val="clear" w:color="auto" w:fill="auto"/>
            <w:hideMark/>
          </w:tcPr>
          <w:p w14:paraId="24549B8E" w14:textId="77777777" w:rsidR="00BC5219" w:rsidRPr="001B59E9" w:rsidRDefault="00BC5219" w:rsidP="00E83802">
            <w:pPr>
              <w:jc w:val="center"/>
              <w:rPr>
                <w:rFonts w:ascii="Meta Pro" w:eastAsia="Times New Roman" w:hAnsi="Meta Pro"/>
                <w:b/>
                <w:bCs/>
                <w:szCs w:val="18"/>
                <w:lang w:eastAsia="en-AU"/>
              </w:rPr>
            </w:pPr>
            <w:r w:rsidRPr="001B59E9">
              <w:rPr>
                <w:rFonts w:ascii="Meta Pro" w:eastAsia="Times New Roman" w:hAnsi="Meta Pro"/>
                <w:b/>
                <w:bCs/>
                <w:szCs w:val="18"/>
                <w:lang w:eastAsia="en-AU"/>
              </w:rPr>
              <w:t xml:space="preserve">Original budget </w:t>
            </w:r>
          </w:p>
        </w:tc>
        <w:tc>
          <w:tcPr>
            <w:tcW w:w="199" w:type="dxa"/>
            <w:tcBorders>
              <w:top w:val="nil"/>
              <w:left w:val="nil"/>
              <w:bottom w:val="nil"/>
              <w:right w:val="nil"/>
            </w:tcBorders>
            <w:shd w:val="clear" w:color="auto" w:fill="auto"/>
            <w:hideMark/>
          </w:tcPr>
          <w:p w14:paraId="5CE05EAA" w14:textId="77777777" w:rsidR="00BC5219" w:rsidRPr="001B59E9" w:rsidRDefault="00BC5219" w:rsidP="00E83802">
            <w:pPr>
              <w:jc w:val="center"/>
              <w:rPr>
                <w:rFonts w:ascii="Meta Pro" w:eastAsia="Times New Roman" w:hAnsi="Meta Pro"/>
                <w:b/>
                <w:bCs/>
                <w:szCs w:val="18"/>
                <w:lang w:eastAsia="en-AU"/>
              </w:rPr>
            </w:pPr>
          </w:p>
        </w:tc>
        <w:tc>
          <w:tcPr>
            <w:tcW w:w="1157" w:type="dxa"/>
            <w:tcBorders>
              <w:top w:val="nil"/>
              <w:left w:val="nil"/>
              <w:bottom w:val="nil"/>
              <w:right w:val="nil"/>
            </w:tcBorders>
            <w:shd w:val="clear" w:color="auto" w:fill="auto"/>
            <w:hideMark/>
          </w:tcPr>
          <w:p w14:paraId="269C95EC" w14:textId="77777777" w:rsidR="00BC5219" w:rsidRPr="001B59E9" w:rsidRDefault="00BC5219" w:rsidP="00E83802">
            <w:pPr>
              <w:jc w:val="center"/>
              <w:rPr>
                <w:rFonts w:ascii="Meta Pro" w:eastAsia="Times New Roman" w:hAnsi="Meta Pro"/>
                <w:b/>
                <w:bCs/>
                <w:szCs w:val="18"/>
                <w:lang w:eastAsia="en-AU"/>
              </w:rPr>
            </w:pPr>
            <w:r w:rsidRPr="001B59E9">
              <w:rPr>
                <w:rFonts w:ascii="Meta Pro" w:eastAsia="Times New Roman" w:hAnsi="Meta Pro"/>
                <w:b/>
                <w:bCs/>
                <w:szCs w:val="18"/>
                <w:lang w:eastAsia="en-AU"/>
              </w:rPr>
              <w:t>Actual</w:t>
            </w:r>
            <w:r w:rsidRPr="001B59E9">
              <w:rPr>
                <w:rFonts w:ascii="Meta Pro" w:eastAsia="Times New Roman" w:hAnsi="Meta Pro"/>
                <w:b/>
                <w:bCs/>
                <w:szCs w:val="18"/>
                <w:lang w:eastAsia="en-AU"/>
              </w:rPr>
              <w:br/>
              <w:t>result</w:t>
            </w:r>
          </w:p>
        </w:tc>
        <w:tc>
          <w:tcPr>
            <w:tcW w:w="199" w:type="dxa"/>
            <w:tcBorders>
              <w:top w:val="nil"/>
              <w:left w:val="nil"/>
              <w:bottom w:val="nil"/>
              <w:right w:val="nil"/>
            </w:tcBorders>
            <w:shd w:val="clear" w:color="auto" w:fill="auto"/>
            <w:hideMark/>
          </w:tcPr>
          <w:p w14:paraId="6030435E" w14:textId="77777777" w:rsidR="00BC5219" w:rsidRPr="001B59E9" w:rsidRDefault="00BC5219" w:rsidP="00E83802">
            <w:pPr>
              <w:jc w:val="center"/>
              <w:rPr>
                <w:rFonts w:ascii="Meta Pro" w:eastAsia="Times New Roman" w:hAnsi="Meta Pro"/>
                <w:b/>
                <w:bCs/>
                <w:szCs w:val="18"/>
                <w:lang w:eastAsia="en-AU"/>
              </w:rPr>
            </w:pPr>
          </w:p>
        </w:tc>
        <w:tc>
          <w:tcPr>
            <w:tcW w:w="1140" w:type="dxa"/>
            <w:tcBorders>
              <w:top w:val="nil"/>
              <w:left w:val="nil"/>
              <w:bottom w:val="nil"/>
              <w:right w:val="nil"/>
            </w:tcBorders>
            <w:shd w:val="clear" w:color="auto" w:fill="auto"/>
            <w:hideMark/>
          </w:tcPr>
          <w:p w14:paraId="369555AD" w14:textId="77777777" w:rsidR="00BC5219" w:rsidRPr="001B59E9" w:rsidRDefault="00BC5219" w:rsidP="00E83802">
            <w:pPr>
              <w:jc w:val="center"/>
              <w:rPr>
                <w:rFonts w:ascii="Meta Pro" w:eastAsia="Times New Roman" w:hAnsi="Meta Pro"/>
                <w:b/>
                <w:bCs/>
                <w:szCs w:val="18"/>
                <w:lang w:eastAsia="en-AU"/>
              </w:rPr>
            </w:pPr>
            <w:r w:rsidRPr="001B59E9">
              <w:rPr>
                <w:rFonts w:ascii="Meta Pro" w:eastAsia="Times New Roman" w:hAnsi="Meta Pro"/>
                <w:b/>
                <w:bCs/>
                <w:szCs w:val="18"/>
                <w:lang w:eastAsia="en-AU"/>
              </w:rPr>
              <w:t>Variance</w:t>
            </w:r>
          </w:p>
        </w:tc>
      </w:tr>
      <w:tr w:rsidR="00BC5219" w:rsidRPr="001B59E9" w14:paraId="3138E1DB" w14:textId="77777777" w:rsidTr="00E83802">
        <w:trPr>
          <w:trHeight w:val="198"/>
        </w:trPr>
        <w:tc>
          <w:tcPr>
            <w:tcW w:w="6350" w:type="dxa"/>
            <w:tcBorders>
              <w:top w:val="nil"/>
              <w:left w:val="nil"/>
              <w:bottom w:val="nil"/>
              <w:right w:val="nil"/>
            </w:tcBorders>
            <w:shd w:val="clear" w:color="auto" w:fill="auto"/>
            <w:noWrap/>
            <w:vAlign w:val="center"/>
            <w:hideMark/>
          </w:tcPr>
          <w:p w14:paraId="3C1E2517" w14:textId="77777777" w:rsidR="00BC5219" w:rsidRPr="001B59E9" w:rsidRDefault="00BC5219" w:rsidP="00E83802">
            <w:pPr>
              <w:jc w:val="center"/>
              <w:rPr>
                <w:rFonts w:ascii="Meta Pro" w:eastAsia="Times New Roman" w:hAnsi="Meta Pro"/>
                <w:b/>
                <w:bCs/>
                <w:szCs w:val="18"/>
                <w:lang w:eastAsia="en-AU"/>
              </w:rPr>
            </w:pPr>
          </w:p>
        </w:tc>
        <w:tc>
          <w:tcPr>
            <w:tcW w:w="1157" w:type="dxa"/>
            <w:tcBorders>
              <w:top w:val="nil"/>
              <w:left w:val="nil"/>
              <w:bottom w:val="nil"/>
              <w:right w:val="nil"/>
            </w:tcBorders>
            <w:shd w:val="clear" w:color="auto" w:fill="auto"/>
            <w:hideMark/>
          </w:tcPr>
          <w:p w14:paraId="6B81AE48" w14:textId="77777777" w:rsidR="00BC5219" w:rsidRPr="001B59E9" w:rsidRDefault="00BC5219" w:rsidP="00E83802">
            <w:pPr>
              <w:jc w:val="center"/>
              <w:rPr>
                <w:rFonts w:ascii="Meta Pro" w:eastAsia="Times New Roman" w:hAnsi="Meta Pro"/>
                <w:b/>
                <w:bCs/>
                <w:szCs w:val="18"/>
                <w:lang w:eastAsia="en-AU"/>
              </w:rPr>
            </w:pPr>
            <w:r w:rsidRPr="001B59E9">
              <w:rPr>
                <w:rFonts w:ascii="Meta Pro" w:eastAsia="Times New Roman" w:hAnsi="Meta Pro"/>
                <w:b/>
                <w:bCs/>
                <w:szCs w:val="18"/>
                <w:lang w:eastAsia="en-AU"/>
              </w:rPr>
              <w:t>2023</w:t>
            </w:r>
            <w:r w:rsidRPr="001B59E9">
              <w:rPr>
                <w:rFonts w:ascii="Meta Pro" w:eastAsia="Times New Roman" w:hAnsi="Meta Pro"/>
                <w:b/>
                <w:bCs/>
                <w:szCs w:val="18"/>
                <w:lang w:eastAsia="en-AU"/>
              </w:rPr>
              <w:br/>
              <w:t>$'000</w:t>
            </w:r>
          </w:p>
        </w:tc>
        <w:tc>
          <w:tcPr>
            <w:tcW w:w="199" w:type="dxa"/>
            <w:tcBorders>
              <w:top w:val="nil"/>
              <w:left w:val="nil"/>
              <w:bottom w:val="nil"/>
              <w:right w:val="nil"/>
            </w:tcBorders>
            <w:shd w:val="clear" w:color="auto" w:fill="auto"/>
            <w:hideMark/>
          </w:tcPr>
          <w:p w14:paraId="6907F292" w14:textId="77777777" w:rsidR="00BC5219" w:rsidRPr="001B59E9" w:rsidRDefault="00BC5219" w:rsidP="00E83802">
            <w:pPr>
              <w:jc w:val="center"/>
              <w:rPr>
                <w:rFonts w:ascii="Meta Pro" w:eastAsia="Times New Roman" w:hAnsi="Meta Pro"/>
                <w:b/>
                <w:bCs/>
                <w:szCs w:val="18"/>
                <w:lang w:eastAsia="en-AU"/>
              </w:rPr>
            </w:pPr>
          </w:p>
        </w:tc>
        <w:tc>
          <w:tcPr>
            <w:tcW w:w="1157" w:type="dxa"/>
            <w:tcBorders>
              <w:top w:val="nil"/>
              <w:left w:val="nil"/>
              <w:bottom w:val="nil"/>
              <w:right w:val="nil"/>
            </w:tcBorders>
            <w:shd w:val="clear" w:color="auto" w:fill="auto"/>
            <w:hideMark/>
          </w:tcPr>
          <w:p w14:paraId="70F1B2F6" w14:textId="77777777" w:rsidR="00BC5219" w:rsidRPr="001B59E9" w:rsidRDefault="00BC5219" w:rsidP="00E83802">
            <w:pPr>
              <w:jc w:val="center"/>
              <w:rPr>
                <w:rFonts w:ascii="Meta Pro" w:eastAsia="Times New Roman" w:hAnsi="Meta Pro"/>
                <w:b/>
                <w:bCs/>
                <w:szCs w:val="18"/>
                <w:lang w:eastAsia="en-AU"/>
              </w:rPr>
            </w:pPr>
            <w:r w:rsidRPr="001B59E9">
              <w:rPr>
                <w:rFonts w:ascii="Meta Pro" w:eastAsia="Times New Roman" w:hAnsi="Meta Pro"/>
                <w:b/>
                <w:bCs/>
                <w:szCs w:val="18"/>
                <w:lang w:eastAsia="en-AU"/>
              </w:rPr>
              <w:t>2023</w:t>
            </w:r>
            <w:r w:rsidRPr="001B59E9">
              <w:rPr>
                <w:rFonts w:ascii="Meta Pro" w:eastAsia="Times New Roman" w:hAnsi="Meta Pro"/>
                <w:b/>
                <w:bCs/>
                <w:szCs w:val="18"/>
                <w:lang w:eastAsia="en-AU"/>
              </w:rPr>
              <w:br/>
              <w:t>$'000</w:t>
            </w:r>
          </w:p>
        </w:tc>
        <w:tc>
          <w:tcPr>
            <w:tcW w:w="199" w:type="dxa"/>
            <w:tcBorders>
              <w:top w:val="nil"/>
              <w:left w:val="nil"/>
              <w:bottom w:val="nil"/>
              <w:right w:val="nil"/>
            </w:tcBorders>
            <w:shd w:val="clear" w:color="auto" w:fill="auto"/>
            <w:hideMark/>
          </w:tcPr>
          <w:p w14:paraId="036B851A" w14:textId="77777777" w:rsidR="00BC5219" w:rsidRPr="001B59E9" w:rsidRDefault="00BC5219" w:rsidP="00E83802">
            <w:pPr>
              <w:jc w:val="center"/>
              <w:rPr>
                <w:rFonts w:ascii="Meta Pro" w:eastAsia="Times New Roman" w:hAnsi="Meta Pro"/>
                <w:b/>
                <w:bCs/>
                <w:szCs w:val="18"/>
                <w:lang w:eastAsia="en-AU"/>
              </w:rPr>
            </w:pPr>
          </w:p>
        </w:tc>
        <w:tc>
          <w:tcPr>
            <w:tcW w:w="1140" w:type="dxa"/>
            <w:tcBorders>
              <w:top w:val="nil"/>
              <w:left w:val="nil"/>
              <w:bottom w:val="nil"/>
              <w:right w:val="nil"/>
            </w:tcBorders>
            <w:shd w:val="clear" w:color="auto" w:fill="auto"/>
            <w:hideMark/>
          </w:tcPr>
          <w:p w14:paraId="4EDDE221" w14:textId="77777777" w:rsidR="00BC5219" w:rsidRPr="001B59E9" w:rsidRDefault="00BC5219" w:rsidP="00E83802">
            <w:pPr>
              <w:jc w:val="center"/>
              <w:rPr>
                <w:rFonts w:ascii="Meta Pro" w:eastAsia="Times New Roman" w:hAnsi="Meta Pro"/>
                <w:b/>
                <w:bCs/>
                <w:szCs w:val="18"/>
                <w:lang w:eastAsia="en-AU"/>
              </w:rPr>
            </w:pPr>
            <w:r w:rsidRPr="001B59E9">
              <w:rPr>
                <w:rFonts w:ascii="Meta Pro" w:eastAsia="Times New Roman" w:hAnsi="Meta Pro"/>
                <w:b/>
                <w:bCs/>
                <w:szCs w:val="18"/>
                <w:lang w:eastAsia="en-AU"/>
              </w:rPr>
              <w:t>2023</w:t>
            </w:r>
            <w:r w:rsidRPr="001B59E9">
              <w:rPr>
                <w:rFonts w:ascii="Meta Pro" w:eastAsia="Times New Roman" w:hAnsi="Meta Pro"/>
                <w:b/>
                <w:bCs/>
                <w:szCs w:val="18"/>
                <w:lang w:eastAsia="en-AU"/>
              </w:rPr>
              <w:br/>
              <w:t>$'000</w:t>
            </w:r>
          </w:p>
        </w:tc>
      </w:tr>
    </w:tbl>
    <w:p w14:paraId="6E3D6E8A" w14:textId="77777777" w:rsidR="00BC5219" w:rsidRDefault="00BC5219" w:rsidP="00BC5219">
      <w:pPr>
        <w:spacing w:before="120" w:line="259" w:lineRule="auto"/>
        <w:rPr>
          <w:rFonts w:asciiTheme="minorHAnsi" w:hAnsiTheme="minorHAnsi" w:cstheme="minorBidi"/>
        </w:rPr>
      </w:pPr>
    </w:p>
    <w:tbl>
      <w:tblPr>
        <w:tblW w:w="0" w:type="auto"/>
        <w:tblCellMar>
          <w:left w:w="0" w:type="dxa"/>
        </w:tblCellMar>
        <w:tblLook w:val="04A0" w:firstRow="1" w:lastRow="0" w:firstColumn="1" w:lastColumn="0" w:noHBand="0" w:noVBand="1"/>
      </w:tblPr>
      <w:tblGrid>
        <w:gridCol w:w="6358"/>
        <w:gridCol w:w="1164"/>
        <w:gridCol w:w="224"/>
        <w:gridCol w:w="1164"/>
        <w:gridCol w:w="224"/>
        <w:gridCol w:w="1148"/>
      </w:tblGrid>
      <w:tr w:rsidR="00BC5219" w:rsidRPr="00EF0C57" w14:paraId="72CF3BDF" w14:textId="77777777" w:rsidTr="00E83802">
        <w:trPr>
          <w:trHeight w:val="198"/>
        </w:trPr>
        <w:tc>
          <w:tcPr>
            <w:tcW w:w="6350" w:type="dxa"/>
            <w:tcBorders>
              <w:top w:val="nil"/>
              <w:left w:val="nil"/>
              <w:bottom w:val="nil"/>
              <w:right w:val="nil"/>
            </w:tcBorders>
            <w:shd w:val="clear" w:color="auto" w:fill="auto"/>
            <w:noWrap/>
            <w:vAlign w:val="center"/>
            <w:hideMark/>
          </w:tcPr>
          <w:p w14:paraId="45C6981F" w14:textId="77777777" w:rsidR="00BC5219" w:rsidRPr="00EF0C57" w:rsidRDefault="00BC5219" w:rsidP="00E83802">
            <w:pPr>
              <w:outlineLvl w:val="0"/>
              <w:rPr>
                <w:rFonts w:ascii="Meta Pro" w:eastAsia="Times New Roman" w:hAnsi="Meta Pro"/>
                <w:b/>
                <w:bCs/>
                <w:szCs w:val="18"/>
                <w:lang w:eastAsia="en-AU"/>
              </w:rPr>
            </w:pPr>
            <w:r w:rsidRPr="00EF0C57">
              <w:rPr>
                <w:rFonts w:ascii="Meta Pro" w:eastAsia="Times New Roman" w:hAnsi="Meta Pro"/>
                <w:b/>
                <w:bCs/>
                <w:szCs w:val="18"/>
                <w:lang w:eastAsia="en-AU"/>
              </w:rPr>
              <w:t>Administered assets</w:t>
            </w:r>
          </w:p>
        </w:tc>
        <w:tc>
          <w:tcPr>
            <w:tcW w:w="1156" w:type="dxa"/>
            <w:tcBorders>
              <w:top w:val="nil"/>
              <w:left w:val="nil"/>
              <w:bottom w:val="nil"/>
              <w:right w:val="nil"/>
            </w:tcBorders>
            <w:shd w:val="clear" w:color="auto" w:fill="auto"/>
            <w:noWrap/>
            <w:vAlign w:val="center"/>
            <w:hideMark/>
          </w:tcPr>
          <w:p w14:paraId="6EC6BDFE" w14:textId="77777777" w:rsidR="00BC5219" w:rsidRPr="00EF0C57" w:rsidRDefault="00BC5219" w:rsidP="00E83802">
            <w:pPr>
              <w:outlineLvl w:val="0"/>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5973A638" w14:textId="77777777" w:rsidR="00BC5219" w:rsidRPr="00EF0C57" w:rsidRDefault="00BC5219" w:rsidP="00E83802">
            <w:pPr>
              <w:jc w:val="right"/>
              <w:outlineLvl w:val="0"/>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44BC9061" w14:textId="77777777" w:rsidR="00BC5219" w:rsidRPr="00EF0C57" w:rsidRDefault="00BC5219" w:rsidP="00E83802">
            <w:pPr>
              <w:jc w:val="right"/>
              <w:outlineLvl w:val="0"/>
              <w:rPr>
                <w:rFonts w:ascii="Times New Roman" w:eastAsia="Times New Roman" w:hAnsi="Times New Roman"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10FBB182" w14:textId="77777777" w:rsidR="00BC5219" w:rsidRPr="00EF0C57" w:rsidRDefault="00BC5219" w:rsidP="00E83802">
            <w:pPr>
              <w:jc w:val="right"/>
              <w:outlineLvl w:val="0"/>
              <w:rPr>
                <w:rFonts w:ascii="Times New Roman" w:eastAsia="Times New Roman" w:hAnsi="Times New Roman" w:cs="Times New Roman"/>
                <w:sz w:val="20"/>
                <w:szCs w:val="20"/>
                <w:lang w:eastAsia="en-AU"/>
              </w:rPr>
            </w:pPr>
          </w:p>
        </w:tc>
        <w:tc>
          <w:tcPr>
            <w:tcW w:w="1140" w:type="dxa"/>
            <w:tcBorders>
              <w:top w:val="nil"/>
              <w:left w:val="nil"/>
              <w:bottom w:val="nil"/>
              <w:right w:val="nil"/>
            </w:tcBorders>
            <w:shd w:val="clear" w:color="auto" w:fill="auto"/>
            <w:noWrap/>
            <w:vAlign w:val="center"/>
            <w:hideMark/>
          </w:tcPr>
          <w:p w14:paraId="22D57AA8" w14:textId="77777777" w:rsidR="00BC5219" w:rsidRPr="00EF0C57" w:rsidRDefault="00BC5219" w:rsidP="00E83802">
            <w:pPr>
              <w:jc w:val="right"/>
              <w:outlineLvl w:val="0"/>
              <w:rPr>
                <w:rFonts w:ascii="Times New Roman" w:eastAsia="Times New Roman" w:hAnsi="Times New Roman" w:cs="Times New Roman"/>
                <w:sz w:val="20"/>
                <w:szCs w:val="20"/>
                <w:lang w:eastAsia="en-AU"/>
              </w:rPr>
            </w:pPr>
          </w:p>
        </w:tc>
      </w:tr>
      <w:tr w:rsidR="00BC5219" w:rsidRPr="00EF0C57" w14:paraId="3793225D" w14:textId="77777777" w:rsidTr="00E83802">
        <w:trPr>
          <w:trHeight w:val="198"/>
        </w:trPr>
        <w:tc>
          <w:tcPr>
            <w:tcW w:w="6350" w:type="dxa"/>
            <w:tcBorders>
              <w:top w:val="nil"/>
              <w:left w:val="nil"/>
              <w:bottom w:val="nil"/>
              <w:right w:val="nil"/>
            </w:tcBorders>
            <w:shd w:val="clear" w:color="auto" w:fill="auto"/>
            <w:noWrap/>
            <w:vAlign w:val="center"/>
            <w:hideMark/>
          </w:tcPr>
          <w:p w14:paraId="1338C6BC" w14:textId="77777777" w:rsidR="00BC5219" w:rsidRPr="00EF0C57" w:rsidRDefault="00BC5219" w:rsidP="00E83802">
            <w:pPr>
              <w:outlineLvl w:val="0"/>
              <w:rPr>
                <w:rFonts w:ascii="Meta Pro" w:eastAsia="Times New Roman" w:hAnsi="Meta Pro"/>
                <w:i/>
                <w:iCs/>
                <w:szCs w:val="18"/>
                <w:lang w:eastAsia="en-AU"/>
              </w:rPr>
            </w:pPr>
            <w:r w:rsidRPr="00EF0C57">
              <w:rPr>
                <w:rFonts w:ascii="Meta Pro" w:eastAsia="Times New Roman" w:hAnsi="Meta Pro"/>
                <w:i/>
                <w:iCs/>
                <w:szCs w:val="18"/>
                <w:lang w:eastAsia="en-AU"/>
              </w:rPr>
              <w:t xml:space="preserve">Current </w:t>
            </w:r>
          </w:p>
        </w:tc>
        <w:tc>
          <w:tcPr>
            <w:tcW w:w="1156" w:type="dxa"/>
            <w:tcBorders>
              <w:top w:val="nil"/>
              <w:left w:val="nil"/>
              <w:bottom w:val="nil"/>
              <w:right w:val="nil"/>
            </w:tcBorders>
            <w:shd w:val="clear" w:color="auto" w:fill="auto"/>
            <w:noWrap/>
            <w:vAlign w:val="center"/>
            <w:hideMark/>
          </w:tcPr>
          <w:p w14:paraId="042CE35B" w14:textId="77777777" w:rsidR="00BC5219" w:rsidRPr="00EF0C57" w:rsidRDefault="00BC5219" w:rsidP="00E83802">
            <w:pPr>
              <w:outlineLvl w:val="0"/>
              <w:rPr>
                <w:rFonts w:ascii="Meta Pro" w:eastAsia="Times New Roman" w:hAnsi="Meta Pro"/>
                <w:i/>
                <w:iCs/>
                <w:szCs w:val="18"/>
                <w:lang w:eastAsia="en-AU"/>
              </w:rPr>
            </w:pPr>
          </w:p>
        </w:tc>
        <w:tc>
          <w:tcPr>
            <w:tcW w:w="216" w:type="dxa"/>
            <w:tcBorders>
              <w:top w:val="nil"/>
              <w:left w:val="nil"/>
              <w:bottom w:val="nil"/>
              <w:right w:val="nil"/>
            </w:tcBorders>
            <w:shd w:val="clear" w:color="auto" w:fill="auto"/>
            <w:noWrap/>
            <w:vAlign w:val="center"/>
            <w:hideMark/>
          </w:tcPr>
          <w:p w14:paraId="491AD15B" w14:textId="77777777" w:rsidR="00BC5219" w:rsidRPr="00EF0C57" w:rsidRDefault="00BC5219" w:rsidP="00E83802">
            <w:pPr>
              <w:jc w:val="right"/>
              <w:outlineLvl w:val="0"/>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24DE6BD9" w14:textId="77777777" w:rsidR="00BC5219" w:rsidRPr="00EF0C57" w:rsidRDefault="00BC5219" w:rsidP="00E83802">
            <w:pPr>
              <w:jc w:val="right"/>
              <w:outlineLvl w:val="0"/>
              <w:rPr>
                <w:rFonts w:ascii="Times New Roman" w:eastAsia="Times New Roman" w:hAnsi="Times New Roman"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03DC2ADE" w14:textId="77777777" w:rsidR="00BC5219" w:rsidRPr="00EF0C57" w:rsidRDefault="00BC5219" w:rsidP="00E83802">
            <w:pPr>
              <w:jc w:val="right"/>
              <w:outlineLvl w:val="0"/>
              <w:rPr>
                <w:rFonts w:ascii="Times New Roman" w:eastAsia="Times New Roman" w:hAnsi="Times New Roman" w:cs="Times New Roman"/>
                <w:sz w:val="20"/>
                <w:szCs w:val="20"/>
                <w:lang w:eastAsia="en-AU"/>
              </w:rPr>
            </w:pPr>
          </w:p>
        </w:tc>
        <w:tc>
          <w:tcPr>
            <w:tcW w:w="1140" w:type="dxa"/>
            <w:tcBorders>
              <w:top w:val="nil"/>
              <w:left w:val="nil"/>
              <w:bottom w:val="nil"/>
              <w:right w:val="nil"/>
            </w:tcBorders>
            <w:shd w:val="clear" w:color="auto" w:fill="auto"/>
            <w:noWrap/>
            <w:vAlign w:val="center"/>
            <w:hideMark/>
          </w:tcPr>
          <w:p w14:paraId="3065419E" w14:textId="77777777" w:rsidR="00BC5219" w:rsidRPr="00EF0C57" w:rsidRDefault="00BC5219" w:rsidP="00E83802">
            <w:pPr>
              <w:jc w:val="right"/>
              <w:outlineLvl w:val="0"/>
              <w:rPr>
                <w:rFonts w:ascii="Times New Roman" w:eastAsia="Times New Roman" w:hAnsi="Times New Roman" w:cs="Times New Roman"/>
                <w:sz w:val="20"/>
                <w:szCs w:val="20"/>
                <w:lang w:eastAsia="en-AU"/>
              </w:rPr>
            </w:pPr>
          </w:p>
        </w:tc>
      </w:tr>
      <w:tr w:rsidR="00BC5219" w:rsidRPr="00EF0C57" w14:paraId="602BF647" w14:textId="77777777" w:rsidTr="00E83802">
        <w:trPr>
          <w:trHeight w:val="198"/>
        </w:trPr>
        <w:tc>
          <w:tcPr>
            <w:tcW w:w="6350" w:type="dxa"/>
            <w:tcBorders>
              <w:top w:val="nil"/>
              <w:left w:val="nil"/>
              <w:bottom w:val="nil"/>
              <w:right w:val="nil"/>
            </w:tcBorders>
            <w:shd w:val="clear" w:color="auto" w:fill="auto"/>
            <w:noWrap/>
            <w:vAlign w:val="center"/>
            <w:hideMark/>
          </w:tcPr>
          <w:p w14:paraId="229A2D11" w14:textId="77777777" w:rsidR="00BC5219" w:rsidRPr="00EF0C57" w:rsidRDefault="00BC5219" w:rsidP="00E83802">
            <w:pPr>
              <w:outlineLvl w:val="0"/>
              <w:rPr>
                <w:rFonts w:ascii="Meta Pro" w:eastAsia="Times New Roman" w:hAnsi="Meta Pro"/>
                <w:szCs w:val="18"/>
                <w:lang w:eastAsia="en-AU"/>
              </w:rPr>
            </w:pPr>
            <w:r w:rsidRPr="00EF0C57">
              <w:rPr>
                <w:rFonts w:ascii="Meta Pro" w:eastAsia="Times New Roman" w:hAnsi="Meta Pro"/>
                <w:szCs w:val="18"/>
                <w:lang w:eastAsia="en-AU"/>
              </w:rPr>
              <w:t>Cash</w:t>
            </w:r>
          </w:p>
        </w:tc>
        <w:tc>
          <w:tcPr>
            <w:tcW w:w="1156" w:type="dxa"/>
            <w:tcBorders>
              <w:top w:val="nil"/>
              <w:left w:val="nil"/>
              <w:bottom w:val="nil"/>
              <w:right w:val="nil"/>
            </w:tcBorders>
            <w:shd w:val="clear" w:color="auto" w:fill="auto"/>
            <w:noWrap/>
            <w:vAlign w:val="center"/>
            <w:hideMark/>
          </w:tcPr>
          <w:p w14:paraId="0FBFB281" w14:textId="77777777" w:rsidR="00BC5219" w:rsidRPr="00EF0C57" w:rsidRDefault="00BC5219" w:rsidP="00E83802">
            <w:pPr>
              <w:jc w:val="right"/>
              <w:outlineLvl w:val="0"/>
              <w:rPr>
                <w:rFonts w:ascii="Meta Pro" w:eastAsia="Times New Roman" w:hAnsi="Meta Pro"/>
                <w:szCs w:val="18"/>
                <w:lang w:eastAsia="en-AU"/>
              </w:rPr>
            </w:pPr>
            <w:r w:rsidRPr="00EF0C57">
              <w:rPr>
                <w:rFonts w:ascii="Meta Pro" w:eastAsia="Times New Roman" w:hAnsi="Meta Pro"/>
                <w:szCs w:val="18"/>
                <w:lang w:eastAsia="en-AU"/>
              </w:rPr>
              <w:t xml:space="preserve">21,516 </w:t>
            </w:r>
          </w:p>
        </w:tc>
        <w:tc>
          <w:tcPr>
            <w:tcW w:w="216" w:type="dxa"/>
            <w:tcBorders>
              <w:top w:val="nil"/>
              <w:left w:val="nil"/>
              <w:bottom w:val="nil"/>
              <w:right w:val="nil"/>
            </w:tcBorders>
            <w:shd w:val="clear" w:color="auto" w:fill="auto"/>
            <w:noWrap/>
            <w:vAlign w:val="center"/>
            <w:hideMark/>
          </w:tcPr>
          <w:p w14:paraId="482FC3B9" w14:textId="77777777" w:rsidR="00BC5219" w:rsidRPr="00EF0C57" w:rsidRDefault="00BC5219" w:rsidP="00E83802">
            <w:pPr>
              <w:jc w:val="right"/>
              <w:outlineLvl w:val="0"/>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6B746745" w14:textId="77777777" w:rsidR="00BC5219" w:rsidRPr="00EF0C57" w:rsidRDefault="00BC5219" w:rsidP="00E83802">
            <w:pPr>
              <w:jc w:val="right"/>
              <w:outlineLvl w:val="0"/>
              <w:rPr>
                <w:rFonts w:ascii="Meta Pro" w:eastAsia="Times New Roman" w:hAnsi="Meta Pro"/>
                <w:szCs w:val="18"/>
                <w:lang w:eastAsia="en-AU"/>
              </w:rPr>
            </w:pPr>
            <w:r w:rsidRPr="00EF0C57">
              <w:rPr>
                <w:rFonts w:ascii="Meta Pro" w:eastAsia="Times New Roman" w:hAnsi="Meta Pro"/>
                <w:szCs w:val="18"/>
                <w:lang w:eastAsia="en-AU"/>
              </w:rPr>
              <w:t xml:space="preserve">18,402 </w:t>
            </w:r>
          </w:p>
        </w:tc>
        <w:tc>
          <w:tcPr>
            <w:tcW w:w="216" w:type="dxa"/>
            <w:tcBorders>
              <w:top w:val="nil"/>
              <w:left w:val="nil"/>
              <w:bottom w:val="nil"/>
              <w:right w:val="nil"/>
            </w:tcBorders>
            <w:shd w:val="clear" w:color="auto" w:fill="auto"/>
            <w:noWrap/>
            <w:vAlign w:val="center"/>
            <w:hideMark/>
          </w:tcPr>
          <w:p w14:paraId="6BAAC4D0" w14:textId="77777777" w:rsidR="00BC5219" w:rsidRPr="00EF0C57" w:rsidRDefault="00BC5219" w:rsidP="00E83802">
            <w:pPr>
              <w:jc w:val="right"/>
              <w:outlineLvl w:val="0"/>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114D5E6B" w14:textId="77777777" w:rsidR="00BC5219" w:rsidRPr="00EF0C57" w:rsidRDefault="00BC5219" w:rsidP="00E83802">
            <w:pPr>
              <w:jc w:val="right"/>
              <w:outlineLvl w:val="0"/>
              <w:rPr>
                <w:rFonts w:ascii="Meta Pro" w:eastAsia="Times New Roman" w:hAnsi="Meta Pro"/>
                <w:szCs w:val="18"/>
                <w:lang w:eastAsia="en-AU"/>
              </w:rPr>
            </w:pPr>
            <w:r w:rsidRPr="00EF0C57">
              <w:rPr>
                <w:rFonts w:ascii="Meta Pro" w:eastAsia="Times New Roman" w:hAnsi="Meta Pro"/>
                <w:szCs w:val="18"/>
                <w:lang w:eastAsia="en-AU"/>
              </w:rPr>
              <w:t>(3,114)</w:t>
            </w:r>
          </w:p>
        </w:tc>
      </w:tr>
      <w:tr w:rsidR="00BC5219" w:rsidRPr="00EF0C57" w14:paraId="3ACB4366" w14:textId="77777777" w:rsidTr="00E83802">
        <w:trPr>
          <w:trHeight w:val="198"/>
        </w:trPr>
        <w:tc>
          <w:tcPr>
            <w:tcW w:w="6350" w:type="dxa"/>
            <w:tcBorders>
              <w:top w:val="nil"/>
              <w:left w:val="nil"/>
              <w:bottom w:val="nil"/>
              <w:right w:val="nil"/>
            </w:tcBorders>
            <w:shd w:val="clear" w:color="auto" w:fill="auto"/>
            <w:noWrap/>
            <w:vAlign w:val="center"/>
            <w:hideMark/>
          </w:tcPr>
          <w:p w14:paraId="1193DF9B" w14:textId="77777777" w:rsidR="00BC5219" w:rsidRPr="00EF0C57" w:rsidRDefault="00BC5219" w:rsidP="00E83802">
            <w:pPr>
              <w:outlineLvl w:val="0"/>
              <w:rPr>
                <w:rFonts w:ascii="Meta Pro" w:eastAsia="Times New Roman" w:hAnsi="Meta Pro"/>
                <w:szCs w:val="18"/>
                <w:lang w:eastAsia="en-AU"/>
              </w:rPr>
            </w:pPr>
            <w:r w:rsidRPr="00EF0C57">
              <w:rPr>
                <w:rFonts w:ascii="Meta Pro" w:eastAsia="Times New Roman" w:hAnsi="Meta Pro"/>
                <w:szCs w:val="18"/>
                <w:lang w:eastAsia="en-AU"/>
              </w:rPr>
              <w:t>Receivables</w:t>
            </w:r>
          </w:p>
        </w:tc>
        <w:tc>
          <w:tcPr>
            <w:tcW w:w="1156" w:type="dxa"/>
            <w:tcBorders>
              <w:top w:val="nil"/>
              <w:left w:val="nil"/>
              <w:bottom w:val="nil"/>
              <w:right w:val="nil"/>
            </w:tcBorders>
            <w:shd w:val="clear" w:color="auto" w:fill="auto"/>
            <w:noWrap/>
            <w:vAlign w:val="center"/>
            <w:hideMark/>
          </w:tcPr>
          <w:p w14:paraId="70F600AB" w14:textId="77777777" w:rsidR="00BC5219" w:rsidRPr="00EF0C57" w:rsidRDefault="00BC5219" w:rsidP="00E83802">
            <w:pPr>
              <w:jc w:val="right"/>
              <w:outlineLvl w:val="0"/>
              <w:rPr>
                <w:rFonts w:ascii="Meta Pro" w:eastAsia="Times New Roman" w:hAnsi="Meta Pro"/>
                <w:szCs w:val="18"/>
                <w:lang w:eastAsia="en-AU"/>
              </w:rPr>
            </w:pPr>
            <w:r w:rsidRPr="00EF0C57">
              <w:rPr>
                <w:rFonts w:ascii="Meta Pro" w:eastAsia="Times New Roman" w:hAnsi="Meta Pro"/>
                <w:szCs w:val="18"/>
                <w:lang w:eastAsia="en-AU"/>
              </w:rPr>
              <w:t xml:space="preserve">20,506 </w:t>
            </w:r>
          </w:p>
        </w:tc>
        <w:tc>
          <w:tcPr>
            <w:tcW w:w="216" w:type="dxa"/>
            <w:tcBorders>
              <w:top w:val="nil"/>
              <w:left w:val="nil"/>
              <w:bottom w:val="nil"/>
              <w:right w:val="nil"/>
            </w:tcBorders>
            <w:shd w:val="clear" w:color="auto" w:fill="auto"/>
            <w:noWrap/>
            <w:vAlign w:val="center"/>
            <w:hideMark/>
          </w:tcPr>
          <w:p w14:paraId="28848547" w14:textId="77777777" w:rsidR="00BC5219" w:rsidRPr="00EF0C57" w:rsidRDefault="00BC5219" w:rsidP="00E83802">
            <w:pPr>
              <w:jc w:val="right"/>
              <w:outlineLvl w:val="0"/>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7EF9B0A8" w14:textId="77777777" w:rsidR="00BC5219" w:rsidRPr="00EF0C57" w:rsidRDefault="00BC5219" w:rsidP="00E83802">
            <w:pPr>
              <w:jc w:val="right"/>
              <w:outlineLvl w:val="0"/>
              <w:rPr>
                <w:rFonts w:ascii="Meta Pro" w:eastAsia="Times New Roman" w:hAnsi="Meta Pro"/>
                <w:szCs w:val="18"/>
                <w:lang w:eastAsia="en-AU"/>
              </w:rPr>
            </w:pPr>
            <w:r w:rsidRPr="00EF0C57">
              <w:rPr>
                <w:rFonts w:ascii="Meta Pro" w:eastAsia="Times New Roman" w:hAnsi="Meta Pro"/>
                <w:szCs w:val="18"/>
                <w:lang w:eastAsia="en-AU"/>
              </w:rPr>
              <w:t xml:space="preserve">29,706 </w:t>
            </w:r>
          </w:p>
        </w:tc>
        <w:tc>
          <w:tcPr>
            <w:tcW w:w="216" w:type="dxa"/>
            <w:tcBorders>
              <w:top w:val="nil"/>
              <w:left w:val="nil"/>
              <w:bottom w:val="nil"/>
              <w:right w:val="nil"/>
            </w:tcBorders>
            <w:shd w:val="clear" w:color="auto" w:fill="auto"/>
            <w:noWrap/>
            <w:vAlign w:val="center"/>
            <w:hideMark/>
          </w:tcPr>
          <w:p w14:paraId="4BFB2241" w14:textId="77777777" w:rsidR="00BC5219" w:rsidRPr="00EF0C57" w:rsidRDefault="00BC5219" w:rsidP="00E83802">
            <w:pPr>
              <w:jc w:val="right"/>
              <w:outlineLvl w:val="0"/>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7C5DEFF3" w14:textId="77777777" w:rsidR="00BC5219" w:rsidRPr="00EF0C57" w:rsidRDefault="00BC5219" w:rsidP="00E83802">
            <w:pPr>
              <w:jc w:val="right"/>
              <w:outlineLvl w:val="0"/>
              <w:rPr>
                <w:rFonts w:ascii="Meta Pro" w:eastAsia="Times New Roman" w:hAnsi="Meta Pro"/>
                <w:szCs w:val="18"/>
                <w:lang w:eastAsia="en-AU"/>
              </w:rPr>
            </w:pPr>
            <w:r w:rsidRPr="00EF0C57">
              <w:rPr>
                <w:rFonts w:ascii="Meta Pro" w:eastAsia="Times New Roman" w:hAnsi="Meta Pro"/>
                <w:szCs w:val="18"/>
                <w:lang w:eastAsia="en-AU"/>
              </w:rPr>
              <w:t xml:space="preserve">9,200 </w:t>
            </w:r>
          </w:p>
        </w:tc>
      </w:tr>
      <w:tr w:rsidR="00BC5219" w:rsidRPr="00EF0C57" w14:paraId="7517EAAC" w14:textId="77777777" w:rsidTr="00E83802">
        <w:trPr>
          <w:trHeight w:val="198"/>
        </w:trPr>
        <w:tc>
          <w:tcPr>
            <w:tcW w:w="6350" w:type="dxa"/>
            <w:tcBorders>
              <w:top w:val="single" w:sz="4" w:space="0" w:color="auto"/>
              <w:left w:val="nil"/>
              <w:bottom w:val="nil"/>
              <w:right w:val="nil"/>
            </w:tcBorders>
            <w:shd w:val="clear" w:color="auto" w:fill="auto"/>
            <w:noWrap/>
            <w:vAlign w:val="center"/>
            <w:hideMark/>
          </w:tcPr>
          <w:p w14:paraId="22E57F4A" w14:textId="77777777" w:rsidR="00BC5219" w:rsidRPr="00EF0C57" w:rsidRDefault="00BC5219" w:rsidP="00E83802">
            <w:pPr>
              <w:outlineLvl w:val="0"/>
              <w:rPr>
                <w:rFonts w:ascii="Meta Pro" w:eastAsia="Times New Roman" w:hAnsi="Meta Pro"/>
                <w:b/>
                <w:bCs/>
                <w:szCs w:val="18"/>
                <w:lang w:eastAsia="en-AU"/>
              </w:rPr>
            </w:pPr>
            <w:r w:rsidRPr="00EF0C57">
              <w:rPr>
                <w:rFonts w:ascii="Meta Pro" w:eastAsia="Times New Roman" w:hAnsi="Meta Pro"/>
                <w:b/>
                <w:bCs/>
                <w:szCs w:val="18"/>
                <w:lang w:eastAsia="en-AU"/>
              </w:rPr>
              <w:t>Total current assets</w:t>
            </w:r>
          </w:p>
        </w:tc>
        <w:tc>
          <w:tcPr>
            <w:tcW w:w="1156" w:type="dxa"/>
            <w:tcBorders>
              <w:top w:val="single" w:sz="4" w:space="0" w:color="auto"/>
              <w:left w:val="nil"/>
              <w:bottom w:val="nil"/>
              <w:right w:val="nil"/>
            </w:tcBorders>
            <w:shd w:val="clear" w:color="auto" w:fill="auto"/>
            <w:noWrap/>
            <w:vAlign w:val="center"/>
            <w:hideMark/>
          </w:tcPr>
          <w:p w14:paraId="59510E8D" w14:textId="77777777" w:rsidR="00BC5219" w:rsidRPr="00EF0C57" w:rsidRDefault="00BC5219" w:rsidP="00E83802">
            <w:pPr>
              <w:jc w:val="right"/>
              <w:outlineLvl w:val="0"/>
              <w:rPr>
                <w:rFonts w:ascii="Meta Pro" w:eastAsia="Times New Roman" w:hAnsi="Meta Pro"/>
                <w:b/>
                <w:bCs/>
                <w:szCs w:val="18"/>
                <w:lang w:eastAsia="en-AU"/>
              </w:rPr>
            </w:pPr>
            <w:r w:rsidRPr="00EF0C57">
              <w:rPr>
                <w:rFonts w:ascii="Meta Pro" w:eastAsia="Times New Roman" w:hAnsi="Meta Pro"/>
                <w:b/>
                <w:bCs/>
                <w:szCs w:val="18"/>
                <w:lang w:eastAsia="en-AU"/>
              </w:rPr>
              <w:t xml:space="preserve">42,022 </w:t>
            </w:r>
          </w:p>
        </w:tc>
        <w:tc>
          <w:tcPr>
            <w:tcW w:w="216" w:type="dxa"/>
            <w:tcBorders>
              <w:top w:val="single" w:sz="4" w:space="0" w:color="auto"/>
              <w:left w:val="nil"/>
              <w:bottom w:val="nil"/>
              <w:right w:val="nil"/>
            </w:tcBorders>
            <w:shd w:val="clear" w:color="auto" w:fill="auto"/>
            <w:noWrap/>
            <w:vAlign w:val="center"/>
            <w:hideMark/>
          </w:tcPr>
          <w:p w14:paraId="15A81ACE" w14:textId="77777777" w:rsidR="00BC5219" w:rsidRPr="00EF0C57" w:rsidRDefault="00BC5219" w:rsidP="00E83802">
            <w:pPr>
              <w:jc w:val="right"/>
              <w:outlineLvl w:val="0"/>
              <w:rPr>
                <w:rFonts w:ascii="Meta Pro" w:eastAsia="Times New Roman" w:hAnsi="Meta Pro"/>
                <w:szCs w:val="18"/>
                <w:lang w:eastAsia="en-AU"/>
              </w:rPr>
            </w:pPr>
            <w:r w:rsidRPr="00EF0C57">
              <w:rPr>
                <w:rFonts w:ascii="Meta Pro" w:eastAsia="Times New Roman" w:hAnsi="Meta Pro"/>
                <w:szCs w:val="18"/>
                <w:lang w:eastAsia="en-AU"/>
              </w:rPr>
              <w:t> </w:t>
            </w:r>
          </w:p>
        </w:tc>
        <w:tc>
          <w:tcPr>
            <w:tcW w:w="1156" w:type="dxa"/>
            <w:tcBorders>
              <w:top w:val="single" w:sz="4" w:space="0" w:color="auto"/>
              <w:left w:val="nil"/>
              <w:bottom w:val="nil"/>
              <w:right w:val="nil"/>
            </w:tcBorders>
            <w:shd w:val="clear" w:color="auto" w:fill="auto"/>
            <w:noWrap/>
            <w:vAlign w:val="center"/>
            <w:hideMark/>
          </w:tcPr>
          <w:p w14:paraId="6D1913AB" w14:textId="77777777" w:rsidR="00BC5219" w:rsidRPr="00EF0C57" w:rsidRDefault="00BC5219" w:rsidP="00E83802">
            <w:pPr>
              <w:jc w:val="right"/>
              <w:outlineLvl w:val="0"/>
              <w:rPr>
                <w:rFonts w:ascii="Meta Pro" w:eastAsia="Times New Roman" w:hAnsi="Meta Pro"/>
                <w:b/>
                <w:bCs/>
                <w:szCs w:val="18"/>
                <w:lang w:eastAsia="en-AU"/>
              </w:rPr>
            </w:pPr>
            <w:r w:rsidRPr="00EF0C57">
              <w:rPr>
                <w:rFonts w:ascii="Meta Pro" w:eastAsia="Times New Roman" w:hAnsi="Meta Pro"/>
                <w:b/>
                <w:bCs/>
                <w:szCs w:val="18"/>
                <w:lang w:eastAsia="en-AU"/>
              </w:rPr>
              <w:t xml:space="preserve">48,108 </w:t>
            </w:r>
          </w:p>
        </w:tc>
        <w:tc>
          <w:tcPr>
            <w:tcW w:w="216" w:type="dxa"/>
            <w:tcBorders>
              <w:top w:val="single" w:sz="4" w:space="0" w:color="auto"/>
              <w:left w:val="nil"/>
              <w:bottom w:val="nil"/>
              <w:right w:val="nil"/>
            </w:tcBorders>
            <w:shd w:val="clear" w:color="auto" w:fill="auto"/>
            <w:noWrap/>
            <w:vAlign w:val="center"/>
            <w:hideMark/>
          </w:tcPr>
          <w:p w14:paraId="76148838" w14:textId="77777777" w:rsidR="00BC5219" w:rsidRPr="00EF0C57" w:rsidRDefault="00BC5219" w:rsidP="00E83802">
            <w:pPr>
              <w:jc w:val="right"/>
              <w:outlineLvl w:val="0"/>
              <w:rPr>
                <w:rFonts w:ascii="Meta Pro" w:eastAsia="Times New Roman" w:hAnsi="Meta Pro"/>
                <w:szCs w:val="18"/>
                <w:lang w:eastAsia="en-AU"/>
              </w:rPr>
            </w:pPr>
            <w:r w:rsidRPr="00EF0C57">
              <w:rPr>
                <w:rFonts w:ascii="Meta Pro" w:eastAsia="Times New Roman" w:hAnsi="Meta Pro"/>
                <w:szCs w:val="18"/>
                <w:lang w:eastAsia="en-AU"/>
              </w:rPr>
              <w:t> </w:t>
            </w:r>
          </w:p>
        </w:tc>
        <w:tc>
          <w:tcPr>
            <w:tcW w:w="1140" w:type="dxa"/>
            <w:tcBorders>
              <w:top w:val="single" w:sz="4" w:space="0" w:color="auto"/>
              <w:left w:val="nil"/>
              <w:bottom w:val="nil"/>
              <w:right w:val="nil"/>
            </w:tcBorders>
            <w:shd w:val="clear" w:color="auto" w:fill="auto"/>
            <w:noWrap/>
            <w:vAlign w:val="center"/>
            <w:hideMark/>
          </w:tcPr>
          <w:p w14:paraId="0CBACB5A" w14:textId="77777777" w:rsidR="00BC5219" w:rsidRPr="00EF0C57" w:rsidRDefault="00BC5219" w:rsidP="00E83802">
            <w:pPr>
              <w:jc w:val="right"/>
              <w:outlineLvl w:val="0"/>
              <w:rPr>
                <w:rFonts w:ascii="Meta Pro" w:eastAsia="Times New Roman" w:hAnsi="Meta Pro"/>
                <w:b/>
                <w:bCs/>
                <w:szCs w:val="18"/>
                <w:lang w:eastAsia="en-AU"/>
              </w:rPr>
            </w:pPr>
            <w:r w:rsidRPr="00EF0C57">
              <w:rPr>
                <w:rFonts w:ascii="Meta Pro" w:eastAsia="Times New Roman" w:hAnsi="Meta Pro"/>
                <w:b/>
                <w:bCs/>
                <w:szCs w:val="18"/>
                <w:lang w:eastAsia="en-AU"/>
              </w:rPr>
              <w:t xml:space="preserve">6,086 </w:t>
            </w:r>
          </w:p>
        </w:tc>
      </w:tr>
      <w:tr w:rsidR="00BC5219" w:rsidRPr="00EF0C57" w14:paraId="72D55E70" w14:textId="77777777" w:rsidTr="00E83802">
        <w:trPr>
          <w:trHeight w:val="198"/>
        </w:trPr>
        <w:tc>
          <w:tcPr>
            <w:tcW w:w="6350" w:type="dxa"/>
            <w:tcBorders>
              <w:top w:val="nil"/>
              <w:left w:val="nil"/>
              <w:bottom w:val="nil"/>
              <w:right w:val="nil"/>
            </w:tcBorders>
            <w:shd w:val="clear" w:color="auto" w:fill="auto"/>
            <w:noWrap/>
            <w:vAlign w:val="center"/>
            <w:hideMark/>
          </w:tcPr>
          <w:p w14:paraId="3192C46B" w14:textId="77777777" w:rsidR="00BC5219" w:rsidRPr="00EF0C57" w:rsidRDefault="00BC5219" w:rsidP="00E83802">
            <w:pPr>
              <w:outlineLvl w:val="0"/>
              <w:rPr>
                <w:rFonts w:ascii="Meta Pro" w:eastAsia="Times New Roman" w:hAnsi="Meta Pro"/>
                <w:i/>
                <w:iCs/>
                <w:szCs w:val="18"/>
                <w:lang w:eastAsia="en-AU"/>
              </w:rPr>
            </w:pPr>
            <w:r w:rsidRPr="00EF0C57">
              <w:rPr>
                <w:rFonts w:ascii="Meta Pro" w:eastAsia="Times New Roman" w:hAnsi="Meta Pro"/>
                <w:i/>
                <w:iCs/>
                <w:szCs w:val="18"/>
                <w:lang w:eastAsia="en-AU"/>
              </w:rPr>
              <w:t xml:space="preserve">Non-current </w:t>
            </w:r>
          </w:p>
        </w:tc>
        <w:tc>
          <w:tcPr>
            <w:tcW w:w="1156" w:type="dxa"/>
            <w:tcBorders>
              <w:top w:val="nil"/>
              <w:left w:val="nil"/>
              <w:bottom w:val="nil"/>
              <w:right w:val="nil"/>
            </w:tcBorders>
            <w:shd w:val="clear" w:color="auto" w:fill="auto"/>
            <w:noWrap/>
            <w:vAlign w:val="center"/>
            <w:hideMark/>
          </w:tcPr>
          <w:p w14:paraId="66860121" w14:textId="77777777" w:rsidR="00BC5219" w:rsidRPr="00EF0C57" w:rsidRDefault="00BC5219" w:rsidP="00E83802">
            <w:pPr>
              <w:outlineLvl w:val="0"/>
              <w:rPr>
                <w:rFonts w:ascii="Meta Pro" w:eastAsia="Times New Roman" w:hAnsi="Meta Pro"/>
                <w:i/>
                <w:iCs/>
                <w:szCs w:val="18"/>
                <w:lang w:eastAsia="en-AU"/>
              </w:rPr>
            </w:pPr>
          </w:p>
        </w:tc>
        <w:tc>
          <w:tcPr>
            <w:tcW w:w="216" w:type="dxa"/>
            <w:tcBorders>
              <w:top w:val="nil"/>
              <w:left w:val="nil"/>
              <w:bottom w:val="nil"/>
              <w:right w:val="nil"/>
            </w:tcBorders>
            <w:shd w:val="clear" w:color="auto" w:fill="auto"/>
            <w:noWrap/>
            <w:vAlign w:val="center"/>
            <w:hideMark/>
          </w:tcPr>
          <w:p w14:paraId="3DE63B09" w14:textId="77777777" w:rsidR="00BC5219" w:rsidRPr="00EF0C57" w:rsidRDefault="00BC5219" w:rsidP="00E83802">
            <w:pPr>
              <w:jc w:val="right"/>
              <w:outlineLvl w:val="0"/>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44739F43" w14:textId="77777777" w:rsidR="00BC5219" w:rsidRPr="00EF0C57" w:rsidRDefault="00BC5219" w:rsidP="00E83802">
            <w:pPr>
              <w:jc w:val="right"/>
              <w:outlineLvl w:val="0"/>
              <w:rPr>
                <w:rFonts w:ascii="Times New Roman" w:eastAsia="Times New Roman" w:hAnsi="Times New Roman"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22B1A2C3" w14:textId="77777777" w:rsidR="00BC5219" w:rsidRPr="00EF0C57" w:rsidRDefault="00BC5219" w:rsidP="00E83802">
            <w:pPr>
              <w:jc w:val="right"/>
              <w:outlineLvl w:val="0"/>
              <w:rPr>
                <w:rFonts w:ascii="Times New Roman" w:eastAsia="Times New Roman" w:hAnsi="Times New Roman" w:cs="Times New Roman"/>
                <w:sz w:val="20"/>
                <w:szCs w:val="20"/>
                <w:lang w:eastAsia="en-AU"/>
              </w:rPr>
            </w:pPr>
          </w:p>
        </w:tc>
        <w:tc>
          <w:tcPr>
            <w:tcW w:w="1140" w:type="dxa"/>
            <w:tcBorders>
              <w:top w:val="nil"/>
              <w:left w:val="nil"/>
              <w:bottom w:val="nil"/>
              <w:right w:val="nil"/>
            </w:tcBorders>
            <w:shd w:val="clear" w:color="auto" w:fill="auto"/>
            <w:noWrap/>
            <w:vAlign w:val="center"/>
            <w:hideMark/>
          </w:tcPr>
          <w:p w14:paraId="13BDC904" w14:textId="77777777" w:rsidR="00BC5219" w:rsidRPr="00EF0C57" w:rsidRDefault="00BC5219" w:rsidP="00E83802">
            <w:pPr>
              <w:jc w:val="right"/>
              <w:outlineLvl w:val="0"/>
              <w:rPr>
                <w:rFonts w:ascii="Times New Roman" w:eastAsia="Times New Roman" w:hAnsi="Times New Roman" w:cs="Times New Roman"/>
                <w:sz w:val="20"/>
                <w:szCs w:val="20"/>
                <w:lang w:eastAsia="en-AU"/>
              </w:rPr>
            </w:pPr>
          </w:p>
        </w:tc>
      </w:tr>
      <w:tr w:rsidR="00BC5219" w:rsidRPr="00EF0C57" w14:paraId="74FC203B" w14:textId="77777777" w:rsidTr="00E83802">
        <w:trPr>
          <w:trHeight w:val="198"/>
        </w:trPr>
        <w:tc>
          <w:tcPr>
            <w:tcW w:w="6350" w:type="dxa"/>
            <w:tcBorders>
              <w:top w:val="nil"/>
              <w:left w:val="nil"/>
              <w:bottom w:val="nil"/>
              <w:right w:val="nil"/>
            </w:tcBorders>
            <w:shd w:val="clear" w:color="auto" w:fill="auto"/>
            <w:noWrap/>
            <w:vAlign w:val="center"/>
            <w:hideMark/>
          </w:tcPr>
          <w:p w14:paraId="7E94F388" w14:textId="77777777" w:rsidR="00BC5219" w:rsidRPr="00EF0C57" w:rsidRDefault="00BC5219" w:rsidP="00E83802">
            <w:pPr>
              <w:outlineLvl w:val="0"/>
              <w:rPr>
                <w:rFonts w:ascii="Meta Pro" w:eastAsia="Times New Roman" w:hAnsi="Meta Pro"/>
                <w:szCs w:val="18"/>
                <w:lang w:eastAsia="en-AU"/>
              </w:rPr>
            </w:pPr>
            <w:r w:rsidRPr="00EF0C57">
              <w:rPr>
                <w:rFonts w:ascii="Meta Pro" w:eastAsia="Times New Roman" w:hAnsi="Meta Pro"/>
                <w:szCs w:val="18"/>
                <w:lang w:eastAsia="en-AU"/>
              </w:rPr>
              <w:t>Land</w:t>
            </w:r>
          </w:p>
        </w:tc>
        <w:tc>
          <w:tcPr>
            <w:tcW w:w="1156" w:type="dxa"/>
            <w:tcBorders>
              <w:top w:val="nil"/>
              <w:left w:val="nil"/>
              <w:bottom w:val="nil"/>
              <w:right w:val="nil"/>
            </w:tcBorders>
            <w:shd w:val="clear" w:color="auto" w:fill="auto"/>
            <w:noWrap/>
            <w:vAlign w:val="center"/>
            <w:hideMark/>
          </w:tcPr>
          <w:p w14:paraId="334FAA8F" w14:textId="77777777" w:rsidR="00BC5219" w:rsidRPr="00EF0C57" w:rsidRDefault="00BC5219" w:rsidP="00E83802">
            <w:pPr>
              <w:jc w:val="right"/>
              <w:outlineLvl w:val="0"/>
              <w:rPr>
                <w:rFonts w:ascii="Meta Pro" w:eastAsia="Times New Roman" w:hAnsi="Meta Pro"/>
                <w:szCs w:val="18"/>
                <w:lang w:eastAsia="en-AU"/>
              </w:rPr>
            </w:pPr>
            <w:r w:rsidRPr="00EF0C57">
              <w:rPr>
                <w:rFonts w:ascii="Meta Pro" w:eastAsia="Times New Roman" w:hAnsi="Meta Pro"/>
                <w:szCs w:val="18"/>
                <w:lang w:eastAsia="en-AU"/>
              </w:rPr>
              <w:t xml:space="preserve">110,692 </w:t>
            </w:r>
          </w:p>
        </w:tc>
        <w:tc>
          <w:tcPr>
            <w:tcW w:w="216" w:type="dxa"/>
            <w:tcBorders>
              <w:top w:val="nil"/>
              <w:left w:val="nil"/>
              <w:bottom w:val="nil"/>
              <w:right w:val="nil"/>
            </w:tcBorders>
            <w:shd w:val="clear" w:color="auto" w:fill="auto"/>
            <w:noWrap/>
            <w:vAlign w:val="center"/>
            <w:hideMark/>
          </w:tcPr>
          <w:p w14:paraId="124EF70F" w14:textId="77777777" w:rsidR="00BC5219" w:rsidRPr="00EF0C57" w:rsidRDefault="00BC5219" w:rsidP="00E83802">
            <w:pPr>
              <w:jc w:val="right"/>
              <w:outlineLvl w:val="0"/>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7A68BC62" w14:textId="77777777" w:rsidR="00BC5219" w:rsidRPr="00EF0C57" w:rsidRDefault="00BC5219" w:rsidP="00E83802">
            <w:pPr>
              <w:jc w:val="right"/>
              <w:outlineLvl w:val="0"/>
              <w:rPr>
                <w:rFonts w:ascii="Meta Pro" w:eastAsia="Times New Roman" w:hAnsi="Meta Pro"/>
                <w:szCs w:val="18"/>
                <w:lang w:eastAsia="en-AU"/>
              </w:rPr>
            </w:pPr>
            <w:r w:rsidRPr="00EF0C57">
              <w:rPr>
                <w:rFonts w:ascii="Meta Pro" w:eastAsia="Times New Roman" w:hAnsi="Meta Pro"/>
                <w:szCs w:val="18"/>
                <w:lang w:eastAsia="en-AU"/>
              </w:rPr>
              <w:t xml:space="preserve">134,327 </w:t>
            </w:r>
          </w:p>
        </w:tc>
        <w:tc>
          <w:tcPr>
            <w:tcW w:w="216" w:type="dxa"/>
            <w:tcBorders>
              <w:top w:val="nil"/>
              <w:left w:val="nil"/>
              <w:bottom w:val="nil"/>
              <w:right w:val="nil"/>
            </w:tcBorders>
            <w:shd w:val="clear" w:color="auto" w:fill="auto"/>
            <w:noWrap/>
            <w:vAlign w:val="center"/>
            <w:hideMark/>
          </w:tcPr>
          <w:p w14:paraId="1F0FF5D0" w14:textId="77777777" w:rsidR="00BC5219" w:rsidRPr="00EF0C57" w:rsidRDefault="00BC5219" w:rsidP="00E83802">
            <w:pPr>
              <w:jc w:val="right"/>
              <w:outlineLvl w:val="0"/>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4255E9EE" w14:textId="77777777" w:rsidR="00BC5219" w:rsidRPr="00EF0C57" w:rsidRDefault="00BC5219" w:rsidP="00E83802">
            <w:pPr>
              <w:jc w:val="right"/>
              <w:outlineLvl w:val="0"/>
              <w:rPr>
                <w:rFonts w:ascii="Meta Pro" w:eastAsia="Times New Roman" w:hAnsi="Meta Pro"/>
                <w:szCs w:val="18"/>
                <w:lang w:eastAsia="en-AU"/>
              </w:rPr>
            </w:pPr>
            <w:r w:rsidRPr="00EF0C57">
              <w:rPr>
                <w:rFonts w:ascii="Meta Pro" w:eastAsia="Times New Roman" w:hAnsi="Meta Pro"/>
                <w:szCs w:val="18"/>
                <w:lang w:eastAsia="en-AU"/>
              </w:rPr>
              <w:t xml:space="preserve">23,635 </w:t>
            </w:r>
          </w:p>
        </w:tc>
      </w:tr>
      <w:tr w:rsidR="00BC5219" w:rsidRPr="00EF0C57" w14:paraId="0CE19AAE" w14:textId="77777777" w:rsidTr="00E83802">
        <w:trPr>
          <w:trHeight w:val="198"/>
        </w:trPr>
        <w:tc>
          <w:tcPr>
            <w:tcW w:w="6350" w:type="dxa"/>
            <w:tcBorders>
              <w:top w:val="nil"/>
              <w:left w:val="nil"/>
              <w:bottom w:val="nil"/>
              <w:right w:val="nil"/>
            </w:tcBorders>
            <w:shd w:val="clear" w:color="auto" w:fill="auto"/>
            <w:noWrap/>
            <w:vAlign w:val="center"/>
            <w:hideMark/>
          </w:tcPr>
          <w:p w14:paraId="076D704C" w14:textId="77777777" w:rsidR="00BC5219" w:rsidRPr="00EF0C57" w:rsidRDefault="00BC5219" w:rsidP="00E83802">
            <w:pPr>
              <w:outlineLvl w:val="0"/>
              <w:rPr>
                <w:rFonts w:ascii="Meta Pro" w:eastAsia="Times New Roman" w:hAnsi="Meta Pro"/>
                <w:szCs w:val="18"/>
                <w:lang w:eastAsia="en-AU"/>
              </w:rPr>
            </w:pPr>
            <w:r w:rsidRPr="00EF0C57">
              <w:rPr>
                <w:rFonts w:ascii="Meta Pro" w:eastAsia="Times New Roman" w:hAnsi="Meta Pro"/>
                <w:szCs w:val="18"/>
                <w:lang w:eastAsia="en-AU"/>
              </w:rPr>
              <w:t>Receivables</w:t>
            </w:r>
          </w:p>
        </w:tc>
        <w:tc>
          <w:tcPr>
            <w:tcW w:w="1156" w:type="dxa"/>
            <w:tcBorders>
              <w:top w:val="nil"/>
              <w:left w:val="nil"/>
              <w:bottom w:val="nil"/>
              <w:right w:val="nil"/>
            </w:tcBorders>
            <w:shd w:val="clear" w:color="auto" w:fill="auto"/>
            <w:noWrap/>
            <w:vAlign w:val="center"/>
            <w:hideMark/>
          </w:tcPr>
          <w:p w14:paraId="0C79C6A4" w14:textId="77777777" w:rsidR="00BC5219" w:rsidRPr="00EF0C57" w:rsidRDefault="00BC5219" w:rsidP="00E83802">
            <w:pPr>
              <w:jc w:val="right"/>
              <w:outlineLvl w:val="0"/>
              <w:rPr>
                <w:rFonts w:ascii="Meta Pro" w:eastAsia="Times New Roman" w:hAnsi="Meta Pro"/>
                <w:szCs w:val="18"/>
                <w:lang w:eastAsia="en-AU"/>
              </w:rPr>
            </w:pPr>
            <w:r w:rsidRPr="00EF0C57">
              <w:rPr>
                <w:rFonts w:ascii="Meta Pro" w:eastAsia="Times New Roman" w:hAnsi="Meta Pro"/>
                <w:szCs w:val="18"/>
                <w:lang w:eastAsia="en-AU"/>
              </w:rPr>
              <w:t xml:space="preserve">195,654 </w:t>
            </w:r>
          </w:p>
        </w:tc>
        <w:tc>
          <w:tcPr>
            <w:tcW w:w="216" w:type="dxa"/>
            <w:tcBorders>
              <w:top w:val="nil"/>
              <w:left w:val="nil"/>
              <w:bottom w:val="nil"/>
              <w:right w:val="nil"/>
            </w:tcBorders>
            <w:shd w:val="clear" w:color="auto" w:fill="auto"/>
            <w:noWrap/>
            <w:vAlign w:val="center"/>
            <w:hideMark/>
          </w:tcPr>
          <w:p w14:paraId="36C62971" w14:textId="77777777" w:rsidR="00BC5219" w:rsidRPr="00EF0C57" w:rsidRDefault="00BC5219" w:rsidP="00E83802">
            <w:pPr>
              <w:jc w:val="right"/>
              <w:outlineLvl w:val="0"/>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6B309FCD" w14:textId="77777777" w:rsidR="00BC5219" w:rsidRPr="00EF0C57" w:rsidRDefault="00BC5219" w:rsidP="00E83802">
            <w:pPr>
              <w:jc w:val="right"/>
              <w:outlineLvl w:val="0"/>
              <w:rPr>
                <w:rFonts w:ascii="Meta Pro" w:eastAsia="Times New Roman" w:hAnsi="Meta Pro"/>
                <w:szCs w:val="18"/>
                <w:lang w:eastAsia="en-AU"/>
              </w:rPr>
            </w:pPr>
            <w:r w:rsidRPr="00EF0C57">
              <w:rPr>
                <w:rFonts w:ascii="Meta Pro" w:eastAsia="Times New Roman" w:hAnsi="Meta Pro"/>
                <w:szCs w:val="18"/>
                <w:lang w:eastAsia="en-AU"/>
              </w:rPr>
              <w:t xml:space="preserve">197,033 </w:t>
            </w:r>
          </w:p>
        </w:tc>
        <w:tc>
          <w:tcPr>
            <w:tcW w:w="216" w:type="dxa"/>
            <w:tcBorders>
              <w:top w:val="nil"/>
              <w:left w:val="nil"/>
              <w:bottom w:val="nil"/>
              <w:right w:val="nil"/>
            </w:tcBorders>
            <w:shd w:val="clear" w:color="auto" w:fill="auto"/>
            <w:noWrap/>
            <w:vAlign w:val="center"/>
            <w:hideMark/>
          </w:tcPr>
          <w:p w14:paraId="436F6DD0" w14:textId="77777777" w:rsidR="00BC5219" w:rsidRPr="00EF0C57" w:rsidRDefault="00BC5219" w:rsidP="00E83802">
            <w:pPr>
              <w:jc w:val="right"/>
              <w:outlineLvl w:val="0"/>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24D4A599" w14:textId="77777777" w:rsidR="00BC5219" w:rsidRPr="00EF0C57" w:rsidRDefault="00BC5219" w:rsidP="00E83802">
            <w:pPr>
              <w:jc w:val="right"/>
              <w:outlineLvl w:val="0"/>
              <w:rPr>
                <w:rFonts w:ascii="Meta Pro" w:eastAsia="Times New Roman" w:hAnsi="Meta Pro"/>
                <w:szCs w:val="18"/>
                <w:lang w:eastAsia="en-AU"/>
              </w:rPr>
            </w:pPr>
            <w:r w:rsidRPr="00EF0C57">
              <w:rPr>
                <w:rFonts w:ascii="Meta Pro" w:eastAsia="Times New Roman" w:hAnsi="Meta Pro"/>
                <w:szCs w:val="18"/>
                <w:lang w:eastAsia="en-AU"/>
              </w:rPr>
              <w:t xml:space="preserve">1,379 </w:t>
            </w:r>
          </w:p>
        </w:tc>
      </w:tr>
      <w:tr w:rsidR="00BC5219" w:rsidRPr="00EF0C57" w14:paraId="2B0E77CB" w14:textId="77777777" w:rsidTr="00E83802">
        <w:trPr>
          <w:trHeight w:val="198"/>
        </w:trPr>
        <w:tc>
          <w:tcPr>
            <w:tcW w:w="6350" w:type="dxa"/>
            <w:tcBorders>
              <w:top w:val="single" w:sz="4" w:space="0" w:color="auto"/>
              <w:left w:val="nil"/>
              <w:bottom w:val="nil"/>
              <w:right w:val="nil"/>
            </w:tcBorders>
            <w:shd w:val="clear" w:color="auto" w:fill="auto"/>
            <w:noWrap/>
            <w:vAlign w:val="center"/>
            <w:hideMark/>
          </w:tcPr>
          <w:p w14:paraId="45F7AC40" w14:textId="77777777" w:rsidR="00BC5219" w:rsidRPr="00EF0C57" w:rsidRDefault="00BC5219" w:rsidP="00E83802">
            <w:pPr>
              <w:outlineLvl w:val="0"/>
              <w:rPr>
                <w:rFonts w:ascii="Meta Pro" w:eastAsia="Times New Roman" w:hAnsi="Meta Pro"/>
                <w:b/>
                <w:bCs/>
                <w:szCs w:val="18"/>
                <w:lang w:eastAsia="en-AU"/>
              </w:rPr>
            </w:pPr>
            <w:r w:rsidRPr="00EF0C57">
              <w:rPr>
                <w:rFonts w:ascii="Meta Pro" w:eastAsia="Times New Roman" w:hAnsi="Meta Pro"/>
                <w:b/>
                <w:bCs/>
                <w:szCs w:val="18"/>
                <w:lang w:eastAsia="en-AU"/>
              </w:rPr>
              <w:t>Total non-current assets</w:t>
            </w:r>
          </w:p>
        </w:tc>
        <w:tc>
          <w:tcPr>
            <w:tcW w:w="1156" w:type="dxa"/>
            <w:tcBorders>
              <w:top w:val="single" w:sz="4" w:space="0" w:color="auto"/>
              <w:left w:val="nil"/>
              <w:bottom w:val="nil"/>
              <w:right w:val="nil"/>
            </w:tcBorders>
            <w:shd w:val="clear" w:color="auto" w:fill="auto"/>
            <w:noWrap/>
            <w:vAlign w:val="center"/>
            <w:hideMark/>
          </w:tcPr>
          <w:p w14:paraId="4997DF14" w14:textId="77777777" w:rsidR="00BC5219" w:rsidRPr="00EF0C57" w:rsidRDefault="00BC5219" w:rsidP="00E83802">
            <w:pPr>
              <w:jc w:val="right"/>
              <w:outlineLvl w:val="0"/>
              <w:rPr>
                <w:rFonts w:ascii="Meta Pro" w:eastAsia="Times New Roman" w:hAnsi="Meta Pro"/>
                <w:b/>
                <w:bCs/>
                <w:szCs w:val="18"/>
                <w:lang w:eastAsia="en-AU"/>
              </w:rPr>
            </w:pPr>
            <w:r w:rsidRPr="00EF0C57">
              <w:rPr>
                <w:rFonts w:ascii="Meta Pro" w:eastAsia="Times New Roman" w:hAnsi="Meta Pro"/>
                <w:b/>
                <w:bCs/>
                <w:szCs w:val="18"/>
                <w:lang w:eastAsia="en-AU"/>
              </w:rPr>
              <w:t xml:space="preserve">306,346 </w:t>
            </w:r>
          </w:p>
        </w:tc>
        <w:tc>
          <w:tcPr>
            <w:tcW w:w="216" w:type="dxa"/>
            <w:tcBorders>
              <w:top w:val="single" w:sz="4" w:space="0" w:color="auto"/>
              <w:left w:val="nil"/>
              <w:bottom w:val="nil"/>
              <w:right w:val="nil"/>
            </w:tcBorders>
            <w:shd w:val="clear" w:color="auto" w:fill="auto"/>
            <w:noWrap/>
            <w:vAlign w:val="center"/>
            <w:hideMark/>
          </w:tcPr>
          <w:p w14:paraId="6255D536" w14:textId="77777777" w:rsidR="00BC5219" w:rsidRPr="00EF0C57" w:rsidRDefault="00BC5219" w:rsidP="00E83802">
            <w:pPr>
              <w:jc w:val="right"/>
              <w:outlineLvl w:val="0"/>
              <w:rPr>
                <w:rFonts w:ascii="Meta Pro" w:eastAsia="Times New Roman" w:hAnsi="Meta Pro"/>
                <w:szCs w:val="18"/>
                <w:lang w:eastAsia="en-AU"/>
              </w:rPr>
            </w:pPr>
            <w:r w:rsidRPr="00EF0C57">
              <w:rPr>
                <w:rFonts w:ascii="Meta Pro" w:eastAsia="Times New Roman" w:hAnsi="Meta Pro"/>
                <w:szCs w:val="18"/>
                <w:lang w:eastAsia="en-AU"/>
              </w:rPr>
              <w:t> </w:t>
            </w:r>
          </w:p>
        </w:tc>
        <w:tc>
          <w:tcPr>
            <w:tcW w:w="1156" w:type="dxa"/>
            <w:tcBorders>
              <w:top w:val="single" w:sz="4" w:space="0" w:color="auto"/>
              <w:left w:val="nil"/>
              <w:bottom w:val="nil"/>
              <w:right w:val="nil"/>
            </w:tcBorders>
            <w:shd w:val="clear" w:color="auto" w:fill="auto"/>
            <w:noWrap/>
            <w:vAlign w:val="center"/>
            <w:hideMark/>
          </w:tcPr>
          <w:p w14:paraId="11E15562" w14:textId="77777777" w:rsidR="00BC5219" w:rsidRPr="00EF0C57" w:rsidRDefault="00BC5219" w:rsidP="00E83802">
            <w:pPr>
              <w:jc w:val="right"/>
              <w:outlineLvl w:val="0"/>
              <w:rPr>
                <w:rFonts w:ascii="Meta Pro" w:eastAsia="Times New Roman" w:hAnsi="Meta Pro"/>
                <w:b/>
                <w:bCs/>
                <w:szCs w:val="18"/>
                <w:lang w:eastAsia="en-AU"/>
              </w:rPr>
            </w:pPr>
            <w:r w:rsidRPr="00EF0C57">
              <w:rPr>
                <w:rFonts w:ascii="Meta Pro" w:eastAsia="Times New Roman" w:hAnsi="Meta Pro"/>
                <w:b/>
                <w:bCs/>
                <w:szCs w:val="18"/>
                <w:lang w:eastAsia="en-AU"/>
              </w:rPr>
              <w:t xml:space="preserve">331,360 </w:t>
            </w:r>
          </w:p>
        </w:tc>
        <w:tc>
          <w:tcPr>
            <w:tcW w:w="216" w:type="dxa"/>
            <w:tcBorders>
              <w:top w:val="single" w:sz="4" w:space="0" w:color="auto"/>
              <w:left w:val="nil"/>
              <w:bottom w:val="nil"/>
              <w:right w:val="nil"/>
            </w:tcBorders>
            <w:shd w:val="clear" w:color="auto" w:fill="auto"/>
            <w:noWrap/>
            <w:vAlign w:val="center"/>
            <w:hideMark/>
          </w:tcPr>
          <w:p w14:paraId="0C953F23" w14:textId="77777777" w:rsidR="00BC5219" w:rsidRPr="00EF0C57" w:rsidRDefault="00BC5219" w:rsidP="00E83802">
            <w:pPr>
              <w:jc w:val="right"/>
              <w:outlineLvl w:val="0"/>
              <w:rPr>
                <w:rFonts w:ascii="Meta Pro" w:eastAsia="Times New Roman" w:hAnsi="Meta Pro"/>
                <w:szCs w:val="18"/>
                <w:lang w:eastAsia="en-AU"/>
              </w:rPr>
            </w:pPr>
            <w:r w:rsidRPr="00EF0C57">
              <w:rPr>
                <w:rFonts w:ascii="Meta Pro" w:eastAsia="Times New Roman" w:hAnsi="Meta Pro"/>
                <w:szCs w:val="18"/>
                <w:lang w:eastAsia="en-AU"/>
              </w:rPr>
              <w:t> </w:t>
            </w:r>
          </w:p>
        </w:tc>
        <w:tc>
          <w:tcPr>
            <w:tcW w:w="1140" w:type="dxa"/>
            <w:tcBorders>
              <w:top w:val="single" w:sz="4" w:space="0" w:color="auto"/>
              <w:left w:val="nil"/>
              <w:bottom w:val="nil"/>
              <w:right w:val="nil"/>
            </w:tcBorders>
            <w:shd w:val="clear" w:color="auto" w:fill="auto"/>
            <w:noWrap/>
            <w:vAlign w:val="center"/>
            <w:hideMark/>
          </w:tcPr>
          <w:p w14:paraId="54A3CD79" w14:textId="77777777" w:rsidR="00BC5219" w:rsidRPr="00EF0C57" w:rsidRDefault="00BC5219" w:rsidP="00E83802">
            <w:pPr>
              <w:jc w:val="right"/>
              <w:outlineLvl w:val="0"/>
              <w:rPr>
                <w:rFonts w:ascii="Meta Pro" w:eastAsia="Times New Roman" w:hAnsi="Meta Pro"/>
                <w:b/>
                <w:bCs/>
                <w:szCs w:val="18"/>
                <w:lang w:eastAsia="en-AU"/>
              </w:rPr>
            </w:pPr>
            <w:r w:rsidRPr="00EF0C57">
              <w:rPr>
                <w:rFonts w:ascii="Meta Pro" w:eastAsia="Times New Roman" w:hAnsi="Meta Pro"/>
                <w:b/>
                <w:bCs/>
                <w:szCs w:val="18"/>
                <w:lang w:eastAsia="en-AU"/>
              </w:rPr>
              <w:t xml:space="preserve">25,014 </w:t>
            </w:r>
          </w:p>
        </w:tc>
      </w:tr>
      <w:tr w:rsidR="00BC5219" w:rsidRPr="00EF0C57" w14:paraId="249DBB11" w14:textId="77777777" w:rsidTr="00E83802">
        <w:trPr>
          <w:trHeight w:val="198"/>
        </w:trPr>
        <w:tc>
          <w:tcPr>
            <w:tcW w:w="6350" w:type="dxa"/>
            <w:tcBorders>
              <w:top w:val="single" w:sz="4" w:space="0" w:color="auto"/>
              <w:left w:val="nil"/>
              <w:bottom w:val="single" w:sz="4" w:space="0" w:color="auto"/>
              <w:right w:val="nil"/>
            </w:tcBorders>
            <w:shd w:val="clear" w:color="auto" w:fill="auto"/>
            <w:noWrap/>
            <w:vAlign w:val="center"/>
            <w:hideMark/>
          </w:tcPr>
          <w:p w14:paraId="6516829B" w14:textId="77777777" w:rsidR="00BC5219" w:rsidRPr="00EF0C57" w:rsidRDefault="00BC5219" w:rsidP="00E83802">
            <w:pPr>
              <w:outlineLvl w:val="0"/>
              <w:rPr>
                <w:rFonts w:ascii="Meta Pro" w:eastAsia="Times New Roman" w:hAnsi="Meta Pro"/>
                <w:b/>
                <w:bCs/>
                <w:szCs w:val="18"/>
                <w:lang w:eastAsia="en-AU"/>
              </w:rPr>
            </w:pPr>
            <w:r w:rsidRPr="00EF0C57">
              <w:rPr>
                <w:rFonts w:ascii="Meta Pro" w:eastAsia="Times New Roman" w:hAnsi="Meta Pro"/>
                <w:b/>
                <w:bCs/>
                <w:szCs w:val="18"/>
                <w:lang w:eastAsia="en-AU"/>
              </w:rPr>
              <w:t>Total assets</w:t>
            </w:r>
          </w:p>
        </w:tc>
        <w:tc>
          <w:tcPr>
            <w:tcW w:w="1156" w:type="dxa"/>
            <w:tcBorders>
              <w:top w:val="single" w:sz="4" w:space="0" w:color="auto"/>
              <w:left w:val="nil"/>
              <w:bottom w:val="single" w:sz="4" w:space="0" w:color="auto"/>
              <w:right w:val="nil"/>
            </w:tcBorders>
            <w:shd w:val="clear" w:color="auto" w:fill="auto"/>
            <w:noWrap/>
            <w:vAlign w:val="center"/>
            <w:hideMark/>
          </w:tcPr>
          <w:p w14:paraId="2B9D68AC" w14:textId="77777777" w:rsidR="00BC5219" w:rsidRPr="00EF0C57" w:rsidRDefault="00BC5219" w:rsidP="00E83802">
            <w:pPr>
              <w:jc w:val="right"/>
              <w:outlineLvl w:val="0"/>
              <w:rPr>
                <w:rFonts w:ascii="Meta Pro" w:eastAsia="Times New Roman" w:hAnsi="Meta Pro"/>
                <w:b/>
                <w:bCs/>
                <w:szCs w:val="18"/>
                <w:lang w:eastAsia="en-AU"/>
              </w:rPr>
            </w:pPr>
            <w:r w:rsidRPr="00EF0C57">
              <w:rPr>
                <w:rFonts w:ascii="Meta Pro" w:eastAsia="Times New Roman" w:hAnsi="Meta Pro"/>
                <w:b/>
                <w:bCs/>
                <w:szCs w:val="18"/>
                <w:lang w:eastAsia="en-AU"/>
              </w:rPr>
              <w:t xml:space="preserve">348,368 </w:t>
            </w:r>
          </w:p>
        </w:tc>
        <w:tc>
          <w:tcPr>
            <w:tcW w:w="216" w:type="dxa"/>
            <w:tcBorders>
              <w:top w:val="single" w:sz="4" w:space="0" w:color="auto"/>
              <w:left w:val="nil"/>
              <w:bottom w:val="single" w:sz="4" w:space="0" w:color="auto"/>
              <w:right w:val="nil"/>
            </w:tcBorders>
            <w:shd w:val="clear" w:color="auto" w:fill="auto"/>
            <w:noWrap/>
            <w:vAlign w:val="center"/>
            <w:hideMark/>
          </w:tcPr>
          <w:p w14:paraId="50C56BB2" w14:textId="77777777" w:rsidR="00BC5219" w:rsidRPr="00EF0C57" w:rsidRDefault="00BC5219" w:rsidP="00E83802">
            <w:pPr>
              <w:jc w:val="right"/>
              <w:outlineLvl w:val="0"/>
              <w:rPr>
                <w:rFonts w:ascii="Meta Pro" w:eastAsia="Times New Roman" w:hAnsi="Meta Pro"/>
                <w:szCs w:val="18"/>
                <w:lang w:eastAsia="en-AU"/>
              </w:rPr>
            </w:pPr>
            <w:r w:rsidRPr="00EF0C57">
              <w:rPr>
                <w:rFonts w:ascii="Meta Pro" w:eastAsia="Times New Roman" w:hAnsi="Meta Pro"/>
                <w:szCs w:val="18"/>
                <w:lang w:eastAsia="en-AU"/>
              </w:rPr>
              <w:t> </w:t>
            </w:r>
          </w:p>
        </w:tc>
        <w:tc>
          <w:tcPr>
            <w:tcW w:w="1156" w:type="dxa"/>
            <w:tcBorders>
              <w:top w:val="single" w:sz="4" w:space="0" w:color="auto"/>
              <w:left w:val="nil"/>
              <w:bottom w:val="single" w:sz="4" w:space="0" w:color="auto"/>
              <w:right w:val="nil"/>
            </w:tcBorders>
            <w:shd w:val="clear" w:color="auto" w:fill="auto"/>
            <w:noWrap/>
            <w:vAlign w:val="center"/>
            <w:hideMark/>
          </w:tcPr>
          <w:p w14:paraId="40C16401" w14:textId="77777777" w:rsidR="00BC5219" w:rsidRPr="00EF0C57" w:rsidRDefault="00BC5219" w:rsidP="00E83802">
            <w:pPr>
              <w:jc w:val="right"/>
              <w:outlineLvl w:val="0"/>
              <w:rPr>
                <w:rFonts w:ascii="Meta Pro" w:eastAsia="Times New Roman" w:hAnsi="Meta Pro"/>
                <w:b/>
                <w:bCs/>
                <w:szCs w:val="18"/>
                <w:lang w:eastAsia="en-AU"/>
              </w:rPr>
            </w:pPr>
            <w:r w:rsidRPr="00EF0C57">
              <w:rPr>
                <w:rFonts w:ascii="Meta Pro" w:eastAsia="Times New Roman" w:hAnsi="Meta Pro"/>
                <w:b/>
                <w:bCs/>
                <w:szCs w:val="18"/>
                <w:lang w:eastAsia="en-AU"/>
              </w:rPr>
              <w:t xml:space="preserve">379,468 </w:t>
            </w:r>
          </w:p>
        </w:tc>
        <w:tc>
          <w:tcPr>
            <w:tcW w:w="216" w:type="dxa"/>
            <w:tcBorders>
              <w:top w:val="single" w:sz="4" w:space="0" w:color="auto"/>
              <w:left w:val="nil"/>
              <w:bottom w:val="single" w:sz="4" w:space="0" w:color="auto"/>
              <w:right w:val="nil"/>
            </w:tcBorders>
            <w:shd w:val="clear" w:color="auto" w:fill="auto"/>
            <w:noWrap/>
            <w:vAlign w:val="center"/>
            <w:hideMark/>
          </w:tcPr>
          <w:p w14:paraId="56265A1F" w14:textId="77777777" w:rsidR="00BC5219" w:rsidRPr="00EF0C57" w:rsidRDefault="00BC5219" w:rsidP="00E83802">
            <w:pPr>
              <w:jc w:val="right"/>
              <w:outlineLvl w:val="0"/>
              <w:rPr>
                <w:rFonts w:ascii="Meta Pro" w:eastAsia="Times New Roman" w:hAnsi="Meta Pro"/>
                <w:szCs w:val="18"/>
                <w:lang w:eastAsia="en-AU"/>
              </w:rPr>
            </w:pPr>
            <w:r w:rsidRPr="00EF0C57">
              <w:rPr>
                <w:rFonts w:ascii="Meta Pro" w:eastAsia="Times New Roman" w:hAnsi="Meta Pro"/>
                <w:szCs w:val="18"/>
                <w:lang w:eastAsia="en-AU"/>
              </w:rPr>
              <w:t> </w:t>
            </w:r>
          </w:p>
        </w:tc>
        <w:tc>
          <w:tcPr>
            <w:tcW w:w="1140" w:type="dxa"/>
            <w:tcBorders>
              <w:top w:val="single" w:sz="4" w:space="0" w:color="auto"/>
              <w:left w:val="nil"/>
              <w:bottom w:val="single" w:sz="4" w:space="0" w:color="auto"/>
              <w:right w:val="nil"/>
            </w:tcBorders>
            <w:shd w:val="clear" w:color="auto" w:fill="auto"/>
            <w:noWrap/>
            <w:vAlign w:val="center"/>
            <w:hideMark/>
          </w:tcPr>
          <w:p w14:paraId="185C3659" w14:textId="77777777" w:rsidR="00BC5219" w:rsidRPr="00EF0C57" w:rsidRDefault="00BC5219" w:rsidP="00E83802">
            <w:pPr>
              <w:jc w:val="right"/>
              <w:outlineLvl w:val="0"/>
              <w:rPr>
                <w:rFonts w:ascii="Meta Pro" w:eastAsia="Times New Roman" w:hAnsi="Meta Pro"/>
                <w:b/>
                <w:bCs/>
                <w:szCs w:val="18"/>
                <w:lang w:eastAsia="en-AU"/>
              </w:rPr>
            </w:pPr>
            <w:r w:rsidRPr="00EF0C57">
              <w:rPr>
                <w:rFonts w:ascii="Meta Pro" w:eastAsia="Times New Roman" w:hAnsi="Meta Pro"/>
                <w:b/>
                <w:bCs/>
                <w:szCs w:val="18"/>
                <w:lang w:eastAsia="en-AU"/>
              </w:rPr>
              <w:t xml:space="preserve">31,100 </w:t>
            </w:r>
          </w:p>
        </w:tc>
      </w:tr>
      <w:tr w:rsidR="00BC5219" w:rsidRPr="00EF0C57" w14:paraId="6E30BBD3" w14:textId="77777777" w:rsidTr="00E83802">
        <w:trPr>
          <w:trHeight w:val="198"/>
        </w:trPr>
        <w:tc>
          <w:tcPr>
            <w:tcW w:w="6350" w:type="dxa"/>
            <w:tcBorders>
              <w:top w:val="nil"/>
              <w:left w:val="nil"/>
              <w:bottom w:val="nil"/>
              <w:right w:val="nil"/>
            </w:tcBorders>
            <w:shd w:val="clear" w:color="auto" w:fill="auto"/>
            <w:noWrap/>
            <w:vAlign w:val="center"/>
            <w:hideMark/>
          </w:tcPr>
          <w:p w14:paraId="521E40A2" w14:textId="77777777" w:rsidR="00BC5219" w:rsidRPr="00EF0C57" w:rsidRDefault="00BC5219" w:rsidP="00E83802">
            <w:pPr>
              <w:jc w:val="right"/>
              <w:outlineLvl w:val="0"/>
              <w:rPr>
                <w:rFonts w:ascii="Meta Pro" w:eastAsia="Times New Roman" w:hAnsi="Meta Pro"/>
                <w:b/>
                <w:bCs/>
                <w:szCs w:val="18"/>
                <w:lang w:eastAsia="en-AU"/>
              </w:rPr>
            </w:pPr>
          </w:p>
        </w:tc>
        <w:tc>
          <w:tcPr>
            <w:tcW w:w="1156" w:type="dxa"/>
            <w:tcBorders>
              <w:top w:val="nil"/>
              <w:left w:val="nil"/>
              <w:bottom w:val="nil"/>
              <w:right w:val="nil"/>
            </w:tcBorders>
            <w:shd w:val="clear" w:color="auto" w:fill="auto"/>
            <w:noWrap/>
            <w:vAlign w:val="center"/>
            <w:hideMark/>
          </w:tcPr>
          <w:p w14:paraId="6DA26F4D" w14:textId="77777777" w:rsidR="00BC5219" w:rsidRPr="00EF0C57" w:rsidRDefault="00BC5219" w:rsidP="00E83802">
            <w:pPr>
              <w:outlineLvl w:val="0"/>
              <w:rPr>
                <w:rFonts w:ascii="Times New Roman" w:eastAsia="Times New Roman" w:hAnsi="Times New Roman"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0B94BEC2" w14:textId="77777777" w:rsidR="00BC5219" w:rsidRPr="00EF0C57" w:rsidRDefault="00BC5219" w:rsidP="00E83802">
            <w:pPr>
              <w:outlineLvl w:val="0"/>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6466CD99" w14:textId="77777777" w:rsidR="00BC5219" w:rsidRPr="00EF0C57" w:rsidRDefault="00BC5219" w:rsidP="00E83802">
            <w:pPr>
              <w:outlineLvl w:val="0"/>
              <w:rPr>
                <w:rFonts w:ascii="Times New Roman" w:eastAsia="Times New Roman" w:hAnsi="Times New Roman"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56EA5E77" w14:textId="77777777" w:rsidR="00BC5219" w:rsidRPr="00EF0C57" w:rsidRDefault="00BC5219" w:rsidP="00E83802">
            <w:pPr>
              <w:jc w:val="right"/>
              <w:outlineLvl w:val="0"/>
              <w:rPr>
                <w:rFonts w:ascii="Times New Roman" w:eastAsia="Times New Roman" w:hAnsi="Times New Roman" w:cs="Times New Roman"/>
                <w:sz w:val="20"/>
                <w:szCs w:val="20"/>
                <w:lang w:eastAsia="en-AU"/>
              </w:rPr>
            </w:pPr>
          </w:p>
        </w:tc>
        <w:tc>
          <w:tcPr>
            <w:tcW w:w="1140" w:type="dxa"/>
            <w:tcBorders>
              <w:top w:val="nil"/>
              <w:left w:val="nil"/>
              <w:bottom w:val="nil"/>
              <w:right w:val="nil"/>
            </w:tcBorders>
            <w:shd w:val="clear" w:color="auto" w:fill="auto"/>
            <w:noWrap/>
            <w:vAlign w:val="center"/>
            <w:hideMark/>
          </w:tcPr>
          <w:p w14:paraId="7836ED0B" w14:textId="77777777" w:rsidR="00BC5219" w:rsidRPr="00EF0C57" w:rsidRDefault="00BC5219" w:rsidP="00E83802">
            <w:pPr>
              <w:outlineLvl w:val="0"/>
              <w:rPr>
                <w:rFonts w:ascii="Times New Roman" w:eastAsia="Times New Roman" w:hAnsi="Times New Roman" w:cs="Times New Roman"/>
                <w:sz w:val="20"/>
                <w:szCs w:val="20"/>
                <w:lang w:eastAsia="en-AU"/>
              </w:rPr>
            </w:pPr>
          </w:p>
        </w:tc>
      </w:tr>
      <w:tr w:rsidR="00BC5219" w:rsidRPr="00EF0C57" w14:paraId="403EF757" w14:textId="77777777" w:rsidTr="00E83802">
        <w:trPr>
          <w:trHeight w:val="198"/>
        </w:trPr>
        <w:tc>
          <w:tcPr>
            <w:tcW w:w="6350" w:type="dxa"/>
            <w:tcBorders>
              <w:top w:val="nil"/>
              <w:left w:val="nil"/>
              <w:bottom w:val="nil"/>
              <w:right w:val="nil"/>
            </w:tcBorders>
            <w:shd w:val="clear" w:color="auto" w:fill="auto"/>
            <w:noWrap/>
            <w:vAlign w:val="center"/>
            <w:hideMark/>
          </w:tcPr>
          <w:p w14:paraId="5EA27F2B" w14:textId="77777777" w:rsidR="00BC5219" w:rsidRPr="00EF0C57" w:rsidRDefault="00BC5219" w:rsidP="00E83802">
            <w:pPr>
              <w:outlineLvl w:val="0"/>
              <w:rPr>
                <w:rFonts w:ascii="Meta Pro" w:eastAsia="Times New Roman" w:hAnsi="Meta Pro"/>
                <w:b/>
                <w:bCs/>
                <w:szCs w:val="18"/>
                <w:lang w:eastAsia="en-AU"/>
              </w:rPr>
            </w:pPr>
            <w:r w:rsidRPr="00EF0C57">
              <w:rPr>
                <w:rFonts w:ascii="Meta Pro" w:eastAsia="Times New Roman" w:hAnsi="Meta Pro"/>
                <w:b/>
                <w:bCs/>
                <w:szCs w:val="18"/>
                <w:lang w:eastAsia="en-AU"/>
              </w:rPr>
              <w:t>Administered liabilities</w:t>
            </w:r>
          </w:p>
        </w:tc>
        <w:tc>
          <w:tcPr>
            <w:tcW w:w="1156" w:type="dxa"/>
            <w:tcBorders>
              <w:top w:val="nil"/>
              <w:left w:val="nil"/>
              <w:bottom w:val="nil"/>
              <w:right w:val="nil"/>
            </w:tcBorders>
            <w:shd w:val="clear" w:color="auto" w:fill="auto"/>
            <w:noWrap/>
            <w:vAlign w:val="center"/>
            <w:hideMark/>
          </w:tcPr>
          <w:p w14:paraId="1AF575A8" w14:textId="77777777" w:rsidR="00BC5219" w:rsidRPr="00EF0C57" w:rsidRDefault="00BC5219" w:rsidP="00E83802">
            <w:pPr>
              <w:outlineLvl w:val="0"/>
              <w:rPr>
                <w:rFonts w:ascii="Meta Pro" w:eastAsia="Times New Roman" w:hAnsi="Meta Pro"/>
                <w:b/>
                <w:bCs/>
                <w:szCs w:val="18"/>
                <w:lang w:eastAsia="en-AU"/>
              </w:rPr>
            </w:pPr>
          </w:p>
        </w:tc>
        <w:tc>
          <w:tcPr>
            <w:tcW w:w="216" w:type="dxa"/>
            <w:tcBorders>
              <w:top w:val="nil"/>
              <w:left w:val="nil"/>
              <w:bottom w:val="nil"/>
              <w:right w:val="nil"/>
            </w:tcBorders>
            <w:shd w:val="clear" w:color="auto" w:fill="auto"/>
            <w:noWrap/>
            <w:vAlign w:val="center"/>
            <w:hideMark/>
          </w:tcPr>
          <w:p w14:paraId="55AF6A1F" w14:textId="77777777" w:rsidR="00BC5219" w:rsidRPr="00EF0C57" w:rsidRDefault="00BC5219" w:rsidP="00E83802">
            <w:pPr>
              <w:outlineLvl w:val="0"/>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45871B07" w14:textId="77777777" w:rsidR="00BC5219" w:rsidRPr="00EF0C57" w:rsidRDefault="00BC5219" w:rsidP="00E83802">
            <w:pPr>
              <w:jc w:val="right"/>
              <w:outlineLvl w:val="0"/>
              <w:rPr>
                <w:rFonts w:ascii="Times New Roman" w:eastAsia="Times New Roman" w:hAnsi="Times New Roman"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6B24A75E" w14:textId="77777777" w:rsidR="00BC5219" w:rsidRPr="00EF0C57" w:rsidRDefault="00BC5219" w:rsidP="00E83802">
            <w:pPr>
              <w:outlineLvl w:val="0"/>
              <w:rPr>
                <w:rFonts w:ascii="Times New Roman" w:eastAsia="Times New Roman" w:hAnsi="Times New Roman" w:cs="Times New Roman"/>
                <w:sz w:val="20"/>
                <w:szCs w:val="20"/>
                <w:lang w:eastAsia="en-AU"/>
              </w:rPr>
            </w:pPr>
          </w:p>
        </w:tc>
        <w:tc>
          <w:tcPr>
            <w:tcW w:w="1140" w:type="dxa"/>
            <w:tcBorders>
              <w:top w:val="nil"/>
              <w:left w:val="nil"/>
              <w:bottom w:val="nil"/>
              <w:right w:val="nil"/>
            </w:tcBorders>
            <w:shd w:val="clear" w:color="auto" w:fill="auto"/>
            <w:noWrap/>
            <w:vAlign w:val="center"/>
            <w:hideMark/>
          </w:tcPr>
          <w:p w14:paraId="7835BA74" w14:textId="77777777" w:rsidR="00BC5219" w:rsidRPr="00EF0C57" w:rsidRDefault="00BC5219" w:rsidP="00E83802">
            <w:pPr>
              <w:jc w:val="right"/>
              <w:outlineLvl w:val="0"/>
              <w:rPr>
                <w:rFonts w:ascii="Times New Roman" w:eastAsia="Times New Roman" w:hAnsi="Times New Roman" w:cs="Times New Roman"/>
                <w:sz w:val="20"/>
                <w:szCs w:val="20"/>
                <w:lang w:eastAsia="en-AU"/>
              </w:rPr>
            </w:pPr>
          </w:p>
        </w:tc>
      </w:tr>
      <w:tr w:rsidR="00BC5219" w:rsidRPr="00EF0C57" w14:paraId="447FE1E1" w14:textId="77777777" w:rsidTr="00E83802">
        <w:trPr>
          <w:trHeight w:val="198"/>
        </w:trPr>
        <w:tc>
          <w:tcPr>
            <w:tcW w:w="6350" w:type="dxa"/>
            <w:tcBorders>
              <w:top w:val="nil"/>
              <w:left w:val="nil"/>
              <w:bottom w:val="nil"/>
              <w:right w:val="nil"/>
            </w:tcBorders>
            <w:shd w:val="clear" w:color="auto" w:fill="auto"/>
            <w:noWrap/>
            <w:vAlign w:val="center"/>
            <w:hideMark/>
          </w:tcPr>
          <w:p w14:paraId="4AA3A08B" w14:textId="77777777" w:rsidR="00BC5219" w:rsidRPr="00EF0C57" w:rsidRDefault="00BC5219" w:rsidP="00E83802">
            <w:pPr>
              <w:outlineLvl w:val="0"/>
              <w:rPr>
                <w:rFonts w:ascii="Meta Pro" w:eastAsia="Times New Roman" w:hAnsi="Meta Pro"/>
                <w:i/>
                <w:iCs/>
                <w:szCs w:val="18"/>
                <w:lang w:eastAsia="en-AU"/>
              </w:rPr>
            </w:pPr>
            <w:r w:rsidRPr="00EF0C57">
              <w:rPr>
                <w:rFonts w:ascii="Meta Pro" w:eastAsia="Times New Roman" w:hAnsi="Meta Pro"/>
                <w:i/>
                <w:iCs/>
                <w:szCs w:val="18"/>
                <w:lang w:eastAsia="en-AU"/>
              </w:rPr>
              <w:t>Current</w:t>
            </w:r>
          </w:p>
        </w:tc>
        <w:tc>
          <w:tcPr>
            <w:tcW w:w="1156" w:type="dxa"/>
            <w:tcBorders>
              <w:top w:val="nil"/>
              <w:left w:val="nil"/>
              <w:bottom w:val="nil"/>
              <w:right w:val="nil"/>
            </w:tcBorders>
            <w:shd w:val="clear" w:color="auto" w:fill="auto"/>
            <w:noWrap/>
            <w:vAlign w:val="center"/>
            <w:hideMark/>
          </w:tcPr>
          <w:p w14:paraId="0252C978" w14:textId="77777777" w:rsidR="00BC5219" w:rsidRPr="00EF0C57" w:rsidRDefault="00BC5219" w:rsidP="00E83802">
            <w:pPr>
              <w:outlineLvl w:val="0"/>
              <w:rPr>
                <w:rFonts w:ascii="Meta Pro" w:eastAsia="Times New Roman" w:hAnsi="Meta Pro"/>
                <w:i/>
                <w:iCs/>
                <w:szCs w:val="18"/>
                <w:lang w:eastAsia="en-AU"/>
              </w:rPr>
            </w:pPr>
          </w:p>
        </w:tc>
        <w:tc>
          <w:tcPr>
            <w:tcW w:w="216" w:type="dxa"/>
            <w:tcBorders>
              <w:top w:val="nil"/>
              <w:left w:val="nil"/>
              <w:bottom w:val="nil"/>
              <w:right w:val="nil"/>
            </w:tcBorders>
            <w:shd w:val="clear" w:color="auto" w:fill="auto"/>
            <w:noWrap/>
            <w:vAlign w:val="center"/>
            <w:hideMark/>
          </w:tcPr>
          <w:p w14:paraId="3D07B352" w14:textId="77777777" w:rsidR="00BC5219" w:rsidRPr="00EF0C57" w:rsidRDefault="00BC5219" w:rsidP="00E83802">
            <w:pPr>
              <w:outlineLvl w:val="0"/>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6B772981" w14:textId="77777777" w:rsidR="00BC5219" w:rsidRPr="00EF0C57" w:rsidRDefault="00BC5219" w:rsidP="00E83802">
            <w:pPr>
              <w:jc w:val="right"/>
              <w:outlineLvl w:val="0"/>
              <w:rPr>
                <w:rFonts w:ascii="Times New Roman" w:eastAsia="Times New Roman" w:hAnsi="Times New Roman"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55802D1A" w14:textId="77777777" w:rsidR="00BC5219" w:rsidRPr="00EF0C57" w:rsidRDefault="00BC5219" w:rsidP="00E83802">
            <w:pPr>
              <w:outlineLvl w:val="0"/>
              <w:rPr>
                <w:rFonts w:ascii="Times New Roman" w:eastAsia="Times New Roman" w:hAnsi="Times New Roman" w:cs="Times New Roman"/>
                <w:sz w:val="20"/>
                <w:szCs w:val="20"/>
                <w:lang w:eastAsia="en-AU"/>
              </w:rPr>
            </w:pPr>
          </w:p>
        </w:tc>
        <w:tc>
          <w:tcPr>
            <w:tcW w:w="1140" w:type="dxa"/>
            <w:tcBorders>
              <w:top w:val="nil"/>
              <w:left w:val="nil"/>
              <w:bottom w:val="nil"/>
              <w:right w:val="nil"/>
            </w:tcBorders>
            <w:shd w:val="clear" w:color="auto" w:fill="auto"/>
            <w:noWrap/>
            <w:vAlign w:val="center"/>
            <w:hideMark/>
          </w:tcPr>
          <w:p w14:paraId="314F265F" w14:textId="77777777" w:rsidR="00BC5219" w:rsidRPr="00EF0C57" w:rsidRDefault="00BC5219" w:rsidP="00E83802">
            <w:pPr>
              <w:jc w:val="right"/>
              <w:outlineLvl w:val="0"/>
              <w:rPr>
                <w:rFonts w:ascii="Times New Roman" w:eastAsia="Times New Roman" w:hAnsi="Times New Roman" w:cs="Times New Roman"/>
                <w:sz w:val="20"/>
                <w:szCs w:val="20"/>
                <w:lang w:eastAsia="en-AU"/>
              </w:rPr>
            </w:pPr>
          </w:p>
        </w:tc>
      </w:tr>
      <w:tr w:rsidR="00BC5219" w:rsidRPr="00EF0C57" w14:paraId="5D2CB49A" w14:textId="77777777" w:rsidTr="00E83802">
        <w:trPr>
          <w:trHeight w:val="198"/>
        </w:trPr>
        <w:tc>
          <w:tcPr>
            <w:tcW w:w="6350" w:type="dxa"/>
            <w:tcBorders>
              <w:top w:val="nil"/>
              <w:left w:val="nil"/>
              <w:bottom w:val="nil"/>
              <w:right w:val="nil"/>
            </w:tcBorders>
            <w:shd w:val="clear" w:color="auto" w:fill="auto"/>
            <w:noWrap/>
            <w:vAlign w:val="center"/>
            <w:hideMark/>
          </w:tcPr>
          <w:p w14:paraId="790946A2" w14:textId="77777777" w:rsidR="00BC5219" w:rsidRPr="00EF0C57" w:rsidRDefault="00BC5219" w:rsidP="00E83802">
            <w:pPr>
              <w:outlineLvl w:val="0"/>
              <w:rPr>
                <w:rFonts w:ascii="Meta Pro" w:eastAsia="Times New Roman" w:hAnsi="Meta Pro"/>
                <w:szCs w:val="18"/>
                <w:lang w:eastAsia="en-AU"/>
              </w:rPr>
            </w:pPr>
            <w:r w:rsidRPr="00EF0C57">
              <w:rPr>
                <w:rFonts w:ascii="Meta Pro" w:eastAsia="Times New Roman" w:hAnsi="Meta Pro"/>
                <w:szCs w:val="18"/>
                <w:lang w:eastAsia="en-AU"/>
              </w:rPr>
              <w:t>Payables</w:t>
            </w:r>
          </w:p>
        </w:tc>
        <w:tc>
          <w:tcPr>
            <w:tcW w:w="1156" w:type="dxa"/>
            <w:tcBorders>
              <w:top w:val="nil"/>
              <w:left w:val="nil"/>
              <w:bottom w:val="nil"/>
              <w:right w:val="nil"/>
            </w:tcBorders>
            <w:shd w:val="clear" w:color="auto" w:fill="auto"/>
            <w:noWrap/>
            <w:vAlign w:val="center"/>
            <w:hideMark/>
          </w:tcPr>
          <w:p w14:paraId="73E7A325" w14:textId="77777777" w:rsidR="00BC5219" w:rsidRPr="00EF0C57" w:rsidRDefault="00BC5219" w:rsidP="00E83802">
            <w:pPr>
              <w:jc w:val="right"/>
              <w:outlineLvl w:val="0"/>
              <w:rPr>
                <w:rFonts w:ascii="Meta Pro" w:eastAsia="Times New Roman" w:hAnsi="Meta Pro"/>
                <w:szCs w:val="18"/>
                <w:lang w:eastAsia="en-AU"/>
              </w:rPr>
            </w:pPr>
            <w:r w:rsidRPr="00EF0C57">
              <w:rPr>
                <w:rFonts w:ascii="Meta Pro" w:eastAsia="Times New Roman" w:hAnsi="Meta Pro"/>
                <w:szCs w:val="18"/>
                <w:lang w:eastAsia="en-AU"/>
              </w:rPr>
              <w:t xml:space="preserve">35,474 </w:t>
            </w:r>
          </w:p>
        </w:tc>
        <w:tc>
          <w:tcPr>
            <w:tcW w:w="216" w:type="dxa"/>
            <w:tcBorders>
              <w:top w:val="nil"/>
              <w:left w:val="nil"/>
              <w:bottom w:val="nil"/>
              <w:right w:val="nil"/>
            </w:tcBorders>
            <w:shd w:val="clear" w:color="auto" w:fill="auto"/>
            <w:noWrap/>
            <w:vAlign w:val="center"/>
            <w:hideMark/>
          </w:tcPr>
          <w:p w14:paraId="186AAAAB" w14:textId="77777777" w:rsidR="00BC5219" w:rsidRPr="00EF0C57" w:rsidRDefault="00BC5219" w:rsidP="00E83802">
            <w:pPr>
              <w:jc w:val="right"/>
              <w:outlineLvl w:val="0"/>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4F222F12" w14:textId="77777777" w:rsidR="00BC5219" w:rsidRPr="00EF0C57" w:rsidRDefault="00BC5219" w:rsidP="00E83802">
            <w:pPr>
              <w:jc w:val="right"/>
              <w:outlineLvl w:val="0"/>
              <w:rPr>
                <w:rFonts w:ascii="Meta Pro" w:eastAsia="Times New Roman" w:hAnsi="Meta Pro"/>
                <w:szCs w:val="18"/>
                <w:lang w:eastAsia="en-AU"/>
              </w:rPr>
            </w:pPr>
            <w:r w:rsidRPr="00EF0C57">
              <w:rPr>
                <w:rFonts w:ascii="Meta Pro" w:eastAsia="Times New Roman" w:hAnsi="Meta Pro"/>
                <w:szCs w:val="18"/>
                <w:lang w:eastAsia="en-AU"/>
              </w:rPr>
              <w:t xml:space="preserve">38,383 </w:t>
            </w:r>
          </w:p>
        </w:tc>
        <w:tc>
          <w:tcPr>
            <w:tcW w:w="216" w:type="dxa"/>
            <w:tcBorders>
              <w:top w:val="nil"/>
              <w:left w:val="nil"/>
              <w:bottom w:val="nil"/>
              <w:right w:val="nil"/>
            </w:tcBorders>
            <w:shd w:val="clear" w:color="auto" w:fill="auto"/>
            <w:noWrap/>
            <w:vAlign w:val="center"/>
            <w:hideMark/>
          </w:tcPr>
          <w:p w14:paraId="6D74B448" w14:textId="77777777" w:rsidR="00BC5219" w:rsidRPr="00EF0C57" w:rsidRDefault="00BC5219" w:rsidP="00E83802">
            <w:pPr>
              <w:jc w:val="right"/>
              <w:outlineLvl w:val="0"/>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313519D4" w14:textId="77777777" w:rsidR="00BC5219" w:rsidRPr="00EF0C57" w:rsidRDefault="00BC5219" w:rsidP="00E83802">
            <w:pPr>
              <w:jc w:val="right"/>
              <w:outlineLvl w:val="0"/>
              <w:rPr>
                <w:rFonts w:ascii="Meta Pro" w:eastAsia="Times New Roman" w:hAnsi="Meta Pro"/>
                <w:szCs w:val="18"/>
                <w:lang w:eastAsia="en-AU"/>
              </w:rPr>
            </w:pPr>
            <w:r w:rsidRPr="00EF0C57">
              <w:rPr>
                <w:rFonts w:ascii="Meta Pro" w:eastAsia="Times New Roman" w:hAnsi="Meta Pro"/>
                <w:szCs w:val="18"/>
                <w:lang w:eastAsia="en-AU"/>
              </w:rPr>
              <w:t xml:space="preserve">2,909 </w:t>
            </w:r>
          </w:p>
        </w:tc>
      </w:tr>
      <w:tr w:rsidR="00BC5219" w:rsidRPr="00EF0C57" w14:paraId="3938449A" w14:textId="77777777" w:rsidTr="00E83802">
        <w:trPr>
          <w:trHeight w:val="198"/>
        </w:trPr>
        <w:tc>
          <w:tcPr>
            <w:tcW w:w="6350" w:type="dxa"/>
            <w:tcBorders>
              <w:top w:val="nil"/>
              <w:left w:val="nil"/>
              <w:bottom w:val="nil"/>
              <w:right w:val="nil"/>
            </w:tcBorders>
            <w:shd w:val="clear" w:color="auto" w:fill="auto"/>
            <w:noWrap/>
            <w:vAlign w:val="center"/>
            <w:hideMark/>
          </w:tcPr>
          <w:p w14:paraId="171968F1" w14:textId="77777777" w:rsidR="00BC5219" w:rsidRPr="00EF0C57" w:rsidRDefault="00BC5219" w:rsidP="00E83802">
            <w:pPr>
              <w:outlineLvl w:val="0"/>
              <w:rPr>
                <w:rFonts w:ascii="Meta Pro" w:eastAsia="Times New Roman" w:hAnsi="Meta Pro"/>
                <w:szCs w:val="18"/>
                <w:lang w:eastAsia="en-AU"/>
              </w:rPr>
            </w:pPr>
            <w:r w:rsidRPr="00EF0C57">
              <w:rPr>
                <w:rFonts w:ascii="Meta Pro" w:eastAsia="Times New Roman" w:hAnsi="Meta Pro"/>
                <w:szCs w:val="18"/>
                <w:lang w:eastAsia="en-AU"/>
              </w:rPr>
              <w:t>Unearned revenue</w:t>
            </w:r>
          </w:p>
        </w:tc>
        <w:tc>
          <w:tcPr>
            <w:tcW w:w="1156" w:type="dxa"/>
            <w:tcBorders>
              <w:top w:val="nil"/>
              <w:left w:val="nil"/>
              <w:bottom w:val="nil"/>
              <w:right w:val="nil"/>
            </w:tcBorders>
            <w:shd w:val="clear" w:color="auto" w:fill="auto"/>
            <w:noWrap/>
            <w:vAlign w:val="center"/>
            <w:hideMark/>
          </w:tcPr>
          <w:p w14:paraId="44DB95BB" w14:textId="77777777" w:rsidR="00BC5219" w:rsidRPr="00EF0C57" w:rsidRDefault="00BC5219" w:rsidP="00E83802">
            <w:pPr>
              <w:jc w:val="right"/>
              <w:outlineLvl w:val="0"/>
              <w:rPr>
                <w:rFonts w:ascii="Meta Pro" w:eastAsia="Times New Roman" w:hAnsi="Meta Pro"/>
                <w:szCs w:val="18"/>
                <w:lang w:eastAsia="en-AU"/>
              </w:rPr>
            </w:pPr>
            <w:r w:rsidRPr="00EF0C57">
              <w:rPr>
                <w:rFonts w:ascii="Meta Pro" w:eastAsia="Times New Roman" w:hAnsi="Meta Pro"/>
                <w:szCs w:val="18"/>
                <w:lang w:eastAsia="en-AU"/>
              </w:rPr>
              <w:t xml:space="preserve">6,315 </w:t>
            </w:r>
          </w:p>
        </w:tc>
        <w:tc>
          <w:tcPr>
            <w:tcW w:w="216" w:type="dxa"/>
            <w:tcBorders>
              <w:top w:val="nil"/>
              <w:left w:val="nil"/>
              <w:bottom w:val="nil"/>
              <w:right w:val="nil"/>
            </w:tcBorders>
            <w:shd w:val="clear" w:color="auto" w:fill="auto"/>
            <w:noWrap/>
            <w:vAlign w:val="center"/>
            <w:hideMark/>
          </w:tcPr>
          <w:p w14:paraId="370BF8E8" w14:textId="77777777" w:rsidR="00BC5219" w:rsidRPr="00EF0C57" w:rsidRDefault="00BC5219" w:rsidP="00E83802">
            <w:pPr>
              <w:jc w:val="right"/>
              <w:outlineLvl w:val="0"/>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6158AB2E" w14:textId="77777777" w:rsidR="00BC5219" w:rsidRPr="00EF0C57" w:rsidRDefault="00BC5219" w:rsidP="00E83802">
            <w:pPr>
              <w:jc w:val="right"/>
              <w:outlineLvl w:val="0"/>
              <w:rPr>
                <w:rFonts w:ascii="Meta Pro" w:eastAsia="Times New Roman" w:hAnsi="Meta Pro"/>
                <w:szCs w:val="18"/>
                <w:lang w:eastAsia="en-AU"/>
              </w:rPr>
            </w:pPr>
            <w:r w:rsidRPr="00EF0C57">
              <w:rPr>
                <w:rFonts w:ascii="Meta Pro" w:eastAsia="Times New Roman" w:hAnsi="Meta Pro"/>
                <w:szCs w:val="18"/>
                <w:lang w:eastAsia="en-AU"/>
              </w:rPr>
              <w:t xml:space="preserve">5,789 </w:t>
            </w:r>
          </w:p>
        </w:tc>
        <w:tc>
          <w:tcPr>
            <w:tcW w:w="216" w:type="dxa"/>
            <w:tcBorders>
              <w:top w:val="nil"/>
              <w:left w:val="nil"/>
              <w:bottom w:val="nil"/>
              <w:right w:val="nil"/>
            </w:tcBorders>
            <w:shd w:val="clear" w:color="auto" w:fill="auto"/>
            <w:noWrap/>
            <w:vAlign w:val="center"/>
            <w:hideMark/>
          </w:tcPr>
          <w:p w14:paraId="21ABE7D1" w14:textId="77777777" w:rsidR="00BC5219" w:rsidRPr="00EF0C57" w:rsidRDefault="00BC5219" w:rsidP="00E83802">
            <w:pPr>
              <w:jc w:val="right"/>
              <w:outlineLvl w:val="0"/>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5AE90A2D" w14:textId="77777777" w:rsidR="00BC5219" w:rsidRPr="00EF0C57" w:rsidRDefault="00BC5219" w:rsidP="00E83802">
            <w:pPr>
              <w:jc w:val="right"/>
              <w:outlineLvl w:val="0"/>
              <w:rPr>
                <w:rFonts w:ascii="Meta Pro" w:eastAsia="Times New Roman" w:hAnsi="Meta Pro"/>
                <w:szCs w:val="18"/>
                <w:lang w:eastAsia="en-AU"/>
              </w:rPr>
            </w:pPr>
            <w:r w:rsidRPr="00EF0C57">
              <w:rPr>
                <w:rFonts w:ascii="Meta Pro" w:eastAsia="Times New Roman" w:hAnsi="Meta Pro"/>
                <w:szCs w:val="18"/>
                <w:lang w:eastAsia="en-AU"/>
              </w:rPr>
              <w:t>(526)</w:t>
            </w:r>
          </w:p>
        </w:tc>
      </w:tr>
      <w:tr w:rsidR="00BC5219" w:rsidRPr="00EF0C57" w14:paraId="7256B799" w14:textId="77777777" w:rsidTr="00E83802">
        <w:trPr>
          <w:trHeight w:val="198"/>
        </w:trPr>
        <w:tc>
          <w:tcPr>
            <w:tcW w:w="6350" w:type="dxa"/>
            <w:tcBorders>
              <w:top w:val="single" w:sz="4" w:space="0" w:color="auto"/>
              <w:left w:val="nil"/>
              <w:bottom w:val="single" w:sz="4" w:space="0" w:color="auto"/>
              <w:right w:val="nil"/>
            </w:tcBorders>
            <w:shd w:val="clear" w:color="auto" w:fill="auto"/>
            <w:noWrap/>
            <w:vAlign w:val="center"/>
            <w:hideMark/>
          </w:tcPr>
          <w:p w14:paraId="3EACA322" w14:textId="77777777" w:rsidR="00BC5219" w:rsidRPr="00EF0C57" w:rsidRDefault="00BC5219" w:rsidP="00E83802">
            <w:pPr>
              <w:outlineLvl w:val="0"/>
              <w:rPr>
                <w:rFonts w:ascii="Meta Pro" w:eastAsia="Times New Roman" w:hAnsi="Meta Pro"/>
                <w:b/>
                <w:bCs/>
                <w:szCs w:val="18"/>
                <w:lang w:eastAsia="en-AU"/>
              </w:rPr>
            </w:pPr>
            <w:r w:rsidRPr="00EF0C57">
              <w:rPr>
                <w:rFonts w:ascii="Meta Pro" w:eastAsia="Times New Roman" w:hAnsi="Meta Pro"/>
                <w:b/>
                <w:bCs/>
                <w:szCs w:val="18"/>
                <w:lang w:eastAsia="en-AU"/>
              </w:rPr>
              <w:t>Total current liabilities</w:t>
            </w:r>
          </w:p>
        </w:tc>
        <w:tc>
          <w:tcPr>
            <w:tcW w:w="1156" w:type="dxa"/>
            <w:tcBorders>
              <w:top w:val="single" w:sz="4" w:space="0" w:color="auto"/>
              <w:left w:val="nil"/>
              <w:bottom w:val="single" w:sz="4" w:space="0" w:color="auto"/>
              <w:right w:val="nil"/>
            </w:tcBorders>
            <w:shd w:val="clear" w:color="auto" w:fill="auto"/>
            <w:noWrap/>
            <w:vAlign w:val="center"/>
            <w:hideMark/>
          </w:tcPr>
          <w:p w14:paraId="7FFB2B5C" w14:textId="77777777" w:rsidR="00BC5219" w:rsidRPr="00EF0C57" w:rsidRDefault="00BC5219" w:rsidP="00E83802">
            <w:pPr>
              <w:jc w:val="right"/>
              <w:outlineLvl w:val="0"/>
              <w:rPr>
                <w:rFonts w:ascii="Meta Pro" w:eastAsia="Times New Roman" w:hAnsi="Meta Pro"/>
                <w:b/>
                <w:bCs/>
                <w:szCs w:val="18"/>
                <w:lang w:eastAsia="en-AU"/>
              </w:rPr>
            </w:pPr>
            <w:r w:rsidRPr="00EF0C57">
              <w:rPr>
                <w:rFonts w:ascii="Meta Pro" w:eastAsia="Times New Roman" w:hAnsi="Meta Pro"/>
                <w:b/>
                <w:bCs/>
                <w:szCs w:val="18"/>
                <w:lang w:eastAsia="en-AU"/>
              </w:rPr>
              <w:t xml:space="preserve">41,789 </w:t>
            </w:r>
          </w:p>
        </w:tc>
        <w:tc>
          <w:tcPr>
            <w:tcW w:w="216" w:type="dxa"/>
            <w:tcBorders>
              <w:top w:val="single" w:sz="4" w:space="0" w:color="auto"/>
              <w:left w:val="nil"/>
              <w:bottom w:val="single" w:sz="4" w:space="0" w:color="auto"/>
              <w:right w:val="nil"/>
            </w:tcBorders>
            <w:shd w:val="clear" w:color="auto" w:fill="auto"/>
            <w:noWrap/>
            <w:vAlign w:val="center"/>
            <w:hideMark/>
          </w:tcPr>
          <w:p w14:paraId="61BB6AB8" w14:textId="77777777" w:rsidR="00BC5219" w:rsidRPr="00EF0C57" w:rsidRDefault="00BC5219" w:rsidP="00E83802">
            <w:pPr>
              <w:outlineLvl w:val="0"/>
              <w:rPr>
                <w:rFonts w:ascii="Meta Pro" w:eastAsia="Times New Roman" w:hAnsi="Meta Pro"/>
                <w:szCs w:val="18"/>
                <w:lang w:eastAsia="en-AU"/>
              </w:rPr>
            </w:pPr>
            <w:r w:rsidRPr="00EF0C57">
              <w:rPr>
                <w:rFonts w:ascii="Meta Pro" w:eastAsia="Times New Roman" w:hAnsi="Meta Pro"/>
                <w:szCs w:val="18"/>
                <w:lang w:eastAsia="en-AU"/>
              </w:rPr>
              <w:t> </w:t>
            </w:r>
          </w:p>
        </w:tc>
        <w:tc>
          <w:tcPr>
            <w:tcW w:w="1156" w:type="dxa"/>
            <w:tcBorders>
              <w:top w:val="single" w:sz="4" w:space="0" w:color="auto"/>
              <w:left w:val="nil"/>
              <w:bottom w:val="single" w:sz="4" w:space="0" w:color="auto"/>
              <w:right w:val="nil"/>
            </w:tcBorders>
            <w:shd w:val="clear" w:color="auto" w:fill="auto"/>
            <w:noWrap/>
            <w:vAlign w:val="center"/>
            <w:hideMark/>
          </w:tcPr>
          <w:p w14:paraId="6DFA1040" w14:textId="77777777" w:rsidR="00BC5219" w:rsidRPr="00EF0C57" w:rsidRDefault="00BC5219" w:rsidP="00E83802">
            <w:pPr>
              <w:jc w:val="right"/>
              <w:outlineLvl w:val="0"/>
              <w:rPr>
                <w:rFonts w:ascii="Meta Pro" w:eastAsia="Times New Roman" w:hAnsi="Meta Pro"/>
                <w:b/>
                <w:bCs/>
                <w:szCs w:val="18"/>
                <w:lang w:eastAsia="en-AU"/>
              </w:rPr>
            </w:pPr>
            <w:r w:rsidRPr="00EF0C57">
              <w:rPr>
                <w:rFonts w:ascii="Meta Pro" w:eastAsia="Times New Roman" w:hAnsi="Meta Pro"/>
                <w:b/>
                <w:bCs/>
                <w:szCs w:val="18"/>
                <w:lang w:eastAsia="en-AU"/>
              </w:rPr>
              <w:t xml:space="preserve">44,172 </w:t>
            </w:r>
          </w:p>
        </w:tc>
        <w:tc>
          <w:tcPr>
            <w:tcW w:w="216" w:type="dxa"/>
            <w:tcBorders>
              <w:top w:val="single" w:sz="4" w:space="0" w:color="auto"/>
              <w:left w:val="nil"/>
              <w:bottom w:val="single" w:sz="4" w:space="0" w:color="auto"/>
              <w:right w:val="nil"/>
            </w:tcBorders>
            <w:shd w:val="clear" w:color="auto" w:fill="auto"/>
            <w:noWrap/>
            <w:vAlign w:val="center"/>
            <w:hideMark/>
          </w:tcPr>
          <w:p w14:paraId="2D4E474F" w14:textId="77777777" w:rsidR="00BC5219" w:rsidRPr="00EF0C57" w:rsidRDefault="00BC5219" w:rsidP="00E83802">
            <w:pPr>
              <w:outlineLvl w:val="0"/>
              <w:rPr>
                <w:rFonts w:ascii="Meta Pro" w:eastAsia="Times New Roman" w:hAnsi="Meta Pro"/>
                <w:szCs w:val="18"/>
                <w:lang w:eastAsia="en-AU"/>
              </w:rPr>
            </w:pPr>
            <w:r w:rsidRPr="00EF0C57">
              <w:rPr>
                <w:rFonts w:ascii="Meta Pro" w:eastAsia="Times New Roman" w:hAnsi="Meta Pro"/>
                <w:szCs w:val="18"/>
                <w:lang w:eastAsia="en-AU"/>
              </w:rPr>
              <w:t> </w:t>
            </w:r>
          </w:p>
        </w:tc>
        <w:tc>
          <w:tcPr>
            <w:tcW w:w="1140" w:type="dxa"/>
            <w:tcBorders>
              <w:top w:val="single" w:sz="4" w:space="0" w:color="auto"/>
              <w:left w:val="nil"/>
              <w:bottom w:val="single" w:sz="4" w:space="0" w:color="auto"/>
              <w:right w:val="nil"/>
            </w:tcBorders>
            <w:shd w:val="clear" w:color="auto" w:fill="auto"/>
            <w:noWrap/>
            <w:vAlign w:val="center"/>
            <w:hideMark/>
          </w:tcPr>
          <w:p w14:paraId="2F127672" w14:textId="77777777" w:rsidR="00BC5219" w:rsidRPr="00EF0C57" w:rsidRDefault="00BC5219" w:rsidP="00E83802">
            <w:pPr>
              <w:jc w:val="right"/>
              <w:outlineLvl w:val="0"/>
              <w:rPr>
                <w:rFonts w:ascii="Meta Pro" w:eastAsia="Times New Roman" w:hAnsi="Meta Pro"/>
                <w:b/>
                <w:bCs/>
                <w:szCs w:val="18"/>
                <w:lang w:eastAsia="en-AU"/>
              </w:rPr>
            </w:pPr>
            <w:r w:rsidRPr="00EF0C57">
              <w:rPr>
                <w:rFonts w:ascii="Meta Pro" w:eastAsia="Times New Roman" w:hAnsi="Meta Pro"/>
                <w:b/>
                <w:bCs/>
                <w:szCs w:val="18"/>
                <w:lang w:eastAsia="en-AU"/>
              </w:rPr>
              <w:t xml:space="preserve">2,383 </w:t>
            </w:r>
          </w:p>
        </w:tc>
      </w:tr>
      <w:tr w:rsidR="00BC5219" w:rsidRPr="00EF0C57" w14:paraId="199A1EDF" w14:textId="77777777" w:rsidTr="00E83802">
        <w:trPr>
          <w:trHeight w:val="198"/>
        </w:trPr>
        <w:tc>
          <w:tcPr>
            <w:tcW w:w="6350" w:type="dxa"/>
            <w:tcBorders>
              <w:top w:val="nil"/>
              <w:left w:val="nil"/>
              <w:bottom w:val="nil"/>
              <w:right w:val="nil"/>
            </w:tcBorders>
            <w:shd w:val="clear" w:color="auto" w:fill="auto"/>
            <w:noWrap/>
            <w:vAlign w:val="center"/>
            <w:hideMark/>
          </w:tcPr>
          <w:p w14:paraId="03CE4DAA" w14:textId="77777777" w:rsidR="00BC5219" w:rsidRPr="00EF0C57" w:rsidRDefault="00BC5219" w:rsidP="00E83802">
            <w:pPr>
              <w:outlineLvl w:val="0"/>
              <w:rPr>
                <w:rFonts w:ascii="Meta Pro" w:eastAsia="Times New Roman" w:hAnsi="Meta Pro"/>
                <w:i/>
                <w:iCs/>
                <w:szCs w:val="18"/>
                <w:lang w:eastAsia="en-AU"/>
              </w:rPr>
            </w:pPr>
            <w:r w:rsidRPr="00EF0C57">
              <w:rPr>
                <w:rFonts w:ascii="Meta Pro" w:eastAsia="Times New Roman" w:hAnsi="Meta Pro"/>
                <w:i/>
                <w:iCs/>
                <w:szCs w:val="18"/>
                <w:lang w:eastAsia="en-AU"/>
              </w:rPr>
              <w:t xml:space="preserve">Non-current </w:t>
            </w:r>
          </w:p>
        </w:tc>
        <w:tc>
          <w:tcPr>
            <w:tcW w:w="1156" w:type="dxa"/>
            <w:tcBorders>
              <w:top w:val="nil"/>
              <w:left w:val="nil"/>
              <w:bottom w:val="nil"/>
              <w:right w:val="nil"/>
            </w:tcBorders>
            <w:shd w:val="clear" w:color="auto" w:fill="auto"/>
            <w:noWrap/>
            <w:vAlign w:val="center"/>
            <w:hideMark/>
          </w:tcPr>
          <w:p w14:paraId="1C862796" w14:textId="77777777" w:rsidR="00BC5219" w:rsidRPr="00EF0C57" w:rsidRDefault="00BC5219" w:rsidP="00E83802">
            <w:pPr>
              <w:outlineLvl w:val="0"/>
              <w:rPr>
                <w:rFonts w:ascii="Meta Pro" w:eastAsia="Times New Roman" w:hAnsi="Meta Pro"/>
                <w:i/>
                <w:iCs/>
                <w:szCs w:val="18"/>
                <w:lang w:eastAsia="en-AU"/>
              </w:rPr>
            </w:pPr>
          </w:p>
        </w:tc>
        <w:tc>
          <w:tcPr>
            <w:tcW w:w="216" w:type="dxa"/>
            <w:tcBorders>
              <w:top w:val="nil"/>
              <w:left w:val="nil"/>
              <w:bottom w:val="nil"/>
              <w:right w:val="nil"/>
            </w:tcBorders>
            <w:shd w:val="clear" w:color="auto" w:fill="auto"/>
            <w:noWrap/>
            <w:vAlign w:val="center"/>
            <w:hideMark/>
          </w:tcPr>
          <w:p w14:paraId="61A95B24" w14:textId="77777777" w:rsidR="00BC5219" w:rsidRPr="00EF0C57" w:rsidRDefault="00BC5219" w:rsidP="00E83802">
            <w:pPr>
              <w:outlineLvl w:val="0"/>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391A5004" w14:textId="77777777" w:rsidR="00BC5219" w:rsidRPr="00EF0C57" w:rsidRDefault="00BC5219" w:rsidP="00E83802">
            <w:pPr>
              <w:jc w:val="right"/>
              <w:outlineLvl w:val="0"/>
              <w:rPr>
                <w:rFonts w:ascii="Times New Roman" w:eastAsia="Times New Roman" w:hAnsi="Times New Roman"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417C7E6C" w14:textId="77777777" w:rsidR="00BC5219" w:rsidRPr="00EF0C57" w:rsidRDefault="00BC5219" w:rsidP="00E83802">
            <w:pPr>
              <w:outlineLvl w:val="0"/>
              <w:rPr>
                <w:rFonts w:ascii="Times New Roman" w:eastAsia="Times New Roman" w:hAnsi="Times New Roman" w:cs="Times New Roman"/>
                <w:sz w:val="20"/>
                <w:szCs w:val="20"/>
                <w:lang w:eastAsia="en-AU"/>
              </w:rPr>
            </w:pPr>
          </w:p>
        </w:tc>
        <w:tc>
          <w:tcPr>
            <w:tcW w:w="1140" w:type="dxa"/>
            <w:tcBorders>
              <w:top w:val="nil"/>
              <w:left w:val="nil"/>
              <w:bottom w:val="nil"/>
              <w:right w:val="nil"/>
            </w:tcBorders>
            <w:shd w:val="clear" w:color="auto" w:fill="auto"/>
            <w:noWrap/>
            <w:vAlign w:val="center"/>
            <w:hideMark/>
          </w:tcPr>
          <w:p w14:paraId="600ACE53" w14:textId="77777777" w:rsidR="00BC5219" w:rsidRPr="00EF0C57" w:rsidRDefault="00BC5219" w:rsidP="00E83802">
            <w:pPr>
              <w:jc w:val="right"/>
              <w:outlineLvl w:val="0"/>
              <w:rPr>
                <w:rFonts w:ascii="Times New Roman" w:eastAsia="Times New Roman" w:hAnsi="Times New Roman" w:cs="Times New Roman"/>
                <w:sz w:val="20"/>
                <w:szCs w:val="20"/>
                <w:lang w:eastAsia="en-AU"/>
              </w:rPr>
            </w:pPr>
          </w:p>
        </w:tc>
      </w:tr>
      <w:tr w:rsidR="00BC5219" w:rsidRPr="00EF0C57" w14:paraId="4A8BED44" w14:textId="77777777" w:rsidTr="00E83802">
        <w:trPr>
          <w:trHeight w:val="198"/>
        </w:trPr>
        <w:tc>
          <w:tcPr>
            <w:tcW w:w="6350" w:type="dxa"/>
            <w:tcBorders>
              <w:top w:val="nil"/>
              <w:left w:val="nil"/>
              <w:bottom w:val="nil"/>
              <w:right w:val="nil"/>
            </w:tcBorders>
            <w:shd w:val="clear" w:color="auto" w:fill="auto"/>
            <w:noWrap/>
            <w:vAlign w:val="center"/>
            <w:hideMark/>
          </w:tcPr>
          <w:p w14:paraId="489F06E3" w14:textId="77777777" w:rsidR="00BC5219" w:rsidRPr="00EF0C57" w:rsidRDefault="00BC5219" w:rsidP="00E83802">
            <w:pPr>
              <w:outlineLvl w:val="0"/>
              <w:rPr>
                <w:rFonts w:ascii="Meta Pro" w:eastAsia="Times New Roman" w:hAnsi="Meta Pro"/>
                <w:szCs w:val="18"/>
                <w:lang w:eastAsia="en-AU"/>
              </w:rPr>
            </w:pPr>
            <w:r w:rsidRPr="00EF0C57">
              <w:rPr>
                <w:rFonts w:ascii="Meta Pro" w:eastAsia="Times New Roman" w:hAnsi="Meta Pro"/>
                <w:szCs w:val="18"/>
                <w:lang w:eastAsia="en-AU"/>
              </w:rPr>
              <w:t>Payables</w:t>
            </w:r>
          </w:p>
        </w:tc>
        <w:tc>
          <w:tcPr>
            <w:tcW w:w="1156" w:type="dxa"/>
            <w:tcBorders>
              <w:top w:val="nil"/>
              <w:left w:val="nil"/>
              <w:bottom w:val="nil"/>
              <w:right w:val="nil"/>
            </w:tcBorders>
            <w:shd w:val="clear" w:color="auto" w:fill="auto"/>
            <w:noWrap/>
            <w:vAlign w:val="center"/>
            <w:hideMark/>
          </w:tcPr>
          <w:p w14:paraId="17D7FCF2" w14:textId="77777777" w:rsidR="00BC5219" w:rsidRPr="00EF0C57" w:rsidRDefault="00BC5219" w:rsidP="00E83802">
            <w:pPr>
              <w:jc w:val="right"/>
              <w:outlineLvl w:val="0"/>
              <w:rPr>
                <w:rFonts w:ascii="Meta Pro" w:eastAsia="Times New Roman" w:hAnsi="Meta Pro"/>
                <w:szCs w:val="18"/>
                <w:lang w:eastAsia="en-AU"/>
              </w:rPr>
            </w:pPr>
            <w:r w:rsidRPr="00EF0C57">
              <w:rPr>
                <w:rFonts w:ascii="Meta Pro" w:eastAsia="Times New Roman" w:hAnsi="Meta Pro"/>
                <w:szCs w:val="18"/>
                <w:lang w:eastAsia="en-AU"/>
              </w:rPr>
              <w:t xml:space="preserve">195,654 </w:t>
            </w:r>
          </w:p>
        </w:tc>
        <w:tc>
          <w:tcPr>
            <w:tcW w:w="216" w:type="dxa"/>
            <w:tcBorders>
              <w:top w:val="nil"/>
              <w:left w:val="nil"/>
              <w:bottom w:val="nil"/>
              <w:right w:val="nil"/>
            </w:tcBorders>
            <w:shd w:val="clear" w:color="auto" w:fill="auto"/>
            <w:noWrap/>
            <w:vAlign w:val="center"/>
            <w:hideMark/>
          </w:tcPr>
          <w:p w14:paraId="540F9885" w14:textId="77777777" w:rsidR="00BC5219" w:rsidRPr="00EF0C57" w:rsidRDefault="00BC5219" w:rsidP="00E83802">
            <w:pPr>
              <w:jc w:val="right"/>
              <w:outlineLvl w:val="0"/>
              <w:rPr>
                <w:rFonts w:ascii="Meta Pro" w:eastAsia="Times New Roman" w:hAnsi="Meta Pro"/>
                <w:szCs w:val="18"/>
                <w:lang w:eastAsia="en-AU"/>
              </w:rPr>
            </w:pPr>
          </w:p>
        </w:tc>
        <w:tc>
          <w:tcPr>
            <w:tcW w:w="1156" w:type="dxa"/>
            <w:tcBorders>
              <w:top w:val="nil"/>
              <w:left w:val="nil"/>
              <w:bottom w:val="nil"/>
              <w:right w:val="nil"/>
            </w:tcBorders>
            <w:shd w:val="clear" w:color="auto" w:fill="auto"/>
            <w:noWrap/>
            <w:vAlign w:val="center"/>
            <w:hideMark/>
          </w:tcPr>
          <w:p w14:paraId="755B0087" w14:textId="77777777" w:rsidR="00BC5219" w:rsidRPr="00EF0C57" w:rsidRDefault="00BC5219" w:rsidP="00E83802">
            <w:pPr>
              <w:jc w:val="right"/>
              <w:outlineLvl w:val="0"/>
              <w:rPr>
                <w:rFonts w:ascii="Meta Pro" w:eastAsia="Times New Roman" w:hAnsi="Meta Pro"/>
                <w:szCs w:val="18"/>
                <w:lang w:eastAsia="en-AU"/>
              </w:rPr>
            </w:pPr>
            <w:r w:rsidRPr="00EF0C57">
              <w:rPr>
                <w:rFonts w:ascii="Meta Pro" w:eastAsia="Times New Roman" w:hAnsi="Meta Pro"/>
                <w:szCs w:val="18"/>
                <w:lang w:eastAsia="en-AU"/>
              </w:rPr>
              <w:t xml:space="preserve">197,033 </w:t>
            </w:r>
          </w:p>
        </w:tc>
        <w:tc>
          <w:tcPr>
            <w:tcW w:w="216" w:type="dxa"/>
            <w:tcBorders>
              <w:top w:val="nil"/>
              <w:left w:val="nil"/>
              <w:bottom w:val="nil"/>
              <w:right w:val="nil"/>
            </w:tcBorders>
            <w:shd w:val="clear" w:color="auto" w:fill="auto"/>
            <w:noWrap/>
            <w:vAlign w:val="center"/>
            <w:hideMark/>
          </w:tcPr>
          <w:p w14:paraId="3F302F8F" w14:textId="77777777" w:rsidR="00BC5219" w:rsidRPr="00EF0C57" w:rsidRDefault="00BC5219" w:rsidP="00E83802">
            <w:pPr>
              <w:jc w:val="right"/>
              <w:outlineLvl w:val="0"/>
              <w:rPr>
                <w:rFonts w:ascii="Meta Pro" w:eastAsia="Times New Roman" w:hAnsi="Meta Pro"/>
                <w:szCs w:val="18"/>
                <w:lang w:eastAsia="en-AU"/>
              </w:rPr>
            </w:pPr>
          </w:p>
        </w:tc>
        <w:tc>
          <w:tcPr>
            <w:tcW w:w="1140" w:type="dxa"/>
            <w:tcBorders>
              <w:top w:val="nil"/>
              <w:left w:val="nil"/>
              <w:bottom w:val="nil"/>
              <w:right w:val="nil"/>
            </w:tcBorders>
            <w:shd w:val="clear" w:color="auto" w:fill="auto"/>
            <w:noWrap/>
            <w:vAlign w:val="center"/>
            <w:hideMark/>
          </w:tcPr>
          <w:p w14:paraId="369D45CF" w14:textId="77777777" w:rsidR="00BC5219" w:rsidRPr="00EF0C57" w:rsidRDefault="00BC5219" w:rsidP="00E83802">
            <w:pPr>
              <w:jc w:val="right"/>
              <w:outlineLvl w:val="0"/>
              <w:rPr>
                <w:rFonts w:ascii="Meta Pro" w:eastAsia="Times New Roman" w:hAnsi="Meta Pro"/>
                <w:szCs w:val="18"/>
                <w:lang w:eastAsia="en-AU"/>
              </w:rPr>
            </w:pPr>
            <w:r w:rsidRPr="00EF0C57">
              <w:rPr>
                <w:rFonts w:ascii="Meta Pro" w:eastAsia="Times New Roman" w:hAnsi="Meta Pro"/>
                <w:szCs w:val="18"/>
                <w:lang w:eastAsia="en-AU"/>
              </w:rPr>
              <w:t xml:space="preserve">1,379 </w:t>
            </w:r>
          </w:p>
        </w:tc>
      </w:tr>
      <w:tr w:rsidR="00BC5219" w:rsidRPr="00EF0C57" w14:paraId="48C6C9DA" w14:textId="77777777" w:rsidTr="00E83802">
        <w:trPr>
          <w:trHeight w:val="198"/>
        </w:trPr>
        <w:tc>
          <w:tcPr>
            <w:tcW w:w="6350" w:type="dxa"/>
            <w:tcBorders>
              <w:top w:val="single" w:sz="4" w:space="0" w:color="auto"/>
              <w:left w:val="nil"/>
              <w:bottom w:val="single" w:sz="4" w:space="0" w:color="auto"/>
              <w:right w:val="nil"/>
            </w:tcBorders>
            <w:shd w:val="clear" w:color="auto" w:fill="auto"/>
            <w:noWrap/>
            <w:vAlign w:val="center"/>
            <w:hideMark/>
          </w:tcPr>
          <w:p w14:paraId="751A2616" w14:textId="77777777" w:rsidR="00BC5219" w:rsidRPr="00EF0C57" w:rsidRDefault="00BC5219" w:rsidP="00E83802">
            <w:pPr>
              <w:outlineLvl w:val="0"/>
              <w:rPr>
                <w:rFonts w:ascii="Meta Pro" w:eastAsia="Times New Roman" w:hAnsi="Meta Pro"/>
                <w:b/>
                <w:bCs/>
                <w:szCs w:val="18"/>
                <w:lang w:eastAsia="en-AU"/>
              </w:rPr>
            </w:pPr>
            <w:r w:rsidRPr="00EF0C57">
              <w:rPr>
                <w:rFonts w:ascii="Meta Pro" w:eastAsia="Times New Roman" w:hAnsi="Meta Pro"/>
                <w:b/>
                <w:bCs/>
                <w:szCs w:val="18"/>
                <w:lang w:eastAsia="en-AU"/>
              </w:rPr>
              <w:t>Total non-current liabilities</w:t>
            </w:r>
          </w:p>
        </w:tc>
        <w:tc>
          <w:tcPr>
            <w:tcW w:w="1156" w:type="dxa"/>
            <w:tcBorders>
              <w:top w:val="single" w:sz="4" w:space="0" w:color="auto"/>
              <w:left w:val="nil"/>
              <w:bottom w:val="single" w:sz="4" w:space="0" w:color="auto"/>
              <w:right w:val="nil"/>
            </w:tcBorders>
            <w:shd w:val="clear" w:color="auto" w:fill="auto"/>
            <w:noWrap/>
            <w:vAlign w:val="center"/>
            <w:hideMark/>
          </w:tcPr>
          <w:p w14:paraId="073418C6" w14:textId="77777777" w:rsidR="00BC5219" w:rsidRPr="00EF0C57" w:rsidRDefault="00BC5219" w:rsidP="00E83802">
            <w:pPr>
              <w:jc w:val="right"/>
              <w:outlineLvl w:val="0"/>
              <w:rPr>
                <w:rFonts w:ascii="Meta Pro" w:eastAsia="Times New Roman" w:hAnsi="Meta Pro"/>
                <w:b/>
                <w:bCs/>
                <w:szCs w:val="18"/>
                <w:lang w:eastAsia="en-AU"/>
              </w:rPr>
            </w:pPr>
            <w:r w:rsidRPr="00EF0C57">
              <w:rPr>
                <w:rFonts w:ascii="Meta Pro" w:eastAsia="Times New Roman" w:hAnsi="Meta Pro"/>
                <w:b/>
                <w:bCs/>
                <w:szCs w:val="18"/>
                <w:lang w:eastAsia="en-AU"/>
              </w:rPr>
              <w:t xml:space="preserve">195,654 </w:t>
            </w:r>
          </w:p>
        </w:tc>
        <w:tc>
          <w:tcPr>
            <w:tcW w:w="216" w:type="dxa"/>
            <w:tcBorders>
              <w:top w:val="single" w:sz="4" w:space="0" w:color="auto"/>
              <w:left w:val="nil"/>
              <w:bottom w:val="single" w:sz="4" w:space="0" w:color="auto"/>
              <w:right w:val="nil"/>
            </w:tcBorders>
            <w:shd w:val="clear" w:color="auto" w:fill="auto"/>
            <w:noWrap/>
            <w:vAlign w:val="center"/>
            <w:hideMark/>
          </w:tcPr>
          <w:p w14:paraId="74A7244A" w14:textId="77777777" w:rsidR="00BC5219" w:rsidRPr="00EF0C57" w:rsidRDefault="00BC5219" w:rsidP="00E83802">
            <w:pPr>
              <w:outlineLvl w:val="0"/>
              <w:rPr>
                <w:rFonts w:ascii="Meta Pro" w:eastAsia="Times New Roman" w:hAnsi="Meta Pro"/>
                <w:szCs w:val="18"/>
                <w:lang w:eastAsia="en-AU"/>
              </w:rPr>
            </w:pPr>
            <w:r w:rsidRPr="00EF0C57">
              <w:rPr>
                <w:rFonts w:ascii="Meta Pro" w:eastAsia="Times New Roman" w:hAnsi="Meta Pro"/>
                <w:szCs w:val="18"/>
                <w:lang w:eastAsia="en-AU"/>
              </w:rPr>
              <w:t> </w:t>
            </w:r>
          </w:p>
        </w:tc>
        <w:tc>
          <w:tcPr>
            <w:tcW w:w="1156" w:type="dxa"/>
            <w:tcBorders>
              <w:top w:val="single" w:sz="4" w:space="0" w:color="auto"/>
              <w:left w:val="nil"/>
              <w:bottom w:val="single" w:sz="4" w:space="0" w:color="auto"/>
              <w:right w:val="nil"/>
            </w:tcBorders>
            <w:shd w:val="clear" w:color="auto" w:fill="auto"/>
            <w:noWrap/>
            <w:vAlign w:val="center"/>
            <w:hideMark/>
          </w:tcPr>
          <w:p w14:paraId="4B282C35" w14:textId="77777777" w:rsidR="00BC5219" w:rsidRPr="00EF0C57" w:rsidRDefault="00BC5219" w:rsidP="00E83802">
            <w:pPr>
              <w:jc w:val="right"/>
              <w:outlineLvl w:val="0"/>
              <w:rPr>
                <w:rFonts w:ascii="Meta Pro" w:eastAsia="Times New Roman" w:hAnsi="Meta Pro"/>
                <w:b/>
                <w:bCs/>
                <w:szCs w:val="18"/>
                <w:lang w:eastAsia="en-AU"/>
              </w:rPr>
            </w:pPr>
            <w:r w:rsidRPr="00EF0C57">
              <w:rPr>
                <w:rFonts w:ascii="Meta Pro" w:eastAsia="Times New Roman" w:hAnsi="Meta Pro"/>
                <w:b/>
                <w:bCs/>
                <w:szCs w:val="18"/>
                <w:lang w:eastAsia="en-AU"/>
              </w:rPr>
              <w:t xml:space="preserve">197,033 </w:t>
            </w:r>
          </w:p>
        </w:tc>
        <w:tc>
          <w:tcPr>
            <w:tcW w:w="216" w:type="dxa"/>
            <w:tcBorders>
              <w:top w:val="single" w:sz="4" w:space="0" w:color="auto"/>
              <w:left w:val="nil"/>
              <w:bottom w:val="single" w:sz="4" w:space="0" w:color="auto"/>
              <w:right w:val="nil"/>
            </w:tcBorders>
            <w:shd w:val="clear" w:color="auto" w:fill="auto"/>
            <w:noWrap/>
            <w:vAlign w:val="center"/>
            <w:hideMark/>
          </w:tcPr>
          <w:p w14:paraId="5F34DADF" w14:textId="77777777" w:rsidR="00BC5219" w:rsidRPr="00EF0C57" w:rsidRDefault="00BC5219" w:rsidP="00E83802">
            <w:pPr>
              <w:outlineLvl w:val="0"/>
              <w:rPr>
                <w:rFonts w:ascii="Meta Pro" w:eastAsia="Times New Roman" w:hAnsi="Meta Pro"/>
                <w:szCs w:val="18"/>
                <w:lang w:eastAsia="en-AU"/>
              </w:rPr>
            </w:pPr>
            <w:r w:rsidRPr="00EF0C57">
              <w:rPr>
                <w:rFonts w:ascii="Meta Pro" w:eastAsia="Times New Roman" w:hAnsi="Meta Pro"/>
                <w:szCs w:val="18"/>
                <w:lang w:eastAsia="en-AU"/>
              </w:rPr>
              <w:t> </w:t>
            </w:r>
          </w:p>
        </w:tc>
        <w:tc>
          <w:tcPr>
            <w:tcW w:w="1140" w:type="dxa"/>
            <w:tcBorders>
              <w:top w:val="single" w:sz="4" w:space="0" w:color="auto"/>
              <w:left w:val="nil"/>
              <w:bottom w:val="single" w:sz="4" w:space="0" w:color="auto"/>
              <w:right w:val="nil"/>
            </w:tcBorders>
            <w:shd w:val="clear" w:color="auto" w:fill="auto"/>
            <w:noWrap/>
            <w:vAlign w:val="center"/>
            <w:hideMark/>
          </w:tcPr>
          <w:p w14:paraId="09BD9341" w14:textId="77777777" w:rsidR="00BC5219" w:rsidRPr="00EF0C57" w:rsidRDefault="00BC5219" w:rsidP="00E83802">
            <w:pPr>
              <w:jc w:val="right"/>
              <w:outlineLvl w:val="0"/>
              <w:rPr>
                <w:rFonts w:ascii="Meta Pro" w:eastAsia="Times New Roman" w:hAnsi="Meta Pro"/>
                <w:b/>
                <w:bCs/>
                <w:szCs w:val="18"/>
                <w:lang w:eastAsia="en-AU"/>
              </w:rPr>
            </w:pPr>
            <w:r w:rsidRPr="00EF0C57">
              <w:rPr>
                <w:rFonts w:ascii="Meta Pro" w:eastAsia="Times New Roman" w:hAnsi="Meta Pro"/>
                <w:b/>
                <w:bCs/>
                <w:szCs w:val="18"/>
                <w:lang w:eastAsia="en-AU"/>
              </w:rPr>
              <w:t xml:space="preserve">1,379 </w:t>
            </w:r>
          </w:p>
        </w:tc>
      </w:tr>
      <w:tr w:rsidR="00BC5219" w:rsidRPr="00EF0C57" w14:paraId="33CCA8E7" w14:textId="77777777" w:rsidTr="00E83802">
        <w:trPr>
          <w:trHeight w:val="198"/>
        </w:trPr>
        <w:tc>
          <w:tcPr>
            <w:tcW w:w="6350" w:type="dxa"/>
            <w:tcBorders>
              <w:top w:val="nil"/>
              <w:left w:val="nil"/>
              <w:bottom w:val="nil"/>
              <w:right w:val="nil"/>
            </w:tcBorders>
            <w:shd w:val="clear" w:color="auto" w:fill="auto"/>
            <w:noWrap/>
            <w:vAlign w:val="center"/>
            <w:hideMark/>
          </w:tcPr>
          <w:p w14:paraId="0D3A949A" w14:textId="77777777" w:rsidR="00BC5219" w:rsidRPr="00EF0C57" w:rsidRDefault="00BC5219" w:rsidP="00E83802">
            <w:pPr>
              <w:outlineLvl w:val="0"/>
              <w:rPr>
                <w:rFonts w:ascii="Meta Pro" w:eastAsia="Times New Roman" w:hAnsi="Meta Pro"/>
                <w:b/>
                <w:bCs/>
                <w:szCs w:val="18"/>
                <w:lang w:eastAsia="en-AU"/>
              </w:rPr>
            </w:pPr>
            <w:r w:rsidRPr="00EF0C57">
              <w:rPr>
                <w:rFonts w:ascii="Meta Pro" w:eastAsia="Times New Roman" w:hAnsi="Meta Pro"/>
                <w:b/>
                <w:bCs/>
                <w:szCs w:val="18"/>
                <w:lang w:eastAsia="en-AU"/>
              </w:rPr>
              <w:t>Total liabilities</w:t>
            </w:r>
          </w:p>
        </w:tc>
        <w:tc>
          <w:tcPr>
            <w:tcW w:w="1156" w:type="dxa"/>
            <w:tcBorders>
              <w:top w:val="nil"/>
              <w:left w:val="nil"/>
              <w:bottom w:val="nil"/>
              <w:right w:val="nil"/>
            </w:tcBorders>
            <w:shd w:val="clear" w:color="auto" w:fill="auto"/>
            <w:noWrap/>
            <w:vAlign w:val="center"/>
            <w:hideMark/>
          </w:tcPr>
          <w:p w14:paraId="1B639AB5" w14:textId="77777777" w:rsidR="00BC5219" w:rsidRPr="00EF0C57" w:rsidRDefault="00BC5219" w:rsidP="00E83802">
            <w:pPr>
              <w:jc w:val="right"/>
              <w:outlineLvl w:val="0"/>
              <w:rPr>
                <w:rFonts w:ascii="Meta Pro" w:eastAsia="Times New Roman" w:hAnsi="Meta Pro"/>
                <w:b/>
                <w:bCs/>
                <w:szCs w:val="18"/>
                <w:lang w:eastAsia="en-AU"/>
              </w:rPr>
            </w:pPr>
            <w:r w:rsidRPr="00EF0C57">
              <w:rPr>
                <w:rFonts w:ascii="Meta Pro" w:eastAsia="Times New Roman" w:hAnsi="Meta Pro"/>
                <w:b/>
                <w:bCs/>
                <w:szCs w:val="18"/>
                <w:lang w:eastAsia="en-AU"/>
              </w:rPr>
              <w:t xml:space="preserve">237,443 </w:t>
            </w:r>
          </w:p>
        </w:tc>
        <w:tc>
          <w:tcPr>
            <w:tcW w:w="216" w:type="dxa"/>
            <w:tcBorders>
              <w:top w:val="nil"/>
              <w:left w:val="nil"/>
              <w:bottom w:val="nil"/>
              <w:right w:val="nil"/>
            </w:tcBorders>
            <w:shd w:val="clear" w:color="auto" w:fill="auto"/>
            <w:noWrap/>
            <w:vAlign w:val="center"/>
            <w:hideMark/>
          </w:tcPr>
          <w:p w14:paraId="5732E586" w14:textId="77777777" w:rsidR="00BC5219" w:rsidRPr="00EF0C57" w:rsidRDefault="00BC5219" w:rsidP="00E83802">
            <w:pPr>
              <w:outlineLvl w:val="0"/>
              <w:rPr>
                <w:rFonts w:ascii="Meta Pro" w:eastAsia="Times New Roman" w:hAnsi="Meta Pro"/>
                <w:szCs w:val="18"/>
                <w:lang w:eastAsia="en-AU"/>
              </w:rPr>
            </w:pPr>
            <w:r w:rsidRPr="00EF0C57">
              <w:rPr>
                <w:rFonts w:ascii="Meta Pro" w:eastAsia="Times New Roman" w:hAnsi="Meta Pro"/>
                <w:szCs w:val="18"/>
                <w:lang w:eastAsia="en-AU"/>
              </w:rPr>
              <w:t> </w:t>
            </w:r>
          </w:p>
        </w:tc>
        <w:tc>
          <w:tcPr>
            <w:tcW w:w="1156" w:type="dxa"/>
            <w:tcBorders>
              <w:top w:val="nil"/>
              <w:left w:val="nil"/>
              <w:bottom w:val="nil"/>
              <w:right w:val="nil"/>
            </w:tcBorders>
            <w:shd w:val="clear" w:color="auto" w:fill="auto"/>
            <w:noWrap/>
            <w:vAlign w:val="center"/>
            <w:hideMark/>
          </w:tcPr>
          <w:p w14:paraId="569C225D" w14:textId="77777777" w:rsidR="00BC5219" w:rsidRPr="00EF0C57" w:rsidRDefault="00BC5219" w:rsidP="00E83802">
            <w:pPr>
              <w:jc w:val="right"/>
              <w:outlineLvl w:val="0"/>
              <w:rPr>
                <w:rFonts w:ascii="Meta Pro" w:eastAsia="Times New Roman" w:hAnsi="Meta Pro"/>
                <w:b/>
                <w:bCs/>
                <w:szCs w:val="18"/>
                <w:lang w:eastAsia="en-AU"/>
              </w:rPr>
            </w:pPr>
            <w:r w:rsidRPr="00EF0C57">
              <w:rPr>
                <w:rFonts w:ascii="Meta Pro" w:eastAsia="Times New Roman" w:hAnsi="Meta Pro"/>
                <w:b/>
                <w:bCs/>
                <w:szCs w:val="18"/>
                <w:lang w:eastAsia="en-AU"/>
              </w:rPr>
              <w:t xml:space="preserve">241,205 </w:t>
            </w:r>
          </w:p>
        </w:tc>
        <w:tc>
          <w:tcPr>
            <w:tcW w:w="216" w:type="dxa"/>
            <w:tcBorders>
              <w:top w:val="nil"/>
              <w:left w:val="nil"/>
              <w:bottom w:val="nil"/>
              <w:right w:val="nil"/>
            </w:tcBorders>
            <w:shd w:val="clear" w:color="auto" w:fill="auto"/>
            <w:noWrap/>
            <w:vAlign w:val="center"/>
            <w:hideMark/>
          </w:tcPr>
          <w:p w14:paraId="3EDF3E13" w14:textId="77777777" w:rsidR="00BC5219" w:rsidRPr="00EF0C57" w:rsidRDefault="00BC5219" w:rsidP="00E83802">
            <w:pPr>
              <w:outlineLvl w:val="0"/>
              <w:rPr>
                <w:rFonts w:ascii="Meta Pro" w:eastAsia="Times New Roman" w:hAnsi="Meta Pro"/>
                <w:szCs w:val="18"/>
                <w:lang w:eastAsia="en-AU"/>
              </w:rPr>
            </w:pPr>
            <w:r w:rsidRPr="00EF0C57">
              <w:rPr>
                <w:rFonts w:ascii="Meta Pro" w:eastAsia="Times New Roman" w:hAnsi="Meta Pro"/>
                <w:szCs w:val="18"/>
                <w:lang w:eastAsia="en-AU"/>
              </w:rPr>
              <w:t> </w:t>
            </w:r>
          </w:p>
        </w:tc>
        <w:tc>
          <w:tcPr>
            <w:tcW w:w="1140" w:type="dxa"/>
            <w:tcBorders>
              <w:top w:val="nil"/>
              <w:left w:val="nil"/>
              <w:bottom w:val="nil"/>
              <w:right w:val="nil"/>
            </w:tcBorders>
            <w:shd w:val="clear" w:color="auto" w:fill="auto"/>
            <w:noWrap/>
            <w:vAlign w:val="center"/>
            <w:hideMark/>
          </w:tcPr>
          <w:p w14:paraId="155D3526" w14:textId="77777777" w:rsidR="00BC5219" w:rsidRPr="00EF0C57" w:rsidRDefault="00BC5219" w:rsidP="00E83802">
            <w:pPr>
              <w:jc w:val="right"/>
              <w:outlineLvl w:val="0"/>
              <w:rPr>
                <w:rFonts w:ascii="Meta Pro" w:eastAsia="Times New Roman" w:hAnsi="Meta Pro"/>
                <w:b/>
                <w:bCs/>
                <w:szCs w:val="18"/>
                <w:lang w:eastAsia="en-AU"/>
              </w:rPr>
            </w:pPr>
            <w:r w:rsidRPr="00EF0C57">
              <w:rPr>
                <w:rFonts w:ascii="Meta Pro" w:eastAsia="Times New Roman" w:hAnsi="Meta Pro"/>
                <w:b/>
                <w:bCs/>
                <w:szCs w:val="18"/>
                <w:lang w:eastAsia="en-AU"/>
              </w:rPr>
              <w:t xml:space="preserve">3,762 </w:t>
            </w:r>
          </w:p>
        </w:tc>
      </w:tr>
      <w:tr w:rsidR="00BC5219" w:rsidRPr="00EF0C57" w14:paraId="302EAD9F" w14:textId="77777777" w:rsidTr="00E83802">
        <w:trPr>
          <w:trHeight w:val="270"/>
        </w:trPr>
        <w:tc>
          <w:tcPr>
            <w:tcW w:w="6350" w:type="dxa"/>
            <w:tcBorders>
              <w:top w:val="single" w:sz="4" w:space="0" w:color="auto"/>
              <w:left w:val="nil"/>
              <w:bottom w:val="nil"/>
              <w:right w:val="nil"/>
            </w:tcBorders>
            <w:shd w:val="clear" w:color="auto" w:fill="auto"/>
            <w:noWrap/>
            <w:vAlign w:val="center"/>
            <w:hideMark/>
          </w:tcPr>
          <w:p w14:paraId="4D78854D" w14:textId="77777777" w:rsidR="00BC5219" w:rsidRPr="00EF0C57" w:rsidRDefault="00BC5219" w:rsidP="00E83802">
            <w:pPr>
              <w:outlineLvl w:val="0"/>
              <w:rPr>
                <w:rFonts w:ascii="Meta Pro" w:eastAsia="Times New Roman" w:hAnsi="Meta Pro"/>
                <w:b/>
                <w:bCs/>
                <w:szCs w:val="18"/>
                <w:lang w:eastAsia="en-AU"/>
              </w:rPr>
            </w:pPr>
            <w:r w:rsidRPr="00EF0C57">
              <w:rPr>
                <w:rFonts w:ascii="Meta Pro" w:eastAsia="Times New Roman" w:hAnsi="Meta Pro"/>
                <w:b/>
                <w:bCs/>
                <w:szCs w:val="18"/>
                <w:lang w:eastAsia="en-AU"/>
              </w:rPr>
              <w:t> </w:t>
            </w:r>
          </w:p>
        </w:tc>
        <w:tc>
          <w:tcPr>
            <w:tcW w:w="1156" w:type="dxa"/>
            <w:tcBorders>
              <w:top w:val="single" w:sz="4" w:space="0" w:color="auto"/>
              <w:left w:val="nil"/>
              <w:bottom w:val="nil"/>
              <w:right w:val="nil"/>
            </w:tcBorders>
            <w:shd w:val="clear" w:color="auto" w:fill="auto"/>
            <w:noWrap/>
            <w:vAlign w:val="center"/>
            <w:hideMark/>
          </w:tcPr>
          <w:p w14:paraId="239EBD95" w14:textId="77777777" w:rsidR="00BC5219" w:rsidRPr="00EF0C57" w:rsidRDefault="00BC5219" w:rsidP="00E83802">
            <w:pPr>
              <w:outlineLvl w:val="0"/>
              <w:rPr>
                <w:rFonts w:ascii="Meta Pro" w:eastAsia="Times New Roman" w:hAnsi="Meta Pro"/>
                <w:b/>
                <w:bCs/>
                <w:szCs w:val="18"/>
                <w:lang w:eastAsia="en-AU"/>
              </w:rPr>
            </w:pPr>
            <w:r w:rsidRPr="00EF0C57">
              <w:rPr>
                <w:rFonts w:ascii="Meta Pro" w:eastAsia="Times New Roman" w:hAnsi="Meta Pro"/>
                <w:b/>
                <w:bCs/>
                <w:szCs w:val="18"/>
                <w:lang w:eastAsia="en-AU"/>
              </w:rPr>
              <w:t> </w:t>
            </w:r>
          </w:p>
        </w:tc>
        <w:tc>
          <w:tcPr>
            <w:tcW w:w="216" w:type="dxa"/>
            <w:tcBorders>
              <w:top w:val="single" w:sz="4" w:space="0" w:color="auto"/>
              <w:left w:val="nil"/>
              <w:bottom w:val="nil"/>
              <w:right w:val="nil"/>
            </w:tcBorders>
            <w:shd w:val="clear" w:color="auto" w:fill="auto"/>
            <w:noWrap/>
            <w:vAlign w:val="center"/>
            <w:hideMark/>
          </w:tcPr>
          <w:p w14:paraId="1BDBB21B" w14:textId="77777777" w:rsidR="00BC5219" w:rsidRPr="00EF0C57" w:rsidRDefault="00BC5219" w:rsidP="00E83802">
            <w:pPr>
              <w:outlineLvl w:val="0"/>
              <w:rPr>
                <w:rFonts w:ascii="Meta Pro" w:eastAsia="Times New Roman" w:hAnsi="Meta Pro"/>
                <w:szCs w:val="18"/>
                <w:lang w:eastAsia="en-AU"/>
              </w:rPr>
            </w:pPr>
            <w:r w:rsidRPr="00EF0C57">
              <w:rPr>
                <w:rFonts w:ascii="Meta Pro" w:eastAsia="Times New Roman" w:hAnsi="Meta Pro"/>
                <w:szCs w:val="18"/>
                <w:lang w:eastAsia="en-AU"/>
              </w:rPr>
              <w:t> </w:t>
            </w:r>
          </w:p>
        </w:tc>
        <w:tc>
          <w:tcPr>
            <w:tcW w:w="1156" w:type="dxa"/>
            <w:tcBorders>
              <w:top w:val="single" w:sz="4" w:space="0" w:color="auto"/>
              <w:left w:val="nil"/>
              <w:bottom w:val="nil"/>
              <w:right w:val="nil"/>
            </w:tcBorders>
            <w:shd w:val="clear" w:color="auto" w:fill="auto"/>
            <w:noWrap/>
            <w:vAlign w:val="center"/>
            <w:hideMark/>
          </w:tcPr>
          <w:p w14:paraId="564C7965" w14:textId="77777777" w:rsidR="00BC5219" w:rsidRPr="00EF0C57" w:rsidRDefault="00BC5219" w:rsidP="00E83802">
            <w:pPr>
              <w:outlineLvl w:val="0"/>
              <w:rPr>
                <w:rFonts w:ascii="Meta Pro" w:eastAsia="Times New Roman" w:hAnsi="Meta Pro"/>
                <w:b/>
                <w:bCs/>
                <w:szCs w:val="18"/>
                <w:lang w:eastAsia="en-AU"/>
              </w:rPr>
            </w:pPr>
            <w:r w:rsidRPr="00EF0C57">
              <w:rPr>
                <w:rFonts w:ascii="Meta Pro" w:eastAsia="Times New Roman" w:hAnsi="Meta Pro"/>
                <w:b/>
                <w:bCs/>
                <w:szCs w:val="18"/>
                <w:lang w:eastAsia="en-AU"/>
              </w:rPr>
              <w:t> </w:t>
            </w:r>
          </w:p>
        </w:tc>
        <w:tc>
          <w:tcPr>
            <w:tcW w:w="216" w:type="dxa"/>
            <w:tcBorders>
              <w:top w:val="single" w:sz="4" w:space="0" w:color="auto"/>
              <w:left w:val="nil"/>
              <w:bottom w:val="nil"/>
              <w:right w:val="nil"/>
            </w:tcBorders>
            <w:shd w:val="clear" w:color="auto" w:fill="auto"/>
            <w:noWrap/>
            <w:vAlign w:val="center"/>
            <w:hideMark/>
          </w:tcPr>
          <w:p w14:paraId="4ED9EB63" w14:textId="77777777" w:rsidR="00BC5219" w:rsidRPr="00EF0C57" w:rsidRDefault="00BC5219" w:rsidP="00E83802">
            <w:pPr>
              <w:outlineLvl w:val="0"/>
              <w:rPr>
                <w:rFonts w:ascii="Meta Pro" w:eastAsia="Times New Roman" w:hAnsi="Meta Pro"/>
                <w:szCs w:val="18"/>
                <w:lang w:eastAsia="en-AU"/>
              </w:rPr>
            </w:pPr>
            <w:r w:rsidRPr="00EF0C57">
              <w:rPr>
                <w:rFonts w:ascii="Meta Pro" w:eastAsia="Times New Roman" w:hAnsi="Meta Pro"/>
                <w:szCs w:val="18"/>
                <w:lang w:eastAsia="en-AU"/>
              </w:rPr>
              <w:t> </w:t>
            </w:r>
          </w:p>
        </w:tc>
        <w:tc>
          <w:tcPr>
            <w:tcW w:w="1140" w:type="dxa"/>
            <w:tcBorders>
              <w:top w:val="single" w:sz="4" w:space="0" w:color="auto"/>
              <w:left w:val="nil"/>
              <w:bottom w:val="nil"/>
              <w:right w:val="nil"/>
            </w:tcBorders>
            <w:shd w:val="clear" w:color="auto" w:fill="auto"/>
            <w:noWrap/>
            <w:vAlign w:val="center"/>
            <w:hideMark/>
          </w:tcPr>
          <w:p w14:paraId="19280AAF" w14:textId="77777777" w:rsidR="00BC5219" w:rsidRPr="00EF0C57" w:rsidRDefault="00BC5219" w:rsidP="00E83802">
            <w:pPr>
              <w:outlineLvl w:val="0"/>
              <w:rPr>
                <w:rFonts w:ascii="Meta Pro" w:eastAsia="Times New Roman" w:hAnsi="Meta Pro"/>
                <w:b/>
                <w:bCs/>
                <w:szCs w:val="18"/>
                <w:lang w:eastAsia="en-AU"/>
              </w:rPr>
            </w:pPr>
            <w:r w:rsidRPr="00EF0C57">
              <w:rPr>
                <w:rFonts w:ascii="Meta Pro" w:eastAsia="Times New Roman" w:hAnsi="Meta Pro"/>
                <w:b/>
                <w:bCs/>
                <w:szCs w:val="18"/>
                <w:lang w:eastAsia="en-AU"/>
              </w:rPr>
              <w:t> </w:t>
            </w:r>
          </w:p>
        </w:tc>
      </w:tr>
      <w:tr w:rsidR="00BC5219" w:rsidRPr="00EF0C57" w14:paraId="56A8EEFD" w14:textId="77777777" w:rsidTr="00E83802">
        <w:trPr>
          <w:trHeight w:val="198"/>
        </w:trPr>
        <w:tc>
          <w:tcPr>
            <w:tcW w:w="6350" w:type="dxa"/>
            <w:tcBorders>
              <w:top w:val="single" w:sz="4" w:space="0" w:color="auto"/>
              <w:left w:val="nil"/>
              <w:bottom w:val="double" w:sz="6" w:space="0" w:color="auto"/>
              <w:right w:val="nil"/>
            </w:tcBorders>
            <w:shd w:val="clear" w:color="auto" w:fill="auto"/>
            <w:noWrap/>
            <w:vAlign w:val="center"/>
            <w:hideMark/>
          </w:tcPr>
          <w:p w14:paraId="09C782A2" w14:textId="77777777" w:rsidR="00BC5219" w:rsidRPr="00EF0C57" w:rsidRDefault="00BC5219" w:rsidP="00E83802">
            <w:pPr>
              <w:outlineLvl w:val="0"/>
              <w:rPr>
                <w:rFonts w:ascii="Meta Pro" w:eastAsia="Times New Roman" w:hAnsi="Meta Pro"/>
                <w:b/>
                <w:bCs/>
                <w:szCs w:val="18"/>
                <w:lang w:eastAsia="en-AU"/>
              </w:rPr>
            </w:pPr>
            <w:r w:rsidRPr="00EF0C57">
              <w:rPr>
                <w:rFonts w:ascii="Meta Pro" w:eastAsia="Times New Roman" w:hAnsi="Meta Pro"/>
                <w:b/>
                <w:bCs/>
                <w:szCs w:val="18"/>
                <w:lang w:eastAsia="en-AU"/>
              </w:rPr>
              <w:t>NET ADMINISTERED ASSETS</w:t>
            </w:r>
          </w:p>
        </w:tc>
        <w:tc>
          <w:tcPr>
            <w:tcW w:w="1156" w:type="dxa"/>
            <w:tcBorders>
              <w:top w:val="single" w:sz="4" w:space="0" w:color="auto"/>
              <w:left w:val="nil"/>
              <w:bottom w:val="double" w:sz="6" w:space="0" w:color="auto"/>
              <w:right w:val="nil"/>
            </w:tcBorders>
            <w:shd w:val="clear" w:color="auto" w:fill="auto"/>
            <w:noWrap/>
            <w:vAlign w:val="center"/>
            <w:hideMark/>
          </w:tcPr>
          <w:p w14:paraId="45EB3A79" w14:textId="77777777" w:rsidR="00BC5219" w:rsidRPr="00EF0C57" w:rsidRDefault="00BC5219" w:rsidP="00E83802">
            <w:pPr>
              <w:jc w:val="right"/>
              <w:outlineLvl w:val="0"/>
              <w:rPr>
                <w:rFonts w:ascii="Meta Pro" w:eastAsia="Times New Roman" w:hAnsi="Meta Pro"/>
                <w:b/>
                <w:bCs/>
                <w:szCs w:val="18"/>
                <w:lang w:eastAsia="en-AU"/>
              </w:rPr>
            </w:pPr>
            <w:r w:rsidRPr="00EF0C57">
              <w:rPr>
                <w:rFonts w:ascii="Meta Pro" w:eastAsia="Times New Roman" w:hAnsi="Meta Pro"/>
                <w:b/>
                <w:bCs/>
                <w:szCs w:val="18"/>
                <w:lang w:eastAsia="en-AU"/>
              </w:rPr>
              <w:t xml:space="preserve">110,925 </w:t>
            </w:r>
          </w:p>
        </w:tc>
        <w:tc>
          <w:tcPr>
            <w:tcW w:w="216" w:type="dxa"/>
            <w:tcBorders>
              <w:top w:val="single" w:sz="4" w:space="0" w:color="auto"/>
              <w:left w:val="nil"/>
              <w:bottom w:val="double" w:sz="6" w:space="0" w:color="auto"/>
              <w:right w:val="nil"/>
            </w:tcBorders>
            <w:shd w:val="clear" w:color="auto" w:fill="auto"/>
            <w:noWrap/>
            <w:vAlign w:val="center"/>
            <w:hideMark/>
          </w:tcPr>
          <w:p w14:paraId="6C2F0195" w14:textId="77777777" w:rsidR="00BC5219" w:rsidRPr="00EF0C57" w:rsidRDefault="00BC5219" w:rsidP="00E83802">
            <w:pPr>
              <w:jc w:val="right"/>
              <w:outlineLvl w:val="0"/>
              <w:rPr>
                <w:rFonts w:ascii="Meta Pro" w:eastAsia="Times New Roman" w:hAnsi="Meta Pro"/>
                <w:szCs w:val="18"/>
                <w:lang w:eastAsia="en-AU"/>
              </w:rPr>
            </w:pPr>
            <w:r w:rsidRPr="00EF0C57">
              <w:rPr>
                <w:rFonts w:ascii="Meta Pro" w:eastAsia="Times New Roman" w:hAnsi="Meta Pro"/>
                <w:szCs w:val="18"/>
                <w:lang w:eastAsia="en-AU"/>
              </w:rPr>
              <w:t> </w:t>
            </w:r>
          </w:p>
        </w:tc>
        <w:tc>
          <w:tcPr>
            <w:tcW w:w="1156" w:type="dxa"/>
            <w:tcBorders>
              <w:top w:val="single" w:sz="4" w:space="0" w:color="auto"/>
              <w:left w:val="nil"/>
              <w:bottom w:val="double" w:sz="6" w:space="0" w:color="auto"/>
              <w:right w:val="nil"/>
            </w:tcBorders>
            <w:shd w:val="clear" w:color="auto" w:fill="auto"/>
            <w:noWrap/>
            <w:vAlign w:val="center"/>
            <w:hideMark/>
          </w:tcPr>
          <w:p w14:paraId="625C91DC" w14:textId="77777777" w:rsidR="00BC5219" w:rsidRPr="00EF0C57" w:rsidRDefault="00BC5219" w:rsidP="00E83802">
            <w:pPr>
              <w:jc w:val="right"/>
              <w:outlineLvl w:val="0"/>
              <w:rPr>
                <w:rFonts w:ascii="Meta Pro" w:eastAsia="Times New Roman" w:hAnsi="Meta Pro"/>
                <w:b/>
                <w:bCs/>
                <w:szCs w:val="18"/>
                <w:lang w:eastAsia="en-AU"/>
              </w:rPr>
            </w:pPr>
            <w:r w:rsidRPr="00EF0C57">
              <w:rPr>
                <w:rFonts w:ascii="Meta Pro" w:eastAsia="Times New Roman" w:hAnsi="Meta Pro"/>
                <w:b/>
                <w:bCs/>
                <w:szCs w:val="18"/>
                <w:lang w:eastAsia="en-AU"/>
              </w:rPr>
              <w:t xml:space="preserve">138,263 </w:t>
            </w:r>
          </w:p>
        </w:tc>
        <w:tc>
          <w:tcPr>
            <w:tcW w:w="216" w:type="dxa"/>
            <w:tcBorders>
              <w:top w:val="single" w:sz="4" w:space="0" w:color="auto"/>
              <w:left w:val="nil"/>
              <w:bottom w:val="double" w:sz="6" w:space="0" w:color="auto"/>
              <w:right w:val="nil"/>
            </w:tcBorders>
            <w:shd w:val="clear" w:color="auto" w:fill="auto"/>
            <w:noWrap/>
            <w:vAlign w:val="center"/>
            <w:hideMark/>
          </w:tcPr>
          <w:p w14:paraId="145491F2" w14:textId="77777777" w:rsidR="00BC5219" w:rsidRPr="00EF0C57" w:rsidRDefault="00BC5219" w:rsidP="00E83802">
            <w:pPr>
              <w:jc w:val="right"/>
              <w:outlineLvl w:val="0"/>
              <w:rPr>
                <w:rFonts w:ascii="Meta Pro" w:eastAsia="Times New Roman" w:hAnsi="Meta Pro"/>
                <w:szCs w:val="18"/>
                <w:lang w:eastAsia="en-AU"/>
              </w:rPr>
            </w:pPr>
            <w:r w:rsidRPr="00EF0C57">
              <w:rPr>
                <w:rFonts w:ascii="Meta Pro" w:eastAsia="Times New Roman" w:hAnsi="Meta Pro"/>
                <w:szCs w:val="18"/>
                <w:lang w:eastAsia="en-AU"/>
              </w:rPr>
              <w:t> </w:t>
            </w:r>
          </w:p>
        </w:tc>
        <w:tc>
          <w:tcPr>
            <w:tcW w:w="1140" w:type="dxa"/>
            <w:tcBorders>
              <w:top w:val="single" w:sz="4" w:space="0" w:color="auto"/>
              <w:left w:val="nil"/>
              <w:bottom w:val="double" w:sz="6" w:space="0" w:color="auto"/>
              <w:right w:val="nil"/>
            </w:tcBorders>
            <w:shd w:val="clear" w:color="auto" w:fill="auto"/>
            <w:noWrap/>
            <w:vAlign w:val="center"/>
            <w:hideMark/>
          </w:tcPr>
          <w:p w14:paraId="0B6FAF68" w14:textId="77777777" w:rsidR="00BC5219" w:rsidRPr="00EF0C57" w:rsidRDefault="00BC5219" w:rsidP="00E83802">
            <w:pPr>
              <w:jc w:val="right"/>
              <w:outlineLvl w:val="0"/>
              <w:rPr>
                <w:rFonts w:ascii="Meta Pro" w:eastAsia="Times New Roman" w:hAnsi="Meta Pro"/>
                <w:b/>
                <w:bCs/>
                <w:szCs w:val="18"/>
                <w:lang w:eastAsia="en-AU"/>
              </w:rPr>
            </w:pPr>
            <w:r w:rsidRPr="00EF0C57">
              <w:rPr>
                <w:rFonts w:ascii="Meta Pro" w:eastAsia="Times New Roman" w:hAnsi="Meta Pro"/>
                <w:b/>
                <w:bCs/>
                <w:szCs w:val="18"/>
                <w:lang w:eastAsia="en-AU"/>
              </w:rPr>
              <w:t xml:space="preserve">27,338 </w:t>
            </w:r>
          </w:p>
        </w:tc>
      </w:tr>
      <w:tr w:rsidR="00BC5219" w:rsidRPr="00EF0C57" w14:paraId="12117B99" w14:textId="77777777" w:rsidTr="00E83802">
        <w:trPr>
          <w:trHeight w:val="198"/>
        </w:trPr>
        <w:tc>
          <w:tcPr>
            <w:tcW w:w="6350" w:type="dxa"/>
            <w:tcBorders>
              <w:top w:val="nil"/>
              <w:left w:val="nil"/>
              <w:bottom w:val="nil"/>
              <w:right w:val="nil"/>
            </w:tcBorders>
            <w:shd w:val="clear" w:color="auto" w:fill="auto"/>
            <w:noWrap/>
            <w:vAlign w:val="center"/>
            <w:hideMark/>
          </w:tcPr>
          <w:p w14:paraId="29E54152" w14:textId="77777777" w:rsidR="00BC5219" w:rsidRPr="00EF0C57" w:rsidRDefault="00BC5219" w:rsidP="00E83802">
            <w:pPr>
              <w:jc w:val="right"/>
              <w:outlineLvl w:val="0"/>
              <w:rPr>
                <w:rFonts w:ascii="Meta Pro" w:eastAsia="Times New Roman" w:hAnsi="Meta Pro"/>
                <w:b/>
                <w:bCs/>
                <w:szCs w:val="18"/>
                <w:lang w:eastAsia="en-AU"/>
              </w:rPr>
            </w:pPr>
          </w:p>
        </w:tc>
        <w:tc>
          <w:tcPr>
            <w:tcW w:w="1156" w:type="dxa"/>
            <w:tcBorders>
              <w:top w:val="nil"/>
              <w:left w:val="nil"/>
              <w:bottom w:val="nil"/>
              <w:right w:val="nil"/>
            </w:tcBorders>
            <w:shd w:val="clear" w:color="auto" w:fill="auto"/>
            <w:noWrap/>
            <w:vAlign w:val="center"/>
            <w:hideMark/>
          </w:tcPr>
          <w:p w14:paraId="5B079F5C" w14:textId="77777777" w:rsidR="00BC5219" w:rsidRPr="00EF0C57" w:rsidRDefault="00BC5219" w:rsidP="00E83802">
            <w:pPr>
              <w:outlineLvl w:val="0"/>
              <w:rPr>
                <w:rFonts w:ascii="Times New Roman" w:eastAsia="Times New Roman" w:hAnsi="Times New Roman"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4E796B95" w14:textId="77777777" w:rsidR="00BC5219" w:rsidRPr="00EF0C57" w:rsidRDefault="00BC5219" w:rsidP="00E83802">
            <w:pPr>
              <w:outlineLvl w:val="0"/>
              <w:rPr>
                <w:rFonts w:ascii="Times New Roman" w:eastAsia="Times New Roman" w:hAnsi="Times New Roman" w:cs="Times New Roman"/>
                <w:sz w:val="20"/>
                <w:szCs w:val="20"/>
                <w:lang w:eastAsia="en-AU"/>
              </w:rPr>
            </w:pPr>
          </w:p>
        </w:tc>
        <w:tc>
          <w:tcPr>
            <w:tcW w:w="1156" w:type="dxa"/>
            <w:tcBorders>
              <w:top w:val="nil"/>
              <w:left w:val="nil"/>
              <w:bottom w:val="nil"/>
              <w:right w:val="nil"/>
            </w:tcBorders>
            <w:shd w:val="clear" w:color="auto" w:fill="auto"/>
            <w:noWrap/>
            <w:vAlign w:val="center"/>
            <w:hideMark/>
          </w:tcPr>
          <w:p w14:paraId="232100D5" w14:textId="77777777" w:rsidR="00BC5219" w:rsidRPr="00EF0C57" w:rsidRDefault="00BC5219" w:rsidP="00E83802">
            <w:pPr>
              <w:outlineLvl w:val="0"/>
              <w:rPr>
                <w:rFonts w:ascii="Times New Roman" w:eastAsia="Times New Roman" w:hAnsi="Times New Roman" w:cs="Times New Roman"/>
                <w:sz w:val="20"/>
                <w:szCs w:val="20"/>
                <w:lang w:eastAsia="en-AU"/>
              </w:rPr>
            </w:pPr>
          </w:p>
        </w:tc>
        <w:tc>
          <w:tcPr>
            <w:tcW w:w="216" w:type="dxa"/>
            <w:tcBorders>
              <w:top w:val="nil"/>
              <w:left w:val="nil"/>
              <w:bottom w:val="nil"/>
              <w:right w:val="nil"/>
            </w:tcBorders>
            <w:shd w:val="clear" w:color="auto" w:fill="auto"/>
            <w:noWrap/>
            <w:vAlign w:val="center"/>
            <w:hideMark/>
          </w:tcPr>
          <w:p w14:paraId="4429ACB7" w14:textId="77777777" w:rsidR="00BC5219" w:rsidRPr="00EF0C57" w:rsidRDefault="00BC5219" w:rsidP="00E83802">
            <w:pPr>
              <w:jc w:val="right"/>
              <w:outlineLvl w:val="0"/>
              <w:rPr>
                <w:rFonts w:ascii="Times New Roman" w:eastAsia="Times New Roman" w:hAnsi="Times New Roman" w:cs="Times New Roman"/>
                <w:sz w:val="20"/>
                <w:szCs w:val="20"/>
                <w:lang w:eastAsia="en-AU"/>
              </w:rPr>
            </w:pPr>
          </w:p>
        </w:tc>
        <w:tc>
          <w:tcPr>
            <w:tcW w:w="1140" w:type="dxa"/>
            <w:tcBorders>
              <w:top w:val="nil"/>
              <w:left w:val="nil"/>
              <w:bottom w:val="nil"/>
              <w:right w:val="nil"/>
            </w:tcBorders>
            <w:shd w:val="clear" w:color="auto" w:fill="auto"/>
            <w:noWrap/>
            <w:vAlign w:val="center"/>
            <w:hideMark/>
          </w:tcPr>
          <w:p w14:paraId="0DD3D14F" w14:textId="77777777" w:rsidR="00BC5219" w:rsidRPr="00EF0C57" w:rsidRDefault="00BC5219" w:rsidP="00E83802">
            <w:pPr>
              <w:outlineLvl w:val="0"/>
              <w:rPr>
                <w:rFonts w:ascii="Times New Roman" w:eastAsia="Times New Roman" w:hAnsi="Times New Roman" w:cs="Times New Roman"/>
                <w:sz w:val="20"/>
                <w:szCs w:val="20"/>
                <w:lang w:eastAsia="en-AU"/>
              </w:rPr>
            </w:pPr>
          </w:p>
        </w:tc>
      </w:tr>
      <w:tr w:rsidR="00BC5219" w:rsidRPr="00EF0C57" w14:paraId="2DCF8558" w14:textId="77777777" w:rsidTr="00E83802">
        <w:trPr>
          <w:trHeight w:val="198"/>
        </w:trPr>
        <w:tc>
          <w:tcPr>
            <w:tcW w:w="6350" w:type="dxa"/>
            <w:tcBorders>
              <w:top w:val="single" w:sz="4" w:space="0" w:color="auto"/>
              <w:left w:val="nil"/>
              <w:bottom w:val="double" w:sz="6" w:space="0" w:color="auto"/>
              <w:right w:val="nil"/>
            </w:tcBorders>
            <w:shd w:val="clear" w:color="auto" w:fill="auto"/>
            <w:noWrap/>
            <w:vAlign w:val="center"/>
            <w:hideMark/>
          </w:tcPr>
          <w:p w14:paraId="43BF6364" w14:textId="77777777" w:rsidR="00BC5219" w:rsidRPr="00EF0C57" w:rsidRDefault="00BC5219" w:rsidP="00E83802">
            <w:pPr>
              <w:outlineLvl w:val="0"/>
              <w:rPr>
                <w:rFonts w:ascii="Meta Pro" w:eastAsia="Times New Roman" w:hAnsi="Meta Pro"/>
                <w:b/>
                <w:bCs/>
                <w:szCs w:val="18"/>
                <w:lang w:eastAsia="en-AU"/>
              </w:rPr>
            </w:pPr>
            <w:r w:rsidRPr="00EF0C57">
              <w:rPr>
                <w:rFonts w:ascii="Meta Pro" w:eastAsia="Times New Roman" w:hAnsi="Meta Pro"/>
                <w:b/>
                <w:bCs/>
                <w:szCs w:val="18"/>
                <w:lang w:eastAsia="en-AU"/>
              </w:rPr>
              <w:t>TOTAL ADMINISTERED EQUITY</w:t>
            </w:r>
          </w:p>
        </w:tc>
        <w:tc>
          <w:tcPr>
            <w:tcW w:w="1156" w:type="dxa"/>
            <w:tcBorders>
              <w:top w:val="single" w:sz="4" w:space="0" w:color="auto"/>
              <w:left w:val="nil"/>
              <w:bottom w:val="double" w:sz="6" w:space="0" w:color="auto"/>
              <w:right w:val="nil"/>
            </w:tcBorders>
            <w:shd w:val="clear" w:color="auto" w:fill="auto"/>
            <w:noWrap/>
            <w:vAlign w:val="center"/>
            <w:hideMark/>
          </w:tcPr>
          <w:p w14:paraId="2054BFC2" w14:textId="77777777" w:rsidR="00BC5219" w:rsidRPr="00EF0C57" w:rsidRDefault="00BC5219" w:rsidP="00E83802">
            <w:pPr>
              <w:jc w:val="right"/>
              <w:outlineLvl w:val="0"/>
              <w:rPr>
                <w:rFonts w:ascii="Meta Pro" w:eastAsia="Times New Roman" w:hAnsi="Meta Pro"/>
                <w:b/>
                <w:bCs/>
                <w:szCs w:val="18"/>
                <w:lang w:eastAsia="en-AU"/>
              </w:rPr>
            </w:pPr>
            <w:r w:rsidRPr="00EF0C57">
              <w:rPr>
                <w:rFonts w:ascii="Meta Pro" w:eastAsia="Times New Roman" w:hAnsi="Meta Pro"/>
                <w:b/>
                <w:bCs/>
                <w:szCs w:val="18"/>
                <w:lang w:eastAsia="en-AU"/>
              </w:rPr>
              <w:t xml:space="preserve">110,925 </w:t>
            </w:r>
          </w:p>
        </w:tc>
        <w:tc>
          <w:tcPr>
            <w:tcW w:w="216" w:type="dxa"/>
            <w:tcBorders>
              <w:top w:val="single" w:sz="4" w:space="0" w:color="auto"/>
              <w:left w:val="nil"/>
              <w:bottom w:val="double" w:sz="6" w:space="0" w:color="auto"/>
              <w:right w:val="nil"/>
            </w:tcBorders>
            <w:shd w:val="clear" w:color="auto" w:fill="auto"/>
            <w:noWrap/>
            <w:vAlign w:val="center"/>
            <w:hideMark/>
          </w:tcPr>
          <w:p w14:paraId="6E4D3371" w14:textId="77777777" w:rsidR="00BC5219" w:rsidRPr="00EF0C57" w:rsidRDefault="00BC5219" w:rsidP="00E83802">
            <w:pPr>
              <w:jc w:val="right"/>
              <w:outlineLvl w:val="0"/>
              <w:rPr>
                <w:rFonts w:ascii="Meta Pro" w:eastAsia="Times New Roman" w:hAnsi="Meta Pro"/>
                <w:szCs w:val="18"/>
                <w:lang w:eastAsia="en-AU"/>
              </w:rPr>
            </w:pPr>
            <w:r w:rsidRPr="00EF0C57">
              <w:rPr>
                <w:rFonts w:ascii="Meta Pro" w:eastAsia="Times New Roman" w:hAnsi="Meta Pro"/>
                <w:szCs w:val="18"/>
                <w:lang w:eastAsia="en-AU"/>
              </w:rPr>
              <w:t> </w:t>
            </w:r>
          </w:p>
        </w:tc>
        <w:tc>
          <w:tcPr>
            <w:tcW w:w="1156" w:type="dxa"/>
            <w:tcBorders>
              <w:top w:val="single" w:sz="4" w:space="0" w:color="auto"/>
              <w:left w:val="nil"/>
              <w:bottom w:val="double" w:sz="6" w:space="0" w:color="auto"/>
              <w:right w:val="nil"/>
            </w:tcBorders>
            <w:shd w:val="clear" w:color="auto" w:fill="auto"/>
            <w:noWrap/>
            <w:vAlign w:val="center"/>
            <w:hideMark/>
          </w:tcPr>
          <w:p w14:paraId="22BB5835" w14:textId="77777777" w:rsidR="00BC5219" w:rsidRPr="00EF0C57" w:rsidRDefault="00BC5219" w:rsidP="00E83802">
            <w:pPr>
              <w:jc w:val="right"/>
              <w:outlineLvl w:val="0"/>
              <w:rPr>
                <w:rFonts w:ascii="Meta Pro" w:eastAsia="Times New Roman" w:hAnsi="Meta Pro"/>
                <w:b/>
                <w:bCs/>
                <w:szCs w:val="18"/>
                <w:lang w:eastAsia="en-AU"/>
              </w:rPr>
            </w:pPr>
            <w:r w:rsidRPr="00EF0C57">
              <w:rPr>
                <w:rFonts w:ascii="Meta Pro" w:eastAsia="Times New Roman" w:hAnsi="Meta Pro"/>
                <w:b/>
                <w:bCs/>
                <w:szCs w:val="18"/>
                <w:lang w:eastAsia="en-AU"/>
              </w:rPr>
              <w:t xml:space="preserve">138,263 </w:t>
            </w:r>
          </w:p>
        </w:tc>
        <w:tc>
          <w:tcPr>
            <w:tcW w:w="216" w:type="dxa"/>
            <w:tcBorders>
              <w:top w:val="single" w:sz="4" w:space="0" w:color="auto"/>
              <w:left w:val="nil"/>
              <w:bottom w:val="double" w:sz="6" w:space="0" w:color="auto"/>
              <w:right w:val="nil"/>
            </w:tcBorders>
            <w:shd w:val="clear" w:color="auto" w:fill="auto"/>
            <w:noWrap/>
            <w:vAlign w:val="center"/>
            <w:hideMark/>
          </w:tcPr>
          <w:p w14:paraId="0833C14C" w14:textId="77777777" w:rsidR="00BC5219" w:rsidRPr="00EF0C57" w:rsidRDefault="00BC5219" w:rsidP="00E83802">
            <w:pPr>
              <w:jc w:val="right"/>
              <w:outlineLvl w:val="0"/>
              <w:rPr>
                <w:rFonts w:ascii="Meta Pro" w:eastAsia="Times New Roman" w:hAnsi="Meta Pro"/>
                <w:szCs w:val="18"/>
                <w:lang w:eastAsia="en-AU"/>
              </w:rPr>
            </w:pPr>
            <w:r w:rsidRPr="00EF0C57">
              <w:rPr>
                <w:rFonts w:ascii="Meta Pro" w:eastAsia="Times New Roman" w:hAnsi="Meta Pro"/>
                <w:szCs w:val="18"/>
                <w:lang w:eastAsia="en-AU"/>
              </w:rPr>
              <w:t> </w:t>
            </w:r>
          </w:p>
        </w:tc>
        <w:tc>
          <w:tcPr>
            <w:tcW w:w="1140" w:type="dxa"/>
            <w:tcBorders>
              <w:top w:val="single" w:sz="4" w:space="0" w:color="auto"/>
              <w:left w:val="nil"/>
              <w:bottom w:val="double" w:sz="6" w:space="0" w:color="auto"/>
              <w:right w:val="nil"/>
            </w:tcBorders>
            <w:shd w:val="clear" w:color="auto" w:fill="auto"/>
            <w:noWrap/>
            <w:vAlign w:val="center"/>
            <w:hideMark/>
          </w:tcPr>
          <w:p w14:paraId="448B447F" w14:textId="77777777" w:rsidR="00BC5219" w:rsidRPr="00EF0C57" w:rsidRDefault="00BC5219" w:rsidP="00E83802">
            <w:pPr>
              <w:jc w:val="right"/>
              <w:outlineLvl w:val="0"/>
              <w:rPr>
                <w:rFonts w:ascii="Meta Pro" w:eastAsia="Times New Roman" w:hAnsi="Meta Pro"/>
                <w:b/>
                <w:bCs/>
                <w:szCs w:val="18"/>
                <w:lang w:eastAsia="en-AU"/>
              </w:rPr>
            </w:pPr>
            <w:r w:rsidRPr="00EF0C57">
              <w:rPr>
                <w:rFonts w:ascii="Meta Pro" w:eastAsia="Times New Roman" w:hAnsi="Meta Pro"/>
                <w:b/>
                <w:bCs/>
                <w:szCs w:val="18"/>
                <w:lang w:eastAsia="en-AU"/>
              </w:rPr>
              <w:t xml:space="preserve">27,338 </w:t>
            </w:r>
          </w:p>
        </w:tc>
      </w:tr>
    </w:tbl>
    <w:p w14:paraId="0D3B4635" w14:textId="77777777" w:rsidR="00BC5219" w:rsidRPr="008A2B8F" w:rsidRDefault="00BC5219" w:rsidP="00BC5219">
      <w:pPr>
        <w:spacing w:before="120" w:line="259" w:lineRule="auto"/>
        <w:rPr>
          <w:rFonts w:ascii="Meta Pro" w:eastAsia="Times New Roman" w:hAnsi="Meta Pro"/>
          <w:b/>
          <w:bCs/>
          <w:color w:val="000000"/>
          <w:szCs w:val="18"/>
          <w:lang w:eastAsia="en-AU"/>
        </w:rPr>
      </w:pPr>
      <w:r w:rsidRPr="008A2B8F">
        <w:rPr>
          <w:rFonts w:ascii="Meta Pro" w:eastAsia="Times New Roman" w:hAnsi="Meta Pro"/>
          <w:b/>
          <w:bCs/>
          <w:color w:val="000000"/>
          <w:szCs w:val="18"/>
          <w:lang w:eastAsia="en-AU"/>
        </w:rPr>
        <w:lastRenderedPageBreak/>
        <w:t>Explanation of major variances</w:t>
      </w:r>
    </w:p>
    <w:p w14:paraId="36010C70" w14:textId="77777777" w:rsidR="00BC5219" w:rsidRPr="008A2B8F" w:rsidRDefault="00BC5219" w:rsidP="00BC5219">
      <w:pPr>
        <w:spacing w:before="60" w:line="259" w:lineRule="auto"/>
        <w:rPr>
          <w:rFonts w:ascii="Meta Pro" w:eastAsia="Times New Roman" w:hAnsi="Meta Pro"/>
          <w:b/>
          <w:bCs/>
          <w:i/>
          <w:iCs/>
          <w:color w:val="000000"/>
          <w:szCs w:val="18"/>
          <w:lang w:eastAsia="en-AU"/>
        </w:rPr>
      </w:pPr>
      <w:r w:rsidRPr="008A2B8F">
        <w:rPr>
          <w:rFonts w:ascii="Meta Pro" w:eastAsia="Times New Roman" w:hAnsi="Meta Pro"/>
          <w:b/>
          <w:bCs/>
          <w:i/>
          <w:iCs/>
          <w:color w:val="000000"/>
          <w:szCs w:val="18"/>
          <w:lang w:eastAsia="en-AU"/>
        </w:rPr>
        <w:t>Administered item appropriation</w:t>
      </w:r>
    </w:p>
    <w:p w14:paraId="6146EC78" w14:textId="77777777" w:rsidR="00BC5219" w:rsidRPr="008A2B8F" w:rsidRDefault="00BC5219" w:rsidP="00BC5219">
      <w:pPr>
        <w:rPr>
          <w:rFonts w:ascii="Meta Pro" w:eastAsia="Times New Roman" w:hAnsi="Meta Pro"/>
          <w:color w:val="000000"/>
          <w:szCs w:val="18"/>
          <w:lang w:eastAsia="en-AU"/>
        </w:rPr>
      </w:pPr>
      <w:r w:rsidRPr="008A2B8F">
        <w:rPr>
          <w:rFonts w:ascii="Meta Pro" w:eastAsia="Times New Roman" w:hAnsi="Meta Pro"/>
          <w:color w:val="000000"/>
          <w:szCs w:val="18"/>
          <w:lang w:eastAsia="en-AU"/>
        </w:rPr>
        <w:t>Variance of</w:t>
      </w:r>
      <w:r w:rsidRPr="008A2B8F">
        <w:rPr>
          <w:rFonts w:ascii="Meta Pro" w:eastAsia="Times New Roman" w:hAnsi="Meta Pro"/>
          <w:color w:val="FF0000"/>
          <w:szCs w:val="18"/>
          <w:lang w:eastAsia="en-AU"/>
        </w:rPr>
        <w:t xml:space="preserve"> </w:t>
      </w:r>
      <w:r w:rsidRPr="008A2B8F">
        <w:rPr>
          <w:rFonts w:ascii="Meta Pro" w:eastAsia="Times New Roman" w:hAnsi="Meta Pro"/>
          <w:color w:val="000000"/>
          <w:szCs w:val="18"/>
          <w:lang w:eastAsia="en-AU"/>
        </w:rPr>
        <w:t>($100.865m) mainly reflects the deferral of funding to 2023–24 for the Cross River Rail Delivery Authority of ($66.344m) and for the Mount Isa to Townsville Rail Line ($33.500m).</w:t>
      </w:r>
    </w:p>
    <w:p w14:paraId="78EA91E1" w14:textId="77777777" w:rsidR="00BC5219" w:rsidRPr="008A2B8F" w:rsidRDefault="00BC5219" w:rsidP="00BC5219">
      <w:pPr>
        <w:spacing w:before="60" w:line="259" w:lineRule="auto"/>
        <w:rPr>
          <w:rFonts w:ascii="Meta Pro" w:hAnsi="Meta Pro" w:cstheme="minorBidi"/>
          <w:b/>
          <w:bCs/>
          <w:i/>
          <w:iCs/>
          <w:szCs w:val="18"/>
        </w:rPr>
      </w:pPr>
      <w:r w:rsidRPr="008A2B8F">
        <w:rPr>
          <w:rFonts w:ascii="Meta Pro" w:hAnsi="Meta Pro" w:cstheme="minorBidi"/>
          <w:b/>
          <w:bCs/>
          <w:i/>
          <w:iCs/>
          <w:szCs w:val="18"/>
        </w:rPr>
        <w:t>Grants and subsidies</w:t>
      </w:r>
      <w:r w:rsidRPr="008A2B8F">
        <w:rPr>
          <w:rFonts w:ascii="Meta Pro" w:hAnsi="Meta Pro" w:cstheme="minorBidi"/>
          <w:b/>
          <w:bCs/>
          <w:i/>
          <w:iCs/>
          <w:szCs w:val="18"/>
        </w:rPr>
        <w:tab/>
      </w:r>
      <w:r w:rsidRPr="008A2B8F">
        <w:rPr>
          <w:rFonts w:ascii="Meta Pro" w:hAnsi="Meta Pro" w:cstheme="minorBidi"/>
          <w:b/>
          <w:bCs/>
          <w:i/>
          <w:iCs/>
          <w:szCs w:val="18"/>
        </w:rPr>
        <w:tab/>
      </w:r>
      <w:r w:rsidRPr="008A2B8F">
        <w:rPr>
          <w:rFonts w:ascii="Meta Pro" w:hAnsi="Meta Pro" w:cstheme="minorBidi"/>
          <w:b/>
          <w:bCs/>
          <w:i/>
          <w:iCs/>
          <w:szCs w:val="18"/>
        </w:rPr>
        <w:tab/>
      </w:r>
      <w:r w:rsidRPr="008A2B8F">
        <w:rPr>
          <w:rFonts w:ascii="Meta Pro" w:hAnsi="Meta Pro" w:cstheme="minorBidi"/>
          <w:b/>
          <w:bCs/>
          <w:i/>
          <w:iCs/>
          <w:szCs w:val="18"/>
        </w:rPr>
        <w:tab/>
      </w:r>
      <w:r w:rsidRPr="008A2B8F">
        <w:rPr>
          <w:rFonts w:ascii="Meta Pro" w:hAnsi="Meta Pro" w:cstheme="minorBidi"/>
          <w:b/>
          <w:bCs/>
          <w:i/>
          <w:iCs/>
          <w:szCs w:val="18"/>
        </w:rPr>
        <w:tab/>
      </w:r>
      <w:r w:rsidRPr="008A2B8F">
        <w:rPr>
          <w:rFonts w:ascii="Meta Pro" w:hAnsi="Meta Pro" w:cstheme="minorBidi"/>
          <w:b/>
          <w:bCs/>
          <w:i/>
          <w:iCs/>
          <w:szCs w:val="18"/>
        </w:rPr>
        <w:tab/>
      </w:r>
      <w:r w:rsidRPr="008A2B8F">
        <w:rPr>
          <w:rFonts w:ascii="Meta Pro" w:hAnsi="Meta Pro" w:cstheme="minorBidi"/>
          <w:b/>
          <w:bCs/>
          <w:i/>
          <w:iCs/>
          <w:szCs w:val="18"/>
        </w:rPr>
        <w:tab/>
      </w:r>
    </w:p>
    <w:p w14:paraId="59EB6038" w14:textId="77777777" w:rsidR="00BC5219" w:rsidRPr="008A2B8F" w:rsidRDefault="00BC5219" w:rsidP="00BC5219">
      <w:pPr>
        <w:rPr>
          <w:rFonts w:ascii="Meta Pro" w:eastAsia="Times New Roman" w:hAnsi="Meta Pro"/>
          <w:color w:val="000000"/>
          <w:szCs w:val="18"/>
          <w:lang w:eastAsia="en-AU"/>
        </w:rPr>
      </w:pPr>
      <w:r w:rsidRPr="008A2B8F">
        <w:rPr>
          <w:rFonts w:ascii="Meta Pro" w:eastAsia="Times New Roman" w:hAnsi="Meta Pro"/>
          <w:color w:val="000000"/>
          <w:szCs w:val="18"/>
          <w:lang w:eastAsia="en-AU"/>
        </w:rPr>
        <w:t>Variance of ($100.420m) mainly reflects the deferral of funding to 2023–24 for the Cross River Rail Delivery Authority of ($66.344m) and for the Mount Isa to Townsville Rail Line ($33.500m).</w:t>
      </w:r>
    </w:p>
    <w:p w14:paraId="35D72B5F" w14:textId="77777777" w:rsidR="00BC5219" w:rsidRPr="008A2B8F" w:rsidRDefault="00BC5219" w:rsidP="00BC5219">
      <w:pPr>
        <w:spacing w:before="60" w:line="259" w:lineRule="auto"/>
        <w:rPr>
          <w:rFonts w:ascii="Meta Pro" w:hAnsi="Meta Pro" w:cstheme="minorBidi"/>
          <w:b/>
          <w:bCs/>
          <w:i/>
          <w:iCs/>
          <w:szCs w:val="18"/>
        </w:rPr>
      </w:pPr>
      <w:r w:rsidRPr="008A2B8F">
        <w:rPr>
          <w:rFonts w:ascii="Meta Pro" w:hAnsi="Meta Pro" w:cstheme="minorBidi"/>
          <w:b/>
          <w:bCs/>
          <w:i/>
          <w:iCs/>
          <w:szCs w:val="18"/>
        </w:rPr>
        <w:t>Land</w:t>
      </w:r>
    </w:p>
    <w:p w14:paraId="1AA7ABFD" w14:textId="77777777" w:rsidR="00BC5219" w:rsidRPr="008A2B8F" w:rsidRDefault="00BC5219" w:rsidP="00BC5219">
      <w:pPr>
        <w:rPr>
          <w:rFonts w:ascii="Meta Pro" w:eastAsia="Times New Roman" w:hAnsi="Meta Pro"/>
          <w:color w:val="000000"/>
          <w:szCs w:val="18"/>
          <w:lang w:eastAsia="en-AU"/>
        </w:rPr>
      </w:pPr>
      <w:r w:rsidRPr="008A2B8F">
        <w:rPr>
          <w:rFonts w:ascii="Meta Pro" w:eastAsia="Times New Roman" w:hAnsi="Meta Pro"/>
          <w:color w:val="000000"/>
          <w:szCs w:val="18"/>
          <w:lang w:eastAsia="en-AU"/>
        </w:rPr>
        <w:t>Variance of $23.635m mainly consists of $21.632m increase in valuations not budgeted for in 2022–23 and $0.381m in additional rail corridor land received at below fair value.</w:t>
      </w:r>
    </w:p>
    <w:p w14:paraId="2D7DBF89" w14:textId="77777777" w:rsidR="00BC5219" w:rsidRPr="008A2B8F" w:rsidRDefault="00BC5219" w:rsidP="00BC5219">
      <w:pPr>
        <w:spacing w:before="60" w:line="259" w:lineRule="auto"/>
        <w:rPr>
          <w:rFonts w:ascii="Meta Pro" w:hAnsi="Meta Pro" w:cstheme="minorBidi"/>
          <w:b/>
          <w:bCs/>
          <w:i/>
          <w:iCs/>
          <w:szCs w:val="18"/>
        </w:rPr>
      </w:pPr>
      <w:r w:rsidRPr="008A2B8F">
        <w:rPr>
          <w:rFonts w:ascii="Meta Pro" w:hAnsi="Meta Pro" w:cstheme="minorBidi"/>
          <w:b/>
          <w:bCs/>
          <w:i/>
          <w:iCs/>
          <w:szCs w:val="18"/>
        </w:rPr>
        <w:t>Equity</w:t>
      </w:r>
    </w:p>
    <w:p w14:paraId="4C29AE34" w14:textId="77777777" w:rsidR="00BC5219" w:rsidRPr="00555E1F" w:rsidRDefault="00BC5219" w:rsidP="00BC5219">
      <w:pPr>
        <w:rPr>
          <w:rFonts w:ascii="Meta Pro" w:eastAsia="Times New Roman" w:hAnsi="Meta Pro"/>
          <w:color w:val="000000"/>
          <w:szCs w:val="18"/>
          <w:lang w:eastAsia="en-AU"/>
        </w:rPr>
      </w:pPr>
      <w:r w:rsidRPr="008A2B8F">
        <w:rPr>
          <w:rFonts w:ascii="Meta Pro" w:eastAsia="Times New Roman" w:hAnsi="Meta Pro"/>
          <w:color w:val="000000"/>
          <w:szCs w:val="18"/>
          <w:lang w:eastAsia="en-AU"/>
        </w:rPr>
        <w:t>Variance of</w:t>
      </w:r>
      <w:r w:rsidRPr="008A2B8F">
        <w:rPr>
          <w:rFonts w:ascii="Meta Pro" w:eastAsia="Times New Roman" w:hAnsi="Meta Pro"/>
          <w:color w:val="FF0000"/>
          <w:szCs w:val="18"/>
          <w:lang w:eastAsia="en-AU"/>
        </w:rPr>
        <w:t xml:space="preserve"> </w:t>
      </w:r>
      <w:r w:rsidRPr="008A2B8F">
        <w:rPr>
          <w:rFonts w:ascii="Meta Pro" w:eastAsia="Times New Roman" w:hAnsi="Meta Pro"/>
          <w:color w:val="000000"/>
          <w:szCs w:val="18"/>
          <w:lang w:eastAsia="en-AU"/>
        </w:rPr>
        <w:t>$27.338m mainly due to timing differences to obtain reliable measures for asset revaluation increments which were not able to be determined at the time of budget development.</w:t>
      </w:r>
    </w:p>
    <w:p w14:paraId="760CED02" w14:textId="77777777" w:rsidR="00BC5219" w:rsidRDefault="00BC5219" w:rsidP="00BC5219">
      <w:pPr>
        <w:pBdr>
          <w:bottom w:val="single" w:sz="4" w:space="1" w:color="auto"/>
        </w:pBdr>
        <w:rPr>
          <w:rFonts w:ascii="Meta Pro" w:eastAsia="Times New Roman" w:hAnsi="Meta Pro"/>
          <w:i/>
          <w:iCs/>
          <w:color w:val="000000" w:themeColor="text1"/>
          <w:lang w:eastAsia="en-AU"/>
        </w:rPr>
      </w:pPr>
    </w:p>
    <w:p w14:paraId="68ED6A0C" w14:textId="77777777" w:rsidR="00BC5219" w:rsidRDefault="00BC5219" w:rsidP="00BC5219">
      <w:pPr>
        <w:pBdr>
          <w:bottom w:val="single" w:sz="4" w:space="1" w:color="auto"/>
        </w:pBdr>
        <w:rPr>
          <w:rFonts w:ascii="Meta Pro" w:eastAsia="Times New Roman" w:hAnsi="Meta Pro"/>
          <w:i/>
          <w:iCs/>
          <w:color w:val="000000" w:themeColor="text1"/>
          <w:lang w:eastAsia="en-AU"/>
        </w:rPr>
      </w:pPr>
    </w:p>
    <w:p w14:paraId="770A462B" w14:textId="77777777" w:rsidR="00BC5219" w:rsidRDefault="00BC5219" w:rsidP="00BC5219">
      <w:pPr>
        <w:pBdr>
          <w:bottom w:val="single" w:sz="4" w:space="1" w:color="auto"/>
        </w:pBdr>
        <w:rPr>
          <w:rFonts w:ascii="Meta Pro" w:eastAsia="Times New Roman" w:hAnsi="Meta Pro"/>
          <w:i/>
          <w:iCs/>
          <w:color w:val="000000" w:themeColor="text1"/>
          <w:lang w:eastAsia="en-AU"/>
        </w:rPr>
      </w:pPr>
    </w:p>
    <w:p w14:paraId="6032CA78" w14:textId="77777777" w:rsidR="00BC5219" w:rsidRDefault="00BC5219" w:rsidP="00BC5219">
      <w:pPr>
        <w:pBdr>
          <w:bottom w:val="single" w:sz="4" w:space="1" w:color="auto"/>
        </w:pBdr>
        <w:rPr>
          <w:rFonts w:ascii="Meta Pro" w:eastAsia="Times New Roman" w:hAnsi="Meta Pro"/>
          <w:i/>
          <w:iCs/>
          <w:color w:val="000000" w:themeColor="text1"/>
          <w:lang w:eastAsia="en-AU"/>
        </w:rPr>
      </w:pPr>
    </w:p>
    <w:p w14:paraId="178E3856" w14:textId="77777777" w:rsidR="00BC5219" w:rsidRDefault="00BC5219" w:rsidP="00BC5219">
      <w:pPr>
        <w:pBdr>
          <w:bottom w:val="single" w:sz="4" w:space="1" w:color="auto"/>
        </w:pBdr>
        <w:rPr>
          <w:rFonts w:ascii="Meta Pro" w:eastAsia="Times New Roman" w:hAnsi="Meta Pro"/>
          <w:i/>
          <w:iCs/>
          <w:color w:val="000000" w:themeColor="text1"/>
          <w:lang w:eastAsia="en-AU"/>
        </w:rPr>
      </w:pPr>
    </w:p>
    <w:p w14:paraId="4613ED72" w14:textId="77777777" w:rsidR="00BC5219" w:rsidRDefault="00BC5219" w:rsidP="00BC5219">
      <w:pPr>
        <w:pBdr>
          <w:bottom w:val="single" w:sz="4" w:space="1" w:color="auto"/>
        </w:pBdr>
        <w:rPr>
          <w:rFonts w:ascii="Meta Pro" w:eastAsia="Times New Roman" w:hAnsi="Meta Pro"/>
          <w:i/>
          <w:iCs/>
          <w:color w:val="000000" w:themeColor="text1"/>
          <w:lang w:eastAsia="en-AU"/>
        </w:rPr>
      </w:pPr>
    </w:p>
    <w:p w14:paraId="0588FCB8" w14:textId="77777777" w:rsidR="00BC5219" w:rsidRDefault="00BC5219" w:rsidP="00BC5219">
      <w:pPr>
        <w:pBdr>
          <w:bottom w:val="single" w:sz="4" w:space="1" w:color="auto"/>
        </w:pBdr>
        <w:rPr>
          <w:rFonts w:ascii="Meta Pro" w:eastAsia="Times New Roman" w:hAnsi="Meta Pro"/>
          <w:i/>
          <w:iCs/>
          <w:color w:val="000000" w:themeColor="text1"/>
          <w:lang w:eastAsia="en-AU"/>
        </w:rPr>
      </w:pPr>
    </w:p>
    <w:p w14:paraId="7353CB33" w14:textId="77777777" w:rsidR="00BC5219" w:rsidRPr="008A2B8F" w:rsidRDefault="00BC5219" w:rsidP="00BC5219">
      <w:pPr>
        <w:pBdr>
          <w:bottom w:val="single" w:sz="4" w:space="1" w:color="auto"/>
        </w:pBdr>
        <w:rPr>
          <w:rFonts w:ascii="Meta Pro" w:eastAsia="Times New Roman" w:hAnsi="Meta Pro"/>
          <w:i/>
          <w:iCs/>
          <w:color w:val="000000" w:themeColor="text1"/>
          <w:lang w:eastAsia="en-AU"/>
        </w:rPr>
      </w:pPr>
      <w:r w:rsidRPr="008A2B8F">
        <w:rPr>
          <w:rFonts w:ascii="Meta Pro" w:eastAsia="Times New Roman" w:hAnsi="Meta Pro"/>
          <w:i/>
          <w:iCs/>
          <w:color w:val="000000" w:themeColor="text1"/>
          <w:lang w:eastAsia="en-AU"/>
        </w:rPr>
        <w:t>Department of Transport and Main Roads</w:t>
      </w:r>
    </w:p>
    <w:p w14:paraId="70A751BF" w14:textId="77777777" w:rsidR="00BC5219" w:rsidRPr="008A2B8F" w:rsidRDefault="00BC5219" w:rsidP="00BC5219">
      <w:pPr>
        <w:pBdr>
          <w:bottom w:val="single" w:sz="4" w:space="1" w:color="auto"/>
        </w:pBdr>
        <w:rPr>
          <w:rFonts w:ascii="Meta Pro" w:eastAsia="Times New Roman" w:hAnsi="Meta Pro"/>
          <w:color w:val="000000" w:themeColor="text1"/>
          <w:lang w:eastAsia="en-AU"/>
        </w:rPr>
      </w:pPr>
      <w:r w:rsidRPr="008A2B8F">
        <w:rPr>
          <w:rFonts w:ascii="Meta Pro" w:eastAsia="Times New Roman" w:hAnsi="Meta Pro"/>
          <w:color w:val="000000" w:themeColor="text1"/>
          <w:lang w:eastAsia="en-AU"/>
        </w:rPr>
        <w:t>Notes to the financial statements 2022–23 (continued)</w:t>
      </w:r>
    </w:p>
    <w:p w14:paraId="5DF7EDB8" w14:textId="77777777" w:rsidR="00BC5219" w:rsidRDefault="00BC5219" w:rsidP="00BC5219">
      <w:pPr>
        <w:spacing w:line="259" w:lineRule="auto"/>
        <w:rPr>
          <w:rFonts w:ascii="Meta Pro" w:eastAsia="Times New Roman" w:hAnsi="Meta Pro"/>
          <w:b/>
          <w:bCs/>
          <w:color w:val="000000"/>
          <w:lang w:eastAsia="en-AU"/>
        </w:rPr>
      </w:pPr>
    </w:p>
    <w:p w14:paraId="0B6783E3" w14:textId="77777777" w:rsidR="00BC5219" w:rsidRPr="008A2B8F" w:rsidRDefault="00BC5219" w:rsidP="00BC5219">
      <w:pPr>
        <w:spacing w:line="259" w:lineRule="auto"/>
        <w:rPr>
          <w:rFonts w:ascii="Meta Pro" w:eastAsia="Times New Roman" w:hAnsi="Meta Pro"/>
          <w:b/>
          <w:bCs/>
          <w:color w:val="000000"/>
          <w:lang w:eastAsia="en-AU"/>
        </w:rPr>
      </w:pPr>
      <w:r w:rsidRPr="008A2B8F">
        <w:rPr>
          <w:rFonts w:ascii="Meta Pro" w:eastAsia="Times New Roman" w:hAnsi="Meta Pro"/>
          <w:b/>
          <w:bCs/>
          <w:color w:val="000000"/>
          <w:lang w:eastAsia="en-AU"/>
        </w:rPr>
        <w:t xml:space="preserve">MANAGEMENT CERTIFICATE OF THE DEPARTMENT OF TRANSPORT AND MAIN ROADS </w:t>
      </w:r>
    </w:p>
    <w:p w14:paraId="1D3B5F5A" w14:textId="77777777" w:rsidR="00BC5219" w:rsidRPr="008A2B8F" w:rsidRDefault="00BC5219" w:rsidP="00BC5219">
      <w:pPr>
        <w:tabs>
          <w:tab w:val="left" w:pos="3734"/>
        </w:tabs>
        <w:spacing w:line="259" w:lineRule="auto"/>
        <w:jc w:val="both"/>
        <w:rPr>
          <w:rFonts w:ascii="Meta Pro" w:eastAsia="Times New Roman" w:hAnsi="Meta Pro"/>
          <w:b/>
          <w:bCs/>
          <w:color w:val="000000"/>
          <w:lang w:eastAsia="en-AU"/>
        </w:rPr>
      </w:pPr>
      <w:r w:rsidRPr="008A2B8F">
        <w:rPr>
          <w:rFonts w:ascii="Meta Pro" w:eastAsia="Times New Roman" w:hAnsi="Meta Pro"/>
          <w:b/>
          <w:bCs/>
          <w:color w:val="000000"/>
          <w:lang w:eastAsia="en-AU"/>
        </w:rPr>
        <w:t>for the year ended 30 June 2023</w:t>
      </w:r>
      <w:r w:rsidRPr="008A2B8F">
        <w:rPr>
          <w:rFonts w:ascii="Meta Pro" w:eastAsia="Times New Roman" w:hAnsi="Meta Pro"/>
          <w:b/>
          <w:bCs/>
          <w:color w:val="000000"/>
          <w:lang w:eastAsia="en-AU"/>
        </w:rPr>
        <w:tab/>
      </w:r>
    </w:p>
    <w:p w14:paraId="09C5C8E7" w14:textId="77777777" w:rsidR="00BC5219" w:rsidRPr="008A2B8F" w:rsidRDefault="00BC5219" w:rsidP="00BC5219">
      <w:pPr>
        <w:spacing w:line="259" w:lineRule="auto"/>
        <w:jc w:val="both"/>
        <w:rPr>
          <w:rFonts w:ascii="Meta Pro" w:eastAsia="Times New Roman" w:hAnsi="Meta Pro"/>
          <w:b/>
          <w:bCs/>
          <w:color w:val="000000"/>
          <w:szCs w:val="18"/>
          <w:lang w:eastAsia="en-AU"/>
        </w:rPr>
      </w:pPr>
    </w:p>
    <w:p w14:paraId="03B90B28" w14:textId="77777777" w:rsidR="00BC5219" w:rsidRPr="008A2B8F" w:rsidRDefault="00BC5219" w:rsidP="00BC5219">
      <w:pPr>
        <w:spacing w:line="259" w:lineRule="auto"/>
        <w:jc w:val="both"/>
        <w:rPr>
          <w:rFonts w:ascii="Meta Pro" w:eastAsia="Times New Roman" w:hAnsi="Meta Pro"/>
          <w:b/>
          <w:bCs/>
          <w:color w:val="000000"/>
          <w:szCs w:val="18"/>
          <w:lang w:eastAsia="en-AU"/>
        </w:rPr>
      </w:pPr>
    </w:p>
    <w:p w14:paraId="6CEDAAB6" w14:textId="77777777" w:rsidR="00BC5219" w:rsidRPr="008A2B8F" w:rsidRDefault="00BC5219" w:rsidP="00BC5219">
      <w:pPr>
        <w:spacing w:after="120" w:line="259" w:lineRule="auto"/>
        <w:jc w:val="both"/>
        <w:rPr>
          <w:rFonts w:ascii="Meta Pro" w:eastAsia="Times New Roman" w:hAnsi="Meta Pro"/>
          <w:b/>
          <w:bCs/>
          <w:color w:val="000000"/>
          <w:szCs w:val="18"/>
          <w:lang w:eastAsia="en-AU"/>
        </w:rPr>
      </w:pPr>
      <w:r w:rsidRPr="008A2B8F">
        <w:rPr>
          <w:rFonts w:ascii="Meta Pro" w:eastAsia="Times New Roman" w:hAnsi="Meta Pro"/>
          <w:color w:val="000000"/>
          <w:szCs w:val="18"/>
          <w:lang w:eastAsia="en-AU"/>
        </w:rPr>
        <w:t xml:space="preserve">These general purpose financial statements have been prepared pursuant to section 62(1) of the </w:t>
      </w:r>
      <w:r w:rsidRPr="008A2B8F">
        <w:rPr>
          <w:rFonts w:ascii="Meta Pro" w:eastAsia="Times New Roman" w:hAnsi="Meta Pro"/>
          <w:i/>
          <w:iCs/>
          <w:color w:val="000000"/>
          <w:szCs w:val="18"/>
          <w:lang w:eastAsia="en-AU"/>
        </w:rPr>
        <w:t>Financial Accountability Act 2009</w:t>
      </w:r>
      <w:r w:rsidRPr="008A2B8F">
        <w:rPr>
          <w:rFonts w:ascii="Meta Pro" w:eastAsia="Times New Roman" w:hAnsi="Meta Pro"/>
          <w:color w:val="000000"/>
          <w:szCs w:val="18"/>
          <w:lang w:eastAsia="en-AU"/>
        </w:rPr>
        <w:t xml:space="preserve"> (the Act), section 38 of the </w:t>
      </w:r>
      <w:r w:rsidRPr="008A2B8F">
        <w:rPr>
          <w:rFonts w:ascii="Meta Pro" w:eastAsia="Times New Roman" w:hAnsi="Meta Pro"/>
          <w:i/>
          <w:iCs/>
          <w:color w:val="000000"/>
          <w:szCs w:val="18"/>
          <w:lang w:eastAsia="en-AU"/>
        </w:rPr>
        <w:t>Financial and Performance Management Standard 2019</w:t>
      </w:r>
      <w:r w:rsidRPr="008A2B8F">
        <w:rPr>
          <w:rFonts w:ascii="Meta Pro" w:eastAsia="Times New Roman" w:hAnsi="Meta Pro"/>
          <w:color w:val="000000"/>
          <w:szCs w:val="18"/>
          <w:lang w:eastAsia="en-AU"/>
        </w:rPr>
        <w:t xml:space="preserve"> and other prescribed requirements. In accordance with section 62(1)(b) of the Act we certify that in our opinion</w:t>
      </w:r>
      <w:r w:rsidRPr="008A2B8F">
        <w:rPr>
          <w:rFonts w:ascii="Meta Pro" w:eastAsia="Times New Roman" w:hAnsi="Meta Pro"/>
          <w:b/>
          <w:bCs/>
          <w:color w:val="000000"/>
          <w:szCs w:val="18"/>
          <w:lang w:eastAsia="en-AU"/>
        </w:rPr>
        <w:t>:</w:t>
      </w:r>
      <w:r w:rsidRPr="008A2B8F">
        <w:rPr>
          <w:rFonts w:ascii="Meta Pro" w:eastAsia="Times New Roman" w:hAnsi="Meta Pro"/>
          <w:b/>
          <w:bCs/>
          <w:color w:val="000000"/>
          <w:szCs w:val="18"/>
          <w:lang w:eastAsia="en-AU"/>
        </w:rPr>
        <w:tab/>
      </w:r>
    </w:p>
    <w:p w14:paraId="74BAF642" w14:textId="77777777" w:rsidR="00BC5219" w:rsidRPr="008A2B8F" w:rsidRDefault="00BC5219" w:rsidP="00BC5219">
      <w:pPr>
        <w:spacing w:after="120" w:line="259" w:lineRule="auto"/>
        <w:ind w:left="567" w:hanging="567"/>
        <w:jc w:val="both"/>
        <w:rPr>
          <w:rFonts w:ascii="Meta Pro" w:eastAsia="Times New Roman" w:hAnsi="Meta Pro"/>
          <w:color w:val="000000"/>
          <w:szCs w:val="18"/>
          <w:lang w:eastAsia="en-AU"/>
        </w:rPr>
      </w:pPr>
      <w:r w:rsidRPr="008A2B8F">
        <w:rPr>
          <w:rFonts w:ascii="Meta Pro" w:eastAsia="Times New Roman" w:hAnsi="Meta Pro"/>
          <w:color w:val="000000"/>
          <w:szCs w:val="18"/>
          <w:lang w:eastAsia="en-AU"/>
        </w:rPr>
        <w:t xml:space="preserve">a) </w:t>
      </w:r>
      <w:r w:rsidRPr="008A2B8F">
        <w:rPr>
          <w:rFonts w:ascii="Meta Pro" w:eastAsia="Times New Roman" w:hAnsi="Meta Pro"/>
          <w:color w:val="000000"/>
          <w:szCs w:val="18"/>
          <w:lang w:eastAsia="en-AU"/>
        </w:rPr>
        <w:tab/>
        <w:t>the prescribed requirements for establishing and keeping the accounts have been complied with in all material respects; and</w:t>
      </w:r>
    </w:p>
    <w:p w14:paraId="438642C7" w14:textId="77777777" w:rsidR="00BC5219" w:rsidRPr="008A2B8F" w:rsidRDefault="00BC5219" w:rsidP="00BC5219">
      <w:pPr>
        <w:spacing w:after="120" w:line="259" w:lineRule="auto"/>
        <w:ind w:left="567" w:hanging="567"/>
        <w:jc w:val="both"/>
        <w:rPr>
          <w:rFonts w:ascii="Meta Pro" w:eastAsia="Times New Roman" w:hAnsi="Meta Pro"/>
          <w:color w:val="000000"/>
          <w:szCs w:val="18"/>
          <w:lang w:eastAsia="en-AU"/>
        </w:rPr>
      </w:pPr>
      <w:r w:rsidRPr="008A2B8F">
        <w:rPr>
          <w:rFonts w:ascii="Meta Pro" w:eastAsia="Times New Roman" w:hAnsi="Meta Pro"/>
          <w:color w:val="000000"/>
          <w:szCs w:val="18"/>
          <w:lang w:eastAsia="en-AU"/>
        </w:rPr>
        <w:t>b)</w:t>
      </w:r>
      <w:r w:rsidRPr="008A2B8F">
        <w:rPr>
          <w:rFonts w:ascii="Meta Pro" w:eastAsia="Times New Roman" w:hAnsi="Meta Pro"/>
          <w:color w:val="000000"/>
          <w:szCs w:val="18"/>
          <w:lang w:eastAsia="en-AU"/>
        </w:rPr>
        <w:tab/>
        <w:t>the financial statements have been drawn up to present a true and fair view, in accordance with prescribed accounting standards, of the transactions of the Department of Transport and Main Roads for the financial year ended 30 June 2023 and of the financial position of the department at the end of that year.</w:t>
      </w:r>
    </w:p>
    <w:p w14:paraId="10BCAF6D" w14:textId="77777777" w:rsidR="00BC5219" w:rsidRPr="008A2B8F" w:rsidRDefault="00BC5219" w:rsidP="00BC5219">
      <w:pPr>
        <w:spacing w:line="259" w:lineRule="auto"/>
        <w:jc w:val="both"/>
        <w:rPr>
          <w:rFonts w:ascii="Meta Pro" w:eastAsia="Times New Roman" w:hAnsi="Meta Pro"/>
          <w:color w:val="000000"/>
          <w:szCs w:val="18"/>
          <w:lang w:eastAsia="en-AU"/>
        </w:rPr>
      </w:pPr>
      <w:r w:rsidRPr="008A2B8F">
        <w:rPr>
          <w:rFonts w:ascii="Meta Pro" w:eastAsia="Times New Roman" w:hAnsi="Meta Pro"/>
          <w:color w:val="000000"/>
          <w:szCs w:val="18"/>
          <w:lang w:eastAsia="en-AU"/>
        </w:rPr>
        <w:t xml:space="preserve">The Director-General, as the Accountable Officer of the Department, acknowledges responsibility under sections 7 and 11 of the </w:t>
      </w:r>
      <w:r w:rsidRPr="008A2B8F">
        <w:rPr>
          <w:rFonts w:ascii="Meta Pro" w:eastAsia="Times New Roman" w:hAnsi="Meta Pro"/>
          <w:i/>
          <w:iCs/>
          <w:color w:val="000000"/>
          <w:szCs w:val="18"/>
          <w:lang w:eastAsia="en-AU"/>
        </w:rPr>
        <w:t xml:space="preserve">Financial and Performance Management Standard 2019 </w:t>
      </w:r>
      <w:r w:rsidRPr="008A2B8F">
        <w:rPr>
          <w:rFonts w:ascii="Meta Pro" w:eastAsia="Times New Roman" w:hAnsi="Meta Pro"/>
          <w:color w:val="000000"/>
          <w:szCs w:val="18"/>
          <w:lang w:eastAsia="en-AU"/>
        </w:rPr>
        <w:t>for the establishment and maintenance, in all material respects, of an appropriate and effective system of internal controls and risk management processes with respect to financial reporting throughout the reporting period.</w:t>
      </w:r>
      <w:r w:rsidRPr="008A2B8F">
        <w:rPr>
          <w:rFonts w:ascii="Meta Pro" w:eastAsia="Times New Roman" w:hAnsi="Meta Pro"/>
          <w:color w:val="000000"/>
          <w:szCs w:val="18"/>
          <w:lang w:eastAsia="en-AU"/>
        </w:rPr>
        <w:tab/>
      </w:r>
      <w:r w:rsidRPr="008A2B8F">
        <w:rPr>
          <w:rFonts w:ascii="Meta Pro" w:eastAsia="Times New Roman" w:hAnsi="Meta Pro"/>
          <w:color w:val="000000"/>
          <w:szCs w:val="18"/>
          <w:lang w:eastAsia="en-AU"/>
        </w:rPr>
        <w:tab/>
      </w:r>
      <w:r w:rsidRPr="008A2B8F">
        <w:rPr>
          <w:rFonts w:ascii="Meta Pro" w:eastAsia="Times New Roman" w:hAnsi="Meta Pro"/>
          <w:color w:val="000000"/>
          <w:szCs w:val="18"/>
          <w:lang w:eastAsia="en-AU"/>
        </w:rPr>
        <w:tab/>
      </w:r>
      <w:r w:rsidRPr="008A2B8F">
        <w:rPr>
          <w:rFonts w:ascii="Meta Pro" w:eastAsia="Times New Roman" w:hAnsi="Meta Pro"/>
          <w:color w:val="000000"/>
          <w:szCs w:val="18"/>
          <w:lang w:eastAsia="en-AU"/>
        </w:rPr>
        <w:tab/>
      </w:r>
      <w:r w:rsidRPr="008A2B8F">
        <w:rPr>
          <w:rFonts w:ascii="Meta Pro" w:eastAsia="Times New Roman" w:hAnsi="Meta Pro"/>
          <w:color w:val="000000"/>
          <w:szCs w:val="18"/>
          <w:lang w:eastAsia="en-AU"/>
        </w:rPr>
        <w:tab/>
      </w:r>
      <w:r w:rsidRPr="008A2B8F">
        <w:rPr>
          <w:rFonts w:ascii="Meta Pro" w:eastAsia="Times New Roman" w:hAnsi="Meta Pro"/>
          <w:color w:val="000000"/>
          <w:szCs w:val="18"/>
          <w:lang w:eastAsia="en-AU"/>
        </w:rPr>
        <w:tab/>
      </w:r>
      <w:r w:rsidRPr="008A2B8F">
        <w:rPr>
          <w:rFonts w:ascii="Meta Pro" w:eastAsia="Times New Roman" w:hAnsi="Meta Pro"/>
          <w:color w:val="000000"/>
          <w:szCs w:val="18"/>
          <w:lang w:eastAsia="en-AU"/>
        </w:rPr>
        <w:tab/>
      </w:r>
      <w:r w:rsidRPr="008A2B8F">
        <w:rPr>
          <w:rFonts w:ascii="Meta Pro" w:eastAsia="Times New Roman" w:hAnsi="Meta Pro"/>
          <w:color w:val="000000"/>
          <w:szCs w:val="18"/>
          <w:lang w:eastAsia="en-AU"/>
        </w:rPr>
        <w:tab/>
      </w:r>
      <w:r w:rsidRPr="008A2B8F">
        <w:rPr>
          <w:rFonts w:ascii="Meta Pro" w:eastAsia="Times New Roman" w:hAnsi="Meta Pro"/>
          <w:color w:val="000000"/>
          <w:szCs w:val="18"/>
          <w:lang w:eastAsia="en-AU"/>
        </w:rPr>
        <w:tab/>
      </w:r>
      <w:r w:rsidRPr="008A2B8F">
        <w:rPr>
          <w:rFonts w:ascii="Meta Pro" w:eastAsia="Times New Roman" w:hAnsi="Meta Pro"/>
          <w:color w:val="000000"/>
          <w:szCs w:val="18"/>
          <w:lang w:eastAsia="en-AU"/>
        </w:rPr>
        <w:tab/>
      </w:r>
      <w:r w:rsidRPr="008A2B8F">
        <w:rPr>
          <w:rFonts w:ascii="Meta Pro" w:eastAsia="Times New Roman" w:hAnsi="Meta Pro"/>
          <w:color w:val="000000"/>
          <w:szCs w:val="18"/>
          <w:lang w:eastAsia="en-AU"/>
        </w:rPr>
        <w:tab/>
      </w:r>
    </w:p>
    <w:p w14:paraId="31A2A7FD" w14:textId="77777777" w:rsidR="00BC5219" w:rsidRPr="008A2B8F" w:rsidRDefault="00BC5219" w:rsidP="00BC5219">
      <w:pPr>
        <w:spacing w:line="259" w:lineRule="auto"/>
        <w:jc w:val="both"/>
        <w:rPr>
          <w:rFonts w:ascii="Meta Pro" w:eastAsia="Times New Roman" w:hAnsi="Meta Pro"/>
          <w:color w:val="000000"/>
          <w:szCs w:val="18"/>
          <w:lang w:eastAsia="en-AU"/>
        </w:rPr>
      </w:pPr>
    </w:p>
    <w:p w14:paraId="48136203" w14:textId="77777777" w:rsidR="00BC5219" w:rsidRPr="008A2B8F" w:rsidRDefault="00BC5219" w:rsidP="00BC5219">
      <w:pPr>
        <w:spacing w:line="259" w:lineRule="auto"/>
        <w:jc w:val="both"/>
        <w:rPr>
          <w:rFonts w:ascii="Meta Pro" w:eastAsia="Times New Roman" w:hAnsi="Meta Pro"/>
          <w:color w:val="000000"/>
          <w:szCs w:val="18"/>
          <w:lang w:eastAsia="en-AU"/>
        </w:rPr>
      </w:pPr>
      <w:r w:rsidRPr="008A2B8F">
        <w:rPr>
          <w:rFonts w:ascii="Meta Pro" w:eastAsia="Times New Roman" w:hAnsi="Meta Pro"/>
          <w:color w:val="000000"/>
          <w:szCs w:val="18"/>
          <w:lang w:eastAsia="en-AU"/>
        </w:rPr>
        <w:lastRenderedPageBreak/>
        <w:tab/>
      </w:r>
      <w:r w:rsidRPr="008A2B8F">
        <w:rPr>
          <w:rFonts w:ascii="Meta Pro" w:eastAsia="Times New Roman" w:hAnsi="Meta Pro"/>
          <w:color w:val="000000"/>
          <w:szCs w:val="18"/>
          <w:lang w:eastAsia="en-AU"/>
        </w:rPr>
        <w:tab/>
      </w:r>
      <w:r w:rsidRPr="008A2B8F">
        <w:rPr>
          <w:rFonts w:ascii="Meta Pro" w:eastAsia="Times New Roman" w:hAnsi="Meta Pro"/>
          <w:color w:val="000000"/>
          <w:szCs w:val="18"/>
          <w:lang w:eastAsia="en-AU"/>
        </w:rPr>
        <w:tab/>
      </w:r>
      <w:r w:rsidRPr="008A2B8F">
        <w:rPr>
          <w:rFonts w:ascii="Meta Pro" w:eastAsia="Times New Roman" w:hAnsi="Meta Pro"/>
          <w:color w:val="000000"/>
          <w:szCs w:val="18"/>
          <w:lang w:eastAsia="en-AU"/>
        </w:rPr>
        <w:tab/>
      </w:r>
      <w:r w:rsidRPr="008A2B8F">
        <w:rPr>
          <w:rFonts w:ascii="Meta Pro" w:eastAsia="Times New Roman" w:hAnsi="Meta Pro"/>
          <w:color w:val="000000"/>
          <w:szCs w:val="18"/>
          <w:lang w:eastAsia="en-AU"/>
        </w:rPr>
        <w:tab/>
      </w:r>
      <w:r w:rsidRPr="008A2B8F">
        <w:rPr>
          <w:rFonts w:ascii="Meta Pro" w:eastAsia="Times New Roman" w:hAnsi="Meta Pro"/>
          <w:color w:val="000000"/>
          <w:szCs w:val="18"/>
          <w:lang w:eastAsia="en-AU"/>
        </w:rPr>
        <w:tab/>
      </w:r>
      <w:r w:rsidRPr="008A2B8F">
        <w:rPr>
          <w:rFonts w:ascii="Meta Pro" w:eastAsia="Times New Roman" w:hAnsi="Meta Pro"/>
          <w:color w:val="000000"/>
          <w:szCs w:val="18"/>
          <w:lang w:eastAsia="en-AU"/>
        </w:rPr>
        <w:tab/>
      </w:r>
      <w:r w:rsidRPr="008A2B8F">
        <w:rPr>
          <w:rFonts w:ascii="Meta Pro" w:eastAsia="Times New Roman" w:hAnsi="Meta Pro"/>
          <w:color w:val="000000"/>
          <w:szCs w:val="18"/>
          <w:lang w:eastAsia="en-AU"/>
        </w:rPr>
        <w:tab/>
      </w:r>
      <w:r w:rsidRPr="008A2B8F">
        <w:rPr>
          <w:rFonts w:ascii="Meta Pro" w:eastAsia="Times New Roman" w:hAnsi="Meta Pro"/>
          <w:color w:val="000000"/>
          <w:szCs w:val="18"/>
          <w:lang w:eastAsia="en-AU"/>
        </w:rPr>
        <w:tab/>
      </w:r>
      <w:r w:rsidRPr="008A2B8F">
        <w:rPr>
          <w:rFonts w:ascii="Meta Pro" w:eastAsia="Times New Roman" w:hAnsi="Meta Pro"/>
          <w:color w:val="000000"/>
          <w:szCs w:val="18"/>
          <w:lang w:eastAsia="en-AU"/>
        </w:rPr>
        <w:tab/>
      </w:r>
      <w:r w:rsidRPr="008A2B8F">
        <w:rPr>
          <w:rFonts w:ascii="Meta Pro" w:eastAsia="Times New Roman" w:hAnsi="Meta Pro"/>
          <w:color w:val="000000"/>
          <w:szCs w:val="18"/>
          <w:lang w:eastAsia="en-AU"/>
        </w:rPr>
        <w:tab/>
      </w:r>
      <w:r w:rsidRPr="008A2B8F">
        <w:rPr>
          <w:rFonts w:ascii="Meta Pro" w:eastAsia="Times New Roman" w:hAnsi="Meta Pro"/>
          <w:color w:val="000000"/>
          <w:szCs w:val="18"/>
          <w:lang w:eastAsia="en-AU"/>
        </w:rPr>
        <w:tab/>
      </w:r>
      <w:r w:rsidRPr="008A2B8F">
        <w:rPr>
          <w:rFonts w:ascii="Meta Pro" w:eastAsia="Times New Roman" w:hAnsi="Meta Pro"/>
          <w:color w:val="000000"/>
          <w:szCs w:val="18"/>
          <w:lang w:eastAsia="en-AU"/>
        </w:rPr>
        <w:tab/>
      </w:r>
      <w:r w:rsidRPr="008A2B8F">
        <w:rPr>
          <w:rFonts w:ascii="Meta Pro" w:eastAsia="Times New Roman" w:hAnsi="Meta Pro"/>
          <w:color w:val="000000"/>
          <w:szCs w:val="18"/>
          <w:lang w:eastAsia="en-AU"/>
        </w:rPr>
        <w:tab/>
      </w:r>
      <w:r w:rsidRPr="008A2B8F">
        <w:rPr>
          <w:rFonts w:ascii="Meta Pro" w:eastAsia="Times New Roman" w:hAnsi="Meta Pro"/>
          <w:color w:val="000000"/>
          <w:szCs w:val="18"/>
          <w:lang w:eastAsia="en-AU"/>
        </w:rPr>
        <w:tab/>
      </w:r>
      <w:r w:rsidRPr="008A2B8F">
        <w:rPr>
          <w:rFonts w:ascii="Meta Pro" w:eastAsia="Times New Roman" w:hAnsi="Meta Pro"/>
          <w:color w:val="000000"/>
          <w:szCs w:val="18"/>
          <w:lang w:eastAsia="en-AU"/>
        </w:rPr>
        <w:tab/>
      </w:r>
    </w:p>
    <w:p w14:paraId="2AA3E369" w14:textId="77777777" w:rsidR="00BC5219" w:rsidRPr="008A2B8F" w:rsidRDefault="00BC5219" w:rsidP="00BC5219">
      <w:pPr>
        <w:spacing w:line="259" w:lineRule="auto"/>
        <w:jc w:val="both"/>
        <w:rPr>
          <w:rFonts w:ascii="Meta Pro" w:eastAsia="Times New Roman" w:hAnsi="Meta Pro"/>
          <w:color w:val="000000"/>
          <w:szCs w:val="18"/>
          <w:lang w:eastAsia="en-AU"/>
        </w:rPr>
      </w:pPr>
    </w:p>
    <w:p w14:paraId="6C57F035" w14:textId="77777777" w:rsidR="00BC5219" w:rsidRPr="008A2B8F" w:rsidRDefault="00BC5219" w:rsidP="00BC5219">
      <w:pPr>
        <w:spacing w:line="259" w:lineRule="auto"/>
        <w:jc w:val="both"/>
        <w:rPr>
          <w:rFonts w:ascii="Meta Pro" w:eastAsia="Times New Roman" w:hAnsi="Meta Pro"/>
          <w:color w:val="000000"/>
          <w:szCs w:val="18"/>
          <w:lang w:eastAsia="en-AU"/>
        </w:rPr>
      </w:pPr>
      <w:r w:rsidRPr="008372C4">
        <w:rPr>
          <w:rFonts w:ascii="Meta Pro" w:eastAsia="Times New Roman" w:hAnsi="Meta Pro"/>
          <w:noProof/>
          <w:color w:val="000000"/>
          <w:szCs w:val="18"/>
          <w:lang w:eastAsia="en-AU"/>
        </w:rPr>
        <w:drawing>
          <wp:inline distT="0" distB="0" distL="0" distR="0" wp14:anchorId="0F3CA7DE" wp14:editId="53F9B263">
            <wp:extent cx="2190750" cy="701439"/>
            <wp:effectExtent l="0" t="0" r="0" b="381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205741" cy="706239"/>
                    </a:xfrm>
                    <a:prstGeom prst="rect">
                      <a:avLst/>
                    </a:prstGeom>
                    <a:noFill/>
                    <a:ln>
                      <a:noFill/>
                    </a:ln>
                  </pic:spPr>
                </pic:pic>
              </a:graphicData>
            </a:graphic>
          </wp:inline>
        </w:drawing>
      </w:r>
      <w:r>
        <w:rPr>
          <w:rFonts w:ascii="Meta Pro" w:eastAsia="Times New Roman" w:hAnsi="Meta Pro"/>
          <w:color w:val="000000"/>
          <w:szCs w:val="18"/>
          <w:lang w:eastAsia="en-AU"/>
        </w:rPr>
        <w:t xml:space="preserve"> </w:t>
      </w:r>
      <w:r>
        <w:rPr>
          <w:rFonts w:ascii="Meta Pro" w:eastAsia="Times New Roman" w:hAnsi="Meta Pro"/>
          <w:color w:val="000000"/>
          <w:szCs w:val="18"/>
          <w:lang w:eastAsia="en-AU"/>
        </w:rPr>
        <w:tab/>
      </w:r>
      <w:r>
        <w:rPr>
          <w:rFonts w:ascii="Meta Pro" w:eastAsia="Times New Roman" w:hAnsi="Meta Pro"/>
          <w:color w:val="000000"/>
          <w:szCs w:val="18"/>
          <w:lang w:eastAsia="en-AU"/>
        </w:rPr>
        <w:tab/>
      </w:r>
      <w:r>
        <w:rPr>
          <w:rFonts w:ascii="Meta Pro" w:eastAsia="Times New Roman" w:hAnsi="Meta Pro"/>
          <w:color w:val="000000"/>
          <w:szCs w:val="18"/>
          <w:lang w:eastAsia="en-AU"/>
        </w:rPr>
        <w:tab/>
      </w:r>
      <w:r w:rsidRPr="008A0B68">
        <w:rPr>
          <w:rFonts w:ascii="Meta Pro" w:eastAsia="Times New Roman" w:hAnsi="Meta Pro"/>
          <w:noProof/>
          <w:color w:val="000000"/>
          <w:szCs w:val="18"/>
          <w:lang w:eastAsia="en-AU"/>
        </w:rPr>
        <w:drawing>
          <wp:inline distT="0" distB="0" distL="0" distR="0" wp14:anchorId="23BB5D18" wp14:editId="32D2EEEA">
            <wp:extent cx="1333500" cy="531171"/>
            <wp:effectExtent l="0" t="0" r="0" b="254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36135" cy="532221"/>
                    </a:xfrm>
                    <a:prstGeom prst="rect">
                      <a:avLst/>
                    </a:prstGeom>
                    <a:noFill/>
                    <a:ln>
                      <a:noFill/>
                    </a:ln>
                  </pic:spPr>
                </pic:pic>
              </a:graphicData>
            </a:graphic>
          </wp:inline>
        </w:drawing>
      </w:r>
    </w:p>
    <w:p w14:paraId="04A722E2" w14:textId="77777777" w:rsidR="00BC5219" w:rsidRPr="008A2B8F" w:rsidRDefault="00BC5219" w:rsidP="00BC5219">
      <w:pPr>
        <w:spacing w:line="259" w:lineRule="auto"/>
        <w:jc w:val="both"/>
        <w:rPr>
          <w:rFonts w:ascii="Meta Pro" w:eastAsia="Times New Roman" w:hAnsi="Meta Pro"/>
          <w:color w:val="000000"/>
          <w:szCs w:val="18"/>
          <w:lang w:eastAsia="en-AU"/>
        </w:rPr>
      </w:pPr>
    </w:p>
    <w:p w14:paraId="1AF1F4DF" w14:textId="77777777" w:rsidR="00BC5219" w:rsidRPr="008A2B8F" w:rsidRDefault="00BC5219" w:rsidP="00BC5219">
      <w:pPr>
        <w:spacing w:line="259" w:lineRule="auto"/>
        <w:jc w:val="both"/>
        <w:rPr>
          <w:rFonts w:ascii="Meta Pro" w:eastAsia="Times New Roman" w:hAnsi="Meta Pro"/>
          <w:b/>
          <w:bCs/>
          <w:color w:val="000000"/>
          <w:szCs w:val="18"/>
          <w:lang w:eastAsia="en-AU"/>
        </w:rPr>
      </w:pPr>
      <w:r w:rsidRPr="008A2B8F">
        <w:rPr>
          <w:rFonts w:ascii="Meta Pro" w:eastAsia="Times New Roman" w:hAnsi="Meta Pro"/>
          <w:b/>
          <w:bCs/>
          <w:color w:val="000000"/>
          <w:sz w:val="20"/>
          <w:szCs w:val="20"/>
          <w:lang w:eastAsia="en-AU"/>
        </w:rPr>
        <w:t>Nick Shaw FCPA</w:t>
      </w:r>
      <w:r w:rsidRPr="008A2B8F">
        <w:rPr>
          <w:rFonts w:ascii="Meta Pro" w:hAnsi="Meta Pro" w:cs="Courier New"/>
          <w:b/>
          <w:bCs/>
        </w:rPr>
        <w:tab/>
      </w:r>
      <w:r w:rsidRPr="008A2B8F">
        <w:rPr>
          <w:rFonts w:ascii="Meta Pro" w:hAnsi="Meta Pro" w:cs="Courier New"/>
          <w:b/>
          <w:bCs/>
        </w:rPr>
        <w:tab/>
      </w:r>
      <w:r w:rsidRPr="008A2B8F">
        <w:rPr>
          <w:rFonts w:ascii="Meta Pro" w:hAnsi="Meta Pro" w:cs="Courier New"/>
          <w:b/>
          <w:bCs/>
        </w:rPr>
        <w:tab/>
      </w:r>
      <w:r w:rsidRPr="008A2B8F">
        <w:rPr>
          <w:rFonts w:ascii="Meta Pro" w:hAnsi="Meta Pro" w:cs="Courier New"/>
          <w:b/>
          <w:bCs/>
        </w:rPr>
        <w:tab/>
      </w:r>
      <w:r w:rsidRPr="008A2B8F">
        <w:rPr>
          <w:rFonts w:ascii="Meta Pro" w:hAnsi="Meta Pro" w:cs="Courier New"/>
          <w:b/>
          <w:bCs/>
        </w:rPr>
        <w:tab/>
      </w:r>
      <w:r w:rsidRPr="008A2B8F">
        <w:rPr>
          <w:rFonts w:ascii="Meta Pro" w:hAnsi="Meta Pro" w:cs="Courier New"/>
          <w:b/>
          <w:bCs/>
        </w:rPr>
        <w:tab/>
      </w:r>
      <w:r w:rsidRPr="008A2B8F">
        <w:rPr>
          <w:rFonts w:ascii="Meta Pro" w:hAnsi="Meta Pro" w:cs="Courier New"/>
          <w:b/>
          <w:bCs/>
        </w:rPr>
        <w:tab/>
      </w:r>
      <w:r w:rsidRPr="008A2B8F">
        <w:rPr>
          <w:rFonts w:ascii="Meta Pro" w:eastAsia="Times New Roman" w:hAnsi="Meta Pro"/>
          <w:b/>
          <w:bCs/>
          <w:color w:val="000000"/>
          <w:sz w:val="20"/>
          <w:szCs w:val="20"/>
          <w:lang w:eastAsia="en-AU"/>
        </w:rPr>
        <w:t>Sally Stannard BE/BA Hons, Dip Eng Prac</w:t>
      </w:r>
      <w:r w:rsidRPr="008A2B8F">
        <w:rPr>
          <w:rFonts w:ascii="Meta Pro" w:eastAsia="Times New Roman" w:hAnsi="Meta Pro"/>
          <w:b/>
          <w:bCs/>
          <w:color w:val="000000"/>
          <w:szCs w:val="18"/>
          <w:lang w:eastAsia="en-AU"/>
        </w:rPr>
        <w:tab/>
      </w:r>
      <w:r w:rsidRPr="008A2B8F">
        <w:rPr>
          <w:rFonts w:ascii="Meta Pro" w:eastAsia="Times New Roman" w:hAnsi="Meta Pro"/>
          <w:b/>
          <w:bCs/>
          <w:color w:val="000000"/>
          <w:szCs w:val="18"/>
          <w:lang w:eastAsia="en-AU"/>
        </w:rPr>
        <w:tab/>
      </w:r>
    </w:p>
    <w:p w14:paraId="4F4BCE67" w14:textId="77777777" w:rsidR="00BC5219" w:rsidRPr="008A2B8F" w:rsidRDefault="00BC5219" w:rsidP="00BC5219">
      <w:pPr>
        <w:spacing w:line="259" w:lineRule="auto"/>
        <w:jc w:val="both"/>
        <w:rPr>
          <w:rFonts w:ascii="Meta Pro" w:eastAsia="Times New Roman" w:hAnsi="Meta Pro"/>
          <w:b/>
          <w:bCs/>
          <w:color w:val="000000"/>
          <w:szCs w:val="18"/>
          <w:lang w:eastAsia="en-AU"/>
        </w:rPr>
      </w:pPr>
      <w:r w:rsidRPr="008A2B8F">
        <w:rPr>
          <w:rFonts w:ascii="Meta Pro" w:eastAsia="Times New Roman" w:hAnsi="Meta Pro"/>
          <w:color w:val="000000"/>
          <w:szCs w:val="18"/>
          <w:lang w:eastAsia="en-AU"/>
        </w:rPr>
        <w:t>Chief Finance Officer</w:t>
      </w:r>
      <w:r w:rsidRPr="008A2B8F">
        <w:rPr>
          <w:rFonts w:ascii="Meta Pro" w:hAnsi="Meta Pro" w:cs="Courier New"/>
        </w:rPr>
        <w:tab/>
      </w:r>
      <w:r w:rsidRPr="008A2B8F">
        <w:rPr>
          <w:rFonts w:ascii="Meta Pro" w:hAnsi="Meta Pro" w:cs="Courier New"/>
        </w:rPr>
        <w:tab/>
      </w:r>
      <w:r w:rsidRPr="008A2B8F">
        <w:rPr>
          <w:rFonts w:ascii="Meta Pro" w:hAnsi="Meta Pro" w:cs="Courier New"/>
        </w:rPr>
        <w:tab/>
      </w:r>
      <w:r w:rsidRPr="008A2B8F">
        <w:rPr>
          <w:rFonts w:ascii="Meta Pro" w:hAnsi="Meta Pro" w:cs="Courier New"/>
        </w:rPr>
        <w:tab/>
      </w:r>
      <w:r w:rsidRPr="008A2B8F">
        <w:rPr>
          <w:rFonts w:ascii="Meta Pro" w:hAnsi="Meta Pro" w:cs="Courier New"/>
        </w:rPr>
        <w:tab/>
      </w:r>
      <w:r w:rsidRPr="008A2B8F">
        <w:rPr>
          <w:rFonts w:ascii="Meta Pro" w:hAnsi="Meta Pro" w:cs="Courier New"/>
        </w:rPr>
        <w:tab/>
      </w:r>
      <w:r w:rsidRPr="008A2B8F">
        <w:rPr>
          <w:rFonts w:ascii="Meta Pro" w:hAnsi="Meta Pro" w:cs="Courier New"/>
        </w:rPr>
        <w:tab/>
      </w:r>
      <w:r w:rsidRPr="008A2B8F">
        <w:rPr>
          <w:rFonts w:ascii="Meta Pro" w:hAnsi="Meta Pro" w:cs="Courier New"/>
          <w:szCs w:val="18"/>
        </w:rPr>
        <w:t xml:space="preserve">Acting </w:t>
      </w:r>
      <w:r w:rsidRPr="008A2B8F">
        <w:rPr>
          <w:rFonts w:ascii="Meta Pro" w:eastAsia="Times New Roman" w:hAnsi="Meta Pro"/>
          <w:color w:val="000000"/>
          <w:szCs w:val="18"/>
          <w:lang w:eastAsia="en-AU"/>
        </w:rPr>
        <w:t>Director-General</w:t>
      </w:r>
      <w:r w:rsidRPr="008A2B8F">
        <w:rPr>
          <w:rFonts w:ascii="Meta Pro" w:hAnsi="Meta Pro" w:cs="Courier New"/>
          <w:szCs w:val="18"/>
        </w:rPr>
        <w:tab/>
      </w:r>
      <w:r w:rsidRPr="008A2B8F">
        <w:rPr>
          <w:rFonts w:ascii="Meta Pro" w:eastAsia="Times New Roman" w:hAnsi="Meta Pro"/>
          <w:b/>
          <w:bCs/>
          <w:color w:val="000000"/>
          <w:szCs w:val="18"/>
          <w:lang w:eastAsia="en-AU"/>
        </w:rPr>
        <w:tab/>
      </w:r>
      <w:r w:rsidRPr="008A2B8F">
        <w:rPr>
          <w:rFonts w:ascii="Meta Pro" w:eastAsia="Times New Roman" w:hAnsi="Meta Pro"/>
          <w:b/>
          <w:bCs/>
          <w:color w:val="000000"/>
          <w:szCs w:val="18"/>
          <w:lang w:eastAsia="en-AU"/>
        </w:rPr>
        <w:tab/>
      </w:r>
    </w:p>
    <w:p w14:paraId="2A3A1285" w14:textId="77777777" w:rsidR="00BC5219" w:rsidRPr="008A2B8F" w:rsidRDefault="00BC5219" w:rsidP="00BC5219">
      <w:pPr>
        <w:spacing w:before="120" w:line="259" w:lineRule="auto"/>
        <w:jc w:val="both"/>
        <w:rPr>
          <w:rFonts w:ascii="Meta Pro" w:eastAsia="Times New Roman" w:hAnsi="Meta Pro"/>
          <w:b/>
          <w:bCs/>
          <w:color w:val="000000"/>
          <w:szCs w:val="18"/>
          <w:lang w:eastAsia="en-AU"/>
        </w:rPr>
      </w:pPr>
      <w:r w:rsidRPr="008A2B8F">
        <w:rPr>
          <w:rFonts w:ascii="Meta Pro" w:eastAsia="Times New Roman" w:hAnsi="Meta Pro"/>
          <w:color w:val="000000"/>
          <w:szCs w:val="18"/>
          <w:lang w:eastAsia="en-AU"/>
        </w:rPr>
        <w:t>29 August 2023</w:t>
      </w:r>
      <w:r w:rsidRPr="008A2B8F">
        <w:rPr>
          <w:rFonts w:ascii="Meta Pro" w:eastAsia="Times New Roman" w:hAnsi="Meta Pro"/>
          <w:color w:val="000000"/>
          <w:szCs w:val="18"/>
          <w:lang w:eastAsia="en-AU"/>
        </w:rPr>
        <w:tab/>
      </w:r>
      <w:r w:rsidRPr="008A2B8F">
        <w:rPr>
          <w:rFonts w:ascii="Meta Pro" w:eastAsia="Times New Roman" w:hAnsi="Meta Pro"/>
          <w:color w:val="000000"/>
          <w:szCs w:val="18"/>
          <w:lang w:eastAsia="en-AU"/>
        </w:rPr>
        <w:tab/>
      </w:r>
      <w:r w:rsidRPr="008A2B8F">
        <w:rPr>
          <w:rFonts w:ascii="Meta Pro" w:eastAsia="Times New Roman" w:hAnsi="Meta Pro"/>
          <w:color w:val="000000"/>
          <w:szCs w:val="18"/>
          <w:lang w:eastAsia="en-AU"/>
        </w:rPr>
        <w:tab/>
      </w:r>
      <w:r w:rsidRPr="008A2B8F">
        <w:rPr>
          <w:rFonts w:ascii="Meta Pro" w:eastAsia="Times New Roman" w:hAnsi="Meta Pro"/>
          <w:color w:val="000000"/>
          <w:szCs w:val="18"/>
          <w:lang w:eastAsia="en-AU"/>
        </w:rPr>
        <w:tab/>
      </w:r>
      <w:r w:rsidRPr="008A2B8F">
        <w:rPr>
          <w:rFonts w:ascii="Meta Pro" w:eastAsia="Times New Roman" w:hAnsi="Meta Pro"/>
          <w:color w:val="000000"/>
          <w:szCs w:val="18"/>
          <w:lang w:eastAsia="en-AU"/>
        </w:rPr>
        <w:tab/>
      </w:r>
      <w:r w:rsidRPr="008A2B8F">
        <w:rPr>
          <w:rFonts w:ascii="Meta Pro" w:eastAsia="Times New Roman" w:hAnsi="Meta Pro"/>
          <w:color w:val="000000"/>
          <w:szCs w:val="18"/>
          <w:lang w:eastAsia="en-AU"/>
        </w:rPr>
        <w:tab/>
      </w:r>
      <w:r w:rsidRPr="008A2B8F">
        <w:rPr>
          <w:rFonts w:ascii="Meta Pro" w:eastAsia="Times New Roman" w:hAnsi="Meta Pro"/>
          <w:color w:val="000000"/>
          <w:szCs w:val="18"/>
          <w:lang w:eastAsia="en-AU"/>
        </w:rPr>
        <w:tab/>
        <w:t>29 August 2023</w:t>
      </w:r>
      <w:r w:rsidRPr="008A2B8F">
        <w:rPr>
          <w:rFonts w:ascii="Meta Pro" w:hAnsi="Meta Pro" w:cs="Courier New"/>
        </w:rPr>
        <w:tab/>
      </w:r>
      <w:r w:rsidRPr="008A2B8F">
        <w:rPr>
          <w:rFonts w:ascii="Meta Pro" w:eastAsia="Times New Roman" w:hAnsi="Meta Pro"/>
          <w:b/>
          <w:bCs/>
          <w:color w:val="000000"/>
          <w:szCs w:val="18"/>
          <w:lang w:eastAsia="en-AU"/>
        </w:rPr>
        <w:tab/>
      </w:r>
      <w:r w:rsidRPr="008A2B8F">
        <w:rPr>
          <w:rFonts w:ascii="Meta Pro" w:eastAsia="Times New Roman" w:hAnsi="Meta Pro"/>
          <w:b/>
          <w:bCs/>
          <w:color w:val="000000"/>
          <w:szCs w:val="18"/>
          <w:lang w:eastAsia="en-AU"/>
        </w:rPr>
        <w:tab/>
      </w:r>
      <w:r w:rsidRPr="008A2B8F">
        <w:rPr>
          <w:rFonts w:ascii="Meta Pro" w:eastAsia="Times New Roman" w:hAnsi="Meta Pro"/>
          <w:b/>
          <w:bCs/>
          <w:color w:val="000000"/>
          <w:szCs w:val="18"/>
          <w:lang w:eastAsia="en-AU"/>
        </w:rPr>
        <w:tab/>
      </w:r>
      <w:r w:rsidRPr="008A2B8F">
        <w:rPr>
          <w:rFonts w:ascii="Meta Pro" w:eastAsia="Times New Roman" w:hAnsi="Meta Pro"/>
          <w:b/>
          <w:bCs/>
          <w:color w:val="000000"/>
          <w:szCs w:val="18"/>
          <w:lang w:eastAsia="en-AU"/>
        </w:rPr>
        <w:tab/>
      </w:r>
      <w:r w:rsidRPr="008A2B8F">
        <w:rPr>
          <w:rFonts w:ascii="Meta Pro" w:eastAsia="Times New Roman" w:hAnsi="Meta Pro"/>
          <w:b/>
          <w:bCs/>
          <w:color w:val="000000"/>
          <w:szCs w:val="18"/>
          <w:lang w:eastAsia="en-AU"/>
        </w:rPr>
        <w:tab/>
      </w:r>
    </w:p>
    <w:p w14:paraId="7CE29D78" w14:textId="4192A590" w:rsidR="001D2E68" w:rsidRDefault="001D2E68">
      <w:pPr>
        <w:spacing w:before="0" w:after="160" w:line="259" w:lineRule="auto"/>
        <w:rPr>
          <w:rFonts w:ascii="Meta Pro" w:eastAsia="Times New Roman" w:hAnsi="Meta Pro"/>
          <w:b/>
          <w:bCs/>
          <w:color w:val="000000"/>
          <w:szCs w:val="18"/>
          <w:lang w:eastAsia="en-AU"/>
        </w:rPr>
      </w:pPr>
    </w:p>
    <w:p w14:paraId="31E66C0B" w14:textId="6FCBA20F" w:rsidR="00BC5219" w:rsidRDefault="00BC5219">
      <w:pPr>
        <w:spacing w:before="0" w:after="160" w:line="259" w:lineRule="auto"/>
        <w:rPr>
          <w:rFonts w:ascii="Meta Pro" w:eastAsia="Times New Roman" w:hAnsi="Meta Pro"/>
          <w:b/>
          <w:bCs/>
          <w:color w:val="000000"/>
          <w:szCs w:val="18"/>
          <w:lang w:eastAsia="en-AU"/>
        </w:rPr>
      </w:pPr>
      <w:r>
        <w:rPr>
          <w:rFonts w:ascii="Meta Pro" w:eastAsia="Times New Roman" w:hAnsi="Meta Pro"/>
          <w:b/>
          <w:bCs/>
          <w:color w:val="000000"/>
          <w:szCs w:val="18"/>
          <w:lang w:eastAsia="en-AU"/>
        </w:rPr>
        <w:br w:type="page"/>
      </w:r>
    </w:p>
    <w:p w14:paraId="7214FEE6" w14:textId="77777777" w:rsidR="00BC5219" w:rsidRDefault="00BC5219">
      <w:pPr>
        <w:spacing w:before="0" w:after="160" w:line="259" w:lineRule="auto"/>
        <w:rPr>
          <w:rFonts w:ascii="Meta Pro" w:eastAsia="Times New Roman" w:hAnsi="Meta Pro"/>
          <w:b/>
          <w:bCs/>
          <w:color w:val="000000"/>
          <w:szCs w:val="18"/>
          <w:lang w:eastAsia="en-AU"/>
        </w:rPr>
      </w:pPr>
    </w:p>
    <w:p w14:paraId="6581A553" w14:textId="77777777" w:rsidR="006D5007" w:rsidRDefault="006D5007" w:rsidP="006D5007">
      <w:pPr>
        <w:autoSpaceDE w:val="0"/>
        <w:autoSpaceDN w:val="0"/>
        <w:adjustRightInd w:val="0"/>
        <w:spacing w:before="0"/>
        <w:rPr>
          <w:rFonts w:ascii="Arial-BoldMT" w:hAnsi="Arial-BoldMT" w:cs="Arial-BoldMT"/>
          <w:b/>
          <w:bCs/>
          <w:sz w:val="24"/>
          <w:szCs w:val="24"/>
          <w:lang w:val="en-AU"/>
        </w:rPr>
      </w:pPr>
      <w:r w:rsidRPr="00FE7856">
        <w:rPr>
          <w:rFonts w:ascii="Arial-BoldMT" w:hAnsi="Arial-BoldMT" w:cs="Arial-BoldMT"/>
          <w:b/>
          <w:bCs/>
          <w:noProof/>
          <w:sz w:val="24"/>
          <w:szCs w:val="24"/>
          <w:lang w:val="en-AU"/>
        </w:rPr>
        <w:drawing>
          <wp:inline distT="0" distB="0" distL="0" distR="0" wp14:anchorId="3D01D427" wp14:editId="288EBDC9">
            <wp:extent cx="2057400" cy="732980"/>
            <wp:effectExtent l="0" t="0" r="0" b="0"/>
            <wp:docPr id="15" name="Picture 15" descr="Chief Audit Offic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ief Audit Office logo "/>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066101" cy="736080"/>
                    </a:xfrm>
                    <a:prstGeom prst="rect">
                      <a:avLst/>
                    </a:prstGeom>
                    <a:noFill/>
                    <a:ln>
                      <a:noFill/>
                    </a:ln>
                  </pic:spPr>
                </pic:pic>
              </a:graphicData>
            </a:graphic>
          </wp:inline>
        </w:drawing>
      </w:r>
    </w:p>
    <w:p w14:paraId="39B052F8" w14:textId="77777777" w:rsidR="006D5007" w:rsidRDefault="006D5007" w:rsidP="006D5007">
      <w:pPr>
        <w:autoSpaceDE w:val="0"/>
        <w:autoSpaceDN w:val="0"/>
        <w:adjustRightInd w:val="0"/>
        <w:spacing w:before="0"/>
        <w:rPr>
          <w:rFonts w:ascii="Arial-BoldMT" w:hAnsi="Arial-BoldMT" w:cs="Arial-BoldMT"/>
          <w:b/>
          <w:bCs/>
          <w:sz w:val="24"/>
          <w:szCs w:val="24"/>
          <w:lang w:val="en-AU"/>
        </w:rPr>
      </w:pPr>
    </w:p>
    <w:p w14:paraId="3C6BCA90" w14:textId="77777777" w:rsidR="006D5007" w:rsidRDefault="006D5007" w:rsidP="006D5007">
      <w:pPr>
        <w:autoSpaceDE w:val="0"/>
        <w:autoSpaceDN w:val="0"/>
        <w:adjustRightInd w:val="0"/>
        <w:spacing w:before="0"/>
        <w:rPr>
          <w:rFonts w:ascii="Arial-BoldMT" w:hAnsi="Arial-BoldMT" w:cs="Arial-BoldMT"/>
          <w:b/>
          <w:bCs/>
          <w:sz w:val="24"/>
          <w:szCs w:val="24"/>
          <w:lang w:val="en-AU"/>
        </w:rPr>
      </w:pPr>
      <w:r>
        <w:rPr>
          <w:rFonts w:ascii="Arial-BoldMT" w:hAnsi="Arial-BoldMT" w:cs="Arial-BoldMT"/>
          <w:b/>
          <w:bCs/>
          <w:sz w:val="24"/>
          <w:szCs w:val="24"/>
          <w:lang w:val="en-AU"/>
        </w:rPr>
        <w:t>INDEPENDENT AUDITOR’S REPORT</w:t>
      </w:r>
    </w:p>
    <w:p w14:paraId="0E46C152" w14:textId="77777777" w:rsidR="006D5007" w:rsidRDefault="006D5007" w:rsidP="006D5007">
      <w:pPr>
        <w:autoSpaceDE w:val="0"/>
        <w:autoSpaceDN w:val="0"/>
        <w:adjustRightInd w:val="0"/>
        <w:spacing w:before="0"/>
        <w:rPr>
          <w:rFonts w:ascii="Arial-BoldMT" w:hAnsi="Arial-BoldMT" w:cs="Arial-BoldMT"/>
          <w:b/>
          <w:bCs/>
          <w:sz w:val="24"/>
          <w:szCs w:val="24"/>
          <w:lang w:val="en-AU"/>
        </w:rPr>
      </w:pPr>
    </w:p>
    <w:p w14:paraId="4B731372" w14:textId="77777777" w:rsidR="006D5007" w:rsidRDefault="006D5007" w:rsidP="006D5007">
      <w:pPr>
        <w:autoSpaceDE w:val="0"/>
        <w:autoSpaceDN w:val="0"/>
        <w:adjustRightInd w:val="0"/>
        <w:spacing w:before="0"/>
        <w:rPr>
          <w:sz w:val="22"/>
          <w:lang w:val="en-AU"/>
        </w:rPr>
      </w:pPr>
      <w:r>
        <w:rPr>
          <w:sz w:val="22"/>
          <w:lang w:val="en-AU"/>
        </w:rPr>
        <w:t>To the Accountable Officer of the Department of Transport and Main Roads</w:t>
      </w:r>
    </w:p>
    <w:p w14:paraId="18BDE025" w14:textId="77777777" w:rsidR="006D5007" w:rsidRDefault="006D5007" w:rsidP="006D5007">
      <w:pPr>
        <w:autoSpaceDE w:val="0"/>
        <w:autoSpaceDN w:val="0"/>
        <w:adjustRightInd w:val="0"/>
        <w:spacing w:before="0"/>
        <w:rPr>
          <w:sz w:val="22"/>
          <w:lang w:val="en-AU"/>
        </w:rPr>
      </w:pPr>
    </w:p>
    <w:p w14:paraId="474CBC37" w14:textId="77777777" w:rsidR="006D5007" w:rsidRDefault="006D5007" w:rsidP="006D5007">
      <w:pPr>
        <w:autoSpaceDE w:val="0"/>
        <w:autoSpaceDN w:val="0"/>
        <w:adjustRightInd w:val="0"/>
        <w:spacing w:before="0"/>
        <w:rPr>
          <w:b/>
          <w:bCs/>
          <w:sz w:val="24"/>
          <w:szCs w:val="24"/>
          <w:lang w:val="en-AU"/>
        </w:rPr>
      </w:pPr>
      <w:r>
        <w:rPr>
          <w:b/>
          <w:bCs/>
          <w:sz w:val="24"/>
          <w:szCs w:val="24"/>
          <w:lang w:val="en-AU"/>
        </w:rPr>
        <w:t>Report on the audit of the financial report</w:t>
      </w:r>
    </w:p>
    <w:p w14:paraId="65DD5C79" w14:textId="77777777" w:rsidR="006D5007" w:rsidRDefault="006D5007" w:rsidP="006D5007">
      <w:pPr>
        <w:autoSpaceDE w:val="0"/>
        <w:autoSpaceDN w:val="0"/>
        <w:adjustRightInd w:val="0"/>
        <w:spacing w:before="0"/>
        <w:rPr>
          <w:b/>
          <w:bCs/>
          <w:sz w:val="24"/>
          <w:szCs w:val="24"/>
          <w:lang w:val="en-AU"/>
        </w:rPr>
      </w:pPr>
    </w:p>
    <w:p w14:paraId="78318DA2" w14:textId="77777777" w:rsidR="006D5007" w:rsidRDefault="006D5007" w:rsidP="006D5007">
      <w:pPr>
        <w:autoSpaceDE w:val="0"/>
        <w:autoSpaceDN w:val="0"/>
        <w:adjustRightInd w:val="0"/>
        <w:spacing w:before="0"/>
        <w:rPr>
          <w:b/>
          <w:bCs/>
          <w:sz w:val="22"/>
          <w:lang w:val="en-AU"/>
        </w:rPr>
      </w:pPr>
      <w:r>
        <w:rPr>
          <w:b/>
          <w:bCs/>
          <w:sz w:val="22"/>
          <w:lang w:val="en-AU"/>
        </w:rPr>
        <w:t>Opinion</w:t>
      </w:r>
    </w:p>
    <w:p w14:paraId="20136D79" w14:textId="77777777" w:rsidR="006D5007" w:rsidRDefault="006D5007" w:rsidP="006D5007">
      <w:pPr>
        <w:autoSpaceDE w:val="0"/>
        <w:autoSpaceDN w:val="0"/>
        <w:adjustRightInd w:val="0"/>
        <w:spacing w:before="0"/>
        <w:rPr>
          <w:b/>
          <w:bCs/>
          <w:sz w:val="22"/>
          <w:lang w:val="en-AU"/>
        </w:rPr>
      </w:pPr>
    </w:p>
    <w:p w14:paraId="245B8AE8" w14:textId="77777777" w:rsidR="006D5007" w:rsidRDefault="006D5007" w:rsidP="006D5007">
      <w:pPr>
        <w:autoSpaceDE w:val="0"/>
        <w:autoSpaceDN w:val="0"/>
        <w:adjustRightInd w:val="0"/>
        <w:spacing w:before="0"/>
        <w:rPr>
          <w:sz w:val="22"/>
          <w:lang w:val="en-AU"/>
        </w:rPr>
      </w:pPr>
      <w:r>
        <w:rPr>
          <w:sz w:val="22"/>
          <w:lang w:val="en-AU"/>
        </w:rPr>
        <w:t>I have audited the accompanying financial report of the Department of Transport and Main Roads.</w:t>
      </w:r>
    </w:p>
    <w:p w14:paraId="66ECB8DA" w14:textId="77777777" w:rsidR="006D5007" w:rsidRDefault="006D5007" w:rsidP="006D5007">
      <w:pPr>
        <w:autoSpaceDE w:val="0"/>
        <w:autoSpaceDN w:val="0"/>
        <w:adjustRightInd w:val="0"/>
        <w:spacing w:before="0"/>
        <w:rPr>
          <w:sz w:val="22"/>
          <w:lang w:val="en-AU"/>
        </w:rPr>
      </w:pPr>
    </w:p>
    <w:p w14:paraId="227C637B" w14:textId="77777777" w:rsidR="006D5007" w:rsidRDefault="006D5007" w:rsidP="006D5007">
      <w:pPr>
        <w:autoSpaceDE w:val="0"/>
        <w:autoSpaceDN w:val="0"/>
        <w:adjustRightInd w:val="0"/>
        <w:spacing w:before="0"/>
        <w:rPr>
          <w:sz w:val="22"/>
          <w:lang w:val="en-AU"/>
        </w:rPr>
      </w:pPr>
      <w:r>
        <w:rPr>
          <w:sz w:val="22"/>
          <w:lang w:val="en-AU"/>
        </w:rPr>
        <w:t>In my opinion, the financial report:</w:t>
      </w:r>
    </w:p>
    <w:p w14:paraId="190128D2" w14:textId="77777777" w:rsidR="006D5007" w:rsidRDefault="006D5007" w:rsidP="006D5007">
      <w:pPr>
        <w:autoSpaceDE w:val="0"/>
        <w:autoSpaceDN w:val="0"/>
        <w:adjustRightInd w:val="0"/>
        <w:spacing w:before="0"/>
        <w:rPr>
          <w:sz w:val="22"/>
          <w:lang w:val="en-AU"/>
        </w:rPr>
      </w:pPr>
      <w:r>
        <w:rPr>
          <w:sz w:val="22"/>
          <w:lang w:val="en-AU"/>
        </w:rPr>
        <w:t>a) gives a true and fair view of the department's financial position as at 30 June 2023, and its financial performance and cash flows for the year then ended</w:t>
      </w:r>
    </w:p>
    <w:p w14:paraId="5C87D089" w14:textId="77777777" w:rsidR="006D5007" w:rsidRDefault="006D5007" w:rsidP="006D5007">
      <w:pPr>
        <w:autoSpaceDE w:val="0"/>
        <w:autoSpaceDN w:val="0"/>
        <w:adjustRightInd w:val="0"/>
        <w:spacing w:before="0"/>
        <w:rPr>
          <w:sz w:val="22"/>
          <w:lang w:val="en-AU"/>
        </w:rPr>
      </w:pPr>
      <w:r>
        <w:rPr>
          <w:sz w:val="22"/>
          <w:lang w:val="en-AU"/>
        </w:rPr>
        <w:t xml:space="preserve">b) complies with the </w:t>
      </w:r>
      <w:r>
        <w:rPr>
          <w:i/>
          <w:iCs/>
          <w:sz w:val="22"/>
          <w:lang w:val="en-AU"/>
        </w:rPr>
        <w:t>Financial Accountability Act 2009</w:t>
      </w:r>
      <w:r>
        <w:rPr>
          <w:sz w:val="22"/>
          <w:lang w:val="en-AU"/>
        </w:rPr>
        <w:t xml:space="preserve">, the </w:t>
      </w:r>
      <w:r>
        <w:rPr>
          <w:i/>
          <w:iCs/>
          <w:sz w:val="22"/>
          <w:lang w:val="en-AU"/>
        </w:rPr>
        <w:t xml:space="preserve">Financial and Performance Management Standard 2019 </w:t>
      </w:r>
      <w:r>
        <w:rPr>
          <w:sz w:val="22"/>
          <w:lang w:val="en-AU"/>
        </w:rPr>
        <w:t>and Australian Accounting Standards.</w:t>
      </w:r>
    </w:p>
    <w:p w14:paraId="61580636" w14:textId="77777777" w:rsidR="006D5007" w:rsidRDefault="006D5007" w:rsidP="006D5007">
      <w:pPr>
        <w:autoSpaceDE w:val="0"/>
        <w:autoSpaceDN w:val="0"/>
        <w:adjustRightInd w:val="0"/>
        <w:spacing w:before="0"/>
        <w:rPr>
          <w:sz w:val="22"/>
          <w:lang w:val="en-AU"/>
        </w:rPr>
      </w:pPr>
    </w:p>
    <w:p w14:paraId="08F33BC8" w14:textId="77777777" w:rsidR="006D5007" w:rsidRDefault="006D5007" w:rsidP="006D5007">
      <w:pPr>
        <w:autoSpaceDE w:val="0"/>
        <w:autoSpaceDN w:val="0"/>
        <w:adjustRightInd w:val="0"/>
        <w:spacing w:before="0"/>
        <w:rPr>
          <w:sz w:val="22"/>
          <w:lang w:val="en-AU"/>
        </w:rPr>
      </w:pPr>
      <w:r>
        <w:rPr>
          <w:sz w:val="22"/>
          <w:lang w:val="en-AU"/>
        </w:rPr>
        <w:t>The financial report comprises the statement of financial position and statement of assets and liabilities by major departmental service as at 30 June 2023, the statement of comprehensive income, statement of changes in equity, statement of cash flows and statement of comprehensive income by major departmental service for the year then ended, notes to the financial statements including summaries of significant accounting policies and other explanatory information, and the management certificate.</w:t>
      </w:r>
    </w:p>
    <w:p w14:paraId="76492C4A" w14:textId="77777777" w:rsidR="006D5007" w:rsidRDefault="006D5007" w:rsidP="006D5007">
      <w:pPr>
        <w:autoSpaceDE w:val="0"/>
        <w:autoSpaceDN w:val="0"/>
        <w:adjustRightInd w:val="0"/>
        <w:spacing w:before="0"/>
        <w:rPr>
          <w:sz w:val="22"/>
          <w:lang w:val="en-AU"/>
        </w:rPr>
      </w:pPr>
    </w:p>
    <w:p w14:paraId="7034FB68" w14:textId="77777777" w:rsidR="006D5007" w:rsidRDefault="006D5007" w:rsidP="006D5007">
      <w:pPr>
        <w:autoSpaceDE w:val="0"/>
        <w:autoSpaceDN w:val="0"/>
        <w:adjustRightInd w:val="0"/>
        <w:spacing w:before="0"/>
        <w:rPr>
          <w:b/>
          <w:bCs/>
          <w:sz w:val="22"/>
          <w:lang w:val="en-AU"/>
        </w:rPr>
      </w:pPr>
      <w:r>
        <w:rPr>
          <w:b/>
          <w:bCs/>
          <w:sz w:val="22"/>
          <w:lang w:val="en-AU"/>
        </w:rPr>
        <w:t>Basis for opinion</w:t>
      </w:r>
    </w:p>
    <w:p w14:paraId="3B9DAD9B" w14:textId="77777777" w:rsidR="006D5007" w:rsidRDefault="006D5007" w:rsidP="006D5007">
      <w:pPr>
        <w:autoSpaceDE w:val="0"/>
        <w:autoSpaceDN w:val="0"/>
        <w:adjustRightInd w:val="0"/>
        <w:spacing w:before="0"/>
        <w:rPr>
          <w:b/>
          <w:bCs/>
          <w:sz w:val="22"/>
          <w:lang w:val="en-AU"/>
        </w:rPr>
      </w:pPr>
    </w:p>
    <w:p w14:paraId="2B19F1A5" w14:textId="77777777" w:rsidR="006D5007" w:rsidRDefault="006D5007" w:rsidP="006D5007">
      <w:pPr>
        <w:autoSpaceDE w:val="0"/>
        <w:autoSpaceDN w:val="0"/>
        <w:adjustRightInd w:val="0"/>
        <w:spacing w:before="0"/>
        <w:rPr>
          <w:sz w:val="22"/>
          <w:lang w:val="en-AU"/>
        </w:rPr>
      </w:pPr>
      <w:r>
        <w:rPr>
          <w:sz w:val="22"/>
          <w:lang w:val="en-AU"/>
        </w:rPr>
        <w:t xml:space="preserve">I conducted my audit in accordance with the </w:t>
      </w:r>
      <w:r>
        <w:rPr>
          <w:i/>
          <w:iCs/>
          <w:sz w:val="22"/>
          <w:lang w:val="en-AU"/>
        </w:rPr>
        <w:t>Auditor-General Auditing Standards</w:t>
      </w:r>
      <w:r>
        <w:rPr>
          <w:sz w:val="22"/>
          <w:lang w:val="en-AU"/>
        </w:rPr>
        <w:t xml:space="preserve">, which incorporate the Australian Auditing Standards. My responsibilities under those standards are further described in the </w:t>
      </w:r>
      <w:r>
        <w:rPr>
          <w:rFonts w:ascii="Arial-ItalicMT" w:hAnsi="Arial-ItalicMT" w:cs="Arial-ItalicMT"/>
          <w:i/>
          <w:iCs/>
          <w:sz w:val="22"/>
          <w:lang w:val="en-AU"/>
        </w:rPr>
        <w:t xml:space="preserve">Auditor’s Responsibilities for the Audit of the Financial Report </w:t>
      </w:r>
      <w:r>
        <w:rPr>
          <w:sz w:val="22"/>
          <w:lang w:val="en-AU"/>
        </w:rPr>
        <w:t>section of my report.</w:t>
      </w:r>
    </w:p>
    <w:p w14:paraId="1D5814B8" w14:textId="77777777" w:rsidR="006D5007" w:rsidRDefault="006D5007" w:rsidP="006D5007">
      <w:pPr>
        <w:autoSpaceDE w:val="0"/>
        <w:autoSpaceDN w:val="0"/>
        <w:adjustRightInd w:val="0"/>
        <w:spacing w:before="0"/>
        <w:rPr>
          <w:sz w:val="22"/>
          <w:lang w:val="en-AU"/>
        </w:rPr>
      </w:pPr>
    </w:p>
    <w:p w14:paraId="571F9F26" w14:textId="77777777" w:rsidR="006D5007" w:rsidRDefault="006D5007" w:rsidP="006D5007">
      <w:pPr>
        <w:autoSpaceDE w:val="0"/>
        <w:autoSpaceDN w:val="0"/>
        <w:adjustRightInd w:val="0"/>
        <w:spacing w:before="0"/>
        <w:rPr>
          <w:sz w:val="22"/>
          <w:lang w:val="en-AU"/>
        </w:rPr>
      </w:pPr>
      <w:r>
        <w:rPr>
          <w:sz w:val="22"/>
          <w:lang w:val="en-AU"/>
        </w:rPr>
        <w:t xml:space="preserve">I am independent of the department in accordance with the ethical requirements of the </w:t>
      </w:r>
      <w:r>
        <w:rPr>
          <w:rFonts w:ascii="ArialMT" w:hAnsi="ArialMT" w:cs="ArialMT"/>
          <w:sz w:val="22"/>
          <w:lang w:val="en-AU"/>
        </w:rPr>
        <w:t xml:space="preserve">Accounting Professional and Ethical Standards Board’s APES 110 </w:t>
      </w:r>
      <w:r>
        <w:rPr>
          <w:i/>
          <w:iCs/>
          <w:sz w:val="22"/>
          <w:lang w:val="en-AU"/>
        </w:rPr>
        <w:t xml:space="preserve">Code of Ethics for Professional Accountants </w:t>
      </w:r>
      <w:r>
        <w:rPr>
          <w:sz w:val="22"/>
          <w:lang w:val="en-AU"/>
        </w:rPr>
        <w:t xml:space="preserve">(the Code) that are relevant to my audit of the financial report in Australia. I have also fulfilled my other ethical responsibilities in accordance with the Code and the </w:t>
      </w:r>
      <w:r>
        <w:rPr>
          <w:i/>
          <w:iCs/>
          <w:sz w:val="22"/>
          <w:lang w:val="en-AU"/>
        </w:rPr>
        <w:t>Auditor-General Auditing Standards</w:t>
      </w:r>
      <w:r>
        <w:rPr>
          <w:sz w:val="22"/>
          <w:lang w:val="en-AU"/>
        </w:rPr>
        <w:t>.</w:t>
      </w:r>
    </w:p>
    <w:p w14:paraId="73295981" w14:textId="77777777" w:rsidR="006D5007" w:rsidRDefault="006D5007" w:rsidP="006D5007">
      <w:pPr>
        <w:autoSpaceDE w:val="0"/>
        <w:autoSpaceDN w:val="0"/>
        <w:adjustRightInd w:val="0"/>
        <w:spacing w:before="0"/>
        <w:rPr>
          <w:sz w:val="22"/>
          <w:lang w:val="en-AU"/>
        </w:rPr>
      </w:pPr>
    </w:p>
    <w:p w14:paraId="145BAEDD" w14:textId="77777777" w:rsidR="006D5007" w:rsidRDefault="006D5007" w:rsidP="006D5007">
      <w:pPr>
        <w:autoSpaceDE w:val="0"/>
        <w:autoSpaceDN w:val="0"/>
        <w:adjustRightInd w:val="0"/>
        <w:spacing w:before="0"/>
        <w:rPr>
          <w:sz w:val="22"/>
          <w:lang w:val="en-AU"/>
        </w:rPr>
      </w:pPr>
      <w:r>
        <w:rPr>
          <w:sz w:val="22"/>
          <w:lang w:val="en-AU"/>
        </w:rPr>
        <w:t>I believe that the audit evidence I have obtained is sufficient and appropriate to provide a basis for my opinion.</w:t>
      </w:r>
    </w:p>
    <w:p w14:paraId="1C5017A6" w14:textId="77777777" w:rsidR="006D5007" w:rsidRDefault="006D5007" w:rsidP="006D5007">
      <w:pPr>
        <w:autoSpaceDE w:val="0"/>
        <w:autoSpaceDN w:val="0"/>
        <w:adjustRightInd w:val="0"/>
        <w:spacing w:before="0"/>
        <w:rPr>
          <w:sz w:val="22"/>
          <w:lang w:val="en-AU"/>
        </w:rPr>
      </w:pPr>
    </w:p>
    <w:p w14:paraId="47A7FA18" w14:textId="77777777" w:rsidR="006D5007" w:rsidRDefault="006D5007" w:rsidP="006D5007">
      <w:pPr>
        <w:autoSpaceDE w:val="0"/>
        <w:autoSpaceDN w:val="0"/>
        <w:adjustRightInd w:val="0"/>
        <w:spacing w:before="0"/>
        <w:rPr>
          <w:b/>
          <w:bCs/>
          <w:i/>
          <w:iCs/>
          <w:color w:val="0D0D0D"/>
          <w:sz w:val="21"/>
          <w:szCs w:val="21"/>
          <w:lang w:val="en-AU"/>
        </w:rPr>
      </w:pPr>
      <w:r>
        <w:rPr>
          <w:b/>
          <w:bCs/>
          <w:i/>
          <w:iCs/>
          <w:color w:val="0D0D0D"/>
          <w:sz w:val="21"/>
          <w:szCs w:val="21"/>
          <w:lang w:val="en-AU"/>
        </w:rPr>
        <w:t>Valuation of infrastructure assets ($86.560 billion) and estimating depreciation expense</w:t>
      </w:r>
    </w:p>
    <w:p w14:paraId="12324CCE" w14:textId="77777777" w:rsidR="006D5007" w:rsidRDefault="006D5007" w:rsidP="006D5007">
      <w:pPr>
        <w:autoSpaceDE w:val="0"/>
        <w:autoSpaceDN w:val="0"/>
        <w:adjustRightInd w:val="0"/>
        <w:spacing w:before="0"/>
        <w:rPr>
          <w:b/>
          <w:bCs/>
          <w:i/>
          <w:iCs/>
          <w:color w:val="0D0D0D"/>
          <w:sz w:val="21"/>
          <w:szCs w:val="21"/>
          <w:lang w:val="en-AU"/>
        </w:rPr>
      </w:pPr>
      <w:r>
        <w:rPr>
          <w:b/>
          <w:bCs/>
          <w:i/>
          <w:iCs/>
          <w:color w:val="0D0D0D"/>
          <w:sz w:val="21"/>
          <w:szCs w:val="21"/>
          <w:lang w:val="en-AU"/>
        </w:rPr>
        <w:t>($1.157 billion)</w:t>
      </w:r>
    </w:p>
    <w:p w14:paraId="2EB92566" w14:textId="77777777" w:rsidR="006D5007" w:rsidRDefault="006D5007" w:rsidP="006D5007">
      <w:pPr>
        <w:autoSpaceDE w:val="0"/>
        <w:autoSpaceDN w:val="0"/>
        <w:adjustRightInd w:val="0"/>
        <w:spacing w:before="0"/>
        <w:rPr>
          <w:b/>
          <w:bCs/>
          <w:i/>
          <w:iCs/>
          <w:color w:val="0D0D0D"/>
          <w:sz w:val="21"/>
          <w:szCs w:val="21"/>
          <w:lang w:val="en-AU"/>
        </w:rPr>
      </w:pPr>
    </w:p>
    <w:p w14:paraId="175FC0B3" w14:textId="598FA1D6" w:rsidR="006D5007" w:rsidRPr="00445B7C" w:rsidRDefault="006D5007" w:rsidP="00445B7C">
      <w:pPr>
        <w:autoSpaceDE w:val="0"/>
        <w:autoSpaceDN w:val="0"/>
        <w:adjustRightInd w:val="0"/>
        <w:spacing w:before="0"/>
      </w:pPr>
      <w:r>
        <w:rPr>
          <w:i/>
          <w:iCs/>
          <w:color w:val="0D0D0D"/>
          <w:sz w:val="20"/>
          <w:szCs w:val="20"/>
          <w:lang w:val="en-AU"/>
        </w:rPr>
        <w:t xml:space="preserve">Refer to note 15 in the financial </w:t>
      </w:r>
      <w:r w:rsidRPr="00445B7C">
        <w:rPr>
          <w:i/>
          <w:iCs/>
          <w:color w:val="0D0D0D"/>
          <w:sz w:val="20"/>
          <w:szCs w:val="20"/>
          <w:lang w:val="en-AU"/>
        </w:rPr>
        <w:t>report</w:t>
      </w:r>
    </w:p>
    <w:tbl>
      <w:tblPr>
        <w:tblStyle w:val="GridTable4"/>
        <w:tblW w:w="0" w:type="auto"/>
        <w:tblLook w:val="04A0" w:firstRow="1" w:lastRow="0" w:firstColumn="1" w:lastColumn="0" w:noHBand="0" w:noVBand="1"/>
      </w:tblPr>
      <w:tblGrid>
        <w:gridCol w:w="5097"/>
        <w:gridCol w:w="5097"/>
      </w:tblGrid>
      <w:tr w:rsidR="006D5007" w14:paraId="3FA57B33" w14:textId="77777777" w:rsidTr="00F25C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F705B08" w14:textId="77777777" w:rsidR="006D5007" w:rsidRDefault="006D5007" w:rsidP="00F25CF9">
            <w:pPr>
              <w:autoSpaceDE w:val="0"/>
              <w:autoSpaceDN w:val="0"/>
              <w:adjustRightInd w:val="0"/>
              <w:spacing w:before="0"/>
              <w:rPr>
                <w:b w:val="0"/>
                <w:bCs w:val="0"/>
                <w:color w:val="FFFFFF"/>
                <w:sz w:val="20"/>
                <w:szCs w:val="20"/>
                <w:lang w:val="en-AU"/>
              </w:rPr>
            </w:pPr>
            <w:r>
              <w:rPr>
                <w:color w:val="FFFFFF"/>
                <w:sz w:val="20"/>
                <w:szCs w:val="20"/>
                <w:lang w:val="en-AU"/>
              </w:rPr>
              <w:t>Key audit matter</w:t>
            </w:r>
          </w:p>
        </w:tc>
        <w:tc>
          <w:tcPr>
            <w:tcW w:w="5097" w:type="dxa"/>
          </w:tcPr>
          <w:p w14:paraId="2461311A" w14:textId="77777777" w:rsidR="006D5007" w:rsidRDefault="006D5007" w:rsidP="00F25CF9">
            <w:pPr>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b w:val="0"/>
                <w:bCs w:val="0"/>
                <w:color w:val="FFFFFF"/>
                <w:sz w:val="20"/>
                <w:szCs w:val="20"/>
                <w:lang w:val="en-AU"/>
              </w:rPr>
            </w:pPr>
            <w:r>
              <w:rPr>
                <w:color w:val="FFFFFF"/>
                <w:sz w:val="20"/>
                <w:szCs w:val="20"/>
                <w:lang w:val="en-AU"/>
              </w:rPr>
              <w:t xml:space="preserve">How my audit addressed the key audit matter </w:t>
            </w:r>
          </w:p>
        </w:tc>
      </w:tr>
      <w:tr w:rsidR="006D5007" w14:paraId="16259168" w14:textId="77777777" w:rsidTr="00F25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A743BAD" w14:textId="77777777" w:rsidR="006D5007" w:rsidRPr="00513B14" w:rsidRDefault="006D5007" w:rsidP="00F25CF9">
            <w:pPr>
              <w:autoSpaceDE w:val="0"/>
              <w:autoSpaceDN w:val="0"/>
              <w:adjustRightInd w:val="0"/>
              <w:spacing w:before="0"/>
              <w:rPr>
                <w:b w:val="0"/>
                <w:bCs w:val="0"/>
                <w:sz w:val="20"/>
                <w:szCs w:val="20"/>
                <w:lang w:val="en-AU"/>
              </w:rPr>
            </w:pPr>
            <w:r w:rsidRPr="00513B14">
              <w:rPr>
                <w:sz w:val="20"/>
                <w:szCs w:val="20"/>
                <w:lang w:val="en-AU"/>
              </w:rPr>
              <w:t>The fair value measurement of infrastructure assets is based on current replacement cost (cost approach). The valuations are dependent on certain key assumptions that require significant management judgement including for the following:</w:t>
            </w:r>
          </w:p>
          <w:p w14:paraId="6822481E" w14:textId="77777777" w:rsidR="006D5007" w:rsidRPr="00513B14" w:rsidRDefault="006D5007" w:rsidP="00F25CF9">
            <w:pPr>
              <w:pStyle w:val="ListBullet"/>
              <w:rPr>
                <w:b w:val="0"/>
                <w:bCs w:val="0"/>
                <w:lang w:val="en-AU"/>
              </w:rPr>
            </w:pPr>
            <w:r w:rsidRPr="00513B14">
              <w:rPr>
                <w:lang w:val="en-AU"/>
              </w:rPr>
              <w:t>componentising the assets into the significant parts that have different useful lives.</w:t>
            </w:r>
          </w:p>
          <w:p w14:paraId="063592CD" w14:textId="77777777" w:rsidR="006D5007" w:rsidRPr="00513B14" w:rsidRDefault="006D5007" w:rsidP="00F25CF9">
            <w:pPr>
              <w:pStyle w:val="ListBullet"/>
              <w:rPr>
                <w:b w:val="0"/>
                <w:bCs w:val="0"/>
                <w:lang w:val="en-AU"/>
              </w:rPr>
            </w:pPr>
            <w:r w:rsidRPr="00513B14">
              <w:rPr>
                <w:lang w:val="en-AU"/>
              </w:rPr>
              <w:t>classifying assets into categories that have similar replacement costs.</w:t>
            </w:r>
          </w:p>
          <w:p w14:paraId="504D652A" w14:textId="77777777" w:rsidR="006D5007" w:rsidRPr="00513B14" w:rsidRDefault="006D5007" w:rsidP="00F25CF9">
            <w:pPr>
              <w:pStyle w:val="ListBullet"/>
              <w:rPr>
                <w:b w:val="0"/>
                <w:bCs w:val="0"/>
                <w:lang w:val="en-AU"/>
              </w:rPr>
            </w:pPr>
            <w:r w:rsidRPr="00513B14">
              <w:rPr>
                <w:lang w:val="en-AU"/>
              </w:rPr>
              <w:lastRenderedPageBreak/>
              <w:t>estimating the gross replacement cost for each combination of asset component and category to develop unit rates for the modern equivalent asset.</w:t>
            </w:r>
          </w:p>
          <w:p w14:paraId="442ED9EB" w14:textId="77777777" w:rsidR="006D5007" w:rsidRPr="00513B14" w:rsidRDefault="006D5007" w:rsidP="00F25CF9">
            <w:pPr>
              <w:pStyle w:val="ListBullet"/>
              <w:rPr>
                <w:b w:val="0"/>
                <w:bCs w:val="0"/>
                <w:color w:val="FFFFFF"/>
                <w:lang w:val="en-AU"/>
              </w:rPr>
            </w:pPr>
            <w:r w:rsidRPr="00513B14">
              <w:rPr>
                <w:lang w:val="en-AU"/>
              </w:rPr>
              <w:t>estimating the remaining useful life of each asset.</w:t>
            </w:r>
          </w:p>
        </w:tc>
        <w:tc>
          <w:tcPr>
            <w:tcW w:w="5097" w:type="dxa"/>
          </w:tcPr>
          <w:p w14:paraId="546AE828" w14:textId="77777777" w:rsidR="006D5007" w:rsidRDefault="006D5007" w:rsidP="00F25CF9">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sz w:val="20"/>
                <w:szCs w:val="20"/>
                <w:lang w:val="en-AU"/>
              </w:rPr>
            </w:pPr>
            <w:r>
              <w:rPr>
                <w:sz w:val="20"/>
                <w:szCs w:val="20"/>
                <w:lang w:val="en-AU"/>
              </w:rPr>
              <w:lastRenderedPageBreak/>
              <w:t>My procedures included, but were not limited to:</w:t>
            </w:r>
          </w:p>
          <w:p w14:paraId="245933EE" w14:textId="77777777" w:rsidR="006D5007" w:rsidRPr="00A26767" w:rsidRDefault="006D5007" w:rsidP="00F25CF9">
            <w:pPr>
              <w:pStyle w:val="ListBullet"/>
              <w:cnfStyle w:val="000000100000" w:firstRow="0" w:lastRow="0" w:firstColumn="0" w:lastColumn="0" w:oddVBand="0" w:evenVBand="0" w:oddHBand="1" w:evenHBand="0" w:firstRowFirstColumn="0" w:firstRowLastColumn="0" w:lastRowFirstColumn="0" w:lastRowLastColumn="0"/>
              <w:rPr>
                <w:lang w:val="en-AU"/>
              </w:rPr>
            </w:pPr>
            <w:r w:rsidRPr="00A26767">
              <w:rPr>
                <w:lang w:val="en-AU"/>
              </w:rPr>
              <w:t>assessing the reasonableness of the methods and accounting principles used in the cost approach and depreciation</w:t>
            </w:r>
            <w:r>
              <w:rPr>
                <w:lang w:val="en-AU"/>
              </w:rPr>
              <w:t xml:space="preserve"> </w:t>
            </w:r>
            <w:r w:rsidRPr="00A26767">
              <w:rPr>
                <w:lang w:val="en-AU"/>
              </w:rPr>
              <w:t>expense estimates</w:t>
            </w:r>
          </w:p>
          <w:p w14:paraId="0D29EC6F" w14:textId="77777777" w:rsidR="006D5007" w:rsidRPr="00512E27" w:rsidRDefault="006D5007" w:rsidP="00F25CF9">
            <w:pPr>
              <w:pStyle w:val="ListBullet"/>
              <w:cnfStyle w:val="000000100000" w:firstRow="0" w:lastRow="0" w:firstColumn="0" w:lastColumn="0" w:oddVBand="0" w:evenVBand="0" w:oddHBand="1" w:evenHBand="0" w:firstRowFirstColumn="0" w:firstRowLastColumn="0" w:lastRowFirstColumn="0" w:lastRowLastColumn="0"/>
              <w:rPr>
                <w:lang w:val="en-AU"/>
              </w:rPr>
            </w:pPr>
            <w:r w:rsidRPr="00512E27">
              <w:rPr>
                <w:lang w:val="en-AU"/>
              </w:rPr>
              <w:t>evaluating the qualifications, competence, capability, and objectivity of the internal subject matter experts involved in</w:t>
            </w:r>
            <w:r>
              <w:rPr>
                <w:lang w:val="en-AU"/>
              </w:rPr>
              <w:t xml:space="preserve"> </w:t>
            </w:r>
            <w:r w:rsidRPr="00512E27">
              <w:rPr>
                <w:lang w:val="en-AU"/>
              </w:rPr>
              <w:t>developing and approving internally</w:t>
            </w:r>
            <w:r>
              <w:rPr>
                <w:lang w:val="en-AU"/>
              </w:rPr>
              <w:t xml:space="preserve"> </w:t>
            </w:r>
            <w:r w:rsidRPr="00512E27">
              <w:rPr>
                <w:lang w:val="en-AU"/>
              </w:rPr>
              <w:t>generated unit rates</w:t>
            </w:r>
          </w:p>
          <w:p w14:paraId="1C600FEE" w14:textId="77777777" w:rsidR="006D5007" w:rsidRPr="00512E27" w:rsidRDefault="006D5007" w:rsidP="00F25CF9">
            <w:pPr>
              <w:pStyle w:val="ListBullet"/>
              <w:cnfStyle w:val="000000100000" w:firstRow="0" w:lastRow="0" w:firstColumn="0" w:lastColumn="0" w:oddVBand="0" w:evenVBand="0" w:oddHBand="1" w:evenHBand="0" w:firstRowFirstColumn="0" w:firstRowLastColumn="0" w:lastRowFirstColumn="0" w:lastRowLastColumn="0"/>
              <w:rPr>
                <w:lang w:val="en-AU"/>
              </w:rPr>
            </w:pPr>
            <w:r w:rsidRPr="00512E27">
              <w:rPr>
                <w:lang w:val="en-AU"/>
              </w:rPr>
              <w:lastRenderedPageBreak/>
              <w:t>examining a sample of the input data used in the unit pricing model for relevance,</w:t>
            </w:r>
            <w:r>
              <w:rPr>
                <w:lang w:val="en-AU"/>
              </w:rPr>
              <w:t xml:space="preserve"> </w:t>
            </w:r>
            <w:r w:rsidRPr="00512E27">
              <w:rPr>
                <w:lang w:val="en-AU"/>
              </w:rPr>
              <w:t>completeness, and accuracy</w:t>
            </w:r>
          </w:p>
          <w:p w14:paraId="2C4FDA61" w14:textId="77777777" w:rsidR="006D5007" w:rsidRPr="00512E27" w:rsidRDefault="006D5007" w:rsidP="00F25CF9">
            <w:pPr>
              <w:pStyle w:val="ListBullet"/>
              <w:cnfStyle w:val="000000100000" w:firstRow="0" w:lastRow="0" w:firstColumn="0" w:lastColumn="0" w:oddVBand="0" w:evenVBand="0" w:oddHBand="1" w:evenHBand="0" w:firstRowFirstColumn="0" w:firstRowLastColumn="0" w:lastRowFirstColumn="0" w:lastRowLastColumn="0"/>
              <w:rPr>
                <w:lang w:val="en-AU"/>
              </w:rPr>
            </w:pPr>
            <w:r w:rsidRPr="00512E27">
              <w:rPr>
                <w:lang w:val="en-AU"/>
              </w:rPr>
              <w:t>examining a sample of unit rates and evaluating the reasonableness of key assumptions and relevance,</w:t>
            </w:r>
            <w:r>
              <w:rPr>
                <w:lang w:val="en-AU"/>
              </w:rPr>
              <w:t xml:space="preserve"> </w:t>
            </w:r>
            <w:r w:rsidRPr="00512E27">
              <w:rPr>
                <w:lang w:val="en-AU"/>
              </w:rPr>
              <w:t>completeness, and accuracy of supporting</w:t>
            </w:r>
            <w:r>
              <w:rPr>
                <w:lang w:val="en-AU"/>
              </w:rPr>
              <w:t xml:space="preserve"> </w:t>
            </w:r>
            <w:r w:rsidRPr="00512E27">
              <w:rPr>
                <w:lang w:val="en-AU"/>
              </w:rPr>
              <w:t>documentation</w:t>
            </w:r>
          </w:p>
          <w:p w14:paraId="0E798891" w14:textId="77777777" w:rsidR="006D5007" w:rsidRPr="00512E27" w:rsidRDefault="006D5007" w:rsidP="00F25CF9">
            <w:pPr>
              <w:pStyle w:val="ListBullet"/>
              <w:cnfStyle w:val="000000100000" w:firstRow="0" w:lastRow="0" w:firstColumn="0" w:lastColumn="0" w:oddVBand="0" w:evenVBand="0" w:oddHBand="1" w:evenHBand="0" w:firstRowFirstColumn="0" w:firstRowLastColumn="0" w:lastRowFirstColumn="0" w:lastRowLastColumn="0"/>
              <w:rPr>
                <w:lang w:val="en-AU"/>
              </w:rPr>
            </w:pPr>
            <w:r w:rsidRPr="00512E27">
              <w:rPr>
                <w:lang w:val="en-AU"/>
              </w:rPr>
              <w:t>examining a sample of asset valuation movements since the last revaluation date and corroborating the changes with other</w:t>
            </w:r>
            <w:r>
              <w:rPr>
                <w:lang w:val="en-AU"/>
              </w:rPr>
              <w:t xml:space="preserve"> </w:t>
            </w:r>
            <w:r w:rsidRPr="00512E27">
              <w:rPr>
                <w:lang w:val="en-AU"/>
              </w:rPr>
              <w:t>available information</w:t>
            </w:r>
          </w:p>
          <w:p w14:paraId="6778E788" w14:textId="77777777" w:rsidR="006D5007" w:rsidRPr="00512E27" w:rsidRDefault="006D5007" w:rsidP="00F25CF9">
            <w:pPr>
              <w:pStyle w:val="ListBullet"/>
              <w:cnfStyle w:val="000000100000" w:firstRow="0" w:lastRow="0" w:firstColumn="0" w:lastColumn="0" w:oddVBand="0" w:evenVBand="0" w:oddHBand="1" w:evenHBand="0" w:firstRowFirstColumn="0" w:firstRowLastColumn="0" w:lastRowFirstColumn="0" w:lastRowLastColumn="0"/>
              <w:rPr>
                <w:lang w:val="en-AU"/>
              </w:rPr>
            </w:pPr>
            <w:r w:rsidRPr="00512E27">
              <w:rPr>
                <w:lang w:val="en-AU"/>
              </w:rPr>
              <w:t>examining the reasonableness of the funding available used as input for the remaining useful lives and relevance of supporting documentation for the</w:t>
            </w:r>
            <w:r>
              <w:rPr>
                <w:lang w:val="en-AU"/>
              </w:rPr>
              <w:t xml:space="preserve"> </w:t>
            </w:r>
            <w:r w:rsidRPr="00512E27">
              <w:rPr>
                <w:lang w:val="en-AU"/>
              </w:rPr>
              <w:t>estimates</w:t>
            </w:r>
          </w:p>
          <w:p w14:paraId="245749D7" w14:textId="77777777" w:rsidR="006D5007" w:rsidRPr="00512E27" w:rsidRDefault="006D5007" w:rsidP="00F25CF9">
            <w:pPr>
              <w:pStyle w:val="ListBullet"/>
              <w:cnfStyle w:val="000000100000" w:firstRow="0" w:lastRow="0" w:firstColumn="0" w:lastColumn="0" w:oddVBand="0" w:evenVBand="0" w:oddHBand="1" w:evenHBand="0" w:firstRowFirstColumn="0" w:firstRowLastColumn="0" w:lastRowFirstColumn="0" w:lastRowLastColumn="0"/>
              <w:rPr>
                <w:lang w:val="en-AU"/>
              </w:rPr>
            </w:pPr>
            <w:r w:rsidRPr="00512E27">
              <w:rPr>
                <w:lang w:val="en-AU"/>
              </w:rPr>
              <w:t>testing the mathematical accuracy of the</w:t>
            </w:r>
            <w:r>
              <w:rPr>
                <w:lang w:val="en-AU"/>
              </w:rPr>
              <w:t xml:space="preserve"> </w:t>
            </w:r>
            <w:r w:rsidRPr="00512E27">
              <w:rPr>
                <w:lang w:val="en-AU"/>
              </w:rPr>
              <w:t>infrastructure valuation and depreciation</w:t>
            </w:r>
          </w:p>
          <w:p w14:paraId="43B87321" w14:textId="77777777" w:rsidR="006D5007" w:rsidRDefault="006D5007" w:rsidP="00F25CF9">
            <w:pPr>
              <w:pStyle w:val="ListBullet"/>
              <w:cnfStyle w:val="000000100000" w:firstRow="0" w:lastRow="0" w:firstColumn="0" w:lastColumn="0" w:oddVBand="0" w:evenVBand="0" w:oddHBand="1" w:evenHBand="0" w:firstRowFirstColumn="0" w:firstRowLastColumn="0" w:lastRowFirstColumn="0" w:lastRowLastColumn="0"/>
              <w:rPr>
                <w:b/>
                <w:bCs/>
                <w:color w:val="FFFFFF"/>
                <w:lang w:val="en-AU"/>
              </w:rPr>
            </w:pPr>
            <w:r>
              <w:rPr>
                <w:lang w:val="en-AU"/>
              </w:rPr>
              <w:t>models.</w:t>
            </w:r>
          </w:p>
        </w:tc>
      </w:tr>
    </w:tbl>
    <w:p w14:paraId="3A480325" w14:textId="77777777" w:rsidR="006D5007" w:rsidRDefault="006D5007" w:rsidP="006D5007">
      <w:pPr>
        <w:autoSpaceDE w:val="0"/>
        <w:autoSpaceDN w:val="0"/>
        <w:adjustRightInd w:val="0"/>
        <w:spacing w:before="0"/>
        <w:rPr>
          <w:b/>
          <w:bCs/>
          <w:color w:val="FFFFFF"/>
          <w:sz w:val="20"/>
          <w:szCs w:val="20"/>
          <w:lang w:val="en-AU"/>
        </w:rPr>
      </w:pPr>
    </w:p>
    <w:p w14:paraId="77AD7D67" w14:textId="77777777" w:rsidR="006D5007" w:rsidRDefault="006D5007" w:rsidP="006D5007">
      <w:pPr>
        <w:autoSpaceDE w:val="0"/>
        <w:autoSpaceDN w:val="0"/>
        <w:adjustRightInd w:val="0"/>
        <w:spacing w:before="0"/>
        <w:rPr>
          <w:b/>
          <w:bCs/>
          <w:color w:val="FFFFFF"/>
          <w:sz w:val="20"/>
          <w:szCs w:val="20"/>
          <w:lang w:val="en-AU"/>
        </w:rPr>
      </w:pPr>
    </w:p>
    <w:p w14:paraId="55B0C5E3" w14:textId="77777777" w:rsidR="006D5007" w:rsidRDefault="006D5007" w:rsidP="006D5007">
      <w:pPr>
        <w:autoSpaceDE w:val="0"/>
        <w:autoSpaceDN w:val="0"/>
        <w:adjustRightInd w:val="0"/>
        <w:spacing w:before="0"/>
        <w:rPr>
          <w:b/>
          <w:bCs/>
          <w:i/>
          <w:iCs/>
          <w:color w:val="0D0D0D"/>
          <w:sz w:val="21"/>
          <w:szCs w:val="21"/>
          <w:lang w:val="en-AU"/>
        </w:rPr>
      </w:pPr>
      <w:r>
        <w:rPr>
          <w:b/>
          <w:bCs/>
          <w:color w:val="0D0D0D"/>
          <w:sz w:val="21"/>
          <w:szCs w:val="21"/>
          <w:lang w:val="en-AU"/>
        </w:rPr>
        <w:t xml:space="preserve">Recognition and measurement of </w:t>
      </w:r>
      <w:r>
        <w:rPr>
          <w:b/>
          <w:bCs/>
          <w:i/>
          <w:iCs/>
          <w:color w:val="0D0D0D"/>
          <w:sz w:val="21"/>
          <w:szCs w:val="21"/>
          <w:lang w:val="en-AU"/>
        </w:rPr>
        <w:t xml:space="preserve">service concession assets ($14.097 billion), borrowings </w:t>
      </w:r>
      <w:r>
        <w:rPr>
          <w:rFonts w:ascii="Arial-BoldItalicMT" w:hAnsi="Arial-BoldItalicMT" w:cs="Arial-BoldItalicMT"/>
          <w:b/>
          <w:bCs/>
          <w:i/>
          <w:iCs/>
          <w:color w:val="0D0D0D"/>
          <w:sz w:val="21"/>
          <w:szCs w:val="21"/>
          <w:lang w:val="en-AU"/>
        </w:rPr>
        <w:t xml:space="preserve">– </w:t>
      </w:r>
      <w:r>
        <w:rPr>
          <w:b/>
          <w:bCs/>
          <w:i/>
          <w:iCs/>
          <w:color w:val="0D0D0D"/>
          <w:sz w:val="21"/>
          <w:szCs w:val="21"/>
          <w:lang w:val="en-AU"/>
        </w:rPr>
        <w:t>financial liabilities on service concession arrangements ($630.066 million) and other liabilities on service concession arrangement ($7.155 billion)</w:t>
      </w:r>
    </w:p>
    <w:p w14:paraId="79A47DD6" w14:textId="77777777" w:rsidR="006D5007" w:rsidRDefault="006D5007" w:rsidP="006D5007">
      <w:pPr>
        <w:autoSpaceDE w:val="0"/>
        <w:autoSpaceDN w:val="0"/>
        <w:adjustRightInd w:val="0"/>
        <w:spacing w:before="0"/>
        <w:rPr>
          <w:i/>
          <w:iCs/>
          <w:color w:val="0D0D0D"/>
          <w:sz w:val="20"/>
          <w:szCs w:val="20"/>
          <w:lang w:val="en-AU"/>
        </w:rPr>
      </w:pPr>
      <w:r>
        <w:rPr>
          <w:i/>
          <w:iCs/>
          <w:color w:val="0D0D0D"/>
          <w:sz w:val="20"/>
          <w:szCs w:val="20"/>
          <w:lang w:val="en-AU"/>
        </w:rPr>
        <w:t>Refer to note 16 and note 18 in the financial report</w:t>
      </w:r>
    </w:p>
    <w:p w14:paraId="367C7BEB" w14:textId="77777777" w:rsidR="006D5007" w:rsidRDefault="006D5007" w:rsidP="006D5007">
      <w:pPr>
        <w:autoSpaceDE w:val="0"/>
        <w:autoSpaceDN w:val="0"/>
        <w:adjustRightInd w:val="0"/>
        <w:spacing w:before="0"/>
        <w:rPr>
          <w:b/>
          <w:bCs/>
          <w:color w:val="FFFFFF"/>
          <w:sz w:val="20"/>
          <w:szCs w:val="20"/>
          <w:lang w:val="en-AU"/>
        </w:rPr>
      </w:pPr>
    </w:p>
    <w:tbl>
      <w:tblPr>
        <w:tblStyle w:val="GridTable4"/>
        <w:tblW w:w="0" w:type="auto"/>
        <w:tblLook w:val="04A0" w:firstRow="1" w:lastRow="0" w:firstColumn="1" w:lastColumn="0" w:noHBand="0" w:noVBand="1"/>
      </w:tblPr>
      <w:tblGrid>
        <w:gridCol w:w="5097"/>
        <w:gridCol w:w="5097"/>
      </w:tblGrid>
      <w:tr w:rsidR="006D5007" w14:paraId="7EFEC4F6" w14:textId="77777777" w:rsidTr="00F25C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0AAC5E7" w14:textId="77777777" w:rsidR="006D5007" w:rsidRDefault="006D5007" w:rsidP="00F25CF9">
            <w:pPr>
              <w:autoSpaceDE w:val="0"/>
              <w:autoSpaceDN w:val="0"/>
              <w:adjustRightInd w:val="0"/>
              <w:spacing w:before="0"/>
              <w:rPr>
                <w:b w:val="0"/>
                <w:bCs w:val="0"/>
                <w:color w:val="FFFFFF"/>
                <w:sz w:val="20"/>
                <w:szCs w:val="20"/>
                <w:lang w:val="en-AU"/>
              </w:rPr>
            </w:pPr>
            <w:r>
              <w:rPr>
                <w:color w:val="FFFFFF"/>
                <w:sz w:val="20"/>
                <w:szCs w:val="20"/>
                <w:lang w:val="en-AU"/>
              </w:rPr>
              <w:t>Key audit matter</w:t>
            </w:r>
          </w:p>
        </w:tc>
        <w:tc>
          <w:tcPr>
            <w:tcW w:w="5097" w:type="dxa"/>
          </w:tcPr>
          <w:p w14:paraId="12771F77" w14:textId="77777777" w:rsidR="006D5007" w:rsidRDefault="006D5007" w:rsidP="00F25CF9">
            <w:pPr>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b w:val="0"/>
                <w:bCs w:val="0"/>
                <w:color w:val="FFFFFF"/>
                <w:sz w:val="20"/>
                <w:szCs w:val="20"/>
                <w:lang w:val="en-AU"/>
              </w:rPr>
            </w:pPr>
            <w:r>
              <w:rPr>
                <w:color w:val="FFFFFF"/>
                <w:sz w:val="20"/>
                <w:szCs w:val="20"/>
                <w:lang w:val="en-AU"/>
              </w:rPr>
              <w:t>How my audit addressed the key audit matter</w:t>
            </w:r>
          </w:p>
        </w:tc>
      </w:tr>
      <w:tr w:rsidR="006D5007" w14:paraId="2D527A49" w14:textId="77777777" w:rsidTr="00F25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ED6FC12" w14:textId="77777777" w:rsidR="006D5007" w:rsidRPr="00C53A23" w:rsidRDefault="006D5007" w:rsidP="00F25CF9">
            <w:pPr>
              <w:autoSpaceDE w:val="0"/>
              <w:autoSpaceDN w:val="0"/>
              <w:adjustRightInd w:val="0"/>
              <w:spacing w:before="0"/>
              <w:rPr>
                <w:b w:val="0"/>
                <w:bCs w:val="0"/>
                <w:sz w:val="20"/>
                <w:szCs w:val="20"/>
                <w:lang w:val="en-AU"/>
              </w:rPr>
            </w:pPr>
            <w:r w:rsidRPr="00C53A23">
              <w:rPr>
                <w:sz w:val="20"/>
                <w:szCs w:val="20"/>
                <w:lang w:val="en-AU"/>
              </w:rPr>
              <w:t xml:space="preserve">AASB 1059 </w:t>
            </w:r>
            <w:r w:rsidRPr="00C53A23">
              <w:rPr>
                <w:i/>
                <w:iCs/>
                <w:sz w:val="20"/>
                <w:szCs w:val="20"/>
                <w:lang w:val="en-AU"/>
              </w:rPr>
              <w:t>Service Concession</w:t>
            </w:r>
            <w:r>
              <w:rPr>
                <w:i/>
                <w:iCs/>
                <w:sz w:val="20"/>
                <w:szCs w:val="20"/>
                <w:lang w:val="en-AU"/>
              </w:rPr>
              <w:t xml:space="preserve"> </w:t>
            </w:r>
            <w:r w:rsidRPr="00C53A23">
              <w:rPr>
                <w:i/>
                <w:iCs/>
                <w:sz w:val="20"/>
                <w:szCs w:val="20"/>
                <w:lang w:val="en-AU"/>
              </w:rPr>
              <w:t xml:space="preserve">Arrangements: Grantors </w:t>
            </w:r>
            <w:r w:rsidRPr="00C53A23">
              <w:rPr>
                <w:sz w:val="20"/>
                <w:szCs w:val="20"/>
                <w:lang w:val="en-AU"/>
              </w:rPr>
              <w:t>involves a high</w:t>
            </w:r>
            <w:r>
              <w:rPr>
                <w:sz w:val="20"/>
                <w:szCs w:val="20"/>
                <w:lang w:val="en-AU"/>
              </w:rPr>
              <w:t xml:space="preserve"> </w:t>
            </w:r>
            <w:r w:rsidRPr="00C53A23">
              <w:rPr>
                <w:sz w:val="20"/>
                <w:szCs w:val="20"/>
                <w:lang w:val="en-AU"/>
              </w:rPr>
              <w:t>degree of complexity and certain key</w:t>
            </w:r>
            <w:r>
              <w:rPr>
                <w:sz w:val="20"/>
                <w:szCs w:val="20"/>
                <w:lang w:val="en-AU"/>
              </w:rPr>
              <w:t xml:space="preserve"> </w:t>
            </w:r>
            <w:r w:rsidRPr="00C53A23">
              <w:rPr>
                <w:sz w:val="20"/>
                <w:szCs w:val="20"/>
                <w:lang w:val="en-AU"/>
              </w:rPr>
              <w:t>assumptions that require significant</w:t>
            </w:r>
          </w:p>
          <w:p w14:paraId="6890E4D3" w14:textId="77777777" w:rsidR="006D5007" w:rsidRPr="00C53A23" w:rsidRDefault="006D5007" w:rsidP="00F25CF9">
            <w:pPr>
              <w:autoSpaceDE w:val="0"/>
              <w:autoSpaceDN w:val="0"/>
              <w:adjustRightInd w:val="0"/>
              <w:spacing w:before="0"/>
              <w:rPr>
                <w:b w:val="0"/>
                <w:bCs w:val="0"/>
                <w:sz w:val="20"/>
                <w:szCs w:val="20"/>
                <w:lang w:val="en-AU"/>
              </w:rPr>
            </w:pPr>
            <w:r w:rsidRPr="00C53A23">
              <w:rPr>
                <w:sz w:val="20"/>
                <w:szCs w:val="20"/>
                <w:lang w:val="en-AU"/>
              </w:rPr>
              <w:t>management judgement including the</w:t>
            </w:r>
            <w:r>
              <w:rPr>
                <w:sz w:val="20"/>
                <w:szCs w:val="20"/>
                <w:lang w:val="en-AU"/>
              </w:rPr>
              <w:t xml:space="preserve"> </w:t>
            </w:r>
            <w:r w:rsidRPr="00C53A23">
              <w:rPr>
                <w:sz w:val="20"/>
                <w:szCs w:val="20"/>
                <w:lang w:val="en-AU"/>
              </w:rPr>
              <w:t>following:</w:t>
            </w:r>
          </w:p>
          <w:p w14:paraId="19A76BE4" w14:textId="77777777" w:rsidR="006D5007" w:rsidRPr="00C53A23" w:rsidRDefault="006D5007" w:rsidP="00F25CF9">
            <w:pPr>
              <w:pStyle w:val="ListBullet"/>
              <w:autoSpaceDE w:val="0"/>
              <w:autoSpaceDN w:val="0"/>
              <w:adjustRightInd w:val="0"/>
              <w:spacing w:before="0"/>
              <w:rPr>
                <w:b w:val="0"/>
                <w:bCs w:val="0"/>
                <w:sz w:val="20"/>
                <w:szCs w:val="20"/>
                <w:lang w:val="en-AU"/>
              </w:rPr>
            </w:pPr>
            <w:r w:rsidRPr="00C53A23">
              <w:rPr>
                <w:lang w:val="en-AU"/>
              </w:rPr>
              <w:t xml:space="preserve">estimating the recognition and </w:t>
            </w:r>
            <w:r w:rsidRPr="00C53A23">
              <w:rPr>
                <w:sz w:val="20"/>
                <w:szCs w:val="20"/>
                <w:lang w:val="en-AU"/>
              </w:rPr>
              <w:t xml:space="preserve">measurement of the service concession asset at current replacement cost in accordance with the cost approach described in AASB 13 </w:t>
            </w:r>
            <w:r w:rsidRPr="00C53A23">
              <w:rPr>
                <w:i/>
                <w:iCs/>
                <w:sz w:val="20"/>
                <w:szCs w:val="20"/>
                <w:lang w:val="en-AU"/>
              </w:rPr>
              <w:t>Fair Value</w:t>
            </w:r>
            <w:r>
              <w:rPr>
                <w:i/>
                <w:iCs/>
                <w:sz w:val="20"/>
                <w:szCs w:val="20"/>
                <w:lang w:val="en-AU"/>
              </w:rPr>
              <w:t xml:space="preserve"> </w:t>
            </w:r>
            <w:r w:rsidRPr="00C53A23">
              <w:rPr>
                <w:i/>
                <w:iCs/>
                <w:sz w:val="20"/>
                <w:szCs w:val="20"/>
                <w:lang w:val="en-AU"/>
              </w:rPr>
              <w:t>Measurement</w:t>
            </w:r>
            <w:r w:rsidRPr="00C53A23">
              <w:rPr>
                <w:sz w:val="20"/>
                <w:szCs w:val="20"/>
                <w:lang w:val="en-AU"/>
              </w:rPr>
              <w:t>:</w:t>
            </w:r>
          </w:p>
          <w:p w14:paraId="46E2B942" w14:textId="77777777" w:rsidR="006D5007" w:rsidRPr="00C53A23" w:rsidRDefault="006D5007" w:rsidP="00F25CF9">
            <w:pPr>
              <w:pStyle w:val="ListBullet2"/>
              <w:rPr>
                <w:b w:val="0"/>
                <w:bCs w:val="0"/>
                <w:lang w:val="en-AU"/>
              </w:rPr>
            </w:pPr>
            <w:r w:rsidRPr="00C53A23">
              <w:rPr>
                <w:lang w:val="en-AU"/>
              </w:rPr>
              <w:t>componentising the assets into the significant parts that have different useful lives.</w:t>
            </w:r>
          </w:p>
          <w:p w14:paraId="02E9F1FF" w14:textId="77777777" w:rsidR="006D5007" w:rsidRPr="00C53A23" w:rsidRDefault="006D5007" w:rsidP="00F25CF9">
            <w:pPr>
              <w:pStyle w:val="ListBullet2"/>
              <w:rPr>
                <w:b w:val="0"/>
                <w:bCs w:val="0"/>
                <w:lang w:val="en-AU"/>
              </w:rPr>
            </w:pPr>
            <w:r w:rsidRPr="00C53A23">
              <w:rPr>
                <w:lang w:val="en-AU"/>
              </w:rPr>
              <w:t>classifying assets into categories that have similar replacement costs.</w:t>
            </w:r>
          </w:p>
          <w:p w14:paraId="63F56F05" w14:textId="77777777" w:rsidR="006D5007" w:rsidRPr="00C53A23" w:rsidRDefault="006D5007" w:rsidP="00F25CF9">
            <w:pPr>
              <w:pStyle w:val="ListBullet2"/>
              <w:rPr>
                <w:b w:val="0"/>
                <w:bCs w:val="0"/>
                <w:lang w:val="en-AU"/>
              </w:rPr>
            </w:pPr>
            <w:r w:rsidRPr="00C53A23">
              <w:rPr>
                <w:lang w:val="en-AU"/>
              </w:rPr>
              <w:t>estimating the gross replacement cost for each combination of component and asset category to develop unit rates for the modern equivalent asset.</w:t>
            </w:r>
          </w:p>
          <w:p w14:paraId="59B0F32D" w14:textId="77777777" w:rsidR="006D5007" w:rsidRPr="00C53A23" w:rsidRDefault="006D5007" w:rsidP="00F25CF9">
            <w:pPr>
              <w:pStyle w:val="ListBullet2"/>
              <w:rPr>
                <w:b w:val="0"/>
                <w:bCs w:val="0"/>
                <w:lang w:val="en-AU"/>
              </w:rPr>
            </w:pPr>
            <w:r w:rsidRPr="00C53A23">
              <w:rPr>
                <w:lang w:val="en-AU"/>
              </w:rPr>
              <w:t>estimating the remaining useful life of each asset.</w:t>
            </w:r>
          </w:p>
          <w:p w14:paraId="746DE674" w14:textId="77777777" w:rsidR="006D5007" w:rsidRPr="00C53A23" w:rsidRDefault="006D5007" w:rsidP="00F25CF9">
            <w:pPr>
              <w:pStyle w:val="ListBullet"/>
              <w:rPr>
                <w:b w:val="0"/>
                <w:bCs w:val="0"/>
                <w:color w:val="FFFFFF"/>
                <w:lang w:val="en-AU"/>
              </w:rPr>
            </w:pPr>
            <w:r w:rsidRPr="00C53A23">
              <w:rPr>
                <w:lang w:val="en-AU"/>
              </w:rPr>
              <w:t>classifying and measuring the service concession liabilities as a financial liability or unearned revenue depending on how the operator is compensated.</w:t>
            </w:r>
          </w:p>
        </w:tc>
        <w:tc>
          <w:tcPr>
            <w:tcW w:w="5097" w:type="dxa"/>
          </w:tcPr>
          <w:p w14:paraId="372ED991" w14:textId="77777777" w:rsidR="006D5007" w:rsidRDefault="006D5007" w:rsidP="00F25CF9">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sz w:val="20"/>
                <w:szCs w:val="20"/>
                <w:lang w:val="en-AU"/>
              </w:rPr>
            </w:pPr>
            <w:r>
              <w:rPr>
                <w:sz w:val="20"/>
                <w:szCs w:val="20"/>
                <w:lang w:val="en-AU"/>
              </w:rPr>
              <w:t>My procedures included, but were not limited to:</w:t>
            </w:r>
          </w:p>
          <w:p w14:paraId="1B5D5908" w14:textId="77777777" w:rsidR="006D5007" w:rsidRPr="009B3CBD" w:rsidRDefault="006D5007" w:rsidP="00F25CF9">
            <w:pPr>
              <w:pStyle w:val="ListBullet"/>
              <w:cnfStyle w:val="000000100000" w:firstRow="0" w:lastRow="0" w:firstColumn="0" w:lastColumn="0" w:oddVBand="0" w:evenVBand="0" w:oddHBand="1" w:evenHBand="0" w:firstRowFirstColumn="0" w:firstRowLastColumn="0" w:lastRowFirstColumn="0" w:lastRowLastColumn="0"/>
              <w:rPr>
                <w:lang w:val="en-AU"/>
              </w:rPr>
            </w:pPr>
            <w:r w:rsidRPr="009B3CBD">
              <w:rPr>
                <w:lang w:val="en-AU"/>
              </w:rPr>
              <w:t>assessing the appropriateness of the recognition and accounting measurement principles used to determine the value and classification of service concession assets,</w:t>
            </w:r>
            <w:r>
              <w:rPr>
                <w:lang w:val="en-AU"/>
              </w:rPr>
              <w:t xml:space="preserve"> </w:t>
            </w:r>
            <w:r w:rsidRPr="009B3CBD">
              <w:rPr>
                <w:lang w:val="en-AU"/>
              </w:rPr>
              <w:t>unearned revenue and financial liabilities</w:t>
            </w:r>
            <w:r>
              <w:rPr>
                <w:lang w:val="en-AU"/>
              </w:rPr>
              <w:t xml:space="preserve"> </w:t>
            </w:r>
            <w:r w:rsidRPr="009B3CBD">
              <w:rPr>
                <w:lang w:val="en-AU"/>
              </w:rPr>
              <w:t>on service concession arrangements.</w:t>
            </w:r>
          </w:p>
          <w:p w14:paraId="672D5B13" w14:textId="77777777" w:rsidR="006D5007" w:rsidRPr="009B3CBD" w:rsidRDefault="006D5007" w:rsidP="00F25CF9">
            <w:pPr>
              <w:pStyle w:val="ListBullet"/>
              <w:cnfStyle w:val="000000100000" w:firstRow="0" w:lastRow="0" w:firstColumn="0" w:lastColumn="0" w:oddVBand="0" w:evenVBand="0" w:oddHBand="1" w:evenHBand="0" w:firstRowFirstColumn="0" w:firstRowLastColumn="0" w:lastRowFirstColumn="0" w:lastRowLastColumn="0"/>
              <w:rPr>
                <w:lang w:val="en-AU"/>
              </w:rPr>
            </w:pPr>
            <w:r w:rsidRPr="009B3CBD">
              <w:rPr>
                <w:lang w:val="en-AU"/>
              </w:rPr>
              <w:t>evaluating the qualifications, competence, capability and objectivity of the internal and external subject matter experts involved in developing the current replacement cost</w:t>
            </w:r>
            <w:r>
              <w:rPr>
                <w:lang w:val="en-AU"/>
              </w:rPr>
              <w:t xml:space="preserve"> </w:t>
            </w:r>
            <w:r w:rsidRPr="009B3CBD">
              <w:rPr>
                <w:lang w:val="en-AU"/>
              </w:rPr>
              <w:t>valuations for service concession assets</w:t>
            </w:r>
          </w:p>
          <w:p w14:paraId="520BD991" w14:textId="77777777" w:rsidR="006D5007" w:rsidRPr="00E800D5" w:rsidRDefault="006D5007" w:rsidP="00F25CF9">
            <w:pPr>
              <w:pStyle w:val="ListBullet"/>
              <w:cnfStyle w:val="000000100000" w:firstRow="0" w:lastRow="0" w:firstColumn="0" w:lastColumn="0" w:oddVBand="0" w:evenVBand="0" w:oddHBand="1" w:evenHBand="0" w:firstRowFirstColumn="0" w:firstRowLastColumn="0" w:lastRowFirstColumn="0" w:lastRowLastColumn="0"/>
              <w:rPr>
                <w:lang w:val="en-AU"/>
              </w:rPr>
            </w:pPr>
            <w:r w:rsidRPr="00E800D5">
              <w:rPr>
                <w:lang w:val="en-AU"/>
              </w:rPr>
              <w:t>examining the measurement estimates of service concession assets, unearned revenue and financial liabilities on service concession arrangements and evaluating a sample of supporting documentation for reasonableness, relevance, completeness</w:t>
            </w:r>
            <w:r>
              <w:rPr>
                <w:lang w:val="en-AU"/>
              </w:rPr>
              <w:t xml:space="preserve"> </w:t>
            </w:r>
            <w:r w:rsidRPr="00E800D5">
              <w:rPr>
                <w:lang w:val="en-AU"/>
              </w:rPr>
              <w:t>and accuracy.</w:t>
            </w:r>
          </w:p>
          <w:p w14:paraId="2BA67E92" w14:textId="77777777" w:rsidR="006D5007" w:rsidRPr="00E800D5" w:rsidRDefault="006D5007" w:rsidP="00F25CF9">
            <w:pPr>
              <w:pStyle w:val="ListBullet"/>
              <w:cnfStyle w:val="000000100000" w:firstRow="0" w:lastRow="0" w:firstColumn="0" w:lastColumn="0" w:oddVBand="0" w:evenVBand="0" w:oddHBand="1" w:evenHBand="0" w:firstRowFirstColumn="0" w:firstRowLastColumn="0" w:lastRowFirstColumn="0" w:lastRowLastColumn="0"/>
              <w:rPr>
                <w:lang w:val="en-AU"/>
              </w:rPr>
            </w:pPr>
            <w:r w:rsidRPr="00E800D5">
              <w:rPr>
                <w:lang w:val="en-AU"/>
              </w:rPr>
              <w:t>testing the mathematical accuracy of the models used to calculate the service concession assets, unearned revenue estimates and financial liabilities including</w:t>
            </w:r>
            <w:r>
              <w:rPr>
                <w:lang w:val="en-AU"/>
              </w:rPr>
              <w:t xml:space="preserve"> </w:t>
            </w:r>
            <w:r w:rsidRPr="00E800D5">
              <w:rPr>
                <w:lang w:val="en-AU"/>
              </w:rPr>
              <w:t>depreciation, interest and service</w:t>
            </w:r>
            <w:r>
              <w:rPr>
                <w:lang w:val="en-AU"/>
              </w:rPr>
              <w:t xml:space="preserve"> </w:t>
            </w:r>
            <w:r w:rsidRPr="00E800D5">
              <w:rPr>
                <w:lang w:val="en-AU"/>
              </w:rPr>
              <w:t>payments.</w:t>
            </w:r>
          </w:p>
        </w:tc>
      </w:tr>
    </w:tbl>
    <w:p w14:paraId="502A14CA" w14:textId="77777777" w:rsidR="006D5007" w:rsidRDefault="006D5007" w:rsidP="006D5007">
      <w:pPr>
        <w:autoSpaceDE w:val="0"/>
        <w:autoSpaceDN w:val="0"/>
        <w:adjustRightInd w:val="0"/>
        <w:spacing w:before="0"/>
        <w:rPr>
          <w:b/>
          <w:bCs/>
          <w:color w:val="FFFFFF"/>
          <w:sz w:val="20"/>
          <w:szCs w:val="20"/>
          <w:lang w:val="en-AU"/>
        </w:rPr>
      </w:pPr>
    </w:p>
    <w:p w14:paraId="796C7427" w14:textId="77777777" w:rsidR="006D5007" w:rsidRDefault="006D5007" w:rsidP="006D5007">
      <w:pPr>
        <w:autoSpaceDE w:val="0"/>
        <w:autoSpaceDN w:val="0"/>
        <w:adjustRightInd w:val="0"/>
        <w:spacing w:before="0"/>
        <w:rPr>
          <w:b/>
          <w:bCs/>
          <w:color w:val="FFFFFF"/>
          <w:sz w:val="20"/>
          <w:szCs w:val="20"/>
          <w:lang w:val="en-AU"/>
        </w:rPr>
      </w:pPr>
    </w:p>
    <w:p w14:paraId="50B0F627" w14:textId="77777777" w:rsidR="006D5007" w:rsidRDefault="006D5007" w:rsidP="006D5007">
      <w:pPr>
        <w:autoSpaceDE w:val="0"/>
        <w:autoSpaceDN w:val="0"/>
        <w:adjustRightInd w:val="0"/>
        <w:spacing w:before="0"/>
        <w:rPr>
          <w:b/>
          <w:bCs/>
          <w:color w:val="000000"/>
          <w:sz w:val="22"/>
          <w:lang w:val="en-AU"/>
        </w:rPr>
      </w:pPr>
      <w:r>
        <w:rPr>
          <w:b/>
          <w:bCs/>
          <w:color w:val="000000"/>
          <w:sz w:val="22"/>
          <w:lang w:val="en-AU"/>
        </w:rPr>
        <w:t>Responsibilities of the department for the financial report</w:t>
      </w:r>
    </w:p>
    <w:p w14:paraId="2FE004EB" w14:textId="77777777" w:rsidR="006D5007" w:rsidRDefault="006D5007" w:rsidP="006D5007">
      <w:pPr>
        <w:autoSpaceDE w:val="0"/>
        <w:autoSpaceDN w:val="0"/>
        <w:adjustRightInd w:val="0"/>
        <w:spacing w:before="0"/>
        <w:rPr>
          <w:b/>
          <w:bCs/>
          <w:color w:val="000000"/>
          <w:sz w:val="22"/>
          <w:lang w:val="en-AU"/>
        </w:rPr>
      </w:pPr>
    </w:p>
    <w:p w14:paraId="4029818A" w14:textId="77777777" w:rsidR="006D5007" w:rsidRDefault="006D5007" w:rsidP="006D5007">
      <w:pPr>
        <w:autoSpaceDE w:val="0"/>
        <w:autoSpaceDN w:val="0"/>
        <w:adjustRightInd w:val="0"/>
        <w:spacing w:before="0"/>
        <w:rPr>
          <w:color w:val="000000"/>
          <w:sz w:val="22"/>
          <w:lang w:val="en-AU"/>
        </w:rPr>
      </w:pPr>
      <w:r>
        <w:rPr>
          <w:color w:val="000000"/>
          <w:sz w:val="22"/>
          <w:lang w:val="en-AU"/>
        </w:rPr>
        <w:t xml:space="preserve">The Accountable Officer is responsible for the preparation of the financial report that gives a true and fair view in accordance with the </w:t>
      </w:r>
      <w:r>
        <w:rPr>
          <w:i/>
          <w:iCs/>
          <w:color w:val="000000"/>
          <w:sz w:val="22"/>
          <w:lang w:val="en-AU"/>
        </w:rPr>
        <w:t>Financial Accountability Act 2009</w:t>
      </w:r>
      <w:r>
        <w:rPr>
          <w:color w:val="000000"/>
          <w:sz w:val="22"/>
          <w:lang w:val="en-AU"/>
        </w:rPr>
        <w:t xml:space="preserve">, the </w:t>
      </w:r>
      <w:r>
        <w:rPr>
          <w:i/>
          <w:iCs/>
          <w:color w:val="000000"/>
          <w:sz w:val="22"/>
          <w:lang w:val="en-AU"/>
        </w:rPr>
        <w:t xml:space="preserve">Financial and Performance Management Standard 2019 </w:t>
      </w:r>
      <w:r>
        <w:rPr>
          <w:color w:val="000000"/>
          <w:sz w:val="22"/>
          <w:lang w:val="en-AU"/>
        </w:rPr>
        <w:t>and Australian Accounting Standards, and for such internal control as the Accountable Officer determines is necessary to enable the preparation of the financial report that is free from material misstatement, whether due to fraud or error.</w:t>
      </w:r>
    </w:p>
    <w:p w14:paraId="135B60A1" w14:textId="77777777" w:rsidR="006D5007" w:rsidRDefault="006D5007" w:rsidP="006D5007">
      <w:pPr>
        <w:autoSpaceDE w:val="0"/>
        <w:autoSpaceDN w:val="0"/>
        <w:adjustRightInd w:val="0"/>
        <w:spacing w:before="0"/>
        <w:rPr>
          <w:color w:val="000000"/>
          <w:sz w:val="22"/>
          <w:lang w:val="en-AU"/>
        </w:rPr>
      </w:pPr>
    </w:p>
    <w:p w14:paraId="3396BDA1" w14:textId="77777777" w:rsidR="006D5007" w:rsidRDefault="006D5007" w:rsidP="006D5007">
      <w:pPr>
        <w:autoSpaceDE w:val="0"/>
        <w:autoSpaceDN w:val="0"/>
        <w:adjustRightInd w:val="0"/>
        <w:spacing w:before="0"/>
        <w:rPr>
          <w:color w:val="0D0D0D"/>
          <w:sz w:val="22"/>
          <w:lang w:val="en-AU"/>
        </w:rPr>
      </w:pPr>
      <w:r>
        <w:rPr>
          <w:color w:val="0D0D0D"/>
          <w:sz w:val="22"/>
          <w:lang w:val="en-AU"/>
        </w:rPr>
        <w:lastRenderedPageBreak/>
        <w:t xml:space="preserve">The Accountable Officer is also responsible for assessing the department's ability to continue as a going concern, disclosing, as applicable, matters relating to going concern and using the going concern basis of accounting unless it is intended to abolish the </w:t>
      </w:r>
      <w:r>
        <w:rPr>
          <w:color w:val="000000"/>
          <w:sz w:val="22"/>
          <w:lang w:val="en-AU"/>
        </w:rPr>
        <w:t xml:space="preserve">department </w:t>
      </w:r>
      <w:r>
        <w:rPr>
          <w:color w:val="0D0D0D"/>
          <w:sz w:val="22"/>
          <w:lang w:val="en-AU"/>
        </w:rPr>
        <w:t>or to otherwise cease operations.</w:t>
      </w:r>
    </w:p>
    <w:p w14:paraId="38F5ABB8" w14:textId="77777777" w:rsidR="006D5007" w:rsidRDefault="006D5007" w:rsidP="006D5007">
      <w:pPr>
        <w:autoSpaceDE w:val="0"/>
        <w:autoSpaceDN w:val="0"/>
        <w:adjustRightInd w:val="0"/>
        <w:spacing w:before="0"/>
        <w:rPr>
          <w:color w:val="0D0D0D"/>
          <w:sz w:val="22"/>
          <w:lang w:val="en-AU"/>
        </w:rPr>
      </w:pPr>
    </w:p>
    <w:p w14:paraId="43C990B4" w14:textId="77777777" w:rsidR="006D5007" w:rsidRDefault="006D5007" w:rsidP="006D5007">
      <w:pPr>
        <w:autoSpaceDE w:val="0"/>
        <w:autoSpaceDN w:val="0"/>
        <w:adjustRightInd w:val="0"/>
        <w:spacing w:before="0"/>
        <w:rPr>
          <w:b/>
          <w:bCs/>
          <w:color w:val="000000"/>
          <w:sz w:val="22"/>
          <w:lang w:val="en-AU"/>
        </w:rPr>
      </w:pPr>
      <w:r>
        <w:rPr>
          <w:rFonts w:ascii="Arial-BoldMT" w:hAnsi="Arial-BoldMT" w:cs="Arial-BoldMT"/>
          <w:b/>
          <w:bCs/>
          <w:color w:val="000000"/>
          <w:sz w:val="22"/>
          <w:lang w:val="en-AU"/>
        </w:rPr>
        <w:t xml:space="preserve">Auditor’s </w:t>
      </w:r>
      <w:r>
        <w:rPr>
          <w:b/>
          <w:bCs/>
          <w:color w:val="000000"/>
          <w:sz w:val="22"/>
          <w:lang w:val="en-AU"/>
        </w:rPr>
        <w:t>responsibilities for the audit of the financial report</w:t>
      </w:r>
    </w:p>
    <w:p w14:paraId="26C12195" w14:textId="77777777" w:rsidR="006D5007" w:rsidRDefault="006D5007" w:rsidP="006D5007">
      <w:pPr>
        <w:autoSpaceDE w:val="0"/>
        <w:autoSpaceDN w:val="0"/>
        <w:adjustRightInd w:val="0"/>
        <w:spacing w:before="0"/>
        <w:rPr>
          <w:color w:val="000000"/>
          <w:sz w:val="22"/>
          <w:lang w:val="en-AU"/>
        </w:rPr>
      </w:pPr>
      <w:r>
        <w:rPr>
          <w:color w:val="000000"/>
          <w:sz w:val="22"/>
          <w:lang w:val="en-AU"/>
        </w:rPr>
        <w:t xml:space="preserve">My objectives are to obtain reasonable assurance about whether the financial report as a whole is free from material misstatement, whether due to fraud or error, and to issue an </w:t>
      </w:r>
      <w:r>
        <w:rPr>
          <w:rFonts w:ascii="ArialMT" w:hAnsi="ArialMT" w:cs="ArialMT"/>
          <w:color w:val="000000"/>
          <w:sz w:val="22"/>
          <w:lang w:val="en-AU"/>
        </w:rPr>
        <w:t xml:space="preserve">auditor’s report that includes my opinion. Reasonable assurance is a high level of assurance, </w:t>
      </w:r>
      <w:r>
        <w:rPr>
          <w:color w:val="000000"/>
          <w:sz w:val="22"/>
          <w:lang w:val="en-AU"/>
        </w:rPr>
        <w:t>but is not a guarantee that an audit conducted in accordance with the Australian Auditing Standards will always detect a material misstatement when it exists. Misstatements can arise from fraud or error and are considered material if, individually or in aggregate, they could reasonably be expected to influence the economic decisions of users taken on the basis of this financial report.</w:t>
      </w:r>
    </w:p>
    <w:p w14:paraId="5A3222F3" w14:textId="77777777" w:rsidR="006D5007" w:rsidRDefault="006D5007" w:rsidP="006D5007">
      <w:pPr>
        <w:autoSpaceDE w:val="0"/>
        <w:autoSpaceDN w:val="0"/>
        <w:adjustRightInd w:val="0"/>
        <w:spacing w:before="0"/>
        <w:rPr>
          <w:color w:val="000000"/>
          <w:sz w:val="22"/>
          <w:lang w:val="en-AU"/>
        </w:rPr>
      </w:pPr>
    </w:p>
    <w:p w14:paraId="5073AB9A" w14:textId="77777777" w:rsidR="006D5007" w:rsidRDefault="006D5007" w:rsidP="006D5007">
      <w:pPr>
        <w:autoSpaceDE w:val="0"/>
        <w:autoSpaceDN w:val="0"/>
        <w:adjustRightInd w:val="0"/>
        <w:spacing w:before="0"/>
        <w:rPr>
          <w:color w:val="000000"/>
          <w:sz w:val="22"/>
          <w:lang w:val="en-AU"/>
        </w:rPr>
      </w:pPr>
      <w:r>
        <w:rPr>
          <w:color w:val="000000"/>
          <w:sz w:val="22"/>
          <w:lang w:val="en-AU"/>
        </w:rPr>
        <w:t>As part of an audit in accordance with the Australian Auditing Standards, I exercise professional judgement and maintain professional scepticism throughout the audit. I also:</w:t>
      </w:r>
    </w:p>
    <w:p w14:paraId="008B1F4C" w14:textId="77777777" w:rsidR="006D5007" w:rsidRPr="00E07B31" w:rsidRDefault="006D5007" w:rsidP="006D5007">
      <w:pPr>
        <w:pStyle w:val="ListBullet"/>
        <w:rPr>
          <w:lang w:val="en-AU"/>
        </w:rPr>
      </w:pPr>
      <w:r w:rsidRPr="00E07B31">
        <w:rPr>
          <w:lang w:val="en-AU"/>
        </w:rPr>
        <w:t>Identify and assess the risks of material misstatement of the financial report,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w:t>
      </w:r>
      <w:r>
        <w:rPr>
          <w:lang w:val="en-AU"/>
        </w:rPr>
        <w:t xml:space="preserve"> </w:t>
      </w:r>
      <w:r w:rsidRPr="00E07B31">
        <w:rPr>
          <w:lang w:val="en-AU"/>
        </w:rPr>
        <w:t>omissions, misrepresentations, or the override of internal control.</w:t>
      </w:r>
    </w:p>
    <w:p w14:paraId="743C4CBF" w14:textId="77777777" w:rsidR="006D5007" w:rsidRPr="00E07B31" w:rsidRDefault="006D5007" w:rsidP="006D5007">
      <w:pPr>
        <w:pStyle w:val="ListBullet"/>
        <w:rPr>
          <w:lang w:val="en-AU"/>
        </w:rPr>
      </w:pPr>
      <w:r w:rsidRPr="00E07B31">
        <w:rPr>
          <w:lang w:val="en-AU"/>
        </w:rPr>
        <w:t>Obtain an understanding of internal control relevant to the audit in order to design audit procedures that are appropriate in the circumstances. This is not done for the purpose of forming an opinion on the effectiveness of the department's internal controls, but</w:t>
      </w:r>
      <w:r>
        <w:rPr>
          <w:lang w:val="en-AU"/>
        </w:rPr>
        <w:t xml:space="preserve"> </w:t>
      </w:r>
      <w:r w:rsidRPr="00E07B31">
        <w:rPr>
          <w:lang w:val="en-AU"/>
        </w:rPr>
        <w:t>allows me to form an opinion on compliance with prescribed requirements.</w:t>
      </w:r>
    </w:p>
    <w:p w14:paraId="485926AF" w14:textId="77777777" w:rsidR="006D5007" w:rsidRPr="00E07B31" w:rsidRDefault="006D5007" w:rsidP="006D5007">
      <w:pPr>
        <w:pStyle w:val="ListBullet"/>
        <w:rPr>
          <w:lang w:val="en-AU"/>
        </w:rPr>
      </w:pPr>
      <w:r w:rsidRPr="00E07B31">
        <w:rPr>
          <w:lang w:val="en-AU"/>
        </w:rPr>
        <w:t>Evaluate the appropriateness of material accounting policy information used and the reasonableness of accounting estimates and related disclosures made by the</w:t>
      </w:r>
      <w:r>
        <w:rPr>
          <w:lang w:val="en-AU"/>
        </w:rPr>
        <w:t xml:space="preserve"> </w:t>
      </w:r>
      <w:r w:rsidRPr="00E07B31">
        <w:rPr>
          <w:lang w:val="en-AU"/>
        </w:rPr>
        <w:t>department.</w:t>
      </w:r>
    </w:p>
    <w:p w14:paraId="1F2DF127" w14:textId="77777777" w:rsidR="006D5007" w:rsidRPr="00336CDE" w:rsidRDefault="006D5007" w:rsidP="006D5007">
      <w:pPr>
        <w:pStyle w:val="ListBullet"/>
        <w:rPr>
          <w:b/>
          <w:bCs/>
          <w:color w:val="FFFFFF"/>
          <w:sz w:val="20"/>
          <w:szCs w:val="20"/>
          <w:lang w:val="en-AU"/>
        </w:rPr>
      </w:pPr>
      <w:r w:rsidRPr="00E07B31">
        <w:rPr>
          <w:lang w:val="en-AU"/>
        </w:rPr>
        <w:t xml:space="preserve">Conclude on the appropriateness of the department's use of the going concern basis of accounting and, based on the audit evidence obtained, whether a material uncertainty exists related to events or conditions that may cast significant doubt on the department's ability to continue as a going concern. If I conclude that a material </w:t>
      </w:r>
      <w:r w:rsidRPr="00E07B31">
        <w:rPr>
          <w:rFonts w:ascii="ArialMT" w:hAnsi="ArialMT" w:cs="ArialMT"/>
          <w:lang w:val="en-AU"/>
        </w:rPr>
        <w:t xml:space="preserve">uncertainty exists, I am required to draw attention in my auditor’s report to the related </w:t>
      </w:r>
      <w:r w:rsidRPr="00E07B31">
        <w:rPr>
          <w:lang w:val="en-AU"/>
        </w:rPr>
        <w:t xml:space="preserve">disclosures in the financial report or, if such disclosures are inadequate, to modify my opinion. I base my conclusions on the audit evidence obtained up to the date of my </w:t>
      </w:r>
      <w:r w:rsidRPr="00E07B31">
        <w:rPr>
          <w:rFonts w:ascii="ArialMT" w:hAnsi="ArialMT" w:cs="ArialMT"/>
          <w:lang w:val="en-AU"/>
        </w:rPr>
        <w:t xml:space="preserve">auditor’s report. However, future events or conditions may cause </w:t>
      </w:r>
      <w:r w:rsidRPr="00E07B31">
        <w:rPr>
          <w:lang w:val="en-AU"/>
        </w:rPr>
        <w:t>the department to</w:t>
      </w:r>
      <w:r>
        <w:rPr>
          <w:lang w:val="en-AU"/>
        </w:rPr>
        <w:t xml:space="preserve"> </w:t>
      </w:r>
      <w:r w:rsidRPr="00E07B31">
        <w:rPr>
          <w:lang w:val="en-AU"/>
        </w:rPr>
        <w:t>cease to continue as a going concern.</w:t>
      </w:r>
    </w:p>
    <w:p w14:paraId="40891606" w14:textId="77777777" w:rsidR="006D5007" w:rsidRPr="00336CDE" w:rsidRDefault="006D5007" w:rsidP="006D5007">
      <w:pPr>
        <w:pStyle w:val="ListBullet"/>
        <w:rPr>
          <w:lang w:val="en-AU"/>
        </w:rPr>
      </w:pPr>
      <w:r w:rsidRPr="00336CDE">
        <w:rPr>
          <w:lang w:val="en-AU"/>
        </w:rPr>
        <w:t>Evaluate the overall presentation, structure and content of the financial report, including the disclosures, and whether the financial report represents the underlying transactions</w:t>
      </w:r>
      <w:r>
        <w:rPr>
          <w:lang w:val="en-AU"/>
        </w:rPr>
        <w:t xml:space="preserve"> </w:t>
      </w:r>
      <w:r w:rsidRPr="00336CDE">
        <w:rPr>
          <w:lang w:val="en-AU"/>
        </w:rPr>
        <w:t>and events in a manner that achieves fair presentation.</w:t>
      </w:r>
    </w:p>
    <w:p w14:paraId="661EA823" w14:textId="77777777" w:rsidR="006D5007" w:rsidRDefault="006D5007" w:rsidP="006D5007">
      <w:pPr>
        <w:autoSpaceDE w:val="0"/>
        <w:autoSpaceDN w:val="0"/>
        <w:adjustRightInd w:val="0"/>
        <w:spacing w:before="0"/>
        <w:rPr>
          <w:sz w:val="22"/>
          <w:lang w:val="en-AU"/>
        </w:rPr>
      </w:pPr>
    </w:p>
    <w:p w14:paraId="41253D40" w14:textId="77777777" w:rsidR="006D5007" w:rsidRDefault="006D5007" w:rsidP="006D5007">
      <w:pPr>
        <w:autoSpaceDE w:val="0"/>
        <w:autoSpaceDN w:val="0"/>
        <w:adjustRightInd w:val="0"/>
        <w:spacing w:before="0"/>
        <w:rPr>
          <w:sz w:val="22"/>
          <w:lang w:val="en-AU"/>
        </w:rPr>
      </w:pPr>
    </w:p>
    <w:p w14:paraId="4CABA7BA" w14:textId="77777777" w:rsidR="006D5007" w:rsidRDefault="006D5007" w:rsidP="006D5007">
      <w:pPr>
        <w:autoSpaceDE w:val="0"/>
        <w:autoSpaceDN w:val="0"/>
        <w:adjustRightInd w:val="0"/>
        <w:spacing w:before="0"/>
        <w:rPr>
          <w:sz w:val="22"/>
          <w:lang w:val="en-AU"/>
        </w:rPr>
      </w:pPr>
      <w:r>
        <w:rPr>
          <w:sz w:val="22"/>
          <w:lang w:val="en-AU"/>
        </w:rPr>
        <w:t>I communicate with the Accountable Officer regarding, among other matters, the planned scope and timing of the audit and significant audit findings, including any significant deficiencies in internal control that I identify during my audit.</w:t>
      </w:r>
    </w:p>
    <w:p w14:paraId="704E5E7D" w14:textId="77777777" w:rsidR="006D5007" w:rsidRDefault="006D5007" w:rsidP="006D5007">
      <w:pPr>
        <w:autoSpaceDE w:val="0"/>
        <w:autoSpaceDN w:val="0"/>
        <w:adjustRightInd w:val="0"/>
        <w:spacing w:before="0"/>
        <w:rPr>
          <w:sz w:val="22"/>
          <w:lang w:val="en-AU"/>
        </w:rPr>
      </w:pPr>
    </w:p>
    <w:p w14:paraId="098BCC09" w14:textId="77777777" w:rsidR="006D5007" w:rsidRDefault="006D5007" w:rsidP="006D5007">
      <w:pPr>
        <w:autoSpaceDE w:val="0"/>
        <w:autoSpaceDN w:val="0"/>
        <w:adjustRightInd w:val="0"/>
        <w:spacing w:before="0"/>
        <w:rPr>
          <w:sz w:val="22"/>
          <w:lang w:val="en-AU"/>
        </w:rPr>
      </w:pPr>
      <w:r>
        <w:rPr>
          <w:sz w:val="22"/>
          <w:lang w:val="en-AU"/>
        </w:rPr>
        <w:t xml:space="preserve">From the matters communicated with the Accountable Officer, I determine those matters that were of most significance in the audit of the financial report of the current period and are </w:t>
      </w:r>
      <w:r>
        <w:rPr>
          <w:rFonts w:ascii="ArialMT" w:hAnsi="ArialMT" w:cs="ArialMT"/>
          <w:sz w:val="22"/>
          <w:lang w:val="en-AU"/>
        </w:rPr>
        <w:t xml:space="preserve">therefore the key audit matters. I describe these matters in my auditor’s report unless law or </w:t>
      </w:r>
      <w:r>
        <w:rPr>
          <w:sz w:val="22"/>
          <w:lang w:val="en-AU"/>
        </w:rPr>
        <w:t>regulation precludes public disclosure about the matter or when, in extremely rare circumstances, I determine that a matter should not be communicated in my report because the adverse consequences of doing so would reasonably be expected to outweigh the public interest benefits of such communication.</w:t>
      </w:r>
    </w:p>
    <w:p w14:paraId="531F3B07" w14:textId="77777777" w:rsidR="006D5007" w:rsidRDefault="006D5007" w:rsidP="006D5007">
      <w:pPr>
        <w:autoSpaceDE w:val="0"/>
        <w:autoSpaceDN w:val="0"/>
        <w:adjustRightInd w:val="0"/>
        <w:spacing w:before="0"/>
        <w:rPr>
          <w:sz w:val="22"/>
          <w:lang w:val="en-AU"/>
        </w:rPr>
      </w:pPr>
    </w:p>
    <w:p w14:paraId="70285980" w14:textId="77777777" w:rsidR="006D5007" w:rsidRDefault="006D5007" w:rsidP="006D5007">
      <w:pPr>
        <w:autoSpaceDE w:val="0"/>
        <w:autoSpaceDN w:val="0"/>
        <w:adjustRightInd w:val="0"/>
        <w:spacing w:before="0"/>
        <w:rPr>
          <w:b/>
          <w:bCs/>
          <w:sz w:val="22"/>
          <w:lang w:val="en-AU"/>
        </w:rPr>
      </w:pPr>
      <w:r>
        <w:rPr>
          <w:b/>
          <w:bCs/>
          <w:sz w:val="22"/>
          <w:lang w:val="en-AU"/>
        </w:rPr>
        <w:t>Report on other legal and regulatory requirements</w:t>
      </w:r>
    </w:p>
    <w:p w14:paraId="56FE7B29" w14:textId="77777777" w:rsidR="006D5007" w:rsidRDefault="006D5007" w:rsidP="006D5007">
      <w:pPr>
        <w:autoSpaceDE w:val="0"/>
        <w:autoSpaceDN w:val="0"/>
        <w:adjustRightInd w:val="0"/>
        <w:spacing w:before="0"/>
        <w:rPr>
          <w:b/>
          <w:bCs/>
          <w:sz w:val="22"/>
          <w:lang w:val="en-AU"/>
        </w:rPr>
      </w:pPr>
    </w:p>
    <w:p w14:paraId="7BC7B0E1" w14:textId="77777777" w:rsidR="006D5007" w:rsidRDefault="006D5007" w:rsidP="006D5007">
      <w:pPr>
        <w:autoSpaceDE w:val="0"/>
        <w:autoSpaceDN w:val="0"/>
        <w:adjustRightInd w:val="0"/>
        <w:spacing w:before="0"/>
        <w:rPr>
          <w:b/>
          <w:bCs/>
          <w:sz w:val="22"/>
          <w:lang w:val="en-AU"/>
        </w:rPr>
      </w:pPr>
      <w:r>
        <w:rPr>
          <w:b/>
          <w:bCs/>
          <w:sz w:val="22"/>
          <w:lang w:val="en-AU"/>
        </w:rPr>
        <w:t>Statement</w:t>
      </w:r>
    </w:p>
    <w:p w14:paraId="36D9918A" w14:textId="77777777" w:rsidR="006D5007" w:rsidRDefault="006D5007" w:rsidP="006D5007">
      <w:pPr>
        <w:autoSpaceDE w:val="0"/>
        <w:autoSpaceDN w:val="0"/>
        <w:adjustRightInd w:val="0"/>
        <w:spacing w:before="0"/>
        <w:rPr>
          <w:sz w:val="22"/>
          <w:lang w:val="en-AU"/>
        </w:rPr>
      </w:pPr>
    </w:p>
    <w:p w14:paraId="53B120E4" w14:textId="77777777" w:rsidR="006D5007" w:rsidRDefault="006D5007" w:rsidP="006D5007">
      <w:pPr>
        <w:autoSpaceDE w:val="0"/>
        <w:autoSpaceDN w:val="0"/>
        <w:adjustRightInd w:val="0"/>
        <w:spacing w:before="0"/>
        <w:rPr>
          <w:sz w:val="22"/>
          <w:lang w:val="en-AU"/>
        </w:rPr>
      </w:pPr>
      <w:r>
        <w:rPr>
          <w:sz w:val="22"/>
          <w:lang w:val="en-AU"/>
        </w:rPr>
        <w:t xml:space="preserve">In accordance with s.40 of the </w:t>
      </w:r>
      <w:r>
        <w:rPr>
          <w:i/>
          <w:iCs/>
          <w:sz w:val="22"/>
          <w:lang w:val="en-AU"/>
        </w:rPr>
        <w:t>Auditor-General Act 2009</w:t>
      </w:r>
      <w:r>
        <w:rPr>
          <w:sz w:val="22"/>
          <w:lang w:val="en-AU"/>
        </w:rPr>
        <w:t>, for the year ended 30 June 2023:</w:t>
      </w:r>
    </w:p>
    <w:p w14:paraId="4D47A8CA" w14:textId="77777777" w:rsidR="006D5007" w:rsidRDefault="006D5007" w:rsidP="006D5007">
      <w:pPr>
        <w:autoSpaceDE w:val="0"/>
        <w:autoSpaceDN w:val="0"/>
        <w:adjustRightInd w:val="0"/>
        <w:spacing w:before="0"/>
        <w:rPr>
          <w:sz w:val="22"/>
          <w:lang w:val="en-AU"/>
        </w:rPr>
      </w:pPr>
      <w:r>
        <w:rPr>
          <w:sz w:val="22"/>
          <w:lang w:val="en-AU"/>
        </w:rPr>
        <w:t>a) I received all the information and explanations I required.</w:t>
      </w:r>
    </w:p>
    <w:p w14:paraId="51231EAE" w14:textId="77777777" w:rsidR="006D5007" w:rsidRDefault="006D5007" w:rsidP="006D5007">
      <w:pPr>
        <w:autoSpaceDE w:val="0"/>
        <w:autoSpaceDN w:val="0"/>
        <w:adjustRightInd w:val="0"/>
        <w:spacing w:before="0"/>
        <w:rPr>
          <w:sz w:val="22"/>
          <w:lang w:val="en-AU"/>
        </w:rPr>
      </w:pPr>
      <w:r>
        <w:rPr>
          <w:sz w:val="22"/>
          <w:lang w:val="en-AU"/>
        </w:rPr>
        <w:t>b) I consider that, the prescribed requirements in relation to the establishment and keeping of accounts were complied with in all material respects.</w:t>
      </w:r>
    </w:p>
    <w:p w14:paraId="4B5CD61F" w14:textId="77777777" w:rsidR="006D5007" w:rsidRDefault="006D5007" w:rsidP="006D5007">
      <w:pPr>
        <w:autoSpaceDE w:val="0"/>
        <w:autoSpaceDN w:val="0"/>
        <w:adjustRightInd w:val="0"/>
        <w:spacing w:before="0"/>
        <w:rPr>
          <w:sz w:val="22"/>
          <w:lang w:val="en-AU"/>
        </w:rPr>
      </w:pPr>
    </w:p>
    <w:p w14:paraId="438F4618" w14:textId="77777777" w:rsidR="006D5007" w:rsidRDefault="006D5007" w:rsidP="006D5007">
      <w:pPr>
        <w:autoSpaceDE w:val="0"/>
        <w:autoSpaceDN w:val="0"/>
        <w:adjustRightInd w:val="0"/>
        <w:spacing w:before="0"/>
        <w:rPr>
          <w:b/>
          <w:bCs/>
          <w:sz w:val="22"/>
          <w:lang w:val="en-AU"/>
        </w:rPr>
      </w:pPr>
      <w:r>
        <w:rPr>
          <w:b/>
          <w:bCs/>
          <w:sz w:val="22"/>
          <w:lang w:val="en-AU"/>
        </w:rPr>
        <w:t>Prescribed requirements scope</w:t>
      </w:r>
    </w:p>
    <w:p w14:paraId="6A80D099" w14:textId="77777777" w:rsidR="006D5007" w:rsidRDefault="006D5007" w:rsidP="006D5007">
      <w:pPr>
        <w:autoSpaceDE w:val="0"/>
        <w:autoSpaceDN w:val="0"/>
        <w:adjustRightInd w:val="0"/>
        <w:spacing w:before="0"/>
        <w:rPr>
          <w:b/>
          <w:bCs/>
          <w:sz w:val="22"/>
          <w:lang w:val="en-AU"/>
        </w:rPr>
      </w:pPr>
    </w:p>
    <w:p w14:paraId="6ACF5B2A" w14:textId="77777777" w:rsidR="006D5007" w:rsidRDefault="006D5007" w:rsidP="006D5007">
      <w:pPr>
        <w:autoSpaceDE w:val="0"/>
        <w:autoSpaceDN w:val="0"/>
        <w:adjustRightInd w:val="0"/>
        <w:spacing w:before="0"/>
        <w:rPr>
          <w:b/>
          <w:bCs/>
          <w:color w:val="FFFFFF"/>
          <w:sz w:val="20"/>
          <w:szCs w:val="20"/>
          <w:lang w:val="en-AU"/>
        </w:rPr>
      </w:pPr>
      <w:r>
        <w:rPr>
          <w:sz w:val="22"/>
          <w:lang w:val="en-AU"/>
        </w:rPr>
        <w:lastRenderedPageBreak/>
        <w:t xml:space="preserve">The prescribed requirements for the establishment and keeping of accounts are contained in the </w:t>
      </w:r>
      <w:r>
        <w:rPr>
          <w:i/>
          <w:iCs/>
          <w:sz w:val="22"/>
          <w:lang w:val="en-AU"/>
        </w:rPr>
        <w:t>Financial Accountability Act 2009</w:t>
      </w:r>
      <w:r>
        <w:rPr>
          <w:sz w:val="22"/>
          <w:lang w:val="en-AU"/>
        </w:rPr>
        <w:t xml:space="preserve">, any other Act and the </w:t>
      </w:r>
      <w:r>
        <w:rPr>
          <w:i/>
          <w:iCs/>
          <w:sz w:val="22"/>
          <w:lang w:val="en-AU"/>
        </w:rPr>
        <w:t>Financial and Performance Management Standard 2019</w:t>
      </w:r>
      <w:r>
        <w:rPr>
          <w:sz w:val="22"/>
          <w:lang w:val="en-AU"/>
        </w:rPr>
        <w:t xml:space="preserve">. The applicable requirements include those for keeping financial </w:t>
      </w:r>
      <w:r>
        <w:rPr>
          <w:rFonts w:ascii="ArialMT" w:hAnsi="ArialMT" w:cs="ArialMT"/>
          <w:sz w:val="22"/>
          <w:lang w:val="en-AU"/>
        </w:rPr>
        <w:t xml:space="preserve">records that correctly record and explain the department’s transactions and account </w:t>
      </w:r>
      <w:r>
        <w:rPr>
          <w:sz w:val="22"/>
          <w:lang w:val="en-AU"/>
        </w:rPr>
        <w:t>balances to enable the preparation of a true and fair financial report.</w:t>
      </w:r>
    </w:p>
    <w:p w14:paraId="2FE95571" w14:textId="77777777" w:rsidR="006D5007" w:rsidRDefault="006D5007" w:rsidP="006D5007">
      <w:pPr>
        <w:autoSpaceDE w:val="0"/>
        <w:autoSpaceDN w:val="0"/>
        <w:adjustRightInd w:val="0"/>
        <w:spacing w:before="0"/>
        <w:rPr>
          <w:b/>
          <w:bCs/>
          <w:color w:val="FFFFFF"/>
          <w:sz w:val="20"/>
          <w:szCs w:val="20"/>
          <w:lang w:val="en-AU"/>
        </w:rPr>
      </w:pPr>
    </w:p>
    <w:p w14:paraId="257F9B35" w14:textId="77777777" w:rsidR="006D5007" w:rsidRDefault="006D5007" w:rsidP="006D5007">
      <w:pPr>
        <w:autoSpaceDE w:val="0"/>
        <w:autoSpaceDN w:val="0"/>
        <w:adjustRightInd w:val="0"/>
        <w:spacing w:before="0"/>
        <w:rPr>
          <w:b/>
          <w:bCs/>
          <w:color w:val="FFFFFF"/>
          <w:sz w:val="20"/>
          <w:szCs w:val="20"/>
          <w:lang w:val="en-AU"/>
        </w:rPr>
      </w:pPr>
    </w:p>
    <w:p w14:paraId="2B71FAD9" w14:textId="77777777" w:rsidR="006D5007" w:rsidRPr="00F37255" w:rsidRDefault="006D5007" w:rsidP="006D5007">
      <w:pPr>
        <w:autoSpaceDE w:val="0"/>
        <w:autoSpaceDN w:val="0"/>
        <w:adjustRightInd w:val="0"/>
        <w:spacing w:before="0"/>
        <w:rPr>
          <w:b/>
          <w:bCs/>
          <w:sz w:val="20"/>
          <w:szCs w:val="20"/>
          <w:lang w:val="en-AU"/>
        </w:rPr>
      </w:pPr>
      <w:r w:rsidRPr="00F37255">
        <w:rPr>
          <w:noProof/>
        </w:rPr>
        <w:drawing>
          <wp:inline distT="0" distB="0" distL="0" distR="0" wp14:anchorId="20D8B7B0" wp14:editId="07139340">
            <wp:extent cx="1390650" cy="733425"/>
            <wp:effectExtent l="0" t="0" r="0" b="952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37"/>
                    <a:stretch>
                      <a:fillRect/>
                    </a:stretch>
                  </pic:blipFill>
                  <pic:spPr>
                    <a:xfrm>
                      <a:off x="0" y="0"/>
                      <a:ext cx="1390650" cy="733425"/>
                    </a:xfrm>
                    <a:prstGeom prst="rect">
                      <a:avLst/>
                    </a:prstGeom>
                  </pic:spPr>
                </pic:pic>
              </a:graphicData>
            </a:graphic>
          </wp:inline>
        </w:drawing>
      </w:r>
    </w:p>
    <w:p w14:paraId="4EB13252" w14:textId="77777777" w:rsidR="006D5007" w:rsidRDefault="006D5007" w:rsidP="006D5007">
      <w:pPr>
        <w:autoSpaceDE w:val="0"/>
        <w:autoSpaceDN w:val="0"/>
        <w:adjustRightInd w:val="0"/>
        <w:spacing w:before="0"/>
        <w:rPr>
          <w:sz w:val="20"/>
          <w:szCs w:val="20"/>
          <w:lang w:val="en-AU"/>
        </w:rPr>
      </w:pPr>
      <w:r w:rsidRPr="00F37255">
        <w:rPr>
          <w:sz w:val="20"/>
          <w:szCs w:val="20"/>
          <w:lang w:val="en-AU"/>
        </w:rPr>
        <w:t xml:space="preserve">Vaughan Stemmett </w:t>
      </w:r>
    </w:p>
    <w:p w14:paraId="7EE4454F" w14:textId="77777777" w:rsidR="006D5007" w:rsidRDefault="006D5007" w:rsidP="006D5007">
      <w:pPr>
        <w:autoSpaceDE w:val="0"/>
        <w:autoSpaceDN w:val="0"/>
        <w:adjustRightInd w:val="0"/>
        <w:spacing w:before="0"/>
        <w:rPr>
          <w:sz w:val="20"/>
          <w:szCs w:val="20"/>
          <w:lang w:val="en-AU"/>
        </w:rPr>
      </w:pPr>
      <w:r>
        <w:rPr>
          <w:sz w:val="20"/>
          <w:szCs w:val="20"/>
          <w:lang w:val="en-AU"/>
        </w:rPr>
        <w:t xml:space="preserve">as delegate of the Auditor-General </w:t>
      </w:r>
    </w:p>
    <w:p w14:paraId="1643D985" w14:textId="77777777" w:rsidR="006D5007" w:rsidRDefault="006D5007" w:rsidP="006D5007">
      <w:pPr>
        <w:autoSpaceDE w:val="0"/>
        <w:autoSpaceDN w:val="0"/>
        <w:adjustRightInd w:val="0"/>
        <w:spacing w:before="0"/>
        <w:rPr>
          <w:sz w:val="20"/>
          <w:szCs w:val="20"/>
          <w:lang w:val="en-AU"/>
        </w:rPr>
      </w:pPr>
    </w:p>
    <w:p w14:paraId="43FC737F" w14:textId="77777777" w:rsidR="006D5007" w:rsidRDefault="006D5007" w:rsidP="006D5007">
      <w:pPr>
        <w:autoSpaceDE w:val="0"/>
        <w:autoSpaceDN w:val="0"/>
        <w:adjustRightInd w:val="0"/>
        <w:spacing w:before="0"/>
        <w:rPr>
          <w:sz w:val="20"/>
          <w:szCs w:val="20"/>
          <w:lang w:val="en-AU"/>
        </w:rPr>
      </w:pPr>
      <w:r>
        <w:rPr>
          <w:sz w:val="20"/>
          <w:szCs w:val="20"/>
          <w:lang w:val="en-AU"/>
        </w:rPr>
        <w:t xml:space="preserve">31 August 2023 </w:t>
      </w:r>
    </w:p>
    <w:p w14:paraId="46E7A11C" w14:textId="77777777" w:rsidR="006D5007" w:rsidRPr="00F37255" w:rsidRDefault="006D5007" w:rsidP="006D5007">
      <w:pPr>
        <w:autoSpaceDE w:val="0"/>
        <w:autoSpaceDN w:val="0"/>
        <w:adjustRightInd w:val="0"/>
        <w:spacing w:before="0"/>
        <w:rPr>
          <w:sz w:val="20"/>
          <w:szCs w:val="20"/>
          <w:lang w:val="en-AU"/>
        </w:rPr>
      </w:pPr>
      <w:r>
        <w:rPr>
          <w:sz w:val="20"/>
          <w:szCs w:val="20"/>
          <w:lang w:val="en-AU"/>
        </w:rPr>
        <w:t>Queensland Audit Office Brisbane</w:t>
      </w:r>
    </w:p>
    <w:p w14:paraId="3F1C7E12" w14:textId="77777777" w:rsidR="006D5007" w:rsidRDefault="006D5007" w:rsidP="006D5007">
      <w:pPr>
        <w:autoSpaceDE w:val="0"/>
        <w:autoSpaceDN w:val="0"/>
        <w:adjustRightInd w:val="0"/>
        <w:spacing w:before="0"/>
        <w:rPr>
          <w:b/>
          <w:bCs/>
          <w:color w:val="FFFFFF"/>
          <w:sz w:val="20"/>
          <w:szCs w:val="20"/>
          <w:lang w:val="en-AU"/>
        </w:rPr>
      </w:pPr>
    </w:p>
    <w:p w14:paraId="7A540678" w14:textId="77777777" w:rsidR="001D2E68" w:rsidRDefault="001D2E68">
      <w:pPr>
        <w:spacing w:before="0" w:after="160" w:line="259" w:lineRule="auto"/>
        <w:rPr>
          <w:rFonts w:eastAsiaTheme="majorEastAsia" w:cstheme="majorBidi"/>
          <w:b/>
          <w:color w:val="002060"/>
          <w:sz w:val="40"/>
          <w:szCs w:val="26"/>
        </w:rPr>
      </w:pPr>
      <w:r>
        <w:br w:type="page"/>
      </w:r>
    </w:p>
    <w:p w14:paraId="12C3A606" w14:textId="4941BF48" w:rsidR="00A81C4F" w:rsidRDefault="00A81C4F" w:rsidP="00293319">
      <w:pPr>
        <w:pStyle w:val="Heading1"/>
      </w:pPr>
      <w:r>
        <w:lastRenderedPageBreak/>
        <w:t>Appendices</w:t>
      </w:r>
    </w:p>
    <w:p w14:paraId="76C4F165" w14:textId="77777777" w:rsidR="00A81C4F" w:rsidRPr="00CE29E5" w:rsidRDefault="00A81C4F" w:rsidP="00A81C4F">
      <w:pPr>
        <w:pStyle w:val="Heading2"/>
      </w:pPr>
      <w:r w:rsidRPr="00CE29E5">
        <w:t>Appendix 1</w:t>
      </w:r>
      <w:r>
        <w:t xml:space="preserve"> –</w:t>
      </w:r>
      <w:r w:rsidRPr="00CE29E5">
        <w:t xml:space="preserve"> Legislation administered by the department</w:t>
      </w:r>
    </w:p>
    <w:p w14:paraId="7C6D98E3" w14:textId="77777777" w:rsidR="00A81C4F" w:rsidRPr="00CA1A9C" w:rsidRDefault="00A81C4F" w:rsidP="00A81C4F">
      <w:pPr>
        <w:rPr>
          <w:rStyle w:val="Strong"/>
        </w:rPr>
      </w:pPr>
      <w:r w:rsidRPr="00CA1A9C">
        <w:t>The Department of Transport and Main Roads administers a range of Acts for transport-related purposes listed below:</w:t>
      </w:r>
    </w:p>
    <w:p w14:paraId="138F3D92" w14:textId="77777777" w:rsidR="00A81C4F" w:rsidRPr="00CE29E5" w:rsidRDefault="00A81C4F" w:rsidP="00A81C4F">
      <w:pPr>
        <w:pStyle w:val="Heading3"/>
      </w:pPr>
      <w:r w:rsidRPr="00CE29E5">
        <w:t>Minister for Transport and Main Roads</w:t>
      </w:r>
    </w:p>
    <w:p w14:paraId="7939BC50" w14:textId="77777777" w:rsidR="00A81C4F" w:rsidRPr="00CE29E5" w:rsidRDefault="00A81C4F" w:rsidP="00A81C4F">
      <w:pPr>
        <w:pStyle w:val="ListBullet"/>
        <w:rPr>
          <w:rStyle w:val="Emphasis"/>
        </w:rPr>
      </w:pPr>
      <w:r w:rsidRPr="00CE29E5">
        <w:rPr>
          <w:rStyle w:val="Emphasis"/>
        </w:rPr>
        <w:t>Air Navigation Act 1937</w:t>
      </w:r>
    </w:p>
    <w:p w14:paraId="36FA44B2" w14:textId="77777777" w:rsidR="00A81C4F" w:rsidRPr="00CE29E5" w:rsidRDefault="00A81C4F" w:rsidP="00A81C4F">
      <w:pPr>
        <w:pStyle w:val="ListBullet"/>
        <w:rPr>
          <w:rStyle w:val="Emphasis"/>
        </w:rPr>
      </w:pPr>
      <w:r w:rsidRPr="00CE29E5">
        <w:rPr>
          <w:rStyle w:val="Emphasis"/>
        </w:rPr>
        <w:t>Century Zinc Project Act 1997 (sections 5(2) to (7), 11, 12 and 13)</w:t>
      </w:r>
    </w:p>
    <w:p w14:paraId="3A2A2F6A" w14:textId="77777777" w:rsidR="00A81C4F" w:rsidRPr="00CE29E5" w:rsidRDefault="00A81C4F" w:rsidP="00A81C4F">
      <w:pPr>
        <w:pStyle w:val="ListBullet"/>
        <w:rPr>
          <w:rStyle w:val="Emphasis"/>
        </w:rPr>
      </w:pPr>
      <w:r w:rsidRPr="00CE29E5">
        <w:rPr>
          <w:rStyle w:val="Emphasis"/>
        </w:rPr>
        <w:t>Civil Aviation (Carriers’ Liability) Act 1964</w:t>
      </w:r>
    </w:p>
    <w:p w14:paraId="7F69CBAC" w14:textId="77777777" w:rsidR="00A81C4F" w:rsidRPr="00CE29E5" w:rsidRDefault="00A81C4F" w:rsidP="00A81C4F">
      <w:pPr>
        <w:pStyle w:val="ListBullet"/>
        <w:rPr>
          <w:rStyle w:val="Emphasis"/>
        </w:rPr>
      </w:pPr>
      <w:r w:rsidRPr="00CE29E5">
        <w:rPr>
          <w:rStyle w:val="Emphasis"/>
        </w:rPr>
        <w:t>Cross River Rail Delivery Authority Act 2016</w:t>
      </w:r>
    </w:p>
    <w:p w14:paraId="18B78158" w14:textId="77777777" w:rsidR="00A81C4F" w:rsidRPr="00CE29E5" w:rsidRDefault="00A81C4F" w:rsidP="00A81C4F">
      <w:pPr>
        <w:pStyle w:val="ListBullet"/>
        <w:rPr>
          <w:rStyle w:val="Emphasis"/>
        </w:rPr>
      </w:pPr>
      <w:r w:rsidRPr="00CE29E5">
        <w:rPr>
          <w:rStyle w:val="Emphasis"/>
        </w:rPr>
        <w:t>Gold Coast Waterways Authority Act 2012</w:t>
      </w:r>
    </w:p>
    <w:p w14:paraId="52E9CA2F" w14:textId="77777777" w:rsidR="00A81C4F" w:rsidRPr="00CE29E5" w:rsidRDefault="00A81C4F" w:rsidP="00A81C4F">
      <w:pPr>
        <w:pStyle w:val="ListBullet"/>
        <w:rPr>
          <w:rStyle w:val="Emphasis"/>
        </w:rPr>
      </w:pPr>
      <w:r w:rsidRPr="00CE29E5">
        <w:rPr>
          <w:rStyle w:val="Emphasis"/>
        </w:rPr>
        <w:t>Heavy Vehicle National Law Act 2012</w:t>
      </w:r>
    </w:p>
    <w:p w14:paraId="6DFE5645" w14:textId="77777777" w:rsidR="00A81C4F" w:rsidRPr="00CE29E5" w:rsidRDefault="00A81C4F" w:rsidP="00A81C4F">
      <w:pPr>
        <w:pStyle w:val="ListBullet"/>
        <w:rPr>
          <w:rStyle w:val="Emphasis"/>
        </w:rPr>
      </w:pPr>
      <w:r w:rsidRPr="00CE29E5">
        <w:rPr>
          <w:rStyle w:val="Emphasis"/>
        </w:rPr>
        <w:t>Maritime Safety Queensland Act 2002</w:t>
      </w:r>
    </w:p>
    <w:p w14:paraId="5140962B" w14:textId="77777777" w:rsidR="00A81C4F" w:rsidRPr="00CE29E5" w:rsidRDefault="00A81C4F" w:rsidP="00A81C4F">
      <w:pPr>
        <w:pStyle w:val="ListBullet"/>
        <w:rPr>
          <w:rStyle w:val="Emphasis"/>
        </w:rPr>
      </w:pPr>
      <w:r w:rsidRPr="00CE29E5">
        <w:rPr>
          <w:rStyle w:val="Emphasis"/>
        </w:rPr>
        <w:t>Photo Identification Card Act 2008</w:t>
      </w:r>
    </w:p>
    <w:p w14:paraId="35CDC843" w14:textId="77777777" w:rsidR="00A81C4F" w:rsidRPr="00CE29E5" w:rsidRDefault="00A81C4F" w:rsidP="00A81C4F">
      <w:pPr>
        <w:pStyle w:val="ListBullet"/>
        <w:rPr>
          <w:rStyle w:val="Emphasis"/>
        </w:rPr>
      </w:pPr>
      <w:r w:rsidRPr="00CE29E5">
        <w:rPr>
          <w:rStyle w:val="Emphasis"/>
        </w:rPr>
        <w:t>Queensland Rail Transit Authority Act 2013</w:t>
      </w:r>
    </w:p>
    <w:p w14:paraId="3288879C" w14:textId="77777777" w:rsidR="00A81C4F" w:rsidRPr="00CE29E5" w:rsidRDefault="00A81C4F" w:rsidP="00A81C4F">
      <w:pPr>
        <w:pStyle w:val="ListBullet"/>
        <w:rPr>
          <w:rStyle w:val="Emphasis"/>
        </w:rPr>
      </w:pPr>
      <w:r w:rsidRPr="00CE29E5">
        <w:rPr>
          <w:rStyle w:val="Emphasis"/>
        </w:rPr>
        <w:t>Rail Safety National Law (Queensland) Act 2017</w:t>
      </w:r>
    </w:p>
    <w:p w14:paraId="3AC73A46" w14:textId="77777777" w:rsidR="00A81C4F" w:rsidRPr="00CE29E5" w:rsidRDefault="00A81C4F" w:rsidP="00A81C4F">
      <w:pPr>
        <w:pStyle w:val="ListBullet"/>
        <w:rPr>
          <w:rStyle w:val="Emphasis"/>
        </w:rPr>
      </w:pPr>
      <w:r w:rsidRPr="00CE29E5">
        <w:rPr>
          <w:rStyle w:val="Emphasis"/>
        </w:rPr>
        <w:t>State Transport Act 1938</w:t>
      </w:r>
    </w:p>
    <w:p w14:paraId="081357AA" w14:textId="77777777" w:rsidR="00A81C4F" w:rsidRPr="00CE29E5" w:rsidRDefault="00A81C4F" w:rsidP="00A81C4F">
      <w:pPr>
        <w:pStyle w:val="ListBullet"/>
        <w:rPr>
          <w:rStyle w:val="Emphasis"/>
        </w:rPr>
      </w:pPr>
      <w:r w:rsidRPr="00CE29E5">
        <w:rPr>
          <w:rStyle w:val="Emphasis"/>
        </w:rPr>
        <w:t>State Transport (People Movers) Act 1989</w:t>
      </w:r>
    </w:p>
    <w:p w14:paraId="6916CC21" w14:textId="77777777" w:rsidR="00A81C4F" w:rsidRPr="00CE29E5" w:rsidRDefault="00A81C4F" w:rsidP="00A81C4F">
      <w:pPr>
        <w:pStyle w:val="ListBullet"/>
        <w:rPr>
          <w:rStyle w:val="Emphasis"/>
        </w:rPr>
      </w:pPr>
      <w:r w:rsidRPr="00CE29E5">
        <w:rPr>
          <w:rStyle w:val="Emphasis"/>
        </w:rPr>
        <w:t>Sustainable Ports Development Act 2015</w:t>
      </w:r>
    </w:p>
    <w:p w14:paraId="2AA1F0BF" w14:textId="77777777" w:rsidR="00A81C4F" w:rsidRPr="00CE29E5" w:rsidRDefault="00A81C4F" w:rsidP="00A81C4F">
      <w:pPr>
        <w:pStyle w:val="ListBullet"/>
        <w:rPr>
          <w:rStyle w:val="Emphasis"/>
        </w:rPr>
      </w:pPr>
      <w:r w:rsidRPr="00CE29E5">
        <w:rPr>
          <w:rStyle w:val="Emphasis"/>
        </w:rPr>
        <w:t>Thiess Peabody Mitsui Coal Pty. Ltd. Agreements Act 1965*</w:t>
      </w:r>
    </w:p>
    <w:p w14:paraId="219D924D" w14:textId="77777777" w:rsidR="00A81C4F" w:rsidRPr="00CE29E5" w:rsidRDefault="00A81C4F" w:rsidP="00A81C4F">
      <w:pPr>
        <w:pStyle w:val="ListBullet"/>
        <w:rPr>
          <w:rStyle w:val="Emphasis"/>
        </w:rPr>
      </w:pPr>
      <w:r w:rsidRPr="00CE29E5">
        <w:rPr>
          <w:rStyle w:val="Emphasis"/>
        </w:rPr>
        <w:t>Tow Truck Act 1973</w:t>
      </w:r>
    </w:p>
    <w:p w14:paraId="35024F51" w14:textId="77777777" w:rsidR="00A81C4F" w:rsidRPr="00CE29E5" w:rsidRDefault="00A81C4F" w:rsidP="00A81C4F">
      <w:pPr>
        <w:pStyle w:val="ListBullet"/>
        <w:rPr>
          <w:rStyle w:val="Emphasis"/>
        </w:rPr>
      </w:pPr>
      <w:r w:rsidRPr="00CE29E5">
        <w:rPr>
          <w:rStyle w:val="Emphasis"/>
        </w:rPr>
        <w:t>Transport Infrastructure Act 1994</w:t>
      </w:r>
    </w:p>
    <w:p w14:paraId="34A9AADF" w14:textId="77777777" w:rsidR="00A81C4F" w:rsidRPr="00CE29E5" w:rsidRDefault="00A81C4F" w:rsidP="00A81C4F">
      <w:pPr>
        <w:pStyle w:val="ListBullet"/>
        <w:rPr>
          <w:rStyle w:val="Emphasis"/>
        </w:rPr>
      </w:pPr>
      <w:r w:rsidRPr="00CE29E5">
        <w:rPr>
          <w:rStyle w:val="Emphasis"/>
        </w:rPr>
        <w:t>Transport Operations (Marine Pollution) Act 1995</w:t>
      </w:r>
    </w:p>
    <w:p w14:paraId="6C0CFBAF" w14:textId="77777777" w:rsidR="00A81C4F" w:rsidRPr="00CE29E5" w:rsidRDefault="00A81C4F" w:rsidP="00A81C4F">
      <w:pPr>
        <w:pStyle w:val="ListBullet"/>
        <w:rPr>
          <w:rStyle w:val="Emphasis"/>
        </w:rPr>
      </w:pPr>
      <w:r w:rsidRPr="00CE29E5">
        <w:rPr>
          <w:rStyle w:val="Emphasis"/>
        </w:rPr>
        <w:t>Transport Operations (Marine Safety) Act 1994</w:t>
      </w:r>
    </w:p>
    <w:p w14:paraId="49205E23" w14:textId="77777777" w:rsidR="00A81C4F" w:rsidRPr="00CE29E5" w:rsidRDefault="00A81C4F" w:rsidP="00A81C4F">
      <w:pPr>
        <w:pStyle w:val="ListBullet"/>
        <w:rPr>
          <w:rStyle w:val="Emphasis"/>
        </w:rPr>
      </w:pPr>
      <w:r w:rsidRPr="00CE29E5">
        <w:rPr>
          <w:rStyle w:val="Emphasis"/>
        </w:rPr>
        <w:t>Transport Operations (Marine Safety – Domestic Commercial Vessel National Law Application) Act 2016</w:t>
      </w:r>
    </w:p>
    <w:p w14:paraId="79C83E67" w14:textId="77777777" w:rsidR="00A81C4F" w:rsidRPr="00CE29E5" w:rsidRDefault="00A81C4F" w:rsidP="00A81C4F">
      <w:pPr>
        <w:pStyle w:val="ListBullet"/>
        <w:rPr>
          <w:rStyle w:val="Emphasis"/>
        </w:rPr>
      </w:pPr>
      <w:r w:rsidRPr="00CE29E5">
        <w:rPr>
          <w:rStyle w:val="Emphasis"/>
        </w:rPr>
        <w:t>Transport Operations (Passenger Transport) Act 1994</w:t>
      </w:r>
    </w:p>
    <w:p w14:paraId="120EDF85" w14:textId="77777777" w:rsidR="00A81C4F" w:rsidRPr="00CE29E5" w:rsidRDefault="00A81C4F" w:rsidP="00A81C4F">
      <w:pPr>
        <w:pStyle w:val="ListBullet"/>
        <w:rPr>
          <w:rStyle w:val="Emphasis"/>
        </w:rPr>
      </w:pPr>
      <w:r w:rsidRPr="00CE29E5">
        <w:rPr>
          <w:rStyle w:val="Emphasis"/>
        </w:rPr>
        <w:t>Transport Operations (Road Use Management) Act 1995</w:t>
      </w:r>
    </w:p>
    <w:p w14:paraId="5FA1AC95" w14:textId="77777777" w:rsidR="00A81C4F" w:rsidRPr="00CE29E5" w:rsidRDefault="00A81C4F" w:rsidP="00A81C4F">
      <w:pPr>
        <w:pStyle w:val="ListBullet"/>
        <w:rPr>
          <w:rStyle w:val="Emphasis"/>
        </w:rPr>
      </w:pPr>
      <w:r w:rsidRPr="00CE29E5">
        <w:rPr>
          <w:rStyle w:val="Emphasis"/>
        </w:rPr>
        <w:t>Transport Planning and Coordination Act 1994</w:t>
      </w:r>
    </w:p>
    <w:p w14:paraId="5866C3F8" w14:textId="77777777" w:rsidR="00A81C4F" w:rsidRPr="00CE29E5" w:rsidRDefault="00A81C4F" w:rsidP="00A81C4F">
      <w:pPr>
        <w:pStyle w:val="ListBullet"/>
        <w:rPr>
          <w:rStyle w:val="Emphasis"/>
        </w:rPr>
      </w:pPr>
      <w:r w:rsidRPr="00CE29E5">
        <w:rPr>
          <w:rStyle w:val="Emphasis"/>
        </w:rPr>
        <w:t>Transport (South Bank Corporation Area Land) Act 1999</w:t>
      </w:r>
    </w:p>
    <w:p w14:paraId="7978D3E3" w14:textId="77777777" w:rsidR="00A81C4F" w:rsidRPr="00CE29E5" w:rsidRDefault="00A81C4F" w:rsidP="00A81C4F">
      <w:pPr>
        <w:pStyle w:val="ListBullet"/>
        <w:rPr>
          <w:rStyle w:val="Emphasis"/>
        </w:rPr>
      </w:pPr>
      <w:r w:rsidRPr="00CE29E5">
        <w:rPr>
          <w:rStyle w:val="Emphasis"/>
        </w:rPr>
        <w:t>Transport Security (Counter-Terrorism) Act 2008</w:t>
      </w:r>
    </w:p>
    <w:p w14:paraId="2B65A0A7" w14:textId="77777777" w:rsidR="00A81C4F" w:rsidRDefault="00A81C4F" w:rsidP="00A81C4F">
      <w:pPr>
        <w:pStyle w:val="Caption"/>
      </w:pPr>
      <w:r w:rsidRPr="008E6939">
        <w:t>*Except to the extent administered by the Treasurer and Minister for Trade and Investment and the Minister for Resources.</w:t>
      </w:r>
    </w:p>
    <w:p w14:paraId="206ABD03" w14:textId="77777777" w:rsidR="00916DF7" w:rsidRDefault="00916DF7">
      <w:pPr>
        <w:spacing w:before="0" w:after="160" w:line="259" w:lineRule="auto"/>
        <w:rPr>
          <w:rFonts w:eastAsiaTheme="majorEastAsia" w:cstheme="majorBidi"/>
          <w:color w:val="000000" w:themeColor="text1"/>
          <w:sz w:val="48"/>
          <w:szCs w:val="26"/>
        </w:rPr>
      </w:pPr>
      <w:r>
        <w:br w:type="page"/>
      </w:r>
    </w:p>
    <w:p w14:paraId="118BC736" w14:textId="4AA7BF82" w:rsidR="00A81C4F" w:rsidRPr="00CE29E5" w:rsidRDefault="00A81C4F" w:rsidP="00A81C4F">
      <w:pPr>
        <w:pStyle w:val="Heading2"/>
      </w:pPr>
      <w:r w:rsidRPr="00CE29E5">
        <w:lastRenderedPageBreak/>
        <w:t>Appendix 2</w:t>
      </w:r>
      <w:r>
        <w:t xml:space="preserve"> –</w:t>
      </w:r>
      <w:r w:rsidRPr="00CE29E5">
        <w:t xml:space="preserve"> Associated authorities</w:t>
      </w:r>
    </w:p>
    <w:p w14:paraId="3A662049" w14:textId="77777777" w:rsidR="00A81C4F" w:rsidRPr="00CA1A9C" w:rsidRDefault="00A81C4F" w:rsidP="00A81C4F">
      <w:r>
        <w:t>TMR</w:t>
      </w:r>
      <w:r w:rsidRPr="00CA1A9C">
        <w:t xml:space="preserve"> works collaboratively with three statutory authorities, four government-owned corporations (GOC) and one publicly owned private (Pty Ltd) company. TMR </w:t>
      </w:r>
      <w:r>
        <w:t xml:space="preserve">also </w:t>
      </w:r>
      <w:r w:rsidRPr="00CA1A9C">
        <w:t>provides strategic advice to the Minister for the Ports and Gold Coast Waterways Authority.</w:t>
      </w:r>
    </w:p>
    <w:p w14:paraId="7AF156CD" w14:textId="77777777" w:rsidR="00A81C4F" w:rsidRPr="00CE29E5" w:rsidRDefault="00A81C4F" w:rsidP="00A81C4F">
      <w:pPr>
        <w:pStyle w:val="Heading3"/>
      </w:pPr>
      <w:r w:rsidRPr="00CE29E5">
        <w:t xml:space="preserve">Statutory authorities </w:t>
      </w:r>
    </w:p>
    <w:p w14:paraId="179BDEDA" w14:textId="77777777" w:rsidR="00A81C4F" w:rsidRPr="00CE29E5" w:rsidRDefault="00A81C4F" w:rsidP="00A81C4F">
      <w:pPr>
        <w:pStyle w:val="ListBullet"/>
      </w:pPr>
      <w:r w:rsidRPr="00CA1A9C">
        <w:t>Gold Coast Waterways Authority</w:t>
      </w:r>
    </w:p>
    <w:p w14:paraId="51C105B8" w14:textId="77777777" w:rsidR="00A81C4F" w:rsidRPr="00CE29E5" w:rsidRDefault="00A81C4F" w:rsidP="00A81C4F">
      <w:pPr>
        <w:pStyle w:val="ListBullet"/>
      </w:pPr>
      <w:r w:rsidRPr="00CA1A9C">
        <w:t>Queensland Rail</w:t>
      </w:r>
    </w:p>
    <w:p w14:paraId="75054A58" w14:textId="77777777" w:rsidR="00A81C4F" w:rsidRPr="00CE29E5" w:rsidRDefault="00A81C4F" w:rsidP="00A81C4F">
      <w:pPr>
        <w:pStyle w:val="ListBullet"/>
      </w:pPr>
      <w:r w:rsidRPr="00CA1A9C">
        <w:t xml:space="preserve">Cross River Rail Delivery Authority </w:t>
      </w:r>
    </w:p>
    <w:p w14:paraId="6701FE63" w14:textId="77777777" w:rsidR="00A81C4F" w:rsidRPr="00CE29E5" w:rsidRDefault="00A81C4F" w:rsidP="00A81C4F">
      <w:pPr>
        <w:pStyle w:val="Heading3"/>
      </w:pPr>
      <w:r w:rsidRPr="00CE29E5">
        <w:t xml:space="preserve">Government-owned corporations </w:t>
      </w:r>
    </w:p>
    <w:p w14:paraId="528915DF" w14:textId="77777777" w:rsidR="00A81C4F" w:rsidRPr="00CE29E5" w:rsidRDefault="00A81C4F" w:rsidP="00A81C4F">
      <w:pPr>
        <w:pStyle w:val="ListBullet"/>
      </w:pPr>
      <w:r w:rsidRPr="00CA1A9C">
        <w:t>Far North Queensland Ports Corporation Limited (Ports North)*</w:t>
      </w:r>
    </w:p>
    <w:p w14:paraId="7018FA27" w14:textId="77777777" w:rsidR="00A81C4F" w:rsidRPr="00CE29E5" w:rsidRDefault="00A81C4F" w:rsidP="00A81C4F">
      <w:pPr>
        <w:pStyle w:val="ListBullet"/>
      </w:pPr>
      <w:r w:rsidRPr="00CA1A9C">
        <w:t xml:space="preserve">Gladstone Ports Corporation </w:t>
      </w:r>
      <w:r w:rsidRPr="00CE29E5">
        <w:t>Limited (GPC)*</w:t>
      </w:r>
    </w:p>
    <w:p w14:paraId="0941AAD3" w14:textId="77777777" w:rsidR="00A81C4F" w:rsidRPr="00CE29E5" w:rsidRDefault="00A81C4F" w:rsidP="00A81C4F">
      <w:pPr>
        <w:pStyle w:val="ListBullet"/>
      </w:pPr>
      <w:r w:rsidRPr="00CA1A9C">
        <w:t xml:space="preserve">North Queensland </w:t>
      </w:r>
      <w:r w:rsidRPr="00CE29E5">
        <w:t>Bulk Ports Corporation Limited (NQBP)*</w:t>
      </w:r>
    </w:p>
    <w:p w14:paraId="37430F7C" w14:textId="77777777" w:rsidR="00A81C4F" w:rsidRPr="00CE29E5" w:rsidRDefault="00A81C4F" w:rsidP="00A81C4F">
      <w:pPr>
        <w:pStyle w:val="ListBullet"/>
      </w:pPr>
      <w:r w:rsidRPr="00CA1A9C">
        <w:t>Port of Townsville Limited (POTL)*</w:t>
      </w:r>
    </w:p>
    <w:p w14:paraId="22B5CFAE" w14:textId="77777777" w:rsidR="00A81C4F" w:rsidRPr="008E6939" w:rsidRDefault="00A81C4F" w:rsidP="00A81C4F">
      <w:pPr>
        <w:pStyle w:val="Caption"/>
      </w:pPr>
      <w:r w:rsidRPr="008E6939">
        <w:t>*Government-owned corporation with shareholding Ministerial obligations.</w:t>
      </w:r>
    </w:p>
    <w:p w14:paraId="33ED1290" w14:textId="77777777" w:rsidR="00A81C4F" w:rsidRPr="00CE29E5" w:rsidRDefault="00A81C4F" w:rsidP="00A81C4F">
      <w:pPr>
        <w:pStyle w:val="Heading3"/>
      </w:pPr>
      <w:r w:rsidRPr="00CE29E5">
        <w:t>Publicly-owned private company</w:t>
      </w:r>
    </w:p>
    <w:p w14:paraId="28EDFBAD" w14:textId="77777777" w:rsidR="00A81C4F" w:rsidRPr="00CE29E5" w:rsidRDefault="00A81C4F" w:rsidP="00A81C4F">
      <w:pPr>
        <w:pStyle w:val="ListBullet"/>
      </w:pPr>
      <w:r w:rsidRPr="00CA1A9C">
        <w:t>Transmax Pty Ltd**</w:t>
      </w:r>
    </w:p>
    <w:p w14:paraId="4CDCDBC3" w14:textId="77777777" w:rsidR="00A81C4F" w:rsidRPr="008E6939" w:rsidRDefault="00A81C4F" w:rsidP="00A81C4F">
      <w:pPr>
        <w:pStyle w:val="Caption"/>
      </w:pPr>
      <w:r w:rsidRPr="008E6939">
        <w:t xml:space="preserve">**Director-General of </w:t>
      </w:r>
      <w:r>
        <w:t>TMR</w:t>
      </w:r>
      <w:r w:rsidRPr="008E6939">
        <w:t xml:space="preserve"> is the company's sole shareholder.</w:t>
      </w:r>
    </w:p>
    <w:p w14:paraId="4FE79F5B" w14:textId="77777777" w:rsidR="00A81C4F" w:rsidRPr="00CE29E5" w:rsidRDefault="00A81C4F" w:rsidP="00A81C4F">
      <w:pPr>
        <w:pStyle w:val="Heading3"/>
      </w:pPr>
      <w:r w:rsidRPr="00CE29E5">
        <w:t>Gold Coast Waterways Authority</w:t>
      </w:r>
    </w:p>
    <w:p w14:paraId="03D945E5" w14:textId="77777777" w:rsidR="00A81C4F" w:rsidRPr="00CA1A9C" w:rsidRDefault="00A81C4F" w:rsidP="00A81C4F">
      <w:r w:rsidRPr="00CA1A9C">
        <w:t>The Gold Coast Waterways Authority was established to strategically plan for, facilitate</w:t>
      </w:r>
      <w:r>
        <w:t>,</w:t>
      </w:r>
      <w:r w:rsidRPr="00CA1A9C">
        <w:t xml:space="preserve"> and manage the development and use of the Gold Coast waterways. The authority manages the waterways south of the Logan River to the New South Wales border. The Gold Coast Waterways Authority operates in accordance with the </w:t>
      </w:r>
      <w:r w:rsidRPr="00CA1A9C">
        <w:rPr>
          <w:rStyle w:val="Emphasis"/>
        </w:rPr>
        <w:t>Gold Coast Waterways Authority Act 2012</w:t>
      </w:r>
      <w:r w:rsidRPr="00CA1A9C">
        <w:t>.</w:t>
      </w:r>
    </w:p>
    <w:p w14:paraId="415B21E1" w14:textId="77777777" w:rsidR="00A81C4F" w:rsidRPr="00F72E09" w:rsidRDefault="00A81C4F" w:rsidP="00A81C4F">
      <w:pPr>
        <w:pStyle w:val="ForMoreInformation"/>
        <w:rPr>
          <w:rStyle w:val="Hyperlink"/>
        </w:rPr>
      </w:pPr>
      <w:r w:rsidRPr="00F72E09">
        <w:t>For more information</w:t>
      </w:r>
      <w:r>
        <w:t xml:space="preserve"> visit:</w:t>
      </w:r>
      <w:r w:rsidRPr="00F72E09">
        <w:br/>
      </w:r>
      <w:r w:rsidRPr="00F72E09">
        <w:rPr>
          <w:rStyle w:val="Hyperlink"/>
        </w:rPr>
        <w:t xml:space="preserve">https://gcwa.qld.gov.au/our-publications/#reports  </w:t>
      </w:r>
    </w:p>
    <w:p w14:paraId="602F9DB6" w14:textId="77777777" w:rsidR="00A81C4F" w:rsidRPr="00CE29E5" w:rsidRDefault="00A81C4F" w:rsidP="00A81C4F">
      <w:pPr>
        <w:pStyle w:val="Heading3"/>
      </w:pPr>
      <w:r w:rsidRPr="00CE29E5">
        <w:t>Queensland Rail</w:t>
      </w:r>
    </w:p>
    <w:p w14:paraId="1DC23B51" w14:textId="77777777" w:rsidR="00A81C4F" w:rsidRPr="00CA1A9C" w:rsidRDefault="00A81C4F" w:rsidP="00A81C4F">
      <w:r w:rsidRPr="00CA1A9C">
        <w:t xml:space="preserve">Queensland Rail is a statutory authority and operates in accordance with the </w:t>
      </w:r>
      <w:r w:rsidRPr="00CA1A9C">
        <w:rPr>
          <w:rStyle w:val="Emphasis"/>
        </w:rPr>
        <w:t>Queensland Rail Transit Authority Act 2013</w:t>
      </w:r>
      <w:r w:rsidRPr="00CA1A9C">
        <w:t>. It is responsible for the operation of passenger rail services and ensuring that supporting rail infrastructure remains safe, reliable</w:t>
      </w:r>
      <w:r>
        <w:t>,</w:t>
      </w:r>
      <w:r w:rsidRPr="00CA1A9C">
        <w:t xml:space="preserve"> and at a fit-for-purpose standard.</w:t>
      </w:r>
    </w:p>
    <w:p w14:paraId="3F6A50FE" w14:textId="77777777" w:rsidR="00A81C4F" w:rsidRPr="00CA1A9C" w:rsidRDefault="00A81C4F" w:rsidP="00A81C4F">
      <w:r w:rsidRPr="00CA1A9C">
        <w:t>The Rail Transport Service Contract between TMR and Queensland Rail governs the funding arrangements for new rail infrastructure, maintenance of the existing rail network and the provision of both South East Queensland and regional long-distance passenger rail services.</w:t>
      </w:r>
    </w:p>
    <w:p w14:paraId="6CB1ED72" w14:textId="77777777" w:rsidR="00A81C4F" w:rsidRPr="00B42467" w:rsidRDefault="00A81C4F" w:rsidP="00A81C4F">
      <w:pPr>
        <w:pStyle w:val="ForMoreInformation"/>
        <w:rPr>
          <w:rStyle w:val="Hyperlink"/>
        </w:rPr>
      </w:pPr>
      <w:r w:rsidRPr="00CA1A9C">
        <w:t>For more information</w:t>
      </w:r>
      <w:r>
        <w:t xml:space="preserve"> visit:</w:t>
      </w:r>
      <w:r w:rsidRPr="00CA1A9C">
        <w:br/>
      </w:r>
      <w:r w:rsidRPr="00B42467">
        <w:rPr>
          <w:rStyle w:val="Hyperlink"/>
        </w:rPr>
        <w:t>www.queenslandrail.com.au/aboutus/governance/annualreports</w:t>
      </w:r>
    </w:p>
    <w:p w14:paraId="00EF3211" w14:textId="77777777" w:rsidR="00A81C4F" w:rsidRPr="00CE29E5" w:rsidRDefault="00A81C4F" w:rsidP="00A81C4F">
      <w:pPr>
        <w:pStyle w:val="Heading3"/>
      </w:pPr>
      <w:r w:rsidRPr="00CE29E5">
        <w:t xml:space="preserve">Cross River Rail Delivery Authority </w:t>
      </w:r>
    </w:p>
    <w:p w14:paraId="73606F32" w14:textId="77777777" w:rsidR="00A81C4F" w:rsidRPr="00CA1A9C" w:rsidRDefault="00A81C4F" w:rsidP="00A81C4F">
      <w:r w:rsidRPr="00CA1A9C">
        <w:t>The Cross River Rail Delivery Authority was created to plan, carry out, promote</w:t>
      </w:r>
      <w:r>
        <w:t>,</w:t>
      </w:r>
      <w:r w:rsidRPr="00CA1A9C">
        <w:t xml:space="preserve"> and coordinate activities to facilitate economic development and development for community purposes, in a cross river rail priority development area, and to facilitate the efficient delivery of the cross river rail project and transport-related projects</w:t>
      </w:r>
      <w:r>
        <w:t>. The</w:t>
      </w:r>
      <w:r w:rsidRPr="00CA1A9C">
        <w:rPr>
          <w:rStyle w:val="Emphasis"/>
        </w:rPr>
        <w:t xml:space="preserve"> Cross River Rail Delivery Authority Act 2016</w:t>
      </w:r>
      <w:r w:rsidRPr="00CA1A9C">
        <w:t xml:space="preserve"> has been administered by TMR’s Director-General since 12 November 2020</w:t>
      </w:r>
      <w:r>
        <w:t xml:space="preserve">. The Director-General is also </w:t>
      </w:r>
      <w:r w:rsidRPr="00CA1A9C">
        <w:t>Chair</w:t>
      </w:r>
      <w:r>
        <w:t>person</w:t>
      </w:r>
      <w:r w:rsidRPr="00CA1A9C">
        <w:t xml:space="preserve"> of the Cross River Rail Delivery Board.</w:t>
      </w:r>
    </w:p>
    <w:p w14:paraId="5596B3C5" w14:textId="77777777" w:rsidR="00A81C4F" w:rsidRPr="00B42467" w:rsidRDefault="00A81C4F" w:rsidP="00A81C4F">
      <w:pPr>
        <w:pStyle w:val="ForMoreInformation"/>
        <w:rPr>
          <w:rStyle w:val="Hyperlink"/>
        </w:rPr>
      </w:pPr>
      <w:r w:rsidRPr="00CA1A9C">
        <w:lastRenderedPageBreak/>
        <w:t>For more information</w:t>
      </w:r>
      <w:r>
        <w:t xml:space="preserve"> visit:</w:t>
      </w:r>
      <w:r w:rsidRPr="00CA1A9C">
        <w:br/>
      </w:r>
      <w:r w:rsidRPr="00B42467">
        <w:rPr>
          <w:rStyle w:val="Hyperlink"/>
        </w:rPr>
        <w:t>https://crossriverrail.qld.gov.au</w:t>
      </w:r>
    </w:p>
    <w:p w14:paraId="117B7372" w14:textId="77777777" w:rsidR="00A81C4F" w:rsidRPr="00CE29E5" w:rsidRDefault="00A81C4F" w:rsidP="00A81C4F">
      <w:pPr>
        <w:pStyle w:val="Heading3"/>
      </w:pPr>
      <w:r w:rsidRPr="00CE29E5">
        <w:t>Shareholding ministers</w:t>
      </w:r>
    </w:p>
    <w:p w14:paraId="48089EF3" w14:textId="77777777" w:rsidR="00A81C4F" w:rsidRDefault="00A81C4F" w:rsidP="00A81C4F">
      <w:r w:rsidRPr="00CA1A9C">
        <w:t xml:space="preserve">The </w:t>
      </w:r>
      <w:r>
        <w:t xml:space="preserve">above </w:t>
      </w:r>
      <w:r w:rsidRPr="00CA1A9C">
        <w:t xml:space="preserve">listed ports are GOCs governed under the </w:t>
      </w:r>
      <w:r w:rsidRPr="00CA1A9C">
        <w:rPr>
          <w:rStyle w:val="Emphasis"/>
        </w:rPr>
        <w:t>Government Owned Corporations Act 1993</w:t>
      </w:r>
      <w:r w:rsidRPr="00CA1A9C">
        <w:t>. Each GOC must fulfil its obligations and keep the shareholding minister(s) reasonably informed of the operations, financial performance, financial position, and governance of the company and its subsidiaries. The companies must report in a timely manner on all issues likely to have a significant financial or operating impact. Each must also develop a Corporate Plan, Statement of Corporate Intent</w:t>
      </w:r>
      <w:r>
        <w:t>,</w:t>
      </w:r>
      <w:r w:rsidRPr="00CA1A9C">
        <w:t xml:space="preserve"> and table an annual performance report each year which are available on their website.</w:t>
      </w:r>
    </w:p>
    <w:p w14:paraId="0DC6B582" w14:textId="77777777" w:rsidR="00A81C4F" w:rsidRPr="00CE29E5" w:rsidRDefault="00A81C4F" w:rsidP="00A81C4F">
      <w:pPr>
        <w:pStyle w:val="Heading3"/>
      </w:pPr>
      <w:r w:rsidRPr="00CE29E5">
        <w:t>Transmax</w:t>
      </w:r>
    </w:p>
    <w:p w14:paraId="1B2DFEEA" w14:textId="77777777" w:rsidR="00A81C4F" w:rsidRPr="00CA1A9C" w:rsidRDefault="00A81C4F" w:rsidP="00A81C4F">
      <w:r w:rsidRPr="00CA1A9C">
        <w:t xml:space="preserve">Transmax Pty Ltd is an unlisted Australian company incorporated in 2002. Transmax is wholly owned by TMR and is governed by a board </w:t>
      </w:r>
      <w:r>
        <w:t xml:space="preserve">of </w:t>
      </w:r>
      <w:r w:rsidRPr="00CA1A9C">
        <w:t xml:space="preserve"> independent directors.</w:t>
      </w:r>
      <w:r>
        <w:t xml:space="preserve">  </w:t>
      </w:r>
      <w:r w:rsidRPr="00F049C2">
        <w:t>Transmax provides traffic management systems and other Intelligent Transport Systems (ITS) used to optimise the traffic system and reduce congestion</w:t>
      </w:r>
      <w:r>
        <w:t xml:space="preserve"> and</w:t>
      </w:r>
      <w:r w:rsidRPr="0043132F">
        <w:t xml:space="preserve"> supports other transport departments around Australia to achieve safer and more reliable road journeys</w:t>
      </w:r>
      <w:r>
        <w:t>.</w:t>
      </w:r>
    </w:p>
    <w:p w14:paraId="4E9923CF" w14:textId="77777777" w:rsidR="00A81C4F" w:rsidRPr="00B42467" w:rsidRDefault="00A81C4F" w:rsidP="00A81C4F">
      <w:pPr>
        <w:pStyle w:val="ForMoreInformation"/>
        <w:rPr>
          <w:rStyle w:val="Hyperlink"/>
        </w:rPr>
      </w:pPr>
      <w:r w:rsidRPr="00CA1A9C">
        <w:t>For more information</w:t>
      </w:r>
      <w:r>
        <w:t xml:space="preserve"> visit:</w:t>
      </w:r>
      <w:r>
        <w:br/>
      </w:r>
      <w:r w:rsidRPr="00B42467">
        <w:rPr>
          <w:rStyle w:val="Hyperlink"/>
        </w:rPr>
        <w:t>https://www.transmax.com.au/who-we-are/corporate-publications/</w:t>
      </w:r>
    </w:p>
    <w:p w14:paraId="2B59EC02" w14:textId="77777777" w:rsidR="00916DF7" w:rsidRDefault="00916DF7">
      <w:pPr>
        <w:spacing w:before="0" w:after="160" w:line="259" w:lineRule="auto"/>
        <w:rPr>
          <w:rFonts w:eastAsiaTheme="majorEastAsia" w:cstheme="majorBidi"/>
          <w:color w:val="000000" w:themeColor="text1"/>
          <w:sz w:val="48"/>
          <w:szCs w:val="26"/>
        </w:rPr>
      </w:pPr>
      <w:r>
        <w:br w:type="page"/>
      </w:r>
    </w:p>
    <w:p w14:paraId="60372347" w14:textId="39E1ED50" w:rsidR="00A81C4F" w:rsidRPr="000A4CE2" w:rsidRDefault="00A81C4F" w:rsidP="00A81C4F">
      <w:pPr>
        <w:pStyle w:val="Heading2"/>
      </w:pPr>
      <w:r w:rsidRPr="001E5801">
        <w:lastRenderedPageBreak/>
        <w:t>Appendix 3 – Performance statements 202</w:t>
      </w:r>
      <w:r>
        <w:t>2</w:t>
      </w:r>
      <w:r w:rsidRPr="001E5801">
        <w:t>–2</w:t>
      </w:r>
      <w:r>
        <w:t>3</w:t>
      </w:r>
    </w:p>
    <w:p w14:paraId="3E51348F" w14:textId="77777777" w:rsidR="00A81C4F" w:rsidRDefault="00A81C4F" w:rsidP="00A81C4F">
      <w:pPr>
        <w:pStyle w:val="Heading3"/>
      </w:pPr>
      <w:r w:rsidRPr="001E5801">
        <w:t xml:space="preserve">Service area: </w:t>
      </w:r>
      <w:bookmarkStart w:id="61" w:name="_Hlk142657230"/>
      <w:r w:rsidRPr="001E5801">
        <w:t>Transport System Investment Planning and Programming</w:t>
      </w:r>
    </w:p>
    <w:bookmarkEnd w:id="61"/>
    <w:p w14:paraId="4C5A1CA7" w14:textId="77777777" w:rsidR="00A81C4F" w:rsidRPr="001E5801" w:rsidRDefault="00A81C4F" w:rsidP="00A81C4F">
      <w:pPr>
        <w:pStyle w:val="Heading4"/>
      </w:pPr>
      <w:r w:rsidRPr="001E5801">
        <w:t>Service area objective</w:t>
      </w:r>
    </w:p>
    <w:p w14:paraId="380A102E" w14:textId="77777777" w:rsidR="00A81C4F" w:rsidRPr="00020EF5" w:rsidRDefault="00A81C4F" w:rsidP="00A81C4F">
      <w:r w:rsidRPr="00020EF5">
        <w:t xml:space="preserve">To develop and prioritise transport policy and investment to support economic and regional development and meet Queensland's long term transport needs.  </w:t>
      </w:r>
    </w:p>
    <w:p w14:paraId="751B828F" w14:textId="77777777" w:rsidR="00A81C4F" w:rsidRPr="000A4CE2" w:rsidRDefault="00A81C4F" w:rsidP="00A81C4F">
      <w:pPr>
        <w:pStyle w:val="TableofFigures"/>
      </w:pPr>
      <w:r w:rsidRPr="000A4CE2">
        <w:t xml:space="preserve">Table </w:t>
      </w:r>
      <w:r>
        <w:t>19: Transport System Investment Planning and Programming e</w:t>
      </w:r>
      <w:r w:rsidRPr="00220FB9">
        <w:t>ffectiveness measure</w:t>
      </w:r>
      <w:r>
        <w:t>s</w:t>
      </w:r>
    </w:p>
    <w:tbl>
      <w:tblPr>
        <w:tblStyle w:val="GridTable4-Accent1"/>
        <w:tblW w:w="0" w:type="auto"/>
        <w:tblLayout w:type="fixed"/>
        <w:tblLook w:val="04A0" w:firstRow="1" w:lastRow="0" w:firstColumn="1" w:lastColumn="0" w:noHBand="0" w:noVBand="1"/>
      </w:tblPr>
      <w:tblGrid>
        <w:gridCol w:w="6096"/>
        <w:gridCol w:w="850"/>
        <w:gridCol w:w="1701"/>
        <w:gridCol w:w="1557"/>
      </w:tblGrid>
      <w:tr w:rsidR="00A81C4F" w:rsidRPr="000A4CE2" w14:paraId="7C1348E9" w14:textId="77777777" w:rsidTr="001F13CF">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6096" w:type="dxa"/>
          </w:tcPr>
          <w:p w14:paraId="3B6C9D96" w14:textId="77777777" w:rsidR="00A81C4F" w:rsidRPr="00020EF5" w:rsidRDefault="00A81C4F" w:rsidP="00387B2A">
            <w:pPr>
              <w:pStyle w:val="Normal-table"/>
            </w:pPr>
            <w:r w:rsidRPr="00EB1A71">
              <w:t>Service standards</w:t>
            </w:r>
          </w:p>
        </w:tc>
        <w:tc>
          <w:tcPr>
            <w:tcW w:w="850" w:type="dxa"/>
          </w:tcPr>
          <w:p w14:paraId="50E66439"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rsidRPr="00EB1A71">
              <w:t>Notes</w:t>
            </w:r>
          </w:p>
        </w:tc>
        <w:tc>
          <w:tcPr>
            <w:tcW w:w="1701" w:type="dxa"/>
          </w:tcPr>
          <w:p w14:paraId="319FCBA7"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rsidRPr="00EB1A71">
              <w:t>202</w:t>
            </w:r>
            <w:r w:rsidRPr="00020EF5">
              <w:t>2–23</w:t>
            </w:r>
            <w:r>
              <w:t xml:space="preserve"> </w:t>
            </w:r>
            <w:r w:rsidRPr="00EB1A71">
              <w:t>Target / Estimate</w:t>
            </w:r>
          </w:p>
        </w:tc>
        <w:tc>
          <w:tcPr>
            <w:tcW w:w="1557" w:type="dxa"/>
          </w:tcPr>
          <w:p w14:paraId="5A54A38D"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rsidRPr="00EB1A71">
              <w:t>202</w:t>
            </w:r>
            <w:r w:rsidRPr="00020EF5">
              <w:t>2–23</w:t>
            </w:r>
            <w:r>
              <w:t xml:space="preserve"> </w:t>
            </w:r>
            <w:r w:rsidRPr="00EB1A71">
              <w:t>Actual</w:t>
            </w:r>
          </w:p>
        </w:tc>
      </w:tr>
      <w:tr w:rsidR="00A81C4F" w:rsidRPr="000A4CE2" w14:paraId="2FECD43A" w14:textId="77777777" w:rsidTr="001F13C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6" w:type="dxa"/>
          </w:tcPr>
          <w:p w14:paraId="0AE11A0B" w14:textId="77777777" w:rsidR="00A81C4F" w:rsidRPr="00020EF5" w:rsidRDefault="00A81C4F" w:rsidP="00387B2A">
            <w:pPr>
              <w:pStyle w:val="Normal-table"/>
            </w:pPr>
            <w:r w:rsidRPr="00020EF5">
              <w:t>Urban road system condition – the percentage of urban state-controlled roads with condition better than the specified benchmark</w:t>
            </w:r>
          </w:p>
        </w:tc>
        <w:tc>
          <w:tcPr>
            <w:tcW w:w="850" w:type="dxa"/>
          </w:tcPr>
          <w:p w14:paraId="78B0D429" w14:textId="77777777" w:rsidR="00A81C4F" w:rsidRPr="000A4CE2"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1</w:t>
            </w:r>
          </w:p>
        </w:tc>
        <w:tc>
          <w:tcPr>
            <w:tcW w:w="1701" w:type="dxa"/>
          </w:tcPr>
          <w:p w14:paraId="32C823A1"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0143F8">
              <w:t>97–99%</w:t>
            </w:r>
          </w:p>
        </w:tc>
        <w:tc>
          <w:tcPr>
            <w:tcW w:w="1557" w:type="dxa"/>
          </w:tcPr>
          <w:p w14:paraId="430B9F58"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98.66%</w:t>
            </w:r>
          </w:p>
        </w:tc>
      </w:tr>
      <w:tr w:rsidR="00A81C4F" w:rsidRPr="000A4CE2" w14:paraId="653B7461" w14:textId="77777777" w:rsidTr="001F13CF">
        <w:trPr>
          <w:trHeight w:val="60"/>
        </w:trPr>
        <w:tc>
          <w:tcPr>
            <w:cnfStyle w:val="001000000000" w:firstRow="0" w:lastRow="0" w:firstColumn="1" w:lastColumn="0" w:oddVBand="0" w:evenVBand="0" w:oddHBand="0" w:evenHBand="0" w:firstRowFirstColumn="0" w:firstRowLastColumn="0" w:lastRowFirstColumn="0" w:lastRowLastColumn="0"/>
            <w:tcW w:w="6096" w:type="dxa"/>
          </w:tcPr>
          <w:p w14:paraId="2B968612" w14:textId="77777777" w:rsidR="00A81C4F" w:rsidRPr="00020EF5" w:rsidRDefault="00A81C4F" w:rsidP="00387B2A">
            <w:pPr>
              <w:pStyle w:val="Normal-table"/>
            </w:pPr>
            <w:r w:rsidRPr="00020EF5">
              <w:t>Rural road system condition – the percentage of rural state-controlled roads with condition better than the specified benchmark</w:t>
            </w:r>
          </w:p>
        </w:tc>
        <w:tc>
          <w:tcPr>
            <w:tcW w:w="850" w:type="dxa"/>
          </w:tcPr>
          <w:p w14:paraId="48A22194" w14:textId="77777777" w:rsidR="00A81C4F" w:rsidRPr="000A4CE2"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t>2</w:t>
            </w:r>
          </w:p>
        </w:tc>
        <w:tc>
          <w:tcPr>
            <w:tcW w:w="1701" w:type="dxa"/>
          </w:tcPr>
          <w:p w14:paraId="0EEEF7B8" w14:textId="77777777" w:rsidR="00A81C4F" w:rsidRPr="00020EF5"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rsidRPr="000143F8">
              <w:t>95–97%</w:t>
            </w:r>
          </w:p>
        </w:tc>
        <w:tc>
          <w:tcPr>
            <w:tcW w:w="1557" w:type="dxa"/>
          </w:tcPr>
          <w:p w14:paraId="00A2163B" w14:textId="77777777" w:rsidR="00A81C4F" w:rsidRPr="00020EF5"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t>96.40%</w:t>
            </w:r>
          </w:p>
        </w:tc>
      </w:tr>
      <w:tr w:rsidR="00A81C4F" w:rsidRPr="000A4CE2" w14:paraId="008E033F" w14:textId="77777777" w:rsidTr="001F13C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6" w:type="dxa"/>
          </w:tcPr>
          <w:p w14:paraId="34EC87C1" w14:textId="77777777" w:rsidR="00A81C4F" w:rsidRPr="00020EF5" w:rsidRDefault="00A81C4F" w:rsidP="00387B2A">
            <w:pPr>
              <w:pStyle w:val="Normal-table"/>
            </w:pPr>
            <w:r w:rsidRPr="00020EF5">
              <w:t>Road ride quality – Traffic weighted roughness (percentage of the network in very poor/poor condition)</w:t>
            </w:r>
          </w:p>
        </w:tc>
        <w:tc>
          <w:tcPr>
            <w:tcW w:w="850" w:type="dxa"/>
          </w:tcPr>
          <w:p w14:paraId="7120C63C" w14:textId="77777777" w:rsidR="00A81C4F" w:rsidRPr="000A4CE2"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3</w:t>
            </w:r>
          </w:p>
        </w:tc>
        <w:tc>
          <w:tcPr>
            <w:tcW w:w="1701" w:type="dxa"/>
          </w:tcPr>
          <w:p w14:paraId="1161E4CF"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0143F8">
              <w:t>11.0–12.0%</w:t>
            </w:r>
          </w:p>
        </w:tc>
        <w:tc>
          <w:tcPr>
            <w:tcW w:w="1557" w:type="dxa"/>
          </w:tcPr>
          <w:p w14:paraId="73939A29"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11.01%</w:t>
            </w:r>
          </w:p>
        </w:tc>
      </w:tr>
    </w:tbl>
    <w:p w14:paraId="631F2E2C" w14:textId="77777777" w:rsidR="00A81C4F" w:rsidRDefault="00A81C4F" w:rsidP="00A81C4F"/>
    <w:p w14:paraId="3E3B4738" w14:textId="77777777" w:rsidR="00A81C4F" w:rsidRPr="000A4CE2" w:rsidRDefault="00A81C4F" w:rsidP="00A81C4F">
      <w:pPr>
        <w:pStyle w:val="TableofFigures"/>
      </w:pPr>
      <w:r w:rsidRPr="000A4CE2">
        <w:t xml:space="preserve">Table </w:t>
      </w:r>
      <w:r>
        <w:t>20: Transport System Investment Planning and Programming efficiency measure</w:t>
      </w:r>
    </w:p>
    <w:tbl>
      <w:tblPr>
        <w:tblStyle w:val="GridTable4-Accent1"/>
        <w:tblW w:w="0" w:type="auto"/>
        <w:tblLayout w:type="fixed"/>
        <w:tblLook w:val="04A0" w:firstRow="1" w:lastRow="0" w:firstColumn="1" w:lastColumn="0" w:noHBand="0" w:noVBand="1"/>
      </w:tblPr>
      <w:tblGrid>
        <w:gridCol w:w="6096"/>
        <w:gridCol w:w="850"/>
        <w:gridCol w:w="1701"/>
        <w:gridCol w:w="1557"/>
      </w:tblGrid>
      <w:tr w:rsidR="00A81C4F" w:rsidRPr="000A4CE2" w14:paraId="08BB78E6" w14:textId="77777777" w:rsidTr="001F13CF">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6096" w:type="dxa"/>
          </w:tcPr>
          <w:p w14:paraId="0328109B" w14:textId="77777777" w:rsidR="00A81C4F" w:rsidRPr="00020EF5" w:rsidRDefault="00A81C4F" w:rsidP="00387B2A">
            <w:pPr>
              <w:pStyle w:val="Normal-table"/>
            </w:pPr>
            <w:r w:rsidRPr="00EB1A71">
              <w:t>Service standards</w:t>
            </w:r>
          </w:p>
        </w:tc>
        <w:tc>
          <w:tcPr>
            <w:tcW w:w="850" w:type="dxa"/>
          </w:tcPr>
          <w:p w14:paraId="3311B4F2"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rsidRPr="00EB1A71">
              <w:t>Notes</w:t>
            </w:r>
          </w:p>
        </w:tc>
        <w:tc>
          <w:tcPr>
            <w:tcW w:w="1701" w:type="dxa"/>
          </w:tcPr>
          <w:p w14:paraId="495768F4"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rsidRPr="00EB1A71">
              <w:t>202</w:t>
            </w:r>
            <w:r w:rsidRPr="00020EF5">
              <w:t>2–23</w:t>
            </w:r>
            <w:r>
              <w:t xml:space="preserve"> </w:t>
            </w:r>
            <w:r w:rsidRPr="00EB1A71">
              <w:t>Target / Estimate</w:t>
            </w:r>
          </w:p>
        </w:tc>
        <w:tc>
          <w:tcPr>
            <w:tcW w:w="1557" w:type="dxa"/>
          </w:tcPr>
          <w:p w14:paraId="39623C98"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Actual</w:t>
            </w:r>
          </w:p>
        </w:tc>
      </w:tr>
      <w:tr w:rsidR="00A81C4F" w:rsidRPr="000A4CE2" w14:paraId="35463B1C" w14:textId="77777777" w:rsidTr="001F13C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6" w:type="dxa"/>
          </w:tcPr>
          <w:p w14:paraId="1B19D5B1" w14:textId="77777777" w:rsidR="00A81C4F" w:rsidRPr="00020EF5" w:rsidRDefault="00A81C4F" w:rsidP="00387B2A">
            <w:pPr>
              <w:pStyle w:val="Normal-table"/>
            </w:pPr>
            <w:r w:rsidRPr="000143F8">
              <w:t xml:space="preserve">Administrative cost to plan, develop and manage the Queensland Transport and Roads Investment Program (QTRIP) as a percentage of the overall value of the </w:t>
            </w:r>
            <w:r w:rsidRPr="00020EF5">
              <w:t>program</w:t>
            </w:r>
          </w:p>
        </w:tc>
        <w:tc>
          <w:tcPr>
            <w:tcW w:w="850" w:type="dxa"/>
          </w:tcPr>
          <w:p w14:paraId="49279B60"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4, 5</w:t>
            </w:r>
          </w:p>
        </w:tc>
        <w:tc>
          <w:tcPr>
            <w:tcW w:w="1701" w:type="dxa"/>
          </w:tcPr>
          <w:p w14:paraId="0F8094EF"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1.0%</w:t>
            </w:r>
          </w:p>
        </w:tc>
        <w:tc>
          <w:tcPr>
            <w:tcW w:w="1557" w:type="dxa"/>
          </w:tcPr>
          <w:p w14:paraId="52DE4D3F"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0.30%</w:t>
            </w:r>
          </w:p>
        </w:tc>
      </w:tr>
    </w:tbl>
    <w:p w14:paraId="6256771D" w14:textId="77777777" w:rsidR="00A81C4F" w:rsidRDefault="00A81C4F" w:rsidP="00A81C4F"/>
    <w:p w14:paraId="2A247A7D" w14:textId="77777777" w:rsidR="00A81C4F" w:rsidRDefault="00A81C4F" w:rsidP="00A81C4F">
      <w:pPr>
        <w:pStyle w:val="Caption"/>
      </w:pPr>
      <w:r w:rsidRPr="000143F8">
        <w:t>Notes:</w:t>
      </w:r>
    </w:p>
    <w:p w14:paraId="547BD6EA" w14:textId="77777777" w:rsidR="00A81C4F" w:rsidRPr="00FB4550" w:rsidRDefault="00A81C4F" w:rsidP="00A81C4F">
      <w:pPr>
        <w:pStyle w:val="Caption"/>
      </w:pPr>
      <w:r w:rsidRPr="00FB4550">
        <w:t>1. The 2022–23 Actual is not available due to technical issues affecting data source availability. This has resulted in TMR being unable to calculate and publish an Actual result for the 12 month period ending 30 June 2023. The most recent data received is for the 3 month period ending 31 March 2023, where the percentage of urban state-controlled roads with condition better than the specified benchmark (urban road system condition) is 98.66</w:t>
      </w:r>
      <w:r>
        <w:t xml:space="preserve"> per cent</w:t>
      </w:r>
      <w:r w:rsidRPr="00FB4550">
        <w:t>.</w:t>
      </w:r>
    </w:p>
    <w:p w14:paraId="2DF0B01E" w14:textId="77777777" w:rsidR="00A81C4F" w:rsidRPr="00FB4550" w:rsidRDefault="00A81C4F" w:rsidP="00A81C4F">
      <w:pPr>
        <w:pStyle w:val="Caption"/>
      </w:pPr>
      <w:r w:rsidRPr="00FB4550">
        <w:t>2. The 2022–23 Actual is not available due to technical issues affecting data source availability. This has resulted in TMR being unable to calculate and publish an Actual result for the 12 month period ending 30 June 2023. The most recent data received is for the 3 month period ending 31 March 2023, where the percentage of rural state-controlled roads with condition better than the specified benchmark (rural road system condition) is 96.40</w:t>
      </w:r>
      <w:r>
        <w:t xml:space="preserve"> per cent</w:t>
      </w:r>
      <w:r w:rsidRPr="00FB4550">
        <w:t>.</w:t>
      </w:r>
    </w:p>
    <w:p w14:paraId="05A131F7" w14:textId="77777777" w:rsidR="00A81C4F" w:rsidRDefault="00A81C4F" w:rsidP="00A81C4F">
      <w:pPr>
        <w:pStyle w:val="Caption"/>
      </w:pPr>
      <w:r w:rsidRPr="00FB4550">
        <w:t>3. The 2022–23 Actual is not available due to technical issues affecting data source availability. This has resulted in TMR being unable to calculate and publish an Actual result for the 12 month period ending 30 June 2023. The most recent data received is for the 3 month period ending 31 March 2023, where the traffic weighted roughness (percentage of the network in very poor/poor condition) (road ride quality) is 11.01</w:t>
      </w:r>
      <w:r>
        <w:t xml:space="preserve"> per cent</w:t>
      </w:r>
      <w:r w:rsidRPr="00FB4550">
        <w:t>.</w:t>
      </w:r>
    </w:p>
    <w:p w14:paraId="140673A6" w14:textId="77777777" w:rsidR="00A81C4F" w:rsidRPr="00644BCB" w:rsidRDefault="00A81C4F" w:rsidP="00A81C4F">
      <w:pPr>
        <w:pStyle w:val="Caption"/>
      </w:pPr>
      <w:r>
        <w:t xml:space="preserve">4. </w:t>
      </w:r>
      <w:bookmarkStart w:id="62" w:name="_Hlk142657302"/>
      <w:r>
        <w:t xml:space="preserve">This service standard has been discontinued for the </w:t>
      </w:r>
      <w:r w:rsidRPr="00644BCB">
        <w:t>2023–24</w:t>
      </w:r>
      <w:r>
        <w:t xml:space="preserve"> Service Delivery Statements and has been replaced by </w:t>
      </w:r>
      <w:r w:rsidRPr="00644BCB">
        <w:t>'Administrative cost to plan and develop the Queensland Transport and Roads Investment Program (QTRIP) per $1000 of the overall value of the program'</w:t>
      </w:r>
      <w:r>
        <w:t xml:space="preserve"> which is a more suitable measure of efficiency for the Service area '</w:t>
      </w:r>
      <w:r w:rsidRPr="00F11932">
        <w:t>Transport System Investment Planning and Programming</w:t>
      </w:r>
      <w:r>
        <w:t>'.</w:t>
      </w:r>
    </w:p>
    <w:bookmarkEnd w:id="62"/>
    <w:p w14:paraId="568F7381" w14:textId="77777777" w:rsidR="00A81C4F" w:rsidRDefault="00A81C4F" w:rsidP="00A81C4F">
      <w:pPr>
        <w:pStyle w:val="Caption"/>
      </w:pPr>
      <w:r>
        <w:t xml:space="preserve">5. </w:t>
      </w:r>
      <w:r w:rsidRPr="00A82C62">
        <w:t>The variance between the 2022–23 Target/Estimate and 2022–23 Actual has been achieved by managing administration costs through efficiencies and savings</w:t>
      </w:r>
      <w:r w:rsidRPr="00644BCB">
        <w:t>.</w:t>
      </w:r>
    </w:p>
    <w:p w14:paraId="584F11A6" w14:textId="77777777" w:rsidR="00A81C4F" w:rsidRDefault="00A81C4F" w:rsidP="00A81C4F">
      <w:pPr>
        <w:pStyle w:val="Heading3"/>
      </w:pPr>
      <w:r w:rsidRPr="001E5801">
        <w:lastRenderedPageBreak/>
        <w:t>Service area: Transport Infrastructure Management and Delivery</w:t>
      </w:r>
    </w:p>
    <w:p w14:paraId="6C64FBD2" w14:textId="77777777" w:rsidR="00A81C4F" w:rsidRPr="001E5801" w:rsidRDefault="00A81C4F" w:rsidP="00A81C4F">
      <w:pPr>
        <w:pStyle w:val="Heading4"/>
      </w:pPr>
      <w:r w:rsidRPr="001E5801">
        <w:t>Service area objective</w:t>
      </w:r>
    </w:p>
    <w:p w14:paraId="791DA46B" w14:textId="77777777" w:rsidR="00A81C4F" w:rsidRDefault="00A81C4F" w:rsidP="00A81C4F">
      <w:r w:rsidRPr="000143F8">
        <w:t>To maintain and operate an integrated transport network accessible to all.</w:t>
      </w:r>
    </w:p>
    <w:p w14:paraId="013983E7" w14:textId="77777777" w:rsidR="00A81C4F" w:rsidRDefault="00A81C4F" w:rsidP="00A81C4F">
      <w:pPr>
        <w:pStyle w:val="Heading4"/>
      </w:pPr>
      <w:r>
        <w:t>Service</w:t>
      </w:r>
      <w:r w:rsidRPr="007B6B42">
        <w:t>: Transport Infrastructure Management</w:t>
      </w:r>
    </w:p>
    <w:p w14:paraId="1685DF1B" w14:textId="77777777" w:rsidR="00A81C4F" w:rsidRPr="000A4CE2" w:rsidRDefault="00A81C4F" w:rsidP="00A81C4F">
      <w:pPr>
        <w:pStyle w:val="TableofFigures"/>
      </w:pPr>
      <w:r w:rsidRPr="000A4CE2">
        <w:t xml:space="preserve">Table </w:t>
      </w:r>
      <w:r>
        <w:t>21: Transport Infrastructure Management e</w:t>
      </w:r>
      <w:r w:rsidRPr="005B70F5">
        <w:t>ffectiveness measures</w:t>
      </w:r>
      <w:r>
        <w:t xml:space="preserve">: </w:t>
      </w:r>
      <w:r w:rsidRPr="007B6B42">
        <w:t>South East Queensland road network efficiency</w:t>
      </w:r>
      <w:r>
        <w:t>—a</w:t>
      </w:r>
      <w:r w:rsidRPr="007B6B42">
        <w:t>verage travel time (minutes) per 10</w:t>
      </w:r>
      <w:r>
        <w:t xml:space="preserve"> kilometres</w:t>
      </w:r>
    </w:p>
    <w:tbl>
      <w:tblPr>
        <w:tblStyle w:val="GridTable4-Accent1"/>
        <w:tblW w:w="0" w:type="auto"/>
        <w:tblLayout w:type="fixed"/>
        <w:tblLook w:val="04A0" w:firstRow="1" w:lastRow="0" w:firstColumn="1" w:lastColumn="0" w:noHBand="0" w:noVBand="1"/>
      </w:tblPr>
      <w:tblGrid>
        <w:gridCol w:w="6096"/>
        <w:gridCol w:w="850"/>
        <w:gridCol w:w="1701"/>
        <w:gridCol w:w="1557"/>
      </w:tblGrid>
      <w:tr w:rsidR="00A81C4F" w:rsidRPr="000A4CE2" w14:paraId="505C854C" w14:textId="77777777" w:rsidTr="001F13CF">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6096" w:type="dxa"/>
          </w:tcPr>
          <w:p w14:paraId="28CCCC67" w14:textId="77777777" w:rsidR="00A81C4F" w:rsidRPr="00020EF5" w:rsidRDefault="00A81C4F" w:rsidP="00387B2A">
            <w:pPr>
              <w:pStyle w:val="Normal-table"/>
            </w:pPr>
            <w:r w:rsidRPr="00EB1A71">
              <w:t>Service standards</w:t>
            </w:r>
          </w:p>
        </w:tc>
        <w:tc>
          <w:tcPr>
            <w:tcW w:w="850" w:type="dxa"/>
          </w:tcPr>
          <w:p w14:paraId="53CA563C"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rsidRPr="00EB1A71">
              <w:t>Notes</w:t>
            </w:r>
          </w:p>
        </w:tc>
        <w:tc>
          <w:tcPr>
            <w:tcW w:w="1701" w:type="dxa"/>
          </w:tcPr>
          <w:p w14:paraId="145B1095"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Target / Estimate</w:t>
            </w:r>
          </w:p>
        </w:tc>
        <w:tc>
          <w:tcPr>
            <w:tcW w:w="1557" w:type="dxa"/>
          </w:tcPr>
          <w:p w14:paraId="0497D895"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Actual</w:t>
            </w:r>
          </w:p>
        </w:tc>
      </w:tr>
      <w:tr w:rsidR="00A81C4F" w:rsidRPr="000A4CE2" w14:paraId="4569C864" w14:textId="77777777" w:rsidTr="001F13C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6" w:type="dxa"/>
          </w:tcPr>
          <w:p w14:paraId="0872A528" w14:textId="77777777" w:rsidR="00A81C4F" w:rsidRPr="00020EF5" w:rsidRDefault="00A81C4F" w:rsidP="00387B2A">
            <w:pPr>
              <w:pStyle w:val="Normal-table"/>
            </w:pPr>
            <w:r>
              <w:t>AM peak</w:t>
            </w:r>
          </w:p>
        </w:tc>
        <w:tc>
          <w:tcPr>
            <w:tcW w:w="850" w:type="dxa"/>
          </w:tcPr>
          <w:p w14:paraId="31369C44" w14:textId="77777777" w:rsidR="00A81C4F" w:rsidRPr="000A4CE2" w:rsidRDefault="00A81C4F" w:rsidP="00387B2A">
            <w:pPr>
              <w:pStyle w:val="Normal-table"/>
              <w:cnfStyle w:val="000000100000" w:firstRow="0" w:lastRow="0" w:firstColumn="0" w:lastColumn="0" w:oddVBand="0" w:evenVBand="0" w:oddHBand="1" w:evenHBand="0" w:firstRowFirstColumn="0" w:firstRowLastColumn="0" w:lastRowFirstColumn="0" w:lastRowLastColumn="0"/>
            </w:pPr>
          </w:p>
        </w:tc>
        <w:tc>
          <w:tcPr>
            <w:tcW w:w="1701" w:type="dxa"/>
          </w:tcPr>
          <w:p w14:paraId="1715A10A"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0143F8">
              <w:t>9.5 mins</w:t>
            </w:r>
          </w:p>
        </w:tc>
        <w:tc>
          <w:tcPr>
            <w:tcW w:w="1557" w:type="dxa"/>
          </w:tcPr>
          <w:p w14:paraId="33CFC949"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0143F8">
              <w:t>9.</w:t>
            </w:r>
            <w:r w:rsidRPr="00020EF5">
              <w:t>6 mins</w:t>
            </w:r>
          </w:p>
        </w:tc>
      </w:tr>
      <w:tr w:rsidR="00A81C4F" w:rsidRPr="000A4CE2" w14:paraId="53FA2EE0" w14:textId="77777777" w:rsidTr="001F13CF">
        <w:trPr>
          <w:trHeight w:val="60"/>
        </w:trPr>
        <w:tc>
          <w:tcPr>
            <w:cnfStyle w:val="001000000000" w:firstRow="0" w:lastRow="0" w:firstColumn="1" w:lastColumn="0" w:oddVBand="0" w:evenVBand="0" w:oddHBand="0" w:evenHBand="0" w:firstRowFirstColumn="0" w:firstRowLastColumn="0" w:lastRowFirstColumn="0" w:lastRowLastColumn="0"/>
            <w:tcW w:w="6096" w:type="dxa"/>
          </w:tcPr>
          <w:p w14:paraId="06397A20" w14:textId="77777777" w:rsidR="00A81C4F" w:rsidRPr="00020EF5" w:rsidRDefault="00A81C4F" w:rsidP="00387B2A">
            <w:pPr>
              <w:pStyle w:val="Normal-table"/>
            </w:pPr>
            <w:r>
              <w:t>Off peak</w:t>
            </w:r>
          </w:p>
        </w:tc>
        <w:tc>
          <w:tcPr>
            <w:tcW w:w="850" w:type="dxa"/>
          </w:tcPr>
          <w:p w14:paraId="660ED046" w14:textId="77777777" w:rsidR="00A81C4F" w:rsidRPr="000A4CE2" w:rsidRDefault="00A81C4F" w:rsidP="00387B2A">
            <w:pPr>
              <w:pStyle w:val="Normal-table"/>
              <w:cnfStyle w:val="000000000000" w:firstRow="0" w:lastRow="0" w:firstColumn="0" w:lastColumn="0" w:oddVBand="0" w:evenVBand="0" w:oddHBand="0" w:evenHBand="0" w:firstRowFirstColumn="0" w:firstRowLastColumn="0" w:lastRowFirstColumn="0" w:lastRowLastColumn="0"/>
            </w:pPr>
          </w:p>
        </w:tc>
        <w:tc>
          <w:tcPr>
            <w:tcW w:w="1701" w:type="dxa"/>
          </w:tcPr>
          <w:p w14:paraId="6159058A" w14:textId="77777777" w:rsidR="00A81C4F" w:rsidRPr="00020EF5"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rsidRPr="000143F8">
              <w:t>9.2 mins</w:t>
            </w:r>
          </w:p>
        </w:tc>
        <w:tc>
          <w:tcPr>
            <w:tcW w:w="1557" w:type="dxa"/>
          </w:tcPr>
          <w:p w14:paraId="2F365F7E" w14:textId="77777777" w:rsidR="00A81C4F" w:rsidRPr="00020EF5"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rsidRPr="000143F8">
              <w:t>9.</w:t>
            </w:r>
            <w:r w:rsidRPr="00020EF5">
              <w:t>3 mins</w:t>
            </w:r>
          </w:p>
        </w:tc>
      </w:tr>
      <w:tr w:rsidR="00A81C4F" w:rsidRPr="000A4CE2" w14:paraId="69D655FF" w14:textId="77777777" w:rsidTr="001F13C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6" w:type="dxa"/>
          </w:tcPr>
          <w:p w14:paraId="3FE539DE" w14:textId="77777777" w:rsidR="00A81C4F" w:rsidRPr="00020EF5" w:rsidRDefault="00A81C4F" w:rsidP="00387B2A">
            <w:pPr>
              <w:pStyle w:val="Normal-table"/>
            </w:pPr>
            <w:r>
              <w:t>PM peak</w:t>
            </w:r>
          </w:p>
        </w:tc>
        <w:tc>
          <w:tcPr>
            <w:tcW w:w="850" w:type="dxa"/>
          </w:tcPr>
          <w:p w14:paraId="57E9C21A"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1</w:t>
            </w:r>
          </w:p>
        </w:tc>
        <w:tc>
          <w:tcPr>
            <w:tcW w:w="1701" w:type="dxa"/>
          </w:tcPr>
          <w:p w14:paraId="3DC85216"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0143F8">
              <w:t>10.0 mins</w:t>
            </w:r>
          </w:p>
        </w:tc>
        <w:tc>
          <w:tcPr>
            <w:tcW w:w="1557" w:type="dxa"/>
          </w:tcPr>
          <w:p w14:paraId="4901EC62"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0143F8">
              <w:t>10.</w:t>
            </w:r>
            <w:r w:rsidRPr="00020EF5">
              <w:t>6 mins</w:t>
            </w:r>
          </w:p>
        </w:tc>
      </w:tr>
    </w:tbl>
    <w:p w14:paraId="5EAE1524" w14:textId="77777777" w:rsidR="00A81C4F" w:rsidRDefault="00A81C4F" w:rsidP="00A81C4F"/>
    <w:p w14:paraId="576DE96F" w14:textId="77777777" w:rsidR="00A81C4F" w:rsidRPr="000A4CE2" w:rsidRDefault="00A81C4F" w:rsidP="00A81C4F">
      <w:pPr>
        <w:pStyle w:val="TableofFigures"/>
      </w:pPr>
      <w:r w:rsidRPr="000A4CE2">
        <w:t xml:space="preserve">Table </w:t>
      </w:r>
      <w:r>
        <w:t>22: Transport Infrastructure Management e</w:t>
      </w:r>
      <w:r w:rsidRPr="005B70F5">
        <w:t>ffectiveness measures</w:t>
      </w:r>
      <w:r>
        <w:t xml:space="preserve">: </w:t>
      </w:r>
      <w:r w:rsidRPr="007B6B42">
        <w:t>South East Queensland road network reliability</w:t>
      </w:r>
      <w:r>
        <w:t>—p</w:t>
      </w:r>
      <w:r w:rsidRPr="007B6B42">
        <w:t>ercentage of the road network with reliable</w:t>
      </w:r>
      <w:r>
        <w:t xml:space="preserve"> </w:t>
      </w:r>
      <w:r w:rsidRPr="007B6B42">
        <w:t>travel times</w:t>
      </w:r>
      <w:r>
        <w:t xml:space="preserve"> </w:t>
      </w:r>
    </w:p>
    <w:tbl>
      <w:tblPr>
        <w:tblStyle w:val="GridTable4-Accent1"/>
        <w:tblW w:w="0" w:type="auto"/>
        <w:tblLayout w:type="fixed"/>
        <w:tblLook w:val="04A0" w:firstRow="1" w:lastRow="0" w:firstColumn="1" w:lastColumn="0" w:noHBand="0" w:noVBand="1"/>
      </w:tblPr>
      <w:tblGrid>
        <w:gridCol w:w="6096"/>
        <w:gridCol w:w="850"/>
        <w:gridCol w:w="1701"/>
        <w:gridCol w:w="1557"/>
      </w:tblGrid>
      <w:tr w:rsidR="00A81C4F" w:rsidRPr="000A4CE2" w14:paraId="45FCE68D" w14:textId="77777777" w:rsidTr="001F13CF">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6096" w:type="dxa"/>
          </w:tcPr>
          <w:p w14:paraId="2EA11B9F" w14:textId="77777777" w:rsidR="00A81C4F" w:rsidRPr="00020EF5" w:rsidRDefault="00A81C4F" w:rsidP="00387B2A">
            <w:pPr>
              <w:pStyle w:val="Normal-table"/>
            </w:pPr>
            <w:r w:rsidRPr="00EB1A71">
              <w:t>Service standards</w:t>
            </w:r>
          </w:p>
        </w:tc>
        <w:tc>
          <w:tcPr>
            <w:tcW w:w="850" w:type="dxa"/>
          </w:tcPr>
          <w:p w14:paraId="75AD637F"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rsidRPr="00EB1A71">
              <w:t>Notes</w:t>
            </w:r>
          </w:p>
        </w:tc>
        <w:tc>
          <w:tcPr>
            <w:tcW w:w="1701" w:type="dxa"/>
          </w:tcPr>
          <w:p w14:paraId="17CEFCF2"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Target / Estimate</w:t>
            </w:r>
          </w:p>
        </w:tc>
        <w:tc>
          <w:tcPr>
            <w:tcW w:w="1557" w:type="dxa"/>
          </w:tcPr>
          <w:p w14:paraId="7ACA827D"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Actual</w:t>
            </w:r>
          </w:p>
        </w:tc>
      </w:tr>
      <w:tr w:rsidR="00A81C4F" w:rsidRPr="000A4CE2" w14:paraId="6F97C9E5" w14:textId="77777777" w:rsidTr="001F13C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6" w:type="dxa"/>
          </w:tcPr>
          <w:p w14:paraId="122593DB" w14:textId="77777777" w:rsidR="00A81C4F" w:rsidRPr="00020EF5" w:rsidRDefault="00A81C4F" w:rsidP="00387B2A">
            <w:pPr>
              <w:pStyle w:val="Normal-table"/>
            </w:pPr>
            <w:r>
              <w:t>AM peak</w:t>
            </w:r>
          </w:p>
        </w:tc>
        <w:tc>
          <w:tcPr>
            <w:tcW w:w="850" w:type="dxa"/>
          </w:tcPr>
          <w:p w14:paraId="46A5E9DD" w14:textId="77777777" w:rsidR="00A81C4F" w:rsidRPr="000A4CE2" w:rsidRDefault="00A81C4F" w:rsidP="00387B2A">
            <w:pPr>
              <w:pStyle w:val="Normal-table"/>
              <w:cnfStyle w:val="000000100000" w:firstRow="0" w:lastRow="0" w:firstColumn="0" w:lastColumn="0" w:oddVBand="0" w:evenVBand="0" w:oddHBand="1" w:evenHBand="0" w:firstRowFirstColumn="0" w:firstRowLastColumn="0" w:lastRowFirstColumn="0" w:lastRowLastColumn="0"/>
            </w:pPr>
          </w:p>
        </w:tc>
        <w:tc>
          <w:tcPr>
            <w:tcW w:w="1701" w:type="dxa"/>
          </w:tcPr>
          <w:p w14:paraId="66098AB1"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0143F8">
              <w:t>86%</w:t>
            </w:r>
          </w:p>
        </w:tc>
        <w:tc>
          <w:tcPr>
            <w:tcW w:w="1557" w:type="dxa"/>
          </w:tcPr>
          <w:p w14:paraId="171A861D"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0143F8">
              <w:t>8</w:t>
            </w:r>
            <w:r w:rsidRPr="00020EF5">
              <w:t>6%</w:t>
            </w:r>
          </w:p>
        </w:tc>
      </w:tr>
      <w:tr w:rsidR="00A81C4F" w:rsidRPr="000A4CE2" w14:paraId="45BF665A" w14:textId="77777777" w:rsidTr="001F13CF">
        <w:trPr>
          <w:trHeight w:val="60"/>
        </w:trPr>
        <w:tc>
          <w:tcPr>
            <w:cnfStyle w:val="001000000000" w:firstRow="0" w:lastRow="0" w:firstColumn="1" w:lastColumn="0" w:oddVBand="0" w:evenVBand="0" w:oddHBand="0" w:evenHBand="0" w:firstRowFirstColumn="0" w:firstRowLastColumn="0" w:lastRowFirstColumn="0" w:lastRowLastColumn="0"/>
            <w:tcW w:w="6096" w:type="dxa"/>
          </w:tcPr>
          <w:p w14:paraId="2D293B59" w14:textId="77777777" w:rsidR="00A81C4F" w:rsidRPr="00020EF5" w:rsidRDefault="00A81C4F" w:rsidP="00387B2A">
            <w:pPr>
              <w:pStyle w:val="Normal-table"/>
            </w:pPr>
            <w:r>
              <w:t>Off peak</w:t>
            </w:r>
          </w:p>
        </w:tc>
        <w:tc>
          <w:tcPr>
            <w:tcW w:w="850" w:type="dxa"/>
          </w:tcPr>
          <w:p w14:paraId="21D68134" w14:textId="77777777" w:rsidR="00A81C4F" w:rsidRPr="000A4CE2" w:rsidRDefault="00A81C4F" w:rsidP="00387B2A">
            <w:pPr>
              <w:pStyle w:val="Normal-table"/>
              <w:cnfStyle w:val="000000000000" w:firstRow="0" w:lastRow="0" w:firstColumn="0" w:lastColumn="0" w:oddVBand="0" w:evenVBand="0" w:oddHBand="0" w:evenHBand="0" w:firstRowFirstColumn="0" w:firstRowLastColumn="0" w:lastRowFirstColumn="0" w:lastRowLastColumn="0"/>
            </w:pPr>
          </w:p>
        </w:tc>
        <w:tc>
          <w:tcPr>
            <w:tcW w:w="1701" w:type="dxa"/>
          </w:tcPr>
          <w:p w14:paraId="3D276063" w14:textId="77777777" w:rsidR="00A81C4F" w:rsidRPr="00020EF5"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rsidRPr="000143F8">
              <w:t>90%</w:t>
            </w:r>
          </w:p>
        </w:tc>
        <w:tc>
          <w:tcPr>
            <w:tcW w:w="1557" w:type="dxa"/>
          </w:tcPr>
          <w:p w14:paraId="2AA98E28" w14:textId="77777777" w:rsidR="00A81C4F" w:rsidRPr="00020EF5"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rsidRPr="000143F8">
              <w:t>89%</w:t>
            </w:r>
          </w:p>
        </w:tc>
      </w:tr>
      <w:tr w:rsidR="00A81C4F" w:rsidRPr="000A4CE2" w14:paraId="6576EFF6" w14:textId="77777777" w:rsidTr="001F13C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6" w:type="dxa"/>
          </w:tcPr>
          <w:p w14:paraId="5AC67205" w14:textId="77777777" w:rsidR="00A81C4F" w:rsidRPr="00020EF5" w:rsidRDefault="00A81C4F" w:rsidP="00387B2A">
            <w:pPr>
              <w:pStyle w:val="Normal-table"/>
            </w:pPr>
            <w:r>
              <w:t>PM peak</w:t>
            </w:r>
          </w:p>
        </w:tc>
        <w:tc>
          <w:tcPr>
            <w:tcW w:w="850" w:type="dxa"/>
          </w:tcPr>
          <w:p w14:paraId="0A11162B" w14:textId="77777777" w:rsidR="00A81C4F" w:rsidRPr="000A4CE2" w:rsidRDefault="00A81C4F" w:rsidP="00387B2A">
            <w:pPr>
              <w:pStyle w:val="Normal-table"/>
              <w:cnfStyle w:val="000000100000" w:firstRow="0" w:lastRow="0" w:firstColumn="0" w:lastColumn="0" w:oddVBand="0" w:evenVBand="0" w:oddHBand="1" w:evenHBand="0" w:firstRowFirstColumn="0" w:firstRowLastColumn="0" w:lastRowFirstColumn="0" w:lastRowLastColumn="0"/>
            </w:pPr>
          </w:p>
        </w:tc>
        <w:tc>
          <w:tcPr>
            <w:tcW w:w="1701" w:type="dxa"/>
          </w:tcPr>
          <w:p w14:paraId="4C8C15C2"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0143F8">
              <w:t>79%</w:t>
            </w:r>
          </w:p>
        </w:tc>
        <w:tc>
          <w:tcPr>
            <w:tcW w:w="1557" w:type="dxa"/>
          </w:tcPr>
          <w:p w14:paraId="352B9EC6"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0143F8">
              <w:t>7</w:t>
            </w:r>
            <w:r w:rsidRPr="00020EF5">
              <w:t>7%</w:t>
            </w:r>
          </w:p>
        </w:tc>
      </w:tr>
    </w:tbl>
    <w:p w14:paraId="1EE0AF00" w14:textId="77777777" w:rsidR="00A81C4F" w:rsidRDefault="00A81C4F" w:rsidP="00A81C4F"/>
    <w:p w14:paraId="2CA6456E" w14:textId="77777777" w:rsidR="00A81C4F" w:rsidRPr="000A4CE2" w:rsidRDefault="00A81C4F" w:rsidP="00A81C4F">
      <w:pPr>
        <w:pStyle w:val="TableofFigures"/>
      </w:pPr>
      <w:r w:rsidRPr="000A4CE2">
        <w:t xml:space="preserve">Table </w:t>
      </w:r>
      <w:r>
        <w:t>23: Transport Infrastructure Management e</w:t>
      </w:r>
      <w:r w:rsidRPr="005B70F5">
        <w:t>ffectiveness measures</w:t>
      </w:r>
      <w:r>
        <w:t xml:space="preserve">: </w:t>
      </w:r>
      <w:r w:rsidRPr="007B6B42">
        <w:t>South East Queensland road network productivity</w:t>
      </w:r>
      <w:r>
        <w:t>—p</w:t>
      </w:r>
      <w:r w:rsidRPr="007B6B42">
        <w:t>ercentage of the road network with good</w:t>
      </w:r>
      <w:r>
        <w:t xml:space="preserve"> </w:t>
      </w:r>
      <w:r w:rsidRPr="007B6B42">
        <w:t>productivity</w:t>
      </w:r>
    </w:p>
    <w:tbl>
      <w:tblPr>
        <w:tblStyle w:val="GridTable4-Accent1"/>
        <w:tblW w:w="0" w:type="auto"/>
        <w:tblLayout w:type="fixed"/>
        <w:tblLook w:val="04A0" w:firstRow="1" w:lastRow="0" w:firstColumn="1" w:lastColumn="0" w:noHBand="0" w:noVBand="1"/>
      </w:tblPr>
      <w:tblGrid>
        <w:gridCol w:w="6096"/>
        <w:gridCol w:w="850"/>
        <w:gridCol w:w="1701"/>
        <w:gridCol w:w="1557"/>
      </w:tblGrid>
      <w:tr w:rsidR="00A81C4F" w:rsidRPr="000A4CE2" w14:paraId="3DD39B8F" w14:textId="77777777" w:rsidTr="001F13CF">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6096" w:type="dxa"/>
          </w:tcPr>
          <w:p w14:paraId="01C249CF" w14:textId="77777777" w:rsidR="00A81C4F" w:rsidRPr="00020EF5" w:rsidRDefault="00A81C4F" w:rsidP="00387B2A">
            <w:pPr>
              <w:pStyle w:val="Normal-table"/>
            </w:pPr>
            <w:r w:rsidRPr="00EB1A71">
              <w:t>Service standards</w:t>
            </w:r>
          </w:p>
        </w:tc>
        <w:tc>
          <w:tcPr>
            <w:tcW w:w="850" w:type="dxa"/>
          </w:tcPr>
          <w:p w14:paraId="15962A32"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rsidRPr="00EB1A71">
              <w:t>Notes</w:t>
            </w:r>
          </w:p>
        </w:tc>
        <w:tc>
          <w:tcPr>
            <w:tcW w:w="1701" w:type="dxa"/>
          </w:tcPr>
          <w:p w14:paraId="3CDD8926"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Target / Estimate</w:t>
            </w:r>
          </w:p>
        </w:tc>
        <w:tc>
          <w:tcPr>
            <w:tcW w:w="1557" w:type="dxa"/>
          </w:tcPr>
          <w:p w14:paraId="19E33E24"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Actual</w:t>
            </w:r>
          </w:p>
        </w:tc>
      </w:tr>
      <w:tr w:rsidR="00A81C4F" w:rsidRPr="000A4CE2" w14:paraId="7388DBF7" w14:textId="77777777" w:rsidTr="001F13C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6" w:type="dxa"/>
          </w:tcPr>
          <w:p w14:paraId="7A03846D" w14:textId="77777777" w:rsidR="00A81C4F" w:rsidRPr="00020EF5" w:rsidRDefault="00A81C4F" w:rsidP="00387B2A">
            <w:pPr>
              <w:pStyle w:val="Normal-table"/>
            </w:pPr>
            <w:r>
              <w:t>AM peak</w:t>
            </w:r>
          </w:p>
        </w:tc>
        <w:tc>
          <w:tcPr>
            <w:tcW w:w="850" w:type="dxa"/>
          </w:tcPr>
          <w:p w14:paraId="73FC54BD" w14:textId="77777777" w:rsidR="00A81C4F" w:rsidRPr="000A4CE2" w:rsidRDefault="00A81C4F" w:rsidP="00387B2A">
            <w:pPr>
              <w:pStyle w:val="Normal-table"/>
              <w:cnfStyle w:val="000000100000" w:firstRow="0" w:lastRow="0" w:firstColumn="0" w:lastColumn="0" w:oddVBand="0" w:evenVBand="0" w:oddHBand="1" w:evenHBand="0" w:firstRowFirstColumn="0" w:firstRowLastColumn="0" w:lastRowFirstColumn="0" w:lastRowLastColumn="0"/>
            </w:pPr>
          </w:p>
        </w:tc>
        <w:tc>
          <w:tcPr>
            <w:tcW w:w="1701" w:type="dxa"/>
          </w:tcPr>
          <w:p w14:paraId="324BBC57"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0143F8">
              <w:t>75%</w:t>
            </w:r>
          </w:p>
        </w:tc>
        <w:tc>
          <w:tcPr>
            <w:tcW w:w="1557" w:type="dxa"/>
          </w:tcPr>
          <w:p w14:paraId="1E851BD1"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0143F8">
              <w:t>7</w:t>
            </w:r>
            <w:r w:rsidRPr="00020EF5">
              <w:t>2%</w:t>
            </w:r>
          </w:p>
        </w:tc>
      </w:tr>
      <w:tr w:rsidR="00A81C4F" w:rsidRPr="000A4CE2" w14:paraId="67AAF21C" w14:textId="77777777" w:rsidTr="001F13CF">
        <w:trPr>
          <w:trHeight w:val="60"/>
        </w:trPr>
        <w:tc>
          <w:tcPr>
            <w:cnfStyle w:val="001000000000" w:firstRow="0" w:lastRow="0" w:firstColumn="1" w:lastColumn="0" w:oddVBand="0" w:evenVBand="0" w:oddHBand="0" w:evenHBand="0" w:firstRowFirstColumn="0" w:firstRowLastColumn="0" w:lastRowFirstColumn="0" w:lastRowLastColumn="0"/>
            <w:tcW w:w="6096" w:type="dxa"/>
          </w:tcPr>
          <w:p w14:paraId="646B9807" w14:textId="77777777" w:rsidR="00A81C4F" w:rsidRPr="00020EF5" w:rsidRDefault="00A81C4F" w:rsidP="00387B2A">
            <w:pPr>
              <w:pStyle w:val="Normal-table"/>
            </w:pPr>
            <w:r>
              <w:t>Off peak</w:t>
            </w:r>
          </w:p>
        </w:tc>
        <w:tc>
          <w:tcPr>
            <w:tcW w:w="850" w:type="dxa"/>
          </w:tcPr>
          <w:p w14:paraId="0EB423C8" w14:textId="77777777" w:rsidR="00A81C4F" w:rsidRPr="000A4CE2" w:rsidRDefault="00A81C4F" w:rsidP="00387B2A">
            <w:pPr>
              <w:pStyle w:val="Normal-table"/>
              <w:cnfStyle w:val="000000000000" w:firstRow="0" w:lastRow="0" w:firstColumn="0" w:lastColumn="0" w:oddVBand="0" w:evenVBand="0" w:oddHBand="0" w:evenHBand="0" w:firstRowFirstColumn="0" w:firstRowLastColumn="0" w:lastRowFirstColumn="0" w:lastRowLastColumn="0"/>
            </w:pPr>
          </w:p>
        </w:tc>
        <w:tc>
          <w:tcPr>
            <w:tcW w:w="1701" w:type="dxa"/>
          </w:tcPr>
          <w:p w14:paraId="2FCD5DF7" w14:textId="77777777" w:rsidR="00A81C4F" w:rsidRPr="00020EF5"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rsidRPr="000143F8">
              <w:t>75%</w:t>
            </w:r>
          </w:p>
        </w:tc>
        <w:tc>
          <w:tcPr>
            <w:tcW w:w="1557" w:type="dxa"/>
          </w:tcPr>
          <w:p w14:paraId="749A89F2" w14:textId="77777777" w:rsidR="00A81C4F" w:rsidRPr="00020EF5"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rsidRPr="000143F8">
              <w:t>7</w:t>
            </w:r>
            <w:r w:rsidRPr="00020EF5">
              <w:t>3%</w:t>
            </w:r>
          </w:p>
        </w:tc>
      </w:tr>
      <w:tr w:rsidR="00A81C4F" w:rsidRPr="000A4CE2" w14:paraId="6F273180" w14:textId="77777777" w:rsidTr="001F13C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6" w:type="dxa"/>
          </w:tcPr>
          <w:p w14:paraId="24171D46" w14:textId="77777777" w:rsidR="00A81C4F" w:rsidRPr="00020EF5" w:rsidRDefault="00A81C4F" w:rsidP="00387B2A">
            <w:pPr>
              <w:pStyle w:val="Normal-table"/>
            </w:pPr>
            <w:r>
              <w:t>PM peak</w:t>
            </w:r>
          </w:p>
        </w:tc>
        <w:tc>
          <w:tcPr>
            <w:tcW w:w="850" w:type="dxa"/>
          </w:tcPr>
          <w:p w14:paraId="25CADEFF" w14:textId="77777777" w:rsidR="00A81C4F" w:rsidRPr="000A4CE2" w:rsidRDefault="00A81C4F" w:rsidP="00387B2A">
            <w:pPr>
              <w:pStyle w:val="Normal-table"/>
              <w:cnfStyle w:val="000000100000" w:firstRow="0" w:lastRow="0" w:firstColumn="0" w:lastColumn="0" w:oddVBand="0" w:evenVBand="0" w:oddHBand="1" w:evenHBand="0" w:firstRowFirstColumn="0" w:firstRowLastColumn="0" w:lastRowFirstColumn="0" w:lastRowLastColumn="0"/>
            </w:pPr>
          </w:p>
        </w:tc>
        <w:tc>
          <w:tcPr>
            <w:tcW w:w="1701" w:type="dxa"/>
          </w:tcPr>
          <w:p w14:paraId="72D9AAEF"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0143F8">
              <w:t>71%</w:t>
            </w:r>
          </w:p>
        </w:tc>
        <w:tc>
          <w:tcPr>
            <w:tcW w:w="1557" w:type="dxa"/>
          </w:tcPr>
          <w:p w14:paraId="237F8BE9"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6</w:t>
            </w:r>
            <w:r w:rsidRPr="00020EF5">
              <w:t>7%</w:t>
            </w:r>
          </w:p>
        </w:tc>
      </w:tr>
    </w:tbl>
    <w:p w14:paraId="4DA2DCC2" w14:textId="77777777" w:rsidR="00A81C4F" w:rsidRDefault="00A81C4F" w:rsidP="00A81C4F"/>
    <w:p w14:paraId="7BFBCF9F" w14:textId="77777777" w:rsidR="00A81C4F" w:rsidRPr="000A4CE2" w:rsidRDefault="00A81C4F" w:rsidP="00A81C4F">
      <w:pPr>
        <w:pStyle w:val="TableofFigures"/>
      </w:pPr>
      <w:r w:rsidRPr="000A4CE2">
        <w:t xml:space="preserve">Table </w:t>
      </w:r>
      <w:r>
        <w:t>24: Transport Infrastructure Management e</w:t>
      </w:r>
      <w:r w:rsidRPr="005B70F5">
        <w:t>ffectiveness measures</w:t>
      </w:r>
      <w:r>
        <w:t xml:space="preserve">: </w:t>
      </w:r>
      <w:r w:rsidRPr="007B6B42">
        <w:t>South East Queensland arterial intersection performance</w:t>
      </w:r>
      <w:r>
        <w:t>—p</w:t>
      </w:r>
      <w:r w:rsidRPr="007B6B42">
        <w:t>ercentage of intersections</w:t>
      </w:r>
      <w:r>
        <w:t xml:space="preserve"> </w:t>
      </w:r>
      <w:r w:rsidRPr="007B6B42">
        <w:t>congested less than 20 minutes per hour</w:t>
      </w:r>
    </w:p>
    <w:tbl>
      <w:tblPr>
        <w:tblStyle w:val="GridTable4-Accent1"/>
        <w:tblW w:w="0" w:type="auto"/>
        <w:tblLayout w:type="fixed"/>
        <w:tblLook w:val="04A0" w:firstRow="1" w:lastRow="0" w:firstColumn="1" w:lastColumn="0" w:noHBand="0" w:noVBand="1"/>
      </w:tblPr>
      <w:tblGrid>
        <w:gridCol w:w="6096"/>
        <w:gridCol w:w="850"/>
        <w:gridCol w:w="1701"/>
        <w:gridCol w:w="1557"/>
      </w:tblGrid>
      <w:tr w:rsidR="00A81C4F" w:rsidRPr="000A4CE2" w14:paraId="68AF0340" w14:textId="77777777" w:rsidTr="001F13CF">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6096" w:type="dxa"/>
          </w:tcPr>
          <w:p w14:paraId="0658FC1A" w14:textId="77777777" w:rsidR="00A81C4F" w:rsidRPr="00020EF5" w:rsidRDefault="00A81C4F" w:rsidP="00387B2A">
            <w:pPr>
              <w:pStyle w:val="Normal-table"/>
            </w:pPr>
            <w:r w:rsidRPr="00EB1A71">
              <w:t>Service standards</w:t>
            </w:r>
          </w:p>
        </w:tc>
        <w:tc>
          <w:tcPr>
            <w:tcW w:w="850" w:type="dxa"/>
          </w:tcPr>
          <w:p w14:paraId="1ECC364F"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rsidRPr="00EB1A71">
              <w:t>Notes</w:t>
            </w:r>
          </w:p>
        </w:tc>
        <w:tc>
          <w:tcPr>
            <w:tcW w:w="1701" w:type="dxa"/>
          </w:tcPr>
          <w:p w14:paraId="1B4C2568"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Target / Estimate</w:t>
            </w:r>
          </w:p>
        </w:tc>
        <w:tc>
          <w:tcPr>
            <w:tcW w:w="1557" w:type="dxa"/>
          </w:tcPr>
          <w:p w14:paraId="5343BCCE"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Actual</w:t>
            </w:r>
          </w:p>
        </w:tc>
      </w:tr>
      <w:tr w:rsidR="00A81C4F" w:rsidRPr="000A4CE2" w14:paraId="09D43DD1" w14:textId="77777777" w:rsidTr="001F13C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6" w:type="dxa"/>
          </w:tcPr>
          <w:p w14:paraId="1D1C94FB" w14:textId="77777777" w:rsidR="00A81C4F" w:rsidRPr="00020EF5" w:rsidRDefault="00A81C4F" w:rsidP="00387B2A">
            <w:pPr>
              <w:pStyle w:val="Normal-table"/>
            </w:pPr>
            <w:r>
              <w:t>AM peak</w:t>
            </w:r>
          </w:p>
        </w:tc>
        <w:tc>
          <w:tcPr>
            <w:tcW w:w="850" w:type="dxa"/>
          </w:tcPr>
          <w:p w14:paraId="6C8C15C8" w14:textId="77777777" w:rsidR="00A81C4F" w:rsidRPr="000A4CE2" w:rsidRDefault="00A81C4F" w:rsidP="00387B2A">
            <w:pPr>
              <w:pStyle w:val="Normal-table"/>
              <w:cnfStyle w:val="000000100000" w:firstRow="0" w:lastRow="0" w:firstColumn="0" w:lastColumn="0" w:oddVBand="0" w:evenVBand="0" w:oddHBand="1" w:evenHBand="0" w:firstRowFirstColumn="0" w:firstRowLastColumn="0" w:lastRowFirstColumn="0" w:lastRowLastColumn="0"/>
            </w:pPr>
          </w:p>
        </w:tc>
        <w:tc>
          <w:tcPr>
            <w:tcW w:w="1701" w:type="dxa"/>
          </w:tcPr>
          <w:p w14:paraId="552C8720"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0143F8">
              <w:t>87%</w:t>
            </w:r>
          </w:p>
        </w:tc>
        <w:tc>
          <w:tcPr>
            <w:tcW w:w="1557" w:type="dxa"/>
          </w:tcPr>
          <w:p w14:paraId="2848BF00"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0143F8">
              <w:t>8</w:t>
            </w:r>
            <w:r w:rsidRPr="00020EF5">
              <w:t>7%</w:t>
            </w:r>
          </w:p>
        </w:tc>
      </w:tr>
      <w:tr w:rsidR="00A81C4F" w:rsidRPr="000A4CE2" w14:paraId="71DC71B3" w14:textId="77777777" w:rsidTr="001F13CF">
        <w:trPr>
          <w:trHeight w:val="60"/>
        </w:trPr>
        <w:tc>
          <w:tcPr>
            <w:cnfStyle w:val="001000000000" w:firstRow="0" w:lastRow="0" w:firstColumn="1" w:lastColumn="0" w:oddVBand="0" w:evenVBand="0" w:oddHBand="0" w:evenHBand="0" w:firstRowFirstColumn="0" w:firstRowLastColumn="0" w:lastRowFirstColumn="0" w:lastRowLastColumn="0"/>
            <w:tcW w:w="6096" w:type="dxa"/>
          </w:tcPr>
          <w:p w14:paraId="2E543419" w14:textId="77777777" w:rsidR="00A81C4F" w:rsidRPr="00020EF5" w:rsidRDefault="00A81C4F" w:rsidP="00387B2A">
            <w:pPr>
              <w:pStyle w:val="Normal-table"/>
            </w:pPr>
            <w:r>
              <w:lastRenderedPageBreak/>
              <w:t xml:space="preserve">Off </w:t>
            </w:r>
            <w:r w:rsidRPr="00020EF5">
              <w:t>peak</w:t>
            </w:r>
          </w:p>
        </w:tc>
        <w:tc>
          <w:tcPr>
            <w:tcW w:w="850" w:type="dxa"/>
          </w:tcPr>
          <w:p w14:paraId="6F5F6D42" w14:textId="77777777" w:rsidR="00A81C4F" w:rsidRPr="000A4CE2" w:rsidRDefault="00A81C4F" w:rsidP="00387B2A">
            <w:pPr>
              <w:pStyle w:val="Normal-table"/>
              <w:cnfStyle w:val="000000000000" w:firstRow="0" w:lastRow="0" w:firstColumn="0" w:lastColumn="0" w:oddVBand="0" w:evenVBand="0" w:oddHBand="0" w:evenHBand="0" w:firstRowFirstColumn="0" w:firstRowLastColumn="0" w:lastRowFirstColumn="0" w:lastRowLastColumn="0"/>
            </w:pPr>
          </w:p>
        </w:tc>
        <w:tc>
          <w:tcPr>
            <w:tcW w:w="1701" w:type="dxa"/>
          </w:tcPr>
          <w:p w14:paraId="3AEF7670" w14:textId="77777777" w:rsidR="00A81C4F" w:rsidRPr="00020EF5"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rsidRPr="000143F8">
              <w:t>91%</w:t>
            </w:r>
          </w:p>
        </w:tc>
        <w:tc>
          <w:tcPr>
            <w:tcW w:w="1557" w:type="dxa"/>
          </w:tcPr>
          <w:p w14:paraId="0F9F6B1A" w14:textId="77777777" w:rsidR="00A81C4F" w:rsidRPr="00020EF5"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rsidRPr="000143F8">
              <w:t>9</w:t>
            </w:r>
            <w:r w:rsidRPr="00020EF5">
              <w:t>0%</w:t>
            </w:r>
          </w:p>
        </w:tc>
      </w:tr>
      <w:tr w:rsidR="00A81C4F" w:rsidRPr="000A4CE2" w14:paraId="2714E976" w14:textId="77777777" w:rsidTr="001F13C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6" w:type="dxa"/>
          </w:tcPr>
          <w:p w14:paraId="3102D524" w14:textId="77777777" w:rsidR="00A81C4F" w:rsidRPr="00020EF5" w:rsidRDefault="00A81C4F" w:rsidP="00387B2A">
            <w:pPr>
              <w:pStyle w:val="Normal-table"/>
            </w:pPr>
            <w:r>
              <w:t>PM peak</w:t>
            </w:r>
          </w:p>
        </w:tc>
        <w:tc>
          <w:tcPr>
            <w:tcW w:w="850" w:type="dxa"/>
          </w:tcPr>
          <w:p w14:paraId="54B79C52" w14:textId="77777777" w:rsidR="00A81C4F" w:rsidRPr="000A4CE2" w:rsidRDefault="00A81C4F" w:rsidP="00387B2A">
            <w:pPr>
              <w:pStyle w:val="Normal-table"/>
              <w:cnfStyle w:val="000000100000" w:firstRow="0" w:lastRow="0" w:firstColumn="0" w:lastColumn="0" w:oddVBand="0" w:evenVBand="0" w:oddHBand="1" w:evenHBand="0" w:firstRowFirstColumn="0" w:firstRowLastColumn="0" w:lastRowFirstColumn="0" w:lastRowLastColumn="0"/>
            </w:pPr>
          </w:p>
        </w:tc>
        <w:tc>
          <w:tcPr>
            <w:tcW w:w="1701" w:type="dxa"/>
          </w:tcPr>
          <w:p w14:paraId="22F4D241"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0143F8">
              <w:t>81%</w:t>
            </w:r>
          </w:p>
        </w:tc>
        <w:tc>
          <w:tcPr>
            <w:tcW w:w="1557" w:type="dxa"/>
          </w:tcPr>
          <w:p w14:paraId="2532C0A3"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0143F8">
              <w:t>8</w:t>
            </w:r>
            <w:r w:rsidRPr="00020EF5">
              <w:t>0%</w:t>
            </w:r>
          </w:p>
        </w:tc>
      </w:tr>
    </w:tbl>
    <w:p w14:paraId="684D08D7" w14:textId="77777777" w:rsidR="00A81C4F" w:rsidRDefault="00A81C4F" w:rsidP="00A81C4F"/>
    <w:p w14:paraId="6E590A0D" w14:textId="77777777" w:rsidR="00A81C4F" w:rsidRPr="000A4CE2" w:rsidRDefault="00A81C4F" w:rsidP="00A81C4F">
      <w:pPr>
        <w:pStyle w:val="TableofFigures"/>
      </w:pPr>
      <w:r w:rsidRPr="000A4CE2">
        <w:t xml:space="preserve">Table </w:t>
      </w:r>
      <w:r>
        <w:t>25: Transport Infrastructure Management e</w:t>
      </w:r>
      <w:r w:rsidRPr="007B6B42">
        <w:t>fficiency measure</w:t>
      </w:r>
    </w:p>
    <w:tbl>
      <w:tblPr>
        <w:tblStyle w:val="GridTable4-Accent1"/>
        <w:tblW w:w="0" w:type="auto"/>
        <w:tblLayout w:type="fixed"/>
        <w:tblLook w:val="04A0" w:firstRow="1" w:lastRow="0" w:firstColumn="1" w:lastColumn="0" w:noHBand="0" w:noVBand="1"/>
      </w:tblPr>
      <w:tblGrid>
        <w:gridCol w:w="6096"/>
        <w:gridCol w:w="850"/>
        <w:gridCol w:w="1701"/>
        <w:gridCol w:w="1557"/>
      </w:tblGrid>
      <w:tr w:rsidR="00A81C4F" w:rsidRPr="000A4CE2" w14:paraId="02F39323" w14:textId="77777777" w:rsidTr="001F13CF">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6096" w:type="dxa"/>
          </w:tcPr>
          <w:p w14:paraId="68E38EC7" w14:textId="77777777" w:rsidR="00A81C4F" w:rsidRPr="00020EF5" w:rsidRDefault="00A81C4F" w:rsidP="00387B2A">
            <w:pPr>
              <w:pStyle w:val="Normal-table"/>
            </w:pPr>
            <w:r w:rsidRPr="00EB1A71">
              <w:t>Service standards</w:t>
            </w:r>
          </w:p>
        </w:tc>
        <w:tc>
          <w:tcPr>
            <w:tcW w:w="850" w:type="dxa"/>
          </w:tcPr>
          <w:p w14:paraId="7CE96472"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rsidRPr="00EB1A71">
              <w:t>Notes</w:t>
            </w:r>
          </w:p>
        </w:tc>
        <w:tc>
          <w:tcPr>
            <w:tcW w:w="1701" w:type="dxa"/>
          </w:tcPr>
          <w:p w14:paraId="20BF68CB"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Target / Estimate</w:t>
            </w:r>
          </w:p>
        </w:tc>
        <w:tc>
          <w:tcPr>
            <w:tcW w:w="1557" w:type="dxa"/>
          </w:tcPr>
          <w:p w14:paraId="6A24057E"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Actual</w:t>
            </w:r>
          </w:p>
        </w:tc>
      </w:tr>
      <w:tr w:rsidR="00A81C4F" w:rsidRPr="000A4CE2" w14:paraId="3D0027A6" w14:textId="77777777" w:rsidTr="001F13C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6" w:type="dxa"/>
          </w:tcPr>
          <w:p w14:paraId="55604974" w14:textId="77777777" w:rsidR="00A81C4F" w:rsidRPr="00020EF5" w:rsidRDefault="00A81C4F" w:rsidP="00387B2A">
            <w:pPr>
              <w:pStyle w:val="Normal-table"/>
            </w:pPr>
            <w:r w:rsidRPr="000143F8">
              <w:t xml:space="preserve">Average cost per 100 vehicle kilometres travelled to </w:t>
            </w:r>
            <w:r w:rsidRPr="00020EF5">
              <w:t>operate state-controlled roads</w:t>
            </w:r>
          </w:p>
        </w:tc>
        <w:tc>
          <w:tcPr>
            <w:tcW w:w="850" w:type="dxa"/>
          </w:tcPr>
          <w:p w14:paraId="69EED9A2" w14:textId="77777777" w:rsidR="00A81C4F" w:rsidRPr="000A4CE2" w:rsidRDefault="00A81C4F" w:rsidP="00387B2A">
            <w:pPr>
              <w:pStyle w:val="Normal-table"/>
              <w:cnfStyle w:val="000000100000" w:firstRow="0" w:lastRow="0" w:firstColumn="0" w:lastColumn="0" w:oddVBand="0" w:evenVBand="0" w:oddHBand="1" w:evenHBand="0" w:firstRowFirstColumn="0" w:firstRowLastColumn="0" w:lastRowFirstColumn="0" w:lastRowLastColumn="0"/>
            </w:pPr>
          </w:p>
        </w:tc>
        <w:tc>
          <w:tcPr>
            <w:tcW w:w="1701" w:type="dxa"/>
          </w:tcPr>
          <w:p w14:paraId="0B1FFB50"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$0.09</w:t>
            </w:r>
          </w:p>
        </w:tc>
        <w:tc>
          <w:tcPr>
            <w:tcW w:w="1557" w:type="dxa"/>
          </w:tcPr>
          <w:p w14:paraId="64F8EF45"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$0.09</w:t>
            </w:r>
          </w:p>
        </w:tc>
      </w:tr>
    </w:tbl>
    <w:p w14:paraId="49FDCF44" w14:textId="77777777" w:rsidR="00A81C4F" w:rsidRDefault="00A81C4F" w:rsidP="00A81C4F"/>
    <w:p w14:paraId="290533E1" w14:textId="77777777" w:rsidR="00A81C4F" w:rsidRPr="00020EF5" w:rsidRDefault="00A81C4F" w:rsidP="00A81C4F">
      <w:pPr>
        <w:pStyle w:val="Heading4"/>
      </w:pPr>
      <w:r w:rsidRPr="00020EF5">
        <w:t>Service: Transport Infrastructure Deliver</w:t>
      </w:r>
      <w:r>
        <w:t>y</w:t>
      </w:r>
    </w:p>
    <w:p w14:paraId="47A3FFDA" w14:textId="77777777" w:rsidR="00A81C4F" w:rsidRPr="000A4CE2" w:rsidRDefault="00A81C4F" w:rsidP="00A81C4F">
      <w:pPr>
        <w:pStyle w:val="TableofFigures"/>
      </w:pPr>
      <w:r w:rsidRPr="000A4CE2">
        <w:t xml:space="preserve">Table </w:t>
      </w:r>
      <w:r>
        <w:t>26: Transport Infrastructure Delivery e</w:t>
      </w:r>
      <w:r w:rsidRPr="00220FB9">
        <w:t>ffectiveness measure</w:t>
      </w:r>
    </w:p>
    <w:tbl>
      <w:tblPr>
        <w:tblStyle w:val="GridTable4-Accent1"/>
        <w:tblW w:w="0" w:type="auto"/>
        <w:tblLayout w:type="fixed"/>
        <w:tblLook w:val="04A0" w:firstRow="1" w:lastRow="0" w:firstColumn="1" w:lastColumn="0" w:noHBand="0" w:noVBand="1"/>
      </w:tblPr>
      <w:tblGrid>
        <w:gridCol w:w="6096"/>
        <w:gridCol w:w="850"/>
        <w:gridCol w:w="1701"/>
        <w:gridCol w:w="1557"/>
      </w:tblGrid>
      <w:tr w:rsidR="00A81C4F" w:rsidRPr="000A4CE2" w14:paraId="155F90CA" w14:textId="77777777" w:rsidTr="001F13CF">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6096" w:type="dxa"/>
          </w:tcPr>
          <w:p w14:paraId="799B221D" w14:textId="77777777" w:rsidR="00A81C4F" w:rsidRPr="00020EF5" w:rsidRDefault="00A81C4F" w:rsidP="00387B2A">
            <w:pPr>
              <w:pStyle w:val="Normal-table"/>
            </w:pPr>
            <w:r w:rsidRPr="00EB1A71">
              <w:t>Service standards</w:t>
            </w:r>
          </w:p>
        </w:tc>
        <w:tc>
          <w:tcPr>
            <w:tcW w:w="850" w:type="dxa"/>
          </w:tcPr>
          <w:p w14:paraId="4F789D28"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rsidRPr="00EB1A71">
              <w:t>Notes</w:t>
            </w:r>
          </w:p>
        </w:tc>
        <w:tc>
          <w:tcPr>
            <w:tcW w:w="1701" w:type="dxa"/>
          </w:tcPr>
          <w:p w14:paraId="6131F3A7"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Target / Estimate</w:t>
            </w:r>
          </w:p>
        </w:tc>
        <w:tc>
          <w:tcPr>
            <w:tcW w:w="1557" w:type="dxa"/>
          </w:tcPr>
          <w:p w14:paraId="545D2BA1"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Actual</w:t>
            </w:r>
          </w:p>
        </w:tc>
      </w:tr>
      <w:tr w:rsidR="00A81C4F" w:rsidRPr="000A4CE2" w14:paraId="2904CC70" w14:textId="77777777" w:rsidTr="001F13C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6" w:type="dxa"/>
          </w:tcPr>
          <w:p w14:paraId="0E424BEF" w14:textId="77777777" w:rsidR="00A81C4F" w:rsidRPr="00020EF5" w:rsidRDefault="00A81C4F" w:rsidP="00387B2A">
            <w:pPr>
              <w:pStyle w:val="Normal-table"/>
            </w:pPr>
            <w:r w:rsidRPr="000143F8">
              <w:t xml:space="preserve">Number of fatal crashes on state-controlled roads per 100 million vehicle kilometres travelled where the road </w:t>
            </w:r>
            <w:r w:rsidRPr="00020EF5">
              <w:t>condition was likely to be a contributing factor</w:t>
            </w:r>
          </w:p>
        </w:tc>
        <w:tc>
          <w:tcPr>
            <w:tcW w:w="850" w:type="dxa"/>
          </w:tcPr>
          <w:p w14:paraId="2067CC4B" w14:textId="77777777" w:rsidR="00A81C4F" w:rsidRPr="000A4CE2" w:rsidRDefault="00A81C4F" w:rsidP="00387B2A">
            <w:pPr>
              <w:pStyle w:val="Normal-table"/>
              <w:cnfStyle w:val="000000100000" w:firstRow="0" w:lastRow="0" w:firstColumn="0" w:lastColumn="0" w:oddVBand="0" w:evenVBand="0" w:oddHBand="1" w:evenHBand="0" w:firstRowFirstColumn="0" w:firstRowLastColumn="0" w:lastRowFirstColumn="0" w:lastRowLastColumn="0"/>
            </w:pPr>
          </w:p>
        </w:tc>
        <w:tc>
          <w:tcPr>
            <w:tcW w:w="1701" w:type="dxa"/>
          </w:tcPr>
          <w:p w14:paraId="49152320"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0143F8">
              <w:t>0.05</w:t>
            </w:r>
          </w:p>
        </w:tc>
        <w:tc>
          <w:tcPr>
            <w:tcW w:w="1557" w:type="dxa"/>
          </w:tcPr>
          <w:p w14:paraId="4AF16036"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0.05</w:t>
            </w:r>
          </w:p>
        </w:tc>
      </w:tr>
    </w:tbl>
    <w:p w14:paraId="3823AFD7" w14:textId="77777777" w:rsidR="00A81C4F" w:rsidRDefault="00A81C4F" w:rsidP="00A81C4F"/>
    <w:p w14:paraId="4C1DAC10" w14:textId="77777777" w:rsidR="00A81C4F" w:rsidRPr="000A4CE2" w:rsidRDefault="00A81C4F" w:rsidP="00A81C4F">
      <w:pPr>
        <w:pStyle w:val="TableofFigures"/>
      </w:pPr>
      <w:r w:rsidRPr="000A4CE2">
        <w:t xml:space="preserve">Table </w:t>
      </w:r>
      <w:r>
        <w:t>27: Transport Infrastructure Delivery efficiency measure</w:t>
      </w:r>
    </w:p>
    <w:tbl>
      <w:tblPr>
        <w:tblStyle w:val="GridTable4-Accent1"/>
        <w:tblW w:w="0" w:type="auto"/>
        <w:tblLayout w:type="fixed"/>
        <w:tblLook w:val="04A0" w:firstRow="1" w:lastRow="0" w:firstColumn="1" w:lastColumn="0" w:noHBand="0" w:noVBand="1"/>
      </w:tblPr>
      <w:tblGrid>
        <w:gridCol w:w="6096"/>
        <w:gridCol w:w="850"/>
        <w:gridCol w:w="1701"/>
        <w:gridCol w:w="1557"/>
      </w:tblGrid>
      <w:tr w:rsidR="00A81C4F" w:rsidRPr="000A4CE2" w14:paraId="065E3529" w14:textId="77777777" w:rsidTr="001F13CF">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6096" w:type="dxa"/>
          </w:tcPr>
          <w:p w14:paraId="295EBD4D" w14:textId="77777777" w:rsidR="00A81C4F" w:rsidRPr="00020EF5" w:rsidRDefault="00A81C4F" w:rsidP="00387B2A">
            <w:pPr>
              <w:pStyle w:val="Normal-table"/>
            </w:pPr>
            <w:r w:rsidRPr="00EB1A71">
              <w:t>Service standards</w:t>
            </w:r>
          </w:p>
        </w:tc>
        <w:tc>
          <w:tcPr>
            <w:tcW w:w="850" w:type="dxa"/>
          </w:tcPr>
          <w:p w14:paraId="3291047F"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rsidRPr="00EB1A71">
              <w:t>Notes</w:t>
            </w:r>
          </w:p>
        </w:tc>
        <w:tc>
          <w:tcPr>
            <w:tcW w:w="1701" w:type="dxa"/>
          </w:tcPr>
          <w:p w14:paraId="00664798"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Target / Estimate</w:t>
            </w:r>
          </w:p>
        </w:tc>
        <w:tc>
          <w:tcPr>
            <w:tcW w:w="1557" w:type="dxa"/>
          </w:tcPr>
          <w:p w14:paraId="6ED54252"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Actual</w:t>
            </w:r>
          </w:p>
        </w:tc>
      </w:tr>
      <w:tr w:rsidR="00A81C4F" w:rsidRPr="000A4CE2" w14:paraId="315E0DE5" w14:textId="77777777" w:rsidTr="001F13C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6" w:type="dxa"/>
          </w:tcPr>
          <w:p w14:paraId="672A2103" w14:textId="77777777" w:rsidR="00A81C4F" w:rsidRPr="00020EF5" w:rsidRDefault="00A81C4F" w:rsidP="00387B2A">
            <w:pPr>
              <w:pStyle w:val="Normal-table"/>
            </w:pPr>
            <w:r w:rsidRPr="000143F8">
              <w:t xml:space="preserve">Administration costs of managing and </w:t>
            </w:r>
            <w:r w:rsidRPr="00020EF5">
              <w:t>delivering the QTRIP as a percentage of the current financial year QTRIP allocation</w:t>
            </w:r>
          </w:p>
        </w:tc>
        <w:tc>
          <w:tcPr>
            <w:tcW w:w="850" w:type="dxa"/>
          </w:tcPr>
          <w:p w14:paraId="564155FE"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2, 3</w:t>
            </w:r>
          </w:p>
        </w:tc>
        <w:tc>
          <w:tcPr>
            <w:tcW w:w="1701" w:type="dxa"/>
          </w:tcPr>
          <w:p w14:paraId="238CCC50"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0143F8">
              <w:t>&lt;5.1%</w:t>
            </w:r>
          </w:p>
        </w:tc>
        <w:tc>
          <w:tcPr>
            <w:tcW w:w="1557" w:type="dxa"/>
          </w:tcPr>
          <w:p w14:paraId="6B86E723"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1.9</w:t>
            </w:r>
            <w:r w:rsidRPr="00020EF5">
              <w:t>%</w:t>
            </w:r>
          </w:p>
        </w:tc>
      </w:tr>
    </w:tbl>
    <w:p w14:paraId="602F2226" w14:textId="77777777" w:rsidR="00A81C4F" w:rsidRPr="000143F8" w:rsidRDefault="00A81C4F" w:rsidP="00A81C4F">
      <w:pPr>
        <w:pStyle w:val="Caption"/>
      </w:pPr>
      <w:r w:rsidRPr="000143F8">
        <w:t>Notes:</w:t>
      </w:r>
    </w:p>
    <w:p w14:paraId="0B3DE340" w14:textId="77777777" w:rsidR="00A81C4F" w:rsidRPr="00B77CA6" w:rsidRDefault="00A81C4F" w:rsidP="00A81C4F">
      <w:pPr>
        <w:pStyle w:val="Caption"/>
      </w:pPr>
      <w:r>
        <w:t xml:space="preserve">1. </w:t>
      </w:r>
      <w:r w:rsidRPr="00811F38">
        <w:t>The variance between the 2022–23 Target/Estimate and 2022–23 Actual is due to</w:t>
      </w:r>
      <w:r>
        <w:t xml:space="preserve"> a slight increase in average traffic volumes during this peak period. </w:t>
      </w:r>
      <w:r w:rsidRPr="00B77CA6">
        <w:t>TMR is continuing a multi-faceted approach to tackling traffic congestion in South</w:t>
      </w:r>
      <w:r>
        <w:t xml:space="preserve"> </w:t>
      </w:r>
      <w:r w:rsidRPr="00B77CA6">
        <w:t xml:space="preserve">East Queensland. </w:t>
      </w:r>
    </w:p>
    <w:p w14:paraId="6043CF23" w14:textId="77777777" w:rsidR="00A81C4F" w:rsidRPr="00CC415D" w:rsidRDefault="00A81C4F" w:rsidP="00A81C4F">
      <w:pPr>
        <w:pStyle w:val="Caption"/>
      </w:pPr>
      <w:r>
        <w:t xml:space="preserve">2. </w:t>
      </w:r>
      <w:r w:rsidRPr="00CC415D">
        <w:t>This service standard</w:t>
      </w:r>
      <w:r>
        <w:t xml:space="preserve"> has been</w:t>
      </w:r>
      <w:r w:rsidRPr="00CC415D">
        <w:t xml:space="preserve"> discontinued for the 2023–24 Service Delivery Statements and</w:t>
      </w:r>
      <w:r>
        <w:t xml:space="preserve"> has been</w:t>
      </w:r>
      <w:r w:rsidRPr="00CC415D">
        <w:t xml:space="preserve"> replaced by </w:t>
      </w:r>
      <w:r w:rsidRPr="00B77CA6">
        <w:t xml:space="preserve">'Administrative cost of delivering the Queensland Transport and Roads Investment Program (QTRIP) per $1000 of the QTRIP published budget' </w:t>
      </w:r>
      <w:r w:rsidRPr="00CC415D">
        <w:t xml:space="preserve">which is a more suitable measure of efficiency for the Service </w:t>
      </w:r>
      <w:r>
        <w:t>'</w:t>
      </w:r>
      <w:r w:rsidRPr="00CC415D">
        <w:t>Transport Infrastructure Delivery</w:t>
      </w:r>
      <w:r>
        <w:t>'</w:t>
      </w:r>
      <w:r w:rsidRPr="00CC415D">
        <w:t>.</w:t>
      </w:r>
    </w:p>
    <w:p w14:paraId="246E5718" w14:textId="77777777" w:rsidR="00A81C4F" w:rsidRPr="00B77CA6" w:rsidRDefault="00A81C4F" w:rsidP="00A81C4F">
      <w:pPr>
        <w:pStyle w:val="Caption"/>
      </w:pPr>
      <w:r>
        <w:t xml:space="preserve">3. </w:t>
      </w:r>
      <w:r w:rsidRPr="00811F38">
        <w:t>The variance between the 2022–23 Target/Estimate and 2022–23 Actual is due to an increase in program budget with relatively stable administrative costs being maintained.</w:t>
      </w:r>
    </w:p>
    <w:p w14:paraId="5F9AF1EE" w14:textId="77777777" w:rsidR="00916DF7" w:rsidRDefault="00916DF7">
      <w:pPr>
        <w:spacing w:before="0" w:after="160" w:line="259" w:lineRule="auto"/>
        <w:rPr>
          <w:rFonts w:eastAsiaTheme="majorEastAsia" w:cstheme="majorBidi"/>
          <w:color w:val="000000" w:themeColor="text1"/>
          <w:sz w:val="32"/>
          <w:szCs w:val="24"/>
        </w:rPr>
      </w:pPr>
      <w:r>
        <w:br w:type="page"/>
      </w:r>
    </w:p>
    <w:p w14:paraId="38100458" w14:textId="33BFC951" w:rsidR="00A81C4F" w:rsidRDefault="00A81C4F" w:rsidP="00A81C4F">
      <w:pPr>
        <w:pStyle w:val="Heading3"/>
      </w:pPr>
      <w:r w:rsidRPr="001E5801">
        <w:lastRenderedPageBreak/>
        <w:t>Service area: Transport Safety and Regulation</w:t>
      </w:r>
    </w:p>
    <w:p w14:paraId="59836887" w14:textId="77777777" w:rsidR="00A81C4F" w:rsidRPr="001E5801" w:rsidRDefault="00A81C4F" w:rsidP="00A81C4F">
      <w:pPr>
        <w:pStyle w:val="Heading4"/>
      </w:pPr>
      <w:r w:rsidRPr="001E5801">
        <w:t>Service area objective</w:t>
      </w:r>
    </w:p>
    <w:p w14:paraId="214DE49A" w14:textId="77777777" w:rsidR="00A81C4F" w:rsidRPr="00020EF5" w:rsidRDefault="00A81C4F" w:rsidP="00A81C4F">
      <w:r w:rsidRPr="00020EF5">
        <w:t xml:space="preserve">To enhance the safety of the transport system through quality regulation, road and maritime safety programs. </w:t>
      </w:r>
    </w:p>
    <w:p w14:paraId="4447AE74" w14:textId="77777777" w:rsidR="00A81C4F" w:rsidRPr="000A4CE2" w:rsidRDefault="00A81C4F" w:rsidP="00A81C4F">
      <w:pPr>
        <w:pStyle w:val="TableofFigures"/>
      </w:pPr>
      <w:r w:rsidRPr="000A4CE2">
        <w:t xml:space="preserve">Table </w:t>
      </w:r>
      <w:r>
        <w:t>28: Transport Safety and Regulation e</w:t>
      </w:r>
      <w:r w:rsidRPr="00220FB9">
        <w:t>ffectiveness measure</w:t>
      </w:r>
      <w:r>
        <w:t>s</w:t>
      </w:r>
    </w:p>
    <w:tbl>
      <w:tblPr>
        <w:tblStyle w:val="GridTable4-Accent1"/>
        <w:tblW w:w="0" w:type="auto"/>
        <w:tblLayout w:type="fixed"/>
        <w:tblLook w:val="04A0" w:firstRow="1" w:lastRow="0" w:firstColumn="1" w:lastColumn="0" w:noHBand="0" w:noVBand="1"/>
      </w:tblPr>
      <w:tblGrid>
        <w:gridCol w:w="6096"/>
        <w:gridCol w:w="850"/>
        <w:gridCol w:w="1701"/>
        <w:gridCol w:w="1557"/>
      </w:tblGrid>
      <w:tr w:rsidR="00A81C4F" w:rsidRPr="000A4CE2" w14:paraId="0EA88A3A" w14:textId="77777777" w:rsidTr="001F13CF">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6096" w:type="dxa"/>
          </w:tcPr>
          <w:p w14:paraId="0CFC6F10" w14:textId="77777777" w:rsidR="00A81C4F" w:rsidRPr="00020EF5" w:rsidRDefault="00A81C4F" w:rsidP="00387B2A">
            <w:pPr>
              <w:pStyle w:val="Normal-table"/>
            </w:pPr>
            <w:r w:rsidRPr="00EB1A71">
              <w:t>Service standards</w:t>
            </w:r>
          </w:p>
        </w:tc>
        <w:tc>
          <w:tcPr>
            <w:tcW w:w="850" w:type="dxa"/>
          </w:tcPr>
          <w:p w14:paraId="4B3D60E6"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rsidRPr="00EB1A71">
              <w:t>Notes</w:t>
            </w:r>
          </w:p>
        </w:tc>
        <w:tc>
          <w:tcPr>
            <w:tcW w:w="1701" w:type="dxa"/>
          </w:tcPr>
          <w:p w14:paraId="0CBB3837"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Target / Estimate</w:t>
            </w:r>
          </w:p>
        </w:tc>
        <w:tc>
          <w:tcPr>
            <w:tcW w:w="1557" w:type="dxa"/>
          </w:tcPr>
          <w:p w14:paraId="05685599"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Actual</w:t>
            </w:r>
          </w:p>
        </w:tc>
      </w:tr>
      <w:tr w:rsidR="00A81C4F" w:rsidRPr="000A4CE2" w14:paraId="1428B17A" w14:textId="77777777" w:rsidTr="001F13C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6" w:type="dxa"/>
          </w:tcPr>
          <w:p w14:paraId="72CB9D06" w14:textId="77777777" w:rsidR="00A81C4F" w:rsidRPr="00020EF5" w:rsidRDefault="00A81C4F" w:rsidP="00387B2A">
            <w:pPr>
              <w:pStyle w:val="Normal-table"/>
            </w:pPr>
            <w:r w:rsidRPr="000143F8">
              <w:t xml:space="preserve">Fatalities per </w:t>
            </w:r>
            <w:r w:rsidRPr="00020EF5">
              <w:t>100,000 population on state-controlled roads</w:t>
            </w:r>
          </w:p>
        </w:tc>
        <w:tc>
          <w:tcPr>
            <w:tcW w:w="850" w:type="dxa"/>
          </w:tcPr>
          <w:p w14:paraId="0853D3BD"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1</w:t>
            </w:r>
          </w:p>
        </w:tc>
        <w:tc>
          <w:tcPr>
            <w:tcW w:w="1701" w:type="dxa"/>
          </w:tcPr>
          <w:p w14:paraId="12EEA426"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0143F8">
              <w:t>2.60</w:t>
            </w:r>
          </w:p>
        </w:tc>
        <w:tc>
          <w:tcPr>
            <w:tcW w:w="1557" w:type="dxa"/>
          </w:tcPr>
          <w:p w14:paraId="681BF8E7"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2.88</w:t>
            </w:r>
          </w:p>
        </w:tc>
      </w:tr>
      <w:tr w:rsidR="00A81C4F" w:rsidRPr="000A4CE2" w14:paraId="7A626943" w14:textId="77777777" w:rsidTr="001F13CF">
        <w:trPr>
          <w:trHeight w:val="60"/>
        </w:trPr>
        <w:tc>
          <w:tcPr>
            <w:cnfStyle w:val="001000000000" w:firstRow="0" w:lastRow="0" w:firstColumn="1" w:lastColumn="0" w:oddVBand="0" w:evenVBand="0" w:oddHBand="0" w:evenHBand="0" w:firstRowFirstColumn="0" w:firstRowLastColumn="0" w:lastRowFirstColumn="0" w:lastRowLastColumn="0"/>
            <w:tcW w:w="6096" w:type="dxa"/>
          </w:tcPr>
          <w:p w14:paraId="782D5CF3" w14:textId="77777777" w:rsidR="00A81C4F" w:rsidRPr="00020EF5" w:rsidRDefault="00A81C4F" w:rsidP="00387B2A">
            <w:pPr>
              <w:pStyle w:val="Normal-table"/>
            </w:pPr>
            <w:r w:rsidRPr="000143F8">
              <w:t>Road fatalities per 100,000 population</w:t>
            </w:r>
          </w:p>
        </w:tc>
        <w:tc>
          <w:tcPr>
            <w:tcW w:w="850" w:type="dxa"/>
          </w:tcPr>
          <w:p w14:paraId="7F53C8FD" w14:textId="77777777" w:rsidR="00A81C4F" w:rsidRPr="00020EF5"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t>1</w:t>
            </w:r>
          </w:p>
        </w:tc>
        <w:tc>
          <w:tcPr>
            <w:tcW w:w="1701" w:type="dxa"/>
          </w:tcPr>
          <w:p w14:paraId="4C5295B5" w14:textId="77777777" w:rsidR="00A81C4F" w:rsidRPr="00020EF5"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rsidRPr="000143F8">
              <w:t>4.30</w:t>
            </w:r>
          </w:p>
        </w:tc>
        <w:tc>
          <w:tcPr>
            <w:tcW w:w="1557" w:type="dxa"/>
          </w:tcPr>
          <w:p w14:paraId="17462E14" w14:textId="77777777" w:rsidR="00A81C4F" w:rsidRPr="00020EF5"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t>5.10</w:t>
            </w:r>
          </w:p>
        </w:tc>
      </w:tr>
      <w:tr w:rsidR="00A81C4F" w:rsidRPr="000A4CE2" w14:paraId="5C9E9986" w14:textId="77777777" w:rsidTr="001F13C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6" w:type="dxa"/>
          </w:tcPr>
          <w:p w14:paraId="2C6D31CB" w14:textId="77777777" w:rsidR="00A81C4F" w:rsidRPr="00020EF5" w:rsidRDefault="00A81C4F" w:rsidP="00387B2A">
            <w:pPr>
              <w:pStyle w:val="Normal-table"/>
            </w:pPr>
            <w:r w:rsidRPr="000143F8">
              <w:t xml:space="preserve">Hospitalised road </w:t>
            </w:r>
            <w:r w:rsidRPr="00020EF5">
              <w:t>casualties per 100,000 population</w:t>
            </w:r>
          </w:p>
        </w:tc>
        <w:tc>
          <w:tcPr>
            <w:tcW w:w="850" w:type="dxa"/>
          </w:tcPr>
          <w:p w14:paraId="741BF55C"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1, 2</w:t>
            </w:r>
          </w:p>
        </w:tc>
        <w:tc>
          <w:tcPr>
            <w:tcW w:w="1701" w:type="dxa"/>
          </w:tcPr>
          <w:p w14:paraId="6FA0C899"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0143F8">
              <w:t>110</w:t>
            </w:r>
          </w:p>
        </w:tc>
        <w:tc>
          <w:tcPr>
            <w:tcW w:w="1557" w:type="dxa"/>
          </w:tcPr>
          <w:p w14:paraId="063C914B"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140</w:t>
            </w:r>
            <w:r w:rsidRPr="00020EF5">
              <w:t>.07</w:t>
            </w:r>
          </w:p>
        </w:tc>
      </w:tr>
      <w:tr w:rsidR="00A81C4F" w:rsidRPr="000A4CE2" w14:paraId="6E673283" w14:textId="77777777" w:rsidTr="001F13CF">
        <w:trPr>
          <w:trHeight w:val="60"/>
        </w:trPr>
        <w:tc>
          <w:tcPr>
            <w:cnfStyle w:val="001000000000" w:firstRow="0" w:lastRow="0" w:firstColumn="1" w:lastColumn="0" w:oddVBand="0" w:evenVBand="0" w:oddHBand="0" w:evenHBand="0" w:firstRowFirstColumn="0" w:firstRowLastColumn="0" w:lastRowFirstColumn="0" w:lastRowLastColumn="0"/>
            <w:tcW w:w="6096" w:type="dxa"/>
          </w:tcPr>
          <w:p w14:paraId="4B749B1F" w14:textId="77777777" w:rsidR="00A81C4F" w:rsidRPr="00020EF5" w:rsidRDefault="00A81C4F" w:rsidP="00387B2A">
            <w:pPr>
              <w:pStyle w:val="Normal-table"/>
            </w:pPr>
            <w:r w:rsidRPr="000143F8">
              <w:t xml:space="preserve">Marine </w:t>
            </w:r>
            <w:r w:rsidRPr="00020EF5">
              <w:t>fatalities per 100,000 registered vessels regulated in Queensland</w:t>
            </w:r>
          </w:p>
        </w:tc>
        <w:tc>
          <w:tcPr>
            <w:tcW w:w="850" w:type="dxa"/>
          </w:tcPr>
          <w:p w14:paraId="536FCE40" w14:textId="77777777" w:rsidR="00A81C4F" w:rsidRPr="00020EF5"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t>3</w:t>
            </w:r>
          </w:p>
        </w:tc>
        <w:tc>
          <w:tcPr>
            <w:tcW w:w="1701" w:type="dxa"/>
          </w:tcPr>
          <w:p w14:paraId="03484CDD" w14:textId="77777777" w:rsidR="00A81C4F" w:rsidRPr="00020EF5"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t>4.7</w:t>
            </w:r>
            <w:r w:rsidRPr="00020EF5">
              <w:t>0</w:t>
            </w:r>
          </w:p>
        </w:tc>
        <w:tc>
          <w:tcPr>
            <w:tcW w:w="1557" w:type="dxa"/>
          </w:tcPr>
          <w:p w14:paraId="07B96513" w14:textId="77777777" w:rsidR="00A81C4F" w:rsidRPr="00020EF5"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t>6.52</w:t>
            </w:r>
          </w:p>
        </w:tc>
      </w:tr>
    </w:tbl>
    <w:p w14:paraId="0809CDA9" w14:textId="77777777" w:rsidR="00A81C4F" w:rsidRDefault="00A81C4F" w:rsidP="00A81C4F"/>
    <w:p w14:paraId="7B237D52" w14:textId="77777777" w:rsidR="00A81C4F" w:rsidRPr="000A4CE2" w:rsidRDefault="00A81C4F" w:rsidP="00A81C4F">
      <w:pPr>
        <w:pStyle w:val="TableofFigures"/>
      </w:pPr>
      <w:r w:rsidRPr="000A4CE2">
        <w:t xml:space="preserve">Table </w:t>
      </w:r>
      <w:r>
        <w:t>29: Transport Safety and Regulation e</w:t>
      </w:r>
      <w:r w:rsidRPr="00220FB9">
        <w:t>ffectiveness measure</w:t>
      </w:r>
      <w:r>
        <w:t>s—p</w:t>
      </w:r>
      <w:r w:rsidRPr="002B536B">
        <w:t>ercentage of vessel movements without serious incidents</w:t>
      </w:r>
    </w:p>
    <w:tbl>
      <w:tblPr>
        <w:tblStyle w:val="GridTable4-Accent1"/>
        <w:tblW w:w="0" w:type="auto"/>
        <w:tblLayout w:type="fixed"/>
        <w:tblLook w:val="04A0" w:firstRow="1" w:lastRow="0" w:firstColumn="1" w:lastColumn="0" w:noHBand="0" w:noVBand="1"/>
      </w:tblPr>
      <w:tblGrid>
        <w:gridCol w:w="6096"/>
        <w:gridCol w:w="850"/>
        <w:gridCol w:w="1701"/>
        <w:gridCol w:w="1557"/>
      </w:tblGrid>
      <w:tr w:rsidR="00A81C4F" w:rsidRPr="000A4CE2" w14:paraId="5A1E37A2" w14:textId="77777777" w:rsidTr="001F13CF">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6096" w:type="dxa"/>
          </w:tcPr>
          <w:p w14:paraId="1B8BA415" w14:textId="77777777" w:rsidR="00A81C4F" w:rsidRPr="00020EF5" w:rsidRDefault="00A81C4F" w:rsidP="00387B2A">
            <w:pPr>
              <w:pStyle w:val="Normal-table"/>
            </w:pPr>
            <w:r w:rsidRPr="00EB1A71">
              <w:t>Service standards</w:t>
            </w:r>
          </w:p>
        </w:tc>
        <w:tc>
          <w:tcPr>
            <w:tcW w:w="850" w:type="dxa"/>
          </w:tcPr>
          <w:p w14:paraId="572285AE"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rsidRPr="00EB1A71">
              <w:t>Notes</w:t>
            </w:r>
          </w:p>
        </w:tc>
        <w:tc>
          <w:tcPr>
            <w:tcW w:w="1701" w:type="dxa"/>
          </w:tcPr>
          <w:p w14:paraId="626F4C0F"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Target / Estimate</w:t>
            </w:r>
          </w:p>
        </w:tc>
        <w:tc>
          <w:tcPr>
            <w:tcW w:w="1557" w:type="dxa"/>
          </w:tcPr>
          <w:p w14:paraId="62C5D235"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Actual</w:t>
            </w:r>
          </w:p>
        </w:tc>
      </w:tr>
      <w:tr w:rsidR="00A81C4F" w:rsidRPr="000A4CE2" w14:paraId="31299818" w14:textId="77777777" w:rsidTr="001F13C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6" w:type="dxa"/>
          </w:tcPr>
          <w:p w14:paraId="54492FC5" w14:textId="77777777" w:rsidR="00A81C4F" w:rsidRPr="00020EF5" w:rsidRDefault="00A81C4F" w:rsidP="00387B2A">
            <w:pPr>
              <w:pStyle w:val="Normal-table"/>
            </w:pPr>
            <w:r w:rsidRPr="000143F8">
              <w:t>Pilotage areas</w:t>
            </w:r>
          </w:p>
        </w:tc>
        <w:tc>
          <w:tcPr>
            <w:tcW w:w="850" w:type="dxa"/>
          </w:tcPr>
          <w:p w14:paraId="16BA8451" w14:textId="77777777" w:rsidR="00A81C4F" w:rsidRPr="000A4CE2" w:rsidRDefault="00A81C4F" w:rsidP="00387B2A">
            <w:pPr>
              <w:pStyle w:val="Normal-table"/>
              <w:cnfStyle w:val="000000100000" w:firstRow="0" w:lastRow="0" w:firstColumn="0" w:lastColumn="0" w:oddVBand="0" w:evenVBand="0" w:oddHBand="1" w:evenHBand="0" w:firstRowFirstColumn="0" w:firstRowLastColumn="0" w:lastRowFirstColumn="0" w:lastRowLastColumn="0"/>
            </w:pPr>
          </w:p>
        </w:tc>
        <w:tc>
          <w:tcPr>
            <w:tcW w:w="1701" w:type="dxa"/>
          </w:tcPr>
          <w:p w14:paraId="0C72D28C"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0143F8">
              <w:t>100%</w:t>
            </w:r>
          </w:p>
        </w:tc>
        <w:tc>
          <w:tcPr>
            <w:tcW w:w="1557" w:type="dxa"/>
          </w:tcPr>
          <w:p w14:paraId="2C040466"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0143F8">
              <w:t>100%</w:t>
            </w:r>
          </w:p>
        </w:tc>
      </w:tr>
      <w:tr w:rsidR="00A81C4F" w:rsidRPr="000A4CE2" w14:paraId="26B70183" w14:textId="77777777" w:rsidTr="001F13CF">
        <w:trPr>
          <w:trHeight w:val="60"/>
        </w:trPr>
        <w:tc>
          <w:tcPr>
            <w:cnfStyle w:val="001000000000" w:firstRow="0" w:lastRow="0" w:firstColumn="1" w:lastColumn="0" w:oddVBand="0" w:evenVBand="0" w:oddHBand="0" w:evenHBand="0" w:firstRowFirstColumn="0" w:firstRowLastColumn="0" w:lastRowFirstColumn="0" w:lastRowLastColumn="0"/>
            <w:tcW w:w="6096" w:type="dxa"/>
          </w:tcPr>
          <w:p w14:paraId="23BC9ECC" w14:textId="77777777" w:rsidR="00A81C4F" w:rsidRPr="00020EF5" w:rsidRDefault="00A81C4F" w:rsidP="00387B2A">
            <w:pPr>
              <w:pStyle w:val="Normal-table"/>
            </w:pPr>
            <w:r w:rsidRPr="000143F8">
              <w:t>ReefVTS area</w:t>
            </w:r>
          </w:p>
        </w:tc>
        <w:tc>
          <w:tcPr>
            <w:tcW w:w="850" w:type="dxa"/>
          </w:tcPr>
          <w:p w14:paraId="1624B5EE" w14:textId="77777777" w:rsidR="00A81C4F" w:rsidRPr="000A4CE2" w:rsidRDefault="00A81C4F" w:rsidP="00387B2A">
            <w:pPr>
              <w:pStyle w:val="Normal-table"/>
              <w:cnfStyle w:val="000000000000" w:firstRow="0" w:lastRow="0" w:firstColumn="0" w:lastColumn="0" w:oddVBand="0" w:evenVBand="0" w:oddHBand="0" w:evenHBand="0" w:firstRowFirstColumn="0" w:firstRowLastColumn="0" w:lastRowFirstColumn="0" w:lastRowLastColumn="0"/>
            </w:pPr>
          </w:p>
        </w:tc>
        <w:tc>
          <w:tcPr>
            <w:tcW w:w="1701" w:type="dxa"/>
          </w:tcPr>
          <w:p w14:paraId="19641952" w14:textId="77777777" w:rsidR="00A81C4F" w:rsidRPr="00020EF5"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rsidRPr="000143F8">
              <w:t>100%</w:t>
            </w:r>
          </w:p>
        </w:tc>
        <w:tc>
          <w:tcPr>
            <w:tcW w:w="1557" w:type="dxa"/>
          </w:tcPr>
          <w:p w14:paraId="302C188F" w14:textId="77777777" w:rsidR="00A81C4F" w:rsidRPr="00020EF5"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rsidRPr="000143F8">
              <w:t>100%</w:t>
            </w:r>
          </w:p>
        </w:tc>
      </w:tr>
    </w:tbl>
    <w:p w14:paraId="55C1D714" w14:textId="77777777" w:rsidR="00A81C4F" w:rsidRDefault="00A81C4F" w:rsidP="00A81C4F"/>
    <w:p w14:paraId="086507F7" w14:textId="77777777" w:rsidR="00A81C4F" w:rsidRPr="000A4CE2" w:rsidRDefault="00A81C4F" w:rsidP="00A81C4F">
      <w:pPr>
        <w:pStyle w:val="TableofFigures"/>
      </w:pPr>
      <w:r w:rsidRPr="000A4CE2">
        <w:t xml:space="preserve">Table </w:t>
      </w:r>
      <w:r>
        <w:t>30: Transport Safety and Regulation efficiency measure</w:t>
      </w:r>
    </w:p>
    <w:tbl>
      <w:tblPr>
        <w:tblStyle w:val="GridTable4-Accent1"/>
        <w:tblW w:w="0" w:type="auto"/>
        <w:tblLayout w:type="fixed"/>
        <w:tblLook w:val="04A0" w:firstRow="1" w:lastRow="0" w:firstColumn="1" w:lastColumn="0" w:noHBand="0" w:noVBand="1"/>
      </w:tblPr>
      <w:tblGrid>
        <w:gridCol w:w="6096"/>
        <w:gridCol w:w="850"/>
        <w:gridCol w:w="1701"/>
        <w:gridCol w:w="1557"/>
      </w:tblGrid>
      <w:tr w:rsidR="00A81C4F" w:rsidRPr="000A4CE2" w14:paraId="7D4B0834" w14:textId="77777777" w:rsidTr="001F13CF">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6096" w:type="dxa"/>
          </w:tcPr>
          <w:p w14:paraId="26EF3F36" w14:textId="77777777" w:rsidR="00A81C4F" w:rsidRPr="00020EF5" w:rsidRDefault="00A81C4F" w:rsidP="00387B2A">
            <w:pPr>
              <w:pStyle w:val="Normal-table"/>
            </w:pPr>
            <w:r w:rsidRPr="00EB1A71">
              <w:t>Service standards</w:t>
            </w:r>
          </w:p>
        </w:tc>
        <w:tc>
          <w:tcPr>
            <w:tcW w:w="850" w:type="dxa"/>
          </w:tcPr>
          <w:p w14:paraId="4358C219"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rsidRPr="00EB1A71">
              <w:t>Notes</w:t>
            </w:r>
          </w:p>
        </w:tc>
        <w:tc>
          <w:tcPr>
            <w:tcW w:w="1701" w:type="dxa"/>
          </w:tcPr>
          <w:p w14:paraId="3F1B1DDC"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Target / Estimate</w:t>
            </w:r>
          </w:p>
        </w:tc>
        <w:tc>
          <w:tcPr>
            <w:tcW w:w="1557" w:type="dxa"/>
          </w:tcPr>
          <w:p w14:paraId="0E556687"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Actual</w:t>
            </w:r>
          </w:p>
        </w:tc>
      </w:tr>
      <w:tr w:rsidR="00A81C4F" w:rsidRPr="000A4CE2" w14:paraId="7988CDF1" w14:textId="77777777" w:rsidTr="001F13C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6" w:type="dxa"/>
          </w:tcPr>
          <w:p w14:paraId="4286B7D0" w14:textId="77777777" w:rsidR="00A81C4F" w:rsidRPr="00020EF5" w:rsidRDefault="00A81C4F" w:rsidP="00387B2A">
            <w:pPr>
              <w:pStyle w:val="Normal-table"/>
            </w:pPr>
            <w:r w:rsidRPr="000143F8">
              <w:t xml:space="preserve">Direct operational cost of </w:t>
            </w:r>
            <w:r w:rsidRPr="00020EF5">
              <w:t>Vessel Traffic Services per monitored vessel movement</w:t>
            </w:r>
          </w:p>
        </w:tc>
        <w:tc>
          <w:tcPr>
            <w:tcW w:w="850" w:type="dxa"/>
          </w:tcPr>
          <w:p w14:paraId="45468965" w14:textId="77777777" w:rsidR="00A81C4F" w:rsidRPr="000A4CE2" w:rsidRDefault="00A81C4F" w:rsidP="00387B2A">
            <w:pPr>
              <w:pStyle w:val="Normal-table"/>
              <w:cnfStyle w:val="000000100000" w:firstRow="0" w:lastRow="0" w:firstColumn="0" w:lastColumn="0" w:oddVBand="0" w:evenVBand="0" w:oddHBand="1" w:evenHBand="0" w:firstRowFirstColumn="0" w:firstRowLastColumn="0" w:lastRowFirstColumn="0" w:lastRowLastColumn="0"/>
            </w:pPr>
          </w:p>
        </w:tc>
        <w:tc>
          <w:tcPr>
            <w:tcW w:w="1701" w:type="dxa"/>
          </w:tcPr>
          <w:p w14:paraId="3E11B192"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0143F8">
              <w:t>$6</w:t>
            </w:r>
            <w:r w:rsidRPr="00020EF5">
              <w:t>07</w:t>
            </w:r>
          </w:p>
        </w:tc>
        <w:tc>
          <w:tcPr>
            <w:tcW w:w="1557" w:type="dxa"/>
          </w:tcPr>
          <w:p w14:paraId="47D60BA0"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A45121">
              <w:t>$</w:t>
            </w:r>
            <w:r w:rsidRPr="00020EF5">
              <w:t>551</w:t>
            </w:r>
          </w:p>
        </w:tc>
      </w:tr>
    </w:tbl>
    <w:p w14:paraId="22DDD536" w14:textId="77777777" w:rsidR="00A81C4F" w:rsidRPr="000143F8" w:rsidRDefault="00A81C4F" w:rsidP="00A81C4F">
      <w:pPr>
        <w:pStyle w:val="Caption"/>
      </w:pPr>
      <w:r w:rsidRPr="000143F8">
        <w:t>Notes:</w:t>
      </w:r>
    </w:p>
    <w:p w14:paraId="334934B6" w14:textId="77777777" w:rsidR="00A81C4F" w:rsidRPr="0044020E" w:rsidRDefault="00A81C4F" w:rsidP="00A81C4F">
      <w:pPr>
        <w:pStyle w:val="Caption"/>
      </w:pPr>
      <w:r>
        <w:t xml:space="preserve">1. </w:t>
      </w:r>
      <w:r w:rsidRPr="00571219">
        <w:t>The variance between the 2022–23 Target/Estimate and 2022–23 Actual is based on a number of societal influences that can vary throughout the year resulting in changes in the number of road crashes.</w:t>
      </w:r>
      <w:r w:rsidRPr="0044020E">
        <w:t xml:space="preserve"> The new Queensland Road Safety Strategy 2022–31 and the first Road Safety Action Plan (2022–2024) under the new strategy have been developed and recently announced. The Action Plan contains 20 actions for implementation over the next 3 years and focus on areas such as motorcycle safety, drug driving, young drivers, and road safety on regional and rural roads.</w:t>
      </w:r>
    </w:p>
    <w:p w14:paraId="1A77F785" w14:textId="77777777" w:rsidR="00A81C4F" w:rsidRPr="00020EF5" w:rsidRDefault="00A81C4F" w:rsidP="00A81C4F">
      <w:pPr>
        <w:pStyle w:val="Caption"/>
      </w:pPr>
      <w:r>
        <w:t xml:space="preserve">2. </w:t>
      </w:r>
      <w:r w:rsidRPr="00020EF5">
        <w:t>The 2022–23 Actual is not available due to delays in receiving data sets from other agencies’ reporting systems. This has resulted in TMR being unable to calculate and publish an Actual result for the 12 month period ending 31 December 2022. The most recent data received is for the 12 month period ending 30 September 2022, where the preliminary number of hospitalised road casualties is 7416 which equates to a rate of 140.07 hospitalised casualties per 100,000 population.</w:t>
      </w:r>
    </w:p>
    <w:p w14:paraId="075F7526" w14:textId="77777777" w:rsidR="00A81C4F" w:rsidRDefault="00A81C4F" w:rsidP="00A81C4F">
      <w:pPr>
        <w:pStyle w:val="Caption"/>
      </w:pPr>
      <w:r>
        <w:t>3. The variance between the 2022–23 Target/Estimate and 2022–23 Actual reflects the ongoing impact of an unexpected increase in the number of vessels registered during the COVID-19 pandemic. Fatalities caused by non-conformance to marine safety standards and regulations has outpaced the increase in registered vessels. Maritime Safety Queensland is continuing to review and progress policy, education, and compliance activities that reinforce safe boating behaviours.</w:t>
      </w:r>
    </w:p>
    <w:p w14:paraId="741DDF62" w14:textId="77777777" w:rsidR="00A81C4F" w:rsidRDefault="00A81C4F" w:rsidP="00A81C4F">
      <w:pPr>
        <w:pStyle w:val="Heading3"/>
      </w:pPr>
      <w:r w:rsidRPr="001E5801">
        <w:lastRenderedPageBreak/>
        <w:t>Service area: Customer Experience</w:t>
      </w:r>
    </w:p>
    <w:p w14:paraId="390FB5BA" w14:textId="77777777" w:rsidR="00A81C4F" w:rsidRPr="001E5801" w:rsidRDefault="00A81C4F" w:rsidP="00A81C4F">
      <w:pPr>
        <w:pStyle w:val="Heading4"/>
      </w:pPr>
      <w:r w:rsidRPr="001E5801">
        <w:t>Service area objective</w:t>
      </w:r>
    </w:p>
    <w:p w14:paraId="2ABB759E" w14:textId="77777777" w:rsidR="00A81C4F" w:rsidRPr="00020EF5" w:rsidRDefault="00A81C4F" w:rsidP="00A81C4F">
      <w:r w:rsidRPr="00020EF5">
        <w:t xml:space="preserve">To understand evolving customer needs and expectations, to improve customer experiences and reduce complaints. </w:t>
      </w:r>
    </w:p>
    <w:p w14:paraId="749BE817" w14:textId="77777777" w:rsidR="00A81C4F" w:rsidRPr="000A4CE2" w:rsidRDefault="00A81C4F" w:rsidP="00A81C4F">
      <w:pPr>
        <w:pStyle w:val="TableofFigures"/>
      </w:pPr>
      <w:r w:rsidRPr="000A4CE2">
        <w:t xml:space="preserve">Table </w:t>
      </w:r>
      <w:r>
        <w:t>31: Customer Experience e</w:t>
      </w:r>
      <w:r w:rsidRPr="00220FB9">
        <w:t>ffectiveness measure</w:t>
      </w:r>
      <w:r>
        <w:t>s</w:t>
      </w:r>
    </w:p>
    <w:tbl>
      <w:tblPr>
        <w:tblStyle w:val="GridTable4-Accent1"/>
        <w:tblW w:w="0" w:type="auto"/>
        <w:tblLayout w:type="fixed"/>
        <w:tblLook w:val="04A0" w:firstRow="1" w:lastRow="0" w:firstColumn="1" w:lastColumn="0" w:noHBand="0" w:noVBand="1"/>
      </w:tblPr>
      <w:tblGrid>
        <w:gridCol w:w="6096"/>
        <w:gridCol w:w="850"/>
        <w:gridCol w:w="1701"/>
        <w:gridCol w:w="1557"/>
      </w:tblGrid>
      <w:tr w:rsidR="00A81C4F" w:rsidRPr="000A4CE2" w14:paraId="2E4092D2" w14:textId="77777777" w:rsidTr="001F13CF">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6096" w:type="dxa"/>
          </w:tcPr>
          <w:p w14:paraId="1C23B551" w14:textId="77777777" w:rsidR="00A81C4F" w:rsidRPr="00020EF5" w:rsidRDefault="00A81C4F" w:rsidP="00387B2A">
            <w:pPr>
              <w:pStyle w:val="Normal-table"/>
            </w:pPr>
            <w:r w:rsidRPr="00EB1A71">
              <w:t>Service standards</w:t>
            </w:r>
          </w:p>
        </w:tc>
        <w:tc>
          <w:tcPr>
            <w:tcW w:w="850" w:type="dxa"/>
          </w:tcPr>
          <w:p w14:paraId="20EF9AC0"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rsidRPr="00EB1A71">
              <w:t>Notes</w:t>
            </w:r>
          </w:p>
        </w:tc>
        <w:tc>
          <w:tcPr>
            <w:tcW w:w="1701" w:type="dxa"/>
          </w:tcPr>
          <w:p w14:paraId="231085AD"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Target / Estimate</w:t>
            </w:r>
          </w:p>
        </w:tc>
        <w:tc>
          <w:tcPr>
            <w:tcW w:w="1557" w:type="dxa"/>
          </w:tcPr>
          <w:p w14:paraId="4BE51417"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Actual</w:t>
            </w:r>
          </w:p>
        </w:tc>
      </w:tr>
      <w:tr w:rsidR="00A81C4F" w:rsidRPr="000A4CE2" w14:paraId="330030E4" w14:textId="77777777" w:rsidTr="001F13C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6" w:type="dxa"/>
          </w:tcPr>
          <w:p w14:paraId="7E4D3B4E" w14:textId="77777777" w:rsidR="00A81C4F" w:rsidRPr="00020EF5" w:rsidRDefault="00A81C4F" w:rsidP="00387B2A">
            <w:pPr>
              <w:pStyle w:val="Normal-table"/>
            </w:pPr>
            <w:r w:rsidRPr="000143F8">
              <w:t xml:space="preserve">Overall customer satisfaction with transactional services (on a scale of 1 to </w:t>
            </w:r>
            <w:r w:rsidRPr="00020EF5">
              <w:t>10)</w:t>
            </w:r>
          </w:p>
        </w:tc>
        <w:tc>
          <w:tcPr>
            <w:tcW w:w="850" w:type="dxa"/>
          </w:tcPr>
          <w:p w14:paraId="73E9284D"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p>
        </w:tc>
        <w:tc>
          <w:tcPr>
            <w:tcW w:w="1701" w:type="dxa"/>
          </w:tcPr>
          <w:p w14:paraId="52BC13AC"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0143F8">
              <w:t>8.0</w:t>
            </w:r>
          </w:p>
        </w:tc>
        <w:tc>
          <w:tcPr>
            <w:tcW w:w="1557" w:type="dxa"/>
          </w:tcPr>
          <w:p w14:paraId="144B9783"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0143F8">
              <w:t>8.</w:t>
            </w:r>
            <w:r w:rsidRPr="00020EF5">
              <w:t>2</w:t>
            </w:r>
          </w:p>
        </w:tc>
      </w:tr>
      <w:tr w:rsidR="00A81C4F" w:rsidRPr="000A4CE2" w14:paraId="50CAB095" w14:textId="77777777" w:rsidTr="001F13CF">
        <w:trPr>
          <w:trHeight w:val="60"/>
        </w:trPr>
        <w:tc>
          <w:tcPr>
            <w:cnfStyle w:val="001000000000" w:firstRow="0" w:lastRow="0" w:firstColumn="1" w:lastColumn="0" w:oddVBand="0" w:evenVBand="0" w:oddHBand="0" w:evenHBand="0" w:firstRowFirstColumn="0" w:firstRowLastColumn="0" w:lastRowFirstColumn="0" w:lastRowLastColumn="0"/>
            <w:tcW w:w="6096" w:type="dxa"/>
          </w:tcPr>
          <w:p w14:paraId="29606C6D" w14:textId="77777777" w:rsidR="00A81C4F" w:rsidRPr="00020EF5" w:rsidRDefault="00A81C4F" w:rsidP="00387B2A">
            <w:pPr>
              <w:pStyle w:val="Normal-table"/>
            </w:pPr>
            <w:r w:rsidRPr="000143F8">
              <w:t>Customer service complaints in South</w:t>
            </w:r>
            <w:r>
              <w:t xml:space="preserve"> </w:t>
            </w:r>
            <w:r w:rsidRPr="00020EF5">
              <w:t>East Queensland per 10,000 trips</w:t>
            </w:r>
          </w:p>
        </w:tc>
        <w:tc>
          <w:tcPr>
            <w:tcW w:w="850" w:type="dxa"/>
          </w:tcPr>
          <w:p w14:paraId="732C6404" w14:textId="77777777" w:rsidR="00A81C4F" w:rsidRPr="000A4CE2" w:rsidRDefault="00A81C4F" w:rsidP="00387B2A">
            <w:pPr>
              <w:pStyle w:val="Normal-table"/>
              <w:cnfStyle w:val="000000000000" w:firstRow="0" w:lastRow="0" w:firstColumn="0" w:lastColumn="0" w:oddVBand="0" w:evenVBand="0" w:oddHBand="0" w:evenHBand="0" w:firstRowFirstColumn="0" w:firstRowLastColumn="0" w:lastRowFirstColumn="0" w:lastRowLastColumn="0"/>
            </w:pPr>
          </w:p>
        </w:tc>
        <w:tc>
          <w:tcPr>
            <w:tcW w:w="1701" w:type="dxa"/>
          </w:tcPr>
          <w:p w14:paraId="0905E62B" w14:textId="77777777" w:rsidR="00A81C4F" w:rsidRPr="00020EF5"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rsidRPr="000143F8">
              <w:t>&lt; 3.0</w:t>
            </w:r>
          </w:p>
        </w:tc>
        <w:tc>
          <w:tcPr>
            <w:tcW w:w="1557" w:type="dxa"/>
          </w:tcPr>
          <w:p w14:paraId="425BA4B6" w14:textId="77777777" w:rsidR="00A81C4F" w:rsidRPr="00020EF5"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rsidRPr="000143F8">
              <w:t>2.</w:t>
            </w:r>
            <w:r w:rsidRPr="00020EF5">
              <w:t>3</w:t>
            </w:r>
          </w:p>
        </w:tc>
      </w:tr>
    </w:tbl>
    <w:p w14:paraId="0AE53580" w14:textId="77777777" w:rsidR="00A81C4F" w:rsidRDefault="00A81C4F" w:rsidP="00A81C4F"/>
    <w:p w14:paraId="16421C29" w14:textId="77777777" w:rsidR="00A81C4F" w:rsidRPr="000A4CE2" w:rsidRDefault="00A81C4F" w:rsidP="00A81C4F">
      <w:pPr>
        <w:pStyle w:val="TableofFigures"/>
      </w:pPr>
      <w:r w:rsidRPr="000A4CE2">
        <w:t xml:space="preserve">Table </w:t>
      </w:r>
      <w:r>
        <w:t>32: Customer Experience e</w:t>
      </w:r>
      <w:r w:rsidRPr="00220FB9">
        <w:t>ffectiveness measure</w:t>
      </w:r>
      <w:r>
        <w:t>s—c</w:t>
      </w:r>
      <w:r w:rsidRPr="002B536B">
        <w:t>ustomer experience ratings of passenger transport service by type (on a scale of 1 to 5)</w:t>
      </w:r>
    </w:p>
    <w:tbl>
      <w:tblPr>
        <w:tblStyle w:val="GridTable4-Accent1"/>
        <w:tblW w:w="0" w:type="auto"/>
        <w:tblLayout w:type="fixed"/>
        <w:tblLook w:val="04A0" w:firstRow="1" w:lastRow="0" w:firstColumn="1" w:lastColumn="0" w:noHBand="0" w:noVBand="1"/>
      </w:tblPr>
      <w:tblGrid>
        <w:gridCol w:w="6096"/>
        <w:gridCol w:w="850"/>
        <w:gridCol w:w="1701"/>
        <w:gridCol w:w="1557"/>
      </w:tblGrid>
      <w:tr w:rsidR="00A81C4F" w:rsidRPr="000A4CE2" w14:paraId="0F95B1EC" w14:textId="77777777" w:rsidTr="000232F5">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6096" w:type="dxa"/>
          </w:tcPr>
          <w:p w14:paraId="013F0E44" w14:textId="77777777" w:rsidR="00A81C4F" w:rsidRPr="00020EF5" w:rsidRDefault="00A81C4F" w:rsidP="00387B2A">
            <w:pPr>
              <w:pStyle w:val="Normal-table"/>
            </w:pPr>
            <w:r w:rsidRPr="00EB1A71">
              <w:t>Service standards</w:t>
            </w:r>
          </w:p>
        </w:tc>
        <w:tc>
          <w:tcPr>
            <w:tcW w:w="850" w:type="dxa"/>
          </w:tcPr>
          <w:p w14:paraId="6B12F11C"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rsidRPr="00EB1A71">
              <w:t>Notes</w:t>
            </w:r>
          </w:p>
        </w:tc>
        <w:tc>
          <w:tcPr>
            <w:tcW w:w="1701" w:type="dxa"/>
          </w:tcPr>
          <w:p w14:paraId="50B8B808"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Target / Estimate</w:t>
            </w:r>
          </w:p>
        </w:tc>
        <w:tc>
          <w:tcPr>
            <w:tcW w:w="1557" w:type="dxa"/>
          </w:tcPr>
          <w:p w14:paraId="5978EFD5"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Actual</w:t>
            </w:r>
          </w:p>
        </w:tc>
      </w:tr>
      <w:tr w:rsidR="00A81C4F" w:rsidRPr="000A4CE2" w14:paraId="55B985A1" w14:textId="77777777" w:rsidTr="000232F5">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6" w:type="dxa"/>
          </w:tcPr>
          <w:p w14:paraId="7CD761A7" w14:textId="77777777" w:rsidR="00A81C4F" w:rsidRPr="00020EF5" w:rsidRDefault="00A81C4F" w:rsidP="00387B2A">
            <w:pPr>
              <w:pStyle w:val="Normal-table"/>
            </w:pPr>
            <w:r w:rsidRPr="000143F8">
              <w:t>South East Queensland bus</w:t>
            </w:r>
          </w:p>
        </w:tc>
        <w:tc>
          <w:tcPr>
            <w:tcW w:w="850" w:type="dxa"/>
          </w:tcPr>
          <w:p w14:paraId="6DCA4956" w14:textId="77777777" w:rsidR="00A81C4F" w:rsidRPr="000A4CE2" w:rsidRDefault="00A81C4F" w:rsidP="00387B2A">
            <w:pPr>
              <w:pStyle w:val="Normal-table"/>
              <w:cnfStyle w:val="000000100000" w:firstRow="0" w:lastRow="0" w:firstColumn="0" w:lastColumn="0" w:oddVBand="0" w:evenVBand="0" w:oddHBand="1" w:evenHBand="0" w:firstRowFirstColumn="0" w:firstRowLastColumn="0" w:lastRowFirstColumn="0" w:lastRowLastColumn="0"/>
            </w:pPr>
          </w:p>
        </w:tc>
        <w:tc>
          <w:tcPr>
            <w:tcW w:w="1701" w:type="dxa"/>
          </w:tcPr>
          <w:p w14:paraId="046C6A3F"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0143F8">
              <w:t>≥ 3.5</w:t>
            </w:r>
          </w:p>
        </w:tc>
        <w:tc>
          <w:tcPr>
            <w:tcW w:w="1557" w:type="dxa"/>
          </w:tcPr>
          <w:p w14:paraId="4E34AC0E"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0143F8">
              <w:t>4.</w:t>
            </w:r>
            <w:r w:rsidRPr="00020EF5">
              <w:t>1</w:t>
            </w:r>
          </w:p>
        </w:tc>
      </w:tr>
      <w:tr w:rsidR="00A81C4F" w:rsidRPr="000A4CE2" w14:paraId="2A9FC2F0" w14:textId="77777777" w:rsidTr="000232F5">
        <w:trPr>
          <w:trHeight w:val="60"/>
        </w:trPr>
        <w:tc>
          <w:tcPr>
            <w:cnfStyle w:val="001000000000" w:firstRow="0" w:lastRow="0" w:firstColumn="1" w:lastColumn="0" w:oddVBand="0" w:evenVBand="0" w:oddHBand="0" w:evenHBand="0" w:firstRowFirstColumn="0" w:firstRowLastColumn="0" w:lastRowFirstColumn="0" w:lastRowLastColumn="0"/>
            <w:tcW w:w="6096" w:type="dxa"/>
          </w:tcPr>
          <w:p w14:paraId="49484495" w14:textId="77777777" w:rsidR="00A81C4F" w:rsidRPr="00020EF5" w:rsidRDefault="00A81C4F" w:rsidP="00387B2A">
            <w:pPr>
              <w:pStyle w:val="Normal-table"/>
            </w:pPr>
            <w:r w:rsidRPr="000143F8">
              <w:t>South East Queensland rail</w:t>
            </w:r>
          </w:p>
        </w:tc>
        <w:tc>
          <w:tcPr>
            <w:tcW w:w="850" w:type="dxa"/>
          </w:tcPr>
          <w:p w14:paraId="747BF2D3" w14:textId="77777777" w:rsidR="00A81C4F" w:rsidRPr="000A4CE2" w:rsidRDefault="00A81C4F" w:rsidP="00387B2A">
            <w:pPr>
              <w:pStyle w:val="Normal-table"/>
              <w:cnfStyle w:val="000000000000" w:firstRow="0" w:lastRow="0" w:firstColumn="0" w:lastColumn="0" w:oddVBand="0" w:evenVBand="0" w:oddHBand="0" w:evenHBand="0" w:firstRowFirstColumn="0" w:firstRowLastColumn="0" w:lastRowFirstColumn="0" w:lastRowLastColumn="0"/>
            </w:pPr>
          </w:p>
        </w:tc>
        <w:tc>
          <w:tcPr>
            <w:tcW w:w="1701" w:type="dxa"/>
          </w:tcPr>
          <w:p w14:paraId="521F7BAB" w14:textId="77777777" w:rsidR="00A81C4F" w:rsidRPr="00020EF5"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rsidRPr="000143F8">
              <w:t>≥ 3.5</w:t>
            </w:r>
          </w:p>
        </w:tc>
        <w:tc>
          <w:tcPr>
            <w:tcW w:w="1557" w:type="dxa"/>
          </w:tcPr>
          <w:p w14:paraId="1CD82212" w14:textId="77777777" w:rsidR="00A81C4F" w:rsidRPr="00020EF5"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t>3.9</w:t>
            </w:r>
          </w:p>
        </w:tc>
      </w:tr>
      <w:tr w:rsidR="00A81C4F" w:rsidRPr="000A4CE2" w14:paraId="328FDA36" w14:textId="77777777" w:rsidTr="000232F5">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6" w:type="dxa"/>
          </w:tcPr>
          <w:p w14:paraId="4E064615" w14:textId="77777777" w:rsidR="00A81C4F" w:rsidRPr="00020EF5" w:rsidRDefault="00A81C4F" w:rsidP="00387B2A">
            <w:pPr>
              <w:pStyle w:val="Normal-table"/>
            </w:pPr>
            <w:r w:rsidRPr="000143F8">
              <w:t>South East Queensland ferry</w:t>
            </w:r>
          </w:p>
        </w:tc>
        <w:tc>
          <w:tcPr>
            <w:tcW w:w="850" w:type="dxa"/>
          </w:tcPr>
          <w:p w14:paraId="61BB65C0" w14:textId="77777777" w:rsidR="00A81C4F" w:rsidRPr="000A4CE2" w:rsidRDefault="00A81C4F" w:rsidP="00387B2A">
            <w:pPr>
              <w:pStyle w:val="Normal-table"/>
              <w:cnfStyle w:val="000000100000" w:firstRow="0" w:lastRow="0" w:firstColumn="0" w:lastColumn="0" w:oddVBand="0" w:evenVBand="0" w:oddHBand="1" w:evenHBand="0" w:firstRowFirstColumn="0" w:firstRowLastColumn="0" w:lastRowFirstColumn="0" w:lastRowLastColumn="0"/>
            </w:pPr>
          </w:p>
        </w:tc>
        <w:tc>
          <w:tcPr>
            <w:tcW w:w="1701" w:type="dxa"/>
          </w:tcPr>
          <w:p w14:paraId="6D3B5395"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0143F8">
              <w:t>≥ 3.5</w:t>
            </w:r>
          </w:p>
        </w:tc>
        <w:tc>
          <w:tcPr>
            <w:tcW w:w="1557" w:type="dxa"/>
          </w:tcPr>
          <w:p w14:paraId="18027D5B"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0143F8">
              <w:t>4.</w:t>
            </w:r>
            <w:r w:rsidRPr="00020EF5">
              <w:t>5</w:t>
            </w:r>
          </w:p>
        </w:tc>
      </w:tr>
      <w:tr w:rsidR="00A81C4F" w:rsidRPr="000A4CE2" w14:paraId="636BED87" w14:textId="77777777" w:rsidTr="000232F5">
        <w:trPr>
          <w:trHeight w:val="60"/>
        </w:trPr>
        <w:tc>
          <w:tcPr>
            <w:cnfStyle w:val="001000000000" w:firstRow="0" w:lastRow="0" w:firstColumn="1" w:lastColumn="0" w:oddVBand="0" w:evenVBand="0" w:oddHBand="0" w:evenHBand="0" w:firstRowFirstColumn="0" w:firstRowLastColumn="0" w:lastRowFirstColumn="0" w:lastRowLastColumn="0"/>
            <w:tcW w:w="6096" w:type="dxa"/>
          </w:tcPr>
          <w:p w14:paraId="53B30E67" w14:textId="77777777" w:rsidR="00A81C4F" w:rsidRPr="00020EF5" w:rsidRDefault="00A81C4F" w:rsidP="00387B2A">
            <w:pPr>
              <w:pStyle w:val="Normal-table"/>
            </w:pPr>
            <w:r w:rsidRPr="000143F8">
              <w:t>South East</w:t>
            </w:r>
            <w:r w:rsidRPr="00020EF5">
              <w:t xml:space="preserve"> Queensland tram</w:t>
            </w:r>
          </w:p>
        </w:tc>
        <w:tc>
          <w:tcPr>
            <w:tcW w:w="850" w:type="dxa"/>
          </w:tcPr>
          <w:p w14:paraId="173C5585" w14:textId="77777777" w:rsidR="00A81C4F" w:rsidRPr="000A4CE2" w:rsidRDefault="00A81C4F" w:rsidP="00387B2A">
            <w:pPr>
              <w:pStyle w:val="Normal-table"/>
              <w:cnfStyle w:val="000000000000" w:firstRow="0" w:lastRow="0" w:firstColumn="0" w:lastColumn="0" w:oddVBand="0" w:evenVBand="0" w:oddHBand="0" w:evenHBand="0" w:firstRowFirstColumn="0" w:firstRowLastColumn="0" w:lastRowFirstColumn="0" w:lastRowLastColumn="0"/>
            </w:pPr>
          </w:p>
        </w:tc>
        <w:tc>
          <w:tcPr>
            <w:tcW w:w="1701" w:type="dxa"/>
          </w:tcPr>
          <w:p w14:paraId="00A98977" w14:textId="77777777" w:rsidR="00A81C4F" w:rsidRPr="00020EF5"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rsidRPr="000143F8">
              <w:t>≥ 3.5</w:t>
            </w:r>
          </w:p>
        </w:tc>
        <w:tc>
          <w:tcPr>
            <w:tcW w:w="1557" w:type="dxa"/>
          </w:tcPr>
          <w:p w14:paraId="030B4BE9" w14:textId="77777777" w:rsidR="00A81C4F" w:rsidRPr="00020EF5"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rsidRPr="000143F8">
              <w:t>4.</w:t>
            </w:r>
            <w:r w:rsidRPr="00020EF5">
              <w:t>3</w:t>
            </w:r>
          </w:p>
        </w:tc>
      </w:tr>
      <w:tr w:rsidR="00A81C4F" w:rsidRPr="000A4CE2" w14:paraId="7EBAC834" w14:textId="77777777" w:rsidTr="000232F5">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6" w:type="dxa"/>
          </w:tcPr>
          <w:p w14:paraId="3E844F1C" w14:textId="77777777" w:rsidR="00A81C4F" w:rsidRPr="00020EF5" w:rsidRDefault="00A81C4F" w:rsidP="00387B2A">
            <w:pPr>
              <w:pStyle w:val="Normal-table"/>
            </w:pPr>
            <w:r w:rsidRPr="000143F8">
              <w:t>Regional urban bus</w:t>
            </w:r>
          </w:p>
        </w:tc>
        <w:tc>
          <w:tcPr>
            <w:tcW w:w="850" w:type="dxa"/>
          </w:tcPr>
          <w:p w14:paraId="74DBC873" w14:textId="77777777" w:rsidR="00A81C4F" w:rsidRPr="000A4CE2" w:rsidRDefault="00A81C4F" w:rsidP="00387B2A">
            <w:pPr>
              <w:pStyle w:val="Normal-table"/>
              <w:cnfStyle w:val="000000100000" w:firstRow="0" w:lastRow="0" w:firstColumn="0" w:lastColumn="0" w:oddVBand="0" w:evenVBand="0" w:oddHBand="1" w:evenHBand="0" w:firstRowFirstColumn="0" w:firstRowLastColumn="0" w:lastRowFirstColumn="0" w:lastRowLastColumn="0"/>
            </w:pPr>
          </w:p>
        </w:tc>
        <w:tc>
          <w:tcPr>
            <w:tcW w:w="1701" w:type="dxa"/>
          </w:tcPr>
          <w:p w14:paraId="2EA5D778"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0143F8">
              <w:t>≥ 3.5</w:t>
            </w:r>
          </w:p>
        </w:tc>
        <w:tc>
          <w:tcPr>
            <w:tcW w:w="1557" w:type="dxa"/>
          </w:tcPr>
          <w:p w14:paraId="2B47DB74"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0143F8">
              <w:t>4.2</w:t>
            </w:r>
          </w:p>
        </w:tc>
      </w:tr>
    </w:tbl>
    <w:p w14:paraId="5E9F75A4" w14:textId="77777777" w:rsidR="00A81C4F" w:rsidRDefault="00A81C4F" w:rsidP="00A81C4F"/>
    <w:p w14:paraId="2670ED12" w14:textId="77777777" w:rsidR="00A81C4F" w:rsidRPr="000A4CE2" w:rsidRDefault="00A81C4F" w:rsidP="00A81C4F">
      <w:pPr>
        <w:pStyle w:val="TableofFigures"/>
      </w:pPr>
      <w:r w:rsidRPr="000A4CE2">
        <w:t xml:space="preserve">Table </w:t>
      </w:r>
      <w:r>
        <w:t xml:space="preserve">33: Customer Experience efficiency measures </w:t>
      </w:r>
    </w:p>
    <w:tbl>
      <w:tblPr>
        <w:tblStyle w:val="GridTable4-Accent1"/>
        <w:tblW w:w="0" w:type="auto"/>
        <w:tblLayout w:type="fixed"/>
        <w:tblLook w:val="04A0" w:firstRow="1" w:lastRow="0" w:firstColumn="1" w:lastColumn="0" w:noHBand="0" w:noVBand="1"/>
      </w:tblPr>
      <w:tblGrid>
        <w:gridCol w:w="6096"/>
        <w:gridCol w:w="850"/>
        <w:gridCol w:w="1701"/>
        <w:gridCol w:w="1557"/>
      </w:tblGrid>
      <w:tr w:rsidR="00A81C4F" w:rsidRPr="000A4CE2" w14:paraId="03888DC0" w14:textId="77777777" w:rsidTr="000232F5">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6096" w:type="dxa"/>
          </w:tcPr>
          <w:p w14:paraId="554392DF" w14:textId="77777777" w:rsidR="00A81C4F" w:rsidRPr="00020EF5" w:rsidRDefault="00A81C4F" w:rsidP="00387B2A">
            <w:pPr>
              <w:pStyle w:val="Normal-table"/>
            </w:pPr>
            <w:r w:rsidRPr="00EB1A71">
              <w:t>Service standards</w:t>
            </w:r>
          </w:p>
        </w:tc>
        <w:tc>
          <w:tcPr>
            <w:tcW w:w="850" w:type="dxa"/>
          </w:tcPr>
          <w:p w14:paraId="1C664BDB"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rsidRPr="00EB1A71">
              <w:t>Notes</w:t>
            </w:r>
          </w:p>
        </w:tc>
        <w:tc>
          <w:tcPr>
            <w:tcW w:w="1701" w:type="dxa"/>
          </w:tcPr>
          <w:p w14:paraId="1B78D80B"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Target / Estimate</w:t>
            </w:r>
          </w:p>
        </w:tc>
        <w:tc>
          <w:tcPr>
            <w:tcW w:w="1557" w:type="dxa"/>
          </w:tcPr>
          <w:p w14:paraId="0604DC6A"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Actual</w:t>
            </w:r>
          </w:p>
        </w:tc>
      </w:tr>
      <w:tr w:rsidR="00A81C4F" w:rsidRPr="000A4CE2" w14:paraId="1E33437C" w14:textId="77777777" w:rsidTr="000232F5">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6" w:type="dxa"/>
          </w:tcPr>
          <w:p w14:paraId="28B2BDEB" w14:textId="77777777" w:rsidR="00A81C4F" w:rsidRPr="00020EF5" w:rsidRDefault="00A81C4F" w:rsidP="00387B2A">
            <w:pPr>
              <w:pStyle w:val="Normal-table"/>
            </w:pPr>
            <w:r w:rsidRPr="000143F8">
              <w:t>Average unit cost per transaction in a Customer Service Centre</w:t>
            </w:r>
          </w:p>
        </w:tc>
        <w:tc>
          <w:tcPr>
            <w:tcW w:w="850" w:type="dxa"/>
          </w:tcPr>
          <w:p w14:paraId="6C2C9891" w14:textId="77777777" w:rsidR="00A81C4F" w:rsidRPr="000A4CE2" w:rsidRDefault="00A81C4F" w:rsidP="00387B2A">
            <w:pPr>
              <w:pStyle w:val="Normal-table"/>
              <w:cnfStyle w:val="000000100000" w:firstRow="0" w:lastRow="0" w:firstColumn="0" w:lastColumn="0" w:oddVBand="0" w:evenVBand="0" w:oddHBand="1" w:evenHBand="0" w:firstRowFirstColumn="0" w:firstRowLastColumn="0" w:lastRowFirstColumn="0" w:lastRowLastColumn="0"/>
            </w:pPr>
          </w:p>
        </w:tc>
        <w:tc>
          <w:tcPr>
            <w:tcW w:w="1701" w:type="dxa"/>
          </w:tcPr>
          <w:p w14:paraId="05E5D55C"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0143F8">
              <w:t>$2</w:t>
            </w:r>
            <w:r w:rsidRPr="00020EF5">
              <w:t>2.80</w:t>
            </w:r>
          </w:p>
        </w:tc>
        <w:tc>
          <w:tcPr>
            <w:tcW w:w="1557" w:type="dxa"/>
          </w:tcPr>
          <w:p w14:paraId="5D36E670"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0143F8">
              <w:t>$2</w:t>
            </w:r>
            <w:r w:rsidRPr="00020EF5">
              <w:t>1.68</w:t>
            </w:r>
          </w:p>
        </w:tc>
      </w:tr>
      <w:tr w:rsidR="00A81C4F" w:rsidRPr="000A4CE2" w14:paraId="3A352551" w14:textId="77777777" w:rsidTr="000232F5">
        <w:trPr>
          <w:trHeight w:val="60"/>
        </w:trPr>
        <w:tc>
          <w:tcPr>
            <w:cnfStyle w:val="001000000000" w:firstRow="0" w:lastRow="0" w:firstColumn="1" w:lastColumn="0" w:oddVBand="0" w:evenVBand="0" w:oddHBand="0" w:evenHBand="0" w:firstRowFirstColumn="0" w:firstRowLastColumn="0" w:lastRowFirstColumn="0" w:lastRowLastColumn="0"/>
            <w:tcW w:w="6096" w:type="dxa"/>
          </w:tcPr>
          <w:p w14:paraId="2FB0BBFF" w14:textId="77777777" w:rsidR="00A81C4F" w:rsidRPr="00020EF5" w:rsidRDefault="00A81C4F" w:rsidP="00387B2A">
            <w:pPr>
              <w:pStyle w:val="Normal-table"/>
            </w:pPr>
            <w:r w:rsidRPr="000143F8">
              <w:t xml:space="preserve">Average cost per </w:t>
            </w:r>
            <w:r w:rsidRPr="00020EF5">
              <w:t>customer call enquiry – Translink Contact Centre</w:t>
            </w:r>
          </w:p>
        </w:tc>
        <w:tc>
          <w:tcPr>
            <w:tcW w:w="850" w:type="dxa"/>
          </w:tcPr>
          <w:p w14:paraId="2A28F836" w14:textId="77777777" w:rsidR="00A81C4F" w:rsidRPr="000A4CE2"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t>1</w:t>
            </w:r>
          </w:p>
        </w:tc>
        <w:tc>
          <w:tcPr>
            <w:tcW w:w="1701" w:type="dxa"/>
          </w:tcPr>
          <w:p w14:paraId="00C6E98A" w14:textId="77777777" w:rsidR="00A81C4F" w:rsidRPr="00020EF5"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rsidRPr="000143F8">
              <w:t>$</w:t>
            </w:r>
            <w:r w:rsidRPr="00020EF5">
              <w:t>6.39</w:t>
            </w:r>
          </w:p>
        </w:tc>
        <w:tc>
          <w:tcPr>
            <w:tcW w:w="1557" w:type="dxa"/>
          </w:tcPr>
          <w:p w14:paraId="69FA1644" w14:textId="77777777" w:rsidR="00A81C4F" w:rsidRPr="00020EF5"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rsidRPr="000143F8">
              <w:t>$6.</w:t>
            </w:r>
            <w:r w:rsidRPr="00020EF5">
              <w:t>53</w:t>
            </w:r>
          </w:p>
        </w:tc>
      </w:tr>
    </w:tbl>
    <w:p w14:paraId="32D2833D" w14:textId="77777777" w:rsidR="00A81C4F" w:rsidRPr="000143F8" w:rsidRDefault="00A81C4F" w:rsidP="00A81C4F">
      <w:pPr>
        <w:pStyle w:val="Caption"/>
      </w:pPr>
      <w:r w:rsidRPr="000143F8">
        <w:t>Notes:</w:t>
      </w:r>
    </w:p>
    <w:p w14:paraId="51019573" w14:textId="77777777" w:rsidR="00A81C4F" w:rsidRPr="00B77CA6" w:rsidRDefault="00A81C4F" w:rsidP="00A81C4F">
      <w:pPr>
        <w:pStyle w:val="Caption"/>
      </w:pPr>
      <w:r>
        <w:t xml:space="preserve">1. </w:t>
      </w:r>
      <w:r w:rsidRPr="00C60E33">
        <w:t>The variance between the 2022–23 Target/Estimate and 2022–23 Actual is due to a lower-than-expected call volume for the period, resulting in a higher average cost per customer call enquiry.</w:t>
      </w:r>
    </w:p>
    <w:p w14:paraId="73FB5C19" w14:textId="77777777" w:rsidR="00916DF7" w:rsidRDefault="00916DF7">
      <w:pPr>
        <w:spacing w:before="0" w:after="160" w:line="259" w:lineRule="auto"/>
        <w:rPr>
          <w:rFonts w:eastAsiaTheme="majorEastAsia" w:cstheme="majorBidi"/>
          <w:color w:val="000000" w:themeColor="text1"/>
          <w:sz w:val="32"/>
          <w:szCs w:val="24"/>
        </w:rPr>
      </w:pPr>
      <w:r>
        <w:br w:type="page"/>
      </w:r>
    </w:p>
    <w:p w14:paraId="44CF31E5" w14:textId="56401891" w:rsidR="00A81C4F" w:rsidRDefault="00A81C4F" w:rsidP="00A81C4F">
      <w:pPr>
        <w:pStyle w:val="Heading3"/>
      </w:pPr>
      <w:r w:rsidRPr="001E5801">
        <w:lastRenderedPageBreak/>
        <w:t>Service area: Passenger Transport Services</w:t>
      </w:r>
    </w:p>
    <w:p w14:paraId="5BBA0537" w14:textId="77777777" w:rsidR="00A81C4F" w:rsidRPr="001E5801" w:rsidRDefault="00A81C4F" w:rsidP="00A81C4F">
      <w:pPr>
        <w:pStyle w:val="Heading4"/>
      </w:pPr>
      <w:r w:rsidRPr="001E5801">
        <w:t>Service area objective</w:t>
      </w:r>
    </w:p>
    <w:p w14:paraId="0A6705D2" w14:textId="77777777" w:rsidR="00A81C4F" w:rsidRPr="00020EF5" w:rsidRDefault="00A81C4F" w:rsidP="00A81C4F">
      <w:r w:rsidRPr="00020EF5">
        <w:t>To connect Queensland through reliable and accessible passenger transport services.</w:t>
      </w:r>
    </w:p>
    <w:p w14:paraId="2D56FFEA" w14:textId="77777777" w:rsidR="00A81C4F" w:rsidRDefault="00A81C4F" w:rsidP="00A81C4F">
      <w:pPr>
        <w:pStyle w:val="TableofFigures"/>
      </w:pPr>
      <w:r w:rsidRPr="000A4CE2">
        <w:t xml:space="preserve">Table </w:t>
      </w:r>
      <w:r>
        <w:t>34: Passenger Transport Services e</w:t>
      </w:r>
      <w:r w:rsidRPr="00220FB9">
        <w:t>ffectiveness measure</w:t>
      </w:r>
      <w:r>
        <w:t xml:space="preserve">s: </w:t>
      </w:r>
      <w:r w:rsidRPr="002B536B">
        <w:t>Patronage on government contracted services (millions)</w:t>
      </w:r>
      <w:r>
        <w:t>—</w:t>
      </w:r>
      <w:r w:rsidRPr="002B536B">
        <w:t>South</w:t>
      </w:r>
      <w:r>
        <w:t xml:space="preserve"> </w:t>
      </w:r>
      <w:r w:rsidRPr="002B536B">
        <w:t xml:space="preserve">East Queensland </w:t>
      </w:r>
    </w:p>
    <w:tbl>
      <w:tblPr>
        <w:tblStyle w:val="GridTable4-Accent1"/>
        <w:tblW w:w="0" w:type="auto"/>
        <w:tblLayout w:type="fixed"/>
        <w:tblLook w:val="04E0" w:firstRow="1" w:lastRow="1" w:firstColumn="1" w:lastColumn="0" w:noHBand="0" w:noVBand="1"/>
      </w:tblPr>
      <w:tblGrid>
        <w:gridCol w:w="6096"/>
        <w:gridCol w:w="850"/>
        <w:gridCol w:w="1701"/>
        <w:gridCol w:w="1557"/>
      </w:tblGrid>
      <w:tr w:rsidR="00A81C4F" w:rsidRPr="000A4CE2" w14:paraId="18C94A6C" w14:textId="77777777" w:rsidTr="000232F5">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6096" w:type="dxa"/>
          </w:tcPr>
          <w:p w14:paraId="7DA47771" w14:textId="77777777" w:rsidR="00A81C4F" w:rsidRPr="00020EF5" w:rsidRDefault="00A81C4F" w:rsidP="00387B2A">
            <w:pPr>
              <w:pStyle w:val="Normal-table"/>
            </w:pPr>
            <w:r w:rsidRPr="00EB1A71">
              <w:t>Service standards</w:t>
            </w:r>
          </w:p>
        </w:tc>
        <w:tc>
          <w:tcPr>
            <w:tcW w:w="850" w:type="dxa"/>
          </w:tcPr>
          <w:p w14:paraId="2987162D"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rsidRPr="00EB1A71">
              <w:t>Notes</w:t>
            </w:r>
          </w:p>
        </w:tc>
        <w:tc>
          <w:tcPr>
            <w:tcW w:w="1701" w:type="dxa"/>
          </w:tcPr>
          <w:p w14:paraId="3E6A7405"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Target / Estimate</w:t>
            </w:r>
          </w:p>
        </w:tc>
        <w:tc>
          <w:tcPr>
            <w:tcW w:w="1557" w:type="dxa"/>
          </w:tcPr>
          <w:p w14:paraId="14F1BC16"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Actual</w:t>
            </w:r>
          </w:p>
        </w:tc>
      </w:tr>
      <w:tr w:rsidR="00A81C4F" w:rsidRPr="000A4CE2" w14:paraId="5F61B44C" w14:textId="77777777" w:rsidTr="000232F5">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6" w:type="dxa"/>
          </w:tcPr>
          <w:p w14:paraId="7D38CE13" w14:textId="77777777" w:rsidR="00A81C4F" w:rsidRPr="00020EF5" w:rsidRDefault="00A81C4F" w:rsidP="00387B2A">
            <w:pPr>
              <w:pStyle w:val="Normal-table"/>
            </w:pPr>
            <w:r>
              <w:t>South</w:t>
            </w:r>
            <w:r w:rsidRPr="00020EF5">
              <w:t>-East Queensland:</w:t>
            </w:r>
          </w:p>
        </w:tc>
        <w:tc>
          <w:tcPr>
            <w:tcW w:w="850" w:type="dxa"/>
          </w:tcPr>
          <w:p w14:paraId="07469BA1"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p>
        </w:tc>
        <w:tc>
          <w:tcPr>
            <w:tcW w:w="1701" w:type="dxa"/>
          </w:tcPr>
          <w:p w14:paraId="3ACD122E"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p>
        </w:tc>
        <w:tc>
          <w:tcPr>
            <w:tcW w:w="1557" w:type="dxa"/>
          </w:tcPr>
          <w:p w14:paraId="683F4C5F"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p>
        </w:tc>
      </w:tr>
      <w:tr w:rsidR="00A81C4F" w:rsidRPr="000A4CE2" w14:paraId="5756F5E4" w14:textId="77777777" w:rsidTr="000232F5">
        <w:trPr>
          <w:trHeight w:val="60"/>
        </w:trPr>
        <w:tc>
          <w:tcPr>
            <w:cnfStyle w:val="001000000000" w:firstRow="0" w:lastRow="0" w:firstColumn="1" w:lastColumn="0" w:oddVBand="0" w:evenVBand="0" w:oddHBand="0" w:evenHBand="0" w:firstRowFirstColumn="0" w:firstRowLastColumn="0" w:lastRowFirstColumn="0" w:lastRowLastColumn="0"/>
            <w:tcW w:w="6096" w:type="dxa"/>
          </w:tcPr>
          <w:p w14:paraId="424EB501" w14:textId="77777777" w:rsidR="00A81C4F" w:rsidRPr="00020EF5" w:rsidRDefault="00A81C4F" w:rsidP="00387B2A">
            <w:pPr>
              <w:pStyle w:val="Normal-table"/>
            </w:pPr>
            <w:r w:rsidRPr="00020EF5">
              <w:t>Bus</w:t>
            </w:r>
          </w:p>
        </w:tc>
        <w:tc>
          <w:tcPr>
            <w:tcW w:w="850" w:type="dxa"/>
          </w:tcPr>
          <w:p w14:paraId="6082C8B2" w14:textId="77777777" w:rsidR="00A81C4F" w:rsidRPr="000A4CE2" w:rsidRDefault="00A81C4F" w:rsidP="00387B2A">
            <w:pPr>
              <w:pStyle w:val="Normal-table"/>
              <w:cnfStyle w:val="000000000000" w:firstRow="0" w:lastRow="0" w:firstColumn="0" w:lastColumn="0" w:oddVBand="0" w:evenVBand="0" w:oddHBand="0" w:evenHBand="0" w:firstRowFirstColumn="0" w:firstRowLastColumn="0" w:lastRowFirstColumn="0" w:lastRowLastColumn="0"/>
            </w:pPr>
          </w:p>
        </w:tc>
        <w:tc>
          <w:tcPr>
            <w:tcW w:w="1701" w:type="dxa"/>
          </w:tcPr>
          <w:p w14:paraId="145A2CA2" w14:textId="77777777" w:rsidR="00A81C4F" w:rsidRPr="00020EF5"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rsidRPr="006411AE">
              <w:t>93.3</w:t>
            </w:r>
            <w:r w:rsidRPr="00020EF5">
              <w:t>6</w:t>
            </w:r>
          </w:p>
        </w:tc>
        <w:tc>
          <w:tcPr>
            <w:tcW w:w="1557" w:type="dxa"/>
          </w:tcPr>
          <w:p w14:paraId="626EFFC4" w14:textId="77777777" w:rsidR="00A81C4F" w:rsidRPr="00020EF5"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t>97.18</w:t>
            </w:r>
          </w:p>
        </w:tc>
      </w:tr>
      <w:tr w:rsidR="00A81C4F" w:rsidRPr="000A4CE2" w14:paraId="6EA7E9E8" w14:textId="77777777" w:rsidTr="000232F5">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6" w:type="dxa"/>
          </w:tcPr>
          <w:p w14:paraId="3E24170D" w14:textId="77777777" w:rsidR="00A81C4F" w:rsidRPr="00020EF5" w:rsidRDefault="00A81C4F" w:rsidP="00387B2A">
            <w:pPr>
              <w:pStyle w:val="Normal-table"/>
            </w:pPr>
            <w:r w:rsidRPr="00020EF5">
              <w:t>Rail</w:t>
            </w:r>
          </w:p>
        </w:tc>
        <w:tc>
          <w:tcPr>
            <w:tcW w:w="850" w:type="dxa"/>
          </w:tcPr>
          <w:p w14:paraId="099524CB" w14:textId="77777777" w:rsidR="00A81C4F" w:rsidRPr="000A4CE2" w:rsidRDefault="00A81C4F" w:rsidP="00387B2A">
            <w:pPr>
              <w:pStyle w:val="Normal-table"/>
              <w:cnfStyle w:val="000000100000" w:firstRow="0" w:lastRow="0" w:firstColumn="0" w:lastColumn="0" w:oddVBand="0" w:evenVBand="0" w:oddHBand="1" w:evenHBand="0" w:firstRowFirstColumn="0" w:firstRowLastColumn="0" w:lastRowFirstColumn="0" w:lastRowLastColumn="0"/>
            </w:pPr>
          </w:p>
        </w:tc>
        <w:tc>
          <w:tcPr>
            <w:tcW w:w="1701" w:type="dxa"/>
          </w:tcPr>
          <w:p w14:paraId="39B135C5"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43.04</w:t>
            </w:r>
          </w:p>
        </w:tc>
        <w:tc>
          <w:tcPr>
            <w:tcW w:w="1557" w:type="dxa"/>
          </w:tcPr>
          <w:p w14:paraId="5E689EFB"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41.45</w:t>
            </w:r>
          </w:p>
        </w:tc>
      </w:tr>
      <w:tr w:rsidR="00A81C4F" w:rsidRPr="000A4CE2" w14:paraId="00758FE0" w14:textId="77777777" w:rsidTr="000232F5">
        <w:trPr>
          <w:trHeight w:val="60"/>
        </w:trPr>
        <w:tc>
          <w:tcPr>
            <w:cnfStyle w:val="001000000000" w:firstRow="0" w:lastRow="0" w:firstColumn="1" w:lastColumn="0" w:oddVBand="0" w:evenVBand="0" w:oddHBand="0" w:evenHBand="0" w:firstRowFirstColumn="0" w:firstRowLastColumn="0" w:lastRowFirstColumn="0" w:lastRowLastColumn="0"/>
            <w:tcW w:w="6096" w:type="dxa"/>
          </w:tcPr>
          <w:p w14:paraId="3AC56A9C" w14:textId="77777777" w:rsidR="00A81C4F" w:rsidRPr="00020EF5" w:rsidRDefault="00A81C4F" w:rsidP="00387B2A">
            <w:pPr>
              <w:pStyle w:val="Normal-table"/>
            </w:pPr>
            <w:r w:rsidRPr="00020EF5">
              <w:t>Tram</w:t>
            </w:r>
          </w:p>
        </w:tc>
        <w:tc>
          <w:tcPr>
            <w:tcW w:w="850" w:type="dxa"/>
          </w:tcPr>
          <w:p w14:paraId="4297A9EE" w14:textId="77777777" w:rsidR="00A81C4F" w:rsidRPr="000A4CE2" w:rsidRDefault="00A81C4F" w:rsidP="00387B2A">
            <w:pPr>
              <w:pStyle w:val="Normal-table"/>
              <w:cnfStyle w:val="000000000000" w:firstRow="0" w:lastRow="0" w:firstColumn="0" w:lastColumn="0" w:oddVBand="0" w:evenVBand="0" w:oddHBand="0" w:evenHBand="0" w:firstRowFirstColumn="0" w:firstRowLastColumn="0" w:lastRowFirstColumn="0" w:lastRowLastColumn="0"/>
            </w:pPr>
          </w:p>
        </w:tc>
        <w:tc>
          <w:tcPr>
            <w:tcW w:w="1701" w:type="dxa"/>
          </w:tcPr>
          <w:p w14:paraId="4F5EDF55" w14:textId="77777777" w:rsidR="00A81C4F" w:rsidRPr="00020EF5"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rsidRPr="00B3179F">
              <w:t>8.7</w:t>
            </w:r>
            <w:r w:rsidRPr="00020EF5">
              <w:t>4</w:t>
            </w:r>
          </w:p>
        </w:tc>
        <w:tc>
          <w:tcPr>
            <w:tcW w:w="1557" w:type="dxa"/>
          </w:tcPr>
          <w:p w14:paraId="05AAB1D9" w14:textId="77777777" w:rsidR="00A81C4F" w:rsidRPr="00020EF5"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t>10.39</w:t>
            </w:r>
          </w:p>
        </w:tc>
      </w:tr>
      <w:tr w:rsidR="00A81C4F" w:rsidRPr="000A4CE2" w14:paraId="0B288639" w14:textId="77777777" w:rsidTr="000232F5">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6" w:type="dxa"/>
          </w:tcPr>
          <w:p w14:paraId="391D4723" w14:textId="77777777" w:rsidR="00A81C4F" w:rsidRPr="00020EF5" w:rsidRDefault="00A81C4F" w:rsidP="00387B2A">
            <w:pPr>
              <w:pStyle w:val="Normal-table"/>
            </w:pPr>
            <w:r w:rsidRPr="00020EF5">
              <w:t>Ferry</w:t>
            </w:r>
          </w:p>
        </w:tc>
        <w:tc>
          <w:tcPr>
            <w:tcW w:w="850" w:type="dxa"/>
          </w:tcPr>
          <w:p w14:paraId="333EDD7D" w14:textId="77777777" w:rsidR="00A81C4F" w:rsidRPr="000A4CE2" w:rsidRDefault="00A81C4F" w:rsidP="00387B2A">
            <w:pPr>
              <w:pStyle w:val="Normal-table"/>
              <w:cnfStyle w:val="000000100000" w:firstRow="0" w:lastRow="0" w:firstColumn="0" w:lastColumn="0" w:oddVBand="0" w:evenVBand="0" w:oddHBand="1" w:evenHBand="0" w:firstRowFirstColumn="0" w:firstRowLastColumn="0" w:lastRowFirstColumn="0" w:lastRowLastColumn="0"/>
            </w:pPr>
          </w:p>
        </w:tc>
        <w:tc>
          <w:tcPr>
            <w:tcW w:w="1701" w:type="dxa"/>
          </w:tcPr>
          <w:p w14:paraId="0DC3C633"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4.04</w:t>
            </w:r>
          </w:p>
        </w:tc>
        <w:tc>
          <w:tcPr>
            <w:tcW w:w="1557" w:type="dxa"/>
          </w:tcPr>
          <w:p w14:paraId="2A975870"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4.23</w:t>
            </w:r>
          </w:p>
        </w:tc>
      </w:tr>
      <w:tr w:rsidR="00A81C4F" w:rsidRPr="000A4CE2" w14:paraId="2DEF5457" w14:textId="77777777" w:rsidTr="000232F5">
        <w:trPr>
          <w:cnfStyle w:val="010000000000" w:firstRow="0" w:lastRow="1"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6" w:type="dxa"/>
          </w:tcPr>
          <w:p w14:paraId="2CB201C3" w14:textId="77777777" w:rsidR="00A81C4F" w:rsidRDefault="00A81C4F" w:rsidP="00387B2A">
            <w:pPr>
              <w:pStyle w:val="Normal-table"/>
            </w:pPr>
            <w:r>
              <w:t>South</w:t>
            </w:r>
            <w:r w:rsidRPr="00020EF5">
              <w:t>-East Queensland</w:t>
            </w:r>
            <w:r>
              <w:t xml:space="preserve"> total</w:t>
            </w:r>
          </w:p>
        </w:tc>
        <w:tc>
          <w:tcPr>
            <w:tcW w:w="850" w:type="dxa"/>
          </w:tcPr>
          <w:p w14:paraId="43FA7380" w14:textId="77777777" w:rsidR="00A81C4F" w:rsidRPr="000A4CE2" w:rsidRDefault="00A81C4F" w:rsidP="00387B2A">
            <w:pPr>
              <w:pStyle w:val="Normal-table"/>
              <w:cnfStyle w:val="010000000000" w:firstRow="0" w:lastRow="1" w:firstColumn="0" w:lastColumn="0" w:oddVBand="0" w:evenVBand="0" w:oddHBand="0" w:evenHBand="0" w:firstRowFirstColumn="0" w:firstRowLastColumn="0" w:lastRowFirstColumn="0" w:lastRowLastColumn="0"/>
            </w:pPr>
            <w:r>
              <w:t>1</w:t>
            </w:r>
          </w:p>
        </w:tc>
        <w:tc>
          <w:tcPr>
            <w:tcW w:w="1701" w:type="dxa"/>
          </w:tcPr>
          <w:p w14:paraId="7A2DD149" w14:textId="77777777" w:rsidR="00A81C4F" w:rsidRDefault="00A81C4F" w:rsidP="00387B2A">
            <w:pPr>
              <w:pStyle w:val="Normal-table"/>
              <w:cnfStyle w:val="010000000000" w:firstRow="0" w:lastRow="1" w:firstColumn="0" w:lastColumn="0" w:oddVBand="0" w:evenVBand="0" w:oddHBand="0" w:evenHBand="0" w:firstRowFirstColumn="0" w:firstRowLastColumn="0" w:lastRowFirstColumn="0" w:lastRowLastColumn="0"/>
            </w:pPr>
            <w:r>
              <w:t>149.1</w:t>
            </w:r>
            <w:r w:rsidRPr="00020EF5">
              <w:t>8</w:t>
            </w:r>
          </w:p>
        </w:tc>
        <w:tc>
          <w:tcPr>
            <w:tcW w:w="1557" w:type="dxa"/>
          </w:tcPr>
          <w:p w14:paraId="4AC2CAEA" w14:textId="77777777" w:rsidR="00A81C4F" w:rsidRDefault="00A81C4F" w:rsidP="00387B2A">
            <w:pPr>
              <w:pStyle w:val="Normal-table"/>
              <w:cnfStyle w:val="010000000000" w:firstRow="0" w:lastRow="1" w:firstColumn="0" w:lastColumn="0" w:oddVBand="0" w:evenVBand="0" w:oddHBand="0" w:evenHBand="0" w:firstRowFirstColumn="0" w:firstRowLastColumn="0" w:lastRowFirstColumn="0" w:lastRowLastColumn="0"/>
            </w:pPr>
            <w:r>
              <w:t>153.25</w:t>
            </w:r>
          </w:p>
        </w:tc>
      </w:tr>
    </w:tbl>
    <w:p w14:paraId="51836592" w14:textId="77777777" w:rsidR="00A81C4F" w:rsidRDefault="00A81C4F" w:rsidP="00A81C4F"/>
    <w:p w14:paraId="38DC7552" w14:textId="77777777" w:rsidR="00A81C4F" w:rsidRDefault="00A81C4F" w:rsidP="00A81C4F">
      <w:pPr>
        <w:pStyle w:val="TableofFigures"/>
      </w:pPr>
      <w:r w:rsidRPr="000A4CE2">
        <w:t xml:space="preserve">Table </w:t>
      </w:r>
      <w:r>
        <w:t>35: Passenger Transport Services e</w:t>
      </w:r>
      <w:r w:rsidRPr="00220FB9">
        <w:t>ffectiveness measure</w:t>
      </w:r>
      <w:r>
        <w:t xml:space="preserve">s: </w:t>
      </w:r>
      <w:r w:rsidRPr="00EA2125">
        <w:t>Patronage on government contracted services (millions)</w:t>
      </w:r>
      <w:r>
        <w:t>—</w:t>
      </w:r>
      <w:r w:rsidRPr="00EA2125">
        <w:t xml:space="preserve">Rest of Queensland </w:t>
      </w:r>
    </w:p>
    <w:tbl>
      <w:tblPr>
        <w:tblStyle w:val="GridTable4-Accent1"/>
        <w:tblW w:w="0" w:type="auto"/>
        <w:tblLayout w:type="fixed"/>
        <w:tblLook w:val="04E0" w:firstRow="1" w:lastRow="1" w:firstColumn="1" w:lastColumn="0" w:noHBand="0" w:noVBand="1"/>
      </w:tblPr>
      <w:tblGrid>
        <w:gridCol w:w="6096"/>
        <w:gridCol w:w="850"/>
        <w:gridCol w:w="1701"/>
        <w:gridCol w:w="1557"/>
      </w:tblGrid>
      <w:tr w:rsidR="00A81C4F" w:rsidRPr="000A4CE2" w14:paraId="652E6868" w14:textId="77777777" w:rsidTr="000232F5">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6096" w:type="dxa"/>
          </w:tcPr>
          <w:p w14:paraId="7C8D981D" w14:textId="77777777" w:rsidR="00A81C4F" w:rsidRPr="00020EF5" w:rsidRDefault="00A81C4F" w:rsidP="00387B2A">
            <w:pPr>
              <w:pStyle w:val="Normal-table"/>
            </w:pPr>
            <w:r w:rsidRPr="00EB1A71">
              <w:t>Service standards</w:t>
            </w:r>
          </w:p>
        </w:tc>
        <w:tc>
          <w:tcPr>
            <w:tcW w:w="850" w:type="dxa"/>
          </w:tcPr>
          <w:p w14:paraId="5F117BC2"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rsidRPr="00EB1A71">
              <w:t>Notes</w:t>
            </w:r>
          </w:p>
        </w:tc>
        <w:tc>
          <w:tcPr>
            <w:tcW w:w="1701" w:type="dxa"/>
          </w:tcPr>
          <w:p w14:paraId="3CC5989E"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Target / Estimate</w:t>
            </w:r>
          </w:p>
        </w:tc>
        <w:tc>
          <w:tcPr>
            <w:tcW w:w="1557" w:type="dxa"/>
          </w:tcPr>
          <w:p w14:paraId="037CC8C2"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Actual</w:t>
            </w:r>
          </w:p>
        </w:tc>
      </w:tr>
      <w:tr w:rsidR="00A81C4F" w:rsidRPr="000A4CE2" w14:paraId="6465588F" w14:textId="77777777" w:rsidTr="000232F5">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6" w:type="dxa"/>
          </w:tcPr>
          <w:p w14:paraId="406844E2" w14:textId="77777777" w:rsidR="00A81C4F" w:rsidRPr="00020EF5" w:rsidRDefault="00A81C4F" w:rsidP="00387B2A">
            <w:pPr>
              <w:pStyle w:val="Normal-table"/>
            </w:pPr>
            <w:r w:rsidRPr="00020EF5">
              <w:t>Regional air</w:t>
            </w:r>
          </w:p>
        </w:tc>
        <w:tc>
          <w:tcPr>
            <w:tcW w:w="850" w:type="dxa"/>
          </w:tcPr>
          <w:p w14:paraId="7B27698A"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2</w:t>
            </w:r>
          </w:p>
        </w:tc>
        <w:tc>
          <w:tcPr>
            <w:tcW w:w="1701" w:type="dxa"/>
          </w:tcPr>
          <w:p w14:paraId="3208D25D"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0.14</w:t>
            </w:r>
          </w:p>
        </w:tc>
        <w:tc>
          <w:tcPr>
            <w:tcW w:w="1557" w:type="dxa"/>
          </w:tcPr>
          <w:p w14:paraId="177AFDBF"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0.15</w:t>
            </w:r>
          </w:p>
        </w:tc>
      </w:tr>
      <w:tr w:rsidR="00A81C4F" w:rsidRPr="000A4CE2" w14:paraId="453EC5C5" w14:textId="77777777" w:rsidTr="000232F5">
        <w:trPr>
          <w:trHeight w:val="60"/>
        </w:trPr>
        <w:tc>
          <w:tcPr>
            <w:cnfStyle w:val="001000000000" w:firstRow="0" w:lastRow="0" w:firstColumn="1" w:lastColumn="0" w:oddVBand="0" w:evenVBand="0" w:oddHBand="0" w:evenHBand="0" w:firstRowFirstColumn="0" w:firstRowLastColumn="0" w:lastRowFirstColumn="0" w:lastRowLastColumn="0"/>
            <w:tcW w:w="6096" w:type="dxa"/>
          </w:tcPr>
          <w:p w14:paraId="1F034D6D" w14:textId="77777777" w:rsidR="00A81C4F" w:rsidRPr="00020EF5" w:rsidRDefault="00A81C4F" w:rsidP="00387B2A">
            <w:pPr>
              <w:pStyle w:val="Normal-table"/>
            </w:pPr>
            <w:r w:rsidRPr="00020EF5">
              <w:t xml:space="preserve">Long distance bus </w:t>
            </w:r>
          </w:p>
        </w:tc>
        <w:tc>
          <w:tcPr>
            <w:tcW w:w="850" w:type="dxa"/>
          </w:tcPr>
          <w:p w14:paraId="5CBE2284" w14:textId="77777777" w:rsidR="00A81C4F" w:rsidRPr="000A4CE2" w:rsidRDefault="00A81C4F" w:rsidP="00387B2A">
            <w:pPr>
              <w:pStyle w:val="Normal-table"/>
              <w:cnfStyle w:val="000000000000" w:firstRow="0" w:lastRow="0" w:firstColumn="0" w:lastColumn="0" w:oddVBand="0" w:evenVBand="0" w:oddHBand="0" w:evenHBand="0" w:firstRowFirstColumn="0" w:firstRowLastColumn="0" w:lastRowFirstColumn="0" w:lastRowLastColumn="0"/>
            </w:pPr>
          </w:p>
        </w:tc>
        <w:tc>
          <w:tcPr>
            <w:tcW w:w="1701" w:type="dxa"/>
          </w:tcPr>
          <w:p w14:paraId="053F0C94" w14:textId="77777777" w:rsidR="00A81C4F" w:rsidRPr="00020EF5"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rsidRPr="000143F8">
              <w:t>0.06</w:t>
            </w:r>
          </w:p>
        </w:tc>
        <w:tc>
          <w:tcPr>
            <w:tcW w:w="1557" w:type="dxa"/>
          </w:tcPr>
          <w:p w14:paraId="5ED24F73" w14:textId="77777777" w:rsidR="00A81C4F" w:rsidRPr="00020EF5"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t>0.08</w:t>
            </w:r>
          </w:p>
        </w:tc>
      </w:tr>
      <w:tr w:rsidR="00A81C4F" w:rsidRPr="000A4CE2" w14:paraId="4E0B8894" w14:textId="77777777" w:rsidTr="000232F5">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6" w:type="dxa"/>
          </w:tcPr>
          <w:p w14:paraId="1435EBFD" w14:textId="77777777" w:rsidR="00A81C4F" w:rsidRPr="00020EF5" w:rsidRDefault="00A81C4F" w:rsidP="00387B2A">
            <w:pPr>
              <w:pStyle w:val="Normal-table"/>
            </w:pPr>
            <w:r w:rsidRPr="00020EF5">
              <w:t xml:space="preserve">Regional urban bus </w:t>
            </w:r>
          </w:p>
        </w:tc>
        <w:tc>
          <w:tcPr>
            <w:tcW w:w="850" w:type="dxa"/>
          </w:tcPr>
          <w:p w14:paraId="73AAFF15" w14:textId="77777777" w:rsidR="00A81C4F" w:rsidRPr="000A4CE2" w:rsidRDefault="00A81C4F" w:rsidP="00387B2A">
            <w:pPr>
              <w:pStyle w:val="Normal-table"/>
              <w:cnfStyle w:val="000000100000" w:firstRow="0" w:lastRow="0" w:firstColumn="0" w:lastColumn="0" w:oddVBand="0" w:evenVBand="0" w:oddHBand="1" w:evenHBand="0" w:firstRowFirstColumn="0" w:firstRowLastColumn="0" w:lastRowFirstColumn="0" w:lastRowLastColumn="0"/>
            </w:pPr>
          </w:p>
        </w:tc>
        <w:tc>
          <w:tcPr>
            <w:tcW w:w="1701" w:type="dxa"/>
          </w:tcPr>
          <w:p w14:paraId="0208AEFC"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7.80</w:t>
            </w:r>
          </w:p>
        </w:tc>
        <w:tc>
          <w:tcPr>
            <w:tcW w:w="1557" w:type="dxa"/>
          </w:tcPr>
          <w:p w14:paraId="222DB1D2"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9.18</w:t>
            </w:r>
          </w:p>
        </w:tc>
      </w:tr>
      <w:tr w:rsidR="00A81C4F" w:rsidRPr="000A4CE2" w14:paraId="030E1E01" w14:textId="77777777" w:rsidTr="000232F5">
        <w:trPr>
          <w:trHeight w:val="60"/>
        </w:trPr>
        <w:tc>
          <w:tcPr>
            <w:cnfStyle w:val="001000000000" w:firstRow="0" w:lastRow="0" w:firstColumn="1" w:lastColumn="0" w:oddVBand="0" w:evenVBand="0" w:oddHBand="0" w:evenHBand="0" w:firstRowFirstColumn="0" w:firstRowLastColumn="0" w:lastRowFirstColumn="0" w:lastRowLastColumn="0"/>
            <w:tcW w:w="6096" w:type="dxa"/>
          </w:tcPr>
          <w:p w14:paraId="2B836497" w14:textId="77777777" w:rsidR="00A81C4F" w:rsidRPr="00020EF5" w:rsidRDefault="00A81C4F" w:rsidP="00387B2A">
            <w:pPr>
              <w:pStyle w:val="Normal-table"/>
            </w:pPr>
            <w:r w:rsidRPr="00020EF5">
              <w:t>Traveltrain</w:t>
            </w:r>
          </w:p>
        </w:tc>
        <w:tc>
          <w:tcPr>
            <w:tcW w:w="850" w:type="dxa"/>
          </w:tcPr>
          <w:p w14:paraId="6AB6D1FD" w14:textId="77777777" w:rsidR="00A81C4F" w:rsidRPr="000A4CE2" w:rsidRDefault="00A81C4F" w:rsidP="00387B2A">
            <w:pPr>
              <w:pStyle w:val="Normal-table"/>
              <w:cnfStyle w:val="000000000000" w:firstRow="0" w:lastRow="0" w:firstColumn="0" w:lastColumn="0" w:oddVBand="0" w:evenVBand="0" w:oddHBand="0" w:evenHBand="0" w:firstRowFirstColumn="0" w:firstRowLastColumn="0" w:lastRowFirstColumn="0" w:lastRowLastColumn="0"/>
            </w:pPr>
          </w:p>
        </w:tc>
        <w:tc>
          <w:tcPr>
            <w:tcW w:w="1701" w:type="dxa"/>
          </w:tcPr>
          <w:p w14:paraId="02A2CEA6" w14:textId="77777777" w:rsidR="00A81C4F" w:rsidRPr="00020EF5"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t>0.27</w:t>
            </w:r>
          </w:p>
        </w:tc>
        <w:tc>
          <w:tcPr>
            <w:tcW w:w="1557" w:type="dxa"/>
          </w:tcPr>
          <w:p w14:paraId="3ADE73D2" w14:textId="77777777" w:rsidR="00A81C4F" w:rsidRPr="00020EF5"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t>0.34</w:t>
            </w:r>
          </w:p>
        </w:tc>
      </w:tr>
      <w:tr w:rsidR="00A81C4F" w:rsidRPr="000A4CE2" w14:paraId="1495B431" w14:textId="77777777" w:rsidTr="000232F5">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6" w:type="dxa"/>
          </w:tcPr>
          <w:p w14:paraId="4FA1C742" w14:textId="77777777" w:rsidR="00A81C4F" w:rsidRPr="00020EF5" w:rsidRDefault="00A81C4F" w:rsidP="00387B2A">
            <w:pPr>
              <w:pStyle w:val="Normal-table"/>
            </w:pPr>
            <w:r w:rsidRPr="00020EF5">
              <w:t>Regional ferry</w:t>
            </w:r>
          </w:p>
        </w:tc>
        <w:tc>
          <w:tcPr>
            <w:tcW w:w="850" w:type="dxa"/>
          </w:tcPr>
          <w:p w14:paraId="0C65FFFB" w14:textId="77777777" w:rsidR="00A81C4F" w:rsidRPr="000A4CE2" w:rsidRDefault="00A81C4F" w:rsidP="00387B2A">
            <w:pPr>
              <w:pStyle w:val="Normal-table"/>
              <w:cnfStyle w:val="000000100000" w:firstRow="0" w:lastRow="0" w:firstColumn="0" w:lastColumn="0" w:oddVBand="0" w:evenVBand="0" w:oddHBand="1" w:evenHBand="0" w:firstRowFirstColumn="0" w:firstRowLastColumn="0" w:lastRowFirstColumn="0" w:lastRowLastColumn="0"/>
            </w:pPr>
          </w:p>
        </w:tc>
        <w:tc>
          <w:tcPr>
            <w:tcW w:w="1701" w:type="dxa"/>
          </w:tcPr>
          <w:p w14:paraId="4019F1DD"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2.02</w:t>
            </w:r>
          </w:p>
        </w:tc>
        <w:tc>
          <w:tcPr>
            <w:tcW w:w="1557" w:type="dxa"/>
          </w:tcPr>
          <w:p w14:paraId="3E606F2C"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2.31</w:t>
            </w:r>
          </w:p>
        </w:tc>
      </w:tr>
      <w:tr w:rsidR="00A81C4F" w:rsidRPr="000A4CE2" w14:paraId="7A4A1B1D" w14:textId="77777777" w:rsidTr="000232F5">
        <w:trPr>
          <w:cnfStyle w:val="010000000000" w:firstRow="0" w:lastRow="1"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6" w:type="dxa"/>
          </w:tcPr>
          <w:p w14:paraId="4E2E8109" w14:textId="77777777" w:rsidR="00A81C4F" w:rsidRDefault="00A81C4F" w:rsidP="00387B2A">
            <w:pPr>
              <w:pStyle w:val="Normal-table"/>
            </w:pPr>
            <w:r>
              <w:t xml:space="preserve">Rest of </w:t>
            </w:r>
            <w:r w:rsidRPr="00020EF5">
              <w:t>Queenslan</w:t>
            </w:r>
            <w:r>
              <w:t>d total</w:t>
            </w:r>
          </w:p>
        </w:tc>
        <w:tc>
          <w:tcPr>
            <w:tcW w:w="850" w:type="dxa"/>
          </w:tcPr>
          <w:p w14:paraId="691909D0" w14:textId="77777777" w:rsidR="00A81C4F" w:rsidRPr="000A4CE2" w:rsidRDefault="00A81C4F" w:rsidP="00387B2A">
            <w:pPr>
              <w:pStyle w:val="Normal-table"/>
              <w:cnfStyle w:val="010000000000" w:firstRow="0" w:lastRow="1" w:firstColumn="0" w:lastColumn="0" w:oddVBand="0" w:evenVBand="0" w:oddHBand="0" w:evenHBand="0" w:firstRowFirstColumn="0" w:firstRowLastColumn="0" w:lastRowFirstColumn="0" w:lastRowLastColumn="0"/>
            </w:pPr>
            <w:r>
              <w:t>2</w:t>
            </w:r>
          </w:p>
        </w:tc>
        <w:tc>
          <w:tcPr>
            <w:tcW w:w="1701" w:type="dxa"/>
          </w:tcPr>
          <w:p w14:paraId="009A5EB6" w14:textId="77777777" w:rsidR="00A81C4F" w:rsidRDefault="00A81C4F" w:rsidP="00387B2A">
            <w:pPr>
              <w:pStyle w:val="Normal-table"/>
              <w:cnfStyle w:val="010000000000" w:firstRow="0" w:lastRow="1" w:firstColumn="0" w:lastColumn="0" w:oddVBand="0" w:evenVBand="0" w:oddHBand="0" w:evenHBand="0" w:firstRowFirstColumn="0" w:firstRowLastColumn="0" w:lastRowFirstColumn="0" w:lastRowLastColumn="0"/>
            </w:pPr>
            <w:r>
              <w:t>10.29</w:t>
            </w:r>
          </w:p>
        </w:tc>
        <w:tc>
          <w:tcPr>
            <w:tcW w:w="1557" w:type="dxa"/>
          </w:tcPr>
          <w:p w14:paraId="3D30200B" w14:textId="77777777" w:rsidR="00A81C4F" w:rsidRDefault="00A81C4F" w:rsidP="00387B2A">
            <w:pPr>
              <w:pStyle w:val="Normal-table"/>
              <w:cnfStyle w:val="010000000000" w:firstRow="0" w:lastRow="1" w:firstColumn="0" w:lastColumn="0" w:oddVBand="0" w:evenVBand="0" w:oddHBand="0" w:evenHBand="0" w:firstRowFirstColumn="0" w:firstRowLastColumn="0" w:lastRowFirstColumn="0" w:lastRowLastColumn="0"/>
            </w:pPr>
            <w:r>
              <w:t>12.06</w:t>
            </w:r>
          </w:p>
        </w:tc>
      </w:tr>
    </w:tbl>
    <w:p w14:paraId="07FF1A08" w14:textId="77777777" w:rsidR="00A81C4F" w:rsidRDefault="00A81C4F" w:rsidP="00A81C4F"/>
    <w:p w14:paraId="609646FF" w14:textId="77777777" w:rsidR="00A81C4F" w:rsidRDefault="00A81C4F" w:rsidP="00A81C4F">
      <w:pPr>
        <w:pStyle w:val="TableofFigures"/>
      </w:pPr>
      <w:r w:rsidRPr="000A4CE2">
        <w:t xml:space="preserve">Table </w:t>
      </w:r>
      <w:r>
        <w:t>36: Passenger Transport Services e</w:t>
      </w:r>
      <w:r w:rsidRPr="00220FB9">
        <w:t>ffectiveness measure</w:t>
      </w:r>
      <w:r>
        <w:t>s—Citytrain</w:t>
      </w:r>
      <w:r w:rsidRPr="00EA2125">
        <w:t xml:space="preserve"> </w:t>
      </w:r>
    </w:p>
    <w:tbl>
      <w:tblPr>
        <w:tblStyle w:val="GridTable4-Accent1"/>
        <w:tblW w:w="0" w:type="auto"/>
        <w:tblLayout w:type="fixed"/>
        <w:tblLook w:val="04A0" w:firstRow="1" w:lastRow="0" w:firstColumn="1" w:lastColumn="0" w:noHBand="0" w:noVBand="1"/>
      </w:tblPr>
      <w:tblGrid>
        <w:gridCol w:w="6096"/>
        <w:gridCol w:w="850"/>
        <w:gridCol w:w="1701"/>
        <w:gridCol w:w="1557"/>
      </w:tblGrid>
      <w:tr w:rsidR="00A81C4F" w:rsidRPr="000A4CE2" w14:paraId="0B8A4CA9" w14:textId="77777777" w:rsidTr="000232F5">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6096" w:type="dxa"/>
          </w:tcPr>
          <w:p w14:paraId="002E9748" w14:textId="77777777" w:rsidR="00A81C4F" w:rsidRPr="00020EF5" w:rsidRDefault="00A81C4F" w:rsidP="00387B2A">
            <w:pPr>
              <w:pStyle w:val="Normal-table"/>
            </w:pPr>
            <w:r w:rsidRPr="00EB1A71">
              <w:t xml:space="preserve">Service </w:t>
            </w:r>
            <w:r w:rsidRPr="00020EF5">
              <w:t>standards</w:t>
            </w:r>
          </w:p>
        </w:tc>
        <w:tc>
          <w:tcPr>
            <w:tcW w:w="850" w:type="dxa"/>
          </w:tcPr>
          <w:p w14:paraId="166E5530"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rsidRPr="00EB1A71">
              <w:t>Notes</w:t>
            </w:r>
          </w:p>
        </w:tc>
        <w:tc>
          <w:tcPr>
            <w:tcW w:w="1701" w:type="dxa"/>
          </w:tcPr>
          <w:p w14:paraId="21C6D67A"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Target / Estimate</w:t>
            </w:r>
          </w:p>
        </w:tc>
        <w:tc>
          <w:tcPr>
            <w:tcW w:w="1557" w:type="dxa"/>
          </w:tcPr>
          <w:p w14:paraId="641EC577"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Actual</w:t>
            </w:r>
          </w:p>
        </w:tc>
      </w:tr>
      <w:tr w:rsidR="00A81C4F" w:rsidRPr="000A4CE2" w14:paraId="34BE65F4" w14:textId="77777777" w:rsidTr="000232F5">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6" w:type="dxa"/>
          </w:tcPr>
          <w:p w14:paraId="53ABAE7C" w14:textId="77777777" w:rsidR="00A81C4F" w:rsidRPr="00020EF5" w:rsidRDefault="00A81C4F" w:rsidP="00387B2A">
            <w:pPr>
              <w:pStyle w:val="Normal-table"/>
            </w:pPr>
            <w:r w:rsidRPr="000143F8">
              <w:t xml:space="preserve">Average on-time running </w:t>
            </w:r>
            <w:r w:rsidRPr="00020EF5">
              <w:t>performance in peak times – Citytrain</w:t>
            </w:r>
          </w:p>
        </w:tc>
        <w:tc>
          <w:tcPr>
            <w:tcW w:w="850" w:type="dxa"/>
          </w:tcPr>
          <w:p w14:paraId="7C51A2A2"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3</w:t>
            </w:r>
          </w:p>
        </w:tc>
        <w:tc>
          <w:tcPr>
            <w:tcW w:w="1701" w:type="dxa"/>
          </w:tcPr>
          <w:p w14:paraId="62D92E04"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0143F8">
              <w:t>95.0%</w:t>
            </w:r>
          </w:p>
        </w:tc>
        <w:tc>
          <w:tcPr>
            <w:tcW w:w="1557" w:type="dxa"/>
          </w:tcPr>
          <w:p w14:paraId="40C73162"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91.65%</w:t>
            </w:r>
          </w:p>
        </w:tc>
      </w:tr>
      <w:tr w:rsidR="00A81C4F" w:rsidRPr="000A4CE2" w14:paraId="758B1140" w14:textId="77777777" w:rsidTr="000232F5">
        <w:trPr>
          <w:trHeight w:val="60"/>
        </w:trPr>
        <w:tc>
          <w:tcPr>
            <w:cnfStyle w:val="001000000000" w:firstRow="0" w:lastRow="0" w:firstColumn="1" w:lastColumn="0" w:oddVBand="0" w:evenVBand="0" w:oddHBand="0" w:evenHBand="0" w:firstRowFirstColumn="0" w:firstRowLastColumn="0" w:lastRowFirstColumn="0" w:lastRowLastColumn="0"/>
            <w:tcW w:w="6096" w:type="dxa"/>
          </w:tcPr>
          <w:p w14:paraId="075A03F5" w14:textId="77777777" w:rsidR="00A81C4F" w:rsidRPr="00020EF5" w:rsidRDefault="00A81C4F" w:rsidP="00387B2A">
            <w:pPr>
              <w:pStyle w:val="Normal-table"/>
            </w:pPr>
            <w:bookmarkStart w:id="63" w:name="_Hlk69472424"/>
            <w:r w:rsidRPr="000143F8">
              <w:t>Scheduled services delivered – Citytrain</w:t>
            </w:r>
            <w:bookmarkEnd w:id="63"/>
          </w:p>
        </w:tc>
        <w:tc>
          <w:tcPr>
            <w:tcW w:w="850" w:type="dxa"/>
          </w:tcPr>
          <w:p w14:paraId="235677F7" w14:textId="77777777" w:rsidR="00A81C4F" w:rsidRPr="00020EF5"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t>3</w:t>
            </w:r>
          </w:p>
        </w:tc>
        <w:tc>
          <w:tcPr>
            <w:tcW w:w="1701" w:type="dxa"/>
          </w:tcPr>
          <w:p w14:paraId="47450DC8" w14:textId="77777777" w:rsidR="00A81C4F" w:rsidRPr="00020EF5"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rsidRPr="000143F8">
              <w:t>99.5%</w:t>
            </w:r>
          </w:p>
        </w:tc>
        <w:tc>
          <w:tcPr>
            <w:tcW w:w="1557" w:type="dxa"/>
          </w:tcPr>
          <w:p w14:paraId="3F2E7D56" w14:textId="77777777" w:rsidR="00A81C4F" w:rsidRPr="00020EF5"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t>99.24%</w:t>
            </w:r>
          </w:p>
        </w:tc>
      </w:tr>
    </w:tbl>
    <w:p w14:paraId="7321A940" w14:textId="77777777" w:rsidR="00A81C4F" w:rsidRDefault="00A81C4F" w:rsidP="00A81C4F"/>
    <w:p w14:paraId="6D66F6C1" w14:textId="77777777" w:rsidR="00A81C4F" w:rsidRPr="000A4CE2" w:rsidRDefault="00A81C4F" w:rsidP="00A81C4F">
      <w:pPr>
        <w:pStyle w:val="TableofFigures"/>
      </w:pPr>
      <w:r w:rsidRPr="000A4CE2">
        <w:t xml:space="preserve">Table </w:t>
      </w:r>
      <w:r>
        <w:t>37: Passenger Transport Services efficiency measure</w:t>
      </w:r>
    </w:p>
    <w:tbl>
      <w:tblPr>
        <w:tblStyle w:val="GridTable4-Accent1"/>
        <w:tblW w:w="0" w:type="auto"/>
        <w:tblLayout w:type="fixed"/>
        <w:tblLook w:val="04A0" w:firstRow="1" w:lastRow="0" w:firstColumn="1" w:lastColumn="0" w:noHBand="0" w:noVBand="1"/>
      </w:tblPr>
      <w:tblGrid>
        <w:gridCol w:w="6096"/>
        <w:gridCol w:w="850"/>
        <w:gridCol w:w="1701"/>
        <w:gridCol w:w="1557"/>
      </w:tblGrid>
      <w:tr w:rsidR="00A81C4F" w:rsidRPr="000A4CE2" w14:paraId="5D822713" w14:textId="77777777" w:rsidTr="000232F5">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6096" w:type="dxa"/>
          </w:tcPr>
          <w:p w14:paraId="221549B8" w14:textId="77777777" w:rsidR="00A81C4F" w:rsidRPr="00020EF5" w:rsidRDefault="00A81C4F" w:rsidP="00387B2A">
            <w:pPr>
              <w:pStyle w:val="Normal-table"/>
            </w:pPr>
            <w:r w:rsidRPr="00EB1A71">
              <w:lastRenderedPageBreak/>
              <w:t>Service standards</w:t>
            </w:r>
          </w:p>
        </w:tc>
        <w:tc>
          <w:tcPr>
            <w:tcW w:w="850" w:type="dxa"/>
          </w:tcPr>
          <w:p w14:paraId="25B9D836"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rsidRPr="00EB1A71">
              <w:t>Notes</w:t>
            </w:r>
          </w:p>
        </w:tc>
        <w:tc>
          <w:tcPr>
            <w:tcW w:w="1701" w:type="dxa"/>
          </w:tcPr>
          <w:p w14:paraId="65A84437"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Target / Estimate</w:t>
            </w:r>
          </w:p>
        </w:tc>
        <w:tc>
          <w:tcPr>
            <w:tcW w:w="1557" w:type="dxa"/>
          </w:tcPr>
          <w:p w14:paraId="034DDF74"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Actual</w:t>
            </w:r>
          </w:p>
        </w:tc>
      </w:tr>
      <w:tr w:rsidR="00A81C4F" w:rsidRPr="000A4CE2" w14:paraId="5BE1668B" w14:textId="77777777" w:rsidTr="000232F5">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6" w:type="dxa"/>
          </w:tcPr>
          <w:p w14:paraId="6521FE1C" w14:textId="77777777" w:rsidR="00A81C4F" w:rsidRPr="00020EF5" w:rsidRDefault="00A81C4F" w:rsidP="00387B2A">
            <w:pPr>
              <w:pStyle w:val="Normal-table"/>
            </w:pPr>
            <w:r w:rsidRPr="000143F8">
              <w:t>Cost per passenger trip to administer statewide government contracted passenger transport service</w:t>
            </w:r>
            <w:r w:rsidRPr="00020EF5">
              <w:t>s</w:t>
            </w:r>
          </w:p>
        </w:tc>
        <w:tc>
          <w:tcPr>
            <w:tcW w:w="850" w:type="dxa"/>
          </w:tcPr>
          <w:p w14:paraId="641E72D4" w14:textId="77777777" w:rsidR="00A81C4F" w:rsidRPr="000A4CE2" w:rsidRDefault="00A81C4F" w:rsidP="00387B2A">
            <w:pPr>
              <w:pStyle w:val="Normal-table"/>
              <w:cnfStyle w:val="000000100000" w:firstRow="0" w:lastRow="0" w:firstColumn="0" w:lastColumn="0" w:oddVBand="0" w:evenVBand="0" w:oddHBand="1" w:evenHBand="0" w:firstRowFirstColumn="0" w:firstRowLastColumn="0" w:lastRowFirstColumn="0" w:lastRowLastColumn="0"/>
            </w:pPr>
          </w:p>
        </w:tc>
        <w:tc>
          <w:tcPr>
            <w:tcW w:w="1701" w:type="dxa"/>
          </w:tcPr>
          <w:p w14:paraId="7F28161D"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$20.36</w:t>
            </w:r>
          </w:p>
        </w:tc>
        <w:tc>
          <w:tcPr>
            <w:tcW w:w="1557" w:type="dxa"/>
          </w:tcPr>
          <w:p w14:paraId="3FE55457"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$19.47</w:t>
            </w:r>
          </w:p>
        </w:tc>
      </w:tr>
    </w:tbl>
    <w:p w14:paraId="1FEEF8B2" w14:textId="77777777" w:rsidR="00A81C4F" w:rsidRPr="008A2EED" w:rsidRDefault="00A81C4F" w:rsidP="00A81C4F">
      <w:pPr>
        <w:pStyle w:val="Caption"/>
      </w:pPr>
      <w:r w:rsidRPr="008A2EED">
        <w:t>Notes:</w:t>
      </w:r>
    </w:p>
    <w:p w14:paraId="2DC78E78" w14:textId="77777777" w:rsidR="00A81C4F" w:rsidRPr="00C76033" w:rsidRDefault="00A81C4F" w:rsidP="00A81C4F">
      <w:pPr>
        <w:pStyle w:val="Caption"/>
      </w:pPr>
      <w:r>
        <w:t xml:space="preserve">1. </w:t>
      </w:r>
      <w:r w:rsidRPr="00B16153">
        <w:t>South</w:t>
      </w:r>
      <w:r>
        <w:t>-</w:t>
      </w:r>
      <w:r w:rsidRPr="00B16153">
        <w:t>East Queensland 2022–23 Actual patronage of 15</w:t>
      </w:r>
      <w:r w:rsidRPr="00C76033">
        <w:t xml:space="preserve">3.25 million is 4.07 million trips above the 2022–23 Target/Estimate of 149.18 million, as the network continues to recover from the impacts of COVID-19. Tram was the best performing mode, supported by strong tourism demand on the Gold Coast. The return to an uninterrupted school year assisted bus in achieving a higher than targeted result. Rail is the only mode which came in under target. Rail continues to recover, but the recovery in the groups of Adult and Tertiary has been slower than anticipated. </w:t>
      </w:r>
    </w:p>
    <w:p w14:paraId="5BB16836" w14:textId="77777777" w:rsidR="00A81C4F" w:rsidRPr="00C76033" w:rsidRDefault="00A81C4F" w:rsidP="00A81C4F">
      <w:pPr>
        <w:pStyle w:val="Caption"/>
      </w:pPr>
      <w:r>
        <w:t xml:space="preserve">2. </w:t>
      </w:r>
      <w:r w:rsidRPr="00C76033">
        <w:t>The 2022–23 Target/Estimate published for regional air in the 2022–23 Service Delivery Statements of 0.12 million was subject to a calculation error and should be 0.14 million</w:t>
      </w:r>
      <w:r>
        <w:t xml:space="preserve">, which has resulted in the Rest of Queensland </w:t>
      </w:r>
      <w:r w:rsidRPr="00C76033">
        <w:t xml:space="preserve">2022–23 Target/Estimate </w:t>
      </w:r>
      <w:r>
        <w:t>being updated from 10.27 million to 10.29 million.</w:t>
      </w:r>
    </w:p>
    <w:p w14:paraId="3FF7B88F" w14:textId="77777777" w:rsidR="00A81C4F" w:rsidRDefault="00A81C4F" w:rsidP="00A81C4F">
      <w:pPr>
        <w:pStyle w:val="Caption"/>
      </w:pPr>
      <w:r>
        <w:t xml:space="preserve">3. The variance between the 2022–23 Target/Estimate and 2022–23 Actual is due to </w:t>
      </w:r>
      <w:r w:rsidRPr="00C76033">
        <w:t>a variety of factors including track and signal failures and boom gate strikes.</w:t>
      </w:r>
    </w:p>
    <w:p w14:paraId="1D7010BB" w14:textId="77777777" w:rsidR="00A81C4F" w:rsidRDefault="00A81C4F" w:rsidP="00A81C4F">
      <w:pPr>
        <w:pStyle w:val="Heading3"/>
      </w:pPr>
      <w:r w:rsidRPr="001E5801">
        <w:t>Service area: (RoadTek) Transport Infrastructure Construction and Maintenance</w:t>
      </w:r>
    </w:p>
    <w:p w14:paraId="6F3E940C" w14:textId="77777777" w:rsidR="00A81C4F" w:rsidRPr="001E5801" w:rsidRDefault="00A81C4F" w:rsidP="00A81C4F">
      <w:pPr>
        <w:pStyle w:val="Heading4"/>
      </w:pPr>
      <w:r w:rsidRPr="001E5801">
        <w:t>Service area objective</w:t>
      </w:r>
    </w:p>
    <w:p w14:paraId="4EC28074" w14:textId="77777777" w:rsidR="00A81C4F" w:rsidRPr="00020EF5" w:rsidRDefault="00A81C4F" w:rsidP="00A81C4F">
      <w:r w:rsidRPr="00020EF5">
        <w:t xml:space="preserve">To provide transport infrastructure solutions, including construction and maintenance services to enable the department to deliver on Queensland Government priorities, with a focus on best value outcomes for our customers, stakeholders and the community. </w:t>
      </w:r>
    </w:p>
    <w:p w14:paraId="16C6B1CB" w14:textId="77777777" w:rsidR="00A81C4F" w:rsidRDefault="00A81C4F" w:rsidP="00A81C4F">
      <w:pPr>
        <w:pStyle w:val="TableofFigures"/>
      </w:pPr>
      <w:r w:rsidRPr="000A4CE2">
        <w:t xml:space="preserve">Table </w:t>
      </w:r>
      <w:r>
        <w:t>38: (RoadTek) Transport Infrastructure Construction and Maintenance e</w:t>
      </w:r>
      <w:r w:rsidRPr="00220FB9">
        <w:t>ffectiveness measure</w:t>
      </w:r>
    </w:p>
    <w:tbl>
      <w:tblPr>
        <w:tblStyle w:val="GridTable4-Accent1"/>
        <w:tblW w:w="0" w:type="auto"/>
        <w:tblLayout w:type="fixed"/>
        <w:tblLook w:val="04A0" w:firstRow="1" w:lastRow="0" w:firstColumn="1" w:lastColumn="0" w:noHBand="0" w:noVBand="1"/>
      </w:tblPr>
      <w:tblGrid>
        <w:gridCol w:w="6096"/>
        <w:gridCol w:w="850"/>
        <w:gridCol w:w="1701"/>
        <w:gridCol w:w="1557"/>
      </w:tblGrid>
      <w:tr w:rsidR="00A81C4F" w:rsidRPr="000A4CE2" w14:paraId="1ADD2CE4" w14:textId="77777777" w:rsidTr="004743BC">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6096" w:type="dxa"/>
          </w:tcPr>
          <w:p w14:paraId="5F9F6F71" w14:textId="77777777" w:rsidR="00A81C4F" w:rsidRPr="00020EF5" w:rsidRDefault="00A81C4F" w:rsidP="00387B2A">
            <w:pPr>
              <w:pStyle w:val="Normal-table"/>
            </w:pPr>
            <w:r w:rsidRPr="00EB1A71">
              <w:t>Service standards</w:t>
            </w:r>
          </w:p>
        </w:tc>
        <w:tc>
          <w:tcPr>
            <w:tcW w:w="850" w:type="dxa"/>
          </w:tcPr>
          <w:p w14:paraId="028332D2"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rsidRPr="00EB1A71">
              <w:t>Notes</w:t>
            </w:r>
          </w:p>
        </w:tc>
        <w:tc>
          <w:tcPr>
            <w:tcW w:w="1701" w:type="dxa"/>
          </w:tcPr>
          <w:p w14:paraId="7E4163EC"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2022–23</w:t>
            </w:r>
          </w:p>
          <w:p w14:paraId="2DA35970"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rsidRPr="00EB1A71">
              <w:t>Target / Estimate</w:t>
            </w:r>
          </w:p>
        </w:tc>
        <w:tc>
          <w:tcPr>
            <w:tcW w:w="1557" w:type="dxa"/>
          </w:tcPr>
          <w:p w14:paraId="6EAADC1A"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2022–23</w:t>
            </w:r>
          </w:p>
          <w:p w14:paraId="2BCAB70D"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rsidRPr="00EB1A71">
              <w:t>Actual</w:t>
            </w:r>
          </w:p>
        </w:tc>
      </w:tr>
      <w:tr w:rsidR="00A81C4F" w:rsidRPr="000A4CE2" w14:paraId="426FEAA0" w14:textId="77777777" w:rsidTr="004743B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6" w:type="dxa"/>
          </w:tcPr>
          <w:p w14:paraId="320FDF07" w14:textId="77777777" w:rsidR="00A81C4F" w:rsidRPr="00020EF5" w:rsidRDefault="00A81C4F" w:rsidP="00387B2A">
            <w:pPr>
              <w:pStyle w:val="Normal-table"/>
            </w:pPr>
            <w:r w:rsidRPr="000143F8">
              <w:t>Customers’ and stakeholders’ overall value of RoadTek (on a scale of 1</w:t>
            </w:r>
            <w:r w:rsidRPr="00020EF5">
              <w:t xml:space="preserve"> to 5)</w:t>
            </w:r>
          </w:p>
        </w:tc>
        <w:tc>
          <w:tcPr>
            <w:tcW w:w="850" w:type="dxa"/>
          </w:tcPr>
          <w:p w14:paraId="25EBCBDD" w14:textId="77777777" w:rsidR="00A81C4F" w:rsidRPr="000A4CE2" w:rsidRDefault="00A81C4F" w:rsidP="00387B2A">
            <w:pPr>
              <w:pStyle w:val="Normal-table"/>
              <w:cnfStyle w:val="000000100000" w:firstRow="0" w:lastRow="0" w:firstColumn="0" w:lastColumn="0" w:oddVBand="0" w:evenVBand="0" w:oddHBand="1" w:evenHBand="0" w:firstRowFirstColumn="0" w:firstRowLastColumn="0" w:lastRowFirstColumn="0" w:lastRowLastColumn="0"/>
            </w:pPr>
          </w:p>
        </w:tc>
        <w:tc>
          <w:tcPr>
            <w:tcW w:w="1701" w:type="dxa"/>
          </w:tcPr>
          <w:p w14:paraId="61F8993A"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0143F8">
              <w:t>&gt;4</w:t>
            </w:r>
          </w:p>
        </w:tc>
        <w:tc>
          <w:tcPr>
            <w:tcW w:w="1557" w:type="dxa"/>
          </w:tcPr>
          <w:p w14:paraId="191B2BE7"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4.59</w:t>
            </w:r>
          </w:p>
        </w:tc>
      </w:tr>
    </w:tbl>
    <w:p w14:paraId="5A88CE52" w14:textId="77777777" w:rsidR="00A81C4F" w:rsidRDefault="00A81C4F" w:rsidP="00A81C4F"/>
    <w:p w14:paraId="4D600398" w14:textId="77777777" w:rsidR="00A81C4F" w:rsidRPr="000A4CE2" w:rsidRDefault="00A81C4F" w:rsidP="00A81C4F">
      <w:pPr>
        <w:pStyle w:val="TableofFigures"/>
      </w:pPr>
      <w:r w:rsidRPr="000A4CE2">
        <w:t xml:space="preserve">Table </w:t>
      </w:r>
      <w:r>
        <w:t xml:space="preserve">39: (RoadTek) Transport Infrastructure Construction and Maintenance efficiency measures </w:t>
      </w:r>
    </w:p>
    <w:tbl>
      <w:tblPr>
        <w:tblStyle w:val="GridTable4-Accent1"/>
        <w:tblW w:w="0" w:type="auto"/>
        <w:tblLayout w:type="fixed"/>
        <w:tblLook w:val="04A0" w:firstRow="1" w:lastRow="0" w:firstColumn="1" w:lastColumn="0" w:noHBand="0" w:noVBand="1"/>
      </w:tblPr>
      <w:tblGrid>
        <w:gridCol w:w="6096"/>
        <w:gridCol w:w="850"/>
        <w:gridCol w:w="1701"/>
        <w:gridCol w:w="1557"/>
      </w:tblGrid>
      <w:tr w:rsidR="00A81C4F" w:rsidRPr="000A4CE2" w14:paraId="76C1BBFE" w14:textId="77777777" w:rsidTr="004743BC">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6" w:type="dxa"/>
          </w:tcPr>
          <w:p w14:paraId="7776B5F5" w14:textId="77777777" w:rsidR="00A81C4F" w:rsidRPr="00020EF5" w:rsidRDefault="00A81C4F" w:rsidP="00387B2A">
            <w:pPr>
              <w:pStyle w:val="Normal-table"/>
            </w:pPr>
            <w:r w:rsidRPr="00EB1A71">
              <w:t>Service standards</w:t>
            </w:r>
          </w:p>
        </w:tc>
        <w:tc>
          <w:tcPr>
            <w:tcW w:w="850" w:type="dxa"/>
          </w:tcPr>
          <w:p w14:paraId="202F6CBF"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rsidRPr="00EB1A71">
              <w:t>Notes</w:t>
            </w:r>
          </w:p>
        </w:tc>
        <w:tc>
          <w:tcPr>
            <w:tcW w:w="1701" w:type="dxa"/>
          </w:tcPr>
          <w:p w14:paraId="566B8EDD"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2022–23</w:t>
            </w:r>
          </w:p>
          <w:p w14:paraId="775485F4"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rsidRPr="00EB1A71">
              <w:t>Target / Estimate</w:t>
            </w:r>
          </w:p>
        </w:tc>
        <w:tc>
          <w:tcPr>
            <w:tcW w:w="1557" w:type="dxa"/>
          </w:tcPr>
          <w:p w14:paraId="00A3E166"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2022–23</w:t>
            </w:r>
          </w:p>
          <w:p w14:paraId="2A0AADFE"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rsidRPr="00EB1A71">
              <w:t>Actual</w:t>
            </w:r>
          </w:p>
        </w:tc>
      </w:tr>
      <w:tr w:rsidR="00A81C4F" w:rsidRPr="000A4CE2" w14:paraId="76E57665" w14:textId="77777777" w:rsidTr="004743B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6" w:type="dxa"/>
          </w:tcPr>
          <w:p w14:paraId="0155F900" w14:textId="77777777" w:rsidR="00A81C4F" w:rsidRPr="00020EF5" w:rsidRDefault="00A81C4F" w:rsidP="00387B2A">
            <w:pPr>
              <w:pStyle w:val="Normal-table"/>
            </w:pPr>
            <w:r w:rsidRPr="000143F8">
              <w:t>Long</w:t>
            </w:r>
            <w:r>
              <w:t>-</w:t>
            </w:r>
            <w:r w:rsidRPr="000143F8">
              <w:t>term debt / equity</w:t>
            </w:r>
          </w:p>
        </w:tc>
        <w:tc>
          <w:tcPr>
            <w:tcW w:w="850" w:type="dxa"/>
          </w:tcPr>
          <w:p w14:paraId="5A3E184A"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1</w:t>
            </w:r>
          </w:p>
        </w:tc>
        <w:tc>
          <w:tcPr>
            <w:tcW w:w="1701" w:type="dxa"/>
          </w:tcPr>
          <w:p w14:paraId="1B36BDEE"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9.9%</w:t>
            </w:r>
          </w:p>
        </w:tc>
        <w:tc>
          <w:tcPr>
            <w:tcW w:w="1557" w:type="dxa"/>
          </w:tcPr>
          <w:p w14:paraId="1E2119BF"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10.4%</w:t>
            </w:r>
          </w:p>
        </w:tc>
      </w:tr>
      <w:tr w:rsidR="00A81C4F" w:rsidRPr="000A4CE2" w14:paraId="7ABDDC31" w14:textId="77777777" w:rsidTr="004743BC">
        <w:trPr>
          <w:trHeight w:val="60"/>
        </w:trPr>
        <w:tc>
          <w:tcPr>
            <w:cnfStyle w:val="001000000000" w:firstRow="0" w:lastRow="0" w:firstColumn="1" w:lastColumn="0" w:oddVBand="0" w:evenVBand="0" w:oddHBand="0" w:evenHBand="0" w:firstRowFirstColumn="0" w:firstRowLastColumn="0" w:lastRowFirstColumn="0" w:lastRowLastColumn="0"/>
            <w:tcW w:w="6096" w:type="dxa"/>
          </w:tcPr>
          <w:p w14:paraId="5BFC01DE" w14:textId="77777777" w:rsidR="00A81C4F" w:rsidRPr="00020EF5" w:rsidRDefault="00A81C4F" w:rsidP="00387B2A">
            <w:pPr>
              <w:pStyle w:val="Normal-table"/>
            </w:pPr>
            <w:r w:rsidRPr="000143F8">
              <w:t>Long</w:t>
            </w:r>
            <w:r>
              <w:t>-</w:t>
            </w:r>
            <w:r w:rsidRPr="000143F8">
              <w:t>term debt / total assets</w:t>
            </w:r>
          </w:p>
        </w:tc>
        <w:tc>
          <w:tcPr>
            <w:tcW w:w="850" w:type="dxa"/>
          </w:tcPr>
          <w:p w14:paraId="6DE0812E" w14:textId="77777777" w:rsidR="00A81C4F" w:rsidRPr="000A4CE2" w:rsidRDefault="00A81C4F" w:rsidP="00387B2A">
            <w:pPr>
              <w:pStyle w:val="Normal-table"/>
              <w:cnfStyle w:val="000000000000" w:firstRow="0" w:lastRow="0" w:firstColumn="0" w:lastColumn="0" w:oddVBand="0" w:evenVBand="0" w:oddHBand="0" w:evenHBand="0" w:firstRowFirstColumn="0" w:firstRowLastColumn="0" w:lastRowFirstColumn="0" w:lastRowLastColumn="0"/>
            </w:pPr>
          </w:p>
        </w:tc>
        <w:tc>
          <w:tcPr>
            <w:tcW w:w="1701" w:type="dxa"/>
          </w:tcPr>
          <w:p w14:paraId="58C8B241" w14:textId="77777777" w:rsidR="00A81C4F" w:rsidRPr="00020EF5"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t>7.2%</w:t>
            </w:r>
          </w:p>
        </w:tc>
        <w:tc>
          <w:tcPr>
            <w:tcW w:w="1557" w:type="dxa"/>
          </w:tcPr>
          <w:p w14:paraId="266B3ADC" w14:textId="77777777" w:rsidR="00A81C4F" w:rsidRPr="00020EF5"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t>7.7%</w:t>
            </w:r>
          </w:p>
        </w:tc>
      </w:tr>
      <w:tr w:rsidR="00A81C4F" w:rsidRPr="000A4CE2" w14:paraId="36E8EF2F" w14:textId="77777777" w:rsidTr="004743B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6" w:type="dxa"/>
          </w:tcPr>
          <w:p w14:paraId="60B52E92" w14:textId="77777777" w:rsidR="00A81C4F" w:rsidRPr="00020EF5" w:rsidRDefault="00A81C4F" w:rsidP="00387B2A">
            <w:pPr>
              <w:pStyle w:val="Normal-table"/>
            </w:pPr>
            <w:r w:rsidRPr="000143F8">
              <w:t>Return on equity</w:t>
            </w:r>
          </w:p>
        </w:tc>
        <w:tc>
          <w:tcPr>
            <w:tcW w:w="850" w:type="dxa"/>
          </w:tcPr>
          <w:p w14:paraId="21C89119"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2</w:t>
            </w:r>
          </w:p>
        </w:tc>
        <w:tc>
          <w:tcPr>
            <w:tcW w:w="1701" w:type="dxa"/>
          </w:tcPr>
          <w:p w14:paraId="267341CD"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10.5%</w:t>
            </w:r>
          </w:p>
        </w:tc>
        <w:tc>
          <w:tcPr>
            <w:tcW w:w="1557" w:type="dxa"/>
          </w:tcPr>
          <w:p w14:paraId="2EB02785"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9.7%</w:t>
            </w:r>
          </w:p>
        </w:tc>
      </w:tr>
      <w:tr w:rsidR="00A81C4F" w:rsidRPr="000A4CE2" w14:paraId="359A96FF" w14:textId="77777777" w:rsidTr="004743BC">
        <w:trPr>
          <w:trHeight w:val="60"/>
        </w:trPr>
        <w:tc>
          <w:tcPr>
            <w:cnfStyle w:val="001000000000" w:firstRow="0" w:lastRow="0" w:firstColumn="1" w:lastColumn="0" w:oddVBand="0" w:evenVBand="0" w:oddHBand="0" w:evenHBand="0" w:firstRowFirstColumn="0" w:firstRowLastColumn="0" w:lastRowFirstColumn="0" w:lastRowLastColumn="0"/>
            <w:tcW w:w="6096" w:type="dxa"/>
          </w:tcPr>
          <w:p w14:paraId="212CBE0F" w14:textId="77777777" w:rsidR="00A81C4F" w:rsidRPr="00020EF5" w:rsidRDefault="00A81C4F" w:rsidP="00387B2A">
            <w:pPr>
              <w:pStyle w:val="Normal-table"/>
            </w:pPr>
            <w:r w:rsidRPr="000143F8">
              <w:t xml:space="preserve">Return on revenue (after </w:t>
            </w:r>
            <w:r w:rsidRPr="00020EF5">
              <w:t>tax)</w:t>
            </w:r>
          </w:p>
        </w:tc>
        <w:tc>
          <w:tcPr>
            <w:tcW w:w="850" w:type="dxa"/>
          </w:tcPr>
          <w:p w14:paraId="4C841313" w14:textId="77777777" w:rsidR="00A81C4F" w:rsidRPr="00020EF5"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t>2</w:t>
            </w:r>
          </w:p>
        </w:tc>
        <w:tc>
          <w:tcPr>
            <w:tcW w:w="1701" w:type="dxa"/>
          </w:tcPr>
          <w:p w14:paraId="01DCA0A4" w14:textId="77777777" w:rsidR="00A81C4F" w:rsidRPr="00020EF5"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rsidRPr="000143F8">
              <w:t>2.5%</w:t>
            </w:r>
          </w:p>
        </w:tc>
        <w:tc>
          <w:tcPr>
            <w:tcW w:w="1557" w:type="dxa"/>
          </w:tcPr>
          <w:p w14:paraId="080B53CD" w14:textId="77777777" w:rsidR="00A81C4F" w:rsidRPr="00020EF5"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t>2.1%</w:t>
            </w:r>
          </w:p>
        </w:tc>
      </w:tr>
      <w:tr w:rsidR="00A81C4F" w:rsidRPr="000A4CE2" w14:paraId="7BEE1E33" w14:textId="77777777" w:rsidTr="004743B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6" w:type="dxa"/>
          </w:tcPr>
          <w:p w14:paraId="069F95F7" w14:textId="77777777" w:rsidR="00A81C4F" w:rsidRPr="00020EF5" w:rsidRDefault="00A81C4F" w:rsidP="00387B2A">
            <w:pPr>
              <w:pStyle w:val="Normal-table"/>
            </w:pPr>
            <w:r w:rsidRPr="000143F8">
              <w:t xml:space="preserve">Profit margin (earnings before income tax / </w:t>
            </w:r>
            <w:r w:rsidRPr="00020EF5">
              <w:t>user charges)</w:t>
            </w:r>
          </w:p>
        </w:tc>
        <w:tc>
          <w:tcPr>
            <w:tcW w:w="850" w:type="dxa"/>
          </w:tcPr>
          <w:p w14:paraId="3348C70C"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2</w:t>
            </w:r>
          </w:p>
        </w:tc>
        <w:tc>
          <w:tcPr>
            <w:tcW w:w="1701" w:type="dxa"/>
          </w:tcPr>
          <w:p w14:paraId="0A08F88C"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0143F8">
              <w:t>3.5%</w:t>
            </w:r>
          </w:p>
        </w:tc>
        <w:tc>
          <w:tcPr>
            <w:tcW w:w="1557" w:type="dxa"/>
          </w:tcPr>
          <w:p w14:paraId="1533B687"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3.1%</w:t>
            </w:r>
          </w:p>
        </w:tc>
      </w:tr>
    </w:tbl>
    <w:p w14:paraId="7C1F30A5" w14:textId="77777777" w:rsidR="00A81C4F" w:rsidRDefault="00A81C4F" w:rsidP="00A81C4F">
      <w:pPr>
        <w:pStyle w:val="Caption"/>
      </w:pPr>
      <w:r w:rsidRPr="008A2EED">
        <w:t>Notes:</w:t>
      </w:r>
    </w:p>
    <w:p w14:paraId="539A11DE" w14:textId="77777777" w:rsidR="00A81C4F" w:rsidRPr="00735399" w:rsidRDefault="00A81C4F" w:rsidP="00A81C4F">
      <w:pPr>
        <w:pStyle w:val="Caption"/>
      </w:pPr>
      <w:r>
        <w:t>1. The variance between the 2022–23 Target/Estimate and 2022–23 Actual is due to l</w:t>
      </w:r>
      <w:r w:rsidRPr="00735399">
        <w:t>ong</w:t>
      </w:r>
      <w:r>
        <w:t>-</w:t>
      </w:r>
      <w:r w:rsidRPr="00735399">
        <w:t>term debt remai</w:t>
      </w:r>
      <w:r>
        <w:t>ning</w:t>
      </w:r>
      <w:r w:rsidRPr="00735399">
        <w:t xml:space="preserve"> stable while equity position ha</w:t>
      </w:r>
      <w:r>
        <w:t>d</w:t>
      </w:r>
      <w:r w:rsidRPr="00735399">
        <w:t xml:space="preserve"> fluctuated due to slightly lower than expected trading results</w:t>
      </w:r>
      <w:r>
        <w:t>. D</w:t>
      </w:r>
      <w:r w:rsidRPr="00735399">
        <w:t>ividend payment due to rising input costs with an on-budget performance expected in 2023–24.</w:t>
      </w:r>
    </w:p>
    <w:p w14:paraId="58AC4917" w14:textId="77777777" w:rsidR="00A81C4F" w:rsidRPr="00735399" w:rsidRDefault="00A81C4F" w:rsidP="00A81C4F">
      <w:pPr>
        <w:pStyle w:val="Caption"/>
      </w:pPr>
      <w:r>
        <w:t>2. The variance between the 2022–23 Target/Estimate and 2022–23 Actual is partially due to</w:t>
      </w:r>
      <w:r w:rsidRPr="00735399">
        <w:t xml:space="preserve"> rising input costs</w:t>
      </w:r>
      <w:r>
        <w:t xml:space="preserve"> resulting from</w:t>
      </w:r>
      <w:r w:rsidRPr="00735399">
        <w:t xml:space="preserve"> inflationary pressures on many commodities.</w:t>
      </w:r>
    </w:p>
    <w:p w14:paraId="647CD038" w14:textId="77777777" w:rsidR="00A81C4F" w:rsidRDefault="00A81C4F" w:rsidP="00A81C4F">
      <w:pPr>
        <w:pStyle w:val="Heading3"/>
      </w:pPr>
      <w:r w:rsidRPr="001E5801">
        <w:lastRenderedPageBreak/>
        <w:t xml:space="preserve">Service area: </w:t>
      </w:r>
      <w:r>
        <w:t>Customer and Digital Services</w:t>
      </w:r>
    </w:p>
    <w:p w14:paraId="234CDE85" w14:textId="77777777" w:rsidR="00A81C4F" w:rsidRPr="001E5801" w:rsidRDefault="00A81C4F" w:rsidP="00A81C4F">
      <w:pPr>
        <w:pStyle w:val="Heading4"/>
      </w:pPr>
      <w:r w:rsidRPr="001E5801">
        <w:t>Service area objective</w:t>
      </w:r>
    </w:p>
    <w:p w14:paraId="5701568D" w14:textId="77777777" w:rsidR="00A81C4F" w:rsidRPr="000143F8" w:rsidRDefault="00A81C4F" w:rsidP="00A81C4F">
      <w:r w:rsidRPr="00541239">
        <w:t>To benefit Queenslanders and their businesses by delivering and improving government services and investing in a digitally enabled economy.</w:t>
      </w:r>
    </w:p>
    <w:p w14:paraId="69624EF0" w14:textId="77777777" w:rsidR="00A81C4F" w:rsidRDefault="00A81C4F" w:rsidP="00A81C4F">
      <w:pPr>
        <w:pStyle w:val="TableofFigures"/>
      </w:pPr>
      <w:r w:rsidRPr="000A4CE2">
        <w:t xml:space="preserve">Table </w:t>
      </w:r>
      <w:r>
        <w:t>40: Customer and Digital Services e</w:t>
      </w:r>
      <w:r w:rsidRPr="00220FB9">
        <w:t>ffectiveness measure</w:t>
      </w:r>
      <w:r>
        <w:t>s</w:t>
      </w:r>
      <w:r w:rsidRPr="00EA2125">
        <w:t xml:space="preserve"> </w:t>
      </w:r>
    </w:p>
    <w:tbl>
      <w:tblPr>
        <w:tblStyle w:val="GridTable4-Accent1"/>
        <w:tblW w:w="0" w:type="auto"/>
        <w:tblLayout w:type="fixed"/>
        <w:tblLook w:val="04A0" w:firstRow="1" w:lastRow="0" w:firstColumn="1" w:lastColumn="0" w:noHBand="0" w:noVBand="1"/>
      </w:tblPr>
      <w:tblGrid>
        <w:gridCol w:w="6096"/>
        <w:gridCol w:w="850"/>
        <w:gridCol w:w="1701"/>
        <w:gridCol w:w="1557"/>
      </w:tblGrid>
      <w:tr w:rsidR="00A81C4F" w:rsidRPr="000A4CE2" w14:paraId="6AFD4363" w14:textId="77777777" w:rsidTr="004743BC">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6096" w:type="dxa"/>
          </w:tcPr>
          <w:p w14:paraId="7B7B46B8" w14:textId="77777777" w:rsidR="00A81C4F" w:rsidRPr="00020EF5" w:rsidRDefault="00A81C4F" w:rsidP="00387B2A">
            <w:pPr>
              <w:pStyle w:val="Normal-table"/>
            </w:pPr>
            <w:r w:rsidRPr="00EB1A71">
              <w:t>Service standards</w:t>
            </w:r>
          </w:p>
        </w:tc>
        <w:tc>
          <w:tcPr>
            <w:tcW w:w="850" w:type="dxa"/>
          </w:tcPr>
          <w:p w14:paraId="4354F283"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rsidRPr="00EB1A71">
              <w:t>Notes</w:t>
            </w:r>
          </w:p>
        </w:tc>
        <w:tc>
          <w:tcPr>
            <w:tcW w:w="1701" w:type="dxa"/>
          </w:tcPr>
          <w:p w14:paraId="2CE85432"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Target / Estimate</w:t>
            </w:r>
          </w:p>
        </w:tc>
        <w:tc>
          <w:tcPr>
            <w:tcW w:w="1557" w:type="dxa"/>
          </w:tcPr>
          <w:p w14:paraId="67F2DC60"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Actual</w:t>
            </w:r>
          </w:p>
        </w:tc>
      </w:tr>
      <w:tr w:rsidR="00A81C4F" w:rsidRPr="000A4CE2" w14:paraId="2BD0B599" w14:textId="77777777" w:rsidTr="004743B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6" w:type="dxa"/>
          </w:tcPr>
          <w:p w14:paraId="110F181E" w14:textId="77777777" w:rsidR="00A81C4F" w:rsidRPr="00020EF5" w:rsidRDefault="00A81C4F" w:rsidP="00387B2A">
            <w:pPr>
              <w:pStyle w:val="Normal-table"/>
            </w:pPr>
            <w:r w:rsidRPr="00586D06">
              <w:t xml:space="preserve">Percentage of customers satisfied with the services provided by Smart Service </w:t>
            </w:r>
            <w:r w:rsidRPr="00020EF5">
              <w:t>Queensland on behalf of government agencies</w:t>
            </w:r>
          </w:p>
        </w:tc>
        <w:tc>
          <w:tcPr>
            <w:tcW w:w="850" w:type="dxa"/>
          </w:tcPr>
          <w:p w14:paraId="0B1CE0C9" w14:textId="77777777" w:rsidR="00A81C4F" w:rsidRPr="000A4CE2" w:rsidRDefault="00A81C4F" w:rsidP="00387B2A">
            <w:pPr>
              <w:pStyle w:val="Normal-table"/>
              <w:cnfStyle w:val="000000100000" w:firstRow="0" w:lastRow="0" w:firstColumn="0" w:lastColumn="0" w:oddVBand="0" w:evenVBand="0" w:oddHBand="1" w:evenHBand="0" w:firstRowFirstColumn="0" w:firstRowLastColumn="0" w:lastRowFirstColumn="0" w:lastRowLastColumn="0"/>
            </w:pPr>
          </w:p>
        </w:tc>
        <w:tc>
          <w:tcPr>
            <w:tcW w:w="1701" w:type="dxa"/>
          </w:tcPr>
          <w:p w14:paraId="6DE84719"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6D1C23">
              <w:t>≥90%</w:t>
            </w:r>
          </w:p>
        </w:tc>
        <w:tc>
          <w:tcPr>
            <w:tcW w:w="1557" w:type="dxa"/>
          </w:tcPr>
          <w:p w14:paraId="02FC803F"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543812">
              <w:t>94%</w:t>
            </w:r>
          </w:p>
        </w:tc>
      </w:tr>
      <w:tr w:rsidR="00A81C4F" w:rsidRPr="000A4CE2" w14:paraId="7C8A820B" w14:textId="77777777" w:rsidTr="004743BC">
        <w:trPr>
          <w:trHeight w:val="60"/>
        </w:trPr>
        <w:tc>
          <w:tcPr>
            <w:cnfStyle w:val="001000000000" w:firstRow="0" w:lastRow="0" w:firstColumn="1" w:lastColumn="0" w:oddVBand="0" w:evenVBand="0" w:oddHBand="0" w:evenHBand="0" w:firstRowFirstColumn="0" w:firstRowLastColumn="0" w:lastRowFirstColumn="0" w:lastRowLastColumn="0"/>
            <w:tcW w:w="6096" w:type="dxa"/>
          </w:tcPr>
          <w:p w14:paraId="00D377B8" w14:textId="77777777" w:rsidR="00A81C4F" w:rsidRPr="00020EF5" w:rsidRDefault="00A81C4F" w:rsidP="00387B2A">
            <w:pPr>
              <w:pStyle w:val="Normal-table"/>
            </w:pPr>
            <w:r w:rsidRPr="00383228">
              <w:t>Percentage of data sets available on data.qld.gov.au achieving a data usability rating of 3 out of 5 or higher</w:t>
            </w:r>
          </w:p>
        </w:tc>
        <w:tc>
          <w:tcPr>
            <w:tcW w:w="850" w:type="dxa"/>
          </w:tcPr>
          <w:p w14:paraId="4BA47CC0" w14:textId="77777777" w:rsidR="00A81C4F" w:rsidRPr="000A4CE2" w:rsidRDefault="00A81C4F" w:rsidP="00387B2A">
            <w:pPr>
              <w:pStyle w:val="Normal-table"/>
              <w:cnfStyle w:val="000000000000" w:firstRow="0" w:lastRow="0" w:firstColumn="0" w:lastColumn="0" w:oddVBand="0" w:evenVBand="0" w:oddHBand="0" w:evenHBand="0" w:firstRowFirstColumn="0" w:firstRowLastColumn="0" w:lastRowFirstColumn="0" w:lastRowLastColumn="0"/>
            </w:pPr>
          </w:p>
        </w:tc>
        <w:tc>
          <w:tcPr>
            <w:tcW w:w="1701" w:type="dxa"/>
          </w:tcPr>
          <w:p w14:paraId="0052A05B" w14:textId="77777777" w:rsidR="00A81C4F" w:rsidRPr="00020EF5"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rsidRPr="006D1C23">
              <w:t>≥</w:t>
            </w:r>
            <w:r w:rsidRPr="00020EF5">
              <w:t>75%</w:t>
            </w:r>
          </w:p>
        </w:tc>
        <w:tc>
          <w:tcPr>
            <w:tcW w:w="1557" w:type="dxa"/>
          </w:tcPr>
          <w:p w14:paraId="7CDE7063" w14:textId="77777777" w:rsidR="00A81C4F" w:rsidRPr="00020EF5"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rsidRPr="00543812">
              <w:t>76.03%</w:t>
            </w:r>
          </w:p>
        </w:tc>
      </w:tr>
      <w:tr w:rsidR="00A81C4F" w:rsidRPr="000A4CE2" w14:paraId="6E513602" w14:textId="77777777" w:rsidTr="004743B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6" w:type="dxa"/>
          </w:tcPr>
          <w:p w14:paraId="68ABE6CA" w14:textId="77777777" w:rsidR="00A81C4F" w:rsidRPr="00020EF5" w:rsidRDefault="00A81C4F" w:rsidP="00387B2A">
            <w:pPr>
              <w:pStyle w:val="Normal-table"/>
            </w:pPr>
            <w:r w:rsidRPr="00E2231B">
              <w:t>Percentage of whole-of-government ICT spend awarded to small to medium sized enterprises (transactions over $5000)</w:t>
            </w:r>
          </w:p>
        </w:tc>
        <w:tc>
          <w:tcPr>
            <w:tcW w:w="850" w:type="dxa"/>
          </w:tcPr>
          <w:p w14:paraId="25C1CAE5"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1</w:t>
            </w:r>
          </w:p>
        </w:tc>
        <w:tc>
          <w:tcPr>
            <w:tcW w:w="1701" w:type="dxa"/>
          </w:tcPr>
          <w:p w14:paraId="1691822B"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25%</w:t>
            </w:r>
          </w:p>
        </w:tc>
        <w:tc>
          <w:tcPr>
            <w:tcW w:w="1557" w:type="dxa"/>
          </w:tcPr>
          <w:p w14:paraId="673B7054"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23.1</w:t>
            </w:r>
            <w:r w:rsidRPr="00543812">
              <w:t>%</w:t>
            </w:r>
          </w:p>
        </w:tc>
      </w:tr>
    </w:tbl>
    <w:p w14:paraId="3C91CF5B" w14:textId="77777777" w:rsidR="00A81C4F" w:rsidRDefault="00A81C4F" w:rsidP="00A81C4F"/>
    <w:p w14:paraId="40CCADCD" w14:textId="77777777" w:rsidR="00A81C4F" w:rsidRPr="000A4CE2" w:rsidRDefault="00A81C4F" w:rsidP="00A81C4F">
      <w:pPr>
        <w:pStyle w:val="TableofFigures"/>
      </w:pPr>
      <w:r w:rsidRPr="000A4CE2">
        <w:t xml:space="preserve">Table </w:t>
      </w:r>
      <w:r>
        <w:t xml:space="preserve">41: Customer and Digital Services efficiency measures </w:t>
      </w:r>
    </w:p>
    <w:tbl>
      <w:tblPr>
        <w:tblStyle w:val="GridTable4-Accent1"/>
        <w:tblW w:w="5000" w:type="pct"/>
        <w:tblLook w:val="04A0" w:firstRow="1" w:lastRow="0" w:firstColumn="1" w:lastColumn="0" w:noHBand="0" w:noVBand="1"/>
      </w:tblPr>
      <w:tblGrid>
        <w:gridCol w:w="6246"/>
        <w:gridCol w:w="872"/>
        <w:gridCol w:w="1742"/>
        <w:gridCol w:w="1596"/>
      </w:tblGrid>
      <w:tr w:rsidR="00A81C4F" w:rsidRPr="000A4CE2" w14:paraId="352C638E" w14:textId="77777777" w:rsidTr="00524412">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2987" w:type="pct"/>
          </w:tcPr>
          <w:p w14:paraId="07345FDA" w14:textId="77777777" w:rsidR="00A81C4F" w:rsidRPr="00020EF5" w:rsidRDefault="00A81C4F" w:rsidP="00387B2A">
            <w:pPr>
              <w:pStyle w:val="Normal-table"/>
            </w:pPr>
            <w:r w:rsidRPr="00EB1A71">
              <w:t>Service standards</w:t>
            </w:r>
          </w:p>
        </w:tc>
        <w:tc>
          <w:tcPr>
            <w:tcW w:w="417" w:type="pct"/>
          </w:tcPr>
          <w:p w14:paraId="7F4DE185"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rsidRPr="00EB1A71">
              <w:t>Notes</w:t>
            </w:r>
          </w:p>
        </w:tc>
        <w:tc>
          <w:tcPr>
            <w:tcW w:w="833" w:type="pct"/>
          </w:tcPr>
          <w:p w14:paraId="69D1956A"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Target / Estimate</w:t>
            </w:r>
          </w:p>
        </w:tc>
        <w:tc>
          <w:tcPr>
            <w:tcW w:w="763" w:type="pct"/>
          </w:tcPr>
          <w:p w14:paraId="285DE524"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Actual</w:t>
            </w:r>
          </w:p>
        </w:tc>
      </w:tr>
      <w:tr w:rsidR="00A81C4F" w:rsidRPr="000A4CE2" w14:paraId="4FF37E4C" w14:textId="77777777" w:rsidTr="00524412">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987" w:type="pct"/>
          </w:tcPr>
          <w:p w14:paraId="02F41163" w14:textId="77777777" w:rsidR="00A81C4F" w:rsidRPr="00020EF5" w:rsidRDefault="00A81C4F" w:rsidP="00387B2A">
            <w:pPr>
              <w:pStyle w:val="Normal-table"/>
            </w:pPr>
            <w:r w:rsidRPr="001D60E1">
              <w:t xml:space="preserve">Cost per customer </w:t>
            </w:r>
            <w:r w:rsidRPr="00020EF5">
              <w:t>interaction (phone, counter, online</w:t>
            </w:r>
            <w:r>
              <w:t>, SMS</w:t>
            </w:r>
            <w:r w:rsidRPr="00020EF5">
              <w:t>) provided by Smart Service Queensland</w:t>
            </w:r>
          </w:p>
        </w:tc>
        <w:tc>
          <w:tcPr>
            <w:tcW w:w="417" w:type="pct"/>
          </w:tcPr>
          <w:p w14:paraId="684BAB6D"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2, 3</w:t>
            </w:r>
          </w:p>
        </w:tc>
        <w:tc>
          <w:tcPr>
            <w:tcW w:w="833" w:type="pct"/>
          </w:tcPr>
          <w:p w14:paraId="39FC51BD"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$1.00</w:t>
            </w:r>
          </w:p>
        </w:tc>
        <w:tc>
          <w:tcPr>
            <w:tcW w:w="763" w:type="pct"/>
          </w:tcPr>
          <w:p w14:paraId="1FD881AD"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543812">
              <w:t>$0.66</w:t>
            </w:r>
          </w:p>
        </w:tc>
      </w:tr>
      <w:tr w:rsidR="00A81C4F" w:rsidRPr="000A4CE2" w14:paraId="206B54A1" w14:textId="77777777" w:rsidTr="00524412">
        <w:trPr>
          <w:trHeight w:val="60"/>
        </w:trPr>
        <w:tc>
          <w:tcPr>
            <w:cnfStyle w:val="001000000000" w:firstRow="0" w:lastRow="0" w:firstColumn="1" w:lastColumn="0" w:oddVBand="0" w:evenVBand="0" w:oddHBand="0" w:evenHBand="0" w:firstRowFirstColumn="0" w:firstRowLastColumn="0" w:lastRowFirstColumn="0" w:lastRowLastColumn="0"/>
            <w:tcW w:w="2987" w:type="pct"/>
          </w:tcPr>
          <w:p w14:paraId="4B410925" w14:textId="77777777" w:rsidR="00A81C4F" w:rsidRPr="00020EF5" w:rsidRDefault="00A81C4F" w:rsidP="00387B2A">
            <w:pPr>
              <w:pStyle w:val="Normal-table"/>
            </w:pPr>
            <w:r w:rsidRPr="007368BF">
              <w:t>Operating cost per $1000 of managed spend on ICT products and services</w:t>
            </w:r>
          </w:p>
        </w:tc>
        <w:tc>
          <w:tcPr>
            <w:tcW w:w="417" w:type="pct"/>
          </w:tcPr>
          <w:p w14:paraId="19089AA0" w14:textId="77777777" w:rsidR="00A81C4F" w:rsidRPr="00020EF5"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t>4</w:t>
            </w:r>
          </w:p>
        </w:tc>
        <w:tc>
          <w:tcPr>
            <w:tcW w:w="833" w:type="pct"/>
          </w:tcPr>
          <w:p w14:paraId="7A2098DB" w14:textId="77777777" w:rsidR="00A81C4F" w:rsidRPr="00020EF5"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t>&lt;$10</w:t>
            </w:r>
          </w:p>
        </w:tc>
        <w:tc>
          <w:tcPr>
            <w:tcW w:w="763" w:type="pct"/>
          </w:tcPr>
          <w:p w14:paraId="4F94F441" w14:textId="77777777" w:rsidR="00A81C4F" w:rsidRPr="00020EF5"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rsidRPr="00543812">
              <w:t>$</w:t>
            </w:r>
            <w:r>
              <w:t>3.50</w:t>
            </w:r>
          </w:p>
        </w:tc>
      </w:tr>
    </w:tbl>
    <w:p w14:paraId="50E1DA37" w14:textId="77777777" w:rsidR="00A81C4F" w:rsidRPr="000143F8" w:rsidRDefault="00A81C4F" w:rsidP="00A81C4F">
      <w:pPr>
        <w:pStyle w:val="Caption"/>
      </w:pPr>
      <w:r w:rsidRPr="000143F8">
        <w:t>Notes:</w:t>
      </w:r>
    </w:p>
    <w:p w14:paraId="037D4900" w14:textId="77777777" w:rsidR="00A81C4F" w:rsidRDefault="00A81C4F" w:rsidP="00A81C4F">
      <w:pPr>
        <w:pStyle w:val="Caption"/>
      </w:pPr>
      <w:r>
        <w:t xml:space="preserve">1. </w:t>
      </w:r>
      <w:r w:rsidRPr="0009379C">
        <w:t>The variance between the 2022–23 Target/Estimate and 2022–23 Actual is due to the Target/Estimate representing a target which is challenged by the ICT category operating environment being characterised by majority large multinational and national suppliers.</w:t>
      </w:r>
    </w:p>
    <w:p w14:paraId="78663061" w14:textId="77777777" w:rsidR="00A81C4F" w:rsidRPr="00603E69" w:rsidRDefault="00A81C4F" w:rsidP="00A81C4F">
      <w:pPr>
        <w:pStyle w:val="Caption"/>
      </w:pPr>
      <w:r>
        <w:t xml:space="preserve">2. </w:t>
      </w:r>
      <w:r w:rsidRPr="00603E69">
        <w:t>The wording of this service standard has been amended to include SMS interactions from the 2022–23 Service Delivery Statements.</w:t>
      </w:r>
    </w:p>
    <w:p w14:paraId="035AFFF7" w14:textId="77777777" w:rsidR="00A81C4F" w:rsidRDefault="00A81C4F" w:rsidP="00A81C4F">
      <w:pPr>
        <w:pStyle w:val="Caption"/>
      </w:pPr>
      <w:r>
        <w:t xml:space="preserve">3. </w:t>
      </w:r>
      <w:r w:rsidRPr="00603E69">
        <w:t>The variance between the 2022–23 Target/Estimate and 2022–23 Actual is due to the decreasing cost per customer interaction resulting from new lower cost channels, such as SMS, as well as significant growth in online interactions.</w:t>
      </w:r>
    </w:p>
    <w:p w14:paraId="551A4A9F" w14:textId="77777777" w:rsidR="00A81C4F" w:rsidRPr="004B6628" w:rsidRDefault="00A81C4F" w:rsidP="00A81C4F">
      <w:pPr>
        <w:pStyle w:val="Caption"/>
      </w:pPr>
      <w:r>
        <w:t xml:space="preserve">4. The variance between the 2022–23 Target/Estimate and the 2022–23 Actual is due to a 10 per cent decrease in ICT strategic sourcing operating expenses. </w:t>
      </w:r>
    </w:p>
    <w:p w14:paraId="31531DEC" w14:textId="77777777" w:rsidR="00916DF7" w:rsidRDefault="00916DF7">
      <w:pPr>
        <w:spacing w:before="0" w:after="160" w:line="259" w:lineRule="auto"/>
        <w:rPr>
          <w:rFonts w:eastAsiaTheme="majorEastAsia" w:cstheme="majorBidi"/>
          <w:color w:val="000000" w:themeColor="text1"/>
          <w:sz w:val="32"/>
          <w:szCs w:val="24"/>
        </w:rPr>
      </w:pPr>
      <w:r>
        <w:br w:type="page"/>
      </w:r>
    </w:p>
    <w:p w14:paraId="6CAD8FD3" w14:textId="0D091ABB" w:rsidR="00A81C4F" w:rsidRDefault="00A81C4F" w:rsidP="00A81C4F">
      <w:pPr>
        <w:pStyle w:val="Heading3"/>
      </w:pPr>
      <w:r>
        <w:lastRenderedPageBreak/>
        <w:t>Commercialised Business Unit</w:t>
      </w:r>
      <w:r w:rsidRPr="001E5801">
        <w:t xml:space="preserve">: </w:t>
      </w:r>
      <w:r>
        <w:t>CITEC</w:t>
      </w:r>
    </w:p>
    <w:p w14:paraId="5973783A" w14:textId="77777777" w:rsidR="00A81C4F" w:rsidRPr="001E5801" w:rsidRDefault="00A81C4F" w:rsidP="00A81C4F">
      <w:pPr>
        <w:pStyle w:val="Heading4"/>
      </w:pPr>
      <w:r>
        <w:t>O</w:t>
      </w:r>
      <w:r w:rsidRPr="001E5801">
        <w:t>bjective</w:t>
      </w:r>
    </w:p>
    <w:p w14:paraId="3DD83C89" w14:textId="77777777" w:rsidR="00A81C4F" w:rsidRDefault="00A81C4F" w:rsidP="00A81C4F">
      <w:r w:rsidRPr="00541239">
        <w:t>To provide whole-of-government and commercial information and technology solutions that support the delivery of frontline services to Queensland communities and businesses.</w:t>
      </w:r>
    </w:p>
    <w:p w14:paraId="2B972A17" w14:textId="77777777" w:rsidR="00A81C4F" w:rsidRPr="000143F8" w:rsidRDefault="00A81C4F" w:rsidP="00A81C4F">
      <w:pPr>
        <w:pStyle w:val="Heading4"/>
      </w:pPr>
      <w:r>
        <w:t>Service</w:t>
      </w:r>
      <w:r w:rsidRPr="007B6B42">
        <w:t xml:space="preserve">: </w:t>
      </w:r>
      <w:r>
        <w:t>CITEC ICT</w:t>
      </w:r>
    </w:p>
    <w:p w14:paraId="6136716C" w14:textId="77777777" w:rsidR="00A81C4F" w:rsidRDefault="00A81C4F" w:rsidP="00A81C4F">
      <w:pPr>
        <w:pStyle w:val="TableofFigures"/>
      </w:pPr>
      <w:r w:rsidRPr="000A4CE2">
        <w:t xml:space="preserve">Table </w:t>
      </w:r>
      <w:r>
        <w:t>42: CITEC ICT e</w:t>
      </w:r>
      <w:r w:rsidRPr="00220FB9">
        <w:t>ffectiveness measure</w:t>
      </w:r>
      <w:r>
        <w:t>s</w:t>
      </w:r>
      <w:r w:rsidRPr="00EA2125">
        <w:t xml:space="preserve"> </w:t>
      </w:r>
    </w:p>
    <w:tbl>
      <w:tblPr>
        <w:tblStyle w:val="GridTable4-Accent1"/>
        <w:tblW w:w="5000" w:type="pct"/>
        <w:tblLook w:val="04A0" w:firstRow="1" w:lastRow="0" w:firstColumn="1" w:lastColumn="0" w:noHBand="0" w:noVBand="1"/>
      </w:tblPr>
      <w:tblGrid>
        <w:gridCol w:w="6246"/>
        <w:gridCol w:w="872"/>
        <w:gridCol w:w="1742"/>
        <w:gridCol w:w="1596"/>
      </w:tblGrid>
      <w:tr w:rsidR="00A81C4F" w:rsidRPr="000A4CE2" w14:paraId="2D9B317C" w14:textId="77777777" w:rsidTr="00524412">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2987" w:type="pct"/>
          </w:tcPr>
          <w:p w14:paraId="00AA1780" w14:textId="77777777" w:rsidR="00A81C4F" w:rsidRPr="00020EF5" w:rsidRDefault="00A81C4F" w:rsidP="00387B2A">
            <w:pPr>
              <w:pStyle w:val="Normal-table"/>
            </w:pPr>
            <w:r w:rsidRPr="00EB1A71">
              <w:t>Service standards</w:t>
            </w:r>
          </w:p>
        </w:tc>
        <w:tc>
          <w:tcPr>
            <w:tcW w:w="417" w:type="pct"/>
          </w:tcPr>
          <w:p w14:paraId="1854461F"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rsidRPr="00EB1A71">
              <w:t>Notes</w:t>
            </w:r>
          </w:p>
        </w:tc>
        <w:tc>
          <w:tcPr>
            <w:tcW w:w="833" w:type="pct"/>
          </w:tcPr>
          <w:p w14:paraId="7412C4B6"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Target / Estimate</w:t>
            </w:r>
          </w:p>
        </w:tc>
        <w:tc>
          <w:tcPr>
            <w:tcW w:w="763" w:type="pct"/>
          </w:tcPr>
          <w:p w14:paraId="0F118154"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Actual</w:t>
            </w:r>
          </w:p>
        </w:tc>
      </w:tr>
      <w:tr w:rsidR="00A81C4F" w:rsidRPr="000A4CE2" w14:paraId="1D322D0F" w14:textId="77777777" w:rsidTr="00524412">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987" w:type="pct"/>
          </w:tcPr>
          <w:p w14:paraId="35C61DD7" w14:textId="77777777" w:rsidR="00A81C4F" w:rsidRPr="00020EF5" w:rsidRDefault="00A81C4F" w:rsidP="00387B2A">
            <w:pPr>
              <w:pStyle w:val="Normal-table"/>
            </w:pPr>
            <w:r w:rsidRPr="00CF079D">
              <w:t>CITEC ICT overall customer satisfaction</w:t>
            </w:r>
          </w:p>
        </w:tc>
        <w:tc>
          <w:tcPr>
            <w:tcW w:w="417" w:type="pct"/>
          </w:tcPr>
          <w:p w14:paraId="0C739900"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1</w:t>
            </w:r>
          </w:p>
        </w:tc>
        <w:tc>
          <w:tcPr>
            <w:tcW w:w="833" w:type="pct"/>
          </w:tcPr>
          <w:p w14:paraId="49C14AF3"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1F117A">
              <w:t>&gt;75%</w:t>
            </w:r>
          </w:p>
        </w:tc>
        <w:tc>
          <w:tcPr>
            <w:tcW w:w="763" w:type="pct"/>
          </w:tcPr>
          <w:p w14:paraId="17651DBA"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543812">
              <w:t>9</w:t>
            </w:r>
            <w:r w:rsidRPr="00020EF5">
              <w:t>0%</w:t>
            </w:r>
          </w:p>
        </w:tc>
      </w:tr>
      <w:tr w:rsidR="00A81C4F" w:rsidRPr="000A4CE2" w14:paraId="002E0FE1" w14:textId="77777777" w:rsidTr="00524412">
        <w:trPr>
          <w:trHeight w:val="60"/>
        </w:trPr>
        <w:tc>
          <w:tcPr>
            <w:cnfStyle w:val="001000000000" w:firstRow="0" w:lastRow="0" w:firstColumn="1" w:lastColumn="0" w:oddVBand="0" w:evenVBand="0" w:oddHBand="0" w:evenHBand="0" w:firstRowFirstColumn="0" w:firstRowLastColumn="0" w:lastRowFirstColumn="0" w:lastRowLastColumn="0"/>
            <w:tcW w:w="2987" w:type="pct"/>
          </w:tcPr>
          <w:p w14:paraId="28F74CAD" w14:textId="77777777" w:rsidR="00A81C4F" w:rsidRPr="00020EF5" w:rsidRDefault="00A81C4F" w:rsidP="00387B2A">
            <w:pPr>
              <w:pStyle w:val="Normal-table"/>
            </w:pPr>
            <w:r w:rsidRPr="00062868">
              <w:t>CITEC ICT service availability</w:t>
            </w:r>
          </w:p>
        </w:tc>
        <w:tc>
          <w:tcPr>
            <w:tcW w:w="417" w:type="pct"/>
          </w:tcPr>
          <w:p w14:paraId="3245537A" w14:textId="77777777" w:rsidR="00A81C4F" w:rsidRPr="000A4CE2" w:rsidRDefault="00A81C4F" w:rsidP="00387B2A">
            <w:pPr>
              <w:pStyle w:val="Normal-table"/>
              <w:cnfStyle w:val="000000000000" w:firstRow="0" w:lastRow="0" w:firstColumn="0" w:lastColumn="0" w:oddVBand="0" w:evenVBand="0" w:oddHBand="0" w:evenHBand="0" w:firstRowFirstColumn="0" w:firstRowLastColumn="0" w:lastRowFirstColumn="0" w:lastRowLastColumn="0"/>
            </w:pPr>
          </w:p>
        </w:tc>
        <w:tc>
          <w:tcPr>
            <w:tcW w:w="833" w:type="pct"/>
          </w:tcPr>
          <w:p w14:paraId="28A045DD" w14:textId="77777777" w:rsidR="00A81C4F" w:rsidRPr="00020EF5"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t>99.9%</w:t>
            </w:r>
          </w:p>
        </w:tc>
        <w:tc>
          <w:tcPr>
            <w:tcW w:w="763" w:type="pct"/>
          </w:tcPr>
          <w:p w14:paraId="27A50142" w14:textId="77777777" w:rsidR="00A81C4F" w:rsidRPr="00020EF5"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rsidRPr="00543812">
              <w:t>99.99%</w:t>
            </w:r>
          </w:p>
        </w:tc>
      </w:tr>
    </w:tbl>
    <w:p w14:paraId="0223E87C" w14:textId="77777777" w:rsidR="00A81C4F" w:rsidRDefault="00A81C4F" w:rsidP="00A81C4F"/>
    <w:p w14:paraId="369A83F0" w14:textId="77777777" w:rsidR="00A81C4F" w:rsidRPr="000A4CE2" w:rsidRDefault="00A81C4F" w:rsidP="00A81C4F">
      <w:pPr>
        <w:pStyle w:val="TableofFigures"/>
      </w:pPr>
      <w:r w:rsidRPr="000A4CE2">
        <w:t xml:space="preserve">Table </w:t>
      </w:r>
      <w:r>
        <w:t>43: CITEC ICT efficiency measure</w:t>
      </w:r>
    </w:p>
    <w:tbl>
      <w:tblPr>
        <w:tblStyle w:val="GridTable4-Accent1"/>
        <w:tblW w:w="0" w:type="auto"/>
        <w:tblLook w:val="04A0" w:firstRow="1" w:lastRow="0" w:firstColumn="1" w:lastColumn="0" w:noHBand="0" w:noVBand="1"/>
      </w:tblPr>
      <w:tblGrid>
        <w:gridCol w:w="6412"/>
        <w:gridCol w:w="637"/>
        <w:gridCol w:w="2067"/>
        <w:gridCol w:w="1340"/>
      </w:tblGrid>
      <w:tr w:rsidR="00A81C4F" w:rsidRPr="000A4CE2" w14:paraId="5C9AE060" w14:textId="77777777" w:rsidTr="00524412">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0" w:type="auto"/>
          </w:tcPr>
          <w:p w14:paraId="60C45A73" w14:textId="77777777" w:rsidR="00A81C4F" w:rsidRPr="00020EF5" w:rsidRDefault="00A81C4F" w:rsidP="00387B2A">
            <w:pPr>
              <w:pStyle w:val="Normal-table"/>
            </w:pPr>
            <w:r w:rsidRPr="00EB1A71">
              <w:t>Service standards</w:t>
            </w:r>
          </w:p>
        </w:tc>
        <w:tc>
          <w:tcPr>
            <w:tcW w:w="0" w:type="auto"/>
          </w:tcPr>
          <w:p w14:paraId="67CEEA9B"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rsidRPr="00EB1A71">
              <w:t>Notes</w:t>
            </w:r>
          </w:p>
        </w:tc>
        <w:tc>
          <w:tcPr>
            <w:tcW w:w="0" w:type="auto"/>
          </w:tcPr>
          <w:p w14:paraId="080B2DAE"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Target / Estimate</w:t>
            </w:r>
          </w:p>
        </w:tc>
        <w:tc>
          <w:tcPr>
            <w:tcW w:w="0" w:type="auto"/>
          </w:tcPr>
          <w:p w14:paraId="2FE418DF"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Actual</w:t>
            </w:r>
          </w:p>
        </w:tc>
      </w:tr>
      <w:tr w:rsidR="00A81C4F" w:rsidRPr="000A4CE2" w14:paraId="28E8D274" w14:textId="77777777" w:rsidTr="00524412">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0" w:type="auto"/>
          </w:tcPr>
          <w:p w14:paraId="3C9EBA03" w14:textId="77777777" w:rsidR="00A81C4F" w:rsidRPr="00020EF5" w:rsidRDefault="00A81C4F" w:rsidP="00387B2A">
            <w:pPr>
              <w:pStyle w:val="Normal-table"/>
            </w:pPr>
            <w:r w:rsidRPr="00BB4EB6">
              <w:t xml:space="preserve">CITEC ICT </w:t>
            </w:r>
            <w:r w:rsidRPr="00020EF5">
              <w:t>earnings before interest and tax less depreciation and amortisation (EBITDA)</w:t>
            </w:r>
          </w:p>
        </w:tc>
        <w:tc>
          <w:tcPr>
            <w:tcW w:w="0" w:type="auto"/>
          </w:tcPr>
          <w:p w14:paraId="3052D796"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2</w:t>
            </w:r>
          </w:p>
        </w:tc>
        <w:tc>
          <w:tcPr>
            <w:tcW w:w="0" w:type="auto"/>
          </w:tcPr>
          <w:p w14:paraId="75256ECE"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w:t>
            </w:r>
            <w:r w:rsidRPr="00020EF5">
              <w:t>15.009M</w:t>
            </w:r>
          </w:p>
        </w:tc>
        <w:tc>
          <w:tcPr>
            <w:tcW w:w="0" w:type="auto"/>
          </w:tcPr>
          <w:p w14:paraId="3818C275"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543812">
              <w:t>$</w:t>
            </w:r>
            <w:r w:rsidRPr="00020EF5">
              <w:t>19.650M</w:t>
            </w:r>
          </w:p>
        </w:tc>
      </w:tr>
    </w:tbl>
    <w:p w14:paraId="06DE7EB7" w14:textId="77777777" w:rsidR="00A81C4F" w:rsidRDefault="00A81C4F" w:rsidP="00A81C4F">
      <w:pPr>
        <w:pStyle w:val="Caption"/>
      </w:pPr>
    </w:p>
    <w:p w14:paraId="20AFEC67" w14:textId="77777777" w:rsidR="00A81C4F" w:rsidRPr="000143F8" w:rsidRDefault="00A81C4F" w:rsidP="00A81C4F">
      <w:pPr>
        <w:pStyle w:val="Heading4"/>
      </w:pPr>
      <w:r>
        <w:t>Service</w:t>
      </w:r>
      <w:r w:rsidRPr="007B6B42">
        <w:t xml:space="preserve">: </w:t>
      </w:r>
      <w:r>
        <w:t>CITEC IB</w:t>
      </w:r>
    </w:p>
    <w:p w14:paraId="180CEE8E" w14:textId="77777777" w:rsidR="00A81C4F" w:rsidRDefault="00A81C4F" w:rsidP="00A81C4F">
      <w:pPr>
        <w:pStyle w:val="TableofFigures"/>
      </w:pPr>
      <w:r w:rsidRPr="000A4CE2">
        <w:t xml:space="preserve">Table </w:t>
      </w:r>
      <w:r>
        <w:t>44: CITEC IB e</w:t>
      </w:r>
      <w:r w:rsidRPr="00220FB9">
        <w:t>ffectiveness measure</w:t>
      </w:r>
    </w:p>
    <w:tbl>
      <w:tblPr>
        <w:tblStyle w:val="GridTable4-Accent1"/>
        <w:tblW w:w="5000" w:type="pct"/>
        <w:tblLook w:val="04A0" w:firstRow="1" w:lastRow="0" w:firstColumn="1" w:lastColumn="0" w:noHBand="0" w:noVBand="1"/>
      </w:tblPr>
      <w:tblGrid>
        <w:gridCol w:w="6246"/>
        <w:gridCol w:w="872"/>
        <w:gridCol w:w="1742"/>
        <w:gridCol w:w="1596"/>
      </w:tblGrid>
      <w:tr w:rsidR="00A81C4F" w:rsidRPr="000A4CE2" w14:paraId="55191A74" w14:textId="77777777" w:rsidTr="00524412">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2987" w:type="pct"/>
          </w:tcPr>
          <w:p w14:paraId="43288DD6" w14:textId="77777777" w:rsidR="00A81C4F" w:rsidRPr="00020EF5" w:rsidRDefault="00A81C4F" w:rsidP="00387B2A">
            <w:pPr>
              <w:pStyle w:val="Normal-table"/>
            </w:pPr>
            <w:r w:rsidRPr="00EB1A71">
              <w:t>Service standards</w:t>
            </w:r>
          </w:p>
        </w:tc>
        <w:tc>
          <w:tcPr>
            <w:tcW w:w="417" w:type="pct"/>
          </w:tcPr>
          <w:p w14:paraId="05D612D4"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rsidRPr="00EB1A71">
              <w:t>Notes</w:t>
            </w:r>
          </w:p>
        </w:tc>
        <w:tc>
          <w:tcPr>
            <w:tcW w:w="833" w:type="pct"/>
          </w:tcPr>
          <w:p w14:paraId="009CF875"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Target / Estimate</w:t>
            </w:r>
          </w:p>
        </w:tc>
        <w:tc>
          <w:tcPr>
            <w:tcW w:w="763" w:type="pct"/>
          </w:tcPr>
          <w:p w14:paraId="20F43EC7"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Actual</w:t>
            </w:r>
          </w:p>
        </w:tc>
      </w:tr>
      <w:tr w:rsidR="00A81C4F" w:rsidRPr="000A4CE2" w14:paraId="352CBB16" w14:textId="77777777" w:rsidTr="00524412">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987" w:type="pct"/>
          </w:tcPr>
          <w:p w14:paraId="3F18C864" w14:textId="77777777" w:rsidR="00A81C4F" w:rsidRPr="00020EF5" w:rsidRDefault="00A81C4F" w:rsidP="00387B2A">
            <w:pPr>
              <w:pStyle w:val="Normal-table"/>
            </w:pPr>
            <w:r w:rsidRPr="009954C0">
              <w:t>CITEC IB overall customer satisfaction</w:t>
            </w:r>
          </w:p>
        </w:tc>
        <w:tc>
          <w:tcPr>
            <w:tcW w:w="417" w:type="pct"/>
          </w:tcPr>
          <w:p w14:paraId="34CC8A3B"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1</w:t>
            </w:r>
          </w:p>
        </w:tc>
        <w:tc>
          <w:tcPr>
            <w:tcW w:w="833" w:type="pct"/>
          </w:tcPr>
          <w:p w14:paraId="25DFD479"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196884">
              <w:t>&gt;80%</w:t>
            </w:r>
          </w:p>
        </w:tc>
        <w:tc>
          <w:tcPr>
            <w:tcW w:w="763" w:type="pct"/>
          </w:tcPr>
          <w:p w14:paraId="16E6F409"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543812">
              <w:t>88%</w:t>
            </w:r>
          </w:p>
        </w:tc>
      </w:tr>
    </w:tbl>
    <w:p w14:paraId="10120F37" w14:textId="77777777" w:rsidR="00A81C4F" w:rsidRDefault="00A81C4F" w:rsidP="00A81C4F"/>
    <w:p w14:paraId="1FDE6AC1" w14:textId="77777777" w:rsidR="00A81C4F" w:rsidRPr="000A4CE2" w:rsidRDefault="00A81C4F" w:rsidP="00A81C4F">
      <w:pPr>
        <w:pStyle w:val="TableofFigures"/>
      </w:pPr>
      <w:r w:rsidRPr="000A4CE2">
        <w:t xml:space="preserve">Table </w:t>
      </w:r>
      <w:r>
        <w:t>45: CITEC IB efficiency measure</w:t>
      </w:r>
    </w:p>
    <w:tbl>
      <w:tblPr>
        <w:tblStyle w:val="GridTable4-Accent1"/>
        <w:tblW w:w="0" w:type="auto"/>
        <w:tblLayout w:type="fixed"/>
        <w:tblLook w:val="04A0" w:firstRow="1" w:lastRow="0" w:firstColumn="1" w:lastColumn="0" w:noHBand="0" w:noVBand="1"/>
      </w:tblPr>
      <w:tblGrid>
        <w:gridCol w:w="6096"/>
        <w:gridCol w:w="850"/>
        <w:gridCol w:w="1701"/>
        <w:gridCol w:w="1557"/>
      </w:tblGrid>
      <w:tr w:rsidR="00A81C4F" w:rsidRPr="000A4CE2" w14:paraId="6E18D576" w14:textId="77777777" w:rsidTr="006274CA">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6096" w:type="dxa"/>
          </w:tcPr>
          <w:p w14:paraId="32B22350" w14:textId="77777777" w:rsidR="00A81C4F" w:rsidRPr="00020EF5" w:rsidRDefault="00A81C4F" w:rsidP="00387B2A">
            <w:pPr>
              <w:pStyle w:val="Normal-table"/>
            </w:pPr>
            <w:r w:rsidRPr="00EB1A71">
              <w:t>Service standards</w:t>
            </w:r>
          </w:p>
        </w:tc>
        <w:tc>
          <w:tcPr>
            <w:tcW w:w="850" w:type="dxa"/>
          </w:tcPr>
          <w:p w14:paraId="77018C8D"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rsidRPr="00EB1A71">
              <w:t>Notes</w:t>
            </w:r>
          </w:p>
        </w:tc>
        <w:tc>
          <w:tcPr>
            <w:tcW w:w="1701" w:type="dxa"/>
          </w:tcPr>
          <w:p w14:paraId="1179EAEC"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Target / Estimate</w:t>
            </w:r>
          </w:p>
        </w:tc>
        <w:tc>
          <w:tcPr>
            <w:tcW w:w="1557" w:type="dxa"/>
          </w:tcPr>
          <w:p w14:paraId="0D361037"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Actual</w:t>
            </w:r>
          </w:p>
        </w:tc>
      </w:tr>
      <w:tr w:rsidR="00A81C4F" w:rsidRPr="000A4CE2" w14:paraId="30D3128B" w14:textId="77777777" w:rsidTr="006274CA">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6" w:type="dxa"/>
          </w:tcPr>
          <w:p w14:paraId="49C1F4A5" w14:textId="77777777" w:rsidR="00A81C4F" w:rsidRPr="00020EF5" w:rsidRDefault="00A81C4F" w:rsidP="00387B2A">
            <w:pPr>
              <w:pStyle w:val="Normal-table"/>
            </w:pPr>
            <w:r w:rsidRPr="00451557">
              <w:t xml:space="preserve">CITEC IB </w:t>
            </w:r>
            <w:r>
              <w:t>e</w:t>
            </w:r>
            <w:r w:rsidRPr="00451557">
              <w:t xml:space="preserve">arnings before interest and tax </w:t>
            </w:r>
            <w:r w:rsidRPr="00020EF5">
              <w:t xml:space="preserve">less </w:t>
            </w:r>
            <w:r>
              <w:t>d</w:t>
            </w:r>
            <w:r w:rsidRPr="00020EF5">
              <w:t xml:space="preserve">epreciation and </w:t>
            </w:r>
            <w:r>
              <w:t>a</w:t>
            </w:r>
            <w:r w:rsidRPr="00020EF5">
              <w:t>mortisation (EBITDA)</w:t>
            </w:r>
          </w:p>
        </w:tc>
        <w:tc>
          <w:tcPr>
            <w:tcW w:w="850" w:type="dxa"/>
          </w:tcPr>
          <w:p w14:paraId="30D3439F"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3</w:t>
            </w:r>
          </w:p>
        </w:tc>
        <w:tc>
          <w:tcPr>
            <w:tcW w:w="1701" w:type="dxa"/>
          </w:tcPr>
          <w:p w14:paraId="33D5F0E5"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C67FE6">
              <w:t>$16,000</w:t>
            </w:r>
          </w:p>
        </w:tc>
        <w:tc>
          <w:tcPr>
            <w:tcW w:w="1557" w:type="dxa"/>
          </w:tcPr>
          <w:p w14:paraId="31875BA2"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w:t>
            </w:r>
            <w:r w:rsidRPr="00020EF5">
              <w:t>$1.410M</w:t>
            </w:r>
          </w:p>
        </w:tc>
      </w:tr>
    </w:tbl>
    <w:p w14:paraId="0EEAC462" w14:textId="77777777" w:rsidR="00A81C4F" w:rsidRDefault="00A81C4F" w:rsidP="00A81C4F">
      <w:pPr>
        <w:pStyle w:val="Caption"/>
      </w:pPr>
      <w:r w:rsidRPr="000143F8">
        <w:t>Notes:</w:t>
      </w:r>
    </w:p>
    <w:p w14:paraId="5F7C932E" w14:textId="77777777" w:rsidR="00A81C4F" w:rsidRDefault="00A81C4F" w:rsidP="00A81C4F">
      <w:pPr>
        <w:pStyle w:val="Caption"/>
      </w:pPr>
      <w:r>
        <w:t xml:space="preserve">1. </w:t>
      </w:r>
      <w:r w:rsidRPr="008E72B4">
        <w:t>The positive variance between the 2022–23 Target/Estimate and 2022–23 Actual is due to CITEC’s ongoing commitment to service excellence and strategic focus on positive engagements and partnerships.</w:t>
      </w:r>
    </w:p>
    <w:p w14:paraId="492732AA" w14:textId="77777777" w:rsidR="00A81C4F" w:rsidRDefault="00A81C4F" w:rsidP="00A81C4F">
      <w:pPr>
        <w:pStyle w:val="Caption"/>
      </w:pPr>
      <w:r>
        <w:t xml:space="preserve">2. </w:t>
      </w:r>
      <w:r w:rsidRPr="008E72B4">
        <w:t>The variance between the 2022-23 Target/Estimate and the 2022–23 Actual is due to higher than budgeted revenue resulting from increased usage of CITEC services and the addition of new customers, as well as lower than budgeted expenses.</w:t>
      </w:r>
    </w:p>
    <w:p w14:paraId="7FCF6D42" w14:textId="77777777" w:rsidR="00A81C4F" w:rsidRPr="008E72B4" w:rsidRDefault="00A81C4F" w:rsidP="00A81C4F">
      <w:pPr>
        <w:pStyle w:val="Caption"/>
      </w:pPr>
      <w:r>
        <w:t xml:space="preserve">3. </w:t>
      </w:r>
      <w:r w:rsidRPr="008E72B4">
        <w:t>The variance between the 2022-23 Target/Estimate and the 2022–23 Actual is due to several factors including reduced revenue combined with an increase in expenditure associated with the replacement of a key legacy financial system.</w:t>
      </w:r>
    </w:p>
    <w:p w14:paraId="539F8472" w14:textId="77777777" w:rsidR="00A81C4F" w:rsidRDefault="00A81C4F" w:rsidP="00A81C4F">
      <w:pPr>
        <w:pStyle w:val="Heading3"/>
      </w:pPr>
      <w:r>
        <w:lastRenderedPageBreak/>
        <w:t>Shared Service Provider</w:t>
      </w:r>
      <w:r w:rsidRPr="001E5801">
        <w:t xml:space="preserve">: </w:t>
      </w:r>
      <w:r>
        <w:t>Queensland Shared Services</w:t>
      </w:r>
    </w:p>
    <w:p w14:paraId="29A8F2D7" w14:textId="77777777" w:rsidR="00A81C4F" w:rsidRPr="001E5801" w:rsidRDefault="00A81C4F" w:rsidP="00A81C4F">
      <w:pPr>
        <w:pStyle w:val="Heading4"/>
      </w:pPr>
      <w:r>
        <w:t>O</w:t>
      </w:r>
      <w:r w:rsidRPr="001E5801">
        <w:t>bjective</w:t>
      </w:r>
    </w:p>
    <w:p w14:paraId="5178EB62" w14:textId="77777777" w:rsidR="00A81C4F" w:rsidRDefault="00A81C4F" w:rsidP="00A81C4F">
      <w:r>
        <w:t>To p</w:t>
      </w:r>
      <w:r w:rsidRPr="001C7ACC">
        <w:t xml:space="preserve">rovide effective corporate services that support Queensland Government entities. </w:t>
      </w:r>
    </w:p>
    <w:p w14:paraId="26EB012B" w14:textId="77777777" w:rsidR="00A81C4F" w:rsidRPr="000143F8" w:rsidRDefault="00A81C4F" w:rsidP="00A81C4F">
      <w:pPr>
        <w:pStyle w:val="Heading4"/>
      </w:pPr>
      <w:r>
        <w:t>Service</w:t>
      </w:r>
      <w:r w:rsidRPr="007B6B42">
        <w:t xml:space="preserve">: </w:t>
      </w:r>
      <w:r w:rsidRPr="00020EF5">
        <w:t>Transactional and advisory human resource services</w:t>
      </w:r>
    </w:p>
    <w:p w14:paraId="20989E0C" w14:textId="77777777" w:rsidR="00A81C4F" w:rsidRDefault="00A81C4F" w:rsidP="00A81C4F">
      <w:pPr>
        <w:pStyle w:val="TableofFigures"/>
      </w:pPr>
      <w:r w:rsidRPr="000A4CE2">
        <w:t xml:space="preserve">Table </w:t>
      </w:r>
      <w:r>
        <w:t>46: Transactional and advisory human resource services e</w:t>
      </w:r>
      <w:r w:rsidRPr="00220FB9">
        <w:t>ffectiveness measure</w:t>
      </w:r>
      <w:r>
        <w:t>s</w:t>
      </w:r>
      <w:r w:rsidRPr="00EA2125">
        <w:t xml:space="preserve"> </w:t>
      </w:r>
    </w:p>
    <w:tbl>
      <w:tblPr>
        <w:tblStyle w:val="GridTable4-Accent1"/>
        <w:tblW w:w="5000" w:type="pct"/>
        <w:tblLook w:val="04A0" w:firstRow="1" w:lastRow="0" w:firstColumn="1" w:lastColumn="0" w:noHBand="0" w:noVBand="1"/>
      </w:tblPr>
      <w:tblGrid>
        <w:gridCol w:w="6246"/>
        <w:gridCol w:w="872"/>
        <w:gridCol w:w="1742"/>
        <w:gridCol w:w="1596"/>
      </w:tblGrid>
      <w:tr w:rsidR="00A81C4F" w:rsidRPr="000A4CE2" w14:paraId="4D143E40" w14:textId="77777777" w:rsidTr="00524412">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2987" w:type="pct"/>
          </w:tcPr>
          <w:p w14:paraId="19F3FA85" w14:textId="77777777" w:rsidR="00A81C4F" w:rsidRPr="00020EF5" w:rsidRDefault="00A81C4F" w:rsidP="00387B2A">
            <w:pPr>
              <w:pStyle w:val="Normal-table"/>
            </w:pPr>
            <w:r w:rsidRPr="00EB1A71">
              <w:t>Service standards</w:t>
            </w:r>
          </w:p>
        </w:tc>
        <w:tc>
          <w:tcPr>
            <w:tcW w:w="417" w:type="pct"/>
          </w:tcPr>
          <w:p w14:paraId="3FDE70B8"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rsidRPr="00EB1A71">
              <w:t>Notes</w:t>
            </w:r>
          </w:p>
        </w:tc>
        <w:tc>
          <w:tcPr>
            <w:tcW w:w="833" w:type="pct"/>
          </w:tcPr>
          <w:p w14:paraId="539729B8"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Target / Estimate</w:t>
            </w:r>
          </w:p>
        </w:tc>
        <w:tc>
          <w:tcPr>
            <w:tcW w:w="763" w:type="pct"/>
          </w:tcPr>
          <w:p w14:paraId="692860BE"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Actual</w:t>
            </w:r>
          </w:p>
        </w:tc>
      </w:tr>
      <w:tr w:rsidR="00A81C4F" w:rsidRPr="000A4CE2" w14:paraId="3A572863" w14:textId="77777777" w:rsidTr="00524412">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987" w:type="pct"/>
          </w:tcPr>
          <w:p w14:paraId="1CA5064D" w14:textId="77777777" w:rsidR="00A81C4F" w:rsidRPr="00020EF5" w:rsidRDefault="00A81C4F" w:rsidP="00387B2A">
            <w:pPr>
              <w:pStyle w:val="Normal-table"/>
            </w:pPr>
            <w:r w:rsidRPr="00454334">
              <w:t xml:space="preserve">Overall </w:t>
            </w:r>
            <w:r w:rsidRPr="00020EF5">
              <w:t xml:space="preserve">customer satisfaction with </w:t>
            </w:r>
            <w:r>
              <w:t>h</w:t>
            </w:r>
            <w:r w:rsidRPr="00020EF5">
              <w:t xml:space="preserve">uman </w:t>
            </w:r>
            <w:r>
              <w:t>r</w:t>
            </w:r>
            <w:r w:rsidRPr="00020EF5">
              <w:t xml:space="preserve">esources </w:t>
            </w:r>
            <w:r>
              <w:t>s</w:t>
            </w:r>
            <w:r w:rsidRPr="00020EF5">
              <w:t>ervices</w:t>
            </w:r>
          </w:p>
        </w:tc>
        <w:tc>
          <w:tcPr>
            <w:tcW w:w="417" w:type="pct"/>
          </w:tcPr>
          <w:p w14:paraId="01EF84C7" w14:textId="77777777" w:rsidR="00A81C4F" w:rsidRPr="0003764F" w:rsidRDefault="00A81C4F" w:rsidP="00387B2A">
            <w:pPr>
              <w:pStyle w:val="Normal-table"/>
              <w:cnfStyle w:val="000000100000" w:firstRow="0" w:lastRow="0" w:firstColumn="0" w:lastColumn="0" w:oddVBand="0" w:evenVBand="0" w:oddHBand="1" w:evenHBand="0" w:firstRowFirstColumn="0" w:firstRowLastColumn="0" w:lastRowFirstColumn="0" w:lastRowLastColumn="0"/>
            </w:pPr>
          </w:p>
        </w:tc>
        <w:tc>
          <w:tcPr>
            <w:tcW w:w="833" w:type="pct"/>
          </w:tcPr>
          <w:p w14:paraId="5CC580BC"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80</w:t>
            </w:r>
            <w:r w:rsidRPr="00020EF5">
              <w:t>%</w:t>
            </w:r>
          </w:p>
        </w:tc>
        <w:tc>
          <w:tcPr>
            <w:tcW w:w="763" w:type="pct"/>
          </w:tcPr>
          <w:p w14:paraId="1FE8A037"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543812">
              <w:t>82</w:t>
            </w:r>
            <w:r w:rsidRPr="00020EF5">
              <w:t>%</w:t>
            </w:r>
          </w:p>
        </w:tc>
      </w:tr>
    </w:tbl>
    <w:p w14:paraId="3CB51F9A" w14:textId="77777777" w:rsidR="00A81C4F" w:rsidRDefault="00A81C4F" w:rsidP="00A81C4F"/>
    <w:p w14:paraId="0B8A3549" w14:textId="77777777" w:rsidR="00A81C4F" w:rsidRPr="000A4CE2" w:rsidRDefault="00A81C4F" w:rsidP="00A81C4F">
      <w:pPr>
        <w:pStyle w:val="TableofFigures"/>
      </w:pPr>
      <w:r w:rsidRPr="000A4CE2">
        <w:t xml:space="preserve">Table </w:t>
      </w:r>
      <w:r>
        <w:t xml:space="preserve">47: Transactional and advisory human resources services efficiency measures </w:t>
      </w:r>
    </w:p>
    <w:tbl>
      <w:tblPr>
        <w:tblStyle w:val="GridTable4-Accent1"/>
        <w:tblW w:w="5000" w:type="pct"/>
        <w:tblLook w:val="04A0" w:firstRow="1" w:lastRow="0" w:firstColumn="1" w:lastColumn="0" w:noHBand="0" w:noVBand="1"/>
      </w:tblPr>
      <w:tblGrid>
        <w:gridCol w:w="6246"/>
        <w:gridCol w:w="872"/>
        <w:gridCol w:w="1742"/>
        <w:gridCol w:w="1596"/>
      </w:tblGrid>
      <w:tr w:rsidR="00A81C4F" w:rsidRPr="000A4CE2" w14:paraId="31B4698D" w14:textId="77777777" w:rsidTr="00524412">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2987" w:type="pct"/>
          </w:tcPr>
          <w:p w14:paraId="502AD8EE" w14:textId="77777777" w:rsidR="00A81C4F" w:rsidRPr="00020EF5" w:rsidRDefault="00A81C4F" w:rsidP="00387B2A">
            <w:pPr>
              <w:pStyle w:val="Normal-table"/>
            </w:pPr>
            <w:r w:rsidRPr="00EB1A71">
              <w:t>Service standards</w:t>
            </w:r>
          </w:p>
        </w:tc>
        <w:tc>
          <w:tcPr>
            <w:tcW w:w="417" w:type="pct"/>
          </w:tcPr>
          <w:p w14:paraId="16D11122"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rsidRPr="00EB1A71">
              <w:t>Notes</w:t>
            </w:r>
          </w:p>
        </w:tc>
        <w:tc>
          <w:tcPr>
            <w:tcW w:w="833" w:type="pct"/>
          </w:tcPr>
          <w:p w14:paraId="6D8B03B0"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Target / Estimate</w:t>
            </w:r>
          </w:p>
        </w:tc>
        <w:tc>
          <w:tcPr>
            <w:tcW w:w="763" w:type="pct"/>
          </w:tcPr>
          <w:p w14:paraId="09197BF0"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Actual</w:t>
            </w:r>
          </w:p>
        </w:tc>
      </w:tr>
      <w:tr w:rsidR="00A81C4F" w:rsidRPr="000A4CE2" w14:paraId="51ADA171" w14:textId="77777777" w:rsidTr="00524412">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987" w:type="pct"/>
          </w:tcPr>
          <w:p w14:paraId="71420503" w14:textId="77777777" w:rsidR="00A81C4F" w:rsidRPr="00020EF5" w:rsidRDefault="00A81C4F" w:rsidP="00387B2A">
            <w:pPr>
              <w:pStyle w:val="Normal-table"/>
            </w:pPr>
            <w:r w:rsidRPr="009F3488">
              <w:t>Number of pays processed per FTE per fortnight</w:t>
            </w:r>
          </w:p>
        </w:tc>
        <w:tc>
          <w:tcPr>
            <w:tcW w:w="417" w:type="pct"/>
          </w:tcPr>
          <w:p w14:paraId="0CC7262D"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1</w:t>
            </w:r>
          </w:p>
        </w:tc>
        <w:tc>
          <w:tcPr>
            <w:tcW w:w="833" w:type="pct"/>
          </w:tcPr>
          <w:p w14:paraId="4F1036FB"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A54673">
              <w:t>345</w:t>
            </w:r>
          </w:p>
        </w:tc>
        <w:tc>
          <w:tcPr>
            <w:tcW w:w="763" w:type="pct"/>
          </w:tcPr>
          <w:p w14:paraId="3C1A2296"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543812">
              <w:t>375</w:t>
            </w:r>
          </w:p>
        </w:tc>
      </w:tr>
    </w:tbl>
    <w:p w14:paraId="0D175ACC" w14:textId="77777777" w:rsidR="00A81C4F" w:rsidRDefault="00A81C4F" w:rsidP="00A81C4F"/>
    <w:p w14:paraId="5403096B" w14:textId="77777777" w:rsidR="00A81C4F" w:rsidRPr="000143F8" w:rsidRDefault="00A81C4F" w:rsidP="00A81C4F">
      <w:pPr>
        <w:pStyle w:val="Heading4"/>
      </w:pPr>
      <w:r>
        <w:t>Service</w:t>
      </w:r>
      <w:r w:rsidRPr="007B6B42">
        <w:t xml:space="preserve">: </w:t>
      </w:r>
      <w:r w:rsidRPr="00020EF5">
        <w:t>Transactional and advisory finance services</w:t>
      </w:r>
    </w:p>
    <w:p w14:paraId="138D2863" w14:textId="77777777" w:rsidR="00A81C4F" w:rsidRDefault="00A81C4F" w:rsidP="00A81C4F">
      <w:pPr>
        <w:pStyle w:val="TableofFigures"/>
      </w:pPr>
      <w:r w:rsidRPr="000A4CE2">
        <w:t xml:space="preserve">Table </w:t>
      </w:r>
      <w:r>
        <w:t>48: Transactional and advisory finance services e</w:t>
      </w:r>
      <w:r w:rsidRPr="00220FB9">
        <w:t>ffectiveness measure</w:t>
      </w:r>
      <w:r>
        <w:t>s</w:t>
      </w:r>
      <w:r w:rsidRPr="00EA2125">
        <w:t xml:space="preserve"> </w:t>
      </w:r>
    </w:p>
    <w:tbl>
      <w:tblPr>
        <w:tblStyle w:val="GridTable4-Accent1"/>
        <w:tblW w:w="5000" w:type="pct"/>
        <w:tblLook w:val="04A0" w:firstRow="1" w:lastRow="0" w:firstColumn="1" w:lastColumn="0" w:noHBand="0" w:noVBand="1"/>
      </w:tblPr>
      <w:tblGrid>
        <w:gridCol w:w="6246"/>
        <w:gridCol w:w="872"/>
        <w:gridCol w:w="1742"/>
        <w:gridCol w:w="1596"/>
      </w:tblGrid>
      <w:tr w:rsidR="00A81C4F" w:rsidRPr="000A4CE2" w14:paraId="5F829A86" w14:textId="77777777" w:rsidTr="00524412">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2987" w:type="pct"/>
          </w:tcPr>
          <w:p w14:paraId="295321A0" w14:textId="77777777" w:rsidR="00A81C4F" w:rsidRPr="00020EF5" w:rsidRDefault="00A81C4F" w:rsidP="00387B2A">
            <w:pPr>
              <w:pStyle w:val="Normal-table"/>
            </w:pPr>
            <w:r w:rsidRPr="00EB1A71">
              <w:t>Service standards</w:t>
            </w:r>
          </w:p>
        </w:tc>
        <w:tc>
          <w:tcPr>
            <w:tcW w:w="417" w:type="pct"/>
          </w:tcPr>
          <w:p w14:paraId="753DD1C9"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rsidRPr="00EB1A71">
              <w:t>Notes</w:t>
            </w:r>
          </w:p>
        </w:tc>
        <w:tc>
          <w:tcPr>
            <w:tcW w:w="833" w:type="pct"/>
          </w:tcPr>
          <w:p w14:paraId="5FA603FA"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Target / Estimate</w:t>
            </w:r>
          </w:p>
        </w:tc>
        <w:tc>
          <w:tcPr>
            <w:tcW w:w="763" w:type="pct"/>
          </w:tcPr>
          <w:p w14:paraId="7EF386AD"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Actual</w:t>
            </w:r>
          </w:p>
        </w:tc>
      </w:tr>
      <w:tr w:rsidR="00A81C4F" w:rsidRPr="000A4CE2" w14:paraId="682D37B1" w14:textId="77777777" w:rsidTr="00524412">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987" w:type="pct"/>
          </w:tcPr>
          <w:p w14:paraId="306EF44D" w14:textId="77777777" w:rsidR="00A81C4F" w:rsidRPr="00020EF5" w:rsidRDefault="00A81C4F" w:rsidP="00387B2A">
            <w:pPr>
              <w:pStyle w:val="Normal-table"/>
            </w:pPr>
            <w:r w:rsidRPr="00FD421B">
              <w:t>Overall customer satisfaction with Finance Services</w:t>
            </w:r>
          </w:p>
        </w:tc>
        <w:tc>
          <w:tcPr>
            <w:tcW w:w="417" w:type="pct"/>
          </w:tcPr>
          <w:p w14:paraId="2B9EFDD9"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2</w:t>
            </w:r>
          </w:p>
        </w:tc>
        <w:tc>
          <w:tcPr>
            <w:tcW w:w="833" w:type="pct"/>
          </w:tcPr>
          <w:p w14:paraId="0D7D3970"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196884">
              <w:t>80%</w:t>
            </w:r>
          </w:p>
        </w:tc>
        <w:tc>
          <w:tcPr>
            <w:tcW w:w="763" w:type="pct"/>
          </w:tcPr>
          <w:p w14:paraId="18113BBB"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543812">
              <w:t>8</w:t>
            </w:r>
            <w:r w:rsidRPr="00020EF5">
              <w:t>5%</w:t>
            </w:r>
          </w:p>
        </w:tc>
      </w:tr>
    </w:tbl>
    <w:p w14:paraId="29BE7B70" w14:textId="77777777" w:rsidR="00A81C4F" w:rsidRDefault="00A81C4F" w:rsidP="00A81C4F"/>
    <w:p w14:paraId="0B922E04" w14:textId="77777777" w:rsidR="00A81C4F" w:rsidRPr="000A4CE2" w:rsidRDefault="00A81C4F" w:rsidP="00A81C4F">
      <w:pPr>
        <w:pStyle w:val="TableofFigures"/>
      </w:pPr>
      <w:r w:rsidRPr="000A4CE2">
        <w:t xml:space="preserve">Table </w:t>
      </w:r>
      <w:r>
        <w:t xml:space="preserve">49: Transactional and advisory finance services efficiency measures </w:t>
      </w:r>
    </w:p>
    <w:tbl>
      <w:tblPr>
        <w:tblStyle w:val="GridTable4-Accent1"/>
        <w:tblW w:w="5000" w:type="pct"/>
        <w:tblLook w:val="04A0" w:firstRow="1" w:lastRow="0" w:firstColumn="1" w:lastColumn="0" w:noHBand="0" w:noVBand="1"/>
      </w:tblPr>
      <w:tblGrid>
        <w:gridCol w:w="6246"/>
        <w:gridCol w:w="872"/>
        <w:gridCol w:w="1742"/>
        <w:gridCol w:w="1596"/>
      </w:tblGrid>
      <w:tr w:rsidR="00A81C4F" w:rsidRPr="000A4CE2" w14:paraId="2E8D29A1" w14:textId="77777777" w:rsidTr="00436BF4">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987" w:type="pct"/>
          </w:tcPr>
          <w:p w14:paraId="01FBF705" w14:textId="77777777" w:rsidR="00A81C4F" w:rsidRPr="00020EF5" w:rsidRDefault="00A81C4F" w:rsidP="00387B2A">
            <w:pPr>
              <w:pStyle w:val="Normal-table"/>
            </w:pPr>
            <w:r w:rsidRPr="00EB1A71">
              <w:t>Service standards</w:t>
            </w:r>
          </w:p>
        </w:tc>
        <w:tc>
          <w:tcPr>
            <w:tcW w:w="417" w:type="pct"/>
          </w:tcPr>
          <w:p w14:paraId="3A402AB2"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rsidRPr="00EB1A71">
              <w:t>Notes</w:t>
            </w:r>
          </w:p>
        </w:tc>
        <w:tc>
          <w:tcPr>
            <w:tcW w:w="833" w:type="pct"/>
          </w:tcPr>
          <w:p w14:paraId="4AB2CB21"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Target / Estimate</w:t>
            </w:r>
          </w:p>
        </w:tc>
        <w:tc>
          <w:tcPr>
            <w:tcW w:w="763" w:type="pct"/>
          </w:tcPr>
          <w:p w14:paraId="48278103"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Actual</w:t>
            </w:r>
          </w:p>
        </w:tc>
      </w:tr>
      <w:tr w:rsidR="00A81C4F" w:rsidRPr="000A4CE2" w14:paraId="5B47EC9B" w14:textId="77777777" w:rsidTr="00436BF4">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987" w:type="pct"/>
          </w:tcPr>
          <w:p w14:paraId="7882E1A6" w14:textId="77777777" w:rsidR="00A81C4F" w:rsidRPr="00020EF5" w:rsidRDefault="00A81C4F" w:rsidP="00387B2A">
            <w:pPr>
              <w:pStyle w:val="Normal-table"/>
            </w:pPr>
            <w:r w:rsidRPr="00CD031A">
              <w:t>Number of accounts payable transactions processed per FTE per annum</w:t>
            </w:r>
          </w:p>
        </w:tc>
        <w:tc>
          <w:tcPr>
            <w:tcW w:w="417" w:type="pct"/>
          </w:tcPr>
          <w:p w14:paraId="5017872D"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3</w:t>
            </w:r>
          </w:p>
        </w:tc>
        <w:tc>
          <w:tcPr>
            <w:tcW w:w="833" w:type="pct"/>
          </w:tcPr>
          <w:p w14:paraId="31A9BC83"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13,500</w:t>
            </w:r>
          </w:p>
        </w:tc>
        <w:tc>
          <w:tcPr>
            <w:tcW w:w="763" w:type="pct"/>
          </w:tcPr>
          <w:p w14:paraId="57B1CE65"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543812">
              <w:t>19,340</w:t>
            </w:r>
          </w:p>
        </w:tc>
      </w:tr>
    </w:tbl>
    <w:p w14:paraId="2AD7339C" w14:textId="77777777" w:rsidR="00A81C4F" w:rsidRDefault="00A81C4F" w:rsidP="00A81C4F">
      <w:pPr>
        <w:pStyle w:val="Caption"/>
      </w:pPr>
      <w:r w:rsidRPr="000143F8">
        <w:t>Notes:</w:t>
      </w:r>
    </w:p>
    <w:p w14:paraId="1CE39EE6" w14:textId="77777777" w:rsidR="00A81C4F" w:rsidRPr="0003764F" w:rsidRDefault="00A81C4F" w:rsidP="00A81C4F">
      <w:pPr>
        <w:pStyle w:val="Caption"/>
      </w:pPr>
      <w:r>
        <w:t xml:space="preserve">1. </w:t>
      </w:r>
      <w:r w:rsidRPr="0003764F">
        <w:t>The variance between the 2022</w:t>
      </w:r>
      <w:r>
        <w:t>–</w:t>
      </w:r>
      <w:r w:rsidRPr="0003764F">
        <w:t>23 Target/Estimate and the 2022–23 Actual is due to productivity efficiencies.</w:t>
      </w:r>
    </w:p>
    <w:p w14:paraId="63538C02" w14:textId="77777777" w:rsidR="00A81C4F" w:rsidRPr="0003764F" w:rsidRDefault="00A81C4F" w:rsidP="00A81C4F">
      <w:pPr>
        <w:pStyle w:val="Caption"/>
      </w:pPr>
      <w:r>
        <w:t xml:space="preserve">2. </w:t>
      </w:r>
      <w:r w:rsidRPr="0003764F">
        <w:t>The variance between the 2022</w:t>
      </w:r>
      <w:r>
        <w:t>–</w:t>
      </w:r>
      <w:r w:rsidRPr="0003764F">
        <w:t>23 Target/Estimate and the 2022–23 Actual is due to a continued customer service focus on delivering quality and timely services.</w:t>
      </w:r>
    </w:p>
    <w:p w14:paraId="172F1A3F" w14:textId="77777777" w:rsidR="00A81C4F" w:rsidRPr="0003764F" w:rsidRDefault="00A81C4F" w:rsidP="00A81C4F">
      <w:pPr>
        <w:pStyle w:val="Caption"/>
      </w:pPr>
      <w:r>
        <w:t xml:space="preserve">3. </w:t>
      </w:r>
      <w:r w:rsidRPr="0003764F">
        <w:t>The variance between the 2022</w:t>
      </w:r>
      <w:r>
        <w:t>–</w:t>
      </w:r>
      <w:r w:rsidRPr="0003764F">
        <w:t>23 Target/Estimate and the 2022–23 Actual is due to an increase in process automation volumes.</w:t>
      </w:r>
    </w:p>
    <w:p w14:paraId="050E9D7C" w14:textId="77777777" w:rsidR="00A81C4F" w:rsidRDefault="00A81C4F" w:rsidP="00A81C4F">
      <w:pPr>
        <w:pStyle w:val="Heading3"/>
      </w:pPr>
      <w:r>
        <w:lastRenderedPageBreak/>
        <w:t>Shared Service Provider</w:t>
      </w:r>
      <w:r w:rsidRPr="001E5801">
        <w:t xml:space="preserve">: </w:t>
      </w:r>
      <w:r w:rsidRPr="0003764F">
        <w:t>Corporate Administration Agency</w:t>
      </w:r>
    </w:p>
    <w:p w14:paraId="1CBC532C" w14:textId="77777777" w:rsidR="00A81C4F" w:rsidRPr="001E5801" w:rsidRDefault="00A81C4F" w:rsidP="00A81C4F">
      <w:pPr>
        <w:pStyle w:val="Heading4"/>
      </w:pPr>
      <w:r>
        <w:t>O</w:t>
      </w:r>
      <w:r w:rsidRPr="001E5801">
        <w:t>bjective</w:t>
      </w:r>
    </w:p>
    <w:p w14:paraId="7FCF9081" w14:textId="77777777" w:rsidR="00A81C4F" w:rsidRPr="00020EF5" w:rsidRDefault="00A81C4F" w:rsidP="00A81C4F">
      <w:r w:rsidRPr="00020EF5">
        <w:t>To provide effective corporate services that support Queensland Government entities</w:t>
      </w:r>
      <w:r>
        <w:t>,</w:t>
      </w:r>
      <w:r w:rsidRPr="00020EF5">
        <w:t xml:space="preserve"> primarily statutory bodies. </w:t>
      </w:r>
    </w:p>
    <w:p w14:paraId="58E796AE" w14:textId="77777777" w:rsidR="00A81C4F" w:rsidRDefault="00A81C4F" w:rsidP="00A81C4F">
      <w:pPr>
        <w:pStyle w:val="TableofFigures"/>
      </w:pPr>
      <w:r w:rsidRPr="000A4CE2">
        <w:t xml:space="preserve">Table </w:t>
      </w:r>
      <w:r>
        <w:t>50: Corporate Administration Agency e</w:t>
      </w:r>
      <w:r w:rsidRPr="00220FB9">
        <w:t>ffectiveness measure</w:t>
      </w:r>
      <w:r>
        <w:t>s</w:t>
      </w:r>
      <w:r w:rsidRPr="00EA2125">
        <w:t xml:space="preserve"> </w:t>
      </w:r>
    </w:p>
    <w:tbl>
      <w:tblPr>
        <w:tblStyle w:val="GridTable4-Accent1"/>
        <w:tblW w:w="5000" w:type="pct"/>
        <w:tblLook w:val="04A0" w:firstRow="1" w:lastRow="0" w:firstColumn="1" w:lastColumn="0" w:noHBand="0" w:noVBand="1"/>
      </w:tblPr>
      <w:tblGrid>
        <w:gridCol w:w="6246"/>
        <w:gridCol w:w="872"/>
        <w:gridCol w:w="1742"/>
        <w:gridCol w:w="1596"/>
      </w:tblGrid>
      <w:tr w:rsidR="00A81C4F" w:rsidRPr="000A4CE2" w14:paraId="0587CAF3" w14:textId="77777777" w:rsidTr="00524412">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2987" w:type="pct"/>
          </w:tcPr>
          <w:p w14:paraId="478C67C1" w14:textId="77777777" w:rsidR="00A81C4F" w:rsidRPr="00020EF5" w:rsidRDefault="00A81C4F" w:rsidP="00387B2A">
            <w:pPr>
              <w:pStyle w:val="Normal-table"/>
            </w:pPr>
            <w:r w:rsidRPr="00EB1A71">
              <w:t>Service standards</w:t>
            </w:r>
          </w:p>
        </w:tc>
        <w:tc>
          <w:tcPr>
            <w:tcW w:w="417" w:type="pct"/>
          </w:tcPr>
          <w:p w14:paraId="70752915"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rsidRPr="00EB1A71">
              <w:t>Notes</w:t>
            </w:r>
          </w:p>
        </w:tc>
        <w:tc>
          <w:tcPr>
            <w:tcW w:w="833" w:type="pct"/>
          </w:tcPr>
          <w:p w14:paraId="59B5FFE4"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Target / Estimate</w:t>
            </w:r>
          </w:p>
        </w:tc>
        <w:tc>
          <w:tcPr>
            <w:tcW w:w="763" w:type="pct"/>
          </w:tcPr>
          <w:p w14:paraId="3626B202"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Actual</w:t>
            </w:r>
          </w:p>
        </w:tc>
      </w:tr>
      <w:tr w:rsidR="00A81C4F" w:rsidRPr="000A4CE2" w14:paraId="16DAED43" w14:textId="77777777" w:rsidTr="00524412">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987" w:type="pct"/>
          </w:tcPr>
          <w:p w14:paraId="4581860C" w14:textId="77777777" w:rsidR="00A81C4F" w:rsidRPr="00020EF5" w:rsidRDefault="00A81C4F" w:rsidP="00387B2A">
            <w:pPr>
              <w:pStyle w:val="Normal-table"/>
            </w:pPr>
            <w:r w:rsidRPr="00690016">
              <w:t xml:space="preserve">Overall customer satisfaction with CAA </w:t>
            </w:r>
            <w:r w:rsidRPr="00020EF5">
              <w:t>Services</w:t>
            </w:r>
          </w:p>
        </w:tc>
        <w:tc>
          <w:tcPr>
            <w:tcW w:w="417" w:type="pct"/>
          </w:tcPr>
          <w:p w14:paraId="150055ED"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1</w:t>
            </w:r>
          </w:p>
        </w:tc>
        <w:tc>
          <w:tcPr>
            <w:tcW w:w="833" w:type="pct"/>
          </w:tcPr>
          <w:p w14:paraId="48ED1739"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8664D0">
              <w:t>90%</w:t>
            </w:r>
          </w:p>
        </w:tc>
        <w:tc>
          <w:tcPr>
            <w:tcW w:w="763" w:type="pct"/>
          </w:tcPr>
          <w:p w14:paraId="4AA0D367"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543812">
              <w:t>85</w:t>
            </w:r>
            <w:r w:rsidRPr="00020EF5">
              <w:t>%</w:t>
            </w:r>
          </w:p>
        </w:tc>
      </w:tr>
      <w:tr w:rsidR="00A81C4F" w:rsidRPr="000A4CE2" w14:paraId="0D5E65ED" w14:textId="77777777" w:rsidTr="00524412">
        <w:trPr>
          <w:trHeight w:val="60"/>
        </w:trPr>
        <w:tc>
          <w:tcPr>
            <w:cnfStyle w:val="001000000000" w:firstRow="0" w:lastRow="0" w:firstColumn="1" w:lastColumn="0" w:oddVBand="0" w:evenVBand="0" w:oddHBand="0" w:evenHBand="0" w:firstRowFirstColumn="0" w:firstRowLastColumn="0" w:lastRowFirstColumn="0" w:lastRowLastColumn="0"/>
            <w:tcW w:w="2987" w:type="pct"/>
          </w:tcPr>
          <w:p w14:paraId="67CCEAD2" w14:textId="77777777" w:rsidR="00A81C4F" w:rsidRPr="00020EF5" w:rsidRDefault="00A81C4F" w:rsidP="00387B2A">
            <w:pPr>
              <w:pStyle w:val="Normal-table"/>
            </w:pPr>
            <w:r w:rsidRPr="00346CFF">
              <w:t>Overall customers consider CAA services are value for money</w:t>
            </w:r>
          </w:p>
        </w:tc>
        <w:tc>
          <w:tcPr>
            <w:tcW w:w="417" w:type="pct"/>
          </w:tcPr>
          <w:p w14:paraId="3B595F11" w14:textId="77777777" w:rsidR="00A81C4F" w:rsidRPr="000A4CE2" w:rsidRDefault="00A81C4F" w:rsidP="00387B2A">
            <w:pPr>
              <w:pStyle w:val="Normal-table"/>
              <w:cnfStyle w:val="000000000000" w:firstRow="0" w:lastRow="0" w:firstColumn="0" w:lastColumn="0" w:oddVBand="0" w:evenVBand="0" w:oddHBand="0" w:evenHBand="0" w:firstRowFirstColumn="0" w:firstRowLastColumn="0" w:lastRowFirstColumn="0" w:lastRowLastColumn="0"/>
            </w:pPr>
          </w:p>
        </w:tc>
        <w:tc>
          <w:tcPr>
            <w:tcW w:w="833" w:type="pct"/>
          </w:tcPr>
          <w:p w14:paraId="6EA0F4C7" w14:textId="77777777" w:rsidR="00A81C4F" w:rsidRPr="00020EF5"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t>95%</w:t>
            </w:r>
          </w:p>
        </w:tc>
        <w:tc>
          <w:tcPr>
            <w:tcW w:w="763" w:type="pct"/>
          </w:tcPr>
          <w:p w14:paraId="2FDB5BD2" w14:textId="77777777" w:rsidR="00A81C4F" w:rsidRPr="00020EF5"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rsidRPr="00543812">
              <w:t>100%</w:t>
            </w:r>
          </w:p>
        </w:tc>
      </w:tr>
    </w:tbl>
    <w:p w14:paraId="7978F861" w14:textId="77777777" w:rsidR="00A81C4F" w:rsidRDefault="00A81C4F" w:rsidP="00A81C4F"/>
    <w:p w14:paraId="30DDA5CA" w14:textId="77777777" w:rsidR="00A81C4F" w:rsidRPr="000A4CE2" w:rsidRDefault="00A81C4F" w:rsidP="00A81C4F">
      <w:pPr>
        <w:pStyle w:val="TableofFigures"/>
      </w:pPr>
      <w:r w:rsidRPr="000A4CE2">
        <w:t xml:space="preserve">Table </w:t>
      </w:r>
      <w:r>
        <w:t xml:space="preserve">51: Corporate Administration Agency efficiency measures </w:t>
      </w:r>
    </w:p>
    <w:tbl>
      <w:tblPr>
        <w:tblStyle w:val="GridTable4-Accent1"/>
        <w:tblW w:w="5000" w:type="pct"/>
        <w:tblLook w:val="04A0" w:firstRow="1" w:lastRow="0" w:firstColumn="1" w:lastColumn="0" w:noHBand="0" w:noVBand="1"/>
      </w:tblPr>
      <w:tblGrid>
        <w:gridCol w:w="6246"/>
        <w:gridCol w:w="872"/>
        <w:gridCol w:w="1742"/>
        <w:gridCol w:w="1596"/>
      </w:tblGrid>
      <w:tr w:rsidR="00A81C4F" w:rsidRPr="000A4CE2" w14:paraId="36B64682" w14:textId="77777777" w:rsidTr="00524412">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2987" w:type="pct"/>
          </w:tcPr>
          <w:p w14:paraId="422DF64C" w14:textId="77777777" w:rsidR="00A81C4F" w:rsidRPr="00020EF5" w:rsidRDefault="00A81C4F" w:rsidP="00387B2A">
            <w:pPr>
              <w:pStyle w:val="Normal-table"/>
            </w:pPr>
            <w:r w:rsidRPr="00EB1A71">
              <w:t>Service standards</w:t>
            </w:r>
          </w:p>
        </w:tc>
        <w:tc>
          <w:tcPr>
            <w:tcW w:w="417" w:type="pct"/>
          </w:tcPr>
          <w:p w14:paraId="784E991F"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rsidRPr="00EB1A71">
              <w:t>Notes</w:t>
            </w:r>
          </w:p>
        </w:tc>
        <w:tc>
          <w:tcPr>
            <w:tcW w:w="833" w:type="pct"/>
          </w:tcPr>
          <w:p w14:paraId="7A554074"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Target / Estimate</w:t>
            </w:r>
          </w:p>
        </w:tc>
        <w:tc>
          <w:tcPr>
            <w:tcW w:w="763" w:type="pct"/>
          </w:tcPr>
          <w:p w14:paraId="3396AEA2" w14:textId="77777777" w:rsidR="00A81C4F" w:rsidRPr="00020EF5"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t xml:space="preserve">2022–23 </w:t>
            </w:r>
            <w:r w:rsidRPr="00EB1A71">
              <w:t>Actual</w:t>
            </w:r>
          </w:p>
        </w:tc>
      </w:tr>
      <w:tr w:rsidR="00A81C4F" w:rsidRPr="000A4CE2" w14:paraId="32D9CA8B" w14:textId="77777777" w:rsidTr="00524412">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987" w:type="pct"/>
          </w:tcPr>
          <w:p w14:paraId="09BBB1E9" w14:textId="77777777" w:rsidR="00A81C4F" w:rsidRPr="00020EF5" w:rsidRDefault="00A81C4F" w:rsidP="00387B2A">
            <w:pPr>
              <w:pStyle w:val="Normal-table"/>
            </w:pPr>
            <w:r w:rsidRPr="000A6C43">
              <w:t>CAA operating surplus/(deficit)</w:t>
            </w:r>
          </w:p>
        </w:tc>
        <w:tc>
          <w:tcPr>
            <w:tcW w:w="417" w:type="pct"/>
          </w:tcPr>
          <w:p w14:paraId="00A4F278"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t>2</w:t>
            </w:r>
          </w:p>
        </w:tc>
        <w:tc>
          <w:tcPr>
            <w:tcW w:w="833" w:type="pct"/>
          </w:tcPr>
          <w:p w14:paraId="52F68942"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6A31FE">
              <w:t>+2%</w:t>
            </w:r>
          </w:p>
        </w:tc>
        <w:tc>
          <w:tcPr>
            <w:tcW w:w="763" w:type="pct"/>
          </w:tcPr>
          <w:p w14:paraId="56FC9480" w14:textId="77777777" w:rsidR="00A81C4F" w:rsidRPr="00020EF5"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543812">
              <w:t>-2.50%</w:t>
            </w:r>
          </w:p>
        </w:tc>
      </w:tr>
      <w:tr w:rsidR="00A81C4F" w:rsidRPr="000A4CE2" w14:paraId="1399BFCC" w14:textId="77777777" w:rsidTr="00524412">
        <w:trPr>
          <w:trHeight w:val="60"/>
        </w:trPr>
        <w:tc>
          <w:tcPr>
            <w:cnfStyle w:val="001000000000" w:firstRow="0" w:lastRow="0" w:firstColumn="1" w:lastColumn="0" w:oddVBand="0" w:evenVBand="0" w:oddHBand="0" w:evenHBand="0" w:firstRowFirstColumn="0" w:firstRowLastColumn="0" w:lastRowFirstColumn="0" w:lastRowLastColumn="0"/>
            <w:tcW w:w="2987" w:type="pct"/>
          </w:tcPr>
          <w:p w14:paraId="683BFA61" w14:textId="77777777" w:rsidR="00A81C4F" w:rsidRPr="00020EF5" w:rsidRDefault="00A81C4F" w:rsidP="00387B2A">
            <w:pPr>
              <w:pStyle w:val="Normal-table"/>
            </w:pPr>
            <w:r w:rsidRPr="008A5BA1">
              <w:t xml:space="preserve">Cost per pay for </w:t>
            </w:r>
            <w:r w:rsidRPr="00020EF5">
              <w:t>salary-based employees</w:t>
            </w:r>
          </w:p>
        </w:tc>
        <w:tc>
          <w:tcPr>
            <w:tcW w:w="417" w:type="pct"/>
          </w:tcPr>
          <w:p w14:paraId="60014ACE" w14:textId="77777777" w:rsidR="00A81C4F" w:rsidRPr="0003764F" w:rsidRDefault="00A81C4F" w:rsidP="00387B2A">
            <w:pPr>
              <w:pStyle w:val="Normal-table"/>
              <w:cnfStyle w:val="000000000000" w:firstRow="0" w:lastRow="0" w:firstColumn="0" w:lastColumn="0" w:oddVBand="0" w:evenVBand="0" w:oddHBand="0" w:evenHBand="0" w:firstRowFirstColumn="0" w:firstRowLastColumn="0" w:lastRowFirstColumn="0" w:lastRowLastColumn="0"/>
            </w:pPr>
          </w:p>
        </w:tc>
        <w:tc>
          <w:tcPr>
            <w:tcW w:w="833" w:type="pct"/>
          </w:tcPr>
          <w:p w14:paraId="2C9FAC6F" w14:textId="77777777" w:rsidR="00A81C4F" w:rsidRPr="00020EF5"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t>≤</w:t>
            </w:r>
            <w:r w:rsidRPr="00020EF5">
              <w:t xml:space="preserve"> $15.82</w:t>
            </w:r>
          </w:p>
        </w:tc>
        <w:tc>
          <w:tcPr>
            <w:tcW w:w="763" w:type="pct"/>
          </w:tcPr>
          <w:p w14:paraId="04A6F1E0" w14:textId="77777777" w:rsidR="00A81C4F" w:rsidRPr="00020EF5"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rsidRPr="00543812">
              <w:t>$</w:t>
            </w:r>
            <w:r w:rsidRPr="00020EF5">
              <w:t>15.52</w:t>
            </w:r>
          </w:p>
        </w:tc>
      </w:tr>
    </w:tbl>
    <w:p w14:paraId="4CE49363" w14:textId="77777777" w:rsidR="00A81C4F" w:rsidRDefault="00A81C4F" w:rsidP="00A81C4F">
      <w:pPr>
        <w:pStyle w:val="Caption"/>
      </w:pPr>
      <w:r w:rsidRPr="000143F8">
        <w:t>Notes:</w:t>
      </w:r>
    </w:p>
    <w:p w14:paraId="77F723FD" w14:textId="77777777" w:rsidR="00A81C4F" w:rsidRDefault="00A81C4F" w:rsidP="00A81C4F">
      <w:pPr>
        <w:pStyle w:val="Caption"/>
      </w:pPr>
      <w:r>
        <w:t xml:space="preserve">1. </w:t>
      </w:r>
      <w:r w:rsidRPr="0003764F">
        <w:t>The variance between the 2022–23 Target/Estimate and the 2022–23 Actual is largely due to a decrease in satisfaction in some CAA service lines; attributable to greater than forecast demands in these areas and key staff turnover within both CAA and customers.</w:t>
      </w:r>
    </w:p>
    <w:p w14:paraId="5F2C97BF" w14:textId="77777777" w:rsidR="00A81C4F" w:rsidRPr="00303FE0" w:rsidRDefault="00A81C4F" w:rsidP="00A81C4F">
      <w:pPr>
        <w:pStyle w:val="Caption"/>
      </w:pPr>
      <w:r>
        <w:t xml:space="preserve">2. </w:t>
      </w:r>
      <w:r w:rsidRPr="0003764F">
        <w:t>The variance between the 2022–23 Target/Estimate and the 2022–23 Actual is due to unforeseen delays in forecasted projects being completed which is attributed to greater than forecast demands on business-as-usual services</w:t>
      </w:r>
      <w:r>
        <w:t>.</w:t>
      </w:r>
    </w:p>
    <w:p w14:paraId="5E02B2FF" w14:textId="77777777" w:rsidR="00916DF7" w:rsidRDefault="00916DF7">
      <w:pPr>
        <w:spacing w:before="0" w:after="160" w:line="259" w:lineRule="auto"/>
        <w:rPr>
          <w:rFonts w:eastAsiaTheme="majorEastAsia" w:cstheme="majorBidi"/>
          <w:color w:val="000000" w:themeColor="text1"/>
          <w:sz w:val="48"/>
          <w:szCs w:val="26"/>
        </w:rPr>
      </w:pPr>
      <w:r>
        <w:br w:type="page"/>
      </w:r>
    </w:p>
    <w:p w14:paraId="7018810D" w14:textId="5CAFC418" w:rsidR="00A81C4F" w:rsidRPr="00CE29E5" w:rsidRDefault="00A81C4F" w:rsidP="00A81C4F">
      <w:pPr>
        <w:pStyle w:val="Heading2"/>
      </w:pPr>
      <w:r w:rsidRPr="00CE29E5">
        <w:lastRenderedPageBreak/>
        <w:t xml:space="preserve">Appendix </w:t>
      </w:r>
      <w:r>
        <w:t>4 – Camera Detected Offence Program</w:t>
      </w:r>
    </w:p>
    <w:p w14:paraId="771BB399" w14:textId="77777777" w:rsidR="00A81C4F" w:rsidRPr="00D0092E" w:rsidRDefault="00A81C4F" w:rsidP="00A81C4F">
      <w:pPr>
        <w:pStyle w:val="Caption"/>
      </w:pPr>
      <w:r w:rsidRPr="00D0092E">
        <w:t>Note.</w:t>
      </w:r>
      <w:r>
        <w:t xml:space="preserve"> </w:t>
      </w:r>
      <w:r w:rsidRPr="00D0092E">
        <w:t>Total 2022</w:t>
      </w:r>
      <w:r>
        <w:t>–</w:t>
      </w:r>
      <w:r w:rsidRPr="00D0092E">
        <w:t xml:space="preserve">23 expenditure on </w:t>
      </w:r>
      <w:r>
        <w:t>Camera Detected Offence Program (</w:t>
      </w:r>
      <w:r w:rsidRPr="00D0092E">
        <w:t>CDOP</w:t>
      </w:r>
      <w:r>
        <w:t>)</w:t>
      </w:r>
      <w:r w:rsidRPr="00D0092E">
        <w:t xml:space="preserve"> related activities can include funding from prior year and expenditure brought forward.</w:t>
      </w:r>
    </w:p>
    <w:p w14:paraId="7CC5F9BA" w14:textId="77777777" w:rsidR="00A81C4F" w:rsidRPr="005C589A" w:rsidRDefault="00A81C4F" w:rsidP="00A81C4F">
      <w:pPr>
        <w:pStyle w:val="Heading3"/>
      </w:pPr>
      <w:r w:rsidRPr="005C589A">
        <w:t>Revenue</w:t>
      </w:r>
    </w:p>
    <w:p w14:paraId="520A4C3B" w14:textId="77777777" w:rsidR="00A81C4F" w:rsidRDefault="00A81C4F" w:rsidP="00A81C4F">
      <w:pPr>
        <w:pStyle w:val="TableofFigures"/>
      </w:pPr>
      <w:r>
        <w:t xml:space="preserve">Table 52: CDOP financial overview for </w:t>
      </w:r>
      <w:r w:rsidRPr="000F25E4">
        <w:t>2022</w:t>
      </w:r>
      <w:r>
        <w:t>–</w:t>
      </w:r>
      <w:r w:rsidRPr="000F25E4">
        <w:t>23</w:t>
      </w:r>
    </w:p>
    <w:tbl>
      <w:tblPr>
        <w:tblStyle w:val="GridTable4-Accent1"/>
        <w:tblW w:w="5000" w:type="pct"/>
        <w:tblLook w:val="04A0" w:firstRow="1" w:lastRow="0" w:firstColumn="1" w:lastColumn="0" w:noHBand="0" w:noVBand="1"/>
      </w:tblPr>
      <w:tblGrid>
        <w:gridCol w:w="4904"/>
        <w:gridCol w:w="5552"/>
      </w:tblGrid>
      <w:tr w:rsidR="00A81C4F" w14:paraId="2018463F" w14:textId="77777777" w:rsidTr="00524412">
        <w:trPr>
          <w:cnfStyle w:val="100000000000" w:firstRow="1" w:lastRow="0" w:firstColumn="0" w:lastColumn="0" w:oddVBand="0" w:evenVBand="0" w:oddHBand="0" w:evenHBand="0" w:firstRowFirstColumn="0" w:firstRowLastColumn="0" w:lastRowFirstColumn="0" w:lastRowLastColumn="0"/>
          <w:trHeight w:val="293"/>
          <w:tblHeader/>
        </w:trPr>
        <w:tc>
          <w:tcPr>
            <w:cnfStyle w:val="001000000000" w:firstRow="0" w:lastRow="0" w:firstColumn="1" w:lastColumn="0" w:oddVBand="0" w:evenVBand="0" w:oddHBand="0" w:evenHBand="0" w:firstRowFirstColumn="0" w:firstRowLastColumn="0" w:lastRowFirstColumn="0" w:lastRowLastColumn="0"/>
            <w:tcW w:w="2345" w:type="pct"/>
          </w:tcPr>
          <w:p w14:paraId="701B506B" w14:textId="77777777" w:rsidR="00A81C4F" w:rsidRPr="00AB0973" w:rsidRDefault="00A81C4F" w:rsidP="00387B2A">
            <w:pPr>
              <w:pStyle w:val="Normal-table"/>
            </w:pPr>
            <w:r w:rsidRPr="00B14FF2">
              <w:t>Revenue</w:t>
            </w:r>
          </w:p>
        </w:tc>
        <w:tc>
          <w:tcPr>
            <w:tcW w:w="2655" w:type="pct"/>
          </w:tcPr>
          <w:p w14:paraId="62E902AB" w14:textId="77777777" w:rsidR="00A81C4F" w:rsidRPr="00AB0973"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rsidRPr="00B14FF2">
              <w:t>$'000</w:t>
            </w:r>
          </w:p>
        </w:tc>
      </w:tr>
      <w:tr w:rsidR="00A81C4F" w14:paraId="5FBCE0E1" w14:textId="77777777" w:rsidTr="00524412">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345" w:type="pct"/>
          </w:tcPr>
          <w:p w14:paraId="5E4B967B" w14:textId="77777777" w:rsidR="00A81C4F" w:rsidRPr="00AB0973" w:rsidRDefault="00A81C4F" w:rsidP="00387B2A">
            <w:pPr>
              <w:pStyle w:val="Normal-table"/>
            </w:pPr>
            <w:r w:rsidRPr="00B14FF2">
              <w:t>Department of Transport and Main Roads</w:t>
            </w:r>
          </w:p>
        </w:tc>
        <w:tc>
          <w:tcPr>
            <w:tcW w:w="2655" w:type="pct"/>
          </w:tcPr>
          <w:p w14:paraId="14D8E459" w14:textId="77777777" w:rsidR="00A81C4F" w:rsidRPr="00AB0973"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B14FF2">
              <w:t xml:space="preserve"> 32,171 </w:t>
            </w:r>
          </w:p>
        </w:tc>
      </w:tr>
      <w:tr w:rsidR="00A81C4F" w14:paraId="4EFD211B" w14:textId="77777777" w:rsidTr="00524412">
        <w:trPr>
          <w:trHeight w:val="293"/>
        </w:trPr>
        <w:tc>
          <w:tcPr>
            <w:cnfStyle w:val="001000000000" w:firstRow="0" w:lastRow="0" w:firstColumn="1" w:lastColumn="0" w:oddVBand="0" w:evenVBand="0" w:oddHBand="0" w:evenHBand="0" w:firstRowFirstColumn="0" w:firstRowLastColumn="0" w:lastRowFirstColumn="0" w:lastRowLastColumn="0"/>
            <w:tcW w:w="2345" w:type="pct"/>
          </w:tcPr>
          <w:p w14:paraId="6C0BFA91" w14:textId="77777777" w:rsidR="00A81C4F" w:rsidRPr="00AB0973" w:rsidRDefault="00A81C4F" w:rsidP="00387B2A">
            <w:pPr>
              <w:pStyle w:val="Normal-table"/>
            </w:pPr>
            <w:r w:rsidRPr="00B14FF2">
              <w:t>Queensland Treasury</w:t>
            </w:r>
          </w:p>
        </w:tc>
        <w:tc>
          <w:tcPr>
            <w:tcW w:w="2655" w:type="pct"/>
          </w:tcPr>
          <w:p w14:paraId="22987CEC" w14:textId="77777777" w:rsidR="00A81C4F" w:rsidRPr="00AB0973"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rsidRPr="00B14FF2">
              <w:t xml:space="preserve"> 408,966 </w:t>
            </w:r>
          </w:p>
        </w:tc>
      </w:tr>
      <w:tr w:rsidR="00A81C4F" w14:paraId="66F34832" w14:textId="77777777" w:rsidTr="0052441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345" w:type="pct"/>
          </w:tcPr>
          <w:p w14:paraId="5FEBEB90" w14:textId="77777777" w:rsidR="00A81C4F" w:rsidRPr="00AB0973" w:rsidRDefault="00A81C4F" w:rsidP="00387B2A">
            <w:pPr>
              <w:pStyle w:val="Normal-table"/>
            </w:pPr>
            <w:r w:rsidRPr="00B14FF2">
              <w:t>Total Revenue</w:t>
            </w:r>
          </w:p>
        </w:tc>
        <w:tc>
          <w:tcPr>
            <w:tcW w:w="2655" w:type="pct"/>
          </w:tcPr>
          <w:p w14:paraId="78B8DC95" w14:textId="77777777" w:rsidR="00A81C4F" w:rsidRPr="00AB0973"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B14FF2">
              <w:t xml:space="preserve"> 441,137 </w:t>
            </w:r>
          </w:p>
        </w:tc>
      </w:tr>
    </w:tbl>
    <w:p w14:paraId="1E25A0F9" w14:textId="77777777" w:rsidR="00A81C4F" w:rsidRDefault="00A81C4F" w:rsidP="00A81C4F"/>
    <w:p w14:paraId="249D3F22" w14:textId="77777777" w:rsidR="00A81C4F" w:rsidRDefault="00A81C4F" w:rsidP="00A81C4F">
      <w:pPr>
        <w:pStyle w:val="Heading3"/>
      </w:pPr>
      <w:r w:rsidRPr="005E04F4">
        <w:t>Administrative</w:t>
      </w:r>
      <w:r w:rsidRPr="000F25E4">
        <w:t>/operational costs</w:t>
      </w:r>
    </w:p>
    <w:p w14:paraId="3F8BCA8D" w14:textId="77777777" w:rsidR="00A81C4F" w:rsidRDefault="00A81C4F" w:rsidP="00A81C4F">
      <w:pPr>
        <w:pStyle w:val="TableofFigures"/>
      </w:pPr>
      <w:r>
        <w:t xml:space="preserve">Table 53: CDOP financial overview for </w:t>
      </w:r>
      <w:r w:rsidRPr="000F25E4">
        <w:t>2022</w:t>
      </w:r>
      <w:r>
        <w:t>–</w:t>
      </w:r>
      <w:r w:rsidRPr="000F25E4">
        <w:t>23</w:t>
      </w:r>
      <w:r>
        <w:t>—</w:t>
      </w:r>
      <w:r w:rsidRPr="00B14FF2">
        <w:t>Administrative/operational costs</w:t>
      </w:r>
    </w:p>
    <w:tbl>
      <w:tblPr>
        <w:tblStyle w:val="GridTable4-Accent1"/>
        <w:tblW w:w="5000" w:type="pct"/>
        <w:tblLook w:val="04A0" w:firstRow="1" w:lastRow="0" w:firstColumn="1" w:lastColumn="0" w:noHBand="0" w:noVBand="1"/>
      </w:tblPr>
      <w:tblGrid>
        <w:gridCol w:w="5228"/>
        <w:gridCol w:w="5228"/>
      </w:tblGrid>
      <w:tr w:rsidR="00A81C4F" w14:paraId="018530D8" w14:textId="77777777" w:rsidTr="00524412">
        <w:trPr>
          <w:cnfStyle w:val="100000000000" w:firstRow="1" w:lastRow="0" w:firstColumn="0" w:lastColumn="0" w:oddVBand="0" w:evenVBand="0" w:oddHBand="0" w:evenHBand="0" w:firstRowFirstColumn="0" w:firstRowLastColumn="0" w:lastRowFirstColumn="0" w:lastRowLastColumn="0"/>
          <w:trHeight w:val="332"/>
          <w:tblHeader/>
        </w:trPr>
        <w:tc>
          <w:tcPr>
            <w:cnfStyle w:val="001000000000" w:firstRow="0" w:lastRow="0" w:firstColumn="1" w:lastColumn="0" w:oddVBand="0" w:evenVBand="0" w:oddHBand="0" w:evenHBand="0" w:firstRowFirstColumn="0" w:firstRowLastColumn="0" w:lastRowFirstColumn="0" w:lastRowLastColumn="0"/>
            <w:tcW w:w="2500" w:type="pct"/>
          </w:tcPr>
          <w:p w14:paraId="70E65CD6" w14:textId="77777777" w:rsidR="00A81C4F" w:rsidRPr="00AB0973" w:rsidRDefault="00A81C4F" w:rsidP="00387B2A">
            <w:pPr>
              <w:pStyle w:val="Normal-table"/>
            </w:pPr>
            <w:r w:rsidRPr="005E04F4">
              <w:t>Expenditure</w:t>
            </w:r>
          </w:p>
        </w:tc>
        <w:tc>
          <w:tcPr>
            <w:tcW w:w="2500" w:type="pct"/>
          </w:tcPr>
          <w:p w14:paraId="508460DF" w14:textId="77777777" w:rsidR="00A81C4F" w:rsidRPr="00AB0973"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rsidRPr="00B14FF2">
              <w:t>$'000</w:t>
            </w:r>
          </w:p>
        </w:tc>
      </w:tr>
      <w:tr w:rsidR="00A81C4F" w14:paraId="09F16FEB" w14:textId="77777777" w:rsidTr="00524412">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500" w:type="pct"/>
          </w:tcPr>
          <w:p w14:paraId="6DAF7C2C" w14:textId="77777777" w:rsidR="00A81C4F" w:rsidRPr="00AB0973" w:rsidRDefault="00A81C4F" w:rsidP="00387B2A">
            <w:pPr>
              <w:pStyle w:val="Normal-table"/>
            </w:pPr>
            <w:r w:rsidRPr="00B14FF2">
              <w:t>Department of Transport and Main Roads - operating</w:t>
            </w:r>
          </w:p>
        </w:tc>
        <w:tc>
          <w:tcPr>
            <w:tcW w:w="2500" w:type="pct"/>
          </w:tcPr>
          <w:p w14:paraId="003B9C8D" w14:textId="0A22249A" w:rsidR="00A81C4F" w:rsidRPr="00AB0973"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B14FF2">
              <w:t>24,956</w:t>
            </w:r>
          </w:p>
        </w:tc>
      </w:tr>
      <w:tr w:rsidR="00A81C4F" w14:paraId="4B5AF4DF" w14:textId="77777777" w:rsidTr="00524412">
        <w:trPr>
          <w:trHeight w:val="488"/>
        </w:trPr>
        <w:tc>
          <w:tcPr>
            <w:cnfStyle w:val="001000000000" w:firstRow="0" w:lastRow="0" w:firstColumn="1" w:lastColumn="0" w:oddVBand="0" w:evenVBand="0" w:oddHBand="0" w:evenHBand="0" w:firstRowFirstColumn="0" w:firstRowLastColumn="0" w:lastRowFirstColumn="0" w:lastRowLastColumn="0"/>
            <w:tcW w:w="2500" w:type="pct"/>
          </w:tcPr>
          <w:p w14:paraId="0E5F41AC" w14:textId="77777777" w:rsidR="00A81C4F" w:rsidRPr="00AB0973" w:rsidRDefault="00A81C4F" w:rsidP="00387B2A">
            <w:pPr>
              <w:pStyle w:val="Normal-table"/>
            </w:pPr>
            <w:r w:rsidRPr="00B14FF2">
              <w:t>Department of Transport and Main Roads - equity</w:t>
            </w:r>
          </w:p>
        </w:tc>
        <w:tc>
          <w:tcPr>
            <w:tcW w:w="2500" w:type="pct"/>
          </w:tcPr>
          <w:p w14:paraId="77672748" w14:textId="4E3356F2" w:rsidR="00A81C4F" w:rsidRPr="00AB0973"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rsidRPr="00B14FF2">
              <w:t>13,343</w:t>
            </w:r>
          </w:p>
        </w:tc>
      </w:tr>
      <w:tr w:rsidR="00A81C4F" w14:paraId="39717C11" w14:textId="77777777" w:rsidTr="00524412">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2500" w:type="pct"/>
          </w:tcPr>
          <w:p w14:paraId="7B70ED0B" w14:textId="77777777" w:rsidR="00A81C4F" w:rsidRPr="00AB0973" w:rsidRDefault="00A81C4F" w:rsidP="00387B2A">
            <w:pPr>
              <w:pStyle w:val="Normal-table"/>
            </w:pPr>
            <w:r w:rsidRPr="00B14FF2">
              <w:t>Queensland Police Service - operating (including road safety enforcement initiatives)</w:t>
            </w:r>
          </w:p>
        </w:tc>
        <w:tc>
          <w:tcPr>
            <w:tcW w:w="2500" w:type="pct"/>
          </w:tcPr>
          <w:p w14:paraId="3642BDA0" w14:textId="3E945BD8" w:rsidR="00A81C4F" w:rsidRPr="00AB0973"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B14FF2">
              <w:t>35,925</w:t>
            </w:r>
          </w:p>
        </w:tc>
      </w:tr>
      <w:tr w:rsidR="00A81C4F" w14:paraId="0B06E1FF" w14:textId="77777777" w:rsidTr="00524412">
        <w:trPr>
          <w:trHeight w:val="488"/>
        </w:trPr>
        <w:tc>
          <w:tcPr>
            <w:cnfStyle w:val="001000000000" w:firstRow="0" w:lastRow="0" w:firstColumn="1" w:lastColumn="0" w:oddVBand="0" w:evenVBand="0" w:oddHBand="0" w:evenHBand="0" w:firstRowFirstColumn="0" w:firstRowLastColumn="0" w:lastRowFirstColumn="0" w:lastRowLastColumn="0"/>
            <w:tcW w:w="2500" w:type="pct"/>
          </w:tcPr>
          <w:p w14:paraId="51B162F4" w14:textId="77777777" w:rsidR="00A81C4F" w:rsidRPr="00AB0973" w:rsidRDefault="00A81C4F" w:rsidP="00387B2A">
            <w:pPr>
              <w:pStyle w:val="Normal-table"/>
            </w:pPr>
            <w:r w:rsidRPr="00B14FF2">
              <w:t>Queensland Police Service - equity</w:t>
            </w:r>
          </w:p>
        </w:tc>
        <w:tc>
          <w:tcPr>
            <w:tcW w:w="2500" w:type="pct"/>
          </w:tcPr>
          <w:p w14:paraId="1D2E0F1F" w14:textId="3F04D8EF" w:rsidR="00A81C4F" w:rsidRPr="00AB0973"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rsidRPr="00B14FF2">
              <w:t>2193</w:t>
            </w:r>
          </w:p>
        </w:tc>
      </w:tr>
      <w:tr w:rsidR="00A81C4F" w14:paraId="78CAEA83" w14:textId="77777777" w:rsidTr="00524412">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500" w:type="pct"/>
          </w:tcPr>
          <w:p w14:paraId="22189CED" w14:textId="77777777" w:rsidR="00A81C4F" w:rsidRPr="00AB0973" w:rsidRDefault="00A81C4F" w:rsidP="00387B2A">
            <w:pPr>
              <w:pStyle w:val="Normal-table"/>
            </w:pPr>
            <w:r w:rsidRPr="00B14FF2">
              <w:t>Queensland Treasury</w:t>
            </w:r>
          </w:p>
        </w:tc>
        <w:tc>
          <w:tcPr>
            <w:tcW w:w="2500" w:type="pct"/>
          </w:tcPr>
          <w:p w14:paraId="2548E6CC" w14:textId="6913DF6C" w:rsidR="00A81C4F" w:rsidRPr="00AB0973"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B14FF2">
              <w:t>33,421</w:t>
            </w:r>
          </w:p>
        </w:tc>
      </w:tr>
      <w:tr w:rsidR="00A81C4F" w14:paraId="054A6B95" w14:textId="77777777" w:rsidTr="00524412">
        <w:trPr>
          <w:trHeight w:val="632"/>
        </w:trPr>
        <w:tc>
          <w:tcPr>
            <w:cnfStyle w:val="001000000000" w:firstRow="0" w:lastRow="0" w:firstColumn="1" w:lastColumn="0" w:oddVBand="0" w:evenVBand="0" w:oddHBand="0" w:evenHBand="0" w:firstRowFirstColumn="0" w:firstRowLastColumn="0" w:lastRowFirstColumn="0" w:lastRowLastColumn="0"/>
            <w:tcW w:w="2500" w:type="pct"/>
          </w:tcPr>
          <w:p w14:paraId="1B938B98" w14:textId="77777777" w:rsidR="00A81C4F" w:rsidRPr="00AB0973" w:rsidRDefault="00A81C4F" w:rsidP="00387B2A">
            <w:pPr>
              <w:pStyle w:val="Normal-table"/>
            </w:pPr>
            <w:r w:rsidRPr="00B14FF2">
              <w:t>Total administrative/operational costs</w:t>
            </w:r>
          </w:p>
        </w:tc>
        <w:tc>
          <w:tcPr>
            <w:tcW w:w="2500" w:type="pct"/>
          </w:tcPr>
          <w:p w14:paraId="065EFE32" w14:textId="5484C02A" w:rsidR="00A81C4F" w:rsidRPr="00AB0973"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rsidRPr="00B14FF2">
              <w:t>109,838</w:t>
            </w:r>
          </w:p>
        </w:tc>
      </w:tr>
    </w:tbl>
    <w:p w14:paraId="130DD513" w14:textId="77777777" w:rsidR="00A81C4F" w:rsidRDefault="00A81C4F" w:rsidP="00A81C4F"/>
    <w:p w14:paraId="14B3F83F" w14:textId="77777777" w:rsidR="00A81C4F" w:rsidRDefault="00A81C4F" w:rsidP="00A81C4F">
      <w:pPr>
        <w:pStyle w:val="Heading3"/>
      </w:pPr>
      <w:r w:rsidRPr="005C589A">
        <w:t>Expenditure from remaining revenue</w:t>
      </w:r>
    </w:p>
    <w:p w14:paraId="57474128" w14:textId="77777777" w:rsidR="00A81C4F" w:rsidRDefault="00A81C4F" w:rsidP="00A81C4F">
      <w:pPr>
        <w:pStyle w:val="TableofFigures"/>
      </w:pPr>
      <w:r>
        <w:t xml:space="preserve">Table 54: CDOP financial overview for </w:t>
      </w:r>
      <w:r w:rsidRPr="000F25E4">
        <w:t>2022</w:t>
      </w:r>
      <w:r>
        <w:t>–</w:t>
      </w:r>
      <w:r w:rsidRPr="000F25E4">
        <w:t>23</w:t>
      </w:r>
      <w:r>
        <w:t>—</w:t>
      </w:r>
      <w:r w:rsidRPr="005C589A">
        <w:t>Road safety education and awareness and enabling practices</w:t>
      </w:r>
    </w:p>
    <w:tbl>
      <w:tblPr>
        <w:tblStyle w:val="GridTable4-Accent1"/>
        <w:tblW w:w="5000" w:type="pct"/>
        <w:tblLook w:val="04A0" w:firstRow="1" w:lastRow="0" w:firstColumn="1" w:lastColumn="0" w:noHBand="0" w:noVBand="1"/>
      </w:tblPr>
      <w:tblGrid>
        <w:gridCol w:w="5228"/>
        <w:gridCol w:w="5228"/>
      </w:tblGrid>
      <w:tr w:rsidR="00A81C4F" w14:paraId="21751E65" w14:textId="77777777" w:rsidTr="00524412">
        <w:trPr>
          <w:cnfStyle w:val="100000000000" w:firstRow="1" w:lastRow="0" w:firstColumn="0" w:lastColumn="0" w:oddVBand="0" w:evenVBand="0" w:oddHBand="0" w:evenHBand="0" w:firstRowFirstColumn="0" w:firstRowLastColumn="0" w:lastRowFirstColumn="0" w:lastRowLastColumn="0"/>
          <w:trHeight w:val="380"/>
          <w:tblHeader/>
        </w:trPr>
        <w:tc>
          <w:tcPr>
            <w:cnfStyle w:val="001000000000" w:firstRow="0" w:lastRow="0" w:firstColumn="1" w:lastColumn="0" w:oddVBand="0" w:evenVBand="0" w:oddHBand="0" w:evenHBand="0" w:firstRowFirstColumn="0" w:firstRowLastColumn="0" w:lastRowFirstColumn="0" w:lastRowLastColumn="0"/>
            <w:tcW w:w="2500" w:type="pct"/>
          </w:tcPr>
          <w:p w14:paraId="639B852E" w14:textId="77777777" w:rsidR="00A81C4F" w:rsidRPr="00AB0973" w:rsidRDefault="00A81C4F" w:rsidP="00387B2A">
            <w:pPr>
              <w:pStyle w:val="Normal-table"/>
            </w:pPr>
            <w:r w:rsidRPr="005C589A">
              <w:t>Expenditure</w:t>
            </w:r>
          </w:p>
        </w:tc>
        <w:tc>
          <w:tcPr>
            <w:tcW w:w="2500" w:type="pct"/>
          </w:tcPr>
          <w:p w14:paraId="605113E5" w14:textId="77777777" w:rsidR="00A81C4F" w:rsidRPr="00AB0973"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rsidRPr="00B14FF2">
              <w:t>$'000</w:t>
            </w:r>
          </w:p>
        </w:tc>
      </w:tr>
      <w:tr w:rsidR="00A81C4F" w14:paraId="50548736" w14:textId="77777777" w:rsidTr="00524412">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2500" w:type="pct"/>
          </w:tcPr>
          <w:p w14:paraId="251BD93E" w14:textId="77777777" w:rsidR="00A81C4F" w:rsidRPr="00AB0973" w:rsidRDefault="00A81C4F" w:rsidP="00387B2A">
            <w:pPr>
              <w:pStyle w:val="Normal-table"/>
            </w:pPr>
            <w:r w:rsidRPr="00B14FF2">
              <w:t>Department of Transport and Main Roads - operating</w:t>
            </w:r>
          </w:p>
        </w:tc>
        <w:tc>
          <w:tcPr>
            <w:tcW w:w="2500" w:type="pct"/>
          </w:tcPr>
          <w:p w14:paraId="3869DD1E" w14:textId="77777777" w:rsidR="00A81C4F" w:rsidRPr="00AB0973"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B14FF2">
              <w:t xml:space="preserve"> 23,468 </w:t>
            </w:r>
          </w:p>
        </w:tc>
      </w:tr>
      <w:tr w:rsidR="00A81C4F" w14:paraId="21702484" w14:textId="77777777" w:rsidTr="00524412">
        <w:trPr>
          <w:trHeight w:val="558"/>
        </w:trPr>
        <w:tc>
          <w:tcPr>
            <w:cnfStyle w:val="001000000000" w:firstRow="0" w:lastRow="0" w:firstColumn="1" w:lastColumn="0" w:oddVBand="0" w:evenVBand="0" w:oddHBand="0" w:evenHBand="0" w:firstRowFirstColumn="0" w:firstRowLastColumn="0" w:lastRowFirstColumn="0" w:lastRowLastColumn="0"/>
            <w:tcW w:w="2500" w:type="pct"/>
          </w:tcPr>
          <w:p w14:paraId="55D40F1D" w14:textId="77777777" w:rsidR="00A81C4F" w:rsidRPr="00AB0973" w:rsidRDefault="00A81C4F" w:rsidP="00387B2A">
            <w:pPr>
              <w:pStyle w:val="Normal-table"/>
            </w:pPr>
            <w:r w:rsidRPr="00B14FF2">
              <w:t>Department of Transport and Main Roads - equity</w:t>
            </w:r>
          </w:p>
        </w:tc>
        <w:tc>
          <w:tcPr>
            <w:tcW w:w="2500" w:type="pct"/>
          </w:tcPr>
          <w:p w14:paraId="4354A5F9" w14:textId="77777777" w:rsidR="00A81C4F" w:rsidRPr="00AB0973"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rsidRPr="00B14FF2">
              <w:t xml:space="preserve"> 3266 </w:t>
            </w:r>
          </w:p>
        </w:tc>
      </w:tr>
      <w:tr w:rsidR="00A81C4F" w14:paraId="37FFAD07" w14:textId="77777777" w:rsidTr="00524412">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2500" w:type="pct"/>
          </w:tcPr>
          <w:p w14:paraId="6635945F" w14:textId="77777777" w:rsidR="00A81C4F" w:rsidRPr="00AB0973" w:rsidRDefault="00A81C4F" w:rsidP="00387B2A">
            <w:pPr>
              <w:pStyle w:val="Normal-table"/>
            </w:pPr>
            <w:r w:rsidRPr="00B14FF2">
              <w:lastRenderedPageBreak/>
              <w:t xml:space="preserve">Queensland Fire and </w:t>
            </w:r>
            <w:r w:rsidRPr="00AB0973">
              <w:t>Emergency Services</w:t>
            </w:r>
          </w:p>
        </w:tc>
        <w:tc>
          <w:tcPr>
            <w:tcW w:w="2500" w:type="pct"/>
          </w:tcPr>
          <w:p w14:paraId="3089F819" w14:textId="77777777" w:rsidR="00A81C4F" w:rsidRPr="00AB0973"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B14FF2">
              <w:t xml:space="preserve"> 1051 </w:t>
            </w:r>
          </w:p>
        </w:tc>
      </w:tr>
      <w:tr w:rsidR="00A81C4F" w14:paraId="6767C5AA" w14:textId="77777777" w:rsidTr="00524412">
        <w:trPr>
          <w:trHeight w:val="545"/>
        </w:trPr>
        <w:tc>
          <w:tcPr>
            <w:cnfStyle w:val="001000000000" w:firstRow="0" w:lastRow="0" w:firstColumn="1" w:lastColumn="0" w:oddVBand="0" w:evenVBand="0" w:oddHBand="0" w:evenHBand="0" w:firstRowFirstColumn="0" w:firstRowLastColumn="0" w:lastRowFirstColumn="0" w:lastRowLastColumn="0"/>
            <w:tcW w:w="2500" w:type="pct"/>
          </w:tcPr>
          <w:p w14:paraId="669DA621" w14:textId="77777777" w:rsidR="00A81C4F" w:rsidRPr="00AB0973" w:rsidRDefault="00A81C4F" w:rsidP="00387B2A">
            <w:pPr>
              <w:pStyle w:val="Normal-table"/>
            </w:pPr>
            <w:r w:rsidRPr="00B14FF2">
              <w:t>Queensland Police Service - operating</w:t>
            </w:r>
          </w:p>
        </w:tc>
        <w:tc>
          <w:tcPr>
            <w:tcW w:w="2500" w:type="pct"/>
          </w:tcPr>
          <w:p w14:paraId="48FB2FDB" w14:textId="77777777" w:rsidR="00A81C4F" w:rsidRPr="00AB0973"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rsidRPr="00B14FF2">
              <w:t xml:space="preserve"> 1217 </w:t>
            </w:r>
          </w:p>
        </w:tc>
      </w:tr>
      <w:tr w:rsidR="00A81C4F" w14:paraId="5DF00742" w14:textId="77777777" w:rsidTr="00524412">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2500" w:type="pct"/>
          </w:tcPr>
          <w:p w14:paraId="1316F42F" w14:textId="77777777" w:rsidR="00A81C4F" w:rsidRPr="00AB0973" w:rsidRDefault="00A81C4F" w:rsidP="00387B2A">
            <w:pPr>
              <w:pStyle w:val="Normal-table"/>
            </w:pPr>
            <w:r w:rsidRPr="00B14FF2">
              <w:t>Queensland Police Service - equity</w:t>
            </w:r>
          </w:p>
        </w:tc>
        <w:tc>
          <w:tcPr>
            <w:tcW w:w="2500" w:type="pct"/>
          </w:tcPr>
          <w:p w14:paraId="72A2785A" w14:textId="77777777" w:rsidR="00A81C4F" w:rsidRPr="00AB0973"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B14FF2">
              <w:t xml:space="preserve"> 52 </w:t>
            </w:r>
          </w:p>
        </w:tc>
      </w:tr>
    </w:tbl>
    <w:p w14:paraId="5C5364D6" w14:textId="77777777" w:rsidR="00A81C4F" w:rsidRDefault="00A81C4F" w:rsidP="00A81C4F"/>
    <w:p w14:paraId="06505B3C" w14:textId="77777777" w:rsidR="00A81C4F" w:rsidRDefault="00A81C4F" w:rsidP="00A81C4F">
      <w:pPr>
        <w:pStyle w:val="TableofFigures"/>
      </w:pPr>
      <w:r w:rsidRPr="00DA56EC">
        <w:t xml:space="preserve">Table </w:t>
      </w:r>
      <w:r>
        <w:t>55</w:t>
      </w:r>
      <w:r w:rsidRPr="00DA56EC">
        <w:t xml:space="preserve">: CDOP financial overview for </w:t>
      </w:r>
      <w:r w:rsidRPr="000F25E4">
        <w:t>2022</w:t>
      </w:r>
      <w:r>
        <w:t>–</w:t>
      </w:r>
      <w:r w:rsidRPr="000F25E4">
        <w:t>23</w:t>
      </w:r>
      <w:r>
        <w:t>—</w:t>
      </w:r>
      <w:r w:rsidRPr="005C589A">
        <w:t>Road accident injury rehabilitation programs</w:t>
      </w:r>
    </w:p>
    <w:tbl>
      <w:tblPr>
        <w:tblStyle w:val="GridTable4-Accent1"/>
        <w:tblW w:w="5000" w:type="pct"/>
        <w:tblLook w:val="04A0" w:firstRow="1" w:lastRow="0" w:firstColumn="1" w:lastColumn="0" w:noHBand="0" w:noVBand="1"/>
      </w:tblPr>
      <w:tblGrid>
        <w:gridCol w:w="5228"/>
        <w:gridCol w:w="5228"/>
      </w:tblGrid>
      <w:tr w:rsidR="00A81C4F" w14:paraId="4C397C55" w14:textId="77777777" w:rsidTr="00524412">
        <w:trPr>
          <w:cnfStyle w:val="100000000000" w:firstRow="1" w:lastRow="0" w:firstColumn="0" w:lastColumn="0" w:oddVBand="0" w:evenVBand="0" w:oddHBand="0" w:evenHBand="0" w:firstRowFirstColumn="0" w:firstRowLastColumn="0" w:lastRowFirstColumn="0" w:lastRowLastColumn="0"/>
          <w:trHeight w:val="410"/>
          <w:tblHeader/>
        </w:trPr>
        <w:tc>
          <w:tcPr>
            <w:cnfStyle w:val="001000000000" w:firstRow="0" w:lastRow="0" w:firstColumn="1" w:lastColumn="0" w:oddVBand="0" w:evenVBand="0" w:oddHBand="0" w:evenHBand="0" w:firstRowFirstColumn="0" w:firstRowLastColumn="0" w:lastRowFirstColumn="0" w:lastRowLastColumn="0"/>
            <w:tcW w:w="2500" w:type="pct"/>
          </w:tcPr>
          <w:p w14:paraId="53C8B914" w14:textId="77777777" w:rsidR="00A81C4F" w:rsidRPr="00AB0973" w:rsidRDefault="00A81C4F" w:rsidP="00387B2A">
            <w:pPr>
              <w:pStyle w:val="Normal-table"/>
            </w:pPr>
            <w:r w:rsidRPr="005C589A">
              <w:t>Expenditure</w:t>
            </w:r>
          </w:p>
        </w:tc>
        <w:tc>
          <w:tcPr>
            <w:tcW w:w="2500" w:type="pct"/>
          </w:tcPr>
          <w:p w14:paraId="56711B84" w14:textId="77777777" w:rsidR="00A81C4F" w:rsidRPr="00AB0973"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rsidRPr="00B14FF2">
              <w:t>$'000</w:t>
            </w:r>
          </w:p>
        </w:tc>
      </w:tr>
      <w:tr w:rsidR="00A81C4F" w14:paraId="2AA446CB" w14:textId="77777777" w:rsidTr="00524412">
        <w:trPr>
          <w:cnfStyle w:val="000000100000" w:firstRow="0" w:lastRow="0" w:firstColumn="0" w:lastColumn="0" w:oddVBand="0" w:evenVBand="0" w:oddHBand="1" w:evenHBand="0" w:firstRowFirstColumn="0" w:firstRowLastColumn="0" w:lastRowFirstColumn="0" w:lastRowLastColumn="0"/>
          <w:trHeight w:val="1162"/>
        </w:trPr>
        <w:tc>
          <w:tcPr>
            <w:cnfStyle w:val="001000000000" w:firstRow="0" w:lastRow="0" w:firstColumn="1" w:lastColumn="0" w:oddVBand="0" w:evenVBand="0" w:oddHBand="0" w:evenHBand="0" w:firstRowFirstColumn="0" w:firstRowLastColumn="0" w:lastRowFirstColumn="0" w:lastRowLastColumn="0"/>
            <w:tcW w:w="2500" w:type="pct"/>
          </w:tcPr>
          <w:p w14:paraId="54639980" w14:textId="77777777" w:rsidR="00A81C4F" w:rsidRPr="00AB0973" w:rsidRDefault="00A81C4F" w:rsidP="00387B2A">
            <w:pPr>
              <w:pStyle w:val="Normal-table"/>
            </w:pPr>
            <w:r w:rsidRPr="00B14FF2">
              <w:t>Queensland Health - to support the purchase of blood products used in the treatment of victims of road trauma</w:t>
            </w:r>
          </w:p>
        </w:tc>
        <w:tc>
          <w:tcPr>
            <w:tcW w:w="2500" w:type="pct"/>
          </w:tcPr>
          <w:p w14:paraId="0C04AE6D" w14:textId="77777777" w:rsidR="00A81C4F" w:rsidRPr="00AB0973"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B14FF2">
              <w:t xml:space="preserve"> 4500 </w:t>
            </w:r>
          </w:p>
        </w:tc>
      </w:tr>
    </w:tbl>
    <w:p w14:paraId="7B3CA040" w14:textId="77777777" w:rsidR="00A81C4F" w:rsidRDefault="00A81C4F" w:rsidP="00A81C4F"/>
    <w:p w14:paraId="5FDCB487" w14:textId="77777777" w:rsidR="00A81C4F" w:rsidRDefault="00A81C4F" w:rsidP="00A81C4F">
      <w:pPr>
        <w:pStyle w:val="TableofFigures"/>
      </w:pPr>
      <w:r w:rsidRPr="00DA56EC">
        <w:t xml:space="preserve">Table </w:t>
      </w:r>
      <w:r>
        <w:t>56</w:t>
      </w:r>
      <w:r w:rsidRPr="00DA56EC">
        <w:t xml:space="preserve">: CDOP financial overview for </w:t>
      </w:r>
      <w:r w:rsidRPr="000F25E4">
        <w:t>2022</w:t>
      </w:r>
      <w:r>
        <w:t>–</w:t>
      </w:r>
      <w:r w:rsidRPr="000F25E4">
        <w:t>23</w:t>
      </w:r>
      <w:r>
        <w:t>—</w:t>
      </w:r>
      <w:r w:rsidRPr="00DA56EC">
        <w:t>Improvements to the safety of state-controlled roads</w:t>
      </w:r>
    </w:p>
    <w:tbl>
      <w:tblPr>
        <w:tblStyle w:val="GridTable4-Accent1"/>
        <w:tblW w:w="5000" w:type="pct"/>
        <w:tblLook w:val="04A0" w:firstRow="1" w:lastRow="0" w:firstColumn="1" w:lastColumn="0" w:noHBand="0" w:noVBand="1"/>
      </w:tblPr>
      <w:tblGrid>
        <w:gridCol w:w="5228"/>
        <w:gridCol w:w="5228"/>
      </w:tblGrid>
      <w:tr w:rsidR="00A81C4F" w14:paraId="48CB38F5" w14:textId="77777777" w:rsidTr="00524412">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500" w:type="pct"/>
          </w:tcPr>
          <w:p w14:paraId="310693DB" w14:textId="77777777" w:rsidR="00A81C4F" w:rsidRPr="00AB0973" w:rsidRDefault="00A81C4F" w:rsidP="00387B2A">
            <w:pPr>
              <w:pStyle w:val="Normal-table"/>
            </w:pPr>
            <w:r w:rsidRPr="005C589A">
              <w:t>Expenditure</w:t>
            </w:r>
          </w:p>
        </w:tc>
        <w:tc>
          <w:tcPr>
            <w:tcW w:w="2500" w:type="pct"/>
          </w:tcPr>
          <w:p w14:paraId="64631937" w14:textId="77777777" w:rsidR="00A81C4F" w:rsidRPr="00AB0973"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rsidRPr="00B14FF2">
              <w:t>$'000</w:t>
            </w:r>
          </w:p>
        </w:tc>
      </w:tr>
      <w:tr w:rsidR="00A81C4F" w14:paraId="5C89EC8C" w14:textId="77777777" w:rsidTr="0052441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500" w:type="pct"/>
          </w:tcPr>
          <w:p w14:paraId="3754F103" w14:textId="77777777" w:rsidR="00A81C4F" w:rsidRPr="00AB0973" w:rsidRDefault="00A81C4F" w:rsidP="00387B2A">
            <w:pPr>
              <w:pStyle w:val="Normal-table"/>
            </w:pPr>
            <w:r w:rsidRPr="00B14FF2">
              <w:t>Department of Transport and Main Roads - operating</w:t>
            </w:r>
          </w:p>
        </w:tc>
        <w:tc>
          <w:tcPr>
            <w:tcW w:w="2500" w:type="pct"/>
          </w:tcPr>
          <w:p w14:paraId="50AECA0B" w14:textId="77777777" w:rsidR="00A81C4F" w:rsidRPr="00AB0973"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B14FF2">
              <w:t xml:space="preserve"> 2472 </w:t>
            </w:r>
          </w:p>
        </w:tc>
      </w:tr>
      <w:tr w:rsidR="00A81C4F" w14:paraId="6050A1C6" w14:textId="77777777" w:rsidTr="00524412">
        <w:trPr>
          <w:trHeight w:val="354"/>
        </w:trPr>
        <w:tc>
          <w:tcPr>
            <w:cnfStyle w:val="001000000000" w:firstRow="0" w:lastRow="0" w:firstColumn="1" w:lastColumn="0" w:oddVBand="0" w:evenVBand="0" w:oddHBand="0" w:evenHBand="0" w:firstRowFirstColumn="0" w:firstRowLastColumn="0" w:lastRowFirstColumn="0" w:lastRowLastColumn="0"/>
            <w:tcW w:w="2500" w:type="pct"/>
          </w:tcPr>
          <w:p w14:paraId="3244ADEC" w14:textId="77777777" w:rsidR="00A81C4F" w:rsidRPr="00AB0973" w:rsidRDefault="00A81C4F" w:rsidP="00387B2A">
            <w:pPr>
              <w:pStyle w:val="Normal-table"/>
            </w:pPr>
            <w:r w:rsidRPr="00B14FF2">
              <w:t>Department of Transport and Main Roads - equity</w:t>
            </w:r>
          </w:p>
        </w:tc>
        <w:tc>
          <w:tcPr>
            <w:tcW w:w="2500" w:type="pct"/>
          </w:tcPr>
          <w:p w14:paraId="0FD10244" w14:textId="77777777" w:rsidR="00A81C4F" w:rsidRPr="00AB0973"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rsidRPr="00B14FF2">
              <w:t xml:space="preserve"> 202,234 </w:t>
            </w:r>
          </w:p>
        </w:tc>
      </w:tr>
    </w:tbl>
    <w:p w14:paraId="105B162E" w14:textId="77777777" w:rsidR="00A81C4F" w:rsidRDefault="00A81C4F" w:rsidP="00A81C4F"/>
    <w:p w14:paraId="116E8FBF" w14:textId="77777777" w:rsidR="00A81C4F" w:rsidRDefault="00A81C4F" w:rsidP="00A81C4F">
      <w:pPr>
        <w:pStyle w:val="TableofFigures"/>
      </w:pPr>
      <w:r>
        <w:t xml:space="preserve">Table 57: CDOP financial overview for </w:t>
      </w:r>
      <w:r w:rsidRPr="000F25E4">
        <w:t>2022</w:t>
      </w:r>
      <w:r>
        <w:t>–</w:t>
      </w:r>
      <w:r w:rsidRPr="000F25E4">
        <w:t>23</w:t>
      </w:r>
      <w:r>
        <w:t>—Totals</w:t>
      </w:r>
    </w:p>
    <w:tbl>
      <w:tblPr>
        <w:tblStyle w:val="GridTable4-Accent1"/>
        <w:tblW w:w="5000" w:type="pct"/>
        <w:tblLook w:val="04A0" w:firstRow="1" w:lastRow="0" w:firstColumn="1" w:lastColumn="0" w:noHBand="0" w:noVBand="1"/>
      </w:tblPr>
      <w:tblGrid>
        <w:gridCol w:w="4860"/>
        <w:gridCol w:w="2576"/>
        <w:gridCol w:w="3020"/>
      </w:tblGrid>
      <w:tr w:rsidR="00A81C4F" w14:paraId="7E01E226" w14:textId="77777777" w:rsidTr="00524412">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324" w:type="pct"/>
          </w:tcPr>
          <w:p w14:paraId="598D4C3B" w14:textId="77777777" w:rsidR="00A81C4F" w:rsidRPr="00AB0973" w:rsidRDefault="00A81C4F" w:rsidP="00387B2A">
            <w:pPr>
              <w:pStyle w:val="Normal-table"/>
            </w:pPr>
            <w:r>
              <w:t>Totals</w:t>
            </w:r>
          </w:p>
        </w:tc>
        <w:tc>
          <w:tcPr>
            <w:tcW w:w="1232" w:type="pct"/>
          </w:tcPr>
          <w:p w14:paraId="1CB255F7" w14:textId="77777777" w:rsidR="00A81C4F" w:rsidRPr="00B14FF2"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rsidRPr="00B14FF2">
              <w:t>$'000</w:t>
            </w:r>
          </w:p>
        </w:tc>
        <w:tc>
          <w:tcPr>
            <w:tcW w:w="1444" w:type="pct"/>
          </w:tcPr>
          <w:p w14:paraId="0098B91B" w14:textId="77777777" w:rsidR="00A81C4F" w:rsidRPr="00AB0973" w:rsidRDefault="00A81C4F" w:rsidP="00387B2A">
            <w:pPr>
              <w:pStyle w:val="Normal-table"/>
              <w:cnfStyle w:val="100000000000" w:firstRow="1" w:lastRow="0" w:firstColumn="0" w:lastColumn="0" w:oddVBand="0" w:evenVBand="0" w:oddHBand="0" w:evenHBand="0" w:firstRowFirstColumn="0" w:firstRowLastColumn="0" w:lastRowFirstColumn="0" w:lastRowLastColumn="0"/>
            </w:pPr>
            <w:r w:rsidRPr="00B14FF2">
              <w:t>$'000</w:t>
            </w:r>
          </w:p>
        </w:tc>
      </w:tr>
      <w:tr w:rsidR="00A81C4F" w14:paraId="61263929" w14:textId="77777777" w:rsidTr="00524412">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324" w:type="pct"/>
          </w:tcPr>
          <w:p w14:paraId="294DC57E" w14:textId="77777777" w:rsidR="00A81C4F" w:rsidRDefault="00A81C4F" w:rsidP="00387B2A">
            <w:pPr>
              <w:pStyle w:val="Normal-table"/>
            </w:pPr>
            <w:r w:rsidRPr="00B14FF2">
              <w:t>Total Revenue</w:t>
            </w:r>
          </w:p>
        </w:tc>
        <w:tc>
          <w:tcPr>
            <w:tcW w:w="1232" w:type="pct"/>
          </w:tcPr>
          <w:p w14:paraId="279E3131" w14:textId="77777777" w:rsidR="00A81C4F" w:rsidRPr="00B14FF2" w:rsidRDefault="00A81C4F" w:rsidP="00387B2A">
            <w:pPr>
              <w:pStyle w:val="Normal-table"/>
              <w:cnfStyle w:val="000000100000" w:firstRow="0" w:lastRow="0" w:firstColumn="0" w:lastColumn="0" w:oddVBand="0" w:evenVBand="0" w:oddHBand="1" w:evenHBand="0" w:firstRowFirstColumn="0" w:firstRowLastColumn="0" w:lastRowFirstColumn="0" w:lastRowLastColumn="0"/>
            </w:pPr>
          </w:p>
        </w:tc>
        <w:tc>
          <w:tcPr>
            <w:tcW w:w="1444" w:type="pct"/>
          </w:tcPr>
          <w:p w14:paraId="7AD1E409" w14:textId="77777777" w:rsidR="00A81C4F" w:rsidRPr="00B14FF2"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B14FF2">
              <w:t xml:space="preserve"> 441,137 </w:t>
            </w:r>
          </w:p>
        </w:tc>
      </w:tr>
      <w:tr w:rsidR="00A81C4F" w14:paraId="1DBAAB40" w14:textId="77777777" w:rsidTr="00524412">
        <w:trPr>
          <w:trHeight w:val="464"/>
        </w:trPr>
        <w:tc>
          <w:tcPr>
            <w:cnfStyle w:val="001000000000" w:firstRow="0" w:lastRow="0" w:firstColumn="1" w:lastColumn="0" w:oddVBand="0" w:evenVBand="0" w:oddHBand="0" w:evenHBand="0" w:firstRowFirstColumn="0" w:firstRowLastColumn="0" w:lastRowFirstColumn="0" w:lastRowLastColumn="0"/>
            <w:tcW w:w="2324" w:type="pct"/>
          </w:tcPr>
          <w:p w14:paraId="126BB888" w14:textId="77777777" w:rsidR="00A81C4F" w:rsidRPr="00B14FF2" w:rsidRDefault="00A81C4F" w:rsidP="00387B2A">
            <w:pPr>
              <w:pStyle w:val="Normal-table"/>
            </w:pPr>
            <w:r w:rsidRPr="00B14FF2">
              <w:t>Total administrative/operational costs</w:t>
            </w:r>
          </w:p>
        </w:tc>
        <w:tc>
          <w:tcPr>
            <w:tcW w:w="1232" w:type="pct"/>
          </w:tcPr>
          <w:p w14:paraId="4992FCB1" w14:textId="77777777" w:rsidR="00A81C4F" w:rsidRPr="00B14FF2"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rsidRPr="00B14FF2">
              <w:t xml:space="preserve"> 109,838 </w:t>
            </w:r>
          </w:p>
        </w:tc>
        <w:tc>
          <w:tcPr>
            <w:tcW w:w="1444" w:type="pct"/>
          </w:tcPr>
          <w:p w14:paraId="26F4F07D" w14:textId="77777777" w:rsidR="00A81C4F" w:rsidRPr="00B14FF2" w:rsidRDefault="00A81C4F" w:rsidP="00387B2A">
            <w:pPr>
              <w:pStyle w:val="Normal-table"/>
              <w:cnfStyle w:val="000000000000" w:firstRow="0" w:lastRow="0" w:firstColumn="0" w:lastColumn="0" w:oddVBand="0" w:evenVBand="0" w:oddHBand="0" w:evenHBand="0" w:firstRowFirstColumn="0" w:firstRowLastColumn="0" w:lastRowFirstColumn="0" w:lastRowLastColumn="0"/>
            </w:pPr>
          </w:p>
        </w:tc>
      </w:tr>
      <w:tr w:rsidR="00A81C4F" w14:paraId="57282AE8" w14:textId="77777777" w:rsidTr="00524412">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324" w:type="pct"/>
          </w:tcPr>
          <w:p w14:paraId="1D4886CD" w14:textId="77777777" w:rsidR="00A81C4F" w:rsidRPr="00971858" w:rsidRDefault="00A81C4F" w:rsidP="00387B2A">
            <w:pPr>
              <w:pStyle w:val="Normal-table"/>
            </w:pPr>
            <w:r w:rsidRPr="00B14FF2">
              <w:t>Total Expenditure from remaining</w:t>
            </w:r>
            <w:r>
              <w:t xml:space="preserve"> revenue</w:t>
            </w:r>
          </w:p>
        </w:tc>
        <w:tc>
          <w:tcPr>
            <w:tcW w:w="1232" w:type="pct"/>
          </w:tcPr>
          <w:p w14:paraId="02682411" w14:textId="77777777" w:rsidR="00A81C4F" w:rsidRPr="00B14FF2"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B14FF2">
              <w:t xml:space="preserve"> 238,260 </w:t>
            </w:r>
          </w:p>
        </w:tc>
        <w:tc>
          <w:tcPr>
            <w:tcW w:w="1444" w:type="pct"/>
          </w:tcPr>
          <w:p w14:paraId="703C5F7D" w14:textId="77777777" w:rsidR="00A81C4F" w:rsidRPr="00971858" w:rsidRDefault="00A81C4F" w:rsidP="00387B2A">
            <w:pPr>
              <w:pStyle w:val="Normal-table"/>
              <w:cnfStyle w:val="000000100000" w:firstRow="0" w:lastRow="0" w:firstColumn="0" w:lastColumn="0" w:oddVBand="0" w:evenVBand="0" w:oddHBand="1" w:evenHBand="0" w:firstRowFirstColumn="0" w:firstRowLastColumn="0" w:lastRowFirstColumn="0" w:lastRowLastColumn="0"/>
            </w:pPr>
          </w:p>
        </w:tc>
      </w:tr>
      <w:tr w:rsidR="00A81C4F" w14:paraId="7C13D45A" w14:textId="77777777" w:rsidTr="00524412">
        <w:trPr>
          <w:trHeight w:val="350"/>
        </w:trPr>
        <w:tc>
          <w:tcPr>
            <w:cnfStyle w:val="001000000000" w:firstRow="0" w:lastRow="0" w:firstColumn="1" w:lastColumn="0" w:oddVBand="0" w:evenVBand="0" w:oddHBand="0" w:evenHBand="0" w:firstRowFirstColumn="0" w:firstRowLastColumn="0" w:lastRowFirstColumn="0" w:lastRowLastColumn="0"/>
            <w:tcW w:w="2324" w:type="pct"/>
          </w:tcPr>
          <w:p w14:paraId="3B02F7CC" w14:textId="77777777" w:rsidR="00A81C4F" w:rsidRPr="00971858" w:rsidRDefault="00A81C4F" w:rsidP="00387B2A">
            <w:pPr>
              <w:pStyle w:val="Normal-table"/>
            </w:pPr>
            <w:r w:rsidRPr="00B14FF2">
              <w:t>Total Expenditure 2022-23</w:t>
            </w:r>
          </w:p>
        </w:tc>
        <w:tc>
          <w:tcPr>
            <w:tcW w:w="1232" w:type="pct"/>
          </w:tcPr>
          <w:p w14:paraId="7BE92E10" w14:textId="77777777" w:rsidR="00A81C4F" w:rsidRPr="00B14FF2" w:rsidRDefault="00A81C4F" w:rsidP="00387B2A">
            <w:pPr>
              <w:pStyle w:val="Normal-table"/>
              <w:cnfStyle w:val="000000000000" w:firstRow="0" w:lastRow="0" w:firstColumn="0" w:lastColumn="0" w:oddVBand="0" w:evenVBand="0" w:oddHBand="0" w:evenHBand="0" w:firstRowFirstColumn="0" w:firstRowLastColumn="0" w:lastRowFirstColumn="0" w:lastRowLastColumn="0"/>
            </w:pPr>
          </w:p>
        </w:tc>
        <w:tc>
          <w:tcPr>
            <w:tcW w:w="1444" w:type="pct"/>
          </w:tcPr>
          <w:p w14:paraId="3B991DAA" w14:textId="77777777" w:rsidR="00A81C4F" w:rsidRPr="00971858" w:rsidRDefault="00A81C4F" w:rsidP="00387B2A">
            <w:pPr>
              <w:pStyle w:val="Normal-table"/>
              <w:cnfStyle w:val="000000000000" w:firstRow="0" w:lastRow="0" w:firstColumn="0" w:lastColumn="0" w:oddVBand="0" w:evenVBand="0" w:oddHBand="0" w:evenHBand="0" w:firstRowFirstColumn="0" w:firstRowLastColumn="0" w:lastRowFirstColumn="0" w:lastRowLastColumn="0"/>
            </w:pPr>
            <w:r w:rsidRPr="00B14FF2">
              <w:t xml:space="preserve"> 348,098 </w:t>
            </w:r>
          </w:p>
        </w:tc>
      </w:tr>
      <w:tr w:rsidR="00A81C4F" w14:paraId="48D06C05" w14:textId="77777777" w:rsidTr="00524412">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324" w:type="pct"/>
          </w:tcPr>
          <w:p w14:paraId="1FC6797B" w14:textId="77777777" w:rsidR="00A81C4F" w:rsidRPr="00971858" w:rsidRDefault="00A81C4F" w:rsidP="00387B2A">
            <w:pPr>
              <w:pStyle w:val="Normal-table"/>
            </w:pPr>
            <w:r w:rsidRPr="00B14FF2">
              <w:t>Total Revenue less Total Expenditure</w:t>
            </w:r>
          </w:p>
        </w:tc>
        <w:tc>
          <w:tcPr>
            <w:tcW w:w="1232" w:type="pct"/>
          </w:tcPr>
          <w:p w14:paraId="1C2F3608" w14:textId="77777777" w:rsidR="00A81C4F" w:rsidRPr="00B14FF2" w:rsidRDefault="00A81C4F" w:rsidP="00387B2A">
            <w:pPr>
              <w:pStyle w:val="Normal-table"/>
              <w:cnfStyle w:val="000000100000" w:firstRow="0" w:lastRow="0" w:firstColumn="0" w:lastColumn="0" w:oddVBand="0" w:evenVBand="0" w:oddHBand="1" w:evenHBand="0" w:firstRowFirstColumn="0" w:firstRowLastColumn="0" w:lastRowFirstColumn="0" w:lastRowLastColumn="0"/>
            </w:pPr>
          </w:p>
        </w:tc>
        <w:tc>
          <w:tcPr>
            <w:tcW w:w="1444" w:type="pct"/>
          </w:tcPr>
          <w:p w14:paraId="5A389C48" w14:textId="77777777" w:rsidR="00A81C4F" w:rsidRPr="00971858" w:rsidRDefault="00A81C4F" w:rsidP="00387B2A">
            <w:pPr>
              <w:pStyle w:val="Normal-table"/>
              <w:cnfStyle w:val="000000100000" w:firstRow="0" w:lastRow="0" w:firstColumn="0" w:lastColumn="0" w:oddVBand="0" w:evenVBand="0" w:oddHBand="1" w:evenHBand="0" w:firstRowFirstColumn="0" w:firstRowLastColumn="0" w:lastRowFirstColumn="0" w:lastRowLastColumn="0"/>
            </w:pPr>
            <w:r w:rsidRPr="00B14FF2">
              <w:t xml:space="preserve"> 93,039 </w:t>
            </w:r>
          </w:p>
        </w:tc>
      </w:tr>
    </w:tbl>
    <w:p w14:paraId="7ECCCAF0" w14:textId="77777777" w:rsidR="00A81C4F" w:rsidRDefault="00A81C4F" w:rsidP="00A81C4F"/>
    <w:p w14:paraId="11925233" w14:textId="77777777" w:rsidR="00A81C4F" w:rsidRDefault="00A81C4F" w:rsidP="00A81C4F">
      <w:pPr>
        <w:pStyle w:val="Heading3"/>
      </w:pPr>
      <w:r>
        <w:t xml:space="preserve">Community attitudes </w:t>
      </w:r>
    </w:p>
    <w:p w14:paraId="35682F7E" w14:textId="77777777" w:rsidR="00A81C4F" w:rsidRPr="001B0996" w:rsidRDefault="00A81C4F" w:rsidP="00A81C4F">
      <w:r w:rsidRPr="001B0996">
        <w:rPr>
          <w:lang w:val="en-AU" w:eastAsia="en-AU"/>
        </w:rPr>
        <w:t>The following results were drawn from recent research* indicating that the community generally regards speeding to be a dangerous and unacceptable behaviour. With regards to low-level speeding, the community has paradoxical attitudes, such that they understand the risks associated with the behaviour, but many still report engaging in the behaviour themselves.</w:t>
      </w:r>
    </w:p>
    <w:p w14:paraId="78F2BAC1" w14:textId="77777777" w:rsidR="00A81C4F" w:rsidRDefault="00A81C4F" w:rsidP="00A81C4F">
      <w:r w:rsidRPr="001B0996">
        <w:t>Of those motorists surveyed:</w:t>
      </w:r>
    </w:p>
    <w:p w14:paraId="12F370FB" w14:textId="77777777" w:rsidR="00A81C4F" w:rsidRDefault="00A81C4F" w:rsidP="00A81C4F">
      <w:pPr>
        <w:pStyle w:val="ListBullet"/>
      </w:pPr>
      <w:r w:rsidRPr="001B0996">
        <w:t>80 per cent agreed with the statement 'Speeding is unsafe in most circumstances'.</w:t>
      </w:r>
      <w:r w:rsidRPr="001B0996">
        <w:tab/>
      </w:r>
    </w:p>
    <w:p w14:paraId="20421232" w14:textId="77777777" w:rsidR="00A81C4F" w:rsidRDefault="00A81C4F" w:rsidP="00A81C4F">
      <w:pPr>
        <w:pStyle w:val="ListBullet"/>
      </w:pPr>
      <w:r w:rsidRPr="001B0996">
        <w:lastRenderedPageBreak/>
        <w:t>47 per cent agreed with the statement ‘Low-level speeding is a major contributor to crashes'.</w:t>
      </w:r>
    </w:p>
    <w:p w14:paraId="21C0C6CE" w14:textId="77777777" w:rsidR="00A81C4F" w:rsidRDefault="00A81C4F" w:rsidP="00A81C4F">
      <w:pPr>
        <w:pStyle w:val="ListBullet"/>
      </w:pPr>
      <w:r w:rsidRPr="001B0996">
        <w:t>90 per cent agreed with the statement 'The faster you drive, the more severe the crash'.</w:t>
      </w:r>
    </w:p>
    <w:p w14:paraId="7B97A0FA" w14:textId="77777777" w:rsidR="00A81C4F" w:rsidRDefault="00A81C4F" w:rsidP="00A81C4F">
      <w:pPr>
        <w:pStyle w:val="ListBullet"/>
      </w:pPr>
      <w:r w:rsidRPr="001B0996">
        <w:t>85 per cent agreed with the statement 'If I drive 10 km/h over the speed limit, I have a greater risk of being in a crash, than if I was driving at the speed limit'.</w:t>
      </w:r>
    </w:p>
    <w:p w14:paraId="0307965A" w14:textId="77777777" w:rsidR="00A81C4F" w:rsidRDefault="00A81C4F" w:rsidP="00A81C4F">
      <w:pPr>
        <w:pStyle w:val="ListBullet"/>
      </w:pPr>
      <w:r w:rsidRPr="001B0996">
        <w:t>27 per cent were classified as compliant with speed limits, while 54 per cent were classified as low-level speeders**.</w:t>
      </w:r>
    </w:p>
    <w:p w14:paraId="551FB42A" w14:textId="77777777" w:rsidR="00A81C4F" w:rsidRPr="001B0996" w:rsidRDefault="00A81C4F" w:rsidP="00A81C4F">
      <w:pPr>
        <w:pStyle w:val="Caption"/>
      </w:pPr>
      <w:r w:rsidRPr="001B0996">
        <w:t>* Each year, Transport and Main Roads commissions a study investigating road safety attitudes and behaviours, which is conducted by an independent market research company. The 2022 survey asked transport-related questions of a sample of 944 Queensland motorists.</w:t>
      </w:r>
    </w:p>
    <w:p w14:paraId="3C4F9550" w14:textId="77777777" w:rsidR="00A81C4F" w:rsidRPr="001B0996" w:rsidRDefault="00A81C4F" w:rsidP="00A81C4F">
      <w:pPr>
        <w:pStyle w:val="Caption"/>
      </w:pPr>
      <w:r w:rsidRPr="001B0996">
        <w:t>** Respondents were classified as “low-level speeders” if they reported travelling at 1</w:t>
      </w:r>
      <w:r>
        <w:t>–</w:t>
      </w:r>
      <w:r w:rsidRPr="001B0996">
        <w:t>10 km/h over the posted speed limit for more than 10 per cent of the time they were driving, but never reported travelling more than 20 km/h over the limit.</w:t>
      </w:r>
    </w:p>
    <w:p w14:paraId="541FF7AD" w14:textId="77777777" w:rsidR="00A81C4F" w:rsidRDefault="00A81C4F" w:rsidP="00A81C4F">
      <w:pPr>
        <w:pStyle w:val="TableofFigures"/>
      </w:pPr>
      <w:r>
        <w:t>Figure 5</w:t>
      </w:r>
      <w:r w:rsidRPr="001F2344">
        <w:t xml:space="preserve">: </w:t>
      </w:r>
      <w:r>
        <w:t xml:space="preserve">Mobile speed cameras—Vehicles monitored per notice issued </w:t>
      </w:r>
    </w:p>
    <w:tbl>
      <w:tblPr>
        <w:tblStyle w:val="GridTable4-Accent1"/>
        <w:tblW w:w="5000" w:type="pct"/>
        <w:tblLook w:val="04A0" w:firstRow="1" w:lastRow="0" w:firstColumn="1" w:lastColumn="0" w:noHBand="0" w:noVBand="1"/>
      </w:tblPr>
      <w:tblGrid>
        <w:gridCol w:w="1923"/>
        <w:gridCol w:w="1923"/>
        <w:gridCol w:w="1322"/>
        <w:gridCol w:w="1322"/>
        <w:gridCol w:w="1322"/>
        <w:gridCol w:w="1322"/>
        <w:gridCol w:w="1322"/>
      </w:tblGrid>
      <w:tr w:rsidR="00A81C4F" w:rsidRPr="00436BF4" w14:paraId="2E88E34F" w14:textId="77777777" w:rsidTr="00524412">
        <w:trPr>
          <w:cnfStyle w:val="100000000000" w:firstRow="1" w:lastRow="0" w:firstColumn="0" w:lastColumn="0" w:oddVBand="0" w:evenVBand="0" w:oddHBand="0" w:evenHBand="0" w:firstRowFirstColumn="0" w:firstRowLastColumn="0" w:lastRowFirstColumn="0" w:lastRowLastColumn="0"/>
          <w:trHeight w:val="208"/>
          <w:tblHeader/>
        </w:trPr>
        <w:tc>
          <w:tcPr>
            <w:cnfStyle w:val="001000000000" w:firstRow="0" w:lastRow="0" w:firstColumn="1" w:lastColumn="0" w:oddVBand="0" w:evenVBand="0" w:oddHBand="0" w:evenHBand="0" w:firstRowFirstColumn="0" w:firstRowLastColumn="0" w:lastRowFirstColumn="0" w:lastRowLastColumn="0"/>
            <w:tcW w:w="920" w:type="pct"/>
          </w:tcPr>
          <w:p w14:paraId="696D8AFA" w14:textId="77777777" w:rsidR="00A81C4F" w:rsidRPr="00436BF4" w:rsidRDefault="00A81C4F" w:rsidP="00436BF4">
            <w:pPr>
              <w:pStyle w:val="Normal-table"/>
            </w:pPr>
          </w:p>
        </w:tc>
        <w:tc>
          <w:tcPr>
            <w:tcW w:w="920" w:type="pct"/>
          </w:tcPr>
          <w:p w14:paraId="2A797E93" w14:textId="77777777" w:rsidR="00A81C4F" w:rsidRPr="00436BF4" w:rsidRDefault="00A81C4F" w:rsidP="00436BF4">
            <w:pPr>
              <w:pStyle w:val="Normal-table"/>
              <w:cnfStyle w:val="100000000000" w:firstRow="1" w:lastRow="0" w:firstColumn="0" w:lastColumn="0" w:oddVBand="0" w:evenVBand="0" w:oddHBand="0" w:evenHBand="0" w:firstRowFirstColumn="0" w:firstRowLastColumn="0" w:lastRowFirstColumn="0" w:lastRowLastColumn="0"/>
            </w:pPr>
            <w:r w:rsidRPr="00436BF4">
              <w:t>2017</w:t>
            </w:r>
          </w:p>
        </w:tc>
        <w:tc>
          <w:tcPr>
            <w:tcW w:w="632" w:type="pct"/>
          </w:tcPr>
          <w:p w14:paraId="11F99A82" w14:textId="77777777" w:rsidR="00A81C4F" w:rsidRPr="00436BF4" w:rsidRDefault="00A81C4F" w:rsidP="00436BF4">
            <w:pPr>
              <w:pStyle w:val="Normal-table"/>
              <w:cnfStyle w:val="100000000000" w:firstRow="1" w:lastRow="0" w:firstColumn="0" w:lastColumn="0" w:oddVBand="0" w:evenVBand="0" w:oddHBand="0" w:evenHBand="0" w:firstRowFirstColumn="0" w:firstRowLastColumn="0" w:lastRowFirstColumn="0" w:lastRowLastColumn="0"/>
            </w:pPr>
            <w:r w:rsidRPr="00436BF4">
              <w:t>2018</w:t>
            </w:r>
          </w:p>
        </w:tc>
        <w:tc>
          <w:tcPr>
            <w:tcW w:w="632" w:type="pct"/>
          </w:tcPr>
          <w:p w14:paraId="2FA91D2F" w14:textId="77777777" w:rsidR="00A81C4F" w:rsidRPr="00436BF4" w:rsidRDefault="00A81C4F" w:rsidP="00436BF4">
            <w:pPr>
              <w:pStyle w:val="Normal-table"/>
              <w:cnfStyle w:val="100000000000" w:firstRow="1" w:lastRow="0" w:firstColumn="0" w:lastColumn="0" w:oddVBand="0" w:evenVBand="0" w:oddHBand="0" w:evenHBand="0" w:firstRowFirstColumn="0" w:firstRowLastColumn="0" w:lastRowFirstColumn="0" w:lastRowLastColumn="0"/>
            </w:pPr>
            <w:r w:rsidRPr="00436BF4">
              <w:t>2019</w:t>
            </w:r>
          </w:p>
        </w:tc>
        <w:tc>
          <w:tcPr>
            <w:tcW w:w="632" w:type="pct"/>
          </w:tcPr>
          <w:p w14:paraId="05D15125" w14:textId="77777777" w:rsidR="00A81C4F" w:rsidRPr="00436BF4" w:rsidRDefault="00A81C4F" w:rsidP="00436BF4">
            <w:pPr>
              <w:pStyle w:val="Normal-table"/>
              <w:cnfStyle w:val="100000000000" w:firstRow="1" w:lastRow="0" w:firstColumn="0" w:lastColumn="0" w:oddVBand="0" w:evenVBand="0" w:oddHBand="0" w:evenHBand="0" w:firstRowFirstColumn="0" w:firstRowLastColumn="0" w:lastRowFirstColumn="0" w:lastRowLastColumn="0"/>
            </w:pPr>
            <w:r w:rsidRPr="00436BF4">
              <w:t>2020</w:t>
            </w:r>
          </w:p>
        </w:tc>
        <w:tc>
          <w:tcPr>
            <w:tcW w:w="632" w:type="pct"/>
          </w:tcPr>
          <w:p w14:paraId="4A22AD57" w14:textId="77777777" w:rsidR="00A81C4F" w:rsidRPr="00436BF4" w:rsidRDefault="00A81C4F" w:rsidP="00436BF4">
            <w:pPr>
              <w:pStyle w:val="Normal-table"/>
              <w:cnfStyle w:val="100000000000" w:firstRow="1" w:lastRow="0" w:firstColumn="0" w:lastColumn="0" w:oddVBand="0" w:evenVBand="0" w:oddHBand="0" w:evenHBand="0" w:firstRowFirstColumn="0" w:firstRowLastColumn="0" w:lastRowFirstColumn="0" w:lastRowLastColumn="0"/>
            </w:pPr>
            <w:r w:rsidRPr="00436BF4">
              <w:t>2021</w:t>
            </w:r>
          </w:p>
        </w:tc>
        <w:tc>
          <w:tcPr>
            <w:tcW w:w="632" w:type="pct"/>
          </w:tcPr>
          <w:p w14:paraId="2F60C596" w14:textId="77777777" w:rsidR="00A81C4F" w:rsidRPr="00436BF4" w:rsidRDefault="00A81C4F" w:rsidP="00436BF4">
            <w:pPr>
              <w:pStyle w:val="Normal-table"/>
              <w:cnfStyle w:val="100000000000" w:firstRow="1" w:lastRow="0" w:firstColumn="0" w:lastColumn="0" w:oddVBand="0" w:evenVBand="0" w:oddHBand="0" w:evenHBand="0" w:firstRowFirstColumn="0" w:firstRowLastColumn="0" w:lastRowFirstColumn="0" w:lastRowLastColumn="0"/>
            </w:pPr>
            <w:r w:rsidRPr="00436BF4">
              <w:t>2022</w:t>
            </w:r>
          </w:p>
        </w:tc>
      </w:tr>
      <w:tr w:rsidR="00A81C4F" w:rsidRPr="00436BF4" w14:paraId="27637A57" w14:textId="77777777" w:rsidTr="00524412">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920" w:type="pct"/>
          </w:tcPr>
          <w:p w14:paraId="5485230B" w14:textId="77777777" w:rsidR="00A81C4F" w:rsidRPr="00436BF4" w:rsidRDefault="00A81C4F" w:rsidP="00436BF4">
            <w:pPr>
              <w:pStyle w:val="Normal-table"/>
            </w:pPr>
            <w:r w:rsidRPr="00436BF4">
              <w:t>Vehicles per notice</w:t>
            </w:r>
          </w:p>
        </w:tc>
        <w:tc>
          <w:tcPr>
            <w:tcW w:w="920" w:type="pct"/>
          </w:tcPr>
          <w:p w14:paraId="129E3291" w14:textId="1AAC9A99" w:rsidR="00A81C4F" w:rsidRPr="00436BF4" w:rsidRDefault="00A81C4F" w:rsidP="00436BF4">
            <w:pPr>
              <w:pStyle w:val="Normal-table"/>
              <w:cnfStyle w:val="000000100000" w:firstRow="0" w:lastRow="0" w:firstColumn="0" w:lastColumn="0" w:oddVBand="0" w:evenVBand="0" w:oddHBand="1" w:evenHBand="0" w:firstRowFirstColumn="0" w:firstRowLastColumn="0" w:lastRowFirstColumn="0" w:lastRowLastColumn="0"/>
            </w:pPr>
            <w:r w:rsidRPr="00436BF4">
              <w:t>1096</w:t>
            </w:r>
          </w:p>
        </w:tc>
        <w:tc>
          <w:tcPr>
            <w:tcW w:w="632" w:type="pct"/>
          </w:tcPr>
          <w:p w14:paraId="5A06A8C9" w14:textId="6AB3A8EF" w:rsidR="00A81C4F" w:rsidRPr="00436BF4" w:rsidRDefault="00A81C4F" w:rsidP="00436BF4">
            <w:pPr>
              <w:pStyle w:val="Normal-table"/>
              <w:cnfStyle w:val="000000100000" w:firstRow="0" w:lastRow="0" w:firstColumn="0" w:lastColumn="0" w:oddVBand="0" w:evenVBand="0" w:oddHBand="1" w:evenHBand="0" w:firstRowFirstColumn="0" w:firstRowLastColumn="0" w:lastRowFirstColumn="0" w:lastRowLastColumn="0"/>
            </w:pPr>
            <w:r w:rsidRPr="00436BF4">
              <w:t>1691</w:t>
            </w:r>
          </w:p>
        </w:tc>
        <w:tc>
          <w:tcPr>
            <w:tcW w:w="632" w:type="pct"/>
          </w:tcPr>
          <w:p w14:paraId="4C860521" w14:textId="0964D25D" w:rsidR="00A81C4F" w:rsidRPr="00436BF4" w:rsidRDefault="00A81C4F" w:rsidP="00436BF4">
            <w:pPr>
              <w:pStyle w:val="Normal-table"/>
              <w:cnfStyle w:val="000000100000" w:firstRow="0" w:lastRow="0" w:firstColumn="0" w:lastColumn="0" w:oddVBand="0" w:evenVBand="0" w:oddHBand="1" w:evenHBand="0" w:firstRowFirstColumn="0" w:firstRowLastColumn="0" w:lastRowFirstColumn="0" w:lastRowLastColumn="0"/>
            </w:pPr>
            <w:r w:rsidRPr="00436BF4">
              <w:t>1759</w:t>
            </w:r>
          </w:p>
        </w:tc>
        <w:tc>
          <w:tcPr>
            <w:tcW w:w="632" w:type="pct"/>
          </w:tcPr>
          <w:p w14:paraId="4C7FA239" w14:textId="7BE6DEB9" w:rsidR="00A81C4F" w:rsidRPr="00436BF4" w:rsidRDefault="00A81C4F" w:rsidP="00436BF4">
            <w:pPr>
              <w:pStyle w:val="Normal-table"/>
              <w:cnfStyle w:val="000000100000" w:firstRow="0" w:lastRow="0" w:firstColumn="0" w:lastColumn="0" w:oddVBand="0" w:evenVBand="0" w:oddHBand="1" w:evenHBand="0" w:firstRowFirstColumn="0" w:firstRowLastColumn="0" w:lastRowFirstColumn="0" w:lastRowLastColumn="0"/>
            </w:pPr>
            <w:r w:rsidRPr="00436BF4">
              <w:t>1707</w:t>
            </w:r>
          </w:p>
        </w:tc>
        <w:tc>
          <w:tcPr>
            <w:tcW w:w="632" w:type="pct"/>
          </w:tcPr>
          <w:p w14:paraId="577F3960" w14:textId="62FB4E19" w:rsidR="00A81C4F" w:rsidRPr="00436BF4" w:rsidRDefault="00A81C4F" w:rsidP="00436BF4">
            <w:pPr>
              <w:pStyle w:val="Normal-table"/>
              <w:cnfStyle w:val="000000100000" w:firstRow="0" w:lastRow="0" w:firstColumn="0" w:lastColumn="0" w:oddVBand="0" w:evenVBand="0" w:oddHBand="1" w:evenHBand="0" w:firstRowFirstColumn="0" w:firstRowLastColumn="0" w:lastRowFirstColumn="0" w:lastRowLastColumn="0"/>
            </w:pPr>
            <w:r w:rsidRPr="00436BF4">
              <w:t>1675</w:t>
            </w:r>
          </w:p>
        </w:tc>
        <w:tc>
          <w:tcPr>
            <w:tcW w:w="632" w:type="pct"/>
          </w:tcPr>
          <w:p w14:paraId="46C8FB74" w14:textId="5DF00EB0" w:rsidR="00A81C4F" w:rsidRPr="00436BF4" w:rsidRDefault="00A81C4F" w:rsidP="00436BF4">
            <w:pPr>
              <w:pStyle w:val="Normal-table"/>
              <w:cnfStyle w:val="000000100000" w:firstRow="0" w:lastRow="0" w:firstColumn="0" w:lastColumn="0" w:oddVBand="0" w:evenVBand="0" w:oddHBand="1" w:evenHBand="0" w:firstRowFirstColumn="0" w:firstRowLastColumn="0" w:lastRowFirstColumn="0" w:lastRowLastColumn="0"/>
            </w:pPr>
            <w:r w:rsidRPr="00436BF4">
              <w:t>2001</w:t>
            </w:r>
          </w:p>
        </w:tc>
      </w:tr>
    </w:tbl>
    <w:p w14:paraId="2E593658" w14:textId="77777777" w:rsidR="00A81C4F" w:rsidRDefault="00A81C4F" w:rsidP="00A81C4F"/>
    <w:p w14:paraId="2F86A689" w14:textId="77777777" w:rsidR="00A81C4F" w:rsidRDefault="00A81C4F" w:rsidP="00A81C4F">
      <w:r>
        <w:rPr>
          <w:noProof/>
        </w:rPr>
        <w:drawing>
          <wp:inline distT="0" distB="0" distL="0" distR="0" wp14:anchorId="7F8EC672" wp14:editId="4C1646E4">
            <wp:extent cx="6543675" cy="3200400"/>
            <wp:effectExtent l="0" t="0" r="9525" b="0"/>
            <wp:docPr id="17" name="Chart 17" descr="Line chart showing the Mobile speed cameras vehicles monitored per issue notice issued data. "/>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7C361942" w14:textId="77777777" w:rsidR="00A81C4F" w:rsidRDefault="00A81C4F" w:rsidP="00A81C4F">
      <w:pPr>
        <w:pStyle w:val="Caption"/>
        <w:rPr>
          <w:lang w:val="en-AU" w:eastAsia="en-AU"/>
        </w:rPr>
      </w:pPr>
      <w:r w:rsidRPr="00E806D5">
        <w:rPr>
          <w:lang w:val="en-AU" w:eastAsia="en-AU"/>
        </w:rPr>
        <w:t>Data source:</w:t>
      </w:r>
      <w:r>
        <w:t xml:space="preserve"> </w:t>
      </w:r>
      <w:r w:rsidRPr="00E806D5">
        <w:t>Queensland Police Service</w:t>
      </w:r>
      <w:r>
        <w:t>.</w:t>
      </w:r>
    </w:p>
    <w:p w14:paraId="4273E732" w14:textId="77777777" w:rsidR="00A81C4F" w:rsidRDefault="00A81C4F" w:rsidP="00A81C4F">
      <w:pPr>
        <w:pStyle w:val="Caption"/>
        <w:rPr>
          <w:lang w:val="en-AU" w:eastAsia="en-AU"/>
        </w:rPr>
      </w:pPr>
      <w:r w:rsidRPr="009E62AC">
        <w:rPr>
          <w:lang w:val="en-AU" w:eastAsia="en-AU"/>
        </w:rPr>
        <w:t>N</w:t>
      </w:r>
      <w:r>
        <w:t>ote</w:t>
      </w:r>
      <w:r w:rsidRPr="009E62AC">
        <w:rPr>
          <w:lang w:val="en-AU" w:eastAsia="en-AU"/>
        </w:rPr>
        <w:t xml:space="preserve">: </w:t>
      </w:r>
      <w:r w:rsidRPr="003008EE">
        <w:rPr>
          <w:lang w:val="en-AU" w:eastAsia="en-AU"/>
        </w:rPr>
        <w:t>Prior to 2018 data reported included all mobile speed camera notices including overt, covert and portable camera units. For 2018 onwards, data displays overt and covert cameras only.</w:t>
      </w:r>
    </w:p>
    <w:p w14:paraId="2C3A9001" w14:textId="77777777" w:rsidR="00916DF7" w:rsidRDefault="00916DF7">
      <w:pPr>
        <w:spacing w:before="0" w:after="160" w:line="259" w:lineRule="auto"/>
        <w:rPr>
          <w:b/>
        </w:rPr>
      </w:pPr>
      <w:r>
        <w:br w:type="page"/>
      </w:r>
    </w:p>
    <w:p w14:paraId="73794A7E" w14:textId="2899B828" w:rsidR="00A81C4F" w:rsidRDefault="00A81C4F" w:rsidP="00A81C4F">
      <w:pPr>
        <w:pStyle w:val="TableofFigures"/>
      </w:pPr>
      <w:r>
        <w:lastRenderedPageBreak/>
        <w:t>Table</w:t>
      </w:r>
      <w:r w:rsidRPr="00AB5719">
        <w:t xml:space="preserve"> </w:t>
      </w:r>
      <w:r>
        <w:t>58</w:t>
      </w:r>
      <w:r w:rsidRPr="00AB5719">
        <w:t xml:space="preserve">: </w:t>
      </w:r>
      <w:r>
        <w:t xml:space="preserve">Number of mobile speed camera infringements per penalty bracket for 2022 </w:t>
      </w:r>
    </w:p>
    <w:tbl>
      <w:tblPr>
        <w:tblStyle w:val="GridTable4-Accent1"/>
        <w:tblW w:w="5000" w:type="pct"/>
        <w:tblLook w:val="04A0" w:firstRow="1" w:lastRow="0" w:firstColumn="1" w:lastColumn="0" w:noHBand="0" w:noVBand="1"/>
      </w:tblPr>
      <w:tblGrid>
        <w:gridCol w:w="2218"/>
        <w:gridCol w:w="1481"/>
        <w:gridCol w:w="1481"/>
        <w:gridCol w:w="1311"/>
        <w:gridCol w:w="1242"/>
        <w:gridCol w:w="1242"/>
        <w:gridCol w:w="1481"/>
      </w:tblGrid>
      <w:tr w:rsidR="00A81C4F" w14:paraId="42A5E404" w14:textId="77777777" w:rsidTr="00524412">
        <w:trPr>
          <w:cnfStyle w:val="100000000000" w:firstRow="1" w:lastRow="0" w:firstColumn="0" w:lastColumn="0" w:oddVBand="0" w:evenVBand="0" w:oddHBand="0" w:evenHBand="0" w:firstRowFirstColumn="0" w:firstRowLastColumn="0" w:lastRowFirstColumn="0" w:lastRowLastColumn="0"/>
          <w:trHeight w:val="372"/>
          <w:tblHeader/>
        </w:trPr>
        <w:tc>
          <w:tcPr>
            <w:cnfStyle w:val="001000000000" w:firstRow="0" w:lastRow="0" w:firstColumn="1" w:lastColumn="0" w:oddVBand="0" w:evenVBand="0" w:oddHBand="0" w:evenHBand="0" w:firstRowFirstColumn="0" w:firstRowLastColumn="0" w:lastRowFirstColumn="0" w:lastRowLastColumn="0"/>
            <w:tcW w:w="1061" w:type="pct"/>
          </w:tcPr>
          <w:p w14:paraId="0F2BC21B" w14:textId="77777777" w:rsidR="00A81C4F" w:rsidRPr="004C73E5" w:rsidRDefault="00A81C4F" w:rsidP="00436BF4">
            <w:pPr>
              <w:pStyle w:val="Normal-table"/>
            </w:pPr>
            <w:r w:rsidRPr="00515FBC">
              <w:t>Penalty bracket</w:t>
            </w:r>
          </w:p>
        </w:tc>
        <w:tc>
          <w:tcPr>
            <w:tcW w:w="708" w:type="pct"/>
          </w:tcPr>
          <w:p w14:paraId="1CC242E1" w14:textId="77777777" w:rsidR="00A81C4F" w:rsidRPr="004C73E5" w:rsidRDefault="00A81C4F" w:rsidP="00436BF4">
            <w:pPr>
              <w:pStyle w:val="Normal-table"/>
              <w:cnfStyle w:val="100000000000" w:firstRow="1" w:lastRow="0" w:firstColumn="0" w:lastColumn="0" w:oddVBand="0" w:evenVBand="0" w:oddHBand="0" w:evenHBand="0" w:firstRowFirstColumn="0" w:firstRowLastColumn="0" w:lastRowFirstColumn="0" w:lastRowLastColumn="0"/>
            </w:pPr>
            <w:r w:rsidRPr="00515FBC">
              <w:t>&lt; 13</w:t>
            </w:r>
            <w:r w:rsidRPr="004C73E5">
              <w:t xml:space="preserve"> km/h</w:t>
            </w:r>
          </w:p>
        </w:tc>
        <w:tc>
          <w:tcPr>
            <w:tcW w:w="708" w:type="pct"/>
          </w:tcPr>
          <w:p w14:paraId="638C66A3" w14:textId="77777777" w:rsidR="00A81C4F" w:rsidRPr="004C73E5" w:rsidRDefault="00A81C4F" w:rsidP="00436BF4">
            <w:pPr>
              <w:pStyle w:val="Normal-table"/>
              <w:cnfStyle w:val="100000000000" w:firstRow="1" w:lastRow="0" w:firstColumn="0" w:lastColumn="0" w:oddVBand="0" w:evenVBand="0" w:oddHBand="0" w:evenHBand="0" w:firstRowFirstColumn="0" w:firstRowLastColumn="0" w:lastRowFirstColumn="0" w:lastRowLastColumn="0"/>
            </w:pPr>
            <w:r w:rsidRPr="00515FBC">
              <w:t>13–20</w:t>
            </w:r>
            <w:r w:rsidRPr="004C73E5">
              <w:t xml:space="preserve"> km/h</w:t>
            </w:r>
          </w:p>
        </w:tc>
        <w:tc>
          <w:tcPr>
            <w:tcW w:w="627" w:type="pct"/>
          </w:tcPr>
          <w:p w14:paraId="1C4A5E33" w14:textId="77777777" w:rsidR="00A81C4F" w:rsidRPr="004C73E5" w:rsidRDefault="00A81C4F" w:rsidP="00436BF4">
            <w:pPr>
              <w:pStyle w:val="Normal-table"/>
              <w:cnfStyle w:val="100000000000" w:firstRow="1" w:lastRow="0" w:firstColumn="0" w:lastColumn="0" w:oddVBand="0" w:evenVBand="0" w:oddHBand="0" w:evenHBand="0" w:firstRowFirstColumn="0" w:firstRowLastColumn="0" w:lastRowFirstColumn="0" w:lastRowLastColumn="0"/>
            </w:pPr>
            <w:r w:rsidRPr="00515FBC">
              <w:t>21–30</w:t>
            </w:r>
            <w:r w:rsidRPr="004C73E5">
              <w:t xml:space="preserve"> km/h</w:t>
            </w:r>
          </w:p>
        </w:tc>
        <w:tc>
          <w:tcPr>
            <w:tcW w:w="594" w:type="pct"/>
          </w:tcPr>
          <w:p w14:paraId="6C0C7BFA" w14:textId="77777777" w:rsidR="00A81C4F" w:rsidRPr="004C73E5" w:rsidRDefault="00A81C4F" w:rsidP="00436BF4">
            <w:pPr>
              <w:pStyle w:val="Normal-table"/>
              <w:cnfStyle w:val="100000000000" w:firstRow="1" w:lastRow="0" w:firstColumn="0" w:lastColumn="0" w:oddVBand="0" w:evenVBand="0" w:oddHBand="0" w:evenHBand="0" w:firstRowFirstColumn="0" w:firstRowLastColumn="0" w:lastRowFirstColumn="0" w:lastRowLastColumn="0"/>
            </w:pPr>
            <w:r w:rsidRPr="00515FBC">
              <w:t>31–40</w:t>
            </w:r>
            <w:r w:rsidRPr="004C73E5">
              <w:t xml:space="preserve"> km/h</w:t>
            </w:r>
          </w:p>
        </w:tc>
        <w:tc>
          <w:tcPr>
            <w:tcW w:w="594" w:type="pct"/>
          </w:tcPr>
          <w:p w14:paraId="35FD2187" w14:textId="77777777" w:rsidR="00A81C4F" w:rsidRPr="004C73E5" w:rsidRDefault="00A81C4F" w:rsidP="00436BF4">
            <w:pPr>
              <w:pStyle w:val="Normal-table"/>
              <w:cnfStyle w:val="100000000000" w:firstRow="1" w:lastRow="0" w:firstColumn="0" w:lastColumn="0" w:oddVBand="0" w:evenVBand="0" w:oddHBand="0" w:evenHBand="0" w:firstRowFirstColumn="0" w:firstRowLastColumn="0" w:lastRowFirstColumn="0" w:lastRowLastColumn="0"/>
            </w:pPr>
            <w:r w:rsidRPr="00515FBC">
              <w:t>&gt; 40</w:t>
            </w:r>
            <w:r w:rsidRPr="004C73E5">
              <w:t xml:space="preserve"> km/h</w:t>
            </w:r>
          </w:p>
        </w:tc>
        <w:tc>
          <w:tcPr>
            <w:tcW w:w="708" w:type="pct"/>
          </w:tcPr>
          <w:p w14:paraId="4AFC0DB0" w14:textId="77777777" w:rsidR="00A81C4F" w:rsidRPr="004C73E5" w:rsidRDefault="00A81C4F" w:rsidP="00436BF4">
            <w:pPr>
              <w:pStyle w:val="Normal-table"/>
              <w:cnfStyle w:val="100000000000" w:firstRow="1" w:lastRow="0" w:firstColumn="0" w:lastColumn="0" w:oddVBand="0" w:evenVBand="0" w:oddHBand="0" w:evenHBand="0" w:firstRowFirstColumn="0" w:firstRowLastColumn="0" w:lastRowFirstColumn="0" w:lastRowLastColumn="0"/>
            </w:pPr>
            <w:r w:rsidRPr="00515FBC">
              <w:t>Total</w:t>
            </w:r>
          </w:p>
        </w:tc>
      </w:tr>
      <w:tr w:rsidR="00A81C4F" w14:paraId="1DF28569" w14:textId="77777777" w:rsidTr="00524412">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061" w:type="pct"/>
          </w:tcPr>
          <w:p w14:paraId="71294770" w14:textId="77777777" w:rsidR="00A81C4F" w:rsidRPr="004C73E5" w:rsidRDefault="00A81C4F" w:rsidP="00436BF4">
            <w:pPr>
              <w:pStyle w:val="Normal-table"/>
            </w:pPr>
            <w:r w:rsidRPr="00515FBC">
              <w:t>Number of mobile speed camera infringements</w:t>
            </w:r>
          </w:p>
        </w:tc>
        <w:tc>
          <w:tcPr>
            <w:tcW w:w="708" w:type="pct"/>
          </w:tcPr>
          <w:p w14:paraId="57A699A8" w14:textId="77777777" w:rsidR="00A81C4F" w:rsidRPr="004C73E5" w:rsidRDefault="00A81C4F" w:rsidP="00436BF4">
            <w:pPr>
              <w:pStyle w:val="Normal-table"/>
              <w:cnfStyle w:val="000000100000" w:firstRow="0" w:lastRow="0" w:firstColumn="0" w:lastColumn="0" w:oddVBand="0" w:evenVBand="0" w:oddHBand="1" w:evenHBand="0" w:firstRowFirstColumn="0" w:firstRowLastColumn="0" w:lastRowFirstColumn="0" w:lastRowLastColumn="0"/>
            </w:pPr>
            <w:r w:rsidRPr="00515FBC">
              <w:t>438,010</w:t>
            </w:r>
          </w:p>
        </w:tc>
        <w:tc>
          <w:tcPr>
            <w:tcW w:w="708" w:type="pct"/>
          </w:tcPr>
          <w:p w14:paraId="2D61B98B" w14:textId="77777777" w:rsidR="00A81C4F" w:rsidRPr="004C73E5" w:rsidRDefault="00A81C4F" w:rsidP="00436BF4">
            <w:pPr>
              <w:pStyle w:val="Normal-table"/>
              <w:cnfStyle w:val="000000100000" w:firstRow="0" w:lastRow="0" w:firstColumn="0" w:lastColumn="0" w:oddVBand="0" w:evenVBand="0" w:oddHBand="1" w:evenHBand="0" w:firstRowFirstColumn="0" w:firstRowLastColumn="0" w:lastRowFirstColumn="0" w:lastRowLastColumn="0"/>
            </w:pPr>
            <w:r w:rsidRPr="00515FBC">
              <w:t>103,072</w:t>
            </w:r>
          </w:p>
        </w:tc>
        <w:tc>
          <w:tcPr>
            <w:tcW w:w="627" w:type="pct"/>
          </w:tcPr>
          <w:p w14:paraId="1917D879" w14:textId="77777777" w:rsidR="00A81C4F" w:rsidRPr="004C73E5" w:rsidRDefault="00A81C4F" w:rsidP="00436BF4">
            <w:pPr>
              <w:pStyle w:val="Normal-table"/>
              <w:cnfStyle w:val="000000100000" w:firstRow="0" w:lastRow="0" w:firstColumn="0" w:lastColumn="0" w:oddVBand="0" w:evenVBand="0" w:oddHBand="1" w:evenHBand="0" w:firstRowFirstColumn="0" w:firstRowLastColumn="0" w:lastRowFirstColumn="0" w:lastRowLastColumn="0"/>
            </w:pPr>
            <w:r w:rsidRPr="00515FBC">
              <w:t>14,326</w:t>
            </w:r>
          </w:p>
        </w:tc>
        <w:tc>
          <w:tcPr>
            <w:tcW w:w="594" w:type="pct"/>
          </w:tcPr>
          <w:p w14:paraId="42D85EAB" w14:textId="77777777" w:rsidR="00A81C4F" w:rsidRPr="004C73E5" w:rsidRDefault="00A81C4F" w:rsidP="00436BF4">
            <w:pPr>
              <w:pStyle w:val="Normal-table"/>
              <w:cnfStyle w:val="000000100000" w:firstRow="0" w:lastRow="0" w:firstColumn="0" w:lastColumn="0" w:oddVBand="0" w:evenVBand="0" w:oddHBand="1" w:evenHBand="0" w:firstRowFirstColumn="0" w:firstRowLastColumn="0" w:lastRowFirstColumn="0" w:lastRowLastColumn="0"/>
            </w:pPr>
            <w:r w:rsidRPr="00515FBC">
              <w:t>2163</w:t>
            </w:r>
          </w:p>
        </w:tc>
        <w:tc>
          <w:tcPr>
            <w:tcW w:w="594" w:type="pct"/>
          </w:tcPr>
          <w:p w14:paraId="01B48F41" w14:textId="77777777" w:rsidR="00A81C4F" w:rsidRPr="004C73E5" w:rsidRDefault="00A81C4F" w:rsidP="00436BF4">
            <w:pPr>
              <w:pStyle w:val="Normal-table"/>
              <w:cnfStyle w:val="000000100000" w:firstRow="0" w:lastRow="0" w:firstColumn="0" w:lastColumn="0" w:oddVBand="0" w:evenVBand="0" w:oddHBand="1" w:evenHBand="0" w:firstRowFirstColumn="0" w:firstRowLastColumn="0" w:lastRowFirstColumn="0" w:lastRowLastColumn="0"/>
            </w:pPr>
            <w:r w:rsidRPr="00515FBC">
              <w:t>999</w:t>
            </w:r>
          </w:p>
        </w:tc>
        <w:tc>
          <w:tcPr>
            <w:tcW w:w="708" w:type="pct"/>
          </w:tcPr>
          <w:p w14:paraId="06E86EE2" w14:textId="77777777" w:rsidR="00A81C4F" w:rsidRPr="004C73E5" w:rsidRDefault="00A81C4F" w:rsidP="00436BF4">
            <w:pPr>
              <w:pStyle w:val="Normal-table"/>
              <w:cnfStyle w:val="000000100000" w:firstRow="0" w:lastRow="0" w:firstColumn="0" w:lastColumn="0" w:oddVBand="0" w:evenVBand="0" w:oddHBand="1" w:evenHBand="0" w:firstRowFirstColumn="0" w:firstRowLastColumn="0" w:lastRowFirstColumn="0" w:lastRowLastColumn="0"/>
            </w:pPr>
            <w:r w:rsidRPr="00515FBC">
              <w:t>558,570</w:t>
            </w:r>
          </w:p>
        </w:tc>
      </w:tr>
      <w:tr w:rsidR="00A81C4F" w14:paraId="3685DAFC" w14:textId="77777777" w:rsidTr="00524412">
        <w:trPr>
          <w:trHeight w:val="254"/>
        </w:trPr>
        <w:tc>
          <w:tcPr>
            <w:cnfStyle w:val="001000000000" w:firstRow="0" w:lastRow="0" w:firstColumn="1" w:lastColumn="0" w:oddVBand="0" w:evenVBand="0" w:oddHBand="0" w:evenHBand="0" w:firstRowFirstColumn="0" w:firstRowLastColumn="0" w:lastRowFirstColumn="0" w:lastRowLastColumn="0"/>
            <w:tcW w:w="1061" w:type="pct"/>
          </w:tcPr>
          <w:p w14:paraId="7BF4C52E" w14:textId="77777777" w:rsidR="00A81C4F" w:rsidRPr="004C73E5" w:rsidRDefault="00A81C4F" w:rsidP="00436BF4">
            <w:pPr>
              <w:pStyle w:val="Normal-table"/>
            </w:pPr>
            <w:r w:rsidRPr="00515FBC">
              <w:t>Percentage</w:t>
            </w:r>
          </w:p>
        </w:tc>
        <w:tc>
          <w:tcPr>
            <w:tcW w:w="708" w:type="pct"/>
          </w:tcPr>
          <w:p w14:paraId="783D6191" w14:textId="77777777" w:rsidR="00A81C4F" w:rsidRPr="004C73E5" w:rsidRDefault="00A81C4F" w:rsidP="00436BF4">
            <w:pPr>
              <w:pStyle w:val="Normal-table"/>
              <w:cnfStyle w:val="000000000000" w:firstRow="0" w:lastRow="0" w:firstColumn="0" w:lastColumn="0" w:oddVBand="0" w:evenVBand="0" w:oddHBand="0" w:evenHBand="0" w:firstRowFirstColumn="0" w:firstRowLastColumn="0" w:lastRowFirstColumn="0" w:lastRowLastColumn="0"/>
            </w:pPr>
            <w:r w:rsidRPr="00515FBC">
              <w:t>78.42%</w:t>
            </w:r>
          </w:p>
        </w:tc>
        <w:tc>
          <w:tcPr>
            <w:tcW w:w="708" w:type="pct"/>
          </w:tcPr>
          <w:p w14:paraId="65D4F6D4" w14:textId="77777777" w:rsidR="00A81C4F" w:rsidRPr="004C73E5" w:rsidRDefault="00A81C4F" w:rsidP="00436BF4">
            <w:pPr>
              <w:pStyle w:val="Normal-table"/>
              <w:cnfStyle w:val="000000000000" w:firstRow="0" w:lastRow="0" w:firstColumn="0" w:lastColumn="0" w:oddVBand="0" w:evenVBand="0" w:oddHBand="0" w:evenHBand="0" w:firstRowFirstColumn="0" w:firstRowLastColumn="0" w:lastRowFirstColumn="0" w:lastRowLastColumn="0"/>
            </w:pPr>
            <w:r w:rsidRPr="00515FBC">
              <w:t>18.45%</w:t>
            </w:r>
          </w:p>
        </w:tc>
        <w:tc>
          <w:tcPr>
            <w:tcW w:w="627" w:type="pct"/>
          </w:tcPr>
          <w:p w14:paraId="360E064C" w14:textId="77777777" w:rsidR="00A81C4F" w:rsidRPr="004C73E5" w:rsidRDefault="00A81C4F" w:rsidP="00436BF4">
            <w:pPr>
              <w:pStyle w:val="Normal-table"/>
              <w:cnfStyle w:val="000000000000" w:firstRow="0" w:lastRow="0" w:firstColumn="0" w:lastColumn="0" w:oddVBand="0" w:evenVBand="0" w:oddHBand="0" w:evenHBand="0" w:firstRowFirstColumn="0" w:firstRowLastColumn="0" w:lastRowFirstColumn="0" w:lastRowLastColumn="0"/>
            </w:pPr>
            <w:r w:rsidRPr="00515FBC">
              <w:t>2.56%</w:t>
            </w:r>
          </w:p>
        </w:tc>
        <w:tc>
          <w:tcPr>
            <w:tcW w:w="594" w:type="pct"/>
          </w:tcPr>
          <w:p w14:paraId="53145EEF" w14:textId="77777777" w:rsidR="00A81C4F" w:rsidRPr="004C73E5" w:rsidRDefault="00A81C4F" w:rsidP="00436BF4">
            <w:pPr>
              <w:pStyle w:val="Normal-table"/>
              <w:cnfStyle w:val="000000000000" w:firstRow="0" w:lastRow="0" w:firstColumn="0" w:lastColumn="0" w:oddVBand="0" w:evenVBand="0" w:oddHBand="0" w:evenHBand="0" w:firstRowFirstColumn="0" w:firstRowLastColumn="0" w:lastRowFirstColumn="0" w:lastRowLastColumn="0"/>
            </w:pPr>
            <w:r w:rsidRPr="00515FBC">
              <w:t>0.39%</w:t>
            </w:r>
          </w:p>
        </w:tc>
        <w:tc>
          <w:tcPr>
            <w:tcW w:w="594" w:type="pct"/>
          </w:tcPr>
          <w:p w14:paraId="4F8AE20C" w14:textId="77777777" w:rsidR="00A81C4F" w:rsidRPr="004C73E5" w:rsidRDefault="00A81C4F" w:rsidP="00436BF4">
            <w:pPr>
              <w:pStyle w:val="Normal-table"/>
              <w:cnfStyle w:val="000000000000" w:firstRow="0" w:lastRow="0" w:firstColumn="0" w:lastColumn="0" w:oddVBand="0" w:evenVBand="0" w:oddHBand="0" w:evenHBand="0" w:firstRowFirstColumn="0" w:firstRowLastColumn="0" w:lastRowFirstColumn="0" w:lastRowLastColumn="0"/>
            </w:pPr>
            <w:r w:rsidRPr="00515FBC">
              <w:t>0.18%</w:t>
            </w:r>
          </w:p>
        </w:tc>
        <w:tc>
          <w:tcPr>
            <w:tcW w:w="708" w:type="pct"/>
          </w:tcPr>
          <w:p w14:paraId="1E0EBD6E" w14:textId="77777777" w:rsidR="00A81C4F" w:rsidRPr="00515FBC" w:rsidRDefault="00A81C4F" w:rsidP="00436BF4">
            <w:pPr>
              <w:pStyle w:val="Normal-table"/>
              <w:cnfStyle w:val="000000000000" w:firstRow="0" w:lastRow="0" w:firstColumn="0" w:lastColumn="0" w:oddVBand="0" w:evenVBand="0" w:oddHBand="0" w:evenHBand="0" w:firstRowFirstColumn="0" w:firstRowLastColumn="0" w:lastRowFirstColumn="0" w:lastRowLastColumn="0"/>
            </w:pPr>
          </w:p>
        </w:tc>
      </w:tr>
    </w:tbl>
    <w:p w14:paraId="46A03D18" w14:textId="77777777" w:rsidR="00A81C4F" w:rsidRDefault="00A81C4F" w:rsidP="00A81C4F">
      <w:pPr>
        <w:pStyle w:val="Caption"/>
      </w:pPr>
      <w:r>
        <w:t>Data source: Transport and Main Roads Data Analysis Team.</w:t>
      </w:r>
    </w:p>
    <w:p w14:paraId="0C549CAF" w14:textId="77777777" w:rsidR="00A81C4F" w:rsidRPr="003C2743" w:rsidRDefault="00A81C4F" w:rsidP="00A81C4F">
      <w:pPr>
        <w:pStyle w:val="Caption"/>
      </w:pPr>
      <w:r>
        <w:t>Note: Penalty bracket is vehicle exceeding the speed limit by this amount.</w:t>
      </w:r>
    </w:p>
    <w:p w14:paraId="250BACAF" w14:textId="77777777" w:rsidR="00A81C4F" w:rsidRDefault="00A81C4F" w:rsidP="00A81C4F">
      <w:pPr>
        <w:pStyle w:val="TableofFigures"/>
      </w:pPr>
      <w:r>
        <w:t xml:space="preserve">Figure 6: Red light cameras—Vehicles monitored per notice issued </w:t>
      </w:r>
    </w:p>
    <w:tbl>
      <w:tblPr>
        <w:tblStyle w:val="GridTable4-Accent1"/>
        <w:tblW w:w="5000" w:type="pct"/>
        <w:tblLook w:val="04A0" w:firstRow="1" w:lastRow="0" w:firstColumn="1" w:lastColumn="0" w:noHBand="0" w:noVBand="1"/>
      </w:tblPr>
      <w:tblGrid>
        <w:gridCol w:w="1983"/>
        <w:gridCol w:w="1360"/>
        <w:gridCol w:w="1423"/>
        <w:gridCol w:w="1423"/>
        <w:gridCol w:w="1423"/>
        <w:gridCol w:w="1422"/>
        <w:gridCol w:w="1422"/>
      </w:tblGrid>
      <w:tr w:rsidR="00A81C4F" w14:paraId="3B112CA2" w14:textId="77777777" w:rsidTr="00524412">
        <w:trPr>
          <w:cnfStyle w:val="100000000000" w:firstRow="1" w:lastRow="0" w:firstColumn="0" w:lastColumn="0" w:oddVBand="0" w:evenVBand="0" w:oddHBand="0" w:evenHBand="0" w:firstRowFirstColumn="0" w:firstRowLastColumn="0" w:lastRowFirstColumn="0" w:lastRowLastColumn="0"/>
          <w:trHeight w:val="366"/>
          <w:tblHeader/>
        </w:trPr>
        <w:tc>
          <w:tcPr>
            <w:cnfStyle w:val="001000000000" w:firstRow="0" w:lastRow="0" w:firstColumn="1" w:lastColumn="0" w:oddVBand="0" w:evenVBand="0" w:oddHBand="0" w:evenHBand="0" w:firstRowFirstColumn="0" w:firstRowLastColumn="0" w:lastRowFirstColumn="0" w:lastRowLastColumn="0"/>
            <w:tcW w:w="948" w:type="pct"/>
          </w:tcPr>
          <w:p w14:paraId="4BEC7783" w14:textId="77777777" w:rsidR="00A81C4F" w:rsidRPr="00DB7EBB" w:rsidRDefault="00A81C4F" w:rsidP="00436BF4">
            <w:pPr>
              <w:pStyle w:val="Normal-table"/>
            </w:pPr>
          </w:p>
        </w:tc>
        <w:tc>
          <w:tcPr>
            <w:tcW w:w="650" w:type="pct"/>
          </w:tcPr>
          <w:p w14:paraId="49B1B06F" w14:textId="77777777" w:rsidR="00A81C4F" w:rsidRPr="00DB7EBB" w:rsidRDefault="00A81C4F" w:rsidP="00436BF4">
            <w:pPr>
              <w:pStyle w:val="Normal-table"/>
              <w:cnfStyle w:val="100000000000" w:firstRow="1" w:lastRow="0" w:firstColumn="0" w:lastColumn="0" w:oddVBand="0" w:evenVBand="0" w:oddHBand="0" w:evenHBand="0" w:firstRowFirstColumn="0" w:firstRowLastColumn="0" w:lastRowFirstColumn="0" w:lastRowLastColumn="0"/>
            </w:pPr>
            <w:r w:rsidRPr="004C73E5">
              <w:t>2017</w:t>
            </w:r>
          </w:p>
        </w:tc>
        <w:tc>
          <w:tcPr>
            <w:tcW w:w="680" w:type="pct"/>
          </w:tcPr>
          <w:p w14:paraId="40CA75FB" w14:textId="77777777" w:rsidR="00A81C4F" w:rsidRPr="002D4387" w:rsidRDefault="00A81C4F" w:rsidP="00436BF4">
            <w:pPr>
              <w:pStyle w:val="Normal-table"/>
              <w:cnfStyle w:val="100000000000" w:firstRow="1" w:lastRow="0" w:firstColumn="0" w:lastColumn="0" w:oddVBand="0" w:evenVBand="0" w:oddHBand="0" w:evenHBand="0" w:firstRowFirstColumn="0" w:firstRowLastColumn="0" w:lastRowFirstColumn="0" w:lastRowLastColumn="0"/>
            </w:pPr>
            <w:r w:rsidRPr="004C73E5">
              <w:t>2018</w:t>
            </w:r>
          </w:p>
        </w:tc>
        <w:tc>
          <w:tcPr>
            <w:tcW w:w="680" w:type="pct"/>
          </w:tcPr>
          <w:p w14:paraId="321CE7FD" w14:textId="77777777" w:rsidR="00A81C4F" w:rsidRPr="002D4387" w:rsidRDefault="00A81C4F" w:rsidP="00436BF4">
            <w:pPr>
              <w:pStyle w:val="Normal-table"/>
              <w:cnfStyle w:val="100000000000" w:firstRow="1" w:lastRow="0" w:firstColumn="0" w:lastColumn="0" w:oddVBand="0" w:evenVBand="0" w:oddHBand="0" w:evenHBand="0" w:firstRowFirstColumn="0" w:firstRowLastColumn="0" w:lastRowFirstColumn="0" w:lastRowLastColumn="0"/>
            </w:pPr>
            <w:r w:rsidRPr="004C73E5">
              <w:t>2019</w:t>
            </w:r>
          </w:p>
        </w:tc>
        <w:tc>
          <w:tcPr>
            <w:tcW w:w="680" w:type="pct"/>
          </w:tcPr>
          <w:p w14:paraId="19FCAB88" w14:textId="77777777" w:rsidR="00A81C4F" w:rsidRPr="002D4387" w:rsidRDefault="00A81C4F" w:rsidP="00436BF4">
            <w:pPr>
              <w:pStyle w:val="Normal-table"/>
              <w:cnfStyle w:val="100000000000" w:firstRow="1" w:lastRow="0" w:firstColumn="0" w:lastColumn="0" w:oddVBand="0" w:evenVBand="0" w:oddHBand="0" w:evenHBand="0" w:firstRowFirstColumn="0" w:firstRowLastColumn="0" w:lastRowFirstColumn="0" w:lastRowLastColumn="0"/>
            </w:pPr>
            <w:r w:rsidRPr="004C73E5">
              <w:t>2020</w:t>
            </w:r>
          </w:p>
        </w:tc>
        <w:tc>
          <w:tcPr>
            <w:tcW w:w="680" w:type="pct"/>
          </w:tcPr>
          <w:p w14:paraId="0D4D32FC" w14:textId="77777777" w:rsidR="00A81C4F" w:rsidRPr="002D4387" w:rsidRDefault="00A81C4F" w:rsidP="00436BF4">
            <w:pPr>
              <w:pStyle w:val="Normal-table"/>
              <w:cnfStyle w:val="100000000000" w:firstRow="1" w:lastRow="0" w:firstColumn="0" w:lastColumn="0" w:oddVBand="0" w:evenVBand="0" w:oddHBand="0" w:evenHBand="0" w:firstRowFirstColumn="0" w:firstRowLastColumn="0" w:lastRowFirstColumn="0" w:lastRowLastColumn="0"/>
            </w:pPr>
            <w:r w:rsidRPr="004C73E5">
              <w:t>2021</w:t>
            </w:r>
          </w:p>
        </w:tc>
        <w:tc>
          <w:tcPr>
            <w:tcW w:w="680" w:type="pct"/>
          </w:tcPr>
          <w:p w14:paraId="65A9B853" w14:textId="77777777" w:rsidR="00A81C4F" w:rsidRPr="002D4387" w:rsidRDefault="00A81C4F" w:rsidP="00436BF4">
            <w:pPr>
              <w:pStyle w:val="Normal-table"/>
              <w:cnfStyle w:val="100000000000" w:firstRow="1" w:lastRow="0" w:firstColumn="0" w:lastColumn="0" w:oddVBand="0" w:evenVBand="0" w:oddHBand="0" w:evenHBand="0" w:firstRowFirstColumn="0" w:firstRowLastColumn="0" w:lastRowFirstColumn="0" w:lastRowLastColumn="0"/>
            </w:pPr>
            <w:r w:rsidRPr="00AB0973">
              <w:t>20</w:t>
            </w:r>
            <w:r w:rsidRPr="00DB7EBB">
              <w:t>22</w:t>
            </w:r>
          </w:p>
        </w:tc>
      </w:tr>
      <w:tr w:rsidR="00A81C4F" w14:paraId="1F54EC76" w14:textId="77777777" w:rsidTr="00524412">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948" w:type="pct"/>
          </w:tcPr>
          <w:p w14:paraId="1CEA0C95" w14:textId="77777777" w:rsidR="00A81C4F" w:rsidRPr="00140368" w:rsidRDefault="00A81C4F" w:rsidP="00436BF4">
            <w:pPr>
              <w:pStyle w:val="Normal-table"/>
            </w:pPr>
            <w:r w:rsidRPr="00140368">
              <w:t>Vehicles per notice</w:t>
            </w:r>
          </w:p>
        </w:tc>
        <w:tc>
          <w:tcPr>
            <w:tcW w:w="650" w:type="pct"/>
          </w:tcPr>
          <w:p w14:paraId="59F17FC7" w14:textId="77777777" w:rsidR="00A81C4F" w:rsidRPr="00140368" w:rsidRDefault="00A81C4F" w:rsidP="00436BF4">
            <w:pPr>
              <w:pStyle w:val="Normal-table"/>
              <w:cnfStyle w:val="000000100000" w:firstRow="0" w:lastRow="0" w:firstColumn="0" w:lastColumn="0" w:oddVBand="0" w:evenVBand="0" w:oddHBand="1" w:evenHBand="0" w:firstRowFirstColumn="0" w:firstRowLastColumn="0" w:lastRowFirstColumn="0" w:lastRowLastColumn="0"/>
            </w:pPr>
            <w:r w:rsidRPr="00140368">
              <w:t xml:space="preserve">100,855 </w:t>
            </w:r>
          </w:p>
        </w:tc>
        <w:tc>
          <w:tcPr>
            <w:tcW w:w="680" w:type="pct"/>
          </w:tcPr>
          <w:p w14:paraId="20BFD25B" w14:textId="77777777" w:rsidR="00A81C4F" w:rsidRPr="00140368" w:rsidRDefault="00A81C4F" w:rsidP="00436BF4">
            <w:pPr>
              <w:pStyle w:val="Normal-table"/>
              <w:cnfStyle w:val="000000100000" w:firstRow="0" w:lastRow="0" w:firstColumn="0" w:lastColumn="0" w:oddVBand="0" w:evenVBand="0" w:oddHBand="1" w:evenHBand="0" w:firstRowFirstColumn="0" w:firstRowLastColumn="0" w:lastRowFirstColumn="0" w:lastRowLastColumn="0"/>
            </w:pPr>
            <w:r w:rsidRPr="00140368">
              <w:t xml:space="preserve">110,514 </w:t>
            </w:r>
          </w:p>
        </w:tc>
        <w:tc>
          <w:tcPr>
            <w:tcW w:w="680" w:type="pct"/>
          </w:tcPr>
          <w:p w14:paraId="79F5B776" w14:textId="77777777" w:rsidR="00A81C4F" w:rsidRPr="00140368" w:rsidRDefault="00A81C4F" w:rsidP="00436BF4">
            <w:pPr>
              <w:pStyle w:val="Normal-table"/>
              <w:cnfStyle w:val="000000100000" w:firstRow="0" w:lastRow="0" w:firstColumn="0" w:lastColumn="0" w:oddVBand="0" w:evenVBand="0" w:oddHBand="1" w:evenHBand="0" w:firstRowFirstColumn="0" w:firstRowLastColumn="0" w:lastRowFirstColumn="0" w:lastRowLastColumn="0"/>
            </w:pPr>
            <w:r w:rsidRPr="00140368">
              <w:t xml:space="preserve">101,852 </w:t>
            </w:r>
          </w:p>
        </w:tc>
        <w:tc>
          <w:tcPr>
            <w:tcW w:w="680" w:type="pct"/>
          </w:tcPr>
          <w:p w14:paraId="628C11DE" w14:textId="77777777" w:rsidR="00A81C4F" w:rsidRPr="00140368" w:rsidRDefault="00A81C4F" w:rsidP="00436BF4">
            <w:pPr>
              <w:pStyle w:val="Normal-table"/>
              <w:cnfStyle w:val="000000100000" w:firstRow="0" w:lastRow="0" w:firstColumn="0" w:lastColumn="0" w:oddVBand="0" w:evenVBand="0" w:oddHBand="1" w:evenHBand="0" w:firstRowFirstColumn="0" w:firstRowLastColumn="0" w:lastRowFirstColumn="0" w:lastRowLastColumn="0"/>
            </w:pPr>
            <w:r w:rsidRPr="00140368">
              <w:t xml:space="preserve">107,054 </w:t>
            </w:r>
          </w:p>
        </w:tc>
        <w:tc>
          <w:tcPr>
            <w:tcW w:w="680" w:type="pct"/>
          </w:tcPr>
          <w:p w14:paraId="32964FFC" w14:textId="77777777" w:rsidR="00A81C4F" w:rsidRPr="00140368" w:rsidRDefault="00A81C4F" w:rsidP="00436BF4">
            <w:pPr>
              <w:pStyle w:val="Normal-table"/>
              <w:cnfStyle w:val="000000100000" w:firstRow="0" w:lastRow="0" w:firstColumn="0" w:lastColumn="0" w:oddVBand="0" w:evenVBand="0" w:oddHBand="1" w:evenHBand="0" w:firstRowFirstColumn="0" w:firstRowLastColumn="0" w:lastRowFirstColumn="0" w:lastRowLastColumn="0"/>
            </w:pPr>
            <w:r w:rsidRPr="00140368">
              <w:t xml:space="preserve">104,310 </w:t>
            </w:r>
          </w:p>
        </w:tc>
        <w:tc>
          <w:tcPr>
            <w:tcW w:w="680" w:type="pct"/>
          </w:tcPr>
          <w:p w14:paraId="4B874452" w14:textId="77777777" w:rsidR="00A81C4F" w:rsidRPr="00140368" w:rsidRDefault="00A81C4F" w:rsidP="00436BF4">
            <w:pPr>
              <w:pStyle w:val="Normal-table"/>
              <w:cnfStyle w:val="000000100000" w:firstRow="0" w:lastRow="0" w:firstColumn="0" w:lastColumn="0" w:oddVBand="0" w:evenVBand="0" w:oddHBand="1" w:evenHBand="0" w:firstRowFirstColumn="0" w:firstRowLastColumn="0" w:lastRowFirstColumn="0" w:lastRowLastColumn="0"/>
            </w:pPr>
            <w:r w:rsidRPr="00140368">
              <w:t xml:space="preserve">118,833 </w:t>
            </w:r>
          </w:p>
        </w:tc>
      </w:tr>
    </w:tbl>
    <w:p w14:paraId="18002936" w14:textId="77777777" w:rsidR="00A81C4F" w:rsidRDefault="00A81C4F" w:rsidP="00A81C4F">
      <w:r>
        <w:rPr>
          <w:noProof/>
        </w:rPr>
        <w:drawing>
          <wp:inline distT="0" distB="0" distL="0" distR="0" wp14:anchorId="3307D249" wp14:editId="5DC6B35E">
            <wp:extent cx="6610350" cy="3200400"/>
            <wp:effectExtent l="0" t="0" r="0" b="0"/>
            <wp:docPr id="18" name="Chart 18" descr="Red light camera vehicles monitored per notice issued"/>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15DD521E" w14:textId="77777777" w:rsidR="00A81C4F" w:rsidRDefault="00A81C4F" w:rsidP="00A81C4F">
      <w:pPr>
        <w:pStyle w:val="Caption"/>
      </w:pPr>
      <w:r>
        <w:t>Data source: Queensland Police Service.</w:t>
      </w:r>
    </w:p>
    <w:p w14:paraId="66A400B8" w14:textId="77777777" w:rsidR="00A81C4F" w:rsidRPr="00CF0B4E" w:rsidRDefault="00A81C4F" w:rsidP="00A81C4F">
      <w:pPr>
        <w:pStyle w:val="Caption"/>
      </w:pPr>
      <w:r>
        <w:t>Note: This graph does not include red light camera notices issued by combined red light/speed cameras. See Figure 8.</w:t>
      </w:r>
    </w:p>
    <w:p w14:paraId="3F2D79B3" w14:textId="77777777" w:rsidR="00916DF7" w:rsidRDefault="00916DF7">
      <w:pPr>
        <w:spacing w:before="0" w:after="160" w:line="259" w:lineRule="auto"/>
        <w:rPr>
          <w:b/>
        </w:rPr>
      </w:pPr>
      <w:r>
        <w:br w:type="page"/>
      </w:r>
    </w:p>
    <w:p w14:paraId="3CBC790C" w14:textId="5DB3360D" w:rsidR="00A81C4F" w:rsidRDefault="00A81C4F" w:rsidP="00A81C4F">
      <w:pPr>
        <w:pStyle w:val="TableofFigures"/>
      </w:pPr>
      <w:r>
        <w:lastRenderedPageBreak/>
        <w:t>Figure 7: Fixed speed cameras—Vehicles monitored per notice issued</w:t>
      </w:r>
    </w:p>
    <w:tbl>
      <w:tblPr>
        <w:tblStyle w:val="GridTable4-Accent1"/>
        <w:tblW w:w="5000" w:type="pct"/>
        <w:tblLook w:val="04A0" w:firstRow="1" w:lastRow="0" w:firstColumn="1" w:lastColumn="0" w:noHBand="0" w:noVBand="1"/>
      </w:tblPr>
      <w:tblGrid>
        <w:gridCol w:w="1958"/>
        <w:gridCol w:w="1375"/>
        <w:gridCol w:w="1425"/>
        <w:gridCol w:w="1425"/>
        <w:gridCol w:w="1425"/>
        <w:gridCol w:w="1424"/>
        <w:gridCol w:w="1424"/>
      </w:tblGrid>
      <w:tr w:rsidR="00A81C4F" w14:paraId="49FBA2F1" w14:textId="77777777" w:rsidTr="005C1969">
        <w:trPr>
          <w:cnfStyle w:val="100000000000" w:firstRow="1" w:lastRow="0" w:firstColumn="0" w:lastColumn="0" w:oddVBand="0" w:evenVBand="0" w:oddHBand="0" w:evenHBand="0" w:firstRowFirstColumn="0" w:firstRowLastColumn="0" w:lastRowFirstColumn="0" w:lastRowLastColumn="0"/>
          <w:trHeight w:val="319"/>
          <w:tblHeader/>
        </w:trPr>
        <w:tc>
          <w:tcPr>
            <w:cnfStyle w:val="001000000000" w:firstRow="0" w:lastRow="0" w:firstColumn="1" w:lastColumn="0" w:oddVBand="0" w:evenVBand="0" w:oddHBand="0" w:evenHBand="0" w:firstRowFirstColumn="0" w:firstRowLastColumn="0" w:lastRowFirstColumn="0" w:lastRowLastColumn="0"/>
            <w:tcW w:w="936" w:type="pct"/>
          </w:tcPr>
          <w:p w14:paraId="257C91E9" w14:textId="1FA98F2C" w:rsidR="00A81C4F" w:rsidRPr="00DB7EBB" w:rsidRDefault="00524412" w:rsidP="00436BF4">
            <w:pPr>
              <w:pStyle w:val="Normal-table"/>
            </w:pPr>
            <w:r>
              <w:t>s</w:t>
            </w:r>
          </w:p>
        </w:tc>
        <w:tc>
          <w:tcPr>
            <w:tcW w:w="657" w:type="pct"/>
          </w:tcPr>
          <w:p w14:paraId="36F6553D" w14:textId="77777777" w:rsidR="00A81C4F" w:rsidRPr="00DB7EBB" w:rsidRDefault="00A81C4F" w:rsidP="00436BF4">
            <w:pPr>
              <w:pStyle w:val="Normal-table"/>
              <w:cnfStyle w:val="100000000000" w:firstRow="1" w:lastRow="0" w:firstColumn="0" w:lastColumn="0" w:oddVBand="0" w:evenVBand="0" w:oddHBand="0" w:evenHBand="0" w:firstRowFirstColumn="0" w:firstRowLastColumn="0" w:lastRowFirstColumn="0" w:lastRowLastColumn="0"/>
            </w:pPr>
            <w:r w:rsidRPr="004C73E5">
              <w:t>2017</w:t>
            </w:r>
          </w:p>
        </w:tc>
        <w:tc>
          <w:tcPr>
            <w:tcW w:w="681" w:type="pct"/>
          </w:tcPr>
          <w:p w14:paraId="2330C47A" w14:textId="77777777" w:rsidR="00A81C4F" w:rsidRPr="002D4387" w:rsidRDefault="00A81C4F" w:rsidP="00436BF4">
            <w:pPr>
              <w:pStyle w:val="Normal-table"/>
              <w:cnfStyle w:val="100000000000" w:firstRow="1" w:lastRow="0" w:firstColumn="0" w:lastColumn="0" w:oddVBand="0" w:evenVBand="0" w:oddHBand="0" w:evenHBand="0" w:firstRowFirstColumn="0" w:firstRowLastColumn="0" w:lastRowFirstColumn="0" w:lastRowLastColumn="0"/>
            </w:pPr>
            <w:r w:rsidRPr="004C73E5">
              <w:t>2018</w:t>
            </w:r>
          </w:p>
        </w:tc>
        <w:tc>
          <w:tcPr>
            <w:tcW w:w="681" w:type="pct"/>
          </w:tcPr>
          <w:p w14:paraId="20EE4275" w14:textId="77777777" w:rsidR="00A81C4F" w:rsidRPr="002D4387" w:rsidRDefault="00A81C4F" w:rsidP="00436BF4">
            <w:pPr>
              <w:pStyle w:val="Normal-table"/>
              <w:cnfStyle w:val="100000000000" w:firstRow="1" w:lastRow="0" w:firstColumn="0" w:lastColumn="0" w:oddVBand="0" w:evenVBand="0" w:oddHBand="0" w:evenHBand="0" w:firstRowFirstColumn="0" w:firstRowLastColumn="0" w:lastRowFirstColumn="0" w:lastRowLastColumn="0"/>
            </w:pPr>
            <w:r w:rsidRPr="004C73E5">
              <w:t>2019</w:t>
            </w:r>
          </w:p>
        </w:tc>
        <w:tc>
          <w:tcPr>
            <w:tcW w:w="681" w:type="pct"/>
          </w:tcPr>
          <w:p w14:paraId="6F783694" w14:textId="77777777" w:rsidR="00A81C4F" w:rsidRPr="002D4387" w:rsidRDefault="00A81C4F" w:rsidP="00436BF4">
            <w:pPr>
              <w:pStyle w:val="Normal-table"/>
              <w:cnfStyle w:val="100000000000" w:firstRow="1" w:lastRow="0" w:firstColumn="0" w:lastColumn="0" w:oddVBand="0" w:evenVBand="0" w:oddHBand="0" w:evenHBand="0" w:firstRowFirstColumn="0" w:firstRowLastColumn="0" w:lastRowFirstColumn="0" w:lastRowLastColumn="0"/>
            </w:pPr>
            <w:r w:rsidRPr="004C73E5">
              <w:t>2020</w:t>
            </w:r>
          </w:p>
        </w:tc>
        <w:tc>
          <w:tcPr>
            <w:tcW w:w="681" w:type="pct"/>
          </w:tcPr>
          <w:p w14:paraId="71D2AED1" w14:textId="77777777" w:rsidR="00A81C4F" w:rsidRPr="002D4387" w:rsidRDefault="00A81C4F" w:rsidP="00436BF4">
            <w:pPr>
              <w:pStyle w:val="Normal-table"/>
              <w:cnfStyle w:val="100000000000" w:firstRow="1" w:lastRow="0" w:firstColumn="0" w:lastColumn="0" w:oddVBand="0" w:evenVBand="0" w:oddHBand="0" w:evenHBand="0" w:firstRowFirstColumn="0" w:firstRowLastColumn="0" w:lastRowFirstColumn="0" w:lastRowLastColumn="0"/>
            </w:pPr>
            <w:r w:rsidRPr="004C73E5">
              <w:t>2021</w:t>
            </w:r>
          </w:p>
        </w:tc>
        <w:tc>
          <w:tcPr>
            <w:tcW w:w="681" w:type="pct"/>
          </w:tcPr>
          <w:p w14:paraId="3A898D39" w14:textId="77777777" w:rsidR="00A81C4F" w:rsidRPr="002D4387" w:rsidRDefault="00A81C4F" w:rsidP="00436BF4">
            <w:pPr>
              <w:pStyle w:val="Normal-table"/>
              <w:cnfStyle w:val="100000000000" w:firstRow="1" w:lastRow="0" w:firstColumn="0" w:lastColumn="0" w:oddVBand="0" w:evenVBand="0" w:oddHBand="0" w:evenHBand="0" w:firstRowFirstColumn="0" w:firstRowLastColumn="0" w:lastRowFirstColumn="0" w:lastRowLastColumn="0"/>
            </w:pPr>
            <w:r w:rsidRPr="00AB0973">
              <w:t>20</w:t>
            </w:r>
            <w:r w:rsidRPr="00DB7EBB">
              <w:t>22</w:t>
            </w:r>
          </w:p>
        </w:tc>
      </w:tr>
      <w:tr w:rsidR="00A81C4F" w14:paraId="56039AEA" w14:textId="77777777" w:rsidTr="005C1969">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936" w:type="pct"/>
          </w:tcPr>
          <w:p w14:paraId="55A6CC38" w14:textId="77777777" w:rsidR="00A81C4F" w:rsidRPr="00140368" w:rsidRDefault="00A81C4F" w:rsidP="00436BF4">
            <w:pPr>
              <w:pStyle w:val="Normal-table"/>
            </w:pPr>
            <w:r w:rsidRPr="00140368">
              <w:t>Vehicles per notice</w:t>
            </w:r>
          </w:p>
        </w:tc>
        <w:tc>
          <w:tcPr>
            <w:tcW w:w="657" w:type="pct"/>
          </w:tcPr>
          <w:p w14:paraId="7AF563EC" w14:textId="77777777" w:rsidR="00A81C4F" w:rsidRPr="00140368" w:rsidRDefault="00A81C4F" w:rsidP="00436BF4">
            <w:pPr>
              <w:pStyle w:val="Normal-table"/>
              <w:cnfStyle w:val="000000100000" w:firstRow="0" w:lastRow="0" w:firstColumn="0" w:lastColumn="0" w:oddVBand="0" w:evenVBand="0" w:oddHBand="1" w:evenHBand="0" w:firstRowFirstColumn="0" w:firstRowLastColumn="0" w:lastRowFirstColumn="0" w:lastRowLastColumn="0"/>
            </w:pPr>
            <w:r w:rsidRPr="00140368">
              <w:t xml:space="preserve">10,851 </w:t>
            </w:r>
          </w:p>
        </w:tc>
        <w:tc>
          <w:tcPr>
            <w:tcW w:w="681" w:type="pct"/>
          </w:tcPr>
          <w:p w14:paraId="33073DEF" w14:textId="77777777" w:rsidR="00A81C4F" w:rsidRPr="00140368" w:rsidRDefault="00A81C4F" w:rsidP="00436BF4">
            <w:pPr>
              <w:pStyle w:val="Normal-table"/>
              <w:cnfStyle w:val="000000100000" w:firstRow="0" w:lastRow="0" w:firstColumn="0" w:lastColumn="0" w:oddVBand="0" w:evenVBand="0" w:oddHBand="1" w:evenHBand="0" w:firstRowFirstColumn="0" w:firstRowLastColumn="0" w:lastRowFirstColumn="0" w:lastRowLastColumn="0"/>
            </w:pPr>
            <w:r w:rsidRPr="00140368">
              <w:t xml:space="preserve">13,107 </w:t>
            </w:r>
          </w:p>
        </w:tc>
        <w:tc>
          <w:tcPr>
            <w:tcW w:w="681" w:type="pct"/>
          </w:tcPr>
          <w:p w14:paraId="37DFD490" w14:textId="77777777" w:rsidR="00A81C4F" w:rsidRPr="00140368" w:rsidRDefault="00A81C4F" w:rsidP="00436BF4">
            <w:pPr>
              <w:pStyle w:val="Normal-table"/>
              <w:cnfStyle w:val="000000100000" w:firstRow="0" w:lastRow="0" w:firstColumn="0" w:lastColumn="0" w:oddVBand="0" w:evenVBand="0" w:oddHBand="1" w:evenHBand="0" w:firstRowFirstColumn="0" w:firstRowLastColumn="0" w:lastRowFirstColumn="0" w:lastRowLastColumn="0"/>
            </w:pPr>
            <w:r w:rsidRPr="00140368">
              <w:t xml:space="preserve">14,918 </w:t>
            </w:r>
          </w:p>
        </w:tc>
        <w:tc>
          <w:tcPr>
            <w:tcW w:w="681" w:type="pct"/>
          </w:tcPr>
          <w:p w14:paraId="20EA70E1" w14:textId="77777777" w:rsidR="00A81C4F" w:rsidRPr="00140368" w:rsidRDefault="00A81C4F" w:rsidP="00436BF4">
            <w:pPr>
              <w:pStyle w:val="Normal-table"/>
              <w:cnfStyle w:val="000000100000" w:firstRow="0" w:lastRow="0" w:firstColumn="0" w:lastColumn="0" w:oddVBand="0" w:evenVBand="0" w:oddHBand="1" w:evenHBand="0" w:firstRowFirstColumn="0" w:firstRowLastColumn="0" w:lastRowFirstColumn="0" w:lastRowLastColumn="0"/>
            </w:pPr>
            <w:r w:rsidRPr="00140368">
              <w:t xml:space="preserve">13,556 </w:t>
            </w:r>
          </w:p>
        </w:tc>
        <w:tc>
          <w:tcPr>
            <w:tcW w:w="681" w:type="pct"/>
          </w:tcPr>
          <w:p w14:paraId="5CF93609" w14:textId="77777777" w:rsidR="00A81C4F" w:rsidRPr="00140368" w:rsidRDefault="00A81C4F" w:rsidP="00436BF4">
            <w:pPr>
              <w:pStyle w:val="Normal-table"/>
              <w:cnfStyle w:val="000000100000" w:firstRow="0" w:lastRow="0" w:firstColumn="0" w:lastColumn="0" w:oddVBand="0" w:evenVBand="0" w:oddHBand="1" w:evenHBand="0" w:firstRowFirstColumn="0" w:firstRowLastColumn="0" w:lastRowFirstColumn="0" w:lastRowLastColumn="0"/>
            </w:pPr>
            <w:r w:rsidRPr="00140368">
              <w:t xml:space="preserve">15,234 </w:t>
            </w:r>
          </w:p>
        </w:tc>
        <w:tc>
          <w:tcPr>
            <w:tcW w:w="681" w:type="pct"/>
          </w:tcPr>
          <w:p w14:paraId="5F9AF05A" w14:textId="77777777" w:rsidR="00A81C4F" w:rsidRPr="00140368" w:rsidRDefault="00A81C4F" w:rsidP="00436BF4">
            <w:pPr>
              <w:pStyle w:val="Normal-table"/>
              <w:cnfStyle w:val="000000100000" w:firstRow="0" w:lastRow="0" w:firstColumn="0" w:lastColumn="0" w:oddVBand="0" w:evenVBand="0" w:oddHBand="1" w:evenHBand="0" w:firstRowFirstColumn="0" w:firstRowLastColumn="0" w:lastRowFirstColumn="0" w:lastRowLastColumn="0"/>
            </w:pPr>
            <w:r w:rsidRPr="00140368">
              <w:t xml:space="preserve">21,156 </w:t>
            </w:r>
          </w:p>
        </w:tc>
      </w:tr>
    </w:tbl>
    <w:p w14:paraId="635AE443" w14:textId="77777777" w:rsidR="00A81C4F" w:rsidRDefault="00A81C4F" w:rsidP="00A81C4F"/>
    <w:p w14:paraId="30F3D5B4" w14:textId="77777777" w:rsidR="00A81C4F" w:rsidRDefault="00A81C4F" w:rsidP="00A81C4F">
      <w:pPr>
        <w:pStyle w:val="Caption"/>
      </w:pPr>
      <w:r>
        <w:rPr>
          <w:noProof/>
        </w:rPr>
        <w:drawing>
          <wp:inline distT="0" distB="0" distL="0" distR="0" wp14:anchorId="7DF79577" wp14:editId="01894B83">
            <wp:extent cx="6610350" cy="3200400"/>
            <wp:effectExtent l="0" t="0" r="0" b="0"/>
            <wp:docPr id="19" name="Chart 19" descr="Line graph showing fixed speed cameras vehicles monitored per notice issued"/>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3CDB17EA" w14:textId="77777777" w:rsidR="00A81C4F" w:rsidRDefault="00A81C4F" w:rsidP="00A81C4F">
      <w:pPr>
        <w:pStyle w:val="Caption"/>
      </w:pPr>
      <w:r>
        <w:t>Data source: Queensland Police Service.</w:t>
      </w:r>
    </w:p>
    <w:p w14:paraId="3C313464" w14:textId="77777777" w:rsidR="00A81C4F" w:rsidRPr="00103CBE" w:rsidRDefault="00A81C4F" w:rsidP="00A81C4F">
      <w:pPr>
        <w:pStyle w:val="Caption"/>
      </w:pPr>
      <w:r>
        <w:t>Note: This graph does not include fixed speed camera notices issued by combined red light/speed cameras. See Figure 8.</w:t>
      </w:r>
    </w:p>
    <w:p w14:paraId="46B3A5A3" w14:textId="77777777" w:rsidR="00A81C4F" w:rsidRDefault="00A81C4F" w:rsidP="00A81C4F">
      <w:pPr>
        <w:pStyle w:val="TableofFigures"/>
      </w:pPr>
      <w:r>
        <w:t xml:space="preserve">Table 59: Number of fixed speed camera infringements per penalty bracket for 2022 </w:t>
      </w:r>
    </w:p>
    <w:tbl>
      <w:tblPr>
        <w:tblStyle w:val="GridTable4-Accent1"/>
        <w:tblW w:w="5000" w:type="pct"/>
        <w:tblLook w:val="04A0" w:firstRow="1" w:lastRow="0" w:firstColumn="1" w:lastColumn="0" w:noHBand="0" w:noVBand="1"/>
      </w:tblPr>
      <w:tblGrid>
        <w:gridCol w:w="2247"/>
        <w:gridCol w:w="1501"/>
        <w:gridCol w:w="1432"/>
        <w:gridCol w:w="1259"/>
        <w:gridCol w:w="1259"/>
        <w:gridCol w:w="1259"/>
        <w:gridCol w:w="1499"/>
      </w:tblGrid>
      <w:tr w:rsidR="00A81C4F" w14:paraId="1B58D9A9" w14:textId="77777777" w:rsidTr="00E479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74" w:type="pct"/>
          </w:tcPr>
          <w:p w14:paraId="74E638BA" w14:textId="77777777" w:rsidR="00A81C4F" w:rsidRPr="004C73E5" w:rsidRDefault="00A81C4F" w:rsidP="00436BF4">
            <w:pPr>
              <w:pStyle w:val="Normal-table"/>
            </w:pPr>
            <w:r w:rsidRPr="00A934C4">
              <w:t>Penalty bracket</w:t>
            </w:r>
          </w:p>
        </w:tc>
        <w:tc>
          <w:tcPr>
            <w:tcW w:w="718" w:type="pct"/>
          </w:tcPr>
          <w:p w14:paraId="3F1B2198" w14:textId="77777777" w:rsidR="00A81C4F" w:rsidRPr="004C73E5" w:rsidRDefault="00A81C4F" w:rsidP="00436BF4">
            <w:pPr>
              <w:pStyle w:val="Normal-table"/>
              <w:cnfStyle w:val="100000000000" w:firstRow="1" w:lastRow="0" w:firstColumn="0" w:lastColumn="0" w:oddVBand="0" w:evenVBand="0" w:oddHBand="0" w:evenHBand="0" w:firstRowFirstColumn="0" w:firstRowLastColumn="0" w:lastRowFirstColumn="0" w:lastRowLastColumn="0"/>
            </w:pPr>
            <w:r w:rsidRPr="00A934C4">
              <w:t>Less than</w:t>
            </w:r>
            <w:r w:rsidRPr="004C73E5">
              <w:t xml:space="preserve"> 13 km/h</w:t>
            </w:r>
          </w:p>
        </w:tc>
        <w:tc>
          <w:tcPr>
            <w:tcW w:w="685" w:type="pct"/>
          </w:tcPr>
          <w:p w14:paraId="0EE49EF6" w14:textId="77777777" w:rsidR="00A81C4F" w:rsidRPr="004C73E5" w:rsidRDefault="00A81C4F" w:rsidP="00436BF4">
            <w:pPr>
              <w:pStyle w:val="Normal-table"/>
              <w:cnfStyle w:val="100000000000" w:firstRow="1" w:lastRow="0" w:firstColumn="0" w:lastColumn="0" w:oddVBand="0" w:evenVBand="0" w:oddHBand="0" w:evenHBand="0" w:firstRowFirstColumn="0" w:firstRowLastColumn="0" w:lastRowFirstColumn="0" w:lastRowLastColumn="0"/>
            </w:pPr>
            <w:r w:rsidRPr="00A934C4">
              <w:t>13–20</w:t>
            </w:r>
            <w:r w:rsidRPr="004C73E5">
              <w:t xml:space="preserve"> km/h</w:t>
            </w:r>
          </w:p>
        </w:tc>
        <w:tc>
          <w:tcPr>
            <w:tcW w:w="602" w:type="pct"/>
          </w:tcPr>
          <w:p w14:paraId="73B2F591" w14:textId="77777777" w:rsidR="00A81C4F" w:rsidRPr="004C73E5" w:rsidRDefault="00A81C4F" w:rsidP="00436BF4">
            <w:pPr>
              <w:pStyle w:val="Normal-table"/>
              <w:cnfStyle w:val="100000000000" w:firstRow="1" w:lastRow="0" w:firstColumn="0" w:lastColumn="0" w:oddVBand="0" w:evenVBand="0" w:oddHBand="0" w:evenHBand="0" w:firstRowFirstColumn="0" w:firstRowLastColumn="0" w:lastRowFirstColumn="0" w:lastRowLastColumn="0"/>
            </w:pPr>
            <w:r w:rsidRPr="00A934C4">
              <w:t>21–30</w:t>
            </w:r>
            <w:r w:rsidRPr="004C73E5">
              <w:t xml:space="preserve"> km/h</w:t>
            </w:r>
          </w:p>
        </w:tc>
        <w:tc>
          <w:tcPr>
            <w:tcW w:w="602" w:type="pct"/>
          </w:tcPr>
          <w:p w14:paraId="3383B057" w14:textId="77777777" w:rsidR="00A81C4F" w:rsidRPr="004C73E5" w:rsidRDefault="00A81C4F" w:rsidP="00436BF4">
            <w:pPr>
              <w:pStyle w:val="Normal-table"/>
              <w:cnfStyle w:val="100000000000" w:firstRow="1" w:lastRow="0" w:firstColumn="0" w:lastColumn="0" w:oddVBand="0" w:evenVBand="0" w:oddHBand="0" w:evenHBand="0" w:firstRowFirstColumn="0" w:firstRowLastColumn="0" w:lastRowFirstColumn="0" w:lastRowLastColumn="0"/>
            </w:pPr>
            <w:r w:rsidRPr="00A934C4">
              <w:t>31–40</w:t>
            </w:r>
            <w:r w:rsidRPr="004C73E5">
              <w:t xml:space="preserve"> km/h</w:t>
            </w:r>
          </w:p>
        </w:tc>
        <w:tc>
          <w:tcPr>
            <w:tcW w:w="602" w:type="pct"/>
          </w:tcPr>
          <w:p w14:paraId="5E10CC66" w14:textId="77777777" w:rsidR="00A81C4F" w:rsidRPr="004C73E5" w:rsidRDefault="00A81C4F" w:rsidP="00436BF4">
            <w:pPr>
              <w:pStyle w:val="Normal-table"/>
              <w:cnfStyle w:val="100000000000" w:firstRow="1" w:lastRow="0" w:firstColumn="0" w:lastColumn="0" w:oddVBand="0" w:evenVBand="0" w:oddHBand="0" w:evenHBand="0" w:firstRowFirstColumn="0" w:firstRowLastColumn="0" w:lastRowFirstColumn="0" w:lastRowLastColumn="0"/>
            </w:pPr>
            <w:r w:rsidRPr="00A934C4">
              <w:t>More than</w:t>
            </w:r>
            <w:r w:rsidRPr="004C73E5">
              <w:t xml:space="preserve"> 40 km/h</w:t>
            </w:r>
          </w:p>
        </w:tc>
        <w:tc>
          <w:tcPr>
            <w:tcW w:w="718" w:type="pct"/>
          </w:tcPr>
          <w:p w14:paraId="457E5A3E" w14:textId="77777777" w:rsidR="00A81C4F" w:rsidRPr="004C73E5" w:rsidRDefault="00A81C4F" w:rsidP="00436BF4">
            <w:pPr>
              <w:pStyle w:val="Normal-table"/>
              <w:cnfStyle w:val="100000000000" w:firstRow="1" w:lastRow="0" w:firstColumn="0" w:lastColumn="0" w:oddVBand="0" w:evenVBand="0" w:oddHBand="0" w:evenHBand="0" w:firstRowFirstColumn="0" w:firstRowLastColumn="0" w:lastRowFirstColumn="0" w:lastRowLastColumn="0"/>
            </w:pPr>
            <w:r w:rsidRPr="00A934C4">
              <w:t>Total</w:t>
            </w:r>
          </w:p>
        </w:tc>
      </w:tr>
      <w:tr w:rsidR="00A81C4F" w14:paraId="0F148C05" w14:textId="77777777" w:rsidTr="005C1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pct"/>
          </w:tcPr>
          <w:p w14:paraId="3AA2F9C4" w14:textId="77777777" w:rsidR="00A81C4F" w:rsidRPr="004C73E5" w:rsidRDefault="00A81C4F" w:rsidP="00436BF4">
            <w:pPr>
              <w:pStyle w:val="Normal-table"/>
            </w:pPr>
            <w:r w:rsidRPr="00A934C4">
              <w:t>Number of fixed speed camera infringements</w:t>
            </w:r>
          </w:p>
        </w:tc>
        <w:tc>
          <w:tcPr>
            <w:tcW w:w="718" w:type="pct"/>
          </w:tcPr>
          <w:p w14:paraId="1954B816" w14:textId="77777777" w:rsidR="00A81C4F" w:rsidRPr="004C73E5" w:rsidRDefault="00A81C4F" w:rsidP="00436BF4">
            <w:pPr>
              <w:pStyle w:val="Normal-table"/>
              <w:cnfStyle w:val="000000100000" w:firstRow="0" w:lastRow="0" w:firstColumn="0" w:lastColumn="0" w:oddVBand="0" w:evenVBand="0" w:oddHBand="1" w:evenHBand="0" w:firstRowFirstColumn="0" w:firstRowLastColumn="0" w:lastRowFirstColumn="0" w:lastRowLastColumn="0"/>
            </w:pPr>
            <w:r w:rsidRPr="00A934C4">
              <w:t>134,667</w:t>
            </w:r>
          </w:p>
        </w:tc>
        <w:tc>
          <w:tcPr>
            <w:tcW w:w="685" w:type="pct"/>
          </w:tcPr>
          <w:p w14:paraId="6226DC56" w14:textId="77777777" w:rsidR="00A81C4F" w:rsidRPr="004C73E5" w:rsidRDefault="00A81C4F" w:rsidP="00436BF4">
            <w:pPr>
              <w:pStyle w:val="Normal-table"/>
              <w:cnfStyle w:val="000000100000" w:firstRow="0" w:lastRow="0" w:firstColumn="0" w:lastColumn="0" w:oddVBand="0" w:evenVBand="0" w:oddHBand="1" w:evenHBand="0" w:firstRowFirstColumn="0" w:firstRowLastColumn="0" w:lastRowFirstColumn="0" w:lastRowLastColumn="0"/>
            </w:pPr>
            <w:r w:rsidRPr="00A934C4">
              <w:t>23,014</w:t>
            </w:r>
          </w:p>
        </w:tc>
        <w:tc>
          <w:tcPr>
            <w:tcW w:w="602" w:type="pct"/>
          </w:tcPr>
          <w:p w14:paraId="07DFBFDD" w14:textId="77777777" w:rsidR="00A81C4F" w:rsidRPr="004C73E5" w:rsidRDefault="00A81C4F" w:rsidP="00436BF4">
            <w:pPr>
              <w:pStyle w:val="Normal-table"/>
              <w:cnfStyle w:val="000000100000" w:firstRow="0" w:lastRow="0" w:firstColumn="0" w:lastColumn="0" w:oddVBand="0" w:evenVBand="0" w:oddHBand="1" w:evenHBand="0" w:firstRowFirstColumn="0" w:firstRowLastColumn="0" w:lastRowFirstColumn="0" w:lastRowLastColumn="0"/>
            </w:pPr>
            <w:r w:rsidRPr="00A934C4">
              <w:t>2895</w:t>
            </w:r>
          </w:p>
        </w:tc>
        <w:tc>
          <w:tcPr>
            <w:tcW w:w="602" w:type="pct"/>
          </w:tcPr>
          <w:p w14:paraId="2DD034FD" w14:textId="77777777" w:rsidR="00A81C4F" w:rsidRPr="004C73E5" w:rsidRDefault="00A81C4F" w:rsidP="00436BF4">
            <w:pPr>
              <w:pStyle w:val="Normal-table"/>
              <w:cnfStyle w:val="000000100000" w:firstRow="0" w:lastRow="0" w:firstColumn="0" w:lastColumn="0" w:oddVBand="0" w:evenVBand="0" w:oddHBand="1" w:evenHBand="0" w:firstRowFirstColumn="0" w:firstRowLastColumn="0" w:lastRowFirstColumn="0" w:lastRowLastColumn="0"/>
            </w:pPr>
            <w:r w:rsidRPr="00A934C4">
              <w:t>564</w:t>
            </w:r>
          </w:p>
        </w:tc>
        <w:tc>
          <w:tcPr>
            <w:tcW w:w="602" w:type="pct"/>
          </w:tcPr>
          <w:p w14:paraId="278D8E20" w14:textId="77777777" w:rsidR="00A81C4F" w:rsidRPr="004C73E5" w:rsidRDefault="00A81C4F" w:rsidP="00436BF4">
            <w:pPr>
              <w:pStyle w:val="Normal-table"/>
              <w:cnfStyle w:val="000000100000" w:firstRow="0" w:lastRow="0" w:firstColumn="0" w:lastColumn="0" w:oddVBand="0" w:evenVBand="0" w:oddHBand="1" w:evenHBand="0" w:firstRowFirstColumn="0" w:firstRowLastColumn="0" w:lastRowFirstColumn="0" w:lastRowLastColumn="0"/>
            </w:pPr>
            <w:r w:rsidRPr="00A934C4">
              <w:t>336</w:t>
            </w:r>
          </w:p>
        </w:tc>
        <w:tc>
          <w:tcPr>
            <w:tcW w:w="718" w:type="pct"/>
          </w:tcPr>
          <w:p w14:paraId="7C922EA6" w14:textId="77777777" w:rsidR="00A81C4F" w:rsidRPr="004C73E5" w:rsidRDefault="00A81C4F" w:rsidP="00436BF4">
            <w:pPr>
              <w:pStyle w:val="Normal-table"/>
              <w:cnfStyle w:val="000000100000" w:firstRow="0" w:lastRow="0" w:firstColumn="0" w:lastColumn="0" w:oddVBand="0" w:evenVBand="0" w:oddHBand="1" w:evenHBand="0" w:firstRowFirstColumn="0" w:firstRowLastColumn="0" w:lastRowFirstColumn="0" w:lastRowLastColumn="0"/>
            </w:pPr>
            <w:r w:rsidRPr="00A934C4">
              <w:t>161,476</w:t>
            </w:r>
          </w:p>
        </w:tc>
      </w:tr>
      <w:tr w:rsidR="00A81C4F" w14:paraId="526F1D69" w14:textId="77777777" w:rsidTr="005C1969">
        <w:tc>
          <w:tcPr>
            <w:cnfStyle w:val="001000000000" w:firstRow="0" w:lastRow="0" w:firstColumn="1" w:lastColumn="0" w:oddVBand="0" w:evenVBand="0" w:oddHBand="0" w:evenHBand="0" w:firstRowFirstColumn="0" w:firstRowLastColumn="0" w:lastRowFirstColumn="0" w:lastRowLastColumn="0"/>
            <w:tcW w:w="1074" w:type="pct"/>
          </w:tcPr>
          <w:p w14:paraId="224C5D15" w14:textId="77777777" w:rsidR="00A81C4F" w:rsidRPr="004C73E5" w:rsidRDefault="00A81C4F" w:rsidP="00436BF4">
            <w:pPr>
              <w:pStyle w:val="Normal-table"/>
            </w:pPr>
            <w:r w:rsidRPr="00A934C4">
              <w:t>Percentage</w:t>
            </w:r>
          </w:p>
        </w:tc>
        <w:tc>
          <w:tcPr>
            <w:tcW w:w="718" w:type="pct"/>
          </w:tcPr>
          <w:p w14:paraId="669BAA1F" w14:textId="77777777" w:rsidR="00A81C4F" w:rsidRPr="004C73E5" w:rsidRDefault="00A81C4F" w:rsidP="00436BF4">
            <w:pPr>
              <w:pStyle w:val="Normal-table"/>
              <w:cnfStyle w:val="000000000000" w:firstRow="0" w:lastRow="0" w:firstColumn="0" w:lastColumn="0" w:oddVBand="0" w:evenVBand="0" w:oddHBand="0" w:evenHBand="0" w:firstRowFirstColumn="0" w:firstRowLastColumn="0" w:lastRowFirstColumn="0" w:lastRowLastColumn="0"/>
            </w:pPr>
            <w:r w:rsidRPr="00A934C4">
              <w:t>83.40%</w:t>
            </w:r>
          </w:p>
        </w:tc>
        <w:tc>
          <w:tcPr>
            <w:tcW w:w="685" w:type="pct"/>
          </w:tcPr>
          <w:p w14:paraId="7CDA49A4" w14:textId="77777777" w:rsidR="00A81C4F" w:rsidRPr="004C73E5" w:rsidRDefault="00A81C4F" w:rsidP="00436BF4">
            <w:pPr>
              <w:pStyle w:val="Normal-table"/>
              <w:cnfStyle w:val="000000000000" w:firstRow="0" w:lastRow="0" w:firstColumn="0" w:lastColumn="0" w:oddVBand="0" w:evenVBand="0" w:oddHBand="0" w:evenHBand="0" w:firstRowFirstColumn="0" w:firstRowLastColumn="0" w:lastRowFirstColumn="0" w:lastRowLastColumn="0"/>
            </w:pPr>
            <w:r w:rsidRPr="00A934C4">
              <w:t>14.25%</w:t>
            </w:r>
          </w:p>
        </w:tc>
        <w:tc>
          <w:tcPr>
            <w:tcW w:w="602" w:type="pct"/>
          </w:tcPr>
          <w:p w14:paraId="5D48055F" w14:textId="77777777" w:rsidR="00A81C4F" w:rsidRPr="004C73E5" w:rsidRDefault="00A81C4F" w:rsidP="00436BF4">
            <w:pPr>
              <w:pStyle w:val="Normal-table"/>
              <w:cnfStyle w:val="000000000000" w:firstRow="0" w:lastRow="0" w:firstColumn="0" w:lastColumn="0" w:oddVBand="0" w:evenVBand="0" w:oddHBand="0" w:evenHBand="0" w:firstRowFirstColumn="0" w:firstRowLastColumn="0" w:lastRowFirstColumn="0" w:lastRowLastColumn="0"/>
            </w:pPr>
            <w:r w:rsidRPr="00A934C4">
              <w:t>1.79%</w:t>
            </w:r>
          </w:p>
        </w:tc>
        <w:tc>
          <w:tcPr>
            <w:tcW w:w="602" w:type="pct"/>
          </w:tcPr>
          <w:p w14:paraId="2F0303D3" w14:textId="77777777" w:rsidR="00A81C4F" w:rsidRPr="004C73E5" w:rsidRDefault="00A81C4F" w:rsidP="00436BF4">
            <w:pPr>
              <w:pStyle w:val="Normal-table"/>
              <w:cnfStyle w:val="000000000000" w:firstRow="0" w:lastRow="0" w:firstColumn="0" w:lastColumn="0" w:oddVBand="0" w:evenVBand="0" w:oddHBand="0" w:evenHBand="0" w:firstRowFirstColumn="0" w:firstRowLastColumn="0" w:lastRowFirstColumn="0" w:lastRowLastColumn="0"/>
            </w:pPr>
            <w:r w:rsidRPr="00A934C4">
              <w:t>0.35%</w:t>
            </w:r>
          </w:p>
        </w:tc>
        <w:tc>
          <w:tcPr>
            <w:tcW w:w="602" w:type="pct"/>
          </w:tcPr>
          <w:p w14:paraId="21B6883A" w14:textId="77777777" w:rsidR="00A81C4F" w:rsidRPr="004C73E5" w:rsidRDefault="00A81C4F" w:rsidP="00436BF4">
            <w:pPr>
              <w:pStyle w:val="Normal-table"/>
              <w:cnfStyle w:val="000000000000" w:firstRow="0" w:lastRow="0" w:firstColumn="0" w:lastColumn="0" w:oddVBand="0" w:evenVBand="0" w:oddHBand="0" w:evenHBand="0" w:firstRowFirstColumn="0" w:firstRowLastColumn="0" w:lastRowFirstColumn="0" w:lastRowLastColumn="0"/>
            </w:pPr>
            <w:r w:rsidRPr="00A934C4">
              <w:t>0.21%</w:t>
            </w:r>
          </w:p>
        </w:tc>
        <w:tc>
          <w:tcPr>
            <w:tcW w:w="718" w:type="pct"/>
          </w:tcPr>
          <w:p w14:paraId="7294D2FD" w14:textId="77777777" w:rsidR="00A81C4F" w:rsidRPr="004C73E5" w:rsidRDefault="00A81C4F" w:rsidP="00436BF4">
            <w:pPr>
              <w:pStyle w:val="Normal-table"/>
              <w:cnfStyle w:val="000000000000" w:firstRow="0" w:lastRow="0" w:firstColumn="0" w:lastColumn="0" w:oddVBand="0" w:evenVBand="0" w:oddHBand="0" w:evenHBand="0" w:firstRowFirstColumn="0" w:firstRowLastColumn="0" w:lastRowFirstColumn="0" w:lastRowLastColumn="0"/>
            </w:pPr>
            <w:r w:rsidRPr="00A934C4">
              <w:t> </w:t>
            </w:r>
          </w:p>
        </w:tc>
      </w:tr>
    </w:tbl>
    <w:p w14:paraId="15E98BC6" w14:textId="77777777" w:rsidR="00A81C4F" w:rsidRDefault="00A81C4F" w:rsidP="00A81C4F">
      <w:pPr>
        <w:pStyle w:val="Caption"/>
      </w:pPr>
      <w:r>
        <w:t>Data source: Queensland Police Service.</w:t>
      </w:r>
    </w:p>
    <w:p w14:paraId="3BA3FABB" w14:textId="77777777" w:rsidR="00A81C4F" w:rsidRDefault="00A81C4F" w:rsidP="00A81C4F">
      <w:pPr>
        <w:pStyle w:val="Caption"/>
      </w:pPr>
      <w:r>
        <w:t xml:space="preserve">Notes: Penalty bracket is vehicle exceeding the speed limited by this </w:t>
      </w:r>
      <w:r w:rsidRPr="00541DF0">
        <w:t>amount</w:t>
      </w:r>
      <w:r>
        <w:t>. This data reflects all fixed speed camera notices including those detected by combined red light/speed cameras.</w:t>
      </w:r>
    </w:p>
    <w:p w14:paraId="4D2915DA" w14:textId="77777777" w:rsidR="00916DF7" w:rsidRDefault="00916DF7">
      <w:pPr>
        <w:spacing w:before="0" w:after="160" w:line="259" w:lineRule="auto"/>
        <w:rPr>
          <w:b/>
        </w:rPr>
      </w:pPr>
      <w:r>
        <w:br w:type="page"/>
      </w:r>
    </w:p>
    <w:p w14:paraId="1CD69C92" w14:textId="4EA28DDC" w:rsidR="00A81C4F" w:rsidRDefault="00A81C4F" w:rsidP="00A81C4F">
      <w:pPr>
        <w:pStyle w:val="TableofFigures"/>
      </w:pPr>
      <w:r>
        <w:lastRenderedPageBreak/>
        <w:t xml:space="preserve">Figure 8: Combined red light/speed camera—Vehicles monitored per notice issued </w:t>
      </w:r>
    </w:p>
    <w:tbl>
      <w:tblPr>
        <w:tblStyle w:val="GridTable4-Accent1"/>
        <w:tblW w:w="5000" w:type="pct"/>
        <w:tblLook w:val="04A0" w:firstRow="1" w:lastRow="0" w:firstColumn="1" w:lastColumn="0" w:noHBand="0" w:noVBand="1"/>
      </w:tblPr>
      <w:tblGrid>
        <w:gridCol w:w="1534"/>
        <w:gridCol w:w="1534"/>
        <w:gridCol w:w="1478"/>
        <w:gridCol w:w="1478"/>
        <w:gridCol w:w="1478"/>
        <w:gridCol w:w="1478"/>
        <w:gridCol w:w="1476"/>
      </w:tblGrid>
      <w:tr w:rsidR="00A81C4F" w14:paraId="1CB12820" w14:textId="77777777" w:rsidTr="005C1969">
        <w:trPr>
          <w:cnfStyle w:val="100000000000" w:firstRow="1" w:lastRow="0" w:firstColumn="0" w:lastColumn="0" w:oddVBand="0" w:evenVBand="0" w:oddHBand="0" w:evenHBand="0" w:firstRowFirstColumn="0" w:firstRowLastColumn="0" w:lastRowFirstColumn="0" w:lastRowLastColumn="0"/>
          <w:trHeight w:val="186"/>
          <w:tblHeader/>
        </w:trPr>
        <w:tc>
          <w:tcPr>
            <w:cnfStyle w:val="001000000000" w:firstRow="0" w:lastRow="0" w:firstColumn="1" w:lastColumn="0" w:oddVBand="0" w:evenVBand="0" w:oddHBand="0" w:evenHBand="0" w:firstRowFirstColumn="0" w:firstRowLastColumn="0" w:lastRowFirstColumn="0" w:lastRowLastColumn="0"/>
            <w:tcW w:w="733" w:type="pct"/>
          </w:tcPr>
          <w:p w14:paraId="14884048" w14:textId="77777777" w:rsidR="00A81C4F" w:rsidRPr="00DB7EBB" w:rsidRDefault="00A81C4F" w:rsidP="00436BF4">
            <w:pPr>
              <w:pStyle w:val="Normal-table"/>
            </w:pPr>
          </w:p>
        </w:tc>
        <w:tc>
          <w:tcPr>
            <w:tcW w:w="733" w:type="pct"/>
          </w:tcPr>
          <w:p w14:paraId="4A16BB3C" w14:textId="77777777" w:rsidR="00A81C4F" w:rsidRPr="00DB7EBB" w:rsidRDefault="00A81C4F" w:rsidP="00436BF4">
            <w:pPr>
              <w:pStyle w:val="Normal-table"/>
              <w:cnfStyle w:val="100000000000" w:firstRow="1" w:lastRow="0" w:firstColumn="0" w:lastColumn="0" w:oddVBand="0" w:evenVBand="0" w:oddHBand="0" w:evenHBand="0" w:firstRowFirstColumn="0" w:firstRowLastColumn="0" w:lastRowFirstColumn="0" w:lastRowLastColumn="0"/>
            </w:pPr>
            <w:r w:rsidRPr="004C73E5">
              <w:t>2017</w:t>
            </w:r>
          </w:p>
        </w:tc>
        <w:tc>
          <w:tcPr>
            <w:tcW w:w="707" w:type="pct"/>
          </w:tcPr>
          <w:p w14:paraId="6519C5A9" w14:textId="77777777" w:rsidR="00A81C4F" w:rsidRPr="002D4387" w:rsidRDefault="00A81C4F" w:rsidP="00436BF4">
            <w:pPr>
              <w:pStyle w:val="Normal-table"/>
              <w:cnfStyle w:val="100000000000" w:firstRow="1" w:lastRow="0" w:firstColumn="0" w:lastColumn="0" w:oddVBand="0" w:evenVBand="0" w:oddHBand="0" w:evenHBand="0" w:firstRowFirstColumn="0" w:firstRowLastColumn="0" w:lastRowFirstColumn="0" w:lastRowLastColumn="0"/>
            </w:pPr>
            <w:r w:rsidRPr="004C73E5">
              <w:t>2018</w:t>
            </w:r>
          </w:p>
        </w:tc>
        <w:tc>
          <w:tcPr>
            <w:tcW w:w="707" w:type="pct"/>
          </w:tcPr>
          <w:p w14:paraId="28C0CE92" w14:textId="77777777" w:rsidR="00A81C4F" w:rsidRPr="002D4387" w:rsidRDefault="00A81C4F" w:rsidP="00436BF4">
            <w:pPr>
              <w:pStyle w:val="Normal-table"/>
              <w:cnfStyle w:val="100000000000" w:firstRow="1" w:lastRow="0" w:firstColumn="0" w:lastColumn="0" w:oddVBand="0" w:evenVBand="0" w:oddHBand="0" w:evenHBand="0" w:firstRowFirstColumn="0" w:firstRowLastColumn="0" w:lastRowFirstColumn="0" w:lastRowLastColumn="0"/>
            </w:pPr>
            <w:r w:rsidRPr="004C73E5">
              <w:t>2019</w:t>
            </w:r>
          </w:p>
        </w:tc>
        <w:tc>
          <w:tcPr>
            <w:tcW w:w="707" w:type="pct"/>
          </w:tcPr>
          <w:p w14:paraId="07C17948" w14:textId="77777777" w:rsidR="00A81C4F" w:rsidRPr="002D4387" w:rsidRDefault="00A81C4F" w:rsidP="00436BF4">
            <w:pPr>
              <w:pStyle w:val="Normal-table"/>
              <w:cnfStyle w:val="100000000000" w:firstRow="1" w:lastRow="0" w:firstColumn="0" w:lastColumn="0" w:oddVBand="0" w:evenVBand="0" w:oddHBand="0" w:evenHBand="0" w:firstRowFirstColumn="0" w:firstRowLastColumn="0" w:lastRowFirstColumn="0" w:lastRowLastColumn="0"/>
            </w:pPr>
            <w:r w:rsidRPr="004C73E5">
              <w:t>2020</w:t>
            </w:r>
          </w:p>
        </w:tc>
        <w:tc>
          <w:tcPr>
            <w:tcW w:w="707" w:type="pct"/>
          </w:tcPr>
          <w:p w14:paraId="24566226" w14:textId="77777777" w:rsidR="00A81C4F" w:rsidRPr="002D4387" w:rsidRDefault="00A81C4F" w:rsidP="00436BF4">
            <w:pPr>
              <w:pStyle w:val="Normal-table"/>
              <w:cnfStyle w:val="100000000000" w:firstRow="1" w:lastRow="0" w:firstColumn="0" w:lastColumn="0" w:oddVBand="0" w:evenVBand="0" w:oddHBand="0" w:evenHBand="0" w:firstRowFirstColumn="0" w:firstRowLastColumn="0" w:lastRowFirstColumn="0" w:lastRowLastColumn="0"/>
            </w:pPr>
            <w:r w:rsidRPr="004C73E5">
              <w:t>2021</w:t>
            </w:r>
          </w:p>
        </w:tc>
        <w:tc>
          <w:tcPr>
            <w:tcW w:w="707" w:type="pct"/>
          </w:tcPr>
          <w:p w14:paraId="21001EFA" w14:textId="77777777" w:rsidR="00A81C4F" w:rsidRPr="002D4387" w:rsidRDefault="00A81C4F" w:rsidP="00436BF4">
            <w:pPr>
              <w:pStyle w:val="Normal-table"/>
              <w:cnfStyle w:val="100000000000" w:firstRow="1" w:lastRow="0" w:firstColumn="0" w:lastColumn="0" w:oddVBand="0" w:evenVBand="0" w:oddHBand="0" w:evenHBand="0" w:firstRowFirstColumn="0" w:firstRowLastColumn="0" w:lastRowFirstColumn="0" w:lastRowLastColumn="0"/>
            </w:pPr>
            <w:r w:rsidRPr="00AB0973">
              <w:t>20</w:t>
            </w:r>
            <w:r w:rsidRPr="00DB7EBB">
              <w:t>22</w:t>
            </w:r>
          </w:p>
        </w:tc>
      </w:tr>
      <w:tr w:rsidR="00A81C4F" w14:paraId="00F797EF" w14:textId="77777777" w:rsidTr="005C1969">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733" w:type="pct"/>
          </w:tcPr>
          <w:p w14:paraId="535D1C28" w14:textId="77777777" w:rsidR="00A81C4F" w:rsidRPr="00140368" w:rsidRDefault="00A81C4F" w:rsidP="00436BF4">
            <w:pPr>
              <w:pStyle w:val="Normal-table"/>
            </w:pPr>
            <w:r w:rsidRPr="00140368">
              <w:t>Vehicles per notice: Speed</w:t>
            </w:r>
          </w:p>
        </w:tc>
        <w:tc>
          <w:tcPr>
            <w:tcW w:w="733" w:type="pct"/>
          </w:tcPr>
          <w:p w14:paraId="360DFDC7" w14:textId="77777777" w:rsidR="00A81C4F" w:rsidRPr="00140368" w:rsidRDefault="00A81C4F" w:rsidP="00436BF4">
            <w:pPr>
              <w:pStyle w:val="Normal-table"/>
              <w:cnfStyle w:val="000000100000" w:firstRow="0" w:lastRow="0" w:firstColumn="0" w:lastColumn="0" w:oddVBand="0" w:evenVBand="0" w:oddHBand="1" w:evenHBand="0" w:firstRowFirstColumn="0" w:firstRowLastColumn="0" w:lastRowFirstColumn="0" w:lastRowLastColumn="0"/>
            </w:pPr>
            <w:r w:rsidRPr="00140368">
              <w:t xml:space="preserve">14,013 </w:t>
            </w:r>
          </w:p>
        </w:tc>
        <w:tc>
          <w:tcPr>
            <w:tcW w:w="707" w:type="pct"/>
          </w:tcPr>
          <w:p w14:paraId="51CD8D90" w14:textId="77777777" w:rsidR="00A81C4F" w:rsidRPr="00140368" w:rsidRDefault="00A81C4F" w:rsidP="00436BF4">
            <w:pPr>
              <w:pStyle w:val="Normal-table"/>
              <w:cnfStyle w:val="000000100000" w:firstRow="0" w:lastRow="0" w:firstColumn="0" w:lastColumn="0" w:oddVBand="0" w:evenVBand="0" w:oddHBand="1" w:evenHBand="0" w:firstRowFirstColumn="0" w:firstRowLastColumn="0" w:lastRowFirstColumn="0" w:lastRowLastColumn="0"/>
            </w:pPr>
            <w:r w:rsidRPr="00140368">
              <w:t xml:space="preserve">7795 </w:t>
            </w:r>
          </w:p>
        </w:tc>
        <w:tc>
          <w:tcPr>
            <w:tcW w:w="707" w:type="pct"/>
          </w:tcPr>
          <w:p w14:paraId="55BCB816" w14:textId="77777777" w:rsidR="00A81C4F" w:rsidRPr="00140368" w:rsidRDefault="00A81C4F" w:rsidP="00436BF4">
            <w:pPr>
              <w:pStyle w:val="Normal-table"/>
              <w:cnfStyle w:val="000000100000" w:firstRow="0" w:lastRow="0" w:firstColumn="0" w:lastColumn="0" w:oddVBand="0" w:evenVBand="0" w:oddHBand="1" w:evenHBand="0" w:firstRowFirstColumn="0" w:firstRowLastColumn="0" w:lastRowFirstColumn="0" w:lastRowLastColumn="0"/>
            </w:pPr>
            <w:r w:rsidRPr="00140368">
              <w:t xml:space="preserve">7879 </w:t>
            </w:r>
          </w:p>
        </w:tc>
        <w:tc>
          <w:tcPr>
            <w:tcW w:w="707" w:type="pct"/>
          </w:tcPr>
          <w:p w14:paraId="43EEF79D" w14:textId="77777777" w:rsidR="00A81C4F" w:rsidRPr="00140368" w:rsidRDefault="00A81C4F" w:rsidP="00436BF4">
            <w:pPr>
              <w:pStyle w:val="Normal-table"/>
              <w:cnfStyle w:val="000000100000" w:firstRow="0" w:lastRow="0" w:firstColumn="0" w:lastColumn="0" w:oddVBand="0" w:evenVBand="0" w:oddHBand="1" w:evenHBand="0" w:firstRowFirstColumn="0" w:firstRowLastColumn="0" w:lastRowFirstColumn="0" w:lastRowLastColumn="0"/>
            </w:pPr>
            <w:r w:rsidRPr="00140368">
              <w:t xml:space="preserve">9570 </w:t>
            </w:r>
          </w:p>
        </w:tc>
        <w:tc>
          <w:tcPr>
            <w:tcW w:w="707" w:type="pct"/>
          </w:tcPr>
          <w:p w14:paraId="419E10C9" w14:textId="77777777" w:rsidR="00A81C4F" w:rsidRPr="00140368" w:rsidRDefault="00A81C4F" w:rsidP="00436BF4">
            <w:pPr>
              <w:pStyle w:val="Normal-table"/>
              <w:cnfStyle w:val="000000100000" w:firstRow="0" w:lastRow="0" w:firstColumn="0" w:lastColumn="0" w:oddVBand="0" w:evenVBand="0" w:oddHBand="1" w:evenHBand="0" w:firstRowFirstColumn="0" w:firstRowLastColumn="0" w:lastRowFirstColumn="0" w:lastRowLastColumn="0"/>
            </w:pPr>
            <w:r w:rsidRPr="00140368">
              <w:t xml:space="preserve">12,443 </w:t>
            </w:r>
          </w:p>
        </w:tc>
        <w:tc>
          <w:tcPr>
            <w:tcW w:w="707" w:type="pct"/>
          </w:tcPr>
          <w:p w14:paraId="67F6C52F" w14:textId="77777777" w:rsidR="00A81C4F" w:rsidRPr="00140368" w:rsidRDefault="00A81C4F" w:rsidP="00436BF4">
            <w:pPr>
              <w:pStyle w:val="Normal-table"/>
              <w:cnfStyle w:val="000000100000" w:firstRow="0" w:lastRow="0" w:firstColumn="0" w:lastColumn="0" w:oddVBand="0" w:evenVBand="0" w:oddHBand="1" w:evenHBand="0" w:firstRowFirstColumn="0" w:firstRowLastColumn="0" w:lastRowFirstColumn="0" w:lastRowLastColumn="0"/>
            </w:pPr>
            <w:r w:rsidRPr="00140368">
              <w:t xml:space="preserve">14,411 </w:t>
            </w:r>
          </w:p>
        </w:tc>
      </w:tr>
      <w:tr w:rsidR="00A81C4F" w14:paraId="2360E17D" w14:textId="77777777" w:rsidTr="005C1969">
        <w:trPr>
          <w:trHeight w:val="529"/>
        </w:trPr>
        <w:tc>
          <w:tcPr>
            <w:cnfStyle w:val="001000000000" w:firstRow="0" w:lastRow="0" w:firstColumn="1" w:lastColumn="0" w:oddVBand="0" w:evenVBand="0" w:oddHBand="0" w:evenHBand="0" w:firstRowFirstColumn="0" w:firstRowLastColumn="0" w:lastRowFirstColumn="0" w:lastRowLastColumn="0"/>
            <w:tcW w:w="733" w:type="pct"/>
          </w:tcPr>
          <w:p w14:paraId="358C68F7" w14:textId="77777777" w:rsidR="00A81C4F" w:rsidRPr="00140368" w:rsidRDefault="00A81C4F" w:rsidP="00436BF4">
            <w:pPr>
              <w:pStyle w:val="Normal-table"/>
            </w:pPr>
            <w:r w:rsidRPr="00140368">
              <w:t>Vehicles per notice: Red Light</w:t>
            </w:r>
          </w:p>
        </w:tc>
        <w:tc>
          <w:tcPr>
            <w:tcW w:w="733" w:type="pct"/>
          </w:tcPr>
          <w:p w14:paraId="66A3ADF6" w14:textId="77777777" w:rsidR="00A81C4F" w:rsidRPr="00140368" w:rsidRDefault="00A81C4F" w:rsidP="00436BF4">
            <w:pPr>
              <w:pStyle w:val="Normal-table"/>
              <w:cnfStyle w:val="000000000000" w:firstRow="0" w:lastRow="0" w:firstColumn="0" w:lastColumn="0" w:oddVBand="0" w:evenVBand="0" w:oddHBand="0" w:evenHBand="0" w:firstRowFirstColumn="0" w:firstRowLastColumn="0" w:lastRowFirstColumn="0" w:lastRowLastColumn="0"/>
            </w:pPr>
            <w:r w:rsidRPr="00140368">
              <w:t xml:space="preserve">103,863 </w:t>
            </w:r>
          </w:p>
        </w:tc>
        <w:tc>
          <w:tcPr>
            <w:tcW w:w="707" w:type="pct"/>
          </w:tcPr>
          <w:p w14:paraId="3055A0B1" w14:textId="77777777" w:rsidR="00A81C4F" w:rsidRPr="00140368" w:rsidRDefault="00A81C4F" w:rsidP="00436BF4">
            <w:pPr>
              <w:pStyle w:val="Normal-table"/>
              <w:cnfStyle w:val="000000000000" w:firstRow="0" w:lastRow="0" w:firstColumn="0" w:lastColumn="0" w:oddVBand="0" w:evenVBand="0" w:oddHBand="0" w:evenHBand="0" w:firstRowFirstColumn="0" w:firstRowLastColumn="0" w:lastRowFirstColumn="0" w:lastRowLastColumn="0"/>
            </w:pPr>
            <w:r w:rsidRPr="00140368">
              <w:t xml:space="preserve">121,319 </w:t>
            </w:r>
          </w:p>
        </w:tc>
        <w:tc>
          <w:tcPr>
            <w:tcW w:w="707" w:type="pct"/>
          </w:tcPr>
          <w:p w14:paraId="60027679" w14:textId="77777777" w:rsidR="00A81C4F" w:rsidRPr="00140368" w:rsidRDefault="00A81C4F" w:rsidP="00436BF4">
            <w:pPr>
              <w:pStyle w:val="Normal-table"/>
              <w:cnfStyle w:val="000000000000" w:firstRow="0" w:lastRow="0" w:firstColumn="0" w:lastColumn="0" w:oddVBand="0" w:evenVBand="0" w:oddHBand="0" w:evenHBand="0" w:firstRowFirstColumn="0" w:firstRowLastColumn="0" w:lastRowFirstColumn="0" w:lastRowLastColumn="0"/>
            </w:pPr>
            <w:r w:rsidRPr="00140368">
              <w:t xml:space="preserve">128,607 </w:t>
            </w:r>
          </w:p>
        </w:tc>
        <w:tc>
          <w:tcPr>
            <w:tcW w:w="707" w:type="pct"/>
          </w:tcPr>
          <w:p w14:paraId="5987E76F" w14:textId="77777777" w:rsidR="00A81C4F" w:rsidRPr="00140368" w:rsidRDefault="00A81C4F" w:rsidP="00436BF4">
            <w:pPr>
              <w:pStyle w:val="Normal-table"/>
              <w:cnfStyle w:val="000000000000" w:firstRow="0" w:lastRow="0" w:firstColumn="0" w:lastColumn="0" w:oddVBand="0" w:evenVBand="0" w:oddHBand="0" w:evenHBand="0" w:firstRowFirstColumn="0" w:firstRowLastColumn="0" w:lastRowFirstColumn="0" w:lastRowLastColumn="0"/>
            </w:pPr>
            <w:r w:rsidRPr="00140368">
              <w:t xml:space="preserve">143,378 </w:t>
            </w:r>
          </w:p>
        </w:tc>
        <w:tc>
          <w:tcPr>
            <w:tcW w:w="707" w:type="pct"/>
          </w:tcPr>
          <w:p w14:paraId="4DC6613E" w14:textId="77777777" w:rsidR="00A81C4F" w:rsidRPr="00140368" w:rsidRDefault="00A81C4F" w:rsidP="00436BF4">
            <w:pPr>
              <w:pStyle w:val="Normal-table"/>
              <w:cnfStyle w:val="000000000000" w:firstRow="0" w:lastRow="0" w:firstColumn="0" w:lastColumn="0" w:oddVBand="0" w:evenVBand="0" w:oddHBand="0" w:evenHBand="0" w:firstRowFirstColumn="0" w:firstRowLastColumn="0" w:lastRowFirstColumn="0" w:lastRowLastColumn="0"/>
            </w:pPr>
            <w:r w:rsidRPr="00140368">
              <w:t xml:space="preserve">143,791 </w:t>
            </w:r>
          </w:p>
        </w:tc>
        <w:tc>
          <w:tcPr>
            <w:tcW w:w="707" w:type="pct"/>
          </w:tcPr>
          <w:p w14:paraId="4E8D7225" w14:textId="77777777" w:rsidR="00A81C4F" w:rsidRPr="00140368" w:rsidRDefault="00A81C4F" w:rsidP="00436BF4">
            <w:pPr>
              <w:pStyle w:val="Normal-table"/>
              <w:cnfStyle w:val="000000000000" w:firstRow="0" w:lastRow="0" w:firstColumn="0" w:lastColumn="0" w:oddVBand="0" w:evenVBand="0" w:oddHBand="0" w:evenHBand="0" w:firstRowFirstColumn="0" w:firstRowLastColumn="0" w:lastRowFirstColumn="0" w:lastRowLastColumn="0"/>
            </w:pPr>
            <w:r w:rsidRPr="00140368">
              <w:t xml:space="preserve">152,630 </w:t>
            </w:r>
          </w:p>
        </w:tc>
      </w:tr>
    </w:tbl>
    <w:p w14:paraId="56B74F67" w14:textId="77777777" w:rsidR="00A81C4F" w:rsidRDefault="00A81C4F" w:rsidP="00A81C4F"/>
    <w:p w14:paraId="516DF7D6" w14:textId="77777777" w:rsidR="00A81C4F" w:rsidRDefault="00A81C4F" w:rsidP="00A81C4F">
      <w:pPr>
        <w:pStyle w:val="Caption"/>
      </w:pPr>
      <w:r>
        <w:rPr>
          <w:noProof/>
        </w:rPr>
        <w:drawing>
          <wp:inline distT="0" distB="0" distL="0" distR="0" wp14:anchorId="61DE4E51" wp14:editId="47454F6E">
            <wp:extent cx="6610350" cy="3200400"/>
            <wp:effectExtent l="0" t="0" r="0" b="0"/>
            <wp:docPr id="20" name="Chart 20" descr="Line graph showing the combined red light/speed camera vehicles monitored per notice issued"/>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0D6FEF26" w14:textId="77777777" w:rsidR="00A81C4F" w:rsidRDefault="00A81C4F" w:rsidP="00A81C4F">
      <w:pPr>
        <w:pStyle w:val="Caption"/>
      </w:pPr>
      <w:r>
        <w:t>Data source: Queensland Police Service.</w:t>
      </w:r>
    </w:p>
    <w:p w14:paraId="1A363CEE" w14:textId="77777777" w:rsidR="00A81C4F" w:rsidRDefault="00A81C4F" w:rsidP="00A81C4F">
      <w:pPr>
        <w:pStyle w:val="Caption"/>
      </w:pPr>
      <w:r>
        <w:t>Notes: * Combined red light/speed cameras were introduced on 2 August 2011.</w:t>
      </w:r>
    </w:p>
    <w:p w14:paraId="2DCC42D0" w14:textId="77777777" w:rsidR="00A81C4F" w:rsidRDefault="00A81C4F" w:rsidP="00A81C4F">
      <w:pPr>
        <w:pStyle w:val="TableofFigures"/>
      </w:pPr>
      <w:r>
        <w:t>Table 60: Number of point-to-point speed camera infringements per penalty bracket for 2022</w:t>
      </w:r>
    </w:p>
    <w:tbl>
      <w:tblPr>
        <w:tblStyle w:val="GridTable4-Accent1"/>
        <w:tblW w:w="5000" w:type="pct"/>
        <w:tblLook w:val="04A0" w:firstRow="1" w:lastRow="0" w:firstColumn="1" w:lastColumn="0" w:noHBand="0" w:noVBand="1"/>
      </w:tblPr>
      <w:tblGrid>
        <w:gridCol w:w="2331"/>
        <w:gridCol w:w="1485"/>
        <w:gridCol w:w="1485"/>
        <w:gridCol w:w="1305"/>
        <w:gridCol w:w="1305"/>
        <w:gridCol w:w="1305"/>
        <w:gridCol w:w="1240"/>
      </w:tblGrid>
      <w:tr w:rsidR="00A81C4F" w14:paraId="184A7D06" w14:textId="77777777" w:rsidTr="00AA1966">
        <w:trPr>
          <w:cnfStyle w:val="100000000000" w:firstRow="1" w:lastRow="0" w:firstColumn="0" w:lastColumn="0" w:oddVBand="0" w:evenVBand="0" w:oddHBand="0" w:evenHBand="0" w:firstRowFirstColumn="0" w:firstRowLastColumn="0" w:lastRowFirstColumn="0" w:lastRowLastColumn="0"/>
          <w:trHeight w:val="757"/>
          <w:tblHeader/>
        </w:trPr>
        <w:tc>
          <w:tcPr>
            <w:cnfStyle w:val="001000000000" w:firstRow="0" w:lastRow="0" w:firstColumn="1" w:lastColumn="0" w:oddVBand="0" w:evenVBand="0" w:oddHBand="0" w:evenHBand="0" w:firstRowFirstColumn="0" w:firstRowLastColumn="0" w:lastRowFirstColumn="0" w:lastRowLastColumn="0"/>
            <w:tcW w:w="1114" w:type="pct"/>
          </w:tcPr>
          <w:p w14:paraId="102C02ED" w14:textId="77777777" w:rsidR="00A81C4F" w:rsidRPr="004C73E5" w:rsidRDefault="00A81C4F" w:rsidP="00436BF4">
            <w:pPr>
              <w:pStyle w:val="Normal-table"/>
            </w:pPr>
            <w:r w:rsidRPr="00A934C4">
              <w:t>Penalty bracket</w:t>
            </w:r>
          </w:p>
        </w:tc>
        <w:tc>
          <w:tcPr>
            <w:tcW w:w="710" w:type="pct"/>
          </w:tcPr>
          <w:p w14:paraId="0378FE04" w14:textId="77777777" w:rsidR="00A81C4F" w:rsidRPr="004C73E5" w:rsidRDefault="00A81C4F" w:rsidP="00436BF4">
            <w:pPr>
              <w:pStyle w:val="Normal-table"/>
              <w:cnfStyle w:val="100000000000" w:firstRow="1" w:lastRow="0" w:firstColumn="0" w:lastColumn="0" w:oddVBand="0" w:evenVBand="0" w:oddHBand="0" w:evenHBand="0" w:firstRowFirstColumn="0" w:firstRowLastColumn="0" w:lastRowFirstColumn="0" w:lastRowLastColumn="0"/>
            </w:pPr>
            <w:r w:rsidRPr="00A934C4">
              <w:t>Less than</w:t>
            </w:r>
            <w:r w:rsidRPr="004C73E5">
              <w:t xml:space="preserve"> 13 km/h</w:t>
            </w:r>
          </w:p>
        </w:tc>
        <w:tc>
          <w:tcPr>
            <w:tcW w:w="710" w:type="pct"/>
          </w:tcPr>
          <w:p w14:paraId="53B5909B" w14:textId="77777777" w:rsidR="00A81C4F" w:rsidRPr="004C73E5" w:rsidRDefault="00A81C4F" w:rsidP="00436BF4">
            <w:pPr>
              <w:pStyle w:val="Normal-table"/>
              <w:cnfStyle w:val="100000000000" w:firstRow="1" w:lastRow="0" w:firstColumn="0" w:lastColumn="0" w:oddVBand="0" w:evenVBand="0" w:oddHBand="0" w:evenHBand="0" w:firstRowFirstColumn="0" w:firstRowLastColumn="0" w:lastRowFirstColumn="0" w:lastRowLastColumn="0"/>
            </w:pPr>
            <w:r w:rsidRPr="00A934C4">
              <w:t>13–20</w:t>
            </w:r>
            <w:r w:rsidRPr="004C73E5">
              <w:t xml:space="preserve"> km/h</w:t>
            </w:r>
          </w:p>
        </w:tc>
        <w:tc>
          <w:tcPr>
            <w:tcW w:w="624" w:type="pct"/>
          </w:tcPr>
          <w:p w14:paraId="77796A24" w14:textId="77777777" w:rsidR="00A81C4F" w:rsidRPr="004C73E5" w:rsidRDefault="00A81C4F" w:rsidP="00436BF4">
            <w:pPr>
              <w:pStyle w:val="Normal-table"/>
              <w:cnfStyle w:val="100000000000" w:firstRow="1" w:lastRow="0" w:firstColumn="0" w:lastColumn="0" w:oddVBand="0" w:evenVBand="0" w:oddHBand="0" w:evenHBand="0" w:firstRowFirstColumn="0" w:firstRowLastColumn="0" w:lastRowFirstColumn="0" w:lastRowLastColumn="0"/>
            </w:pPr>
            <w:r w:rsidRPr="00A934C4">
              <w:t>21–30</w:t>
            </w:r>
            <w:r w:rsidRPr="004C73E5">
              <w:t xml:space="preserve"> km/h</w:t>
            </w:r>
          </w:p>
        </w:tc>
        <w:tc>
          <w:tcPr>
            <w:tcW w:w="624" w:type="pct"/>
          </w:tcPr>
          <w:p w14:paraId="07E9CD22" w14:textId="77777777" w:rsidR="00A81C4F" w:rsidRPr="004C73E5" w:rsidRDefault="00A81C4F" w:rsidP="00436BF4">
            <w:pPr>
              <w:pStyle w:val="Normal-table"/>
              <w:cnfStyle w:val="100000000000" w:firstRow="1" w:lastRow="0" w:firstColumn="0" w:lastColumn="0" w:oddVBand="0" w:evenVBand="0" w:oddHBand="0" w:evenHBand="0" w:firstRowFirstColumn="0" w:firstRowLastColumn="0" w:lastRowFirstColumn="0" w:lastRowLastColumn="0"/>
            </w:pPr>
            <w:r w:rsidRPr="00A934C4">
              <w:t>31–40</w:t>
            </w:r>
            <w:r w:rsidRPr="004C73E5">
              <w:t xml:space="preserve"> km/h</w:t>
            </w:r>
          </w:p>
        </w:tc>
        <w:tc>
          <w:tcPr>
            <w:tcW w:w="624" w:type="pct"/>
          </w:tcPr>
          <w:p w14:paraId="2F6F541D" w14:textId="77777777" w:rsidR="00A81C4F" w:rsidRPr="004C73E5" w:rsidRDefault="00A81C4F" w:rsidP="00436BF4">
            <w:pPr>
              <w:pStyle w:val="Normal-table"/>
              <w:cnfStyle w:val="100000000000" w:firstRow="1" w:lastRow="0" w:firstColumn="0" w:lastColumn="0" w:oddVBand="0" w:evenVBand="0" w:oddHBand="0" w:evenHBand="0" w:firstRowFirstColumn="0" w:firstRowLastColumn="0" w:lastRowFirstColumn="0" w:lastRowLastColumn="0"/>
            </w:pPr>
            <w:r w:rsidRPr="00A934C4">
              <w:t>More than</w:t>
            </w:r>
            <w:r w:rsidRPr="004C73E5">
              <w:t xml:space="preserve"> 40 km/h</w:t>
            </w:r>
          </w:p>
        </w:tc>
        <w:tc>
          <w:tcPr>
            <w:tcW w:w="593" w:type="pct"/>
          </w:tcPr>
          <w:p w14:paraId="5CFAB04E" w14:textId="77777777" w:rsidR="00A81C4F" w:rsidRPr="004C73E5" w:rsidRDefault="00A81C4F" w:rsidP="00436BF4">
            <w:pPr>
              <w:pStyle w:val="Normal-table"/>
              <w:cnfStyle w:val="100000000000" w:firstRow="1" w:lastRow="0" w:firstColumn="0" w:lastColumn="0" w:oddVBand="0" w:evenVBand="0" w:oddHBand="0" w:evenHBand="0" w:firstRowFirstColumn="0" w:firstRowLastColumn="0" w:lastRowFirstColumn="0" w:lastRowLastColumn="0"/>
            </w:pPr>
            <w:r w:rsidRPr="00A934C4">
              <w:t>Total</w:t>
            </w:r>
          </w:p>
        </w:tc>
      </w:tr>
      <w:tr w:rsidR="00A81C4F" w14:paraId="4D135BD7" w14:textId="77777777" w:rsidTr="00AA1966">
        <w:trPr>
          <w:cnfStyle w:val="000000100000" w:firstRow="0" w:lastRow="0" w:firstColumn="0" w:lastColumn="0" w:oddVBand="0" w:evenVBand="0" w:oddHBand="1"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1114" w:type="pct"/>
          </w:tcPr>
          <w:p w14:paraId="7CAB1D1A" w14:textId="77777777" w:rsidR="00A81C4F" w:rsidRPr="004C73E5" w:rsidRDefault="00A81C4F" w:rsidP="00436BF4">
            <w:pPr>
              <w:pStyle w:val="Normal-table"/>
            </w:pPr>
            <w:r w:rsidRPr="00A934C4">
              <w:t>Number of point-to-point speed camera infringements</w:t>
            </w:r>
          </w:p>
        </w:tc>
        <w:tc>
          <w:tcPr>
            <w:tcW w:w="710" w:type="pct"/>
          </w:tcPr>
          <w:p w14:paraId="4B886B0D" w14:textId="77777777" w:rsidR="00A81C4F" w:rsidRPr="004C73E5" w:rsidRDefault="00A81C4F" w:rsidP="00436BF4">
            <w:pPr>
              <w:pStyle w:val="Normal-table"/>
              <w:cnfStyle w:val="000000100000" w:firstRow="0" w:lastRow="0" w:firstColumn="0" w:lastColumn="0" w:oddVBand="0" w:evenVBand="0" w:oddHBand="1" w:evenHBand="0" w:firstRowFirstColumn="0" w:firstRowLastColumn="0" w:lastRowFirstColumn="0" w:lastRowLastColumn="0"/>
            </w:pPr>
            <w:r w:rsidRPr="00A934C4">
              <w:t>4295</w:t>
            </w:r>
          </w:p>
        </w:tc>
        <w:tc>
          <w:tcPr>
            <w:tcW w:w="710" w:type="pct"/>
          </w:tcPr>
          <w:p w14:paraId="4B7FAE42" w14:textId="77777777" w:rsidR="00A81C4F" w:rsidRPr="004C73E5" w:rsidRDefault="00A81C4F" w:rsidP="00436BF4">
            <w:pPr>
              <w:pStyle w:val="Normal-table"/>
              <w:cnfStyle w:val="000000100000" w:firstRow="0" w:lastRow="0" w:firstColumn="0" w:lastColumn="0" w:oddVBand="0" w:evenVBand="0" w:oddHBand="1" w:evenHBand="0" w:firstRowFirstColumn="0" w:firstRowLastColumn="0" w:lastRowFirstColumn="0" w:lastRowLastColumn="0"/>
            </w:pPr>
            <w:r w:rsidRPr="00A934C4">
              <w:t>2661</w:t>
            </w:r>
          </w:p>
        </w:tc>
        <w:tc>
          <w:tcPr>
            <w:tcW w:w="624" w:type="pct"/>
          </w:tcPr>
          <w:p w14:paraId="7C4D0053" w14:textId="77777777" w:rsidR="00A81C4F" w:rsidRPr="004C73E5" w:rsidRDefault="00A81C4F" w:rsidP="00436BF4">
            <w:pPr>
              <w:pStyle w:val="Normal-table"/>
              <w:cnfStyle w:val="000000100000" w:firstRow="0" w:lastRow="0" w:firstColumn="0" w:lastColumn="0" w:oddVBand="0" w:evenVBand="0" w:oddHBand="1" w:evenHBand="0" w:firstRowFirstColumn="0" w:firstRowLastColumn="0" w:lastRowFirstColumn="0" w:lastRowLastColumn="0"/>
            </w:pPr>
            <w:r w:rsidRPr="00A934C4">
              <w:t>378</w:t>
            </w:r>
          </w:p>
        </w:tc>
        <w:tc>
          <w:tcPr>
            <w:tcW w:w="624" w:type="pct"/>
          </w:tcPr>
          <w:p w14:paraId="31127500" w14:textId="77777777" w:rsidR="00A81C4F" w:rsidRPr="004C73E5" w:rsidRDefault="00A81C4F" w:rsidP="00436BF4">
            <w:pPr>
              <w:pStyle w:val="Normal-table"/>
              <w:cnfStyle w:val="000000100000" w:firstRow="0" w:lastRow="0" w:firstColumn="0" w:lastColumn="0" w:oddVBand="0" w:evenVBand="0" w:oddHBand="1" w:evenHBand="0" w:firstRowFirstColumn="0" w:firstRowLastColumn="0" w:lastRowFirstColumn="0" w:lastRowLastColumn="0"/>
            </w:pPr>
            <w:r w:rsidRPr="00A934C4">
              <w:t>79</w:t>
            </w:r>
          </w:p>
        </w:tc>
        <w:tc>
          <w:tcPr>
            <w:tcW w:w="624" w:type="pct"/>
          </w:tcPr>
          <w:p w14:paraId="2C1F5CCA" w14:textId="77777777" w:rsidR="00A81C4F" w:rsidRPr="004C73E5" w:rsidRDefault="00A81C4F" w:rsidP="00436BF4">
            <w:pPr>
              <w:pStyle w:val="Normal-table"/>
              <w:cnfStyle w:val="000000100000" w:firstRow="0" w:lastRow="0" w:firstColumn="0" w:lastColumn="0" w:oddVBand="0" w:evenVBand="0" w:oddHBand="1" w:evenHBand="0" w:firstRowFirstColumn="0" w:firstRowLastColumn="0" w:lastRowFirstColumn="0" w:lastRowLastColumn="0"/>
            </w:pPr>
            <w:r w:rsidRPr="00A934C4">
              <w:t>26</w:t>
            </w:r>
          </w:p>
        </w:tc>
        <w:tc>
          <w:tcPr>
            <w:tcW w:w="593" w:type="pct"/>
          </w:tcPr>
          <w:p w14:paraId="4A37786A" w14:textId="77777777" w:rsidR="00A81C4F" w:rsidRPr="004C73E5" w:rsidRDefault="00A81C4F" w:rsidP="00436BF4">
            <w:pPr>
              <w:pStyle w:val="Normal-table"/>
              <w:cnfStyle w:val="000000100000" w:firstRow="0" w:lastRow="0" w:firstColumn="0" w:lastColumn="0" w:oddVBand="0" w:evenVBand="0" w:oddHBand="1" w:evenHBand="0" w:firstRowFirstColumn="0" w:firstRowLastColumn="0" w:lastRowFirstColumn="0" w:lastRowLastColumn="0"/>
            </w:pPr>
            <w:r w:rsidRPr="00A934C4">
              <w:t>7439</w:t>
            </w:r>
          </w:p>
        </w:tc>
      </w:tr>
      <w:tr w:rsidR="00A81C4F" w14:paraId="0B4558FB" w14:textId="77777777" w:rsidTr="00AA1966">
        <w:trPr>
          <w:trHeight w:val="319"/>
        </w:trPr>
        <w:tc>
          <w:tcPr>
            <w:cnfStyle w:val="001000000000" w:firstRow="0" w:lastRow="0" w:firstColumn="1" w:lastColumn="0" w:oddVBand="0" w:evenVBand="0" w:oddHBand="0" w:evenHBand="0" w:firstRowFirstColumn="0" w:firstRowLastColumn="0" w:lastRowFirstColumn="0" w:lastRowLastColumn="0"/>
            <w:tcW w:w="1114" w:type="pct"/>
          </w:tcPr>
          <w:p w14:paraId="7AB71F11" w14:textId="77777777" w:rsidR="00A81C4F" w:rsidRPr="004C73E5" w:rsidRDefault="00A81C4F" w:rsidP="00436BF4">
            <w:pPr>
              <w:pStyle w:val="Normal-table"/>
            </w:pPr>
            <w:r w:rsidRPr="00A934C4">
              <w:t>Percentage</w:t>
            </w:r>
          </w:p>
        </w:tc>
        <w:tc>
          <w:tcPr>
            <w:tcW w:w="710" w:type="pct"/>
          </w:tcPr>
          <w:p w14:paraId="5E2FD8D1" w14:textId="77777777" w:rsidR="00A81C4F" w:rsidRPr="004C73E5" w:rsidRDefault="00A81C4F" w:rsidP="00436BF4">
            <w:pPr>
              <w:pStyle w:val="Normal-table"/>
              <w:cnfStyle w:val="000000000000" w:firstRow="0" w:lastRow="0" w:firstColumn="0" w:lastColumn="0" w:oddVBand="0" w:evenVBand="0" w:oddHBand="0" w:evenHBand="0" w:firstRowFirstColumn="0" w:firstRowLastColumn="0" w:lastRowFirstColumn="0" w:lastRowLastColumn="0"/>
            </w:pPr>
            <w:r w:rsidRPr="00A934C4">
              <w:t>57.74%</w:t>
            </w:r>
          </w:p>
        </w:tc>
        <w:tc>
          <w:tcPr>
            <w:tcW w:w="710" w:type="pct"/>
          </w:tcPr>
          <w:p w14:paraId="6C9DBDB0" w14:textId="77777777" w:rsidR="00A81C4F" w:rsidRPr="004C73E5" w:rsidRDefault="00A81C4F" w:rsidP="00436BF4">
            <w:pPr>
              <w:pStyle w:val="Normal-table"/>
              <w:cnfStyle w:val="000000000000" w:firstRow="0" w:lastRow="0" w:firstColumn="0" w:lastColumn="0" w:oddVBand="0" w:evenVBand="0" w:oddHBand="0" w:evenHBand="0" w:firstRowFirstColumn="0" w:firstRowLastColumn="0" w:lastRowFirstColumn="0" w:lastRowLastColumn="0"/>
            </w:pPr>
            <w:r w:rsidRPr="00A934C4">
              <w:t>35.77%</w:t>
            </w:r>
          </w:p>
        </w:tc>
        <w:tc>
          <w:tcPr>
            <w:tcW w:w="624" w:type="pct"/>
          </w:tcPr>
          <w:p w14:paraId="7A82FB20" w14:textId="77777777" w:rsidR="00A81C4F" w:rsidRPr="004C73E5" w:rsidRDefault="00A81C4F" w:rsidP="00436BF4">
            <w:pPr>
              <w:pStyle w:val="Normal-table"/>
              <w:cnfStyle w:val="000000000000" w:firstRow="0" w:lastRow="0" w:firstColumn="0" w:lastColumn="0" w:oddVBand="0" w:evenVBand="0" w:oddHBand="0" w:evenHBand="0" w:firstRowFirstColumn="0" w:firstRowLastColumn="0" w:lastRowFirstColumn="0" w:lastRowLastColumn="0"/>
            </w:pPr>
            <w:r w:rsidRPr="00A934C4">
              <w:t>5.08%</w:t>
            </w:r>
          </w:p>
        </w:tc>
        <w:tc>
          <w:tcPr>
            <w:tcW w:w="624" w:type="pct"/>
          </w:tcPr>
          <w:p w14:paraId="0DE8F3F0" w14:textId="77777777" w:rsidR="00A81C4F" w:rsidRPr="004C73E5" w:rsidRDefault="00A81C4F" w:rsidP="00436BF4">
            <w:pPr>
              <w:pStyle w:val="Normal-table"/>
              <w:cnfStyle w:val="000000000000" w:firstRow="0" w:lastRow="0" w:firstColumn="0" w:lastColumn="0" w:oddVBand="0" w:evenVBand="0" w:oddHBand="0" w:evenHBand="0" w:firstRowFirstColumn="0" w:firstRowLastColumn="0" w:lastRowFirstColumn="0" w:lastRowLastColumn="0"/>
            </w:pPr>
            <w:r w:rsidRPr="00A934C4">
              <w:t>1.06%</w:t>
            </w:r>
          </w:p>
        </w:tc>
        <w:tc>
          <w:tcPr>
            <w:tcW w:w="624" w:type="pct"/>
          </w:tcPr>
          <w:p w14:paraId="3CE2F4A9" w14:textId="77777777" w:rsidR="00A81C4F" w:rsidRPr="004C73E5" w:rsidRDefault="00A81C4F" w:rsidP="00436BF4">
            <w:pPr>
              <w:pStyle w:val="Normal-table"/>
              <w:cnfStyle w:val="000000000000" w:firstRow="0" w:lastRow="0" w:firstColumn="0" w:lastColumn="0" w:oddVBand="0" w:evenVBand="0" w:oddHBand="0" w:evenHBand="0" w:firstRowFirstColumn="0" w:firstRowLastColumn="0" w:lastRowFirstColumn="0" w:lastRowLastColumn="0"/>
            </w:pPr>
            <w:r w:rsidRPr="00A934C4">
              <w:t>0.35%</w:t>
            </w:r>
          </w:p>
        </w:tc>
        <w:tc>
          <w:tcPr>
            <w:tcW w:w="593" w:type="pct"/>
          </w:tcPr>
          <w:p w14:paraId="69D0D341" w14:textId="77777777" w:rsidR="00A81C4F" w:rsidRPr="004C73E5" w:rsidRDefault="00A81C4F" w:rsidP="00436BF4">
            <w:pPr>
              <w:pStyle w:val="Normal-table"/>
              <w:cnfStyle w:val="000000000000" w:firstRow="0" w:lastRow="0" w:firstColumn="0" w:lastColumn="0" w:oddVBand="0" w:evenVBand="0" w:oddHBand="0" w:evenHBand="0" w:firstRowFirstColumn="0" w:firstRowLastColumn="0" w:lastRowFirstColumn="0" w:lastRowLastColumn="0"/>
            </w:pPr>
            <w:r w:rsidRPr="00A934C4">
              <w:t> </w:t>
            </w:r>
          </w:p>
        </w:tc>
      </w:tr>
    </w:tbl>
    <w:p w14:paraId="2838A740" w14:textId="77777777" w:rsidR="00A81C4F" w:rsidRDefault="00A81C4F" w:rsidP="00A81C4F">
      <w:pPr>
        <w:pStyle w:val="Caption"/>
      </w:pPr>
      <w:r>
        <w:t>Data source: Queensland Police Service.</w:t>
      </w:r>
    </w:p>
    <w:p w14:paraId="2074FBB9" w14:textId="77777777" w:rsidR="00A81C4F" w:rsidRDefault="00A81C4F" w:rsidP="00A81C4F">
      <w:pPr>
        <w:pStyle w:val="Caption"/>
      </w:pPr>
      <w:r>
        <w:t>Notes: Penalty bracket is vehicle exceeding the speed limit by this amount.</w:t>
      </w:r>
    </w:p>
    <w:p w14:paraId="42E9A7E5" w14:textId="77777777" w:rsidR="00A81C4F" w:rsidRPr="005E2808" w:rsidRDefault="00A81C4F" w:rsidP="00A81C4F">
      <w:pPr>
        <w:pStyle w:val="Caption"/>
      </w:pPr>
      <w:r>
        <w:t xml:space="preserve">A point-to-point (or average) speed camera system uses a number of cameras over a length of road to measure a vehicle's average speed. The system uses the time it takes for a vehicle to travel between the two points to calculate the average speed of the vehicle: Speed = Distance </w:t>
      </w:r>
      <w:r w:rsidRPr="002E253C">
        <w:t>÷</w:t>
      </w:r>
      <w:r>
        <w:t xml:space="preserve"> Time.</w:t>
      </w:r>
    </w:p>
    <w:p w14:paraId="20966875" w14:textId="649DE0F0" w:rsidR="00A81C4F" w:rsidRDefault="00A81C4F" w:rsidP="00A81C4F">
      <w:pPr>
        <w:pStyle w:val="Heading2"/>
      </w:pPr>
      <w:r w:rsidRPr="001954E0">
        <w:lastRenderedPageBreak/>
        <w:t xml:space="preserve">Appendix </w:t>
      </w:r>
      <w:r>
        <w:t>5 –</w:t>
      </w:r>
      <w:r w:rsidRPr="001954E0">
        <w:t xml:space="preserve"> </w:t>
      </w:r>
      <w:r>
        <w:t>Transport operator payments</w:t>
      </w:r>
    </w:p>
    <w:p w14:paraId="45320F12" w14:textId="77777777" w:rsidR="00A81C4F" w:rsidRDefault="00A81C4F" w:rsidP="00A81C4F">
      <w:pPr>
        <w:pStyle w:val="Heading3"/>
      </w:pPr>
      <w:r w:rsidRPr="009C5ED7">
        <w:t>Passenger transport operator payments: South East Queensland</w:t>
      </w:r>
    </w:p>
    <w:p w14:paraId="2C78F2B7" w14:textId="77777777" w:rsidR="00A81C4F" w:rsidRDefault="00A81C4F" w:rsidP="00A81C4F">
      <w:pPr>
        <w:pStyle w:val="Heading4"/>
      </w:pPr>
      <w:r>
        <w:t>Bus</w:t>
      </w:r>
    </w:p>
    <w:p w14:paraId="370433C4" w14:textId="77777777" w:rsidR="00A81C4F" w:rsidRDefault="00A81C4F" w:rsidP="00A81C4F">
      <w:pPr>
        <w:pStyle w:val="TableofFigures"/>
      </w:pPr>
      <w:r>
        <w:t>Table 61: Passenger transport operator payments: South East Queensland—Bus</w:t>
      </w:r>
    </w:p>
    <w:p w14:paraId="3742C583" w14:textId="77777777" w:rsidR="00A81C4F" w:rsidRDefault="00A81C4F" w:rsidP="00A81C4F">
      <w:pPr>
        <w:pStyle w:val="Caption"/>
      </w:pPr>
      <w:r>
        <w:t xml:space="preserve">Payments are for the period of 1 July 2022 to 30 June 2023 and are GST exclusive </w:t>
      </w:r>
    </w:p>
    <w:tbl>
      <w:tblPr>
        <w:tblStyle w:val="GridTable4-Accent1"/>
        <w:tblW w:w="5000" w:type="pct"/>
        <w:tblLook w:val="04E0" w:firstRow="1" w:lastRow="1" w:firstColumn="1" w:lastColumn="0" w:noHBand="0" w:noVBand="1"/>
      </w:tblPr>
      <w:tblGrid>
        <w:gridCol w:w="7591"/>
        <w:gridCol w:w="2865"/>
      </w:tblGrid>
      <w:tr w:rsidR="00A81C4F" w14:paraId="4E57729E" w14:textId="77777777" w:rsidTr="00F84B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30" w:type="pct"/>
          </w:tcPr>
          <w:p w14:paraId="17A00E3B" w14:textId="77777777" w:rsidR="00A81C4F" w:rsidRPr="009C5ED7" w:rsidRDefault="00A81C4F" w:rsidP="00F84BBB">
            <w:pPr>
              <w:pStyle w:val="Normal-table"/>
            </w:pPr>
            <w:r>
              <w:t>Operator</w:t>
            </w:r>
          </w:p>
        </w:tc>
        <w:tc>
          <w:tcPr>
            <w:tcW w:w="1370" w:type="pct"/>
          </w:tcPr>
          <w:p w14:paraId="724EA687" w14:textId="77777777" w:rsidR="00A81C4F" w:rsidRPr="009C5ED7" w:rsidRDefault="00A81C4F" w:rsidP="00F84BBB">
            <w:pPr>
              <w:pStyle w:val="Normal-table"/>
              <w:cnfStyle w:val="100000000000" w:firstRow="1" w:lastRow="0" w:firstColumn="0" w:lastColumn="0" w:oddVBand="0" w:evenVBand="0" w:oddHBand="0" w:evenHBand="0" w:firstRowFirstColumn="0" w:firstRowLastColumn="0" w:lastRowFirstColumn="0" w:lastRowLastColumn="0"/>
            </w:pPr>
            <w:r>
              <w:t>$ Amount 2022–23</w:t>
            </w:r>
          </w:p>
        </w:tc>
      </w:tr>
      <w:tr w:rsidR="00A81C4F" w14:paraId="5E48EE7C" w14:textId="77777777" w:rsidTr="00F84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0BD4EEB2" w14:textId="77777777" w:rsidR="00A81C4F" w:rsidRPr="009C5ED7" w:rsidRDefault="00A81C4F" w:rsidP="00F84BBB">
            <w:pPr>
              <w:pStyle w:val="Normal-table"/>
            </w:pPr>
            <w:r w:rsidRPr="009C5ED7">
              <w:t>Brisbane Bus Lines Pty Ltd ACN 009 739 593</w:t>
            </w:r>
          </w:p>
        </w:tc>
        <w:tc>
          <w:tcPr>
            <w:tcW w:w="1370" w:type="pct"/>
          </w:tcPr>
          <w:p w14:paraId="02D5C73C" w14:textId="77777777" w:rsidR="00A81C4F" w:rsidRPr="009C5ED7" w:rsidRDefault="00A81C4F" w:rsidP="00F84BBB">
            <w:pPr>
              <w:pStyle w:val="Normal-table"/>
              <w:cnfStyle w:val="000000100000" w:firstRow="0" w:lastRow="0" w:firstColumn="0" w:lastColumn="0" w:oddVBand="0" w:evenVBand="0" w:oddHBand="1" w:evenHBand="0" w:firstRowFirstColumn="0" w:firstRowLastColumn="0" w:lastRowFirstColumn="0" w:lastRowLastColumn="0"/>
            </w:pPr>
            <w:r w:rsidRPr="009C5ED7">
              <w:t xml:space="preserve">173,452 </w:t>
            </w:r>
          </w:p>
        </w:tc>
      </w:tr>
      <w:tr w:rsidR="00A81C4F" w14:paraId="0CFBABF5" w14:textId="77777777" w:rsidTr="00F84BBB">
        <w:tc>
          <w:tcPr>
            <w:cnfStyle w:val="001000000000" w:firstRow="0" w:lastRow="0" w:firstColumn="1" w:lastColumn="0" w:oddVBand="0" w:evenVBand="0" w:oddHBand="0" w:evenHBand="0" w:firstRowFirstColumn="0" w:firstRowLastColumn="0" w:lastRowFirstColumn="0" w:lastRowLastColumn="0"/>
            <w:tcW w:w="3630" w:type="pct"/>
          </w:tcPr>
          <w:p w14:paraId="2EF1F2E7" w14:textId="77777777" w:rsidR="00A81C4F" w:rsidRPr="009C5ED7" w:rsidRDefault="00A81C4F" w:rsidP="00F84BBB">
            <w:pPr>
              <w:pStyle w:val="Normal-table"/>
            </w:pPr>
            <w:r w:rsidRPr="009C5ED7">
              <w:t>Brisbane City Council (Transport for Brisbane) ABN 72 002 765 795</w:t>
            </w:r>
          </w:p>
        </w:tc>
        <w:tc>
          <w:tcPr>
            <w:tcW w:w="1370" w:type="pct"/>
          </w:tcPr>
          <w:p w14:paraId="130048F5" w14:textId="77777777" w:rsidR="00A81C4F" w:rsidRPr="009C5ED7" w:rsidRDefault="00A81C4F" w:rsidP="00F84BBB">
            <w:pPr>
              <w:pStyle w:val="Normal-table"/>
              <w:cnfStyle w:val="000000000000" w:firstRow="0" w:lastRow="0" w:firstColumn="0" w:lastColumn="0" w:oddVBand="0" w:evenVBand="0" w:oddHBand="0" w:evenHBand="0" w:firstRowFirstColumn="0" w:firstRowLastColumn="0" w:lastRowFirstColumn="0" w:lastRowLastColumn="0"/>
            </w:pPr>
            <w:r w:rsidRPr="009C5ED7">
              <w:t xml:space="preserve">356,314,364 </w:t>
            </w:r>
          </w:p>
        </w:tc>
      </w:tr>
      <w:tr w:rsidR="00A81C4F" w14:paraId="0242B4F2" w14:textId="77777777" w:rsidTr="00F84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2E009E63" w14:textId="77777777" w:rsidR="00A81C4F" w:rsidRPr="009C5ED7" w:rsidRDefault="00A81C4F" w:rsidP="00F84BBB">
            <w:pPr>
              <w:pStyle w:val="Normal-table"/>
            </w:pPr>
            <w:r w:rsidRPr="009C5ED7">
              <w:t>Bus Queensland Pty Ltd ACN 010 516 757 t/a Park Ridge Transit</w:t>
            </w:r>
          </w:p>
        </w:tc>
        <w:tc>
          <w:tcPr>
            <w:tcW w:w="1370" w:type="pct"/>
          </w:tcPr>
          <w:p w14:paraId="68C90145" w14:textId="77777777" w:rsidR="00A81C4F" w:rsidRPr="009C5ED7" w:rsidRDefault="00A81C4F" w:rsidP="00F84BBB">
            <w:pPr>
              <w:pStyle w:val="Normal-table"/>
              <w:cnfStyle w:val="000000100000" w:firstRow="0" w:lastRow="0" w:firstColumn="0" w:lastColumn="0" w:oddVBand="0" w:evenVBand="0" w:oddHBand="1" w:evenHBand="0" w:firstRowFirstColumn="0" w:firstRowLastColumn="0" w:lastRowFirstColumn="0" w:lastRowLastColumn="0"/>
            </w:pPr>
            <w:r w:rsidRPr="009C5ED7">
              <w:t xml:space="preserve">17,506,413 </w:t>
            </w:r>
          </w:p>
        </w:tc>
      </w:tr>
      <w:tr w:rsidR="00A81C4F" w14:paraId="6CDE91C6" w14:textId="77777777" w:rsidTr="00F84BBB">
        <w:tc>
          <w:tcPr>
            <w:cnfStyle w:val="001000000000" w:firstRow="0" w:lastRow="0" w:firstColumn="1" w:lastColumn="0" w:oddVBand="0" w:evenVBand="0" w:oddHBand="0" w:evenHBand="0" w:firstRowFirstColumn="0" w:firstRowLastColumn="0" w:lastRowFirstColumn="0" w:lastRowLastColumn="0"/>
            <w:tcW w:w="3630" w:type="pct"/>
          </w:tcPr>
          <w:p w14:paraId="54246B93" w14:textId="77777777" w:rsidR="00A81C4F" w:rsidRPr="009C5ED7" w:rsidRDefault="00A81C4F" w:rsidP="00F84BBB">
            <w:pPr>
              <w:pStyle w:val="Normal-table"/>
            </w:pPr>
            <w:r w:rsidRPr="009C5ED7">
              <w:t>Bus Queensland (Lockyer Valley) Pty Ltd ACN 140 535 888</w:t>
            </w:r>
          </w:p>
        </w:tc>
        <w:tc>
          <w:tcPr>
            <w:tcW w:w="1370" w:type="pct"/>
          </w:tcPr>
          <w:p w14:paraId="143FC112" w14:textId="77777777" w:rsidR="00A81C4F" w:rsidRPr="009C5ED7" w:rsidRDefault="00A81C4F" w:rsidP="00F84BBB">
            <w:pPr>
              <w:pStyle w:val="Normal-table"/>
              <w:cnfStyle w:val="000000000000" w:firstRow="0" w:lastRow="0" w:firstColumn="0" w:lastColumn="0" w:oddVBand="0" w:evenVBand="0" w:oddHBand="0" w:evenHBand="0" w:firstRowFirstColumn="0" w:firstRowLastColumn="0" w:lastRowFirstColumn="0" w:lastRowLastColumn="0"/>
            </w:pPr>
            <w:r w:rsidRPr="009C5ED7">
              <w:t xml:space="preserve">1,792,991 </w:t>
            </w:r>
          </w:p>
        </w:tc>
      </w:tr>
      <w:tr w:rsidR="00A81C4F" w14:paraId="02E9827F" w14:textId="77777777" w:rsidTr="00F84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318B48A6" w14:textId="77777777" w:rsidR="00A81C4F" w:rsidRPr="009C5ED7" w:rsidRDefault="00A81C4F" w:rsidP="00F84BBB">
            <w:pPr>
              <w:pStyle w:val="Normal-table"/>
            </w:pPr>
            <w:r w:rsidRPr="009C5ED7">
              <w:t>CDC South East Queensland Pty Ltd ACN 085 000 693</w:t>
            </w:r>
          </w:p>
        </w:tc>
        <w:tc>
          <w:tcPr>
            <w:tcW w:w="1370" w:type="pct"/>
          </w:tcPr>
          <w:p w14:paraId="476EDB8D" w14:textId="77777777" w:rsidR="00A81C4F" w:rsidRPr="009C5ED7" w:rsidRDefault="00A81C4F" w:rsidP="00F84BBB">
            <w:pPr>
              <w:pStyle w:val="Normal-table"/>
              <w:cnfStyle w:val="000000100000" w:firstRow="0" w:lastRow="0" w:firstColumn="0" w:lastColumn="0" w:oddVBand="0" w:evenVBand="0" w:oddHBand="1" w:evenHBand="0" w:firstRowFirstColumn="0" w:firstRowLastColumn="0" w:lastRowFirstColumn="0" w:lastRowLastColumn="0"/>
            </w:pPr>
            <w:r w:rsidRPr="009C5ED7">
              <w:t xml:space="preserve">15,879,428 </w:t>
            </w:r>
          </w:p>
        </w:tc>
      </w:tr>
      <w:tr w:rsidR="00A81C4F" w14:paraId="16ADE070" w14:textId="77777777" w:rsidTr="00F84BBB">
        <w:tc>
          <w:tcPr>
            <w:cnfStyle w:val="001000000000" w:firstRow="0" w:lastRow="0" w:firstColumn="1" w:lastColumn="0" w:oddVBand="0" w:evenVBand="0" w:oddHBand="0" w:evenHBand="0" w:firstRowFirstColumn="0" w:firstRowLastColumn="0" w:lastRowFirstColumn="0" w:lastRowLastColumn="0"/>
            <w:tcW w:w="3630" w:type="pct"/>
          </w:tcPr>
          <w:p w14:paraId="5340068C" w14:textId="77777777" w:rsidR="00A81C4F" w:rsidRPr="009C5ED7" w:rsidRDefault="00A81C4F" w:rsidP="00F84BBB">
            <w:pPr>
              <w:pStyle w:val="Normal-table"/>
            </w:pPr>
            <w:r w:rsidRPr="009C5ED7">
              <w:t>Caboolture Bus Lines Pty Ltd ACN 010 974 599</w:t>
            </w:r>
          </w:p>
        </w:tc>
        <w:tc>
          <w:tcPr>
            <w:tcW w:w="1370" w:type="pct"/>
          </w:tcPr>
          <w:p w14:paraId="5A47FC7B" w14:textId="77777777" w:rsidR="00A81C4F" w:rsidRPr="009C5ED7" w:rsidRDefault="00A81C4F" w:rsidP="00F84BBB">
            <w:pPr>
              <w:pStyle w:val="Normal-table"/>
              <w:cnfStyle w:val="000000000000" w:firstRow="0" w:lastRow="0" w:firstColumn="0" w:lastColumn="0" w:oddVBand="0" w:evenVBand="0" w:oddHBand="0" w:evenHBand="0" w:firstRowFirstColumn="0" w:firstRowLastColumn="0" w:lastRowFirstColumn="0" w:lastRowLastColumn="0"/>
            </w:pPr>
            <w:r w:rsidRPr="009C5ED7">
              <w:t xml:space="preserve">14,471,154 </w:t>
            </w:r>
          </w:p>
        </w:tc>
      </w:tr>
      <w:tr w:rsidR="00A81C4F" w14:paraId="1472E276" w14:textId="77777777" w:rsidTr="00F84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2787F5CA" w14:textId="77777777" w:rsidR="00A81C4F" w:rsidRPr="009C5ED7" w:rsidRDefault="00A81C4F" w:rsidP="00F84BBB">
            <w:pPr>
              <w:pStyle w:val="Normal-table"/>
            </w:pPr>
            <w:r w:rsidRPr="009C5ED7">
              <w:t xml:space="preserve">Reginald Graham Clark &amp; Yvonne Hazel Clark t/a Clarks Bus Service ABN 26 755 113 656 </w:t>
            </w:r>
          </w:p>
        </w:tc>
        <w:tc>
          <w:tcPr>
            <w:tcW w:w="1370" w:type="pct"/>
          </w:tcPr>
          <w:p w14:paraId="25ED1CB4" w14:textId="77777777" w:rsidR="00A81C4F" w:rsidRPr="009C5ED7" w:rsidRDefault="00A81C4F" w:rsidP="00F84BBB">
            <w:pPr>
              <w:pStyle w:val="Normal-table"/>
              <w:cnfStyle w:val="000000100000" w:firstRow="0" w:lastRow="0" w:firstColumn="0" w:lastColumn="0" w:oddVBand="0" w:evenVBand="0" w:oddHBand="1" w:evenHBand="0" w:firstRowFirstColumn="0" w:firstRowLastColumn="0" w:lastRowFirstColumn="0" w:lastRowLastColumn="0"/>
            </w:pPr>
            <w:r w:rsidRPr="009C5ED7">
              <w:t xml:space="preserve">35,774,185 </w:t>
            </w:r>
          </w:p>
        </w:tc>
      </w:tr>
      <w:tr w:rsidR="00A81C4F" w14:paraId="42FB01E4" w14:textId="77777777" w:rsidTr="00F84BBB">
        <w:tc>
          <w:tcPr>
            <w:cnfStyle w:val="001000000000" w:firstRow="0" w:lastRow="0" w:firstColumn="1" w:lastColumn="0" w:oddVBand="0" w:evenVBand="0" w:oddHBand="0" w:evenHBand="0" w:firstRowFirstColumn="0" w:firstRowLastColumn="0" w:lastRowFirstColumn="0" w:lastRowLastColumn="0"/>
            <w:tcW w:w="3630" w:type="pct"/>
          </w:tcPr>
          <w:p w14:paraId="16667DC5" w14:textId="77777777" w:rsidR="00A81C4F" w:rsidRPr="009C5ED7" w:rsidRDefault="00A81C4F" w:rsidP="00F84BBB">
            <w:pPr>
              <w:pStyle w:val="Normal-table"/>
            </w:pPr>
            <w:r w:rsidRPr="009C5ED7">
              <w:t>GK &amp; JM Thompson Pty Ltd ACN 064 465 176 t/a Thompson Bus Services</w:t>
            </w:r>
          </w:p>
        </w:tc>
        <w:tc>
          <w:tcPr>
            <w:tcW w:w="1370" w:type="pct"/>
          </w:tcPr>
          <w:p w14:paraId="74F3AB2E" w14:textId="77777777" w:rsidR="00A81C4F" w:rsidRPr="009C5ED7" w:rsidRDefault="00A81C4F" w:rsidP="00F84BBB">
            <w:pPr>
              <w:pStyle w:val="Normal-table"/>
              <w:cnfStyle w:val="000000000000" w:firstRow="0" w:lastRow="0" w:firstColumn="0" w:lastColumn="0" w:oddVBand="0" w:evenVBand="0" w:oddHBand="0" w:evenHBand="0" w:firstRowFirstColumn="0" w:firstRowLastColumn="0" w:lastRowFirstColumn="0" w:lastRowLastColumn="0"/>
            </w:pPr>
            <w:r w:rsidRPr="009C5ED7">
              <w:t xml:space="preserve">10,700,988 </w:t>
            </w:r>
          </w:p>
        </w:tc>
      </w:tr>
      <w:tr w:rsidR="00A81C4F" w14:paraId="18F4A9B3" w14:textId="77777777" w:rsidTr="00F84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32845D2C" w14:textId="77777777" w:rsidR="00A81C4F" w:rsidRPr="009C5ED7" w:rsidRDefault="00A81C4F" w:rsidP="00F84BBB">
            <w:pPr>
              <w:pStyle w:val="Normal-table"/>
            </w:pPr>
            <w:r w:rsidRPr="009C5ED7">
              <w:t>Hornibrook Bus Lines Pty Ltd ACN 010 013 224</w:t>
            </w:r>
          </w:p>
        </w:tc>
        <w:tc>
          <w:tcPr>
            <w:tcW w:w="1370" w:type="pct"/>
          </w:tcPr>
          <w:p w14:paraId="1AF7368E" w14:textId="77777777" w:rsidR="00A81C4F" w:rsidRPr="009C5ED7" w:rsidRDefault="00A81C4F" w:rsidP="00F84BBB">
            <w:pPr>
              <w:pStyle w:val="Normal-table"/>
              <w:cnfStyle w:val="000000100000" w:firstRow="0" w:lastRow="0" w:firstColumn="0" w:lastColumn="0" w:oddVBand="0" w:evenVBand="0" w:oddHBand="1" w:evenHBand="0" w:firstRowFirstColumn="0" w:firstRowLastColumn="0" w:lastRowFirstColumn="0" w:lastRowLastColumn="0"/>
            </w:pPr>
            <w:r w:rsidRPr="009C5ED7">
              <w:t xml:space="preserve">20,263,713 </w:t>
            </w:r>
          </w:p>
        </w:tc>
      </w:tr>
      <w:tr w:rsidR="00A81C4F" w14:paraId="2EE64601" w14:textId="77777777" w:rsidTr="00F84BBB">
        <w:tc>
          <w:tcPr>
            <w:cnfStyle w:val="001000000000" w:firstRow="0" w:lastRow="0" w:firstColumn="1" w:lastColumn="0" w:oddVBand="0" w:evenVBand="0" w:oddHBand="0" w:evenHBand="0" w:firstRowFirstColumn="0" w:firstRowLastColumn="0" w:lastRowFirstColumn="0" w:lastRowLastColumn="0"/>
            <w:tcW w:w="3630" w:type="pct"/>
          </w:tcPr>
          <w:p w14:paraId="7D1EEFC5" w14:textId="77777777" w:rsidR="00A81C4F" w:rsidRPr="009C5ED7" w:rsidRDefault="00A81C4F" w:rsidP="00F84BBB">
            <w:pPr>
              <w:pStyle w:val="Normal-table"/>
            </w:pPr>
            <w:r w:rsidRPr="009C5ED7">
              <w:t>Mt Gravatt Bus Service Pty Ltd ACN 010 232 827 atf The L G Cole Family Trust</w:t>
            </w:r>
          </w:p>
        </w:tc>
        <w:tc>
          <w:tcPr>
            <w:tcW w:w="1370" w:type="pct"/>
          </w:tcPr>
          <w:p w14:paraId="26E15E2A" w14:textId="77777777" w:rsidR="00A81C4F" w:rsidRPr="009C5ED7" w:rsidRDefault="00A81C4F" w:rsidP="00F84BBB">
            <w:pPr>
              <w:pStyle w:val="Normal-table"/>
              <w:cnfStyle w:val="000000000000" w:firstRow="0" w:lastRow="0" w:firstColumn="0" w:lastColumn="0" w:oddVBand="0" w:evenVBand="0" w:oddHBand="0" w:evenHBand="0" w:firstRowFirstColumn="0" w:firstRowLastColumn="0" w:lastRowFirstColumn="0" w:lastRowLastColumn="0"/>
            </w:pPr>
            <w:r w:rsidRPr="009C5ED7">
              <w:t xml:space="preserve">5,660,915 </w:t>
            </w:r>
          </w:p>
        </w:tc>
      </w:tr>
      <w:tr w:rsidR="00A81C4F" w14:paraId="5CADED4D" w14:textId="77777777" w:rsidTr="00F84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5318588C" w14:textId="77777777" w:rsidR="00A81C4F" w:rsidRPr="009C5ED7" w:rsidRDefault="00A81C4F" w:rsidP="00F84BBB">
            <w:pPr>
              <w:pStyle w:val="Normal-table"/>
            </w:pPr>
            <w:r w:rsidRPr="009C5ED7">
              <w:t>S &amp; S Webster Investments Pty Ltd ACN 004 804 497 t/a Kangaroo Bus Lines</w:t>
            </w:r>
          </w:p>
        </w:tc>
        <w:tc>
          <w:tcPr>
            <w:tcW w:w="1370" w:type="pct"/>
          </w:tcPr>
          <w:p w14:paraId="6809D7EF" w14:textId="77777777" w:rsidR="00A81C4F" w:rsidRPr="009C5ED7" w:rsidRDefault="00A81C4F" w:rsidP="00F84BBB">
            <w:pPr>
              <w:pStyle w:val="Normal-table"/>
              <w:cnfStyle w:val="000000100000" w:firstRow="0" w:lastRow="0" w:firstColumn="0" w:lastColumn="0" w:oddVBand="0" w:evenVBand="0" w:oddHBand="1" w:evenHBand="0" w:firstRowFirstColumn="0" w:firstRowLastColumn="0" w:lastRowFirstColumn="0" w:lastRowLastColumn="0"/>
            </w:pPr>
            <w:r w:rsidRPr="009C5ED7">
              <w:t xml:space="preserve">19,213,253 </w:t>
            </w:r>
          </w:p>
        </w:tc>
      </w:tr>
      <w:tr w:rsidR="00A81C4F" w14:paraId="1BCEA330" w14:textId="77777777" w:rsidTr="00F84BBB">
        <w:tc>
          <w:tcPr>
            <w:cnfStyle w:val="001000000000" w:firstRow="0" w:lastRow="0" w:firstColumn="1" w:lastColumn="0" w:oddVBand="0" w:evenVBand="0" w:oddHBand="0" w:evenHBand="0" w:firstRowFirstColumn="0" w:firstRowLastColumn="0" w:lastRowFirstColumn="0" w:lastRowLastColumn="0"/>
            <w:tcW w:w="3630" w:type="pct"/>
          </w:tcPr>
          <w:p w14:paraId="17757805" w14:textId="77777777" w:rsidR="00A81C4F" w:rsidRPr="009C5ED7" w:rsidRDefault="00A81C4F" w:rsidP="00F84BBB">
            <w:pPr>
              <w:pStyle w:val="Normal-table"/>
            </w:pPr>
            <w:r w:rsidRPr="009C5ED7">
              <w:t>Southern Cross Transit (QLD) Pty Ltd ACN 097 130 615 atf the G. Oliveri Family Trust (QLD)</w:t>
            </w:r>
          </w:p>
        </w:tc>
        <w:tc>
          <w:tcPr>
            <w:tcW w:w="1370" w:type="pct"/>
          </w:tcPr>
          <w:p w14:paraId="108A1184" w14:textId="77777777" w:rsidR="00A81C4F" w:rsidRPr="009C5ED7" w:rsidRDefault="00A81C4F" w:rsidP="00F84BBB">
            <w:pPr>
              <w:pStyle w:val="Normal-table"/>
              <w:cnfStyle w:val="000000000000" w:firstRow="0" w:lastRow="0" w:firstColumn="0" w:lastColumn="0" w:oddVBand="0" w:evenVBand="0" w:oddHBand="0" w:evenHBand="0" w:firstRowFirstColumn="0" w:firstRowLastColumn="0" w:lastRowFirstColumn="0" w:lastRowLastColumn="0"/>
            </w:pPr>
            <w:r w:rsidRPr="009C5ED7">
              <w:t xml:space="preserve">205,173 </w:t>
            </w:r>
          </w:p>
        </w:tc>
      </w:tr>
      <w:tr w:rsidR="00A81C4F" w14:paraId="6898878E" w14:textId="77777777" w:rsidTr="00F84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61571EAF" w14:textId="77777777" w:rsidR="00A81C4F" w:rsidRPr="009C5ED7" w:rsidRDefault="00A81C4F" w:rsidP="00F84BBB">
            <w:pPr>
              <w:pStyle w:val="Normal-table"/>
            </w:pPr>
            <w:r w:rsidRPr="009C5ED7">
              <w:t>Surfside Buslines Pty Ltd ACN 010 957 552</w:t>
            </w:r>
          </w:p>
        </w:tc>
        <w:tc>
          <w:tcPr>
            <w:tcW w:w="1370" w:type="pct"/>
          </w:tcPr>
          <w:p w14:paraId="66410CE5" w14:textId="77777777" w:rsidR="00A81C4F" w:rsidRPr="009C5ED7" w:rsidRDefault="00A81C4F" w:rsidP="00F84BBB">
            <w:pPr>
              <w:pStyle w:val="Normal-table"/>
              <w:cnfStyle w:val="000000100000" w:firstRow="0" w:lastRow="0" w:firstColumn="0" w:lastColumn="0" w:oddVBand="0" w:evenVBand="0" w:oddHBand="1" w:evenHBand="0" w:firstRowFirstColumn="0" w:firstRowLastColumn="0" w:lastRowFirstColumn="0" w:lastRowLastColumn="0"/>
            </w:pPr>
            <w:r w:rsidRPr="009C5ED7">
              <w:t xml:space="preserve">103,496,842 </w:t>
            </w:r>
          </w:p>
        </w:tc>
      </w:tr>
      <w:tr w:rsidR="00A81C4F" w14:paraId="4D54502D" w14:textId="77777777" w:rsidTr="00F84BBB">
        <w:tc>
          <w:tcPr>
            <w:cnfStyle w:val="001000000000" w:firstRow="0" w:lastRow="0" w:firstColumn="1" w:lastColumn="0" w:oddVBand="0" w:evenVBand="0" w:oddHBand="0" w:evenHBand="0" w:firstRowFirstColumn="0" w:firstRowLastColumn="0" w:lastRowFirstColumn="0" w:lastRowLastColumn="0"/>
            <w:tcW w:w="3630" w:type="pct"/>
          </w:tcPr>
          <w:p w14:paraId="3E952EAC" w14:textId="77777777" w:rsidR="00A81C4F" w:rsidRPr="009C5ED7" w:rsidRDefault="00A81C4F" w:rsidP="00F84BBB">
            <w:pPr>
              <w:pStyle w:val="Normal-table"/>
            </w:pPr>
            <w:r w:rsidRPr="009C5ED7">
              <w:t>Transdev Queensland Pty Ltd ACN 087 046 044</w:t>
            </w:r>
          </w:p>
        </w:tc>
        <w:tc>
          <w:tcPr>
            <w:tcW w:w="1370" w:type="pct"/>
          </w:tcPr>
          <w:p w14:paraId="7C2C5F63" w14:textId="77777777" w:rsidR="00A81C4F" w:rsidRPr="009C5ED7" w:rsidRDefault="00A81C4F" w:rsidP="00F84BBB">
            <w:pPr>
              <w:pStyle w:val="Normal-table"/>
              <w:cnfStyle w:val="000000000000" w:firstRow="0" w:lastRow="0" w:firstColumn="0" w:lastColumn="0" w:oddVBand="0" w:evenVBand="0" w:oddHBand="0" w:evenHBand="0" w:firstRowFirstColumn="0" w:firstRowLastColumn="0" w:lastRowFirstColumn="0" w:lastRowLastColumn="0"/>
            </w:pPr>
            <w:r w:rsidRPr="009C5ED7">
              <w:t xml:space="preserve">30,139,727 </w:t>
            </w:r>
          </w:p>
        </w:tc>
      </w:tr>
      <w:tr w:rsidR="00A81C4F" w14:paraId="236E6300" w14:textId="77777777" w:rsidTr="00F84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3694A7E3" w14:textId="77777777" w:rsidR="00A81C4F" w:rsidRPr="009C5ED7" w:rsidRDefault="00A81C4F" w:rsidP="00F84BBB">
            <w:pPr>
              <w:pStyle w:val="Normal-table"/>
            </w:pPr>
            <w:r w:rsidRPr="009C5ED7">
              <w:t>Transit Australia Pty Limited ACN 065 794 943 t/a Sunshine Coast Sunbus</w:t>
            </w:r>
          </w:p>
        </w:tc>
        <w:tc>
          <w:tcPr>
            <w:tcW w:w="1370" w:type="pct"/>
          </w:tcPr>
          <w:p w14:paraId="7FF98BA0" w14:textId="77777777" w:rsidR="00A81C4F" w:rsidRPr="009C5ED7" w:rsidRDefault="00A81C4F" w:rsidP="00F84BBB">
            <w:pPr>
              <w:pStyle w:val="Normal-table"/>
              <w:cnfStyle w:val="000000100000" w:firstRow="0" w:lastRow="0" w:firstColumn="0" w:lastColumn="0" w:oddVBand="0" w:evenVBand="0" w:oddHBand="1" w:evenHBand="0" w:firstRowFirstColumn="0" w:firstRowLastColumn="0" w:lastRowFirstColumn="0" w:lastRowLastColumn="0"/>
            </w:pPr>
            <w:r w:rsidRPr="009C5ED7">
              <w:t xml:space="preserve">44,062,771 </w:t>
            </w:r>
          </w:p>
        </w:tc>
      </w:tr>
      <w:tr w:rsidR="00A81C4F" w14:paraId="5DCC47B5" w14:textId="77777777" w:rsidTr="00F84BBB">
        <w:tc>
          <w:tcPr>
            <w:cnfStyle w:val="001000000000" w:firstRow="0" w:lastRow="0" w:firstColumn="1" w:lastColumn="0" w:oddVBand="0" w:evenVBand="0" w:oddHBand="0" w:evenHBand="0" w:firstRowFirstColumn="0" w:firstRowLastColumn="0" w:lastRowFirstColumn="0" w:lastRowLastColumn="0"/>
            <w:tcW w:w="3630" w:type="pct"/>
          </w:tcPr>
          <w:p w14:paraId="5CD8C3CD" w14:textId="77777777" w:rsidR="00A81C4F" w:rsidRPr="009C5ED7" w:rsidRDefault="00A81C4F" w:rsidP="00F84BBB">
            <w:pPr>
              <w:pStyle w:val="Normal-table"/>
            </w:pPr>
            <w:r w:rsidRPr="009C5ED7">
              <w:t xml:space="preserve">Westside Bus Co Pty Ltd ACN 083 497 312 atf Westside Unit Trust </w:t>
            </w:r>
          </w:p>
        </w:tc>
        <w:tc>
          <w:tcPr>
            <w:tcW w:w="1370" w:type="pct"/>
          </w:tcPr>
          <w:p w14:paraId="02DC7049" w14:textId="77777777" w:rsidR="00A81C4F" w:rsidRPr="009C5ED7" w:rsidRDefault="00A81C4F" w:rsidP="00F84BBB">
            <w:pPr>
              <w:pStyle w:val="Normal-table"/>
              <w:cnfStyle w:val="000000000000" w:firstRow="0" w:lastRow="0" w:firstColumn="0" w:lastColumn="0" w:oddVBand="0" w:evenVBand="0" w:oddHBand="0" w:evenHBand="0" w:firstRowFirstColumn="0" w:firstRowLastColumn="0" w:lastRowFirstColumn="0" w:lastRowLastColumn="0"/>
            </w:pPr>
            <w:r w:rsidRPr="009C5ED7">
              <w:t xml:space="preserve">27,274,750 </w:t>
            </w:r>
          </w:p>
        </w:tc>
      </w:tr>
      <w:tr w:rsidR="00A81C4F" w14:paraId="62862EA0" w14:textId="77777777" w:rsidTr="00F84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00E7C486" w14:textId="77777777" w:rsidR="00A81C4F" w:rsidRPr="009C5ED7" w:rsidRDefault="00A81C4F" w:rsidP="00F84BBB">
            <w:pPr>
              <w:pStyle w:val="Normal-table"/>
            </w:pPr>
            <w:r w:rsidRPr="009C5ED7">
              <w:t>Cavbus Pty Ltd ACN 096 924 677 t/a Logan Coaches</w:t>
            </w:r>
          </w:p>
        </w:tc>
        <w:tc>
          <w:tcPr>
            <w:tcW w:w="1370" w:type="pct"/>
          </w:tcPr>
          <w:p w14:paraId="566B0406" w14:textId="77777777" w:rsidR="00A81C4F" w:rsidRPr="009C5ED7" w:rsidRDefault="00A81C4F" w:rsidP="00F84BBB">
            <w:pPr>
              <w:pStyle w:val="Normal-table"/>
              <w:cnfStyle w:val="000000100000" w:firstRow="0" w:lastRow="0" w:firstColumn="0" w:lastColumn="0" w:oddVBand="0" w:evenVBand="0" w:oddHBand="1" w:evenHBand="0" w:firstRowFirstColumn="0" w:firstRowLastColumn="0" w:lastRowFirstColumn="0" w:lastRowLastColumn="0"/>
            </w:pPr>
            <w:r w:rsidRPr="009C5ED7">
              <w:t xml:space="preserve">594,013 </w:t>
            </w:r>
          </w:p>
        </w:tc>
      </w:tr>
      <w:tr w:rsidR="00A81C4F" w14:paraId="322DE25F" w14:textId="77777777" w:rsidTr="00F84BB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50B78A43" w14:textId="77777777" w:rsidR="00A81C4F" w:rsidRPr="009C5ED7" w:rsidRDefault="00A81C4F" w:rsidP="00F84BBB">
            <w:pPr>
              <w:pStyle w:val="Normal-table"/>
            </w:pPr>
          </w:p>
        </w:tc>
        <w:tc>
          <w:tcPr>
            <w:tcW w:w="1370" w:type="pct"/>
          </w:tcPr>
          <w:p w14:paraId="2C4019E3" w14:textId="77777777" w:rsidR="00A81C4F" w:rsidRPr="009C5ED7" w:rsidRDefault="00A81C4F" w:rsidP="00F84BBB">
            <w:pPr>
              <w:pStyle w:val="Normal-table"/>
              <w:cnfStyle w:val="010000000000" w:firstRow="0" w:lastRow="1" w:firstColumn="0" w:lastColumn="0" w:oddVBand="0" w:evenVBand="0" w:oddHBand="0" w:evenHBand="0" w:firstRowFirstColumn="0" w:firstRowLastColumn="0" w:lastRowFirstColumn="0" w:lastRowLastColumn="0"/>
            </w:pPr>
            <w:r w:rsidRPr="009C5ED7">
              <w:t>$703,524,132</w:t>
            </w:r>
          </w:p>
        </w:tc>
      </w:tr>
    </w:tbl>
    <w:p w14:paraId="5BCD0E1B" w14:textId="77777777" w:rsidR="00093FB8" w:rsidRDefault="00093FB8">
      <w:pPr>
        <w:spacing w:before="0" w:after="160" w:line="259" w:lineRule="auto"/>
        <w:rPr>
          <w:rFonts w:eastAsiaTheme="majorEastAsia" w:cstheme="majorBidi"/>
          <w:iCs/>
          <w:color w:val="0D0D0D" w:themeColor="text1" w:themeTint="F2"/>
          <w:sz w:val="24"/>
        </w:rPr>
      </w:pPr>
      <w:r>
        <w:br w:type="page"/>
      </w:r>
    </w:p>
    <w:p w14:paraId="5B91AFD3" w14:textId="3D64B6FE" w:rsidR="00A81C4F" w:rsidRDefault="00A81C4F" w:rsidP="00A81C4F">
      <w:pPr>
        <w:pStyle w:val="Heading4"/>
      </w:pPr>
      <w:r>
        <w:lastRenderedPageBreak/>
        <w:t>Ferry</w:t>
      </w:r>
    </w:p>
    <w:p w14:paraId="7F131E4B" w14:textId="77777777" w:rsidR="00A81C4F" w:rsidRDefault="00A81C4F" w:rsidP="00A81C4F">
      <w:pPr>
        <w:pStyle w:val="TableofFigures"/>
      </w:pPr>
      <w:r>
        <w:t>Table 62: Passenger transport operator payments: South East Queensland—Ferry</w:t>
      </w:r>
    </w:p>
    <w:p w14:paraId="1B7E31FD" w14:textId="77777777" w:rsidR="00A81C4F" w:rsidRDefault="00A81C4F" w:rsidP="00A81C4F">
      <w:pPr>
        <w:pStyle w:val="Caption"/>
      </w:pPr>
      <w:r>
        <w:t xml:space="preserve">Payments are for the period of 1 July 2022 to 30 June 2023 and are GST exclusive </w:t>
      </w:r>
    </w:p>
    <w:tbl>
      <w:tblPr>
        <w:tblStyle w:val="GridTable4-Accent1"/>
        <w:tblW w:w="5000" w:type="pct"/>
        <w:tblLook w:val="04E0" w:firstRow="1" w:lastRow="1" w:firstColumn="1" w:lastColumn="0" w:noHBand="0" w:noVBand="1"/>
      </w:tblPr>
      <w:tblGrid>
        <w:gridCol w:w="7591"/>
        <w:gridCol w:w="2865"/>
      </w:tblGrid>
      <w:tr w:rsidR="00A81C4F" w14:paraId="7539F612" w14:textId="77777777" w:rsidTr="00F84B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30" w:type="pct"/>
          </w:tcPr>
          <w:p w14:paraId="53506B6F" w14:textId="77777777" w:rsidR="00A81C4F" w:rsidRDefault="00A81C4F" w:rsidP="00F84BBB">
            <w:pPr>
              <w:pStyle w:val="Normal-table"/>
            </w:pPr>
            <w:r>
              <w:t>Operator</w:t>
            </w:r>
          </w:p>
        </w:tc>
        <w:tc>
          <w:tcPr>
            <w:tcW w:w="1370" w:type="pct"/>
          </w:tcPr>
          <w:p w14:paraId="4F3667D3" w14:textId="77777777" w:rsidR="00A81C4F" w:rsidRDefault="00A81C4F" w:rsidP="00F84BBB">
            <w:pPr>
              <w:pStyle w:val="Normal-table"/>
              <w:cnfStyle w:val="100000000000" w:firstRow="1" w:lastRow="0" w:firstColumn="0" w:lastColumn="0" w:oddVBand="0" w:evenVBand="0" w:oddHBand="0" w:evenHBand="0" w:firstRowFirstColumn="0" w:firstRowLastColumn="0" w:lastRowFirstColumn="0" w:lastRowLastColumn="0"/>
            </w:pPr>
            <w:r>
              <w:t>$ Amount 2022–23</w:t>
            </w:r>
          </w:p>
        </w:tc>
      </w:tr>
      <w:tr w:rsidR="00A81C4F" w14:paraId="74D68F16" w14:textId="77777777" w:rsidTr="00F84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4BA20A5F" w14:textId="77777777" w:rsidR="00A81C4F" w:rsidRPr="00976FD5" w:rsidRDefault="00A81C4F" w:rsidP="00F84BBB">
            <w:pPr>
              <w:pStyle w:val="Normal-table"/>
            </w:pPr>
            <w:r w:rsidRPr="00976FD5">
              <w:t>Brisbane City Council (Transport for Brisbane) ABN 72 002 765 795</w:t>
            </w:r>
          </w:p>
        </w:tc>
        <w:tc>
          <w:tcPr>
            <w:tcW w:w="1370" w:type="pct"/>
          </w:tcPr>
          <w:p w14:paraId="2274C5D7" w14:textId="77777777" w:rsidR="00A81C4F" w:rsidRPr="00976FD5" w:rsidRDefault="00A81C4F" w:rsidP="00F84BBB">
            <w:pPr>
              <w:pStyle w:val="Normal-table"/>
              <w:cnfStyle w:val="000000100000" w:firstRow="0" w:lastRow="0" w:firstColumn="0" w:lastColumn="0" w:oddVBand="0" w:evenVBand="0" w:oddHBand="1" w:evenHBand="0" w:firstRowFirstColumn="0" w:firstRowLastColumn="0" w:lastRowFirstColumn="0" w:lastRowLastColumn="0"/>
            </w:pPr>
            <w:r w:rsidRPr="00976FD5">
              <w:t xml:space="preserve">23,410,625 </w:t>
            </w:r>
          </w:p>
        </w:tc>
      </w:tr>
      <w:tr w:rsidR="00A81C4F" w14:paraId="09255478" w14:textId="77777777" w:rsidTr="00F84BBB">
        <w:tc>
          <w:tcPr>
            <w:cnfStyle w:val="001000000000" w:firstRow="0" w:lastRow="0" w:firstColumn="1" w:lastColumn="0" w:oddVBand="0" w:evenVBand="0" w:oddHBand="0" w:evenHBand="0" w:firstRowFirstColumn="0" w:firstRowLastColumn="0" w:lastRowFirstColumn="0" w:lastRowLastColumn="0"/>
            <w:tcW w:w="3630" w:type="pct"/>
          </w:tcPr>
          <w:p w14:paraId="663C31DB" w14:textId="77777777" w:rsidR="00A81C4F" w:rsidRPr="00976FD5" w:rsidRDefault="00A81C4F" w:rsidP="00F84BBB">
            <w:pPr>
              <w:pStyle w:val="Normal-table"/>
            </w:pPr>
            <w:r w:rsidRPr="00976FD5">
              <w:t>Amity Trader Pty Ltd ACN 38 951 090 375 atf the trustee for the Scorpio Trust t/a Coochiemudlo Island Ferry Service</w:t>
            </w:r>
          </w:p>
        </w:tc>
        <w:tc>
          <w:tcPr>
            <w:tcW w:w="1370" w:type="pct"/>
          </w:tcPr>
          <w:p w14:paraId="2E5189EF" w14:textId="77777777" w:rsidR="00A81C4F" w:rsidRPr="00976FD5" w:rsidRDefault="00A81C4F" w:rsidP="00F84BBB">
            <w:pPr>
              <w:pStyle w:val="Normal-table"/>
              <w:cnfStyle w:val="000000000000" w:firstRow="0" w:lastRow="0" w:firstColumn="0" w:lastColumn="0" w:oddVBand="0" w:evenVBand="0" w:oddHBand="0" w:evenHBand="0" w:firstRowFirstColumn="0" w:firstRowLastColumn="0" w:lastRowFirstColumn="0" w:lastRowLastColumn="0"/>
            </w:pPr>
            <w:r w:rsidRPr="00976FD5">
              <w:t xml:space="preserve">341,922 </w:t>
            </w:r>
          </w:p>
        </w:tc>
      </w:tr>
      <w:tr w:rsidR="00A81C4F" w14:paraId="170D8078" w14:textId="77777777" w:rsidTr="00F84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78262D5F" w14:textId="77777777" w:rsidR="00A81C4F" w:rsidRPr="00976FD5" w:rsidRDefault="00A81C4F" w:rsidP="00F84BBB">
            <w:pPr>
              <w:pStyle w:val="Normal-table"/>
            </w:pPr>
            <w:r w:rsidRPr="00976FD5">
              <w:t>Kellstar Pty Ltd ACN 073 449 439 t/a Stradbroke Flyer</w:t>
            </w:r>
          </w:p>
        </w:tc>
        <w:tc>
          <w:tcPr>
            <w:tcW w:w="1370" w:type="pct"/>
          </w:tcPr>
          <w:p w14:paraId="6BA7950A" w14:textId="77777777" w:rsidR="00A81C4F" w:rsidRPr="00976FD5" w:rsidRDefault="00A81C4F" w:rsidP="00F84BBB">
            <w:pPr>
              <w:pStyle w:val="Normal-table"/>
              <w:cnfStyle w:val="000000100000" w:firstRow="0" w:lastRow="0" w:firstColumn="0" w:lastColumn="0" w:oddVBand="0" w:evenVBand="0" w:oddHBand="1" w:evenHBand="0" w:firstRowFirstColumn="0" w:firstRowLastColumn="0" w:lastRowFirstColumn="0" w:lastRowLastColumn="0"/>
            </w:pPr>
            <w:r w:rsidRPr="00976FD5">
              <w:t xml:space="preserve">1,158,975 </w:t>
            </w:r>
          </w:p>
        </w:tc>
      </w:tr>
      <w:tr w:rsidR="00A81C4F" w14:paraId="64F9A239" w14:textId="77777777" w:rsidTr="00F84BBB">
        <w:tc>
          <w:tcPr>
            <w:cnfStyle w:val="001000000000" w:firstRow="0" w:lastRow="0" w:firstColumn="1" w:lastColumn="0" w:oddVBand="0" w:evenVBand="0" w:oddHBand="0" w:evenHBand="0" w:firstRowFirstColumn="0" w:firstRowLastColumn="0" w:lastRowFirstColumn="0" w:lastRowLastColumn="0"/>
            <w:tcW w:w="3630" w:type="pct"/>
          </w:tcPr>
          <w:p w14:paraId="7C063B5B" w14:textId="77777777" w:rsidR="00A81C4F" w:rsidRPr="00976FD5" w:rsidRDefault="00A81C4F" w:rsidP="00F84BBB">
            <w:pPr>
              <w:pStyle w:val="Normal-table"/>
            </w:pPr>
            <w:r w:rsidRPr="00976FD5">
              <w:t>Stradbroke Ferries Pty Ltd ACN 009 725 713</w:t>
            </w:r>
          </w:p>
        </w:tc>
        <w:tc>
          <w:tcPr>
            <w:tcW w:w="1370" w:type="pct"/>
          </w:tcPr>
          <w:p w14:paraId="16200201" w14:textId="77777777" w:rsidR="00A81C4F" w:rsidRPr="00976FD5" w:rsidRDefault="00A81C4F" w:rsidP="00F84BBB">
            <w:pPr>
              <w:pStyle w:val="Normal-table"/>
              <w:cnfStyle w:val="000000000000" w:firstRow="0" w:lastRow="0" w:firstColumn="0" w:lastColumn="0" w:oddVBand="0" w:evenVBand="0" w:oddHBand="0" w:evenHBand="0" w:firstRowFirstColumn="0" w:firstRowLastColumn="0" w:lastRowFirstColumn="0" w:lastRowLastColumn="0"/>
            </w:pPr>
            <w:r w:rsidRPr="00976FD5">
              <w:t xml:space="preserve">1,008,720 </w:t>
            </w:r>
          </w:p>
        </w:tc>
      </w:tr>
      <w:tr w:rsidR="00A81C4F" w14:paraId="31FE3DBB" w14:textId="77777777" w:rsidTr="00F84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57D157F2" w14:textId="77777777" w:rsidR="00A81C4F" w:rsidRPr="00976FD5" w:rsidRDefault="00A81C4F" w:rsidP="00F84BBB">
            <w:pPr>
              <w:pStyle w:val="Normal-table"/>
            </w:pPr>
            <w:r w:rsidRPr="00976FD5">
              <w:t>Bits Assets Pty Ltd ACN 54 108 661 945</w:t>
            </w:r>
          </w:p>
        </w:tc>
        <w:tc>
          <w:tcPr>
            <w:tcW w:w="1370" w:type="pct"/>
          </w:tcPr>
          <w:p w14:paraId="1527C6B1" w14:textId="77777777" w:rsidR="00A81C4F" w:rsidRPr="00976FD5" w:rsidRDefault="00A81C4F" w:rsidP="00F84BBB">
            <w:pPr>
              <w:pStyle w:val="Normal-table"/>
              <w:cnfStyle w:val="000000100000" w:firstRow="0" w:lastRow="0" w:firstColumn="0" w:lastColumn="0" w:oddVBand="0" w:evenVBand="0" w:oddHBand="1" w:evenHBand="0" w:firstRowFirstColumn="0" w:firstRowLastColumn="0" w:lastRowFirstColumn="0" w:lastRowLastColumn="0"/>
            </w:pPr>
            <w:r w:rsidRPr="00976FD5">
              <w:t xml:space="preserve">9,707,417 </w:t>
            </w:r>
          </w:p>
        </w:tc>
      </w:tr>
      <w:tr w:rsidR="00A81C4F" w14:paraId="429445E6" w14:textId="77777777" w:rsidTr="00F84BB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01930914" w14:textId="77777777" w:rsidR="00A81C4F" w:rsidRPr="00976FD5" w:rsidRDefault="00A81C4F" w:rsidP="00F84BBB">
            <w:pPr>
              <w:pStyle w:val="Normal-table"/>
            </w:pPr>
          </w:p>
        </w:tc>
        <w:tc>
          <w:tcPr>
            <w:tcW w:w="1370" w:type="pct"/>
          </w:tcPr>
          <w:p w14:paraId="00CFE517" w14:textId="77777777" w:rsidR="00A81C4F" w:rsidRPr="00976FD5" w:rsidRDefault="00A81C4F" w:rsidP="00F84BBB">
            <w:pPr>
              <w:pStyle w:val="Normal-table"/>
              <w:cnfStyle w:val="010000000000" w:firstRow="0" w:lastRow="1" w:firstColumn="0" w:lastColumn="0" w:oddVBand="0" w:evenVBand="0" w:oddHBand="0" w:evenHBand="0" w:firstRowFirstColumn="0" w:firstRowLastColumn="0" w:lastRowFirstColumn="0" w:lastRowLastColumn="0"/>
            </w:pPr>
            <w:r w:rsidRPr="00976FD5">
              <w:t>$35,627,659</w:t>
            </w:r>
          </w:p>
        </w:tc>
      </w:tr>
    </w:tbl>
    <w:p w14:paraId="39E2A502" w14:textId="77777777" w:rsidR="00A81C4F" w:rsidRDefault="00A81C4F" w:rsidP="00A81C4F">
      <w:pPr>
        <w:pStyle w:val="Heading4"/>
      </w:pPr>
      <w:r>
        <w:t>Citytrain</w:t>
      </w:r>
    </w:p>
    <w:p w14:paraId="46E0FDCA" w14:textId="77777777" w:rsidR="00A81C4F" w:rsidRDefault="00A81C4F" w:rsidP="00A81C4F">
      <w:pPr>
        <w:pStyle w:val="TableofFigures"/>
      </w:pPr>
      <w:r>
        <w:t>Table 63: Passenger transport operator payments: South East Queensland—Citytrain</w:t>
      </w:r>
    </w:p>
    <w:p w14:paraId="407513D6" w14:textId="77777777" w:rsidR="00A81C4F" w:rsidRDefault="00A81C4F" w:rsidP="00A81C4F">
      <w:pPr>
        <w:pStyle w:val="Caption"/>
      </w:pPr>
      <w:r>
        <w:t xml:space="preserve">Payments are for the period of 1 July 2022 to 30 June 2023 and are GST exclusive </w:t>
      </w:r>
    </w:p>
    <w:tbl>
      <w:tblPr>
        <w:tblStyle w:val="GridTable4-Accent1"/>
        <w:tblW w:w="5000" w:type="pct"/>
        <w:tblLook w:val="0020" w:firstRow="1" w:lastRow="0" w:firstColumn="0" w:lastColumn="0" w:noHBand="0" w:noVBand="0"/>
      </w:tblPr>
      <w:tblGrid>
        <w:gridCol w:w="7591"/>
        <w:gridCol w:w="2865"/>
      </w:tblGrid>
      <w:tr w:rsidR="00A81C4F" w14:paraId="79127C24" w14:textId="77777777" w:rsidTr="00F84BBB">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3630" w:type="pct"/>
          </w:tcPr>
          <w:p w14:paraId="6686D055" w14:textId="77777777" w:rsidR="00A81C4F" w:rsidRDefault="00A81C4F" w:rsidP="00F84BBB">
            <w:pPr>
              <w:pStyle w:val="Normal-table"/>
            </w:pPr>
            <w:r>
              <w:t>Operator</w:t>
            </w:r>
          </w:p>
        </w:tc>
        <w:tc>
          <w:tcPr>
            <w:tcW w:w="1370" w:type="pct"/>
          </w:tcPr>
          <w:p w14:paraId="5CF333AE" w14:textId="77777777" w:rsidR="00A81C4F" w:rsidRDefault="00A81C4F" w:rsidP="00F84BBB">
            <w:pPr>
              <w:pStyle w:val="Normal-table"/>
              <w:cnfStyle w:val="100000000000" w:firstRow="1" w:lastRow="0" w:firstColumn="0" w:lastColumn="0" w:oddVBand="0" w:evenVBand="0" w:oddHBand="0" w:evenHBand="0" w:firstRowFirstColumn="0" w:firstRowLastColumn="0" w:lastRowFirstColumn="0" w:lastRowLastColumn="0"/>
            </w:pPr>
            <w:r>
              <w:t>$ Amount 2022–23</w:t>
            </w:r>
          </w:p>
        </w:tc>
      </w:tr>
      <w:tr w:rsidR="00A81C4F" w14:paraId="45223D7F" w14:textId="77777777" w:rsidTr="00F84BB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30" w:type="pct"/>
          </w:tcPr>
          <w:p w14:paraId="55315A6D" w14:textId="77777777" w:rsidR="00A81C4F" w:rsidRPr="00976FD5" w:rsidRDefault="00A81C4F" w:rsidP="00F84BBB">
            <w:pPr>
              <w:pStyle w:val="Normal-table"/>
            </w:pPr>
            <w:r w:rsidRPr="00976FD5">
              <w:t>Queensland Rail Limited ACN 132 181 090</w:t>
            </w:r>
          </w:p>
        </w:tc>
        <w:tc>
          <w:tcPr>
            <w:tcW w:w="1370" w:type="pct"/>
          </w:tcPr>
          <w:p w14:paraId="6166F06C" w14:textId="77777777" w:rsidR="00A81C4F" w:rsidRPr="00976FD5" w:rsidRDefault="00A81C4F" w:rsidP="00F84BBB">
            <w:pPr>
              <w:pStyle w:val="Normal-table"/>
              <w:cnfStyle w:val="000000100000" w:firstRow="0" w:lastRow="0" w:firstColumn="0" w:lastColumn="0" w:oddVBand="0" w:evenVBand="0" w:oddHBand="1" w:evenHBand="0" w:firstRowFirstColumn="0" w:firstRowLastColumn="0" w:lastRowFirstColumn="0" w:lastRowLastColumn="0"/>
            </w:pPr>
            <w:r w:rsidRPr="00976FD5">
              <w:t xml:space="preserve">1,583,249,106 </w:t>
            </w:r>
          </w:p>
        </w:tc>
      </w:tr>
    </w:tbl>
    <w:p w14:paraId="403DCB57" w14:textId="77777777" w:rsidR="00A81C4F" w:rsidRDefault="00A81C4F" w:rsidP="00A81C4F">
      <w:pPr>
        <w:pStyle w:val="Heading4"/>
      </w:pPr>
      <w:r>
        <w:t>Rail replacement bus services</w:t>
      </w:r>
    </w:p>
    <w:p w14:paraId="1DAEACF0" w14:textId="77777777" w:rsidR="00A81C4F" w:rsidRDefault="00A81C4F" w:rsidP="00A81C4F">
      <w:pPr>
        <w:pStyle w:val="TableofFigures"/>
      </w:pPr>
      <w:r>
        <w:t>Table 64: Passenger transport operator payments: South East Queensland—</w:t>
      </w:r>
      <w:r w:rsidRPr="009C5ED7">
        <w:t>Rail replacement bus services</w:t>
      </w:r>
    </w:p>
    <w:p w14:paraId="512D2EFB" w14:textId="77777777" w:rsidR="00A81C4F" w:rsidRDefault="00A81C4F" w:rsidP="00A81C4F">
      <w:pPr>
        <w:pStyle w:val="Caption"/>
      </w:pPr>
      <w:r>
        <w:t xml:space="preserve">Payments are for the period of 1 July 2022 to 30 June 2023 and are GST exclusive </w:t>
      </w:r>
    </w:p>
    <w:tbl>
      <w:tblPr>
        <w:tblStyle w:val="GridTable4-Accent1"/>
        <w:tblW w:w="5000" w:type="pct"/>
        <w:tblLook w:val="04E0" w:firstRow="1" w:lastRow="1" w:firstColumn="1" w:lastColumn="0" w:noHBand="0" w:noVBand="1"/>
      </w:tblPr>
      <w:tblGrid>
        <w:gridCol w:w="7591"/>
        <w:gridCol w:w="2865"/>
      </w:tblGrid>
      <w:tr w:rsidR="00A81C4F" w14:paraId="7678936D" w14:textId="77777777" w:rsidTr="00F84B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30" w:type="pct"/>
          </w:tcPr>
          <w:p w14:paraId="4D702B13" w14:textId="77777777" w:rsidR="00A81C4F" w:rsidRDefault="00A81C4F" w:rsidP="00F84BBB">
            <w:pPr>
              <w:pStyle w:val="Normal-table"/>
            </w:pPr>
            <w:r>
              <w:t>Operator</w:t>
            </w:r>
          </w:p>
        </w:tc>
        <w:tc>
          <w:tcPr>
            <w:tcW w:w="1370" w:type="pct"/>
          </w:tcPr>
          <w:p w14:paraId="63315436" w14:textId="77777777" w:rsidR="00A81C4F" w:rsidRDefault="00A81C4F" w:rsidP="00F84BBB">
            <w:pPr>
              <w:pStyle w:val="Normal-table"/>
              <w:cnfStyle w:val="100000000000" w:firstRow="1" w:lastRow="0" w:firstColumn="0" w:lastColumn="0" w:oddVBand="0" w:evenVBand="0" w:oddHBand="0" w:evenHBand="0" w:firstRowFirstColumn="0" w:firstRowLastColumn="0" w:lastRowFirstColumn="0" w:lastRowLastColumn="0"/>
            </w:pPr>
            <w:r>
              <w:t>$ Amount 2022–23</w:t>
            </w:r>
          </w:p>
        </w:tc>
      </w:tr>
      <w:tr w:rsidR="00A81C4F" w14:paraId="34FCFFBC" w14:textId="77777777" w:rsidTr="00F84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0ABCA773" w14:textId="77777777" w:rsidR="00A81C4F" w:rsidRPr="00976FD5" w:rsidRDefault="00A81C4F" w:rsidP="00F84BBB">
            <w:pPr>
              <w:pStyle w:val="Normal-table"/>
            </w:pPr>
            <w:r w:rsidRPr="00976FD5">
              <w:t>S &amp; S Webster Investments Pty Ltd ACN 004 804 497 t/a Kangaroo Bus Lines</w:t>
            </w:r>
          </w:p>
        </w:tc>
        <w:tc>
          <w:tcPr>
            <w:tcW w:w="1370" w:type="pct"/>
          </w:tcPr>
          <w:p w14:paraId="02709B28" w14:textId="77777777" w:rsidR="00A81C4F" w:rsidRPr="00976FD5" w:rsidRDefault="00A81C4F" w:rsidP="00F84BBB">
            <w:pPr>
              <w:pStyle w:val="Normal-table"/>
              <w:cnfStyle w:val="000000100000" w:firstRow="0" w:lastRow="0" w:firstColumn="0" w:lastColumn="0" w:oddVBand="0" w:evenVBand="0" w:oddHBand="1" w:evenHBand="0" w:firstRowFirstColumn="0" w:firstRowLastColumn="0" w:lastRowFirstColumn="0" w:lastRowLastColumn="0"/>
            </w:pPr>
            <w:r w:rsidRPr="00976FD5">
              <w:t xml:space="preserve"> 2,769,232 </w:t>
            </w:r>
          </w:p>
        </w:tc>
      </w:tr>
      <w:tr w:rsidR="00A81C4F" w14:paraId="3FEEF57D" w14:textId="77777777" w:rsidTr="00F84BBB">
        <w:tc>
          <w:tcPr>
            <w:cnfStyle w:val="001000000000" w:firstRow="0" w:lastRow="0" w:firstColumn="1" w:lastColumn="0" w:oddVBand="0" w:evenVBand="0" w:oddHBand="0" w:evenHBand="0" w:firstRowFirstColumn="0" w:firstRowLastColumn="0" w:lastRowFirstColumn="0" w:lastRowLastColumn="0"/>
            <w:tcW w:w="3630" w:type="pct"/>
          </w:tcPr>
          <w:p w14:paraId="68EB9D99" w14:textId="77777777" w:rsidR="00A81C4F" w:rsidRPr="00976FD5" w:rsidRDefault="00A81C4F" w:rsidP="00F84BBB">
            <w:pPr>
              <w:pStyle w:val="Normal-table"/>
            </w:pPr>
            <w:r w:rsidRPr="00976FD5">
              <w:t>GK &amp; JM Thompson Pty Ltd ACN 064 465 176 t/a Thompson Bus Services</w:t>
            </w:r>
          </w:p>
        </w:tc>
        <w:tc>
          <w:tcPr>
            <w:tcW w:w="1370" w:type="pct"/>
          </w:tcPr>
          <w:p w14:paraId="3209E04F" w14:textId="77777777" w:rsidR="00A81C4F" w:rsidRPr="00976FD5" w:rsidRDefault="00A81C4F" w:rsidP="00F84BBB">
            <w:pPr>
              <w:pStyle w:val="Normal-table"/>
              <w:cnfStyle w:val="000000000000" w:firstRow="0" w:lastRow="0" w:firstColumn="0" w:lastColumn="0" w:oddVBand="0" w:evenVBand="0" w:oddHBand="0" w:evenHBand="0" w:firstRowFirstColumn="0" w:firstRowLastColumn="0" w:lastRowFirstColumn="0" w:lastRowLastColumn="0"/>
            </w:pPr>
            <w:r w:rsidRPr="00976FD5">
              <w:t xml:space="preserve"> 12,932,535 </w:t>
            </w:r>
          </w:p>
        </w:tc>
      </w:tr>
      <w:tr w:rsidR="00A81C4F" w14:paraId="4DE54519" w14:textId="77777777" w:rsidTr="00F84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4D4C9E7E" w14:textId="77777777" w:rsidR="00A81C4F" w:rsidRPr="00976FD5" w:rsidRDefault="00A81C4F" w:rsidP="00F84BBB">
            <w:pPr>
              <w:pStyle w:val="Normal-table"/>
            </w:pPr>
            <w:r w:rsidRPr="00976FD5">
              <w:t>Yellow Cabs Australia Pty Ltd ACN 620 658 871</w:t>
            </w:r>
          </w:p>
        </w:tc>
        <w:tc>
          <w:tcPr>
            <w:tcW w:w="1370" w:type="pct"/>
          </w:tcPr>
          <w:p w14:paraId="0F6918B3" w14:textId="77777777" w:rsidR="00A81C4F" w:rsidRPr="00976FD5" w:rsidRDefault="00A81C4F" w:rsidP="00F84BBB">
            <w:pPr>
              <w:pStyle w:val="Normal-table"/>
              <w:cnfStyle w:val="000000100000" w:firstRow="0" w:lastRow="0" w:firstColumn="0" w:lastColumn="0" w:oddVBand="0" w:evenVBand="0" w:oddHBand="1" w:evenHBand="0" w:firstRowFirstColumn="0" w:firstRowLastColumn="0" w:lastRowFirstColumn="0" w:lastRowLastColumn="0"/>
            </w:pPr>
            <w:r w:rsidRPr="00976FD5">
              <w:t xml:space="preserve"> 14,608 </w:t>
            </w:r>
          </w:p>
        </w:tc>
      </w:tr>
      <w:tr w:rsidR="00A81C4F" w14:paraId="270ACE0A" w14:textId="77777777" w:rsidTr="00F84BBB">
        <w:tc>
          <w:tcPr>
            <w:cnfStyle w:val="001000000000" w:firstRow="0" w:lastRow="0" w:firstColumn="1" w:lastColumn="0" w:oddVBand="0" w:evenVBand="0" w:oddHBand="0" w:evenHBand="0" w:firstRowFirstColumn="0" w:firstRowLastColumn="0" w:lastRowFirstColumn="0" w:lastRowLastColumn="0"/>
            <w:tcW w:w="3630" w:type="pct"/>
          </w:tcPr>
          <w:p w14:paraId="6F98A127" w14:textId="77777777" w:rsidR="00A81C4F" w:rsidRPr="00976FD5" w:rsidRDefault="00A81C4F" w:rsidP="00F84BBB">
            <w:pPr>
              <w:pStyle w:val="Normal-table"/>
            </w:pPr>
            <w:r w:rsidRPr="00976FD5">
              <w:t>Black &amp; White Cabs Pty Ltd ACN 054 497 353</w:t>
            </w:r>
          </w:p>
        </w:tc>
        <w:tc>
          <w:tcPr>
            <w:tcW w:w="1370" w:type="pct"/>
          </w:tcPr>
          <w:p w14:paraId="4D6B4389" w14:textId="77777777" w:rsidR="00A81C4F" w:rsidRPr="00976FD5" w:rsidRDefault="00A81C4F" w:rsidP="00F84BBB">
            <w:pPr>
              <w:pStyle w:val="Normal-table"/>
              <w:cnfStyle w:val="000000000000" w:firstRow="0" w:lastRow="0" w:firstColumn="0" w:lastColumn="0" w:oddVBand="0" w:evenVBand="0" w:oddHBand="0" w:evenHBand="0" w:firstRowFirstColumn="0" w:firstRowLastColumn="0" w:lastRowFirstColumn="0" w:lastRowLastColumn="0"/>
            </w:pPr>
            <w:r w:rsidRPr="00976FD5">
              <w:t xml:space="preserve"> 2346 </w:t>
            </w:r>
          </w:p>
        </w:tc>
      </w:tr>
      <w:tr w:rsidR="00A81C4F" w14:paraId="217250A4" w14:textId="77777777" w:rsidTr="00F84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648F255B" w14:textId="77777777" w:rsidR="00A81C4F" w:rsidRPr="00976FD5" w:rsidRDefault="00A81C4F" w:rsidP="00F84BBB">
            <w:pPr>
              <w:pStyle w:val="Normal-table"/>
            </w:pPr>
            <w:r w:rsidRPr="00976FD5">
              <w:t>Suncoast Cabs Ltd ACN 010 183 892</w:t>
            </w:r>
          </w:p>
        </w:tc>
        <w:tc>
          <w:tcPr>
            <w:tcW w:w="1370" w:type="pct"/>
          </w:tcPr>
          <w:p w14:paraId="6298F816" w14:textId="77777777" w:rsidR="00A81C4F" w:rsidRPr="00976FD5" w:rsidRDefault="00A81C4F" w:rsidP="00F84BBB">
            <w:pPr>
              <w:pStyle w:val="Normal-table"/>
              <w:cnfStyle w:val="000000100000" w:firstRow="0" w:lastRow="0" w:firstColumn="0" w:lastColumn="0" w:oddVBand="0" w:evenVBand="0" w:oddHBand="1" w:evenHBand="0" w:firstRowFirstColumn="0" w:firstRowLastColumn="0" w:lastRowFirstColumn="0" w:lastRowLastColumn="0"/>
            </w:pPr>
            <w:r w:rsidRPr="00976FD5">
              <w:t xml:space="preserve"> 2928 </w:t>
            </w:r>
          </w:p>
        </w:tc>
      </w:tr>
      <w:tr w:rsidR="00A81C4F" w14:paraId="6C187BA7" w14:textId="77777777" w:rsidTr="00F84BBB">
        <w:tc>
          <w:tcPr>
            <w:cnfStyle w:val="001000000000" w:firstRow="0" w:lastRow="0" w:firstColumn="1" w:lastColumn="0" w:oddVBand="0" w:evenVBand="0" w:oddHBand="0" w:evenHBand="0" w:firstRowFirstColumn="0" w:firstRowLastColumn="0" w:lastRowFirstColumn="0" w:lastRowLastColumn="0"/>
            <w:tcW w:w="3630" w:type="pct"/>
          </w:tcPr>
          <w:p w14:paraId="398C6597" w14:textId="77777777" w:rsidR="00A81C4F" w:rsidRPr="00976FD5" w:rsidRDefault="00A81C4F" w:rsidP="00F84BBB">
            <w:pPr>
              <w:pStyle w:val="Normal-table"/>
            </w:pPr>
            <w:r w:rsidRPr="00976FD5">
              <w:t>Mt Gravatt Coach &amp; Travel Pty Ltd ACN 052 452 025</w:t>
            </w:r>
          </w:p>
        </w:tc>
        <w:tc>
          <w:tcPr>
            <w:tcW w:w="1370" w:type="pct"/>
          </w:tcPr>
          <w:p w14:paraId="5A222CAB" w14:textId="77777777" w:rsidR="00A81C4F" w:rsidRPr="00976FD5" w:rsidRDefault="00A81C4F" w:rsidP="00F84BBB">
            <w:pPr>
              <w:pStyle w:val="Normal-table"/>
              <w:cnfStyle w:val="000000000000" w:firstRow="0" w:lastRow="0" w:firstColumn="0" w:lastColumn="0" w:oddVBand="0" w:evenVBand="0" w:oddHBand="0" w:evenHBand="0" w:firstRowFirstColumn="0" w:firstRowLastColumn="0" w:lastRowFirstColumn="0" w:lastRowLastColumn="0"/>
            </w:pPr>
            <w:r w:rsidRPr="00976FD5">
              <w:t xml:space="preserve"> 489,770 </w:t>
            </w:r>
          </w:p>
        </w:tc>
      </w:tr>
      <w:tr w:rsidR="00A81C4F" w14:paraId="4B3F488F" w14:textId="77777777" w:rsidTr="00F84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024CA637" w14:textId="77777777" w:rsidR="00A81C4F" w:rsidRPr="00976FD5" w:rsidRDefault="00A81C4F" w:rsidP="00F84BBB">
            <w:pPr>
              <w:pStyle w:val="Normal-table"/>
            </w:pPr>
            <w:r w:rsidRPr="00976FD5">
              <w:t>Transdev Queensland ACN 087 046 044</w:t>
            </w:r>
          </w:p>
        </w:tc>
        <w:tc>
          <w:tcPr>
            <w:tcW w:w="1370" w:type="pct"/>
          </w:tcPr>
          <w:p w14:paraId="519138DD" w14:textId="77777777" w:rsidR="00A81C4F" w:rsidRPr="00976FD5" w:rsidRDefault="00A81C4F" w:rsidP="00F84BBB">
            <w:pPr>
              <w:pStyle w:val="Normal-table"/>
              <w:cnfStyle w:val="000000100000" w:firstRow="0" w:lastRow="0" w:firstColumn="0" w:lastColumn="0" w:oddVBand="0" w:evenVBand="0" w:oddHBand="1" w:evenHBand="0" w:firstRowFirstColumn="0" w:firstRowLastColumn="0" w:lastRowFirstColumn="0" w:lastRowLastColumn="0"/>
            </w:pPr>
            <w:r w:rsidRPr="00976FD5">
              <w:t xml:space="preserve"> 1,356,331 </w:t>
            </w:r>
          </w:p>
        </w:tc>
      </w:tr>
      <w:tr w:rsidR="00A81C4F" w14:paraId="40B8242E" w14:textId="77777777" w:rsidTr="00F84BBB">
        <w:tc>
          <w:tcPr>
            <w:cnfStyle w:val="001000000000" w:firstRow="0" w:lastRow="0" w:firstColumn="1" w:lastColumn="0" w:oddVBand="0" w:evenVBand="0" w:oddHBand="0" w:evenHBand="0" w:firstRowFirstColumn="0" w:firstRowLastColumn="0" w:lastRowFirstColumn="0" w:lastRowLastColumn="0"/>
            <w:tcW w:w="3630" w:type="pct"/>
          </w:tcPr>
          <w:p w14:paraId="55CF715C" w14:textId="77777777" w:rsidR="00A81C4F" w:rsidRPr="00976FD5" w:rsidRDefault="00A81C4F" w:rsidP="00F84BBB">
            <w:pPr>
              <w:pStyle w:val="Normal-table"/>
            </w:pPr>
            <w:r w:rsidRPr="00976FD5">
              <w:t>Hornibrook Bus Lines ACN 010 013 224</w:t>
            </w:r>
          </w:p>
        </w:tc>
        <w:tc>
          <w:tcPr>
            <w:tcW w:w="1370" w:type="pct"/>
          </w:tcPr>
          <w:p w14:paraId="123CC758" w14:textId="77777777" w:rsidR="00A81C4F" w:rsidRPr="00976FD5" w:rsidRDefault="00A81C4F" w:rsidP="00F84BBB">
            <w:pPr>
              <w:pStyle w:val="Normal-table"/>
              <w:cnfStyle w:val="000000000000" w:firstRow="0" w:lastRow="0" w:firstColumn="0" w:lastColumn="0" w:oddVBand="0" w:evenVBand="0" w:oddHBand="0" w:evenHBand="0" w:firstRowFirstColumn="0" w:firstRowLastColumn="0" w:lastRowFirstColumn="0" w:lastRowLastColumn="0"/>
            </w:pPr>
            <w:r w:rsidRPr="00976FD5">
              <w:t xml:space="preserve"> 445,451 </w:t>
            </w:r>
          </w:p>
        </w:tc>
      </w:tr>
      <w:tr w:rsidR="00A81C4F" w14:paraId="5A2E480C" w14:textId="77777777" w:rsidTr="00F84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7350CECD" w14:textId="77777777" w:rsidR="00A81C4F" w:rsidRPr="00976FD5" w:rsidRDefault="00A81C4F" w:rsidP="00F84BBB">
            <w:pPr>
              <w:pStyle w:val="Normal-table"/>
            </w:pPr>
            <w:r w:rsidRPr="00976FD5">
              <w:t>Surfside Buslines Pty Ltd ACN 010 957 552</w:t>
            </w:r>
          </w:p>
        </w:tc>
        <w:tc>
          <w:tcPr>
            <w:tcW w:w="1370" w:type="pct"/>
          </w:tcPr>
          <w:p w14:paraId="7E1A835B" w14:textId="77777777" w:rsidR="00A81C4F" w:rsidRPr="00976FD5" w:rsidRDefault="00A81C4F" w:rsidP="00F84BBB">
            <w:pPr>
              <w:pStyle w:val="Normal-table"/>
              <w:cnfStyle w:val="000000100000" w:firstRow="0" w:lastRow="0" w:firstColumn="0" w:lastColumn="0" w:oddVBand="0" w:evenVBand="0" w:oddHBand="1" w:evenHBand="0" w:firstRowFirstColumn="0" w:firstRowLastColumn="0" w:lastRowFirstColumn="0" w:lastRowLastColumn="0"/>
            </w:pPr>
            <w:r w:rsidRPr="00976FD5">
              <w:t xml:space="preserve"> 2,585,036 </w:t>
            </w:r>
          </w:p>
        </w:tc>
      </w:tr>
      <w:tr w:rsidR="00A81C4F" w14:paraId="2CF1C61C" w14:textId="77777777" w:rsidTr="00F84BBB">
        <w:tc>
          <w:tcPr>
            <w:cnfStyle w:val="001000000000" w:firstRow="0" w:lastRow="0" w:firstColumn="1" w:lastColumn="0" w:oddVBand="0" w:evenVBand="0" w:oddHBand="0" w:evenHBand="0" w:firstRowFirstColumn="0" w:firstRowLastColumn="0" w:lastRowFirstColumn="0" w:lastRowLastColumn="0"/>
            <w:tcW w:w="3630" w:type="pct"/>
          </w:tcPr>
          <w:p w14:paraId="3C8ED64B" w14:textId="77777777" w:rsidR="00A81C4F" w:rsidRPr="00976FD5" w:rsidRDefault="00A81C4F" w:rsidP="00F84BBB">
            <w:pPr>
              <w:pStyle w:val="Normal-table"/>
            </w:pPr>
            <w:r w:rsidRPr="00976FD5">
              <w:t>Brisbane City Council (Transport for Brisbane) ABN 72 002 765 795</w:t>
            </w:r>
          </w:p>
        </w:tc>
        <w:tc>
          <w:tcPr>
            <w:tcW w:w="1370" w:type="pct"/>
          </w:tcPr>
          <w:p w14:paraId="4EBFBE3B" w14:textId="77777777" w:rsidR="00A81C4F" w:rsidRPr="00976FD5" w:rsidRDefault="00A81C4F" w:rsidP="00F84BBB">
            <w:pPr>
              <w:pStyle w:val="Normal-table"/>
              <w:cnfStyle w:val="000000000000" w:firstRow="0" w:lastRow="0" w:firstColumn="0" w:lastColumn="0" w:oddVBand="0" w:evenVBand="0" w:oddHBand="0" w:evenHBand="0" w:firstRowFirstColumn="0" w:firstRowLastColumn="0" w:lastRowFirstColumn="0" w:lastRowLastColumn="0"/>
            </w:pPr>
            <w:r w:rsidRPr="00976FD5">
              <w:t xml:space="preserve"> 3,014,347 </w:t>
            </w:r>
          </w:p>
        </w:tc>
      </w:tr>
      <w:tr w:rsidR="00A81C4F" w14:paraId="71CC881D" w14:textId="77777777" w:rsidTr="00F84BB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5249F07F" w14:textId="77777777" w:rsidR="00A81C4F" w:rsidRPr="00976FD5" w:rsidRDefault="00A81C4F" w:rsidP="00F84BBB">
            <w:pPr>
              <w:pStyle w:val="Normal-table"/>
            </w:pPr>
          </w:p>
        </w:tc>
        <w:tc>
          <w:tcPr>
            <w:tcW w:w="1370" w:type="pct"/>
          </w:tcPr>
          <w:p w14:paraId="799C072F" w14:textId="77777777" w:rsidR="00A81C4F" w:rsidRPr="00976FD5" w:rsidRDefault="00A81C4F" w:rsidP="00F84BBB">
            <w:pPr>
              <w:pStyle w:val="Normal-table"/>
              <w:cnfStyle w:val="010000000000" w:firstRow="0" w:lastRow="1" w:firstColumn="0" w:lastColumn="0" w:oddVBand="0" w:evenVBand="0" w:oddHBand="0" w:evenHBand="0" w:firstRowFirstColumn="0" w:firstRowLastColumn="0" w:lastRowFirstColumn="0" w:lastRowLastColumn="0"/>
            </w:pPr>
            <w:r w:rsidRPr="00976FD5">
              <w:t>$23,612,584</w:t>
            </w:r>
          </w:p>
        </w:tc>
      </w:tr>
    </w:tbl>
    <w:p w14:paraId="526B881A" w14:textId="77777777" w:rsidR="00A81C4F" w:rsidRDefault="00A81C4F" w:rsidP="00A81C4F">
      <w:pPr>
        <w:pStyle w:val="Heading4"/>
      </w:pPr>
      <w:r>
        <w:t>Light rail</w:t>
      </w:r>
    </w:p>
    <w:p w14:paraId="02512052" w14:textId="77777777" w:rsidR="00A81C4F" w:rsidRDefault="00A81C4F" w:rsidP="00A81C4F">
      <w:pPr>
        <w:pStyle w:val="TableofFigures"/>
      </w:pPr>
      <w:r>
        <w:t>Table 65: Passenger transport operator payments: South East Queensland—</w:t>
      </w:r>
      <w:r w:rsidRPr="009C5ED7">
        <w:t>Light rail</w:t>
      </w:r>
    </w:p>
    <w:p w14:paraId="7D519937" w14:textId="77777777" w:rsidR="00A81C4F" w:rsidRDefault="00A81C4F" w:rsidP="00A81C4F">
      <w:pPr>
        <w:pStyle w:val="Caption"/>
      </w:pPr>
      <w:r>
        <w:t xml:space="preserve">Payments are for the period of 1 July 2022 to 30 June 2023 and are GST exclusive </w:t>
      </w:r>
    </w:p>
    <w:tbl>
      <w:tblPr>
        <w:tblStyle w:val="GridTable4-Accent1"/>
        <w:tblW w:w="5000" w:type="pct"/>
        <w:tblLook w:val="0020" w:firstRow="1" w:lastRow="0" w:firstColumn="0" w:lastColumn="0" w:noHBand="0" w:noVBand="0"/>
      </w:tblPr>
      <w:tblGrid>
        <w:gridCol w:w="7591"/>
        <w:gridCol w:w="2865"/>
      </w:tblGrid>
      <w:tr w:rsidR="00A81C4F" w14:paraId="2C0ADB26" w14:textId="77777777" w:rsidTr="00F84BBB">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3630" w:type="pct"/>
          </w:tcPr>
          <w:p w14:paraId="3E6FD25D" w14:textId="77777777" w:rsidR="00A81C4F" w:rsidRDefault="00A81C4F" w:rsidP="00F84BBB">
            <w:pPr>
              <w:pStyle w:val="Normal-table"/>
            </w:pPr>
            <w:r>
              <w:t>Operator</w:t>
            </w:r>
          </w:p>
        </w:tc>
        <w:tc>
          <w:tcPr>
            <w:tcW w:w="1370" w:type="pct"/>
          </w:tcPr>
          <w:p w14:paraId="62E5FC3F" w14:textId="77777777" w:rsidR="00A81C4F" w:rsidRDefault="00A81C4F" w:rsidP="00F84BBB">
            <w:pPr>
              <w:pStyle w:val="Normal-table"/>
              <w:cnfStyle w:val="100000000000" w:firstRow="1" w:lastRow="0" w:firstColumn="0" w:lastColumn="0" w:oddVBand="0" w:evenVBand="0" w:oddHBand="0" w:evenHBand="0" w:firstRowFirstColumn="0" w:firstRowLastColumn="0" w:lastRowFirstColumn="0" w:lastRowLastColumn="0"/>
            </w:pPr>
            <w:r>
              <w:t>$ Amount 2022–23</w:t>
            </w:r>
          </w:p>
        </w:tc>
      </w:tr>
      <w:tr w:rsidR="00A81C4F" w14:paraId="20093933" w14:textId="77777777" w:rsidTr="00F84BB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30" w:type="pct"/>
          </w:tcPr>
          <w:p w14:paraId="3786079D" w14:textId="77777777" w:rsidR="00A81C4F" w:rsidRPr="00976FD5" w:rsidRDefault="00A81C4F" w:rsidP="00F84BBB">
            <w:pPr>
              <w:pStyle w:val="Normal-table"/>
            </w:pPr>
            <w:r w:rsidRPr="00976FD5">
              <w:t>Goldlinq Pty Ltd ACN 147 815 441</w:t>
            </w:r>
          </w:p>
        </w:tc>
        <w:tc>
          <w:tcPr>
            <w:tcW w:w="1370" w:type="pct"/>
          </w:tcPr>
          <w:p w14:paraId="2BDEDE77" w14:textId="77777777" w:rsidR="00A81C4F" w:rsidRPr="00976FD5" w:rsidRDefault="00A81C4F" w:rsidP="00F84BBB">
            <w:pPr>
              <w:pStyle w:val="Normal-table"/>
              <w:cnfStyle w:val="000000100000" w:firstRow="0" w:lastRow="0" w:firstColumn="0" w:lastColumn="0" w:oddVBand="0" w:evenVBand="0" w:oddHBand="1" w:evenHBand="0" w:firstRowFirstColumn="0" w:firstRowLastColumn="0" w:lastRowFirstColumn="0" w:lastRowLastColumn="0"/>
            </w:pPr>
            <w:r w:rsidRPr="00976FD5">
              <w:t xml:space="preserve"> 63,012,634 </w:t>
            </w:r>
          </w:p>
        </w:tc>
      </w:tr>
    </w:tbl>
    <w:p w14:paraId="7512C2AD" w14:textId="77777777" w:rsidR="00A81C4F" w:rsidRDefault="00A81C4F" w:rsidP="00A81C4F">
      <w:pPr>
        <w:pStyle w:val="Heading4"/>
      </w:pPr>
      <w:r>
        <w:t>On demand transport</w:t>
      </w:r>
    </w:p>
    <w:p w14:paraId="6BC36985" w14:textId="77777777" w:rsidR="00A81C4F" w:rsidRDefault="00A81C4F" w:rsidP="00A81C4F">
      <w:pPr>
        <w:pStyle w:val="TableofFigures"/>
      </w:pPr>
      <w:r>
        <w:t>Table 66: Passenger transport operator payments: South East Queensland—</w:t>
      </w:r>
      <w:r w:rsidRPr="009C5ED7">
        <w:t>On demand transport</w:t>
      </w:r>
    </w:p>
    <w:p w14:paraId="42B40B20" w14:textId="77777777" w:rsidR="00A81C4F" w:rsidRDefault="00A81C4F" w:rsidP="00A81C4F">
      <w:pPr>
        <w:pStyle w:val="Caption"/>
      </w:pPr>
      <w:r>
        <w:t xml:space="preserve">Payments are for the period of 1 July 2022 to 30 June 2023 and are GST exclusive </w:t>
      </w:r>
    </w:p>
    <w:tbl>
      <w:tblPr>
        <w:tblStyle w:val="GridTable4-Accent1"/>
        <w:tblW w:w="5000" w:type="pct"/>
        <w:tblLook w:val="04E0" w:firstRow="1" w:lastRow="1" w:firstColumn="1" w:lastColumn="0" w:noHBand="0" w:noVBand="1"/>
      </w:tblPr>
      <w:tblGrid>
        <w:gridCol w:w="7591"/>
        <w:gridCol w:w="2865"/>
      </w:tblGrid>
      <w:tr w:rsidR="00A81C4F" w14:paraId="2273D861" w14:textId="77777777" w:rsidTr="00F84B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101BB58D" w14:textId="77777777" w:rsidR="00A81C4F" w:rsidRDefault="00A81C4F" w:rsidP="00F84BBB">
            <w:pPr>
              <w:pStyle w:val="Normal-table"/>
            </w:pPr>
            <w:r>
              <w:t>Operator</w:t>
            </w:r>
          </w:p>
        </w:tc>
        <w:tc>
          <w:tcPr>
            <w:tcW w:w="1370" w:type="pct"/>
          </w:tcPr>
          <w:p w14:paraId="12109D6B" w14:textId="77777777" w:rsidR="00A81C4F" w:rsidRDefault="00A81C4F" w:rsidP="00F84BBB">
            <w:pPr>
              <w:pStyle w:val="Normal-table"/>
              <w:cnfStyle w:val="100000000000" w:firstRow="1" w:lastRow="0" w:firstColumn="0" w:lastColumn="0" w:oddVBand="0" w:evenVBand="0" w:oddHBand="0" w:evenHBand="0" w:firstRowFirstColumn="0" w:firstRowLastColumn="0" w:lastRowFirstColumn="0" w:lastRowLastColumn="0"/>
            </w:pPr>
            <w:r>
              <w:t>$ Amount 2022–23</w:t>
            </w:r>
          </w:p>
        </w:tc>
      </w:tr>
      <w:tr w:rsidR="00A81C4F" w14:paraId="0EB031D8" w14:textId="77777777" w:rsidTr="00F84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5140D828" w14:textId="77777777" w:rsidR="00A81C4F" w:rsidRPr="00976FD5" w:rsidRDefault="00A81C4F" w:rsidP="00F84BBB">
            <w:pPr>
              <w:pStyle w:val="Normal-table"/>
            </w:pPr>
            <w:r w:rsidRPr="00976FD5">
              <w:t>Surfside Buslines Pty Ltd ACN 010 957 552</w:t>
            </w:r>
          </w:p>
        </w:tc>
        <w:tc>
          <w:tcPr>
            <w:tcW w:w="1370" w:type="pct"/>
          </w:tcPr>
          <w:p w14:paraId="3FB144FB" w14:textId="77777777" w:rsidR="00A81C4F" w:rsidRPr="00976FD5" w:rsidRDefault="00A81C4F" w:rsidP="00F84BBB">
            <w:pPr>
              <w:pStyle w:val="Normal-table"/>
              <w:cnfStyle w:val="000000100000" w:firstRow="0" w:lastRow="0" w:firstColumn="0" w:lastColumn="0" w:oddVBand="0" w:evenVBand="0" w:oddHBand="1" w:evenHBand="0" w:firstRowFirstColumn="0" w:firstRowLastColumn="0" w:lastRowFirstColumn="0" w:lastRowLastColumn="0"/>
            </w:pPr>
            <w:r w:rsidRPr="00976FD5">
              <w:t xml:space="preserve"> 1,981,975 </w:t>
            </w:r>
          </w:p>
        </w:tc>
      </w:tr>
      <w:tr w:rsidR="00A81C4F" w14:paraId="2B4D452C" w14:textId="77777777" w:rsidTr="00F84BBB">
        <w:tc>
          <w:tcPr>
            <w:cnfStyle w:val="001000000000" w:firstRow="0" w:lastRow="0" w:firstColumn="1" w:lastColumn="0" w:oddVBand="0" w:evenVBand="0" w:oddHBand="0" w:evenHBand="0" w:firstRowFirstColumn="0" w:firstRowLastColumn="0" w:lastRowFirstColumn="0" w:lastRowLastColumn="0"/>
            <w:tcW w:w="3630" w:type="pct"/>
          </w:tcPr>
          <w:p w14:paraId="1874EB16" w14:textId="77777777" w:rsidR="00A81C4F" w:rsidRPr="00976FD5" w:rsidRDefault="00A81C4F" w:rsidP="00F84BBB">
            <w:pPr>
              <w:pStyle w:val="Normal-table"/>
            </w:pPr>
            <w:r w:rsidRPr="00976FD5">
              <w:t>Yellow Cabs Australia Pty Ltd ACN 620 658 871</w:t>
            </w:r>
          </w:p>
        </w:tc>
        <w:tc>
          <w:tcPr>
            <w:tcW w:w="1370" w:type="pct"/>
          </w:tcPr>
          <w:p w14:paraId="586B66A2" w14:textId="77777777" w:rsidR="00A81C4F" w:rsidRPr="00976FD5" w:rsidRDefault="00A81C4F" w:rsidP="00F84BBB">
            <w:pPr>
              <w:pStyle w:val="Normal-table"/>
              <w:cnfStyle w:val="000000000000" w:firstRow="0" w:lastRow="0" w:firstColumn="0" w:lastColumn="0" w:oddVBand="0" w:evenVBand="0" w:oddHBand="0" w:evenHBand="0" w:firstRowFirstColumn="0" w:firstRowLastColumn="0" w:lastRowFirstColumn="0" w:lastRowLastColumn="0"/>
            </w:pPr>
            <w:r w:rsidRPr="00976FD5">
              <w:t xml:space="preserve"> 1,029,623 </w:t>
            </w:r>
          </w:p>
        </w:tc>
      </w:tr>
      <w:tr w:rsidR="00A81C4F" w14:paraId="207A69E4" w14:textId="77777777" w:rsidTr="00F84BB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4E63672D" w14:textId="77777777" w:rsidR="00A81C4F" w:rsidRPr="00976FD5" w:rsidRDefault="00A81C4F" w:rsidP="00F84BBB">
            <w:pPr>
              <w:pStyle w:val="Normal-table"/>
            </w:pPr>
          </w:p>
        </w:tc>
        <w:tc>
          <w:tcPr>
            <w:tcW w:w="1370" w:type="pct"/>
          </w:tcPr>
          <w:p w14:paraId="5679FA0B" w14:textId="77777777" w:rsidR="00A81C4F" w:rsidRPr="00976FD5" w:rsidRDefault="00A81C4F" w:rsidP="00F84BBB">
            <w:pPr>
              <w:pStyle w:val="Normal-table"/>
              <w:cnfStyle w:val="010000000000" w:firstRow="0" w:lastRow="1" w:firstColumn="0" w:lastColumn="0" w:oddVBand="0" w:evenVBand="0" w:oddHBand="0" w:evenHBand="0" w:firstRowFirstColumn="0" w:firstRowLastColumn="0" w:lastRowFirstColumn="0" w:lastRowLastColumn="0"/>
            </w:pPr>
            <w:r w:rsidRPr="00976FD5">
              <w:t>$3,011,598</w:t>
            </w:r>
          </w:p>
        </w:tc>
      </w:tr>
    </w:tbl>
    <w:p w14:paraId="273E92CD" w14:textId="77777777" w:rsidR="00A81C4F" w:rsidRDefault="00A81C4F" w:rsidP="00A81C4F">
      <w:pPr>
        <w:pStyle w:val="Heading4"/>
      </w:pPr>
      <w:r>
        <w:t>Flexilink taxi service</w:t>
      </w:r>
    </w:p>
    <w:p w14:paraId="269295DF" w14:textId="77777777" w:rsidR="00A81C4F" w:rsidRDefault="00A81C4F" w:rsidP="00A81C4F">
      <w:pPr>
        <w:pStyle w:val="TableofFigures"/>
      </w:pPr>
      <w:r>
        <w:t>Table 67: Passenger transport operator payments: South East Queensland—</w:t>
      </w:r>
      <w:r w:rsidRPr="009C5ED7">
        <w:t>Flexilink taxi service</w:t>
      </w:r>
    </w:p>
    <w:p w14:paraId="608C45DB" w14:textId="77777777" w:rsidR="00A81C4F" w:rsidRDefault="00A81C4F" w:rsidP="00A81C4F">
      <w:pPr>
        <w:pStyle w:val="Caption"/>
      </w:pPr>
      <w:r>
        <w:t xml:space="preserve">Payments are for the period of 1 July 2022 to 30 June 2023 and are GST exclusive </w:t>
      </w:r>
    </w:p>
    <w:tbl>
      <w:tblPr>
        <w:tblStyle w:val="GridTable4-Accent1"/>
        <w:tblW w:w="5000" w:type="pct"/>
        <w:tblLook w:val="0020" w:firstRow="1" w:lastRow="0" w:firstColumn="0" w:lastColumn="0" w:noHBand="0" w:noVBand="0"/>
      </w:tblPr>
      <w:tblGrid>
        <w:gridCol w:w="7591"/>
        <w:gridCol w:w="2865"/>
      </w:tblGrid>
      <w:tr w:rsidR="00A81C4F" w14:paraId="12E1C248" w14:textId="77777777" w:rsidTr="00F84BBB">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3630" w:type="pct"/>
          </w:tcPr>
          <w:p w14:paraId="0060C518" w14:textId="77777777" w:rsidR="00A81C4F" w:rsidRDefault="00A81C4F" w:rsidP="00F84BBB">
            <w:pPr>
              <w:pStyle w:val="Normal-table"/>
            </w:pPr>
            <w:r>
              <w:t>Operator</w:t>
            </w:r>
          </w:p>
        </w:tc>
        <w:tc>
          <w:tcPr>
            <w:tcW w:w="1370" w:type="pct"/>
          </w:tcPr>
          <w:p w14:paraId="1B75D7BA" w14:textId="77777777" w:rsidR="00A81C4F" w:rsidRDefault="00A81C4F" w:rsidP="00F84BBB">
            <w:pPr>
              <w:pStyle w:val="Normal-table"/>
              <w:cnfStyle w:val="100000000000" w:firstRow="1" w:lastRow="0" w:firstColumn="0" w:lastColumn="0" w:oddVBand="0" w:evenVBand="0" w:oddHBand="0" w:evenHBand="0" w:firstRowFirstColumn="0" w:firstRowLastColumn="0" w:lastRowFirstColumn="0" w:lastRowLastColumn="0"/>
            </w:pPr>
            <w:r>
              <w:t>$ Amount 2022–23</w:t>
            </w:r>
          </w:p>
        </w:tc>
      </w:tr>
      <w:tr w:rsidR="00A81C4F" w14:paraId="37BF03AA" w14:textId="77777777" w:rsidTr="00F84BB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30" w:type="pct"/>
          </w:tcPr>
          <w:p w14:paraId="79E6FF7F" w14:textId="77777777" w:rsidR="00A81C4F" w:rsidRPr="00976FD5" w:rsidRDefault="00A81C4F" w:rsidP="00F84BBB">
            <w:pPr>
              <w:pStyle w:val="Normal-table"/>
            </w:pPr>
            <w:r w:rsidRPr="00976FD5">
              <w:t>Yellow Cabs Australia Pty Ltd ACN 620 658 871</w:t>
            </w:r>
          </w:p>
        </w:tc>
        <w:tc>
          <w:tcPr>
            <w:tcW w:w="1370" w:type="pct"/>
          </w:tcPr>
          <w:p w14:paraId="2DE4A5F2" w14:textId="77777777" w:rsidR="00A81C4F" w:rsidRPr="00976FD5" w:rsidRDefault="00A81C4F" w:rsidP="00F84BBB">
            <w:pPr>
              <w:pStyle w:val="Normal-table"/>
              <w:cnfStyle w:val="000000100000" w:firstRow="0" w:lastRow="0" w:firstColumn="0" w:lastColumn="0" w:oddVBand="0" w:evenVBand="0" w:oddHBand="1" w:evenHBand="0" w:firstRowFirstColumn="0" w:firstRowLastColumn="0" w:lastRowFirstColumn="0" w:lastRowLastColumn="0"/>
            </w:pPr>
            <w:r w:rsidRPr="00976FD5">
              <w:t xml:space="preserve"> 153,405 </w:t>
            </w:r>
          </w:p>
        </w:tc>
      </w:tr>
    </w:tbl>
    <w:p w14:paraId="2F056798" w14:textId="77777777" w:rsidR="00A81C4F" w:rsidRDefault="00A81C4F" w:rsidP="00A81C4F">
      <w:pPr>
        <w:pStyle w:val="Heading4"/>
      </w:pPr>
      <w:r>
        <w:t>Total payments</w:t>
      </w:r>
    </w:p>
    <w:p w14:paraId="7D63EF5B" w14:textId="77777777" w:rsidR="00A81C4F" w:rsidRDefault="00A81C4F" w:rsidP="00A81C4F">
      <w:pPr>
        <w:pStyle w:val="TableofFigures"/>
      </w:pPr>
      <w:r>
        <w:t>Table 68: Passenger transport operator payments: South East Queensland—</w:t>
      </w:r>
      <w:r w:rsidRPr="002426FE">
        <w:t>Total payments</w:t>
      </w:r>
    </w:p>
    <w:p w14:paraId="7DE27EA6" w14:textId="77777777" w:rsidR="00A81C4F" w:rsidRDefault="00A81C4F" w:rsidP="00A81C4F">
      <w:pPr>
        <w:pStyle w:val="Caption"/>
      </w:pPr>
      <w:r>
        <w:t xml:space="preserve">Payments are for the period of 1 July 2022 to 30 June 2023 and are GST exclusive </w:t>
      </w:r>
    </w:p>
    <w:tbl>
      <w:tblPr>
        <w:tblStyle w:val="GridTable4-Accent1"/>
        <w:tblW w:w="5000" w:type="pct"/>
        <w:tblLook w:val="04E0" w:firstRow="1" w:lastRow="1" w:firstColumn="1" w:lastColumn="0" w:noHBand="0" w:noVBand="1"/>
      </w:tblPr>
      <w:tblGrid>
        <w:gridCol w:w="7591"/>
        <w:gridCol w:w="2865"/>
      </w:tblGrid>
      <w:tr w:rsidR="00A81C4F" w14:paraId="34E34375" w14:textId="77777777" w:rsidTr="00F84B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7521AB99" w14:textId="77777777" w:rsidR="00A81C4F" w:rsidRDefault="00A81C4F" w:rsidP="00F84BBB">
            <w:pPr>
              <w:pStyle w:val="Normal-table"/>
            </w:pPr>
          </w:p>
        </w:tc>
        <w:tc>
          <w:tcPr>
            <w:tcW w:w="1370" w:type="pct"/>
          </w:tcPr>
          <w:p w14:paraId="27C1122E" w14:textId="77777777" w:rsidR="00A81C4F" w:rsidRDefault="00A81C4F" w:rsidP="00F84BBB">
            <w:pPr>
              <w:pStyle w:val="Normal-table"/>
              <w:cnfStyle w:val="100000000000" w:firstRow="1" w:lastRow="0" w:firstColumn="0" w:lastColumn="0" w:oddVBand="0" w:evenVBand="0" w:oddHBand="0" w:evenHBand="0" w:firstRowFirstColumn="0" w:firstRowLastColumn="0" w:lastRowFirstColumn="0" w:lastRowLastColumn="0"/>
            </w:pPr>
            <w:r>
              <w:t>$ Amount 2022–23</w:t>
            </w:r>
          </w:p>
        </w:tc>
      </w:tr>
      <w:tr w:rsidR="00A81C4F" w14:paraId="773D8090" w14:textId="77777777" w:rsidTr="00F84BB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0D9FA3B1" w14:textId="77777777" w:rsidR="00A81C4F" w:rsidRPr="00976FD5" w:rsidRDefault="00A81C4F" w:rsidP="00F84BBB">
            <w:pPr>
              <w:pStyle w:val="Normal-table"/>
            </w:pPr>
            <w:r w:rsidRPr="00976FD5">
              <w:t>Total payments</w:t>
            </w:r>
          </w:p>
        </w:tc>
        <w:tc>
          <w:tcPr>
            <w:tcW w:w="1370" w:type="pct"/>
          </w:tcPr>
          <w:p w14:paraId="40577C04" w14:textId="77777777" w:rsidR="00A81C4F" w:rsidRPr="00976FD5" w:rsidRDefault="00A81C4F" w:rsidP="00F84BBB">
            <w:pPr>
              <w:pStyle w:val="Normal-table"/>
              <w:cnfStyle w:val="010000000000" w:firstRow="0" w:lastRow="1" w:firstColumn="0" w:lastColumn="0" w:oddVBand="0" w:evenVBand="0" w:oddHBand="0" w:evenHBand="0" w:firstRowFirstColumn="0" w:firstRowLastColumn="0" w:lastRowFirstColumn="0" w:lastRowLastColumn="0"/>
            </w:pPr>
            <w:r w:rsidRPr="00976FD5">
              <w:t>$2,412,191,118</w:t>
            </w:r>
          </w:p>
        </w:tc>
      </w:tr>
    </w:tbl>
    <w:p w14:paraId="658F9C86" w14:textId="77777777" w:rsidR="00093FB8" w:rsidRDefault="00093FB8" w:rsidP="00A81C4F">
      <w:pPr>
        <w:pStyle w:val="Heading3"/>
      </w:pPr>
    </w:p>
    <w:p w14:paraId="030D9E56" w14:textId="77777777" w:rsidR="00093FB8" w:rsidRDefault="00093FB8">
      <w:pPr>
        <w:spacing w:before="0" w:after="160" w:line="259" w:lineRule="auto"/>
        <w:rPr>
          <w:rFonts w:eastAsiaTheme="majorEastAsia" w:cstheme="majorBidi"/>
          <w:color w:val="000000" w:themeColor="text1"/>
          <w:sz w:val="32"/>
          <w:szCs w:val="24"/>
        </w:rPr>
      </w:pPr>
      <w:r>
        <w:br w:type="page"/>
      </w:r>
    </w:p>
    <w:p w14:paraId="1EB9E5FB" w14:textId="5174A5E8" w:rsidR="00A81C4F" w:rsidRDefault="00A81C4F" w:rsidP="00A81C4F">
      <w:pPr>
        <w:pStyle w:val="Heading3"/>
      </w:pPr>
      <w:r w:rsidRPr="009C5ED7">
        <w:lastRenderedPageBreak/>
        <w:t>Passenger transport operator payments: Rest of Queensland</w:t>
      </w:r>
    </w:p>
    <w:p w14:paraId="5CB88362" w14:textId="77777777" w:rsidR="00A81C4F" w:rsidRDefault="00A81C4F" w:rsidP="00A81C4F">
      <w:pPr>
        <w:pStyle w:val="Heading4"/>
      </w:pPr>
      <w:r w:rsidRPr="007F4FC6">
        <w:t>Regional urban bus</w:t>
      </w:r>
    </w:p>
    <w:p w14:paraId="2D951F18" w14:textId="77777777" w:rsidR="00A81C4F" w:rsidRDefault="00A81C4F" w:rsidP="00A81C4F">
      <w:pPr>
        <w:pStyle w:val="TableofFigures"/>
      </w:pPr>
      <w:r>
        <w:t>Table 69: Passenger transport operator payments: Rest of Queensland—</w:t>
      </w:r>
      <w:r w:rsidRPr="007F4FC6">
        <w:t>Regional urban bus</w:t>
      </w:r>
      <w:r>
        <w:t xml:space="preserve"> </w:t>
      </w:r>
    </w:p>
    <w:p w14:paraId="4CD6A30D" w14:textId="77777777" w:rsidR="00A81C4F" w:rsidRDefault="00A81C4F" w:rsidP="00A81C4F">
      <w:pPr>
        <w:pStyle w:val="Caption"/>
      </w:pPr>
      <w:r>
        <w:t xml:space="preserve">Payments are for the period of 1 July 2022 to 30 June 2023 and are GST exclusive </w:t>
      </w:r>
    </w:p>
    <w:tbl>
      <w:tblPr>
        <w:tblStyle w:val="GridTable4-Accent1"/>
        <w:tblW w:w="5000" w:type="pct"/>
        <w:tblCellMar>
          <w:top w:w="57" w:type="dxa"/>
          <w:bottom w:w="57" w:type="dxa"/>
        </w:tblCellMar>
        <w:tblLook w:val="04E0" w:firstRow="1" w:lastRow="1" w:firstColumn="1" w:lastColumn="0" w:noHBand="0" w:noVBand="1"/>
      </w:tblPr>
      <w:tblGrid>
        <w:gridCol w:w="7591"/>
        <w:gridCol w:w="2865"/>
      </w:tblGrid>
      <w:tr w:rsidR="00A81C4F" w14:paraId="3E721D4F" w14:textId="77777777" w:rsidTr="00093F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30" w:type="pct"/>
          </w:tcPr>
          <w:p w14:paraId="613A0090" w14:textId="77777777" w:rsidR="00A81C4F" w:rsidRDefault="00A81C4F" w:rsidP="00A87A36">
            <w:pPr>
              <w:pStyle w:val="Normal-table"/>
            </w:pPr>
            <w:r>
              <w:t>Operator</w:t>
            </w:r>
          </w:p>
        </w:tc>
        <w:tc>
          <w:tcPr>
            <w:tcW w:w="1370" w:type="pct"/>
          </w:tcPr>
          <w:p w14:paraId="09348229" w14:textId="77777777" w:rsidR="00A81C4F" w:rsidRDefault="00A81C4F" w:rsidP="00A87A36">
            <w:pPr>
              <w:pStyle w:val="Normal-table"/>
              <w:cnfStyle w:val="100000000000" w:firstRow="1" w:lastRow="0" w:firstColumn="0" w:lastColumn="0" w:oddVBand="0" w:evenVBand="0" w:oddHBand="0" w:evenHBand="0" w:firstRowFirstColumn="0" w:firstRowLastColumn="0" w:lastRowFirstColumn="0" w:lastRowLastColumn="0"/>
            </w:pPr>
            <w:r>
              <w:t>$ Amount 2022–23</w:t>
            </w:r>
          </w:p>
        </w:tc>
      </w:tr>
      <w:tr w:rsidR="00A81C4F" w14:paraId="26948D10" w14:textId="77777777" w:rsidTr="00093F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3ADB454D" w14:textId="77777777" w:rsidR="00A81C4F" w:rsidRPr="007F4FC6" w:rsidRDefault="00A81C4F" w:rsidP="00A87A36">
            <w:pPr>
              <w:pStyle w:val="Normal-table"/>
            </w:pPr>
            <w:r w:rsidRPr="007F4FC6">
              <w:t>Jewelboost Pty Ltd ACN 55 163 460 081 atf The Porter Family Trust t/a Chillagoe Observatory &amp; Eco-Lodge</w:t>
            </w:r>
          </w:p>
        </w:tc>
        <w:tc>
          <w:tcPr>
            <w:tcW w:w="1370" w:type="pct"/>
          </w:tcPr>
          <w:p w14:paraId="08FE8081" w14:textId="77777777" w:rsidR="00A81C4F" w:rsidRPr="007F4FC6"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rsidRPr="007F4FC6">
              <w:t xml:space="preserve"> 7377 </w:t>
            </w:r>
          </w:p>
        </w:tc>
      </w:tr>
      <w:tr w:rsidR="00A81C4F" w14:paraId="65149A12" w14:textId="77777777" w:rsidTr="00093FB8">
        <w:tc>
          <w:tcPr>
            <w:cnfStyle w:val="001000000000" w:firstRow="0" w:lastRow="0" w:firstColumn="1" w:lastColumn="0" w:oddVBand="0" w:evenVBand="0" w:oddHBand="0" w:evenHBand="0" w:firstRowFirstColumn="0" w:firstRowLastColumn="0" w:lastRowFirstColumn="0" w:lastRowLastColumn="0"/>
            <w:tcW w:w="3630" w:type="pct"/>
          </w:tcPr>
          <w:p w14:paraId="2BF45B22" w14:textId="77777777" w:rsidR="00A81C4F" w:rsidRPr="007F4FC6" w:rsidRDefault="00A81C4F" w:rsidP="00A87A36">
            <w:pPr>
              <w:pStyle w:val="Normal-table"/>
            </w:pPr>
            <w:r w:rsidRPr="007F4FC6">
              <w:t>Bowen Transit Pty Ltd ACN 105 749 602</w:t>
            </w:r>
          </w:p>
        </w:tc>
        <w:tc>
          <w:tcPr>
            <w:tcW w:w="1370" w:type="pct"/>
          </w:tcPr>
          <w:p w14:paraId="5858E34B" w14:textId="77777777" w:rsidR="00A81C4F" w:rsidRPr="007F4FC6"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rsidRPr="007F4FC6">
              <w:t xml:space="preserve"> 183,072 </w:t>
            </w:r>
          </w:p>
        </w:tc>
      </w:tr>
      <w:tr w:rsidR="00A81C4F" w14:paraId="1269527A" w14:textId="77777777" w:rsidTr="00093F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62679EF8" w14:textId="77777777" w:rsidR="00A81C4F" w:rsidRPr="007F4FC6" w:rsidRDefault="00A81C4F" w:rsidP="00A87A36">
            <w:pPr>
              <w:pStyle w:val="Normal-table"/>
            </w:pPr>
            <w:r w:rsidRPr="007F4FC6">
              <w:t>CDC Gladstone Pty Ltd ACN 612 803 406</w:t>
            </w:r>
          </w:p>
        </w:tc>
        <w:tc>
          <w:tcPr>
            <w:tcW w:w="1370" w:type="pct"/>
          </w:tcPr>
          <w:p w14:paraId="3C4A88A7" w14:textId="77777777" w:rsidR="00A81C4F" w:rsidRPr="007F4FC6"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rsidRPr="007F4FC6">
              <w:t xml:space="preserve"> 2,059,554 </w:t>
            </w:r>
          </w:p>
        </w:tc>
      </w:tr>
      <w:tr w:rsidR="00A81C4F" w14:paraId="04ACE143" w14:textId="77777777" w:rsidTr="00093FB8">
        <w:tc>
          <w:tcPr>
            <w:cnfStyle w:val="001000000000" w:firstRow="0" w:lastRow="0" w:firstColumn="1" w:lastColumn="0" w:oddVBand="0" w:evenVBand="0" w:oddHBand="0" w:evenHBand="0" w:firstRowFirstColumn="0" w:firstRowLastColumn="0" w:lastRowFirstColumn="0" w:lastRowLastColumn="0"/>
            <w:tcW w:w="3630" w:type="pct"/>
          </w:tcPr>
          <w:p w14:paraId="6D8DC3B2" w14:textId="77777777" w:rsidR="00A81C4F" w:rsidRPr="007F4FC6" w:rsidRDefault="00A81C4F" w:rsidP="00A87A36">
            <w:pPr>
              <w:pStyle w:val="Normal-table"/>
            </w:pPr>
            <w:r w:rsidRPr="007F4FC6">
              <w:t>Campsie Bus Co Pty Ltd ACN 000 953 328 t/a Whitsunday Transit</w:t>
            </w:r>
          </w:p>
        </w:tc>
        <w:tc>
          <w:tcPr>
            <w:tcW w:w="1370" w:type="pct"/>
          </w:tcPr>
          <w:p w14:paraId="72997866" w14:textId="77777777" w:rsidR="00A81C4F" w:rsidRPr="007F4FC6"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rsidRPr="007F4FC6">
              <w:t xml:space="preserve"> 1,773,126 </w:t>
            </w:r>
          </w:p>
        </w:tc>
      </w:tr>
      <w:tr w:rsidR="00A81C4F" w14:paraId="2D359BEE" w14:textId="77777777" w:rsidTr="00093F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774A72B8" w14:textId="77777777" w:rsidR="00A81C4F" w:rsidRPr="007F4FC6" w:rsidRDefault="00A81C4F" w:rsidP="00A87A36">
            <w:pPr>
              <w:pStyle w:val="Normal-table"/>
            </w:pPr>
            <w:r w:rsidRPr="007F4FC6">
              <w:t>Cavglass Pty Ltd ACN 124 444 711 t/a Glasshouse Country Coaches</w:t>
            </w:r>
          </w:p>
        </w:tc>
        <w:tc>
          <w:tcPr>
            <w:tcW w:w="1370" w:type="pct"/>
          </w:tcPr>
          <w:p w14:paraId="7E200390" w14:textId="77777777" w:rsidR="00A81C4F" w:rsidRPr="007F4FC6"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rsidRPr="007F4FC6">
              <w:t xml:space="preserve"> 796,194 </w:t>
            </w:r>
          </w:p>
        </w:tc>
      </w:tr>
      <w:tr w:rsidR="00A81C4F" w14:paraId="7449F50A" w14:textId="77777777" w:rsidTr="00093FB8">
        <w:tc>
          <w:tcPr>
            <w:cnfStyle w:val="001000000000" w:firstRow="0" w:lastRow="0" w:firstColumn="1" w:lastColumn="0" w:oddVBand="0" w:evenVBand="0" w:oddHBand="0" w:evenHBand="0" w:firstRowFirstColumn="0" w:firstRowLastColumn="0" w:lastRowFirstColumn="0" w:lastRowLastColumn="0"/>
            <w:tcW w:w="3630" w:type="pct"/>
          </w:tcPr>
          <w:p w14:paraId="7CABD399" w14:textId="77777777" w:rsidR="00A81C4F" w:rsidRPr="007F4FC6" w:rsidRDefault="00A81C4F" w:rsidP="00A87A36">
            <w:pPr>
              <w:pStyle w:val="Normal-table"/>
            </w:pPr>
            <w:r w:rsidRPr="007F4FC6">
              <w:t>CDC South East Queensland Pty Ltd ACN 085 000 693 t/a Youngs Bus Service</w:t>
            </w:r>
          </w:p>
        </w:tc>
        <w:tc>
          <w:tcPr>
            <w:tcW w:w="1370" w:type="pct"/>
          </w:tcPr>
          <w:p w14:paraId="66E18220" w14:textId="77777777" w:rsidR="00A81C4F" w:rsidRPr="007F4FC6"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rsidRPr="007F4FC6">
              <w:t xml:space="preserve"> 3,050,608 </w:t>
            </w:r>
          </w:p>
        </w:tc>
      </w:tr>
      <w:tr w:rsidR="00A81C4F" w14:paraId="4B288B10" w14:textId="77777777" w:rsidTr="00093F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544A84A8" w14:textId="77777777" w:rsidR="00A81C4F" w:rsidRPr="007F4FC6" w:rsidRDefault="00A81C4F" w:rsidP="00A87A36">
            <w:pPr>
              <w:pStyle w:val="Normal-table"/>
            </w:pPr>
            <w:r w:rsidRPr="007F4FC6">
              <w:t>Duffy's City Buses Pty Ltd ACN 053 761 023 atf The Duffy Trust</w:t>
            </w:r>
          </w:p>
        </w:tc>
        <w:tc>
          <w:tcPr>
            <w:tcW w:w="1370" w:type="pct"/>
          </w:tcPr>
          <w:p w14:paraId="49CFFCF8" w14:textId="77777777" w:rsidR="00A81C4F" w:rsidRPr="007F4FC6"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rsidRPr="007F4FC6">
              <w:t xml:space="preserve"> 1,998,378 </w:t>
            </w:r>
          </w:p>
        </w:tc>
      </w:tr>
      <w:tr w:rsidR="00A81C4F" w14:paraId="7E076616" w14:textId="77777777" w:rsidTr="00093FB8">
        <w:tc>
          <w:tcPr>
            <w:cnfStyle w:val="001000000000" w:firstRow="0" w:lastRow="0" w:firstColumn="1" w:lastColumn="0" w:oddVBand="0" w:evenVBand="0" w:oddHBand="0" w:evenHBand="0" w:firstRowFirstColumn="0" w:firstRowLastColumn="0" w:lastRowFirstColumn="0" w:lastRowLastColumn="0"/>
            <w:tcW w:w="3630" w:type="pct"/>
          </w:tcPr>
          <w:p w14:paraId="6D6BBDE6" w14:textId="77777777" w:rsidR="00A81C4F" w:rsidRPr="007F4FC6" w:rsidRDefault="00A81C4F" w:rsidP="00A87A36">
            <w:pPr>
              <w:pStyle w:val="Normal-table"/>
            </w:pPr>
            <w:r w:rsidRPr="007F4FC6">
              <w:t>Fultonlawn Pty Ltd ACN 010 489 068 atf NHPriebbenow Family Trust t/a Wide Bay Transit</w:t>
            </w:r>
          </w:p>
        </w:tc>
        <w:tc>
          <w:tcPr>
            <w:tcW w:w="1370" w:type="pct"/>
          </w:tcPr>
          <w:p w14:paraId="59611FA2" w14:textId="77777777" w:rsidR="00A81C4F" w:rsidRPr="007F4FC6"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rsidRPr="007F4FC6">
              <w:t xml:space="preserve"> 4,630,699 </w:t>
            </w:r>
          </w:p>
        </w:tc>
      </w:tr>
      <w:tr w:rsidR="00A81C4F" w14:paraId="72A73C5C" w14:textId="77777777" w:rsidTr="00093F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7CE44AD5" w14:textId="77777777" w:rsidR="00A81C4F" w:rsidRPr="007F4FC6" w:rsidRDefault="00A81C4F" w:rsidP="00A87A36">
            <w:pPr>
              <w:pStyle w:val="Normal-table"/>
            </w:pPr>
            <w:r w:rsidRPr="007F4FC6">
              <w:t>GJ &amp; LE Christensen ABN 50 204 765 641 t/a Christensens Bus and Coach</w:t>
            </w:r>
          </w:p>
        </w:tc>
        <w:tc>
          <w:tcPr>
            <w:tcW w:w="1370" w:type="pct"/>
          </w:tcPr>
          <w:p w14:paraId="5D17BC7F" w14:textId="77777777" w:rsidR="00A81C4F" w:rsidRPr="007F4FC6"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rsidRPr="007F4FC6">
              <w:t xml:space="preserve"> 559,363 </w:t>
            </w:r>
          </w:p>
        </w:tc>
      </w:tr>
      <w:tr w:rsidR="00A81C4F" w14:paraId="45AC5828" w14:textId="77777777" w:rsidTr="00093FB8">
        <w:tc>
          <w:tcPr>
            <w:cnfStyle w:val="001000000000" w:firstRow="0" w:lastRow="0" w:firstColumn="1" w:lastColumn="0" w:oddVBand="0" w:evenVBand="0" w:oddHBand="0" w:evenHBand="0" w:firstRowFirstColumn="0" w:firstRowLastColumn="0" w:lastRowFirstColumn="0" w:lastRowLastColumn="0"/>
            <w:tcW w:w="3630" w:type="pct"/>
          </w:tcPr>
          <w:p w14:paraId="14C388AA" w14:textId="77777777" w:rsidR="00A81C4F" w:rsidRPr="007F4FC6" w:rsidRDefault="00A81C4F" w:rsidP="00A87A36">
            <w:pPr>
              <w:pStyle w:val="Normal-table"/>
            </w:pPr>
            <w:r w:rsidRPr="007F4FC6">
              <w:t>CD &amp; JM Haidley ABN 90 759 103 183 t/a Haidley's Panoramic Coaches &amp; Motors</w:t>
            </w:r>
          </w:p>
        </w:tc>
        <w:tc>
          <w:tcPr>
            <w:tcW w:w="1370" w:type="pct"/>
          </w:tcPr>
          <w:p w14:paraId="2C5EA352" w14:textId="77777777" w:rsidR="00A81C4F" w:rsidRPr="007F4FC6"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rsidRPr="007F4FC6">
              <w:t xml:space="preserve"> 245,282 </w:t>
            </w:r>
          </w:p>
        </w:tc>
      </w:tr>
      <w:tr w:rsidR="00A81C4F" w14:paraId="2B35720E" w14:textId="77777777" w:rsidTr="00093F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7FBEC86D" w14:textId="77777777" w:rsidR="00A81C4F" w:rsidRPr="007F4FC6" w:rsidRDefault="00A81C4F" w:rsidP="00A87A36">
            <w:pPr>
              <w:pStyle w:val="Normal-table"/>
            </w:pPr>
            <w:r w:rsidRPr="007F4FC6">
              <w:t>Hubbards Coaches Pty Ltd ACN 076 988 120 atf Hubbard Family Trust</w:t>
            </w:r>
          </w:p>
        </w:tc>
        <w:tc>
          <w:tcPr>
            <w:tcW w:w="1370" w:type="pct"/>
          </w:tcPr>
          <w:p w14:paraId="551BEBE4" w14:textId="77777777" w:rsidR="00A81C4F" w:rsidRPr="007F4FC6"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rsidRPr="007F4FC6">
              <w:t xml:space="preserve"> 4110 </w:t>
            </w:r>
          </w:p>
        </w:tc>
      </w:tr>
      <w:tr w:rsidR="00A81C4F" w14:paraId="0742ECE0" w14:textId="77777777" w:rsidTr="00093FB8">
        <w:tc>
          <w:tcPr>
            <w:cnfStyle w:val="001000000000" w:firstRow="0" w:lastRow="0" w:firstColumn="1" w:lastColumn="0" w:oddVBand="0" w:evenVBand="0" w:oddHBand="0" w:evenHBand="0" w:firstRowFirstColumn="0" w:firstRowLastColumn="0" w:lastRowFirstColumn="0" w:lastRowLastColumn="0"/>
            <w:tcW w:w="3630" w:type="pct"/>
          </w:tcPr>
          <w:p w14:paraId="3C654FF7" w14:textId="77777777" w:rsidR="00A81C4F" w:rsidRPr="007F4FC6" w:rsidRDefault="00A81C4F" w:rsidP="00A87A36">
            <w:pPr>
              <w:pStyle w:val="Normal-table"/>
            </w:pPr>
            <w:r w:rsidRPr="007F4FC6">
              <w:t>L.G. Stewart Family Co. Pty Ltd ACN 009 971 617 atf LG Stewart Family Trust</w:t>
            </w:r>
          </w:p>
        </w:tc>
        <w:tc>
          <w:tcPr>
            <w:tcW w:w="1370" w:type="pct"/>
          </w:tcPr>
          <w:p w14:paraId="15B97825" w14:textId="77777777" w:rsidR="00A81C4F" w:rsidRPr="007F4FC6"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rsidRPr="007F4FC6">
              <w:t xml:space="preserve"> 227,161 </w:t>
            </w:r>
          </w:p>
        </w:tc>
      </w:tr>
      <w:tr w:rsidR="00A81C4F" w14:paraId="206BD19A" w14:textId="77777777" w:rsidTr="00093F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2D860127" w14:textId="77777777" w:rsidR="00A81C4F" w:rsidRPr="007F4FC6" w:rsidRDefault="00A81C4F" w:rsidP="00A87A36">
            <w:pPr>
              <w:pStyle w:val="Normal-table"/>
            </w:pPr>
            <w:r w:rsidRPr="007F4FC6">
              <w:t>Mackay Transit Coaches Pty Ltd ACN 050 416 227</w:t>
            </w:r>
          </w:p>
        </w:tc>
        <w:tc>
          <w:tcPr>
            <w:tcW w:w="1370" w:type="pct"/>
          </w:tcPr>
          <w:p w14:paraId="08E6FC5B" w14:textId="77777777" w:rsidR="00A81C4F" w:rsidRPr="007F4FC6"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rsidRPr="007F4FC6">
              <w:t xml:space="preserve"> 4,919,735 </w:t>
            </w:r>
          </w:p>
        </w:tc>
      </w:tr>
      <w:tr w:rsidR="00A81C4F" w14:paraId="7ACFE273" w14:textId="77777777" w:rsidTr="00093FB8">
        <w:tc>
          <w:tcPr>
            <w:cnfStyle w:val="001000000000" w:firstRow="0" w:lastRow="0" w:firstColumn="1" w:lastColumn="0" w:oddVBand="0" w:evenVBand="0" w:oddHBand="0" w:evenHBand="0" w:firstRowFirstColumn="0" w:firstRowLastColumn="0" w:lastRowFirstColumn="0" w:lastRowLastColumn="0"/>
            <w:tcW w:w="3630" w:type="pct"/>
          </w:tcPr>
          <w:p w14:paraId="6354D0AB" w14:textId="77777777" w:rsidR="00A81C4F" w:rsidRPr="007F4FC6" w:rsidRDefault="00A81C4F" w:rsidP="00A87A36">
            <w:pPr>
              <w:pStyle w:val="Normal-table"/>
            </w:pPr>
            <w:r w:rsidRPr="007F4FC6">
              <w:t>Polleys Coaches Pty Ltd ACN 134 694 992</w:t>
            </w:r>
          </w:p>
        </w:tc>
        <w:tc>
          <w:tcPr>
            <w:tcW w:w="1370" w:type="pct"/>
          </w:tcPr>
          <w:p w14:paraId="47D61426" w14:textId="77777777" w:rsidR="00A81C4F" w:rsidRPr="007F4FC6"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rsidRPr="007F4FC6">
              <w:t xml:space="preserve"> 828,385 </w:t>
            </w:r>
          </w:p>
        </w:tc>
      </w:tr>
      <w:tr w:rsidR="00A81C4F" w14:paraId="3349B497" w14:textId="77777777" w:rsidTr="00093F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142F3E28" w14:textId="77777777" w:rsidR="00A81C4F" w:rsidRPr="007F4FC6" w:rsidRDefault="00A81C4F" w:rsidP="00A87A36">
            <w:pPr>
              <w:pStyle w:val="Normal-table"/>
            </w:pPr>
            <w:r w:rsidRPr="007F4FC6">
              <w:t>Stradbroke Island Buses Pty Ltd ACN 151 219 420</w:t>
            </w:r>
          </w:p>
        </w:tc>
        <w:tc>
          <w:tcPr>
            <w:tcW w:w="1370" w:type="pct"/>
          </w:tcPr>
          <w:p w14:paraId="7370390E" w14:textId="77777777" w:rsidR="00A81C4F" w:rsidRPr="007F4FC6"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rsidRPr="007F4FC6">
              <w:t xml:space="preserve"> 359,097 </w:t>
            </w:r>
          </w:p>
        </w:tc>
      </w:tr>
      <w:tr w:rsidR="00A81C4F" w14:paraId="13869D80" w14:textId="77777777" w:rsidTr="00093FB8">
        <w:tc>
          <w:tcPr>
            <w:cnfStyle w:val="001000000000" w:firstRow="0" w:lastRow="0" w:firstColumn="1" w:lastColumn="0" w:oddVBand="0" w:evenVBand="0" w:oddHBand="0" w:evenHBand="0" w:firstRowFirstColumn="0" w:firstRowLastColumn="0" w:lastRowFirstColumn="0" w:lastRowLastColumn="0"/>
            <w:tcW w:w="3630" w:type="pct"/>
          </w:tcPr>
          <w:p w14:paraId="2DA1CAEA" w14:textId="77777777" w:rsidR="00A81C4F" w:rsidRPr="007F4FC6" w:rsidRDefault="00A81C4F" w:rsidP="00A87A36">
            <w:pPr>
              <w:pStyle w:val="Normal-table"/>
            </w:pPr>
            <w:r w:rsidRPr="007F4FC6">
              <w:t>Toowoomba Transit Pty Ltd ACN 135 249 062 t/a Bus Queensland Toowoomba</w:t>
            </w:r>
          </w:p>
        </w:tc>
        <w:tc>
          <w:tcPr>
            <w:tcW w:w="1370" w:type="pct"/>
          </w:tcPr>
          <w:p w14:paraId="32F2467B" w14:textId="77777777" w:rsidR="00A81C4F" w:rsidRPr="007F4FC6"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rsidRPr="007F4FC6">
              <w:t xml:space="preserve"> 8,796,760 </w:t>
            </w:r>
          </w:p>
        </w:tc>
      </w:tr>
      <w:tr w:rsidR="00A81C4F" w14:paraId="6148D87E" w14:textId="77777777" w:rsidTr="00093F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2E54EF8C" w14:textId="77777777" w:rsidR="00A81C4F" w:rsidRPr="007F4FC6" w:rsidRDefault="00A81C4F" w:rsidP="00A87A36">
            <w:pPr>
              <w:pStyle w:val="Normal-table"/>
            </w:pPr>
            <w:r w:rsidRPr="007F4FC6">
              <w:t>Trans North Pty Ltd ACN 074 538 159 t/a Trans North Bus and Coach Service</w:t>
            </w:r>
          </w:p>
        </w:tc>
        <w:tc>
          <w:tcPr>
            <w:tcW w:w="1370" w:type="pct"/>
          </w:tcPr>
          <w:p w14:paraId="0B76A29B" w14:textId="77777777" w:rsidR="00A81C4F" w:rsidRPr="007F4FC6"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rsidRPr="007F4FC6">
              <w:t xml:space="preserve"> 298,037 </w:t>
            </w:r>
          </w:p>
        </w:tc>
      </w:tr>
      <w:tr w:rsidR="00A81C4F" w14:paraId="0ED307BF" w14:textId="77777777" w:rsidTr="00093FB8">
        <w:tc>
          <w:tcPr>
            <w:cnfStyle w:val="001000000000" w:firstRow="0" w:lastRow="0" w:firstColumn="1" w:lastColumn="0" w:oddVBand="0" w:evenVBand="0" w:oddHBand="0" w:evenHBand="0" w:firstRowFirstColumn="0" w:firstRowLastColumn="0" w:lastRowFirstColumn="0" w:lastRowLastColumn="0"/>
            <w:tcW w:w="3630" w:type="pct"/>
          </w:tcPr>
          <w:p w14:paraId="42A63EDA" w14:textId="77777777" w:rsidR="00A81C4F" w:rsidRPr="007F4FC6" w:rsidRDefault="00A81C4F" w:rsidP="00A87A36">
            <w:pPr>
              <w:pStyle w:val="Normal-table"/>
            </w:pPr>
            <w:r w:rsidRPr="007F4FC6">
              <w:t xml:space="preserve">Transit Australia Pty Ltd ACN 065 794 943 t/a Marlin Coast Sunbus </w:t>
            </w:r>
          </w:p>
        </w:tc>
        <w:tc>
          <w:tcPr>
            <w:tcW w:w="1370" w:type="pct"/>
          </w:tcPr>
          <w:p w14:paraId="7EC60C4E" w14:textId="77777777" w:rsidR="00A81C4F" w:rsidRPr="007F4FC6"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rsidRPr="007F4FC6">
              <w:t xml:space="preserve"> 20,231,220 </w:t>
            </w:r>
          </w:p>
        </w:tc>
      </w:tr>
      <w:tr w:rsidR="00A81C4F" w14:paraId="6B08A735" w14:textId="77777777" w:rsidTr="00093F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50DCE428" w14:textId="77777777" w:rsidR="00A81C4F" w:rsidRPr="007F4FC6" w:rsidRDefault="00A81C4F" w:rsidP="00A87A36">
            <w:pPr>
              <w:pStyle w:val="Normal-table"/>
            </w:pPr>
            <w:r w:rsidRPr="007F4FC6">
              <w:t>Transit Australia Pty Ltd ACN 065 794 943 t/a Capricorn Sunbus</w:t>
            </w:r>
          </w:p>
        </w:tc>
        <w:tc>
          <w:tcPr>
            <w:tcW w:w="1370" w:type="pct"/>
          </w:tcPr>
          <w:p w14:paraId="4529AE18" w14:textId="77777777" w:rsidR="00A81C4F" w:rsidRPr="007F4FC6"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rsidRPr="007F4FC6">
              <w:t xml:space="preserve"> 3,599,167 </w:t>
            </w:r>
          </w:p>
        </w:tc>
      </w:tr>
      <w:tr w:rsidR="00A81C4F" w14:paraId="17879ABF" w14:textId="77777777" w:rsidTr="00093FB8">
        <w:tc>
          <w:tcPr>
            <w:cnfStyle w:val="001000000000" w:firstRow="0" w:lastRow="0" w:firstColumn="1" w:lastColumn="0" w:oddVBand="0" w:evenVBand="0" w:oddHBand="0" w:evenHBand="0" w:firstRowFirstColumn="0" w:firstRowLastColumn="0" w:lastRowFirstColumn="0" w:lastRowLastColumn="0"/>
            <w:tcW w:w="3630" w:type="pct"/>
          </w:tcPr>
          <w:p w14:paraId="460389F3" w14:textId="77777777" w:rsidR="00A81C4F" w:rsidRPr="007F4FC6" w:rsidRDefault="00A81C4F" w:rsidP="00A87A36">
            <w:pPr>
              <w:pStyle w:val="Normal-table"/>
            </w:pPr>
            <w:r w:rsidRPr="007F4FC6">
              <w:t>Transit Australia Pty Ltd ACN 065 794 943 t/a Townsville Sunbus</w:t>
            </w:r>
          </w:p>
        </w:tc>
        <w:tc>
          <w:tcPr>
            <w:tcW w:w="1370" w:type="pct"/>
          </w:tcPr>
          <w:p w14:paraId="10D0061F" w14:textId="77777777" w:rsidR="00A81C4F" w:rsidRPr="007F4FC6"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rsidRPr="007F4FC6">
              <w:t xml:space="preserve"> 15,446,446 </w:t>
            </w:r>
          </w:p>
        </w:tc>
      </w:tr>
      <w:tr w:rsidR="00A81C4F" w14:paraId="07752B6F" w14:textId="77777777" w:rsidTr="00093F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48484FCD" w14:textId="77777777" w:rsidR="00A81C4F" w:rsidRPr="007F4FC6" w:rsidRDefault="00A81C4F" w:rsidP="00A87A36">
            <w:pPr>
              <w:pStyle w:val="Normal-table"/>
            </w:pPr>
            <w:r w:rsidRPr="007F4FC6">
              <w:t>Bits Assets Pty Ltd ABN 54 108 661 945</w:t>
            </w:r>
          </w:p>
        </w:tc>
        <w:tc>
          <w:tcPr>
            <w:tcW w:w="1370" w:type="pct"/>
          </w:tcPr>
          <w:p w14:paraId="192A5114" w14:textId="77777777" w:rsidR="00A81C4F" w:rsidRPr="007F4FC6"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rsidRPr="007F4FC6">
              <w:t xml:space="preserve"> 496,033 </w:t>
            </w:r>
          </w:p>
        </w:tc>
      </w:tr>
      <w:tr w:rsidR="00A81C4F" w14:paraId="105E29F2" w14:textId="77777777" w:rsidTr="00093FB8">
        <w:tc>
          <w:tcPr>
            <w:cnfStyle w:val="001000000000" w:firstRow="0" w:lastRow="0" w:firstColumn="1" w:lastColumn="0" w:oddVBand="0" w:evenVBand="0" w:oddHBand="0" w:evenHBand="0" w:firstRowFirstColumn="0" w:firstRowLastColumn="0" w:lastRowFirstColumn="0" w:lastRowLastColumn="0"/>
            <w:tcW w:w="3630" w:type="pct"/>
          </w:tcPr>
          <w:p w14:paraId="350FF985" w14:textId="77777777" w:rsidR="00A81C4F" w:rsidRPr="007F4FC6" w:rsidRDefault="00A81C4F" w:rsidP="00A87A36">
            <w:pPr>
              <w:pStyle w:val="Normal-table"/>
            </w:pPr>
            <w:r w:rsidRPr="007F4FC6">
              <w:t>The trustee for the Shelley Family Trust ABN 53 548 037 515 t/a Altitude Bus Service</w:t>
            </w:r>
          </w:p>
        </w:tc>
        <w:tc>
          <w:tcPr>
            <w:tcW w:w="1370" w:type="pct"/>
          </w:tcPr>
          <w:p w14:paraId="40E445FF" w14:textId="77777777" w:rsidR="00A81C4F" w:rsidRPr="007F4FC6"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rsidRPr="007F4FC6">
              <w:t xml:space="preserve"> 2170 </w:t>
            </w:r>
          </w:p>
        </w:tc>
      </w:tr>
      <w:tr w:rsidR="00A81C4F" w14:paraId="766899E4" w14:textId="77777777" w:rsidTr="00093F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077BE862" w14:textId="77777777" w:rsidR="00A81C4F" w:rsidRPr="007F4FC6" w:rsidRDefault="00A81C4F" w:rsidP="00A87A36">
            <w:pPr>
              <w:pStyle w:val="Normal-table"/>
            </w:pPr>
            <w:r w:rsidRPr="007F4FC6">
              <w:t>The trustee for the Kuhlewein Family Trust ABN 84 513 135 332  t/a Coast and Country Buses</w:t>
            </w:r>
          </w:p>
        </w:tc>
        <w:tc>
          <w:tcPr>
            <w:tcW w:w="1370" w:type="pct"/>
          </w:tcPr>
          <w:p w14:paraId="378EA54F" w14:textId="77777777" w:rsidR="00A81C4F" w:rsidRPr="007F4FC6"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rsidRPr="007F4FC6">
              <w:t xml:space="preserve"> 11,220 </w:t>
            </w:r>
          </w:p>
        </w:tc>
      </w:tr>
      <w:tr w:rsidR="00A81C4F" w14:paraId="30C23E9D" w14:textId="77777777" w:rsidTr="00093FB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25E4C9FF" w14:textId="77777777" w:rsidR="00A81C4F" w:rsidRPr="007F4FC6" w:rsidRDefault="00A81C4F" w:rsidP="00A87A36">
            <w:pPr>
              <w:pStyle w:val="Normal-table"/>
            </w:pPr>
          </w:p>
        </w:tc>
        <w:tc>
          <w:tcPr>
            <w:tcW w:w="1370" w:type="pct"/>
          </w:tcPr>
          <w:p w14:paraId="55261360" w14:textId="77777777" w:rsidR="00A81C4F" w:rsidRPr="007F4FC6" w:rsidRDefault="00A81C4F" w:rsidP="00A87A36">
            <w:pPr>
              <w:pStyle w:val="Normal-table"/>
              <w:cnfStyle w:val="010000000000" w:firstRow="0" w:lastRow="1" w:firstColumn="0" w:lastColumn="0" w:oddVBand="0" w:evenVBand="0" w:oddHBand="0" w:evenHBand="0" w:firstRowFirstColumn="0" w:firstRowLastColumn="0" w:lastRowFirstColumn="0" w:lastRowLastColumn="0"/>
            </w:pPr>
            <w:r w:rsidRPr="007F4FC6">
              <w:t>$70,523,194</w:t>
            </w:r>
          </w:p>
        </w:tc>
      </w:tr>
    </w:tbl>
    <w:p w14:paraId="02B36D77" w14:textId="77777777" w:rsidR="00093FB8" w:rsidRDefault="00093FB8">
      <w:pPr>
        <w:spacing w:before="0" w:after="160" w:line="259" w:lineRule="auto"/>
        <w:rPr>
          <w:rFonts w:eastAsiaTheme="majorEastAsia" w:cstheme="majorBidi"/>
          <w:iCs/>
          <w:color w:val="0D0D0D" w:themeColor="text1" w:themeTint="F2"/>
          <w:sz w:val="24"/>
        </w:rPr>
      </w:pPr>
      <w:r>
        <w:br w:type="page"/>
      </w:r>
    </w:p>
    <w:p w14:paraId="4FE8314E" w14:textId="4B9A8A2B" w:rsidR="00A81C4F" w:rsidRPr="007F4FC6" w:rsidRDefault="00A81C4F" w:rsidP="00A81C4F">
      <w:pPr>
        <w:pStyle w:val="Heading4"/>
      </w:pPr>
      <w:r>
        <w:lastRenderedPageBreak/>
        <w:t>Ferry</w:t>
      </w:r>
    </w:p>
    <w:p w14:paraId="19B85EF8" w14:textId="77777777" w:rsidR="00A81C4F" w:rsidRPr="007F4FC6" w:rsidRDefault="00A81C4F" w:rsidP="00A81C4F">
      <w:pPr>
        <w:pStyle w:val="TableofFigures"/>
      </w:pPr>
      <w:r w:rsidRPr="007F4FC6">
        <w:t xml:space="preserve">Table </w:t>
      </w:r>
      <w:r>
        <w:t>70</w:t>
      </w:r>
      <w:r w:rsidRPr="007F4FC6">
        <w:t>: Passenger transport operator payments: Rest of Queensland</w:t>
      </w:r>
      <w:r>
        <w:t>—Ferry</w:t>
      </w:r>
      <w:r w:rsidRPr="007F4FC6">
        <w:t xml:space="preserve">  </w:t>
      </w:r>
    </w:p>
    <w:p w14:paraId="51201D92" w14:textId="77777777" w:rsidR="00A81C4F" w:rsidRPr="007F4FC6" w:rsidRDefault="00A81C4F" w:rsidP="00A81C4F">
      <w:pPr>
        <w:pStyle w:val="Caption"/>
      </w:pPr>
      <w:r w:rsidRPr="007F4FC6">
        <w:t xml:space="preserve">Payments are for the period of 1 July 2022 to 30 June 2023 and are GST exclusive </w:t>
      </w:r>
    </w:p>
    <w:tbl>
      <w:tblPr>
        <w:tblStyle w:val="GridTable4-Accent1"/>
        <w:tblW w:w="5000" w:type="pct"/>
        <w:tblLook w:val="04E0" w:firstRow="1" w:lastRow="1" w:firstColumn="1" w:lastColumn="0" w:noHBand="0" w:noVBand="1"/>
      </w:tblPr>
      <w:tblGrid>
        <w:gridCol w:w="7591"/>
        <w:gridCol w:w="2865"/>
      </w:tblGrid>
      <w:tr w:rsidR="00A81C4F" w14:paraId="305E13D0" w14:textId="77777777" w:rsidTr="00F84B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30" w:type="pct"/>
          </w:tcPr>
          <w:p w14:paraId="581B3CD5" w14:textId="77777777" w:rsidR="00A81C4F" w:rsidRPr="007F4FC6" w:rsidRDefault="00A81C4F" w:rsidP="00A87A36">
            <w:pPr>
              <w:pStyle w:val="Normal-table"/>
            </w:pPr>
            <w:r w:rsidRPr="007F4FC6">
              <w:t>Operator</w:t>
            </w:r>
          </w:p>
        </w:tc>
        <w:tc>
          <w:tcPr>
            <w:tcW w:w="1370" w:type="pct"/>
          </w:tcPr>
          <w:p w14:paraId="27F9AC92" w14:textId="77777777" w:rsidR="00A81C4F" w:rsidRPr="007F4FC6" w:rsidRDefault="00A81C4F" w:rsidP="00A87A36">
            <w:pPr>
              <w:pStyle w:val="Normal-table"/>
              <w:cnfStyle w:val="100000000000" w:firstRow="1" w:lastRow="0" w:firstColumn="0" w:lastColumn="0" w:oddVBand="0" w:evenVBand="0" w:oddHBand="0" w:evenHBand="0" w:firstRowFirstColumn="0" w:firstRowLastColumn="0" w:lastRowFirstColumn="0" w:lastRowLastColumn="0"/>
            </w:pPr>
            <w:r w:rsidRPr="007F4FC6">
              <w:t>$ Amount 2022–23</w:t>
            </w:r>
          </w:p>
        </w:tc>
      </w:tr>
      <w:tr w:rsidR="00A81C4F" w14:paraId="22D4771A" w14:textId="77777777" w:rsidTr="00F84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242AE3F0" w14:textId="77777777" w:rsidR="00A81C4F" w:rsidRPr="007F4FC6" w:rsidRDefault="00A81C4F" w:rsidP="00A87A36">
            <w:pPr>
              <w:pStyle w:val="Normal-table"/>
            </w:pPr>
            <w:r w:rsidRPr="007F4FC6">
              <w:t>Sea-Cat Charters Pty Ltd ABN 73 010 551 925 t/a Peddells Thursday Island Tours</w:t>
            </w:r>
          </w:p>
        </w:tc>
        <w:tc>
          <w:tcPr>
            <w:tcW w:w="1370" w:type="pct"/>
          </w:tcPr>
          <w:p w14:paraId="1C772BB5" w14:textId="77777777" w:rsidR="00A81C4F" w:rsidRPr="007F4FC6"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rsidRPr="007F4FC6">
              <w:t xml:space="preserve"> 185,681 </w:t>
            </w:r>
          </w:p>
        </w:tc>
      </w:tr>
      <w:tr w:rsidR="00A81C4F" w14:paraId="3E92EBEF" w14:textId="77777777" w:rsidTr="00F84BBB">
        <w:tc>
          <w:tcPr>
            <w:cnfStyle w:val="001000000000" w:firstRow="0" w:lastRow="0" w:firstColumn="1" w:lastColumn="0" w:oddVBand="0" w:evenVBand="0" w:oddHBand="0" w:evenHBand="0" w:firstRowFirstColumn="0" w:firstRowLastColumn="0" w:lastRowFirstColumn="0" w:lastRowLastColumn="0"/>
            <w:tcW w:w="3630" w:type="pct"/>
          </w:tcPr>
          <w:p w14:paraId="4BE9EAB3" w14:textId="77777777" w:rsidR="00A81C4F" w:rsidRPr="007F4FC6" w:rsidRDefault="00A81C4F" w:rsidP="00A87A36">
            <w:pPr>
              <w:pStyle w:val="Normal-table"/>
            </w:pPr>
            <w:r w:rsidRPr="007F4FC6">
              <w:t>Sealink Queensland Pty Ltd ACN 148 811 170</w:t>
            </w:r>
          </w:p>
        </w:tc>
        <w:tc>
          <w:tcPr>
            <w:tcW w:w="1370" w:type="pct"/>
          </w:tcPr>
          <w:p w14:paraId="67DDAF17" w14:textId="77777777" w:rsidR="00A81C4F" w:rsidRPr="007F4FC6"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rsidRPr="007F4FC6">
              <w:t xml:space="preserve"> 3,286,058 </w:t>
            </w:r>
          </w:p>
        </w:tc>
      </w:tr>
      <w:tr w:rsidR="00A81C4F" w14:paraId="4C4DEA0C" w14:textId="77777777" w:rsidTr="00F84BB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2571FCDA" w14:textId="77777777" w:rsidR="00A81C4F" w:rsidRPr="007F4FC6" w:rsidRDefault="00A81C4F" w:rsidP="00A87A36">
            <w:pPr>
              <w:pStyle w:val="Normal-table"/>
            </w:pPr>
          </w:p>
        </w:tc>
        <w:tc>
          <w:tcPr>
            <w:tcW w:w="1370" w:type="pct"/>
          </w:tcPr>
          <w:p w14:paraId="20FE068C" w14:textId="77777777" w:rsidR="00A81C4F" w:rsidRPr="007F4FC6" w:rsidRDefault="00A81C4F" w:rsidP="00A87A36">
            <w:pPr>
              <w:pStyle w:val="Normal-table"/>
              <w:cnfStyle w:val="010000000000" w:firstRow="0" w:lastRow="1" w:firstColumn="0" w:lastColumn="0" w:oddVBand="0" w:evenVBand="0" w:oddHBand="0" w:evenHBand="0" w:firstRowFirstColumn="0" w:firstRowLastColumn="0" w:lastRowFirstColumn="0" w:lastRowLastColumn="0"/>
            </w:pPr>
            <w:r w:rsidRPr="007F4FC6">
              <w:t>$3,471,739</w:t>
            </w:r>
          </w:p>
        </w:tc>
      </w:tr>
    </w:tbl>
    <w:p w14:paraId="2121BC64" w14:textId="77777777" w:rsidR="00A81C4F" w:rsidRPr="007F4FC6" w:rsidRDefault="00A81C4F" w:rsidP="00A81C4F">
      <w:pPr>
        <w:pStyle w:val="Heading4"/>
      </w:pPr>
      <w:r w:rsidRPr="00B64879">
        <w:t>Long distance rail</w:t>
      </w:r>
    </w:p>
    <w:p w14:paraId="26450E63" w14:textId="77777777" w:rsidR="00A81C4F" w:rsidRPr="007F4FC6" w:rsidRDefault="00A81C4F" w:rsidP="00A81C4F">
      <w:pPr>
        <w:pStyle w:val="TableofFigures"/>
      </w:pPr>
      <w:r w:rsidRPr="007F4FC6">
        <w:t xml:space="preserve">Table </w:t>
      </w:r>
      <w:r>
        <w:t>71</w:t>
      </w:r>
      <w:r w:rsidRPr="007F4FC6">
        <w:t>: Passenger transport operator payments: Rest of Queensland</w:t>
      </w:r>
      <w:r>
        <w:t>—</w:t>
      </w:r>
      <w:r w:rsidRPr="00B64879">
        <w:t>Long distance rail</w:t>
      </w:r>
    </w:p>
    <w:p w14:paraId="4245BF6F" w14:textId="77777777" w:rsidR="00A81C4F" w:rsidRPr="007F4FC6" w:rsidRDefault="00A81C4F" w:rsidP="00A81C4F">
      <w:pPr>
        <w:pStyle w:val="Caption"/>
      </w:pPr>
      <w:r w:rsidRPr="007F4FC6">
        <w:t xml:space="preserve">Payments are for the period of 1 July 2022 to 30 June 2023 and are GST exclusive </w:t>
      </w:r>
    </w:p>
    <w:tbl>
      <w:tblPr>
        <w:tblStyle w:val="GridTable4-Accent1"/>
        <w:tblW w:w="5000" w:type="pct"/>
        <w:tblLook w:val="04E0" w:firstRow="1" w:lastRow="1" w:firstColumn="1" w:lastColumn="0" w:noHBand="0" w:noVBand="1"/>
      </w:tblPr>
      <w:tblGrid>
        <w:gridCol w:w="7591"/>
        <w:gridCol w:w="2865"/>
      </w:tblGrid>
      <w:tr w:rsidR="00A81C4F" w14:paraId="3C866764" w14:textId="77777777" w:rsidTr="00F84B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30" w:type="pct"/>
          </w:tcPr>
          <w:p w14:paraId="08CDEC81" w14:textId="77777777" w:rsidR="00A81C4F" w:rsidRPr="007F4FC6" w:rsidRDefault="00A81C4F" w:rsidP="00A87A36">
            <w:pPr>
              <w:pStyle w:val="Normal-table"/>
            </w:pPr>
            <w:r w:rsidRPr="007F4FC6">
              <w:t>Operator</w:t>
            </w:r>
          </w:p>
        </w:tc>
        <w:tc>
          <w:tcPr>
            <w:tcW w:w="1370" w:type="pct"/>
          </w:tcPr>
          <w:p w14:paraId="5EF6C8E8" w14:textId="77777777" w:rsidR="00A81C4F" w:rsidRPr="007F4FC6" w:rsidRDefault="00A81C4F" w:rsidP="00A87A36">
            <w:pPr>
              <w:pStyle w:val="Normal-table"/>
              <w:cnfStyle w:val="100000000000" w:firstRow="1" w:lastRow="0" w:firstColumn="0" w:lastColumn="0" w:oddVBand="0" w:evenVBand="0" w:oddHBand="0" w:evenHBand="0" w:firstRowFirstColumn="0" w:firstRowLastColumn="0" w:lastRowFirstColumn="0" w:lastRowLastColumn="0"/>
            </w:pPr>
            <w:r w:rsidRPr="007F4FC6">
              <w:t>$ Amount 2022–23</w:t>
            </w:r>
          </w:p>
        </w:tc>
      </w:tr>
      <w:tr w:rsidR="00A81C4F" w14:paraId="637CEC3B" w14:textId="77777777" w:rsidTr="00F84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0B392B84" w14:textId="77777777" w:rsidR="00A81C4F" w:rsidRPr="00B64879" w:rsidRDefault="00A81C4F" w:rsidP="00A87A36">
            <w:pPr>
              <w:pStyle w:val="Normal-table"/>
            </w:pPr>
            <w:r w:rsidRPr="00B64879">
              <w:t>NSW Trains ACN 325 560 455 (NSW/QLD Interstate Rail Service Between Sydney &amp; Brisbane)</w:t>
            </w:r>
          </w:p>
        </w:tc>
        <w:tc>
          <w:tcPr>
            <w:tcW w:w="1370" w:type="pct"/>
          </w:tcPr>
          <w:p w14:paraId="2B4725AB" w14:textId="77777777" w:rsidR="00A81C4F" w:rsidRPr="00B64879"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rsidRPr="00B64879">
              <w:t xml:space="preserve"> 2,950,615 </w:t>
            </w:r>
          </w:p>
        </w:tc>
      </w:tr>
      <w:tr w:rsidR="00A81C4F" w14:paraId="480155DA" w14:textId="77777777" w:rsidTr="00F84BBB">
        <w:tc>
          <w:tcPr>
            <w:cnfStyle w:val="001000000000" w:firstRow="0" w:lastRow="0" w:firstColumn="1" w:lastColumn="0" w:oddVBand="0" w:evenVBand="0" w:oddHBand="0" w:evenHBand="0" w:firstRowFirstColumn="0" w:firstRowLastColumn="0" w:lastRowFirstColumn="0" w:lastRowLastColumn="0"/>
            <w:tcW w:w="3630" w:type="pct"/>
          </w:tcPr>
          <w:p w14:paraId="4A7F8ED7" w14:textId="77777777" w:rsidR="00A81C4F" w:rsidRPr="00B64879" w:rsidRDefault="00A81C4F" w:rsidP="00A87A36">
            <w:pPr>
              <w:pStyle w:val="Normal-table"/>
            </w:pPr>
            <w:r w:rsidRPr="00B64879">
              <w:t>Cairns Kuranda Steam Limited Partnership ACN 997 390 112 (Savannahlander)</w:t>
            </w:r>
          </w:p>
        </w:tc>
        <w:tc>
          <w:tcPr>
            <w:tcW w:w="1370" w:type="pct"/>
          </w:tcPr>
          <w:p w14:paraId="1A97AE2B" w14:textId="77777777" w:rsidR="00A81C4F" w:rsidRPr="00B64879"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rsidRPr="00B64879">
              <w:t xml:space="preserve"> 2,033,907 </w:t>
            </w:r>
          </w:p>
        </w:tc>
      </w:tr>
      <w:tr w:rsidR="00A81C4F" w14:paraId="281C9CF9" w14:textId="77777777" w:rsidTr="00F84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764768CE" w14:textId="77777777" w:rsidR="00A81C4F" w:rsidRPr="00B64879" w:rsidRDefault="00A81C4F" w:rsidP="00A87A36">
            <w:pPr>
              <w:pStyle w:val="Normal-table"/>
            </w:pPr>
            <w:r w:rsidRPr="00B64879">
              <w:t>Queensland Rail Limited ACN 132 181 090</w:t>
            </w:r>
          </w:p>
        </w:tc>
        <w:tc>
          <w:tcPr>
            <w:tcW w:w="1370" w:type="pct"/>
          </w:tcPr>
          <w:p w14:paraId="2C8C9428" w14:textId="77777777" w:rsidR="00A81C4F" w:rsidRPr="00B64879"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rsidRPr="00B64879">
              <w:t xml:space="preserve"> 533,030,478 </w:t>
            </w:r>
          </w:p>
        </w:tc>
      </w:tr>
      <w:tr w:rsidR="00A81C4F" w14:paraId="69960327" w14:textId="77777777" w:rsidTr="00F84BB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6CBEB926" w14:textId="77777777" w:rsidR="00A81C4F" w:rsidRPr="00B64879" w:rsidRDefault="00A81C4F" w:rsidP="00A87A36">
            <w:pPr>
              <w:pStyle w:val="Normal-table"/>
            </w:pPr>
          </w:p>
        </w:tc>
        <w:tc>
          <w:tcPr>
            <w:tcW w:w="1370" w:type="pct"/>
          </w:tcPr>
          <w:p w14:paraId="6BD1C596" w14:textId="77777777" w:rsidR="00A81C4F" w:rsidRPr="00B64879" w:rsidRDefault="00A81C4F" w:rsidP="00A87A36">
            <w:pPr>
              <w:pStyle w:val="Normal-table"/>
              <w:cnfStyle w:val="010000000000" w:firstRow="0" w:lastRow="1" w:firstColumn="0" w:lastColumn="0" w:oddVBand="0" w:evenVBand="0" w:oddHBand="0" w:evenHBand="0" w:firstRowFirstColumn="0" w:firstRowLastColumn="0" w:lastRowFirstColumn="0" w:lastRowLastColumn="0"/>
            </w:pPr>
            <w:r w:rsidRPr="00B64879">
              <w:t>$538,015,000</w:t>
            </w:r>
          </w:p>
        </w:tc>
      </w:tr>
    </w:tbl>
    <w:p w14:paraId="1BBBDDF8" w14:textId="77777777" w:rsidR="00A81C4F" w:rsidRPr="007F4FC6" w:rsidRDefault="00A81C4F" w:rsidP="00A81C4F">
      <w:pPr>
        <w:pStyle w:val="Heading4"/>
      </w:pPr>
      <w:r w:rsidRPr="00B64879">
        <w:t>Regional air</w:t>
      </w:r>
    </w:p>
    <w:p w14:paraId="113F38DB" w14:textId="77777777" w:rsidR="00A81C4F" w:rsidRPr="007F4FC6" w:rsidRDefault="00A81C4F" w:rsidP="00A81C4F">
      <w:pPr>
        <w:pStyle w:val="TableofFigures"/>
      </w:pPr>
      <w:r w:rsidRPr="007F4FC6">
        <w:t xml:space="preserve">Table </w:t>
      </w:r>
      <w:r>
        <w:t>72</w:t>
      </w:r>
      <w:r w:rsidRPr="007F4FC6">
        <w:t>: Passenger transport operator payments: Rest of Queensland</w:t>
      </w:r>
      <w:r>
        <w:t>—</w:t>
      </w:r>
      <w:r w:rsidRPr="00B64879">
        <w:t>Regional air</w:t>
      </w:r>
      <w:r w:rsidRPr="007F4FC6">
        <w:t xml:space="preserve">  </w:t>
      </w:r>
    </w:p>
    <w:p w14:paraId="4174E128" w14:textId="77777777" w:rsidR="00A81C4F" w:rsidRPr="007F4FC6" w:rsidRDefault="00A81C4F" w:rsidP="00A81C4F">
      <w:pPr>
        <w:pStyle w:val="Caption"/>
      </w:pPr>
      <w:r w:rsidRPr="007F4FC6">
        <w:t xml:space="preserve">Payments are for the period of 1 July 2022 to 30 June 2023 and are GST exclusive </w:t>
      </w:r>
    </w:p>
    <w:tbl>
      <w:tblPr>
        <w:tblStyle w:val="GridTable4-Accent1"/>
        <w:tblW w:w="5000" w:type="pct"/>
        <w:tblLook w:val="04E0" w:firstRow="1" w:lastRow="1" w:firstColumn="1" w:lastColumn="0" w:noHBand="0" w:noVBand="1"/>
      </w:tblPr>
      <w:tblGrid>
        <w:gridCol w:w="7591"/>
        <w:gridCol w:w="2865"/>
      </w:tblGrid>
      <w:tr w:rsidR="00A81C4F" w14:paraId="39F4CFEE" w14:textId="77777777" w:rsidTr="00F84B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30" w:type="pct"/>
          </w:tcPr>
          <w:p w14:paraId="3BEE8CD4" w14:textId="77777777" w:rsidR="00A81C4F" w:rsidRPr="007F4FC6" w:rsidRDefault="00A81C4F" w:rsidP="00A87A36">
            <w:pPr>
              <w:pStyle w:val="Normal-table"/>
            </w:pPr>
            <w:r w:rsidRPr="007F4FC6">
              <w:t>Operator</w:t>
            </w:r>
          </w:p>
        </w:tc>
        <w:tc>
          <w:tcPr>
            <w:tcW w:w="1370" w:type="pct"/>
          </w:tcPr>
          <w:p w14:paraId="499D7DED" w14:textId="77777777" w:rsidR="00A81C4F" w:rsidRPr="007F4FC6" w:rsidRDefault="00A81C4F" w:rsidP="00A87A36">
            <w:pPr>
              <w:pStyle w:val="Normal-table"/>
              <w:cnfStyle w:val="100000000000" w:firstRow="1" w:lastRow="0" w:firstColumn="0" w:lastColumn="0" w:oddVBand="0" w:evenVBand="0" w:oddHBand="0" w:evenHBand="0" w:firstRowFirstColumn="0" w:firstRowLastColumn="0" w:lastRowFirstColumn="0" w:lastRowLastColumn="0"/>
            </w:pPr>
            <w:r w:rsidRPr="007F4FC6">
              <w:t>$ Amount 2022–23</w:t>
            </w:r>
          </w:p>
        </w:tc>
      </w:tr>
      <w:tr w:rsidR="00A81C4F" w14:paraId="76F636B1" w14:textId="77777777" w:rsidTr="00F84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7FD9A756" w14:textId="77777777" w:rsidR="00A81C4F" w:rsidRPr="00B64879" w:rsidRDefault="00A81C4F" w:rsidP="00A87A36">
            <w:pPr>
              <w:pStyle w:val="Normal-table"/>
            </w:pPr>
            <w:r w:rsidRPr="00B64879">
              <w:t>Qantas Airways Ltd ACN 009 661 901</w:t>
            </w:r>
          </w:p>
        </w:tc>
        <w:tc>
          <w:tcPr>
            <w:tcW w:w="1370" w:type="pct"/>
          </w:tcPr>
          <w:p w14:paraId="5BF59231" w14:textId="77777777" w:rsidR="00A81C4F" w:rsidRPr="00B64879"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rsidRPr="00B64879">
              <w:t xml:space="preserve"> 3,310,525 </w:t>
            </w:r>
          </w:p>
        </w:tc>
      </w:tr>
      <w:tr w:rsidR="00A81C4F" w14:paraId="0613D86D" w14:textId="77777777" w:rsidTr="00F84BBB">
        <w:tc>
          <w:tcPr>
            <w:cnfStyle w:val="001000000000" w:firstRow="0" w:lastRow="0" w:firstColumn="1" w:lastColumn="0" w:oddVBand="0" w:evenVBand="0" w:oddHBand="0" w:evenHBand="0" w:firstRowFirstColumn="0" w:firstRowLastColumn="0" w:lastRowFirstColumn="0" w:lastRowLastColumn="0"/>
            <w:tcW w:w="3630" w:type="pct"/>
          </w:tcPr>
          <w:p w14:paraId="5E9D1CC9" w14:textId="77777777" w:rsidR="00A81C4F" w:rsidRPr="00B64879" w:rsidRDefault="00A81C4F" w:rsidP="00A87A36">
            <w:pPr>
              <w:pStyle w:val="Normal-table"/>
            </w:pPr>
            <w:r w:rsidRPr="00B64879">
              <w:t>Regional Express Pty Ltd ACN 101 325 642</w:t>
            </w:r>
          </w:p>
        </w:tc>
        <w:tc>
          <w:tcPr>
            <w:tcW w:w="1370" w:type="pct"/>
          </w:tcPr>
          <w:p w14:paraId="4C6627DB" w14:textId="77777777" w:rsidR="00A81C4F" w:rsidRPr="00B64879"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rsidRPr="00B64879">
              <w:t xml:space="preserve"> 12,260,705 </w:t>
            </w:r>
          </w:p>
        </w:tc>
      </w:tr>
      <w:tr w:rsidR="00A81C4F" w14:paraId="4B2E9111" w14:textId="77777777" w:rsidTr="00F84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4262753C" w14:textId="77777777" w:rsidR="00A81C4F" w:rsidRPr="00B64879" w:rsidRDefault="00A81C4F" w:rsidP="00A87A36">
            <w:pPr>
              <w:pStyle w:val="Normal-table"/>
            </w:pPr>
            <w:r w:rsidRPr="00B64879">
              <w:t>Skytrans Pty Ltd ACN 100 751 139</w:t>
            </w:r>
          </w:p>
        </w:tc>
        <w:tc>
          <w:tcPr>
            <w:tcW w:w="1370" w:type="pct"/>
          </w:tcPr>
          <w:p w14:paraId="56385C02" w14:textId="77777777" w:rsidR="00A81C4F" w:rsidRPr="00B64879"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rsidRPr="00B64879">
              <w:t xml:space="preserve"> 1,778,107 </w:t>
            </w:r>
          </w:p>
        </w:tc>
      </w:tr>
      <w:tr w:rsidR="00A81C4F" w14:paraId="08241C61" w14:textId="77777777" w:rsidTr="00F84BBB">
        <w:tc>
          <w:tcPr>
            <w:cnfStyle w:val="001000000000" w:firstRow="0" w:lastRow="0" w:firstColumn="1" w:lastColumn="0" w:oddVBand="0" w:evenVBand="0" w:oddHBand="0" w:evenHBand="0" w:firstRowFirstColumn="0" w:firstRowLastColumn="0" w:lastRowFirstColumn="0" w:lastRowLastColumn="0"/>
            <w:tcW w:w="3630" w:type="pct"/>
          </w:tcPr>
          <w:p w14:paraId="548018EF" w14:textId="77777777" w:rsidR="00A81C4F" w:rsidRPr="00B64879" w:rsidRDefault="00A81C4F" w:rsidP="00A87A36">
            <w:pPr>
              <w:pStyle w:val="Normal-table"/>
            </w:pPr>
            <w:r w:rsidRPr="00B64879">
              <w:t>Hinterland Aviation Pty Ltd ACN 010 617 893</w:t>
            </w:r>
          </w:p>
        </w:tc>
        <w:tc>
          <w:tcPr>
            <w:tcW w:w="1370" w:type="pct"/>
          </w:tcPr>
          <w:p w14:paraId="514967E8" w14:textId="77777777" w:rsidR="00A81C4F" w:rsidRPr="00B64879"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rsidRPr="00B64879">
              <w:t xml:space="preserve"> 347,636 </w:t>
            </w:r>
          </w:p>
        </w:tc>
      </w:tr>
      <w:tr w:rsidR="00A81C4F" w14:paraId="6E2B2577" w14:textId="77777777" w:rsidTr="00F84BB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6C617AB2" w14:textId="77777777" w:rsidR="00A81C4F" w:rsidRPr="00B64879" w:rsidRDefault="00A81C4F" w:rsidP="00A87A36">
            <w:pPr>
              <w:pStyle w:val="Normal-table"/>
            </w:pPr>
          </w:p>
        </w:tc>
        <w:tc>
          <w:tcPr>
            <w:tcW w:w="1370" w:type="pct"/>
          </w:tcPr>
          <w:p w14:paraId="72ACE71D" w14:textId="77777777" w:rsidR="00A81C4F" w:rsidRPr="00B64879" w:rsidRDefault="00A81C4F" w:rsidP="00A87A36">
            <w:pPr>
              <w:pStyle w:val="Normal-table"/>
              <w:cnfStyle w:val="010000000000" w:firstRow="0" w:lastRow="1" w:firstColumn="0" w:lastColumn="0" w:oddVBand="0" w:evenVBand="0" w:oddHBand="0" w:evenHBand="0" w:firstRowFirstColumn="0" w:firstRowLastColumn="0" w:lastRowFirstColumn="0" w:lastRowLastColumn="0"/>
            </w:pPr>
            <w:r w:rsidRPr="00B64879">
              <w:t>$17,696,973</w:t>
            </w:r>
          </w:p>
        </w:tc>
      </w:tr>
    </w:tbl>
    <w:p w14:paraId="131AC706" w14:textId="77777777" w:rsidR="00093FB8" w:rsidRDefault="00093FB8" w:rsidP="00A81C4F">
      <w:pPr>
        <w:pStyle w:val="Heading4"/>
      </w:pPr>
    </w:p>
    <w:p w14:paraId="3358E036" w14:textId="77777777" w:rsidR="00093FB8" w:rsidRDefault="00093FB8">
      <w:pPr>
        <w:spacing w:before="0" w:after="160" w:line="259" w:lineRule="auto"/>
        <w:rPr>
          <w:rFonts w:eastAsiaTheme="majorEastAsia" w:cstheme="majorBidi"/>
          <w:iCs/>
          <w:color w:val="0D0D0D" w:themeColor="text1" w:themeTint="F2"/>
          <w:sz w:val="24"/>
        </w:rPr>
      </w:pPr>
      <w:r>
        <w:br w:type="page"/>
      </w:r>
    </w:p>
    <w:p w14:paraId="7AB60962" w14:textId="0551EF60" w:rsidR="00A81C4F" w:rsidRPr="007F4FC6" w:rsidRDefault="00A81C4F" w:rsidP="00A81C4F">
      <w:pPr>
        <w:pStyle w:val="Heading4"/>
      </w:pPr>
      <w:r w:rsidRPr="00B64879">
        <w:lastRenderedPageBreak/>
        <w:t>Long distance bus</w:t>
      </w:r>
    </w:p>
    <w:p w14:paraId="3492EE23" w14:textId="77777777" w:rsidR="00A81C4F" w:rsidRPr="007F4FC6" w:rsidRDefault="00A81C4F" w:rsidP="00A81C4F">
      <w:pPr>
        <w:pStyle w:val="TableofFigures"/>
      </w:pPr>
      <w:r w:rsidRPr="007F4FC6">
        <w:t xml:space="preserve">Table </w:t>
      </w:r>
      <w:r>
        <w:t>73</w:t>
      </w:r>
      <w:r w:rsidRPr="007F4FC6">
        <w:t>: Passenger transport operator payments: Rest of Queensland</w:t>
      </w:r>
      <w:r>
        <w:t>—</w:t>
      </w:r>
      <w:r w:rsidRPr="00B64879">
        <w:t>Long distance bus</w:t>
      </w:r>
    </w:p>
    <w:p w14:paraId="03C6802C" w14:textId="77777777" w:rsidR="00A81C4F" w:rsidRPr="007F4FC6" w:rsidRDefault="00A81C4F" w:rsidP="00A81C4F">
      <w:pPr>
        <w:pStyle w:val="Caption"/>
      </w:pPr>
      <w:r w:rsidRPr="007F4FC6">
        <w:t xml:space="preserve">Payments are for the period of 1 July 2022 to 30 June 2023 and are GST exclusive </w:t>
      </w:r>
    </w:p>
    <w:tbl>
      <w:tblPr>
        <w:tblStyle w:val="GridTable4-Accent1"/>
        <w:tblW w:w="5000" w:type="pct"/>
        <w:tblLook w:val="04E0" w:firstRow="1" w:lastRow="1" w:firstColumn="1" w:lastColumn="0" w:noHBand="0" w:noVBand="1"/>
      </w:tblPr>
      <w:tblGrid>
        <w:gridCol w:w="7591"/>
        <w:gridCol w:w="2865"/>
      </w:tblGrid>
      <w:tr w:rsidR="00A81C4F" w14:paraId="363ACD85" w14:textId="77777777" w:rsidTr="00F84B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30" w:type="pct"/>
          </w:tcPr>
          <w:p w14:paraId="712FC816" w14:textId="77777777" w:rsidR="00A81C4F" w:rsidRPr="007F4FC6" w:rsidRDefault="00A81C4F" w:rsidP="00A87A36">
            <w:pPr>
              <w:pStyle w:val="Normal-table"/>
            </w:pPr>
            <w:r w:rsidRPr="007F4FC6">
              <w:t>Operator</w:t>
            </w:r>
          </w:p>
        </w:tc>
        <w:tc>
          <w:tcPr>
            <w:tcW w:w="1370" w:type="pct"/>
          </w:tcPr>
          <w:p w14:paraId="511BE55C" w14:textId="77777777" w:rsidR="00A81C4F" w:rsidRPr="007F4FC6" w:rsidRDefault="00A81C4F" w:rsidP="00A87A36">
            <w:pPr>
              <w:pStyle w:val="Normal-table"/>
              <w:cnfStyle w:val="100000000000" w:firstRow="1" w:lastRow="0" w:firstColumn="0" w:lastColumn="0" w:oddVBand="0" w:evenVBand="0" w:oddHBand="0" w:evenHBand="0" w:firstRowFirstColumn="0" w:firstRowLastColumn="0" w:lastRowFirstColumn="0" w:lastRowLastColumn="0"/>
            </w:pPr>
            <w:r w:rsidRPr="007F4FC6">
              <w:t>$ Amount 2022–23</w:t>
            </w:r>
          </w:p>
        </w:tc>
      </w:tr>
      <w:tr w:rsidR="00A81C4F" w14:paraId="498C86A9" w14:textId="77777777" w:rsidTr="00F84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08EB2BA8" w14:textId="77777777" w:rsidR="00A81C4F" w:rsidRPr="00B64879" w:rsidRDefault="00A81C4F" w:rsidP="00A87A36">
            <w:pPr>
              <w:pStyle w:val="Normal-table"/>
            </w:pPr>
            <w:r w:rsidRPr="00B64879">
              <w:t>Greyhound Australia Pty Ltd ACN 104 326 383</w:t>
            </w:r>
          </w:p>
        </w:tc>
        <w:tc>
          <w:tcPr>
            <w:tcW w:w="1370" w:type="pct"/>
          </w:tcPr>
          <w:p w14:paraId="40F67252" w14:textId="77777777" w:rsidR="00A81C4F" w:rsidRPr="00B64879"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rsidRPr="00B64879">
              <w:t xml:space="preserve"> 3,404,030 </w:t>
            </w:r>
          </w:p>
        </w:tc>
      </w:tr>
      <w:tr w:rsidR="00A81C4F" w14:paraId="298BA4E4" w14:textId="77777777" w:rsidTr="00F84BBB">
        <w:tc>
          <w:tcPr>
            <w:cnfStyle w:val="001000000000" w:firstRow="0" w:lastRow="0" w:firstColumn="1" w:lastColumn="0" w:oddVBand="0" w:evenVBand="0" w:oddHBand="0" w:evenHBand="0" w:firstRowFirstColumn="0" w:firstRowLastColumn="0" w:lastRowFirstColumn="0" w:lastRowLastColumn="0"/>
            <w:tcW w:w="3630" w:type="pct"/>
          </w:tcPr>
          <w:p w14:paraId="2F16D730" w14:textId="77777777" w:rsidR="00A81C4F" w:rsidRPr="00B64879" w:rsidRDefault="00A81C4F" w:rsidP="00A87A36">
            <w:pPr>
              <w:pStyle w:val="Normal-table"/>
            </w:pPr>
            <w:r w:rsidRPr="00B64879">
              <w:t>Mackay Transit Coaches Pty Ltd ACN 050 416 227</w:t>
            </w:r>
          </w:p>
        </w:tc>
        <w:tc>
          <w:tcPr>
            <w:tcW w:w="1370" w:type="pct"/>
          </w:tcPr>
          <w:p w14:paraId="1A4A2574" w14:textId="77777777" w:rsidR="00A81C4F" w:rsidRPr="00B64879"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rsidRPr="00B64879">
              <w:t xml:space="preserve"> 381,877 </w:t>
            </w:r>
          </w:p>
        </w:tc>
      </w:tr>
      <w:tr w:rsidR="00A81C4F" w14:paraId="37BADEAE" w14:textId="77777777" w:rsidTr="00F84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6D4178D2" w14:textId="77777777" w:rsidR="00A81C4F" w:rsidRPr="00B64879" w:rsidRDefault="00A81C4F" w:rsidP="00A87A36">
            <w:pPr>
              <w:pStyle w:val="Normal-table"/>
            </w:pPr>
            <w:r w:rsidRPr="00B64879">
              <w:t>North Burnett Regional Council ABN 23 439 388 197</w:t>
            </w:r>
          </w:p>
        </w:tc>
        <w:tc>
          <w:tcPr>
            <w:tcW w:w="1370" w:type="pct"/>
          </w:tcPr>
          <w:p w14:paraId="03C500C3" w14:textId="77777777" w:rsidR="00A81C4F" w:rsidRPr="00B64879"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rsidRPr="00B64879">
              <w:t xml:space="preserve"> 533,713 </w:t>
            </w:r>
          </w:p>
        </w:tc>
      </w:tr>
      <w:tr w:rsidR="00A81C4F" w14:paraId="2FF51C48" w14:textId="77777777" w:rsidTr="00F84BBB">
        <w:tc>
          <w:tcPr>
            <w:cnfStyle w:val="001000000000" w:firstRow="0" w:lastRow="0" w:firstColumn="1" w:lastColumn="0" w:oddVBand="0" w:evenVBand="0" w:oddHBand="0" w:evenHBand="0" w:firstRowFirstColumn="0" w:firstRowLastColumn="0" w:lastRowFirstColumn="0" w:lastRowLastColumn="0"/>
            <w:tcW w:w="3630" w:type="pct"/>
          </w:tcPr>
          <w:p w14:paraId="16FD88A3" w14:textId="77777777" w:rsidR="00A81C4F" w:rsidRPr="00B64879" w:rsidRDefault="00A81C4F" w:rsidP="00A87A36">
            <w:pPr>
              <w:pStyle w:val="Normal-table"/>
            </w:pPr>
            <w:r w:rsidRPr="00B64879">
              <w:t>Murrays Australia Pty Limited ABN 65 008 468 666 t/a Murrays Coaches</w:t>
            </w:r>
          </w:p>
        </w:tc>
        <w:tc>
          <w:tcPr>
            <w:tcW w:w="1370" w:type="pct"/>
          </w:tcPr>
          <w:p w14:paraId="176F9D60" w14:textId="77777777" w:rsidR="00A81C4F" w:rsidRPr="00B64879"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rsidRPr="00B64879">
              <w:t xml:space="preserve"> 936,795 </w:t>
            </w:r>
          </w:p>
        </w:tc>
      </w:tr>
      <w:tr w:rsidR="00A81C4F" w14:paraId="4E6A500B" w14:textId="77777777" w:rsidTr="00F84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694AB6AB" w14:textId="77777777" w:rsidR="00A81C4F" w:rsidRPr="00B64879" w:rsidRDefault="00A81C4F" w:rsidP="00A87A36">
            <w:pPr>
              <w:pStyle w:val="Normal-table"/>
            </w:pPr>
            <w:r w:rsidRPr="00B64879">
              <w:t>Trans North Pty Ltd ACN 074 538 159 t/a Trans North Bus and Coach Service</w:t>
            </w:r>
          </w:p>
        </w:tc>
        <w:tc>
          <w:tcPr>
            <w:tcW w:w="1370" w:type="pct"/>
          </w:tcPr>
          <w:p w14:paraId="724EA705" w14:textId="77777777" w:rsidR="00A81C4F" w:rsidRPr="00B64879"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rsidRPr="00B64879">
              <w:t xml:space="preserve"> 686,793 </w:t>
            </w:r>
          </w:p>
        </w:tc>
      </w:tr>
      <w:tr w:rsidR="00A81C4F" w14:paraId="3DF1DB98" w14:textId="77777777" w:rsidTr="00F84BB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5F8D9F1E" w14:textId="77777777" w:rsidR="00A81C4F" w:rsidRPr="00B64879" w:rsidRDefault="00A81C4F" w:rsidP="00A87A36">
            <w:pPr>
              <w:pStyle w:val="Normal-table"/>
            </w:pPr>
          </w:p>
        </w:tc>
        <w:tc>
          <w:tcPr>
            <w:tcW w:w="1370" w:type="pct"/>
          </w:tcPr>
          <w:p w14:paraId="571E3C08" w14:textId="77777777" w:rsidR="00A81C4F" w:rsidRPr="00B64879" w:rsidRDefault="00A81C4F" w:rsidP="00A87A36">
            <w:pPr>
              <w:pStyle w:val="Normal-table"/>
              <w:cnfStyle w:val="010000000000" w:firstRow="0" w:lastRow="1" w:firstColumn="0" w:lastColumn="0" w:oddVBand="0" w:evenVBand="0" w:oddHBand="0" w:evenHBand="0" w:firstRowFirstColumn="0" w:firstRowLastColumn="0" w:lastRowFirstColumn="0" w:lastRowLastColumn="0"/>
            </w:pPr>
            <w:r w:rsidRPr="00B64879">
              <w:t>$5,943,208</w:t>
            </w:r>
          </w:p>
        </w:tc>
      </w:tr>
    </w:tbl>
    <w:p w14:paraId="55B175AF" w14:textId="77777777" w:rsidR="00A81C4F" w:rsidRPr="007F4FC6" w:rsidRDefault="00A81C4F" w:rsidP="00A81C4F">
      <w:pPr>
        <w:pStyle w:val="Heading4"/>
      </w:pPr>
      <w:r w:rsidRPr="00B64879">
        <w:t>Regional railbus</w:t>
      </w:r>
    </w:p>
    <w:p w14:paraId="13FC970B" w14:textId="77777777" w:rsidR="00A81C4F" w:rsidRPr="007F4FC6" w:rsidRDefault="00A81C4F" w:rsidP="00A81C4F">
      <w:pPr>
        <w:pStyle w:val="TableofFigures"/>
      </w:pPr>
      <w:r w:rsidRPr="007F4FC6">
        <w:t xml:space="preserve">Table </w:t>
      </w:r>
      <w:r>
        <w:t>74</w:t>
      </w:r>
      <w:r w:rsidRPr="007F4FC6">
        <w:t>: Passenger transport operator payments: Rest of Queensland</w:t>
      </w:r>
      <w:r>
        <w:t>—</w:t>
      </w:r>
      <w:r w:rsidRPr="00B64879">
        <w:t>Regional railbus</w:t>
      </w:r>
    </w:p>
    <w:p w14:paraId="5C3B2AA8" w14:textId="77777777" w:rsidR="00A81C4F" w:rsidRPr="007F4FC6" w:rsidRDefault="00A81C4F" w:rsidP="00A81C4F">
      <w:pPr>
        <w:pStyle w:val="Caption"/>
      </w:pPr>
      <w:r w:rsidRPr="007F4FC6">
        <w:t xml:space="preserve">Payments are for the period of 1 July 2022 to 30 June 2023 and are GST exclusive </w:t>
      </w:r>
    </w:p>
    <w:tbl>
      <w:tblPr>
        <w:tblStyle w:val="GridTable4-Accent1"/>
        <w:tblW w:w="5000" w:type="pct"/>
        <w:tblLook w:val="04E0" w:firstRow="1" w:lastRow="1" w:firstColumn="1" w:lastColumn="0" w:noHBand="0" w:noVBand="1"/>
      </w:tblPr>
      <w:tblGrid>
        <w:gridCol w:w="7591"/>
        <w:gridCol w:w="2865"/>
      </w:tblGrid>
      <w:tr w:rsidR="00A81C4F" w14:paraId="2001BF67" w14:textId="77777777" w:rsidTr="00F84B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30" w:type="pct"/>
          </w:tcPr>
          <w:p w14:paraId="64E04892" w14:textId="77777777" w:rsidR="00A81C4F" w:rsidRPr="007F4FC6" w:rsidRDefault="00A81C4F" w:rsidP="00A87A36">
            <w:pPr>
              <w:pStyle w:val="Normal-table"/>
            </w:pPr>
            <w:r w:rsidRPr="007F4FC6">
              <w:t>Operator</w:t>
            </w:r>
          </w:p>
        </w:tc>
        <w:tc>
          <w:tcPr>
            <w:tcW w:w="1370" w:type="pct"/>
          </w:tcPr>
          <w:p w14:paraId="0B4CE534" w14:textId="77777777" w:rsidR="00A81C4F" w:rsidRPr="007F4FC6" w:rsidRDefault="00A81C4F" w:rsidP="00A87A36">
            <w:pPr>
              <w:pStyle w:val="Normal-table"/>
              <w:cnfStyle w:val="100000000000" w:firstRow="1" w:lastRow="0" w:firstColumn="0" w:lastColumn="0" w:oddVBand="0" w:evenVBand="0" w:oddHBand="0" w:evenHBand="0" w:firstRowFirstColumn="0" w:firstRowLastColumn="0" w:lastRowFirstColumn="0" w:lastRowLastColumn="0"/>
            </w:pPr>
            <w:r w:rsidRPr="007F4FC6">
              <w:t>$ Amount 2022–23</w:t>
            </w:r>
          </w:p>
        </w:tc>
      </w:tr>
      <w:tr w:rsidR="00A81C4F" w14:paraId="7B7C23E6" w14:textId="77777777" w:rsidTr="00F84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7E189F24" w14:textId="77777777" w:rsidR="00A81C4F" w:rsidRPr="00B64879" w:rsidRDefault="00A81C4F" w:rsidP="00A87A36">
            <w:pPr>
              <w:pStyle w:val="Normal-table"/>
            </w:pPr>
            <w:r w:rsidRPr="00B64879">
              <w:t>TD &amp; GR Eckel Pty Ltd ACN 074 098 114</w:t>
            </w:r>
          </w:p>
        </w:tc>
        <w:tc>
          <w:tcPr>
            <w:tcW w:w="1370" w:type="pct"/>
          </w:tcPr>
          <w:p w14:paraId="119E2849" w14:textId="77777777" w:rsidR="00A81C4F" w:rsidRPr="00B64879"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rsidRPr="00B64879">
              <w:t xml:space="preserve"> 235,010 </w:t>
            </w:r>
          </w:p>
        </w:tc>
      </w:tr>
      <w:tr w:rsidR="00A81C4F" w14:paraId="14FA396D" w14:textId="77777777" w:rsidTr="00F84BBB">
        <w:tc>
          <w:tcPr>
            <w:cnfStyle w:val="001000000000" w:firstRow="0" w:lastRow="0" w:firstColumn="1" w:lastColumn="0" w:oddVBand="0" w:evenVBand="0" w:oddHBand="0" w:evenHBand="0" w:firstRowFirstColumn="0" w:firstRowLastColumn="0" w:lastRowFirstColumn="0" w:lastRowLastColumn="0"/>
            <w:tcW w:w="3630" w:type="pct"/>
          </w:tcPr>
          <w:p w14:paraId="647A3546" w14:textId="77777777" w:rsidR="00A81C4F" w:rsidRPr="00B64879" w:rsidRDefault="00A81C4F" w:rsidP="00A87A36">
            <w:pPr>
              <w:pStyle w:val="Normal-table"/>
            </w:pPr>
            <w:r w:rsidRPr="00B64879">
              <w:t>Outback Aussie Tours Pty Ltd ACN 010 813 313</w:t>
            </w:r>
          </w:p>
        </w:tc>
        <w:tc>
          <w:tcPr>
            <w:tcW w:w="1370" w:type="pct"/>
          </w:tcPr>
          <w:p w14:paraId="3F5AAF0C" w14:textId="77777777" w:rsidR="00A81C4F" w:rsidRPr="00B64879"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rsidRPr="00B64879">
              <w:t xml:space="preserve"> 117,907 </w:t>
            </w:r>
          </w:p>
        </w:tc>
      </w:tr>
      <w:tr w:rsidR="00A81C4F" w14:paraId="4EAE2234" w14:textId="77777777" w:rsidTr="00F84BB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5E79CACF" w14:textId="77777777" w:rsidR="00A81C4F" w:rsidRPr="00B64879" w:rsidRDefault="00A81C4F" w:rsidP="00A87A36">
            <w:pPr>
              <w:pStyle w:val="Normal-table"/>
            </w:pPr>
          </w:p>
        </w:tc>
        <w:tc>
          <w:tcPr>
            <w:tcW w:w="1370" w:type="pct"/>
          </w:tcPr>
          <w:p w14:paraId="01665A98" w14:textId="77777777" w:rsidR="00A81C4F" w:rsidRPr="00B64879" w:rsidRDefault="00A81C4F" w:rsidP="00A87A36">
            <w:pPr>
              <w:pStyle w:val="Normal-table"/>
              <w:cnfStyle w:val="010000000000" w:firstRow="0" w:lastRow="1" w:firstColumn="0" w:lastColumn="0" w:oddVBand="0" w:evenVBand="0" w:oddHBand="0" w:evenHBand="0" w:firstRowFirstColumn="0" w:firstRowLastColumn="0" w:lastRowFirstColumn="0" w:lastRowLastColumn="0"/>
            </w:pPr>
            <w:r w:rsidRPr="00B64879">
              <w:t>$352,917</w:t>
            </w:r>
          </w:p>
        </w:tc>
      </w:tr>
    </w:tbl>
    <w:p w14:paraId="37E13167" w14:textId="77777777" w:rsidR="00A81C4F" w:rsidRDefault="00A81C4F" w:rsidP="00A81C4F">
      <w:pPr>
        <w:pStyle w:val="Heading4"/>
      </w:pPr>
      <w:r>
        <w:t>Total payments</w:t>
      </w:r>
    </w:p>
    <w:p w14:paraId="55311AE7" w14:textId="77777777" w:rsidR="00A81C4F" w:rsidRDefault="00A81C4F" w:rsidP="00A81C4F">
      <w:pPr>
        <w:pStyle w:val="TableofFigures"/>
      </w:pPr>
      <w:r w:rsidRPr="00B64879">
        <w:t xml:space="preserve">Table </w:t>
      </w:r>
      <w:r>
        <w:t>75</w:t>
      </w:r>
      <w:r w:rsidRPr="00B64879">
        <w:t>: Passenger transport operator payments: Rest of Queensland</w:t>
      </w:r>
      <w:r>
        <w:t>—Total payments</w:t>
      </w:r>
    </w:p>
    <w:p w14:paraId="57E1EBA1" w14:textId="77777777" w:rsidR="00A81C4F" w:rsidRDefault="00A81C4F" w:rsidP="00A81C4F">
      <w:pPr>
        <w:pStyle w:val="Caption"/>
      </w:pPr>
      <w:r>
        <w:t xml:space="preserve">Payments are for the period of 1 July 2022 to 30 June 2023 and are GST exclusive </w:t>
      </w:r>
    </w:p>
    <w:tbl>
      <w:tblPr>
        <w:tblStyle w:val="GridTable4-Accent1"/>
        <w:tblW w:w="5000" w:type="pct"/>
        <w:tblLook w:val="04E0" w:firstRow="1" w:lastRow="1" w:firstColumn="1" w:lastColumn="0" w:noHBand="0" w:noVBand="1"/>
      </w:tblPr>
      <w:tblGrid>
        <w:gridCol w:w="7591"/>
        <w:gridCol w:w="2865"/>
      </w:tblGrid>
      <w:tr w:rsidR="00A81C4F" w14:paraId="21903176" w14:textId="77777777" w:rsidTr="00F84B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111965EB" w14:textId="77777777" w:rsidR="00A81C4F" w:rsidRDefault="00A81C4F" w:rsidP="00A87A36">
            <w:pPr>
              <w:pStyle w:val="Normal-table"/>
            </w:pPr>
          </w:p>
        </w:tc>
        <w:tc>
          <w:tcPr>
            <w:tcW w:w="1370" w:type="pct"/>
          </w:tcPr>
          <w:p w14:paraId="1667A777" w14:textId="77777777" w:rsidR="00A81C4F" w:rsidRDefault="00A81C4F" w:rsidP="00A87A36">
            <w:pPr>
              <w:pStyle w:val="Normal-table"/>
              <w:cnfStyle w:val="100000000000" w:firstRow="1" w:lastRow="0" w:firstColumn="0" w:lastColumn="0" w:oddVBand="0" w:evenVBand="0" w:oddHBand="0" w:evenHBand="0" w:firstRowFirstColumn="0" w:firstRowLastColumn="0" w:lastRowFirstColumn="0" w:lastRowLastColumn="0"/>
            </w:pPr>
            <w:r>
              <w:t>$ Amount 2022–23</w:t>
            </w:r>
          </w:p>
        </w:tc>
      </w:tr>
      <w:tr w:rsidR="00A81C4F" w14:paraId="5DA1400D" w14:textId="77777777" w:rsidTr="00F84BB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0" w:type="pct"/>
          </w:tcPr>
          <w:p w14:paraId="33C63C4E" w14:textId="77777777" w:rsidR="00A81C4F" w:rsidRPr="00B64879" w:rsidRDefault="00A81C4F" w:rsidP="00A87A36">
            <w:pPr>
              <w:pStyle w:val="Normal-table"/>
            </w:pPr>
            <w:r w:rsidRPr="00B64879">
              <w:t>Total payments</w:t>
            </w:r>
          </w:p>
        </w:tc>
        <w:tc>
          <w:tcPr>
            <w:tcW w:w="1370" w:type="pct"/>
          </w:tcPr>
          <w:p w14:paraId="57045E44" w14:textId="77777777" w:rsidR="00A81C4F" w:rsidRPr="00B64879" w:rsidRDefault="00A81C4F" w:rsidP="00A87A36">
            <w:pPr>
              <w:pStyle w:val="Normal-table"/>
              <w:cnfStyle w:val="010000000000" w:firstRow="0" w:lastRow="1" w:firstColumn="0" w:lastColumn="0" w:oddVBand="0" w:evenVBand="0" w:oddHBand="0" w:evenHBand="0" w:firstRowFirstColumn="0" w:firstRowLastColumn="0" w:lastRowFirstColumn="0" w:lastRowLastColumn="0"/>
            </w:pPr>
            <w:r w:rsidRPr="00B64879">
              <w:t>$636,003,031</w:t>
            </w:r>
          </w:p>
        </w:tc>
      </w:tr>
    </w:tbl>
    <w:p w14:paraId="1982BFE1" w14:textId="77777777" w:rsidR="00093FB8" w:rsidRDefault="00093FB8" w:rsidP="00A81C4F">
      <w:pPr>
        <w:pStyle w:val="Heading2"/>
        <w:rPr>
          <w:lang w:val="en-AU"/>
        </w:rPr>
      </w:pPr>
    </w:p>
    <w:p w14:paraId="716A4406" w14:textId="77777777" w:rsidR="00093FB8" w:rsidRDefault="00093FB8">
      <w:pPr>
        <w:spacing w:before="0" w:after="160" w:line="259" w:lineRule="auto"/>
        <w:rPr>
          <w:rFonts w:eastAsiaTheme="majorEastAsia" w:cstheme="majorBidi"/>
          <w:color w:val="000000" w:themeColor="text1"/>
          <w:sz w:val="48"/>
          <w:szCs w:val="26"/>
          <w:lang w:val="en-AU"/>
        </w:rPr>
      </w:pPr>
      <w:r>
        <w:rPr>
          <w:lang w:val="en-AU"/>
        </w:rPr>
        <w:br w:type="page"/>
      </w:r>
    </w:p>
    <w:p w14:paraId="4985A04A" w14:textId="4807E1B2" w:rsidR="00A81C4F" w:rsidRDefault="00A81C4F" w:rsidP="00A81C4F">
      <w:pPr>
        <w:pStyle w:val="Heading2"/>
        <w:rPr>
          <w:lang w:val="en-AU"/>
        </w:rPr>
      </w:pPr>
      <w:r w:rsidRPr="00265281">
        <w:rPr>
          <w:lang w:val="en-AU"/>
        </w:rPr>
        <w:lastRenderedPageBreak/>
        <w:t>Appendix 6</w:t>
      </w:r>
      <w:r>
        <w:t xml:space="preserve"> –</w:t>
      </w:r>
      <w:r w:rsidRPr="00265281">
        <w:rPr>
          <w:lang w:val="en-AU"/>
        </w:rPr>
        <w:t xml:space="preserve"> Queensland Government bodies (statutory bodies and other entities) </w:t>
      </w:r>
    </w:p>
    <w:p w14:paraId="266302A3" w14:textId="77777777" w:rsidR="00A81C4F" w:rsidRDefault="00A81C4F" w:rsidP="00A81C4F">
      <w:pPr>
        <w:pStyle w:val="Heading3"/>
        <w:rPr>
          <w:lang w:val="en-AU"/>
        </w:rPr>
      </w:pPr>
      <w:r w:rsidRPr="0044565E">
        <w:rPr>
          <w:lang w:val="en-AU"/>
        </w:rPr>
        <w:t>Public Transport Fares Advisory Panel</w:t>
      </w:r>
    </w:p>
    <w:tbl>
      <w:tblPr>
        <w:tblStyle w:val="GridTable4-Accent1"/>
        <w:tblW w:w="5000" w:type="pct"/>
        <w:tblLook w:val="04A0" w:firstRow="1" w:lastRow="0" w:firstColumn="1" w:lastColumn="0" w:noHBand="0" w:noVBand="1"/>
      </w:tblPr>
      <w:tblGrid>
        <w:gridCol w:w="2453"/>
        <w:gridCol w:w="8003"/>
      </w:tblGrid>
      <w:tr w:rsidR="00A81C4F" w14:paraId="039D3119" w14:textId="77777777" w:rsidTr="00A87A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73" w:type="pct"/>
          </w:tcPr>
          <w:p w14:paraId="3F68F331" w14:textId="77777777" w:rsidR="00A81C4F" w:rsidRPr="0044565E" w:rsidRDefault="00A81C4F" w:rsidP="00A87A36">
            <w:pPr>
              <w:pStyle w:val="Normal-table"/>
            </w:pPr>
            <w:r w:rsidRPr="0044565E">
              <w:t xml:space="preserve">Act or instrument </w:t>
            </w:r>
          </w:p>
        </w:tc>
        <w:tc>
          <w:tcPr>
            <w:tcW w:w="3827" w:type="pct"/>
          </w:tcPr>
          <w:p w14:paraId="38467FAF" w14:textId="77777777" w:rsidR="00A81C4F" w:rsidRPr="0044565E" w:rsidRDefault="00A81C4F" w:rsidP="00A87A36">
            <w:pPr>
              <w:pStyle w:val="Normal-table"/>
              <w:cnfStyle w:val="100000000000" w:firstRow="1" w:lastRow="0" w:firstColumn="0" w:lastColumn="0" w:oddVBand="0" w:evenVBand="0" w:oddHBand="0" w:evenHBand="0" w:firstRowFirstColumn="0" w:firstRowLastColumn="0" w:lastRowFirstColumn="0" w:lastRowLastColumn="0"/>
            </w:pPr>
            <w:r w:rsidRPr="0044565E">
              <w:t xml:space="preserve">Terms of Reference </w:t>
            </w:r>
          </w:p>
        </w:tc>
      </w:tr>
      <w:tr w:rsidR="00A81C4F" w14:paraId="21F5DD47"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3" w:type="pct"/>
          </w:tcPr>
          <w:p w14:paraId="40713B5D" w14:textId="77777777" w:rsidR="00A81C4F" w:rsidRPr="0044565E" w:rsidRDefault="00A81C4F" w:rsidP="00A87A36">
            <w:pPr>
              <w:pStyle w:val="Normal-table"/>
            </w:pPr>
            <w:r w:rsidRPr="0044565E">
              <w:t xml:space="preserve">Functions </w:t>
            </w:r>
          </w:p>
        </w:tc>
        <w:tc>
          <w:tcPr>
            <w:tcW w:w="3827" w:type="pct"/>
          </w:tcPr>
          <w:p w14:paraId="52FF29DD" w14:textId="77777777" w:rsidR="00A81C4F" w:rsidRPr="0044565E"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rsidRPr="0044565E">
              <w:t xml:space="preserve">The purpose of the Panel is to provide independent expert advice to the Queensland Government on changes it may propose to public transport fares, products, and ticketing in the future. </w:t>
            </w:r>
          </w:p>
        </w:tc>
      </w:tr>
      <w:tr w:rsidR="00A81C4F" w14:paraId="5CB42DB4" w14:textId="77777777" w:rsidTr="00A87A36">
        <w:tc>
          <w:tcPr>
            <w:cnfStyle w:val="001000000000" w:firstRow="0" w:lastRow="0" w:firstColumn="1" w:lastColumn="0" w:oddVBand="0" w:evenVBand="0" w:oddHBand="0" w:evenHBand="0" w:firstRowFirstColumn="0" w:firstRowLastColumn="0" w:lastRowFirstColumn="0" w:lastRowLastColumn="0"/>
            <w:tcW w:w="1173" w:type="pct"/>
          </w:tcPr>
          <w:p w14:paraId="7036A609" w14:textId="77777777" w:rsidR="00A81C4F" w:rsidRPr="0044565E" w:rsidRDefault="00A81C4F" w:rsidP="00A87A36">
            <w:pPr>
              <w:pStyle w:val="Normal-table"/>
            </w:pPr>
            <w:r w:rsidRPr="0044565E">
              <w:t xml:space="preserve">Achievements </w:t>
            </w:r>
          </w:p>
        </w:tc>
        <w:tc>
          <w:tcPr>
            <w:tcW w:w="3827" w:type="pct"/>
          </w:tcPr>
          <w:p w14:paraId="7B8C9EC7" w14:textId="77777777" w:rsidR="00A81C4F" w:rsidRPr="0044565E"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rsidRPr="0044565E">
              <w:t xml:space="preserve">The Panel met once during 2022–23 to consider and provide advice on fare policy proposals. </w:t>
            </w:r>
          </w:p>
        </w:tc>
      </w:tr>
      <w:tr w:rsidR="00A81C4F" w14:paraId="09DBDAC7"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3" w:type="pct"/>
          </w:tcPr>
          <w:p w14:paraId="074A4483" w14:textId="77777777" w:rsidR="00A81C4F" w:rsidRPr="0044565E" w:rsidRDefault="00A81C4F" w:rsidP="00A87A36">
            <w:pPr>
              <w:pStyle w:val="Normal-table"/>
            </w:pPr>
            <w:r w:rsidRPr="0044565E">
              <w:t xml:space="preserve">Financial reporting </w:t>
            </w:r>
          </w:p>
        </w:tc>
        <w:tc>
          <w:tcPr>
            <w:tcW w:w="3827" w:type="pct"/>
          </w:tcPr>
          <w:p w14:paraId="4732FB34" w14:textId="77777777" w:rsidR="00A81C4F" w:rsidRPr="0044565E"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rsidRPr="0044565E">
              <w:t>Transactions for the Public Transport Fares Advisory Panel are accounted for as part of the Department of Transport and Main Roads</w:t>
            </w:r>
            <w:r>
              <w:t>'</w:t>
            </w:r>
            <w:r w:rsidRPr="0044565E">
              <w:t xml:space="preserve"> Financial Statements process. </w:t>
            </w:r>
          </w:p>
        </w:tc>
      </w:tr>
    </w:tbl>
    <w:p w14:paraId="5264B273" w14:textId="77777777" w:rsidR="00A81C4F" w:rsidRDefault="00A81C4F" w:rsidP="00A81C4F">
      <w:pPr>
        <w:pStyle w:val="Heading3"/>
        <w:rPr>
          <w:lang w:val="en-AU"/>
        </w:rPr>
      </w:pPr>
      <w:r w:rsidRPr="0044565E">
        <w:rPr>
          <w:lang w:val="en-AU"/>
        </w:rPr>
        <w:t>Remuneration</w:t>
      </w:r>
    </w:p>
    <w:tbl>
      <w:tblPr>
        <w:tblStyle w:val="GridTable4-Accent1"/>
        <w:tblW w:w="5000" w:type="pct"/>
        <w:tblLook w:val="04E0" w:firstRow="1" w:lastRow="1" w:firstColumn="1" w:lastColumn="0" w:noHBand="0" w:noVBand="1"/>
      </w:tblPr>
      <w:tblGrid>
        <w:gridCol w:w="1950"/>
        <w:gridCol w:w="1643"/>
        <w:gridCol w:w="1880"/>
        <w:gridCol w:w="1658"/>
        <w:gridCol w:w="1667"/>
        <w:gridCol w:w="1658"/>
      </w:tblGrid>
      <w:tr w:rsidR="00A81C4F" w14:paraId="38DE988C" w14:textId="77777777" w:rsidTr="00F84B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 w:type="pct"/>
          </w:tcPr>
          <w:p w14:paraId="7C1EBB6B" w14:textId="77777777" w:rsidR="00A81C4F" w:rsidRPr="0044565E" w:rsidRDefault="00A81C4F" w:rsidP="00F84BBB">
            <w:pPr>
              <w:pStyle w:val="Normal-table"/>
            </w:pPr>
            <w:r w:rsidRPr="0044565E">
              <w:t xml:space="preserve">Position </w:t>
            </w:r>
          </w:p>
        </w:tc>
        <w:tc>
          <w:tcPr>
            <w:tcW w:w="785" w:type="pct"/>
          </w:tcPr>
          <w:p w14:paraId="4208E950" w14:textId="77777777" w:rsidR="00A81C4F" w:rsidRPr="0044565E" w:rsidRDefault="00A81C4F" w:rsidP="00F84BBB">
            <w:pPr>
              <w:pStyle w:val="Normal-table"/>
              <w:cnfStyle w:val="100000000000" w:firstRow="1" w:lastRow="0" w:firstColumn="0" w:lastColumn="0" w:oddVBand="0" w:evenVBand="0" w:oddHBand="0" w:evenHBand="0" w:firstRowFirstColumn="0" w:firstRowLastColumn="0" w:lastRowFirstColumn="0" w:lastRowLastColumn="0"/>
            </w:pPr>
            <w:r w:rsidRPr="0044565E">
              <w:t xml:space="preserve">Name </w:t>
            </w:r>
          </w:p>
        </w:tc>
        <w:tc>
          <w:tcPr>
            <w:tcW w:w="899" w:type="pct"/>
          </w:tcPr>
          <w:p w14:paraId="6AEB7C33" w14:textId="77777777" w:rsidR="00A81C4F" w:rsidRPr="0044565E" w:rsidRDefault="00A81C4F" w:rsidP="00F84BBB">
            <w:pPr>
              <w:pStyle w:val="Normal-table"/>
              <w:cnfStyle w:val="100000000000" w:firstRow="1" w:lastRow="0" w:firstColumn="0" w:lastColumn="0" w:oddVBand="0" w:evenVBand="0" w:oddHBand="0" w:evenHBand="0" w:firstRowFirstColumn="0" w:firstRowLastColumn="0" w:lastRowFirstColumn="0" w:lastRowLastColumn="0"/>
            </w:pPr>
            <w:r w:rsidRPr="0044565E">
              <w:t xml:space="preserve">Meetings/session attendance </w:t>
            </w:r>
          </w:p>
        </w:tc>
        <w:tc>
          <w:tcPr>
            <w:tcW w:w="793" w:type="pct"/>
          </w:tcPr>
          <w:p w14:paraId="67089E12" w14:textId="77777777" w:rsidR="00A81C4F" w:rsidRPr="0044565E" w:rsidRDefault="00A81C4F" w:rsidP="00F84BBB">
            <w:pPr>
              <w:pStyle w:val="Normal-table"/>
              <w:cnfStyle w:val="100000000000" w:firstRow="1" w:lastRow="0" w:firstColumn="0" w:lastColumn="0" w:oddVBand="0" w:evenVBand="0" w:oddHBand="0" w:evenHBand="0" w:firstRowFirstColumn="0" w:firstRowLastColumn="0" w:lastRowFirstColumn="0" w:lastRowLastColumn="0"/>
            </w:pPr>
            <w:r w:rsidRPr="0044565E">
              <w:t xml:space="preserve">Approved annual, sessional or daily fee </w:t>
            </w:r>
          </w:p>
        </w:tc>
        <w:tc>
          <w:tcPr>
            <w:tcW w:w="797" w:type="pct"/>
          </w:tcPr>
          <w:p w14:paraId="50A507F5" w14:textId="77777777" w:rsidR="00A81C4F" w:rsidRPr="0044565E" w:rsidRDefault="00A81C4F" w:rsidP="00F84BBB">
            <w:pPr>
              <w:pStyle w:val="Normal-table"/>
              <w:cnfStyle w:val="100000000000" w:firstRow="1" w:lastRow="0" w:firstColumn="0" w:lastColumn="0" w:oddVBand="0" w:evenVBand="0" w:oddHBand="0" w:evenHBand="0" w:firstRowFirstColumn="0" w:firstRowLastColumn="0" w:lastRowFirstColumn="0" w:lastRowLastColumn="0"/>
            </w:pPr>
            <w:r w:rsidRPr="0044565E">
              <w:t xml:space="preserve">Approved sub-committee fees if applicable </w:t>
            </w:r>
          </w:p>
        </w:tc>
        <w:tc>
          <w:tcPr>
            <w:tcW w:w="793" w:type="pct"/>
          </w:tcPr>
          <w:p w14:paraId="662F1FAA" w14:textId="77777777" w:rsidR="00A81C4F" w:rsidRPr="0044565E" w:rsidRDefault="00A81C4F" w:rsidP="00F84BBB">
            <w:pPr>
              <w:pStyle w:val="Normal-table"/>
              <w:cnfStyle w:val="100000000000" w:firstRow="1" w:lastRow="0" w:firstColumn="0" w:lastColumn="0" w:oddVBand="0" w:evenVBand="0" w:oddHBand="0" w:evenHBand="0" w:firstRowFirstColumn="0" w:firstRowLastColumn="0" w:lastRowFirstColumn="0" w:lastRowLastColumn="0"/>
            </w:pPr>
            <w:r w:rsidRPr="0044565E">
              <w:t xml:space="preserve">TMR payments </w:t>
            </w:r>
          </w:p>
        </w:tc>
      </w:tr>
      <w:tr w:rsidR="00A81C4F" w14:paraId="1009B8DA" w14:textId="77777777" w:rsidTr="00F84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 w:type="pct"/>
          </w:tcPr>
          <w:p w14:paraId="4E8EF9E4" w14:textId="77777777" w:rsidR="00A81C4F" w:rsidRPr="0044565E" w:rsidRDefault="00A81C4F" w:rsidP="00F84BBB">
            <w:pPr>
              <w:pStyle w:val="Normal-table"/>
            </w:pPr>
            <w:r w:rsidRPr="0044565E">
              <w:t xml:space="preserve">Chair </w:t>
            </w:r>
          </w:p>
        </w:tc>
        <w:tc>
          <w:tcPr>
            <w:tcW w:w="785" w:type="pct"/>
          </w:tcPr>
          <w:p w14:paraId="5E158129" w14:textId="77777777" w:rsidR="00A81C4F" w:rsidRPr="0044565E" w:rsidRDefault="00A81C4F" w:rsidP="00F84BBB">
            <w:pPr>
              <w:pStyle w:val="Normal-table"/>
              <w:cnfStyle w:val="000000100000" w:firstRow="0" w:lastRow="0" w:firstColumn="0" w:lastColumn="0" w:oddVBand="0" w:evenVBand="0" w:oddHBand="1" w:evenHBand="0" w:firstRowFirstColumn="0" w:firstRowLastColumn="0" w:lastRowFirstColumn="0" w:lastRowLastColumn="0"/>
            </w:pPr>
            <w:r w:rsidRPr="0044565E">
              <w:t xml:space="preserve">Paul Low </w:t>
            </w:r>
          </w:p>
        </w:tc>
        <w:tc>
          <w:tcPr>
            <w:tcW w:w="899" w:type="pct"/>
          </w:tcPr>
          <w:p w14:paraId="7A08D9DB" w14:textId="77777777" w:rsidR="00A81C4F" w:rsidRPr="0044565E" w:rsidRDefault="00A81C4F" w:rsidP="00F84BBB">
            <w:pPr>
              <w:pStyle w:val="Normal-table"/>
              <w:cnfStyle w:val="000000100000" w:firstRow="0" w:lastRow="0" w:firstColumn="0" w:lastColumn="0" w:oddVBand="0" w:evenVBand="0" w:oddHBand="1" w:evenHBand="0" w:firstRowFirstColumn="0" w:firstRowLastColumn="0" w:lastRowFirstColumn="0" w:lastRowLastColumn="0"/>
            </w:pPr>
            <w:r w:rsidRPr="0044565E">
              <w:t xml:space="preserve">1 </w:t>
            </w:r>
          </w:p>
        </w:tc>
        <w:tc>
          <w:tcPr>
            <w:tcW w:w="793" w:type="pct"/>
          </w:tcPr>
          <w:p w14:paraId="409AB034" w14:textId="77777777" w:rsidR="00A81C4F" w:rsidRPr="0044565E" w:rsidRDefault="00A81C4F" w:rsidP="00F84BBB">
            <w:pPr>
              <w:pStyle w:val="Normal-table"/>
              <w:cnfStyle w:val="000000100000" w:firstRow="0" w:lastRow="0" w:firstColumn="0" w:lastColumn="0" w:oddVBand="0" w:evenVBand="0" w:oddHBand="1" w:evenHBand="0" w:firstRowFirstColumn="0" w:firstRowLastColumn="0" w:lastRowFirstColumn="0" w:lastRowLastColumn="0"/>
            </w:pPr>
            <w:r w:rsidRPr="0044565E">
              <w:t xml:space="preserve">$390 daily </w:t>
            </w:r>
          </w:p>
        </w:tc>
        <w:tc>
          <w:tcPr>
            <w:tcW w:w="797" w:type="pct"/>
          </w:tcPr>
          <w:p w14:paraId="0966884C" w14:textId="77777777" w:rsidR="00A81C4F" w:rsidRPr="0044565E" w:rsidRDefault="00A81C4F" w:rsidP="00F84BBB">
            <w:pPr>
              <w:pStyle w:val="Normal-table"/>
              <w:cnfStyle w:val="000000100000" w:firstRow="0" w:lastRow="0" w:firstColumn="0" w:lastColumn="0" w:oddVBand="0" w:evenVBand="0" w:oddHBand="1" w:evenHBand="0" w:firstRowFirstColumn="0" w:firstRowLastColumn="0" w:lastRowFirstColumn="0" w:lastRowLastColumn="0"/>
            </w:pPr>
            <w:r w:rsidRPr="0044565E">
              <w:t xml:space="preserve">N/A </w:t>
            </w:r>
          </w:p>
        </w:tc>
        <w:tc>
          <w:tcPr>
            <w:tcW w:w="793" w:type="pct"/>
          </w:tcPr>
          <w:p w14:paraId="3D877113" w14:textId="77777777" w:rsidR="00A81C4F" w:rsidRPr="0044565E" w:rsidRDefault="00A81C4F" w:rsidP="00F84BBB">
            <w:pPr>
              <w:pStyle w:val="Normal-table"/>
              <w:cnfStyle w:val="000000100000" w:firstRow="0" w:lastRow="0" w:firstColumn="0" w:lastColumn="0" w:oddVBand="0" w:evenVBand="0" w:oddHBand="1" w:evenHBand="0" w:firstRowFirstColumn="0" w:firstRowLastColumn="0" w:lastRowFirstColumn="0" w:lastRowLastColumn="0"/>
            </w:pPr>
            <w:r w:rsidRPr="0044565E">
              <w:t xml:space="preserve">$195 </w:t>
            </w:r>
          </w:p>
        </w:tc>
      </w:tr>
      <w:tr w:rsidR="00A81C4F" w14:paraId="00466525" w14:textId="77777777" w:rsidTr="00F84BBB">
        <w:tc>
          <w:tcPr>
            <w:cnfStyle w:val="001000000000" w:firstRow="0" w:lastRow="0" w:firstColumn="1" w:lastColumn="0" w:oddVBand="0" w:evenVBand="0" w:oddHBand="0" w:evenHBand="0" w:firstRowFirstColumn="0" w:firstRowLastColumn="0" w:lastRowFirstColumn="0" w:lastRowLastColumn="0"/>
            <w:tcW w:w="932" w:type="pct"/>
          </w:tcPr>
          <w:p w14:paraId="60053997" w14:textId="77777777" w:rsidR="00A81C4F" w:rsidRPr="0044565E" w:rsidRDefault="00A81C4F" w:rsidP="00F84BBB">
            <w:pPr>
              <w:pStyle w:val="Normal-table"/>
            </w:pPr>
            <w:r w:rsidRPr="0044565E">
              <w:t xml:space="preserve">Member </w:t>
            </w:r>
          </w:p>
        </w:tc>
        <w:tc>
          <w:tcPr>
            <w:tcW w:w="785" w:type="pct"/>
          </w:tcPr>
          <w:p w14:paraId="437F511D" w14:textId="77777777" w:rsidR="00A81C4F" w:rsidRPr="0044565E" w:rsidRDefault="00A81C4F" w:rsidP="00F84BBB">
            <w:pPr>
              <w:pStyle w:val="Normal-table"/>
              <w:cnfStyle w:val="000000000000" w:firstRow="0" w:lastRow="0" w:firstColumn="0" w:lastColumn="0" w:oddVBand="0" w:evenVBand="0" w:oddHBand="0" w:evenHBand="0" w:firstRowFirstColumn="0" w:firstRowLastColumn="0" w:lastRowFirstColumn="0" w:lastRowLastColumn="0"/>
            </w:pPr>
            <w:r w:rsidRPr="0044565E">
              <w:t xml:space="preserve">Matthew Burke </w:t>
            </w:r>
          </w:p>
        </w:tc>
        <w:tc>
          <w:tcPr>
            <w:tcW w:w="899" w:type="pct"/>
          </w:tcPr>
          <w:p w14:paraId="065797A9" w14:textId="77777777" w:rsidR="00A81C4F" w:rsidRPr="0044565E" w:rsidRDefault="00A81C4F" w:rsidP="00F84BBB">
            <w:pPr>
              <w:pStyle w:val="Normal-table"/>
              <w:cnfStyle w:val="000000000000" w:firstRow="0" w:lastRow="0" w:firstColumn="0" w:lastColumn="0" w:oddVBand="0" w:evenVBand="0" w:oddHBand="0" w:evenHBand="0" w:firstRowFirstColumn="0" w:firstRowLastColumn="0" w:lastRowFirstColumn="0" w:lastRowLastColumn="0"/>
            </w:pPr>
            <w:r w:rsidRPr="0044565E">
              <w:t xml:space="preserve">1 </w:t>
            </w:r>
          </w:p>
        </w:tc>
        <w:tc>
          <w:tcPr>
            <w:tcW w:w="793" w:type="pct"/>
          </w:tcPr>
          <w:p w14:paraId="6961E4DD" w14:textId="77777777" w:rsidR="00A81C4F" w:rsidRPr="0044565E" w:rsidRDefault="00A81C4F" w:rsidP="00F84BBB">
            <w:pPr>
              <w:pStyle w:val="Normal-table"/>
              <w:cnfStyle w:val="000000000000" w:firstRow="0" w:lastRow="0" w:firstColumn="0" w:lastColumn="0" w:oddVBand="0" w:evenVBand="0" w:oddHBand="0" w:evenHBand="0" w:firstRowFirstColumn="0" w:firstRowLastColumn="0" w:lastRowFirstColumn="0" w:lastRowLastColumn="0"/>
            </w:pPr>
            <w:r w:rsidRPr="0044565E">
              <w:t xml:space="preserve">$300 daily </w:t>
            </w:r>
          </w:p>
        </w:tc>
        <w:tc>
          <w:tcPr>
            <w:tcW w:w="797" w:type="pct"/>
          </w:tcPr>
          <w:p w14:paraId="6B95F482" w14:textId="77777777" w:rsidR="00A81C4F" w:rsidRPr="0044565E" w:rsidRDefault="00A81C4F" w:rsidP="00F84BBB">
            <w:pPr>
              <w:pStyle w:val="Normal-table"/>
              <w:cnfStyle w:val="000000000000" w:firstRow="0" w:lastRow="0" w:firstColumn="0" w:lastColumn="0" w:oddVBand="0" w:evenVBand="0" w:oddHBand="0" w:evenHBand="0" w:firstRowFirstColumn="0" w:firstRowLastColumn="0" w:lastRowFirstColumn="0" w:lastRowLastColumn="0"/>
            </w:pPr>
            <w:r w:rsidRPr="0044565E">
              <w:t xml:space="preserve">N/A </w:t>
            </w:r>
          </w:p>
        </w:tc>
        <w:tc>
          <w:tcPr>
            <w:tcW w:w="793" w:type="pct"/>
          </w:tcPr>
          <w:p w14:paraId="72D21396" w14:textId="77777777" w:rsidR="00A81C4F" w:rsidRPr="0044565E" w:rsidRDefault="00A81C4F" w:rsidP="00F84BBB">
            <w:pPr>
              <w:pStyle w:val="Normal-table"/>
              <w:cnfStyle w:val="000000000000" w:firstRow="0" w:lastRow="0" w:firstColumn="0" w:lastColumn="0" w:oddVBand="0" w:evenVBand="0" w:oddHBand="0" w:evenHBand="0" w:firstRowFirstColumn="0" w:firstRowLastColumn="0" w:lastRowFirstColumn="0" w:lastRowLastColumn="0"/>
            </w:pPr>
            <w:r w:rsidRPr="0044565E">
              <w:t xml:space="preserve">$0 </w:t>
            </w:r>
          </w:p>
        </w:tc>
      </w:tr>
      <w:tr w:rsidR="00A81C4F" w14:paraId="63637878" w14:textId="77777777" w:rsidTr="00F84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 w:type="pct"/>
          </w:tcPr>
          <w:p w14:paraId="27A2F577" w14:textId="77777777" w:rsidR="00A81C4F" w:rsidRPr="0044565E" w:rsidRDefault="00A81C4F" w:rsidP="00F84BBB">
            <w:pPr>
              <w:pStyle w:val="Normal-table"/>
            </w:pPr>
            <w:r w:rsidRPr="0044565E">
              <w:t xml:space="preserve">Member </w:t>
            </w:r>
          </w:p>
        </w:tc>
        <w:tc>
          <w:tcPr>
            <w:tcW w:w="785" w:type="pct"/>
          </w:tcPr>
          <w:p w14:paraId="31AF927A" w14:textId="77777777" w:rsidR="00A81C4F" w:rsidRPr="0044565E" w:rsidRDefault="00A81C4F" w:rsidP="00F84BBB">
            <w:pPr>
              <w:pStyle w:val="Normal-table"/>
              <w:cnfStyle w:val="000000100000" w:firstRow="0" w:lastRow="0" w:firstColumn="0" w:lastColumn="0" w:oddVBand="0" w:evenVBand="0" w:oddHBand="1" w:evenHBand="0" w:firstRowFirstColumn="0" w:firstRowLastColumn="0" w:lastRowFirstColumn="0" w:lastRowLastColumn="0"/>
            </w:pPr>
            <w:r w:rsidRPr="0044565E">
              <w:t xml:space="preserve">Julie Castle </w:t>
            </w:r>
          </w:p>
        </w:tc>
        <w:tc>
          <w:tcPr>
            <w:tcW w:w="899" w:type="pct"/>
          </w:tcPr>
          <w:p w14:paraId="379315AF" w14:textId="77777777" w:rsidR="00A81C4F" w:rsidRPr="0044565E" w:rsidRDefault="00A81C4F" w:rsidP="00F84BBB">
            <w:pPr>
              <w:pStyle w:val="Normal-table"/>
              <w:cnfStyle w:val="000000100000" w:firstRow="0" w:lastRow="0" w:firstColumn="0" w:lastColumn="0" w:oddVBand="0" w:evenVBand="0" w:oddHBand="1" w:evenHBand="0" w:firstRowFirstColumn="0" w:firstRowLastColumn="0" w:lastRowFirstColumn="0" w:lastRowLastColumn="0"/>
            </w:pPr>
            <w:r w:rsidRPr="0044565E">
              <w:t xml:space="preserve">0 </w:t>
            </w:r>
          </w:p>
        </w:tc>
        <w:tc>
          <w:tcPr>
            <w:tcW w:w="793" w:type="pct"/>
          </w:tcPr>
          <w:p w14:paraId="20B3995E" w14:textId="77777777" w:rsidR="00A81C4F" w:rsidRPr="0044565E" w:rsidRDefault="00A81C4F" w:rsidP="00F84BBB">
            <w:pPr>
              <w:pStyle w:val="Normal-table"/>
              <w:cnfStyle w:val="000000100000" w:firstRow="0" w:lastRow="0" w:firstColumn="0" w:lastColumn="0" w:oddVBand="0" w:evenVBand="0" w:oddHBand="1" w:evenHBand="0" w:firstRowFirstColumn="0" w:firstRowLastColumn="0" w:lastRowFirstColumn="0" w:lastRowLastColumn="0"/>
            </w:pPr>
            <w:r w:rsidRPr="0044565E">
              <w:t xml:space="preserve">$300 daily </w:t>
            </w:r>
          </w:p>
        </w:tc>
        <w:tc>
          <w:tcPr>
            <w:tcW w:w="797" w:type="pct"/>
          </w:tcPr>
          <w:p w14:paraId="250F66DE" w14:textId="77777777" w:rsidR="00A81C4F" w:rsidRPr="0044565E" w:rsidRDefault="00A81C4F" w:rsidP="00F84BBB">
            <w:pPr>
              <w:pStyle w:val="Normal-table"/>
              <w:cnfStyle w:val="000000100000" w:firstRow="0" w:lastRow="0" w:firstColumn="0" w:lastColumn="0" w:oddVBand="0" w:evenVBand="0" w:oddHBand="1" w:evenHBand="0" w:firstRowFirstColumn="0" w:firstRowLastColumn="0" w:lastRowFirstColumn="0" w:lastRowLastColumn="0"/>
            </w:pPr>
            <w:r w:rsidRPr="0044565E">
              <w:t xml:space="preserve">N/A </w:t>
            </w:r>
          </w:p>
        </w:tc>
        <w:tc>
          <w:tcPr>
            <w:tcW w:w="793" w:type="pct"/>
          </w:tcPr>
          <w:p w14:paraId="5AEA2392" w14:textId="77777777" w:rsidR="00A81C4F" w:rsidRPr="0044565E" w:rsidRDefault="00A81C4F" w:rsidP="00F84BBB">
            <w:pPr>
              <w:pStyle w:val="Normal-table"/>
              <w:cnfStyle w:val="000000100000" w:firstRow="0" w:lastRow="0" w:firstColumn="0" w:lastColumn="0" w:oddVBand="0" w:evenVBand="0" w:oddHBand="1" w:evenHBand="0" w:firstRowFirstColumn="0" w:firstRowLastColumn="0" w:lastRowFirstColumn="0" w:lastRowLastColumn="0"/>
            </w:pPr>
            <w:r w:rsidRPr="0044565E">
              <w:t xml:space="preserve">$0 </w:t>
            </w:r>
          </w:p>
        </w:tc>
      </w:tr>
      <w:tr w:rsidR="00A81C4F" w14:paraId="0233B4C4" w14:textId="77777777" w:rsidTr="00F84BBB">
        <w:tc>
          <w:tcPr>
            <w:cnfStyle w:val="001000000000" w:firstRow="0" w:lastRow="0" w:firstColumn="1" w:lastColumn="0" w:oddVBand="0" w:evenVBand="0" w:oddHBand="0" w:evenHBand="0" w:firstRowFirstColumn="0" w:firstRowLastColumn="0" w:lastRowFirstColumn="0" w:lastRowLastColumn="0"/>
            <w:tcW w:w="932" w:type="pct"/>
          </w:tcPr>
          <w:p w14:paraId="7A118B07" w14:textId="77777777" w:rsidR="00A81C4F" w:rsidRPr="0044565E" w:rsidRDefault="00A81C4F" w:rsidP="00F84BBB">
            <w:pPr>
              <w:pStyle w:val="Normal-table"/>
            </w:pPr>
            <w:r w:rsidRPr="0044565E">
              <w:t xml:space="preserve">Member </w:t>
            </w:r>
          </w:p>
        </w:tc>
        <w:tc>
          <w:tcPr>
            <w:tcW w:w="785" w:type="pct"/>
          </w:tcPr>
          <w:p w14:paraId="0E0F79EA" w14:textId="77777777" w:rsidR="00A81C4F" w:rsidRPr="0044565E" w:rsidRDefault="00A81C4F" w:rsidP="00F84BBB">
            <w:pPr>
              <w:pStyle w:val="Normal-table"/>
              <w:cnfStyle w:val="000000000000" w:firstRow="0" w:lastRow="0" w:firstColumn="0" w:lastColumn="0" w:oddVBand="0" w:evenVBand="0" w:oddHBand="0" w:evenHBand="0" w:firstRowFirstColumn="0" w:firstRowLastColumn="0" w:lastRowFirstColumn="0" w:lastRowLastColumn="0"/>
            </w:pPr>
            <w:r w:rsidRPr="0044565E">
              <w:t xml:space="preserve">Blaise Itabelo </w:t>
            </w:r>
          </w:p>
        </w:tc>
        <w:tc>
          <w:tcPr>
            <w:tcW w:w="899" w:type="pct"/>
          </w:tcPr>
          <w:p w14:paraId="02C4CEEB" w14:textId="77777777" w:rsidR="00A81C4F" w:rsidRPr="0044565E" w:rsidRDefault="00A81C4F" w:rsidP="00F84BBB">
            <w:pPr>
              <w:pStyle w:val="Normal-table"/>
              <w:cnfStyle w:val="000000000000" w:firstRow="0" w:lastRow="0" w:firstColumn="0" w:lastColumn="0" w:oddVBand="0" w:evenVBand="0" w:oddHBand="0" w:evenHBand="0" w:firstRowFirstColumn="0" w:firstRowLastColumn="0" w:lastRowFirstColumn="0" w:lastRowLastColumn="0"/>
            </w:pPr>
            <w:r w:rsidRPr="0044565E">
              <w:t xml:space="preserve">1 </w:t>
            </w:r>
          </w:p>
        </w:tc>
        <w:tc>
          <w:tcPr>
            <w:tcW w:w="793" w:type="pct"/>
          </w:tcPr>
          <w:p w14:paraId="5342B6BB" w14:textId="77777777" w:rsidR="00A81C4F" w:rsidRPr="0044565E" w:rsidRDefault="00A81C4F" w:rsidP="00F84BBB">
            <w:pPr>
              <w:pStyle w:val="Normal-table"/>
              <w:cnfStyle w:val="000000000000" w:firstRow="0" w:lastRow="0" w:firstColumn="0" w:lastColumn="0" w:oddVBand="0" w:evenVBand="0" w:oddHBand="0" w:evenHBand="0" w:firstRowFirstColumn="0" w:firstRowLastColumn="0" w:lastRowFirstColumn="0" w:lastRowLastColumn="0"/>
            </w:pPr>
            <w:r w:rsidRPr="0044565E">
              <w:t xml:space="preserve">$300 daily </w:t>
            </w:r>
          </w:p>
        </w:tc>
        <w:tc>
          <w:tcPr>
            <w:tcW w:w="797" w:type="pct"/>
          </w:tcPr>
          <w:p w14:paraId="416907F7" w14:textId="77777777" w:rsidR="00A81C4F" w:rsidRPr="0044565E" w:rsidRDefault="00A81C4F" w:rsidP="00F84BBB">
            <w:pPr>
              <w:pStyle w:val="Normal-table"/>
              <w:cnfStyle w:val="000000000000" w:firstRow="0" w:lastRow="0" w:firstColumn="0" w:lastColumn="0" w:oddVBand="0" w:evenVBand="0" w:oddHBand="0" w:evenHBand="0" w:firstRowFirstColumn="0" w:firstRowLastColumn="0" w:lastRowFirstColumn="0" w:lastRowLastColumn="0"/>
            </w:pPr>
            <w:r w:rsidRPr="0044565E">
              <w:t xml:space="preserve">N/A </w:t>
            </w:r>
          </w:p>
        </w:tc>
        <w:tc>
          <w:tcPr>
            <w:tcW w:w="793" w:type="pct"/>
          </w:tcPr>
          <w:p w14:paraId="75636C03" w14:textId="77777777" w:rsidR="00A81C4F" w:rsidRPr="0044565E" w:rsidRDefault="00A81C4F" w:rsidP="00F84BBB">
            <w:pPr>
              <w:pStyle w:val="Normal-table"/>
              <w:cnfStyle w:val="000000000000" w:firstRow="0" w:lastRow="0" w:firstColumn="0" w:lastColumn="0" w:oddVBand="0" w:evenVBand="0" w:oddHBand="0" w:evenHBand="0" w:firstRowFirstColumn="0" w:firstRowLastColumn="0" w:lastRowFirstColumn="0" w:lastRowLastColumn="0"/>
            </w:pPr>
            <w:r w:rsidRPr="0044565E">
              <w:t xml:space="preserve">$150 </w:t>
            </w:r>
          </w:p>
        </w:tc>
      </w:tr>
      <w:tr w:rsidR="00A81C4F" w14:paraId="7E20494C" w14:textId="77777777" w:rsidTr="00F84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 w:type="pct"/>
          </w:tcPr>
          <w:p w14:paraId="14AA787B" w14:textId="77777777" w:rsidR="00A81C4F" w:rsidRPr="0044565E" w:rsidRDefault="00A81C4F" w:rsidP="00F84BBB">
            <w:pPr>
              <w:pStyle w:val="Normal-table"/>
            </w:pPr>
            <w:r w:rsidRPr="0044565E">
              <w:t xml:space="preserve">Member </w:t>
            </w:r>
          </w:p>
        </w:tc>
        <w:tc>
          <w:tcPr>
            <w:tcW w:w="785" w:type="pct"/>
          </w:tcPr>
          <w:p w14:paraId="6ADCBFC7" w14:textId="77777777" w:rsidR="00A81C4F" w:rsidRPr="0044565E" w:rsidRDefault="00A81C4F" w:rsidP="00F84BBB">
            <w:pPr>
              <w:pStyle w:val="Normal-table"/>
              <w:cnfStyle w:val="000000100000" w:firstRow="0" w:lastRow="0" w:firstColumn="0" w:lastColumn="0" w:oddVBand="0" w:evenVBand="0" w:oddHBand="1" w:evenHBand="0" w:firstRowFirstColumn="0" w:firstRowLastColumn="0" w:lastRowFirstColumn="0" w:lastRowLastColumn="0"/>
            </w:pPr>
            <w:r w:rsidRPr="0044565E">
              <w:t xml:space="preserve">Gail Ker </w:t>
            </w:r>
          </w:p>
        </w:tc>
        <w:tc>
          <w:tcPr>
            <w:tcW w:w="899" w:type="pct"/>
          </w:tcPr>
          <w:p w14:paraId="31B635DF" w14:textId="77777777" w:rsidR="00A81C4F" w:rsidRPr="0044565E" w:rsidRDefault="00A81C4F" w:rsidP="00F84BBB">
            <w:pPr>
              <w:pStyle w:val="Normal-table"/>
              <w:cnfStyle w:val="000000100000" w:firstRow="0" w:lastRow="0" w:firstColumn="0" w:lastColumn="0" w:oddVBand="0" w:evenVBand="0" w:oddHBand="1" w:evenHBand="0" w:firstRowFirstColumn="0" w:firstRowLastColumn="0" w:lastRowFirstColumn="0" w:lastRowLastColumn="0"/>
            </w:pPr>
            <w:r w:rsidRPr="0044565E">
              <w:t xml:space="preserve">1 </w:t>
            </w:r>
          </w:p>
        </w:tc>
        <w:tc>
          <w:tcPr>
            <w:tcW w:w="793" w:type="pct"/>
          </w:tcPr>
          <w:p w14:paraId="363D7A2A" w14:textId="77777777" w:rsidR="00A81C4F" w:rsidRPr="0044565E" w:rsidRDefault="00A81C4F" w:rsidP="00F84BBB">
            <w:pPr>
              <w:pStyle w:val="Normal-table"/>
              <w:cnfStyle w:val="000000100000" w:firstRow="0" w:lastRow="0" w:firstColumn="0" w:lastColumn="0" w:oddVBand="0" w:evenVBand="0" w:oddHBand="1" w:evenHBand="0" w:firstRowFirstColumn="0" w:firstRowLastColumn="0" w:lastRowFirstColumn="0" w:lastRowLastColumn="0"/>
            </w:pPr>
            <w:r w:rsidRPr="0044565E">
              <w:t xml:space="preserve">$300 daily </w:t>
            </w:r>
          </w:p>
        </w:tc>
        <w:tc>
          <w:tcPr>
            <w:tcW w:w="797" w:type="pct"/>
          </w:tcPr>
          <w:p w14:paraId="6F84620A" w14:textId="77777777" w:rsidR="00A81C4F" w:rsidRPr="0044565E" w:rsidRDefault="00A81C4F" w:rsidP="00F84BBB">
            <w:pPr>
              <w:pStyle w:val="Normal-table"/>
              <w:cnfStyle w:val="000000100000" w:firstRow="0" w:lastRow="0" w:firstColumn="0" w:lastColumn="0" w:oddVBand="0" w:evenVBand="0" w:oddHBand="1" w:evenHBand="0" w:firstRowFirstColumn="0" w:firstRowLastColumn="0" w:lastRowFirstColumn="0" w:lastRowLastColumn="0"/>
            </w:pPr>
            <w:r w:rsidRPr="0044565E">
              <w:t xml:space="preserve">N/A </w:t>
            </w:r>
          </w:p>
        </w:tc>
        <w:tc>
          <w:tcPr>
            <w:tcW w:w="793" w:type="pct"/>
          </w:tcPr>
          <w:p w14:paraId="44B21018" w14:textId="77777777" w:rsidR="00A81C4F" w:rsidRPr="0044565E" w:rsidRDefault="00A81C4F" w:rsidP="00F84BBB">
            <w:pPr>
              <w:pStyle w:val="Normal-table"/>
              <w:cnfStyle w:val="000000100000" w:firstRow="0" w:lastRow="0" w:firstColumn="0" w:lastColumn="0" w:oddVBand="0" w:evenVBand="0" w:oddHBand="1" w:evenHBand="0" w:firstRowFirstColumn="0" w:firstRowLastColumn="0" w:lastRowFirstColumn="0" w:lastRowLastColumn="0"/>
            </w:pPr>
            <w:r w:rsidRPr="0044565E">
              <w:t xml:space="preserve">$150 </w:t>
            </w:r>
          </w:p>
        </w:tc>
      </w:tr>
      <w:tr w:rsidR="00A81C4F" w14:paraId="39228F37" w14:textId="77777777" w:rsidTr="00F84BBB">
        <w:tc>
          <w:tcPr>
            <w:cnfStyle w:val="001000000000" w:firstRow="0" w:lastRow="0" w:firstColumn="1" w:lastColumn="0" w:oddVBand="0" w:evenVBand="0" w:oddHBand="0" w:evenHBand="0" w:firstRowFirstColumn="0" w:firstRowLastColumn="0" w:lastRowFirstColumn="0" w:lastRowLastColumn="0"/>
            <w:tcW w:w="932" w:type="pct"/>
          </w:tcPr>
          <w:p w14:paraId="37A8EDFC" w14:textId="77777777" w:rsidR="00A81C4F" w:rsidRPr="0044565E" w:rsidRDefault="00A81C4F" w:rsidP="00F84BBB">
            <w:pPr>
              <w:pStyle w:val="Normal-table"/>
            </w:pPr>
            <w:r w:rsidRPr="0044565E">
              <w:t xml:space="preserve">Member </w:t>
            </w:r>
          </w:p>
        </w:tc>
        <w:tc>
          <w:tcPr>
            <w:tcW w:w="785" w:type="pct"/>
          </w:tcPr>
          <w:p w14:paraId="66BE9C4F" w14:textId="77777777" w:rsidR="00A81C4F" w:rsidRPr="0044565E" w:rsidRDefault="00A81C4F" w:rsidP="00F84BBB">
            <w:pPr>
              <w:pStyle w:val="Normal-table"/>
              <w:cnfStyle w:val="000000000000" w:firstRow="0" w:lastRow="0" w:firstColumn="0" w:lastColumn="0" w:oddVBand="0" w:evenVBand="0" w:oddHBand="0" w:evenHBand="0" w:firstRowFirstColumn="0" w:firstRowLastColumn="0" w:lastRowFirstColumn="0" w:lastRowLastColumn="0"/>
            </w:pPr>
            <w:r w:rsidRPr="0044565E">
              <w:t xml:space="preserve">Adrienne Ward </w:t>
            </w:r>
          </w:p>
        </w:tc>
        <w:tc>
          <w:tcPr>
            <w:tcW w:w="899" w:type="pct"/>
          </w:tcPr>
          <w:p w14:paraId="397F72A5" w14:textId="77777777" w:rsidR="00A81C4F" w:rsidRPr="0044565E" w:rsidRDefault="00A81C4F" w:rsidP="00F84BBB">
            <w:pPr>
              <w:pStyle w:val="Normal-table"/>
              <w:cnfStyle w:val="000000000000" w:firstRow="0" w:lastRow="0" w:firstColumn="0" w:lastColumn="0" w:oddVBand="0" w:evenVBand="0" w:oddHBand="0" w:evenHBand="0" w:firstRowFirstColumn="0" w:firstRowLastColumn="0" w:lastRowFirstColumn="0" w:lastRowLastColumn="0"/>
            </w:pPr>
            <w:r w:rsidRPr="0044565E">
              <w:t xml:space="preserve">1 </w:t>
            </w:r>
          </w:p>
        </w:tc>
        <w:tc>
          <w:tcPr>
            <w:tcW w:w="793" w:type="pct"/>
          </w:tcPr>
          <w:p w14:paraId="695DE5A7" w14:textId="77777777" w:rsidR="00A81C4F" w:rsidRPr="0044565E" w:rsidRDefault="00A81C4F" w:rsidP="00F84BBB">
            <w:pPr>
              <w:pStyle w:val="Normal-table"/>
              <w:cnfStyle w:val="000000000000" w:firstRow="0" w:lastRow="0" w:firstColumn="0" w:lastColumn="0" w:oddVBand="0" w:evenVBand="0" w:oddHBand="0" w:evenHBand="0" w:firstRowFirstColumn="0" w:firstRowLastColumn="0" w:lastRowFirstColumn="0" w:lastRowLastColumn="0"/>
            </w:pPr>
            <w:r w:rsidRPr="0044565E">
              <w:t xml:space="preserve">$300 daily </w:t>
            </w:r>
          </w:p>
        </w:tc>
        <w:tc>
          <w:tcPr>
            <w:tcW w:w="797" w:type="pct"/>
          </w:tcPr>
          <w:p w14:paraId="52401CF8" w14:textId="77777777" w:rsidR="00A81C4F" w:rsidRPr="0044565E" w:rsidRDefault="00A81C4F" w:rsidP="00F84BBB">
            <w:pPr>
              <w:pStyle w:val="Normal-table"/>
              <w:cnfStyle w:val="000000000000" w:firstRow="0" w:lastRow="0" w:firstColumn="0" w:lastColumn="0" w:oddVBand="0" w:evenVBand="0" w:oddHBand="0" w:evenHBand="0" w:firstRowFirstColumn="0" w:firstRowLastColumn="0" w:lastRowFirstColumn="0" w:lastRowLastColumn="0"/>
            </w:pPr>
            <w:r w:rsidRPr="0044565E">
              <w:t xml:space="preserve">N/A </w:t>
            </w:r>
          </w:p>
        </w:tc>
        <w:tc>
          <w:tcPr>
            <w:tcW w:w="793" w:type="pct"/>
          </w:tcPr>
          <w:p w14:paraId="00A4461E" w14:textId="77777777" w:rsidR="00A81C4F" w:rsidRPr="0044565E" w:rsidRDefault="00A81C4F" w:rsidP="00F84BBB">
            <w:pPr>
              <w:pStyle w:val="Normal-table"/>
              <w:cnfStyle w:val="000000000000" w:firstRow="0" w:lastRow="0" w:firstColumn="0" w:lastColumn="0" w:oddVBand="0" w:evenVBand="0" w:oddHBand="0" w:evenHBand="0" w:firstRowFirstColumn="0" w:firstRowLastColumn="0" w:lastRowFirstColumn="0" w:lastRowLastColumn="0"/>
            </w:pPr>
            <w:r w:rsidRPr="0044565E">
              <w:t xml:space="preserve">$150 </w:t>
            </w:r>
          </w:p>
        </w:tc>
      </w:tr>
      <w:tr w:rsidR="00A81C4F" w14:paraId="6FFE19F1" w14:textId="77777777" w:rsidTr="00F84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 w:type="pct"/>
          </w:tcPr>
          <w:p w14:paraId="7DDD1229" w14:textId="77777777" w:rsidR="00A81C4F" w:rsidRPr="0044565E" w:rsidRDefault="00A81C4F" w:rsidP="00F84BBB">
            <w:pPr>
              <w:pStyle w:val="Normal-table"/>
            </w:pPr>
            <w:r w:rsidRPr="0044565E">
              <w:t xml:space="preserve">No. scheduled meetings/sessions </w:t>
            </w:r>
          </w:p>
        </w:tc>
        <w:tc>
          <w:tcPr>
            <w:tcW w:w="785" w:type="pct"/>
          </w:tcPr>
          <w:p w14:paraId="250EAAC1" w14:textId="77777777" w:rsidR="00A81C4F" w:rsidRPr="0044565E" w:rsidRDefault="00A81C4F" w:rsidP="00F84BBB">
            <w:pPr>
              <w:pStyle w:val="Normal-table"/>
              <w:cnfStyle w:val="000000100000" w:firstRow="0" w:lastRow="0" w:firstColumn="0" w:lastColumn="0" w:oddVBand="0" w:evenVBand="0" w:oddHBand="1" w:evenHBand="0" w:firstRowFirstColumn="0" w:firstRowLastColumn="0" w:lastRowFirstColumn="0" w:lastRowLastColumn="0"/>
            </w:pPr>
          </w:p>
        </w:tc>
        <w:tc>
          <w:tcPr>
            <w:tcW w:w="899" w:type="pct"/>
          </w:tcPr>
          <w:p w14:paraId="3EB96B55" w14:textId="77777777" w:rsidR="00A81C4F" w:rsidRPr="0044565E" w:rsidRDefault="00A81C4F" w:rsidP="00F84BBB">
            <w:pPr>
              <w:pStyle w:val="Normal-table"/>
              <w:cnfStyle w:val="000000100000" w:firstRow="0" w:lastRow="0" w:firstColumn="0" w:lastColumn="0" w:oddVBand="0" w:evenVBand="0" w:oddHBand="1" w:evenHBand="0" w:firstRowFirstColumn="0" w:firstRowLastColumn="0" w:lastRowFirstColumn="0" w:lastRowLastColumn="0"/>
            </w:pPr>
            <w:r>
              <w:t>1</w:t>
            </w:r>
          </w:p>
        </w:tc>
        <w:tc>
          <w:tcPr>
            <w:tcW w:w="793" w:type="pct"/>
          </w:tcPr>
          <w:p w14:paraId="6A575EB6" w14:textId="77777777" w:rsidR="00A81C4F" w:rsidRPr="0044565E" w:rsidRDefault="00A81C4F" w:rsidP="00F84BBB">
            <w:pPr>
              <w:pStyle w:val="Normal-table"/>
              <w:cnfStyle w:val="000000100000" w:firstRow="0" w:lastRow="0" w:firstColumn="0" w:lastColumn="0" w:oddVBand="0" w:evenVBand="0" w:oddHBand="1" w:evenHBand="0" w:firstRowFirstColumn="0" w:firstRowLastColumn="0" w:lastRowFirstColumn="0" w:lastRowLastColumn="0"/>
            </w:pPr>
          </w:p>
        </w:tc>
        <w:tc>
          <w:tcPr>
            <w:tcW w:w="797" w:type="pct"/>
          </w:tcPr>
          <w:p w14:paraId="34D96D38" w14:textId="77777777" w:rsidR="00A81C4F" w:rsidRPr="0044565E" w:rsidRDefault="00A81C4F" w:rsidP="00F84BBB">
            <w:pPr>
              <w:pStyle w:val="Normal-table"/>
              <w:cnfStyle w:val="000000100000" w:firstRow="0" w:lastRow="0" w:firstColumn="0" w:lastColumn="0" w:oddVBand="0" w:evenVBand="0" w:oddHBand="1" w:evenHBand="0" w:firstRowFirstColumn="0" w:firstRowLastColumn="0" w:lastRowFirstColumn="0" w:lastRowLastColumn="0"/>
            </w:pPr>
          </w:p>
        </w:tc>
        <w:tc>
          <w:tcPr>
            <w:tcW w:w="793" w:type="pct"/>
          </w:tcPr>
          <w:p w14:paraId="143FD5E9" w14:textId="77777777" w:rsidR="00A81C4F" w:rsidRPr="0044565E" w:rsidRDefault="00A81C4F" w:rsidP="00F84BBB">
            <w:pPr>
              <w:pStyle w:val="Normal-table"/>
              <w:cnfStyle w:val="000000100000" w:firstRow="0" w:lastRow="0" w:firstColumn="0" w:lastColumn="0" w:oddVBand="0" w:evenVBand="0" w:oddHBand="1" w:evenHBand="0" w:firstRowFirstColumn="0" w:firstRowLastColumn="0" w:lastRowFirstColumn="0" w:lastRowLastColumn="0"/>
            </w:pPr>
          </w:p>
        </w:tc>
      </w:tr>
      <w:tr w:rsidR="00A81C4F" w14:paraId="61BCFCDF" w14:textId="77777777" w:rsidTr="00F84BB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 w:type="pct"/>
          </w:tcPr>
          <w:p w14:paraId="02362BA4" w14:textId="77777777" w:rsidR="00A81C4F" w:rsidRPr="0044565E" w:rsidRDefault="00A81C4F" w:rsidP="00F84BBB">
            <w:pPr>
              <w:pStyle w:val="Normal-table"/>
            </w:pPr>
            <w:r w:rsidRPr="0044565E">
              <w:t xml:space="preserve">Total TMR payments </w:t>
            </w:r>
          </w:p>
        </w:tc>
        <w:tc>
          <w:tcPr>
            <w:tcW w:w="785" w:type="pct"/>
          </w:tcPr>
          <w:p w14:paraId="7334D411" w14:textId="77777777" w:rsidR="00A81C4F" w:rsidRPr="0044565E" w:rsidRDefault="00A81C4F" w:rsidP="00F84BBB">
            <w:pPr>
              <w:pStyle w:val="Normal-table"/>
              <w:cnfStyle w:val="010000000000" w:firstRow="0" w:lastRow="1" w:firstColumn="0" w:lastColumn="0" w:oddVBand="0" w:evenVBand="0" w:oddHBand="0" w:evenHBand="0" w:firstRowFirstColumn="0" w:firstRowLastColumn="0" w:lastRowFirstColumn="0" w:lastRowLastColumn="0"/>
            </w:pPr>
          </w:p>
        </w:tc>
        <w:tc>
          <w:tcPr>
            <w:tcW w:w="899" w:type="pct"/>
          </w:tcPr>
          <w:p w14:paraId="4CB897CC" w14:textId="77777777" w:rsidR="00A81C4F" w:rsidRPr="0044565E" w:rsidRDefault="00A81C4F" w:rsidP="00F84BBB">
            <w:pPr>
              <w:pStyle w:val="Normal-table"/>
              <w:cnfStyle w:val="010000000000" w:firstRow="0" w:lastRow="1" w:firstColumn="0" w:lastColumn="0" w:oddVBand="0" w:evenVBand="0" w:oddHBand="0" w:evenHBand="0" w:firstRowFirstColumn="0" w:firstRowLastColumn="0" w:lastRowFirstColumn="0" w:lastRowLastColumn="0"/>
            </w:pPr>
          </w:p>
        </w:tc>
        <w:tc>
          <w:tcPr>
            <w:tcW w:w="793" w:type="pct"/>
          </w:tcPr>
          <w:p w14:paraId="60A4552F" w14:textId="77777777" w:rsidR="00A81C4F" w:rsidRPr="0044565E" w:rsidRDefault="00A81C4F" w:rsidP="00F84BBB">
            <w:pPr>
              <w:pStyle w:val="Normal-table"/>
              <w:cnfStyle w:val="010000000000" w:firstRow="0" w:lastRow="1" w:firstColumn="0" w:lastColumn="0" w:oddVBand="0" w:evenVBand="0" w:oddHBand="0" w:evenHBand="0" w:firstRowFirstColumn="0" w:firstRowLastColumn="0" w:lastRowFirstColumn="0" w:lastRowLastColumn="0"/>
            </w:pPr>
            <w:r w:rsidRPr="0044565E">
              <w:t>$645</w:t>
            </w:r>
          </w:p>
        </w:tc>
        <w:tc>
          <w:tcPr>
            <w:tcW w:w="797" w:type="pct"/>
          </w:tcPr>
          <w:p w14:paraId="1B64D161" w14:textId="77777777" w:rsidR="00A81C4F" w:rsidRPr="0044565E" w:rsidRDefault="00A81C4F" w:rsidP="00F84BBB">
            <w:pPr>
              <w:pStyle w:val="Normal-table"/>
              <w:cnfStyle w:val="010000000000" w:firstRow="0" w:lastRow="1" w:firstColumn="0" w:lastColumn="0" w:oddVBand="0" w:evenVBand="0" w:oddHBand="0" w:evenHBand="0" w:firstRowFirstColumn="0" w:firstRowLastColumn="0" w:lastRowFirstColumn="0" w:lastRowLastColumn="0"/>
            </w:pPr>
          </w:p>
        </w:tc>
        <w:tc>
          <w:tcPr>
            <w:tcW w:w="793" w:type="pct"/>
          </w:tcPr>
          <w:p w14:paraId="05C13FE6" w14:textId="77777777" w:rsidR="00A81C4F" w:rsidRPr="0044565E" w:rsidRDefault="00A81C4F" w:rsidP="00F84BBB">
            <w:pPr>
              <w:pStyle w:val="Normal-table"/>
              <w:cnfStyle w:val="010000000000" w:firstRow="0" w:lastRow="1" w:firstColumn="0" w:lastColumn="0" w:oddVBand="0" w:evenVBand="0" w:oddHBand="0" w:evenHBand="0" w:firstRowFirstColumn="0" w:firstRowLastColumn="0" w:lastRowFirstColumn="0" w:lastRowLastColumn="0"/>
            </w:pPr>
          </w:p>
        </w:tc>
      </w:tr>
    </w:tbl>
    <w:p w14:paraId="2A3DD832" w14:textId="77777777" w:rsidR="00A81C4F" w:rsidRDefault="00A81C4F" w:rsidP="00A81C4F">
      <w:pPr>
        <w:rPr>
          <w:lang w:val="en-AU"/>
        </w:rPr>
      </w:pPr>
    </w:p>
    <w:p w14:paraId="219BC032" w14:textId="77777777" w:rsidR="00A81C4F" w:rsidRPr="000165EC" w:rsidRDefault="00A81C4F" w:rsidP="00A81C4F">
      <w:pPr>
        <w:pStyle w:val="Heading3"/>
      </w:pPr>
      <w:r>
        <w:t>Queensland Accessible Transport Advisor Council (QATAC)</w:t>
      </w:r>
    </w:p>
    <w:tbl>
      <w:tblPr>
        <w:tblStyle w:val="GridTable4-Accent1"/>
        <w:tblW w:w="5000" w:type="pct"/>
        <w:tblLook w:val="04A0" w:firstRow="1" w:lastRow="0" w:firstColumn="1" w:lastColumn="0" w:noHBand="0" w:noVBand="1"/>
      </w:tblPr>
      <w:tblGrid>
        <w:gridCol w:w="2453"/>
        <w:gridCol w:w="8003"/>
      </w:tblGrid>
      <w:tr w:rsidR="00A81C4F" w14:paraId="7DA5F8FB" w14:textId="77777777" w:rsidTr="00F84B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3" w:type="pct"/>
          </w:tcPr>
          <w:p w14:paraId="6F290352" w14:textId="77777777" w:rsidR="00A81C4F" w:rsidRPr="000165EC" w:rsidRDefault="00A81C4F" w:rsidP="00F84BBB">
            <w:pPr>
              <w:pStyle w:val="Normal-table"/>
            </w:pPr>
            <w:r w:rsidRPr="0044565E">
              <w:t xml:space="preserve">Act or instrument </w:t>
            </w:r>
          </w:p>
        </w:tc>
        <w:tc>
          <w:tcPr>
            <w:tcW w:w="3827" w:type="pct"/>
          </w:tcPr>
          <w:p w14:paraId="137153BB" w14:textId="77777777" w:rsidR="00A81C4F" w:rsidRPr="000165EC" w:rsidRDefault="00A81C4F" w:rsidP="00F84BBB">
            <w:pPr>
              <w:pStyle w:val="Normal-table"/>
              <w:cnfStyle w:val="100000000000" w:firstRow="1" w:lastRow="0" w:firstColumn="0" w:lastColumn="0" w:oddVBand="0" w:evenVBand="0" w:oddHBand="0" w:evenHBand="0" w:firstRowFirstColumn="0" w:firstRowLastColumn="0" w:lastRowFirstColumn="0" w:lastRowLastColumn="0"/>
            </w:pPr>
            <w:r w:rsidRPr="0044565E">
              <w:t xml:space="preserve">Terms of Reference </w:t>
            </w:r>
          </w:p>
        </w:tc>
      </w:tr>
      <w:tr w:rsidR="00A81C4F" w14:paraId="7E1427E5" w14:textId="77777777" w:rsidTr="00F84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3" w:type="pct"/>
          </w:tcPr>
          <w:p w14:paraId="634DC365" w14:textId="77777777" w:rsidR="00A81C4F" w:rsidRPr="000165EC" w:rsidRDefault="00A81C4F" w:rsidP="00F84BBB">
            <w:pPr>
              <w:pStyle w:val="Normal-table"/>
            </w:pPr>
            <w:r w:rsidRPr="0044565E">
              <w:t xml:space="preserve">Functions </w:t>
            </w:r>
          </w:p>
        </w:tc>
        <w:tc>
          <w:tcPr>
            <w:tcW w:w="3827" w:type="pct"/>
          </w:tcPr>
          <w:p w14:paraId="394DF09A" w14:textId="77777777" w:rsidR="00A81C4F" w:rsidRPr="000165EC" w:rsidRDefault="00A81C4F" w:rsidP="00F84BBB">
            <w:pPr>
              <w:pStyle w:val="Normal-table"/>
              <w:cnfStyle w:val="000000100000" w:firstRow="0" w:lastRow="0" w:firstColumn="0" w:lastColumn="0" w:oddVBand="0" w:evenVBand="0" w:oddHBand="1" w:evenHBand="0" w:firstRowFirstColumn="0" w:firstRowLastColumn="0" w:lastRowFirstColumn="0" w:lastRowLastColumn="0"/>
            </w:pPr>
            <w:r w:rsidRPr="0044565E">
              <w:t>The purpose of the Panel is to provide</w:t>
            </w:r>
            <w:r w:rsidRPr="000165EC">
              <w:t xml:space="preserve"> independent strategic policy and accessibility advice on significant transport and infrastructure projects across the Queensland Government transport portfolio.</w:t>
            </w:r>
          </w:p>
        </w:tc>
      </w:tr>
      <w:tr w:rsidR="00A81C4F" w14:paraId="39C303C5" w14:textId="77777777" w:rsidTr="00F84BBB">
        <w:tc>
          <w:tcPr>
            <w:cnfStyle w:val="001000000000" w:firstRow="0" w:lastRow="0" w:firstColumn="1" w:lastColumn="0" w:oddVBand="0" w:evenVBand="0" w:oddHBand="0" w:evenHBand="0" w:firstRowFirstColumn="0" w:firstRowLastColumn="0" w:lastRowFirstColumn="0" w:lastRowLastColumn="0"/>
            <w:tcW w:w="1173" w:type="pct"/>
          </w:tcPr>
          <w:p w14:paraId="664B883B" w14:textId="77777777" w:rsidR="00A81C4F" w:rsidRPr="000165EC" w:rsidRDefault="00A81C4F" w:rsidP="00F84BBB">
            <w:pPr>
              <w:pStyle w:val="Normal-table"/>
            </w:pPr>
            <w:r w:rsidRPr="0044565E">
              <w:t xml:space="preserve">Achievements </w:t>
            </w:r>
          </w:p>
        </w:tc>
        <w:tc>
          <w:tcPr>
            <w:tcW w:w="3827" w:type="pct"/>
          </w:tcPr>
          <w:p w14:paraId="7AB62C00" w14:textId="77777777" w:rsidR="00A81C4F" w:rsidRPr="000165EC" w:rsidRDefault="00A81C4F" w:rsidP="00F84BBB">
            <w:pPr>
              <w:pStyle w:val="Normal-table"/>
              <w:cnfStyle w:val="000000000000" w:firstRow="0" w:lastRow="0" w:firstColumn="0" w:lastColumn="0" w:oddVBand="0" w:evenVBand="0" w:oddHBand="0" w:evenHBand="0" w:firstRowFirstColumn="0" w:firstRowLastColumn="0" w:lastRowFirstColumn="0" w:lastRowLastColumn="0"/>
            </w:pPr>
            <w:r w:rsidRPr="0044565E">
              <w:t xml:space="preserve">The </w:t>
            </w:r>
            <w:r w:rsidRPr="000165EC">
              <w:t xml:space="preserve">Council met six times during 2022–23 to consider and provide advice transport and infrastructure projects. </w:t>
            </w:r>
          </w:p>
        </w:tc>
      </w:tr>
      <w:tr w:rsidR="00A81C4F" w14:paraId="67FC6D18" w14:textId="77777777" w:rsidTr="00F84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3" w:type="pct"/>
          </w:tcPr>
          <w:p w14:paraId="09747B81" w14:textId="77777777" w:rsidR="00A81C4F" w:rsidRPr="000165EC" w:rsidRDefault="00A81C4F" w:rsidP="00F84BBB">
            <w:pPr>
              <w:pStyle w:val="Normal-table"/>
            </w:pPr>
            <w:r w:rsidRPr="0044565E">
              <w:t xml:space="preserve">Financial reporting </w:t>
            </w:r>
          </w:p>
        </w:tc>
        <w:tc>
          <w:tcPr>
            <w:tcW w:w="3827" w:type="pct"/>
          </w:tcPr>
          <w:p w14:paraId="54B2BCA8" w14:textId="77777777" w:rsidR="00A81C4F" w:rsidRPr="000165EC" w:rsidRDefault="00A81C4F" w:rsidP="00F84BBB">
            <w:pPr>
              <w:pStyle w:val="Normal-table"/>
              <w:cnfStyle w:val="000000100000" w:firstRow="0" w:lastRow="0" w:firstColumn="0" w:lastColumn="0" w:oddVBand="0" w:evenVBand="0" w:oddHBand="1" w:evenHBand="0" w:firstRowFirstColumn="0" w:firstRowLastColumn="0" w:lastRowFirstColumn="0" w:lastRowLastColumn="0"/>
            </w:pPr>
            <w:r w:rsidRPr="0044565E">
              <w:t xml:space="preserve">Transactions for the </w:t>
            </w:r>
            <w:r w:rsidRPr="000165EC">
              <w:t xml:space="preserve">Queensland Accessible Transport Advisory Council are accounted for as part of the Department of Transport and Main Roads' Financial Statements process. </w:t>
            </w:r>
          </w:p>
        </w:tc>
      </w:tr>
    </w:tbl>
    <w:p w14:paraId="59F2196B" w14:textId="77777777" w:rsidR="00A81C4F" w:rsidRPr="000165EC" w:rsidRDefault="00A81C4F" w:rsidP="00A81C4F">
      <w:pPr>
        <w:pStyle w:val="Heading3"/>
      </w:pPr>
      <w:r w:rsidRPr="000165EC">
        <w:lastRenderedPageBreak/>
        <w:t>Remuneration</w:t>
      </w:r>
    </w:p>
    <w:tbl>
      <w:tblPr>
        <w:tblStyle w:val="GridTable4-Accent1"/>
        <w:tblW w:w="5000" w:type="pct"/>
        <w:tblLook w:val="04E0" w:firstRow="1" w:lastRow="1" w:firstColumn="1" w:lastColumn="0" w:noHBand="0" w:noVBand="1"/>
      </w:tblPr>
      <w:tblGrid>
        <w:gridCol w:w="1997"/>
        <w:gridCol w:w="1631"/>
        <w:gridCol w:w="1872"/>
        <w:gridCol w:w="1650"/>
        <w:gridCol w:w="1658"/>
        <w:gridCol w:w="1648"/>
      </w:tblGrid>
      <w:tr w:rsidR="00A81C4F" w14:paraId="593037E9" w14:textId="77777777" w:rsidTr="00F84B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55" w:type="pct"/>
          </w:tcPr>
          <w:p w14:paraId="37C606B2" w14:textId="77777777" w:rsidR="00A81C4F" w:rsidRPr="000165EC" w:rsidRDefault="00A81C4F" w:rsidP="00A87A36">
            <w:pPr>
              <w:pStyle w:val="Normal-table"/>
            </w:pPr>
            <w:r w:rsidRPr="0044565E">
              <w:t xml:space="preserve">Position </w:t>
            </w:r>
          </w:p>
        </w:tc>
        <w:tc>
          <w:tcPr>
            <w:tcW w:w="780" w:type="pct"/>
          </w:tcPr>
          <w:p w14:paraId="42FBB8ED" w14:textId="77777777" w:rsidR="00A81C4F" w:rsidRPr="000165EC" w:rsidRDefault="00A81C4F" w:rsidP="00A87A36">
            <w:pPr>
              <w:pStyle w:val="Normal-table"/>
              <w:cnfStyle w:val="100000000000" w:firstRow="1" w:lastRow="0" w:firstColumn="0" w:lastColumn="0" w:oddVBand="0" w:evenVBand="0" w:oddHBand="0" w:evenHBand="0" w:firstRowFirstColumn="0" w:firstRowLastColumn="0" w:lastRowFirstColumn="0" w:lastRowLastColumn="0"/>
            </w:pPr>
            <w:r w:rsidRPr="0044565E">
              <w:t xml:space="preserve">Name </w:t>
            </w:r>
          </w:p>
        </w:tc>
        <w:tc>
          <w:tcPr>
            <w:tcW w:w="895" w:type="pct"/>
          </w:tcPr>
          <w:p w14:paraId="4DF222E8" w14:textId="77777777" w:rsidR="00A81C4F" w:rsidRPr="000165EC" w:rsidRDefault="00A81C4F" w:rsidP="00A87A36">
            <w:pPr>
              <w:pStyle w:val="Normal-table"/>
              <w:cnfStyle w:val="100000000000" w:firstRow="1" w:lastRow="0" w:firstColumn="0" w:lastColumn="0" w:oddVBand="0" w:evenVBand="0" w:oddHBand="0" w:evenHBand="0" w:firstRowFirstColumn="0" w:firstRowLastColumn="0" w:lastRowFirstColumn="0" w:lastRowLastColumn="0"/>
            </w:pPr>
            <w:r w:rsidRPr="0044565E">
              <w:t xml:space="preserve">Meetings/session attendance </w:t>
            </w:r>
          </w:p>
        </w:tc>
        <w:tc>
          <w:tcPr>
            <w:tcW w:w="789" w:type="pct"/>
          </w:tcPr>
          <w:p w14:paraId="5D31EAB5" w14:textId="77777777" w:rsidR="00A81C4F" w:rsidRPr="000165EC" w:rsidRDefault="00A81C4F" w:rsidP="00A87A36">
            <w:pPr>
              <w:pStyle w:val="Normal-table"/>
              <w:cnfStyle w:val="100000000000" w:firstRow="1" w:lastRow="0" w:firstColumn="0" w:lastColumn="0" w:oddVBand="0" w:evenVBand="0" w:oddHBand="0" w:evenHBand="0" w:firstRowFirstColumn="0" w:firstRowLastColumn="0" w:lastRowFirstColumn="0" w:lastRowLastColumn="0"/>
            </w:pPr>
            <w:r w:rsidRPr="0044565E">
              <w:t>Approved annual</w:t>
            </w:r>
            <w:r w:rsidRPr="000165EC">
              <w:t xml:space="preserve"> fee </w:t>
            </w:r>
          </w:p>
        </w:tc>
        <w:tc>
          <w:tcPr>
            <w:tcW w:w="793" w:type="pct"/>
          </w:tcPr>
          <w:p w14:paraId="5F060615" w14:textId="77777777" w:rsidR="00A81C4F" w:rsidRPr="000165EC" w:rsidRDefault="00A81C4F" w:rsidP="00A87A36">
            <w:pPr>
              <w:pStyle w:val="Normal-table"/>
              <w:cnfStyle w:val="100000000000" w:firstRow="1" w:lastRow="0" w:firstColumn="0" w:lastColumn="0" w:oddVBand="0" w:evenVBand="0" w:oddHBand="0" w:evenHBand="0" w:firstRowFirstColumn="0" w:firstRowLastColumn="0" w:lastRowFirstColumn="0" w:lastRowLastColumn="0"/>
            </w:pPr>
            <w:r w:rsidRPr="0044565E">
              <w:t xml:space="preserve">Approved sub-committee fees if applicable </w:t>
            </w:r>
          </w:p>
        </w:tc>
        <w:tc>
          <w:tcPr>
            <w:tcW w:w="789" w:type="pct"/>
          </w:tcPr>
          <w:p w14:paraId="052435CA" w14:textId="77777777" w:rsidR="00A81C4F" w:rsidRPr="000165EC" w:rsidRDefault="00A81C4F" w:rsidP="00A87A36">
            <w:pPr>
              <w:pStyle w:val="Normal-table"/>
              <w:cnfStyle w:val="100000000000" w:firstRow="1" w:lastRow="0" w:firstColumn="0" w:lastColumn="0" w:oddVBand="0" w:evenVBand="0" w:oddHBand="0" w:evenHBand="0" w:firstRowFirstColumn="0" w:firstRowLastColumn="0" w:lastRowFirstColumn="0" w:lastRowLastColumn="0"/>
            </w:pPr>
            <w:r w:rsidRPr="0044565E">
              <w:t xml:space="preserve">TMR payments </w:t>
            </w:r>
          </w:p>
        </w:tc>
      </w:tr>
      <w:tr w:rsidR="00A81C4F" w14:paraId="05718A38" w14:textId="77777777" w:rsidTr="00F84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29DDC1F5" w14:textId="77777777" w:rsidR="00A81C4F" w:rsidRPr="000165EC" w:rsidRDefault="00A81C4F" w:rsidP="00A87A36">
            <w:pPr>
              <w:pStyle w:val="Normal-table"/>
            </w:pPr>
            <w:r w:rsidRPr="0044565E">
              <w:t xml:space="preserve">Chair </w:t>
            </w:r>
          </w:p>
        </w:tc>
        <w:tc>
          <w:tcPr>
            <w:tcW w:w="780" w:type="pct"/>
          </w:tcPr>
          <w:p w14:paraId="3B66A574" w14:textId="77777777" w:rsidR="00A81C4F" w:rsidRPr="000165EC"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t>Michael Forde</w:t>
            </w:r>
            <w:r w:rsidRPr="000165EC">
              <w:t xml:space="preserve"> </w:t>
            </w:r>
          </w:p>
        </w:tc>
        <w:tc>
          <w:tcPr>
            <w:tcW w:w="895" w:type="pct"/>
          </w:tcPr>
          <w:p w14:paraId="6BE6179F" w14:textId="77777777" w:rsidR="00A81C4F" w:rsidRPr="000165EC"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t>5</w:t>
            </w:r>
            <w:r w:rsidRPr="000165EC">
              <w:t xml:space="preserve"> </w:t>
            </w:r>
          </w:p>
        </w:tc>
        <w:tc>
          <w:tcPr>
            <w:tcW w:w="789" w:type="pct"/>
          </w:tcPr>
          <w:p w14:paraId="75252FB6" w14:textId="77777777" w:rsidR="00A81C4F" w:rsidRPr="000165EC"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rsidRPr="0044565E">
              <w:t>$</w:t>
            </w:r>
            <w:r w:rsidRPr="000165EC">
              <w:t>6,000 p.a.</w:t>
            </w:r>
          </w:p>
        </w:tc>
        <w:tc>
          <w:tcPr>
            <w:tcW w:w="793" w:type="pct"/>
          </w:tcPr>
          <w:p w14:paraId="2EA44A2F" w14:textId="77777777" w:rsidR="00A81C4F" w:rsidRPr="000165EC"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rsidRPr="0044565E">
              <w:t xml:space="preserve">N/A </w:t>
            </w:r>
          </w:p>
        </w:tc>
        <w:tc>
          <w:tcPr>
            <w:tcW w:w="789" w:type="pct"/>
          </w:tcPr>
          <w:p w14:paraId="6FBECAA8" w14:textId="77777777" w:rsidR="00A81C4F" w:rsidRPr="000165EC"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t>$6,000</w:t>
            </w:r>
          </w:p>
        </w:tc>
      </w:tr>
      <w:tr w:rsidR="00A81C4F" w14:paraId="799BDE37" w14:textId="77777777" w:rsidTr="00F84BBB">
        <w:tc>
          <w:tcPr>
            <w:cnfStyle w:val="001000000000" w:firstRow="0" w:lastRow="0" w:firstColumn="1" w:lastColumn="0" w:oddVBand="0" w:evenVBand="0" w:oddHBand="0" w:evenHBand="0" w:firstRowFirstColumn="0" w:firstRowLastColumn="0" w:lastRowFirstColumn="0" w:lastRowLastColumn="0"/>
            <w:tcW w:w="955" w:type="pct"/>
          </w:tcPr>
          <w:p w14:paraId="6FD02B22" w14:textId="77777777" w:rsidR="00A81C4F" w:rsidRPr="000165EC" w:rsidRDefault="00A81C4F" w:rsidP="00A87A36">
            <w:pPr>
              <w:pStyle w:val="Normal-table"/>
            </w:pPr>
            <w:r>
              <w:t>Deputy Chair</w:t>
            </w:r>
            <w:r w:rsidRPr="000165EC">
              <w:t xml:space="preserve"> </w:t>
            </w:r>
          </w:p>
        </w:tc>
        <w:tc>
          <w:tcPr>
            <w:tcW w:w="780" w:type="pct"/>
          </w:tcPr>
          <w:p w14:paraId="20139850" w14:textId="77777777" w:rsidR="00A81C4F" w:rsidRPr="000165EC"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t>John Mayo</w:t>
            </w:r>
          </w:p>
        </w:tc>
        <w:tc>
          <w:tcPr>
            <w:tcW w:w="895" w:type="pct"/>
          </w:tcPr>
          <w:p w14:paraId="2AC6EA57" w14:textId="77777777" w:rsidR="00A81C4F" w:rsidRPr="000165EC"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t>6</w:t>
            </w:r>
            <w:r w:rsidRPr="000165EC">
              <w:t xml:space="preserve"> </w:t>
            </w:r>
          </w:p>
        </w:tc>
        <w:tc>
          <w:tcPr>
            <w:tcW w:w="789" w:type="pct"/>
          </w:tcPr>
          <w:p w14:paraId="2C18C4B4" w14:textId="77777777" w:rsidR="00A81C4F" w:rsidRPr="000165EC"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t>$3,500 p.a.</w:t>
            </w:r>
          </w:p>
        </w:tc>
        <w:tc>
          <w:tcPr>
            <w:tcW w:w="793" w:type="pct"/>
          </w:tcPr>
          <w:p w14:paraId="4D3EF09A" w14:textId="77777777" w:rsidR="00A81C4F" w:rsidRPr="000165EC"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rsidRPr="0044565E">
              <w:t xml:space="preserve">N/A </w:t>
            </w:r>
          </w:p>
        </w:tc>
        <w:tc>
          <w:tcPr>
            <w:tcW w:w="789" w:type="pct"/>
          </w:tcPr>
          <w:p w14:paraId="02A11B2A" w14:textId="77777777" w:rsidR="00A81C4F" w:rsidRPr="000165EC"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t>$3,885</w:t>
            </w:r>
          </w:p>
        </w:tc>
      </w:tr>
      <w:tr w:rsidR="00A81C4F" w14:paraId="05570378" w14:textId="77777777" w:rsidTr="00F84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6BA8DA84" w14:textId="77777777" w:rsidR="00A81C4F" w:rsidRPr="000165EC" w:rsidRDefault="00A81C4F" w:rsidP="00A87A36">
            <w:pPr>
              <w:pStyle w:val="Normal-table"/>
            </w:pPr>
            <w:r w:rsidRPr="0044565E">
              <w:t xml:space="preserve">Member </w:t>
            </w:r>
          </w:p>
        </w:tc>
        <w:tc>
          <w:tcPr>
            <w:tcW w:w="780" w:type="pct"/>
          </w:tcPr>
          <w:p w14:paraId="47D3F882" w14:textId="77777777" w:rsidR="00A81C4F" w:rsidRPr="000165EC"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t xml:space="preserve">Natalie Nauman </w:t>
            </w:r>
          </w:p>
        </w:tc>
        <w:tc>
          <w:tcPr>
            <w:tcW w:w="895" w:type="pct"/>
          </w:tcPr>
          <w:p w14:paraId="29F16520" w14:textId="77777777" w:rsidR="00A81C4F" w:rsidRPr="000165EC"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t>6</w:t>
            </w:r>
            <w:r w:rsidRPr="000165EC">
              <w:t xml:space="preserve"> </w:t>
            </w:r>
          </w:p>
        </w:tc>
        <w:tc>
          <w:tcPr>
            <w:tcW w:w="789" w:type="pct"/>
          </w:tcPr>
          <w:p w14:paraId="2CC1448F" w14:textId="77777777" w:rsidR="00A81C4F" w:rsidRPr="000165EC"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t xml:space="preserve">N/A - </w:t>
            </w:r>
            <w:r w:rsidRPr="000165EC">
              <w:t>Queensland Public Servant</w:t>
            </w:r>
          </w:p>
        </w:tc>
        <w:tc>
          <w:tcPr>
            <w:tcW w:w="793" w:type="pct"/>
          </w:tcPr>
          <w:p w14:paraId="0D6FE3D1" w14:textId="77777777" w:rsidR="00A81C4F" w:rsidRPr="000165EC"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rsidRPr="0044565E">
              <w:t xml:space="preserve">N/A </w:t>
            </w:r>
          </w:p>
        </w:tc>
        <w:tc>
          <w:tcPr>
            <w:tcW w:w="789" w:type="pct"/>
          </w:tcPr>
          <w:p w14:paraId="18836F71" w14:textId="77777777" w:rsidR="00A81C4F" w:rsidRPr="000165EC"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t>N/A</w:t>
            </w:r>
          </w:p>
        </w:tc>
      </w:tr>
      <w:tr w:rsidR="00A81C4F" w14:paraId="6EE84953" w14:textId="77777777" w:rsidTr="00F84BBB">
        <w:tc>
          <w:tcPr>
            <w:cnfStyle w:val="001000000000" w:firstRow="0" w:lastRow="0" w:firstColumn="1" w:lastColumn="0" w:oddVBand="0" w:evenVBand="0" w:oddHBand="0" w:evenHBand="0" w:firstRowFirstColumn="0" w:firstRowLastColumn="0" w:lastRowFirstColumn="0" w:lastRowLastColumn="0"/>
            <w:tcW w:w="955" w:type="pct"/>
          </w:tcPr>
          <w:p w14:paraId="762CB5A8" w14:textId="77777777" w:rsidR="00A81C4F" w:rsidRPr="000165EC" w:rsidRDefault="00A81C4F" w:rsidP="00A87A36">
            <w:pPr>
              <w:pStyle w:val="Normal-table"/>
            </w:pPr>
            <w:r w:rsidRPr="0044565E">
              <w:t xml:space="preserve">Member </w:t>
            </w:r>
          </w:p>
        </w:tc>
        <w:tc>
          <w:tcPr>
            <w:tcW w:w="780" w:type="pct"/>
          </w:tcPr>
          <w:p w14:paraId="2C41EE89" w14:textId="77777777" w:rsidR="00A81C4F" w:rsidRPr="000165EC"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t xml:space="preserve">Dr </w:t>
            </w:r>
            <w:r w:rsidRPr="000165EC">
              <w:t xml:space="preserve">Kelly Bertolaccini </w:t>
            </w:r>
          </w:p>
        </w:tc>
        <w:tc>
          <w:tcPr>
            <w:tcW w:w="895" w:type="pct"/>
          </w:tcPr>
          <w:p w14:paraId="7868C506" w14:textId="77777777" w:rsidR="00A81C4F" w:rsidRPr="000165EC"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t>6</w:t>
            </w:r>
            <w:r w:rsidRPr="000165EC">
              <w:t xml:space="preserve"> </w:t>
            </w:r>
          </w:p>
        </w:tc>
        <w:tc>
          <w:tcPr>
            <w:tcW w:w="789" w:type="pct"/>
          </w:tcPr>
          <w:p w14:paraId="665B6D6A" w14:textId="77777777" w:rsidR="00A81C4F" w:rsidRPr="000165EC"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t>$3,500 p.a.</w:t>
            </w:r>
          </w:p>
        </w:tc>
        <w:tc>
          <w:tcPr>
            <w:tcW w:w="793" w:type="pct"/>
          </w:tcPr>
          <w:p w14:paraId="5C816D9F" w14:textId="77777777" w:rsidR="00A81C4F" w:rsidRPr="000165EC"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rsidRPr="0044565E">
              <w:t xml:space="preserve">N/A </w:t>
            </w:r>
          </w:p>
        </w:tc>
        <w:tc>
          <w:tcPr>
            <w:tcW w:w="789" w:type="pct"/>
          </w:tcPr>
          <w:p w14:paraId="6C575F1A" w14:textId="77777777" w:rsidR="00A81C4F" w:rsidRPr="000165EC"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t>$3,885</w:t>
            </w:r>
          </w:p>
        </w:tc>
      </w:tr>
      <w:tr w:rsidR="00A81C4F" w14:paraId="482EA63A" w14:textId="77777777" w:rsidTr="00F84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6051F01C" w14:textId="77777777" w:rsidR="00A81C4F" w:rsidRPr="000165EC" w:rsidRDefault="00A81C4F" w:rsidP="00A87A36">
            <w:pPr>
              <w:pStyle w:val="Normal-table"/>
            </w:pPr>
            <w:r w:rsidRPr="0044565E">
              <w:t xml:space="preserve">Member </w:t>
            </w:r>
          </w:p>
        </w:tc>
        <w:tc>
          <w:tcPr>
            <w:tcW w:w="780" w:type="pct"/>
          </w:tcPr>
          <w:p w14:paraId="42753EDC" w14:textId="77777777" w:rsidR="00A81C4F" w:rsidRPr="000165EC"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t xml:space="preserve">Dr </w:t>
            </w:r>
            <w:r w:rsidRPr="000165EC">
              <w:t xml:space="preserve">Emily Steel </w:t>
            </w:r>
          </w:p>
        </w:tc>
        <w:tc>
          <w:tcPr>
            <w:tcW w:w="895" w:type="pct"/>
          </w:tcPr>
          <w:p w14:paraId="26F94BD9" w14:textId="77777777" w:rsidR="00A81C4F" w:rsidRPr="000165EC"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t>4</w:t>
            </w:r>
            <w:r w:rsidRPr="000165EC">
              <w:t xml:space="preserve"> </w:t>
            </w:r>
          </w:p>
        </w:tc>
        <w:tc>
          <w:tcPr>
            <w:tcW w:w="789" w:type="pct"/>
          </w:tcPr>
          <w:p w14:paraId="44DF9A13" w14:textId="77777777" w:rsidR="00A81C4F" w:rsidRPr="000165EC"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t xml:space="preserve">N/A - </w:t>
            </w:r>
            <w:r w:rsidRPr="000165EC">
              <w:t>Queensland Public Servant</w:t>
            </w:r>
          </w:p>
        </w:tc>
        <w:tc>
          <w:tcPr>
            <w:tcW w:w="793" w:type="pct"/>
          </w:tcPr>
          <w:p w14:paraId="5126A75D" w14:textId="77777777" w:rsidR="00A81C4F" w:rsidRPr="000165EC"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rsidRPr="0044565E">
              <w:t xml:space="preserve">N/A </w:t>
            </w:r>
          </w:p>
        </w:tc>
        <w:tc>
          <w:tcPr>
            <w:tcW w:w="789" w:type="pct"/>
          </w:tcPr>
          <w:p w14:paraId="52EF7A2B" w14:textId="77777777" w:rsidR="00A81C4F" w:rsidRPr="000165EC"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t>N/A</w:t>
            </w:r>
          </w:p>
        </w:tc>
      </w:tr>
      <w:tr w:rsidR="00A81C4F" w14:paraId="17848A3E" w14:textId="77777777" w:rsidTr="00F84BBB">
        <w:tc>
          <w:tcPr>
            <w:cnfStyle w:val="001000000000" w:firstRow="0" w:lastRow="0" w:firstColumn="1" w:lastColumn="0" w:oddVBand="0" w:evenVBand="0" w:oddHBand="0" w:evenHBand="0" w:firstRowFirstColumn="0" w:firstRowLastColumn="0" w:lastRowFirstColumn="0" w:lastRowLastColumn="0"/>
            <w:tcW w:w="955" w:type="pct"/>
          </w:tcPr>
          <w:p w14:paraId="40ABDA68" w14:textId="77777777" w:rsidR="00A81C4F" w:rsidRPr="000165EC" w:rsidRDefault="00A81C4F" w:rsidP="00A87A36">
            <w:pPr>
              <w:pStyle w:val="Normal-table"/>
            </w:pPr>
            <w:r>
              <w:t>Member</w:t>
            </w:r>
          </w:p>
        </w:tc>
        <w:tc>
          <w:tcPr>
            <w:tcW w:w="780" w:type="pct"/>
          </w:tcPr>
          <w:p w14:paraId="1BE6B1BB" w14:textId="77777777" w:rsidR="00A81C4F" w:rsidRPr="000165EC"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t>Sarah Hartley</w:t>
            </w:r>
          </w:p>
        </w:tc>
        <w:tc>
          <w:tcPr>
            <w:tcW w:w="895" w:type="pct"/>
          </w:tcPr>
          <w:p w14:paraId="7C3D26A0" w14:textId="77777777" w:rsidR="00A81C4F" w:rsidRPr="000165EC"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t>3</w:t>
            </w:r>
          </w:p>
        </w:tc>
        <w:tc>
          <w:tcPr>
            <w:tcW w:w="789" w:type="pct"/>
          </w:tcPr>
          <w:p w14:paraId="50FFC435" w14:textId="77777777" w:rsidR="00A81C4F" w:rsidRPr="000165EC"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t>$3,500 p.a.</w:t>
            </w:r>
          </w:p>
        </w:tc>
        <w:tc>
          <w:tcPr>
            <w:tcW w:w="793" w:type="pct"/>
          </w:tcPr>
          <w:p w14:paraId="7F16F74C" w14:textId="77777777" w:rsidR="00A81C4F" w:rsidRPr="0044565E" w:rsidRDefault="00A81C4F" w:rsidP="00A87A36">
            <w:pPr>
              <w:pStyle w:val="Normal-table"/>
              <w:cnfStyle w:val="000000000000" w:firstRow="0" w:lastRow="0" w:firstColumn="0" w:lastColumn="0" w:oddVBand="0" w:evenVBand="0" w:oddHBand="0" w:evenHBand="0" w:firstRowFirstColumn="0" w:firstRowLastColumn="0" w:lastRowFirstColumn="0" w:lastRowLastColumn="0"/>
            </w:pPr>
          </w:p>
        </w:tc>
        <w:tc>
          <w:tcPr>
            <w:tcW w:w="789" w:type="pct"/>
          </w:tcPr>
          <w:p w14:paraId="2F1A1AD8" w14:textId="77777777" w:rsidR="00A81C4F" w:rsidRPr="000165EC"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t>$0</w:t>
            </w:r>
          </w:p>
        </w:tc>
      </w:tr>
      <w:tr w:rsidR="00A81C4F" w14:paraId="0AD352F9" w14:textId="77777777" w:rsidTr="00F84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52B821B9" w14:textId="77777777" w:rsidR="00A81C4F" w:rsidRPr="000165EC" w:rsidRDefault="00A81C4F" w:rsidP="00A87A36">
            <w:pPr>
              <w:pStyle w:val="Normal-table"/>
            </w:pPr>
            <w:r w:rsidRPr="0044565E">
              <w:t xml:space="preserve">Member </w:t>
            </w:r>
          </w:p>
        </w:tc>
        <w:tc>
          <w:tcPr>
            <w:tcW w:w="780" w:type="pct"/>
          </w:tcPr>
          <w:p w14:paraId="7CF28EB2" w14:textId="77777777" w:rsidR="00A81C4F" w:rsidRPr="000165EC"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t>Shannon Wandmaker</w:t>
            </w:r>
            <w:r w:rsidRPr="000165EC">
              <w:t xml:space="preserve"> </w:t>
            </w:r>
          </w:p>
        </w:tc>
        <w:tc>
          <w:tcPr>
            <w:tcW w:w="895" w:type="pct"/>
          </w:tcPr>
          <w:p w14:paraId="0059305D" w14:textId="77777777" w:rsidR="00A81C4F" w:rsidRPr="000165EC"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t>3</w:t>
            </w:r>
            <w:r w:rsidRPr="000165EC">
              <w:t xml:space="preserve"> </w:t>
            </w:r>
          </w:p>
        </w:tc>
        <w:tc>
          <w:tcPr>
            <w:tcW w:w="789" w:type="pct"/>
          </w:tcPr>
          <w:p w14:paraId="78A11043" w14:textId="77777777" w:rsidR="00A81C4F" w:rsidRPr="000165EC"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t>$3,500 p.a.</w:t>
            </w:r>
          </w:p>
        </w:tc>
        <w:tc>
          <w:tcPr>
            <w:tcW w:w="793" w:type="pct"/>
          </w:tcPr>
          <w:p w14:paraId="55F9C82F" w14:textId="77777777" w:rsidR="00A81C4F" w:rsidRPr="000165EC"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rsidRPr="0044565E">
              <w:t xml:space="preserve">N/A </w:t>
            </w:r>
          </w:p>
        </w:tc>
        <w:tc>
          <w:tcPr>
            <w:tcW w:w="789" w:type="pct"/>
          </w:tcPr>
          <w:p w14:paraId="6A81A63D" w14:textId="77777777" w:rsidR="00A81C4F" w:rsidRPr="000165EC"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t>$3,885</w:t>
            </w:r>
          </w:p>
        </w:tc>
      </w:tr>
      <w:tr w:rsidR="00A81C4F" w14:paraId="366B3B41" w14:textId="77777777" w:rsidTr="00F84BBB">
        <w:tc>
          <w:tcPr>
            <w:cnfStyle w:val="001000000000" w:firstRow="0" w:lastRow="0" w:firstColumn="1" w:lastColumn="0" w:oddVBand="0" w:evenVBand="0" w:oddHBand="0" w:evenHBand="0" w:firstRowFirstColumn="0" w:firstRowLastColumn="0" w:lastRowFirstColumn="0" w:lastRowLastColumn="0"/>
            <w:tcW w:w="955" w:type="pct"/>
          </w:tcPr>
          <w:p w14:paraId="6822C1A4" w14:textId="77777777" w:rsidR="00A81C4F" w:rsidRPr="000165EC" w:rsidRDefault="00A81C4F" w:rsidP="00A87A36">
            <w:pPr>
              <w:pStyle w:val="Normal-table"/>
            </w:pPr>
            <w:r>
              <w:t xml:space="preserve">Member </w:t>
            </w:r>
          </w:p>
        </w:tc>
        <w:tc>
          <w:tcPr>
            <w:tcW w:w="780" w:type="pct"/>
          </w:tcPr>
          <w:p w14:paraId="186BB0B5" w14:textId="77777777" w:rsidR="00A81C4F" w:rsidRPr="000165EC"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t>Steve Tucker</w:t>
            </w:r>
          </w:p>
        </w:tc>
        <w:tc>
          <w:tcPr>
            <w:tcW w:w="895" w:type="pct"/>
          </w:tcPr>
          <w:p w14:paraId="7666DA74" w14:textId="77777777" w:rsidR="00A81C4F" w:rsidRPr="000165EC"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t>3</w:t>
            </w:r>
          </w:p>
        </w:tc>
        <w:tc>
          <w:tcPr>
            <w:tcW w:w="789" w:type="pct"/>
          </w:tcPr>
          <w:p w14:paraId="62D79803" w14:textId="77777777" w:rsidR="00A81C4F" w:rsidRPr="000165EC"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t>$3,500 p.a.</w:t>
            </w:r>
          </w:p>
        </w:tc>
        <w:tc>
          <w:tcPr>
            <w:tcW w:w="793" w:type="pct"/>
          </w:tcPr>
          <w:p w14:paraId="03EF9F4F" w14:textId="77777777" w:rsidR="00A81C4F" w:rsidRPr="000165EC"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t>N/A</w:t>
            </w:r>
          </w:p>
        </w:tc>
        <w:tc>
          <w:tcPr>
            <w:tcW w:w="789" w:type="pct"/>
          </w:tcPr>
          <w:p w14:paraId="1ABF429D" w14:textId="77777777" w:rsidR="00A81C4F" w:rsidRPr="000165EC"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t>$0</w:t>
            </w:r>
          </w:p>
        </w:tc>
      </w:tr>
      <w:tr w:rsidR="00A81C4F" w14:paraId="05F2B43C" w14:textId="77777777" w:rsidTr="00F84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4ACD0B9F" w14:textId="77777777" w:rsidR="00A81C4F" w:rsidRPr="000165EC" w:rsidRDefault="00A81C4F" w:rsidP="00A87A36">
            <w:pPr>
              <w:pStyle w:val="Normal-table"/>
            </w:pPr>
            <w:r w:rsidRPr="0044565E">
              <w:t xml:space="preserve">No. scheduled meetings/sessions </w:t>
            </w:r>
          </w:p>
        </w:tc>
        <w:tc>
          <w:tcPr>
            <w:tcW w:w="780" w:type="pct"/>
          </w:tcPr>
          <w:p w14:paraId="3743B8E4" w14:textId="77777777" w:rsidR="00A81C4F" w:rsidRPr="0044565E" w:rsidRDefault="00A81C4F" w:rsidP="00A87A36">
            <w:pPr>
              <w:pStyle w:val="Normal-table"/>
              <w:cnfStyle w:val="000000100000" w:firstRow="0" w:lastRow="0" w:firstColumn="0" w:lastColumn="0" w:oddVBand="0" w:evenVBand="0" w:oddHBand="1" w:evenHBand="0" w:firstRowFirstColumn="0" w:firstRowLastColumn="0" w:lastRowFirstColumn="0" w:lastRowLastColumn="0"/>
            </w:pPr>
          </w:p>
        </w:tc>
        <w:tc>
          <w:tcPr>
            <w:tcW w:w="895" w:type="pct"/>
          </w:tcPr>
          <w:p w14:paraId="3C18CC69" w14:textId="77777777" w:rsidR="00A81C4F" w:rsidRPr="000165EC"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t>6</w:t>
            </w:r>
          </w:p>
        </w:tc>
        <w:tc>
          <w:tcPr>
            <w:tcW w:w="789" w:type="pct"/>
          </w:tcPr>
          <w:p w14:paraId="1E6699DC" w14:textId="77777777" w:rsidR="00A81C4F" w:rsidRPr="0044565E" w:rsidRDefault="00A81C4F" w:rsidP="00A87A36">
            <w:pPr>
              <w:pStyle w:val="Normal-table"/>
              <w:cnfStyle w:val="000000100000" w:firstRow="0" w:lastRow="0" w:firstColumn="0" w:lastColumn="0" w:oddVBand="0" w:evenVBand="0" w:oddHBand="1" w:evenHBand="0" w:firstRowFirstColumn="0" w:firstRowLastColumn="0" w:lastRowFirstColumn="0" w:lastRowLastColumn="0"/>
            </w:pPr>
          </w:p>
        </w:tc>
        <w:tc>
          <w:tcPr>
            <w:tcW w:w="793" w:type="pct"/>
          </w:tcPr>
          <w:p w14:paraId="61294BDC" w14:textId="77777777" w:rsidR="00A81C4F" w:rsidRPr="0044565E" w:rsidRDefault="00A81C4F" w:rsidP="00A87A36">
            <w:pPr>
              <w:pStyle w:val="Normal-table"/>
              <w:cnfStyle w:val="000000100000" w:firstRow="0" w:lastRow="0" w:firstColumn="0" w:lastColumn="0" w:oddVBand="0" w:evenVBand="0" w:oddHBand="1" w:evenHBand="0" w:firstRowFirstColumn="0" w:firstRowLastColumn="0" w:lastRowFirstColumn="0" w:lastRowLastColumn="0"/>
            </w:pPr>
          </w:p>
        </w:tc>
        <w:tc>
          <w:tcPr>
            <w:tcW w:w="789" w:type="pct"/>
          </w:tcPr>
          <w:p w14:paraId="085026F2" w14:textId="77777777" w:rsidR="00A81C4F" w:rsidRPr="0044565E" w:rsidRDefault="00A81C4F" w:rsidP="00A87A36">
            <w:pPr>
              <w:pStyle w:val="Normal-table"/>
              <w:cnfStyle w:val="000000100000" w:firstRow="0" w:lastRow="0" w:firstColumn="0" w:lastColumn="0" w:oddVBand="0" w:evenVBand="0" w:oddHBand="1" w:evenHBand="0" w:firstRowFirstColumn="0" w:firstRowLastColumn="0" w:lastRowFirstColumn="0" w:lastRowLastColumn="0"/>
            </w:pPr>
          </w:p>
        </w:tc>
      </w:tr>
      <w:tr w:rsidR="00A81C4F" w14:paraId="52C16B2A" w14:textId="77777777" w:rsidTr="00F84BB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4AF91C9E" w14:textId="77777777" w:rsidR="00A81C4F" w:rsidRPr="000165EC" w:rsidRDefault="00A81C4F" w:rsidP="00A87A36">
            <w:pPr>
              <w:pStyle w:val="Normal-table"/>
            </w:pPr>
            <w:r w:rsidRPr="0044565E">
              <w:t xml:space="preserve">Total TMR payments </w:t>
            </w:r>
          </w:p>
        </w:tc>
        <w:tc>
          <w:tcPr>
            <w:tcW w:w="780" w:type="pct"/>
          </w:tcPr>
          <w:p w14:paraId="51CBA36D" w14:textId="77777777" w:rsidR="00A81C4F" w:rsidRPr="0044565E" w:rsidRDefault="00A81C4F" w:rsidP="00A87A36">
            <w:pPr>
              <w:pStyle w:val="Normal-table"/>
              <w:cnfStyle w:val="010000000000" w:firstRow="0" w:lastRow="1" w:firstColumn="0" w:lastColumn="0" w:oddVBand="0" w:evenVBand="0" w:oddHBand="0" w:evenHBand="0" w:firstRowFirstColumn="0" w:firstRowLastColumn="0" w:lastRowFirstColumn="0" w:lastRowLastColumn="0"/>
            </w:pPr>
          </w:p>
        </w:tc>
        <w:tc>
          <w:tcPr>
            <w:tcW w:w="895" w:type="pct"/>
          </w:tcPr>
          <w:p w14:paraId="0C497820" w14:textId="77777777" w:rsidR="00A81C4F" w:rsidRPr="0044565E" w:rsidRDefault="00A81C4F" w:rsidP="00A87A36">
            <w:pPr>
              <w:pStyle w:val="Normal-table"/>
              <w:cnfStyle w:val="010000000000" w:firstRow="0" w:lastRow="1" w:firstColumn="0" w:lastColumn="0" w:oddVBand="0" w:evenVBand="0" w:oddHBand="0" w:evenHBand="0" w:firstRowFirstColumn="0" w:firstRowLastColumn="0" w:lastRowFirstColumn="0" w:lastRowLastColumn="0"/>
            </w:pPr>
          </w:p>
        </w:tc>
        <w:tc>
          <w:tcPr>
            <w:tcW w:w="789" w:type="pct"/>
          </w:tcPr>
          <w:p w14:paraId="799209D6" w14:textId="77777777" w:rsidR="00A81C4F" w:rsidRPr="0044565E" w:rsidRDefault="00A81C4F" w:rsidP="00A87A36">
            <w:pPr>
              <w:pStyle w:val="Normal-table"/>
              <w:cnfStyle w:val="010000000000" w:firstRow="0" w:lastRow="1" w:firstColumn="0" w:lastColumn="0" w:oddVBand="0" w:evenVBand="0" w:oddHBand="0" w:evenHBand="0" w:firstRowFirstColumn="0" w:firstRowLastColumn="0" w:lastRowFirstColumn="0" w:lastRowLastColumn="0"/>
            </w:pPr>
          </w:p>
        </w:tc>
        <w:tc>
          <w:tcPr>
            <w:tcW w:w="793" w:type="pct"/>
          </w:tcPr>
          <w:p w14:paraId="72904901" w14:textId="77777777" w:rsidR="00A81C4F" w:rsidRPr="0044565E" w:rsidRDefault="00A81C4F" w:rsidP="00A87A36">
            <w:pPr>
              <w:pStyle w:val="Normal-table"/>
              <w:cnfStyle w:val="010000000000" w:firstRow="0" w:lastRow="1" w:firstColumn="0" w:lastColumn="0" w:oddVBand="0" w:evenVBand="0" w:oddHBand="0" w:evenHBand="0" w:firstRowFirstColumn="0" w:firstRowLastColumn="0" w:lastRowFirstColumn="0" w:lastRowLastColumn="0"/>
            </w:pPr>
          </w:p>
        </w:tc>
        <w:tc>
          <w:tcPr>
            <w:tcW w:w="789" w:type="pct"/>
          </w:tcPr>
          <w:p w14:paraId="244DABB8" w14:textId="77777777" w:rsidR="00A81C4F" w:rsidRPr="000165EC" w:rsidRDefault="00A81C4F" w:rsidP="00A87A36">
            <w:pPr>
              <w:pStyle w:val="Normal-table"/>
              <w:cnfStyle w:val="010000000000" w:firstRow="0" w:lastRow="1" w:firstColumn="0" w:lastColumn="0" w:oddVBand="0" w:evenVBand="0" w:oddHBand="0" w:evenHBand="0" w:firstRowFirstColumn="0" w:firstRowLastColumn="0" w:lastRowFirstColumn="0" w:lastRowLastColumn="0"/>
            </w:pPr>
            <w:r>
              <w:t>$</w:t>
            </w:r>
            <w:r w:rsidRPr="000165EC">
              <w:t>17,655</w:t>
            </w:r>
          </w:p>
        </w:tc>
      </w:tr>
    </w:tbl>
    <w:p w14:paraId="6139025F" w14:textId="77777777" w:rsidR="00A81C4F" w:rsidRDefault="00A81C4F" w:rsidP="00A81C4F">
      <w:pPr>
        <w:pStyle w:val="Caption"/>
      </w:pPr>
      <w:r>
        <w:t xml:space="preserve">* TMR payments include superannuation for Council members as they are engaged as casual board member. The Chair was engaged as a contractor therefore superannuation was not applicable. </w:t>
      </w:r>
    </w:p>
    <w:p w14:paraId="631CE7BA" w14:textId="77777777" w:rsidR="00A81C4F" w:rsidRDefault="00A81C4F" w:rsidP="00A81C4F">
      <w:pPr>
        <w:pStyle w:val="Caption"/>
      </w:pPr>
      <w:r>
        <w:t xml:space="preserve">**Payment to Ms. Hartley and Mr. Tucker will be paid and reported in FY 2023/24. </w:t>
      </w:r>
    </w:p>
    <w:p w14:paraId="66F2B604" w14:textId="77777777" w:rsidR="00A81C4F" w:rsidRDefault="00A81C4F" w:rsidP="00A81C4F">
      <w:pPr>
        <w:pStyle w:val="Caption"/>
      </w:pPr>
      <w:r>
        <w:t xml:space="preserve">*** 50% of all TMR costs are recoverable from Queensland Rail.  </w:t>
      </w:r>
    </w:p>
    <w:p w14:paraId="3C45AF78" w14:textId="77777777" w:rsidR="00093FB8" w:rsidRDefault="00093FB8">
      <w:pPr>
        <w:spacing w:before="0" w:after="160" w:line="259" w:lineRule="auto"/>
        <w:rPr>
          <w:rFonts w:eastAsiaTheme="majorEastAsia" w:cstheme="majorBidi"/>
          <w:color w:val="000000" w:themeColor="text1"/>
          <w:sz w:val="48"/>
          <w:szCs w:val="26"/>
        </w:rPr>
      </w:pPr>
      <w:r>
        <w:br w:type="page"/>
      </w:r>
    </w:p>
    <w:p w14:paraId="3FB35C9F" w14:textId="14C09CA2" w:rsidR="00A81C4F" w:rsidRPr="004530AF" w:rsidRDefault="00A81C4F" w:rsidP="00A81C4F">
      <w:pPr>
        <w:pStyle w:val="Heading2"/>
      </w:pPr>
      <w:r w:rsidRPr="004530AF">
        <w:lastRenderedPageBreak/>
        <w:t xml:space="preserve">Appendix </w:t>
      </w:r>
      <w:r>
        <w:t>7 –</w:t>
      </w:r>
      <w:r w:rsidRPr="004530AF">
        <w:t xml:space="preserve"> Glossary</w:t>
      </w:r>
    </w:p>
    <w:tbl>
      <w:tblPr>
        <w:tblStyle w:val="GridTable4-Accent1"/>
        <w:tblW w:w="5000" w:type="pct"/>
        <w:tblLook w:val="04A0" w:firstRow="1" w:lastRow="0" w:firstColumn="1" w:lastColumn="0" w:noHBand="0" w:noVBand="1"/>
      </w:tblPr>
      <w:tblGrid>
        <w:gridCol w:w="2781"/>
        <w:gridCol w:w="7675"/>
      </w:tblGrid>
      <w:tr w:rsidR="00A81C4F" w:rsidRPr="004530AF" w14:paraId="3AF8B13A" w14:textId="77777777" w:rsidTr="00A87A36">
        <w:trPr>
          <w:cnfStyle w:val="100000000000" w:firstRow="1" w:lastRow="0" w:firstColumn="0" w:lastColumn="0" w:oddVBand="0" w:evenVBand="0" w:oddHBand="0" w:evenHBand="0" w:firstRowFirstColumn="0" w:firstRowLastColumn="0" w:lastRowFirstColumn="0" w:lastRowLastColumn="0"/>
          <w:trHeight w:val="202"/>
          <w:tblHeader/>
        </w:trPr>
        <w:tc>
          <w:tcPr>
            <w:cnfStyle w:val="001000000000" w:firstRow="0" w:lastRow="0" w:firstColumn="1" w:lastColumn="0" w:oddVBand="0" w:evenVBand="0" w:oddHBand="0" w:evenHBand="0" w:firstRowFirstColumn="0" w:firstRowLastColumn="0" w:lastRowFirstColumn="0" w:lastRowLastColumn="0"/>
            <w:tcW w:w="1330" w:type="pct"/>
          </w:tcPr>
          <w:p w14:paraId="5EF5194D" w14:textId="77777777" w:rsidR="00A81C4F" w:rsidRPr="004530AF" w:rsidRDefault="00A81C4F" w:rsidP="00A87A36">
            <w:pPr>
              <w:pStyle w:val="Normal-table"/>
              <w:rPr>
                <w:lang w:val="en-AU"/>
              </w:rPr>
            </w:pPr>
            <w:r w:rsidRPr="004530AF">
              <w:rPr>
                <w:lang w:val="en-AU"/>
              </w:rPr>
              <w:t>Term</w:t>
            </w:r>
          </w:p>
        </w:tc>
        <w:tc>
          <w:tcPr>
            <w:tcW w:w="3670" w:type="pct"/>
          </w:tcPr>
          <w:p w14:paraId="7BD87B22" w14:textId="77777777" w:rsidR="00A81C4F" w:rsidRPr="004530AF" w:rsidRDefault="00A81C4F" w:rsidP="00A87A36">
            <w:pPr>
              <w:pStyle w:val="Normal-table"/>
              <w:cnfStyle w:val="100000000000" w:firstRow="1" w:lastRow="0" w:firstColumn="0" w:lastColumn="0" w:oddVBand="0" w:evenVBand="0" w:oddHBand="0" w:evenHBand="0" w:firstRowFirstColumn="0" w:firstRowLastColumn="0" w:lastRowFirstColumn="0" w:lastRowLastColumn="0"/>
              <w:rPr>
                <w:lang w:val="en-AU"/>
              </w:rPr>
            </w:pPr>
            <w:r w:rsidRPr="004530AF">
              <w:rPr>
                <w:lang w:val="en-AU"/>
              </w:rPr>
              <w:t>Definition</w:t>
            </w:r>
          </w:p>
        </w:tc>
      </w:tr>
      <w:tr w:rsidR="00A81C4F" w:rsidRPr="004530AF" w14:paraId="126B1ED8" w14:textId="77777777" w:rsidTr="00A87A36">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330" w:type="pct"/>
          </w:tcPr>
          <w:p w14:paraId="71B3CADE" w14:textId="77777777" w:rsidR="00A81C4F" w:rsidRPr="004530AF" w:rsidRDefault="00A81C4F" w:rsidP="00A87A36">
            <w:pPr>
              <w:pStyle w:val="Normal-table"/>
              <w:rPr>
                <w:lang w:val="en-AU"/>
              </w:rPr>
            </w:pPr>
            <w:r w:rsidRPr="004530AF">
              <w:rPr>
                <w:lang w:val="en-AU"/>
              </w:rPr>
              <w:t>3PCM</w:t>
            </w:r>
          </w:p>
        </w:tc>
        <w:tc>
          <w:tcPr>
            <w:tcW w:w="3670" w:type="pct"/>
          </w:tcPr>
          <w:p w14:paraId="197AADD2" w14:textId="77777777" w:rsidR="00A81C4F" w:rsidRPr="004530AF"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rsidRPr="004530AF">
              <w:rPr>
                <w:lang w:val="en-AU"/>
              </w:rPr>
              <w:t>The 3PCM solution provides TMR with the capability to manage the Transport Infrastructure Portfolio, through integration of the portfolio, program, project and contract management processes.  The solution manages Queensland Transport Infrastructure Program (QTRIP) activity and also delivers the QTRIP development and publications requirements.</w:t>
            </w:r>
          </w:p>
        </w:tc>
      </w:tr>
      <w:tr w:rsidR="00A81C4F" w:rsidRPr="004530AF" w14:paraId="674679FD" w14:textId="77777777" w:rsidTr="00A87A36">
        <w:trPr>
          <w:trHeight w:val="343"/>
        </w:trPr>
        <w:tc>
          <w:tcPr>
            <w:cnfStyle w:val="001000000000" w:firstRow="0" w:lastRow="0" w:firstColumn="1" w:lastColumn="0" w:oddVBand="0" w:evenVBand="0" w:oddHBand="0" w:evenHBand="0" w:firstRowFirstColumn="0" w:firstRowLastColumn="0" w:lastRowFirstColumn="0" w:lastRowLastColumn="0"/>
            <w:tcW w:w="1330" w:type="pct"/>
          </w:tcPr>
          <w:p w14:paraId="328AF7DF" w14:textId="77777777" w:rsidR="00A81C4F" w:rsidRPr="004530AF" w:rsidRDefault="00A81C4F" w:rsidP="00A87A36">
            <w:pPr>
              <w:pStyle w:val="Normal-table"/>
              <w:rPr>
                <w:lang w:val="en-AU"/>
              </w:rPr>
            </w:pPr>
            <w:r w:rsidRPr="004530AF">
              <w:rPr>
                <w:lang w:val="en-AU"/>
              </w:rPr>
              <w:t>App / Application</w:t>
            </w:r>
          </w:p>
        </w:tc>
        <w:tc>
          <w:tcPr>
            <w:tcW w:w="3670" w:type="pct"/>
          </w:tcPr>
          <w:p w14:paraId="1853F0B8" w14:textId="77777777" w:rsidR="00A81C4F" w:rsidRPr="004530AF"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rsidRPr="004530AF">
              <w:rPr>
                <w:lang w:val="en-AU"/>
              </w:rPr>
              <w:t>An application (application software) is a set of computer programs designed to permit the user to perform a group of coordinated functions, tasks</w:t>
            </w:r>
            <w:r>
              <w:t>,</w:t>
            </w:r>
            <w:r w:rsidRPr="004530AF">
              <w:rPr>
                <w:lang w:val="en-AU"/>
              </w:rPr>
              <w:t xml:space="preserve"> or activities.</w:t>
            </w:r>
          </w:p>
        </w:tc>
      </w:tr>
      <w:tr w:rsidR="00A81C4F" w:rsidRPr="004530AF" w14:paraId="662EF523"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tcPr>
          <w:p w14:paraId="15C2D320" w14:textId="77777777" w:rsidR="00A81C4F" w:rsidRPr="004530AF" w:rsidRDefault="00A81C4F" w:rsidP="00A87A36">
            <w:pPr>
              <w:pStyle w:val="Normal-table"/>
              <w:rPr>
                <w:lang w:val="en-AU"/>
              </w:rPr>
            </w:pPr>
            <w:r w:rsidRPr="004530AF">
              <w:rPr>
                <w:lang w:val="en-AU"/>
              </w:rPr>
              <w:t>Australian Roads Research Board</w:t>
            </w:r>
          </w:p>
        </w:tc>
        <w:tc>
          <w:tcPr>
            <w:tcW w:w="3670" w:type="pct"/>
          </w:tcPr>
          <w:p w14:paraId="6E2A41E6" w14:textId="77777777" w:rsidR="00A81C4F" w:rsidRPr="004530AF"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rsidRPr="004530AF">
              <w:rPr>
                <w:lang w:val="en-AU"/>
              </w:rPr>
              <w:t>Provides research, consulting</w:t>
            </w:r>
            <w:r>
              <w:t>,</w:t>
            </w:r>
            <w:r w:rsidRPr="004530AF">
              <w:rPr>
                <w:lang w:val="en-AU"/>
              </w:rPr>
              <w:t xml:space="preserve"> and information services to the road and transport industry.</w:t>
            </w:r>
          </w:p>
        </w:tc>
      </w:tr>
      <w:tr w:rsidR="00A81C4F" w:rsidRPr="004530AF" w14:paraId="4FB067B6" w14:textId="77777777" w:rsidTr="00A87A36">
        <w:tc>
          <w:tcPr>
            <w:cnfStyle w:val="001000000000" w:firstRow="0" w:lastRow="0" w:firstColumn="1" w:lastColumn="0" w:oddVBand="0" w:evenVBand="0" w:oddHBand="0" w:evenHBand="0" w:firstRowFirstColumn="0" w:firstRowLastColumn="0" w:lastRowFirstColumn="0" w:lastRowLastColumn="0"/>
            <w:tcW w:w="1330" w:type="pct"/>
          </w:tcPr>
          <w:p w14:paraId="327F1ECD" w14:textId="77777777" w:rsidR="00A81C4F" w:rsidRPr="004530AF" w:rsidRDefault="00A81C4F" w:rsidP="00A87A36">
            <w:pPr>
              <w:pStyle w:val="Normal-table"/>
              <w:rPr>
                <w:lang w:val="en-AU"/>
              </w:rPr>
            </w:pPr>
            <w:r w:rsidRPr="004530AF">
              <w:rPr>
                <w:lang w:val="en-AU"/>
              </w:rPr>
              <w:t>Black Spot Program</w:t>
            </w:r>
          </w:p>
        </w:tc>
        <w:tc>
          <w:tcPr>
            <w:tcW w:w="3670" w:type="pct"/>
          </w:tcPr>
          <w:p w14:paraId="51CD6534" w14:textId="77777777" w:rsidR="00A81C4F" w:rsidRPr="004530AF"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rsidRPr="004530AF">
              <w:rPr>
                <w:lang w:val="en-AU"/>
              </w:rPr>
              <w:t>Black spots are locations where high-severity crashes occur. The Australian Government-funded Black Spot Program targets known crash sites through cost-effective, high-benefit engineering works to reduce accidents on Australian roads.</w:t>
            </w:r>
          </w:p>
        </w:tc>
      </w:tr>
      <w:tr w:rsidR="00A81C4F" w:rsidRPr="004530AF" w14:paraId="2C4530EB"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tcPr>
          <w:p w14:paraId="3D879991" w14:textId="77777777" w:rsidR="00A81C4F" w:rsidRPr="004530AF" w:rsidRDefault="00A81C4F" w:rsidP="00A87A36">
            <w:pPr>
              <w:pStyle w:val="Normal-table"/>
              <w:rPr>
                <w:lang w:val="en-AU"/>
              </w:rPr>
            </w:pPr>
            <w:r w:rsidRPr="004530AF">
              <w:rPr>
                <w:lang w:val="en-AU"/>
              </w:rPr>
              <w:t>Busway</w:t>
            </w:r>
          </w:p>
        </w:tc>
        <w:tc>
          <w:tcPr>
            <w:tcW w:w="3670" w:type="pct"/>
          </w:tcPr>
          <w:p w14:paraId="161B3176" w14:textId="77777777" w:rsidR="00A81C4F" w:rsidRPr="004530AF"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rsidRPr="004530AF">
              <w:rPr>
                <w:lang w:val="en-AU"/>
              </w:rPr>
              <w:t>A dedicated roadway that separates buses from general traffic.</w:t>
            </w:r>
          </w:p>
        </w:tc>
      </w:tr>
      <w:tr w:rsidR="00A81C4F" w:rsidRPr="004530AF" w14:paraId="2B4E7CBA" w14:textId="77777777" w:rsidTr="00A87A36">
        <w:tc>
          <w:tcPr>
            <w:cnfStyle w:val="001000000000" w:firstRow="0" w:lastRow="0" w:firstColumn="1" w:lastColumn="0" w:oddVBand="0" w:evenVBand="0" w:oddHBand="0" w:evenHBand="0" w:firstRowFirstColumn="0" w:firstRowLastColumn="0" w:lastRowFirstColumn="0" w:lastRowLastColumn="0"/>
            <w:tcW w:w="1330" w:type="pct"/>
          </w:tcPr>
          <w:p w14:paraId="757271EC" w14:textId="77777777" w:rsidR="00A81C4F" w:rsidRPr="004530AF" w:rsidRDefault="00A81C4F" w:rsidP="00A87A36">
            <w:pPr>
              <w:pStyle w:val="Normal-table"/>
              <w:rPr>
                <w:lang w:val="en-AU"/>
              </w:rPr>
            </w:pPr>
            <w:r w:rsidRPr="004530AF">
              <w:rPr>
                <w:lang w:val="en-AU"/>
              </w:rPr>
              <w:t>Camera Detected Offence Program (CDOP)</w:t>
            </w:r>
          </w:p>
        </w:tc>
        <w:tc>
          <w:tcPr>
            <w:tcW w:w="3670" w:type="pct"/>
          </w:tcPr>
          <w:p w14:paraId="428960AC" w14:textId="77777777" w:rsidR="00A81C4F" w:rsidRPr="004530AF"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rsidRPr="004530AF">
              <w:rPr>
                <w:lang w:val="en-AU"/>
              </w:rPr>
              <w:t>A joint partnership between TMR and Q</w:t>
            </w:r>
            <w:r>
              <w:t xml:space="preserve">ueensland </w:t>
            </w:r>
            <w:r w:rsidRPr="004530AF">
              <w:rPr>
                <w:lang w:val="en-AU"/>
              </w:rPr>
              <w:t>P</w:t>
            </w:r>
            <w:r>
              <w:t xml:space="preserve">olice </w:t>
            </w:r>
            <w:r w:rsidRPr="004530AF">
              <w:rPr>
                <w:lang w:val="en-AU"/>
              </w:rPr>
              <w:t>S</w:t>
            </w:r>
            <w:r>
              <w:t>ervice</w:t>
            </w:r>
            <w:r w:rsidRPr="004530AF">
              <w:rPr>
                <w:lang w:val="en-AU"/>
              </w:rPr>
              <w:t>, the C</w:t>
            </w:r>
            <w:r>
              <w:t xml:space="preserve">amera </w:t>
            </w:r>
            <w:r w:rsidRPr="004530AF">
              <w:rPr>
                <w:lang w:val="en-AU"/>
              </w:rPr>
              <w:t>D</w:t>
            </w:r>
            <w:r>
              <w:t xml:space="preserve">etected </w:t>
            </w:r>
            <w:r w:rsidRPr="004530AF">
              <w:rPr>
                <w:lang w:val="en-AU"/>
              </w:rPr>
              <w:t>O</w:t>
            </w:r>
            <w:r>
              <w:t xml:space="preserve">ffence </w:t>
            </w:r>
            <w:r w:rsidRPr="004530AF">
              <w:rPr>
                <w:lang w:val="en-AU"/>
              </w:rPr>
              <w:t>P</w:t>
            </w:r>
            <w:r>
              <w:t>rogram</w:t>
            </w:r>
            <w:r w:rsidRPr="004530AF">
              <w:rPr>
                <w:lang w:val="en-AU"/>
              </w:rPr>
              <w:t xml:space="preserve"> comprises revenue collected from mobile speed cameras, fixed speed cameras, red light cameras, combined red light/speed cameras and point-to-point speed camera systems</w:t>
            </w:r>
            <w:r>
              <w:t>,</w:t>
            </w:r>
            <w:r w:rsidRPr="004530AF">
              <w:rPr>
                <w:lang w:val="en-AU"/>
              </w:rPr>
              <w:t xml:space="preserve"> and trailer mounted speed cameras. CDOP revenue is used as a partial source of funding for the Safer Roads Sooner Program and a number of other safety-related state-funded special initiatives.</w:t>
            </w:r>
          </w:p>
        </w:tc>
      </w:tr>
      <w:tr w:rsidR="00A81C4F" w:rsidRPr="004530AF" w14:paraId="0D108B91"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tcPr>
          <w:p w14:paraId="7D13C807" w14:textId="77777777" w:rsidR="00A81C4F" w:rsidRPr="004530AF" w:rsidRDefault="00A81C4F" w:rsidP="00A87A36">
            <w:pPr>
              <w:pStyle w:val="Normal-table"/>
              <w:rPr>
                <w:lang w:val="en-AU"/>
              </w:rPr>
            </w:pPr>
            <w:r w:rsidRPr="004530AF">
              <w:rPr>
                <w:lang w:val="en-AU"/>
              </w:rPr>
              <w:t>Cross River Rail Delivery Authority</w:t>
            </w:r>
          </w:p>
        </w:tc>
        <w:tc>
          <w:tcPr>
            <w:tcW w:w="3670" w:type="pct"/>
          </w:tcPr>
          <w:p w14:paraId="7AEDBA49" w14:textId="77777777" w:rsidR="00A81C4F" w:rsidRPr="004530AF"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rsidRPr="004530AF">
              <w:rPr>
                <w:lang w:val="en-AU"/>
              </w:rPr>
              <w:t xml:space="preserve">Established under the </w:t>
            </w:r>
            <w:r w:rsidRPr="00144937">
              <w:rPr>
                <w:rStyle w:val="Emphasis"/>
              </w:rPr>
              <w:t>Cross River Rail Delivery Authority Act 2016</w:t>
            </w:r>
            <w:r w:rsidRPr="004530AF">
              <w:rPr>
                <w:lang w:val="en-AU"/>
              </w:rPr>
              <w:t>, the Cross River Rail Delivery Authority lead the development, procurement</w:t>
            </w:r>
            <w:r>
              <w:t>,</w:t>
            </w:r>
            <w:r w:rsidRPr="004530AF">
              <w:rPr>
                <w:lang w:val="en-AU"/>
              </w:rPr>
              <w:t xml:space="preserve"> and delivery of the Cross River Rail project.</w:t>
            </w:r>
          </w:p>
        </w:tc>
      </w:tr>
      <w:tr w:rsidR="00A81C4F" w:rsidRPr="004530AF" w14:paraId="5B8EB307" w14:textId="77777777" w:rsidTr="00A87A36">
        <w:tc>
          <w:tcPr>
            <w:cnfStyle w:val="001000000000" w:firstRow="0" w:lastRow="0" w:firstColumn="1" w:lastColumn="0" w:oddVBand="0" w:evenVBand="0" w:oddHBand="0" w:evenHBand="0" w:firstRowFirstColumn="0" w:firstRowLastColumn="0" w:lastRowFirstColumn="0" w:lastRowLastColumn="0"/>
            <w:tcW w:w="1330" w:type="pct"/>
          </w:tcPr>
          <w:p w14:paraId="4EC6F5B1" w14:textId="77777777" w:rsidR="00A81C4F" w:rsidRPr="004530AF" w:rsidRDefault="00A81C4F" w:rsidP="00A87A36">
            <w:pPr>
              <w:pStyle w:val="Normal-table"/>
              <w:rPr>
                <w:lang w:val="en-AU"/>
              </w:rPr>
            </w:pPr>
            <w:r w:rsidRPr="004530AF">
              <w:rPr>
                <w:lang w:val="en-AU"/>
              </w:rPr>
              <w:t>Cycling infrastructure</w:t>
            </w:r>
          </w:p>
        </w:tc>
        <w:tc>
          <w:tcPr>
            <w:tcW w:w="3670" w:type="pct"/>
          </w:tcPr>
          <w:p w14:paraId="41CC7419" w14:textId="77777777" w:rsidR="00A81C4F" w:rsidRPr="004530AF"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rsidRPr="004530AF">
              <w:rPr>
                <w:lang w:val="en-AU"/>
              </w:rPr>
              <w:t>Facilities such as on-road and off-road cycling networks, and end-of-trip facilities to promote increased use of cycling through safe direct and connected routes and increased transport choices.</w:t>
            </w:r>
          </w:p>
        </w:tc>
      </w:tr>
      <w:tr w:rsidR="00A81C4F" w:rsidRPr="004530AF" w14:paraId="36B9F172"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tcPr>
          <w:p w14:paraId="0C770C7B" w14:textId="77777777" w:rsidR="00A81C4F" w:rsidRPr="004530AF" w:rsidRDefault="00A81C4F" w:rsidP="00A87A36">
            <w:pPr>
              <w:pStyle w:val="Normal-table"/>
              <w:rPr>
                <w:lang w:val="en-AU"/>
              </w:rPr>
            </w:pPr>
            <w:r w:rsidRPr="004530AF">
              <w:rPr>
                <w:lang w:val="en-AU"/>
              </w:rPr>
              <w:t>Disability Discrimination Act</w:t>
            </w:r>
          </w:p>
        </w:tc>
        <w:tc>
          <w:tcPr>
            <w:tcW w:w="3670" w:type="pct"/>
          </w:tcPr>
          <w:p w14:paraId="4E26849A" w14:textId="77777777" w:rsidR="00A81C4F" w:rsidRPr="004530AF"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rsidRPr="004530AF">
              <w:rPr>
                <w:lang w:val="en-AU"/>
              </w:rPr>
              <w:t xml:space="preserve">The federal </w:t>
            </w:r>
            <w:r w:rsidRPr="001F5926">
              <w:rPr>
                <w:rStyle w:val="Emphasis"/>
              </w:rPr>
              <w:t>Disability Discrimination Act 1992</w:t>
            </w:r>
            <w:r w:rsidRPr="004530AF">
              <w:rPr>
                <w:lang w:val="en-AU"/>
              </w:rPr>
              <w:t xml:space="preserve"> provides protection for everyone in Australia against discrimination based on disability. It encourages everyone to be involved in implementing the Act and to share in the overall benefits to the community and the economy that flow from participation by the widest range of people.</w:t>
            </w:r>
          </w:p>
        </w:tc>
      </w:tr>
      <w:tr w:rsidR="00A81C4F" w:rsidRPr="004530AF" w14:paraId="562C26E7" w14:textId="77777777" w:rsidTr="00A87A36">
        <w:tc>
          <w:tcPr>
            <w:cnfStyle w:val="001000000000" w:firstRow="0" w:lastRow="0" w:firstColumn="1" w:lastColumn="0" w:oddVBand="0" w:evenVBand="0" w:oddHBand="0" w:evenHBand="0" w:firstRowFirstColumn="0" w:firstRowLastColumn="0" w:lastRowFirstColumn="0" w:lastRowLastColumn="0"/>
            <w:tcW w:w="1330" w:type="pct"/>
          </w:tcPr>
          <w:p w14:paraId="167072AA" w14:textId="77777777" w:rsidR="00A81C4F" w:rsidRPr="004530AF" w:rsidRDefault="00A81C4F" w:rsidP="00A87A36">
            <w:pPr>
              <w:pStyle w:val="Normal-table"/>
              <w:rPr>
                <w:lang w:val="en-AU"/>
              </w:rPr>
            </w:pPr>
            <w:r w:rsidRPr="004530AF">
              <w:rPr>
                <w:lang w:val="en-AU"/>
              </w:rPr>
              <w:t>Disaster Recovery Funding Arrangements</w:t>
            </w:r>
          </w:p>
        </w:tc>
        <w:tc>
          <w:tcPr>
            <w:tcW w:w="3670" w:type="pct"/>
          </w:tcPr>
          <w:p w14:paraId="72EBABD6" w14:textId="77777777" w:rsidR="00A81C4F" w:rsidRPr="004530AF"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rsidRPr="004530AF">
              <w:rPr>
                <w:lang w:val="en-AU"/>
              </w:rPr>
              <w:t>A joint Commonwealth/state government funding initiative providing financial assistance and infrastructure restoration to help communities recover from the effects of disasters. The D</w:t>
            </w:r>
            <w:r>
              <w:t>isaster Recovery Funding Arrangements</w:t>
            </w:r>
            <w:r w:rsidRPr="004530AF">
              <w:rPr>
                <w:lang w:val="en-AU"/>
              </w:rPr>
              <w:t xml:space="preserve"> apply to disaster events that occurred on or after 1 November 2018.</w:t>
            </w:r>
          </w:p>
        </w:tc>
      </w:tr>
      <w:tr w:rsidR="00A81C4F" w:rsidRPr="004530AF" w14:paraId="6F11AF0B"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tcPr>
          <w:p w14:paraId="76DD56FD" w14:textId="77777777" w:rsidR="00A81C4F" w:rsidRPr="004530AF" w:rsidRDefault="00A81C4F" w:rsidP="00A87A36">
            <w:pPr>
              <w:pStyle w:val="Normal-table"/>
              <w:rPr>
                <w:lang w:val="en-AU"/>
              </w:rPr>
            </w:pPr>
            <w:r w:rsidRPr="004530AF">
              <w:rPr>
                <w:lang w:val="en-AU"/>
              </w:rPr>
              <w:t>Engagement</w:t>
            </w:r>
          </w:p>
        </w:tc>
        <w:tc>
          <w:tcPr>
            <w:tcW w:w="3670" w:type="pct"/>
          </w:tcPr>
          <w:p w14:paraId="245F1768" w14:textId="77777777" w:rsidR="00A81C4F" w:rsidRPr="004530AF"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rsidRPr="004530AF">
              <w:rPr>
                <w:lang w:val="en-AU"/>
              </w:rPr>
              <w:t>Measures the amount of interest in a social media post. It is determined by the number of people a post reaches who then like, comment, share</w:t>
            </w:r>
            <w:r>
              <w:t>,</w:t>
            </w:r>
            <w:r w:rsidRPr="004530AF">
              <w:rPr>
                <w:lang w:val="en-AU"/>
              </w:rPr>
              <w:t xml:space="preserve"> or click on the post.</w:t>
            </w:r>
          </w:p>
        </w:tc>
      </w:tr>
      <w:tr w:rsidR="00A81C4F" w:rsidRPr="004530AF" w14:paraId="1F31DDD5" w14:textId="77777777" w:rsidTr="00A87A36">
        <w:tc>
          <w:tcPr>
            <w:cnfStyle w:val="001000000000" w:firstRow="0" w:lastRow="0" w:firstColumn="1" w:lastColumn="0" w:oddVBand="0" w:evenVBand="0" w:oddHBand="0" w:evenHBand="0" w:firstRowFirstColumn="0" w:firstRowLastColumn="0" w:lastRowFirstColumn="0" w:lastRowLastColumn="0"/>
            <w:tcW w:w="1330" w:type="pct"/>
          </w:tcPr>
          <w:p w14:paraId="14753707" w14:textId="77777777" w:rsidR="00A81C4F" w:rsidRPr="004530AF" w:rsidRDefault="00A81C4F" w:rsidP="00A87A36">
            <w:pPr>
              <w:pStyle w:val="Normal-table"/>
              <w:rPr>
                <w:lang w:val="en-AU"/>
              </w:rPr>
            </w:pPr>
            <w:r w:rsidRPr="004530AF">
              <w:rPr>
                <w:lang w:val="en-AU"/>
              </w:rPr>
              <w:t>Facebook</w:t>
            </w:r>
          </w:p>
        </w:tc>
        <w:tc>
          <w:tcPr>
            <w:tcW w:w="3670" w:type="pct"/>
          </w:tcPr>
          <w:p w14:paraId="6FCCCF19" w14:textId="77777777" w:rsidR="00A81C4F" w:rsidRPr="004530AF"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rsidRPr="004530AF">
              <w:rPr>
                <w:lang w:val="en-AU"/>
              </w:rPr>
              <w:t>Facebook is an online social networking service where users can post comments, share photographs</w:t>
            </w:r>
            <w:r>
              <w:t>,</w:t>
            </w:r>
            <w:r w:rsidRPr="004530AF">
              <w:rPr>
                <w:lang w:val="en-AU"/>
              </w:rPr>
              <w:t xml:space="preserve"> and post links to news or other interesting content on the web, chat live, and watch short-form video.</w:t>
            </w:r>
          </w:p>
        </w:tc>
      </w:tr>
      <w:tr w:rsidR="00A81C4F" w:rsidRPr="004530AF" w14:paraId="6DC64B73"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tcPr>
          <w:p w14:paraId="5717EFA5" w14:textId="77777777" w:rsidR="00A81C4F" w:rsidRPr="004530AF" w:rsidRDefault="00A81C4F" w:rsidP="00A87A36">
            <w:pPr>
              <w:pStyle w:val="Normal-table"/>
              <w:rPr>
                <w:lang w:val="en-AU"/>
              </w:rPr>
            </w:pPr>
            <w:r w:rsidRPr="004530AF">
              <w:rPr>
                <w:lang w:val="en-AU"/>
              </w:rPr>
              <w:t>European Train Control System</w:t>
            </w:r>
          </w:p>
        </w:tc>
        <w:tc>
          <w:tcPr>
            <w:tcW w:w="3670" w:type="pct"/>
          </w:tcPr>
          <w:p w14:paraId="4C5180C8" w14:textId="77777777" w:rsidR="00A81C4F" w:rsidRPr="004530AF"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rsidRPr="004530AF">
              <w:rPr>
                <w:lang w:val="en-AU"/>
              </w:rPr>
              <w:t>European Train Control System is an automatic train protection system.</w:t>
            </w:r>
          </w:p>
        </w:tc>
      </w:tr>
      <w:tr w:rsidR="00A81C4F" w:rsidRPr="004530AF" w14:paraId="28279D19" w14:textId="77777777" w:rsidTr="00A87A36">
        <w:tc>
          <w:tcPr>
            <w:cnfStyle w:val="001000000000" w:firstRow="0" w:lastRow="0" w:firstColumn="1" w:lastColumn="0" w:oddVBand="0" w:evenVBand="0" w:oddHBand="0" w:evenHBand="0" w:firstRowFirstColumn="0" w:firstRowLastColumn="0" w:lastRowFirstColumn="0" w:lastRowLastColumn="0"/>
            <w:tcW w:w="1330" w:type="pct"/>
          </w:tcPr>
          <w:p w14:paraId="6B496FF6" w14:textId="77777777" w:rsidR="00A81C4F" w:rsidRPr="004530AF" w:rsidRDefault="00A81C4F" w:rsidP="00A87A36">
            <w:pPr>
              <w:pStyle w:val="Normal-table"/>
              <w:rPr>
                <w:lang w:val="en-AU"/>
              </w:rPr>
            </w:pPr>
            <w:r w:rsidRPr="004530AF">
              <w:rPr>
                <w:lang w:val="en-AU"/>
              </w:rPr>
              <w:t>Flashing School Zone Signs</w:t>
            </w:r>
          </w:p>
        </w:tc>
        <w:tc>
          <w:tcPr>
            <w:tcW w:w="3670" w:type="pct"/>
          </w:tcPr>
          <w:p w14:paraId="7B5933DD" w14:textId="77777777" w:rsidR="00A81C4F" w:rsidRPr="004530AF"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rsidRPr="004530AF">
              <w:rPr>
                <w:lang w:val="en-AU"/>
              </w:rPr>
              <w:t>Consists of a standard school zone sign that incorporates a flashing red circle and twin alternate flashing yellow lights mounted above the 'school zone' plate.</w:t>
            </w:r>
          </w:p>
        </w:tc>
      </w:tr>
      <w:tr w:rsidR="00A81C4F" w:rsidRPr="004530AF" w14:paraId="57277239"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tcPr>
          <w:p w14:paraId="12C28CA5" w14:textId="77777777" w:rsidR="00A81C4F" w:rsidRPr="004530AF" w:rsidRDefault="00A81C4F" w:rsidP="00A87A36">
            <w:pPr>
              <w:pStyle w:val="Normal-table"/>
              <w:rPr>
                <w:lang w:val="en-AU"/>
              </w:rPr>
            </w:pPr>
            <w:r w:rsidRPr="004530AF">
              <w:rPr>
                <w:lang w:val="en-AU"/>
              </w:rPr>
              <w:lastRenderedPageBreak/>
              <w:t>Full-time equivalent</w:t>
            </w:r>
          </w:p>
        </w:tc>
        <w:tc>
          <w:tcPr>
            <w:tcW w:w="3670" w:type="pct"/>
          </w:tcPr>
          <w:p w14:paraId="4C9A5122" w14:textId="77777777" w:rsidR="00A81C4F" w:rsidRPr="004530AF"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rsidRPr="004530AF">
              <w:rPr>
                <w:lang w:val="en-AU"/>
              </w:rPr>
              <w:t>Calculated by the number of hours worked in a period divided by the full-time hours prescribed by the award or industrial instrument for the person’s position.</w:t>
            </w:r>
          </w:p>
        </w:tc>
      </w:tr>
      <w:tr w:rsidR="00A81C4F" w:rsidRPr="004530AF" w14:paraId="536AF30F" w14:textId="77777777" w:rsidTr="00A87A36">
        <w:tc>
          <w:tcPr>
            <w:cnfStyle w:val="001000000000" w:firstRow="0" w:lastRow="0" w:firstColumn="1" w:lastColumn="0" w:oddVBand="0" w:evenVBand="0" w:oddHBand="0" w:evenHBand="0" w:firstRowFirstColumn="0" w:firstRowLastColumn="0" w:lastRowFirstColumn="0" w:lastRowLastColumn="0"/>
            <w:tcW w:w="1330" w:type="pct"/>
          </w:tcPr>
          <w:p w14:paraId="1F55CBA0" w14:textId="77777777" w:rsidR="00A81C4F" w:rsidRPr="004530AF" w:rsidRDefault="00A81C4F" w:rsidP="00A87A36">
            <w:pPr>
              <w:pStyle w:val="Normal-table"/>
              <w:rPr>
                <w:lang w:val="en-AU"/>
              </w:rPr>
            </w:pPr>
            <w:r w:rsidRPr="002A65BD">
              <w:rPr>
                <w:rStyle w:val="Emphasis"/>
              </w:rPr>
              <w:t>go</w:t>
            </w:r>
            <w:r w:rsidRPr="004530AF">
              <w:rPr>
                <w:lang w:val="en-AU"/>
              </w:rPr>
              <w:t xml:space="preserve"> card</w:t>
            </w:r>
          </w:p>
        </w:tc>
        <w:tc>
          <w:tcPr>
            <w:tcW w:w="3670" w:type="pct"/>
          </w:tcPr>
          <w:p w14:paraId="39718793" w14:textId="77777777" w:rsidR="00A81C4F" w:rsidRPr="004530AF"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rsidRPr="004530AF">
              <w:rPr>
                <w:lang w:val="en-AU"/>
              </w:rPr>
              <w:t>Trans</w:t>
            </w:r>
            <w:r>
              <w:t>l</w:t>
            </w:r>
            <w:r w:rsidRPr="004530AF">
              <w:rPr>
                <w:lang w:val="en-AU"/>
              </w:rPr>
              <w:t>ink’s smartcard (a thin, compact card about the size of a credit card) which stores up to $250 of electronic credit.</w:t>
            </w:r>
          </w:p>
        </w:tc>
      </w:tr>
      <w:tr w:rsidR="00A81C4F" w:rsidRPr="004530AF" w14:paraId="4B0ECB43"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tcPr>
          <w:p w14:paraId="48FB6C6D" w14:textId="77777777" w:rsidR="00A81C4F" w:rsidRPr="004530AF" w:rsidRDefault="00A81C4F" w:rsidP="00A87A36">
            <w:pPr>
              <w:pStyle w:val="Normal-table"/>
              <w:rPr>
                <w:lang w:val="en-AU"/>
              </w:rPr>
            </w:pPr>
            <w:r w:rsidRPr="004530AF">
              <w:rPr>
                <w:lang w:val="en-AU"/>
              </w:rPr>
              <w:t>Impressions</w:t>
            </w:r>
          </w:p>
        </w:tc>
        <w:tc>
          <w:tcPr>
            <w:tcW w:w="3670" w:type="pct"/>
          </w:tcPr>
          <w:p w14:paraId="707B739A" w14:textId="77777777" w:rsidR="00A81C4F" w:rsidRPr="004530AF"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rsidRPr="004530AF">
              <w:rPr>
                <w:lang w:val="en-AU"/>
              </w:rPr>
              <w:t>Measures the amount of time a social media page’s content is displayed.</w:t>
            </w:r>
          </w:p>
        </w:tc>
      </w:tr>
      <w:tr w:rsidR="00A81C4F" w:rsidRPr="004530AF" w14:paraId="04133240" w14:textId="77777777" w:rsidTr="00A87A36">
        <w:tc>
          <w:tcPr>
            <w:cnfStyle w:val="001000000000" w:firstRow="0" w:lastRow="0" w:firstColumn="1" w:lastColumn="0" w:oddVBand="0" w:evenVBand="0" w:oddHBand="0" w:evenHBand="0" w:firstRowFirstColumn="0" w:firstRowLastColumn="0" w:lastRowFirstColumn="0" w:lastRowLastColumn="0"/>
            <w:tcW w:w="1330" w:type="pct"/>
          </w:tcPr>
          <w:p w14:paraId="1198ADF9" w14:textId="77777777" w:rsidR="00A81C4F" w:rsidRPr="004530AF" w:rsidRDefault="00A81C4F" w:rsidP="00A87A36">
            <w:pPr>
              <w:pStyle w:val="Normal-table"/>
              <w:rPr>
                <w:lang w:val="en-AU"/>
              </w:rPr>
            </w:pPr>
            <w:r w:rsidRPr="004530AF">
              <w:rPr>
                <w:lang w:val="en-AU"/>
              </w:rPr>
              <w:t>Intelligent Transport System (ITS)</w:t>
            </w:r>
          </w:p>
        </w:tc>
        <w:tc>
          <w:tcPr>
            <w:tcW w:w="3670" w:type="pct"/>
          </w:tcPr>
          <w:p w14:paraId="2956DAC3" w14:textId="77777777" w:rsidR="00A81C4F" w:rsidRPr="004530AF"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rsidRPr="004530AF">
              <w:rPr>
                <w:lang w:val="en-AU"/>
              </w:rPr>
              <w:t>Intelligent Transport Systems describe technology applied to transport and infrastructure to transfer information between systems for improved safety, productivity</w:t>
            </w:r>
            <w:r>
              <w:t>,</w:t>
            </w:r>
            <w:r w:rsidRPr="004530AF">
              <w:rPr>
                <w:lang w:val="en-AU"/>
              </w:rPr>
              <w:t xml:space="preserve"> and environmental performance.</w:t>
            </w:r>
          </w:p>
        </w:tc>
      </w:tr>
      <w:tr w:rsidR="00A81C4F" w:rsidRPr="004530AF" w14:paraId="104A7132"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tcPr>
          <w:p w14:paraId="6F7B78B2" w14:textId="77777777" w:rsidR="00A81C4F" w:rsidRPr="004530AF" w:rsidRDefault="00A81C4F" w:rsidP="00A87A36">
            <w:pPr>
              <w:pStyle w:val="Normal-table"/>
              <w:rPr>
                <w:lang w:val="en-AU"/>
              </w:rPr>
            </w:pPr>
            <w:r w:rsidRPr="004530AF">
              <w:rPr>
                <w:lang w:val="en-AU"/>
              </w:rPr>
              <w:t>LinkedIn</w:t>
            </w:r>
          </w:p>
        </w:tc>
        <w:tc>
          <w:tcPr>
            <w:tcW w:w="3670" w:type="pct"/>
          </w:tcPr>
          <w:p w14:paraId="6ED22E63" w14:textId="77777777" w:rsidR="00A81C4F" w:rsidRPr="004530AF"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rsidRPr="004530AF">
              <w:rPr>
                <w:lang w:val="en-AU"/>
              </w:rPr>
              <w:t xml:space="preserve">LinkedIn is an online social networking service designed specifically for the business community and as a online platform </w:t>
            </w:r>
            <w:r w:rsidRPr="00B17446">
              <w:t>for connecting with other professionals.</w:t>
            </w:r>
          </w:p>
        </w:tc>
      </w:tr>
      <w:tr w:rsidR="00A81C4F" w:rsidRPr="004530AF" w14:paraId="3B8A3156" w14:textId="77777777" w:rsidTr="00A87A36">
        <w:tc>
          <w:tcPr>
            <w:cnfStyle w:val="001000000000" w:firstRow="0" w:lastRow="0" w:firstColumn="1" w:lastColumn="0" w:oddVBand="0" w:evenVBand="0" w:oddHBand="0" w:evenHBand="0" w:firstRowFirstColumn="0" w:firstRowLastColumn="0" w:lastRowFirstColumn="0" w:lastRowLastColumn="0"/>
            <w:tcW w:w="1330" w:type="pct"/>
          </w:tcPr>
          <w:p w14:paraId="12E54DEE" w14:textId="77777777" w:rsidR="00A81C4F" w:rsidRPr="004530AF" w:rsidRDefault="00A81C4F" w:rsidP="00A87A36">
            <w:pPr>
              <w:pStyle w:val="Normal-table"/>
              <w:rPr>
                <w:lang w:val="en-AU"/>
              </w:rPr>
            </w:pPr>
            <w:r w:rsidRPr="004530AF">
              <w:rPr>
                <w:lang w:val="en-AU"/>
              </w:rPr>
              <w:t xml:space="preserve">Local Government Association of Queensland </w:t>
            </w:r>
          </w:p>
        </w:tc>
        <w:tc>
          <w:tcPr>
            <w:tcW w:w="3670" w:type="pct"/>
          </w:tcPr>
          <w:p w14:paraId="01EB50DF" w14:textId="77777777" w:rsidR="00A81C4F" w:rsidRPr="004530AF"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t xml:space="preserve">The Local Government Association of Queensland is the peak body for local government in Queensland. It is a not-for-profit association set up solely to serve the stat's 77 councils and their individual needs. </w:t>
            </w:r>
          </w:p>
        </w:tc>
      </w:tr>
      <w:tr w:rsidR="00A81C4F" w:rsidRPr="004530AF" w14:paraId="21FF2C0C"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tcPr>
          <w:p w14:paraId="3F937E2C" w14:textId="77777777" w:rsidR="00A81C4F" w:rsidRPr="004530AF" w:rsidRDefault="00A81C4F" w:rsidP="00A87A36">
            <w:pPr>
              <w:pStyle w:val="Normal-table"/>
              <w:rPr>
                <w:lang w:val="en-AU"/>
              </w:rPr>
            </w:pPr>
            <w:r w:rsidRPr="004530AF">
              <w:rPr>
                <w:lang w:val="en-AU"/>
              </w:rPr>
              <w:t>Maritime Safety Queensland (MSQ)</w:t>
            </w:r>
          </w:p>
        </w:tc>
        <w:tc>
          <w:tcPr>
            <w:tcW w:w="3670" w:type="pct"/>
          </w:tcPr>
          <w:p w14:paraId="185C24DF" w14:textId="77777777" w:rsidR="00A81C4F" w:rsidRPr="004530AF"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rsidRPr="004530AF">
              <w:rPr>
                <w:lang w:val="en-AU"/>
              </w:rPr>
              <w:t>A branch of TMR responsible for: improving maritime safety for shipping and small craft through regulation and education</w:t>
            </w:r>
            <w:r>
              <w:t>,</w:t>
            </w:r>
            <w:r w:rsidRPr="004530AF">
              <w:rPr>
                <w:lang w:val="en-AU"/>
              </w:rPr>
              <w:t xml:space="preserve"> minimising vessel-sourced waste and responding to marine pollution</w:t>
            </w:r>
            <w:r>
              <w:t>,</w:t>
            </w:r>
            <w:r w:rsidRPr="004530AF">
              <w:rPr>
                <w:lang w:val="en-AU"/>
              </w:rPr>
              <w:t xml:space="preserve"> providing essential maritime services such as aids to navigation and Vessel Traffic Services</w:t>
            </w:r>
            <w:r>
              <w:t>,</w:t>
            </w:r>
            <w:r w:rsidRPr="004530AF">
              <w:rPr>
                <w:lang w:val="en-AU"/>
              </w:rPr>
              <w:t xml:space="preserve"> and encouraging and supporting innovation in the Queensland maritime industry.</w:t>
            </w:r>
          </w:p>
        </w:tc>
      </w:tr>
      <w:tr w:rsidR="00A81C4F" w:rsidRPr="004530AF" w14:paraId="3CFEEE9B" w14:textId="77777777" w:rsidTr="00A87A36">
        <w:tc>
          <w:tcPr>
            <w:cnfStyle w:val="001000000000" w:firstRow="0" w:lastRow="0" w:firstColumn="1" w:lastColumn="0" w:oddVBand="0" w:evenVBand="0" w:oddHBand="0" w:evenHBand="0" w:firstRowFirstColumn="0" w:firstRowLastColumn="0" w:lastRowFirstColumn="0" w:lastRowLastColumn="0"/>
            <w:tcW w:w="1330" w:type="pct"/>
          </w:tcPr>
          <w:p w14:paraId="55498234" w14:textId="77777777" w:rsidR="00A81C4F" w:rsidRPr="004530AF" w:rsidRDefault="00A81C4F" w:rsidP="00A87A36">
            <w:pPr>
              <w:pStyle w:val="Normal-table"/>
              <w:rPr>
                <w:lang w:val="en-AU"/>
              </w:rPr>
            </w:pPr>
            <w:r w:rsidRPr="004530AF">
              <w:rPr>
                <w:lang w:val="en-AU"/>
              </w:rPr>
              <w:t>National Land Transport Network</w:t>
            </w:r>
          </w:p>
        </w:tc>
        <w:tc>
          <w:tcPr>
            <w:tcW w:w="3670" w:type="pct"/>
          </w:tcPr>
          <w:p w14:paraId="0014E76D" w14:textId="77777777" w:rsidR="00A81C4F" w:rsidRPr="004530AF"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rsidRPr="004530AF">
              <w:rPr>
                <w:lang w:val="en-AU"/>
              </w:rPr>
              <w:t>The National Land Transport Network is a network of nationally important road and rail infrastructure links and their intermodal connections as identified by the Australian Government.</w:t>
            </w:r>
          </w:p>
        </w:tc>
      </w:tr>
      <w:tr w:rsidR="00A81C4F" w:rsidRPr="004530AF" w14:paraId="56C821A2"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tcPr>
          <w:p w14:paraId="1B147805" w14:textId="77777777" w:rsidR="00A81C4F" w:rsidRPr="004530AF" w:rsidRDefault="00A81C4F" w:rsidP="00A87A36">
            <w:pPr>
              <w:pStyle w:val="Normal-table"/>
              <w:rPr>
                <w:lang w:val="en-AU"/>
              </w:rPr>
            </w:pPr>
            <w:r w:rsidRPr="004530AF">
              <w:rPr>
                <w:lang w:val="en-AU"/>
              </w:rPr>
              <w:t>New Generation Rollingstock project</w:t>
            </w:r>
          </w:p>
        </w:tc>
        <w:tc>
          <w:tcPr>
            <w:tcW w:w="3670" w:type="pct"/>
          </w:tcPr>
          <w:p w14:paraId="7B4D1268" w14:textId="77777777" w:rsidR="00A81C4F" w:rsidRPr="004530AF"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rsidRPr="004530AF">
              <w:rPr>
                <w:lang w:val="en-AU"/>
              </w:rPr>
              <w:t>The NGR project involves the delivery of 75 six-car trains and the construction of a new purpose-built maintenance centre to maintain the new trains for the next 30 years.</w:t>
            </w:r>
          </w:p>
        </w:tc>
      </w:tr>
      <w:tr w:rsidR="00A81C4F" w:rsidRPr="004530AF" w14:paraId="449C09E0" w14:textId="77777777" w:rsidTr="00A87A36">
        <w:tc>
          <w:tcPr>
            <w:cnfStyle w:val="001000000000" w:firstRow="0" w:lastRow="0" w:firstColumn="1" w:lastColumn="0" w:oddVBand="0" w:evenVBand="0" w:oddHBand="0" w:evenHBand="0" w:firstRowFirstColumn="0" w:firstRowLastColumn="0" w:lastRowFirstColumn="0" w:lastRowLastColumn="0"/>
            <w:tcW w:w="1330" w:type="pct"/>
          </w:tcPr>
          <w:p w14:paraId="56BF1573" w14:textId="77777777" w:rsidR="00A81C4F" w:rsidRPr="004530AF" w:rsidRDefault="00A81C4F" w:rsidP="00A87A36">
            <w:pPr>
              <w:pStyle w:val="Normal-table"/>
              <w:rPr>
                <w:lang w:val="en-AU"/>
              </w:rPr>
            </w:pPr>
            <w:r w:rsidRPr="004530AF">
              <w:rPr>
                <w:lang w:val="en-AU"/>
              </w:rPr>
              <w:t>OneTMR</w:t>
            </w:r>
          </w:p>
        </w:tc>
        <w:tc>
          <w:tcPr>
            <w:tcW w:w="3670" w:type="pct"/>
          </w:tcPr>
          <w:p w14:paraId="7BA6AF32" w14:textId="77777777" w:rsidR="00A81C4F" w:rsidRPr="004530AF"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rsidRPr="004530AF">
              <w:rPr>
                <w:lang w:val="en-AU"/>
              </w:rPr>
              <w:t>A Department of Transport and Main Roads-wide culture and way of operating.</w:t>
            </w:r>
          </w:p>
        </w:tc>
      </w:tr>
      <w:tr w:rsidR="00A81C4F" w:rsidRPr="004530AF" w14:paraId="77BC180C"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tcPr>
          <w:p w14:paraId="3133A1D4" w14:textId="77777777" w:rsidR="00A81C4F" w:rsidRPr="004530AF" w:rsidRDefault="00A81C4F" w:rsidP="00A87A36">
            <w:pPr>
              <w:pStyle w:val="Normal-table"/>
              <w:rPr>
                <w:lang w:val="en-AU"/>
              </w:rPr>
            </w:pPr>
            <w:r w:rsidRPr="004530AF">
              <w:rPr>
                <w:lang w:val="en-AU"/>
              </w:rPr>
              <w:t>Park ‘n’ ride</w:t>
            </w:r>
          </w:p>
        </w:tc>
        <w:tc>
          <w:tcPr>
            <w:tcW w:w="3670" w:type="pct"/>
          </w:tcPr>
          <w:p w14:paraId="24D4187C" w14:textId="77777777" w:rsidR="00A81C4F" w:rsidRPr="004530AF"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rsidRPr="004530AF">
              <w:rPr>
                <w:lang w:val="en-AU"/>
              </w:rPr>
              <w:t>A dedicated car park located at bus and train stations for customers to park their car and then catch public transport to their destination.</w:t>
            </w:r>
          </w:p>
        </w:tc>
      </w:tr>
      <w:tr w:rsidR="00A81C4F" w:rsidRPr="004530AF" w14:paraId="4F4E4DE3" w14:textId="77777777" w:rsidTr="00A87A36">
        <w:tc>
          <w:tcPr>
            <w:cnfStyle w:val="001000000000" w:firstRow="0" w:lastRow="0" w:firstColumn="1" w:lastColumn="0" w:oddVBand="0" w:evenVBand="0" w:oddHBand="0" w:evenHBand="0" w:firstRowFirstColumn="0" w:firstRowLastColumn="0" w:lastRowFirstColumn="0" w:lastRowLastColumn="0"/>
            <w:tcW w:w="1330" w:type="pct"/>
          </w:tcPr>
          <w:p w14:paraId="05F37DBF" w14:textId="77777777" w:rsidR="00A81C4F" w:rsidRPr="004530AF" w:rsidRDefault="00A81C4F" w:rsidP="00A87A36">
            <w:pPr>
              <w:pStyle w:val="Normal-table"/>
              <w:rPr>
                <w:lang w:val="en-AU"/>
              </w:rPr>
            </w:pPr>
            <w:r w:rsidRPr="008C3CC9">
              <w:rPr>
                <w:rStyle w:val="Strong"/>
              </w:rPr>
              <w:t>QLD</w:t>
            </w:r>
            <w:r w:rsidRPr="008C3CC9">
              <w:rPr>
                <w:rStyle w:val="Emphasis"/>
              </w:rPr>
              <w:t>Traffic</w:t>
            </w:r>
          </w:p>
        </w:tc>
        <w:tc>
          <w:tcPr>
            <w:tcW w:w="3670" w:type="pct"/>
          </w:tcPr>
          <w:p w14:paraId="692BC5C0" w14:textId="77777777" w:rsidR="00A81C4F" w:rsidRPr="004530AF"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rsidRPr="0008111D">
              <w:rPr>
                <w:rStyle w:val="Strong"/>
              </w:rPr>
              <w:t>QLD</w:t>
            </w:r>
            <w:r w:rsidRPr="0008111D">
              <w:rPr>
                <w:rStyle w:val="Emphasis"/>
              </w:rPr>
              <w:t>Traffic</w:t>
            </w:r>
            <w:r w:rsidRPr="004530AF">
              <w:rPr>
                <w:lang w:val="en-AU"/>
              </w:rPr>
              <w:t xml:space="preserve"> is the official source of traffic and travel information from the Queensland Government. It includes a website, 13 19 40 phone service, social media and the </w:t>
            </w:r>
            <w:r w:rsidRPr="0008111D">
              <w:rPr>
                <w:rStyle w:val="Strong"/>
              </w:rPr>
              <w:t>QLD</w:t>
            </w:r>
            <w:r w:rsidRPr="0008111D">
              <w:rPr>
                <w:rStyle w:val="Emphasis"/>
              </w:rPr>
              <w:t>Traffic</w:t>
            </w:r>
            <w:r w:rsidRPr="004530AF">
              <w:rPr>
                <w:lang w:val="en-AU"/>
              </w:rPr>
              <w:t xml:space="preserve"> smartphone app, enabling motorists and commuters to check traffic conditions and plan their journeys before they go.</w:t>
            </w:r>
          </w:p>
        </w:tc>
      </w:tr>
      <w:tr w:rsidR="00A81C4F" w:rsidRPr="004530AF" w14:paraId="22ADA5D5"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tcPr>
          <w:p w14:paraId="0A0ECFF7" w14:textId="77777777" w:rsidR="00A81C4F" w:rsidRPr="004530AF" w:rsidRDefault="00A81C4F" w:rsidP="00A87A36">
            <w:pPr>
              <w:pStyle w:val="Normal-table"/>
              <w:rPr>
                <w:lang w:val="en-AU"/>
              </w:rPr>
            </w:pPr>
            <w:r w:rsidRPr="004530AF">
              <w:rPr>
                <w:lang w:val="en-AU"/>
              </w:rPr>
              <w:t>Queensland Government Customer and Digital Group (QGCDG)</w:t>
            </w:r>
          </w:p>
        </w:tc>
        <w:tc>
          <w:tcPr>
            <w:tcW w:w="3670" w:type="pct"/>
          </w:tcPr>
          <w:p w14:paraId="754CE9AE" w14:textId="77777777" w:rsidR="00A81C4F" w:rsidRPr="004530AF"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rsidRPr="004530AF">
              <w:rPr>
                <w:lang w:val="en-AU"/>
              </w:rPr>
              <w:t>A division of TMR that delivers whole-of-government customer service and open data services, including developing and delivering innovative digitally enable and integrated government services that are simpler and faster for the community to access online or through phone and counter channels.</w:t>
            </w:r>
          </w:p>
        </w:tc>
      </w:tr>
      <w:tr w:rsidR="00A81C4F" w:rsidRPr="004530AF" w14:paraId="6F5B5D6C" w14:textId="77777777" w:rsidTr="00A87A36">
        <w:tc>
          <w:tcPr>
            <w:cnfStyle w:val="001000000000" w:firstRow="0" w:lastRow="0" w:firstColumn="1" w:lastColumn="0" w:oddVBand="0" w:evenVBand="0" w:oddHBand="0" w:evenHBand="0" w:firstRowFirstColumn="0" w:firstRowLastColumn="0" w:lastRowFirstColumn="0" w:lastRowLastColumn="0"/>
            <w:tcW w:w="1330" w:type="pct"/>
          </w:tcPr>
          <w:p w14:paraId="7ABFAC53" w14:textId="77777777" w:rsidR="00A81C4F" w:rsidRPr="004530AF" w:rsidRDefault="00A81C4F" w:rsidP="00A87A36">
            <w:pPr>
              <w:pStyle w:val="Normal-table"/>
              <w:rPr>
                <w:lang w:val="en-AU"/>
              </w:rPr>
            </w:pPr>
            <w:r w:rsidRPr="004530AF">
              <w:rPr>
                <w:lang w:val="en-AU"/>
              </w:rPr>
              <w:t>Queensland Government Open Data</w:t>
            </w:r>
          </w:p>
        </w:tc>
        <w:tc>
          <w:tcPr>
            <w:tcW w:w="3670" w:type="pct"/>
          </w:tcPr>
          <w:p w14:paraId="2642E517" w14:textId="77777777" w:rsidR="00A81C4F" w:rsidRPr="004530AF"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rsidRPr="004530AF">
              <w:rPr>
                <w:lang w:val="en-AU"/>
              </w:rPr>
              <w:t>A Queensland Government searchable portal that allows visitors to view datasets on a range of government activities and responsibilities.</w:t>
            </w:r>
          </w:p>
        </w:tc>
      </w:tr>
      <w:tr w:rsidR="00A81C4F" w:rsidRPr="004530AF" w14:paraId="0E9CA759"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tcPr>
          <w:p w14:paraId="1F1BEFAC" w14:textId="77777777" w:rsidR="00A81C4F" w:rsidRPr="004530AF" w:rsidRDefault="00A81C4F" w:rsidP="00A87A36">
            <w:pPr>
              <w:pStyle w:val="Normal-table"/>
              <w:rPr>
                <w:lang w:val="en-AU"/>
              </w:rPr>
            </w:pPr>
            <w:r w:rsidRPr="004530AF">
              <w:rPr>
                <w:lang w:val="en-AU"/>
              </w:rPr>
              <w:t>Queensland Transport and Roads Investment Program</w:t>
            </w:r>
          </w:p>
        </w:tc>
        <w:tc>
          <w:tcPr>
            <w:tcW w:w="3670" w:type="pct"/>
          </w:tcPr>
          <w:p w14:paraId="0DC661A5" w14:textId="77777777" w:rsidR="00A81C4F" w:rsidRPr="004530AF"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rsidRPr="004530AF">
              <w:rPr>
                <w:lang w:val="en-AU"/>
              </w:rPr>
              <w:t>An annually published program of works TMR plans to deliver over the next four</w:t>
            </w:r>
            <w:r>
              <w:t xml:space="preserve"> </w:t>
            </w:r>
            <w:r w:rsidRPr="004530AF">
              <w:rPr>
                <w:lang w:val="en-AU"/>
              </w:rPr>
              <w:t>year period.</w:t>
            </w:r>
          </w:p>
        </w:tc>
      </w:tr>
      <w:tr w:rsidR="00A81C4F" w:rsidRPr="004530AF" w14:paraId="77584F60" w14:textId="77777777" w:rsidTr="00A87A36">
        <w:tc>
          <w:tcPr>
            <w:cnfStyle w:val="001000000000" w:firstRow="0" w:lastRow="0" w:firstColumn="1" w:lastColumn="0" w:oddVBand="0" w:evenVBand="0" w:oddHBand="0" w:evenHBand="0" w:firstRowFirstColumn="0" w:firstRowLastColumn="0" w:lastRowFirstColumn="0" w:lastRowLastColumn="0"/>
            <w:tcW w:w="1330" w:type="pct"/>
          </w:tcPr>
          <w:p w14:paraId="2ACCC1D9" w14:textId="77777777" w:rsidR="00A81C4F" w:rsidRPr="004530AF" w:rsidRDefault="00A81C4F" w:rsidP="00A87A36">
            <w:pPr>
              <w:pStyle w:val="Normal-table"/>
              <w:rPr>
                <w:lang w:val="en-AU"/>
              </w:rPr>
            </w:pPr>
            <w:r w:rsidRPr="004530AF">
              <w:rPr>
                <w:lang w:val="en-AU"/>
              </w:rPr>
              <w:t>Rail infrastructure</w:t>
            </w:r>
          </w:p>
        </w:tc>
        <w:tc>
          <w:tcPr>
            <w:tcW w:w="3670" w:type="pct"/>
          </w:tcPr>
          <w:p w14:paraId="0C35645F" w14:textId="77777777" w:rsidR="00A81C4F" w:rsidRPr="004530AF"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rsidRPr="004530AF">
              <w:rPr>
                <w:lang w:val="en-AU"/>
              </w:rPr>
              <w:t>All physical rail-related assets, including tracks, trains (often referred to as rollingstock), stations</w:t>
            </w:r>
            <w:r>
              <w:t>,</w:t>
            </w:r>
            <w:r w:rsidRPr="004530AF">
              <w:rPr>
                <w:lang w:val="en-AU"/>
              </w:rPr>
              <w:t xml:space="preserve"> and associated infrastructure.</w:t>
            </w:r>
          </w:p>
        </w:tc>
      </w:tr>
      <w:tr w:rsidR="00A81C4F" w:rsidRPr="004530AF" w14:paraId="7AE0961A"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tcPr>
          <w:p w14:paraId="11E9FEED" w14:textId="77777777" w:rsidR="00A81C4F" w:rsidRPr="004530AF" w:rsidRDefault="00A81C4F" w:rsidP="00A87A36">
            <w:pPr>
              <w:pStyle w:val="Normal-table"/>
              <w:rPr>
                <w:lang w:val="en-AU"/>
              </w:rPr>
            </w:pPr>
            <w:r w:rsidRPr="004530AF">
              <w:rPr>
                <w:lang w:val="en-AU"/>
              </w:rPr>
              <w:lastRenderedPageBreak/>
              <w:t>Regional Roads and Transport Group (RRTG)</w:t>
            </w:r>
          </w:p>
        </w:tc>
        <w:tc>
          <w:tcPr>
            <w:tcW w:w="3670" w:type="pct"/>
          </w:tcPr>
          <w:p w14:paraId="58E5970C" w14:textId="77777777" w:rsidR="00A81C4F" w:rsidRPr="004530AF"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rsidRPr="004530AF">
              <w:rPr>
                <w:lang w:val="en-AU"/>
              </w:rPr>
              <w:t>The primary decision-making bodies of the Roads and Transport Alliance. RRTGs regionally prioritise investments in their communities’ transport infrastructure. Each RRTG comprises representatives from TMR, and local governments.</w:t>
            </w:r>
          </w:p>
        </w:tc>
      </w:tr>
      <w:tr w:rsidR="00A81C4F" w:rsidRPr="004530AF" w14:paraId="1AB6E20B" w14:textId="77777777" w:rsidTr="00A87A36">
        <w:tc>
          <w:tcPr>
            <w:cnfStyle w:val="001000000000" w:firstRow="0" w:lastRow="0" w:firstColumn="1" w:lastColumn="0" w:oddVBand="0" w:evenVBand="0" w:oddHBand="0" w:evenHBand="0" w:firstRowFirstColumn="0" w:firstRowLastColumn="0" w:lastRowFirstColumn="0" w:lastRowLastColumn="0"/>
            <w:tcW w:w="1330" w:type="pct"/>
          </w:tcPr>
          <w:p w14:paraId="14EB4F1F" w14:textId="77777777" w:rsidR="00A81C4F" w:rsidRPr="004530AF" w:rsidRDefault="00A81C4F" w:rsidP="00A87A36">
            <w:pPr>
              <w:pStyle w:val="Normal-table"/>
              <w:rPr>
                <w:lang w:val="en-AU"/>
              </w:rPr>
            </w:pPr>
            <w:r w:rsidRPr="004530AF">
              <w:rPr>
                <w:lang w:val="en-AU"/>
              </w:rPr>
              <w:t>Roads and Transport Alliance</w:t>
            </w:r>
          </w:p>
        </w:tc>
        <w:tc>
          <w:tcPr>
            <w:tcW w:w="3670" w:type="pct"/>
          </w:tcPr>
          <w:p w14:paraId="22470C7D" w14:textId="77777777" w:rsidR="00A81C4F" w:rsidRPr="004530AF"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rsidRPr="004530AF">
              <w:rPr>
                <w:lang w:val="en-AU"/>
              </w:rPr>
              <w:t>A cooperative governance arrangement between TMR, the Local Government Association of Queensland</w:t>
            </w:r>
            <w:r>
              <w:t>,</w:t>
            </w:r>
            <w:r w:rsidRPr="004530AF">
              <w:rPr>
                <w:lang w:val="en-AU"/>
              </w:rPr>
              <w:t xml:space="preserve"> and local governments to invest in and regionally manage the Queensland transport network.</w:t>
            </w:r>
          </w:p>
        </w:tc>
      </w:tr>
      <w:tr w:rsidR="00A81C4F" w:rsidRPr="004530AF" w14:paraId="027658D8"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tcPr>
          <w:p w14:paraId="750A702C" w14:textId="77777777" w:rsidR="00A81C4F" w:rsidRPr="004530AF" w:rsidRDefault="00A81C4F" w:rsidP="00A87A36">
            <w:pPr>
              <w:pStyle w:val="Normal-table"/>
              <w:rPr>
                <w:lang w:val="en-AU"/>
              </w:rPr>
            </w:pPr>
            <w:r w:rsidRPr="004530AF">
              <w:rPr>
                <w:lang w:val="en-AU"/>
              </w:rPr>
              <w:t>Roads Australia</w:t>
            </w:r>
          </w:p>
        </w:tc>
        <w:tc>
          <w:tcPr>
            <w:tcW w:w="3670" w:type="pct"/>
          </w:tcPr>
          <w:p w14:paraId="2C7E4052" w14:textId="77777777" w:rsidR="00A81C4F" w:rsidRPr="004530AF"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rsidRPr="004530AF">
              <w:rPr>
                <w:lang w:val="en-AU"/>
              </w:rPr>
              <w:t>A not-for-profit, non-political industry association with membership drawn from the Australian road sector.</w:t>
            </w:r>
          </w:p>
        </w:tc>
      </w:tr>
      <w:tr w:rsidR="00A81C4F" w:rsidRPr="004530AF" w14:paraId="2F18EF8D" w14:textId="77777777" w:rsidTr="00A87A36">
        <w:tc>
          <w:tcPr>
            <w:cnfStyle w:val="001000000000" w:firstRow="0" w:lastRow="0" w:firstColumn="1" w:lastColumn="0" w:oddVBand="0" w:evenVBand="0" w:oddHBand="0" w:evenHBand="0" w:firstRowFirstColumn="0" w:firstRowLastColumn="0" w:lastRowFirstColumn="0" w:lastRowLastColumn="0"/>
            <w:tcW w:w="1330" w:type="pct"/>
          </w:tcPr>
          <w:p w14:paraId="113AFBC9" w14:textId="77777777" w:rsidR="00A81C4F" w:rsidRPr="004530AF" w:rsidRDefault="00A81C4F" w:rsidP="00A87A36">
            <w:pPr>
              <w:pStyle w:val="Normal-table"/>
              <w:rPr>
                <w:lang w:val="en-AU"/>
              </w:rPr>
            </w:pPr>
            <w:r w:rsidRPr="004530AF">
              <w:rPr>
                <w:lang w:val="en-AU"/>
              </w:rPr>
              <w:t>Road corridor</w:t>
            </w:r>
          </w:p>
        </w:tc>
        <w:tc>
          <w:tcPr>
            <w:tcW w:w="3670" w:type="pct"/>
          </w:tcPr>
          <w:p w14:paraId="1EDA1308" w14:textId="77777777" w:rsidR="00A81C4F" w:rsidRPr="004530AF"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rsidRPr="004530AF">
              <w:rPr>
                <w:lang w:val="en-AU"/>
              </w:rPr>
              <w:t>The road corridor comprises the space alongside, under</w:t>
            </w:r>
            <w:r>
              <w:t>,</w:t>
            </w:r>
            <w:r w:rsidRPr="004530AF">
              <w:rPr>
                <w:lang w:val="en-AU"/>
              </w:rPr>
              <w:t xml:space="preserve"> and over the travelled way.</w:t>
            </w:r>
          </w:p>
        </w:tc>
      </w:tr>
      <w:tr w:rsidR="00A81C4F" w:rsidRPr="004530AF" w14:paraId="61D2AAF9"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tcPr>
          <w:p w14:paraId="6AAABF4C" w14:textId="77777777" w:rsidR="00A81C4F" w:rsidRPr="004530AF" w:rsidRDefault="00A81C4F" w:rsidP="00A87A36">
            <w:pPr>
              <w:pStyle w:val="Normal-table"/>
              <w:rPr>
                <w:lang w:val="en-AU"/>
              </w:rPr>
            </w:pPr>
            <w:r w:rsidRPr="004530AF">
              <w:rPr>
                <w:lang w:val="en-AU"/>
              </w:rPr>
              <w:t>Road infrastructure</w:t>
            </w:r>
          </w:p>
        </w:tc>
        <w:tc>
          <w:tcPr>
            <w:tcW w:w="3670" w:type="pct"/>
          </w:tcPr>
          <w:p w14:paraId="3379C6F6" w14:textId="77777777" w:rsidR="00A81C4F" w:rsidRPr="004530AF"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rsidRPr="004530AF">
              <w:rPr>
                <w:lang w:val="en-AU"/>
              </w:rPr>
              <w:t>All physical road-related assets, including roads and pavements, bus and cycling facilities, tunnels, complex bridges, rest areas, signage, landscaping, animal crossings under and over roads, noise barriers, traffic signals</w:t>
            </w:r>
            <w:r>
              <w:t>,</w:t>
            </w:r>
            <w:r w:rsidRPr="004530AF">
              <w:rPr>
                <w:lang w:val="en-AU"/>
              </w:rPr>
              <w:t xml:space="preserve"> and lighting.</w:t>
            </w:r>
          </w:p>
        </w:tc>
      </w:tr>
      <w:tr w:rsidR="00A81C4F" w:rsidRPr="004530AF" w14:paraId="74FEFD3F" w14:textId="77777777" w:rsidTr="00A87A36">
        <w:tc>
          <w:tcPr>
            <w:cnfStyle w:val="001000000000" w:firstRow="0" w:lastRow="0" w:firstColumn="1" w:lastColumn="0" w:oddVBand="0" w:evenVBand="0" w:oddHBand="0" w:evenHBand="0" w:firstRowFirstColumn="0" w:firstRowLastColumn="0" w:lastRowFirstColumn="0" w:lastRowLastColumn="0"/>
            <w:tcW w:w="1330" w:type="pct"/>
          </w:tcPr>
          <w:p w14:paraId="69F609F7" w14:textId="77777777" w:rsidR="00A81C4F" w:rsidRPr="004530AF" w:rsidRDefault="00A81C4F" w:rsidP="00A87A36">
            <w:pPr>
              <w:pStyle w:val="Normal-table"/>
              <w:rPr>
                <w:lang w:val="en-AU"/>
              </w:rPr>
            </w:pPr>
            <w:r w:rsidRPr="004530AF">
              <w:rPr>
                <w:lang w:val="en-AU"/>
              </w:rPr>
              <w:t>RoadTek</w:t>
            </w:r>
          </w:p>
        </w:tc>
        <w:tc>
          <w:tcPr>
            <w:tcW w:w="3670" w:type="pct"/>
          </w:tcPr>
          <w:p w14:paraId="1EE93E12" w14:textId="77777777" w:rsidR="00A81C4F" w:rsidRPr="004530AF"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rsidRPr="004530AF">
              <w:rPr>
                <w:lang w:val="en-AU"/>
              </w:rPr>
              <w:t>A commercial business within TMR, RoadTek is a major provider of transport infrastructure solutions throughout Queensland.</w:t>
            </w:r>
          </w:p>
        </w:tc>
      </w:tr>
      <w:tr w:rsidR="00A81C4F" w:rsidRPr="004530AF" w14:paraId="75670663"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tcPr>
          <w:p w14:paraId="75464961" w14:textId="77777777" w:rsidR="00A81C4F" w:rsidRPr="004530AF" w:rsidRDefault="00A81C4F" w:rsidP="00A87A36">
            <w:pPr>
              <w:pStyle w:val="Normal-table"/>
              <w:rPr>
                <w:lang w:val="en-AU"/>
              </w:rPr>
            </w:pPr>
            <w:r w:rsidRPr="004530AF">
              <w:rPr>
                <w:lang w:val="en-AU"/>
              </w:rPr>
              <w:t>Roadworks</w:t>
            </w:r>
          </w:p>
        </w:tc>
        <w:tc>
          <w:tcPr>
            <w:tcW w:w="3670" w:type="pct"/>
          </w:tcPr>
          <w:p w14:paraId="2479F2DE" w14:textId="77777777" w:rsidR="00A81C4F" w:rsidRPr="004530AF"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rsidRPr="004530AF">
              <w:rPr>
                <w:lang w:val="en-AU"/>
              </w:rPr>
              <w:t>Planning, designing, building, maintaining, replacing, operating</w:t>
            </w:r>
            <w:r>
              <w:t>,</w:t>
            </w:r>
            <w:r w:rsidRPr="004530AF">
              <w:rPr>
                <w:lang w:val="en-AU"/>
              </w:rPr>
              <w:t xml:space="preserve"> or upgrading any part of the road network, state strategic roads, regional roads</w:t>
            </w:r>
            <w:r>
              <w:t>,</w:t>
            </w:r>
            <w:r w:rsidRPr="004530AF">
              <w:rPr>
                <w:lang w:val="en-AU"/>
              </w:rPr>
              <w:t xml:space="preserve"> and district roads (but not local roads).</w:t>
            </w:r>
          </w:p>
        </w:tc>
      </w:tr>
      <w:tr w:rsidR="00A81C4F" w:rsidRPr="004530AF" w14:paraId="1E86081C" w14:textId="77777777" w:rsidTr="00A87A36">
        <w:tc>
          <w:tcPr>
            <w:cnfStyle w:val="001000000000" w:firstRow="0" w:lastRow="0" w:firstColumn="1" w:lastColumn="0" w:oddVBand="0" w:evenVBand="0" w:oddHBand="0" w:evenHBand="0" w:firstRowFirstColumn="0" w:firstRowLastColumn="0" w:lastRowFirstColumn="0" w:lastRowLastColumn="0"/>
            <w:tcW w:w="1330" w:type="pct"/>
          </w:tcPr>
          <w:p w14:paraId="0C6CF8B5" w14:textId="77777777" w:rsidR="00A81C4F" w:rsidRPr="004530AF" w:rsidRDefault="00A81C4F" w:rsidP="00A87A36">
            <w:pPr>
              <w:pStyle w:val="Normal-table"/>
              <w:rPr>
                <w:lang w:val="en-AU"/>
              </w:rPr>
            </w:pPr>
            <w:r w:rsidRPr="004530AF">
              <w:rPr>
                <w:lang w:val="en-AU"/>
              </w:rPr>
              <w:t>Rollingstock</w:t>
            </w:r>
          </w:p>
        </w:tc>
        <w:tc>
          <w:tcPr>
            <w:tcW w:w="3670" w:type="pct"/>
          </w:tcPr>
          <w:p w14:paraId="4B8DEB3B" w14:textId="77777777" w:rsidR="00A81C4F" w:rsidRPr="004530AF"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rsidRPr="004530AF">
              <w:rPr>
                <w:lang w:val="en-AU"/>
              </w:rPr>
              <w:t>Rail locomotives and wagons.</w:t>
            </w:r>
          </w:p>
        </w:tc>
      </w:tr>
      <w:tr w:rsidR="00A81C4F" w:rsidRPr="004530AF" w14:paraId="75B616DD"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tcPr>
          <w:p w14:paraId="16F1CD33" w14:textId="77777777" w:rsidR="00A81C4F" w:rsidRPr="004530AF" w:rsidRDefault="00A81C4F" w:rsidP="00A87A36">
            <w:pPr>
              <w:pStyle w:val="Normal-table"/>
              <w:rPr>
                <w:lang w:val="en-AU"/>
              </w:rPr>
            </w:pPr>
            <w:r w:rsidRPr="004530AF">
              <w:rPr>
                <w:lang w:val="en-AU"/>
              </w:rPr>
              <w:t>Safer Roads Sooner</w:t>
            </w:r>
          </w:p>
        </w:tc>
        <w:tc>
          <w:tcPr>
            <w:tcW w:w="3670" w:type="pct"/>
          </w:tcPr>
          <w:p w14:paraId="5559EBC0" w14:textId="77777777" w:rsidR="00A81C4F" w:rsidRPr="004530AF"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rsidRPr="004530AF">
              <w:rPr>
                <w:lang w:val="en-AU"/>
              </w:rPr>
              <w:t>The Queensland Government’s targeted program to improve the road safety performance of state-controlled and national road networks. It is funded by revenue from camera-detected offences, and delivers projects to address the road toll and reduce the number of people who sustain serious injuries in road crashes.</w:t>
            </w:r>
          </w:p>
        </w:tc>
      </w:tr>
      <w:tr w:rsidR="00A81C4F" w:rsidRPr="004530AF" w14:paraId="68B16DFC" w14:textId="77777777" w:rsidTr="00A87A36">
        <w:tc>
          <w:tcPr>
            <w:cnfStyle w:val="001000000000" w:firstRow="0" w:lastRow="0" w:firstColumn="1" w:lastColumn="0" w:oddVBand="0" w:evenVBand="0" w:oddHBand="0" w:evenHBand="0" w:firstRowFirstColumn="0" w:firstRowLastColumn="0" w:lastRowFirstColumn="0" w:lastRowLastColumn="0"/>
            <w:tcW w:w="1330" w:type="pct"/>
          </w:tcPr>
          <w:p w14:paraId="65980EA0" w14:textId="77777777" w:rsidR="00A81C4F" w:rsidRPr="004530AF" w:rsidRDefault="00A81C4F" w:rsidP="00A87A36">
            <w:pPr>
              <w:pStyle w:val="Normal-table"/>
              <w:rPr>
                <w:lang w:val="en-AU"/>
              </w:rPr>
            </w:pPr>
            <w:r w:rsidRPr="004530AF">
              <w:rPr>
                <w:lang w:val="en-AU"/>
              </w:rPr>
              <w:t>Service Delivery Statements</w:t>
            </w:r>
            <w:r>
              <w:t xml:space="preserve"> (SDS)</w:t>
            </w:r>
          </w:p>
        </w:tc>
        <w:tc>
          <w:tcPr>
            <w:tcW w:w="3670" w:type="pct"/>
          </w:tcPr>
          <w:p w14:paraId="1575F129" w14:textId="77777777" w:rsidR="00A81C4F" w:rsidRPr="004530AF"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rsidRPr="004530AF">
              <w:rPr>
                <w:lang w:val="en-AU"/>
              </w:rPr>
              <w:t>Budgeted financial and non-financial information for the Budget year. In addition to financial statements, the SDS includes TMR’s achievements, highlights for the forthcoming year</w:t>
            </w:r>
            <w:r>
              <w:t>,</w:t>
            </w:r>
            <w:r w:rsidRPr="004530AF">
              <w:rPr>
                <w:lang w:val="en-AU"/>
              </w:rPr>
              <w:t xml:space="preserve"> and performance statements.</w:t>
            </w:r>
          </w:p>
        </w:tc>
      </w:tr>
      <w:tr w:rsidR="00A81C4F" w:rsidRPr="004530AF" w14:paraId="756B75C5"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tcPr>
          <w:p w14:paraId="79D5504F" w14:textId="77777777" w:rsidR="00A81C4F" w:rsidRPr="004530AF" w:rsidRDefault="00A81C4F" w:rsidP="00A87A36">
            <w:pPr>
              <w:pStyle w:val="Normal-table"/>
              <w:rPr>
                <w:lang w:val="en-AU"/>
              </w:rPr>
            </w:pPr>
            <w:r w:rsidRPr="004530AF">
              <w:rPr>
                <w:lang w:val="en-AU"/>
              </w:rPr>
              <w:t>Stakeholder</w:t>
            </w:r>
          </w:p>
        </w:tc>
        <w:tc>
          <w:tcPr>
            <w:tcW w:w="3670" w:type="pct"/>
          </w:tcPr>
          <w:p w14:paraId="0776D8E5" w14:textId="77777777" w:rsidR="00A81C4F" w:rsidRPr="004530AF"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rsidRPr="004530AF">
              <w:rPr>
                <w:lang w:val="en-AU"/>
              </w:rPr>
              <w:t xml:space="preserve">Anyone or any group who either influences or is affected by our business. </w:t>
            </w:r>
          </w:p>
        </w:tc>
      </w:tr>
      <w:tr w:rsidR="00A81C4F" w:rsidRPr="004530AF" w14:paraId="30363007" w14:textId="77777777" w:rsidTr="00A87A36">
        <w:tc>
          <w:tcPr>
            <w:cnfStyle w:val="001000000000" w:firstRow="0" w:lastRow="0" w:firstColumn="1" w:lastColumn="0" w:oddVBand="0" w:evenVBand="0" w:oddHBand="0" w:evenHBand="0" w:firstRowFirstColumn="0" w:firstRowLastColumn="0" w:lastRowFirstColumn="0" w:lastRowLastColumn="0"/>
            <w:tcW w:w="1330" w:type="pct"/>
          </w:tcPr>
          <w:p w14:paraId="369209B1" w14:textId="77777777" w:rsidR="00A81C4F" w:rsidRPr="004530AF" w:rsidRDefault="00A81C4F" w:rsidP="00A87A36">
            <w:pPr>
              <w:pStyle w:val="Normal-table"/>
              <w:rPr>
                <w:lang w:val="en-AU"/>
              </w:rPr>
            </w:pPr>
            <w:r w:rsidRPr="004530AF">
              <w:rPr>
                <w:lang w:val="en-AU"/>
              </w:rPr>
              <w:t>State Infrastructure Plan</w:t>
            </w:r>
          </w:p>
        </w:tc>
        <w:tc>
          <w:tcPr>
            <w:tcW w:w="3670" w:type="pct"/>
          </w:tcPr>
          <w:p w14:paraId="1B8AA059" w14:textId="77777777" w:rsidR="00A81C4F" w:rsidRPr="004530AF"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rsidRPr="004530AF">
              <w:rPr>
                <w:lang w:val="en-AU"/>
              </w:rPr>
              <w:t>Outlines the Queensland Government’s strategic direction for the planning, investment</w:t>
            </w:r>
            <w:r>
              <w:t>,</w:t>
            </w:r>
            <w:r w:rsidRPr="004530AF">
              <w:rPr>
                <w:lang w:val="en-AU"/>
              </w:rPr>
              <w:t xml:space="preserve"> and delivery of infrastructure in Queensland.</w:t>
            </w:r>
          </w:p>
        </w:tc>
      </w:tr>
      <w:tr w:rsidR="00A81C4F" w:rsidRPr="004530AF" w14:paraId="5340C579"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tcPr>
          <w:p w14:paraId="29DD5124" w14:textId="77777777" w:rsidR="00A81C4F" w:rsidRPr="004530AF" w:rsidRDefault="00A81C4F" w:rsidP="00A87A36">
            <w:pPr>
              <w:pStyle w:val="Normal-table"/>
              <w:rPr>
                <w:lang w:val="en-AU"/>
              </w:rPr>
            </w:pPr>
            <w:r w:rsidRPr="004530AF">
              <w:rPr>
                <w:lang w:val="en-AU"/>
              </w:rPr>
              <w:t>State-controlled roads</w:t>
            </w:r>
          </w:p>
        </w:tc>
        <w:tc>
          <w:tcPr>
            <w:tcW w:w="3670" w:type="pct"/>
          </w:tcPr>
          <w:p w14:paraId="2A7E8854" w14:textId="77777777" w:rsidR="00A81C4F" w:rsidRPr="004530AF"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rsidRPr="004530AF">
              <w:rPr>
                <w:lang w:val="en-AU"/>
              </w:rPr>
              <w:t>Roads controlled and managed by the Queensland Government. They include the AusLink national road network, state strategic roads, regional roads</w:t>
            </w:r>
            <w:r>
              <w:t>,</w:t>
            </w:r>
            <w:r w:rsidRPr="004530AF">
              <w:rPr>
                <w:lang w:val="en-AU"/>
              </w:rPr>
              <w:t xml:space="preserve"> and district roads (but not local roads).</w:t>
            </w:r>
          </w:p>
        </w:tc>
      </w:tr>
      <w:tr w:rsidR="00A81C4F" w:rsidRPr="004530AF" w14:paraId="775A9A5A" w14:textId="77777777" w:rsidTr="00A87A36">
        <w:tc>
          <w:tcPr>
            <w:cnfStyle w:val="001000000000" w:firstRow="0" w:lastRow="0" w:firstColumn="1" w:lastColumn="0" w:oddVBand="0" w:evenVBand="0" w:oddHBand="0" w:evenHBand="0" w:firstRowFirstColumn="0" w:firstRowLastColumn="0" w:lastRowFirstColumn="0" w:lastRowLastColumn="0"/>
            <w:tcW w:w="1330" w:type="pct"/>
          </w:tcPr>
          <w:p w14:paraId="76E48D51" w14:textId="77777777" w:rsidR="00A81C4F" w:rsidRPr="004530AF" w:rsidRDefault="00A81C4F" w:rsidP="00A87A36">
            <w:pPr>
              <w:pStyle w:val="Normal-table"/>
              <w:rPr>
                <w:lang w:val="en-AU"/>
              </w:rPr>
            </w:pPr>
            <w:r w:rsidRPr="004530AF">
              <w:rPr>
                <w:lang w:val="en-AU"/>
              </w:rPr>
              <w:t>Strategic plan</w:t>
            </w:r>
          </w:p>
        </w:tc>
        <w:tc>
          <w:tcPr>
            <w:tcW w:w="3670" w:type="pct"/>
          </w:tcPr>
          <w:p w14:paraId="390E5EE0" w14:textId="77777777" w:rsidR="00A81C4F" w:rsidRPr="004530AF"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rsidRPr="004530AF">
              <w:rPr>
                <w:lang w:val="en-AU"/>
              </w:rPr>
              <w:t>A high level document used to communicate departmental vision, purpose</w:t>
            </w:r>
            <w:r>
              <w:t>,</w:t>
            </w:r>
            <w:r w:rsidRPr="004530AF">
              <w:rPr>
                <w:lang w:val="en-AU"/>
              </w:rPr>
              <w:t xml:space="preserve"> and objectives to provide a foundation for operational delivery.</w:t>
            </w:r>
          </w:p>
        </w:tc>
      </w:tr>
      <w:tr w:rsidR="00A81C4F" w:rsidRPr="004530AF" w14:paraId="43184269"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tcPr>
          <w:p w14:paraId="69E06CDF" w14:textId="77777777" w:rsidR="00A81C4F" w:rsidRPr="004530AF" w:rsidRDefault="00A81C4F" w:rsidP="00A87A36">
            <w:pPr>
              <w:pStyle w:val="Normal-table"/>
              <w:rPr>
                <w:lang w:val="en-AU"/>
              </w:rPr>
            </w:pPr>
            <w:r w:rsidRPr="004530AF">
              <w:rPr>
                <w:lang w:val="en-AU"/>
              </w:rPr>
              <w:t>Translink</w:t>
            </w:r>
          </w:p>
        </w:tc>
        <w:tc>
          <w:tcPr>
            <w:tcW w:w="3670" w:type="pct"/>
          </w:tcPr>
          <w:p w14:paraId="61BDA2B7" w14:textId="77777777" w:rsidR="00A81C4F" w:rsidRPr="004530AF"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rsidRPr="004530AF">
              <w:rPr>
                <w:lang w:val="en-AU"/>
              </w:rPr>
              <w:t>Trans</w:t>
            </w:r>
            <w:r>
              <w:t>l</w:t>
            </w:r>
            <w:r w:rsidRPr="004530AF">
              <w:rPr>
                <w:lang w:val="en-AU"/>
              </w:rPr>
              <w:t>ink is the brand name for passenger transport services in Queensland, including Trans</w:t>
            </w:r>
            <w:r>
              <w:t>l</w:t>
            </w:r>
            <w:r w:rsidRPr="004530AF">
              <w:rPr>
                <w:lang w:val="en-AU"/>
              </w:rPr>
              <w:t>ink buses, trains, ferries</w:t>
            </w:r>
            <w:r>
              <w:t>,</w:t>
            </w:r>
            <w:r w:rsidRPr="004530AF">
              <w:rPr>
                <w:lang w:val="en-AU"/>
              </w:rPr>
              <w:t xml:space="preserve"> and trams.</w:t>
            </w:r>
          </w:p>
        </w:tc>
      </w:tr>
      <w:tr w:rsidR="00A81C4F" w:rsidRPr="004530AF" w14:paraId="571E7976" w14:textId="77777777" w:rsidTr="00A87A36">
        <w:tc>
          <w:tcPr>
            <w:cnfStyle w:val="001000000000" w:firstRow="0" w:lastRow="0" w:firstColumn="1" w:lastColumn="0" w:oddVBand="0" w:evenVBand="0" w:oddHBand="0" w:evenHBand="0" w:firstRowFirstColumn="0" w:firstRowLastColumn="0" w:lastRowFirstColumn="0" w:lastRowLastColumn="0"/>
            <w:tcW w:w="1330" w:type="pct"/>
          </w:tcPr>
          <w:p w14:paraId="14B8A09F" w14:textId="77777777" w:rsidR="00A81C4F" w:rsidRPr="004530AF" w:rsidRDefault="00A81C4F" w:rsidP="00A87A36">
            <w:pPr>
              <w:pStyle w:val="Normal-table"/>
              <w:rPr>
                <w:lang w:val="en-AU"/>
              </w:rPr>
            </w:pPr>
            <w:r w:rsidRPr="004530AF">
              <w:rPr>
                <w:lang w:val="en-AU"/>
              </w:rPr>
              <w:t>Transport System Planning Program</w:t>
            </w:r>
          </w:p>
        </w:tc>
        <w:tc>
          <w:tcPr>
            <w:tcW w:w="3670" w:type="pct"/>
          </w:tcPr>
          <w:p w14:paraId="09F6AB83" w14:textId="77777777" w:rsidR="00A81C4F" w:rsidRPr="004530AF"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rsidRPr="004530AF">
              <w:rPr>
                <w:lang w:val="en-AU"/>
              </w:rPr>
              <w:t>Aimed at funding transport planning, modelling</w:t>
            </w:r>
            <w:r>
              <w:t>,</w:t>
            </w:r>
            <w:r w:rsidRPr="004530AF">
              <w:rPr>
                <w:lang w:val="en-AU"/>
              </w:rPr>
              <w:t xml:space="preserve"> and investment proposal activities for all modes of transport across all regions of Queensland. The program plans an integrated transport system that promotes the right investment at the right time and drives better transport outcomes for Queensland.</w:t>
            </w:r>
          </w:p>
        </w:tc>
      </w:tr>
      <w:tr w:rsidR="00A81C4F" w:rsidRPr="004530AF" w14:paraId="37EC5688"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tcPr>
          <w:p w14:paraId="47267889" w14:textId="77777777" w:rsidR="00A81C4F" w:rsidRPr="004530AF" w:rsidRDefault="00A81C4F" w:rsidP="00A87A36">
            <w:pPr>
              <w:pStyle w:val="Normal-table"/>
              <w:rPr>
                <w:lang w:val="en-AU"/>
              </w:rPr>
            </w:pPr>
            <w:r w:rsidRPr="004530AF">
              <w:rPr>
                <w:lang w:val="en-AU"/>
              </w:rPr>
              <w:t>Twitter</w:t>
            </w:r>
          </w:p>
        </w:tc>
        <w:tc>
          <w:tcPr>
            <w:tcW w:w="3670" w:type="pct"/>
          </w:tcPr>
          <w:p w14:paraId="29EB035A" w14:textId="77777777" w:rsidR="00A81C4F" w:rsidRPr="004530AF"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rsidRPr="004530AF">
              <w:rPr>
                <w:lang w:val="en-AU"/>
              </w:rPr>
              <w:t>Twitter is an online social networking service that enables users to send and read short 140-character messages called ‘tweets’.</w:t>
            </w:r>
          </w:p>
        </w:tc>
      </w:tr>
      <w:tr w:rsidR="00A81C4F" w:rsidRPr="004530AF" w14:paraId="62C53907" w14:textId="77777777" w:rsidTr="00A87A36">
        <w:tc>
          <w:tcPr>
            <w:cnfStyle w:val="001000000000" w:firstRow="0" w:lastRow="0" w:firstColumn="1" w:lastColumn="0" w:oddVBand="0" w:evenVBand="0" w:oddHBand="0" w:evenHBand="0" w:firstRowFirstColumn="0" w:firstRowLastColumn="0" w:lastRowFirstColumn="0" w:lastRowLastColumn="0"/>
            <w:tcW w:w="1330" w:type="pct"/>
          </w:tcPr>
          <w:p w14:paraId="00C07A26" w14:textId="77777777" w:rsidR="00A81C4F" w:rsidRPr="004530AF" w:rsidRDefault="00A81C4F" w:rsidP="00A87A36">
            <w:pPr>
              <w:pStyle w:val="Normal-table"/>
              <w:rPr>
                <w:lang w:val="en-AU"/>
              </w:rPr>
            </w:pPr>
            <w:r w:rsidRPr="004530AF">
              <w:rPr>
                <w:lang w:val="en-AU"/>
              </w:rPr>
              <w:lastRenderedPageBreak/>
              <w:t>Wide centre line treatments</w:t>
            </w:r>
          </w:p>
        </w:tc>
        <w:tc>
          <w:tcPr>
            <w:tcW w:w="3670" w:type="pct"/>
          </w:tcPr>
          <w:p w14:paraId="731AB601" w14:textId="77777777" w:rsidR="00A81C4F" w:rsidRPr="004530AF"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rsidRPr="004530AF">
              <w:rPr>
                <w:lang w:val="en-AU"/>
              </w:rPr>
              <w:t>Painting two white lines one metre apart in the centre of the road to provide greater separation for opposing traffic.</w:t>
            </w:r>
          </w:p>
        </w:tc>
      </w:tr>
      <w:tr w:rsidR="00A81C4F" w:rsidRPr="004530AF" w14:paraId="79D5B841" w14:textId="77777777" w:rsidTr="00A87A3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330" w:type="pct"/>
          </w:tcPr>
          <w:p w14:paraId="43299FE1" w14:textId="77777777" w:rsidR="00A81C4F" w:rsidRPr="004530AF" w:rsidRDefault="00A81C4F" w:rsidP="00A87A36">
            <w:pPr>
              <w:pStyle w:val="Normal-table"/>
              <w:rPr>
                <w:lang w:val="en-AU"/>
              </w:rPr>
            </w:pPr>
            <w:r w:rsidRPr="004530AF">
              <w:rPr>
                <w:lang w:val="en-AU"/>
              </w:rPr>
              <w:t>Yammer</w:t>
            </w:r>
          </w:p>
        </w:tc>
        <w:tc>
          <w:tcPr>
            <w:tcW w:w="3670" w:type="pct"/>
          </w:tcPr>
          <w:p w14:paraId="2EE74884" w14:textId="77777777" w:rsidR="00A81C4F" w:rsidRPr="004530AF"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rsidRPr="004530AF">
              <w:rPr>
                <w:lang w:val="en-AU"/>
              </w:rPr>
              <w:t>A private social network used within organisations for internal communication and collaboration.</w:t>
            </w:r>
          </w:p>
        </w:tc>
      </w:tr>
    </w:tbl>
    <w:p w14:paraId="0F90751F" w14:textId="071553FB" w:rsidR="00A81C4F" w:rsidRDefault="00A81C4F" w:rsidP="00A81C4F">
      <w:pPr>
        <w:pStyle w:val="Heading2"/>
      </w:pPr>
      <w:r>
        <w:t xml:space="preserve">Appendix 8 – </w:t>
      </w:r>
      <w:r w:rsidRPr="00023C36">
        <w:t>Acronyms</w:t>
      </w:r>
    </w:p>
    <w:tbl>
      <w:tblPr>
        <w:tblStyle w:val="GridTable4-Accent1"/>
        <w:tblW w:w="5000" w:type="pct"/>
        <w:tblLook w:val="04A0" w:firstRow="1" w:lastRow="0" w:firstColumn="1" w:lastColumn="0" w:noHBand="0" w:noVBand="1"/>
      </w:tblPr>
      <w:tblGrid>
        <w:gridCol w:w="2284"/>
        <w:gridCol w:w="8172"/>
      </w:tblGrid>
      <w:tr w:rsidR="00A81C4F" w:rsidRPr="00023C36" w14:paraId="5F2808ED" w14:textId="77777777" w:rsidTr="00A87A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92" w:type="pct"/>
          </w:tcPr>
          <w:p w14:paraId="33E9DE16" w14:textId="77777777" w:rsidR="00A81C4F" w:rsidRPr="00023C36" w:rsidRDefault="00A81C4F" w:rsidP="00A87A36">
            <w:pPr>
              <w:pStyle w:val="Normal-table"/>
              <w:rPr>
                <w:lang w:val="en-AU"/>
              </w:rPr>
            </w:pPr>
            <w:r w:rsidRPr="00023C36">
              <w:rPr>
                <w:lang w:val="en-AU"/>
              </w:rPr>
              <w:t>Acronym</w:t>
            </w:r>
          </w:p>
        </w:tc>
        <w:tc>
          <w:tcPr>
            <w:tcW w:w="3908" w:type="pct"/>
          </w:tcPr>
          <w:p w14:paraId="2DF9B1D5" w14:textId="77777777" w:rsidR="00A81C4F" w:rsidRPr="00023C36" w:rsidRDefault="00A81C4F" w:rsidP="00A87A36">
            <w:pPr>
              <w:pStyle w:val="Normal-table"/>
              <w:cnfStyle w:val="100000000000" w:firstRow="1" w:lastRow="0" w:firstColumn="0" w:lastColumn="0" w:oddVBand="0" w:evenVBand="0" w:oddHBand="0" w:evenHBand="0" w:firstRowFirstColumn="0" w:firstRowLastColumn="0" w:lastRowFirstColumn="0" w:lastRowLastColumn="0"/>
              <w:rPr>
                <w:lang w:val="en-AU"/>
              </w:rPr>
            </w:pPr>
            <w:r w:rsidRPr="00023C36">
              <w:rPr>
                <w:lang w:val="en-AU"/>
              </w:rPr>
              <w:t xml:space="preserve">Definition </w:t>
            </w:r>
          </w:p>
        </w:tc>
      </w:tr>
      <w:tr w:rsidR="00A81C4F" w:rsidRPr="00023C36" w14:paraId="0B627D8E"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1DEB500E" w14:textId="77777777" w:rsidR="00A81C4F" w:rsidRPr="00023C36" w:rsidRDefault="00A81C4F" w:rsidP="00A87A36">
            <w:pPr>
              <w:pStyle w:val="Normal-table"/>
              <w:rPr>
                <w:lang w:val="en-AU"/>
              </w:rPr>
            </w:pPr>
            <w:r>
              <w:t>AI</w:t>
            </w:r>
          </w:p>
        </w:tc>
        <w:tc>
          <w:tcPr>
            <w:tcW w:w="3908" w:type="pct"/>
          </w:tcPr>
          <w:p w14:paraId="676AE866" w14:textId="77777777" w:rsidR="00A81C4F" w:rsidRPr="00023C36"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t>Artificial Intelligence</w:t>
            </w:r>
          </w:p>
        </w:tc>
      </w:tr>
      <w:tr w:rsidR="00A81C4F" w:rsidRPr="00023C36" w14:paraId="7E953C8F"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5C7764A9" w14:textId="77777777" w:rsidR="00A81C4F" w:rsidRDefault="00A81C4F" w:rsidP="00A87A36">
            <w:pPr>
              <w:pStyle w:val="Normal-table"/>
            </w:pPr>
            <w:r>
              <w:t>AMPT</w:t>
            </w:r>
          </w:p>
        </w:tc>
        <w:tc>
          <w:tcPr>
            <w:tcW w:w="3908" w:type="pct"/>
          </w:tcPr>
          <w:p w14:paraId="6B5D8A73" w14:textId="77777777" w:rsidR="00A81C4F"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t>Advanced Marine Pilot Training</w:t>
            </w:r>
          </w:p>
        </w:tc>
      </w:tr>
      <w:tr w:rsidR="00A81C4F" w:rsidRPr="00023C36" w14:paraId="69BAB8D4"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3E41319C" w14:textId="77777777" w:rsidR="00A81C4F" w:rsidRPr="00023C36" w:rsidRDefault="00A81C4F" w:rsidP="00A87A36">
            <w:pPr>
              <w:pStyle w:val="Normal-table"/>
              <w:rPr>
                <w:lang w:val="en-AU"/>
              </w:rPr>
            </w:pPr>
            <w:r w:rsidRPr="00023C36">
              <w:rPr>
                <w:lang w:val="en-AU"/>
              </w:rPr>
              <w:t>ANZSOG</w:t>
            </w:r>
          </w:p>
        </w:tc>
        <w:tc>
          <w:tcPr>
            <w:tcW w:w="3908" w:type="pct"/>
          </w:tcPr>
          <w:p w14:paraId="66190AA8" w14:textId="77777777" w:rsidR="00A81C4F" w:rsidRPr="00023C36"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rsidRPr="00023C36">
              <w:rPr>
                <w:lang w:val="en-AU"/>
              </w:rPr>
              <w:t xml:space="preserve">Australia and New Zealand School of Government's </w:t>
            </w:r>
          </w:p>
        </w:tc>
      </w:tr>
      <w:tr w:rsidR="00A81C4F" w:rsidRPr="00023C36" w14:paraId="1D0C7B26"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3B518923" w14:textId="77777777" w:rsidR="00A81C4F" w:rsidRPr="00023C36" w:rsidRDefault="00A81C4F" w:rsidP="00A87A36">
            <w:pPr>
              <w:pStyle w:val="Normal-table"/>
              <w:rPr>
                <w:lang w:val="en-AU"/>
              </w:rPr>
            </w:pPr>
            <w:r w:rsidRPr="00023C36">
              <w:rPr>
                <w:lang w:val="en-AU"/>
              </w:rPr>
              <w:t>ARC</w:t>
            </w:r>
          </w:p>
        </w:tc>
        <w:tc>
          <w:tcPr>
            <w:tcW w:w="3908" w:type="pct"/>
          </w:tcPr>
          <w:p w14:paraId="4206E1AD" w14:textId="77777777" w:rsidR="00A81C4F" w:rsidRPr="00023C36"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rsidRPr="00023C36">
              <w:rPr>
                <w:lang w:val="en-AU"/>
              </w:rPr>
              <w:t>Audit and Risk Committee</w:t>
            </w:r>
          </w:p>
        </w:tc>
      </w:tr>
      <w:tr w:rsidR="00A81C4F" w:rsidRPr="00023C36" w14:paraId="006196EE"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02DD175B" w14:textId="77777777" w:rsidR="00A81C4F" w:rsidRPr="00023C36" w:rsidRDefault="00A81C4F" w:rsidP="00A87A36">
            <w:pPr>
              <w:pStyle w:val="Normal-table"/>
              <w:rPr>
                <w:lang w:val="en-AU"/>
              </w:rPr>
            </w:pPr>
            <w:r>
              <w:t>BIM</w:t>
            </w:r>
          </w:p>
        </w:tc>
        <w:tc>
          <w:tcPr>
            <w:tcW w:w="3908" w:type="pct"/>
          </w:tcPr>
          <w:p w14:paraId="76D5BA86" w14:textId="77777777" w:rsidR="00A81C4F" w:rsidRPr="00023C36"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t>Building information modelling</w:t>
            </w:r>
          </w:p>
        </w:tc>
      </w:tr>
      <w:tr w:rsidR="00A81C4F" w:rsidRPr="00023C36" w14:paraId="34F4C789"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3AE7D066" w14:textId="77777777" w:rsidR="00A81C4F" w:rsidRPr="00023C36" w:rsidRDefault="00A81C4F" w:rsidP="00A87A36">
            <w:pPr>
              <w:pStyle w:val="Normal-table"/>
              <w:rPr>
                <w:lang w:val="en-AU"/>
              </w:rPr>
            </w:pPr>
            <w:r w:rsidRPr="00023C36">
              <w:rPr>
                <w:lang w:val="en-AU"/>
              </w:rPr>
              <w:t>CA</w:t>
            </w:r>
          </w:p>
        </w:tc>
        <w:tc>
          <w:tcPr>
            <w:tcW w:w="3908" w:type="pct"/>
          </w:tcPr>
          <w:p w14:paraId="6A32ABC6" w14:textId="77777777" w:rsidR="00A81C4F" w:rsidRPr="00023C36"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rsidRPr="00023C36">
              <w:rPr>
                <w:lang w:val="en-AU"/>
              </w:rPr>
              <w:t>Chief Auditor</w:t>
            </w:r>
          </w:p>
        </w:tc>
      </w:tr>
      <w:tr w:rsidR="00A81C4F" w:rsidRPr="00023C36" w14:paraId="045EB989"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2D97AF3C" w14:textId="77777777" w:rsidR="00A81C4F" w:rsidRPr="00023C36" w:rsidRDefault="00A81C4F" w:rsidP="00A87A36">
            <w:pPr>
              <w:pStyle w:val="Normal-table"/>
              <w:rPr>
                <w:lang w:val="en-AU"/>
              </w:rPr>
            </w:pPr>
            <w:r w:rsidRPr="00023C36">
              <w:rPr>
                <w:lang w:val="en-AU"/>
              </w:rPr>
              <w:t>CAV</w:t>
            </w:r>
          </w:p>
        </w:tc>
        <w:tc>
          <w:tcPr>
            <w:tcW w:w="3908" w:type="pct"/>
          </w:tcPr>
          <w:p w14:paraId="2F2A49D2" w14:textId="77777777" w:rsidR="00A81C4F" w:rsidRPr="00023C36"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rsidRPr="00023C36">
              <w:rPr>
                <w:lang w:val="en-AU"/>
              </w:rPr>
              <w:t>Cooperative and Automative Vehicle</w:t>
            </w:r>
          </w:p>
        </w:tc>
      </w:tr>
      <w:tr w:rsidR="00A81C4F" w:rsidRPr="00023C36" w14:paraId="498C7727"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410071BE" w14:textId="77777777" w:rsidR="00A81C4F" w:rsidRPr="00023C36" w:rsidRDefault="00A81C4F" w:rsidP="00A87A36">
            <w:pPr>
              <w:pStyle w:val="Normal-table"/>
              <w:rPr>
                <w:lang w:val="en-AU"/>
              </w:rPr>
            </w:pPr>
            <w:r w:rsidRPr="00023C36">
              <w:rPr>
                <w:lang w:val="en-AU"/>
              </w:rPr>
              <w:t xml:space="preserve">CBD </w:t>
            </w:r>
          </w:p>
        </w:tc>
        <w:tc>
          <w:tcPr>
            <w:tcW w:w="3908" w:type="pct"/>
          </w:tcPr>
          <w:p w14:paraId="49186FF9" w14:textId="77777777" w:rsidR="00A81C4F" w:rsidRPr="00023C36"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rsidRPr="00023C36">
              <w:rPr>
                <w:lang w:val="en-AU"/>
              </w:rPr>
              <w:t>Central business district</w:t>
            </w:r>
          </w:p>
        </w:tc>
      </w:tr>
      <w:tr w:rsidR="00A81C4F" w:rsidRPr="00023C36" w14:paraId="4F015D75"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2CC3E8E3" w14:textId="77777777" w:rsidR="00A81C4F" w:rsidRPr="00023C36" w:rsidRDefault="00A81C4F" w:rsidP="00A87A36">
            <w:pPr>
              <w:pStyle w:val="Normal-table"/>
              <w:rPr>
                <w:lang w:val="en-AU"/>
              </w:rPr>
            </w:pPr>
            <w:r>
              <w:t>CCC</w:t>
            </w:r>
          </w:p>
        </w:tc>
        <w:tc>
          <w:tcPr>
            <w:tcW w:w="3908" w:type="pct"/>
          </w:tcPr>
          <w:p w14:paraId="72CA1E82" w14:textId="77777777" w:rsidR="00A81C4F" w:rsidRPr="00023C36"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t>Crime and Corruption Commission</w:t>
            </w:r>
          </w:p>
        </w:tc>
      </w:tr>
      <w:tr w:rsidR="00A81C4F" w:rsidRPr="00023C36" w14:paraId="18BC4BCA"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026B31A4" w14:textId="77777777" w:rsidR="00A81C4F" w:rsidRPr="00023C36" w:rsidRDefault="00A81C4F" w:rsidP="00A87A36">
            <w:pPr>
              <w:pStyle w:val="Normal-table"/>
              <w:rPr>
                <w:lang w:val="en-AU"/>
              </w:rPr>
            </w:pPr>
            <w:r>
              <w:t>CCDO</w:t>
            </w:r>
          </w:p>
        </w:tc>
        <w:tc>
          <w:tcPr>
            <w:tcW w:w="3908" w:type="pct"/>
          </w:tcPr>
          <w:p w14:paraId="655C15C6" w14:textId="77777777" w:rsidR="00A81C4F" w:rsidRPr="00023C36"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t>Chief Customer and Digital Officer</w:t>
            </w:r>
          </w:p>
        </w:tc>
      </w:tr>
      <w:tr w:rsidR="00A81C4F" w:rsidRPr="00023C36" w14:paraId="1C36A60D"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0AB43C5C" w14:textId="77777777" w:rsidR="00A81C4F" w:rsidRPr="00023C36" w:rsidRDefault="00A81C4F" w:rsidP="00A87A36">
            <w:pPr>
              <w:pStyle w:val="Normal-table"/>
              <w:rPr>
                <w:lang w:val="en-AU"/>
              </w:rPr>
            </w:pPr>
            <w:r w:rsidRPr="00023C36">
              <w:rPr>
                <w:lang w:val="en-AU"/>
              </w:rPr>
              <w:t>CCTV</w:t>
            </w:r>
          </w:p>
        </w:tc>
        <w:tc>
          <w:tcPr>
            <w:tcW w:w="3908" w:type="pct"/>
          </w:tcPr>
          <w:p w14:paraId="3F7C3CD6" w14:textId="77777777" w:rsidR="00A81C4F" w:rsidRPr="00023C36"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rsidRPr="00023C36">
              <w:rPr>
                <w:lang w:val="en-AU"/>
              </w:rPr>
              <w:t>Closed-Circuit Television Cameras</w:t>
            </w:r>
          </w:p>
        </w:tc>
      </w:tr>
      <w:tr w:rsidR="00A81C4F" w:rsidRPr="00023C36" w14:paraId="6AB8EA23"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778CFF0F" w14:textId="77777777" w:rsidR="00A81C4F" w:rsidRPr="00023C36" w:rsidRDefault="00A81C4F" w:rsidP="00A87A36">
            <w:pPr>
              <w:pStyle w:val="Normal-table"/>
              <w:rPr>
                <w:lang w:val="en-AU"/>
              </w:rPr>
            </w:pPr>
            <w:r w:rsidRPr="00023C36">
              <w:rPr>
                <w:lang w:val="en-AU"/>
              </w:rPr>
              <w:t xml:space="preserve">CDOP </w:t>
            </w:r>
          </w:p>
        </w:tc>
        <w:tc>
          <w:tcPr>
            <w:tcW w:w="3908" w:type="pct"/>
          </w:tcPr>
          <w:p w14:paraId="7721E772" w14:textId="77777777" w:rsidR="00A81C4F" w:rsidRPr="00023C36"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rsidRPr="00023C36">
              <w:rPr>
                <w:lang w:val="en-AU"/>
              </w:rPr>
              <w:t>Camera Detected Offence Program</w:t>
            </w:r>
          </w:p>
        </w:tc>
      </w:tr>
      <w:tr w:rsidR="00A81C4F" w:rsidRPr="00023C36" w14:paraId="6F581BBF"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52FB25F1" w14:textId="77777777" w:rsidR="00A81C4F" w:rsidRPr="00023C36" w:rsidRDefault="00A81C4F" w:rsidP="00A87A36">
            <w:pPr>
              <w:pStyle w:val="Normal-table"/>
              <w:rPr>
                <w:lang w:val="en-AU"/>
              </w:rPr>
            </w:pPr>
            <w:r w:rsidRPr="00023C36">
              <w:rPr>
                <w:lang w:val="en-AU"/>
              </w:rPr>
              <w:t>CE</w:t>
            </w:r>
          </w:p>
        </w:tc>
        <w:tc>
          <w:tcPr>
            <w:tcW w:w="3908" w:type="pct"/>
          </w:tcPr>
          <w:p w14:paraId="07EB779B" w14:textId="77777777" w:rsidR="00A81C4F" w:rsidRPr="00023C36"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rsidRPr="00023C36">
              <w:rPr>
                <w:lang w:val="en-AU"/>
              </w:rPr>
              <w:t>Chief Engineer</w:t>
            </w:r>
          </w:p>
        </w:tc>
      </w:tr>
      <w:tr w:rsidR="00A81C4F" w:rsidRPr="00023C36" w14:paraId="2E8F8C3F"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222D4F32" w14:textId="77777777" w:rsidR="00A81C4F" w:rsidRPr="00023C36" w:rsidRDefault="00A81C4F" w:rsidP="00A87A36">
            <w:pPr>
              <w:pStyle w:val="Normal-table"/>
              <w:rPr>
                <w:lang w:val="en-AU"/>
              </w:rPr>
            </w:pPr>
            <w:r w:rsidRPr="00023C36">
              <w:rPr>
                <w:lang w:val="en-AU"/>
              </w:rPr>
              <w:t>CFO</w:t>
            </w:r>
          </w:p>
        </w:tc>
        <w:tc>
          <w:tcPr>
            <w:tcW w:w="3908" w:type="pct"/>
          </w:tcPr>
          <w:p w14:paraId="3F43FEB7" w14:textId="77777777" w:rsidR="00A81C4F" w:rsidRPr="00023C36"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rsidRPr="00023C36">
              <w:rPr>
                <w:lang w:val="en-AU"/>
              </w:rPr>
              <w:t>Chief Financial Officer</w:t>
            </w:r>
          </w:p>
        </w:tc>
      </w:tr>
      <w:tr w:rsidR="00A81C4F" w:rsidRPr="00023C36" w14:paraId="60E4B8FF"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54041797" w14:textId="77777777" w:rsidR="00A81C4F" w:rsidRPr="00023C36" w:rsidRDefault="00A81C4F" w:rsidP="00A87A36">
            <w:pPr>
              <w:pStyle w:val="Normal-table"/>
              <w:rPr>
                <w:lang w:val="en-AU"/>
              </w:rPr>
            </w:pPr>
            <w:r>
              <w:t>Ch</w:t>
            </w:r>
          </w:p>
        </w:tc>
        <w:tc>
          <w:tcPr>
            <w:tcW w:w="3908" w:type="pct"/>
          </w:tcPr>
          <w:p w14:paraId="3C09D95E" w14:textId="77777777" w:rsidR="00A81C4F" w:rsidRPr="00023C36"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t>Chief</w:t>
            </w:r>
          </w:p>
        </w:tc>
      </w:tr>
      <w:tr w:rsidR="00A81C4F" w:rsidRPr="00023C36" w14:paraId="1D5F9C1A"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419A0446" w14:textId="77777777" w:rsidR="00A81C4F" w:rsidRPr="00023C36" w:rsidRDefault="00A81C4F" w:rsidP="00A87A36">
            <w:pPr>
              <w:pStyle w:val="Normal-table"/>
              <w:rPr>
                <w:lang w:val="en-AU"/>
              </w:rPr>
            </w:pPr>
            <w:r>
              <w:t>CHDE</w:t>
            </w:r>
          </w:p>
        </w:tc>
        <w:tc>
          <w:tcPr>
            <w:tcW w:w="3908" w:type="pct"/>
          </w:tcPr>
          <w:p w14:paraId="4CA2D203" w14:textId="77777777" w:rsidR="00A81C4F" w:rsidRPr="00023C36"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t>Department of Communities, Housing and Digital Economy</w:t>
            </w:r>
          </w:p>
        </w:tc>
      </w:tr>
      <w:tr w:rsidR="00A81C4F" w:rsidRPr="00023C36" w14:paraId="08B0BC65"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77F45135" w14:textId="77777777" w:rsidR="00A81C4F" w:rsidRPr="00023C36" w:rsidRDefault="00A81C4F" w:rsidP="00A87A36">
            <w:pPr>
              <w:pStyle w:val="Normal-table"/>
              <w:rPr>
                <w:lang w:val="en-AU"/>
              </w:rPr>
            </w:pPr>
            <w:r w:rsidRPr="00023C36">
              <w:rPr>
                <w:lang w:val="en-AU"/>
              </w:rPr>
              <w:t>CIO</w:t>
            </w:r>
          </w:p>
        </w:tc>
        <w:tc>
          <w:tcPr>
            <w:tcW w:w="3908" w:type="pct"/>
          </w:tcPr>
          <w:p w14:paraId="72DC4E32" w14:textId="77777777" w:rsidR="00A81C4F" w:rsidRPr="00023C36"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rsidRPr="00023C36">
              <w:rPr>
                <w:lang w:val="en-AU"/>
              </w:rPr>
              <w:t>Chief Information Officer</w:t>
            </w:r>
          </w:p>
        </w:tc>
      </w:tr>
      <w:tr w:rsidR="00A81C4F" w:rsidRPr="00023C36" w14:paraId="67E6FA97"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7F381547" w14:textId="77777777" w:rsidR="00A81C4F" w:rsidRPr="00023C36" w:rsidRDefault="00A81C4F" w:rsidP="00A87A36">
            <w:pPr>
              <w:pStyle w:val="Normal-table"/>
              <w:rPr>
                <w:lang w:val="en-AU"/>
              </w:rPr>
            </w:pPr>
            <w:r w:rsidRPr="00023C36">
              <w:rPr>
                <w:lang w:val="en-AU"/>
              </w:rPr>
              <w:t>COO</w:t>
            </w:r>
          </w:p>
        </w:tc>
        <w:tc>
          <w:tcPr>
            <w:tcW w:w="3908" w:type="pct"/>
          </w:tcPr>
          <w:p w14:paraId="2595338A" w14:textId="77777777" w:rsidR="00A81C4F" w:rsidRPr="00023C36"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rsidRPr="00023C36">
              <w:rPr>
                <w:lang w:val="en-AU"/>
              </w:rPr>
              <w:t>Chief Operations Officer</w:t>
            </w:r>
          </w:p>
        </w:tc>
      </w:tr>
      <w:tr w:rsidR="00A81C4F" w:rsidRPr="00023C36" w14:paraId="6388D74F"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23285B4F" w14:textId="77777777" w:rsidR="00A81C4F" w:rsidRPr="00023C36" w:rsidRDefault="00A81C4F" w:rsidP="00A87A36">
            <w:pPr>
              <w:pStyle w:val="Normal-table"/>
              <w:rPr>
                <w:lang w:val="en-AU"/>
              </w:rPr>
            </w:pPr>
            <w:r>
              <w:t>CORS</w:t>
            </w:r>
          </w:p>
        </w:tc>
        <w:tc>
          <w:tcPr>
            <w:tcW w:w="3908" w:type="pct"/>
          </w:tcPr>
          <w:p w14:paraId="5E43A11E" w14:textId="77777777" w:rsidR="00A81C4F" w:rsidRPr="00023C36"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t>Continually Operating Reference Station</w:t>
            </w:r>
          </w:p>
        </w:tc>
      </w:tr>
      <w:tr w:rsidR="00A81C4F" w:rsidRPr="00023C36" w14:paraId="7ADEA48C"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13B8E29F" w14:textId="77777777" w:rsidR="00A81C4F" w:rsidRPr="00023C36" w:rsidRDefault="00A81C4F" w:rsidP="00A87A36">
            <w:pPr>
              <w:pStyle w:val="Normal-table"/>
              <w:rPr>
                <w:lang w:val="en-AU"/>
              </w:rPr>
            </w:pPr>
            <w:r w:rsidRPr="00023C36">
              <w:rPr>
                <w:lang w:val="en-AU"/>
              </w:rPr>
              <w:t>CPCO</w:t>
            </w:r>
          </w:p>
        </w:tc>
        <w:tc>
          <w:tcPr>
            <w:tcW w:w="3908" w:type="pct"/>
          </w:tcPr>
          <w:p w14:paraId="36DA96F9" w14:textId="77777777" w:rsidR="00A81C4F" w:rsidRPr="00023C36"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rsidRPr="00023C36">
              <w:rPr>
                <w:lang w:val="en-AU"/>
              </w:rPr>
              <w:t>Chief People and Culture Officer</w:t>
            </w:r>
          </w:p>
        </w:tc>
      </w:tr>
      <w:tr w:rsidR="00A81C4F" w:rsidRPr="00023C36" w14:paraId="51BE3AF2"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4A5B83BF" w14:textId="77777777" w:rsidR="00A81C4F" w:rsidRPr="00023C36" w:rsidRDefault="00A81C4F" w:rsidP="00A87A36">
            <w:pPr>
              <w:pStyle w:val="Normal-table"/>
              <w:rPr>
                <w:lang w:val="en-AU"/>
              </w:rPr>
            </w:pPr>
            <w:r>
              <w:t>CRN</w:t>
            </w:r>
          </w:p>
        </w:tc>
        <w:tc>
          <w:tcPr>
            <w:tcW w:w="3908" w:type="pct"/>
          </w:tcPr>
          <w:p w14:paraId="33DA1E03" w14:textId="77777777" w:rsidR="00A81C4F" w:rsidRPr="00023C36"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t>Customer reference number</w:t>
            </w:r>
          </w:p>
        </w:tc>
      </w:tr>
      <w:tr w:rsidR="00A81C4F" w:rsidRPr="00023C36" w14:paraId="09BDAFF3"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09E8384C" w14:textId="77777777" w:rsidR="00A81C4F" w:rsidRPr="00023C36" w:rsidRDefault="00A81C4F" w:rsidP="00A87A36">
            <w:pPr>
              <w:pStyle w:val="Normal-table"/>
              <w:rPr>
                <w:lang w:val="en-AU"/>
              </w:rPr>
            </w:pPr>
            <w:r>
              <w:t>CRSG</w:t>
            </w:r>
          </w:p>
        </w:tc>
        <w:tc>
          <w:tcPr>
            <w:tcW w:w="3908" w:type="pct"/>
          </w:tcPr>
          <w:p w14:paraId="2CC4820B" w14:textId="77777777" w:rsidR="00A81C4F" w:rsidRPr="00023C36"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t>Community Road Safety Grants</w:t>
            </w:r>
          </w:p>
        </w:tc>
      </w:tr>
      <w:tr w:rsidR="00A81C4F" w:rsidRPr="00023C36" w14:paraId="4019B204"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4D13A97C" w14:textId="77777777" w:rsidR="00A81C4F" w:rsidRDefault="00A81C4F" w:rsidP="00A87A36">
            <w:pPr>
              <w:pStyle w:val="Normal-table"/>
            </w:pPr>
            <w:r>
              <w:lastRenderedPageBreak/>
              <w:t>CSC</w:t>
            </w:r>
          </w:p>
        </w:tc>
        <w:tc>
          <w:tcPr>
            <w:tcW w:w="3908" w:type="pct"/>
          </w:tcPr>
          <w:p w14:paraId="0659DA55" w14:textId="77777777" w:rsidR="00A81C4F"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t>Customer Service Centre</w:t>
            </w:r>
          </w:p>
        </w:tc>
      </w:tr>
      <w:tr w:rsidR="00A81C4F" w:rsidRPr="00023C36" w14:paraId="63D2F9C1"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34CF13B4" w14:textId="77777777" w:rsidR="00A81C4F" w:rsidRPr="00023C36" w:rsidRDefault="00A81C4F" w:rsidP="00A87A36">
            <w:pPr>
              <w:pStyle w:val="Normal-table"/>
              <w:rPr>
                <w:lang w:val="en-AU"/>
              </w:rPr>
            </w:pPr>
            <w:r>
              <w:t>CSU</w:t>
            </w:r>
          </w:p>
        </w:tc>
        <w:tc>
          <w:tcPr>
            <w:tcW w:w="3908" w:type="pct"/>
          </w:tcPr>
          <w:p w14:paraId="0733A87A" w14:textId="77777777" w:rsidR="00A81C4F" w:rsidRPr="00023C36"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t>Cyber Security Unit</w:t>
            </w:r>
          </w:p>
        </w:tc>
      </w:tr>
      <w:tr w:rsidR="00A81C4F" w:rsidRPr="00023C36" w14:paraId="1B75B36B"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2FC44C1D" w14:textId="77777777" w:rsidR="00A81C4F" w:rsidRPr="00023C36" w:rsidRDefault="00A81C4F" w:rsidP="00A87A36">
            <w:pPr>
              <w:pStyle w:val="Normal-table"/>
              <w:rPr>
                <w:lang w:val="en-AU"/>
              </w:rPr>
            </w:pPr>
            <w:r w:rsidRPr="00023C36">
              <w:rPr>
                <w:lang w:val="en-AU"/>
              </w:rPr>
              <w:t>Cth</w:t>
            </w:r>
          </w:p>
        </w:tc>
        <w:tc>
          <w:tcPr>
            <w:tcW w:w="3908" w:type="pct"/>
          </w:tcPr>
          <w:p w14:paraId="18A8B6B3" w14:textId="77777777" w:rsidR="00A81C4F" w:rsidRPr="00023C36"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rsidRPr="00023C36">
              <w:rPr>
                <w:lang w:val="en-AU"/>
              </w:rPr>
              <w:t>Commonwealth</w:t>
            </w:r>
          </w:p>
        </w:tc>
      </w:tr>
      <w:tr w:rsidR="00A81C4F" w:rsidRPr="00023C36" w14:paraId="7AA39278"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0D70C0CD" w14:textId="77777777" w:rsidR="00A81C4F" w:rsidRPr="00023C36" w:rsidRDefault="00A81C4F" w:rsidP="00A87A36">
            <w:pPr>
              <w:pStyle w:val="Normal-table"/>
              <w:rPr>
                <w:lang w:val="en-AU"/>
              </w:rPr>
            </w:pPr>
            <w:r>
              <w:t>DCX</w:t>
            </w:r>
          </w:p>
        </w:tc>
        <w:tc>
          <w:tcPr>
            <w:tcW w:w="3908" w:type="pct"/>
          </w:tcPr>
          <w:p w14:paraId="39A14367" w14:textId="77777777" w:rsidR="00A81C4F" w:rsidRPr="00023C36"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t>Digital Capability Explorer</w:t>
            </w:r>
          </w:p>
        </w:tc>
      </w:tr>
      <w:tr w:rsidR="00A81C4F" w:rsidRPr="00023C36" w14:paraId="60250765"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7036ED71" w14:textId="77777777" w:rsidR="00A81C4F" w:rsidRPr="00023C36" w:rsidRDefault="00A81C4F" w:rsidP="00A87A36">
            <w:pPr>
              <w:pStyle w:val="Normal-table"/>
              <w:rPr>
                <w:lang w:val="en-AU"/>
              </w:rPr>
            </w:pPr>
            <w:r w:rsidRPr="00023C36">
              <w:rPr>
                <w:lang w:val="en-AU"/>
              </w:rPr>
              <w:t>DDG</w:t>
            </w:r>
          </w:p>
        </w:tc>
        <w:tc>
          <w:tcPr>
            <w:tcW w:w="3908" w:type="pct"/>
          </w:tcPr>
          <w:p w14:paraId="063FFEF7" w14:textId="77777777" w:rsidR="00A81C4F" w:rsidRPr="00023C36"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rsidRPr="00023C36">
              <w:rPr>
                <w:lang w:val="en-AU"/>
              </w:rPr>
              <w:t>Deputy Director-General</w:t>
            </w:r>
          </w:p>
        </w:tc>
      </w:tr>
      <w:tr w:rsidR="00A81C4F" w:rsidRPr="00023C36" w14:paraId="0BF13137"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07999A57" w14:textId="77777777" w:rsidR="00A81C4F" w:rsidRPr="00023C36" w:rsidRDefault="00A81C4F" w:rsidP="00A87A36">
            <w:pPr>
              <w:pStyle w:val="Normal-table"/>
              <w:rPr>
                <w:lang w:val="en-AU"/>
              </w:rPr>
            </w:pPr>
            <w:r w:rsidRPr="00023C36">
              <w:rPr>
                <w:lang w:val="en-AU"/>
              </w:rPr>
              <w:t>DFV</w:t>
            </w:r>
          </w:p>
        </w:tc>
        <w:tc>
          <w:tcPr>
            <w:tcW w:w="3908" w:type="pct"/>
          </w:tcPr>
          <w:p w14:paraId="2AC2BD9E" w14:textId="77777777" w:rsidR="00A81C4F" w:rsidRPr="00023C36"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rsidRPr="00023C36">
              <w:rPr>
                <w:lang w:val="en-AU"/>
              </w:rPr>
              <w:t>Domestic and Family Violence</w:t>
            </w:r>
          </w:p>
        </w:tc>
      </w:tr>
      <w:tr w:rsidR="00A81C4F" w:rsidRPr="00023C36" w14:paraId="48B9E76D"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3EF9C427" w14:textId="77777777" w:rsidR="00A81C4F" w:rsidRPr="00023C36" w:rsidRDefault="00A81C4F" w:rsidP="00A87A36">
            <w:pPr>
              <w:pStyle w:val="Normal-table"/>
              <w:rPr>
                <w:lang w:val="en-AU"/>
              </w:rPr>
            </w:pPr>
            <w:r w:rsidRPr="00023C36">
              <w:rPr>
                <w:lang w:val="en-AU"/>
              </w:rPr>
              <w:t xml:space="preserve">DG </w:t>
            </w:r>
          </w:p>
        </w:tc>
        <w:tc>
          <w:tcPr>
            <w:tcW w:w="3908" w:type="pct"/>
          </w:tcPr>
          <w:p w14:paraId="0EE6D65A" w14:textId="77777777" w:rsidR="00A81C4F" w:rsidRPr="00023C36"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rsidRPr="00023C36">
              <w:rPr>
                <w:lang w:val="en-AU"/>
              </w:rPr>
              <w:t>Director-General</w:t>
            </w:r>
          </w:p>
        </w:tc>
      </w:tr>
      <w:tr w:rsidR="00A81C4F" w:rsidRPr="00023C36" w14:paraId="39511036"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1EF02B4C" w14:textId="77777777" w:rsidR="00A81C4F" w:rsidRPr="00023C36" w:rsidRDefault="00A81C4F" w:rsidP="00A87A36">
            <w:pPr>
              <w:pStyle w:val="Normal-table"/>
              <w:rPr>
                <w:lang w:val="en-AU"/>
              </w:rPr>
            </w:pPr>
            <w:r w:rsidRPr="00023C36">
              <w:rPr>
                <w:lang w:val="en-AU"/>
              </w:rPr>
              <w:t>ED</w:t>
            </w:r>
          </w:p>
        </w:tc>
        <w:tc>
          <w:tcPr>
            <w:tcW w:w="3908" w:type="pct"/>
          </w:tcPr>
          <w:p w14:paraId="7EB9CF42" w14:textId="77777777" w:rsidR="00A81C4F" w:rsidRPr="00023C36"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rsidRPr="00023C36">
              <w:rPr>
                <w:lang w:val="en-AU"/>
              </w:rPr>
              <w:t>Executive Director</w:t>
            </w:r>
          </w:p>
        </w:tc>
      </w:tr>
      <w:tr w:rsidR="00A81C4F" w:rsidRPr="00023C36" w14:paraId="3B9C5093"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75E7BD8F" w14:textId="77777777" w:rsidR="00A81C4F" w:rsidRPr="00023C36" w:rsidRDefault="00A81C4F" w:rsidP="00A87A36">
            <w:pPr>
              <w:pStyle w:val="Normal-table"/>
              <w:rPr>
                <w:lang w:val="en-AU"/>
              </w:rPr>
            </w:pPr>
            <w:r>
              <w:t>EEO</w:t>
            </w:r>
          </w:p>
        </w:tc>
        <w:tc>
          <w:tcPr>
            <w:tcW w:w="3908" w:type="pct"/>
          </w:tcPr>
          <w:p w14:paraId="565FFDE6" w14:textId="77777777" w:rsidR="00A81C4F" w:rsidRPr="00023C36"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t>Equal employment opportunities</w:t>
            </w:r>
          </w:p>
        </w:tc>
      </w:tr>
      <w:tr w:rsidR="00A81C4F" w:rsidRPr="00023C36" w14:paraId="3B5503AB"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76CBE014" w14:textId="77777777" w:rsidR="00A81C4F" w:rsidRPr="00023C36" w:rsidRDefault="00A81C4F" w:rsidP="00A87A36">
            <w:pPr>
              <w:pStyle w:val="Normal-table"/>
              <w:rPr>
                <w:lang w:val="en-AU"/>
              </w:rPr>
            </w:pPr>
            <w:r w:rsidRPr="00023C36">
              <w:rPr>
                <w:lang w:val="en-AU"/>
              </w:rPr>
              <w:t>EGM</w:t>
            </w:r>
          </w:p>
        </w:tc>
        <w:tc>
          <w:tcPr>
            <w:tcW w:w="3908" w:type="pct"/>
          </w:tcPr>
          <w:p w14:paraId="066066D1" w14:textId="77777777" w:rsidR="00A81C4F" w:rsidRPr="00023C36"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rsidRPr="00023C36">
              <w:rPr>
                <w:lang w:val="en-AU"/>
              </w:rPr>
              <w:t>Exectuive General Manager</w:t>
            </w:r>
          </w:p>
        </w:tc>
      </w:tr>
      <w:tr w:rsidR="00A81C4F" w:rsidRPr="00023C36" w14:paraId="134A4A09"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477A8340" w14:textId="77777777" w:rsidR="00A81C4F" w:rsidRPr="00023C36" w:rsidRDefault="00A81C4F" w:rsidP="00A87A36">
            <w:pPr>
              <w:pStyle w:val="Normal-table"/>
              <w:rPr>
                <w:lang w:val="en-AU"/>
              </w:rPr>
            </w:pPr>
            <w:r w:rsidRPr="00023C36">
              <w:rPr>
                <w:lang w:val="en-AU"/>
              </w:rPr>
              <w:t xml:space="preserve">ELT </w:t>
            </w:r>
          </w:p>
        </w:tc>
        <w:tc>
          <w:tcPr>
            <w:tcW w:w="3908" w:type="pct"/>
          </w:tcPr>
          <w:p w14:paraId="4209F6B5" w14:textId="77777777" w:rsidR="00A81C4F" w:rsidRPr="00023C36"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rsidRPr="00023C36">
              <w:rPr>
                <w:lang w:val="en-AU"/>
              </w:rPr>
              <w:t>Executive Leadership Team</w:t>
            </w:r>
          </w:p>
        </w:tc>
      </w:tr>
      <w:tr w:rsidR="00A81C4F" w:rsidRPr="00023C36" w14:paraId="4862FCDE"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2406EB4D" w14:textId="77777777" w:rsidR="00A81C4F" w:rsidRPr="00023C36" w:rsidRDefault="00A81C4F" w:rsidP="00A87A36">
            <w:pPr>
              <w:pStyle w:val="Normal-table"/>
              <w:rPr>
                <w:lang w:val="en-AU"/>
              </w:rPr>
            </w:pPr>
            <w:r w:rsidRPr="00023C36">
              <w:rPr>
                <w:lang w:val="en-AU"/>
              </w:rPr>
              <w:t>EMPA</w:t>
            </w:r>
          </w:p>
        </w:tc>
        <w:tc>
          <w:tcPr>
            <w:tcW w:w="3908" w:type="pct"/>
          </w:tcPr>
          <w:p w14:paraId="387DAD02" w14:textId="77777777" w:rsidR="00A81C4F" w:rsidRPr="00023C36"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rsidRPr="00023C36">
              <w:rPr>
                <w:lang w:val="en-AU"/>
              </w:rPr>
              <w:t xml:space="preserve">Executive Master of Public Administration </w:t>
            </w:r>
          </w:p>
        </w:tc>
      </w:tr>
      <w:tr w:rsidR="00A81C4F" w:rsidRPr="00023C36" w14:paraId="118D3A23"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188BB402" w14:textId="77777777" w:rsidR="00A81C4F" w:rsidRPr="00023C36" w:rsidRDefault="00A81C4F" w:rsidP="00A87A36">
            <w:pPr>
              <w:pStyle w:val="Normal-table"/>
              <w:rPr>
                <w:lang w:val="en-AU"/>
              </w:rPr>
            </w:pPr>
            <w:r>
              <w:t>EPD</w:t>
            </w:r>
          </w:p>
        </w:tc>
        <w:tc>
          <w:tcPr>
            <w:tcW w:w="3908" w:type="pct"/>
          </w:tcPr>
          <w:p w14:paraId="42855EA8" w14:textId="77777777" w:rsidR="00A81C4F" w:rsidRPr="00023C36"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t>Executive Program Director</w:t>
            </w:r>
          </w:p>
        </w:tc>
      </w:tr>
      <w:tr w:rsidR="00A81C4F" w:rsidRPr="00023C36" w14:paraId="308DC7FF"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71FC01CA" w14:textId="77777777" w:rsidR="00A81C4F" w:rsidRPr="00023C36" w:rsidRDefault="00A81C4F" w:rsidP="00A87A36">
            <w:pPr>
              <w:pStyle w:val="Normal-table"/>
              <w:rPr>
                <w:lang w:val="en-AU"/>
              </w:rPr>
            </w:pPr>
            <w:r w:rsidRPr="00023C36">
              <w:rPr>
                <w:lang w:val="en-AU"/>
              </w:rPr>
              <w:t>ETCS</w:t>
            </w:r>
          </w:p>
        </w:tc>
        <w:tc>
          <w:tcPr>
            <w:tcW w:w="3908" w:type="pct"/>
          </w:tcPr>
          <w:p w14:paraId="6BDDA19C" w14:textId="77777777" w:rsidR="00A81C4F" w:rsidRPr="00023C36"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rsidRPr="00023C36">
              <w:rPr>
                <w:lang w:val="en-AU"/>
              </w:rPr>
              <w:t xml:space="preserve">European Train Control System </w:t>
            </w:r>
          </w:p>
        </w:tc>
      </w:tr>
      <w:tr w:rsidR="00A81C4F" w:rsidRPr="00023C36" w14:paraId="29247FA9"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4A3E51E2" w14:textId="77777777" w:rsidR="00A81C4F" w:rsidRPr="00023C36" w:rsidRDefault="00A81C4F" w:rsidP="00A87A36">
            <w:pPr>
              <w:pStyle w:val="Normal-table"/>
              <w:rPr>
                <w:lang w:val="en-AU"/>
              </w:rPr>
            </w:pPr>
            <w:r>
              <w:t>EV</w:t>
            </w:r>
          </w:p>
        </w:tc>
        <w:tc>
          <w:tcPr>
            <w:tcW w:w="3908" w:type="pct"/>
          </w:tcPr>
          <w:p w14:paraId="53D8398C" w14:textId="77777777" w:rsidR="00A81C4F" w:rsidRPr="00023C36"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t>Electric vehicle</w:t>
            </w:r>
          </w:p>
        </w:tc>
      </w:tr>
      <w:tr w:rsidR="00A81C4F" w:rsidRPr="00023C36" w14:paraId="580EC900"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78423B07" w14:textId="77777777" w:rsidR="00A81C4F" w:rsidRPr="00023C36" w:rsidRDefault="00A81C4F" w:rsidP="00A87A36">
            <w:pPr>
              <w:pStyle w:val="Normal-table"/>
              <w:rPr>
                <w:lang w:val="en-AU"/>
              </w:rPr>
            </w:pPr>
            <w:r w:rsidRPr="00023C36">
              <w:rPr>
                <w:lang w:val="en-AU"/>
              </w:rPr>
              <w:t xml:space="preserve">FTE </w:t>
            </w:r>
          </w:p>
        </w:tc>
        <w:tc>
          <w:tcPr>
            <w:tcW w:w="3908" w:type="pct"/>
          </w:tcPr>
          <w:p w14:paraId="1FDF6412" w14:textId="77777777" w:rsidR="00A81C4F" w:rsidRPr="00023C36"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rsidRPr="00023C36">
              <w:rPr>
                <w:lang w:val="en-AU"/>
              </w:rPr>
              <w:t>Full-time equivalent</w:t>
            </w:r>
          </w:p>
        </w:tc>
      </w:tr>
      <w:tr w:rsidR="00A81C4F" w:rsidRPr="00023C36" w14:paraId="24B4A63C"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4A41E342" w14:textId="77777777" w:rsidR="00A81C4F" w:rsidRPr="00023C36" w:rsidRDefault="00A81C4F" w:rsidP="00A87A36">
            <w:pPr>
              <w:pStyle w:val="Normal-table"/>
              <w:rPr>
                <w:lang w:val="en-AU"/>
              </w:rPr>
            </w:pPr>
            <w:r w:rsidRPr="00023C36">
              <w:rPr>
                <w:lang w:val="en-AU"/>
              </w:rPr>
              <w:t>GM</w:t>
            </w:r>
          </w:p>
        </w:tc>
        <w:tc>
          <w:tcPr>
            <w:tcW w:w="3908" w:type="pct"/>
          </w:tcPr>
          <w:p w14:paraId="5CB84825" w14:textId="77777777" w:rsidR="00A81C4F" w:rsidRPr="00023C36"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rsidRPr="00023C36">
              <w:rPr>
                <w:lang w:val="en-AU"/>
              </w:rPr>
              <w:t>General Manager</w:t>
            </w:r>
          </w:p>
        </w:tc>
      </w:tr>
      <w:tr w:rsidR="00A81C4F" w:rsidRPr="00023C36" w14:paraId="38B09187"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415A09C3" w14:textId="77777777" w:rsidR="00A81C4F" w:rsidRPr="00023C36" w:rsidRDefault="00A81C4F" w:rsidP="00A87A36">
            <w:pPr>
              <w:pStyle w:val="Normal-table"/>
              <w:rPr>
                <w:lang w:val="en-AU"/>
              </w:rPr>
            </w:pPr>
            <w:r w:rsidRPr="00023C36">
              <w:rPr>
                <w:lang w:val="en-AU"/>
              </w:rPr>
              <w:t xml:space="preserve">GOC </w:t>
            </w:r>
          </w:p>
        </w:tc>
        <w:tc>
          <w:tcPr>
            <w:tcW w:w="3908" w:type="pct"/>
          </w:tcPr>
          <w:p w14:paraId="36355FFF" w14:textId="77777777" w:rsidR="00A81C4F" w:rsidRPr="00023C36"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rsidRPr="00023C36">
              <w:rPr>
                <w:lang w:val="en-AU"/>
              </w:rPr>
              <w:t>Government owned corporations</w:t>
            </w:r>
          </w:p>
        </w:tc>
      </w:tr>
      <w:tr w:rsidR="00A81C4F" w:rsidRPr="00023C36" w14:paraId="54A547B6"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68CBC45A" w14:textId="77777777" w:rsidR="00A81C4F" w:rsidRPr="00023C36" w:rsidRDefault="00A81C4F" w:rsidP="00A87A36">
            <w:pPr>
              <w:pStyle w:val="Normal-table"/>
              <w:rPr>
                <w:lang w:val="en-AU"/>
              </w:rPr>
            </w:pPr>
            <w:r w:rsidRPr="00023C36">
              <w:rPr>
                <w:lang w:val="en-AU"/>
              </w:rPr>
              <w:t>GPC</w:t>
            </w:r>
          </w:p>
        </w:tc>
        <w:tc>
          <w:tcPr>
            <w:tcW w:w="3908" w:type="pct"/>
          </w:tcPr>
          <w:p w14:paraId="6C38A881" w14:textId="77777777" w:rsidR="00A81C4F" w:rsidRPr="00023C36"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rsidRPr="00023C36">
              <w:rPr>
                <w:lang w:val="en-AU"/>
              </w:rPr>
              <w:t>Gladstone Ports Corporation</w:t>
            </w:r>
          </w:p>
        </w:tc>
      </w:tr>
      <w:tr w:rsidR="00A81C4F" w:rsidRPr="00023C36" w14:paraId="5FB7DEEC"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63BCEBDA" w14:textId="77777777" w:rsidR="00A81C4F" w:rsidRPr="00023C36" w:rsidRDefault="00A81C4F" w:rsidP="00A87A36">
            <w:pPr>
              <w:pStyle w:val="Normal-table"/>
              <w:rPr>
                <w:lang w:val="en-AU"/>
              </w:rPr>
            </w:pPr>
            <w:r>
              <w:t>GSM-R</w:t>
            </w:r>
          </w:p>
        </w:tc>
        <w:tc>
          <w:tcPr>
            <w:tcW w:w="3908" w:type="pct"/>
          </w:tcPr>
          <w:p w14:paraId="61B1091F" w14:textId="77777777" w:rsidR="00A81C4F" w:rsidRPr="00023C36"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t>Global System for Mobile Communications—Railway</w:t>
            </w:r>
          </w:p>
        </w:tc>
      </w:tr>
      <w:tr w:rsidR="00A81C4F" w:rsidRPr="00023C36" w14:paraId="3C1E88B3"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2BEFFCD2" w14:textId="77777777" w:rsidR="00A81C4F" w:rsidRPr="00023C36" w:rsidRDefault="00A81C4F" w:rsidP="00A87A36">
            <w:pPr>
              <w:pStyle w:val="Normal-table"/>
              <w:rPr>
                <w:lang w:val="en-AU"/>
              </w:rPr>
            </w:pPr>
            <w:r w:rsidRPr="00023C36">
              <w:rPr>
                <w:lang w:val="en-AU"/>
              </w:rPr>
              <w:t>GST</w:t>
            </w:r>
          </w:p>
        </w:tc>
        <w:tc>
          <w:tcPr>
            <w:tcW w:w="3908" w:type="pct"/>
          </w:tcPr>
          <w:p w14:paraId="30C2CC26" w14:textId="77777777" w:rsidR="00A81C4F" w:rsidRPr="00023C36"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rsidRPr="00023C36">
              <w:rPr>
                <w:lang w:val="en-AU"/>
              </w:rPr>
              <w:t>Goods and services tax</w:t>
            </w:r>
          </w:p>
        </w:tc>
      </w:tr>
      <w:tr w:rsidR="00A81C4F" w:rsidRPr="00023C36" w14:paraId="0CA10615"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7A6F0C06" w14:textId="77777777" w:rsidR="00A81C4F" w:rsidRPr="00023C36" w:rsidRDefault="00A81C4F" w:rsidP="00A87A36">
            <w:pPr>
              <w:pStyle w:val="Normal-table"/>
              <w:rPr>
                <w:lang w:val="en-AU"/>
              </w:rPr>
            </w:pPr>
            <w:r w:rsidRPr="00023C36">
              <w:rPr>
                <w:lang w:val="en-AU"/>
              </w:rPr>
              <w:t xml:space="preserve">HR </w:t>
            </w:r>
          </w:p>
        </w:tc>
        <w:tc>
          <w:tcPr>
            <w:tcW w:w="3908" w:type="pct"/>
          </w:tcPr>
          <w:p w14:paraId="112D2995" w14:textId="77777777" w:rsidR="00A81C4F" w:rsidRPr="00023C36"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rsidRPr="00023C36">
              <w:rPr>
                <w:lang w:val="en-AU"/>
              </w:rPr>
              <w:t>Human Resources</w:t>
            </w:r>
          </w:p>
        </w:tc>
      </w:tr>
      <w:tr w:rsidR="00A81C4F" w:rsidRPr="00023C36" w14:paraId="77467791"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18731C03" w14:textId="77777777" w:rsidR="00A81C4F" w:rsidRPr="00023C36" w:rsidRDefault="00A81C4F" w:rsidP="00A87A36">
            <w:pPr>
              <w:pStyle w:val="Normal-table"/>
              <w:rPr>
                <w:lang w:val="en-AU"/>
              </w:rPr>
            </w:pPr>
            <w:r>
              <w:t>HRIDC</w:t>
            </w:r>
          </w:p>
        </w:tc>
        <w:tc>
          <w:tcPr>
            <w:tcW w:w="3908" w:type="pct"/>
          </w:tcPr>
          <w:p w14:paraId="13066467" w14:textId="77777777" w:rsidR="00A81C4F" w:rsidRPr="00023C36"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t>Human Rights Interdepartmental Committee</w:t>
            </w:r>
          </w:p>
        </w:tc>
      </w:tr>
      <w:tr w:rsidR="00A81C4F" w:rsidRPr="00023C36" w14:paraId="0FE127C6"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6565DFB3" w14:textId="77777777" w:rsidR="00A81C4F" w:rsidRPr="00023C36" w:rsidRDefault="00A81C4F" w:rsidP="00A87A36">
            <w:pPr>
              <w:pStyle w:val="Normal-table"/>
              <w:rPr>
                <w:lang w:val="en-AU"/>
              </w:rPr>
            </w:pPr>
            <w:r>
              <w:t>IAP</w:t>
            </w:r>
          </w:p>
        </w:tc>
        <w:tc>
          <w:tcPr>
            <w:tcW w:w="3908" w:type="pct"/>
          </w:tcPr>
          <w:p w14:paraId="1043B0C5" w14:textId="77777777" w:rsidR="00A81C4F" w:rsidRPr="00023C36"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t>Intelligent Access Program</w:t>
            </w:r>
          </w:p>
        </w:tc>
      </w:tr>
      <w:tr w:rsidR="00A81C4F" w:rsidRPr="00023C36" w14:paraId="2DA34D5F"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4BBF7EDE" w14:textId="77777777" w:rsidR="00A81C4F" w:rsidRDefault="00A81C4F" w:rsidP="00A87A36">
            <w:pPr>
              <w:pStyle w:val="Normal-table"/>
            </w:pPr>
            <w:r>
              <w:t>IB</w:t>
            </w:r>
          </w:p>
        </w:tc>
        <w:tc>
          <w:tcPr>
            <w:tcW w:w="3908" w:type="pct"/>
          </w:tcPr>
          <w:p w14:paraId="0C72DD5F" w14:textId="77777777" w:rsidR="00A81C4F"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t>Information Brokerage</w:t>
            </w:r>
          </w:p>
        </w:tc>
      </w:tr>
      <w:tr w:rsidR="00A81C4F" w:rsidRPr="00023C36" w14:paraId="147F37C6"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6CDBF067" w14:textId="77777777" w:rsidR="00A81C4F" w:rsidRPr="00023C36" w:rsidRDefault="00A81C4F" w:rsidP="00A87A36">
            <w:pPr>
              <w:pStyle w:val="Normal-table"/>
              <w:rPr>
                <w:lang w:val="en-AU"/>
              </w:rPr>
            </w:pPr>
            <w:r w:rsidRPr="00023C36">
              <w:rPr>
                <w:lang w:val="en-AU"/>
              </w:rPr>
              <w:t>ICSS</w:t>
            </w:r>
          </w:p>
        </w:tc>
        <w:tc>
          <w:tcPr>
            <w:tcW w:w="3908" w:type="pct"/>
          </w:tcPr>
          <w:p w14:paraId="4CA296C7" w14:textId="77777777" w:rsidR="00A81C4F" w:rsidRPr="00023C36"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rsidRPr="00023C36">
              <w:rPr>
                <w:lang w:val="en-AU"/>
              </w:rPr>
              <w:t>International Customer Service Standard 2020-2025</w:t>
            </w:r>
          </w:p>
        </w:tc>
      </w:tr>
      <w:tr w:rsidR="00A81C4F" w:rsidRPr="00023C36" w14:paraId="3FDAA33E"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6F8B547C" w14:textId="77777777" w:rsidR="00A81C4F" w:rsidRPr="00023C36" w:rsidRDefault="00A81C4F" w:rsidP="00A87A36">
            <w:pPr>
              <w:pStyle w:val="Normal-table"/>
              <w:rPr>
                <w:lang w:val="en-AU"/>
              </w:rPr>
            </w:pPr>
            <w:r w:rsidRPr="00023C36">
              <w:rPr>
                <w:lang w:val="en-AU"/>
              </w:rPr>
              <w:t>ICT</w:t>
            </w:r>
          </w:p>
        </w:tc>
        <w:tc>
          <w:tcPr>
            <w:tcW w:w="3908" w:type="pct"/>
          </w:tcPr>
          <w:p w14:paraId="4F3503AB" w14:textId="77777777" w:rsidR="00A81C4F" w:rsidRPr="00023C36"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rsidRPr="00023C36">
              <w:rPr>
                <w:lang w:val="en-AU"/>
              </w:rPr>
              <w:t>Information and Communication Technology</w:t>
            </w:r>
          </w:p>
        </w:tc>
      </w:tr>
      <w:tr w:rsidR="00A81C4F" w:rsidRPr="00023C36" w14:paraId="7E30B1E0"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41B55F7C" w14:textId="77777777" w:rsidR="00A81C4F" w:rsidRPr="00023C36" w:rsidRDefault="00A81C4F" w:rsidP="00A87A36">
            <w:pPr>
              <w:pStyle w:val="Normal-table"/>
              <w:rPr>
                <w:lang w:val="en-AU"/>
              </w:rPr>
            </w:pPr>
            <w:r w:rsidRPr="00023C36">
              <w:rPr>
                <w:lang w:val="en-AU"/>
              </w:rPr>
              <w:t>IEN</w:t>
            </w:r>
          </w:p>
        </w:tc>
        <w:tc>
          <w:tcPr>
            <w:tcW w:w="3908" w:type="pct"/>
          </w:tcPr>
          <w:p w14:paraId="661CE958" w14:textId="77777777" w:rsidR="00A81C4F" w:rsidRPr="00023C36"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rsidRPr="00023C36">
              <w:rPr>
                <w:lang w:val="en-AU"/>
              </w:rPr>
              <w:t>Indigenous Employee Network</w:t>
            </w:r>
          </w:p>
        </w:tc>
      </w:tr>
      <w:tr w:rsidR="00A81C4F" w:rsidRPr="00023C36" w14:paraId="258B15D4"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2D24E792" w14:textId="77777777" w:rsidR="00A81C4F" w:rsidRPr="00023C36" w:rsidRDefault="00A81C4F" w:rsidP="00A87A36">
            <w:pPr>
              <w:pStyle w:val="Normal-table"/>
              <w:rPr>
                <w:lang w:val="en-AU"/>
              </w:rPr>
            </w:pPr>
            <w:r>
              <w:lastRenderedPageBreak/>
              <w:t>IM</w:t>
            </w:r>
          </w:p>
        </w:tc>
        <w:tc>
          <w:tcPr>
            <w:tcW w:w="3908" w:type="pct"/>
          </w:tcPr>
          <w:p w14:paraId="7BD495FD" w14:textId="77777777" w:rsidR="00A81C4F" w:rsidRPr="00023C36"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t>Information Management</w:t>
            </w:r>
          </w:p>
        </w:tc>
      </w:tr>
      <w:tr w:rsidR="00A81C4F" w:rsidRPr="00023C36" w14:paraId="6BA7BBF1"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63D136DD" w14:textId="77777777" w:rsidR="00A81C4F" w:rsidRPr="00023C36" w:rsidRDefault="00A81C4F" w:rsidP="00A87A36">
            <w:pPr>
              <w:pStyle w:val="Normal-table"/>
              <w:rPr>
                <w:lang w:val="en-AU"/>
              </w:rPr>
            </w:pPr>
            <w:r w:rsidRPr="00023C36">
              <w:rPr>
                <w:lang w:val="en-AU"/>
              </w:rPr>
              <w:t xml:space="preserve">IP Act </w:t>
            </w:r>
          </w:p>
        </w:tc>
        <w:tc>
          <w:tcPr>
            <w:tcW w:w="3908" w:type="pct"/>
          </w:tcPr>
          <w:p w14:paraId="6C3295BF" w14:textId="77777777" w:rsidR="00A81C4F" w:rsidRPr="00023C36"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rsidRPr="00023C36">
              <w:rPr>
                <w:lang w:val="en-AU"/>
              </w:rPr>
              <w:t>Information Privacy Act 2009</w:t>
            </w:r>
          </w:p>
        </w:tc>
      </w:tr>
      <w:tr w:rsidR="00A81C4F" w:rsidRPr="00023C36" w14:paraId="712CD3BD"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1CE1FA9F" w14:textId="77777777" w:rsidR="00A81C4F" w:rsidRPr="00023C36" w:rsidRDefault="00A81C4F" w:rsidP="00A87A36">
            <w:pPr>
              <w:pStyle w:val="Normal-table"/>
              <w:rPr>
                <w:lang w:val="en-AU"/>
              </w:rPr>
            </w:pPr>
            <w:r w:rsidRPr="00023C36">
              <w:rPr>
                <w:lang w:val="en-AU"/>
              </w:rPr>
              <w:t>IT</w:t>
            </w:r>
          </w:p>
        </w:tc>
        <w:tc>
          <w:tcPr>
            <w:tcW w:w="3908" w:type="pct"/>
          </w:tcPr>
          <w:p w14:paraId="24587929" w14:textId="77777777" w:rsidR="00A81C4F" w:rsidRPr="00023C36"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rsidRPr="00023C36">
              <w:rPr>
                <w:lang w:val="en-AU"/>
              </w:rPr>
              <w:t>Information Technology</w:t>
            </w:r>
          </w:p>
        </w:tc>
      </w:tr>
      <w:tr w:rsidR="00A81C4F" w:rsidRPr="00023C36" w14:paraId="5E25F78F"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5FC3DC30" w14:textId="77777777" w:rsidR="00A81C4F" w:rsidRPr="00023C36" w:rsidRDefault="00A81C4F" w:rsidP="00A87A36">
            <w:pPr>
              <w:pStyle w:val="Normal-table"/>
              <w:rPr>
                <w:lang w:val="en-AU"/>
              </w:rPr>
            </w:pPr>
            <w:r w:rsidRPr="00023C36">
              <w:rPr>
                <w:lang w:val="en-AU"/>
              </w:rPr>
              <w:t xml:space="preserve">ITS </w:t>
            </w:r>
          </w:p>
        </w:tc>
        <w:tc>
          <w:tcPr>
            <w:tcW w:w="3908" w:type="pct"/>
          </w:tcPr>
          <w:p w14:paraId="77E3183E" w14:textId="77777777" w:rsidR="00A81C4F" w:rsidRPr="00023C36"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rsidRPr="00023C36">
              <w:rPr>
                <w:lang w:val="en-AU"/>
              </w:rPr>
              <w:t>Intelligent Transport Systems</w:t>
            </w:r>
          </w:p>
        </w:tc>
      </w:tr>
      <w:tr w:rsidR="00A81C4F" w:rsidRPr="00023C36" w14:paraId="477CBEF4"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71971EA9" w14:textId="77777777" w:rsidR="00A81C4F" w:rsidRPr="00023C36" w:rsidRDefault="00A81C4F" w:rsidP="00A87A36">
            <w:pPr>
              <w:pStyle w:val="Normal-table"/>
              <w:rPr>
                <w:lang w:val="en-AU"/>
              </w:rPr>
            </w:pPr>
            <w:r w:rsidRPr="00023C36">
              <w:rPr>
                <w:lang w:val="en-AU"/>
              </w:rPr>
              <w:t>LED</w:t>
            </w:r>
          </w:p>
        </w:tc>
        <w:tc>
          <w:tcPr>
            <w:tcW w:w="3908" w:type="pct"/>
          </w:tcPr>
          <w:p w14:paraId="4D8020F2" w14:textId="77777777" w:rsidR="00A81C4F" w:rsidRPr="00023C36"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rsidRPr="00023C36">
              <w:rPr>
                <w:lang w:val="en-AU"/>
              </w:rPr>
              <w:t>Light emitting diode</w:t>
            </w:r>
          </w:p>
        </w:tc>
      </w:tr>
      <w:tr w:rsidR="00A81C4F" w:rsidRPr="00023C36" w14:paraId="56B3BB9D"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17B664B8" w14:textId="77777777" w:rsidR="00A81C4F" w:rsidRPr="00023C36" w:rsidRDefault="00A81C4F" w:rsidP="00A87A36">
            <w:pPr>
              <w:pStyle w:val="Normal-table"/>
              <w:rPr>
                <w:lang w:val="en-AU"/>
              </w:rPr>
            </w:pPr>
            <w:r w:rsidRPr="00023C36">
              <w:rPr>
                <w:lang w:val="en-AU"/>
              </w:rPr>
              <w:t>LFS</w:t>
            </w:r>
          </w:p>
        </w:tc>
        <w:tc>
          <w:tcPr>
            <w:tcW w:w="3908" w:type="pct"/>
          </w:tcPr>
          <w:p w14:paraId="4B42A4A9" w14:textId="77777777" w:rsidR="00A81C4F" w:rsidRPr="00023C36"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rsidRPr="00023C36">
              <w:rPr>
                <w:lang w:val="en-AU"/>
              </w:rPr>
              <w:t>Local Fare Scheme</w:t>
            </w:r>
          </w:p>
        </w:tc>
      </w:tr>
      <w:tr w:rsidR="00A81C4F" w:rsidRPr="00023C36" w14:paraId="13BF6291"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4831562B" w14:textId="77777777" w:rsidR="00A81C4F" w:rsidRPr="00023C36" w:rsidRDefault="00A81C4F" w:rsidP="00A87A36">
            <w:pPr>
              <w:pStyle w:val="Normal-table"/>
              <w:rPr>
                <w:lang w:val="en-AU"/>
              </w:rPr>
            </w:pPr>
            <w:r w:rsidRPr="00023C36">
              <w:rPr>
                <w:lang w:val="en-AU"/>
              </w:rPr>
              <w:t>M1</w:t>
            </w:r>
          </w:p>
        </w:tc>
        <w:tc>
          <w:tcPr>
            <w:tcW w:w="3908" w:type="pct"/>
          </w:tcPr>
          <w:p w14:paraId="27C38B2F" w14:textId="77777777" w:rsidR="00A81C4F" w:rsidRPr="00023C36"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rsidRPr="00023C36">
              <w:rPr>
                <w:lang w:val="en-AU"/>
              </w:rPr>
              <w:t>Pacific Motorway</w:t>
            </w:r>
          </w:p>
        </w:tc>
      </w:tr>
      <w:tr w:rsidR="00A81C4F" w:rsidRPr="00023C36" w14:paraId="55795B85"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30351C02" w14:textId="77777777" w:rsidR="00A81C4F" w:rsidRPr="00023C36" w:rsidRDefault="00A81C4F" w:rsidP="00A87A36">
            <w:pPr>
              <w:pStyle w:val="Normal-table"/>
              <w:rPr>
                <w:lang w:val="en-AU"/>
              </w:rPr>
            </w:pPr>
            <w:r w:rsidRPr="00023C36">
              <w:rPr>
                <w:lang w:val="en-AU"/>
              </w:rPr>
              <w:t>MaaS</w:t>
            </w:r>
          </w:p>
        </w:tc>
        <w:tc>
          <w:tcPr>
            <w:tcW w:w="3908" w:type="pct"/>
          </w:tcPr>
          <w:p w14:paraId="00804F93" w14:textId="77777777" w:rsidR="00A81C4F" w:rsidRPr="00023C36"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rsidRPr="00023C36">
              <w:rPr>
                <w:lang w:val="en-AU"/>
              </w:rPr>
              <w:t>Mobility as a Service</w:t>
            </w:r>
          </w:p>
        </w:tc>
      </w:tr>
      <w:tr w:rsidR="00A81C4F" w:rsidRPr="00023C36" w14:paraId="55863387"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2BB8E219" w14:textId="77777777" w:rsidR="00A81C4F" w:rsidRPr="00023C36" w:rsidRDefault="00A81C4F" w:rsidP="00A87A36">
            <w:pPr>
              <w:pStyle w:val="Normal-table"/>
              <w:rPr>
                <w:lang w:val="en-AU"/>
              </w:rPr>
            </w:pPr>
            <w:r w:rsidRPr="00023C36">
              <w:rPr>
                <w:lang w:val="en-AU"/>
              </w:rPr>
              <w:t>MATE</w:t>
            </w:r>
          </w:p>
        </w:tc>
        <w:tc>
          <w:tcPr>
            <w:tcW w:w="3908" w:type="pct"/>
          </w:tcPr>
          <w:p w14:paraId="6EC6A3C8" w14:textId="77777777" w:rsidR="00A81C4F" w:rsidRPr="00023C36"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rsidRPr="00023C36">
              <w:rPr>
                <w:lang w:val="en-AU"/>
              </w:rPr>
              <w:t>Motivating Action Through Empowerment</w:t>
            </w:r>
          </w:p>
        </w:tc>
      </w:tr>
      <w:tr w:rsidR="00A81C4F" w:rsidRPr="00023C36" w14:paraId="3B1F64D5"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1873B642" w14:textId="77777777" w:rsidR="00A81C4F" w:rsidRPr="00023C36" w:rsidRDefault="00A81C4F" w:rsidP="00A87A36">
            <w:pPr>
              <w:pStyle w:val="Normal-table"/>
              <w:rPr>
                <w:lang w:val="en-AU"/>
              </w:rPr>
            </w:pPr>
            <w:r>
              <w:t>MEM</w:t>
            </w:r>
          </w:p>
        </w:tc>
        <w:tc>
          <w:tcPr>
            <w:tcW w:w="3908" w:type="pct"/>
          </w:tcPr>
          <w:p w14:paraId="2A23D141" w14:textId="77777777" w:rsidR="00A81C4F" w:rsidRPr="00023C36"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t>Maritime Emergency Management</w:t>
            </w:r>
          </w:p>
        </w:tc>
      </w:tr>
      <w:tr w:rsidR="00A81C4F" w:rsidRPr="00023C36" w14:paraId="49153C4C"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3E6C1E63" w14:textId="77777777" w:rsidR="00A81C4F" w:rsidRPr="00023C36" w:rsidRDefault="00A81C4F" w:rsidP="00A87A36">
            <w:pPr>
              <w:pStyle w:val="Normal-table"/>
              <w:rPr>
                <w:lang w:val="en-AU"/>
              </w:rPr>
            </w:pPr>
            <w:r w:rsidRPr="00023C36">
              <w:rPr>
                <w:lang w:val="en-AU"/>
              </w:rPr>
              <w:t>MET</w:t>
            </w:r>
          </w:p>
        </w:tc>
        <w:tc>
          <w:tcPr>
            <w:tcW w:w="3908" w:type="pct"/>
          </w:tcPr>
          <w:p w14:paraId="54D6A217" w14:textId="77777777" w:rsidR="00A81C4F" w:rsidRPr="00023C36"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rsidRPr="00023C36">
              <w:rPr>
                <w:lang w:val="en-AU"/>
              </w:rPr>
              <w:t>Maritime Enforcement Team</w:t>
            </w:r>
          </w:p>
        </w:tc>
      </w:tr>
      <w:tr w:rsidR="00A81C4F" w:rsidRPr="00023C36" w14:paraId="69947664"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4EB717AF" w14:textId="77777777" w:rsidR="00A81C4F" w:rsidRPr="00023C36" w:rsidRDefault="00A81C4F" w:rsidP="00A87A36">
            <w:pPr>
              <w:pStyle w:val="Normal-table"/>
              <w:rPr>
                <w:lang w:val="en-AU"/>
              </w:rPr>
            </w:pPr>
            <w:r w:rsidRPr="00023C36">
              <w:rPr>
                <w:lang w:val="en-AU"/>
              </w:rPr>
              <w:t xml:space="preserve">MSQ </w:t>
            </w:r>
          </w:p>
        </w:tc>
        <w:tc>
          <w:tcPr>
            <w:tcW w:w="3908" w:type="pct"/>
          </w:tcPr>
          <w:p w14:paraId="611479E0" w14:textId="77777777" w:rsidR="00A81C4F" w:rsidRPr="00023C36"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rsidRPr="00023C36">
              <w:rPr>
                <w:lang w:val="en-AU"/>
              </w:rPr>
              <w:t>Maritime Safety Queensland</w:t>
            </w:r>
          </w:p>
        </w:tc>
      </w:tr>
      <w:tr w:rsidR="00A81C4F" w:rsidRPr="00023C36" w14:paraId="02CFD0C6"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7F8EC95E" w14:textId="77777777" w:rsidR="00A81C4F" w:rsidRPr="00023C36" w:rsidRDefault="00A81C4F" w:rsidP="00A87A36">
            <w:pPr>
              <w:pStyle w:val="Normal-table"/>
              <w:rPr>
                <w:lang w:val="en-AU"/>
              </w:rPr>
            </w:pPr>
            <w:r w:rsidRPr="00023C36">
              <w:rPr>
                <w:lang w:val="en-AU"/>
              </w:rPr>
              <w:t xml:space="preserve">NGR </w:t>
            </w:r>
          </w:p>
        </w:tc>
        <w:tc>
          <w:tcPr>
            <w:tcW w:w="3908" w:type="pct"/>
          </w:tcPr>
          <w:p w14:paraId="23D022B2" w14:textId="77777777" w:rsidR="00A81C4F" w:rsidRPr="00023C36"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rsidRPr="00023C36">
              <w:rPr>
                <w:lang w:val="en-AU"/>
              </w:rPr>
              <w:t>New Generation Rollingstock</w:t>
            </w:r>
          </w:p>
        </w:tc>
      </w:tr>
      <w:tr w:rsidR="00A81C4F" w:rsidRPr="00023C36" w14:paraId="2D5AB28B"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7988E1B1" w14:textId="77777777" w:rsidR="00A81C4F" w:rsidRPr="00023C36" w:rsidRDefault="00A81C4F" w:rsidP="00A87A36">
            <w:pPr>
              <w:pStyle w:val="Normal-table"/>
              <w:rPr>
                <w:lang w:val="en-AU"/>
              </w:rPr>
            </w:pPr>
            <w:r>
              <w:t>NHVR</w:t>
            </w:r>
          </w:p>
        </w:tc>
        <w:tc>
          <w:tcPr>
            <w:tcW w:w="3908" w:type="pct"/>
          </w:tcPr>
          <w:p w14:paraId="13473220" w14:textId="77777777" w:rsidR="00A81C4F" w:rsidRPr="00023C36" w:rsidRDefault="00A81C4F" w:rsidP="00A87A36">
            <w:pPr>
              <w:pStyle w:val="Normal-table"/>
              <w:cnfStyle w:val="000000000000" w:firstRow="0" w:lastRow="0" w:firstColumn="0" w:lastColumn="0" w:oddVBand="0" w:evenVBand="0" w:oddHBand="0" w:evenHBand="0" w:firstRowFirstColumn="0" w:firstRowLastColumn="0" w:lastRowFirstColumn="0" w:lastRowLastColumn="0"/>
              <w:rPr>
                <w:lang w:val="en-AU"/>
              </w:rPr>
            </w:pPr>
            <w:r>
              <w:t>National Heavy Vehicle Regulator</w:t>
            </w:r>
          </w:p>
        </w:tc>
      </w:tr>
      <w:tr w:rsidR="00A81C4F" w:rsidRPr="00023C36" w14:paraId="450C52A8"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0B804BD3" w14:textId="77777777" w:rsidR="00A81C4F" w:rsidRPr="00591C51" w:rsidRDefault="00A81C4F" w:rsidP="00A87A36">
            <w:pPr>
              <w:pStyle w:val="Normal-table"/>
            </w:pPr>
            <w:r w:rsidRPr="00591C51">
              <w:t>NQBP</w:t>
            </w:r>
          </w:p>
        </w:tc>
        <w:tc>
          <w:tcPr>
            <w:tcW w:w="3908" w:type="pct"/>
          </w:tcPr>
          <w:p w14:paraId="53E9A283" w14:textId="77777777" w:rsidR="00A81C4F" w:rsidRPr="00591C51"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rsidRPr="00591C51">
              <w:t>North Queensland Bulk Ports Corporation</w:t>
            </w:r>
          </w:p>
        </w:tc>
      </w:tr>
      <w:tr w:rsidR="00A81C4F" w:rsidRPr="00023C36" w14:paraId="69CB3F3E"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04CBD36C" w14:textId="77777777" w:rsidR="00A81C4F" w:rsidRPr="00591C51" w:rsidRDefault="00A81C4F" w:rsidP="00A87A36">
            <w:pPr>
              <w:pStyle w:val="Normal-table"/>
            </w:pPr>
            <w:r>
              <w:t>NST</w:t>
            </w:r>
          </w:p>
        </w:tc>
        <w:tc>
          <w:tcPr>
            <w:tcW w:w="3908" w:type="pct"/>
          </w:tcPr>
          <w:p w14:paraId="1A7A884A" w14:textId="77777777" w:rsidR="00A81C4F" w:rsidRPr="00591C51"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t>National Services Transition</w:t>
            </w:r>
          </w:p>
        </w:tc>
      </w:tr>
      <w:tr w:rsidR="00A81C4F" w:rsidRPr="00023C36" w14:paraId="2F96FA46"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35462EDA" w14:textId="77777777" w:rsidR="00A81C4F" w:rsidRPr="00591C51" w:rsidRDefault="00A81C4F" w:rsidP="00A87A36">
            <w:pPr>
              <w:pStyle w:val="Normal-table"/>
            </w:pPr>
            <w:r>
              <w:t>OBM</w:t>
            </w:r>
          </w:p>
        </w:tc>
        <w:tc>
          <w:tcPr>
            <w:tcW w:w="3908" w:type="pct"/>
          </w:tcPr>
          <w:p w14:paraId="6080284D" w14:textId="77777777" w:rsidR="00A81C4F" w:rsidRPr="00591C51"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t>On-Board-Mass</w:t>
            </w:r>
          </w:p>
        </w:tc>
      </w:tr>
      <w:tr w:rsidR="00A81C4F" w:rsidRPr="00023C36" w14:paraId="4552CDCC"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4E0C2346" w14:textId="77777777" w:rsidR="00A81C4F" w:rsidRDefault="00A81C4F" w:rsidP="00A87A36">
            <w:pPr>
              <w:pStyle w:val="Normal-table"/>
            </w:pPr>
            <w:r>
              <w:t>ONRSR</w:t>
            </w:r>
          </w:p>
        </w:tc>
        <w:tc>
          <w:tcPr>
            <w:tcW w:w="3908" w:type="pct"/>
          </w:tcPr>
          <w:p w14:paraId="42B21816" w14:textId="77777777" w:rsidR="00A81C4F"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t>Office of the National Rail Safety Regulator</w:t>
            </w:r>
          </w:p>
        </w:tc>
      </w:tr>
      <w:tr w:rsidR="00A81C4F" w:rsidRPr="00023C36" w14:paraId="7EDDED5D"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14ADE1BB" w14:textId="77777777" w:rsidR="00A81C4F" w:rsidRDefault="00A81C4F" w:rsidP="00A87A36">
            <w:pPr>
              <w:pStyle w:val="Normal-table"/>
            </w:pPr>
            <w:r>
              <w:t>P4P</w:t>
            </w:r>
          </w:p>
        </w:tc>
        <w:tc>
          <w:tcPr>
            <w:tcW w:w="3908" w:type="pct"/>
          </w:tcPr>
          <w:p w14:paraId="6DB97582" w14:textId="77777777" w:rsidR="00A81C4F"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t>People for People</w:t>
            </w:r>
          </w:p>
        </w:tc>
      </w:tr>
      <w:tr w:rsidR="00A81C4F" w:rsidRPr="00023C36" w14:paraId="3A07D4A5"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22E813C7" w14:textId="77777777" w:rsidR="00A81C4F" w:rsidRPr="00591C51" w:rsidRDefault="00A81C4F" w:rsidP="00A87A36">
            <w:pPr>
              <w:pStyle w:val="Normal-table"/>
            </w:pPr>
            <w:r w:rsidRPr="00591C51">
              <w:t>PCYC</w:t>
            </w:r>
          </w:p>
        </w:tc>
        <w:tc>
          <w:tcPr>
            <w:tcW w:w="3908" w:type="pct"/>
          </w:tcPr>
          <w:p w14:paraId="3C4B9109" w14:textId="77777777" w:rsidR="00A81C4F" w:rsidRPr="00591C51"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rsidRPr="00591C51">
              <w:t xml:space="preserve">Police-Citizens Youth Welfare Association </w:t>
            </w:r>
          </w:p>
        </w:tc>
      </w:tr>
      <w:tr w:rsidR="00A81C4F" w:rsidRPr="00023C36" w14:paraId="2DE28D20"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597597A1" w14:textId="77777777" w:rsidR="00A81C4F" w:rsidRPr="00591C51" w:rsidRDefault="00A81C4F" w:rsidP="00A87A36">
            <w:pPr>
              <w:pStyle w:val="Normal-table"/>
            </w:pPr>
            <w:r w:rsidRPr="00591C51">
              <w:t>PD</w:t>
            </w:r>
          </w:p>
        </w:tc>
        <w:tc>
          <w:tcPr>
            <w:tcW w:w="3908" w:type="pct"/>
          </w:tcPr>
          <w:p w14:paraId="0F46E597" w14:textId="77777777" w:rsidR="00A81C4F" w:rsidRPr="00591C51"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rsidRPr="00591C51">
              <w:t>Program Director</w:t>
            </w:r>
          </w:p>
        </w:tc>
      </w:tr>
      <w:tr w:rsidR="00A81C4F" w:rsidRPr="00023C36" w14:paraId="6BD3D358"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674CD219" w14:textId="77777777" w:rsidR="00A81C4F" w:rsidRPr="00591C51" w:rsidRDefault="00A81C4F" w:rsidP="00A87A36">
            <w:pPr>
              <w:pStyle w:val="Normal-table"/>
            </w:pPr>
            <w:r>
              <w:t>PIDSC</w:t>
            </w:r>
          </w:p>
        </w:tc>
        <w:tc>
          <w:tcPr>
            <w:tcW w:w="3908" w:type="pct"/>
          </w:tcPr>
          <w:p w14:paraId="0925023F" w14:textId="77777777" w:rsidR="00A81C4F" w:rsidRPr="00591C51"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t>Palm Island Digital Service Centre</w:t>
            </w:r>
          </w:p>
        </w:tc>
      </w:tr>
      <w:tr w:rsidR="00A81C4F" w:rsidRPr="00023C36" w14:paraId="34E10D7B"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385FDA78" w14:textId="77777777" w:rsidR="00A81C4F" w:rsidRPr="00591C51" w:rsidRDefault="00A81C4F" w:rsidP="00A87A36">
            <w:pPr>
              <w:pStyle w:val="Normal-table"/>
            </w:pPr>
            <w:r w:rsidRPr="00591C51">
              <w:t>POTL</w:t>
            </w:r>
          </w:p>
        </w:tc>
        <w:tc>
          <w:tcPr>
            <w:tcW w:w="3908" w:type="pct"/>
          </w:tcPr>
          <w:p w14:paraId="504CFF0A" w14:textId="77777777" w:rsidR="00A81C4F" w:rsidRPr="00591C51"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rsidRPr="00591C51">
              <w:t>Port of Townsville Limited</w:t>
            </w:r>
          </w:p>
        </w:tc>
      </w:tr>
      <w:tr w:rsidR="00A81C4F" w:rsidRPr="00023C36" w14:paraId="5436CFFE"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38CF0246" w14:textId="77777777" w:rsidR="00A81C4F" w:rsidRPr="00591C51" w:rsidRDefault="00A81C4F" w:rsidP="00A87A36">
            <w:pPr>
              <w:pStyle w:val="Normal-table"/>
            </w:pPr>
            <w:r w:rsidRPr="00591C51">
              <w:t>PPI</w:t>
            </w:r>
          </w:p>
        </w:tc>
        <w:tc>
          <w:tcPr>
            <w:tcW w:w="3908" w:type="pct"/>
          </w:tcPr>
          <w:p w14:paraId="7897020E" w14:textId="77777777" w:rsidR="00A81C4F" w:rsidRPr="00591C51"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rsidRPr="00591C51">
              <w:t>Policy, Planning and Investment Division</w:t>
            </w:r>
          </w:p>
        </w:tc>
      </w:tr>
      <w:tr w:rsidR="00A81C4F" w:rsidRPr="00023C36" w14:paraId="4B77CD04"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55D61552" w14:textId="77777777" w:rsidR="00A81C4F" w:rsidRPr="00591C51" w:rsidRDefault="00A81C4F" w:rsidP="00A87A36">
            <w:pPr>
              <w:pStyle w:val="Normal-table"/>
            </w:pPr>
            <w:r>
              <w:t>Pty Ltd</w:t>
            </w:r>
          </w:p>
        </w:tc>
        <w:tc>
          <w:tcPr>
            <w:tcW w:w="3908" w:type="pct"/>
          </w:tcPr>
          <w:p w14:paraId="10FCC0A9" w14:textId="77777777" w:rsidR="00A81C4F" w:rsidRPr="00591C51"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t>Publicly owned private</w:t>
            </w:r>
          </w:p>
        </w:tc>
      </w:tr>
      <w:tr w:rsidR="00A81C4F" w:rsidRPr="00023C36" w14:paraId="4F210695"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4E00E014" w14:textId="77777777" w:rsidR="00A81C4F" w:rsidRPr="00591C51" w:rsidRDefault="00A81C4F" w:rsidP="00A87A36">
            <w:pPr>
              <w:pStyle w:val="Normal-table"/>
            </w:pPr>
            <w:r w:rsidRPr="00591C51">
              <w:t>PWC</w:t>
            </w:r>
          </w:p>
        </w:tc>
        <w:tc>
          <w:tcPr>
            <w:tcW w:w="3908" w:type="pct"/>
          </w:tcPr>
          <w:p w14:paraId="12A14000" w14:textId="77777777" w:rsidR="00A81C4F" w:rsidRPr="00591C51"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rsidRPr="00591C51">
              <w:t>Personal watercraft</w:t>
            </w:r>
          </w:p>
        </w:tc>
      </w:tr>
      <w:tr w:rsidR="00A81C4F" w:rsidRPr="00023C36" w14:paraId="4E9B30B0"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41066004" w14:textId="77777777" w:rsidR="00A81C4F" w:rsidRPr="00591C51" w:rsidRDefault="00A81C4F" w:rsidP="00A87A36">
            <w:pPr>
              <w:pStyle w:val="Normal-table"/>
            </w:pPr>
            <w:r w:rsidRPr="00591C51">
              <w:t>QESH</w:t>
            </w:r>
          </w:p>
        </w:tc>
        <w:tc>
          <w:tcPr>
            <w:tcW w:w="3908" w:type="pct"/>
          </w:tcPr>
          <w:p w14:paraId="2C9E43C9" w14:textId="77777777" w:rsidR="00A81C4F" w:rsidRPr="00591C51"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rsidRPr="00591C51">
              <w:t>Queensland Electric Super Highway</w:t>
            </w:r>
          </w:p>
        </w:tc>
      </w:tr>
      <w:tr w:rsidR="00A81C4F" w:rsidRPr="00023C36" w14:paraId="7BEB568B"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32A7B265" w14:textId="77777777" w:rsidR="00A81C4F" w:rsidRPr="00591C51" w:rsidRDefault="00A81C4F" w:rsidP="00A87A36">
            <w:pPr>
              <w:pStyle w:val="Normal-table"/>
            </w:pPr>
            <w:r>
              <w:t>QGCDG</w:t>
            </w:r>
          </w:p>
        </w:tc>
        <w:tc>
          <w:tcPr>
            <w:tcW w:w="3908" w:type="pct"/>
          </w:tcPr>
          <w:p w14:paraId="66739A17" w14:textId="77777777" w:rsidR="00A81C4F" w:rsidRPr="00591C51"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t>Queensland Government Customer and Digital Group</w:t>
            </w:r>
          </w:p>
        </w:tc>
      </w:tr>
      <w:tr w:rsidR="00A81C4F" w:rsidRPr="00023C36" w14:paraId="55773458"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0E640BCF" w14:textId="77777777" w:rsidR="00A81C4F" w:rsidRDefault="00A81C4F" w:rsidP="00A87A36">
            <w:pPr>
              <w:pStyle w:val="Normal-table"/>
            </w:pPr>
            <w:r>
              <w:lastRenderedPageBreak/>
              <w:t>QGEA</w:t>
            </w:r>
          </w:p>
        </w:tc>
        <w:tc>
          <w:tcPr>
            <w:tcW w:w="3908" w:type="pct"/>
          </w:tcPr>
          <w:p w14:paraId="2F25BAAC" w14:textId="77777777" w:rsidR="00A81C4F"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t>Queensland Government Enterprise Architecture</w:t>
            </w:r>
          </w:p>
        </w:tc>
      </w:tr>
      <w:tr w:rsidR="00A81C4F" w:rsidRPr="00023C36" w14:paraId="584784B2"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59200855" w14:textId="77777777" w:rsidR="00A81C4F" w:rsidRDefault="00A81C4F" w:rsidP="00A87A36">
            <w:pPr>
              <w:pStyle w:val="Normal-table"/>
            </w:pPr>
            <w:r>
              <w:t>QGP</w:t>
            </w:r>
          </w:p>
        </w:tc>
        <w:tc>
          <w:tcPr>
            <w:tcW w:w="3908" w:type="pct"/>
          </w:tcPr>
          <w:p w14:paraId="3CEC8217" w14:textId="77777777" w:rsidR="00A81C4F"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t>Queensland Government Procurement</w:t>
            </w:r>
          </w:p>
        </w:tc>
      </w:tr>
      <w:tr w:rsidR="00A81C4F" w:rsidRPr="00023C36" w14:paraId="21A9A686"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4ABA806C" w14:textId="77777777" w:rsidR="00A81C4F" w:rsidRDefault="00A81C4F" w:rsidP="00A87A36">
            <w:pPr>
              <w:pStyle w:val="Normal-table"/>
            </w:pPr>
            <w:r>
              <w:t>QGRN</w:t>
            </w:r>
          </w:p>
        </w:tc>
        <w:tc>
          <w:tcPr>
            <w:tcW w:w="3908" w:type="pct"/>
          </w:tcPr>
          <w:p w14:paraId="6FDD8E51" w14:textId="77777777" w:rsidR="00A81C4F"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t>Queensland Government Regional Network</w:t>
            </w:r>
          </w:p>
        </w:tc>
      </w:tr>
      <w:tr w:rsidR="00A81C4F" w:rsidRPr="00023C36" w14:paraId="5A32C00A"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04662824" w14:textId="77777777" w:rsidR="00A81C4F" w:rsidRDefault="00A81C4F" w:rsidP="00A87A36">
            <w:pPr>
              <w:pStyle w:val="Normal-table"/>
            </w:pPr>
            <w:r>
              <w:t>QPS</w:t>
            </w:r>
          </w:p>
        </w:tc>
        <w:tc>
          <w:tcPr>
            <w:tcW w:w="3908" w:type="pct"/>
          </w:tcPr>
          <w:p w14:paraId="5E1EAF2A" w14:textId="77777777" w:rsidR="00A81C4F"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t>Queensland Police Service</w:t>
            </w:r>
          </w:p>
        </w:tc>
      </w:tr>
      <w:tr w:rsidR="00A81C4F" w:rsidRPr="00023C36" w14:paraId="7F329194"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67FE1B0B" w14:textId="77777777" w:rsidR="00A81C4F" w:rsidRDefault="00A81C4F" w:rsidP="00A87A36">
            <w:pPr>
              <w:pStyle w:val="Normal-table"/>
            </w:pPr>
            <w:r>
              <w:t>QPWS</w:t>
            </w:r>
          </w:p>
        </w:tc>
        <w:tc>
          <w:tcPr>
            <w:tcW w:w="3908" w:type="pct"/>
          </w:tcPr>
          <w:p w14:paraId="1A6065EA" w14:textId="77777777" w:rsidR="00A81C4F"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t>Queensland Parks and Wildlife Services</w:t>
            </w:r>
          </w:p>
        </w:tc>
      </w:tr>
      <w:tr w:rsidR="00A81C4F" w:rsidRPr="00023C36" w14:paraId="37F2C2EE"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5207D739" w14:textId="77777777" w:rsidR="00A81C4F" w:rsidRPr="00591C51" w:rsidRDefault="00A81C4F" w:rsidP="00A87A36">
            <w:pPr>
              <w:pStyle w:val="Normal-table"/>
            </w:pPr>
            <w:r>
              <w:t>QRO</w:t>
            </w:r>
          </w:p>
        </w:tc>
        <w:tc>
          <w:tcPr>
            <w:tcW w:w="3908" w:type="pct"/>
          </w:tcPr>
          <w:p w14:paraId="11D8744F" w14:textId="77777777" w:rsidR="00A81C4F" w:rsidRPr="00591C51"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t>Queensland Revenue Office</w:t>
            </w:r>
          </w:p>
        </w:tc>
      </w:tr>
      <w:tr w:rsidR="00A81C4F" w:rsidRPr="00023C36" w14:paraId="42A792CC"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772D0231" w14:textId="77777777" w:rsidR="00A81C4F" w:rsidRPr="00591C51" w:rsidRDefault="00A81C4F" w:rsidP="00A87A36">
            <w:pPr>
              <w:pStyle w:val="Normal-table"/>
            </w:pPr>
            <w:r w:rsidRPr="00591C51">
              <w:t>QRS</w:t>
            </w:r>
          </w:p>
        </w:tc>
        <w:tc>
          <w:tcPr>
            <w:tcW w:w="3908" w:type="pct"/>
          </w:tcPr>
          <w:p w14:paraId="14BA1AEC" w14:textId="77777777" w:rsidR="00A81C4F" w:rsidRPr="00591C51"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rsidRPr="00591C51">
              <w:t>Queensland Regulated Ship</w:t>
            </w:r>
          </w:p>
        </w:tc>
      </w:tr>
      <w:tr w:rsidR="00A81C4F" w:rsidRPr="00023C36" w14:paraId="5D7825D4"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31B76564" w14:textId="77777777" w:rsidR="00A81C4F" w:rsidRPr="00591C51" w:rsidRDefault="00A81C4F" w:rsidP="00A87A36">
            <w:pPr>
              <w:pStyle w:val="Normal-table"/>
            </w:pPr>
            <w:r w:rsidRPr="00591C51">
              <w:t>QTMP</w:t>
            </w:r>
          </w:p>
        </w:tc>
        <w:tc>
          <w:tcPr>
            <w:tcW w:w="3908" w:type="pct"/>
          </w:tcPr>
          <w:p w14:paraId="63B97987" w14:textId="77777777" w:rsidR="00A81C4F" w:rsidRPr="00591C51"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rsidRPr="00591C51">
              <w:t xml:space="preserve">Queensland Train Manufacturing Program </w:t>
            </w:r>
          </w:p>
        </w:tc>
      </w:tr>
      <w:tr w:rsidR="00A81C4F" w:rsidRPr="00023C36" w14:paraId="7CB4D8A5"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65502488" w14:textId="77777777" w:rsidR="00A81C4F" w:rsidRPr="00591C51" w:rsidRDefault="00A81C4F" w:rsidP="00A87A36">
            <w:pPr>
              <w:pStyle w:val="Normal-table"/>
            </w:pPr>
            <w:r w:rsidRPr="00591C51">
              <w:t>QTRIP</w:t>
            </w:r>
          </w:p>
        </w:tc>
        <w:tc>
          <w:tcPr>
            <w:tcW w:w="3908" w:type="pct"/>
          </w:tcPr>
          <w:p w14:paraId="4E967289" w14:textId="77777777" w:rsidR="00A81C4F" w:rsidRPr="00591C51"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rsidRPr="00591C51">
              <w:t>Queensland Transport and Roads Investment Program</w:t>
            </w:r>
          </w:p>
        </w:tc>
      </w:tr>
      <w:tr w:rsidR="00A81C4F" w:rsidRPr="00023C36" w14:paraId="643998ED"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40E81AD7" w14:textId="77777777" w:rsidR="00A81C4F" w:rsidRPr="00591C51" w:rsidRDefault="00A81C4F" w:rsidP="00A87A36">
            <w:pPr>
              <w:pStyle w:val="Normal-table"/>
            </w:pPr>
            <w:r w:rsidRPr="00591C51">
              <w:t>QUT</w:t>
            </w:r>
          </w:p>
        </w:tc>
        <w:tc>
          <w:tcPr>
            <w:tcW w:w="3908" w:type="pct"/>
          </w:tcPr>
          <w:p w14:paraId="235A8F56" w14:textId="77777777" w:rsidR="00A81C4F" w:rsidRPr="00591C51"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rsidRPr="00591C51">
              <w:t xml:space="preserve">Queensland Univeristy of Technology </w:t>
            </w:r>
          </w:p>
        </w:tc>
      </w:tr>
      <w:tr w:rsidR="00A81C4F" w:rsidRPr="00023C36" w14:paraId="7F10455A"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10ACAF44" w14:textId="77777777" w:rsidR="00A81C4F" w:rsidRPr="00591C51" w:rsidRDefault="00A81C4F" w:rsidP="00A87A36">
            <w:pPr>
              <w:pStyle w:val="Normal-table"/>
            </w:pPr>
            <w:r w:rsidRPr="00591C51">
              <w:t>RACQ</w:t>
            </w:r>
          </w:p>
        </w:tc>
        <w:tc>
          <w:tcPr>
            <w:tcW w:w="3908" w:type="pct"/>
          </w:tcPr>
          <w:p w14:paraId="4BCC7E26" w14:textId="77777777" w:rsidR="00A81C4F" w:rsidRPr="00591C51"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rsidRPr="00591C51">
              <w:t>Royal Automotive Club of Queensland</w:t>
            </w:r>
          </w:p>
        </w:tc>
      </w:tr>
      <w:tr w:rsidR="00A81C4F" w:rsidRPr="00023C36" w14:paraId="7B691A4F"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2E418DD3" w14:textId="77777777" w:rsidR="00A81C4F" w:rsidRPr="00591C51" w:rsidRDefault="00A81C4F" w:rsidP="00A87A36">
            <w:pPr>
              <w:pStyle w:val="Normal-table"/>
            </w:pPr>
            <w:r w:rsidRPr="00591C51">
              <w:t>RRTG</w:t>
            </w:r>
          </w:p>
        </w:tc>
        <w:tc>
          <w:tcPr>
            <w:tcW w:w="3908" w:type="pct"/>
          </w:tcPr>
          <w:p w14:paraId="23EAA282" w14:textId="77777777" w:rsidR="00A81C4F" w:rsidRPr="00591C51"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rsidRPr="00591C51">
              <w:t>Regional Roads and Transport Group</w:t>
            </w:r>
          </w:p>
        </w:tc>
      </w:tr>
      <w:tr w:rsidR="00A81C4F" w:rsidRPr="00023C36" w14:paraId="717386A2"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0A2334AD" w14:textId="77777777" w:rsidR="00A81C4F" w:rsidRPr="00591C51" w:rsidRDefault="00A81C4F" w:rsidP="00A87A36">
            <w:pPr>
              <w:pStyle w:val="Normal-table"/>
            </w:pPr>
            <w:r w:rsidRPr="00591C51">
              <w:t>RTI Act</w:t>
            </w:r>
          </w:p>
        </w:tc>
        <w:tc>
          <w:tcPr>
            <w:tcW w:w="3908" w:type="pct"/>
          </w:tcPr>
          <w:p w14:paraId="03A87A96" w14:textId="77777777" w:rsidR="00A81C4F" w:rsidRPr="00591C51"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rsidRPr="00591C51">
              <w:t>Right to Information Act 2009</w:t>
            </w:r>
          </w:p>
        </w:tc>
      </w:tr>
      <w:tr w:rsidR="00A81C4F" w:rsidRPr="00023C36" w14:paraId="085B3D70"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7800F341" w14:textId="77777777" w:rsidR="00A81C4F" w:rsidRPr="00591C51" w:rsidRDefault="00A81C4F" w:rsidP="00A87A36">
            <w:pPr>
              <w:pStyle w:val="Normal-table"/>
            </w:pPr>
            <w:r w:rsidRPr="00591C51">
              <w:t>RTPs</w:t>
            </w:r>
          </w:p>
        </w:tc>
        <w:tc>
          <w:tcPr>
            <w:tcW w:w="3908" w:type="pct"/>
          </w:tcPr>
          <w:p w14:paraId="5780EEEF" w14:textId="77777777" w:rsidR="00A81C4F" w:rsidRPr="00591C51"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rsidRPr="00591C51">
              <w:t xml:space="preserve">Regional Transport Plans </w:t>
            </w:r>
          </w:p>
        </w:tc>
      </w:tr>
      <w:tr w:rsidR="00A81C4F" w:rsidRPr="00023C36" w14:paraId="080FFCC9"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2F50B9C5" w14:textId="77777777" w:rsidR="00A81C4F" w:rsidRPr="00591C51" w:rsidRDefault="00A81C4F" w:rsidP="00A87A36">
            <w:pPr>
              <w:pStyle w:val="Normal-table"/>
            </w:pPr>
            <w:r w:rsidRPr="00591C51">
              <w:t>SAP</w:t>
            </w:r>
          </w:p>
        </w:tc>
        <w:tc>
          <w:tcPr>
            <w:tcW w:w="3908" w:type="pct"/>
          </w:tcPr>
          <w:p w14:paraId="46F38A5D" w14:textId="77777777" w:rsidR="00A81C4F" w:rsidRPr="00591C51"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rsidRPr="00591C51">
              <w:t>System, application and products</w:t>
            </w:r>
          </w:p>
        </w:tc>
      </w:tr>
      <w:tr w:rsidR="00A81C4F" w:rsidRPr="00023C36" w14:paraId="16B59429"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68616D2E" w14:textId="77777777" w:rsidR="00A81C4F" w:rsidRPr="00591C51" w:rsidRDefault="00A81C4F" w:rsidP="00A87A36">
            <w:pPr>
              <w:pStyle w:val="Normal-table"/>
            </w:pPr>
            <w:r w:rsidRPr="00591C51">
              <w:t>SDS</w:t>
            </w:r>
          </w:p>
        </w:tc>
        <w:tc>
          <w:tcPr>
            <w:tcW w:w="3908" w:type="pct"/>
          </w:tcPr>
          <w:p w14:paraId="7CA66675" w14:textId="77777777" w:rsidR="00A81C4F" w:rsidRPr="00591C51"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rsidRPr="00591C51">
              <w:t>Service Delivery Statements</w:t>
            </w:r>
          </w:p>
        </w:tc>
      </w:tr>
      <w:tr w:rsidR="00A81C4F" w:rsidRPr="00023C36" w14:paraId="56C95821"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4F01B3E6" w14:textId="77777777" w:rsidR="00A81C4F" w:rsidRPr="00591C51" w:rsidRDefault="00A81C4F" w:rsidP="00A87A36">
            <w:pPr>
              <w:pStyle w:val="Normal-table"/>
            </w:pPr>
            <w:r w:rsidRPr="00591C51">
              <w:t>SEQ</w:t>
            </w:r>
          </w:p>
        </w:tc>
        <w:tc>
          <w:tcPr>
            <w:tcW w:w="3908" w:type="pct"/>
          </w:tcPr>
          <w:p w14:paraId="0F5F5194" w14:textId="77777777" w:rsidR="00A81C4F" w:rsidRPr="00591C51"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rsidRPr="00591C51">
              <w:t>South East Queensland</w:t>
            </w:r>
          </w:p>
        </w:tc>
      </w:tr>
      <w:tr w:rsidR="00A81C4F" w:rsidRPr="00023C36" w14:paraId="65AF8D93"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0546E121" w14:textId="77777777" w:rsidR="00A81C4F" w:rsidRPr="00591C51" w:rsidRDefault="00A81C4F" w:rsidP="00A87A36">
            <w:pPr>
              <w:pStyle w:val="Normal-table"/>
            </w:pPr>
            <w:r w:rsidRPr="00591C51">
              <w:t>SES</w:t>
            </w:r>
          </w:p>
        </w:tc>
        <w:tc>
          <w:tcPr>
            <w:tcW w:w="3908" w:type="pct"/>
          </w:tcPr>
          <w:p w14:paraId="0B375B20" w14:textId="77777777" w:rsidR="00A81C4F" w:rsidRPr="00591C51"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rsidRPr="00591C51">
              <w:t>Senior Executive Service</w:t>
            </w:r>
          </w:p>
        </w:tc>
      </w:tr>
      <w:tr w:rsidR="00A81C4F" w:rsidRPr="00023C36" w14:paraId="39F720B0"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1AD72E06" w14:textId="77777777" w:rsidR="00A81C4F" w:rsidRPr="00591C51" w:rsidRDefault="00A81C4F" w:rsidP="00A87A36">
            <w:pPr>
              <w:pStyle w:val="Normal-table"/>
            </w:pPr>
            <w:r w:rsidRPr="00591C51">
              <w:t>SES/SO</w:t>
            </w:r>
          </w:p>
        </w:tc>
        <w:tc>
          <w:tcPr>
            <w:tcW w:w="3908" w:type="pct"/>
          </w:tcPr>
          <w:p w14:paraId="4C0D6C0E" w14:textId="77777777" w:rsidR="00A81C4F" w:rsidRPr="00591C51"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rsidRPr="00591C51">
              <w:t>Senior Executive Service/Senior Officer</w:t>
            </w:r>
          </w:p>
        </w:tc>
      </w:tr>
      <w:tr w:rsidR="00A81C4F" w:rsidRPr="00023C36" w14:paraId="6B5DC7B3"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58ADE457" w14:textId="77777777" w:rsidR="00A81C4F" w:rsidRPr="00591C51" w:rsidRDefault="00A81C4F" w:rsidP="00A87A36">
            <w:pPr>
              <w:pStyle w:val="Normal-table"/>
            </w:pPr>
            <w:r>
              <w:t>SMS</w:t>
            </w:r>
          </w:p>
        </w:tc>
        <w:tc>
          <w:tcPr>
            <w:tcW w:w="3908" w:type="pct"/>
          </w:tcPr>
          <w:p w14:paraId="221DC6BB" w14:textId="77777777" w:rsidR="00A81C4F" w:rsidRPr="00591C51"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t>Small to medium sized enterprise</w:t>
            </w:r>
          </w:p>
        </w:tc>
      </w:tr>
      <w:tr w:rsidR="00A81C4F" w:rsidRPr="00023C36" w14:paraId="0ED46FEB"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07C32115" w14:textId="77777777" w:rsidR="00A81C4F" w:rsidRPr="00591C51" w:rsidRDefault="00A81C4F" w:rsidP="00A87A36">
            <w:pPr>
              <w:pStyle w:val="Normal-table"/>
            </w:pPr>
            <w:r w:rsidRPr="00591C51">
              <w:t>SO</w:t>
            </w:r>
          </w:p>
        </w:tc>
        <w:tc>
          <w:tcPr>
            <w:tcW w:w="3908" w:type="pct"/>
          </w:tcPr>
          <w:p w14:paraId="63D8CA44" w14:textId="77777777" w:rsidR="00A81C4F" w:rsidRPr="00591C51"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rsidRPr="00591C51">
              <w:t>Senior Officer</w:t>
            </w:r>
          </w:p>
        </w:tc>
      </w:tr>
      <w:tr w:rsidR="00A81C4F" w:rsidRPr="00023C36" w14:paraId="241B0B71"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06D63C5A" w14:textId="77777777" w:rsidR="00A81C4F" w:rsidRPr="00591C51" w:rsidRDefault="00A81C4F" w:rsidP="00A87A36">
            <w:pPr>
              <w:pStyle w:val="Normal-table"/>
            </w:pPr>
            <w:r>
              <w:t>SPSO</w:t>
            </w:r>
          </w:p>
        </w:tc>
        <w:tc>
          <w:tcPr>
            <w:tcW w:w="3908" w:type="pct"/>
          </w:tcPr>
          <w:p w14:paraId="63D60217" w14:textId="77777777" w:rsidR="00A81C4F" w:rsidRPr="00591C51"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t>Senior Protective Service Officer</w:t>
            </w:r>
          </w:p>
        </w:tc>
      </w:tr>
      <w:tr w:rsidR="00A81C4F" w:rsidRPr="00023C36" w14:paraId="019F58C6"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3C92B4C9" w14:textId="77777777" w:rsidR="00A81C4F" w:rsidRPr="00591C51" w:rsidRDefault="00A81C4F" w:rsidP="00A87A36">
            <w:pPr>
              <w:pStyle w:val="Normal-table"/>
            </w:pPr>
            <w:r w:rsidRPr="00591C51">
              <w:t>STAS</w:t>
            </w:r>
          </w:p>
        </w:tc>
        <w:tc>
          <w:tcPr>
            <w:tcW w:w="3908" w:type="pct"/>
          </w:tcPr>
          <w:p w14:paraId="632E487A" w14:textId="77777777" w:rsidR="00A81C4F" w:rsidRPr="00591C51"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rsidRPr="00591C51">
              <w:t>School Transport Assistance Scheme</w:t>
            </w:r>
          </w:p>
        </w:tc>
      </w:tr>
      <w:tr w:rsidR="00A81C4F" w:rsidRPr="00023C36" w14:paraId="5F25D967"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591D5F59" w14:textId="77777777" w:rsidR="00A81C4F" w:rsidRPr="00591C51" w:rsidRDefault="00A81C4F" w:rsidP="00A87A36">
            <w:pPr>
              <w:pStyle w:val="Normal-table"/>
            </w:pPr>
            <w:r w:rsidRPr="00591C51">
              <w:t>STEM</w:t>
            </w:r>
          </w:p>
        </w:tc>
        <w:tc>
          <w:tcPr>
            <w:tcW w:w="3908" w:type="pct"/>
          </w:tcPr>
          <w:p w14:paraId="56DFB4BF" w14:textId="77777777" w:rsidR="00A81C4F" w:rsidRPr="00591C51"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rsidRPr="00591C51">
              <w:t>Science, technology, engineering and mathematics</w:t>
            </w:r>
          </w:p>
        </w:tc>
      </w:tr>
      <w:tr w:rsidR="00A81C4F" w:rsidRPr="00023C36" w14:paraId="2D59E365"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4A123256" w14:textId="77777777" w:rsidR="00A81C4F" w:rsidRPr="00591C51" w:rsidRDefault="00A81C4F" w:rsidP="00A87A36">
            <w:pPr>
              <w:pStyle w:val="Normal-table"/>
            </w:pPr>
            <w:r w:rsidRPr="00591C51">
              <w:t>STIP</w:t>
            </w:r>
          </w:p>
        </w:tc>
        <w:tc>
          <w:tcPr>
            <w:tcW w:w="3908" w:type="pct"/>
          </w:tcPr>
          <w:p w14:paraId="3721F8FD" w14:textId="77777777" w:rsidR="00A81C4F" w:rsidRPr="00591C51"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rsidRPr="00591C51">
              <w:t>School Transport Infrastructure Program</w:t>
            </w:r>
          </w:p>
        </w:tc>
      </w:tr>
      <w:tr w:rsidR="00A81C4F" w:rsidRPr="00023C36" w14:paraId="5C447B1B"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6C75593A" w14:textId="77777777" w:rsidR="00A81C4F" w:rsidRPr="00591C51" w:rsidRDefault="00A81C4F" w:rsidP="00A87A36">
            <w:pPr>
              <w:pStyle w:val="Normal-table"/>
            </w:pPr>
            <w:r w:rsidRPr="00591C51">
              <w:t>TDx</w:t>
            </w:r>
          </w:p>
        </w:tc>
        <w:tc>
          <w:tcPr>
            <w:tcW w:w="3908" w:type="pct"/>
          </w:tcPr>
          <w:p w14:paraId="6CED0778" w14:textId="77777777" w:rsidR="00A81C4F" w:rsidRPr="00591C51"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rsidRPr="00591C51">
              <w:t xml:space="preserve">Transport Data Exchange </w:t>
            </w:r>
          </w:p>
        </w:tc>
      </w:tr>
      <w:tr w:rsidR="00A81C4F" w:rsidRPr="00023C36" w14:paraId="42BCC7D8"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4A33A608" w14:textId="77777777" w:rsidR="00A81C4F" w:rsidRPr="00591C51" w:rsidRDefault="00A81C4F" w:rsidP="00A87A36">
            <w:pPr>
              <w:pStyle w:val="Normal-table"/>
            </w:pPr>
            <w:r w:rsidRPr="00591C51">
              <w:t>TIDS</w:t>
            </w:r>
          </w:p>
        </w:tc>
        <w:tc>
          <w:tcPr>
            <w:tcW w:w="3908" w:type="pct"/>
          </w:tcPr>
          <w:p w14:paraId="3A7557F9" w14:textId="77777777" w:rsidR="00A81C4F" w:rsidRPr="00591C51"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rsidRPr="00591C51">
              <w:t>Transport Infrastructure Development Scheme</w:t>
            </w:r>
          </w:p>
        </w:tc>
      </w:tr>
      <w:tr w:rsidR="00A81C4F" w:rsidRPr="00023C36" w14:paraId="3BC71CFB"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5F4B81E2" w14:textId="77777777" w:rsidR="00A81C4F" w:rsidRPr="00591C51" w:rsidRDefault="00A81C4F" w:rsidP="00A87A36">
            <w:pPr>
              <w:pStyle w:val="Normal-table"/>
            </w:pPr>
            <w:r>
              <w:t>TMA</w:t>
            </w:r>
          </w:p>
        </w:tc>
        <w:tc>
          <w:tcPr>
            <w:tcW w:w="3908" w:type="pct"/>
          </w:tcPr>
          <w:p w14:paraId="6EC2A1D3" w14:textId="77777777" w:rsidR="00A81C4F" w:rsidRPr="00591C51"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t>Telematics Monitoring Application</w:t>
            </w:r>
          </w:p>
        </w:tc>
      </w:tr>
      <w:tr w:rsidR="00A81C4F" w:rsidRPr="00023C36" w14:paraId="565A65B3"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60AF9070" w14:textId="77777777" w:rsidR="00A81C4F" w:rsidRPr="00591C51" w:rsidRDefault="00A81C4F" w:rsidP="00A87A36">
            <w:pPr>
              <w:pStyle w:val="Normal-table"/>
            </w:pPr>
            <w:r w:rsidRPr="00591C51">
              <w:lastRenderedPageBreak/>
              <w:t>TMR</w:t>
            </w:r>
          </w:p>
        </w:tc>
        <w:tc>
          <w:tcPr>
            <w:tcW w:w="3908" w:type="pct"/>
          </w:tcPr>
          <w:p w14:paraId="4A450EED" w14:textId="77777777" w:rsidR="00A81C4F" w:rsidRPr="00591C51"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rsidRPr="00591C51">
              <w:t>Department of Transport and Main Roads</w:t>
            </w:r>
          </w:p>
        </w:tc>
      </w:tr>
      <w:tr w:rsidR="00A81C4F" w:rsidRPr="00023C36" w14:paraId="0CB178C4"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64FC686E" w14:textId="77777777" w:rsidR="00A81C4F" w:rsidRPr="00591C51" w:rsidRDefault="00A81C4F" w:rsidP="00A87A36">
            <w:pPr>
              <w:pStyle w:val="Normal-table"/>
            </w:pPr>
            <w:r w:rsidRPr="00591C51">
              <w:t>TPaC</w:t>
            </w:r>
          </w:p>
        </w:tc>
        <w:tc>
          <w:tcPr>
            <w:tcW w:w="3908" w:type="pct"/>
          </w:tcPr>
          <w:p w14:paraId="423F2D16" w14:textId="77777777" w:rsidR="00A81C4F" w:rsidRPr="00591C51"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rsidRPr="00591C51">
              <w:t xml:space="preserve">Transport People and Capability Board </w:t>
            </w:r>
          </w:p>
        </w:tc>
      </w:tr>
      <w:tr w:rsidR="00A81C4F" w:rsidRPr="00023C36" w14:paraId="3B24BD56"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0F72AD88" w14:textId="77777777" w:rsidR="00A81C4F" w:rsidRPr="00591C51" w:rsidRDefault="00A81C4F" w:rsidP="00A87A36">
            <w:pPr>
              <w:pStyle w:val="Normal-table"/>
            </w:pPr>
            <w:r w:rsidRPr="00591C51">
              <w:t>TSafe</w:t>
            </w:r>
          </w:p>
        </w:tc>
        <w:tc>
          <w:tcPr>
            <w:tcW w:w="3908" w:type="pct"/>
          </w:tcPr>
          <w:p w14:paraId="3D77E1F8" w14:textId="77777777" w:rsidR="00A81C4F" w:rsidRPr="00591C51"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rsidRPr="00591C51">
              <w:t>TMR Safety Board</w:t>
            </w:r>
          </w:p>
        </w:tc>
      </w:tr>
      <w:tr w:rsidR="00A81C4F" w:rsidRPr="00023C36" w14:paraId="4F4DAE89"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0B8068B5" w14:textId="77777777" w:rsidR="00A81C4F" w:rsidRPr="00591C51" w:rsidRDefault="00A81C4F" w:rsidP="00A87A36">
            <w:pPr>
              <w:pStyle w:val="Normal-table"/>
            </w:pPr>
            <w:r>
              <w:t>TUO</w:t>
            </w:r>
          </w:p>
        </w:tc>
        <w:tc>
          <w:tcPr>
            <w:tcW w:w="3908" w:type="pct"/>
          </w:tcPr>
          <w:p w14:paraId="583DA0C6" w14:textId="77777777" w:rsidR="00A81C4F" w:rsidRPr="00591C51"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t>Tell Us Once</w:t>
            </w:r>
          </w:p>
        </w:tc>
      </w:tr>
      <w:tr w:rsidR="00A81C4F" w:rsidRPr="00023C36" w14:paraId="6B730852"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722D991B" w14:textId="77777777" w:rsidR="00A81C4F" w:rsidRPr="00591C51" w:rsidRDefault="00A81C4F" w:rsidP="00A87A36">
            <w:pPr>
              <w:pStyle w:val="Normal-table"/>
            </w:pPr>
            <w:r w:rsidRPr="00591C51">
              <w:t>UQ</w:t>
            </w:r>
          </w:p>
        </w:tc>
        <w:tc>
          <w:tcPr>
            <w:tcW w:w="3908" w:type="pct"/>
          </w:tcPr>
          <w:p w14:paraId="5A578AC2" w14:textId="77777777" w:rsidR="00A81C4F" w:rsidRPr="00591C51"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rsidRPr="00591C51">
              <w:t xml:space="preserve">University of Queensland </w:t>
            </w:r>
          </w:p>
        </w:tc>
      </w:tr>
      <w:tr w:rsidR="00A81C4F" w:rsidRPr="00023C36" w14:paraId="638B7AB3"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37131572" w14:textId="77777777" w:rsidR="00A81C4F" w:rsidRPr="00591C51" w:rsidRDefault="00A81C4F" w:rsidP="00A87A36">
            <w:pPr>
              <w:pStyle w:val="Normal-table"/>
            </w:pPr>
            <w:r w:rsidRPr="00591C51">
              <w:t>V1</w:t>
            </w:r>
          </w:p>
        </w:tc>
        <w:tc>
          <w:tcPr>
            <w:tcW w:w="3908" w:type="pct"/>
          </w:tcPr>
          <w:p w14:paraId="722A805E" w14:textId="77777777" w:rsidR="00A81C4F" w:rsidRPr="00591C51"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rsidRPr="00591C51">
              <w:t>Veloway 1</w:t>
            </w:r>
          </w:p>
        </w:tc>
      </w:tr>
      <w:tr w:rsidR="00A81C4F" w:rsidRPr="00023C36" w14:paraId="1518B479"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78EF1C3C" w14:textId="77777777" w:rsidR="00A81C4F" w:rsidRPr="00591C51" w:rsidRDefault="00A81C4F" w:rsidP="00A87A36">
            <w:pPr>
              <w:pStyle w:val="Normal-table"/>
            </w:pPr>
            <w:r w:rsidRPr="00591C51">
              <w:t>vWiM</w:t>
            </w:r>
          </w:p>
        </w:tc>
        <w:tc>
          <w:tcPr>
            <w:tcW w:w="3908" w:type="pct"/>
          </w:tcPr>
          <w:p w14:paraId="081B29A1" w14:textId="77777777" w:rsidR="00A81C4F" w:rsidRPr="00591C51"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rsidRPr="00591C51">
              <w:t>Virtual Weigh-in-Motion</w:t>
            </w:r>
          </w:p>
        </w:tc>
      </w:tr>
      <w:tr w:rsidR="00A81C4F" w:rsidRPr="00023C36" w14:paraId="51DC0455"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6FD03529" w14:textId="77777777" w:rsidR="00A81C4F" w:rsidRPr="00591C51" w:rsidRDefault="00A81C4F" w:rsidP="00A87A36">
            <w:pPr>
              <w:pStyle w:val="Normal-table"/>
            </w:pPr>
            <w:r>
              <w:t>WAT</w:t>
            </w:r>
          </w:p>
        </w:tc>
        <w:tc>
          <w:tcPr>
            <w:tcW w:w="3908" w:type="pct"/>
          </w:tcPr>
          <w:p w14:paraId="2194505F" w14:textId="77777777" w:rsidR="00A81C4F" w:rsidRPr="00591C51"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t>Wheelchair Accessible Taxi</w:t>
            </w:r>
          </w:p>
        </w:tc>
      </w:tr>
      <w:tr w:rsidR="00A81C4F" w:rsidRPr="00023C36" w14:paraId="68480F4D"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009F1716" w14:textId="77777777" w:rsidR="00A81C4F" w:rsidRPr="00591C51" w:rsidRDefault="00A81C4F" w:rsidP="00A87A36">
            <w:pPr>
              <w:pStyle w:val="Normal-table"/>
            </w:pPr>
            <w:r w:rsidRPr="00591C51">
              <w:t>WfQ</w:t>
            </w:r>
          </w:p>
        </w:tc>
        <w:tc>
          <w:tcPr>
            <w:tcW w:w="3908" w:type="pct"/>
          </w:tcPr>
          <w:p w14:paraId="7245512D" w14:textId="77777777" w:rsidR="00A81C4F" w:rsidRPr="00591C51"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rsidRPr="00591C51">
              <w:t>Working for Queensland</w:t>
            </w:r>
          </w:p>
        </w:tc>
      </w:tr>
      <w:tr w:rsidR="00A81C4F" w:rsidRPr="00023C36" w14:paraId="3DCCD413"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2F7FEE31" w14:textId="77777777" w:rsidR="00A81C4F" w:rsidRPr="00591C51" w:rsidRDefault="00A81C4F" w:rsidP="00A87A36">
            <w:pPr>
              <w:pStyle w:val="Normal-table"/>
            </w:pPr>
            <w:r>
              <w:t>WHS</w:t>
            </w:r>
          </w:p>
        </w:tc>
        <w:tc>
          <w:tcPr>
            <w:tcW w:w="3908" w:type="pct"/>
          </w:tcPr>
          <w:p w14:paraId="59E192E2" w14:textId="77777777" w:rsidR="00A81C4F" w:rsidRPr="00591C51"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t>Workplace Health and Safety</w:t>
            </w:r>
          </w:p>
        </w:tc>
      </w:tr>
      <w:tr w:rsidR="00A81C4F" w:rsidRPr="00023C36" w14:paraId="46781E74"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pct"/>
          </w:tcPr>
          <w:p w14:paraId="75F0ACEC" w14:textId="77777777" w:rsidR="00A81C4F" w:rsidRDefault="00A81C4F" w:rsidP="00A87A36">
            <w:pPr>
              <w:pStyle w:val="Normal-table"/>
            </w:pPr>
            <w:r>
              <w:t>WiL</w:t>
            </w:r>
          </w:p>
        </w:tc>
        <w:tc>
          <w:tcPr>
            <w:tcW w:w="3908" w:type="pct"/>
          </w:tcPr>
          <w:p w14:paraId="2D26D9A3" w14:textId="77777777" w:rsidR="00A81C4F"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t>Women in Leadership</w:t>
            </w:r>
          </w:p>
        </w:tc>
      </w:tr>
      <w:tr w:rsidR="00A81C4F" w:rsidRPr="00023C36" w14:paraId="3D84BE5D" w14:textId="77777777" w:rsidTr="00A87A36">
        <w:tc>
          <w:tcPr>
            <w:cnfStyle w:val="001000000000" w:firstRow="0" w:lastRow="0" w:firstColumn="1" w:lastColumn="0" w:oddVBand="0" w:evenVBand="0" w:oddHBand="0" w:evenHBand="0" w:firstRowFirstColumn="0" w:firstRowLastColumn="0" w:lastRowFirstColumn="0" w:lastRowLastColumn="0"/>
            <w:tcW w:w="1092" w:type="pct"/>
          </w:tcPr>
          <w:p w14:paraId="0935129F" w14:textId="77777777" w:rsidR="00A81C4F" w:rsidRPr="00591C51" w:rsidRDefault="00A81C4F" w:rsidP="00A87A36">
            <w:pPr>
              <w:pStyle w:val="Normal-table"/>
            </w:pPr>
            <w:r w:rsidRPr="00591C51">
              <w:t>ZEV</w:t>
            </w:r>
          </w:p>
        </w:tc>
        <w:tc>
          <w:tcPr>
            <w:tcW w:w="3908" w:type="pct"/>
          </w:tcPr>
          <w:p w14:paraId="5418265E" w14:textId="77777777" w:rsidR="00A81C4F" w:rsidRPr="00591C51"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rsidRPr="00591C51">
              <w:t>Zero Emission Vehicle</w:t>
            </w:r>
          </w:p>
        </w:tc>
      </w:tr>
    </w:tbl>
    <w:p w14:paraId="35A8C297" w14:textId="77777777" w:rsidR="00093FB8" w:rsidRDefault="00093FB8">
      <w:pPr>
        <w:spacing w:before="0" w:after="160" w:line="259" w:lineRule="auto"/>
        <w:rPr>
          <w:rFonts w:eastAsiaTheme="majorEastAsia" w:cstheme="majorBidi"/>
          <w:color w:val="000000" w:themeColor="text1"/>
          <w:sz w:val="48"/>
          <w:szCs w:val="26"/>
        </w:rPr>
      </w:pPr>
      <w:r>
        <w:br w:type="page"/>
      </w:r>
    </w:p>
    <w:p w14:paraId="7B7492F8" w14:textId="2D7326EB" w:rsidR="00A81C4F" w:rsidRDefault="00A81C4F" w:rsidP="00A81C4F">
      <w:pPr>
        <w:pStyle w:val="Heading2"/>
      </w:pPr>
      <w:r w:rsidRPr="001954E0">
        <w:lastRenderedPageBreak/>
        <w:t xml:space="preserve">Appendix </w:t>
      </w:r>
      <w:r>
        <w:t>9 –</w:t>
      </w:r>
      <w:r w:rsidRPr="001954E0">
        <w:t xml:space="preserve"> Compliance checklist</w:t>
      </w:r>
    </w:p>
    <w:p w14:paraId="42372A8E" w14:textId="77777777" w:rsidR="00A81C4F" w:rsidRDefault="00A81C4F" w:rsidP="00A81C4F">
      <w:pPr>
        <w:pStyle w:val="Heading3"/>
        <w:rPr>
          <w:lang w:val="en-AU"/>
        </w:rPr>
      </w:pPr>
      <w:r w:rsidRPr="001954E0">
        <w:rPr>
          <w:lang w:val="en-AU"/>
        </w:rPr>
        <w:t>Letter of compliance</w:t>
      </w:r>
    </w:p>
    <w:tbl>
      <w:tblPr>
        <w:tblStyle w:val="GridTable4-Accent1"/>
        <w:tblW w:w="5000" w:type="pct"/>
        <w:tblLook w:val="0020" w:firstRow="1" w:lastRow="0" w:firstColumn="0" w:lastColumn="0" w:noHBand="0" w:noVBand="0"/>
      </w:tblPr>
      <w:tblGrid>
        <w:gridCol w:w="3486"/>
        <w:gridCol w:w="3486"/>
        <w:gridCol w:w="3484"/>
      </w:tblGrid>
      <w:tr w:rsidR="00A81C4F" w14:paraId="5A8F86FA" w14:textId="77777777" w:rsidTr="00A87A36">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667" w:type="pct"/>
          </w:tcPr>
          <w:p w14:paraId="59686A2B" w14:textId="77777777" w:rsidR="00A81C4F" w:rsidRPr="001954E0" w:rsidRDefault="00A81C4F" w:rsidP="00F25CF9">
            <w:r w:rsidRPr="001954E0">
              <w:rPr>
                <w:lang w:val="en-AU"/>
              </w:rPr>
              <w:t>Summary of requirement</w:t>
            </w:r>
          </w:p>
        </w:tc>
        <w:tc>
          <w:tcPr>
            <w:tcW w:w="1667" w:type="pct"/>
          </w:tcPr>
          <w:p w14:paraId="15BDD2A2" w14:textId="77777777" w:rsidR="00A81C4F" w:rsidRPr="001954E0" w:rsidRDefault="00A81C4F" w:rsidP="00F25CF9">
            <w:pPr>
              <w:cnfStyle w:val="100000000000" w:firstRow="1" w:lastRow="0" w:firstColumn="0" w:lastColumn="0" w:oddVBand="0" w:evenVBand="0" w:oddHBand="0" w:evenHBand="0" w:firstRowFirstColumn="0" w:firstRowLastColumn="0" w:lastRowFirstColumn="0" w:lastRowLastColumn="0"/>
            </w:pPr>
            <w:r w:rsidRPr="001954E0">
              <w:rPr>
                <w:lang w:val="en-AU"/>
              </w:rPr>
              <w:t>Basis for requirement</w:t>
            </w:r>
          </w:p>
        </w:tc>
        <w:tc>
          <w:tcPr>
            <w:cnfStyle w:val="000010000000" w:firstRow="0" w:lastRow="0" w:firstColumn="0" w:lastColumn="0" w:oddVBand="1" w:evenVBand="0" w:oddHBand="0" w:evenHBand="0" w:firstRowFirstColumn="0" w:firstRowLastColumn="0" w:lastRowFirstColumn="0" w:lastRowLastColumn="0"/>
            <w:tcW w:w="1667" w:type="pct"/>
          </w:tcPr>
          <w:p w14:paraId="2E46509E" w14:textId="77777777" w:rsidR="00A81C4F" w:rsidRPr="001954E0" w:rsidRDefault="00A81C4F" w:rsidP="00F25CF9">
            <w:r w:rsidRPr="001954E0">
              <w:rPr>
                <w:lang w:val="en-AU"/>
              </w:rPr>
              <w:t>Annual report reference</w:t>
            </w:r>
          </w:p>
        </w:tc>
      </w:tr>
      <w:tr w:rsidR="00A81C4F" w14:paraId="7531C36D" w14:textId="77777777" w:rsidTr="00A87A3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4F3A0CE5" w14:textId="77777777" w:rsidR="00A81C4F" w:rsidRPr="003F4260" w:rsidRDefault="00A81C4F" w:rsidP="00F25CF9">
            <w:r w:rsidRPr="001954E0">
              <w:rPr>
                <w:lang w:val="en-AU"/>
              </w:rPr>
              <w:t>A letter of compliance from the accountable officer or statutory body to the relevant Minister/s</w:t>
            </w:r>
          </w:p>
        </w:tc>
        <w:tc>
          <w:tcPr>
            <w:tcW w:w="1667" w:type="pct"/>
          </w:tcPr>
          <w:p w14:paraId="010D9280" w14:textId="77777777" w:rsidR="00A81C4F" w:rsidRPr="003F4260" w:rsidRDefault="00A81C4F" w:rsidP="00F25CF9">
            <w:pPr>
              <w:cnfStyle w:val="000000100000" w:firstRow="0" w:lastRow="0" w:firstColumn="0" w:lastColumn="0" w:oddVBand="0" w:evenVBand="0" w:oddHBand="1" w:evenHBand="0" w:firstRowFirstColumn="0" w:firstRowLastColumn="0" w:lastRowFirstColumn="0" w:lastRowLastColumn="0"/>
            </w:pPr>
            <w:r w:rsidRPr="001954E0">
              <w:rPr>
                <w:lang w:val="en-AU"/>
              </w:rPr>
              <w:t>ARRs – section 7</w:t>
            </w:r>
          </w:p>
        </w:tc>
        <w:tc>
          <w:tcPr>
            <w:cnfStyle w:val="000010000000" w:firstRow="0" w:lastRow="0" w:firstColumn="0" w:lastColumn="0" w:oddVBand="1" w:evenVBand="0" w:oddHBand="0" w:evenHBand="0" w:firstRowFirstColumn="0" w:firstRowLastColumn="0" w:lastRowFirstColumn="0" w:lastRowLastColumn="0"/>
            <w:tcW w:w="1667" w:type="pct"/>
          </w:tcPr>
          <w:p w14:paraId="00B9DBCC" w14:textId="77777777" w:rsidR="00A81C4F" w:rsidRPr="003F4260" w:rsidRDefault="00A81C4F" w:rsidP="00F25CF9"/>
        </w:tc>
      </w:tr>
    </w:tbl>
    <w:p w14:paraId="0A8DA0DF" w14:textId="77777777" w:rsidR="00A81C4F" w:rsidRPr="001954E0" w:rsidRDefault="00A81C4F" w:rsidP="00A81C4F">
      <w:pPr>
        <w:pStyle w:val="Heading3"/>
      </w:pPr>
      <w:r w:rsidRPr="001954E0">
        <w:t>Accessibility</w:t>
      </w:r>
    </w:p>
    <w:tbl>
      <w:tblPr>
        <w:tblStyle w:val="GridTable4-Accent1"/>
        <w:tblW w:w="5000" w:type="pct"/>
        <w:tblLook w:val="04A0" w:firstRow="1" w:lastRow="0" w:firstColumn="1" w:lastColumn="0" w:noHBand="0" w:noVBand="1"/>
      </w:tblPr>
      <w:tblGrid>
        <w:gridCol w:w="3486"/>
        <w:gridCol w:w="3486"/>
        <w:gridCol w:w="3484"/>
      </w:tblGrid>
      <w:tr w:rsidR="00A81C4F" w14:paraId="748AEAEF" w14:textId="77777777" w:rsidTr="00A87A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pct"/>
          </w:tcPr>
          <w:p w14:paraId="766149F3" w14:textId="77777777" w:rsidR="00A81C4F" w:rsidRPr="001954E0" w:rsidRDefault="00A81C4F" w:rsidP="00A87A36">
            <w:pPr>
              <w:pStyle w:val="Normal-table"/>
            </w:pPr>
            <w:r w:rsidRPr="001954E0">
              <w:rPr>
                <w:lang w:val="en-AU"/>
              </w:rPr>
              <w:t>Summary of requirement</w:t>
            </w:r>
          </w:p>
        </w:tc>
        <w:tc>
          <w:tcPr>
            <w:tcW w:w="1667" w:type="pct"/>
          </w:tcPr>
          <w:p w14:paraId="0D5EDF4C" w14:textId="77777777" w:rsidR="00A81C4F" w:rsidRPr="001954E0" w:rsidRDefault="00A81C4F" w:rsidP="00A87A36">
            <w:pPr>
              <w:pStyle w:val="Normal-table"/>
              <w:cnfStyle w:val="100000000000" w:firstRow="1" w:lastRow="0" w:firstColumn="0" w:lastColumn="0" w:oddVBand="0" w:evenVBand="0" w:oddHBand="0" w:evenHBand="0" w:firstRowFirstColumn="0" w:firstRowLastColumn="0" w:lastRowFirstColumn="0" w:lastRowLastColumn="0"/>
            </w:pPr>
            <w:r w:rsidRPr="001954E0">
              <w:rPr>
                <w:lang w:val="en-AU"/>
              </w:rPr>
              <w:t>Basis for requirement</w:t>
            </w:r>
          </w:p>
        </w:tc>
        <w:tc>
          <w:tcPr>
            <w:tcW w:w="1667" w:type="pct"/>
          </w:tcPr>
          <w:p w14:paraId="0BA92F5E" w14:textId="77777777" w:rsidR="00A81C4F" w:rsidRPr="001954E0" w:rsidRDefault="00A81C4F" w:rsidP="00A87A36">
            <w:pPr>
              <w:pStyle w:val="Normal-table"/>
              <w:cnfStyle w:val="100000000000" w:firstRow="1" w:lastRow="0" w:firstColumn="0" w:lastColumn="0" w:oddVBand="0" w:evenVBand="0" w:oddHBand="0" w:evenHBand="0" w:firstRowFirstColumn="0" w:firstRowLastColumn="0" w:lastRowFirstColumn="0" w:lastRowLastColumn="0"/>
            </w:pPr>
            <w:r w:rsidRPr="001954E0">
              <w:rPr>
                <w:lang w:val="en-AU"/>
              </w:rPr>
              <w:t>Annual report reference</w:t>
            </w:r>
          </w:p>
        </w:tc>
      </w:tr>
      <w:tr w:rsidR="00A81C4F" w14:paraId="5847F076"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063BF19" w14:textId="77777777" w:rsidR="00A81C4F" w:rsidRPr="001954E0" w:rsidRDefault="00A81C4F" w:rsidP="00A87A36">
            <w:pPr>
              <w:pStyle w:val="Normal-table"/>
              <w:rPr>
                <w:lang w:val="en-AU"/>
              </w:rPr>
            </w:pPr>
            <w:r w:rsidRPr="001954E0">
              <w:rPr>
                <w:lang w:val="en-AU"/>
              </w:rPr>
              <w:t>Table of contents</w:t>
            </w:r>
          </w:p>
          <w:p w14:paraId="5DA6E7B0" w14:textId="77777777" w:rsidR="00A81C4F" w:rsidRPr="001954E0" w:rsidRDefault="00A81C4F" w:rsidP="00A87A36">
            <w:pPr>
              <w:pStyle w:val="Normal-table"/>
            </w:pPr>
            <w:r w:rsidRPr="001954E0">
              <w:rPr>
                <w:lang w:val="en-AU"/>
              </w:rPr>
              <w:t>Glossary</w:t>
            </w:r>
          </w:p>
        </w:tc>
        <w:tc>
          <w:tcPr>
            <w:tcW w:w="1667" w:type="pct"/>
          </w:tcPr>
          <w:p w14:paraId="67134152" w14:textId="77777777" w:rsidR="00A81C4F" w:rsidRPr="001954E0"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rsidRPr="001954E0">
              <w:rPr>
                <w:lang w:val="en-AU"/>
              </w:rPr>
              <w:t>ARRs – section 9.1</w:t>
            </w:r>
          </w:p>
        </w:tc>
        <w:tc>
          <w:tcPr>
            <w:tcW w:w="1667" w:type="pct"/>
          </w:tcPr>
          <w:p w14:paraId="68BDE6B1" w14:textId="77777777" w:rsidR="00A81C4F" w:rsidRPr="001954E0" w:rsidRDefault="00A81C4F" w:rsidP="00A87A36">
            <w:pPr>
              <w:pStyle w:val="Normal-table"/>
              <w:cnfStyle w:val="000000100000" w:firstRow="0" w:lastRow="0" w:firstColumn="0" w:lastColumn="0" w:oddVBand="0" w:evenVBand="0" w:oddHBand="1" w:evenHBand="0" w:firstRowFirstColumn="0" w:firstRowLastColumn="0" w:lastRowFirstColumn="0" w:lastRowLastColumn="0"/>
            </w:pPr>
          </w:p>
        </w:tc>
      </w:tr>
      <w:tr w:rsidR="00A81C4F" w14:paraId="27D84A9B" w14:textId="77777777" w:rsidTr="00A87A36">
        <w:tc>
          <w:tcPr>
            <w:cnfStyle w:val="001000000000" w:firstRow="0" w:lastRow="0" w:firstColumn="1" w:lastColumn="0" w:oddVBand="0" w:evenVBand="0" w:oddHBand="0" w:evenHBand="0" w:firstRowFirstColumn="0" w:firstRowLastColumn="0" w:lastRowFirstColumn="0" w:lastRowLastColumn="0"/>
            <w:tcW w:w="1667" w:type="pct"/>
          </w:tcPr>
          <w:p w14:paraId="5AE0C8BD" w14:textId="77777777" w:rsidR="00A81C4F" w:rsidRPr="001954E0" w:rsidRDefault="00A81C4F" w:rsidP="00A87A36">
            <w:pPr>
              <w:pStyle w:val="Normal-table"/>
            </w:pPr>
            <w:r w:rsidRPr="001954E0">
              <w:rPr>
                <w:lang w:val="en-AU"/>
              </w:rPr>
              <w:t>Public availability</w:t>
            </w:r>
          </w:p>
        </w:tc>
        <w:tc>
          <w:tcPr>
            <w:tcW w:w="1667" w:type="pct"/>
          </w:tcPr>
          <w:p w14:paraId="7C81EDBF" w14:textId="77777777" w:rsidR="00A81C4F" w:rsidRPr="001954E0"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rsidRPr="001954E0">
              <w:rPr>
                <w:lang w:val="en-AU"/>
              </w:rPr>
              <w:t>ARRs – section 9.2</w:t>
            </w:r>
          </w:p>
        </w:tc>
        <w:tc>
          <w:tcPr>
            <w:tcW w:w="1667" w:type="pct"/>
          </w:tcPr>
          <w:p w14:paraId="1F8AB897" w14:textId="77777777" w:rsidR="00A81C4F" w:rsidRPr="001954E0" w:rsidRDefault="00A81C4F" w:rsidP="00A87A36">
            <w:pPr>
              <w:pStyle w:val="Normal-table"/>
              <w:cnfStyle w:val="000000000000" w:firstRow="0" w:lastRow="0" w:firstColumn="0" w:lastColumn="0" w:oddVBand="0" w:evenVBand="0" w:oddHBand="0" w:evenHBand="0" w:firstRowFirstColumn="0" w:firstRowLastColumn="0" w:lastRowFirstColumn="0" w:lastRowLastColumn="0"/>
            </w:pPr>
          </w:p>
        </w:tc>
      </w:tr>
      <w:tr w:rsidR="00A81C4F" w14:paraId="793301E5"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FB2D64E" w14:textId="77777777" w:rsidR="00A81C4F" w:rsidRPr="001954E0" w:rsidRDefault="00A81C4F" w:rsidP="00A87A36">
            <w:pPr>
              <w:pStyle w:val="Normal-table"/>
            </w:pPr>
            <w:r w:rsidRPr="001954E0">
              <w:rPr>
                <w:lang w:val="en-AU"/>
              </w:rPr>
              <w:t>Interpreter service statement</w:t>
            </w:r>
          </w:p>
        </w:tc>
        <w:tc>
          <w:tcPr>
            <w:tcW w:w="1667" w:type="pct"/>
          </w:tcPr>
          <w:p w14:paraId="7AD43870" w14:textId="77777777" w:rsidR="00A81C4F" w:rsidRPr="001954E0"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rsidRPr="001954E0">
              <w:rPr>
                <w:lang w:val="en-AU"/>
              </w:rPr>
              <w:t>Queensland Government Language Services Policy</w:t>
            </w:r>
          </w:p>
          <w:p w14:paraId="3A86132E" w14:textId="77777777" w:rsidR="00A81C4F" w:rsidRPr="001954E0"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rsidRPr="001954E0">
              <w:rPr>
                <w:lang w:val="en-AU"/>
              </w:rPr>
              <w:t>ARRs – section 9.3</w:t>
            </w:r>
          </w:p>
        </w:tc>
        <w:tc>
          <w:tcPr>
            <w:tcW w:w="1667" w:type="pct"/>
          </w:tcPr>
          <w:p w14:paraId="449A942B" w14:textId="77777777" w:rsidR="00A81C4F" w:rsidRPr="001954E0" w:rsidRDefault="00A81C4F" w:rsidP="00A87A36">
            <w:pPr>
              <w:pStyle w:val="Normal-table"/>
              <w:cnfStyle w:val="000000100000" w:firstRow="0" w:lastRow="0" w:firstColumn="0" w:lastColumn="0" w:oddVBand="0" w:evenVBand="0" w:oddHBand="1" w:evenHBand="0" w:firstRowFirstColumn="0" w:firstRowLastColumn="0" w:lastRowFirstColumn="0" w:lastRowLastColumn="0"/>
            </w:pPr>
          </w:p>
        </w:tc>
      </w:tr>
      <w:tr w:rsidR="00A81C4F" w14:paraId="5C2EEF62" w14:textId="77777777" w:rsidTr="00A87A36">
        <w:tc>
          <w:tcPr>
            <w:cnfStyle w:val="001000000000" w:firstRow="0" w:lastRow="0" w:firstColumn="1" w:lastColumn="0" w:oddVBand="0" w:evenVBand="0" w:oddHBand="0" w:evenHBand="0" w:firstRowFirstColumn="0" w:firstRowLastColumn="0" w:lastRowFirstColumn="0" w:lastRowLastColumn="0"/>
            <w:tcW w:w="1667" w:type="pct"/>
          </w:tcPr>
          <w:p w14:paraId="34DCAAF3" w14:textId="77777777" w:rsidR="00A81C4F" w:rsidRPr="001954E0" w:rsidRDefault="00A81C4F" w:rsidP="00A87A36">
            <w:pPr>
              <w:pStyle w:val="Normal-table"/>
            </w:pPr>
            <w:r w:rsidRPr="001954E0">
              <w:rPr>
                <w:lang w:val="en-AU"/>
              </w:rPr>
              <w:t>Copyright notice</w:t>
            </w:r>
          </w:p>
        </w:tc>
        <w:tc>
          <w:tcPr>
            <w:tcW w:w="1667" w:type="pct"/>
          </w:tcPr>
          <w:p w14:paraId="1096F064" w14:textId="77777777" w:rsidR="00A81C4F" w:rsidRPr="000636D1" w:rsidRDefault="00A81C4F" w:rsidP="00A87A36">
            <w:pPr>
              <w:pStyle w:val="Normal-table"/>
              <w:cnfStyle w:val="000000000000" w:firstRow="0" w:lastRow="0" w:firstColumn="0" w:lastColumn="0" w:oddVBand="0" w:evenVBand="0" w:oddHBand="0" w:evenHBand="0" w:firstRowFirstColumn="0" w:firstRowLastColumn="0" w:lastRowFirstColumn="0" w:lastRowLastColumn="0"/>
              <w:rPr>
                <w:rStyle w:val="Emphasis"/>
              </w:rPr>
            </w:pPr>
            <w:r w:rsidRPr="000636D1">
              <w:rPr>
                <w:rStyle w:val="Emphasis"/>
              </w:rPr>
              <w:t>Copyright Act 1968</w:t>
            </w:r>
          </w:p>
          <w:p w14:paraId="0990E414" w14:textId="77777777" w:rsidR="00A81C4F" w:rsidRPr="001954E0" w:rsidRDefault="00A81C4F" w:rsidP="00A87A36">
            <w:pPr>
              <w:pStyle w:val="Normal-table"/>
              <w:cnfStyle w:val="000000000000" w:firstRow="0" w:lastRow="0" w:firstColumn="0" w:lastColumn="0" w:oddVBand="0" w:evenVBand="0" w:oddHBand="0" w:evenHBand="0" w:firstRowFirstColumn="0" w:firstRowLastColumn="0" w:lastRowFirstColumn="0" w:lastRowLastColumn="0"/>
            </w:pPr>
            <w:r w:rsidRPr="001954E0">
              <w:rPr>
                <w:lang w:val="en-AU"/>
              </w:rPr>
              <w:t>ARRs – section 9.4</w:t>
            </w:r>
          </w:p>
        </w:tc>
        <w:tc>
          <w:tcPr>
            <w:tcW w:w="1667" w:type="pct"/>
          </w:tcPr>
          <w:p w14:paraId="168A8C24" w14:textId="77777777" w:rsidR="00A81C4F" w:rsidRPr="001954E0" w:rsidRDefault="00A81C4F" w:rsidP="00A87A36">
            <w:pPr>
              <w:pStyle w:val="Normal-table"/>
              <w:cnfStyle w:val="000000000000" w:firstRow="0" w:lastRow="0" w:firstColumn="0" w:lastColumn="0" w:oddVBand="0" w:evenVBand="0" w:oddHBand="0" w:evenHBand="0" w:firstRowFirstColumn="0" w:firstRowLastColumn="0" w:lastRowFirstColumn="0" w:lastRowLastColumn="0"/>
            </w:pPr>
          </w:p>
        </w:tc>
      </w:tr>
      <w:tr w:rsidR="00A81C4F" w14:paraId="73609BEB" w14:textId="77777777" w:rsidTr="00A87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FA2662F" w14:textId="77777777" w:rsidR="00A81C4F" w:rsidRPr="001954E0" w:rsidRDefault="00A81C4F" w:rsidP="00A87A36">
            <w:pPr>
              <w:pStyle w:val="Normal-table"/>
            </w:pPr>
            <w:r w:rsidRPr="001954E0">
              <w:rPr>
                <w:lang w:val="en-AU"/>
              </w:rPr>
              <w:t>Information Licensing</w:t>
            </w:r>
          </w:p>
        </w:tc>
        <w:tc>
          <w:tcPr>
            <w:tcW w:w="1667" w:type="pct"/>
          </w:tcPr>
          <w:p w14:paraId="6436DBE9" w14:textId="77777777" w:rsidR="00A81C4F" w:rsidRPr="001954E0" w:rsidRDefault="00A81C4F" w:rsidP="00A87A36">
            <w:pPr>
              <w:pStyle w:val="Normal-table"/>
              <w:cnfStyle w:val="000000100000" w:firstRow="0" w:lastRow="0" w:firstColumn="0" w:lastColumn="0" w:oddVBand="0" w:evenVBand="0" w:oddHBand="1" w:evenHBand="0" w:firstRowFirstColumn="0" w:firstRowLastColumn="0" w:lastRowFirstColumn="0" w:lastRowLastColumn="0"/>
              <w:rPr>
                <w:lang w:val="en-AU"/>
              </w:rPr>
            </w:pPr>
            <w:r w:rsidRPr="001954E0">
              <w:rPr>
                <w:lang w:val="en-AU"/>
              </w:rPr>
              <w:t>QGEA – Information Licensing</w:t>
            </w:r>
          </w:p>
          <w:p w14:paraId="279F5462" w14:textId="77777777" w:rsidR="00A81C4F" w:rsidRPr="001954E0" w:rsidRDefault="00A81C4F" w:rsidP="00A87A36">
            <w:pPr>
              <w:pStyle w:val="Normal-table"/>
              <w:cnfStyle w:val="000000100000" w:firstRow="0" w:lastRow="0" w:firstColumn="0" w:lastColumn="0" w:oddVBand="0" w:evenVBand="0" w:oddHBand="1" w:evenHBand="0" w:firstRowFirstColumn="0" w:firstRowLastColumn="0" w:lastRowFirstColumn="0" w:lastRowLastColumn="0"/>
            </w:pPr>
            <w:r w:rsidRPr="001954E0">
              <w:rPr>
                <w:lang w:val="en-AU"/>
              </w:rPr>
              <w:t>ARRs – section 9.5</w:t>
            </w:r>
          </w:p>
        </w:tc>
        <w:tc>
          <w:tcPr>
            <w:tcW w:w="1667" w:type="pct"/>
          </w:tcPr>
          <w:p w14:paraId="26750C2B" w14:textId="77777777" w:rsidR="00A81C4F" w:rsidRPr="001954E0" w:rsidRDefault="00A81C4F" w:rsidP="00A87A36">
            <w:pPr>
              <w:pStyle w:val="Normal-table"/>
              <w:cnfStyle w:val="000000100000" w:firstRow="0" w:lastRow="0" w:firstColumn="0" w:lastColumn="0" w:oddVBand="0" w:evenVBand="0" w:oddHBand="1" w:evenHBand="0" w:firstRowFirstColumn="0" w:firstRowLastColumn="0" w:lastRowFirstColumn="0" w:lastRowLastColumn="0"/>
            </w:pPr>
          </w:p>
        </w:tc>
      </w:tr>
    </w:tbl>
    <w:p w14:paraId="3108735D" w14:textId="77777777" w:rsidR="00A81C4F" w:rsidRPr="001954E0" w:rsidRDefault="00A81C4F" w:rsidP="00A81C4F">
      <w:pPr>
        <w:pStyle w:val="Heading3"/>
      </w:pPr>
      <w:r w:rsidRPr="003F4260">
        <w:t>General information</w:t>
      </w:r>
    </w:p>
    <w:tbl>
      <w:tblPr>
        <w:tblStyle w:val="GridTable4-Accent1"/>
        <w:tblW w:w="5000" w:type="pct"/>
        <w:tblLook w:val="0020" w:firstRow="1" w:lastRow="0" w:firstColumn="0" w:lastColumn="0" w:noHBand="0" w:noVBand="0"/>
      </w:tblPr>
      <w:tblGrid>
        <w:gridCol w:w="3486"/>
        <w:gridCol w:w="3486"/>
        <w:gridCol w:w="3484"/>
      </w:tblGrid>
      <w:tr w:rsidR="00A81C4F" w14:paraId="7625AAFB" w14:textId="77777777" w:rsidTr="00A87A36">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2C3E71AE" w14:textId="77777777" w:rsidR="00A81C4F" w:rsidRPr="001954E0" w:rsidRDefault="00A81C4F" w:rsidP="00F25CF9">
            <w:r w:rsidRPr="001954E0">
              <w:rPr>
                <w:lang w:val="en-AU"/>
              </w:rPr>
              <w:t>Summary of requirement</w:t>
            </w:r>
          </w:p>
        </w:tc>
        <w:tc>
          <w:tcPr>
            <w:tcW w:w="1667" w:type="pct"/>
          </w:tcPr>
          <w:p w14:paraId="729BF135" w14:textId="77777777" w:rsidR="00A81C4F" w:rsidRPr="001954E0" w:rsidRDefault="00A81C4F" w:rsidP="00F25CF9">
            <w:pPr>
              <w:cnfStyle w:val="100000000000" w:firstRow="1" w:lastRow="0" w:firstColumn="0" w:lastColumn="0" w:oddVBand="0" w:evenVBand="0" w:oddHBand="0" w:evenHBand="0" w:firstRowFirstColumn="0" w:firstRowLastColumn="0" w:lastRowFirstColumn="0" w:lastRowLastColumn="0"/>
            </w:pPr>
            <w:r w:rsidRPr="001954E0">
              <w:rPr>
                <w:lang w:val="en-AU"/>
              </w:rPr>
              <w:t>Basis for requirement</w:t>
            </w:r>
          </w:p>
        </w:tc>
        <w:tc>
          <w:tcPr>
            <w:cnfStyle w:val="000010000000" w:firstRow="0" w:lastRow="0" w:firstColumn="0" w:lastColumn="0" w:oddVBand="1" w:evenVBand="0" w:oddHBand="0" w:evenHBand="0" w:firstRowFirstColumn="0" w:firstRowLastColumn="0" w:lastRowFirstColumn="0" w:lastRowLastColumn="0"/>
            <w:tcW w:w="1667" w:type="pct"/>
          </w:tcPr>
          <w:p w14:paraId="638165A7" w14:textId="77777777" w:rsidR="00A81C4F" w:rsidRPr="001954E0" w:rsidRDefault="00A81C4F" w:rsidP="00F25CF9">
            <w:r w:rsidRPr="001954E0">
              <w:rPr>
                <w:lang w:val="en-AU"/>
              </w:rPr>
              <w:t>Annual report reference</w:t>
            </w:r>
          </w:p>
        </w:tc>
      </w:tr>
      <w:tr w:rsidR="00A81C4F" w14:paraId="7DF64511" w14:textId="77777777" w:rsidTr="00A87A3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1E1D4DEE" w14:textId="77777777" w:rsidR="00A81C4F" w:rsidRPr="001954E0" w:rsidRDefault="00A81C4F" w:rsidP="00F25CF9">
            <w:r w:rsidRPr="001954E0">
              <w:rPr>
                <w:lang w:val="en-AU"/>
              </w:rPr>
              <w:t>Introductory Information</w:t>
            </w:r>
          </w:p>
        </w:tc>
        <w:tc>
          <w:tcPr>
            <w:tcW w:w="1667" w:type="pct"/>
          </w:tcPr>
          <w:p w14:paraId="654368EB" w14:textId="77777777" w:rsidR="00A81C4F" w:rsidRPr="001954E0" w:rsidRDefault="00A81C4F" w:rsidP="00F25CF9">
            <w:pPr>
              <w:cnfStyle w:val="000000100000" w:firstRow="0" w:lastRow="0" w:firstColumn="0" w:lastColumn="0" w:oddVBand="0" w:evenVBand="0" w:oddHBand="1" w:evenHBand="0" w:firstRowFirstColumn="0" w:firstRowLastColumn="0" w:lastRowFirstColumn="0" w:lastRowLastColumn="0"/>
            </w:pPr>
            <w:r w:rsidRPr="001954E0">
              <w:rPr>
                <w:lang w:val="en-AU"/>
              </w:rPr>
              <w:t>ARRs – section 10</w:t>
            </w:r>
          </w:p>
        </w:tc>
        <w:tc>
          <w:tcPr>
            <w:cnfStyle w:val="000010000000" w:firstRow="0" w:lastRow="0" w:firstColumn="0" w:lastColumn="0" w:oddVBand="1" w:evenVBand="0" w:oddHBand="0" w:evenHBand="0" w:firstRowFirstColumn="0" w:firstRowLastColumn="0" w:lastRowFirstColumn="0" w:lastRowLastColumn="0"/>
            <w:tcW w:w="1667" w:type="pct"/>
          </w:tcPr>
          <w:p w14:paraId="661CE7D2" w14:textId="77777777" w:rsidR="00A81C4F" w:rsidRPr="001954E0" w:rsidRDefault="00A81C4F" w:rsidP="00F25CF9"/>
        </w:tc>
      </w:tr>
    </w:tbl>
    <w:p w14:paraId="7112C131" w14:textId="77777777" w:rsidR="00A81C4F" w:rsidRPr="001954E0" w:rsidRDefault="00A81C4F" w:rsidP="00A81C4F">
      <w:pPr>
        <w:pStyle w:val="Heading3"/>
      </w:pPr>
      <w:r w:rsidRPr="003F4260">
        <w:t>Non-financial performance</w:t>
      </w:r>
    </w:p>
    <w:tbl>
      <w:tblPr>
        <w:tblStyle w:val="GridTable4-Accent1"/>
        <w:tblW w:w="5000" w:type="pct"/>
        <w:tblLook w:val="04A0" w:firstRow="1" w:lastRow="0" w:firstColumn="1" w:lastColumn="0" w:noHBand="0" w:noVBand="1"/>
      </w:tblPr>
      <w:tblGrid>
        <w:gridCol w:w="4532"/>
        <w:gridCol w:w="2440"/>
        <w:gridCol w:w="3484"/>
      </w:tblGrid>
      <w:tr w:rsidR="00A81C4F" w14:paraId="00DBFACF" w14:textId="77777777" w:rsidTr="00093F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7" w:type="pct"/>
          </w:tcPr>
          <w:p w14:paraId="778A6ACF" w14:textId="77777777" w:rsidR="00A81C4F" w:rsidRPr="001954E0" w:rsidRDefault="00A81C4F" w:rsidP="000A44EC">
            <w:pPr>
              <w:pStyle w:val="Normal-table"/>
            </w:pPr>
            <w:r w:rsidRPr="001954E0">
              <w:rPr>
                <w:lang w:val="en-AU"/>
              </w:rPr>
              <w:t>Summary of requirement</w:t>
            </w:r>
          </w:p>
        </w:tc>
        <w:tc>
          <w:tcPr>
            <w:tcW w:w="1167" w:type="pct"/>
          </w:tcPr>
          <w:p w14:paraId="14308AB4" w14:textId="77777777" w:rsidR="00A81C4F" w:rsidRPr="001954E0" w:rsidRDefault="00A81C4F" w:rsidP="000A44EC">
            <w:pPr>
              <w:pStyle w:val="Normal-table"/>
              <w:cnfStyle w:val="100000000000" w:firstRow="1" w:lastRow="0" w:firstColumn="0" w:lastColumn="0" w:oddVBand="0" w:evenVBand="0" w:oddHBand="0" w:evenHBand="0" w:firstRowFirstColumn="0" w:firstRowLastColumn="0" w:lastRowFirstColumn="0" w:lastRowLastColumn="0"/>
            </w:pPr>
            <w:r w:rsidRPr="001954E0">
              <w:rPr>
                <w:lang w:val="en-AU"/>
              </w:rPr>
              <w:t>Basis for requirement</w:t>
            </w:r>
          </w:p>
        </w:tc>
        <w:tc>
          <w:tcPr>
            <w:tcW w:w="1666" w:type="pct"/>
          </w:tcPr>
          <w:p w14:paraId="2545C67A" w14:textId="77777777" w:rsidR="00A81C4F" w:rsidRPr="001954E0" w:rsidRDefault="00A81C4F" w:rsidP="000A44EC">
            <w:pPr>
              <w:pStyle w:val="Normal-table"/>
              <w:cnfStyle w:val="100000000000" w:firstRow="1" w:lastRow="0" w:firstColumn="0" w:lastColumn="0" w:oddVBand="0" w:evenVBand="0" w:oddHBand="0" w:evenHBand="0" w:firstRowFirstColumn="0" w:firstRowLastColumn="0" w:lastRowFirstColumn="0" w:lastRowLastColumn="0"/>
            </w:pPr>
            <w:r w:rsidRPr="001954E0">
              <w:rPr>
                <w:lang w:val="en-AU"/>
              </w:rPr>
              <w:t>Annual report reference</w:t>
            </w:r>
          </w:p>
        </w:tc>
      </w:tr>
      <w:tr w:rsidR="00A81C4F" w14:paraId="70C77727" w14:textId="77777777" w:rsidTr="00093F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7" w:type="pct"/>
          </w:tcPr>
          <w:p w14:paraId="12318B6D" w14:textId="77777777" w:rsidR="00A81C4F" w:rsidRPr="001954E0" w:rsidRDefault="00A81C4F" w:rsidP="000A44EC">
            <w:pPr>
              <w:pStyle w:val="Normal-table"/>
            </w:pPr>
            <w:r w:rsidRPr="001954E0">
              <w:rPr>
                <w:lang w:val="en-AU"/>
              </w:rPr>
              <w:t>Government’s objectives for the community and whole-of-government plans/specific initiatives</w:t>
            </w:r>
          </w:p>
        </w:tc>
        <w:tc>
          <w:tcPr>
            <w:tcW w:w="1167" w:type="pct"/>
          </w:tcPr>
          <w:p w14:paraId="11BE9F3B" w14:textId="77777777" w:rsidR="00A81C4F" w:rsidRPr="001954E0" w:rsidRDefault="00A81C4F" w:rsidP="000A44EC">
            <w:pPr>
              <w:pStyle w:val="Normal-table"/>
              <w:cnfStyle w:val="000000100000" w:firstRow="0" w:lastRow="0" w:firstColumn="0" w:lastColumn="0" w:oddVBand="0" w:evenVBand="0" w:oddHBand="1" w:evenHBand="0" w:firstRowFirstColumn="0" w:firstRowLastColumn="0" w:lastRowFirstColumn="0" w:lastRowLastColumn="0"/>
            </w:pPr>
            <w:r w:rsidRPr="001954E0">
              <w:rPr>
                <w:lang w:val="en-AU"/>
              </w:rPr>
              <w:t>ARRs – section 11.1</w:t>
            </w:r>
          </w:p>
        </w:tc>
        <w:tc>
          <w:tcPr>
            <w:tcW w:w="1666" w:type="pct"/>
          </w:tcPr>
          <w:p w14:paraId="58EF561D" w14:textId="77777777" w:rsidR="00A81C4F" w:rsidRPr="001954E0" w:rsidRDefault="00A81C4F" w:rsidP="000A44EC">
            <w:pPr>
              <w:pStyle w:val="Normal-table"/>
              <w:cnfStyle w:val="000000100000" w:firstRow="0" w:lastRow="0" w:firstColumn="0" w:lastColumn="0" w:oddVBand="0" w:evenVBand="0" w:oddHBand="1" w:evenHBand="0" w:firstRowFirstColumn="0" w:firstRowLastColumn="0" w:lastRowFirstColumn="0" w:lastRowLastColumn="0"/>
            </w:pPr>
          </w:p>
        </w:tc>
      </w:tr>
      <w:tr w:rsidR="00A81C4F" w14:paraId="20207BA6" w14:textId="77777777" w:rsidTr="00093FB8">
        <w:tc>
          <w:tcPr>
            <w:cnfStyle w:val="001000000000" w:firstRow="0" w:lastRow="0" w:firstColumn="1" w:lastColumn="0" w:oddVBand="0" w:evenVBand="0" w:oddHBand="0" w:evenHBand="0" w:firstRowFirstColumn="0" w:firstRowLastColumn="0" w:lastRowFirstColumn="0" w:lastRowLastColumn="0"/>
            <w:tcW w:w="2167" w:type="pct"/>
          </w:tcPr>
          <w:p w14:paraId="2F3308CF" w14:textId="77777777" w:rsidR="00A81C4F" w:rsidRPr="001954E0" w:rsidRDefault="00A81C4F" w:rsidP="000A44EC">
            <w:pPr>
              <w:pStyle w:val="Normal-table"/>
            </w:pPr>
            <w:r w:rsidRPr="001954E0">
              <w:rPr>
                <w:lang w:val="en-AU"/>
              </w:rPr>
              <w:t>Agency objectives and performance indicators</w:t>
            </w:r>
          </w:p>
        </w:tc>
        <w:tc>
          <w:tcPr>
            <w:tcW w:w="1167" w:type="pct"/>
          </w:tcPr>
          <w:p w14:paraId="53E5A791" w14:textId="77777777" w:rsidR="00A81C4F" w:rsidRPr="001954E0" w:rsidRDefault="00A81C4F" w:rsidP="000A44EC">
            <w:pPr>
              <w:pStyle w:val="Normal-table"/>
              <w:cnfStyle w:val="000000000000" w:firstRow="0" w:lastRow="0" w:firstColumn="0" w:lastColumn="0" w:oddVBand="0" w:evenVBand="0" w:oddHBand="0" w:evenHBand="0" w:firstRowFirstColumn="0" w:firstRowLastColumn="0" w:lastRowFirstColumn="0" w:lastRowLastColumn="0"/>
            </w:pPr>
            <w:r w:rsidRPr="001954E0">
              <w:rPr>
                <w:lang w:val="en-AU"/>
              </w:rPr>
              <w:t>ARRs – section 11.2</w:t>
            </w:r>
          </w:p>
        </w:tc>
        <w:tc>
          <w:tcPr>
            <w:tcW w:w="1666" w:type="pct"/>
          </w:tcPr>
          <w:p w14:paraId="2C5A529F" w14:textId="77777777" w:rsidR="00A81C4F" w:rsidRPr="001954E0" w:rsidRDefault="00A81C4F" w:rsidP="000A44EC">
            <w:pPr>
              <w:pStyle w:val="Normal-table"/>
              <w:cnfStyle w:val="000000000000" w:firstRow="0" w:lastRow="0" w:firstColumn="0" w:lastColumn="0" w:oddVBand="0" w:evenVBand="0" w:oddHBand="0" w:evenHBand="0" w:firstRowFirstColumn="0" w:firstRowLastColumn="0" w:lastRowFirstColumn="0" w:lastRowLastColumn="0"/>
            </w:pPr>
          </w:p>
        </w:tc>
      </w:tr>
      <w:tr w:rsidR="00A81C4F" w14:paraId="0122575B" w14:textId="77777777" w:rsidTr="00093F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7" w:type="pct"/>
          </w:tcPr>
          <w:p w14:paraId="193459A3" w14:textId="77777777" w:rsidR="00A81C4F" w:rsidRPr="001954E0" w:rsidRDefault="00A81C4F" w:rsidP="000A44EC">
            <w:pPr>
              <w:pStyle w:val="Normal-table"/>
            </w:pPr>
            <w:r w:rsidRPr="001954E0">
              <w:rPr>
                <w:lang w:val="en-AU"/>
              </w:rPr>
              <w:t xml:space="preserve">Agency service areas and service standards </w:t>
            </w:r>
          </w:p>
        </w:tc>
        <w:tc>
          <w:tcPr>
            <w:tcW w:w="1167" w:type="pct"/>
          </w:tcPr>
          <w:p w14:paraId="085F7CE3" w14:textId="77777777" w:rsidR="00A81C4F" w:rsidRPr="001954E0" w:rsidRDefault="00A81C4F" w:rsidP="000A44EC">
            <w:pPr>
              <w:pStyle w:val="Normal-table"/>
              <w:cnfStyle w:val="000000100000" w:firstRow="0" w:lastRow="0" w:firstColumn="0" w:lastColumn="0" w:oddVBand="0" w:evenVBand="0" w:oddHBand="1" w:evenHBand="0" w:firstRowFirstColumn="0" w:firstRowLastColumn="0" w:lastRowFirstColumn="0" w:lastRowLastColumn="0"/>
            </w:pPr>
            <w:r w:rsidRPr="001954E0">
              <w:rPr>
                <w:lang w:val="en-AU"/>
              </w:rPr>
              <w:t>ARRs – section 11.3</w:t>
            </w:r>
          </w:p>
        </w:tc>
        <w:tc>
          <w:tcPr>
            <w:tcW w:w="1666" w:type="pct"/>
          </w:tcPr>
          <w:p w14:paraId="5246CC8E" w14:textId="77777777" w:rsidR="00A81C4F" w:rsidRPr="001954E0" w:rsidRDefault="00A81C4F" w:rsidP="000A44EC">
            <w:pPr>
              <w:pStyle w:val="Normal-table"/>
              <w:cnfStyle w:val="000000100000" w:firstRow="0" w:lastRow="0" w:firstColumn="0" w:lastColumn="0" w:oddVBand="0" w:evenVBand="0" w:oddHBand="1" w:evenHBand="0" w:firstRowFirstColumn="0" w:firstRowLastColumn="0" w:lastRowFirstColumn="0" w:lastRowLastColumn="0"/>
            </w:pPr>
          </w:p>
        </w:tc>
      </w:tr>
    </w:tbl>
    <w:p w14:paraId="6CCA6804" w14:textId="77777777" w:rsidR="00093FB8" w:rsidRDefault="00093FB8" w:rsidP="00A81C4F">
      <w:pPr>
        <w:pStyle w:val="Heading3"/>
      </w:pPr>
    </w:p>
    <w:p w14:paraId="64F641FC" w14:textId="77777777" w:rsidR="00093FB8" w:rsidRDefault="00093FB8">
      <w:pPr>
        <w:spacing w:before="0" w:after="160" w:line="259" w:lineRule="auto"/>
        <w:rPr>
          <w:rFonts w:eastAsiaTheme="majorEastAsia" w:cstheme="majorBidi"/>
          <w:color w:val="000000" w:themeColor="text1"/>
          <w:sz w:val="32"/>
          <w:szCs w:val="24"/>
        </w:rPr>
      </w:pPr>
      <w:r>
        <w:br w:type="page"/>
      </w:r>
    </w:p>
    <w:p w14:paraId="018E5EA1" w14:textId="2C055E0F" w:rsidR="00A81C4F" w:rsidRPr="001954E0" w:rsidRDefault="00A81C4F" w:rsidP="00A81C4F">
      <w:pPr>
        <w:pStyle w:val="Heading3"/>
      </w:pPr>
      <w:r w:rsidRPr="003F4260">
        <w:lastRenderedPageBreak/>
        <w:t>Financial performance</w:t>
      </w:r>
    </w:p>
    <w:tbl>
      <w:tblPr>
        <w:tblStyle w:val="GridTable4-Accent1"/>
        <w:tblW w:w="5000" w:type="pct"/>
        <w:tblLook w:val="0020" w:firstRow="1" w:lastRow="0" w:firstColumn="0" w:lastColumn="0" w:noHBand="0" w:noVBand="0"/>
      </w:tblPr>
      <w:tblGrid>
        <w:gridCol w:w="3486"/>
        <w:gridCol w:w="3486"/>
        <w:gridCol w:w="3484"/>
      </w:tblGrid>
      <w:tr w:rsidR="00A81C4F" w14:paraId="75BBA09A" w14:textId="77777777" w:rsidTr="00DC23F6">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4DD10863" w14:textId="77777777" w:rsidR="00A81C4F" w:rsidRPr="001954E0" w:rsidRDefault="00A81C4F" w:rsidP="000A44EC">
            <w:pPr>
              <w:pStyle w:val="Normal-table"/>
            </w:pPr>
            <w:r w:rsidRPr="001954E0">
              <w:rPr>
                <w:lang w:val="en-AU"/>
              </w:rPr>
              <w:t>Summary of requirement</w:t>
            </w:r>
          </w:p>
        </w:tc>
        <w:tc>
          <w:tcPr>
            <w:tcW w:w="1667" w:type="pct"/>
          </w:tcPr>
          <w:p w14:paraId="673BA182" w14:textId="77777777" w:rsidR="00A81C4F" w:rsidRPr="001954E0" w:rsidRDefault="00A81C4F" w:rsidP="000A44EC">
            <w:pPr>
              <w:pStyle w:val="Normal-table"/>
              <w:cnfStyle w:val="100000000000" w:firstRow="1" w:lastRow="0" w:firstColumn="0" w:lastColumn="0" w:oddVBand="0" w:evenVBand="0" w:oddHBand="0" w:evenHBand="0" w:firstRowFirstColumn="0" w:firstRowLastColumn="0" w:lastRowFirstColumn="0" w:lastRowLastColumn="0"/>
            </w:pPr>
            <w:r w:rsidRPr="001954E0">
              <w:rPr>
                <w:lang w:val="en-AU"/>
              </w:rPr>
              <w:t>Basis for requirement</w:t>
            </w:r>
          </w:p>
        </w:tc>
        <w:tc>
          <w:tcPr>
            <w:cnfStyle w:val="000010000000" w:firstRow="0" w:lastRow="0" w:firstColumn="0" w:lastColumn="0" w:oddVBand="1" w:evenVBand="0" w:oddHBand="0" w:evenHBand="0" w:firstRowFirstColumn="0" w:firstRowLastColumn="0" w:lastRowFirstColumn="0" w:lastRowLastColumn="0"/>
            <w:tcW w:w="1667" w:type="pct"/>
          </w:tcPr>
          <w:p w14:paraId="75AFD642" w14:textId="77777777" w:rsidR="00A81C4F" w:rsidRPr="001954E0" w:rsidRDefault="00A81C4F" w:rsidP="000A44EC">
            <w:pPr>
              <w:pStyle w:val="Normal-table"/>
            </w:pPr>
            <w:r w:rsidRPr="001954E0">
              <w:rPr>
                <w:lang w:val="en-AU"/>
              </w:rPr>
              <w:t>Annual report reference</w:t>
            </w:r>
          </w:p>
        </w:tc>
      </w:tr>
      <w:tr w:rsidR="00A81C4F" w14:paraId="533197CD" w14:textId="77777777" w:rsidTr="00DC23F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3A0D3340" w14:textId="77777777" w:rsidR="00A81C4F" w:rsidRPr="001954E0" w:rsidRDefault="00A81C4F" w:rsidP="000A44EC">
            <w:pPr>
              <w:pStyle w:val="Normal-table"/>
            </w:pPr>
            <w:r w:rsidRPr="001954E0">
              <w:rPr>
                <w:lang w:val="en-AU"/>
              </w:rPr>
              <w:t>Summary of financial performance</w:t>
            </w:r>
          </w:p>
        </w:tc>
        <w:tc>
          <w:tcPr>
            <w:tcW w:w="1667" w:type="pct"/>
          </w:tcPr>
          <w:p w14:paraId="2773E91B" w14:textId="77777777" w:rsidR="00A81C4F" w:rsidRPr="001954E0" w:rsidRDefault="00A81C4F" w:rsidP="000A44EC">
            <w:pPr>
              <w:pStyle w:val="Normal-table"/>
              <w:cnfStyle w:val="000000100000" w:firstRow="0" w:lastRow="0" w:firstColumn="0" w:lastColumn="0" w:oddVBand="0" w:evenVBand="0" w:oddHBand="1" w:evenHBand="0" w:firstRowFirstColumn="0" w:firstRowLastColumn="0" w:lastRowFirstColumn="0" w:lastRowLastColumn="0"/>
            </w:pPr>
            <w:r w:rsidRPr="001954E0">
              <w:rPr>
                <w:lang w:val="en-AU"/>
              </w:rPr>
              <w:t>ARRs – section 12.1</w:t>
            </w:r>
          </w:p>
        </w:tc>
        <w:tc>
          <w:tcPr>
            <w:cnfStyle w:val="000010000000" w:firstRow="0" w:lastRow="0" w:firstColumn="0" w:lastColumn="0" w:oddVBand="1" w:evenVBand="0" w:oddHBand="0" w:evenHBand="0" w:firstRowFirstColumn="0" w:firstRowLastColumn="0" w:lastRowFirstColumn="0" w:lastRowLastColumn="0"/>
            <w:tcW w:w="1667" w:type="pct"/>
          </w:tcPr>
          <w:p w14:paraId="24C275E5" w14:textId="77777777" w:rsidR="00A81C4F" w:rsidRPr="001954E0" w:rsidRDefault="00A81C4F" w:rsidP="000A44EC">
            <w:pPr>
              <w:pStyle w:val="Normal-table"/>
            </w:pPr>
          </w:p>
        </w:tc>
      </w:tr>
    </w:tbl>
    <w:p w14:paraId="078AD8AE" w14:textId="77777777" w:rsidR="00A81C4F" w:rsidRPr="001954E0" w:rsidRDefault="00A81C4F" w:rsidP="00A81C4F">
      <w:pPr>
        <w:pStyle w:val="Heading3"/>
      </w:pPr>
      <w:r w:rsidRPr="003F4260">
        <w:t>Governance</w:t>
      </w:r>
      <w:r>
        <w:t xml:space="preserve"> –</w:t>
      </w:r>
      <w:r w:rsidRPr="003F4260">
        <w:t xml:space="preserve"> management and structure</w:t>
      </w:r>
    </w:p>
    <w:tbl>
      <w:tblPr>
        <w:tblStyle w:val="GridTable4-Accent1"/>
        <w:tblW w:w="5000" w:type="pct"/>
        <w:tblLook w:val="04A0" w:firstRow="1" w:lastRow="0" w:firstColumn="1" w:lastColumn="0" w:noHBand="0" w:noVBand="1"/>
      </w:tblPr>
      <w:tblGrid>
        <w:gridCol w:w="3486"/>
        <w:gridCol w:w="3486"/>
        <w:gridCol w:w="3484"/>
      </w:tblGrid>
      <w:tr w:rsidR="00A81C4F" w14:paraId="17BB8B32" w14:textId="77777777" w:rsidTr="00DC23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4A74102" w14:textId="77777777" w:rsidR="00A81C4F" w:rsidRPr="001954E0" w:rsidRDefault="00A81C4F" w:rsidP="000A44EC">
            <w:pPr>
              <w:pStyle w:val="Normal-table"/>
            </w:pPr>
            <w:r w:rsidRPr="001954E0">
              <w:rPr>
                <w:lang w:val="en-AU"/>
              </w:rPr>
              <w:t>Summary of requirement</w:t>
            </w:r>
          </w:p>
        </w:tc>
        <w:tc>
          <w:tcPr>
            <w:tcW w:w="1667" w:type="pct"/>
          </w:tcPr>
          <w:p w14:paraId="4F75D39A" w14:textId="77777777" w:rsidR="00A81C4F" w:rsidRPr="001954E0" w:rsidRDefault="00A81C4F" w:rsidP="000A44EC">
            <w:pPr>
              <w:pStyle w:val="Normal-table"/>
              <w:cnfStyle w:val="100000000000" w:firstRow="1" w:lastRow="0" w:firstColumn="0" w:lastColumn="0" w:oddVBand="0" w:evenVBand="0" w:oddHBand="0" w:evenHBand="0" w:firstRowFirstColumn="0" w:firstRowLastColumn="0" w:lastRowFirstColumn="0" w:lastRowLastColumn="0"/>
            </w:pPr>
            <w:r w:rsidRPr="001954E0">
              <w:rPr>
                <w:lang w:val="en-AU"/>
              </w:rPr>
              <w:t>Basis for requirement</w:t>
            </w:r>
          </w:p>
        </w:tc>
        <w:tc>
          <w:tcPr>
            <w:tcW w:w="1667" w:type="pct"/>
          </w:tcPr>
          <w:p w14:paraId="764387BE" w14:textId="77777777" w:rsidR="00A81C4F" w:rsidRPr="001954E0" w:rsidRDefault="00A81C4F" w:rsidP="000A44EC">
            <w:pPr>
              <w:pStyle w:val="Normal-table"/>
              <w:cnfStyle w:val="100000000000" w:firstRow="1" w:lastRow="0" w:firstColumn="0" w:lastColumn="0" w:oddVBand="0" w:evenVBand="0" w:oddHBand="0" w:evenHBand="0" w:firstRowFirstColumn="0" w:firstRowLastColumn="0" w:lastRowFirstColumn="0" w:lastRowLastColumn="0"/>
            </w:pPr>
            <w:r w:rsidRPr="001954E0">
              <w:rPr>
                <w:lang w:val="en-AU"/>
              </w:rPr>
              <w:t>Annual report reference</w:t>
            </w:r>
          </w:p>
        </w:tc>
      </w:tr>
      <w:tr w:rsidR="00A81C4F" w14:paraId="6F4CD55D" w14:textId="77777777" w:rsidTr="00DC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0D7CAB8" w14:textId="77777777" w:rsidR="00A81C4F" w:rsidRPr="001954E0" w:rsidRDefault="00A81C4F" w:rsidP="000A44EC">
            <w:pPr>
              <w:pStyle w:val="Normal-table"/>
            </w:pPr>
            <w:r w:rsidRPr="001954E0">
              <w:rPr>
                <w:lang w:val="en-AU"/>
              </w:rPr>
              <w:t xml:space="preserve">Organisational structure </w:t>
            </w:r>
          </w:p>
        </w:tc>
        <w:tc>
          <w:tcPr>
            <w:tcW w:w="1667" w:type="pct"/>
          </w:tcPr>
          <w:p w14:paraId="4188A83F" w14:textId="77777777" w:rsidR="00A81C4F" w:rsidRPr="001954E0" w:rsidRDefault="00A81C4F" w:rsidP="000A44EC">
            <w:pPr>
              <w:pStyle w:val="Normal-table"/>
              <w:cnfStyle w:val="000000100000" w:firstRow="0" w:lastRow="0" w:firstColumn="0" w:lastColumn="0" w:oddVBand="0" w:evenVBand="0" w:oddHBand="1" w:evenHBand="0" w:firstRowFirstColumn="0" w:firstRowLastColumn="0" w:lastRowFirstColumn="0" w:lastRowLastColumn="0"/>
            </w:pPr>
            <w:r w:rsidRPr="001954E0">
              <w:rPr>
                <w:lang w:val="en-AU"/>
              </w:rPr>
              <w:t>ARRs – section 13.1</w:t>
            </w:r>
          </w:p>
        </w:tc>
        <w:tc>
          <w:tcPr>
            <w:tcW w:w="1667" w:type="pct"/>
          </w:tcPr>
          <w:p w14:paraId="32AB4397" w14:textId="77777777" w:rsidR="00A81C4F" w:rsidRPr="001954E0" w:rsidRDefault="00A81C4F" w:rsidP="000A44EC">
            <w:pPr>
              <w:pStyle w:val="Normal-table"/>
              <w:cnfStyle w:val="000000100000" w:firstRow="0" w:lastRow="0" w:firstColumn="0" w:lastColumn="0" w:oddVBand="0" w:evenVBand="0" w:oddHBand="1" w:evenHBand="0" w:firstRowFirstColumn="0" w:firstRowLastColumn="0" w:lastRowFirstColumn="0" w:lastRowLastColumn="0"/>
            </w:pPr>
          </w:p>
        </w:tc>
      </w:tr>
      <w:tr w:rsidR="00A81C4F" w14:paraId="58BCA1EF" w14:textId="77777777" w:rsidTr="00DC23F6">
        <w:tc>
          <w:tcPr>
            <w:cnfStyle w:val="001000000000" w:firstRow="0" w:lastRow="0" w:firstColumn="1" w:lastColumn="0" w:oddVBand="0" w:evenVBand="0" w:oddHBand="0" w:evenHBand="0" w:firstRowFirstColumn="0" w:firstRowLastColumn="0" w:lastRowFirstColumn="0" w:lastRowLastColumn="0"/>
            <w:tcW w:w="1667" w:type="pct"/>
          </w:tcPr>
          <w:p w14:paraId="71A244FF" w14:textId="77777777" w:rsidR="00A81C4F" w:rsidRPr="001954E0" w:rsidRDefault="00A81C4F" w:rsidP="000A44EC">
            <w:pPr>
              <w:pStyle w:val="Normal-table"/>
            </w:pPr>
            <w:r w:rsidRPr="001954E0">
              <w:rPr>
                <w:lang w:val="en-AU"/>
              </w:rPr>
              <w:t>Executive management</w:t>
            </w:r>
          </w:p>
        </w:tc>
        <w:tc>
          <w:tcPr>
            <w:tcW w:w="1667" w:type="pct"/>
          </w:tcPr>
          <w:p w14:paraId="793DE059" w14:textId="77777777" w:rsidR="00A81C4F" w:rsidRPr="001954E0" w:rsidRDefault="00A81C4F" w:rsidP="000A44EC">
            <w:pPr>
              <w:pStyle w:val="Normal-table"/>
              <w:cnfStyle w:val="000000000000" w:firstRow="0" w:lastRow="0" w:firstColumn="0" w:lastColumn="0" w:oddVBand="0" w:evenVBand="0" w:oddHBand="0" w:evenHBand="0" w:firstRowFirstColumn="0" w:firstRowLastColumn="0" w:lastRowFirstColumn="0" w:lastRowLastColumn="0"/>
            </w:pPr>
            <w:r w:rsidRPr="001954E0">
              <w:rPr>
                <w:lang w:val="en-AU"/>
              </w:rPr>
              <w:t>ARRs – section 13.2</w:t>
            </w:r>
          </w:p>
        </w:tc>
        <w:tc>
          <w:tcPr>
            <w:tcW w:w="1667" w:type="pct"/>
          </w:tcPr>
          <w:p w14:paraId="55D49DF5" w14:textId="77777777" w:rsidR="00A81C4F" w:rsidRPr="001954E0" w:rsidRDefault="00A81C4F" w:rsidP="000A44EC">
            <w:pPr>
              <w:pStyle w:val="Normal-table"/>
              <w:cnfStyle w:val="000000000000" w:firstRow="0" w:lastRow="0" w:firstColumn="0" w:lastColumn="0" w:oddVBand="0" w:evenVBand="0" w:oddHBand="0" w:evenHBand="0" w:firstRowFirstColumn="0" w:firstRowLastColumn="0" w:lastRowFirstColumn="0" w:lastRowLastColumn="0"/>
            </w:pPr>
          </w:p>
        </w:tc>
      </w:tr>
      <w:tr w:rsidR="00A81C4F" w14:paraId="270EABE5" w14:textId="77777777" w:rsidTr="00DC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79D372C" w14:textId="77777777" w:rsidR="00A81C4F" w:rsidRPr="001954E0" w:rsidRDefault="00A81C4F" w:rsidP="000A44EC">
            <w:pPr>
              <w:pStyle w:val="Normal-table"/>
            </w:pPr>
            <w:r w:rsidRPr="001954E0">
              <w:rPr>
                <w:lang w:val="en-AU"/>
              </w:rPr>
              <w:t>Government bodies (statutory bodies and other entities)</w:t>
            </w:r>
          </w:p>
        </w:tc>
        <w:tc>
          <w:tcPr>
            <w:tcW w:w="1667" w:type="pct"/>
          </w:tcPr>
          <w:p w14:paraId="455A7BA9" w14:textId="77777777" w:rsidR="00A81C4F" w:rsidRPr="001954E0" w:rsidRDefault="00A81C4F" w:rsidP="000A44EC">
            <w:pPr>
              <w:pStyle w:val="Normal-table"/>
              <w:cnfStyle w:val="000000100000" w:firstRow="0" w:lastRow="0" w:firstColumn="0" w:lastColumn="0" w:oddVBand="0" w:evenVBand="0" w:oddHBand="1" w:evenHBand="0" w:firstRowFirstColumn="0" w:firstRowLastColumn="0" w:lastRowFirstColumn="0" w:lastRowLastColumn="0"/>
            </w:pPr>
            <w:r w:rsidRPr="001954E0">
              <w:rPr>
                <w:lang w:val="en-AU"/>
              </w:rPr>
              <w:t>ARRs – section 13.3</w:t>
            </w:r>
          </w:p>
        </w:tc>
        <w:tc>
          <w:tcPr>
            <w:tcW w:w="1667" w:type="pct"/>
          </w:tcPr>
          <w:p w14:paraId="3B46D2B8" w14:textId="77777777" w:rsidR="00A81C4F" w:rsidRPr="001954E0" w:rsidRDefault="00A81C4F" w:rsidP="000A44EC">
            <w:pPr>
              <w:pStyle w:val="Normal-table"/>
              <w:cnfStyle w:val="000000100000" w:firstRow="0" w:lastRow="0" w:firstColumn="0" w:lastColumn="0" w:oddVBand="0" w:evenVBand="0" w:oddHBand="1" w:evenHBand="0" w:firstRowFirstColumn="0" w:firstRowLastColumn="0" w:lastRowFirstColumn="0" w:lastRowLastColumn="0"/>
            </w:pPr>
          </w:p>
        </w:tc>
      </w:tr>
      <w:tr w:rsidR="00A81C4F" w14:paraId="22D66062" w14:textId="77777777" w:rsidTr="00DC23F6">
        <w:tc>
          <w:tcPr>
            <w:cnfStyle w:val="001000000000" w:firstRow="0" w:lastRow="0" w:firstColumn="1" w:lastColumn="0" w:oddVBand="0" w:evenVBand="0" w:oddHBand="0" w:evenHBand="0" w:firstRowFirstColumn="0" w:firstRowLastColumn="0" w:lastRowFirstColumn="0" w:lastRowLastColumn="0"/>
            <w:tcW w:w="1667" w:type="pct"/>
          </w:tcPr>
          <w:p w14:paraId="78E53BDE" w14:textId="77777777" w:rsidR="00A81C4F" w:rsidRPr="001954E0" w:rsidRDefault="00A81C4F" w:rsidP="000A44EC">
            <w:pPr>
              <w:pStyle w:val="Normal-table"/>
            </w:pPr>
            <w:r w:rsidRPr="001954E0">
              <w:rPr>
                <w:lang w:val="en-AU"/>
              </w:rPr>
              <w:t xml:space="preserve">Public Sector Ethics </w:t>
            </w:r>
          </w:p>
        </w:tc>
        <w:tc>
          <w:tcPr>
            <w:tcW w:w="1667" w:type="pct"/>
          </w:tcPr>
          <w:p w14:paraId="0D369F06" w14:textId="77777777" w:rsidR="00A81C4F" w:rsidRPr="000636D1" w:rsidRDefault="00A81C4F" w:rsidP="000A44EC">
            <w:pPr>
              <w:pStyle w:val="Normal-table"/>
              <w:cnfStyle w:val="000000000000" w:firstRow="0" w:lastRow="0" w:firstColumn="0" w:lastColumn="0" w:oddVBand="0" w:evenVBand="0" w:oddHBand="0" w:evenHBand="0" w:firstRowFirstColumn="0" w:firstRowLastColumn="0" w:lastRowFirstColumn="0" w:lastRowLastColumn="0"/>
              <w:rPr>
                <w:rStyle w:val="Emphasis"/>
              </w:rPr>
            </w:pPr>
            <w:r w:rsidRPr="000636D1">
              <w:rPr>
                <w:rStyle w:val="Emphasis"/>
              </w:rPr>
              <w:t>Public Sector Ethics Act 1994</w:t>
            </w:r>
          </w:p>
          <w:p w14:paraId="037F67E6" w14:textId="77777777" w:rsidR="00A81C4F" w:rsidRPr="001954E0" w:rsidRDefault="00A81C4F" w:rsidP="000A44EC">
            <w:pPr>
              <w:pStyle w:val="Normal-table"/>
              <w:cnfStyle w:val="000000000000" w:firstRow="0" w:lastRow="0" w:firstColumn="0" w:lastColumn="0" w:oddVBand="0" w:evenVBand="0" w:oddHBand="0" w:evenHBand="0" w:firstRowFirstColumn="0" w:firstRowLastColumn="0" w:lastRowFirstColumn="0" w:lastRowLastColumn="0"/>
            </w:pPr>
            <w:r w:rsidRPr="001954E0">
              <w:rPr>
                <w:lang w:val="en-AU"/>
              </w:rPr>
              <w:t>ARRs – section 13.4</w:t>
            </w:r>
          </w:p>
        </w:tc>
        <w:tc>
          <w:tcPr>
            <w:tcW w:w="1667" w:type="pct"/>
          </w:tcPr>
          <w:p w14:paraId="49C1974E" w14:textId="77777777" w:rsidR="00A81C4F" w:rsidRPr="001954E0" w:rsidRDefault="00A81C4F" w:rsidP="000A44EC">
            <w:pPr>
              <w:pStyle w:val="Normal-table"/>
              <w:cnfStyle w:val="000000000000" w:firstRow="0" w:lastRow="0" w:firstColumn="0" w:lastColumn="0" w:oddVBand="0" w:evenVBand="0" w:oddHBand="0" w:evenHBand="0" w:firstRowFirstColumn="0" w:firstRowLastColumn="0" w:lastRowFirstColumn="0" w:lastRowLastColumn="0"/>
            </w:pPr>
          </w:p>
        </w:tc>
      </w:tr>
      <w:tr w:rsidR="00A81C4F" w14:paraId="2829F1A8" w14:textId="77777777" w:rsidTr="00DC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53C494D" w14:textId="77777777" w:rsidR="00A81C4F" w:rsidRPr="001954E0" w:rsidRDefault="00A81C4F" w:rsidP="000A44EC">
            <w:pPr>
              <w:pStyle w:val="Normal-table"/>
            </w:pPr>
            <w:r w:rsidRPr="001954E0">
              <w:rPr>
                <w:lang w:val="en-AU"/>
              </w:rPr>
              <w:t xml:space="preserve">Human Rights </w:t>
            </w:r>
          </w:p>
        </w:tc>
        <w:tc>
          <w:tcPr>
            <w:tcW w:w="1667" w:type="pct"/>
          </w:tcPr>
          <w:p w14:paraId="44D4BD34" w14:textId="77777777" w:rsidR="00A81C4F" w:rsidRPr="000636D1" w:rsidRDefault="00A81C4F" w:rsidP="000A44EC">
            <w:pPr>
              <w:pStyle w:val="Normal-table"/>
              <w:cnfStyle w:val="000000100000" w:firstRow="0" w:lastRow="0" w:firstColumn="0" w:lastColumn="0" w:oddVBand="0" w:evenVBand="0" w:oddHBand="1" w:evenHBand="0" w:firstRowFirstColumn="0" w:firstRowLastColumn="0" w:lastRowFirstColumn="0" w:lastRowLastColumn="0"/>
              <w:rPr>
                <w:rStyle w:val="Emphasis"/>
              </w:rPr>
            </w:pPr>
            <w:r w:rsidRPr="000636D1">
              <w:rPr>
                <w:rStyle w:val="Emphasis"/>
              </w:rPr>
              <w:t>Human Rights Act 2019</w:t>
            </w:r>
          </w:p>
          <w:p w14:paraId="306B5081" w14:textId="77777777" w:rsidR="00A81C4F" w:rsidRPr="001954E0" w:rsidRDefault="00A81C4F" w:rsidP="000A44EC">
            <w:pPr>
              <w:pStyle w:val="Normal-table"/>
              <w:cnfStyle w:val="000000100000" w:firstRow="0" w:lastRow="0" w:firstColumn="0" w:lastColumn="0" w:oddVBand="0" w:evenVBand="0" w:oddHBand="1" w:evenHBand="0" w:firstRowFirstColumn="0" w:firstRowLastColumn="0" w:lastRowFirstColumn="0" w:lastRowLastColumn="0"/>
            </w:pPr>
            <w:r w:rsidRPr="001954E0">
              <w:rPr>
                <w:lang w:val="en-AU"/>
              </w:rPr>
              <w:t>ARRs – section 13.5</w:t>
            </w:r>
          </w:p>
        </w:tc>
        <w:tc>
          <w:tcPr>
            <w:tcW w:w="1667" w:type="pct"/>
          </w:tcPr>
          <w:p w14:paraId="1FFC2BD3" w14:textId="77777777" w:rsidR="00A81C4F" w:rsidRPr="001954E0" w:rsidRDefault="00A81C4F" w:rsidP="000A44EC">
            <w:pPr>
              <w:pStyle w:val="Normal-table"/>
              <w:cnfStyle w:val="000000100000" w:firstRow="0" w:lastRow="0" w:firstColumn="0" w:lastColumn="0" w:oddVBand="0" w:evenVBand="0" w:oddHBand="1" w:evenHBand="0" w:firstRowFirstColumn="0" w:firstRowLastColumn="0" w:lastRowFirstColumn="0" w:lastRowLastColumn="0"/>
            </w:pPr>
          </w:p>
        </w:tc>
      </w:tr>
      <w:tr w:rsidR="00A81C4F" w14:paraId="459C5539" w14:textId="77777777" w:rsidTr="00DC23F6">
        <w:tc>
          <w:tcPr>
            <w:cnfStyle w:val="001000000000" w:firstRow="0" w:lastRow="0" w:firstColumn="1" w:lastColumn="0" w:oddVBand="0" w:evenVBand="0" w:oddHBand="0" w:evenHBand="0" w:firstRowFirstColumn="0" w:firstRowLastColumn="0" w:lastRowFirstColumn="0" w:lastRowLastColumn="0"/>
            <w:tcW w:w="1667" w:type="pct"/>
          </w:tcPr>
          <w:p w14:paraId="6C286FC1" w14:textId="77777777" w:rsidR="00A81C4F" w:rsidRPr="001954E0" w:rsidRDefault="00A81C4F" w:rsidP="000A44EC">
            <w:pPr>
              <w:pStyle w:val="Normal-table"/>
            </w:pPr>
            <w:r w:rsidRPr="001954E0">
              <w:rPr>
                <w:lang w:val="en-AU"/>
              </w:rPr>
              <w:t>Queensland public service values</w:t>
            </w:r>
          </w:p>
        </w:tc>
        <w:tc>
          <w:tcPr>
            <w:tcW w:w="1667" w:type="pct"/>
          </w:tcPr>
          <w:p w14:paraId="66542204" w14:textId="77777777" w:rsidR="00A81C4F" w:rsidRPr="001954E0" w:rsidRDefault="00A81C4F" w:rsidP="000A44EC">
            <w:pPr>
              <w:pStyle w:val="Normal-table"/>
              <w:cnfStyle w:val="000000000000" w:firstRow="0" w:lastRow="0" w:firstColumn="0" w:lastColumn="0" w:oddVBand="0" w:evenVBand="0" w:oddHBand="0" w:evenHBand="0" w:firstRowFirstColumn="0" w:firstRowLastColumn="0" w:lastRowFirstColumn="0" w:lastRowLastColumn="0"/>
            </w:pPr>
            <w:r w:rsidRPr="001954E0">
              <w:rPr>
                <w:lang w:val="en-AU"/>
              </w:rPr>
              <w:t>ARRs – section 13.6</w:t>
            </w:r>
          </w:p>
        </w:tc>
        <w:tc>
          <w:tcPr>
            <w:tcW w:w="1667" w:type="pct"/>
          </w:tcPr>
          <w:p w14:paraId="44A9EAAA" w14:textId="77777777" w:rsidR="00A81C4F" w:rsidRPr="001954E0" w:rsidRDefault="00A81C4F" w:rsidP="000A44EC">
            <w:pPr>
              <w:pStyle w:val="Normal-table"/>
              <w:cnfStyle w:val="000000000000" w:firstRow="0" w:lastRow="0" w:firstColumn="0" w:lastColumn="0" w:oddVBand="0" w:evenVBand="0" w:oddHBand="0" w:evenHBand="0" w:firstRowFirstColumn="0" w:firstRowLastColumn="0" w:lastRowFirstColumn="0" w:lastRowLastColumn="0"/>
            </w:pPr>
          </w:p>
        </w:tc>
      </w:tr>
    </w:tbl>
    <w:p w14:paraId="1B8CA58D" w14:textId="77777777" w:rsidR="00A81C4F" w:rsidRPr="001954E0" w:rsidRDefault="00A81C4F" w:rsidP="00A81C4F">
      <w:pPr>
        <w:pStyle w:val="Heading3"/>
      </w:pPr>
      <w:r w:rsidRPr="003F4260">
        <w:t>Governance</w:t>
      </w:r>
      <w:r>
        <w:t xml:space="preserve"> –</w:t>
      </w:r>
      <w:r w:rsidRPr="003F4260">
        <w:t xml:space="preserve"> risk management and accountability</w:t>
      </w:r>
    </w:p>
    <w:tbl>
      <w:tblPr>
        <w:tblStyle w:val="GridTable4-Accent1"/>
        <w:tblW w:w="5000" w:type="pct"/>
        <w:tblLook w:val="04A0" w:firstRow="1" w:lastRow="0" w:firstColumn="1" w:lastColumn="0" w:noHBand="0" w:noVBand="1"/>
      </w:tblPr>
      <w:tblGrid>
        <w:gridCol w:w="3486"/>
        <w:gridCol w:w="3486"/>
        <w:gridCol w:w="3484"/>
      </w:tblGrid>
      <w:tr w:rsidR="00A81C4F" w14:paraId="7ABEB327" w14:textId="77777777" w:rsidTr="00DC23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DB7DE92" w14:textId="77777777" w:rsidR="00A81C4F" w:rsidRPr="001954E0" w:rsidRDefault="00A81C4F" w:rsidP="000A44EC">
            <w:pPr>
              <w:pStyle w:val="Normal-table"/>
            </w:pPr>
            <w:r w:rsidRPr="001954E0">
              <w:rPr>
                <w:lang w:val="en-AU"/>
              </w:rPr>
              <w:t>Summary of requirement</w:t>
            </w:r>
          </w:p>
        </w:tc>
        <w:tc>
          <w:tcPr>
            <w:tcW w:w="1667" w:type="pct"/>
          </w:tcPr>
          <w:p w14:paraId="11E28AC4" w14:textId="77777777" w:rsidR="00A81C4F" w:rsidRPr="001954E0" w:rsidRDefault="00A81C4F" w:rsidP="000A44EC">
            <w:pPr>
              <w:pStyle w:val="Normal-table"/>
              <w:cnfStyle w:val="100000000000" w:firstRow="1" w:lastRow="0" w:firstColumn="0" w:lastColumn="0" w:oddVBand="0" w:evenVBand="0" w:oddHBand="0" w:evenHBand="0" w:firstRowFirstColumn="0" w:firstRowLastColumn="0" w:lastRowFirstColumn="0" w:lastRowLastColumn="0"/>
            </w:pPr>
            <w:r w:rsidRPr="001954E0">
              <w:rPr>
                <w:lang w:val="en-AU"/>
              </w:rPr>
              <w:t>Basis for requirement</w:t>
            </w:r>
          </w:p>
        </w:tc>
        <w:tc>
          <w:tcPr>
            <w:tcW w:w="1667" w:type="pct"/>
          </w:tcPr>
          <w:p w14:paraId="3AF24144" w14:textId="77777777" w:rsidR="00A81C4F" w:rsidRPr="001954E0" w:rsidRDefault="00A81C4F" w:rsidP="000A44EC">
            <w:pPr>
              <w:pStyle w:val="Normal-table"/>
              <w:cnfStyle w:val="100000000000" w:firstRow="1" w:lastRow="0" w:firstColumn="0" w:lastColumn="0" w:oddVBand="0" w:evenVBand="0" w:oddHBand="0" w:evenHBand="0" w:firstRowFirstColumn="0" w:firstRowLastColumn="0" w:lastRowFirstColumn="0" w:lastRowLastColumn="0"/>
            </w:pPr>
            <w:r w:rsidRPr="001954E0">
              <w:rPr>
                <w:lang w:val="en-AU"/>
              </w:rPr>
              <w:t>Annual report reference</w:t>
            </w:r>
          </w:p>
        </w:tc>
      </w:tr>
      <w:tr w:rsidR="00A81C4F" w14:paraId="3BECDFCE" w14:textId="77777777" w:rsidTr="00DC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0EBDD20" w14:textId="77777777" w:rsidR="00A81C4F" w:rsidRPr="001954E0" w:rsidRDefault="00A81C4F" w:rsidP="000A44EC">
            <w:pPr>
              <w:pStyle w:val="Normal-table"/>
            </w:pPr>
            <w:r w:rsidRPr="001954E0">
              <w:rPr>
                <w:lang w:val="en-AU"/>
              </w:rPr>
              <w:t>Risk management</w:t>
            </w:r>
          </w:p>
        </w:tc>
        <w:tc>
          <w:tcPr>
            <w:tcW w:w="1667" w:type="pct"/>
          </w:tcPr>
          <w:p w14:paraId="738ED523" w14:textId="77777777" w:rsidR="00A81C4F" w:rsidRPr="001954E0" w:rsidRDefault="00A81C4F" w:rsidP="000A44EC">
            <w:pPr>
              <w:pStyle w:val="Normal-table"/>
              <w:cnfStyle w:val="000000100000" w:firstRow="0" w:lastRow="0" w:firstColumn="0" w:lastColumn="0" w:oddVBand="0" w:evenVBand="0" w:oddHBand="1" w:evenHBand="0" w:firstRowFirstColumn="0" w:firstRowLastColumn="0" w:lastRowFirstColumn="0" w:lastRowLastColumn="0"/>
            </w:pPr>
            <w:r w:rsidRPr="001954E0">
              <w:rPr>
                <w:lang w:val="en-AU"/>
              </w:rPr>
              <w:t>ARRs – section 14.1</w:t>
            </w:r>
          </w:p>
        </w:tc>
        <w:tc>
          <w:tcPr>
            <w:tcW w:w="1667" w:type="pct"/>
          </w:tcPr>
          <w:p w14:paraId="4993889E" w14:textId="77777777" w:rsidR="00A81C4F" w:rsidRPr="001954E0" w:rsidRDefault="00A81C4F" w:rsidP="000A44EC">
            <w:pPr>
              <w:pStyle w:val="Normal-table"/>
              <w:cnfStyle w:val="000000100000" w:firstRow="0" w:lastRow="0" w:firstColumn="0" w:lastColumn="0" w:oddVBand="0" w:evenVBand="0" w:oddHBand="1" w:evenHBand="0" w:firstRowFirstColumn="0" w:firstRowLastColumn="0" w:lastRowFirstColumn="0" w:lastRowLastColumn="0"/>
            </w:pPr>
          </w:p>
        </w:tc>
      </w:tr>
      <w:tr w:rsidR="00A81C4F" w14:paraId="49B7DC7C" w14:textId="77777777" w:rsidTr="00DC23F6">
        <w:tc>
          <w:tcPr>
            <w:cnfStyle w:val="001000000000" w:firstRow="0" w:lastRow="0" w:firstColumn="1" w:lastColumn="0" w:oddVBand="0" w:evenVBand="0" w:oddHBand="0" w:evenHBand="0" w:firstRowFirstColumn="0" w:firstRowLastColumn="0" w:lastRowFirstColumn="0" w:lastRowLastColumn="0"/>
            <w:tcW w:w="1667" w:type="pct"/>
          </w:tcPr>
          <w:p w14:paraId="0952A37A" w14:textId="77777777" w:rsidR="00A81C4F" w:rsidRPr="001954E0" w:rsidRDefault="00A81C4F" w:rsidP="000A44EC">
            <w:pPr>
              <w:pStyle w:val="Normal-table"/>
            </w:pPr>
            <w:r w:rsidRPr="001954E0">
              <w:rPr>
                <w:lang w:val="en-AU"/>
              </w:rPr>
              <w:t>Audit committee</w:t>
            </w:r>
          </w:p>
        </w:tc>
        <w:tc>
          <w:tcPr>
            <w:tcW w:w="1667" w:type="pct"/>
          </w:tcPr>
          <w:p w14:paraId="4256374B" w14:textId="77777777" w:rsidR="00A81C4F" w:rsidRPr="001954E0" w:rsidRDefault="00A81C4F" w:rsidP="000A44EC">
            <w:pPr>
              <w:pStyle w:val="Normal-table"/>
              <w:cnfStyle w:val="000000000000" w:firstRow="0" w:lastRow="0" w:firstColumn="0" w:lastColumn="0" w:oddVBand="0" w:evenVBand="0" w:oddHBand="0" w:evenHBand="0" w:firstRowFirstColumn="0" w:firstRowLastColumn="0" w:lastRowFirstColumn="0" w:lastRowLastColumn="0"/>
            </w:pPr>
            <w:r w:rsidRPr="001954E0">
              <w:rPr>
                <w:lang w:val="en-AU"/>
              </w:rPr>
              <w:t>ARRs – section 14.2</w:t>
            </w:r>
          </w:p>
        </w:tc>
        <w:tc>
          <w:tcPr>
            <w:tcW w:w="1667" w:type="pct"/>
          </w:tcPr>
          <w:p w14:paraId="00940607" w14:textId="77777777" w:rsidR="00A81C4F" w:rsidRPr="001954E0" w:rsidRDefault="00A81C4F" w:rsidP="000A44EC">
            <w:pPr>
              <w:pStyle w:val="Normal-table"/>
              <w:cnfStyle w:val="000000000000" w:firstRow="0" w:lastRow="0" w:firstColumn="0" w:lastColumn="0" w:oddVBand="0" w:evenVBand="0" w:oddHBand="0" w:evenHBand="0" w:firstRowFirstColumn="0" w:firstRowLastColumn="0" w:lastRowFirstColumn="0" w:lastRowLastColumn="0"/>
            </w:pPr>
          </w:p>
        </w:tc>
      </w:tr>
      <w:tr w:rsidR="00A81C4F" w14:paraId="647210B4" w14:textId="77777777" w:rsidTr="00DC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D9265C1" w14:textId="77777777" w:rsidR="00A81C4F" w:rsidRPr="001954E0" w:rsidRDefault="00A81C4F" w:rsidP="000A44EC">
            <w:pPr>
              <w:pStyle w:val="Normal-table"/>
            </w:pPr>
            <w:r w:rsidRPr="001954E0">
              <w:rPr>
                <w:lang w:val="en-AU"/>
              </w:rPr>
              <w:t>Internal audit</w:t>
            </w:r>
          </w:p>
        </w:tc>
        <w:tc>
          <w:tcPr>
            <w:tcW w:w="1667" w:type="pct"/>
          </w:tcPr>
          <w:p w14:paraId="645660D9" w14:textId="77777777" w:rsidR="00A81C4F" w:rsidRPr="001954E0" w:rsidRDefault="00A81C4F" w:rsidP="000A44EC">
            <w:pPr>
              <w:pStyle w:val="Normal-table"/>
              <w:cnfStyle w:val="000000100000" w:firstRow="0" w:lastRow="0" w:firstColumn="0" w:lastColumn="0" w:oddVBand="0" w:evenVBand="0" w:oddHBand="1" w:evenHBand="0" w:firstRowFirstColumn="0" w:firstRowLastColumn="0" w:lastRowFirstColumn="0" w:lastRowLastColumn="0"/>
            </w:pPr>
            <w:r w:rsidRPr="001954E0">
              <w:rPr>
                <w:lang w:val="en-AU"/>
              </w:rPr>
              <w:t>ARRs – section 14.3</w:t>
            </w:r>
          </w:p>
        </w:tc>
        <w:tc>
          <w:tcPr>
            <w:tcW w:w="1667" w:type="pct"/>
          </w:tcPr>
          <w:p w14:paraId="60CE4676" w14:textId="77777777" w:rsidR="00A81C4F" w:rsidRPr="001954E0" w:rsidRDefault="00A81C4F" w:rsidP="000A44EC">
            <w:pPr>
              <w:pStyle w:val="Normal-table"/>
              <w:cnfStyle w:val="000000100000" w:firstRow="0" w:lastRow="0" w:firstColumn="0" w:lastColumn="0" w:oddVBand="0" w:evenVBand="0" w:oddHBand="1" w:evenHBand="0" w:firstRowFirstColumn="0" w:firstRowLastColumn="0" w:lastRowFirstColumn="0" w:lastRowLastColumn="0"/>
            </w:pPr>
          </w:p>
        </w:tc>
      </w:tr>
      <w:tr w:rsidR="00A81C4F" w14:paraId="20C57883" w14:textId="77777777" w:rsidTr="00DC23F6">
        <w:tc>
          <w:tcPr>
            <w:cnfStyle w:val="001000000000" w:firstRow="0" w:lastRow="0" w:firstColumn="1" w:lastColumn="0" w:oddVBand="0" w:evenVBand="0" w:oddHBand="0" w:evenHBand="0" w:firstRowFirstColumn="0" w:firstRowLastColumn="0" w:lastRowFirstColumn="0" w:lastRowLastColumn="0"/>
            <w:tcW w:w="1667" w:type="pct"/>
          </w:tcPr>
          <w:p w14:paraId="06F7C28E" w14:textId="77777777" w:rsidR="00A81C4F" w:rsidRPr="001954E0" w:rsidRDefault="00A81C4F" w:rsidP="000A44EC">
            <w:pPr>
              <w:pStyle w:val="Normal-table"/>
            </w:pPr>
            <w:r w:rsidRPr="001954E0">
              <w:rPr>
                <w:lang w:val="en-AU"/>
              </w:rPr>
              <w:t>External scrutiny</w:t>
            </w:r>
          </w:p>
        </w:tc>
        <w:tc>
          <w:tcPr>
            <w:tcW w:w="1667" w:type="pct"/>
          </w:tcPr>
          <w:p w14:paraId="69EF6A0C" w14:textId="77777777" w:rsidR="00A81C4F" w:rsidRPr="001954E0" w:rsidRDefault="00A81C4F" w:rsidP="000A44EC">
            <w:pPr>
              <w:pStyle w:val="Normal-table"/>
              <w:cnfStyle w:val="000000000000" w:firstRow="0" w:lastRow="0" w:firstColumn="0" w:lastColumn="0" w:oddVBand="0" w:evenVBand="0" w:oddHBand="0" w:evenHBand="0" w:firstRowFirstColumn="0" w:firstRowLastColumn="0" w:lastRowFirstColumn="0" w:lastRowLastColumn="0"/>
            </w:pPr>
            <w:r w:rsidRPr="001954E0">
              <w:rPr>
                <w:lang w:val="en-AU"/>
              </w:rPr>
              <w:t>ARRs – section 14.4</w:t>
            </w:r>
          </w:p>
        </w:tc>
        <w:tc>
          <w:tcPr>
            <w:tcW w:w="1667" w:type="pct"/>
          </w:tcPr>
          <w:p w14:paraId="20C42B7F" w14:textId="77777777" w:rsidR="00A81C4F" w:rsidRPr="001954E0" w:rsidRDefault="00A81C4F" w:rsidP="000A44EC">
            <w:pPr>
              <w:pStyle w:val="Normal-table"/>
              <w:cnfStyle w:val="000000000000" w:firstRow="0" w:lastRow="0" w:firstColumn="0" w:lastColumn="0" w:oddVBand="0" w:evenVBand="0" w:oddHBand="0" w:evenHBand="0" w:firstRowFirstColumn="0" w:firstRowLastColumn="0" w:lastRowFirstColumn="0" w:lastRowLastColumn="0"/>
            </w:pPr>
          </w:p>
        </w:tc>
      </w:tr>
      <w:tr w:rsidR="00A81C4F" w14:paraId="77B8201A" w14:textId="77777777" w:rsidTr="00DC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2ACF71B" w14:textId="77777777" w:rsidR="00A81C4F" w:rsidRPr="001954E0" w:rsidRDefault="00A81C4F" w:rsidP="000A44EC">
            <w:pPr>
              <w:pStyle w:val="Normal-table"/>
            </w:pPr>
            <w:r w:rsidRPr="001954E0">
              <w:rPr>
                <w:lang w:val="en-AU"/>
              </w:rPr>
              <w:t>Information systems and recordkeeping</w:t>
            </w:r>
          </w:p>
        </w:tc>
        <w:tc>
          <w:tcPr>
            <w:tcW w:w="1667" w:type="pct"/>
          </w:tcPr>
          <w:p w14:paraId="5090A584" w14:textId="77777777" w:rsidR="00A81C4F" w:rsidRPr="001954E0" w:rsidRDefault="00A81C4F" w:rsidP="000A44EC">
            <w:pPr>
              <w:pStyle w:val="Normal-table"/>
              <w:cnfStyle w:val="000000100000" w:firstRow="0" w:lastRow="0" w:firstColumn="0" w:lastColumn="0" w:oddVBand="0" w:evenVBand="0" w:oddHBand="1" w:evenHBand="0" w:firstRowFirstColumn="0" w:firstRowLastColumn="0" w:lastRowFirstColumn="0" w:lastRowLastColumn="0"/>
            </w:pPr>
            <w:r w:rsidRPr="001954E0">
              <w:rPr>
                <w:lang w:val="en-AU"/>
              </w:rPr>
              <w:t>ARRs – section 14.5</w:t>
            </w:r>
          </w:p>
        </w:tc>
        <w:tc>
          <w:tcPr>
            <w:tcW w:w="1667" w:type="pct"/>
          </w:tcPr>
          <w:p w14:paraId="582AA992" w14:textId="77777777" w:rsidR="00A81C4F" w:rsidRPr="001954E0" w:rsidRDefault="00A81C4F" w:rsidP="000A44EC">
            <w:pPr>
              <w:pStyle w:val="Normal-table"/>
              <w:cnfStyle w:val="000000100000" w:firstRow="0" w:lastRow="0" w:firstColumn="0" w:lastColumn="0" w:oddVBand="0" w:evenVBand="0" w:oddHBand="1" w:evenHBand="0" w:firstRowFirstColumn="0" w:firstRowLastColumn="0" w:lastRowFirstColumn="0" w:lastRowLastColumn="0"/>
            </w:pPr>
          </w:p>
        </w:tc>
      </w:tr>
      <w:tr w:rsidR="00A81C4F" w14:paraId="7945AC41" w14:textId="77777777" w:rsidTr="00DC23F6">
        <w:tc>
          <w:tcPr>
            <w:cnfStyle w:val="001000000000" w:firstRow="0" w:lastRow="0" w:firstColumn="1" w:lastColumn="0" w:oddVBand="0" w:evenVBand="0" w:oddHBand="0" w:evenHBand="0" w:firstRowFirstColumn="0" w:firstRowLastColumn="0" w:lastRowFirstColumn="0" w:lastRowLastColumn="0"/>
            <w:tcW w:w="1667" w:type="pct"/>
          </w:tcPr>
          <w:p w14:paraId="6DB46C05" w14:textId="77777777" w:rsidR="00A81C4F" w:rsidRPr="001954E0" w:rsidRDefault="00A81C4F" w:rsidP="000A44EC">
            <w:pPr>
              <w:pStyle w:val="Normal-table"/>
            </w:pPr>
            <w:r w:rsidRPr="001954E0">
              <w:rPr>
                <w:lang w:val="en-AU"/>
              </w:rPr>
              <w:t>Information Security attestation</w:t>
            </w:r>
          </w:p>
        </w:tc>
        <w:tc>
          <w:tcPr>
            <w:tcW w:w="1667" w:type="pct"/>
          </w:tcPr>
          <w:p w14:paraId="3DA0EF48" w14:textId="77777777" w:rsidR="00A81C4F" w:rsidRPr="001954E0" w:rsidRDefault="00A81C4F" w:rsidP="000A44EC">
            <w:pPr>
              <w:pStyle w:val="Normal-table"/>
              <w:cnfStyle w:val="000000000000" w:firstRow="0" w:lastRow="0" w:firstColumn="0" w:lastColumn="0" w:oddVBand="0" w:evenVBand="0" w:oddHBand="0" w:evenHBand="0" w:firstRowFirstColumn="0" w:firstRowLastColumn="0" w:lastRowFirstColumn="0" w:lastRowLastColumn="0"/>
            </w:pPr>
            <w:r w:rsidRPr="001954E0">
              <w:rPr>
                <w:lang w:val="en-AU"/>
              </w:rPr>
              <w:t>ARRs – section 14.6</w:t>
            </w:r>
          </w:p>
        </w:tc>
        <w:tc>
          <w:tcPr>
            <w:tcW w:w="1667" w:type="pct"/>
          </w:tcPr>
          <w:p w14:paraId="6208738C" w14:textId="77777777" w:rsidR="00A81C4F" w:rsidRPr="001954E0" w:rsidRDefault="00A81C4F" w:rsidP="000A44EC">
            <w:pPr>
              <w:pStyle w:val="Normal-table"/>
              <w:cnfStyle w:val="000000000000" w:firstRow="0" w:lastRow="0" w:firstColumn="0" w:lastColumn="0" w:oddVBand="0" w:evenVBand="0" w:oddHBand="0" w:evenHBand="0" w:firstRowFirstColumn="0" w:firstRowLastColumn="0" w:lastRowFirstColumn="0" w:lastRowLastColumn="0"/>
            </w:pPr>
          </w:p>
        </w:tc>
      </w:tr>
    </w:tbl>
    <w:p w14:paraId="4DC55D54" w14:textId="77777777" w:rsidR="00A81C4F" w:rsidRPr="001954E0" w:rsidRDefault="00A81C4F" w:rsidP="00A81C4F">
      <w:pPr>
        <w:pStyle w:val="Heading3"/>
      </w:pPr>
      <w:r w:rsidRPr="003F4260">
        <w:t>Governance</w:t>
      </w:r>
      <w:r>
        <w:t xml:space="preserve"> –</w:t>
      </w:r>
      <w:r w:rsidRPr="003F4260">
        <w:t xml:space="preserve"> human resources</w:t>
      </w:r>
    </w:p>
    <w:tbl>
      <w:tblPr>
        <w:tblStyle w:val="GridTable4-Accent1"/>
        <w:tblW w:w="5000" w:type="pct"/>
        <w:tblLook w:val="04A0" w:firstRow="1" w:lastRow="0" w:firstColumn="1" w:lastColumn="0" w:noHBand="0" w:noVBand="1"/>
      </w:tblPr>
      <w:tblGrid>
        <w:gridCol w:w="3486"/>
        <w:gridCol w:w="3486"/>
        <w:gridCol w:w="3484"/>
      </w:tblGrid>
      <w:tr w:rsidR="00A81C4F" w14:paraId="49BFAF80" w14:textId="77777777" w:rsidTr="00DC23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pct"/>
          </w:tcPr>
          <w:p w14:paraId="279A3AC8" w14:textId="77777777" w:rsidR="00A81C4F" w:rsidRPr="001954E0" w:rsidRDefault="00A81C4F" w:rsidP="000A44EC">
            <w:pPr>
              <w:pStyle w:val="Normal-table"/>
            </w:pPr>
            <w:r w:rsidRPr="001954E0">
              <w:rPr>
                <w:lang w:val="en-AU"/>
              </w:rPr>
              <w:t>Summary of requirement</w:t>
            </w:r>
          </w:p>
        </w:tc>
        <w:tc>
          <w:tcPr>
            <w:tcW w:w="1667" w:type="pct"/>
          </w:tcPr>
          <w:p w14:paraId="62CDD2BC" w14:textId="77777777" w:rsidR="00A81C4F" w:rsidRPr="001954E0" w:rsidRDefault="00A81C4F" w:rsidP="000A44EC">
            <w:pPr>
              <w:pStyle w:val="Normal-table"/>
              <w:cnfStyle w:val="100000000000" w:firstRow="1" w:lastRow="0" w:firstColumn="0" w:lastColumn="0" w:oddVBand="0" w:evenVBand="0" w:oddHBand="0" w:evenHBand="0" w:firstRowFirstColumn="0" w:firstRowLastColumn="0" w:lastRowFirstColumn="0" w:lastRowLastColumn="0"/>
            </w:pPr>
            <w:r w:rsidRPr="001954E0">
              <w:rPr>
                <w:lang w:val="en-AU"/>
              </w:rPr>
              <w:t>Basis for requirement</w:t>
            </w:r>
          </w:p>
        </w:tc>
        <w:tc>
          <w:tcPr>
            <w:tcW w:w="1667" w:type="pct"/>
          </w:tcPr>
          <w:p w14:paraId="0D1A6C76" w14:textId="77777777" w:rsidR="00A81C4F" w:rsidRPr="001954E0" w:rsidRDefault="00A81C4F" w:rsidP="000A44EC">
            <w:pPr>
              <w:pStyle w:val="Normal-table"/>
              <w:cnfStyle w:val="100000000000" w:firstRow="1" w:lastRow="0" w:firstColumn="0" w:lastColumn="0" w:oddVBand="0" w:evenVBand="0" w:oddHBand="0" w:evenHBand="0" w:firstRowFirstColumn="0" w:firstRowLastColumn="0" w:lastRowFirstColumn="0" w:lastRowLastColumn="0"/>
            </w:pPr>
            <w:r w:rsidRPr="001954E0">
              <w:rPr>
                <w:lang w:val="en-AU"/>
              </w:rPr>
              <w:t>Annual report reference</w:t>
            </w:r>
          </w:p>
        </w:tc>
      </w:tr>
      <w:tr w:rsidR="00A81C4F" w14:paraId="135AA40B" w14:textId="77777777" w:rsidTr="00DC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9BCAA06" w14:textId="77777777" w:rsidR="00A81C4F" w:rsidRPr="001954E0" w:rsidRDefault="00A81C4F" w:rsidP="000A44EC">
            <w:pPr>
              <w:pStyle w:val="Normal-table"/>
            </w:pPr>
            <w:r w:rsidRPr="001954E0">
              <w:rPr>
                <w:lang w:val="en-AU"/>
              </w:rPr>
              <w:t>Strategic workforce planning and performance</w:t>
            </w:r>
          </w:p>
        </w:tc>
        <w:tc>
          <w:tcPr>
            <w:tcW w:w="1667" w:type="pct"/>
          </w:tcPr>
          <w:p w14:paraId="35D390EE" w14:textId="77777777" w:rsidR="00A81C4F" w:rsidRPr="001954E0" w:rsidRDefault="00A81C4F" w:rsidP="000A44EC">
            <w:pPr>
              <w:pStyle w:val="Normal-table"/>
              <w:cnfStyle w:val="000000100000" w:firstRow="0" w:lastRow="0" w:firstColumn="0" w:lastColumn="0" w:oddVBand="0" w:evenVBand="0" w:oddHBand="1" w:evenHBand="0" w:firstRowFirstColumn="0" w:firstRowLastColumn="0" w:lastRowFirstColumn="0" w:lastRowLastColumn="0"/>
            </w:pPr>
            <w:r w:rsidRPr="001954E0">
              <w:rPr>
                <w:lang w:val="en-AU"/>
              </w:rPr>
              <w:t>ARRs – section 15.1</w:t>
            </w:r>
          </w:p>
        </w:tc>
        <w:tc>
          <w:tcPr>
            <w:tcW w:w="1667" w:type="pct"/>
          </w:tcPr>
          <w:p w14:paraId="106BD1C1" w14:textId="77777777" w:rsidR="00A81C4F" w:rsidRPr="001954E0" w:rsidRDefault="00A81C4F" w:rsidP="000A44EC">
            <w:pPr>
              <w:pStyle w:val="Normal-table"/>
              <w:cnfStyle w:val="000000100000" w:firstRow="0" w:lastRow="0" w:firstColumn="0" w:lastColumn="0" w:oddVBand="0" w:evenVBand="0" w:oddHBand="1" w:evenHBand="0" w:firstRowFirstColumn="0" w:firstRowLastColumn="0" w:lastRowFirstColumn="0" w:lastRowLastColumn="0"/>
            </w:pPr>
          </w:p>
        </w:tc>
      </w:tr>
      <w:tr w:rsidR="00A81C4F" w14:paraId="3218CE84" w14:textId="77777777" w:rsidTr="00DC23F6">
        <w:tc>
          <w:tcPr>
            <w:cnfStyle w:val="001000000000" w:firstRow="0" w:lastRow="0" w:firstColumn="1" w:lastColumn="0" w:oddVBand="0" w:evenVBand="0" w:oddHBand="0" w:evenHBand="0" w:firstRowFirstColumn="0" w:firstRowLastColumn="0" w:lastRowFirstColumn="0" w:lastRowLastColumn="0"/>
            <w:tcW w:w="1667" w:type="pct"/>
          </w:tcPr>
          <w:p w14:paraId="1754060D" w14:textId="77777777" w:rsidR="00A81C4F" w:rsidRPr="001954E0" w:rsidRDefault="00A81C4F" w:rsidP="000A44EC">
            <w:pPr>
              <w:pStyle w:val="Normal-table"/>
            </w:pPr>
            <w:r w:rsidRPr="001954E0">
              <w:rPr>
                <w:lang w:val="en-AU"/>
              </w:rPr>
              <w:t>Early retirement, redundancy and retrenchment</w:t>
            </w:r>
          </w:p>
        </w:tc>
        <w:tc>
          <w:tcPr>
            <w:tcW w:w="1667" w:type="pct"/>
          </w:tcPr>
          <w:p w14:paraId="0D78E237" w14:textId="77777777" w:rsidR="00A81C4F" w:rsidRPr="001954E0" w:rsidRDefault="00A81C4F" w:rsidP="000A44EC">
            <w:pPr>
              <w:pStyle w:val="Normal-table"/>
              <w:cnfStyle w:val="000000000000" w:firstRow="0" w:lastRow="0" w:firstColumn="0" w:lastColumn="0" w:oddVBand="0" w:evenVBand="0" w:oddHBand="0" w:evenHBand="0" w:firstRowFirstColumn="0" w:firstRowLastColumn="0" w:lastRowFirstColumn="0" w:lastRowLastColumn="0"/>
              <w:rPr>
                <w:lang w:val="en-AU"/>
              </w:rPr>
            </w:pPr>
            <w:r w:rsidRPr="001954E0">
              <w:rPr>
                <w:lang w:val="en-AU"/>
              </w:rPr>
              <w:t xml:space="preserve">Directive No.04/18 Early Retirement, Redundancy and Retrenchment </w:t>
            </w:r>
          </w:p>
          <w:p w14:paraId="718B0203" w14:textId="77777777" w:rsidR="00A81C4F" w:rsidRPr="001954E0" w:rsidRDefault="00A81C4F" w:rsidP="000A44EC">
            <w:pPr>
              <w:pStyle w:val="Normal-table"/>
              <w:cnfStyle w:val="000000000000" w:firstRow="0" w:lastRow="0" w:firstColumn="0" w:lastColumn="0" w:oddVBand="0" w:evenVBand="0" w:oddHBand="0" w:evenHBand="0" w:firstRowFirstColumn="0" w:firstRowLastColumn="0" w:lastRowFirstColumn="0" w:lastRowLastColumn="0"/>
            </w:pPr>
            <w:r w:rsidRPr="001954E0">
              <w:rPr>
                <w:lang w:val="en-AU"/>
              </w:rPr>
              <w:t>ARRs – section 15.2</w:t>
            </w:r>
          </w:p>
        </w:tc>
        <w:tc>
          <w:tcPr>
            <w:tcW w:w="1667" w:type="pct"/>
          </w:tcPr>
          <w:p w14:paraId="7CD92978" w14:textId="77777777" w:rsidR="00A81C4F" w:rsidRPr="001954E0" w:rsidRDefault="00A81C4F" w:rsidP="000A44EC">
            <w:pPr>
              <w:pStyle w:val="Normal-table"/>
              <w:cnfStyle w:val="000000000000" w:firstRow="0" w:lastRow="0" w:firstColumn="0" w:lastColumn="0" w:oddVBand="0" w:evenVBand="0" w:oddHBand="0" w:evenHBand="0" w:firstRowFirstColumn="0" w:firstRowLastColumn="0" w:lastRowFirstColumn="0" w:lastRowLastColumn="0"/>
            </w:pPr>
          </w:p>
        </w:tc>
      </w:tr>
    </w:tbl>
    <w:p w14:paraId="226D9B99" w14:textId="77777777" w:rsidR="00A81C4F" w:rsidRPr="001954E0" w:rsidRDefault="00A81C4F" w:rsidP="00A81C4F">
      <w:pPr>
        <w:pStyle w:val="Heading3"/>
      </w:pPr>
      <w:r w:rsidRPr="003F4260">
        <w:lastRenderedPageBreak/>
        <w:t xml:space="preserve">Open </w:t>
      </w:r>
      <w:r>
        <w:t>d</w:t>
      </w:r>
      <w:r w:rsidRPr="003F4260">
        <w:t>ata</w:t>
      </w:r>
    </w:p>
    <w:tbl>
      <w:tblPr>
        <w:tblStyle w:val="GridTable4-Accent1"/>
        <w:tblW w:w="5000" w:type="pct"/>
        <w:tblLook w:val="04A0" w:firstRow="1" w:lastRow="0" w:firstColumn="1" w:lastColumn="0" w:noHBand="0" w:noVBand="1"/>
      </w:tblPr>
      <w:tblGrid>
        <w:gridCol w:w="3486"/>
        <w:gridCol w:w="3486"/>
        <w:gridCol w:w="3484"/>
      </w:tblGrid>
      <w:tr w:rsidR="00A81C4F" w14:paraId="201A79CB" w14:textId="77777777" w:rsidTr="00DC23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pct"/>
          </w:tcPr>
          <w:p w14:paraId="61F6F826" w14:textId="77777777" w:rsidR="00A81C4F" w:rsidRPr="001954E0" w:rsidRDefault="00A81C4F" w:rsidP="000A44EC">
            <w:pPr>
              <w:pStyle w:val="Normal-table"/>
            </w:pPr>
            <w:r w:rsidRPr="001954E0">
              <w:rPr>
                <w:lang w:val="en-AU"/>
              </w:rPr>
              <w:t>Summary of requirement</w:t>
            </w:r>
          </w:p>
        </w:tc>
        <w:tc>
          <w:tcPr>
            <w:tcW w:w="1667" w:type="pct"/>
          </w:tcPr>
          <w:p w14:paraId="5A9AB327" w14:textId="77777777" w:rsidR="00A81C4F" w:rsidRPr="001954E0" w:rsidRDefault="00A81C4F" w:rsidP="000A44EC">
            <w:pPr>
              <w:pStyle w:val="Normal-table"/>
              <w:cnfStyle w:val="100000000000" w:firstRow="1" w:lastRow="0" w:firstColumn="0" w:lastColumn="0" w:oddVBand="0" w:evenVBand="0" w:oddHBand="0" w:evenHBand="0" w:firstRowFirstColumn="0" w:firstRowLastColumn="0" w:lastRowFirstColumn="0" w:lastRowLastColumn="0"/>
            </w:pPr>
            <w:r w:rsidRPr="001954E0">
              <w:rPr>
                <w:lang w:val="en-AU"/>
              </w:rPr>
              <w:t>Basis for requirement</w:t>
            </w:r>
          </w:p>
        </w:tc>
        <w:tc>
          <w:tcPr>
            <w:tcW w:w="1667" w:type="pct"/>
          </w:tcPr>
          <w:p w14:paraId="7BD7C7D7" w14:textId="77777777" w:rsidR="00A81C4F" w:rsidRPr="001954E0" w:rsidRDefault="00A81C4F" w:rsidP="000A44EC">
            <w:pPr>
              <w:pStyle w:val="Normal-table"/>
              <w:cnfStyle w:val="100000000000" w:firstRow="1" w:lastRow="0" w:firstColumn="0" w:lastColumn="0" w:oddVBand="0" w:evenVBand="0" w:oddHBand="0" w:evenHBand="0" w:firstRowFirstColumn="0" w:firstRowLastColumn="0" w:lastRowFirstColumn="0" w:lastRowLastColumn="0"/>
            </w:pPr>
            <w:r w:rsidRPr="001954E0">
              <w:rPr>
                <w:lang w:val="en-AU"/>
              </w:rPr>
              <w:t>Annual report reference</w:t>
            </w:r>
          </w:p>
        </w:tc>
      </w:tr>
      <w:tr w:rsidR="00A81C4F" w14:paraId="30637368" w14:textId="77777777" w:rsidTr="00DC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2BF2FCC" w14:textId="77777777" w:rsidR="00A81C4F" w:rsidRPr="001954E0" w:rsidRDefault="00A81C4F" w:rsidP="000A44EC">
            <w:pPr>
              <w:pStyle w:val="Normal-table"/>
            </w:pPr>
            <w:r w:rsidRPr="001954E0">
              <w:rPr>
                <w:lang w:val="en-AU"/>
              </w:rPr>
              <w:t>Statement advising publication of information</w:t>
            </w:r>
          </w:p>
        </w:tc>
        <w:tc>
          <w:tcPr>
            <w:tcW w:w="1667" w:type="pct"/>
          </w:tcPr>
          <w:p w14:paraId="6B9970C9" w14:textId="77777777" w:rsidR="00A81C4F" w:rsidRPr="001954E0" w:rsidRDefault="00A81C4F" w:rsidP="000A44EC">
            <w:pPr>
              <w:pStyle w:val="Normal-table"/>
              <w:cnfStyle w:val="000000100000" w:firstRow="0" w:lastRow="0" w:firstColumn="0" w:lastColumn="0" w:oddVBand="0" w:evenVBand="0" w:oddHBand="1" w:evenHBand="0" w:firstRowFirstColumn="0" w:firstRowLastColumn="0" w:lastRowFirstColumn="0" w:lastRowLastColumn="0"/>
            </w:pPr>
            <w:r w:rsidRPr="001954E0">
              <w:rPr>
                <w:lang w:val="en-AU"/>
              </w:rPr>
              <w:t>ARRs – section 16</w:t>
            </w:r>
          </w:p>
        </w:tc>
        <w:tc>
          <w:tcPr>
            <w:tcW w:w="1667" w:type="pct"/>
          </w:tcPr>
          <w:p w14:paraId="7888BA63" w14:textId="77777777" w:rsidR="00A81C4F" w:rsidRPr="001954E0" w:rsidRDefault="00A81C4F" w:rsidP="000A44EC">
            <w:pPr>
              <w:pStyle w:val="Normal-table"/>
              <w:cnfStyle w:val="000000100000" w:firstRow="0" w:lastRow="0" w:firstColumn="0" w:lastColumn="0" w:oddVBand="0" w:evenVBand="0" w:oddHBand="1" w:evenHBand="0" w:firstRowFirstColumn="0" w:firstRowLastColumn="0" w:lastRowFirstColumn="0" w:lastRowLastColumn="0"/>
            </w:pPr>
          </w:p>
        </w:tc>
      </w:tr>
      <w:tr w:rsidR="00A81C4F" w14:paraId="28D0285B" w14:textId="77777777" w:rsidTr="00DC23F6">
        <w:tc>
          <w:tcPr>
            <w:cnfStyle w:val="001000000000" w:firstRow="0" w:lastRow="0" w:firstColumn="1" w:lastColumn="0" w:oddVBand="0" w:evenVBand="0" w:oddHBand="0" w:evenHBand="0" w:firstRowFirstColumn="0" w:firstRowLastColumn="0" w:lastRowFirstColumn="0" w:lastRowLastColumn="0"/>
            <w:tcW w:w="1667" w:type="pct"/>
          </w:tcPr>
          <w:p w14:paraId="724F37F7" w14:textId="77777777" w:rsidR="00A81C4F" w:rsidRPr="001954E0" w:rsidRDefault="00A81C4F" w:rsidP="000A44EC">
            <w:pPr>
              <w:pStyle w:val="Normal-table"/>
            </w:pPr>
            <w:r w:rsidRPr="001954E0">
              <w:rPr>
                <w:lang w:val="en-AU"/>
              </w:rPr>
              <w:t xml:space="preserve">Consultancies </w:t>
            </w:r>
          </w:p>
        </w:tc>
        <w:tc>
          <w:tcPr>
            <w:tcW w:w="1667" w:type="pct"/>
          </w:tcPr>
          <w:p w14:paraId="6423011B" w14:textId="77777777" w:rsidR="00A81C4F" w:rsidRPr="001954E0" w:rsidRDefault="00A81C4F" w:rsidP="000A44EC">
            <w:pPr>
              <w:pStyle w:val="Normal-table"/>
              <w:cnfStyle w:val="000000000000" w:firstRow="0" w:lastRow="0" w:firstColumn="0" w:lastColumn="0" w:oddVBand="0" w:evenVBand="0" w:oddHBand="0" w:evenHBand="0" w:firstRowFirstColumn="0" w:firstRowLastColumn="0" w:lastRowFirstColumn="0" w:lastRowLastColumn="0"/>
            </w:pPr>
            <w:r w:rsidRPr="001954E0">
              <w:rPr>
                <w:lang w:val="en-AU"/>
              </w:rPr>
              <w:t>ARRs – section 31.1</w:t>
            </w:r>
          </w:p>
        </w:tc>
        <w:tc>
          <w:tcPr>
            <w:tcW w:w="1667" w:type="pct"/>
          </w:tcPr>
          <w:p w14:paraId="2DEE44BF" w14:textId="77777777" w:rsidR="00A81C4F" w:rsidRPr="001954E0" w:rsidRDefault="00A81C4F" w:rsidP="000A44EC">
            <w:pPr>
              <w:pStyle w:val="Normal-table"/>
              <w:cnfStyle w:val="000000000000" w:firstRow="0" w:lastRow="0" w:firstColumn="0" w:lastColumn="0" w:oddVBand="0" w:evenVBand="0" w:oddHBand="0" w:evenHBand="0" w:firstRowFirstColumn="0" w:firstRowLastColumn="0" w:lastRowFirstColumn="0" w:lastRowLastColumn="0"/>
            </w:pPr>
            <w:r w:rsidRPr="001954E0">
              <w:rPr>
                <w:lang w:val="en-AU"/>
              </w:rPr>
              <w:t>https://data.qld.gov.au</w:t>
            </w:r>
          </w:p>
        </w:tc>
      </w:tr>
      <w:tr w:rsidR="00A81C4F" w14:paraId="39E4E224" w14:textId="77777777" w:rsidTr="00DC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4A90426" w14:textId="77777777" w:rsidR="00A81C4F" w:rsidRPr="001954E0" w:rsidRDefault="00A81C4F" w:rsidP="000A44EC">
            <w:pPr>
              <w:pStyle w:val="Normal-table"/>
            </w:pPr>
            <w:r w:rsidRPr="001954E0">
              <w:rPr>
                <w:lang w:val="en-AU"/>
              </w:rPr>
              <w:t>Overseas travel</w:t>
            </w:r>
          </w:p>
        </w:tc>
        <w:tc>
          <w:tcPr>
            <w:tcW w:w="1667" w:type="pct"/>
          </w:tcPr>
          <w:p w14:paraId="7310FE84" w14:textId="77777777" w:rsidR="00A81C4F" w:rsidRPr="001954E0" w:rsidRDefault="00A81C4F" w:rsidP="000A44EC">
            <w:pPr>
              <w:pStyle w:val="Normal-table"/>
              <w:cnfStyle w:val="000000100000" w:firstRow="0" w:lastRow="0" w:firstColumn="0" w:lastColumn="0" w:oddVBand="0" w:evenVBand="0" w:oddHBand="1" w:evenHBand="0" w:firstRowFirstColumn="0" w:firstRowLastColumn="0" w:lastRowFirstColumn="0" w:lastRowLastColumn="0"/>
            </w:pPr>
            <w:r w:rsidRPr="001954E0">
              <w:rPr>
                <w:lang w:val="en-AU"/>
              </w:rPr>
              <w:t>ARRs – section 31.2</w:t>
            </w:r>
          </w:p>
        </w:tc>
        <w:tc>
          <w:tcPr>
            <w:tcW w:w="1667" w:type="pct"/>
          </w:tcPr>
          <w:p w14:paraId="6E01108D" w14:textId="77777777" w:rsidR="00A81C4F" w:rsidRPr="001954E0" w:rsidRDefault="00A81C4F" w:rsidP="000A44EC">
            <w:pPr>
              <w:pStyle w:val="Normal-table"/>
              <w:cnfStyle w:val="000000100000" w:firstRow="0" w:lastRow="0" w:firstColumn="0" w:lastColumn="0" w:oddVBand="0" w:evenVBand="0" w:oddHBand="1" w:evenHBand="0" w:firstRowFirstColumn="0" w:firstRowLastColumn="0" w:lastRowFirstColumn="0" w:lastRowLastColumn="0"/>
            </w:pPr>
            <w:r w:rsidRPr="001954E0">
              <w:rPr>
                <w:lang w:val="en-AU"/>
              </w:rPr>
              <w:t>https://data.qld.gov.au</w:t>
            </w:r>
          </w:p>
        </w:tc>
      </w:tr>
      <w:tr w:rsidR="00A81C4F" w14:paraId="58A0F49D" w14:textId="77777777" w:rsidTr="00DC23F6">
        <w:tc>
          <w:tcPr>
            <w:cnfStyle w:val="001000000000" w:firstRow="0" w:lastRow="0" w:firstColumn="1" w:lastColumn="0" w:oddVBand="0" w:evenVBand="0" w:oddHBand="0" w:evenHBand="0" w:firstRowFirstColumn="0" w:firstRowLastColumn="0" w:lastRowFirstColumn="0" w:lastRowLastColumn="0"/>
            <w:tcW w:w="1667" w:type="pct"/>
          </w:tcPr>
          <w:p w14:paraId="1CC44EBB" w14:textId="77777777" w:rsidR="00A81C4F" w:rsidRPr="001954E0" w:rsidRDefault="00A81C4F" w:rsidP="000A44EC">
            <w:pPr>
              <w:pStyle w:val="Normal-table"/>
            </w:pPr>
            <w:r w:rsidRPr="001954E0">
              <w:rPr>
                <w:lang w:val="en-AU"/>
              </w:rPr>
              <w:t>Queensland Language Services Policy</w:t>
            </w:r>
          </w:p>
        </w:tc>
        <w:tc>
          <w:tcPr>
            <w:tcW w:w="1667" w:type="pct"/>
          </w:tcPr>
          <w:p w14:paraId="320D12A2" w14:textId="77777777" w:rsidR="00A81C4F" w:rsidRPr="001954E0" w:rsidRDefault="00A81C4F" w:rsidP="000A44EC">
            <w:pPr>
              <w:pStyle w:val="Normal-table"/>
              <w:cnfStyle w:val="000000000000" w:firstRow="0" w:lastRow="0" w:firstColumn="0" w:lastColumn="0" w:oddVBand="0" w:evenVBand="0" w:oddHBand="0" w:evenHBand="0" w:firstRowFirstColumn="0" w:firstRowLastColumn="0" w:lastRowFirstColumn="0" w:lastRowLastColumn="0"/>
            </w:pPr>
            <w:r w:rsidRPr="001954E0">
              <w:rPr>
                <w:lang w:val="en-AU"/>
              </w:rPr>
              <w:t>ARRs – section 31.3</w:t>
            </w:r>
          </w:p>
        </w:tc>
        <w:tc>
          <w:tcPr>
            <w:tcW w:w="1667" w:type="pct"/>
          </w:tcPr>
          <w:p w14:paraId="3A909B42" w14:textId="77777777" w:rsidR="00A81C4F" w:rsidRPr="001954E0" w:rsidRDefault="00A81C4F" w:rsidP="000A44EC">
            <w:pPr>
              <w:pStyle w:val="Normal-table"/>
              <w:cnfStyle w:val="000000000000" w:firstRow="0" w:lastRow="0" w:firstColumn="0" w:lastColumn="0" w:oddVBand="0" w:evenVBand="0" w:oddHBand="0" w:evenHBand="0" w:firstRowFirstColumn="0" w:firstRowLastColumn="0" w:lastRowFirstColumn="0" w:lastRowLastColumn="0"/>
            </w:pPr>
            <w:r w:rsidRPr="001954E0">
              <w:rPr>
                <w:lang w:val="en-AU"/>
              </w:rPr>
              <w:t>https://data.qld.gov.au</w:t>
            </w:r>
          </w:p>
        </w:tc>
      </w:tr>
    </w:tbl>
    <w:p w14:paraId="54D54F49" w14:textId="77777777" w:rsidR="00A81C4F" w:rsidRPr="001954E0" w:rsidRDefault="00A81C4F" w:rsidP="00A81C4F">
      <w:pPr>
        <w:pStyle w:val="Heading3"/>
      </w:pPr>
      <w:r w:rsidRPr="003F4260">
        <w:t>Financial statements</w:t>
      </w:r>
    </w:p>
    <w:tbl>
      <w:tblPr>
        <w:tblStyle w:val="GridTable4-Accent1"/>
        <w:tblW w:w="5000" w:type="pct"/>
        <w:tblLook w:val="04A0" w:firstRow="1" w:lastRow="0" w:firstColumn="1" w:lastColumn="0" w:noHBand="0" w:noVBand="1"/>
      </w:tblPr>
      <w:tblGrid>
        <w:gridCol w:w="3486"/>
        <w:gridCol w:w="3486"/>
        <w:gridCol w:w="3484"/>
      </w:tblGrid>
      <w:tr w:rsidR="00A81C4F" w14:paraId="175DA6C5" w14:textId="77777777" w:rsidTr="00DC23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pct"/>
          </w:tcPr>
          <w:p w14:paraId="164F9231" w14:textId="77777777" w:rsidR="00A81C4F" w:rsidRPr="001954E0" w:rsidRDefault="00A81C4F" w:rsidP="000A44EC">
            <w:pPr>
              <w:pStyle w:val="Normal-table"/>
            </w:pPr>
            <w:r w:rsidRPr="001954E0">
              <w:rPr>
                <w:lang w:val="en-AU"/>
              </w:rPr>
              <w:t>Summary of requirement</w:t>
            </w:r>
          </w:p>
        </w:tc>
        <w:tc>
          <w:tcPr>
            <w:tcW w:w="1667" w:type="pct"/>
          </w:tcPr>
          <w:p w14:paraId="05A82025" w14:textId="77777777" w:rsidR="00A81C4F" w:rsidRPr="001954E0" w:rsidRDefault="00A81C4F" w:rsidP="000A44EC">
            <w:pPr>
              <w:pStyle w:val="Normal-table"/>
              <w:cnfStyle w:val="100000000000" w:firstRow="1" w:lastRow="0" w:firstColumn="0" w:lastColumn="0" w:oddVBand="0" w:evenVBand="0" w:oddHBand="0" w:evenHBand="0" w:firstRowFirstColumn="0" w:firstRowLastColumn="0" w:lastRowFirstColumn="0" w:lastRowLastColumn="0"/>
            </w:pPr>
            <w:r w:rsidRPr="001954E0">
              <w:rPr>
                <w:lang w:val="en-AU"/>
              </w:rPr>
              <w:t>Basis for requirement</w:t>
            </w:r>
          </w:p>
        </w:tc>
        <w:tc>
          <w:tcPr>
            <w:tcW w:w="1667" w:type="pct"/>
          </w:tcPr>
          <w:p w14:paraId="1DE5E3B7" w14:textId="77777777" w:rsidR="00A81C4F" w:rsidRPr="001954E0" w:rsidRDefault="00A81C4F" w:rsidP="000A44EC">
            <w:pPr>
              <w:pStyle w:val="Normal-table"/>
              <w:cnfStyle w:val="100000000000" w:firstRow="1" w:lastRow="0" w:firstColumn="0" w:lastColumn="0" w:oddVBand="0" w:evenVBand="0" w:oddHBand="0" w:evenHBand="0" w:firstRowFirstColumn="0" w:firstRowLastColumn="0" w:lastRowFirstColumn="0" w:lastRowLastColumn="0"/>
            </w:pPr>
            <w:r w:rsidRPr="001954E0">
              <w:rPr>
                <w:lang w:val="en-AU"/>
              </w:rPr>
              <w:t>Annual report reference</w:t>
            </w:r>
          </w:p>
        </w:tc>
      </w:tr>
      <w:tr w:rsidR="00A81C4F" w14:paraId="1A0136C4" w14:textId="77777777" w:rsidTr="00DC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ED38B62" w14:textId="77777777" w:rsidR="00A81C4F" w:rsidRPr="001954E0" w:rsidRDefault="00A81C4F" w:rsidP="000A44EC">
            <w:pPr>
              <w:pStyle w:val="Normal-table"/>
            </w:pPr>
            <w:r w:rsidRPr="001954E0">
              <w:rPr>
                <w:lang w:val="en-AU"/>
              </w:rPr>
              <w:t>Certification of financial statements</w:t>
            </w:r>
          </w:p>
        </w:tc>
        <w:tc>
          <w:tcPr>
            <w:tcW w:w="1667" w:type="pct"/>
          </w:tcPr>
          <w:p w14:paraId="14973B2C" w14:textId="77777777" w:rsidR="00A81C4F" w:rsidRPr="001954E0" w:rsidRDefault="00A81C4F" w:rsidP="000A44EC">
            <w:pPr>
              <w:pStyle w:val="Normal-table"/>
              <w:cnfStyle w:val="000000100000" w:firstRow="0" w:lastRow="0" w:firstColumn="0" w:lastColumn="0" w:oddVBand="0" w:evenVBand="0" w:oddHBand="1" w:evenHBand="0" w:firstRowFirstColumn="0" w:firstRowLastColumn="0" w:lastRowFirstColumn="0" w:lastRowLastColumn="0"/>
              <w:rPr>
                <w:lang w:val="en-AU"/>
              </w:rPr>
            </w:pPr>
            <w:r w:rsidRPr="001954E0">
              <w:rPr>
                <w:lang w:val="en-AU"/>
              </w:rPr>
              <w:t>FAA – section 62</w:t>
            </w:r>
          </w:p>
          <w:p w14:paraId="08C5B12C" w14:textId="77777777" w:rsidR="00A81C4F" w:rsidRPr="001954E0" w:rsidRDefault="00A81C4F" w:rsidP="000A44EC">
            <w:pPr>
              <w:pStyle w:val="Normal-table"/>
              <w:cnfStyle w:val="000000100000" w:firstRow="0" w:lastRow="0" w:firstColumn="0" w:lastColumn="0" w:oddVBand="0" w:evenVBand="0" w:oddHBand="1" w:evenHBand="0" w:firstRowFirstColumn="0" w:firstRowLastColumn="0" w:lastRowFirstColumn="0" w:lastRowLastColumn="0"/>
              <w:rPr>
                <w:lang w:val="en-AU"/>
              </w:rPr>
            </w:pPr>
            <w:r w:rsidRPr="001954E0">
              <w:rPr>
                <w:lang w:val="en-AU"/>
              </w:rPr>
              <w:t>FPMS – sections 38, 39 and 46</w:t>
            </w:r>
          </w:p>
          <w:p w14:paraId="232AA294" w14:textId="77777777" w:rsidR="00A81C4F" w:rsidRPr="001954E0" w:rsidRDefault="00A81C4F" w:rsidP="000A44EC">
            <w:pPr>
              <w:pStyle w:val="Normal-table"/>
              <w:cnfStyle w:val="000000100000" w:firstRow="0" w:lastRow="0" w:firstColumn="0" w:lastColumn="0" w:oddVBand="0" w:evenVBand="0" w:oddHBand="1" w:evenHBand="0" w:firstRowFirstColumn="0" w:firstRowLastColumn="0" w:lastRowFirstColumn="0" w:lastRowLastColumn="0"/>
            </w:pPr>
            <w:r w:rsidRPr="001954E0">
              <w:rPr>
                <w:lang w:val="en-AU"/>
              </w:rPr>
              <w:t>ARRs – section 17.1</w:t>
            </w:r>
          </w:p>
        </w:tc>
        <w:tc>
          <w:tcPr>
            <w:tcW w:w="1667" w:type="pct"/>
          </w:tcPr>
          <w:p w14:paraId="35ABC715" w14:textId="77777777" w:rsidR="00A81C4F" w:rsidRPr="001954E0" w:rsidRDefault="00A81C4F" w:rsidP="000A44EC">
            <w:pPr>
              <w:pStyle w:val="Normal-table"/>
              <w:cnfStyle w:val="000000100000" w:firstRow="0" w:lastRow="0" w:firstColumn="0" w:lastColumn="0" w:oddVBand="0" w:evenVBand="0" w:oddHBand="1" w:evenHBand="0" w:firstRowFirstColumn="0" w:firstRowLastColumn="0" w:lastRowFirstColumn="0" w:lastRowLastColumn="0"/>
            </w:pPr>
          </w:p>
        </w:tc>
      </w:tr>
      <w:tr w:rsidR="00A81C4F" w14:paraId="207B6558" w14:textId="77777777" w:rsidTr="00DC23F6">
        <w:tc>
          <w:tcPr>
            <w:cnfStyle w:val="001000000000" w:firstRow="0" w:lastRow="0" w:firstColumn="1" w:lastColumn="0" w:oddVBand="0" w:evenVBand="0" w:oddHBand="0" w:evenHBand="0" w:firstRowFirstColumn="0" w:firstRowLastColumn="0" w:lastRowFirstColumn="0" w:lastRowLastColumn="0"/>
            <w:tcW w:w="1667" w:type="pct"/>
          </w:tcPr>
          <w:p w14:paraId="3B9EB147" w14:textId="77777777" w:rsidR="00A81C4F" w:rsidRPr="001954E0" w:rsidRDefault="00A81C4F" w:rsidP="000A44EC">
            <w:pPr>
              <w:pStyle w:val="Normal-table"/>
            </w:pPr>
            <w:r w:rsidRPr="001954E0">
              <w:rPr>
                <w:lang w:val="en-AU"/>
              </w:rPr>
              <w:t>Independent Auditor’s Report</w:t>
            </w:r>
          </w:p>
        </w:tc>
        <w:tc>
          <w:tcPr>
            <w:tcW w:w="1667" w:type="pct"/>
          </w:tcPr>
          <w:p w14:paraId="5203D3D9" w14:textId="77777777" w:rsidR="00A81C4F" w:rsidRPr="001954E0" w:rsidRDefault="00A81C4F" w:rsidP="000A44EC">
            <w:pPr>
              <w:pStyle w:val="Normal-table"/>
              <w:cnfStyle w:val="000000000000" w:firstRow="0" w:lastRow="0" w:firstColumn="0" w:lastColumn="0" w:oddVBand="0" w:evenVBand="0" w:oddHBand="0" w:evenHBand="0" w:firstRowFirstColumn="0" w:firstRowLastColumn="0" w:lastRowFirstColumn="0" w:lastRowLastColumn="0"/>
              <w:rPr>
                <w:lang w:val="en-AU"/>
              </w:rPr>
            </w:pPr>
            <w:r w:rsidRPr="001954E0">
              <w:rPr>
                <w:lang w:val="en-AU"/>
              </w:rPr>
              <w:t>FAA – section 62</w:t>
            </w:r>
          </w:p>
          <w:p w14:paraId="77E30A9D" w14:textId="77777777" w:rsidR="00A81C4F" w:rsidRPr="001954E0" w:rsidRDefault="00A81C4F" w:rsidP="000A44EC">
            <w:pPr>
              <w:pStyle w:val="Normal-table"/>
              <w:cnfStyle w:val="000000000000" w:firstRow="0" w:lastRow="0" w:firstColumn="0" w:lastColumn="0" w:oddVBand="0" w:evenVBand="0" w:oddHBand="0" w:evenHBand="0" w:firstRowFirstColumn="0" w:firstRowLastColumn="0" w:lastRowFirstColumn="0" w:lastRowLastColumn="0"/>
              <w:rPr>
                <w:lang w:val="en-AU"/>
              </w:rPr>
            </w:pPr>
            <w:r w:rsidRPr="001954E0">
              <w:rPr>
                <w:lang w:val="en-AU"/>
              </w:rPr>
              <w:t>FPMS – section 46</w:t>
            </w:r>
          </w:p>
          <w:p w14:paraId="5C1B209F" w14:textId="77777777" w:rsidR="00A81C4F" w:rsidRPr="001954E0" w:rsidRDefault="00A81C4F" w:rsidP="000A44EC">
            <w:pPr>
              <w:pStyle w:val="Normal-table"/>
              <w:cnfStyle w:val="000000000000" w:firstRow="0" w:lastRow="0" w:firstColumn="0" w:lastColumn="0" w:oddVBand="0" w:evenVBand="0" w:oddHBand="0" w:evenHBand="0" w:firstRowFirstColumn="0" w:firstRowLastColumn="0" w:lastRowFirstColumn="0" w:lastRowLastColumn="0"/>
            </w:pPr>
            <w:r w:rsidRPr="001954E0">
              <w:rPr>
                <w:lang w:val="en-AU"/>
              </w:rPr>
              <w:t>ARRs – section 17.2</w:t>
            </w:r>
          </w:p>
        </w:tc>
        <w:tc>
          <w:tcPr>
            <w:tcW w:w="1667" w:type="pct"/>
          </w:tcPr>
          <w:p w14:paraId="17BF49B5" w14:textId="77777777" w:rsidR="00A81C4F" w:rsidRPr="001954E0" w:rsidRDefault="00A81C4F" w:rsidP="000A44EC">
            <w:pPr>
              <w:pStyle w:val="Normal-table"/>
              <w:cnfStyle w:val="000000000000" w:firstRow="0" w:lastRow="0" w:firstColumn="0" w:lastColumn="0" w:oddVBand="0" w:evenVBand="0" w:oddHBand="0" w:evenHBand="0" w:firstRowFirstColumn="0" w:firstRowLastColumn="0" w:lastRowFirstColumn="0" w:lastRowLastColumn="0"/>
            </w:pPr>
          </w:p>
        </w:tc>
      </w:tr>
    </w:tbl>
    <w:p w14:paraId="43F7C510" w14:textId="77777777" w:rsidR="00A81C4F" w:rsidRPr="001954E0" w:rsidRDefault="00A81C4F" w:rsidP="00A81C4F">
      <w:pPr>
        <w:pStyle w:val="Caption"/>
      </w:pPr>
      <w:r w:rsidRPr="001954E0">
        <w:t xml:space="preserve">FAA </w:t>
      </w:r>
      <w:r w:rsidRPr="001954E0">
        <w:tab/>
        <w:t xml:space="preserve">Financial Accountability Act 2009 </w:t>
      </w:r>
    </w:p>
    <w:p w14:paraId="134FE03D" w14:textId="77777777" w:rsidR="00A81C4F" w:rsidRPr="001954E0" w:rsidRDefault="00A81C4F" w:rsidP="00A81C4F">
      <w:pPr>
        <w:pStyle w:val="Caption"/>
      </w:pPr>
      <w:r w:rsidRPr="001954E0">
        <w:t xml:space="preserve">FPMS </w:t>
      </w:r>
      <w:r w:rsidRPr="001954E0">
        <w:tab/>
        <w:t>Financial and Performance Management Standard 2019</w:t>
      </w:r>
    </w:p>
    <w:p w14:paraId="7A5A4D70" w14:textId="77777777" w:rsidR="00A81C4F" w:rsidRPr="001954E0" w:rsidRDefault="00A81C4F" w:rsidP="00A81C4F">
      <w:pPr>
        <w:pStyle w:val="Caption"/>
      </w:pPr>
      <w:r w:rsidRPr="001954E0">
        <w:t>ARRs</w:t>
      </w:r>
      <w:r w:rsidRPr="001954E0">
        <w:tab/>
        <w:t>Annual report requirements for Queensland Government agencies</w:t>
      </w:r>
    </w:p>
    <w:p w14:paraId="1402C40B" w14:textId="77777777" w:rsidR="00093FB8" w:rsidRDefault="00093FB8">
      <w:pPr>
        <w:spacing w:before="0" w:after="160" w:line="259" w:lineRule="auto"/>
        <w:rPr>
          <w:rFonts w:eastAsiaTheme="majorEastAsia" w:cstheme="majorBidi"/>
          <w:color w:val="000000" w:themeColor="text1"/>
          <w:sz w:val="48"/>
          <w:szCs w:val="26"/>
        </w:rPr>
      </w:pPr>
      <w:r>
        <w:br w:type="page"/>
      </w:r>
    </w:p>
    <w:p w14:paraId="0D64F11E" w14:textId="564E46E6" w:rsidR="00A81C4F" w:rsidRPr="008F32E9" w:rsidRDefault="00A81C4F" w:rsidP="00A81C4F">
      <w:pPr>
        <w:pStyle w:val="Heading2"/>
        <w:rPr>
          <w:lang w:val="en-AU"/>
        </w:rPr>
      </w:pPr>
      <w:r>
        <w:lastRenderedPageBreak/>
        <w:t xml:space="preserve">Appendix 10 – </w:t>
      </w:r>
      <w:r w:rsidRPr="008F32E9">
        <w:rPr>
          <w:lang w:val="en-AU"/>
        </w:rPr>
        <w:t>Where to find us</w:t>
      </w:r>
    </w:p>
    <w:p w14:paraId="7482B4BB" w14:textId="77777777" w:rsidR="00A81C4F" w:rsidRPr="008F32E9" w:rsidRDefault="00A81C4F" w:rsidP="00A81C4F">
      <w:pPr>
        <w:rPr>
          <w:lang w:val="en-AU"/>
        </w:rPr>
      </w:pPr>
      <w:r w:rsidRPr="008F32E9">
        <w:rPr>
          <w:lang w:val="en-AU"/>
        </w:rPr>
        <w:t>Our principal place of business is 61 Mary Street, Brisbane, Queensland 4000.</w:t>
      </w:r>
    </w:p>
    <w:p w14:paraId="555C69E9" w14:textId="77777777" w:rsidR="00A81C4F" w:rsidRPr="008F32E9" w:rsidRDefault="00A81C4F" w:rsidP="00A81C4F">
      <w:pPr>
        <w:rPr>
          <w:lang w:val="en-AU"/>
        </w:rPr>
      </w:pPr>
      <w:r w:rsidRPr="008F32E9">
        <w:rPr>
          <w:lang w:val="en-AU"/>
        </w:rPr>
        <w:t xml:space="preserve">Addresses for the department’s statewide network of Customer Service Centres are listed over the following pages. </w:t>
      </w:r>
      <w:bookmarkStart w:id="64" w:name="_Hlk145066096"/>
      <w:r w:rsidRPr="008F32E9">
        <w:rPr>
          <w:lang w:val="en-AU"/>
        </w:rPr>
        <w:t>For details about the services we provide, visit our website at www.tmr.qld.gov.au or telephone our call centre on 13 23 80*.</w:t>
      </w:r>
    </w:p>
    <w:bookmarkEnd w:id="64"/>
    <w:p w14:paraId="5557F2C6" w14:textId="77777777" w:rsidR="00A81C4F" w:rsidRPr="008F32E9" w:rsidRDefault="00A81C4F" w:rsidP="00A81C4F">
      <w:pPr>
        <w:pStyle w:val="Caption"/>
        <w:rPr>
          <w:lang w:val="en-AU"/>
        </w:rPr>
      </w:pPr>
      <w:r w:rsidRPr="008F32E9">
        <w:rPr>
          <w:lang w:val="en-AU"/>
        </w:rPr>
        <w:t>*Local call charge in Australia. Higher rates apply from mobile phones and payphones. Check with your service provider for call costs. For international callers, please phone +61 7 3834 2011.</w:t>
      </w:r>
    </w:p>
    <w:p w14:paraId="2A097BAF" w14:textId="77777777" w:rsidR="00A81C4F" w:rsidRPr="008F32E9" w:rsidRDefault="00A81C4F" w:rsidP="00A81C4F">
      <w:pPr>
        <w:pStyle w:val="Heading3"/>
        <w:rPr>
          <w:lang w:val="en-AU"/>
        </w:rPr>
      </w:pPr>
      <w:r w:rsidRPr="008F32E9">
        <w:rPr>
          <w:lang w:val="en-AU"/>
        </w:rPr>
        <w:t>Customer Service Centres</w:t>
      </w:r>
    </w:p>
    <w:tbl>
      <w:tblPr>
        <w:tblStyle w:val="GridTable4-Accent1"/>
        <w:tblW w:w="5000" w:type="pct"/>
        <w:tblLook w:val="04A0" w:firstRow="1" w:lastRow="0" w:firstColumn="1" w:lastColumn="0" w:noHBand="0" w:noVBand="1"/>
      </w:tblPr>
      <w:tblGrid>
        <w:gridCol w:w="2576"/>
        <w:gridCol w:w="7880"/>
      </w:tblGrid>
      <w:tr w:rsidR="00A81C4F" w:rsidRPr="008F32E9" w14:paraId="6F7322AF" w14:textId="77777777" w:rsidTr="00DC23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32" w:type="pct"/>
          </w:tcPr>
          <w:p w14:paraId="48DAB5AD" w14:textId="77777777" w:rsidR="00A81C4F" w:rsidRPr="008F32E9" w:rsidRDefault="00A81C4F" w:rsidP="000A44EC">
            <w:pPr>
              <w:pStyle w:val="Normal-table"/>
              <w:rPr>
                <w:lang w:val="en-AU"/>
              </w:rPr>
            </w:pPr>
            <w:r w:rsidRPr="008F32E9">
              <w:rPr>
                <w:lang w:val="en-AU"/>
              </w:rPr>
              <w:t>Suburb/town</w:t>
            </w:r>
          </w:p>
        </w:tc>
        <w:tc>
          <w:tcPr>
            <w:tcW w:w="3768" w:type="pct"/>
          </w:tcPr>
          <w:p w14:paraId="0978842B" w14:textId="77777777" w:rsidR="00A81C4F" w:rsidRPr="008F32E9" w:rsidRDefault="00A81C4F" w:rsidP="000A44EC">
            <w:pPr>
              <w:pStyle w:val="Normal-table"/>
              <w:cnfStyle w:val="100000000000" w:firstRow="1" w:lastRow="0" w:firstColumn="0" w:lastColumn="0" w:oddVBand="0" w:evenVBand="0" w:oddHBand="0" w:evenHBand="0" w:firstRowFirstColumn="0" w:firstRowLastColumn="0" w:lastRowFirstColumn="0" w:lastRowLastColumn="0"/>
              <w:rPr>
                <w:lang w:val="en-AU"/>
              </w:rPr>
            </w:pPr>
            <w:r w:rsidRPr="008F32E9">
              <w:rPr>
                <w:lang w:val="en-AU"/>
              </w:rPr>
              <w:t>Address</w:t>
            </w:r>
          </w:p>
        </w:tc>
      </w:tr>
      <w:tr w:rsidR="00A81C4F" w:rsidRPr="008F32E9" w14:paraId="70D11AC8" w14:textId="77777777" w:rsidTr="00DC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pct"/>
          </w:tcPr>
          <w:p w14:paraId="2F069534" w14:textId="77777777" w:rsidR="00A81C4F" w:rsidRPr="008F32E9" w:rsidRDefault="00A81C4F" w:rsidP="000A44EC">
            <w:pPr>
              <w:pStyle w:val="Normal-table"/>
              <w:rPr>
                <w:lang w:val="en-AU"/>
              </w:rPr>
            </w:pPr>
            <w:r w:rsidRPr="008F32E9">
              <w:rPr>
                <w:lang w:val="en-AU"/>
              </w:rPr>
              <w:t>Atherton</w:t>
            </w:r>
          </w:p>
        </w:tc>
        <w:tc>
          <w:tcPr>
            <w:tcW w:w="3768" w:type="pct"/>
          </w:tcPr>
          <w:p w14:paraId="2A96A8A9" w14:textId="77777777" w:rsidR="00A81C4F" w:rsidRPr="008F32E9" w:rsidRDefault="00A81C4F" w:rsidP="000A44EC">
            <w:pPr>
              <w:pStyle w:val="Normal-table"/>
              <w:cnfStyle w:val="000000100000" w:firstRow="0" w:lastRow="0" w:firstColumn="0" w:lastColumn="0" w:oddVBand="0" w:evenVBand="0" w:oddHBand="1" w:evenHBand="0" w:firstRowFirstColumn="0" w:firstRowLastColumn="0" w:lastRowFirstColumn="0" w:lastRowLastColumn="0"/>
              <w:rPr>
                <w:lang w:val="en-AU"/>
              </w:rPr>
            </w:pPr>
            <w:r w:rsidRPr="008F32E9">
              <w:rPr>
                <w:lang w:val="en-AU"/>
              </w:rPr>
              <w:t>Shop 2, 13B Herberton Road, Atherton QLD 4883</w:t>
            </w:r>
          </w:p>
        </w:tc>
      </w:tr>
      <w:tr w:rsidR="00A81C4F" w:rsidRPr="008F32E9" w14:paraId="20166E12" w14:textId="77777777" w:rsidTr="00DC23F6">
        <w:tc>
          <w:tcPr>
            <w:cnfStyle w:val="001000000000" w:firstRow="0" w:lastRow="0" w:firstColumn="1" w:lastColumn="0" w:oddVBand="0" w:evenVBand="0" w:oddHBand="0" w:evenHBand="0" w:firstRowFirstColumn="0" w:firstRowLastColumn="0" w:lastRowFirstColumn="0" w:lastRowLastColumn="0"/>
            <w:tcW w:w="1232" w:type="pct"/>
          </w:tcPr>
          <w:p w14:paraId="20FD5E1F" w14:textId="77777777" w:rsidR="00A81C4F" w:rsidRPr="008F32E9" w:rsidRDefault="00A81C4F" w:rsidP="000A44EC">
            <w:pPr>
              <w:pStyle w:val="Normal-table"/>
              <w:rPr>
                <w:lang w:val="en-AU"/>
              </w:rPr>
            </w:pPr>
            <w:r w:rsidRPr="008F32E9">
              <w:rPr>
                <w:lang w:val="en-AU"/>
              </w:rPr>
              <w:t>Beenleigh</w:t>
            </w:r>
          </w:p>
        </w:tc>
        <w:tc>
          <w:tcPr>
            <w:tcW w:w="3768" w:type="pct"/>
          </w:tcPr>
          <w:p w14:paraId="3310A1A8" w14:textId="77777777" w:rsidR="00A81C4F" w:rsidRPr="008F32E9" w:rsidRDefault="00A81C4F" w:rsidP="000A44EC">
            <w:pPr>
              <w:pStyle w:val="Normal-table"/>
              <w:cnfStyle w:val="000000000000" w:firstRow="0" w:lastRow="0" w:firstColumn="0" w:lastColumn="0" w:oddVBand="0" w:evenVBand="0" w:oddHBand="0" w:evenHBand="0" w:firstRowFirstColumn="0" w:firstRowLastColumn="0" w:lastRowFirstColumn="0" w:lastRowLastColumn="0"/>
              <w:rPr>
                <w:lang w:val="en-AU"/>
              </w:rPr>
            </w:pPr>
            <w:r w:rsidRPr="008F32E9">
              <w:rPr>
                <w:lang w:val="en-AU"/>
              </w:rPr>
              <w:t>31 Logan River Road, Beenleigh QLD 4207</w:t>
            </w:r>
          </w:p>
        </w:tc>
      </w:tr>
      <w:tr w:rsidR="00A81C4F" w:rsidRPr="008F32E9" w14:paraId="72B1DBF3" w14:textId="77777777" w:rsidTr="00DC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pct"/>
          </w:tcPr>
          <w:p w14:paraId="17895952" w14:textId="77777777" w:rsidR="00A81C4F" w:rsidRPr="008F32E9" w:rsidRDefault="00A81C4F" w:rsidP="000A44EC">
            <w:pPr>
              <w:pStyle w:val="Normal-table"/>
              <w:rPr>
                <w:lang w:val="en-AU"/>
              </w:rPr>
            </w:pPr>
            <w:r w:rsidRPr="008F32E9">
              <w:rPr>
                <w:lang w:val="en-AU"/>
              </w:rPr>
              <w:t>Blackwater</w:t>
            </w:r>
          </w:p>
        </w:tc>
        <w:tc>
          <w:tcPr>
            <w:tcW w:w="3768" w:type="pct"/>
          </w:tcPr>
          <w:p w14:paraId="0B345BC9" w14:textId="77777777" w:rsidR="00A81C4F" w:rsidRPr="008F32E9" w:rsidRDefault="00A81C4F" w:rsidP="000A44EC">
            <w:pPr>
              <w:pStyle w:val="Normal-table"/>
              <w:cnfStyle w:val="000000100000" w:firstRow="0" w:lastRow="0" w:firstColumn="0" w:lastColumn="0" w:oddVBand="0" w:evenVBand="0" w:oddHBand="1" w:evenHBand="0" w:firstRowFirstColumn="0" w:firstRowLastColumn="0" w:lastRowFirstColumn="0" w:lastRowLastColumn="0"/>
              <w:rPr>
                <w:lang w:val="en-AU"/>
              </w:rPr>
            </w:pPr>
            <w:r w:rsidRPr="008F32E9">
              <w:rPr>
                <w:lang w:val="en-AU"/>
              </w:rPr>
              <w:t>8 Blain Street, Blackwater QLD 4717</w:t>
            </w:r>
          </w:p>
        </w:tc>
      </w:tr>
      <w:tr w:rsidR="00A81C4F" w:rsidRPr="008F32E9" w14:paraId="676FAC13" w14:textId="77777777" w:rsidTr="00DC23F6">
        <w:tc>
          <w:tcPr>
            <w:cnfStyle w:val="001000000000" w:firstRow="0" w:lastRow="0" w:firstColumn="1" w:lastColumn="0" w:oddVBand="0" w:evenVBand="0" w:oddHBand="0" w:evenHBand="0" w:firstRowFirstColumn="0" w:firstRowLastColumn="0" w:lastRowFirstColumn="0" w:lastRowLastColumn="0"/>
            <w:tcW w:w="1232" w:type="pct"/>
          </w:tcPr>
          <w:p w14:paraId="2C4FE061" w14:textId="77777777" w:rsidR="00A81C4F" w:rsidRPr="008F32E9" w:rsidRDefault="00A81C4F" w:rsidP="000A44EC">
            <w:pPr>
              <w:pStyle w:val="Normal-table"/>
              <w:rPr>
                <w:lang w:val="en-AU"/>
              </w:rPr>
            </w:pPr>
            <w:r w:rsidRPr="008F32E9">
              <w:rPr>
                <w:lang w:val="en-AU"/>
              </w:rPr>
              <w:t>Bowen</w:t>
            </w:r>
          </w:p>
        </w:tc>
        <w:tc>
          <w:tcPr>
            <w:tcW w:w="3768" w:type="pct"/>
          </w:tcPr>
          <w:p w14:paraId="0F5FC0AF" w14:textId="77777777" w:rsidR="00A81C4F" w:rsidRPr="008F32E9" w:rsidRDefault="00A81C4F" w:rsidP="000A44EC">
            <w:pPr>
              <w:pStyle w:val="Normal-table"/>
              <w:cnfStyle w:val="000000000000" w:firstRow="0" w:lastRow="0" w:firstColumn="0" w:lastColumn="0" w:oddVBand="0" w:evenVBand="0" w:oddHBand="0" w:evenHBand="0" w:firstRowFirstColumn="0" w:firstRowLastColumn="0" w:lastRowFirstColumn="0" w:lastRowLastColumn="0"/>
              <w:rPr>
                <w:lang w:val="en-AU"/>
              </w:rPr>
            </w:pPr>
            <w:r w:rsidRPr="008F32E9">
              <w:rPr>
                <w:lang w:val="en-AU"/>
              </w:rPr>
              <w:t>6 Herbert Street, Bowen QLD 4805</w:t>
            </w:r>
          </w:p>
        </w:tc>
      </w:tr>
      <w:tr w:rsidR="00A81C4F" w:rsidRPr="008F32E9" w14:paraId="2D64B238" w14:textId="77777777" w:rsidTr="00DC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pct"/>
          </w:tcPr>
          <w:p w14:paraId="42293F13" w14:textId="77777777" w:rsidR="00A81C4F" w:rsidRPr="008F32E9" w:rsidRDefault="00A81C4F" w:rsidP="000A44EC">
            <w:pPr>
              <w:pStyle w:val="Normal-table"/>
              <w:rPr>
                <w:lang w:val="en-AU"/>
              </w:rPr>
            </w:pPr>
            <w:r w:rsidRPr="008F32E9">
              <w:rPr>
                <w:lang w:val="en-AU"/>
              </w:rPr>
              <w:t>Brisbane (City)</w:t>
            </w:r>
          </w:p>
        </w:tc>
        <w:tc>
          <w:tcPr>
            <w:tcW w:w="3768" w:type="pct"/>
          </w:tcPr>
          <w:p w14:paraId="4365A481" w14:textId="77777777" w:rsidR="00A81C4F" w:rsidRPr="008F32E9" w:rsidRDefault="00A81C4F" w:rsidP="000A44EC">
            <w:pPr>
              <w:pStyle w:val="Normal-table"/>
              <w:cnfStyle w:val="000000100000" w:firstRow="0" w:lastRow="0" w:firstColumn="0" w:lastColumn="0" w:oddVBand="0" w:evenVBand="0" w:oddHBand="1" w:evenHBand="0" w:firstRowFirstColumn="0" w:firstRowLastColumn="0" w:lastRowFirstColumn="0" w:lastRowLastColumn="0"/>
              <w:rPr>
                <w:lang w:val="en-AU"/>
              </w:rPr>
            </w:pPr>
            <w:r w:rsidRPr="008F32E9">
              <w:rPr>
                <w:lang w:val="en-AU"/>
              </w:rPr>
              <w:t>229 Elizabeth Street, Brisbane QLD 4000</w:t>
            </w:r>
          </w:p>
        </w:tc>
      </w:tr>
      <w:tr w:rsidR="00A81C4F" w:rsidRPr="008F32E9" w14:paraId="0608BC83" w14:textId="77777777" w:rsidTr="00DC23F6">
        <w:tc>
          <w:tcPr>
            <w:cnfStyle w:val="001000000000" w:firstRow="0" w:lastRow="0" w:firstColumn="1" w:lastColumn="0" w:oddVBand="0" w:evenVBand="0" w:oddHBand="0" w:evenHBand="0" w:firstRowFirstColumn="0" w:firstRowLastColumn="0" w:lastRowFirstColumn="0" w:lastRowLastColumn="0"/>
            <w:tcW w:w="1232" w:type="pct"/>
          </w:tcPr>
          <w:p w14:paraId="0B15E185" w14:textId="77777777" w:rsidR="00A81C4F" w:rsidRPr="008F32E9" w:rsidRDefault="00A81C4F" w:rsidP="000A44EC">
            <w:pPr>
              <w:pStyle w:val="Normal-table"/>
              <w:rPr>
                <w:lang w:val="en-AU"/>
              </w:rPr>
            </w:pPr>
            <w:r w:rsidRPr="008F32E9">
              <w:rPr>
                <w:lang w:val="en-AU"/>
              </w:rPr>
              <w:t>Brisbane (Charlotte Street)</w:t>
            </w:r>
          </w:p>
        </w:tc>
        <w:tc>
          <w:tcPr>
            <w:tcW w:w="3768" w:type="pct"/>
          </w:tcPr>
          <w:p w14:paraId="61795041" w14:textId="77777777" w:rsidR="00A81C4F" w:rsidRPr="008F32E9" w:rsidRDefault="00A81C4F" w:rsidP="000A44EC">
            <w:pPr>
              <w:pStyle w:val="Normal-table"/>
              <w:cnfStyle w:val="000000000000" w:firstRow="0" w:lastRow="0" w:firstColumn="0" w:lastColumn="0" w:oddVBand="0" w:evenVBand="0" w:oddHBand="0" w:evenHBand="0" w:firstRowFirstColumn="0" w:firstRowLastColumn="0" w:lastRowFirstColumn="0" w:lastRowLastColumn="0"/>
              <w:rPr>
                <w:lang w:val="en-AU"/>
              </w:rPr>
            </w:pPr>
            <w:r w:rsidRPr="008F32E9">
              <w:rPr>
                <w:lang w:val="en-AU"/>
              </w:rPr>
              <w:t>Queensland Government Service Centre, 33 Charlotte Street, Brisbane QLD 4000</w:t>
            </w:r>
          </w:p>
        </w:tc>
      </w:tr>
      <w:tr w:rsidR="00A81C4F" w:rsidRPr="008F32E9" w14:paraId="4A8B29D8" w14:textId="77777777" w:rsidTr="00DC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pct"/>
          </w:tcPr>
          <w:p w14:paraId="18349A7A" w14:textId="77777777" w:rsidR="00A81C4F" w:rsidRPr="008F32E9" w:rsidRDefault="00A81C4F" w:rsidP="000A44EC">
            <w:pPr>
              <w:pStyle w:val="Normal-table"/>
              <w:rPr>
                <w:lang w:val="en-AU"/>
              </w:rPr>
            </w:pPr>
            <w:r w:rsidRPr="008F32E9">
              <w:rPr>
                <w:lang w:val="en-AU"/>
              </w:rPr>
              <w:t>Bundaberg</w:t>
            </w:r>
          </w:p>
        </w:tc>
        <w:tc>
          <w:tcPr>
            <w:tcW w:w="3768" w:type="pct"/>
          </w:tcPr>
          <w:p w14:paraId="3516E63B" w14:textId="77777777" w:rsidR="00A81C4F" w:rsidRPr="008F32E9" w:rsidRDefault="00A81C4F" w:rsidP="000A44EC">
            <w:pPr>
              <w:pStyle w:val="Normal-table"/>
              <w:cnfStyle w:val="000000100000" w:firstRow="0" w:lastRow="0" w:firstColumn="0" w:lastColumn="0" w:oddVBand="0" w:evenVBand="0" w:oddHBand="1" w:evenHBand="0" w:firstRowFirstColumn="0" w:firstRowLastColumn="0" w:lastRowFirstColumn="0" w:lastRowLastColumn="0"/>
              <w:rPr>
                <w:lang w:val="en-AU"/>
              </w:rPr>
            </w:pPr>
            <w:r w:rsidRPr="008F32E9">
              <w:rPr>
                <w:lang w:val="en-AU"/>
              </w:rPr>
              <w:t>9 Production Street, West Bundaberg QLD 4670</w:t>
            </w:r>
          </w:p>
        </w:tc>
      </w:tr>
      <w:tr w:rsidR="00A81C4F" w:rsidRPr="008F32E9" w14:paraId="53C48DFA" w14:textId="77777777" w:rsidTr="00DC23F6">
        <w:tc>
          <w:tcPr>
            <w:cnfStyle w:val="001000000000" w:firstRow="0" w:lastRow="0" w:firstColumn="1" w:lastColumn="0" w:oddVBand="0" w:evenVBand="0" w:oddHBand="0" w:evenHBand="0" w:firstRowFirstColumn="0" w:firstRowLastColumn="0" w:lastRowFirstColumn="0" w:lastRowLastColumn="0"/>
            <w:tcW w:w="1232" w:type="pct"/>
          </w:tcPr>
          <w:p w14:paraId="57D11716" w14:textId="77777777" w:rsidR="00A81C4F" w:rsidRPr="008F32E9" w:rsidRDefault="00A81C4F" w:rsidP="000A44EC">
            <w:pPr>
              <w:pStyle w:val="Normal-table"/>
              <w:rPr>
                <w:lang w:val="en-AU"/>
              </w:rPr>
            </w:pPr>
            <w:r w:rsidRPr="008F32E9">
              <w:rPr>
                <w:lang w:val="en-AU"/>
              </w:rPr>
              <w:t>Bundall</w:t>
            </w:r>
          </w:p>
        </w:tc>
        <w:tc>
          <w:tcPr>
            <w:tcW w:w="3768" w:type="pct"/>
          </w:tcPr>
          <w:p w14:paraId="0B6F9C1C" w14:textId="77777777" w:rsidR="00A81C4F" w:rsidRPr="008F32E9" w:rsidRDefault="00A81C4F" w:rsidP="000A44EC">
            <w:pPr>
              <w:pStyle w:val="Normal-table"/>
              <w:cnfStyle w:val="000000000000" w:firstRow="0" w:lastRow="0" w:firstColumn="0" w:lastColumn="0" w:oddVBand="0" w:evenVBand="0" w:oddHBand="0" w:evenHBand="0" w:firstRowFirstColumn="0" w:firstRowLastColumn="0" w:lastRowFirstColumn="0" w:lastRowLastColumn="0"/>
              <w:rPr>
                <w:lang w:val="en-AU"/>
              </w:rPr>
            </w:pPr>
            <w:r w:rsidRPr="008F32E9">
              <w:rPr>
                <w:lang w:val="en-AU"/>
              </w:rPr>
              <w:t>30 Upton Street, Bundall QLD 4217</w:t>
            </w:r>
          </w:p>
        </w:tc>
      </w:tr>
      <w:tr w:rsidR="00A81C4F" w:rsidRPr="008F32E9" w14:paraId="3D0469E8" w14:textId="77777777" w:rsidTr="00DC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pct"/>
          </w:tcPr>
          <w:p w14:paraId="36878550" w14:textId="77777777" w:rsidR="00A81C4F" w:rsidRPr="008F32E9" w:rsidRDefault="00A81C4F" w:rsidP="000A44EC">
            <w:pPr>
              <w:pStyle w:val="Normal-table"/>
              <w:rPr>
                <w:lang w:val="en-AU"/>
              </w:rPr>
            </w:pPr>
            <w:r w:rsidRPr="008F32E9">
              <w:rPr>
                <w:lang w:val="en-AU"/>
              </w:rPr>
              <w:t>Bundamba</w:t>
            </w:r>
          </w:p>
        </w:tc>
        <w:tc>
          <w:tcPr>
            <w:tcW w:w="3768" w:type="pct"/>
          </w:tcPr>
          <w:p w14:paraId="08123192" w14:textId="77777777" w:rsidR="00A81C4F" w:rsidRPr="008F32E9" w:rsidRDefault="00A81C4F" w:rsidP="000A44EC">
            <w:pPr>
              <w:pStyle w:val="Normal-table"/>
              <w:cnfStyle w:val="000000100000" w:firstRow="0" w:lastRow="0" w:firstColumn="0" w:lastColumn="0" w:oddVBand="0" w:evenVBand="0" w:oddHBand="1" w:evenHBand="0" w:firstRowFirstColumn="0" w:firstRowLastColumn="0" w:lastRowFirstColumn="0" w:lastRowLastColumn="0"/>
              <w:rPr>
                <w:lang w:val="en-AU"/>
              </w:rPr>
            </w:pPr>
            <w:r w:rsidRPr="008F32E9">
              <w:rPr>
                <w:lang w:val="en-AU"/>
              </w:rPr>
              <w:t>28 Brisbane Road, Bundamba, Qld, 4304</w:t>
            </w:r>
          </w:p>
        </w:tc>
      </w:tr>
      <w:tr w:rsidR="00A81C4F" w:rsidRPr="008F32E9" w14:paraId="74A159F6" w14:textId="77777777" w:rsidTr="00DC23F6">
        <w:tc>
          <w:tcPr>
            <w:cnfStyle w:val="001000000000" w:firstRow="0" w:lastRow="0" w:firstColumn="1" w:lastColumn="0" w:oddVBand="0" w:evenVBand="0" w:oddHBand="0" w:evenHBand="0" w:firstRowFirstColumn="0" w:firstRowLastColumn="0" w:lastRowFirstColumn="0" w:lastRowLastColumn="0"/>
            <w:tcW w:w="1232" w:type="pct"/>
          </w:tcPr>
          <w:p w14:paraId="6D5FC823" w14:textId="77777777" w:rsidR="00A81C4F" w:rsidRPr="008F32E9" w:rsidRDefault="00A81C4F" w:rsidP="000A44EC">
            <w:pPr>
              <w:pStyle w:val="Normal-table"/>
              <w:rPr>
                <w:lang w:val="en-AU"/>
              </w:rPr>
            </w:pPr>
            <w:r w:rsidRPr="008F32E9">
              <w:rPr>
                <w:lang w:val="en-AU"/>
              </w:rPr>
              <w:t>Burleigh Waters</w:t>
            </w:r>
          </w:p>
        </w:tc>
        <w:tc>
          <w:tcPr>
            <w:tcW w:w="3768" w:type="pct"/>
          </w:tcPr>
          <w:p w14:paraId="0E8DE546" w14:textId="77777777" w:rsidR="00A81C4F" w:rsidRPr="008F32E9" w:rsidRDefault="00A81C4F" w:rsidP="000A44EC">
            <w:pPr>
              <w:pStyle w:val="Normal-table"/>
              <w:cnfStyle w:val="000000000000" w:firstRow="0" w:lastRow="0" w:firstColumn="0" w:lastColumn="0" w:oddVBand="0" w:evenVBand="0" w:oddHBand="0" w:evenHBand="0" w:firstRowFirstColumn="0" w:firstRowLastColumn="0" w:lastRowFirstColumn="0" w:lastRowLastColumn="0"/>
              <w:rPr>
                <w:lang w:val="en-AU"/>
              </w:rPr>
            </w:pPr>
            <w:r w:rsidRPr="008F32E9">
              <w:rPr>
                <w:lang w:val="en-AU"/>
              </w:rPr>
              <w:t>Shop 1, Burleigh Home Space, 1 Santa Maria Court, Burleigh Waters QLD 4220</w:t>
            </w:r>
          </w:p>
        </w:tc>
      </w:tr>
      <w:tr w:rsidR="00A81C4F" w:rsidRPr="008F32E9" w14:paraId="66702FB6" w14:textId="77777777" w:rsidTr="00DC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pct"/>
          </w:tcPr>
          <w:p w14:paraId="6D0520A9" w14:textId="77777777" w:rsidR="00A81C4F" w:rsidRPr="008F32E9" w:rsidRDefault="00A81C4F" w:rsidP="000A44EC">
            <w:pPr>
              <w:pStyle w:val="Normal-table"/>
              <w:rPr>
                <w:lang w:val="en-AU"/>
              </w:rPr>
            </w:pPr>
            <w:r w:rsidRPr="008F32E9">
              <w:rPr>
                <w:lang w:val="en-AU"/>
              </w:rPr>
              <w:t>Caboolture</w:t>
            </w:r>
          </w:p>
        </w:tc>
        <w:tc>
          <w:tcPr>
            <w:tcW w:w="3768" w:type="pct"/>
          </w:tcPr>
          <w:p w14:paraId="78C2DB9E" w14:textId="77777777" w:rsidR="00A81C4F" w:rsidRPr="008F32E9" w:rsidRDefault="00A81C4F" w:rsidP="000A44EC">
            <w:pPr>
              <w:pStyle w:val="Normal-table"/>
              <w:cnfStyle w:val="000000100000" w:firstRow="0" w:lastRow="0" w:firstColumn="0" w:lastColumn="0" w:oddVBand="0" w:evenVBand="0" w:oddHBand="1" w:evenHBand="0" w:firstRowFirstColumn="0" w:firstRowLastColumn="0" w:lastRowFirstColumn="0" w:lastRowLastColumn="0"/>
              <w:rPr>
                <w:lang w:val="en-AU"/>
              </w:rPr>
            </w:pPr>
            <w:r w:rsidRPr="008F32E9">
              <w:rPr>
                <w:lang w:val="en-AU"/>
              </w:rPr>
              <w:t>Cnr Aerodrome Road and Piper Street, Caboolture QLD 4510</w:t>
            </w:r>
          </w:p>
        </w:tc>
      </w:tr>
      <w:tr w:rsidR="00A81C4F" w:rsidRPr="008F32E9" w14:paraId="67A541C5" w14:textId="77777777" w:rsidTr="00DC23F6">
        <w:tc>
          <w:tcPr>
            <w:cnfStyle w:val="001000000000" w:firstRow="0" w:lastRow="0" w:firstColumn="1" w:lastColumn="0" w:oddVBand="0" w:evenVBand="0" w:oddHBand="0" w:evenHBand="0" w:firstRowFirstColumn="0" w:firstRowLastColumn="0" w:lastRowFirstColumn="0" w:lastRowLastColumn="0"/>
            <w:tcW w:w="1232" w:type="pct"/>
          </w:tcPr>
          <w:p w14:paraId="78E347EF" w14:textId="77777777" w:rsidR="00A81C4F" w:rsidRPr="008F32E9" w:rsidRDefault="00A81C4F" w:rsidP="000A44EC">
            <w:pPr>
              <w:pStyle w:val="Normal-table"/>
              <w:rPr>
                <w:lang w:val="en-AU"/>
              </w:rPr>
            </w:pPr>
            <w:r w:rsidRPr="008F32E9">
              <w:rPr>
                <w:lang w:val="en-AU"/>
              </w:rPr>
              <w:t>Cairns (Bentley Park)</w:t>
            </w:r>
          </w:p>
        </w:tc>
        <w:tc>
          <w:tcPr>
            <w:tcW w:w="3768" w:type="pct"/>
          </w:tcPr>
          <w:p w14:paraId="424B8E77" w14:textId="77777777" w:rsidR="00A81C4F" w:rsidRPr="008F32E9" w:rsidRDefault="00A81C4F" w:rsidP="000A44EC">
            <w:pPr>
              <w:pStyle w:val="Normal-table"/>
              <w:cnfStyle w:val="000000000000" w:firstRow="0" w:lastRow="0" w:firstColumn="0" w:lastColumn="0" w:oddVBand="0" w:evenVBand="0" w:oddHBand="0" w:evenHBand="0" w:firstRowFirstColumn="0" w:firstRowLastColumn="0" w:lastRowFirstColumn="0" w:lastRowLastColumn="0"/>
              <w:rPr>
                <w:lang w:val="en-AU"/>
              </w:rPr>
            </w:pPr>
            <w:r w:rsidRPr="008F32E9">
              <w:rPr>
                <w:lang w:val="en-AU"/>
              </w:rPr>
              <w:t>Shop 18, Bentley Village Shopping Centre, 96 McLaughlin Road, Bentley Park QLD 4869</w:t>
            </w:r>
          </w:p>
        </w:tc>
      </w:tr>
      <w:tr w:rsidR="00A81C4F" w:rsidRPr="008F32E9" w14:paraId="2F15DC08" w14:textId="77777777" w:rsidTr="00DC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pct"/>
          </w:tcPr>
          <w:p w14:paraId="49D91AE7" w14:textId="77777777" w:rsidR="00A81C4F" w:rsidRPr="008F32E9" w:rsidRDefault="00A81C4F" w:rsidP="000A44EC">
            <w:pPr>
              <w:pStyle w:val="Normal-table"/>
              <w:rPr>
                <w:lang w:val="en-AU"/>
              </w:rPr>
            </w:pPr>
            <w:r w:rsidRPr="008F32E9">
              <w:rPr>
                <w:lang w:val="en-AU"/>
              </w:rPr>
              <w:t>Cairns (Kenny Street)</w:t>
            </w:r>
          </w:p>
        </w:tc>
        <w:tc>
          <w:tcPr>
            <w:tcW w:w="3768" w:type="pct"/>
          </w:tcPr>
          <w:p w14:paraId="28E9DED2" w14:textId="77777777" w:rsidR="00A81C4F" w:rsidRPr="008F32E9" w:rsidRDefault="00A81C4F" w:rsidP="000A44EC">
            <w:pPr>
              <w:pStyle w:val="Normal-table"/>
              <w:cnfStyle w:val="000000100000" w:firstRow="0" w:lastRow="0" w:firstColumn="0" w:lastColumn="0" w:oddVBand="0" w:evenVBand="0" w:oddHBand="1" w:evenHBand="0" w:firstRowFirstColumn="0" w:firstRowLastColumn="0" w:lastRowFirstColumn="0" w:lastRowLastColumn="0"/>
              <w:rPr>
                <w:lang w:val="en-AU"/>
              </w:rPr>
            </w:pPr>
            <w:r w:rsidRPr="008F32E9">
              <w:rPr>
                <w:lang w:val="en-AU"/>
              </w:rPr>
              <w:t>82-86 Kenny Street, Portsmith, Cairns QLD 4870</w:t>
            </w:r>
          </w:p>
        </w:tc>
      </w:tr>
      <w:tr w:rsidR="00A81C4F" w:rsidRPr="008F32E9" w14:paraId="25DE605C" w14:textId="77777777" w:rsidTr="00DC23F6">
        <w:tc>
          <w:tcPr>
            <w:cnfStyle w:val="001000000000" w:firstRow="0" w:lastRow="0" w:firstColumn="1" w:lastColumn="0" w:oddVBand="0" w:evenVBand="0" w:oddHBand="0" w:evenHBand="0" w:firstRowFirstColumn="0" w:firstRowLastColumn="0" w:lastRowFirstColumn="0" w:lastRowLastColumn="0"/>
            <w:tcW w:w="1232" w:type="pct"/>
          </w:tcPr>
          <w:p w14:paraId="74A6EC28" w14:textId="77777777" w:rsidR="00A81C4F" w:rsidRPr="008F32E9" w:rsidRDefault="00A81C4F" w:rsidP="000A44EC">
            <w:pPr>
              <w:pStyle w:val="Normal-table"/>
              <w:rPr>
                <w:lang w:val="en-AU"/>
              </w:rPr>
            </w:pPr>
            <w:r w:rsidRPr="008F32E9">
              <w:rPr>
                <w:lang w:val="en-AU"/>
              </w:rPr>
              <w:t>Caloundra</w:t>
            </w:r>
          </w:p>
        </w:tc>
        <w:tc>
          <w:tcPr>
            <w:tcW w:w="3768" w:type="pct"/>
          </w:tcPr>
          <w:p w14:paraId="42BE9EC9" w14:textId="77777777" w:rsidR="00A81C4F" w:rsidRPr="008F32E9" w:rsidRDefault="00A81C4F" w:rsidP="000A44EC">
            <w:pPr>
              <w:pStyle w:val="Normal-table"/>
              <w:cnfStyle w:val="000000000000" w:firstRow="0" w:lastRow="0" w:firstColumn="0" w:lastColumn="0" w:oddVBand="0" w:evenVBand="0" w:oddHBand="0" w:evenHBand="0" w:firstRowFirstColumn="0" w:firstRowLastColumn="0" w:lastRowFirstColumn="0" w:lastRowLastColumn="0"/>
              <w:rPr>
                <w:lang w:val="en-AU"/>
              </w:rPr>
            </w:pPr>
            <w:r w:rsidRPr="008F32E9">
              <w:rPr>
                <w:lang w:val="en-AU"/>
              </w:rPr>
              <w:t>54 Canberra Terrace, Caloundra QLD 4551</w:t>
            </w:r>
          </w:p>
        </w:tc>
      </w:tr>
      <w:tr w:rsidR="00A81C4F" w:rsidRPr="008F32E9" w14:paraId="0EEB39F5" w14:textId="77777777" w:rsidTr="00DC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pct"/>
          </w:tcPr>
          <w:p w14:paraId="5F236D01" w14:textId="77777777" w:rsidR="00A81C4F" w:rsidRPr="008F32E9" w:rsidRDefault="00A81C4F" w:rsidP="000A44EC">
            <w:pPr>
              <w:pStyle w:val="Normal-table"/>
              <w:rPr>
                <w:lang w:val="en-AU"/>
              </w:rPr>
            </w:pPr>
            <w:r w:rsidRPr="008F32E9">
              <w:rPr>
                <w:lang w:val="en-AU"/>
              </w:rPr>
              <w:t>Carseldine</w:t>
            </w:r>
          </w:p>
        </w:tc>
        <w:tc>
          <w:tcPr>
            <w:tcW w:w="3768" w:type="pct"/>
          </w:tcPr>
          <w:p w14:paraId="6D19B96B" w14:textId="77777777" w:rsidR="00A81C4F" w:rsidRPr="008F32E9" w:rsidRDefault="00A81C4F" w:rsidP="000A44EC">
            <w:pPr>
              <w:pStyle w:val="Normal-table"/>
              <w:cnfStyle w:val="000000100000" w:firstRow="0" w:lastRow="0" w:firstColumn="0" w:lastColumn="0" w:oddVBand="0" w:evenVBand="0" w:oddHBand="1" w:evenHBand="0" w:firstRowFirstColumn="0" w:firstRowLastColumn="0" w:lastRowFirstColumn="0" w:lastRowLastColumn="0"/>
              <w:rPr>
                <w:lang w:val="en-AU"/>
              </w:rPr>
            </w:pPr>
            <w:r w:rsidRPr="008F32E9">
              <w:rPr>
                <w:lang w:val="en-AU"/>
              </w:rPr>
              <w:t>532 Beams Road, Carseldine 4034</w:t>
            </w:r>
          </w:p>
        </w:tc>
      </w:tr>
      <w:tr w:rsidR="00A81C4F" w:rsidRPr="008F32E9" w14:paraId="41880EF8" w14:textId="77777777" w:rsidTr="00DC23F6">
        <w:tc>
          <w:tcPr>
            <w:cnfStyle w:val="001000000000" w:firstRow="0" w:lastRow="0" w:firstColumn="1" w:lastColumn="0" w:oddVBand="0" w:evenVBand="0" w:oddHBand="0" w:evenHBand="0" w:firstRowFirstColumn="0" w:firstRowLastColumn="0" w:lastRowFirstColumn="0" w:lastRowLastColumn="0"/>
            <w:tcW w:w="1232" w:type="pct"/>
          </w:tcPr>
          <w:p w14:paraId="711B17AF" w14:textId="77777777" w:rsidR="00A81C4F" w:rsidRPr="008F32E9" w:rsidRDefault="00A81C4F" w:rsidP="000A44EC">
            <w:pPr>
              <w:pStyle w:val="Normal-table"/>
              <w:rPr>
                <w:lang w:val="en-AU"/>
              </w:rPr>
            </w:pPr>
            <w:r w:rsidRPr="008F32E9">
              <w:rPr>
                <w:lang w:val="en-AU"/>
              </w:rPr>
              <w:t>Charleville</w:t>
            </w:r>
          </w:p>
        </w:tc>
        <w:tc>
          <w:tcPr>
            <w:tcW w:w="3768" w:type="pct"/>
          </w:tcPr>
          <w:p w14:paraId="376890CE" w14:textId="77777777" w:rsidR="00A81C4F" w:rsidRPr="008F32E9" w:rsidRDefault="00A81C4F" w:rsidP="000A44EC">
            <w:pPr>
              <w:pStyle w:val="Normal-table"/>
              <w:cnfStyle w:val="000000000000" w:firstRow="0" w:lastRow="0" w:firstColumn="0" w:lastColumn="0" w:oddVBand="0" w:evenVBand="0" w:oddHBand="0" w:evenHBand="0" w:firstRowFirstColumn="0" w:firstRowLastColumn="0" w:lastRowFirstColumn="0" w:lastRowLastColumn="0"/>
              <w:rPr>
                <w:lang w:val="en-AU"/>
              </w:rPr>
            </w:pPr>
            <w:r w:rsidRPr="008F32E9">
              <w:rPr>
                <w:lang w:val="en-AU"/>
              </w:rPr>
              <w:t>Hood Street, Charleville QLD 4470</w:t>
            </w:r>
          </w:p>
        </w:tc>
      </w:tr>
      <w:tr w:rsidR="00A81C4F" w:rsidRPr="008F32E9" w14:paraId="3C3DE003" w14:textId="77777777" w:rsidTr="00DC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pct"/>
          </w:tcPr>
          <w:p w14:paraId="1BB31BA9" w14:textId="77777777" w:rsidR="00A81C4F" w:rsidRPr="008F32E9" w:rsidRDefault="00A81C4F" w:rsidP="000A44EC">
            <w:pPr>
              <w:pStyle w:val="Normal-table"/>
              <w:rPr>
                <w:lang w:val="en-AU"/>
              </w:rPr>
            </w:pPr>
            <w:r w:rsidRPr="008F32E9">
              <w:rPr>
                <w:lang w:val="en-AU"/>
              </w:rPr>
              <w:t>Charters Towers</w:t>
            </w:r>
          </w:p>
        </w:tc>
        <w:tc>
          <w:tcPr>
            <w:tcW w:w="3768" w:type="pct"/>
          </w:tcPr>
          <w:p w14:paraId="4138D486" w14:textId="77777777" w:rsidR="00A81C4F" w:rsidRPr="008F32E9" w:rsidRDefault="00A81C4F" w:rsidP="000A44EC">
            <w:pPr>
              <w:pStyle w:val="Normal-table"/>
              <w:cnfStyle w:val="000000100000" w:firstRow="0" w:lastRow="0" w:firstColumn="0" w:lastColumn="0" w:oddVBand="0" w:evenVBand="0" w:oddHBand="1" w:evenHBand="0" w:firstRowFirstColumn="0" w:firstRowLastColumn="0" w:lastRowFirstColumn="0" w:lastRowLastColumn="0"/>
              <w:rPr>
                <w:lang w:val="en-AU"/>
              </w:rPr>
            </w:pPr>
            <w:r w:rsidRPr="008F32E9">
              <w:rPr>
                <w:lang w:val="en-AU"/>
              </w:rPr>
              <w:t>11-15 Church Street, Charters Towers QLD 4820</w:t>
            </w:r>
          </w:p>
        </w:tc>
      </w:tr>
      <w:tr w:rsidR="00A81C4F" w:rsidRPr="008F32E9" w14:paraId="59D87E1D" w14:textId="77777777" w:rsidTr="00DC23F6">
        <w:tc>
          <w:tcPr>
            <w:cnfStyle w:val="001000000000" w:firstRow="0" w:lastRow="0" w:firstColumn="1" w:lastColumn="0" w:oddVBand="0" w:evenVBand="0" w:oddHBand="0" w:evenHBand="0" w:firstRowFirstColumn="0" w:firstRowLastColumn="0" w:lastRowFirstColumn="0" w:lastRowLastColumn="0"/>
            <w:tcW w:w="1232" w:type="pct"/>
          </w:tcPr>
          <w:p w14:paraId="2CC7A9EF" w14:textId="77777777" w:rsidR="00A81C4F" w:rsidRPr="008F32E9" w:rsidRDefault="00A81C4F" w:rsidP="000A44EC">
            <w:pPr>
              <w:pStyle w:val="Normal-table"/>
              <w:rPr>
                <w:lang w:val="en-AU"/>
              </w:rPr>
            </w:pPr>
            <w:r w:rsidRPr="008F32E9">
              <w:rPr>
                <w:lang w:val="en-AU"/>
              </w:rPr>
              <w:t>Chermside</w:t>
            </w:r>
          </w:p>
        </w:tc>
        <w:tc>
          <w:tcPr>
            <w:tcW w:w="3768" w:type="pct"/>
          </w:tcPr>
          <w:p w14:paraId="02CEFD4F" w14:textId="77777777" w:rsidR="00A81C4F" w:rsidRPr="008F32E9" w:rsidRDefault="00A81C4F" w:rsidP="000A44EC">
            <w:pPr>
              <w:pStyle w:val="Normal-table"/>
              <w:cnfStyle w:val="000000000000" w:firstRow="0" w:lastRow="0" w:firstColumn="0" w:lastColumn="0" w:oddVBand="0" w:evenVBand="0" w:oddHBand="0" w:evenHBand="0" w:firstRowFirstColumn="0" w:firstRowLastColumn="0" w:lastRowFirstColumn="0" w:lastRowLastColumn="0"/>
              <w:rPr>
                <w:lang w:val="en-AU"/>
              </w:rPr>
            </w:pPr>
            <w:r w:rsidRPr="008F32E9">
              <w:rPr>
                <w:lang w:val="en-AU"/>
              </w:rPr>
              <w:t>766 Gympie Road, Chermside QLD 4032</w:t>
            </w:r>
          </w:p>
        </w:tc>
      </w:tr>
      <w:tr w:rsidR="00A81C4F" w:rsidRPr="008F32E9" w14:paraId="2071D962" w14:textId="77777777" w:rsidTr="00DC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pct"/>
          </w:tcPr>
          <w:p w14:paraId="616B0423" w14:textId="77777777" w:rsidR="00A81C4F" w:rsidRPr="008F32E9" w:rsidRDefault="00A81C4F" w:rsidP="000A44EC">
            <w:pPr>
              <w:pStyle w:val="Normal-table"/>
              <w:rPr>
                <w:lang w:val="en-AU"/>
              </w:rPr>
            </w:pPr>
            <w:r w:rsidRPr="008F32E9">
              <w:rPr>
                <w:lang w:val="en-AU"/>
              </w:rPr>
              <w:t>Cleveland</w:t>
            </w:r>
          </w:p>
        </w:tc>
        <w:tc>
          <w:tcPr>
            <w:tcW w:w="3768" w:type="pct"/>
          </w:tcPr>
          <w:p w14:paraId="618AAF3E" w14:textId="77777777" w:rsidR="00A81C4F" w:rsidRPr="008F32E9" w:rsidRDefault="00A81C4F" w:rsidP="000A44EC">
            <w:pPr>
              <w:pStyle w:val="Normal-table"/>
              <w:cnfStyle w:val="000000100000" w:firstRow="0" w:lastRow="0" w:firstColumn="0" w:lastColumn="0" w:oddVBand="0" w:evenVBand="0" w:oddHBand="1" w:evenHBand="0" w:firstRowFirstColumn="0" w:firstRowLastColumn="0" w:lastRowFirstColumn="0" w:lastRowLastColumn="0"/>
              <w:rPr>
                <w:lang w:val="en-AU"/>
              </w:rPr>
            </w:pPr>
            <w:r w:rsidRPr="008F32E9">
              <w:rPr>
                <w:lang w:val="en-AU"/>
              </w:rPr>
              <w:t>Ross Court Centre, Cnr Bloomfield Street and Ross Court, Cleveland QLD 4163</w:t>
            </w:r>
          </w:p>
        </w:tc>
      </w:tr>
      <w:tr w:rsidR="00A81C4F" w:rsidRPr="008F32E9" w14:paraId="26A3B479" w14:textId="77777777" w:rsidTr="00DC23F6">
        <w:tc>
          <w:tcPr>
            <w:cnfStyle w:val="001000000000" w:firstRow="0" w:lastRow="0" w:firstColumn="1" w:lastColumn="0" w:oddVBand="0" w:evenVBand="0" w:oddHBand="0" w:evenHBand="0" w:firstRowFirstColumn="0" w:firstRowLastColumn="0" w:lastRowFirstColumn="0" w:lastRowLastColumn="0"/>
            <w:tcW w:w="1232" w:type="pct"/>
          </w:tcPr>
          <w:p w14:paraId="4AAD41BE" w14:textId="77777777" w:rsidR="00A81C4F" w:rsidRPr="008F32E9" w:rsidRDefault="00A81C4F" w:rsidP="000A44EC">
            <w:pPr>
              <w:pStyle w:val="Normal-table"/>
              <w:rPr>
                <w:lang w:val="en-AU"/>
              </w:rPr>
            </w:pPr>
            <w:r w:rsidRPr="008F32E9">
              <w:rPr>
                <w:lang w:val="en-AU"/>
              </w:rPr>
              <w:t>Cloncurry</w:t>
            </w:r>
          </w:p>
        </w:tc>
        <w:tc>
          <w:tcPr>
            <w:tcW w:w="3768" w:type="pct"/>
          </w:tcPr>
          <w:p w14:paraId="73BFF840" w14:textId="77777777" w:rsidR="00A81C4F" w:rsidRPr="008F32E9" w:rsidRDefault="00A81C4F" w:rsidP="000A44EC">
            <w:pPr>
              <w:pStyle w:val="Normal-table"/>
              <w:cnfStyle w:val="000000000000" w:firstRow="0" w:lastRow="0" w:firstColumn="0" w:lastColumn="0" w:oddVBand="0" w:evenVBand="0" w:oddHBand="0" w:evenHBand="0" w:firstRowFirstColumn="0" w:firstRowLastColumn="0" w:lastRowFirstColumn="0" w:lastRowLastColumn="0"/>
              <w:rPr>
                <w:lang w:val="en-AU"/>
              </w:rPr>
            </w:pPr>
            <w:r w:rsidRPr="008F32E9">
              <w:rPr>
                <w:lang w:val="en-AU"/>
              </w:rPr>
              <w:t>16-22 Ramsay Street, Cloncurry QLD 4824</w:t>
            </w:r>
          </w:p>
        </w:tc>
      </w:tr>
      <w:tr w:rsidR="00A81C4F" w:rsidRPr="008F32E9" w14:paraId="3E941A62" w14:textId="77777777" w:rsidTr="00DC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pct"/>
          </w:tcPr>
          <w:p w14:paraId="714F5E4B" w14:textId="77777777" w:rsidR="00A81C4F" w:rsidRPr="008F32E9" w:rsidRDefault="00A81C4F" w:rsidP="000A44EC">
            <w:pPr>
              <w:pStyle w:val="Normal-table"/>
              <w:rPr>
                <w:lang w:val="en-AU"/>
              </w:rPr>
            </w:pPr>
            <w:r w:rsidRPr="008F32E9">
              <w:rPr>
                <w:lang w:val="en-AU"/>
              </w:rPr>
              <w:t>Currumbin Waters</w:t>
            </w:r>
          </w:p>
        </w:tc>
        <w:tc>
          <w:tcPr>
            <w:tcW w:w="3768" w:type="pct"/>
          </w:tcPr>
          <w:p w14:paraId="0CE1695F" w14:textId="77777777" w:rsidR="00A81C4F" w:rsidRPr="008F32E9" w:rsidRDefault="00A81C4F" w:rsidP="000A44EC">
            <w:pPr>
              <w:pStyle w:val="Normal-table"/>
              <w:cnfStyle w:val="000000100000" w:firstRow="0" w:lastRow="0" w:firstColumn="0" w:lastColumn="0" w:oddVBand="0" w:evenVBand="0" w:oddHBand="1" w:evenHBand="0" w:firstRowFirstColumn="0" w:firstRowLastColumn="0" w:lastRowFirstColumn="0" w:lastRowLastColumn="0"/>
              <w:rPr>
                <w:lang w:val="en-AU"/>
              </w:rPr>
            </w:pPr>
            <w:r w:rsidRPr="008F32E9">
              <w:rPr>
                <w:lang w:val="en-AU"/>
              </w:rPr>
              <w:t>Unit 3, 109 Currumbin Creek Road, Currumbin Waters QLD 4223</w:t>
            </w:r>
          </w:p>
        </w:tc>
      </w:tr>
      <w:tr w:rsidR="00A81C4F" w:rsidRPr="008F32E9" w14:paraId="5574DB24" w14:textId="77777777" w:rsidTr="00DC23F6">
        <w:tc>
          <w:tcPr>
            <w:cnfStyle w:val="001000000000" w:firstRow="0" w:lastRow="0" w:firstColumn="1" w:lastColumn="0" w:oddVBand="0" w:evenVBand="0" w:oddHBand="0" w:evenHBand="0" w:firstRowFirstColumn="0" w:firstRowLastColumn="0" w:lastRowFirstColumn="0" w:lastRowLastColumn="0"/>
            <w:tcW w:w="1232" w:type="pct"/>
          </w:tcPr>
          <w:p w14:paraId="52C4F645" w14:textId="77777777" w:rsidR="00A81C4F" w:rsidRPr="008F32E9" w:rsidRDefault="00A81C4F" w:rsidP="000A44EC">
            <w:pPr>
              <w:pStyle w:val="Normal-table"/>
              <w:rPr>
                <w:lang w:val="en-AU"/>
              </w:rPr>
            </w:pPr>
            <w:r w:rsidRPr="008F32E9">
              <w:rPr>
                <w:lang w:val="en-AU"/>
              </w:rPr>
              <w:t>Dalby</w:t>
            </w:r>
          </w:p>
        </w:tc>
        <w:tc>
          <w:tcPr>
            <w:tcW w:w="3768" w:type="pct"/>
          </w:tcPr>
          <w:p w14:paraId="692898A5" w14:textId="77777777" w:rsidR="00A81C4F" w:rsidRPr="008F32E9" w:rsidRDefault="00A81C4F" w:rsidP="000A44EC">
            <w:pPr>
              <w:pStyle w:val="Normal-table"/>
              <w:cnfStyle w:val="000000000000" w:firstRow="0" w:lastRow="0" w:firstColumn="0" w:lastColumn="0" w:oddVBand="0" w:evenVBand="0" w:oddHBand="0" w:evenHBand="0" w:firstRowFirstColumn="0" w:firstRowLastColumn="0" w:lastRowFirstColumn="0" w:lastRowLastColumn="0"/>
              <w:rPr>
                <w:lang w:val="en-AU"/>
              </w:rPr>
            </w:pPr>
            <w:r w:rsidRPr="008F32E9">
              <w:rPr>
                <w:lang w:val="en-AU"/>
              </w:rPr>
              <w:t>20 Cunningham Street, Dalby QLD 4405</w:t>
            </w:r>
          </w:p>
        </w:tc>
      </w:tr>
      <w:tr w:rsidR="00A81C4F" w:rsidRPr="008F32E9" w14:paraId="3A9DB039" w14:textId="77777777" w:rsidTr="00DC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pct"/>
          </w:tcPr>
          <w:p w14:paraId="7F07CED0" w14:textId="77777777" w:rsidR="00A81C4F" w:rsidRPr="008F32E9" w:rsidRDefault="00A81C4F" w:rsidP="000A44EC">
            <w:pPr>
              <w:pStyle w:val="Normal-table"/>
              <w:rPr>
                <w:lang w:val="en-AU"/>
              </w:rPr>
            </w:pPr>
            <w:r w:rsidRPr="008F32E9">
              <w:rPr>
                <w:lang w:val="en-AU"/>
              </w:rPr>
              <w:lastRenderedPageBreak/>
              <w:t>Emerald</w:t>
            </w:r>
          </w:p>
        </w:tc>
        <w:tc>
          <w:tcPr>
            <w:tcW w:w="3768" w:type="pct"/>
          </w:tcPr>
          <w:p w14:paraId="6996007D" w14:textId="77777777" w:rsidR="00A81C4F" w:rsidRPr="008F32E9" w:rsidRDefault="00A81C4F" w:rsidP="000A44EC">
            <w:pPr>
              <w:pStyle w:val="Normal-table"/>
              <w:cnfStyle w:val="000000100000" w:firstRow="0" w:lastRow="0" w:firstColumn="0" w:lastColumn="0" w:oddVBand="0" w:evenVBand="0" w:oddHBand="1" w:evenHBand="0" w:firstRowFirstColumn="0" w:firstRowLastColumn="0" w:lastRowFirstColumn="0" w:lastRowLastColumn="0"/>
              <w:rPr>
                <w:lang w:val="en-AU"/>
              </w:rPr>
            </w:pPr>
            <w:r w:rsidRPr="008F32E9">
              <w:rPr>
                <w:lang w:val="en-AU"/>
              </w:rPr>
              <w:t>83 Esmond Street, Emerald QLD 4720</w:t>
            </w:r>
          </w:p>
        </w:tc>
      </w:tr>
      <w:tr w:rsidR="00A81C4F" w:rsidRPr="008F32E9" w14:paraId="3EEBEED9" w14:textId="77777777" w:rsidTr="00DC23F6">
        <w:tc>
          <w:tcPr>
            <w:cnfStyle w:val="001000000000" w:firstRow="0" w:lastRow="0" w:firstColumn="1" w:lastColumn="0" w:oddVBand="0" w:evenVBand="0" w:oddHBand="0" w:evenHBand="0" w:firstRowFirstColumn="0" w:firstRowLastColumn="0" w:lastRowFirstColumn="0" w:lastRowLastColumn="0"/>
            <w:tcW w:w="1232" w:type="pct"/>
          </w:tcPr>
          <w:p w14:paraId="4E7E5B5D" w14:textId="77777777" w:rsidR="00A81C4F" w:rsidRPr="008F32E9" w:rsidRDefault="00A81C4F" w:rsidP="000A44EC">
            <w:pPr>
              <w:pStyle w:val="Normal-table"/>
              <w:rPr>
                <w:lang w:val="en-AU"/>
              </w:rPr>
            </w:pPr>
            <w:r w:rsidRPr="008F32E9">
              <w:rPr>
                <w:lang w:val="en-AU"/>
              </w:rPr>
              <w:t>Gladstone</w:t>
            </w:r>
          </w:p>
        </w:tc>
        <w:tc>
          <w:tcPr>
            <w:tcW w:w="3768" w:type="pct"/>
          </w:tcPr>
          <w:p w14:paraId="6083E4C3" w14:textId="77777777" w:rsidR="00A81C4F" w:rsidRPr="008F32E9" w:rsidRDefault="00A81C4F" w:rsidP="000A44EC">
            <w:pPr>
              <w:pStyle w:val="Normal-table"/>
              <w:cnfStyle w:val="000000000000" w:firstRow="0" w:lastRow="0" w:firstColumn="0" w:lastColumn="0" w:oddVBand="0" w:evenVBand="0" w:oddHBand="0" w:evenHBand="0" w:firstRowFirstColumn="0" w:firstRowLastColumn="0" w:lastRowFirstColumn="0" w:lastRowLastColumn="0"/>
              <w:rPr>
                <w:lang w:val="en-AU"/>
              </w:rPr>
            </w:pPr>
            <w:r w:rsidRPr="008F32E9">
              <w:rPr>
                <w:lang w:val="en-AU"/>
              </w:rPr>
              <w:t>2 Paterson Street, Gladstone QLD 4680</w:t>
            </w:r>
          </w:p>
        </w:tc>
      </w:tr>
      <w:tr w:rsidR="00A81C4F" w:rsidRPr="008F32E9" w14:paraId="0DE8D341" w14:textId="77777777" w:rsidTr="00DC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pct"/>
          </w:tcPr>
          <w:p w14:paraId="7C36C4C8" w14:textId="77777777" w:rsidR="00A81C4F" w:rsidRPr="008F32E9" w:rsidRDefault="00A81C4F" w:rsidP="000A44EC">
            <w:pPr>
              <w:pStyle w:val="Normal-table"/>
              <w:rPr>
                <w:lang w:val="en-AU"/>
              </w:rPr>
            </w:pPr>
            <w:r w:rsidRPr="008F32E9">
              <w:rPr>
                <w:lang w:val="en-AU"/>
              </w:rPr>
              <w:t>Goondiwindi</w:t>
            </w:r>
          </w:p>
        </w:tc>
        <w:tc>
          <w:tcPr>
            <w:tcW w:w="3768" w:type="pct"/>
          </w:tcPr>
          <w:p w14:paraId="5C283792" w14:textId="77777777" w:rsidR="00A81C4F" w:rsidRPr="008F32E9" w:rsidRDefault="00A81C4F" w:rsidP="000A44EC">
            <w:pPr>
              <w:pStyle w:val="Normal-table"/>
              <w:cnfStyle w:val="000000100000" w:firstRow="0" w:lastRow="0" w:firstColumn="0" w:lastColumn="0" w:oddVBand="0" w:evenVBand="0" w:oddHBand="1" w:evenHBand="0" w:firstRowFirstColumn="0" w:firstRowLastColumn="0" w:lastRowFirstColumn="0" w:lastRowLastColumn="0"/>
              <w:rPr>
                <w:lang w:val="en-AU"/>
              </w:rPr>
            </w:pPr>
            <w:r w:rsidRPr="008F32E9">
              <w:rPr>
                <w:lang w:val="en-AU"/>
              </w:rPr>
              <w:t>6 Brisbane Street, Goondiwindi QLD 4390</w:t>
            </w:r>
          </w:p>
        </w:tc>
      </w:tr>
      <w:tr w:rsidR="00A81C4F" w:rsidRPr="008F32E9" w14:paraId="6B1E607A" w14:textId="77777777" w:rsidTr="00DC23F6">
        <w:tc>
          <w:tcPr>
            <w:cnfStyle w:val="001000000000" w:firstRow="0" w:lastRow="0" w:firstColumn="1" w:lastColumn="0" w:oddVBand="0" w:evenVBand="0" w:oddHBand="0" w:evenHBand="0" w:firstRowFirstColumn="0" w:firstRowLastColumn="0" w:lastRowFirstColumn="0" w:lastRowLastColumn="0"/>
            <w:tcW w:w="1232" w:type="pct"/>
          </w:tcPr>
          <w:p w14:paraId="37FD17B7" w14:textId="77777777" w:rsidR="00A81C4F" w:rsidRPr="008F32E9" w:rsidRDefault="00A81C4F" w:rsidP="000A44EC">
            <w:pPr>
              <w:pStyle w:val="Normal-table"/>
              <w:rPr>
                <w:lang w:val="en-AU"/>
              </w:rPr>
            </w:pPr>
            <w:r w:rsidRPr="008F32E9">
              <w:rPr>
                <w:lang w:val="en-AU"/>
              </w:rPr>
              <w:t>Greenslopes</w:t>
            </w:r>
          </w:p>
        </w:tc>
        <w:tc>
          <w:tcPr>
            <w:tcW w:w="3768" w:type="pct"/>
          </w:tcPr>
          <w:p w14:paraId="03839CAE" w14:textId="77777777" w:rsidR="00A81C4F" w:rsidRPr="008F32E9" w:rsidRDefault="00A81C4F" w:rsidP="000A44EC">
            <w:pPr>
              <w:pStyle w:val="Normal-table"/>
              <w:cnfStyle w:val="000000000000" w:firstRow="0" w:lastRow="0" w:firstColumn="0" w:lastColumn="0" w:oddVBand="0" w:evenVBand="0" w:oddHBand="0" w:evenHBand="0" w:firstRowFirstColumn="0" w:firstRowLastColumn="0" w:lastRowFirstColumn="0" w:lastRowLastColumn="0"/>
              <w:rPr>
                <w:lang w:val="en-AU"/>
              </w:rPr>
            </w:pPr>
            <w:r w:rsidRPr="008F32E9">
              <w:rPr>
                <w:lang w:val="en-AU"/>
              </w:rPr>
              <w:t>Greenslopes Shopping Mall, 700 Logan Road (Cnr Plimsoll Street), Greenslopes QLD 4120</w:t>
            </w:r>
          </w:p>
        </w:tc>
      </w:tr>
      <w:tr w:rsidR="00A81C4F" w:rsidRPr="008F32E9" w14:paraId="5D01B7A2" w14:textId="77777777" w:rsidTr="00DC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pct"/>
          </w:tcPr>
          <w:p w14:paraId="07681B0A" w14:textId="77777777" w:rsidR="00A81C4F" w:rsidRPr="008F32E9" w:rsidRDefault="00A81C4F" w:rsidP="000A44EC">
            <w:pPr>
              <w:pStyle w:val="Normal-table"/>
              <w:rPr>
                <w:lang w:val="en-AU"/>
              </w:rPr>
            </w:pPr>
            <w:r w:rsidRPr="008F32E9">
              <w:rPr>
                <w:lang w:val="en-AU"/>
              </w:rPr>
              <w:t>Gympie</w:t>
            </w:r>
          </w:p>
        </w:tc>
        <w:tc>
          <w:tcPr>
            <w:tcW w:w="3768" w:type="pct"/>
          </w:tcPr>
          <w:p w14:paraId="3FE205B5" w14:textId="77777777" w:rsidR="00A81C4F" w:rsidRPr="008F32E9" w:rsidRDefault="00A81C4F" w:rsidP="000A44EC">
            <w:pPr>
              <w:pStyle w:val="Normal-table"/>
              <w:cnfStyle w:val="000000100000" w:firstRow="0" w:lastRow="0" w:firstColumn="0" w:lastColumn="0" w:oddVBand="0" w:evenVBand="0" w:oddHBand="1" w:evenHBand="0" w:firstRowFirstColumn="0" w:firstRowLastColumn="0" w:lastRowFirstColumn="0" w:lastRowLastColumn="0"/>
              <w:rPr>
                <w:lang w:val="en-AU"/>
              </w:rPr>
            </w:pPr>
            <w:r w:rsidRPr="008F32E9">
              <w:rPr>
                <w:lang w:val="en-AU"/>
              </w:rPr>
              <w:t>Floor 1, 50 River Road, Gympie QLD 4570</w:t>
            </w:r>
          </w:p>
        </w:tc>
      </w:tr>
      <w:tr w:rsidR="00A81C4F" w:rsidRPr="008F32E9" w14:paraId="6659AD44" w14:textId="77777777" w:rsidTr="00DC23F6">
        <w:tc>
          <w:tcPr>
            <w:cnfStyle w:val="001000000000" w:firstRow="0" w:lastRow="0" w:firstColumn="1" w:lastColumn="0" w:oddVBand="0" w:evenVBand="0" w:oddHBand="0" w:evenHBand="0" w:firstRowFirstColumn="0" w:firstRowLastColumn="0" w:lastRowFirstColumn="0" w:lastRowLastColumn="0"/>
            <w:tcW w:w="1232" w:type="pct"/>
          </w:tcPr>
          <w:p w14:paraId="25EEBB9D" w14:textId="77777777" w:rsidR="00A81C4F" w:rsidRPr="008F32E9" w:rsidRDefault="00A81C4F" w:rsidP="000A44EC">
            <w:pPr>
              <w:pStyle w:val="Normal-table"/>
              <w:rPr>
                <w:lang w:val="en-AU"/>
              </w:rPr>
            </w:pPr>
            <w:r w:rsidRPr="008F32E9">
              <w:rPr>
                <w:lang w:val="en-AU"/>
              </w:rPr>
              <w:t>Helensvale</w:t>
            </w:r>
          </w:p>
        </w:tc>
        <w:tc>
          <w:tcPr>
            <w:tcW w:w="3768" w:type="pct"/>
          </w:tcPr>
          <w:p w14:paraId="52A02FE1" w14:textId="77777777" w:rsidR="00A81C4F" w:rsidRPr="008F32E9" w:rsidRDefault="00A81C4F" w:rsidP="000A44EC">
            <w:pPr>
              <w:pStyle w:val="Normal-table"/>
              <w:cnfStyle w:val="000000000000" w:firstRow="0" w:lastRow="0" w:firstColumn="0" w:lastColumn="0" w:oddVBand="0" w:evenVBand="0" w:oddHBand="0" w:evenHBand="0" w:firstRowFirstColumn="0" w:firstRowLastColumn="0" w:lastRowFirstColumn="0" w:lastRowLastColumn="0"/>
              <w:rPr>
                <w:lang w:val="en-AU"/>
              </w:rPr>
            </w:pPr>
            <w:r w:rsidRPr="008F32E9">
              <w:rPr>
                <w:lang w:val="en-AU"/>
              </w:rPr>
              <w:t>Helensvale Plaza Shopping Centre, 12 Sir John Overall Drive, Helensvale QLD 4212</w:t>
            </w:r>
          </w:p>
        </w:tc>
      </w:tr>
      <w:tr w:rsidR="00A81C4F" w:rsidRPr="008F32E9" w14:paraId="73116A02" w14:textId="77777777" w:rsidTr="00DC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pct"/>
          </w:tcPr>
          <w:p w14:paraId="19590470" w14:textId="77777777" w:rsidR="00A81C4F" w:rsidRPr="008F32E9" w:rsidRDefault="00A81C4F" w:rsidP="000A44EC">
            <w:pPr>
              <w:pStyle w:val="Normal-table"/>
              <w:rPr>
                <w:lang w:val="en-AU"/>
              </w:rPr>
            </w:pPr>
            <w:r w:rsidRPr="008F32E9">
              <w:rPr>
                <w:lang w:val="en-AU"/>
              </w:rPr>
              <w:t>Hervey Bay</w:t>
            </w:r>
          </w:p>
        </w:tc>
        <w:tc>
          <w:tcPr>
            <w:tcW w:w="3768" w:type="pct"/>
          </w:tcPr>
          <w:p w14:paraId="070C0466" w14:textId="77777777" w:rsidR="00A81C4F" w:rsidRPr="008F32E9" w:rsidRDefault="00A81C4F" w:rsidP="000A44EC">
            <w:pPr>
              <w:pStyle w:val="Normal-table"/>
              <w:cnfStyle w:val="000000100000" w:firstRow="0" w:lastRow="0" w:firstColumn="0" w:lastColumn="0" w:oddVBand="0" w:evenVBand="0" w:oddHBand="1" w:evenHBand="0" w:firstRowFirstColumn="0" w:firstRowLastColumn="0" w:lastRowFirstColumn="0" w:lastRowLastColumn="0"/>
              <w:rPr>
                <w:lang w:val="en-AU"/>
              </w:rPr>
            </w:pPr>
            <w:r w:rsidRPr="008F32E9">
              <w:rPr>
                <w:lang w:val="en-AU"/>
              </w:rPr>
              <w:t>50-54 Main Street, Pialba QLD 4655</w:t>
            </w:r>
          </w:p>
        </w:tc>
      </w:tr>
      <w:tr w:rsidR="00A81C4F" w:rsidRPr="008F32E9" w14:paraId="369A4C90" w14:textId="77777777" w:rsidTr="00DC23F6">
        <w:tc>
          <w:tcPr>
            <w:cnfStyle w:val="001000000000" w:firstRow="0" w:lastRow="0" w:firstColumn="1" w:lastColumn="0" w:oddVBand="0" w:evenVBand="0" w:oddHBand="0" w:evenHBand="0" w:firstRowFirstColumn="0" w:firstRowLastColumn="0" w:lastRowFirstColumn="0" w:lastRowLastColumn="0"/>
            <w:tcW w:w="1232" w:type="pct"/>
          </w:tcPr>
          <w:p w14:paraId="7E1CCE53" w14:textId="77777777" w:rsidR="00A81C4F" w:rsidRPr="008F32E9" w:rsidRDefault="00A81C4F" w:rsidP="000A44EC">
            <w:pPr>
              <w:pStyle w:val="Normal-table"/>
              <w:rPr>
                <w:lang w:val="en-AU"/>
              </w:rPr>
            </w:pPr>
            <w:r w:rsidRPr="008F32E9">
              <w:rPr>
                <w:lang w:val="en-AU"/>
              </w:rPr>
              <w:t>Innisfail</w:t>
            </w:r>
          </w:p>
        </w:tc>
        <w:tc>
          <w:tcPr>
            <w:tcW w:w="3768" w:type="pct"/>
          </w:tcPr>
          <w:p w14:paraId="3224533E" w14:textId="77777777" w:rsidR="00A81C4F" w:rsidRPr="008F32E9" w:rsidRDefault="00A81C4F" w:rsidP="000A44EC">
            <w:pPr>
              <w:pStyle w:val="Normal-table"/>
              <w:cnfStyle w:val="000000000000" w:firstRow="0" w:lastRow="0" w:firstColumn="0" w:lastColumn="0" w:oddVBand="0" w:evenVBand="0" w:oddHBand="0" w:evenHBand="0" w:firstRowFirstColumn="0" w:firstRowLastColumn="0" w:lastRowFirstColumn="0" w:lastRowLastColumn="0"/>
              <w:rPr>
                <w:lang w:val="en-AU"/>
              </w:rPr>
            </w:pPr>
            <w:r w:rsidRPr="008F32E9">
              <w:rPr>
                <w:lang w:val="en-AU"/>
              </w:rPr>
              <w:t>12-14 Clifford Road, Innisfail QLD 4860</w:t>
            </w:r>
          </w:p>
        </w:tc>
      </w:tr>
      <w:tr w:rsidR="00A81C4F" w:rsidRPr="008F32E9" w14:paraId="207D5FAA" w14:textId="77777777" w:rsidTr="00DC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pct"/>
          </w:tcPr>
          <w:p w14:paraId="5877FE63" w14:textId="77777777" w:rsidR="00A81C4F" w:rsidRPr="008F32E9" w:rsidRDefault="00A81C4F" w:rsidP="000A44EC">
            <w:pPr>
              <w:pStyle w:val="Normal-table"/>
              <w:rPr>
                <w:lang w:val="en-AU"/>
              </w:rPr>
            </w:pPr>
            <w:r w:rsidRPr="008F32E9">
              <w:rPr>
                <w:lang w:val="en-AU"/>
              </w:rPr>
              <w:t>Ipswich</w:t>
            </w:r>
          </w:p>
        </w:tc>
        <w:tc>
          <w:tcPr>
            <w:tcW w:w="3768" w:type="pct"/>
          </w:tcPr>
          <w:p w14:paraId="0E670026" w14:textId="77777777" w:rsidR="00A81C4F" w:rsidRPr="008F32E9" w:rsidRDefault="00A81C4F" w:rsidP="000A44EC">
            <w:pPr>
              <w:pStyle w:val="Normal-table"/>
              <w:cnfStyle w:val="000000100000" w:firstRow="0" w:lastRow="0" w:firstColumn="0" w:lastColumn="0" w:oddVBand="0" w:evenVBand="0" w:oddHBand="1" w:evenHBand="0" w:firstRowFirstColumn="0" w:firstRowLastColumn="0" w:lastRowFirstColumn="0" w:lastRowLastColumn="0"/>
              <w:rPr>
                <w:lang w:val="en-AU"/>
              </w:rPr>
            </w:pPr>
            <w:r w:rsidRPr="008F32E9">
              <w:rPr>
                <w:lang w:val="en-AU"/>
              </w:rPr>
              <w:t>2 Colvin Street, North Ipswich QLD 4305</w:t>
            </w:r>
          </w:p>
        </w:tc>
      </w:tr>
      <w:tr w:rsidR="00A81C4F" w:rsidRPr="008F32E9" w14:paraId="52BCF6CC" w14:textId="77777777" w:rsidTr="00DC23F6">
        <w:tc>
          <w:tcPr>
            <w:cnfStyle w:val="001000000000" w:firstRow="0" w:lastRow="0" w:firstColumn="1" w:lastColumn="0" w:oddVBand="0" w:evenVBand="0" w:oddHBand="0" w:evenHBand="0" w:firstRowFirstColumn="0" w:firstRowLastColumn="0" w:lastRowFirstColumn="0" w:lastRowLastColumn="0"/>
            <w:tcW w:w="1232" w:type="pct"/>
          </w:tcPr>
          <w:p w14:paraId="04CBB688" w14:textId="77777777" w:rsidR="00A81C4F" w:rsidRPr="008F32E9" w:rsidRDefault="00A81C4F" w:rsidP="000A44EC">
            <w:pPr>
              <w:pStyle w:val="Normal-table"/>
              <w:rPr>
                <w:lang w:val="en-AU"/>
              </w:rPr>
            </w:pPr>
            <w:r w:rsidRPr="008F32E9">
              <w:rPr>
                <w:lang w:val="en-AU"/>
              </w:rPr>
              <w:t>Kingaroy</w:t>
            </w:r>
          </w:p>
        </w:tc>
        <w:tc>
          <w:tcPr>
            <w:tcW w:w="3768" w:type="pct"/>
          </w:tcPr>
          <w:p w14:paraId="1626349C" w14:textId="77777777" w:rsidR="00A81C4F" w:rsidRPr="008F32E9" w:rsidRDefault="00A81C4F" w:rsidP="000A44EC">
            <w:pPr>
              <w:pStyle w:val="Normal-table"/>
              <w:cnfStyle w:val="000000000000" w:firstRow="0" w:lastRow="0" w:firstColumn="0" w:lastColumn="0" w:oddVBand="0" w:evenVBand="0" w:oddHBand="0" w:evenHBand="0" w:firstRowFirstColumn="0" w:firstRowLastColumn="0" w:lastRowFirstColumn="0" w:lastRowLastColumn="0"/>
              <w:rPr>
                <w:lang w:val="en-AU"/>
              </w:rPr>
            </w:pPr>
            <w:r w:rsidRPr="008F32E9">
              <w:rPr>
                <w:lang w:val="en-AU"/>
              </w:rPr>
              <w:t>Artie Kerr Building, 130 Kingaroy Street, Kingaroy QLD 4610</w:t>
            </w:r>
          </w:p>
        </w:tc>
      </w:tr>
      <w:tr w:rsidR="00A81C4F" w:rsidRPr="008F32E9" w14:paraId="29B020B2" w14:textId="77777777" w:rsidTr="00DC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pct"/>
          </w:tcPr>
          <w:p w14:paraId="3654DDCE" w14:textId="77777777" w:rsidR="00A81C4F" w:rsidRPr="008F32E9" w:rsidRDefault="00A81C4F" w:rsidP="000A44EC">
            <w:pPr>
              <w:pStyle w:val="Normal-table"/>
              <w:rPr>
                <w:lang w:val="en-AU"/>
              </w:rPr>
            </w:pPr>
            <w:r w:rsidRPr="008F32E9">
              <w:rPr>
                <w:lang w:val="en-AU"/>
              </w:rPr>
              <w:t>Logan City</w:t>
            </w:r>
          </w:p>
        </w:tc>
        <w:tc>
          <w:tcPr>
            <w:tcW w:w="3768" w:type="pct"/>
          </w:tcPr>
          <w:p w14:paraId="70CDFEAD" w14:textId="77777777" w:rsidR="00A81C4F" w:rsidRPr="008F32E9" w:rsidRDefault="00A81C4F" w:rsidP="000A44EC">
            <w:pPr>
              <w:pStyle w:val="Normal-table"/>
              <w:cnfStyle w:val="000000100000" w:firstRow="0" w:lastRow="0" w:firstColumn="0" w:lastColumn="0" w:oddVBand="0" w:evenVBand="0" w:oddHBand="1" w:evenHBand="0" w:firstRowFirstColumn="0" w:firstRowLastColumn="0" w:lastRowFirstColumn="0" w:lastRowLastColumn="0"/>
              <w:rPr>
                <w:lang w:val="en-AU"/>
              </w:rPr>
            </w:pPr>
            <w:r w:rsidRPr="008F32E9">
              <w:rPr>
                <w:lang w:val="en-AU"/>
              </w:rPr>
              <w:t>43–45 Jacaranda Avenue, Logan Central QLD 4114</w:t>
            </w:r>
          </w:p>
        </w:tc>
      </w:tr>
      <w:tr w:rsidR="00A81C4F" w:rsidRPr="008F32E9" w14:paraId="32BB74F5" w14:textId="77777777" w:rsidTr="00DC23F6">
        <w:tc>
          <w:tcPr>
            <w:cnfStyle w:val="001000000000" w:firstRow="0" w:lastRow="0" w:firstColumn="1" w:lastColumn="0" w:oddVBand="0" w:evenVBand="0" w:oddHBand="0" w:evenHBand="0" w:firstRowFirstColumn="0" w:firstRowLastColumn="0" w:lastRowFirstColumn="0" w:lastRowLastColumn="0"/>
            <w:tcW w:w="1232" w:type="pct"/>
          </w:tcPr>
          <w:p w14:paraId="64E30B3A" w14:textId="77777777" w:rsidR="00A81C4F" w:rsidRPr="008F32E9" w:rsidRDefault="00A81C4F" w:rsidP="000A44EC">
            <w:pPr>
              <w:pStyle w:val="Normal-table"/>
              <w:rPr>
                <w:lang w:val="en-AU"/>
              </w:rPr>
            </w:pPr>
            <w:r w:rsidRPr="008F32E9">
              <w:rPr>
                <w:lang w:val="en-AU"/>
              </w:rPr>
              <w:t>Longreach</w:t>
            </w:r>
          </w:p>
        </w:tc>
        <w:tc>
          <w:tcPr>
            <w:tcW w:w="3768" w:type="pct"/>
          </w:tcPr>
          <w:p w14:paraId="7532A39B" w14:textId="77777777" w:rsidR="00A81C4F" w:rsidRPr="008F32E9" w:rsidRDefault="00A81C4F" w:rsidP="000A44EC">
            <w:pPr>
              <w:pStyle w:val="Normal-table"/>
              <w:cnfStyle w:val="000000000000" w:firstRow="0" w:lastRow="0" w:firstColumn="0" w:lastColumn="0" w:oddVBand="0" w:evenVBand="0" w:oddHBand="0" w:evenHBand="0" w:firstRowFirstColumn="0" w:firstRowLastColumn="0" w:lastRowFirstColumn="0" w:lastRowLastColumn="0"/>
              <w:rPr>
                <w:lang w:val="en-AU"/>
              </w:rPr>
            </w:pPr>
            <w:r w:rsidRPr="008F32E9">
              <w:rPr>
                <w:lang w:val="en-AU"/>
              </w:rPr>
              <w:t>14 Wonga Street, Longreach QLD 4730</w:t>
            </w:r>
          </w:p>
        </w:tc>
      </w:tr>
      <w:tr w:rsidR="00A81C4F" w:rsidRPr="008F32E9" w14:paraId="7D7A9E60" w14:textId="77777777" w:rsidTr="00DC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pct"/>
          </w:tcPr>
          <w:p w14:paraId="5C82BA63" w14:textId="77777777" w:rsidR="00A81C4F" w:rsidRPr="008F32E9" w:rsidRDefault="00A81C4F" w:rsidP="000A44EC">
            <w:pPr>
              <w:pStyle w:val="Normal-table"/>
              <w:rPr>
                <w:lang w:val="en-AU"/>
              </w:rPr>
            </w:pPr>
            <w:r w:rsidRPr="008F32E9">
              <w:rPr>
                <w:lang w:val="en-AU"/>
              </w:rPr>
              <w:t>Macgregor</w:t>
            </w:r>
          </w:p>
        </w:tc>
        <w:tc>
          <w:tcPr>
            <w:tcW w:w="3768" w:type="pct"/>
          </w:tcPr>
          <w:p w14:paraId="1E354A93" w14:textId="77777777" w:rsidR="00A81C4F" w:rsidRPr="008F32E9" w:rsidRDefault="00A81C4F" w:rsidP="000A44EC">
            <w:pPr>
              <w:pStyle w:val="Normal-table"/>
              <w:cnfStyle w:val="000000100000" w:firstRow="0" w:lastRow="0" w:firstColumn="0" w:lastColumn="0" w:oddVBand="0" w:evenVBand="0" w:oddHBand="1" w:evenHBand="0" w:firstRowFirstColumn="0" w:firstRowLastColumn="0" w:lastRowFirstColumn="0" w:lastRowLastColumn="0"/>
              <w:rPr>
                <w:lang w:val="en-AU"/>
              </w:rPr>
            </w:pPr>
            <w:r w:rsidRPr="008F32E9">
              <w:rPr>
                <w:lang w:val="en-AU"/>
              </w:rPr>
              <w:t>Kessels Court, 567 Kessels Road, Macgregor QLD 4109</w:t>
            </w:r>
          </w:p>
        </w:tc>
      </w:tr>
      <w:tr w:rsidR="00A81C4F" w:rsidRPr="008F32E9" w14:paraId="2F9117CB" w14:textId="77777777" w:rsidTr="00DC23F6">
        <w:tc>
          <w:tcPr>
            <w:cnfStyle w:val="001000000000" w:firstRow="0" w:lastRow="0" w:firstColumn="1" w:lastColumn="0" w:oddVBand="0" w:evenVBand="0" w:oddHBand="0" w:evenHBand="0" w:firstRowFirstColumn="0" w:firstRowLastColumn="0" w:lastRowFirstColumn="0" w:lastRowLastColumn="0"/>
            <w:tcW w:w="1232" w:type="pct"/>
          </w:tcPr>
          <w:p w14:paraId="641AB2D2" w14:textId="77777777" w:rsidR="00A81C4F" w:rsidRPr="008F32E9" w:rsidRDefault="00A81C4F" w:rsidP="000A44EC">
            <w:pPr>
              <w:pStyle w:val="Normal-table"/>
              <w:rPr>
                <w:lang w:val="en-AU"/>
              </w:rPr>
            </w:pPr>
            <w:r w:rsidRPr="008F32E9">
              <w:rPr>
                <w:lang w:val="en-AU"/>
              </w:rPr>
              <w:t>Mackay</w:t>
            </w:r>
          </w:p>
        </w:tc>
        <w:tc>
          <w:tcPr>
            <w:tcW w:w="3768" w:type="pct"/>
          </w:tcPr>
          <w:p w14:paraId="6F4B1C7F" w14:textId="77777777" w:rsidR="00A81C4F" w:rsidRPr="008F32E9" w:rsidRDefault="00A81C4F" w:rsidP="000A44EC">
            <w:pPr>
              <w:pStyle w:val="Normal-table"/>
              <w:cnfStyle w:val="000000000000" w:firstRow="0" w:lastRow="0" w:firstColumn="0" w:lastColumn="0" w:oddVBand="0" w:evenVBand="0" w:oddHBand="0" w:evenHBand="0" w:firstRowFirstColumn="0" w:firstRowLastColumn="0" w:lastRowFirstColumn="0" w:lastRowLastColumn="0"/>
              <w:rPr>
                <w:lang w:val="en-AU"/>
              </w:rPr>
            </w:pPr>
            <w:r w:rsidRPr="008F32E9">
              <w:rPr>
                <w:lang w:val="en-AU"/>
              </w:rPr>
              <w:t>Cnr Endeavour Street and Industrial Street, Mackay QLD 4740</w:t>
            </w:r>
          </w:p>
        </w:tc>
      </w:tr>
      <w:tr w:rsidR="00A81C4F" w:rsidRPr="008F32E9" w14:paraId="6095AFFA" w14:textId="77777777" w:rsidTr="00DC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pct"/>
          </w:tcPr>
          <w:p w14:paraId="6C4A90B3" w14:textId="77777777" w:rsidR="00A81C4F" w:rsidRPr="008F32E9" w:rsidRDefault="00A81C4F" w:rsidP="000A44EC">
            <w:pPr>
              <w:pStyle w:val="Normal-table"/>
              <w:rPr>
                <w:lang w:val="en-AU"/>
              </w:rPr>
            </w:pPr>
            <w:r w:rsidRPr="008F32E9">
              <w:rPr>
                <w:lang w:val="en-AU"/>
              </w:rPr>
              <w:t>Mareeba</w:t>
            </w:r>
          </w:p>
        </w:tc>
        <w:tc>
          <w:tcPr>
            <w:tcW w:w="3768" w:type="pct"/>
          </w:tcPr>
          <w:p w14:paraId="039E0796" w14:textId="77777777" w:rsidR="00A81C4F" w:rsidRPr="008F32E9" w:rsidRDefault="00A81C4F" w:rsidP="000A44EC">
            <w:pPr>
              <w:pStyle w:val="Normal-table"/>
              <w:cnfStyle w:val="000000100000" w:firstRow="0" w:lastRow="0" w:firstColumn="0" w:lastColumn="0" w:oddVBand="0" w:evenVBand="0" w:oddHBand="1" w:evenHBand="0" w:firstRowFirstColumn="0" w:firstRowLastColumn="0" w:lastRowFirstColumn="0" w:lastRowLastColumn="0"/>
              <w:rPr>
                <w:lang w:val="en-AU"/>
              </w:rPr>
            </w:pPr>
            <w:r w:rsidRPr="008F32E9">
              <w:rPr>
                <w:lang w:val="en-AU"/>
              </w:rPr>
              <w:t>147 Walsh Street, Mareeba QLD 4880</w:t>
            </w:r>
          </w:p>
        </w:tc>
      </w:tr>
      <w:tr w:rsidR="00A81C4F" w:rsidRPr="008F32E9" w14:paraId="3A3E001D" w14:textId="77777777" w:rsidTr="00DC23F6">
        <w:tc>
          <w:tcPr>
            <w:cnfStyle w:val="001000000000" w:firstRow="0" w:lastRow="0" w:firstColumn="1" w:lastColumn="0" w:oddVBand="0" w:evenVBand="0" w:oddHBand="0" w:evenHBand="0" w:firstRowFirstColumn="0" w:firstRowLastColumn="0" w:lastRowFirstColumn="0" w:lastRowLastColumn="0"/>
            <w:tcW w:w="1232" w:type="pct"/>
          </w:tcPr>
          <w:p w14:paraId="698CE348" w14:textId="77777777" w:rsidR="00A81C4F" w:rsidRPr="008F32E9" w:rsidRDefault="00A81C4F" w:rsidP="000A44EC">
            <w:pPr>
              <w:pStyle w:val="Normal-table"/>
              <w:rPr>
                <w:lang w:val="en-AU"/>
              </w:rPr>
            </w:pPr>
            <w:r w:rsidRPr="008F32E9">
              <w:rPr>
                <w:lang w:val="en-AU"/>
              </w:rPr>
              <w:t>Maroochydore</w:t>
            </w:r>
          </w:p>
        </w:tc>
        <w:tc>
          <w:tcPr>
            <w:tcW w:w="3768" w:type="pct"/>
          </w:tcPr>
          <w:p w14:paraId="5CF83CB6" w14:textId="77777777" w:rsidR="00A81C4F" w:rsidRPr="008F32E9" w:rsidRDefault="00A81C4F" w:rsidP="000A44EC">
            <w:pPr>
              <w:pStyle w:val="Normal-table"/>
              <w:cnfStyle w:val="000000000000" w:firstRow="0" w:lastRow="0" w:firstColumn="0" w:lastColumn="0" w:oddVBand="0" w:evenVBand="0" w:oddHBand="0" w:evenHBand="0" w:firstRowFirstColumn="0" w:firstRowLastColumn="0" w:lastRowFirstColumn="0" w:lastRowLastColumn="0"/>
              <w:rPr>
                <w:lang w:val="en-AU"/>
              </w:rPr>
            </w:pPr>
            <w:r w:rsidRPr="008F32E9">
              <w:rPr>
                <w:lang w:val="en-AU"/>
              </w:rPr>
              <w:t>6 Kelly Court (off Kayleigh Drive), Maroochydore QLD 4558</w:t>
            </w:r>
          </w:p>
        </w:tc>
      </w:tr>
      <w:tr w:rsidR="00A81C4F" w:rsidRPr="008F32E9" w14:paraId="47D98614" w14:textId="77777777" w:rsidTr="00DC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pct"/>
          </w:tcPr>
          <w:p w14:paraId="779724E2" w14:textId="77777777" w:rsidR="00A81C4F" w:rsidRPr="008F32E9" w:rsidRDefault="00A81C4F" w:rsidP="000A44EC">
            <w:pPr>
              <w:pStyle w:val="Normal-table"/>
              <w:rPr>
                <w:lang w:val="en-AU"/>
              </w:rPr>
            </w:pPr>
            <w:r w:rsidRPr="008F32E9">
              <w:rPr>
                <w:lang w:val="en-AU"/>
              </w:rPr>
              <w:t>Maryborough</w:t>
            </w:r>
          </w:p>
        </w:tc>
        <w:tc>
          <w:tcPr>
            <w:tcW w:w="3768" w:type="pct"/>
          </w:tcPr>
          <w:p w14:paraId="7C6EF5D2" w14:textId="77777777" w:rsidR="00A81C4F" w:rsidRPr="008F32E9" w:rsidRDefault="00A81C4F" w:rsidP="000A44EC">
            <w:pPr>
              <w:pStyle w:val="Normal-table"/>
              <w:cnfStyle w:val="000000100000" w:firstRow="0" w:lastRow="0" w:firstColumn="0" w:lastColumn="0" w:oddVBand="0" w:evenVBand="0" w:oddHBand="1" w:evenHBand="0" w:firstRowFirstColumn="0" w:firstRowLastColumn="0" w:lastRowFirstColumn="0" w:lastRowLastColumn="0"/>
              <w:rPr>
                <w:lang w:val="en-AU"/>
              </w:rPr>
            </w:pPr>
            <w:r w:rsidRPr="008F32E9">
              <w:rPr>
                <w:lang w:val="en-AU"/>
              </w:rPr>
              <w:t>Bright Street, Maryborough QLD 4650</w:t>
            </w:r>
          </w:p>
        </w:tc>
      </w:tr>
      <w:tr w:rsidR="00A81C4F" w:rsidRPr="008F32E9" w14:paraId="478C172B" w14:textId="77777777" w:rsidTr="00DC23F6">
        <w:tc>
          <w:tcPr>
            <w:cnfStyle w:val="001000000000" w:firstRow="0" w:lastRow="0" w:firstColumn="1" w:lastColumn="0" w:oddVBand="0" w:evenVBand="0" w:oddHBand="0" w:evenHBand="0" w:firstRowFirstColumn="0" w:firstRowLastColumn="0" w:lastRowFirstColumn="0" w:lastRowLastColumn="0"/>
            <w:tcW w:w="1232" w:type="pct"/>
          </w:tcPr>
          <w:p w14:paraId="7EF992CA" w14:textId="77777777" w:rsidR="00A81C4F" w:rsidRPr="008F32E9" w:rsidRDefault="00A81C4F" w:rsidP="000A44EC">
            <w:pPr>
              <w:pStyle w:val="Normal-table"/>
              <w:rPr>
                <w:lang w:val="en-AU"/>
              </w:rPr>
            </w:pPr>
            <w:r w:rsidRPr="008F32E9">
              <w:rPr>
                <w:lang w:val="en-AU"/>
              </w:rPr>
              <w:t>Mount Isa</w:t>
            </w:r>
          </w:p>
        </w:tc>
        <w:tc>
          <w:tcPr>
            <w:tcW w:w="3768" w:type="pct"/>
          </w:tcPr>
          <w:p w14:paraId="4781544E" w14:textId="77777777" w:rsidR="00A81C4F" w:rsidRPr="008F32E9" w:rsidRDefault="00A81C4F" w:rsidP="000A44EC">
            <w:pPr>
              <w:pStyle w:val="Normal-table"/>
              <w:cnfStyle w:val="000000000000" w:firstRow="0" w:lastRow="0" w:firstColumn="0" w:lastColumn="0" w:oddVBand="0" w:evenVBand="0" w:oddHBand="0" w:evenHBand="0" w:firstRowFirstColumn="0" w:firstRowLastColumn="0" w:lastRowFirstColumn="0" w:lastRowLastColumn="0"/>
              <w:rPr>
                <w:lang w:val="en-AU"/>
              </w:rPr>
            </w:pPr>
            <w:r w:rsidRPr="008F32E9">
              <w:rPr>
                <w:lang w:val="en-AU"/>
              </w:rPr>
              <w:t>Shop 1, 29 Simpson Street, Mount Isa QLD 4825</w:t>
            </w:r>
          </w:p>
        </w:tc>
      </w:tr>
      <w:tr w:rsidR="00A81C4F" w:rsidRPr="008F32E9" w14:paraId="7DD942CF" w14:textId="77777777" w:rsidTr="00DC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pct"/>
          </w:tcPr>
          <w:p w14:paraId="64619680" w14:textId="77777777" w:rsidR="00A81C4F" w:rsidRPr="008F32E9" w:rsidRDefault="00A81C4F" w:rsidP="000A44EC">
            <w:pPr>
              <w:pStyle w:val="Normal-table"/>
              <w:rPr>
                <w:lang w:val="en-AU"/>
              </w:rPr>
            </w:pPr>
            <w:r w:rsidRPr="008F32E9">
              <w:rPr>
                <w:lang w:val="en-AU"/>
              </w:rPr>
              <w:t>Nambour</w:t>
            </w:r>
          </w:p>
        </w:tc>
        <w:tc>
          <w:tcPr>
            <w:tcW w:w="3768" w:type="pct"/>
          </w:tcPr>
          <w:p w14:paraId="0ED78A17" w14:textId="77777777" w:rsidR="00A81C4F" w:rsidRPr="008F32E9" w:rsidRDefault="00A81C4F" w:rsidP="000A44EC">
            <w:pPr>
              <w:pStyle w:val="Normal-table"/>
              <w:cnfStyle w:val="000000100000" w:firstRow="0" w:lastRow="0" w:firstColumn="0" w:lastColumn="0" w:oddVBand="0" w:evenVBand="0" w:oddHBand="1" w:evenHBand="0" w:firstRowFirstColumn="0" w:firstRowLastColumn="0" w:lastRowFirstColumn="0" w:lastRowLastColumn="0"/>
              <w:rPr>
                <w:lang w:val="en-AU"/>
              </w:rPr>
            </w:pPr>
            <w:r w:rsidRPr="008F32E9">
              <w:rPr>
                <w:lang w:val="en-AU"/>
              </w:rPr>
              <w:t>Cnr Stanley Street and Coronation Avenue, Nambour QLD 4560</w:t>
            </w:r>
          </w:p>
        </w:tc>
      </w:tr>
      <w:tr w:rsidR="00A81C4F" w:rsidRPr="008F32E9" w14:paraId="5F22ED0B" w14:textId="77777777" w:rsidTr="00DC23F6">
        <w:tc>
          <w:tcPr>
            <w:cnfStyle w:val="001000000000" w:firstRow="0" w:lastRow="0" w:firstColumn="1" w:lastColumn="0" w:oddVBand="0" w:evenVBand="0" w:oddHBand="0" w:evenHBand="0" w:firstRowFirstColumn="0" w:firstRowLastColumn="0" w:lastRowFirstColumn="0" w:lastRowLastColumn="0"/>
            <w:tcW w:w="1232" w:type="pct"/>
          </w:tcPr>
          <w:p w14:paraId="12E4F0B8" w14:textId="77777777" w:rsidR="00A81C4F" w:rsidRPr="008F32E9" w:rsidRDefault="00A81C4F" w:rsidP="000A44EC">
            <w:pPr>
              <w:pStyle w:val="Normal-table"/>
              <w:rPr>
                <w:lang w:val="en-AU"/>
              </w:rPr>
            </w:pPr>
            <w:r w:rsidRPr="008F32E9">
              <w:rPr>
                <w:lang w:val="en-AU"/>
              </w:rPr>
              <w:t>Proserpine</w:t>
            </w:r>
          </w:p>
        </w:tc>
        <w:tc>
          <w:tcPr>
            <w:tcW w:w="3768" w:type="pct"/>
          </w:tcPr>
          <w:p w14:paraId="73F37D82" w14:textId="77777777" w:rsidR="00A81C4F" w:rsidRPr="008F32E9" w:rsidRDefault="00A81C4F" w:rsidP="000A44EC">
            <w:pPr>
              <w:pStyle w:val="Normal-table"/>
              <w:cnfStyle w:val="000000000000" w:firstRow="0" w:lastRow="0" w:firstColumn="0" w:lastColumn="0" w:oddVBand="0" w:evenVBand="0" w:oddHBand="0" w:evenHBand="0" w:firstRowFirstColumn="0" w:firstRowLastColumn="0" w:lastRowFirstColumn="0" w:lastRowLastColumn="0"/>
              <w:rPr>
                <w:lang w:val="en-AU"/>
              </w:rPr>
            </w:pPr>
            <w:r w:rsidRPr="008F32E9">
              <w:rPr>
                <w:lang w:val="en-AU"/>
              </w:rPr>
              <w:t>17 Main Street, Proserpine, QLD 4800</w:t>
            </w:r>
          </w:p>
        </w:tc>
      </w:tr>
      <w:tr w:rsidR="00A81C4F" w:rsidRPr="008F32E9" w14:paraId="3AD07CD9" w14:textId="77777777" w:rsidTr="00DC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pct"/>
          </w:tcPr>
          <w:p w14:paraId="59ECB2E9" w14:textId="77777777" w:rsidR="00A81C4F" w:rsidRPr="008F32E9" w:rsidRDefault="00A81C4F" w:rsidP="000A44EC">
            <w:pPr>
              <w:pStyle w:val="Normal-table"/>
              <w:rPr>
                <w:lang w:val="en-AU"/>
              </w:rPr>
            </w:pPr>
            <w:r w:rsidRPr="008F32E9">
              <w:rPr>
                <w:lang w:val="en-AU"/>
              </w:rPr>
              <w:t>Redcliffe (Kippa Ring)</w:t>
            </w:r>
          </w:p>
        </w:tc>
        <w:tc>
          <w:tcPr>
            <w:tcW w:w="3768" w:type="pct"/>
          </w:tcPr>
          <w:p w14:paraId="68986E68" w14:textId="77777777" w:rsidR="00A81C4F" w:rsidRPr="008F32E9" w:rsidRDefault="00A81C4F" w:rsidP="000A44EC">
            <w:pPr>
              <w:pStyle w:val="Normal-table"/>
              <w:cnfStyle w:val="000000100000" w:firstRow="0" w:lastRow="0" w:firstColumn="0" w:lastColumn="0" w:oddVBand="0" w:evenVBand="0" w:oddHBand="1" w:evenHBand="0" w:firstRowFirstColumn="0" w:firstRowLastColumn="0" w:lastRowFirstColumn="0" w:lastRowLastColumn="0"/>
              <w:rPr>
                <w:lang w:val="en-AU"/>
              </w:rPr>
            </w:pPr>
            <w:r w:rsidRPr="008F32E9">
              <w:rPr>
                <w:lang w:val="en-AU"/>
              </w:rPr>
              <w:t>Cnr Beach Street and Bingle Street, Kippa Ring QLD 4021</w:t>
            </w:r>
          </w:p>
        </w:tc>
      </w:tr>
      <w:tr w:rsidR="00A81C4F" w:rsidRPr="008F32E9" w14:paraId="00198EA4" w14:textId="77777777" w:rsidTr="00DC23F6">
        <w:tc>
          <w:tcPr>
            <w:cnfStyle w:val="001000000000" w:firstRow="0" w:lastRow="0" w:firstColumn="1" w:lastColumn="0" w:oddVBand="0" w:evenVBand="0" w:oddHBand="0" w:evenHBand="0" w:firstRowFirstColumn="0" w:firstRowLastColumn="0" w:lastRowFirstColumn="0" w:lastRowLastColumn="0"/>
            <w:tcW w:w="1232" w:type="pct"/>
          </w:tcPr>
          <w:p w14:paraId="6B526E57" w14:textId="77777777" w:rsidR="00A81C4F" w:rsidRPr="008F32E9" w:rsidRDefault="00A81C4F" w:rsidP="000A44EC">
            <w:pPr>
              <w:pStyle w:val="Normal-table"/>
              <w:rPr>
                <w:lang w:val="en-AU"/>
              </w:rPr>
            </w:pPr>
            <w:r w:rsidRPr="008F32E9">
              <w:rPr>
                <w:lang w:val="en-AU"/>
              </w:rPr>
              <w:t>Rockhampton</w:t>
            </w:r>
          </w:p>
        </w:tc>
        <w:tc>
          <w:tcPr>
            <w:tcW w:w="3768" w:type="pct"/>
          </w:tcPr>
          <w:p w14:paraId="545FF3D1" w14:textId="77777777" w:rsidR="00A81C4F" w:rsidRPr="008F32E9" w:rsidRDefault="00A81C4F" w:rsidP="000A44EC">
            <w:pPr>
              <w:pStyle w:val="Normal-table"/>
              <w:cnfStyle w:val="000000000000" w:firstRow="0" w:lastRow="0" w:firstColumn="0" w:lastColumn="0" w:oddVBand="0" w:evenVBand="0" w:oddHBand="0" w:evenHBand="0" w:firstRowFirstColumn="0" w:firstRowLastColumn="0" w:lastRowFirstColumn="0" w:lastRowLastColumn="0"/>
              <w:rPr>
                <w:lang w:val="en-AU"/>
              </w:rPr>
            </w:pPr>
            <w:r w:rsidRPr="008F32E9">
              <w:rPr>
                <w:lang w:val="en-AU"/>
              </w:rPr>
              <w:t>31 Knight Street, North Rockhampton QLD 4701</w:t>
            </w:r>
          </w:p>
        </w:tc>
      </w:tr>
      <w:tr w:rsidR="00A81C4F" w:rsidRPr="008F32E9" w14:paraId="4AC63292" w14:textId="77777777" w:rsidTr="00DC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pct"/>
          </w:tcPr>
          <w:p w14:paraId="6F81EAC3" w14:textId="77777777" w:rsidR="00A81C4F" w:rsidRPr="008F32E9" w:rsidRDefault="00A81C4F" w:rsidP="000A44EC">
            <w:pPr>
              <w:pStyle w:val="Normal-table"/>
              <w:rPr>
                <w:lang w:val="en-AU"/>
              </w:rPr>
            </w:pPr>
            <w:r w:rsidRPr="008F32E9">
              <w:rPr>
                <w:lang w:val="en-AU"/>
              </w:rPr>
              <w:t>Roma</w:t>
            </w:r>
          </w:p>
        </w:tc>
        <w:tc>
          <w:tcPr>
            <w:tcW w:w="3768" w:type="pct"/>
          </w:tcPr>
          <w:p w14:paraId="66183C17" w14:textId="77777777" w:rsidR="00A81C4F" w:rsidRPr="008F32E9" w:rsidRDefault="00A81C4F" w:rsidP="000A44EC">
            <w:pPr>
              <w:pStyle w:val="Normal-table"/>
              <w:cnfStyle w:val="000000100000" w:firstRow="0" w:lastRow="0" w:firstColumn="0" w:lastColumn="0" w:oddVBand="0" w:evenVBand="0" w:oddHBand="1" w:evenHBand="0" w:firstRowFirstColumn="0" w:firstRowLastColumn="0" w:lastRowFirstColumn="0" w:lastRowLastColumn="0"/>
              <w:rPr>
                <w:lang w:val="en-AU"/>
              </w:rPr>
            </w:pPr>
            <w:r w:rsidRPr="008F32E9">
              <w:rPr>
                <w:lang w:val="en-AU"/>
              </w:rPr>
              <w:t>56-58 Gregory Street, Roma QLD 4455</w:t>
            </w:r>
          </w:p>
        </w:tc>
      </w:tr>
      <w:tr w:rsidR="00A81C4F" w:rsidRPr="008F32E9" w14:paraId="61170BF3" w14:textId="77777777" w:rsidTr="00DC23F6">
        <w:tc>
          <w:tcPr>
            <w:cnfStyle w:val="001000000000" w:firstRow="0" w:lastRow="0" w:firstColumn="1" w:lastColumn="0" w:oddVBand="0" w:evenVBand="0" w:oddHBand="0" w:evenHBand="0" w:firstRowFirstColumn="0" w:firstRowLastColumn="0" w:lastRowFirstColumn="0" w:lastRowLastColumn="0"/>
            <w:tcW w:w="1232" w:type="pct"/>
          </w:tcPr>
          <w:p w14:paraId="308EDA51" w14:textId="77777777" w:rsidR="00A81C4F" w:rsidRPr="008F32E9" w:rsidRDefault="00A81C4F" w:rsidP="000A44EC">
            <w:pPr>
              <w:pStyle w:val="Normal-table"/>
              <w:rPr>
                <w:lang w:val="en-AU"/>
              </w:rPr>
            </w:pPr>
            <w:r w:rsidRPr="008F32E9">
              <w:rPr>
                <w:lang w:val="en-AU"/>
              </w:rPr>
              <w:t>Sherwood</w:t>
            </w:r>
          </w:p>
        </w:tc>
        <w:tc>
          <w:tcPr>
            <w:tcW w:w="3768" w:type="pct"/>
          </w:tcPr>
          <w:p w14:paraId="735A0FA4" w14:textId="77777777" w:rsidR="00A81C4F" w:rsidRPr="008F32E9" w:rsidRDefault="00A81C4F" w:rsidP="000A44EC">
            <w:pPr>
              <w:pStyle w:val="Normal-table"/>
              <w:cnfStyle w:val="000000000000" w:firstRow="0" w:lastRow="0" w:firstColumn="0" w:lastColumn="0" w:oddVBand="0" w:evenVBand="0" w:oddHBand="0" w:evenHBand="0" w:firstRowFirstColumn="0" w:firstRowLastColumn="0" w:lastRowFirstColumn="0" w:lastRowLastColumn="0"/>
              <w:rPr>
                <w:lang w:val="en-AU"/>
              </w:rPr>
            </w:pPr>
            <w:r w:rsidRPr="008F32E9">
              <w:rPr>
                <w:lang w:val="en-AU"/>
              </w:rPr>
              <w:t>14 Primrose Street, Sherwood QLD 4075</w:t>
            </w:r>
          </w:p>
        </w:tc>
      </w:tr>
      <w:tr w:rsidR="00A81C4F" w:rsidRPr="008F32E9" w14:paraId="13563B80" w14:textId="77777777" w:rsidTr="00DC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pct"/>
          </w:tcPr>
          <w:p w14:paraId="4C324F67" w14:textId="77777777" w:rsidR="00A81C4F" w:rsidRPr="008F32E9" w:rsidRDefault="00A81C4F" w:rsidP="000A44EC">
            <w:pPr>
              <w:pStyle w:val="Normal-table"/>
              <w:rPr>
                <w:lang w:val="en-AU"/>
              </w:rPr>
            </w:pPr>
            <w:r w:rsidRPr="008F32E9">
              <w:rPr>
                <w:lang w:val="en-AU"/>
              </w:rPr>
              <w:t>Southport</w:t>
            </w:r>
          </w:p>
        </w:tc>
        <w:tc>
          <w:tcPr>
            <w:tcW w:w="3768" w:type="pct"/>
          </w:tcPr>
          <w:p w14:paraId="411D125C" w14:textId="77777777" w:rsidR="00A81C4F" w:rsidRPr="008F32E9" w:rsidRDefault="00A81C4F" w:rsidP="000A44EC">
            <w:pPr>
              <w:pStyle w:val="Normal-table"/>
              <w:cnfStyle w:val="000000100000" w:firstRow="0" w:lastRow="0" w:firstColumn="0" w:lastColumn="0" w:oddVBand="0" w:evenVBand="0" w:oddHBand="1" w:evenHBand="0" w:firstRowFirstColumn="0" w:firstRowLastColumn="0" w:lastRowFirstColumn="0" w:lastRowLastColumn="0"/>
              <w:rPr>
                <w:lang w:val="en-AU"/>
              </w:rPr>
            </w:pPr>
            <w:r w:rsidRPr="008F32E9">
              <w:rPr>
                <w:lang w:val="en-AU"/>
              </w:rPr>
              <w:t>265 Nerang Street, Southport QLD 4215</w:t>
            </w:r>
          </w:p>
        </w:tc>
      </w:tr>
      <w:tr w:rsidR="00A81C4F" w:rsidRPr="008F32E9" w14:paraId="6F14FC82" w14:textId="77777777" w:rsidTr="00DC23F6">
        <w:tc>
          <w:tcPr>
            <w:cnfStyle w:val="001000000000" w:firstRow="0" w:lastRow="0" w:firstColumn="1" w:lastColumn="0" w:oddVBand="0" w:evenVBand="0" w:oddHBand="0" w:evenHBand="0" w:firstRowFirstColumn="0" w:firstRowLastColumn="0" w:lastRowFirstColumn="0" w:lastRowLastColumn="0"/>
            <w:tcW w:w="1232" w:type="pct"/>
          </w:tcPr>
          <w:p w14:paraId="6E355C70" w14:textId="77777777" w:rsidR="00A81C4F" w:rsidRPr="008F32E9" w:rsidRDefault="00A81C4F" w:rsidP="000A44EC">
            <w:pPr>
              <w:pStyle w:val="Normal-table"/>
              <w:rPr>
                <w:lang w:val="en-AU"/>
              </w:rPr>
            </w:pPr>
            <w:r w:rsidRPr="008F32E9">
              <w:rPr>
                <w:lang w:val="en-AU"/>
              </w:rPr>
              <w:t>Strathpine</w:t>
            </w:r>
          </w:p>
        </w:tc>
        <w:tc>
          <w:tcPr>
            <w:tcW w:w="3768" w:type="pct"/>
          </w:tcPr>
          <w:p w14:paraId="102824B5" w14:textId="77777777" w:rsidR="00A81C4F" w:rsidRPr="008F32E9" w:rsidRDefault="00A81C4F" w:rsidP="000A44EC">
            <w:pPr>
              <w:pStyle w:val="Normal-table"/>
              <w:cnfStyle w:val="000000000000" w:firstRow="0" w:lastRow="0" w:firstColumn="0" w:lastColumn="0" w:oddVBand="0" w:evenVBand="0" w:oddHBand="0" w:evenHBand="0" w:firstRowFirstColumn="0" w:firstRowLastColumn="0" w:lastRowFirstColumn="0" w:lastRowLastColumn="0"/>
              <w:rPr>
                <w:lang w:val="en-AU"/>
              </w:rPr>
            </w:pPr>
            <w:r w:rsidRPr="008F32E9">
              <w:rPr>
                <w:lang w:val="en-AU"/>
              </w:rPr>
              <w:t>43 Bells Pocket Road, Strathpine QLD 4500</w:t>
            </w:r>
          </w:p>
        </w:tc>
      </w:tr>
      <w:tr w:rsidR="00A81C4F" w:rsidRPr="008F32E9" w14:paraId="588B9114" w14:textId="77777777" w:rsidTr="00DC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pct"/>
          </w:tcPr>
          <w:p w14:paraId="1327EF61" w14:textId="77777777" w:rsidR="00A81C4F" w:rsidRPr="008F32E9" w:rsidRDefault="00A81C4F" w:rsidP="000A44EC">
            <w:pPr>
              <w:pStyle w:val="Normal-table"/>
              <w:rPr>
                <w:lang w:val="en-AU"/>
              </w:rPr>
            </w:pPr>
            <w:r w:rsidRPr="008F32E9">
              <w:rPr>
                <w:lang w:val="en-AU"/>
              </w:rPr>
              <w:t>Tewantin</w:t>
            </w:r>
          </w:p>
        </w:tc>
        <w:tc>
          <w:tcPr>
            <w:tcW w:w="3768" w:type="pct"/>
          </w:tcPr>
          <w:p w14:paraId="7E17224B" w14:textId="77777777" w:rsidR="00A81C4F" w:rsidRPr="008F32E9" w:rsidRDefault="00A81C4F" w:rsidP="000A44EC">
            <w:pPr>
              <w:pStyle w:val="Normal-table"/>
              <w:cnfStyle w:val="000000100000" w:firstRow="0" w:lastRow="0" w:firstColumn="0" w:lastColumn="0" w:oddVBand="0" w:evenVBand="0" w:oddHBand="1" w:evenHBand="0" w:firstRowFirstColumn="0" w:firstRowLastColumn="0" w:lastRowFirstColumn="0" w:lastRowLastColumn="0"/>
              <w:rPr>
                <w:lang w:val="en-AU"/>
              </w:rPr>
            </w:pPr>
            <w:r w:rsidRPr="008F32E9">
              <w:rPr>
                <w:lang w:val="en-AU"/>
              </w:rPr>
              <w:t>8 Sidoni Street, Tewantin QLD 4565</w:t>
            </w:r>
          </w:p>
        </w:tc>
      </w:tr>
      <w:tr w:rsidR="00A81C4F" w:rsidRPr="008F32E9" w14:paraId="1B383B8B" w14:textId="77777777" w:rsidTr="00DC23F6">
        <w:tc>
          <w:tcPr>
            <w:cnfStyle w:val="001000000000" w:firstRow="0" w:lastRow="0" w:firstColumn="1" w:lastColumn="0" w:oddVBand="0" w:evenVBand="0" w:oddHBand="0" w:evenHBand="0" w:firstRowFirstColumn="0" w:firstRowLastColumn="0" w:lastRowFirstColumn="0" w:lastRowLastColumn="0"/>
            <w:tcW w:w="1232" w:type="pct"/>
          </w:tcPr>
          <w:p w14:paraId="7D499397" w14:textId="77777777" w:rsidR="00A81C4F" w:rsidRPr="008F32E9" w:rsidRDefault="00A81C4F" w:rsidP="000A44EC">
            <w:pPr>
              <w:pStyle w:val="Normal-table"/>
              <w:rPr>
                <w:lang w:val="en-AU"/>
              </w:rPr>
            </w:pPr>
            <w:r w:rsidRPr="008F32E9">
              <w:rPr>
                <w:lang w:val="en-AU"/>
              </w:rPr>
              <w:t>Toowong</w:t>
            </w:r>
          </w:p>
        </w:tc>
        <w:tc>
          <w:tcPr>
            <w:tcW w:w="3768" w:type="pct"/>
          </w:tcPr>
          <w:p w14:paraId="0AAFF435" w14:textId="77777777" w:rsidR="00A81C4F" w:rsidRPr="008F32E9" w:rsidRDefault="00A81C4F" w:rsidP="000A44EC">
            <w:pPr>
              <w:pStyle w:val="Normal-table"/>
              <w:cnfStyle w:val="000000000000" w:firstRow="0" w:lastRow="0" w:firstColumn="0" w:lastColumn="0" w:oddVBand="0" w:evenVBand="0" w:oddHBand="0" w:evenHBand="0" w:firstRowFirstColumn="0" w:firstRowLastColumn="0" w:lastRowFirstColumn="0" w:lastRowLastColumn="0"/>
              <w:rPr>
                <w:lang w:val="en-AU"/>
              </w:rPr>
            </w:pPr>
            <w:r w:rsidRPr="008F32E9">
              <w:rPr>
                <w:lang w:val="en-AU"/>
              </w:rPr>
              <w:t>15 Lissner Street, Toowong QLD 4066</w:t>
            </w:r>
          </w:p>
        </w:tc>
      </w:tr>
      <w:tr w:rsidR="00A81C4F" w:rsidRPr="008F32E9" w14:paraId="48C29B91" w14:textId="77777777" w:rsidTr="00DC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pct"/>
          </w:tcPr>
          <w:p w14:paraId="5751165E" w14:textId="77777777" w:rsidR="00A81C4F" w:rsidRPr="008F32E9" w:rsidRDefault="00A81C4F" w:rsidP="000A44EC">
            <w:pPr>
              <w:pStyle w:val="Normal-table"/>
              <w:rPr>
                <w:lang w:val="en-AU"/>
              </w:rPr>
            </w:pPr>
            <w:r w:rsidRPr="008F32E9">
              <w:rPr>
                <w:lang w:val="en-AU"/>
              </w:rPr>
              <w:lastRenderedPageBreak/>
              <w:t>Townsville  (Cannon Park)</w:t>
            </w:r>
          </w:p>
        </w:tc>
        <w:tc>
          <w:tcPr>
            <w:tcW w:w="3768" w:type="pct"/>
          </w:tcPr>
          <w:p w14:paraId="5CD3E9F1" w14:textId="77777777" w:rsidR="00A81C4F" w:rsidRPr="008F32E9" w:rsidRDefault="00A81C4F" w:rsidP="000A44EC">
            <w:pPr>
              <w:pStyle w:val="Normal-table"/>
              <w:cnfStyle w:val="000000100000" w:firstRow="0" w:lastRow="0" w:firstColumn="0" w:lastColumn="0" w:oddVBand="0" w:evenVBand="0" w:oddHBand="1" w:evenHBand="0" w:firstRowFirstColumn="0" w:firstRowLastColumn="0" w:lastRowFirstColumn="0" w:lastRowLastColumn="0"/>
              <w:rPr>
                <w:lang w:val="en-AU"/>
              </w:rPr>
            </w:pPr>
            <w:r w:rsidRPr="008F32E9">
              <w:rPr>
                <w:lang w:val="en-AU"/>
              </w:rPr>
              <w:t>Shop 14, 31–57 High Range Drive, Thuringowa QLD 4817</w:t>
            </w:r>
          </w:p>
        </w:tc>
      </w:tr>
      <w:tr w:rsidR="00A81C4F" w:rsidRPr="008F32E9" w14:paraId="3E4CF779" w14:textId="77777777" w:rsidTr="00DC23F6">
        <w:tc>
          <w:tcPr>
            <w:cnfStyle w:val="001000000000" w:firstRow="0" w:lastRow="0" w:firstColumn="1" w:lastColumn="0" w:oddVBand="0" w:evenVBand="0" w:oddHBand="0" w:evenHBand="0" w:firstRowFirstColumn="0" w:firstRowLastColumn="0" w:lastRowFirstColumn="0" w:lastRowLastColumn="0"/>
            <w:tcW w:w="1232" w:type="pct"/>
          </w:tcPr>
          <w:p w14:paraId="6CD6DB6C" w14:textId="77777777" w:rsidR="00A81C4F" w:rsidRPr="008F32E9" w:rsidRDefault="00A81C4F" w:rsidP="000A44EC">
            <w:pPr>
              <w:pStyle w:val="Normal-table"/>
              <w:rPr>
                <w:lang w:val="en-AU"/>
              </w:rPr>
            </w:pPr>
            <w:r w:rsidRPr="008F32E9">
              <w:rPr>
                <w:lang w:val="en-AU"/>
              </w:rPr>
              <w:t>Toowoomba (Harristown)</w:t>
            </w:r>
          </w:p>
        </w:tc>
        <w:tc>
          <w:tcPr>
            <w:tcW w:w="3768" w:type="pct"/>
          </w:tcPr>
          <w:p w14:paraId="09AC9E99" w14:textId="77777777" w:rsidR="00A81C4F" w:rsidRPr="008F32E9" w:rsidRDefault="00A81C4F" w:rsidP="000A44EC">
            <w:pPr>
              <w:pStyle w:val="Normal-table"/>
              <w:cnfStyle w:val="000000000000" w:firstRow="0" w:lastRow="0" w:firstColumn="0" w:lastColumn="0" w:oddVBand="0" w:evenVBand="0" w:oddHBand="0" w:evenHBand="0" w:firstRowFirstColumn="0" w:firstRowLastColumn="0" w:lastRowFirstColumn="0" w:lastRowLastColumn="0"/>
              <w:rPr>
                <w:lang w:val="en-AU"/>
              </w:rPr>
            </w:pPr>
            <w:r w:rsidRPr="008F32E9">
              <w:rPr>
                <w:lang w:val="en-AU"/>
              </w:rPr>
              <w:t>Cnr Yaldwyn Street and Warwick Street, Toowoomba QLD 4350</w:t>
            </w:r>
          </w:p>
        </w:tc>
      </w:tr>
      <w:tr w:rsidR="00A81C4F" w:rsidRPr="008F32E9" w14:paraId="128DECB9" w14:textId="77777777" w:rsidTr="00DC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pct"/>
          </w:tcPr>
          <w:p w14:paraId="29BEB706" w14:textId="77777777" w:rsidR="00A81C4F" w:rsidRPr="008F32E9" w:rsidRDefault="00A81C4F" w:rsidP="000A44EC">
            <w:pPr>
              <w:pStyle w:val="Normal-table"/>
              <w:rPr>
                <w:lang w:val="en-AU"/>
              </w:rPr>
            </w:pPr>
            <w:r w:rsidRPr="008F32E9">
              <w:rPr>
                <w:lang w:val="en-AU"/>
              </w:rPr>
              <w:t>Toowoomba</w:t>
            </w:r>
          </w:p>
        </w:tc>
        <w:tc>
          <w:tcPr>
            <w:tcW w:w="3768" w:type="pct"/>
          </w:tcPr>
          <w:p w14:paraId="14802165" w14:textId="77777777" w:rsidR="00A81C4F" w:rsidRPr="008F32E9" w:rsidRDefault="00A81C4F" w:rsidP="000A44EC">
            <w:pPr>
              <w:pStyle w:val="Normal-table"/>
              <w:cnfStyle w:val="000000100000" w:firstRow="0" w:lastRow="0" w:firstColumn="0" w:lastColumn="0" w:oddVBand="0" w:evenVBand="0" w:oddHBand="1" w:evenHBand="0" w:firstRowFirstColumn="0" w:firstRowLastColumn="0" w:lastRowFirstColumn="0" w:lastRowLastColumn="0"/>
              <w:rPr>
                <w:lang w:val="en-AU"/>
              </w:rPr>
            </w:pPr>
            <w:r w:rsidRPr="008F32E9">
              <w:rPr>
                <w:lang w:val="en-AU"/>
              </w:rPr>
              <w:t>Cnr Clopton and Phillip Street, Toowoomba Qld 4350</w:t>
            </w:r>
          </w:p>
        </w:tc>
      </w:tr>
      <w:tr w:rsidR="00A81C4F" w:rsidRPr="008F32E9" w14:paraId="7503C895" w14:textId="77777777" w:rsidTr="00DC23F6">
        <w:tc>
          <w:tcPr>
            <w:cnfStyle w:val="001000000000" w:firstRow="0" w:lastRow="0" w:firstColumn="1" w:lastColumn="0" w:oddVBand="0" w:evenVBand="0" w:oddHBand="0" w:evenHBand="0" w:firstRowFirstColumn="0" w:firstRowLastColumn="0" w:lastRowFirstColumn="0" w:lastRowLastColumn="0"/>
            <w:tcW w:w="1232" w:type="pct"/>
          </w:tcPr>
          <w:p w14:paraId="69BF1E31" w14:textId="77777777" w:rsidR="00A81C4F" w:rsidRPr="008F32E9" w:rsidRDefault="00A81C4F" w:rsidP="000A44EC">
            <w:pPr>
              <w:pStyle w:val="Normal-table"/>
              <w:rPr>
                <w:lang w:val="en-AU"/>
              </w:rPr>
            </w:pPr>
            <w:r w:rsidRPr="008F32E9">
              <w:rPr>
                <w:lang w:val="en-AU"/>
              </w:rPr>
              <w:t>Townsville (Garbutt)</w:t>
            </w:r>
          </w:p>
        </w:tc>
        <w:tc>
          <w:tcPr>
            <w:tcW w:w="3768" w:type="pct"/>
          </w:tcPr>
          <w:p w14:paraId="63F6255A" w14:textId="77777777" w:rsidR="00A81C4F" w:rsidRPr="008F32E9" w:rsidRDefault="00A81C4F" w:rsidP="000A44EC">
            <w:pPr>
              <w:pStyle w:val="Normal-table"/>
              <w:cnfStyle w:val="000000000000" w:firstRow="0" w:lastRow="0" w:firstColumn="0" w:lastColumn="0" w:oddVBand="0" w:evenVBand="0" w:oddHBand="0" w:evenHBand="0" w:firstRowFirstColumn="0" w:firstRowLastColumn="0" w:lastRowFirstColumn="0" w:lastRowLastColumn="0"/>
              <w:rPr>
                <w:lang w:val="en-AU"/>
              </w:rPr>
            </w:pPr>
            <w:r w:rsidRPr="008F32E9">
              <w:rPr>
                <w:lang w:val="en-AU"/>
              </w:rPr>
              <w:t>21-35 Leyland Street, Garbutt QLD 4814</w:t>
            </w:r>
          </w:p>
        </w:tc>
      </w:tr>
      <w:tr w:rsidR="00A81C4F" w:rsidRPr="008F32E9" w14:paraId="233A8C1E" w14:textId="77777777" w:rsidTr="00DC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pct"/>
          </w:tcPr>
          <w:p w14:paraId="2D32E2A2" w14:textId="77777777" w:rsidR="00A81C4F" w:rsidRPr="008F32E9" w:rsidRDefault="00A81C4F" w:rsidP="000A44EC">
            <w:pPr>
              <w:pStyle w:val="Normal-table"/>
              <w:rPr>
                <w:lang w:val="en-AU"/>
              </w:rPr>
            </w:pPr>
            <w:r w:rsidRPr="008F32E9">
              <w:rPr>
                <w:lang w:val="en-AU"/>
              </w:rPr>
              <w:t>Warwick</w:t>
            </w:r>
          </w:p>
        </w:tc>
        <w:tc>
          <w:tcPr>
            <w:tcW w:w="3768" w:type="pct"/>
          </w:tcPr>
          <w:p w14:paraId="142D26EA" w14:textId="77777777" w:rsidR="00A81C4F" w:rsidRPr="008F32E9" w:rsidRDefault="00A81C4F" w:rsidP="000A44EC">
            <w:pPr>
              <w:pStyle w:val="Normal-table"/>
              <w:cnfStyle w:val="000000100000" w:firstRow="0" w:lastRow="0" w:firstColumn="0" w:lastColumn="0" w:oddVBand="0" w:evenVBand="0" w:oddHBand="1" w:evenHBand="0" w:firstRowFirstColumn="0" w:firstRowLastColumn="0" w:lastRowFirstColumn="0" w:lastRowLastColumn="0"/>
              <w:rPr>
                <w:lang w:val="en-AU"/>
              </w:rPr>
            </w:pPr>
            <w:r w:rsidRPr="008F32E9">
              <w:rPr>
                <w:lang w:val="en-AU"/>
              </w:rPr>
              <w:t>51 Victoria Street, Warwick QLD 4370</w:t>
            </w:r>
          </w:p>
        </w:tc>
      </w:tr>
      <w:tr w:rsidR="00A81C4F" w:rsidRPr="008F32E9" w14:paraId="3CA056CA" w14:textId="77777777" w:rsidTr="00DC23F6">
        <w:tc>
          <w:tcPr>
            <w:cnfStyle w:val="001000000000" w:firstRow="0" w:lastRow="0" w:firstColumn="1" w:lastColumn="0" w:oddVBand="0" w:evenVBand="0" w:oddHBand="0" w:evenHBand="0" w:firstRowFirstColumn="0" w:firstRowLastColumn="0" w:lastRowFirstColumn="0" w:lastRowLastColumn="0"/>
            <w:tcW w:w="1232" w:type="pct"/>
          </w:tcPr>
          <w:p w14:paraId="181E1BB7" w14:textId="77777777" w:rsidR="00A81C4F" w:rsidRPr="008F32E9" w:rsidRDefault="00A81C4F" w:rsidP="000A44EC">
            <w:pPr>
              <w:pStyle w:val="Normal-table"/>
              <w:rPr>
                <w:lang w:val="en-AU"/>
              </w:rPr>
            </w:pPr>
            <w:r w:rsidRPr="008F32E9">
              <w:rPr>
                <w:lang w:val="en-AU"/>
              </w:rPr>
              <w:t>Wynnum</w:t>
            </w:r>
          </w:p>
        </w:tc>
        <w:tc>
          <w:tcPr>
            <w:tcW w:w="3768" w:type="pct"/>
          </w:tcPr>
          <w:p w14:paraId="5619F387" w14:textId="77777777" w:rsidR="00A81C4F" w:rsidRPr="008F32E9" w:rsidRDefault="00A81C4F" w:rsidP="000A44EC">
            <w:pPr>
              <w:pStyle w:val="Normal-table"/>
              <w:cnfStyle w:val="000000000000" w:firstRow="0" w:lastRow="0" w:firstColumn="0" w:lastColumn="0" w:oddVBand="0" w:evenVBand="0" w:oddHBand="0" w:evenHBand="0" w:firstRowFirstColumn="0" w:firstRowLastColumn="0" w:lastRowFirstColumn="0" w:lastRowLastColumn="0"/>
              <w:rPr>
                <w:lang w:val="en-AU"/>
              </w:rPr>
            </w:pPr>
            <w:r w:rsidRPr="008F32E9">
              <w:rPr>
                <w:lang w:val="en-AU"/>
              </w:rPr>
              <w:t>139 Tingal Road, Wynnum QLD 4178</w:t>
            </w:r>
          </w:p>
        </w:tc>
      </w:tr>
      <w:tr w:rsidR="00A81C4F" w:rsidRPr="008F32E9" w14:paraId="4018494D" w14:textId="77777777" w:rsidTr="00DC2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pct"/>
          </w:tcPr>
          <w:p w14:paraId="6E2E4791" w14:textId="77777777" w:rsidR="00A81C4F" w:rsidRPr="008F32E9" w:rsidRDefault="00A81C4F" w:rsidP="000A44EC">
            <w:pPr>
              <w:pStyle w:val="Normal-table"/>
              <w:rPr>
                <w:lang w:val="en-AU"/>
              </w:rPr>
            </w:pPr>
            <w:r w:rsidRPr="008F32E9">
              <w:rPr>
                <w:lang w:val="en-AU"/>
              </w:rPr>
              <w:t>Zillmere**</w:t>
            </w:r>
          </w:p>
        </w:tc>
        <w:tc>
          <w:tcPr>
            <w:tcW w:w="3768" w:type="pct"/>
          </w:tcPr>
          <w:p w14:paraId="007C6AC2" w14:textId="77777777" w:rsidR="00A81C4F" w:rsidRPr="008F32E9" w:rsidRDefault="00A81C4F" w:rsidP="000A44EC">
            <w:pPr>
              <w:pStyle w:val="Normal-table"/>
              <w:cnfStyle w:val="000000100000" w:firstRow="0" w:lastRow="0" w:firstColumn="0" w:lastColumn="0" w:oddVBand="0" w:evenVBand="0" w:oddHBand="1" w:evenHBand="0" w:firstRowFirstColumn="0" w:firstRowLastColumn="0" w:lastRowFirstColumn="0" w:lastRowLastColumn="0"/>
              <w:rPr>
                <w:lang w:val="en-AU"/>
              </w:rPr>
            </w:pPr>
            <w:r w:rsidRPr="008F32E9">
              <w:rPr>
                <w:lang w:val="en-AU"/>
              </w:rPr>
              <w:t>69 Pineapple Street, Zillmere QLD 4034</w:t>
            </w:r>
          </w:p>
        </w:tc>
      </w:tr>
    </w:tbl>
    <w:p w14:paraId="4A03ACF3" w14:textId="77777777" w:rsidR="00A81C4F" w:rsidRPr="008F32E9" w:rsidRDefault="00A81C4F" w:rsidP="00A81C4F">
      <w:pPr>
        <w:pStyle w:val="Caption"/>
        <w:rPr>
          <w:lang w:val="en-AU"/>
        </w:rPr>
      </w:pPr>
      <w:r w:rsidRPr="008F32E9">
        <w:rPr>
          <w:lang w:val="en-AU"/>
        </w:rPr>
        <w:t>Notes:</w:t>
      </w:r>
    </w:p>
    <w:p w14:paraId="0A0EB33B" w14:textId="77777777" w:rsidR="00A81C4F" w:rsidRPr="008F32E9" w:rsidRDefault="00A81C4F" w:rsidP="00A81C4F">
      <w:pPr>
        <w:pStyle w:val="Caption"/>
        <w:rPr>
          <w:lang w:val="en-AU"/>
        </w:rPr>
      </w:pPr>
      <w:r w:rsidRPr="008F32E9">
        <w:rPr>
          <w:lang w:val="en-AU"/>
        </w:rPr>
        <w:t>** Limited services available due to size and location of centre office.</w:t>
      </w:r>
    </w:p>
    <w:p w14:paraId="70FEA6D0" w14:textId="77777777" w:rsidR="00A81C4F" w:rsidRPr="008F32E9" w:rsidRDefault="00A81C4F" w:rsidP="00A81C4F">
      <w:pPr>
        <w:pStyle w:val="Caption"/>
        <w:rPr>
          <w:lang w:val="en-AU"/>
        </w:rPr>
      </w:pPr>
      <w:r w:rsidRPr="008F32E9">
        <w:rPr>
          <w:lang w:val="en-AU"/>
        </w:rPr>
        <w:t>TMR has three mobile customer service centre units operating across Queensland to deliver services to regional and remote areas.</w:t>
      </w:r>
    </w:p>
    <w:p w14:paraId="7452653B" w14:textId="77777777" w:rsidR="00A81C4F" w:rsidRPr="008F32E9" w:rsidRDefault="00A81C4F" w:rsidP="00A81C4F">
      <w:pPr>
        <w:pStyle w:val="Caption"/>
        <w:rPr>
          <w:lang w:val="en-AU"/>
        </w:rPr>
      </w:pPr>
      <w:r w:rsidRPr="008F32E9">
        <w:rPr>
          <w:lang w:val="en-AU"/>
        </w:rPr>
        <w:t xml:space="preserve">TMR's Indigenous Driver Licensing Unit (based in Cairns, Bentley Park office) also delivers a range of licensing services to remote areas. </w:t>
      </w:r>
    </w:p>
    <w:p w14:paraId="18028963" w14:textId="74FC84BC" w:rsidR="00A81C4F" w:rsidRDefault="00A81C4F" w:rsidP="00A81C4F">
      <w:pPr>
        <w:pStyle w:val="Heading3"/>
        <w:rPr>
          <w:lang w:val="en-AU"/>
        </w:rPr>
      </w:pPr>
      <w:r w:rsidRPr="008F32E9">
        <w:rPr>
          <w:lang w:val="en-AU"/>
        </w:rPr>
        <w:t>Queensland Government Agency Program</w:t>
      </w:r>
    </w:p>
    <w:tbl>
      <w:tblPr>
        <w:tblStyle w:val="GridTable4-Accent1"/>
        <w:tblW w:w="5000" w:type="pct"/>
        <w:tblLook w:val="04A0" w:firstRow="1" w:lastRow="0" w:firstColumn="1" w:lastColumn="0" w:noHBand="0" w:noVBand="1"/>
      </w:tblPr>
      <w:tblGrid>
        <w:gridCol w:w="3616"/>
        <w:gridCol w:w="6840"/>
      </w:tblGrid>
      <w:tr w:rsidR="00A81C4F" w:rsidRPr="008F32E9" w14:paraId="1A93CAB4" w14:textId="77777777" w:rsidTr="00160B0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29" w:type="pct"/>
          </w:tcPr>
          <w:p w14:paraId="345D65AB" w14:textId="77777777" w:rsidR="00A81C4F" w:rsidRPr="008F32E9" w:rsidRDefault="00A81C4F" w:rsidP="00160B07">
            <w:pPr>
              <w:pStyle w:val="Normal-table"/>
              <w:rPr>
                <w:lang w:val="en-AU"/>
              </w:rPr>
            </w:pPr>
            <w:r w:rsidRPr="008F32E9">
              <w:rPr>
                <w:lang w:val="en-AU"/>
              </w:rPr>
              <w:t>Suburb/town</w:t>
            </w:r>
          </w:p>
        </w:tc>
        <w:tc>
          <w:tcPr>
            <w:tcW w:w="3271" w:type="pct"/>
          </w:tcPr>
          <w:p w14:paraId="7E122EA1" w14:textId="77777777" w:rsidR="00A81C4F" w:rsidRPr="008F32E9" w:rsidRDefault="00A81C4F" w:rsidP="00160B07">
            <w:pPr>
              <w:pStyle w:val="Normal-table"/>
              <w:cnfStyle w:val="100000000000" w:firstRow="1" w:lastRow="0" w:firstColumn="0" w:lastColumn="0" w:oddVBand="0" w:evenVBand="0" w:oddHBand="0" w:evenHBand="0" w:firstRowFirstColumn="0" w:firstRowLastColumn="0" w:lastRowFirstColumn="0" w:lastRowLastColumn="0"/>
              <w:rPr>
                <w:lang w:val="en-AU"/>
              </w:rPr>
            </w:pPr>
            <w:r w:rsidRPr="008F32E9">
              <w:rPr>
                <w:lang w:val="en-AU"/>
              </w:rPr>
              <w:t>Address</w:t>
            </w:r>
          </w:p>
        </w:tc>
      </w:tr>
      <w:tr w:rsidR="00A81C4F" w:rsidRPr="008F32E9" w14:paraId="7941FE81" w14:textId="77777777" w:rsidTr="0016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pct"/>
          </w:tcPr>
          <w:p w14:paraId="32D42ABE" w14:textId="77777777" w:rsidR="00A81C4F" w:rsidRPr="00D412A0" w:rsidRDefault="00A81C4F" w:rsidP="00160B07">
            <w:pPr>
              <w:pStyle w:val="Normal-table"/>
            </w:pPr>
            <w:r w:rsidRPr="00D412A0">
              <w:t>Agnes Water QGAP</w:t>
            </w:r>
          </w:p>
        </w:tc>
        <w:tc>
          <w:tcPr>
            <w:tcW w:w="3271" w:type="pct"/>
          </w:tcPr>
          <w:p w14:paraId="10787C37" w14:textId="77777777" w:rsidR="00A81C4F" w:rsidRPr="00D412A0" w:rsidRDefault="00A81C4F" w:rsidP="00160B07">
            <w:pPr>
              <w:pStyle w:val="Normal-table"/>
              <w:cnfStyle w:val="000000100000" w:firstRow="0" w:lastRow="0" w:firstColumn="0" w:lastColumn="0" w:oddVBand="0" w:evenVBand="0" w:oddHBand="1" w:evenHBand="0" w:firstRowFirstColumn="0" w:firstRowLastColumn="0" w:lastRowFirstColumn="0" w:lastRowLastColumn="0"/>
            </w:pPr>
            <w:r w:rsidRPr="00D412A0">
              <w:t>71 Springs Rd, Agnes Water QLD 4677</w:t>
            </w:r>
          </w:p>
        </w:tc>
      </w:tr>
      <w:tr w:rsidR="00A81C4F" w:rsidRPr="008F32E9" w14:paraId="5415F9CC" w14:textId="77777777" w:rsidTr="00160B07">
        <w:tc>
          <w:tcPr>
            <w:cnfStyle w:val="001000000000" w:firstRow="0" w:lastRow="0" w:firstColumn="1" w:lastColumn="0" w:oddVBand="0" w:evenVBand="0" w:oddHBand="0" w:evenHBand="0" w:firstRowFirstColumn="0" w:firstRowLastColumn="0" w:lastRowFirstColumn="0" w:lastRowLastColumn="0"/>
            <w:tcW w:w="1729" w:type="pct"/>
          </w:tcPr>
          <w:p w14:paraId="73CD815D" w14:textId="77777777" w:rsidR="00A81C4F" w:rsidRPr="00D412A0" w:rsidRDefault="00A81C4F" w:rsidP="00160B07">
            <w:pPr>
              <w:pStyle w:val="Normal-table"/>
            </w:pPr>
            <w:r w:rsidRPr="00D412A0">
              <w:t>Aramac QGAP</w:t>
            </w:r>
          </w:p>
        </w:tc>
        <w:tc>
          <w:tcPr>
            <w:tcW w:w="3271" w:type="pct"/>
          </w:tcPr>
          <w:p w14:paraId="2DE8B935" w14:textId="77777777" w:rsidR="00A81C4F" w:rsidRPr="00D412A0" w:rsidRDefault="00A81C4F" w:rsidP="00160B07">
            <w:pPr>
              <w:pStyle w:val="Normal-table"/>
              <w:cnfStyle w:val="000000000000" w:firstRow="0" w:lastRow="0" w:firstColumn="0" w:lastColumn="0" w:oddVBand="0" w:evenVBand="0" w:oddHBand="0" w:evenHBand="0" w:firstRowFirstColumn="0" w:firstRowLastColumn="0" w:lastRowFirstColumn="0" w:lastRowLastColumn="0"/>
            </w:pPr>
            <w:r w:rsidRPr="00D412A0">
              <w:t>Gordon Street, Aramac QLD 4726</w:t>
            </w:r>
          </w:p>
        </w:tc>
      </w:tr>
      <w:tr w:rsidR="00A81C4F" w:rsidRPr="008F32E9" w14:paraId="496BAB09" w14:textId="77777777" w:rsidTr="0016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pct"/>
          </w:tcPr>
          <w:p w14:paraId="6A1CF540" w14:textId="77777777" w:rsidR="00A81C4F" w:rsidRPr="00D412A0" w:rsidRDefault="00A81C4F" w:rsidP="00160B07">
            <w:pPr>
              <w:pStyle w:val="Normal-table"/>
            </w:pPr>
            <w:r w:rsidRPr="00D412A0">
              <w:t>Augathella QGAP</w:t>
            </w:r>
          </w:p>
        </w:tc>
        <w:tc>
          <w:tcPr>
            <w:tcW w:w="3271" w:type="pct"/>
          </w:tcPr>
          <w:p w14:paraId="73F998E6" w14:textId="77777777" w:rsidR="00A81C4F" w:rsidRPr="00D412A0" w:rsidRDefault="00A81C4F" w:rsidP="00160B07">
            <w:pPr>
              <w:pStyle w:val="Normal-table"/>
              <w:cnfStyle w:val="000000100000" w:firstRow="0" w:lastRow="0" w:firstColumn="0" w:lastColumn="0" w:oddVBand="0" w:evenVBand="0" w:oddHBand="1" w:evenHBand="0" w:firstRowFirstColumn="0" w:firstRowLastColumn="0" w:lastRowFirstColumn="0" w:lastRowLastColumn="0"/>
            </w:pPr>
            <w:r w:rsidRPr="00D412A0">
              <w:t>Augathella Visitors Centre, 98 Main Street, Augathella QLD 4477</w:t>
            </w:r>
          </w:p>
        </w:tc>
      </w:tr>
      <w:tr w:rsidR="00A81C4F" w:rsidRPr="008F32E9" w14:paraId="0BB57D9E" w14:textId="77777777" w:rsidTr="00160B07">
        <w:tc>
          <w:tcPr>
            <w:cnfStyle w:val="001000000000" w:firstRow="0" w:lastRow="0" w:firstColumn="1" w:lastColumn="0" w:oddVBand="0" w:evenVBand="0" w:oddHBand="0" w:evenHBand="0" w:firstRowFirstColumn="0" w:firstRowLastColumn="0" w:lastRowFirstColumn="0" w:lastRowLastColumn="0"/>
            <w:tcW w:w="1729" w:type="pct"/>
          </w:tcPr>
          <w:p w14:paraId="428D5F4C" w14:textId="77777777" w:rsidR="00A81C4F" w:rsidRPr="00D412A0" w:rsidRDefault="00A81C4F" w:rsidP="00160B07">
            <w:pPr>
              <w:pStyle w:val="Normal-table"/>
            </w:pPr>
            <w:r w:rsidRPr="002F03ED">
              <w:t>Ayr QGAP</w:t>
            </w:r>
          </w:p>
        </w:tc>
        <w:tc>
          <w:tcPr>
            <w:tcW w:w="3271" w:type="pct"/>
          </w:tcPr>
          <w:p w14:paraId="448DB715" w14:textId="77777777" w:rsidR="00A81C4F" w:rsidRPr="00D412A0" w:rsidRDefault="00A81C4F" w:rsidP="00160B07">
            <w:pPr>
              <w:pStyle w:val="Normal-table"/>
              <w:cnfStyle w:val="000000000000" w:firstRow="0" w:lastRow="0" w:firstColumn="0" w:lastColumn="0" w:oddVBand="0" w:evenVBand="0" w:oddHBand="0" w:evenHBand="0" w:firstRowFirstColumn="0" w:firstRowLastColumn="0" w:lastRowFirstColumn="0" w:lastRowLastColumn="0"/>
            </w:pPr>
            <w:r w:rsidRPr="002F03ED">
              <w:t>Ayr Magistrates Court, 163 Queen Street Ayr QLD 4807</w:t>
            </w:r>
          </w:p>
        </w:tc>
      </w:tr>
      <w:tr w:rsidR="00A81C4F" w:rsidRPr="008F32E9" w14:paraId="73D38875" w14:textId="77777777" w:rsidTr="0016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pct"/>
          </w:tcPr>
          <w:p w14:paraId="4CA0D9D5" w14:textId="77777777" w:rsidR="00A81C4F" w:rsidRPr="00D412A0" w:rsidRDefault="00A81C4F" w:rsidP="00160B07">
            <w:pPr>
              <w:pStyle w:val="Normal-table"/>
            </w:pPr>
            <w:r w:rsidRPr="00D412A0">
              <w:t>Babinda QGAP</w:t>
            </w:r>
          </w:p>
        </w:tc>
        <w:tc>
          <w:tcPr>
            <w:tcW w:w="3271" w:type="pct"/>
          </w:tcPr>
          <w:p w14:paraId="51D1AC80" w14:textId="77777777" w:rsidR="00A81C4F" w:rsidRPr="00D412A0" w:rsidRDefault="00A81C4F" w:rsidP="00160B07">
            <w:pPr>
              <w:pStyle w:val="Normal-table"/>
              <w:cnfStyle w:val="000000100000" w:firstRow="0" w:lastRow="0" w:firstColumn="0" w:lastColumn="0" w:oddVBand="0" w:evenVBand="0" w:oddHBand="1" w:evenHBand="0" w:firstRowFirstColumn="0" w:firstRowLastColumn="0" w:lastRowFirstColumn="0" w:lastRowLastColumn="0"/>
            </w:pPr>
            <w:r w:rsidRPr="00D412A0">
              <w:t>10 Munro Street, Babinda QLD 4861</w:t>
            </w:r>
          </w:p>
        </w:tc>
      </w:tr>
      <w:tr w:rsidR="00A81C4F" w:rsidRPr="008F32E9" w14:paraId="35CFE453" w14:textId="77777777" w:rsidTr="00160B07">
        <w:tc>
          <w:tcPr>
            <w:cnfStyle w:val="001000000000" w:firstRow="0" w:lastRow="0" w:firstColumn="1" w:lastColumn="0" w:oddVBand="0" w:evenVBand="0" w:oddHBand="0" w:evenHBand="0" w:firstRowFirstColumn="0" w:firstRowLastColumn="0" w:lastRowFirstColumn="0" w:lastRowLastColumn="0"/>
            <w:tcW w:w="1729" w:type="pct"/>
          </w:tcPr>
          <w:p w14:paraId="1526E82B" w14:textId="77777777" w:rsidR="00A81C4F" w:rsidRPr="00D412A0" w:rsidRDefault="00A81C4F" w:rsidP="00160B07">
            <w:pPr>
              <w:pStyle w:val="Normal-table"/>
            </w:pPr>
            <w:r w:rsidRPr="0015368E">
              <w:t>Barcaldine QGAP</w:t>
            </w:r>
          </w:p>
        </w:tc>
        <w:tc>
          <w:tcPr>
            <w:tcW w:w="3271" w:type="pct"/>
          </w:tcPr>
          <w:p w14:paraId="10A5703F" w14:textId="77777777" w:rsidR="00A81C4F" w:rsidRPr="00D412A0" w:rsidRDefault="00A81C4F" w:rsidP="00160B07">
            <w:pPr>
              <w:pStyle w:val="Normal-table"/>
              <w:cnfStyle w:val="000000000000" w:firstRow="0" w:lastRow="0" w:firstColumn="0" w:lastColumn="0" w:oddVBand="0" w:evenVBand="0" w:oddHBand="0" w:evenHBand="0" w:firstRowFirstColumn="0" w:firstRowLastColumn="0" w:lastRowFirstColumn="0" w:lastRowLastColumn="0"/>
            </w:pPr>
            <w:r w:rsidRPr="0015368E">
              <w:t>65 Ash Street, Barcaldine QLD (temporary)</w:t>
            </w:r>
          </w:p>
        </w:tc>
      </w:tr>
      <w:tr w:rsidR="00A81C4F" w:rsidRPr="008F32E9" w14:paraId="644AC49B" w14:textId="77777777" w:rsidTr="00160B07">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729" w:type="pct"/>
          </w:tcPr>
          <w:p w14:paraId="037709EA" w14:textId="77777777" w:rsidR="00A81C4F" w:rsidRPr="00D412A0" w:rsidRDefault="00A81C4F" w:rsidP="00160B07">
            <w:pPr>
              <w:pStyle w:val="Normal-table"/>
            </w:pPr>
            <w:r w:rsidRPr="0015368E">
              <w:t>Beaudesert Customer Centre**</w:t>
            </w:r>
          </w:p>
        </w:tc>
        <w:tc>
          <w:tcPr>
            <w:tcW w:w="3271" w:type="pct"/>
          </w:tcPr>
          <w:p w14:paraId="08C40D9C" w14:textId="77777777" w:rsidR="00A81C4F" w:rsidRPr="00D412A0" w:rsidRDefault="00A81C4F" w:rsidP="00160B07">
            <w:pPr>
              <w:pStyle w:val="Normal-table"/>
              <w:cnfStyle w:val="000000100000" w:firstRow="0" w:lastRow="0" w:firstColumn="0" w:lastColumn="0" w:oddVBand="0" w:evenVBand="0" w:oddHBand="1" w:evenHBand="0" w:firstRowFirstColumn="0" w:firstRowLastColumn="0" w:lastRowFirstColumn="0" w:lastRowLastColumn="0"/>
            </w:pPr>
            <w:r w:rsidRPr="0015368E">
              <w:t>Tenancy 2, 1 Telemon Street, Beaudesert QLD 4285</w:t>
            </w:r>
          </w:p>
        </w:tc>
      </w:tr>
      <w:tr w:rsidR="00A81C4F" w:rsidRPr="008F32E9" w14:paraId="223F363B" w14:textId="77777777" w:rsidTr="00160B07">
        <w:trPr>
          <w:trHeight w:val="95"/>
        </w:trPr>
        <w:tc>
          <w:tcPr>
            <w:cnfStyle w:val="001000000000" w:firstRow="0" w:lastRow="0" w:firstColumn="1" w:lastColumn="0" w:oddVBand="0" w:evenVBand="0" w:oddHBand="0" w:evenHBand="0" w:firstRowFirstColumn="0" w:firstRowLastColumn="0" w:lastRowFirstColumn="0" w:lastRowLastColumn="0"/>
            <w:tcW w:w="1729" w:type="pct"/>
          </w:tcPr>
          <w:p w14:paraId="23654B39" w14:textId="77777777" w:rsidR="00A81C4F" w:rsidRPr="00D412A0" w:rsidRDefault="00A81C4F" w:rsidP="00160B07">
            <w:pPr>
              <w:pStyle w:val="Normal-table"/>
            </w:pPr>
            <w:r w:rsidRPr="00D412A0">
              <w:t>Bedourie QGAP</w:t>
            </w:r>
          </w:p>
        </w:tc>
        <w:tc>
          <w:tcPr>
            <w:tcW w:w="3271" w:type="pct"/>
          </w:tcPr>
          <w:p w14:paraId="0003862E" w14:textId="77777777" w:rsidR="00A81C4F" w:rsidRPr="00D412A0" w:rsidRDefault="00A81C4F" w:rsidP="00160B07">
            <w:pPr>
              <w:pStyle w:val="Normal-table"/>
              <w:cnfStyle w:val="000000000000" w:firstRow="0" w:lastRow="0" w:firstColumn="0" w:lastColumn="0" w:oddVBand="0" w:evenVBand="0" w:oddHBand="0" w:evenHBand="0" w:firstRowFirstColumn="0" w:firstRowLastColumn="0" w:lastRowFirstColumn="0" w:lastRowLastColumn="0"/>
            </w:pPr>
            <w:r w:rsidRPr="00D412A0">
              <w:t>Police Station, Merri Street, Bedourie QLD 4829</w:t>
            </w:r>
          </w:p>
        </w:tc>
      </w:tr>
      <w:tr w:rsidR="00A81C4F" w:rsidRPr="008F32E9" w14:paraId="4D62B79A" w14:textId="77777777" w:rsidTr="0016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pct"/>
          </w:tcPr>
          <w:p w14:paraId="6E102CA8" w14:textId="77777777" w:rsidR="00A81C4F" w:rsidRPr="00D412A0" w:rsidRDefault="00A81C4F" w:rsidP="00160B07">
            <w:pPr>
              <w:pStyle w:val="Normal-table"/>
            </w:pPr>
            <w:r w:rsidRPr="0015368E">
              <w:t>Biloela QGAP</w:t>
            </w:r>
          </w:p>
        </w:tc>
        <w:tc>
          <w:tcPr>
            <w:tcW w:w="3271" w:type="pct"/>
          </w:tcPr>
          <w:p w14:paraId="7D8E0BAC" w14:textId="77777777" w:rsidR="00A81C4F" w:rsidRPr="00D412A0" w:rsidRDefault="00A81C4F" w:rsidP="00160B07">
            <w:pPr>
              <w:pStyle w:val="Normal-table"/>
              <w:cnfStyle w:val="000000100000" w:firstRow="0" w:lastRow="0" w:firstColumn="0" w:lastColumn="0" w:oddVBand="0" w:evenVBand="0" w:oddHBand="1" w:evenHBand="0" w:firstRowFirstColumn="0" w:firstRowLastColumn="0" w:lastRowFirstColumn="0" w:lastRowLastColumn="0"/>
            </w:pPr>
            <w:r w:rsidRPr="00D649D5">
              <w:t>Cnr</w:t>
            </w:r>
            <w:r w:rsidRPr="00D412A0">
              <w:t xml:space="preserve"> Melton and Grevillea Street, Biloela QLD 4715</w:t>
            </w:r>
          </w:p>
        </w:tc>
      </w:tr>
      <w:tr w:rsidR="00A81C4F" w:rsidRPr="008F32E9" w14:paraId="35D81BCF" w14:textId="77777777" w:rsidTr="00160B07">
        <w:tc>
          <w:tcPr>
            <w:cnfStyle w:val="001000000000" w:firstRow="0" w:lastRow="0" w:firstColumn="1" w:lastColumn="0" w:oddVBand="0" w:evenVBand="0" w:oddHBand="0" w:evenHBand="0" w:firstRowFirstColumn="0" w:firstRowLastColumn="0" w:lastRowFirstColumn="0" w:lastRowLastColumn="0"/>
            <w:tcW w:w="1729" w:type="pct"/>
          </w:tcPr>
          <w:p w14:paraId="5F2A5AFF" w14:textId="77777777" w:rsidR="00A81C4F" w:rsidRPr="00D412A0" w:rsidRDefault="00A81C4F" w:rsidP="00160B07">
            <w:pPr>
              <w:pStyle w:val="Normal-table"/>
            </w:pPr>
            <w:r w:rsidRPr="00D412A0">
              <w:t>Birdsville QGAP</w:t>
            </w:r>
          </w:p>
        </w:tc>
        <w:tc>
          <w:tcPr>
            <w:tcW w:w="3271" w:type="pct"/>
          </w:tcPr>
          <w:p w14:paraId="76F1D07C" w14:textId="77777777" w:rsidR="00A81C4F" w:rsidRPr="00D412A0" w:rsidRDefault="00A81C4F" w:rsidP="00160B07">
            <w:pPr>
              <w:pStyle w:val="Normal-table"/>
              <w:cnfStyle w:val="000000000000" w:firstRow="0" w:lastRow="0" w:firstColumn="0" w:lastColumn="0" w:oddVBand="0" w:evenVBand="0" w:oddHBand="0" w:evenHBand="0" w:firstRowFirstColumn="0" w:firstRowLastColumn="0" w:lastRowFirstColumn="0" w:lastRowLastColumn="0"/>
            </w:pPr>
            <w:r w:rsidRPr="00D412A0">
              <w:t>Police Station, 17 MacDonald Street, Birdsville QLD 4482</w:t>
            </w:r>
          </w:p>
        </w:tc>
      </w:tr>
      <w:tr w:rsidR="00A81C4F" w:rsidRPr="0015368E" w14:paraId="42F6E631" w14:textId="77777777" w:rsidTr="00160B07">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729" w:type="pct"/>
          </w:tcPr>
          <w:p w14:paraId="3EAFAA4B" w14:textId="77777777" w:rsidR="00A81C4F" w:rsidRPr="00D412A0" w:rsidRDefault="00A81C4F" w:rsidP="00160B07">
            <w:pPr>
              <w:pStyle w:val="Normal-table"/>
            </w:pPr>
            <w:r w:rsidRPr="00D412A0">
              <w:t>Blackall QGAP</w:t>
            </w:r>
          </w:p>
        </w:tc>
        <w:tc>
          <w:tcPr>
            <w:tcW w:w="3271" w:type="pct"/>
          </w:tcPr>
          <w:p w14:paraId="7424CDC5" w14:textId="77777777" w:rsidR="00A81C4F" w:rsidRPr="00D412A0" w:rsidRDefault="00A81C4F" w:rsidP="00160B07">
            <w:pPr>
              <w:pStyle w:val="Normal-table"/>
              <w:cnfStyle w:val="000000100000" w:firstRow="0" w:lastRow="0" w:firstColumn="0" w:lastColumn="0" w:oddVBand="0" w:evenVBand="0" w:oddHBand="1" w:evenHBand="0" w:firstRowFirstColumn="0" w:firstRowLastColumn="0" w:lastRowFirstColumn="0" w:lastRowLastColumn="0"/>
            </w:pPr>
            <w:r w:rsidRPr="00D412A0">
              <w:t>139 - 141 Shamrock Street, Blackall QLD 4472</w:t>
            </w:r>
          </w:p>
        </w:tc>
      </w:tr>
      <w:tr w:rsidR="00A81C4F" w:rsidRPr="0015368E" w14:paraId="08E8C4D6" w14:textId="77777777" w:rsidTr="00160B07">
        <w:tc>
          <w:tcPr>
            <w:cnfStyle w:val="001000000000" w:firstRow="0" w:lastRow="0" w:firstColumn="1" w:lastColumn="0" w:oddVBand="0" w:evenVBand="0" w:oddHBand="0" w:evenHBand="0" w:firstRowFirstColumn="0" w:firstRowLastColumn="0" w:lastRowFirstColumn="0" w:lastRowLastColumn="0"/>
            <w:tcW w:w="1729" w:type="pct"/>
          </w:tcPr>
          <w:p w14:paraId="14E9C7BC" w14:textId="77777777" w:rsidR="00A81C4F" w:rsidRPr="00D412A0" w:rsidRDefault="00A81C4F" w:rsidP="00160B07">
            <w:pPr>
              <w:pStyle w:val="Normal-table"/>
            </w:pPr>
            <w:r w:rsidRPr="00D412A0">
              <w:t>Blackbutt QGAP</w:t>
            </w:r>
          </w:p>
        </w:tc>
        <w:tc>
          <w:tcPr>
            <w:tcW w:w="3271" w:type="pct"/>
          </w:tcPr>
          <w:p w14:paraId="67A03A48" w14:textId="77777777" w:rsidR="00A81C4F" w:rsidRPr="00D412A0" w:rsidRDefault="00A81C4F" w:rsidP="00160B07">
            <w:pPr>
              <w:pStyle w:val="Normal-table"/>
              <w:cnfStyle w:val="000000000000" w:firstRow="0" w:lastRow="0" w:firstColumn="0" w:lastColumn="0" w:oddVBand="0" w:evenVBand="0" w:oddHBand="0" w:evenHBand="0" w:firstRowFirstColumn="0" w:firstRowLastColumn="0" w:lastRowFirstColumn="0" w:lastRowLastColumn="0"/>
            </w:pPr>
            <w:r w:rsidRPr="00D412A0">
              <w:t>69 Hart Street, Blackbutt QLD 4314</w:t>
            </w:r>
          </w:p>
        </w:tc>
      </w:tr>
      <w:tr w:rsidR="00A81C4F" w:rsidRPr="0015368E" w14:paraId="531B09BA" w14:textId="77777777" w:rsidTr="0016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pct"/>
          </w:tcPr>
          <w:p w14:paraId="64D3EFB3" w14:textId="77777777" w:rsidR="00A81C4F" w:rsidRPr="00D412A0" w:rsidRDefault="00A81C4F" w:rsidP="00160B07">
            <w:pPr>
              <w:pStyle w:val="Normal-table"/>
            </w:pPr>
            <w:r w:rsidRPr="00D412A0">
              <w:t>Boonah QGAP</w:t>
            </w:r>
          </w:p>
        </w:tc>
        <w:tc>
          <w:tcPr>
            <w:tcW w:w="3271" w:type="pct"/>
          </w:tcPr>
          <w:p w14:paraId="319F9B71" w14:textId="77777777" w:rsidR="00A81C4F" w:rsidRPr="00D412A0" w:rsidRDefault="00A81C4F" w:rsidP="00160B07">
            <w:pPr>
              <w:pStyle w:val="Normal-table"/>
              <w:cnfStyle w:val="000000100000" w:firstRow="0" w:lastRow="0" w:firstColumn="0" w:lastColumn="0" w:oddVBand="0" w:evenVBand="0" w:oddHBand="1" w:evenHBand="0" w:firstRowFirstColumn="0" w:firstRowLastColumn="0" w:lastRowFirstColumn="0" w:lastRowLastColumn="0"/>
            </w:pPr>
            <w:r w:rsidRPr="00D412A0">
              <w:t>70 High Street, Boonah QLD 4310</w:t>
            </w:r>
          </w:p>
        </w:tc>
      </w:tr>
      <w:tr w:rsidR="00A81C4F" w:rsidRPr="0015368E" w14:paraId="11F39CBC" w14:textId="77777777" w:rsidTr="00160B07">
        <w:tc>
          <w:tcPr>
            <w:cnfStyle w:val="001000000000" w:firstRow="0" w:lastRow="0" w:firstColumn="1" w:lastColumn="0" w:oddVBand="0" w:evenVBand="0" w:oddHBand="0" w:evenHBand="0" w:firstRowFirstColumn="0" w:firstRowLastColumn="0" w:lastRowFirstColumn="0" w:lastRowLastColumn="0"/>
            <w:tcW w:w="1729" w:type="pct"/>
          </w:tcPr>
          <w:p w14:paraId="4F510FF1" w14:textId="77777777" w:rsidR="00A81C4F" w:rsidRPr="00D412A0" w:rsidRDefault="00A81C4F" w:rsidP="00160B07">
            <w:pPr>
              <w:pStyle w:val="Normal-table"/>
            </w:pPr>
            <w:r w:rsidRPr="00D412A0">
              <w:t>Boulia QGAP</w:t>
            </w:r>
          </w:p>
        </w:tc>
        <w:tc>
          <w:tcPr>
            <w:tcW w:w="3271" w:type="pct"/>
          </w:tcPr>
          <w:p w14:paraId="73DD758D" w14:textId="77777777" w:rsidR="00A81C4F" w:rsidRPr="00D412A0" w:rsidRDefault="00A81C4F" w:rsidP="00160B07">
            <w:pPr>
              <w:pStyle w:val="Normal-table"/>
              <w:cnfStyle w:val="000000000000" w:firstRow="0" w:lastRow="0" w:firstColumn="0" w:lastColumn="0" w:oddVBand="0" w:evenVBand="0" w:oddHBand="0" w:evenHBand="0" w:firstRowFirstColumn="0" w:firstRowLastColumn="0" w:lastRowFirstColumn="0" w:lastRowLastColumn="0"/>
            </w:pPr>
            <w:r w:rsidRPr="00D412A0">
              <w:t>Boulia Police Station, 39 Herbert Street, Boulia QLD 4829</w:t>
            </w:r>
          </w:p>
        </w:tc>
      </w:tr>
      <w:tr w:rsidR="00A81C4F" w:rsidRPr="0015368E" w14:paraId="764A2A35" w14:textId="77777777" w:rsidTr="0016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pct"/>
          </w:tcPr>
          <w:p w14:paraId="49D08B2C" w14:textId="77777777" w:rsidR="00A81C4F" w:rsidRPr="00D412A0" w:rsidRDefault="00A81C4F" w:rsidP="00160B07">
            <w:pPr>
              <w:pStyle w:val="Normal-table"/>
            </w:pPr>
            <w:r w:rsidRPr="00D412A0">
              <w:t>Camooweal QGAP</w:t>
            </w:r>
          </w:p>
        </w:tc>
        <w:tc>
          <w:tcPr>
            <w:tcW w:w="3271" w:type="pct"/>
          </w:tcPr>
          <w:p w14:paraId="6077FDA2" w14:textId="77777777" w:rsidR="00A81C4F" w:rsidRPr="00D412A0" w:rsidRDefault="00A81C4F" w:rsidP="00160B07">
            <w:pPr>
              <w:pStyle w:val="Normal-table"/>
              <w:cnfStyle w:val="000000100000" w:firstRow="0" w:lastRow="0" w:firstColumn="0" w:lastColumn="0" w:oddVBand="0" w:evenVBand="0" w:oddHBand="1" w:evenHBand="0" w:firstRowFirstColumn="0" w:firstRowLastColumn="0" w:lastRowFirstColumn="0" w:lastRowLastColumn="0"/>
            </w:pPr>
            <w:r w:rsidRPr="00D412A0">
              <w:t>Barkly Street, Camooweal QLD 4828</w:t>
            </w:r>
          </w:p>
        </w:tc>
      </w:tr>
      <w:tr w:rsidR="00A81C4F" w:rsidRPr="008F32E9" w14:paraId="5D74AC0E" w14:textId="77777777" w:rsidTr="00160B07">
        <w:tc>
          <w:tcPr>
            <w:cnfStyle w:val="001000000000" w:firstRow="0" w:lastRow="0" w:firstColumn="1" w:lastColumn="0" w:oddVBand="0" w:evenVBand="0" w:oddHBand="0" w:evenHBand="0" w:firstRowFirstColumn="0" w:firstRowLastColumn="0" w:lastRowFirstColumn="0" w:lastRowLastColumn="0"/>
            <w:tcW w:w="1729" w:type="pct"/>
          </w:tcPr>
          <w:p w14:paraId="164224D9" w14:textId="77777777" w:rsidR="00A81C4F" w:rsidRPr="00D412A0" w:rsidRDefault="00A81C4F" w:rsidP="00160B07">
            <w:pPr>
              <w:pStyle w:val="Normal-table"/>
            </w:pPr>
            <w:r w:rsidRPr="0015368E">
              <w:t>Cannonvale QGAP</w:t>
            </w:r>
          </w:p>
        </w:tc>
        <w:tc>
          <w:tcPr>
            <w:tcW w:w="3271" w:type="pct"/>
          </w:tcPr>
          <w:p w14:paraId="028C5A66" w14:textId="77777777" w:rsidR="00A81C4F" w:rsidRPr="00D412A0" w:rsidRDefault="00A81C4F" w:rsidP="00160B07">
            <w:pPr>
              <w:pStyle w:val="Normal-table"/>
              <w:cnfStyle w:val="000000000000" w:firstRow="0" w:lastRow="0" w:firstColumn="0" w:lastColumn="0" w:oddVBand="0" w:evenVBand="0" w:oddHBand="0" w:evenHBand="0" w:firstRowFirstColumn="0" w:firstRowLastColumn="0" w:lastRowFirstColumn="0" w:lastRowLastColumn="0"/>
            </w:pPr>
            <w:r w:rsidRPr="0015368E">
              <w:t>Shops 5–7, 11 Island Drive, Cannonvale QLD 4802</w:t>
            </w:r>
          </w:p>
        </w:tc>
      </w:tr>
      <w:tr w:rsidR="00A81C4F" w:rsidRPr="008F32E9" w14:paraId="228305DD" w14:textId="77777777" w:rsidTr="0016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pct"/>
          </w:tcPr>
          <w:p w14:paraId="5FF98D59" w14:textId="77777777" w:rsidR="00A81C4F" w:rsidRPr="00D412A0" w:rsidRDefault="00A81C4F" w:rsidP="00160B07">
            <w:pPr>
              <w:pStyle w:val="Normal-table"/>
            </w:pPr>
            <w:r w:rsidRPr="0015368E">
              <w:lastRenderedPageBreak/>
              <w:t>Childers QGAP</w:t>
            </w:r>
          </w:p>
        </w:tc>
        <w:tc>
          <w:tcPr>
            <w:tcW w:w="3271" w:type="pct"/>
          </w:tcPr>
          <w:p w14:paraId="03B06E45" w14:textId="77777777" w:rsidR="00A81C4F" w:rsidRPr="00D412A0" w:rsidRDefault="00A81C4F" w:rsidP="00160B07">
            <w:pPr>
              <w:pStyle w:val="Normal-table"/>
              <w:cnfStyle w:val="000000100000" w:firstRow="0" w:lastRow="0" w:firstColumn="0" w:lastColumn="0" w:oddVBand="0" w:evenVBand="0" w:oddHBand="1" w:evenHBand="0" w:firstRowFirstColumn="0" w:firstRowLastColumn="0" w:lastRowFirstColumn="0" w:lastRowLastColumn="0"/>
            </w:pPr>
            <w:r w:rsidRPr="0015368E">
              <w:t xml:space="preserve">Childers Magistrates </w:t>
            </w:r>
            <w:r w:rsidRPr="00D412A0">
              <w:t>Court, 67 Churchill Street, Childers QLD 4660</w:t>
            </w:r>
          </w:p>
        </w:tc>
      </w:tr>
      <w:tr w:rsidR="00A81C4F" w:rsidRPr="008F32E9" w14:paraId="3BE414B6" w14:textId="77777777" w:rsidTr="00160B07">
        <w:tc>
          <w:tcPr>
            <w:cnfStyle w:val="001000000000" w:firstRow="0" w:lastRow="0" w:firstColumn="1" w:lastColumn="0" w:oddVBand="0" w:evenVBand="0" w:oddHBand="0" w:evenHBand="0" w:firstRowFirstColumn="0" w:firstRowLastColumn="0" w:lastRowFirstColumn="0" w:lastRowLastColumn="0"/>
            <w:tcW w:w="1729" w:type="pct"/>
          </w:tcPr>
          <w:p w14:paraId="1784BCFD" w14:textId="77777777" w:rsidR="00A81C4F" w:rsidRPr="00D412A0" w:rsidRDefault="00A81C4F" w:rsidP="00160B07">
            <w:pPr>
              <w:pStyle w:val="Normal-table"/>
            </w:pPr>
            <w:r w:rsidRPr="0015368E">
              <w:t>Chinchilla QGAP</w:t>
            </w:r>
          </w:p>
        </w:tc>
        <w:tc>
          <w:tcPr>
            <w:tcW w:w="3271" w:type="pct"/>
          </w:tcPr>
          <w:p w14:paraId="5A52F73F" w14:textId="77777777" w:rsidR="00A81C4F" w:rsidRPr="00D412A0" w:rsidRDefault="00A81C4F" w:rsidP="00160B07">
            <w:pPr>
              <w:pStyle w:val="Normal-table"/>
              <w:cnfStyle w:val="000000000000" w:firstRow="0" w:lastRow="0" w:firstColumn="0" w:lastColumn="0" w:oddVBand="0" w:evenVBand="0" w:oddHBand="0" w:evenHBand="0" w:firstRowFirstColumn="0" w:firstRowLastColumn="0" w:lastRowFirstColumn="0" w:lastRowLastColumn="0"/>
            </w:pPr>
            <w:r w:rsidRPr="0015368E">
              <w:t xml:space="preserve">Chinchilla Magistrates Court, </w:t>
            </w:r>
            <w:r w:rsidRPr="00D412A0">
              <w:t>90 Heeney Street, Chinchilla QLD 4413</w:t>
            </w:r>
          </w:p>
        </w:tc>
      </w:tr>
      <w:tr w:rsidR="00A81C4F" w:rsidRPr="008F32E9" w14:paraId="2A0750CA" w14:textId="77777777" w:rsidTr="0016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pct"/>
          </w:tcPr>
          <w:p w14:paraId="37FB6861" w14:textId="77777777" w:rsidR="00A81C4F" w:rsidRPr="00D412A0" w:rsidRDefault="00A81C4F" w:rsidP="00160B07">
            <w:pPr>
              <w:pStyle w:val="Normal-table"/>
            </w:pPr>
            <w:r w:rsidRPr="00D412A0">
              <w:t>Camooweal QGAP</w:t>
            </w:r>
          </w:p>
        </w:tc>
        <w:tc>
          <w:tcPr>
            <w:tcW w:w="3271" w:type="pct"/>
          </w:tcPr>
          <w:p w14:paraId="42E0180C" w14:textId="77777777" w:rsidR="00A81C4F" w:rsidRPr="00D412A0" w:rsidRDefault="00A81C4F" w:rsidP="00160B07">
            <w:pPr>
              <w:pStyle w:val="Normal-table"/>
              <w:cnfStyle w:val="000000100000" w:firstRow="0" w:lastRow="0" w:firstColumn="0" w:lastColumn="0" w:oddVBand="0" w:evenVBand="0" w:oddHBand="1" w:evenHBand="0" w:firstRowFirstColumn="0" w:firstRowLastColumn="0" w:lastRowFirstColumn="0" w:lastRowLastColumn="0"/>
            </w:pPr>
            <w:r w:rsidRPr="00D412A0">
              <w:t>Barkly Street, Camooweal QLD 4828</w:t>
            </w:r>
          </w:p>
        </w:tc>
      </w:tr>
      <w:tr w:rsidR="00A81C4F" w:rsidRPr="008F32E9" w14:paraId="2396D674" w14:textId="77777777" w:rsidTr="00160B07">
        <w:tc>
          <w:tcPr>
            <w:cnfStyle w:val="001000000000" w:firstRow="0" w:lastRow="0" w:firstColumn="1" w:lastColumn="0" w:oddVBand="0" w:evenVBand="0" w:oddHBand="0" w:evenHBand="0" w:firstRowFirstColumn="0" w:firstRowLastColumn="0" w:lastRowFirstColumn="0" w:lastRowLastColumn="0"/>
            <w:tcW w:w="1729" w:type="pct"/>
          </w:tcPr>
          <w:p w14:paraId="75B31358" w14:textId="77777777" w:rsidR="00A81C4F" w:rsidRPr="00D412A0" w:rsidRDefault="00A81C4F" w:rsidP="00160B07">
            <w:pPr>
              <w:pStyle w:val="Normal-table"/>
            </w:pPr>
            <w:r w:rsidRPr="0015368E">
              <w:t>Clermont QGAP</w:t>
            </w:r>
          </w:p>
        </w:tc>
        <w:tc>
          <w:tcPr>
            <w:tcW w:w="3271" w:type="pct"/>
          </w:tcPr>
          <w:p w14:paraId="71FA1F7C" w14:textId="77777777" w:rsidR="00A81C4F" w:rsidRPr="00D412A0" w:rsidRDefault="00A81C4F" w:rsidP="00160B07">
            <w:pPr>
              <w:pStyle w:val="Normal-table"/>
              <w:cnfStyle w:val="000000000000" w:firstRow="0" w:lastRow="0" w:firstColumn="0" w:lastColumn="0" w:oddVBand="0" w:evenVBand="0" w:oddHBand="0" w:evenHBand="0" w:firstRowFirstColumn="0" w:firstRowLastColumn="0" w:lastRowFirstColumn="0" w:lastRowLastColumn="0"/>
            </w:pPr>
            <w:r w:rsidRPr="0015368E">
              <w:t>Clermont Magistrates Court, 44 Daintree Street, Clermont QLD 4721</w:t>
            </w:r>
          </w:p>
        </w:tc>
      </w:tr>
      <w:tr w:rsidR="00A81C4F" w:rsidRPr="008F32E9" w14:paraId="3CF05A06" w14:textId="77777777" w:rsidTr="0016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pct"/>
          </w:tcPr>
          <w:p w14:paraId="6CADE419" w14:textId="77777777" w:rsidR="00A81C4F" w:rsidRPr="00D412A0" w:rsidRDefault="00A81C4F" w:rsidP="00160B07">
            <w:pPr>
              <w:pStyle w:val="Normal-table"/>
            </w:pPr>
            <w:r w:rsidRPr="00D412A0">
              <w:t>Collinsville QGAP</w:t>
            </w:r>
          </w:p>
        </w:tc>
        <w:tc>
          <w:tcPr>
            <w:tcW w:w="3271" w:type="pct"/>
          </w:tcPr>
          <w:p w14:paraId="6614899E" w14:textId="77777777" w:rsidR="00A81C4F" w:rsidRPr="00D412A0" w:rsidRDefault="00A81C4F" w:rsidP="00160B07">
            <w:pPr>
              <w:pStyle w:val="Normal-table"/>
              <w:cnfStyle w:val="000000100000" w:firstRow="0" w:lastRow="0" w:firstColumn="0" w:lastColumn="0" w:oddVBand="0" w:evenVBand="0" w:oddHBand="1" w:evenHBand="0" w:firstRowFirstColumn="0" w:firstRowLastColumn="0" w:lastRowFirstColumn="0" w:lastRowLastColumn="0"/>
            </w:pPr>
            <w:r w:rsidRPr="00D412A0">
              <w:t>64 Sonoma Street, Collinsville QLD 4804</w:t>
            </w:r>
          </w:p>
        </w:tc>
      </w:tr>
      <w:tr w:rsidR="00A81C4F" w:rsidRPr="008F32E9" w14:paraId="538F062D" w14:textId="77777777" w:rsidTr="00160B07">
        <w:tc>
          <w:tcPr>
            <w:cnfStyle w:val="001000000000" w:firstRow="0" w:lastRow="0" w:firstColumn="1" w:lastColumn="0" w:oddVBand="0" w:evenVBand="0" w:oddHBand="0" w:evenHBand="0" w:firstRowFirstColumn="0" w:firstRowLastColumn="0" w:lastRowFirstColumn="0" w:lastRowLastColumn="0"/>
            <w:tcW w:w="1729" w:type="pct"/>
          </w:tcPr>
          <w:p w14:paraId="6BBA7A09" w14:textId="77777777" w:rsidR="00A81C4F" w:rsidRPr="00D412A0" w:rsidRDefault="00A81C4F" w:rsidP="00160B07">
            <w:pPr>
              <w:pStyle w:val="Normal-table"/>
            </w:pPr>
            <w:r w:rsidRPr="00D412A0">
              <w:t>Cooktown QGAP</w:t>
            </w:r>
          </w:p>
        </w:tc>
        <w:tc>
          <w:tcPr>
            <w:tcW w:w="3271" w:type="pct"/>
          </w:tcPr>
          <w:p w14:paraId="6BE88DA6" w14:textId="77777777" w:rsidR="00A81C4F" w:rsidRPr="00D412A0" w:rsidRDefault="00A81C4F" w:rsidP="00160B07">
            <w:pPr>
              <w:pStyle w:val="Normal-table"/>
              <w:cnfStyle w:val="000000000000" w:firstRow="0" w:lastRow="0" w:firstColumn="0" w:lastColumn="0" w:oddVBand="0" w:evenVBand="0" w:oddHBand="0" w:evenHBand="0" w:firstRowFirstColumn="0" w:firstRowLastColumn="0" w:lastRowFirstColumn="0" w:lastRowLastColumn="0"/>
            </w:pPr>
            <w:r w:rsidRPr="00D412A0">
              <w:t>172 Charlotte Street, Cooktown QLD 4895</w:t>
            </w:r>
          </w:p>
        </w:tc>
      </w:tr>
      <w:tr w:rsidR="00A81C4F" w:rsidRPr="008F32E9" w14:paraId="7D69E0B6" w14:textId="77777777" w:rsidTr="0016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pct"/>
          </w:tcPr>
          <w:p w14:paraId="30ECC357" w14:textId="77777777" w:rsidR="00A81C4F" w:rsidRPr="00D412A0" w:rsidRDefault="00A81C4F" w:rsidP="00160B07">
            <w:pPr>
              <w:pStyle w:val="Normal-table"/>
            </w:pPr>
            <w:r w:rsidRPr="00D412A0">
              <w:t>Crow's Nest QGAP</w:t>
            </w:r>
          </w:p>
        </w:tc>
        <w:tc>
          <w:tcPr>
            <w:tcW w:w="3271" w:type="pct"/>
          </w:tcPr>
          <w:p w14:paraId="060EB607" w14:textId="77777777" w:rsidR="00A81C4F" w:rsidRPr="00D412A0" w:rsidRDefault="00A81C4F" w:rsidP="00160B07">
            <w:pPr>
              <w:pStyle w:val="Normal-table"/>
              <w:cnfStyle w:val="000000100000" w:firstRow="0" w:lastRow="0" w:firstColumn="0" w:lastColumn="0" w:oddVBand="0" w:evenVBand="0" w:oddHBand="1" w:evenHBand="0" w:firstRowFirstColumn="0" w:firstRowLastColumn="0" w:lastRowFirstColumn="0" w:lastRowLastColumn="0"/>
            </w:pPr>
            <w:r w:rsidRPr="00D412A0">
              <w:t>16 Charlotte Street, Crow's Nest QLD 4355</w:t>
            </w:r>
          </w:p>
        </w:tc>
      </w:tr>
      <w:tr w:rsidR="00A81C4F" w:rsidRPr="008F32E9" w14:paraId="2F9280BD" w14:textId="77777777" w:rsidTr="00160B07">
        <w:tc>
          <w:tcPr>
            <w:cnfStyle w:val="001000000000" w:firstRow="0" w:lastRow="0" w:firstColumn="1" w:lastColumn="0" w:oddVBand="0" w:evenVBand="0" w:oddHBand="0" w:evenHBand="0" w:firstRowFirstColumn="0" w:firstRowLastColumn="0" w:lastRowFirstColumn="0" w:lastRowLastColumn="0"/>
            <w:tcW w:w="1729" w:type="pct"/>
          </w:tcPr>
          <w:p w14:paraId="61DEB2D5" w14:textId="77777777" w:rsidR="00A81C4F" w:rsidRPr="00D412A0" w:rsidRDefault="00A81C4F" w:rsidP="00160B07">
            <w:pPr>
              <w:pStyle w:val="Normal-table"/>
            </w:pPr>
            <w:r w:rsidRPr="00D412A0">
              <w:t>Croydon QGAP</w:t>
            </w:r>
          </w:p>
        </w:tc>
        <w:tc>
          <w:tcPr>
            <w:tcW w:w="3271" w:type="pct"/>
          </w:tcPr>
          <w:p w14:paraId="377F7404" w14:textId="77777777" w:rsidR="00A81C4F" w:rsidRPr="00D412A0" w:rsidRDefault="00A81C4F" w:rsidP="00160B07">
            <w:pPr>
              <w:pStyle w:val="Normal-table"/>
              <w:cnfStyle w:val="000000000000" w:firstRow="0" w:lastRow="0" w:firstColumn="0" w:lastColumn="0" w:oddVBand="0" w:evenVBand="0" w:oddHBand="0" w:evenHBand="0" w:firstRowFirstColumn="0" w:firstRowLastColumn="0" w:lastRowFirstColumn="0" w:lastRowLastColumn="0"/>
            </w:pPr>
            <w:r w:rsidRPr="00D412A0">
              <w:t>Samwell Street, Croydon QLD 4871</w:t>
            </w:r>
          </w:p>
        </w:tc>
      </w:tr>
      <w:tr w:rsidR="00A81C4F" w:rsidRPr="008F32E9" w14:paraId="20537B09" w14:textId="77777777" w:rsidTr="0016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pct"/>
          </w:tcPr>
          <w:p w14:paraId="2261B0D9" w14:textId="77777777" w:rsidR="00A81C4F" w:rsidRPr="00D412A0" w:rsidRDefault="00A81C4F" w:rsidP="00160B07">
            <w:pPr>
              <w:pStyle w:val="Normal-table"/>
            </w:pPr>
            <w:r w:rsidRPr="0015368E">
              <w:t>Cunnamulla QGAP</w:t>
            </w:r>
          </w:p>
        </w:tc>
        <w:tc>
          <w:tcPr>
            <w:tcW w:w="3271" w:type="pct"/>
          </w:tcPr>
          <w:p w14:paraId="18CA34AC" w14:textId="77777777" w:rsidR="00A81C4F" w:rsidRPr="00D412A0" w:rsidRDefault="00A81C4F" w:rsidP="00160B07">
            <w:pPr>
              <w:pStyle w:val="Normal-table"/>
              <w:cnfStyle w:val="000000100000" w:firstRow="0" w:lastRow="0" w:firstColumn="0" w:lastColumn="0" w:oddVBand="0" w:evenVBand="0" w:oddHBand="1" w:evenHBand="0" w:firstRowFirstColumn="0" w:firstRowLastColumn="0" w:lastRowFirstColumn="0" w:lastRowLastColumn="0"/>
            </w:pPr>
            <w:r w:rsidRPr="0015368E">
              <w:t>Cunnamulla Magistrates Court, 5 Stockyard Street, Cunnamulla QLD 4490</w:t>
            </w:r>
          </w:p>
        </w:tc>
      </w:tr>
      <w:tr w:rsidR="00A81C4F" w:rsidRPr="008F32E9" w14:paraId="12A1D015" w14:textId="77777777" w:rsidTr="00160B07">
        <w:tc>
          <w:tcPr>
            <w:cnfStyle w:val="001000000000" w:firstRow="0" w:lastRow="0" w:firstColumn="1" w:lastColumn="0" w:oddVBand="0" w:evenVBand="0" w:oddHBand="0" w:evenHBand="0" w:firstRowFirstColumn="0" w:firstRowLastColumn="0" w:lastRowFirstColumn="0" w:lastRowLastColumn="0"/>
            <w:tcW w:w="1729" w:type="pct"/>
          </w:tcPr>
          <w:p w14:paraId="3DA3C5DC" w14:textId="77777777" w:rsidR="00A81C4F" w:rsidRPr="00D412A0" w:rsidRDefault="00A81C4F" w:rsidP="00160B07">
            <w:pPr>
              <w:pStyle w:val="Normal-table"/>
            </w:pPr>
            <w:r w:rsidRPr="00D412A0">
              <w:t>Dirranbandi QGAP</w:t>
            </w:r>
          </w:p>
        </w:tc>
        <w:tc>
          <w:tcPr>
            <w:tcW w:w="3271" w:type="pct"/>
          </w:tcPr>
          <w:p w14:paraId="4EEA6E99" w14:textId="77777777" w:rsidR="00A81C4F" w:rsidRPr="00D412A0" w:rsidRDefault="00A81C4F" w:rsidP="00160B07">
            <w:pPr>
              <w:pStyle w:val="Normal-table"/>
              <w:cnfStyle w:val="000000000000" w:firstRow="0" w:lastRow="0" w:firstColumn="0" w:lastColumn="0" w:oddVBand="0" w:evenVBand="0" w:oddHBand="0" w:evenHBand="0" w:firstRowFirstColumn="0" w:firstRowLastColumn="0" w:lastRowFirstColumn="0" w:lastRowLastColumn="0"/>
            </w:pPr>
            <w:r w:rsidRPr="00D412A0">
              <w:t>35 - 37 Railway Street, Dirranbandi QLD 4486</w:t>
            </w:r>
          </w:p>
        </w:tc>
      </w:tr>
      <w:tr w:rsidR="00A81C4F" w:rsidRPr="008F32E9" w14:paraId="74905132" w14:textId="77777777" w:rsidTr="0016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pct"/>
          </w:tcPr>
          <w:p w14:paraId="64B869B4" w14:textId="77777777" w:rsidR="00A81C4F" w:rsidRPr="00D412A0" w:rsidRDefault="00A81C4F" w:rsidP="00160B07">
            <w:pPr>
              <w:pStyle w:val="Normal-table"/>
            </w:pPr>
            <w:r w:rsidRPr="00D412A0">
              <w:t>Eidsvold QGAP</w:t>
            </w:r>
          </w:p>
        </w:tc>
        <w:tc>
          <w:tcPr>
            <w:tcW w:w="3271" w:type="pct"/>
          </w:tcPr>
          <w:p w14:paraId="11BC0173" w14:textId="77777777" w:rsidR="00A81C4F" w:rsidRPr="00D412A0" w:rsidRDefault="00A81C4F" w:rsidP="00160B07">
            <w:pPr>
              <w:pStyle w:val="Normal-table"/>
              <w:cnfStyle w:val="000000100000" w:firstRow="0" w:lastRow="0" w:firstColumn="0" w:lastColumn="0" w:oddVBand="0" w:evenVBand="0" w:oddHBand="1" w:evenHBand="0" w:firstRowFirstColumn="0" w:firstRowLastColumn="0" w:lastRowFirstColumn="0" w:lastRowLastColumn="0"/>
            </w:pPr>
            <w:r w:rsidRPr="00D412A0">
              <w:t>48 Moreton St, Eidsvold QLD 4627</w:t>
            </w:r>
          </w:p>
        </w:tc>
      </w:tr>
      <w:tr w:rsidR="00A81C4F" w:rsidRPr="008F32E9" w14:paraId="17D12E41" w14:textId="77777777" w:rsidTr="00160B07">
        <w:tc>
          <w:tcPr>
            <w:cnfStyle w:val="001000000000" w:firstRow="0" w:lastRow="0" w:firstColumn="1" w:lastColumn="0" w:oddVBand="0" w:evenVBand="0" w:oddHBand="0" w:evenHBand="0" w:firstRowFirstColumn="0" w:firstRowLastColumn="0" w:lastRowFirstColumn="0" w:lastRowLastColumn="0"/>
            <w:tcW w:w="1729" w:type="pct"/>
          </w:tcPr>
          <w:p w14:paraId="5F87E2BF" w14:textId="77777777" w:rsidR="00A81C4F" w:rsidRPr="00D412A0" w:rsidRDefault="00A81C4F" w:rsidP="00160B07">
            <w:pPr>
              <w:pStyle w:val="Normal-table"/>
            </w:pPr>
            <w:r w:rsidRPr="0015368E">
              <w:t>Gatton QGAP</w:t>
            </w:r>
          </w:p>
        </w:tc>
        <w:tc>
          <w:tcPr>
            <w:tcW w:w="3271" w:type="pct"/>
          </w:tcPr>
          <w:p w14:paraId="7B12B5B1" w14:textId="77777777" w:rsidR="00A81C4F" w:rsidRPr="00D412A0" w:rsidRDefault="00A81C4F" w:rsidP="00160B07">
            <w:pPr>
              <w:pStyle w:val="Normal-table"/>
              <w:cnfStyle w:val="000000000000" w:firstRow="0" w:lastRow="0" w:firstColumn="0" w:lastColumn="0" w:oddVBand="0" w:evenVBand="0" w:oddHBand="0" w:evenHBand="0" w:firstRowFirstColumn="0" w:firstRowLastColumn="0" w:lastRowFirstColumn="0" w:lastRowLastColumn="0"/>
            </w:pPr>
            <w:r w:rsidRPr="0015368E">
              <w:t>7 William Street, Gatton, Qld, 4343</w:t>
            </w:r>
          </w:p>
        </w:tc>
      </w:tr>
      <w:tr w:rsidR="00A81C4F" w:rsidRPr="008F32E9" w14:paraId="4D8AA891" w14:textId="77777777" w:rsidTr="0016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pct"/>
          </w:tcPr>
          <w:p w14:paraId="4EE83D44" w14:textId="77777777" w:rsidR="00A81C4F" w:rsidRPr="00D412A0" w:rsidRDefault="00A81C4F" w:rsidP="00160B07">
            <w:pPr>
              <w:pStyle w:val="Normal-table"/>
            </w:pPr>
            <w:r w:rsidRPr="0015368E">
              <w:t>Gayndah QGAP</w:t>
            </w:r>
          </w:p>
        </w:tc>
        <w:tc>
          <w:tcPr>
            <w:tcW w:w="3271" w:type="pct"/>
          </w:tcPr>
          <w:p w14:paraId="3E8348BF" w14:textId="77777777" w:rsidR="00A81C4F" w:rsidRPr="00D412A0" w:rsidRDefault="00A81C4F" w:rsidP="00160B07">
            <w:pPr>
              <w:pStyle w:val="Normal-table"/>
              <w:cnfStyle w:val="000000100000" w:firstRow="0" w:lastRow="0" w:firstColumn="0" w:lastColumn="0" w:oddVBand="0" w:evenVBand="0" w:oddHBand="1" w:evenHBand="0" w:firstRowFirstColumn="0" w:firstRowLastColumn="0" w:lastRowFirstColumn="0" w:lastRowLastColumn="0"/>
            </w:pPr>
            <w:r w:rsidRPr="0015368E">
              <w:t>Gayndah Magistrates Court, 20 Capper Street, Gayndah QLD 4625</w:t>
            </w:r>
          </w:p>
        </w:tc>
      </w:tr>
      <w:tr w:rsidR="00A81C4F" w:rsidRPr="008F32E9" w14:paraId="05DC659C" w14:textId="77777777" w:rsidTr="00160B07">
        <w:tc>
          <w:tcPr>
            <w:cnfStyle w:val="001000000000" w:firstRow="0" w:lastRow="0" w:firstColumn="1" w:lastColumn="0" w:oddVBand="0" w:evenVBand="0" w:oddHBand="0" w:evenHBand="0" w:firstRowFirstColumn="0" w:firstRowLastColumn="0" w:lastRowFirstColumn="0" w:lastRowLastColumn="0"/>
            <w:tcW w:w="1729" w:type="pct"/>
          </w:tcPr>
          <w:p w14:paraId="5B71B311" w14:textId="77777777" w:rsidR="00A81C4F" w:rsidRPr="00D412A0" w:rsidRDefault="00A81C4F" w:rsidP="00160B07">
            <w:pPr>
              <w:pStyle w:val="Normal-table"/>
            </w:pPr>
            <w:r w:rsidRPr="00D412A0">
              <w:t>Georgetown QGAP</w:t>
            </w:r>
          </w:p>
        </w:tc>
        <w:tc>
          <w:tcPr>
            <w:tcW w:w="3271" w:type="pct"/>
          </w:tcPr>
          <w:p w14:paraId="33EF7EB3" w14:textId="77777777" w:rsidR="00A81C4F" w:rsidRPr="00D412A0" w:rsidRDefault="00A81C4F" w:rsidP="00160B07">
            <w:pPr>
              <w:pStyle w:val="Normal-table"/>
              <w:cnfStyle w:val="000000000000" w:firstRow="0" w:lastRow="0" w:firstColumn="0" w:lastColumn="0" w:oddVBand="0" w:evenVBand="0" w:oddHBand="0" w:evenHBand="0" w:firstRowFirstColumn="0" w:firstRowLastColumn="0" w:lastRowFirstColumn="0" w:lastRowLastColumn="0"/>
            </w:pPr>
            <w:r w:rsidRPr="00D412A0">
              <w:t>12 High Street, Georgetown QLD 4871</w:t>
            </w:r>
          </w:p>
        </w:tc>
      </w:tr>
      <w:tr w:rsidR="00A81C4F" w:rsidRPr="008F32E9" w14:paraId="7A6F760B" w14:textId="77777777" w:rsidTr="0016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pct"/>
          </w:tcPr>
          <w:p w14:paraId="7332B735" w14:textId="77777777" w:rsidR="00A81C4F" w:rsidRPr="00D412A0" w:rsidRDefault="00A81C4F" w:rsidP="00160B07">
            <w:pPr>
              <w:pStyle w:val="Normal-table"/>
            </w:pPr>
            <w:r w:rsidRPr="00D412A0">
              <w:t>Goombungee QGAP</w:t>
            </w:r>
          </w:p>
        </w:tc>
        <w:tc>
          <w:tcPr>
            <w:tcW w:w="3271" w:type="pct"/>
          </w:tcPr>
          <w:p w14:paraId="7BAB6C87" w14:textId="77777777" w:rsidR="00A81C4F" w:rsidRPr="00D412A0" w:rsidRDefault="00A81C4F" w:rsidP="00160B07">
            <w:pPr>
              <w:pStyle w:val="Normal-table"/>
              <w:cnfStyle w:val="000000100000" w:firstRow="0" w:lastRow="0" w:firstColumn="0" w:lastColumn="0" w:oddVBand="0" w:evenVBand="0" w:oddHBand="1" w:evenHBand="0" w:firstRowFirstColumn="0" w:firstRowLastColumn="0" w:lastRowFirstColumn="0" w:lastRowLastColumn="0"/>
            </w:pPr>
            <w:r w:rsidRPr="00D412A0">
              <w:t>89 Mocatta Street, Goombungee QLD 4354</w:t>
            </w:r>
          </w:p>
        </w:tc>
      </w:tr>
      <w:tr w:rsidR="00A81C4F" w:rsidRPr="008F32E9" w14:paraId="45F50E59" w14:textId="77777777" w:rsidTr="00160B07">
        <w:tc>
          <w:tcPr>
            <w:cnfStyle w:val="001000000000" w:firstRow="0" w:lastRow="0" w:firstColumn="1" w:lastColumn="0" w:oddVBand="0" w:evenVBand="0" w:oddHBand="0" w:evenHBand="0" w:firstRowFirstColumn="0" w:firstRowLastColumn="0" w:lastRowFirstColumn="0" w:lastRowLastColumn="0"/>
            <w:tcW w:w="1729" w:type="pct"/>
          </w:tcPr>
          <w:p w14:paraId="21107FB4" w14:textId="77777777" w:rsidR="00A81C4F" w:rsidRPr="00D412A0" w:rsidRDefault="00A81C4F" w:rsidP="00160B07">
            <w:pPr>
              <w:pStyle w:val="Normal-table"/>
            </w:pPr>
            <w:r w:rsidRPr="00D412A0">
              <w:t>Herberton QGAP</w:t>
            </w:r>
          </w:p>
        </w:tc>
        <w:tc>
          <w:tcPr>
            <w:tcW w:w="3271" w:type="pct"/>
          </w:tcPr>
          <w:p w14:paraId="10FFF209" w14:textId="77777777" w:rsidR="00A81C4F" w:rsidRPr="00D412A0" w:rsidRDefault="00A81C4F" w:rsidP="00160B07">
            <w:pPr>
              <w:pStyle w:val="Normal-table"/>
              <w:cnfStyle w:val="000000000000" w:firstRow="0" w:lastRow="0" w:firstColumn="0" w:lastColumn="0" w:oddVBand="0" w:evenVBand="0" w:oddHBand="0" w:evenHBand="0" w:firstRowFirstColumn="0" w:firstRowLastColumn="0" w:lastRowFirstColumn="0" w:lastRowLastColumn="0"/>
            </w:pPr>
            <w:r w:rsidRPr="00D412A0">
              <w:t>56 Grace Street, Herberton QLD 4887</w:t>
            </w:r>
          </w:p>
        </w:tc>
      </w:tr>
      <w:tr w:rsidR="00A81C4F" w:rsidRPr="008F32E9" w14:paraId="770EF533" w14:textId="77777777" w:rsidTr="0016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pct"/>
          </w:tcPr>
          <w:p w14:paraId="65344652" w14:textId="77777777" w:rsidR="00A81C4F" w:rsidRPr="00D412A0" w:rsidRDefault="00A81C4F" w:rsidP="00160B07">
            <w:pPr>
              <w:pStyle w:val="Normal-table"/>
            </w:pPr>
            <w:r w:rsidRPr="00D412A0">
              <w:t>Hughenden QGAP</w:t>
            </w:r>
          </w:p>
        </w:tc>
        <w:tc>
          <w:tcPr>
            <w:tcW w:w="3271" w:type="pct"/>
          </w:tcPr>
          <w:p w14:paraId="217A9766" w14:textId="77777777" w:rsidR="00A81C4F" w:rsidRPr="00D412A0" w:rsidRDefault="00A81C4F" w:rsidP="00160B07">
            <w:pPr>
              <w:pStyle w:val="Normal-table"/>
              <w:cnfStyle w:val="000000100000" w:firstRow="0" w:lastRow="0" w:firstColumn="0" w:lastColumn="0" w:oddVBand="0" w:evenVBand="0" w:oddHBand="1" w:evenHBand="0" w:firstRowFirstColumn="0" w:firstRowLastColumn="0" w:lastRowFirstColumn="0" w:lastRowLastColumn="0"/>
            </w:pPr>
            <w:r w:rsidRPr="00D412A0">
              <w:t>65 Brodie Street, Hughenden QLD 4821</w:t>
            </w:r>
          </w:p>
        </w:tc>
      </w:tr>
      <w:tr w:rsidR="00A81C4F" w:rsidRPr="008F32E9" w14:paraId="6103814B" w14:textId="77777777" w:rsidTr="00160B07">
        <w:tc>
          <w:tcPr>
            <w:cnfStyle w:val="001000000000" w:firstRow="0" w:lastRow="0" w:firstColumn="1" w:lastColumn="0" w:oddVBand="0" w:evenVBand="0" w:oddHBand="0" w:evenHBand="0" w:firstRowFirstColumn="0" w:firstRowLastColumn="0" w:lastRowFirstColumn="0" w:lastRowLastColumn="0"/>
            <w:tcW w:w="1729" w:type="pct"/>
          </w:tcPr>
          <w:p w14:paraId="13E19ADE" w14:textId="77777777" w:rsidR="00A81C4F" w:rsidRPr="00D412A0" w:rsidRDefault="00A81C4F" w:rsidP="00160B07">
            <w:pPr>
              <w:pStyle w:val="Normal-table"/>
            </w:pPr>
            <w:r w:rsidRPr="0015368E">
              <w:t>Ingham QGAP</w:t>
            </w:r>
          </w:p>
        </w:tc>
        <w:tc>
          <w:tcPr>
            <w:tcW w:w="3271" w:type="pct"/>
          </w:tcPr>
          <w:p w14:paraId="50FEFB82" w14:textId="77777777" w:rsidR="00A81C4F" w:rsidRPr="00D412A0" w:rsidRDefault="00A81C4F" w:rsidP="00160B07">
            <w:pPr>
              <w:pStyle w:val="Normal-table"/>
              <w:cnfStyle w:val="000000000000" w:firstRow="0" w:lastRow="0" w:firstColumn="0" w:lastColumn="0" w:oddVBand="0" w:evenVBand="0" w:oddHBand="0" w:evenHBand="0" w:firstRowFirstColumn="0" w:firstRowLastColumn="0" w:lastRowFirstColumn="0" w:lastRowLastColumn="0"/>
            </w:pPr>
            <w:r w:rsidRPr="0015368E">
              <w:t>Ingham Magistrates Court, 35 Palm Terrace, Ingham QLD 4850</w:t>
            </w:r>
          </w:p>
        </w:tc>
      </w:tr>
      <w:tr w:rsidR="00A81C4F" w:rsidRPr="008F32E9" w14:paraId="2667806F" w14:textId="77777777" w:rsidTr="0016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pct"/>
          </w:tcPr>
          <w:p w14:paraId="5E83F6A2" w14:textId="77777777" w:rsidR="00A81C4F" w:rsidRPr="00D412A0" w:rsidRDefault="00A81C4F" w:rsidP="00160B07">
            <w:pPr>
              <w:pStyle w:val="Normal-table"/>
            </w:pPr>
            <w:r w:rsidRPr="0015368E">
              <w:t>Inglewood QGAP</w:t>
            </w:r>
          </w:p>
        </w:tc>
        <w:tc>
          <w:tcPr>
            <w:tcW w:w="3271" w:type="pct"/>
          </w:tcPr>
          <w:p w14:paraId="07997D45" w14:textId="77777777" w:rsidR="00A81C4F" w:rsidRPr="00D412A0" w:rsidRDefault="00A81C4F" w:rsidP="00160B07">
            <w:pPr>
              <w:pStyle w:val="Normal-table"/>
              <w:cnfStyle w:val="000000100000" w:firstRow="0" w:lastRow="0" w:firstColumn="0" w:lastColumn="0" w:oddVBand="0" w:evenVBand="0" w:oddHBand="1" w:evenHBand="0" w:firstRowFirstColumn="0" w:firstRowLastColumn="0" w:lastRowFirstColumn="0" w:lastRowLastColumn="0"/>
            </w:pPr>
            <w:r w:rsidRPr="0015368E">
              <w:t>25 Albert Street, Inglewood QLD 4387</w:t>
            </w:r>
          </w:p>
        </w:tc>
      </w:tr>
      <w:tr w:rsidR="00A81C4F" w:rsidRPr="008F32E9" w14:paraId="5F4DF844" w14:textId="77777777" w:rsidTr="00160B07">
        <w:tc>
          <w:tcPr>
            <w:cnfStyle w:val="001000000000" w:firstRow="0" w:lastRow="0" w:firstColumn="1" w:lastColumn="0" w:oddVBand="0" w:evenVBand="0" w:oddHBand="0" w:evenHBand="0" w:firstRowFirstColumn="0" w:firstRowLastColumn="0" w:lastRowFirstColumn="0" w:lastRowLastColumn="0"/>
            <w:tcW w:w="1729" w:type="pct"/>
          </w:tcPr>
          <w:p w14:paraId="6BB6D6EC" w14:textId="77777777" w:rsidR="00A81C4F" w:rsidRPr="00D412A0" w:rsidRDefault="00A81C4F" w:rsidP="00160B07">
            <w:pPr>
              <w:pStyle w:val="Normal-table"/>
            </w:pPr>
            <w:r w:rsidRPr="00D412A0">
              <w:t>Injune QGAP</w:t>
            </w:r>
          </w:p>
        </w:tc>
        <w:tc>
          <w:tcPr>
            <w:tcW w:w="3271" w:type="pct"/>
          </w:tcPr>
          <w:p w14:paraId="60600934" w14:textId="77777777" w:rsidR="00A81C4F" w:rsidRPr="00D412A0" w:rsidRDefault="00A81C4F" w:rsidP="00160B07">
            <w:pPr>
              <w:pStyle w:val="Normal-table"/>
              <w:cnfStyle w:val="000000000000" w:firstRow="0" w:lastRow="0" w:firstColumn="0" w:lastColumn="0" w:oddVBand="0" w:evenVBand="0" w:oddHBand="0" w:evenHBand="0" w:firstRowFirstColumn="0" w:firstRowLastColumn="0" w:lastRowFirstColumn="0" w:lastRowLastColumn="0"/>
            </w:pPr>
            <w:r w:rsidRPr="00D412A0">
              <w:t>Hutton Street, Injune QLD 4454</w:t>
            </w:r>
          </w:p>
        </w:tc>
      </w:tr>
      <w:tr w:rsidR="00A81C4F" w:rsidRPr="008F32E9" w14:paraId="7A42AB96" w14:textId="77777777" w:rsidTr="0016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pct"/>
          </w:tcPr>
          <w:p w14:paraId="4D3A2384" w14:textId="77777777" w:rsidR="00A81C4F" w:rsidRPr="00D412A0" w:rsidRDefault="00A81C4F" w:rsidP="00160B07">
            <w:pPr>
              <w:pStyle w:val="Normal-table"/>
            </w:pPr>
            <w:r w:rsidRPr="00D412A0">
              <w:t>Isisford QGAP</w:t>
            </w:r>
          </w:p>
        </w:tc>
        <w:tc>
          <w:tcPr>
            <w:tcW w:w="3271" w:type="pct"/>
          </w:tcPr>
          <w:p w14:paraId="4A715E7D" w14:textId="77777777" w:rsidR="00A81C4F" w:rsidRPr="00D412A0" w:rsidRDefault="00A81C4F" w:rsidP="00160B07">
            <w:pPr>
              <w:pStyle w:val="Normal-table"/>
              <w:cnfStyle w:val="000000100000" w:firstRow="0" w:lastRow="0" w:firstColumn="0" w:lastColumn="0" w:oddVBand="0" w:evenVBand="0" w:oddHBand="1" w:evenHBand="0" w:firstRowFirstColumn="0" w:firstRowLastColumn="0" w:lastRowFirstColumn="0" w:lastRowLastColumn="0"/>
            </w:pPr>
            <w:r w:rsidRPr="00D412A0">
              <w:t>Police Station, St Mary Street, Isisford QLD 4731</w:t>
            </w:r>
          </w:p>
        </w:tc>
      </w:tr>
      <w:tr w:rsidR="00A81C4F" w:rsidRPr="008F32E9" w14:paraId="003A4959" w14:textId="77777777" w:rsidTr="00160B07">
        <w:tc>
          <w:tcPr>
            <w:cnfStyle w:val="001000000000" w:firstRow="0" w:lastRow="0" w:firstColumn="1" w:lastColumn="0" w:oddVBand="0" w:evenVBand="0" w:oddHBand="0" w:evenHBand="0" w:firstRowFirstColumn="0" w:firstRowLastColumn="0" w:lastRowFirstColumn="0" w:lastRowLastColumn="0"/>
            <w:tcW w:w="1729" w:type="pct"/>
          </w:tcPr>
          <w:p w14:paraId="6ABD92F3" w14:textId="77777777" w:rsidR="00A81C4F" w:rsidRPr="00D412A0" w:rsidRDefault="00A81C4F" w:rsidP="00160B07">
            <w:pPr>
              <w:pStyle w:val="Normal-table"/>
            </w:pPr>
            <w:r w:rsidRPr="00D412A0">
              <w:t>Jandowae QGAP</w:t>
            </w:r>
          </w:p>
        </w:tc>
        <w:tc>
          <w:tcPr>
            <w:tcW w:w="3271" w:type="pct"/>
          </w:tcPr>
          <w:p w14:paraId="05BB5F0E" w14:textId="77777777" w:rsidR="00A81C4F" w:rsidRPr="00D412A0" w:rsidRDefault="00A81C4F" w:rsidP="00160B07">
            <w:pPr>
              <w:pStyle w:val="Normal-table"/>
              <w:cnfStyle w:val="000000000000" w:firstRow="0" w:lastRow="0" w:firstColumn="0" w:lastColumn="0" w:oddVBand="0" w:evenVBand="0" w:oddHBand="0" w:evenHBand="0" w:firstRowFirstColumn="0" w:firstRowLastColumn="0" w:lastRowFirstColumn="0" w:lastRowLastColumn="0"/>
            </w:pPr>
            <w:r w:rsidRPr="00D412A0">
              <w:t>Cnr George &amp; High Sts, Jandowae QLD 4410</w:t>
            </w:r>
          </w:p>
        </w:tc>
      </w:tr>
      <w:tr w:rsidR="00A81C4F" w:rsidRPr="008F32E9" w14:paraId="276B56F9" w14:textId="77777777" w:rsidTr="0016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pct"/>
          </w:tcPr>
          <w:p w14:paraId="571C83B8" w14:textId="77777777" w:rsidR="00A81C4F" w:rsidRPr="00D412A0" w:rsidRDefault="00A81C4F" w:rsidP="00160B07">
            <w:pPr>
              <w:pStyle w:val="Normal-table"/>
            </w:pPr>
            <w:r w:rsidRPr="0026571B">
              <w:t>Julia Creek QGAP</w:t>
            </w:r>
          </w:p>
        </w:tc>
        <w:tc>
          <w:tcPr>
            <w:tcW w:w="3271" w:type="pct"/>
          </w:tcPr>
          <w:p w14:paraId="7BF60002" w14:textId="77777777" w:rsidR="00A81C4F" w:rsidRPr="00D412A0" w:rsidRDefault="00A81C4F" w:rsidP="00160B07">
            <w:pPr>
              <w:pStyle w:val="Normal-table"/>
              <w:cnfStyle w:val="000000100000" w:firstRow="0" w:lastRow="0" w:firstColumn="0" w:lastColumn="0" w:oddVBand="0" w:evenVBand="0" w:oddHBand="1" w:evenHBand="0" w:firstRowFirstColumn="0" w:firstRowLastColumn="0" w:lastRowFirstColumn="0" w:lastRowLastColumn="0"/>
            </w:pPr>
            <w:r w:rsidRPr="0026571B">
              <w:t>Julia Creek Magistrates Court, 14 Burke Street, Julia Creek QLD 4823</w:t>
            </w:r>
          </w:p>
        </w:tc>
      </w:tr>
      <w:tr w:rsidR="00A81C4F" w:rsidRPr="008F32E9" w14:paraId="27C21150" w14:textId="77777777" w:rsidTr="00160B07">
        <w:tc>
          <w:tcPr>
            <w:cnfStyle w:val="001000000000" w:firstRow="0" w:lastRow="0" w:firstColumn="1" w:lastColumn="0" w:oddVBand="0" w:evenVBand="0" w:oddHBand="0" w:evenHBand="0" w:firstRowFirstColumn="0" w:firstRowLastColumn="0" w:lastRowFirstColumn="0" w:lastRowLastColumn="0"/>
            <w:tcW w:w="1729" w:type="pct"/>
          </w:tcPr>
          <w:p w14:paraId="5BF446E0" w14:textId="77777777" w:rsidR="00A81C4F" w:rsidRPr="00D412A0" w:rsidRDefault="00A81C4F" w:rsidP="00160B07">
            <w:pPr>
              <w:pStyle w:val="Normal-table"/>
            </w:pPr>
            <w:r w:rsidRPr="00D412A0">
              <w:t>Jundah QGAP</w:t>
            </w:r>
          </w:p>
        </w:tc>
        <w:tc>
          <w:tcPr>
            <w:tcW w:w="3271" w:type="pct"/>
          </w:tcPr>
          <w:p w14:paraId="454FF6F6" w14:textId="77777777" w:rsidR="00A81C4F" w:rsidRPr="00D412A0" w:rsidRDefault="00A81C4F" w:rsidP="00160B07">
            <w:pPr>
              <w:pStyle w:val="Normal-table"/>
              <w:cnfStyle w:val="000000000000" w:firstRow="0" w:lastRow="0" w:firstColumn="0" w:lastColumn="0" w:oddVBand="0" w:evenVBand="0" w:oddHBand="0" w:evenHBand="0" w:firstRowFirstColumn="0" w:firstRowLastColumn="0" w:lastRowFirstColumn="0" w:lastRowLastColumn="0"/>
            </w:pPr>
            <w:r w:rsidRPr="00D412A0">
              <w:t>Police Station, Dickson Street, Jundah QLD 4736</w:t>
            </w:r>
          </w:p>
        </w:tc>
      </w:tr>
      <w:tr w:rsidR="00A81C4F" w:rsidRPr="008F32E9" w14:paraId="08B7C318" w14:textId="77777777" w:rsidTr="0016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pct"/>
          </w:tcPr>
          <w:p w14:paraId="5B1EEAA6" w14:textId="77777777" w:rsidR="00A81C4F" w:rsidRPr="00D412A0" w:rsidRDefault="00A81C4F" w:rsidP="00160B07">
            <w:pPr>
              <w:pStyle w:val="Normal-table"/>
            </w:pPr>
            <w:r w:rsidRPr="00D412A0">
              <w:t>Kilkivan QGAP</w:t>
            </w:r>
          </w:p>
        </w:tc>
        <w:tc>
          <w:tcPr>
            <w:tcW w:w="3271" w:type="pct"/>
          </w:tcPr>
          <w:p w14:paraId="4C1CD22C" w14:textId="77777777" w:rsidR="00A81C4F" w:rsidRPr="00D412A0" w:rsidRDefault="00A81C4F" w:rsidP="00160B07">
            <w:pPr>
              <w:pStyle w:val="Normal-table"/>
              <w:cnfStyle w:val="000000100000" w:firstRow="0" w:lastRow="0" w:firstColumn="0" w:lastColumn="0" w:oddVBand="0" w:evenVBand="0" w:oddHBand="1" w:evenHBand="0" w:firstRowFirstColumn="0" w:firstRowLastColumn="0" w:lastRowFirstColumn="0" w:lastRowLastColumn="0"/>
            </w:pPr>
            <w:r w:rsidRPr="00D412A0">
              <w:t>26 Bligh Street, Kilkivan QLD 4600</w:t>
            </w:r>
          </w:p>
        </w:tc>
      </w:tr>
      <w:tr w:rsidR="00A81C4F" w:rsidRPr="008F32E9" w14:paraId="7F542263" w14:textId="77777777" w:rsidTr="00160B07">
        <w:tc>
          <w:tcPr>
            <w:cnfStyle w:val="001000000000" w:firstRow="0" w:lastRow="0" w:firstColumn="1" w:lastColumn="0" w:oddVBand="0" w:evenVBand="0" w:oddHBand="0" w:evenHBand="0" w:firstRowFirstColumn="0" w:firstRowLastColumn="0" w:lastRowFirstColumn="0" w:lastRowLastColumn="0"/>
            <w:tcW w:w="1729" w:type="pct"/>
          </w:tcPr>
          <w:p w14:paraId="0CC432C8" w14:textId="77777777" w:rsidR="00A81C4F" w:rsidRPr="00D412A0" w:rsidRDefault="00A81C4F" w:rsidP="00160B07">
            <w:pPr>
              <w:pStyle w:val="Normal-table"/>
            </w:pPr>
            <w:r w:rsidRPr="00D412A0">
              <w:t>Laidley QGAP</w:t>
            </w:r>
          </w:p>
        </w:tc>
        <w:tc>
          <w:tcPr>
            <w:tcW w:w="3271" w:type="pct"/>
          </w:tcPr>
          <w:p w14:paraId="5DDCEBEF" w14:textId="77777777" w:rsidR="00A81C4F" w:rsidRPr="00D412A0" w:rsidRDefault="00A81C4F" w:rsidP="00160B07">
            <w:pPr>
              <w:pStyle w:val="Normal-table"/>
              <w:cnfStyle w:val="000000000000" w:firstRow="0" w:lastRow="0" w:firstColumn="0" w:lastColumn="0" w:oddVBand="0" w:evenVBand="0" w:oddHBand="0" w:evenHBand="0" w:firstRowFirstColumn="0" w:firstRowLastColumn="0" w:lastRowFirstColumn="0" w:lastRowLastColumn="0"/>
            </w:pPr>
            <w:r w:rsidRPr="00D412A0">
              <w:t>9 Spicer Street, Laidley QLD 4341</w:t>
            </w:r>
          </w:p>
        </w:tc>
      </w:tr>
      <w:tr w:rsidR="00A81C4F" w:rsidRPr="008F32E9" w14:paraId="29DB9ED6" w14:textId="77777777" w:rsidTr="0016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pct"/>
          </w:tcPr>
          <w:p w14:paraId="59B825C0" w14:textId="77777777" w:rsidR="00A81C4F" w:rsidRPr="00D412A0" w:rsidRDefault="00A81C4F" w:rsidP="00160B07">
            <w:pPr>
              <w:pStyle w:val="Normal-table"/>
            </w:pPr>
            <w:r w:rsidRPr="0026571B">
              <w:t>Landsborough QGAP</w:t>
            </w:r>
          </w:p>
        </w:tc>
        <w:tc>
          <w:tcPr>
            <w:tcW w:w="3271" w:type="pct"/>
          </w:tcPr>
          <w:p w14:paraId="088D2546" w14:textId="77777777" w:rsidR="00A81C4F" w:rsidRPr="00D412A0" w:rsidRDefault="00A81C4F" w:rsidP="00160B07">
            <w:pPr>
              <w:pStyle w:val="Normal-table"/>
              <w:cnfStyle w:val="000000100000" w:firstRow="0" w:lastRow="0" w:firstColumn="0" w:lastColumn="0" w:oddVBand="0" w:evenVBand="0" w:oddHBand="1" w:evenHBand="0" w:firstRowFirstColumn="0" w:firstRowLastColumn="0" w:lastRowFirstColumn="0" w:lastRowLastColumn="0"/>
            </w:pPr>
            <w:r w:rsidRPr="0026571B">
              <w:t>Landsborough Magistrates Court, 12 Caloundra Street, Landsborough QLD 4550</w:t>
            </w:r>
          </w:p>
        </w:tc>
      </w:tr>
      <w:tr w:rsidR="00A81C4F" w:rsidRPr="008F32E9" w14:paraId="08F3CCD2" w14:textId="77777777" w:rsidTr="00160B07">
        <w:tc>
          <w:tcPr>
            <w:cnfStyle w:val="001000000000" w:firstRow="0" w:lastRow="0" w:firstColumn="1" w:lastColumn="0" w:oddVBand="0" w:evenVBand="0" w:oddHBand="0" w:evenHBand="0" w:firstRowFirstColumn="0" w:firstRowLastColumn="0" w:lastRowFirstColumn="0" w:lastRowLastColumn="0"/>
            <w:tcW w:w="1729" w:type="pct"/>
          </w:tcPr>
          <w:p w14:paraId="69693841" w14:textId="77777777" w:rsidR="00A81C4F" w:rsidRPr="00D412A0" w:rsidRDefault="00A81C4F" w:rsidP="00160B07">
            <w:pPr>
              <w:pStyle w:val="Normal-table"/>
            </w:pPr>
            <w:r w:rsidRPr="00D412A0">
              <w:t>Lowood QGAP</w:t>
            </w:r>
          </w:p>
        </w:tc>
        <w:tc>
          <w:tcPr>
            <w:tcW w:w="3271" w:type="pct"/>
          </w:tcPr>
          <w:p w14:paraId="049FFE84" w14:textId="77777777" w:rsidR="00A81C4F" w:rsidRPr="00D412A0" w:rsidRDefault="00A81C4F" w:rsidP="00160B07">
            <w:pPr>
              <w:pStyle w:val="Normal-table"/>
              <w:cnfStyle w:val="000000000000" w:firstRow="0" w:lastRow="0" w:firstColumn="0" w:lastColumn="0" w:oddVBand="0" w:evenVBand="0" w:oddHBand="0" w:evenHBand="0" w:firstRowFirstColumn="0" w:firstRowLastColumn="0" w:lastRowFirstColumn="0" w:lastRowLastColumn="0"/>
            </w:pPr>
            <w:r w:rsidRPr="00D412A0">
              <w:t>1 Michel Street, Lowood QLD 4311</w:t>
            </w:r>
          </w:p>
        </w:tc>
      </w:tr>
      <w:tr w:rsidR="00A81C4F" w:rsidRPr="008F32E9" w14:paraId="7D079191" w14:textId="77777777" w:rsidTr="0016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pct"/>
          </w:tcPr>
          <w:p w14:paraId="0C0556FB" w14:textId="77777777" w:rsidR="00A81C4F" w:rsidRPr="00D412A0" w:rsidRDefault="00A81C4F" w:rsidP="00160B07">
            <w:pPr>
              <w:pStyle w:val="Normal-table"/>
            </w:pPr>
            <w:r w:rsidRPr="00D412A0">
              <w:lastRenderedPageBreak/>
              <w:t>Malanda QGAP</w:t>
            </w:r>
          </w:p>
        </w:tc>
        <w:tc>
          <w:tcPr>
            <w:tcW w:w="3271" w:type="pct"/>
          </w:tcPr>
          <w:p w14:paraId="43E6819F" w14:textId="77777777" w:rsidR="00A81C4F" w:rsidRPr="00D412A0" w:rsidRDefault="00A81C4F" w:rsidP="00160B07">
            <w:pPr>
              <w:pStyle w:val="Normal-table"/>
              <w:cnfStyle w:val="000000100000" w:firstRow="0" w:lastRow="0" w:firstColumn="0" w:lastColumn="0" w:oddVBand="0" w:evenVBand="0" w:oddHBand="1" w:evenHBand="0" w:firstRowFirstColumn="0" w:firstRowLastColumn="0" w:lastRowFirstColumn="0" w:lastRowLastColumn="0"/>
            </w:pPr>
            <w:r w:rsidRPr="00D412A0">
              <w:t>Malanda Police Station, 29 James Street, MALANDA QLD 4885</w:t>
            </w:r>
          </w:p>
        </w:tc>
      </w:tr>
      <w:tr w:rsidR="00A81C4F" w:rsidRPr="008F32E9" w14:paraId="53454356" w14:textId="77777777" w:rsidTr="00160B07">
        <w:tc>
          <w:tcPr>
            <w:cnfStyle w:val="001000000000" w:firstRow="0" w:lastRow="0" w:firstColumn="1" w:lastColumn="0" w:oddVBand="0" w:evenVBand="0" w:oddHBand="0" w:evenHBand="0" w:firstRowFirstColumn="0" w:firstRowLastColumn="0" w:lastRowFirstColumn="0" w:lastRowLastColumn="0"/>
            <w:tcW w:w="1729" w:type="pct"/>
          </w:tcPr>
          <w:p w14:paraId="26685B97" w14:textId="77777777" w:rsidR="00A81C4F" w:rsidRPr="00D412A0" w:rsidRDefault="00A81C4F" w:rsidP="00160B07">
            <w:pPr>
              <w:pStyle w:val="Normal-table"/>
            </w:pPr>
            <w:r w:rsidRPr="00D412A0">
              <w:t>Maleny QGAP</w:t>
            </w:r>
          </w:p>
        </w:tc>
        <w:tc>
          <w:tcPr>
            <w:tcW w:w="3271" w:type="pct"/>
          </w:tcPr>
          <w:p w14:paraId="0C8E89B3" w14:textId="77777777" w:rsidR="00A81C4F" w:rsidRPr="00D412A0" w:rsidRDefault="00A81C4F" w:rsidP="00160B07">
            <w:pPr>
              <w:pStyle w:val="Normal-table"/>
              <w:cnfStyle w:val="000000000000" w:firstRow="0" w:lastRow="0" w:firstColumn="0" w:lastColumn="0" w:oddVBand="0" w:evenVBand="0" w:oddHBand="0" w:evenHBand="0" w:firstRowFirstColumn="0" w:firstRowLastColumn="0" w:lastRowFirstColumn="0" w:lastRowLastColumn="0"/>
            </w:pPr>
            <w:r w:rsidRPr="00D412A0">
              <w:t>Police Station, 10-14 Macadamia Drive, Maleny QLD 4552</w:t>
            </w:r>
          </w:p>
        </w:tc>
      </w:tr>
      <w:tr w:rsidR="00A81C4F" w:rsidRPr="008F32E9" w14:paraId="79595704" w14:textId="77777777" w:rsidTr="0016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pct"/>
          </w:tcPr>
          <w:p w14:paraId="233513A2" w14:textId="77777777" w:rsidR="00A81C4F" w:rsidRPr="00D412A0" w:rsidRDefault="00A81C4F" w:rsidP="00160B07">
            <w:pPr>
              <w:pStyle w:val="Normal-table"/>
            </w:pPr>
            <w:r w:rsidRPr="00D412A0">
              <w:t>Mary Valley QGAP</w:t>
            </w:r>
          </w:p>
        </w:tc>
        <w:tc>
          <w:tcPr>
            <w:tcW w:w="3271" w:type="pct"/>
          </w:tcPr>
          <w:p w14:paraId="463EFC14" w14:textId="77777777" w:rsidR="00A81C4F" w:rsidRPr="00D412A0" w:rsidRDefault="00A81C4F" w:rsidP="00160B07">
            <w:pPr>
              <w:pStyle w:val="Normal-table"/>
              <w:cnfStyle w:val="000000100000" w:firstRow="0" w:lastRow="0" w:firstColumn="0" w:lastColumn="0" w:oddVBand="0" w:evenVBand="0" w:oddHBand="1" w:evenHBand="0" w:firstRowFirstColumn="0" w:firstRowLastColumn="0" w:lastRowFirstColumn="0" w:lastRowLastColumn="0"/>
            </w:pPr>
            <w:r w:rsidRPr="00D412A0">
              <w:t>45 Main St, Kandanga QLD 4570</w:t>
            </w:r>
          </w:p>
        </w:tc>
      </w:tr>
      <w:tr w:rsidR="00A81C4F" w:rsidRPr="008F32E9" w14:paraId="392526D3" w14:textId="77777777" w:rsidTr="00160B07">
        <w:tc>
          <w:tcPr>
            <w:cnfStyle w:val="001000000000" w:firstRow="0" w:lastRow="0" w:firstColumn="1" w:lastColumn="0" w:oddVBand="0" w:evenVBand="0" w:oddHBand="0" w:evenHBand="0" w:firstRowFirstColumn="0" w:firstRowLastColumn="0" w:lastRowFirstColumn="0" w:lastRowLastColumn="0"/>
            <w:tcW w:w="1729" w:type="pct"/>
          </w:tcPr>
          <w:p w14:paraId="736C26CA" w14:textId="77777777" w:rsidR="00A81C4F" w:rsidRPr="00D412A0" w:rsidRDefault="00A81C4F" w:rsidP="00160B07">
            <w:pPr>
              <w:pStyle w:val="Normal-table"/>
            </w:pPr>
            <w:r w:rsidRPr="00D412A0">
              <w:t>Middlemount QGAP</w:t>
            </w:r>
          </w:p>
        </w:tc>
        <w:tc>
          <w:tcPr>
            <w:tcW w:w="3271" w:type="pct"/>
          </w:tcPr>
          <w:p w14:paraId="17191AC8" w14:textId="77777777" w:rsidR="00A81C4F" w:rsidRPr="00D412A0" w:rsidRDefault="00A81C4F" w:rsidP="00160B07">
            <w:pPr>
              <w:pStyle w:val="Normal-table"/>
              <w:cnfStyle w:val="000000000000" w:firstRow="0" w:lastRow="0" w:firstColumn="0" w:lastColumn="0" w:oddVBand="0" w:evenVBand="0" w:oddHBand="0" w:evenHBand="0" w:firstRowFirstColumn="0" w:firstRowLastColumn="0" w:lastRowFirstColumn="0" w:lastRowLastColumn="0"/>
            </w:pPr>
            <w:r w:rsidRPr="00D412A0">
              <w:t>Middlemount Shopping Centre, James Randall Court, Middlemount QLD 4746</w:t>
            </w:r>
          </w:p>
        </w:tc>
      </w:tr>
      <w:tr w:rsidR="00A81C4F" w:rsidRPr="008F32E9" w14:paraId="600BB9C9" w14:textId="77777777" w:rsidTr="0016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pct"/>
          </w:tcPr>
          <w:p w14:paraId="614F4105" w14:textId="77777777" w:rsidR="00A81C4F" w:rsidRPr="00D412A0" w:rsidRDefault="00A81C4F" w:rsidP="00160B07">
            <w:pPr>
              <w:pStyle w:val="Normal-table"/>
            </w:pPr>
            <w:r w:rsidRPr="00D412A0">
              <w:t>Miles QGAP</w:t>
            </w:r>
          </w:p>
        </w:tc>
        <w:tc>
          <w:tcPr>
            <w:tcW w:w="3271" w:type="pct"/>
          </w:tcPr>
          <w:p w14:paraId="387E4AE3" w14:textId="77777777" w:rsidR="00A81C4F" w:rsidRPr="00D412A0" w:rsidRDefault="00A81C4F" w:rsidP="00160B07">
            <w:pPr>
              <w:pStyle w:val="Normal-table"/>
              <w:cnfStyle w:val="000000100000" w:firstRow="0" w:lastRow="0" w:firstColumn="0" w:lastColumn="0" w:oddVBand="0" w:evenVBand="0" w:oddHBand="1" w:evenHBand="0" w:firstRowFirstColumn="0" w:firstRowLastColumn="0" w:lastRowFirstColumn="0" w:lastRowLastColumn="0"/>
            </w:pPr>
            <w:r w:rsidRPr="00D412A0">
              <w:t>32 Constance Street, Miles QLD 4415</w:t>
            </w:r>
          </w:p>
        </w:tc>
      </w:tr>
      <w:tr w:rsidR="00A81C4F" w:rsidRPr="008F32E9" w14:paraId="6DFFAB7B" w14:textId="77777777" w:rsidTr="00160B07">
        <w:tc>
          <w:tcPr>
            <w:cnfStyle w:val="001000000000" w:firstRow="0" w:lastRow="0" w:firstColumn="1" w:lastColumn="0" w:oddVBand="0" w:evenVBand="0" w:oddHBand="0" w:evenHBand="0" w:firstRowFirstColumn="0" w:firstRowLastColumn="0" w:lastRowFirstColumn="0" w:lastRowLastColumn="0"/>
            <w:tcW w:w="1729" w:type="pct"/>
          </w:tcPr>
          <w:p w14:paraId="3CE32D42" w14:textId="77777777" w:rsidR="00A81C4F" w:rsidRPr="00D412A0" w:rsidRDefault="00A81C4F" w:rsidP="00160B07">
            <w:pPr>
              <w:pStyle w:val="Normal-table"/>
            </w:pPr>
            <w:r w:rsidRPr="00D412A0">
              <w:t>Mirani QGAP</w:t>
            </w:r>
          </w:p>
        </w:tc>
        <w:tc>
          <w:tcPr>
            <w:tcW w:w="3271" w:type="pct"/>
          </w:tcPr>
          <w:p w14:paraId="724C23A0" w14:textId="77777777" w:rsidR="00A81C4F" w:rsidRPr="00D412A0" w:rsidRDefault="00A81C4F" w:rsidP="00160B07">
            <w:pPr>
              <w:pStyle w:val="Normal-table"/>
              <w:cnfStyle w:val="000000000000" w:firstRow="0" w:lastRow="0" w:firstColumn="0" w:lastColumn="0" w:oddVBand="0" w:evenVBand="0" w:oddHBand="0" w:evenHBand="0" w:firstRowFirstColumn="0" w:firstRowLastColumn="0" w:lastRowFirstColumn="0" w:lastRowLastColumn="0"/>
            </w:pPr>
            <w:r w:rsidRPr="00D412A0">
              <w:t>20 Victoria Street, Mirani QLD 4754</w:t>
            </w:r>
          </w:p>
        </w:tc>
      </w:tr>
      <w:tr w:rsidR="00A81C4F" w:rsidRPr="008F32E9" w14:paraId="43FA2C30" w14:textId="77777777" w:rsidTr="0016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pct"/>
          </w:tcPr>
          <w:p w14:paraId="04627F5B" w14:textId="77777777" w:rsidR="00A81C4F" w:rsidRPr="00D412A0" w:rsidRDefault="00A81C4F" w:rsidP="00160B07">
            <w:pPr>
              <w:pStyle w:val="Normal-table"/>
            </w:pPr>
            <w:r w:rsidRPr="0026571B">
              <w:t>Mitchell QGAP</w:t>
            </w:r>
          </w:p>
        </w:tc>
        <w:tc>
          <w:tcPr>
            <w:tcW w:w="3271" w:type="pct"/>
          </w:tcPr>
          <w:p w14:paraId="51BC684D" w14:textId="77777777" w:rsidR="00A81C4F" w:rsidRPr="00D412A0" w:rsidRDefault="00A81C4F" w:rsidP="00160B07">
            <w:pPr>
              <w:pStyle w:val="Normal-table"/>
              <w:cnfStyle w:val="000000100000" w:firstRow="0" w:lastRow="0" w:firstColumn="0" w:lastColumn="0" w:oddVBand="0" w:evenVBand="0" w:oddHBand="1" w:evenHBand="0" w:firstRowFirstColumn="0" w:firstRowLastColumn="0" w:lastRowFirstColumn="0" w:lastRowLastColumn="0"/>
            </w:pPr>
            <w:r w:rsidRPr="0026571B">
              <w:t>Mitchell Magistrates Court, Cnr Mary and Dublin Streets, Mitchell QLD 4465</w:t>
            </w:r>
          </w:p>
        </w:tc>
      </w:tr>
      <w:tr w:rsidR="00A81C4F" w:rsidRPr="008F32E9" w14:paraId="093827D4" w14:textId="77777777" w:rsidTr="00160B07">
        <w:tc>
          <w:tcPr>
            <w:cnfStyle w:val="001000000000" w:firstRow="0" w:lastRow="0" w:firstColumn="1" w:lastColumn="0" w:oddVBand="0" w:evenVBand="0" w:oddHBand="0" w:evenHBand="0" w:firstRowFirstColumn="0" w:firstRowLastColumn="0" w:lastRowFirstColumn="0" w:lastRowLastColumn="0"/>
            <w:tcW w:w="1729" w:type="pct"/>
          </w:tcPr>
          <w:p w14:paraId="6F7DFB96" w14:textId="77777777" w:rsidR="00A81C4F" w:rsidRPr="00D412A0" w:rsidRDefault="00A81C4F" w:rsidP="00160B07">
            <w:pPr>
              <w:pStyle w:val="Normal-table"/>
            </w:pPr>
            <w:r w:rsidRPr="00D412A0">
              <w:t>Monto QGAP</w:t>
            </w:r>
          </w:p>
        </w:tc>
        <w:tc>
          <w:tcPr>
            <w:tcW w:w="3271" w:type="pct"/>
          </w:tcPr>
          <w:p w14:paraId="4F2994A4" w14:textId="77777777" w:rsidR="00A81C4F" w:rsidRPr="00D412A0" w:rsidRDefault="00A81C4F" w:rsidP="00160B07">
            <w:pPr>
              <w:pStyle w:val="Normal-table"/>
              <w:cnfStyle w:val="000000000000" w:firstRow="0" w:lastRow="0" w:firstColumn="0" w:lastColumn="0" w:oddVBand="0" w:evenVBand="0" w:oddHBand="0" w:evenHBand="0" w:firstRowFirstColumn="0" w:firstRowLastColumn="0" w:lastRowFirstColumn="0" w:lastRowLastColumn="0"/>
            </w:pPr>
            <w:r w:rsidRPr="00D412A0">
              <w:t>53 Newton Street, Monto QLD 4630</w:t>
            </w:r>
          </w:p>
        </w:tc>
      </w:tr>
      <w:tr w:rsidR="00A81C4F" w:rsidRPr="008F32E9" w14:paraId="03EAB0BD" w14:textId="77777777" w:rsidTr="0016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pct"/>
          </w:tcPr>
          <w:p w14:paraId="4A5CB819" w14:textId="77777777" w:rsidR="00A81C4F" w:rsidRPr="00D412A0" w:rsidRDefault="00A81C4F" w:rsidP="00160B07">
            <w:pPr>
              <w:pStyle w:val="Normal-table"/>
            </w:pPr>
            <w:r w:rsidRPr="0026571B">
              <w:t>Moranbah QGAP</w:t>
            </w:r>
          </w:p>
        </w:tc>
        <w:tc>
          <w:tcPr>
            <w:tcW w:w="3271" w:type="pct"/>
          </w:tcPr>
          <w:p w14:paraId="620F66E1" w14:textId="77777777" w:rsidR="00A81C4F" w:rsidRPr="00D412A0" w:rsidRDefault="00A81C4F" w:rsidP="00160B07">
            <w:pPr>
              <w:pStyle w:val="Normal-table"/>
              <w:cnfStyle w:val="000000100000" w:firstRow="0" w:lastRow="0" w:firstColumn="0" w:lastColumn="0" w:oddVBand="0" w:evenVBand="0" w:oddHBand="1" w:evenHBand="0" w:firstRowFirstColumn="0" w:firstRowLastColumn="0" w:lastRowFirstColumn="0" w:lastRowLastColumn="0"/>
            </w:pPr>
            <w:r w:rsidRPr="0026571B">
              <w:t>Moranbah Magistrates Court, 21 Griffin Street, Moranbah QLD 4744</w:t>
            </w:r>
          </w:p>
        </w:tc>
      </w:tr>
      <w:tr w:rsidR="00A81C4F" w:rsidRPr="008F32E9" w14:paraId="20ADB7ED" w14:textId="77777777" w:rsidTr="00160B07">
        <w:tc>
          <w:tcPr>
            <w:cnfStyle w:val="001000000000" w:firstRow="0" w:lastRow="0" w:firstColumn="1" w:lastColumn="0" w:oddVBand="0" w:evenVBand="0" w:oddHBand="0" w:evenHBand="0" w:firstRowFirstColumn="0" w:firstRowLastColumn="0" w:lastRowFirstColumn="0" w:lastRowLastColumn="0"/>
            <w:tcW w:w="1729" w:type="pct"/>
          </w:tcPr>
          <w:p w14:paraId="5D8B04D2" w14:textId="77777777" w:rsidR="00A81C4F" w:rsidRPr="00D412A0" w:rsidRDefault="00A81C4F" w:rsidP="00160B07">
            <w:pPr>
              <w:pStyle w:val="Normal-table"/>
            </w:pPr>
            <w:r w:rsidRPr="0026571B">
              <w:t>Mossman QGAP</w:t>
            </w:r>
          </w:p>
        </w:tc>
        <w:tc>
          <w:tcPr>
            <w:tcW w:w="3271" w:type="pct"/>
          </w:tcPr>
          <w:p w14:paraId="3944D50A" w14:textId="77777777" w:rsidR="00A81C4F" w:rsidRPr="00D412A0" w:rsidRDefault="00A81C4F" w:rsidP="00160B07">
            <w:pPr>
              <w:pStyle w:val="Normal-table"/>
              <w:cnfStyle w:val="000000000000" w:firstRow="0" w:lastRow="0" w:firstColumn="0" w:lastColumn="0" w:oddVBand="0" w:evenVBand="0" w:oddHBand="0" w:evenHBand="0" w:firstRowFirstColumn="0" w:firstRowLastColumn="0" w:lastRowFirstColumn="0" w:lastRowLastColumn="0"/>
            </w:pPr>
            <w:r w:rsidRPr="0026571B">
              <w:t>Mossman Magistrates Court, 27 Front Street, Mossman QLD 4873</w:t>
            </w:r>
          </w:p>
        </w:tc>
      </w:tr>
      <w:tr w:rsidR="00A81C4F" w:rsidRPr="008F32E9" w14:paraId="20D8C112" w14:textId="77777777" w:rsidTr="0016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pct"/>
          </w:tcPr>
          <w:p w14:paraId="4375CA07" w14:textId="77777777" w:rsidR="00A81C4F" w:rsidRPr="00D412A0" w:rsidRDefault="00A81C4F" w:rsidP="00160B07">
            <w:pPr>
              <w:pStyle w:val="Normal-table"/>
            </w:pPr>
            <w:r w:rsidRPr="00D412A0">
              <w:t>Mount Garnet QGAP</w:t>
            </w:r>
          </w:p>
        </w:tc>
        <w:tc>
          <w:tcPr>
            <w:tcW w:w="3271" w:type="pct"/>
          </w:tcPr>
          <w:p w14:paraId="18D43A99" w14:textId="77777777" w:rsidR="00A81C4F" w:rsidRPr="00D412A0" w:rsidRDefault="00A81C4F" w:rsidP="00160B07">
            <w:pPr>
              <w:pStyle w:val="Normal-table"/>
              <w:cnfStyle w:val="000000100000" w:firstRow="0" w:lastRow="0" w:firstColumn="0" w:lastColumn="0" w:oddVBand="0" w:evenVBand="0" w:oddHBand="1" w:evenHBand="0" w:firstRowFirstColumn="0" w:firstRowLastColumn="0" w:lastRowFirstColumn="0" w:lastRowLastColumn="0"/>
            </w:pPr>
            <w:r w:rsidRPr="00D412A0">
              <w:t>Police Station, Garnet Street, Mt Garnet QLD 4872</w:t>
            </w:r>
          </w:p>
        </w:tc>
      </w:tr>
      <w:tr w:rsidR="00A81C4F" w:rsidRPr="008F32E9" w14:paraId="786808CF" w14:textId="77777777" w:rsidTr="00160B07">
        <w:tc>
          <w:tcPr>
            <w:cnfStyle w:val="001000000000" w:firstRow="0" w:lastRow="0" w:firstColumn="1" w:lastColumn="0" w:oddVBand="0" w:evenVBand="0" w:oddHBand="0" w:evenHBand="0" w:firstRowFirstColumn="0" w:firstRowLastColumn="0" w:lastRowFirstColumn="0" w:lastRowLastColumn="0"/>
            <w:tcW w:w="1729" w:type="pct"/>
          </w:tcPr>
          <w:p w14:paraId="36739FF0" w14:textId="77777777" w:rsidR="00A81C4F" w:rsidRPr="00D412A0" w:rsidRDefault="00A81C4F" w:rsidP="00160B07">
            <w:pPr>
              <w:pStyle w:val="Normal-table"/>
            </w:pPr>
            <w:r w:rsidRPr="00D412A0">
              <w:t>Mount Morgan QGAP</w:t>
            </w:r>
          </w:p>
        </w:tc>
        <w:tc>
          <w:tcPr>
            <w:tcW w:w="3271" w:type="pct"/>
          </w:tcPr>
          <w:p w14:paraId="0CCB9035" w14:textId="77777777" w:rsidR="00A81C4F" w:rsidRPr="00D412A0" w:rsidRDefault="00A81C4F" w:rsidP="00160B07">
            <w:pPr>
              <w:pStyle w:val="Normal-table"/>
              <w:cnfStyle w:val="000000000000" w:firstRow="0" w:lastRow="0" w:firstColumn="0" w:lastColumn="0" w:oddVBand="0" w:evenVBand="0" w:oddHBand="0" w:evenHBand="0" w:firstRowFirstColumn="0" w:firstRowLastColumn="0" w:lastRowFirstColumn="0" w:lastRowLastColumn="0"/>
            </w:pPr>
            <w:r w:rsidRPr="00D412A0">
              <w:t>32 Hall St, Mt Morgan QLD 4714</w:t>
            </w:r>
          </w:p>
        </w:tc>
      </w:tr>
      <w:tr w:rsidR="00A81C4F" w:rsidRPr="008F32E9" w14:paraId="5571D156" w14:textId="77777777" w:rsidTr="0016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pct"/>
          </w:tcPr>
          <w:p w14:paraId="4A26D8F2" w14:textId="77777777" w:rsidR="00A81C4F" w:rsidRPr="00D412A0" w:rsidRDefault="00A81C4F" w:rsidP="00160B07">
            <w:pPr>
              <w:pStyle w:val="Normal-table"/>
            </w:pPr>
            <w:r w:rsidRPr="0026571B">
              <w:t>Moura QGAP</w:t>
            </w:r>
          </w:p>
        </w:tc>
        <w:tc>
          <w:tcPr>
            <w:tcW w:w="3271" w:type="pct"/>
          </w:tcPr>
          <w:p w14:paraId="4F5D9D8C" w14:textId="77777777" w:rsidR="00A81C4F" w:rsidRPr="00D412A0" w:rsidRDefault="00A81C4F" w:rsidP="00160B07">
            <w:pPr>
              <w:pStyle w:val="Normal-table"/>
              <w:cnfStyle w:val="000000100000" w:firstRow="0" w:lastRow="0" w:firstColumn="0" w:lastColumn="0" w:oddVBand="0" w:evenVBand="0" w:oddHBand="1" w:evenHBand="0" w:firstRowFirstColumn="0" w:firstRowLastColumn="0" w:lastRowFirstColumn="0" w:lastRowLastColumn="0"/>
            </w:pPr>
            <w:r w:rsidRPr="0026571B">
              <w:t>Marshall and Shirley Streets, Moura QLD 4718</w:t>
            </w:r>
          </w:p>
        </w:tc>
      </w:tr>
      <w:tr w:rsidR="00A81C4F" w:rsidRPr="008F32E9" w14:paraId="74F3B6A3" w14:textId="77777777" w:rsidTr="00160B07">
        <w:tc>
          <w:tcPr>
            <w:cnfStyle w:val="001000000000" w:firstRow="0" w:lastRow="0" w:firstColumn="1" w:lastColumn="0" w:oddVBand="0" w:evenVBand="0" w:oddHBand="0" w:evenHBand="0" w:firstRowFirstColumn="0" w:firstRowLastColumn="0" w:lastRowFirstColumn="0" w:lastRowLastColumn="0"/>
            <w:tcW w:w="1729" w:type="pct"/>
          </w:tcPr>
          <w:p w14:paraId="0A78A30B" w14:textId="77777777" w:rsidR="00A81C4F" w:rsidRPr="00D412A0" w:rsidRDefault="00A81C4F" w:rsidP="00160B07">
            <w:pPr>
              <w:pStyle w:val="Normal-table"/>
            </w:pPr>
            <w:r w:rsidRPr="00D412A0">
              <w:t>Mundubbera QGAP</w:t>
            </w:r>
          </w:p>
        </w:tc>
        <w:tc>
          <w:tcPr>
            <w:tcW w:w="3271" w:type="pct"/>
          </w:tcPr>
          <w:p w14:paraId="51138575" w14:textId="77777777" w:rsidR="00A81C4F" w:rsidRPr="00D412A0" w:rsidRDefault="00A81C4F" w:rsidP="00160B07">
            <w:pPr>
              <w:pStyle w:val="Normal-table"/>
              <w:cnfStyle w:val="000000000000" w:firstRow="0" w:lastRow="0" w:firstColumn="0" w:lastColumn="0" w:oddVBand="0" w:evenVBand="0" w:oddHBand="0" w:evenHBand="0" w:firstRowFirstColumn="0" w:firstRowLastColumn="0" w:lastRowFirstColumn="0" w:lastRowLastColumn="0"/>
            </w:pPr>
            <w:r w:rsidRPr="00D412A0">
              <w:t>69 Stuart-Russell Street  Mundubbera, Qld, 4626</w:t>
            </w:r>
          </w:p>
        </w:tc>
      </w:tr>
      <w:tr w:rsidR="00A81C4F" w:rsidRPr="008F32E9" w14:paraId="05B804FC" w14:textId="77777777" w:rsidTr="0016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pct"/>
          </w:tcPr>
          <w:p w14:paraId="44B282F3" w14:textId="77777777" w:rsidR="00A81C4F" w:rsidRPr="00D412A0" w:rsidRDefault="00A81C4F" w:rsidP="00160B07">
            <w:pPr>
              <w:pStyle w:val="Normal-table"/>
            </w:pPr>
            <w:r w:rsidRPr="00D412A0">
              <w:t>Murgon QGAP</w:t>
            </w:r>
          </w:p>
        </w:tc>
        <w:tc>
          <w:tcPr>
            <w:tcW w:w="3271" w:type="pct"/>
          </w:tcPr>
          <w:p w14:paraId="0F56884F" w14:textId="77777777" w:rsidR="00A81C4F" w:rsidRPr="00D412A0" w:rsidRDefault="00A81C4F" w:rsidP="00160B07">
            <w:pPr>
              <w:pStyle w:val="Normal-table"/>
              <w:cnfStyle w:val="000000100000" w:firstRow="0" w:lastRow="0" w:firstColumn="0" w:lastColumn="0" w:oddVBand="0" w:evenVBand="0" w:oddHBand="1" w:evenHBand="0" w:firstRowFirstColumn="0" w:firstRowLastColumn="0" w:lastRowFirstColumn="0" w:lastRowLastColumn="0"/>
            </w:pPr>
            <w:r w:rsidRPr="00D412A0">
              <w:t>48 Stephens Street West, Murgon QLD 4605</w:t>
            </w:r>
          </w:p>
        </w:tc>
      </w:tr>
      <w:tr w:rsidR="00A81C4F" w:rsidRPr="008F32E9" w14:paraId="1AE1C160" w14:textId="77777777" w:rsidTr="00160B07">
        <w:tc>
          <w:tcPr>
            <w:cnfStyle w:val="001000000000" w:firstRow="0" w:lastRow="0" w:firstColumn="1" w:lastColumn="0" w:oddVBand="0" w:evenVBand="0" w:oddHBand="0" w:evenHBand="0" w:firstRowFirstColumn="0" w:firstRowLastColumn="0" w:lastRowFirstColumn="0" w:lastRowLastColumn="0"/>
            <w:tcW w:w="1729" w:type="pct"/>
          </w:tcPr>
          <w:p w14:paraId="7FA3F98E" w14:textId="77777777" w:rsidR="00A81C4F" w:rsidRPr="00D412A0" w:rsidRDefault="00A81C4F" w:rsidP="00160B07">
            <w:pPr>
              <w:pStyle w:val="Normal-table"/>
            </w:pPr>
            <w:r w:rsidRPr="0026571B">
              <w:t>Nanango QGAP</w:t>
            </w:r>
          </w:p>
        </w:tc>
        <w:tc>
          <w:tcPr>
            <w:tcW w:w="3271" w:type="pct"/>
          </w:tcPr>
          <w:p w14:paraId="50A9BDC3" w14:textId="77777777" w:rsidR="00A81C4F" w:rsidRPr="00D412A0" w:rsidRDefault="00A81C4F" w:rsidP="00160B07">
            <w:pPr>
              <w:pStyle w:val="Normal-table"/>
              <w:cnfStyle w:val="000000000000" w:firstRow="0" w:lastRow="0" w:firstColumn="0" w:lastColumn="0" w:oddVBand="0" w:evenVBand="0" w:oddHBand="0" w:evenHBand="0" w:firstRowFirstColumn="0" w:firstRowLastColumn="0" w:lastRowFirstColumn="0" w:lastRowLastColumn="0"/>
            </w:pPr>
            <w:r w:rsidRPr="0026571B">
              <w:t>Nanango Magistrates Court, 30 Henry Street, Nanango QLD 4615</w:t>
            </w:r>
          </w:p>
        </w:tc>
      </w:tr>
      <w:tr w:rsidR="00A81C4F" w:rsidRPr="008F32E9" w14:paraId="0A47A56A" w14:textId="77777777" w:rsidTr="0016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pct"/>
          </w:tcPr>
          <w:p w14:paraId="61C44A0D" w14:textId="77777777" w:rsidR="00A81C4F" w:rsidRPr="00D412A0" w:rsidRDefault="00A81C4F" w:rsidP="00160B07">
            <w:pPr>
              <w:pStyle w:val="Normal-table"/>
            </w:pPr>
            <w:r w:rsidRPr="00D412A0">
              <w:t>Normanton QGAP</w:t>
            </w:r>
          </w:p>
        </w:tc>
        <w:tc>
          <w:tcPr>
            <w:tcW w:w="3271" w:type="pct"/>
          </w:tcPr>
          <w:p w14:paraId="4259CE2E" w14:textId="77777777" w:rsidR="00A81C4F" w:rsidRPr="00D412A0" w:rsidRDefault="00A81C4F" w:rsidP="00160B07">
            <w:pPr>
              <w:pStyle w:val="Normal-table"/>
              <w:cnfStyle w:val="000000100000" w:firstRow="0" w:lastRow="0" w:firstColumn="0" w:lastColumn="0" w:oddVBand="0" w:evenVBand="0" w:oddHBand="1" w:evenHBand="0" w:firstRowFirstColumn="0" w:firstRowLastColumn="0" w:lastRowFirstColumn="0" w:lastRowLastColumn="0"/>
            </w:pPr>
            <w:r w:rsidRPr="00D412A0">
              <w:t>24 Haig Street, Normanton QLD 4890</w:t>
            </w:r>
          </w:p>
        </w:tc>
      </w:tr>
      <w:tr w:rsidR="00A81C4F" w:rsidRPr="008F32E9" w14:paraId="67EAC820" w14:textId="77777777" w:rsidTr="00160B07">
        <w:tc>
          <w:tcPr>
            <w:cnfStyle w:val="001000000000" w:firstRow="0" w:lastRow="0" w:firstColumn="1" w:lastColumn="0" w:oddVBand="0" w:evenVBand="0" w:oddHBand="0" w:evenHBand="0" w:firstRowFirstColumn="0" w:firstRowLastColumn="0" w:lastRowFirstColumn="0" w:lastRowLastColumn="0"/>
            <w:tcW w:w="1729" w:type="pct"/>
          </w:tcPr>
          <w:p w14:paraId="79A179CB" w14:textId="77777777" w:rsidR="00A81C4F" w:rsidRPr="00D412A0" w:rsidRDefault="00A81C4F" w:rsidP="00160B07">
            <w:pPr>
              <w:pStyle w:val="Normal-table"/>
            </w:pPr>
            <w:r w:rsidRPr="0026571B">
              <w:t>North Stradbroke Island QGAP</w:t>
            </w:r>
          </w:p>
        </w:tc>
        <w:tc>
          <w:tcPr>
            <w:tcW w:w="3271" w:type="pct"/>
          </w:tcPr>
          <w:p w14:paraId="42CA59FB" w14:textId="77777777" w:rsidR="00A81C4F" w:rsidRPr="00D412A0" w:rsidRDefault="00A81C4F" w:rsidP="00160B07">
            <w:pPr>
              <w:pStyle w:val="Normal-table"/>
              <w:cnfStyle w:val="000000000000" w:firstRow="0" w:lastRow="0" w:firstColumn="0" w:lastColumn="0" w:oddVBand="0" w:evenVBand="0" w:oddHBand="0" w:evenHBand="0" w:firstRowFirstColumn="0" w:firstRowLastColumn="0" w:lastRowFirstColumn="0" w:lastRowLastColumn="0"/>
            </w:pPr>
            <w:r w:rsidRPr="0026571B">
              <w:t>5 Ballow Street, Dunwich QLD 4183</w:t>
            </w:r>
          </w:p>
        </w:tc>
      </w:tr>
      <w:tr w:rsidR="00A81C4F" w:rsidRPr="008F32E9" w14:paraId="12999D2D" w14:textId="77777777" w:rsidTr="0016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pct"/>
          </w:tcPr>
          <w:p w14:paraId="350C5A94" w14:textId="77777777" w:rsidR="00A81C4F" w:rsidRPr="00D412A0" w:rsidRDefault="00A81C4F" w:rsidP="00160B07">
            <w:pPr>
              <w:pStyle w:val="Normal-table"/>
            </w:pPr>
            <w:r w:rsidRPr="0026571B">
              <w:t>Oakey QGAP</w:t>
            </w:r>
          </w:p>
        </w:tc>
        <w:tc>
          <w:tcPr>
            <w:tcW w:w="3271" w:type="pct"/>
          </w:tcPr>
          <w:p w14:paraId="35FBA945" w14:textId="77777777" w:rsidR="00A81C4F" w:rsidRPr="00D412A0" w:rsidRDefault="00A81C4F" w:rsidP="00160B07">
            <w:pPr>
              <w:pStyle w:val="Normal-table"/>
              <w:cnfStyle w:val="000000100000" w:firstRow="0" w:lastRow="0" w:firstColumn="0" w:lastColumn="0" w:oddVBand="0" w:evenVBand="0" w:oddHBand="1" w:evenHBand="0" w:firstRowFirstColumn="0" w:firstRowLastColumn="0" w:lastRowFirstColumn="0" w:lastRowLastColumn="0"/>
            </w:pPr>
            <w:r w:rsidRPr="0026571B">
              <w:t>Oakey Magistrates Court, 73 Campbell Street, Oakey QLD 4401</w:t>
            </w:r>
          </w:p>
        </w:tc>
      </w:tr>
      <w:tr w:rsidR="00A81C4F" w:rsidRPr="008F32E9" w14:paraId="5E6CCCCC" w14:textId="77777777" w:rsidTr="00160B07">
        <w:tc>
          <w:tcPr>
            <w:cnfStyle w:val="001000000000" w:firstRow="0" w:lastRow="0" w:firstColumn="1" w:lastColumn="0" w:oddVBand="0" w:evenVBand="0" w:oddHBand="0" w:evenHBand="0" w:firstRowFirstColumn="0" w:firstRowLastColumn="0" w:lastRowFirstColumn="0" w:lastRowLastColumn="0"/>
            <w:tcW w:w="1729" w:type="pct"/>
          </w:tcPr>
          <w:p w14:paraId="2A2F8A69" w14:textId="77777777" w:rsidR="00A81C4F" w:rsidRPr="00D412A0" w:rsidRDefault="00A81C4F" w:rsidP="00160B07">
            <w:pPr>
              <w:pStyle w:val="Normal-table"/>
            </w:pPr>
            <w:r w:rsidRPr="0026571B">
              <w:t>Pittsworth QGAP</w:t>
            </w:r>
          </w:p>
        </w:tc>
        <w:tc>
          <w:tcPr>
            <w:tcW w:w="3271" w:type="pct"/>
          </w:tcPr>
          <w:p w14:paraId="7CDDA76C" w14:textId="77777777" w:rsidR="00A81C4F" w:rsidRPr="00D412A0" w:rsidRDefault="00A81C4F" w:rsidP="00160B07">
            <w:pPr>
              <w:pStyle w:val="Normal-table"/>
              <w:cnfStyle w:val="000000000000" w:firstRow="0" w:lastRow="0" w:firstColumn="0" w:lastColumn="0" w:oddVBand="0" w:evenVBand="0" w:oddHBand="0" w:evenHBand="0" w:firstRowFirstColumn="0" w:firstRowLastColumn="0" w:lastRowFirstColumn="0" w:lastRowLastColumn="0"/>
            </w:pPr>
            <w:r w:rsidRPr="0026571B">
              <w:t xml:space="preserve">Pittsworth Magistrates Court, 77 Yandilla Street, </w:t>
            </w:r>
            <w:r w:rsidRPr="00D412A0">
              <w:t>Pittsworth QLD 4356</w:t>
            </w:r>
          </w:p>
        </w:tc>
      </w:tr>
      <w:tr w:rsidR="00A81C4F" w:rsidRPr="008F32E9" w14:paraId="194A64C7" w14:textId="77777777" w:rsidTr="0016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pct"/>
          </w:tcPr>
          <w:p w14:paraId="0EF9A3FA" w14:textId="77777777" w:rsidR="00A81C4F" w:rsidRPr="00D412A0" w:rsidRDefault="00A81C4F" w:rsidP="00160B07">
            <w:pPr>
              <w:pStyle w:val="Normal-table"/>
            </w:pPr>
            <w:r w:rsidRPr="00D412A0">
              <w:t>Ravenshoe QGAP</w:t>
            </w:r>
          </w:p>
        </w:tc>
        <w:tc>
          <w:tcPr>
            <w:tcW w:w="3271" w:type="pct"/>
          </w:tcPr>
          <w:p w14:paraId="1A145695" w14:textId="77777777" w:rsidR="00A81C4F" w:rsidRPr="00D412A0" w:rsidRDefault="00A81C4F" w:rsidP="00160B07">
            <w:pPr>
              <w:pStyle w:val="Normal-table"/>
              <w:cnfStyle w:val="000000100000" w:firstRow="0" w:lastRow="0" w:firstColumn="0" w:lastColumn="0" w:oddVBand="0" w:evenVBand="0" w:oddHBand="1" w:evenHBand="0" w:firstRowFirstColumn="0" w:firstRowLastColumn="0" w:lastRowFirstColumn="0" w:lastRowLastColumn="0"/>
            </w:pPr>
            <w:r w:rsidRPr="00D412A0">
              <w:t>27-29 Grigg Street, Ravenshoe QLD 4888</w:t>
            </w:r>
          </w:p>
        </w:tc>
      </w:tr>
      <w:tr w:rsidR="00A81C4F" w:rsidRPr="008F32E9" w14:paraId="59C503FA" w14:textId="77777777" w:rsidTr="00160B07">
        <w:tc>
          <w:tcPr>
            <w:cnfStyle w:val="001000000000" w:firstRow="0" w:lastRow="0" w:firstColumn="1" w:lastColumn="0" w:oddVBand="0" w:evenVBand="0" w:oddHBand="0" w:evenHBand="0" w:firstRowFirstColumn="0" w:firstRowLastColumn="0" w:lastRowFirstColumn="0" w:lastRowLastColumn="0"/>
            <w:tcW w:w="1729" w:type="pct"/>
          </w:tcPr>
          <w:p w14:paraId="5608E72E" w14:textId="77777777" w:rsidR="00A81C4F" w:rsidRPr="00D412A0" w:rsidRDefault="00A81C4F" w:rsidP="00160B07">
            <w:pPr>
              <w:pStyle w:val="Normal-table"/>
            </w:pPr>
            <w:r w:rsidRPr="0026571B">
              <w:t>Richmond QGAP</w:t>
            </w:r>
          </w:p>
        </w:tc>
        <w:tc>
          <w:tcPr>
            <w:tcW w:w="3271" w:type="pct"/>
          </w:tcPr>
          <w:p w14:paraId="2E99B517" w14:textId="77777777" w:rsidR="00A81C4F" w:rsidRPr="00D412A0" w:rsidRDefault="00A81C4F" w:rsidP="00160B07">
            <w:pPr>
              <w:pStyle w:val="Normal-table"/>
              <w:cnfStyle w:val="000000000000" w:firstRow="0" w:lastRow="0" w:firstColumn="0" w:lastColumn="0" w:oddVBand="0" w:evenVBand="0" w:oddHBand="0" w:evenHBand="0" w:firstRowFirstColumn="0" w:firstRowLastColumn="0" w:lastRowFirstColumn="0" w:lastRowLastColumn="0"/>
            </w:pPr>
            <w:r w:rsidRPr="0026571B">
              <w:t>Richmond Magistrates Court, 53 Goldring Street, Richmond QLD 4822</w:t>
            </w:r>
          </w:p>
        </w:tc>
      </w:tr>
      <w:tr w:rsidR="00A81C4F" w:rsidRPr="008F32E9" w14:paraId="2BE104CA" w14:textId="77777777" w:rsidTr="0016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pct"/>
          </w:tcPr>
          <w:p w14:paraId="763678BD" w14:textId="77777777" w:rsidR="00A81C4F" w:rsidRPr="00D412A0" w:rsidRDefault="00A81C4F" w:rsidP="00160B07">
            <w:pPr>
              <w:pStyle w:val="Normal-table"/>
            </w:pPr>
            <w:r w:rsidRPr="0026571B">
              <w:t>Sarina QGAP</w:t>
            </w:r>
          </w:p>
        </w:tc>
        <w:tc>
          <w:tcPr>
            <w:tcW w:w="3271" w:type="pct"/>
          </w:tcPr>
          <w:p w14:paraId="22C2F295" w14:textId="77777777" w:rsidR="00A81C4F" w:rsidRPr="00D412A0" w:rsidRDefault="00A81C4F" w:rsidP="00160B07">
            <w:pPr>
              <w:pStyle w:val="Normal-table"/>
              <w:cnfStyle w:val="000000100000" w:firstRow="0" w:lastRow="0" w:firstColumn="0" w:lastColumn="0" w:oddVBand="0" w:evenVBand="0" w:oddHBand="1" w:evenHBand="0" w:firstRowFirstColumn="0" w:firstRowLastColumn="0" w:lastRowFirstColumn="0" w:lastRowLastColumn="0"/>
            </w:pPr>
            <w:r w:rsidRPr="0026571B">
              <w:t>Sarina Magistrates Court, 52-54 Broad Street, Sarina QLD 4737</w:t>
            </w:r>
          </w:p>
        </w:tc>
      </w:tr>
      <w:tr w:rsidR="00A81C4F" w:rsidRPr="008F32E9" w14:paraId="21643F9D" w14:textId="77777777" w:rsidTr="00160B07">
        <w:tc>
          <w:tcPr>
            <w:cnfStyle w:val="001000000000" w:firstRow="0" w:lastRow="0" w:firstColumn="1" w:lastColumn="0" w:oddVBand="0" w:evenVBand="0" w:oddHBand="0" w:evenHBand="0" w:firstRowFirstColumn="0" w:firstRowLastColumn="0" w:lastRowFirstColumn="0" w:lastRowLastColumn="0"/>
            <w:tcW w:w="1729" w:type="pct"/>
          </w:tcPr>
          <w:p w14:paraId="728177DF" w14:textId="77777777" w:rsidR="00A81C4F" w:rsidRPr="00D412A0" w:rsidRDefault="00A81C4F" w:rsidP="00160B07">
            <w:pPr>
              <w:pStyle w:val="Normal-table"/>
            </w:pPr>
            <w:r w:rsidRPr="0026571B">
              <w:t>Springsure QGAP</w:t>
            </w:r>
          </w:p>
        </w:tc>
        <w:tc>
          <w:tcPr>
            <w:tcW w:w="3271" w:type="pct"/>
          </w:tcPr>
          <w:p w14:paraId="6BE09295" w14:textId="77777777" w:rsidR="00A81C4F" w:rsidRPr="00D412A0" w:rsidRDefault="00A81C4F" w:rsidP="00160B07">
            <w:pPr>
              <w:pStyle w:val="Normal-table"/>
              <w:cnfStyle w:val="000000000000" w:firstRow="0" w:lastRow="0" w:firstColumn="0" w:lastColumn="0" w:oddVBand="0" w:evenVBand="0" w:oddHBand="0" w:evenHBand="0" w:firstRowFirstColumn="0" w:firstRowLastColumn="0" w:lastRowFirstColumn="0" w:lastRowLastColumn="0"/>
            </w:pPr>
            <w:r w:rsidRPr="0026571B">
              <w:t>Springsure Magistrates Court, 45 Eclipse Street, Springsure QLD 4722</w:t>
            </w:r>
          </w:p>
        </w:tc>
      </w:tr>
      <w:tr w:rsidR="00A81C4F" w:rsidRPr="008F32E9" w14:paraId="48F27204" w14:textId="77777777" w:rsidTr="0016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pct"/>
          </w:tcPr>
          <w:p w14:paraId="1DE929A7" w14:textId="77777777" w:rsidR="00A81C4F" w:rsidRPr="00D412A0" w:rsidRDefault="00A81C4F" w:rsidP="00160B07">
            <w:pPr>
              <w:pStyle w:val="Normal-table"/>
            </w:pPr>
            <w:r w:rsidRPr="00D412A0">
              <w:t>Surat QGAP</w:t>
            </w:r>
          </w:p>
        </w:tc>
        <w:tc>
          <w:tcPr>
            <w:tcW w:w="3271" w:type="pct"/>
          </w:tcPr>
          <w:p w14:paraId="14EFA750" w14:textId="77777777" w:rsidR="00A81C4F" w:rsidRPr="00D412A0" w:rsidRDefault="00A81C4F" w:rsidP="00160B07">
            <w:pPr>
              <w:pStyle w:val="Normal-table"/>
              <w:cnfStyle w:val="000000100000" w:firstRow="0" w:lastRow="0" w:firstColumn="0" w:lastColumn="0" w:oddVBand="0" w:evenVBand="0" w:oddHBand="1" w:evenHBand="0" w:firstRowFirstColumn="0" w:firstRowLastColumn="0" w:lastRowFirstColumn="0" w:lastRowLastColumn="0"/>
            </w:pPr>
            <w:r w:rsidRPr="00D412A0">
              <w:t>62 Burrowes Street, Surat QLD 4417</w:t>
            </w:r>
          </w:p>
        </w:tc>
      </w:tr>
      <w:tr w:rsidR="00A81C4F" w:rsidRPr="008F32E9" w14:paraId="6298D220" w14:textId="77777777" w:rsidTr="00160B07">
        <w:tc>
          <w:tcPr>
            <w:cnfStyle w:val="001000000000" w:firstRow="0" w:lastRow="0" w:firstColumn="1" w:lastColumn="0" w:oddVBand="0" w:evenVBand="0" w:oddHBand="0" w:evenHBand="0" w:firstRowFirstColumn="0" w:firstRowLastColumn="0" w:lastRowFirstColumn="0" w:lastRowLastColumn="0"/>
            <w:tcW w:w="1729" w:type="pct"/>
          </w:tcPr>
          <w:p w14:paraId="180CE802" w14:textId="77777777" w:rsidR="00A81C4F" w:rsidRPr="00D412A0" w:rsidRDefault="00A81C4F" w:rsidP="00160B07">
            <w:pPr>
              <w:pStyle w:val="Normal-table"/>
            </w:pPr>
            <w:r w:rsidRPr="00D649D5">
              <w:t>St George QGAP</w:t>
            </w:r>
          </w:p>
        </w:tc>
        <w:tc>
          <w:tcPr>
            <w:tcW w:w="3271" w:type="pct"/>
          </w:tcPr>
          <w:p w14:paraId="422D656D" w14:textId="77777777" w:rsidR="00A81C4F" w:rsidRPr="00D412A0" w:rsidRDefault="00A81C4F" w:rsidP="00160B07">
            <w:pPr>
              <w:pStyle w:val="Normal-table"/>
              <w:cnfStyle w:val="000000000000" w:firstRow="0" w:lastRow="0" w:firstColumn="0" w:lastColumn="0" w:oddVBand="0" w:evenVBand="0" w:oddHBand="0" w:evenHBand="0" w:firstRowFirstColumn="0" w:firstRowLastColumn="0" w:lastRowFirstColumn="0" w:lastRowLastColumn="0"/>
            </w:pPr>
            <w:r w:rsidRPr="00D649D5">
              <w:t>St George Magistrates Court, 44 St George's Terrace, St George QLD 4487</w:t>
            </w:r>
          </w:p>
        </w:tc>
      </w:tr>
      <w:tr w:rsidR="00A81C4F" w:rsidRPr="008F32E9" w14:paraId="78E1470E" w14:textId="77777777" w:rsidTr="0016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pct"/>
          </w:tcPr>
          <w:p w14:paraId="1BC1F310" w14:textId="77777777" w:rsidR="00A81C4F" w:rsidRPr="00D412A0" w:rsidRDefault="00A81C4F" w:rsidP="00160B07">
            <w:pPr>
              <w:pStyle w:val="Normal-table"/>
            </w:pPr>
            <w:r w:rsidRPr="00D412A0">
              <w:t>Quilpie QGAP</w:t>
            </w:r>
          </w:p>
        </w:tc>
        <w:tc>
          <w:tcPr>
            <w:tcW w:w="3271" w:type="pct"/>
          </w:tcPr>
          <w:p w14:paraId="7A9673B1" w14:textId="77777777" w:rsidR="00A81C4F" w:rsidRPr="00D412A0" w:rsidRDefault="00A81C4F" w:rsidP="00160B07">
            <w:pPr>
              <w:pStyle w:val="Normal-table"/>
              <w:cnfStyle w:val="000000100000" w:firstRow="0" w:lastRow="0" w:firstColumn="0" w:lastColumn="0" w:oddVBand="0" w:evenVBand="0" w:oddHBand="1" w:evenHBand="0" w:firstRowFirstColumn="0" w:firstRowLastColumn="0" w:lastRowFirstColumn="0" w:lastRowLastColumn="0"/>
            </w:pPr>
            <w:r w:rsidRPr="00D412A0">
              <w:t>5 Buln Buln Street, QUILPIE QLD 4480</w:t>
            </w:r>
          </w:p>
        </w:tc>
      </w:tr>
      <w:tr w:rsidR="00A81C4F" w:rsidRPr="008F32E9" w14:paraId="7719DF84" w14:textId="77777777" w:rsidTr="00160B07">
        <w:tc>
          <w:tcPr>
            <w:cnfStyle w:val="001000000000" w:firstRow="0" w:lastRow="0" w:firstColumn="1" w:lastColumn="0" w:oddVBand="0" w:evenVBand="0" w:oddHBand="0" w:evenHBand="0" w:firstRowFirstColumn="0" w:firstRowLastColumn="0" w:lastRowFirstColumn="0" w:lastRowLastColumn="0"/>
            <w:tcW w:w="1729" w:type="pct"/>
          </w:tcPr>
          <w:p w14:paraId="756FEABB" w14:textId="77777777" w:rsidR="00A81C4F" w:rsidRPr="00D412A0" w:rsidRDefault="00A81C4F" w:rsidP="00160B07">
            <w:pPr>
              <w:pStyle w:val="Normal-table"/>
            </w:pPr>
            <w:r w:rsidRPr="00D649D5">
              <w:t>Stanthorpe QGAP</w:t>
            </w:r>
          </w:p>
        </w:tc>
        <w:tc>
          <w:tcPr>
            <w:tcW w:w="3271" w:type="pct"/>
          </w:tcPr>
          <w:p w14:paraId="618CF181" w14:textId="77777777" w:rsidR="00A81C4F" w:rsidRPr="00D412A0" w:rsidRDefault="00A81C4F" w:rsidP="00160B07">
            <w:pPr>
              <w:pStyle w:val="Normal-table"/>
              <w:cnfStyle w:val="000000000000" w:firstRow="0" w:lastRow="0" w:firstColumn="0" w:lastColumn="0" w:oddVBand="0" w:evenVBand="0" w:oddHBand="0" w:evenHBand="0" w:firstRowFirstColumn="0" w:firstRowLastColumn="0" w:lastRowFirstColumn="0" w:lastRowLastColumn="0"/>
            </w:pPr>
            <w:r w:rsidRPr="00D649D5">
              <w:t>51 Marsh Street, Stanthorpe QLD 4380</w:t>
            </w:r>
          </w:p>
        </w:tc>
      </w:tr>
      <w:tr w:rsidR="00A81C4F" w:rsidRPr="008F32E9" w14:paraId="122C470B" w14:textId="77777777" w:rsidTr="0016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pct"/>
          </w:tcPr>
          <w:p w14:paraId="36A0BC3F" w14:textId="77777777" w:rsidR="00A81C4F" w:rsidRPr="00D412A0" w:rsidRDefault="00A81C4F" w:rsidP="00160B07">
            <w:pPr>
              <w:pStyle w:val="Normal-table"/>
            </w:pPr>
            <w:r w:rsidRPr="00D412A0">
              <w:lastRenderedPageBreak/>
              <w:t>Tara QGAP</w:t>
            </w:r>
          </w:p>
        </w:tc>
        <w:tc>
          <w:tcPr>
            <w:tcW w:w="3271" w:type="pct"/>
          </w:tcPr>
          <w:p w14:paraId="4F6288F0" w14:textId="77777777" w:rsidR="00A81C4F" w:rsidRPr="00D412A0" w:rsidRDefault="00A81C4F" w:rsidP="00160B07">
            <w:pPr>
              <w:pStyle w:val="Normal-table"/>
              <w:cnfStyle w:val="000000100000" w:firstRow="0" w:lastRow="0" w:firstColumn="0" w:lastColumn="0" w:oddVBand="0" w:evenVBand="0" w:oddHBand="1" w:evenHBand="0" w:firstRowFirstColumn="0" w:firstRowLastColumn="0" w:lastRowFirstColumn="0" w:lastRowLastColumn="0"/>
            </w:pPr>
            <w:r w:rsidRPr="00D649D5">
              <w:t>19 Fry Street, Tara QLD 4421</w:t>
            </w:r>
          </w:p>
        </w:tc>
      </w:tr>
      <w:tr w:rsidR="00A81C4F" w:rsidRPr="008F32E9" w14:paraId="7B1B66A7" w14:textId="77777777" w:rsidTr="00160B07">
        <w:tc>
          <w:tcPr>
            <w:cnfStyle w:val="001000000000" w:firstRow="0" w:lastRow="0" w:firstColumn="1" w:lastColumn="0" w:oddVBand="0" w:evenVBand="0" w:oddHBand="0" w:evenHBand="0" w:firstRowFirstColumn="0" w:firstRowLastColumn="0" w:lastRowFirstColumn="0" w:lastRowLastColumn="0"/>
            <w:tcW w:w="1729" w:type="pct"/>
          </w:tcPr>
          <w:p w14:paraId="47AE1B08" w14:textId="77777777" w:rsidR="00A81C4F" w:rsidRPr="00D412A0" w:rsidRDefault="00A81C4F" w:rsidP="00160B07">
            <w:pPr>
              <w:pStyle w:val="Normal-table"/>
            </w:pPr>
            <w:r w:rsidRPr="00D649D5">
              <w:t>Taroom QGAP</w:t>
            </w:r>
          </w:p>
        </w:tc>
        <w:tc>
          <w:tcPr>
            <w:tcW w:w="3271" w:type="pct"/>
          </w:tcPr>
          <w:p w14:paraId="7D4FD7EC" w14:textId="77777777" w:rsidR="00A81C4F" w:rsidRPr="00D412A0" w:rsidRDefault="00A81C4F" w:rsidP="00160B07">
            <w:pPr>
              <w:pStyle w:val="Normal-table"/>
              <w:cnfStyle w:val="000000000000" w:firstRow="0" w:lastRow="0" w:firstColumn="0" w:lastColumn="0" w:oddVBand="0" w:evenVBand="0" w:oddHBand="0" w:evenHBand="0" w:firstRowFirstColumn="0" w:firstRowLastColumn="0" w:lastRowFirstColumn="0" w:lastRowLastColumn="0"/>
            </w:pPr>
            <w:r w:rsidRPr="00D649D5">
              <w:t>Taroom Magistrates Court, 33 Yaldwyn Street, Taroom QLD 4420</w:t>
            </w:r>
          </w:p>
        </w:tc>
      </w:tr>
      <w:tr w:rsidR="00A81C4F" w:rsidRPr="008F32E9" w14:paraId="6B8EF092" w14:textId="77777777" w:rsidTr="0016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pct"/>
          </w:tcPr>
          <w:p w14:paraId="653E007D" w14:textId="77777777" w:rsidR="00A81C4F" w:rsidRPr="00D412A0" w:rsidRDefault="00A81C4F" w:rsidP="00160B07">
            <w:pPr>
              <w:pStyle w:val="Normal-table"/>
            </w:pPr>
            <w:r w:rsidRPr="00D649D5">
              <w:t>Texas QGAP</w:t>
            </w:r>
          </w:p>
        </w:tc>
        <w:tc>
          <w:tcPr>
            <w:tcW w:w="3271" w:type="pct"/>
          </w:tcPr>
          <w:p w14:paraId="16A5A3F0" w14:textId="77777777" w:rsidR="00A81C4F" w:rsidRPr="00D412A0" w:rsidRDefault="00A81C4F" w:rsidP="00160B07">
            <w:pPr>
              <w:pStyle w:val="Normal-table"/>
              <w:cnfStyle w:val="000000100000" w:firstRow="0" w:lastRow="0" w:firstColumn="0" w:lastColumn="0" w:oddVBand="0" w:evenVBand="0" w:oddHBand="1" w:evenHBand="0" w:firstRowFirstColumn="0" w:firstRowLastColumn="0" w:lastRowFirstColumn="0" w:lastRowLastColumn="0"/>
            </w:pPr>
            <w:r w:rsidRPr="00D649D5">
              <w:t>32 Cadell Street, Texas QLD 4385</w:t>
            </w:r>
          </w:p>
        </w:tc>
      </w:tr>
      <w:tr w:rsidR="00A81C4F" w:rsidRPr="008F32E9" w14:paraId="17B7AC25" w14:textId="77777777" w:rsidTr="00160B07">
        <w:tc>
          <w:tcPr>
            <w:cnfStyle w:val="001000000000" w:firstRow="0" w:lastRow="0" w:firstColumn="1" w:lastColumn="0" w:oddVBand="0" w:evenVBand="0" w:oddHBand="0" w:evenHBand="0" w:firstRowFirstColumn="0" w:firstRowLastColumn="0" w:lastRowFirstColumn="0" w:lastRowLastColumn="0"/>
            <w:tcW w:w="1729" w:type="pct"/>
          </w:tcPr>
          <w:p w14:paraId="65B00EB1" w14:textId="77777777" w:rsidR="00A81C4F" w:rsidRPr="00D412A0" w:rsidRDefault="00A81C4F" w:rsidP="00160B07">
            <w:pPr>
              <w:pStyle w:val="Normal-table"/>
            </w:pPr>
            <w:r w:rsidRPr="00D412A0">
              <w:t>Thargomindah QGAP</w:t>
            </w:r>
          </w:p>
        </w:tc>
        <w:tc>
          <w:tcPr>
            <w:tcW w:w="3271" w:type="pct"/>
          </w:tcPr>
          <w:p w14:paraId="2E308DAB" w14:textId="77777777" w:rsidR="00A81C4F" w:rsidRPr="00D412A0" w:rsidRDefault="00A81C4F" w:rsidP="00160B07">
            <w:pPr>
              <w:pStyle w:val="Normal-table"/>
              <w:cnfStyle w:val="000000000000" w:firstRow="0" w:lastRow="0" w:firstColumn="0" w:lastColumn="0" w:oddVBand="0" w:evenVBand="0" w:oddHBand="0" w:evenHBand="0" w:firstRowFirstColumn="0" w:firstRowLastColumn="0" w:lastRowFirstColumn="0" w:lastRowLastColumn="0"/>
            </w:pPr>
            <w:r w:rsidRPr="00D412A0">
              <w:t>Police Station, Dowling Street, Thargomindah QLD 4492</w:t>
            </w:r>
          </w:p>
        </w:tc>
      </w:tr>
      <w:tr w:rsidR="00A81C4F" w:rsidRPr="008F32E9" w14:paraId="2D35681B" w14:textId="77777777" w:rsidTr="0016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pct"/>
          </w:tcPr>
          <w:p w14:paraId="7C53C4CE" w14:textId="77777777" w:rsidR="00A81C4F" w:rsidRPr="00D412A0" w:rsidRDefault="00A81C4F" w:rsidP="00160B07">
            <w:pPr>
              <w:pStyle w:val="Normal-table"/>
            </w:pPr>
            <w:r w:rsidRPr="00D412A0">
              <w:t>Thursday Island QGAP</w:t>
            </w:r>
          </w:p>
        </w:tc>
        <w:tc>
          <w:tcPr>
            <w:tcW w:w="3271" w:type="pct"/>
          </w:tcPr>
          <w:p w14:paraId="34B209F9" w14:textId="77777777" w:rsidR="00A81C4F" w:rsidRPr="00D412A0" w:rsidRDefault="00A81C4F" w:rsidP="00160B07">
            <w:pPr>
              <w:pStyle w:val="Normal-table"/>
              <w:cnfStyle w:val="000000100000" w:firstRow="0" w:lastRow="0" w:firstColumn="0" w:lastColumn="0" w:oddVBand="0" w:evenVBand="0" w:oddHBand="1" w:evenHBand="0" w:firstRowFirstColumn="0" w:firstRowLastColumn="0" w:lastRowFirstColumn="0" w:lastRowLastColumn="0"/>
            </w:pPr>
            <w:r w:rsidRPr="00D412A0">
              <w:t>136 Douglas Street, Thursday Island QLD 4875</w:t>
            </w:r>
          </w:p>
        </w:tc>
      </w:tr>
      <w:tr w:rsidR="00A81C4F" w:rsidRPr="008F32E9" w14:paraId="0631B4B3" w14:textId="77777777" w:rsidTr="00160B07">
        <w:tc>
          <w:tcPr>
            <w:cnfStyle w:val="001000000000" w:firstRow="0" w:lastRow="0" w:firstColumn="1" w:lastColumn="0" w:oddVBand="0" w:evenVBand="0" w:oddHBand="0" w:evenHBand="0" w:firstRowFirstColumn="0" w:firstRowLastColumn="0" w:lastRowFirstColumn="0" w:lastRowLastColumn="0"/>
            <w:tcW w:w="1729" w:type="pct"/>
          </w:tcPr>
          <w:p w14:paraId="74E794B2" w14:textId="77777777" w:rsidR="00A81C4F" w:rsidRPr="00D412A0" w:rsidRDefault="00A81C4F" w:rsidP="00160B07">
            <w:pPr>
              <w:pStyle w:val="Normal-table"/>
            </w:pPr>
            <w:r w:rsidRPr="00D649D5">
              <w:t>Toogoolawah QGAP</w:t>
            </w:r>
          </w:p>
        </w:tc>
        <w:tc>
          <w:tcPr>
            <w:tcW w:w="3271" w:type="pct"/>
          </w:tcPr>
          <w:p w14:paraId="7340560A" w14:textId="77777777" w:rsidR="00A81C4F" w:rsidRPr="00D412A0" w:rsidRDefault="00A81C4F" w:rsidP="00160B07">
            <w:pPr>
              <w:pStyle w:val="Normal-table"/>
              <w:cnfStyle w:val="000000000000" w:firstRow="0" w:lastRow="0" w:firstColumn="0" w:lastColumn="0" w:oddVBand="0" w:evenVBand="0" w:oddHBand="0" w:evenHBand="0" w:firstRowFirstColumn="0" w:firstRowLastColumn="0" w:lastRowFirstColumn="0" w:lastRowLastColumn="0"/>
            </w:pPr>
            <w:r w:rsidRPr="00D649D5">
              <w:t>Toogoolawah Magistrates Court, Hopkins Place, Gardner Street North, Toogoolawah QLD 4313</w:t>
            </w:r>
          </w:p>
        </w:tc>
      </w:tr>
      <w:tr w:rsidR="00A81C4F" w:rsidRPr="008F32E9" w14:paraId="2CBF51EF" w14:textId="77777777" w:rsidTr="0016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pct"/>
          </w:tcPr>
          <w:p w14:paraId="3BEDDC44" w14:textId="77777777" w:rsidR="00A81C4F" w:rsidRPr="00D412A0" w:rsidRDefault="00A81C4F" w:rsidP="00160B07">
            <w:pPr>
              <w:pStyle w:val="Normal-table"/>
            </w:pPr>
            <w:r w:rsidRPr="00D649D5">
              <w:t>Tully QGAP</w:t>
            </w:r>
          </w:p>
        </w:tc>
        <w:tc>
          <w:tcPr>
            <w:tcW w:w="3271" w:type="pct"/>
          </w:tcPr>
          <w:p w14:paraId="2F28011C" w14:textId="77777777" w:rsidR="00A81C4F" w:rsidRPr="00D412A0" w:rsidRDefault="00A81C4F" w:rsidP="00160B07">
            <w:pPr>
              <w:pStyle w:val="Normal-table"/>
              <w:cnfStyle w:val="000000100000" w:firstRow="0" w:lastRow="0" w:firstColumn="0" w:lastColumn="0" w:oddVBand="0" w:evenVBand="0" w:oddHBand="1" w:evenHBand="0" w:firstRowFirstColumn="0" w:firstRowLastColumn="0" w:lastRowFirstColumn="0" w:lastRowLastColumn="0"/>
            </w:pPr>
            <w:r w:rsidRPr="00D649D5">
              <w:t xml:space="preserve">Tully </w:t>
            </w:r>
            <w:r w:rsidRPr="00D412A0">
              <w:t>Magistrates Court, 46 Bryant Street, Tully QLD 4854</w:t>
            </w:r>
          </w:p>
        </w:tc>
      </w:tr>
      <w:tr w:rsidR="00A81C4F" w:rsidRPr="008F32E9" w14:paraId="799D2234" w14:textId="77777777" w:rsidTr="00160B07">
        <w:tc>
          <w:tcPr>
            <w:cnfStyle w:val="001000000000" w:firstRow="0" w:lastRow="0" w:firstColumn="1" w:lastColumn="0" w:oddVBand="0" w:evenVBand="0" w:oddHBand="0" w:evenHBand="0" w:firstRowFirstColumn="0" w:firstRowLastColumn="0" w:lastRowFirstColumn="0" w:lastRowLastColumn="0"/>
            <w:tcW w:w="1729" w:type="pct"/>
          </w:tcPr>
          <w:p w14:paraId="42B71198" w14:textId="77777777" w:rsidR="00A81C4F" w:rsidRPr="00D412A0" w:rsidRDefault="00A81C4F" w:rsidP="00160B07">
            <w:pPr>
              <w:pStyle w:val="Normal-table"/>
            </w:pPr>
            <w:r w:rsidRPr="00D412A0">
              <w:t>Wandoan QGAP</w:t>
            </w:r>
          </w:p>
        </w:tc>
        <w:tc>
          <w:tcPr>
            <w:tcW w:w="3271" w:type="pct"/>
          </w:tcPr>
          <w:p w14:paraId="042AD0E9" w14:textId="77777777" w:rsidR="00A81C4F" w:rsidRPr="00D412A0" w:rsidRDefault="00A81C4F" w:rsidP="00160B07">
            <w:pPr>
              <w:pStyle w:val="Normal-table"/>
              <w:cnfStyle w:val="000000000000" w:firstRow="0" w:lastRow="0" w:firstColumn="0" w:lastColumn="0" w:oddVBand="0" w:evenVBand="0" w:oddHBand="0" w:evenHBand="0" w:firstRowFirstColumn="0" w:firstRowLastColumn="0" w:lastRowFirstColumn="0" w:lastRowLastColumn="0"/>
            </w:pPr>
            <w:r w:rsidRPr="00D412A0">
              <w:t>11 Lawton Street, Wandoan QLD 4419</w:t>
            </w:r>
          </w:p>
        </w:tc>
      </w:tr>
      <w:tr w:rsidR="00A81C4F" w:rsidRPr="008F32E9" w14:paraId="6D7169D5" w14:textId="77777777" w:rsidTr="0016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pct"/>
          </w:tcPr>
          <w:p w14:paraId="1C362180" w14:textId="77777777" w:rsidR="00A81C4F" w:rsidRPr="00D412A0" w:rsidRDefault="00A81C4F" w:rsidP="00160B07">
            <w:pPr>
              <w:pStyle w:val="Normal-table"/>
            </w:pPr>
            <w:r w:rsidRPr="00D412A0">
              <w:t>Weipa QGAP</w:t>
            </w:r>
          </w:p>
        </w:tc>
        <w:tc>
          <w:tcPr>
            <w:tcW w:w="3271" w:type="pct"/>
          </w:tcPr>
          <w:p w14:paraId="63AFE1AC" w14:textId="77777777" w:rsidR="00A81C4F" w:rsidRPr="00D412A0" w:rsidRDefault="00A81C4F" w:rsidP="00160B07">
            <w:pPr>
              <w:pStyle w:val="Normal-table"/>
              <w:cnfStyle w:val="000000100000" w:firstRow="0" w:lastRow="0" w:firstColumn="0" w:lastColumn="0" w:oddVBand="0" w:evenVBand="0" w:oddHBand="1" w:evenHBand="0" w:firstRowFirstColumn="0" w:firstRowLastColumn="0" w:lastRowFirstColumn="0" w:lastRowLastColumn="0"/>
            </w:pPr>
            <w:r w:rsidRPr="00D412A0">
              <w:t>Memorial Square, Central Avenue Weipa QLD 4874</w:t>
            </w:r>
          </w:p>
        </w:tc>
      </w:tr>
      <w:tr w:rsidR="00A81C4F" w:rsidRPr="008F32E9" w14:paraId="008117F5" w14:textId="77777777" w:rsidTr="00160B07">
        <w:tc>
          <w:tcPr>
            <w:cnfStyle w:val="001000000000" w:firstRow="0" w:lastRow="0" w:firstColumn="1" w:lastColumn="0" w:oddVBand="0" w:evenVBand="0" w:oddHBand="0" w:evenHBand="0" w:firstRowFirstColumn="0" w:firstRowLastColumn="0" w:lastRowFirstColumn="0" w:lastRowLastColumn="0"/>
            <w:tcW w:w="1729" w:type="pct"/>
          </w:tcPr>
          <w:p w14:paraId="32F6153A" w14:textId="77777777" w:rsidR="00A81C4F" w:rsidRPr="00D412A0" w:rsidRDefault="00A81C4F" w:rsidP="00160B07">
            <w:pPr>
              <w:pStyle w:val="Normal-table"/>
            </w:pPr>
            <w:r w:rsidRPr="00D412A0">
              <w:t>Windorah QGAP</w:t>
            </w:r>
          </w:p>
        </w:tc>
        <w:tc>
          <w:tcPr>
            <w:tcW w:w="3271" w:type="pct"/>
          </w:tcPr>
          <w:p w14:paraId="25992DDC" w14:textId="77777777" w:rsidR="00A81C4F" w:rsidRPr="00D412A0" w:rsidRDefault="00A81C4F" w:rsidP="00160B07">
            <w:pPr>
              <w:pStyle w:val="Normal-table"/>
              <w:cnfStyle w:val="000000000000" w:firstRow="0" w:lastRow="0" w:firstColumn="0" w:lastColumn="0" w:oddVBand="0" w:evenVBand="0" w:oddHBand="0" w:evenHBand="0" w:firstRowFirstColumn="0" w:firstRowLastColumn="0" w:lastRowFirstColumn="0" w:lastRowLastColumn="0"/>
            </w:pPr>
            <w:r w:rsidRPr="00D412A0">
              <w:t>Police Station, Victoria Street, Windorah QLD 4481</w:t>
            </w:r>
          </w:p>
        </w:tc>
      </w:tr>
      <w:tr w:rsidR="00A81C4F" w:rsidRPr="008F32E9" w14:paraId="6901D20D" w14:textId="77777777" w:rsidTr="0016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pct"/>
          </w:tcPr>
          <w:p w14:paraId="7380CCF8" w14:textId="77777777" w:rsidR="00A81C4F" w:rsidRPr="00D412A0" w:rsidRDefault="00A81C4F" w:rsidP="00160B07">
            <w:pPr>
              <w:pStyle w:val="Normal-table"/>
            </w:pPr>
            <w:r w:rsidRPr="00D649D5">
              <w:t>Winton QGAP</w:t>
            </w:r>
          </w:p>
        </w:tc>
        <w:tc>
          <w:tcPr>
            <w:tcW w:w="3271" w:type="pct"/>
          </w:tcPr>
          <w:p w14:paraId="2F44446D" w14:textId="77777777" w:rsidR="00A81C4F" w:rsidRPr="00D412A0" w:rsidRDefault="00A81C4F" w:rsidP="00160B07">
            <w:pPr>
              <w:pStyle w:val="Normal-table"/>
              <w:cnfStyle w:val="000000100000" w:firstRow="0" w:lastRow="0" w:firstColumn="0" w:lastColumn="0" w:oddVBand="0" w:evenVBand="0" w:oddHBand="1" w:evenHBand="0" w:firstRowFirstColumn="0" w:firstRowLastColumn="0" w:lastRowFirstColumn="0" w:lastRowLastColumn="0"/>
            </w:pPr>
            <w:r w:rsidRPr="00D649D5">
              <w:t>Winton Magistrates Court, 59 Vindex Street, Winton QLD 4735</w:t>
            </w:r>
          </w:p>
        </w:tc>
      </w:tr>
      <w:tr w:rsidR="00A81C4F" w:rsidRPr="008F32E9" w14:paraId="150D7DC0" w14:textId="77777777" w:rsidTr="00160B07">
        <w:tc>
          <w:tcPr>
            <w:cnfStyle w:val="001000000000" w:firstRow="0" w:lastRow="0" w:firstColumn="1" w:lastColumn="0" w:oddVBand="0" w:evenVBand="0" w:oddHBand="0" w:evenHBand="0" w:firstRowFirstColumn="0" w:firstRowLastColumn="0" w:lastRowFirstColumn="0" w:lastRowLastColumn="0"/>
            <w:tcW w:w="1729" w:type="pct"/>
          </w:tcPr>
          <w:p w14:paraId="05E42F5E" w14:textId="77777777" w:rsidR="00A81C4F" w:rsidRPr="00D412A0" w:rsidRDefault="00A81C4F" w:rsidP="00160B07">
            <w:pPr>
              <w:pStyle w:val="Normal-table"/>
            </w:pPr>
            <w:r w:rsidRPr="00D412A0">
              <w:t>Yarrabah QGAP</w:t>
            </w:r>
          </w:p>
        </w:tc>
        <w:tc>
          <w:tcPr>
            <w:tcW w:w="3271" w:type="pct"/>
          </w:tcPr>
          <w:p w14:paraId="1DF9D92E" w14:textId="77777777" w:rsidR="00A81C4F" w:rsidRPr="00D412A0" w:rsidRDefault="00A81C4F" w:rsidP="00160B07">
            <w:pPr>
              <w:pStyle w:val="Normal-table"/>
              <w:cnfStyle w:val="000000000000" w:firstRow="0" w:lastRow="0" w:firstColumn="0" w:lastColumn="0" w:oddVBand="0" w:evenVBand="0" w:oddHBand="0" w:evenHBand="0" w:firstRowFirstColumn="0" w:firstRowLastColumn="0" w:lastRowFirstColumn="0" w:lastRowLastColumn="0"/>
            </w:pPr>
            <w:r w:rsidRPr="00D412A0">
              <w:t>56 Sawmill Road, YARRABAH QLD 4871</w:t>
            </w:r>
          </w:p>
        </w:tc>
      </w:tr>
      <w:tr w:rsidR="00A81C4F" w:rsidRPr="008F32E9" w14:paraId="542F1A59" w14:textId="77777777" w:rsidTr="0016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pct"/>
          </w:tcPr>
          <w:p w14:paraId="419DDF87" w14:textId="77777777" w:rsidR="00A81C4F" w:rsidRPr="00D412A0" w:rsidRDefault="00A81C4F" w:rsidP="00160B07">
            <w:pPr>
              <w:pStyle w:val="Normal-table"/>
            </w:pPr>
            <w:r w:rsidRPr="00D649D5">
              <w:t>Yeppoon QGAP</w:t>
            </w:r>
          </w:p>
        </w:tc>
        <w:tc>
          <w:tcPr>
            <w:tcW w:w="3271" w:type="pct"/>
          </w:tcPr>
          <w:p w14:paraId="60952165" w14:textId="77777777" w:rsidR="00A81C4F" w:rsidRPr="00D412A0" w:rsidRDefault="00A81C4F" w:rsidP="00160B07">
            <w:pPr>
              <w:pStyle w:val="Normal-table"/>
              <w:cnfStyle w:val="000000100000" w:firstRow="0" w:lastRow="0" w:firstColumn="0" w:lastColumn="0" w:oddVBand="0" w:evenVBand="0" w:oddHBand="1" w:evenHBand="0" w:firstRowFirstColumn="0" w:firstRowLastColumn="0" w:lastRowFirstColumn="0" w:lastRowLastColumn="0"/>
            </w:pPr>
            <w:r w:rsidRPr="00D649D5">
              <w:t>21–23 Normanby Street, Yeppoon QLD 4703</w:t>
            </w:r>
          </w:p>
        </w:tc>
      </w:tr>
    </w:tbl>
    <w:p w14:paraId="1DE10CC5" w14:textId="5A88327C" w:rsidR="00A81C4F" w:rsidRDefault="00A81C4F" w:rsidP="00A81C4F">
      <w:pPr>
        <w:pStyle w:val="Heading3"/>
        <w:rPr>
          <w:lang w:val="en-AU"/>
        </w:rPr>
      </w:pPr>
      <w:r w:rsidRPr="008F32E9">
        <w:rPr>
          <w:lang w:val="en-AU"/>
        </w:rPr>
        <w:t xml:space="preserve">Key regional maritime offices </w:t>
      </w:r>
    </w:p>
    <w:tbl>
      <w:tblPr>
        <w:tblStyle w:val="GridTable4-Accent1"/>
        <w:tblW w:w="5000" w:type="pct"/>
        <w:tblLook w:val="04A0" w:firstRow="1" w:lastRow="0" w:firstColumn="1" w:lastColumn="0" w:noHBand="0" w:noVBand="1"/>
      </w:tblPr>
      <w:tblGrid>
        <w:gridCol w:w="2610"/>
        <w:gridCol w:w="7846"/>
      </w:tblGrid>
      <w:tr w:rsidR="00A81C4F" w:rsidRPr="008F32E9" w14:paraId="4D7F50EE" w14:textId="77777777" w:rsidTr="00160B0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8" w:type="pct"/>
          </w:tcPr>
          <w:p w14:paraId="5DB39411" w14:textId="77777777" w:rsidR="00A81C4F" w:rsidRPr="008F32E9" w:rsidRDefault="00A81C4F" w:rsidP="00F25CF9">
            <w:pPr>
              <w:rPr>
                <w:lang w:val="en-AU"/>
              </w:rPr>
            </w:pPr>
            <w:r w:rsidRPr="008F32E9">
              <w:rPr>
                <w:lang w:val="en-AU"/>
              </w:rPr>
              <w:t>Suburb/town</w:t>
            </w:r>
          </w:p>
        </w:tc>
        <w:tc>
          <w:tcPr>
            <w:tcW w:w="3752" w:type="pct"/>
          </w:tcPr>
          <w:p w14:paraId="4D443A59" w14:textId="77777777" w:rsidR="00A81C4F" w:rsidRPr="008F32E9" w:rsidRDefault="00A81C4F" w:rsidP="00F25CF9">
            <w:pPr>
              <w:cnfStyle w:val="100000000000" w:firstRow="1" w:lastRow="0" w:firstColumn="0" w:lastColumn="0" w:oddVBand="0" w:evenVBand="0" w:oddHBand="0" w:evenHBand="0" w:firstRowFirstColumn="0" w:firstRowLastColumn="0" w:lastRowFirstColumn="0" w:lastRowLastColumn="0"/>
              <w:rPr>
                <w:lang w:val="en-AU"/>
              </w:rPr>
            </w:pPr>
            <w:r w:rsidRPr="008F32E9">
              <w:rPr>
                <w:lang w:val="en-AU"/>
              </w:rPr>
              <w:t>Address</w:t>
            </w:r>
          </w:p>
        </w:tc>
      </w:tr>
      <w:tr w:rsidR="00A81C4F" w:rsidRPr="008F32E9" w14:paraId="69599E67" w14:textId="77777777" w:rsidTr="0016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pct"/>
          </w:tcPr>
          <w:p w14:paraId="2850AA2E" w14:textId="77777777" w:rsidR="00A81C4F" w:rsidRPr="008F32E9" w:rsidRDefault="00A81C4F" w:rsidP="00F25CF9">
            <w:pPr>
              <w:rPr>
                <w:lang w:val="en-AU"/>
              </w:rPr>
            </w:pPr>
            <w:r w:rsidRPr="008F32E9">
              <w:rPr>
                <w:lang w:val="en-AU"/>
              </w:rPr>
              <w:t>Brisbane</w:t>
            </w:r>
          </w:p>
        </w:tc>
        <w:tc>
          <w:tcPr>
            <w:tcW w:w="3752" w:type="pct"/>
          </w:tcPr>
          <w:p w14:paraId="399D79E2" w14:textId="77777777" w:rsidR="00A81C4F" w:rsidRPr="008F32E9" w:rsidRDefault="00A81C4F" w:rsidP="00F25CF9">
            <w:pPr>
              <w:cnfStyle w:val="000000100000" w:firstRow="0" w:lastRow="0" w:firstColumn="0" w:lastColumn="0" w:oddVBand="0" w:evenVBand="0" w:oddHBand="1" w:evenHBand="0" w:firstRowFirstColumn="0" w:firstRowLastColumn="0" w:lastRowFirstColumn="0" w:lastRowLastColumn="0"/>
              <w:rPr>
                <w:lang w:val="en-AU"/>
              </w:rPr>
            </w:pPr>
            <w:r w:rsidRPr="008F32E9">
              <w:rPr>
                <w:lang w:val="en-AU"/>
              </w:rPr>
              <w:t>Floor 1, Pinkenba Marine Operations Base, MacArthur Avenue East, Pinkenba QLD 4008</w:t>
            </w:r>
          </w:p>
        </w:tc>
      </w:tr>
      <w:tr w:rsidR="00A81C4F" w:rsidRPr="008F32E9" w14:paraId="4AD81CF8" w14:textId="77777777" w:rsidTr="00160B07">
        <w:tc>
          <w:tcPr>
            <w:cnfStyle w:val="001000000000" w:firstRow="0" w:lastRow="0" w:firstColumn="1" w:lastColumn="0" w:oddVBand="0" w:evenVBand="0" w:oddHBand="0" w:evenHBand="0" w:firstRowFirstColumn="0" w:firstRowLastColumn="0" w:lastRowFirstColumn="0" w:lastRowLastColumn="0"/>
            <w:tcW w:w="1248" w:type="pct"/>
          </w:tcPr>
          <w:p w14:paraId="2E1EC450" w14:textId="77777777" w:rsidR="00A81C4F" w:rsidRPr="008F32E9" w:rsidRDefault="00A81C4F" w:rsidP="00F25CF9">
            <w:pPr>
              <w:rPr>
                <w:lang w:val="en-AU"/>
              </w:rPr>
            </w:pPr>
            <w:r w:rsidRPr="008F32E9">
              <w:rPr>
                <w:lang w:val="en-AU"/>
              </w:rPr>
              <w:t>Cairns</w:t>
            </w:r>
          </w:p>
        </w:tc>
        <w:tc>
          <w:tcPr>
            <w:tcW w:w="3752" w:type="pct"/>
          </w:tcPr>
          <w:p w14:paraId="6D5E044E" w14:textId="77777777" w:rsidR="00A81C4F" w:rsidRPr="008F32E9" w:rsidRDefault="00A81C4F" w:rsidP="00F25CF9">
            <w:pPr>
              <w:cnfStyle w:val="000000000000" w:firstRow="0" w:lastRow="0" w:firstColumn="0" w:lastColumn="0" w:oddVBand="0" w:evenVBand="0" w:oddHBand="0" w:evenHBand="0" w:firstRowFirstColumn="0" w:firstRowLastColumn="0" w:lastRowFirstColumn="0" w:lastRowLastColumn="0"/>
              <w:rPr>
                <w:lang w:val="en-AU"/>
              </w:rPr>
            </w:pPr>
            <w:r w:rsidRPr="008F32E9">
              <w:rPr>
                <w:lang w:val="en-AU"/>
              </w:rPr>
              <w:t>Floor 1, Portsmith Marine Operations, 100-106 Tingira Street, Portsmith QLD 4870</w:t>
            </w:r>
          </w:p>
        </w:tc>
      </w:tr>
      <w:tr w:rsidR="00A81C4F" w:rsidRPr="008F32E9" w14:paraId="4E20F199" w14:textId="77777777" w:rsidTr="0016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pct"/>
          </w:tcPr>
          <w:p w14:paraId="5FDC4104" w14:textId="77777777" w:rsidR="00A81C4F" w:rsidRPr="008F32E9" w:rsidRDefault="00A81C4F" w:rsidP="00F25CF9">
            <w:pPr>
              <w:rPr>
                <w:lang w:val="en-AU"/>
              </w:rPr>
            </w:pPr>
            <w:r w:rsidRPr="008F32E9">
              <w:rPr>
                <w:lang w:val="en-AU"/>
              </w:rPr>
              <w:t>Gladstone</w:t>
            </w:r>
          </w:p>
        </w:tc>
        <w:tc>
          <w:tcPr>
            <w:tcW w:w="3752" w:type="pct"/>
          </w:tcPr>
          <w:p w14:paraId="1FB71803" w14:textId="77777777" w:rsidR="00A81C4F" w:rsidRPr="008F32E9" w:rsidRDefault="00A81C4F" w:rsidP="00F25CF9">
            <w:pPr>
              <w:cnfStyle w:val="000000100000" w:firstRow="0" w:lastRow="0" w:firstColumn="0" w:lastColumn="0" w:oddVBand="0" w:evenVBand="0" w:oddHBand="1" w:evenHBand="0" w:firstRowFirstColumn="0" w:firstRowLastColumn="0" w:lastRowFirstColumn="0" w:lastRowLastColumn="0"/>
              <w:rPr>
                <w:lang w:val="en-AU"/>
              </w:rPr>
            </w:pPr>
            <w:r w:rsidRPr="008F32E9">
              <w:rPr>
                <w:lang w:val="en-AU"/>
              </w:rPr>
              <w:t>Floor 7, 21 Yarroon Street, Gladstone QLD 4680</w:t>
            </w:r>
          </w:p>
        </w:tc>
      </w:tr>
      <w:tr w:rsidR="00A81C4F" w:rsidRPr="008F32E9" w14:paraId="0DED6FF0" w14:textId="77777777" w:rsidTr="00160B07">
        <w:tc>
          <w:tcPr>
            <w:cnfStyle w:val="001000000000" w:firstRow="0" w:lastRow="0" w:firstColumn="1" w:lastColumn="0" w:oddVBand="0" w:evenVBand="0" w:oddHBand="0" w:evenHBand="0" w:firstRowFirstColumn="0" w:firstRowLastColumn="0" w:lastRowFirstColumn="0" w:lastRowLastColumn="0"/>
            <w:tcW w:w="1248" w:type="pct"/>
          </w:tcPr>
          <w:p w14:paraId="60E1517F" w14:textId="77777777" w:rsidR="00A81C4F" w:rsidRPr="008F32E9" w:rsidRDefault="00A81C4F" w:rsidP="00F25CF9">
            <w:pPr>
              <w:rPr>
                <w:lang w:val="en-AU"/>
              </w:rPr>
            </w:pPr>
            <w:r w:rsidRPr="008F32E9">
              <w:rPr>
                <w:lang w:val="en-AU"/>
              </w:rPr>
              <w:t>Mackay</w:t>
            </w:r>
          </w:p>
        </w:tc>
        <w:tc>
          <w:tcPr>
            <w:tcW w:w="3752" w:type="pct"/>
          </w:tcPr>
          <w:p w14:paraId="3F0069F3" w14:textId="77777777" w:rsidR="00A81C4F" w:rsidRPr="008F32E9" w:rsidRDefault="00A81C4F" w:rsidP="00F25CF9">
            <w:pPr>
              <w:cnfStyle w:val="000000000000" w:firstRow="0" w:lastRow="0" w:firstColumn="0" w:lastColumn="0" w:oddVBand="0" w:evenVBand="0" w:oddHBand="0" w:evenHBand="0" w:firstRowFirstColumn="0" w:firstRowLastColumn="0" w:lastRowFirstColumn="0" w:lastRowLastColumn="0"/>
              <w:rPr>
                <w:lang w:val="en-AU"/>
              </w:rPr>
            </w:pPr>
            <w:r w:rsidRPr="008F32E9">
              <w:rPr>
                <w:lang w:val="en-AU"/>
              </w:rPr>
              <w:t>Floor 3, Mackay Government Office Building, 44 Nelson Street, Mackay QLD 4740</w:t>
            </w:r>
          </w:p>
        </w:tc>
      </w:tr>
      <w:tr w:rsidR="00A81C4F" w:rsidRPr="008F32E9" w14:paraId="4DCA3BA3" w14:textId="77777777" w:rsidTr="0016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pct"/>
          </w:tcPr>
          <w:p w14:paraId="68EC09CD" w14:textId="77777777" w:rsidR="00A81C4F" w:rsidRPr="008F32E9" w:rsidRDefault="00A81C4F" w:rsidP="00F25CF9">
            <w:pPr>
              <w:rPr>
                <w:lang w:val="en-AU"/>
              </w:rPr>
            </w:pPr>
            <w:r w:rsidRPr="008F32E9">
              <w:rPr>
                <w:lang w:val="en-AU"/>
              </w:rPr>
              <w:t xml:space="preserve">Townsville </w:t>
            </w:r>
          </w:p>
        </w:tc>
        <w:tc>
          <w:tcPr>
            <w:tcW w:w="3752" w:type="pct"/>
          </w:tcPr>
          <w:p w14:paraId="4240DF7B" w14:textId="77777777" w:rsidR="00A81C4F" w:rsidRPr="008F32E9" w:rsidRDefault="00A81C4F" w:rsidP="00F25CF9">
            <w:pPr>
              <w:cnfStyle w:val="000000100000" w:firstRow="0" w:lastRow="0" w:firstColumn="0" w:lastColumn="0" w:oddVBand="0" w:evenVBand="0" w:oddHBand="1" w:evenHBand="0" w:firstRowFirstColumn="0" w:firstRowLastColumn="0" w:lastRowFirstColumn="0" w:lastRowLastColumn="0"/>
              <w:rPr>
                <w:lang w:val="en-AU"/>
              </w:rPr>
            </w:pPr>
            <w:r w:rsidRPr="008F32E9">
              <w:rPr>
                <w:lang w:val="en-AU"/>
              </w:rPr>
              <w:t>60 Ross Street, Townsville QLD 4810</w:t>
            </w:r>
          </w:p>
        </w:tc>
      </w:tr>
    </w:tbl>
    <w:p w14:paraId="68161643" w14:textId="77777777" w:rsidR="00A81C4F" w:rsidRPr="008F32E9" w:rsidRDefault="00A81C4F" w:rsidP="00A81C4F">
      <w:pPr>
        <w:pStyle w:val="Caption"/>
        <w:rPr>
          <w:lang w:val="en-AU"/>
        </w:rPr>
      </w:pPr>
      <w:r w:rsidRPr="008F32E9">
        <w:rPr>
          <w:lang w:val="en-AU"/>
        </w:rPr>
        <w:t xml:space="preserve">A full list of MSQ offices can be found here  </w:t>
      </w:r>
      <w:hyperlink r:id="rId142" w:history="1">
        <w:r w:rsidRPr="008F32E9">
          <w:rPr>
            <w:rStyle w:val="Hyperlink"/>
            <w:lang w:val="en-AU"/>
          </w:rPr>
          <w:t>https://www.msq.qld.gov.au/About-us/How-to-contact-us/Regions</w:t>
        </w:r>
      </w:hyperlink>
      <w:r w:rsidRPr="008F32E9">
        <w:rPr>
          <w:lang w:val="en-AU"/>
        </w:rPr>
        <w:t xml:space="preserve"> </w:t>
      </w:r>
    </w:p>
    <w:p w14:paraId="0DB30966" w14:textId="77777777" w:rsidR="00093FB8" w:rsidRDefault="00093FB8">
      <w:pPr>
        <w:spacing w:before="0" w:after="160" w:line="259" w:lineRule="auto"/>
        <w:rPr>
          <w:rFonts w:eastAsiaTheme="majorEastAsia" w:cstheme="majorBidi"/>
          <w:color w:val="000000" w:themeColor="text1"/>
          <w:sz w:val="32"/>
          <w:szCs w:val="24"/>
          <w:lang w:val="en-AU"/>
        </w:rPr>
      </w:pPr>
      <w:r>
        <w:rPr>
          <w:lang w:val="en-AU"/>
        </w:rPr>
        <w:br w:type="page"/>
      </w:r>
    </w:p>
    <w:p w14:paraId="3260FA3B" w14:textId="49278F58" w:rsidR="00A81C4F" w:rsidRDefault="00A81C4F" w:rsidP="00A81C4F">
      <w:pPr>
        <w:pStyle w:val="Heading3"/>
        <w:rPr>
          <w:lang w:val="en-AU"/>
        </w:rPr>
      </w:pPr>
      <w:r w:rsidRPr="008F32E9">
        <w:rPr>
          <w:lang w:val="en-AU"/>
        </w:rPr>
        <w:lastRenderedPageBreak/>
        <w:t>Trans</w:t>
      </w:r>
      <w:r>
        <w:t>l</w:t>
      </w:r>
      <w:r w:rsidRPr="008F32E9">
        <w:rPr>
          <w:lang w:val="en-AU"/>
        </w:rPr>
        <w:t>ink regional contact centres</w:t>
      </w:r>
    </w:p>
    <w:tbl>
      <w:tblPr>
        <w:tblStyle w:val="GridTable4-Accent1"/>
        <w:tblW w:w="5000" w:type="pct"/>
        <w:tblLook w:val="04A0" w:firstRow="1" w:lastRow="0" w:firstColumn="1" w:lastColumn="0" w:noHBand="0" w:noVBand="1"/>
      </w:tblPr>
      <w:tblGrid>
        <w:gridCol w:w="2610"/>
        <w:gridCol w:w="7846"/>
      </w:tblGrid>
      <w:tr w:rsidR="00A81C4F" w:rsidRPr="008F32E9" w14:paraId="39602796" w14:textId="77777777" w:rsidTr="00160B0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8" w:type="pct"/>
          </w:tcPr>
          <w:p w14:paraId="4D6C86DE" w14:textId="77777777" w:rsidR="00A81C4F" w:rsidRPr="008F32E9" w:rsidRDefault="00A81C4F" w:rsidP="00CD4562">
            <w:pPr>
              <w:pStyle w:val="Normal-table"/>
              <w:rPr>
                <w:lang w:val="en-AU"/>
              </w:rPr>
            </w:pPr>
            <w:r w:rsidRPr="008F32E9">
              <w:rPr>
                <w:lang w:val="en-AU"/>
              </w:rPr>
              <w:t>Suburb/town</w:t>
            </w:r>
          </w:p>
        </w:tc>
        <w:tc>
          <w:tcPr>
            <w:tcW w:w="3752" w:type="pct"/>
          </w:tcPr>
          <w:p w14:paraId="577EDFE5" w14:textId="77777777" w:rsidR="00A81C4F" w:rsidRPr="008F32E9" w:rsidRDefault="00A81C4F" w:rsidP="00CD4562">
            <w:pPr>
              <w:pStyle w:val="Normal-table"/>
              <w:cnfStyle w:val="100000000000" w:firstRow="1" w:lastRow="0" w:firstColumn="0" w:lastColumn="0" w:oddVBand="0" w:evenVBand="0" w:oddHBand="0" w:evenHBand="0" w:firstRowFirstColumn="0" w:firstRowLastColumn="0" w:lastRowFirstColumn="0" w:lastRowLastColumn="0"/>
              <w:rPr>
                <w:lang w:val="en-AU"/>
              </w:rPr>
            </w:pPr>
            <w:r w:rsidRPr="008F32E9">
              <w:rPr>
                <w:lang w:val="en-AU"/>
              </w:rPr>
              <w:t>Address</w:t>
            </w:r>
          </w:p>
        </w:tc>
      </w:tr>
      <w:tr w:rsidR="00A81C4F" w:rsidRPr="008F32E9" w14:paraId="4DF97051" w14:textId="77777777" w:rsidTr="0016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pct"/>
          </w:tcPr>
          <w:p w14:paraId="38DB85B3" w14:textId="77777777" w:rsidR="00A81C4F" w:rsidRPr="008F32E9" w:rsidRDefault="00A81C4F" w:rsidP="00CD4562">
            <w:pPr>
              <w:pStyle w:val="Normal-table"/>
              <w:rPr>
                <w:lang w:val="en-AU"/>
              </w:rPr>
            </w:pPr>
            <w:r w:rsidRPr="008F32E9">
              <w:rPr>
                <w:lang w:val="en-AU"/>
              </w:rPr>
              <w:t>Cairns</w:t>
            </w:r>
          </w:p>
        </w:tc>
        <w:tc>
          <w:tcPr>
            <w:tcW w:w="3752" w:type="pct"/>
          </w:tcPr>
          <w:p w14:paraId="58A5068F" w14:textId="77777777" w:rsidR="00A81C4F" w:rsidRPr="008F32E9" w:rsidRDefault="00A81C4F" w:rsidP="00CD4562">
            <w:pPr>
              <w:pStyle w:val="Normal-table"/>
              <w:cnfStyle w:val="000000100000" w:firstRow="0" w:lastRow="0" w:firstColumn="0" w:lastColumn="0" w:oddVBand="0" w:evenVBand="0" w:oddHBand="1" w:evenHBand="0" w:firstRowFirstColumn="0" w:firstRowLastColumn="0" w:lastRowFirstColumn="0" w:lastRowLastColumn="0"/>
              <w:rPr>
                <w:lang w:val="en-AU"/>
              </w:rPr>
            </w:pPr>
            <w:r w:rsidRPr="008F32E9">
              <w:rPr>
                <w:lang w:val="en-AU"/>
              </w:rPr>
              <w:t>Floor 4, 15 Lake Street, Cairns QLD 4870</w:t>
            </w:r>
          </w:p>
        </w:tc>
      </w:tr>
      <w:tr w:rsidR="00A81C4F" w:rsidRPr="008F32E9" w14:paraId="5CCD79BE" w14:textId="77777777" w:rsidTr="00160B07">
        <w:tc>
          <w:tcPr>
            <w:cnfStyle w:val="001000000000" w:firstRow="0" w:lastRow="0" w:firstColumn="1" w:lastColumn="0" w:oddVBand="0" w:evenVBand="0" w:oddHBand="0" w:evenHBand="0" w:firstRowFirstColumn="0" w:firstRowLastColumn="0" w:lastRowFirstColumn="0" w:lastRowLastColumn="0"/>
            <w:tcW w:w="1248" w:type="pct"/>
          </w:tcPr>
          <w:p w14:paraId="7556C17E" w14:textId="77777777" w:rsidR="00A81C4F" w:rsidRPr="008F32E9" w:rsidRDefault="00A81C4F" w:rsidP="00CD4562">
            <w:pPr>
              <w:pStyle w:val="Normal-table"/>
              <w:rPr>
                <w:lang w:val="en-AU"/>
              </w:rPr>
            </w:pPr>
            <w:r w:rsidRPr="008F32E9">
              <w:rPr>
                <w:lang w:val="en-AU"/>
              </w:rPr>
              <w:t>Carseldine</w:t>
            </w:r>
          </w:p>
        </w:tc>
        <w:tc>
          <w:tcPr>
            <w:tcW w:w="3752" w:type="pct"/>
          </w:tcPr>
          <w:p w14:paraId="1C49F876" w14:textId="77777777" w:rsidR="00A81C4F" w:rsidRPr="008F32E9" w:rsidRDefault="00A81C4F" w:rsidP="00CD4562">
            <w:pPr>
              <w:pStyle w:val="Normal-table"/>
              <w:cnfStyle w:val="000000000000" w:firstRow="0" w:lastRow="0" w:firstColumn="0" w:lastColumn="0" w:oddVBand="0" w:evenVBand="0" w:oddHBand="0" w:evenHBand="0" w:firstRowFirstColumn="0" w:firstRowLastColumn="0" w:lastRowFirstColumn="0" w:lastRowLastColumn="0"/>
              <w:rPr>
                <w:lang w:val="en-AU"/>
              </w:rPr>
            </w:pPr>
            <w:r w:rsidRPr="008F32E9">
              <w:rPr>
                <w:lang w:val="en-AU"/>
              </w:rPr>
              <w:t>Building B, Floor 3, 532 Beams Road, Carseldine QLD 4034</w:t>
            </w:r>
          </w:p>
        </w:tc>
      </w:tr>
      <w:tr w:rsidR="00A81C4F" w:rsidRPr="008F32E9" w14:paraId="09EADDB3" w14:textId="77777777" w:rsidTr="0016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pct"/>
          </w:tcPr>
          <w:p w14:paraId="51C454AD" w14:textId="77777777" w:rsidR="00A81C4F" w:rsidRPr="008F32E9" w:rsidRDefault="00A81C4F" w:rsidP="00CD4562">
            <w:pPr>
              <w:pStyle w:val="Normal-table"/>
              <w:rPr>
                <w:lang w:val="en-AU"/>
              </w:rPr>
            </w:pPr>
            <w:r w:rsidRPr="008F32E9">
              <w:rPr>
                <w:lang w:val="en-AU"/>
              </w:rPr>
              <w:t xml:space="preserve">Ipswich </w:t>
            </w:r>
          </w:p>
        </w:tc>
        <w:tc>
          <w:tcPr>
            <w:tcW w:w="3752" w:type="pct"/>
          </w:tcPr>
          <w:p w14:paraId="73F144D7" w14:textId="77777777" w:rsidR="00A81C4F" w:rsidRPr="008F32E9" w:rsidRDefault="00A81C4F" w:rsidP="00CD4562">
            <w:pPr>
              <w:pStyle w:val="Normal-table"/>
              <w:cnfStyle w:val="000000100000" w:firstRow="0" w:lastRow="0" w:firstColumn="0" w:lastColumn="0" w:oddVBand="0" w:evenVBand="0" w:oddHBand="1" w:evenHBand="0" w:firstRowFirstColumn="0" w:firstRowLastColumn="0" w:lastRowFirstColumn="0" w:lastRowLastColumn="0"/>
              <w:rPr>
                <w:lang w:val="en-AU"/>
              </w:rPr>
            </w:pPr>
            <w:r w:rsidRPr="008F32E9">
              <w:rPr>
                <w:lang w:val="en-AU"/>
              </w:rPr>
              <w:t>Floor 1, 28 Brisbane Road Bundamba QLD 4304</w:t>
            </w:r>
          </w:p>
        </w:tc>
      </w:tr>
      <w:tr w:rsidR="00A81C4F" w:rsidRPr="008F32E9" w14:paraId="065D799C" w14:textId="77777777" w:rsidTr="00160B07">
        <w:tc>
          <w:tcPr>
            <w:cnfStyle w:val="001000000000" w:firstRow="0" w:lastRow="0" w:firstColumn="1" w:lastColumn="0" w:oddVBand="0" w:evenVBand="0" w:oddHBand="0" w:evenHBand="0" w:firstRowFirstColumn="0" w:firstRowLastColumn="0" w:lastRowFirstColumn="0" w:lastRowLastColumn="0"/>
            <w:tcW w:w="1248" w:type="pct"/>
          </w:tcPr>
          <w:p w14:paraId="1247DD98" w14:textId="77777777" w:rsidR="00A81C4F" w:rsidRPr="008F32E9" w:rsidRDefault="00A81C4F" w:rsidP="00CD4562">
            <w:pPr>
              <w:pStyle w:val="Normal-table"/>
              <w:rPr>
                <w:lang w:val="en-AU"/>
              </w:rPr>
            </w:pPr>
            <w:r w:rsidRPr="008F32E9">
              <w:rPr>
                <w:lang w:val="en-AU"/>
              </w:rPr>
              <w:t>Mackay</w:t>
            </w:r>
          </w:p>
        </w:tc>
        <w:tc>
          <w:tcPr>
            <w:tcW w:w="3752" w:type="pct"/>
          </w:tcPr>
          <w:p w14:paraId="6A0CC138" w14:textId="77777777" w:rsidR="00A81C4F" w:rsidRPr="008F32E9" w:rsidRDefault="00A81C4F" w:rsidP="00CD4562">
            <w:pPr>
              <w:pStyle w:val="Normal-table"/>
              <w:cnfStyle w:val="000000000000" w:firstRow="0" w:lastRow="0" w:firstColumn="0" w:lastColumn="0" w:oddVBand="0" w:evenVBand="0" w:oddHBand="0" w:evenHBand="0" w:firstRowFirstColumn="0" w:firstRowLastColumn="0" w:lastRowFirstColumn="0" w:lastRowLastColumn="0"/>
              <w:rPr>
                <w:lang w:val="en-AU"/>
              </w:rPr>
            </w:pPr>
            <w:r w:rsidRPr="008F32E9">
              <w:rPr>
                <w:lang w:val="en-AU"/>
              </w:rPr>
              <w:t>Floor 3, 44 Nelson Street, Mackay QLD 4740</w:t>
            </w:r>
          </w:p>
        </w:tc>
      </w:tr>
      <w:tr w:rsidR="00A81C4F" w:rsidRPr="008F32E9" w14:paraId="7C00EDD7" w14:textId="77777777" w:rsidTr="0016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pct"/>
          </w:tcPr>
          <w:p w14:paraId="4B0EF73D" w14:textId="77777777" w:rsidR="00A81C4F" w:rsidRPr="008F32E9" w:rsidRDefault="00A81C4F" w:rsidP="00CD4562">
            <w:pPr>
              <w:pStyle w:val="Normal-table"/>
              <w:rPr>
                <w:lang w:val="en-AU"/>
              </w:rPr>
            </w:pPr>
            <w:r w:rsidRPr="008F32E9">
              <w:rPr>
                <w:lang w:val="en-AU"/>
              </w:rPr>
              <w:t>Sunshine Coast</w:t>
            </w:r>
          </w:p>
        </w:tc>
        <w:tc>
          <w:tcPr>
            <w:tcW w:w="3752" w:type="pct"/>
          </w:tcPr>
          <w:p w14:paraId="182FC763" w14:textId="77777777" w:rsidR="00A81C4F" w:rsidRPr="008F32E9" w:rsidRDefault="00A81C4F" w:rsidP="00CD4562">
            <w:pPr>
              <w:pStyle w:val="Normal-table"/>
              <w:cnfStyle w:val="000000100000" w:firstRow="0" w:lastRow="0" w:firstColumn="0" w:lastColumn="0" w:oddVBand="0" w:evenVBand="0" w:oddHBand="1" w:evenHBand="0" w:firstRowFirstColumn="0" w:firstRowLastColumn="0" w:lastRowFirstColumn="0" w:lastRowLastColumn="0"/>
              <w:rPr>
                <w:lang w:val="en-AU"/>
              </w:rPr>
            </w:pPr>
            <w:r w:rsidRPr="008F32E9">
              <w:rPr>
                <w:lang w:val="en-AU"/>
              </w:rPr>
              <w:t>50 Wises Road Buderim QLD 4556</w:t>
            </w:r>
          </w:p>
        </w:tc>
      </w:tr>
      <w:tr w:rsidR="00A81C4F" w:rsidRPr="008F32E9" w14:paraId="2B5DBE6B" w14:textId="77777777" w:rsidTr="00160B07">
        <w:tc>
          <w:tcPr>
            <w:cnfStyle w:val="001000000000" w:firstRow="0" w:lastRow="0" w:firstColumn="1" w:lastColumn="0" w:oddVBand="0" w:evenVBand="0" w:oddHBand="0" w:evenHBand="0" w:firstRowFirstColumn="0" w:firstRowLastColumn="0" w:lastRowFirstColumn="0" w:lastRowLastColumn="0"/>
            <w:tcW w:w="1248" w:type="pct"/>
          </w:tcPr>
          <w:p w14:paraId="4AB138E1" w14:textId="77777777" w:rsidR="00A81C4F" w:rsidRPr="008F32E9" w:rsidRDefault="00A81C4F" w:rsidP="00CD4562">
            <w:pPr>
              <w:pStyle w:val="Normal-table"/>
              <w:rPr>
                <w:lang w:val="en-AU"/>
              </w:rPr>
            </w:pPr>
            <w:r w:rsidRPr="008F32E9">
              <w:rPr>
                <w:lang w:val="en-AU"/>
              </w:rPr>
              <w:t>Maryborough</w:t>
            </w:r>
          </w:p>
        </w:tc>
        <w:tc>
          <w:tcPr>
            <w:tcW w:w="3752" w:type="pct"/>
          </w:tcPr>
          <w:p w14:paraId="0BDFFF9C" w14:textId="77777777" w:rsidR="00A81C4F" w:rsidRPr="008F32E9" w:rsidRDefault="00A81C4F" w:rsidP="00CD4562">
            <w:pPr>
              <w:pStyle w:val="Normal-table"/>
              <w:cnfStyle w:val="000000000000" w:firstRow="0" w:lastRow="0" w:firstColumn="0" w:lastColumn="0" w:oddVBand="0" w:evenVBand="0" w:oddHBand="0" w:evenHBand="0" w:firstRowFirstColumn="0" w:firstRowLastColumn="0" w:lastRowFirstColumn="0" w:lastRowLastColumn="0"/>
              <w:rPr>
                <w:lang w:val="en-AU"/>
              </w:rPr>
            </w:pPr>
            <w:r w:rsidRPr="008F32E9">
              <w:rPr>
                <w:lang w:val="en-AU"/>
              </w:rPr>
              <w:t>Bright Street, Maryborough QLD 4650</w:t>
            </w:r>
          </w:p>
        </w:tc>
      </w:tr>
      <w:tr w:rsidR="00A81C4F" w:rsidRPr="008F32E9" w14:paraId="6253E302" w14:textId="77777777" w:rsidTr="0016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pct"/>
          </w:tcPr>
          <w:p w14:paraId="465ED1EF" w14:textId="77777777" w:rsidR="00A81C4F" w:rsidRPr="008F32E9" w:rsidRDefault="00A81C4F" w:rsidP="00CD4562">
            <w:pPr>
              <w:pStyle w:val="Normal-table"/>
              <w:rPr>
                <w:lang w:val="en-AU"/>
              </w:rPr>
            </w:pPr>
            <w:r w:rsidRPr="008F32E9">
              <w:rPr>
                <w:lang w:val="en-AU"/>
              </w:rPr>
              <w:t xml:space="preserve">Rockhampton </w:t>
            </w:r>
          </w:p>
        </w:tc>
        <w:tc>
          <w:tcPr>
            <w:tcW w:w="3752" w:type="pct"/>
          </w:tcPr>
          <w:p w14:paraId="3EA8871B" w14:textId="77777777" w:rsidR="00A81C4F" w:rsidRPr="008F32E9" w:rsidRDefault="00A81C4F" w:rsidP="00CD4562">
            <w:pPr>
              <w:pStyle w:val="Normal-table"/>
              <w:cnfStyle w:val="000000100000" w:firstRow="0" w:lastRow="0" w:firstColumn="0" w:lastColumn="0" w:oddVBand="0" w:evenVBand="0" w:oddHBand="1" w:evenHBand="0" w:firstRowFirstColumn="0" w:firstRowLastColumn="0" w:lastRowFirstColumn="0" w:lastRowLastColumn="0"/>
              <w:rPr>
                <w:lang w:val="en-AU"/>
              </w:rPr>
            </w:pPr>
            <w:r w:rsidRPr="008F32E9">
              <w:rPr>
                <w:lang w:val="en-AU"/>
              </w:rPr>
              <w:t>31 Knight Street, North Rockhampton QLD 4701</w:t>
            </w:r>
          </w:p>
        </w:tc>
      </w:tr>
      <w:tr w:rsidR="00A81C4F" w:rsidRPr="008F32E9" w14:paraId="1E6399F1" w14:textId="77777777" w:rsidTr="00160B07">
        <w:tc>
          <w:tcPr>
            <w:cnfStyle w:val="001000000000" w:firstRow="0" w:lastRow="0" w:firstColumn="1" w:lastColumn="0" w:oddVBand="0" w:evenVBand="0" w:oddHBand="0" w:evenHBand="0" w:firstRowFirstColumn="0" w:firstRowLastColumn="0" w:lastRowFirstColumn="0" w:lastRowLastColumn="0"/>
            <w:tcW w:w="1248" w:type="pct"/>
          </w:tcPr>
          <w:p w14:paraId="4738B984" w14:textId="77777777" w:rsidR="00A81C4F" w:rsidRPr="008F32E9" w:rsidRDefault="00A81C4F" w:rsidP="00CD4562">
            <w:pPr>
              <w:pStyle w:val="Normal-table"/>
              <w:rPr>
                <w:lang w:val="en-AU"/>
              </w:rPr>
            </w:pPr>
            <w:r w:rsidRPr="008F32E9">
              <w:rPr>
                <w:lang w:val="en-AU"/>
              </w:rPr>
              <w:t>Roma</w:t>
            </w:r>
          </w:p>
        </w:tc>
        <w:tc>
          <w:tcPr>
            <w:tcW w:w="3752" w:type="pct"/>
          </w:tcPr>
          <w:p w14:paraId="6631C51B" w14:textId="77777777" w:rsidR="00A81C4F" w:rsidRPr="008F32E9" w:rsidRDefault="00A81C4F" w:rsidP="00CD4562">
            <w:pPr>
              <w:pStyle w:val="Normal-table"/>
              <w:cnfStyle w:val="000000000000" w:firstRow="0" w:lastRow="0" w:firstColumn="0" w:lastColumn="0" w:oddVBand="0" w:evenVBand="0" w:oddHBand="0" w:evenHBand="0" w:firstRowFirstColumn="0" w:firstRowLastColumn="0" w:lastRowFirstColumn="0" w:lastRowLastColumn="0"/>
              <w:rPr>
                <w:lang w:val="en-AU"/>
              </w:rPr>
            </w:pPr>
            <w:r w:rsidRPr="008F32E9">
              <w:rPr>
                <w:lang w:val="en-AU"/>
              </w:rPr>
              <w:t>56 Gregory Street, Roma QLD 4455</w:t>
            </w:r>
          </w:p>
        </w:tc>
      </w:tr>
      <w:tr w:rsidR="00A81C4F" w:rsidRPr="008F32E9" w14:paraId="4709CC58" w14:textId="77777777" w:rsidTr="0016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pct"/>
          </w:tcPr>
          <w:p w14:paraId="6E157310" w14:textId="77777777" w:rsidR="00A81C4F" w:rsidRPr="008F32E9" w:rsidRDefault="00A81C4F" w:rsidP="00CD4562">
            <w:pPr>
              <w:pStyle w:val="Normal-table"/>
              <w:rPr>
                <w:lang w:val="en-AU"/>
              </w:rPr>
            </w:pPr>
            <w:r w:rsidRPr="008F32E9">
              <w:rPr>
                <w:lang w:val="en-AU"/>
              </w:rPr>
              <w:t>Southport</w:t>
            </w:r>
          </w:p>
        </w:tc>
        <w:tc>
          <w:tcPr>
            <w:tcW w:w="3752" w:type="pct"/>
          </w:tcPr>
          <w:p w14:paraId="47EC15B6" w14:textId="77777777" w:rsidR="00A81C4F" w:rsidRPr="008F32E9" w:rsidRDefault="00A81C4F" w:rsidP="00CD4562">
            <w:pPr>
              <w:pStyle w:val="Normal-table"/>
              <w:cnfStyle w:val="000000100000" w:firstRow="0" w:lastRow="0" w:firstColumn="0" w:lastColumn="0" w:oddVBand="0" w:evenVBand="0" w:oddHBand="1" w:evenHBand="0" w:firstRowFirstColumn="0" w:firstRowLastColumn="0" w:lastRowFirstColumn="0" w:lastRowLastColumn="0"/>
              <w:rPr>
                <w:lang w:val="en-AU"/>
              </w:rPr>
            </w:pPr>
            <w:r w:rsidRPr="008F32E9">
              <w:rPr>
                <w:lang w:val="en-AU"/>
              </w:rPr>
              <w:t>Floor 8, 12 Marine Parade, Southport QLD 4215</w:t>
            </w:r>
          </w:p>
        </w:tc>
      </w:tr>
      <w:tr w:rsidR="00A81C4F" w:rsidRPr="008F32E9" w14:paraId="535C0734" w14:textId="77777777" w:rsidTr="00160B07">
        <w:tc>
          <w:tcPr>
            <w:cnfStyle w:val="001000000000" w:firstRow="0" w:lastRow="0" w:firstColumn="1" w:lastColumn="0" w:oddVBand="0" w:evenVBand="0" w:oddHBand="0" w:evenHBand="0" w:firstRowFirstColumn="0" w:firstRowLastColumn="0" w:lastRowFirstColumn="0" w:lastRowLastColumn="0"/>
            <w:tcW w:w="1248" w:type="pct"/>
          </w:tcPr>
          <w:p w14:paraId="5DF13504" w14:textId="77777777" w:rsidR="00A81C4F" w:rsidRPr="008F32E9" w:rsidRDefault="00A81C4F" w:rsidP="00CD4562">
            <w:pPr>
              <w:pStyle w:val="Normal-table"/>
              <w:rPr>
                <w:lang w:val="en-AU"/>
              </w:rPr>
            </w:pPr>
            <w:r w:rsidRPr="008F32E9">
              <w:rPr>
                <w:lang w:val="en-AU"/>
              </w:rPr>
              <w:t>Toowoomba</w:t>
            </w:r>
          </w:p>
        </w:tc>
        <w:tc>
          <w:tcPr>
            <w:tcW w:w="3752" w:type="pct"/>
          </w:tcPr>
          <w:p w14:paraId="098BCD9F" w14:textId="77777777" w:rsidR="00A81C4F" w:rsidRPr="008F32E9" w:rsidRDefault="00A81C4F" w:rsidP="00CD4562">
            <w:pPr>
              <w:pStyle w:val="Normal-table"/>
              <w:cnfStyle w:val="000000000000" w:firstRow="0" w:lastRow="0" w:firstColumn="0" w:lastColumn="0" w:oddVBand="0" w:evenVBand="0" w:oddHBand="0" w:evenHBand="0" w:firstRowFirstColumn="0" w:firstRowLastColumn="0" w:lastRowFirstColumn="0" w:lastRowLastColumn="0"/>
              <w:rPr>
                <w:lang w:val="en-AU"/>
              </w:rPr>
            </w:pPr>
            <w:r w:rsidRPr="008F32E9">
              <w:rPr>
                <w:lang w:val="en-AU"/>
              </w:rPr>
              <w:t>1-5 Philip Street (corner Clopton Street), Toowoomba QLD 4350</w:t>
            </w:r>
          </w:p>
        </w:tc>
      </w:tr>
      <w:tr w:rsidR="00A81C4F" w:rsidRPr="008F32E9" w14:paraId="182907A7" w14:textId="77777777" w:rsidTr="0016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pct"/>
          </w:tcPr>
          <w:p w14:paraId="0C8D49CF" w14:textId="77777777" w:rsidR="00A81C4F" w:rsidRPr="008F32E9" w:rsidRDefault="00A81C4F" w:rsidP="00CD4562">
            <w:pPr>
              <w:pStyle w:val="Normal-table"/>
              <w:rPr>
                <w:lang w:val="en-AU"/>
              </w:rPr>
            </w:pPr>
            <w:r w:rsidRPr="008F32E9">
              <w:rPr>
                <w:lang w:val="en-AU"/>
              </w:rPr>
              <w:t>Townsville</w:t>
            </w:r>
          </w:p>
        </w:tc>
        <w:tc>
          <w:tcPr>
            <w:tcW w:w="3752" w:type="pct"/>
          </w:tcPr>
          <w:p w14:paraId="23553D9A" w14:textId="77777777" w:rsidR="00A81C4F" w:rsidRPr="008F32E9" w:rsidRDefault="00A81C4F" w:rsidP="00CD4562">
            <w:pPr>
              <w:pStyle w:val="Normal-table"/>
              <w:cnfStyle w:val="000000100000" w:firstRow="0" w:lastRow="0" w:firstColumn="0" w:lastColumn="0" w:oddVBand="0" w:evenVBand="0" w:oddHBand="1" w:evenHBand="0" w:firstRowFirstColumn="0" w:firstRowLastColumn="0" w:lastRowFirstColumn="0" w:lastRowLastColumn="0"/>
              <w:rPr>
                <w:lang w:val="en-AU"/>
              </w:rPr>
            </w:pPr>
            <w:r w:rsidRPr="008F32E9">
              <w:rPr>
                <w:lang w:val="en-AU"/>
              </w:rPr>
              <w:t>Floor 5, Townsville Government Office Building, 445 Flinders Street, Townsville, QLD 4810</w:t>
            </w:r>
          </w:p>
        </w:tc>
      </w:tr>
    </w:tbl>
    <w:p w14:paraId="0D5147C8" w14:textId="3D230BD8" w:rsidR="00A81C4F" w:rsidRDefault="00A81C4F" w:rsidP="00A81C4F">
      <w:pPr>
        <w:pStyle w:val="Heading3"/>
        <w:rPr>
          <w:lang w:val="en-AU"/>
        </w:rPr>
      </w:pPr>
      <w:r w:rsidRPr="008F32E9">
        <w:rPr>
          <w:lang w:val="en-AU"/>
        </w:rPr>
        <w:t>Traffic management centres</w:t>
      </w:r>
    </w:p>
    <w:tbl>
      <w:tblPr>
        <w:tblStyle w:val="GridTable4-Accent1"/>
        <w:tblW w:w="5000" w:type="pct"/>
        <w:tblLook w:val="04A0" w:firstRow="1" w:lastRow="0" w:firstColumn="1" w:lastColumn="0" w:noHBand="0" w:noVBand="1"/>
      </w:tblPr>
      <w:tblGrid>
        <w:gridCol w:w="4816"/>
        <w:gridCol w:w="5640"/>
      </w:tblGrid>
      <w:tr w:rsidR="00A81C4F" w:rsidRPr="008F32E9" w14:paraId="3B5547E1" w14:textId="77777777" w:rsidTr="004423F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03" w:type="pct"/>
          </w:tcPr>
          <w:p w14:paraId="023B6CA5" w14:textId="77777777" w:rsidR="00A81C4F" w:rsidRPr="008F32E9" w:rsidRDefault="00A81C4F" w:rsidP="00CD4562">
            <w:pPr>
              <w:pStyle w:val="Normal-table"/>
              <w:rPr>
                <w:lang w:val="en-AU"/>
              </w:rPr>
            </w:pPr>
            <w:r w:rsidRPr="008F32E9">
              <w:rPr>
                <w:lang w:val="en-AU"/>
              </w:rPr>
              <w:t>Office</w:t>
            </w:r>
          </w:p>
        </w:tc>
        <w:tc>
          <w:tcPr>
            <w:tcW w:w="2697" w:type="pct"/>
          </w:tcPr>
          <w:p w14:paraId="3CC3B721" w14:textId="77777777" w:rsidR="00A81C4F" w:rsidRPr="008F32E9" w:rsidRDefault="00A81C4F" w:rsidP="00CD4562">
            <w:pPr>
              <w:pStyle w:val="Normal-table"/>
              <w:cnfStyle w:val="100000000000" w:firstRow="1" w:lastRow="0" w:firstColumn="0" w:lastColumn="0" w:oddVBand="0" w:evenVBand="0" w:oddHBand="0" w:evenHBand="0" w:firstRowFirstColumn="0" w:firstRowLastColumn="0" w:lastRowFirstColumn="0" w:lastRowLastColumn="0"/>
              <w:rPr>
                <w:lang w:val="en-AU"/>
              </w:rPr>
            </w:pPr>
            <w:r w:rsidRPr="008F32E9">
              <w:rPr>
                <w:lang w:val="en-AU"/>
              </w:rPr>
              <w:t>Contact</w:t>
            </w:r>
          </w:p>
        </w:tc>
      </w:tr>
      <w:tr w:rsidR="00A81C4F" w:rsidRPr="008F32E9" w14:paraId="5B869D03" w14:textId="77777777" w:rsidTr="00442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pct"/>
          </w:tcPr>
          <w:p w14:paraId="51B359E1" w14:textId="77777777" w:rsidR="00A81C4F" w:rsidRPr="008F32E9" w:rsidRDefault="00A81C4F" w:rsidP="00CD4562">
            <w:pPr>
              <w:pStyle w:val="Normal-table"/>
              <w:rPr>
                <w:lang w:val="en-AU"/>
              </w:rPr>
            </w:pPr>
            <w:r w:rsidRPr="008F32E9">
              <w:rPr>
                <w:lang w:val="en-AU"/>
              </w:rPr>
              <w:t>Brisbane Metropolitan Transport Management Centre</w:t>
            </w:r>
          </w:p>
        </w:tc>
        <w:tc>
          <w:tcPr>
            <w:tcW w:w="2697" w:type="pct"/>
          </w:tcPr>
          <w:p w14:paraId="688BF017" w14:textId="77777777" w:rsidR="00A81C4F" w:rsidRPr="008F32E9" w:rsidRDefault="00A81C4F" w:rsidP="00CD4562">
            <w:pPr>
              <w:pStyle w:val="Normal-table"/>
              <w:cnfStyle w:val="000000100000" w:firstRow="0" w:lastRow="0" w:firstColumn="0" w:lastColumn="0" w:oddVBand="0" w:evenVBand="0" w:oddHBand="1" w:evenHBand="0" w:firstRowFirstColumn="0" w:firstRowLastColumn="0" w:lastRowFirstColumn="0" w:lastRowLastColumn="0"/>
              <w:rPr>
                <w:lang w:val="en-AU"/>
              </w:rPr>
            </w:pPr>
            <w:r w:rsidRPr="008F32E9">
              <w:rPr>
                <w:lang w:val="en-AU"/>
              </w:rPr>
              <w:t>Phone: (07) 3292 6000 Post: GPO Box 1434, Brisbane QLD 4001</w:t>
            </w:r>
          </w:p>
        </w:tc>
      </w:tr>
      <w:tr w:rsidR="00A81C4F" w:rsidRPr="008F32E9" w14:paraId="0A9BF164" w14:textId="77777777" w:rsidTr="004423F2">
        <w:tc>
          <w:tcPr>
            <w:cnfStyle w:val="001000000000" w:firstRow="0" w:lastRow="0" w:firstColumn="1" w:lastColumn="0" w:oddVBand="0" w:evenVBand="0" w:oddHBand="0" w:evenHBand="0" w:firstRowFirstColumn="0" w:firstRowLastColumn="0" w:lastRowFirstColumn="0" w:lastRowLastColumn="0"/>
            <w:tcW w:w="2303" w:type="pct"/>
          </w:tcPr>
          <w:p w14:paraId="56426331" w14:textId="77777777" w:rsidR="00A81C4F" w:rsidRPr="008F32E9" w:rsidRDefault="00A81C4F" w:rsidP="00CD4562">
            <w:pPr>
              <w:pStyle w:val="Normal-table"/>
              <w:rPr>
                <w:lang w:val="en-AU"/>
              </w:rPr>
            </w:pPr>
            <w:r w:rsidRPr="008F32E9">
              <w:rPr>
                <w:lang w:val="en-AU"/>
              </w:rPr>
              <w:t>Statewide Traffic Management Centre, Nerang</w:t>
            </w:r>
          </w:p>
        </w:tc>
        <w:tc>
          <w:tcPr>
            <w:tcW w:w="2697" w:type="pct"/>
          </w:tcPr>
          <w:p w14:paraId="4BE4263E" w14:textId="77777777" w:rsidR="00A81C4F" w:rsidRPr="008F32E9" w:rsidRDefault="00A81C4F" w:rsidP="00CD4562">
            <w:pPr>
              <w:pStyle w:val="Normal-table"/>
              <w:cnfStyle w:val="000000000000" w:firstRow="0" w:lastRow="0" w:firstColumn="0" w:lastColumn="0" w:oddVBand="0" w:evenVBand="0" w:oddHBand="0" w:evenHBand="0" w:firstRowFirstColumn="0" w:firstRowLastColumn="0" w:lastRowFirstColumn="0" w:lastRowLastColumn="0"/>
              <w:rPr>
                <w:lang w:val="en-AU"/>
              </w:rPr>
            </w:pPr>
            <w:r w:rsidRPr="008F32E9">
              <w:rPr>
                <w:lang w:val="en-AU"/>
              </w:rPr>
              <w:t>Phone: (07) 5561 3800</w:t>
            </w:r>
          </w:p>
        </w:tc>
      </w:tr>
      <w:tr w:rsidR="00A81C4F" w:rsidRPr="008F32E9" w14:paraId="54588CC8" w14:textId="77777777" w:rsidTr="00442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pct"/>
          </w:tcPr>
          <w:p w14:paraId="1B884D24" w14:textId="77777777" w:rsidR="00A81C4F" w:rsidRPr="008F32E9" w:rsidRDefault="00A81C4F" w:rsidP="00CD4562">
            <w:pPr>
              <w:pStyle w:val="Normal-table"/>
              <w:rPr>
                <w:lang w:val="en-AU"/>
              </w:rPr>
            </w:pPr>
            <w:r w:rsidRPr="008F32E9">
              <w:rPr>
                <w:lang w:val="en-AU"/>
              </w:rPr>
              <w:t>Maroochydore Traffic Management Centre</w:t>
            </w:r>
          </w:p>
        </w:tc>
        <w:tc>
          <w:tcPr>
            <w:tcW w:w="2697" w:type="pct"/>
          </w:tcPr>
          <w:p w14:paraId="57042050" w14:textId="77777777" w:rsidR="00A81C4F" w:rsidRPr="008F32E9" w:rsidRDefault="00A81C4F" w:rsidP="00CD4562">
            <w:pPr>
              <w:pStyle w:val="Normal-table"/>
              <w:cnfStyle w:val="000000100000" w:firstRow="0" w:lastRow="0" w:firstColumn="0" w:lastColumn="0" w:oddVBand="0" w:evenVBand="0" w:oddHBand="1" w:evenHBand="0" w:firstRowFirstColumn="0" w:firstRowLastColumn="0" w:lastRowFirstColumn="0" w:lastRowLastColumn="0"/>
              <w:rPr>
                <w:lang w:val="en-AU"/>
              </w:rPr>
            </w:pPr>
            <w:r w:rsidRPr="008F32E9">
              <w:rPr>
                <w:lang w:val="en-AU"/>
              </w:rPr>
              <w:t>Phone: (07) 5313 8737</w:t>
            </w:r>
          </w:p>
        </w:tc>
      </w:tr>
      <w:tr w:rsidR="00A81C4F" w:rsidRPr="008F32E9" w14:paraId="303C8152" w14:textId="77777777" w:rsidTr="004423F2">
        <w:tc>
          <w:tcPr>
            <w:cnfStyle w:val="001000000000" w:firstRow="0" w:lastRow="0" w:firstColumn="1" w:lastColumn="0" w:oddVBand="0" w:evenVBand="0" w:oddHBand="0" w:evenHBand="0" w:firstRowFirstColumn="0" w:firstRowLastColumn="0" w:lastRowFirstColumn="0" w:lastRowLastColumn="0"/>
            <w:tcW w:w="2303" w:type="pct"/>
          </w:tcPr>
          <w:p w14:paraId="641DA7D3" w14:textId="77777777" w:rsidR="00A81C4F" w:rsidRPr="008F32E9" w:rsidRDefault="00A81C4F" w:rsidP="00CD4562">
            <w:pPr>
              <w:pStyle w:val="Normal-table"/>
              <w:rPr>
                <w:lang w:val="en-AU"/>
              </w:rPr>
            </w:pPr>
            <w:r w:rsidRPr="008F32E9">
              <w:rPr>
                <w:lang w:val="en-AU"/>
              </w:rPr>
              <w:t>Townsville Traffic Management Centre</w:t>
            </w:r>
          </w:p>
        </w:tc>
        <w:tc>
          <w:tcPr>
            <w:tcW w:w="2697" w:type="pct"/>
          </w:tcPr>
          <w:p w14:paraId="60BC3B51" w14:textId="77777777" w:rsidR="00A81C4F" w:rsidRPr="008F32E9" w:rsidRDefault="00A81C4F" w:rsidP="00CD4562">
            <w:pPr>
              <w:pStyle w:val="Normal-table"/>
              <w:cnfStyle w:val="000000000000" w:firstRow="0" w:lastRow="0" w:firstColumn="0" w:lastColumn="0" w:oddVBand="0" w:evenVBand="0" w:oddHBand="0" w:evenHBand="0" w:firstRowFirstColumn="0" w:firstRowLastColumn="0" w:lastRowFirstColumn="0" w:lastRowLastColumn="0"/>
              <w:rPr>
                <w:lang w:val="en-AU"/>
              </w:rPr>
            </w:pPr>
            <w:r w:rsidRPr="008F32E9">
              <w:rPr>
                <w:lang w:val="en-AU"/>
              </w:rPr>
              <w:t>Phone: (07) 4421 8807</w:t>
            </w:r>
          </w:p>
        </w:tc>
      </w:tr>
      <w:tr w:rsidR="00A81C4F" w:rsidRPr="008F32E9" w14:paraId="06C081E9" w14:textId="77777777" w:rsidTr="00442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pct"/>
          </w:tcPr>
          <w:p w14:paraId="1C39FA09" w14:textId="77777777" w:rsidR="00A81C4F" w:rsidRPr="008F32E9" w:rsidRDefault="00A81C4F" w:rsidP="00CD4562">
            <w:pPr>
              <w:pStyle w:val="Normal-table"/>
              <w:rPr>
                <w:lang w:val="en-AU"/>
              </w:rPr>
            </w:pPr>
            <w:r w:rsidRPr="008F32E9">
              <w:rPr>
                <w:lang w:val="en-AU"/>
              </w:rPr>
              <w:t>Cairns Traffic Management Centre</w:t>
            </w:r>
          </w:p>
        </w:tc>
        <w:tc>
          <w:tcPr>
            <w:tcW w:w="2697" w:type="pct"/>
          </w:tcPr>
          <w:p w14:paraId="7739FD8A" w14:textId="77777777" w:rsidR="00A81C4F" w:rsidRPr="008F32E9" w:rsidRDefault="00A81C4F" w:rsidP="00CD4562">
            <w:pPr>
              <w:pStyle w:val="Normal-table"/>
              <w:cnfStyle w:val="000000100000" w:firstRow="0" w:lastRow="0" w:firstColumn="0" w:lastColumn="0" w:oddVBand="0" w:evenVBand="0" w:oddHBand="1" w:evenHBand="0" w:firstRowFirstColumn="0" w:firstRowLastColumn="0" w:lastRowFirstColumn="0" w:lastRowLastColumn="0"/>
              <w:rPr>
                <w:lang w:val="en-AU"/>
              </w:rPr>
            </w:pPr>
            <w:r w:rsidRPr="008F32E9">
              <w:rPr>
                <w:lang w:val="en-AU"/>
              </w:rPr>
              <w:t>Phone: (07) 4045 7244</w:t>
            </w:r>
          </w:p>
        </w:tc>
      </w:tr>
      <w:tr w:rsidR="00A81C4F" w:rsidRPr="008F32E9" w14:paraId="7112302D" w14:textId="77777777" w:rsidTr="004423F2">
        <w:tc>
          <w:tcPr>
            <w:cnfStyle w:val="001000000000" w:firstRow="0" w:lastRow="0" w:firstColumn="1" w:lastColumn="0" w:oddVBand="0" w:evenVBand="0" w:oddHBand="0" w:evenHBand="0" w:firstRowFirstColumn="0" w:firstRowLastColumn="0" w:lastRowFirstColumn="0" w:lastRowLastColumn="0"/>
            <w:tcW w:w="2303" w:type="pct"/>
          </w:tcPr>
          <w:p w14:paraId="224474FA" w14:textId="77777777" w:rsidR="00A81C4F" w:rsidRPr="008F32E9" w:rsidRDefault="00A81C4F" w:rsidP="00CD4562">
            <w:pPr>
              <w:pStyle w:val="Normal-table"/>
              <w:rPr>
                <w:lang w:val="en-AU"/>
              </w:rPr>
            </w:pPr>
            <w:r w:rsidRPr="008F32E9">
              <w:rPr>
                <w:lang w:val="en-AU"/>
              </w:rPr>
              <w:t>Toowoomba Traffic Management Centre</w:t>
            </w:r>
          </w:p>
        </w:tc>
        <w:tc>
          <w:tcPr>
            <w:tcW w:w="2697" w:type="pct"/>
          </w:tcPr>
          <w:p w14:paraId="3748708A" w14:textId="77777777" w:rsidR="00A81C4F" w:rsidRPr="008F32E9" w:rsidRDefault="00A81C4F" w:rsidP="00CD4562">
            <w:pPr>
              <w:pStyle w:val="Normal-table"/>
              <w:cnfStyle w:val="000000000000" w:firstRow="0" w:lastRow="0" w:firstColumn="0" w:lastColumn="0" w:oddVBand="0" w:evenVBand="0" w:oddHBand="0" w:evenHBand="0" w:firstRowFirstColumn="0" w:firstRowLastColumn="0" w:lastRowFirstColumn="0" w:lastRowLastColumn="0"/>
              <w:rPr>
                <w:lang w:val="en-AU"/>
              </w:rPr>
            </w:pPr>
            <w:r w:rsidRPr="008F32E9">
              <w:rPr>
                <w:lang w:val="en-AU"/>
              </w:rPr>
              <w:t>Phone: (07) 4639 0700</w:t>
            </w:r>
          </w:p>
        </w:tc>
      </w:tr>
    </w:tbl>
    <w:p w14:paraId="63A14FE6" w14:textId="3601AA32" w:rsidR="00A81C4F" w:rsidRDefault="00A81C4F" w:rsidP="00A81C4F">
      <w:pPr>
        <w:pStyle w:val="Heading3"/>
        <w:rPr>
          <w:lang w:val="en-AU"/>
        </w:rPr>
      </w:pPr>
      <w:r w:rsidRPr="008F32E9">
        <w:rPr>
          <w:lang w:val="en-AU"/>
        </w:rPr>
        <w:t>Transport and traffic information</w:t>
      </w:r>
    </w:p>
    <w:tbl>
      <w:tblPr>
        <w:tblStyle w:val="GridTable4-Accent1"/>
        <w:tblW w:w="5000" w:type="pct"/>
        <w:tblLook w:val="04A0" w:firstRow="1" w:lastRow="0" w:firstColumn="1" w:lastColumn="0" w:noHBand="0" w:noVBand="1"/>
      </w:tblPr>
      <w:tblGrid>
        <w:gridCol w:w="2455"/>
        <w:gridCol w:w="8001"/>
      </w:tblGrid>
      <w:tr w:rsidR="00A81C4F" w:rsidRPr="008F32E9" w14:paraId="4DA014A9" w14:textId="77777777" w:rsidTr="008C1F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74" w:type="pct"/>
          </w:tcPr>
          <w:p w14:paraId="3E83061E" w14:textId="77777777" w:rsidR="00A81C4F" w:rsidRPr="008F32E9" w:rsidRDefault="00A81C4F" w:rsidP="00F25CF9">
            <w:pPr>
              <w:rPr>
                <w:lang w:val="en-AU"/>
              </w:rPr>
            </w:pPr>
            <w:r w:rsidRPr="008F32E9">
              <w:rPr>
                <w:lang w:val="en-AU"/>
              </w:rPr>
              <w:t>Office</w:t>
            </w:r>
          </w:p>
        </w:tc>
        <w:tc>
          <w:tcPr>
            <w:tcW w:w="3826" w:type="pct"/>
          </w:tcPr>
          <w:p w14:paraId="438E8564" w14:textId="77777777" w:rsidR="00A81C4F" w:rsidRPr="008F32E9" w:rsidRDefault="00A81C4F" w:rsidP="00F25CF9">
            <w:pPr>
              <w:cnfStyle w:val="100000000000" w:firstRow="1" w:lastRow="0" w:firstColumn="0" w:lastColumn="0" w:oddVBand="0" w:evenVBand="0" w:oddHBand="0" w:evenHBand="0" w:firstRowFirstColumn="0" w:firstRowLastColumn="0" w:lastRowFirstColumn="0" w:lastRowLastColumn="0"/>
              <w:rPr>
                <w:lang w:val="en-AU"/>
              </w:rPr>
            </w:pPr>
            <w:r w:rsidRPr="008F32E9">
              <w:rPr>
                <w:lang w:val="en-AU"/>
              </w:rPr>
              <w:t>Contact</w:t>
            </w:r>
          </w:p>
        </w:tc>
      </w:tr>
      <w:tr w:rsidR="00A81C4F" w:rsidRPr="008F32E9" w14:paraId="16B7355C" w14:textId="77777777" w:rsidTr="008C1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pct"/>
          </w:tcPr>
          <w:p w14:paraId="11456E3D" w14:textId="77777777" w:rsidR="00A81C4F" w:rsidRPr="008F32E9" w:rsidRDefault="00A81C4F" w:rsidP="00F25CF9">
            <w:pPr>
              <w:rPr>
                <w:lang w:val="en-AU"/>
              </w:rPr>
            </w:pPr>
            <w:r w:rsidRPr="008F32E9">
              <w:rPr>
                <w:lang w:val="en-AU"/>
              </w:rPr>
              <w:t>Public transport</w:t>
            </w:r>
          </w:p>
        </w:tc>
        <w:tc>
          <w:tcPr>
            <w:tcW w:w="3826" w:type="pct"/>
          </w:tcPr>
          <w:p w14:paraId="2FA2E1A5" w14:textId="77777777" w:rsidR="00A81C4F" w:rsidRPr="008F32E9" w:rsidRDefault="00A81C4F" w:rsidP="00F25CF9">
            <w:pPr>
              <w:cnfStyle w:val="000000100000" w:firstRow="0" w:lastRow="0" w:firstColumn="0" w:lastColumn="0" w:oddVBand="0" w:evenVBand="0" w:oddHBand="1" w:evenHBand="0" w:firstRowFirstColumn="0" w:firstRowLastColumn="0" w:lastRowFirstColumn="0" w:lastRowLastColumn="0"/>
              <w:rPr>
                <w:lang w:val="en-AU"/>
              </w:rPr>
            </w:pPr>
            <w:r w:rsidRPr="008F32E9">
              <w:rPr>
                <w:lang w:val="en-AU"/>
              </w:rPr>
              <w:t>Phone: 13 12 30 Web: www.translink.com.au</w:t>
            </w:r>
          </w:p>
        </w:tc>
      </w:tr>
      <w:tr w:rsidR="00A81C4F" w:rsidRPr="008F32E9" w14:paraId="3C9B654B" w14:textId="77777777" w:rsidTr="008C1FD6">
        <w:tc>
          <w:tcPr>
            <w:cnfStyle w:val="001000000000" w:firstRow="0" w:lastRow="0" w:firstColumn="1" w:lastColumn="0" w:oddVBand="0" w:evenVBand="0" w:oddHBand="0" w:evenHBand="0" w:firstRowFirstColumn="0" w:firstRowLastColumn="0" w:lastRowFirstColumn="0" w:lastRowLastColumn="0"/>
            <w:tcW w:w="1174" w:type="pct"/>
          </w:tcPr>
          <w:p w14:paraId="0D86C9AA" w14:textId="77777777" w:rsidR="00A81C4F" w:rsidRPr="008F32E9" w:rsidRDefault="00A81C4F" w:rsidP="00F25CF9">
            <w:pPr>
              <w:rPr>
                <w:lang w:val="en-AU"/>
              </w:rPr>
            </w:pPr>
            <w:r w:rsidRPr="008F32E9">
              <w:rPr>
                <w:lang w:val="en-AU"/>
              </w:rPr>
              <w:t>Traffic information</w:t>
            </w:r>
          </w:p>
        </w:tc>
        <w:tc>
          <w:tcPr>
            <w:tcW w:w="3826" w:type="pct"/>
          </w:tcPr>
          <w:p w14:paraId="06F33DED" w14:textId="77777777" w:rsidR="00A81C4F" w:rsidRPr="008F32E9" w:rsidRDefault="00A81C4F" w:rsidP="00F25CF9">
            <w:pPr>
              <w:cnfStyle w:val="000000000000" w:firstRow="0" w:lastRow="0" w:firstColumn="0" w:lastColumn="0" w:oddVBand="0" w:evenVBand="0" w:oddHBand="0" w:evenHBand="0" w:firstRowFirstColumn="0" w:firstRowLastColumn="0" w:lastRowFirstColumn="0" w:lastRowLastColumn="0"/>
              <w:rPr>
                <w:lang w:val="en-AU"/>
              </w:rPr>
            </w:pPr>
            <w:r w:rsidRPr="008F32E9">
              <w:rPr>
                <w:lang w:val="en-AU"/>
              </w:rPr>
              <w:t>Phone: 13 19 40 Web: qldtraffic.qld.gov.au</w:t>
            </w:r>
          </w:p>
        </w:tc>
      </w:tr>
    </w:tbl>
    <w:p w14:paraId="3220F668" w14:textId="77777777" w:rsidR="00A81C4F" w:rsidRDefault="00A81C4F" w:rsidP="00A81C4F">
      <w:pPr>
        <w:pStyle w:val="Heading3"/>
        <w:rPr>
          <w:lang w:val="en-AU"/>
        </w:rPr>
      </w:pPr>
      <w:r w:rsidRPr="008F32E9">
        <w:rPr>
          <w:lang w:val="en-AU"/>
        </w:rPr>
        <w:lastRenderedPageBreak/>
        <w:t>Motor vehicle inspection centres (MVIC)</w:t>
      </w:r>
    </w:p>
    <w:p w14:paraId="3599B33F" w14:textId="77777777" w:rsidR="00A81C4F" w:rsidRPr="008F32E9" w:rsidRDefault="00A81C4F" w:rsidP="00A81C4F">
      <w:pPr>
        <w:pStyle w:val="Heading4"/>
      </w:pPr>
      <w:r w:rsidRPr="008F32E9">
        <w:rPr>
          <w:lang w:val="en-AU"/>
        </w:rPr>
        <w:t>South East Queensland South</w:t>
      </w:r>
    </w:p>
    <w:p w14:paraId="647E4BF4" w14:textId="77777777" w:rsidR="00A81C4F" w:rsidRPr="008F32E9" w:rsidRDefault="00A81C4F" w:rsidP="00A81C4F">
      <w:pPr>
        <w:pStyle w:val="ListBullet"/>
        <w:rPr>
          <w:lang w:val="en-AU"/>
        </w:rPr>
      </w:pPr>
      <w:r w:rsidRPr="008F32E9">
        <w:rPr>
          <w:lang w:val="en-AU"/>
        </w:rPr>
        <w:t>Darra MVIC, Argyle Parade, Darra 4077</w:t>
      </w:r>
    </w:p>
    <w:p w14:paraId="5C34C833" w14:textId="77777777" w:rsidR="00A81C4F" w:rsidRPr="008F32E9" w:rsidRDefault="00A81C4F" w:rsidP="00A81C4F">
      <w:pPr>
        <w:pStyle w:val="ListBullet"/>
        <w:rPr>
          <w:lang w:val="en-AU"/>
        </w:rPr>
      </w:pPr>
      <w:r w:rsidRPr="008F32E9">
        <w:rPr>
          <w:lang w:val="en-AU"/>
        </w:rPr>
        <w:t>Ipswich MVIC, 2 Colvin Street, North Ipswich 4305</w:t>
      </w:r>
    </w:p>
    <w:p w14:paraId="6FF13054" w14:textId="77777777" w:rsidR="00A81C4F" w:rsidRPr="008F32E9" w:rsidRDefault="00A81C4F" w:rsidP="00A81C4F">
      <w:pPr>
        <w:pStyle w:val="ListBullet"/>
        <w:rPr>
          <w:lang w:val="en-AU"/>
        </w:rPr>
      </w:pPr>
      <w:r w:rsidRPr="008F32E9">
        <w:rPr>
          <w:lang w:val="en-AU"/>
        </w:rPr>
        <w:t>Bundall MVIC, 30 Upton Street, Bundall 4217</w:t>
      </w:r>
    </w:p>
    <w:p w14:paraId="12D8049F" w14:textId="77777777" w:rsidR="00A81C4F" w:rsidRPr="008F32E9" w:rsidRDefault="00A81C4F" w:rsidP="00A81C4F">
      <w:pPr>
        <w:pStyle w:val="ListBullet"/>
        <w:rPr>
          <w:lang w:val="en-AU"/>
        </w:rPr>
      </w:pPr>
      <w:r w:rsidRPr="008F32E9">
        <w:rPr>
          <w:lang w:val="en-AU"/>
        </w:rPr>
        <w:t>Beenleigh MVIC, 31 Logan River Road, Beenleigh 4207</w:t>
      </w:r>
    </w:p>
    <w:p w14:paraId="04361637" w14:textId="77777777" w:rsidR="00A81C4F" w:rsidRDefault="00A81C4F" w:rsidP="00A81C4F">
      <w:pPr>
        <w:pStyle w:val="ListBullet"/>
        <w:rPr>
          <w:lang w:val="en-AU"/>
        </w:rPr>
      </w:pPr>
      <w:r w:rsidRPr="008F32E9">
        <w:rPr>
          <w:lang w:val="en-AU"/>
        </w:rPr>
        <w:t>Logan MVIC, 43-45 Jacaranda Avenue, Logan Central 4114</w:t>
      </w:r>
    </w:p>
    <w:p w14:paraId="29FEF647" w14:textId="77777777" w:rsidR="00A81C4F" w:rsidRPr="008F32E9" w:rsidRDefault="00A81C4F" w:rsidP="00A81C4F">
      <w:pPr>
        <w:pStyle w:val="Heading4"/>
      </w:pPr>
      <w:r w:rsidRPr="008F32E9">
        <w:rPr>
          <w:lang w:val="en-AU"/>
        </w:rPr>
        <w:t>South East Queensland North</w:t>
      </w:r>
    </w:p>
    <w:p w14:paraId="353AC168" w14:textId="77777777" w:rsidR="00A81C4F" w:rsidRPr="008F32E9" w:rsidRDefault="00A81C4F" w:rsidP="00A81C4F">
      <w:pPr>
        <w:pStyle w:val="ListBullet"/>
        <w:rPr>
          <w:lang w:val="en-AU"/>
        </w:rPr>
      </w:pPr>
      <w:r w:rsidRPr="008F32E9">
        <w:rPr>
          <w:lang w:val="en-AU"/>
        </w:rPr>
        <w:t>Maroochydore MVIC, 5 Kelly Court, Maroochydore QLD 4558</w:t>
      </w:r>
    </w:p>
    <w:p w14:paraId="2A1A94CA" w14:textId="77777777" w:rsidR="00A81C4F" w:rsidRDefault="00A81C4F" w:rsidP="00A81C4F">
      <w:pPr>
        <w:pStyle w:val="ListBullet"/>
        <w:rPr>
          <w:lang w:val="en-AU"/>
        </w:rPr>
      </w:pPr>
      <w:r w:rsidRPr="008F32E9">
        <w:rPr>
          <w:lang w:val="en-AU"/>
        </w:rPr>
        <w:t>Zillmere MVIC, 69 Pineapple Street, Zillmere QLD 4034</w:t>
      </w:r>
    </w:p>
    <w:p w14:paraId="58CAD356" w14:textId="77777777" w:rsidR="00A81C4F" w:rsidRDefault="00A81C4F" w:rsidP="00A81C4F">
      <w:pPr>
        <w:pStyle w:val="Heading4"/>
        <w:rPr>
          <w:lang w:val="en-AU"/>
        </w:rPr>
      </w:pPr>
      <w:r w:rsidRPr="008F32E9">
        <w:rPr>
          <w:lang w:val="en-AU"/>
        </w:rPr>
        <w:t>Southern</w:t>
      </w:r>
    </w:p>
    <w:p w14:paraId="781A6ECB" w14:textId="77777777" w:rsidR="00A81C4F" w:rsidRPr="008F32E9" w:rsidRDefault="00A81C4F" w:rsidP="00A81C4F">
      <w:pPr>
        <w:pStyle w:val="ListBullet"/>
        <w:rPr>
          <w:lang w:val="en-AU"/>
        </w:rPr>
      </w:pPr>
      <w:r w:rsidRPr="008F32E9">
        <w:rPr>
          <w:lang w:val="en-AU"/>
        </w:rPr>
        <w:t>Bundaberg MVIC, 14 Production Street, Bundaberg QLD 4670</w:t>
      </w:r>
    </w:p>
    <w:p w14:paraId="291958CF" w14:textId="77777777" w:rsidR="00A81C4F" w:rsidRPr="008F32E9" w:rsidRDefault="00A81C4F" w:rsidP="00A81C4F">
      <w:pPr>
        <w:pStyle w:val="ListBullet"/>
        <w:rPr>
          <w:lang w:val="en-AU"/>
        </w:rPr>
      </w:pPr>
      <w:r w:rsidRPr="008F32E9">
        <w:rPr>
          <w:lang w:val="en-AU"/>
        </w:rPr>
        <w:t>Maryborough MVIC, Bright Street, Maryborough QLD 4650</w:t>
      </w:r>
    </w:p>
    <w:p w14:paraId="4C70C8CD" w14:textId="77777777" w:rsidR="00A81C4F" w:rsidRPr="008F32E9" w:rsidRDefault="00A81C4F" w:rsidP="00A81C4F">
      <w:pPr>
        <w:pStyle w:val="ListBullet"/>
        <w:rPr>
          <w:lang w:val="en-AU"/>
        </w:rPr>
      </w:pPr>
      <w:r w:rsidRPr="008F32E9">
        <w:rPr>
          <w:lang w:val="en-AU"/>
        </w:rPr>
        <w:t>Warwick MVIC, 1 Parker Street, Warwick QLD 4370</w:t>
      </w:r>
    </w:p>
    <w:p w14:paraId="1DD444E1" w14:textId="77777777" w:rsidR="00A81C4F" w:rsidRPr="008F32E9" w:rsidRDefault="00A81C4F" w:rsidP="00A81C4F">
      <w:pPr>
        <w:pStyle w:val="ListBullet"/>
        <w:rPr>
          <w:lang w:val="en-AU"/>
        </w:rPr>
      </w:pPr>
      <w:r w:rsidRPr="008F32E9">
        <w:rPr>
          <w:lang w:val="en-AU"/>
        </w:rPr>
        <w:t>Roma MVIC, 44 Tiffin Street, Roma QLD 4455</w:t>
      </w:r>
    </w:p>
    <w:p w14:paraId="73632E7F" w14:textId="77777777" w:rsidR="00A81C4F" w:rsidRPr="008F32E9" w:rsidRDefault="00A81C4F" w:rsidP="00A81C4F">
      <w:pPr>
        <w:pStyle w:val="ListBullet"/>
        <w:rPr>
          <w:lang w:val="en-AU"/>
        </w:rPr>
      </w:pPr>
      <w:r w:rsidRPr="008F32E9">
        <w:rPr>
          <w:lang w:val="en-AU"/>
        </w:rPr>
        <w:t>Toowoomba (Harristown) MVIC, Cnr Yaldwyn and Warwick Streets, Toowoomba QLD 4350</w:t>
      </w:r>
    </w:p>
    <w:p w14:paraId="3EFBB845" w14:textId="77777777" w:rsidR="00A81C4F" w:rsidRDefault="00A81C4F" w:rsidP="00A81C4F">
      <w:pPr>
        <w:pStyle w:val="ListBullet"/>
        <w:rPr>
          <w:lang w:val="en-AU"/>
        </w:rPr>
      </w:pPr>
      <w:r w:rsidRPr="008F32E9">
        <w:rPr>
          <w:lang w:val="en-AU"/>
        </w:rPr>
        <w:t>Gympie MVIC, 17 Oak Street, Gympie QLD 4570</w:t>
      </w:r>
    </w:p>
    <w:p w14:paraId="59D90BE7" w14:textId="77777777" w:rsidR="00A81C4F" w:rsidRDefault="00A81C4F" w:rsidP="00A81C4F">
      <w:pPr>
        <w:pStyle w:val="Heading4"/>
        <w:rPr>
          <w:lang w:val="en-AU"/>
        </w:rPr>
      </w:pPr>
      <w:r w:rsidRPr="008F32E9">
        <w:rPr>
          <w:lang w:val="en-AU"/>
        </w:rPr>
        <w:t>Central</w:t>
      </w:r>
    </w:p>
    <w:p w14:paraId="76AA78C7" w14:textId="77777777" w:rsidR="00A81C4F" w:rsidRPr="008F32E9" w:rsidRDefault="00A81C4F" w:rsidP="00A81C4F">
      <w:pPr>
        <w:pStyle w:val="ListBullet"/>
        <w:rPr>
          <w:lang w:val="en-AU"/>
        </w:rPr>
      </w:pPr>
      <w:r w:rsidRPr="008F32E9">
        <w:rPr>
          <w:lang w:val="en-AU"/>
        </w:rPr>
        <w:t>Emerald MVIC, 20 Batts Street, Emerald QLD 4720</w:t>
      </w:r>
    </w:p>
    <w:p w14:paraId="04E85EA9" w14:textId="77777777" w:rsidR="00A81C4F" w:rsidRPr="008F32E9" w:rsidRDefault="00A81C4F" w:rsidP="00A81C4F">
      <w:pPr>
        <w:pStyle w:val="ListBullet"/>
        <w:rPr>
          <w:lang w:val="en-AU"/>
        </w:rPr>
      </w:pPr>
      <w:r w:rsidRPr="008F32E9">
        <w:rPr>
          <w:lang w:val="en-AU"/>
        </w:rPr>
        <w:t>Mackay MVIC, Corner Endeavour and Industrial Streets, Mackay QLD 4740</w:t>
      </w:r>
    </w:p>
    <w:p w14:paraId="61843051" w14:textId="77777777" w:rsidR="00A81C4F" w:rsidRPr="008F32E9" w:rsidRDefault="00A81C4F" w:rsidP="00A81C4F">
      <w:pPr>
        <w:pStyle w:val="ListBullet"/>
        <w:rPr>
          <w:lang w:val="en-AU"/>
        </w:rPr>
      </w:pPr>
      <w:r w:rsidRPr="008F32E9">
        <w:rPr>
          <w:lang w:val="en-AU"/>
        </w:rPr>
        <w:t>Longreach MVIC, 14 Wonga Street, Longreach QLD 4730</w:t>
      </w:r>
    </w:p>
    <w:p w14:paraId="273E72BD" w14:textId="77777777" w:rsidR="00A81C4F" w:rsidRPr="008F32E9" w:rsidRDefault="00A81C4F" w:rsidP="00A81C4F">
      <w:pPr>
        <w:pStyle w:val="ListBullet"/>
        <w:rPr>
          <w:lang w:val="en-AU"/>
        </w:rPr>
      </w:pPr>
      <w:r w:rsidRPr="008F32E9">
        <w:rPr>
          <w:lang w:val="en-AU"/>
        </w:rPr>
        <w:t>Gladstone MVIC, 2 Paterson Street, Gladstone QLD 4680</w:t>
      </w:r>
    </w:p>
    <w:p w14:paraId="21C471F0" w14:textId="77777777" w:rsidR="00A81C4F" w:rsidRDefault="00A81C4F" w:rsidP="00A81C4F">
      <w:pPr>
        <w:pStyle w:val="ListBullet"/>
        <w:rPr>
          <w:lang w:val="en-AU"/>
        </w:rPr>
      </w:pPr>
      <w:r w:rsidRPr="008F32E9">
        <w:rPr>
          <w:lang w:val="en-AU"/>
        </w:rPr>
        <w:t>Rockhampton MVIC, 31 Knight Street, North Rockhampton QLD 4701</w:t>
      </w:r>
    </w:p>
    <w:p w14:paraId="0853BD49" w14:textId="77777777" w:rsidR="00A81C4F" w:rsidRDefault="00A81C4F" w:rsidP="00A81C4F">
      <w:pPr>
        <w:pStyle w:val="Heading4"/>
        <w:rPr>
          <w:lang w:val="en-AU"/>
        </w:rPr>
      </w:pPr>
      <w:r w:rsidRPr="008F32E9">
        <w:rPr>
          <w:lang w:val="en-AU"/>
        </w:rPr>
        <w:t>Northern</w:t>
      </w:r>
    </w:p>
    <w:p w14:paraId="0F915CBC" w14:textId="77777777" w:rsidR="00A81C4F" w:rsidRPr="008F32E9" w:rsidRDefault="00A81C4F" w:rsidP="00A81C4F">
      <w:pPr>
        <w:pStyle w:val="ListBullet"/>
        <w:rPr>
          <w:lang w:val="en-AU"/>
        </w:rPr>
      </w:pPr>
      <w:r w:rsidRPr="008F32E9">
        <w:rPr>
          <w:lang w:val="en-AU"/>
        </w:rPr>
        <w:t>Cairns MVIC, 82–86 Kenny Street, Portsmith 4870</w:t>
      </w:r>
    </w:p>
    <w:p w14:paraId="569F4926" w14:textId="77777777" w:rsidR="00A81C4F" w:rsidRPr="008F32E9" w:rsidRDefault="00A81C4F" w:rsidP="00A81C4F">
      <w:pPr>
        <w:pStyle w:val="ListBullet"/>
        <w:rPr>
          <w:lang w:val="en-AU"/>
        </w:rPr>
      </w:pPr>
      <w:r w:rsidRPr="008F32E9">
        <w:rPr>
          <w:lang w:val="en-AU"/>
        </w:rPr>
        <w:t>Townsville MVIC, 21–35 Leyland Street, Garbutt 4814</w:t>
      </w:r>
    </w:p>
    <w:p w14:paraId="37C62121" w14:textId="77777777" w:rsidR="00A81C4F" w:rsidRPr="008F32E9" w:rsidRDefault="00A81C4F" w:rsidP="00A81C4F">
      <w:pPr>
        <w:pStyle w:val="ListBullet"/>
        <w:rPr>
          <w:lang w:val="en-AU"/>
        </w:rPr>
      </w:pPr>
      <w:r w:rsidRPr="008F32E9">
        <w:rPr>
          <w:lang w:val="en-AU"/>
        </w:rPr>
        <w:t>Mount Isa MVIC, 17 Enterprise Road, Mount Isa 4825</w:t>
      </w:r>
    </w:p>
    <w:p w14:paraId="46F1BF29" w14:textId="77777777" w:rsidR="00A81C4F" w:rsidRDefault="00A81C4F" w:rsidP="00A81C4F">
      <w:pPr>
        <w:pStyle w:val="ListBullet"/>
        <w:rPr>
          <w:lang w:val="en-AU"/>
        </w:rPr>
      </w:pPr>
      <w:r w:rsidRPr="008F32E9">
        <w:rPr>
          <w:lang w:val="en-AU"/>
        </w:rPr>
        <w:t>Innisfail MVIC, 12–14 Clifford Road, Innisfail 4860</w:t>
      </w:r>
    </w:p>
    <w:p w14:paraId="73A0636E" w14:textId="77777777" w:rsidR="00A81C4F" w:rsidRPr="002459B3" w:rsidRDefault="00A81C4F" w:rsidP="00A81C4F">
      <w:pPr>
        <w:pStyle w:val="Heading3"/>
      </w:pPr>
      <w:r>
        <w:t>Queensland Government Customer and Digital Group</w:t>
      </w:r>
    </w:p>
    <w:p w14:paraId="6B135D95" w14:textId="77777777" w:rsidR="00A81C4F" w:rsidRDefault="00A81C4F" w:rsidP="00A81C4F">
      <w:r w:rsidRPr="00A8795C">
        <w:t>F</w:t>
      </w:r>
      <w:r>
        <w:t>urther information about the s</w:t>
      </w:r>
      <w:r w:rsidRPr="00A8795C">
        <w:t xml:space="preserve">ervices </w:t>
      </w:r>
      <w:r>
        <w:t>we provide is available at</w:t>
      </w:r>
      <w:r w:rsidRPr="00A8795C">
        <w:t xml:space="preserve"> </w:t>
      </w:r>
      <w:hyperlink w:history="1">
        <w:r w:rsidRPr="00A8795C">
          <w:rPr>
            <w:rStyle w:val="Hyperlink"/>
          </w:rPr>
          <w:t xml:space="preserve">www.qld.gov.au or by calling </w:t>
        </w:r>
      </w:hyperlink>
      <w:r w:rsidRPr="00A8795C">
        <w:t>13 QGOV (13 74 68).</w:t>
      </w:r>
    </w:p>
    <w:p w14:paraId="60FA0940" w14:textId="6D2F1718" w:rsidR="00A81C4F" w:rsidRDefault="00A81C4F" w:rsidP="00A81C4F">
      <w:pPr>
        <w:pStyle w:val="Heading4"/>
      </w:pPr>
      <w:r>
        <w:t>Brisbane CBD</w:t>
      </w:r>
    </w:p>
    <w:tbl>
      <w:tblPr>
        <w:tblStyle w:val="GridTable4-Accent1"/>
        <w:tblW w:w="5000" w:type="pct"/>
        <w:tblLook w:val="04A0" w:firstRow="1" w:lastRow="0" w:firstColumn="1" w:lastColumn="0" w:noHBand="0" w:noVBand="1"/>
      </w:tblPr>
      <w:tblGrid>
        <w:gridCol w:w="2610"/>
        <w:gridCol w:w="7846"/>
      </w:tblGrid>
      <w:tr w:rsidR="008C1FD6" w:rsidRPr="008F32E9" w14:paraId="456BA9F6" w14:textId="77777777" w:rsidTr="008C1F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8" w:type="pct"/>
          </w:tcPr>
          <w:p w14:paraId="7341BA48" w14:textId="38DB36BB" w:rsidR="008C1FD6" w:rsidRPr="002459B3" w:rsidRDefault="008C1FD6" w:rsidP="008C1FD6">
            <w:pPr>
              <w:pStyle w:val="Normal-table"/>
            </w:pPr>
            <w:r w:rsidRPr="008F32E9">
              <w:rPr>
                <w:lang w:val="en-AU"/>
              </w:rPr>
              <w:t>Suburb/town</w:t>
            </w:r>
          </w:p>
        </w:tc>
        <w:tc>
          <w:tcPr>
            <w:tcW w:w="3752" w:type="pct"/>
          </w:tcPr>
          <w:p w14:paraId="3B945AC9" w14:textId="4B30939B" w:rsidR="008C1FD6" w:rsidRPr="002459B3" w:rsidRDefault="008C1FD6" w:rsidP="008C1FD6">
            <w:pPr>
              <w:pStyle w:val="Normal-table"/>
              <w:cnfStyle w:val="100000000000" w:firstRow="1" w:lastRow="0" w:firstColumn="0" w:lastColumn="0" w:oddVBand="0" w:evenVBand="0" w:oddHBand="0" w:evenHBand="0" w:firstRowFirstColumn="0" w:firstRowLastColumn="0" w:lastRowFirstColumn="0" w:lastRowLastColumn="0"/>
            </w:pPr>
            <w:r w:rsidRPr="008F32E9">
              <w:rPr>
                <w:lang w:val="en-AU"/>
              </w:rPr>
              <w:t>Address</w:t>
            </w:r>
          </w:p>
        </w:tc>
      </w:tr>
      <w:tr w:rsidR="008C1FD6" w:rsidRPr="008F32E9" w14:paraId="2B8E977B" w14:textId="77777777" w:rsidTr="008C1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pct"/>
          </w:tcPr>
          <w:p w14:paraId="4082BA81" w14:textId="796672C4" w:rsidR="008C1FD6" w:rsidRDefault="008C1FD6" w:rsidP="008C1FD6">
            <w:pPr>
              <w:pStyle w:val="Normal-table"/>
            </w:pPr>
            <w:r>
              <w:t>Office of the Chief Customer and Digital Officer</w:t>
            </w:r>
          </w:p>
        </w:tc>
        <w:tc>
          <w:tcPr>
            <w:tcW w:w="3752" w:type="pct"/>
          </w:tcPr>
          <w:p w14:paraId="7239B982" w14:textId="6A4DD132" w:rsidR="008C1FD6" w:rsidRDefault="008C1FD6" w:rsidP="008C1FD6">
            <w:pPr>
              <w:pStyle w:val="Normal-table"/>
              <w:cnfStyle w:val="000000100000" w:firstRow="0" w:lastRow="0" w:firstColumn="0" w:lastColumn="0" w:oddVBand="0" w:evenVBand="0" w:oddHBand="1" w:evenHBand="0" w:firstRowFirstColumn="0" w:firstRowLastColumn="0" w:lastRowFirstColumn="0" w:lastRowLastColumn="0"/>
            </w:pPr>
            <w:r>
              <w:t>111 George Street, Brisbane QLD 4000</w:t>
            </w:r>
          </w:p>
        </w:tc>
      </w:tr>
      <w:tr w:rsidR="008C1FD6" w:rsidRPr="008F32E9" w14:paraId="4A83AF77" w14:textId="77777777" w:rsidTr="008C1FD6">
        <w:tc>
          <w:tcPr>
            <w:cnfStyle w:val="001000000000" w:firstRow="0" w:lastRow="0" w:firstColumn="1" w:lastColumn="0" w:oddVBand="0" w:evenVBand="0" w:oddHBand="0" w:evenHBand="0" w:firstRowFirstColumn="0" w:firstRowLastColumn="0" w:lastRowFirstColumn="0" w:lastRowLastColumn="0"/>
            <w:tcW w:w="1248" w:type="pct"/>
          </w:tcPr>
          <w:p w14:paraId="4E640D25" w14:textId="77777777" w:rsidR="008C1FD6" w:rsidRPr="002459B3" w:rsidRDefault="008C1FD6" w:rsidP="008C1FD6">
            <w:pPr>
              <w:pStyle w:val="Normal-table"/>
            </w:pPr>
            <w:r>
              <w:t>Customer and Digital Strategy</w:t>
            </w:r>
          </w:p>
        </w:tc>
        <w:tc>
          <w:tcPr>
            <w:tcW w:w="3752" w:type="pct"/>
          </w:tcPr>
          <w:p w14:paraId="6F5928EB" w14:textId="77777777" w:rsidR="008C1FD6" w:rsidRPr="002459B3" w:rsidRDefault="008C1FD6" w:rsidP="008C1FD6">
            <w:pPr>
              <w:pStyle w:val="Normal-table"/>
              <w:cnfStyle w:val="000000000000" w:firstRow="0" w:lastRow="0" w:firstColumn="0" w:lastColumn="0" w:oddVBand="0" w:evenVBand="0" w:oddHBand="0" w:evenHBand="0" w:firstRowFirstColumn="0" w:firstRowLastColumn="0" w:lastRowFirstColumn="0" w:lastRowLastColumn="0"/>
            </w:pPr>
            <w:r>
              <w:t>111 George Street, Brisbane QLD 4000</w:t>
            </w:r>
          </w:p>
        </w:tc>
      </w:tr>
      <w:tr w:rsidR="008C1FD6" w:rsidRPr="008F32E9" w14:paraId="3D7C75E0" w14:textId="77777777" w:rsidTr="008C1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pct"/>
          </w:tcPr>
          <w:p w14:paraId="38EF37E1" w14:textId="77777777" w:rsidR="008C1FD6" w:rsidRPr="002459B3" w:rsidRDefault="008C1FD6" w:rsidP="008C1FD6">
            <w:pPr>
              <w:pStyle w:val="Normal-table"/>
            </w:pPr>
            <w:r>
              <w:lastRenderedPageBreak/>
              <w:t>Queensland Shared Services</w:t>
            </w:r>
          </w:p>
        </w:tc>
        <w:tc>
          <w:tcPr>
            <w:tcW w:w="3752" w:type="pct"/>
          </w:tcPr>
          <w:p w14:paraId="4C3F8FCC" w14:textId="77777777" w:rsidR="008C1FD6" w:rsidRPr="002459B3" w:rsidRDefault="008C1FD6" w:rsidP="008C1FD6">
            <w:pPr>
              <w:pStyle w:val="Normal-table"/>
              <w:cnfStyle w:val="000000100000" w:firstRow="0" w:lastRow="0" w:firstColumn="0" w:lastColumn="0" w:oddVBand="0" w:evenVBand="0" w:oddHBand="1" w:evenHBand="0" w:firstRowFirstColumn="0" w:firstRowLastColumn="0" w:lastRowFirstColumn="0" w:lastRowLastColumn="0"/>
            </w:pPr>
            <w:r>
              <w:t>310 Ann Street, Brisbane QLD 4000</w:t>
            </w:r>
          </w:p>
        </w:tc>
      </w:tr>
      <w:tr w:rsidR="008C1FD6" w:rsidRPr="008F32E9" w14:paraId="4B49CC64" w14:textId="77777777" w:rsidTr="008C1FD6">
        <w:tc>
          <w:tcPr>
            <w:cnfStyle w:val="001000000000" w:firstRow="0" w:lastRow="0" w:firstColumn="1" w:lastColumn="0" w:oddVBand="0" w:evenVBand="0" w:oddHBand="0" w:evenHBand="0" w:firstRowFirstColumn="0" w:firstRowLastColumn="0" w:lastRowFirstColumn="0" w:lastRowLastColumn="0"/>
            <w:tcW w:w="1248" w:type="pct"/>
          </w:tcPr>
          <w:p w14:paraId="6AC2FA60" w14:textId="77777777" w:rsidR="008C1FD6" w:rsidRDefault="008C1FD6" w:rsidP="008C1FD6">
            <w:pPr>
              <w:pStyle w:val="Normal-table"/>
            </w:pPr>
            <w:r>
              <w:t>Corporate Administration Agency</w:t>
            </w:r>
          </w:p>
        </w:tc>
        <w:tc>
          <w:tcPr>
            <w:tcW w:w="3752" w:type="pct"/>
          </w:tcPr>
          <w:p w14:paraId="550C1335" w14:textId="77777777" w:rsidR="008C1FD6" w:rsidRDefault="008C1FD6" w:rsidP="008C1FD6">
            <w:pPr>
              <w:pStyle w:val="Normal-table"/>
              <w:cnfStyle w:val="000000000000" w:firstRow="0" w:lastRow="0" w:firstColumn="0" w:lastColumn="0" w:oddVBand="0" w:evenVBand="0" w:oddHBand="0" w:evenHBand="0" w:firstRowFirstColumn="0" w:firstRowLastColumn="0" w:lastRowFirstColumn="0" w:lastRowLastColumn="0"/>
            </w:pPr>
            <w:r>
              <w:t>111 George Street, Brisbane QLD 4000</w:t>
            </w:r>
          </w:p>
        </w:tc>
      </w:tr>
      <w:tr w:rsidR="008C1FD6" w:rsidRPr="008F32E9" w14:paraId="512A6D3D" w14:textId="77777777" w:rsidTr="008C1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pct"/>
          </w:tcPr>
          <w:p w14:paraId="693306FF" w14:textId="77777777" w:rsidR="008C1FD6" w:rsidRPr="002459B3" w:rsidRDefault="008C1FD6" w:rsidP="008C1FD6">
            <w:pPr>
              <w:pStyle w:val="Normal-table"/>
            </w:pPr>
            <w:r>
              <w:t>Smart Service Queensland (Corporate)</w:t>
            </w:r>
          </w:p>
        </w:tc>
        <w:tc>
          <w:tcPr>
            <w:tcW w:w="3752" w:type="pct"/>
          </w:tcPr>
          <w:p w14:paraId="65A04957" w14:textId="77777777" w:rsidR="008C1FD6" w:rsidRPr="002459B3" w:rsidRDefault="008C1FD6" w:rsidP="008C1FD6">
            <w:pPr>
              <w:pStyle w:val="Normal-table"/>
              <w:cnfStyle w:val="000000100000" w:firstRow="0" w:lastRow="0" w:firstColumn="0" w:lastColumn="0" w:oddVBand="0" w:evenVBand="0" w:oddHBand="1" w:evenHBand="0" w:firstRowFirstColumn="0" w:firstRowLastColumn="0" w:lastRowFirstColumn="0" w:lastRowLastColumn="0"/>
            </w:pPr>
            <w:r>
              <w:t>310 Ann Street, Brisbane QLD 4000</w:t>
            </w:r>
          </w:p>
        </w:tc>
      </w:tr>
      <w:tr w:rsidR="008C1FD6" w:rsidRPr="008F32E9" w14:paraId="4EA462CE" w14:textId="77777777" w:rsidTr="008C1FD6">
        <w:tc>
          <w:tcPr>
            <w:cnfStyle w:val="001000000000" w:firstRow="0" w:lastRow="0" w:firstColumn="1" w:lastColumn="0" w:oddVBand="0" w:evenVBand="0" w:oddHBand="0" w:evenHBand="0" w:firstRowFirstColumn="0" w:firstRowLastColumn="0" w:lastRowFirstColumn="0" w:lastRowLastColumn="0"/>
            <w:tcW w:w="1248" w:type="pct"/>
          </w:tcPr>
          <w:p w14:paraId="63ADA6CF" w14:textId="77777777" w:rsidR="008C1FD6" w:rsidRPr="00EF4A25" w:rsidRDefault="008C1FD6" w:rsidP="008C1FD6">
            <w:pPr>
              <w:pStyle w:val="Normal-table"/>
            </w:pPr>
            <w:r w:rsidRPr="00EF4A25">
              <w:t>Smart Service Queensland</w:t>
            </w:r>
            <w:r>
              <w:t xml:space="preserve"> (Queensland Government Service Centre)</w:t>
            </w:r>
          </w:p>
        </w:tc>
        <w:tc>
          <w:tcPr>
            <w:tcW w:w="3752" w:type="pct"/>
          </w:tcPr>
          <w:p w14:paraId="17E53163" w14:textId="77777777" w:rsidR="008C1FD6" w:rsidRPr="00EF4A25" w:rsidRDefault="008C1FD6" w:rsidP="008C1FD6">
            <w:pPr>
              <w:pStyle w:val="Normal-table"/>
              <w:cnfStyle w:val="000000000000" w:firstRow="0" w:lastRow="0" w:firstColumn="0" w:lastColumn="0" w:oddVBand="0" w:evenVBand="0" w:oddHBand="0" w:evenHBand="0" w:firstRowFirstColumn="0" w:firstRowLastColumn="0" w:lastRowFirstColumn="0" w:lastRowLastColumn="0"/>
            </w:pPr>
            <w:r>
              <w:t>33 Charlotte Street, Upper Plaza, Brisbane QLD 4000</w:t>
            </w:r>
          </w:p>
        </w:tc>
      </w:tr>
      <w:tr w:rsidR="008C1FD6" w:rsidRPr="008F32E9" w14:paraId="6E3DE543" w14:textId="77777777" w:rsidTr="008C1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pct"/>
          </w:tcPr>
          <w:p w14:paraId="136F4963" w14:textId="77777777" w:rsidR="008C1FD6" w:rsidRPr="00EF4A25" w:rsidRDefault="008C1FD6" w:rsidP="008C1FD6">
            <w:pPr>
              <w:pStyle w:val="Normal-table"/>
            </w:pPr>
            <w:r w:rsidRPr="00EF4A25">
              <w:t>Transformation and Enabling Technologies</w:t>
            </w:r>
          </w:p>
        </w:tc>
        <w:tc>
          <w:tcPr>
            <w:tcW w:w="3752" w:type="pct"/>
          </w:tcPr>
          <w:p w14:paraId="2F5F188F" w14:textId="77777777" w:rsidR="008C1FD6" w:rsidRPr="00EF4A25" w:rsidRDefault="008C1FD6" w:rsidP="008C1FD6">
            <w:pPr>
              <w:pStyle w:val="Normal-table"/>
              <w:cnfStyle w:val="000000100000" w:firstRow="0" w:lastRow="0" w:firstColumn="0" w:lastColumn="0" w:oddVBand="0" w:evenVBand="0" w:oddHBand="1" w:evenHBand="0" w:firstRowFirstColumn="0" w:firstRowLastColumn="0" w:lastRowFirstColumn="0" w:lastRowLastColumn="0"/>
            </w:pPr>
            <w:r w:rsidRPr="00EF4A25">
              <w:t>140 Creek Street, Brisbane QLD 4000</w:t>
            </w:r>
          </w:p>
        </w:tc>
      </w:tr>
      <w:tr w:rsidR="008C1FD6" w:rsidRPr="008F32E9" w14:paraId="36B29823" w14:textId="77777777" w:rsidTr="008C1FD6">
        <w:tc>
          <w:tcPr>
            <w:cnfStyle w:val="001000000000" w:firstRow="0" w:lastRow="0" w:firstColumn="1" w:lastColumn="0" w:oddVBand="0" w:evenVBand="0" w:oddHBand="0" w:evenHBand="0" w:firstRowFirstColumn="0" w:firstRowLastColumn="0" w:lastRowFirstColumn="0" w:lastRowLastColumn="0"/>
            <w:tcW w:w="1248" w:type="pct"/>
          </w:tcPr>
          <w:p w14:paraId="579127D6" w14:textId="77777777" w:rsidR="008C1FD6" w:rsidRPr="00EF4A25" w:rsidRDefault="008C1FD6" w:rsidP="008C1FD6">
            <w:pPr>
              <w:pStyle w:val="Normal-table"/>
            </w:pPr>
            <w:r>
              <w:t>CITEC</w:t>
            </w:r>
          </w:p>
        </w:tc>
        <w:tc>
          <w:tcPr>
            <w:tcW w:w="3752" w:type="pct"/>
          </w:tcPr>
          <w:p w14:paraId="76B2172D" w14:textId="77777777" w:rsidR="008C1FD6" w:rsidRDefault="008C1FD6" w:rsidP="008C1FD6">
            <w:pPr>
              <w:pStyle w:val="Normal-table"/>
              <w:cnfStyle w:val="000000000000" w:firstRow="0" w:lastRow="0" w:firstColumn="0" w:lastColumn="0" w:oddVBand="0" w:evenVBand="0" w:oddHBand="0" w:evenHBand="0" w:firstRowFirstColumn="0" w:firstRowLastColumn="0" w:lastRowFirstColumn="0" w:lastRowLastColumn="0"/>
            </w:pPr>
            <w:r>
              <w:t>140 Creek Street, Brisbane QLD 4000</w:t>
            </w:r>
          </w:p>
          <w:p w14:paraId="293022C5" w14:textId="77777777" w:rsidR="008C1FD6" w:rsidRPr="00EF4A25" w:rsidRDefault="008C1FD6" w:rsidP="008C1FD6">
            <w:pPr>
              <w:pStyle w:val="Normal-table"/>
              <w:cnfStyle w:val="000000000000" w:firstRow="0" w:lastRow="0" w:firstColumn="0" w:lastColumn="0" w:oddVBand="0" w:evenVBand="0" w:oddHBand="0" w:evenHBand="0" w:firstRowFirstColumn="0" w:firstRowLastColumn="0" w:lastRowFirstColumn="0" w:lastRowLastColumn="0"/>
            </w:pPr>
          </w:p>
        </w:tc>
      </w:tr>
    </w:tbl>
    <w:p w14:paraId="0A9459B9" w14:textId="2BC93DA1" w:rsidR="00A81C4F" w:rsidRDefault="00A81C4F" w:rsidP="00A81C4F">
      <w:pPr>
        <w:pStyle w:val="Heading4"/>
      </w:pPr>
      <w:r>
        <w:t>Smart Service Queensland Contact Centres</w:t>
      </w:r>
    </w:p>
    <w:tbl>
      <w:tblPr>
        <w:tblStyle w:val="GridTable4-Accent1"/>
        <w:tblW w:w="5000" w:type="pct"/>
        <w:tblLook w:val="04A0" w:firstRow="1" w:lastRow="0" w:firstColumn="1" w:lastColumn="0" w:noHBand="0" w:noVBand="1"/>
      </w:tblPr>
      <w:tblGrid>
        <w:gridCol w:w="2610"/>
        <w:gridCol w:w="7846"/>
      </w:tblGrid>
      <w:tr w:rsidR="008C1FD6" w:rsidRPr="002459B3" w14:paraId="1D661CED" w14:textId="77777777" w:rsidTr="008C1F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8" w:type="pct"/>
          </w:tcPr>
          <w:p w14:paraId="7842BA7D" w14:textId="40AEF8B4" w:rsidR="008C1FD6" w:rsidRPr="00C05189" w:rsidRDefault="008C1FD6" w:rsidP="008C1FD6">
            <w:pPr>
              <w:pStyle w:val="Normal-table"/>
            </w:pPr>
            <w:r w:rsidRPr="008F32E9">
              <w:rPr>
                <w:lang w:val="en-AU"/>
              </w:rPr>
              <w:t>Suburb/town</w:t>
            </w:r>
          </w:p>
        </w:tc>
        <w:tc>
          <w:tcPr>
            <w:tcW w:w="3752" w:type="pct"/>
          </w:tcPr>
          <w:p w14:paraId="32F934AA" w14:textId="6154FCB9" w:rsidR="008C1FD6" w:rsidRPr="00C05189" w:rsidRDefault="008C1FD6" w:rsidP="008C1FD6">
            <w:pPr>
              <w:pStyle w:val="Normal-table"/>
              <w:cnfStyle w:val="100000000000" w:firstRow="1" w:lastRow="0" w:firstColumn="0" w:lastColumn="0" w:oddVBand="0" w:evenVBand="0" w:oddHBand="0" w:evenHBand="0" w:firstRowFirstColumn="0" w:firstRowLastColumn="0" w:lastRowFirstColumn="0" w:lastRowLastColumn="0"/>
            </w:pPr>
            <w:r w:rsidRPr="008F32E9">
              <w:rPr>
                <w:lang w:val="en-AU"/>
              </w:rPr>
              <w:t>Address</w:t>
            </w:r>
          </w:p>
        </w:tc>
      </w:tr>
      <w:tr w:rsidR="008C1FD6" w:rsidRPr="002459B3" w14:paraId="21B986E9" w14:textId="77777777" w:rsidTr="008C1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pct"/>
          </w:tcPr>
          <w:p w14:paraId="33253306" w14:textId="507FACBE" w:rsidR="008C1FD6" w:rsidRDefault="008C1FD6" w:rsidP="008C1FD6">
            <w:pPr>
              <w:pStyle w:val="Normal-table"/>
            </w:pPr>
            <w:r>
              <w:t>Mount Gravatt</w:t>
            </w:r>
          </w:p>
        </w:tc>
        <w:tc>
          <w:tcPr>
            <w:tcW w:w="3752" w:type="pct"/>
          </w:tcPr>
          <w:p w14:paraId="35232E71" w14:textId="4D12D887" w:rsidR="008C1FD6" w:rsidRDefault="008C1FD6" w:rsidP="008C1FD6">
            <w:pPr>
              <w:pStyle w:val="Normal-table"/>
              <w:cnfStyle w:val="000000100000" w:firstRow="0" w:lastRow="0" w:firstColumn="0" w:lastColumn="0" w:oddVBand="0" w:evenVBand="0" w:oddHBand="1" w:evenHBand="0" w:firstRowFirstColumn="0" w:firstRowLastColumn="0" w:lastRowFirstColumn="0" w:lastRowLastColumn="0"/>
            </w:pPr>
            <w:r>
              <w:t>Garden Square Block B, 643 Kessels Road, Upper Mount Gravatt, QLD 4122</w:t>
            </w:r>
          </w:p>
        </w:tc>
      </w:tr>
      <w:tr w:rsidR="008C1FD6" w:rsidRPr="002459B3" w14:paraId="2D97517B" w14:textId="77777777" w:rsidTr="008C1FD6">
        <w:tc>
          <w:tcPr>
            <w:cnfStyle w:val="001000000000" w:firstRow="0" w:lastRow="0" w:firstColumn="1" w:lastColumn="0" w:oddVBand="0" w:evenVBand="0" w:oddHBand="0" w:evenHBand="0" w:firstRowFirstColumn="0" w:firstRowLastColumn="0" w:lastRowFirstColumn="0" w:lastRowLastColumn="0"/>
            <w:tcW w:w="1248" w:type="pct"/>
          </w:tcPr>
          <w:p w14:paraId="7170684B" w14:textId="77777777" w:rsidR="008C1FD6" w:rsidRPr="00C05189" w:rsidRDefault="008C1FD6" w:rsidP="008C1FD6">
            <w:pPr>
              <w:pStyle w:val="Normal-table"/>
            </w:pPr>
            <w:r>
              <w:t>Zillmere</w:t>
            </w:r>
          </w:p>
        </w:tc>
        <w:tc>
          <w:tcPr>
            <w:tcW w:w="3752" w:type="pct"/>
          </w:tcPr>
          <w:p w14:paraId="005DE7EE" w14:textId="77777777" w:rsidR="008C1FD6" w:rsidRPr="00C05189" w:rsidRDefault="008C1FD6" w:rsidP="008C1FD6">
            <w:pPr>
              <w:pStyle w:val="Normal-table"/>
              <w:cnfStyle w:val="000000000000" w:firstRow="0" w:lastRow="0" w:firstColumn="0" w:lastColumn="0" w:oddVBand="0" w:evenVBand="0" w:oddHBand="0" w:evenHBand="0" w:firstRowFirstColumn="0" w:firstRowLastColumn="0" w:lastRowFirstColumn="0" w:lastRowLastColumn="0"/>
            </w:pPr>
            <w:r>
              <w:t>Dandiiri Contact Centre, 79 Pineapple Street, Zillmere QLD 4034</w:t>
            </w:r>
          </w:p>
        </w:tc>
      </w:tr>
    </w:tbl>
    <w:p w14:paraId="08E1373D" w14:textId="69AE4AB2" w:rsidR="00A81C4F" w:rsidRDefault="00A81C4F" w:rsidP="00A81C4F">
      <w:pPr>
        <w:pStyle w:val="Heading4"/>
      </w:pPr>
      <w:r>
        <w:t>Regional Queensland</w:t>
      </w:r>
    </w:p>
    <w:tbl>
      <w:tblPr>
        <w:tblStyle w:val="GridTable4-Accent1"/>
        <w:tblW w:w="5000" w:type="pct"/>
        <w:tblLook w:val="04A0" w:firstRow="1" w:lastRow="0" w:firstColumn="1" w:lastColumn="0" w:noHBand="0" w:noVBand="1"/>
      </w:tblPr>
      <w:tblGrid>
        <w:gridCol w:w="4105"/>
        <w:gridCol w:w="6351"/>
      </w:tblGrid>
      <w:tr w:rsidR="00A81C4F" w:rsidRPr="002459B3" w14:paraId="65E0AD75" w14:textId="77777777" w:rsidTr="00CD45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63" w:type="pct"/>
          </w:tcPr>
          <w:p w14:paraId="4310C693" w14:textId="6DDDDDAC" w:rsidR="00A81C4F" w:rsidRPr="00EF4A25" w:rsidRDefault="008C1FD6" w:rsidP="008C1FD6">
            <w:pPr>
              <w:pStyle w:val="Normal-table"/>
            </w:pPr>
            <w:r w:rsidRPr="008F32E9">
              <w:rPr>
                <w:lang w:val="en-AU"/>
              </w:rPr>
              <w:t>Suburb/town</w:t>
            </w:r>
          </w:p>
        </w:tc>
        <w:tc>
          <w:tcPr>
            <w:tcW w:w="3037" w:type="pct"/>
          </w:tcPr>
          <w:p w14:paraId="759EBDB5" w14:textId="1243B4CA" w:rsidR="00A81C4F" w:rsidRPr="00EF4A25" w:rsidRDefault="008C1FD6" w:rsidP="008C1FD6">
            <w:pPr>
              <w:pStyle w:val="Normal-table"/>
              <w:cnfStyle w:val="100000000000" w:firstRow="1" w:lastRow="0" w:firstColumn="0" w:lastColumn="0" w:oddVBand="0" w:evenVBand="0" w:oddHBand="0" w:evenHBand="0" w:firstRowFirstColumn="0" w:firstRowLastColumn="0" w:lastRowFirstColumn="0" w:lastRowLastColumn="0"/>
            </w:pPr>
            <w:r w:rsidRPr="008F32E9">
              <w:rPr>
                <w:lang w:val="en-AU"/>
              </w:rPr>
              <w:t>Address</w:t>
            </w:r>
          </w:p>
        </w:tc>
      </w:tr>
      <w:tr w:rsidR="008C1FD6" w:rsidRPr="002459B3" w14:paraId="3D13D164" w14:textId="77777777" w:rsidTr="00CD4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tcPr>
          <w:p w14:paraId="2531FE50" w14:textId="70F9BC1B" w:rsidR="008C1FD6" w:rsidRDefault="008C1FD6" w:rsidP="008C1FD6">
            <w:pPr>
              <w:pStyle w:val="Normal-table"/>
            </w:pPr>
            <w:r>
              <w:t>Smart Service Queensland (Queensland Government Service Centre Maroochydore)</w:t>
            </w:r>
          </w:p>
        </w:tc>
        <w:tc>
          <w:tcPr>
            <w:tcW w:w="3037" w:type="pct"/>
          </w:tcPr>
          <w:p w14:paraId="09F5FDBC" w14:textId="37B24CFF" w:rsidR="008C1FD6" w:rsidRDefault="008C1FD6" w:rsidP="008C1FD6">
            <w:pPr>
              <w:pStyle w:val="Normal-table"/>
              <w:cnfStyle w:val="000000100000" w:firstRow="0" w:lastRow="0" w:firstColumn="0" w:lastColumn="0" w:oddVBand="0" w:evenVBand="0" w:oddHBand="1" w:evenHBand="0" w:firstRowFirstColumn="0" w:firstRowLastColumn="0" w:lastRowFirstColumn="0" w:lastRowLastColumn="0"/>
            </w:pPr>
            <w:r>
              <w:t>Mike Ahern Centre, 12 First Avenue, Maroochydore QLD 4558</w:t>
            </w:r>
          </w:p>
        </w:tc>
      </w:tr>
      <w:tr w:rsidR="00A81C4F" w:rsidRPr="002459B3" w14:paraId="5418961E" w14:textId="77777777" w:rsidTr="00CD4562">
        <w:tc>
          <w:tcPr>
            <w:cnfStyle w:val="001000000000" w:firstRow="0" w:lastRow="0" w:firstColumn="1" w:lastColumn="0" w:oddVBand="0" w:evenVBand="0" w:oddHBand="0" w:evenHBand="0" w:firstRowFirstColumn="0" w:firstRowLastColumn="0" w:lastRowFirstColumn="0" w:lastRowLastColumn="0"/>
            <w:tcW w:w="1963" w:type="pct"/>
          </w:tcPr>
          <w:p w14:paraId="776B4023" w14:textId="77777777" w:rsidR="00A81C4F" w:rsidRPr="00EF4A25" w:rsidRDefault="00A81C4F" w:rsidP="008C1FD6">
            <w:pPr>
              <w:pStyle w:val="Normal-table"/>
            </w:pPr>
            <w:r w:rsidRPr="00EF4A25">
              <w:t>Smart Service Queensland (</w:t>
            </w:r>
            <w:r>
              <w:t xml:space="preserve">Queensland Government </w:t>
            </w:r>
            <w:r w:rsidRPr="00EF4A25">
              <w:t>Service Centre</w:t>
            </w:r>
            <w:r>
              <w:t xml:space="preserve"> Cairns</w:t>
            </w:r>
            <w:r w:rsidRPr="00EF4A25">
              <w:t>)</w:t>
            </w:r>
          </w:p>
        </w:tc>
        <w:tc>
          <w:tcPr>
            <w:tcW w:w="3037" w:type="pct"/>
          </w:tcPr>
          <w:p w14:paraId="6888685D" w14:textId="77777777" w:rsidR="00A81C4F" w:rsidRPr="00EF4A25" w:rsidRDefault="00A81C4F" w:rsidP="008C1FD6">
            <w:pPr>
              <w:pStyle w:val="Normal-table"/>
              <w:cnfStyle w:val="000000000000" w:firstRow="0" w:lastRow="0" w:firstColumn="0" w:lastColumn="0" w:oddVBand="0" w:evenVBand="0" w:oddHBand="0" w:evenHBand="0" w:firstRowFirstColumn="0" w:firstRowLastColumn="0" w:lastRowFirstColumn="0" w:lastRowLastColumn="0"/>
            </w:pPr>
            <w:r>
              <w:t>5B Sheridan Street, William McCormack Place, Cairns QLD 4870</w:t>
            </w:r>
          </w:p>
        </w:tc>
      </w:tr>
      <w:tr w:rsidR="00A81C4F" w:rsidRPr="002459B3" w14:paraId="792FDFE3" w14:textId="77777777" w:rsidTr="00CD4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tcPr>
          <w:p w14:paraId="4E43F109" w14:textId="77777777" w:rsidR="00A81C4F" w:rsidRPr="00EF4A25" w:rsidRDefault="00A81C4F" w:rsidP="008C1FD6">
            <w:pPr>
              <w:pStyle w:val="Normal-table"/>
            </w:pPr>
            <w:r w:rsidRPr="00EF4A25">
              <w:t>Queensland Shared Services</w:t>
            </w:r>
            <w:r>
              <w:t xml:space="preserve"> (Maroochydore)</w:t>
            </w:r>
          </w:p>
        </w:tc>
        <w:tc>
          <w:tcPr>
            <w:tcW w:w="3037" w:type="pct"/>
          </w:tcPr>
          <w:p w14:paraId="1F82D4F1" w14:textId="77777777" w:rsidR="00A81C4F" w:rsidRPr="00EF4A25" w:rsidRDefault="00A81C4F" w:rsidP="008C1FD6">
            <w:pPr>
              <w:pStyle w:val="Normal-table"/>
              <w:cnfStyle w:val="000000100000" w:firstRow="0" w:lastRow="0" w:firstColumn="0" w:lastColumn="0" w:oddVBand="0" w:evenVBand="0" w:oddHBand="1" w:evenHBand="0" w:firstRowFirstColumn="0" w:firstRowLastColumn="0" w:lastRowFirstColumn="0" w:lastRowLastColumn="0"/>
            </w:pPr>
            <w:r w:rsidRPr="00EF4A25">
              <w:t>Mike Ahern Centre, 12 First Avenue, Maroochydore QLD 4558</w:t>
            </w:r>
          </w:p>
        </w:tc>
      </w:tr>
      <w:tr w:rsidR="00A81C4F" w:rsidRPr="002459B3" w14:paraId="598B2A02" w14:textId="77777777" w:rsidTr="00CD4562">
        <w:tc>
          <w:tcPr>
            <w:cnfStyle w:val="001000000000" w:firstRow="0" w:lastRow="0" w:firstColumn="1" w:lastColumn="0" w:oddVBand="0" w:evenVBand="0" w:oddHBand="0" w:evenHBand="0" w:firstRowFirstColumn="0" w:firstRowLastColumn="0" w:lastRowFirstColumn="0" w:lastRowLastColumn="0"/>
            <w:tcW w:w="1963" w:type="pct"/>
          </w:tcPr>
          <w:p w14:paraId="3CAD0C77" w14:textId="77777777" w:rsidR="00A81C4F" w:rsidRPr="00EF4A25" w:rsidRDefault="00A81C4F" w:rsidP="008C1FD6">
            <w:pPr>
              <w:pStyle w:val="Normal-table"/>
            </w:pPr>
            <w:r w:rsidRPr="00EF4A25">
              <w:t>Queensland Shared Services</w:t>
            </w:r>
            <w:r>
              <w:t xml:space="preserve"> (Cairns)</w:t>
            </w:r>
          </w:p>
        </w:tc>
        <w:tc>
          <w:tcPr>
            <w:tcW w:w="3037" w:type="pct"/>
          </w:tcPr>
          <w:p w14:paraId="55C3F497" w14:textId="77777777" w:rsidR="00A81C4F" w:rsidRPr="00EF4A25" w:rsidRDefault="00A81C4F" w:rsidP="008C1FD6">
            <w:pPr>
              <w:pStyle w:val="Normal-table"/>
              <w:cnfStyle w:val="000000000000" w:firstRow="0" w:lastRow="0" w:firstColumn="0" w:lastColumn="0" w:oddVBand="0" w:evenVBand="0" w:oddHBand="0" w:evenHBand="0" w:firstRowFirstColumn="0" w:firstRowLastColumn="0" w:lastRowFirstColumn="0" w:lastRowLastColumn="0"/>
            </w:pPr>
            <w:r w:rsidRPr="000854D4">
              <w:t>5B Sheridan Street, William McCormack Place, Cairns QLD 4870</w:t>
            </w:r>
          </w:p>
        </w:tc>
      </w:tr>
      <w:tr w:rsidR="00A81C4F" w:rsidRPr="00EF4A25" w14:paraId="5C9933B1" w14:textId="77777777" w:rsidTr="00CD4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tcPr>
          <w:p w14:paraId="4AD770CF" w14:textId="77777777" w:rsidR="00A81C4F" w:rsidRPr="00EF4A25" w:rsidRDefault="00A81C4F" w:rsidP="008C1FD6">
            <w:pPr>
              <w:pStyle w:val="Normal-table"/>
            </w:pPr>
            <w:r w:rsidRPr="000854D4">
              <w:t>Queensland Shared Services</w:t>
            </w:r>
            <w:r>
              <w:t xml:space="preserve"> (Gold Coast)</w:t>
            </w:r>
          </w:p>
        </w:tc>
        <w:tc>
          <w:tcPr>
            <w:tcW w:w="3037" w:type="pct"/>
          </w:tcPr>
          <w:p w14:paraId="460F861F" w14:textId="77777777" w:rsidR="00A81C4F" w:rsidRPr="00EF4A25" w:rsidRDefault="00A81C4F" w:rsidP="008C1FD6">
            <w:pPr>
              <w:pStyle w:val="Normal-table"/>
              <w:cnfStyle w:val="000000100000" w:firstRow="0" w:lastRow="0" w:firstColumn="0" w:lastColumn="0" w:oddVBand="0" w:evenVBand="0" w:oddHBand="1" w:evenHBand="0" w:firstRowFirstColumn="0" w:firstRowLastColumn="0" w:lastRowFirstColumn="0" w:lastRowLastColumn="0"/>
            </w:pPr>
            <w:r>
              <w:t>Easy T Centre, 510 Christine Avenue, Robina QLD 4226</w:t>
            </w:r>
          </w:p>
        </w:tc>
      </w:tr>
      <w:tr w:rsidR="00A81C4F" w:rsidRPr="00EF4A25" w14:paraId="5710FF06" w14:textId="77777777" w:rsidTr="00CD4562">
        <w:tc>
          <w:tcPr>
            <w:cnfStyle w:val="001000000000" w:firstRow="0" w:lastRow="0" w:firstColumn="1" w:lastColumn="0" w:oddVBand="0" w:evenVBand="0" w:oddHBand="0" w:evenHBand="0" w:firstRowFirstColumn="0" w:firstRowLastColumn="0" w:lastRowFirstColumn="0" w:lastRowLastColumn="0"/>
            <w:tcW w:w="1963" w:type="pct"/>
          </w:tcPr>
          <w:p w14:paraId="7C6104BC" w14:textId="77777777" w:rsidR="00A81C4F" w:rsidRPr="00EF4A25" w:rsidRDefault="00A81C4F" w:rsidP="008C1FD6">
            <w:pPr>
              <w:pStyle w:val="Normal-table"/>
            </w:pPr>
            <w:r w:rsidRPr="000854D4">
              <w:t>Queensland Shared Services</w:t>
            </w:r>
            <w:r>
              <w:t xml:space="preserve"> (Gympie)</w:t>
            </w:r>
          </w:p>
        </w:tc>
        <w:tc>
          <w:tcPr>
            <w:tcW w:w="3037" w:type="pct"/>
          </w:tcPr>
          <w:p w14:paraId="30FF8EAB" w14:textId="77777777" w:rsidR="00A81C4F" w:rsidRPr="00EF4A25" w:rsidRDefault="00A81C4F" w:rsidP="008C1FD6">
            <w:pPr>
              <w:pStyle w:val="Normal-table"/>
              <w:cnfStyle w:val="000000000000" w:firstRow="0" w:lastRow="0" w:firstColumn="0" w:lastColumn="0" w:oddVBand="0" w:evenVBand="0" w:oddHBand="0" w:evenHBand="0" w:firstRowFirstColumn="0" w:firstRowLastColumn="0" w:lastRowFirstColumn="0" w:lastRowLastColumn="0"/>
            </w:pPr>
            <w:r>
              <w:t>Cnr Louisa Street and Cartwright Road, Gympie QLD 4230</w:t>
            </w:r>
          </w:p>
        </w:tc>
      </w:tr>
      <w:tr w:rsidR="00A81C4F" w:rsidRPr="00EF4A25" w14:paraId="245DED95" w14:textId="77777777" w:rsidTr="00CD4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tcPr>
          <w:p w14:paraId="42147F44" w14:textId="77777777" w:rsidR="00A81C4F" w:rsidRPr="00EF4A25" w:rsidRDefault="00A81C4F" w:rsidP="008C1FD6">
            <w:pPr>
              <w:pStyle w:val="Normal-table"/>
            </w:pPr>
            <w:r w:rsidRPr="000854D4">
              <w:t>Queensland Shared Services</w:t>
            </w:r>
            <w:r>
              <w:t xml:space="preserve"> (Rockhampton)</w:t>
            </w:r>
          </w:p>
        </w:tc>
        <w:tc>
          <w:tcPr>
            <w:tcW w:w="3037" w:type="pct"/>
          </w:tcPr>
          <w:p w14:paraId="276337BC" w14:textId="77777777" w:rsidR="00A81C4F" w:rsidRPr="00EF4A25" w:rsidRDefault="00A81C4F" w:rsidP="008C1FD6">
            <w:pPr>
              <w:pStyle w:val="Normal-table"/>
              <w:cnfStyle w:val="000000100000" w:firstRow="0" w:lastRow="0" w:firstColumn="0" w:lastColumn="0" w:oddVBand="0" w:evenVBand="0" w:oddHBand="1" w:evenHBand="0" w:firstRowFirstColumn="0" w:firstRowLastColumn="0" w:lastRowFirstColumn="0" w:lastRowLastColumn="0"/>
            </w:pPr>
            <w:r>
              <w:t>19 Bolsover Street, Rockhampton QLD 4700</w:t>
            </w:r>
          </w:p>
        </w:tc>
      </w:tr>
      <w:tr w:rsidR="00A81C4F" w:rsidRPr="00EF4A25" w14:paraId="33F1D45D" w14:textId="77777777" w:rsidTr="00CD4562">
        <w:tc>
          <w:tcPr>
            <w:cnfStyle w:val="001000000000" w:firstRow="0" w:lastRow="0" w:firstColumn="1" w:lastColumn="0" w:oddVBand="0" w:evenVBand="0" w:oddHBand="0" w:evenHBand="0" w:firstRowFirstColumn="0" w:firstRowLastColumn="0" w:lastRowFirstColumn="0" w:lastRowLastColumn="0"/>
            <w:tcW w:w="1963" w:type="pct"/>
          </w:tcPr>
          <w:p w14:paraId="42702F24" w14:textId="77777777" w:rsidR="00A81C4F" w:rsidRPr="00EF4A25" w:rsidRDefault="00A81C4F" w:rsidP="008C1FD6">
            <w:pPr>
              <w:pStyle w:val="Normal-table"/>
            </w:pPr>
            <w:r w:rsidRPr="000854D4">
              <w:t>Queensland Shared Services</w:t>
            </w:r>
            <w:r>
              <w:t xml:space="preserve"> (Toowoomba)</w:t>
            </w:r>
          </w:p>
        </w:tc>
        <w:tc>
          <w:tcPr>
            <w:tcW w:w="3037" w:type="pct"/>
          </w:tcPr>
          <w:p w14:paraId="64CD52E4" w14:textId="77777777" w:rsidR="00A81C4F" w:rsidRPr="00EF4A25" w:rsidRDefault="00A81C4F" w:rsidP="008C1FD6">
            <w:pPr>
              <w:pStyle w:val="Normal-table"/>
              <w:cnfStyle w:val="000000000000" w:firstRow="0" w:lastRow="0" w:firstColumn="0" w:lastColumn="0" w:oddVBand="0" w:evenVBand="0" w:oddHBand="0" w:evenHBand="0" w:firstRowFirstColumn="0" w:firstRowLastColumn="0" w:lastRowFirstColumn="0" w:lastRowLastColumn="0"/>
            </w:pPr>
            <w:r>
              <w:t>Central Plaza, 532 Ruthven Street, Toowoomba QLD 4350</w:t>
            </w:r>
          </w:p>
        </w:tc>
      </w:tr>
      <w:tr w:rsidR="00A81C4F" w:rsidRPr="00EF4A25" w14:paraId="18F4AC5A" w14:textId="77777777" w:rsidTr="00CD4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tcPr>
          <w:p w14:paraId="5F6CBDF6" w14:textId="77777777" w:rsidR="00A81C4F" w:rsidRPr="000854D4" w:rsidRDefault="00A81C4F" w:rsidP="008C1FD6">
            <w:pPr>
              <w:pStyle w:val="Normal-table"/>
            </w:pPr>
            <w:r w:rsidRPr="000854D4">
              <w:t>Queensland Shared Services</w:t>
            </w:r>
            <w:r>
              <w:t xml:space="preserve"> (Townsville)</w:t>
            </w:r>
          </w:p>
        </w:tc>
        <w:tc>
          <w:tcPr>
            <w:tcW w:w="3037" w:type="pct"/>
          </w:tcPr>
          <w:p w14:paraId="69C07FD3" w14:textId="77777777" w:rsidR="00A81C4F" w:rsidRDefault="00A81C4F" w:rsidP="008C1FD6">
            <w:pPr>
              <w:pStyle w:val="Normal-table"/>
              <w:cnfStyle w:val="000000100000" w:firstRow="0" w:lastRow="0" w:firstColumn="0" w:lastColumn="0" w:oddVBand="0" w:evenVBand="0" w:oddHBand="1" w:evenHBand="0" w:firstRowFirstColumn="0" w:firstRowLastColumn="0" w:lastRowFirstColumn="0" w:lastRowLastColumn="0"/>
            </w:pPr>
            <w:r>
              <w:t>Commonwealth Centre, 187 Townsville Street, Townsville, QLD 4810</w:t>
            </w:r>
          </w:p>
        </w:tc>
      </w:tr>
    </w:tbl>
    <w:p w14:paraId="66EF30F7" w14:textId="77777777" w:rsidR="00506056" w:rsidRDefault="00506056" w:rsidP="00506056"/>
    <w:p w14:paraId="3CB9FC55" w14:textId="09AA5799" w:rsidR="00A81C4F" w:rsidRDefault="00A81C4F" w:rsidP="00A81C4F">
      <w:pPr>
        <w:pStyle w:val="Heading2"/>
      </w:pPr>
      <w:r w:rsidRPr="007B458B">
        <w:lastRenderedPageBreak/>
        <w:t xml:space="preserve">Appendix </w:t>
      </w:r>
      <w:r w:rsidR="006C51F6">
        <w:t>11</w:t>
      </w:r>
      <w:r>
        <w:t xml:space="preserve"> –</w:t>
      </w:r>
      <w:r w:rsidRPr="007B458B">
        <w:t xml:space="preserve"> Index</w:t>
      </w:r>
    </w:p>
    <w:tbl>
      <w:tblPr>
        <w:tblStyle w:val="GridTable4-Accent1"/>
        <w:tblW w:w="5000" w:type="pct"/>
        <w:tblLook w:val="04A0" w:firstRow="1" w:lastRow="0" w:firstColumn="1" w:lastColumn="0" w:noHBand="0" w:noVBand="1"/>
      </w:tblPr>
      <w:tblGrid>
        <w:gridCol w:w="6779"/>
        <w:gridCol w:w="1945"/>
        <w:gridCol w:w="1732"/>
      </w:tblGrid>
      <w:tr w:rsidR="00AE37A2" w:rsidRPr="008C1FD6" w14:paraId="55057B2D" w14:textId="2490A2B5" w:rsidTr="008C1FD6">
        <w:trPr>
          <w:cnfStyle w:val="100000000000" w:firstRow="1" w:lastRow="0" w:firstColumn="0" w:lastColumn="0" w:oddVBand="0" w:evenVBand="0" w:oddHBand="0" w:evenHBand="0" w:firstRowFirstColumn="0" w:firstRowLastColumn="0" w:lastRowFirstColumn="0" w:lastRowLastColumn="0"/>
          <w:trHeight w:val="448"/>
          <w:tblHeader/>
        </w:trPr>
        <w:tc>
          <w:tcPr>
            <w:cnfStyle w:val="001000000000" w:firstRow="0" w:lastRow="0" w:firstColumn="1" w:lastColumn="0" w:oddVBand="0" w:evenVBand="0" w:oddHBand="0" w:evenHBand="0" w:firstRowFirstColumn="0" w:firstRowLastColumn="0" w:lastRowFirstColumn="0" w:lastRowLastColumn="0"/>
            <w:tcW w:w="3242" w:type="pct"/>
          </w:tcPr>
          <w:p w14:paraId="46121262" w14:textId="77777777" w:rsidR="00AE37A2" w:rsidRPr="008C1FD6" w:rsidRDefault="00AE37A2" w:rsidP="008C1FD6">
            <w:pPr>
              <w:pStyle w:val="Normal-table"/>
            </w:pPr>
            <w:r w:rsidRPr="008C1FD6">
              <w:t>Topic</w:t>
            </w:r>
          </w:p>
        </w:tc>
        <w:tc>
          <w:tcPr>
            <w:tcW w:w="930" w:type="pct"/>
          </w:tcPr>
          <w:p w14:paraId="3E581AB6" w14:textId="77777777" w:rsidR="00AE37A2" w:rsidRPr="008C1FD6" w:rsidRDefault="00AE37A2" w:rsidP="008C1FD6">
            <w:pPr>
              <w:pStyle w:val="Normal-table"/>
              <w:cnfStyle w:val="100000000000" w:firstRow="1" w:lastRow="0" w:firstColumn="0" w:lastColumn="0" w:oddVBand="0" w:evenVBand="0" w:oddHBand="0" w:evenHBand="0" w:firstRowFirstColumn="0" w:firstRowLastColumn="0" w:lastRowFirstColumn="0" w:lastRowLastColumn="0"/>
            </w:pPr>
            <w:r w:rsidRPr="008C1FD6">
              <w:t>Page</w:t>
            </w:r>
          </w:p>
        </w:tc>
        <w:tc>
          <w:tcPr>
            <w:tcW w:w="828" w:type="pct"/>
          </w:tcPr>
          <w:p w14:paraId="5BBEAEE0" w14:textId="77777777" w:rsidR="00AE37A2" w:rsidRPr="008C1FD6" w:rsidRDefault="00AE37A2" w:rsidP="008C1FD6">
            <w:pPr>
              <w:pStyle w:val="Normal-table"/>
              <w:cnfStyle w:val="100000000000" w:firstRow="1" w:lastRow="0" w:firstColumn="0" w:lastColumn="0" w:oddVBand="0" w:evenVBand="0" w:oddHBand="0" w:evenHBand="0" w:firstRowFirstColumn="0" w:firstRowLastColumn="0" w:lastRowFirstColumn="0" w:lastRowLastColumn="0"/>
            </w:pPr>
          </w:p>
        </w:tc>
      </w:tr>
      <w:tr w:rsidR="00AE37A2" w:rsidRPr="008C1FD6" w14:paraId="37A03FBF" w14:textId="3D47BF43" w:rsidTr="008C1FD6">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242" w:type="pct"/>
          </w:tcPr>
          <w:p w14:paraId="4E535CFE" w14:textId="77777777" w:rsidR="00AE37A2" w:rsidRPr="008C1FD6" w:rsidRDefault="00AE37A2" w:rsidP="008C1FD6">
            <w:pPr>
              <w:pStyle w:val="Normal-table"/>
            </w:pPr>
            <w:r w:rsidRPr="008C1FD6">
              <w:t>2032 Olympic and Paralympic Games</w:t>
            </w:r>
          </w:p>
        </w:tc>
        <w:tc>
          <w:tcPr>
            <w:tcW w:w="930" w:type="pct"/>
          </w:tcPr>
          <w:p w14:paraId="6F234879"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c>
          <w:tcPr>
            <w:tcW w:w="828" w:type="pct"/>
          </w:tcPr>
          <w:p w14:paraId="048138CC"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r>
      <w:tr w:rsidR="00AE37A2" w:rsidRPr="008C1FD6" w14:paraId="679A2A37" w14:textId="6C6C9A36" w:rsidTr="008C1FD6">
        <w:trPr>
          <w:trHeight w:val="433"/>
        </w:trPr>
        <w:tc>
          <w:tcPr>
            <w:cnfStyle w:val="001000000000" w:firstRow="0" w:lastRow="0" w:firstColumn="1" w:lastColumn="0" w:oddVBand="0" w:evenVBand="0" w:oddHBand="0" w:evenHBand="0" w:firstRowFirstColumn="0" w:firstRowLastColumn="0" w:lastRowFirstColumn="0" w:lastRowLastColumn="0"/>
            <w:tcW w:w="3242" w:type="pct"/>
          </w:tcPr>
          <w:p w14:paraId="19BA4A8C" w14:textId="77777777" w:rsidR="00AE37A2" w:rsidRPr="008C1FD6" w:rsidRDefault="00AE37A2" w:rsidP="008C1FD6">
            <w:pPr>
              <w:pStyle w:val="Normal-table"/>
            </w:pPr>
            <w:r w:rsidRPr="008C1FD6">
              <w:t>About us</w:t>
            </w:r>
          </w:p>
        </w:tc>
        <w:tc>
          <w:tcPr>
            <w:tcW w:w="930" w:type="pct"/>
          </w:tcPr>
          <w:p w14:paraId="1ACA8D44"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c>
          <w:tcPr>
            <w:tcW w:w="828" w:type="pct"/>
          </w:tcPr>
          <w:p w14:paraId="1D64FAFC"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r>
      <w:tr w:rsidR="00AE37A2" w:rsidRPr="008C1FD6" w14:paraId="35C440C8" w14:textId="45FD68A4" w:rsidTr="008C1FD6">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242" w:type="pct"/>
          </w:tcPr>
          <w:p w14:paraId="205268E2" w14:textId="77777777" w:rsidR="00AE37A2" w:rsidRPr="008C1FD6" w:rsidRDefault="00AE37A2" w:rsidP="008C1FD6">
            <w:pPr>
              <w:pStyle w:val="Normal-table"/>
            </w:pPr>
            <w:r w:rsidRPr="008C1FD6">
              <w:t>Air services</w:t>
            </w:r>
          </w:p>
        </w:tc>
        <w:tc>
          <w:tcPr>
            <w:tcW w:w="930" w:type="pct"/>
          </w:tcPr>
          <w:p w14:paraId="148E64F8"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c>
          <w:tcPr>
            <w:tcW w:w="828" w:type="pct"/>
          </w:tcPr>
          <w:p w14:paraId="25A44647"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r>
      <w:tr w:rsidR="00AE37A2" w:rsidRPr="008C1FD6" w14:paraId="7A95DC9C" w14:textId="2A28DE72" w:rsidTr="008C1FD6">
        <w:trPr>
          <w:trHeight w:val="448"/>
        </w:trPr>
        <w:tc>
          <w:tcPr>
            <w:cnfStyle w:val="001000000000" w:firstRow="0" w:lastRow="0" w:firstColumn="1" w:lastColumn="0" w:oddVBand="0" w:evenVBand="0" w:oddHBand="0" w:evenHBand="0" w:firstRowFirstColumn="0" w:firstRowLastColumn="0" w:lastRowFirstColumn="0" w:lastRowLastColumn="0"/>
            <w:tcW w:w="3242" w:type="pct"/>
          </w:tcPr>
          <w:p w14:paraId="44F60575" w14:textId="77777777" w:rsidR="00AE37A2" w:rsidRPr="008C1FD6" w:rsidRDefault="00AE37A2" w:rsidP="008C1FD6">
            <w:pPr>
              <w:pStyle w:val="Normal-table"/>
            </w:pPr>
            <w:r w:rsidRPr="008C1FD6">
              <w:t>Associated authorities</w:t>
            </w:r>
          </w:p>
        </w:tc>
        <w:tc>
          <w:tcPr>
            <w:tcW w:w="930" w:type="pct"/>
          </w:tcPr>
          <w:p w14:paraId="2D3C3A50"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c>
          <w:tcPr>
            <w:tcW w:w="828" w:type="pct"/>
          </w:tcPr>
          <w:p w14:paraId="7CEA8E48"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r>
      <w:tr w:rsidR="00AE37A2" w:rsidRPr="008C1FD6" w14:paraId="06969E9A" w14:textId="4D615C50" w:rsidTr="008C1FD6">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242" w:type="pct"/>
          </w:tcPr>
          <w:p w14:paraId="623D4CCC" w14:textId="77777777" w:rsidR="00AE37A2" w:rsidRPr="008C1FD6" w:rsidRDefault="00AE37A2" w:rsidP="008C1FD6">
            <w:pPr>
              <w:pStyle w:val="Normal-table"/>
            </w:pPr>
            <w:r w:rsidRPr="008C1FD6">
              <w:t>Award recognition</w:t>
            </w:r>
          </w:p>
        </w:tc>
        <w:tc>
          <w:tcPr>
            <w:tcW w:w="930" w:type="pct"/>
          </w:tcPr>
          <w:p w14:paraId="64B81F53"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c>
          <w:tcPr>
            <w:tcW w:w="828" w:type="pct"/>
          </w:tcPr>
          <w:p w14:paraId="2B1F4227"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r>
      <w:tr w:rsidR="00AE37A2" w:rsidRPr="008C1FD6" w14:paraId="39AC0C36" w14:textId="6939AAE2" w:rsidTr="008C1FD6">
        <w:trPr>
          <w:trHeight w:val="448"/>
        </w:trPr>
        <w:tc>
          <w:tcPr>
            <w:cnfStyle w:val="001000000000" w:firstRow="0" w:lastRow="0" w:firstColumn="1" w:lastColumn="0" w:oddVBand="0" w:evenVBand="0" w:oddHBand="0" w:evenHBand="0" w:firstRowFirstColumn="0" w:firstRowLastColumn="0" w:lastRowFirstColumn="0" w:lastRowLastColumn="0"/>
            <w:tcW w:w="3242" w:type="pct"/>
          </w:tcPr>
          <w:p w14:paraId="5B4F3F8D" w14:textId="77777777" w:rsidR="00AE37A2" w:rsidRPr="008C1FD6" w:rsidRDefault="00AE37A2" w:rsidP="008C1FD6">
            <w:pPr>
              <w:pStyle w:val="Normal-table"/>
            </w:pPr>
            <w:r w:rsidRPr="008C1FD6">
              <w:t>Bruce Highway</w:t>
            </w:r>
          </w:p>
        </w:tc>
        <w:tc>
          <w:tcPr>
            <w:tcW w:w="930" w:type="pct"/>
          </w:tcPr>
          <w:p w14:paraId="0A45FA9D"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r w:rsidRPr="008C1FD6">
              <w:t xml:space="preserve"> </w:t>
            </w:r>
          </w:p>
        </w:tc>
        <w:tc>
          <w:tcPr>
            <w:tcW w:w="828" w:type="pct"/>
          </w:tcPr>
          <w:p w14:paraId="645D7C56"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r>
      <w:tr w:rsidR="00AE37A2" w:rsidRPr="008C1FD6" w14:paraId="47179159" w14:textId="7177E015" w:rsidTr="008C1FD6">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3242" w:type="pct"/>
          </w:tcPr>
          <w:p w14:paraId="185D4FC8" w14:textId="77777777" w:rsidR="00AE37A2" w:rsidRPr="008C1FD6" w:rsidRDefault="00AE37A2" w:rsidP="008C1FD6">
            <w:pPr>
              <w:pStyle w:val="Normal-table"/>
            </w:pPr>
            <w:r w:rsidRPr="008C1FD6">
              <w:t>Camera Detected Offence Program</w:t>
            </w:r>
          </w:p>
        </w:tc>
        <w:tc>
          <w:tcPr>
            <w:tcW w:w="930" w:type="pct"/>
          </w:tcPr>
          <w:p w14:paraId="4ECA6F2B"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c>
          <w:tcPr>
            <w:tcW w:w="828" w:type="pct"/>
          </w:tcPr>
          <w:p w14:paraId="1EDC749A"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r>
      <w:tr w:rsidR="00AE37A2" w:rsidRPr="008C1FD6" w14:paraId="0F86B093" w14:textId="0A71EBE0" w:rsidTr="008C1FD6">
        <w:trPr>
          <w:trHeight w:val="448"/>
        </w:trPr>
        <w:tc>
          <w:tcPr>
            <w:cnfStyle w:val="001000000000" w:firstRow="0" w:lastRow="0" w:firstColumn="1" w:lastColumn="0" w:oddVBand="0" w:evenVBand="0" w:oddHBand="0" w:evenHBand="0" w:firstRowFirstColumn="0" w:firstRowLastColumn="0" w:lastRowFirstColumn="0" w:lastRowLastColumn="0"/>
            <w:tcW w:w="3242" w:type="pct"/>
          </w:tcPr>
          <w:p w14:paraId="6E2FDD2B" w14:textId="77777777" w:rsidR="00AE37A2" w:rsidRPr="008C1FD6" w:rsidRDefault="00AE37A2" w:rsidP="008C1FD6">
            <w:pPr>
              <w:pStyle w:val="Normal-table"/>
            </w:pPr>
            <w:r w:rsidRPr="008C1FD6">
              <w:t>Chief Finance Officer’s report</w:t>
            </w:r>
          </w:p>
        </w:tc>
        <w:tc>
          <w:tcPr>
            <w:tcW w:w="930" w:type="pct"/>
          </w:tcPr>
          <w:p w14:paraId="3D44B2A8"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c>
          <w:tcPr>
            <w:tcW w:w="828" w:type="pct"/>
          </w:tcPr>
          <w:p w14:paraId="4F729F21"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r>
      <w:tr w:rsidR="00AE37A2" w:rsidRPr="008C1FD6" w14:paraId="0C98A726" w14:textId="7B4F9C03" w:rsidTr="008C1FD6">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242" w:type="pct"/>
          </w:tcPr>
          <w:p w14:paraId="3D30AD34" w14:textId="77777777" w:rsidR="00AE37A2" w:rsidRPr="008C1FD6" w:rsidRDefault="00AE37A2" w:rsidP="008C1FD6">
            <w:pPr>
              <w:pStyle w:val="Normal-table"/>
            </w:pPr>
            <w:r w:rsidRPr="008C1FD6">
              <w:t>Compliance checklist</w:t>
            </w:r>
          </w:p>
        </w:tc>
        <w:tc>
          <w:tcPr>
            <w:tcW w:w="930" w:type="pct"/>
          </w:tcPr>
          <w:p w14:paraId="0F716768"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c>
          <w:tcPr>
            <w:tcW w:w="828" w:type="pct"/>
          </w:tcPr>
          <w:p w14:paraId="382115ED"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r>
      <w:tr w:rsidR="00AE37A2" w:rsidRPr="008C1FD6" w14:paraId="4B377D68" w14:textId="6853023B" w:rsidTr="008C1FD6">
        <w:trPr>
          <w:trHeight w:val="382"/>
        </w:trPr>
        <w:tc>
          <w:tcPr>
            <w:cnfStyle w:val="001000000000" w:firstRow="0" w:lastRow="0" w:firstColumn="1" w:lastColumn="0" w:oddVBand="0" w:evenVBand="0" w:oddHBand="0" w:evenHBand="0" w:firstRowFirstColumn="0" w:firstRowLastColumn="0" w:lastRowFirstColumn="0" w:lastRowLastColumn="0"/>
            <w:tcW w:w="3242" w:type="pct"/>
          </w:tcPr>
          <w:p w14:paraId="57511048" w14:textId="77777777" w:rsidR="00AE37A2" w:rsidRPr="008C1FD6" w:rsidRDefault="00AE37A2" w:rsidP="008C1FD6">
            <w:pPr>
              <w:pStyle w:val="Normal-table"/>
            </w:pPr>
            <w:r w:rsidRPr="008C1FD6">
              <w:t>Committees</w:t>
            </w:r>
          </w:p>
        </w:tc>
        <w:tc>
          <w:tcPr>
            <w:tcW w:w="930" w:type="pct"/>
          </w:tcPr>
          <w:p w14:paraId="5BEA6BD4"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c>
          <w:tcPr>
            <w:tcW w:w="828" w:type="pct"/>
          </w:tcPr>
          <w:p w14:paraId="5389892B"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r>
      <w:tr w:rsidR="00AE37A2" w:rsidRPr="008C1FD6" w14:paraId="144CE7AA" w14:textId="5E601A80" w:rsidTr="008C1FD6">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3242" w:type="pct"/>
          </w:tcPr>
          <w:p w14:paraId="2AD2CD02" w14:textId="77777777" w:rsidR="00AE37A2" w:rsidRPr="008C1FD6" w:rsidRDefault="00AE37A2" w:rsidP="008C1FD6">
            <w:pPr>
              <w:pStyle w:val="Normal-table"/>
            </w:pPr>
            <w:r w:rsidRPr="008C1FD6">
              <w:t>Complaints management</w:t>
            </w:r>
          </w:p>
        </w:tc>
        <w:tc>
          <w:tcPr>
            <w:tcW w:w="930" w:type="pct"/>
          </w:tcPr>
          <w:p w14:paraId="740F917A"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c>
          <w:tcPr>
            <w:tcW w:w="828" w:type="pct"/>
          </w:tcPr>
          <w:p w14:paraId="27E57F36"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r>
      <w:tr w:rsidR="00AE37A2" w:rsidRPr="008C1FD6" w14:paraId="7B57957C" w14:textId="2A4E04DF" w:rsidTr="008C1FD6">
        <w:trPr>
          <w:trHeight w:val="448"/>
        </w:trPr>
        <w:tc>
          <w:tcPr>
            <w:cnfStyle w:val="001000000000" w:firstRow="0" w:lastRow="0" w:firstColumn="1" w:lastColumn="0" w:oddVBand="0" w:evenVBand="0" w:oddHBand="0" w:evenHBand="0" w:firstRowFirstColumn="0" w:firstRowLastColumn="0" w:lastRowFirstColumn="0" w:lastRowLastColumn="0"/>
            <w:tcW w:w="3242" w:type="pct"/>
          </w:tcPr>
          <w:p w14:paraId="65601F6D" w14:textId="77777777" w:rsidR="00AE37A2" w:rsidRPr="008C1FD6" w:rsidRDefault="00AE37A2" w:rsidP="008C1FD6">
            <w:pPr>
              <w:pStyle w:val="Normal-table"/>
            </w:pPr>
            <w:r w:rsidRPr="008C1FD6">
              <w:t>Continuity Management</w:t>
            </w:r>
          </w:p>
        </w:tc>
        <w:tc>
          <w:tcPr>
            <w:tcW w:w="930" w:type="pct"/>
          </w:tcPr>
          <w:p w14:paraId="33A27B0E"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c>
          <w:tcPr>
            <w:tcW w:w="828" w:type="pct"/>
          </w:tcPr>
          <w:p w14:paraId="0E1DB914"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r>
      <w:tr w:rsidR="00AE37A2" w:rsidRPr="008C1FD6" w14:paraId="243F8B92" w14:textId="2551F47B" w:rsidTr="008C1FD6">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242" w:type="pct"/>
          </w:tcPr>
          <w:p w14:paraId="6A0EA83C" w14:textId="77777777" w:rsidR="00AE37A2" w:rsidRPr="008C1FD6" w:rsidRDefault="00AE37A2" w:rsidP="008C1FD6">
            <w:pPr>
              <w:pStyle w:val="Normal-table"/>
            </w:pPr>
            <w:r w:rsidRPr="008C1FD6">
              <w:t>Coronial inquests</w:t>
            </w:r>
          </w:p>
        </w:tc>
        <w:tc>
          <w:tcPr>
            <w:tcW w:w="930" w:type="pct"/>
          </w:tcPr>
          <w:p w14:paraId="4F58FF1B"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c>
          <w:tcPr>
            <w:tcW w:w="828" w:type="pct"/>
          </w:tcPr>
          <w:p w14:paraId="541CDFB5"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r>
      <w:tr w:rsidR="00AE37A2" w:rsidRPr="008C1FD6" w14:paraId="179ECEC1" w14:textId="72BF1877" w:rsidTr="008C1FD6">
        <w:trPr>
          <w:trHeight w:val="280"/>
        </w:trPr>
        <w:tc>
          <w:tcPr>
            <w:cnfStyle w:val="001000000000" w:firstRow="0" w:lastRow="0" w:firstColumn="1" w:lastColumn="0" w:oddVBand="0" w:evenVBand="0" w:oddHBand="0" w:evenHBand="0" w:firstRowFirstColumn="0" w:firstRowLastColumn="0" w:lastRowFirstColumn="0" w:lastRowLastColumn="0"/>
            <w:tcW w:w="3242" w:type="pct"/>
          </w:tcPr>
          <w:p w14:paraId="34DA34EF" w14:textId="77777777" w:rsidR="00AE37A2" w:rsidRPr="008C1FD6" w:rsidRDefault="00AE37A2" w:rsidP="008C1FD6">
            <w:pPr>
              <w:pStyle w:val="Normal-table"/>
            </w:pPr>
            <w:r w:rsidRPr="008C1FD6">
              <w:t>COVID-19</w:t>
            </w:r>
          </w:p>
        </w:tc>
        <w:tc>
          <w:tcPr>
            <w:tcW w:w="930" w:type="pct"/>
          </w:tcPr>
          <w:p w14:paraId="322D86F2"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c>
          <w:tcPr>
            <w:tcW w:w="828" w:type="pct"/>
          </w:tcPr>
          <w:p w14:paraId="281A74C8"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r>
      <w:tr w:rsidR="00AE37A2" w:rsidRPr="008C1FD6" w14:paraId="5B75867B" w14:textId="19FEF7B2" w:rsidTr="008C1FD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242" w:type="pct"/>
          </w:tcPr>
          <w:p w14:paraId="426E779D" w14:textId="77777777" w:rsidR="00AE37A2" w:rsidRPr="008C1FD6" w:rsidRDefault="00AE37A2" w:rsidP="008C1FD6">
            <w:pPr>
              <w:pStyle w:val="Normal-table"/>
            </w:pPr>
            <w:r w:rsidRPr="008C1FD6">
              <w:t>Customer experience</w:t>
            </w:r>
          </w:p>
        </w:tc>
        <w:tc>
          <w:tcPr>
            <w:tcW w:w="930" w:type="pct"/>
          </w:tcPr>
          <w:p w14:paraId="22EF900A"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c>
          <w:tcPr>
            <w:tcW w:w="828" w:type="pct"/>
          </w:tcPr>
          <w:p w14:paraId="657135BD"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r>
      <w:tr w:rsidR="00AE37A2" w:rsidRPr="008C1FD6" w14:paraId="6264C445" w14:textId="432777D7" w:rsidTr="008C1FD6">
        <w:trPr>
          <w:trHeight w:val="251"/>
        </w:trPr>
        <w:tc>
          <w:tcPr>
            <w:cnfStyle w:val="001000000000" w:firstRow="0" w:lastRow="0" w:firstColumn="1" w:lastColumn="0" w:oddVBand="0" w:evenVBand="0" w:oddHBand="0" w:evenHBand="0" w:firstRowFirstColumn="0" w:firstRowLastColumn="0" w:lastRowFirstColumn="0" w:lastRowLastColumn="0"/>
            <w:tcW w:w="3242" w:type="pct"/>
          </w:tcPr>
          <w:p w14:paraId="46B4F506" w14:textId="77777777" w:rsidR="00AE37A2" w:rsidRPr="008C1FD6" w:rsidRDefault="00AE37A2" w:rsidP="008C1FD6">
            <w:pPr>
              <w:pStyle w:val="Normal-table"/>
            </w:pPr>
            <w:r w:rsidRPr="008C1FD6">
              <w:t>Cyber security</w:t>
            </w:r>
          </w:p>
        </w:tc>
        <w:tc>
          <w:tcPr>
            <w:tcW w:w="930" w:type="pct"/>
          </w:tcPr>
          <w:p w14:paraId="2728C6F1"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c>
          <w:tcPr>
            <w:tcW w:w="828" w:type="pct"/>
          </w:tcPr>
          <w:p w14:paraId="5C2D4753"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r>
      <w:tr w:rsidR="00AE37A2" w:rsidRPr="008C1FD6" w14:paraId="25055CEF" w14:textId="50161B49" w:rsidTr="008C1FD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242" w:type="pct"/>
          </w:tcPr>
          <w:p w14:paraId="4ECA7829" w14:textId="77777777" w:rsidR="00AE37A2" w:rsidRPr="008C1FD6" w:rsidRDefault="00AE37A2" w:rsidP="008C1FD6">
            <w:pPr>
              <w:pStyle w:val="Normal-table"/>
            </w:pPr>
            <w:r w:rsidRPr="008C1FD6">
              <w:t>Cycling</w:t>
            </w:r>
          </w:p>
        </w:tc>
        <w:tc>
          <w:tcPr>
            <w:tcW w:w="930" w:type="pct"/>
          </w:tcPr>
          <w:p w14:paraId="4870A8B7"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c>
          <w:tcPr>
            <w:tcW w:w="828" w:type="pct"/>
          </w:tcPr>
          <w:p w14:paraId="7B219B14"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r>
      <w:tr w:rsidR="00AE37A2" w:rsidRPr="008C1FD6" w14:paraId="1D2EEABE" w14:textId="53474D1E" w:rsidTr="008C1FD6">
        <w:trPr>
          <w:trHeight w:val="433"/>
        </w:trPr>
        <w:tc>
          <w:tcPr>
            <w:cnfStyle w:val="001000000000" w:firstRow="0" w:lastRow="0" w:firstColumn="1" w:lastColumn="0" w:oddVBand="0" w:evenVBand="0" w:oddHBand="0" w:evenHBand="0" w:firstRowFirstColumn="0" w:firstRowLastColumn="0" w:lastRowFirstColumn="0" w:lastRowLastColumn="0"/>
            <w:tcW w:w="3242" w:type="pct"/>
          </w:tcPr>
          <w:p w14:paraId="59CAF83E" w14:textId="77777777" w:rsidR="00AE37A2" w:rsidRPr="008C1FD6" w:rsidRDefault="00AE37A2" w:rsidP="008C1FD6">
            <w:pPr>
              <w:pStyle w:val="Normal-table"/>
            </w:pPr>
            <w:r w:rsidRPr="008C1FD6">
              <w:t>Digital Licence App</w:t>
            </w:r>
          </w:p>
        </w:tc>
        <w:tc>
          <w:tcPr>
            <w:tcW w:w="930" w:type="pct"/>
          </w:tcPr>
          <w:p w14:paraId="5AA23DEF"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c>
          <w:tcPr>
            <w:tcW w:w="828" w:type="pct"/>
          </w:tcPr>
          <w:p w14:paraId="716665AA"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r>
      <w:tr w:rsidR="00AE37A2" w:rsidRPr="008C1FD6" w14:paraId="6262AC5F" w14:textId="00572EEF" w:rsidTr="008C1FD6">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242" w:type="pct"/>
          </w:tcPr>
          <w:p w14:paraId="2BF04A99" w14:textId="77777777" w:rsidR="00AE37A2" w:rsidRPr="008C1FD6" w:rsidRDefault="00AE37A2" w:rsidP="008C1FD6">
            <w:pPr>
              <w:pStyle w:val="Normal-table"/>
            </w:pPr>
            <w:r w:rsidRPr="008C1FD6">
              <w:t>Director-General message</w:t>
            </w:r>
          </w:p>
        </w:tc>
        <w:tc>
          <w:tcPr>
            <w:tcW w:w="930" w:type="pct"/>
          </w:tcPr>
          <w:p w14:paraId="3C6AA5AD"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c>
          <w:tcPr>
            <w:tcW w:w="828" w:type="pct"/>
          </w:tcPr>
          <w:p w14:paraId="2BB04A30"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r>
      <w:tr w:rsidR="00AE37A2" w:rsidRPr="008C1FD6" w14:paraId="15A90393" w14:textId="251AD23B" w:rsidTr="008C1FD6">
        <w:trPr>
          <w:trHeight w:val="80"/>
        </w:trPr>
        <w:tc>
          <w:tcPr>
            <w:cnfStyle w:val="001000000000" w:firstRow="0" w:lastRow="0" w:firstColumn="1" w:lastColumn="0" w:oddVBand="0" w:evenVBand="0" w:oddHBand="0" w:evenHBand="0" w:firstRowFirstColumn="0" w:firstRowLastColumn="0" w:lastRowFirstColumn="0" w:lastRowLastColumn="0"/>
            <w:tcW w:w="3242" w:type="pct"/>
          </w:tcPr>
          <w:p w14:paraId="7E7BA022" w14:textId="77777777" w:rsidR="00AE37A2" w:rsidRPr="008C1FD6" w:rsidRDefault="00AE37A2" w:rsidP="008C1FD6">
            <w:pPr>
              <w:pStyle w:val="Normal-table"/>
            </w:pPr>
            <w:r w:rsidRPr="008C1FD6">
              <w:t>Digital Uplift</w:t>
            </w:r>
          </w:p>
        </w:tc>
        <w:tc>
          <w:tcPr>
            <w:tcW w:w="930" w:type="pct"/>
          </w:tcPr>
          <w:p w14:paraId="67BB4092"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c>
          <w:tcPr>
            <w:tcW w:w="828" w:type="pct"/>
          </w:tcPr>
          <w:p w14:paraId="10FFEB8A"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r>
      <w:tr w:rsidR="00AE37A2" w:rsidRPr="008C1FD6" w14:paraId="18814185" w14:textId="44FBD943" w:rsidTr="008C1FD6">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3242" w:type="pct"/>
          </w:tcPr>
          <w:p w14:paraId="0FFACC69" w14:textId="77777777" w:rsidR="00AE37A2" w:rsidRPr="008C1FD6" w:rsidRDefault="00AE37A2" w:rsidP="008C1FD6">
            <w:pPr>
              <w:pStyle w:val="Normal-table"/>
            </w:pPr>
            <w:r w:rsidRPr="008C1FD6">
              <w:t>Diversity and inclusion</w:t>
            </w:r>
          </w:p>
        </w:tc>
        <w:tc>
          <w:tcPr>
            <w:tcW w:w="930" w:type="pct"/>
          </w:tcPr>
          <w:p w14:paraId="23809FDA"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c>
          <w:tcPr>
            <w:tcW w:w="828" w:type="pct"/>
          </w:tcPr>
          <w:p w14:paraId="0CCAA7CD"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r>
      <w:tr w:rsidR="00AE37A2" w:rsidRPr="008C1FD6" w14:paraId="7D766A22" w14:textId="55940963" w:rsidTr="008C1FD6">
        <w:trPr>
          <w:trHeight w:val="448"/>
        </w:trPr>
        <w:tc>
          <w:tcPr>
            <w:cnfStyle w:val="001000000000" w:firstRow="0" w:lastRow="0" w:firstColumn="1" w:lastColumn="0" w:oddVBand="0" w:evenVBand="0" w:oddHBand="0" w:evenHBand="0" w:firstRowFirstColumn="0" w:firstRowLastColumn="0" w:lastRowFirstColumn="0" w:lastRowLastColumn="0"/>
            <w:tcW w:w="3242" w:type="pct"/>
          </w:tcPr>
          <w:p w14:paraId="31BB3E32" w14:textId="77777777" w:rsidR="00AE37A2" w:rsidRPr="008C1FD6" w:rsidRDefault="00AE37A2" w:rsidP="008C1FD6">
            <w:pPr>
              <w:pStyle w:val="Normal-table"/>
            </w:pPr>
            <w:r w:rsidRPr="008C1FD6">
              <w:t>Environment and Heritage</w:t>
            </w:r>
          </w:p>
        </w:tc>
        <w:tc>
          <w:tcPr>
            <w:tcW w:w="930" w:type="pct"/>
          </w:tcPr>
          <w:p w14:paraId="774DC473"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c>
          <w:tcPr>
            <w:tcW w:w="828" w:type="pct"/>
          </w:tcPr>
          <w:p w14:paraId="2B38F15C"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r>
      <w:tr w:rsidR="00AE37A2" w:rsidRPr="008C1FD6" w14:paraId="4DE35D73" w14:textId="42901A75" w:rsidTr="008C1FD6">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242" w:type="pct"/>
          </w:tcPr>
          <w:p w14:paraId="42D28C05" w14:textId="77777777" w:rsidR="00AE37A2" w:rsidRPr="008C1FD6" w:rsidRDefault="00AE37A2" w:rsidP="008C1FD6">
            <w:pPr>
              <w:pStyle w:val="Normal-table"/>
            </w:pPr>
            <w:r w:rsidRPr="008C1FD6">
              <w:t>Ethics</w:t>
            </w:r>
          </w:p>
        </w:tc>
        <w:tc>
          <w:tcPr>
            <w:tcW w:w="930" w:type="pct"/>
          </w:tcPr>
          <w:p w14:paraId="2252646D"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c>
          <w:tcPr>
            <w:tcW w:w="828" w:type="pct"/>
          </w:tcPr>
          <w:p w14:paraId="2D53D1A6"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r>
      <w:tr w:rsidR="00AE37A2" w:rsidRPr="008C1FD6" w14:paraId="277B75FD" w14:textId="039E8A4D" w:rsidTr="008C1FD6">
        <w:trPr>
          <w:trHeight w:val="448"/>
        </w:trPr>
        <w:tc>
          <w:tcPr>
            <w:cnfStyle w:val="001000000000" w:firstRow="0" w:lastRow="0" w:firstColumn="1" w:lastColumn="0" w:oddVBand="0" w:evenVBand="0" w:oddHBand="0" w:evenHBand="0" w:firstRowFirstColumn="0" w:firstRowLastColumn="0" w:lastRowFirstColumn="0" w:lastRowLastColumn="0"/>
            <w:tcW w:w="3242" w:type="pct"/>
          </w:tcPr>
          <w:p w14:paraId="2684D2EE" w14:textId="77777777" w:rsidR="00AE37A2" w:rsidRPr="008C1FD6" w:rsidRDefault="00AE37A2" w:rsidP="008C1FD6">
            <w:pPr>
              <w:pStyle w:val="Normal-table"/>
            </w:pPr>
            <w:r w:rsidRPr="008C1FD6">
              <w:t>Executive Leadership team profiles</w:t>
            </w:r>
          </w:p>
        </w:tc>
        <w:tc>
          <w:tcPr>
            <w:tcW w:w="930" w:type="pct"/>
          </w:tcPr>
          <w:p w14:paraId="509CB93F"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c>
          <w:tcPr>
            <w:tcW w:w="828" w:type="pct"/>
          </w:tcPr>
          <w:p w14:paraId="742C59E7"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r>
      <w:tr w:rsidR="00AE37A2" w:rsidRPr="008C1FD6" w14:paraId="68ED4FDF" w14:textId="6481DA04" w:rsidTr="008C1FD6">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242" w:type="pct"/>
          </w:tcPr>
          <w:p w14:paraId="466A250E" w14:textId="77777777" w:rsidR="00AE37A2" w:rsidRPr="008C1FD6" w:rsidRDefault="00AE37A2" w:rsidP="008C1FD6">
            <w:pPr>
              <w:pStyle w:val="Normal-table"/>
            </w:pPr>
            <w:r w:rsidRPr="008C1FD6">
              <w:lastRenderedPageBreak/>
              <w:t>Fast Facts</w:t>
            </w:r>
          </w:p>
        </w:tc>
        <w:tc>
          <w:tcPr>
            <w:tcW w:w="930" w:type="pct"/>
          </w:tcPr>
          <w:p w14:paraId="711C6220"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c>
          <w:tcPr>
            <w:tcW w:w="828" w:type="pct"/>
          </w:tcPr>
          <w:p w14:paraId="6495C941"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r>
      <w:tr w:rsidR="00AE37A2" w:rsidRPr="008C1FD6" w14:paraId="4E4EE143" w14:textId="6156C1D7" w:rsidTr="008C1FD6">
        <w:trPr>
          <w:trHeight w:val="448"/>
        </w:trPr>
        <w:tc>
          <w:tcPr>
            <w:cnfStyle w:val="001000000000" w:firstRow="0" w:lastRow="0" w:firstColumn="1" w:lastColumn="0" w:oddVBand="0" w:evenVBand="0" w:oddHBand="0" w:evenHBand="0" w:firstRowFirstColumn="0" w:firstRowLastColumn="0" w:lastRowFirstColumn="0" w:lastRowLastColumn="0"/>
            <w:tcW w:w="3242" w:type="pct"/>
          </w:tcPr>
          <w:p w14:paraId="731E0DBA" w14:textId="77777777" w:rsidR="00AE37A2" w:rsidRPr="008C1FD6" w:rsidRDefault="00AE37A2" w:rsidP="008C1FD6">
            <w:pPr>
              <w:pStyle w:val="Normal-table"/>
            </w:pPr>
            <w:r w:rsidRPr="008C1FD6">
              <w:t>Figures and table index</w:t>
            </w:r>
          </w:p>
        </w:tc>
        <w:tc>
          <w:tcPr>
            <w:tcW w:w="930" w:type="pct"/>
          </w:tcPr>
          <w:p w14:paraId="6301921A"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c>
          <w:tcPr>
            <w:tcW w:w="828" w:type="pct"/>
          </w:tcPr>
          <w:p w14:paraId="58573F47"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r>
      <w:tr w:rsidR="00AE37A2" w:rsidRPr="008C1FD6" w14:paraId="5D8772E9" w14:textId="26236F65" w:rsidTr="008C1FD6">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3242" w:type="pct"/>
          </w:tcPr>
          <w:p w14:paraId="43249DCF" w14:textId="77777777" w:rsidR="00AE37A2" w:rsidRPr="008C1FD6" w:rsidRDefault="00AE37A2" w:rsidP="008C1FD6">
            <w:pPr>
              <w:pStyle w:val="Normal-table"/>
            </w:pPr>
            <w:r w:rsidRPr="008C1FD6">
              <w:t>Financial statements</w:t>
            </w:r>
          </w:p>
        </w:tc>
        <w:tc>
          <w:tcPr>
            <w:tcW w:w="930" w:type="pct"/>
          </w:tcPr>
          <w:p w14:paraId="6EC6D933"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c>
          <w:tcPr>
            <w:tcW w:w="828" w:type="pct"/>
          </w:tcPr>
          <w:p w14:paraId="38753F0C"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r>
      <w:tr w:rsidR="00AE37A2" w:rsidRPr="008C1FD6" w14:paraId="6DED31CC" w14:textId="05008289" w:rsidTr="008C1FD6">
        <w:trPr>
          <w:trHeight w:val="448"/>
        </w:trPr>
        <w:tc>
          <w:tcPr>
            <w:cnfStyle w:val="001000000000" w:firstRow="0" w:lastRow="0" w:firstColumn="1" w:lastColumn="0" w:oddVBand="0" w:evenVBand="0" w:oddHBand="0" w:evenHBand="0" w:firstRowFirstColumn="0" w:firstRowLastColumn="0" w:lastRowFirstColumn="0" w:lastRowLastColumn="0"/>
            <w:tcW w:w="3242" w:type="pct"/>
          </w:tcPr>
          <w:p w14:paraId="30503860" w14:textId="77777777" w:rsidR="00AE37A2" w:rsidRPr="008C1FD6" w:rsidRDefault="00AE37A2" w:rsidP="008C1FD6">
            <w:pPr>
              <w:pStyle w:val="Normal-table"/>
            </w:pPr>
            <w:r w:rsidRPr="008C1FD6">
              <w:t>Financials – independent auditor</w:t>
            </w:r>
          </w:p>
        </w:tc>
        <w:tc>
          <w:tcPr>
            <w:tcW w:w="930" w:type="pct"/>
          </w:tcPr>
          <w:p w14:paraId="108F8BA7"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c>
          <w:tcPr>
            <w:tcW w:w="828" w:type="pct"/>
          </w:tcPr>
          <w:p w14:paraId="7F9C66B5"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r>
      <w:tr w:rsidR="00AE37A2" w:rsidRPr="008C1FD6" w14:paraId="62BC8D73" w14:textId="2E1D1CA6" w:rsidTr="008C1FD6">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242" w:type="pct"/>
          </w:tcPr>
          <w:p w14:paraId="3F9C5ECA" w14:textId="77777777" w:rsidR="00AE37A2" w:rsidRPr="008C1FD6" w:rsidRDefault="00AE37A2" w:rsidP="008C1FD6">
            <w:pPr>
              <w:pStyle w:val="Normal-table"/>
            </w:pPr>
            <w:r w:rsidRPr="008C1FD6">
              <w:t>Governance committees</w:t>
            </w:r>
          </w:p>
        </w:tc>
        <w:tc>
          <w:tcPr>
            <w:tcW w:w="930" w:type="pct"/>
          </w:tcPr>
          <w:p w14:paraId="6CED32A3"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c>
          <w:tcPr>
            <w:tcW w:w="828" w:type="pct"/>
          </w:tcPr>
          <w:p w14:paraId="2DE0DF8D"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r>
      <w:tr w:rsidR="00AE37A2" w:rsidRPr="008C1FD6" w14:paraId="113FF1A8" w14:textId="26ECF67F" w:rsidTr="008C1FD6">
        <w:trPr>
          <w:trHeight w:val="448"/>
        </w:trPr>
        <w:tc>
          <w:tcPr>
            <w:cnfStyle w:val="001000000000" w:firstRow="0" w:lastRow="0" w:firstColumn="1" w:lastColumn="0" w:oddVBand="0" w:evenVBand="0" w:oddHBand="0" w:evenHBand="0" w:firstRowFirstColumn="0" w:firstRowLastColumn="0" w:lastRowFirstColumn="0" w:lastRowLastColumn="0"/>
            <w:tcW w:w="3242" w:type="pct"/>
          </w:tcPr>
          <w:p w14:paraId="768B66E4" w14:textId="77777777" w:rsidR="00AE37A2" w:rsidRPr="008C1FD6" w:rsidRDefault="00AE37A2" w:rsidP="008C1FD6">
            <w:pPr>
              <w:pStyle w:val="Normal-table"/>
            </w:pPr>
            <w:r w:rsidRPr="008C1FD6">
              <w:t>Government bodies</w:t>
            </w:r>
          </w:p>
        </w:tc>
        <w:tc>
          <w:tcPr>
            <w:tcW w:w="930" w:type="pct"/>
          </w:tcPr>
          <w:p w14:paraId="5CF72B2B"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c>
          <w:tcPr>
            <w:tcW w:w="828" w:type="pct"/>
          </w:tcPr>
          <w:p w14:paraId="6BB92A8B"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r>
      <w:tr w:rsidR="00AE37A2" w:rsidRPr="008C1FD6" w14:paraId="1F79135F" w14:textId="39A2107B" w:rsidTr="008C1FD6">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242" w:type="pct"/>
          </w:tcPr>
          <w:p w14:paraId="5D26761F" w14:textId="77777777" w:rsidR="00AE37A2" w:rsidRPr="008C1FD6" w:rsidRDefault="00AE37A2" w:rsidP="008C1FD6">
            <w:pPr>
              <w:pStyle w:val="Normal-table"/>
            </w:pPr>
            <w:r w:rsidRPr="008C1FD6">
              <w:t>Glossary</w:t>
            </w:r>
          </w:p>
        </w:tc>
        <w:tc>
          <w:tcPr>
            <w:tcW w:w="930" w:type="pct"/>
          </w:tcPr>
          <w:p w14:paraId="278E7707"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c>
          <w:tcPr>
            <w:tcW w:w="828" w:type="pct"/>
          </w:tcPr>
          <w:p w14:paraId="195F0D70"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r>
      <w:tr w:rsidR="00AE37A2" w:rsidRPr="008C1FD6" w14:paraId="48A6DC99" w14:textId="6E93317D" w:rsidTr="008C1FD6">
        <w:trPr>
          <w:trHeight w:val="187"/>
        </w:trPr>
        <w:tc>
          <w:tcPr>
            <w:cnfStyle w:val="001000000000" w:firstRow="0" w:lastRow="0" w:firstColumn="1" w:lastColumn="0" w:oddVBand="0" w:evenVBand="0" w:oddHBand="0" w:evenHBand="0" w:firstRowFirstColumn="0" w:firstRowLastColumn="0" w:lastRowFirstColumn="0" w:lastRowLastColumn="0"/>
            <w:tcW w:w="3242" w:type="pct"/>
          </w:tcPr>
          <w:p w14:paraId="02E8F676" w14:textId="77777777" w:rsidR="00AE37A2" w:rsidRPr="008C1FD6" w:rsidRDefault="00AE37A2" w:rsidP="008C1FD6">
            <w:pPr>
              <w:pStyle w:val="Normal-table"/>
            </w:pPr>
            <w:r w:rsidRPr="008C1FD6">
              <w:t>Graduate program</w:t>
            </w:r>
          </w:p>
        </w:tc>
        <w:tc>
          <w:tcPr>
            <w:tcW w:w="930" w:type="pct"/>
          </w:tcPr>
          <w:p w14:paraId="3E43C344"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c>
          <w:tcPr>
            <w:tcW w:w="828" w:type="pct"/>
          </w:tcPr>
          <w:p w14:paraId="1FDE8445"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r>
      <w:tr w:rsidR="00AE37A2" w:rsidRPr="008C1FD6" w14:paraId="6FF98A5D" w14:textId="36850849" w:rsidTr="008C1FD6">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242" w:type="pct"/>
          </w:tcPr>
          <w:p w14:paraId="4469C2B5" w14:textId="77777777" w:rsidR="00AE37A2" w:rsidRPr="008C1FD6" w:rsidRDefault="00AE37A2" w:rsidP="008C1FD6">
            <w:pPr>
              <w:pStyle w:val="Normal-table"/>
            </w:pPr>
            <w:r w:rsidRPr="008C1FD6">
              <w:t>Health and safety</w:t>
            </w:r>
          </w:p>
        </w:tc>
        <w:tc>
          <w:tcPr>
            <w:tcW w:w="930" w:type="pct"/>
          </w:tcPr>
          <w:p w14:paraId="285F6D87"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c>
          <w:tcPr>
            <w:tcW w:w="828" w:type="pct"/>
          </w:tcPr>
          <w:p w14:paraId="289B9B5B"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r>
      <w:tr w:rsidR="00AE37A2" w:rsidRPr="008C1FD6" w14:paraId="63DFB0E7" w14:textId="74A3CCCB" w:rsidTr="008C1FD6">
        <w:trPr>
          <w:trHeight w:val="448"/>
        </w:trPr>
        <w:tc>
          <w:tcPr>
            <w:cnfStyle w:val="001000000000" w:firstRow="0" w:lastRow="0" w:firstColumn="1" w:lastColumn="0" w:oddVBand="0" w:evenVBand="0" w:oddHBand="0" w:evenHBand="0" w:firstRowFirstColumn="0" w:firstRowLastColumn="0" w:lastRowFirstColumn="0" w:lastRowLastColumn="0"/>
            <w:tcW w:w="3242" w:type="pct"/>
          </w:tcPr>
          <w:p w14:paraId="533E0613" w14:textId="77777777" w:rsidR="00AE37A2" w:rsidRPr="008C1FD6" w:rsidRDefault="00AE37A2" w:rsidP="008C1FD6">
            <w:pPr>
              <w:pStyle w:val="Normal-table"/>
            </w:pPr>
            <w:r w:rsidRPr="008C1FD6">
              <w:t>Heavy vehicle safety</w:t>
            </w:r>
          </w:p>
        </w:tc>
        <w:tc>
          <w:tcPr>
            <w:tcW w:w="930" w:type="pct"/>
          </w:tcPr>
          <w:p w14:paraId="0D7BDD26"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c>
          <w:tcPr>
            <w:tcW w:w="828" w:type="pct"/>
          </w:tcPr>
          <w:p w14:paraId="4AF486AD"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r>
      <w:tr w:rsidR="00AE37A2" w:rsidRPr="008C1FD6" w14:paraId="027ADA1B" w14:textId="21DF694D" w:rsidTr="008C1FD6">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242" w:type="pct"/>
          </w:tcPr>
          <w:p w14:paraId="17926D4E" w14:textId="77777777" w:rsidR="00AE37A2" w:rsidRPr="008C1FD6" w:rsidRDefault="00AE37A2" w:rsidP="008C1FD6">
            <w:pPr>
              <w:pStyle w:val="Normal-table"/>
            </w:pPr>
            <w:r w:rsidRPr="008C1FD6">
              <w:t>Infrastructure projects</w:t>
            </w:r>
          </w:p>
        </w:tc>
        <w:tc>
          <w:tcPr>
            <w:tcW w:w="930" w:type="pct"/>
          </w:tcPr>
          <w:p w14:paraId="67780594"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c>
          <w:tcPr>
            <w:tcW w:w="828" w:type="pct"/>
          </w:tcPr>
          <w:p w14:paraId="12D76945"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r>
      <w:tr w:rsidR="00AE37A2" w:rsidRPr="008C1FD6" w14:paraId="6983E9AF" w14:textId="6CEE3BAE" w:rsidTr="008C1FD6">
        <w:trPr>
          <w:trHeight w:val="433"/>
        </w:trPr>
        <w:tc>
          <w:tcPr>
            <w:cnfStyle w:val="001000000000" w:firstRow="0" w:lastRow="0" w:firstColumn="1" w:lastColumn="0" w:oddVBand="0" w:evenVBand="0" w:oddHBand="0" w:evenHBand="0" w:firstRowFirstColumn="0" w:firstRowLastColumn="0" w:lastRowFirstColumn="0" w:lastRowLastColumn="0"/>
            <w:tcW w:w="3242" w:type="pct"/>
          </w:tcPr>
          <w:p w14:paraId="3E0E0165" w14:textId="77777777" w:rsidR="00AE37A2" w:rsidRPr="008C1FD6" w:rsidRDefault="00AE37A2" w:rsidP="008C1FD6">
            <w:pPr>
              <w:pStyle w:val="Normal-table"/>
            </w:pPr>
            <w:r w:rsidRPr="008C1FD6">
              <w:t>Information privacy</w:t>
            </w:r>
          </w:p>
        </w:tc>
        <w:tc>
          <w:tcPr>
            <w:tcW w:w="930" w:type="pct"/>
          </w:tcPr>
          <w:p w14:paraId="3A585364"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c>
          <w:tcPr>
            <w:tcW w:w="828" w:type="pct"/>
          </w:tcPr>
          <w:p w14:paraId="0A746439"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r>
      <w:tr w:rsidR="00AE37A2" w:rsidRPr="008C1FD6" w14:paraId="587A50B8" w14:textId="2E35824D" w:rsidTr="008C1FD6">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242" w:type="pct"/>
          </w:tcPr>
          <w:p w14:paraId="04A8CDEC" w14:textId="77777777" w:rsidR="00AE37A2" w:rsidRPr="008C1FD6" w:rsidRDefault="00AE37A2" w:rsidP="008C1FD6">
            <w:pPr>
              <w:pStyle w:val="Normal-table"/>
            </w:pPr>
            <w:r w:rsidRPr="008C1FD6">
              <w:t>Information systems</w:t>
            </w:r>
          </w:p>
        </w:tc>
        <w:tc>
          <w:tcPr>
            <w:tcW w:w="930" w:type="pct"/>
          </w:tcPr>
          <w:p w14:paraId="5AF08710"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c>
          <w:tcPr>
            <w:tcW w:w="828" w:type="pct"/>
          </w:tcPr>
          <w:p w14:paraId="55D4822A"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r>
      <w:tr w:rsidR="00AE37A2" w:rsidRPr="008C1FD6" w14:paraId="01AD894A" w14:textId="549255F4" w:rsidTr="008C1FD6">
        <w:trPr>
          <w:trHeight w:val="448"/>
        </w:trPr>
        <w:tc>
          <w:tcPr>
            <w:cnfStyle w:val="001000000000" w:firstRow="0" w:lastRow="0" w:firstColumn="1" w:lastColumn="0" w:oddVBand="0" w:evenVBand="0" w:oddHBand="0" w:evenHBand="0" w:firstRowFirstColumn="0" w:firstRowLastColumn="0" w:lastRowFirstColumn="0" w:lastRowLastColumn="0"/>
            <w:tcW w:w="3242" w:type="pct"/>
          </w:tcPr>
          <w:p w14:paraId="67778FDD" w14:textId="77777777" w:rsidR="00AE37A2" w:rsidRPr="008C1FD6" w:rsidRDefault="00AE37A2" w:rsidP="008C1FD6">
            <w:pPr>
              <w:pStyle w:val="Normal-table"/>
            </w:pPr>
            <w:r w:rsidRPr="008C1FD6">
              <w:t>Injury management</w:t>
            </w:r>
          </w:p>
        </w:tc>
        <w:tc>
          <w:tcPr>
            <w:tcW w:w="930" w:type="pct"/>
          </w:tcPr>
          <w:p w14:paraId="70D6F623"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c>
          <w:tcPr>
            <w:tcW w:w="828" w:type="pct"/>
          </w:tcPr>
          <w:p w14:paraId="0CF86389"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r>
      <w:tr w:rsidR="00AE37A2" w:rsidRPr="008C1FD6" w14:paraId="69065008" w14:textId="300F35D8" w:rsidTr="008C1FD6">
        <w:trPr>
          <w:cnfStyle w:val="000000100000" w:firstRow="0" w:lastRow="0" w:firstColumn="0" w:lastColumn="0" w:oddVBand="0" w:evenVBand="0" w:oddHBand="1"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3242" w:type="pct"/>
          </w:tcPr>
          <w:p w14:paraId="79789700" w14:textId="77777777" w:rsidR="00AE37A2" w:rsidRPr="008C1FD6" w:rsidRDefault="00AE37A2" w:rsidP="008C1FD6">
            <w:pPr>
              <w:pStyle w:val="Normal-table"/>
            </w:pPr>
            <w:r w:rsidRPr="008C1FD6">
              <w:t>Innovation</w:t>
            </w:r>
          </w:p>
        </w:tc>
        <w:tc>
          <w:tcPr>
            <w:tcW w:w="930" w:type="pct"/>
          </w:tcPr>
          <w:p w14:paraId="2245C0E8"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c>
          <w:tcPr>
            <w:tcW w:w="828" w:type="pct"/>
          </w:tcPr>
          <w:p w14:paraId="5291665A"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r>
      <w:tr w:rsidR="00AE37A2" w:rsidRPr="008C1FD6" w14:paraId="78576415" w14:textId="2F105E18" w:rsidTr="008C1FD6">
        <w:trPr>
          <w:trHeight w:val="448"/>
        </w:trPr>
        <w:tc>
          <w:tcPr>
            <w:cnfStyle w:val="001000000000" w:firstRow="0" w:lastRow="0" w:firstColumn="1" w:lastColumn="0" w:oddVBand="0" w:evenVBand="0" w:oddHBand="0" w:evenHBand="0" w:firstRowFirstColumn="0" w:firstRowLastColumn="0" w:lastRowFirstColumn="0" w:lastRowLastColumn="0"/>
            <w:tcW w:w="3242" w:type="pct"/>
          </w:tcPr>
          <w:p w14:paraId="3239353F" w14:textId="77777777" w:rsidR="00AE37A2" w:rsidRPr="008C1FD6" w:rsidRDefault="00AE37A2" w:rsidP="008C1FD6">
            <w:pPr>
              <w:pStyle w:val="Normal-table"/>
            </w:pPr>
            <w:r w:rsidRPr="008C1FD6">
              <w:t>Internal audit</w:t>
            </w:r>
          </w:p>
        </w:tc>
        <w:tc>
          <w:tcPr>
            <w:tcW w:w="930" w:type="pct"/>
          </w:tcPr>
          <w:p w14:paraId="57BC92C5"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c>
          <w:tcPr>
            <w:tcW w:w="828" w:type="pct"/>
          </w:tcPr>
          <w:p w14:paraId="21F67891"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r>
      <w:tr w:rsidR="00AE37A2" w:rsidRPr="008C1FD6" w14:paraId="50CC2C1B" w14:textId="077C0ED9" w:rsidTr="008C1FD6">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242" w:type="pct"/>
          </w:tcPr>
          <w:p w14:paraId="4BA775A3" w14:textId="77777777" w:rsidR="00AE37A2" w:rsidRPr="008C1FD6" w:rsidRDefault="00AE37A2" w:rsidP="008C1FD6">
            <w:pPr>
              <w:pStyle w:val="Normal-table"/>
            </w:pPr>
            <w:r w:rsidRPr="008C1FD6">
              <w:t>Key priorities and outcomes</w:t>
            </w:r>
          </w:p>
        </w:tc>
        <w:tc>
          <w:tcPr>
            <w:tcW w:w="930" w:type="pct"/>
          </w:tcPr>
          <w:p w14:paraId="7258B95D"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c>
          <w:tcPr>
            <w:tcW w:w="828" w:type="pct"/>
          </w:tcPr>
          <w:p w14:paraId="3D5248D7"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r>
      <w:tr w:rsidR="00AE37A2" w:rsidRPr="008C1FD6" w14:paraId="55753396" w14:textId="18C127D1" w:rsidTr="008C1FD6">
        <w:trPr>
          <w:trHeight w:val="433"/>
        </w:trPr>
        <w:tc>
          <w:tcPr>
            <w:cnfStyle w:val="001000000000" w:firstRow="0" w:lastRow="0" w:firstColumn="1" w:lastColumn="0" w:oddVBand="0" w:evenVBand="0" w:oddHBand="0" w:evenHBand="0" w:firstRowFirstColumn="0" w:firstRowLastColumn="0" w:lastRowFirstColumn="0" w:lastRowLastColumn="0"/>
            <w:tcW w:w="3242" w:type="pct"/>
          </w:tcPr>
          <w:p w14:paraId="43C4E372" w14:textId="77777777" w:rsidR="00AE37A2" w:rsidRPr="008C1FD6" w:rsidRDefault="00AE37A2" w:rsidP="008C1FD6">
            <w:pPr>
              <w:pStyle w:val="Normal-table"/>
            </w:pPr>
            <w:r w:rsidRPr="008C1FD6">
              <w:t>Leadership and management development</w:t>
            </w:r>
          </w:p>
        </w:tc>
        <w:tc>
          <w:tcPr>
            <w:tcW w:w="930" w:type="pct"/>
          </w:tcPr>
          <w:p w14:paraId="73566BDF"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c>
          <w:tcPr>
            <w:tcW w:w="828" w:type="pct"/>
          </w:tcPr>
          <w:p w14:paraId="452129E2"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r>
      <w:tr w:rsidR="00AE37A2" w:rsidRPr="008C1FD6" w14:paraId="6D077354" w14:textId="24509C58" w:rsidTr="008C1FD6">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242" w:type="pct"/>
          </w:tcPr>
          <w:p w14:paraId="0C48D8CA" w14:textId="77777777" w:rsidR="00AE37A2" w:rsidRPr="008C1FD6" w:rsidRDefault="00AE37A2" w:rsidP="008C1FD6">
            <w:pPr>
              <w:pStyle w:val="Normal-table"/>
            </w:pPr>
            <w:r w:rsidRPr="008C1FD6">
              <w:t>Letter of compliance</w:t>
            </w:r>
          </w:p>
        </w:tc>
        <w:tc>
          <w:tcPr>
            <w:tcW w:w="930" w:type="pct"/>
          </w:tcPr>
          <w:p w14:paraId="61B161F2"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c>
          <w:tcPr>
            <w:tcW w:w="828" w:type="pct"/>
          </w:tcPr>
          <w:p w14:paraId="438A9C42"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r>
      <w:tr w:rsidR="00AE37A2" w:rsidRPr="008C1FD6" w14:paraId="49184B9E" w14:textId="379963F9" w:rsidTr="008C1FD6">
        <w:trPr>
          <w:trHeight w:val="448"/>
        </w:trPr>
        <w:tc>
          <w:tcPr>
            <w:cnfStyle w:val="001000000000" w:firstRow="0" w:lastRow="0" w:firstColumn="1" w:lastColumn="0" w:oddVBand="0" w:evenVBand="0" w:oddHBand="0" w:evenHBand="0" w:firstRowFirstColumn="0" w:firstRowLastColumn="0" w:lastRowFirstColumn="0" w:lastRowLastColumn="0"/>
            <w:tcW w:w="3242" w:type="pct"/>
          </w:tcPr>
          <w:p w14:paraId="51E0455E" w14:textId="77777777" w:rsidR="00AE37A2" w:rsidRPr="008C1FD6" w:rsidRDefault="00AE37A2" w:rsidP="008C1FD6">
            <w:pPr>
              <w:pStyle w:val="Normal-table"/>
            </w:pPr>
            <w:r w:rsidRPr="008C1FD6">
              <w:t>Marine infrastructure</w:t>
            </w:r>
          </w:p>
        </w:tc>
        <w:tc>
          <w:tcPr>
            <w:tcW w:w="930" w:type="pct"/>
          </w:tcPr>
          <w:p w14:paraId="23D1F7B3"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c>
          <w:tcPr>
            <w:tcW w:w="828" w:type="pct"/>
          </w:tcPr>
          <w:p w14:paraId="129D12B0"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r>
      <w:tr w:rsidR="00AE37A2" w:rsidRPr="008C1FD6" w14:paraId="7D64967D" w14:textId="2EE2AB80" w:rsidTr="008C1FD6">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242" w:type="pct"/>
          </w:tcPr>
          <w:p w14:paraId="4419D214" w14:textId="77777777" w:rsidR="00AE37A2" w:rsidRPr="008C1FD6" w:rsidRDefault="00AE37A2" w:rsidP="008C1FD6">
            <w:pPr>
              <w:pStyle w:val="Normal-table"/>
            </w:pPr>
            <w:r w:rsidRPr="008C1FD6">
              <w:t>Maritime safety</w:t>
            </w:r>
          </w:p>
        </w:tc>
        <w:tc>
          <w:tcPr>
            <w:tcW w:w="930" w:type="pct"/>
          </w:tcPr>
          <w:p w14:paraId="2D9D0F66"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c>
          <w:tcPr>
            <w:tcW w:w="828" w:type="pct"/>
          </w:tcPr>
          <w:p w14:paraId="48DA24DE"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r>
      <w:tr w:rsidR="00AE37A2" w:rsidRPr="008C1FD6" w14:paraId="40665270" w14:textId="73C52A8B" w:rsidTr="008C1FD6">
        <w:trPr>
          <w:trHeight w:val="448"/>
        </w:trPr>
        <w:tc>
          <w:tcPr>
            <w:cnfStyle w:val="001000000000" w:firstRow="0" w:lastRow="0" w:firstColumn="1" w:lastColumn="0" w:oddVBand="0" w:evenVBand="0" w:oddHBand="0" w:evenHBand="0" w:firstRowFirstColumn="0" w:firstRowLastColumn="0" w:lastRowFirstColumn="0" w:lastRowLastColumn="0"/>
            <w:tcW w:w="3242" w:type="pct"/>
          </w:tcPr>
          <w:p w14:paraId="16EE42D5" w14:textId="77777777" w:rsidR="00AE37A2" w:rsidRPr="008C1FD6" w:rsidRDefault="00AE37A2" w:rsidP="008C1FD6">
            <w:pPr>
              <w:pStyle w:val="Normal-table"/>
            </w:pPr>
            <w:r w:rsidRPr="008C1FD6">
              <w:t>Mentoring</w:t>
            </w:r>
          </w:p>
        </w:tc>
        <w:tc>
          <w:tcPr>
            <w:tcW w:w="930" w:type="pct"/>
          </w:tcPr>
          <w:p w14:paraId="4D869DF3"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c>
          <w:tcPr>
            <w:tcW w:w="828" w:type="pct"/>
          </w:tcPr>
          <w:p w14:paraId="6DFE04CA"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r>
      <w:tr w:rsidR="00AE37A2" w:rsidRPr="008C1FD6" w14:paraId="66506B95" w14:textId="450AA19C" w:rsidTr="008C1FD6">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3242" w:type="pct"/>
          </w:tcPr>
          <w:p w14:paraId="30756064" w14:textId="77777777" w:rsidR="00AE37A2" w:rsidRPr="008C1FD6" w:rsidRDefault="00AE37A2" w:rsidP="008C1FD6">
            <w:pPr>
              <w:pStyle w:val="Normal-table"/>
            </w:pPr>
            <w:r w:rsidRPr="008C1FD6">
              <w:t>Mobility as a Service</w:t>
            </w:r>
          </w:p>
        </w:tc>
        <w:tc>
          <w:tcPr>
            <w:tcW w:w="930" w:type="pct"/>
          </w:tcPr>
          <w:p w14:paraId="21FF9DAB"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c>
          <w:tcPr>
            <w:tcW w:w="828" w:type="pct"/>
          </w:tcPr>
          <w:p w14:paraId="43E6AAA0"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r>
      <w:tr w:rsidR="00AE37A2" w:rsidRPr="008C1FD6" w14:paraId="2FD03B25" w14:textId="032C8483" w:rsidTr="008C1FD6">
        <w:trPr>
          <w:trHeight w:val="448"/>
        </w:trPr>
        <w:tc>
          <w:tcPr>
            <w:cnfStyle w:val="001000000000" w:firstRow="0" w:lastRow="0" w:firstColumn="1" w:lastColumn="0" w:oddVBand="0" w:evenVBand="0" w:oddHBand="0" w:evenHBand="0" w:firstRowFirstColumn="0" w:firstRowLastColumn="0" w:lastRowFirstColumn="0" w:lastRowLastColumn="0"/>
            <w:tcW w:w="3242" w:type="pct"/>
          </w:tcPr>
          <w:p w14:paraId="363C1164" w14:textId="77777777" w:rsidR="00AE37A2" w:rsidRPr="008C1FD6" w:rsidRDefault="00AE37A2" w:rsidP="008C1FD6">
            <w:pPr>
              <w:pStyle w:val="Normal-table"/>
            </w:pPr>
            <w:r w:rsidRPr="008C1FD6">
              <w:t>Objectives for the community</w:t>
            </w:r>
          </w:p>
        </w:tc>
        <w:tc>
          <w:tcPr>
            <w:tcW w:w="930" w:type="pct"/>
          </w:tcPr>
          <w:p w14:paraId="3973F023"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c>
          <w:tcPr>
            <w:tcW w:w="828" w:type="pct"/>
          </w:tcPr>
          <w:p w14:paraId="5DE43489"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r>
      <w:tr w:rsidR="00AE37A2" w:rsidRPr="008C1FD6" w14:paraId="249B8215" w14:textId="16C0464A" w:rsidTr="008C1FD6">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3242" w:type="pct"/>
          </w:tcPr>
          <w:p w14:paraId="6279B868" w14:textId="77777777" w:rsidR="00AE37A2" w:rsidRPr="008C1FD6" w:rsidRDefault="00AE37A2" w:rsidP="008C1FD6">
            <w:pPr>
              <w:pStyle w:val="Normal-table"/>
            </w:pPr>
            <w:r w:rsidRPr="008C1FD6">
              <w:lastRenderedPageBreak/>
              <w:t>Open data</w:t>
            </w:r>
          </w:p>
        </w:tc>
        <w:tc>
          <w:tcPr>
            <w:tcW w:w="930" w:type="pct"/>
          </w:tcPr>
          <w:p w14:paraId="72A44FEF"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c>
          <w:tcPr>
            <w:tcW w:w="828" w:type="pct"/>
          </w:tcPr>
          <w:p w14:paraId="6955392E"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r>
      <w:tr w:rsidR="00AE37A2" w:rsidRPr="008C1FD6" w14:paraId="4AA78C5B" w14:textId="057F91AD" w:rsidTr="008C1FD6">
        <w:trPr>
          <w:trHeight w:val="448"/>
        </w:trPr>
        <w:tc>
          <w:tcPr>
            <w:cnfStyle w:val="001000000000" w:firstRow="0" w:lastRow="0" w:firstColumn="1" w:lastColumn="0" w:oddVBand="0" w:evenVBand="0" w:oddHBand="0" w:evenHBand="0" w:firstRowFirstColumn="0" w:firstRowLastColumn="0" w:lastRowFirstColumn="0" w:lastRowLastColumn="0"/>
            <w:tcW w:w="3242" w:type="pct"/>
          </w:tcPr>
          <w:p w14:paraId="7CDA15A6" w14:textId="77777777" w:rsidR="00AE37A2" w:rsidRPr="008C1FD6" w:rsidRDefault="00AE37A2" w:rsidP="008C1FD6">
            <w:pPr>
              <w:pStyle w:val="Normal-table"/>
            </w:pPr>
            <w:r w:rsidRPr="008C1FD6">
              <w:t>Organisational structure</w:t>
            </w:r>
          </w:p>
        </w:tc>
        <w:tc>
          <w:tcPr>
            <w:tcW w:w="930" w:type="pct"/>
          </w:tcPr>
          <w:p w14:paraId="557D8015"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c>
          <w:tcPr>
            <w:tcW w:w="828" w:type="pct"/>
          </w:tcPr>
          <w:p w14:paraId="0A0445E9"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r>
      <w:tr w:rsidR="00AE37A2" w:rsidRPr="008C1FD6" w14:paraId="0E365BD3" w14:textId="60FAA7A0" w:rsidTr="008C1FD6">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3242" w:type="pct"/>
          </w:tcPr>
          <w:p w14:paraId="18C05A06" w14:textId="77777777" w:rsidR="00AE37A2" w:rsidRPr="008C1FD6" w:rsidRDefault="00AE37A2" w:rsidP="008C1FD6">
            <w:pPr>
              <w:pStyle w:val="Normal-table"/>
            </w:pPr>
            <w:r w:rsidRPr="008C1FD6">
              <w:t>Our services</w:t>
            </w:r>
          </w:p>
        </w:tc>
        <w:tc>
          <w:tcPr>
            <w:tcW w:w="930" w:type="pct"/>
          </w:tcPr>
          <w:p w14:paraId="264A5F4A"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c>
          <w:tcPr>
            <w:tcW w:w="828" w:type="pct"/>
          </w:tcPr>
          <w:p w14:paraId="0AFD96DF"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r>
      <w:tr w:rsidR="00AE37A2" w:rsidRPr="008C1FD6" w14:paraId="19091589" w14:textId="3D919226" w:rsidTr="008C1FD6">
        <w:trPr>
          <w:trHeight w:val="172"/>
        </w:trPr>
        <w:tc>
          <w:tcPr>
            <w:cnfStyle w:val="001000000000" w:firstRow="0" w:lastRow="0" w:firstColumn="1" w:lastColumn="0" w:oddVBand="0" w:evenVBand="0" w:oddHBand="0" w:evenHBand="0" w:firstRowFirstColumn="0" w:firstRowLastColumn="0" w:lastRowFirstColumn="0" w:lastRowLastColumn="0"/>
            <w:tcW w:w="3242" w:type="pct"/>
          </w:tcPr>
          <w:p w14:paraId="566D5B22" w14:textId="77777777" w:rsidR="00AE37A2" w:rsidRPr="008C1FD6" w:rsidRDefault="00AE37A2" w:rsidP="008C1FD6">
            <w:pPr>
              <w:pStyle w:val="Normal-table"/>
            </w:pPr>
            <w:r w:rsidRPr="008C1FD6">
              <w:t>Pacific Motorway</w:t>
            </w:r>
          </w:p>
        </w:tc>
        <w:tc>
          <w:tcPr>
            <w:tcW w:w="930" w:type="pct"/>
          </w:tcPr>
          <w:p w14:paraId="3C4E0B02"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c>
          <w:tcPr>
            <w:tcW w:w="828" w:type="pct"/>
          </w:tcPr>
          <w:p w14:paraId="14A08AEF"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r>
      <w:tr w:rsidR="00AE37A2" w:rsidRPr="008C1FD6" w14:paraId="796C3409" w14:textId="6DFE9F1B" w:rsidTr="008C1FD6">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242" w:type="pct"/>
          </w:tcPr>
          <w:p w14:paraId="0C8BD907" w14:textId="77777777" w:rsidR="00AE37A2" w:rsidRPr="008C1FD6" w:rsidRDefault="00AE37A2" w:rsidP="008C1FD6">
            <w:pPr>
              <w:pStyle w:val="Normal-table"/>
            </w:pPr>
            <w:r w:rsidRPr="008C1FD6">
              <w:t>Parliamentary committees</w:t>
            </w:r>
          </w:p>
        </w:tc>
        <w:tc>
          <w:tcPr>
            <w:tcW w:w="930" w:type="pct"/>
          </w:tcPr>
          <w:p w14:paraId="6C11941E"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c>
          <w:tcPr>
            <w:tcW w:w="828" w:type="pct"/>
          </w:tcPr>
          <w:p w14:paraId="5C2AB60F"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r>
      <w:tr w:rsidR="00AE37A2" w:rsidRPr="008C1FD6" w14:paraId="15C99602" w14:textId="6D9742F9" w:rsidTr="008C1FD6">
        <w:trPr>
          <w:trHeight w:val="448"/>
        </w:trPr>
        <w:tc>
          <w:tcPr>
            <w:cnfStyle w:val="001000000000" w:firstRow="0" w:lastRow="0" w:firstColumn="1" w:lastColumn="0" w:oddVBand="0" w:evenVBand="0" w:oddHBand="0" w:evenHBand="0" w:firstRowFirstColumn="0" w:firstRowLastColumn="0" w:lastRowFirstColumn="0" w:lastRowLastColumn="0"/>
            <w:tcW w:w="3242" w:type="pct"/>
          </w:tcPr>
          <w:p w14:paraId="47154843" w14:textId="77777777" w:rsidR="00AE37A2" w:rsidRPr="008C1FD6" w:rsidRDefault="00AE37A2" w:rsidP="008C1FD6">
            <w:pPr>
              <w:pStyle w:val="Normal-table"/>
            </w:pPr>
            <w:r w:rsidRPr="008C1FD6">
              <w:t>Passenger transport operator payments</w:t>
            </w:r>
          </w:p>
        </w:tc>
        <w:tc>
          <w:tcPr>
            <w:tcW w:w="930" w:type="pct"/>
          </w:tcPr>
          <w:p w14:paraId="16820A15"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c>
          <w:tcPr>
            <w:tcW w:w="828" w:type="pct"/>
          </w:tcPr>
          <w:p w14:paraId="5EF14F61"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r>
      <w:tr w:rsidR="00AE37A2" w:rsidRPr="008C1FD6" w14:paraId="068F33ED" w14:textId="6A7F1F11" w:rsidTr="008C1FD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242" w:type="pct"/>
          </w:tcPr>
          <w:p w14:paraId="718C7E0D" w14:textId="77777777" w:rsidR="00AE37A2" w:rsidRPr="008C1FD6" w:rsidRDefault="00AE37A2" w:rsidP="008C1FD6">
            <w:pPr>
              <w:pStyle w:val="Normal-table"/>
            </w:pPr>
            <w:r w:rsidRPr="008C1FD6">
              <w:t>Performance management</w:t>
            </w:r>
          </w:p>
        </w:tc>
        <w:tc>
          <w:tcPr>
            <w:tcW w:w="930" w:type="pct"/>
          </w:tcPr>
          <w:p w14:paraId="35CCA2D2"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c>
          <w:tcPr>
            <w:tcW w:w="828" w:type="pct"/>
          </w:tcPr>
          <w:p w14:paraId="29D7BF6C"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r>
      <w:tr w:rsidR="00AE37A2" w:rsidRPr="008C1FD6" w14:paraId="13A67556" w14:textId="54D74975" w:rsidTr="008C1FD6">
        <w:trPr>
          <w:trHeight w:val="448"/>
        </w:trPr>
        <w:tc>
          <w:tcPr>
            <w:cnfStyle w:val="001000000000" w:firstRow="0" w:lastRow="0" w:firstColumn="1" w:lastColumn="0" w:oddVBand="0" w:evenVBand="0" w:oddHBand="0" w:evenHBand="0" w:firstRowFirstColumn="0" w:firstRowLastColumn="0" w:lastRowFirstColumn="0" w:lastRowLastColumn="0"/>
            <w:tcW w:w="3242" w:type="pct"/>
          </w:tcPr>
          <w:p w14:paraId="3EC7B236" w14:textId="77777777" w:rsidR="00AE37A2" w:rsidRPr="008C1FD6" w:rsidRDefault="00AE37A2" w:rsidP="008C1FD6">
            <w:pPr>
              <w:pStyle w:val="Normal-table"/>
            </w:pPr>
            <w:r w:rsidRPr="008C1FD6">
              <w:t>Public sector values</w:t>
            </w:r>
          </w:p>
        </w:tc>
        <w:tc>
          <w:tcPr>
            <w:tcW w:w="930" w:type="pct"/>
          </w:tcPr>
          <w:p w14:paraId="0E0C946B"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c>
          <w:tcPr>
            <w:tcW w:w="828" w:type="pct"/>
          </w:tcPr>
          <w:p w14:paraId="6229E252"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r>
      <w:tr w:rsidR="00AE37A2" w:rsidRPr="008C1FD6" w14:paraId="5D3C37AE" w14:textId="7BDC554D" w:rsidTr="008C1FD6">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242" w:type="pct"/>
          </w:tcPr>
          <w:p w14:paraId="73F01B03" w14:textId="77777777" w:rsidR="00AE37A2" w:rsidRPr="008C1FD6" w:rsidRDefault="00AE37A2" w:rsidP="008C1FD6">
            <w:pPr>
              <w:pStyle w:val="Normal-table"/>
            </w:pPr>
            <w:r w:rsidRPr="008C1FD6">
              <w:t>Queensland Electric Super Highway</w:t>
            </w:r>
          </w:p>
        </w:tc>
        <w:tc>
          <w:tcPr>
            <w:tcW w:w="930" w:type="pct"/>
          </w:tcPr>
          <w:p w14:paraId="5D4939D3"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c>
          <w:tcPr>
            <w:tcW w:w="828" w:type="pct"/>
          </w:tcPr>
          <w:p w14:paraId="4EC1724B"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r>
      <w:tr w:rsidR="00AE37A2" w:rsidRPr="008C1FD6" w14:paraId="53492AA3" w14:textId="6E4A82E2" w:rsidTr="008C1FD6">
        <w:trPr>
          <w:trHeight w:val="80"/>
        </w:trPr>
        <w:tc>
          <w:tcPr>
            <w:cnfStyle w:val="001000000000" w:firstRow="0" w:lastRow="0" w:firstColumn="1" w:lastColumn="0" w:oddVBand="0" w:evenVBand="0" w:oddHBand="0" w:evenHBand="0" w:firstRowFirstColumn="0" w:firstRowLastColumn="0" w:lastRowFirstColumn="0" w:lastRowLastColumn="0"/>
            <w:tcW w:w="3242" w:type="pct"/>
          </w:tcPr>
          <w:p w14:paraId="6A30FADB" w14:textId="77777777" w:rsidR="00AE37A2" w:rsidRPr="008C1FD6" w:rsidRDefault="00AE37A2" w:rsidP="008C1FD6">
            <w:pPr>
              <w:pStyle w:val="Normal-table"/>
            </w:pPr>
            <w:r w:rsidRPr="008C1FD6">
              <w:t>Queensland Government Customer and Digital Group</w:t>
            </w:r>
          </w:p>
        </w:tc>
        <w:tc>
          <w:tcPr>
            <w:tcW w:w="930" w:type="pct"/>
          </w:tcPr>
          <w:p w14:paraId="74148BEE"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c>
          <w:tcPr>
            <w:tcW w:w="828" w:type="pct"/>
          </w:tcPr>
          <w:p w14:paraId="3B8BF790"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r>
      <w:tr w:rsidR="00AE37A2" w:rsidRPr="008C1FD6" w14:paraId="1925EE8F" w14:textId="03A512AD" w:rsidTr="008C1FD6">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3242" w:type="pct"/>
          </w:tcPr>
          <w:p w14:paraId="38F58EC0" w14:textId="77777777" w:rsidR="00AE37A2" w:rsidRPr="008C1FD6" w:rsidRDefault="00AE37A2" w:rsidP="008C1FD6">
            <w:pPr>
              <w:pStyle w:val="Normal-table"/>
            </w:pPr>
            <w:r w:rsidRPr="008C1FD6">
              <w:t>Queensland Transport and Roads Investment Program</w:t>
            </w:r>
          </w:p>
        </w:tc>
        <w:tc>
          <w:tcPr>
            <w:tcW w:w="930" w:type="pct"/>
          </w:tcPr>
          <w:p w14:paraId="3F7225EE"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c>
          <w:tcPr>
            <w:tcW w:w="828" w:type="pct"/>
          </w:tcPr>
          <w:p w14:paraId="6ECA35A3"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r>
      <w:tr w:rsidR="00AE37A2" w:rsidRPr="008C1FD6" w14:paraId="1D31FBDC" w14:textId="5E78904B" w:rsidTr="008C1FD6">
        <w:trPr>
          <w:trHeight w:val="80"/>
        </w:trPr>
        <w:tc>
          <w:tcPr>
            <w:cnfStyle w:val="001000000000" w:firstRow="0" w:lastRow="0" w:firstColumn="1" w:lastColumn="0" w:oddVBand="0" w:evenVBand="0" w:oddHBand="0" w:evenHBand="0" w:firstRowFirstColumn="0" w:firstRowLastColumn="0" w:lastRowFirstColumn="0" w:lastRowLastColumn="0"/>
            <w:tcW w:w="3242" w:type="pct"/>
          </w:tcPr>
          <w:p w14:paraId="5F3DA848" w14:textId="77777777" w:rsidR="00AE37A2" w:rsidRPr="008C1FD6" w:rsidRDefault="00AE37A2" w:rsidP="008C1FD6">
            <w:pPr>
              <w:pStyle w:val="Normal-table"/>
            </w:pPr>
            <w:r w:rsidRPr="008C1FD6">
              <w:t>Rail infrastructure</w:t>
            </w:r>
          </w:p>
        </w:tc>
        <w:tc>
          <w:tcPr>
            <w:tcW w:w="930" w:type="pct"/>
          </w:tcPr>
          <w:p w14:paraId="5B6DC52B"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c>
          <w:tcPr>
            <w:tcW w:w="828" w:type="pct"/>
          </w:tcPr>
          <w:p w14:paraId="5244849B"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r>
      <w:tr w:rsidR="00AE37A2" w:rsidRPr="008C1FD6" w14:paraId="7F8BFEDC" w14:textId="29A015B6" w:rsidTr="008C1FD6">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242" w:type="pct"/>
          </w:tcPr>
          <w:p w14:paraId="2197D65B" w14:textId="77777777" w:rsidR="00AE37A2" w:rsidRPr="008C1FD6" w:rsidRDefault="00AE37A2" w:rsidP="008C1FD6">
            <w:pPr>
              <w:pStyle w:val="Normal-table"/>
            </w:pPr>
            <w:r w:rsidRPr="008C1FD6">
              <w:t>Rail safety</w:t>
            </w:r>
          </w:p>
        </w:tc>
        <w:tc>
          <w:tcPr>
            <w:tcW w:w="930" w:type="pct"/>
          </w:tcPr>
          <w:p w14:paraId="590713B5"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c>
          <w:tcPr>
            <w:tcW w:w="828" w:type="pct"/>
          </w:tcPr>
          <w:p w14:paraId="7D6DB411"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r>
      <w:tr w:rsidR="00AE37A2" w:rsidRPr="008C1FD6" w14:paraId="0D1BB03B" w14:textId="74A1DEEB" w:rsidTr="008C1FD6">
        <w:trPr>
          <w:trHeight w:val="448"/>
        </w:trPr>
        <w:tc>
          <w:tcPr>
            <w:cnfStyle w:val="001000000000" w:firstRow="0" w:lastRow="0" w:firstColumn="1" w:lastColumn="0" w:oddVBand="0" w:evenVBand="0" w:oddHBand="0" w:evenHBand="0" w:firstRowFirstColumn="0" w:firstRowLastColumn="0" w:lastRowFirstColumn="0" w:lastRowLastColumn="0"/>
            <w:tcW w:w="3242" w:type="pct"/>
          </w:tcPr>
          <w:p w14:paraId="38BD44A5" w14:textId="77777777" w:rsidR="00AE37A2" w:rsidRPr="008C1FD6" w:rsidRDefault="00AE37A2" w:rsidP="008C1FD6">
            <w:pPr>
              <w:pStyle w:val="Normal-table"/>
            </w:pPr>
            <w:r w:rsidRPr="008C1FD6">
              <w:t>Rail trails</w:t>
            </w:r>
          </w:p>
        </w:tc>
        <w:tc>
          <w:tcPr>
            <w:tcW w:w="930" w:type="pct"/>
          </w:tcPr>
          <w:p w14:paraId="4FFF3832"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c>
          <w:tcPr>
            <w:tcW w:w="828" w:type="pct"/>
          </w:tcPr>
          <w:p w14:paraId="00F1C932"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r>
      <w:tr w:rsidR="00AE37A2" w:rsidRPr="008C1FD6" w14:paraId="5FF0643A" w14:textId="56C04553" w:rsidTr="008C1FD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242" w:type="pct"/>
          </w:tcPr>
          <w:p w14:paraId="7A4487A5" w14:textId="77777777" w:rsidR="00AE37A2" w:rsidRPr="008C1FD6" w:rsidRDefault="00AE37A2" w:rsidP="008C1FD6">
            <w:pPr>
              <w:pStyle w:val="Normal-table"/>
            </w:pPr>
            <w:r w:rsidRPr="008C1FD6">
              <w:t>Recordkeeping</w:t>
            </w:r>
          </w:p>
        </w:tc>
        <w:tc>
          <w:tcPr>
            <w:tcW w:w="930" w:type="pct"/>
          </w:tcPr>
          <w:p w14:paraId="3214B855"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c>
          <w:tcPr>
            <w:tcW w:w="828" w:type="pct"/>
          </w:tcPr>
          <w:p w14:paraId="293069E8"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r>
      <w:tr w:rsidR="00AE37A2" w:rsidRPr="008C1FD6" w14:paraId="204B48CF" w14:textId="415BA5AC" w:rsidTr="008C1FD6">
        <w:trPr>
          <w:trHeight w:val="448"/>
        </w:trPr>
        <w:tc>
          <w:tcPr>
            <w:cnfStyle w:val="001000000000" w:firstRow="0" w:lastRow="0" w:firstColumn="1" w:lastColumn="0" w:oddVBand="0" w:evenVBand="0" w:oddHBand="0" w:evenHBand="0" w:firstRowFirstColumn="0" w:firstRowLastColumn="0" w:lastRowFirstColumn="0" w:lastRowLastColumn="0"/>
            <w:tcW w:w="3242" w:type="pct"/>
          </w:tcPr>
          <w:p w14:paraId="2441ECA0" w14:textId="77777777" w:rsidR="00AE37A2" w:rsidRPr="008C1FD6" w:rsidRDefault="00AE37A2" w:rsidP="008C1FD6">
            <w:pPr>
              <w:pStyle w:val="Normal-table"/>
            </w:pPr>
            <w:r w:rsidRPr="008C1FD6">
              <w:t>Redundancy and retrenchment</w:t>
            </w:r>
          </w:p>
        </w:tc>
        <w:tc>
          <w:tcPr>
            <w:tcW w:w="930" w:type="pct"/>
          </w:tcPr>
          <w:p w14:paraId="101F6AA7"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c>
          <w:tcPr>
            <w:tcW w:w="828" w:type="pct"/>
          </w:tcPr>
          <w:p w14:paraId="73EFA0C1"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r>
      <w:tr w:rsidR="00AE37A2" w:rsidRPr="008C1FD6" w14:paraId="3A824298" w14:textId="4AF7142F" w:rsidTr="008C1FD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242" w:type="pct"/>
          </w:tcPr>
          <w:p w14:paraId="0334F343" w14:textId="77777777" w:rsidR="00AE37A2" w:rsidRPr="008C1FD6" w:rsidRDefault="00AE37A2" w:rsidP="008C1FD6">
            <w:pPr>
              <w:pStyle w:val="Normal-table"/>
            </w:pPr>
            <w:r w:rsidRPr="008C1FD6">
              <w:t>Regional maps</w:t>
            </w:r>
          </w:p>
        </w:tc>
        <w:tc>
          <w:tcPr>
            <w:tcW w:w="930" w:type="pct"/>
          </w:tcPr>
          <w:p w14:paraId="2164FE73"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c>
          <w:tcPr>
            <w:tcW w:w="828" w:type="pct"/>
          </w:tcPr>
          <w:p w14:paraId="03CE2386"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r>
      <w:tr w:rsidR="00AE37A2" w:rsidRPr="008C1FD6" w14:paraId="2E66CE66" w14:textId="163573FE" w:rsidTr="008C1FD6">
        <w:trPr>
          <w:trHeight w:val="448"/>
        </w:trPr>
        <w:tc>
          <w:tcPr>
            <w:cnfStyle w:val="001000000000" w:firstRow="0" w:lastRow="0" w:firstColumn="1" w:lastColumn="0" w:oddVBand="0" w:evenVBand="0" w:oddHBand="0" w:evenHBand="0" w:firstRowFirstColumn="0" w:firstRowLastColumn="0" w:lastRowFirstColumn="0" w:lastRowLastColumn="0"/>
            <w:tcW w:w="3242" w:type="pct"/>
          </w:tcPr>
          <w:p w14:paraId="32419045" w14:textId="77777777" w:rsidR="00AE37A2" w:rsidRPr="008C1FD6" w:rsidRDefault="00AE37A2" w:rsidP="008C1FD6">
            <w:pPr>
              <w:pStyle w:val="Normal-table"/>
            </w:pPr>
            <w:r w:rsidRPr="008C1FD6">
              <w:t>Right to information</w:t>
            </w:r>
          </w:p>
        </w:tc>
        <w:tc>
          <w:tcPr>
            <w:tcW w:w="930" w:type="pct"/>
          </w:tcPr>
          <w:p w14:paraId="184872BF"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c>
          <w:tcPr>
            <w:tcW w:w="828" w:type="pct"/>
          </w:tcPr>
          <w:p w14:paraId="1BAFA67A"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r>
      <w:tr w:rsidR="00AE37A2" w:rsidRPr="008C1FD6" w14:paraId="0BA3E35E" w14:textId="3C924992" w:rsidTr="008C1FD6">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242" w:type="pct"/>
          </w:tcPr>
          <w:p w14:paraId="3908DDB2" w14:textId="77777777" w:rsidR="00AE37A2" w:rsidRPr="008C1FD6" w:rsidRDefault="00AE37A2" w:rsidP="008C1FD6">
            <w:pPr>
              <w:pStyle w:val="Normal-table"/>
            </w:pPr>
            <w:r w:rsidRPr="008C1FD6">
              <w:t>Risk management</w:t>
            </w:r>
          </w:p>
        </w:tc>
        <w:tc>
          <w:tcPr>
            <w:tcW w:w="930" w:type="pct"/>
          </w:tcPr>
          <w:p w14:paraId="242DC9D0"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c>
          <w:tcPr>
            <w:tcW w:w="828" w:type="pct"/>
          </w:tcPr>
          <w:p w14:paraId="531D492B"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r>
      <w:tr w:rsidR="00AE37A2" w:rsidRPr="008C1FD6" w14:paraId="6917ADF8" w14:textId="258CDC60" w:rsidTr="008C1FD6">
        <w:trPr>
          <w:trHeight w:val="80"/>
        </w:trPr>
        <w:tc>
          <w:tcPr>
            <w:cnfStyle w:val="001000000000" w:firstRow="0" w:lastRow="0" w:firstColumn="1" w:lastColumn="0" w:oddVBand="0" w:evenVBand="0" w:oddHBand="0" w:evenHBand="0" w:firstRowFirstColumn="0" w:firstRowLastColumn="0" w:lastRowFirstColumn="0" w:lastRowLastColumn="0"/>
            <w:tcW w:w="3242" w:type="pct"/>
          </w:tcPr>
          <w:p w14:paraId="29564678" w14:textId="77777777" w:rsidR="00AE37A2" w:rsidRPr="008C1FD6" w:rsidRDefault="00AE37A2" w:rsidP="008C1FD6">
            <w:pPr>
              <w:pStyle w:val="Normal-table"/>
            </w:pPr>
            <w:r w:rsidRPr="008C1FD6">
              <w:t>Road infrastructure</w:t>
            </w:r>
          </w:p>
        </w:tc>
        <w:tc>
          <w:tcPr>
            <w:tcW w:w="930" w:type="pct"/>
          </w:tcPr>
          <w:p w14:paraId="6DDA41B5"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c>
          <w:tcPr>
            <w:tcW w:w="828" w:type="pct"/>
          </w:tcPr>
          <w:p w14:paraId="27EF1BFA"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r>
      <w:tr w:rsidR="00AE37A2" w:rsidRPr="008C1FD6" w14:paraId="03DA15BA" w14:textId="1B111C24" w:rsidTr="008C1FD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242" w:type="pct"/>
          </w:tcPr>
          <w:p w14:paraId="4C79EE9E" w14:textId="77777777" w:rsidR="00AE37A2" w:rsidRPr="008C1FD6" w:rsidRDefault="00AE37A2" w:rsidP="008C1FD6">
            <w:pPr>
              <w:pStyle w:val="Normal-table"/>
            </w:pPr>
            <w:r w:rsidRPr="008C1FD6">
              <w:t>Road safety education</w:t>
            </w:r>
          </w:p>
        </w:tc>
        <w:tc>
          <w:tcPr>
            <w:tcW w:w="930" w:type="pct"/>
          </w:tcPr>
          <w:p w14:paraId="7CC3EFF9"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c>
          <w:tcPr>
            <w:tcW w:w="828" w:type="pct"/>
          </w:tcPr>
          <w:p w14:paraId="7A714E24"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r>
      <w:tr w:rsidR="00AE37A2" w:rsidRPr="008C1FD6" w14:paraId="2E6B1A14" w14:textId="67CFBCB4" w:rsidTr="008C1FD6">
        <w:trPr>
          <w:trHeight w:val="448"/>
        </w:trPr>
        <w:tc>
          <w:tcPr>
            <w:cnfStyle w:val="001000000000" w:firstRow="0" w:lastRow="0" w:firstColumn="1" w:lastColumn="0" w:oddVBand="0" w:evenVBand="0" w:oddHBand="0" w:evenHBand="0" w:firstRowFirstColumn="0" w:firstRowLastColumn="0" w:lastRowFirstColumn="0" w:lastRowLastColumn="0"/>
            <w:tcW w:w="3242" w:type="pct"/>
          </w:tcPr>
          <w:p w14:paraId="60803432" w14:textId="77777777" w:rsidR="00AE37A2" w:rsidRPr="008C1FD6" w:rsidRDefault="00AE37A2" w:rsidP="008C1FD6">
            <w:pPr>
              <w:pStyle w:val="Normal-table"/>
            </w:pPr>
            <w:r w:rsidRPr="008C1FD6">
              <w:t>Safety performance</w:t>
            </w:r>
          </w:p>
        </w:tc>
        <w:tc>
          <w:tcPr>
            <w:tcW w:w="930" w:type="pct"/>
          </w:tcPr>
          <w:p w14:paraId="315F41C6"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c>
          <w:tcPr>
            <w:tcW w:w="828" w:type="pct"/>
          </w:tcPr>
          <w:p w14:paraId="27872886"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r>
      <w:tr w:rsidR="00AE37A2" w:rsidRPr="008C1FD6" w14:paraId="573979ED" w14:textId="072A5C13" w:rsidTr="008C1FD6">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3242" w:type="pct"/>
          </w:tcPr>
          <w:p w14:paraId="5DD4403D" w14:textId="77777777" w:rsidR="00AE37A2" w:rsidRPr="008C1FD6" w:rsidRDefault="00AE37A2" w:rsidP="008C1FD6">
            <w:pPr>
              <w:pStyle w:val="Normal-table"/>
            </w:pPr>
            <w:r w:rsidRPr="008C1FD6">
              <w:t>Senior Leadership Team</w:t>
            </w:r>
          </w:p>
        </w:tc>
        <w:tc>
          <w:tcPr>
            <w:tcW w:w="930" w:type="pct"/>
          </w:tcPr>
          <w:p w14:paraId="32B14F3C"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c>
          <w:tcPr>
            <w:tcW w:w="828" w:type="pct"/>
          </w:tcPr>
          <w:p w14:paraId="7F1AEBA3"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r>
      <w:tr w:rsidR="00AE37A2" w:rsidRPr="008C1FD6" w14:paraId="077B6B92" w14:textId="46CEC8E5" w:rsidTr="008C1FD6">
        <w:trPr>
          <w:trHeight w:val="448"/>
        </w:trPr>
        <w:tc>
          <w:tcPr>
            <w:cnfStyle w:val="001000000000" w:firstRow="0" w:lastRow="0" w:firstColumn="1" w:lastColumn="0" w:oddVBand="0" w:evenVBand="0" w:oddHBand="0" w:evenHBand="0" w:firstRowFirstColumn="0" w:firstRowLastColumn="0" w:lastRowFirstColumn="0" w:lastRowLastColumn="0"/>
            <w:tcW w:w="3242" w:type="pct"/>
          </w:tcPr>
          <w:p w14:paraId="53075DBA" w14:textId="77777777" w:rsidR="00AE37A2" w:rsidRPr="008C1FD6" w:rsidRDefault="00AE37A2" w:rsidP="008C1FD6">
            <w:pPr>
              <w:pStyle w:val="Normal-table"/>
            </w:pPr>
            <w:r w:rsidRPr="008C1FD6">
              <w:t>Service delivery statements</w:t>
            </w:r>
          </w:p>
        </w:tc>
        <w:tc>
          <w:tcPr>
            <w:tcW w:w="930" w:type="pct"/>
          </w:tcPr>
          <w:p w14:paraId="5CA3803C"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c>
          <w:tcPr>
            <w:tcW w:w="828" w:type="pct"/>
          </w:tcPr>
          <w:p w14:paraId="05FDDCA0"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r>
      <w:tr w:rsidR="00AE37A2" w:rsidRPr="008C1FD6" w14:paraId="24B19FB9" w14:textId="77059B05" w:rsidTr="008C1FD6">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242" w:type="pct"/>
          </w:tcPr>
          <w:p w14:paraId="24DA777D" w14:textId="77777777" w:rsidR="00AE37A2" w:rsidRPr="008C1FD6" w:rsidRDefault="00AE37A2" w:rsidP="008C1FD6">
            <w:pPr>
              <w:pStyle w:val="Normal-table"/>
            </w:pPr>
            <w:r w:rsidRPr="008C1FD6">
              <w:t>School transport operator payments</w:t>
            </w:r>
          </w:p>
        </w:tc>
        <w:tc>
          <w:tcPr>
            <w:tcW w:w="930" w:type="pct"/>
          </w:tcPr>
          <w:p w14:paraId="6C26B9C5"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c>
          <w:tcPr>
            <w:tcW w:w="828" w:type="pct"/>
          </w:tcPr>
          <w:p w14:paraId="2D191829"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r>
      <w:tr w:rsidR="00AE37A2" w:rsidRPr="008C1FD6" w14:paraId="49DE8408" w14:textId="36C0B4C9" w:rsidTr="008C1FD6">
        <w:trPr>
          <w:trHeight w:val="17"/>
        </w:trPr>
        <w:tc>
          <w:tcPr>
            <w:cnfStyle w:val="001000000000" w:firstRow="0" w:lastRow="0" w:firstColumn="1" w:lastColumn="0" w:oddVBand="0" w:evenVBand="0" w:oddHBand="0" w:evenHBand="0" w:firstRowFirstColumn="0" w:firstRowLastColumn="0" w:lastRowFirstColumn="0" w:lastRowLastColumn="0"/>
            <w:tcW w:w="3242" w:type="pct"/>
          </w:tcPr>
          <w:p w14:paraId="4D493813" w14:textId="77777777" w:rsidR="00AE37A2" w:rsidRPr="008C1FD6" w:rsidRDefault="00AE37A2" w:rsidP="008C1FD6">
            <w:pPr>
              <w:pStyle w:val="Normal-table"/>
            </w:pPr>
            <w:r w:rsidRPr="008C1FD6">
              <w:lastRenderedPageBreak/>
              <w:t>Stakeholder engagement</w:t>
            </w:r>
          </w:p>
        </w:tc>
        <w:tc>
          <w:tcPr>
            <w:tcW w:w="930" w:type="pct"/>
          </w:tcPr>
          <w:p w14:paraId="0CF90FC4"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c>
          <w:tcPr>
            <w:tcW w:w="828" w:type="pct"/>
          </w:tcPr>
          <w:p w14:paraId="19E45F55"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r>
      <w:tr w:rsidR="00AE37A2" w:rsidRPr="008C1FD6" w14:paraId="2DD0E39D" w14:textId="692A1153" w:rsidTr="008C1FD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242" w:type="pct"/>
          </w:tcPr>
          <w:p w14:paraId="787BF8BA" w14:textId="77777777" w:rsidR="00AE37A2" w:rsidRPr="008C1FD6" w:rsidRDefault="00AE37A2" w:rsidP="008C1FD6">
            <w:pPr>
              <w:pStyle w:val="Normal-table"/>
            </w:pPr>
            <w:r w:rsidRPr="008C1FD6">
              <w:t>Strategic Plan</w:t>
            </w:r>
          </w:p>
        </w:tc>
        <w:tc>
          <w:tcPr>
            <w:tcW w:w="930" w:type="pct"/>
          </w:tcPr>
          <w:p w14:paraId="4701DEE5"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c>
          <w:tcPr>
            <w:tcW w:w="828" w:type="pct"/>
          </w:tcPr>
          <w:p w14:paraId="0DE78801"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r>
      <w:tr w:rsidR="00AE37A2" w:rsidRPr="008C1FD6" w14:paraId="3A15430B" w14:textId="06594298" w:rsidTr="008C1FD6">
        <w:trPr>
          <w:trHeight w:val="448"/>
        </w:trPr>
        <w:tc>
          <w:tcPr>
            <w:cnfStyle w:val="001000000000" w:firstRow="0" w:lastRow="0" w:firstColumn="1" w:lastColumn="0" w:oddVBand="0" w:evenVBand="0" w:oddHBand="0" w:evenHBand="0" w:firstRowFirstColumn="0" w:firstRowLastColumn="0" w:lastRowFirstColumn="0" w:lastRowLastColumn="0"/>
            <w:tcW w:w="3242" w:type="pct"/>
          </w:tcPr>
          <w:p w14:paraId="41B8D181" w14:textId="77777777" w:rsidR="00AE37A2" w:rsidRPr="008C1FD6" w:rsidRDefault="00AE37A2" w:rsidP="008C1FD6">
            <w:pPr>
              <w:pStyle w:val="Normal-table"/>
            </w:pPr>
            <w:r w:rsidRPr="008C1FD6">
              <w:t>Transport security</w:t>
            </w:r>
          </w:p>
        </w:tc>
        <w:tc>
          <w:tcPr>
            <w:tcW w:w="930" w:type="pct"/>
          </w:tcPr>
          <w:p w14:paraId="6A4A290A"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c>
          <w:tcPr>
            <w:tcW w:w="828" w:type="pct"/>
          </w:tcPr>
          <w:p w14:paraId="295C657C"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r>
      <w:tr w:rsidR="00AE37A2" w:rsidRPr="008C1FD6" w14:paraId="04501856" w14:textId="58AE1C96" w:rsidTr="008C1FD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242" w:type="pct"/>
          </w:tcPr>
          <w:p w14:paraId="5CB9D1BD" w14:textId="77777777" w:rsidR="00AE37A2" w:rsidRPr="008C1FD6" w:rsidRDefault="00AE37A2" w:rsidP="008C1FD6">
            <w:pPr>
              <w:pStyle w:val="Normal-table"/>
            </w:pPr>
            <w:r w:rsidRPr="008C1FD6">
              <w:t>Vision</w:t>
            </w:r>
          </w:p>
        </w:tc>
        <w:tc>
          <w:tcPr>
            <w:tcW w:w="930" w:type="pct"/>
          </w:tcPr>
          <w:p w14:paraId="5FB02A35"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c>
          <w:tcPr>
            <w:tcW w:w="828" w:type="pct"/>
          </w:tcPr>
          <w:p w14:paraId="2A8B9ED4"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r>
      <w:tr w:rsidR="00AE37A2" w:rsidRPr="008C1FD6" w14:paraId="4F773B7C" w14:textId="4958F9EA" w:rsidTr="008C1FD6">
        <w:trPr>
          <w:trHeight w:val="80"/>
        </w:trPr>
        <w:tc>
          <w:tcPr>
            <w:cnfStyle w:val="001000000000" w:firstRow="0" w:lastRow="0" w:firstColumn="1" w:lastColumn="0" w:oddVBand="0" w:evenVBand="0" w:oddHBand="0" w:evenHBand="0" w:firstRowFirstColumn="0" w:firstRowLastColumn="0" w:lastRowFirstColumn="0" w:lastRowLastColumn="0"/>
            <w:tcW w:w="3242" w:type="pct"/>
          </w:tcPr>
          <w:p w14:paraId="0FC24FFF" w14:textId="77777777" w:rsidR="00AE37A2" w:rsidRPr="008C1FD6" w:rsidRDefault="00AE37A2" w:rsidP="008C1FD6">
            <w:pPr>
              <w:pStyle w:val="Normal-table"/>
            </w:pPr>
            <w:r w:rsidRPr="008C1FD6">
              <w:t>Walking</w:t>
            </w:r>
          </w:p>
        </w:tc>
        <w:tc>
          <w:tcPr>
            <w:tcW w:w="930" w:type="pct"/>
          </w:tcPr>
          <w:p w14:paraId="2C839852"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c>
          <w:tcPr>
            <w:tcW w:w="828" w:type="pct"/>
          </w:tcPr>
          <w:p w14:paraId="75786A1C"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r>
      <w:tr w:rsidR="00AE37A2" w:rsidRPr="008C1FD6" w14:paraId="2DE866C2" w14:textId="278BA7CA" w:rsidTr="008C1FD6">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242" w:type="pct"/>
          </w:tcPr>
          <w:p w14:paraId="2C31D8A4" w14:textId="77777777" w:rsidR="00AE37A2" w:rsidRPr="008C1FD6" w:rsidRDefault="00AE37A2" w:rsidP="008C1FD6">
            <w:pPr>
              <w:pStyle w:val="Normal-table"/>
            </w:pPr>
            <w:r w:rsidRPr="008C1FD6">
              <w:t>Waste management</w:t>
            </w:r>
          </w:p>
        </w:tc>
        <w:tc>
          <w:tcPr>
            <w:tcW w:w="930" w:type="pct"/>
          </w:tcPr>
          <w:p w14:paraId="0F50E831"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c>
          <w:tcPr>
            <w:tcW w:w="828" w:type="pct"/>
          </w:tcPr>
          <w:p w14:paraId="33B0AE59"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r>
      <w:tr w:rsidR="00AE37A2" w:rsidRPr="008C1FD6" w14:paraId="0DCCC8B6" w14:textId="1C1D6E7E" w:rsidTr="008C1FD6">
        <w:trPr>
          <w:trHeight w:val="448"/>
        </w:trPr>
        <w:tc>
          <w:tcPr>
            <w:cnfStyle w:val="001000000000" w:firstRow="0" w:lastRow="0" w:firstColumn="1" w:lastColumn="0" w:oddVBand="0" w:evenVBand="0" w:oddHBand="0" w:evenHBand="0" w:firstRowFirstColumn="0" w:firstRowLastColumn="0" w:lastRowFirstColumn="0" w:lastRowLastColumn="0"/>
            <w:tcW w:w="3242" w:type="pct"/>
          </w:tcPr>
          <w:p w14:paraId="47BAFAD7" w14:textId="77777777" w:rsidR="00AE37A2" w:rsidRPr="008C1FD6" w:rsidRDefault="00AE37A2" w:rsidP="008C1FD6">
            <w:pPr>
              <w:pStyle w:val="Normal-table"/>
            </w:pPr>
            <w:r w:rsidRPr="008C1FD6">
              <w:t>Wellness programs</w:t>
            </w:r>
          </w:p>
        </w:tc>
        <w:tc>
          <w:tcPr>
            <w:tcW w:w="930" w:type="pct"/>
          </w:tcPr>
          <w:p w14:paraId="6B35E631"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c>
          <w:tcPr>
            <w:tcW w:w="828" w:type="pct"/>
          </w:tcPr>
          <w:p w14:paraId="3024894D"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r>
      <w:tr w:rsidR="00AE37A2" w:rsidRPr="008C1FD6" w14:paraId="44230257" w14:textId="04B42B4A" w:rsidTr="008C1FD6">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242" w:type="pct"/>
          </w:tcPr>
          <w:p w14:paraId="043C989B" w14:textId="77777777" w:rsidR="00AE37A2" w:rsidRPr="008C1FD6" w:rsidRDefault="00AE37A2" w:rsidP="008C1FD6">
            <w:pPr>
              <w:pStyle w:val="Normal-table"/>
            </w:pPr>
            <w:r w:rsidRPr="008C1FD6">
              <w:t>Where to find us</w:t>
            </w:r>
          </w:p>
        </w:tc>
        <w:tc>
          <w:tcPr>
            <w:tcW w:w="930" w:type="pct"/>
          </w:tcPr>
          <w:p w14:paraId="23B72569"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c>
          <w:tcPr>
            <w:tcW w:w="828" w:type="pct"/>
          </w:tcPr>
          <w:p w14:paraId="0EED60F8"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r>
      <w:tr w:rsidR="00AE37A2" w:rsidRPr="008C1FD6" w14:paraId="4D89D1F3" w14:textId="43ADCE94" w:rsidTr="008C1FD6">
        <w:trPr>
          <w:trHeight w:val="80"/>
        </w:trPr>
        <w:tc>
          <w:tcPr>
            <w:cnfStyle w:val="001000000000" w:firstRow="0" w:lastRow="0" w:firstColumn="1" w:lastColumn="0" w:oddVBand="0" w:evenVBand="0" w:oddHBand="0" w:evenHBand="0" w:firstRowFirstColumn="0" w:firstRowLastColumn="0" w:lastRowFirstColumn="0" w:lastRowLastColumn="0"/>
            <w:tcW w:w="3242" w:type="pct"/>
          </w:tcPr>
          <w:p w14:paraId="0E1D8B3E" w14:textId="77777777" w:rsidR="00AE37A2" w:rsidRPr="008C1FD6" w:rsidRDefault="00AE37A2" w:rsidP="008C1FD6">
            <w:pPr>
              <w:pStyle w:val="Normal-table"/>
            </w:pPr>
            <w:r w:rsidRPr="008C1FD6">
              <w:t>Women in the workplace</w:t>
            </w:r>
          </w:p>
        </w:tc>
        <w:tc>
          <w:tcPr>
            <w:tcW w:w="930" w:type="pct"/>
          </w:tcPr>
          <w:p w14:paraId="1E736F84"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c>
          <w:tcPr>
            <w:tcW w:w="828" w:type="pct"/>
          </w:tcPr>
          <w:p w14:paraId="7DDADE5A"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r>
      <w:tr w:rsidR="00AE37A2" w:rsidRPr="008C1FD6" w14:paraId="6AD0ED47" w14:textId="509113B0" w:rsidTr="008C1FD6">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242" w:type="pct"/>
          </w:tcPr>
          <w:p w14:paraId="3B483D8E" w14:textId="77777777" w:rsidR="00AE37A2" w:rsidRPr="008C1FD6" w:rsidRDefault="00AE37A2" w:rsidP="008C1FD6">
            <w:pPr>
              <w:pStyle w:val="Normal-table"/>
            </w:pPr>
            <w:r w:rsidRPr="008C1FD6">
              <w:t>Working for Queensland survey</w:t>
            </w:r>
          </w:p>
        </w:tc>
        <w:tc>
          <w:tcPr>
            <w:tcW w:w="930" w:type="pct"/>
          </w:tcPr>
          <w:p w14:paraId="5D6E481A"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c>
          <w:tcPr>
            <w:tcW w:w="828" w:type="pct"/>
          </w:tcPr>
          <w:p w14:paraId="68AD1D7A" w14:textId="77777777" w:rsidR="00AE37A2" w:rsidRPr="008C1FD6" w:rsidRDefault="00AE37A2" w:rsidP="008C1FD6">
            <w:pPr>
              <w:pStyle w:val="Normal-table"/>
              <w:cnfStyle w:val="000000100000" w:firstRow="0" w:lastRow="0" w:firstColumn="0" w:lastColumn="0" w:oddVBand="0" w:evenVBand="0" w:oddHBand="1" w:evenHBand="0" w:firstRowFirstColumn="0" w:firstRowLastColumn="0" w:lastRowFirstColumn="0" w:lastRowLastColumn="0"/>
            </w:pPr>
          </w:p>
        </w:tc>
      </w:tr>
      <w:tr w:rsidR="00AE37A2" w:rsidRPr="008C1FD6" w14:paraId="35FC9810" w14:textId="5450C9A7" w:rsidTr="008C1FD6">
        <w:trPr>
          <w:trHeight w:val="448"/>
        </w:trPr>
        <w:tc>
          <w:tcPr>
            <w:cnfStyle w:val="001000000000" w:firstRow="0" w:lastRow="0" w:firstColumn="1" w:lastColumn="0" w:oddVBand="0" w:evenVBand="0" w:oddHBand="0" w:evenHBand="0" w:firstRowFirstColumn="0" w:firstRowLastColumn="0" w:lastRowFirstColumn="0" w:lastRowLastColumn="0"/>
            <w:tcW w:w="3242" w:type="pct"/>
          </w:tcPr>
          <w:p w14:paraId="6C2BA2D8" w14:textId="77777777" w:rsidR="00AE37A2" w:rsidRPr="008C1FD6" w:rsidRDefault="00AE37A2" w:rsidP="008C1FD6">
            <w:pPr>
              <w:pStyle w:val="Normal-table"/>
            </w:pPr>
            <w:r w:rsidRPr="008C1FD6">
              <w:t>Workforce profile</w:t>
            </w:r>
          </w:p>
        </w:tc>
        <w:tc>
          <w:tcPr>
            <w:tcW w:w="930" w:type="pct"/>
          </w:tcPr>
          <w:p w14:paraId="61132197"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c>
          <w:tcPr>
            <w:tcW w:w="828" w:type="pct"/>
          </w:tcPr>
          <w:p w14:paraId="3A5500EE" w14:textId="77777777" w:rsidR="00AE37A2" w:rsidRPr="008C1FD6" w:rsidRDefault="00AE37A2" w:rsidP="008C1FD6">
            <w:pPr>
              <w:pStyle w:val="Normal-table"/>
              <w:cnfStyle w:val="000000000000" w:firstRow="0" w:lastRow="0" w:firstColumn="0" w:lastColumn="0" w:oddVBand="0" w:evenVBand="0" w:oddHBand="0" w:evenHBand="0" w:firstRowFirstColumn="0" w:firstRowLastColumn="0" w:lastRowFirstColumn="0" w:lastRowLastColumn="0"/>
            </w:pPr>
          </w:p>
        </w:tc>
      </w:tr>
    </w:tbl>
    <w:p w14:paraId="161952B0" w14:textId="77777777" w:rsidR="00093FB8" w:rsidRDefault="00093FB8">
      <w:pPr>
        <w:spacing w:before="0" w:after="160" w:line="259" w:lineRule="auto"/>
        <w:rPr>
          <w:rFonts w:eastAsiaTheme="majorEastAsia" w:cstheme="majorBidi"/>
          <w:color w:val="000000" w:themeColor="text1"/>
          <w:sz w:val="48"/>
          <w:szCs w:val="26"/>
        </w:rPr>
      </w:pPr>
      <w:r>
        <w:br w:type="page"/>
      </w:r>
    </w:p>
    <w:p w14:paraId="7C0DA265" w14:textId="2CDF85B6" w:rsidR="00A81C4F" w:rsidRDefault="00A81C4F" w:rsidP="00A81C4F">
      <w:pPr>
        <w:pStyle w:val="Heading2"/>
      </w:pPr>
      <w:r w:rsidRPr="007C3F5E">
        <w:lastRenderedPageBreak/>
        <w:t xml:space="preserve">Appendix </w:t>
      </w:r>
      <w:r>
        <w:t>12 –</w:t>
      </w:r>
      <w:r w:rsidRPr="007C3F5E">
        <w:t xml:space="preserve"> Figures and tables</w:t>
      </w:r>
    </w:p>
    <w:p w14:paraId="321BF9AC" w14:textId="4663F15A" w:rsidR="00A81C4F" w:rsidRDefault="00A81C4F" w:rsidP="00A81C4F">
      <w:pPr>
        <w:pStyle w:val="Heading3"/>
      </w:pPr>
      <w:r>
        <w:t>Figures</w:t>
      </w:r>
    </w:p>
    <w:tbl>
      <w:tblPr>
        <w:tblStyle w:val="GridTable4-Accent1"/>
        <w:tblW w:w="5000" w:type="pct"/>
        <w:tblLook w:val="04A0" w:firstRow="1" w:lastRow="0" w:firstColumn="1" w:lastColumn="0" w:noHBand="0" w:noVBand="1"/>
      </w:tblPr>
      <w:tblGrid>
        <w:gridCol w:w="8998"/>
        <w:gridCol w:w="1458"/>
      </w:tblGrid>
      <w:tr w:rsidR="00A81C4F" w:rsidRPr="007C3F5E" w14:paraId="4D399B81" w14:textId="77777777" w:rsidTr="0032686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03" w:type="pct"/>
          </w:tcPr>
          <w:p w14:paraId="7646146C" w14:textId="77777777" w:rsidR="00A81C4F" w:rsidRPr="007C3F5E" w:rsidRDefault="00A81C4F" w:rsidP="001B7ABF">
            <w:pPr>
              <w:pStyle w:val="Normal-table"/>
              <w:rPr>
                <w:lang w:val="en-AU"/>
              </w:rPr>
            </w:pPr>
            <w:r w:rsidRPr="007C3F5E">
              <w:rPr>
                <w:lang w:val="en-AU"/>
              </w:rPr>
              <w:t xml:space="preserve">Figures </w:t>
            </w:r>
          </w:p>
        </w:tc>
        <w:tc>
          <w:tcPr>
            <w:tcW w:w="697" w:type="pct"/>
          </w:tcPr>
          <w:p w14:paraId="798A645F" w14:textId="77777777" w:rsidR="00A81C4F" w:rsidRPr="007C3F5E" w:rsidRDefault="00A81C4F" w:rsidP="001B7ABF">
            <w:pPr>
              <w:pStyle w:val="Normal-table"/>
              <w:cnfStyle w:val="100000000000" w:firstRow="1" w:lastRow="0" w:firstColumn="0" w:lastColumn="0" w:oddVBand="0" w:evenVBand="0" w:oddHBand="0" w:evenHBand="0" w:firstRowFirstColumn="0" w:firstRowLastColumn="0" w:lastRowFirstColumn="0" w:lastRowLastColumn="0"/>
              <w:rPr>
                <w:lang w:val="en-AU"/>
              </w:rPr>
            </w:pPr>
            <w:r w:rsidRPr="007C3F5E">
              <w:rPr>
                <w:lang w:val="en-AU"/>
              </w:rPr>
              <w:t>Page</w:t>
            </w:r>
          </w:p>
        </w:tc>
      </w:tr>
      <w:tr w:rsidR="00A81C4F" w:rsidRPr="007C3F5E" w14:paraId="75648E43" w14:textId="77777777" w:rsidTr="00326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3" w:type="pct"/>
          </w:tcPr>
          <w:p w14:paraId="360F7B9B" w14:textId="77777777" w:rsidR="00A81C4F" w:rsidRPr="007C3F5E" w:rsidRDefault="00A81C4F" w:rsidP="001B7ABF">
            <w:pPr>
              <w:pStyle w:val="Normal-table"/>
              <w:rPr>
                <w:lang w:val="en-AU"/>
              </w:rPr>
            </w:pPr>
            <w:r w:rsidRPr="007C3F5E">
              <w:rPr>
                <w:lang w:val="en-AU"/>
              </w:rPr>
              <w:t>Figure 1: Income by category for the year ended 30 June 2023</w:t>
            </w:r>
          </w:p>
        </w:tc>
        <w:tc>
          <w:tcPr>
            <w:tcW w:w="697" w:type="pct"/>
          </w:tcPr>
          <w:p w14:paraId="0B05B7B0" w14:textId="77777777" w:rsidR="00A81C4F" w:rsidRPr="007C3F5E" w:rsidRDefault="00A81C4F" w:rsidP="001B7ABF">
            <w:pPr>
              <w:pStyle w:val="Normal-table"/>
              <w:cnfStyle w:val="000000100000" w:firstRow="0" w:lastRow="0" w:firstColumn="0" w:lastColumn="0" w:oddVBand="0" w:evenVBand="0" w:oddHBand="1" w:evenHBand="0" w:firstRowFirstColumn="0" w:firstRowLastColumn="0" w:lastRowFirstColumn="0" w:lastRowLastColumn="0"/>
              <w:rPr>
                <w:lang w:val="en-AU"/>
              </w:rPr>
            </w:pPr>
          </w:p>
        </w:tc>
      </w:tr>
      <w:tr w:rsidR="00A81C4F" w:rsidRPr="007C3F5E" w14:paraId="032C3345" w14:textId="77777777" w:rsidTr="00326868">
        <w:tc>
          <w:tcPr>
            <w:cnfStyle w:val="001000000000" w:firstRow="0" w:lastRow="0" w:firstColumn="1" w:lastColumn="0" w:oddVBand="0" w:evenVBand="0" w:oddHBand="0" w:evenHBand="0" w:firstRowFirstColumn="0" w:firstRowLastColumn="0" w:lastRowFirstColumn="0" w:lastRowLastColumn="0"/>
            <w:tcW w:w="4303" w:type="pct"/>
          </w:tcPr>
          <w:p w14:paraId="2DB28A71" w14:textId="77777777" w:rsidR="00A81C4F" w:rsidRPr="007C3F5E" w:rsidRDefault="00A81C4F" w:rsidP="001B7ABF">
            <w:pPr>
              <w:pStyle w:val="Normal-table"/>
              <w:rPr>
                <w:lang w:val="en-AU"/>
              </w:rPr>
            </w:pPr>
            <w:r w:rsidRPr="007C3F5E">
              <w:rPr>
                <w:lang w:val="en-AU"/>
              </w:rPr>
              <w:t>Figure 2: Expenses by category for the year ended 30 June 2023</w:t>
            </w:r>
          </w:p>
        </w:tc>
        <w:tc>
          <w:tcPr>
            <w:tcW w:w="697" w:type="pct"/>
          </w:tcPr>
          <w:p w14:paraId="3575CC52" w14:textId="77777777" w:rsidR="00A81C4F" w:rsidRPr="007C3F5E" w:rsidRDefault="00A81C4F" w:rsidP="001B7ABF">
            <w:pPr>
              <w:pStyle w:val="Normal-table"/>
              <w:cnfStyle w:val="000000000000" w:firstRow="0" w:lastRow="0" w:firstColumn="0" w:lastColumn="0" w:oddVBand="0" w:evenVBand="0" w:oddHBand="0" w:evenHBand="0" w:firstRowFirstColumn="0" w:firstRowLastColumn="0" w:lastRowFirstColumn="0" w:lastRowLastColumn="0"/>
              <w:rPr>
                <w:lang w:val="en-AU"/>
              </w:rPr>
            </w:pPr>
          </w:p>
        </w:tc>
      </w:tr>
      <w:tr w:rsidR="00A81C4F" w:rsidRPr="007C3F5E" w14:paraId="5543A74A" w14:textId="77777777" w:rsidTr="00326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3" w:type="pct"/>
          </w:tcPr>
          <w:p w14:paraId="51B78A80" w14:textId="77777777" w:rsidR="00A81C4F" w:rsidRPr="007C3F5E" w:rsidRDefault="00A81C4F" w:rsidP="001B7ABF">
            <w:pPr>
              <w:pStyle w:val="Normal-table"/>
              <w:rPr>
                <w:lang w:val="en-AU"/>
              </w:rPr>
            </w:pPr>
            <w:r w:rsidRPr="007C3F5E">
              <w:rPr>
                <w:lang w:val="en-AU"/>
              </w:rPr>
              <w:t xml:space="preserve">Figure 3: Marine </w:t>
            </w:r>
            <w:r>
              <w:t>f</w:t>
            </w:r>
            <w:r w:rsidRPr="007C3F5E">
              <w:rPr>
                <w:lang w:val="en-AU"/>
              </w:rPr>
              <w:t xml:space="preserve">atalities in Queensland </w:t>
            </w:r>
          </w:p>
        </w:tc>
        <w:tc>
          <w:tcPr>
            <w:tcW w:w="697" w:type="pct"/>
          </w:tcPr>
          <w:p w14:paraId="09491F55" w14:textId="77777777" w:rsidR="00A81C4F" w:rsidRPr="007C3F5E" w:rsidRDefault="00A81C4F" w:rsidP="001B7ABF">
            <w:pPr>
              <w:pStyle w:val="Normal-table"/>
              <w:cnfStyle w:val="000000100000" w:firstRow="0" w:lastRow="0" w:firstColumn="0" w:lastColumn="0" w:oddVBand="0" w:evenVBand="0" w:oddHBand="1" w:evenHBand="0" w:firstRowFirstColumn="0" w:firstRowLastColumn="0" w:lastRowFirstColumn="0" w:lastRowLastColumn="0"/>
              <w:rPr>
                <w:lang w:val="en-AU"/>
              </w:rPr>
            </w:pPr>
          </w:p>
        </w:tc>
      </w:tr>
      <w:tr w:rsidR="00A81C4F" w:rsidRPr="007C3F5E" w14:paraId="69A163BB" w14:textId="77777777" w:rsidTr="00326868">
        <w:tc>
          <w:tcPr>
            <w:cnfStyle w:val="001000000000" w:firstRow="0" w:lastRow="0" w:firstColumn="1" w:lastColumn="0" w:oddVBand="0" w:evenVBand="0" w:oddHBand="0" w:evenHBand="0" w:firstRowFirstColumn="0" w:firstRowLastColumn="0" w:lastRowFirstColumn="0" w:lastRowLastColumn="0"/>
            <w:tcW w:w="4303" w:type="pct"/>
          </w:tcPr>
          <w:p w14:paraId="1F75B08E" w14:textId="77777777" w:rsidR="00A81C4F" w:rsidRPr="007C3F5E" w:rsidRDefault="00A81C4F" w:rsidP="001B7ABF">
            <w:pPr>
              <w:pStyle w:val="Normal-table"/>
              <w:rPr>
                <w:lang w:val="en-AU"/>
              </w:rPr>
            </w:pPr>
            <w:r w:rsidRPr="007C3F5E">
              <w:rPr>
                <w:lang w:val="en-AU"/>
              </w:rPr>
              <w:t xml:space="preserve">Figure 4: </w:t>
            </w:r>
            <w:r>
              <w:t>S</w:t>
            </w:r>
            <w:r w:rsidRPr="007C3F5E">
              <w:rPr>
                <w:lang w:val="en-AU"/>
              </w:rPr>
              <w:t>erious injuries from marine incidents in Queensland</w:t>
            </w:r>
          </w:p>
        </w:tc>
        <w:tc>
          <w:tcPr>
            <w:tcW w:w="697" w:type="pct"/>
          </w:tcPr>
          <w:p w14:paraId="0102F5EE" w14:textId="77777777" w:rsidR="00A81C4F" w:rsidRPr="007C3F5E" w:rsidRDefault="00A81C4F" w:rsidP="001B7ABF">
            <w:pPr>
              <w:pStyle w:val="Normal-table"/>
              <w:cnfStyle w:val="000000000000" w:firstRow="0" w:lastRow="0" w:firstColumn="0" w:lastColumn="0" w:oddVBand="0" w:evenVBand="0" w:oddHBand="0" w:evenHBand="0" w:firstRowFirstColumn="0" w:firstRowLastColumn="0" w:lastRowFirstColumn="0" w:lastRowLastColumn="0"/>
              <w:rPr>
                <w:lang w:val="en-AU"/>
              </w:rPr>
            </w:pPr>
          </w:p>
        </w:tc>
      </w:tr>
      <w:tr w:rsidR="00A81C4F" w:rsidRPr="007C3F5E" w14:paraId="4D1B6FA1" w14:textId="77777777" w:rsidTr="00326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3" w:type="pct"/>
          </w:tcPr>
          <w:p w14:paraId="6F7BE695" w14:textId="77777777" w:rsidR="00A81C4F" w:rsidRPr="007C3F5E" w:rsidRDefault="00A81C4F" w:rsidP="001B7ABF">
            <w:pPr>
              <w:pStyle w:val="Normal-table"/>
              <w:rPr>
                <w:lang w:val="en-AU"/>
              </w:rPr>
            </w:pPr>
            <w:r w:rsidRPr="00243536">
              <w:rPr>
                <w:lang w:val="en-AU"/>
              </w:rPr>
              <w:t>Figure 5: Mobile speed cameras—Vehicles monitored per notice issued</w:t>
            </w:r>
          </w:p>
        </w:tc>
        <w:tc>
          <w:tcPr>
            <w:tcW w:w="697" w:type="pct"/>
          </w:tcPr>
          <w:p w14:paraId="7F49CBC6" w14:textId="77777777" w:rsidR="00A81C4F" w:rsidRPr="007C3F5E" w:rsidRDefault="00A81C4F" w:rsidP="001B7ABF">
            <w:pPr>
              <w:pStyle w:val="Normal-table"/>
              <w:cnfStyle w:val="000000100000" w:firstRow="0" w:lastRow="0" w:firstColumn="0" w:lastColumn="0" w:oddVBand="0" w:evenVBand="0" w:oddHBand="1" w:evenHBand="0" w:firstRowFirstColumn="0" w:firstRowLastColumn="0" w:lastRowFirstColumn="0" w:lastRowLastColumn="0"/>
              <w:rPr>
                <w:lang w:val="en-AU"/>
              </w:rPr>
            </w:pPr>
          </w:p>
        </w:tc>
      </w:tr>
      <w:tr w:rsidR="00A81C4F" w:rsidRPr="007C3F5E" w14:paraId="5C981952" w14:textId="77777777" w:rsidTr="00326868">
        <w:tc>
          <w:tcPr>
            <w:cnfStyle w:val="001000000000" w:firstRow="0" w:lastRow="0" w:firstColumn="1" w:lastColumn="0" w:oddVBand="0" w:evenVBand="0" w:oddHBand="0" w:evenHBand="0" w:firstRowFirstColumn="0" w:firstRowLastColumn="0" w:lastRowFirstColumn="0" w:lastRowLastColumn="0"/>
            <w:tcW w:w="4303" w:type="pct"/>
          </w:tcPr>
          <w:p w14:paraId="30964157" w14:textId="77777777" w:rsidR="00A81C4F" w:rsidRPr="007C3F5E" w:rsidRDefault="00A81C4F" w:rsidP="001B7ABF">
            <w:pPr>
              <w:pStyle w:val="Normal-table"/>
              <w:rPr>
                <w:lang w:val="en-AU"/>
              </w:rPr>
            </w:pPr>
            <w:r w:rsidRPr="00783755">
              <w:rPr>
                <w:lang w:val="en-AU"/>
              </w:rPr>
              <w:t>Figure 6: Red light cameras—Vehicles monitored per notice issued</w:t>
            </w:r>
          </w:p>
        </w:tc>
        <w:tc>
          <w:tcPr>
            <w:tcW w:w="697" w:type="pct"/>
          </w:tcPr>
          <w:p w14:paraId="0F5575E2" w14:textId="77777777" w:rsidR="00A81C4F" w:rsidRPr="007C3F5E" w:rsidRDefault="00A81C4F" w:rsidP="001B7ABF">
            <w:pPr>
              <w:pStyle w:val="Normal-table"/>
              <w:cnfStyle w:val="000000000000" w:firstRow="0" w:lastRow="0" w:firstColumn="0" w:lastColumn="0" w:oddVBand="0" w:evenVBand="0" w:oddHBand="0" w:evenHBand="0" w:firstRowFirstColumn="0" w:firstRowLastColumn="0" w:lastRowFirstColumn="0" w:lastRowLastColumn="0"/>
              <w:rPr>
                <w:lang w:val="en-AU"/>
              </w:rPr>
            </w:pPr>
          </w:p>
        </w:tc>
      </w:tr>
      <w:tr w:rsidR="00A81C4F" w:rsidRPr="007C3F5E" w14:paraId="5C796ABD" w14:textId="77777777" w:rsidTr="00326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3" w:type="pct"/>
          </w:tcPr>
          <w:p w14:paraId="52103DCC" w14:textId="77777777" w:rsidR="00A81C4F" w:rsidRPr="007C3F5E" w:rsidRDefault="00A81C4F" w:rsidP="001B7ABF">
            <w:pPr>
              <w:pStyle w:val="Normal-table"/>
              <w:rPr>
                <w:lang w:val="en-AU"/>
              </w:rPr>
            </w:pPr>
            <w:r w:rsidRPr="009C5E55">
              <w:rPr>
                <w:lang w:val="en-AU"/>
              </w:rPr>
              <w:t>Figure 7: Fixed speed cameras—Vehicles monitored per notice issued</w:t>
            </w:r>
          </w:p>
        </w:tc>
        <w:tc>
          <w:tcPr>
            <w:tcW w:w="697" w:type="pct"/>
          </w:tcPr>
          <w:p w14:paraId="541FA13C" w14:textId="77777777" w:rsidR="00A81C4F" w:rsidRPr="007C3F5E" w:rsidRDefault="00A81C4F" w:rsidP="001B7ABF">
            <w:pPr>
              <w:pStyle w:val="Normal-table"/>
              <w:cnfStyle w:val="000000100000" w:firstRow="0" w:lastRow="0" w:firstColumn="0" w:lastColumn="0" w:oddVBand="0" w:evenVBand="0" w:oddHBand="1" w:evenHBand="0" w:firstRowFirstColumn="0" w:firstRowLastColumn="0" w:lastRowFirstColumn="0" w:lastRowLastColumn="0"/>
              <w:rPr>
                <w:lang w:val="en-AU"/>
              </w:rPr>
            </w:pPr>
          </w:p>
        </w:tc>
      </w:tr>
      <w:tr w:rsidR="00A81C4F" w:rsidRPr="007C3F5E" w14:paraId="21F4A69A" w14:textId="77777777" w:rsidTr="00326868">
        <w:tc>
          <w:tcPr>
            <w:cnfStyle w:val="001000000000" w:firstRow="0" w:lastRow="0" w:firstColumn="1" w:lastColumn="0" w:oddVBand="0" w:evenVBand="0" w:oddHBand="0" w:evenHBand="0" w:firstRowFirstColumn="0" w:firstRowLastColumn="0" w:lastRowFirstColumn="0" w:lastRowLastColumn="0"/>
            <w:tcW w:w="4303" w:type="pct"/>
          </w:tcPr>
          <w:p w14:paraId="3900BCBC" w14:textId="77777777" w:rsidR="00A81C4F" w:rsidRPr="007C3F5E" w:rsidRDefault="00A81C4F" w:rsidP="001B7ABF">
            <w:pPr>
              <w:pStyle w:val="Normal-table"/>
              <w:rPr>
                <w:lang w:val="en-AU"/>
              </w:rPr>
            </w:pPr>
            <w:r w:rsidRPr="00E83CCE">
              <w:rPr>
                <w:lang w:val="en-AU"/>
              </w:rPr>
              <w:t>Figure 8: Combined red light/speed camera—Vehicles monitored per notice issued</w:t>
            </w:r>
          </w:p>
        </w:tc>
        <w:tc>
          <w:tcPr>
            <w:tcW w:w="697" w:type="pct"/>
          </w:tcPr>
          <w:p w14:paraId="6C555D99" w14:textId="77777777" w:rsidR="00A81C4F" w:rsidRPr="007C3F5E" w:rsidRDefault="00A81C4F" w:rsidP="001B7ABF">
            <w:pPr>
              <w:pStyle w:val="Normal-table"/>
              <w:cnfStyle w:val="000000000000" w:firstRow="0" w:lastRow="0" w:firstColumn="0" w:lastColumn="0" w:oddVBand="0" w:evenVBand="0" w:oddHBand="0" w:evenHBand="0" w:firstRowFirstColumn="0" w:firstRowLastColumn="0" w:lastRowFirstColumn="0" w:lastRowLastColumn="0"/>
              <w:rPr>
                <w:lang w:val="en-AU"/>
              </w:rPr>
            </w:pPr>
          </w:p>
        </w:tc>
      </w:tr>
    </w:tbl>
    <w:p w14:paraId="6B7AFD2D" w14:textId="390F8E1D" w:rsidR="00A81C4F" w:rsidRDefault="00A81C4F" w:rsidP="00A81C4F">
      <w:pPr>
        <w:pStyle w:val="Heading3"/>
      </w:pPr>
      <w:r>
        <w:t>Tables</w:t>
      </w:r>
    </w:p>
    <w:tbl>
      <w:tblPr>
        <w:tblStyle w:val="GridTable4-Accent1"/>
        <w:tblW w:w="5000" w:type="pct"/>
        <w:tblLook w:val="04A0" w:firstRow="1" w:lastRow="0" w:firstColumn="1" w:lastColumn="0" w:noHBand="0" w:noVBand="1"/>
      </w:tblPr>
      <w:tblGrid>
        <w:gridCol w:w="8998"/>
        <w:gridCol w:w="1458"/>
      </w:tblGrid>
      <w:tr w:rsidR="00A81C4F" w:rsidRPr="007C3F5E" w14:paraId="391E0C89" w14:textId="77777777" w:rsidTr="0032686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03" w:type="pct"/>
          </w:tcPr>
          <w:p w14:paraId="684F939E" w14:textId="77777777" w:rsidR="00A81C4F" w:rsidRPr="005F572F" w:rsidRDefault="00A81C4F" w:rsidP="001B7ABF">
            <w:pPr>
              <w:pStyle w:val="Normal-table"/>
            </w:pPr>
            <w:r w:rsidRPr="005F572F">
              <w:t>Tables</w:t>
            </w:r>
          </w:p>
        </w:tc>
        <w:tc>
          <w:tcPr>
            <w:tcW w:w="697" w:type="pct"/>
          </w:tcPr>
          <w:p w14:paraId="4FDF005F" w14:textId="77777777" w:rsidR="00A81C4F" w:rsidRPr="005F572F" w:rsidRDefault="00A81C4F" w:rsidP="001B7ABF">
            <w:pPr>
              <w:pStyle w:val="Normal-table"/>
              <w:cnfStyle w:val="100000000000" w:firstRow="1" w:lastRow="0" w:firstColumn="0" w:lastColumn="0" w:oddVBand="0" w:evenVBand="0" w:oddHBand="0" w:evenHBand="0" w:firstRowFirstColumn="0" w:firstRowLastColumn="0" w:lastRowFirstColumn="0" w:lastRowLastColumn="0"/>
            </w:pPr>
            <w:r w:rsidRPr="005F572F">
              <w:t>Page</w:t>
            </w:r>
          </w:p>
        </w:tc>
      </w:tr>
      <w:tr w:rsidR="00A81C4F" w:rsidRPr="007C3F5E" w14:paraId="695AF0CB" w14:textId="77777777" w:rsidTr="00326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3" w:type="pct"/>
          </w:tcPr>
          <w:p w14:paraId="50D3BD4F" w14:textId="77777777" w:rsidR="00A81C4F" w:rsidRPr="005F572F" w:rsidRDefault="00A81C4F" w:rsidP="001B7ABF">
            <w:pPr>
              <w:pStyle w:val="Normal-table"/>
            </w:pPr>
            <w:r w:rsidRPr="005F572F">
              <w:t>Table 1: Summary of financial results of the department's operations</w:t>
            </w:r>
          </w:p>
        </w:tc>
        <w:tc>
          <w:tcPr>
            <w:tcW w:w="697" w:type="pct"/>
          </w:tcPr>
          <w:p w14:paraId="66125BDC" w14:textId="77777777" w:rsidR="00A81C4F" w:rsidRPr="005F572F" w:rsidRDefault="00A81C4F" w:rsidP="001B7ABF">
            <w:pPr>
              <w:pStyle w:val="Normal-table"/>
              <w:cnfStyle w:val="000000100000" w:firstRow="0" w:lastRow="0" w:firstColumn="0" w:lastColumn="0" w:oddVBand="0" w:evenVBand="0" w:oddHBand="1" w:evenHBand="0" w:firstRowFirstColumn="0" w:firstRowLastColumn="0" w:lastRowFirstColumn="0" w:lastRowLastColumn="0"/>
            </w:pPr>
          </w:p>
        </w:tc>
      </w:tr>
      <w:tr w:rsidR="00A81C4F" w:rsidRPr="007C3F5E" w14:paraId="0B1002CE" w14:textId="77777777" w:rsidTr="00326868">
        <w:tc>
          <w:tcPr>
            <w:cnfStyle w:val="001000000000" w:firstRow="0" w:lastRow="0" w:firstColumn="1" w:lastColumn="0" w:oddVBand="0" w:evenVBand="0" w:oddHBand="0" w:evenHBand="0" w:firstRowFirstColumn="0" w:firstRowLastColumn="0" w:lastRowFirstColumn="0" w:lastRowLastColumn="0"/>
            <w:tcW w:w="4303" w:type="pct"/>
          </w:tcPr>
          <w:p w14:paraId="60D48ED6" w14:textId="77777777" w:rsidR="00A81C4F" w:rsidRPr="005F572F" w:rsidRDefault="00A81C4F" w:rsidP="001B7ABF">
            <w:pPr>
              <w:pStyle w:val="Normal-table"/>
            </w:pPr>
            <w:r w:rsidRPr="005F572F">
              <w:t xml:space="preserve">Table 2: Summary of financial position – Assets and Liabilities </w:t>
            </w:r>
          </w:p>
        </w:tc>
        <w:tc>
          <w:tcPr>
            <w:tcW w:w="697" w:type="pct"/>
          </w:tcPr>
          <w:p w14:paraId="55788195" w14:textId="77777777" w:rsidR="00A81C4F" w:rsidRPr="005F572F" w:rsidRDefault="00A81C4F" w:rsidP="001B7ABF">
            <w:pPr>
              <w:pStyle w:val="Normal-table"/>
              <w:cnfStyle w:val="000000000000" w:firstRow="0" w:lastRow="0" w:firstColumn="0" w:lastColumn="0" w:oddVBand="0" w:evenVBand="0" w:oddHBand="0" w:evenHBand="0" w:firstRowFirstColumn="0" w:firstRowLastColumn="0" w:lastRowFirstColumn="0" w:lastRowLastColumn="0"/>
            </w:pPr>
          </w:p>
        </w:tc>
      </w:tr>
      <w:tr w:rsidR="00A81C4F" w:rsidRPr="007C3F5E" w14:paraId="58F90C58" w14:textId="77777777" w:rsidTr="00326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3" w:type="pct"/>
          </w:tcPr>
          <w:p w14:paraId="00484BDE" w14:textId="77777777" w:rsidR="00A81C4F" w:rsidRPr="005F572F" w:rsidRDefault="00A81C4F" w:rsidP="001B7ABF">
            <w:pPr>
              <w:pStyle w:val="Normal-table"/>
            </w:pPr>
            <w:r w:rsidRPr="005F572F">
              <w:t xml:space="preserve">Table 3: Key priorities and outcomes: Accessible </w:t>
            </w:r>
          </w:p>
        </w:tc>
        <w:tc>
          <w:tcPr>
            <w:tcW w:w="697" w:type="pct"/>
          </w:tcPr>
          <w:p w14:paraId="70932B82" w14:textId="77777777" w:rsidR="00A81C4F" w:rsidRPr="005F572F" w:rsidRDefault="00A81C4F" w:rsidP="001B7ABF">
            <w:pPr>
              <w:pStyle w:val="Normal-table"/>
              <w:cnfStyle w:val="000000100000" w:firstRow="0" w:lastRow="0" w:firstColumn="0" w:lastColumn="0" w:oddVBand="0" w:evenVBand="0" w:oddHBand="1" w:evenHBand="0" w:firstRowFirstColumn="0" w:firstRowLastColumn="0" w:lastRowFirstColumn="0" w:lastRowLastColumn="0"/>
            </w:pPr>
          </w:p>
        </w:tc>
      </w:tr>
      <w:tr w:rsidR="00A81C4F" w:rsidRPr="007C3F5E" w14:paraId="57659E86" w14:textId="77777777" w:rsidTr="00326868">
        <w:tc>
          <w:tcPr>
            <w:cnfStyle w:val="001000000000" w:firstRow="0" w:lastRow="0" w:firstColumn="1" w:lastColumn="0" w:oddVBand="0" w:evenVBand="0" w:oddHBand="0" w:evenHBand="0" w:firstRowFirstColumn="0" w:firstRowLastColumn="0" w:lastRowFirstColumn="0" w:lastRowLastColumn="0"/>
            <w:tcW w:w="4303" w:type="pct"/>
          </w:tcPr>
          <w:p w14:paraId="655B6668" w14:textId="77777777" w:rsidR="00A81C4F" w:rsidRPr="005F572F" w:rsidRDefault="00A81C4F" w:rsidP="001B7ABF">
            <w:pPr>
              <w:pStyle w:val="Normal-table"/>
            </w:pPr>
            <w:r w:rsidRPr="005F572F">
              <w:t xml:space="preserve">Table 4: Key priorities and outcomes: Safe </w:t>
            </w:r>
          </w:p>
        </w:tc>
        <w:tc>
          <w:tcPr>
            <w:tcW w:w="697" w:type="pct"/>
          </w:tcPr>
          <w:p w14:paraId="7E7486D5" w14:textId="77777777" w:rsidR="00A81C4F" w:rsidRPr="005F572F" w:rsidRDefault="00A81C4F" w:rsidP="001B7ABF">
            <w:pPr>
              <w:pStyle w:val="Normal-table"/>
              <w:cnfStyle w:val="000000000000" w:firstRow="0" w:lastRow="0" w:firstColumn="0" w:lastColumn="0" w:oddVBand="0" w:evenVBand="0" w:oddHBand="0" w:evenHBand="0" w:firstRowFirstColumn="0" w:firstRowLastColumn="0" w:lastRowFirstColumn="0" w:lastRowLastColumn="0"/>
            </w:pPr>
          </w:p>
        </w:tc>
      </w:tr>
      <w:tr w:rsidR="00A81C4F" w:rsidRPr="007C3F5E" w14:paraId="44E7BAC9" w14:textId="77777777" w:rsidTr="00326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3" w:type="pct"/>
          </w:tcPr>
          <w:p w14:paraId="707F7256" w14:textId="77777777" w:rsidR="00A81C4F" w:rsidRPr="005F572F" w:rsidRDefault="00A81C4F" w:rsidP="001B7ABF">
            <w:pPr>
              <w:pStyle w:val="Normal-table"/>
            </w:pPr>
            <w:r w:rsidRPr="005F572F">
              <w:t>Table 5: Key priorities and outcomes: Responsive</w:t>
            </w:r>
          </w:p>
        </w:tc>
        <w:tc>
          <w:tcPr>
            <w:tcW w:w="697" w:type="pct"/>
          </w:tcPr>
          <w:p w14:paraId="64525084" w14:textId="77777777" w:rsidR="00A81C4F" w:rsidRPr="005F572F" w:rsidRDefault="00A81C4F" w:rsidP="001B7ABF">
            <w:pPr>
              <w:pStyle w:val="Normal-table"/>
              <w:cnfStyle w:val="000000100000" w:firstRow="0" w:lastRow="0" w:firstColumn="0" w:lastColumn="0" w:oddVBand="0" w:evenVBand="0" w:oddHBand="1" w:evenHBand="0" w:firstRowFirstColumn="0" w:firstRowLastColumn="0" w:lastRowFirstColumn="0" w:lastRowLastColumn="0"/>
            </w:pPr>
          </w:p>
        </w:tc>
      </w:tr>
      <w:tr w:rsidR="00A81C4F" w:rsidRPr="007C3F5E" w14:paraId="4BB0E4E6" w14:textId="77777777" w:rsidTr="00326868">
        <w:tc>
          <w:tcPr>
            <w:cnfStyle w:val="001000000000" w:firstRow="0" w:lastRow="0" w:firstColumn="1" w:lastColumn="0" w:oddVBand="0" w:evenVBand="0" w:oddHBand="0" w:evenHBand="0" w:firstRowFirstColumn="0" w:firstRowLastColumn="0" w:lastRowFirstColumn="0" w:lastRowLastColumn="0"/>
            <w:tcW w:w="4303" w:type="pct"/>
          </w:tcPr>
          <w:p w14:paraId="08F57AE7" w14:textId="77777777" w:rsidR="00A81C4F" w:rsidRPr="005F572F" w:rsidRDefault="00A81C4F" w:rsidP="001B7ABF">
            <w:pPr>
              <w:pStyle w:val="Normal-table"/>
            </w:pPr>
            <w:r w:rsidRPr="005F572F">
              <w:t xml:space="preserve">Table 6: Key priorities and outcomes: Efficient </w:t>
            </w:r>
          </w:p>
        </w:tc>
        <w:tc>
          <w:tcPr>
            <w:tcW w:w="697" w:type="pct"/>
          </w:tcPr>
          <w:p w14:paraId="4C78A724" w14:textId="77777777" w:rsidR="00A81C4F" w:rsidRPr="005F572F" w:rsidRDefault="00A81C4F" w:rsidP="001B7ABF">
            <w:pPr>
              <w:pStyle w:val="Normal-table"/>
              <w:cnfStyle w:val="000000000000" w:firstRow="0" w:lastRow="0" w:firstColumn="0" w:lastColumn="0" w:oddVBand="0" w:evenVBand="0" w:oddHBand="0" w:evenHBand="0" w:firstRowFirstColumn="0" w:firstRowLastColumn="0" w:lastRowFirstColumn="0" w:lastRowLastColumn="0"/>
            </w:pPr>
          </w:p>
        </w:tc>
      </w:tr>
      <w:tr w:rsidR="00A81C4F" w:rsidRPr="007C3F5E" w14:paraId="7B19679A" w14:textId="77777777" w:rsidTr="00326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3" w:type="pct"/>
          </w:tcPr>
          <w:p w14:paraId="5C4A16B5" w14:textId="77777777" w:rsidR="00A81C4F" w:rsidRPr="005F572F" w:rsidRDefault="00A81C4F" w:rsidP="001B7ABF">
            <w:pPr>
              <w:pStyle w:val="Normal-table"/>
            </w:pPr>
            <w:r w:rsidRPr="005F572F">
              <w:t xml:space="preserve">Table 7: Key priorities and outcomes: Sustainable </w:t>
            </w:r>
          </w:p>
        </w:tc>
        <w:tc>
          <w:tcPr>
            <w:tcW w:w="697" w:type="pct"/>
          </w:tcPr>
          <w:p w14:paraId="2155FEB7" w14:textId="77777777" w:rsidR="00A81C4F" w:rsidRPr="005F572F" w:rsidRDefault="00A81C4F" w:rsidP="001B7ABF">
            <w:pPr>
              <w:pStyle w:val="Normal-table"/>
              <w:cnfStyle w:val="000000100000" w:firstRow="0" w:lastRow="0" w:firstColumn="0" w:lastColumn="0" w:oddVBand="0" w:evenVBand="0" w:oddHBand="1" w:evenHBand="0" w:firstRowFirstColumn="0" w:firstRowLastColumn="0" w:lastRowFirstColumn="0" w:lastRowLastColumn="0"/>
            </w:pPr>
          </w:p>
        </w:tc>
      </w:tr>
      <w:tr w:rsidR="00A81C4F" w:rsidRPr="007C3F5E" w14:paraId="62D185D8" w14:textId="77777777" w:rsidTr="00326868">
        <w:tc>
          <w:tcPr>
            <w:cnfStyle w:val="001000000000" w:firstRow="0" w:lastRow="0" w:firstColumn="1" w:lastColumn="0" w:oddVBand="0" w:evenVBand="0" w:oddHBand="0" w:evenHBand="0" w:firstRowFirstColumn="0" w:firstRowLastColumn="0" w:lastRowFirstColumn="0" w:lastRowLastColumn="0"/>
            <w:tcW w:w="4303" w:type="pct"/>
          </w:tcPr>
          <w:p w14:paraId="18A876D5" w14:textId="77777777" w:rsidR="00A81C4F" w:rsidRPr="005F572F" w:rsidRDefault="00A81C4F" w:rsidP="001B7ABF">
            <w:pPr>
              <w:pStyle w:val="Normal-table"/>
            </w:pPr>
            <w:r w:rsidRPr="005F572F">
              <w:t xml:space="preserve">Table 8: Key priorities and outcomes: Digital economic contribution </w:t>
            </w:r>
          </w:p>
        </w:tc>
        <w:tc>
          <w:tcPr>
            <w:tcW w:w="697" w:type="pct"/>
          </w:tcPr>
          <w:p w14:paraId="11E394D6" w14:textId="77777777" w:rsidR="00A81C4F" w:rsidRPr="005F572F" w:rsidRDefault="00A81C4F" w:rsidP="001B7ABF">
            <w:pPr>
              <w:pStyle w:val="Normal-table"/>
              <w:cnfStyle w:val="000000000000" w:firstRow="0" w:lastRow="0" w:firstColumn="0" w:lastColumn="0" w:oddVBand="0" w:evenVBand="0" w:oddHBand="0" w:evenHBand="0" w:firstRowFirstColumn="0" w:firstRowLastColumn="0" w:lastRowFirstColumn="0" w:lastRowLastColumn="0"/>
            </w:pPr>
          </w:p>
        </w:tc>
      </w:tr>
      <w:tr w:rsidR="00A81C4F" w:rsidRPr="007C3F5E" w14:paraId="1C369092" w14:textId="77777777" w:rsidTr="00326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3" w:type="pct"/>
          </w:tcPr>
          <w:p w14:paraId="1B08A0D6" w14:textId="77777777" w:rsidR="00A81C4F" w:rsidRPr="005F572F" w:rsidRDefault="00A81C4F" w:rsidP="001B7ABF">
            <w:pPr>
              <w:pStyle w:val="Normal-table"/>
            </w:pPr>
            <w:r w:rsidRPr="005F572F">
              <w:t xml:space="preserve">Table 9: TMR website visits and trail map brochure downloads </w:t>
            </w:r>
          </w:p>
        </w:tc>
        <w:tc>
          <w:tcPr>
            <w:tcW w:w="697" w:type="pct"/>
          </w:tcPr>
          <w:p w14:paraId="350F04C4" w14:textId="77777777" w:rsidR="00A81C4F" w:rsidRPr="005F572F" w:rsidRDefault="00A81C4F" w:rsidP="001B7ABF">
            <w:pPr>
              <w:pStyle w:val="Normal-table"/>
              <w:cnfStyle w:val="000000100000" w:firstRow="0" w:lastRow="0" w:firstColumn="0" w:lastColumn="0" w:oddVBand="0" w:evenVBand="0" w:oddHBand="1" w:evenHBand="0" w:firstRowFirstColumn="0" w:firstRowLastColumn="0" w:lastRowFirstColumn="0" w:lastRowLastColumn="0"/>
            </w:pPr>
          </w:p>
        </w:tc>
      </w:tr>
      <w:tr w:rsidR="00A81C4F" w:rsidRPr="007C3F5E" w14:paraId="593927D6" w14:textId="77777777" w:rsidTr="00326868">
        <w:tc>
          <w:tcPr>
            <w:cnfStyle w:val="001000000000" w:firstRow="0" w:lastRow="0" w:firstColumn="1" w:lastColumn="0" w:oddVBand="0" w:evenVBand="0" w:oddHBand="0" w:evenHBand="0" w:firstRowFirstColumn="0" w:firstRowLastColumn="0" w:lastRowFirstColumn="0" w:lastRowLastColumn="0"/>
            <w:tcW w:w="4303" w:type="pct"/>
          </w:tcPr>
          <w:p w14:paraId="745501CF" w14:textId="77777777" w:rsidR="00A81C4F" w:rsidRPr="005F572F" w:rsidRDefault="00A81C4F" w:rsidP="001B7ABF">
            <w:pPr>
              <w:pStyle w:val="Normal-table"/>
            </w:pPr>
            <w:r w:rsidRPr="005F572F">
              <w:t>Table 10: Workforce statistics as at 16 June 2023</w:t>
            </w:r>
          </w:p>
        </w:tc>
        <w:tc>
          <w:tcPr>
            <w:tcW w:w="697" w:type="pct"/>
          </w:tcPr>
          <w:p w14:paraId="7C335B0E" w14:textId="77777777" w:rsidR="00A81C4F" w:rsidRPr="005F572F" w:rsidRDefault="00A81C4F" w:rsidP="001B7ABF">
            <w:pPr>
              <w:pStyle w:val="Normal-table"/>
              <w:cnfStyle w:val="000000000000" w:firstRow="0" w:lastRow="0" w:firstColumn="0" w:lastColumn="0" w:oddVBand="0" w:evenVBand="0" w:oddHBand="0" w:evenHBand="0" w:firstRowFirstColumn="0" w:firstRowLastColumn="0" w:lastRowFirstColumn="0" w:lastRowLastColumn="0"/>
            </w:pPr>
          </w:p>
        </w:tc>
      </w:tr>
      <w:tr w:rsidR="00A81C4F" w:rsidRPr="007C3F5E" w14:paraId="433F5DB9" w14:textId="77777777" w:rsidTr="00326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3" w:type="pct"/>
          </w:tcPr>
          <w:p w14:paraId="00BA3169" w14:textId="77777777" w:rsidR="00A81C4F" w:rsidRPr="005F572F" w:rsidRDefault="00A81C4F" w:rsidP="001B7ABF">
            <w:pPr>
              <w:pStyle w:val="Normal-table"/>
            </w:pPr>
            <w:r w:rsidRPr="005F572F">
              <w:t xml:space="preserve">Table 11: Target </w:t>
            </w:r>
            <w:r>
              <w:t>g</w:t>
            </w:r>
            <w:r w:rsidRPr="005F572F">
              <w:t xml:space="preserve">roup </w:t>
            </w:r>
            <w:r>
              <w:t>d</w:t>
            </w:r>
            <w:r w:rsidRPr="005F572F">
              <w:t xml:space="preserve">ata </w:t>
            </w:r>
            <w:r>
              <w:t>e</w:t>
            </w:r>
            <w:r w:rsidRPr="005F572F">
              <w:t>qual employment opportunities (EEO) 16 June 2023: EEO Groups</w:t>
            </w:r>
          </w:p>
        </w:tc>
        <w:tc>
          <w:tcPr>
            <w:tcW w:w="697" w:type="pct"/>
          </w:tcPr>
          <w:p w14:paraId="02063582" w14:textId="77777777" w:rsidR="00A81C4F" w:rsidRPr="005F572F" w:rsidRDefault="00A81C4F" w:rsidP="001B7ABF">
            <w:pPr>
              <w:pStyle w:val="Normal-table"/>
              <w:cnfStyle w:val="000000100000" w:firstRow="0" w:lastRow="0" w:firstColumn="0" w:lastColumn="0" w:oddVBand="0" w:evenVBand="0" w:oddHBand="1" w:evenHBand="0" w:firstRowFirstColumn="0" w:firstRowLastColumn="0" w:lastRowFirstColumn="0" w:lastRowLastColumn="0"/>
            </w:pPr>
          </w:p>
        </w:tc>
      </w:tr>
      <w:tr w:rsidR="00A81C4F" w:rsidRPr="007C3F5E" w14:paraId="3B474F75" w14:textId="77777777" w:rsidTr="00326868">
        <w:tc>
          <w:tcPr>
            <w:cnfStyle w:val="001000000000" w:firstRow="0" w:lastRow="0" w:firstColumn="1" w:lastColumn="0" w:oddVBand="0" w:evenVBand="0" w:oddHBand="0" w:evenHBand="0" w:firstRowFirstColumn="0" w:firstRowLastColumn="0" w:lastRowFirstColumn="0" w:lastRowLastColumn="0"/>
            <w:tcW w:w="4303" w:type="pct"/>
          </w:tcPr>
          <w:p w14:paraId="70FB4899" w14:textId="77777777" w:rsidR="00A81C4F" w:rsidRPr="005F572F" w:rsidRDefault="00A81C4F" w:rsidP="001B7ABF">
            <w:pPr>
              <w:pStyle w:val="Normal-table"/>
            </w:pPr>
            <w:r w:rsidRPr="005F572F">
              <w:t xml:space="preserve">Table 12: Target </w:t>
            </w:r>
            <w:r>
              <w:t>g</w:t>
            </w:r>
            <w:r w:rsidRPr="005F572F">
              <w:t xml:space="preserve">roup </w:t>
            </w:r>
            <w:r>
              <w:t>d</w:t>
            </w:r>
            <w:r w:rsidRPr="005F572F">
              <w:t xml:space="preserve">ata </w:t>
            </w:r>
            <w:r>
              <w:t>e</w:t>
            </w:r>
            <w:r w:rsidRPr="005F572F">
              <w:t>qual employment opportunities (EEO) 16 June 2023: Gender</w:t>
            </w:r>
          </w:p>
        </w:tc>
        <w:tc>
          <w:tcPr>
            <w:tcW w:w="697" w:type="pct"/>
          </w:tcPr>
          <w:p w14:paraId="731D049F" w14:textId="77777777" w:rsidR="00A81C4F" w:rsidRPr="005F572F" w:rsidRDefault="00A81C4F" w:rsidP="001B7ABF">
            <w:pPr>
              <w:pStyle w:val="Normal-table"/>
              <w:cnfStyle w:val="000000000000" w:firstRow="0" w:lastRow="0" w:firstColumn="0" w:lastColumn="0" w:oddVBand="0" w:evenVBand="0" w:oddHBand="0" w:evenHBand="0" w:firstRowFirstColumn="0" w:firstRowLastColumn="0" w:lastRowFirstColumn="0" w:lastRowLastColumn="0"/>
            </w:pPr>
          </w:p>
        </w:tc>
      </w:tr>
      <w:tr w:rsidR="00A81C4F" w:rsidRPr="007C3F5E" w14:paraId="4B755997" w14:textId="77777777" w:rsidTr="00326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3" w:type="pct"/>
          </w:tcPr>
          <w:p w14:paraId="39C0138C" w14:textId="77777777" w:rsidR="00A81C4F" w:rsidRPr="005F572F" w:rsidRDefault="00A81C4F" w:rsidP="001B7ABF">
            <w:pPr>
              <w:pStyle w:val="Normal-table"/>
            </w:pPr>
            <w:r w:rsidRPr="005F572F">
              <w:t xml:space="preserve">Table 13: Comparative </w:t>
            </w:r>
            <w:r>
              <w:t>w</w:t>
            </w:r>
            <w:r w:rsidRPr="005F572F">
              <w:t>orkforce data as at 16 June 2023</w:t>
            </w:r>
          </w:p>
        </w:tc>
        <w:tc>
          <w:tcPr>
            <w:tcW w:w="697" w:type="pct"/>
          </w:tcPr>
          <w:p w14:paraId="18BAA5BF" w14:textId="77777777" w:rsidR="00A81C4F" w:rsidRPr="005F572F" w:rsidRDefault="00A81C4F" w:rsidP="001B7ABF">
            <w:pPr>
              <w:pStyle w:val="Normal-table"/>
              <w:cnfStyle w:val="000000100000" w:firstRow="0" w:lastRow="0" w:firstColumn="0" w:lastColumn="0" w:oddVBand="0" w:evenVBand="0" w:oddHBand="1" w:evenHBand="0" w:firstRowFirstColumn="0" w:firstRowLastColumn="0" w:lastRowFirstColumn="0" w:lastRowLastColumn="0"/>
            </w:pPr>
          </w:p>
        </w:tc>
      </w:tr>
      <w:tr w:rsidR="00A81C4F" w:rsidRPr="007C3F5E" w14:paraId="741611CA" w14:textId="77777777" w:rsidTr="00326868">
        <w:tc>
          <w:tcPr>
            <w:cnfStyle w:val="001000000000" w:firstRow="0" w:lastRow="0" w:firstColumn="1" w:lastColumn="0" w:oddVBand="0" w:evenVBand="0" w:oddHBand="0" w:evenHBand="0" w:firstRowFirstColumn="0" w:firstRowLastColumn="0" w:lastRowFirstColumn="0" w:lastRowLastColumn="0"/>
            <w:tcW w:w="4303" w:type="pct"/>
          </w:tcPr>
          <w:p w14:paraId="6FFAE173" w14:textId="77777777" w:rsidR="00A81C4F" w:rsidRPr="005F572F" w:rsidRDefault="00A81C4F" w:rsidP="001B7ABF">
            <w:pPr>
              <w:pStyle w:val="Normal-table"/>
            </w:pPr>
            <w:r w:rsidRPr="005F572F">
              <w:t>Table 14: Winners for the 2022 CUBIE awards</w:t>
            </w:r>
          </w:p>
        </w:tc>
        <w:tc>
          <w:tcPr>
            <w:tcW w:w="697" w:type="pct"/>
          </w:tcPr>
          <w:p w14:paraId="06A7F2B1" w14:textId="77777777" w:rsidR="00A81C4F" w:rsidRPr="005F572F" w:rsidRDefault="00A81C4F" w:rsidP="001B7ABF">
            <w:pPr>
              <w:pStyle w:val="Normal-table"/>
              <w:cnfStyle w:val="000000000000" w:firstRow="0" w:lastRow="0" w:firstColumn="0" w:lastColumn="0" w:oddVBand="0" w:evenVBand="0" w:oddHBand="0" w:evenHBand="0" w:firstRowFirstColumn="0" w:firstRowLastColumn="0" w:lastRowFirstColumn="0" w:lastRowLastColumn="0"/>
            </w:pPr>
          </w:p>
        </w:tc>
      </w:tr>
      <w:tr w:rsidR="00A81C4F" w:rsidRPr="007C3F5E" w14:paraId="200EF591" w14:textId="77777777" w:rsidTr="00326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3" w:type="pct"/>
          </w:tcPr>
          <w:p w14:paraId="0DB57A02" w14:textId="77777777" w:rsidR="00A81C4F" w:rsidRPr="005F572F" w:rsidRDefault="00A81C4F" w:rsidP="001B7ABF">
            <w:pPr>
              <w:pStyle w:val="Normal-table"/>
            </w:pPr>
            <w:r w:rsidRPr="005F572F">
              <w:t>Table 15: Comparison of workers' compensation claims lodged over a five</w:t>
            </w:r>
            <w:r>
              <w:t>-</w:t>
            </w:r>
            <w:r w:rsidRPr="005F572F">
              <w:t>year period</w:t>
            </w:r>
          </w:p>
        </w:tc>
        <w:tc>
          <w:tcPr>
            <w:tcW w:w="697" w:type="pct"/>
          </w:tcPr>
          <w:p w14:paraId="06164984" w14:textId="77777777" w:rsidR="00A81C4F" w:rsidRPr="005F572F" w:rsidRDefault="00A81C4F" w:rsidP="001B7ABF">
            <w:pPr>
              <w:pStyle w:val="Normal-table"/>
              <w:cnfStyle w:val="000000100000" w:firstRow="0" w:lastRow="0" w:firstColumn="0" w:lastColumn="0" w:oddVBand="0" w:evenVBand="0" w:oddHBand="1" w:evenHBand="0" w:firstRowFirstColumn="0" w:firstRowLastColumn="0" w:lastRowFirstColumn="0" w:lastRowLastColumn="0"/>
            </w:pPr>
          </w:p>
        </w:tc>
      </w:tr>
      <w:tr w:rsidR="00A81C4F" w:rsidRPr="007C3F5E" w14:paraId="533EC059" w14:textId="77777777" w:rsidTr="00326868">
        <w:tc>
          <w:tcPr>
            <w:cnfStyle w:val="001000000000" w:firstRow="0" w:lastRow="0" w:firstColumn="1" w:lastColumn="0" w:oddVBand="0" w:evenVBand="0" w:oddHBand="0" w:evenHBand="0" w:firstRowFirstColumn="0" w:firstRowLastColumn="0" w:lastRowFirstColumn="0" w:lastRowLastColumn="0"/>
            <w:tcW w:w="4303" w:type="pct"/>
          </w:tcPr>
          <w:p w14:paraId="78EF8062" w14:textId="77777777" w:rsidR="00A81C4F" w:rsidRPr="005F572F" w:rsidRDefault="00A81C4F" w:rsidP="001B7ABF">
            <w:pPr>
              <w:pStyle w:val="Normal-table"/>
            </w:pPr>
            <w:r w:rsidRPr="005F572F">
              <w:lastRenderedPageBreak/>
              <w:t>Table 16: Comparison of final return to work percentages</w:t>
            </w:r>
          </w:p>
        </w:tc>
        <w:tc>
          <w:tcPr>
            <w:tcW w:w="697" w:type="pct"/>
          </w:tcPr>
          <w:p w14:paraId="171D1F19" w14:textId="77777777" w:rsidR="00A81C4F" w:rsidRPr="005F572F" w:rsidRDefault="00A81C4F" w:rsidP="001B7ABF">
            <w:pPr>
              <w:pStyle w:val="Normal-table"/>
              <w:cnfStyle w:val="000000000000" w:firstRow="0" w:lastRow="0" w:firstColumn="0" w:lastColumn="0" w:oddVBand="0" w:evenVBand="0" w:oddHBand="0" w:evenHBand="0" w:firstRowFirstColumn="0" w:firstRowLastColumn="0" w:lastRowFirstColumn="0" w:lastRowLastColumn="0"/>
            </w:pPr>
          </w:p>
        </w:tc>
      </w:tr>
      <w:tr w:rsidR="00A81C4F" w:rsidRPr="007C3F5E" w14:paraId="28089C98" w14:textId="77777777" w:rsidTr="00326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3" w:type="pct"/>
          </w:tcPr>
          <w:p w14:paraId="2965EE00" w14:textId="77777777" w:rsidR="00A81C4F" w:rsidRPr="005F572F" w:rsidRDefault="00A81C4F" w:rsidP="001B7ABF">
            <w:pPr>
              <w:pStyle w:val="Normal-table"/>
            </w:pPr>
            <w:r w:rsidRPr="005F572F">
              <w:t xml:space="preserve">Table 17: Complaints received </w:t>
            </w:r>
          </w:p>
        </w:tc>
        <w:tc>
          <w:tcPr>
            <w:tcW w:w="697" w:type="pct"/>
          </w:tcPr>
          <w:p w14:paraId="46683D68" w14:textId="77777777" w:rsidR="00A81C4F" w:rsidRPr="005F572F" w:rsidRDefault="00A81C4F" w:rsidP="001B7ABF">
            <w:pPr>
              <w:pStyle w:val="Normal-table"/>
              <w:cnfStyle w:val="000000100000" w:firstRow="0" w:lastRow="0" w:firstColumn="0" w:lastColumn="0" w:oddVBand="0" w:evenVBand="0" w:oddHBand="1" w:evenHBand="0" w:firstRowFirstColumn="0" w:firstRowLastColumn="0" w:lastRowFirstColumn="0" w:lastRowLastColumn="0"/>
            </w:pPr>
          </w:p>
        </w:tc>
      </w:tr>
      <w:tr w:rsidR="00A81C4F" w:rsidRPr="007C3F5E" w14:paraId="436E099A" w14:textId="77777777" w:rsidTr="00326868">
        <w:tc>
          <w:tcPr>
            <w:cnfStyle w:val="001000000000" w:firstRow="0" w:lastRow="0" w:firstColumn="1" w:lastColumn="0" w:oddVBand="0" w:evenVBand="0" w:oddHBand="0" w:evenHBand="0" w:firstRowFirstColumn="0" w:firstRowLastColumn="0" w:lastRowFirstColumn="0" w:lastRowLastColumn="0"/>
            <w:tcW w:w="4303" w:type="pct"/>
          </w:tcPr>
          <w:p w14:paraId="6D6C3694" w14:textId="77777777" w:rsidR="00A81C4F" w:rsidRPr="005F572F" w:rsidRDefault="00A81C4F" w:rsidP="001B7ABF">
            <w:pPr>
              <w:pStyle w:val="Normal-table"/>
            </w:pPr>
            <w:r w:rsidRPr="005F572F">
              <w:t xml:space="preserve">Table 18: </w:t>
            </w:r>
            <w:r>
              <w:t>TMR</w:t>
            </w:r>
            <w:r w:rsidRPr="005F572F">
              <w:t xml:space="preserve"> addressable spend with Aboriginal and Torres Strait Islander, Regional</w:t>
            </w:r>
            <w:r>
              <w:t>,</w:t>
            </w:r>
            <w:r w:rsidRPr="005F572F">
              <w:t xml:space="preserve"> and Queensland vendors by financial year</w:t>
            </w:r>
          </w:p>
        </w:tc>
        <w:tc>
          <w:tcPr>
            <w:tcW w:w="697" w:type="pct"/>
          </w:tcPr>
          <w:p w14:paraId="6B76B0EB" w14:textId="77777777" w:rsidR="00A81C4F" w:rsidRPr="005F572F" w:rsidRDefault="00A81C4F" w:rsidP="001B7ABF">
            <w:pPr>
              <w:pStyle w:val="Normal-table"/>
              <w:cnfStyle w:val="000000000000" w:firstRow="0" w:lastRow="0" w:firstColumn="0" w:lastColumn="0" w:oddVBand="0" w:evenVBand="0" w:oddHBand="0" w:evenHBand="0" w:firstRowFirstColumn="0" w:firstRowLastColumn="0" w:lastRowFirstColumn="0" w:lastRowLastColumn="0"/>
            </w:pPr>
          </w:p>
        </w:tc>
      </w:tr>
      <w:tr w:rsidR="00A81C4F" w:rsidRPr="007C3F5E" w14:paraId="7F70F267" w14:textId="77777777" w:rsidTr="00326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3" w:type="pct"/>
          </w:tcPr>
          <w:p w14:paraId="6F7337E0" w14:textId="77777777" w:rsidR="00A81C4F" w:rsidRPr="005F572F" w:rsidRDefault="00A81C4F" w:rsidP="001B7ABF">
            <w:pPr>
              <w:pStyle w:val="Normal-table"/>
            </w:pPr>
            <w:r>
              <w:t>Table 19: Transport System Investment Planning and Programming effectiveness measures</w:t>
            </w:r>
          </w:p>
        </w:tc>
        <w:tc>
          <w:tcPr>
            <w:tcW w:w="697" w:type="pct"/>
          </w:tcPr>
          <w:p w14:paraId="323391E6" w14:textId="77777777" w:rsidR="00A81C4F" w:rsidRPr="005F572F" w:rsidRDefault="00A81C4F" w:rsidP="001B7ABF">
            <w:pPr>
              <w:pStyle w:val="Normal-table"/>
              <w:cnfStyle w:val="000000100000" w:firstRow="0" w:lastRow="0" w:firstColumn="0" w:lastColumn="0" w:oddVBand="0" w:evenVBand="0" w:oddHBand="1" w:evenHBand="0" w:firstRowFirstColumn="0" w:firstRowLastColumn="0" w:lastRowFirstColumn="0" w:lastRowLastColumn="0"/>
            </w:pPr>
          </w:p>
        </w:tc>
      </w:tr>
      <w:tr w:rsidR="00A81C4F" w:rsidRPr="007C3F5E" w14:paraId="73B3BADE" w14:textId="77777777" w:rsidTr="00326868">
        <w:tc>
          <w:tcPr>
            <w:cnfStyle w:val="001000000000" w:firstRow="0" w:lastRow="0" w:firstColumn="1" w:lastColumn="0" w:oddVBand="0" w:evenVBand="0" w:oddHBand="0" w:evenHBand="0" w:firstRowFirstColumn="0" w:firstRowLastColumn="0" w:lastRowFirstColumn="0" w:lastRowLastColumn="0"/>
            <w:tcW w:w="4303" w:type="pct"/>
          </w:tcPr>
          <w:p w14:paraId="2B104F0F" w14:textId="77777777" w:rsidR="00A81C4F" w:rsidRPr="005F572F" w:rsidRDefault="00A81C4F" w:rsidP="001B7ABF">
            <w:pPr>
              <w:pStyle w:val="Normal-table"/>
            </w:pPr>
            <w:r>
              <w:t>Table 20: Transport System Investment Planning and Programming efficiency measure</w:t>
            </w:r>
          </w:p>
        </w:tc>
        <w:tc>
          <w:tcPr>
            <w:tcW w:w="697" w:type="pct"/>
          </w:tcPr>
          <w:p w14:paraId="2BB5ACD2" w14:textId="77777777" w:rsidR="00A81C4F" w:rsidRPr="005F572F" w:rsidRDefault="00A81C4F" w:rsidP="001B7ABF">
            <w:pPr>
              <w:pStyle w:val="Normal-table"/>
              <w:cnfStyle w:val="000000000000" w:firstRow="0" w:lastRow="0" w:firstColumn="0" w:lastColumn="0" w:oddVBand="0" w:evenVBand="0" w:oddHBand="0" w:evenHBand="0" w:firstRowFirstColumn="0" w:firstRowLastColumn="0" w:lastRowFirstColumn="0" w:lastRowLastColumn="0"/>
            </w:pPr>
          </w:p>
        </w:tc>
      </w:tr>
      <w:tr w:rsidR="00A81C4F" w:rsidRPr="007C3F5E" w14:paraId="33536601" w14:textId="77777777" w:rsidTr="00326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3" w:type="pct"/>
          </w:tcPr>
          <w:p w14:paraId="5114DAE5" w14:textId="77777777" w:rsidR="00A81C4F" w:rsidRPr="005F572F" w:rsidRDefault="00A81C4F" w:rsidP="001B7ABF">
            <w:pPr>
              <w:pStyle w:val="Normal-table"/>
            </w:pPr>
            <w:r>
              <w:t xml:space="preserve">Table 21: Transport Infrastructure Measurement effectiveness measures: South East Queensland road network efficiency—average travel time (minutes) per 10 kilometres </w:t>
            </w:r>
          </w:p>
        </w:tc>
        <w:tc>
          <w:tcPr>
            <w:tcW w:w="697" w:type="pct"/>
          </w:tcPr>
          <w:p w14:paraId="281E73F6" w14:textId="77777777" w:rsidR="00A81C4F" w:rsidRPr="005F572F" w:rsidRDefault="00A81C4F" w:rsidP="001B7ABF">
            <w:pPr>
              <w:pStyle w:val="Normal-table"/>
              <w:cnfStyle w:val="000000100000" w:firstRow="0" w:lastRow="0" w:firstColumn="0" w:lastColumn="0" w:oddVBand="0" w:evenVBand="0" w:oddHBand="1" w:evenHBand="0" w:firstRowFirstColumn="0" w:firstRowLastColumn="0" w:lastRowFirstColumn="0" w:lastRowLastColumn="0"/>
            </w:pPr>
          </w:p>
        </w:tc>
      </w:tr>
      <w:tr w:rsidR="00A81C4F" w:rsidRPr="007C3F5E" w14:paraId="69CDE924" w14:textId="77777777" w:rsidTr="00326868">
        <w:tc>
          <w:tcPr>
            <w:cnfStyle w:val="001000000000" w:firstRow="0" w:lastRow="0" w:firstColumn="1" w:lastColumn="0" w:oddVBand="0" w:evenVBand="0" w:oddHBand="0" w:evenHBand="0" w:firstRowFirstColumn="0" w:firstRowLastColumn="0" w:lastRowFirstColumn="0" w:lastRowLastColumn="0"/>
            <w:tcW w:w="4303" w:type="pct"/>
          </w:tcPr>
          <w:p w14:paraId="217D12B3" w14:textId="77777777" w:rsidR="00A81C4F" w:rsidRPr="005F572F" w:rsidRDefault="00A81C4F" w:rsidP="001B7ABF">
            <w:pPr>
              <w:pStyle w:val="Normal-table"/>
            </w:pPr>
            <w:r>
              <w:t>Table 22: Transport Infrastructure Management effectiveness measures: South East Queensland road network reliability—percentage of the road network with reliable travel times</w:t>
            </w:r>
          </w:p>
        </w:tc>
        <w:tc>
          <w:tcPr>
            <w:tcW w:w="697" w:type="pct"/>
          </w:tcPr>
          <w:p w14:paraId="56432ACD" w14:textId="77777777" w:rsidR="00A81C4F" w:rsidRPr="005F572F" w:rsidRDefault="00A81C4F" w:rsidP="001B7ABF">
            <w:pPr>
              <w:pStyle w:val="Normal-table"/>
              <w:cnfStyle w:val="000000000000" w:firstRow="0" w:lastRow="0" w:firstColumn="0" w:lastColumn="0" w:oddVBand="0" w:evenVBand="0" w:oddHBand="0" w:evenHBand="0" w:firstRowFirstColumn="0" w:firstRowLastColumn="0" w:lastRowFirstColumn="0" w:lastRowLastColumn="0"/>
            </w:pPr>
          </w:p>
        </w:tc>
      </w:tr>
      <w:tr w:rsidR="00A81C4F" w:rsidRPr="007C3F5E" w14:paraId="07DFF989" w14:textId="77777777" w:rsidTr="00326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3" w:type="pct"/>
          </w:tcPr>
          <w:p w14:paraId="1B75EEC9" w14:textId="77777777" w:rsidR="00A81C4F" w:rsidRPr="005F572F" w:rsidRDefault="00A81C4F" w:rsidP="001B7ABF">
            <w:pPr>
              <w:pStyle w:val="Normal-table"/>
            </w:pPr>
            <w:r>
              <w:t>Table 23: Transport Infrastructure Management effectiveness measures: South East Queensland road network productivity—percentage of the road network with good productivity</w:t>
            </w:r>
          </w:p>
        </w:tc>
        <w:tc>
          <w:tcPr>
            <w:tcW w:w="697" w:type="pct"/>
          </w:tcPr>
          <w:p w14:paraId="16564D4B" w14:textId="77777777" w:rsidR="00A81C4F" w:rsidRPr="005F572F" w:rsidRDefault="00A81C4F" w:rsidP="001B7ABF">
            <w:pPr>
              <w:pStyle w:val="Normal-table"/>
              <w:cnfStyle w:val="000000100000" w:firstRow="0" w:lastRow="0" w:firstColumn="0" w:lastColumn="0" w:oddVBand="0" w:evenVBand="0" w:oddHBand="1" w:evenHBand="0" w:firstRowFirstColumn="0" w:firstRowLastColumn="0" w:lastRowFirstColumn="0" w:lastRowLastColumn="0"/>
            </w:pPr>
          </w:p>
        </w:tc>
      </w:tr>
      <w:tr w:rsidR="00A81C4F" w:rsidRPr="007C3F5E" w14:paraId="73866EFF" w14:textId="77777777" w:rsidTr="00326868">
        <w:tc>
          <w:tcPr>
            <w:cnfStyle w:val="001000000000" w:firstRow="0" w:lastRow="0" w:firstColumn="1" w:lastColumn="0" w:oddVBand="0" w:evenVBand="0" w:oddHBand="0" w:evenHBand="0" w:firstRowFirstColumn="0" w:firstRowLastColumn="0" w:lastRowFirstColumn="0" w:lastRowLastColumn="0"/>
            <w:tcW w:w="4303" w:type="pct"/>
          </w:tcPr>
          <w:p w14:paraId="3674B498" w14:textId="77777777" w:rsidR="00A81C4F" w:rsidRPr="005F572F" w:rsidRDefault="00A81C4F" w:rsidP="001B7ABF">
            <w:pPr>
              <w:pStyle w:val="Normal-table"/>
            </w:pPr>
            <w:r>
              <w:t>Table 24: Transport Infrastructure Management effectiveness measures: South East Queensland arterial intersection performance—percentage of intersections congested les than 20 minutes per hour</w:t>
            </w:r>
          </w:p>
        </w:tc>
        <w:tc>
          <w:tcPr>
            <w:tcW w:w="697" w:type="pct"/>
          </w:tcPr>
          <w:p w14:paraId="3640EB0F" w14:textId="77777777" w:rsidR="00A81C4F" w:rsidRPr="005F572F" w:rsidRDefault="00A81C4F" w:rsidP="001B7ABF">
            <w:pPr>
              <w:pStyle w:val="Normal-table"/>
              <w:cnfStyle w:val="000000000000" w:firstRow="0" w:lastRow="0" w:firstColumn="0" w:lastColumn="0" w:oddVBand="0" w:evenVBand="0" w:oddHBand="0" w:evenHBand="0" w:firstRowFirstColumn="0" w:firstRowLastColumn="0" w:lastRowFirstColumn="0" w:lastRowLastColumn="0"/>
            </w:pPr>
          </w:p>
        </w:tc>
      </w:tr>
      <w:tr w:rsidR="00A81C4F" w:rsidRPr="007C3F5E" w14:paraId="29D44BA5" w14:textId="77777777" w:rsidTr="00326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3" w:type="pct"/>
          </w:tcPr>
          <w:p w14:paraId="075D1098" w14:textId="77777777" w:rsidR="00A81C4F" w:rsidRPr="005F572F" w:rsidRDefault="00A81C4F" w:rsidP="001B7ABF">
            <w:pPr>
              <w:pStyle w:val="Normal-table"/>
            </w:pPr>
            <w:r>
              <w:t xml:space="preserve">Table 25: Transport Infrastructure Management efficiency measure </w:t>
            </w:r>
          </w:p>
        </w:tc>
        <w:tc>
          <w:tcPr>
            <w:tcW w:w="697" w:type="pct"/>
          </w:tcPr>
          <w:p w14:paraId="185256B0" w14:textId="77777777" w:rsidR="00A81C4F" w:rsidRPr="005F572F" w:rsidRDefault="00A81C4F" w:rsidP="001B7ABF">
            <w:pPr>
              <w:pStyle w:val="Normal-table"/>
              <w:cnfStyle w:val="000000100000" w:firstRow="0" w:lastRow="0" w:firstColumn="0" w:lastColumn="0" w:oddVBand="0" w:evenVBand="0" w:oddHBand="1" w:evenHBand="0" w:firstRowFirstColumn="0" w:firstRowLastColumn="0" w:lastRowFirstColumn="0" w:lastRowLastColumn="0"/>
            </w:pPr>
          </w:p>
        </w:tc>
      </w:tr>
      <w:tr w:rsidR="00A81C4F" w:rsidRPr="007C3F5E" w14:paraId="1B57830F" w14:textId="77777777" w:rsidTr="00326868">
        <w:tc>
          <w:tcPr>
            <w:cnfStyle w:val="001000000000" w:firstRow="0" w:lastRow="0" w:firstColumn="1" w:lastColumn="0" w:oddVBand="0" w:evenVBand="0" w:oddHBand="0" w:evenHBand="0" w:firstRowFirstColumn="0" w:firstRowLastColumn="0" w:lastRowFirstColumn="0" w:lastRowLastColumn="0"/>
            <w:tcW w:w="4303" w:type="pct"/>
          </w:tcPr>
          <w:p w14:paraId="5066CB23" w14:textId="77777777" w:rsidR="00A81C4F" w:rsidRPr="005F572F" w:rsidRDefault="00A81C4F" w:rsidP="001B7ABF">
            <w:pPr>
              <w:pStyle w:val="Normal-table"/>
            </w:pPr>
            <w:r>
              <w:t>Table 26: Transport Infrastructure Delivery effectiveness measure</w:t>
            </w:r>
          </w:p>
        </w:tc>
        <w:tc>
          <w:tcPr>
            <w:tcW w:w="697" w:type="pct"/>
          </w:tcPr>
          <w:p w14:paraId="128BE186" w14:textId="77777777" w:rsidR="00A81C4F" w:rsidRPr="005F572F" w:rsidRDefault="00A81C4F" w:rsidP="001B7ABF">
            <w:pPr>
              <w:pStyle w:val="Normal-table"/>
              <w:cnfStyle w:val="000000000000" w:firstRow="0" w:lastRow="0" w:firstColumn="0" w:lastColumn="0" w:oddVBand="0" w:evenVBand="0" w:oddHBand="0" w:evenHBand="0" w:firstRowFirstColumn="0" w:firstRowLastColumn="0" w:lastRowFirstColumn="0" w:lastRowLastColumn="0"/>
            </w:pPr>
          </w:p>
        </w:tc>
      </w:tr>
      <w:tr w:rsidR="00A81C4F" w:rsidRPr="007C3F5E" w14:paraId="02894FB5" w14:textId="77777777" w:rsidTr="00326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3" w:type="pct"/>
          </w:tcPr>
          <w:p w14:paraId="074BA4D4" w14:textId="77777777" w:rsidR="00A81C4F" w:rsidRPr="005F572F" w:rsidRDefault="00A81C4F" w:rsidP="001B7ABF">
            <w:pPr>
              <w:pStyle w:val="Normal-table"/>
            </w:pPr>
            <w:r>
              <w:t>Table 27: Transport Infrastructure Delivery efficiency measure</w:t>
            </w:r>
          </w:p>
        </w:tc>
        <w:tc>
          <w:tcPr>
            <w:tcW w:w="697" w:type="pct"/>
          </w:tcPr>
          <w:p w14:paraId="7BFF0C57" w14:textId="77777777" w:rsidR="00A81C4F" w:rsidRPr="005F572F" w:rsidRDefault="00A81C4F" w:rsidP="001B7ABF">
            <w:pPr>
              <w:pStyle w:val="Normal-table"/>
              <w:cnfStyle w:val="000000100000" w:firstRow="0" w:lastRow="0" w:firstColumn="0" w:lastColumn="0" w:oddVBand="0" w:evenVBand="0" w:oddHBand="1" w:evenHBand="0" w:firstRowFirstColumn="0" w:firstRowLastColumn="0" w:lastRowFirstColumn="0" w:lastRowLastColumn="0"/>
            </w:pPr>
          </w:p>
        </w:tc>
      </w:tr>
      <w:tr w:rsidR="00A81C4F" w:rsidRPr="007C3F5E" w14:paraId="0B129BD5" w14:textId="77777777" w:rsidTr="00326868">
        <w:tc>
          <w:tcPr>
            <w:cnfStyle w:val="001000000000" w:firstRow="0" w:lastRow="0" w:firstColumn="1" w:lastColumn="0" w:oddVBand="0" w:evenVBand="0" w:oddHBand="0" w:evenHBand="0" w:firstRowFirstColumn="0" w:firstRowLastColumn="0" w:lastRowFirstColumn="0" w:lastRowLastColumn="0"/>
            <w:tcW w:w="4303" w:type="pct"/>
          </w:tcPr>
          <w:p w14:paraId="68C38E05" w14:textId="77777777" w:rsidR="00A81C4F" w:rsidRPr="005F572F" w:rsidRDefault="00A81C4F" w:rsidP="001B7ABF">
            <w:pPr>
              <w:pStyle w:val="Normal-table"/>
            </w:pPr>
            <w:r>
              <w:t>Table 28: Transport Safety and Regulation effectiveness measures</w:t>
            </w:r>
          </w:p>
        </w:tc>
        <w:tc>
          <w:tcPr>
            <w:tcW w:w="697" w:type="pct"/>
          </w:tcPr>
          <w:p w14:paraId="312C49A9" w14:textId="77777777" w:rsidR="00A81C4F" w:rsidRPr="005F572F" w:rsidRDefault="00A81C4F" w:rsidP="001B7ABF">
            <w:pPr>
              <w:pStyle w:val="Normal-table"/>
              <w:cnfStyle w:val="000000000000" w:firstRow="0" w:lastRow="0" w:firstColumn="0" w:lastColumn="0" w:oddVBand="0" w:evenVBand="0" w:oddHBand="0" w:evenHBand="0" w:firstRowFirstColumn="0" w:firstRowLastColumn="0" w:lastRowFirstColumn="0" w:lastRowLastColumn="0"/>
            </w:pPr>
          </w:p>
        </w:tc>
      </w:tr>
      <w:tr w:rsidR="00A81C4F" w:rsidRPr="007C3F5E" w14:paraId="061BEA26" w14:textId="77777777" w:rsidTr="00326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3" w:type="pct"/>
          </w:tcPr>
          <w:p w14:paraId="63F10023" w14:textId="77777777" w:rsidR="00A81C4F" w:rsidRPr="005F572F" w:rsidRDefault="00A81C4F" w:rsidP="001B7ABF">
            <w:pPr>
              <w:pStyle w:val="Normal-table"/>
            </w:pPr>
            <w:r>
              <w:t>Table 29: Transport Safety and Regulation effectiveness measures—percentage of vessel movements without serious incidents</w:t>
            </w:r>
          </w:p>
        </w:tc>
        <w:tc>
          <w:tcPr>
            <w:tcW w:w="697" w:type="pct"/>
          </w:tcPr>
          <w:p w14:paraId="2F9F1CAD" w14:textId="77777777" w:rsidR="00A81C4F" w:rsidRPr="005F572F" w:rsidRDefault="00A81C4F" w:rsidP="001B7ABF">
            <w:pPr>
              <w:pStyle w:val="Normal-table"/>
              <w:cnfStyle w:val="000000100000" w:firstRow="0" w:lastRow="0" w:firstColumn="0" w:lastColumn="0" w:oddVBand="0" w:evenVBand="0" w:oddHBand="1" w:evenHBand="0" w:firstRowFirstColumn="0" w:firstRowLastColumn="0" w:lastRowFirstColumn="0" w:lastRowLastColumn="0"/>
            </w:pPr>
          </w:p>
        </w:tc>
      </w:tr>
      <w:tr w:rsidR="00A81C4F" w:rsidRPr="007C3F5E" w14:paraId="1966C200" w14:textId="77777777" w:rsidTr="00326868">
        <w:tc>
          <w:tcPr>
            <w:cnfStyle w:val="001000000000" w:firstRow="0" w:lastRow="0" w:firstColumn="1" w:lastColumn="0" w:oddVBand="0" w:evenVBand="0" w:oddHBand="0" w:evenHBand="0" w:firstRowFirstColumn="0" w:firstRowLastColumn="0" w:lastRowFirstColumn="0" w:lastRowLastColumn="0"/>
            <w:tcW w:w="4303" w:type="pct"/>
          </w:tcPr>
          <w:p w14:paraId="77F26A59" w14:textId="77777777" w:rsidR="00A81C4F" w:rsidRPr="005F572F" w:rsidRDefault="00A81C4F" w:rsidP="001B7ABF">
            <w:pPr>
              <w:pStyle w:val="Normal-table"/>
            </w:pPr>
            <w:r>
              <w:t>Table 30: Transport Safety and Regulation efficiency measure</w:t>
            </w:r>
          </w:p>
        </w:tc>
        <w:tc>
          <w:tcPr>
            <w:tcW w:w="697" w:type="pct"/>
          </w:tcPr>
          <w:p w14:paraId="29E6E187" w14:textId="77777777" w:rsidR="00A81C4F" w:rsidRPr="005F572F" w:rsidRDefault="00A81C4F" w:rsidP="001B7ABF">
            <w:pPr>
              <w:pStyle w:val="Normal-table"/>
              <w:cnfStyle w:val="000000000000" w:firstRow="0" w:lastRow="0" w:firstColumn="0" w:lastColumn="0" w:oddVBand="0" w:evenVBand="0" w:oddHBand="0" w:evenHBand="0" w:firstRowFirstColumn="0" w:firstRowLastColumn="0" w:lastRowFirstColumn="0" w:lastRowLastColumn="0"/>
            </w:pPr>
          </w:p>
        </w:tc>
      </w:tr>
      <w:tr w:rsidR="00A81C4F" w:rsidRPr="007C3F5E" w14:paraId="033B7A08" w14:textId="77777777" w:rsidTr="00326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3" w:type="pct"/>
          </w:tcPr>
          <w:p w14:paraId="162D3832" w14:textId="77777777" w:rsidR="00A81C4F" w:rsidRPr="005F572F" w:rsidRDefault="00A81C4F" w:rsidP="001B7ABF">
            <w:pPr>
              <w:pStyle w:val="Normal-table"/>
            </w:pPr>
            <w:r>
              <w:t>Table 31: Customer Experience effectiveness measures</w:t>
            </w:r>
          </w:p>
        </w:tc>
        <w:tc>
          <w:tcPr>
            <w:tcW w:w="697" w:type="pct"/>
          </w:tcPr>
          <w:p w14:paraId="5FD1807F" w14:textId="77777777" w:rsidR="00A81C4F" w:rsidRPr="005F572F" w:rsidRDefault="00A81C4F" w:rsidP="001B7ABF">
            <w:pPr>
              <w:pStyle w:val="Normal-table"/>
              <w:cnfStyle w:val="000000100000" w:firstRow="0" w:lastRow="0" w:firstColumn="0" w:lastColumn="0" w:oddVBand="0" w:evenVBand="0" w:oddHBand="1" w:evenHBand="0" w:firstRowFirstColumn="0" w:firstRowLastColumn="0" w:lastRowFirstColumn="0" w:lastRowLastColumn="0"/>
            </w:pPr>
          </w:p>
        </w:tc>
      </w:tr>
      <w:tr w:rsidR="00A81C4F" w:rsidRPr="007C3F5E" w14:paraId="66A01D92" w14:textId="77777777" w:rsidTr="00326868">
        <w:tc>
          <w:tcPr>
            <w:cnfStyle w:val="001000000000" w:firstRow="0" w:lastRow="0" w:firstColumn="1" w:lastColumn="0" w:oddVBand="0" w:evenVBand="0" w:oddHBand="0" w:evenHBand="0" w:firstRowFirstColumn="0" w:firstRowLastColumn="0" w:lastRowFirstColumn="0" w:lastRowLastColumn="0"/>
            <w:tcW w:w="4303" w:type="pct"/>
          </w:tcPr>
          <w:p w14:paraId="1BC53BFB" w14:textId="77777777" w:rsidR="00A81C4F" w:rsidRPr="005F572F" w:rsidRDefault="00A81C4F" w:rsidP="001B7ABF">
            <w:pPr>
              <w:pStyle w:val="Normal-table"/>
            </w:pPr>
            <w:r>
              <w:t>Table 32: Customer Experience effectiveness measures—customer experience ratings of passenger transport service by type (on a scale of 1 to 5)</w:t>
            </w:r>
          </w:p>
        </w:tc>
        <w:tc>
          <w:tcPr>
            <w:tcW w:w="697" w:type="pct"/>
          </w:tcPr>
          <w:p w14:paraId="789AD311" w14:textId="77777777" w:rsidR="00A81C4F" w:rsidRPr="005F572F" w:rsidRDefault="00A81C4F" w:rsidP="001B7ABF">
            <w:pPr>
              <w:pStyle w:val="Normal-table"/>
              <w:cnfStyle w:val="000000000000" w:firstRow="0" w:lastRow="0" w:firstColumn="0" w:lastColumn="0" w:oddVBand="0" w:evenVBand="0" w:oddHBand="0" w:evenHBand="0" w:firstRowFirstColumn="0" w:firstRowLastColumn="0" w:lastRowFirstColumn="0" w:lastRowLastColumn="0"/>
            </w:pPr>
          </w:p>
        </w:tc>
      </w:tr>
      <w:tr w:rsidR="00A81C4F" w:rsidRPr="007C3F5E" w14:paraId="24A5D97E" w14:textId="77777777" w:rsidTr="00326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3" w:type="pct"/>
          </w:tcPr>
          <w:p w14:paraId="279B678C" w14:textId="77777777" w:rsidR="00A81C4F" w:rsidRPr="005F572F" w:rsidRDefault="00A81C4F" w:rsidP="001B7ABF">
            <w:pPr>
              <w:pStyle w:val="Normal-table"/>
            </w:pPr>
            <w:r>
              <w:t>Table 33: Customer Experience efficiency measures</w:t>
            </w:r>
          </w:p>
        </w:tc>
        <w:tc>
          <w:tcPr>
            <w:tcW w:w="697" w:type="pct"/>
          </w:tcPr>
          <w:p w14:paraId="0FE022DB" w14:textId="77777777" w:rsidR="00A81C4F" w:rsidRPr="005F572F" w:rsidRDefault="00A81C4F" w:rsidP="001B7ABF">
            <w:pPr>
              <w:pStyle w:val="Normal-table"/>
              <w:cnfStyle w:val="000000100000" w:firstRow="0" w:lastRow="0" w:firstColumn="0" w:lastColumn="0" w:oddVBand="0" w:evenVBand="0" w:oddHBand="1" w:evenHBand="0" w:firstRowFirstColumn="0" w:firstRowLastColumn="0" w:lastRowFirstColumn="0" w:lastRowLastColumn="0"/>
            </w:pPr>
          </w:p>
        </w:tc>
      </w:tr>
      <w:tr w:rsidR="00A81C4F" w:rsidRPr="007C3F5E" w14:paraId="70056FC5" w14:textId="77777777" w:rsidTr="00326868">
        <w:tc>
          <w:tcPr>
            <w:cnfStyle w:val="001000000000" w:firstRow="0" w:lastRow="0" w:firstColumn="1" w:lastColumn="0" w:oddVBand="0" w:evenVBand="0" w:oddHBand="0" w:evenHBand="0" w:firstRowFirstColumn="0" w:firstRowLastColumn="0" w:lastRowFirstColumn="0" w:lastRowLastColumn="0"/>
            <w:tcW w:w="4303" w:type="pct"/>
          </w:tcPr>
          <w:p w14:paraId="09957784" w14:textId="77777777" w:rsidR="00A81C4F" w:rsidRPr="005F572F" w:rsidRDefault="00A81C4F" w:rsidP="001B7ABF">
            <w:pPr>
              <w:pStyle w:val="Normal-table"/>
            </w:pPr>
            <w:r>
              <w:t>Table 34: Passenger Transport Services effectiveness measures: Patronage on government contracted services (millions)—South East Queensland</w:t>
            </w:r>
          </w:p>
        </w:tc>
        <w:tc>
          <w:tcPr>
            <w:tcW w:w="697" w:type="pct"/>
          </w:tcPr>
          <w:p w14:paraId="4616B408" w14:textId="77777777" w:rsidR="00A81C4F" w:rsidRPr="005F572F" w:rsidRDefault="00A81C4F" w:rsidP="001B7ABF">
            <w:pPr>
              <w:pStyle w:val="Normal-table"/>
              <w:cnfStyle w:val="000000000000" w:firstRow="0" w:lastRow="0" w:firstColumn="0" w:lastColumn="0" w:oddVBand="0" w:evenVBand="0" w:oddHBand="0" w:evenHBand="0" w:firstRowFirstColumn="0" w:firstRowLastColumn="0" w:lastRowFirstColumn="0" w:lastRowLastColumn="0"/>
            </w:pPr>
          </w:p>
        </w:tc>
      </w:tr>
      <w:tr w:rsidR="00A81C4F" w:rsidRPr="007C3F5E" w14:paraId="7CED7490" w14:textId="77777777" w:rsidTr="00326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3" w:type="pct"/>
          </w:tcPr>
          <w:p w14:paraId="1B9DC2BE" w14:textId="77777777" w:rsidR="00A81C4F" w:rsidRPr="005F572F" w:rsidRDefault="00A81C4F" w:rsidP="001B7ABF">
            <w:pPr>
              <w:pStyle w:val="Normal-table"/>
            </w:pPr>
            <w:r>
              <w:t>Table 35: Passenger Transport Services effectiveness measures: Patronage on government contracted services (millions)—Rest of Queensland</w:t>
            </w:r>
          </w:p>
        </w:tc>
        <w:tc>
          <w:tcPr>
            <w:tcW w:w="697" w:type="pct"/>
          </w:tcPr>
          <w:p w14:paraId="0E44B557" w14:textId="77777777" w:rsidR="00A81C4F" w:rsidRPr="005F572F" w:rsidRDefault="00A81C4F" w:rsidP="001B7ABF">
            <w:pPr>
              <w:pStyle w:val="Normal-table"/>
              <w:cnfStyle w:val="000000100000" w:firstRow="0" w:lastRow="0" w:firstColumn="0" w:lastColumn="0" w:oddVBand="0" w:evenVBand="0" w:oddHBand="1" w:evenHBand="0" w:firstRowFirstColumn="0" w:firstRowLastColumn="0" w:lastRowFirstColumn="0" w:lastRowLastColumn="0"/>
            </w:pPr>
          </w:p>
        </w:tc>
      </w:tr>
      <w:tr w:rsidR="00A81C4F" w:rsidRPr="007C3F5E" w14:paraId="15C73022" w14:textId="77777777" w:rsidTr="00326868">
        <w:tc>
          <w:tcPr>
            <w:cnfStyle w:val="001000000000" w:firstRow="0" w:lastRow="0" w:firstColumn="1" w:lastColumn="0" w:oddVBand="0" w:evenVBand="0" w:oddHBand="0" w:evenHBand="0" w:firstRowFirstColumn="0" w:firstRowLastColumn="0" w:lastRowFirstColumn="0" w:lastRowLastColumn="0"/>
            <w:tcW w:w="4303" w:type="pct"/>
          </w:tcPr>
          <w:p w14:paraId="3C9DADBA" w14:textId="77777777" w:rsidR="00A81C4F" w:rsidRPr="005F572F" w:rsidRDefault="00A81C4F" w:rsidP="001B7ABF">
            <w:pPr>
              <w:pStyle w:val="Normal-table"/>
            </w:pPr>
            <w:r>
              <w:t>Table 36: Passenger Transport Services effectiveness measures—Citytrain</w:t>
            </w:r>
          </w:p>
        </w:tc>
        <w:tc>
          <w:tcPr>
            <w:tcW w:w="697" w:type="pct"/>
          </w:tcPr>
          <w:p w14:paraId="081E8454" w14:textId="77777777" w:rsidR="00A81C4F" w:rsidRPr="005F572F" w:rsidRDefault="00A81C4F" w:rsidP="001B7ABF">
            <w:pPr>
              <w:pStyle w:val="Normal-table"/>
              <w:cnfStyle w:val="000000000000" w:firstRow="0" w:lastRow="0" w:firstColumn="0" w:lastColumn="0" w:oddVBand="0" w:evenVBand="0" w:oddHBand="0" w:evenHBand="0" w:firstRowFirstColumn="0" w:firstRowLastColumn="0" w:lastRowFirstColumn="0" w:lastRowLastColumn="0"/>
            </w:pPr>
          </w:p>
        </w:tc>
      </w:tr>
      <w:tr w:rsidR="00A81C4F" w:rsidRPr="007C3F5E" w14:paraId="09B3EC0E" w14:textId="77777777" w:rsidTr="00326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3" w:type="pct"/>
          </w:tcPr>
          <w:p w14:paraId="158E42E0" w14:textId="77777777" w:rsidR="00A81C4F" w:rsidRPr="005F572F" w:rsidRDefault="00A81C4F" w:rsidP="001B7ABF">
            <w:pPr>
              <w:pStyle w:val="Normal-table"/>
            </w:pPr>
            <w:r>
              <w:t>Table 37: Passenger Transport Services efficiency measure</w:t>
            </w:r>
          </w:p>
        </w:tc>
        <w:tc>
          <w:tcPr>
            <w:tcW w:w="697" w:type="pct"/>
          </w:tcPr>
          <w:p w14:paraId="0DA83989" w14:textId="77777777" w:rsidR="00A81C4F" w:rsidRPr="005F572F" w:rsidRDefault="00A81C4F" w:rsidP="001B7ABF">
            <w:pPr>
              <w:pStyle w:val="Normal-table"/>
              <w:cnfStyle w:val="000000100000" w:firstRow="0" w:lastRow="0" w:firstColumn="0" w:lastColumn="0" w:oddVBand="0" w:evenVBand="0" w:oddHBand="1" w:evenHBand="0" w:firstRowFirstColumn="0" w:firstRowLastColumn="0" w:lastRowFirstColumn="0" w:lastRowLastColumn="0"/>
            </w:pPr>
          </w:p>
        </w:tc>
      </w:tr>
      <w:tr w:rsidR="00A81C4F" w:rsidRPr="007C3F5E" w14:paraId="599D9979" w14:textId="77777777" w:rsidTr="00326868">
        <w:tc>
          <w:tcPr>
            <w:cnfStyle w:val="001000000000" w:firstRow="0" w:lastRow="0" w:firstColumn="1" w:lastColumn="0" w:oddVBand="0" w:evenVBand="0" w:oddHBand="0" w:evenHBand="0" w:firstRowFirstColumn="0" w:firstRowLastColumn="0" w:lastRowFirstColumn="0" w:lastRowLastColumn="0"/>
            <w:tcW w:w="4303" w:type="pct"/>
          </w:tcPr>
          <w:p w14:paraId="567379CD" w14:textId="77777777" w:rsidR="00A81C4F" w:rsidRPr="005F572F" w:rsidRDefault="00A81C4F" w:rsidP="001B7ABF">
            <w:pPr>
              <w:pStyle w:val="Normal-table"/>
            </w:pPr>
            <w:r>
              <w:t>Table 38: (RoadTek) Transport Infrastructure Construction and Maintenance effectiveness measure</w:t>
            </w:r>
          </w:p>
        </w:tc>
        <w:tc>
          <w:tcPr>
            <w:tcW w:w="697" w:type="pct"/>
          </w:tcPr>
          <w:p w14:paraId="27148777" w14:textId="77777777" w:rsidR="00A81C4F" w:rsidRPr="005F572F" w:rsidRDefault="00A81C4F" w:rsidP="001B7ABF">
            <w:pPr>
              <w:pStyle w:val="Normal-table"/>
              <w:cnfStyle w:val="000000000000" w:firstRow="0" w:lastRow="0" w:firstColumn="0" w:lastColumn="0" w:oddVBand="0" w:evenVBand="0" w:oddHBand="0" w:evenHBand="0" w:firstRowFirstColumn="0" w:firstRowLastColumn="0" w:lastRowFirstColumn="0" w:lastRowLastColumn="0"/>
            </w:pPr>
          </w:p>
        </w:tc>
      </w:tr>
      <w:tr w:rsidR="00A81C4F" w:rsidRPr="007C3F5E" w14:paraId="69C9A5BF" w14:textId="77777777" w:rsidTr="00326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3" w:type="pct"/>
          </w:tcPr>
          <w:p w14:paraId="0E15AE79" w14:textId="77777777" w:rsidR="00A81C4F" w:rsidRPr="005F572F" w:rsidRDefault="00A81C4F" w:rsidP="001B7ABF">
            <w:pPr>
              <w:pStyle w:val="Normal-table"/>
            </w:pPr>
            <w:r>
              <w:t>Table 39: (RoadTek) Transport Infrastructure Construction and Maintenance efficiency measures</w:t>
            </w:r>
          </w:p>
        </w:tc>
        <w:tc>
          <w:tcPr>
            <w:tcW w:w="697" w:type="pct"/>
          </w:tcPr>
          <w:p w14:paraId="70D30091" w14:textId="77777777" w:rsidR="00A81C4F" w:rsidRPr="005F572F" w:rsidRDefault="00A81C4F" w:rsidP="001B7ABF">
            <w:pPr>
              <w:pStyle w:val="Normal-table"/>
              <w:cnfStyle w:val="000000100000" w:firstRow="0" w:lastRow="0" w:firstColumn="0" w:lastColumn="0" w:oddVBand="0" w:evenVBand="0" w:oddHBand="1" w:evenHBand="0" w:firstRowFirstColumn="0" w:firstRowLastColumn="0" w:lastRowFirstColumn="0" w:lastRowLastColumn="0"/>
            </w:pPr>
          </w:p>
        </w:tc>
      </w:tr>
      <w:tr w:rsidR="00A81C4F" w:rsidRPr="007C3F5E" w14:paraId="60C6BAB4" w14:textId="77777777" w:rsidTr="00326868">
        <w:tc>
          <w:tcPr>
            <w:cnfStyle w:val="001000000000" w:firstRow="0" w:lastRow="0" w:firstColumn="1" w:lastColumn="0" w:oddVBand="0" w:evenVBand="0" w:oddHBand="0" w:evenHBand="0" w:firstRowFirstColumn="0" w:firstRowLastColumn="0" w:lastRowFirstColumn="0" w:lastRowLastColumn="0"/>
            <w:tcW w:w="4303" w:type="pct"/>
          </w:tcPr>
          <w:p w14:paraId="77E87FF4" w14:textId="77777777" w:rsidR="00A81C4F" w:rsidRPr="005F572F" w:rsidRDefault="00A81C4F" w:rsidP="001B7ABF">
            <w:pPr>
              <w:pStyle w:val="Normal-table"/>
            </w:pPr>
            <w:r>
              <w:lastRenderedPageBreak/>
              <w:t>Table 40: Customer and Digital Services effectiveness measures</w:t>
            </w:r>
          </w:p>
        </w:tc>
        <w:tc>
          <w:tcPr>
            <w:tcW w:w="697" w:type="pct"/>
          </w:tcPr>
          <w:p w14:paraId="2D819F3D" w14:textId="77777777" w:rsidR="00A81C4F" w:rsidRPr="005F572F" w:rsidRDefault="00A81C4F" w:rsidP="001B7ABF">
            <w:pPr>
              <w:pStyle w:val="Normal-table"/>
              <w:cnfStyle w:val="000000000000" w:firstRow="0" w:lastRow="0" w:firstColumn="0" w:lastColumn="0" w:oddVBand="0" w:evenVBand="0" w:oddHBand="0" w:evenHBand="0" w:firstRowFirstColumn="0" w:firstRowLastColumn="0" w:lastRowFirstColumn="0" w:lastRowLastColumn="0"/>
            </w:pPr>
          </w:p>
        </w:tc>
      </w:tr>
      <w:tr w:rsidR="00A81C4F" w:rsidRPr="007C3F5E" w14:paraId="7ECCAF90" w14:textId="77777777" w:rsidTr="00326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3" w:type="pct"/>
          </w:tcPr>
          <w:p w14:paraId="42F57989" w14:textId="77777777" w:rsidR="00A81C4F" w:rsidRPr="005F572F" w:rsidRDefault="00A81C4F" w:rsidP="001B7ABF">
            <w:pPr>
              <w:pStyle w:val="Normal-table"/>
            </w:pPr>
            <w:r>
              <w:t>Table 41: Customer and Digital Services efficiency measures</w:t>
            </w:r>
          </w:p>
        </w:tc>
        <w:tc>
          <w:tcPr>
            <w:tcW w:w="697" w:type="pct"/>
          </w:tcPr>
          <w:p w14:paraId="5E44570E" w14:textId="77777777" w:rsidR="00A81C4F" w:rsidRPr="005F572F" w:rsidRDefault="00A81C4F" w:rsidP="001B7ABF">
            <w:pPr>
              <w:pStyle w:val="Normal-table"/>
              <w:cnfStyle w:val="000000100000" w:firstRow="0" w:lastRow="0" w:firstColumn="0" w:lastColumn="0" w:oddVBand="0" w:evenVBand="0" w:oddHBand="1" w:evenHBand="0" w:firstRowFirstColumn="0" w:firstRowLastColumn="0" w:lastRowFirstColumn="0" w:lastRowLastColumn="0"/>
            </w:pPr>
          </w:p>
        </w:tc>
      </w:tr>
      <w:tr w:rsidR="00A81C4F" w:rsidRPr="007C3F5E" w14:paraId="7E3FB423" w14:textId="77777777" w:rsidTr="00326868">
        <w:tc>
          <w:tcPr>
            <w:cnfStyle w:val="001000000000" w:firstRow="0" w:lastRow="0" w:firstColumn="1" w:lastColumn="0" w:oddVBand="0" w:evenVBand="0" w:oddHBand="0" w:evenHBand="0" w:firstRowFirstColumn="0" w:firstRowLastColumn="0" w:lastRowFirstColumn="0" w:lastRowLastColumn="0"/>
            <w:tcW w:w="4303" w:type="pct"/>
          </w:tcPr>
          <w:p w14:paraId="0D7834B5" w14:textId="77777777" w:rsidR="00A81C4F" w:rsidRDefault="00A81C4F" w:rsidP="001B7ABF">
            <w:pPr>
              <w:pStyle w:val="Normal-table"/>
            </w:pPr>
            <w:r>
              <w:t>Table 42: CITEC ICT effectiveness measures</w:t>
            </w:r>
          </w:p>
        </w:tc>
        <w:tc>
          <w:tcPr>
            <w:tcW w:w="697" w:type="pct"/>
          </w:tcPr>
          <w:p w14:paraId="578AADF0" w14:textId="77777777" w:rsidR="00A81C4F" w:rsidRPr="005F572F" w:rsidRDefault="00A81C4F" w:rsidP="001B7ABF">
            <w:pPr>
              <w:pStyle w:val="Normal-table"/>
              <w:cnfStyle w:val="000000000000" w:firstRow="0" w:lastRow="0" w:firstColumn="0" w:lastColumn="0" w:oddVBand="0" w:evenVBand="0" w:oddHBand="0" w:evenHBand="0" w:firstRowFirstColumn="0" w:firstRowLastColumn="0" w:lastRowFirstColumn="0" w:lastRowLastColumn="0"/>
            </w:pPr>
          </w:p>
        </w:tc>
      </w:tr>
      <w:tr w:rsidR="00A81C4F" w:rsidRPr="007C3F5E" w14:paraId="3F47310E" w14:textId="77777777" w:rsidTr="00326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3" w:type="pct"/>
          </w:tcPr>
          <w:p w14:paraId="6CEEAEC1" w14:textId="77777777" w:rsidR="00A81C4F" w:rsidRDefault="00A81C4F" w:rsidP="001B7ABF">
            <w:pPr>
              <w:pStyle w:val="Normal-table"/>
            </w:pPr>
            <w:r>
              <w:t>Table 43: CITEC ICT efficiency measure</w:t>
            </w:r>
          </w:p>
        </w:tc>
        <w:tc>
          <w:tcPr>
            <w:tcW w:w="697" w:type="pct"/>
          </w:tcPr>
          <w:p w14:paraId="1BB30EB0" w14:textId="77777777" w:rsidR="00A81C4F" w:rsidRPr="005F572F" w:rsidRDefault="00A81C4F" w:rsidP="001B7ABF">
            <w:pPr>
              <w:pStyle w:val="Normal-table"/>
              <w:cnfStyle w:val="000000100000" w:firstRow="0" w:lastRow="0" w:firstColumn="0" w:lastColumn="0" w:oddVBand="0" w:evenVBand="0" w:oddHBand="1" w:evenHBand="0" w:firstRowFirstColumn="0" w:firstRowLastColumn="0" w:lastRowFirstColumn="0" w:lastRowLastColumn="0"/>
            </w:pPr>
          </w:p>
        </w:tc>
      </w:tr>
      <w:tr w:rsidR="00A81C4F" w:rsidRPr="007C3F5E" w14:paraId="15B1CF5B" w14:textId="77777777" w:rsidTr="00326868">
        <w:tc>
          <w:tcPr>
            <w:cnfStyle w:val="001000000000" w:firstRow="0" w:lastRow="0" w:firstColumn="1" w:lastColumn="0" w:oddVBand="0" w:evenVBand="0" w:oddHBand="0" w:evenHBand="0" w:firstRowFirstColumn="0" w:firstRowLastColumn="0" w:lastRowFirstColumn="0" w:lastRowLastColumn="0"/>
            <w:tcW w:w="4303" w:type="pct"/>
          </w:tcPr>
          <w:p w14:paraId="2931CBFD" w14:textId="77777777" w:rsidR="00A81C4F" w:rsidRDefault="00A81C4F" w:rsidP="001B7ABF">
            <w:pPr>
              <w:pStyle w:val="Normal-table"/>
            </w:pPr>
            <w:r>
              <w:t>Table 44: CITEC IB effectiveness measure</w:t>
            </w:r>
          </w:p>
        </w:tc>
        <w:tc>
          <w:tcPr>
            <w:tcW w:w="697" w:type="pct"/>
          </w:tcPr>
          <w:p w14:paraId="766B83F2" w14:textId="77777777" w:rsidR="00A81C4F" w:rsidRPr="005F572F" w:rsidRDefault="00A81C4F" w:rsidP="001B7ABF">
            <w:pPr>
              <w:pStyle w:val="Normal-table"/>
              <w:cnfStyle w:val="000000000000" w:firstRow="0" w:lastRow="0" w:firstColumn="0" w:lastColumn="0" w:oddVBand="0" w:evenVBand="0" w:oddHBand="0" w:evenHBand="0" w:firstRowFirstColumn="0" w:firstRowLastColumn="0" w:lastRowFirstColumn="0" w:lastRowLastColumn="0"/>
            </w:pPr>
          </w:p>
        </w:tc>
      </w:tr>
      <w:tr w:rsidR="00A81C4F" w:rsidRPr="007C3F5E" w14:paraId="0E4F9723" w14:textId="77777777" w:rsidTr="00326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3" w:type="pct"/>
          </w:tcPr>
          <w:p w14:paraId="616C9406" w14:textId="77777777" w:rsidR="00A81C4F" w:rsidRDefault="00A81C4F" w:rsidP="001B7ABF">
            <w:pPr>
              <w:pStyle w:val="Normal-table"/>
            </w:pPr>
            <w:r>
              <w:t>Table 45: CITEC IB efficiency measure</w:t>
            </w:r>
          </w:p>
        </w:tc>
        <w:tc>
          <w:tcPr>
            <w:tcW w:w="697" w:type="pct"/>
          </w:tcPr>
          <w:p w14:paraId="1D778C57" w14:textId="77777777" w:rsidR="00A81C4F" w:rsidRPr="005F572F" w:rsidRDefault="00A81C4F" w:rsidP="001B7ABF">
            <w:pPr>
              <w:pStyle w:val="Normal-table"/>
              <w:cnfStyle w:val="000000100000" w:firstRow="0" w:lastRow="0" w:firstColumn="0" w:lastColumn="0" w:oddVBand="0" w:evenVBand="0" w:oddHBand="1" w:evenHBand="0" w:firstRowFirstColumn="0" w:firstRowLastColumn="0" w:lastRowFirstColumn="0" w:lastRowLastColumn="0"/>
            </w:pPr>
          </w:p>
        </w:tc>
      </w:tr>
      <w:tr w:rsidR="00A81C4F" w:rsidRPr="007C3F5E" w14:paraId="1FE27BBE" w14:textId="77777777" w:rsidTr="00326868">
        <w:tc>
          <w:tcPr>
            <w:cnfStyle w:val="001000000000" w:firstRow="0" w:lastRow="0" w:firstColumn="1" w:lastColumn="0" w:oddVBand="0" w:evenVBand="0" w:oddHBand="0" w:evenHBand="0" w:firstRowFirstColumn="0" w:firstRowLastColumn="0" w:lastRowFirstColumn="0" w:lastRowLastColumn="0"/>
            <w:tcW w:w="4303" w:type="pct"/>
          </w:tcPr>
          <w:p w14:paraId="1E65CFAA" w14:textId="77777777" w:rsidR="00A81C4F" w:rsidRDefault="00A81C4F" w:rsidP="001B7ABF">
            <w:pPr>
              <w:pStyle w:val="Normal-table"/>
            </w:pPr>
            <w:r>
              <w:t>Table 46: Transactional and advisory human resources services effectiveness measures</w:t>
            </w:r>
          </w:p>
        </w:tc>
        <w:tc>
          <w:tcPr>
            <w:tcW w:w="697" w:type="pct"/>
          </w:tcPr>
          <w:p w14:paraId="42DC7E34" w14:textId="77777777" w:rsidR="00A81C4F" w:rsidRPr="005F572F" w:rsidRDefault="00A81C4F" w:rsidP="001B7ABF">
            <w:pPr>
              <w:pStyle w:val="Normal-table"/>
              <w:cnfStyle w:val="000000000000" w:firstRow="0" w:lastRow="0" w:firstColumn="0" w:lastColumn="0" w:oddVBand="0" w:evenVBand="0" w:oddHBand="0" w:evenHBand="0" w:firstRowFirstColumn="0" w:firstRowLastColumn="0" w:lastRowFirstColumn="0" w:lastRowLastColumn="0"/>
            </w:pPr>
          </w:p>
        </w:tc>
      </w:tr>
      <w:tr w:rsidR="00A81C4F" w:rsidRPr="007C3F5E" w14:paraId="01C78749" w14:textId="77777777" w:rsidTr="00326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3" w:type="pct"/>
          </w:tcPr>
          <w:p w14:paraId="4EB1DC3F" w14:textId="77777777" w:rsidR="00A81C4F" w:rsidRDefault="00A81C4F" w:rsidP="001B7ABF">
            <w:pPr>
              <w:pStyle w:val="Normal-table"/>
            </w:pPr>
            <w:r>
              <w:t>Table 47: Transaction and advisory human resources services efficiency measures</w:t>
            </w:r>
          </w:p>
        </w:tc>
        <w:tc>
          <w:tcPr>
            <w:tcW w:w="697" w:type="pct"/>
          </w:tcPr>
          <w:p w14:paraId="185B4DE2" w14:textId="77777777" w:rsidR="00A81C4F" w:rsidRPr="005F572F" w:rsidRDefault="00A81C4F" w:rsidP="001B7ABF">
            <w:pPr>
              <w:pStyle w:val="Normal-table"/>
              <w:cnfStyle w:val="000000100000" w:firstRow="0" w:lastRow="0" w:firstColumn="0" w:lastColumn="0" w:oddVBand="0" w:evenVBand="0" w:oddHBand="1" w:evenHBand="0" w:firstRowFirstColumn="0" w:firstRowLastColumn="0" w:lastRowFirstColumn="0" w:lastRowLastColumn="0"/>
            </w:pPr>
          </w:p>
        </w:tc>
      </w:tr>
      <w:tr w:rsidR="00A81C4F" w:rsidRPr="007C3F5E" w14:paraId="5A34DE92" w14:textId="77777777" w:rsidTr="00326868">
        <w:tc>
          <w:tcPr>
            <w:cnfStyle w:val="001000000000" w:firstRow="0" w:lastRow="0" w:firstColumn="1" w:lastColumn="0" w:oddVBand="0" w:evenVBand="0" w:oddHBand="0" w:evenHBand="0" w:firstRowFirstColumn="0" w:firstRowLastColumn="0" w:lastRowFirstColumn="0" w:lastRowLastColumn="0"/>
            <w:tcW w:w="4303" w:type="pct"/>
          </w:tcPr>
          <w:p w14:paraId="5E9DA720" w14:textId="77777777" w:rsidR="00A81C4F" w:rsidRDefault="00A81C4F" w:rsidP="001B7ABF">
            <w:pPr>
              <w:pStyle w:val="Normal-table"/>
            </w:pPr>
            <w:r>
              <w:t>Table 48: Transactional and advisory finance services effectiveness measures</w:t>
            </w:r>
          </w:p>
        </w:tc>
        <w:tc>
          <w:tcPr>
            <w:tcW w:w="697" w:type="pct"/>
          </w:tcPr>
          <w:p w14:paraId="61216BE3" w14:textId="77777777" w:rsidR="00A81C4F" w:rsidRPr="005F572F" w:rsidRDefault="00A81C4F" w:rsidP="001B7ABF">
            <w:pPr>
              <w:pStyle w:val="Normal-table"/>
              <w:cnfStyle w:val="000000000000" w:firstRow="0" w:lastRow="0" w:firstColumn="0" w:lastColumn="0" w:oddVBand="0" w:evenVBand="0" w:oddHBand="0" w:evenHBand="0" w:firstRowFirstColumn="0" w:firstRowLastColumn="0" w:lastRowFirstColumn="0" w:lastRowLastColumn="0"/>
            </w:pPr>
          </w:p>
        </w:tc>
      </w:tr>
      <w:tr w:rsidR="00A81C4F" w:rsidRPr="007C3F5E" w14:paraId="34BEF827" w14:textId="77777777" w:rsidTr="00326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3" w:type="pct"/>
          </w:tcPr>
          <w:p w14:paraId="394B7196" w14:textId="77777777" w:rsidR="00A81C4F" w:rsidRDefault="00A81C4F" w:rsidP="001B7ABF">
            <w:pPr>
              <w:pStyle w:val="Normal-table"/>
            </w:pPr>
            <w:r>
              <w:t>Table 49: Transaction and advisory finance services efficiency measures</w:t>
            </w:r>
          </w:p>
        </w:tc>
        <w:tc>
          <w:tcPr>
            <w:tcW w:w="697" w:type="pct"/>
          </w:tcPr>
          <w:p w14:paraId="1E516C93" w14:textId="77777777" w:rsidR="00A81C4F" w:rsidRPr="005F572F" w:rsidRDefault="00A81C4F" w:rsidP="001B7ABF">
            <w:pPr>
              <w:pStyle w:val="Normal-table"/>
              <w:cnfStyle w:val="000000100000" w:firstRow="0" w:lastRow="0" w:firstColumn="0" w:lastColumn="0" w:oddVBand="0" w:evenVBand="0" w:oddHBand="1" w:evenHBand="0" w:firstRowFirstColumn="0" w:firstRowLastColumn="0" w:lastRowFirstColumn="0" w:lastRowLastColumn="0"/>
            </w:pPr>
          </w:p>
        </w:tc>
      </w:tr>
      <w:tr w:rsidR="00A81C4F" w:rsidRPr="007C3F5E" w14:paraId="4E4C2971" w14:textId="77777777" w:rsidTr="00326868">
        <w:tc>
          <w:tcPr>
            <w:cnfStyle w:val="001000000000" w:firstRow="0" w:lastRow="0" w:firstColumn="1" w:lastColumn="0" w:oddVBand="0" w:evenVBand="0" w:oddHBand="0" w:evenHBand="0" w:firstRowFirstColumn="0" w:firstRowLastColumn="0" w:lastRowFirstColumn="0" w:lastRowLastColumn="0"/>
            <w:tcW w:w="4303" w:type="pct"/>
          </w:tcPr>
          <w:p w14:paraId="1D42C537" w14:textId="77777777" w:rsidR="00A81C4F" w:rsidRDefault="00A81C4F" w:rsidP="001B7ABF">
            <w:pPr>
              <w:pStyle w:val="Normal-table"/>
            </w:pPr>
            <w:r>
              <w:t>Table 50: Corporate Administration Agency effectiveness measures</w:t>
            </w:r>
          </w:p>
        </w:tc>
        <w:tc>
          <w:tcPr>
            <w:tcW w:w="697" w:type="pct"/>
          </w:tcPr>
          <w:p w14:paraId="259488AD" w14:textId="77777777" w:rsidR="00A81C4F" w:rsidRPr="005F572F" w:rsidRDefault="00A81C4F" w:rsidP="001B7ABF">
            <w:pPr>
              <w:pStyle w:val="Normal-table"/>
              <w:cnfStyle w:val="000000000000" w:firstRow="0" w:lastRow="0" w:firstColumn="0" w:lastColumn="0" w:oddVBand="0" w:evenVBand="0" w:oddHBand="0" w:evenHBand="0" w:firstRowFirstColumn="0" w:firstRowLastColumn="0" w:lastRowFirstColumn="0" w:lastRowLastColumn="0"/>
            </w:pPr>
          </w:p>
        </w:tc>
      </w:tr>
      <w:tr w:rsidR="00A81C4F" w:rsidRPr="007C3F5E" w14:paraId="3655B6D8" w14:textId="77777777" w:rsidTr="00326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3" w:type="pct"/>
          </w:tcPr>
          <w:p w14:paraId="5ADEB0A9" w14:textId="77777777" w:rsidR="00A81C4F" w:rsidRDefault="00A81C4F" w:rsidP="001B7ABF">
            <w:pPr>
              <w:pStyle w:val="Normal-table"/>
            </w:pPr>
            <w:r>
              <w:t>Table 51: Corporate Administrative Agency efficiency measures</w:t>
            </w:r>
          </w:p>
        </w:tc>
        <w:tc>
          <w:tcPr>
            <w:tcW w:w="697" w:type="pct"/>
          </w:tcPr>
          <w:p w14:paraId="2C2C30B7" w14:textId="77777777" w:rsidR="00A81C4F" w:rsidRPr="005F572F" w:rsidRDefault="00A81C4F" w:rsidP="001B7ABF">
            <w:pPr>
              <w:pStyle w:val="Normal-table"/>
              <w:cnfStyle w:val="000000100000" w:firstRow="0" w:lastRow="0" w:firstColumn="0" w:lastColumn="0" w:oddVBand="0" w:evenVBand="0" w:oddHBand="1" w:evenHBand="0" w:firstRowFirstColumn="0" w:firstRowLastColumn="0" w:lastRowFirstColumn="0" w:lastRowLastColumn="0"/>
            </w:pPr>
          </w:p>
        </w:tc>
      </w:tr>
      <w:tr w:rsidR="00A81C4F" w:rsidRPr="007C3F5E" w14:paraId="10F60CA0" w14:textId="77777777" w:rsidTr="00326868">
        <w:tc>
          <w:tcPr>
            <w:cnfStyle w:val="001000000000" w:firstRow="0" w:lastRow="0" w:firstColumn="1" w:lastColumn="0" w:oddVBand="0" w:evenVBand="0" w:oddHBand="0" w:evenHBand="0" w:firstRowFirstColumn="0" w:firstRowLastColumn="0" w:lastRowFirstColumn="0" w:lastRowLastColumn="0"/>
            <w:tcW w:w="4303" w:type="pct"/>
          </w:tcPr>
          <w:p w14:paraId="1154588F" w14:textId="77777777" w:rsidR="00A81C4F" w:rsidRDefault="00A81C4F" w:rsidP="001B7ABF">
            <w:pPr>
              <w:pStyle w:val="Normal-table"/>
            </w:pPr>
            <w:r w:rsidRPr="00730C9F">
              <w:t>Table 52: Camera Detected Offence Program (CDOP) financial overview for 2022–23</w:t>
            </w:r>
          </w:p>
        </w:tc>
        <w:tc>
          <w:tcPr>
            <w:tcW w:w="697" w:type="pct"/>
          </w:tcPr>
          <w:p w14:paraId="6BD6227D" w14:textId="77777777" w:rsidR="00A81C4F" w:rsidRPr="005F572F" w:rsidRDefault="00A81C4F" w:rsidP="001B7ABF">
            <w:pPr>
              <w:pStyle w:val="Normal-table"/>
              <w:cnfStyle w:val="000000000000" w:firstRow="0" w:lastRow="0" w:firstColumn="0" w:lastColumn="0" w:oddVBand="0" w:evenVBand="0" w:oddHBand="0" w:evenHBand="0" w:firstRowFirstColumn="0" w:firstRowLastColumn="0" w:lastRowFirstColumn="0" w:lastRowLastColumn="0"/>
            </w:pPr>
          </w:p>
        </w:tc>
      </w:tr>
      <w:tr w:rsidR="00A81C4F" w:rsidRPr="007C3F5E" w14:paraId="7AC62139" w14:textId="77777777" w:rsidTr="00326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3" w:type="pct"/>
          </w:tcPr>
          <w:p w14:paraId="4A4F094D" w14:textId="77777777" w:rsidR="00A81C4F" w:rsidRDefault="00A81C4F" w:rsidP="001B7ABF">
            <w:pPr>
              <w:pStyle w:val="Normal-table"/>
            </w:pPr>
            <w:r w:rsidRPr="0095367B">
              <w:t>Table 53: Camera Detected Offence Program (CDOP) financial overview for 2022–23—Administrative/operational costs</w:t>
            </w:r>
          </w:p>
        </w:tc>
        <w:tc>
          <w:tcPr>
            <w:tcW w:w="697" w:type="pct"/>
          </w:tcPr>
          <w:p w14:paraId="5524AB22" w14:textId="77777777" w:rsidR="00A81C4F" w:rsidRPr="005F572F" w:rsidRDefault="00A81C4F" w:rsidP="001B7ABF">
            <w:pPr>
              <w:pStyle w:val="Normal-table"/>
              <w:cnfStyle w:val="000000100000" w:firstRow="0" w:lastRow="0" w:firstColumn="0" w:lastColumn="0" w:oddVBand="0" w:evenVBand="0" w:oddHBand="1" w:evenHBand="0" w:firstRowFirstColumn="0" w:firstRowLastColumn="0" w:lastRowFirstColumn="0" w:lastRowLastColumn="0"/>
            </w:pPr>
          </w:p>
        </w:tc>
      </w:tr>
      <w:tr w:rsidR="00A81C4F" w:rsidRPr="007C3F5E" w14:paraId="32A7E4F3" w14:textId="77777777" w:rsidTr="00326868">
        <w:tc>
          <w:tcPr>
            <w:cnfStyle w:val="001000000000" w:firstRow="0" w:lastRow="0" w:firstColumn="1" w:lastColumn="0" w:oddVBand="0" w:evenVBand="0" w:oddHBand="0" w:evenHBand="0" w:firstRowFirstColumn="0" w:firstRowLastColumn="0" w:lastRowFirstColumn="0" w:lastRowLastColumn="0"/>
            <w:tcW w:w="4303" w:type="pct"/>
          </w:tcPr>
          <w:p w14:paraId="1DF57ACD" w14:textId="77777777" w:rsidR="00A81C4F" w:rsidRDefault="00A81C4F" w:rsidP="001B7ABF">
            <w:pPr>
              <w:pStyle w:val="Normal-table"/>
            </w:pPr>
            <w:r w:rsidRPr="002237A7">
              <w:t>Table 54: Camera Detected Offence Program (CDOP) financial overview for 2022–23—Road safety education and awareness and enabling practices</w:t>
            </w:r>
          </w:p>
        </w:tc>
        <w:tc>
          <w:tcPr>
            <w:tcW w:w="697" w:type="pct"/>
          </w:tcPr>
          <w:p w14:paraId="6D74BDF2" w14:textId="77777777" w:rsidR="00A81C4F" w:rsidRPr="005F572F" w:rsidRDefault="00A81C4F" w:rsidP="001B7ABF">
            <w:pPr>
              <w:pStyle w:val="Normal-table"/>
              <w:cnfStyle w:val="000000000000" w:firstRow="0" w:lastRow="0" w:firstColumn="0" w:lastColumn="0" w:oddVBand="0" w:evenVBand="0" w:oddHBand="0" w:evenHBand="0" w:firstRowFirstColumn="0" w:firstRowLastColumn="0" w:lastRowFirstColumn="0" w:lastRowLastColumn="0"/>
            </w:pPr>
          </w:p>
        </w:tc>
      </w:tr>
      <w:tr w:rsidR="00A81C4F" w:rsidRPr="007C3F5E" w14:paraId="517CFB04" w14:textId="77777777" w:rsidTr="00326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3" w:type="pct"/>
          </w:tcPr>
          <w:p w14:paraId="6E0717D0" w14:textId="77777777" w:rsidR="00A81C4F" w:rsidRDefault="00A81C4F" w:rsidP="001B7ABF">
            <w:pPr>
              <w:pStyle w:val="Normal-table"/>
            </w:pPr>
            <w:r w:rsidRPr="00E07FB3">
              <w:t>Table 55: Camera Detected Offence Program (CDOP) financial overview for 2022–23—Road accident injury rehabilitation programs</w:t>
            </w:r>
          </w:p>
        </w:tc>
        <w:tc>
          <w:tcPr>
            <w:tcW w:w="697" w:type="pct"/>
          </w:tcPr>
          <w:p w14:paraId="21298917" w14:textId="77777777" w:rsidR="00A81C4F" w:rsidRPr="005F572F" w:rsidRDefault="00A81C4F" w:rsidP="001B7ABF">
            <w:pPr>
              <w:pStyle w:val="Normal-table"/>
              <w:cnfStyle w:val="000000100000" w:firstRow="0" w:lastRow="0" w:firstColumn="0" w:lastColumn="0" w:oddVBand="0" w:evenVBand="0" w:oddHBand="1" w:evenHBand="0" w:firstRowFirstColumn="0" w:firstRowLastColumn="0" w:lastRowFirstColumn="0" w:lastRowLastColumn="0"/>
            </w:pPr>
          </w:p>
        </w:tc>
      </w:tr>
      <w:tr w:rsidR="00A81C4F" w:rsidRPr="007C3F5E" w14:paraId="5706E58F" w14:textId="77777777" w:rsidTr="00326868">
        <w:tc>
          <w:tcPr>
            <w:cnfStyle w:val="001000000000" w:firstRow="0" w:lastRow="0" w:firstColumn="1" w:lastColumn="0" w:oddVBand="0" w:evenVBand="0" w:oddHBand="0" w:evenHBand="0" w:firstRowFirstColumn="0" w:firstRowLastColumn="0" w:lastRowFirstColumn="0" w:lastRowLastColumn="0"/>
            <w:tcW w:w="4303" w:type="pct"/>
          </w:tcPr>
          <w:p w14:paraId="42B6A31E" w14:textId="77777777" w:rsidR="00A81C4F" w:rsidRDefault="00A81C4F" w:rsidP="001B7ABF">
            <w:pPr>
              <w:pStyle w:val="Normal-table"/>
            </w:pPr>
            <w:r w:rsidRPr="00FC6ABB">
              <w:t>Table 56: Camera Detected Offence Program (CDOP) financial overview for 2022–23—Improvements to the safety of state-controlled roads</w:t>
            </w:r>
          </w:p>
        </w:tc>
        <w:tc>
          <w:tcPr>
            <w:tcW w:w="697" w:type="pct"/>
          </w:tcPr>
          <w:p w14:paraId="739C877E" w14:textId="77777777" w:rsidR="00A81C4F" w:rsidRPr="005F572F" w:rsidRDefault="00A81C4F" w:rsidP="001B7ABF">
            <w:pPr>
              <w:pStyle w:val="Normal-table"/>
              <w:cnfStyle w:val="000000000000" w:firstRow="0" w:lastRow="0" w:firstColumn="0" w:lastColumn="0" w:oddVBand="0" w:evenVBand="0" w:oddHBand="0" w:evenHBand="0" w:firstRowFirstColumn="0" w:firstRowLastColumn="0" w:lastRowFirstColumn="0" w:lastRowLastColumn="0"/>
            </w:pPr>
          </w:p>
        </w:tc>
      </w:tr>
      <w:tr w:rsidR="00A81C4F" w:rsidRPr="007C3F5E" w14:paraId="35FE2869" w14:textId="77777777" w:rsidTr="00326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3" w:type="pct"/>
          </w:tcPr>
          <w:p w14:paraId="3EA1714C" w14:textId="77777777" w:rsidR="00A81C4F" w:rsidRDefault="00A81C4F" w:rsidP="001B7ABF">
            <w:pPr>
              <w:pStyle w:val="Normal-table"/>
            </w:pPr>
            <w:r w:rsidRPr="00A36522">
              <w:t>Table 57: Camera Detected Offence Program (CDOP) financial overview for 2022–23—Totals</w:t>
            </w:r>
          </w:p>
        </w:tc>
        <w:tc>
          <w:tcPr>
            <w:tcW w:w="697" w:type="pct"/>
          </w:tcPr>
          <w:p w14:paraId="52843BFD" w14:textId="77777777" w:rsidR="00A81C4F" w:rsidRPr="005F572F" w:rsidRDefault="00A81C4F" w:rsidP="001B7ABF">
            <w:pPr>
              <w:pStyle w:val="Normal-table"/>
              <w:cnfStyle w:val="000000100000" w:firstRow="0" w:lastRow="0" w:firstColumn="0" w:lastColumn="0" w:oddVBand="0" w:evenVBand="0" w:oddHBand="1" w:evenHBand="0" w:firstRowFirstColumn="0" w:firstRowLastColumn="0" w:lastRowFirstColumn="0" w:lastRowLastColumn="0"/>
            </w:pPr>
          </w:p>
        </w:tc>
      </w:tr>
      <w:tr w:rsidR="00A81C4F" w:rsidRPr="007C3F5E" w14:paraId="08E6FD72" w14:textId="77777777" w:rsidTr="00326868">
        <w:tc>
          <w:tcPr>
            <w:cnfStyle w:val="001000000000" w:firstRow="0" w:lastRow="0" w:firstColumn="1" w:lastColumn="0" w:oddVBand="0" w:evenVBand="0" w:oddHBand="0" w:evenHBand="0" w:firstRowFirstColumn="0" w:firstRowLastColumn="0" w:lastRowFirstColumn="0" w:lastRowLastColumn="0"/>
            <w:tcW w:w="4303" w:type="pct"/>
          </w:tcPr>
          <w:p w14:paraId="72611344" w14:textId="77777777" w:rsidR="00A81C4F" w:rsidRPr="005F572F" w:rsidRDefault="00A81C4F" w:rsidP="001B7ABF">
            <w:pPr>
              <w:pStyle w:val="Normal-table"/>
            </w:pPr>
            <w:r w:rsidRPr="006B6020">
              <w:t>Table 58: Number of mobile speed camera infringements per penalty bracket for 2022</w:t>
            </w:r>
          </w:p>
        </w:tc>
        <w:tc>
          <w:tcPr>
            <w:tcW w:w="697" w:type="pct"/>
          </w:tcPr>
          <w:p w14:paraId="112D10B7" w14:textId="77777777" w:rsidR="00A81C4F" w:rsidRPr="005F572F" w:rsidRDefault="00A81C4F" w:rsidP="001B7ABF">
            <w:pPr>
              <w:pStyle w:val="Normal-table"/>
              <w:cnfStyle w:val="000000000000" w:firstRow="0" w:lastRow="0" w:firstColumn="0" w:lastColumn="0" w:oddVBand="0" w:evenVBand="0" w:oddHBand="0" w:evenHBand="0" w:firstRowFirstColumn="0" w:firstRowLastColumn="0" w:lastRowFirstColumn="0" w:lastRowLastColumn="0"/>
            </w:pPr>
          </w:p>
        </w:tc>
      </w:tr>
      <w:tr w:rsidR="00A81C4F" w:rsidRPr="007C3F5E" w14:paraId="02BEB7E3" w14:textId="77777777" w:rsidTr="00326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3" w:type="pct"/>
          </w:tcPr>
          <w:p w14:paraId="2095C466" w14:textId="77777777" w:rsidR="00A81C4F" w:rsidRPr="005F572F" w:rsidRDefault="00A81C4F" w:rsidP="001B7ABF">
            <w:pPr>
              <w:pStyle w:val="Normal-table"/>
            </w:pPr>
            <w:r w:rsidRPr="00FD01F3">
              <w:t>Table 59: Number of fixed speed camera infringements per penalty bracket for 2022</w:t>
            </w:r>
          </w:p>
        </w:tc>
        <w:tc>
          <w:tcPr>
            <w:tcW w:w="697" w:type="pct"/>
          </w:tcPr>
          <w:p w14:paraId="2C9C498F" w14:textId="77777777" w:rsidR="00A81C4F" w:rsidRPr="005F572F" w:rsidRDefault="00A81C4F" w:rsidP="001B7ABF">
            <w:pPr>
              <w:pStyle w:val="Normal-table"/>
              <w:cnfStyle w:val="000000100000" w:firstRow="0" w:lastRow="0" w:firstColumn="0" w:lastColumn="0" w:oddVBand="0" w:evenVBand="0" w:oddHBand="1" w:evenHBand="0" w:firstRowFirstColumn="0" w:firstRowLastColumn="0" w:lastRowFirstColumn="0" w:lastRowLastColumn="0"/>
            </w:pPr>
          </w:p>
        </w:tc>
      </w:tr>
      <w:tr w:rsidR="00A81C4F" w:rsidRPr="007C3F5E" w14:paraId="1E37B9FB" w14:textId="77777777" w:rsidTr="00326868">
        <w:tc>
          <w:tcPr>
            <w:cnfStyle w:val="001000000000" w:firstRow="0" w:lastRow="0" w:firstColumn="1" w:lastColumn="0" w:oddVBand="0" w:evenVBand="0" w:oddHBand="0" w:evenHBand="0" w:firstRowFirstColumn="0" w:firstRowLastColumn="0" w:lastRowFirstColumn="0" w:lastRowLastColumn="0"/>
            <w:tcW w:w="4303" w:type="pct"/>
          </w:tcPr>
          <w:p w14:paraId="69A13722" w14:textId="77777777" w:rsidR="00A81C4F" w:rsidRPr="005F572F" w:rsidRDefault="00A81C4F" w:rsidP="001B7ABF">
            <w:pPr>
              <w:pStyle w:val="Normal-table"/>
            </w:pPr>
            <w:r w:rsidRPr="00B67F42">
              <w:t>Table 60: Number of point-to-point speed camera infringements per penalty bracket for 2022</w:t>
            </w:r>
          </w:p>
        </w:tc>
        <w:tc>
          <w:tcPr>
            <w:tcW w:w="697" w:type="pct"/>
          </w:tcPr>
          <w:p w14:paraId="68CD11FB" w14:textId="77777777" w:rsidR="00A81C4F" w:rsidRPr="005F572F" w:rsidRDefault="00A81C4F" w:rsidP="001B7ABF">
            <w:pPr>
              <w:pStyle w:val="Normal-table"/>
              <w:cnfStyle w:val="000000000000" w:firstRow="0" w:lastRow="0" w:firstColumn="0" w:lastColumn="0" w:oddVBand="0" w:evenVBand="0" w:oddHBand="0" w:evenHBand="0" w:firstRowFirstColumn="0" w:firstRowLastColumn="0" w:lastRowFirstColumn="0" w:lastRowLastColumn="0"/>
            </w:pPr>
          </w:p>
        </w:tc>
      </w:tr>
      <w:tr w:rsidR="00A81C4F" w:rsidRPr="007C3F5E" w14:paraId="24B1EB21" w14:textId="77777777" w:rsidTr="00326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3" w:type="pct"/>
          </w:tcPr>
          <w:p w14:paraId="5AE685F5" w14:textId="77777777" w:rsidR="00A81C4F" w:rsidRPr="005F572F" w:rsidRDefault="00A81C4F" w:rsidP="001B7ABF">
            <w:pPr>
              <w:pStyle w:val="Normal-table"/>
            </w:pPr>
            <w:r w:rsidRPr="007451B7">
              <w:t>Table 61: Passenger transport operator payments: South East Queensland—Bus</w:t>
            </w:r>
          </w:p>
        </w:tc>
        <w:tc>
          <w:tcPr>
            <w:tcW w:w="697" w:type="pct"/>
          </w:tcPr>
          <w:p w14:paraId="58ADF58C" w14:textId="77777777" w:rsidR="00A81C4F" w:rsidRPr="005F572F" w:rsidRDefault="00A81C4F" w:rsidP="001B7ABF">
            <w:pPr>
              <w:pStyle w:val="Normal-table"/>
              <w:cnfStyle w:val="000000100000" w:firstRow="0" w:lastRow="0" w:firstColumn="0" w:lastColumn="0" w:oddVBand="0" w:evenVBand="0" w:oddHBand="1" w:evenHBand="0" w:firstRowFirstColumn="0" w:firstRowLastColumn="0" w:lastRowFirstColumn="0" w:lastRowLastColumn="0"/>
            </w:pPr>
          </w:p>
        </w:tc>
      </w:tr>
      <w:tr w:rsidR="00A81C4F" w:rsidRPr="007C3F5E" w14:paraId="3264DA17" w14:textId="77777777" w:rsidTr="00326868">
        <w:tc>
          <w:tcPr>
            <w:cnfStyle w:val="001000000000" w:firstRow="0" w:lastRow="0" w:firstColumn="1" w:lastColumn="0" w:oddVBand="0" w:evenVBand="0" w:oddHBand="0" w:evenHBand="0" w:firstRowFirstColumn="0" w:firstRowLastColumn="0" w:lastRowFirstColumn="0" w:lastRowLastColumn="0"/>
            <w:tcW w:w="4303" w:type="pct"/>
          </w:tcPr>
          <w:p w14:paraId="589620B6" w14:textId="77777777" w:rsidR="00A81C4F" w:rsidRPr="005F572F" w:rsidRDefault="00A81C4F" w:rsidP="001B7ABF">
            <w:pPr>
              <w:pStyle w:val="Normal-table"/>
            </w:pPr>
            <w:r w:rsidRPr="00D83D6B">
              <w:t>Table 62: Passenger transport operator payments: South East Queensland—Ferry</w:t>
            </w:r>
          </w:p>
        </w:tc>
        <w:tc>
          <w:tcPr>
            <w:tcW w:w="697" w:type="pct"/>
          </w:tcPr>
          <w:p w14:paraId="1271CA26" w14:textId="77777777" w:rsidR="00A81C4F" w:rsidRPr="005F572F" w:rsidRDefault="00A81C4F" w:rsidP="001B7ABF">
            <w:pPr>
              <w:pStyle w:val="Normal-table"/>
              <w:cnfStyle w:val="000000000000" w:firstRow="0" w:lastRow="0" w:firstColumn="0" w:lastColumn="0" w:oddVBand="0" w:evenVBand="0" w:oddHBand="0" w:evenHBand="0" w:firstRowFirstColumn="0" w:firstRowLastColumn="0" w:lastRowFirstColumn="0" w:lastRowLastColumn="0"/>
            </w:pPr>
          </w:p>
        </w:tc>
      </w:tr>
      <w:tr w:rsidR="00A81C4F" w:rsidRPr="007C3F5E" w14:paraId="6A0002E6" w14:textId="77777777" w:rsidTr="00326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3" w:type="pct"/>
          </w:tcPr>
          <w:p w14:paraId="620F665E" w14:textId="77777777" w:rsidR="00A81C4F" w:rsidRPr="005F572F" w:rsidRDefault="00A81C4F" w:rsidP="001B7ABF">
            <w:pPr>
              <w:pStyle w:val="Normal-table"/>
            </w:pPr>
            <w:r w:rsidRPr="004C688B">
              <w:t>Table 63: Passenger transport operator payments: South East Queensland—Citytrain</w:t>
            </w:r>
          </w:p>
        </w:tc>
        <w:tc>
          <w:tcPr>
            <w:tcW w:w="697" w:type="pct"/>
          </w:tcPr>
          <w:p w14:paraId="03D6FEF7" w14:textId="77777777" w:rsidR="00A81C4F" w:rsidRPr="005F572F" w:rsidRDefault="00A81C4F" w:rsidP="001B7ABF">
            <w:pPr>
              <w:pStyle w:val="Normal-table"/>
              <w:cnfStyle w:val="000000100000" w:firstRow="0" w:lastRow="0" w:firstColumn="0" w:lastColumn="0" w:oddVBand="0" w:evenVBand="0" w:oddHBand="1" w:evenHBand="0" w:firstRowFirstColumn="0" w:firstRowLastColumn="0" w:lastRowFirstColumn="0" w:lastRowLastColumn="0"/>
            </w:pPr>
          </w:p>
        </w:tc>
      </w:tr>
      <w:tr w:rsidR="00A81C4F" w:rsidRPr="007C3F5E" w14:paraId="0F55650D" w14:textId="77777777" w:rsidTr="00326868">
        <w:tc>
          <w:tcPr>
            <w:cnfStyle w:val="001000000000" w:firstRow="0" w:lastRow="0" w:firstColumn="1" w:lastColumn="0" w:oddVBand="0" w:evenVBand="0" w:oddHBand="0" w:evenHBand="0" w:firstRowFirstColumn="0" w:firstRowLastColumn="0" w:lastRowFirstColumn="0" w:lastRowLastColumn="0"/>
            <w:tcW w:w="4303" w:type="pct"/>
          </w:tcPr>
          <w:p w14:paraId="1D7C2219" w14:textId="77777777" w:rsidR="00A81C4F" w:rsidRPr="005F572F" w:rsidRDefault="00A81C4F" w:rsidP="001B7ABF">
            <w:pPr>
              <w:pStyle w:val="Normal-table"/>
            </w:pPr>
            <w:r w:rsidRPr="00A61D86">
              <w:t>Table 64: Passenger transport operator payments: South East Queensland—Rail replacement bus services</w:t>
            </w:r>
          </w:p>
        </w:tc>
        <w:tc>
          <w:tcPr>
            <w:tcW w:w="697" w:type="pct"/>
          </w:tcPr>
          <w:p w14:paraId="3E34EC2E" w14:textId="77777777" w:rsidR="00A81C4F" w:rsidRPr="005F572F" w:rsidRDefault="00A81C4F" w:rsidP="001B7ABF">
            <w:pPr>
              <w:pStyle w:val="Normal-table"/>
              <w:cnfStyle w:val="000000000000" w:firstRow="0" w:lastRow="0" w:firstColumn="0" w:lastColumn="0" w:oddVBand="0" w:evenVBand="0" w:oddHBand="0" w:evenHBand="0" w:firstRowFirstColumn="0" w:firstRowLastColumn="0" w:lastRowFirstColumn="0" w:lastRowLastColumn="0"/>
            </w:pPr>
          </w:p>
        </w:tc>
      </w:tr>
      <w:tr w:rsidR="00A81C4F" w:rsidRPr="007C3F5E" w14:paraId="563FDE29" w14:textId="77777777" w:rsidTr="00326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3" w:type="pct"/>
          </w:tcPr>
          <w:p w14:paraId="5A124A02" w14:textId="77777777" w:rsidR="00A81C4F" w:rsidRPr="005F572F" w:rsidRDefault="00A81C4F" w:rsidP="001B7ABF">
            <w:pPr>
              <w:pStyle w:val="Normal-table"/>
            </w:pPr>
            <w:r w:rsidRPr="0009060F">
              <w:t>Table 65: Passenger transport operator payments: South East Queensland—Light rail</w:t>
            </w:r>
          </w:p>
        </w:tc>
        <w:tc>
          <w:tcPr>
            <w:tcW w:w="697" w:type="pct"/>
          </w:tcPr>
          <w:p w14:paraId="0AAE27F7" w14:textId="77777777" w:rsidR="00A81C4F" w:rsidRPr="005F572F" w:rsidRDefault="00A81C4F" w:rsidP="001B7ABF">
            <w:pPr>
              <w:pStyle w:val="Normal-table"/>
              <w:cnfStyle w:val="000000100000" w:firstRow="0" w:lastRow="0" w:firstColumn="0" w:lastColumn="0" w:oddVBand="0" w:evenVBand="0" w:oddHBand="1" w:evenHBand="0" w:firstRowFirstColumn="0" w:firstRowLastColumn="0" w:lastRowFirstColumn="0" w:lastRowLastColumn="0"/>
            </w:pPr>
          </w:p>
        </w:tc>
      </w:tr>
      <w:tr w:rsidR="00A81C4F" w:rsidRPr="007C3F5E" w14:paraId="29BC23C3" w14:textId="77777777" w:rsidTr="00326868">
        <w:tc>
          <w:tcPr>
            <w:cnfStyle w:val="001000000000" w:firstRow="0" w:lastRow="0" w:firstColumn="1" w:lastColumn="0" w:oddVBand="0" w:evenVBand="0" w:oddHBand="0" w:evenHBand="0" w:firstRowFirstColumn="0" w:firstRowLastColumn="0" w:lastRowFirstColumn="0" w:lastRowLastColumn="0"/>
            <w:tcW w:w="4303" w:type="pct"/>
          </w:tcPr>
          <w:p w14:paraId="6B3AA3E8" w14:textId="77777777" w:rsidR="00A81C4F" w:rsidRPr="005F572F" w:rsidRDefault="00A81C4F" w:rsidP="001B7ABF">
            <w:pPr>
              <w:pStyle w:val="Normal-table"/>
            </w:pPr>
            <w:r w:rsidRPr="00001428">
              <w:lastRenderedPageBreak/>
              <w:t>Table 66: Passenger transport operator payments: South East Queensland—On demand transport</w:t>
            </w:r>
          </w:p>
        </w:tc>
        <w:tc>
          <w:tcPr>
            <w:tcW w:w="697" w:type="pct"/>
          </w:tcPr>
          <w:p w14:paraId="43AEF364" w14:textId="77777777" w:rsidR="00A81C4F" w:rsidRPr="005F572F" w:rsidRDefault="00A81C4F" w:rsidP="001B7ABF">
            <w:pPr>
              <w:pStyle w:val="Normal-table"/>
              <w:cnfStyle w:val="000000000000" w:firstRow="0" w:lastRow="0" w:firstColumn="0" w:lastColumn="0" w:oddVBand="0" w:evenVBand="0" w:oddHBand="0" w:evenHBand="0" w:firstRowFirstColumn="0" w:firstRowLastColumn="0" w:lastRowFirstColumn="0" w:lastRowLastColumn="0"/>
            </w:pPr>
          </w:p>
        </w:tc>
      </w:tr>
      <w:tr w:rsidR="00A81C4F" w:rsidRPr="007C3F5E" w14:paraId="4E4FF748" w14:textId="77777777" w:rsidTr="00326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3" w:type="pct"/>
          </w:tcPr>
          <w:p w14:paraId="31B4C0EA" w14:textId="77777777" w:rsidR="00A81C4F" w:rsidRPr="005F572F" w:rsidRDefault="00A81C4F" w:rsidP="001B7ABF">
            <w:pPr>
              <w:pStyle w:val="Normal-table"/>
            </w:pPr>
            <w:r w:rsidRPr="00A815C4">
              <w:t>Table 67: Passenger transport operator payments: South East Queensland—Flexilink taxi service</w:t>
            </w:r>
          </w:p>
        </w:tc>
        <w:tc>
          <w:tcPr>
            <w:tcW w:w="697" w:type="pct"/>
          </w:tcPr>
          <w:p w14:paraId="7E599903" w14:textId="77777777" w:rsidR="00A81C4F" w:rsidRPr="005F572F" w:rsidRDefault="00A81C4F" w:rsidP="001B7ABF">
            <w:pPr>
              <w:pStyle w:val="Normal-table"/>
              <w:cnfStyle w:val="000000100000" w:firstRow="0" w:lastRow="0" w:firstColumn="0" w:lastColumn="0" w:oddVBand="0" w:evenVBand="0" w:oddHBand="1" w:evenHBand="0" w:firstRowFirstColumn="0" w:firstRowLastColumn="0" w:lastRowFirstColumn="0" w:lastRowLastColumn="0"/>
            </w:pPr>
          </w:p>
        </w:tc>
      </w:tr>
      <w:tr w:rsidR="00A81C4F" w:rsidRPr="007C3F5E" w14:paraId="515DDF30" w14:textId="77777777" w:rsidTr="00326868">
        <w:tc>
          <w:tcPr>
            <w:cnfStyle w:val="001000000000" w:firstRow="0" w:lastRow="0" w:firstColumn="1" w:lastColumn="0" w:oddVBand="0" w:evenVBand="0" w:oddHBand="0" w:evenHBand="0" w:firstRowFirstColumn="0" w:firstRowLastColumn="0" w:lastRowFirstColumn="0" w:lastRowLastColumn="0"/>
            <w:tcW w:w="4303" w:type="pct"/>
          </w:tcPr>
          <w:p w14:paraId="6CCE7446" w14:textId="77777777" w:rsidR="00A81C4F" w:rsidRPr="00A815C4" w:rsidRDefault="00A81C4F" w:rsidP="001B7ABF">
            <w:pPr>
              <w:pStyle w:val="Normal-table"/>
            </w:pPr>
            <w:r w:rsidRPr="00CB628B">
              <w:t>Table 68: Passenger transport operator payments: South East Queensland—Total payments</w:t>
            </w:r>
          </w:p>
        </w:tc>
        <w:tc>
          <w:tcPr>
            <w:tcW w:w="697" w:type="pct"/>
          </w:tcPr>
          <w:p w14:paraId="474F8994" w14:textId="77777777" w:rsidR="00A81C4F" w:rsidRPr="005F572F" w:rsidRDefault="00A81C4F" w:rsidP="001B7ABF">
            <w:pPr>
              <w:pStyle w:val="Normal-table"/>
              <w:cnfStyle w:val="000000000000" w:firstRow="0" w:lastRow="0" w:firstColumn="0" w:lastColumn="0" w:oddVBand="0" w:evenVBand="0" w:oddHBand="0" w:evenHBand="0" w:firstRowFirstColumn="0" w:firstRowLastColumn="0" w:lastRowFirstColumn="0" w:lastRowLastColumn="0"/>
            </w:pPr>
          </w:p>
        </w:tc>
      </w:tr>
      <w:tr w:rsidR="00A81C4F" w:rsidRPr="007C3F5E" w14:paraId="4E8A04EA" w14:textId="77777777" w:rsidTr="00326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3" w:type="pct"/>
          </w:tcPr>
          <w:p w14:paraId="194807E9" w14:textId="77777777" w:rsidR="00A81C4F" w:rsidRPr="00A815C4" w:rsidRDefault="00A81C4F" w:rsidP="001B7ABF">
            <w:pPr>
              <w:pStyle w:val="Normal-table"/>
            </w:pPr>
            <w:r w:rsidRPr="001338E8">
              <w:t>Table 69: Passenger transport operator payments: Rest of Queensland—Regional urban bus</w:t>
            </w:r>
          </w:p>
        </w:tc>
        <w:tc>
          <w:tcPr>
            <w:tcW w:w="697" w:type="pct"/>
          </w:tcPr>
          <w:p w14:paraId="7B643674" w14:textId="77777777" w:rsidR="00A81C4F" w:rsidRPr="005F572F" w:rsidRDefault="00A81C4F" w:rsidP="001B7ABF">
            <w:pPr>
              <w:pStyle w:val="Normal-table"/>
              <w:cnfStyle w:val="000000100000" w:firstRow="0" w:lastRow="0" w:firstColumn="0" w:lastColumn="0" w:oddVBand="0" w:evenVBand="0" w:oddHBand="1" w:evenHBand="0" w:firstRowFirstColumn="0" w:firstRowLastColumn="0" w:lastRowFirstColumn="0" w:lastRowLastColumn="0"/>
            </w:pPr>
          </w:p>
        </w:tc>
      </w:tr>
      <w:tr w:rsidR="00A81C4F" w:rsidRPr="007C3F5E" w14:paraId="60DB19B0" w14:textId="77777777" w:rsidTr="00326868">
        <w:tc>
          <w:tcPr>
            <w:cnfStyle w:val="001000000000" w:firstRow="0" w:lastRow="0" w:firstColumn="1" w:lastColumn="0" w:oddVBand="0" w:evenVBand="0" w:oddHBand="0" w:evenHBand="0" w:firstRowFirstColumn="0" w:firstRowLastColumn="0" w:lastRowFirstColumn="0" w:lastRowLastColumn="0"/>
            <w:tcW w:w="4303" w:type="pct"/>
          </w:tcPr>
          <w:p w14:paraId="1FEB59C1" w14:textId="77777777" w:rsidR="00A81C4F" w:rsidRPr="00A815C4" w:rsidRDefault="00A81C4F" w:rsidP="001B7ABF">
            <w:pPr>
              <w:pStyle w:val="Normal-table"/>
            </w:pPr>
            <w:r w:rsidRPr="003B017C">
              <w:t xml:space="preserve">Table 70: Passenger transport operator payments: Rest of Queensland—Ferry  </w:t>
            </w:r>
          </w:p>
        </w:tc>
        <w:tc>
          <w:tcPr>
            <w:tcW w:w="697" w:type="pct"/>
          </w:tcPr>
          <w:p w14:paraId="22DF054D" w14:textId="77777777" w:rsidR="00A81C4F" w:rsidRPr="005F572F" w:rsidRDefault="00A81C4F" w:rsidP="001B7ABF">
            <w:pPr>
              <w:pStyle w:val="Normal-table"/>
              <w:cnfStyle w:val="000000000000" w:firstRow="0" w:lastRow="0" w:firstColumn="0" w:lastColumn="0" w:oddVBand="0" w:evenVBand="0" w:oddHBand="0" w:evenHBand="0" w:firstRowFirstColumn="0" w:firstRowLastColumn="0" w:lastRowFirstColumn="0" w:lastRowLastColumn="0"/>
            </w:pPr>
          </w:p>
        </w:tc>
      </w:tr>
      <w:tr w:rsidR="00A81C4F" w:rsidRPr="007C3F5E" w14:paraId="193E5A44" w14:textId="77777777" w:rsidTr="00326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3" w:type="pct"/>
          </w:tcPr>
          <w:p w14:paraId="5075500D" w14:textId="77777777" w:rsidR="00A81C4F" w:rsidRPr="00A815C4" w:rsidRDefault="00A81C4F" w:rsidP="001B7ABF">
            <w:pPr>
              <w:pStyle w:val="Normal-table"/>
            </w:pPr>
            <w:r w:rsidRPr="00381C51">
              <w:t>Table 71: Passenger transport operator payments: Rest of Queensland—Long distance rail</w:t>
            </w:r>
          </w:p>
        </w:tc>
        <w:tc>
          <w:tcPr>
            <w:tcW w:w="697" w:type="pct"/>
          </w:tcPr>
          <w:p w14:paraId="3F8CD7C4" w14:textId="77777777" w:rsidR="00A81C4F" w:rsidRPr="005F572F" w:rsidRDefault="00A81C4F" w:rsidP="001B7ABF">
            <w:pPr>
              <w:pStyle w:val="Normal-table"/>
              <w:cnfStyle w:val="000000100000" w:firstRow="0" w:lastRow="0" w:firstColumn="0" w:lastColumn="0" w:oddVBand="0" w:evenVBand="0" w:oddHBand="1" w:evenHBand="0" w:firstRowFirstColumn="0" w:firstRowLastColumn="0" w:lastRowFirstColumn="0" w:lastRowLastColumn="0"/>
            </w:pPr>
          </w:p>
        </w:tc>
      </w:tr>
      <w:tr w:rsidR="00A81C4F" w:rsidRPr="007C3F5E" w14:paraId="60DC78A5" w14:textId="77777777" w:rsidTr="00326868">
        <w:tc>
          <w:tcPr>
            <w:cnfStyle w:val="001000000000" w:firstRow="0" w:lastRow="0" w:firstColumn="1" w:lastColumn="0" w:oddVBand="0" w:evenVBand="0" w:oddHBand="0" w:evenHBand="0" w:firstRowFirstColumn="0" w:firstRowLastColumn="0" w:lastRowFirstColumn="0" w:lastRowLastColumn="0"/>
            <w:tcW w:w="4303" w:type="pct"/>
          </w:tcPr>
          <w:p w14:paraId="081990F0" w14:textId="77777777" w:rsidR="00A81C4F" w:rsidRPr="00A815C4" w:rsidRDefault="00A81C4F" w:rsidP="001B7ABF">
            <w:pPr>
              <w:pStyle w:val="Normal-table"/>
            </w:pPr>
            <w:r w:rsidRPr="001C344A">
              <w:t xml:space="preserve">Table 72: Passenger transport operator payments: Rest of Queensland—Regional air  </w:t>
            </w:r>
          </w:p>
        </w:tc>
        <w:tc>
          <w:tcPr>
            <w:tcW w:w="697" w:type="pct"/>
          </w:tcPr>
          <w:p w14:paraId="57D9FD6F" w14:textId="77777777" w:rsidR="00A81C4F" w:rsidRPr="005F572F" w:rsidRDefault="00A81C4F" w:rsidP="001B7ABF">
            <w:pPr>
              <w:pStyle w:val="Normal-table"/>
              <w:cnfStyle w:val="000000000000" w:firstRow="0" w:lastRow="0" w:firstColumn="0" w:lastColumn="0" w:oddVBand="0" w:evenVBand="0" w:oddHBand="0" w:evenHBand="0" w:firstRowFirstColumn="0" w:firstRowLastColumn="0" w:lastRowFirstColumn="0" w:lastRowLastColumn="0"/>
            </w:pPr>
          </w:p>
        </w:tc>
      </w:tr>
      <w:tr w:rsidR="00A81C4F" w:rsidRPr="007C3F5E" w14:paraId="1CA37A24" w14:textId="77777777" w:rsidTr="00326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3" w:type="pct"/>
          </w:tcPr>
          <w:p w14:paraId="050D2C4F" w14:textId="77777777" w:rsidR="00A81C4F" w:rsidRPr="00A815C4" w:rsidRDefault="00A81C4F" w:rsidP="001B7ABF">
            <w:pPr>
              <w:pStyle w:val="Normal-table"/>
            </w:pPr>
            <w:r w:rsidRPr="002F445A">
              <w:t>Table 73: Passenger transport operator payments: Rest of Queensland—Long distance bus</w:t>
            </w:r>
          </w:p>
        </w:tc>
        <w:tc>
          <w:tcPr>
            <w:tcW w:w="697" w:type="pct"/>
          </w:tcPr>
          <w:p w14:paraId="6569886C" w14:textId="77777777" w:rsidR="00A81C4F" w:rsidRPr="005F572F" w:rsidRDefault="00A81C4F" w:rsidP="001B7ABF">
            <w:pPr>
              <w:pStyle w:val="Normal-table"/>
              <w:cnfStyle w:val="000000100000" w:firstRow="0" w:lastRow="0" w:firstColumn="0" w:lastColumn="0" w:oddVBand="0" w:evenVBand="0" w:oddHBand="1" w:evenHBand="0" w:firstRowFirstColumn="0" w:firstRowLastColumn="0" w:lastRowFirstColumn="0" w:lastRowLastColumn="0"/>
            </w:pPr>
          </w:p>
        </w:tc>
      </w:tr>
      <w:tr w:rsidR="00A81C4F" w:rsidRPr="007C3F5E" w14:paraId="3B703182" w14:textId="77777777" w:rsidTr="00326868">
        <w:tc>
          <w:tcPr>
            <w:cnfStyle w:val="001000000000" w:firstRow="0" w:lastRow="0" w:firstColumn="1" w:lastColumn="0" w:oddVBand="0" w:evenVBand="0" w:oddHBand="0" w:evenHBand="0" w:firstRowFirstColumn="0" w:firstRowLastColumn="0" w:lastRowFirstColumn="0" w:lastRowLastColumn="0"/>
            <w:tcW w:w="4303" w:type="pct"/>
          </w:tcPr>
          <w:p w14:paraId="469187ED" w14:textId="77777777" w:rsidR="00A81C4F" w:rsidRPr="00A815C4" w:rsidRDefault="00A81C4F" w:rsidP="001B7ABF">
            <w:pPr>
              <w:pStyle w:val="Normal-table"/>
            </w:pPr>
            <w:r w:rsidRPr="008C4569">
              <w:t>Table 74: Passenger transport operator payments: Rest of Queensland—Regional railbus</w:t>
            </w:r>
          </w:p>
        </w:tc>
        <w:tc>
          <w:tcPr>
            <w:tcW w:w="697" w:type="pct"/>
          </w:tcPr>
          <w:p w14:paraId="58186890" w14:textId="77777777" w:rsidR="00A81C4F" w:rsidRPr="005F572F" w:rsidRDefault="00A81C4F" w:rsidP="001B7ABF">
            <w:pPr>
              <w:pStyle w:val="Normal-table"/>
              <w:cnfStyle w:val="000000000000" w:firstRow="0" w:lastRow="0" w:firstColumn="0" w:lastColumn="0" w:oddVBand="0" w:evenVBand="0" w:oddHBand="0" w:evenHBand="0" w:firstRowFirstColumn="0" w:firstRowLastColumn="0" w:lastRowFirstColumn="0" w:lastRowLastColumn="0"/>
            </w:pPr>
          </w:p>
        </w:tc>
      </w:tr>
      <w:tr w:rsidR="00A81C4F" w:rsidRPr="007C3F5E" w14:paraId="535655CA" w14:textId="77777777" w:rsidTr="00326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3" w:type="pct"/>
          </w:tcPr>
          <w:p w14:paraId="5A280FDB" w14:textId="77777777" w:rsidR="00A81C4F" w:rsidRPr="005F572F" w:rsidRDefault="00A81C4F" w:rsidP="001B7ABF">
            <w:pPr>
              <w:pStyle w:val="Normal-table"/>
            </w:pPr>
            <w:r w:rsidRPr="00A554EC">
              <w:t>Table 75: Passenger transport operator payments: Rest of Queensland—Total payments</w:t>
            </w:r>
          </w:p>
        </w:tc>
        <w:tc>
          <w:tcPr>
            <w:tcW w:w="697" w:type="pct"/>
          </w:tcPr>
          <w:p w14:paraId="4DF53746" w14:textId="77777777" w:rsidR="00A81C4F" w:rsidRPr="005F572F" w:rsidRDefault="00A81C4F" w:rsidP="001B7ABF">
            <w:pPr>
              <w:pStyle w:val="Normal-table"/>
              <w:cnfStyle w:val="000000100000" w:firstRow="0" w:lastRow="0" w:firstColumn="0" w:lastColumn="0" w:oddVBand="0" w:evenVBand="0" w:oddHBand="1" w:evenHBand="0" w:firstRowFirstColumn="0" w:firstRowLastColumn="0" w:lastRowFirstColumn="0" w:lastRowLastColumn="0"/>
            </w:pPr>
          </w:p>
        </w:tc>
      </w:tr>
    </w:tbl>
    <w:p w14:paraId="0E2DA683" w14:textId="77777777" w:rsidR="00916DF7" w:rsidRDefault="00916DF7">
      <w:pPr>
        <w:spacing w:before="0" w:after="160" w:line="259" w:lineRule="auto"/>
      </w:pPr>
      <w:r>
        <w:br w:type="page"/>
      </w:r>
    </w:p>
    <w:p w14:paraId="087CDCD1" w14:textId="1779AD67" w:rsidR="00631085" w:rsidRPr="00AF0EC5" w:rsidRDefault="00916DF7" w:rsidP="00AF0EC5">
      <w:r>
        <w:rPr>
          <w:noProof/>
        </w:rPr>
        <w:lastRenderedPageBreak/>
        <w:drawing>
          <wp:inline distT="0" distB="0" distL="0" distR="0" wp14:anchorId="54CE275C" wp14:editId="1CC23B74">
            <wp:extent cx="6672547" cy="9439213"/>
            <wp:effectExtent l="0" t="0" r="0" b="0"/>
            <wp:docPr id="21" name="Picture 21" descr="Annual Report 2022-23 Department of Transport and Main Roads en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nnual Report 2022-23 Department of Transport and Main Roads end page"/>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684638" cy="9456317"/>
                    </a:xfrm>
                    <a:prstGeom prst="rect">
                      <a:avLst/>
                    </a:prstGeom>
                    <a:noFill/>
                    <a:ln>
                      <a:noFill/>
                    </a:ln>
                  </pic:spPr>
                </pic:pic>
              </a:graphicData>
            </a:graphic>
          </wp:inline>
        </w:drawing>
      </w:r>
    </w:p>
    <w:sectPr w:rsidR="00631085" w:rsidRPr="00AF0EC5" w:rsidSect="006C10DB">
      <w:headerReference w:type="default" r:id="rId144"/>
      <w:footerReference w:type="default" r:id="rId145"/>
      <w:pgSz w:w="11906" w:h="16838"/>
      <w:pgMar w:top="720" w:right="720" w:bottom="720" w:left="720"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6A27F" w14:textId="77777777" w:rsidR="003F16DF" w:rsidRDefault="003F16DF" w:rsidP="00805A93">
      <w:pPr>
        <w:spacing w:before="0"/>
      </w:pPr>
      <w:r>
        <w:separator/>
      </w:r>
    </w:p>
  </w:endnote>
  <w:endnote w:type="continuationSeparator" w:id="0">
    <w:p w14:paraId="7CE9C371" w14:textId="77777777" w:rsidR="003F16DF" w:rsidRDefault="003F16DF" w:rsidP="00805A9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 Pro">
    <w:altName w:val="Calibri"/>
    <w:panose1 w:val="02000503040000020004"/>
    <w:charset w:val="00"/>
    <w:family w:val="modern"/>
    <w:notTrueType/>
    <w:pitch w:val="variable"/>
    <w:sig w:usb0="A00002FF" w:usb1="5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 w:name="Arial-Italic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Arial-BoldItalic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6AAFA" w14:textId="77777777" w:rsidR="00BC5219" w:rsidRPr="00336B3C" w:rsidRDefault="00BC5219">
    <w:pPr>
      <w:pStyle w:val="Footer"/>
      <w:rPr>
        <w:rFonts w:ascii="Meta Pro" w:hAnsi="Meta Pro"/>
      </w:rPr>
    </w:pPr>
  </w:p>
  <w:p w14:paraId="7619EE8A" w14:textId="77777777" w:rsidR="00BC5219" w:rsidRDefault="00BC521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2001F" w14:textId="77777777" w:rsidR="00BC5219" w:rsidRPr="00827FD3" w:rsidRDefault="00BC5219" w:rsidP="008F1E5A">
    <w:pPr>
      <w:pStyle w:val="Footer"/>
      <w:rPr>
        <w:rFonts w:ascii="Meta Pro" w:hAnsi="Meta Pro"/>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6CCB5" w14:textId="77777777" w:rsidR="00BC5219" w:rsidRPr="00827FD3" w:rsidRDefault="00BC5219" w:rsidP="00F47E55">
    <w:pPr>
      <w:pStyle w:val="Footer"/>
      <w:tabs>
        <w:tab w:val="clear" w:pos="4536"/>
        <w:tab w:val="clear" w:pos="9072"/>
        <w:tab w:val="left" w:pos="839"/>
      </w:tabs>
      <w:rPr>
        <w:rFonts w:ascii="Meta Pro" w:hAnsi="Meta Pro"/>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E8092" w14:textId="77777777" w:rsidR="00BC5219" w:rsidRPr="0068366A" w:rsidRDefault="00BC5219" w:rsidP="00F47E55">
    <w:pPr>
      <w:pStyle w:val="Footer"/>
      <w:tabs>
        <w:tab w:val="left" w:pos="6574"/>
        <w:tab w:val="right" w:pos="9638"/>
      </w:tabs>
      <w:rPr>
        <w:rFonts w:ascii="Meta Pro" w:hAnsi="Meta Pro"/>
      </w:rPr>
    </w:pPr>
  </w:p>
  <w:p w14:paraId="7EF76E33" w14:textId="77777777" w:rsidR="00BC5219" w:rsidRPr="00827FD3" w:rsidRDefault="00BC5219" w:rsidP="008F1E5A">
    <w:pPr>
      <w:pStyle w:val="Footer"/>
      <w:rPr>
        <w:rFonts w:ascii="Meta Pro" w:hAnsi="Meta Pro"/>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23BB6" w14:textId="6B3390B5" w:rsidR="00BC5219" w:rsidRPr="00827FD3" w:rsidRDefault="00BC5219" w:rsidP="0046713F">
    <w:pPr>
      <w:pStyle w:val="Footer"/>
      <w:tabs>
        <w:tab w:val="clear" w:pos="4536"/>
        <w:tab w:val="clear" w:pos="9072"/>
        <w:tab w:val="left" w:pos="4089"/>
      </w:tabs>
      <w:rPr>
        <w:rFonts w:ascii="Meta Pro" w:hAnsi="Meta Pro"/>
      </w:rPr>
    </w:pPr>
    <w:r>
      <w:rPr>
        <w:rFonts w:ascii="Meta Pro" w:hAnsi="Meta Pro"/>
      </w:rPr>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578FD" w14:textId="08E22CA6" w:rsidR="00BC5219" w:rsidRPr="00827FD3" w:rsidRDefault="00BC5219" w:rsidP="00C8395C">
    <w:pPr>
      <w:pStyle w:val="Footer"/>
      <w:rPr>
        <w:rFonts w:ascii="Meta Pro" w:hAnsi="Meta Pro"/>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C61E0" w14:textId="77777777" w:rsidR="00BC5219" w:rsidRPr="0068366A" w:rsidRDefault="00BC5219" w:rsidP="00963736">
    <w:pPr>
      <w:pStyle w:val="Footer"/>
      <w:rPr>
        <w:rFonts w:ascii="Meta Pro" w:hAnsi="Meta Pro"/>
      </w:rPr>
    </w:pPr>
  </w:p>
  <w:p w14:paraId="42E37E2E" w14:textId="77777777" w:rsidR="00BC5219" w:rsidRPr="00827FD3" w:rsidRDefault="00BC5219" w:rsidP="008F1E5A">
    <w:pPr>
      <w:pStyle w:val="Footer"/>
      <w:rPr>
        <w:rFonts w:ascii="Meta Pro" w:hAnsi="Meta Pro"/>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6CE99" w14:textId="77777777" w:rsidR="00BC5219" w:rsidRDefault="00BC5219" w:rsidP="00FE0795">
    <w:pPr>
      <w:pStyle w:val="Footer"/>
      <w:rPr>
        <w:rFonts w:ascii="Meta Pro" w:hAnsi="Meta Pro"/>
      </w:rPr>
    </w:pPr>
  </w:p>
  <w:p w14:paraId="1DF07590" w14:textId="77777777" w:rsidR="00BC5219" w:rsidRPr="0068366A" w:rsidRDefault="00BC5219" w:rsidP="00963736">
    <w:pPr>
      <w:pStyle w:val="Footer"/>
      <w:jc w:val="right"/>
      <w:rPr>
        <w:rFonts w:ascii="Meta Pro" w:hAnsi="Meta Pro"/>
      </w:rPr>
    </w:pPr>
  </w:p>
  <w:p w14:paraId="2CDACEB6" w14:textId="77777777" w:rsidR="00BC5219" w:rsidRPr="00827FD3" w:rsidRDefault="00BC5219" w:rsidP="008F1E5A">
    <w:pPr>
      <w:pStyle w:val="Footer"/>
      <w:rPr>
        <w:rFonts w:ascii="Meta Pro" w:hAnsi="Meta Pro"/>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DF7C3" w14:textId="77777777" w:rsidR="00BC5219" w:rsidRPr="0068366A" w:rsidRDefault="00BC5219" w:rsidP="00F47E55">
    <w:pPr>
      <w:pStyle w:val="Footer"/>
      <w:jc w:val="right"/>
      <w:rPr>
        <w:rFonts w:ascii="Meta Pro" w:hAnsi="Meta Pro"/>
      </w:rPr>
    </w:pPr>
  </w:p>
  <w:p w14:paraId="2A36D59F" w14:textId="77777777" w:rsidR="00BC5219" w:rsidRPr="00827FD3" w:rsidRDefault="00BC5219" w:rsidP="008F1E5A">
    <w:pPr>
      <w:pStyle w:val="Footer"/>
      <w:rPr>
        <w:rFonts w:ascii="Meta Pro" w:hAnsi="Meta Pro"/>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C6904" w14:textId="77777777" w:rsidR="00BC5219" w:rsidRPr="0068366A" w:rsidRDefault="00BC5219" w:rsidP="00F47E55">
    <w:pPr>
      <w:pStyle w:val="Footer"/>
      <w:rPr>
        <w:rFonts w:ascii="Meta Pro" w:hAnsi="Meta Pro"/>
      </w:rPr>
    </w:pPr>
  </w:p>
  <w:p w14:paraId="25C59AEB" w14:textId="77777777" w:rsidR="00BC5219" w:rsidRPr="00827FD3" w:rsidRDefault="00BC5219" w:rsidP="008F1E5A">
    <w:pPr>
      <w:pStyle w:val="Footer"/>
      <w:rPr>
        <w:rFonts w:ascii="Meta Pro" w:hAnsi="Meta Pro"/>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942D9" w14:textId="77777777" w:rsidR="00BC5219" w:rsidRPr="0068366A" w:rsidRDefault="00BC5219" w:rsidP="00963736">
    <w:pPr>
      <w:pStyle w:val="Footer"/>
      <w:rPr>
        <w:rFonts w:ascii="Meta Pro" w:hAnsi="Meta Pro"/>
      </w:rPr>
    </w:pPr>
  </w:p>
  <w:p w14:paraId="65162C50" w14:textId="77777777" w:rsidR="00BC5219" w:rsidRPr="00827FD3" w:rsidRDefault="00BC5219" w:rsidP="008F1E5A">
    <w:pPr>
      <w:pStyle w:val="Footer"/>
      <w:rPr>
        <w:rFonts w:ascii="Meta Pro" w:hAnsi="Meta Pr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76E28" w14:textId="77777777" w:rsidR="00BC5219" w:rsidRPr="0071708B" w:rsidRDefault="00BC5219">
    <w:pPr>
      <w:pStyle w:val="Footer"/>
      <w:jc w:val="right"/>
      <w:rPr>
        <w:rFonts w:ascii="Meta Pro" w:hAnsi="Meta Pro"/>
      </w:rPr>
    </w:pPr>
  </w:p>
  <w:p w14:paraId="3D19CC0C" w14:textId="77777777" w:rsidR="00BC5219" w:rsidRDefault="00BC5219">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648A6" w14:textId="77777777" w:rsidR="00BC5219" w:rsidRPr="0068366A" w:rsidRDefault="00BC5219" w:rsidP="003A5FC6">
    <w:pPr>
      <w:pStyle w:val="Footer"/>
      <w:rPr>
        <w:rFonts w:ascii="Meta Pro" w:hAnsi="Meta Pro"/>
      </w:rPr>
    </w:pPr>
    <w:r>
      <w:rPr>
        <w:rFonts w:ascii="Meta Pro" w:hAnsi="Meta Pro"/>
      </w:rPr>
      <w:t>32</w:t>
    </w:r>
  </w:p>
  <w:p w14:paraId="4A2DDEEC" w14:textId="77777777" w:rsidR="00BC5219" w:rsidRPr="00827FD3" w:rsidRDefault="00BC5219" w:rsidP="008F1E5A">
    <w:pPr>
      <w:pStyle w:val="Footer"/>
      <w:rPr>
        <w:rFonts w:ascii="Meta Pro" w:hAnsi="Meta Pro"/>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2A509" w14:textId="77777777" w:rsidR="00BC5219" w:rsidRPr="0068366A" w:rsidRDefault="00BC5219" w:rsidP="001D31D4">
    <w:pPr>
      <w:pStyle w:val="Footer"/>
      <w:rPr>
        <w:rFonts w:ascii="Meta Pro" w:hAnsi="Meta Pro"/>
      </w:rPr>
    </w:pPr>
  </w:p>
  <w:p w14:paraId="2CE24048" w14:textId="77777777" w:rsidR="00BC5219" w:rsidRPr="00827FD3" w:rsidRDefault="00BC5219" w:rsidP="008F1E5A">
    <w:pPr>
      <w:pStyle w:val="Footer"/>
      <w:rPr>
        <w:rFonts w:ascii="Meta Pro" w:hAnsi="Meta Pro"/>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A403F" w14:textId="77777777" w:rsidR="00BC5219" w:rsidRPr="0068366A" w:rsidRDefault="00BC5219" w:rsidP="00963736">
    <w:pPr>
      <w:pStyle w:val="Footer"/>
      <w:jc w:val="right"/>
      <w:rPr>
        <w:rFonts w:ascii="Meta Pro" w:hAnsi="Meta Pro"/>
      </w:rPr>
    </w:pPr>
  </w:p>
  <w:p w14:paraId="68BF8182" w14:textId="77777777" w:rsidR="00BC5219" w:rsidRPr="00827FD3" w:rsidRDefault="00BC5219" w:rsidP="008F1E5A">
    <w:pPr>
      <w:pStyle w:val="Footer"/>
      <w:rPr>
        <w:rFonts w:ascii="Meta Pro" w:hAnsi="Meta Pro"/>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DEC2A" w14:textId="77777777" w:rsidR="00BC5219" w:rsidRPr="0068366A" w:rsidRDefault="00BC5219" w:rsidP="00963736">
    <w:pPr>
      <w:pStyle w:val="Footer"/>
      <w:jc w:val="right"/>
      <w:rPr>
        <w:rFonts w:ascii="Meta Pro" w:hAnsi="Meta Pro"/>
      </w:rPr>
    </w:pPr>
  </w:p>
  <w:p w14:paraId="3BD9D5B5" w14:textId="77777777" w:rsidR="00BC5219" w:rsidRPr="00827FD3" w:rsidRDefault="00BC5219" w:rsidP="008F1E5A">
    <w:pPr>
      <w:pStyle w:val="Footer"/>
      <w:rPr>
        <w:rFonts w:ascii="Meta Pro" w:hAnsi="Meta Pro"/>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DDF20" w14:textId="77777777" w:rsidR="00BC5219" w:rsidRPr="0068366A" w:rsidRDefault="00BC5219" w:rsidP="00963736">
    <w:pPr>
      <w:pStyle w:val="Footer"/>
      <w:jc w:val="right"/>
      <w:rPr>
        <w:rFonts w:ascii="Meta Pro" w:hAnsi="Meta Pro"/>
      </w:rPr>
    </w:pPr>
  </w:p>
  <w:p w14:paraId="77958A44" w14:textId="77777777" w:rsidR="00BC5219" w:rsidRPr="00827FD3" w:rsidRDefault="00BC5219" w:rsidP="008F1E5A">
    <w:pPr>
      <w:pStyle w:val="Footer"/>
      <w:rPr>
        <w:rFonts w:ascii="Meta Pro" w:hAnsi="Meta Pro"/>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E1909" w14:textId="77777777" w:rsidR="00BC5219" w:rsidRPr="0068366A" w:rsidRDefault="00BC5219" w:rsidP="00963736">
    <w:pPr>
      <w:pStyle w:val="Footer"/>
      <w:jc w:val="right"/>
      <w:rPr>
        <w:rFonts w:ascii="Meta Pro" w:hAnsi="Meta Pro"/>
      </w:rPr>
    </w:pPr>
  </w:p>
  <w:p w14:paraId="3CD34C15" w14:textId="77777777" w:rsidR="00BC5219" w:rsidRPr="00827FD3" w:rsidRDefault="00BC5219" w:rsidP="008F1E5A">
    <w:pPr>
      <w:pStyle w:val="Footer"/>
      <w:rPr>
        <w:rFonts w:ascii="Meta Pro" w:hAnsi="Meta Pro"/>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CC310" w14:textId="77777777" w:rsidR="00BC5219" w:rsidRPr="0068366A" w:rsidRDefault="00BC5219" w:rsidP="000D5A37">
    <w:pPr>
      <w:pStyle w:val="Footer"/>
      <w:jc w:val="right"/>
      <w:rPr>
        <w:rFonts w:ascii="Meta Pro" w:hAnsi="Meta Pro"/>
      </w:rPr>
    </w:pPr>
  </w:p>
  <w:p w14:paraId="04841EE6" w14:textId="77777777" w:rsidR="00BC5219" w:rsidRPr="00827FD3" w:rsidRDefault="00BC5219" w:rsidP="008F1E5A">
    <w:pPr>
      <w:pStyle w:val="Footer"/>
      <w:rPr>
        <w:rFonts w:ascii="Meta Pro" w:hAnsi="Meta Pro"/>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488C8" w14:textId="77777777" w:rsidR="00BC5219" w:rsidRPr="00827FD3" w:rsidRDefault="00BC5219" w:rsidP="008F1E5A">
    <w:pPr>
      <w:pStyle w:val="Footer"/>
      <w:rPr>
        <w:rFonts w:ascii="Meta Pro" w:hAnsi="Meta Pro"/>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837D2" w14:textId="77777777" w:rsidR="00BC5219" w:rsidRPr="005F1311" w:rsidRDefault="00BC5219" w:rsidP="005F1311">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22562" w14:textId="77777777" w:rsidR="006D5007" w:rsidRPr="005F1311" w:rsidRDefault="006D5007" w:rsidP="00F25C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357D4" w14:textId="77777777" w:rsidR="00BC5219" w:rsidRPr="0071708B" w:rsidRDefault="00BC5219">
    <w:pPr>
      <w:pStyle w:val="Footer"/>
      <w:jc w:val="right"/>
      <w:rPr>
        <w:rFonts w:ascii="Meta Pro" w:hAnsi="Meta Pro"/>
      </w:rPr>
    </w:pPr>
  </w:p>
  <w:p w14:paraId="4FFD4AAD" w14:textId="77777777" w:rsidR="00BC5219" w:rsidRDefault="00BC521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E5DBB" w14:textId="654FA84E" w:rsidR="00BC5219" w:rsidRPr="00293D61" w:rsidRDefault="00BC5219" w:rsidP="00D55949">
    <w:pPr>
      <w:pStyle w:val="Footer"/>
      <w:tabs>
        <w:tab w:val="clear" w:pos="4536"/>
        <w:tab w:val="clear" w:pos="9072"/>
        <w:tab w:val="left" w:pos="11127"/>
      </w:tabs>
      <w:rPr>
        <w:rFonts w:ascii="Meta Pro" w:hAnsi="Meta Pro"/>
      </w:rPr>
    </w:pPr>
    <w:r>
      <w:rPr>
        <w:rFonts w:ascii="Meta Pro" w:hAnsi="Meta Pro"/>
        <w:noProof/>
      </w:rPr>
      <w:tab/>
    </w:r>
  </w:p>
  <w:p w14:paraId="497E9990" w14:textId="77777777" w:rsidR="00BC5219" w:rsidRDefault="00BC521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8FA70" w14:textId="77777777" w:rsidR="00BC5219" w:rsidRPr="00827FD3" w:rsidRDefault="00BC5219">
    <w:pPr>
      <w:pStyle w:val="Footer"/>
      <w:rPr>
        <w:rFonts w:ascii="Meta Pro" w:hAnsi="Meta Pro"/>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B7FBB" w14:textId="77777777" w:rsidR="00BC5219" w:rsidRPr="00827FD3" w:rsidRDefault="00BC5219">
    <w:pPr>
      <w:pStyle w:val="Footer"/>
      <w:rPr>
        <w:rFonts w:ascii="Meta Pro" w:hAnsi="Meta Pro"/>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848EA" w14:textId="77777777" w:rsidR="00BC5219" w:rsidRPr="00C46EB5" w:rsidRDefault="00BC5219" w:rsidP="00C46EB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3C91B" w14:textId="77777777" w:rsidR="00BC5219" w:rsidRPr="00827FD3" w:rsidRDefault="00BC5219" w:rsidP="008F1E5A">
    <w:pPr>
      <w:pStyle w:val="Footer"/>
      <w:rPr>
        <w:rFonts w:ascii="Meta Pro" w:hAnsi="Meta Pro"/>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D660F" w14:textId="77777777" w:rsidR="00BC5219" w:rsidRPr="00827FD3" w:rsidRDefault="00BC5219" w:rsidP="008F1E5A">
    <w:pPr>
      <w:pStyle w:val="Footer"/>
      <w:rPr>
        <w:rFonts w:ascii="Meta Pro" w:hAnsi="Meta Pr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5C9F7" w14:textId="77777777" w:rsidR="003F16DF" w:rsidRDefault="003F16DF" w:rsidP="00805A93">
      <w:pPr>
        <w:spacing w:before="0"/>
      </w:pPr>
      <w:r>
        <w:separator/>
      </w:r>
    </w:p>
  </w:footnote>
  <w:footnote w:type="continuationSeparator" w:id="0">
    <w:p w14:paraId="5B7E1954" w14:textId="77777777" w:rsidR="003F16DF" w:rsidRDefault="003F16DF" w:rsidP="00805A93">
      <w:pPr>
        <w:spacing w:before="0"/>
      </w:pPr>
      <w:r>
        <w:continuationSeparator/>
      </w:r>
    </w:p>
  </w:footnote>
  <w:footnote w:id="1">
    <w:p w14:paraId="18C590F3" w14:textId="77777777" w:rsidR="00805A93" w:rsidRDefault="00805A93" w:rsidP="00A53E9C">
      <w:pPr>
        <w:pStyle w:val="FootnoteText"/>
      </w:pPr>
      <w:r>
        <w:footnoteRef/>
      </w:r>
      <w:r>
        <w:t xml:space="preserve"> Data source: A Road Management Information System (ARMIS) 30 June 2023</w:t>
      </w:r>
    </w:p>
  </w:footnote>
  <w:footnote w:id="2">
    <w:p w14:paraId="6E566ECD" w14:textId="77777777" w:rsidR="00805A93" w:rsidRDefault="00805A93" w:rsidP="00A53E9C">
      <w:pPr>
        <w:pStyle w:val="FootnoteText"/>
      </w:pPr>
      <w:r>
        <w:footnoteRef/>
      </w:r>
      <w:r>
        <w:t xml:space="preserve"> Data source: A Road Management Information System (ARMIS) 30 June 2023</w:t>
      </w:r>
    </w:p>
  </w:footnote>
  <w:footnote w:id="3">
    <w:p w14:paraId="04E594FA" w14:textId="77777777" w:rsidR="00805A93" w:rsidRDefault="00805A93" w:rsidP="00A53E9C">
      <w:pPr>
        <w:pStyle w:val="FootnoteText"/>
      </w:pPr>
      <w:r>
        <w:footnoteRef/>
      </w:r>
      <w:r>
        <w:t xml:space="preserve"> </w:t>
      </w:r>
      <w:r w:rsidRPr="00B75F0A">
        <w:t>Data source: Bridge Information System (BIS), 30 June 2023</w:t>
      </w:r>
    </w:p>
  </w:footnote>
  <w:footnote w:id="4">
    <w:p w14:paraId="769100E0" w14:textId="77777777" w:rsidR="00805A93" w:rsidRPr="00A53E9C" w:rsidRDefault="00805A93" w:rsidP="00805A93">
      <w:pPr>
        <w:rPr>
          <w:rStyle w:val="FootnoteTextChar"/>
        </w:rPr>
      </w:pPr>
      <w:r>
        <w:footnoteRef/>
      </w:r>
      <w:r>
        <w:t xml:space="preserve"> Data </w:t>
      </w:r>
      <w:r w:rsidRPr="00A53E9C">
        <w:rPr>
          <w:rStyle w:val="FootnoteTextChar"/>
        </w:rPr>
        <w:t xml:space="preserve">source: Queensland Government Statistician's Office (Queensland Treasury), Queensland Regional Profiles. </w:t>
      </w:r>
      <w:hyperlink r:id="rId1" w:history="1">
        <w:r w:rsidRPr="00A53E9C">
          <w:rPr>
            <w:rStyle w:val="FootnoteTextChar"/>
          </w:rPr>
          <w:t>www.qgso.qld.gov.au</w:t>
        </w:r>
      </w:hyperlink>
      <w:r w:rsidRPr="00A53E9C">
        <w:rPr>
          <w:rStyle w:val="FootnoteTextChar"/>
        </w:rPr>
        <w:t>, July 2023</w:t>
      </w:r>
    </w:p>
  </w:footnote>
  <w:footnote w:id="5">
    <w:p w14:paraId="33DB8B36" w14:textId="77777777" w:rsidR="00805A93" w:rsidRDefault="00805A93" w:rsidP="00E6328B">
      <w:pPr>
        <w:pStyle w:val="FootnoteText"/>
      </w:pPr>
      <w:r>
        <w:footnoteRef/>
      </w:r>
      <w:r>
        <w:t xml:space="preserve"> Data source: A Road Management Information System (ARMIS) 30 June 2023</w:t>
      </w:r>
    </w:p>
  </w:footnote>
  <w:footnote w:id="6">
    <w:p w14:paraId="08785795" w14:textId="77777777" w:rsidR="00805A93" w:rsidRDefault="00805A93" w:rsidP="00E6328B">
      <w:pPr>
        <w:pStyle w:val="FootnoteText"/>
      </w:pPr>
      <w:r>
        <w:footnoteRef/>
      </w:r>
      <w:r>
        <w:t xml:space="preserve"> Data source: A Road Management Information System (ARMIS) 30 June 2023</w:t>
      </w:r>
    </w:p>
  </w:footnote>
  <w:footnote w:id="7">
    <w:p w14:paraId="0BC4B51E" w14:textId="77777777" w:rsidR="00805A93" w:rsidRDefault="00805A93" w:rsidP="00E6328B">
      <w:pPr>
        <w:pStyle w:val="FootnoteText"/>
      </w:pPr>
      <w:r>
        <w:footnoteRef/>
      </w:r>
      <w:r>
        <w:t xml:space="preserve"> </w:t>
      </w:r>
      <w:r w:rsidRPr="00B75F0A">
        <w:t>Data source: Bridge Information System (BIS), 30 June 2023</w:t>
      </w:r>
    </w:p>
  </w:footnote>
  <w:footnote w:id="8">
    <w:p w14:paraId="1464E60A" w14:textId="77777777" w:rsidR="00805A93" w:rsidRDefault="00805A93" w:rsidP="00E6328B">
      <w:pPr>
        <w:pStyle w:val="FootnoteText"/>
      </w:pPr>
      <w:r>
        <w:footnoteRef/>
      </w:r>
      <w:r>
        <w:t xml:space="preserve"> Data source: Queensland Government Statistician's Office (Queensland Treasury), Queensland Regional Profiles. </w:t>
      </w:r>
      <w:hyperlink r:id="rId2" w:history="1">
        <w:r w:rsidRPr="00B51D0B">
          <w:rPr>
            <w:rStyle w:val="Hyperlink"/>
          </w:rPr>
          <w:t>www.qgso.qld.gov.au</w:t>
        </w:r>
      </w:hyperlink>
      <w:r>
        <w:t>, July 2023</w:t>
      </w:r>
    </w:p>
  </w:footnote>
  <w:footnote w:id="9">
    <w:p w14:paraId="7DD9D290" w14:textId="77777777" w:rsidR="00805A93" w:rsidRPr="00E6328B" w:rsidRDefault="00805A93" w:rsidP="00E6328B">
      <w:pPr>
        <w:pStyle w:val="FootnoteText"/>
      </w:pPr>
      <w:r w:rsidRPr="00E6328B">
        <w:footnoteRef/>
      </w:r>
      <w:r w:rsidRPr="00E6328B">
        <w:t xml:space="preserve"> Data source: A Road Management Information System (ARMIS) 30 June 2023</w:t>
      </w:r>
    </w:p>
  </w:footnote>
  <w:footnote w:id="10">
    <w:p w14:paraId="286FE2B6" w14:textId="77777777" w:rsidR="00805A93" w:rsidRPr="00E6328B" w:rsidRDefault="00805A93" w:rsidP="00E6328B">
      <w:pPr>
        <w:pStyle w:val="FootnoteText"/>
      </w:pPr>
      <w:r w:rsidRPr="00E6328B">
        <w:footnoteRef/>
      </w:r>
      <w:r w:rsidRPr="00E6328B">
        <w:t xml:space="preserve"> Data source: A Road Management Information System (ARMIS) 30 June 2023</w:t>
      </w:r>
    </w:p>
  </w:footnote>
  <w:footnote w:id="11">
    <w:p w14:paraId="67593875" w14:textId="77777777" w:rsidR="00805A93" w:rsidRPr="00E6328B" w:rsidRDefault="00805A93" w:rsidP="00E6328B">
      <w:pPr>
        <w:pStyle w:val="FootnoteText"/>
      </w:pPr>
      <w:r w:rsidRPr="00E6328B">
        <w:footnoteRef/>
      </w:r>
      <w:r w:rsidRPr="00E6328B">
        <w:t xml:space="preserve"> Data source: Bridge Information System (BIS), 30 June 2023</w:t>
      </w:r>
    </w:p>
  </w:footnote>
  <w:footnote w:id="12">
    <w:p w14:paraId="64D7C043" w14:textId="77777777" w:rsidR="00805A93" w:rsidRPr="00E6328B" w:rsidRDefault="00805A93" w:rsidP="00E6328B">
      <w:pPr>
        <w:pStyle w:val="FootnoteText"/>
      </w:pPr>
      <w:r w:rsidRPr="00E6328B">
        <w:footnoteRef/>
      </w:r>
      <w:r w:rsidRPr="00E6328B">
        <w:t xml:space="preserve"> Data source: Queensland Government Statistician's Office (Queensland Treasury), Queensland Regional Profiles. </w:t>
      </w:r>
      <w:hyperlink r:id="rId3" w:history="1">
        <w:r w:rsidRPr="00445B7C">
          <w:rPr>
            <w:rStyle w:val="Hyperlink"/>
          </w:rPr>
          <w:t>www.qgso.qld.gov.au</w:t>
        </w:r>
      </w:hyperlink>
      <w:r w:rsidRPr="00E6328B">
        <w:t>, July 2023</w:t>
      </w:r>
    </w:p>
  </w:footnote>
  <w:footnote w:id="13">
    <w:p w14:paraId="43F7A96D" w14:textId="77777777" w:rsidR="00805A93" w:rsidRPr="00E6328B" w:rsidRDefault="00805A93" w:rsidP="00E6328B">
      <w:pPr>
        <w:pStyle w:val="FootnoteText"/>
      </w:pPr>
      <w:r w:rsidRPr="00E6328B">
        <w:footnoteRef/>
      </w:r>
      <w:r w:rsidRPr="00E6328B">
        <w:t xml:space="preserve"> Data source: A Road Management Information System (ARMIS) 30 June 2023</w:t>
      </w:r>
    </w:p>
  </w:footnote>
  <w:footnote w:id="14">
    <w:p w14:paraId="0F2B8155" w14:textId="77777777" w:rsidR="00805A93" w:rsidRPr="00E6328B" w:rsidRDefault="00805A93" w:rsidP="00E6328B">
      <w:pPr>
        <w:pStyle w:val="FootnoteText"/>
      </w:pPr>
      <w:r w:rsidRPr="00E6328B">
        <w:footnoteRef/>
      </w:r>
      <w:r w:rsidRPr="00E6328B">
        <w:t xml:space="preserve"> Data source: A Road Management Information System (ARMIS) 30 June 2023</w:t>
      </w:r>
    </w:p>
  </w:footnote>
  <w:footnote w:id="15">
    <w:p w14:paraId="130D5F57" w14:textId="77777777" w:rsidR="00805A93" w:rsidRPr="00E6328B" w:rsidRDefault="00805A93" w:rsidP="00E6328B">
      <w:pPr>
        <w:pStyle w:val="FootnoteText"/>
      </w:pPr>
      <w:r w:rsidRPr="00E6328B">
        <w:footnoteRef/>
      </w:r>
      <w:r w:rsidRPr="00E6328B">
        <w:t xml:space="preserve"> Data source: Bridge Information System (BIS), 30 June 2023</w:t>
      </w:r>
    </w:p>
  </w:footnote>
  <w:footnote w:id="16">
    <w:p w14:paraId="030F4EB2" w14:textId="77777777" w:rsidR="00805A93" w:rsidRPr="00E6328B" w:rsidRDefault="00805A93" w:rsidP="00E6328B">
      <w:pPr>
        <w:pStyle w:val="FootnoteText"/>
      </w:pPr>
      <w:r w:rsidRPr="00E6328B">
        <w:footnoteRef/>
      </w:r>
      <w:r w:rsidRPr="00E6328B">
        <w:t xml:space="preserve"> Data source: Queensland Government Statistician's Office (Queensland Treasury), Queensland Regional Profiles. </w:t>
      </w:r>
      <w:hyperlink r:id="rId4" w:history="1">
        <w:r w:rsidRPr="00B00461">
          <w:rPr>
            <w:rStyle w:val="Hyperlink"/>
          </w:rPr>
          <w:t>www.qgso.qld.gov.au</w:t>
        </w:r>
      </w:hyperlink>
      <w:r w:rsidRPr="00E6328B">
        <w:t>, July 2023</w:t>
      </w:r>
    </w:p>
  </w:footnote>
  <w:footnote w:id="17">
    <w:p w14:paraId="7D4ABE14" w14:textId="77777777" w:rsidR="00805A93" w:rsidRPr="00E6328B" w:rsidRDefault="00805A93" w:rsidP="00E6328B">
      <w:pPr>
        <w:pStyle w:val="FootnoteText"/>
      </w:pPr>
      <w:r w:rsidRPr="00E6328B">
        <w:footnoteRef/>
      </w:r>
      <w:r w:rsidRPr="00E6328B">
        <w:t xml:space="preserve"> Data source: A Road Management Information System (ARMIS) 30 June 2023</w:t>
      </w:r>
    </w:p>
  </w:footnote>
  <w:footnote w:id="18">
    <w:p w14:paraId="376B070B" w14:textId="77777777" w:rsidR="00805A93" w:rsidRDefault="00805A93" w:rsidP="00805A93">
      <w:r>
        <w:footnoteRef/>
      </w:r>
      <w:r>
        <w:t xml:space="preserve"> Data source: A Road Management Information System (ARMIS) 30 June 2023</w:t>
      </w:r>
    </w:p>
  </w:footnote>
  <w:footnote w:id="19">
    <w:p w14:paraId="1FFA12A1" w14:textId="77777777" w:rsidR="00805A93" w:rsidRDefault="00805A93" w:rsidP="00805A93">
      <w:r>
        <w:footnoteRef/>
      </w:r>
      <w:r>
        <w:t xml:space="preserve"> </w:t>
      </w:r>
      <w:r w:rsidRPr="00B75F0A">
        <w:t>Data source: Bridge Information System (BIS), 30 June 2023</w:t>
      </w:r>
    </w:p>
  </w:footnote>
  <w:footnote w:id="20">
    <w:p w14:paraId="57A977F7" w14:textId="77777777" w:rsidR="00805A93" w:rsidRDefault="00805A93" w:rsidP="00805A93">
      <w:r>
        <w:footnoteRef/>
      </w:r>
      <w:r>
        <w:t xml:space="preserve"> Data source: Queensland Government Statistician's Office (Queensland Treasury), Queensland Regional Profiles. </w:t>
      </w:r>
      <w:hyperlink r:id="rId5" w:history="1">
        <w:r w:rsidRPr="00B51D0B">
          <w:rPr>
            <w:rStyle w:val="Hyperlink"/>
          </w:rPr>
          <w:t>www.qgso.qld.gov.au</w:t>
        </w:r>
      </w:hyperlink>
      <w:r>
        <w:t>, July 2023</w:t>
      </w:r>
    </w:p>
  </w:footnote>
  <w:footnote w:id="21">
    <w:p w14:paraId="1B6C1187" w14:textId="77777777" w:rsidR="00805A93" w:rsidRDefault="00805A93" w:rsidP="00E6328B">
      <w:pPr>
        <w:pStyle w:val="FootnoteText"/>
      </w:pPr>
      <w:r>
        <w:footnoteRef/>
      </w:r>
      <w:r>
        <w:t xml:space="preserve"> Data source: A Road Management Information System (ARMIS) 30 June 2023</w:t>
      </w:r>
    </w:p>
  </w:footnote>
  <w:footnote w:id="22">
    <w:p w14:paraId="1BE936DF" w14:textId="77777777" w:rsidR="00805A93" w:rsidRDefault="00805A93" w:rsidP="00E6328B">
      <w:pPr>
        <w:pStyle w:val="FootnoteText"/>
      </w:pPr>
      <w:r>
        <w:footnoteRef/>
      </w:r>
      <w:r>
        <w:t xml:space="preserve"> Data source: A Road Management Information System (ARMIS) 30 June 2023</w:t>
      </w:r>
    </w:p>
  </w:footnote>
  <w:footnote w:id="23">
    <w:p w14:paraId="5CEABFC8" w14:textId="77777777" w:rsidR="00805A93" w:rsidRDefault="00805A93" w:rsidP="00E6328B">
      <w:pPr>
        <w:pStyle w:val="FootnoteText"/>
      </w:pPr>
      <w:r>
        <w:footnoteRef/>
      </w:r>
      <w:r>
        <w:t xml:space="preserve"> </w:t>
      </w:r>
      <w:r w:rsidRPr="00B75F0A">
        <w:t>Data source: Bridge Information System (BIS), 30 June 2023</w:t>
      </w:r>
    </w:p>
  </w:footnote>
  <w:footnote w:id="24">
    <w:p w14:paraId="34CC5365" w14:textId="77777777" w:rsidR="00805A93" w:rsidRDefault="00805A93" w:rsidP="00E6328B">
      <w:pPr>
        <w:pStyle w:val="FootnoteText"/>
      </w:pPr>
      <w:r>
        <w:footnoteRef/>
      </w:r>
      <w:r>
        <w:t xml:space="preserve"> Data source: Queensland Government Statistician's Office (Queensland Treasury), Queensland Regional Profiles. </w:t>
      </w:r>
      <w:hyperlink r:id="rId6" w:history="1">
        <w:r w:rsidRPr="00B51D0B">
          <w:rPr>
            <w:rStyle w:val="Hyperlink"/>
          </w:rPr>
          <w:t>www.qgso.qld.gov.au</w:t>
        </w:r>
      </w:hyperlink>
      <w:r>
        <w:t>, July 2023</w:t>
      </w:r>
    </w:p>
  </w:footnote>
  <w:footnote w:id="25">
    <w:p w14:paraId="1DA80736" w14:textId="77777777" w:rsidR="00805A93" w:rsidRDefault="00805A93" w:rsidP="00E6328B">
      <w:pPr>
        <w:pStyle w:val="FootnoteText"/>
      </w:pPr>
      <w:r>
        <w:footnoteRef/>
      </w:r>
      <w:r>
        <w:t xml:space="preserve"> Data source: A Road Management Information System (ARMIS) 30 June 2023</w:t>
      </w:r>
    </w:p>
  </w:footnote>
  <w:footnote w:id="26">
    <w:p w14:paraId="52295AF6" w14:textId="77777777" w:rsidR="00805A93" w:rsidRDefault="00805A93" w:rsidP="00E6328B">
      <w:pPr>
        <w:pStyle w:val="FootnoteText"/>
      </w:pPr>
      <w:r>
        <w:footnoteRef/>
      </w:r>
      <w:r>
        <w:t xml:space="preserve"> Data source: A Road Management Information System (ARMIS) 30 June 2023</w:t>
      </w:r>
    </w:p>
  </w:footnote>
  <w:footnote w:id="27">
    <w:p w14:paraId="17937FFD" w14:textId="77777777" w:rsidR="00805A93" w:rsidRDefault="00805A93" w:rsidP="00E6328B">
      <w:pPr>
        <w:pStyle w:val="FootnoteText"/>
      </w:pPr>
      <w:r>
        <w:footnoteRef/>
      </w:r>
      <w:r>
        <w:t xml:space="preserve"> </w:t>
      </w:r>
      <w:r w:rsidRPr="00B75F0A">
        <w:t>Data source: *Bridge Information System (BIS), 30 June 2023</w:t>
      </w:r>
    </w:p>
  </w:footnote>
  <w:footnote w:id="28">
    <w:p w14:paraId="10A1C09D" w14:textId="77777777" w:rsidR="00805A93" w:rsidRDefault="00805A93" w:rsidP="00E6328B">
      <w:pPr>
        <w:pStyle w:val="FootnoteText"/>
      </w:pPr>
      <w:r>
        <w:footnoteRef/>
      </w:r>
      <w:r>
        <w:t xml:space="preserve"> Data source: Queensland Government Statistician's Office (Queensland Treasury), Queensland Regional Profiles. </w:t>
      </w:r>
      <w:hyperlink r:id="rId7" w:history="1">
        <w:r w:rsidRPr="00B51D0B">
          <w:rPr>
            <w:rStyle w:val="Hyperlink"/>
          </w:rPr>
          <w:t>www.qgso.qld.gov.au</w:t>
        </w:r>
      </w:hyperlink>
      <w:r>
        <w:t>, July 2023</w:t>
      </w:r>
    </w:p>
  </w:footnote>
  <w:footnote w:id="29">
    <w:p w14:paraId="28670740" w14:textId="77777777" w:rsidR="00805A93" w:rsidRDefault="00805A93" w:rsidP="00E6328B">
      <w:pPr>
        <w:pStyle w:val="FootnoteText"/>
      </w:pPr>
      <w:r>
        <w:footnoteRef/>
      </w:r>
      <w:r>
        <w:t xml:space="preserve"> Data source: A Road Management Information System (ARMIS) 30 June 2023</w:t>
      </w:r>
    </w:p>
  </w:footnote>
  <w:footnote w:id="30">
    <w:p w14:paraId="138DEF48" w14:textId="77777777" w:rsidR="00805A93" w:rsidRDefault="00805A93" w:rsidP="00E6328B">
      <w:pPr>
        <w:pStyle w:val="FootnoteText"/>
      </w:pPr>
      <w:r>
        <w:footnoteRef/>
      </w:r>
      <w:r>
        <w:t xml:space="preserve"> Data source: A Road Management Information System (ARMIS) 30 June 2023</w:t>
      </w:r>
    </w:p>
  </w:footnote>
  <w:footnote w:id="31">
    <w:p w14:paraId="47214624" w14:textId="77777777" w:rsidR="00805A93" w:rsidRDefault="00805A93" w:rsidP="00E6328B">
      <w:pPr>
        <w:pStyle w:val="FootnoteText"/>
      </w:pPr>
      <w:r>
        <w:footnoteRef/>
      </w:r>
      <w:r>
        <w:t xml:space="preserve"> </w:t>
      </w:r>
      <w:r w:rsidRPr="00B75F0A">
        <w:t>Data source: Bridge Information System (BIS), 30 June 2023</w:t>
      </w:r>
    </w:p>
  </w:footnote>
  <w:footnote w:id="32">
    <w:p w14:paraId="628CBAA1" w14:textId="77777777" w:rsidR="00805A93" w:rsidRDefault="00805A93" w:rsidP="00E6328B">
      <w:pPr>
        <w:pStyle w:val="FootnoteText"/>
      </w:pPr>
      <w:r>
        <w:footnoteRef/>
      </w:r>
      <w:r>
        <w:t xml:space="preserve"> Data source: Queensland Government Statistician's Office (Queensland Treasury), Queensland Regional Profiles. </w:t>
      </w:r>
      <w:hyperlink r:id="rId8" w:history="1">
        <w:r w:rsidRPr="00B51D0B">
          <w:rPr>
            <w:rStyle w:val="Hyperlink"/>
          </w:rPr>
          <w:t>www.qgso.qld.gov.au</w:t>
        </w:r>
      </w:hyperlink>
      <w:r>
        <w:t>, July 2023</w:t>
      </w:r>
    </w:p>
  </w:footnote>
  <w:footnote w:id="33">
    <w:p w14:paraId="4BE08D60" w14:textId="77777777" w:rsidR="00805A93" w:rsidRDefault="00805A93" w:rsidP="00E6328B">
      <w:pPr>
        <w:pStyle w:val="FootnoteText"/>
      </w:pPr>
      <w:r>
        <w:footnoteRef/>
      </w:r>
      <w:r>
        <w:t xml:space="preserve"> Data source: A Road Management Information System (ARMIS) 30 June 2023</w:t>
      </w:r>
    </w:p>
  </w:footnote>
  <w:footnote w:id="34">
    <w:p w14:paraId="009C8262" w14:textId="77777777" w:rsidR="00805A93" w:rsidRDefault="00805A93" w:rsidP="00E6328B">
      <w:pPr>
        <w:pStyle w:val="FootnoteText"/>
      </w:pPr>
      <w:r>
        <w:footnoteRef/>
      </w:r>
      <w:r>
        <w:t xml:space="preserve"> Data source: A Road Management Information System (ARMIS) 30 June 2023</w:t>
      </w:r>
    </w:p>
  </w:footnote>
  <w:footnote w:id="35">
    <w:p w14:paraId="0F42894D" w14:textId="77777777" w:rsidR="00805A93" w:rsidRDefault="00805A93" w:rsidP="00E6328B">
      <w:pPr>
        <w:pStyle w:val="FootnoteText"/>
      </w:pPr>
      <w:r>
        <w:footnoteRef/>
      </w:r>
      <w:r>
        <w:t xml:space="preserve"> </w:t>
      </w:r>
      <w:r w:rsidRPr="00B75F0A">
        <w:t>Data source: Bridge Information System (BIS), 30 June 2023</w:t>
      </w:r>
    </w:p>
  </w:footnote>
  <w:footnote w:id="36">
    <w:p w14:paraId="0699FC16" w14:textId="77777777" w:rsidR="00805A93" w:rsidRDefault="00805A93" w:rsidP="00E6328B">
      <w:pPr>
        <w:pStyle w:val="FootnoteText"/>
      </w:pPr>
      <w:r>
        <w:footnoteRef/>
      </w:r>
      <w:r>
        <w:t xml:space="preserve"> Data source: Queensland Government Statistician's Office (Queensland Treasury), Queensland Regional Profiles. </w:t>
      </w:r>
      <w:hyperlink r:id="rId9" w:history="1">
        <w:r w:rsidRPr="00B51D0B">
          <w:rPr>
            <w:rStyle w:val="Hyperlink"/>
          </w:rPr>
          <w:t>www.qgso.qld.gov.au</w:t>
        </w:r>
      </w:hyperlink>
      <w:r>
        <w:t>, July 2023</w:t>
      </w:r>
    </w:p>
  </w:footnote>
  <w:footnote w:id="37">
    <w:p w14:paraId="5C687DF1" w14:textId="77777777" w:rsidR="00805A93" w:rsidRDefault="00805A93" w:rsidP="00E6328B">
      <w:pPr>
        <w:pStyle w:val="FootnoteText"/>
      </w:pPr>
      <w:r>
        <w:footnoteRef/>
      </w:r>
      <w:r>
        <w:t xml:space="preserve"> Data source: A Road Management Information System (ARMIS) 30 June 2023</w:t>
      </w:r>
    </w:p>
  </w:footnote>
  <w:footnote w:id="38">
    <w:p w14:paraId="2FB4739C" w14:textId="77777777" w:rsidR="00805A93" w:rsidRDefault="00805A93" w:rsidP="00E6328B">
      <w:pPr>
        <w:pStyle w:val="FootnoteText"/>
      </w:pPr>
      <w:r>
        <w:footnoteRef/>
      </w:r>
      <w:r>
        <w:t xml:space="preserve"> Data source: A Road Management Information System (ARMIS) 30 June 2023</w:t>
      </w:r>
    </w:p>
  </w:footnote>
  <w:footnote w:id="39">
    <w:p w14:paraId="38C3FCCB" w14:textId="77777777" w:rsidR="00805A93" w:rsidRDefault="00805A93" w:rsidP="00E6328B">
      <w:pPr>
        <w:pStyle w:val="FootnoteText"/>
      </w:pPr>
      <w:r>
        <w:footnoteRef/>
      </w:r>
      <w:r>
        <w:t xml:space="preserve"> </w:t>
      </w:r>
      <w:r w:rsidRPr="00B75F0A">
        <w:t>Data source: *Bridge Information System (BIS), 30 June 2023</w:t>
      </w:r>
    </w:p>
  </w:footnote>
  <w:footnote w:id="40">
    <w:p w14:paraId="51C5B869" w14:textId="77777777" w:rsidR="00805A93" w:rsidRDefault="00805A93" w:rsidP="00E6328B">
      <w:pPr>
        <w:pStyle w:val="FootnoteText"/>
      </w:pPr>
      <w:r>
        <w:footnoteRef/>
      </w:r>
      <w:r>
        <w:t xml:space="preserve"> Data source: Queensland Government Statistician's Office (Queensland Treasury), Queensland Regional Profiles. </w:t>
      </w:r>
      <w:hyperlink r:id="rId10" w:history="1">
        <w:r w:rsidRPr="00B51D0B">
          <w:rPr>
            <w:rStyle w:val="Hyperlink"/>
          </w:rPr>
          <w:t>www.qgso.qld.gov.au</w:t>
        </w:r>
      </w:hyperlink>
      <w:r>
        <w:t>, July 2023</w:t>
      </w:r>
    </w:p>
  </w:footnote>
  <w:footnote w:id="41">
    <w:p w14:paraId="2940649F" w14:textId="77777777" w:rsidR="00805A93" w:rsidRDefault="00805A93" w:rsidP="00E6328B">
      <w:pPr>
        <w:pStyle w:val="FootnoteText"/>
      </w:pPr>
      <w:r>
        <w:footnoteRef/>
      </w:r>
      <w:r>
        <w:t xml:space="preserve"> Data source: A Road Management Information System (ARMIS) 30 June 2023</w:t>
      </w:r>
    </w:p>
  </w:footnote>
  <w:footnote w:id="42">
    <w:p w14:paraId="2660DE63" w14:textId="77777777" w:rsidR="00805A93" w:rsidRDefault="00805A93" w:rsidP="00E6328B">
      <w:pPr>
        <w:pStyle w:val="FootnoteText"/>
      </w:pPr>
      <w:r>
        <w:footnoteRef/>
      </w:r>
      <w:r>
        <w:t xml:space="preserve"> Data source: A Road Management Information System (ARMIS) 30 June 2023</w:t>
      </w:r>
    </w:p>
  </w:footnote>
  <w:footnote w:id="43">
    <w:p w14:paraId="6D403F66" w14:textId="77777777" w:rsidR="00805A93" w:rsidRDefault="00805A93" w:rsidP="00E6328B">
      <w:pPr>
        <w:pStyle w:val="FootnoteText"/>
      </w:pPr>
      <w:r>
        <w:footnoteRef/>
      </w:r>
      <w:r>
        <w:t xml:space="preserve"> </w:t>
      </w:r>
      <w:r w:rsidRPr="00B75F0A">
        <w:t>Data source: *Bridge Information System (BIS), 30 June 2023</w:t>
      </w:r>
    </w:p>
  </w:footnote>
  <w:footnote w:id="44">
    <w:p w14:paraId="54CD182D" w14:textId="77777777" w:rsidR="00805A93" w:rsidRDefault="00805A93" w:rsidP="00E6328B">
      <w:pPr>
        <w:pStyle w:val="FootnoteText"/>
      </w:pPr>
      <w:r>
        <w:footnoteRef/>
      </w:r>
      <w:r>
        <w:t xml:space="preserve"> Data source: Queensland Government Statistician's Office (Queensland Treasury), Queensland Regional Profiles. </w:t>
      </w:r>
      <w:hyperlink r:id="rId11" w:history="1">
        <w:r w:rsidRPr="00B51D0B">
          <w:rPr>
            <w:rStyle w:val="Hyperlink"/>
          </w:rPr>
          <w:t>www.qgso.qld.gov.au</w:t>
        </w:r>
      </w:hyperlink>
      <w:r>
        <w:t>, July 2023</w:t>
      </w:r>
    </w:p>
  </w:footnote>
  <w:footnote w:id="45">
    <w:p w14:paraId="5B255462" w14:textId="77777777" w:rsidR="00805A93" w:rsidRDefault="00805A93" w:rsidP="00E6328B">
      <w:pPr>
        <w:pStyle w:val="FootnoteText"/>
      </w:pPr>
      <w:r>
        <w:footnoteRef/>
      </w:r>
      <w:r>
        <w:t xml:space="preserve"> Data source: A Road Management Information System (ARMIS) 30 June 2023</w:t>
      </w:r>
    </w:p>
  </w:footnote>
  <w:footnote w:id="46">
    <w:p w14:paraId="42230BDE" w14:textId="77777777" w:rsidR="00805A93" w:rsidRDefault="00805A93" w:rsidP="00E6328B">
      <w:pPr>
        <w:pStyle w:val="FootnoteText"/>
      </w:pPr>
      <w:r>
        <w:footnoteRef/>
      </w:r>
      <w:r>
        <w:t xml:space="preserve"> Data source: A Road Management Information System (ARMIS) 30 June 2023</w:t>
      </w:r>
    </w:p>
  </w:footnote>
  <w:footnote w:id="47">
    <w:p w14:paraId="558B1C70" w14:textId="77777777" w:rsidR="00805A93" w:rsidRDefault="00805A93" w:rsidP="00E6328B">
      <w:pPr>
        <w:pStyle w:val="FootnoteText"/>
      </w:pPr>
      <w:r>
        <w:footnoteRef/>
      </w:r>
      <w:r>
        <w:t xml:space="preserve"> </w:t>
      </w:r>
      <w:r w:rsidRPr="00B75F0A">
        <w:t>Data source: *Bridge Information System (BIS), 30 June 2023</w:t>
      </w:r>
    </w:p>
  </w:footnote>
  <w:footnote w:id="48">
    <w:p w14:paraId="54CED7E4" w14:textId="77777777" w:rsidR="00805A93" w:rsidRDefault="00805A93" w:rsidP="00E6328B">
      <w:pPr>
        <w:pStyle w:val="FootnoteText"/>
      </w:pPr>
      <w:r>
        <w:footnoteRef/>
      </w:r>
      <w:r>
        <w:t xml:space="preserve"> Data source: Queensland Government Statistician's Office (Queensland Treasury), Queensland Regional Profiles. </w:t>
      </w:r>
      <w:hyperlink r:id="rId12" w:history="1">
        <w:r w:rsidRPr="00B51D0B">
          <w:rPr>
            <w:rStyle w:val="Hyperlink"/>
          </w:rPr>
          <w:t>www.qgso.qld.gov.au</w:t>
        </w:r>
      </w:hyperlink>
      <w:r>
        <w:t>, July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79943" w14:textId="77777777" w:rsidR="00BC5219" w:rsidRPr="00FB7AE2" w:rsidRDefault="00BC5219" w:rsidP="00FB7AE2">
    <w:pPr>
      <w:pBdr>
        <w:bottom w:val="single" w:sz="4" w:space="1" w:color="auto"/>
      </w:pBdr>
      <w:rPr>
        <w:rFonts w:ascii="Meta Pro" w:eastAsia="Times New Roman" w:hAnsi="Meta Pro"/>
        <w:i/>
        <w:iCs/>
        <w:color w:val="000000" w:themeColor="text1"/>
        <w:sz w:val="24"/>
        <w:szCs w:val="24"/>
        <w:lang w:eastAsia="en-AU"/>
      </w:rPr>
    </w:pPr>
    <w:r>
      <w:rPr>
        <w:rFonts w:ascii="Meta Pro" w:eastAsia="Times New Roman" w:hAnsi="Meta Pro"/>
        <w:i/>
        <w:iCs/>
        <w:color w:val="000000" w:themeColor="text1"/>
        <w:sz w:val="24"/>
        <w:szCs w:val="24"/>
        <w:lang w:eastAsia="en-AU"/>
      </w:rPr>
      <w:t>D</w:t>
    </w:r>
    <w:r w:rsidRPr="00B63806">
      <w:rPr>
        <w:rFonts w:ascii="Meta Pro" w:eastAsia="Times New Roman" w:hAnsi="Meta Pro"/>
        <w:i/>
        <w:iCs/>
        <w:color w:val="000000" w:themeColor="text1"/>
        <w:sz w:val="24"/>
        <w:szCs w:val="24"/>
        <w:lang w:eastAsia="en-AU"/>
      </w:rPr>
      <w:t>epartment of Transport and Main Roads</w:t>
    </w:r>
    <w:r w:rsidRPr="00FB7AE2">
      <w:t xml:space="preserve"> </w:t>
    </w:r>
  </w:p>
  <w:p w14:paraId="1ADF9F2C" w14:textId="77777777" w:rsidR="00BC5219" w:rsidRPr="00A61791" w:rsidRDefault="00BC5219" w:rsidP="00A61791">
    <w:pPr>
      <w:pBdr>
        <w:bottom w:val="single" w:sz="4" w:space="1" w:color="auto"/>
      </w:pBdr>
      <w:rPr>
        <w:rFonts w:ascii="Meta Pro" w:eastAsia="Times New Roman" w:hAnsi="Meta Pro"/>
        <w:color w:val="000000" w:themeColor="text1"/>
        <w:sz w:val="24"/>
        <w:szCs w:val="24"/>
        <w:lang w:eastAsia="en-AU"/>
      </w:rPr>
    </w:pPr>
    <w:r w:rsidRPr="00A61791">
      <w:rPr>
        <w:rFonts w:ascii="Meta Pro" w:eastAsia="Times New Roman" w:hAnsi="Meta Pro"/>
        <w:color w:val="000000" w:themeColor="text1"/>
        <w:sz w:val="24"/>
        <w:szCs w:val="24"/>
        <w:lang w:eastAsia="en-AU"/>
      </w:rPr>
      <w:t xml:space="preserve">Statement of financial position </w:t>
    </w:r>
  </w:p>
  <w:p w14:paraId="0FEA09D1" w14:textId="77777777" w:rsidR="00BC5219" w:rsidRPr="00FB7AE2" w:rsidRDefault="00BC5219" w:rsidP="00A61791">
    <w:pPr>
      <w:pBdr>
        <w:bottom w:val="single" w:sz="4" w:space="1" w:color="auto"/>
      </w:pBdr>
      <w:rPr>
        <w:rFonts w:ascii="Meta Pro" w:eastAsia="Times New Roman" w:hAnsi="Meta Pro"/>
        <w:color w:val="000000" w:themeColor="text1"/>
        <w:sz w:val="24"/>
        <w:szCs w:val="24"/>
        <w:lang w:eastAsia="en-AU"/>
      </w:rPr>
    </w:pPr>
    <w:r w:rsidRPr="00A61791">
      <w:rPr>
        <w:rFonts w:ascii="Meta Pro" w:eastAsia="Times New Roman" w:hAnsi="Meta Pro"/>
        <w:color w:val="000000" w:themeColor="text1"/>
        <w:sz w:val="24"/>
        <w:szCs w:val="24"/>
        <w:lang w:eastAsia="en-AU"/>
      </w:rPr>
      <w:t>as at 30 June 2021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62F43" w14:textId="77777777" w:rsidR="00BC5219" w:rsidRPr="00533D60" w:rsidRDefault="00BC5219" w:rsidP="00D714BC">
    <w:pPr>
      <w:pStyle w:val="Header"/>
      <w:rPr>
        <w:rFonts w:ascii="Meta Pro" w:hAnsi="Meta Pro"/>
        <w:sz w:val="24"/>
        <w:szCs w:val="24"/>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FF36D" w14:textId="77777777" w:rsidR="00BC5219" w:rsidRPr="00533D60" w:rsidRDefault="00BC5219" w:rsidP="00D714BC">
    <w:pPr>
      <w:pStyle w:val="Header"/>
      <w:rPr>
        <w:rFonts w:ascii="Meta Pro" w:hAnsi="Meta Pro"/>
        <w:sz w:val="24"/>
        <w:szCs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BFF5E" w14:textId="77777777" w:rsidR="00BC5219" w:rsidRPr="00533D60" w:rsidRDefault="00BC5219" w:rsidP="00D714BC">
    <w:pPr>
      <w:pStyle w:val="Header"/>
      <w:rPr>
        <w:rFonts w:ascii="Meta Pro" w:hAnsi="Meta Pro"/>
        <w:sz w:val="24"/>
        <w:szCs w:val="24"/>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87318" w14:textId="77777777" w:rsidR="00BC5219" w:rsidRPr="00533D60" w:rsidRDefault="00BC5219" w:rsidP="00D714BC">
    <w:pPr>
      <w:pStyle w:val="Header"/>
      <w:rPr>
        <w:rFonts w:ascii="Meta Pro" w:hAnsi="Meta Pro"/>
        <w:sz w:val="24"/>
        <w:szCs w:val="24"/>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D537C" w14:textId="77777777" w:rsidR="00BC5219" w:rsidRPr="00533D60" w:rsidRDefault="00BC5219" w:rsidP="00D714BC">
    <w:pPr>
      <w:pStyle w:val="Header"/>
      <w:rPr>
        <w:rFonts w:ascii="Meta Pro" w:hAnsi="Meta Pro"/>
        <w:sz w:val="24"/>
        <w:szCs w:val="24"/>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F2E65" w14:textId="77777777" w:rsidR="00BC5219" w:rsidRPr="00533D60" w:rsidRDefault="00BC5219" w:rsidP="00D714BC">
    <w:pPr>
      <w:pStyle w:val="Header"/>
      <w:rPr>
        <w:rFonts w:ascii="Meta Pro" w:hAnsi="Meta Pro"/>
        <w:sz w:val="24"/>
        <w:szCs w:val="24"/>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A02D6" w14:textId="77777777" w:rsidR="00BC5219" w:rsidRPr="001C5D2D" w:rsidRDefault="00BC5219" w:rsidP="001C5D2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F58E6" w14:textId="77777777" w:rsidR="00BC5219" w:rsidRPr="00645E6A" w:rsidRDefault="00BC5219" w:rsidP="00645E6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DF8F0" w14:textId="77777777" w:rsidR="00BC5219" w:rsidRPr="00C37AC8" w:rsidRDefault="00BC5219" w:rsidP="00C37AC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7A3A0" w14:textId="77777777" w:rsidR="00BC5219" w:rsidRPr="00C37AC8" w:rsidRDefault="00BC5219" w:rsidP="00C37A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3604E" w14:textId="77777777" w:rsidR="00BC5219" w:rsidRPr="00D76FF5" w:rsidRDefault="00BC5219" w:rsidP="00D76FF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B19BF" w14:textId="77777777" w:rsidR="00BC5219" w:rsidRPr="00C37AC8" w:rsidRDefault="00BC5219" w:rsidP="00C37AC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4EA5D" w14:textId="77777777" w:rsidR="00BC5219" w:rsidRPr="00C37AC8" w:rsidRDefault="00BC5219" w:rsidP="00C37AC8">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5FB72" w14:textId="77777777" w:rsidR="00BC5219" w:rsidRPr="00C37AC8" w:rsidRDefault="00BC5219" w:rsidP="00C37AC8">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E20F7" w14:textId="77777777" w:rsidR="00BC5219" w:rsidRPr="00C37AC8" w:rsidRDefault="00BC5219" w:rsidP="00C37AC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B5354" w14:textId="77777777" w:rsidR="00BC5219" w:rsidRPr="00533D60" w:rsidRDefault="00BC5219" w:rsidP="00533D60">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A5EA3" w14:textId="77777777" w:rsidR="006D5007" w:rsidRPr="00533D60" w:rsidRDefault="006D5007" w:rsidP="00F25C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DE5DA" w14:textId="77777777" w:rsidR="00BC5219" w:rsidRPr="00FB7AE2" w:rsidRDefault="00BC5219" w:rsidP="00FB7AE2">
    <w:pPr>
      <w:pBdr>
        <w:bottom w:val="single" w:sz="4" w:space="1" w:color="auto"/>
      </w:pBdr>
      <w:rPr>
        <w:rFonts w:ascii="Meta Pro" w:eastAsia="Times New Roman" w:hAnsi="Meta Pro"/>
        <w:i/>
        <w:iCs/>
        <w:color w:val="000000" w:themeColor="text1"/>
        <w:sz w:val="24"/>
        <w:szCs w:val="24"/>
        <w:lang w:eastAsia="en-AU"/>
      </w:rPr>
    </w:pPr>
    <w:r>
      <w:rPr>
        <w:rFonts w:ascii="Meta Pro" w:eastAsia="Times New Roman" w:hAnsi="Meta Pro"/>
        <w:i/>
        <w:iCs/>
        <w:color w:val="000000" w:themeColor="text1"/>
        <w:sz w:val="24"/>
        <w:szCs w:val="24"/>
        <w:lang w:eastAsia="en-AU"/>
      </w:rPr>
      <w:t>D</w:t>
    </w:r>
    <w:r w:rsidRPr="00B63806">
      <w:rPr>
        <w:rFonts w:ascii="Meta Pro" w:eastAsia="Times New Roman" w:hAnsi="Meta Pro"/>
        <w:i/>
        <w:iCs/>
        <w:color w:val="000000" w:themeColor="text1"/>
        <w:sz w:val="24"/>
        <w:szCs w:val="24"/>
        <w:lang w:eastAsia="en-AU"/>
      </w:rPr>
      <w:t>epartment of Transport and Main Roads</w:t>
    </w:r>
    <w:r w:rsidRPr="00FB7AE2">
      <w:t xml:space="preserve"> </w:t>
    </w:r>
  </w:p>
  <w:p w14:paraId="56F7C52B" w14:textId="77777777" w:rsidR="00BC5219" w:rsidRPr="00A61791" w:rsidRDefault="00BC5219" w:rsidP="00A61791">
    <w:pPr>
      <w:pBdr>
        <w:bottom w:val="single" w:sz="4" w:space="1" w:color="auto"/>
      </w:pBdr>
      <w:rPr>
        <w:rFonts w:ascii="Meta Pro" w:eastAsia="Times New Roman" w:hAnsi="Meta Pro"/>
        <w:color w:val="000000" w:themeColor="text1"/>
        <w:sz w:val="24"/>
        <w:szCs w:val="24"/>
        <w:lang w:eastAsia="en-AU"/>
      </w:rPr>
    </w:pPr>
    <w:r w:rsidRPr="00A61791">
      <w:rPr>
        <w:rFonts w:ascii="Meta Pro" w:eastAsia="Times New Roman" w:hAnsi="Meta Pro"/>
        <w:color w:val="000000" w:themeColor="text1"/>
        <w:sz w:val="24"/>
        <w:szCs w:val="24"/>
        <w:lang w:eastAsia="en-AU"/>
      </w:rPr>
      <w:t xml:space="preserve">Statement of financial position </w:t>
    </w:r>
  </w:p>
  <w:p w14:paraId="7A53EED0" w14:textId="77777777" w:rsidR="00BC5219" w:rsidRPr="00FB7AE2" w:rsidRDefault="00BC5219" w:rsidP="00A61791">
    <w:pPr>
      <w:pBdr>
        <w:bottom w:val="single" w:sz="4" w:space="1" w:color="auto"/>
      </w:pBdr>
      <w:rPr>
        <w:rFonts w:ascii="Meta Pro" w:eastAsia="Times New Roman" w:hAnsi="Meta Pro"/>
        <w:color w:val="000000" w:themeColor="text1"/>
        <w:sz w:val="24"/>
        <w:szCs w:val="24"/>
        <w:lang w:eastAsia="en-AU"/>
      </w:rPr>
    </w:pPr>
    <w:r w:rsidRPr="00A61791">
      <w:rPr>
        <w:rFonts w:ascii="Meta Pro" w:eastAsia="Times New Roman" w:hAnsi="Meta Pro"/>
        <w:color w:val="000000" w:themeColor="text1"/>
        <w:sz w:val="24"/>
        <w:szCs w:val="24"/>
        <w:lang w:eastAsia="en-AU"/>
      </w:rPr>
      <w:t>as at 30 June 2021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D1AD0" w14:textId="77777777" w:rsidR="00BC5219" w:rsidRPr="00D76FF5" w:rsidRDefault="00BC5219" w:rsidP="00D76FF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11558" w14:textId="77777777" w:rsidR="00BC5219" w:rsidRPr="00330E9E" w:rsidRDefault="00BC5219" w:rsidP="00330E9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54687" w14:textId="77777777" w:rsidR="00BC5219" w:rsidRPr="004508FA" w:rsidRDefault="00BC5219" w:rsidP="004508F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C043B" w14:textId="77777777" w:rsidR="00BC5219" w:rsidRPr="00D714BC" w:rsidRDefault="00BC5219" w:rsidP="00D714B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B8234" w14:textId="77777777" w:rsidR="00BC5219" w:rsidRPr="00533D60" w:rsidRDefault="00BC5219" w:rsidP="00D714BC">
    <w:pPr>
      <w:pStyle w:val="Header"/>
      <w:rPr>
        <w:rFonts w:ascii="Meta Pro" w:hAnsi="Meta Pro"/>
        <w:sz w:val="24"/>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0EA06" w14:textId="77777777" w:rsidR="00BC5219" w:rsidRPr="00533D60" w:rsidRDefault="00BC5219" w:rsidP="00D714BC">
    <w:pPr>
      <w:pStyle w:val="Header"/>
      <w:rPr>
        <w:rFonts w:ascii="Meta Pro" w:hAnsi="Meta Pro"/>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42C1ED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3C872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E986B1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B2EAC4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CF4E5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22E7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B4634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A58E9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688F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3B475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5D4BDA"/>
    <w:multiLevelType w:val="hybridMultilevel"/>
    <w:tmpl w:val="21E6D062"/>
    <w:lvl w:ilvl="0" w:tplc="3956E80E">
      <w:start w:val="458"/>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90E0802"/>
    <w:multiLevelType w:val="singleLevel"/>
    <w:tmpl w:val="8C7CE3E6"/>
    <w:lvl w:ilvl="0">
      <w:start w:val="1"/>
      <w:numFmt w:val="bullet"/>
      <w:lvlRestart w:val="0"/>
      <w:lvlText w:val=""/>
      <w:lvlJc w:val="left"/>
      <w:pPr>
        <w:tabs>
          <w:tab w:val="num" w:pos="1701"/>
        </w:tabs>
        <w:ind w:left="1701" w:hanging="567"/>
      </w:pPr>
      <w:rPr>
        <w:rFonts w:ascii="Wingdings" w:hAnsi="Wingdings" w:hint="default"/>
      </w:rPr>
    </w:lvl>
  </w:abstractNum>
  <w:abstractNum w:abstractNumId="12" w15:restartNumberingAfterBreak="0">
    <w:nsid w:val="09CE5BDB"/>
    <w:multiLevelType w:val="hybridMultilevel"/>
    <w:tmpl w:val="66F2D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D355450"/>
    <w:multiLevelType w:val="hybridMultilevel"/>
    <w:tmpl w:val="483A6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DEC46EE"/>
    <w:multiLevelType w:val="hybridMultilevel"/>
    <w:tmpl w:val="B9126A82"/>
    <w:lvl w:ilvl="0" w:tplc="48BEF788">
      <w:start w:val="325"/>
      <w:numFmt w:val="bullet"/>
      <w:lvlText w:val=""/>
      <w:lvlJc w:val="left"/>
      <w:pPr>
        <w:ind w:left="720" w:hanging="360"/>
      </w:pPr>
      <w:rPr>
        <w:rFonts w:ascii="Symbol" w:eastAsiaTheme="minorHAnsi" w:hAnsi="Symbol" w:cs="Aria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47D43FF"/>
    <w:multiLevelType w:val="singleLevel"/>
    <w:tmpl w:val="6B96F550"/>
    <w:lvl w:ilvl="0">
      <w:start w:val="1"/>
      <w:numFmt w:val="bullet"/>
      <w:lvlRestart w:val="0"/>
      <w:lvlText w:val="-"/>
      <w:lvlJc w:val="left"/>
      <w:pPr>
        <w:tabs>
          <w:tab w:val="num" w:pos="1134"/>
        </w:tabs>
        <w:ind w:left="1134" w:hanging="567"/>
      </w:pPr>
      <w:rPr>
        <w:rFonts w:ascii="Times New Roman" w:hAnsi="Times New Roman" w:cs="Times New Roman"/>
      </w:rPr>
    </w:lvl>
  </w:abstractNum>
  <w:abstractNum w:abstractNumId="16" w15:restartNumberingAfterBreak="0">
    <w:nsid w:val="152A2AE7"/>
    <w:multiLevelType w:val="hybridMultilevel"/>
    <w:tmpl w:val="02A25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6323E96"/>
    <w:multiLevelType w:val="hybridMultilevel"/>
    <w:tmpl w:val="554005F6"/>
    <w:lvl w:ilvl="0" w:tplc="191CC0AE">
      <w:numFmt w:val="bullet"/>
      <w:lvlText w:val="•"/>
      <w:lvlJc w:val="left"/>
      <w:pPr>
        <w:ind w:left="927" w:hanging="360"/>
      </w:pPr>
      <w:rPr>
        <w:rFonts w:ascii="Arial" w:eastAsia="Times New Roman" w:hAnsi="Arial"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8" w15:restartNumberingAfterBreak="0">
    <w:nsid w:val="1927233B"/>
    <w:multiLevelType w:val="hybridMultilevel"/>
    <w:tmpl w:val="EAB48EAE"/>
    <w:lvl w:ilvl="0" w:tplc="8B7ECBDA">
      <w:start w:val="214"/>
      <w:numFmt w:val="bullet"/>
      <w:lvlText w:val="-"/>
      <w:lvlJc w:val="left"/>
      <w:pPr>
        <w:ind w:left="615" w:hanging="360"/>
      </w:pPr>
      <w:rPr>
        <w:rFonts w:ascii="Meta Pro" w:eastAsia="Times New Roman" w:hAnsi="Meta Pro" w:cs="Arial" w:hint="default"/>
      </w:rPr>
    </w:lvl>
    <w:lvl w:ilvl="1" w:tplc="0C090003" w:tentative="1">
      <w:start w:val="1"/>
      <w:numFmt w:val="bullet"/>
      <w:lvlText w:val="o"/>
      <w:lvlJc w:val="left"/>
      <w:pPr>
        <w:ind w:left="1335" w:hanging="360"/>
      </w:pPr>
      <w:rPr>
        <w:rFonts w:ascii="Courier New" w:hAnsi="Courier New" w:cs="Courier New" w:hint="default"/>
      </w:rPr>
    </w:lvl>
    <w:lvl w:ilvl="2" w:tplc="0C090005" w:tentative="1">
      <w:start w:val="1"/>
      <w:numFmt w:val="bullet"/>
      <w:lvlText w:val=""/>
      <w:lvlJc w:val="left"/>
      <w:pPr>
        <w:ind w:left="2055" w:hanging="360"/>
      </w:pPr>
      <w:rPr>
        <w:rFonts w:ascii="Wingdings" w:hAnsi="Wingdings" w:hint="default"/>
      </w:rPr>
    </w:lvl>
    <w:lvl w:ilvl="3" w:tplc="0C090001" w:tentative="1">
      <w:start w:val="1"/>
      <w:numFmt w:val="bullet"/>
      <w:lvlText w:val=""/>
      <w:lvlJc w:val="left"/>
      <w:pPr>
        <w:ind w:left="2775" w:hanging="360"/>
      </w:pPr>
      <w:rPr>
        <w:rFonts w:ascii="Symbol" w:hAnsi="Symbol" w:hint="default"/>
      </w:rPr>
    </w:lvl>
    <w:lvl w:ilvl="4" w:tplc="0C090003" w:tentative="1">
      <w:start w:val="1"/>
      <w:numFmt w:val="bullet"/>
      <w:lvlText w:val="o"/>
      <w:lvlJc w:val="left"/>
      <w:pPr>
        <w:ind w:left="3495" w:hanging="360"/>
      </w:pPr>
      <w:rPr>
        <w:rFonts w:ascii="Courier New" w:hAnsi="Courier New" w:cs="Courier New" w:hint="default"/>
      </w:rPr>
    </w:lvl>
    <w:lvl w:ilvl="5" w:tplc="0C090005" w:tentative="1">
      <w:start w:val="1"/>
      <w:numFmt w:val="bullet"/>
      <w:lvlText w:val=""/>
      <w:lvlJc w:val="left"/>
      <w:pPr>
        <w:ind w:left="4215" w:hanging="360"/>
      </w:pPr>
      <w:rPr>
        <w:rFonts w:ascii="Wingdings" w:hAnsi="Wingdings" w:hint="default"/>
      </w:rPr>
    </w:lvl>
    <w:lvl w:ilvl="6" w:tplc="0C090001" w:tentative="1">
      <w:start w:val="1"/>
      <w:numFmt w:val="bullet"/>
      <w:lvlText w:val=""/>
      <w:lvlJc w:val="left"/>
      <w:pPr>
        <w:ind w:left="4935" w:hanging="360"/>
      </w:pPr>
      <w:rPr>
        <w:rFonts w:ascii="Symbol" w:hAnsi="Symbol" w:hint="default"/>
      </w:rPr>
    </w:lvl>
    <w:lvl w:ilvl="7" w:tplc="0C090003" w:tentative="1">
      <w:start w:val="1"/>
      <w:numFmt w:val="bullet"/>
      <w:lvlText w:val="o"/>
      <w:lvlJc w:val="left"/>
      <w:pPr>
        <w:ind w:left="5655" w:hanging="360"/>
      </w:pPr>
      <w:rPr>
        <w:rFonts w:ascii="Courier New" w:hAnsi="Courier New" w:cs="Courier New" w:hint="default"/>
      </w:rPr>
    </w:lvl>
    <w:lvl w:ilvl="8" w:tplc="0C090005" w:tentative="1">
      <w:start w:val="1"/>
      <w:numFmt w:val="bullet"/>
      <w:lvlText w:val=""/>
      <w:lvlJc w:val="left"/>
      <w:pPr>
        <w:ind w:left="6375" w:hanging="360"/>
      </w:pPr>
      <w:rPr>
        <w:rFonts w:ascii="Wingdings" w:hAnsi="Wingdings" w:hint="default"/>
      </w:rPr>
    </w:lvl>
  </w:abstractNum>
  <w:abstractNum w:abstractNumId="19" w15:restartNumberingAfterBreak="0">
    <w:nsid w:val="1AC64FC0"/>
    <w:multiLevelType w:val="multilevel"/>
    <w:tmpl w:val="6AA25FDC"/>
    <w:name w:val="Number List"/>
    <w:lvl w:ilvl="0">
      <w:start w:val="1"/>
      <w:numFmt w:val="decimal"/>
      <w:lvlRestart w:val="0"/>
      <w:pStyle w:val="ListNumber"/>
      <w:lvlText w:val="%1"/>
      <w:lvlJc w:val="left"/>
      <w:pPr>
        <w:tabs>
          <w:tab w:val="num" w:pos="567"/>
        </w:tabs>
        <w:ind w:left="567" w:hanging="567"/>
      </w:pPr>
    </w:lvl>
    <w:lvl w:ilvl="1">
      <w:start w:val="1"/>
      <w:numFmt w:val="decimal"/>
      <w:pStyle w:val="ListNumber2"/>
      <w:lvlText w:val="%1.%2"/>
      <w:lvlJc w:val="left"/>
      <w:pPr>
        <w:tabs>
          <w:tab w:val="num" w:pos="567"/>
        </w:tabs>
        <w:ind w:left="567" w:hanging="567"/>
      </w:pPr>
    </w:lvl>
    <w:lvl w:ilvl="2">
      <w:start w:val="1"/>
      <w:numFmt w:val="decimal"/>
      <w:pStyle w:val="ListNumber3"/>
      <w:lvlText w:val="%1.%2.%3"/>
      <w:lvlJc w:val="left"/>
      <w:pPr>
        <w:tabs>
          <w:tab w:val="num" w:pos="720"/>
        </w:tabs>
        <w:ind w:left="567" w:hanging="567"/>
      </w:pPr>
    </w:lvl>
    <w:lvl w:ilvl="3">
      <w:start w:val="1"/>
      <w:numFmt w:val="decimal"/>
      <w:lvlText w:val="%1.%2.%3.%4."/>
      <w:lvlJc w:val="left"/>
      <w:pPr>
        <w:tabs>
          <w:tab w:val="num" w:pos="1440"/>
        </w:tabs>
        <w:ind w:left="1366" w:hanging="646"/>
      </w:pPr>
    </w:lvl>
    <w:lvl w:ilvl="4">
      <w:start w:val="1"/>
      <w:numFmt w:val="decimal"/>
      <w:lvlText w:val="%1.%2.%3.%4.%5."/>
      <w:lvlJc w:val="left"/>
      <w:pPr>
        <w:tabs>
          <w:tab w:val="num" w:pos="2880"/>
        </w:tabs>
        <w:ind w:left="1871" w:hanging="794"/>
      </w:pPr>
    </w:lvl>
    <w:lvl w:ilvl="5">
      <w:start w:val="1"/>
      <w:numFmt w:val="decimal"/>
      <w:lvlText w:val="%1.%2.%3.%4.%5.%6."/>
      <w:lvlJc w:val="left"/>
      <w:pPr>
        <w:tabs>
          <w:tab w:val="num" w:pos="3600"/>
        </w:tabs>
        <w:ind w:left="2375" w:hanging="935"/>
      </w:pPr>
    </w:lvl>
    <w:lvl w:ilvl="6">
      <w:start w:val="1"/>
      <w:numFmt w:val="decimal"/>
      <w:lvlText w:val="%1.%2.%3.%4.%5.%6.%7."/>
      <w:lvlJc w:val="left"/>
      <w:pPr>
        <w:tabs>
          <w:tab w:val="num" w:pos="4320"/>
        </w:tabs>
        <w:ind w:left="2880" w:hanging="1083"/>
      </w:pPr>
    </w:lvl>
    <w:lvl w:ilvl="7">
      <w:start w:val="1"/>
      <w:numFmt w:val="decimal"/>
      <w:lvlText w:val="%1.%2.%3.%4.%5.%6.%7.%8."/>
      <w:lvlJc w:val="left"/>
      <w:pPr>
        <w:tabs>
          <w:tab w:val="num" w:pos="5040"/>
        </w:tabs>
        <w:ind w:left="3385" w:hanging="1225"/>
      </w:pPr>
    </w:lvl>
    <w:lvl w:ilvl="8">
      <w:start w:val="1"/>
      <w:numFmt w:val="decimal"/>
      <w:lvlText w:val="%1.%2.%3.%4.%5.%6.%7.%8.%9."/>
      <w:lvlJc w:val="left"/>
      <w:pPr>
        <w:tabs>
          <w:tab w:val="num" w:pos="5760"/>
        </w:tabs>
        <w:ind w:left="3957" w:hanging="1440"/>
      </w:pPr>
    </w:lvl>
  </w:abstractNum>
  <w:abstractNum w:abstractNumId="20" w15:restartNumberingAfterBreak="0">
    <w:nsid w:val="1D700AD5"/>
    <w:multiLevelType w:val="hybridMultilevel"/>
    <w:tmpl w:val="5D202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41273F3"/>
    <w:multiLevelType w:val="hybridMultilevel"/>
    <w:tmpl w:val="1B722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EA073E8"/>
    <w:multiLevelType w:val="hybridMultilevel"/>
    <w:tmpl w:val="052E1928"/>
    <w:lvl w:ilvl="0" w:tplc="E5908412">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C26B86"/>
    <w:multiLevelType w:val="singleLevel"/>
    <w:tmpl w:val="6DFAA3DE"/>
    <w:name w:val="Bullet List 2"/>
    <w:lvl w:ilvl="0">
      <w:start w:val="1"/>
      <w:numFmt w:val="bullet"/>
      <w:lvlRestart w:val="0"/>
      <w:pStyle w:val="ListBullet2"/>
      <w:lvlText w:val="-"/>
      <w:lvlJc w:val="left"/>
      <w:pPr>
        <w:tabs>
          <w:tab w:val="num" w:pos="1134"/>
        </w:tabs>
        <w:ind w:left="1134" w:hanging="567"/>
      </w:pPr>
      <w:rPr>
        <w:rFonts w:ascii="Times New Roman" w:hAnsi="Times New Roman" w:cs="Times New Roman"/>
      </w:rPr>
    </w:lvl>
  </w:abstractNum>
  <w:abstractNum w:abstractNumId="24" w15:restartNumberingAfterBreak="0">
    <w:nsid w:val="32EA0751"/>
    <w:multiLevelType w:val="hybridMultilevel"/>
    <w:tmpl w:val="03147D4C"/>
    <w:lvl w:ilvl="0" w:tplc="43A4707E">
      <w:start w:val="117"/>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81A7A2B"/>
    <w:multiLevelType w:val="singleLevel"/>
    <w:tmpl w:val="22162B9E"/>
    <w:name w:val="Bullet List 1"/>
    <w:lvl w:ilvl="0">
      <w:start w:val="1"/>
      <w:numFmt w:val="bullet"/>
      <w:lvlRestart w:val="0"/>
      <w:pStyle w:val="ListBullet"/>
      <w:lvlText w:val=""/>
      <w:lvlJc w:val="left"/>
      <w:pPr>
        <w:tabs>
          <w:tab w:val="num" w:pos="567"/>
        </w:tabs>
        <w:ind w:left="567" w:hanging="567"/>
      </w:pPr>
      <w:rPr>
        <w:rFonts w:ascii="Symbol" w:hAnsi="Symbol" w:hint="default"/>
        <w:color w:val="auto"/>
      </w:rPr>
    </w:lvl>
  </w:abstractNum>
  <w:abstractNum w:abstractNumId="26" w15:restartNumberingAfterBreak="0">
    <w:nsid w:val="3D0242A4"/>
    <w:multiLevelType w:val="hybridMultilevel"/>
    <w:tmpl w:val="99F60648"/>
    <w:lvl w:ilvl="0" w:tplc="687CC0CA">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08035E"/>
    <w:multiLevelType w:val="hybridMultilevel"/>
    <w:tmpl w:val="EFF63AEA"/>
    <w:lvl w:ilvl="0" w:tplc="D06C6284">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6CE17F1"/>
    <w:multiLevelType w:val="hybridMultilevel"/>
    <w:tmpl w:val="43E2802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9" w15:restartNumberingAfterBreak="0">
    <w:nsid w:val="477053E9"/>
    <w:multiLevelType w:val="hybridMultilevel"/>
    <w:tmpl w:val="B644C958"/>
    <w:lvl w:ilvl="0" w:tplc="BC00C9DC">
      <w:start w:val="1"/>
      <w:numFmt w:val="lowerLetter"/>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86222EE"/>
    <w:multiLevelType w:val="hybridMultilevel"/>
    <w:tmpl w:val="8A2C500E"/>
    <w:lvl w:ilvl="0" w:tplc="3702D14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A781DAD"/>
    <w:multiLevelType w:val="singleLevel"/>
    <w:tmpl w:val="4C52573A"/>
    <w:name w:val="Bullet List 3"/>
    <w:lvl w:ilvl="0">
      <w:start w:val="1"/>
      <w:numFmt w:val="bullet"/>
      <w:lvlRestart w:val="0"/>
      <w:pStyle w:val="ListBullet3"/>
      <w:lvlText w:val=""/>
      <w:lvlJc w:val="left"/>
      <w:pPr>
        <w:tabs>
          <w:tab w:val="num" w:pos="1701"/>
        </w:tabs>
        <w:ind w:left="1701" w:hanging="567"/>
      </w:pPr>
      <w:rPr>
        <w:rFonts w:ascii="Wingdings" w:hAnsi="Wingdings" w:hint="default"/>
      </w:rPr>
    </w:lvl>
  </w:abstractNum>
  <w:abstractNum w:abstractNumId="32" w15:restartNumberingAfterBreak="0">
    <w:nsid w:val="5F4936E6"/>
    <w:multiLevelType w:val="hybridMultilevel"/>
    <w:tmpl w:val="A52AC16A"/>
    <w:lvl w:ilvl="0" w:tplc="6D667562">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2D5504C"/>
    <w:multiLevelType w:val="hybridMultilevel"/>
    <w:tmpl w:val="DDD24A1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7027EA8"/>
    <w:multiLevelType w:val="multilevel"/>
    <w:tmpl w:val="99A49454"/>
    <w:lvl w:ilvl="0">
      <w:start w:val="1"/>
      <w:numFmt w:val="decimal"/>
      <w:lvlRestart w:val="0"/>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720"/>
        </w:tabs>
        <w:ind w:left="567" w:hanging="567"/>
      </w:pPr>
    </w:lvl>
    <w:lvl w:ilvl="3">
      <w:start w:val="1"/>
      <w:numFmt w:val="decimal"/>
      <w:lvlText w:val="%1.%2.%3.%4."/>
      <w:lvlJc w:val="left"/>
      <w:pPr>
        <w:tabs>
          <w:tab w:val="num" w:pos="1440"/>
        </w:tabs>
        <w:ind w:left="1366" w:hanging="646"/>
      </w:pPr>
    </w:lvl>
    <w:lvl w:ilvl="4">
      <w:start w:val="1"/>
      <w:numFmt w:val="decimal"/>
      <w:lvlText w:val="%1.%2.%3.%4.%5."/>
      <w:lvlJc w:val="left"/>
      <w:pPr>
        <w:tabs>
          <w:tab w:val="num" w:pos="2880"/>
        </w:tabs>
        <w:ind w:left="1871" w:hanging="794"/>
      </w:pPr>
    </w:lvl>
    <w:lvl w:ilvl="5">
      <w:start w:val="1"/>
      <w:numFmt w:val="decimal"/>
      <w:lvlText w:val="%1.%2.%3.%4.%5.%6."/>
      <w:lvlJc w:val="left"/>
      <w:pPr>
        <w:tabs>
          <w:tab w:val="num" w:pos="3600"/>
        </w:tabs>
        <w:ind w:left="2375" w:hanging="935"/>
      </w:pPr>
    </w:lvl>
    <w:lvl w:ilvl="6">
      <w:start w:val="1"/>
      <w:numFmt w:val="decimal"/>
      <w:lvlText w:val="%1.%2.%3.%4.%5.%6.%7."/>
      <w:lvlJc w:val="left"/>
      <w:pPr>
        <w:tabs>
          <w:tab w:val="num" w:pos="4320"/>
        </w:tabs>
        <w:ind w:left="2880" w:hanging="1083"/>
      </w:pPr>
    </w:lvl>
    <w:lvl w:ilvl="7">
      <w:start w:val="1"/>
      <w:numFmt w:val="decimal"/>
      <w:lvlText w:val="%1.%2.%3.%4.%5.%6.%7.%8."/>
      <w:lvlJc w:val="left"/>
      <w:pPr>
        <w:tabs>
          <w:tab w:val="num" w:pos="5040"/>
        </w:tabs>
        <w:ind w:left="3385" w:hanging="1225"/>
      </w:pPr>
    </w:lvl>
    <w:lvl w:ilvl="8">
      <w:start w:val="1"/>
      <w:numFmt w:val="decimal"/>
      <w:lvlText w:val="%1.%2.%3.%4.%5.%6.%7.%8.%9."/>
      <w:lvlJc w:val="left"/>
      <w:pPr>
        <w:tabs>
          <w:tab w:val="num" w:pos="5760"/>
        </w:tabs>
        <w:ind w:left="3957" w:hanging="1440"/>
      </w:pPr>
    </w:lvl>
  </w:abstractNum>
  <w:abstractNum w:abstractNumId="35" w15:restartNumberingAfterBreak="0">
    <w:nsid w:val="6DBD39BB"/>
    <w:multiLevelType w:val="hybridMultilevel"/>
    <w:tmpl w:val="D1E61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1EB1B2B"/>
    <w:multiLevelType w:val="singleLevel"/>
    <w:tmpl w:val="FBBABB14"/>
    <w:lvl w:ilvl="0">
      <w:start w:val="1"/>
      <w:numFmt w:val="bullet"/>
      <w:lvlRestart w:val="0"/>
      <w:lvlText w:val=""/>
      <w:lvlJc w:val="left"/>
      <w:pPr>
        <w:tabs>
          <w:tab w:val="num" w:pos="567"/>
        </w:tabs>
        <w:ind w:left="567" w:hanging="567"/>
      </w:pPr>
      <w:rPr>
        <w:rFonts w:ascii="Symbol" w:hAnsi="Symbol" w:hint="default"/>
      </w:rPr>
    </w:lvl>
  </w:abstractNum>
  <w:abstractNum w:abstractNumId="37" w15:restartNumberingAfterBreak="0">
    <w:nsid w:val="74326C3D"/>
    <w:multiLevelType w:val="hybridMultilevel"/>
    <w:tmpl w:val="72CA2684"/>
    <w:lvl w:ilvl="0" w:tplc="75D6EEA2">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A210C16"/>
    <w:multiLevelType w:val="hybridMultilevel"/>
    <w:tmpl w:val="4F189C36"/>
    <w:lvl w:ilvl="0" w:tplc="C41E5258">
      <w:start w:val="458"/>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A403BEB"/>
    <w:multiLevelType w:val="hybridMultilevel"/>
    <w:tmpl w:val="E5AA4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E600BDA"/>
    <w:multiLevelType w:val="hybridMultilevel"/>
    <w:tmpl w:val="D97E799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num w:numId="1" w16cid:durableId="458038831">
    <w:abstractNumId w:val="19"/>
  </w:num>
  <w:num w:numId="2" w16cid:durableId="1988969621">
    <w:abstractNumId w:val="25"/>
  </w:num>
  <w:num w:numId="3" w16cid:durableId="92284240">
    <w:abstractNumId w:val="23"/>
  </w:num>
  <w:num w:numId="4" w16cid:durableId="1401365073">
    <w:abstractNumId w:val="31"/>
  </w:num>
  <w:num w:numId="5" w16cid:durableId="633293152">
    <w:abstractNumId w:val="16"/>
  </w:num>
  <w:num w:numId="6" w16cid:durableId="1297444204">
    <w:abstractNumId w:val="9"/>
  </w:num>
  <w:num w:numId="7" w16cid:durableId="1341665910">
    <w:abstractNumId w:val="5"/>
  </w:num>
  <w:num w:numId="8" w16cid:durableId="692196339">
    <w:abstractNumId w:val="4"/>
  </w:num>
  <w:num w:numId="9" w16cid:durableId="2037802663">
    <w:abstractNumId w:val="1"/>
  </w:num>
  <w:num w:numId="10" w16cid:durableId="1545751682">
    <w:abstractNumId w:val="0"/>
  </w:num>
  <w:num w:numId="11" w16cid:durableId="1034228686">
    <w:abstractNumId w:val="8"/>
  </w:num>
  <w:num w:numId="12" w16cid:durableId="1908834280">
    <w:abstractNumId w:val="3"/>
  </w:num>
  <w:num w:numId="13" w16cid:durableId="704408167">
    <w:abstractNumId w:val="2"/>
  </w:num>
  <w:num w:numId="14" w16cid:durableId="1360281705">
    <w:abstractNumId w:val="7"/>
  </w:num>
  <w:num w:numId="15" w16cid:durableId="1217622161">
    <w:abstractNumId w:val="6"/>
  </w:num>
  <w:num w:numId="16" w16cid:durableId="717899085">
    <w:abstractNumId w:val="39"/>
  </w:num>
  <w:num w:numId="17" w16cid:durableId="1502349528">
    <w:abstractNumId w:val="34"/>
  </w:num>
  <w:num w:numId="18" w16cid:durableId="2079865830">
    <w:abstractNumId w:val="36"/>
  </w:num>
  <w:num w:numId="19" w16cid:durableId="699622990">
    <w:abstractNumId w:val="15"/>
  </w:num>
  <w:num w:numId="20" w16cid:durableId="80571241">
    <w:abstractNumId w:val="11"/>
  </w:num>
  <w:num w:numId="21" w16cid:durableId="1576090213">
    <w:abstractNumId w:val="29"/>
  </w:num>
  <w:num w:numId="22" w16cid:durableId="1695380681">
    <w:abstractNumId w:val="33"/>
  </w:num>
  <w:num w:numId="23" w16cid:durableId="398209763">
    <w:abstractNumId w:val="37"/>
  </w:num>
  <w:num w:numId="24" w16cid:durableId="1941792884">
    <w:abstractNumId w:val="30"/>
  </w:num>
  <w:num w:numId="25" w16cid:durableId="1885751613">
    <w:abstractNumId w:val="14"/>
  </w:num>
  <w:num w:numId="26" w16cid:durableId="1619340177">
    <w:abstractNumId w:val="22"/>
  </w:num>
  <w:num w:numId="27" w16cid:durableId="355546077">
    <w:abstractNumId w:val="38"/>
  </w:num>
  <w:num w:numId="28" w16cid:durableId="1514101826">
    <w:abstractNumId w:val="10"/>
  </w:num>
  <w:num w:numId="29" w16cid:durableId="112602750">
    <w:abstractNumId w:val="24"/>
  </w:num>
  <w:num w:numId="30" w16cid:durableId="1383402638">
    <w:abstractNumId w:val="35"/>
  </w:num>
  <w:num w:numId="31" w16cid:durableId="1442144432">
    <w:abstractNumId w:val="20"/>
  </w:num>
  <w:num w:numId="32" w16cid:durableId="420104043">
    <w:abstractNumId w:val="12"/>
  </w:num>
  <w:num w:numId="33" w16cid:durableId="427392796">
    <w:abstractNumId w:val="17"/>
  </w:num>
  <w:num w:numId="34" w16cid:durableId="421727654">
    <w:abstractNumId w:val="27"/>
  </w:num>
  <w:num w:numId="35" w16cid:durableId="1295865321">
    <w:abstractNumId w:val="26"/>
  </w:num>
  <w:num w:numId="36" w16cid:durableId="419446208">
    <w:abstractNumId w:val="13"/>
  </w:num>
  <w:num w:numId="37" w16cid:durableId="810370935">
    <w:abstractNumId w:val="28"/>
  </w:num>
  <w:num w:numId="38" w16cid:durableId="1675763822">
    <w:abstractNumId w:val="40"/>
  </w:num>
  <w:num w:numId="39" w16cid:durableId="1129133296">
    <w:abstractNumId w:val="21"/>
  </w:num>
  <w:num w:numId="40" w16cid:durableId="284117914">
    <w:abstractNumId w:val="32"/>
  </w:num>
  <w:num w:numId="41" w16cid:durableId="230970099">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defaultTableStyle w:val="GridTable4-Accent1"/>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934"/>
    <w:rsid w:val="00011087"/>
    <w:rsid w:val="00022E9A"/>
    <w:rsid w:val="000232F5"/>
    <w:rsid w:val="00041C76"/>
    <w:rsid w:val="000422F2"/>
    <w:rsid w:val="00044B99"/>
    <w:rsid w:val="00055BBE"/>
    <w:rsid w:val="000708AF"/>
    <w:rsid w:val="0008409A"/>
    <w:rsid w:val="00093FB8"/>
    <w:rsid w:val="000966D0"/>
    <w:rsid w:val="00097431"/>
    <w:rsid w:val="000A40E8"/>
    <w:rsid w:val="000A44EC"/>
    <w:rsid w:val="000A66AE"/>
    <w:rsid w:val="000F1DCB"/>
    <w:rsid w:val="001209AD"/>
    <w:rsid w:val="00141BCE"/>
    <w:rsid w:val="0014299D"/>
    <w:rsid w:val="00157D13"/>
    <w:rsid w:val="00160B07"/>
    <w:rsid w:val="0019679C"/>
    <w:rsid w:val="001B0E7B"/>
    <w:rsid w:val="001B3663"/>
    <w:rsid w:val="001B7ABF"/>
    <w:rsid w:val="001D2E68"/>
    <w:rsid w:val="001D6775"/>
    <w:rsid w:val="001E200D"/>
    <w:rsid w:val="001F0E13"/>
    <w:rsid w:val="001F13CF"/>
    <w:rsid w:val="001F152C"/>
    <w:rsid w:val="00231937"/>
    <w:rsid w:val="002371E3"/>
    <w:rsid w:val="002379B1"/>
    <w:rsid w:val="00240CB7"/>
    <w:rsid w:val="002546B3"/>
    <w:rsid w:val="002638F7"/>
    <w:rsid w:val="00293319"/>
    <w:rsid w:val="002950E4"/>
    <w:rsid w:val="002A27EB"/>
    <w:rsid w:val="002A7B67"/>
    <w:rsid w:val="002D180E"/>
    <w:rsid w:val="002E77B4"/>
    <w:rsid w:val="002F18D0"/>
    <w:rsid w:val="003042CB"/>
    <w:rsid w:val="00305402"/>
    <w:rsid w:val="00326868"/>
    <w:rsid w:val="00387B2A"/>
    <w:rsid w:val="003D2626"/>
    <w:rsid w:val="003F16DF"/>
    <w:rsid w:val="003F3973"/>
    <w:rsid w:val="0041147E"/>
    <w:rsid w:val="00436BF4"/>
    <w:rsid w:val="00436D35"/>
    <w:rsid w:val="00440704"/>
    <w:rsid w:val="004423F2"/>
    <w:rsid w:val="00444E00"/>
    <w:rsid w:val="00445B7C"/>
    <w:rsid w:val="00446934"/>
    <w:rsid w:val="004743BC"/>
    <w:rsid w:val="00487BBE"/>
    <w:rsid w:val="00490229"/>
    <w:rsid w:val="00495229"/>
    <w:rsid w:val="004B3F7D"/>
    <w:rsid w:val="004C343D"/>
    <w:rsid w:val="004E0A35"/>
    <w:rsid w:val="004F068F"/>
    <w:rsid w:val="005030EA"/>
    <w:rsid w:val="00504B4E"/>
    <w:rsid w:val="00506056"/>
    <w:rsid w:val="00516582"/>
    <w:rsid w:val="00521486"/>
    <w:rsid w:val="00524412"/>
    <w:rsid w:val="00557D7B"/>
    <w:rsid w:val="00565589"/>
    <w:rsid w:val="0057796E"/>
    <w:rsid w:val="00586E26"/>
    <w:rsid w:val="00591E7C"/>
    <w:rsid w:val="00595B99"/>
    <w:rsid w:val="005B514F"/>
    <w:rsid w:val="005C1969"/>
    <w:rsid w:val="005C7A4C"/>
    <w:rsid w:val="005D0243"/>
    <w:rsid w:val="005D1166"/>
    <w:rsid w:val="005D5614"/>
    <w:rsid w:val="005D6008"/>
    <w:rsid w:val="005E6E62"/>
    <w:rsid w:val="005F41F8"/>
    <w:rsid w:val="00621C4A"/>
    <w:rsid w:val="00621E5A"/>
    <w:rsid w:val="006274CA"/>
    <w:rsid w:val="00631085"/>
    <w:rsid w:val="00640958"/>
    <w:rsid w:val="00646E8A"/>
    <w:rsid w:val="006600C1"/>
    <w:rsid w:val="00661C40"/>
    <w:rsid w:val="0068093A"/>
    <w:rsid w:val="00681540"/>
    <w:rsid w:val="00693C8E"/>
    <w:rsid w:val="006B30F3"/>
    <w:rsid w:val="006B37A3"/>
    <w:rsid w:val="006B70AF"/>
    <w:rsid w:val="006C10DB"/>
    <w:rsid w:val="006C51F6"/>
    <w:rsid w:val="006D5007"/>
    <w:rsid w:val="006D6DD2"/>
    <w:rsid w:val="006E0E07"/>
    <w:rsid w:val="006F7F0B"/>
    <w:rsid w:val="00717F5C"/>
    <w:rsid w:val="00734837"/>
    <w:rsid w:val="00737207"/>
    <w:rsid w:val="007504B6"/>
    <w:rsid w:val="00751FA5"/>
    <w:rsid w:val="00756FBC"/>
    <w:rsid w:val="007626D1"/>
    <w:rsid w:val="00783C81"/>
    <w:rsid w:val="007A115C"/>
    <w:rsid w:val="007A27B8"/>
    <w:rsid w:val="007B2C91"/>
    <w:rsid w:val="007C4A03"/>
    <w:rsid w:val="007D13BB"/>
    <w:rsid w:val="007D7F8C"/>
    <w:rsid w:val="007E29A7"/>
    <w:rsid w:val="007E443D"/>
    <w:rsid w:val="00805A93"/>
    <w:rsid w:val="00817848"/>
    <w:rsid w:val="00850D22"/>
    <w:rsid w:val="00887A15"/>
    <w:rsid w:val="00892D85"/>
    <w:rsid w:val="008A43C1"/>
    <w:rsid w:val="008A541C"/>
    <w:rsid w:val="008C0DAA"/>
    <w:rsid w:val="008C1FD6"/>
    <w:rsid w:val="008D76C3"/>
    <w:rsid w:val="008F2783"/>
    <w:rsid w:val="008F2791"/>
    <w:rsid w:val="00916DF7"/>
    <w:rsid w:val="009249AF"/>
    <w:rsid w:val="009601AA"/>
    <w:rsid w:val="009625BB"/>
    <w:rsid w:val="009906C6"/>
    <w:rsid w:val="009A0036"/>
    <w:rsid w:val="009B0108"/>
    <w:rsid w:val="009E79BF"/>
    <w:rsid w:val="00A06A8B"/>
    <w:rsid w:val="00A27CBC"/>
    <w:rsid w:val="00A35305"/>
    <w:rsid w:val="00A46A27"/>
    <w:rsid w:val="00A53E9C"/>
    <w:rsid w:val="00A655E6"/>
    <w:rsid w:val="00A74536"/>
    <w:rsid w:val="00A81C4F"/>
    <w:rsid w:val="00A875B5"/>
    <w:rsid w:val="00A87A36"/>
    <w:rsid w:val="00AA1966"/>
    <w:rsid w:val="00AA259F"/>
    <w:rsid w:val="00AC6058"/>
    <w:rsid w:val="00AE37A2"/>
    <w:rsid w:val="00AF0EC5"/>
    <w:rsid w:val="00AF2D5D"/>
    <w:rsid w:val="00B00461"/>
    <w:rsid w:val="00B23E69"/>
    <w:rsid w:val="00B2496F"/>
    <w:rsid w:val="00B34093"/>
    <w:rsid w:val="00B5250B"/>
    <w:rsid w:val="00B72608"/>
    <w:rsid w:val="00B73E60"/>
    <w:rsid w:val="00B9593F"/>
    <w:rsid w:val="00B960D7"/>
    <w:rsid w:val="00BC49BB"/>
    <w:rsid w:val="00BC5219"/>
    <w:rsid w:val="00BF4267"/>
    <w:rsid w:val="00C26932"/>
    <w:rsid w:val="00C3671C"/>
    <w:rsid w:val="00C42478"/>
    <w:rsid w:val="00C42934"/>
    <w:rsid w:val="00C51187"/>
    <w:rsid w:val="00C56DCA"/>
    <w:rsid w:val="00C6602D"/>
    <w:rsid w:val="00C865CA"/>
    <w:rsid w:val="00CB21E4"/>
    <w:rsid w:val="00CB6886"/>
    <w:rsid w:val="00CC50EC"/>
    <w:rsid w:val="00CD1DE7"/>
    <w:rsid w:val="00CD4562"/>
    <w:rsid w:val="00CF5ADD"/>
    <w:rsid w:val="00CF6EAD"/>
    <w:rsid w:val="00D250EA"/>
    <w:rsid w:val="00D356BF"/>
    <w:rsid w:val="00D653EC"/>
    <w:rsid w:val="00D73BAB"/>
    <w:rsid w:val="00D84F37"/>
    <w:rsid w:val="00D876E4"/>
    <w:rsid w:val="00D92BA5"/>
    <w:rsid w:val="00DB26E7"/>
    <w:rsid w:val="00DC1A33"/>
    <w:rsid w:val="00DC23F6"/>
    <w:rsid w:val="00DE4FC5"/>
    <w:rsid w:val="00E15578"/>
    <w:rsid w:val="00E31941"/>
    <w:rsid w:val="00E34B9C"/>
    <w:rsid w:val="00E3688D"/>
    <w:rsid w:val="00E471AF"/>
    <w:rsid w:val="00E479B2"/>
    <w:rsid w:val="00E5013E"/>
    <w:rsid w:val="00E52122"/>
    <w:rsid w:val="00E570E7"/>
    <w:rsid w:val="00E6328B"/>
    <w:rsid w:val="00E80D1A"/>
    <w:rsid w:val="00E877B2"/>
    <w:rsid w:val="00E931BC"/>
    <w:rsid w:val="00E9323D"/>
    <w:rsid w:val="00E9530E"/>
    <w:rsid w:val="00EA4BE3"/>
    <w:rsid w:val="00EC1C36"/>
    <w:rsid w:val="00EC4029"/>
    <w:rsid w:val="00EC7DAB"/>
    <w:rsid w:val="00EF0C90"/>
    <w:rsid w:val="00F04ADC"/>
    <w:rsid w:val="00F221BC"/>
    <w:rsid w:val="00F25CF9"/>
    <w:rsid w:val="00F37E6D"/>
    <w:rsid w:val="00F60BA9"/>
    <w:rsid w:val="00F84BBB"/>
    <w:rsid w:val="00F903F0"/>
    <w:rsid w:val="00F96096"/>
    <w:rsid w:val="00FA0F1D"/>
    <w:rsid w:val="00FA679A"/>
    <w:rsid w:val="00FB11D6"/>
    <w:rsid w:val="00FC6B59"/>
    <w:rsid w:val="00FC7CA3"/>
    <w:rsid w:val="00FD23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5ECCDE5"/>
  <w15:docId w15:val="{D1004B0E-F242-435D-9221-8475A8CB2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0" w:semiHidden="1" w:uiPriority="35" w:unhideWhenUsed="1" w:qFormat="1"/>
    <w:lsdException w:name="table of figures" w:locked="0"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qFormat="1"/>
    <w:lsdException w:name="List Number" w:locked="0"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nhideWhenUsed="1" w:qFormat="1"/>
    <w:lsdException w:name="List Bullet 3" w:semiHidden="1" w:unhideWhenUsed="1"/>
    <w:lsdException w:name="List Bullet 4" w:semiHidden="1" w:unhideWhenUsed="1"/>
    <w:lsdException w:name="List Bullet 5" w:semiHidden="1" w:unhideWhenUsed="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E9C"/>
    <w:pPr>
      <w:spacing w:before="240" w:after="0" w:line="240" w:lineRule="auto"/>
    </w:pPr>
    <w:rPr>
      <w:rFonts w:ascii="Arial" w:hAnsi="Arial" w:cs="Arial"/>
      <w:color w:val="404040" w:themeColor="text1" w:themeTint="BF"/>
      <w:sz w:val="18"/>
      <w:lang w:val="en-US"/>
    </w:rPr>
  </w:style>
  <w:style w:type="paragraph" w:styleId="Heading1">
    <w:name w:val="heading 1"/>
    <w:basedOn w:val="Normal"/>
    <w:next w:val="Normal"/>
    <w:link w:val="Heading1Char"/>
    <w:uiPriority w:val="9"/>
    <w:qFormat/>
    <w:locked/>
    <w:rsid w:val="00EC1C36"/>
    <w:pPr>
      <w:keepNext/>
      <w:keepLines/>
      <w:spacing w:before="840"/>
      <w:outlineLvl w:val="0"/>
    </w:pPr>
    <w:rPr>
      <w:rFonts w:eastAsiaTheme="majorEastAsia" w:cstheme="majorBidi"/>
      <w:b/>
      <w:color w:val="000000" w:themeColor="text1"/>
      <w:sz w:val="52"/>
      <w:szCs w:val="32"/>
    </w:rPr>
  </w:style>
  <w:style w:type="paragraph" w:styleId="Heading2">
    <w:name w:val="heading 2"/>
    <w:basedOn w:val="Normal"/>
    <w:next w:val="Normal"/>
    <w:link w:val="Heading2Char"/>
    <w:uiPriority w:val="9"/>
    <w:unhideWhenUsed/>
    <w:qFormat/>
    <w:rsid w:val="00DC23F6"/>
    <w:pPr>
      <w:keepNext/>
      <w:keepLines/>
      <w:spacing w:before="480" w:after="120"/>
      <w:outlineLvl w:val="1"/>
    </w:pPr>
    <w:rPr>
      <w:rFonts w:eastAsiaTheme="majorEastAsia" w:cstheme="majorBidi"/>
      <w:color w:val="000000" w:themeColor="text1"/>
      <w:sz w:val="48"/>
      <w:szCs w:val="26"/>
    </w:rPr>
  </w:style>
  <w:style w:type="paragraph" w:styleId="Heading3">
    <w:name w:val="heading 3"/>
    <w:basedOn w:val="Normal"/>
    <w:next w:val="Normal"/>
    <w:link w:val="Heading3Char"/>
    <w:uiPriority w:val="9"/>
    <w:unhideWhenUsed/>
    <w:qFormat/>
    <w:rsid w:val="00DC23F6"/>
    <w:pPr>
      <w:keepNext/>
      <w:keepLines/>
      <w:spacing w:before="360" w:after="120"/>
      <w:outlineLvl w:val="2"/>
    </w:pPr>
    <w:rPr>
      <w:rFonts w:eastAsiaTheme="majorEastAsia" w:cstheme="majorBidi"/>
      <w:color w:val="000000" w:themeColor="text1"/>
      <w:sz w:val="32"/>
      <w:szCs w:val="24"/>
    </w:rPr>
  </w:style>
  <w:style w:type="paragraph" w:styleId="Heading4">
    <w:name w:val="heading 4"/>
    <w:basedOn w:val="Normal"/>
    <w:next w:val="Normal"/>
    <w:link w:val="Heading4Char"/>
    <w:uiPriority w:val="9"/>
    <w:unhideWhenUsed/>
    <w:qFormat/>
    <w:rsid w:val="00DC23F6"/>
    <w:pPr>
      <w:keepNext/>
      <w:keepLines/>
      <w:spacing w:before="360" w:after="120"/>
      <w:outlineLvl w:val="3"/>
    </w:pPr>
    <w:rPr>
      <w:rFonts w:eastAsiaTheme="majorEastAsia" w:cstheme="majorBidi"/>
      <w:iCs/>
      <w:color w:val="0D0D0D" w:themeColor="text1" w:themeTint="F2"/>
      <w:sz w:val="24"/>
    </w:rPr>
  </w:style>
  <w:style w:type="paragraph" w:styleId="Heading5">
    <w:name w:val="heading 5"/>
    <w:basedOn w:val="Normal"/>
    <w:next w:val="Normal"/>
    <w:link w:val="Heading5Char"/>
    <w:uiPriority w:val="9"/>
    <w:unhideWhenUsed/>
    <w:locked/>
    <w:rsid w:val="00EC1C36"/>
    <w:pPr>
      <w:keepNext/>
      <w:keepLines/>
      <w:spacing w:before="40"/>
      <w:outlineLvl w:val="4"/>
    </w:pPr>
    <w:rPr>
      <w:rFonts w:eastAsiaTheme="majorEastAsia" w:cstheme="majorBidi"/>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locked/>
    <w:rsid w:val="00EF0C90"/>
    <w:pPr>
      <w:spacing w:line="300" w:lineRule="atLeast"/>
    </w:pPr>
  </w:style>
  <w:style w:type="character" w:customStyle="1" w:styleId="BodyTextChar">
    <w:name w:val="Body Text Char"/>
    <w:basedOn w:val="DefaultParagraphFont"/>
    <w:link w:val="BodyText"/>
    <w:uiPriority w:val="99"/>
    <w:rsid w:val="00EF0C90"/>
    <w:rPr>
      <w:rFonts w:ascii="Arial" w:hAnsi="Arial" w:cs="Arial"/>
    </w:rPr>
  </w:style>
  <w:style w:type="paragraph" w:styleId="Footer">
    <w:name w:val="footer"/>
    <w:basedOn w:val="BodyText"/>
    <w:link w:val="FooterChar"/>
    <w:uiPriority w:val="99"/>
    <w:unhideWhenUsed/>
    <w:locked/>
    <w:rsid w:val="00EF0C90"/>
    <w:pPr>
      <w:tabs>
        <w:tab w:val="center" w:pos="4536"/>
        <w:tab w:val="right" w:pos="9072"/>
      </w:tabs>
      <w:spacing w:line="240" w:lineRule="auto"/>
    </w:pPr>
    <w:rPr>
      <w:sz w:val="15"/>
    </w:rPr>
  </w:style>
  <w:style w:type="character" w:customStyle="1" w:styleId="FooterChar">
    <w:name w:val="Footer Char"/>
    <w:basedOn w:val="DefaultParagraphFont"/>
    <w:link w:val="Footer"/>
    <w:uiPriority w:val="99"/>
    <w:rsid w:val="00EF0C90"/>
    <w:rPr>
      <w:rFonts w:ascii="Arial" w:hAnsi="Arial" w:cs="Arial"/>
      <w:sz w:val="15"/>
    </w:rPr>
  </w:style>
  <w:style w:type="paragraph" w:styleId="Header">
    <w:name w:val="header"/>
    <w:basedOn w:val="BodyText"/>
    <w:link w:val="HeaderChar"/>
    <w:uiPriority w:val="99"/>
    <w:unhideWhenUsed/>
    <w:locked/>
    <w:rsid w:val="00EF0C90"/>
    <w:pPr>
      <w:tabs>
        <w:tab w:val="center" w:pos="4536"/>
        <w:tab w:val="right" w:pos="9072"/>
      </w:tabs>
      <w:spacing w:line="240" w:lineRule="auto"/>
    </w:pPr>
    <w:rPr>
      <w:sz w:val="15"/>
    </w:rPr>
  </w:style>
  <w:style w:type="character" w:customStyle="1" w:styleId="HeaderChar">
    <w:name w:val="Header Char"/>
    <w:basedOn w:val="DefaultParagraphFont"/>
    <w:link w:val="Header"/>
    <w:uiPriority w:val="99"/>
    <w:rsid w:val="00EF0C90"/>
    <w:rPr>
      <w:rFonts w:ascii="Arial" w:hAnsi="Arial" w:cs="Arial"/>
      <w:sz w:val="15"/>
    </w:rPr>
  </w:style>
  <w:style w:type="paragraph" w:customStyle="1" w:styleId="Header2">
    <w:name w:val="Header 2"/>
    <w:basedOn w:val="Header"/>
    <w:link w:val="Header2Char"/>
    <w:locked/>
    <w:rsid w:val="00EF0C90"/>
    <w:pPr>
      <w:pBdr>
        <w:bottom w:val="single" w:sz="4" w:space="4" w:color="auto"/>
      </w:pBdr>
    </w:pPr>
  </w:style>
  <w:style w:type="character" w:customStyle="1" w:styleId="Header2Char">
    <w:name w:val="Header 2 Char"/>
    <w:basedOn w:val="DefaultParagraphFont"/>
    <w:link w:val="Header2"/>
    <w:rsid w:val="00EF0C90"/>
    <w:rPr>
      <w:rFonts w:ascii="Arial" w:hAnsi="Arial" w:cs="Arial"/>
      <w:sz w:val="15"/>
    </w:rPr>
  </w:style>
  <w:style w:type="paragraph" w:customStyle="1" w:styleId="Footer2">
    <w:name w:val="Footer 2"/>
    <w:basedOn w:val="Footer"/>
    <w:link w:val="Footer2Char"/>
    <w:locked/>
    <w:rsid w:val="00EF0C90"/>
    <w:pPr>
      <w:pBdr>
        <w:top w:val="single" w:sz="4" w:space="4" w:color="auto"/>
      </w:pBdr>
    </w:pPr>
  </w:style>
  <w:style w:type="character" w:customStyle="1" w:styleId="Footer2Char">
    <w:name w:val="Footer 2 Char"/>
    <w:basedOn w:val="DefaultParagraphFont"/>
    <w:link w:val="Footer2"/>
    <w:rsid w:val="00EF0C90"/>
    <w:rPr>
      <w:rFonts w:ascii="Arial" w:hAnsi="Arial" w:cs="Arial"/>
      <w:sz w:val="15"/>
    </w:rPr>
  </w:style>
  <w:style w:type="paragraph" w:styleId="ListNumber">
    <w:name w:val="List Number"/>
    <w:basedOn w:val="BodyText"/>
    <w:uiPriority w:val="99"/>
    <w:unhideWhenUsed/>
    <w:qFormat/>
    <w:rsid w:val="00B34093"/>
    <w:pPr>
      <w:numPr>
        <w:numId w:val="1"/>
      </w:numPr>
      <w:spacing w:before="60"/>
      <w:ind w:left="284" w:hanging="284"/>
      <w:contextualSpacing/>
    </w:pPr>
  </w:style>
  <w:style w:type="paragraph" w:styleId="ListNumber2">
    <w:name w:val="List Number 2"/>
    <w:basedOn w:val="BodyText"/>
    <w:uiPriority w:val="99"/>
    <w:unhideWhenUsed/>
    <w:qFormat/>
    <w:rsid w:val="00B34093"/>
    <w:pPr>
      <w:numPr>
        <w:ilvl w:val="1"/>
        <w:numId w:val="1"/>
      </w:numPr>
      <w:tabs>
        <w:tab w:val="clear" w:pos="567"/>
      </w:tabs>
      <w:spacing w:before="60"/>
      <w:ind w:left="738" w:hanging="454"/>
      <w:contextualSpacing/>
    </w:pPr>
  </w:style>
  <w:style w:type="paragraph" w:styleId="ListNumber3">
    <w:name w:val="List Number 3"/>
    <w:basedOn w:val="BodyText"/>
    <w:uiPriority w:val="99"/>
    <w:semiHidden/>
    <w:unhideWhenUsed/>
    <w:locked/>
    <w:rsid w:val="00EF0C90"/>
    <w:pPr>
      <w:numPr>
        <w:ilvl w:val="2"/>
        <w:numId w:val="1"/>
      </w:numPr>
      <w:tabs>
        <w:tab w:val="clear" w:pos="720"/>
        <w:tab w:val="num" w:pos="850"/>
      </w:tabs>
      <w:ind w:left="850" w:hanging="850"/>
      <w:contextualSpacing/>
    </w:pPr>
  </w:style>
  <w:style w:type="paragraph" w:styleId="ListBullet">
    <w:name w:val="List Bullet"/>
    <w:basedOn w:val="BodyText"/>
    <w:uiPriority w:val="99"/>
    <w:unhideWhenUsed/>
    <w:qFormat/>
    <w:rsid w:val="00B34093"/>
    <w:pPr>
      <w:numPr>
        <w:numId w:val="2"/>
      </w:numPr>
      <w:spacing w:before="60"/>
      <w:ind w:left="284" w:hanging="284"/>
      <w:contextualSpacing/>
    </w:pPr>
  </w:style>
  <w:style w:type="paragraph" w:styleId="ListBullet2">
    <w:name w:val="List Bullet 2"/>
    <w:basedOn w:val="BodyText"/>
    <w:uiPriority w:val="99"/>
    <w:unhideWhenUsed/>
    <w:qFormat/>
    <w:rsid w:val="00B34093"/>
    <w:pPr>
      <w:numPr>
        <w:numId w:val="3"/>
      </w:numPr>
      <w:spacing w:before="60"/>
      <w:ind w:left="568" w:hanging="284"/>
      <w:contextualSpacing/>
    </w:pPr>
  </w:style>
  <w:style w:type="paragraph" w:styleId="ListBullet3">
    <w:name w:val="List Bullet 3"/>
    <w:basedOn w:val="BodyText"/>
    <w:uiPriority w:val="99"/>
    <w:semiHidden/>
    <w:unhideWhenUsed/>
    <w:locked/>
    <w:rsid w:val="00EF0C90"/>
    <w:pPr>
      <w:numPr>
        <w:numId w:val="4"/>
      </w:numPr>
      <w:contextualSpacing/>
    </w:pPr>
  </w:style>
  <w:style w:type="paragraph" w:styleId="EnvelopeAddress">
    <w:name w:val="envelope address"/>
    <w:basedOn w:val="BodyText"/>
    <w:uiPriority w:val="99"/>
    <w:semiHidden/>
    <w:unhideWhenUsed/>
    <w:locked/>
    <w:rsid w:val="00EF0C90"/>
    <w:pPr>
      <w:framePr w:w="7920" w:h="1980" w:hRule="exact" w:hSpace="180" w:wrap="auto" w:hAnchor="page" w:xAlign="center" w:yAlign="bottom"/>
      <w:ind w:left="2880"/>
    </w:pPr>
    <w:rPr>
      <w:rFonts w:ascii="Times New Roman" w:eastAsiaTheme="majorEastAsia" w:hAnsi="Times New Roman" w:cs="Times New Roman"/>
      <w:szCs w:val="24"/>
    </w:rPr>
  </w:style>
  <w:style w:type="character" w:customStyle="1" w:styleId="Heading1Char">
    <w:name w:val="Heading 1 Char"/>
    <w:basedOn w:val="DefaultParagraphFont"/>
    <w:link w:val="Heading1"/>
    <w:uiPriority w:val="9"/>
    <w:rsid w:val="00EC1C36"/>
    <w:rPr>
      <w:rFonts w:ascii="Arial" w:eastAsiaTheme="majorEastAsia" w:hAnsi="Arial" w:cstheme="majorBidi"/>
      <w:b/>
      <w:color w:val="000000" w:themeColor="text1"/>
      <w:sz w:val="52"/>
      <w:szCs w:val="32"/>
      <w:lang w:val="en-US"/>
    </w:rPr>
  </w:style>
  <w:style w:type="character" w:customStyle="1" w:styleId="Heading2Char">
    <w:name w:val="Heading 2 Char"/>
    <w:basedOn w:val="DefaultParagraphFont"/>
    <w:link w:val="Heading2"/>
    <w:uiPriority w:val="9"/>
    <w:rsid w:val="00DC23F6"/>
    <w:rPr>
      <w:rFonts w:ascii="Arial" w:eastAsiaTheme="majorEastAsia" w:hAnsi="Arial" w:cstheme="majorBidi"/>
      <w:color w:val="000000" w:themeColor="text1"/>
      <w:sz w:val="48"/>
      <w:szCs w:val="26"/>
      <w:lang w:val="en-US"/>
    </w:rPr>
  </w:style>
  <w:style w:type="character" w:customStyle="1" w:styleId="Heading3Char">
    <w:name w:val="Heading 3 Char"/>
    <w:basedOn w:val="DefaultParagraphFont"/>
    <w:link w:val="Heading3"/>
    <w:uiPriority w:val="9"/>
    <w:rsid w:val="00DC23F6"/>
    <w:rPr>
      <w:rFonts w:ascii="Arial" w:eastAsiaTheme="majorEastAsia" w:hAnsi="Arial" w:cstheme="majorBidi"/>
      <w:color w:val="000000" w:themeColor="text1"/>
      <w:sz w:val="32"/>
      <w:szCs w:val="24"/>
      <w:lang w:val="en-US"/>
    </w:rPr>
  </w:style>
  <w:style w:type="character" w:customStyle="1" w:styleId="Heading4Char">
    <w:name w:val="Heading 4 Char"/>
    <w:basedOn w:val="DefaultParagraphFont"/>
    <w:link w:val="Heading4"/>
    <w:uiPriority w:val="9"/>
    <w:rsid w:val="00DC23F6"/>
    <w:rPr>
      <w:rFonts w:ascii="Arial" w:eastAsiaTheme="majorEastAsia" w:hAnsi="Arial" w:cstheme="majorBidi"/>
      <w:iCs/>
      <w:color w:val="0D0D0D" w:themeColor="text1" w:themeTint="F2"/>
      <w:sz w:val="24"/>
      <w:lang w:val="en-US"/>
    </w:rPr>
  </w:style>
  <w:style w:type="character" w:styleId="Strong">
    <w:name w:val="Strong"/>
    <w:basedOn w:val="DefaultParagraphFont"/>
    <w:uiPriority w:val="22"/>
    <w:qFormat/>
    <w:rsid w:val="00B34093"/>
    <w:rPr>
      <w:b/>
      <w:bCs/>
    </w:rPr>
  </w:style>
  <w:style w:type="character" w:styleId="Emphasis">
    <w:name w:val="Emphasis"/>
    <w:basedOn w:val="DefaultParagraphFont"/>
    <w:uiPriority w:val="20"/>
    <w:qFormat/>
    <w:rsid w:val="00B34093"/>
    <w:rPr>
      <w:i/>
      <w:iCs/>
    </w:rPr>
  </w:style>
  <w:style w:type="paragraph" w:styleId="TableofFigures">
    <w:name w:val="table of figures"/>
    <w:basedOn w:val="Normal"/>
    <w:next w:val="Normal"/>
    <w:uiPriority w:val="99"/>
    <w:unhideWhenUsed/>
    <w:qFormat/>
    <w:rsid w:val="00A27CBC"/>
    <w:pPr>
      <w:spacing w:after="120"/>
    </w:pPr>
    <w:rPr>
      <w:b/>
    </w:rPr>
  </w:style>
  <w:style w:type="character" w:styleId="Hyperlink">
    <w:name w:val="Hyperlink"/>
    <w:basedOn w:val="DefaultParagraphFont"/>
    <w:uiPriority w:val="99"/>
    <w:unhideWhenUsed/>
    <w:qFormat/>
    <w:rsid w:val="00B00461"/>
    <w:rPr>
      <w:rFonts w:ascii="Arial" w:hAnsi="Arial"/>
      <w:b w:val="0"/>
      <w:i w:val="0"/>
      <w:color w:val="000000" w:themeColor="text1"/>
      <w:u w:val="single"/>
    </w:rPr>
  </w:style>
  <w:style w:type="paragraph" w:styleId="Caption">
    <w:name w:val="caption"/>
    <w:basedOn w:val="Normal"/>
    <w:next w:val="Normal"/>
    <w:uiPriority w:val="35"/>
    <w:unhideWhenUsed/>
    <w:qFormat/>
    <w:rsid w:val="00A27CBC"/>
    <w:pPr>
      <w:spacing w:before="120" w:after="120"/>
    </w:pPr>
    <w:rPr>
      <w:i/>
      <w:iCs/>
      <w:color w:val="000000" w:themeColor="text2"/>
      <w:szCs w:val="18"/>
    </w:rPr>
  </w:style>
  <w:style w:type="paragraph" w:customStyle="1" w:styleId="ForMoreInformation">
    <w:name w:val="For More Information"/>
    <w:basedOn w:val="BodyText"/>
    <w:qFormat/>
    <w:rsid w:val="00C51187"/>
    <w:pPr>
      <w:shd w:val="clear" w:color="auto" w:fill="DDDDDD" w:themeFill="accent1"/>
    </w:pPr>
    <w:rPr>
      <w:b/>
      <w:color w:val="0D0D0D" w:themeColor="text1" w:themeTint="F2"/>
    </w:rPr>
  </w:style>
  <w:style w:type="paragraph" w:customStyle="1" w:styleId="CaseStudy">
    <w:name w:val="Case Study"/>
    <w:basedOn w:val="BodyText"/>
    <w:locked/>
    <w:rsid w:val="001B0E7B"/>
    <w:rPr>
      <w:b/>
      <w:color w:val="002060"/>
      <w:sz w:val="28"/>
    </w:rPr>
  </w:style>
  <w:style w:type="paragraph" w:customStyle="1" w:styleId="Casesubheading">
    <w:name w:val="Case subheading"/>
    <w:basedOn w:val="BodyText"/>
    <w:locked/>
    <w:rsid w:val="001B0E7B"/>
    <w:rPr>
      <w:i/>
      <w:color w:val="002060"/>
      <w:sz w:val="24"/>
    </w:rPr>
  </w:style>
  <w:style w:type="paragraph" w:customStyle="1" w:styleId="CaseStudyParagraph">
    <w:name w:val="Case Study Paragraph"/>
    <w:basedOn w:val="BodyText"/>
    <w:locked/>
    <w:rsid w:val="001B0E7B"/>
    <w:rPr>
      <w:color w:val="002060"/>
    </w:rPr>
  </w:style>
  <w:style w:type="paragraph" w:styleId="Quote">
    <w:name w:val="Quote"/>
    <w:basedOn w:val="Normal"/>
    <w:next w:val="Normal"/>
    <w:link w:val="QuoteChar"/>
    <w:uiPriority w:val="29"/>
    <w:locked/>
    <w:rsid w:val="00011087"/>
    <w:pPr>
      <w:spacing w:before="200" w:after="160"/>
    </w:pPr>
    <w:rPr>
      <w:i/>
      <w:iCs/>
      <w:color w:val="002060"/>
      <w:sz w:val="22"/>
    </w:rPr>
  </w:style>
  <w:style w:type="character" w:customStyle="1" w:styleId="QuoteChar">
    <w:name w:val="Quote Char"/>
    <w:basedOn w:val="DefaultParagraphFont"/>
    <w:link w:val="Quote"/>
    <w:uiPriority w:val="29"/>
    <w:rsid w:val="00011087"/>
    <w:rPr>
      <w:rFonts w:ascii="Arial" w:hAnsi="Arial" w:cs="Arial"/>
      <w:i/>
      <w:iCs/>
      <w:color w:val="002060"/>
    </w:rPr>
  </w:style>
  <w:style w:type="paragraph" w:styleId="IntenseQuote">
    <w:name w:val="Intense Quote"/>
    <w:basedOn w:val="Normal"/>
    <w:next w:val="Normal"/>
    <w:link w:val="IntenseQuoteChar"/>
    <w:uiPriority w:val="30"/>
    <w:locked/>
    <w:rsid w:val="00011087"/>
    <w:pPr>
      <w:pBdr>
        <w:top w:val="single" w:sz="4" w:space="10" w:color="DDDDDD" w:themeColor="accent1"/>
        <w:bottom w:val="single" w:sz="4" w:space="10" w:color="DDDDDD" w:themeColor="accent1"/>
      </w:pBdr>
      <w:spacing w:before="360" w:after="360"/>
      <w:ind w:left="864" w:right="864"/>
      <w:jc w:val="center"/>
    </w:pPr>
    <w:rPr>
      <w:i/>
      <w:iCs/>
      <w:color w:val="DDDDDD" w:themeColor="accent1"/>
    </w:rPr>
  </w:style>
  <w:style w:type="character" w:customStyle="1" w:styleId="IntenseQuoteChar">
    <w:name w:val="Intense Quote Char"/>
    <w:basedOn w:val="DefaultParagraphFont"/>
    <w:link w:val="IntenseQuote"/>
    <w:uiPriority w:val="30"/>
    <w:rsid w:val="00011087"/>
    <w:rPr>
      <w:rFonts w:ascii="Arial" w:hAnsi="Arial" w:cs="Arial"/>
      <w:i/>
      <w:iCs/>
      <w:color w:val="DDDDDD" w:themeColor="accent1"/>
      <w:sz w:val="18"/>
    </w:rPr>
  </w:style>
  <w:style w:type="character" w:styleId="SubtleReference">
    <w:name w:val="Subtle Reference"/>
    <w:basedOn w:val="DefaultParagraphFont"/>
    <w:uiPriority w:val="31"/>
    <w:locked/>
    <w:rsid w:val="00011087"/>
    <w:rPr>
      <w:caps w:val="0"/>
      <w:smallCaps w:val="0"/>
      <w:color w:val="002060"/>
    </w:rPr>
  </w:style>
  <w:style w:type="character" w:styleId="IntenseReference">
    <w:name w:val="Intense Reference"/>
    <w:basedOn w:val="DefaultParagraphFont"/>
    <w:uiPriority w:val="32"/>
    <w:locked/>
    <w:rsid w:val="00011087"/>
    <w:rPr>
      <w:b/>
      <w:bCs/>
      <w:smallCaps/>
      <w:color w:val="DDDDDD" w:themeColor="accent1"/>
      <w:spacing w:val="5"/>
    </w:rPr>
  </w:style>
  <w:style w:type="character" w:styleId="CommentReference">
    <w:name w:val="annotation reference"/>
    <w:basedOn w:val="DefaultParagraphFont"/>
    <w:uiPriority w:val="99"/>
    <w:semiHidden/>
    <w:unhideWhenUsed/>
    <w:locked/>
    <w:rsid w:val="006B37A3"/>
    <w:rPr>
      <w:sz w:val="16"/>
      <w:szCs w:val="16"/>
    </w:rPr>
  </w:style>
  <w:style w:type="paragraph" w:styleId="CommentText">
    <w:name w:val="annotation text"/>
    <w:basedOn w:val="Normal"/>
    <w:link w:val="CommentTextChar"/>
    <w:uiPriority w:val="99"/>
    <w:unhideWhenUsed/>
    <w:locked/>
    <w:rsid w:val="006B37A3"/>
    <w:rPr>
      <w:sz w:val="20"/>
      <w:szCs w:val="20"/>
    </w:rPr>
  </w:style>
  <w:style w:type="character" w:customStyle="1" w:styleId="CommentTextChar">
    <w:name w:val="Comment Text Char"/>
    <w:basedOn w:val="DefaultParagraphFont"/>
    <w:link w:val="CommentText"/>
    <w:uiPriority w:val="99"/>
    <w:rsid w:val="006B37A3"/>
    <w:rPr>
      <w:rFonts w:ascii="Arial" w:hAnsi="Arial" w:cs="Arial"/>
      <w:sz w:val="20"/>
      <w:szCs w:val="20"/>
      <w:lang w:val="en-US"/>
    </w:rPr>
  </w:style>
  <w:style w:type="paragraph" w:styleId="CommentSubject">
    <w:name w:val="annotation subject"/>
    <w:basedOn w:val="CommentText"/>
    <w:next w:val="CommentText"/>
    <w:link w:val="CommentSubjectChar"/>
    <w:uiPriority w:val="99"/>
    <w:semiHidden/>
    <w:unhideWhenUsed/>
    <w:locked/>
    <w:rsid w:val="006B37A3"/>
    <w:rPr>
      <w:b/>
      <w:bCs/>
    </w:rPr>
  </w:style>
  <w:style w:type="character" w:customStyle="1" w:styleId="CommentSubjectChar">
    <w:name w:val="Comment Subject Char"/>
    <w:basedOn w:val="CommentTextChar"/>
    <w:link w:val="CommentSubject"/>
    <w:uiPriority w:val="99"/>
    <w:semiHidden/>
    <w:rsid w:val="006B37A3"/>
    <w:rPr>
      <w:rFonts w:ascii="Arial" w:hAnsi="Arial" w:cs="Arial"/>
      <w:b/>
      <w:bCs/>
      <w:sz w:val="20"/>
      <w:szCs w:val="20"/>
      <w:lang w:val="en-US"/>
    </w:rPr>
  </w:style>
  <w:style w:type="character" w:styleId="UnresolvedMention">
    <w:name w:val="Unresolved Mention"/>
    <w:basedOn w:val="DefaultParagraphFont"/>
    <w:uiPriority w:val="99"/>
    <w:semiHidden/>
    <w:unhideWhenUsed/>
    <w:locked/>
    <w:rsid w:val="00E80D1A"/>
    <w:rPr>
      <w:color w:val="605E5C"/>
      <w:shd w:val="clear" w:color="auto" w:fill="E1DFDD"/>
    </w:rPr>
  </w:style>
  <w:style w:type="paragraph" w:customStyle="1" w:styleId="Normal-table">
    <w:name w:val="Normal - table"/>
    <w:basedOn w:val="Normal"/>
    <w:qFormat/>
    <w:rsid w:val="001B7ABF"/>
    <w:pPr>
      <w:spacing w:before="60" w:after="60" w:line="240" w:lineRule="exact"/>
    </w:pPr>
    <w:rPr>
      <w:color w:val="0D0D0D" w:themeColor="text1" w:themeTint="F2"/>
    </w:rPr>
  </w:style>
  <w:style w:type="paragraph" w:styleId="Revision">
    <w:name w:val="Revision"/>
    <w:hidden/>
    <w:uiPriority w:val="99"/>
    <w:semiHidden/>
    <w:rsid w:val="00805A93"/>
    <w:pPr>
      <w:spacing w:after="0" w:line="240" w:lineRule="auto"/>
    </w:pPr>
    <w:rPr>
      <w:rFonts w:ascii="Arial" w:hAnsi="Arial" w:cs="Arial"/>
      <w:sz w:val="18"/>
      <w:lang w:val="en-US"/>
    </w:rPr>
  </w:style>
  <w:style w:type="table" w:styleId="TableGrid">
    <w:name w:val="Table Grid"/>
    <w:basedOn w:val="TableNormal"/>
    <w:uiPriority w:val="39"/>
    <w:locked/>
    <w:rsid w:val="00577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locked/>
    <w:rsid w:val="0057796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locked/>
    <w:rsid w:val="00AC6058"/>
    <w:pPr>
      <w:ind w:left="720"/>
      <w:contextualSpacing/>
    </w:pPr>
  </w:style>
  <w:style w:type="table" w:styleId="GridTable4-Accent5">
    <w:name w:val="Grid Table 4 Accent 5"/>
    <w:aliases w:val="Latin TMR style - NM"/>
    <w:basedOn w:val="TableNormal"/>
    <w:uiPriority w:val="49"/>
    <w:locked/>
    <w:rsid w:val="006D5007"/>
    <w:pPr>
      <w:spacing w:after="0"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shd w:val="clear" w:color="auto" w:fill="003C69"/>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paragraph" w:styleId="BalloonText">
    <w:name w:val="Balloon Text"/>
    <w:basedOn w:val="Normal"/>
    <w:link w:val="BalloonTextChar"/>
    <w:uiPriority w:val="99"/>
    <w:semiHidden/>
    <w:unhideWhenUsed/>
    <w:locked/>
    <w:rsid w:val="006D5007"/>
    <w:pPr>
      <w:spacing w:before="0"/>
    </w:pPr>
    <w:rPr>
      <w:rFonts w:ascii="Segoe UI" w:hAnsi="Segoe UI" w:cs="Segoe UI"/>
      <w:szCs w:val="18"/>
      <w:lang w:val="en-AU"/>
    </w:rPr>
  </w:style>
  <w:style w:type="character" w:customStyle="1" w:styleId="BalloonTextChar">
    <w:name w:val="Balloon Text Char"/>
    <w:basedOn w:val="DefaultParagraphFont"/>
    <w:link w:val="BalloonText"/>
    <w:uiPriority w:val="99"/>
    <w:semiHidden/>
    <w:rsid w:val="006D5007"/>
    <w:rPr>
      <w:rFonts w:ascii="Segoe UI" w:hAnsi="Segoe UI" w:cs="Segoe UI"/>
      <w:sz w:val="18"/>
      <w:szCs w:val="18"/>
    </w:rPr>
  </w:style>
  <w:style w:type="character" w:styleId="LineNumber">
    <w:name w:val="line number"/>
    <w:basedOn w:val="DefaultParagraphFont"/>
    <w:uiPriority w:val="99"/>
    <w:semiHidden/>
    <w:unhideWhenUsed/>
    <w:locked/>
    <w:rsid w:val="006D5007"/>
  </w:style>
  <w:style w:type="paragraph" w:customStyle="1" w:styleId="ACPHeading">
    <w:name w:val="ACP Heading"/>
    <w:basedOn w:val="Normal"/>
    <w:link w:val="ACPHeadingChar"/>
    <w:qFormat/>
    <w:rsid w:val="006D5007"/>
    <w:pPr>
      <w:shd w:val="clear" w:color="auto" w:fill="EBEBEB"/>
      <w:spacing w:before="0" w:after="120"/>
    </w:pPr>
    <w:rPr>
      <w:rFonts w:ascii="Meta Pro" w:eastAsia="Times New Roman" w:hAnsi="Meta Pro"/>
      <w:b/>
      <w:bCs/>
      <w:color w:val="000000"/>
      <w:szCs w:val="18"/>
      <w:lang w:val="en-AU" w:eastAsia="en-AU"/>
    </w:rPr>
  </w:style>
  <w:style w:type="paragraph" w:customStyle="1" w:styleId="ACPPara">
    <w:name w:val="ACP Para"/>
    <w:basedOn w:val="Normal"/>
    <w:link w:val="ACPParaChar"/>
    <w:qFormat/>
    <w:rsid w:val="006D5007"/>
    <w:pPr>
      <w:shd w:val="clear" w:color="auto" w:fill="EBEBEB"/>
      <w:spacing w:before="0" w:after="120"/>
    </w:pPr>
    <w:rPr>
      <w:rFonts w:ascii="Meta Pro" w:eastAsia="Times New Roman" w:hAnsi="Meta Pro"/>
      <w:color w:val="000000"/>
      <w:szCs w:val="18"/>
      <w:lang w:val="en-AU" w:eastAsia="en-AU"/>
    </w:rPr>
  </w:style>
  <w:style w:type="character" w:customStyle="1" w:styleId="ACPHeadingChar">
    <w:name w:val="ACP Heading Char"/>
    <w:basedOn w:val="DefaultParagraphFont"/>
    <w:link w:val="ACPHeading"/>
    <w:rsid w:val="006D5007"/>
    <w:rPr>
      <w:rFonts w:ascii="Meta Pro" w:eastAsia="Times New Roman" w:hAnsi="Meta Pro" w:cs="Arial"/>
      <w:b/>
      <w:bCs/>
      <w:color w:val="000000"/>
      <w:sz w:val="18"/>
      <w:szCs w:val="18"/>
      <w:shd w:val="clear" w:color="auto" w:fill="EBEBEB"/>
      <w:lang w:eastAsia="en-AU"/>
    </w:rPr>
  </w:style>
  <w:style w:type="character" w:customStyle="1" w:styleId="ACPParaChar">
    <w:name w:val="ACP Para Char"/>
    <w:basedOn w:val="DefaultParagraphFont"/>
    <w:link w:val="ACPPara"/>
    <w:rsid w:val="006D5007"/>
    <w:rPr>
      <w:rFonts w:ascii="Meta Pro" w:eastAsia="Times New Roman" w:hAnsi="Meta Pro" w:cs="Arial"/>
      <w:color w:val="000000"/>
      <w:sz w:val="18"/>
      <w:szCs w:val="18"/>
      <w:shd w:val="clear" w:color="auto" w:fill="EBEBEB"/>
      <w:lang w:eastAsia="en-AU"/>
    </w:rPr>
  </w:style>
  <w:style w:type="paragraph" w:customStyle="1" w:styleId="Default">
    <w:name w:val="Default"/>
    <w:rsid w:val="006D5007"/>
    <w:pPr>
      <w:autoSpaceDE w:val="0"/>
      <w:autoSpaceDN w:val="0"/>
      <w:adjustRightInd w:val="0"/>
      <w:spacing w:after="0" w:line="240" w:lineRule="auto"/>
    </w:pPr>
    <w:rPr>
      <w:rFonts w:ascii="Arial" w:hAnsi="Arial" w:cs="Arial"/>
      <w:color w:val="000000"/>
      <w:sz w:val="24"/>
      <w:szCs w:val="24"/>
    </w:rPr>
  </w:style>
  <w:style w:type="character" w:customStyle="1" w:styleId="ui-provider">
    <w:name w:val="ui-provider"/>
    <w:basedOn w:val="DefaultParagraphFont"/>
    <w:rsid w:val="006D5007"/>
  </w:style>
  <w:style w:type="paragraph" w:styleId="Subtitle">
    <w:name w:val="Subtitle"/>
    <w:basedOn w:val="Normal"/>
    <w:next w:val="Normal"/>
    <w:link w:val="SubtitleChar"/>
    <w:uiPriority w:val="11"/>
    <w:locked/>
    <w:rsid w:val="00A81C4F"/>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A81C4F"/>
    <w:rPr>
      <w:rFonts w:eastAsiaTheme="minorEastAsia"/>
      <w:color w:val="5A5A5A" w:themeColor="text1" w:themeTint="A5"/>
      <w:spacing w:val="15"/>
      <w:lang w:val="en-US"/>
    </w:rPr>
  </w:style>
  <w:style w:type="table" w:styleId="GridTable1Light">
    <w:name w:val="Grid Table 1 Light"/>
    <w:basedOn w:val="TableNormal"/>
    <w:uiPriority w:val="46"/>
    <w:locked/>
    <w:rsid w:val="00A81C4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A81C4F"/>
    <w:pPr>
      <w:spacing w:after="0" w:line="240" w:lineRule="auto"/>
    </w:pPr>
    <w:tblPr>
      <w:tblStyleRowBandSize w:val="1"/>
      <w:tblStyleColBandSize w:val="1"/>
      <w:tblBorders>
        <w:top w:val="single" w:sz="4" w:space="0" w:color="F1F1F1" w:themeColor="accent1" w:themeTint="66"/>
        <w:left w:val="single" w:sz="4" w:space="0" w:color="F1F1F1" w:themeColor="accent1" w:themeTint="66"/>
        <w:bottom w:val="single" w:sz="4" w:space="0" w:color="F1F1F1" w:themeColor="accent1" w:themeTint="66"/>
        <w:right w:val="single" w:sz="4" w:space="0" w:color="F1F1F1" w:themeColor="accent1" w:themeTint="66"/>
        <w:insideH w:val="single" w:sz="4" w:space="0" w:color="F1F1F1" w:themeColor="accent1" w:themeTint="66"/>
        <w:insideV w:val="single" w:sz="4" w:space="0" w:color="F1F1F1" w:themeColor="accent1" w:themeTint="66"/>
      </w:tblBorders>
    </w:tblPr>
    <w:tblStylePr w:type="firstRow">
      <w:rPr>
        <w:b/>
        <w:bCs/>
      </w:rPr>
      <w:tblPr/>
      <w:tcPr>
        <w:tcBorders>
          <w:bottom w:val="single" w:sz="12" w:space="0" w:color="EAEAEA" w:themeColor="accent1" w:themeTint="99"/>
        </w:tcBorders>
      </w:tcPr>
    </w:tblStylePr>
    <w:tblStylePr w:type="lastRow">
      <w:rPr>
        <w:b/>
        <w:bCs/>
      </w:rPr>
      <w:tblPr/>
      <w:tcPr>
        <w:tcBorders>
          <w:top w:val="double" w:sz="2" w:space="0" w:color="EAEAEA"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locked/>
    <w:rsid w:val="00436BF4"/>
    <w:pPr>
      <w:spacing w:after="0" w:line="240" w:lineRule="auto"/>
    </w:p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CellMar>
        <w:top w:w="68" w:type="dxa"/>
        <w:left w:w="68" w:type="dxa"/>
        <w:bottom w:w="68" w:type="dxa"/>
        <w:right w:w="68" w:type="dxa"/>
      </w:tblCellMar>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insideV w:val="nil"/>
        </w:tcBorders>
        <w:shd w:val="clear" w:color="auto" w:fill="DDDDDD" w:themeFill="accent1"/>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GridTable5Dark-Accent1">
    <w:name w:val="Grid Table 5 Dark Accent 1"/>
    <w:basedOn w:val="TableNormal"/>
    <w:uiPriority w:val="50"/>
    <w:locked/>
    <w:rsid w:val="00F221B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8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DDD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DDD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DDD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DDDD" w:themeFill="accent1"/>
      </w:tcPr>
    </w:tblStylePr>
    <w:tblStylePr w:type="band1Vert">
      <w:tblPr/>
      <w:tcPr>
        <w:shd w:val="clear" w:color="auto" w:fill="F1F1F1" w:themeFill="accent1" w:themeFillTint="66"/>
      </w:tcPr>
    </w:tblStylePr>
    <w:tblStylePr w:type="band1Horz">
      <w:tblPr/>
      <w:tcPr>
        <w:shd w:val="clear" w:color="auto" w:fill="F1F1F1" w:themeFill="accent1" w:themeFillTint="66"/>
      </w:tcPr>
    </w:tblStylePr>
  </w:style>
  <w:style w:type="table" w:styleId="GridTable4-Accent2">
    <w:name w:val="Grid Table 4 Accent 2"/>
    <w:basedOn w:val="TableNormal"/>
    <w:uiPriority w:val="49"/>
    <w:locked/>
    <w:rsid w:val="00E5013E"/>
    <w:pPr>
      <w:spacing w:after="0" w:line="240" w:lineRule="auto"/>
    </w:p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insideV w:val="nil"/>
        </w:tcBorders>
        <w:shd w:val="clear" w:color="auto" w:fill="B2B2B2" w:themeFill="accent2"/>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character" w:customStyle="1" w:styleId="Heading5Char">
    <w:name w:val="Heading 5 Char"/>
    <w:basedOn w:val="DefaultParagraphFont"/>
    <w:link w:val="Heading5"/>
    <w:uiPriority w:val="9"/>
    <w:rsid w:val="00EC1C36"/>
    <w:rPr>
      <w:rFonts w:ascii="Arial" w:eastAsiaTheme="majorEastAsia" w:hAnsi="Arial" w:cstheme="majorBidi"/>
      <w:color w:val="404040" w:themeColor="text1" w:themeTint="BF"/>
      <w:sz w:val="20"/>
      <w:lang w:val="en-US"/>
    </w:rPr>
  </w:style>
  <w:style w:type="table" w:styleId="ListTable3-Accent1">
    <w:name w:val="List Table 3 Accent 1"/>
    <w:basedOn w:val="TableNormal"/>
    <w:uiPriority w:val="48"/>
    <w:locked/>
    <w:rsid w:val="00AA259F"/>
    <w:pPr>
      <w:spacing w:after="0" w:line="240" w:lineRule="auto"/>
    </w:pPr>
    <w:tblPr>
      <w:tblStyleRowBandSize w:val="1"/>
      <w:tblStyleColBandSize w:val="1"/>
      <w:tblBorders>
        <w:top w:val="single" w:sz="4" w:space="0" w:color="DDDDDD" w:themeColor="accent1"/>
        <w:left w:val="single" w:sz="4" w:space="0" w:color="DDDDDD" w:themeColor="accent1"/>
        <w:bottom w:val="single" w:sz="4" w:space="0" w:color="DDDDDD" w:themeColor="accent1"/>
        <w:right w:val="single" w:sz="4" w:space="0" w:color="DDDDDD" w:themeColor="accent1"/>
      </w:tblBorders>
    </w:tblPr>
    <w:tblStylePr w:type="firstRow">
      <w:rPr>
        <w:b/>
        <w:bCs/>
        <w:color w:val="FFFFFF" w:themeColor="background1"/>
      </w:rPr>
      <w:tblPr/>
      <w:tcPr>
        <w:shd w:val="clear" w:color="auto" w:fill="DDDDDD" w:themeFill="accent1"/>
      </w:tcPr>
    </w:tblStylePr>
    <w:tblStylePr w:type="lastRow">
      <w:rPr>
        <w:b/>
        <w:bCs/>
      </w:rPr>
      <w:tblPr/>
      <w:tcPr>
        <w:tcBorders>
          <w:top w:val="double" w:sz="4" w:space="0" w:color="DDDDD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DDDDD" w:themeColor="accent1"/>
          <w:right w:val="single" w:sz="4" w:space="0" w:color="DDDDDD" w:themeColor="accent1"/>
        </w:tcBorders>
      </w:tcPr>
    </w:tblStylePr>
    <w:tblStylePr w:type="band1Horz">
      <w:tblPr/>
      <w:tcPr>
        <w:tcBorders>
          <w:top w:val="single" w:sz="4" w:space="0" w:color="DDDDDD" w:themeColor="accent1"/>
          <w:bottom w:val="single" w:sz="4" w:space="0" w:color="DDDDD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DDDD" w:themeColor="accent1"/>
          <w:left w:val="nil"/>
        </w:tcBorders>
      </w:tcPr>
    </w:tblStylePr>
    <w:tblStylePr w:type="swCell">
      <w:tblPr/>
      <w:tcPr>
        <w:tcBorders>
          <w:top w:val="double" w:sz="4" w:space="0" w:color="DDDDDD" w:themeColor="accent1"/>
          <w:right w:val="nil"/>
        </w:tcBorders>
      </w:tcPr>
    </w:tblStylePr>
  </w:style>
  <w:style w:type="table" w:styleId="ListTable4-Accent1">
    <w:name w:val="List Table 4 Accent 1"/>
    <w:basedOn w:val="TableNormal"/>
    <w:uiPriority w:val="49"/>
    <w:locked/>
    <w:rsid w:val="00AA259F"/>
    <w:pPr>
      <w:spacing w:after="0" w:line="240" w:lineRule="auto"/>
    </w:p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tblBorders>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tcBorders>
        <w:shd w:val="clear" w:color="auto" w:fill="DDDDDD" w:themeFill="accent1"/>
      </w:tcPr>
    </w:tblStylePr>
    <w:tblStylePr w:type="lastRow">
      <w:rPr>
        <w:b/>
        <w:bCs/>
      </w:rPr>
      <w:tblPr/>
      <w:tcPr>
        <w:tcBorders>
          <w:top w:val="doub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stTable4-Accent2">
    <w:name w:val="List Table 4 Accent 2"/>
    <w:basedOn w:val="TableNormal"/>
    <w:uiPriority w:val="49"/>
    <w:locked/>
    <w:rsid w:val="00AA259F"/>
    <w:pPr>
      <w:spacing w:after="0" w:line="240" w:lineRule="auto"/>
    </w:p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tcBorders>
        <w:shd w:val="clear" w:color="auto" w:fill="B2B2B2" w:themeFill="accent2"/>
      </w:tcPr>
    </w:tblStylePr>
    <w:tblStylePr w:type="lastRow">
      <w:rPr>
        <w:b/>
        <w:bCs/>
      </w:rPr>
      <w:tblPr/>
      <w:tcPr>
        <w:tcBorders>
          <w:top w:val="doub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paragraph" w:styleId="FootnoteText">
    <w:name w:val="footnote text"/>
    <w:basedOn w:val="Normal"/>
    <w:link w:val="FootnoteTextChar"/>
    <w:uiPriority w:val="99"/>
    <w:unhideWhenUsed/>
    <w:locked/>
    <w:rsid w:val="002D180E"/>
    <w:pPr>
      <w:spacing w:before="0"/>
    </w:pPr>
    <w:rPr>
      <w:sz w:val="20"/>
      <w:szCs w:val="20"/>
    </w:rPr>
  </w:style>
  <w:style w:type="character" w:customStyle="1" w:styleId="FootnoteTextChar">
    <w:name w:val="Footnote Text Char"/>
    <w:basedOn w:val="DefaultParagraphFont"/>
    <w:link w:val="FootnoteText"/>
    <w:uiPriority w:val="99"/>
    <w:rsid w:val="002D180E"/>
    <w:rPr>
      <w:rFonts w:ascii="Arial" w:hAnsi="Arial" w:cs="Arial"/>
      <w:color w:val="404040" w:themeColor="text1" w:themeTint="BF"/>
      <w:sz w:val="20"/>
      <w:szCs w:val="20"/>
      <w:lang w:val="en-US"/>
    </w:rPr>
  </w:style>
  <w:style w:type="character" w:styleId="FootnoteReference">
    <w:name w:val="footnote reference"/>
    <w:basedOn w:val="DefaultParagraphFont"/>
    <w:uiPriority w:val="99"/>
    <w:unhideWhenUsed/>
    <w:locked/>
    <w:rsid w:val="00E6328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eader" Target="header18.xml"/><Relationship Id="rId21" Type="http://schemas.openxmlformats.org/officeDocument/2006/relationships/hyperlink" Target="https://www.tmr.qld.gov.au/business-industry/transport-sectors/ports/sustainable-port-development-and-operation/master-planning-for-priority-ports" TargetMode="External"/><Relationship Id="rId42" Type="http://schemas.openxmlformats.org/officeDocument/2006/relationships/hyperlink" Target="https://www.tmr.qld.gov.au/projects/beerburrum-to-nambour-rail-upgrade-stage-1" TargetMode="External"/><Relationship Id="rId63" Type="http://schemas.openxmlformats.org/officeDocument/2006/relationships/hyperlink" Target="https://www.qld.gov.au/transport/public/school/school-transport-assistance" TargetMode="External"/><Relationship Id="rId84" Type="http://schemas.openxmlformats.org/officeDocument/2006/relationships/header" Target="header2.xml"/><Relationship Id="rId138" Type="http://schemas.openxmlformats.org/officeDocument/2006/relationships/chart" Target="charts/chart5.xml"/><Relationship Id="rId107" Type="http://schemas.openxmlformats.org/officeDocument/2006/relationships/footer" Target="footer13.xml"/><Relationship Id="rId11" Type="http://schemas.openxmlformats.org/officeDocument/2006/relationships/chart" Target="charts/chart2.xml"/><Relationship Id="rId32" Type="http://schemas.openxmlformats.org/officeDocument/2006/relationships/hyperlink" Target="https://www.tmr.qld.gov.au/projects/flinders-highway-townsville-charters-towers-townsville-to-mingela-range-package-1-and-2" TargetMode="External"/><Relationship Id="rId53" Type="http://schemas.openxmlformats.org/officeDocument/2006/relationships/hyperlink" Target="https://www.tmr.qld.gov.au/projects/gold-coast-light-rail-stage-4" TargetMode="External"/><Relationship Id="rId74" Type="http://schemas.openxmlformats.org/officeDocument/2006/relationships/hyperlink" Target="https://www.tmr.qld.gov.au/business-industry/Technical-standards-publications/Environmental-processes-manual" TargetMode="External"/><Relationship Id="rId128" Type="http://schemas.openxmlformats.org/officeDocument/2006/relationships/footer" Target="footer25.xml"/><Relationship Id="rId5" Type="http://schemas.openxmlformats.org/officeDocument/2006/relationships/webSettings" Target="webSettings.xml"/><Relationship Id="rId90" Type="http://schemas.openxmlformats.org/officeDocument/2006/relationships/footer" Target="footer4.xml"/><Relationship Id="rId95" Type="http://schemas.openxmlformats.org/officeDocument/2006/relationships/header" Target="header8.xml"/><Relationship Id="rId22" Type="http://schemas.openxmlformats.org/officeDocument/2006/relationships/hyperlink" Target="https://www.tmr.qld.gov.au/About-us/Corporate-information/Publications/SEQ-Rail-Connect" TargetMode="External"/><Relationship Id="rId27" Type="http://schemas.openxmlformats.org/officeDocument/2006/relationships/hyperlink" Target="https://www.tmr.qld.gov.au/projects/Bruce-Highway-Cairns-Southern-Access-Corridor-Stage-3-Edmonton-to-Gordonvale" TargetMode="External"/><Relationship Id="rId43" Type="http://schemas.openxmlformats.org/officeDocument/2006/relationships/hyperlink" Target="https://www.tmr.qld.gov.au/projects/bruce-highway-deception-bay-road-interchange" TargetMode="External"/><Relationship Id="rId48" Type="http://schemas.openxmlformats.org/officeDocument/2006/relationships/hyperlink" Target="https://www.tmr.qld.gov.au/projects/centenary-bridge-upgrade" TargetMode="External"/><Relationship Id="rId64" Type="http://schemas.openxmlformats.org/officeDocument/2006/relationships/hyperlink" Target="https://www.tmr.qld.gov.au/Travel-and-transport/Disability-access-and-mobility/Disability-Action-Plan" TargetMode="External"/><Relationship Id="rId69" Type="http://schemas.openxmlformats.org/officeDocument/2006/relationships/hyperlink" Target="http://www.translink.com.au/about-translink/projects-and-initiatives/bus-driver-safety-review" TargetMode="External"/><Relationship Id="rId113" Type="http://schemas.openxmlformats.org/officeDocument/2006/relationships/header" Target="header16.xml"/><Relationship Id="rId118" Type="http://schemas.openxmlformats.org/officeDocument/2006/relationships/footer" Target="footer19.xml"/><Relationship Id="rId134" Type="http://schemas.openxmlformats.org/officeDocument/2006/relationships/image" Target="media/image5.emf"/><Relationship Id="rId139" Type="http://schemas.openxmlformats.org/officeDocument/2006/relationships/chart" Target="charts/chart6.xml"/><Relationship Id="rId80" Type="http://schemas.openxmlformats.org/officeDocument/2006/relationships/hyperlink" Target="http://www.tmr.qld.gov.au/About-us/Right-to-Information/Disclosure-log" TargetMode="External"/><Relationship Id="rId85" Type="http://schemas.openxmlformats.org/officeDocument/2006/relationships/footer" Target="footer2.xml"/><Relationship Id="rId12" Type="http://schemas.openxmlformats.org/officeDocument/2006/relationships/image" Target="media/image2.png"/><Relationship Id="rId17" Type="http://schemas.openxmlformats.org/officeDocument/2006/relationships/hyperlink" Target="https://www.tmr.qld.gov.au/Travel-and-transport/Cycling/Cycling-investment-in-Queensland/Active-transport-economic-appraisal-tool" TargetMode="External"/><Relationship Id="rId33" Type="http://schemas.openxmlformats.org/officeDocument/2006/relationships/hyperlink" Target="https://www.tmr.qld.gov.au/projects/gregory-developmental-road-charters-towers-lynd-package-of-works" TargetMode="External"/><Relationship Id="rId38" Type="http://schemas.openxmlformats.org/officeDocument/2006/relationships/hyperlink" Target="https://www.tmr.qld.gov.au/projects/barwon-highway-talwood-nindigully-weengallon-pavement-widening" TargetMode="External"/><Relationship Id="rId59" Type="http://schemas.openxmlformats.org/officeDocument/2006/relationships/hyperlink" Target="https://www.data.qld.gov.au" TargetMode="External"/><Relationship Id="rId103" Type="http://schemas.openxmlformats.org/officeDocument/2006/relationships/header" Target="header12.xml"/><Relationship Id="rId108" Type="http://schemas.openxmlformats.org/officeDocument/2006/relationships/footer" Target="footer14.xml"/><Relationship Id="rId124" Type="http://schemas.openxmlformats.org/officeDocument/2006/relationships/header" Target="header21.xml"/><Relationship Id="rId129" Type="http://schemas.openxmlformats.org/officeDocument/2006/relationships/footer" Target="footer26.xml"/><Relationship Id="rId54" Type="http://schemas.openxmlformats.org/officeDocument/2006/relationships/hyperlink" Target="https://www.tmr.qld.gov.au/projects/cunningham-highway-ipswich-warwick-2020-disaster-recovery-funding-arrangements-reconstruction-works" TargetMode="External"/><Relationship Id="rId70" Type="http://schemas.openxmlformats.org/officeDocument/2006/relationships/hyperlink" Target="https://www.translink.com.au/travel-with-us/safety-and-security" TargetMode="External"/><Relationship Id="rId75" Type="http://schemas.openxmlformats.org/officeDocument/2006/relationships/chart" Target="charts/chart3.xml"/><Relationship Id="rId91" Type="http://schemas.openxmlformats.org/officeDocument/2006/relationships/header" Target="header6.xml"/><Relationship Id="rId96" Type="http://schemas.openxmlformats.org/officeDocument/2006/relationships/footer" Target="footer7.xml"/><Relationship Id="rId140" Type="http://schemas.openxmlformats.org/officeDocument/2006/relationships/chart" Target="charts/chart7.xml"/><Relationship Id="rId145" Type="http://schemas.openxmlformats.org/officeDocument/2006/relationships/footer" Target="footer29.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tmr.qld.gov.au/projects/toowoomba-to-gladstone-inland-rail-extension-business-case" TargetMode="External"/><Relationship Id="rId28" Type="http://schemas.openxmlformats.org/officeDocument/2006/relationships/hyperlink" Target="https://www.tmr.qld.gov.au/Travel-and-transport/Local-Fare-Scheme-Far-North-Queensland.aspx" TargetMode="External"/><Relationship Id="rId49" Type="http://schemas.openxmlformats.org/officeDocument/2006/relationships/hyperlink" Target="https://www.tmr.qld.gov.au/projects/boundary-road-coopers-plains-rail-level-crossing-funding-commitment" TargetMode="External"/><Relationship Id="rId114" Type="http://schemas.openxmlformats.org/officeDocument/2006/relationships/footer" Target="footer17.xml"/><Relationship Id="rId119" Type="http://schemas.openxmlformats.org/officeDocument/2006/relationships/footer" Target="footer20.xml"/><Relationship Id="rId44" Type="http://schemas.openxmlformats.org/officeDocument/2006/relationships/hyperlink" Target="https://www.tmr.qld.gov.au/projects/bruce-highway-maroochydore-road-and-mons-road-interchanges" TargetMode="External"/><Relationship Id="rId60" Type="http://schemas.openxmlformats.org/officeDocument/2006/relationships/hyperlink" Target="https://translink.com.au/about-translink/projects-and-initiatives/smart-ticketing" TargetMode="External"/><Relationship Id="rId65" Type="http://schemas.openxmlformats.org/officeDocument/2006/relationships/hyperlink" Target="https://www.tmr.qld.gov.au/Travel-and-transport/Public-transport/%20Public-transport-infrastructure-grants" TargetMode="External"/><Relationship Id="rId81" Type="http://schemas.openxmlformats.org/officeDocument/2006/relationships/hyperlink" Target="https://www.data.qld.gov.au/dataset?organization=transport-and-main-roads" TargetMode="External"/><Relationship Id="rId86" Type="http://schemas.openxmlformats.org/officeDocument/2006/relationships/header" Target="header3.xml"/><Relationship Id="rId130" Type="http://schemas.openxmlformats.org/officeDocument/2006/relationships/header" Target="header23.xml"/><Relationship Id="rId135" Type="http://schemas.openxmlformats.org/officeDocument/2006/relationships/image" Target="media/image6.emf"/><Relationship Id="rId13" Type="http://schemas.openxmlformats.org/officeDocument/2006/relationships/image" Target="media/image3.png"/><Relationship Id="rId18" Type="http://schemas.openxmlformats.org/officeDocument/2006/relationships/hyperlink" Target="https://www.tmr.qld.gov.au/business-industry/Transport-sectors/Rail-services-and-infrastructure" TargetMode="External"/><Relationship Id="rId39" Type="http://schemas.openxmlformats.org/officeDocument/2006/relationships/hyperlink" Target="https://www.tmr.qld.gov.au/c2siw" TargetMode="External"/><Relationship Id="rId109" Type="http://schemas.openxmlformats.org/officeDocument/2006/relationships/header" Target="header14.xml"/><Relationship Id="rId34" Type="http://schemas.openxmlformats.org/officeDocument/2006/relationships/hyperlink" Target="https://www.tmr.qld.gov.au/projects/bruce-highway-bowen-ayr-construct-overtaking-lanes" TargetMode="External"/><Relationship Id="rId50" Type="http://schemas.openxmlformats.org/officeDocument/2006/relationships/hyperlink" Target="https://www.tmr.qld.gov.au/projects/mount-lindesay-arterial-road-beaudesert-road-and-illaweena-street-upgrade-intersection-known-as-the" TargetMode="External"/><Relationship Id="rId55" Type="http://schemas.openxmlformats.org/officeDocument/2006/relationships/hyperlink" Target="https://www.tmr.qld.gov.au/Travel-and-transport/School-transport/Assistance-schemes/School-Bus-Upgrade-Scheme.aspx" TargetMode="External"/><Relationship Id="rId76" Type="http://schemas.openxmlformats.org/officeDocument/2006/relationships/chart" Target="charts/chart4.xml"/><Relationship Id="rId97" Type="http://schemas.openxmlformats.org/officeDocument/2006/relationships/header" Target="header9.xml"/><Relationship Id="rId104" Type="http://schemas.openxmlformats.org/officeDocument/2006/relationships/footer" Target="footer11.xml"/><Relationship Id="rId120" Type="http://schemas.openxmlformats.org/officeDocument/2006/relationships/header" Target="header19.xml"/><Relationship Id="rId125" Type="http://schemas.openxmlformats.org/officeDocument/2006/relationships/footer" Target="footer23.xml"/><Relationship Id="rId141" Type="http://schemas.openxmlformats.org/officeDocument/2006/relationships/chart" Target="charts/chart8.xm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tmr.qld.gov.au/NGR" TargetMode="External"/><Relationship Id="rId92" Type="http://schemas.openxmlformats.org/officeDocument/2006/relationships/footer" Target="footer5.xml"/><Relationship Id="rId2" Type="http://schemas.openxmlformats.org/officeDocument/2006/relationships/numbering" Target="numbering.xml"/><Relationship Id="rId29" Type="http://schemas.openxmlformats.org/officeDocument/2006/relationships/hyperlink" Target="https://www.tmr.qld.gov.au/projects/cloncurry-dajarra-road-improvement-works" TargetMode="External"/><Relationship Id="rId24" Type="http://schemas.openxmlformats.org/officeDocument/2006/relationships/hyperlink" Target="https://www.translink.com.au/about-translink/projects-and-initiatives/map" TargetMode="External"/><Relationship Id="rId40" Type="http://schemas.openxmlformats.org/officeDocument/2006/relationships/hyperlink" Target="https://www.tmr.qld.gov.au/projects/glasshouse-mountains-road-steve-irwin-way-beerwah-to-landsborough-improve-safety" TargetMode="External"/><Relationship Id="rId45" Type="http://schemas.openxmlformats.org/officeDocument/2006/relationships/hyperlink" Target="https://www.tmr.qld.gov.au/projects/beams-road-carseldine-and-fitzgibbon-rail-level-crossing" TargetMode="External"/><Relationship Id="rId66" Type="http://schemas.openxmlformats.org/officeDocument/2006/relationships/hyperlink" Target="https://www.chde.qld.gov.au/digitaleconomy" TargetMode="External"/><Relationship Id="rId87" Type="http://schemas.openxmlformats.org/officeDocument/2006/relationships/header" Target="header4.xml"/><Relationship Id="rId110" Type="http://schemas.openxmlformats.org/officeDocument/2006/relationships/footer" Target="footer15.xml"/><Relationship Id="rId115" Type="http://schemas.openxmlformats.org/officeDocument/2006/relationships/header" Target="header17.xml"/><Relationship Id="rId131" Type="http://schemas.openxmlformats.org/officeDocument/2006/relationships/footer" Target="footer27.xml"/><Relationship Id="rId136" Type="http://schemas.openxmlformats.org/officeDocument/2006/relationships/image" Target="media/image7.emf"/><Relationship Id="rId61" Type="http://schemas.openxmlformats.org/officeDocument/2006/relationships/hyperlink" Target="https://www.translink.com.au/travel-with-us/on-demand" TargetMode="External"/><Relationship Id="rId82" Type="http://schemas.openxmlformats.org/officeDocument/2006/relationships/footer" Target="footer1.xml"/><Relationship Id="rId19" Type="http://schemas.openxmlformats.org/officeDocument/2006/relationships/hyperlink" Target="https://www.tmr.qld.gov.au/business-industry/Transport-sectors/Rail-services-and-infrastructure/Rail-Transport-Contracts-and-Agreements" TargetMode="External"/><Relationship Id="rId14" Type="http://schemas.openxmlformats.org/officeDocument/2006/relationships/hyperlink" Target="https://www.data.qld.gov.au" TargetMode="External"/><Relationship Id="rId30" Type="http://schemas.openxmlformats.org/officeDocument/2006/relationships/hyperlink" Target="https://www.tmr.qld.gov.au/projects/townsville-ring-road-stage-5" TargetMode="External"/><Relationship Id="rId35" Type="http://schemas.openxmlformats.org/officeDocument/2006/relationships/hyperlink" Target="https://www.tmr.qld.gov.au/projects/bruce-highway-mackay-proserpine-jumper-creek-upgrade-flood-immunity" TargetMode="External"/><Relationship Id="rId56" Type="http://schemas.openxmlformats.org/officeDocument/2006/relationships/hyperlink" Target="https://www.qld.gov.au/disability/out-and-about/subsidies-concessions-passes/taxi-subsidy" TargetMode="External"/><Relationship Id="rId77" Type="http://schemas.openxmlformats.org/officeDocument/2006/relationships/image" Target="media/image4.png"/><Relationship Id="rId100" Type="http://schemas.openxmlformats.org/officeDocument/2006/relationships/footer" Target="footer9.xml"/><Relationship Id="rId105" Type="http://schemas.openxmlformats.org/officeDocument/2006/relationships/header" Target="header13.xml"/><Relationship Id="rId126" Type="http://schemas.openxmlformats.org/officeDocument/2006/relationships/footer" Target="footer24.xml"/><Relationship Id="rId14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tmr.qld.gov.au/projects/programs/gateway-motorway-and-bruce-highway-upgrades" TargetMode="External"/><Relationship Id="rId72" Type="http://schemas.openxmlformats.org/officeDocument/2006/relationships/hyperlink" Target="https://www.tmr.qld.gov.au/rrtg" TargetMode="External"/><Relationship Id="rId93" Type="http://schemas.openxmlformats.org/officeDocument/2006/relationships/header" Target="header7.xml"/><Relationship Id="rId98" Type="http://schemas.openxmlformats.org/officeDocument/2006/relationships/footer" Target="footer8.xml"/><Relationship Id="rId121" Type="http://schemas.openxmlformats.org/officeDocument/2006/relationships/footer" Target="footer21.xml"/><Relationship Id="rId142" Type="http://schemas.openxmlformats.org/officeDocument/2006/relationships/hyperlink" Target="https://www.msq.qld.gov.au/About-us/How-to-contact-us/Regions" TargetMode="External"/><Relationship Id="rId3" Type="http://schemas.openxmlformats.org/officeDocument/2006/relationships/styles" Target="styles.xml"/><Relationship Id="rId25" Type="http://schemas.openxmlformats.org/officeDocument/2006/relationships/hyperlink" Target="https://www.tmr.qld.gov.au/bvrt" TargetMode="External"/><Relationship Id="rId46" Type="http://schemas.openxmlformats.org/officeDocument/2006/relationships/hyperlink" Target="https://www.tmr.qld.gov.au/projects/veloway-1-v1-cycleway-okeefe-street-construct-bridge-approaches" TargetMode="External"/><Relationship Id="rId67" Type="http://schemas.openxmlformats.org/officeDocument/2006/relationships/hyperlink" Target="https://translink.com.au/" TargetMode="External"/><Relationship Id="rId116" Type="http://schemas.openxmlformats.org/officeDocument/2006/relationships/footer" Target="footer18.xml"/><Relationship Id="rId137" Type="http://schemas.openxmlformats.org/officeDocument/2006/relationships/image" Target="media/image8.png"/><Relationship Id="rId20" Type="http://schemas.openxmlformats.org/officeDocument/2006/relationships/hyperlink" Target="https://www.tmr.qld.gov.au/regionalconnect" TargetMode="External"/><Relationship Id="rId41" Type="http://schemas.openxmlformats.org/officeDocument/2006/relationships/hyperlink" Target="https://www.tmr.qld.gov.au/projects/southern-sunshine-coast-roads-improvement-study" TargetMode="External"/><Relationship Id="rId62" Type="http://schemas.openxmlformats.org/officeDocument/2006/relationships/hyperlink" Target="https://www.translink.com.au/tickets-and-fares/concessions" TargetMode="External"/><Relationship Id="rId83" Type="http://schemas.openxmlformats.org/officeDocument/2006/relationships/header" Target="header1.xml"/><Relationship Id="rId88" Type="http://schemas.openxmlformats.org/officeDocument/2006/relationships/footer" Target="footer3.xml"/><Relationship Id="rId111" Type="http://schemas.openxmlformats.org/officeDocument/2006/relationships/header" Target="header15.xml"/><Relationship Id="rId132" Type="http://schemas.openxmlformats.org/officeDocument/2006/relationships/header" Target="header24.xml"/><Relationship Id="rId15" Type="http://schemas.openxmlformats.org/officeDocument/2006/relationships/hyperlink" Target="http://www.tmr.qld.gov.au/About-us/Corporate-information/Publications/Regional-Transport-Plans" TargetMode="External"/><Relationship Id="rId36" Type="http://schemas.openxmlformats.org/officeDocument/2006/relationships/hyperlink" Target="https://www.tmr.qld.gov.au/projects/rockhampton-railyards-rejuvenation" TargetMode="External"/><Relationship Id="rId57" Type="http://schemas.openxmlformats.org/officeDocument/2006/relationships/hyperlink" Target="https://www.translink.com.au/about-translink/projects-and-initiatives/creating-better-connections" TargetMode="External"/><Relationship Id="rId106" Type="http://schemas.openxmlformats.org/officeDocument/2006/relationships/footer" Target="footer12.xml"/><Relationship Id="rId127" Type="http://schemas.openxmlformats.org/officeDocument/2006/relationships/header" Target="header22.xml"/><Relationship Id="rId10" Type="http://schemas.openxmlformats.org/officeDocument/2006/relationships/chart" Target="charts/chart1.xml"/><Relationship Id="rId31" Type="http://schemas.openxmlformats.org/officeDocument/2006/relationships/hyperlink" Target="https://www.tmr.qld.gov.au/projects/townsville-northern-access-intersections-upgrade-bruce-highway-veales-road-to-pope-road" TargetMode="External"/><Relationship Id="rId52" Type="http://schemas.openxmlformats.org/officeDocument/2006/relationships/hyperlink" Target="https://www.tmr.qld.gov.au/projects/gold-coast-light-rail" TargetMode="External"/><Relationship Id="rId73" Type="http://schemas.openxmlformats.org/officeDocument/2006/relationships/hyperlink" Target="https://www.tmr.qld.gov.au/community-and-environment/research-and-education/transport-academic-partnership" TargetMode="External"/><Relationship Id="rId78" Type="http://schemas.openxmlformats.org/officeDocument/2006/relationships/hyperlink" Target="http://www.qao.qld.gov.au" TargetMode="External"/><Relationship Id="rId94" Type="http://schemas.openxmlformats.org/officeDocument/2006/relationships/footer" Target="footer6.xml"/><Relationship Id="rId99" Type="http://schemas.openxmlformats.org/officeDocument/2006/relationships/header" Target="header10.xml"/><Relationship Id="rId101" Type="http://schemas.openxmlformats.org/officeDocument/2006/relationships/header" Target="header11.xml"/><Relationship Id="rId122" Type="http://schemas.openxmlformats.org/officeDocument/2006/relationships/header" Target="header20.xml"/><Relationship Id="rId143"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qld.gov.au/annualreportfeedback" TargetMode="External"/><Relationship Id="rId26" Type="http://schemas.openxmlformats.org/officeDocument/2006/relationships/hyperlink" Target="https://www.tmr.qld.gov.au/projects/captain-cook-highway-cairns-cbd-to-smithfield-upgrade" TargetMode="External"/><Relationship Id="rId47" Type="http://schemas.openxmlformats.org/officeDocument/2006/relationships/hyperlink" Target="https://www.tmr.qld.gov.au/projects/logan-and-gold-coast-faster-rail" TargetMode="External"/><Relationship Id="rId68" Type="http://schemas.openxmlformats.org/officeDocument/2006/relationships/hyperlink" Target="https://www.tmr.qld.gov.au/business-industry/Taxi-and-limousine/Industry-information/Taxi/Wheelchair-accessible-taxis" TargetMode="External"/><Relationship Id="rId89" Type="http://schemas.openxmlformats.org/officeDocument/2006/relationships/header" Target="header5.xml"/><Relationship Id="rId112" Type="http://schemas.openxmlformats.org/officeDocument/2006/relationships/footer" Target="footer16.xml"/><Relationship Id="rId133" Type="http://schemas.openxmlformats.org/officeDocument/2006/relationships/footer" Target="footer28.xml"/><Relationship Id="rId16" Type="http://schemas.openxmlformats.org/officeDocument/2006/relationships/hyperlink" Target="https://www.tmr.qld.gov.au/business-industry/transport-sectors/ports/sustainable-port-development-and-operation/master-planning-for-priority-ports" TargetMode="External"/><Relationship Id="rId37" Type="http://schemas.openxmlformats.org/officeDocument/2006/relationships/hyperlink" Target="https://www.tmr.qld.gov.au/projects/torbanlea-pialba-road-various-locations-upgrade-intersections-and-floodways" TargetMode="External"/><Relationship Id="rId58" Type="http://schemas.openxmlformats.org/officeDocument/2006/relationships/hyperlink" Target="https://translink.com.au/about-translink/projects-and-initiatives/smart-ticketing" TargetMode="External"/><Relationship Id="rId79" Type="http://schemas.openxmlformats.org/officeDocument/2006/relationships/hyperlink" Target="http://www.tmr.qld.gov.au/About-us/Right-to-Information" TargetMode="External"/><Relationship Id="rId102" Type="http://schemas.openxmlformats.org/officeDocument/2006/relationships/footer" Target="footer10.xml"/><Relationship Id="rId123" Type="http://schemas.openxmlformats.org/officeDocument/2006/relationships/footer" Target="footer22.xml"/><Relationship Id="rId144" Type="http://schemas.openxmlformats.org/officeDocument/2006/relationships/header" Target="header25.xml"/></Relationships>
</file>

<file path=word/_rels/footnotes.xml.rels><?xml version="1.0" encoding="UTF-8" standalone="yes"?>
<Relationships xmlns="http://schemas.openxmlformats.org/package/2006/relationships"><Relationship Id="rId8" Type="http://schemas.openxmlformats.org/officeDocument/2006/relationships/hyperlink" Target="http://www.qgso.qld.gov.au" TargetMode="External"/><Relationship Id="rId3" Type="http://schemas.openxmlformats.org/officeDocument/2006/relationships/hyperlink" Target="http://www.qgso.qld.gov.au" TargetMode="External"/><Relationship Id="rId7" Type="http://schemas.openxmlformats.org/officeDocument/2006/relationships/hyperlink" Target="http://www.qgso.qld.gov.au" TargetMode="External"/><Relationship Id="rId12" Type="http://schemas.openxmlformats.org/officeDocument/2006/relationships/hyperlink" Target="http://www.qgso.qld.gov.au" TargetMode="External"/><Relationship Id="rId2" Type="http://schemas.openxmlformats.org/officeDocument/2006/relationships/hyperlink" Target="http://www.qgso.qld.gov.au" TargetMode="External"/><Relationship Id="rId1" Type="http://schemas.openxmlformats.org/officeDocument/2006/relationships/hyperlink" Target="http://www.qgso.qld.gov.au" TargetMode="External"/><Relationship Id="rId6" Type="http://schemas.openxmlformats.org/officeDocument/2006/relationships/hyperlink" Target="http://www.qgso.qld.gov.au" TargetMode="External"/><Relationship Id="rId11" Type="http://schemas.openxmlformats.org/officeDocument/2006/relationships/hyperlink" Target="http://www.qgso.qld.gov.au" TargetMode="External"/><Relationship Id="rId5" Type="http://schemas.openxmlformats.org/officeDocument/2006/relationships/hyperlink" Target="http://www.qgso.qld.gov.au" TargetMode="External"/><Relationship Id="rId10" Type="http://schemas.openxmlformats.org/officeDocument/2006/relationships/hyperlink" Target="http://www.qgso.qld.gov.au" TargetMode="External"/><Relationship Id="rId4" Type="http://schemas.openxmlformats.org/officeDocument/2006/relationships/hyperlink" Target="http://www.qgso.qld.gov.au" TargetMode="External"/><Relationship Id="rId9" Type="http://schemas.openxmlformats.org/officeDocument/2006/relationships/hyperlink" Target="http://www.qgso.qld.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mmcmil\OneDrive%20-%20TMR\2021-22%20TMR%20Annual%20Report\2021-22%20Annual%20Report%20-%20Introduction\About%20Us.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Income by category for the year ended 30 June 2023</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316-4FEB-A495-D33176A4D41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316-4FEB-A495-D33176A4D41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316-4FEB-A495-D33176A4D41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316-4FEB-A495-D33176A4D41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Appropriation revenue</c:v>
                </c:pt>
                <c:pt idx="1">
                  <c:v>User charges and fees</c:v>
                </c:pt>
                <c:pt idx="2">
                  <c:v>Grants and other contributions</c:v>
                </c:pt>
                <c:pt idx="3">
                  <c:v>Service concession arrangements revenue</c:v>
                </c:pt>
              </c:strCache>
            </c:strRef>
          </c:cat>
          <c:val>
            <c:numRef>
              <c:f>Sheet1!$B$2:$B$5</c:f>
              <c:numCache>
                <c:formatCode>#,##0</c:formatCode>
                <c:ptCount val="4"/>
                <c:pt idx="0">
                  <c:v>6371614</c:v>
                </c:pt>
                <c:pt idx="1">
                  <c:v>778843</c:v>
                </c:pt>
                <c:pt idx="2">
                  <c:v>276088</c:v>
                </c:pt>
                <c:pt idx="3">
                  <c:v>232180</c:v>
                </c:pt>
              </c:numCache>
            </c:numRef>
          </c:val>
          <c:extLst>
            <c:ext xmlns:c16="http://schemas.microsoft.com/office/drawing/2014/chart" uri="{C3380CC4-5D6E-409C-BE32-E72D297353CC}">
              <c16:uniqueId val="{00000000-9111-4B3D-9DD1-70F0A82518EB}"/>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Expenses by category for the year ended 30 June 2023</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93D-433C-9F99-5A92FE11ED4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93D-433C-9F99-5A92FE11ED4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93D-433C-9F99-5A92FE11ED4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93D-433C-9F99-5A92FE11ED4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93D-433C-9F99-5A92FE11ED4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93D-433C-9F99-5A92FE11ED4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Employee expenses</c:v>
                </c:pt>
                <c:pt idx="1">
                  <c:v>Supplies and services</c:v>
                </c:pt>
                <c:pt idx="2">
                  <c:v>Grants and subsidies</c:v>
                </c:pt>
                <c:pt idx="3">
                  <c:v>Finance and borrowing costs</c:v>
                </c:pt>
                <c:pt idx="4">
                  <c:v>Depreciation and amortisation</c:v>
                </c:pt>
                <c:pt idx="5">
                  <c:v>Other expenses</c:v>
                </c:pt>
              </c:strCache>
            </c:strRef>
          </c:cat>
          <c:val>
            <c:numRef>
              <c:f>Sheet1!$B$2:$B$7</c:f>
              <c:numCache>
                <c:formatCode>#,##0</c:formatCode>
                <c:ptCount val="6"/>
                <c:pt idx="0">
                  <c:v>709747</c:v>
                </c:pt>
                <c:pt idx="1">
                  <c:v>4536142</c:v>
                </c:pt>
                <c:pt idx="2">
                  <c:v>796688</c:v>
                </c:pt>
                <c:pt idx="3">
                  <c:v>97277</c:v>
                </c:pt>
                <c:pt idx="4">
                  <c:v>1506325</c:v>
                </c:pt>
                <c:pt idx="5">
                  <c:v>41976</c:v>
                </c:pt>
              </c:numCache>
            </c:numRef>
          </c:val>
          <c:extLst>
            <c:ext xmlns:c16="http://schemas.microsoft.com/office/drawing/2014/chart" uri="{C3380CC4-5D6E-409C-BE32-E72D297353CC}">
              <c16:uniqueId val="{00000000-9E1E-4A4C-A6B2-0B6A2EE361F6}"/>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Marine fatalities in Queensland</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Boat:Master</c:v>
                </c:pt>
              </c:strCache>
            </c:strRef>
          </c:tx>
          <c:spPr>
            <a:solidFill>
              <a:schemeClr val="accent1"/>
            </a:solidFill>
            <a:ln>
              <a:noFill/>
            </a:ln>
            <a:effectLst/>
          </c:spPr>
          <c:invertIfNegative val="0"/>
          <c:cat>
            <c:strRef>
              <c:f>Sheet1!$A$2:$A$11</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Sheet1!$B$2:$B$11</c:f>
              <c:numCache>
                <c:formatCode>General</c:formatCode>
                <c:ptCount val="10"/>
                <c:pt idx="0">
                  <c:v>6</c:v>
                </c:pt>
                <c:pt idx="1">
                  <c:v>1</c:v>
                </c:pt>
                <c:pt idx="2">
                  <c:v>8</c:v>
                </c:pt>
                <c:pt idx="3">
                  <c:v>6</c:v>
                </c:pt>
                <c:pt idx="4">
                  <c:v>6</c:v>
                </c:pt>
                <c:pt idx="5">
                  <c:v>2</c:v>
                </c:pt>
                <c:pt idx="6">
                  <c:v>9</c:v>
                </c:pt>
                <c:pt idx="7">
                  <c:v>11</c:v>
                </c:pt>
                <c:pt idx="8">
                  <c:v>11</c:v>
                </c:pt>
                <c:pt idx="9">
                  <c:v>12</c:v>
                </c:pt>
              </c:numCache>
            </c:numRef>
          </c:val>
          <c:extLst>
            <c:ext xmlns:c16="http://schemas.microsoft.com/office/drawing/2014/chart" uri="{C3380CC4-5D6E-409C-BE32-E72D297353CC}">
              <c16:uniqueId val="{00000000-643C-4760-AB5F-082EC6687989}"/>
            </c:ext>
          </c:extLst>
        </c:ser>
        <c:ser>
          <c:idx val="1"/>
          <c:order val="1"/>
          <c:tx>
            <c:strRef>
              <c:f>Sheet1!$C$1</c:f>
              <c:strCache>
                <c:ptCount val="1"/>
                <c:pt idx="0">
                  <c:v>Boat:Passenger</c:v>
                </c:pt>
              </c:strCache>
            </c:strRef>
          </c:tx>
          <c:spPr>
            <a:solidFill>
              <a:schemeClr val="accent2"/>
            </a:solidFill>
            <a:ln>
              <a:noFill/>
            </a:ln>
            <a:effectLst/>
          </c:spPr>
          <c:invertIfNegative val="0"/>
          <c:cat>
            <c:strRef>
              <c:f>Sheet1!$A$2:$A$11</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Sheet1!$C$2:$C$11</c:f>
              <c:numCache>
                <c:formatCode>General</c:formatCode>
                <c:ptCount val="10"/>
                <c:pt idx="0">
                  <c:v>0</c:v>
                </c:pt>
                <c:pt idx="1">
                  <c:v>0</c:v>
                </c:pt>
                <c:pt idx="2">
                  <c:v>4</c:v>
                </c:pt>
                <c:pt idx="3">
                  <c:v>3</c:v>
                </c:pt>
                <c:pt idx="4">
                  <c:v>1</c:v>
                </c:pt>
                <c:pt idx="5">
                  <c:v>1</c:v>
                </c:pt>
                <c:pt idx="6">
                  <c:v>9</c:v>
                </c:pt>
                <c:pt idx="7">
                  <c:v>7</c:v>
                </c:pt>
                <c:pt idx="8">
                  <c:v>2</c:v>
                </c:pt>
                <c:pt idx="9">
                  <c:v>6</c:v>
                </c:pt>
              </c:numCache>
            </c:numRef>
          </c:val>
          <c:extLst>
            <c:ext xmlns:c16="http://schemas.microsoft.com/office/drawing/2014/chart" uri="{C3380CC4-5D6E-409C-BE32-E72D297353CC}">
              <c16:uniqueId val="{00000001-643C-4760-AB5F-082EC6687989}"/>
            </c:ext>
          </c:extLst>
        </c:ser>
        <c:ser>
          <c:idx val="2"/>
          <c:order val="2"/>
          <c:tx>
            <c:strRef>
              <c:f>Sheet1!$D$1</c:f>
              <c:strCache>
                <c:ptCount val="1"/>
                <c:pt idx="0">
                  <c:v>PWC</c:v>
                </c:pt>
              </c:strCache>
            </c:strRef>
          </c:tx>
          <c:spPr>
            <a:solidFill>
              <a:schemeClr val="accent3"/>
            </a:solidFill>
            <a:ln>
              <a:noFill/>
            </a:ln>
            <a:effectLst/>
          </c:spPr>
          <c:invertIfNegative val="0"/>
          <c:cat>
            <c:strRef>
              <c:f>Sheet1!$A$2:$A$11</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Sheet1!$D$2:$D$11</c:f>
              <c:numCache>
                <c:formatCode>General</c:formatCode>
                <c:ptCount val="10"/>
                <c:pt idx="0">
                  <c:v>3</c:v>
                </c:pt>
                <c:pt idx="1">
                  <c:v>0</c:v>
                </c:pt>
                <c:pt idx="2">
                  <c:v>0</c:v>
                </c:pt>
                <c:pt idx="3">
                  <c:v>1</c:v>
                </c:pt>
                <c:pt idx="4">
                  <c:v>0</c:v>
                </c:pt>
                <c:pt idx="5">
                  <c:v>2</c:v>
                </c:pt>
                <c:pt idx="6">
                  <c:v>1</c:v>
                </c:pt>
                <c:pt idx="7">
                  <c:v>0</c:v>
                </c:pt>
                <c:pt idx="8">
                  <c:v>0</c:v>
                </c:pt>
                <c:pt idx="9">
                  <c:v>0</c:v>
                </c:pt>
              </c:numCache>
            </c:numRef>
          </c:val>
          <c:extLst>
            <c:ext xmlns:c16="http://schemas.microsoft.com/office/drawing/2014/chart" uri="{C3380CC4-5D6E-409C-BE32-E72D297353CC}">
              <c16:uniqueId val="{00000002-643C-4760-AB5F-082EC6687989}"/>
            </c:ext>
          </c:extLst>
        </c:ser>
        <c:ser>
          <c:idx val="3"/>
          <c:order val="3"/>
          <c:tx>
            <c:strRef>
              <c:f>Sheet1!$E$1</c:f>
              <c:strCache>
                <c:ptCount val="1"/>
                <c:pt idx="0">
                  <c:v>Swimmer</c:v>
                </c:pt>
              </c:strCache>
            </c:strRef>
          </c:tx>
          <c:spPr>
            <a:solidFill>
              <a:schemeClr val="accent4"/>
            </a:solidFill>
            <a:ln>
              <a:noFill/>
            </a:ln>
            <a:effectLst/>
          </c:spPr>
          <c:invertIfNegative val="0"/>
          <c:cat>
            <c:strRef>
              <c:f>Sheet1!$A$2:$A$11</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Sheet1!$E$2:$E$11</c:f>
              <c:numCache>
                <c:formatCode>General</c:formatCode>
                <c:ptCount val="10"/>
                <c:pt idx="0">
                  <c:v>0</c:v>
                </c:pt>
                <c:pt idx="1">
                  <c:v>0</c:v>
                </c:pt>
                <c:pt idx="2">
                  <c:v>1</c:v>
                </c:pt>
                <c:pt idx="3">
                  <c:v>1</c:v>
                </c:pt>
                <c:pt idx="4">
                  <c:v>0</c:v>
                </c:pt>
                <c:pt idx="5">
                  <c:v>0</c:v>
                </c:pt>
                <c:pt idx="6">
                  <c:v>0</c:v>
                </c:pt>
                <c:pt idx="7">
                  <c:v>0</c:v>
                </c:pt>
                <c:pt idx="8">
                  <c:v>0</c:v>
                </c:pt>
                <c:pt idx="9">
                  <c:v>0</c:v>
                </c:pt>
              </c:numCache>
            </c:numRef>
          </c:val>
          <c:extLst>
            <c:ext xmlns:c16="http://schemas.microsoft.com/office/drawing/2014/chart" uri="{C3380CC4-5D6E-409C-BE32-E72D297353CC}">
              <c16:uniqueId val="{00000003-643C-4760-AB5F-082EC6687989}"/>
            </c:ext>
          </c:extLst>
        </c:ser>
        <c:ser>
          <c:idx val="4"/>
          <c:order val="4"/>
          <c:tx>
            <c:strRef>
              <c:f>Sheet1!$F$1</c:f>
              <c:strCache>
                <c:ptCount val="1"/>
                <c:pt idx="0">
                  <c:v>Water skier</c:v>
                </c:pt>
              </c:strCache>
            </c:strRef>
          </c:tx>
          <c:spPr>
            <a:solidFill>
              <a:schemeClr val="accent5"/>
            </a:solidFill>
            <a:ln>
              <a:noFill/>
            </a:ln>
            <a:effectLst/>
          </c:spPr>
          <c:invertIfNegative val="0"/>
          <c:cat>
            <c:strRef>
              <c:f>Sheet1!$A$2:$A$11</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Sheet1!$F$2:$F$11</c:f>
              <c:numCache>
                <c:formatCode>General</c:formatCode>
                <c:ptCount val="10"/>
                <c:pt idx="0">
                  <c:v>0</c:v>
                </c:pt>
                <c:pt idx="1">
                  <c:v>0</c:v>
                </c:pt>
                <c:pt idx="2">
                  <c:v>0</c:v>
                </c:pt>
                <c:pt idx="3">
                  <c:v>0</c:v>
                </c:pt>
                <c:pt idx="4">
                  <c:v>1</c:v>
                </c:pt>
                <c:pt idx="5">
                  <c:v>0</c:v>
                </c:pt>
                <c:pt idx="6">
                  <c:v>0</c:v>
                </c:pt>
                <c:pt idx="7">
                  <c:v>0</c:v>
                </c:pt>
                <c:pt idx="8">
                  <c:v>0</c:v>
                </c:pt>
                <c:pt idx="9">
                  <c:v>0</c:v>
                </c:pt>
              </c:numCache>
            </c:numRef>
          </c:val>
          <c:extLst>
            <c:ext xmlns:c16="http://schemas.microsoft.com/office/drawing/2014/chart" uri="{C3380CC4-5D6E-409C-BE32-E72D297353CC}">
              <c16:uniqueId val="{00000004-643C-4760-AB5F-082EC6687989}"/>
            </c:ext>
          </c:extLst>
        </c:ser>
        <c:ser>
          <c:idx val="5"/>
          <c:order val="5"/>
          <c:tx>
            <c:strRef>
              <c:f>Sheet1!$G$1</c:f>
              <c:strCache>
                <c:ptCount val="1"/>
                <c:pt idx="0">
                  <c:v>Total</c:v>
                </c:pt>
              </c:strCache>
            </c:strRef>
          </c:tx>
          <c:spPr>
            <a:solidFill>
              <a:schemeClr val="accent6"/>
            </a:solidFill>
            <a:ln>
              <a:noFill/>
            </a:ln>
            <a:effectLst/>
          </c:spPr>
          <c:invertIfNegative val="0"/>
          <c:cat>
            <c:strRef>
              <c:f>Sheet1!$A$2:$A$11</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Sheet1!$G$2:$G$11</c:f>
              <c:numCache>
                <c:formatCode>General</c:formatCode>
                <c:ptCount val="10"/>
                <c:pt idx="0">
                  <c:v>9</c:v>
                </c:pt>
                <c:pt idx="1">
                  <c:v>1</c:v>
                </c:pt>
                <c:pt idx="2">
                  <c:v>13</c:v>
                </c:pt>
                <c:pt idx="3">
                  <c:v>11</c:v>
                </c:pt>
                <c:pt idx="4">
                  <c:v>8</c:v>
                </c:pt>
                <c:pt idx="5">
                  <c:v>5</c:v>
                </c:pt>
                <c:pt idx="6">
                  <c:v>19</c:v>
                </c:pt>
                <c:pt idx="7">
                  <c:v>18</c:v>
                </c:pt>
                <c:pt idx="8">
                  <c:v>13</c:v>
                </c:pt>
                <c:pt idx="9">
                  <c:v>18</c:v>
                </c:pt>
              </c:numCache>
            </c:numRef>
          </c:val>
          <c:extLst>
            <c:ext xmlns:c16="http://schemas.microsoft.com/office/drawing/2014/chart" uri="{C3380CC4-5D6E-409C-BE32-E72D297353CC}">
              <c16:uniqueId val="{00000005-643C-4760-AB5F-082EC6687989}"/>
            </c:ext>
          </c:extLst>
        </c:ser>
        <c:dLbls>
          <c:showLegendKey val="0"/>
          <c:showVal val="0"/>
          <c:showCatName val="0"/>
          <c:showSerName val="0"/>
          <c:showPercent val="0"/>
          <c:showBubbleSize val="0"/>
        </c:dLbls>
        <c:gapWidth val="219"/>
        <c:overlap val="-27"/>
        <c:axId val="83919967"/>
        <c:axId val="434783215"/>
      </c:barChart>
      <c:catAx>
        <c:axId val="83919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783215"/>
        <c:crosses val="autoZero"/>
        <c:auto val="1"/>
        <c:lblAlgn val="ctr"/>
        <c:lblOffset val="100"/>
        <c:noMultiLvlLbl val="0"/>
      </c:catAx>
      <c:valAx>
        <c:axId val="4347832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9199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Serious injuries from maritime incidents in Queensland</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Boat:Master</c:v>
                </c:pt>
              </c:strCache>
            </c:strRef>
          </c:tx>
          <c:spPr>
            <a:solidFill>
              <a:schemeClr val="accent1"/>
            </a:solidFill>
            <a:ln>
              <a:noFill/>
            </a:ln>
            <a:effectLst/>
          </c:spPr>
          <c:invertIfNegative val="0"/>
          <c:cat>
            <c:strRef>
              <c:f>Sheet1!$A$2:$A$11</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Sheet1!$B$2:$B$11</c:f>
              <c:numCache>
                <c:formatCode>General</c:formatCode>
                <c:ptCount val="10"/>
                <c:pt idx="0">
                  <c:v>7</c:v>
                </c:pt>
                <c:pt idx="1">
                  <c:v>8</c:v>
                </c:pt>
                <c:pt idx="2">
                  <c:v>11</c:v>
                </c:pt>
                <c:pt idx="3">
                  <c:v>14</c:v>
                </c:pt>
                <c:pt idx="4">
                  <c:v>13</c:v>
                </c:pt>
                <c:pt idx="5">
                  <c:v>14</c:v>
                </c:pt>
                <c:pt idx="6">
                  <c:v>13</c:v>
                </c:pt>
                <c:pt idx="7">
                  <c:v>8</c:v>
                </c:pt>
                <c:pt idx="8">
                  <c:v>12</c:v>
                </c:pt>
                <c:pt idx="9">
                  <c:v>9</c:v>
                </c:pt>
              </c:numCache>
            </c:numRef>
          </c:val>
          <c:extLst>
            <c:ext xmlns:c16="http://schemas.microsoft.com/office/drawing/2014/chart" uri="{C3380CC4-5D6E-409C-BE32-E72D297353CC}">
              <c16:uniqueId val="{00000000-8BAD-46E0-B808-26B392CF58B9}"/>
            </c:ext>
          </c:extLst>
        </c:ser>
        <c:ser>
          <c:idx val="1"/>
          <c:order val="1"/>
          <c:tx>
            <c:strRef>
              <c:f>Sheet1!$C$1</c:f>
              <c:strCache>
                <c:ptCount val="1"/>
                <c:pt idx="0">
                  <c:v>Boat:Passenger</c:v>
                </c:pt>
              </c:strCache>
            </c:strRef>
          </c:tx>
          <c:spPr>
            <a:solidFill>
              <a:schemeClr val="accent2"/>
            </a:solidFill>
            <a:ln>
              <a:noFill/>
            </a:ln>
            <a:effectLst/>
          </c:spPr>
          <c:invertIfNegative val="0"/>
          <c:cat>
            <c:strRef>
              <c:f>Sheet1!$A$2:$A$11</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Sheet1!$C$2:$C$11</c:f>
              <c:numCache>
                <c:formatCode>General</c:formatCode>
                <c:ptCount val="10"/>
                <c:pt idx="0">
                  <c:v>5</c:v>
                </c:pt>
                <c:pt idx="1">
                  <c:v>6</c:v>
                </c:pt>
                <c:pt idx="2">
                  <c:v>13</c:v>
                </c:pt>
                <c:pt idx="3">
                  <c:v>12</c:v>
                </c:pt>
                <c:pt idx="4">
                  <c:v>10</c:v>
                </c:pt>
                <c:pt idx="5">
                  <c:v>14</c:v>
                </c:pt>
                <c:pt idx="6">
                  <c:v>9</c:v>
                </c:pt>
                <c:pt idx="7">
                  <c:v>14</c:v>
                </c:pt>
                <c:pt idx="8">
                  <c:v>15</c:v>
                </c:pt>
                <c:pt idx="9">
                  <c:v>7</c:v>
                </c:pt>
              </c:numCache>
            </c:numRef>
          </c:val>
          <c:extLst>
            <c:ext xmlns:c16="http://schemas.microsoft.com/office/drawing/2014/chart" uri="{C3380CC4-5D6E-409C-BE32-E72D297353CC}">
              <c16:uniqueId val="{00000001-8BAD-46E0-B808-26B392CF58B9}"/>
            </c:ext>
          </c:extLst>
        </c:ser>
        <c:ser>
          <c:idx val="2"/>
          <c:order val="2"/>
          <c:tx>
            <c:strRef>
              <c:f>Sheet1!$D$1</c:f>
              <c:strCache>
                <c:ptCount val="1"/>
                <c:pt idx="0">
                  <c:v>PWC</c:v>
                </c:pt>
              </c:strCache>
            </c:strRef>
          </c:tx>
          <c:spPr>
            <a:solidFill>
              <a:schemeClr val="accent3"/>
            </a:solidFill>
            <a:ln>
              <a:noFill/>
            </a:ln>
            <a:effectLst/>
          </c:spPr>
          <c:invertIfNegative val="0"/>
          <c:cat>
            <c:strRef>
              <c:f>Sheet1!$A$2:$A$11</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Sheet1!$D$2:$D$11</c:f>
              <c:numCache>
                <c:formatCode>General</c:formatCode>
                <c:ptCount val="10"/>
                <c:pt idx="0">
                  <c:v>6</c:v>
                </c:pt>
                <c:pt idx="1">
                  <c:v>1</c:v>
                </c:pt>
                <c:pt idx="2">
                  <c:v>9</c:v>
                </c:pt>
                <c:pt idx="3">
                  <c:v>6</c:v>
                </c:pt>
                <c:pt idx="4">
                  <c:v>7</c:v>
                </c:pt>
                <c:pt idx="5">
                  <c:v>6</c:v>
                </c:pt>
                <c:pt idx="6">
                  <c:v>12</c:v>
                </c:pt>
                <c:pt idx="7">
                  <c:v>10</c:v>
                </c:pt>
                <c:pt idx="8">
                  <c:v>8</c:v>
                </c:pt>
                <c:pt idx="9">
                  <c:v>3</c:v>
                </c:pt>
              </c:numCache>
            </c:numRef>
          </c:val>
          <c:extLst>
            <c:ext xmlns:c16="http://schemas.microsoft.com/office/drawing/2014/chart" uri="{C3380CC4-5D6E-409C-BE32-E72D297353CC}">
              <c16:uniqueId val="{00000002-8BAD-46E0-B808-26B392CF58B9}"/>
            </c:ext>
          </c:extLst>
        </c:ser>
        <c:ser>
          <c:idx val="3"/>
          <c:order val="3"/>
          <c:tx>
            <c:strRef>
              <c:f>Sheet1!$E$1</c:f>
              <c:strCache>
                <c:ptCount val="1"/>
                <c:pt idx="0">
                  <c:v>Swimmer</c:v>
                </c:pt>
              </c:strCache>
            </c:strRef>
          </c:tx>
          <c:spPr>
            <a:solidFill>
              <a:schemeClr val="accent4"/>
            </a:solidFill>
            <a:ln>
              <a:noFill/>
            </a:ln>
            <a:effectLst/>
          </c:spPr>
          <c:invertIfNegative val="0"/>
          <c:cat>
            <c:strRef>
              <c:f>Sheet1!$A$2:$A$11</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Sheet1!$E$2:$E$11</c:f>
              <c:numCache>
                <c:formatCode>General</c:formatCode>
                <c:ptCount val="10"/>
                <c:pt idx="0">
                  <c:v>2</c:v>
                </c:pt>
                <c:pt idx="1">
                  <c:v>0</c:v>
                </c:pt>
                <c:pt idx="2">
                  <c:v>2</c:v>
                </c:pt>
                <c:pt idx="3">
                  <c:v>1</c:v>
                </c:pt>
                <c:pt idx="4">
                  <c:v>0</c:v>
                </c:pt>
                <c:pt idx="5">
                  <c:v>0</c:v>
                </c:pt>
                <c:pt idx="6">
                  <c:v>1</c:v>
                </c:pt>
                <c:pt idx="7">
                  <c:v>1</c:v>
                </c:pt>
                <c:pt idx="8">
                  <c:v>0</c:v>
                </c:pt>
                <c:pt idx="9">
                  <c:v>2</c:v>
                </c:pt>
              </c:numCache>
            </c:numRef>
          </c:val>
          <c:extLst>
            <c:ext xmlns:c16="http://schemas.microsoft.com/office/drawing/2014/chart" uri="{C3380CC4-5D6E-409C-BE32-E72D297353CC}">
              <c16:uniqueId val="{00000003-8BAD-46E0-B808-26B392CF58B9}"/>
            </c:ext>
          </c:extLst>
        </c:ser>
        <c:ser>
          <c:idx val="4"/>
          <c:order val="4"/>
          <c:tx>
            <c:strRef>
              <c:f>Sheet1!$F$1</c:f>
              <c:strCache>
                <c:ptCount val="1"/>
                <c:pt idx="0">
                  <c:v>Water skier</c:v>
                </c:pt>
              </c:strCache>
            </c:strRef>
          </c:tx>
          <c:spPr>
            <a:solidFill>
              <a:schemeClr val="accent5"/>
            </a:solidFill>
            <a:ln>
              <a:noFill/>
            </a:ln>
            <a:effectLst/>
          </c:spPr>
          <c:invertIfNegative val="0"/>
          <c:cat>
            <c:strRef>
              <c:f>Sheet1!$A$2:$A$11</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Sheet1!$F$2:$F$11</c:f>
              <c:numCache>
                <c:formatCode>General</c:formatCode>
                <c:ptCount val="10"/>
                <c:pt idx="0">
                  <c:v>7</c:v>
                </c:pt>
                <c:pt idx="1">
                  <c:v>2</c:v>
                </c:pt>
                <c:pt idx="2">
                  <c:v>2</c:v>
                </c:pt>
                <c:pt idx="3">
                  <c:v>0</c:v>
                </c:pt>
                <c:pt idx="4">
                  <c:v>5</c:v>
                </c:pt>
                <c:pt idx="5">
                  <c:v>2</c:v>
                </c:pt>
                <c:pt idx="6">
                  <c:v>1</c:v>
                </c:pt>
                <c:pt idx="7">
                  <c:v>4</c:v>
                </c:pt>
                <c:pt idx="8">
                  <c:v>6</c:v>
                </c:pt>
                <c:pt idx="9">
                  <c:v>0</c:v>
                </c:pt>
              </c:numCache>
            </c:numRef>
          </c:val>
          <c:extLst>
            <c:ext xmlns:c16="http://schemas.microsoft.com/office/drawing/2014/chart" uri="{C3380CC4-5D6E-409C-BE32-E72D297353CC}">
              <c16:uniqueId val="{00000004-8BAD-46E0-B808-26B392CF58B9}"/>
            </c:ext>
          </c:extLst>
        </c:ser>
        <c:ser>
          <c:idx val="5"/>
          <c:order val="5"/>
          <c:tx>
            <c:strRef>
              <c:f>Sheet1!$G$1</c:f>
              <c:strCache>
                <c:ptCount val="1"/>
                <c:pt idx="0">
                  <c:v>Series 6</c:v>
                </c:pt>
              </c:strCache>
            </c:strRef>
          </c:tx>
          <c:spPr>
            <a:solidFill>
              <a:schemeClr val="accent6"/>
            </a:solidFill>
            <a:ln>
              <a:noFill/>
            </a:ln>
            <a:effectLst/>
          </c:spPr>
          <c:invertIfNegative val="0"/>
          <c:cat>
            <c:strRef>
              <c:f>Sheet1!$A$2:$A$11</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Sheet1!$G$2:$G$11</c:f>
              <c:numCache>
                <c:formatCode>General</c:formatCode>
                <c:ptCount val="10"/>
                <c:pt idx="0">
                  <c:v>27</c:v>
                </c:pt>
                <c:pt idx="1">
                  <c:v>17</c:v>
                </c:pt>
                <c:pt idx="2">
                  <c:v>37</c:v>
                </c:pt>
                <c:pt idx="3">
                  <c:v>33</c:v>
                </c:pt>
                <c:pt idx="4">
                  <c:v>35</c:v>
                </c:pt>
                <c:pt idx="5">
                  <c:v>36</c:v>
                </c:pt>
                <c:pt idx="6">
                  <c:v>36</c:v>
                </c:pt>
                <c:pt idx="7">
                  <c:v>37</c:v>
                </c:pt>
                <c:pt idx="8">
                  <c:v>41</c:v>
                </c:pt>
                <c:pt idx="9">
                  <c:v>21</c:v>
                </c:pt>
              </c:numCache>
            </c:numRef>
          </c:val>
          <c:extLst>
            <c:ext xmlns:c16="http://schemas.microsoft.com/office/drawing/2014/chart" uri="{C3380CC4-5D6E-409C-BE32-E72D297353CC}">
              <c16:uniqueId val="{00000005-8BAD-46E0-B808-26B392CF58B9}"/>
            </c:ext>
          </c:extLst>
        </c:ser>
        <c:dLbls>
          <c:showLegendKey val="0"/>
          <c:showVal val="0"/>
          <c:showCatName val="0"/>
          <c:showSerName val="0"/>
          <c:showPercent val="0"/>
          <c:showBubbleSize val="0"/>
        </c:dLbls>
        <c:gapWidth val="219"/>
        <c:overlap val="-27"/>
        <c:axId val="442428863"/>
        <c:axId val="1755056463"/>
      </c:barChart>
      <c:catAx>
        <c:axId val="4424288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5056463"/>
        <c:crosses val="autoZero"/>
        <c:auto val="1"/>
        <c:lblAlgn val="ctr"/>
        <c:lblOffset val="100"/>
        <c:noMultiLvlLbl val="0"/>
      </c:catAx>
      <c:valAx>
        <c:axId val="17550564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24288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Mobile speed cameras—Vehicles monitored per notice issued </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none"/>
          </c:marker>
          <c:cat>
            <c:numRef>
              <c:f>Sheet1!$A$2:$A$7</c:f>
              <c:numCache>
                <c:formatCode>General</c:formatCode>
                <c:ptCount val="6"/>
                <c:pt idx="0">
                  <c:v>2017</c:v>
                </c:pt>
                <c:pt idx="1">
                  <c:v>2018</c:v>
                </c:pt>
                <c:pt idx="2">
                  <c:v>2019</c:v>
                </c:pt>
                <c:pt idx="3">
                  <c:v>2020</c:v>
                </c:pt>
                <c:pt idx="4">
                  <c:v>2021</c:v>
                </c:pt>
                <c:pt idx="5">
                  <c:v>2022</c:v>
                </c:pt>
              </c:numCache>
            </c:numRef>
          </c:cat>
          <c:val>
            <c:numRef>
              <c:f>Sheet1!$B$2:$B$7</c:f>
              <c:numCache>
                <c:formatCode>General</c:formatCode>
                <c:ptCount val="6"/>
                <c:pt idx="0">
                  <c:v>1096</c:v>
                </c:pt>
                <c:pt idx="1">
                  <c:v>1691</c:v>
                </c:pt>
                <c:pt idx="2">
                  <c:v>1759</c:v>
                </c:pt>
                <c:pt idx="3">
                  <c:v>1707</c:v>
                </c:pt>
                <c:pt idx="4">
                  <c:v>1675</c:v>
                </c:pt>
                <c:pt idx="5">
                  <c:v>2001</c:v>
                </c:pt>
              </c:numCache>
            </c:numRef>
          </c:val>
          <c:smooth val="0"/>
          <c:extLst>
            <c:ext xmlns:c16="http://schemas.microsoft.com/office/drawing/2014/chart" uri="{C3380CC4-5D6E-409C-BE32-E72D297353CC}">
              <c16:uniqueId val="{00000000-B101-4C49-B177-82ABFE775E88}"/>
            </c:ext>
          </c:extLst>
        </c:ser>
        <c:ser>
          <c:idx val="1"/>
          <c:order val="1"/>
          <c:tx>
            <c:strRef>
              <c:f>Sheet1!$C$1</c:f>
              <c:strCache>
                <c:ptCount val="1"/>
                <c:pt idx="0">
                  <c:v>Column1</c:v>
                </c:pt>
              </c:strCache>
            </c:strRef>
          </c:tx>
          <c:spPr>
            <a:ln w="28575" cap="rnd">
              <a:solidFill>
                <a:schemeClr val="accent2"/>
              </a:solidFill>
              <a:round/>
            </a:ln>
            <a:effectLst/>
          </c:spPr>
          <c:marker>
            <c:symbol val="none"/>
          </c:marker>
          <c:dLbls>
            <c:dLbl>
              <c:idx val="5"/>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1-B101-4C49-B177-82ABFE775E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2017</c:v>
                </c:pt>
                <c:pt idx="1">
                  <c:v>2018</c:v>
                </c:pt>
                <c:pt idx="2">
                  <c:v>2019</c:v>
                </c:pt>
                <c:pt idx="3">
                  <c:v>2020</c:v>
                </c:pt>
                <c:pt idx="4">
                  <c:v>2021</c:v>
                </c:pt>
                <c:pt idx="5">
                  <c:v>2022</c:v>
                </c:pt>
              </c:numCache>
            </c:numRef>
          </c:cat>
          <c:val>
            <c:numRef>
              <c:f>Sheet1!$C$2:$C$7</c:f>
              <c:numCache>
                <c:formatCode>General</c:formatCode>
                <c:ptCount val="6"/>
              </c:numCache>
            </c:numRef>
          </c:val>
          <c:smooth val="0"/>
          <c:extLst>
            <c:ext xmlns:c16="http://schemas.microsoft.com/office/drawing/2014/chart" uri="{C3380CC4-5D6E-409C-BE32-E72D297353CC}">
              <c16:uniqueId val="{00000002-B101-4C49-B177-82ABFE775E88}"/>
            </c:ext>
          </c:extLst>
        </c:ser>
        <c:ser>
          <c:idx val="2"/>
          <c:order val="2"/>
          <c:tx>
            <c:strRef>
              <c:f>Sheet1!$D$1</c:f>
              <c:strCache>
                <c:ptCount val="1"/>
                <c:pt idx="0">
                  <c:v>Column2</c:v>
                </c:pt>
              </c:strCache>
            </c:strRef>
          </c:tx>
          <c:spPr>
            <a:ln w="28575" cap="rnd">
              <a:solidFill>
                <a:schemeClr val="accent3"/>
              </a:solidFill>
              <a:round/>
            </a:ln>
            <a:effectLst/>
          </c:spPr>
          <c:marker>
            <c:symbol val="none"/>
          </c:marker>
          <c:dLbls>
            <c:dLbl>
              <c:idx val="5"/>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3-B101-4C49-B177-82ABFE775E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2017</c:v>
                </c:pt>
                <c:pt idx="1">
                  <c:v>2018</c:v>
                </c:pt>
                <c:pt idx="2">
                  <c:v>2019</c:v>
                </c:pt>
                <c:pt idx="3">
                  <c:v>2020</c:v>
                </c:pt>
                <c:pt idx="4">
                  <c:v>2021</c:v>
                </c:pt>
                <c:pt idx="5">
                  <c:v>2022</c:v>
                </c:pt>
              </c:numCache>
            </c:numRef>
          </c:cat>
          <c:val>
            <c:numRef>
              <c:f>Sheet1!$D$2:$D$7</c:f>
              <c:numCache>
                <c:formatCode>General</c:formatCode>
                <c:ptCount val="6"/>
              </c:numCache>
            </c:numRef>
          </c:val>
          <c:smooth val="0"/>
          <c:extLst>
            <c:ext xmlns:c16="http://schemas.microsoft.com/office/drawing/2014/chart" uri="{C3380CC4-5D6E-409C-BE32-E72D297353CC}">
              <c16:uniqueId val="{00000004-B101-4C49-B177-82ABFE775E88}"/>
            </c:ext>
          </c:extLst>
        </c:ser>
        <c:dLbls>
          <c:showLegendKey val="0"/>
          <c:showVal val="0"/>
          <c:showCatName val="0"/>
          <c:showSerName val="0"/>
          <c:showPercent val="0"/>
          <c:showBubbleSize val="0"/>
        </c:dLbls>
        <c:smooth val="0"/>
        <c:axId val="922657775"/>
        <c:axId val="470734847"/>
      </c:lineChart>
      <c:catAx>
        <c:axId val="9226577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0734847"/>
        <c:crosses val="autoZero"/>
        <c:auto val="1"/>
        <c:lblAlgn val="ctr"/>
        <c:lblOffset val="100"/>
        <c:noMultiLvlLbl val="0"/>
      </c:catAx>
      <c:valAx>
        <c:axId val="470734847"/>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26577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Red light cameras—Vehicles monitored per notice issued </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none"/>
          </c:marker>
          <c:cat>
            <c:numRef>
              <c:f>Sheet1!$A$2:$A$7</c:f>
              <c:numCache>
                <c:formatCode>General</c:formatCode>
                <c:ptCount val="6"/>
                <c:pt idx="0">
                  <c:v>2017</c:v>
                </c:pt>
                <c:pt idx="1">
                  <c:v>2018</c:v>
                </c:pt>
                <c:pt idx="2">
                  <c:v>2019</c:v>
                </c:pt>
                <c:pt idx="3">
                  <c:v>2020</c:v>
                </c:pt>
                <c:pt idx="4">
                  <c:v>2021</c:v>
                </c:pt>
                <c:pt idx="5">
                  <c:v>2022</c:v>
                </c:pt>
              </c:numCache>
            </c:numRef>
          </c:cat>
          <c:val>
            <c:numRef>
              <c:f>Sheet1!$B$2:$B$7</c:f>
              <c:numCache>
                <c:formatCode>#,##0</c:formatCode>
                <c:ptCount val="6"/>
                <c:pt idx="0">
                  <c:v>100855</c:v>
                </c:pt>
                <c:pt idx="1">
                  <c:v>110514</c:v>
                </c:pt>
                <c:pt idx="2">
                  <c:v>101852</c:v>
                </c:pt>
                <c:pt idx="3">
                  <c:v>107054</c:v>
                </c:pt>
                <c:pt idx="4">
                  <c:v>104310</c:v>
                </c:pt>
                <c:pt idx="5">
                  <c:v>118833</c:v>
                </c:pt>
              </c:numCache>
            </c:numRef>
          </c:val>
          <c:smooth val="0"/>
          <c:extLst>
            <c:ext xmlns:c16="http://schemas.microsoft.com/office/drawing/2014/chart" uri="{C3380CC4-5D6E-409C-BE32-E72D297353CC}">
              <c16:uniqueId val="{00000000-9852-4BE0-80C5-534D0E8B5555}"/>
            </c:ext>
          </c:extLst>
        </c:ser>
        <c:ser>
          <c:idx val="1"/>
          <c:order val="1"/>
          <c:tx>
            <c:strRef>
              <c:f>Sheet1!$C$1</c:f>
              <c:strCache>
                <c:ptCount val="1"/>
                <c:pt idx="0">
                  <c:v>Column1</c:v>
                </c:pt>
              </c:strCache>
            </c:strRef>
          </c:tx>
          <c:spPr>
            <a:ln w="28575" cap="rnd">
              <a:solidFill>
                <a:schemeClr val="accent2"/>
              </a:solidFill>
              <a:round/>
            </a:ln>
            <a:effectLst/>
          </c:spPr>
          <c:marker>
            <c:symbol val="none"/>
          </c:marker>
          <c:dLbls>
            <c:dLbl>
              <c:idx val="5"/>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1-9852-4BE0-80C5-534D0E8B55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2017</c:v>
                </c:pt>
                <c:pt idx="1">
                  <c:v>2018</c:v>
                </c:pt>
                <c:pt idx="2">
                  <c:v>2019</c:v>
                </c:pt>
                <c:pt idx="3">
                  <c:v>2020</c:v>
                </c:pt>
                <c:pt idx="4">
                  <c:v>2021</c:v>
                </c:pt>
                <c:pt idx="5">
                  <c:v>2022</c:v>
                </c:pt>
              </c:numCache>
            </c:numRef>
          </c:cat>
          <c:val>
            <c:numRef>
              <c:f>Sheet1!$C$2:$C$7</c:f>
              <c:numCache>
                <c:formatCode>General</c:formatCode>
                <c:ptCount val="6"/>
              </c:numCache>
            </c:numRef>
          </c:val>
          <c:smooth val="0"/>
          <c:extLst>
            <c:ext xmlns:c16="http://schemas.microsoft.com/office/drawing/2014/chart" uri="{C3380CC4-5D6E-409C-BE32-E72D297353CC}">
              <c16:uniqueId val="{00000002-9852-4BE0-80C5-534D0E8B5555}"/>
            </c:ext>
          </c:extLst>
        </c:ser>
        <c:ser>
          <c:idx val="2"/>
          <c:order val="2"/>
          <c:tx>
            <c:strRef>
              <c:f>Sheet1!$D$1</c:f>
              <c:strCache>
                <c:ptCount val="1"/>
                <c:pt idx="0">
                  <c:v>Column2</c:v>
                </c:pt>
              </c:strCache>
            </c:strRef>
          </c:tx>
          <c:spPr>
            <a:ln w="28575" cap="rnd">
              <a:solidFill>
                <a:schemeClr val="accent3"/>
              </a:solidFill>
              <a:round/>
            </a:ln>
            <a:effectLst/>
          </c:spPr>
          <c:marker>
            <c:symbol val="none"/>
          </c:marker>
          <c:dLbls>
            <c:dLbl>
              <c:idx val="5"/>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3-9852-4BE0-80C5-534D0E8B55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2017</c:v>
                </c:pt>
                <c:pt idx="1">
                  <c:v>2018</c:v>
                </c:pt>
                <c:pt idx="2">
                  <c:v>2019</c:v>
                </c:pt>
                <c:pt idx="3">
                  <c:v>2020</c:v>
                </c:pt>
                <c:pt idx="4">
                  <c:v>2021</c:v>
                </c:pt>
                <c:pt idx="5">
                  <c:v>2022</c:v>
                </c:pt>
              </c:numCache>
            </c:numRef>
          </c:cat>
          <c:val>
            <c:numRef>
              <c:f>Sheet1!$D$2:$D$7</c:f>
              <c:numCache>
                <c:formatCode>General</c:formatCode>
                <c:ptCount val="6"/>
              </c:numCache>
            </c:numRef>
          </c:val>
          <c:smooth val="0"/>
          <c:extLst>
            <c:ext xmlns:c16="http://schemas.microsoft.com/office/drawing/2014/chart" uri="{C3380CC4-5D6E-409C-BE32-E72D297353CC}">
              <c16:uniqueId val="{00000004-9852-4BE0-80C5-534D0E8B5555}"/>
            </c:ext>
          </c:extLst>
        </c:ser>
        <c:dLbls>
          <c:showLegendKey val="0"/>
          <c:showVal val="0"/>
          <c:showCatName val="0"/>
          <c:showSerName val="0"/>
          <c:showPercent val="0"/>
          <c:showBubbleSize val="0"/>
        </c:dLbls>
        <c:smooth val="0"/>
        <c:axId val="437865343"/>
        <c:axId val="911739039"/>
      </c:lineChart>
      <c:catAx>
        <c:axId val="4378653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1739039"/>
        <c:crosses val="autoZero"/>
        <c:auto val="1"/>
        <c:lblAlgn val="ctr"/>
        <c:lblOffset val="100"/>
        <c:noMultiLvlLbl val="0"/>
      </c:catAx>
      <c:valAx>
        <c:axId val="911739039"/>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8653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Fixed speed cameras—Vehicles monitored per notice issued</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none"/>
          </c:marker>
          <c:cat>
            <c:numRef>
              <c:f>Sheet1!$A$2:$A$7</c:f>
              <c:numCache>
                <c:formatCode>General</c:formatCode>
                <c:ptCount val="6"/>
                <c:pt idx="0">
                  <c:v>2017</c:v>
                </c:pt>
                <c:pt idx="1">
                  <c:v>2018</c:v>
                </c:pt>
                <c:pt idx="2">
                  <c:v>2019</c:v>
                </c:pt>
                <c:pt idx="3">
                  <c:v>2020</c:v>
                </c:pt>
                <c:pt idx="4">
                  <c:v>2021</c:v>
                </c:pt>
                <c:pt idx="5">
                  <c:v>2022</c:v>
                </c:pt>
              </c:numCache>
            </c:numRef>
          </c:cat>
          <c:val>
            <c:numRef>
              <c:f>Sheet1!$B$2:$B$7</c:f>
              <c:numCache>
                <c:formatCode>#,##0</c:formatCode>
                <c:ptCount val="6"/>
                <c:pt idx="0">
                  <c:v>10851</c:v>
                </c:pt>
                <c:pt idx="1">
                  <c:v>13107</c:v>
                </c:pt>
                <c:pt idx="2">
                  <c:v>14918</c:v>
                </c:pt>
                <c:pt idx="3">
                  <c:v>13556</c:v>
                </c:pt>
                <c:pt idx="4">
                  <c:v>15234</c:v>
                </c:pt>
                <c:pt idx="5">
                  <c:v>21156</c:v>
                </c:pt>
              </c:numCache>
            </c:numRef>
          </c:val>
          <c:smooth val="0"/>
          <c:extLst>
            <c:ext xmlns:c16="http://schemas.microsoft.com/office/drawing/2014/chart" uri="{C3380CC4-5D6E-409C-BE32-E72D297353CC}">
              <c16:uniqueId val="{00000000-5D5C-4AEA-8E53-95A2AD08F6AC}"/>
            </c:ext>
          </c:extLst>
        </c:ser>
        <c:ser>
          <c:idx val="1"/>
          <c:order val="1"/>
          <c:tx>
            <c:strRef>
              <c:f>Sheet1!$C$1</c:f>
              <c:strCache>
                <c:ptCount val="1"/>
                <c:pt idx="0">
                  <c:v>Column1</c:v>
                </c:pt>
              </c:strCache>
            </c:strRef>
          </c:tx>
          <c:spPr>
            <a:ln w="28575" cap="rnd">
              <a:solidFill>
                <a:schemeClr val="accent2"/>
              </a:solidFill>
              <a:round/>
            </a:ln>
            <a:effectLst/>
          </c:spPr>
          <c:marker>
            <c:symbol val="none"/>
          </c:marker>
          <c:dLbls>
            <c:dLbl>
              <c:idx val="5"/>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1-5D5C-4AEA-8E53-95A2AD08F6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2017</c:v>
                </c:pt>
                <c:pt idx="1">
                  <c:v>2018</c:v>
                </c:pt>
                <c:pt idx="2">
                  <c:v>2019</c:v>
                </c:pt>
                <c:pt idx="3">
                  <c:v>2020</c:v>
                </c:pt>
                <c:pt idx="4">
                  <c:v>2021</c:v>
                </c:pt>
                <c:pt idx="5">
                  <c:v>2022</c:v>
                </c:pt>
              </c:numCache>
            </c:numRef>
          </c:cat>
          <c:val>
            <c:numRef>
              <c:f>Sheet1!$C$2:$C$7</c:f>
              <c:numCache>
                <c:formatCode>General</c:formatCode>
                <c:ptCount val="6"/>
              </c:numCache>
            </c:numRef>
          </c:val>
          <c:smooth val="0"/>
          <c:extLst>
            <c:ext xmlns:c16="http://schemas.microsoft.com/office/drawing/2014/chart" uri="{C3380CC4-5D6E-409C-BE32-E72D297353CC}">
              <c16:uniqueId val="{00000002-5D5C-4AEA-8E53-95A2AD08F6AC}"/>
            </c:ext>
          </c:extLst>
        </c:ser>
        <c:ser>
          <c:idx val="2"/>
          <c:order val="2"/>
          <c:tx>
            <c:strRef>
              <c:f>Sheet1!$D$1</c:f>
              <c:strCache>
                <c:ptCount val="1"/>
                <c:pt idx="0">
                  <c:v>Column2</c:v>
                </c:pt>
              </c:strCache>
            </c:strRef>
          </c:tx>
          <c:spPr>
            <a:ln w="28575" cap="rnd">
              <a:solidFill>
                <a:schemeClr val="accent3"/>
              </a:solidFill>
              <a:round/>
            </a:ln>
            <a:effectLst/>
          </c:spPr>
          <c:marker>
            <c:symbol val="none"/>
          </c:marker>
          <c:dLbls>
            <c:dLbl>
              <c:idx val="5"/>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3-5D5C-4AEA-8E53-95A2AD08F6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2017</c:v>
                </c:pt>
                <c:pt idx="1">
                  <c:v>2018</c:v>
                </c:pt>
                <c:pt idx="2">
                  <c:v>2019</c:v>
                </c:pt>
                <c:pt idx="3">
                  <c:v>2020</c:v>
                </c:pt>
                <c:pt idx="4">
                  <c:v>2021</c:v>
                </c:pt>
                <c:pt idx="5">
                  <c:v>2022</c:v>
                </c:pt>
              </c:numCache>
            </c:numRef>
          </c:cat>
          <c:val>
            <c:numRef>
              <c:f>Sheet1!$D$2:$D$7</c:f>
              <c:numCache>
                <c:formatCode>General</c:formatCode>
                <c:ptCount val="6"/>
              </c:numCache>
            </c:numRef>
          </c:val>
          <c:smooth val="0"/>
          <c:extLst>
            <c:ext xmlns:c16="http://schemas.microsoft.com/office/drawing/2014/chart" uri="{C3380CC4-5D6E-409C-BE32-E72D297353CC}">
              <c16:uniqueId val="{00000004-5D5C-4AEA-8E53-95A2AD08F6AC}"/>
            </c:ext>
          </c:extLst>
        </c:ser>
        <c:dLbls>
          <c:showLegendKey val="0"/>
          <c:showVal val="0"/>
          <c:showCatName val="0"/>
          <c:showSerName val="0"/>
          <c:showPercent val="0"/>
          <c:showBubbleSize val="0"/>
        </c:dLbls>
        <c:smooth val="0"/>
        <c:axId val="922653599"/>
        <c:axId val="470744447"/>
      </c:lineChart>
      <c:catAx>
        <c:axId val="922653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0744447"/>
        <c:crosses val="autoZero"/>
        <c:auto val="1"/>
        <c:lblAlgn val="ctr"/>
        <c:lblOffset val="100"/>
        <c:noMultiLvlLbl val="0"/>
      </c:catAx>
      <c:valAx>
        <c:axId val="470744447"/>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26535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Combined red light/speed camera—Vehicles monitored per notice issued </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none"/>
          </c:marker>
          <c:cat>
            <c:numRef>
              <c:f>Sheet1!$A$2:$A$7</c:f>
              <c:numCache>
                <c:formatCode>General</c:formatCode>
                <c:ptCount val="6"/>
                <c:pt idx="0">
                  <c:v>2017</c:v>
                </c:pt>
                <c:pt idx="1">
                  <c:v>2018</c:v>
                </c:pt>
                <c:pt idx="2">
                  <c:v>2019</c:v>
                </c:pt>
                <c:pt idx="3">
                  <c:v>2020</c:v>
                </c:pt>
                <c:pt idx="4">
                  <c:v>2021</c:v>
                </c:pt>
                <c:pt idx="5">
                  <c:v>2022</c:v>
                </c:pt>
              </c:numCache>
            </c:numRef>
          </c:cat>
          <c:val>
            <c:numRef>
              <c:f>Sheet1!$B$2:$B$7</c:f>
              <c:numCache>
                <c:formatCode>General</c:formatCode>
                <c:ptCount val="6"/>
                <c:pt idx="0" formatCode="#,##0">
                  <c:v>14013</c:v>
                </c:pt>
                <c:pt idx="1">
                  <c:v>7795</c:v>
                </c:pt>
                <c:pt idx="2">
                  <c:v>7879</c:v>
                </c:pt>
                <c:pt idx="3">
                  <c:v>9570</c:v>
                </c:pt>
                <c:pt idx="4" formatCode="#,##0">
                  <c:v>12443</c:v>
                </c:pt>
                <c:pt idx="5" formatCode="#,##0">
                  <c:v>14411</c:v>
                </c:pt>
              </c:numCache>
            </c:numRef>
          </c:val>
          <c:smooth val="0"/>
          <c:extLst>
            <c:ext xmlns:c16="http://schemas.microsoft.com/office/drawing/2014/chart" uri="{C3380CC4-5D6E-409C-BE32-E72D297353CC}">
              <c16:uniqueId val="{00000000-6AD9-4E43-A07F-F13556EEE800}"/>
            </c:ext>
          </c:extLst>
        </c:ser>
        <c:ser>
          <c:idx val="1"/>
          <c:order val="1"/>
          <c:tx>
            <c:strRef>
              <c:f>Sheet1!$C$1</c:f>
              <c:strCache>
                <c:ptCount val="1"/>
                <c:pt idx="0">
                  <c:v>Series 2</c:v>
                </c:pt>
              </c:strCache>
            </c:strRef>
          </c:tx>
          <c:spPr>
            <a:ln w="28575" cap="rnd">
              <a:solidFill>
                <a:schemeClr val="accent2"/>
              </a:solidFill>
              <a:round/>
            </a:ln>
            <a:effectLst/>
          </c:spPr>
          <c:marker>
            <c:symbol val="none"/>
          </c:marker>
          <c:cat>
            <c:numRef>
              <c:f>Sheet1!$A$2:$A$7</c:f>
              <c:numCache>
                <c:formatCode>General</c:formatCode>
                <c:ptCount val="6"/>
                <c:pt idx="0">
                  <c:v>2017</c:v>
                </c:pt>
                <c:pt idx="1">
                  <c:v>2018</c:v>
                </c:pt>
                <c:pt idx="2">
                  <c:v>2019</c:v>
                </c:pt>
                <c:pt idx="3">
                  <c:v>2020</c:v>
                </c:pt>
                <c:pt idx="4">
                  <c:v>2021</c:v>
                </c:pt>
                <c:pt idx="5">
                  <c:v>2022</c:v>
                </c:pt>
              </c:numCache>
            </c:numRef>
          </c:cat>
          <c:val>
            <c:numRef>
              <c:f>Sheet1!$C$2:$C$7</c:f>
              <c:numCache>
                <c:formatCode>#,##0</c:formatCode>
                <c:ptCount val="6"/>
                <c:pt idx="0">
                  <c:v>103863</c:v>
                </c:pt>
                <c:pt idx="1">
                  <c:v>121319</c:v>
                </c:pt>
                <c:pt idx="2">
                  <c:v>128607</c:v>
                </c:pt>
                <c:pt idx="3">
                  <c:v>143378</c:v>
                </c:pt>
                <c:pt idx="4">
                  <c:v>143791</c:v>
                </c:pt>
                <c:pt idx="5">
                  <c:v>152630</c:v>
                </c:pt>
              </c:numCache>
            </c:numRef>
          </c:val>
          <c:smooth val="0"/>
          <c:extLst>
            <c:ext xmlns:c16="http://schemas.microsoft.com/office/drawing/2014/chart" uri="{C3380CC4-5D6E-409C-BE32-E72D297353CC}">
              <c16:uniqueId val="{00000001-6AD9-4E43-A07F-F13556EEE800}"/>
            </c:ext>
          </c:extLst>
        </c:ser>
        <c:ser>
          <c:idx val="2"/>
          <c:order val="2"/>
          <c:tx>
            <c:strRef>
              <c:f>Sheet1!$D$1</c:f>
              <c:strCache>
                <c:ptCount val="1"/>
                <c:pt idx="0">
                  <c:v>Column1</c:v>
                </c:pt>
              </c:strCache>
            </c:strRef>
          </c:tx>
          <c:spPr>
            <a:ln w="28575" cap="rnd">
              <a:solidFill>
                <a:schemeClr val="accent3"/>
              </a:solidFill>
              <a:round/>
            </a:ln>
            <a:effectLst/>
          </c:spPr>
          <c:marker>
            <c:symbol val="none"/>
          </c:marker>
          <c:dLbls>
            <c:dLbl>
              <c:idx val="5"/>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6AD9-4E43-A07F-F13556EEE80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2017</c:v>
                </c:pt>
                <c:pt idx="1">
                  <c:v>2018</c:v>
                </c:pt>
                <c:pt idx="2">
                  <c:v>2019</c:v>
                </c:pt>
                <c:pt idx="3">
                  <c:v>2020</c:v>
                </c:pt>
                <c:pt idx="4">
                  <c:v>2021</c:v>
                </c:pt>
                <c:pt idx="5">
                  <c:v>2022</c:v>
                </c:pt>
              </c:numCache>
            </c:numRef>
          </c:cat>
          <c:val>
            <c:numRef>
              <c:f>Sheet1!$D$2:$D$7</c:f>
              <c:numCache>
                <c:formatCode>General</c:formatCode>
                <c:ptCount val="6"/>
              </c:numCache>
            </c:numRef>
          </c:val>
          <c:smooth val="0"/>
          <c:extLst>
            <c:ext xmlns:c16="http://schemas.microsoft.com/office/drawing/2014/chart" uri="{C3380CC4-5D6E-409C-BE32-E72D297353CC}">
              <c16:uniqueId val="{00000003-6AD9-4E43-A07F-F13556EEE800}"/>
            </c:ext>
          </c:extLst>
        </c:ser>
        <c:dLbls>
          <c:showLegendKey val="0"/>
          <c:showVal val="0"/>
          <c:showCatName val="0"/>
          <c:showSerName val="0"/>
          <c:showPercent val="0"/>
          <c:showBubbleSize val="0"/>
        </c:dLbls>
        <c:smooth val="0"/>
        <c:axId val="1462573311"/>
        <c:axId val="1767490831"/>
      </c:lineChart>
      <c:catAx>
        <c:axId val="1462573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7490831"/>
        <c:crosses val="autoZero"/>
        <c:auto val="1"/>
        <c:lblAlgn val="ctr"/>
        <c:lblOffset val="100"/>
        <c:noMultiLvlLbl val="0"/>
      </c:catAx>
      <c:valAx>
        <c:axId val="1767490831"/>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25733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254247-2E59-48C7-8CA9-A033257F3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About Us.dotx</Template>
  <TotalTime>547</TotalTime>
  <Pages>350</Pages>
  <Words>103852</Words>
  <Characters>591961</Characters>
  <Application>Microsoft Office Word</Application>
  <DocSecurity>0</DocSecurity>
  <Lines>4933</Lines>
  <Paragraphs>1388</Paragraphs>
  <ScaleCrop>false</ScaleCrop>
  <HeadingPairs>
    <vt:vector size="2" baseType="variant">
      <vt:variant>
        <vt:lpstr>Title</vt:lpstr>
      </vt:variant>
      <vt:variant>
        <vt:i4>1</vt:i4>
      </vt:variant>
    </vt:vector>
  </HeadingPairs>
  <TitlesOfParts>
    <vt:vector size="1" baseType="lpstr">
      <vt:lpstr/>
    </vt:vector>
  </TitlesOfParts>
  <Company>Department of Transport and Main Roads</Company>
  <LinksUpToDate>false</LinksUpToDate>
  <CharactersWithSpaces>694425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Prue M McMillan</dc:creator>
  <cp:keywords/>
  <dc:description/>
  <cp:lastModifiedBy>Cameron McCulloch</cp:lastModifiedBy>
  <cp:revision>23</cp:revision>
  <dcterms:created xsi:type="dcterms:W3CDTF">2023-09-26T01:30:00Z</dcterms:created>
  <dcterms:modified xsi:type="dcterms:W3CDTF">2023-09-29T02:05:00Z</dcterms:modified>
</cp:coreProperties>
</file>